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19"/>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843915</wp:posOffset>
            </wp:positionH>
            <wp:positionV relativeFrom="page">
              <wp:posOffset>287020</wp:posOffset>
            </wp:positionV>
            <wp:extent cx="5873750" cy="152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873750" cy="15240"/>
                    </a:xfrm>
                    <a:prstGeom prst="rect">
                      <a:avLst/>
                    </a:prstGeom>
                    <a:noFill/>
                  </pic:spPr>
                </pic:pic>
              </a:graphicData>
            </a:graphic>
          </wp:anchor>
        </w:drawing>
        <w:drawing>
          <wp:anchor simplePos="0" relativeHeight="251657728" behindDoc="1" locked="0" layoutInCell="0" allowOverlap="1">
            <wp:simplePos x="0" y="0"/>
            <wp:positionH relativeFrom="page">
              <wp:posOffset>843915</wp:posOffset>
            </wp:positionH>
            <wp:positionV relativeFrom="page">
              <wp:posOffset>317500</wp:posOffset>
            </wp:positionV>
            <wp:extent cx="5873750" cy="152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73750" cy="15240"/>
                    </a:xfrm>
                    <a:prstGeom prst="rect">
                      <a:avLst/>
                    </a:prstGeom>
                    <a:noFill/>
                  </pic:spPr>
                </pic:pic>
              </a:graphicData>
            </a:graphic>
          </wp:anchor>
        </w:drawing>
        <w:t>UNITED STATES</w:t>
      </w:r>
    </w:p>
    <w:p>
      <w:pPr>
        <w:spacing w:after="0" w:line="21" w:lineRule="exact"/>
        <w:rPr>
          <w:sz w:val="24"/>
          <w:szCs w:val="24"/>
          <w:color w:val="auto"/>
        </w:rPr>
      </w:pPr>
    </w:p>
    <w:p>
      <w:pPr>
        <w:jc w:val="center"/>
        <w:ind w:right="-1019"/>
        <w:spacing w:after="0"/>
        <w:rPr>
          <w:sz w:val="20"/>
          <w:szCs w:val="20"/>
          <w:color w:val="auto"/>
        </w:rPr>
      </w:pPr>
      <w:r>
        <w:rPr>
          <w:rFonts w:ascii="Arial" w:cs="Arial" w:eastAsia="Arial" w:hAnsi="Arial"/>
          <w:sz w:val="16"/>
          <w:szCs w:val="16"/>
          <w:color w:val="auto"/>
        </w:rPr>
        <w:t>SECURITIES AND EXCHANGE COMMISSION</w:t>
      </w:r>
    </w:p>
    <w:p>
      <w:pPr>
        <w:spacing w:after="0" w:line="8" w:lineRule="exact"/>
        <w:rPr>
          <w:sz w:val="24"/>
          <w:szCs w:val="24"/>
          <w:color w:val="auto"/>
        </w:rPr>
      </w:pPr>
    </w:p>
    <w:p>
      <w:pPr>
        <w:jc w:val="center"/>
        <w:ind w:right="-1019"/>
        <w:spacing w:after="0"/>
        <w:rPr>
          <w:sz w:val="20"/>
          <w:szCs w:val="20"/>
          <w:color w:val="auto"/>
        </w:rPr>
      </w:pPr>
      <w:r>
        <w:rPr>
          <w:rFonts w:ascii="Arial" w:cs="Arial" w:eastAsia="Arial" w:hAnsi="Arial"/>
          <w:sz w:val="16"/>
          <w:szCs w:val="16"/>
          <w:color w:val="auto"/>
        </w:rPr>
        <w:t>Washington, D.C. 20549</w:t>
      </w:r>
    </w:p>
    <w:p>
      <w:pPr>
        <w:spacing w:after="0" w:line="20" w:lineRule="exact"/>
        <w:rPr>
          <w:sz w:val="24"/>
          <w:szCs w:val="24"/>
          <w:color w:val="auto"/>
        </w:rPr>
      </w:pPr>
    </w:p>
    <w:p>
      <w:pPr>
        <w:ind w:left="5260"/>
        <w:spacing w:after="0"/>
        <w:rPr>
          <w:sz w:val="20"/>
          <w:szCs w:val="20"/>
          <w:color w:val="auto"/>
        </w:rPr>
      </w:pPr>
      <w:r>
        <w:rPr>
          <w:rFonts w:ascii="Arial" w:cs="Arial" w:eastAsia="Arial" w:hAnsi="Arial"/>
          <w:sz w:val="16"/>
          <w:szCs w:val="16"/>
          <w:color w:val="auto"/>
        </w:rPr>
        <w:t>FORM 10-K</w:t>
      </w:r>
    </w:p>
    <w:p>
      <w:pPr>
        <w:spacing w:after="0" w:line="32" w:lineRule="exact"/>
        <w:rPr>
          <w:sz w:val="24"/>
          <w:szCs w:val="24"/>
          <w:color w:val="auto"/>
        </w:rPr>
      </w:pPr>
    </w:p>
    <w:p>
      <w:pPr>
        <w:ind w:left="1100"/>
        <w:spacing w:after="0"/>
        <w:rPr>
          <w:sz w:val="20"/>
          <w:szCs w:val="20"/>
          <w:color w:val="auto"/>
        </w:rPr>
      </w:pPr>
      <w:r>
        <w:rPr>
          <w:rFonts w:ascii="Arial" w:cs="Arial" w:eastAsia="Arial" w:hAnsi="Arial"/>
          <w:sz w:val="16"/>
          <w:szCs w:val="16"/>
          <w:color w:val="auto"/>
        </w:rPr>
        <w:t>(Mark One)</w:t>
      </w:r>
    </w:p>
    <w:p>
      <w:pPr>
        <w:spacing w:after="0" w:line="32" w:lineRule="exact"/>
        <w:rPr>
          <w:sz w:val="24"/>
          <w:szCs w:val="24"/>
          <w:color w:val="auto"/>
        </w:rPr>
      </w:pPr>
    </w:p>
    <w:p>
      <w:pPr>
        <w:ind w:left="1680" w:hanging="579"/>
        <w:spacing w:after="0"/>
        <w:tabs>
          <w:tab w:leader="none" w:pos="1680" w:val="left"/>
        </w:tabs>
        <w:numPr>
          <w:ilvl w:val="0"/>
          <w:numId w:val="1"/>
        </w:numPr>
        <w:rPr>
          <w:rFonts w:ascii="Arial" w:cs="Arial" w:eastAsia="Arial" w:hAnsi="Arial"/>
          <w:sz w:val="16"/>
          <w:szCs w:val="16"/>
          <w:color w:val="auto"/>
        </w:rPr>
      </w:pPr>
      <w:r>
        <w:rPr>
          <w:rFonts w:ascii="Arial" w:cs="Arial" w:eastAsia="Arial" w:hAnsi="Arial"/>
          <w:sz w:val="16"/>
          <w:szCs w:val="16"/>
          <w:color w:val="auto"/>
        </w:rPr>
        <w:t>ANNUAL REPORT PURSUANT TO SECTION 13 OR 15(d) OF THE SECURITIES EXCHANGE ACT OF 1934</w:t>
      </w:r>
    </w:p>
    <w:p>
      <w:pPr>
        <w:spacing w:after="0" w:line="32" w:lineRule="exact"/>
        <w:rPr>
          <w:sz w:val="24"/>
          <w:szCs w:val="24"/>
          <w:color w:val="auto"/>
        </w:rPr>
      </w:pPr>
    </w:p>
    <w:tbl>
      <w:tblPr>
        <w:tblLayout w:type="fixed"/>
        <w:tblInd w:w="1100" w:type="dxa"/>
        <w:tblCellMar>
          <w:top w:w="0" w:type="dxa"/>
          <w:left w:w="0" w:type="dxa"/>
          <w:bottom w:w="0" w:type="dxa"/>
          <w:right w:w="0" w:type="dxa"/>
        </w:tblCellMar>
      </w:tblPr>
      <w:tr>
        <w:trPr>
          <w:trHeight w:val="211"/>
        </w:trPr>
        <w:tc>
          <w:tcPr>
            <w:tcW w:w="400" w:type="dxa"/>
            <w:vAlign w:val="bottom"/>
          </w:tcPr>
          <w:p>
            <w:pPr>
              <w:spacing w:after="0"/>
              <w:rPr>
                <w:sz w:val="18"/>
                <w:szCs w:val="18"/>
                <w:color w:val="auto"/>
              </w:rPr>
            </w:pPr>
          </w:p>
        </w:tc>
        <w:tc>
          <w:tcPr>
            <w:tcW w:w="3000" w:type="dxa"/>
            <w:vAlign w:val="bottom"/>
          </w:tcPr>
          <w:p>
            <w:pPr>
              <w:ind w:left="180"/>
              <w:spacing w:after="0"/>
              <w:rPr>
                <w:sz w:val="20"/>
                <w:szCs w:val="20"/>
                <w:color w:val="auto"/>
              </w:rPr>
            </w:pPr>
            <w:r>
              <w:rPr>
                <w:rFonts w:ascii="Arial" w:cs="Arial" w:eastAsia="Arial" w:hAnsi="Arial"/>
                <w:sz w:val="16"/>
                <w:szCs w:val="16"/>
                <w:color w:val="auto"/>
              </w:rPr>
              <w:t>For the fiscal year ended</w:t>
            </w:r>
          </w:p>
        </w:tc>
        <w:tc>
          <w:tcPr>
            <w:tcW w:w="1980" w:type="dxa"/>
            <w:vAlign w:val="bottom"/>
          </w:tcPr>
          <w:p>
            <w:pPr>
              <w:spacing w:after="0"/>
              <w:rPr>
                <w:sz w:val="18"/>
                <w:szCs w:val="18"/>
                <w:color w:val="auto"/>
              </w:rPr>
            </w:pPr>
          </w:p>
        </w:tc>
        <w:tc>
          <w:tcPr>
            <w:tcW w:w="386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color w:val="auto"/>
              </w:rPr>
              <w:t>December 31, 2008</w:t>
            </w:r>
          </w:p>
        </w:tc>
      </w:tr>
      <w:tr>
        <w:trPr>
          <w:trHeight w:val="418"/>
        </w:trPr>
        <w:tc>
          <w:tcPr>
            <w:tcW w:w="40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5840" w:type="dxa"/>
            <w:vAlign w:val="bottom"/>
            <w:gridSpan w:val="3"/>
          </w:tcPr>
          <w:p>
            <w:pPr>
              <w:ind w:left="1360"/>
              <w:spacing w:after="0"/>
              <w:rPr>
                <w:sz w:val="20"/>
                <w:szCs w:val="20"/>
                <w:color w:val="auto"/>
              </w:rPr>
            </w:pPr>
            <w:r>
              <w:rPr>
                <w:rFonts w:ascii="Arial" w:cs="Arial" w:eastAsia="Arial" w:hAnsi="Arial"/>
                <w:sz w:val="16"/>
                <w:szCs w:val="16"/>
                <w:color w:val="auto"/>
              </w:rPr>
              <w:t>OR</w:t>
            </w:r>
          </w:p>
        </w:tc>
      </w:tr>
      <w:tr>
        <w:trPr>
          <w:trHeight w:val="432"/>
        </w:trPr>
        <w:tc>
          <w:tcPr>
            <w:tcW w:w="400" w:type="dxa"/>
            <w:vAlign w:val="bottom"/>
          </w:tcPr>
          <w:p>
            <w:pPr>
              <w:jc w:val="right"/>
              <w:ind w:right="100"/>
              <w:spacing w:after="0"/>
              <w:rPr>
                <w:sz w:val="20"/>
                <w:szCs w:val="20"/>
                <w:color w:val="auto"/>
              </w:rPr>
            </w:pPr>
            <w:r>
              <w:rPr>
                <w:rFonts w:ascii="Arial" w:cs="Arial" w:eastAsia="Arial" w:hAnsi="Arial"/>
                <w:sz w:val="16"/>
                <w:szCs w:val="16"/>
                <w:color w:val="auto"/>
              </w:rPr>
              <w:t>[  ]</w:t>
            </w:r>
          </w:p>
        </w:tc>
        <w:tc>
          <w:tcPr>
            <w:tcW w:w="8840" w:type="dxa"/>
            <w:vAlign w:val="bottom"/>
            <w:gridSpan w:val="4"/>
          </w:tcPr>
          <w:p>
            <w:pPr>
              <w:ind w:left="180"/>
              <w:spacing w:after="0"/>
              <w:rPr>
                <w:sz w:val="20"/>
                <w:szCs w:val="20"/>
                <w:color w:val="auto"/>
              </w:rPr>
            </w:pPr>
            <w:r>
              <w:rPr>
                <w:rFonts w:ascii="Arial" w:cs="Arial" w:eastAsia="Arial" w:hAnsi="Arial"/>
                <w:sz w:val="16"/>
                <w:szCs w:val="16"/>
                <w:color w:val="auto"/>
              </w:rPr>
              <w:t>TRANSITION REPORT PURSUANT TO SECTION 13 OR 15(d) OF THE SECURITIES EXCHANGE ACT OF 1934</w:t>
            </w:r>
          </w:p>
        </w:tc>
      </w:tr>
      <w:tr>
        <w:trPr>
          <w:trHeight w:val="222"/>
        </w:trPr>
        <w:tc>
          <w:tcPr>
            <w:tcW w:w="400" w:type="dxa"/>
            <w:vAlign w:val="bottom"/>
          </w:tcPr>
          <w:p>
            <w:pPr>
              <w:spacing w:after="0"/>
              <w:rPr>
                <w:sz w:val="19"/>
                <w:szCs w:val="19"/>
                <w:color w:val="auto"/>
              </w:rPr>
            </w:pPr>
          </w:p>
        </w:tc>
        <w:tc>
          <w:tcPr>
            <w:tcW w:w="3000" w:type="dxa"/>
            <w:vAlign w:val="bottom"/>
          </w:tcPr>
          <w:p>
            <w:pPr>
              <w:ind w:left="180"/>
              <w:spacing w:after="0"/>
              <w:rPr>
                <w:sz w:val="20"/>
                <w:szCs w:val="20"/>
                <w:color w:val="auto"/>
              </w:rPr>
            </w:pPr>
            <w:r>
              <w:rPr>
                <w:rFonts w:ascii="Arial" w:cs="Arial" w:eastAsia="Arial" w:hAnsi="Arial"/>
                <w:sz w:val="16"/>
                <w:szCs w:val="16"/>
                <w:color w:val="auto"/>
              </w:rPr>
              <w:t>For the transition period from</w:t>
            </w:r>
          </w:p>
        </w:tc>
        <w:tc>
          <w:tcPr>
            <w:tcW w:w="1980" w:type="dxa"/>
            <w:vAlign w:val="bottom"/>
            <w:tcBorders>
              <w:bottom w:val="single" w:sz="8" w:color="auto"/>
            </w:tcBorders>
          </w:tcPr>
          <w:p>
            <w:pPr>
              <w:spacing w:after="0"/>
              <w:rPr>
                <w:sz w:val="19"/>
                <w:szCs w:val="19"/>
                <w:color w:val="auto"/>
              </w:rPr>
            </w:pPr>
          </w:p>
        </w:tc>
        <w:tc>
          <w:tcPr>
            <w:tcW w:w="560" w:type="dxa"/>
            <w:vAlign w:val="bottom"/>
          </w:tcPr>
          <w:p>
            <w:pPr>
              <w:ind w:left="180"/>
              <w:spacing w:after="0"/>
              <w:rPr>
                <w:sz w:val="20"/>
                <w:szCs w:val="20"/>
                <w:color w:val="auto"/>
              </w:rPr>
            </w:pPr>
            <w:r>
              <w:rPr>
                <w:rFonts w:ascii="Arial" w:cs="Arial" w:eastAsia="Arial" w:hAnsi="Arial"/>
                <w:sz w:val="16"/>
                <w:szCs w:val="16"/>
                <w:color w:val="auto"/>
              </w:rPr>
              <w:t>to</w:t>
            </w:r>
          </w:p>
        </w:tc>
        <w:tc>
          <w:tcPr>
            <w:tcW w:w="3300" w:type="dxa"/>
            <w:vAlign w:val="bottom"/>
            <w:tcBorders>
              <w:bottom w:val="single" w:sz="8" w:color="auto"/>
            </w:tcBorders>
          </w:tcPr>
          <w:p>
            <w:pPr>
              <w:spacing w:after="0"/>
              <w:rPr>
                <w:sz w:val="19"/>
                <w:szCs w:val="19"/>
                <w:color w:val="auto"/>
              </w:rPr>
            </w:pPr>
          </w:p>
        </w:tc>
      </w:tr>
    </w:tbl>
    <w:p>
      <w:pPr>
        <w:spacing w:after="0" w:line="200" w:lineRule="exact"/>
        <w:rPr>
          <w:sz w:val="24"/>
          <w:szCs w:val="24"/>
          <w:color w:val="auto"/>
        </w:rPr>
      </w:pPr>
    </w:p>
    <w:p>
      <w:pPr>
        <w:spacing w:after="0" w:line="232" w:lineRule="exact"/>
        <w:rPr>
          <w:sz w:val="24"/>
          <w:szCs w:val="24"/>
          <w:color w:val="auto"/>
        </w:rPr>
      </w:pPr>
    </w:p>
    <w:tbl>
      <w:tblPr>
        <w:tblLayout w:type="fixed"/>
        <w:tblInd w:w="1080" w:type="dxa"/>
        <w:tblCellMar>
          <w:top w:w="0" w:type="dxa"/>
          <w:left w:w="0" w:type="dxa"/>
          <w:bottom w:w="0" w:type="dxa"/>
          <w:right w:w="0" w:type="dxa"/>
        </w:tblCellMar>
      </w:tblPr>
      <w:tr>
        <w:trPr>
          <w:trHeight w:val="192"/>
        </w:trPr>
        <w:tc>
          <w:tcPr>
            <w:tcW w:w="1260" w:type="dxa"/>
            <w:vAlign w:val="bottom"/>
          </w:tcPr>
          <w:p>
            <w:pPr>
              <w:ind w:left="80"/>
              <w:spacing w:after="0"/>
              <w:rPr>
                <w:sz w:val="20"/>
                <w:szCs w:val="20"/>
                <w:color w:val="auto"/>
              </w:rPr>
            </w:pPr>
            <w:r>
              <w:rPr>
                <w:rFonts w:ascii="Arial" w:cs="Arial" w:eastAsia="Arial" w:hAnsi="Arial"/>
                <w:sz w:val="16"/>
                <w:szCs w:val="16"/>
                <w:color w:val="auto"/>
                <w:w w:val="98"/>
              </w:rPr>
              <w:t>Commission File</w:t>
            </w:r>
          </w:p>
        </w:tc>
        <w:tc>
          <w:tcPr>
            <w:tcW w:w="4160" w:type="dxa"/>
            <w:vAlign w:val="bottom"/>
          </w:tcPr>
          <w:p>
            <w:pPr>
              <w:ind w:left="240"/>
              <w:spacing w:after="0"/>
              <w:rPr>
                <w:sz w:val="20"/>
                <w:szCs w:val="20"/>
                <w:color w:val="auto"/>
              </w:rPr>
            </w:pPr>
            <w:r>
              <w:rPr>
                <w:rFonts w:ascii="Arial" w:cs="Arial" w:eastAsia="Arial" w:hAnsi="Arial"/>
                <w:sz w:val="16"/>
                <w:szCs w:val="16"/>
                <w:color w:val="auto"/>
                <w:w w:val="96"/>
              </w:rPr>
              <w:t>Exact Name of Registrants as Specified in their Charters,</w:t>
            </w:r>
          </w:p>
        </w:tc>
        <w:tc>
          <w:tcPr>
            <w:tcW w:w="1580" w:type="dxa"/>
            <w:vAlign w:val="bottom"/>
          </w:tcPr>
          <w:p>
            <w:pPr>
              <w:jc w:val="center"/>
              <w:ind w:right="120"/>
              <w:spacing w:after="0"/>
              <w:rPr>
                <w:sz w:val="20"/>
                <w:szCs w:val="20"/>
                <w:color w:val="auto"/>
              </w:rPr>
            </w:pPr>
            <w:r>
              <w:rPr>
                <w:rFonts w:ascii="Arial" w:cs="Arial" w:eastAsia="Arial" w:hAnsi="Arial"/>
                <w:sz w:val="16"/>
                <w:szCs w:val="16"/>
                <w:color w:val="auto"/>
                <w:w w:val="85"/>
              </w:rPr>
              <w:t>States of</w:t>
            </w:r>
          </w:p>
        </w:tc>
        <w:tc>
          <w:tcPr>
            <w:tcW w:w="2260" w:type="dxa"/>
            <w:vAlign w:val="bottom"/>
          </w:tcPr>
          <w:p>
            <w:pPr>
              <w:jc w:val="center"/>
              <w:ind w:right="140"/>
              <w:spacing w:after="0"/>
              <w:rPr>
                <w:sz w:val="20"/>
                <w:szCs w:val="20"/>
                <w:color w:val="auto"/>
              </w:rPr>
            </w:pPr>
            <w:r>
              <w:rPr>
                <w:rFonts w:ascii="Arial" w:cs="Arial" w:eastAsia="Arial" w:hAnsi="Arial"/>
                <w:sz w:val="16"/>
                <w:szCs w:val="16"/>
                <w:color w:val="auto"/>
                <w:w w:val="92"/>
              </w:rPr>
              <w:t>I.R.S. Employer</w:t>
            </w:r>
          </w:p>
        </w:tc>
      </w:tr>
      <w:tr>
        <w:trPr>
          <w:trHeight w:val="211"/>
        </w:trPr>
        <w:tc>
          <w:tcPr>
            <w:tcW w:w="1260" w:type="dxa"/>
            <w:vAlign w:val="bottom"/>
            <w:tcBorders>
              <w:bottom w:val="single" w:sz="8" w:color="auto"/>
            </w:tcBorders>
          </w:tcPr>
          <w:p>
            <w:pPr>
              <w:ind w:left="520"/>
              <w:spacing w:after="0"/>
              <w:rPr>
                <w:sz w:val="20"/>
                <w:szCs w:val="20"/>
                <w:color w:val="auto"/>
              </w:rPr>
            </w:pPr>
            <w:r>
              <w:rPr>
                <w:rFonts w:ascii="Arial" w:cs="Arial" w:eastAsia="Arial" w:hAnsi="Arial"/>
                <w:sz w:val="16"/>
                <w:szCs w:val="16"/>
                <w:color w:val="auto"/>
              </w:rPr>
              <w:t>No.</w:t>
            </w:r>
          </w:p>
        </w:tc>
        <w:tc>
          <w:tcPr>
            <w:tcW w:w="4160" w:type="dxa"/>
            <w:vAlign w:val="bottom"/>
            <w:tcBorders>
              <w:bottom w:val="single" w:sz="8" w:color="auto"/>
            </w:tcBorders>
          </w:tcPr>
          <w:p>
            <w:pPr>
              <w:ind w:left="1040"/>
              <w:spacing w:after="0"/>
              <w:rPr>
                <w:sz w:val="20"/>
                <w:szCs w:val="20"/>
                <w:color w:val="auto"/>
              </w:rPr>
            </w:pPr>
            <w:r>
              <w:rPr>
                <w:rFonts w:ascii="Arial" w:cs="Arial" w:eastAsia="Arial" w:hAnsi="Arial"/>
                <w:sz w:val="16"/>
                <w:szCs w:val="16"/>
                <w:color w:val="auto"/>
              </w:rPr>
              <w:t>Address and Telephone Number</w:t>
            </w:r>
          </w:p>
        </w:tc>
        <w:tc>
          <w:tcPr>
            <w:tcW w:w="1580" w:type="dxa"/>
            <w:vAlign w:val="bottom"/>
            <w:tcBorders>
              <w:bottom w:val="single" w:sz="8" w:color="auto"/>
            </w:tcBorders>
          </w:tcPr>
          <w:p>
            <w:pPr>
              <w:jc w:val="center"/>
              <w:ind w:right="120"/>
              <w:spacing w:after="0"/>
              <w:rPr>
                <w:sz w:val="20"/>
                <w:szCs w:val="20"/>
                <w:color w:val="auto"/>
              </w:rPr>
            </w:pPr>
            <w:r>
              <w:rPr>
                <w:rFonts w:ascii="Arial" w:cs="Arial" w:eastAsia="Arial" w:hAnsi="Arial"/>
                <w:sz w:val="16"/>
                <w:szCs w:val="16"/>
                <w:color w:val="auto"/>
                <w:w w:val="92"/>
              </w:rPr>
              <w:t>Incorporation</w:t>
            </w:r>
          </w:p>
        </w:tc>
        <w:tc>
          <w:tcPr>
            <w:tcW w:w="2260" w:type="dxa"/>
            <w:vAlign w:val="bottom"/>
            <w:tcBorders>
              <w:bottom w:val="single" w:sz="8" w:color="auto"/>
            </w:tcBorders>
          </w:tcPr>
          <w:p>
            <w:pPr>
              <w:jc w:val="center"/>
              <w:ind w:right="100"/>
              <w:spacing w:after="0"/>
              <w:rPr>
                <w:sz w:val="20"/>
                <w:szCs w:val="20"/>
                <w:color w:val="auto"/>
              </w:rPr>
            </w:pPr>
            <w:r>
              <w:rPr>
                <w:rFonts w:ascii="Arial" w:cs="Arial" w:eastAsia="Arial" w:hAnsi="Arial"/>
                <w:sz w:val="16"/>
                <w:szCs w:val="16"/>
                <w:color w:val="auto"/>
                <w:w w:val="94"/>
              </w:rPr>
              <w:t>Identification Nos.</w:t>
            </w:r>
          </w:p>
        </w:tc>
      </w:tr>
      <w:tr>
        <w:trPr>
          <w:trHeight w:val="203"/>
        </w:trPr>
        <w:tc>
          <w:tcPr>
            <w:tcW w:w="1260" w:type="dxa"/>
            <w:vAlign w:val="bottom"/>
          </w:tcPr>
          <w:p>
            <w:pPr>
              <w:ind w:left="20"/>
              <w:spacing w:after="0"/>
              <w:rPr>
                <w:sz w:val="20"/>
                <w:szCs w:val="20"/>
                <w:color w:val="auto"/>
              </w:rPr>
            </w:pPr>
            <w:r>
              <w:rPr>
                <w:rFonts w:ascii="Arial" w:cs="Arial" w:eastAsia="Arial" w:hAnsi="Arial"/>
                <w:sz w:val="16"/>
                <w:szCs w:val="16"/>
                <w:color w:val="auto"/>
              </w:rPr>
              <w:t>1-14201</w:t>
            </w:r>
          </w:p>
        </w:tc>
        <w:tc>
          <w:tcPr>
            <w:tcW w:w="4160" w:type="dxa"/>
            <w:vAlign w:val="bottom"/>
          </w:tcPr>
          <w:p>
            <w:pPr>
              <w:ind w:left="80"/>
              <w:spacing w:after="0"/>
              <w:rPr>
                <w:sz w:val="20"/>
                <w:szCs w:val="20"/>
                <w:color w:val="auto"/>
              </w:rPr>
            </w:pPr>
            <w:r>
              <w:rPr>
                <w:rFonts w:ascii="Arial" w:cs="Arial" w:eastAsia="Arial" w:hAnsi="Arial"/>
                <w:sz w:val="16"/>
                <w:szCs w:val="16"/>
                <w:color w:val="auto"/>
              </w:rPr>
              <w:t>SEMPRA ENERGY</w:t>
            </w:r>
          </w:p>
        </w:tc>
        <w:tc>
          <w:tcPr>
            <w:tcW w:w="1580" w:type="dxa"/>
            <w:vAlign w:val="bottom"/>
          </w:tcPr>
          <w:p>
            <w:pPr>
              <w:jc w:val="center"/>
              <w:ind w:right="120"/>
              <w:spacing w:after="0"/>
              <w:rPr>
                <w:sz w:val="20"/>
                <w:szCs w:val="20"/>
                <w:color w:val="auto"/>
              </w:rPr>
            </w:pPr>
            <w:r>
              <w:rPr>
                <w:rFonts w:ascii="Arial" w:cs="Arial" w:eastAsia="Arial" w:hAnsi="Arial"/>
                <w:sz w:val="16"/>
                <w:szCs w:val="16"/>
                <w:color w:val="auto"/>
                <w:w w:val="97"/>
              </w:rPr>
              <w:t>California</w:t>
            </w:r>
          </w:p>
        </w:tc>
        <w:tc>
          <w:tcPr>
            <w:tcW w:w="2260" w:type="dxa"/>
            <w:vAlign w:val="bottom"/>
          </w:tcPr>
          <w:p>
            <w:pPr>
              <w:jc w:val="center"/>
              <w:ind w:right="100"/>
              <w:spacing w:after="0"/>
              <w:rPr>
                <w:sz w:val="20"/>
                <w:szCs w:val="20"/>
                <w:color w:val="auto"/>
              </w:rPr>
            </w:pPr>
            <w:r>
              <w:rPr>
                <w:rFonts w:ascii="Arial" w:cs="Arial" w:eastAsia="Arial" w:hAnsi="Arial"/>
                <w:sz w:val="16"/>
                <w:szCs w:val="16"/>
                <w:color w:val="auto"/>
                <w:w w:val="88"/>
              </w:rPr>
              <w:t>33-0732627</w:t>
            </w:r>
          </w:p>
        </w:tc>
      </w:tr>
      <w:tr>
        <w:trPr>
          <w:trHeight w:val="216"/>
        </w:trPr>
        <w:tc>
          <w:tcPr>
            <w:tcW w:w="1260" w:type="dxa"/>
            <w:vAlign w:val="bottom"/>
          </w:tcPr>
          <w:p>
            <w:pPr>
              <w:spacing w:after="0"/>
              <w:rPr>
                <w:sz w:val="18"/>
                <w:szCs w:val="18"/>
                <w:color w:val="auto"/>
              </w:rPr>
            </w:pPr>
          </w:p>
        </w:tc>
        <w:tc>
          <w:tcPr>
            <w:tcW w:w="4160" w:type="dxa"/>
            <w:vAlign w:val="bottom"/>
          </w:tcPr>
          <w:p>
            <w:pPr>
              <w:ind w:left="80"/>
              <w:spacing w:after="0"/>
              <w:rPr>
                <w:sz w:val="20"/>
                <w:szCs w:val="20"/>
                <w:color w:val="auto"/>
              </w:rPr>
            </w:pPr>
            <w:r>
              <w:rPr>
                <w:rFonts w:ascii="Arial" w:cs="Arial" w:eastAsia="Arial" w:hAnsi="Arial"/>
                <w:sz w:val="16"/>
                <w:szCs w:val="16"/>
                <w:color w:val="auto"/>
              </w:rPr>
              <w:t>101 Ash Street</w:t>
            </w:r>
          </w:p>
        </w:tc>
        <w:tc>
          <w:tcPr>
            <w:tcW w:w="1580" w:type="dxa"/>
            <w:vAlign w:val="bottom"/>
          </w:tcPr>
          <w:p>
            <w:pPr>
              <w:spacing w:after="0"/>
              <w:rPr>
                <w:sz w:val="18"/>
                <w:szCs w:val="18"/>
                <w:color w:val="auto"/>
              </w:rPr>
            </w:pPr>
          </w:p>
        </w:tc>
        <w:tc>
          <w:tcPr>
            <w:tcW w:w="2260" w:type="dxa"/>
            <w:vAlign w:val="bottom"/>
          </w:tcPr>
          <w:p>
            <w:pPr>
              <w:spacing w:after="0"/>
              <w:rPr>
                <w:sz w:val="18"/>
                <w:szCs w:val="18"/>
                <w:color w:val="auto"/>
              </w:rPr>
            </w:pPr>
          </w:p>
        </w:tc>
      </w:tr>
      <w:tr>
        <w:trPr>
          <w:trHeight w:val="216"/>
        </w:trPr>
        <w:tc>
          <w:tcPr>
            <w:tcW w:w="1260" w:type="dxa"/>
            <w:vAlign w:val="bottom"/>
          </w:tcPr>
          <w:p>
            <w:pPr>
              <w:spacing w:after="0"/>
              <w:rPr>
                <w:sz w:val="18"/>
                <w:szCs w:val="18"/>
                <w:color w:val="auto"/>
              </w:rPr>
            </w:pPr>
          </w:p>
        </w:tc>
        <w:tc>
          <w:tcPr>
            <w:tcW w:w="4160" w:type="dxa"/>
            <w:vAlign w:val="bottom"/>
          </w:tcPr>
          <w:p>
            <w:pPr>
              <w:ind w:left="80"/>
              <w:spacing w:after="0"/>
              <w:rPr>
                <w:sz w:val="20"/>
                <w:szCs w:val="20"/>
                <w:color w:val="auto"/>
              </w:rPr>
            </w:pPr>
            <w:r>
              <w:rPr>
                <w:rFonts w:ascii="Arial" w:cs="Arial" w:eastAsia="Arial" w:hAnsi="Arial"/>
                <w:sz w:val="16"/>
                <w:szCs w:val="16"/>
                <w:color w:val="auto"/>
              </w:rPr>
              <w:t>San Diego, California 92101</w:t>
            </w:r>
          </w:p>
        </w:tc>
        <w:tc>
          <w:tcPr>
            <w:tcW w:w="1580" w:type="dxa"/>
            <w:vAlign w:val="bottom"/>
          </w:tcPr>
          <w:p>
            <w:pPr>
              <w:spacing w:after="0"/>
              <w:rPr>
                <w:sz w:val="18"/>
                <w:szCs w:val="18"/>
                <w:color w:val="auto"/>
              </w:rPr>
            </w:pPr>
          </w:p>
        </w:tc>
        <w:tc>
          <w:tcPr>
            <w:tcW w:w="2260" w:type="dxa"/>
            <w:vAlign w:val="bottom"/>
          </w:tcPr>
          <w:p>
            <w:pPr>
              <w:spacing w:after="0"/>
              <w:rPr>
                <w:sz w:val="18"/>
                <w:szCs w:val="18"/>
                <w:color w:val="auto"/>
              </w:rPr>
            </w:pPr>
          </w:p>
        </w:tc>
      </w:tr>
      <w:tr>
        <w:trPr>
          <w:trHeight w:val="216"/>
        </w:trPr>
        <w:tc>
          <w:tcPr>
            <w:tcW w:w="1260" w:type="dxa"/>
            <w:vAlign w:val="bottom"/>
          </w:tcPr>
          <w:p>
            <w:pPr>
              <w:spacing w:after="0"/>
              <w:rPr>
                <w:sz w:val="18"/>
                <w:szCs w:val="18"/>
                <w:color w:val="auto"/>
              </w:rPr>
            </w:pPr>
          </w:p>
        </w:tc>
        <w:tc>
          <w:tcPr>
            <w:tcW w:w="4160" w:type="dxa"/>
            <w:vAlign w:val="bottom"/>
          </w:tcPr>
          <w:p>
            <w:pPr>
              <w:ind w:left="80"/>
              <w:spacing w:after="0"/>
              <w:rPr>
                <w:sz w:val="20"/>
                <w:szCs w:val="20"/>
                <w:color w:val="auto"/>
              </w:rPr>
            </w:pPr>
            <w:r>
              <w:rPr>
                <w:rFonts w:ascii="Arial" w:cs="Arial" w:eastAsia="Arial" w:hAnsi="Arial"/>
                <w:sz w:val="16"/>
                <w:szCs w:val="16"/>
                <w:color w:val="auto"/>
              </w:rPr>
              <w:t>(619)696-2034</w:t>
            </w:r>
          </w:p>
        </w:tc>
        <w:tc>
          <w:tcPr>
            <w:tcW w:w="1580" w:type="dxa"/>
            <w:vAlign w:val="bottom"/>
          </w:tcPr>
          <w:p>
            <w:pPr>
              <w:spacing w:after="0"/>
              <w:rPr>
                <w:sz w:val="18"/>
                <w:szCs w:val="18"/>
                <w:color w:val="auto"/>
              </w:rPr>
            </w:pPr>
          </w:p>
        </w:tc>
        <w:tc>
          <w:tcPr>
            <w:tcW w:w="2260" w:type="dxa"/>
            <w:vAlign w:val="bottom"/>
          </w:tcPr>
          <w:p>
            <w:pPr>
              <w:spacing w:after="0"/>
              <w:rPr>
                <w:sz w:val="18"/>
                <w:szCs w:val="18"/>
                <w:color w:val="auto"/>
              </w:rPr>
            </w:pPr>
          </w:p>
        </w:tc>
      </w:tr>
      <w:tr>
        <w:trPr>
          <w:trHeight w:val="432"/>
        </w:trPr>
        <w:tc>
          <w:tcPr>
            <w:tcW w:w="1260" w:type="dxa"/>
            <w:vAlign w:val="bottom"/>
          </w:tcPr>
          <w:p>
            <w:pPr>
              <w:ind w:left="20"/>
              <w:spacing w:after="0"/>
              <w:rPr>
                <w:sz w:val="20"/>
                <w:szCs w:val="20"/>
                <w:color w:val="auto"/>
              </w:rPr>
            </w:pPr>
            <w:r>
              <w:rPr>
                <w:rFonts w:ascii="Arial" w:cs="Arial" w:eastAsia="Arial" w:hAnsi="Arial"/>
                <w:sz w:val="16"/>
                <w:szCs w:val="16"/>
                <w:color w:val="auto"/>
              </w:rPr>
              <w:t>1-3779</w:t>
            </w:r>
          </w:p>
        </w:tc>
        <w:tc>
          <w:tcPr>
            <w:tcW w:w="4160" w:type="dxa"/>
            <w:vAlign w:val="bottom"/>
          </w:tcPr>
          <w:p>
            <w:pPr>
              <w:ind w:left="80"/>
              <w:spacing w:after="0"/>
              <w:rPr>
                <w:sz w:val="20"/>
                <w:szCs w:val="20"/>
                <w:color w:val="auto"/>
              </w:rPr>
            </w:pPr>
            <w:r>
              <w:rPr>
                <w:rFonts w:ascii="Arial" w:cs="Arial" w:eastAsia="Arial" w:hAnsi="Arial"/>
                <w:sz w:val="16"/>
                <w:szCs w:val="16"/>
                <w:color w:val="auto"/>
              </w:rPr>
              <w:t>SAN DIEGO GAS &amp; ELECTRIC COMPANY</w:t>
            </w:r>
          </w:p>
        </w:tc>
        <w:tc>
          <w:tcPr>
            <w:tcW w:w="1580" w:type="dxa"/>
            <w:vAlign w:val="bottom"/>
          </w:tcPr>
          <w:p>
            <w:pPr>
              <w:jc w:val="center"/>
              <w:ind w:right="120"/>
              <w:spacing w:after="0"/>
              <w:rPr>
                <w:sz w:val="20"/>
                <w:szCs w:val="20"/>
                <w:color w:val="auto"/>
              </w:rPr>
            </w:pPr>
            <w:r>
              <w:rPr>
                <w:rFonts w:ascii="Arial" w:cs="Arial" w:eastAsia="Arial" w:hAnsi="Arial"/>
                <w:sz w:val="16"/>
                <w:szCs w:val="16"/>
                <w:color w:val="auto"/>
                <w:w w:val="97"/>
              </w:rPr>
              <w:t>California</w:t>
            </w:r>
          </w:p>
        </w:tc>
        <w:tc>
          <w:tcPr>
            <w:tcW w:w="2260" w:type="dxa"/>
            <w:vAlign w:val="bottom"/>
          </w:tcPr>
          <w:p>
            <w:pPr>
              <w:jc w:val="center"/>
              <w:ind w:right="100"/>
              <w:spacing w:after="0"/>
              <w:rPr>
                <w:sz w:val="20"/>
                <w:szCs w:val="20"/>
                <w:color w:val="auto"/>
              </w:rPr>
            </w:pPr>
            <w:r>
              <w:rPr>
                <w:rFonts w:ascii="Arial" w:cs="Arial" w:eastAsia="Arial" w:hAnsi="Arial"/>
                <w:sz w:val="16"/>
                <w:szCs w:val="16"/>
                <w:color w:val="auto"/>
                <w:w w:val="88"/>
              </w:rPr>
              <w:t>95-1184800</w:t>
            </w:r>
          </w:p>
        </w:tc>
      </w:tr>
      <w:tr>
        <w:trPr>
          <w:trHeight w:val="216"/>
        </w:trPr>
        <w:tc>
          <w:tcPr>
            <w:tcW w:w="1260" w:type="dxa"/>
            <w:vAlign w:val="bottom"/>
          </w:tcPr>
          <w:p>
            <w:pPr>
              <w:spacing w:after="0"/>
              <w:rPr>
                <w:sz w:val="18"/>
                <w:szCs w:val="18"/>
                <w:color w:val="auto"/>
              </w:rPr>
            </w:pPr>
          </w:p>
        </w:tc>
        <w:tc>
          <w:tcPr>
            <w:tcW w:w="4160" w:type="dxa"/>
            <w:vAlign w:val="bottom"/>
          </w:tcPr>
          <w:p>
            <w:pPr>
              <w:ind w:left="80"/>
              <w:spacing w:after="0"/>
              <w:rPr>
                <w:sz w:val="20"/>
                <w:szCs w:val="20"/>
                <w:color w:val="auto"/>
              </w:rPr>
            </w:pPr>
            <w:r>
              <w:rPr>
                <w:rFonts w:ascii="Arial" w:cs="Arial" w:eastAsia="Arial" w:hAnsi="Arial"/>
                <w:sz w:val="16"/>
                <w:szCs w:val="16"/>
                <w:color w:val="auto"/>
              </w:rPr>
              <w:t>8326 Century Park Court</w:t>
            </w:r>
          </w:p>
        </w:tc>
        <w:tc>
          <w:tcPr>
            <w:tcW w:w="1580" w:type="dxa"/>
            <w:vAlign w:val="bottom"/>
          </w:tcPr>
          <w:p>
            <w:pPr>
              <w:spacing w:after="0"/>
              <w:rPr>
                <w:sz w:val="18"/>
                <w:szCs w:val="18"/>
                <w:color w:val="auto"/>
              </w:rPr>
            </w:pPr>
          </w:p>
        </w:tc>
        <w:tc>
          <w:tcPr>
            <w:tcW w:w="2260" w:type="dxa"/>
            <w:vAlign w:val="bottom"/>
          </w:tcPr>
          <w:p>
            <w:pPr>
              <w:spacing w:after="0"/>
              <w:rPr>
                <w:sz w:val="18"/>
                <w:szCs w:val="18"/>
                <w:color w:val="auto"/>
              </w:rPr>
            </w:pPr>
          </w:p>
        </w:tc>
      </w:tr>
      <w:tr>
        <w:trPr>
          <w:trHeight w:val="216"/>
        </w:trPr>
        <w:tc>
          <w:tcPr>
            <w:tcW w:w="1260" w:type="dxa"/>
            <w:vAlign w:val="bottom"/>
          </w:tcPr>
          <w:p>
            <w:pPr>
              <w:spacing w:after="0"/>
              <w:rPr>
                <w:sz w:val="18"/>
                <w:szCs w:val="18"/>
                <w:color w:val="auto"/>
              </w:rPr>
            </w:pPr>
          </w:p>
        </w:tc>
        <w:tc>
          <w:tcPr>
            <w:tcW w:w="4160" w:type="dxa"/>
            <w:vAlign w:val="bottom"/>
          </w:tcPr>
          <w:p>
            <w:pPr>
              <w:ind w:left="80"/>
              <w:spacing w:after="0"/>
              <w:rPr>
                <w:sz w:val="20"/>
                <w:szCs w:val="20"/>
                <w:color w:val="auto"/>
              </w:rPr>
            </w:pPr>
            <w:r>
              <w:rPr>
                <w:rFonts w:ascii="Arial" w:cs="Arial" w:eastAsia="Arial" w:hAnsi="Arial"/>
                <w:sz w:val="16"/>
                <w:szCs w:val="16"/>
                <w:color w:val="auto"/>
              </w:rPr>
              <w:t>San Diego, California 92123</w:t>
            </w:r>
          </w:p>
        </w:tc>
        <w:tc>
          <w:tcPr>
            <w:tcW w:w="1580" w:type="dxa"/>
            <w:vAlign w:val="bottom"/>
          </w:tcPr>
          <w:p>
            <w:pPr>
              <w:spacing w:after="0"/>
              <w:rPr>
                <w:sz w:val="18"/>
                <w:szCs w:val="18"/>
                <w:color w:val="auto"/>
              </w:rPr>
            </w:pPr>
          </w:p>
        </w:tc>
        <w:tc>
          <w:tcPr>
            <w:tcW w:w="2260" w:type="dxa"/>
            <w:vAlign w:val="bottom"/>
          </w:tcPr>
          <w:p>
            <w:pPr>
              <w:spacing w:after="0"/>
              <w:rPr>
                <w:sz w:val="18"/>
                <w:szCs w:val="18"/>
                <w:color w:val="auto"/>
              </w:rPr>
            </w:pPr>
          </w:p>
        </w:tc>
      </w:tr>
      <w:tr>
        <w:trPr>
          <w:trHeight w:val="216"/>
        </w:trPr>
        <w:tc>
          <w:tcPr>
            <w:tcW w:w="1260" w:type="dxa"/>
            <w:vAlign w:val="bottom"/>
          </w:tcPr>
          <w:p>
            <w:pPr>
              <w:spacing w:after="0"/>
              <w:rPr>
                <w:sz w:val="18"/>
                <w:szCs w:val="18"/>
                <w:color w:val="auto"/>
              </w:rPr>
            </w:pPr>
          </w:p>
        </w:tc>
        <w:tc>
          <w:tcPr>
            <w:tcW w:w="4160" w:type="dxa"/>
            <w:vAlign w:val="bottom"/>
          </w:tcPr>
          <w:p>
            <w:pPr>
              <w:ind w:left="80"/>
              <w:spacing w:after="0"/>
              <w:rPr>
                <w:sz w:val="20"/>
                <w:szCs w:val="20"/>
                <w:color w:val="auto"/>
              </w:rPr>
            </w:pPr>
            <w:r>
              <w:rPr>
                <w:rFonts w:ascii="Arial" w:cs="Arial" w:eastAsia="Arial" w:hAnsi="Arial"/>
                <w:sz w:val="16"/>
                <w:szCs w:val="16"/>
                <w:color w:val="auto"/>
              </w:rPr>
              <w:t>(619)696-2000</w:t>
            </w:r>
          </w:p>
        </w:tc>
        <w:tc>
          <w:tcPr>
            <w:tcW w:w="1580" w:type="dxa"/>
            <w:vAlign w:val="bottom"/>
          </w:tcPr>
          <w:p>
            <w:pPr>
              <w:spacing w:after="0"/>
              <w:rPr>
                <w:sz w:val="18"/>
                <w:szCs w:val="18"/>
                <w:color w:val="auto"/>
              </w:rPr>
            </w:pPr>
          </w:p>
        </w:tc>
        <w:tc>
          <w:tcPr>
            <w:tcW w:w="2260" w:type="dxa"/>
            <w:vAlign w:val="bottom"/>
          </w:tcPr>
          <w:p>
            <w:pPr>
              <w:spacing w:after="0"/>
              <w:rPr>
                <w:sz w:val="18"/>
                <w:szCs w:val="18"/>
                <w:color w:val="auto"/>
              </w:rPr>
            </w:pPr>
          </w:p>
        </w:tc>
      </w:tr>
      <w:tr>
        <w:trPr>
          <w:trHeight w:val="432"/>
        </w:trPr>
        <w:tc>
          <w:tcPr>
            <w:tcW w:w="1260" w:type="dxa"/>
            <w:vAlign w:val="bottom"/>
          </w:tcPr>
          <w:p>
            <w:pPr>
              <w:ind w:left="20"/>
              <w:spacing w:after="0"/>
              <w:rPr>
                <w:sz w:val="20"/>
                <w:szCs w:val="20"/>
                <w:color w:val="auto"/>
              </w:rPr>
            </w:pPr>
            <w:r>
              <w:rPr>
                <w:rFonts w:ascii="Arial" w:cs="Arial" w:eastAsia="Arial" w:hAnsi="Arial"/>
                <w:sz w:val="16"/>
                <w:szCs w:val="16"/>
                <w:color w:val="auto"/>
              </w:rPr>
              <w:t>1-40</w:t>
            </w:r>
          </w:p>
        </w:tc>
        <w:tc>
          <w:tcPr>
            <w:tcW w:w="4160" w:type="dxa"/>
            <w:vAlign w:val="bottom"/>
          </w:tcPr>
          <w:p>
            <w:pPr>
              <w:ind w:left="80"/>
              <w:spacing w:after="0"/>
              <w:rPr>
                <w:sz w:val="20"/>
                <w:szCs w:val="20"/>
                <w:color w:val="auto"/>
              </w:rPr>
            </w:pPr>
            <w:r>
              <w:rPr>
                <w:rFonts w:ascii="Arial" w:cs="Arial" w:eastAsia="Arial" w:hAnsi="Arial"/>
                <w:sz w:val="16"/>
                <w:szCs w:val="16"/>
                <w:color w:val="auto"/>
              </w:rPr>
              <w:t>PACIFIC ENTERPRISES</w:t>
            </w:r>
          </w:p>
        </w:tc>
        <w:tc>
          <w:tcPr>
            <w:tcW w:w="1580" w:type="dxa"/>
            <w:vAlign w:val="bottom"/>
          </w:tcPr>
          <w:p>
            <w:pPr>
              <w:jc w:val="center"/>
              <w:ind w:right="120"/>
              <w:spacing w:after="0"/>
              <w:rPr>
                <w:sz w:val="20"/>
                <w:szCs w:val="20"/>
                <w:color w:val="auto"/>
              </w:rPr>
            </w:pPr>
            <w:r>
              <w:rPr>
                <w:rFonts w:ascii="Arial" w:cs="Arial" w:eastAsia="Arial" w:hAnsi="Arial"/>
                <w:sz w:val="16"/>
                <w:szCs w:val="16"/>
                <w:color w:val="auto"/>
                <w:w w:val="97"/>
              </w:rPr>
              <w:t>California</w:t>
            </w:r>
          </w:p>
        </w:tc>
        <w:tc>
          <w:tcPr>
            <w:tcW w:w="2260" w:type="dxa"/>
            <w:vAlign w:val="bottom"/>
          </w:tcPr>
          <w:p>
            <w:pPr>
              <w:jc w:val="center"/>
              <w:ind w:right="100"/>
              <w:spacing w:after="0"/>
              <w:rPr>
                <w:sz w:val="20"/>
                <w:szCs w:val="20"/>
                <w:color w:val="auto"/>
              </w:rPr>
            </w:pPr>
            <w:r>
              <w:rPr>
                <w:rFonts w:ascii="Arial" w:cs="Arial" w:eastAsia="Arial" w:hAnsi="Arial"/>
                <w:sz w:val="16"/>
                <w:szCs w:val="16"/>
                <w:color w:val="auto"/>
                <w:w w:val="88"/>
              </w:rPr>
              <w:t>94-0743670</w:t>
            </w:r>
          </w:p>
        </w:tc>
      </w:tr>
      <w:tr>
        <w:trPr>
          <w:trHeight w:val="216"/>
        </w:trPr>
        <w:tc>
          <w:tcPr>
            <w:tcW w:w="1260" w:type="dxa"/>
            <w:vAlign w:val="bottom"/>
          </w:tcPr>
          <w:p>
            <w:pPr>
              <w:spacing w:after="0"/>
              <w:rPr>
                <w:sz w:val="18"/>
                <w:szCs w:val="18"/>
                <w:color w:val="auto"/>
              </w:rPr>
            </w:pPr>
          </w:p>
        </w:tc>
        <w:tc>
          <w:tcPr>
            <w:tcW w:w="4160" w:type="dxa"/>
            <w:vAlign w:val="bottom"/>
          </w:tcPr>
          <w:p>
            <w:pPr>
              <w:ind w:left="80"/>
              <w:spacing w:after="0"/>
              <w:rPr>
                <w:sz w:val="20"/>
                <w:szCs w:val="20"/>
                <w:color w:val="auto"/>
              </w:rPr>
            </w:pPr>
            <w:r>
              <w:rPr>
                <w:rFonts w:ascii="Arial" w:cs="Arial" w:eastAsia="Arial" w:hAnsi="Arial"/>
                <w:sz w:val="16"/>
                <w:szCs w:val="16"/>
                <w:color w:val="auto"/>
              </w:rPr>
              <w:t>101 Ash Street</w:t>
            </w:r>
          </w:p>
        </w:tc>
        <w:tc>
          <w:tcPr>
            <w:tcW w:w="1580" w:type="dxa"/>
            <w:vAlign w:val="bottom"/>
          </w:tcPr>
          <w:p>
            <w:pPr>
              <w:spacing w:after="0"/>
              <w:rPr>
                <w:sz w:val="18"/>
                <w:szCs w:val="18"/>
                <w:color w:val="auto"/>
              </w:rPr>
            </w:pPr>
          </w:p>
        </w:tc>
        <w:tc>
          <w:tcPr>
            <w:tcW w:w="2260" w:type="dxa"/>
            <w:vAlign w:val="bottom"/>
          </w:tcPr>
          <w:p>
            <w:pPr>
              <w:spacing w:after="0"/>
              <w:rPr>
                <w:sz w:val="18"/>
                <w:szCs w:val="18"/>
                <w:color w:val="auto"/>
              </w:rPr>
            </w:pPr>
          </w:p>
        </w:tc>
      </w:tr>
      <w:tr>
        <w:trPr>
          <w:trHeight w:val="216"/>
        </w:trPr>
        <w:tc>
          <w:tcPr>
            <w:tcW w:w="1260" w:type="dxa"/>
            <w:vAlign w:val="bottom"/>
          </w:tcPr>
          <w:p>
            <w:pPr>
              <w:spacing w:after="0"/>
              <w:rPr>
                <w:sz w:val="18"/>
                <w:szCs w:val="18"/>
                <w:color w:val="auto"/>
              </w:rPr>
            </w:pPr>
          </w:p>
        </w:tc>
        <w:tc>
          <w:tcPr>
            <w:tcW w:w="4160" w:type="dxa"/>
            <w:vAlign w:val="bottom"/>
          </w:tcPr>
          <w:p>
            <w:pPr>
              <w:ind w:left="80"/>
              <w:spacing w:after="0"/>
              <w:rPr>
                <w:sz w:val="20"/>
                <w:szCs w:val="20"/>
                <w:color w:val="auto"/>
              </w:rPr>
            </w:pPr>
            <w:r>
              <w:rPr>
                <w:rFonts w:ascii="Arial" w:cs="Arial" w:eastAsia="Arial" w:hAnsi="Arial"/>
                <w:sz w:val="16"/>
                <w:szCs w:val="16"/>
                <w:color w:val="auto"/>
              </w:rPr>
              <w:t>San Diego, California 92101</w:t>
            </w:r>
          </w:p>
        </w:tc>
        <w:tc>
          <w:tcPr>
            <w:tcW w:w="1580" w:type="dxa"/>
            <w:vAlign w:val="bottom"/>
          </w:tcPr>
          <w:p>
            <w:pPr>
              <w:spacing w:after="0"/>
              <w:rPr>
                <w:sz w:val="18"/>
                <w:szCs w:val="18"/>
                <w:color w:val="auto"/>
              </w:rPr>
            </w:pPr>
          </w:p>
        </w:tc>
        <w:tc>
          <w:tcPr>
            <w:tcW w:w="2260" w:type="dxa"/>
            <w:vAlign w:val="bottom"/>
          </w:tcPr>
          <w:p>
            <w:pPr>
              <w:spacing w:after="0"/>
              <w:rPr>
                <w:sz w:val="18"/>
                <w:szCs w:val="18"/>
                <w:color w:val="auto"/>
              </w:rPr>
            </w:pPr>
          </w:p>
        </w:tc>
      </w:tr>
      <w:tr>
        <w:trPr>
          <w:trHeight w:val="216"/>
        </w:trPr>
        <w:tc>
          <w:tcPr>
            <w:tcW w:w="1260" w:type="dxa"/>
            <w:vAlign w:val="bottom"/>
          </w:tcPr>
          <w:p>
            <w:pPr>
              <w:spacing w:after="0"/>
              <w:rPr>
                <w:sz w:val="18"/>
                <w:szCs w:val="18"/>
                <w:color w:val="auto"/>
              </w:rPr>
            </w:pPr>
          </w:p>
        </w:tc>
        <w:tc>
          <w:tcPr>
            <w:tcW w:w="4160" w:type="dxa"/>
            <w:vAlign w:val="bottom"/>
          </w:tcPr>
          <w:p>
            <w:pPr>
              <w:ind w:left="80"/>
              <w:spacing w:after="0"/>
              <w:rPr>
                <w:sz w:val="20"/>
                <w:szCs w:val="20"/>
                <w:color w:val="auto"/>
              </w:rPr>
            </w:pPr>
            <w:r>
              <w:rPr>
                <w:rFonts w:ascii="Arial" w:cs="Arial" w:eastAsia="Arial" w:hAnsi="Arial"/>
                <w:sz w:val="16"/>
                <w:szCs w:val="16"/>
                <w:color w:val="auto"/>
              </w:rPr>
              <w:t>(619)696-2020</w:t>
            </w:r>
          </w:p>
        </w:tc>
        <w:tc>
          <w:tcPr>
            <w:tcW w:w="1580" w:type="dxa"/>
            <w:vAlign w:val="bottom"/>
          </w:tcPr>
          <w:p>
            <w:pPr>
              <w:spacing w:after="0"/>
              <w:rPr>
                <w:sz w:val="18"/>
                <w:szCs w:val="18"/>
                <w:color w:val="auto"/>
              </w:rPr>
            </w:pPr>
          </w:p>
        </w:tc>
        <w:tc>
          <w:tcPr>
            <w:tcW w:w="2260" w:type="dxa"/>
            <w:vAlign w:val="bottom"/>
          </w:tcPr>
          <w:p>
            <w:pPr>
              <w:spacing w:after="0"/>
              <w:rPr>
                <w:sz w:val="18"/>
                <w:szCs w:val="18"/>
                <w:color w:val="auto"/>
              </w:rPr>
            </w:pPr>
          </w:p>
        </w:tc>
      </w:tr>
      <w:tr>
        <w:trPr>
          <w:trHeight w:val="432"/>
        </w:trPr>
        <w:tc>
          <w:tcPr>
            <w:tcW w:w="1260" w:type="dxa"/>
            <w:vAlign w:val="bottom"/>
          </w:tcPr>
          <w:p>
            <w:pPr>
              <w:ind w:left="20"/>
              <w:spacing w:after="0"/>
              <w:rPr>
                <w:sz w:val="20"/>
                <w:szCs w:val="20"/>
                <w:color w:val="auto"/>
              </w:rPr>
            </w:pPr>
            <w:r>
              <w:rPr>
                <w:rFonts w:ascii="Arial" w:cs="Arial" w:eastAsia="Arial" w:hAnsi="Arial"/>
                <w:sz w:val="16"/>
                <w:szCs w:val="16"/>
                <w:color w:val="auto"/>
              </w:rPr>
              <w:t>1-1402</w:t>
            </w:r>
          </w:p>
        </w:tc>
        <w:tc>
          <w:tcPr>
            <w:tcW w:w="4160" w:type="dxa"/>
            <w:vAlign w:val="bottom"/>
          </w:tcPr>
          <w:p>
            <w:pPr>
              <w:ind w:left="80"/>
              <w:spacing w:after="0"/>
              <w:rPr>
                <w:sz w:val="20"/>
                <w:szCs w:val="20"/>
                <w:color w:val="auto"/>
              </w:rPr>
            </w:pPr>
            <w:r>
              <w:rPr>
                <w:rFonts w:ascii="Arial" w:cs="Arial" w:eastAsia="Arial" w:hAnsi="Arial"/>
                <w:sz w:val="16"/>
                <w:szCs w:val="16"/>
                <w:color w:val="auto"/>
              </w:rPr>
              <w:t>SOUTHERN CALIFORNIA GAS COMPANY</w:t>
            </w:r>
          </w:p>
        </w:tc>
        <w:tc>
          <w:tcPr>
            <w:tcW w:w="1580" w:type="dxa"/>
            <w:vAlign w:val="bottom"/>
          </w:tcPr>
          <w:p>
            <w:pPr>
              <w:jc w:val="center"/>
              <w:ind w:right="120"/>
              <w:spacing w:after="0"/>
              <w:rPr>
                <w:sz w:val="20"/>
                <w:szCs w:val="20"/>
                <w:color w:val="auto"/>
              </w:rPr>
            </w:pPr>
            <w:r>
              <w:rPr>
                <w:rFonts w:ascii="Arial" w:cs="Arial" w:eastAsia="Arial" w:hAnsi="Arial"/>
                <w:sz w:val="16"/>
                <w:szCs w:val="16"/>
                <w:color w:val="auto"/>
                <w:w w:val="97"/>
              </w:rPr>
              <w:t>California</w:t>
            </w:r>
          </w:p>
        </w:tc>
        <w:tc>
          <w:tcPr>
            <w:tcW w:w="2260" w:type="dxa"/>
            <w:vAlign w:val="bottom"/>
          </w:tcPr>
          <w:p>
            <w:pPr>
              <w:jc w:val="center"/>
              <w:ind w:right="100"/>
              <w:spacing w:after="0"/>
              <w:rPr>
                <w:sz w:val="20"/>
                <w:szCs w:val="20"/>
                <w:color w:val="auto"/>
              </w:rPr>
            </w:pPr>
            <w:r>
              <w:rPr>
                <w:rFonts w:ascii="Arial" w:cs="Arial" w:eastAsia="Arial" w:hAnsi="Arial"/>
                <w:sz w:val="16"/>
                <w:szCs w:val="16"/>
                <w:color w:val="auto"/>
                <w:w w:val="88"/>
              </w:rPr>
              <w:t>95-1240705</w:t>
            </w:r>
          </w:p>
        </w:tc>
      </w:tr>
      <w:tr>
        <w:trPr>
          <w:trHeight w:val="216"/>
        </w:trPr>
        <w:tc>
          <w:tcPr>
            <w:tcW w:w="1260" w:type="dxa"/>
            <w:vAlign w:val="bottom"/>
          </w:tcPr>
          <w:p>
            <w:pPr>
              <w:spacing w:after="0"/>
              <w:rPr>
                <w:sz w:val="18"/>
                <w:szCs w:val="18"/>
                <w:color w:val="auto"/>
              </w:rPr>
            </w:pPr>
          </w:p>
        </w:tc>
        <w:tc>
          <w:tcPr>
            <w:tcW w:w="4160" w:type="dxa"/>
            <w:vAlign w:val="bottom"/>
          </w:tcPr>
          <w:p>
            <w:pPr>
              <w:ind w:left="80"/>
              <w:spacing w:after="0"/>
              <w:rPr>
                <w:sz w:val="20"/>
                <w:szCs w:val="20"/>
                <w:color w:val="auto"/>
              </w:rPr>
            </w:pPr>
            <w:r>
              <w:rPr>
                <w:rFonts w:ascii="Arial" w:cs="Arial" w:eastAsia="Arial" w:hAnsi="Arial"/>
                <w:sz w:val="16"/>
                <w:szCs w:val="16"/>
                <w:color w:val="auto"/>
              </w:rPr>
              <w:t>555 West Fifth Street</w:t>
            </w:r>
          </w:p>
        </w:tc>
        <w:tc>
          <w:tcPr>
            <w:tcW w:w="1580" w:type="dxa"/>
            <w:vAlign w:val="bottom"/>
          </w:tcPr>
          <w:p>
            <w:pPr>
              <w:spacing w:after="0"/>
              <w:rPr>
                <w:sz w:val="18"/>
                <w:szCs w:val="18"/>
                <w:color w:val="auto"/>
              </w:rPr>
            </w:pPr>
          </w:p>
        </w:tc>
        <w:tc>
          <w:tcPr>
            <w:tcW w:w="2260" w:type="dxa"/>
            <w:vAlign w:val="bottom"/>
          </w:tcPr>
          <w:p>
            <w:pPr>
              <w:spacing w:after="0"/>
              <w:rPr>
                <w:sz w:val="18"/>
                <w:szCs w:val="18"/>
                <w:color w:val="auto"/>
              </w:rPr>
            </w:pPr>
          </w:p>
        </w:tc>
      </w:tr>
      <w:tr>
        <w:trPr>
          <w:trHeight w:val="216"/>
        </w:trPr>
        <w:tc>
          <w:tcPr>
            <w:tcW w:w="1260" w:type="dxa"/>
            <w:vAlign w:val="bottom"/>
          </w:tcPr>
          <w:p>
            <w:pPr>
              <w:spacing w:after="0"/>
              <w:rPr>
                <w:sz w:val="18"/>
                <w:szCs w:val="18"/>
                <w:color w:val="auto"/>
              </w:rPr>
            </w:pPr>
          </w:p>
        </w:tc>
        <w:tc>
          <w:tcPr>
            <w:tcW w:w="4160" w:type="dxa"/>
            <w:vAlign w:val="bottom"/>
          </w:tcPr>
          <w:p>
            <w:pPr>
              <w:ind w:left="80"/>
              <w:spacing w:after="0"/>
              <w:rPr>
                <w:sz w:val="20"/>
                <w:szCs w:val="20"/>
                <w:color w:val="auto"/>
              </w:rPr>
            </w:pPr>
            <w:r>
              <w:rPr>
                <w:rFonts w:ascii="Arial" w:cs="Arial" w:eastAsia="Arial" w:hAnsi="Arial"/>
                <w:sz w:val="16"/>
                <w:szCs w:val="16"/>
                <w:color w:val="auto"/>
              </w:rPr>
              <w:t>Los Angeles, California 90013</w:t>
            </w:r>
          </w:p>
        </w:tc>
        <w:tc>
          <w:tcPr>
            <w:tcW w:w="1580" w:type="dxa"/>
            <w:vAlign w:val="bottom"/>
          </w:tcPr>
          <w:p>
            <w:pPr>
              <w:spacing w:after="0"/>
              <w:rPr>
                <w:sz w:val="18"/>
                <w:szCs w:val="18"/>
                <w:color w:val="auto"/>
              </w:rPr>
            </w:pPr>
          </w:p>
        </w:tc>
        <w:tc>
          <w:tcPr>
            <w:tcW w:w="2260" w:type="dxa"/>
            <w:vAlign w:val="bottom"/>
          </w:tcPr>
          <w:p>
            <w:pPr>
              <w:spacing w:after="0"/>
              <w:rPr>
                <w:sz w:val="18"/>
                <w:szCs w:val="18"/>
                <w:color w:val="auto"/>
              </w:rPr>
            </w:pPr>
          </w:p>
        </w:tc>
      </w:tr>
      <w:tr>
        <w:trPr>
          <w:trHeight w:val="216"/>
        </w:trPr>
        <w:tc>
          <w:tcPr>
            <w:tcW w:w="1260" w:type="dxa"/>
            <w:vAlign w:val="bottom"/>
          </w:tcPr>
          <w:p>
            <w:pPr>
              <w:spacing w:after="0"/>
              <w:rPr>
                <w:sz w:val="18"/>
                <w:szCs w:val="18"/>
                <w:color w:val="auto"/>
              </w:rPr>
            </w:pPr>
          </w:p>
        </w:tc>
        <w:tc>
          <w:tcPr>
            <w:tcW w:w="4160" w:type="dxa"/>
            <w:vAlign w:val="bottom"/>
          </w:tcPr>
          <w:p>
            <w:pPr>
              <w:ind w:left="80"/>
              <w:spacing w:after="0"/>
              <w:rPr>
                <w:sz w:val="20"/>
                <w:szCs w:val="20"/>
                <w:color w:val="auto"/>
              </w:rPr>
            </w:pPr>
            <w:r>
              <w:rPr>
                <w:rFonts w:ascii="Arial" w:cs="Arial" w:eastAsia="Arial" w:hAnsi="Arial"/>
                <w:sz w:val="16"/>
                <w:szCs w:val="16"/>
                <w:color w:val="auto"/>
              </w:rPr>
              <w:t>(213)244-1200</w:t>
            </w:r>
          </w:p>
        </w:tc>
        <w:tc>
          <w:tcPr>
            <w:tcW w:w="1580" w:type="dxa"/>
            <w:vAlign w:val="bottom"/>
          </w:tcPr>
          <w:p>
            <w:pPr>
              <w:spacing w:after="0"/>
              <w:rPr>
                <w:sz w:val="18"/>
                <w:szCs w:val="18"/>
                <w:color w:val="auto"/>
              </w:rPr>
            </w:pPr>
          </w:p>
        </w:tc>
        <w:tc>
          <w:tcPr>
            <w:tcW w:w="2260" w:type="dxa"/>
            <w:vAlign w:val="bottom"/>
          </w:tcPr>
          <w:p>
            <w:pPr>
              <w:spacing w:after="0"/>
              <w:rPr>
                <w:sz w:val="18"/>
                <w:szCs w:val="18"/>
                <w:color w:val="auto"/>
              </w:rPr>
            </w:pPr>
          </w:p>
        </w:tc>
      </w:tr>
    </w:tbl>
    <w:p>
      <w:pPr>
        <w:spacing w:after="0" w:line="200" w:lineRule="exact"/>
        <w:rPr>
          <w:sz w:val="24"/>
          <w:szCs w:val="24"/>
          <w:color w:val="auto"/>
        </w:rPr>
      </w:pPr>
    </w:p>
    <w:p>
      <w:pPr>
        <w:spacing w:after="0" w:line="244" w:lineRule="exact"/>
        <w:rPr>
          <w:sz w:val="24"/>
          <w:szCs w:val="24"/>
          <w:color w:val="auto"/>
        </w:rPr>
      </w:pPr>
    </w:p>
    <w:tbl>
      <w:tblPr>
        <w:tblLayout w:type="fixed"/>
        <w:tblInd w:w="1080" w:type="dxa"/>
        <w:tblCellMar>
          <w:top w:w="0" w:type="dxa"/>
          <w:left w:w="0" w:type="dxa"/>
          <w:bottom w:w="0" w:type="dxa"/>
          <w:right w:w="0" w:type="dxa"/>
        </w:tblCellMar>
      </w:tblPr>
      <w:tr>
        <w:trPr>
          <w:trHeight w:val="205"/>
        </w:trPr>
        <w:tc>
          <w:tcPr>
            <w:tcW w:w="5500" w:type="dxa"/>
            <w:vAlign w:val="bottom"/>
          </w:tcPr>
          <w:p>
            <w:pPr>
              <w:ind w:left="20"/>
              <w:spacing w:after="0"/>
              <w:rPr>
                <w:sz w:val="20"/>
                <w:szCs w:val="20"/>
                <w:color w:val="auto"/>
              </w:rPr>
            </w:pPr>
            <w:r>
              <w:rPr>
                <w:rFonts w:ascii="Arial" w:cs="Arial" w:eastAsia="Arial" w:hAnsi="Arial"/>
                <w:sz w:val="16"/>
                <w:szCs w:val="16"/>
                <w:color w:val="auto"/>
              </w:rPr>
              <w:t>SECURITIES REGISTERED PURSUANT TO SECTION 12(b) OF THE ACT:</w:t>
            </w:r>
          </w:p>
        </w:tc>
        <w:tc>
          <w:tcPr>
            <w:tcW w:w="3760" w:type="dxa"/>
            <w:vAlign w:val="bottom"/>
          </w:tcPr>
          <w:p>
            <w:pPr>
              <w:spacing w:after="0"/>
              <w:rPr>
                <w:sz w:val="17"/>
                <w:szCs w:val="17"/>
                <w:color w:val="auto"/>
              </w:rPr>
            </w:pPr>
          </w:p>
        </w:tc>
      </w:tr>
      <w:tr>
        <w:trPr>
          <w:trHeight w:val="438"/>
        </w:trPr>
        <w:tc>
          <w:tcPr>
            <w:tcW w:w="5500" w:type="dxa"/>
            <w:vAlign w:val="bottom"/>
            <w:tcBorders>
              <w:bottom w:val="single" w:sz="8" w:color="auto"/>
            </w:tcBorders>
          </w:tcPr>
          <w:p>
            <w:pPr>
              <w:ind w:left="2040"/>
              <w:spacing w:after="0"/>
              <w:rPr>
                <w:sz w:val="20"/>
                <w:szCs w:val="20"/>
                <w:color w:val="auto"/>
              </w:rPr>
            </w:pPr>
            <w:r>
              <w:rPr>
                <w:rFonts w:ascii="Arial" w:cs="Arial" w:eastAsia="Arial" w:hAnsi="Arial"/>
                <w:sz w:val="16"/>
                <w:szCs w:val="16"/>
                <w:color w:val="auto"/>
              </w:rPr>
              <w:t>Title of Each Class</w:t>
            </w:r>
          </w:p>
        </w:tc>
        <w:tc>
          <w:tcPr>
            <w:tcW w:w="3760" w:type="dxa"/>
            <w:vAlign w:val="bottom"/>
            <w:tcBorders>
              <w:bottom w:val="single" w:sz="8" w:color="auto"/>
            </w:tcBorders>
          </w:tcPr>
          <w:p>
            <w:pPr>
              <w:jc w:val="center"/>
              <w:ind w:right="100"/>
              <w:spacing w:after="0"/>
              <w:rPr>
                <w:sz w:val="20"/>
                <w:szCs w:val="20"/>
                <w:color w:val="auto"/>
              </w:rPr>
            </w:pPr>
            <w:r>
              <w:rPr>
                <w:rFonts w:ascii="Arial" w:cs="Arial" w:eastAsia="Arial" w:hAnsi="Arial"/>
                <w:sz w:val="16"/>
                <w:szCs w:val="16"/>
                <w:color w:val="auto"/>
                <w:w w:val="90"/>
              </w:rPr>
              <w:t>Name of Each Exchange on Which Registered</w:t>
            </w:r>
          </w:p>
        </w:tc>
      </w:tr>
      <w:tr>
        <w:trPr>
          <w:trHeight w:val="203"/>
        </w:trPr>
        <w:tc>
          <w:tcPr>
            <w:tcW w:w="5500" w:type="dxa"/>
            <w:vAlign w:val="bottom"/>
          </w:tcPr>
          <w:p>
            <w:pPr>
              <w:ind w:left="300"/>
              <w:spacing w:after="0"/>
              <w:rPr>
                <w:sz w:val="20"/>
                <w:szCs w:val="20"/>
                <w:color w:val="auto"/>
              </w:rPr>
            </w:pPr>
            <w:r>
              <w:rPr>
                <w:rFonts w:ascii="Arial" w:cs="Arial" w:eastAsia="Arial" w:hAnsi="Arial"/>
                <w:sz w:val="16"/>
                <w:szCs w:val="16"/>
                <w:color w:val="auto"/>
              </w:rPr>
              <w:t>Sempra Energy Common Stock, without par value</w:t>
            </w:r>
          </w:p>
        </w:tc>
        <w:tc>
          <w:tcPr>
            <w:tcW w:w="3760" w:type="dxa"/>
            <w:vAlign w:val="bottom"/>
          </w:tcPr>
          <w:p>
            <w:pPr>
              <w:jc w:val="center"/>
              <w:ind w:right="100"/>
              <w:spacing w:after="0"/>
              <w:rPr>
                <w:sz w:val="20"/>
                <w:szCs w:val="20"/>
                <w:color w:val="auto"/>
              </w:rPr>
            </w:pPr>
            <w:r>
              <w:rPr>
                <w:rFonts w:ascii="Arial" w:cs="Arial" w:eastAsia="Arial" w:hAnsi="Arial"/>
                <w:sz w:val="16"/>
                <w:szCs w:val="16"/>
                <w:color w:val="auto"/>
                <w:w w:val="95"/>
              </w:rPr>
              <w:t>New York</w:t>
            </w:r>
          </w:p>
        </w:tc>
      </w:tr>
      <w:tr>
        <w:trPr>
          <w:trHeight w:val="395"/>
        </w:trPr>
        <w:tc>
          <w:tcPr>
            <w:tcW w:w="5500" w:type="dxa"/>
            <w:vAlign w:val="bottom"/>
          </w:tcPr>
          <w:p>
            <w:pPr>
              <w:ind w:left="300"/>
              <w:spacing w:after="0"/>
              <w:rPr>
                <w:sz w:val="20"/>
                <w:szCs w:val="20"/>
                <w:color w:val="auto"/>
              </w:rPr>
            </w:pPr>
            <w:r>
              <w:rPr>
                <w:rFonts w:ascii="Arial" w:cs="Arial" w:eastAsia="Arial" w:hAnsi="Arial"/>
                <w:sz w:val="16"/>
                <w:szCs w:val="16"/>
                <w:color w:val="auto"/>
              </w:rPr>
              <w:t>SDG&amp;E Preference Stock (Cumulative)</w:t>
            </w:r>
          </w:p>
        </w:tc>
        <w:tc>
          <w:tcPr>
            <w:tcW w:w="3760" w:type="dxa"/>
            <w:vAlign w:val="bottom"/>
          </w:tcPr>
          <w:p>
            <w:pPr>
              <w:jc w:val="center"/>
              <w:ind w:right="100"/>
              <w:spacing w:after="0"/>
              <w:rPr>
                <w:sz w:val="20"/>
                <w:szCs w:val="20"/>
                <w:color w:val="auto"/>
              </w:rPr>
            </w:pPr>
            <w:r>
              <w:rPr>
                <w:rFonts w:ascii="Arial" w:cs="Arial" w:eastAsia="Arial" w:hAnsi="Arial"/>
                <w:sz w:val="16"/>
                <w:szCs w:val="16"/>
                <w:color w:val="auto"/>
                <w:w w:val="95"/>
              </w:rPr>
              <w:t>New York</w:t>
            </w:r>
          </w:p>
        </w:tc>
      </w:tr>
      <w:tr>
        <w:trPr>
          <w:trHeight w:val="205"/>
        </w:trPr>
        <w:tc>
          <w:tcPr>
            <w:tcW w:w="5500" w:type="dxa"/>
            <w:vAlign w:val="bottom"/>
          </w:tcPr>
          <w:p>
            <w:pPr>
              <w:ind w:left="660"/>
              <w:spacing w:after="0"/>
              <w:rPr>
                <w:sz w:val="20"/>
                <w:szCs w:val="20"/>
                <w:color w:val="auto"/>
              </w:rPr>
            </w:pPr>
            <w:r>
              <w:rPr>
                <w:rFonts w:ascii="Arial" w:cs="Arial" w:eastAsia="Arial" w:hAnsi="Arial"/>
                <w:sz w:val="16"/>
                <w:szCs w:val="16"/>
                <w:color w:val="auto"/>
              </w:rPr>
              <w:t>Without Par Value (except $1.70 Series)</w:t>
            </w:r>
          </w:p>
        </w:tc>
        <w:tc>
          <w:tcPr>
            <w:tcW w:w="3760" w:type="dxa"/>
            <w:vAlign w:val="bottom"/>
          </w:tcPr>
          <w:p>
            <w:pPr>
              <w:spacing w:after="0"/>
              <w:rPr>
                <w:sz w:val="17"/>
                <w:szCs w:val="17"/>
                <w:color w:val="auto"/>
              </w:rPr>
            </w:pPr>
          </w:p>
        </w:tc>
      </w:tr>
      <w:tr>
        <w:trPr>
          <w:trHeight w:val="372"/>
        </w:trPr>
        <w:tc>
          <w:tcPr>
            <w:tcW w:w="5500" w:type="dxa"/>
            <w:vAlign w:val="bottom"/>
          </w:tcPr>
          <w:p>
            <w:pPr>
              <w:ind w:left="300"/>
              <w:spacing w:after="0"/>
              <w:rPr>
                <w:sz w:val="20"/>
                <w:szCs w:val="20"/>
                <w:color w:val="auto"/>
              </w:rPr>
            </w:pPr>
            <w:r>
              <w:rPr>
                <w:rFonts w:ascii="Arial" w:cs="Arial" w:eastAsia="Arial" w:hAnsi="Arial"/>
                <w:sz w:val="16"/>
                <w:szCs w:val="16"/>
                <w:color w:val="auto"/>
              </w:rPr>
              <w:t>SDG&amp;E Cumulative Preferred Stock, $20 Par</w:t>
            </w:r>
          </w:p>
        </w:tc>
        <w:tc>
          <w:tcPr>
            <w:tcW w:w="3760" w:type="dxa"/>
            <w:vAlign w:val="bottom"/>
          </w:tcPr>
          <w:p>
            <w:pPr>
              <w:jc w:val="center"/>
              <w:ind w:right="100"/>
              <w:spacing w:after="0"/>
              <w:rPr>
                <w:sz w:val="20"/>
                <w:szCs w:val="20"/>
                <w:color w:val="auto"/>
              </w:rPr>
            </w:pPr>
            <w:r>
              <w:rPr>
                <w:rFonts w:ascii="Arial" w:cs="Arial" w:eastAsia="Arial" w:hAnsi="Arial"/>
                <w:sz w:val="16"/>
                <w:szCs w:val="16"/>
                <w:color w:val="auto"/>
                <w:w w:val="95"/>
              </w:rPr>
              <w:t>New York</w:t>
            </w:r>
          </w:p>
        </w:tc>
      </w:tr>
      <w:tr>
        <w:trPr>
          <w:trHeight w:val="205"/>
        </w:trPr>
        <w:tc>
          <w:tcPr>
            <w:tcW w:w="5500" w:type="dxa"/>
            <w:vAlign w:val="bottom"/>
          </w:tcPr>
          <w:p>
            <w:pPr>
              <w:ind w:left="660"/>
              <w:spacing w:after="0"/>
              <w:rPr>
                <w:sz w:val="20"/>
                <w:szCs w:val="20"/>
                <w:color w:val="auto"/>
              </w:rPr>
            </w:pPr>
            <w:r>
              <w:rPr>
                <w:rFonts w:ascii="Arial" w:cs="Arial" w:eastAsia="Arial" w:hAnsi="Arial"/>
                <w:sz w:val="16"/>
                <w:szCs w:val="16"/>
                <w:color w:val="auto"/>
              </w:rPr>
              <w:t>Value (except 4.60% Series)</w:t>
            </w:r>
          </w:p>
        </w:tc>
        <w:tc>
          <w:tcPr>
            <w:tcW w:w="3760" w:type="dxa"/>
            <w:vAlign w:val="bottom"/>
          </w:tcPr>
          <w:p>
            <w:pPr>
              <w:spacing w:after="0"/>
              <w:rPr>
                <w:sz w:val="17"/>
                <w:szCs w:val="17"/>
                <w:color w:val="auto"/>
              </w:rPr>
            </w:pPr>
          </w:p>
        </w:tc>
      </w:tr>
      <w:tr>
        <w:trPr>
          <w:trHeight w:val="396"/>
        </w:trPr>
        <w:tc>
          <w:tcPr>
            <w:tcW w:w="5500" w:type="dxa"/>
            <w:vAlign w:val="bottom"/>
          </w:tcPr>
          <w:p>
            <w:pPr>
              <w:ind w:left="300"/>
              <w:spacing w:after="0"/>
              <w:rPr>
                <w:sz w:val="20"/>
                <w:szCs w:val="20"/>
                <w:color w:val="auto"/>
              </w:rPr>
            </w:pPr>
            <w:r>
              <w:rPr>
                <w:rFonts w:ascii="Arial" w:cs="Arial" w:eastAsia="Arial" w:hAnsi="Arial"/>
                <w:sz w:val="16"/>
                <w:szCs w:val="16"/>
                <w:color w:val="auto"/>
              </w:rPr>
              <w:t>Pacific Enterprises Preferred Stock:</w:t>
            </w:r>
          </w:p>
        </w:tc>
        <w:tc>
          <w:tcPr>
            <w:tcW w:w="3760" w:type="dxa"/>
            <w:vAlign w:val="bottom"/>
          </w:tcPr>
          <w:p>
            <w:pPr>
              <w:jc w:val="center"/>
              <w:ind w:right="100"/>
              <w:spacing w:after="0"/>
              <w:rPr>
                <w:sz w:val="20"/>
                <w:szCs w:val="20"/>
                <w:color w:val="auto"/>
              </w:rPr>
            </w:pPr>
            <w:r>
              <w:rPr>
                <w:rFonts w:ascii="Arial" w:cs="Arial" w:eastAsia="Arial" w:hAnsi="Arial"/>
                <w:sz w:val="16"/>
                <w:szCs w:val="16"/>
                <w:color w:val="auto"/>
                <w:w w:val="95"/>
              </w:rPr>
              <w:t>New York</w:t>
            </w:r>
          </w:p>
        </w:tc>
      </w:tr>
      <w:tr>
        <w:trPr>
          <w:trHeight w:val="192"/>
        </w:trPr>
        <w:tc>
          <w:tcPr>
            <w:tcW w:w="5500" w:type="dxa"/>
            <w:vAlign w:val="bottom"/>
          </w:tcPr>
          <w:p>
            <w:pPr>
              <w:ind w:left="620"/>
              <w:spacing w:after="0"/>
              <w:rPr>
                <w:sz w:val="20"/>
                <w:szCs w:val="20"/>
                <w:color w:val="auto"/>
              </w:rPr>
            </w:pPr>
            <w:r>
              <w:rPr>
                <w:rFonts w:ascii="Arial" w:cs="Arial" w:eastAsia="Arial" w:hAnsi="Arial"/>
                <w:sz w:val="16"/>
                <w:szCs w:val="16"/>
                <w:color w:val="auto"/>
              </w:rPr>
              <w:t>$4.75 dividend, $4.50 dividend</w:t>
            </w:r>
          </w:p>
        </w:tc>
        <w:tc>
          <w:tcPr>
            <w:tcW w:w="3760" w:type="dxa"/>
            <w:vAlign w:val="bottom"/>
          </w:tcPr>
          <w:p>
            <w:pPr>
              <w:spacing w:after="0"/>
              <w:rPr>
                <w:sz w:val="16"/>
                <w:szCs w:val="16"/>
                <w:color w:val="auto"/>
              </w:rPr>
            </w:pPr>
          </w:p>
        </w:tc>
      </w:tr>
      <w:tr>
        <w:trPr>
          <w:trHeight w:val="205"/>
        </w:trPr>
        <w:tc>
          <w:tcPr>
            <w:tcW w:w="5500" w:type="dxa"/>
            <w:vAlign w:val="bottom"/>
          </w:tcPr>
          <w:p>
            <w:pPr>
              <w:ind w:left="620"/>
              <w:spacing w:after="0"/>
              <w:rPr>
                <w:sz w:val="20"/>
                <w:szCs w:val="20"/>
                <w:color w:val="auto"/>
              </w:rPr>
            </w:pPr>
            <w:r>
              <w:rPr>
                <w:rFonts w:ascii="Arial" w:cs="Arial" w:eastAsia="Arial" w:hAnsi="Arial"/>
                <w:sz w:val="16"/>
                <w:szCs w:val="16"/>
                <w:color w:val="auto"/>
              </w:rPr>
              <w:t>$4.40 dividend, $4.36 dividend</w:t>
            </w:r>
          </w:p>
        </w:tc>
        <w:tc>
          <w:tcPr>
            <w:tcW w:w="3760" w:type="dxa"/>
            <w:vAlign w:val="bottom"/>
          </w:tcPr>
          <w:p>
            <w:pPr>
              <w:spacing w:after="0"/>
              <w:rPr>
                <w:sz w:val="17"/>
                <w:szCs w:val="17"/>
                <w:color w:val="auto"/>
              </w:rPr>
            </w:pPr>
          </w:p>
        </w:tc>
      </w:tr>
      <w:tr>
        <w:trPr>
          <w:trHeight w:val="649"/>
        </w:trPr>
        <w:tc>
          <w:tcPr>
            <w:tcW w:w="5500" w:type="dxa"/>
            <w:vAlign w:val="bottom"/>
          </w:tcPr>
          <w:p>
            <w:pPr>
              <w:ind w:left="20"/>
              <w:spacing w:after="0"/>
              <w:rPr>
                <w:sz w:val="20"/>
                <w:szCs w:val="20"/>
                <w:color w:val="auto"/>
              </w:rPr>
            </w:pPr>
            <w:r>
              <w:rPr>
                <w:rFonts w:ascii="Arial" w:cs="Arial" w:eastAsia="Arial" w:hAnsi="Arial"/>
                <w:sz w:val="16"/>
                <w:szCs w:val="16"/>
                <w:color w:val="auto"/>
              </w:rPr>
              <w:t>SECURITIES REGISTERED PURSUANT TO SECTION 12(g) OF THE ACT:</w:t>
            </w:r>
          </w:p>
        </w:tc>
        <w:tc>
          <w:tcPr>
            <w:tcW w:w="3760" w:type="dxa"/>
            <w:vAlign w:val="bottom"/>
          </w:tcPr>
          <w:p>
            <w:pPr>
              <w:ind w:left="1400"/>
              <w:spacing w:after="0"/>
              <w:rPr>
                <w:sz w:val="20"/>
                <w:szCs w:val="20"/>
                <w:color w:val="auto"/>
              </w:rPr>
            </w:pPr>
            <w:r>
              <w:rPr>
                <w:rFonts w:ascii="Arial" w:cs="Arial" w:eastAsia="Arial" w:hAnsi="Arial"/>
                <w:sz w:val="16"/>
                <w:szCs w:val="16"/>
                <w:color w:val="auto"/>
              </w:rPr>
              <w:t>None</w:t>
            </w:r>
          </w:p>
        </w:tc>
      </w:tr>
    </w:tbl>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1" w:lineRule="exact"/>
        <w:rPr>
          <w:sz w:val="24"/>
          <w:szCs w:val="24"/>
          <w:color w:val="auto"/>
        </w:rPr>
      </w:pPr>
    </w:p>
    <w:p>
      <w:pPr>
        <w:spacing w:after="0"/>
        <w:rPr>
          <w:sz w:val="20"/>
          <w:szCs w:val="20"/>
          <w:color w:val="auto"/>
        </w:rPr>
      </w:pPr>
      <w:r>
        <w:rPr>
          <w:rFonts w:ascii="Arial" w:cs="Arial" w:eastAsia="Arial" w:hAnsi="Arial"/>
          <w:sz w:val="14"/>
          <w:szCs w:val="14"/>
          <w:color w:val="auto"/>
        </w:rPr>
        <w:t>1</w:t>
      </w:r>
    </w:p>
    <w:p>
      <w:pPr>
        <w:sectPr>
          <w:pgSz w:w="11900" w:h="16838" w:orient="portrait"/>
          <w:cols w:equalWidth="0" w:num="1">
            <w:col w:w="10340"/>
          </w:cols>
          <w:pgMar w:left="240" w:top="740" w:right="1319" w:bottom="1440" w:gutter="0" w:footer="0" w:header="0"/>
        </w:sectPr>
      </w:pPr>
    </w:p>
    <w:bookmarkStart w:id="1" w:name="page2"/>
    <w:bookmarkEnd w:id="1"/>
    <w:p>
      <w:pPr>
        <w:ind w:left="1100"/>
        <w:spacing w:after="0"/>
        <w:rPr>
          <w:sz w:val="20"/>
          <w:szCs w:val="20"/>
          <w:color w:val="auto"/>
        </w:rPr>
      </w:pPr>
      <w:r>
        <w:rPr>
          <w:rFonts w:ascii="Arial" w:cs="Arial" w:eastAsia="Arial" w:hAnsi="Arial"/>
          <w:sz w:val="16"/>
          <w:szCs w:val="16"/>
          <w:color w:val="auto"/>
        </w:rPr>
        <w:t>Indicate by check mark if the registrant is a well-known seasoned issuer, as defined in Rule 405 of the Securities Act.</w:t>
      </w:r>
    </w:p>
    <w:p>
      <w:pPr>
        <w:spacing w:after="0" w:line="248" w:lineRule="exact"/>
        <w:rPr>
          <w:sz w:val="20"/>
          <w:szCs w:val="20"/>
          <w:color w:val="auto"/>
        </w:rPr>
      </w:pPr>
    </w:p>
    <w:tbl>
      <w:tblPr>
        <w:tblLayout w:type="fixed"/>
        <w:tblInd w:w="1100" w:type="dxa"/>
        <w:tblCellMar>
          <w:top w:w="0" w:type="dxa"/>
          <w:left w:w="0" w:type="dxa"/>
          <w:bottom w:w="0" w:type="dxa"/>
          <w:right w:w="0" w:type="dxa"/>
        </w:tblCellMar>
      </w:tblPr>
      <w:tr>
        <w:trPr>
          <w:trHeight w:val="209"/>
        </w:trPr>
        <w:tc>
          <w:tcPr>
            <w:tcW w:w="3860" w:type="dxa"/>
            <w:vAlign w:val="bottom"/>
          </w:tcPr>
          <w:p>
            <w:pPr>
              <w:spacing w:after="0"/>
              <w:rPr>
                <w:sz w:val="20"/>
                <w:szCs w:val="20"/>
                <w:color w:val="auto"/>
              </w:rPr>
            </w:pPr>
            <w:r>
              <w:rPr>
                <w:rFonts w:ascii="Arial" w:cs="Arial" w:eastAsia="Arial" w:hAnsi="Arial"/>
                <w:sz w:val="16"/>
                <w:szCs w:val="16"/>
                <w:color w:val="auto"/>
              </w:rPr>
              <w:t>Sempra Energy</w:t>
            </w:r>
          </w:p>
        </w:tc>
        <w:tc>
          <w:tcPr>
            <w:tcW w:w="2120" w:type="dxa"/>
            <w:vAlign w:val="bottom"/>
          </w:tcPr>
          <w:p>
            <w:pPr>
              <w:ind w:left="1540"/>
              <w:spacing w:after="0"/>
              <w:rPr>
                <w:sz w:val="20"/>
                <w:szCs w:val="20"/>
                <w:color w:val="auto"/>
              </w:rPr>
            </w:pPr>
            <w:r>
              <w:rPr>
                <w:rFonts w:ascii="Arial" w:cs="Arial" w:eastAsia="Arial" w:hAnsi="Arial"/>
                <w:sz w:val="16"/>
                <w:szCs w:val="16"/>
                <w:color w:val="auto"/>
              </w:rPr>
              <w:t>Yes</w:t>
            </w:r>
          </w:p>
        </w:tc>
        <w:tc>
          <w:tcPr>
            <w:tcW w:w="900" w:type="dxa"/>
            <w:vAlign w:val="bottom"/>
            <w:tcBorders>
              <w:bottom w:val="single" w:sz="8" w:color="auto"/>
            </w:tcBorders>
          </w:tcPr>
          <w:p>
            <w:pPr>
              <w:ind w:left="360"/>
              <w:spacing w:after="0"/>
              <w:rPr>
                <w:sz w:val="20"/>
                <w:szCs w:val="20"/>
                <w:color w:val="auto"/>
              </w:rPr>
            </w:pPr>
            <w:r>
              <w:rPr>
                <w:rFonts w:ascii="Arial" w:cs="Arial" w:eastAsia="Arial" w:hAnsi="Arial"/>
                <w:sz w:val="16"/>
                <w:szCs w:val="16"/>
                <w:color w:val="auto"/>
              </w:rPr>
              <w:t>X</w:t>
            </w:r>
          </w:p>
        </w:tc>
        <w:tc>
          <w:tcPr>
            <w:tcW w:w="1120" w:type="dxa"/>
            <w:vAlign w:val="bottom"/>
          </w:tcPr>
          <w:p>
            <w:pPr>
              <w:ind w:left="520"/>
              <w:spacing w:after="0"/>
              <w:rPr>
                <w:sz w:val="20"/>
                <w:szCs w:val="20"/>
                <w:color w:val="auto"/>
              </w:rPr>
            </w:pPr>
            <w:r>
              <w:rPr>
                <w:rFonts w:ascii="Arial" w:cs="Arial" w:eastAsia="Arial" w:hAnsi="Arial"/>
                <w:sz w:val="16"/>
                <w:szCs w:val="16"/>
                <w:color w:val="auto"/>
              </w:rPr>
              <w:t>No</w:t>
            </w:r>
          </w:p>
        </w:tc>
        <w:tc>
          <w:tcPr>
            <w:tcW w:w="1240" w:type="dxa"/>
            <w:vAlign w:val="bottom"/>
            <w:tcBorders>
              <w:bottom w:val="single" w:sz="8" w:color="auto"/>
            </w:tcBorders>
          </w:tcPr>
          <w:p>
            <w:pPr>
              <w:spacing w:after="0"/>
              <w:rPr>
                <w:sz w:val="18"/>
                <w:szCs w:val="18"/>
                <w:color w:val="auto"/>
              </w:rPr>
            </w:pPr>
          </w:p>
        </w:tc>
      </w:tr>
      <w:tr>
        <w:trPr>
          <w:trHeight w:val="208"/>
        </w:trPr>
        <w:tc>
          <w:tcPr>
            <w:tcW w:w="3860" w:type="dxa"/>
            <w:vAlign w:val="bottom"/>
          </w:tcPr>
          <w:p>
            <w:pPr>
              <w:spacing w:after="0"/>
              <w:rPr>
                <w:sz w:val="20"/>
                <w:szCs w:val="20"/>
                <w:color w:val="auto"/>
              </w:rPr>
            </w:pPr>
            <w:r>
              <w:rPr>
                <w:rFonts w:ascii="Arial" w:cs="Arial" w:eastAsia="Arial" w:hAnsi="Arial"/>
                <w:sz w:val="16"/>
                <w:szCs w:val="16"/>
                <w:color w:val="auto"/>
              </w:rPr>
              <w:t>San Diego Gas &amp; Electric Company</w:t>
            </w:r>
          </w:p>
        </w:tc>
        <w:tc>
          <w:tcPr>
            <w:tcW w:w="2120" w:type="dxa"/>
            <w:vAlign w:val="bottom"/>
          </w:tcPr>
          <w:p>
            <w:pPr>
              <w:ind w:left="1540"/>
              <w:spacing w:after="0"/>
              <w:rPr>
                <w:sz w:val="20"/>
                <w:szCs w:val="20"/>
                <w:color w:val="auto"/>
              </w:rPr>
            </w:pPr>
            <w:r>
              <w:rPr>
                <w:rFonts w:ascii="Arial" w:cs="Arial" w:eastAsia="Arial" w:hAnsi="Arial"/>
                <w:sz w:val="16"/>
                <w:szCs w:val="16"/>
                <w:color w:val="auto"/>
              </w:rPr>
              <w:t>Yes</w:t>
            </w:r>
          </w:p>
        </w:tc>
        <w:tc>
          <w:tcPr>
            <w:tcW w:w="900" w:type="dxa"/>
            <w:vAlign w:val="bottom"/>
            <w:tcBorders>
              <w:bottom w:val="single" w:sz="8" w:color="auto"/>
            </w:tcBorders>
          </w:tcPr>
          <w:p>
            <w:pPr>
              <w:spacing w:after="0"/>
              <w:rPr>
                <w:sz w:val="18"/>
                <w:szCs w:val="18"/>
                <w:color w:val="auto"/>
              </w:rPr>
            </w:pPr>
          </w:p>
        </w:tc>
        <w:tc>
          <w:tcPr>
            <w:tcW w:w="1120" w:type="dxa"/>
            <w:vAlign w:val="bottom"/>
          </w:tcPr>
          <w:p>
            <w:pPr>
              <w:ind w:left="520"/>
              <w:spacing w:after="0"/>
              <w:rPr>
                <w:sz w:val="20"/>
                <w:szCs w:val="20"/>
                <w:color w:val="auto"/>
              </w:rPr>
            </w:pPr>
            <w:r>
              <w:rPr>
                <w:rFonts w:ascii="Arial" w:cs="Arial" w:eastAsia="Arial" w:hAnsi="Arial"/>
                <w:sz w:val="16"/>
                <w:szCs w:val="16"/>
                <w:color w:val="auto"/>
              </w:rPr>
              <w:t>No</w:t>
            </w:r>
          </w:p>
        </w:tc>
        <w:tc>
          <w:tcPr>
            <w:tcW w:w="1240" w:type="dxa"/>
            <w:vAlign w:val="bottom"/>
            <w:tcBorders>
              <w:bottom w:val="single" w:sz="8" w:color="auto"/>
            </w:tcBorders>
          </w:tcPr>
          <w:p>
            <w:pPr>
              <w:ind w:left="520"/>
              <w:spacing w:after="0"/>
              <w:rPr>
                <w:sz w:val="20"/>
                <w:szCs w:val="20"/>
                <w:color w:val="auto"/>
              </w:rPr>
            </w:pPr>
            <w:r>
              <w:rPr>
                <w:rFonts w:ascii="Arial" w:cs="Arial" w:eastAsia="Arial" w:hAnsi="Arial"/>
                <w:sz w:val="16"/>
                <w:szCs w:val="16"/>
                <w:color w:val="auto"/>
              </w:rPr>
              <w:t>X</w:t>
            </w:r>
          </w:p>
        </w:tc>
      </w:tr>
      <w:tr>
        <w:trPr>
          <w:trHeight w:val="208"/>
        </w:trPr>
        <w:tc>
          <w:tcPr>
            <w:tcW w:w="3860" w:type="dxa"/>
            <w:vAlign w:val="bottom"/>
          </w:tcPr>
          <w:p>
            <w:pPr>
              <w:spacing w:after="0"/>
              <w:rPr>
                <w:sz w:val="20"/>
                <w:szCs w:val="20"/>
                <w:color w:val="auto"/>
              </w:rPr>
            </w:pPr>
            <w:r>
              <w:rPr>
                <w:rFonts w:ascii="Arial" w:cs="Arial" w:eastAsia="Arial" w:hAnsi="Arial"/>
                <w:sz w:val="16"/>
                <w:szCs w:val="16"/>
                <w:color w:val="auto"/>
              </w:rPr>
              <w:t>Pacific Enterprises</w:t>
            </w:r>
          </w:p>
        </w:tc>
        <w:tc>
          <w:tcPr>
            <w:tcW w:w="2120" w:type="dxa"/>
            <w:vAlign w:val="bottom"/>
          </w:tcPr>
          <w:p>
            <w:pPr>
              <w:ind w:left="1540"/>
              <w:spacing w:after="0"/>
              <w:rPr>
                <w:sz w:val="20"/>
                <w:szCs w:val="20"/>
                <w:color w:val="auto"/>
              </w:rPr>
            </w:pPr>
            <w:r>
              <w:rPr>
                <w:rFonts w:ascii="Arial" w:cs="Arial" w:eastAsia="Arial" w:hAnsi="Arial"/>
                <w:sz w:val="16"/>
                <w:szCs w:val="16"/>
                <w:color w:val="auto"/>
              </w:rPr>
              <w:t>Yes</w:t>
            </w:r>
          </w:p>
        </w:tc>
        <w:tc>
          <w:tcPr>
            <w:tcW w:w="900" w:type="dxa"/>
            <w:vAlign w:val="bottom"/>
            <w:tcBorders>
              <w:bottom w:val="single" w:sz="8" w:color="auto"/>
            </w:tcBorders>
          </w:tcPr>
          <w:p>
            <w:pPr>
              <w:spacing w:after="0"/>
              <w:rPr>
                <w:sz w:val="18"/>
                <w:szCs w:val="18"/>
                <w:color w:val="auto"/>
              </w:rPr>
            </w:pPr>
          </w:p>
        </w:tc>
        <w:tc>
          <w:tcPr>
            <w:tcW w:w="1120" w:type="dxa"/>
            <w:vAlign w:val="bottom"/>
          </w:tcPr>
          <w:p>
            <w:pPr>
              <w:ind w:left="520"/>
              <w:spacing w:after="0"/>
              <w:rPr>
                <w:sz w:val="20"/>
                <w:szCs w:val="20"/>
                <w:color w:val="auto"/>
              </w:rPr>
            </w:pPr>
            <w:r>
              <w:rPr>
                <w:rFonts w:ascii="Arial" w:cs="Arial" w:eastAsia="Arial" w:hAnsi="Arial"/>
                <w:sz w:val="16"/>
                <w:szCs w:val="16"/>
                <w:color w:val="auto"/>
              </w:rPr>
              <w:t>No</w:t>
            </w:r>
          </w:p>
        </w:tc>
        <w:tc>
          <w:tcPr>
            <w:tcW w:w="1240" w:type="dxa"/>
            <w:vAlign w:val="bottom"/>
            <w:tcBorders>
              <w:bottom w:val="single" w:sz="8" w:color="auto"/>
            </w:tcBorders>
          </w:tcPr>
          <w:p>
            <w:pPr>
              <w:ind w:left="520"/>
              <w:spacing w:after="0"/>
              <w:rPr>
                <w:sz w:val="20"/>
                <w:szCs w:val="20"/>
                <w:color w:val="auto"/>
              </w:rPr>
            </w:pPr>
            <w:r>
              <w:rPr>
                <w:rFonts w:ascii="Arial" w:cs="Arial" w:eastAsia="Arial" w:hAnsi="Arial"/>
                <w:sz w:val="16"/>
                <w:szCs w:val="16"/>
                <w:color w:val="auto"/>
              </w:rPr>
              <w:t>X</w:t>
            </w:r>
          </w:p>
        </w:tc>
      </w:tr>
      <w:tr>
        <w:trPr>
          <w:trHeight w:val="210"/>
        </w:trPr>
        <w:tc>
          <w:tcPr>
            <w:tcW w:w="3860" w:type="dxa"/>
            <w:vAlign w:val="bottom"/>
          </w:tcPr>
          <w:p>
            <w:pPr>
              <w:spacing w:after="0"/>
              <w:rPr>
                <w:sz w:val="20"/>
                <w:szCs w:val="20"/>
                <w:color w:val="auto"/>
              </w:rPr>
            </w:pPr>
            <w:r>
              <w:rPr>
                <w:rFonts w:ascii="Arial" w:cs="Arial" w:eastAsia="Arial" w:hAnsi="Arial"/>
                <w:sz w:val="16"/>
                <w:szCs w:val="16"/>
                <w:color w:val="auto"/>
              </w:rPr>
              <w:t>Southern California Gas Company</w:t>
            </w:r>
          </w:p>
        </w:tc>
        <w:tc>
          <w:tcPr>
            <w:tcW w:w="2120" w:type="dxa"/>
            <w:vAlign w:val="bottom"/>
          </w:tcPr>
          <w:p>
            <w:pPr>
              <w:ind w:left="1540"/>
              <w:spacing w:after="0"/>
              <w:rPr>
                <w:sz w:val="20"/>
                <w:szCs w:val="20"/>
                <w:color w:val="auto"/>
              </w:rPr>
            </w:pPr>
            <w:r>
              <w:rPr>
                <w:rFonts w:ascii="Arial" w:cs="Arial" w:eastAsia="Arial" w:hAnsi="Arial"/>
                <w:sz w:val="16"/>
                <w:szCs w:val="16"/>
                <w:color w:val="auto"/>
              </w:rPr>
              <w:t>Yes</w:t>
            </w:r>
          </w:p>
        </w:tc>
        <w:tc>
          <w:tcPr>
            <w:tcW w:w="900" w:type="dxa"/>
            <w:vAlign w:val="bottom"/>
            <w:tcBorders>
              <w:bottom w:val="single" w:sz="8" w:color="auto"/>
            </w:tcBorders>
          </w:tcPr>
          <w:p>
            <w:pPr>
              <w:spacing w:after="0"/>
              <w:rPr>
                <w:sz w:val="18"/>
                <w:szCs w:val="18"/>
                <w:color w:val="auto"/>
              </w:rPr>
            </w:pPr>
          </w:p>
        </w:tc>
        <w:tc>
          <w:tcPr>
            <w:tcW w:w="1120" w:type="dxa"/>
            <w:vAlign w:val="bottom"/>
          </w:tcPr>
          <w:p>
            <w:pPr>
              <w:ind w:left="520"/>
              <w:spacing w:after="0"/>
              <w:rPr>
                <w:sz w:val="20"/>
                <w:szCs w:val="20"/>
                <w:color w:val="auto"/>
              </w:rPr>
            </w:pPr>
            <w:r>
              <w:rPr>
                <w:rFonts w:ascii="Arial" w:cs="Arial" w:eastAsia="Arial" w:hAnsi="Arial"/>
                <w:sz w:val="16"/>
                <w:szCs w:val="16"/>
                <w:color w:val="auto"/>
              </w:rPr>
              <w:t>No</w:t>
            </w:r>
          </w:p>
        </w:tc>
        <w:tc>
          <w:tcPr>
            <w:tcW w:w="1240" w:type="dxa"/>
            <w:vAlign w:val="bottom"/>
            <w:tcBorders>
              <w:bottom w:val="single" w:sz="8" w:color="auto"/>
            </w:tcBorders>
          </w:tcPr>
          <w:p>
            <w:pPr>
              <w:ind w:left="520"/>
              <w:spacing w:after="0"/>
              <w:rPr>
                <w:sz w:val="20"/>
                <w:szCs w:val="20"/>
                <w:color w:val="auto"/>
              </w:rPr>
            </w:pPr>
            <w:r>
              <w:rPr>
                <w:rFonts w:ascii="Arial" w:cs="Arial" w:eastAsia="Arial" w:hAnsi="Arial"/>
                <w:sz w:val="16"/>
                <w:szCs w:val="16"/>
                <w:color w:val="auto"/>
              </w:rPr>
              <w:t>X</w:t>
            </w:r>
          </w:p>
        </w:tc>
      </w:tr>
    </w:tbl>
    <w:p>
      <w:pPr>
        <w:spacing w:after="0" w:line="192" w:lineRule="exact"/>
        <w:rPr>
          <w:sz w:val="20"/>
          <w:szCs w:val="20"/>
          <w:color w:val="auto"/>
        </w:rPr>
      </w:pPr>
    </w:p>
    <w:p>
      <w:pPr>
        <w:ind w:left="1100"/>
        <w:spacing w:after="0"/>
        <w:rPr>
          <w:sz w:val="20"/>
          <w:szCs w:val="20"/>
          <w:color w:val="auto"/>
        </w:rPr>
      </w:pPr>
      <w:r>
        <w:rPr>
          <w:rFonts w:ascii="Arial" w:cs="Arial" w:eastAsia="Arial" w:hAnsi="Arial"/>
          <w:sz w:val="16"/>
          <w:szCs w:val="16"/>
          <w:color w:val="auto"/>
        </w:rPr>
        <w:t>Indicate by check mark if the registrant is not required to file reports pursuant to Section 13 or Section 15(d) of the Act.</w:t>
      </w:r>
    </w:p>
    <w:p>
      <w:pPr>
        <w:spacing w:after="0" w:line="248" w:lineRule="exact"/>
        <w:rPr>
          <w:sz w:val="20"/>
          <w:szCs w:val="20"/>
          <w:color w:val="auto"/>
        </w:rPr>
      </w:pPr>
    </w:p>
    <w:tbl>
      <w:tblPr>
        <w:tblLayout w:type="fixed"/>
        <w:tblInd w:w="1100" w:type="dxa"/>
        <w:tblCellMar>
          <w:top w:w="0" w:type="dxa"/>
          <w:left w:w="0" w:type="dxa"/>
          <w:bottom w:w="0" w:type="dxa"/>
          <w:right w:w="0" w:type="dxa"/>
        </w:tblCellMar>
      </w:tblPr>
      <w:tr>
        <w:trPr>
          <w:trHeight w:val="209"/>
        </w:trPr>
        <w:tc>
          <w:tcPr>
            <w:tcW w:w="3860" w:type="dxa"/>
            <w:vAlign w:val="bottom"/>
          </w:tcPr>
          <w:p>
            <w:pPr>
              <w:spacing w:after="0"/>
              <w:rPr>
                <w:sz w:val="20"/>
                <w:szCs w:val="20"/>
                <w:color w:val="auto"/>
              </w:rPr>
            </w:pPr>
            <w:r>
              <w:rPr>
                <w:rFonts w:ascii="Arial" w:cs="Arial" w:eastAsia="Arial" w:hAnsi="Arial"/>
                <w:sz w:val="16"/>
                <w:szCs w:val="16"/>
                <w:color w:val="auto"/>
              </w:rPr>
              <w:t>Sempra Energy</w:t>
            </w:r>
          </w:p>
        </w:tc>
        <w:tc>
          <w:tcPr>
            <w:tcW w:w="2120" w:type="dxa"/>
            <w:vAlign w:val="bottom"/>
          </w:tcPr>
          <w:p>
            <w:pPr>
              <w:ind w:left="1540"/>
              <w:spacing w:after="0"/>
              <w:rPr>
                <w:sz w:val="20"/>
                <w:szCs w:val="20"/>
                <w:color w:val="auto"/>
              </w:rPr>
            </w:pPr>
            <w:r>
              <w:rPr>
                <w:rFonts w:ascii="Arial" w:cs="Arial" w:eastAsia="Arial" w:hAnsi="Arial"/>
                <w:sz w:val="16"/>
                <w:szCs w:val="16"/>
                <w:color w:val="auto"/>
              </w:rPr>
              <w:t>Yes</w:t>
            </w:r>
          </w:p>
        </w:tc>
        <w:tc>
          <w:tcPr>
            <w:tcW w:w="900" w:type="dxa"/>
            <w:vAlign w:val="bottom"/>
            <w:tcBorders>
              <w:bottom w:val="single" w:sz="8" w:color="auto"/>
            </w:tcBorders>
          </w:tcPr>
          <w:p>
            <w:pPr>
              <w:spacing w:after="0"/>
              <w:rPr>
                <w:sz w:val="18"/>
                <w:szCs w:val="18"/>
                <w:color w:val="auto"/>
              </w:rPr>
            </w:pPr>
          </w:p>
        </w:tc>
        <w:tc>
          <w:tcPr>
            <w:tcW w:w="1120" w:type="dxa"/>
            <w:vAlign w:val="bottom"/>
          </w:tcPr>
          <w:p>
            <w:pPr>
              <w:ind w:left="520"/>
              <w:spacing w:after="0"/>
              <w:rPr>
                <w:sz w:val="20"/>
                <w:szCs w:val="20"/>
                <w:color w:val="auto"/>
              </w:rPr>
            </w:pPr>
            <w:r>
              <w:rPr>
                <w:rFonts w:ascii="Arial" w:cs="Arial" w:eastAsia="Arial" w:hAnsi="Arial"/>
                <w:sz w:val="16"/>
                <w:szCs w:val="16"/>
                <w:color w:val="auto"/>
              </w:rPr>
              <w:t>No</w:t>
            </w:r>
          </w:p>
        </w:tc>
        <w:tc>
          <w:tcPr>
            <w:tcW w:w="1240" w:type="dxa"/>
            <w:vAlign w:val="bottom"/>
            <w:tcBorders>
              <w:bottom w:val="single" w:sz="8" w:color="auto"/>
            </w:tcBorders>
          </w:tcPr>
          <w:p>
            <w:pPr>
              <w:ind w:left="520"/>
              <w:spacing w:after="0"/>
              <w:rPr>
                <w:sz w:val="20"/>
                <w:szCs w:val="20"/>
                <w:color w:val="auto"/>
              </w:rPr>
            </w:pPr>
            <w:r>
              <w:rPr>
                <w:rFonts w:ascii="Arial" w:cs="Arial" w:eastAsia="Arial" w:hAnsi="Arial"/>
                <w:sz w:val="16"/>
                <w:szCs w:val="16"/>
                <w:color w:val="auto"/>
              </w:rPr>
              <w:t>X</w:t>
            </w:r>
          </w:p>
        </w:tc>
      </w:tr>
      <w:tr>
        <w:trPr>
          <w:trHeight w:val="208"/>
        </w:trPr>
        <w:tc>
          <w:tcPr>
            <w:tcW w:w="3860" w:type="dxa"/>
            <w:vAlign w:val="bottom"/>
          </w:tcPr>
          <w:p>
            <w:pPr>
              <w:spacing w:after="0"/>
              <w:rPr>
                <w:sz w:val="20"/>
                <w:szCs w:val="20"/>
                <w:color w:val="auto"/>
              </w:rPr>
            </w:pPr>
            <w:r>
              <w:rPr>
                <w:rFonts w:ascii="Arial" w:cs="Arial" w:eastAsia="Arial" w:hAnsi="Arial"/>
                <w:sz w:val="16"/>
                <w:szCs w:val="16"/>
                <w:color w:val="auto"/>
              </w:rPr>
              <w:t>San Diego Gas &amp; Electric Company</w:t>
            </w:r>
          </w:p>
        </w:tc>
        <w:tc>
          <w:tcPr>
            <w:tcW w:w="2120" w:type="dxa"/>
            <w:vAlign w:val="bottom"/>
          </w:tcPr>
          <w:p>
            <w:pPr>
              <w:ind w:left="1540"/>
              <w:spacing w:after="0"/>
              <w:rPr>
                <w:sz w:val="20"/>
                <w:szCs w:val="20"/>
                <w:color w:val="auto"/>
              </w:rPr>
            </w:pPr>
            <w:r>
              <w:rPr>
                <w:rFonts w:ascii="Arial" w:cs="Arial" w:eastAsia="Arial" w:hAnsi="Arial"/>
                <w:sz w:val="16"/>
                <w:szCs w:val="16"/>
                <w:color w:val="auto"/>
              </w:rPr>
              <w:t>Yes</w:t>
            </w:r>
          </w:p>
        </w:tc>
        <w:tc>
          <w:tcPr>
            <w:tcW w:w="900" w:type="dxa"/>
            <w:vAlign w:val="bottom"/>
            <w:tcBorders>
              <w:bottom w:val="single" w:sz="8" w:color="auto"/>
            </w:tcBorders>
          </w:tcPr>
          <w:p>
            <w:pPr>
              <w:spacing w:after="0"/>
              <w:rPr>
                <w:sz w:val="18"/>
                <w:szCs w:val="18"/>
                <w:color w:val="auto"/>
              </w:rPr>
            </w:pPr>
          </w:p>
        </w:tc>
        <w:tc>
          <w:tcPr>
            <w:tcW w:w="1120" w:type="dxa"/>
            <w:vAlign w:val="bottom"/>
          </w:tcPr>
          <w:p>
            <w:pPr>
              <w:ind w:left="520"/>
              <w:spacing w:after="0"/>
              <w:rPr>
                <w:sz w:val="20"/>
                <w:szCs w:val="20"/>
                <w:color w:val="auto"/>
              </w:rPr>
            </w:pPr>
            <w:r>
              <w:rPr>
                <w:rFonts w:ascii="Arial" w:cs="Arial" w:eastAsia="Arial" w:hAnsi="Arial"/>
                <w:sz w:val="16"/>
                <w:szCs w:val="16"/>
                <w:color w:val="auto"/>
              </w:rPr>
              <w:t>No</w:t>
            </w:r>
          </w:p>
        </w:tc>
        <w:tc>
          <w:tcPr>
            <w:tcW w:w="1240" w:type="dxa"/>
            <w:vAlign w:val="bottom"/>
            <w:tcBorders>
              <w:bottom w:val="single" w:sz="8" w:color="auto"/>
            </w:tcBorders>
          </w:tcPr>
          <w:p>
            <w:pPr>
              <w:ind w:left="520"/>
              <w:spacing w:after="0"/>
              <w:rPr>
                <w:sz w:val="20"/>
                <w:szCs w:val="20"/>
                <w:color w:val="auto"/>
              </w:rPr>
            </w:pPr>
            <w:r>
              <w:rPr>
                <w:rFonts w:ascii="Arial" w:cs="Arial" w:eastAsia="Arial" w:hAnsi="Arial"/>
                <w:sz w:val="16"/>
                <w:szCs w:val="16"/>
                <w:color w:val="auto"/>
              </w:rPr>
              <w:t>X</w:t>
            </w:r>
          </w:p>
        </w:tc>
      </w:tr>
      <w:tr>
        <w:trPr>
          <w:trHeight w:val="208"/>
        </w:trPr>
        <w:tc>
          <w:tcPr>
            <w:tcW w:w="3860" w:type="dxa"/>
            <w:vAlign w:val="bottom"/>
          </w:tcPr>
          <w:p>
            <w:pPr>
              <w:spacing w:after="0"/>
              <w:rPr>
                <w:sz w:val="20"/>
                <w:szCs w:val="20"/>
                <w:color w:val="auto"/>
              </w:rPr>
            </w:pPr>
            <w:r>
              <w:rPr>
                <w:rFonts w:ascii="Arial" w:cs="Arial" w:eastAsia="Arial" w:hAnsi="Arial"/>
                <w:sz w:val="16"/>
                <w:szCs w:val="16"/>
                <w:color w:val="auto"/>
              </w:rPr>
              <w:t>Pacific Enterprises</w:t>
            </w:r>
          </w:p>
        </w:tc>
        <w:tc>
          <w:tcPr>
            <w:tcW w:w="2120" w:type="dxa"/>
            <w:vAlign w:val="bottom"/>
          </w:tcPr>
          <w:p>
            <w:pPr>
              <w:ind w:left="1540"/>
              <w:spacing w:after="0"/>
              <w:rPr>
                <w:sz w:val="20"/>
                <w:szCs w:val="20"/>
                <w:color w:val="auto"/>
              </w:rPr>
            </w:pPr>
            <w:r>
              <w:rPr>
                <w:rFonts w:ascii="Arial" w:cs="Arial" w:eastAsia="Arial" w:hAnsi="Arial"/>
                <w:sz w:val="16"/>
                <w:szCs w:val="16"/>
                <w:color w:val="auto"/>
              </w:rPr>
              <w:t>Yes</w:t>
            </w:r>
          </w:p>
        </w:tc>
        <w:tc>
          <w:tcPr>
            <w:tcW w:w="900" w:type="dxa"/>
            <w:vAlign w:val="bottom"/>
            <w:tcBorders>
              <w:bottom w:val="single" w:sz="8" w:color="auto"/>
            </w:tcBorders>
          </w:tcPr>
          <w:p>
            <w:pPr>
              <w:spacing w:after="0"/>
              <w:rPr>
                <w:sz w:val="18"/>
                <w:szCs w:val="18"/>
                <w:color w:val="auto"/>
              </w:rPr>
            </w:pPr>
          </w:p>
        </w:tc>
        <w:tc>
          <w:tcPr>
            <w:tcW w:w="1120" w:type="dxa"/>
            <w:vAlign w:val="bottom"/>
          </w:tcPr>
          <w:p>
            <w:pPr>
              <w:ind w:left="520"/>
              <w:spacing w:after="0"/>
              <w:rPr>
                <w:sz w:val="20"/>
                <w:szCs w:val="20"/>
                <w:color w:val="auto"/>
              </w:rPr>
            </w:pPr>
            <w:r>
              <w:rPr>
                <w:rFonts w:ascii="Arial" w:cs="Arial" w:eastAsia="Arial" w:hAnsi="Arial"/>
                <w:sz w:val="16"/>
                <w:szCs w:val="16"/>
                <w:color w:val="auto"/>
              </w:rPr>
              <w:t>No</w:t>
            </w:r>
          </w:p>
        </w:tc>
        <w:tc>
          <w:tcPr>
            <w:tcW w:w="1240" w:type="dxa"/>
            <w:vAlign w:val="bottom"/>
            <w:tcBorders>
              <w:bottom w:val="single" w:sz="8" w:color="auto"/>
            </w:tcBorders>
          </w:tcPr>
          <w:p>
            <w:pPr>
              <w:ind w:left="520"/>
              <w:spacing w:after="0"/>
              <w:rPr>
                <w:sz w:val="20"/>
                <w:szCs w:val="20"/>
                <w:color w:val="auto"/>
              </w:rPr>
            </w:pPr>
            <w:r>
              <w:rPr>
                <w:rFonts w:ascii="Arial" w:cs="Arial" w:eastAsia="Arial" w:hAnsi="Arial"/>
                <w:sz w:val="16"/>
                <w:szCs w:val="16"/>
                <w:color w:val="auto"/>
              </w:rPr>
              <w:t>X</w:t>
            </w:r>
          </w:p>
        </w:tc>
      </w:tr>
      <w:tr>
        <w:trPr>
          <w:trHeight w:val="210"/>
        </w:trPr>
        <w:tc>
          <w:tcPr>
            <w:tcW w:w="3860" w:type="dxa"/>
            <w:vAlign w:val="bottom"/>
          </w:tcPr>
          <w:p>
            <w:pPr>
              <w:spacing w:after="0"/>
              <w:rPr>
                <w:sz w:val="20"/>
                <w:szCs w:val="20"/>
                <w:color w:val="auto"/>
              </w:rPr>
            </w:pPr>
            <w:r>
              <w:rPr>
                <w:rFonts w:ascii="Arial" w:cs="Arial" w:eastAsia="Arial" w:hAnsi="Arial"/>
                <w:sz w:val="16"/>
                <w:szCs w:val="16"/>
                <w:color w:val="auto"/>
              </w:rPr>
              <w:t>Southern California Gas Company</w:t>
            </w:r>
          </w:p>
        </w:tc>
        <w:tc>
          <w:tcPr>
            <w:tcW w:w="2120" w:type="dxa"/>
            <w:vAlign w:val="bottom"/>
          </w:tcPr>
          <w:p>
            <w:pPr>
              <w:ind w:left="1540"/>
              <w:spacing w:after="0"/>
              <w:rPr>
                <w:sz w:val="20"/>
                <w:szCs w:val="20"/>
                <w:color w:val="auto"/>
              </w:rPr>
            </w:pPr>
            <w:r>
              <w:rPr>
                <w:rFonts w:ascii="Arial" w:cs="Arial" w:eastAsia="Arial" w:hAnsi="Arial"/>
                <w:sz w:val="16"/>
                <w:szCs w:val="16"/>
                <w:color w:val="auto"/>
              </w:rPr>
              <w:t>Yes</w:t>
            </w:r>
          </w:p>
        </w:tc>
        <w:tc>
          <w:tcPr>
            <w:tcW w:w="900" w:type="dxa"/>
            <w:vAlign w:val="bottom"/>
            <w:tcBorders>
              <w:bottom w:val="single" w:sz="8" w:color="auto"/>
            </w:tcBorders>
          </w:tcPr>
          <w:p>
            <w:pPr>
              <w:spacing w:after="0"/>
              <w:rPr>
                <w:sz w:val="18"/>
                <w:szCs w:val="18"/>
                <w:color w:val="auto"/>
              </w:rPr>
            </w:pPr>
          </w:p>
        </w:tc>
        <w:tc>
          <w:tcPr>
            <w:tcW w:w="1120" w:type="dxa"/>
            <w:vAlign w:val="bottom"/>
          </w:tcPr>
          <w:p>
            <w:pPr>
              <w:ind w:left="520"/>
              <w:spacing w:after="0"/>
              <w:rPr>
                <w:sz w:val="20"/>
                <w:szCs w:val="20"/>
                <w:color w:val="auto"/>
              </w:rPr>
            </w:pPr>
            <w:r>
              <w:rPr>
                <w:rFonts w:ascii="Arial" w:cs="Arial" w:eastAsia="Arial" w:hAnsi="Arial"/>
                <w:sz w:val="16"/>
                <w:szCs w:val="16"/>
                <w:color w:val="auto"/>
              </w:rPr>
              <w:t>No</w:t>
            </w:r>
          </w:p>
        </w:tc>
        <w:tc>
          <w:tcPr>
            <w:tcW w:w="1240" w:type="dxa"/>
            <w:vAlign w:val="bottom"/>
            <w:tcBorders>
              <w:bottom w:val="single" w:sz="8" w:color="auto"/>
            </w:tcBorders>
          </w:tcPr>
          <w:p>
            <w:pPr>
              <w:ind w:left="520"/>
              <w:spacing w:after="0"/>
              <w:rPr>
                <w:sz w:val="20"/>
                <w:szCs w:val="20"/>
                <w:color w:val="auto"/>
              </w:rPr>
            </w:pPr>
            <w:r>
              <w:rPr>
                <w:rFonts w:ascii="Arial" w:cs="Arial" w:eastAsia="Arial" w:hAnsi="Arial"/>
                <w:sz w:val="16"/>
                <w:szCs w:val="16"/>
                <w:color w:val="auto"/>
              </w:rPr>
              <w:t>X</w:t>
            </w:r>
          </w:p>
        </w:tc>
      </w:tr>
    </w:tbl>
    <w:p>
      <w:pPr>
        <w:spacing w:after="0" w:line="192" w:lineRule="exact"/>
        <w:rPr>
          <w:sz w:val="20"/>
          <w:szCs w:val="20"/>
          <w:color w:val="auto"/>
        </w:rPr>
      </w:pPr>
    </w:p>
    <w:p>
      <w:pPr>
        <w:jc w:val="both"/>
        <w:ind w:left="1100" w:right="140"/>
        <w:spacing w:after="0" w:line="264" w:lineRule="auto"/>
        <w:rPr>
          <w:sz w:val="20"/>
          <w:szCs w:val="20"/>
          <w:color w:val="auto"/>
        </w:rPr>
      </w:pPr>
      <w:r>
        <w:rPr>
          <w:rFonts w:ascii="Arial" w:cs="Arial" w:eastAsia="Arial" w:hAnsi="Arial"/>
          <w:sz w:val="16"/>
          <w:szCs w:val="16"/>
          <w:color w:val="auto"/>
        </w:rPr>
        <w:t>Indicate by check mark whether the registrants (1) have filed all reports required to be filed by Section 13 or 15(d) of the Securities Exchange Act of 1934 during the preceding 12 months (or for such shorter period that the registrant was required to file such reports), and (2) have been subject to such filing requirements for the past 90 days.</w:t>
      </w:r>
    </w:p>
    <w:p>
      <w:pPr>
        <w:spacing w:after="0" w:line="210" w:lineRule="exact"/>
        <w:rPr>
          <w:sz w:val="20"/>
          <w:szCs w:val="20"/>
          <w:color w:val="auto"/>
        </w:rPr>
      </w:pPr>
    </w:p>
    <w:p>
      <w:pPr>
        <w:ind w:left="6500"/>
        <w:spacing w:after="0"/>
        <w:tabs>
          <w:tab w:leader="none" w:pos="7420" w:val="left"/>
          <w:tab w:leader="none" w:pos="8480" w:val="left"/>
        </w:tabs>
        <w:rPr>
          <w:sz w:val="20"/>
          <w:szCs w:val="20"/>
          <w:color w:val="auto"/>
        </w:rPr>
      </w:pPr>
      <w:r>
        <w:rPr>
          <w:rFonts w:ascii="Arial" w:cs="Arial" w:eastAsia="Arial" w:hAnsi="Arial"/>
          <w:sz w:val="16"/>
          <w:szCs w:val="16"/>
          <w:color w:val="auto"/>
        </w:rPr>
        <w:t>Yes</w:t>
      </w:r>
      <w:r>
        <w:rPr>
          <w:sz w:val="20"/>
          <w:szCs w:val="20"/>
          <w:color w:val="auto"/>
        </w:rPr>
        <w:tab/>
      </w:r>
      <w:r>
        <w:rPr>
          <w:rFonts w:ascii="Arial" w:cs="Arial" w:eastAsia="Arial" w:hAnsi="Arial"/>
          <w:sz w:val="16"/>
          <w:szCs w:val="16"/>
          <w:color w:val="auto"/>
        </w:rPr>
        <w:t>X</w:t>
      </w:r>
      <w:r>
        <w:rPr>
          <w:sz w:val="20"/>
          <w:szCs w:val="20"/>
          <w:color w:val="auto"/>
        </w:rPr>
        <w:tab/>
      </w:r>
      <w:r>
        <w:rPr>
          <w:rFonts w:ascii="Arial" w:cs="Arial" w:eastAsia="Arial" w:hAnsi="Arial"/>
          <w:sz w:val="15"/>
          <w:szCs w:val="15"/>
          <w:color w:val="auto"/>
        </w:rPr>
        <w:t>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4497705</wp:posOffset>
            </wp:positionH>
            <wp:positionV relativeFrom="paragraph">
              <wp:posOffset>20955</wp:posOffset>
            </wp:positionV>
            <wp:extent cx="564515"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64515" cy="7620"/>
                    </a:xfrm>
                    <a:prstGeom prst="rect">
                      <a:avLst/>
                    </a:prstGeom>
                    <a:noFill/>
                  </pic:spPr>
                </pic:pic>
              </a:graphicData>
            </a:graphic>
          </wp:anchor>
        </w:drawing>
        <w:drawing>
          <wp:anchor simplePos="0" relativeHeight="251657728" behindDoc="1" locked="0" layoutInCell="0" allowOverlap="1">
            <wp:simplePos x="0" y="0"/>
            <wp:positionH relativeFrom="column">
              <wp:posOffset>5779135</wp:posOffset>
            </wp:positionH>
            <wp:positionV relativeFrom="paragraph">
              <wp:posOffset>20955</wp:posOffset>
            </wp:positionV>
            <wp:extent cx="785495"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85495" cy="7620"/>
                    </a:xfrm>
                    <a:prstGeom prst="rect">
                      <a:avLst/>
                    </a:prstGeom>
                    <a:noFill/>
                  </pic:spPr>
                </pic:pic>
              </a:graphicData>
            </a:graphic>
          </wp:anchor>
        </w:drawing>
      </w:r>
    </w:p>
    <w:p>
      <w:pPr>
        <w:spacing w:after="0" w:line="216" w:lineRule="exact"/>
        <w:rPr>
          <w:sz w:val="20"/>
          <w:szCs w:val="20"/>
          <w:color w:val="auto"/>
        </w:rPr>
      </w:pPr>
    </w:p>
    <w:p>
      <w:pPr>
        <w:ind w:left="1100" w:right="100"/>
        <w:spacing w:after="0" w:line="261" w:lineRule="auto"/>
        <w:rPr>
          <w:sz w:val="20"/>
          <w:szCs w:val="20"/>
          <w:color w:val="auto"/>
        </w:rPr>
      </w:pPr>
      <w:r>
        <w:rPr>
          <w:rFonts w:ascii="Arial" w:cs="Arial" w:eastAsia="Arial" w:hAnsi="Arial"/>
          <w:sz w:val="16"/>
          <w:szCs w:val="16"/>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w:t>
      </w:r>
    </w:p>
    <w:p>
      <w:pPr>
        <w:ind w:left="9620"/>
        <w:spacing w:after="0"/>
        <w:rPr>
          <w:sz w:val="20"/>
          <w:szCs w:val="20"/>
          <w:color w:val="auto"/>
        </w:rPr>
      </w:pPr>
      <w:r>
        <w:rPr>
          <w:rFonts w:ascii="Arial" w:cs="Arial" w:eastAsia="Arial" w:hAnsi="Arial"/>
          <w:sz w:val="16"/>
          <w:szCs w:val="16"/>
          <w:color w:val="auto"/>
        </w:rPr>
        <w:t>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5779135</wp:posOffset>
            </wp:positionH>
            <wp:positionV relativeFrom="paragraph">
              <wp:posOffset>20955</wp:posOffset>
            </wp:positionV>
            <wp:extent cx="785495"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85495" cy="7620"/>
                    </a:xfrm>
                    <a:prstGeom prst="rect">
                      <a:avLst/>
                    </a:prstGeom>
                    <a:noFill/>
                  </pic:spPr>
                </pic:pic>
              </a:graphicData>
            </a:graphic>
          </wp:anchor>
        </w:drawing>
      </w:r>
    </w:p>
    <w:p>
      <w:pPr>
        <w:spacing w:after="0" w:line="216" w:lineRule="exact"/>
        <w:rPr>
          <w:sz w:val="20"/>
          <w:szCs w:val="20"/>
          <w:color w:val="auto"/>
        </w:rPr>
      </w:pPr>
    </w:p>
    <w:p>
      <w:pPr>
        <w:ind w:left="1100" w:right="260"/>
        <w:spacing w:after="0" w:line="264"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210" w:lineRule="exact"/>
        <w:rPr>
          <w:sz w:val="20"/>
          <w:szCs w:val="20"/>
          <w:color w:val="auto"/>
        </w:rPr>
      </w:pPr>
    </w:p>
    <w:tbl>
      <w:tblPr>
        <w:tblLayout w:type="fixed"/>
        <w:tblInd w:w="1100" w:type="dxa"/>
        <w:tblCellMar>
          <w:top w:w="0" w:type="dxa"/>
          <w:left w:w="0" w:type="dxa"/>
          <w:bottom w:w="0" w:type="dxa"/>
          <w:right w:w="0" w:type="dxa"/>
        </w:tblCellMar>
      </w:tblPr>
      <w:tr>
        <w:trPr>
          <w:trHeight w:val="192"/>
        </w:trPr>
        <w:tc>
          <w:tcPr>
            <w:tcW w:w="2220" w:type="dxa"/>
            <w:vAlign w:val="bottom"/>
          </w:tcPr>
          <w:p>
            <w:pPr>
              <w:spacing w:after="0"/>
              <w:rPr>
                <w:sz w:val="16"/>
                <w:szCs w:val="16"/>
                <w:color w:val="auto"/>
              </w:rPr>
            </w:pPr>
          </w:p>
        </w:tc>
        <w:tc>
          <w:tcPr>
            <w:tcW w:w="1800" w:type="dxa"/>
            <w:vAlign w:val="bottom"/>
            <w:gridSpan w:val="2"/>
          </w:tcPr>
          <w:p>
            <w:pPr>
              <w:ind w:left="700"/>
              <w:spacing w:after="0"/>
              <w:rPr>
                <w:sz w:val="20"/>
                <w:szCs w:val="20"/>
                <w:color w:val="auto"/>
              </w:rPr>
            </w:pPr>
            <w:r>
              <w:rPr>
                <w:rFonts w:ascii="Arial" w:cs="Arial" w:eastAsia="Arial" w:hAnsi="Arial"/>
                <w:sz w:val="16"/>
                <w:szCs w:val="16"/>
                <w:color w:val="auto"/>
              </w:rPr>
              <w:t>Large</w:t>
            </w:r>
          </w:p>
        </w:tc>
        <w:tc>
          <w:tcPr>
            <w:tcW w:w="9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660" w:type="dxa"/>
            <w:vAlign w:val="bottom"/>
            <w:gridSpan w:val="2"/>
          </w:tcPr>
          <w:p>
            <w:pPr>
              <w:jc w:val="right"/>
              <w:ind w:right="240"/>
              <w:spacing w:after="0"/>
              <w:rPr>
                <w:sz w:val="20"/>
                <w:szCs w:val="20"/>
                <w:color w:val="auto"/>
              </w:rPr>
            </w:pPr>
            <w:r>
              <w:rPr>
                <w:rFonts w:ascii="Arial" w:cs="Arial" w:eastAsia="Arial" w:hAnsi="Arial"/>
                <w:sz w:val="16"/>
                <w:szCs w:val="16"/>
                <w:color w:val="auto"/>
              </w:rPr>
              <w:t>Smaller reporting</w:t>
            </w:r>
          </w:p>
        </w:tc>
      </w:tr>
      <w:tr>
        <w:trPr>
          <w:trHeight w:val="209"/>
        </w:trPr>
        <w:tc>
          <w:tcPr>
            <w:tcW w:w="2220" w:type="dxa"/>
            <w:vAlign w:val="bottom"/>
          </w:tcPr>
          <w:p>
            <w:pPr>
              <w:spacing w:after="0"/>
              <w:rPr>
                <w:sz w:val="18"/>
                <w:szCs w:val="18"/>
                <w:color w:val="auto"/>
              </w:rPr>
            </w:pPr>
          </w:p>
        </w:tc>
        <w:tc>
          <w:tcPr>
            <w:tcW w:w="1800" w:type="dxa"/>
            <w:vAlign w:val="bottom"/>
            <w:tcBorders>
              <w:bottom w:val="single" w:sz="8" w:color="auto"/>
            </w:tcBorders>
            <w:gridSpan w:val="2"/>
          </w:tcPr>
          <w:p>
            <w:pPr>
              <w:ind w:left="400"/>
              <w:spacing w:after="0"/>
              <w:rPr>
                <w:sz w:val="20"/>
                <w:szCs w:val="20"/>
                <w:color w:val="auto"/>
              </w:rPr>
            </w:pPr>
            <w:r>
              <w:rPr>
                <w:rFonts w:ascii="Arial" w:cs="Arial" w:eastAsia="Arial" w:hAnsi="Arial"/>
                <w:sz w:val="16"/>
                <w:szCs w:val="16"/>
                <w:color w:val="auto"/>
              </w:rPr>
              <w:t>accelerated filer</w:t>
            </w:r>
          </w:p>
        </w:tc>
        <w:tc>
          <w:tcPr>
            <w:tcW w:w="172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Accelerated filer</w:t>
            </w:r>
          </w:p>
        </w:tc>
        <w:tc>
          <w:tcPr>
            <w:tcW w:w="1840" w:type="dxa"/>
            <w:vAlign w:val="bottom"/>
            <w:tcBorders>
              <w:bottom w:val="single" w:sz="8" w:color="auto"/>
            </w:tcBorders>
            <w:gridSpan w:val="2"/>
          </w:tcPr>
          <w:p>
            <w:pPr>
              <w:ind w:left="260"/>
              <w:spacing w:after="0"/>
              <w:rPr>
                <w:sz w:val="20"/>
                <w:szCs w:val="20"/>
                <w:color w:val="auto"/>
              </w:rPr>
            </w:pPr>
            <w:r>
              <w:rPr>
                <w:rFonts w:ascii="Arial" w:cs="Arial" w:eastAsia="Arial" w:hAnsi="Arial"/>
                <w:sz w:val="16"/>
                <w:szCs w:val="16"/>
                <w:color w:val="auto"/>
              </w:rPr>
              <w:t>Non-accelerated filer</w:t>
            </w:r>
          </w:p>
        </w:tc>
        <w:tc>
          <w:tcPr>
            <w:tcW w:w="1660" w:type="dxa"/>
            <w:vAlign w:val="bottom"/>
            <w:tcBorders>
              <w:bottom w:val="single" w:sz="8" w:color="auto"/>
            </w:tcBorders>
            <w:gridSpan w:val="2"/>
          </w:tcPr>
          <w:p>
            <w:pPr>
              <w:jc w:val="right"/>
              <w:ind w:right="500"/>
              <w:spacing w:after="0"/>
              <w:rPr>
                <w:sz w:val="20"/>
                <w:szCs w:val="20"/>
                <w:color w:val="auto"/>
              </w:rPr>
            </w:pPr>
            <w:r>
              <w:rPr>
                <w:rFonts w:ascii="Arial" w:cs="Arial" w:eastAsia="Arial" w:hAnsi="Arial"/>
                <w:sz w:val="16"/>
                <w:szCs w:val="16"/>
                <w:color w:val="auto"/>
              </w:rPr>
              <w:t>company</w:t>
            </w:r>
          </w:p>
        </w:tc>
      </w:tr>
      <w:tr>
        <w:trPr>
          <w:trHeight w:val="205"/>
        </w:trPr>
        <w:tc>
          <w:tcPr>
            <w:tcW w:w="2220" w:type="dxa"/>
            <w:vAlign w:val="bottom"/>
          </w:tcPr>
          <w:p>
            <w:pPr>
              <w:spacing w:after="0"/>
              <w:rPr>
                <w:sz w:val="20"/>
                <w:szCs w:val="20"/>
                <w:color w:val="auto"/>
              </w:rPr>
            </w:pPr>
            <w:r>
              <w:rPr>
                <w:rFonts w:ascii="Arial" w:cs="Arial" w:eastAsia="Arial" w:hAnsi="Arial"/>
                <w:sz w:val="16"/>
                <w:szCs w:val="16"/>
                <w:color w:val="auto"/>
              </w:rPr>
              <w:t>Sempra Energy</w:t>
            </w:r>
          </w:p>
        </w:tc>
        <w:tc>
          <w:tcPr>
            <w:tcW w:w="800" w:type="dxa"/>
            <w:vAlign w:val="bottom"/>
          </w:tcPr>
          <w:p>
            <w:pPr>
              <w:ind w:left="720"/>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620"/>
              <w:spacing w:after="0"/>
              <w:rPr>
                <w:sz w:val="20"/>
                <w:szCs w:val="20"/>
                <w:color w:val="auto"/>
              </w:rPr>
            </w:pPr>
            <w:r>
              <w:rPr>
                <w:rFonts w:ascii="Arial" w:cs="Arial" w:eastAsia="Arial" w:hAnsi="Arial"/>
                <w:sz w:val="16"/>
                <w:szCs w:val="16"/>
                <w:color w:val="auto"/>
              </w:rPr>
              <w:t>X ]</w:t>
            </w: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540"/>
              <w:spacing w:after="0"/>
              <w:rPr>
                <w:sz w:val="20"/>
                <w:szCs w:val="20"/>
                <w:color w:val="auto"/>
              </w:rPr>
            </w:pPr>
            <w:r>
              <w:rPr>
                <w:rFonts w:ascii="Arial" w:cs="Arial" w:eastAsia="Arial" w:hAnsi="Arial"/>
                <w:sz w:val="16"/>
                <w:szCs w:val="16"/>
                <w:color w:val="auto"/>
              </w:rPr>
              <w:t>]</w:t>
            </w:r>
          </w:p>
        </w:tc>
        <w:tc>
          <w:tcPr>
            <w:tcW w:w="840" w:type="dxa"/>
            <w:vAlign w:val="bottom"/>
          </w:tcPr>
          <w:p>
            <w:pPr>
              <w:ind w:left="740"/>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640"/>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620"/>
              <w:spacing w:after="0"/>
              <w:rPr>
                <w:sz w:val="20"/>
                <w:szCs w:val="20"/>
                <w:color w:val="auto"/>
              </w:rPr>
            </w:pPr>
            <w:r>
              <w:rPr>
                <w:rFonts w:ascii="Arial" w:cs="Arial" w:eastAsia="Arial" w:hAnsi="Arial"/>
                <w:sz w:val="16"/>
                <w:szCs w:val="16"/>
                <w:color w:val="auto"/>
              </w:rPr>
              <w:t>]</w:t>
            </w:r>
          </w:p>
        </w:tc>
      </w:tr>
      <w:tr>
        <w:trPr>
          <w:trHeight w:val="203"/>
        </w:trPr>
        <w:tc>
          <w:tcPr>
            <w:tcW w:w="2220" w:type="dxa"/>
            <w:vAlign w:val="bottom"/>
          </w:tcPr>
          <w:p>
            <w:pPr>
              <w:spacing w:after="0"/>
              <w:rPr>
                <w:sz w:val="20"/>
                <w:szCs w:val="20"/>
                <w:color w:val="auto"/>
              </w:rPr>
            </w:pPr>
            <w:r>
              <w:rPr>
                <w:rFonts w:ascii="Arial" w:cs="Arial" w:eastAsia="Arial" w:hAnsi="Arial"/>
                <w:sz w:val="16"/>
                <w:szCs w:val="16"/>
                <w:color w:val="auto"/>
              </w:rPr>
              <w:t>San Diego Gas &amp; Electric</w:t>
            </w:r>
          </w:p>
        </w:tc>
        <w:tc>
          <w:tcPr>
            <w:tcW w:w="8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05"/>
        </w:trPr>
        <w:tc>
          <w:tcPr>
            <w:tcW w:w="2220" w:type="dxa"/>
            <w:vAlign w:val="bottom"/>
          </w:tcPr>
          <w:p>
            <w:pPr>
              <w:ind w:left="340"/>
              <w:spacing w:after="0"/>
              <w:rPr>
                <w:sz w:val="20"/>
                <w:szCs w:val="20"/>
                <w:color w:val="auto"/>
              </w:rPr>
            </w:pPr>
            <w:r>
              <w:rPr>
                <w:rFonts w:ascii="Arial" w:cs="Arial" w:eastAsia="Arial" w:hAnsi="Arial"/>
                <w:sz w:val="16"/>
                <w:szCs w:val="16"/>
                <w:color w:val="auto"/>
              </w:rPr>
              <w:t>Company</w:t>
            </w:r>
          </w:p>
        </w:tc>
        <w:tc>
          <w:tcPr>
            <w:tcW w:w="800" w:type="dxa"/>
            <w:vAlign w:val="bottom"/>
          </w:tcPr>
          <w:p>
            <w:pPr>
              <w:ind w:left="720"/>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620"/>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540"/>
              <w:spacing w:after="0"/>
              <w:rPr>
                <w:sz w:val="20"/>
                <w:szCs w:val="20"/>
                <w:color w:val="auto"/>
              </w:rPr>
            </w:pPr>
            <w:r>
              <w:rPr>
                <w:rFonts w:ascii="Arial" w:cs="Arial" w:eastAsia="Arial" w:hAnsi="Arial"/>
                <w:sz w:val="16"/>
                <w:szCs w:val="16"/>
                <w:color w:val="auto"/>
              </w:rPr>
              <w:t>]</w:t>
            </w:r>
          </w:p>
        </w:tc>
        <w:tc>
          <w:tcPr>
            <w:tcW w:w="1840" w:type="dxa"/>
            <w:vAlign w:val="bottom"/>
            <w:gridSpan w:val="2"/>
          </w:tcPr>
          <w:p>
            <w:pPr>
              <w:ind w:left="740"/>
              <w:spacing w:after="0"/>
              <w:rPr>
                <w:sz w:val="20"/>
                <w:szCs w:val="20"/>
                <w:color w:val="auto"/>
              </w:rPr>
            </w:pPr>
            <w:r>
              <w:rPr>
                <w:rFonts w:ascii="Arial" w:cs="Arial" w:eastAsia="Arial" w:hAnsi="Arial"/>
                <w:sz w:val="16"/>
                <w:szCs w:val="16"/>
                <w:color w:val="auto"/>
              </w:rPr>
              <w:t>[ X ]</w:t>
            </w:r>
          </w:p>
        </w:tc>
        <w:tc>
          <w:tcPr>
            <w:tcW w:w="78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620"/>
              <w:spacing w:after="0"/>
              <w:rPr>
                <w:sz w:val="20"/>
                <w:szCs w:val="20"/>
                <w:color w:val="auto"/>
              </w:rPr>
            </w:pPr>
            <w:r>
              <w:rPr>
                <w:rFonts w:ascii="Arial" w:cs="Arial" w:eastAsia="Arial" w:hAnsi="Arial"/>
                <w:sz w:val="16"/>
                <w:szCs w:val="16"/>
                <w:color w:val="auto"/>
              </w:rPr>
              <w:t>]</w:t>
            </w:r>
          </w:p>
        </w:tc>
      </w:tr>
      <w:tr>
        <w:trPr>
          <w:trHeight w:val="216"/>
        </w:trPr>
        <w:tc>
          <w:tcPr>
            <w:tcW w:w="2220" w:type="dxa"/>
            <w:vAlign w:val="bottom"/>
          </w:tcPr>
          <w:p>
            <w:pPr>
              <w:spacing w:after="0"/>
              <w:rPr>
                <w:sz w:val="20"/>
                <w:szCs w:val="20"/>
                <w:color w:val="auto"/>
              </w:rPr>
            </w:pPr>
            <w:r>
              <w:rPr>
                <w:rFonts w:ascii="Arial" w:cs="Arial" w:eastAsia="Arial" w:hAnsi="Arial"/>
                <w:sz w:val="16"/>
                <w:szCs w:val="16"/>
                <w:color w:val="auto"/>
              </w:rPr>
              <w:t>Pacific Enterprises</w:t>
            </w:r>
          </w:p>
        </w:tc>
        <w:tc>
          <w:tcPr>
            <w:tcW w:w="800" w:type="dxa"/>
            <w:vAlign w:val="bottom"/>
          </w:tcPr>
          <w:p>
            <w:pPr>
              <w:ind w:left="720"/>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620"/>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540"/>
              <w:spacing w:after="0"/>
              <w:rPr>
                <w:sz w:val="20"/>
                <w:szCs w:val="20"/>
                <w:color w:val="auto"/>
              </w:rPr>
            </w:pPr>
            <w:r>
              <w:rPr>
                <w:rFonts w:ascii="Arial" w:cs="Arial" w:eastAsia="Arial" w:hAnsi="Arial"/>
                <w:sz w:val="16"/>
                <w:szCs w:val="16"/>
                <w:color w:val="auto"/>
              </w:rPr>
              <w:t>]</w:t>
            </w:r>
          </w:p>
        </w:tc>
        <w:tc>
          <w:tcPr>
            <w:tcW w:w="840" w:type="dxa"/>
            <w:vAlign w:val="bottom"/>
          </w:tcPr>
          <w:p>
            <w:pPr>
              <w:ind w:left="740"/>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640"/>
              <w:spacing w:after="0"/>
              <w:rPr>
                <w:sz w:val="20"/>
                <w:szCs w:val="20"/>
                <w:color w:val="auto"/>
              </w:rPr>
            </w:pPr>
            <w:r>
              <w:rPr>
                <w:rFonts w:ascii="Arial" w:cs="Arial" w:eastAsia="Arial" w:hAnsi="Arial"/>
                <w:sz w:val="16"/>
                <w:szCs w:val="16"/>
                <w:color w:val="auto"/>
              </w:rPr>
              <w:t>X ]</w:t>
            </w:r>
          </w:p>
        </w:tc>
        <w:tc>
          <w:tcPr>
            <w:tcW w:w="78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620"/>
              <w:spacing w:after="0"/>
              <w:rPr>
                <w:sz w:val="20"/>
                <w:szCs w:val="20"/>
                <w:color w:val="auto"/>
              </w:rPr>
            </w:pPr>
            <w:r>
              <w:rPr>
                <w:rFonts w:ascii="Arial" w:cs="Arial" w:eastAsia="Arial" w:hAnsi="Arial"/>
                <w:sz w:val="16"/>
                <w:szCs w:val="16"/>
                <w:color w:val="auto"/>
              </w:rPr>
              <w:t>]</w:t>
            </w:r>
          </w:p>
        </w:tc>
      </w:tr>
      <w:tr>
        <w:trPr>
          <w:trHeight w:val="204"/>
        </w:trPr>
        <w:tc>
          <w:tcPr>
            <w:tcW w:w="2220" w:type="dxa"/>
            <w:vAlign w:val="bottom"/>
          </w:tcPr>
          <w:p>
            <w:pPr>
              <w:spacing w:after="0"/>
              <w:rPr>
                <w:sz w:val="20"/>
                <w:szCs w:val="20"/>
                <w:color w:val="auto"/>
              </w:rPr>
            </w:pPr>
            <w:r>
              <w:rPr>
                <w:rFonts w:ascii="Arial" w:cs="Arial" w:eastAsia="Arial" w:hAnsi="Arial"/>
                <w:sz w:val="16"/>
                <w:szCs w:val="16"/>
                <w:color w:val="auto"/>
              </w:rPr>
              <w:t>Southern California Gas</w:t>
            </w:r>
          </w:p>
        </w:tc>
        <w:tc>
          <w:tcPr>
            <w:tcW w:w="8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05"/>
        </w:trPr>
        <w:tc>
          <w:tcPr>
            <w:tcW w:w="2220" w:type="dxa"/>
            <w:vAlign w:val="bottom"/>
          </w:tcPr>
          <w:p>
            <w:pPr>
              <w:ind w:left="340"/>
              <w:spacing w:after="0"/>
              <w:rPr>
                <w:sz w:val="20"/>
                <w:szCs w:val="20"/>
                <w:color w:val="auto"/>
              </w:rPr>
            </w:pPr>
            <w:r>
              <w:rPr>
                <w:rFonts w:ascii="Arial" w:cs="Arial" w:eastAsia="Arial" w:hAnsi="Arial"/>
                <w:sz w:val="16"/>
                <w:szCs w:val="16"/>
                <w:color w:val="auto"/>
              </w:rPr>
              <w:t>Company</w:t>
            </w:r>
          </w:p>
        </w:tc>
        <w:tc>
          <w:tcPr>
            <w:tcW w:w="800" w:type="dxa"/>
            <w:vAlign w:val="bottom"/>
          </w:tcPr>
          <w:p>
            <w:pPr>
              <w:ind w:left="720"/>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620"/>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540"/>
              <w:spacing w:after="0"/>
              <w:rPr>
                <w:sz w:val="20"/>
                <w:szCs w:val="20"/>
                <w:color w:val="auto"/>
              </w:rPr>
            </w:pPr>
            <w:r>
              <w:rPr>
                <w:rFonts w:ascii="Arial" w:cs="Arial" w:eastAsia="Arial" w:hAnsi="Arial"/>
                <w:sz w:val="16"/>
                <w:szCs w:val="16"/>
                <w:color w:val="auto"/>
              </w:rPr>
              <w:t>]</w:t>
            </w:r>
          </w:p>
        </w:tc>
        <w:tc>
          <w:tcPr>
            <w:tcW w:w="1840" w:type="dxa"/>
            <w:vAlign w:val="bottom"/>
            <w:gridSpan w:val="2"/>
          </w:tcPr>
          <w:p>
            <w:pPr>
              <w:ind w:left="740"/>
              <w:spacing w:after="0"/>
              <w:rPr>
                <w:sz w:val="20"/>
                <w:szCs w:val="20"/>
                <w:color w:val="auto"/>
              </w:rPr>
            </w:pPr>
            <w:r>
              <w:rPr>
                <w:rFonts w:ascii="Arial" w:cs="Arial" w:eastAsia="Arial" w:hAnsi="Arial"/>
                <w:sz w:val="16"/>
                <w:szCs w:val="16"/>
                <w:color w:val="auto"/>
              </w:rPr>
              <w:t>[ X ]</w:t>
            </w:r>
          </w:p>
        </w:tc>
        <w:tc>
          <w:tcPr>
            <w:tcW w:w="78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620"/>
              <w:spacing w:after="0"/>
              <w:rPr>
                <w:sz w:val="20"/>
                <w:szCs w:val="20"/>
                <w:color w:val="auto"/>
              </w:rPr>
            </w:pPr>
            <w:r>
              <w:rPr>
                <w:rFonts w:ascii="Arial" w:cs="Arial" w:eastAsia="Arial" w:hAnsi="Arial"/>
                <w:sz w:val="16"/>
                <w:szCs w:val="16"/>
                <w:color w:val="auto"/>
              </w:rPr>
              <w:t>]</w:t>
            </w:r>
          </w:p>
        </w:tc>
      </w:tr>
    </w:tbl>
    <w:p>
      <w:pPr>
        <w:spacing w:after="0" w:line="204" w:lineRule="exact"/>
        <w:rPr>
          <w:sz w:val="20"/>
          <w:szCs w:val="20"/>
          <w:color w:val="auto"/>
        </w:rPr>
      </w:pPr>
    </w:p>
    <w:p>
      <w:pPr>
        <w:ind w:left="1100"/>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p>
    <w:p>
      <w:pPr>
        <w:spacing w:after="0" w:line="248" w:lineRule="exact"/>
        <w:rPr>
          <w:sz w:val="20"/>
          <w:szCs w:val="20"/>
          <w:color w:val="auto"/>
        </w:rPr>
      </w:pPr>
    </w:p>
    <w:tbl>
      <w:tblPr>
        <w:tblLayout w:type="fixed"/>
        <w:tblInd w:w="1100" w:type="dxa"/>
        <w:tblCellMar>
          <w:top w:w="0" w:type="dxa"/>
          <w:left w:w="0" w:type="dxa"/>
          <w:bottom w:w="0" w:type="dxa"/>
          <w:right w:w="0" w:type="dxa"/>
        </w:tblCellMar>
      </w:tblPr>
      <w:tr>
        <w:trPr>
          <w:trHeight w:val="209"/>
        </w:trPr>
        <w:tc>
          <w:tcPr>
            <w:tcW w:w="4220" w:type="dxa"/>
            <w:vAlign w:val="bottom"/>
          </w:tcPr>
          <w:p>
            <w:pPr>
              <w:spacing w:after="0"/>
              <w:rPr>
                <w:sz w:val="20"/>
                <w:szCs w:val="20"/>
                <w:color w:val="auto"/>
              </w:rPr>
            </w:pPr>
            <w:r>
              <w:rPr>
                <w:rFonts w:ascii="Arial" w:cs="Arial" w:eastAsia="Arial" w:hAnsi="Arial"/>
                <w:sz w:val="16"/>
                <w:szCs w:val="16"/>
                <w:color w:val="auto"/>
              </w:rPr>
              <w:t>Sempra Energy</w:t>
            </w:r>
          </w:p>
        </w:tc>
        <w:tc>
          <w:tcPr>
            <w:tcW w:w="1760" w:type="dxa"/>
            <w:vAlign w:val="bottom"/>
          </w:tcPr>
          <w:p>
            <w:pPr>
              <w:ind w:left="1180"/>
              <w:spacing w:after="0"/>
              <w:rPr>
                <w:sz w:val="20"/>
                <w:szCs w:val="20"/>
                <w:color w:val="auto"/>
              </w:rPr>
            </w:pPr>
            <w:r>
              <w:rPr>
                <w:rFonts w:ascii="Arial" w:cs="Arial" w:eastAsia="Arial" w:hAnsi="Arial"/>
                <w:sz w:val="16"/>
                <w:szCs w:val="16"/>
                <w:color w:val="auto"/>
              </w:rPr>
              <w:t>Yes</w:t>
            </w:r>
          </w:p>
        </w:tc>
        <w:tc>
          <w:tcPr>
            <w:tcW w:w="900" w:type="dxa"/>
            <w:vAlign w:val="bottom"/>
            <w:tcBorders>
              <w:bottom w:val="single" w:sz="8" w:color="auto"/>
            </w:tcBorders>
          </w:tcPr>
          <w:p>
            <w:pPr>
              <w:spacing w:after="0"/>
              <w:rPr>
                <w:sz w:val="18"/>
                <w:szCs w:val="18"/>
                <w:color w:val="auto"/>
              </w:rPr>
            </w:pPr>
          </w:p>
        </w:tc>
        <w:tc>
          <w:tcPr>
            <w:tcW w:w="1120" w:type="dxa"/>
            <w:vAlign w:val="bottom"/>
          </w:tcPr>
          <w:p>
            <w:pPr>
              <w:ind w:left="520"/>
              <w:spacing w:after="0"/>
              <w:rPr>
                <w:sz w:val="20"/>
                <w:szCs w:val="20"/>
                <w:color w:val="auto"/>
              </w:rPr>
            </w:pPr>
            <w:r>
              <w:rPr>
                <w:rFonts w:ascii="Arial" w:cs="Arial" w:eastAsia="Arial" w:hAnsi="Arial"/>
                <w:sz w:val="16"/>
                <w:szCs w:val="16"/>
                <w:color w:val="auto"/>
              </w:rPr>
              <w:t>No</w:t>
            </w:r>
          </w:p>
        </w:tc>
        <w:tc>
          <w:tcPr>
            <w:tcW w:w="1240" w:type="dxa"/>
            <w:vAlign w:val="bottom"/>
            <w:tcBorders>
              <w:bottom w:val="single" w:sz="8" w:color="auto"/>
            </w:tcBorders>
          </w:tcPr>
          <w:p>
            <w:pPr>
              <w:ind w:left="520"/>
              <w:spacing w:after="0"/>
              <w:rPr>
                <w:sz w:val="20"/>
                <w:szCs w:val="20"/>
                <w:color w:val="auto"/>
              </w:rPr>
            </w:pPr>
            <w:r>
              <w:rPr>
                <w:rFonts w:ascii="Arial" w:cs="Arial" w:eastAsia="Arial" w:hAnsi="Arial"/>
                <w:sz w:val="16"/>
                <w:szCs w:val="16"/>
                <w:color w:val="auto"/>
              </w:rPr>
              <w:t>X</w:t>
            </w:r>
          </w:p>
        </w:tc>
      </w:tr>
      <w:tr>
        <w:trPr>
          <w:trHeight w:val="208"/>
        </w:trPr>
        <w:tc>
          <w:tcPr>
            <w:tcW w:w="4220" w:type="dxa"/>
            <w:vAlign w:val="bottom"/>
          </w:tcPr>
          <w:p>
            <w:pPr>
              <w:spacing w:after="0"/>
              <w:rPr>
                <w:sz w:val="20"/>
                <w:szCs w:val="20"/>
                <w:color w:val="auto"/>
              </w:rPr>
            </w:pPr>
            <w:r>
              <w:rPr>
                <w:rFonts w:ascii="Arial" w:cs="Arial" w:eastAsia="Arial" w:hAnsi="Arial"/>
                <w:sz w:val="16"/>
                <w:szCs w:val="16"/>
                <w:color w:val="auto"/>
              </w:rPr>
              <w:t>San Diego Gas &amp; Electric Company</w:t>
            </w:r>
          </w:p>
        </w:tc>
        <w:tc>
          <w:tcPr>
            <w:tcW w:w="1760" w:type="dxa"/>
            <w:vAlign w:val="bottom"/>
          </w:tcPr>
          <w:p>
            <w:pPr>
              <w:ind w:left="1180"/>
              <w:spacing w:after="0"/>
              <w:rPr>
                <w:sz w:val="20"/>
                <w:szCs w:val="20"/>
                <w:color w:val="auto"/>
              </w:rPr>
            </w:pPr>
            <w:r>
              <w:rPr>
                <w:rFonts w:ascii="Arial" w:cs="Arial" w:eastAsia="Arial" w:hAnsi="Arial"/>
                <w:sz w:val="16"/>
                <w:szCs w:val="16"/>
                <w:color w:val="auto"/>
              </w:rPr>
              <w:t>Yes</w:t>
            </w:r>
          </w:p>
        </w:tc>
        <w:tc>
          <w:tcPr>
            <w:tcW w:w="900" w:type="dxa"/>
            <w:vAlign w:val="bottom"/>
            <w:tcBorders>
              <w:bottom w:val="single" w:sz="8" w:color="auto"/>
            </w:tcBorders>
          </w:tcPr>
          <w:p>
            <w:pPr>
              <w:spacing w:after="0"/>
              <w:rPr>
                <w:sz w:val="18"/>
                <w:szCs w:val="18"/>
                <w:color w:val="auto"/>
              </w:rPr>
            </w:pPr>
          </w:p>
        </w:tc>
        <w:tc>
          <w:tcPr>
            <w:tcW w:w="1120" w:type="dxa"/>
            <w:vAlign w:val="bottom"/>
          </w:tcPr>
          <w:p>
            <w:pPr>
              <w:ind w:left="520"/>
              <w:spacing w:after="0"/>
              <w:rPr>
                <w:sz w:val="20"/>
                <w:szCs w:val="20"/>
                <w:color w:val="auto"/>
              </w:rPr>
            </w:pPr>
            <w:r>
              <w:rPr>
                <w:rFonts w:ascii="Arial" w:cs="Arial" w:eastAsia="Arial" w:hAnsi="Arial"/>
                <w:sz w:val="16"/>
                <w:szCs w:val="16"/>
                <w:color w:val="auto"/>
              </w:rPr>
              <w:t>No</w:t>
            </w:r>
          </w:p>
        </w:tc>
        <w:tc>
          <w:tcPr>
            <w:tcW w:w="1240" w:type="dxa"/>
            <w:vAlign w:val="bottom"/>
            <w:tcBorders>
              <w:bottom w:val="single" w:sz="8" w:color="auto"/>
            </w:tcBorders>
          </w:tcPr>
          <w:p>
            <w:pPr>
              <w:ind w:left="520"/>
              <w:spacing w:after="0"/>
              <w:rPr>
                <w:sz w:val="20"/>
                <w:szCs w:val="20"/>
                <w:color w:val="auto"/>
              </w:rPr>
            </w:pPr>
            <w:r>
              <w:rPr>
                <w:rFonts w:ascii="Arial" w:cs="Arial" w:eastAsia="Arial" w:hAnsi="Arial"/>
                <w:sz w:val="16"/>
                <w:szCs w:val="16"/>
                <w:color w:val="auto"/>
              </w:rPr>
              <w:t>X</w:t>
            </w:r>
          </w:p>
        </w:tc>
      </w:tr>
      <w:tr>
        <w:trPr>
          <w:trHeight w:val="208"/>
        </w:trPr>
        <w:tc>
          <w:tcPr>
            <w:tcW w:w="4220" w:type="dxa"/>
            <w:vAlign w:val="bottom"/>
          </w:tcPr>
          <w:p>
            <w:pPr>
              <w:spacing w:after="0"/>
              <w:rPr>
                <w:sz w:val="20"/>
                <w:szCs w:val="20"/>
                <w:color w:val="auto"/>
              </w:rPr>
            </w:pPr>
            <w:r>
              <w:rPr>
                <w:rFonts w:ascii="Arial" w:cs="Arial" w:eastAsia="Arial" w:hAnsi="Arial"/>
                <w:sz w:val="16"/>
                <w:szCs w:val="16"/>
                <w:color w:val="auto"/>
              </w:rPr>
              <w:t>Pacific Enterprises</w:t>
            </w:r>
          </w:p>
        </w:tc>
        <w:tc>
          <w:tcPr>
            <w:tcW w:w="1760" w:type="dxa"/>
            <w:vAlign w:val="bottom"/>
          </w:tcPr>
          <w:p>
            <w:pPr>
              <w:ind w:left="1180"/>
              <w:spacing w:after="0"/>
              <w:rPr>
                <w:sz w:val="20"/>
                <w:szCs w:val="20"/>
                <w:color w:val="auto"/>
              </w:rPr>
            </w:pPr>
            <w:r>
              <w:rPr>
                <w:rFonts w:ascii="Arial" w:cs="Arial" w:eastAsia="Arial" w:hAnsi="Arial"/>
                <w:sz w:val="16"/>
                <w:szCs w:val="16"/>
                <w:color w:val="auto"/>
              </w:rPr>
              <w:t>Yes</w:t>
            </w:r>
          </w:p>
        </w:tc>
        <w:tc>
          <w:tcPr>
            <w:tcW w:w="900" w:type="dxa"/>
            <w:vAlign w:val="bottom"/>
            <w:tcBorders>
              <w:bottom w:val="single" w:sz="8" w:color="auto"/>
            </w:tcBorders>
          </w:tcPr>
          <w:p>
            <w:pPr>
              <w:spacing w:after="0"/>
              <w:rPr>
                <w:sz w:val="18"/>
                <w:szCs w:val="18"/>
                <w:color w:val="auto"/>
              </w:rPr>
            </w:pPr>
          </w:p>
        </w:tc>
        <w:tc>
          <w:tcPr>
            <w:tcW w:w="1120" w:type="dxa"/>
            <w:vAlign w:val="bottom"/>
          </w:tcPr>
          <w:p>
            <w:pPr>
              <w:ind w:left="520"/>
              <w:spacing w:after="0"/>
              <w:rPr>
                <w:sz w:val="20"/>
                <w:szCs w:val="20"/>
                <w:color w:val="auto"/>
              </w:rPr>
            </w:pPr>
            <w:r>
              <w:rPr>
                <w:rFonts w:ascii="Arial" w:cs="Arial" w:eastAsia="Arial" w:hAnsi="Arial"/>
                <w:sz w:val="16"/>
                <w:szCs w:val="16"/>
                <w:color w:val="auto"/>
              </w:rPr>
              <w:t>No</w:t>
            </w:r>
          </w:p>
        </w:tc>
        <w:tc>
          <w:tcPr>
            <w:tcW w:w="1240" w:type="dxa"/>
            <w:vAlign w:val="bottom"/>
            <w:tcBorders>
              <w:bottom w:val="single" w:sz="8" w:color="auto"/>
            </w:tcBorders>
          </w:tcPr>
          <w:p>
            <w:pPr>
              <w:ind w:left="520"/>
              <w:spacing w:after="0"/>
              <w:rPr>
                <w:sz w:val="20"/>
                <w:szCs w:val="20"/>
                <w:color w:val="auto"/>
              </w:rPr>
            </w:pPr>
            <w:r>
              <w:rPr>
                <w:rFonts w:ascii="Arial" w:cs="Arial" w:eastAsia="Arial" w:hAnsi="Arial"/>
                <w:sz w:val="16"/>
                <w:szCs w:val="16"/>
                <w:color w:val="auto"/>
              </w:rPr>
              <w:t>X</w:t>
            </w:r>
          </w:p>
        </w:tc>
      </w:tr>
      <w:tr>
        <w:trPr>
          <w:trHeight w:val="208"/>
        </w:trPr>
        <w:tc>
          <w:tcPr>
            <w:tcW w:w="4220" w:type="dxa"/>
            <w:vAlign w:val="bottom"/>
          </w:tcPr>
          <w:p>
            <w:pPr>
              <w:spacing w:after="0"/>
              <w:rPr>
                <w:sz w:val="20"/>
                <w:szCs w:val="20"/>
                <w:color w:val="auto"/>
              </w:rPr>
            </w:pPr>
            <w:r>
              <w:rPr>
                <w:rFonts w:ascii="Arial" w:cs="Arial" w:eastAsia="Arial" w:hAnsi="Arial"/>
                <w:sz w:val="16"/>
                <w:szCs w:val="16"/>
                <w:color w:val="auto"/>
              </w:rPr>
              <w:t>Southern California Gas Company</w:t>
            </w:r>
          </w:p>
        </w:tc>
        <w:tc>
          <w:tcPr>
            <w:tcW w:w="1760" w:type="dxa"/>
            <w:vAlign w:val="bottom"/>
          </w:tcPr>
          <w:p>
            <w:pPr>
              <w:ind w:left="1180"/>
              <w:spacing w:after="0"/>
              <w:rPr>
                <w:sz w:val="20"/>
                <w:szCs w:val="20"/>
                <w:color w:val="auto"/>
              </w:rPr>
            </w:pPr>
            <w:r>
              <w:rPr>
                <w:rFonts w:ascii="Arial" w:cs="Arial" w:eastAsia="Arial" w:hAnsi="Arial"/>
                <w:sz w:val="16"/>
                <w:szCs w:val="16"/>
                <w:color w:val="auto"/>
              </w:rPr>
              <w:t>Yes</w:t>
            </w:r>
          </w:p>
        </w:tc>
        <w:tc>
          <w:tcPr>
            <w:tcW w:w="900" w:type="dxa"/>
            <w:vAlign w:val="bottom"/>
            <w:tcBorders>
              <w:bottom w:val="single" w:sz="8" w:color="auto"/>
            </w:tcBorders>
          </w:tcPr>
          <w:p>
            <w:pPr>
              <w:spacing w:after="0"/>
              <w:rPr>
                <w:sz w:val="18"/>
                <w:szCs w:val="18"/>
                <w:color w:val="auto"/>
              </w:rPr>
            </w:pPr>
          </w:p>
        </w:tc>
        <w:tc>
          <w:tcPr>
            <w:tcW w:w="1120" w:type="dxa"/>
            <w:vAlign w:val="bottom"/>
          </w:tcPr>
          <w:p>
            <w:pPr>
              <w:ind w:left="520"/>
              <w:spacing w:after="0"/>
              <w:rPr>
                <w:sz w:val="20"/>
                <w:szCs w:val="20"/>
                <w:color w:val="auto"/>
              </w:rPr>
            </w:pPr>
            <w:r>
              <w:rPr>
                <w:rFonts w:ascii="Arial" w:cs="Arial" w:eastAsia="Arial" w:hAnsi="Arial"/>
                <w:sz w:val="16"/>
                <w:szCs w:val="16"/>
                <w:color w:val="auto"/>
              </w:rPr>
              <w:t>No</w:t>
            </w:r>
          </w:p>
        </w:tc>
        <w:tc>
          <w:tcPr>
            <w:tcW w:w="1240" w:type="dxa"/>
            <w:vAlign w:val="bottom"/>
            <w:tcBorders>
              <w:bottom w:val="single" w:sz="8" w:color="auto"/>
            </w:tcBorders>
          </w:tcPr>
          <w:p>
            <w:pPr>
              <w:ind w:left="520"/>
              <w:spacing w:after="0"/>
              <w:rPr>
                <w:sz w:val="20"/>
                <w:szCs w:val="20"/>
                <w:color w:val="auto"/>
              </w:rPr>
            </w:pPr>
            <w:r>
              <w:rPr>
                <w:rFonts w:ascii="Arial" w:cs="Arial" w:eastAsia="Arial" w:hAnsi="Arial"/>
                <w:sz w:val="16"/>
                <w:szCs w:val="16"/>
                <w:color w:val="auto"/>
              </w:rPr>
              <w:t>X</w:t>
            </w:r>
          </w:p>
        </w:tc>
      </w:tr>
      <w:tr>
        <w:trPr>
          <w:trHeight w:val="420"/>
        </w:trPr>
        <w:tc>
          <w:tcPr>
            <w:tcW w:w="4220" w:type="dxa"/>
            <w:vAlign w:val="bottom"/>
          </w:tcPr>
          <w:p>
            <w:pPr>
              <w:spacing w:after="0"/>
              <w:rPr>
                <w:sz w:val="20"/>
                <w:szCs w:val="20"/>
                <w:color w:val="auto"/>
              </w:rPr>
            </w:pPr>
            <w:r>
              <w:rPr>
                <w:rFonts w:ascii="Arial" w:cs="Arial" w:eastAsia="Arial" w:hAnsi="Arial"/>
                <w:sz w:val="16"/>
                <w:szCs w:val="16"/>
                <w:color w:val="auto"/>
              </w:rPr>
              <w:t>Exhibit Index on page 48. Glossary on page 56.</w:t>
            </w:r>
          </w:p>
        </w:tc>
        <w:tc>
          <w:tcPr>
            <w:tcW w:w="17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40" w:type="dxa"/>
            <w:vAlign w:val="bottom"/>
          </w:tcPr>
          <w:p>
            <w:pPr>
              <w:spacing w:after="0"/>
              <w:rPr>
                <w:sz w:val="24"/>
                <w:szCs w:val="24"/>
                <w:color w:val="auto"/>
              </w:rPr>
            </w:pPr>
          </w:p>
        </w:tc>
      </w:tr>
    </w:tbl>
    <w:p>
      <w:pPr>
        <w:spacing w:after="0" w:line="388" w:lineRule="exact"/>
        <w:rPr>
          <w:sz w:val="20"/>
          <w:szCs w:val="20"/>
          <w:color w:val="auto"/>
        </w:rPr>
      </w:pPr>
    </w:p>
    <w:p>
      <w:pPr>
        <w:spacing w:after="0"/>
        <w:rPr>
          <w:sz w:val="20"/>
          <w:szCs w:val="20"/>
          <w:color w:val="auto"/>
        </w:rPr>
      </w:pPr>
      <w:r>
        <w:rPr>
          <w:rFonts w:ascii="Arial" w:cs="Arial" w:eastAsia="Arial" w:hAnsi="Arial"/>
          <w:sz w:val="14"/>
          <w:szCs w:val="14"/>
          <w:color w:val="auto"/>
        </w:rPr>
        <w:t>2</w:t>
      </w:r>
    </w:p>
    <w:p>
      <w:pPr>
        <w:sectPr>
          <w:pgSz w:w="11900" w:h="16838" w:orient="portrait"/>
          <w:cols w:equalWidth="0" w:num="1">
            <w:col w:w="10340"/>
          </w:cols>
          <w:pgMar w:left="240" w:top="932" w:right="1319" w:bottom="1440" w:gutter="0" w:footer="0" w:header="0"/>
        </w:sectPr>
      </w:pPr>
    </w:p>
    <w:bookmarkStart w:id="2" w:name="page3"/>
    <w:bookmarkEnd w:id="2"/>
    <w:p>
      <w:pPr>
        <w:ind w:left="1260"/>
        <w:spacing w:after="0"/>
        <w:rPr>
          <w:sz w:val="20"/>
          <w:szCs w:val="20"/>
          <w:color w:val="auto"/>
        </w:rPr>
      </w:pPr>
      <w:r>
        <w:rPr>
          <w:rFonts w:ascii="Arial" w:cs="Arial" w:eastAsia="Arial" w:hAnsi="Arial"/>
          <w:sz w:val="15"/>
          <w:szCs w:val="15"/>
          <w:color w:val="auto"/>
        </w:rPr>
        <w:t>Aggregate market value of the voting and non-voting common equity held by non-affiliates of the registrant as of June 30, 2008:</w:t>
      </w:r>
    </w:p>
    <w:p>
      <w:pPr>
        <w:spacing w:after="0" w:line="260" w:lineRule="exact"/>
        <w:rPr>
          <w:sz w:val="20"/>
          <w:szCs w:val="20"/>
          <w:color w:val="auto"/>
        </w:rPr>
      </w:pPr>
    </w:p>
    <w:tbl>
      <w:tblPr>
        <w:tblLayout w:type="fixed"/>
        <w:tblInd w:w="1260" w:type="dxa"/>
        <w:tblCellMar>
          <w:top w:w="0" w:type="dxa"/>
          <w:left w:w="0" w:type="dxa"/>
          <w:bottom w:w="0" w:type="dxa"/>
          <w:right w:w="0" w:type="dxa"/>
        </w:tblCellMar>
      </w:tblPr>
      <w:tr>
        <w:trPr>
          <w:trHeight w:val="192"/>
        </w:trPr>
        <w:tc>
          <w:tcPr>
            <w:tcW w:w="2920" w:type="dxa"/>
            <w:vAlign w:val="bottom"/>
          </w:tcPr>
          <w:p>
            <w:pPr>
              <w:spacing w:after="0"/>
              <w:rPr>
                <w:sz w:val="20"/>
                <w:szCs w:val="20"/>
                <w:color w:val="auto"/>
              </w:rPr>
            </w:pPr>
            <w:r>
              <w:rPr>
                <w:rFonts w:ascii="Arial" w:cs="Arial" w:eastAsia="Arial" w:hAnsi="Arial"/>
                <w:sz w:val="16"/>
                <w:szCs w:val="16"/>
                <w:color w:val="auto"/>
              </w:rPr>
              <w:t>Sempra Energy</w:t>
            </w:r>
          </w:p>
        </w:tc>
        <w:tc>
          <w:tcPr>
            <w:tcW w:w="5740" w:type="dxa"/>
            <w:vAlign w:val="bottom"/>
          </w:tcPr>
          <w:p>
            <w:pPr>
              <w:ind w:left="600"/>
              <w:spacing w:after="0"/>
              <w:rPr>
                <w:sz w:val="20"/>
                <w:szCs w:val="20"/>
                <w:color w:val="auto"/>
              </w:rPr>
            </w:pPr>
            <w:r>
              <w:rPr>
                <w:rFonts w:ascii="Arial" w:cs="Arial" w:eastAsia="Arial" w:hAnsi="Arial"/>
                <w:sz w:val="16"/>
                <w:szCs w:val="16"/>
                <w:color w:val="auto"/>
                <w:w w:val="90"/>
              </w:rPr>
              <w:t>$13.8 billion (based on the price at which the common equity was last sold as of</w:t>
            </w:r>
          </w:p>
        </w:tc>
      </w:tr>
      <w:tr>
        <w:trPr>
          <w:trHeight w:val="205"/>
        </w:trPr>
        <w:tc>
          <w:tcPr>
            <w:tcW w:w="2920" w:type="dxa"/>
            <w:vAlign w:val="bottom"/>
          </w:tcPr>
          <w:p>
            <w:pPr>
              <w:spacing w:after="0"/>
              <w:rPr>
                <w:sz w:val="17"/>
                <w:szCs w:val="17"/>
                <w:color w:val="auto"/>
              </w:rPr>
            </w:pPr>
          </w:p>
        </w:tc>
        <w:tc>
          <w:tcPr>
            <w:tcW w:w="5740" w:type="dxa"/>
            <w:vAlign w:val="bottom"/>
          </w:tcPr>
          <w:p>
            <w:pPr>
              <w:ind w:left="600"/>
              <w:spacing w:after="0"/>
              <w:rPr>
                <w:sz w:val="20"/>
                <w:szCs w:val="20"/>
                <w:color w:val="auto"/>
              </w:rPr>
            </w:pPr>
            <w:r>
              <w:rPr>
                <w:rFonts w:ascii="Arial" w:cs="Arial" w:eastAsia="Arial" w:hAnsi="Arial"/>
                <w:sz w:val="16"/>
                <w:szCs w:val="16"/>
                <w:color w:val="auto"/>
                <w:w w:val="96"/>
              </w:rPr>
              <w:t>the last business day of the most recently completed second fiscal quarter)</w:t>
            </w:r>
          </w:p>
        </w:tc>
      </w:tr>
      <w:tr>
        <w:trPr>
          <w:trHeight w:val="216"/>
        </w:trPr>
        <w:tc>
          <w:tcPr>
            <w:tcW w:w="2920" w:type="dxa"/>
            <w:vAlign w:val="bottom"/>
          </w:tcPr>
          <w:p>
            <w:pPr>
              <w:spacing w:after="0"/>
              <w:rPr>
                <w:sz w:val="20"/>
                <w:szCs w:val="20"/>
                <w:color w:val="auto"/>
              </w:rPr>
            </w:pPr>
            <w:r>
              <w:rPr>
                <w:rFonts w:ascii="Arial" w:cs="Arial" w:eastAsia="Arial" w:hAnsi="Arial"/>
                <w:sz w:val="16"/>
                <w:szCs w:val="16"/>
                <w:color w:val="auto"/>
              </w:rPr>
              <w:t>San Diego Gas &amp; Electric Company</w:t>
            </w:r>
          </w:p>
        </w:tc>
        <w:tc>
          <w:tcPr>
            <w:tcW w:w="5740" w:type="dxa"/>
            <w:vAlign w:val="bottom"/>
          </w:tcPr>
          <w:p>
            <w:pPr>
              <w:ind w:left="600"/>
              <w:spacing w:after="0"/>
              <w:rPr>
                <w:sz w:val="20"/>
                <w:szCs w:val="20"/>
                <w:color w:val="auto"/>
              </w:rPr>
            </w:pPr>
            <w:r>
              <w:rPr>
                <w:rFonts w:ascii="Arial" w:cs="Arial" w:eastAsia="Arial" w:hAnsi="Arial"/>
                <w:sz w:val="16"/>
                <w:szCs w:val="16"/>
                <w:color w:val="auto"/>
              </w:rPr>
              <w:t>$0</w:t>
            </w:r>
          </w:p>
        </w:tc>
      </w:tr>
      <w:tr>
        <w:trPr>
          <w:trHeight w:val="216"/>
        </w:trPr>
        <w:tc>
          <w:tcPr>
            <w:tcW w:w="2920" w:type="dxa"/>
            <w:vAlign w:val="bottom"/>
          </w:tcPr>
          <w:p>
            <w:pPr>
              <w:spacing w:after="0"/>
              <w:rPr>
                <w:sz w:val="20"/>
                <w:szCs w:val="20"/>
                <w:color w:val="auto"/>
              </w:rPr>
            </w:pPr>
            <w:r>
              <w:rPr>
                <w:rFonts w:ascii="Arial" w:cs="Arial" w:eastAsia="Arial" w:hAnsi="Arial"/>
                <w:sz w:val="16"/>
                <w:szCs w:val="16"/>
                <w:color w:val="auto"/>
              </w:rPr>
              <w:t>Pacific Enterprises</w:t>
            </w:r>
          </w:p>
        </w:tc>
        <w:tc>
          <w:tcPr>
            <w:tcW w:w="5740" w:type="dxa"/>
            <w:vAlign w:val="bottom"/>
          </w:tcPr>
          <w:p>
            <w:pPr>
              <w:ind w:left="600"/>
              <w:spacing w:after="0"/>
              <w:rPr>
                <w:sz w:val="20"/>
                <w:szCs w:val="20"/>
                <w:color w:val="auto"/>
              </w:rPr>
            </w:pPr>
            <w:r>
              <w:rPr>
                <w:rFonts w:ascii="Arial" w:cs="Arial" w:eastAsia="Arial" w:hAnsi="Arial"/>
                <w:sz w:val="16"/>
                <w:szCs w:val="16"/>
                <w:color w:val="auto"/>
              </w:rPr>
              <w:t>$0</w:t>
            </w:r>
          </w:p>
        </w:tc>
      </w:tr>
      <w:tr>
        <w:trPr>
          <w:trHeight w:val="216"/>
        </w:trPr>
        <w:tc>
          <w:tcPr>
            <w:tcW w:w="2920" w:type="dxa"/>
            <w:vAlign w:val="bottom"/>
          </w:tcPr>
          <w:p>
            <w:pPr>
              <w:spacing w:after="0"/>
              <w:rPr>
                <w:sz w:val="20"/>
                <w:szCs w:val="20"/>
                <w:color w:val="auto"/>
              </w:rPr>
            </w:pPr>
            <w:r>
              <w:rPr>
                <w:rFonts w:ascii="Arial" w:cs="Arial" w:eastAsia="Arial" w:hAnsi="Arial"/>
                <w:sz w:val="16"/>
                <w:szCs w:val="16"/>
                <w:color w:val="auto"/>
              </w:rPr>
              <w:t>Southern California Gas Company</w:t>
            </w:r>
          </w:p>
        </w:tc>
        <w:tc>
          <w:tcPr>
            <w:tcW w:w="5740" w:type="dxa"/>
            <w:vAlign w:val="bottom"/>
          </w:tcPr>
          <w:p>
            <w:pPr>
              <w:ind w:left="600"/>
              <w:spacing w:after="0"/>
              <w:rPr>
                <w:sz w:val="20"/>
                <w:szCs w:val="20"/>
                <w:color w:val="auto"/>
              </w:rPr>
            </w:pPr>
            <w:r>
              <w:rPr>
                <w:rFonts w:ascii="Arial" w:cs="Arial" w:eastAsia="Arial" w:hAnsi="Arial"/>
                <w:sz w:val="16"/>
                <w:szCs w:val="16"/>
                <w:color w:val="auto"/>
              </w:rPr>
              <w:t>$0</w:t>
            </w:r>
          </w:p>
        </w:tc>
      </w:tr>
    </w:tbl>
    <w:p>
      <w:pPr>
        <w:spacing w:after="0" w:line="228"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Common Stock outstanding, without par value, as of February 12, 2009:</w:t>
      </w:r>
    </w:p>
    <w:p>
      <w:pPr>
        <w:sectPr>
          <w:pgSz w:w="11900" w:h="16838" w:orient="portrait"/>
          <w:cols w:equalWidth="0" w:num="1">
            <w:col w:w="10219"/>
          </w:cols>
          <w:pgMar w:left="240" w:top="571" w:right="1440" w:bottom="1440" w:gutter="0" w:footer="0" w:header="0"/>
        </w:sectPr>
      </w:pPr>
    </w:p>
    <w:p>
      <w:pPr>
        <w:spacing w:after="0" w:line="248" w:lineRule="exact"/>
        <w:rPr>
          <w:sz w:val="20"/>
          <w:szCs w:val="20"/>
          <w:color w:val="auto"/>
        </w:rPr>
      </w:pPr>
    </w:p>
    <w:p>
      <w:pPr>
        <w:ind w:left="1260"/>
        <w:spacing w:after="0"/>
        <w:rPr>
          <w:sz w:val="20"/>
          <w:szCs w:val="20"/>
          <w:color w:val="auto"/>
        </w:rPr>
      </w:pPr>
      <w:r>
        <w:rPr>
          <w:rFonts w:ascii="Arial" w:cs="Arial" w:eastAsia="Arial" w:hAnsi="Arial"/>
          <w:sz w:val="14"/>
          <w:szCs w:val="14"/>
          <w:color w:val="auto"/>
        </w:rPr>
        <w:t>Sempra Energy</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spacing w:after="0"/>
        <w:rPr>
          <w:sz w:val="20"/>
          <w:szCs w:val="20"/>
          <w:color w:val="auto"/>
        </w:rPr>
      </w:pPr>
      <w:r>
        <w:rPr>
          <w:rFonts w:ascii="Arial" w:cs="Arial" w:eastAsia="Arial" w:hAnsi="Arial"/>
          <w:sz w:val="14"/>
          <w:szCs w:val="14"/>
          <w:color w:val="auto"/>
        </w:rPr>
        <w:t>243,425,520 shares</w:t>
      </w:r>
    </w:p>
    <w:p>
      <w:pPr>
        <w:spacing w:after="0" w:line="55" w:lineRule="exact"/>
        <w:rPr>
          <w:sz w:val="20"/>
          <w:szCs w:val="20"/>
          <w:color w:val="auto"/>
        </w:rPr>
      </w:pPr>
    </w:p>
    <w:p>
      <w:pPr>
        <w:sectPr>
          <w:pgSz w:w="11900" w:h="16838" w:orient="portrait"/>
          <w:cols w:equalWidth="0" w:num="2">
            <w:col w:w="4060" w:space="720"/>
            <w:col w:w="5439"/>
          </w:cols>
          <w:pgMar w:left="240" w:top="571" w:right="1440" w:bottom="1440" w:gutter="0" w:footer="0" w:header="0"/>
          <w:type w:val="continuous"/>
        </w:sectPr>
      </w:pPr>
    </w:p>
    <w:p>
      <w:pPr>
        <w:jc w:val="center"/>
        <w:ind w:left="780"/>
        <w:spacing w:after="0"/>
        <w:rPr>
          <w:sz w:val="20"/>
          <w:szCs w:val="20"/>
          <w:color w:val="auto"/>
        </w:rPr>
      </w:pPr>
      <w:r>
        <w:rPr>
          <w:rFonts w:ascii="Arial" w:cs="Arial" w:eastAsia="Arial" w:hAnsi="Arial"/>
          <w:sz w:val="14"/>
          <w:szCs w:val="14"/>
          <w:color w:val="auto"/>
        </w:rPr>
        <w:t>San Diego Gas &amp; Electric Company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color w:val="auto"/>
        </w:rPr>
        <w:t>Wholly owned by Enova Corporation, which is wholly owned by Sempra Energy</w:t>
      </w:r>
    </w:p>
    <w:p>
      <w:pPr>
        <w:spacing w:after="0" w:line="55" w:lineRule="exact"/>
        <w:rPr>
          <w:sz w:val="20"/>
          <w:szCs w:val="20"/>
          <w:color w:val="auto"/>
        </w:rPr>
      </w:pPr>
    </w:p>
    <w:p>
      <w:pPr>
        <w:sectPr>
          <w:pgSz w:w="11900" w:h="16838" w:orient="portrait"/>
          <w:cols w:equalWidth="0" w:num="2">
            <w:col w:w="4060" w:space="720"/>
            <w:col w:w="5439"/>
          </w:cols>
          <w:pgMar w:left="240" w:top="571" w:right="1440" w:bottom="1440" w:gutter="0" w:footer="0" w:header="0"/>
          <w:type w:val="continuous"/>
        </w:sectPr>
      </w:pPr>
    </w:p>
    <w:p>
      <w:pPr>
        <w:ind w:left="1260"/>
        <w:spacing w:after="0"/>
        <w:rPr>
          <w:sz w:val="20"/>
          <w:szCs w:val="20"/>
          <w:color w:val="auto"/>
        </w:rPr>
      </w:pPr>
      <w:r>
        <w:rPr>
          <w:rFonts w:ascii="Arial" w:cs="Arial" w:eastAsia="Arial" w:hAnsi="Arial"/>
          <w:sz w:val="14"/>
          <w:szCs w:val="14"/>
          <w:color w:val="auto"/>
        </w:rPr>
        <w:t>Pacific Enterprises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color w:val="auto"/>
        </w:rPr>
        <w:t>Wholly owned by Sempra Energy</w:t>
      </w:r>
    </w:p>
    <w:p>
      <w:pPr>
        <w:spacing w:after="0" w:line="55" w:lineRule="exact"/>
        <w:rPr>
          <w:sz w:val="20"/>
          <w:szCs w:val="20"/>
          <w:color w:val="auto"/>
        </w:rPr>
      </w:pPr>
    </w:p>
    <w:p>
      <w:pPr>
        <w:sectPr>
          <w:pgSz w:w="11900" w:h="16838" w:orient="portrait"/>
          <w:cols w:equalWidth="0" w:num="2">
            <w:col w:w="4060" w:space="720"/>
            <w:col w:w="5439"/>
          </w:cols>
          <w:pgMar w:left="240" w:top="571" w:right="1440" w:bottom="1440" w:gutter="0" w:footer="0" w:header="0"/>
          <w:type w:val="continuous"/>
        </w:sectPr>
      </w:pPr>
    </w:p>
    <w:p>
      <w:pPr>
        <w:jc w:val="center"/>
        <w:ind w:left="680"/>
        <w:spacing w:after="0"/>
        <w:rPr>
          <w:sz w:val="20"/>
          <w:szCs w:val="20"/>
          <w:color w:val="auto"/>
        </w:rPr>
      </w:pPr>
      <w:r>
        <w:rPr>
          <w:rFonts w:ascii="Arial" w:cs="Arial" w:eastAsia="Arial" w:hAnsi="Arial"/>
          <w:sz w:val="14"/>
          <w:szCs w:val="14"/>
          <w:color w:val="auto"/>
        </w:rPr>
        <w:t>Southern California Gas Company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color w:val="auto"/>
        </w:rPr>
        <w:t>Wholly owned by Pacific Enterprises</w:t>
      </w:r>
    </w:p>
    <w:p>
      <w:pPr>
        <w:spacing w:after="0" w:line="200" w:lineRule="exact"/>
        <w:rPr>
          <w:sz w:val="20"/>
          <w:szCs w:val="20"/>
          <w:color w:val="auto"/>
        </w:rPr>
      </w:pPr>
    </w:p>
    <w:p>
      <w:pPr>
        <w:sectPr>
          <w:pgSz w:w="11900" w:h="16838" w:orient="portrait"/>
          <w:cols w:equalWidth="0" w:num="2">
            <w:col w:w="4060" w:space="720"/>
            <w:col w:w="5439"/>
          </w:cols>
          <w:pgMar w:left="240" w:top="571" w:right="1440" w:bottom="1440" w:gutter="0" w:footer="0" w:header="0"/>
          <w:type w:val="continuous"/>
        </w:sectPr>
      </w:pPr>
    </w:p>
    <w:p>
      <w:pPr>
        <w:spacing w:after="0" w:line="71"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DOCUMENTS INCORPORATED BY REFERENCE:</w:t>
      </w:r>
    </w:p>
    <w:p>
      <w:pPr>
        <w:spacing w:after="0" w:line="248" w:lineRule="exact"/>
        <w:rPr>
          <w:sz w:val="20"/>
          <w:szCs w:val="20"/>
          <w:color w:val="auto"/>
        </w:rPr>
      </w:pPr>
    </w:p>
    <w:p>
      <w:pPr>
        <w:ind w:left="1260" w:right="479"/>
        <w:spacing w:after="0" w:line="277" w:lineRule="auto"/>
        <w:rPr>
          <w:sz w:val="20"/>
          <w:szCs w:val="20"/>
          <w:color w:val="auto"/>
        </w:rPr>
      </w:pPr>
      <w:r>
        <w:rPr>
          <w:rFonts w:ascii="Arial" w:cs="Arial" w:eastAsia="Arial" w:hAnsi="Arial"/>
          <w:sz w:val="16"/>
          <w:szCs w:val="16"/>
          <w:color w:val="auto"/>
        </w:rPr>
        <w:t>Portions of the 2008 Annual Report to Shareholders of Sempra Energy, San Diego Gas &amp; Electric Company, Pacific Enterprises and Southern California Gas Company are incorporated by reference into Parts I, II and IV.</w:t>
      </w:r>
    </w:p>
    <w:p>
      <w:pPr>
        <w:spacing w:after="0" w:line="200" w:lineRule="exact"/>
        <w:rPr>
          <w:sz w:val="20"/>
          <w:szCs w:val="20"/>
          <w:color w:val="auto"/>
        </w:rPr>
      </w:pPr>
    </w:p>
    <w:p>
      <w:pPr>
        <w:ind w:left="1260" w:right="119"/>
        <w:spacing w:after="0" w:line="277" w:lineRule="auto"/>
        <w:rPr>
          <w:sz w:val="20"/>
          <w:szCs w:val="20"/>
          <w:color w:val="auto"/>
        </w:rPr>
      </w:pPr>
      <w:r>
        <w:rPr>
          <w:rFonts w:ascii="Arial" w:cs="Arial" w:eastAsia="Arial" w:hAnsi="Arial"/>
          <w:sz w:val="16"/>
          <w:szCs w:val="16"/>
          <w:color w:val="auto"/>
        </w:rPr>
        <w:t>Portions of the Sempra Energy Proxy Statement prepared for the April 2009 annual meeting of shareholders are incorporated by reference into Parts II and III.</w:t>
      </w:r>
    </w:p>
    <w:p>
      <w:pPr>
        <w:spacing w:after="0" w:line="200" w:lineRule="exact"/>
        <w:rPr>
          <w:sz w:val="20"/>
          <w:szCs w:val="20"/>
          <w:color w:val="auto"/>
        </w:rPr>
      </w:pPr>
    </w:p>
    <w:p>
      <w:pPr>
        <w:ind w:left="1260" w:right="119"/>
        <w:spacing w:after="0" w:line="277" w:lineRule="auto"/>
        <w:rPr>
          <w:sz w:val="20"/>
          <w:szCs w:val="20"/>
          <w:color w:val="auto"/>
        </w:rPr>
      </w:pPr>
      <w:r>
        <w:rPr>
          <w:rFonts w:ascii="Arial" w:cs="Arial" w:eastAsia="Arial" w:hAnsi="Arial"/>
          <w:sz w:val="16"/>
          <w:szCs w:val="16"/>
          <w:color w:val="auto"/>
        </w:rPr>
        <w:t>Portions of the San Diego Gas &amp; Electric Company, Southern California Gas Company and Pacific Enterprises Information Statement are incorporated by reference into Part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790575</wp:posOffset>
            </wp:positionH>
            <wp:positionV relativeFrom="paragraph">
              <wp:posOffset>127000</wp:posOffset>
            </wp:positionV>
            <wp:extent cx="5674995" cy="152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74995" cy="15240"/>
                    </a:xfrm>
                    <a:prstGeom prst="rect">
                      <a:avLst/>
                    </a:prstGeom>
                    <a:noFill/>
                  </pic:spPr>
                </pic:pic>
              </a:graphicData>
            </a:graphic>
          </wp:anchor>
        </w:drawing>
        <w:drawing>
          <wp:anchor simplePos="0" relativeHeight="251657728" behindDoc="1" locked="0" layoutInCell="0" allowOverlap="1">
            <wp:simplePos x="0" y="0"/>
            <wp:positionH relativeFrom="column">
              <wp:posOffset>790575</wp:posOffset>
            </wp:positionH>
            <wp:positionV relativeFrom="paragraph">
              <wp:posOffset>158115</wp:posOffset>
            </wp:positionV>
            <wp:extent cx="5674995" cy="152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74995" cy="15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4"/>
          <w:szCs w:val="14"/>
          <w:color w:val="auto"/>
        </w:rPr>
        <w:t>3</w:t>
      </w:r>
    </w:p>
    <w:p>
      <w:pPr>
        <w:sectPr>
          <w:pgSz w:w="11900" w:h="16838" w:orient="portrait"/>
          <w:cols w:equalWidth="0" w:num="1">
            <w:col w:w="10219"/>
          </w:cols>
          <w:pgMar w:left="240" w:top="571" w:right="1440" w:bottom="1440" w:gutter="0" w:footer="0" w:header="0"/>
          <w:type w:val="continuous"/>
        </w:sectPr>
      </w:pPr>
    </w:p>
    <w:bookmarkStart w:id="3" w:name="page4"/>
    <w:bookmarkEnd w:id="3"/>
    <w:p>
      <w:pPr>
        <w:ind w:left="2240"/>
        <w:spacing w:after="0"/>
        <w:rPr>
          <w:sz w:val="20"/>
          <w:szCs w:val="20"/>
          <w:color w:val="auto"/>
        </w:rPr>
      </w:pPr>
      <w:r>
        <w:rPr>
          <w:rFonts w:ascii="Arial" w:cs="Arial" w:eastAsia="Arial" w:hAnsi="Arial"/>
          <w:sz w:val="22"/>
          <w:szCs w:val="22"/>
          <w:color w:val="auto"/>
        </w:rPr>
        <w:t>SEMPRA ENERGY 10-K</w:t>
      </w:r>
    </w:p>
    <w:p>
      <w:pPr>
        <w:ind w:left="2240"/>
        <w:spacing w:after="0"/>
        <w:rPr>
          <w:sz w:val="20"/>
          <w:szCs w:val="20"/>
          <w:color w:val="auto"/>
        </w:rPr>
      </w:pPr>
      <w:r>
        <w:rPr>
          <w:rFonts w:ascii="Arial" w:cs="Arial" w:eastAsia="Arial" w:hAnsi="Arial"/>
          <w:sz w:val="22"/>
          <w:szCs w:val="22"/>
          <w:color w:val="auto"/>
        </w:rPr>
        <w:t>TABLE OF CONTENTS</w:t>
      </w:r>
    </w:p>
    <w:p>
      <w:pPr>
        <w:spacing w:after="0" w:line="22" w:lineRule="exact"/>
        <w:rPr>
          <w:sz w:val="20"/>
          <w:szCs w:val="20"/>
          <w:color w:val="auto"/>
        </w:rPr>
      </w:pPr>
    </w:p>
    <w:tbl>
      <w:tblPr>
        <w:tblLayout w:type="fixed"/>
        <w:tblInd w:w="2220" w:type="dxa"/>
        <w:tblCellMar>
          <w:top w:w="0" w:type="dxa"/>
          <w:left w:w="0" w:type="dxa"/>
          <w:bottom w:w="0" w:type="dxa"/>
          <w:right w:w="0" w:type="dxa"/>
        </w:tblCellMar>
      </w:tblPr>
      <w:tr>
        <w:trPr>
          <w:trHeight w:val="186"/>
        </w:trPr>
        <w:tc>
          <w:tcPr>
            <w:tcW w:w="920" w:type="dxa"/>
            <w:vAlign w:val="bottom"/>
          </w:tcPr>
          <w:p>
            <w:pPr>
              <w:spacing w:after="0"/>
              <w:rPr>
                <w:sz w:val="16"/>
                <w:szCs w:val="16"/>
                <w:color w:val="auto"/>
              </w:rPr>
            </w:pPr>
          </w:p>
        </w:tc>
        <w:tc>
          <w:tcPr>
            <w:tcW w:w="4900" w:type="dxa"/>
            <w:vAlign w:val="bottom"/>
          </w:tcPr>
          <w:p>
            <w:pPr>
              <w:spacing w:after="0"/>
              <w:rPr>
                <w:sz w:val="16"/>
                <w:szCs w:val="16"/>
                <w:color w:val="auto"/>
              </w:rPr>
            </w:pPr>
          </w:p>
        </w:tc>
        <w:tc>
          <w:tcPr>
            <w:tcW w:w="1160" w:type="dxa"/>
            <w:vAlign w:val="bottom"/>
            <w:tcBorders>
              <w:bottom w:val="single" w:sz="8" w:color="auto"/>
            </w:tcBorders>
          </w:tcPr>
          <w:p>
            <w:pPr>
              <w:ind w:left="420"/>
              <w:spacing w:after="0"/>
              <w:rPr>
                <w:sz w:val="20"/>
                <w:szCs w:val="20"/>
                <w:color w:val="auto"/>
              </w:rPr>
            </w:pPr>
            <w:r>
              <w:rPr>
                <w:rFonts w:ascii="Arial" w:cs="Arial" w:eastAsia="Arial" w:hAnsi="Arial"/>
                <w:sz w:val="14"/>
                <w:szCs w:val="14"/>
                <w:i w:val="1"/>
                <w:iCs w:val="1"/>
                <w:color w:val="auto"/>
              </w:rPr>
              <w:t>Page</w:t>
            </w:r>
          </w:p>
        </w:tc>
      </w:tr>
      <w:tr>
        <w:trPr>
          <w:trHeight w:val="184"/>
        </w:trPr>
        <w:tc>
          <w:tcPr>
            <w:tcW w:w="5820" w:type="dxa"/>
            <w:vAlign w:val="bottom"/>
            <w:gridSpan w:val="2"/>
          </w:tcPr>
          <w:p>
            <w:pPr>
              <w:ind w:left="20"/>
              <w:spacing w:after="0"/>
              <w:rPr>
                <w:sz w:val="20"/>
                <w:szCs w:val="20"/>
                <w:color w:val="auto"/>
              </w:rPr>
            </w:pPr>
            <w:r>
              <w:rPr>
                <w:rFonts w:ascii="Arial" w:cs="Arial" w:eastAsia="Arial" w:hAnsi="Arial"/>
                <w:sz w:val="14"/>
                <w:szCs w:val="14"/>
                <w:b w:val="1"/>
                <w:bCs w:val="1"/>
                <w:color w:val="auto"/>
              </w:rPr>
              <w:t>Information Regarding Forward-Looking Statements</w:t>
            </w:r>
          </w:p>
        </w:tc>
        <w:tc>
          <w:tcPr>
            <w:tcW w:w="1160" w:type="dxa"/>
            <w:vAlign w:val="bottom"/>
          </w:tcPr>
          <w:p>
            <w:pPr>
              <w:jc w:val="center"/>
              <w:spacing w:after="0"/>
              <w:rPr>
                <w:sz w:val="20"/>
                <w:szCs w:val="20"/>
                <w:color w:val="auto"/>
              </w:rPr>
            </w:pPr>
            <w:r>
              <w:rPr>
                <w:rFonts w:ascii="Arial" w:cs="Arial" w:eastAsia="Arial" w:hAnsi="Arial"/>
                <w:sz w:val="14"/>
                <w:szCs w:val="14"/>
                <w:color w:val="auto"/>
              </w:rPr>
              <w:t>5</w:t>
            </w:r>
          </w:p>
        </w:tc>
      </w:tr>
      <w:tr>
        <w:trPr>
          <w:trHeight w:val="222"/>
        </w:trPr>
        <w:tc>
          <w:tcPr>
            <w:tcW w:w="920" w:type="dxa"/>
            <w:vAlign w:val="bottom"/>
            <w:tcBorders>
              <w:bottom w:val="single" w:sz="8" w:color="auto"/>
            </w:tcBorders>
          </w:tcPr>
          <w:p>
            <w:pPr>
              <w:spacing w:after="0"/>
              <w:rPr>
                <w:sz w:val="19"/>
                <w:szCs w:val="19"/>
                <w:color w:val="auto"/>
              </w:rPr>
            </w:pPr>
          </w:p>
        </w:tc>
        <w:tc>
          <w:tcPr>
            <w:tcW w:w="49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r>
      <w:tr>
        <w:trPr>
          <w:trHeight w:val="182"/>
        </w:trPr>
        <w:tc>
          <w:tcPr>
            <w:tcW w:w="920" w:type="dxa"/>
            <w:vAlign w:val="bottom"/>
          </w:tcPr>
          <w:p>
            <w:pPr>
              <w:ind w:left="20"/>
              <w:spacing w:after="0"/>
              <w:rPr>
                <w:sz w:val="20"/>
                <w:szCs w:val="20"/>
                <w:color w:val="auto"/>
              </w:rPr>
            </w:pPr>
            <w:r>
              <w:rPr>
                <w:rFonts w:ascii="Arial" w:cs="Arial" w:eastAsia="Arial" w:hAnsi="Arial"/>
                <w:sz w:val="14"/>
                <w:szCs w:val="14"/>
                <w:b w:val="1"/>
                <w:bCs w:val="1"/>
                <w:color w:val="auto"/>
              </w:rPr>
              <w:t>PART I</w:t>
            </w:r>
          </w:p>
        </w:tc>
        <w:tc>
          <w:tcPr>
            <w:tcW w:w="490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212"/>
        </w:trPr>
        <w:tc>
          <w:tcPr>
            <w:tcW w:w="920" w:type="dxa"/>
            <w:vAlign w:val="bottom"/>
          </w:tcPr>
          <w:p>
            <w:pPr>
              <w:ind w:left="20"/>
              <w:spacing w:after="0"/>
              <w:rPr>
                <w:sz w:val="20"/>
                <w:szCs w:val="20"/>
                <w:color w:val="auto"/>
              </w:rPr>
            </w:pPr>
            <w:r>
              <w:rPr>
                <w:rFonts w:ascii="Arial" w:cs="Arial" w:eastAsia="Arial" w:hAnsi="Arial"/>
                <w:sz w:val="14"/>
                <w:szCs w:val="14"/>
                <w:color w:val="auto"/>
              </w:rPr>
              <w:t>Item 1.</w:t>
            </w:r>
          </w:p>
        </w:tc>
        <w:tc>
          <w:tcPr>
            <w:tcW w:w="4900" w:type="dxa"/>
            <w:vAlign w:val="bottom"/>
          </w:tcPr>
          <w:p>
            <w:pPr>
              <w:ind w:left="100"/>
              <w:spacing w:after="0"/>
              <w:rPr>
                <w:sz w:val="20"/>
                <w:szCs w:val="20"/>
                <w:color w:val="auto"/>
              </w:rPr>
            </w:pPr>
            <w:r>
              <w:rPr>
                <w:rFonts w:ascii="Arial" w:cs="Arial" w:eastAsia="Arial" w:hAnsi="Arial"/>
                <w:sz w:val="14"/>
                <w:szCs w:val="14"/>
                <w:color w:val="auto"/>
              </w:rPr>
              <w:t>Business</w:t>
            </w:r>
          </w:p>
        </w:tc>
        <w:tc>
          <w:tcPr>
            <w:tcW w:w="1160" w:type="dxa"/>
            <w:vAlign w:val="bottom"/>
          </w:tcPr>
          <w:p>
            <w:pPr>
              <w:jc w:val="center"/>
              <w:spacing w:after="0"/>
              <w:rPr>
                <w:sz w:val="20"/>
                <w:szCs w:val="20"/>
                <w:color w:val="auto"/>
              </w:rPr>
            </w:pPr>
            <w:r>
              <w:rPr>
                <w:rFonts w:ascii="Arial" w:cs="Arial" w:eastAsia="Arial" w:hAnsi="Arial"/>
                <w:sz w:val="14"/>
                <w:szCs w:val="14"/>
                <w:color w:val="auto"/>
              </w:rPr>
              <w:t>6</w:t>
            </w:r>
          </w:p>
        </w:tc>
      </w:tr>
      <w:tr>
        <w:trPr>
          <w:trHeight w:val="192"/>
        </w:trPr>
        <w:tc>
          <w:tcPr>
            <w:tcW w:w="920" w:type="dxa"/>
            <w:vAlign w:val="bottom"/>
          </w:tcPr>
          <w:p>
            <w:pPr>
              <w:ind w:left="20"/>
              <w:spacing w:after="0"/>
              <w:rPr>
                <w:sz w:val="20"/>
                <w:szCs w:val="20"/>
                <w:color w:val="auto"/>
              </w:rPr>
            </w:pPr>
            <w:r>
              <w:rPr>
                <w:rFonts w:ascii="Arial" w:cs="Arial" w:eastAsia="Arial" w:hAnsi="Arial"/>
                <w:sz w:val="14"/>
                <w:szCs w:val="14"/>
                <w:color w:val="auto"/>
              </w:rPr>
              <w:t>Item 1A.</w:t>
            </w:r>
          </w:p>
        </w:tc>
        <w:tc>
          <w:tcPr>
            <w:tcW w:w="4900" w:type="dxa"/>
            <w:vAlign w:val="bottom"/>
          </w:tcPr>
          <w:p>
            <w:pPr>
              <w:ind w:left="100"/>
              <w:spacing w:after="0"/>
              <w:rPr>
                <w:sz w:val="20"/>
                <w:szCs w:val="20"/>
                <w:color w:val="auto"/>
              </w:rPr>
            </w:pPr>
            <w:r>
              <w:rPr>
                <w:rFonts w:ascii="Arial" w:cs="Arial" w:eastAsia="Arial" w:hAnsi="Arial"/>
                <w:sz w:val="14"/>
                <w:szCs w:val="14"/>
                <w:color w:val="auto"/>
              </w:rPr>
              <w:t>Risk Factors</w:t>
            </w:r>
          </w:p>
        </w:tc>
        <w:tc>
          <w:tcPr>
            <w:tcW w:w="1160" w:type="dxa"/>
            <w:vAlign w:val="bottom"/>
          </w:tcPr>
          <w:p>
            <w:pPr>
              <w:jc w:val="center"/>
              <w:spacing w:after="0"/>
              <w:rPr>
                <w:sz w:val="20"/>
                <w:szCs w:val="20"/>
                <w:color w:val="auto"/>
              </w:rPr>
            </w:pPr>
            <w:r>
              <w:rPr>
                <w:rFonts w:ascii="Arial" w:cs="Arial" w:eastAsia="Arial" w:hAnsi="Arial"/>
                <w:sz w:val="14"/>
                <w:szCs w:val="14"/>
                <w:color w:val="auto"/>
              </w:rPr>
              <w:t>17</w:t>
            </w:r>
          </w:p>
        </w:tc>
      </w:tr>
      <w:tr>
        <w:trPr>
          <w:trHeight w:val="192"/>
        </w:trPr>
        <w:tc>
          <w:tcPr>
            <w:tcW w:w="920" w:type="dxa"/>
            <w:vAlign w:val="bottom"/>
          </w:tcPr>
          <w:p>
            <w:pPr>
              <w:ind w:left="20"/>
              <w:spacing w:after="0"/>
              <w:rPr>
                <w:sz w:val="20"/>
                <w:szCs w:val="20"/>
                <w:color w:val="auto"/>
              </w:rPr>
            </w:pPr>
            <w:r>
              <w:rPr>
                <w:rFonts w:ascii="Arial" w:cs="Arial" w:eastAsia="Arial" w:hAnsi="Arial"/>
                <w:sz w:val="14"/>
                <w:szCs w:val="14"/>
                <w:color w:val="auto"/>
              </w:rPr>
              <w:t>Item 1B.</w:t>
            </w:r>
          </w:p>
        </w:tc>
        <w:tc>
          <w:tcPr>
            <w:tcW w:w="4900" w:type="dxa"/>
            <w:vAlign w:val="bottom"/>
          </w:tcPr>
          <w:p>
            <w:pPr>
              <w:ind w:left="100"/>
              <w:spacing w:after="0"/>
              <w:rPr>
                <w:sz w:val="20"/>
                <w:szCs w:val="20"/>
                <w:color w:val="auto"/>
              </w:rPr>
            </w:pPr>
            <w:r>
              <w:rPr>
                <w:rFonts w:ascii="Arial" w:cs="Arial" w:eastAsia="Arial" w:hAnsi="Arial"/>
                <w:sz w:val="14"/>
                <w:szCs w:val="14"/>
                <w:color w:val="auto"/>
              </w:rPr>
              <w:t>Unresolved Staff Comments</w:t>
            </w:r>
          </w:p>
        </w:tc>
        <w:tc>
          <w:tcPr>
            <w:tcW w:w="1160" w:type="dxa"/>
            <w:vAlign w:val="bottom"/>
          </w:tcPr>
          <w:p>
            <w:pPr>
              <w:jc w:val="center"/>
              <w:spacing w:after="0"/>
              <w:rPr>
                <w:sz w:val="20"/>
                <w:szCs w:val="20"/>
                <w:color w:val="auto"/>
              </w:rPr>
            </w:pPr>
            <w:r>
              <w:rPr>
                <w:rFonts w:ascii="Arial" w:cs="Arial" w:eastAsia="Arial" w:hAnsi="Arial"/>
                <w:sz w:val="14"/>
                <w:szCs w:val="14"/>
                <w:color w:val="auto"/>
              </w:rPr>
              <w:t>25</w:t>
            </w:r>
          </w:p>
        </w:tc>
      </w:tr>
      <w:tr>
        <w:trPr>
          <w:trHeight w:val="192"/>
        </w:trPr>
        <w:tc>
          <w:tcPr>
            <w:tcW w:w="920" w:type="dxa"/>
            <w:vAlign w:val="bottom"/>
          </w:tcPr>
          <w:p>
            <w:pPr>
              <w:ind w:left="20"/>
              <w:spacing w:after="0"/>
              <w:rPr>
                <w:sz w:val="20"/>
                <w:szCs w:val="20"/>
                <w:color w:val="auto"/>
              </w:rPr>
            </w:pPr>
            <w:r>
              <w:rPr>
                <w:rFonts w:ascii="Arial" w:cs="Arial" w:eastAsia="Arial" w:hAnsi="Arial"/>
                <w:sz w:val="14"/>
                <w:szCs w:val="14"/>
                <w:color w:val="auto"/>
              </w:rPr>
              <w:t>Item 2.</w:t>
            </w:r>
          </w:p>
        </w:tc>
        <w:tc>
          <w:tcPr>
            <w:tcW w:w="4900" w:type="dxa"/>
            <w:vAlign w:val="bottom"/>
          </w:tcPr>
          <w:p>
            <w:pPr>
              <w:ind w:left="100"/>
              <w:spacing w:after="0"/>
              <w:rPr>
                <w:sz w:val="20"/>
                <w:szCs w:val="20"/>
                <w:color w:val="auto"/>
              </w:rPr>
            </w:pPr>
            <w:r>
              <w:rPr>
                <w:rFonts w:ascii="Arial" w:cs="Arial" w:eastAsia="Arial" w:hAnsi="Arial"/>
                <w:sz w:val="14"/>
                <w:szCs w:val="14"/>
                <w:color w:val="auto"/>
              </w:rPr>
              <w:t>Properties</w:t>
            </w:r>
          </w:p>
        </w:tc>
        <w:tc>
          <w:tcPr>
            <w:tcW w:w="1160" w:type="dxa"/>
            <w:vAlign w:val="bottom"/>
          </w:tcPr>
          <w:p>
            <w:pPr>
              <w:jc w:val="center"/>
              <w:spacing w:after="0"/>
              <w:rPr>
                <w:sz w:val="20"/>
                <w:szCs w:val="20"/>
                <w:color w:val="auto"/>
              </w:rPr>
            </w:pPr>
            <w:r>
              <w:rPr>
                <w:rFonts w:ascii="Arial" w:cs="Arial" w:eastAsia="Arial" w:hAnsi="Arial"/>
                <w:sz w:val="14"/>
                <w:szCs w:val="14"/>
                <w:color w:val="auto"/>
              </w:rPr>
              <w:t>25</w:t>
            </w:r>
          </w:p>
        </w:tc>
      </w:tr>
      <w:tr>
        <w:trPr>
          <w:trHeight w:val="192"/>
        </w:trPr>
        <w:tc>
          <w:tcPr>
            <w:tcW w:w="920" w:type="dxa"/>
            <w:vAlign w:val="bottom"/>
          </w:tcPr>
          <w:p>
            <w:pPr>
              <w:ind w:left="20"/>
              <w:spacing w:after="0"/>
              <w:rPr>
                <w:sz w:val="20"/>
                <w:szCs w:val="20"/>
                <w:color w:val="auto"/>
              </w:rPr>
            </w:pPr>
            <w:r>
              <w:rPr>
                <w:rFonts w:ascii="Arial" w:cs="Arial" w:eastAsia="Arial" w:hAnsi="Arial"/>
                <w:sz w:val="14"/>
                <w:szCs w:val="14"/>
                <w:color w:val="auto"/>
              </w:rPr>
              <w:t>Item 3.</w:t>
            </w:r>
          </w:p>
        </w:tc>
        <w:tc>
          <w:tcPr>
            <w:tcW w:w="4900" w:type="dxa"/>
            <w:vAlign w:val="bottom"/>
          </w:tcPr>
          <w:p>
            <w:pPr>
              <w:ind w:left="100"/>
              <w:spacing w:after="0"/>
              <w:rPr>
                <w:sz w:val="20"/>
                <w:szCs w:val="20"/>
                <w:color w:val="auto"/>
              </w:rPr>
            </w:pPr>
            <w:r>
              <w:rPr>
                <w:rFonts w:ascii="Arial" w:cs="Arial" w:eastAsia="Arial" w:hAnsi="Arial"/>
                <w:sz w:val="14"/>
                <w:szCs w:val="14"/>
                <w:color w:val="auto"/>
              </w:rPr>
              <w:t>Legal Proceedings</w:t>
            </w:r>
          </w:p>
        </w:tc>
        <w:tc>
          <w:tcPr>
            <w:tcW w:w="1160" w:type="dxa"/>
            <w:vAlign w:val="bottom"/>
          </w:tcPr>
          <w:p>
            <w:pPr>
              <w:jc w:val="center"/>
              <w:spacing w:after="0"/>
              <w:rPr>
                <w:sz w:val="20"/>
                <w:szCs w:val="20"/>
                <w:color w:val="auto"/>
              </w:rPr>
            </w:pPr>
            <w:r>
              <w:rPr>
                <w:rFonts w:ascii="Arial" w:cs="Arial" w:eastAsia="Arial" w:hAnsi="Arial"/>
                <w:sz w:val="14"/>
                <w:szCs w:val="14"/>
                <w:color w:val="auto"/>
              </w:rPr>
              <w:t>26</w:t>
            </w:r>
          </w:p>
        </w:tc>
      </w:tr>
      <w:tr>
        <w:trPr>
          <w:trHeight w:val="192"/>
        </w:trPr>
        <w:tc>
          <w:tcPr>
            <w:tcW w:w="920" w:type="dxa"/>
            <w:vAlign w:val="bottom"/>
          </w:tcPr>
          <w:p>
            <w:pPr>
              <w:ind w:left="20"/>
              <w:spacing w:after="0"/>
              <w:rPr>
                <w:sz w:val="20"/>
                <w:szCs w:val="20"/>
                <w:color w:val="auto"/>
              </w:rPr>
            </w:pPr>
            <w:r>
              <w:rPr>
                <w:rFonts w:ascii="Arial" w:cs="Arial" w:eastAsia="Arial" w:hAnsi="Arial"/>
                <w:sz w:val="14"/>
                <w:szCs w:val="14"/>
                <w:color w:val="auto"/>
              </w:rPr>
              <w:t>Item 4.</w:t>
            </w:r>
          </w:p>
        </w:tc>
        <w:tc>
          <w:tcPr>
            <w:tcW w:w="4900" w:type="dxa"/>
            <w:vAlign w:val="bottom"/>
          </w:tcPr>
          <w:p>
            <w:pPr>
              <w:ind w:left="100"/>
              <w:spacing w:after="0"/>
              <w:rPr>
                <w:sz w:val="20"/>
                <w:szCs w:val="20"/>
                <w:color w:val="auto"/>
              </w:rPr>
            </w:pPr>
            <w:r>
              <w:rPr>
                <w:rFonts w:ascii="Arial" w:cs="Arial" w:eastAsia="Arial" w:hAnsi="Arial"/>
                <w:sz w:val="14"/>
                <w:szCs w:val="14"/>
                <w:color w:val="auto"/>
              </w:rPr>
              <w:t>Submission of Matters to a Vote of Security Holders</w:t>
            </w:r>
          </w:p>
        </w:tc>
        <w:tc>
          <w:tcPr>
            <w:tcW w:w="1160" w:type="dxa"/>
            <w:vAlign w:val="bottom"/>
          </w:tcPr>
          <w:p>
            <w:pPr>
              <w:jc w:val="center"/>
              <w:spacing w:after="0"/>
              <w:rPr>
                <w:sz w:val="20"/>
                <w:szCs w:val="20"/>
                <w:color w:val="auto"/>
              </w:rPr>
            </w:pPr>
            <w:r>
              <w:rPr>
                <w:rFonts w:ascii="Arial" w:cs="Arial" w:eastAsia="Arial" w:hAnsi="Arial"/>
                <w:sz w:val="14"/>
                <w:szCs w:val="14"/>
                <w:color w:val="auto"/>
              </w:rPr>
              <w:t>27</w:t>
            </w:r>
          </w:p>
        </w:tc>
      </w:tr>
      <w:tr>
        <w:trPr>
          <w:trHeight w:val="222"/>
        </w:trPr>
        <w:tc>
          <w:tcPr>
            <w:tcW w:w="920" w:type="dxa"/>
            <w:vAlign w:val="bottom"/>
            <w:tcBorders>
              <w:bottom w:val="single" w:sz="8" w:color="auto"/>
            </w:tcBorders>
          </w:tcPr>
          <w:p>
            <w:pPr>
              <w:spacing w:after="0"/>
              <w:rPr>
                <w:sz w:val="19"/>
                <w:szCs w:val="19"/>
                <w:color w:val="auto"/>
              </w:rPr>
            </w:pPr>
          </w:p>
        </w:tc>
        <w:tc>
          <w:tcPr>
            <w:tcW w:w="49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r>
      <w:tr>
        <w:trPr>
          <w:trHeight w:val="182"/>
        </w:trPr>
        <w:tc>
          <w:tcPr>
            <w:tcW w:w="920" w:type="dxa"/>
            <w:vAlign w:val="bottom"/>
          </w:tcPr>
          <w:p>
            <w:pPr>
              <w:ind w:left="20"/>
              <w:spacing w:after="0"/>
              <w:rPr>
                <w:sz w:val="20"/>
                <w:szCs w:val="20"/>
                <w:color w:val="auto"/>
              </w:rPr>
            </w:pPr>
            <w:r>
              <w:rPr>
                <w:rFonts w:ascii="Arial" w:cs="Arial" w:eastAsia="Arial" w:hAnsi="Arial"/>
                <w:sz w:val="14"/>
                <w:szCs w:val="14"/>
                <w:b w:val="1"/>
                <w:bCs w:val="1"/>
                <w:color w:val="auto"/>
              </w:rPr>
              <w:t>PART II</w:t>
            </w:r>
          </w:p>
        </w:tc>
        <w:tc>
          <w:tcPr>
            <w:tcW w:w="490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208"/>
        </w:trPr>
        <w:tc>
          <w:tcPr>
            <w:tcW w:w="920" w:type="dxa"/>
            <w:vAlign w:val="bottom"/>
          </w:tcPr>
          <w:p>
            <w:pPr>
              <w:ind w:left="20"/>
              <w:spacing w:after="0"/>
              <w:rPr>
                <w:sz w:val="20"/>
                <w:szCs w:val="20"/>
                <w:color w:val="auto"/>
              </w:rPr>
            </w:pPr>
            <w:r>
              <w:rPr>
                <w:rFonts w:ascii="Arial" w:cs="Arial" w:eastAsia="Arial" w:hAnsi="Arial"/>
                <w:sz w:val="14"/>
                <w:szCs w:val="14"/>
                <w:color w:val="auto"/>
              </w:rPr>
              <w:t>Item 5.</w:t>
            </w:r>
          </w:p>
        </w:tc>
        <w:tc>
          <w:tcPr>
            <w:tcW w:w="4900" w:type="dxa"/>
            <w:vAlign w:val="bottom"/>
          </w:tcPr>
          <w:p>
            <w:pPr>
              <w:ind w:left="100"/>
              <w:spacing w:after="0"/>
              <w:rPr>
                <w:sz w:val="20"/>
                <w:szCs w:val="20"/>
                <w:color w:val="auto"/>
              </w:rPr>
            </w:pPr>
            <w:r>
              <w:rPr>
                <w:rFonts w:ascii="Arial" w:cs="Arial" w:eastAsia="Arial" w:hAnsi="Arial"/>
                <w:sz w:val="14"/>
                <w:szCs w:val="14"/>
                <w:color w:val="auto"/>
              </w:rPr>
              <w:t>Market for Registrant's Common Equity, Related Stockholder Matters and</w:t>
            </w:r>
          </w:p>
        </w:tc>
        <w:tc>
          <w:tcPr>
            <w:tcW w:w="1160" w:type="dxa"/>
            <w:vAlign w:val="bottom"/>
          </w:tcPr>
          <w:p>
            <w:pPr>
              <w:spacing w:after="0"/>
              <w:rPr>
                <w:sz w:val="18"/>
                <w:szCs w:val="18"/>
                <w:color w:val="auto"/>
              </w:rPr>
            </w:pPr>
          </w:p>
        </w:tc>
      </w:tr>
      <w:tr>
        <w:trPr>
          <w:trHeight w:val="172"/>
        </w:trPr>
        <w:tc>
          <w:tcPr>
            <w:tcW w:w="920" w:type="dxa"/>
            <w:vAlign w:val="bottom"/>
          </w:tcPr>
          <w:p>
            <w:pPr>
              <w:spacing w:after="0"/>
              <w:rPr>
                <w:sz w:val="14"/>
                <w:szCs w:val="14"/>
                <w:color w:val="auto"/>
              </w:rPr>
            </w:pPr>
          </w:p>
        </w:tc>
        <w:tc>
          <w:tcPr>
            <w:tcW w:w="4900" w:type="dxa"/>
            <w:vAlign w:val="bottom"/>
          </w:tcPr>
          <w:p>
            <w:pPr>
              <w:ind w:left="100"/>
              <w:spacing w:after="0"/>
              <w:rPr>
                <w:sz w:val="20"/>
                <w:szCs w:val="20"/>
                <w:color w:val="auto"/>
              </w:rPr>
            </w:pPr>
            <w:r>
              <w:rPr>
                <w:rFonts w:ascii="Arial" w:cs="Arial" w:eastAsia="Arial" w:hAnsi="Arial"/>
                <w:sz w:val="14"/>
                <w:szCs w:val="14"/>
                <w:color w:val="auto"/>
              </w:rPr>
              <w:t>Issuer Purchases of Equity Securities</w:t>
            </w:r>
          </w:p>
        </w:tc>
        <w:tc>
          <w:tcPr>
            <w:tcW w:w="1160" w:type="dxa"/>
            <w:vAlign w:val="bottom"/>
          </w:tcPr>
          <w:p>
            <w:pPr>
              <w:jc w:val="center"/>
              <w:spacing w:after="0"/>
              <w:rPr>
                <w:sz w:val="20"/>
                <w:szCs w:val="20"/>
                <w:color w:val="auto"/>
              </w:rPr>
            </w:pPr>
            <w:r>
              <w:rPr>
                <w:rFonts w:ascii="Arial" w:cs="Arial" w:eastAsia="Arial" w:hAnsi="Arial"/>
                <w:sz w:val="14"/>
                <w:szCs w:val="14"/>
                <w:color w:val="auto"/>
              </w:rPr>
              <w:t>28</w:t>
            </w:r>
          </w:p>
        </w:tc>
      </w:tr>
      <w:tr>
        <w:trPr>
          <w:trHeight w:val="192"/>
        </w:trPr>
        <w:tc>
          <w:tcPr>
            <w:tcW w:w="920" w:type="dxa"/>
            <w:vAlign w:val="bottom"/>
          </w:tcPr>
          <w:p>
            <w:pPr>
              <w:ind w:left="20"/>
              <w:spacing w:after="0"/>
              <w:rPr>
                <w:sz w:val="20"/>
                <w:szCs w:val="20"/>
                <w:color w:val="auto"/>
              </w:rPr>
            </w:pPr>
            <w:r>
              <w:rPr>
                <w:rFonts w:ascii="Arial" w:cs="Arial" w:eastAsia="Arial" w:hAnsi="Arial"/>
                <w:sz w:val="14"/>
                <w:szCs w:val="14"/>
                <w:color w:val="auto"/>
              </w:rPr>
              <w:t>Item 6.</w:t>
            </w:r>
          </w:p>
        </w:tc>
        <w:tc>
          <w:tcPr>
            <w:tcW w:w="4900" w:type="dxa"/>
            <w:vAlign w:val="bottom"/>
          </w:tcPr>
          <w:p>
            <w:pPr>
              <w:ind w:left="100"/>
              <w:spacing w:after="0"/>
              <w:rPr>
                <w:sz w:val="20"/>
                <w:szCs w:val="20"/>
                <w:color w:val="auto"/>
              </w:rPr>
            </w:pPr>
            <w:r>
              <w:rPr>
                <w:rFonts w:ascii="Arial" w:cs="Arial" w:eastAsia="Arial" w:hAnsi="Arial"/>
                <w:sz w:val="14"/>
                <w:szCs w:val="14"/>
                <w:color w:val="auto"/>
              </w:rPr>
              <w:t>Selected Financial Data</w:t>
            </w:r>
          </w:p>
        </w:tc>
        <w:tc>
          <w:tcPr>
            <w:tcW w:w="1160" w:type="dxa"/>
            <w:vAlign w:val="bottom"/>
          </w:tcPr>
          <w:p>
            <w:pPr>
              <w:jc w:val="center"/>
              <w:spacing w:after="0"/>
              <w:rPr>
                <w:sz w:val="20"/>
                <w:szCs w:val="20"/>
                <w:color w:val="auto"/>
              </w:rPr>
            </w:pPr>
            <w:r>
              <w:rPr>
                <w:rFonts w:ascii="Arial" w:cs="Arial" w:eastAsia="Arial" w:hAnsi="Arial"/>
                <w:sz w:val="14"/>
                <w:szCs w:val="14"/>
                <w:color w:val="auto"/>
              </w:rPr>
              <w:t>30</w:t>
            </w:r>
          </w:p>
        </w:tc>
      </w:tr>
      <w:tr>
        <w:trPr>
          <w:trHeight w:val="188"/>
        </w:trPr>
        <w:tc>
          <w:tcPr>
            <w:tcW w:w="920" w:type="dxa"/>
            <w:vAlign w:val="bottom"/>
          </w:tcPr>
          <w:p>
            <w:pPr>
              <w:ind w:left="20"/>
              <w:spacing w:after="0"/>
              <w:rPr>
                <w:sz w:val="20"/>
                <w:szCs w:val="20"/>
                <w:color w:val="auto"/>
              </w:rPr>
            </w:pPr>
            <w:r>
              <w:rPr>
                <w:rFonts w:ascii="Arial" w:cs="Arial" w:eastAsia="Arial" w:hAnsi="Arial"/>
                <w:sz w:val="14"/>
                <w:szCs w:val="14"/>
                <w:color w:val="auto"/>
              </w:rPr>
              <w:t>Item 7.</w:t>
            </w:r>
          </w:p>
        </w:tc>
        <w:tc>
          <w:tcPr>
            <w:tcW w:w="4900" w:type="dxa"/>
            <w:vAlign w:val="bottom"/>
          </w:tcPr>
          <w:p>
            <w:pPr>
              <w:ind w:left="100"/>
              <w:spacing w:after="0"/>
              <w:rPr>
                <w:sz w:val="20"/>
                <w:szCs w:val="20"/>
                <w:color w:val="auto"/>
              </w:rPr>
            </w:pPr>
            <w:r>
              <w:rPr>
                <w:rFonts w:ascii="Arial" w:cs="Arial" w:eastAsia="Arial" w:hAnsi="Arial"/>
                <w:sz w:val="14"/>
                <w:szCs w:val="14"/>
                <w:color w:val="auto"/>
              </w:rPr>
              <w:t>Management's Discussion and Analysis of Financial Condition and Results</w:t>
            </w:r>
          </w:p>
        </w:tc>
        <w:tc>
          <w:tcPr>
            <w:tcW w:w="1160" w:type="dxa"/>
            <w:vAlign w:val="bottom"/>
          </w:tcPr>
          <w:p>
            <w:pPr>
              <w:spacing w:after="0"/>
              <w:rPr>
                <w:sz w:val="16"/>
                <w:szCs w:val="16"/>
                <w:color w:val="auto"/>
              </w:rPr>
            </w:pPr>
          </w:p>
        </w:tc>
      </w:tr>
      <w:tr>
        <w:trPr>
          <w:trHeight w:val="172"/>
        </w:trPr>
        <w:tc>
          <w:tcPr>
            <w:tcW w:w="920" w:type="dxa"/>
            <w:vAlign w:val="bottom"/>
          </w:tcPr>
          <w:p>
            <w:pPr>
              <w:spacing w:after="0"/>
              <w:rPr>
                <w:sz w:val="14"/>
                <w:szCs w:val="14"/>
                <w:color w:val="auto"/>
              </w:rPr>
            </w:pPr>
          </w:p>
        </w:tc>
        <w:tc>
          <w:tcPr>
            <w:tcW w:w="4900" w:type="dxa"/>
            <w:vAlign w:val="bottom"/>
          </w:tcPr>
          <w:p>
            <w:pPr>
              <w:ind w:left="100"/>
              <w:spacing w:after="0"/>
              <w:rPr>
                <w:sz w:val="20"/>
                <w:szCs w:val="20"/>
                <w:color w:val="auto"/>
              </w:rPr>
            </w:pPr>
            <w:r>
              <w:rPr>
                <w:rFonts w:ascii="Arial" w:cs="Arial" w:eastAsia="Arial" w:hAnsi="Arial"/>
                <w:sz w:val="14"/>
                <w:szCs w:val="14"/>
                <w:color w:val="auto"/>
              </w:rPr>
              <w:t>of Operations</w:t>
            </w:r>
          </w:p>
        </w:tc>
        <w:tc>
          <w:tcPr>
            <w:tcW w:w="1160" w:type="dxa"/>
            <w:vAlign w:val="bottom"/>
          </w:tcPr>
          <w:p>
            <w:pPr>
              <w:jc w:val="center"/>
              <w:spacing w:after="0"/>
              <w:rPr>
                <w:sz w:val="20"/>
                <w:szCs w:val="20"/>
                <w:color w:val="auto"/>
              </w:rPr>
            </w:pPr>
            <w:r>
              <w:rPr>
                <w:rFonts w:ascii="Arial" w:cs="Arial" w:eastAsia="Arial" w:hAnsi="Arial"/>
                <w:sz w:val="14"/>
                <w:szCs w:val="14"/>
                <w:color w:val="auto"/>
              </w:rPr>
              <w:t>30</w:t>
            </w:r>
          </w:p>
        </w:tc>
      </w:tr>
      <w:tr>
        <w:trPr>
          <w:trHeight w:val="192"/>
        </w:trPr>
        <w:tc>
          <w:tcPr>
            <w:tcW w:w="920" w:type="dxa"/>
            <w:vAlign w:val="bottom"/>
          </w:tcPr>
          <w:p>
            <w:pPr>
              <w:ind w:left="20"/>
              <w:spacing w:after="0"/>
              <w:rPr>
                <w:sz w:val="20"/>
                <w:szCs w:val="20"/>
                <w:color w:val="auto"/>
              </w:rPr>
            </w:pPr>
            <w:r>
              <w:rPr>
                <w:rFonts w:ascii="Arial" w:cs="Arial" w:eastAsia="Arial" w:hAnsi="Arial"/>
                <w:sz w:val="14"/>
                <w:szCs w:val="14"/>
                <w:color w:val="auto"/>
              </w:rPr>
              <w:t>Item 7A.</w:t>
            </w:r>
          </w:p>
        </w:tc>
        <w:tc>
          <w:tcPr>
            <w:tcW w:w="4900" w:type="dxa"/>
            <w:vAlign w:val="bottom"/>
          </w:tcPr>
          <w:p>
            <w:pPr>
              <w:ind w:left="100"/>
              <w:spacing w:after="0"/>
              <w:rPr>
                <w:sz w:val="20"/>
                <w:szCs w:val="20"/>
                <w:color w:val="auto"/>
              </w:rPr>
            </w:pPr>
            <w:r>
              <w:rPr>
                <w:rFonts w:ascii="Arial" w:cs="Arial" w:eastAsia="Arial" w:hAnsi="Arial"/>
                <w:sz w:val="14"/>
                <w:szCs w:val="14"/>
                <w:color w:val="auto"/>
              </w:rPr>
              <w:t>Quantitative and Qualitative Disclosures About Market Risk</w:t>
            </w:r>
          </w:p>
        </w:tc>
        <w:tc>
          <w:tcPr>
            <w:tcW w:w="1160" w:type="dxa"/>
            <w:vAlign w:val="bottom"/>
          </w:tcPr>
          <w:p>
            <w:pPr>
              <w:jc w:val="center"/>
              <w:spacing w:after="0"/>
              <w:rPr>
                <w:sz w:val="20"/>
                <w:szCs w:val="20"/>
                <w:color w:val="auto"/>
              </w:rPr>
            </w:pPr>
            <w:r>
              <w:rPr>
                <w:rFonts w:ascii="Arial" w:cs="Arial" w:eastAsia="Arial" w:hAnsi="Arial"/>
                <w:sz w:val="14"/>
                <w:szCs w:val="14"/>
                <w:color w:val="auto"/>
              </w:rPr>
              <w:t>30</w:t>
            </w:r>
          </w:p>
        </w:tc>
      </w:tr>
      <w:tr>
        <w:trPr>
          <w:trHeight w:val="192"/>
        </w:trPr>
        <w:tc>
          <w:tcPr>
            <w:tcW w:w="920" w:type="dxa"/>
            <w:vAlign w:val="bottom"/>
          </w:tcPr>
          <w:p>
            <w:pPr>
              <w:ind w:left="20"/>
              <w:spacing w:after="0"/>
              <w:rPr>
                <w:sz w:val="20"/>
                <w:szCs w:val="20"/>
                <w:color w:val="auto"/>
              </w:rPr>
            </w:pPr>
            <w:r>
              <w:rPr>
                <w:rFonts w:ascii="Arial" w:cs="Arial" w:eastAsia="Arial" w:hAnsi="Arial"/>
                <w:sz w:val="14"/>
                <w:szCs w:val="14"/>
                <w:color w:val="auto"/>
              </w:rPr>
              <w:t>Item 8.</w:t>
            </w:r>
          </w:p>
        </w:tc>
        <w:tc>
          <w:tcPr>
            <w:tcW w:w="4900" w:type="dxa"/>
            <w:vAlign w:val="bottom"/>
          </w:tcPr>
          <w:p>
            <w:pPr>
              <w:ind w:left="100"/>
              <w:spacing w:after="0"/>
              <w:rPr>
                <w:sz w:val="20"/>
                <w:szCs w:val="20"/>
                <w:color w:val="auto"/>
              </w:rPr>
            </w:pPr>
            <w:r>
              <w:rPr>
                <w:rFonts w:ascii="Arial" w:cs="Arial" w:eastAsia="Arial" w:hAnsi="Arial"/>
                <w:sz w:val="14"/>
                <w:szCs w:val="14"/>
                <w:color w:val="auto"/>
              </w:rPr>
              <w:t>Financial Statements and Supplementary Data</w:t>
            </w:r>
          </w:p>
        </w:tc>
        <w:tc>
          <w:tcPr>
            <w:tcW w:w="1160" w:type="dxa"/>
            <w:vAlign w:val="bottom"/>
          </w:tcPr>
          <w:p>
            <w:pPr>
              <w:jc w:val="center"/>
              <w:spacing w:after="0"/>
              <w:rPr>
                <w:sz w:val="20"/>
                <w:szCs w:val="20"/>
                <w:color w:val="auto"/>
              </w:rPr>
            </w:pPr>
            <w:r>
              <w:rPr>
                <w:rFonts w:ascii="Arial" w:cs="Arial" w:eastAsia="Arial" w:hAnsi="Arial"/>
                <w:sz w:val="14"/>
                <w:szCs w:val="14"/>
                <w:color w:val="auto"/>
              </w:rPr>
              <w:t>31</w:t>
            </w:r>
          </w:p>
        </w:tc>
      </w:tr>
      <w:tr>
        <w:trPr>
          <w:trHeight w:val="188"/>
        </w:trPr>
        <w:tc>
          <w:tcPr>
            <w:tcW w:w="920" w:type="dxa"/>
            <w:vAlign w:val="bottom"/>
          </w:tcPr>
          <w:p>
            <w:pPr>
              <w:ind w:left="20"/>
              <w:spacing w:after="0"/>
              <w:rPr>
                <w:sz w:val="20"/>
                <w:szCs w:val="20"/>
                <w:color w:val="auto"/>
              </w:rPr>
            </w:pPr>
            <w:r>
              <w:rPr>
                <w:rFonts w:ascii="Arial" w:cs="Arial" w:eastAsia="Arial" w:hAnsi="Arial"/>
                <w:sz w:val="14"/>
                <w:szCs w:val="14"/>
                <w:color w:val="auto"/>
              </w:rPr>
              <w:t>Item 9.</w:t>
            </w:r>
          </w:p>
        </w:tc>
        <w:tc>
          <w:tcPr>
            <w:tcW w:w="4900" w:type="dxa"/>
            <w:vAlign w:val="bottom"/>
          </w:tcPr>
          <w:p>
            <w:pPr>
              <w:ind w:left="100"/>
              <w:spacing w:after="0"/>
              <w:rPr>
                <w:sz w:val="20"/>
                <w:szCs w:val="20"/>
                <w:color w:val="auto"/>
              </w:rPr>
            </w:pPr>
            <w:r>
              <w:rPr>
                <w:rFonts w:ascii="Arial" w:cs="Arial" w:eastAsia="Arial" w:hAnsi="Arial"/>
                <w:sz w:val="14"/>
                <w:szCs w:val="14"/>
                <w:color w:val="auto"/>
              </w:rPr>
              <w:t>Changes in and Disagreements with Accountants on Accounting and</w:t>
            </w:r>
          </w:p>
        </w:tc>
        <w:tc>
          <w:tcPr>
            <w:tcW w:w="1160" w:type="dxa"/>
            <w:vAlign w:val="bottom"/>
          </w:tcPr>
          <w:p>
            <w:pPr>
              <w:spacing w:after="0"/>
              <w:rPr>
                <w:sz w:val="16"/>
                <w:szCs w:val="16"/>
                <w:color w:val="auto"/>
              </w:rPr>
            </w:pPr>
          </w:p>
        </w:tc>
      </w:tr>
      <w:tr>
        <w:trPr>
          <w:trHeight w:val="172"/>
        </w:trPr>
        <w:tc>
          <w:tcPr>
            <w:tcW w:w="920" w:type="dxa"/>
            <w:vAlign w:val="bottom"/>
          </w:tcPr>
          <w:p>
            <w:pPr>
              <w:spacing w:after="0"/>
              <w:rPr>
                <w:sz w:val="14"/>
                <w:szCs w:val="14"/>
                <w:color w:val="auto"/>
              </w:rPr>
            </w:pPr>
          </w:p>
        </w:tc>
        <w:tc>
          <w:tcPr>
            <w:tcW w:w="4900" w:type="dxa"/>
            <w:vAlign w:val="bottom"/>
          </w:tcPr>
          <w:p>
            <w:pPr>
              <w:ind w:left="100"/>
              <w:spacing w:after="0"/>
              <w:rPr>
                <w:sz w:val="20"/>
                <w:szCs w:val="20"/>
                <w:color w:val="auto"/>
              </w:rPr>
            </w:pPr>
            <w:r>
              <w:rPr>
                <w:rFonts w:ascii="Arial" w:cs="Arial" w:eastAsia="Arial" w:hAnsi="Arial"/>
                <w:sz w:val="14"/>
                <w:szCs w:val="14"/>
                <w:color w:val="auto"/>
              </w:rPr>
              <w:t>Financial Disclosure</w:t>
            </w:r>
          </w:p>
        </w:tc>
        <w:tc>
          <w:tcPr>
            <w:tcW w:w="1160" w:type="dxa"/>
            <w:vAlign w:val="bottom"/>
          </w:tcPr>
          <w:p>
            <w:pPr>
              <w:jc w:val="center"/>
              <w:spacing w:after="0"/>
              <w:rPr>
                <w:sz w:val="20"/>
                <w:szCs w:val="20"/>
                <w:color w:val="auto"/>
              </w:rPr>
            </w:pPr>
            <w:r>
              <w:rPr>
                <w:rFonts w:ascii="Arial" w:cs="Arial" w:eastAsia="Arial" w:hAnsi="Arial"/>
                <w:sz w:val="14"/>
                <w:szCs w:val="14"/>
                <w:color w:val="auto"/>
              </w:rPr>
              <w:t>31</w:t>
            </w:r>
          </w:p>
        </w:tc>
      </w:tr>
      <w:tr>
        <w:trPr>
          <w:trHeight w:val="192"/>
        </w:trPr>
        <w:tc>
          <w:tcPr>
            <w:tcW w:w="920" w:type="dxa"/>
            <w:vAlign w:val="bottom"/>
          </w:tcPr>
          <w:p>
            <w:pPr>
              <w:ind w:left="20"/>
              <w:spacing w:after="0"/>
              <w:rPr>
                <w:sz w:val="20"/>
                <w:szCs w:val="20"/>
                <w:color w:val="auto"/>
              </w:rPr>
            </w:pPr>
            <w:r>
              <w:rPr>
                <w:rFonts w:ascii="Arial" w:cs="Arial" w:eastAsia="Arial" w:hAnsi="Arial"/>
                <w:sz w:val="14"/>
                <w:szCs w:val="14"/>
                <w:color w:val="auto"/>
              </w:rPr>
              <w:t>Item 9A.</w:t>
            </w:r>
          </w:p>
        </w:tc>
        <w:tc>
          <w:tcPr>
            <w:tcW w:w="4900" w:type="dxa"/>
            <w:vAlign w:val="bottom"/>
          </w:tcPr>
          <w:p>
            <w:pPr>
              <w:ind w:left="100"/>
              <w:spacing w:after="0"/>
              <w:rPr>
                <w:sz w:val="20"/>
                <w:szCs w:val="20"/>
                <w:color w:val="auto"/>
              </w:rPr>
            </w:pPr>
            <w:r>
              <w:rPr>
                <w:rFonts w:ascii="Arial" w:cs="Arial" w:eastAsia="Arial" w:hAnsi="Arial"/>
                <w:sz w:val="14"/>
                <w:szCs w:val="14"/>
                <w:color w:val="auto"/>
              </w:rPr>
              <w:t>Controls and Procedures</w:t>
            </w:r>
          </w:p>
        </w:tc>
        <w:tc>
          <w:tcPr>
            <w:tcW w:w="1160" w:type="dxa"/>
            <w:vAlign w:val="bottom"/>
          </w:tcPr>
          <w:p>
            <w:pPr>
              <w:jc w:val="center"/>
              <w:spacing w:after="0"/>
              <w:rPr>
                <w:sz w:val="20"/>
                <w:szCs w:val="20"/>
                <w:color w:val="auto"/>
              </w:rPr>
            </w:pPr>
            <w:r>
              <w:rPr>
                <w:rFonts w:ascii="Arial" w:cs="Arial" w:eastAsia="Arial" w:hAnsi="Arial"/>
                <w:sz w:val="14"/>
                <w:szCs w:val="14"/>
                <w:color w:val="auto"/>
              </w:rPr>
              <w:t>31</w:t>
            </w:r>
          </w:p>
        </w:tc>
      </w:tr>
      <w:tr>
        <w:trPr>
          <w:trHeight w:val="192"/>
        </w:trPr>
        <w:tc>
          <w:tcPr>
            <w:tcW w:w="920" w:type="dxa"/>
            <w:vAlign w:val="bottom"/>
          </w:tcPr>
          <w:p>
            <w:pPr>
              <w:ind w:left="20"/>
              <w:spacing w:after="0"/>
              <w:rPr>
                <w:sz w:val="20"/>
                <w:szCs w:val="20"/>
                <w:color w:val="auto"/>
              </w:rPr>
            </w:pPr>
            <w:r>
              <w:rPr>
                <w:rFonts w:ascii="Arial" w:cs="Arial" w:eastAsia="Arial" w:hAnsi="Arial"/>
                <w:sz w:val="14"/>
                <w:szCs w:val="14"/>
                <w:color w:val="auto"/>
              </w:rPr>
              <w:t>Item 9B.</w:t>
            </w:r>
          </w:p>
        </w:tc>
        <w:tc>
          <w:tcPr>
            <w:tcW w:w="4900" w:type="dxa"/>
            <w:vAlign w:val="bottom"/>
          </w:tcPr>
          <w:p>
            <w:pPr>
              <w:ind w:left="100"/>
              <w:spacing w:after="0"/>
              <w:rPr>
                <w:sz w:val="20"/>
                <w:szCs w:val="20"/>
                <w:color w:val="auto"/>
              </w:rPr>
            </w:pPr>
            <w:r>
              <w:rPr>
                <w:rFonts w:ascii="Arial" w:cs="Arial" w:eastAsia="Arial" w:hAnsi="Arial"/>
                <w:sz w:val="14"/>
                <w:szCs w:val="14"/>
                <w:color w:val="auto"/>
              </w:rPr>
              <w:t>Other Information</w:t>
            </w:r>
          </w:p>
        </w:tc>
        <w:tc>
          <w:tcPr>
            <w:tcW w:w="1160" w:type="dxa"/>
            <w:vAlign w:val="bottom"/>
          </w:tcPr>
          <w:p>
            <w:pPr>
              <w:jc w:val="center"/>
              <w:spacing w:after="0"/>
              <w:rPr>
                <w:sz w:val="20"/>
                <w:szCs w:val="20"/>
                <w:color w:val="auto"/>
              </w:rPr>
            </w:pPr>
            <w:r>
              <w:rPr>
                <w:rFonts w:ascii="Arial" w:cs="Arial" w:eastAsia="Arial" w:hAnsi="Arial"/>
                <w:sz w:val="14"/>
                <w:szCs w:val="14"/>
                <w:color w:val="auto"/>
              </w:rPr>
              <w:t>31</w:t>
            </w:r>
          </w:p>
        </w:tc>
      </w:tr>
      <w:tr>
        <w:trPr>
          <w:trHeight w:val="222"/>
        </w:trPr>
        <w:tc>
          <w:tcPr>
            <w:tcW w:w="920" w:type="dxa"/>
            <w:vAlign w:val="bottom"/>
            <w:tcBorders>
              <w:bottom w:val="single" w:sz="8" w:color="auto"/>
            </w:tcBorders>
          </w:tcPr>
          <w:p>
            <w:pPr>
              <w:spacing w:after="0"/>
              <w:rPr>
                <w:sz w:val="19"/>
                <w:szCs w:val="19"/>
                <w:color w:val="auto"/>
              </w:rPr>
            </w:pPr>
          </w:p>
        </w:tc>
        <w:tc>
          <w:tcPr>
            <w:tcW w:w="49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r>
      <w:tr>
        <w:trPr>
          <w:trHeight w:val="182"/>
        </w:trPr>
        <w:tc>
          <w:tcPr>
            <w:tcW w:w="920" w:type="dxa"/>
            <w:vAlign w:val="bottom"/>
          </w:tcPr>
          <w:p>
            <w:pPr>
              <w:ind w:left="20"/>
              <w:spacing w:after="0"/>
              <w:rPr>
                <w:sz w:val="20"/>
                <w:szCs w:val="20"/>
                <w:color w:val="auto"/>
              </w:rPr>
            </w:pPr>
            <w:r>
              <w:rPr>
                <w:rFonts w:ascii="Arial" w:cs="Arial" w:eastAsia="Arial" w:hAnsi="Arial"/>
                <w:sz w:val="14"/>
                <w:szCs w:val="14"/>
                <w:b w:val="1"/>
                <w:bCs w:val="1"/>
                <w:color w:val="auto"/>
              </w:rPr>
              <w:t>PART III</w:t>
            </w:r>
          </w:p>
        </w:tc>
        <w:tc>
          <w:tcPr>
            <w:tcW w:w="490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212"/>
        </w:trPr>
        <w:tc>
          <w:tcPr>
            <w:tcW w:w="920" w:type="dxa"/>
            <w:vAlign w:val="bottom"/>
          </w:tcPr>
          <w:p>
            <w:pPr>
              <w:ind w:left="20"/>
              <w:spacing w:after="0"/>
              <w:rPr>
                <w:sz w:val="20"/>
                <w:szCs w:val="20"/>
                <w:color w:val="auto"/>
              </w:rPr>
            </w:pPr>
            <w:r>
              <w:rPr>
                <w:rFonts w:ascii="Arial" w:cs="Arial" w:eastAsia="Arial" w:hAnsi="Arial"/>
                <w:sz w:val="14"/>
                <w:szCs w:val="14"/>
                <w:color w:val="auto"/>
              </w:rPr>
              <w:t>Item 10.</w:t>
            </w:r>
          </w:p>
        </w:tc>
        <w:tc>
          <w:tcPr>
            <w:tcW w:w="4900" w:type="dxa"/>
            <w:vAlign w:val="bottom"/>
          </w:tcPr>
          <w:p>
            <w:pPr>
              <w:ind w:left="100"/>
              <w:spacing w:after="0"/>
              <w:rPr>
                <w:sz w:val="20"/>
                <w:szCs w:val="20"/>
                <w:color w:val="auto"/>
              </w:rPr>
            </w:pPr>
            <w:r>
              <w:rPr>
                <w:rFonts w:ascii="Arial" w:cs="Arial" w:eastAsia="Arial" w:hAnsi="Arial"/>
                <w:sz w:val="14"/>
                <w:szCs w:val="14"/>
                <w:color w:val="auto"/>
              </w:rPr>
              <w:t>Directors, Executive Officers and Corporate Governance</w:t>
            </w:r>
          </w:p>
        </w:tc>
        <w:tc>
          <w:tcPr>
            <w:tcW w:w="1160" w:type="dxa"/>
            <w:vAlign w:val="bottom"/>
          </w:tcPr>
          <w:p>
            <w:pPr>
              <w:jc w:val="center"/>
              <w:spacing w:after="0"/>
              <w:rPr>
                <w:sz w:val="20"/>
                <w:szCs w:val="20"/>
                <w:color w:val="auto"/>
              </w:rPr>
            </w:pPr>
            <w:r>
              <w:rPr>
                <w:rFonts w:ascii="Arial" w:cs="Arial" w:eastAsia="Arial" w:hAnsi="Arial"/>
                <w:sz w:val="14"/>
                <w:szCs w:val="14"/>
                <w:color w:val="auto"/>
              </w:rPr>
              <w:t>32</w:t>
            </w:r>
          </w:p>
        </w:tc>
      </w:tr>
      <w:tr>
        <w:trPr>
          <w:trHeight w:val="192"/>
        </w:trPr>
        <w:tc>
          <w:tcPr>
            <w:tcW w:w="920" w:type="dxa"/>
            <w:vAlign w:val="bottom"/>
          </w:tcPr>
          <w:p>
            <w:pPr>
              <w:ind w:left="20"/>
              <w:spacing w:after="0"/>
              <w:rPr>
                <w:sz w:val="20"/>
                <w:szCs w:val="20"/>
                <w:color w:val="auto"/>
              </w:rPr>
            </w:pPr>
            <w:r>
              <w:rPr>
                <w:rFonts w:ascii="Arial" w:cs="Arial" w:eastAsia="Arial" w:hAnsi="Arial"/>
                <w:sz w:val="14"/>
                <w:szCs w:val="14"/>
                <w:color w:val="auto"/>
              </w:rPr>
              <w:t>Item 11.</w:t>
            </w:r>
          </w:p>
        </w:tc>
        <w:tc>
          <w:tcPr>
            <w:tcW w:w="4900" w:type="dxa"/>
            <w:vAlign w:val="bottom"/>
          </w:tcPr>
          <w:p>
            <w:pPr>
              <w:ind w:left="100"/>
              <w:spacing w:after="0"/>
              <w:rPr>
                <w:sz w:val="20"/>
                <w:szCs w:val="20"/>
                <w:color w:val="auto"/>
              </w:rPr>
            </w:pPr>
            <w:r>
              <w:rPr>
                <w:rFonts w:ascii="Arial" w:cs="Arial" w:eastAsia="Arial" w:hAnsi="Arial"/>
                <w:sz w:val="14"/>
                <w:szCs w:val="14"/>
                <w:color w:val="auto"/>
              </w:rPr>
              <w:t>Executive Compensation</w:t>
            </w:r>
          </w:p>
        </w:tc>
        <w:tc>
          <w:tcPr>
            <w:tcW w:w="1160" w:type="dxa"/>
            <w:vAlign w:val="bottom"/>
          </w:tcPr>
          <w:p>
            <w:pPr>
              <w:jc w:val="center"/>
              <w:spacing w:after="0"/>
              <w:rPr>
                <w:sz w:val="20"/>
                <w:szCs w:val="20"/>
                <w:color w:val="auto"/>
              </w:rPr>
            </w:pPr>
            <w:r>
              <w:rPr>
                <w:rFonts w:ascii="Arial" w:cs="Arial" w:eastAsia="Arial" w:hAnsi="Arial"/>
                <w:sz w:val="14"/>
                <w:szCs w:val="14"/>
                <w:color w:val="auto"/>
              </w:rPr>
              <w:t>33</w:t>
            </w:r>
          </w:p>
        </w:tc>
      </w:tr>
      <w:tr>
        <w:trPr>
          <w:trHeight w:val="188"/>
        </w:trPr>
        <w:tc>
          <w:tcPr>
            <w:tcW w:w="920" w:type="dxa"/>
            <w:vAlign w:val="bottom"/>
          </w:tcPr>
          <w:p>
            <w:pPr>
              <w:ind w:left="20"/>
              <w:spacing w:after="0"/>
              <w:rPr>
                <w:sz w:val="20"/>
                <w:szCs w:val="20"/>
                <w:color w:val="auto"/>
              </w:rPr>
            </w:pPr>
            <w:r>
              <w:rPr>
                <w:rFonts w:ascii="Arial" w:cs="Arial" w:eastAsia="Arial" w:hAnsi="Arial"/>
                <w:sz w:val="14"/>
                <w:szCs w:val="14"/>
                <w:color w:val="auto"/>
              </w:rPr>
              <w:t>Item 12.</w:t>
            </w:r>
          </w:p>
        </w:tc>
        <w:tc>
          <w:tcPr>
            <w:tcW w:w="4900" w:type="dxa"/>
            <w:vAlign w:val="bottom"/>
          </w:tcPr>
          <w:p>
            <w:pPr>
              <w:ind w:left="100"/>
              <w:spacing w:after="0"/>
              <w:rPr>
                <w:sz w:val="20"/>
                <w:szCs w:val="20"/>
                <w:color w:val="auto"/>
              </w:rPr>
            </w:pPr>
            <w:r>
              <w:rPr>
                <w:rFonts w:ascii="Arial" w:cs="Arial" w:eastAsia="Arial" w:hAnsi="Arial"/>
                <w:sz w:val="14"/>
                <w:szCs w:val="14"/>
                <w:color w:val="auto"/>
              </w:rPr>
              <w:t>Security Ownership of Certain Beneficial Owners and Management and</w:t>
            </w:r>
          </w:p>
        </w:tc>
        <w:tc>
          <w:tcPr>
            <w:tcW w:w="1160" w:type="dxa"/>
            <w:vAlign w:val="bottom"/>
          </w:tcPr>
          <w:p>
            <w:pPr>
              <w:spacing w:after="0"/>
              <w:rPr>
                <w:sz w:val="16"/>
                <w:szCs w:val="16"/>
                <w:color w:val="auto"/>
              </w:rPr>
            </w:pPr>
          </w:p>
        </w:tc>
      </w:tr>
      <w:tr>
        <w:trPr>
          <w:trHeight w:val="172"/>
        </w:trPr>
        <w:tc>
          <w:tcPr>
            <w:tcW w:w="920" w:type="dxa"/>
            <w:vAlign w:val="bottom"/>
          </w:tcPr>
          <w:p>
            <w:pPr>
              <w:spacing w:after="0"/>
              <w:rPr>
                <w:sz w:val="14"/>
                <w:szCs w:val="14"/>
                <w:color w:val="auto"/>
              </w:rPr>
            </w:pPr>
          </w:p>
        </w:tc>
        <w:tc>
          <w:tcPr>
            <w:tcW w:w="4900" w:type="dxa"/>
            <w:vAlign w:val="bottom"/>
          </w:tcPr>
          <w:p>
            <w:pPr>
              <w:ind w:left="100"/>
              <w:spacing w:after="0"/>
              <w:rPr>
                <w:sz w:val="20"/>
                <w:szCs w:val="20"/>
                <w:color w:val="auto"/>
              </w:rPr>
            </w:pPr>
            <w:r>
              <w:rPr>
                <w:rFonts w:ascii="Arial" w:cs="Arial" w:eastAsia="Arial" w:hAnsi="Arial"/>
                <w:sz w:val="14"/>
                <w:szCs w:val="14"/>
                <w:color w:val="auto"/>
              </w:rPr>
              <w:t>Related Stockholder Matters</w:t>
            </w:r>
          </w:p>
        </w:tc>
        <w:tc>
          <w:tcPr>
            <w:tcW w:w="1160" w:type="dxa"/>
            <w:vAlign w:val="bottom"/>
          </w:tcPr>
          <w:p>
            <w:pPr>
              <w:jc w:val="center"/>
              <w:spacing w:after="0"/>
              <w:rPr>
                <w:sz w:val="20"/>
                <w:szCs w:val="20"/>
                <w:color w:val="auto"/>
              </w:rPr>
            </w:pPr>
            <w:r>
              <w:rPr>
                <w:rFonts w:ascii="Arial" w:cs="Arial" w:eastAsia="Arial" w:hAnsi="Arial"/>
                <w:sz w:val="14"/>
                <w:szCs w:val="14"/>
                <w:color w:val="auto"/>
              </w:rPr>
              <w:t>34</w:t>
            </w:r>
          </w:p>
        </w:tc>
      </w:tr>
      <w:tr>
        <w:trPr>
          <w:trHeight w:val="188"/>
        </w:trPr>
        <w:tc>
          <w:tcPr>
            <w:tcW w:w="920" w:type="dxa"/>
            <w:vAlign w:val="bottom"/>
          </w:tcPr>
          <w:p>
            <w:pPr>
              <w:ind w:left="20"/>
              <w:spacing w:after="0"/>
              <w:rPr>
                <w:sz w:val="20"/>
                <w:szCs w:val="20"/>
                <w:color w:val="auto"/>
              </w:rPr>
            </w:pPr>
            <w:r>
              <w:rPr>
                <w:rFonts w:ascii="Arial" w:cs="Arial" w:eastAsia="Arial" w:hAnsi="Arial"/>
                <w:sz w:val="14"/>
                <w:szCs w:val="14"/>
                <w:color w:val="auto"/>
              </w:rPr>
              <w:t>Item 13.</w:t>
            </w:r>
          </w:p>
        </w:tc>
        <w:tc>
          <w:tcPr>
            <w:tcW w:w="4900" w:type="dxa"/>
            <w:vAlign w:val="bottom"/>
          </w:tcPr>
          <w:p>
            <w:pPr>
              <w:ind w:left="100"/>
              <w:spacing w:after="0"/>
              <w:rPr>
                <w:sz w:val="20"/>
                <w:szCs w:val="20"/>
                <w:color w:val="auto"/>
              </w:rPr>
            </w:pPr>
            <w:r>
              <w:rPr>
                <w:rFonts w:ascii="Arial" w:cs="Arial" w:eastAsia="Arial" w:hAnsi="Arial"/>
                <w:sz w:val="14"/>
                <w:szCs w:val="14"/>
                <w:color w:val="auto"/>
              </w:rPr>
              <w:t>Certain Relationships and Related Transactions, and Director</w:t>
            </w:r>
          </w:p>
        </w:tc>
        <w:tc>
          <w:tcPr>
            <w:tcW w:w="1160" w:type="dxa"/>
            <w:vAlign w:val="bottom"/>
          </w:tcPr>
          <w:p>
            <w:pPr>
              <w:spacing w:after="0"/>
              <w:rPr>
                <w:sz w:val="16"/>
                <w:szCs w:val="16"/>
                <w:color w:val="auto"/>
              </w:rPr>
            </w:pPr>
          </w:p>
        </w:tc>
      </w:tr>
      <w:tr>
        <w:trPr>
          <w:trHeight w:val="172"/>
        </w:trPr>
        <w:tc>
          <w:tcPr>
            <w:tcW w:w="920" w:type="dxa"/>
            <w:vAlign w:val="bottom"/>
          </w:tcPr>
          <w:p>
            <w:pPr>
              <w:spacing w:after="0"/>
              <w:rPr>
                <w:sz w:val="14"/>
                <w:szCs w:val="14"/>
                <w:color w:val="auto"/>
              </w:rPr>
            </w:pPr>
          </w:p>
        </w:tc>
        <w:tc>
          <w:tcPr>
            <w:tcW w:w="4900" w:type="dxa"/>
            <w:vAlign w:val="bottom"/>
          </w:tcPr>
          <w:p>
            <w:pPr>
              <w:ind w:left="100"/>
              <w:spacing w:after="0"/>
              <w:rPr>
                <w:sz w:val="20"/>
                <w:szCs w:val="20"/>
                <w:color w:val="auto"/>
              </w:rPr>
            </w:pPr>
            <w:r>
              <w:rPr>
                <w:rFonts w:ascii="Arial" w:cs="Arial" w:eastAsia="Arial" w:hAnsi="Arial"/>
                <w:sz w:val="14"/>
                <w:szCs w:val="14"/>
                <w:color w:val="auto"/>
              </w:rPr>
              <w:t>Independence</w:t>
            </w:r>
          </w:p>
        </w:tc>
        <w:tc>
          <w:tcPr>
            <w:tcW w:w="1160" w:type="dxa"/>
            <w:vAlign w:val="bottom"/>
          </w:tcPr>
          <w:p>
            <w:pPr>
              <w:jc w:val="center"/>
              <w:spacing w:after="0"/>
              <w:rPr>
                <w:sz w:val="20"/>
                <w:szCs w:val="20"/>
                <w:color w:val="auto"/>
              </w:rPr>
            </w:pPr>
            <w:r>
              <w:rPr>
                <w:rFonts w:ascii="Arial" w:cs="Arial" w:eastAsia="Arial" w:hAnsi="Arial"/>
                <w:sz w:val="14"/>
                <w:szCs w:val="14"/>
                <w:color w:val="auto"/>
              </w:rPr>
              <w:t>34</w:t>
            </w:r>
          </w:p>
        </w:tc>
      </w:tr>
      <w:tr>
        <w:trPr>
          <w:trHeight w:val="192"/>
        </w:trPr>
        <w:tc>
          <w:tcPr>
            <w:tcW w:w="920" w:type="dxa"/>
            <w:vAlign w:val="bottom"/>
          </w:tcPr>
          <w:p>
            <w:pPr>
              <w:ind w:left="20"/>
              <w:spacing w:after="0"/>
              <w:rPr>
                <w:sz w:val="20"/>
                <w:szCs w:val="20"/>
                <w:color w:val="auto"/>
              </w:rPr>
            </w:pPr>
            <w:r>
              <w:rPr>
                <w:rFonts w:ascii="Arial" w:cs="Arial" w:eastAsia="Arial" w:hAnsi="Arial"/>
                <w:sz w:val="14"/>
                <w:szCs w:val="14"/>
                <w:color w:val="auto"/>
              </w:rPr>
              <w:t>Item 14.</w:t>
            </w:r>
          </w:p>
        </w:tc>
        <w:tc>
          <w:tcPr>
            <w:tcW w:w="4900" w:type="dxa"/>
            <w:vAlign w:val="bottom"/>
          </w:tcPr>
          <w:p>
            <w:pPr>
              <w:ind w:left="100"/>
              <w:spacing w:after="0"/>
              <w:rPr>
                <w:sz w:val="20"/>
                <w:szCs w:val="20"/>
                <w:color w:val="auto"/>
              </w:rPr>
            </w:pPr>
            <w:r>
              <w:rPr>
                <w:rFonts w:ascii="Arial" w:cs="Arial" w:eastAsia="Arial" w:hAnsi="Arial"/>
                <w:sz w:val="14"/>
                <w:szCs w:val="14"/>
                <w:color w:val="auto"/>
              </w:rPr>
              <w:t>Principal Accountant Fees and Services</w:t>
            </w:r>
          </w:p>
        </w:tc>
        <w:tc>
          <w:tcPr>
            <w:tcW w:w="1160" w:type="dxa"/>
            <w:vAlign w:val="bottom"/>
          </w:tcPr>
          <w:p>
            <w:pPr>
              <w:jc w:val="center"/>
              <w:spacing w:after="0"/>
              <w:rPr>
                <w:sz w:val="20"/>
                <w:szCs w:val="20"/>
                <w:color w:val="auto"/>
              </w:rPr>
            </w:pPr>
            <w:r>
              <w:rPr>
                <w:rFonts w:ascii="Arial" w:cs="Arial" w:eastAsia="Arial" w:hAnsi="Arial"/>
                <w:sz w:val="14"/>
                <w:szCs w:val="14"/>
                <w:color w:val="auto"/>
              </w:rPr>
              <w:t>34</w:t>
            </w:r>
          </w:p>
        </w:tc>
      </w:tr>
      <w:tr>
        <w:trPr>
          <w:trHeight w:val="222"/>
        </w:trPr>
        <w:tc>
          <w:tcPr>
            <w:tcW w:w="920" w:type="dxa"/>
            <w:vAlign w:val="bottom"/>
            <w:tcBorders>
              <w:bottom w:val="single" w:sz="8" w:color="auto"/>
            </w:tcBorders>
          </w:tcPr>
          <w:p>
            <w:pPr>
              <w:spacing w:after="0"/>
              <w:rPr>
                <w:sz w:val="19"/>
                <w:szCs w:val="19"/>
                <w:color w:val="auto"/>
              </w:rPr>
            </w:pPr>
          </w:p>
        </w:tc>
        <w:tc>
          <w:tcPr>
            <w:tcW w:w="49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r>
      <w:tr>
        <w:trPr>
          <w:trHeight w:val="182"/>
        </w:trPr>
        <w:tc>
          <w:tcPr>
            <w:tcW w:w="920" w:type="dxa"/>
            <w:vAlign w:val="bottom"/>
          </w:tcPr>
          <w:p>
            <w:pPr>
              <w:ind w:left="20"/>
              <w:spacing w:after="0"/>
              <w:rPr>
                <w:sz w:val="20"/>
                <w:szCs w:val="20"/>
                <w:color w:val="auto"/>
              </w:rPr>
            </w:pPr>
            <w:r>
              <w:rPr>
                <w:rFonts w:ascii="Arial" w:cs="Arial" w:eastAsia="Arial" w:hAnsi="Arial"/>
                <w:sz w:val="14"/>
                <w:szCs w:val="14"/>
                <w:b w:val="1"/>
                <w:bCs w:val="1"/>
                <w:color w:val="auto"/>
              </w:rPr>
              <w:t>PART IV</w:t>
            </w:r>
          </w:p>
        </w:tc>
        <w:tc>
          <w:tcPr>
            <w:tcW w:w="490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212"/>
        </w:trPr>
        <w:tc>
          <w:tcPr>
            <w:tcW w:w="920" w:type="dxa"/>
            <w:vAlign w:val="bottom"/>
          </w:tcPr>
          <w:p>
            <w:pPr>
              <w:ind w:left="20"/>
              <w:spacing w:after="0"/>
              <w:rPr>
                <w:sz w:val="20"/>
                <w:szCs w:val="20"/>
                <w:color w:val="auto"/>
              </w:rPr>
            </w:pPr>
            <w:r>
              <w:rPr>
                <w:rFonts w:ascii="Arial" w:cs="Arial" w:eastAsia="Arial" w:hAnsi="Arial"/>
                <w:sz w:val="14"/>
                <w:szCs w:val="14"/>
                <w:color w:val="auto"/>
              </w:rPr>
              <w:t>Item 15.</w:t>
            </w:r>
          </w:p>
        </w:tc>
        <w:tc>
          <w:tcPr>
            <w:tcW w:w="4900" w:type="dxa"/>
            <w:vAlign w:val="bottom"/>
          </w:tcPr>
          <w:p>
            <w:pPr>
              <w:ind w:left="100"/>
              <w:spacing w:after="0"/>
              <w:rPr>
                <w:sz w:val="20"/>
                <w:szCs w:val="20"/>
                <w:color w:val="auto"/>
              </w:rPr>
            </w:pPr>
            <w:r>
              <w:rPr>
                <w:rFonts w:ascii="Arial" w:cs="Arial" w:eastAsia="Arial" w:hAnsi="Arial"/>
                <w:sz w:val="14"/>
                <w:szCs w:val="14"/>
                <w:color w:val="auto"/>
              </w:rPr>
              <w:t>Exhibits and Financial Statement Schedules</w:t>
            </w:r>
          </w:p>
        </w:tc>
        <w:tc>
          <w:tcPr>
            <w:tcW w:w="1160" w:type="dxa"/>
            <w:vAlign w:val="bottom"/>
          </w:tcPr>
          <w:p>
            <w:pPr>
              <w:jc w:val="center"/>
              <w:spacing w:after="0"/>
              <w:rPr>
                <w:sz w:val="20"/>
                <w:szCs w:val="20"/>
                <w:color w:val="auto"/>
              </w:rPr>
            </w:pPr>
            <w:r>
              <w:rPr>
                <w:rFonts w:ascii="Arial" w:cs="Arial" w:eastAsia="Arial" w:hAnsi="Arial"/>
                <w:sz w:val="14"/>
                <w:szCs w:val="14"/>
                <w:color w:val="auto"/>
              </w:rPr>
              <w:t>35</w:t>
            </w:r>
          </w:p>
        </w:tc>
      </w:tr>
      <w:tr>
        <w:trPr>
          <w:trHeight w:val="404"/>
        </w:trPr>
        <w:tc>
          <w:tcPr>
            <w:tcW w:w="5820" w:type="dxa"/>
            <w:vAlign w:val="bottom"/>
            <w:gridSpan w:val="2"/>
          </w:tcPr>
          <w:p>
            <w:pPr>
              <w:ind w:left="20"/>
              <w:spacing w:after="0"/>
              <w:rPr>
                <w:sz w:val="20"/>
                <w:szCs w:val="20"/>
                <w:color w:val="auto"/>
              </w:rPr>
            </w:pPr>
            <w:r>
              <w:rPr>
                <w:rFonts w:ascii="Arial" w:cs="Arial" w:eastAsia="Arial" w:hAnsi="Arial"/>
                <w:sz w:val="14"/>
                <w:szCs w:val="14"/>
                <w:color w:val="auto"/>
              </w:rPr>
              <w:t>Sempra Energy: Consent of Independent Registered Public Accounting Firm and Report</w:t>
            </w:r>
          </w:p>
        </w:tc>
        <w:tc>
          <w:tcPr>
            <w:tcW w:w="1160" w:type="dxa"/>
            <w:vAlign w:val="bottom"/>
          </w:tcPr>
          <w:p>
            <w:pPr>
              <w:spacing w:after="0"/>
              <w:rPr>
                <w:sz w:val="24"/>
                <w:szCs w:val="24"/>
                <w:color w:val="auto"/>
              </w:rPr>
            </w:pPr>
          </w:p>
        </w:tc>
      </w:tr>
      <w:tr>
        <w:trPr>
          <w:trHeight w:val="172"/>
        </w:trPr>
        <w:tc>
          <w:tcPr>
            <w:tcW w:w="5820" w:type="dxa"/>
            <w:vAlign w:val="bottom"/>
            <w:gridSpan w:val="2"/>
          </w:tcPr>
          <w:p>
            <w:pPr>
              <w:ind w:left="240"/>
              <w:spacing w:after="0"/>
              <w:rPr>
                <w:sz w:val="20"/>
                <w:szCs w:val="20"/>
                <w:color w:val="auto"/>
              </w:rPr>
            </w:pPr>
            <w:r>
              <w:rPr>
                <w:rFonts w:ascii="Arial" w:cs="Arial" w:eastAsia="Arial" w:hAnsi="Arial"/>
                <w:sz w:val="14"/>
                <w:szCs w:val="14"/>
                <w:color w:val="auto"/>
              </w:rPr>
              <w:t>on Schedule</w:t>
            </w:r>
          </w:p>
        </w:tc>
        <w:tc>
          <w:tcPr>
            <w:tcW w:w="1160" w:type="dxa"/>
            <w:vAlign w:val="bottom"/>
          </w:tcPr>
          <w:p>
            <w:pPr>
              <w:jc w:val="center"/>
              <w:spacing w:after="0"/>
              <w:rPr>
                <w:sz w:val="20"/>
                <w:szCs w:val="20"/>
                <w:color w:val="auto"/>
              </w:rPr>
            </w:pPr>
            <w:r>
              <w:rPr>
                <w:rFonts w:ascii="Arial" w:cs="Arial" w:eastAsia="Arial" w:hAnsi="Arial"/>
                <w:sz w:val="14"/>
                <w:szCs w:val="14"/>
                <w:color w:val="auto"/>
              </w:rPr>
              <w:t>36</w:t>
            </w:r>
          </w:p>
        </w:tc>
      </w:tr>
      <w:tr>
        <w:trPr>
          <w:trHeight w:val="188"/>
        </w:trPr>
        <w:tc>
          <w:tcPr>
            <w:tcW w:w="5820" w:type="dxa"/>
            <w:vAlign w:val="bottom"/>
            <w:gridSpan w:val="2"/>
          </w:tcPr>
          <w:p>
            <w:pPr>
              <w:ind w:left="20"/>
              <w:spacing w:after="0"/>
              <w:rPr>
                <w:sz w:val="20"/>
                <w:szCs w:val="20"/>
                <w:color w:val="auto"/>
              </w:rPr>
            </w:pPr>
            <w:r>
              <w:rPr>
                <w:rFonts w:ascii="Arial" w:cs="Arial" w:eastAsia="Arial" w:hAnsi="Arial"/>
                <w:sz w:val="14"/>
                <w:szCs w:val="14"/>
                <w:color w:val="auto"/>
              </w:rPr>
              <w:t>San Diego Gas &amp; Electric Company: Consent of Independent Registered Public</w:t>
            </w:r>
          </w:p>
        </w:tc>
        <w:tc>
          <w:tcPr>
            <w:tcW w:w="1160" w:type="dxa"/>
            <w:vAlign w:val="bottom"/>
          </w:tcPr>
          <w:p>
            <w:pPr>
              <w:spacing w:after="0"/>
              <w:rPr>
                <w:sz w:val="16"/>
                <w:szCs w:val="16"/>
                <w:color w:val="auto"/>
              </w:rPr>
            </w:pPr>
          </w:p>
        </w:tc>
      </w:tr>
      <w:tr>
        <w:trPr>
          <w:trHeight w:val="172"/>
        </w:trPr>
        <w:tc>
          <w:tcPr>
            <w:tcW w:w="5820" w:type="dxa"/>
            <w:vAlign w:val="bottom"/>
            <w:gridSpan w:val="2"/>
          </w:tcPr>
          <w:p>
            <w:pPr>
              <w:ind w:left="240"/>
              <w:spacing w:after="0"/>
              <w:rPr>
                <w:sz w:val="20"/>
                <w:szCs w:val="20"/>
                <w:color w:val="auto"/>
              </w:rPr>
            </w:pPr>
            <w:r>
              <w:rPr>
                <w:rFonts w:ascii="Arial" w:cs="Arial" w:eastAsia="Arial" w:hAnsi="Arial"/>
                <w:sz w:val="14"/>
                <w:szCs w:val="14"/>
                <w:color w:val="auto"/>
              </w:rPr>
              <w:t>Accounting Firm</w:t>
            </w:r>
          </w:p>
        </w:tc>
        <w:tc>
          <w:tcPr>
            <w:tcW w:w="1160" w:type="dxa"/>
            <w:vAlign w:val="bottom"/>
          </w:tcPr>
          <w:p>
            <w:pPr>
              <w:jc w:val="center"/>
              <w:spacing w:after="0"/>
              <w:rPr>
                <w:sz w:val="20"/>
                <w:szCs w:val="20"/>
                <w:color w:val="auto"/>
              </w:rPr>
            </w:pPr>
            <w:r>
              <w:rPr>
                <w:rFonts w:ascii="Arial" w:cs="Arial" w:eastAsia="Arial" w:hAnsi="Arial"/>
                <w:sz w:val="14"/>
                <w:szCs w:val="14"/>
                <w:color w:val="auto"/>
              </w:rPr>
              <w:t>36</w:t>
            </w:r>
          </w:p>
        </w:tc>
      </w:tr>
      <w:tr>
        <w:trPr>
          <w:trHeight w:val="188"/>
        </w:trPr>
        <w:tc>
          <w:tcPr>
            <w:tcW w:w="5820" w:type="dxa"/>
            <w:vAlign w:val="bottom"/>
            <w:gridSpan w:val="2"/>
          </w:tcPr>
          <w:p>
            <w:pPr>
              <w:ind w:left="20"/>
              <w:spacing w:after="0"/>
              <w:rPr>
                <w:sz w:val="20"/>
                <w:szCs w:val="20"/>
                <w:color w:val="auto"/>
              </w:rPr>
            </w:pPr>
            <w:r>
              <w:rPr>
                <w:rFonts w:ascii="Arial" w:cs="Arial" w:eastAsia="Arial" w:hAnsi="Arial"/>
                <w:sz w:val="14"/>
                <w:szCs w:val="14"/>
                <w:color w:val="auto"/>
              </w:rPr>
              <w:t>Southern California Gas Company: Consent of Independent Registered Public Accounting</w:t>
            </w:r>
          </w:p>
        </w:tc>
        <w:tc>
          <w:tcPr>
            <w:tcW w:w="1160" w:type="dxa"/>
            <w:vAlign w:val="bottom"/>
          </w:tcPr>
          <w:p>
            <w:pPr>
              <w:spacing w:after="0"/>
              <w:rPr>
                <w:sz w:val="16"/>
                <w:szCs w:val="16"/>
                <w:color w:val="auto"/>
              </w:rPr>
            </w:pPr>
          </w:p>
        </w:tc>
      </w:tr>
      <w:tr>
        <w:trPr>
          <w:trHeight w:val="172"/>
        </w:trPr>
        <w:tc>
          <w:tcPr>
            <w:tcW w:w="920" w:type="dxa"/>
            <w:vAlign w:val="bottom"/>
          </w:tcPr>
          <w:p>
            <w:pPr>
              <w:ind w:left="240"/>
              <w:spacing w:after="0"/>
              <w:rPr>
                <w:sz w:val="20"/>
                <w:szCs w:val="20"/>
                <w:color w:val="auto"/>
              </w:rPr>
            </w:pPr>
            <w:r>
              <w:rPr>
                <w:rFonts w:ascii="Arial" w:cs="Arial" w:eastAsia="Arial" w:hAnsi="Arial"/>
                <w:sz w:val="14"/>
                <w:szCs w:val="14"/>
                <w:color w:val="auto"/>
              </w:rPr>
              <w:t>Firm</w:t>
            </w:r>
          </w:p>
        </w:tc>
        <w:tc>
          <w:tcPr>
            <w:tcW w:w="4900" w:type="dxa"/>
            <w:vAlign w:val="bottom"/>
          </w:tcPr>
          <w:p>
            <w:pPr>
              <w:spacing w:after="0"/>
              <w:rPr>
                <w:sz w:val="14"/>
                <w:szCs w:val="14"/>
                <w:color w:val="auto"/>
              </w:rPr>
            </w:pPr>
          </w:p>
        </w:tc>
        <w:tc>
          <w:tcPr>
            <w:tcW w:w="1160" w:type="dxa"/>
            <w:vAlign w:val="bottom"/>
          </w:tcPr>
          <w:p>
            <w:pPr>
              <w:jc w:val="center"/>
              <w:spacing w:after="0"/>
              <w:rPr>
                <w:sz w:val="20"/>
                <w:szCs w:val="20"/>
                <w:color w:val="auto"/>
              </w:rPr>
            </w:pPr>
            <w:r>
              <w:rPr>
                <w:rFonts w:ascii="Arial" w:cs="Arial" w:eastAsia="Arial" w:hAnsi="Arial"/>
                <w:sz w:val="14"/>
                <w:szCs w:val="14"/>
                <w:color w:val="auto"/>
              </w:rPr>
              <w:t>37</w:t>
            </w:r>
          </w:p>
        </w:tc>
      </w:tr>
      <w:tr>
        <w:trPr>
          <w:trHeight w:val="192"/>
        </w:trPr>
        <w:tc>
          <w:tcPr>
            <w:tcW w:w="5820" w:type="dxa"/>
            <w:vAlign w:val="bottom"/>
            <w:gridSpan w:val="2"/>
          </w:tcPr>
          <w:p>
            <w:pPr>
              <w:ind w:left="20"/>
              <w:spacing w:after="0"/>
              <w:rPr>
                <w:sz w:val="20"/>
                <w:szCs w:val="20"/>
                <w:color w:val="auto"/>
              </w:rPr>
            </w:pPr>
            <w:r>
              <w:rPr>
                <w:rFonts w:ascii="Arial" w:cs="Arial" w:eastAsia="Arial" w:hAnsi="Arial"/>
                <w:sz w:val="14"/>
                <w:szCs w:val="14"/>
                <w:color w:val="auto"/>
              </w:rPr>
              <w:t>Pacific Enterprises: Report of Independent Registered Public Accounting Firm</w:t>
            </w:r>
          </w:p>
        </w:tc>
        <w:tc>
          <w:tcPr>
            <w:tcW w:w="1160" w:type="dxa"/>
            <w:vAlign w:val="bottom"/>
          </w:tcPr>
          <w:p>
            <w:pPr>
              <w:jc w:val="center"/>
              <w:spacing w:after="0"/>
              <w:rPr>
                <w:sz w:val="20"/>
                <w:szCs w:val="20"/>
                <w:color w:val="auto"/>
              </w:rPr>
            </w:pPr>
            <w:r>
              <w:rPr>
                <w:rFonts w:ascii="Arial" w:cs="Arial" w:eastAsia="Arial" w:hAnsi="Arial"/>
                <w:sz w:val="14"/>
                <w:szCs w:val="14"/>
                <w:color w:val="auto"/>
              </w:rPr>
              <w:t>37</w:t>
            </w:r>
          </w:p>
        </w:tc>
      </w:tr>
      <w:tr>
        <w:trPr>
          <w:trHeight w:val="408"/>
        </w:trPr>
        <w:tc>
          <w:tcPr>
            <w:tcW w:w="5820" w:type="dxa"/>
            <w:vAlign w:val="bottom"/>
            <w:gridSpan w:val="2"/>
          </w:tcPr>
          <w:p>
            <w:pPr>
              <w:ind w:left="20"/>
              <w:spacing w:after="0"/>
              <w:rPr>
                <w:sz w:val="20"/>
                <w:szCs w:val="20"/>
                <w:color w:val="auto"/>
              </w:rPr>
            </w:pPr>
            <w:r>
              <w:rPr>
                <w:rFonts w:ascii="Arial" w:cs="Arial" w:eastAsia="Arial" w:hAnsi="Arial"/>
                <w:sz w:val="14"/>
                <w:szCs w:val="14"/>
                <w:color w:val="auto"/>
              </w:rPr>
              <w:t>Schedule I – Sempra Energy Condensed Financial Information of Parent</w:t>
            </w:r>
          </w:p>
        </w:tc>
        <w:tc>
          <w:tcPr>
            <w:tcW w:w="1160" w:type="dxa"/>
            <w:vAlign w:val="bottom"/>
          </w:tcPr>
          <w:p>
            <w:pPr>
              <w:jc w:val="center"/>
              <w:spacing w:after="0"/>
              <w:rPr>
                <w:sz w:val="20"/>
                <w:szCs w:val="20"/>
                <w:color w:val="auto"/>
              </w:rPr>
            </w:pPr>
            <w:r>
              <w:rPr>
                <w:rFonts w:ascii="Arial" w:cs="Arial" w:eastAsia="Arial" w:hAnsi="Arial"/>
                <w:sz w:val="14"/>
                <w:szCs w:val="14"/>
                <w:color w:val="auto"/>
              </w:rPr>
              <w:t>38</w:t>
            </w:r>
          </w:p>
        </w:tc>
      </w:tr>
      <w:tr>
        <w:trPr>
          <w:trHeight w:val="192"/>
        </w:trPr>
        <w:tc>
          <w:tcPr>
            <w:tcW w:w="5820" w:type="dxa"/>
            <w:vAlign w:val="bottom"/>
            <w:gridSpan w:val="2"/>
          </w:tcPr>
          <w:p>
            <w:pPr>
              <w:ind w:left="20"/>
              <w:spacing w:after="0"/>
              <w:rPr>
                <w:sz w:val="20"/>
                <w:szCs w:val="20"/>
                <w:color w:val="auto"/>
              </w:rPr>
            </w:pPr>
            <w:r>
              <w:rPr>
                <w:rFonts w:ascii="Arial" w:cs="Arial" w:eastAsia="Arial" w:hAnsi="Arial"/>
                <w:sz w:val="14"/>
                <w:szCs w:val="14"/>
                <w:color w:val="auto"/>
              </w:rPr>
              <w:t>Schedule I – Pacific Enterprises Condensed Financial Information of Parent</w:t>
            </w:r>
          </w:p>
        </w:tc>
        <w:tc>
          <w:tcPr>
            <w:tcW w:w="1160" w:type="dxa"/>
            <w:vAlign w:val="bottom"/>
          </w:tcPr>
          <w:p>
            <w:pPr>
              <w:jc w:val="center"/>
              <w:spacing w:after="0"/>
              <w:rPr>
                <w:sz w:val="20"/>
                <w:szCs w:val="20"/>
                <w:color w:val="auto"/>
              </w:rPr>
            </w:pPr>
            <w:r>
              <w:rPr>
                <w:rFonts w:ascii="Arial" w:cs="Arial" w:eastAsia="Arial" w:hAnsi="Arial"/>
                <w:sz w:val="14"/>
                <w:szCs w:val="14"/>
                <w:color w:val="auto"/>
              </w:rPr>
              <w:t>42</w:t>
            </w:r>
          </w:p>
        </w:tc>
      </w:tr>
      <w:tr>
        <w:trPr>
          <w:trHeight w:val="432"/>
        </w:trPr>
        <w:tc>
          <w:tcPr>
            <w:tcW w:w="920" w:type="dxa"/>
            <w:vAlign w:val="bottom"/>
          </w:tcPr>
          <w:p>
            <w:pPr>
              <w:ind w:left="20"/>
              <w:spacing w:after="0"/>
              <w:rPr>
                <w:sz w:val="20"/>
                <w:szCs w:val="20"/>
                <w:color w:val="auto"/>
              </w:rPr>
            </w:pPr>
            <w:r>
              <w:rPr>
                <w:rFonts w:ascii="Arial" w:cs="Arial" w:eastAsia="Arial" w:hAnsi="Arial"/>
                <w:sz w:val="14"/>
                <w:szCs w:val="14"/>
                <w:color w:val="auto"/>
              </w:rPr>
              <w:t>Signatures</w:t>
            </w:r>
          </w:p>
        </w:tc>
        <w:tc>
          <w:tcPr>
            <w:tcW w:w="4900" w:type="dxa"/>
            <w:vAlign w:val="bottom"/>
          </w:tcPr>
          <w:p>
            <w:pPr>
              <w:spacing w:after="0"/>
              <w:rPr>
                <w:sz w:val="24"/>
                <w:szCs w:val="24"/>
                <w:color w:val="auto"/>
              </w:rPr>
            </w:pPr>
          </w:p>
        </w:tc>
        <w:tc>
          <w:tcPr>
            <w:tcW w:w="1160" w:type="dxa"/>
            <w:vAlign w:val="bottom"/>
          </w:tcPr>
          <w:p>
            <w:pPr>
              <w:jc w:val="center"/>
              <w:spacing w:after="0"/>
              <w:rPr>
                <w:sz w:val="20"/>
                <w:szCs w:val="20"/>
                <w:color w:val="auto"/>
              </w:rPr>
            </w:pPr>
            <w:r>
              <w:rPr>
                <w:rFonts w:ascii="Arial" w:cs="Arial" w:eastAsia="Arial" w:hAnsi="Arial"/>
                <w:sz w:val="14"/>
                <w:szCs w:val="14"/>
                <w:color w:val="auto"/>
              </w:rPr>
              <w:t>44</w:t>
            </w:r>
          </w:p>
        </w:tc>
      </w:tr>
      <w:tr>
        <w:trPr>
          <w:trHeight w:val="192"/>
        </w:trPr>
        <w:tc>
          <w:tcPr>
            <w:tcW w:w="920" w:type="dxa"/>
            <w:vAlign w:val="bottom"/>
          </w:tcPr>
          <w:p>
            <w:pPr>
              <w:ind w:left="20"/>
              <w:spacing w:after="0"/>
              <w:rPr>
                <w:sz w:val="20"/>
                <w:szCs w:val="20"/>
                <w:color w:val="auto"/>
              </w:rPr>
            </w:pPr>
            <w:r>
              <w:rPr>
                <w:rFonts w:ascii="Arial" w:cs="Arial" w:eastAsia="Arial" w:hAnsi="Arial"/>
                <w:sz w:val="14"/>
                <w:szCs w:val="14"/>
                <w:color w:val="auto"/>
              </w:rPr>
              <w:t>Exhibit Index</w:t>
            </w:r>
          </w:p>
        </w:tc>
        <w:tc>
          <w:tcPr>
            <w:tcW w:w="4900" w:type="dxa"/>
            <w:vAlign w:val="bottom"/>
          </w:tcPr>
          <w:p>
            <w:pPr>
              <w:spacing w:after="0"/>
              <w:rPr>
                <w:sz w:val="16"/>
                <w:szCs w:val="16"/>
                <w:color w:val="auto"/>
              </w:rPr>
            </w:pPr>
          </w:p>
        </w:tc>
        <w:tc>
          <w:tcPr>
            <w:tcW w:w="1160" w:type="dxa"/>
            <w:vAlign w:val="bottom"/>
          </w:tcPr>
          <w:p>
            <w:pPr>
              <w:jc w:val="center"/>
              <w:spacing w:after="0"/>
              <w:rPr>
                <w:sz w:val="20"/>
                <w:szCs w:val="20"/>
                <w:color w:val="auto"/>
              </w:rPr>
            </w:pPr>
            <w:r>
              <w:rPr>
                <w:rFonts w:ascii="Arial" w:cs="Arial" w:eastAsia="Arial" w:hAnsi="Arial"/>
                <w:sz w:val="14"/>
                <w:szCs w:val="14"/>
                <w:color w:val="auto"/>
              </w:rPr>
              <w:t>48</w:t>
            </w:r>
          </w:p>
        </w:tc>
      </w:tr>
      <w:tr>
        <w:trPr>
          <w:trHeight w:val="195"/>
        </w:trPr>
        <w:tc>
          <w:tcPr>
            <w:tcW w:w="9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Glossary</w:t>
            </w:r>
          </w:p>
        </w:tc>
        <w:tc>
          <w:tcPr>
            <w:tcW w:w="49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56</w:t>
            </w:r>
          </w:p>
        </w:tc>
      </w:tr>
    </w:tbl>
    <w:p>
      <w:pPr>
        <w:spacing w:after="0" w:line="208" w:lineRule="exact"/>
        <w:rPr>
          <w:sz w:val="20"/>
          <w:szCs w:val="20"/>
          <w:color w:val="auto"/>
        </w:rPr>
      </w:pPr>
    </w:p>
    <w:p>
      <w:pPr>
        <w:ind w:right="140"/>
        <w:spacing w:after="0" w:line="371" w:lineRule="auto"/>
        <w:rPr>
          <w:sz w:val="20"/>
          <w:szCs w:val="20"/>
          <w:color w:val="auto"/>
        </w:rPr>
      </w:pPr>
      <w:r>
        <w:rPr>
          <w:rFonts w:ascii="Arial" w:cs="Arial" w:eastAsia="Arial" w:hAnsi="Arial"/>
          <w:sz w:val="11"/>
          <w:szCs w:val="11"/>
          <w:b w:val="1"/>
          <w:bCs w:val="1"/>
          <w:color w:val="auto"/>
        </w:rPr>
        <w:t>This combined Form 10-K is separately filed by Sempra Energy, San Diego Gas &amp; Electric Company, Pacific Enterprises and Southern California Gas Company. Information contained herein relating to any individual company is filed by such company on its own behalf. Each company makes representations only as to itself and makes no other representation whatsoever as to any other company.</w:t>
      </w:r>
    </w:p>
    <w:p>
      <w:pPr>
        <w:spacing w:after="0" w:line="113" w:lineRule="exact"/>
        <w:rPr>
          <w:sz w:val="20"/>
          <w:szCs w:val="20"/>
          <w:color w:val="auto"/>
        </w:rPr>
      </w:pPr>
    </w:p>
    <w:p>
      <w:pPr>
        <w:spacing w:after="0" w:line="264" w:lineRule="auto"/>
        <w:rPr>
          <w:sz w:val="20"/>
          <w:szCs w:val="20"/>
          <w:color w:val="auto"/>
        </w:rPr>
      </w:pPr>
      <w:r>
        <w:rPr>
          <w:rFonts w:ascii="Arial" w:cs="Arial" w:eastAsia="Arial" w:hAnsi="Arial"/>
          <w:sz w:val="13"/>
          <w:szCs w:val="13"/>
          <w:b w:val="1"/>
          <w:bCs w:val="1"/>
          <w:color w:val="auto"/>
        </w:rPr>
        <w:t>You should read this report in its entirety as it pertains to each respective reporting company. No one section of the report deals with all aspects of the subject matter. Separate Item 6 and 8 sections are provided for each reporting company, except for the Notes to Consolidated Financial Statements. The Notes to Consolidated Financial Statements for all of the reporting companies are combined. All Items other than 6 and 8 are combined for the reporting companies.</w:t>
      </w: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Arial" w:cs="Arial" w:eastAsia="Arial" w:hAnsi="Arial"/>
          <w:sz w:val="14"/>
          <w:szCs w:val="14"/>
          <w:color w:val="auto"/>
        </w:rPr>
        <w:t>4</w:t>
      </w:r>
    </w:p>
    <w:p>
      <w:pPr>
        <w:sectPr>
          <w:pgSz w:w="11900" w:h="16838" w:orient="portrait"/>
          <w:cols w:equalWidth="0" w:num="1">
            <w:col w:w="11400"/>
          </w:cols>
          <w:pgMar w:left="240" w:top="368" w:right="259" w:bottom="1440" w:gutter="0" w:footer="0" w:header="0"/>
        </w:sectPr>
      </w:pPr>
    </w:p>
    <w:bookmarkStart w:id="4" w:name="page5"/>
    <w:bookmarkEnd w:id="4"/>
    <w:p>
      <w:pPr>
        <w:ind w:left="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149860</wp:posOffset>
            </wp:positionH>
            <wp:positionV relativeFrom="page">
              <wp:posOffset>309880</wp:posOffset>
            </wp:positionV>
            <wp:extent cx="7261860"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1860" cy="7620"/>
                    </a:xfrm>
                    <a:prstGeom prst="rect">
                      <a:avLst/>
                    </a:prstGeom>
                    <a:noFill/>
                  </pic:spPr>
                </pic:pic>
              </a:graphicData>
            </a:graphic>
          </wp:anchor>
        </w:drawing>
        <w:t>INFORMATION REGARDING FORWARD-LOOKING STATEMENTS</w:t>
      </w:r>
    </w:p>
    <w:p>
      <w:pPr>
        <w:spacing w:after="0" w:line="72" w:lineRule="exact"/>
        <w:rPr>
          <w:sz w:val="20"/>
          <w:szCs w:val="20"/>
          <w:color w:val="auto"/>
        </w:rPr>
      </w:pPr>
    </w:p>
    <w:p>
      <w:pPr>
        <w:jc w:val="both"/>
        <w:ind w:left="4" w:right="260"/>
        <w:spacing w:after="0" w:line="264" w:lineRule="auto"/>
        <w:rPr>
          <w:sz w:val="20"/>
          <w:szCs w:val="20"/>
          <w:color w:val="auto"/>
        </w:rPr>
      </w:pPr>
      <w:r>
        <w:rPr>
          <w:rFonts w:ascii="Arial" w:cs="Arial" w:eastAsia="Arial" w:hAnsi="Arial"/>
          <w:sz w:val="16"/>
          <w:szCs w:val="16"/>
          <w:color w:val="auto"/>
        </w:rPr>
        <w:t>We make statements in this report that are not historical fact and constitute forward-looking statements within the meaning of the Private Securities Litigation Reform Act of 1995. Forward-looking statements are necessarily based upon assumptions with respect to the future, involve risks and uncertainties, and are not guarantees of performance. These forward-looking statements represent our estimates and assumptions only as of the date of this report.</w:t>
      </w:r>
    </w:p>
    <w:p>
      <w:pPr>
        <w:spacing w:after="0" w:line="42" w:lineRule="exact"/>
        <w:rPr>
          <w:sz w:val="20"/>
          <w:szCs w:val="20"/>
          <w:color w:val="auto"/>
        </w:rPr>
      </w:pPr>
    </w:p>
    <w:p>
      <w:pPr>
        <w:ind w:left="4"/>
        <w:spacing w:after="0" w:line="312" w:lineRule="auto"/>
        <w:rPr>
          <w:sz w:val="20"/>
          <w:szCs w:val="20"/>
          <w:color w:val="auto"/>
        </w:rPr>
      </w:pPr>
      <w:r>
        <w:rPr>
          <w:rFonts w:ascii="Arial" w:cs="Arial" w:eastAsia="Arial" w:hAnsi="Arial"/>
          <w:sz w:val="15"/>
          <w:szCs w:val="15"/>
          <w:color w:val="auto"/>
        </w:rPr>
        <w:t>In this report, when we use words such as "believes," "expects," "anticipates," "plans," "estimates," "projects," "contemplates," "intends," "depends," "should," "could," "would," "may," "potential," "target," "goals," or similar expressions, or when we discuss our strategy, plans or intentions, we are making forward-looking statements.</w:t>
      </w:r>
    </w:p>
    <w:p>
      <w:pPr>
        <w:spacing w:after="0" w:line="20" w:lineRule="exact"/>
        <w:rPr>
          <w:sz w:val="20"/>
          <w:szCs w:val="20"/>
          <w:color w:val="auto"/>
        </w:rPr>
      </w:pPr>
    </w:p>
    <w:p>
      <w:pPr>
        <w:ind w:left="4"/>
        <w:spacing w:after="0"/>
        <w:rPr>
          <w:sz w:val="20"/>
          <w:szCs w:val="20"/>
          <w:color w:val="auto"/>
        </w:rPr>
      </w:pPr>
      <w:r>
        <w:rPr>
          <w:rFonts w:ascii="Arial" w:cs="Arial" w:eastAsia="Arial" w:hAnsi="Arial"/>
          <w:sz w:val="16"/>
          <w:szCs w:val="16"/>
          <w:color w:val="auto"/>
        </w:rPr>
        <w:t>Factors, among others, that could cause our actual results and future actions to differ materially from those described in forward-looking statements include</w:t>
      </w:r>
    </w:p>
    <w:p>
      <w:pPr>
        <w:spacing w:after="0" w:line="44" w:lineRule="exact"/>
        <w:rPr>
          <w:sz w:val="20"/>
          <w:szCs w:val="20"/>
          <w:color w:val="auto"/>
        </w:rPr>
      </w:pPr>
    </w:p>
    <w:p>
      <w:pPr>
        <w:ind w:left="144" w:hanging="144"/>
        <w:spacing w:after="0"/>
        <w:tabs>
          <w:tab w:leader="none" w:pos="144" w:val="left"/>
        </w:tabs>
        <w:numPr>
          <w:ilvl w:val="0"/>
          <w:numId w:val="2"/>
        </w:numPr>
        <w:rPr>
          <w:rFonts w:ascii="Arial" w:cs="Arial" w:eastAsia="Arial" w:hAnsi="Arial"/>
          <w:sz w:val="16"/>
          <w:szCs w:val="16"/>
          <w:color w:val="auto"/>
        </w:rPr>
      </w:pPr>
      <w:r>
        <w:rPr>
          <w:rFonts w:ascii="Arial" w:cs="Arial" w:eastAsia="Arial" w:hAnsi="Arial"/>
          <w:sz w:val="16"/>
          <w:szCs w:val="16"/>
          <w:color w:val="auto"/>
        </w:rPr>
        <w:t>local, regional, national and international economic, competitive, political, legislative and regulatory conditions and developments;</w:t>
      </w:r>
    </w:p>
    <w:p>
      <w:pPr>
        <w:spacing w:after="0" w:line="32" w:lineRule="exact"/>
        <w:rPr>
          <w:rFonts w:ascii="Arial" w:cs="Arial" w:eastAsia="Arial" w:hAnsi="Arial"/>
          <w:sz w:val="16"/>
          <w:szCs w:val="16"/>
          <w:color w:val="auto"/>
        </w:rPr>
      </w:pPr>
    </w:p>
    <w:p>
      <w:pPr>
        <w:ind w:left="144" w:right="1340" w:hanging="144"/>
        <w:spacing w:after="0" w:line="263" w:lineRule="auto"/>
        <w:tabs>
          <w:tab w:leader="none" w:pos="144" w:val="left"/>
        </w:tabs>
        <w:numPr>
          <w:ilvl w:val="0"/>
          <w:numId w:val="2"/>
        </w:numPr>
        <w:rPr>
          <w:rFonts w:ascii="Arial" w:cs="Arial" w:eastAsia="Arial" w:hAnsi="Arial"/>
          <w:sz w:val="16"/>
          <w:szCs w:val="16"/>
          <w:color w:val="auto"/>
        </w:rPr>
      </w:pPr>
      <w:r>
        <w:rPr>
          <w:rFonts w:ascii="Arial" w:cs="Arial" w:eastAsia="Arial" w:hAnsi="Arial"/>
          <w:sz w:val="16"/>
          <w:szCs w:val="16"/>
          <w:color w:val="auto"/>
        </w:rPr>
        <w:t>actions by the California Public Utilities Commission, the California State Legislature, the California Department of Water Resources, the Federal Energy Regulatory Commission, the Federal Reserve Board, and other regulatory and governmental bodies in the United States, the United Kingdom and other countries;</w:t>
      </w:r>
    </w:p>
    <w:p>
      <w:pPr>
        <w:spacing w:after="0" w:line="7" w:lineRule="exact"/>
        <w:rPr>
          <w:rFonts w:ascii="Arial" w:cs="Arial" w:eastAsia="Arial" w:hAnsi="Arial"/>
          <w:sz w:val="16"/>
          <w:szCs w:val="16"/>
          <w:color w:val="auto"/>
        </w:rPr>
      </w:pPr>
    </w:p>
    <w:p>
      <w:pPr>
        <w:ind w:left="144" w:hanging="144"/>
        <w:spacing w:after="0"/>
        <w:tabs>
          <w:tab w:leader="none" w:pos="144" w:val="left"/>
        </w:tabs>
        <w:numPr>
          <w:ilvl w:val="0"/>
          <w:numId w:val="2"/>
        </w:numPr>
        <w:rPr>
          <w:rFonts w:ascii="Arial" w:cs="Arial" w:eastAsia="Arial" w:hAnsi="Arial"/>
          <w:sz w:val="16"/>
          <w:szCs w:val="16"/>
          <w:color w:val="auto"/>
        </w:rPr>
      </w:pPr>
      <w:r>
        <w:rPr>
          <w:rFonts w:ascii="Arial" w:cs="Arial" w:eastAsia="Arial" w:hAnsi="Arial"/>
          <w:sz w:val="16"/>
          <w:szCs w:val="16"/>
          <w:color w:val="auto"/>
        </w:rPr>
        <w:t>capital markets conditions and inflation, interest and exchange rates;</w:t>
      </w:r>
    </w:p>
    <w:p>
      <w:pPr>
        <w:spacing w:after="0" w:line="44" w:lineRule="exact"/>
        <w:rPr>
          <w:rFonts w:ascii="Arial" w:cs="Arial" w:eastAsia="Arial" w:hAnsi="Arial"/>
          <w:sz w:val="16"/>
          <w:szCs w:val="16"/>
          <w:color w:val="auto"/>
        </w:rPr>
      </w:pPr>
    </w:p>
    <w:p>
      <w:pPr>
        <w:ind w:left="144" w:hanging="144"/>
        <w:spacing w:after="0"/>
        <w:tabs>
          <w:tab w:leader="none" w:pos="144" w:val="left"/>
        </w:tabs>
        <w:numPr>
          <w:ilvl w:val="0"/>
          <w:numId w:val="2"/>
        </w:numPr>
        <w:rPr>
          <w:rFonts w:ascii="Arial" w:cs="Arial" w:eastAsia="Arial" w:hAnsi="Arial"/>
          <w:sz w:val="16"/>
          <w:szCs w:val="16"/>
          <w:color w:val="auto"/>
        </w:rPr>
      </w:pPr>
      <w:r>
        <w:rPr>
          <w:rFonts w:ascii="Arial" w:cs="Arial" w:eastAsia="Arial" w:hAnsi="Arial"/>
          <w:sz w:val="16"/>
          <w:szCs w:val="16"/>
          <w:color w:val="auto"/>
        </w:rPr>
        <w:t>energy and trading markets, including the timing and extent of changes and volatility in commodity prices;</w:t>
      </w:r>
    </w:p>
    <w:p>
      <w:pPr>
        <w:spacing w:after="0" w:line="32" w:lineRule="exact"/>
        <w:rPr>
          <w:rFonts w:ascii="Arial" w:cs="Arial" w:eastAsia="Arial" w:hAnsi="Arial"/>
          <w:sz w:val="16"/>
          <w:szCs w:val="16"/>
          <w:color w:val="auto"/>
        </w:rPr>
      </w:pPr>
    </w:p>
    <w:p>
      <w:pPr>
        <w:ind w:left="144" w:hanging="144"/>
        <w:spacing w:after="0"/>
        <w:tabs>
          <w:tab w:leader="none" w:pos="144" w:val="left"/>
        </w:tabs>
        <w:numPr>
          <w:ilvl w:val="0"/>
          <w:numId w:val="2"/>
        </w:numPr>
        <w:rPr>
          <w:rFonts w:ascii="Arial" w:cs="Arial" w:eastAsia="Arial" w:hAnsi="Arial"/>
          <w:sz w:val="16"/>
          <w:szCs w:val="16"/>
          <w:color w:val="auto"/>
        </w:rPr>
      </w:pPr>
      <w:r>
        <w:rPr>
          <w:rFonts w:ascii="Arial" w:cs="Arial" w:eastAsia="Arial" w:hAnsi="Arial"/>
          <w:sz w:val="16"/>
          <w:szCs w:val="16"/>
          <w:color w:val="auto"/>
        </w:rPr>
        <w:t>the availability of electric power, natural gas and liquefied natural gas;</w:t>
      </w:r>
    </w:p>
    <w:p>
      <w:pPr>
        <w:spacing w:after="0" w:line="44" w:lineRule="exact"/>
        <w:rPr>
          <w:rFonts w:ascii="Arial" w:cs="Arial" w:eastAsia="Arial" w:hAnsi="Arial"/>
          <w:sz w:val="16"/>
          <w:szCs w:val="16"/>
          <w:color w:val="auto"/>
        </w:rPr>
      </w:pPr>
    </w:p>
    <w:p>
      <w:pPr>
        <w:ind w:left="144" w:hanging="144"/>
        <w:spacing w:after="0"/>
        <w:tabs>
          <w:tab w:leader="none" w:pos="144" w:val="left"/>
        </w:tabs>
        <w:numPr>
          <w:ilvl w:val="0"/>
          <w:numId w:val="2"/>
        </w:numPr>
        <w:rPr>
          <w:rFonts w:ascii="Arial" w:cs="Arial" w:eastAsia="Arial" w:hAnsi="Arial"/>
          <w:sz w:val="16"/>
          <w:szCs w:val="16"/>
          <w:color w:val="auto"/>
        </w:rPr>
      </w:pPr>
      <w:r>
        <w:rPr>
          <w:rFonts w:ascii="Arial" w:cs="Arial" w:eastAsia="Arial" w:hAnsi="Arial"/>
          <w:sz w:val="16"/>
          <w:szCs w:val="16"/>
          <w:color w:val="auto"/>
        </w:rPr>
        <w:t>weather conditions and conservation efforts;</w:t>
      </w:r>
    </w:p>
    <w:p>
      <w:pPr>
        <w:spacing w:after="0" w:line="44" w:lineRule="exact"/>
        <w:rPr>
          <w:rFonts w:ascii="Arial" w:cs="Arial" w:eastAsia="Arial" w:hAnsi="Arial"/>
          <w:sz w:val="16"/>
          <w:szCs w:val="16"/>
          <w:color w:val="auto"/>
        </w:rPr>
      </w:pPr>
    </w:p>
    <w:p>
      <w:pPr>
        <w:ind w:left="144" w:hanging="144"/>
        <w:spacing w:after="0"/>
        <w:tabs>
          <w:tab w:leader="none" w:pos="144" w:val="left"/>
        </w:tabs>
        <w:numPr>
          <w:ilvl w:val="0"/>
          <w:numId w:val="2"/>
        </w:numPr>
        <w:rPr>
          <w:rFonts w:ascii="Arial" w:cs="Arial" w:eastAsia="Arial" w:hAnsi="Arial"/>
          <w:sz w:val="16"/>
          <w:szCs w:val="16"/>
          <w:color w:val="auto"/>
        </w:rPr>
      </w:pPr>
      <w:r>
        <w:rPr>
          <w:rFonts w:ascii="Arial" w:cs="Arial" w:eastAsia="Arial" w:hAnsi="Arial"/>
          <w:sz w:val="16"/>
          <w:szCs w:val="16"/>
          <w:color w:val="auto"/>
        </w:rPr>
        <w:t>war and terrorist attacks;</w:t>
      </w:r>
    </w:p>
    <w:p>
      <w:pPr>
        <w:spacing w:after="0" w:line="32" w:lineRule="exact"/>
        <w:rPr>
          <w:rFonts w:ascii="Arial" w:cs="Arial" w:eastAsia="Arial" w:hAnsi="Arial"/>
          <w:sz w:val="16"/>
          <w:szCs w:val="16"/>
          <w:color w:val="auto"/>
        </w:rPr>
      </w:pPr>
    </w:p>
    <w:p>
      <w:pPr>
        <w:ind w:left="144" w:hanging="144"/>
        <w:spacing w:after="0"/>
        <w:tabs>
          <w:tab w:leader="none" w:pos="144" w:val="left"/>
        </w:tabs>
        <w:numPr>
          <w:ilvl w:val="0"/>
          <w:numId w:val="2"/>
        </w:numPr>
        <w:rPr>
          <w:rFonts w:ascii="Arial" w:cs="Arial" w:eastAsia="Arial" w:hAnsi="Arial"/>
          <w:sz w:val="16"/>
          <w:szCs w:val="16"/>
          <w:color w:val="auto"/>
        </w:rPr>
      </w:pPr>
      <w:r>
        <w:rPr>
          <w:rFonts w:ascii="Arial" w:cs="Arial" w:eastAsia="Arial" w:hAnsi="Arial"/>
          <w:sz w:val="16"/>
          <w:szCs w:val="16"/>
          <w:color w:val="auto"/>
        </w:rPr>
        <w:t>business, regulatory, environmental and legal decisions and requirements;</w:t>
      </w:r>
    </w:p>
    <w:p>
      <w:pPr>
        <w:spacing w:after="0" w:line="44" w:lineRule="exact"/>
        <w:rPr>
          <w:rFonts w:ascii="Arial" w:cs="Arial" w:eastAsia="Arial" w:hAnsi="Arial"/>
          <w:sz w:val="16"/>
          <w:szCs w:val="16"/>
          <w:color w:val="auto"/>
        </w:rPr>
      </w:pPr>
    </w:p>
    <w:p>
      <w:pPr>
        <w:ind w:left="144" w:hanging="144"/>
        <w:spacing w:after="0"/>
        <w:tabs>
          <w:tab w:leader="none" w:pos="144" w:val="left"/>
        </w:tabs>
        <w:numPr>
          <w:ilvl w:val="0"/>
          <w:numId w:val="2"/>
        </w:numPr>
        <w:rPr>
          <w:rFonts w:ascii="Arial" w:cs="Arial" w:eastAsia="Arial" w:hAnsi="Arial"/>
          <w:sz w:val="16"/>
          <w:szCs w:val="16"/>
          <w:color w:val="auto"/>
        </w:rPr>
      </w:pPr>
      <w:r>
        <w:rPr>
          <w:rFonts w:ascii="Arial" w:cs="Arial" w:eastAsia="Arial" w:hAnsi="Arial"/>
          <w:sz w:val="16"/>
          <w:szCs w:val="16"/>
          <w:color w:val="auto"/>
        </w:rPr>
        <w:t>the status of deregulation of retail natural gas and electricity delivery;</w:t>
      </w:r>
    </w:p>
    <w:p>
      <w:pPr>
        <w:spacing w:after="0" w:line="44" w:lineRule="exact"/>
        <w:rPr>
          <w:rFonts w:ascii="Arial" w:cs="Arial" w:eastAsia="Arial" w:hAnsi="Arial"/>
          <w:sz w:val="16"/>
          <w:szCs w:val="16"/>
          <w:color w:val="auto"/>
        </w:rPr>
      </w:pPr>
    </w:p>
    <w:p>
      <w:pPr>
        <w:ind w:left="144" w:hanging="144"/>
        <w:spacing w:after="0"/>
        <w:tabs>
          <w:tab w:leader="none" w:pos="144" w:val="left"/>
        </w:tabs>
        <w:numPr>
          <w:ilvl w:val="0"/>
          <w:numId w:val="2"/>
        </w:numPr>
        <w:rPr>
          <w:rFonts w:ascii="Arial" w:cs="Arial" w:eastAsia="Arial" w:hAnsi="Arial"/>
          <w:sz w:val="16"/>
          <w:szCs w:val="16"/>
          <w:color w:val="auto"/>
        </w:rPr>
      </w:pPr>
      <w:r>
        <w:rPr>
          <w:rFonts w:ascii="Arial" w:cs="Arial" w:eastAsia="Arial" w:hAnsi="Arial"/>
          <w:sz w:val="16"/>
          <w:szCs w:val="16"/>
          <w:color w:val="auto"/>
        </w:rPr>
        <w:t>the timing and success of business development efforts;</w:t>
      </w:r>
    </w:p>
    <w:p>
      <w:pPr>
        <w:spacing w:after="0" w:line="32" w:lineRule="exact"/>
        <w:rPr>
          <w:rFonts w:ascii="Arial" w:cs="Arial" w:eastAsia="Arial" w:hAnsi="Arial"/>
          <w:sz w:val="16"/>
          <w:szCs w:val="16"/>
          <w:color w:val="auto"/>
        </w:rPr>
      </w:pPr>
    </w:p>
    <w:p>
      <w:pPr>
        <w:ind w:left="144" w:hanging="144"/>
        <w:spacing w:after="0"/>
        <w:tabs>
          <w:tab w:leader="none" w:pos="144" w:val="left"/>
        </w:tabs>
        <w:numPr>
          <w:ilvl w:val="0"/>
          <w:numId w:val="2"/>
        </w:numPr>
        <w:rPr>
          <w:rFonts w:ascii="Arial" w:cs="Arial" w:eastAsia="Arial" w:hAnsi="Arial"/>
          <w:sz w:val="16"/>
          <w:szCs w:val="16"/>
          <w:color w:val="auto"/>
        </w:rPr>
      </w:pPr>
      <w:r>
        <w:rPr>
          <w:rFonts w:ascii="Arial" w:cs="Arial" w:eastAsia="Arial" w:hAnsi="Arial"/>
          <w:sz w:val="16"/>
          <w:szCs w:val="16"/>
          <w:color w:val="auto"/>
        </w:rPr>
        <w:t>the resolution of litigation; and</w:t>
      </w:r>
    </w:p>
    <w:p>
      <w:pPr>
        <w:spacing w:after="0" w:line="44" w:lineRule="exact"/>
        <w:rPr>
          <w:rFonts w:ascii="Arial" w:cs="Arial" w:eastAsia="Arial" w:hAnsi="Arial"/>
          <w:sz w:val="16"/>
          <w:szCs w:val="16"/>
          <w:color w:val="auto"/>
        </w:rPr>
      </w:pPr>
    </w:p>
    <w:p>
      <w:pPr>
        <w:ind w:left="144" w:hanging="144"/>
        <w:spacing w:after="0"/>
        <w:tabs>
          <w:tab w:leader="none" w:pos="144" w:val="left"/>
        </w:tabs>
        <w:numPr>
          <w:ilvl w:val="0"/>
          <w:numId w:val="2"/>
        </w:numPr>
        <w:rPr>
          <w:rFonts w:ascii="Arial" w:cs="Arial" w:eastAsia="Arial" w:hAnsi="Arial"/>
          <w:sz w:val="16"/>
          <w:szCs w:val="16"/>
          <w:color w:val="auto"/>
        </w:rPr>
      </w:pPr>
      <w:r>
        <w:rPr>
          <w:rFonts w:ascii="Arial" w:cs="Arial" w:eastAsia="Arial" w:hAnsi="Arial"/>
          <w:sz w:val="16"/>
          <w:szCs w:val="16"/>
          <w:color w:val="auto"/>
        </w:rPr>
        <w:t>other uncertainties, all of which are difficult to predict and many of which are beyond our control.</w:t>
      </w:r>
    </w:p>
    <w:p>
      <w:pPr>
        <w:spacing w:after="0" w:line="128" w:lineRule="exact"/>
        <w:rPr>
          <w:sz w:val="20"/>
          <w:szCs w:val="20"/>
          <w:color w:val="auto"/>
        </w:rPr>
      </w:pPr>
    </w:p>
    <w:p>
      <w:pPr>
        <w:ind w:left="4" w:right="20"/>
        <w:spacing w:after="0" w:line="277" w:lineRule="auto"/>
        <w:rPr>
          <w:sz w:val="20"/>
          <w:szCs w:val="20"/>
          <w:color w:val="auto"/>
        </w:rPr>
      </w:pPr>
      <w:r>
        <w:rPr>
          <w:rFonts w:ascii="Arial" w:cs="Arial" w:eastAsia="Arial" w:hAnsi="Arial"/>
          <w:sz w:val="16"/>
          <w:szCs w:val="16"/>
          <w:color w:val="auto"/>
        </w:rPr>
        <w:t>We caution you not to rely unduly on any forward-looking statements. You should review and consider carefully the risks, uncertainties and other factors that affect our business as described in this report and other reports that we file with the Securities and Exchange Commission.</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4"/>
        <w:spacing w:after="0"/>
        <w:rPr>
          <w:sz w:val="20"/>
          <w:szCs w:val="20"/>
          <w:color w:val="auto"/>
        </w:rPr>
      </w:pPr>
      <w:r>
        <w:rPr>
          <w:rFonts w:ascii="Arial" w:cs="Arial" w:eastAsia="Arial" w:hAnsi="Arial"/>
          <w:sz w:val="14"/>
          <w:szCs w:val="14"/>
          <w:color w:val="auto"/>
        </w:rPr>
        <w:t>5</w:t>
      </w:r>
    </w:p>
    <w:p>
      <w:pPr>
        <w:sectPr>
          <w:pgSz w:w="11900" w:h="16838" w:orient="portrait"/>
          <w:cols w:equalWidth="0" w:num="1">
            <w:col w:w="11344"/>
          </w:cols>
          <w:pgMar w:left="236" w:top="545" w:right="319" w:bottom="1440" w:gutter="0" w:footer="0" w:header="0"/>
        </w:sectPr>
      </w:pPr>
    </w:p>
    <w:bookmarkStart w:id="5" w:name="page6"/>
    <w:bookmarkEnd w:id="5"/>
    <w:p>
      <w:pPr>
        <w:ind w:left="4"/>
        <w:spacing w:after="0"/>
        <w:rPr>
          <w:sz w:val="20"/>
          <w:szCs w:val="20"/>
          <w:color w:val="auto"/>
        </w:rPr>
      </w:pPr>
      <w:r>
        <w:rPr>
          <w:rFonts w:ascii="Arial" w:cs="Arial" w:eastAsia="Arial" w:hAnsi="Arial"/>
          <w:sz w:val="21"/>
          <w:szCs w:val="21"/>
          <w:color w:val="auto"/>
        </w:rPr>
        <w:t>PART 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263525</wp:posOffset>
            </wp:positionV>
            <wp:extent cx="7261860"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ind w:left="4"/>
        <w:spacing w:after="0"/>
        <w:rPr>
          <w:sz w:val="20"/>
          <w:szCs w:val="20"/>
          <w:color w:val="auto"/>
        </w:rPr>
      </w:pPr>
      <w:r>
        <w:rPr>
          <w:rFonts w:ascii="Arial" w:cs="Arial" w:eastAsia="Arial" w:hAnsi="Arial"/>
          <w:sz w:val="18"/>
          <w:szCs w:val="18"/>
          <w:color w:val="auto"/>
        </w:rPr>
        <w:t>ITEM 1. BUSINESS</w:t>
      </w:r>
    </w:p>
    <w:p>
      <w:pPr>
        <w:spacing w:after="0" w:line="244"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auto"/>
        </w:rPr>
        <w:t>DESCRIPTION OF BUSINESS</w:t>
      </w:r>
    </w:p>
    <w:p>
      <w:pPr>
        <w:spacing w:after="0" w:line="101" w:lineRule="exact"/>
        <w:rPr>
          <w:sz w:val="20"/>
          <w:szCs w:val="20"/>
          <w:color w:val="auto"/>
        </w:rPr>
      </w:pPr>
    </w:p>
    <w:p>
      <w:pPr>
        <w:ind w:left="4"/>
        <w:spacing w:after="0" w:line="277" w:lineRule="auto"/>
        <w:rPr>
          <w:sz w:val="20"/>
          <w:szCs w:val="20"/>
          <w:color w:val="auto"/>
        </w:rPr>
      </w:pPr>
      <w:r>
        <w:rPr>
          <w:rFonts w:ascii="Arial" w:cs="Arial" w:eastAsia="Arial" w:hAnsi="Arial"/>
          <w:sz w:val="16"/>
          <w:szCs w:val="16"/>
          <w:color w:val="auto"/>
        </w:rPr>
        <w:t>We provide a description of Sempra Energy and its subsidiaries in "Management's Discussion and Analysis of Financial Condition and Results of Operations" in the 2008 Annual Report to Shareholders (Annual Report), which is incorporated by reference.</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6"/>
          <w:szCs w:val="16"/>
          <w:color w:val="auto"/>
        </w:rPr>
        <w:t>This report includes information for the following separate registrants:</w:t>
      </w:r>
    </w:p>
    <w:p>
      <w:pPr>
        <w:spacing w:after="0" w:line="44" w:lineRule="exact"/>
        <w:rPr>
          <w:sz w:val="20"/>
          <w:szCs w:val="20"/>
          <w:color w:val="auto"/>
        </w:rPr>
      </w:pPr>
    </w:p>
    <w:p>
      <w:pPr>
        <w:ind w:left="144" w:hanging="144"/>
        <w:spacing w:after="0"/>
        <w:tabs>
          <w:tab w:leader="none" w:pos="144" w:val="left"/>
        </w:tabs>
        <w:numPr>
          <w:ilvl w:val="0"/>
          <w:numId w:val="3"/>
        </w:numPr>
        <w:rPr>
          <w:rFonts w:ascii="Arial" w:cs="Arial" w:eastAsia="Arial" w:hAnsi="Arial"/>
          <w:sz w:val="16"/>
          <w:szCs w:val="16"/>
          <w:color w:val="auto"/>
        </w:rPr>
      </w:pPr>
      <w:r>
        <w:rPr>
          <w:rFonts w:ascii="Arial" w:cs="Arial" w:eastAsia="Arial" w:hAnsi="Arial"/>
          <w:sz w:val="16"/>
          <w:szCs w:val="16"/>
          <w:color w:val="auto"/>
        </w:rPr>
        <w:t>Sempra Energy and its consolidated entities</w:t>
      </w:r>
    </w:p>
    <w:p>
      <w:pPr>
        <w:spacing w:after="0" w:line="44" w:lineRule="exact"/>
        <w:rPr>
          <w:rFonts w:ascii="Arial" w:cs="Arial" w:eastAsia="Arial" w:hAnsi="Arial"/>
          <w:sz w:val="16"/>
          <w:szCs w:val="16"/>
          <w:color w:val="auto"/>
        </w:rPr>
      </w:pPr>
    </w:p>
    <w:p>
      <w:pPr>
        <w:ind w:left="144" w:hanging="144"/>
        <w:spacing w:after="0"/>
        <w:tabs>
          <w:tab w:leader="none" w:pos="144" w:val="left"/>
        </w:tabs>
        <w:numPr>
          <w:ilvl w:val="0"/>
          <w:numId w:val="3"/>
        </w:numPr>
        <w:rPr>
          <w:rFonts w:ascii="Arial" w:cs="Arial" w:eastAsia="Arial" w:hAnsi="Arial"/>
          <w:sz w:val="16"/>
          <w:szCs w:val="16"/>
          <w:color w:val="auto"/>
        </w:rPr>
      </w:pPr>
      <w:r>
        <w:rPr>
          <w:rFonts w:ascii="Arial" w:cs="Arial" w:eastAsia="Arial" w:hAnsi="Arial"/>
          <w:sz w:val="16"/>
          <w:szCs w:val="16"/>
          <w:color w:val="auto"/>
        </w:rPr>
        <w:t>San Diego Gas &amp; Electric Company (SDG&amp;E)</w:t>
      </w:r>
    </w:p>
    <w:p>
      <w:pPr>
        <w:spacing w:after="0" w:line="32" w:lineRule="exact"/>
        <w:rPr>
          <w:rFonts w:ascii="Arial" w:cs="Arial" w:eastAsia="Arial" w:hAnsi="Arial"/>
          <w:sz w:val="16"/>
          <w:szCs w:val="16"/>
          <w:color w:val="auto"/>
        </w:rPr>
      </w:pPr>
    </w:p>
    <w:p>
      <w:pPr>
        <w:ind w:left="144" w:hanging="144"/>
        <w:spacing w:after="0"/>
        <w:tabs>
          <w:tab w:leader="none" w:pos="144" w:val="left"/>
        </w:tabs>
        <w:numPr>
          <w:ilvl w:val="0"/>
          <w:numId w:val="3"/>
        </w:numPr>
        <w:rPr>
          <w:rFonts w:ascii="Arial" w:cs="Arial" w:eastAsia="Arial" w:hAnsi="Arial"/>
          <w:sz w:val="16"/>
          <w:szCs w:val="16"/>
          <w:color w:val="auto"/>
        </w:rPr>
      </w:pPr>
      <w:r>
        <w:rPr>
          <w:rFonts w:ascii="Arial" w:cs="Arial" w:eastAsia="Arial" w:hAnsi="Arial"/>
          <w:sz w:val="16"/>
          <w:szCs w:val="16"/>
          <w:color w:val="auto"/>
        </w:rPr>
        <w:t>Pacific Enterprises (PE), the holding company for Southern California Gas Company</w:t>
      </w:r>
    </w:p>
    <w:p>
      <w:pPr>
        <w:spacing w:after="0" w:line="44" w:lineRule="exact"/>
        <w:rPr>
          <w:rFonts w:ascii="Arial" w:cs="Arial" w:eastAsia="Arial" w:hAnsi="Arial"/>
          <w:sz w:val="16"/>
          <w:szCs w:val="16"/>
          <w:color w:val="auto"/>
        </w:rPr>
      </w:pPr>
    </w:p>
    <w:p>
      <w:pPr>
        <w:ind w:left="144" w:hanging="144"/>
        <w:spacing w:after="0"/>
        <w:tabs>
          <w:tab w:leader="none" w:pos="144" w:val="left"/>
        </w:tabs>
        <w:numPr>
          <w:ilvl w:val="0"/>
          <w:numId w:val="3"/>
        </w:numPr>
        <w:rPr>
          <w:rFonts w:ascii="Arial" w:cs="Arial" w:eastAsia="Arial" w:hAnsi="Arial"/>
          <w:sz w:val="16"/>
          <w:szCs w:val="16"/>
          <w:color w:val="auto"/>
        </w:rPr>
      </w:pPr>
      <w:r>
        <w:rPr>
          <w:rFonts w:ascii="Arial" w:cs="Arial" w:eastAsia="Arial" w:hAnsi="Arial"/>
          <w:sz w:val="16"/>
          <w:szCs w:val="16"/>
          <w:color w:val="auto"/>
        </w:rPr>
        <w:t>Southern California Gas Company (SoCalGas)</w:t>
      </w:r>
    </w:p>
    <w:p>
      <w:pPr>
        <w:spacing w:after="0" w:line="128" w:lineRule="exact"/>
        <w:rPr>
          <w:sz w:val="20"/>
          <w:szCs w:val="20"/>
          <w:color w:val="auto"/>
        </w:rPr>
      </w:pPr>
    </w:p>
    <w:p>
      <w:pPr>
        <w:ind w:left="4" w:right="340"/>
        <w:spacing w:after="0" w:line="277" w:lineRule="auto"/>
        <w:rPr>
          <w:sz w:val="20"/>
          <w:szCs w:val="20"/>
          <w:color w:val="auto"/>
        </w:rPr>
      </w:pPr>
      <w:r>
        <w:rPr>
          <w:rFonts w:ascii="Arial" w:cs="Arial" w:eastAsia="Arial" w:hAnsi="Arial"/>
          <w:sz w:val="16"/>
          <w:szCs w:val="16"/>
          <w:color w:val="auto"/>
        </w:rPr>
        <w:t>References in this report to "we," "our" and "our company" are to Sempra Energy and its subsidiaries, collectively. SDG&amp;E and SoCalGas are collectively referred to as the Sempra Utilities.</w:t>
      </w:r>
    </w:p>
    <w:p>
      <w:pPr>
        <w:spacing w:after="0" w:line="44" w:lineRule="exact"/>
        <w:rPr>
          <w:sz w:val="20"/>
          <w:szCs w:val="20"/>
          <w:color w:val="auto"/>
        </w:rPr>
      </w:pPr>
    </w:p>
    <w:p>
      <w:pPr>
        <w:ind w:left="4"/>
        <w:spacing w:after="0"/>
        <w:rPr>
          <w:sz w:val="20"/>
          <w:szCs w:val="20"/>
          <w:color w:val="auto"/>
        </w:rPr>
      </w:pPr>
      <w:r>
        <w:rPr>
          <w:rFonts w:ascii="Arial" w:cs="Arial" w:eastAsia="Arial" w:hAnsi="Arial"/>
          <w:sz w:val="14"/>
          <w:szCs w:val="14"/>
          <w:color w:val="auto"/>
        </w:rPr>
        <w:t>Sempra Energy has five separately managed reportable segments consisting of SDG&amp;E, SoCalGas, Sempra Commodities, Sempra Generation and Sempra Pipelines &amp; Storage.</w:t>
      </w:r>
    </w:p>
    <w:p>
      <w:pPr>
        <w:spacing w:after="0" w:line="44" w:lineRule="exact"/>
        <w:rPr>
          <w:sz w:val="20"/>
          <w:szCs w:val="20"/>
          <w:color w:val="auto"/>
        </w:rPr>
      </w:pPr>
    </w:p>
    <w:p>
      <w:pPr>
        <w:ind w:left="4"/>
        <w:spacing w:after="0"/>
        <w:rPr>
          <w:sz w:val="20"/>
          <w:szCs w:val="20"/>
          <w:color w:val="auto"/>
        </w:rPr>
      </w:pPr>
      <w:r>
        <w:rPr>
          <w:rFonts w:ascii="Arial" w:cs="Arial" w:eastAsia="Arial" w:hAnsi="Arial"/>
          <w:sz w:val="14"/>
          <w:szCs w:val="14"/>
          <w:color w:val="auto"/>
        </w:rPr>
        <w:t>Sempra Commodities, Sempra Generation, Sempra Pipelines &amp; Storage, and an additional business unit, Sempra LNG (liquefied natural gas) are subsidiaries of Sempra Global.</w:t>
      </w:r>
    </w:p>
    <w:p>
      <w:pPr>
        <w:spacing w:after="0" w:line="31" w:lineRule="exact"/>
        <w:rPr>
          <w:sz w:val="20"/>
          <w:szCs w:val="20"/>
          <w:color w:val="auto"/>
        </w:rPr>
      </w:pPr>
    </w:p>
    <w:p>
      <w:pPr>
        <w:ind w:left="4"/>
        <w:spacing w:after="0"/>
        <w:rPr>
          <w:sz w:val="20"/>
          <w:szCs w:val="20"/>
          <w:color w:val="auto"/>
        </w:rPr>
      </w:pPr>
      <w:r>
        <w:rPr>
          <w:rFonts w:ascii="Arial" w:cs="Arial" w:eastAsia="Arial" w:hAnsi="Arial"/>
          <w:sz w:val="16"/>
          <w:szCs w:val="16"/>
          <w:color w:val="auto"/>
        </w:rPr>
        <w:t>Sempra Global is a holding company for most of our subsidiaries that are not subject to California utility regulation.</w:t>
      </w:r>
    </w:p>
    <w:p>
      <w:pPr>
        <w:spacing w:after="0" w:line="68" w:lineRule="exact"/>
        <w:rPr>
          <w:sz w:val="20"/>
          <w:szCs w:val="20"/>
          <w:color w:val="auto"/>
        </w:rPr>
      </w:pPr>
    </w:p>
    <w:p>
      <w:pPr>
        <w:ind w:left="4" w:right="140"/>
        <w:spacing w:after="0" w:line="277" w:lineRule="auto"/>
        <w:rPr>
          <w:sz w:val="20"/>
          <w:szCs w:val="20"/>
          <w:color w:val="auto"/>
        </w:rPr>
      </w:pPr>
      <w:r>
        <w:rPr>
          <w:rFonts w:ascii="Arial" w:cs="Arial" w:eastAsia="Arial" w:hAnsi="Arial"/>
          <w:sz w:val="16"/>
          <w:szCs w:val="16"/>
          <w:color w:val="auto"/>
        </w:rPr>
        <w:t>SDG&amp;E, PE and SoCalGas are subsidiaries of Sempra Energy. Sempra Energy directly or indirectly owns all the common stock and substantially all of the voting stock of each of the three companies.</w:t>
      </w:r>
    </w:p>
    <w:p>
      <w:pPr>
        <w:spacing w:after="0" w:line="44" w:lineRule="exact"/>
        <w:rPr>
          <w:sz w:val="20"/>
          <w:szCs w:val="20"/>
          <w:color w:val="auto"/>
        </w:rPr>
      </w:pPr>
    </w:p>
    <w:p>
      <w:pPr>
        <w:ind w:left="4" w:right="20"/>
        <w:spacing w:after="0" w:line="264" w:lineRule="auto"/>
        <w:rPr>
          <w:sz w:val="20"/>
          <w:szCs w:val="20"/>
          <w:color w:val="auto"/>
        </w:rPr>
      </w:pPr>
      <w:r>
        <w:rPr>
          <w:rFonts w:ascii="Arial" w:cs="Arial" w:eastAsia="Arial" w:hAnsi="Arial"/>
          <w:sz w:val="16"/>
          <w:szCs w:val="16"/>
          <w:color w:val="auto"/>
        </w:rPr>
        <w:t>In April 2008, Sempra Energy formed a partnership with The Royal Bank of Scotland plc (RBS) to purchase and operate our commodities-marketing businesses, which generally comprised the Sempra Commodities segment. This partnership, RBS Sempra Commodities LLP (RBS Sempra Commodities), is discussed in "Sempra Global – Sempra Commodities" below.</w:t>
      </w:r>
    </w:p>
    <w:p>
      <w:pPr>
        <w:spacing w:after="0" w:line="237"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auto"/>
        </w:rPr>
        <w:t>COMPANY WEBSITES</w:t>
      </w:r>
    </w:p>
    <w:p>
      <w:pPr>
        <w:spacing w:after="0" w:line="101" w:lineRule="exact"/>
        <w:rPr>
          <w:sz w:val="20"/>
          <w:szCs w:val="20"/>
          <w:color w:val="auto"/>
        </w:rPr>
      </w:pPr>
    </w:p>
    <w:p>
      <w:pPr>
        <w:ind w:left="4"/>
        <w:spacing w:after="0"/>
        <w:rPr>
          <w:sz w:val="20"/>
          <w:szCs w:val="20"/>
          <w:color w:val="auto"/>
        </w:rPr>
      </w:pPr>
      <w:r>
        <w:rPr>
          <w:rFonts w:ascii="Arial" w:cs="Arial" w:eastAsia="Arial" w:hAnsi="Arial"/>
          <w:sz w:val="16"/>
          <w:szCs w:val="16"/>
          <w:color w:val="auto"/>
        </w:rPr>
        <w:t>Company website addresses are:</w:t>
      </w:r>
    </w:p>
    <w:p>
      <w:pPr>
        <w:spacing w:after="0" w:line="92" w:lineRule="exact"/>
        <w:rPr>
          <w:sz w:val="20"/>
          <w:szCs w:val="20"/>
          <w:color w:val="auto"/>
        </w:rPr>
      </w:pPr>
    </w:p>
    <w:p>
      <w:pPr>
        <w:ind w:left="584"/>
        <w:spacing w:after="0"/>
        <w:rPr>
          <w:sz w:val="20"/>
          <w:szCs w:val="20"/>
          <w:color w:val="auto"/>
        </w:rPr>
      </w:pPr>
      <w:r>
        <w:rPr>
          <w:rFonts w:ascii="Arial" w:cs="Arial" w:eastAsia="Arial" w:hAnsi="Arial"/>
          <w:sz w:val="16"/>
          <w:szCs w:val="16"/>
          <w:color w:val="auto"/>
        </w:rPr>
        <w:t>Sempra Energy – http://www.sempra.com</w:t>
      </w:r>
    </w:p>
    <w:p>
      <w:pPr>
        <w:spacing w:after="0" w:line="21" w:lineRule="exact"/>
        <w:rPr>
          <w:sz w:val="20"/>
          <w:szCs w:val="20"/>
          <w:color w:val="auto"/>
        </w:rPr>
      </w:pPr>
    </w:p>
    <w:p>
      <w:pPr>
        <w:ind w:left="584"/>
        <w:spacing w:after="0"/>
        <w:rPr>
          <w:sz w:val="20"/>
          <w:szCs w:val="20"/>
          <w:color w:val="auto"/>
        </w:rPr>
      </w:pPr>
      <w:r>
        <w:rPr>
          <w:rFonts w:ascii="Arial" w:cs="Arial" w:eastAsia="Arial" w:hAnsi="Arial"/>
          <w:sz w:val="16"/>
          <w:szCs w:val="16"/>
          <w:color w:val="auto"/>
        </w:rPr>
        <w:t>SDG&amp;E – http://www.sdge.com</w:t>
      </w:r>
    </w:p>
    <w:p>
      <w:pPr>
        <w:spacing w:after="0" w:line="8" w:lineRule="exact"/>
        <w:rPr>
          <w:sz w:val="20"/>
          <w:szCs w:val="20"/>
          <w:color w:val="auto"/>
        </w:rPr>
      </w:pPr>
    </w:p>
    <w:p>
      <w:pPr>
        <w:ind w:left="584"/>
        <w:spacing w:after="0"/>
        <w:rPr>
          <w:sz w:val="20"/>
          <w:szCs w:val="20"/>
          <w:color w:val="auto"/>
        </w:rPr>
      </w:pPr>
      <w:r>
        <w:rPr>
          <w:rFonts w:ascii="Arial" w:cs="Arial" w:eastAsia="Arial" w:hAnsi="Arial"/>
          <w:sz w:val="16"/>
          <w:szCs w:val="16"/>
          <w:color w:val="auto"/>
        </w:rPr>
        <w:t>PE/SoCalGas – http://www.socalgas.com</w:t>
      </w:r>
    </w:p>
    <w:p>
      <w:pPr>
        <w:spacing w:after="0" w:line="68" w:lineRule="exact"/>
        <w:rPr>
          <w:sz w:val="20"/>
          <w:szCs w:val="20"/>
          <w:color w:val="auto"/>
        </w:rPr>
      </w:pPr>
    </w:p>
    <w:p>
      <w:pPr>
        <w:ind w:left="4" w:right="100"/>
        <w:spacing w:after="0" w:line="308" w:lineRule="auto"/>
        <w:rPr>
          <w:sz w:val="20"/>
          <w:szCs w:val="20"/>
          <w:color w:val="auto"/>
        </w:rPr>
      </w:pPr>
      <w:r>
        <w:rPr>
          <w:rFonts w:ascii="Arial" w:cs="Arial" w:eastAsia="Arial" w:hAnsi="Arial"/>
          <w:sz w:val="14"/>
          <w:szCs w:val="14"/>
          <w:color w:val="auto"/>
        </w:rPr>
        <w:t>We make available free of charge on our website our annual report on Form 10-K, quarterly reports on Form 10-Q, current reports on Form 8-K, and any amendments to those reports as soon as reasonably practicable after such material is electronically filed with or furnished to the Securities and Exchange Commission. SDG&amp;E and SoCalGas make available free of charge via a hyperlink on their websites their annual reports on Form 10-K, quarterly reports on Form 10-Q, current reports on Form 8-K, and any amendments to those reports as soon as reasonably practicable after such material is electronically filed with or furnished to the Securities and Exchange Commission.</w:t>
      </w:r>
    </w:p>
    <w:p>
      <w:pPr>
        <w:spacing w:after="0" w:line="26" w:lineRule="exact"/>
        <w:rPr>
          <w:sz w:val="20"/>
          <w:szCs w:val="20"/>
          <w:color w:val="auto"/>
        </w:rPr>
      </w:pPr>
    </w:p>
    <w:p>
      <w:pPr>
        <w:ind w:left="4" w:right="240"/>
        <w:spacing w:after="0" w:line="277" w:lineRule="auto"/>
        <w:rPr>
          <w:sz w:val="20"/>
          <w:szCs w:val="20"/>
          <w:color w:val="auto"/>
        </w:rPr>
      </w:pPr>
      <w:r>
        <w:rPr>
          <w:rFonts w:ascii="Arial" w:cs="Arial" w:eastAsia="Arial" w:hAnsi="Arial"/>
          <w:sz w:val="16"/>
          <w:szCs w:val="16"/>
          <w:color w:val="auto"/>
        </w:rPr>
        <w:t>The charters of the audit, compensation and corporate governance committees of Sempra Energy’s board of directors (the board), the board's corporate governance guidelines, and Sempra Energy's code of business conduct and ethics for directors and officers are posted on Sempra Energy's website.</w:t>
      </w:r>
    </w:p>
    <w:p>
      <w:pPr>
        <w:spacing w:after="0" w:line="200" w:lineRule="exact"/>
        <w:rPr>
          <w:sz w:val="20"/>
          <w:szCs w:val="20"/>
          <w:color w:val="auto"/>
        </w:rPr>
      </w:pPr>
    </w:p>
    <w:p>
      <w:pPr>
        <w:spacing w:after="0" w:line="304" w:lineRule="exact"/>
        <w:rPr>
          <w:sz w:val="20"/>
          <w:szCs w:val="20"/>
          <w:color w:val="auto"/>
        </w:rPr>
      </w:pPr>
    </w:p>
    <w:p>
      <w:pPr>
        <w:ind w:left="4"/>
        <w:spacing w:after="0"/>
        <w:rPr>
          <w:sz w:val="20"/>
          <w:szCs w:val="20"/>
          <w:color w:val="auto"/>
        </w:rPr>
      </w:pPr>
      <w:r>
        <w:rPr>
          <w:rFonts w:ascii="Arial" w:cs="Arial" w:eastAsia="Arial" w:hAnsi="Arial"/>
          <w:sz w:val="14"/>
          <w:szCs w:val="14"/>
          <w:color w:val="auto"/>
        </w:rPr>
        <w:t>6</w:t>
      </w:r>
    </w:p>
    <w:p>
      <w:pPr>
        <w:sectPr>
          <w:pgSz w:w="11900" w:h="16838" w:orient="portrait"/>
          <w:cols w:equalWidth="0" w:num="1">
            <w:col w:w="11404"/>
          </w:cols>
          <w:pgMar w:left="236" w:top="143" w:right="259" w:bottom="1440" w:gutter="0" w:footer="0" w:header="0"/>
        </w:sectPr>
      </w:pPr>
    </w:p>
    <w:bookmarkStart w:id="6" w:name="page7"/>
    <w:bookmarkEnd w:id="6"/>
    <w:p>
      <w:pPr>
        <w:ind w:left="4"/>
        <w:spacing w:after="0"/>
        <w:rPr>
          <w:sz w:val="20"/>
          <w:szCs w:val="20"/>
          <w:color w:val="auto"/>
        </w:rPr>
      </w:pPr>
      <w:r>
        <w:rPr>
          <w:rFonts w:ascii="Arial" w:cs="Arial" w:eastAsia="Arial" w:hAnsi="Arial"/>
          <w:sz w:val="16"/>
          <w:szCs w:val="16"/>
          <w:color w:val="auto"/>
        </w:rPr>
        <w:t>Printed copies of all of these materials may be obtained by writing to our Corporate Secretary at Sempra Energy, 101 Ash Street, San Diego, CA 92101-3017.</w:t>
      </w:r>
    </w:p>
    <w:p>
      <w:pPr>
        <w:spacing w:after="0" w:line="276"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auto"/>
        </w:rPr>
        <w:t>GOVERNMENT REGULATION</w:t>
      </w:r>
    </w:p>
    <w:p>
      <w:pPr>
        <w:spacing w:after="0" w:line="101" w:lineRule="exact"/>
        <w:rPr>
          <w:sz w:val="20"/>
          <w:szCs w:val="20"/>
          <w:color w:val="auto"/>
        </w:rPr>
      </w:pPr>
    </w:p>
    <w:p>
      <w:pPr>
        <w:ind w:left="4"/>
        <w:spacing w:after="0"/>
        <w:rPr>
          <w:sz w:val="20"/>
          <w:szCs w:val="20"/>
          <w:color w:val="auto"/>
        </w:rPr>
      </w:pPr>
      <w:r>
        <w:rPr>
          <w:rFonts w:ascii="Arial" w:cs="Arial" w:eastAsia="Arial" w:hAnsi="Arial"/>
          <w:sz w:val="16"/>
          <w:szCs w:val="16"/>
          <w:color w:val="auto"/>
        </w:rPr>
        <w:t>The most significant government regulation affecting Sempra Energy is the regulation of our utility subsidiaries.</w:t>
      </w:r>
    </w:p>
    <w:p>
      <w:pPr>
        <w:spacing w:after="0" w:line="186" w:lineRule="exact"/>
        <w:rPr>
          <w:sz w:val="20"/>
          <w:szCs w:val="20"/>
          <w:color w:val="auto"/>
        </w:rPr>
      </w:pPr>
    </w:p>
    <w:p>
      <w:pPr>
        <w:ind w:left="4"/>
        <w:spacing w:after="0"/>
        <w:rPr>
          <w:sz w:val="20"/>
          <w:szCs w:val="20"/>
          <w:color w:val="auto"/>
        </w:rPr>
      </w:pPr>
      <w:r>
        <w:rPr>
          <w:rFonts w:ascii="Arial" w:cs="Arial" w:eastAsia="Arial" w:hAnsi="Arial"/>
          <w:sz w:val="18"/>
          <w:szCs w:val="18"/>
          <w:b w:val="1"/>
          <w:bCs w:val="1"/>
          <w:i w:val="1"/>
          <w:iCs w:val="1"/>
          <w:color w:val="auto"/>
        </w:rPr>
        <w:t>California Utility Regulation</w:t>
      </w:r>
    </w:p>
    <w:p>
      <w:pPr>
        <w:spacing w:after="0" w:line="23" w:lineRule="exact"/>
        <w:rPr>
          <w:sz w:val="20"/>
          <w:szCs w:val="20"/>
          <w:color w:val="auto"/>
        </w:rPr>
      </w:pPr>
    </w:p>
    <w:p>
      <w:pPr>
        <w:ind w:left="4" w:right="480"/>
        <w:spacing w:after="0" w:line="277" w:lineRule="auto"/>
        <w:rPr>
          <w:sz w:val="20"/>
          <w:szCs w:val="20"/>
          <w:color w:val="auto"/>
        </w:rPr>
      </w:pPr>
      <w:r>
        <w:rPr>
          <w:rFonts w:ascii="Arial" w:cs="Arial" w:eastAsia="Arial" w:hAnsi="Arial"/>
          <w:sz w:val="16"/>
          <w:szCs w:val="16"/>
          <w:color w:val="auto"/>
        </w:rPr>
        <w:t>The Sempra Utilities are regulated in California by the California Public Utilities Commission (CPUC), the California Energy Commission (CEC), and the California Air Resources Board (CARB).</w:t>
      </w:r>
    </w:p>
    <w:p>
      <w:pPr>
        <w:spacing w:after="0" w:line="44" w:lineRule="exact"/>
        <w:rPr>
          <w:sz w:val="20"/>
          <w:szCs w:val="20"/>
          <w:color w:val="auto"/>
        </w:rPr>
      </w:pPr>
    </w:p>
    <w:p>
      <w:pPr>
        <w:ind w:left="4"/>
        <w:spacing w:after="0"/>
        <w:rPr>
          <w:sz w:val="20"/>
          <w:szCs w:val="20"/>
          <w:color w:val="auto"/>
        </w:rPr>
      </w:pPr>
      <w:r>
        <w:rPr>
          <w:rFonts w:ascii="Arial" w:cs="Arial" w:eastAsia="Arial" w:hAnsi="Arial"/>
          <w:sz w:val="16"/>
          <w:szCs w:val="16"/>
          <w:color w:val="auto"/>
        </w:rPr>
        <w:t>The California Public Utilities Commission:</w:t>
      </w:r>
    </w:p>
    <w:p>
      <w:pPr>
        <w:spacing w:after="0" w:line="44" w:lineRule="exact"/>
        <w:rPr>
          <w:sz w:val="20"/>
          <w:szCs w:val="20"/>
          <w:color w:val="auto"/>
        </w:rPr>
      </w:pPr>
    </w:p>
    <w:p>
      <w:pPr>
        <w:ind w:left="144" w:hanging="144"/>
        <w:spacing w:after="0"/>
        <w:tabs>
          <w:tab w:leader="none" w:pos="144" w:val="left"/>
        </w:tabs>
        <w:numPr>
          <w:ilvl w:val="0"/>
          <w:numId w:val="4"/>
        </w:numPr>
        <w:rPr>
          <w:rFonts w:ascii="Arial" w:cs="Arial" w:eastAsia="Arial" w:hAnsi="Arial"/>
          <w:sz w:val="16"/>
          <w:szCs w:val="16"/>
          <w:color w:val="auto"/>
        </w:rPr>
      </w:pPr>
      <w:r>
        <w:rPr>
          <w:rFonts w:ascii="Arial" w:cs="Arial" w:eastAsia="Arial" w:hAnsi="Arial"/>
          <w:sz w:val="16"/>
          <w:szCs w:val="16"/>
          <w:color w:val="auto"/>
        </w:rPr>
        <w:t>consists of five commissioners appointed by the Governor of California for staggered, six-year terms.</w:t>
      </w:r>
    </w:p>
    <w:p>
      <w:pPr>
        <w:spacing w:after="0" w:line="32" w:lineRule="exact"/>
        <w:rPr>
          <w:rFonts w:ascii="Arial" w:cs="Arial" w:eastAsia="Arial" w:hAnsi="Arial"/>
          <w:sz w:val="16"/>
          <w:szCs w:val="16"/>
          <w:color w:val="auto"/>
        </w:rPr>
      </w:pPr>
    </w:p>
    <w:p>
      <w:pPr>
        <w:ind w:left="144" w:right="1280" w:hanging="144"/>
        <w:spacing w:after="0" w:line="273" w:lineRule="auto"/>
        <w:tabs>
          <w:tab w:leader="none" w:pos="144" w:val="left"/>
        </w:tabs>
        <w:numPr>
          <w:ilvl w:val="0"/>
          <w:numId w:val="4"/>
        </w:numPr>
        <w:rPr>
          <w:rFonts w:ascii="Arial" w:cs="Arial" w:eastAsia="Arial" w:hAnsi="Arial"/>
          <w:sz w:val="16"/>
          <w:szCs w:val="16"/>
          <w:color w:val="auto"/>
        </w:rPr>
      </w:pPr>
      <w:r>
        <w:rPr>
          <w:rFonts w:ascii="Arial" w:cs="Arial" w:eastAsia="Arial" w:hAnsi="Arial"/>
          <w:sz w:val="16"/>
          <w:szCs w:val="16"/>
          <w:color w:val="auto"/>
        </w:rPr>
        <w:t>regulates SDG&amp;E’s and SoCalGas’ rates and conditions of service, sales of securities, rates of return, capital structure, rates of depreciation, and long-term resource procurement, except as described below in "United States Utility Regulation."</w:t>
      </w:r>
    </w:p>
    <w:p>
      <w:pPr>
        <w:spacing w:after="0" w:line="1" w:lineRule="exact"/>
        <w:rPr>
          <w:rFonts w:ascii="Arial" w:cs="Arial" w:eastAsia="Arial" w:hAnsi="Arial"/>
          <w:sz w:val="16"/>
          <w:szCs w:val="16"/>
          <w:color w:val="auto"/>
        </w:rPr>
      </w:pPr>
    </w:p>
    <w:p>
      <w:pPr>
        <w:ind w:left="144" w:right="1080" w:hanging="144"/>
        <w:spacing w:after="0" w:line="274" w:lineRule="auto"/>
        <w:tabs>
          <w:tab w:leader="none" w:pos="144" w:val="left"/>
        </w:tabs>
        <w:numPr>
          <w:ilvl w:val="0"/>
          <w:numId w:val="4"/>
        </w:numPr>
        <w:rPr>
          <w:rFonts w:ascii="Arial" w:cs="Arial" w:eastAsia="Arial" w:hAnsi="Arial"/>
          <w:sz w:val="16"/>
          <w:szCs w:val="16"/>
          <w:color w:val="auto"/>
        </w:rPr>
      </w:pPr>
      <w:r>
        <w:rPr>
          <w:rFonts w:ascii="Arial" w:cs="Arial" w:eastAsia="Arial" w:hAnsi="Arial"/>
          <w:sz w:val="16"/>
          <w:szCs w:val="16"/>
          <w:color w:val="auto"/>
        </w:rPr>
        <w:t>has jurisdiction over the proposed construction of major new electric transmission, electric distribution, and natural gas transmission and distribution facilities in California.</w:t>
      </w:r>
    </w:p>
    <w:p>
      <w:pPr>
        <w:ind w:left="144" w:right="1140" w:hanging="144"/>
        <w:spacing w:after="0" w:line="266" w:lineRule="auto"/>
        <w:tabs>
          <w:tab w:leader="none" w:pos="144" w:val="left"/>
        </w:tabs>
        <w:numPr>
          <w:ilvl w:val="0"/>
          <w:numId w:val="4"/>
        </w:numPr>
        <w:rPr>
          <w:rFonts w:ascii="Arial" w:cs="Arial" w:eastAsia="Arial" w:hAnsi="Arial"/>
          <w:sz w:val="16"/>
          <w:szCs w:val="16"/>
          <w:color w:val="auto"/>
        </w:rPr>
      </w:pPr>
      <w:r>
        <w:rPr>
          <w:rFonts w:ascii="Arial" w:cs="Arial" w:eastAsia="Arial" w:hAnsi="Arial"/>
          <w:sz w:val="16"/>
          <w:szCs w:val="16"/>
          <w:color w:val="auto"/>
        </w:rPr>
        <w:t>conducts various reviews of utility performance, conducts audits for compliance with regulatory guidelines, and conducts investigations into various matters, such as deregulation, competition and the environment, to determine its future policies.</w:t>
      </w:r>
    </w:p>
    <w:p>
      <w:pPr>
        <w:ind w:left="144" w:hanging="144"/>
        <w:spacing w:after="0"/>
        <w:tabs>
          <w:tab w:leader="none" w:pos="144" w:val="left"/>
        </w:tabs>
        <w:numPr>
          <w:ilvl w:val="0"/>
          <w:numId w:val="4"/>
        </w:numPr>
        <w:rPr>
          <w:rFonts w:ascii="Arial" w:cs="Arial" w:eastAsia="Arial" w:hAnsi="Arial"/>
          <w:sz w:val="16"/>
          <w:szCs w:val="16"/>
          <w:color w:val="auto"/>
        </w:rPr>
      </w:pPr>
      <w:r>
        <w:rPr>
          <w:rFonts w:ascii="Arial" w:cs="Arial" w:eastAsia="Arial" w:hAnsi="Arial"/>
          <w:sz w:val="16"/>
          <w:szCs w:val="16"/>
          <w:color w:val="auto"/>
        </w:rPr>
        <w:t>regulates the interactions and transactions of the Sempra Utilities with Sempra Energy and its other affiliates.</w:t>
      </w:r>
    </w:p>
    <w:p>
      <w:pPr>
        <w:spacing w:after="0" w:line="128" w:lineRule="exact"/>
        <w:rPr>
          <w:sz w:val="20"/>
          <w:szCs w:val="20"/>
          <w:color w:val="auto"/>
        </w:rPr>
      </w:pPr>
    </w:p>
    <w:p>
      <w:pPr>
        <w:ind w:left="4"/>
        <w:spacing w:after="0"/>
        <w:rPr>
          <w:sz w:val="20"/>
          <w:szCs w:val="20"/>
          <w:color w:val="auto"/>
        </w:rPr>
      </w:pPr>
      <w:r>
        <w:rPr>
          <w:rFonts w:ascii="Arial" w:cs="Arial" w:eastAsia="Arial" w:hAnsi="Arial"/>
          <w:sz w:val="16"/>
          <w:szCs w:val="16"/>
          <w:color w:val="auto"/>
        </w:rPr>
        <w:t>We provide further discussion in Notes 14 and 15 of the Notes to Consolidated Financial Statements in the Annual Report.</w:t>
      </w:r>
    </w:p>
    <w:p>
      <w:pPr>
        <w:spacing w:after="0" w:line="92" w:lineRule="exact"/>
        <w:rPr>
          <w:sz w:val="20"/>
          <w:szCs w:val="20"/>
          <w:color w:val="auto"/>
        </w:rPr>
      </w:pPr>
    </w:p>
    <w:p>
      <w:pPr>
        <w:ind w:left="4"/>
        <w:spacing w:after="0"/>
        <w:rPr>
          <w:sz w:val="20"/>
          <w:szCs w:val="20"/>
          <w:color w:val="auto"/>
        </w:rPr>
      </w:pPr>
      <w:r>
        <w:rPr>
          <w:rFonts w:ascii="Arial" w:cs="Arial" w:eastAsia="Arial" w:hAnsi="Arial"/>
          <w:sz w:val="14"/>
          <w:szCs w:val="14"/>
          <w:color w:val="auto"/>
        </w:rPr>
        <w:t>SDG&amp;E is also subject to regulation by the CEC, which establishes electric demand forecasts for the state and for specific service territories. Based upon these forecasts, the</w:t>
      </w:r>
    </w:p>
    <w:p>
      <w:pPr>
        <w:spacing w:after="0" w:line="44" w:lineRule="exact"/>
        <w:rPr>
          <w:sz w:val="20"/>
          <w:szCs w:val="20"/>
          <w:color w:val="auto"/>
        </w:rPr>
      </w:pPr>
    </w:p>
    <w:p>
      <w:pPr>
        <w:ind w:left="4"/>
        <w:spacing w:after="0"/>
        <w:rPr>
          <w:sz w:val="20"/>
          <w:szCs w:val="20"/>
          <w:color w:val="auto"/>
        </w:rPr>
      </w:pPr>
      <w:r>
        <w:rPr>
          <w:rFonts w:ascii="Arial" w:cs="Arial" w:eastAsia="Arial" w:hAnsi="Arial"/>
          <w:sz w:val="16"/>
          <w:szCs w:val="16"/>
          <w:color w:val="auto"/>
        </w:rPr>
        <w:t>CEC:</w:t>
      </w:r>
    </w:p>
    <w:p>
      <w:pPr>
        <w:spacing w:after="0" w:line="32" w:lineRule="exact"/>
        <w:rPr>
          <w:sz w:val="20"/>
          <w:szCs w:val="20"/>
          <w:color w:val="auto"/>
        </w:rPr>
      </w:pPr>
    </w:p>
    <w:p>
      <w:pPr>
        <w:ind w:left="144" w:hanging="144"/>
        <w:spacing w:after="0"/>
        <w:tabs>
          <w:tab w:leader="none" w:pos="144" w:val="left"/>
        </w:tabs>
        <w:numPr>
          <w:ilvl w:val="0"/>
          <w:numId w:val="5"/>
        </w:numPr>
        <w:rPr>
          <w:rFonts w:ascii="Arial" w:cs="Arial" w:eastAsia="Arial" w:hAnsi="Arial"/>
          <w:sz w:val="16"/>
          <w:szCs w:val="16"/>
          <w:color w:val="auto"/>
        </w:rPr>
      </w:pPr>
      <w:r>
        <w:rPr>
          <w:rFonts w:ascii="Arial" w:cs="Arial" w:eastAsia="Arial" w:hAnsi="Arial"/>
          <w:sz w:val="16"/>
          <w:szCs w:val="16"/>
          <w:color w:val="auto"/>
        </w:rPr>
        <w:t>determines the need for additional energy sources and conservation programs;</w:t>
      </w:r>
    </w:p>
    <w:p>
      <w:pPr>
        <w:spacing w:after="0" w:line="32" w:lineRule="exact"/>
        <w:rPr>
          <w:rFonts w:ascii="Arial" w:cs="Arial" w:eastAsia="Arial" w:hAnsi="Arial"/>
          <w:sz w:val="16"/>
          <w:szCs w:val="16"/>
          <w:color w:val="auto"/>
        </w:rPr>
      </w:pPr>
    </w:p>
    <w:p>
      <w:pPr>
        <w:ind w:left="144" w:hanging="144"/>
        <w:spacing w:after="0"/>
        <w:tabs>
          <w:tab w:leader="none" w:pos="144" w:val="left"/>
        </w:tabs>
        <w:numPr>
          <w:ilvl w:val="0"/>
          <w:numId w:val="5"/>
        </w:numPr>
        <w:rPr>
          <w:rFonts w:ascii="Arial" w:cs="Arial" w:eastAsia="Arial" w:hAnsi="Arial"/>
          <w:sz w:val="16"/>
          <w:szCs w:val="16"/>
          <w:color w:val="auto"/>
        </w:rPr>
      </w:pPr>
      <w:r>
        <w:rPr>
          <w:rFonts w:ascii="Arial" w:cs="Arial" w:eastAsia="Arial" w:hAnsi="Arial"/>
          <w:sz w:val="16"/>
          <w:szCs w:val="16"/>
          <w:color w:val="auto"/>
        </w:rPr>
        <w:t>sponsors alternative-energy research and development projects;</w:t>
      </w:r>
    </w:p>
    <w:p>
      <w:pPr>
        <w:spacing w:after="0" w:line="44" w:lineRule="exact"/>
        <w:rPr>
          <w:rFonts w:ascii="Arial" w:cs="Arial" w:eastAsia="Arial" w:hAnsi="Arial"/>
          <w:sz w:val="16"/>
          <w:szCs w:val="16"/>
          <w:color w:val="auto"/>
        </w:rPr>
      </w:pPr>
    </w:p>
    <w:p>
      <w:pPr>
        <w:ind w:left="144" w:hanging="144"/>
        <w:spacing w:after="0"/>
        <w:tabs>
          <w:tab w:leader="none" w:pos="144" w:val="left"/>
        </w:tabs>
        <w:numPr>
          <w:ilvl w:val="0"/>
          <w:numId w:val="5"/>
        </w:numPr>
        <w:rPr>
          <w:rFonts w:ascii="Arial" w:cs="Arial" w:eastAsia="Arial" w:hAnsi="Arial"/>
          <w:sz w:val="16"/>
          <w:szCs w:val="16"/>
          <w:color w:val="auto"/>
        </w:rPr>
      </w:pPr>
      <w:r>
        <w:rPr>
          <w:rFonts w:ascii="Arial" w:cs="Arial" w:eastAsia="Arial" w:hAnsi="Arial"/>
          <w:sz w:val="16"/>
          <w:szCs w:val="16"/>
          <w:color w:val="auto"/>
        </w:rPr>
        <w:t>promotes energy conservation programs;</w:t>
      </w:r>
    </w:p>
    <w:p>
      <w:pPr>
        <w:spacing w:after="0" w:line="44" w:lineRule="exact"/>
        <w:rPr>
          <w:rFonts w:ascii="Arial" w:cs="Arial" w:eastAsia="Arial" w:hAnsi="Arial"/>
          <w:sz w:val="16"/>
          <w:szCs w:val="16"/>
          <w:color w:val="auto"/>
        </w:rPr>
      </w:pPr>
    </w:p>
    <w:p>
      <w:pPr>
        <w:ind w:left="144" w:hanging="144"/>
        <w:spacing w:after="0"/>
        <w:tabs>
          <w:tab w:leader="none" w:pos="144" w:val="left"/>
        </w:tabs>
        <w:numPr>
          <w:ilvl w:val="0"/>
          <w:numId w:val="5"/>
        </w:numPr>
        <w:rPr>
          <w:rFonts w:ascii="Arial" w:cs="Arial" w:eastAsia="Arial" w:hAnsi="Arial"/>
          <w:sz w:val="16"/>
          <w:szCs w:val="16"/>
          <w:color w:val="auto"/>
        </w:rPr>
      </w:pPr>
      <w:r>
        <w:rPr>
          <w:rFonts w:ascii="Arial" w:cs="Arial" w:eastAsia="Arial" w:hAnsi="Arial"/>
          <w:sz w:val="16"/>
          <w:szCs w:val="16"/>
          <w:color w:val="auto"/>
        </w:rPr>
        <w:t>maintains a statewide plan of action in case of energy shortages; and</w:t>
      </w:r>
    </w:p>
    <w:p>
      <w:pPr>
        <w:spacing w:after="0" w:line="32" w:lineRule="exact"/>
        <w:rPr>
          <w:rFonts w:ascii="Arial" w:cs="Arial" w:eastAsia="Arial" w:hAnsi="Arial"/>
          <w:sz w:val="16"/>
          <w:szCs w:val="16"/>
          <w:color w:val="auto"/>
        </w:rPr>
      </w:pPr>
    </w:p>
    <w:p>
      <w:pPr>
        <w:ind w:left="144" w:hanging="144"/>
        <w:spacing w:after="0"/>
        <w:tabs>
          <w:tab w:leader="none" w:pos="144" w:val="left"/>
        </w:tabs>
        <w:numPr>
          <w:ilvl w:val="0"/>
          <w:numId w:val="5"/>
        </w:numPr>
        <w:rPr>
          <w:rFonts w:ascii="Arial" w:cs="Arial" w:eastAsia="Arial" w:hAnsi="Arial"/>
          <w:sz w:val="16"/>
          <w:szCs w:val="16"/>
          <w:color w:val="auto"/>
        </w:rPr>
      </w:pPr>
      <w:r>
        <w:rPr>
          <w:rFonts w:ascii="Arial" w:cs="Arial" w:eastAsia="Arial" w:hAnsi="Arial"/>
          <w:sz w:val="16"/>
          <w:szCs w:val="16"/>
          <w:color w:val="auto"/>
        </w:rPr>
        <w:t>certifies power-plant sites and related facilities within California.</w:t>
      </w:r>
    </w:p>
    <w:p>
      <w:pPr>
        <w:spacing w:after="0" w:line="128" w:lineRule="exact"/>
        <w:rPr>
          <w:sz w:val="20"/>
          <w:szCs w:val="20"/>
          <w:color w:val="auto"/>
        </w:rPr>
      </w:pPr>
    </w:p>
    <w:p>
      <w:pPr>
        <w:ind w:left="4" w:right="20"/>
        <w:spacing w:after="0" w:line="264" w:lineRule="auto"/>
        <w:rPr>
          <w:sz w:val="20"/>
          <w:szCs w:val="20"/>
          <w:color w:val="auto"/>
        </w:rPr>
      </w:pPr>
      <w:r>
        <w:rPr>
          <w:rFonts w:ascii="Arial" w:cs="Arial" w:eastAsia="Arial" w:hAnsi="Arial"/>
          <w:sz w:val="16"/>
          <w:szCs w:val="16"/>
          <w:color w:val="auto"/>
        </w:rPr>
        <w:t>The CEC conducts a 20-year forecast of available supplies and prices for every market sector that consumes natural gas in California. This forecast includes resource evaluation, pipeline capacity needs, natural gas demand and wellhead prices, and costs of transportation and distribution. This analysis is one of many source materials used to support the Sempra Utilities’ long-term investment decisions.</w:t>
      </w:r>
    </w:p>
    <w:p>
      <w:pPr>
        <w:spacing w:after="0" w:line="54" w:lineRule="exact"/>
        <w:rPr>
          <w:sz w:val="20"/>
          <w:szCs w:val="20"/>
          <w:color w:val="auto"/>
        </w:rPr>
      </w:pPr>
    </w:p>
    <w:p>
      <w:pPr>
        <w:ind w:left="4"/>
        <w:spacing w:after="0" w:line="302" w:lineRule="auto"/>
        <w:rPr>
          <w:sz w:val="20"/>
          <w:szCs w:val="20"/>
          <w:color w:val="auto"/>
        </w:rPr>
      </w:pPr>
      <w:r>
        <w:rPr>
          <w:rFonts w:ascii="Arial" w:cs="Arial" w:eastAsia="Arial" w:hAnsi="Arial"/>
          <w:sz w:val="14"/>
          <w:szCs w:val="14"/>
          <w:color w:val="auto"/>
        </w:rPr>
        <w:t>Currently, the State of California is requiring certain California electric retail sellers, including SDG&amp;E, to deliver 20 percent of their 2010 retail demand from renewable energy sources, and 33 percent by 2020. The rules governing this requirement, administered by both the CPUC and the CEC, are generally known as the Renewables Portfolio Standard (RPS) Program. Certification of a generation project by the CEC as an Eligible Renewable Energy Resource (ERR) allows the purchase of output from a generation facility to be counted towards fulfillment of the RPS Program requirements. This may affect the demand for output from renewables projects developed by Sempra Generation, particularly from California utilities. Final certification as an ERR for Sempra Generation’s recently completed El Dorado solar generation facility is pending.</w:t>
      </w:r>
    </w:p>
    <w:p>
      <w:pPr>
        <w:spacing w:after="0" w:line="32" w:lineRule="exact"/>
        <w:rPr>
          <w:sz w:val="20"/>
          <w:szCs w:val="20"/>
          <w:color w:val="auto"/>
        </w:rPr>
      </w:pPr>
    </w:p>
    <w:p>
      <w:pPr>
        <w:ind w:left="4" w:right="580"/>
        <w:spacing w:after="0" w:line="351" w:lineRule="auto"/>
        <w:rPr>
          <w:sz w:val="20"/>
          <w:szCs w:val="20"/>
          <w:color w:val="auto"/>
        </w:rPr>
      </w:pPr>
      <w:r>
        <w:rPr>
          <w:rFonts w:ascii="Arial" w:cs="Arial" w:eastAsia="Arial" w:hAnsi="Arial"/>
          <w:sz w:val="14"/>
          <w:szCs w:val="14"/>
          <w:color w:val="auto"/>
        </w:rPr>
        <w:t>California Assembly Bill 32, the California Global Warming Solutions Act of 2006, makes the CARB responsible for monitoring and establishing policies for reducing greenhouse gas (GHG) emissions. The bill requires CARB to develop and adopt a comprehensive plan for achieving real, quantifiable and cost-effective GHG emission</w:t>
      </w:r>
    </w:p>
    <w:p>
      <w:pPr>
        <w:spacing w:after="0" w:line="200" w:lineRule="exact"/>
        <w:rPr>
          <w:sz w:val="20"/>
          <w:szCs w:val="20"/>
          <w:color w:val="auto"/>
        </w:rPr>
      </w:pPr>
    </w:p>
    <w:p>
      <w:pPr>
        <w:spacing w:after="0" w:line="258" w:lineRule="exact"/>
        <w:rPr>
          <w:sz w:val="20"/>
          <w:szCs w:val="20"/>
          <w:color w:val="auto"/>
        </w:rPr>
      </w:pPr>
    </w:p>
    <w:p>
      <w:pPr>
        <w:ind w:left="4"/>
        <w:spacing w:after="0"/>
        <w:rPr>
          <w:sz w:val="20"/>
          <w:szCs w:val="20"/>
          <w:color w:val="auto"/>
        </w:rPr>
      </w:pPr>
      <w:r>
        <w:rPr>
          <w:rFonts w:ascii="Arial" w:cs="Arial" w:eastAsia="Arial" w:hAnsi="Arial"/>
          <w:sz w:val="14"/>
          <w:szCs w:val="14"/>
          <w:color w:val="auto"/>
        </w:rPr>
        <w:t>7</w:t>
      </w:r>
    </w:p>
    <w:p>
      <w:pPr>
        <w:sectPr>
          <w:pgSz w:w="11900" w:h="16838" w:orient="portrait"/>
          <w:cols w:equalWidth="0" w:num="1">
            <w:col w:w="11344"/>
          </w:cols>
          <w:pgMar w:left="236" w:top="127" w:right="319" w:bottom="1440" w:gutter="0" w:footer="0" w:header="0"/>
        </w:sectPr>
      </w:pPr>
    </w:p>
    <w:bookmarkStart w:id="7" w:name="page8"/>
    <w:bookmarkEnd w:id="7"/>
    <w:p>
      <w:pPr>
        <w:ind w:left="4" w:right="40"/>
        <w:spacing w:after="0" w:line="264" w:lineRule="auto"/>
        <w:rPr>
          <w:sz w:val="20"/>
          <w:szCs w:val="20"/>
          <w:color w:val="auto"/>
        </w:rPr>
      </w:pPr>
      <w:r>
        <w:rPr>
          <w:rFonts w:ascii="Arial" w:cs="Arial" w:eastAsia="Arial" w:hAnsi="Arial"/>
          <w:sz w:val="16"/>
          <w:szCs w:val="16"/>
          <w:color w:val="auto"/>
        </w:rPr>
        <w:t>reductions, including a statewide GHG emissions cap, mandatory reporting rules, and regulatory and market mechanisms to achieve reductions of GHG emissions. CARB is a part of the California Environmental Protection Agency, an organization which reports directly to the Governor's Office in the Executive Branch of California State Government. As the CARB formulates its plan, provisions of the plan may apply to the Sempra Utilities.</w:t>
      </w:r>
    </w:p>
    <w:p>
      <w:pPr>
        <w:spacing w:after="0" w:line="147" w:lineRule="exact"/>
        <w:rPr>
          <w:sz w:val="20"/>
          <w:szCs w:val="20"/>
          <w:color w:val="auto"/>
        </w:rPr>
      </w:pPr>
    </w:p>
    <w:p>
      <w:pPr>
        <w:ind w:left="4"/>
        <w:spacing w:after="0"/>
        <w:rPr>
          <w:sz w:val="20"/>
          <w:szCs w:val="20"/>
          <w:color w:val="auto"/>
        </w:rPr>
      </w:pPr>
      <w:r>
        <w:rPr>
          <w:rFonts w:ascii="Arial" w:cs="Arial" w:eastAsia="Arial" w:hAnsi="Arial"/>
          <w:sz w:val="18"/>
          <w:szCs w:val="18"/>
          <w:b w:val="1"/>
          <w:bCs w:val="1"/>
          <w:i w:val="1"/>
          <w:iCs w:val="1"/>
          <w:color w:val="auto"/>
        </w:rPr>
        <w:t>United States Utility Regulation</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6"/>
          <w:szCs w:val="16"/>
          <w:color w:val="auto"/>
        </w:rPr>
        <w:t>The Sempra Utilities are also regulated nationally by the Federal Energy Regulatory Commission (FERC) and the Nuclear Regulatory Commission (NRC).</w:t>
      </w:r>
    </w:p>
    <w:p>
      <w:pPr>
        <w:spacing w:after="0" w:line="92" w:lineRule="exact"/>
        <w:rPr>
          <w:sz w:val="20"/>
          <w:szCs w:val="20"/>
          <w:color w:val="auto"/>
        </w:rPr>
      </w:pPr>
    </w:p>
    <w:p>
      <w:pPr>
        <w:ind w:left="4" w:right="540"/>
        <w:spacing w:after="0" w:line="349" w:lineRule="auto"/>
        <w:rPr>
          <w:sz w:val="20"/>
          <w:szCs w:val="20"/>
          <w:color w:val="auto"/>
        </w:rPr>
      </w:pPr>
      <w:r>
        <w:rPr>
          <w:rFonts w:ascii="Arial" w:cs="Arial" w:eastAsia="Arial" w:hAnsi="Arial"/>
          <w:sz w:val="14"/>
          <w:szCs w:val="14"/>
          <w:color w:val="auto"/>
        </w:rPr>
        <w:t>In the case of SDG&amp;E, the FERC regulates the interstate sale and transportation of natural gas, the transmission and wholesale sales of electricity in interstate commerce, transmission access, rates of return on transmission investment, the uniform systems of accounts, rates of depreciation and electric rates involving sales for resale.</w:t>
      </w:r>
    </w:p>
    <w:p>
      <w:pPr>
        <w:ind w:left="4"/>
        <w:spacing w:after="0"/>
        <w:rPr>
          <w:sz w:val="20"/>
          <w:szCs w:val="20"/>
          <w:color w:val="auto"/>
        </w:rPr>
      </w:pPr>
      <w:r>
        <w:rPr>
          <w:rFonts w:ascii="Arial" w:cs="Arial" w:eastAsia="Arial" w:hAnsi="Arial"/>
          <w:sz w:val="16"/>
          <w:szCs w:val="16"/>
          <w:color w:val="auto"/>
        </w:rPr>
        <w:t>In the case of SoCalGas, the FERC regulates the interstate sale and transportation of natural gas and the uniform systems of accounts.</w:t>
      </w:r>
    </w:p>
    <w:p>
      <w:pPr>
        <w:spacing w:after="0" w:line="80" w:lineRule="exact"/>
        <w:rPr>
          <w:sz w:val="20"/>
          <w:szCs w:val="20"/>
          <w:color w:val="auto"/>
        </w:rPr>
      </w:pPr>
    </w:p>
    <w:p>
      <w:pPr>
        <w:ind w:left="4" w:right="80"/>
        <w:spacing w:after="0" w:line="289" w:lineRule="auto"/>
        <w:rPr>
          <w:sz w:val="20"/>
          <w:szCs w:val="20"/>
          <w:color w:val="auto"/>
        </w:rPr>
      </w:pPr>
      <w:r>
        <w:rPr>
          <w:rFonts w:ascii="Arial" w:cs="Arial" w:eastAsia="Arial" w:hAnsi="Arial"/>
          <w:sz w:val="15"/>
          <w:szCs w:val="15"/>
          <w:color w:val="auto"/>
        </w:rPr>
        <w:t>The NRC oversees the licensing, construction and operation of nuclear facilities in the United States, including the nuclear power plant in which SDG&amp;E owns an interest. NRC regulations require extensive review of the safety, radiological and environmental aspects of these facilities. Periodically, the NRC requires that newly developed data and techniques be used to reanalyze the design of a nuclear power plant and, as a result, may require plant modifications as a condition of continued operation.</w:t>
      </w:r>
    </w:p>
    <w:p>
      <w:pPr>
        <w:spacing w:after="0" w:line="38" w:lineRule="exact"/>
        <w:rPr>
          <w:sz w:val="20"/>
          <w:szCs w:val="20"/>
          <w:color w:val="auto"/>
        </w:rPr>
      </w:pPr>
    </w:p>
    <w:p>
      <w:pPr>
        <w:ind w:left="4" w:right="180"/>
        <w:spacing w:after="0" w:line="264" w:lineRule="auto"/>
        <w:rPr>
          <w:sz w:val="20"/>
          <w:szCs w:val="20"/>
          <w:color w:val="auto"/>
        </w:rPr>
      </w:pPr>
      <w:r>
        <w:rPr>
          <w:rFonts w:ascii="Arial" w:cs="Arial" w:eastAsia="Arial" w:hAnsi="Arial"/>
          <w:sz w:val="16"/>
          <w:szCs w:val="16"/>
          <w:color w:val="auto"/>
        </w:rPr>
        <w:t>Sempra Pipelines &amp; Storage operates Mobile Gas Service Corporation (Mobile Gas), a small natural gas distribution utility serving Southwest Alabama that is regulated by the Alabama Public Service Commission (APSC). The FERC regulates Mobile Gas’ interstate transportation of natural gas, the uniform systems of accounts, and rates of depreciation.</w:t>
      </w:r>
    </w:p>
    <w:p>
      <w:pPr>
        <w:spacing w:after="0" w:line="147" w:lineRule="exact"/>
        <w:rPr>
          <w:sz w:val="20"/>
          <w:szCs w:val="20"/>
          <w:color w:val="auto"/>
        </w:rPr>
      </w:pPr>
    </w:p>
    <w:p>
      <w:pPr>
        <w:ind w:left="4"/>
        <w:spacing w:after="0"/>
        <w:rPr>
          <w:sz w:val="20"/>
          <w:szCs w:val="20"/>
          <w:color w:val="auto"/>
        </w:rPr>
      </w:pPr>
      <w:r>
        <w:rPr>
          <w:rFonts w:ascii="Arial" w:cs="Arial" w:eastAsia="Arial" w:hAnsi="Arial"/>
          <w:sz w:val="18"/>
          <w:szCs w:val="18"/>
          <w:b w:val="1"/>
          <w:bCs w:val="1"/>
          <w:i w:val="1"/>
          <w:iCs w:val="1"/>
          <w:color w:val="auto"/>
        </w:rPr>
        <w:t>Local Regulation Within the U.S.</w:t>
      </w:r>
    </w:p>
    <w:p>
      <w:pPr>
        <w:spacing w:after="0" w:line="23" w:lineRule="exact"/>
        <w:rPr>
          <w:sz w:val="20"/>
          <w:szCs w:val="20"/>
          <w:color w:val="auto"/>
        </w:rPr>
      </w:pPr>
    </w:p>
    <w:p>
      <w:pPr>
        <w:jc w:val="both"/>
        <w:ind w:left="4"/>
        <w:spacing w:after="0" w:line="264" w:lineRule="auto"/>
        <w:rPr>
          <w:sz w:val="20"/>
          <w:szCs w:val="20"/>
          <w:color w:val="auto"/>
        </w:rPr>
      </w:pPr>
      <w:r>
        <w:rPr>
          <w:rFonts w:ascii="Arial" w:cs="Arial" w:eastAsia="Arial" w:hAnsi="Arial"/>
          <w:sz w:val="16"/>
          <w:szCs w:val="16"/>
          <w:color w:val="auto"/>
        </w:rPr>
        <w:t>SoCalGas has natural gas franchises with the 243 separate counties and cities in its service territory. These franchises allow SoCalGas to locate, operate and maintain facilities for the transmission and distribution of natural gas in public places. Most of the franchises have indefinite lives with no expiration date. Some franchises have fixed expiration dates, ranging from 2009 to 2048.</w:t>
      </w:r>
    </w:p>
    <w:p>
      <w:pPr>
        <w:spacing w:after="0" w:line="54" w:lineRule="exact"/>
        <w:rPr>
          <w:sz w:val="20"/>
          <w:szCs w:val="20"/>
          <w:color w:val="auto"/>
        </w:rPr>
      </w:pPr>
    </w:p>
    <w:p>
      <w:pPr>
        <w:ind w:left="4"/>
        <w:spacing w:after="0"/>
        <w:rPr>
          <w:sz w:val="20"/>
          <w:szCs w:val="20"/>
          <w:color w:val="auto"/>
        </w:rPr>
      </w:pPr>
      <w:r>
        <w:rPr>
          <w:rFonts w:ascii="Arial" w:cs="Arial" w:eastAsia="Arial" w:hAnsi="Arial"/>
          <w:sz w:val="16"/>
          <w:szCs w:val="16"/>
          <w:color w:val="auto"/>
        </w:rPr>
        <w:t>SDG&amp;E has</w:t>
      </w:r>
    </w:p>
    <w:p>
      <w:pPr>
        <w:spacing w:after="0" w:line="44" w:lineRule="exact"/>
        <w:rPr>
          <w:sz w:val="20"/>
          <w:szCs w:val="20"/>
          <w:color w:val="auto"/>
        </w:rPr>
      </w:pPr>
    </w:p>
    <w:p>
      <w:pPr>
        <w:ind w:left="144" w:hanging="144"/>
        <w:spacing w:after="0"/>
        <w:tabs>
          <w:tab w:leader="none" w:pos="144" w:val="left"/>
        </w:tabs>
        <w:numPr>
          <w:ilvl w:val="0"/>
          <w:numId w:val="6"/>
        </w:numPr>
        <w:rPr>
          <w:rFonts w:ascii="Arial" w:cs="Arial" w:eastAsia="Arial" w:hAnsi="Arial"/>
          <w:sz w:val="16"/>
          <w:szCs w:val="16"/>
          <w:color w:val="auto"/>
        </w:rPr>
      </w:pPr>
      <w:r>
        <w:rPr>
          <w:rFonts w:ascii="Arial" w:cs="Arial" w:eastAsia="Arial" w:hAnsi="Arial"/>
          <w:sz w:val="16"/>
          <w:szCs w:val="16"/>
          <w:color w:val="auto"/>
        </w:rPr>
        <w:t>electric franchises with the two counties and the 26 cities in its electric service territory, and</w:t>
      </w:r>
    </w:p>
    <w:p>
      <w:pPr>
        <w:spacing w:after="0" w:line="32" w:lineRule="exact"/>
        <w:rPr>
          <w:rFonts w:ascii="Arial" w:cs="Arial" w:eastAsia="Arial" w:hAnsi="Arial"/>
          <w:sz w:val="16"/>
          <w:szCs w:val="16"/>
          <w:color w:val="auto"/>
        </w:rPr>
      </w:pPr>
    </w:p>
    <w:p>
      <w:pPr>
        <w:ind w:left="144" w:hanging="144"/>
        <w:spacing w:after="0"/>
        <w:tabs>
          <w:tab w:leader="none" w:pos="144" w:val="left"/>
        </w:tabs>
        <w:numPr>
          <w:ilvl w:val="0"/>
          <w:numId w:val="6"/>
        </w:numPr>
        <w:rPr>
          <w:rFonts w:ascii="Arial" w:cs="Arial" w:eastAsia="Arial" w:hAnsi="Arial"/>
          <w:sz w:val="16"/>
          <w:szCs w:val="16"/>
          <w:color w:val="auto"/>
        </w:rPr>
      </w:pPr>
      <w:r>
        <w:rPr>
          <w:rFonts w:ascii="Arial" w:cs="Arial" w:eastAsia="Arial" w:hAnsi="Arial"/>
          <w:sz w:val="16"/>
          <w:szCs w:val="16"/>
          <w:color w:val="auto"/>
        </w:rPr>
        <w:t>natural gas franchises with the one county and the 18 cities in its natural gas service territory.</w:t>
      </w:r>
    </w:p>
    <w:p>
      <w:pPr>
        <w:spacing w:after="0" w:line="128" w:lineRule="exact"/>
        <w:rPr>
          <w:sz w:val="20"/>
          <w:szCs w:val="20"/>
          <w:color w:val="auto"/>
        </w:rPr>
      </w:pPr>
    </w:p>
    <w:p>
      <w:pPr>
        <w:ind w:left="4" w:right="480"/>
        <w:spacing w:after="0" w:line="277" w:lineRule="auto"/>
        <w:rPr>
          <w:sz w:val="20"/>
          <w:szCs w:val="20"/>
          <w:color w:val="auto"/>
        </w:rPr>
      </w:pPr>
      <w:r>
        <w:rPr>
          <w:rFonts w:ascii="Arial" w:cs="Arial" w:eastAsia="Arial" w:hAnsi="Arial"/>
          <w:sz w:val="16"/>
          <w:szCs w:val="16"/>
          <w:color w:val="auto"/>
        </w:rPr>
        <w:t>These franchises allow SDG&amp;E to locate, operate and maintain facilities for the transmission and distribution of electricity and/or natural gas in public places. Most of the franchises have indefinite lives with no expiration dates. Some franchises have fixed expiration dates, ranging from 2012 to 2035.</w:t>
      </w:r>
    </w:p>
    <w:p>
      <w:pPr>
        <w:spacing w:after="0" w:line="44" w:lineRule="exact"/>
        <w:rPr>
          <w:sz w:val="20"/>
          <w:szCs w:val="20"/>
          <w:color w:val="auto"/>
        </w:rPr>
      </w:pPr>
    </w:p>
    <w:p>
      <w:pPr>
        <w:ind w:left="4"/>
        <w:spacing w:after="0" w:line="277" w:lineRule="auto"/>
        <w:rPr>
          <w:sz w:val="20"/>
          <w:szCs w:val="20"/>
          <w:color w:val="auto"/>
        </w:rPr>
      </w:pPr>
      <w:r>
        <w:rPr>
          <w:rFonts w:ascii="Arial" w:cs="Arial" w:eastAsia="Arial" w:hAnsi="Arial"/>
          <w:sz w:val="16"/>
          <w:szCs w:val="16"/>
          <w:color w:val="auto"/>
        </w:rPr>
        <w:t>Sempra Generation, Sempra LNG and Sempra Pipelines &amp; Storage have operations or development projects in Alabama, Arizona, California, Louisiana, Mississippi, Nevada and Texas. These entities are subject to state and local laws, and to regulations in the states in which they operate.</w:t>
      </w:r>
    </w:p>
    <w:p>
      <w:pPr>
        <w:spacing w:after="0" w:line="138" w:lineRule="exact"/>
        <w:rPr>
          <w:sz w:val="20"/>
          <w:szCs w:val="20"/>
          <w:color w:val="auto"/>
        </w:rPr>
      </w:pPr>
    </w:p>
    <w:p>
      <w:pPr>
        <w:ind w:left="4"/>
        <w:spacing w:after="0"/>
        <w:rPr>
          <w:sz w:val="20"/>
          <w:szCs w:val="20"/>
          <w:color w:val="auto"/>
        </w:rPr>
      </w:pPr>
      <w:r>
        <w:rPr>
          <w:rFonts w:ascii="Arial" w:cs="Arial" w:eastAsia="Arial" w:hAnsi="Arial"/>
          <w:sz w:val="18"/>
          <w:szCs w:val="18"/>
          <w:b w:val="1"/>
          <w:bCs w:val="1"/>
          <w:i w:val="1"/>
          <w:iCs w:val="1"/>
          <w:color w:val="auto"/>
        </w:rPr>
        <w:t>Other Regulation</w:t>
      </w:r>
    </w:p>
    <w:p>
      <w:pPr>
        <w:spacing w:after="0" w:line="23" w:lineRule="exact"/>
        <w:rPr>
          <w:sz w:val="20"/>
          <w:szCs w:val="20"/>
          <w:color w:val="auto"/>
        </w:rPr>
      </w:pPr>
    </w:p>
    <w:p>
      <w:pPr>
        <w:ind w:left="4" w:right="120"/>
        <w:spacing w:after="0" w:line="277" w:lineRule="auto"/>
        <w:rPr>
          <w:sz w:val="20"/>
          <w:szCs w:val="20"/>
          <w:color w:val="auto"/>
        </w:rPr>
      </w:pPr>
      <w:r>
        <w:rPr>
          <w:rFonts w:ascii="Arial" w:cs="Arial" w:eastAsia="Arial" w:hAnsi="Arial"/>
          <w:sz w:val="16"/>
          <w:szCs w:val="16"/>
          <w:color w:val="auto"/>
        </w:rPr>
        <w:t>RBS Sempra Commodities is subject to regulation by the U.K. Financial Services Authority, the New York Mercantile Exchange, the Commodity Futures Trading Commission, the FERC, the London Metals Exchange, NYSE Euronext and the National Futures Association.</w:t>
      </w:r>
    </w:p>
    <w:p>
      <w:pPr>
        <w:spacing w:after="0" w:line="44" w:lineRule="exact"/>
        <w:rPr>
          <w:sz w:val="20"/>
          <w:szCs w:val="20"/>
          <w:color w:val="auto"/>
        </w:rPr>
      </w:pPr>
    </w:p>
    <w:p>
      <w:pPr>
        <w:ind w:left="4" w:right="120"/>
        <w:spacing w:after="0" w:line="349" w:lineRule="auto"/>
        <w:rPr>
          <w:sz w:val="20"/>
          <w:szCs w:val="20"/>
          <w:color w:val="auto"/>
        </w:rPr>
      </w:pPr>
      <w:r>
        <w:rPr>
          <w:rFonts w:ascii="Arial" w:cs="Arial" w:eastAsia="Arial" w:hAnsi="Arial"/>
          <w:sz w:val="14"/>
          <w:szCs w:val="14"/>
          <w:color w:val="auto"/>
        </w:rPr>
        <w:t>In the United States, the FERC regulates Sempra Generation’s, Sempra Pipelines &amp; Storage’s and Sempra LNG’s operations. Sempra Pipelines &amp; Storage also owns an interest in a natural gas pipeline, Rockies Express, which is operating and under construction in several states in the United States and is subject to regulation by the FERC.</w:t>
      </w:r>
    </w:p>
    <w:p>
      <w:pPr>
        <w:ind w:left="4" w:right="500"/>
        <w:spacing w:after="0" w:line="351" w:lineRule="auto"/>
        <w:rPr>
          <w:sz w:val="20"/>
          <w:szCs w:val="20"/>
          <w:color w:val="auto"/>
        </w:rPr>
      </w:pPr>
      <w:r>
        <w:rPr>
          <w:rFonts w:ascii="Arial" w:cs="Arial" w:eastAsia="Arial" w:hAnsi="Arial"/>
          <w:sz w:val="14"/>
          <w:szCs w:val="14"/>
          <w:color w:val="auto"/>
        </w:rPr>
        <w:t>Bay Gas Storage Company (Bay Gas) is regulated by the APSC and its intrastate storage contracts are subject to APSC approval. Bay Gas provides long-term services for customers that include storage and transportation of natural gas from interstate and intrastate sources. As an intrastate facility, Bay Gas is regulated by the FERC as a</w:t>
      </w:r>
    </w:p>
    <w:p>
      <w:pPr>
        <w:spacing w:after="0" w:line="200" w:lineRule="exact"/>
        <w:rPr>
          <w:sz w:val="20"/>
          <w:szCs w:val="20"/>
          <w:color w:val="auto"/>
        </w:rPr>
      </w:pPr>
    </w:p>
    <w:p>
      <w:pPr>
        <w:spacing w:after="0" w:line="258" w:lineRule="exact"/>
        <w:rPr>
          <w:sz w:val="20"/>
          <w:szCs w:val="20"/>
          <w:color w:val="auto"/>
        </w:rPr>
      </w:pPr>
    </w:p>
    <w:p>
      <w:pPr>
        <w:ind w:left="4"/>
        <w:spacing w:after="0"/>
        <w:rPr>
          <w:sz w:val="20"/>
          <w:szCs w:val="20"/>
          <w:color w:val="auto"/>
        </w:rPr>
      </w:pPr>
      <w:r>
        <w:rPr>
          <w:rFonts w:ascii="Arial" w:cs="Arial" w:eastAsia="Arial" w:hAnsi="Arial"/>
          <w:sz w:val="14"/>
          <w:szCs w:val="14"/>
          <w:color w:val="auto"/>
        </w:rPr>
        <w:t>8</w:t>
      </w:r>
    </w:p>
    <w:p>
      <w:pPr>
        <w:sectPr>
          <w:pgSz w:w="11900" w:h="16838" w:orient="portrait"/>
          <w:cols w:equalWidth="0" w:num="1">
            <w:col w:w="11404"/>
          </w:cols>
          <w:pgMar w:left="236" w:top="127" w:right="259" w:bottom="1440" w:gutter="0" w:footer="0" w:header="0"/>
        </w:sectPr>
      </w:pPr>
    </w:p>
    <w:bookmarkStart w:id="8" w:name="page9"/>
    <w:bookmarkEnd w:id="8"/>
    <w:p>
      <w:pPr>
        <w:ind w:left="4"/>
        <w:spacing w:after="0"/>
        <w:rPr>
          <w:sz w:val="20"/>
          <w:szCs w:val="20"/>
          <w:color w:val="auto"/>
        </w:rPr>
      </w:pPr>
      <w:r>
        <w:rPr>
          <w:rFonts w:ascii="Arial" w:cs="Arial" w:eastAsia="Arial" w:hAnsi="Arial"/>
          <w:sz w:val="16"/>
          <w:szCs w:val="16"/>
          <w:color w:val="auto"/>
        </w:rPr>
        <w:t>311 facility, and the FERC has also approved market-based rates for interstate storage services and cost-based rates for transportation services.</w:t>
      </w:r>
    </w:p>
    <w:p>
      <w:pPr>
        <w:spacing w:after="0" w:line="92" w:lineRule="exact"/>
        <w:rPr>
          <w:sz w:val="20"/>
          <w:szCs w:val="20"/>
          <w:color w:val="auto"/>
        </w:rPr>
      </w:pPr>
    </w:p>
    <w:p>
      <w:pPr>
        <w:ind w:left="4"/>
        <w:spacing w:after="0"/>
        <w:rPr>
          <w:sz w:val="20"/>
          <w:szCs w:val="20"/>
          <w:color w:val="auto"/>
        </w:rPr>
      </w:pPr>
      <w:r>
        <w:rPr>
          <w:rFonts w:ascii="Arial" w:cs="Arial" w:eastAsia="Arial" w:hAnsi="Arial"/>
          <w:sz w:val="16"/>
          <w:szCs w:val="16"/>
          <w:color w:val="auto"/>
        </w:rPr>
        <w:t>Several of our segments operate in Mexico as follows:</w:t>
      </w:r>
    </w:p>
    <w:p>
      <w:pPr>
        <w:spacing w:after="0" w:line="32" w:lineRule="exact"/>
        <w:rPr>
          <w:sz w:val="20"/>
          <w:szCs w:val="20"/>
          <w:color w:val="auto"/>
        </w:rPr>
      </w:pPr>
    </w:p>
    <w:p>
      <w:pPr>
        <w:ind w:left="144" w:hanging="144"/>
        <w:spacing w:after="0"/>
        <w:tabs>
          <w:tab w:leader="none" w:pos="144" w:val="left"/>
        </w:tabs>
        <w:numPr>
          <w:ilvl w:val="0"/>
          <w:numId w:val="7"/>
        </w:numPr>
        <w:rPr>
          <w:rFonts w:ascii="Arial" w:cs="Arial" w:eastAsia="Arial" w:hAnsi="Arial"/>
          <w:sz w:val="16"/>
          <w:szCs w:val="16"/>
          <w:color w:val="auto"/>
        </w:rPr>
      </w:pPr>
      <w:r>
        <w:rPr>
          <w:rFonts w:ascii="Arial" w:cs="Arial" w:eastAsia="Arial" w:hAnsi="Arial"/>
          <w:sz w:val="16"/>
          <w:szCs w:val="16"/>
          <w:color w:val="auto"/>
        </w:rPr>
        <w:t>Sempra Generation owns and operates a natural gas-fired power plant in Baja California, Mexico</w:t>
      </w:r>
    </w:p>
    <w:p>
      <w:pPr>
        <w:spacing w:after="0" w:line="44" w:lineRule="exact"/>
        <w:rPr>
          <w:rFonts w:ascii="Arial" w:cs="Arial" w:eastAsia="Arial" w:hAnsi="Arial"/>
          <w:sz w:val="16"/>
          <w:szCs w:val="16"/>
          <w:color w:val="auto"/>
        </w:rPr>
      </w:pPr>
    </w:p>
    <w:p>
      <w:pPr>
        <w:ind w:left="144" w:right="1160" w:hanging="144"/>
        <w:spacing w:after="0" w:line="273" w:lineRule="auto"/>
        <w:tabs>
          <w:tab w:leader="none" w:pos="144" w:val="left"/>
        </w:tabs>
        <w:numPr>
          <w:ilvl w:val="0"/>
          <w:numId w:val="7"/>
        </w:numPr>
        <w:rPr>
          <w:rFonts w:ascii="Arial" w:cs="Arial" w:eastAsia="Arial" w:hAnsi="Arial"/>
          <w:sz w:val="16"/>
          <w:szCs w:val="16"/>
          <w:color w:val="auto"/>
        </w:rPr>
      </w:pPr>
      <w:r>
        <w:rPr>
          <w:rFonts w:ascii="Arial" w:cs="Arial" w:eastAsia="Arial" w:hAnsi="Arial"/>
          <w:sz w:val="16"/>
          <w:szCs w:val="16"/>
          <w:color w:val="auto"/>
        </w:rPr>
        <w:t>Sempra Pipelines &amp; Storage’s Mexican utilities build and operate natural gas distribution systems in Mexicali, Chihuahua, and the La Laguna-Durango zone in north-central Mexico</w:t>
      </w:r>
    </w:p>
    <w:p>
      <w:pPr>
        <w:spacing w:after="0" w:line="1" w:lineRule="exact"/>
        <w:rPr>
          <w:rFonts w:ascii="Arial" w:cs="Arial" w:eastAsia="Arial" w:hAnsi="Arial"/>
          <w:sz w:val="16"/>
          <w:szCs w:val="16"/>
          <w:color w:val="auto"/>
        </w:rPr>
      </w:pPr>
    </w:p>
    <w:p>
      <w:pPr>
        <w:ind w:left="144" w:hanging="144"/>
        <w:spacing w:after="0"/>
        <w:tabs>
          <w:tab w:leader="none" w:pos="144" w:val="left"/>
        </w:tabs>
        <w:numPr>
          <w:ilvl w:val="0"/>
          <w:numId w:val="7"/>
        </w:numPr>
        <w:rPr>
          <w:rFonts w:ascii="Arial" w:cs="Arial" w:eastAsia="Arial" w:hAnsi="Arial"/>
          <w:sz w:val="16"/>
          <w:szCs w:val="16"/>
          <w:color w:val="auto"/>
        </w:rPr>
      </w:pPr>
      <w:r>
        <w:rPr>
          <w:rFonts w:ascii="Arial" w:cs="Arial" w:eastAsia="Arial" w:hAnsi="Arial"/>
          <w:sz w:val="16"/>
          <w:szCs w:val="16"/>
          <w:color w:val="auto"/>
        </w:rPr>
        <w:t>Sempra Pipelines &amp; Storage transports gas between the U.S border and Baja California, Mexico</w:t>
      </w:r>
    </w:p>
    <w:p>
      <w:pPr>
        <w:spacing w:after="0" w:line="32" w:lineRule="exact"/>
        <w:rPr>
          <w:rFonts w:ascii="Arial" w:cs="Arial" w:eastAsia="Arial" w:hAnsi="Arial"/>
          <w:sz w:val="16"/>
          <w:szCs w:val="16"/>
          <w:color w:val="auto"/>
        </w:rPr>
      </w:pPr>
    </w:p>
    <w:p>
      <w:pPr>
        <w:ind w:left="144" w:hanging="144"/>
        <w:spacing w:after="0"/>
        <w:tabs>
          <w:tab w:leader="none" w:pos="144" w:val="left"/>
        </w:tabs>
        <w:numPr>
          <w:ilvl w:val="0"/>
          <w:numId w:val="7"/>
        </w:numPr>
        <w:rPr>
          <w:rFonts w:ascii="Arial" w:cs="Arial" w:eastAsia="Arial" w:hAnsi="Arial"/>
          <w:sz w:val="16"/>
          <w:szCs w:val="16"/>
          <w:color w:val="auto"/>
        </w:rPr>
      </w:pPr>
      <w:r>
        <w:rPr>
          <w:rFonts w:ascii="Arial" w:cs="Arial" w:eastAsia="Arial" w:hAnsi="Arial"/>
          <w:sz w:val="16"/>
          <w:szCs w:val="16"/>
          <w:color w:val="auto"/>
        </w:rPr>
        <w:t>Sempra LNG owns and operates the Energía Costa Azul LNG receipt terminal located in Baja California, Mexico</w:t>
      </w:r>
    </w:p>
    <w:p>
      <w:pPr>
        <w:spacing w:after="0" w:line="128" w:lineRule="exact"/>
        <w:rPr>
          <w:sz w:val="20"/>
          <w:szCs w:val="20"/>
          <w:color w:val="auto"/>
        </w:rPr>
      </w:pPr>
    </w:p>
    <w:p>
      <w:pPr>
        <w:ind w:left="4"/>
        <w:spacing w:after="0"/>
        <w:rPr>
          <w:sz w:val="20"/>
          <w:szCs w:val="20"/>
          <w:color w:val="auto"/>
        </w:rPr>
      </w:pPr>
      <w:r>
        <w:rPr>
          <w:rFonts w:ascii="Arial" w:cs="Arial" w:eastAsia="Arial" w:hAnsi="Arial"/>
          <w:sz w:val="14"/>
          <w:szCs w:val="14"/>
          <w:color w:val="auto"/>
        </w:rPr>
        <w:t>These operations are subject to regulation by the Comisión Reguladora de Energía and by the labor and environmental agencies of city, state and federal governments in Mexico.</w:t>
      </w:r>
    </w:p>
    <w:p>
      <w:pPr>
        <w:spacing w:after="0" w:line="115" w:lineRule="exact"/>
        <w:rPr>
          <w:sz w:val="20"/>
          <w:szCs w:val="20"/>
          <w:color w:val="auto"/>
        </w:rPr>
      </w:pPr>
    </w:p>
    <w:p>
      <w:pPr>
        <w:ind w:left="4"/>
        <w:spacing w:after="0"/>
        <w:rPr>
          <w:sz w:val="20"/>
          <w:szCs w:val="20"/>
          <w:color w:val="auto"/>
        </w:rPr>
      </w:pPr>
      <w:r>
        <w:rPr>
          <w:rFonts w:ascii="Arial" w:cs="Arial" w:eastAsia="Arial" w:hAnsi="Arial"/>
          <w:sz w:val="16"/>
          <w:szCs w:val="16"/>
          <w:color w:val="auto"/>
        </w:rPr>
        <w:t>Sempra Pipelines &amp; Storage also has investments in Latin America that are subject to laws and regulations in the localities and countries in which they operate.</w:t>
      </w:r>
    </w:p>
    <w:p>
      <w:pPr>
        <w:spacing w:after="0" w:line="186" w:lineRule="exact"/>
        <w:rPr>
          <w:sz w:val="20"/>
          <w:szCs w:val="20"/>
          <w:color w:val="auto"/>
        </w:rPr>
      </w:pPr>
    </w:p>
    <w:p>
      <w:pPr>
        <w:ind w:left="4"/>
        <w:spacing w:after="0"/>
        <w:rPr>
          <w:sz w:val="20"/>
          <w:szCs w:val="20"/>
          <w:color w:val="auto"/>
        </w:rPr>
      </w:pPr>
      <w:r>
        <w:rPr>
          <w:rFonts w:ascii="Arial" w:cs="Arial" w:eastAsia="Arial" w:hAnsi="Arial"/>
          <w:sz w:val="18"/>
          <w:szCs w:val="18"/>
          <w:b w:val="1"/>
          <w:bCs w:val="1"/>
          <w:i w:val="1"/>
          <w:iCs w:val="1"/>
          <w:color w:val="auto"/>
        </w:rPr>
        <w:t>Licenses and Permits</w:t>
      </w:r>
    </w:p>
    <w:p>
      <w:pPr>
        <w:spacing w:after="0" w:line="23" w:lineRule="exact"/>
        <w:rPr>
          <w:sz w:val="20"/>
          <w:szCs w:val="20"/>
          <w:color w:val="auto"/>
        </w:rPr>
      </w:pPr>
    </w:p>
    <w:p>
      <w:pPr>
        <w:ind w:left="4" w:right="240"/>
        <w:spacing w:after="0" w:line="349" w:lineRule="auto"/>
        <w:rPr>
          <w:sz w:val="20"/>
          <w:szCs w:val="20"/>
          <w:color w:val="auto"/>
        </w:rPr>
      </w:pPr>
      <w:r>
        <w:rPr>
          <w:rFonts w:ascii="Arial" w:cs="Arial" w:eastAsia="Arial" w:hAnsi="Arial"/>
          <w:sz w:val="14"/>
          <w:szCs w:val="14"/>
          <w:color w:val="auto"/>
        </w:rPr>
        <w:t>The Sempra Utilities obtain numerous permits, authorizations and licenses in connection with the operation and construction of assets for the transmission and distribution of natural gas and electricity. Because these permits, authorizations and licenses require periodic renewal, they are continuously regulated by the granting agencies.</w:t>
      </w:r>
    </w:p>
    <w:p>
      <w:pPr>
        <w:ind w:left="4" w:right="340"/>
        <w:spacing w:after="0" w:line="277" w:lineRule="auto"/>
        <w:rPr>
          <w:sz w:val="20"/>
          <w:szCs w:val="20"/>
          <w:color w:val="auto"/>
        </w:rPr>
      </w:pPr>
      <w:r>
        <w:rPr>
          <w:rFonts w:ascii="Arial" w:cs="Arial" w:eastAsia="Arial" w:hAnsi="Arial"/>
          <w:sz w:val="16"/>
          <w:szCs w:val="16"/>
          <w:color w:val="auto"/>
        </w:rPr>
        <w:t>Our other subsidiaries are also required to obtain numerous permits, authorizations and licenses in the normal course of business. Some of these permits, authorizations and licenses require periodic renewal.</w:t>
      </w:r>
    </w:p>
    <w:p>
      <w:pPr>
        <w:spacing w:after="0" w:line="44" w:lineRule="exact"/>
        <w:rPr>
          <w:sz w:val="20"/>
          <w:szCs w:val="20"/>
          <w:color w:val="auto"/>
        </w:rPr>
      </w:pPr>
    </w:p>
    <w:p>
      <w:pPr>
        <w:ind w:left="4" w:right="100"/>
        <w:spacing w:after="0" w:line="277" w:lineRule="auto"/>
        <w:rPr>
          <w:sz w:val="20"/>
          <w:szCs w:val="20"/>
          <w:color w:val="auto"/>
        </w:rPr>
      </w:pPr>
      <w:r>
        <w:rPr>
          <w:rFonts w:ascii="Arial" w:cs="Arial" w:eastAsia="Arial" w:hAnsi="Arial"/>
          <w:sz w:val="16"/>
          <w:szCs w:val="16"/>
          <w:color w:val="auto"/>
        </w:rPr>
        <w:t>Sempra Generation and its subsidiaries obtain a number of permits, authorizations and licenses in connection with the construction and operation of power generation facilities, and in connection with the wholesale distribution of electricity.</w:t>
      </w:r>
    </w:p>
    <w:p>
      <w:pPr>
        <w:spacing w:after="0" w:line="32" w:lineRule="exact"/>
        <w:rPr>
          <w:sz w:val="20"/>
          <w:szCs w:val="20"/>
          <w:color w:val="auto"/>
        </w:rPr>
      </w:pPr>
    </w:p>
    <w:p>
      <w:pPr>
        <w:ind w:left="4" w:right="20"/>
        <w:spacing w:after="0" w:line="312" w:lineRule="auto"/>
        <w:rPr>
          <w:sz w:val="20"/>
          <w:szCs w:val="20"/>
          <w:color w:val="auto"/>
        </w:rPr>
      </w:pPr>
      <w:r>
        <w:rPr>
          <w:rFonts w:ascii="Arial" w:cs="Arial" w:eastAsia="Arial" w:hAnsi="Arial"/>
          <w:sz w:val="15"/>
          <w:szCs w:val="15"/>
          <w:color w:val="auto"/>
        </w:rPr>
        <w:t>Sempra Pipelines &amp; Storage’s Mexican subsidiaries obtain construction permits for their natural gas distribution and transmission systems from the local governments where the service is provided. Sempra Pipelines &amp; Storage’s U.S. operations obtain licenses and permits for natural gas storage facilities and pipelines.</w:t>
      </w:r>
    </w:p>
    <w:p>
      <w:pPr>
        <w:spacing w:after="0" w:line="20" w:lineRule="exact"/>
        <w:rPr>
          <w:sz w:val="20"/>
          <w:szCs w:val="20"/>
          <w:color w:val="auto"/>
        </w:rPr>
      </w:pPr>
    </w:p>
    <w:p>
      <w:pPr>
        <w:ind w:left="4"/>
        <w:spacing w:after="0"/>
        <w:rPr>
          <w:sz w:val="20"/>
          <w:szCs w:val="20"/>
          <w:color w:val="auto"/>
        </w:rPr>
      </w:pPr>
      <w:r>
        <w:rPr>
          <w:rFonts w:ascii="Arial" w:cs="Arial" w:eastAsia="Arial" w:hAnsi="Arial"/>
          <w:sz w:val="16"/>
          <w:szCs w:val="16"/>
          <w:color w:val="auto"/>
        </w:rPr>
        <w:t>Sempra LNG obtains licenses and permits for the construction and operation of LNG facilities.</w:t>
      </w:r>
    </w:p>
    <w:p>
      <w:pPr>
        <w:spacing w:after="0" w:line="92" w:lineRule="exact"/>
        <w:rPr>
          <w:sz w:val="20"/>
          <w:szCs w:val="20"/>
          <w:color w:val="auto"/>
        </w:rPr>
      </w:pPr>
    </w:p>
    <w:p>
      <w:pPr>
        <w:ind w:left="4"/>
        <w:spacing w:after="0"/>
        <w:rPr>
          <w:sz w:val="20"/>
          <w:szCs w:val="20"/>
          <w:color w:val="auto"/>
        </w:rPr>
      </w:pPr>
      <w:r>
        <w:rPr>
          <w:rFonts w:ascii="Arial" w:cs="Arial" w:eastAsia="Arial" w:hAnsi="Arial"/>
          <w:sz w:val="16"/>
          <w:szCs w:val="16"/>
          <w:color w:val="auto"/>
        </w:rPr>
        <w:t>We describe other regulatory matters in Notes 14 and 15 of the Notes to Consolidated Financial Statements in the Annual Report.</w:t>
      </w:r>
    </w:p>
    <w:p>
      <w:pPr>
        <w:spacing w:after="0" w:line="276"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auto"/>
        </w:rPr>
        <w:t>CALIFORNIA NATURAL GAS UTILITY OPERATIONS</w:t>
      </w:r>
    </w:p>
    <w:p>
      <w:pPr>
        <w:spacing w:after="0" w:line="101" w:lineRule="exact"/>
        <w:rPr>
          <w:sz w:val="20"/>
          <w:szCs w:val="20"/>
          <w:color w:val="auto"/>
        </w:rPr>
      </w:pPr>
    </w:p>
    <w:p>
      <w:pPr>
        <w:ind w:left="4" w:right="60"/>
        <w:spacing w:after="0" w:line="259" w:lineRule="auto"/>
        <w:rPr>
          <w:sz w:val="20"/>
          <w:szCs w:val="20"/>
          <w:color w:val="auto"/>
        </w:rPr>
      </w:pPr>
      <w:r>
        <w:rPr>
          <w:rFonts w:ascii="Arial" w:cs="Arial" w:eastAsia="Arial" w:hAnsi="Arial"/>
          <w:sz w:val="16"/>
          <w:szCs w:val="16"/>
          <w:color w:val="auto"/>
        </w:rPr>
        <w:t>SoCalGas and SDG&amp;E sell, distribute, and transport natural gas. SoCalGas purchases and stores natural gas for itself and SDG&amp;E on a combined portfolio basis and provides natural gas storage services for others. The Sempra Utilities’ resource planning, natural gas procurement, contractual commitments, and related regulatory matters are discussed below. We also provide further discussion in the Annual Report in "Management's Discussion and Analysis of Financial Condition and Results of Operations," and in Notes 15 and 16 of the Notes to Consolidated Financial Statements.</w:t>
      </w:r>
    </w:p>
    <w:p>
      <w:pPr>
        <w:spacing w:after="0" w:line="141" w:lineRule="exact"/>
        <w:rPr>
          <w:sz w:val="20"/>
          <w:szCs w:val="20"/>
          <w:color w:val="auto"/>
        </w:rPr>
      </w:pPr>
    </w:p>
    <w:p>
      <w:pPr>
        <w:ind w:left="4"/>
        <w:spacing w:after="0"/>
        <w:rPr>
          <w:sz w:val="20"/>
          <w:szCs w:val="20"/>
          <w:color w:val="auto"/>
        </w:rPr>
      </w:pPr>
      <w:r>
        <w:rPr>
          <w:rFonts w:ascii="Arial" w:cs="Arial" w:eastAsia="Arial" w:hAnsi="Arial"/>
          <w:sz w:val="18"/>
          <w:szCs w:val="18"/>
          <w:b w:val="1"/>
          <w:bCs w:val="1"/>
          <w:i w:val="1"/>
          <w:iCs w:val="1"/>
          <w:color w:val="auto"/>
        </w:rPr>
        <w:t>Customers</w:t>
      </w:r>
    </w:p>
    <w:p>
      <w:pPr>
        <w:spacing w:after="0" w:line="35" w:lineRule="exact"/>
        <w:rPr>
          <w:sz w:val="20"/>
          <w:szCs w:val="20"/>
          <w:color w:val="auto"/>
        </w:rPr>
      </w:pPr>
    </w:p>
    <w:p>
      <w:pPr>
        <w:jc w:val="both"/>
        <w:ind w:left="4" w:right="320"/>
        <w:spacing w:after="0" w:line="264" w:lineRule="auto"/>
        <w:rPr>
          <w:sz w:val="20"/>
          <w:szCs w:val="20"/>
          <w:color w:val="auto"/>
        </w:rPr>
      </w:pPr>
      <w:r>
        <w:rPr>
          <w:rFonts w:ascii="Arial" w:cs="Arial" w:eastAsia="Arial" w:hAnsi="Arial"/>
          <w:sz w:val="16"/>
          <w:szCs w:val="16"/>
          <w:color w:val="auto"/>
        </w:rPr>
        <w:t>For regulatory purposes, end-use customers are classified as either core or noncore customers. Core customers are primarily residential and small commercial and industrial customers. Noncore customers at SoCalGas consist primarily of electric generation, wholesale, large commercial, industrial, and enhanced oil recovery customers. Noncore customers at SDG&amp;E consist primarily of electric generation, and large commercial and industrial customers.</w:t>
      </w:r>
    </w:p>
    <w:p>
      <w:pPr>
        <w:spacing w:after="0" w:line="200" w:lineRule="exact"/>
        <w:rPr>
          <w:sz w:val="20"/>
          <w:szCs w:val="20"/>
          <w:color w:val="auto"/>
        </w:rPr>
      </w:pPr>
    </w:p>
    <w:p>
      <w:pPr>
        <w:spacing w:after="0" w:line="314" w:lineRule="exact"/>
        <w:rPr>
          <w:sz w:val="20"/>
          <w:szCs w:val="20"/>
          <w:color w:val="auto"/>
        </w:rPr>
      </w:pPr>
    </w:p>
    <w:p>
      <w:pPr>
        <w:ind w:left="4"/>
        <w:spacing w:after="0"/>
        <w:rPr>
          <w:sz w:val="20"/>
          <w:szCs w:val="20"/>
          <w:color w:val="auto"/>
        </w:rPr>
      </w:pPr>
      <w:r>
        <w:rPr>
          <w:rFonts w:ascii="Arial" w:cs="Arial" w:eastAsia="Arial" w:hAnsi="Arial"/>
          <w:sz w:val="14"/>
          <w:szCs w:val="14"/>
          <w:color w:val="auto"/>
        </w:rPr>
        <w:t>9</w:t>
      </w:r>
    </w:p>
    <w:p>
      <w:pPr>
        <w:sectPr>
          <w:pgSz w:w="11900" w:h="16838" w:orient="portrait"/>
          <w:cols w:equalWidth="0" w:num="1">
            <w:col w:w="11344"/>
          </w:cols>
          <w:pgMar w:left="236" w:top="127" w:right="319" w:bottom="1440" w:gutter="0" w:footer="0" w:header="0"/>
        </w:sectPr>
      </w:pPr>
    </w:p>
    <w:bookmarkStart w:id="9" w:name="page10"/>
    <w:bookmarkEnd w:id="9"/>
    <w:p>
      <w:pPr>
        <w:jc w:val="both"/>
        <w:ind w:left="4" w:right="340"/>
        <w:spacing w:after="0" w:line="264" w:lineRule="auto"/>
        <w:rPr>
          <w:sz w:val="20"/>
          <w:szCs w:val="20"/>
          <w:color w:val="auto"/>
        </w:rPr>
      </w:pPr>
      <w:r>
        <w:rPr>
          <w:rFonts w:ascii="Arial" w:cs="Arial" w:eastAsia="Arial" w:hAnsi="Arial"/>
          <w:sz w:val="16"/>
          <w:szCs w:val="16"/>
          <w:color w:val="auto"/>
        </w:rPr>
        <w:t>Most core customers purchase natural gas directly from SoCalGas or SDG&amp;E. While core customers are permitted to aggregate their natural gas requirements and purchase directly from producers, marketers or brokers, the Sempra Utilities continue to be obligated to provide reliable supplies of natural gas to serve the requirements of their core customers. Noncore customers are responsible for the procurement of their natural gas requirements.</w:t>
      </w:r>
    </w:p>
    <w:p>
      <w:pPr>
        <w:spacing w:after="0" w:line="147" w:lineRule="exact"/>
        <w:rPr>
          <w:sz w:val="20"/>
          <w:szCs w:val="20"/>
          <w:color w:val="auto"/>
        </w:rPr>
      </w:pPr>
    </w:p>
    <w:p>
      <w:pPr>
        <w:ind w:left="4"/>
        <w:spacing w:after="0"/>
        <w:rPr>
          <w:sz w:val="20"/>
          <w:szCs w:val="20"/>
          <w:color w:val="auto"/>
        </w:rPr>
      </w:pPr>
      <w:r>
        <w:rPr>
          <w:rFonts w:ascii="Arial" w:cs="Arial" w:eastAsia="Arial" w:hAnsi="Arial"/>
          <w:sz w:val="18"/>
          <w:szCs w:val="18"/>
          <w:b w:val="1"/>
          <w:bCs w:val="1"/>
          <w:i w:val="1"/>
          <w:iCs w:val="1"/>
          <w:color w:val="auto"/>
        </w:rPr>
        <w:t>Natural Gas Procurement and Transportation</w:t>
      </w:r>
    </w:p>
    <w:p>
      <w:pPr>
        <w:spacing w:after="0" w:line="23" w:lineRule="exact"/>
        <w:rPr>
          <w:sz w:val="20"/>
          <w:szCs w:val="20"/>
          <w:color w:val="auto"/>
        </w:rPr>
      </w:pPr>
    </w:p>
    <w:p>
      <w:pPr>
        <w:ind w:left="4" w:right="20"/>
        <w:spacing w:after="0" w:line="264" w:lineRule="auto"/>
        <w:rPr>
          <w:sz w:val="20"/>
          <w:szCs w:val="20"/>
          <w:color w:val="auto"/>
        </w:rPr>
      </w:pPr>
      <w:r>
        <w:rPr>
          <w:rFonts w:ascii="Arial" w:cs="Arial" w:eastAsia="Arial" w:hAnsi="Arial"/>
          <w:sz w:val="16"/>
          <w:szCs w:val="16"/>
          <w:color w:val="auto"/>
        </w:rPr>
        <w:t>SoCalGas purchases natural gas under short-term and long-term contracts for the Sempra Utilities’ core customers. SoCalGas purchases natural gas on a spot basis from Canada, the U.S. Rockies and the southwestern U.S. to meet customer requirements and maintain pipeline reliability. It also purchases some California natural gas production and additional spot-market supplies delivered directly to California for its remaining requirements.</w:t>
      </w:r>
    </w:p>
    <w:p>
      <w:pPr>
        <w:spacing w:after="0" w:line="54" w:lineRule="exact"/>
        <w:rPr>
          <w:sz w:val="20"/>
          <w:szCs w:val="20"/>
          <w:color w:val="auto"/>
        </w:rPr>
      </w:pPr>
    </w:p>
    <w:p>
      <w:pPr>
        <w:ind w:left="4" w:right="260"/>
        <w:spacing w:after="0" w:line="257" w:lineRule="auto"/>
        <w:rPr>
          <w:sz w:val="20"/>
          <w:szCs w:val="20"/>
          <w:color w:val="auto"/>
        </w:rPr>
      </w:pPr>
      <w:r>
        <w:rPr>
          <w:rFonts w:ascii="Arial" w:cs="Arial" w:eastAsia="Arial" w:hAnsi="Arial"/>
          <w:sz w:val="16"/>
          <w:szCs w:val="16"/>
          <w:color w:val="auto"/>
        </w:rPr>
        <w:t>To ensure the delivery of the natural gas supplies to the distribution system and to meet the seasonal and annual needs of customers, SoCalGas is committed to firm interstate pipeline capacity contracts that require the payment of fixed reservation charges to reserve firm transportation entitlements. Interstate pipeline companies, primarily El Paso Natural Gas Company, Transwestern Pipeline Company, and Kern River Gas Transmission Company, provide transportation services into SoCalGas' intrastate transmission system for supplies purchased by SoCalGas or its transportation customers from outside of California. The FERC regulates the rates that interstate pipeline companies may charge for natural gas and transportation services.</w:t>
      </w:r>
    </w:p>
    <w:p>
      <w:pPr>
        <w:spacing w:after="0" w:line="60" w:lineRule="exact"/>
        <w:rPr>
          <w:sz w:val="20"/>
          <w:szCs w:val="20"/>
          <w:color w:val="auto"/>
        </w:rPr>
      </w:pPr>
    </w:p>
    <w:p>
      <w:pPr>
        <w:ind w:left="4"/>
        <w:spacing w:after="0"/>
        <w:rPr>
          <w:sz w:val="20"/>
          <w:szCs w:val="20"/>
          <w:color w:val="auto"/>
        </w:rPr>
      </w:pPr>
      <w:r>
        <w:rPr>
          <w:rFonts w:ascii="Arial" w:cs="Arial" w:eastAsia="Arial" w:hAnsi="Arial"/>
          <w:sz w:val="16"/>
          <w:szCs w:val="16"/>
          <w:color w:val="auto"/>
        </w:rPr>
        <w:t>SoCalGas has natural gas transportation contracts with various interstate pipelines. These contracts expire on various dates between 2009 and 2025.</w:t>
      </w:r>
    </w:p>
    <w:p>
      <w:pPr>
        <w:spacing w:after="0" w:line="174" w:lineRule="exact"/>
        <w:rPr>
          <w:sz w:val="20"/>
          <w:szCs w:val="20"/>
          <w:color w:val="auto"/>
        </w:rPr>
      </w:pPr>
    </w:p>
    <w:p>
      <w:pPr>
        <w:ind w:left="4"/>
        <w:spacing w:after="0"/>
        <w:rPr>
          <w:sz w:val="20"/>
          <w:szCs w:val="20"/>
          <w:color w:val="auto"/>
        </w:rPr>
      </w:pPr>
      <w:r>
        <w:rPr>
          <w:rFonts w:ascii="Arial" w:cs="Arial" w:eastAsia="Arial" w:hAnsi="Arial"/>
          <w:sz w:val="18"/>
          <w:szCs w:val="18"/>
          <w:b w:val="1"/>
          <w:bCs w:val="1"/>
          <w:i w:val="1"/>
          <w:iCs w:val="1"/>
          <w:color w:val="auto"/>
        </w:rPr>
        <w:t>Natural Gas Storage</w:t>
      </w:r>
    </w:p>
    <w:p>
      <w:pPr>
        <w:spacing w:after="0" w:line="35" w:lineRule="exact"/>
        <w:rPr>
          <w:sz w:val="20"/>
          <w:szCs w:val="20"/>
          <w:color w:val="auto"/>
        </w:rPr>
      </w:pPr>
    </w:p>
    <w:p>
      <w:pPr>
        <w:ind w:left="4" w:right="80"/>
        <w:spacing w:after="0" w:line="282" w:lineRule="auto"/>
        <w:rPr>
          <w:sz w:val="20"/>
          <w:szCs w:val="20"/>
          <w:color w:val="auto"/>
        </w:rPr>
      </w:pPr>
      <w:r>
        <w:rPr>
          <w:rFonts w:ascii="Arial" w:cs="Arial" w:eastAsia="Arial" w:hAnsi="Arial"/>
          <w:sz w:val="15"/>
          <w:szCs w:val="15"/>
          <w:color w:val="auto"/>
        </w:rPr>
        <w:t>SoCalGas provides natural gas storage services for core, noncore and non-end-use customers. The Sempra Utilities’ core customers are allocated a portion of SoCalGas' storage capacity. SoCalGas offers the remaining storage capacity for sale to others through an open bid process. The storage service program provides opportunities for these customers to purchase and store natural gas when natural gas costs are low, usually during the summer, thereby reducing purchases when natural gas costs are expected to be higher. This program allows customers to better manage their fuel procurement and transportation needs.</w:t>
      </w:r>
    </w:p>
    <w:p>
      <w:pPr>
        <w:spacing w:after="0" w:line="136" w:lineRule="exact"/>
        <w:rPr>
          <w:sz w:val="20"/>
          <w:szCs w:val="20"/>
          <w:color w:val="auto"/>
        </w:rPr>
      </w:pPr>
    </w:p>
    <w:p>
      <w:pPr>
        <w:ind w:left="4"/>
        <w:spacing w:after="0"/>
        <w:rPr>
          <w:sz w:val="20"/>
          <w:szCs w:val="20"/>
          <w:color w:val="auto"/>
        </w:rPr>
      </w:pPr>
      <w:r>
        <w:rPr>
          <w:rFonts w:ascii="Arial" w:cs="Arial" w:eastAsia="Arial" w:hAnsi="Arial"/>
          <w:sz w:val="18"/>
          <w:szCs w:val="18"/>
          <w:b w:val="1"/>
          <w:bCs w:val="1"/>
          <w:i w:val="1"/>
          <w:iCs w:val="1"/>
          <w:color w:val="auto"/>
        </w:rPr>
        <w:t>Demand for Natural Gas</w:t>
      </w:r>
    </w:p>
    <w:p>
      <w:pPr>
        <w:spacing w:after="0" w:line="23" w:lineRule="exact"/>
        <w:rPr>
          <w:sz w:val="20"/>
          <w:szCs w:val="20"/>
          <w:color w:val="auto"/>
        </w:rPr>
      </w:pPr>
    </w:p>
    <w:p>
      <w:pPr>
        <w:ind w:left="4" w:right="100"/>
        <w:spacing w:after="0" w:line="289" w:lineRule="auto"/>
        <w:rPr>
          <w:sz w:val="20"/>
          <w:szCs w:val="20"/>
          <w:color w:val="auto"/>
        </w:rPr>
      </w:pPr>
      <w:r>
        <w:rPr>
          <w:rFonts w:ascii="Arial" w:cs="Arial" w:eastAsia="Arial" w:hAnsi="Arial"/>
          <w:sz w:val="15"/>
          <w:szCs w:val="15"/>
          <w:color w:val="auto"/>
        </w:rPr>
        <w:t>The Sempra Utilities face competition in the residential and commercial customer markets based on the customers' preferences for natural gas compared with other energy products. In the noncore industrial market, some customers are capable of securing alternate fuel supplies from other suppliers which can affect the demand for natural gas. The Sempra Utilities’ ability to maintain their respective industrial market shares is largely dependent on the relative spread between delivered energy prices.</w:t>
      </w:r>
    </w:p>
    <w:p>
      <w:pPr>
        <w:spacing w:after="0" w:line="38" w:lineRule="exact"/>
        <w:rPr>
          <w:sz w:val="20"/>
          <w:szCs w:val="20"/>
          <w:color w:val="auto"/>
        </w:rPr>
      </w:pPr>
    </w:p>
    <w:p>
      <w:pPr>
        <w:ind w:left="4"/>
        <w:spacing w:after="0"/>
        <w:rPr>
          <w:sz w:val="20"/>
          <w:szCs w:val="20"/>
          <w:color w:val="auto"/>
        </w:rPr>
      </w:pPr>
      <w:r>
        <w:rPr>
          <w:rFonts w:ascii="Arial" w:cs="Arial" w:eastAsia="Arial" w:hAnsi="Arial"/>
          <w:sz w:val="16"/>
          <w:szCs w:val="16"/>
          <w:i w:val="1"/>
          <w:iCs w:val="1"/>
          <w:color w:val="auto"/>
        </w:rPr>
        <w:t xml:space="preserve">Short-Term Demand. </w:t>
      </w:r>
      <w:r>
        <w:rPr>
          <w:rFonts w:ascii="Arial" w:cs="Arial" w:eastAsia="Arial" w:hAnsi="Arial"/>
          <w:sz w:val="16"/>
          <w:szCs w:val="16"/>
          <w:color w:val="auto"/>
        </w:rPr>
        <w:t>The demand for natural gas by electric generators is influenced by a number of factors:</w:t>
      </w:r>
    </w:p>
    <w:p>
      <w:pPr>
        <w:spacing w:after="0" w:line="80" w:lineRule="exact"/>
        <w:rPr>
          <w:sz w:val="20"/>
          <w:szCs w:val="20"/>
          <w:color w:val="auto"/>
        </w:rPr>
      </w:pPr>
    </w:p>
    <w:p>
      <w:pPr>
        <w:ind w:left="144" w:right="1240" w:hanging="144"/>
        <w:spacing w:after="0" w:line="274" w:lineRule="auto"/>
        <w:tabs>
          <w:tab w:leader="none" w:pos="144"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availability of alternative sources of generation; for example, the availability of hydroelectricity is highly dependent on precipitation in the western U.S. and Canada;</w:t>
      </w:r>
    </w:p>
    <w:p>
      <w:pPr>
        <w:ind w:left="144" w:right="1440" w:hanging="144"/>
        <w:spacing w:after="0" w:line="266" w:lineRule="auto"/>
        <w:tabs>
          <w:tab w:leader="none" w:pos="144"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performance of other generation sources in the western U.S., including nuclear and coal, renewable energy and other natural gas facilities outside the service area; and</w:t>
      </w:r>
    </w:p>
    <w:p>
      <w:pPr>
        <w:ind w:left="144" w:hanging="144"/>
        <w:spacing w:after="0"/>
        <w:tabs>
          <w:tab w:leader="none" w:pos="144"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changes in end-use electricity demand; for example, natural gas use generally increases during extended heat waves.</w:t>
      </w:r>
    </w:p>
    <w:p>
      <w:pPr>
        <w:spacing w:after="0" w:line="128" w:lineRule="exact"/>
        <w:rPr>
          <w:sz w:val="20"/>
          <w:szCs w:val="20"/>
          <w:color w:val="auto"/>
        </w:rPr>
      </w:pPr>
    </w:p>
    <w:p>
      <w:pPr>
        <w:ind w:left="4"/>
        <w:spacing w:after="0" w:line="257" w:lineRule="auto"/>
        <w:rPr>
          <w:sz w:val="20"/>
          <w:szCs w:val="20"/>
          <w:color w:val="auto"/>
        </w:rPr>
      </w:pPr>
      <w:r>
        <w:rPr>
          <w:rFonts w:ascii="Arial" w:cs="Arial" w:eastAsia="Arial" w:hAnsi="Arial"/>
          <w:sz w:val="16"/>
          <w:szCs w:val="16"/>
          <w:i w:val="1"/>
          <w:iCs w:val="1"/>
          <w:color w:val="auto"/>
        </w:rPr>
        <w:t>Long-Term Demand</w:t>
      </w:r>
      <w:r>
        <w:rPr>
          <w:rFonts w:ascii="Arial" w:cs="Arial" w:eastAsia="Arial" w:hAnsi="Arial"/>
          <w:sz w:val="16"/>
          <w:szCs w:val="16"/>
          <w:color w:val="auto"/>
        </w:rPr>
        <w:t>. The demand for natural gas used to generate electricity will be influenced by additional factors such as the location of new power plants and the</w:t>
      </w:r>
      <w:r>
        <w:rPr>
          <w:rFonts w:ascii="Arial" w:cs="Arial" w:eastAsia="Arial" w:hAnsi="Arial"/>
          <w:sz w:val="16"/>
          <w:szCs w:val="16"/>
          <w:i w:val="1"/>
          <w:iCs w:val="1"/>
          <w:color w:val="auto"/>
        </w:rPr>
        <w:t xml:space="preserve"> </w:t>
      </w:r>
      <w:r>
        <w:rPr>
          <w:rFonts w:ascii="Arial" w:cs="Arial" w:eastAsia="Arial" w:hAnsi="Arial"/>
          <w:sz w:val="16"/>
          <w:szCs w:val="16"/>
          <w:color w:val="auto"/>
        </w:rPr>
        <w:t>development of renewable energy resources. Recently, more generation capacity has been constructed outside the Sempra Utilities' service area than within it. This new generation will displace the output of older, less-efficient local generation, thereby reducing the use of natural gas for local electric generation. Over the next few years, however, the construction of smaller natural gas-fired peaking and other electric generation facilities within the Sempra Utilities’ respective service areas are expected to result in a slight overall increase in the demand for local natural gas for electric generation.</w:t>
      </w:r>
    </w:p>
    <w:p>
      <w:pPr>
        <w:spacing w:after="0" w:line="200" w:lineRule="exact"/>
        <w:rPr>
          <w:sz w:val="20"/>
          <w:szCs w:val="20"/>
          <w:color w:val="auto"/>
        </w:rPr>
      </w:pPr>
    </w:p>
    <w:p>
      <w:pPr>
        <w:spacing w:after="0" w:line="333" w:lineRule="exact"/>
        <w:rPr>
          <w:sz w:val="20"/>
          <w:szCs w:val="20"/>
          <w:color w:val="auto"/>
        </w:rPr>
      </w:pPr>
    </w:p>
    <w:p>
      <w:pPr>
        <w:ind w:left="4"/>
        <w:spacing w:after="0"/>
        <w:rPr>
          <w:sz w:val="20"/>
          <w:szCs w:val="20"/>
          <w:color w:val="auto"/>
        </w:rPr>
      </w:pPr>
      <w:r>
        <w:rPr>
          <w:rFonts w:ascii="Arial" w:cs="Arial" w:eastAsia="Arial" w:hAnsi="Arial"/>
          <w:sz w:val="14"/>
          <w:szCs w:val="14"/>
          <w:color w:val="auto"/>
        </w:rPr>
        <w:t>10</w:t>
      </w:r>
    </w:p>
    <w:p>
      <w:pPr>
        <w:sectPr>
          <w:pgSz w:w="11900" w:h="16838" w:orient="portrait"/>
          <w:cols w:equalWidth="0" w:num="1">
            <w:col w:w="11364"/>
          </w:cols>
          <w:pgMar w:left="236" w:top="127" w:right="299" w:bottom="1440" w:gutter="0" w:footer="0" w:header="0"/>
        </w:sectPr>
      </w:pPr>
    </w:p>
    <w:bookmarkStart w:id="10" w:name="page11"/>
    <w:bookmarkEnd w:id="10"/>
    <w:p>
      <w:pPr>
        <w:ind w:left="4" w:right="80"/>
        <w:spacing w:after="0" w:line="259" w:lineRule="auto"/>
        <w:rPr>
          <w:sz w:val="20"/>
          <w:szCs w:val="20"/>
          <w:color w:val="auto"/>
        </w:rPr>
      </w:pPr>
      <w:r>
        <w:rPr>
          <w:rFonts w:ascii="Arial" w:cs="Arial" w:eastAsia="Arial" w:hAnsi="Arial"/>
          <w:sz w:val="16"/>
          <w:szCs w:val="16"/>
          <w:color w:val="auto"/>
        </w:rPr>
        <w:t>Natural gas demand for electric generation within Southern California competes with electric power generated throughout the western U.S. Natural gas transported for electric generating plant customers may be significantly affected to the extent that regulatory changes and electric transmission infrastructure investment divert electric generation from the Sempra Utilities’ respective service areas. We provide additional information regarding electric industry restructuring in Note 14 of the Notes to Consolidated Financial Statements in the Annual Report.</w:t>
      </w:r>
    </w:p>
    <w:p>
      <w:pPr>
        <w:spacing w:after="0" w:line="59" w:lineRule="exact"/>
        <w:rPr>
          <w:sz w:val="20"/>
          <w:szCs w:val="20"/>
          <w:color w:val="auto"/>
        </w:rPr>
      </w:pPr>
    </w:p>
    <w:p>
      <w:pPr>
        <w:ind w:left="4"/>
        <w:spacing w:after="0" w:line="259" w:lineRule="auto"/>
        <w:rPr>
          <w:sz w:val="20"/>
          <w:szCs w:val="20"/>
          <w:color w:val="auto"/>
        </w:rPr>
      </w:pPr>
      <w:r>
        <w:rPr>
          <w:rFonts w:ascii="Arial" w:cs="Arial" w:eastAsia="Arial" w:hAnsi="Arial"/>
          <w:sz w:val="16"/>
          <w:szCs w:val="16"/>
          <w:color w:val="auto"/>
        </w:rPr>
        <w:t>Growth in the demand for natural gas largely depends on the health and expansion of the Southern California economy, prices of alternate energy products, environmental regulations, renewable energy, legislation, and the effectiveness of energy efficiency programs. External factors such as weather, the price of electricity, electric deregulation, the use of hydroelectric power, development of renewable energy resources, development of new natural gas supply sources, and general economic conditions can also result in significant shifts in demand and market price.</w:t>
      </w:r>
    </w:p>
    <w:p>
      <w:pPr>
        <w:spacing w:after="0" w:line="47" w:lineRule="exact"/>
        <w:rPr>
          <w:sz w:val="20"/>
          <w:szCs w:val="20"/>
          <w:color w:val="auto"/>
        </w:rPr>
      </w:pPr>
    </w:p>
    <w:p>
      <w:pPr>
        <w:jc w:val="both"/>
        <w:ind w:left="4" w:right="380"/>
        <w:spacing w:after="0" w:line="319" w:lineRule="auto"/>
        <w:rPr>
          <w:sz w:val="20"/>
          <w:szCs w:val="20"/>
          <w:color w:val="auto"/>
        </w:rPr>
      </w:pPr>
      <w:r>
        <w:rPr>
          <w:rFonts w:ascii="Arial" w:cs="Arial" w:eastAsia="Arial" w:hAnsi="Arial"/>
          <w:sz w:val="14"/>
          <w:szCs w:val="14"/>
          <w:color w:val="auto"/>
        </w:rPr>
        <w:t>In 2008, SDG&amp;E added 3,000 new customer natural gas meters at a growth rate of 0.4 percent; in 2007, it added 5,000 new meters at a growth rate of 0.7 percent. In 2008, SoCalGas added 41,000 new customer natural gas meters at a growth rate of 0.7 percent; in 2007, it added 57,000 new meters at a growth rate of 1.0 percent. SDG&amp;E and SoCalGas expect that their respective growth rates will continue to decline in 2009 based on housing market forecasts and due to the continuing economic downturn.</w:t>
      </w:r>
    </w:p>
    <w:p>
      <w:pPr>
        <w:spacing w:after="0" w:line="19" w:lineRule="exact"/>
        <w:rPr>
          <w:sz w:val="20"/>
          <w:szCs w:val="20"/>
          <w:color w:val="auto"/>
        </w:rPr>
      </w:pPr>
    </w:p>
    <w:p>
      <w:pPr>
        <w:jc w:val="both"/>
        <w:ind w:left="4" w:right="140"/>
        <w:spacing w:after="0" w:line="264" w:lineRule="auto"/>
        <w:rPr>
          <w:sz w:val="20"/>
          <w:szCs w:val="20"/>
          <w:color w:val="auto"/>
        </w:rPr>
      </w:pPr>
      <w:r>
        <w:rPr>
          <w:rFonts w:ascii="Arial" w:cs="Arial" w:eastAsia="Arial" w:hAnsi="Arial"/>
          <w:sz w:val="16"/>
          <w:szCs w:val="16"/>
          <w:color w:val="auto"/>
        </w:rPr>
        <w:t>The natural gas distribution business is seasonal, and revenues generally are greater during the winter months. As is prevalent in the industry, SoCalGas injects natural gas into storage during the summer months (usually April through October) for withdrawal from storage during the winter months (usually November through March) when customer demand is higher.</w:t>
      </w:r>
    </w:p>
    <w:p>
      <w:pPr>
        <w:spacing w:after="0" w:line="237"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auto"/>
        </w:rPr>
        <w:t>ELECTRIC UTILITY OPERATIONS</w:t>
      </w:r>
    </w:p>
    <w:p>
      <w:pPr>
        <w:spacing w:after="0" w:line="194" w:lineRule="exact"/>
        <w:rPr>
          <w:sz w:val="20"/>
          <w:szCs w:val="20"/>
          <w:color w:val="auto"/>
        </w:rPr>
      </w:pPr>
    </w:p>
    <w:p>
      <w:pPr>
        <w:ind w:left="4"/>
        <w:spacing w:after="0"/>
        <w:rPr>
          <w:sz w:val="20"/>
          <w:szCs w:val="20"/>
          <w:color w:val="auto"/>
        </w:rPr>
      </w:pPr>
      <w:r>
        <w:rPr>
          <w:rFonts w:ascii="Arial" w:cs="Arial" w:eastAsia="Arial" w:hAnsi="Arial"/>
          <w:sz w:val="18"/>
          <w:szCs w:val="18"/>
          <w:b w:val="1"/>
          <w:bCs w:val="1"/>
          <w:i w:val="1"/>
          <w:iCs w:val="1"/>
          <w:color w:val="auto"/>
        </w:rPr>
        <w:t>Customers</w:t>
      </w:r>
    </w:p>
    <w:p>
      <w:pPr>
        <w:spacing w:after="0" w:line="35" w:lineRule="exact"/>
        <w:rPr>
          <w:sz w:val="20"/>
          <w:szCs w:val="20"/>
          <w:color w:val="auto"/>
        </w:rPr>
      </w:pPr>
    </w:p>
    <w:p>
      <w:pPr>
        <w:ind w:left="4"/>
        <w:spacing w:after="0"/>
        <w:rPr>
          <w:sz w:val="20"/>
          <w:szCs w:val="20"/>
          <w:color w:val="auto"/>
        </w:rPr>
      </w:pPr>
      <w:r>
        <w:rPr>
          <w:rFonts w:ascii="Arial" w:cs="Arial" w:eastAsia="Arial" w:hAnsi="Arial"/>
          <w:sz w:val="16"/>
          <w:szCs w:val="16"/>
          <w:color w:val="auto"/>
        </w:rPr>
        <w:t>SDG&amp;E’s service area covers 4,100 square miles. At December 31, 2008, SDG&amp;E had 1.4 million customer meters consisting of:</w:t>
      </w:r>
    </w:p>
    <w:p>
      <w:pPr>
        <w:spacing w:after="0" w:line="32" w:lineRule="exact"/>
        <w:rPr>
          <w:sz w:val="20"/>
          <w:szCs w:val="20"/>
          <w:color w:val="auto"/>
        </w:rPr>
      </w:pPr>
    </w:p>
    <w:p>
      <w:pPr>
        <w:ind w:left="144" w:hanging="144"/>
        <w:spacing w:after="0"/>
        <w:tabs>
          <w:tab w:leader="none" w:pos="144" w:val="left"/>
        </w:tabs>
        <w:numPr>
          <w:ilvl w:val="0"/>
          <w:numId w:val="9"/>
        </w:numPr>
        <w:rPr>
          <w:rFonts w:ascii="Arial" w:cs="Arial" w:eastAsia="Arial" w:hAnsi="Arial"/>
          <w:sz w:val="16"/>
          <w:szCs w:val="16"/>
          <w:color w:val="auto"/>
        </w:rPr>
      </w:pPr>
      <w:r>
        <w:rPr>
          <w:rFonts w:ascii="Arial" w:cs="Arial" w:eastAsia="Arial" w:hAnsi="Arial"/>
          <w:sz w:val="16"/>
          <w:szCs w:val="16"/>
          <w:color w:val="auto"/>
        </w:rPr>
        <w:t>1,217,200 residential</w:t>
      </w:r>
    </w:p>
    <w:p>
      <w:pPr>
        <w:spacing w:after="0" w:line="44" w:lineRule="exact"/>
        <w:rPr>
          <w:rFonts w:ascii="Arial" w:cs="Arial" w:eastAsia="Arial" w:hAnsi="Arial"/>
          <w:sz w:val="16"/>
          <w:szCs w:val="16"/>
          <w:color w:val="auto"/>
        </w:rPr>
      </w:pPr>
    </w:p>
    <w:p>
      <w:pPr>
        <w:ind w:left="144" w:hanging="144"/>
        <w:spacing w:after="0"/>
        <w:tabs>
          <w:tab w:leader="none" w:pos="144" w:val="left"/>
        </w:tabs>
        <w:numPr>
          <w:ilvl w:val="0"/>
          <w:numId w:val="9"/>
        </w:numPr>
        <w:rPr>
          <w:rFonts w:ascii="Arial" w:cs="Arial" w:eastAsia="Arial" w:hAnsi="Arial"/>
          <w:sz w:val="16"/>
          <w:szCs w:val="16"/>
          <w:color w:val="auto"/>
        </w:rPr>
      </w:pPr>
      <w:r>
        <w:rPr>
          <w:rFonts w:ascii="Arial" w:cs="Arial" w:eastAsia="Arial" w:hAnsi="Arial"/>
          <w:sz w:val="16"/>
          <w:szCs w:val="16"/>
          <w:color w:val="auto"/>
        </w:rPr>
        <w:t>147,600 commercial</w:t>
      </w:r>
    </w:p>
    <w:p>
      <w:pPr>
        <w:spacing w:after="0" w:line="44" w:lineRule="exact"/>
        <w:rPr>
          <w:rFonts w:ascii="Arial" w:cs="Arial" w:eastAsia="Arial" w:hAnsi="Arial"/>
          <w:sz w:val="16"/>
          <w:szCs w:val="16"/>
          <w:color w:val="auto"/>
        </w:rPr>
      </w:pPr>
    </w:p>
    <w:p>
      <w:pPr>
        <w:ind w:left="144" w:hanging="144"/>
        <w:spacing w:after="0"/>
        <w:tabs>
          <w:tab w:leader="none" w:pos="144" w:val="left"/>
        </w:tabs>
        <w:numPr>
          <w:ilvl w:val="0"/>
          <w:numId w:val="9"/>
        </w:numPr>
        <w:rPr>
          <w:rFonts w:ascii="Arial" w:cs="Arial" w:eastAsia="Arial" w:hAnsi="Arial"/>
          <w:sz w:val="16"/>
          <w:szCs w:val="16"/>
          <w:color w:val="auto"/>
        </w:rPr>
      </w:pPr>
      <w:r>
        <w:rPr>
          <w:rFonts w:ascii="Arial" w:cs="Arial" w:eastAsia="Arial" w:hAnsi="Arial"/>
          <w:sz w:val="16"/>
          <w:szCs w:val="16"/>
          <w:color w:val="auto"/>
        </w:rPr>
        <w:t>500 industrial</w:t>
      </w:r>
    </w:p>
    <w:p>
      <w:pPr>
        <w:spacing w:after="0" w:line="32" w:lineRule="exact"/>
        <w:rPr>
          <w:rFonts w:ascii="Arial" w:cs="Arial" w:eastAsia="Arial" w:hAnsi="Arial"/>
          <w:sz w:val="16"/>
          <w:szCs w:val="16"/>
          <w:color w:val="auto"/>
        </w:rPr>
      </w:pPr>
    </w:p>
    <w:p>
      <w:pPr>
        <w:ind w:left="144" w:hanging="144"/>
        <w:spacing w:after="0"/>
        <w:tabs>
          <w:tab w:leader="none" w:pos="144" w:val="left"/>
        </w:tabs>
        <w:numPr>
          <w:ilvl w:val="0"/>
          <w:numId w:val="9"/>
        </w:numPr>
        <w:rPr>
          <w:rFonts w:ascii="Arial" w:cs="Arial" w:eastAsia="Arial" w:hAnsi="Arial"/>
          <w:sz w:val="16"/>
          <w:szCs w:val="16"/>
          <w:color w:val="auto"/>
        </w:rPr>
      </w:pPr>
      <w:r>
        <w:rPr>
          <w:rFonts w:ascii="Arial" w:cs="Arial" w:eastAsia="Arial" w:hAnsi="Arial"/>
          <w:sz w:val="16"/>
          <w:szCs w:val="16"/>
          <w:color w:val="auto"/>
        </w:rPr>
        <w:t>2,000 street and highway lighting</w:t>
      </w:r>
    </w:p>
    <w:p>
      <w:pPr>
        <w:spacing w:after="0" w:line="44" w:lineRule="exact"/>
        <w:rPr>
          <w:rFonts w:ascii="Arial" w:cs="Arial" w:eastAsia="Arial" w:hAnsi="Arial"/>
          <w:sz w:val="16"/>
          <w:szCs w:val="16"/>
          <w:color w:val="auto"/>
        </w:rPr>
      </w:pPr>
    </w:p>
    <w:p>
      <w:pPr>
        <w:ind w:left="144" w:hanging="144"/>
        <w:spacing w:after="0"/>
        <w:tabs>
          <w:tab w:leader="none" w:pos="144" w:val="left"/>
        </w:tabs>
        <w:numPr>
          <w:ilvl w:val="0"/>
          <w:numId w:val="9"/>
        </w:numPr>
        <w:rPr>
          <w:rFonts w:ascii="Arial" w:cs="Arial" w:eastAsia="Arial" w:hAnsi="Arial"/>
          <w:sz w:val="16"/>
          <w:szCs w:val="16"/>
          <w:color w:val="auto"/>
        </w:rPr>
      </w:pPr>
      <w:r>
        <w:rPr>
          <w:rFonts w:ascii="Arial" w:cs="Arial" w:eastAsia="Arial" w:hAnsi="Arial"/>
          <w:sz w:val="16"/>
          <w:szCs w:val="16"/>
          <w:color w:val="auto"/>
        </w:rPr>
        <w:t>5,000 direct access</w:t>
      </w:r>
    </w:p>
    <w:p>
      <w:pPr>
        <w:spacing w:after="0" w:line="128" w:lineRule="exact"/>
        <w:rPr>
          <w:sz w:val="20"/>
          <w:szCs w:val="20"/>
          <w:color w:val="auto"/>
        </w:rPr>
      </w:pPr>
    </w:p>
    <w:p>
      <w:pPr>
        <w:ind w:left="4" w:right="300"/>
        <w:spacing w:after="0" w:line="312" w:lineRule="auto"/>
        <w:rPr>
          <w:sz w:val="20"/>
          <w:szCs w:val="20"/>
          <w:color w:val="auto"/>
        </w:rPr>
      </w:pPr>
      <w:r>
        <w:rPr>
          <w:rFonts w:ascii="Arial" w:cs="Arial" w:eastAsia="Arial" w:hAnsi="Arial"/>
          <w:sz w:val="15"/>
          <w:szCs w:val="15"/>
          <w:color w:val="auto"/>
        </w:rPr>
        <w:t>In 2008, SDG&amp;E added 7,400 new electric customer meters at a growth rate of 0.5 percent; in 2007, it added 10,000 new customers at a growth rate of 0.7 percent. SDG&amp;E expects that its growth rate will continue to decline in 2009 based on housing market forecasts and due to the continuing economic downturn.</w:t>
      </w:r>
    </w:p>
    <w:p>
      <w:pPr>
        <w:spacing w:after="0" w:line="114" w:lineRule="exact"/>
        <w:rPr>
          <w:sz w:val="20"/>
          <w:szCs w:val="20"/>
          <w:color w:val="auto"/>
        </w:rPr>
      </w:pPr>
    </w:p>
    <w:p>
      <w:pPr>
        <w:ind w:left="4"/>
        <w:spacing w:after="0"/>
        <w:rPr>
          <w:sz w:val="20"/>
          <w:szCs w:val="20"/>
          <w:color w:val="auto"/>
        </w:rPr>
      </w:pPr>
      <w:r>
        <w:rPr>
          <w:rFonts w:ascii="Arial" w:cs="Arial" w:eastAsia="Arial" w:hAnsi="Arial"/>
          <w:sz w:val="18"/>
          <w:szCs w:val="18"/>
          <w:b w:val="1"/>
          <w:bCs w:val="1"/>
          <w:i w:val="1"/>
          <w:iCs w:val="1"/>
          <w:color w:val="auto"/>
        </w:rPr>
        <w:t>Resource Planning and Power Procurement</w:t>
      </w:r>
    </w:p>
    <w:p>
      <w:pPr>
        <w:spacing w:after="0" w:line="23" w:lineRule="exact"/>
        <w:rPr>
          <w:sz w:val="20"/>
          <w:szCs w:val="20"/>
          <w:color w:val="auto"/>
        </w:rPr>
      </w:pPr>
    </w:p>
    <w:p>
      <w:pPr>
        <w:ind w:left="4" w:right="100"/>
        <w:spacing w:after="0" w:line="277" w:lineRule="auto"/>
        <w:rPr>
          <w:sz w:val="20"/>
          <w:szCs w:val="20"/>
          <w:color w:val="auto"/>
        </w:rPr>
      </w:pPr>
      <w:r>
        <w:rPr>
          <w:rFonts w:ascii="Arial" w:cs="Arial" w:eastAsia="Arial" w:hAnsi="Arial"/>
          <w:sz w:val="16"/>
          <w:szCs w:val="16"/>
          <w:color w:val="auto"/>
        </w:rPr>
        <w:t>SDG&amp;E's resource planning, power procurement and related regulatory matters are discussed in "Management's Discussion and Analysis of Financial Condition and Results of Operations" and in Notes 14, 15 and 16 of the Notes to Consolidated Financial Statements in the Annual Report.</w:t>
      </w:r>
    </w:p>
    <w:p>
      <w:pPr>
        <w:spacing w:after="0" w:line="138" w:lineRule="exact"/>
        <w:rPr>
          <w:sz w:val="20"/>
          <w:szCs w:val="20"/>
          <w:color w:val="auto"/>
        </w:rPr>
      </w:pPr>
    </w:p>
    <w:p>
      <w:pPr>
        <w:ind w:left="4"/>
        <w:spacing w:after="0"/>
        <w:rPr>
          <w:sz w:val="20"/>
          <w:szCs w:val="20"/>
          <w:color w:val="auto"/>
        </w:rPr>
      </w:pPr>
      <w:r>
        <w:rPr>
          <w:rFonts w:ascii="Arial" w:cs="Arial" w:eastAsia="Arial" w:hAnsi="Arial"/>
          <w:sz w:val="18"/>
          <w:szCs w:val="18"/>
          <w:b w:val="1"/>
          <w:bCs w:val="1"/>
          <w:i w:val="1"/>
          <w:iCs w:val="1"/>
          <w:color w:val="auto"/>
        </w:rPr>
        <w:t>Electric Resources</w:t>
      </w:r>
    </w:p>
    <w:p>
      <w:pPr>
        <w:spacing w:after="0" w:line="35" w:lineRule="exact"/>
        <w:rPr>
          <w:sz w:val="20"/>
          <w:szCs w:val="20"/>
          <w:color w:val="auto"/>
        </w:rPr>
      </w:pPr>
    </w:p>
    <w:p>
      <w:pPr>
        <w:ind w:left="4"/>
        <w:spacing w:after="0" w:line="264" w:lineRule="auto"/>
        <w:rPr>
          <w:sz w:val="20"/>
          <w:szCs w:val="20"/>
          <w:color w:val="auto"/>
        </w:rPr>
      </w:pPr>
      <w:r>
        <w:rPr>
          <w:rFonts w:ascii="Arial" w:cs="Arial" w:eastAsia="Arial" w:hAnsi="Arial"/>
          <w:sz w:val="16"/>
          <w:szCs w:val="16"/>
          <w:color w:val="auto"/>
        </w:rPr>
        <w:t>The supply of electric power available to SDG&amp;E for resale is based on CPUC-approved purchased-power contracts currently in place with its various suppliers, its Palomar and Miramar generating facilities, its 20-percent ownership interest in the San Onofre Nuclear Generating Station (SONGS) and purchases on a spot basis. This supply as of December 31, 2008 is as follows:</w:t>
      </w:r>
    </w:p>
    <w:p>
      <w:pPr>
        <w:spacing w:after="0" w:line="200" w:lineRule="exact"/>
        <w:rPr>
          <w:sz w:val="20"/>
          <w:szCs w:val="20"/>
          <w:color w:val="auto"/>
        </w:rPr>
      </w:pPr>
    </w:p>
    <w:p>
      <w:pPr>
        <w:spacing w:after="0" w:line="326" w:lineRule="exact"/>
        <w:rPr>
          <w:sz w:val="20"/>
          <w:szCs w:val="20"/>
          <w:color w:val="auto"/>
        </w:rPr>
      </w:pPr>
    </w:p>
    <w:p>
      <w:pPr>
        <w:ind w:left="4"/>
        <w:spacing w:after="0"/>
        <w:rPr>
          <w:sz w:val="20"/>
          <w:szCs w:val="20"/>
          <w:color w:val="auto"/>
        </w:rPr>
      </w:pPr>
      <w:r>
        <w:rPr>
          <w:rFonts w:ascii="Arial" w:cs="Arial" w:eastAsia="Arial" w:hAnsi="Arial"/>
          <w:sz w:val="14"/>
          <w:szCs w:val="14"/>
          <w:color w:val="auto"/>
        </w:rPr>
        <w:t>11</w:t>
      </w:r>
    </w:p>
    <w:p>
      <w:pPr>
        <w:sectPr>
          <w:pgSz w:w="11900" w:h="16838" w:orient="portrait"/>
          <w:cols w:equalWidth="0" w:num="1">
            <w:col w:w="11344"/>
          </w:cols>
          <w:pgMar w:left="236" w:top="127" w:right="319" w:bottom="1440" w:gutter="0" w:footer="0" w:header="0"/>
        </w:sectPr>
      </w:pPr>
    </w:p>
    <w:bookmarkStart w:id="11" w:name="page12"/>
    <w:bookmarkEnd w:id="11"/>
    <w:p>
      <w:pPr>
        <w:ind w:left="2000"/>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1416050</wp:posOffset>
            </wp:positionH>
            <wp:positionV relativeFrom="page">
              <wp:posOffset>279400</wp:posOffset>
            </wp:positionV>
            <wp:extent cx="4729480" cy="1295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4729480" cy="129540"/>
                    </a:xfrm>
                    <a:prstGeom prst="rect">
                      <a:avLst/>
                    </a:prstGeom>
                    <a:noFill/>
                  </pic:spPr>
                </pic:pic>
              </a:graphicData>
            </a:graphic>
          </wp:anchor>
        </w:drawing>
        <w:t>SDG&amp;E ELECTRIC RESOURCES</w:t>
      </w:r>
    </w:p>
    <w:p>
      <w:pPr>
        <w:spacing w:after="0" w:line="88" w:lineRule="exact"/>
        <w:rPr>
          <w:sz w:val="20"/>
          <w:szCs w:val="20"/>
          <w:color w:val="auto"/>
        </w:rPr>
      </w:pPr>
    </w:p>
    <w:tbl>
      <w:tblPr>
        <w:tblLayout w:type="fixed"/>
        <w:tblInd w:w="2000" w:type="dxa"/>
        <w:tblCellMar>
          <w:top w:w="0" w:type="dxa"/>
          <w:left w:w="0" w:type="dxa"/>
          <w:bottom w:w="0" w:type="dxa"/>
          <w:right w:w="0" w:type="dxa"/>
        </w:tblCellMar>
      </w:tblPr>
      <w:tr>
        <w:trPr>
          <w:trHeight w:val="159"/>
        </w:trPr>
        <w:tc>
          <w:tcPr>
            <w:tcW w:w="304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Supplier</w:t>
            </w:r>
          </w:p>
        </w:tc>
        <w:tc>
          <w:tcPr>
            <w:tcW w:w="1720" w:type="dxa"/>
            <w:vAlign w:val="bottom"/>
            <w:tcBorders>
              <w:bottom w:val="single" w:sz="8" w:color="auto"/>
            </w:tcBorders>
          </w:tcPr>
          <w:p>
            <w:pPr>
              <w:ind w:left="220"/>
              <w:spacing w:after="0"/>
              <w:rPr>
                <w:sz w:val="20"/>
                <w:szCs w:val="20"/>
                <w:color w:val="auto"/>
              </w:rPr>
            </w:pPr>
            <w:r>
              <w:rPr>
                <w:rFonts w:ascii="Arial" w:cs="Arial" w:eastAsia="Arial" w:hAnsi="Arial"/>
                <w:sz w:val="13"/>
                <w:szCs w:val="13"/>
                <w:color w:val="auto"/>
              </w:rPr>
              <w:t>Source</w:t>
            </w:r>
          </w:p>
        </w:tc>
        <w:tc>
          <w:tcPr>
            <w:tcW w:w="1540" w:type="dxa"/>
            <w:vAlign w:val="bottom"/>
            <w:tcBorders>
              <w:bottom w:val="single" w:sz="8" w:color="auto"/>
            </w:tcBorders>
            <w:gridSpan w:val="2"/>
          </w:tcPr>
          <w:p>
            <w:pPr>
              <w:ind w:left="140"/>
              <w:spacing w:after="0"/>
              <w:rPr>
                <w:sz w:val="20"/>
                <w:szCs w:val="20"/>
                <w:color w:val="auto"/>
              </w:rPr>
            </w:pPr>
            <w:r>
              <w:rPr>
                <w:rFonts w:ascii="Arial" w:cs="Arial" w:eastAsia="Arial" w:hAnsi="Arial"/>
                <w:sz w:val="13"/>
                <w:szCs w:val="13"/>
                <w:color w:val="auto"/>
              </w:rPr>
              <w:t>Expiration date</w:t>
            </w:r>
          </w:p>
        </w:tc>
        <w:tc>
          <w:tcPr>
            <w:tcW w:w="1140" w:type="dxa"/>
            <w:vAlign w:val="bottom"/>
            <w:tcBorders>
              <w:bottom w:val="single" w:sz="8" w:color="auto"/>
            </w:tcBorders>
          </w:tcPr>
          <w:p>
            <w:pPr>
              <w:jc w:val="right"/>
              <w:ind w:right="8"/>
              <w:spacing w:after="0"/>
              <w:rPr>
                <w:sz w:val="20"/>
                <w:szCs w:val="20"/>
                <w:color w:val="auto"/>
              </w:rPr>
            </w:pPr>
            <w:r>
              <w:rPr>
                <w:rFonts w:ascii="Arial" w:cs="Arial" w:eastAsia="Arial" w:hAnsi="Arial"/>
                <w:sz w:val="13"/>
                <w:szCs w:val="13"/>
                <w:color w:val="auto"/>
              </w:rPr>
              <w:t>Megawatts (MW)</w:t>
            </w:r>
          </w:p>
        </w:tc>
        <w:tc>
          <w:tcPr>
            <w:tcW w:w="0" w:type="dxa"/>
            <w:vAlign w:val="bottom"/>
          </w:tcPr>
          <w:p>
            <w:pPr>
              <w:spacing w:after="0"/>
              <w:rPr>
                <w:sz w:val="1"/>
                <w:szCs w:val="1"/>
                <w:color w:val="auto"/>
              </w:rPr>
            </w:pPr>
          </w:p>
        </w:tc>
      </w:tr>
      <w:tr>
        <w:trPr>
          <w:trHeight w:val="207"/>
        </w:trPr>
        <w:tc>
          <w:tcPr>
            <w:tcW w:w="3040" w:type="dxa"/>
            <w:vAlign w:val="bottom"/>
          </w:tcPr>
          <w:p>
            <w:pPr>
              <w:spacing w:after="0"/>
              <w:rPr>
                <w:sz w:val="20"/>
                <w:szCs w:val="20"/>
                <w:color w:val="auto"/>
              </w:rPr>
            </w:pPr>
            <w:r>
              <w:rPr>
                <w:rFonts w:ascii="Arial" w:cs="Arial" w:eastAsia="Arial" w:hAnsi="Arial"/>
                <w:sz w:val="14"/>
                <w:szCs w:val="14"/>
                <w:color w:val="auto"/>
              </w:rPr>
              <w:t>PURCHASED-POWER CONTRACTS:</w:t>
            </w:r>
          </w:p>
        </w:tc>
        <w:tc>
          <w:tcPr>
            <w:tcW w:w="17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3040" w:type="dxa"/>
            <w:vAlign w:val="bottom"/>
          </w:tcPr>
          <w:p>
            <w:pPr>
              <w:spacing w:after="0"/>
              <w:rPr>
                <w:sz w:val="20"/>
                <w:szCs w:val="20"/>
                <w:color w:val="auto"/>
              </w:rPr>
            </w:pPr>
            <w:r>
              <w:rPr>
                <w:rFonts w:ascii="Arial" w:cs="Arial" w:eastAsia="Arial" w:hAnsi="Arial"/>
                <w:sz w:val="14"/>
                <w:szCs w:val="14"/>
                <w:color w:val="auto"/>
              </w:rPr>
              <w:t>Department of Water Resources (DWR)-</w:t>
            </w:r>
          </w:p>
        </w:tc>
        <w:tc>
          <w:tcPr>
            <w:tcW w:w="17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3040" w:type="dxa"/>
            <w:vAlign w:val="bottom"/>
          </w:tcPr>
          <w:p>
            <w:pPr>
              <w:spacing w:after="0"/>
              <w:rPr>
                <w:sz w:val="20"/>
                <w:szCs w:val="20"/>
                <w:color w:val="auto"/>
              </w:rPr>
            </w:pPr>
            <w:r>
              <w:rPr>
                <w:rFonts w:ascii="Arial" w:cs="Arial" w:eastAsia="Arial" w:hAnsi="Arial"/>
                <w:sz w:val="14"/>
                <w:szCs w:val="14"/>
                <w:color w:val="auto"/>
              </w:rPr>
              <w:t>allocated contracts:</w:t>
            </w:r>
          </w:p>
        </w:tc>
        <w:tc>
          <w:tcPr>
            <w:tcW w:w="17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040" w:type="dxa"/>
            <w:vAlign w:val="bottom"/>
          </w:tcPr>
          <w:p>
            <w:pPr>
              <w:ind w:left="200"/>
              <w:spacing w:after="0"/>
              <w:rPr>
                <w:sz w:val="20"/>
                <w:szCs w:val="20"/>
                <w:color w:val="auto"/>
              </w:rPr>
            </w:pPr>
            <w:r>
              <w:rPr>
                <w:rFonts w:ascii="Arial" w:cs="Arial" w:eastAsia="Arial" w:hAnsi="Arial"/>
                <w:sz w:val="14"/>
                <w:szCs w:val="14"/>
                <w:color w:val="auto"/>
              </w:rPr>
              <w:t>JP Morgan</w:t>
            </w:r>
          </w:p>
        </w:tc>
        <w:tc>
          <w:tcPr>
            <w:tcW w:w="1720" w:type="dxa"/>
            <w:vAlign w:val="bottom"/>
          </w:tcPr>
          <w:p>
            <w:pPr>
              <w:ind w:left="220"/>
              <w:spacing w:after="0"/>
              <w:rPr>
                <w:sz w:val="20"/>
                <w:szCs w:val="20"/>
                <w:color w:val="auto"/>
              </w:rPr>
            </w:pPr>
            <w:r>
              <w:rPr>
                <w:rFonts w:ascii="Arial" w:cs="Arial" w:eastAsia="Arial" w:hAnsi="Arial"/>
                <w:sz w:val="14"/>
                <w:szCs w:val="14"/>
                <w:color w:val="auto"/>
              </w:rPr>
              <w:t>Natural gas</w:t>
            </w:r>
          </w:p>
        </w:tc>
        <w:tc>
          <w:tcPr>
            <w:tcW w:w="1540" w:type="dxa"/>
            <w:vAlign w:val="bottom"/>
            <w:gridSpan w:val="2"/>
          </w:tcPr>
          <w:p>
            <w:pPr>
              <w:ind w:left="140"/>
              <w:spacing w:after="0"/>
              <w:rPr>
                <w:sz w:val="20"/>
                <w:szCs w:val="20"/>
                <w:color w:val="auto"/>
              </w:rPr>
            </w:pPr>
            <w:r>
              <w:rPr>
                <w:rFonts w:ascii="Arial" w:cs="Arial" w:eastAsia="Arial" w:hAnsi="Arial"/>
                <w:sz w:val="14"/>
                <w:szCs w:val="14"/>
                <w:color w:val="auto"/>
              </w:rPr>
              <w:t>2009 to 2010</w:t>
            </w:r>
          </w:p>
        </w:tc>
        <w:tc>
          <w:tcPr>
            <w:tcW w:w="1140" w:type="dxa"/>
            <w:vAlign w:val="bottom"/>
          </w:tcPr>
          <w:p>
            <w:pPr>
              <w:jc w:val="right"/>
              <w:ind w:right="68"/>
              <w:spacing w:after="0"/>
              <w:rPr>
                <w:sz w:val="20"/>
                <w:szCs w:val="20"/>
                <w:color w:val="auto"/>
              </w:rPr>
            </w:pPr>
            <w:r>
              <w:rPr>
                <w:rFonts w:ascii="Arial" w:cs="Arial" w:eastAsia="Arial" w:hAnsi="Arial"/>
                <w:sz w:val="14"/>
                <w:szCs w:val="14"/>
                <w:color w:val="auto"/>
              </w:rPr>
              <w:t>325</w:t>
            </w:r>
          </w:p>
        </w:tc>
        <w:tc>
          <w:tcPr>
            <w:tcW w:w="0" w:type="dxa"/>
            <w:vAlign w:val="bottom"/>
          </w:tcPr>
          <w:p>
            <w:pPr>
              <w:spacing w:after="0"/>
              <w:rPr>
                <w:sz w:val="1"/>
                <w:szCs w:val="1"/>
                <w:color w:val="auto"/>
              </w:rPr>
            </w:pPr>
          </w:p>
        </w:tc>
      </w:tr>
      <w:tr>
        <w:trPr>
          <w:trHeight w:val="216"/>
        </w:trPr>
        <w:tc>
          <w:tcPr>
            <w:tcW w:w="3040" w:type="dxa"/>
            <w:vAlign w:val="bottom"/>
          </w:tcPr>
          <w:p>
            <w:pPr>
              <w:ind w:left="200"/>
              <w:spacing w:after="0"/>
              <w:rPr>
                <w:sz w:val="20"/>
                <w:szCs w:val="20"/>
                <w:color w:val="auto"/>
              </w:rPr>
            </w:pPr>
            <w:r>
              <w:rPr>
                <w:rFonts w:ascii="Arial" w:cs="Arial" w:eastAsia="Arial" w:hAnsi="Arial"/>
                <w:sz w:val="14"/>
                <w:szCs w:val="14"/>
                <w:color w:val="auto"/>
              </w:rPr>
              <w:t>Sunrise Power Co. LLC</w:t>
            </w:r>
          </w:p>
        </w:tc>
        <w:tc>
          <w:tcPr>
            <w:tcW w:w="1720" w:type="dxa"/>
            <w:vAlign w:val="bottom"/>
          </w:tcPr>
          <w:p>
            <w:pPr>
              <w:ind w:left="220"/>
              <w:spacing w:after="0"/>
              <w:rPr>
                <w:sz w:val="20"/>
                <w:szCs w:val="20"/>
                <w:color w:val="auto"/>
              </w:rPr>
            </w:pPr>
            <w:r>
              <w:rPr>
                <w:rFonts w:ascii="Arial" w:cs="Arial" w:eastAsia="Arial" w:hAnsi="Arial"/>
                <w:sz w:val="14"/>
                <w:szCs w:val="14"/>
                <w:color w:val="auto"/>
              </w:rPr>
              <w:t>Natural gas</w:t>
            </w:r>
          </w:p>
        </w:tc>
        <w:tc>
          <w:tcPr>
            <w:tcW w:w="1420" w:type="dxa"/>
            <w:vAlign w:val="bottom"/>
          </w:tcPr>
          <w:p>
            <w:pPr>
              <w:ind w:left="140"/>
              <w:spacing w:after="0"/>
              <w:rPr>
                <w:sz w:val="20"/>
                <w:szCs w:val="20"/>
                <w:color w:val="auto"/>
              </w:rPr>
            </w:pPr>
            <w:r>
              <w:rPr>
                <w:rFonts w:ascii="Arial" w:cs="Arial" w:eastAsia="Arial" w:hAnsi="Arial"/>
                <w:sz w:val="14"/>
                <w:szCs w:val="14"/>
                <w:color w:val="auto"/>
              </w:rPr>
              <w:t>2012</w:t>
            </w:r>
          </w:p>
        </w:tc>
        <w:tc>
          <w:tcPr>
            <w:tcW w:w="120" w:type="dxa"/>
            <w:vAlign w:val="bottom"/>
          </w:tcPr>
          <w:p>
            <w:pPr>
              <w:spacing w:after="0"/>
              <w:rPr>
                <w:sz w:val="18"/>
                <w:szCs w:val="18"/>
                <w:color w:val="auto"/>
              </w:rPr>
            </w:pPr>
          </w:p>
        </w:tc>
        <w:tc>
          <w:tcPr>
            <w:tcW w:w="1140" w:type="dxa"/>
            <w:vAlign w:val="bottom"/>
          </w:tcPr>
          <w:p>
            <w:pPr>
              <w:jc w:val="right"/>
              <w:ind w:right="68"/>
              <w:spacing w:after="0"/>
              <w:rPr>
                <w:sz w:val="20"/>
                <w:szCs w:val="20"/>
                <w:color w:val="auto"/>
              </w:rPr>
            </w:pPr>
            <w:r>
              <w:rPr>
                <w:rFonts w:ascii="Arial" w:cs="Arial" w:eastAsia="Arial" w:hAnsi="Arial"/>
                <w:sz w:val="14"/>
                <w:szCs w:val="14"/>
                <w:color w:val="auto"/>
              </w:rPr>
              <w:t>570</w:t>
            </w:r>
          </w:p>
        </w:tc>
        <w:tc>
          <w:tcPr>
            <w:tcW w:w="0" w:type="dxa"/>
            <w:vAlign w:val="bottom"/>
          </w:tcPr>
          <w:p>
            <w:pPr>
              <w:spacing w:after="0"/>
              <w:rPr>
                <w:sz w:val="1"/>
                <w:szCs w:val="1"/>
                <w:color w:val="auto"/>
              </w:rPr>
            </w:pPr>
          </w:p>
        </w:tc>
      </w:tr>
      <w:tr>
        <w:trPr>
          <w:trHeight w:val="222"/>
        </w:trPr>
        <w:tc>
          <w:tcPr>
            <w:tcW w:w="3040" w:type="dxa"/>
            <w:vAlign w:val="bottom"/>
          </w:tcPr>
          <w:p>
            <w:pPr>
              <w:ind w:left="200"/>
              <w:spacing w:after="0"/>
              <w:rPr>
                <w:sz w:val="20"/>
                <w:szCs w:val="20"/>
                <w:color w:val="auto"/>
              </w:rPr>
            </w:pPr>
            <w:r>
              <w:rPr>
                <w:rFonts w:ascii="Arial" w:cs="Arial" w:eastAsia="Arial" w:hAnsi="Arial"/>
                <w:sz w:val="14"/>
                <w:szCs w:val="14"/>
                <w:color w:val="auto"/>
              </w:rPr>
              <w:t>Other (5 contracts)</w:t>
            </w:r>
          </w:p>
        </w:tc>
        <w:tc>
          <w:tcPr>
            <w:tcW w:w="1720" w:type="dxa"/>
            <w:vAlign w:val="bottom"/>
          </w:tcPr>
          <w:p>
            <w:pPr>
              <w:ind w:left="220"/>
              <w:spacing w:after="0"/>
              <w:rPr>
                <w:sz w:val="20"/>
                <w:szCs w:val="20"/>
                <w:color w:val="auto"/>
              </w:rPr>
            </w:pPr>
            <w:r>
              <w:rPr>
                <w:rFonts w:ascii="Arial" w:cs="Arial" w:eastAsia="Arial" w:hAnsi="Arial"/>
                <w:sz w:val="14"/>
                <w:szCs w:val="14"/>
                <w:color w:val="auto"/>
              </w:rPr>
              <w:t>Natural gas/Wind</w:t>
            </w:r>
          </w:p>
        </w:tc>
        <w:tc>
          <w:tcPr>
            <w:tcW w:w="1540" w:type="dxa"/>
            <w:vAlign w:val="bottom"/>
            <w:gridSpan w:val="2"/>
          </w:tcPr>
          <w:p>
            <w:pPr>
              <w:ind w:left="140"/>
              <w:spacing w:after="0"/>
              <w:rPr>
                <w:sz w:val="20"/>
                <w:szCs w:val="20"/>
                <w:color w:val="auto"/>
              </w:rPr>
            </w:pPr>
            <w:r>
              <w:rPr>
                <w:rFonts w:ascii="Arial" w:cs="Arial" w:eastAsia="Arial" w:hAnsi="Arial"/>
                <w:sz w:val="14"/>
                <w:szCs w:val="14"/>
                <w:color w:val="auto"/>
              </w:rPr>
              <w:t>2011 to 2013</w:t>
            </w:r>
          </w:p>
        </w:tc>
        <w:tc>
          <w:tcPr>
            <w:tcW w:w="11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259</w:t>
            </w:r>
          </w:p>
        </w:tc>
        <w:tc>
          <w:tcPr>
            <w:tcW w:w="0" w:type="dxa"/>
            <w:vAlign w:val="bottom"/>
          </w:tcPr>
          <w:p>
            <w:pPr>
              <w:spacing w:after="0"/>
              <w:rPr>
                <w:sz w:val="1"/>
                <w:szCs w:val="1"/>
                <w:color w:val="auto"/>
              </w:rPr>
            </w:pPr>
          </w:p>
        </w:tc>
      </w:tr>
      <w:tr>
        <w:trPr>
          <w:trHeight w:val="208"/>
        </w:trPr>
        <w:tc>
          <w:tcPr>
            <w:tcW w:w="3040" w:type="dxa"/>
            <w:vAlign w:val="bottom"/>
          </w:tcPr>
          <w:p>
            <w:pPr>
              <w:ind w:left="440"/>
              <w:spacing w:after="0"/>
              <w:rPr>
                <w:sz w:val="20"/>
                <w:szCs w:val="20"/>
                <w:color w:val="auto"/>
              </w:rPr>
            </w:pPr>
            <w:r>
              <w:rPr>
                <w:rFonts w:ascii="Arial" w:cs="Arial" w:eastAsia="Arial" w:hAnsi="Arial"/>
                <w:sz w:val="14"/>
                <w:szCs w:val="14"/>
                <w:color w:val="auto"/>
              </w:rPr>
              <w:t>Total</w:t>
            </w:r>
          </w:p>
        </w:tc>
        <w:tc>
          <w:tcPr>
            <w:tcW w:w="17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1,154</w:t>
            </w:r>
          </w:p>
        </w:tc>
        <w:tc>
          <w:tcPr>
            <w:tcW w:w="0" w:type="dxa"/>
            <w:vAlign w:val="bottom"/>
          </w:tcPr>
          <w:p>
            <w:pPr>
              <w:spacing w:after="0"/>
              <w:rPr>
                <w:sz w:val="1"/>
                <w:szCs w:val="1"/>
                <w:color w:val="auto"/>
              </w:rPr>
            </w:pPr>
          </w:p>
        </w:tc>
      </w:tr>
      <w:tr>
        <w:trPr>
          <w:trHeight w:val="174"/>
        </w:trPr>
        <w:tc>
          <w:tcPr>
            <w:tcW w:w="3040" w:type="dxa"/>
            <w:vAlign w:val="bottom"/>
          </w:tcPr>
          <w:p>
            <w:pPr>
              <w:spacing w:after="0"/>
              <w:rPr>
                <w:sz w:val="20"/>
                <w:szCs w:val="20"/>
                <w:color w:val="auto"/>
              </w:rPr>
            </w:pPr>
            <w:r>
              <w:rPr>
                <w:rFonts w:ascii="Arial" w:cs="Arial" w:eastAsia="Arial" w:hAnsi="Arial"/>
                <w:sz w:val="14"/>
                <w:szCs w:val="14"/>
                <w:color w:val="auto"/>
              </w:rPr>
              <w:t>Other contracts with Qualifying Facilities*</w:t>
            </w:r>
          </w:p>
        </w:tc>
        <w:tc>
          <w:tcPr>
            <w:tcW w:w="17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3040" w:type="dxa"/>
            <w:vAlign w:val="bottom"/>
          </w:tcPr>
          <w:p>
            <w:pPr>
              <w:spacing w:after="0"/>
              <w:rPr>
                <w:sz w:val="20"/>
                <w:szCs w:val="20"/>
                <w:color w:val="auto"/>
              </w:rPr>
            </w:pPr>
            <w:r>
              <w:rPr>
                <w:rFonts w:ascii="Arial" w:cs="Arial" w:eastAsia="Arial" w:hAnsi="Arial"/>
                <w:sz w:val="14"/>
                <w:szCs w:val="14"/>
                <w:color w:val="auto"/>
              </w:rPr>
              <w:t>(QFs):</w:t>
            </w:r>
          </w:p>
        </w:tc>
        <w:tc>
          <w:tcPr>
            <w:tcW w:w="17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040" w:type="dxa"/>
            <w:vAlign w:val="bottom"/>
          </w:tcPr>
          <w:p>
            <w:pPr>
              <w:ind w:left="200"/>
              <w:spacing w:after="0"/>
              <w:rPr>
                <w:sz w:val="20"/>
                <w:szCs w:val="20"/>
                <w:color w:val="auto"/>
              </w:rPr>
            </w:pPr>
            <w:r>
              <w:rPr>
                <w:rFonts w:ascii="Arial" w:cs="Arial" w:eastAsia="Arial" w:hAnsi="Arial"/>
                <w:sz w:val="14"/>
                <w:szCs w:val="14"/>
                <w:color w:val="auto"/>
              </w:rPr>
              <w:t>Applied Energy Inc.</w:t>
            </w:r>
          </w:p>
        </w:tc>
        <w:tc>
          <w:tcPr>
            <w:tcW w:w="1720" w:type="dxa"/>
            <w:vAlign w:val="bottom"/>
          </w:tcPr>
          <w:p>
            <w:pPr>
              <w:ind w:left="220"/>
              <w:spacing w:after="0"/>
              <w:rPr>
                <w:sz w:val="20"/>
                <w:szCs w:val="20"/>
                <w:color w:val="auto"/>
              </w:rPr>
            </w:pPr>
            <w:r>
              <w:rPr>
                <w:rFonts w:ascii="Arial" w:cs="Arial" w:eastAsia="Arial" w:hAnsi="Arial"/>
                <w:sz w:val="14"/>
                <w:szCs w:val="14"/>
                <w:color w:val="auto"/>
              </w:rPr>
              <w:t>Cogeneration</w:t>
            </w:r>
          </w:p>
        </w:tc>
        <w:tc>
          <w:tcPr>
            <w:tcW w:w="1420" w:type="dxa"/>
            <w:vAlign w:val="bottom"/>
          </w:tcPr>
          <w:p>
            <w:pPr>
              <w:ind w:left="140"/>
              <w:spacing w:after="0"/>
              <w:rPr>
                <w:sz w:val="20"/>
                <w:szCs w:val="20"/>
                <w:color w:val="auto"/>
              </w:rPr>
            </w:pPr>
            <w:r>
              <w:rPr>
                <w:rFonts w:ascii="Arial" w:cs="Arial" w:eastAsia="Arial" w:hAnsi="Arial"/>
                <w:sz w:val="14"/>
                <w:szCs w:val="14"/>
                <w:color w:val="auto"/>
              </w:rPr>
              <w:t>2019</w:t>
            </w:r>
          </w:p>
        </w:tc>
        <w:tc>
          <w:tcPr>
            <w:tcW w:w="120" w:type="dxa"/>
            <w:vAlign w:val="bottom"/>
          </w:tcPr>
          <w:p>
            <w:pPr>
              <w:spacing w:after="0"/>
              <w:rPr>
                <w:sz w:val="18"/>
                <w:szCs w:val="18"/>
                <w:color w:val="auto"/>
              </w:rPr>
            </w:pPr>
          </w:p>
        </w:tc>
        <w:tc>
          <w:tcPr>
            <w:tcW w:w="1140" w:type="dxa"/>
            <w:vAlign w:val="bottom"/>
          </w:tcPr>
          <w:p>
            <w:pPr>
              <w:jc w:val="right"/>
              <w:ind w:right="68"/>
              <w:spacing w:after="0"/>
              <w:rPr>
                <w:sz w:val="20"/>
                <w:szCs w:val="20"/>
                <w:color w:val="auto"/>
              </w:rPr>
            </w:pPr>
            <w:r>
              <w:rPr>
                <w:rFonts w:ascii="Arial" w:cs="Arial" w:eastAsia="Arial" w:hAnsi="Arial"/>
                <w:sz w:val="14"/>
                <w:szCs w:val="14"/>
                <w:color w:val="auto"/>
              </w:rPr>
              <w:t>107</w:t>
            </w:r>
          </w:p>
        </w:tc>
        <w:tc>
          <w:tcPr>
            <w:tcW w:w="0" w:type="dxa"/>
            <w:vAlign w:val="bottom"/>
          </w:tcPr>
          <w:p>
            <w:pPr>
              <w:spacing w:after="0"/>
              <w:rPr>
                <w:sz w:val="1"/>
                <w:szCs w:val="1"/>
                <w:color w:val="auto"/>
              </w:rPr>
            </w:pPr>
          </w:p>
        </w:tc>
      </w:tr>
      <w:tr>
        <w:trPr>
          <w:trHeight w:val="216"/>
        </w:trPr>
        <w:tc>
          <w:tcPr>
            <w:tcW w:w="3040" w:type="dxa"/>
            <w:vAlign w:val="bottom"/>
          </w:tcPr>
          <w:p>
            <w:pPr>
              <w:ind w:left="200"/>
              <w:spacing w:after="0"/>
              <w:rPr>
                <w:sz w:val="20"/>
                <w:szCs w:val="20"/>
                <w:color w:val="auto"/>
              </w:rPr>
            </w:pPr>
            <w:r>
              <w:rPr>
                <w:rFonts w:ascii="Arial" w:cs="Arial" w:eastAsia="Arial" w:hAnsi="Arial"/>
                <w:sz w:val="14"/>
                <w:szCs w:val="14"/>
                <w:color w:val="auto"/>
              </w:rPr>
              <w:t>Yuma Cogeneration</w:t>
            </w:r>
          </w:p>
        </w:tc>
        <w:tc>
          <w:tcPr>
            <w:tcW w:w="1720" w:type="dxa"/>
            <w:vAlign w:val="bottom"/>
          </w:tcPr>
          <w:p>
            <w:pPr>
              <w:ind w:left="220"/>
              <w:spacing w:after="0"/>
              <w:rPr>
                <w:sz w:val="20"/>
                <w:szCs w:val="20"/>
                <w:color w:val="auto"/>
              </w:rPr>
            </w:pPr>
            <w:r>
              <w:rPr>
                <w:rFonts w:ascii="Arial" w:cs="Arial" w:eastAsia="Arial" w:hAnsi="Arial"/>
                <w:sz w:val="14"/>
                <w:szCs w:val="14"/>
                <w:color w:val="auto"/>
              </w:rPr>
              <w:t>Cogeneration</w:t>
            </w:r>
          </w:p>
        </w:tc>
        <w:tc>
          <w:tcPr>
            <w:tcW w:w="1420" w:type="dxa"/>
            <w:vAlign w:val="bottom"/>
          </w:tcPr>
          <w:p>
            <w:pPr>
              <w:ind w:left="140"/>
              <w:spacing w:after="0"/>
              <w:rPr>
                <w:sz w:val="20"/>
                <w:szCs w:val="20"/>
                <w:color w:val="auto"/>
              </w:rPr>
            </w:pPr>
            <w:r>
              <w:rPr>
                <w:rFonts w:ascii="Arial" w:cs="Arial" w:eastAsia="Arial" w:hAnsi="Arial"/>
                <w:sz w:val="14"/>
                <w:szCs w:val="14"/>
                <w:color w:val="auto"/>
              </w:rPr>
              <w:t>2024</w:t>
            </w:r>
          </w:p>
        </w:tc>
        <w:tc>
          <w:tcPr>
            <w:tcW w:w="120" w:type="dxa"/>
            <w:vAlign w:val="bottom"/>
          </w:tcPr>
          <w:p>
            <w:pPr>
              <w:spacing w:after="0"/>
              <w:rPr>
                <w:sz w:val="18"/>
                <w:szCs w:val="18"/>
                <w:color w:val="auto"/>
              </w:rPr>
            </w:pPr>
          </w:p>
        </w:tc>
        <w:tc>
          <w:tcPr>
            <w:tcW w:w="1140" w:type="dxa"/>
            <w:vAlign w:val="bottom"/>
          </w:tcPr>
          <w:p>
            <w:pPr>
              <w:jc w:val="right"/>
              <w:ind w:right="68"/>
              <w:spacing w:after="0"/>
              <w:rPr>
                <w:sz w:val="20"/>
                <w:szCs w:val="20"/>
                <w:color w:val="auto"/>
              </w:rPr>
            </w:pPr>
            <w:r>
              <w:rPr>
                <w:rFonts w:ascii="Arial" w:cs="Arial" w:eastAsia="Arial" w:hAnsi="Arial"/>
                <w:sz w:val="14"/>
                <w:szCs w:val="14"/>
                <w:color w:val="auto"/>
              </w:rPr>
              <w:t>53</w:t>
            </w:r>
          </w:p>
        </w:tc>
        <w:tc>
          <w:tcPr>
            <w:tcW w:w="0" w:type="dxa"/>
            <w:vAlign w:val="bottom"/>
          </w:tcPr>
          <w:p>
            <w:pPr>
              <w:spacing w:after="0"/>
              <w:rPr>
                <w:sz w:val="1"/>
                <w:szCs w:val="1"/>
                <w:color w:val="auto"/>
              </w:rPr>
            </w:pPr>
          </w:p>
        </w:tc>
      </w:tr>
      <w:tr>
        <w:trPr>
          <w:trHeight w:val="216"/>
        </w:trPr>
        <w:tc>
          <w:tcPr>
            <w:tcW w:w="3040" w:type="dxa"/>
            <w:vAlign w:val="bottom"/>
          </w:tcPr>
          <w:p>
            <w:pPr>
              <w:ind w:left="200"/>
              <w:spacing w:after="0"/>
              <w:rPr>
                <w:sz w:val="20"/>
                <w:szCs w:val="20"/>
                <w:color w:val="auto"/>
              </w:rPr>
            </w:pPr>
            <w:r>
              <w:rPr>
                <w:rFonts w:ascii="Arial" w:cs="Arial" w:eastAsia="Arial" w:hAnsi="Arial"/>
                <w:sz w:val="14"/>
                <w:szCs w:val="14"/>
                <w:color w:val="auto"/>
              </w:rPr>
              <w:t>Goal Line Limited Partnership</w:t>
            </w:r>
          </w:p>
        </w:tc>
        <w:tc>
          <w:tcPr>
            <w:tcW w:w="1720" w:type="dxa"/>
            <w:vAlign w:val="bottom"/>
          </w:tcPr>
          <w:p>
            <w:pPr>
              <w:ind w:left="220"/>
              <w:spacing w:after="0"/>
              <w:rPr>
                <w:sz w:val="20"/>
                <w:szCs w:val="20"/>
                <w:color w:val="auto"/>
              </w:rPr>
            </w:pPr>
            <w:r>
              <w:rPr>
                <w:rFonts w:ascii="Arial" w:cs="Arial" w:eastAsia="Arial" w:hAnsi="Arial"/>
                <w:sz w:val="14"/>
                <w:szCs w:val="14"/>
                <w:color w:val="auto"/>
              </w:rPr>
              <w:t>Cogeneration</w:t>
            </w:r>
          </w:p>
        </w:tc>
        <w:tc>
          <w:tcPr>
            <w:tcW w:w="1420" w:type="dxa"/>
            <w:vAlign w:val="bottom"/>
          </w:tcPr>
          <w:p>
            <w:pPr>
              <w:ind w:left="140"/>
              <w:spacing w:after="0"/>
              <w:rPr>
                <w:sz w:val="20"/>
                <w:szCs w:val="20"/>
                <w:color w:val="auto"/>
              </w:rPr>
            </w:pPr>
            <w:r>
              <w:rPr>
                <w:rFonts w:ascii="Arial" w:cs="Arial" w:eastAsia="Arial" w:hAnsi="Arial"/>
                <w:sz w:val="14"/>
                <w:szCs w:val="14"/>
                <w:color w:val="auto"/>
              </w:rPr>
              <w:t>2025</w:t>
            </w:r>
          </w:p>
        </w:tc>
        <w:tc>
          <w:tcPr>
            <w:tcW w:w="120" w:type="dxa"/>
            <w:vAlign w:val="bottom"/>
          </w:tcPr>
          <w:p>
            <w:pPr>
              <w:spacing w:after="0"/>
              <w:rPr>
                <w:sz w:val="18"/>
                <w:szCs w:val="18"/>
                <w:color w:val="auto"/>
              </w:rPr>
            </w:pPr>
          </w:p>
        </w:tc>
        <w:tc>
          <w:tcPr>
            <w:tcW w:w="1140" w:type="dxa"/>
            <w:vAlign w:val="bottom"/>
          </w:tcPr>
          <w:p>
            <w:pPr>
              <w:jc w:val="right"/>
              <w:ind w:right="68"/>
              <w:spacing w:after="0"/>
              <w:rPr>
                <w:sz w:val="20"/>
                <w:szCs w:val="20"/>
                <w:color w:val="auto"/>
              </w:rPr>
            </w:pPr>
            <w:r>
              <w:rPr>
                <w:rFonts w:ascii="Arial" w:cs="Arial" w:eastAsia="Arial" w:hAnsi="Arial"/>
                <w:sz w:val="14"/>
                <w:szCs w:val="14"/>
                <w:color w:val="auto"/>
              </w:rPr>
              <w:t>50</w:t>
            </w:r>
          </w:p>
        </w:tc>
        <w:tc>
          <w:tcPr>
            <w:tcW w:w="0" w:type="dxa"/>
            <w:vAlign w:val="bottom"/>
          </w:tcPr>
          <w:p>
            <w:pPr>
              <w:spacing w:after="0"/>
              <w:rPr>
                <w:sz w:val="1"/>
                <w:szCs w:val="1"/>
                <w:color w:val="auto"/>
              </w:rPr>
            </w:pPr>
          </w:p>
        </w:tc>
      </w:tr>
      <w:tr>
        <w:trPr>
          <w:trHeight w:val="222"/>
        </w:trPr>
        <w:tc>
          <w:tcPr>
            <w:tcW w:w="3040" w:type="dxa"/>
            <w:vAlign w:val="bottom"/>
          </w:tcPr>
          <w:p>
            <w:pPr>
              <w:ind w:left="200"/>
              <w:spacing w:after="0"/>
              <w:rPr>
                <w:sz w:val="20"/>
                <w:szCs w:val="20"/>
                <w:color w:val="auto"/>
              </w:rPr>
            </w:pPr>
            <w:r>
              <w:rPr>
                <w:rFonts w:ascii="Arial" w:cs="Arial" w:eastAsia="Arial" w:hAnsi="Arial"/>
                <w:sz w:val="14"/>
                <w:szCs w:val="14"/>
                <w:color w:val="auto"/>
              </w:rPr>
              <w:t>Other (19 contracts)</w:t>
            </w:r>
          </w:p>
        </w:tc>
        <w:tc>
          <w:tcPr>
            <w:tcW w:w="1720" w:type="dxa"/>
            <w:vAlign w:val="bottom"/>
          </w:tcPr>
          <w:p>
            <w:pPr>
              <w:ind w:left="220"/>
              <w:spacing w:after="0"/>
              <w:rPr>
                <w:sz w:val="20"/>
                <w:szCs w:val="20"/>
                <w:color w:val="auto"/>
              </w:rPr>
            </w:pPr>
            <w:r>
              <w:rPr>
                <w:rFonts w:ascii="Arial" w:cs="Arial" w:eastAsia="Arial" w:hAnsi="Arial"/>
                <w:sz w:val="14"/>
                <w:szCs w:val="14"/>
                <w:color w:val="auto"/>
              </w:rPr>
              <w:t>Cogeneration</w:t>
            </w:r>
          </w:p>
        </w:tc>
        <w:tc>
          <w:tcPr>
            <w:tcW w:w="1540" w:type="dxa"/>
            <w:vAlign w:val="bottom"/>
            <w:gridSpan w:val="2"/>
          </w:tcPr>
          <w:p>
            <w:pPr>
              <w:ind w:left="140"/>
              <w:spacing w:after="0"/>
              <w:rPr>
                <w:sz w:val="20"/>
                <w:szCs w:val="20"/>
                <w:color w:val="auto"/>
              </w:rPr>
            </w:pPr>
            <w:r>
              <w:rPr>
                <w:rFonts w:ascii="Arial" w:cs="Arial" w:eastAsia="Arial" w:hAnsi="Arial"/>
                <w:sz w:val="14"/>
                <w:szCs w:val="14"/>
                <w:color w:val="auto"/>
              </w:rPr>
              <w:t>2009 and thereafter</w:t>
            </w:r>
          </w:p>
        </w:tc>
        <w:tc>
          <w:tcPr>
            <w:tcW w:w="11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53</w:t>
            </w:r>
          </w:p>
        </w:tc>
        <w:tc>
          <w:tcPr>
            <w:tcW w:w="0" w:type="dxa"/>
            <w:vAlign w:val="bottom"/>
          </w:tcPr>
          <w:p>
            <w:pPr>
              <w:spacing w:after="0"/>
              <w:rPr>
                <w:sz w:val="1"/>
                <w:szCs w:val="1"/>
                <w:color w:val="auto"/>
              </w:rPr>
            </w:pPr>
          </w:p>
        </w:tc>
      </w:tr>
      <w:tr>
        <w:trPr>
          <w:trHeight w:val="208"/>
        </w:trPr>
        <w:tc>
          <w:tcPr>
            <w:tcW w:w="3040" w:type="dxa"/>
            <w:vAlign w:val="bottom"/>
          </w:tcPr>
          <w:p>
            <w:pPr>
              <w:ind w:left="440"/>
              <w:spacing w:after="0"/>
              <w:rPr>
                <w:sz w:val="20"/>
                <w:szCs w:val="20"/>
                <w:color w:val="auto"/>
              </w:rPr>
            </w:pPr>
            <w:r>
              <w:rPr>
                <w:rFonts w:ascii="Arial" w:cs="Arial" w:eastAsia="Arial" w:hAnsi="Arial"/>
                <w:sz w:val="14"/>
                <w:szCs w:val="14"/>
                <w:color w:val="auto"/>
              </w:rPr>
              <w:t>Total</w:t>
            </w:r>
          </w:p>
        </w:tc>
        <w:tc>
          <w:tcPr>
            <w:tcW w:w="17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263</w:t>
            </w:r>
          </w:p>
        </w:tc>
        <w:tc>
          <w:tcPr>
            <w:tcW w:w="0" w:type="dxa"/>
            <w:vAlign w:val="bottom"/>
          </w:tcPr>
          <w:p>
            <w:pPr>
              <w:spacing w:after="0"/>
              <w:rPr>
                <w:sz w:val="1"/>
                <w:szCs w:val="1"/>
                <w:color w:val="auto"/>
              </w:rPr>
            </w:pPr>
          </w:p>
        </w:tc>
      </w:tr>
      <w:tr>
        <w:trPr>
          <w:trHeight w:val="202"/>
        </w:trPr>
        <w:tc>
          <w:tcPr>
            <w:tcW w:w="3040" w:type="dxa"/>
            <w:vAlign w:val="bottom"/>
          </w:tcPr>
          <w:p>
            <w:pPr>
              <w:spacing w:after="0"/>
              <w:rPr>
                <w:sz w:val="20"/>
                <w:szCs w:val="20"/>
                <w:color w:val="auto"/>
              </w:rPr>
            </w:pPr>
            <w:r>
              <w:rPr>
                <w:rFonts w:ascii="Arial" w:cs="Arial" w:eastAsia="Arial" w:hAnsi="Arial"/>
                <w:sz w:val="14"/>
                <w:szCs w:val="14"/>
                <w:color w:val="auto"/>
              </w:rPr>
              <w:t>Other contracts with renewable sources:</w:t>
            </w:r>
          </w:p>
        </w:tc>
        <w:tc>
          <w:tcPr>
            <w:tcW w:w="17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040" w:type="dxa"/>
            <w:vAlign w:val="bottom"/>
          </w:tcPr>
          <w:p>
            <w:pPr>
              <w:ind w:left="200"/>
              <w:spacing w:after="0"/>
              <w:rPr>
                <w:sz w:val="20"/>
                <w:szCs w:val="20"/>
                <w:color w:val="auto"/>
              </w:rPr>
            </w:pPr>
            <w:r>
              <w:rPr>
                <w:rFonts w:ascii="Arial" w:cs="Arial" w:eastAsia="Arial" w:hAnsi="Arial"/>
                <w:sz w:val="14"/>
                <w:szCs w:val="14"/>
                <w:color w:val="auto"/>
              </w:rPr>
              <w:t>Oasis Power Partners</w:t>
            </w:r>
          </w:p>
        </w:tc>
        <w:tc>
          <w:tcPr>
            <w:tcW w:w="1720" w:type="dxa"/>
            <w:vAlign w:val="bottom"/>
          </w:tcPr>
          <w:p>
            <w:pPr>
              <w:ind w:left="220"/>
              <w:spacing w:after="0"/>
              <w:rPr>
                <w:sz w:val="20"/>
                <w:szCs w:val="20"/>
                <w:color w:val="auto"/>
              </w:rPr>
            </w:pPr>
            <w:r>
              <w:rPr>
                <w:rFonts w:ascii="Arial" w:cs="Arial" w:eastAsia="Arial" w:hAnsi="Arial"/>
                <w:sz w:val="14"/>
                <w:szCs w:val="14"/>
                <w:color w:val="auto"/>
              </w:rPr>
              <w:t>Wind</w:t>
            </w:r>
          </w:p>
        </w:tc>
        <w:tc>
          <w:tcPr>
            <w:tcW w:w="1420" w:type="dxa"/>
            <w:vAlign w:val="bottom"/>
          </w:tcPr>
          <w:p>
            <w:pPr>
              <w:ind w:left="140"/>
              <w:spacing w:after="0"/>
              <w:rPr>
                <w:sz w:val="20"/>
                <w:szCs w:val="20"/>
                <w:color w:val="auto"/>
              </w:rPr>
            </w:pPr>
            <w:r>
              <w:rPr>
                <w:rFonts w:ascii="Arial" w:cs="Arial" w:eastAsia="Arial" w:hAnsi="Arial"/>
                <w:sz w:val="14"/>
                <w:szCs w:val="14"/>
                <w:color w:val="auto"/>
              </w:rPr>
              <w:t>2019</w:t>
            </w:r>
          </w:p>
        </w:tc>
        <w:tc>
          <w:tcPr>
            <w:tcW w:w="120" w:type="dxa"/>
            <w:vAlign w:val="bottom"/>
          </w:tcPr>
          <w:p>
            <w:pPr>
              <w:spacing w:after="0"/>
              <w:rPr>
                <w:sz w:val="18"/>
                <w:szCs w:val="18"/>
                <w:color w:val="auto"/>
              </w:rPr>
            </w:pPr>
          </w:p>
        </w:tc>
        <w:tc>
          <w:tcPr>
            <w:tcW w:w="1140" w:type="dxa"/>
            <w:vAlign w:val="bottom"/>
          </w:tcPr>
          <w:p>
            <w:pPr>
              <w:jc w:val="right"/>
              <w:ind w:right="68"/>
              <w:spacing w:after="0"/>
              <w:rPr>
                <w:sz w:val="20"/>
                <w:szCs w:val="20"/>
                <w:color w:val="auto"/>
              </w:rPr>
            </w:pPr>
            <w:r>
              <w:rPr>
                <w:rFonts w:ascii="Arial" w:cs="Arial" w:eastAsia="Arial" w:hAnsi="Arial"/>
                <w:sz w:val="14"/>
                <w:szCs w:val="14"/>
                <w:color w:val="auto"/>
              </w:rPr>
              <w:t>60</w:t>
            </w:r>
          </w:p>
        </w:tc>
        <w:tc>
          <w:tcPr>
            <w:tcW w:w="0" w:type="dxa"/>
            <w:vAlign w:val="bottom"/>
          </w:tcPr>
          <w:p>
            <w:pPr>
              <w:spacing w:after="0"/>
              <w:rPr>
                <w:sz w:val="1"/>
                <w:szCs w:val="1"/>
                <w:color w:val="auto"/>
              </w:rPr>
            </w:pPr>
          </w:p>
        </w:tc>
      </w:tr>
      <w:tr>
        <w:trPr>
          <w:trHeight w:val="216"/>
        </w:trPr>
        <w:tc>
          <w:tcPr>
            <w:tcW w:w="3040" w:type="dxa"/>
            <w:vAlign w:val="bottom"/>
          </w:tcPr>
          <w:p>
            <w:pPr>
              <w:ind w:left="200"/>
              <w:spacing w:after="0"/>
              <w:rPr>
                <w:sz w:val="20"/>
                <w:szCs w:val="20"/>
                <w:color w:val="auto"/>
              </w:rPr>
            </w:pPr>
            <w:r>
              <w:rPr>
                <w:rFonts w:ascii="Arial" w:cs="Arial" w:eastAsia="Arial" w:hAnsi="Arial"/>
                <w:sz w:val="14"/>
                <w:szCs w:val="14"/>
                <w:color w:val="auto"/>
              </w:rPr>
              <w:t>Kumeyaay</w:t>
            </w:r>
          </w:p>
        </w:tc>
        <w:tc>
          <w:tcPr>
            <w:tcW w:w="1720" w:type="dxa"/>
            <w:vAlign w:val="bottom"/>
          </w:tcPr>
          <w:p>
            <w:pPr>
              <w:ind w:left="220"/>
              <w:spacing w:after="0"/>
              <w:rPr>
                <w:sz w:val="20"/>
                <w:szCs w:val="20"/>
                <w:color w:val="auto"/>
              </w:rPr>
            </w:pPr>
            <w:r>
              <w:rPr>
                <w:rFonts w:ascii="Arial" w:cs="Arial" w:eastAsia="Arial" w:hAnsi="Arial"/>
                <w:sz w:val="14"/>
                <w:szCs w:val="14"/>
                <w:color w:val="auto"/>
              </w:rPr>
              <w:t>Wind</w:t>
            </w:r>
          </w:p>
        </w:tc>
        <w:tc>
          <w:tcPr>
            <w:tcW w:w="1420" w:type="dxa"/>
            <w:vAlign w:val="bottom"/>
          </w:tcPr>
          <w:p>
            <w:pPr>
              <w:ind w:left="140"/>
              <w:spacing w:after="0"/>
              <w:rPr>
                <w:sz w:val="20"/>
                <w:szCs w:val="20"/>
                <w:color w:val="auto"/>
              </w:rPr>
            </w:pPr>
            <w:r>
              <w:rPr>
                <w:rFonts w:ascii="Arial" w:cs="Arial" w:eastAsia="Arial" w:hAnsi="Arial"/>
                <w:sz w:val="14"/>
                <w:szCs w:val="14"/>
                <w:color w:val="auto"/>
              </w:rPr>
              <w:t>2025</w:t>
            </w:r>
          </w:p>
        </w:tc>
        <w:tc>
          <w:tcPr>
            <w:tcW w:w="120" w:type="dxa"/>
            <w:vAlign w:val="bottom"/>
          </w:tcPr>
          <w:p>
            <w:pPr>
              <w:spacing w:after="0"/>
              <w:rPr>
                <w:sz w:val="18"/>
                <w:szCs w:val="18"/>
                <w:color w:val="auto"/>
              </w:rPr>
            </w:pPr>
          </w:p>
        </w:tc>
        <w:tc>
          <w:tcPr>
            <w:tcW w:w="1140" w:type="dxa"/>
            <w:vAlign w:val="bottom"/>
          </w:tcPr>
          <w:p>
            <w:pPr>
              <w:jc w:val="right"/>
              <w:ind w:right="68"/>
              <w:spacing w:after="0"/>
              <w:rPr>
                <w:sz w:val="20"/>
                <w:szCs w:val="20"/>
                <w:color w:val="auto"/>
              </w:rPr>
            </w:pPr>
            <w:r>
              <w:rPr>
                <w:rFonts w:ascii="Arial" w:cs="Arial" w:eastAsia="Arial" w:hAnsi="Arial"/>
                <w:sz w:val="14"/>
                <w:szCs w:val="14"/>
                <w:color w:val="auto"/>
              </w:rPr>
              <w:t>50</w:t>
            </w:r>
          </w:p>
        </w:tc>
        <w:tc>
          <w:tcPr>
            <w:tcW w:w="0" w:type="dxa"/>
            <w:vAlign w:val="bottom"/>
          </w:tcPr>
          <w:p>
            <w:pPr>
              <w:spacing w:after="0"/>
              <w:rPr>
                <w:sz w:val="1"/>
                <w:szCs w:val="1"/>
                <w:color w:val="auto"/>
              </w:rPr>
            </w:pPr>
          </w:p>
        </w:tc>
      </w:tr>
      <w:tr>
        <w:trPr>
          <w:trHeight w:val="216"/>
        </w:trPr>
        <w:tc>
          <w:tcPr>
            <w:tcW w:w="3040" w:type="dxa"/>
            <w:vAlign w:val="bottom"/>
          </w:tcPr>
          <w:p>
            <w:pPr>
              <w:ind w:left="200"/>
              <w:spacing w:after="0"/>
              <w:rPr>
                <w:sz w:val="20"/>
                <w:szCs w:val="20"/>
                <w:color w:val="auto"/>
              </w:rPr>
            </w:pPr>
            <w:r>
              <w:rPr>
                <w:rFonts w:ascii="Arial" w:cs="Arial" w:eastAsia="Arial" w:hAnsi="Arial"/>
                <w:sz w:val="14"/>
                <w:szCs w:val="14"/>
                <w:color w:val="auto"/>
              </w:rPr>
              <w:t>Covanta Delano</w:t>
            </w:r>
          </w:p>
        </w:tc>
        <w:tc>
          <w:tcPr>
            <w:tcW w:w="1720" w:type="dxa"/>
            <w:vAlign w:val="bottom"/>
          </w:tcPr>
          <w:p>
            <w:pPr>
              <w:ind w:left="220"/>
              <w:spacing w:after="0"/>
              <w:rPr>
                <w:sz w:val="20"/>
                <w:szCs w:val="20"/>
                <w:color w:val="auto"/>
              </w:rPr>
            </w:pPr>
            <w:r>
              <w:rPr>
                <w:rFonts w:ascii="Arial" w:cs="Arial" w:eastAsia="Arial" w:hAnsi="Arial"/>
                <w:sz w:val="14"/>
                <w:szCs w:val="14"/>
                <w:color w:val="auto"/>
              </w:rPr>
              <w:t>Bio-mass</w:t>
            </w:r>
          </w:p>
        </w:tc>
        <w:tc>
          <w:tcPr>
            <w:tcW w:w="1420" w:type="dxa"/>
            <w:vAlign w:val="bottom"/>
          </w:tcPr>
          <w:p>
            <w:pPr>
              <w:ind w:left="140"/>
              <w:spacing w:after="0"/>
              <w:rPr>
                <w:sz w:val="20"/>
                <w:szCs w:val="20"/>
                <w:color w:val="auto"/>
              </w:rPr>
            </w:pPr>
            <w:r>
              <w:rPr>
                <w:rFonts w:ascii="Arial" w:cs="Arial" w:eastAsia="Arial" w:hAnsi="Arial"/>
                <w:sz w:val="14"/>
                <w:szCs w:val="14"/>
                <w:color w:val="auto"/>
              </w:rPr>
              <w:t>2017</w:t>
            </w:r>
          </w:p>
        </w:tc>
        <w:tc>
          <w:tcPr>
            <w:tcW w:w="120" w:type="dxa"/>
            <w:vAlign w:val="bottom"/>
          </w:tcPr>
          <w:p>
            <w:pPr>
              <w:spacing w:after="0"/>
              <w:rPr>
                <w:sz w:val="18"/>
                <w:szCs w:val="18"/>
                <w:color w:val="auto"/>
              </w:rPr>
            </w:pPr>
          </w:p>
        </w:tc>
        <w:tc>
          <w:tcPr>
            <w:tcW w:w="1140" w:type="dxa"/>
            <w:vAlign w:val="bottom"/>
          </w:tcPr>
          <w:p>
            <w:pPr>
              <w:jc w:val="right"/>
              <w:ind w:right="68"/>
              <w:spacing w:after="0"/>
              <w:rPr>
                <w:sz w:val="20"/>
                <w:szCs w:val="20"/>
                <w:color w:val="auto"/>
              </w:rPr>
            </w:pPr>
            <w:r>
              <w:rPr>
                <w:rFonts w:ascii="Arial" w:cs="Arial" w:eastAsia="Arial" w:hAnsi="Arial"/>
                <w:sz w:val="14"/>
                <w:szCs w:val="14"/>
                <w:color w:val="auto"/>
              </w:rPr>
              <w:t>49</w:t>
            </w:r>
          </w:p>
        </w:tc>
        <w:tc>
          <w:tcPr>
            <w:tcW w:w="0" w:type="dxa"/>
            <w:vAlign w:val="bottom"/>
          </w:tcPr>
          <w:p>
            <w:pPr>
              <w:spacing w:after="0"/>
              <w:rPr>
                <w:sz w:val="1"/>
                <w:szCs w:val="1"/>
                <w:color w:val="auto"/>
              </w:rPr>
            </w:pPr>
          </w:p>
        </w:tc>
      </w:tr>
      <w:tr>
        <w:trPr>
          <w:trHeight w:val="216"/>
        </w:trPr>
        <w:tc>
          <w:tcPr>
            <w:tcW w:w="3040" w:type="dxa"/>
            <w:vAlign w:val="bottom"/>
          </w:tcPr>
          <w:p>
            <w:pPr>
              <w:ind w:left="200"/>
              <w:spacing w:after="0"/>
              <w:rPr>
                <w:sz w:val="20"/>
                <w:szCs w:val="20"/>
                <w:color w:val="auto"/>
              </w:rPr>
            </w:pPr>
            <w:r>
              <w:rPr>
                <w:rFonts w:ascii="Arial" w:cs="Arial" w:eastAsia="Arial" w:hAnsi="Arial"/>
                <w:sz w:val="14"/>
                <w:szCs w:val="14"/>
                <w:color w:val="auto"/>
              </w:rPr>
              <w:t>Iberdola Renewables</w:t>
            </w:r>
          </w:p>
        </w:tc>
        <w:tc>
          <w:tcPr>
            <w:tcW w:w="1720" w:type="dxa"/>
            <w:vAlign w:val="bottom"/>
          </w:tcPr>
          <w:p>
            <w:pPr>
              <w:ind w:left="220"/>
              <w:spacing w:after="0"/>
              <w:rPr>
                <w:sz w:val="20"/>
                <w:szCs w:val="20"/>
                <w:color w:val="auto"/>
              </w:rPr>
            </w:pPr>
            <w:r>
              <w:rPr>
                <w:rFonts w:ascii="Arial" w:cs="Arial" w:eastAsia="Arial" w:hAnsi="Arial"/>
                <w:sz w:val="14"/>
                <w:szCs w:val="14"/>
                <w:color w:val="auto"/>
              </w:rPr>
              <w:t>Wind</w:t>
            </w:r>
          </w:p>
        </w:tc>
        <w:tc>
          <w:tcPr>
            <w:tcW w:w="1420" w:type="dxa"/>
            <w:vAlign w:val="bottom"/>
          </w:tcPr>
          <w:p>
            <w:pPr>
              <w:ind w:left="140"/>
              <w:spacing w:after="0"/>
              <w:rPr>
                <w:sz w:val="20"/>
                <w:szCs w:val="20"/>
                <w:color w:val="auto"/>
              </w:rPr>
            </w:pPr>
            <w:r>
              <w:rPr>
                <w:rFonts w:ascii="Arial" w:cs="Arial" w:eastAsia="Arial" w:hAnsi="Arial"/>
                <w:sz w:val="14"/>
                <w:szCs w:val="14"/>
                <w:color w:val="auto"/>
              </w:rPr>
              <w:t>2018</w:t>
            </w:r>
          </w:p>
        </w:tc>
        <w:tc>
          <w:tcPr>
            <w:tcW w:w="120" w:type="dxa"/>
            <w:vAlign w:val="bottom"/>
          </w:tcPr>
          <w:p>
            <w:pPr>
              <w:spacing w:after="0"/>
              <w:rPr>
                <w:sz w:val="18"/>
                <w:szCs w:val="18"/>
                <w:color w:val="auto"/>
              </w:rPr>
            </w:pPr>
          </w:p>
        </w:tc>
        <w:tc>
          <w:tcPr>
            <w:tcW w:w="1140" w:type="dxa"/>
            <w:vAlign w:val="bottom"/>
          </w:tcPr>
          <w:p>
            <w:pPr>
              <w:jc w:val="right"/>
              <w:ind w:right="68"/>
              <w:spacing w:after="0"/>
              <w:rPr>
                <w:sz w:val="20"/>
                <w:szCs w:val="20"/>
                <w:color w:val="auto"/>
              </w:rPr>
            </w:pPr>
            <w:r>
              <w:rPr>
                <w:rFonts w:ascii="Arial" w:cs="Arial" w:eastAsia="Arial" w:hAnsi="Arial"/>
                <w:sz w:val="14"/>
                <w:szCs w:val="14"/>
                <w:color w:val="auto"/>
              </w:rPr>
              <w:t>25</w:t>
            </w:r>
          </w:p>
        </w:tc>
        <w:tc>
          <w:tcPr>
            <w:tcW w:w="0" w:type="dxa"/>
            <w:vAlign w:val="bottom"/>
          </w:tcPr>
          <w:p>
            <w:pPr>
              <w:spacing w:after="0"/>
              <w:rPr>
                <w:sz w:val="1"/>
                <w:szCs w:val="1"/>
                <w:color w:val="auto"/>
              </w:rPr>
            </w:pPr>
          </w:p>
        </w:tc>
      </w:tr>
      <w:tr>
        <w:trPr>
          <w:trHeight w:val="216"/>
        </w:trPr>
        <w:tc>
          <w:tcPr>
            <w:tcW w:w="3040" w:type="dxa"/>
            <w:vAlign w:val="bottom"/>
          </w:tcPr>
          <w:p>
            <w:pPr>
              <w:ind w:left="200"/>
              <w:spacing w:after="0"/>
              <w:rPr>
                <w:sz w:val="20"/>
                <w:szCs w:val="20"/>
                <w:color w:val="auto"/>
              </w:rPr>
            </w:pPr>
            <w:r>
              <w:rPr>
                <w:rFonts w:ascii="Arial" w:cs="Arial" w:eastAsia="Arial" w:hAnsi="Arial"/>
                <w:sz w:val="14"/>
                <w:szCs w:val="14"/>
                <w:color w:val="auto"/>
              </w:rPr>
              <w:t>WTE/FPL</w:t>
            </w:r>
          </w:p>
        </w:tc>
        <w:tc>
          <w:tcPr>
            <w:tcW w:w="1720" w:type="dxa"/>
            <w:vAlign w:val="bottom"/>
          </w:tcPr>
          <w:p>
            <w:pPr>
              <w:ind w:left="220"/>
              <w:spacing w:after="0"/>
              <w:rPr>
                <w:sz w:val="20"/>
                <w:szCs w:val="20"/>
                <w:color w:val="auto"/>
              </w:rPr>
            </w:pPr>
            <w:r>
              <w:rPr>
                <w:rFonts w:ascii="Arial" w:cs="Arial" w:eastAsia="Arial" w:hAnsi="Arial"/>
                <w:sz w:val="14"/>
                <w:szCs w:val="14"/>
                <w:color w:val="auto"/>
              </w:rPr>
              <w:t>Wind</w:t>
            </w:r>
          </w:p>
        </w:tc>
        <w:tc>
          <w:tcPr>
            <w:tcW w:w="1420" w:type="dxa"/>
            <w:vAlign w:val="bottom"/>
          </w:tcPr>
          <w:p>
            <w:pPr>
              <w:ind w:left="140"/>
              <w:spacing w:after="0"/>
              <w:rPr>
                <w:sz w:val="20"/>
                <w:szCs w:val="20"/>
                <w:color w:val="auto"/>
              </w:rPr>
            </w:pPr>
            <w:r>
              <w:rPr>
                <w:rFonts w:ascii="Arial" w:cs="Arial" w:eastAsia="Arial" w:hAnsi="Arial"/>
                <w:sz w:val="14"/>
                <w:szCs w:val="14"/>
                <w:color w:val="auto"/>
              </w:rPr>
              <w:t>2019</w:t>
            </w:r>
          </w:p>
        </w:tc>
        <w:tc>
          <w:tcPr>
            <w:tcW w:w="120" w:type="dxa"/>
            <w:vAlign w:val="bottom"/>
          </w:tcPr>
          <w:p>
            <w:pPr>
              <w:spacing w:after="0"/>
              <w:rPr>
                <w:sz w:val="18"/>
                <w:szCs w:val="18"/>
                <w:color w:val="auto"/>
              </w:rPr>
            </w:pPr>
          </w:p>
        </w:tc>
        <w:tc>
          <w:tcPr>
            <w:tcW w:w="1140" w:type="dxa"/>
            <w:vAlign w:val="bottom"/>
          </w:tcPr>
          <w:p>
            <w:pPr>
              <w:jc w:val="right"/>
              <w:ind w:right="68"/>
              <w:spacing w:after="0"/>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222"/>
        </w:trPr>
        <w:tc>
          <w:tcPr>
            <w:tcW w:w="3040" w:type="dxa"/>
            <w:vAlign w:val="bottom"/>
          </w:tcPr>
          <w:p>
            <w:pPr>
              <w:ind w:left="200"/>
              <w:spacing w:after="0"/>
              <w:rPr>
                <w:sz w:val="20"/>
                <w:szCs w:val="20"/>
                <w:color w:val="auto"/>
              </w:rPr>
            </w:pPr>
            <w:r>
              <w:rPr>
                <w:rFonts w:ascii="Arial" w:cs="Arial" w:eastAsia="Arial" w:hAnsi="Arial"/>
                <w:sz w:val="14"/>
                <w:szCs w:val="14"/>
                <w:color w:val="auto"/>
              </w:rPr>
              <w:t>Other (8 contracts)</w:t>
            </w:r>
          </w:p>
        </w:tc>
        <w:tc>
          <w:tcPr>
            <w:tcW w:w="1720" w:type="dxa"/>
            <w:vAlign w:val="bottom"/>
          </w:tcPr>
          <w:p>
            <w:pPr>
              <w:ind w:left="220"/>
              <w:spacing w:after="0"/>
              <w:rPr>
                <w:sz w:val="20"/>
                <w:szCs w:val="20"/>
                <w:color w:val="auto"/>
              </w:rPr>
            </w:pPr>
            <w:r>
              <w:rPr>
                <w:rFonts w:ascii="Arial" w:cs="Arial" w:eastAsia="Arial" w:hAnsi="Arial"/>
                <w:sz w:val="14"/>
                <w:szCs w:val="14"/>
                <w:color w:val="auto"/>
              </w:rPr>
              <w:t>Bio-gas/Hydro</w:t>
            </w:r>
          </w:p>
        </w:tc>
        <w:tc>
          <w:tcPr>
            <w:tcW w:w="1540" w:type="dxa"/>
            <w:vAlign w:val="bottom"/>
            <w:gridSpan w:val="2"/>
          </w:tcPr>
          <w:p>
            <w:pPr>
              <w:ind w:left="140"/>
              <w:spacing w:after="0"/>
              <w:rPr>
                <w:sz w:val="20"/>
                <w:szCs w:val="20"/>
                <w:color w:val="auto"/>
              </w:rPr>
            </w:pPr>
            <w:r>
              <w:rPr>
                <w:rFonts w:ascii="Arial" w:cs="Arial" w:eastAsia="Arial" w:hAnsi="Arial"/>
                <w:sz w:val="14"/>
                <w:szCs w:val="14"/>
                <w:color w:val="auto"/>
              </w:rPr>
              <w:t>2012 to 2022</w:t>
            </w:r>
          </w:p>
        </w:tc>
        <w:tc>
          <w:tcPr>
            <w:tcW w:w="11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31</w:t>
            </w:r>
          </w:p>
        </w:tc>
        <w:tc>
          <w:tcPr>
            <w:tcW w:w="0" w:type="dxa"/>
            <w:vAlign w:val="bottom"/>
          </w:tcPr>
          <w:p>
            <w:pPr>
              <w:spacing w:after="0"/>
              <w:rPr>
                <w:sz w:val="1"/>
                <w:szCs w:val="1"/>
                <w:color w:val="auto"/>
              </w:rPr>
            </w:pPr>
          </w:p>
        </w:tc>
      </w:tr>
      <w:tr>
        <w:trPr>
          <w:trHeight w:val="208"/>
        </w:trPr>
        <w:tc>
          <w:tcPr>
            <w:tcW w:w="3040" w:type="dxa"/>
            <w:vAlign w:val="bottom"/>
          </w:tcPr>
          <w:p>
            <w:pPr>
              <w:ind w:left="440"/>
              <w:spacing w:after="0"/>
              <w:rPr>
                <w:sz w:val="20"/>
                <w:szCs w:val="20"/>
                <w:color w:val="auto"/>
              </w:rPr>
            </w:pPr>
            <w:r>
              <w:rPr>
                <w:rFonts w:ascii="Arial" w:cs="Arial" w:eastAsia="Arial" w:hAnsi="Arial"/>
                <w:sz w:val="14"/>
                <w:szCs w:val="14"/>
                <w:color w:val="auto"/>
              </w:rPr>
              <w:t>Total</w:t>
            </w:r>
          </w:p>
        </w:tc>
        <w:tc>
          <w:tcPr>
            <w:tcW w:w="17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232</w:t>
            </w:r>
          </w:p>
        </w:tc>
        <w:tc>
          <w:tcPr>
            <w:tcW w:w="0" w:type="dxa"/>
            <w:vAlign w:val="bottom"/>
          </w:tcPr>
          <w:p>
            <w:pPr>
              <w:spacing w:after="0"/>
              <w:rPr>
                <w:sz w:val="1"/>
                <w:szCs w:val="1"/>
                <w:color w:val="auto"/>
              </w:rPr>
            </w:pPr>
          </w:p>
        </w:tc>
      </w:tr>
      <w:tr>
        <w:trPr>
          <w:trHeight w:val="202"/>
        </w:trPr>
        <w:tc>
          <w:tcPr>
            <w:tcW w:w="3040" w:type="dxa"/>
            <w:vAlign w:val="bottom"/>
          </w:tcPr>
          <w:p>
            <w:pPr>
              <w:spacing w:after="0"/>
              <w:rPr>
                <w:sz w:val="20"/>
                <w:szCs w:val="20"/>
                <w:color w:val="auto"/>
              </w:rPr>
            </w:pPr>
            <w:r>
              <w:rPr>
                <w:rFonts w:ascii="Arial" w:cs="Arial" w:eastAsia="Arial" w:hAnsi="Arial"/>
                <w:sz w:val="14"/>
                <w:szCs w:val="14"/>
                <w:color w:val="auto"/>
              </w:rPr>
              <w:t>Other long-term and tolling contracts:</w:t>
            </w:r>
          </w:p>
        </w:tc>
        <w:tc>
          <w:tcPr>
            <w:tcW w:w="17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040" w:type="dxa"/>
            <w:vAlign w:val="bottom"/>
          </w:tcPr>
          <w:p>
            <w:pPr>
              <w:ind w:left="200"/>
              <w:spacing w:after="0"/>
              <w:rPr>
                <w:sz w:val="20"/>
                <w:szCs w:val="20"/>
                <w:color w:val="auto"/>
              </w:rPr>
            </w:pPr>
            <w:r>
              <w:rPr>
                <w:rFonts w:ascii="Arial" w:cs="Arial" w:eastAsia="Arial" w:hAnsi="Arial"/>
                <w:sz w:val="14"/>
                <w:szCs w:val="14"/>
                <w:color w:val="auto"/>
              </w:rPr>
              <w:t>Cabrillo Power I, LLC</w:t>
            </w:r>
          </w:p>
        </w:tc>
        <w:tc>
          <w:tcPr>
            <w:tcW w:w="1720" w:type="dxa"/>
            <w:vAlign w:val="bottom"/>
          </w:tcPr>
          <w:p>
            <w:pPr>
              <w:ind w:left="220"/>
              <w:spacing w:after="0"/>
              <w:rPr>
                <w:sz w:val="20"/>
                <w:szCs w:val="20"/>
                <w:color w:val="auto"/>
              </w:rPr>
            </w:pPr>
            <w:r>
              <w:rPr>
                <w:rFonts w:ascii="Arial" w:cs="Arial" w:eastAsia="Arial" w:hAnsi="Arial"/>
                <w:sz w:val="14"/>
                <w:szCs w:val="14"/>
                <w:color w:val="auto"/>
              </w:rPr>
              <w:t>Natural Gas</w:t>
            </w:r>
          </w:p>
        </w:tc>
        <w:tc>
          <w:tcPr>
            <w:tcW w:w="1420" w:type="dxa"/>
            <w:vAlign w:val="bottom"/>
          </w:tcPr>
          <w:p>
            <w:pPr>
              <w:ind w:left="140"/>
              <w:spacing w:after="0"/>
              <w:rPr>
                <w:sz w:val="20"/>
                <w:szCs w:val="20"/>
                <w:color w:val="auto"/>
              </w:rPr>
            </w:pPr>
            <w:r>
              <w:rPr>
                <w:rFonts w:ascii="Arial" w:cs="Arial" w:eastAsia="Arial" w:hAnsi="Arial"/>
                <w:sz w:val="14"/>
                <w:szCs w:val="14"/>
                <w:color w:val="auto"/>
              </w:rPr>
              <w:t>2009</w:t>
            </w:r>
          </w:p>
        </w:tc>
        <w:tc>
          <w:tcPr>
            <w:tcW w:w="120" w:type="dxa"/>
            <w:vAlign w:val="bottom"/>
          </w:tcPr>
          <w:p>
            <w:pPr>
              <w:spacing w:after="0"/>
              <w:rPr>
                <w:sz w:val="18"/>
                <w:szCs w:val="18"/>
                <w:color w:val="auto"/>
              </w:rPr>
            </w:pPr>
          </w:p>
        </w:tc>
        <w:tc>
          <w:tcPr>
            <w:tcW w:w="1140" w:type="dxa"/>
            <w:vAlign w:val="bottom"/>
          </w:tcPr>
          <w:p>
            <w:pPr>
              <w:jc w:val="right"/>
              <w:ind w:right="68"/>
              <w:spacing w:after="0"/>
              <w:rPr>
                <w:sz w:val="20"/>
                <w:szCs w:val="20"/>
                <w:color w:val="auto"/>
              </w:rPr>
            </w:pPr>
            <w:r>
              <w:rPr>
                <w:rFonts w:ascii="Arial" w:cs="Arial" w:eastAsia="Arial" w:hAnsi="Arial"/>
                <w:sz w:val="14"/>
                <w:szCs w:val="14"/>
                <w:color w:val="auto"/>
              </w:rPr>
              <w:t>964</w:t>
            </w:r>
          </w:p>
        </w:tc>
        <w:tc>
          <w:tcPr>
            <w:tcW w:w="0" w:type="dxa"/>
            <w:vAlign w:val="bottom"/>
          </w:tcPr>
          <w:p>
            <w:pPr>
              <w:spacing w:after="0"/>
              <w:rPr>
                <w:sz w:val="1"/>
                <w:szCs w:val="1"/>
                <w:color w:val="auto"/>
              </w:rPr>
            </w:pPr>
          </w:p>
        </w:tc>
      </w:tr>
      <w:tr>
        <w:trPr>
          <w:trHeight w:val="216"/>
        </w:trPr>
        <w:tc>
          <w:tcPr>
            <w:tcW w:w="3040" w:type="dxa"/>
            <w:vAlign w:val="bottom"/>
          </w:tcPr>
          <w:p>
            <w:pPr>
              <w:ind w:left="200"/>
              <w:spacing w:after="0"/>
              <w:rPr>
                <w:sz w:val="20"/>
                <w:szCs w:val="20"/>
                <w:color w:val="auto"/>
              </w:rPr>
            </w:pPr>
            <w:r>
              <w:rPr>
                <w:rFonts w:ascii="Arial" w:cs="Arial" w:eastAsia="Arial" w:hAnsi="Arial"/>
                <w:sz w:val="14"/>
                <w:szCs w:val="14"/>
                <w:color w:val="auto"/>
              </w:rPr>
              <w:t>Dynegy South Bay Holdings, LLC</w:t>
            </w:r>
          </w:p>
        </w:tc>
        <w:tc>
          <w:tcPr>
            <w:tcW w:w="1720" w:type="dxa"/>
            <w:vAlign w:val="bottom"/>
          </w:tcPr>
          <w:p>
            <w:pPr>
              <w:ind w:left="220"/>
              <w:spacing w:after="0"/>
              <w:rPr>
                <w:sz w:val="20"/>
                <w:szCs w:val="20"/>
                <w:color w:val="auto"/>
              </w:rPr>
            </w:pPr>
            <w:r>
              <w:rPr>
                <w:rFonts w:ascii="Arial" w:cs="Arial" w:eastAsia="Arial" w:hAnsi="Arial"/>
                <w:sz w:val="14"/>
                <w:szCs w:val="14"/>
                <w:color w:val="auto"/>
              </w:rPr>
              <w:t>Natural Gas</w:t>
            </w:r>
          </w:p>
        </w:tc>
        <w:tc>
          <w:tcPr>
            <w:tcW w:w="1420" w:type="dxa"/>
            <w:vAlign w:val="bottom"/>
          </w:tcPr>
          <w:p>
            <w:pPr>
              <w:ind w:left="140"/>
              <w:spacing w:after="0"/>
              <w:rPr>
                <w:sz w:val="20"/>
                <w:szCs w:val="20"/>
                <w:color w:val="auto"/>
              </w:rPr>
            </w:pPr>
            <w:r>
              <w:rPr>
                <w:rFonts w:ascii="Arial" w:cs="Arial" w:eastAsia="Arial" w:hAnsi="Arial"/>
                <w:sz w:val="14"/>
                <w:szCs w:val="14"/>
                <w:color w:val="auto"/>
              </w:rPr>
              <w:t>2009</w:t>
            </w:r>
          </w:p>
        </w:tc>
        <w:tc>
          <w:tcPr>
            <w:tcW w:w="120" w:type="dxa"/>
            <w:vAlign w:val="bottom"/>
          </w:tcPr>
          <w:p>
            <w:pPr>
              <w:spacing w:after="0"/>
              <w:rPr>
                <w:sz w:val="18"/>
                <w:szCs w:val="18"/>
                <w:color w:val="auto"/>
              </w:rPr>
            </w:pPr>
          </w:p>
        </w:tc>
        <w:tc>
          <w:tcPr>
            <w:tcW w:w="1140" w:type="dxa"/>
            <w:vAlign w:val="bottom"/>
          </w:tcPr>
          <w:p>
            <w:pPr>
              <w:jc w:val="right"/>
              <w:ind w:right="68"/>
              <w:spacing w:after="0"/>
              <w:rPr>
                <w:sz w:val="20"/>
                <w:szCs w:val="20"/>
                <w:color w:val="auto"/>
              </w:rPr>
            </w:pPr>
            <w:r>
              <w:rPr>
                <w:rFonts w:ascii="Arial" w:cs="Arial" w:eastAsia="Arial" w:hAnsi="Arial"/>
                <w:sz w:val="14"/>
                <w:szCs w:val="14"/>
                <w:color w:val="auto"/>
              </w:rPr>
              <w:t>704</w:t>
            </w:r>
          </w:p>
        </w:tc>
        <w:tc>
          <w:tcPr>
            <w:tcW w:w="0" w:type="dxa"/>
            <w:vAlign w:val="bottom"/>
          </w:tcPr>
          <w:p>
            <w:pPr>
              <w:spacing w:after="0"/>
              <w:rPr>
                <w:sz w:val="1"/>
                <w:szCs w:val="1"/>
                <w:color w:val="auto"/>
              </w:rPr>
            </w:pPr>
          </w:p>
        </w:tc>
      </w:tr>
      <w:tr>
        <w:trPr>
          <w:trHeight w:val="216"/>
        </w:trPr>
        <w:tc>
          <w:tcPr>
            <w:tcW w:w="3040" w:type="dxa"/>
            <w:vAlign w:val="bottom"/>
          </w:tcPr>
          <w:p>
            <w:pPr>
              <w:ind w:left="200"/>
              <w:spacing w:after="0"/>
              <w:rPr>
                <w:sz w:val="20"/>
                <w:szCs w:val="20"/>
                <w:color w:val="auto"/>
              </w:rPr>
            </w:pPr>
            <w:r>
              <w:rPr>
                <w:rFonts w:ascii="Arial" w:cs="Arial" w:eastAsia="Arial" w:hAnsi="Arial"/>
                <w:sz w:val="14"/>
                <w:szCs w:val="14"/>
                <w:color w:val="auto"/>
              </w:rPr>
              <w:t>Portland General Electric (PGE)</w:t>
            </w:r>
          </w:p>
        </w:tc>
        <w:tc>
          <w:tcPr>
            <w:tcW w:w="1720" w:type="dxa"/>
            <w:vAlign w:val="bottom"/>
          </w:tcPr>
          <w:p>
            <w:pPr>
              <w:ind w:left="220"/>
              <w:spacing w:after="0"/>
              <w:rPr>
                <w:sz w:val="20"/>
                <w:szCs w:val="20"/>
                <w:color w:val="auto"/>
              </w:rPr>
            </w:pPr>
            <w:r>
              <w:rPr>
                <w:rFonts w:ascii="Arial" w:cs="Arial" w:eastAsia="Arial" w:hAnsi="Arial"/>
                <w:sz w:val="14"/>
                <w:szCs w:val="14"/>
                <w:color w:val="auto"/>
              </w:rPr>
              <w:t>Coal</w:t>
            </w:r>
          </w:p>
        </w:tc>
        <w:tc>
          <w:tcPr>
            <w:tcW w:w="1420" w:type="dxa"/>
            <w:vAlign w:val="bottom"/>
          </w:tcPr>
          <w:p>
            <w:pPr>
              <w:ind w:left="140"/>
              <w:spacing w:after="0"/>
              <w:rPr>
                <w:sz w:val="20"/>
                <w:szCs w:val="20"/>
                <w:color w:val="auto"/>
              </w:rPr>
            </w:pPr>
            <w:r>
              <w:rPr>
                <w:rFonts w:ascii="Arial" w:cs="Arial" w:eastAsia="Arial" w:hAnsi="Arial"/>
                <w:sz w:val="14"/>
                <w:szCs w:val="14"/>
                <w:color w:val="auto"/>
              </w:rPr>
              <w:t>2013</w:t>
            </w:r>
          </w:p>
        </w:tc>
        <w:tc>
          <w:tcPr>
            <w:tcW w:w="120" w:type="dxa"/>
            <w:vAlign w:val="bottom"/>
          </w:tcPr>
          <w:p>
            <w:pPr>
              <w:spacing w:after="0"/>
              <w:rPr>
                <w:sz w:val="18"/>
                <w:szCs w:val="18"/>
                <w:color w:val="auto"/>
              </w:rPr>
            </w:pPr>
          </w:p>
        </w:tc>
        <w:tc>
          <w:tcPr>
            <w:tcW w:w="1140" w:type="dxa"/>
            <w:vAlign w:val="bottom"/>
          </w:tcPr>
          <w:p>
            <w:pPr>
              <w:jc w:val="right"/>
              <w:ind w:right="68"/>
              <w:spacing w:after="0"/>
              <w:rPr>
                <w:sz w:val="20"/>
                <w:szCs w:val="20"/>
                <w:color w:val="auto"/>
              </w:rPr>
            </w:pPr>
            <w:r>
              <w:rPr>
                <w:rFonts w:ascii="Arial" w:cs="Arial" w:eastAsia="Arial" w:hAnsi="Arial"/>
                <w:sz w:val="14"/>
                <w:szCs w:val="14"/>
                <w:color w:val="auto"/>
              </w:rPr>
              <w:t>89</w:t>
            </w:r>
          </w:p>
        </w:tc>
        <w:tc>
          <w:tcPr>
            <w:tcW w:w="0" w:type="dxa"/>
            <w:vAlign w:val="bottom"/>
          </w:tcPr>
          <w:p>
            <w:pPr>
              <w:spacing w:after="0"/>
              <w:rPr>
                <w:sz w:val="1"/>
                <w:szCs w:val="1"/>
                <w:color w:val="auto"/>
              </w:rPr>
            </w:pPr>
          </w:p>
        </w:tc>
      </w:tr>
      <w:tr>
        <w:trPr>
          <w:trHeight w:val="188"/>
        </w:trPr>
        <w:tc>
          <w:tcPr>
            <w:tcW w:w="3040" w:type="dxa"/>
            <w:vAlign w:val="bottom"/>
          </w:tcPr>
          <w:p>
            <w:pPr>
              <w:ind w:left="200"/>
              <w:spacing w:after="0"/>
              <w:rPr>
                <w:sz w:val="20"/>
                <w:szCs w:val="20"/>
                <w:color w:val="auto"/>
              </w:rPr>
            </w:pPr>
            <w:r>
              <w:rPr>
                <w:rFonts w:ascii="Arial" w:cs="Arial" w:eastAsia="Arial" w:hAnsi="Arial"/>
                <w:sz w:val="14"/>
                <w:szCs w:val="14"/>
                <w:color w:val="auto"/>
              </w:rPr>
              <w:t>Enernoc</w:t>
            </w:r>
          </w:p>
        </w:tc>
        <w:tc>
          <w:tcPr>
            <w:tcW w:w="1720" w:type="dxa"/>
            <w:vAlign w:val="bottom"/>
          </w:tcPr>
          <w:p>
            <w:pPr>
              <w:ind w:left="220"/>
              <w:spacing w:after="0"/>
              <w:rPr>
                <w:sz w:val="20"/>
                <w:szCs w:val="20"/>
                <w:color w:val="auto"/>
              </w:rPr>
            </w:pPr>
            <w:r>
              <w:rPr>
                <w:rFonts w:ascii="Arial" w:cs="Arial" w:eastAsia="Arial" w:hAnsi="Arial"/>
                <w:sz w:val="14"/>
                <w:szCs w:val="14"/>
                <w:color w:val="auto"/>
              </w:rPr>
              <w:t>Demand</w:t>
            </w:r>
          </w:p>
        </w:tc>
        <w:tc>
          <w:tcPr>
            <w:tcW w:w="1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8"/>
        </w:trPr>
        <w:tc>
          <w:tcPr>
            <w:tcW w:w="3040" w:type="dxa"/>
            <w:vAlign w:val="bottom"/>
          </w:tcPr>
          <w:p>
            <w:pPr>
              <w:spacing w:after="0"/>
              <w:rPr>
                <w:sz w:val="14"/>
                <w:szCs w:val="14"/>
                <w:color w:val="auto"/>
              </w:rPr>
            </w:pPr>
          </w:p>
        </w:tc>
        <w:tc>
          <w:tcPr>
            <w:tcW w:w="1720" w:type="dxa"/>
            <w:vAlign w:val="bottom"/>
          </w:tcPr>
          <w:p>
            <w:pPr>
              <w:ind w:left="220"/>
              <w:spacing w:after="0"/>
              <w:rPr>
                <w:sz w:val="20"/>
                <w:szCs w:val="20"/>
                <w:color w:val="auto"/>
              </w:rPr>
            </w:pPr>
            <w:r>
              <w:rPr>
                <w:rFonts w:ascii="Arial" w:cs="Arial" w:eastAsia="Arial" w:hAnsi="Arial"/>
                <w:sz w:val="14"/>
                <w:szCs w:val="14"/>
                <w:color w:val="auto"/>
              </w:rPr>
              <w:t>Response/Distributed</w:t>
            </w:r>
          </w:p>
        </w:tc>
        <w:tc>
          <w:tcPr>
            <w:tcW w:w="1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vMerge w:val="restart"/>
          </w:tcPr>
          <w:p>
            <w:pPr>
              <w:jc w:val="right"/>
              <w:ind w:right="68"/>
              <w:spacing w:after="0"/>
              <w:rPr>
                <w:sz w:val="20"/>
                <w:szCs w:val="20"/>
                <w:color w:val="auto"/>
              </w:rPr>
            </w:pPr>
            <w:r>
              <w:rPr>
                <w:rFonts w:ascii="Arial" w:cs="Arial" w:eastAsia="Arial" w:hAnsi="Arial"/>
                <w:sz w:val="14"/>
                <w:szCs w:val="14"/>
                <w:color w:val="auto"/>
              </w:rPr>
              <w:t>25</w:t>
            </w:r>
          </w:p>
        </w:tc>
        <w:tc>
          <w:tcPr>
            <w:tcW w:w="0" w:type="dxa"/>
            <w:vAlign w:val="bottom"/>
          </w:tcPr>
          <w:p>
            <w:pPr>
              <w:spacing w:after="0"/>
              <w:rPr>
                <w:sz w:val="1"/>
                <w:szCs w:val="1"/>
                <w:color w:val="auto"/>
              </w:rPr>
            </w:pPr>
          </w:p>
        </w:tc>
      </w:tr>
      <w:tr>
        <w:trPr>
          <w:trHeight w:val="171"/>
        </w:trPr>
        <w:tc>
          <w:tcPr>
            <w:tcW w:w="3040" w:type="dxa"/>
            <w:vAlign w:val="bottom"/>
          </w:tcPr>
          <w:p>
            <w:pPr>
              <w:spacing w:after="0"/>
              <w:rPr>
                <w:sz w:val="14"/>
                <w:szCs w:val="14"/>
                <w:color w:val="auto"/>
              </w:rPr>
            </w:pPr>
          </w:p>
        </w:tc>
        <w:tc>
          <w:tcPr>
            <w:tcW w:w="1720" w:type="dxa"/>
            <w:vAlign w:val="bottom"/>
          </w:tcPr>
          <w:p>
            <w:pPr>
              <w:ind w:left="220"/>
              <w:spacing w:after="0"/>
              <w:rPr>
                <w:sz w:val="20"/>
                <w:szCs w:val="20"/>
                <w:color w:val="auto"/>
              </w:rPr>
            </w:pPr>
            <w:r>
              <w:rPr>
                <w:rFonts w:ascii="Arial" w:cs="Arial" w:eastAsia="Arial" w:hAnsi="Arial"/>
                <w:sz w:val="14"/>
                <w:szCs w:val="14"/>
                <w:color w:val="auto"/>
              </w:rPr>
              <w:t>Generation</w:t>
            </w:r>
          </w:p>
        </w:tc>
        <w:tc>
          <w:tcPr>
            <w:tcW w:w="1420" w:type="dxa"/>
            <w:vAlign w:val="bottom"/>
          </w:tcPr>
          <w:p>
            <w:pPr>
              <w:ind w:left="140"/>
              <w:spacing w:after="0"/>
              <w:rPr>
                <w:sz w:val="20"/>
                <w:szCs w:val="20"/>
                <w:color w:val="auto"/>
              </w:rPr>
            </w:pPr>
            <w:r>
              <w:rPr>
                <w:rFonts w:ascii="Arial" w:cs="Arial" w:eastAsia="Arial" w:hAnsi="Arial"/>
                <w:sz w:val="14"/>
                <w:szCs w:val="14"/>
                <w:color w:val="auto"/>
              </w:rPr>
              <w:t>2016</w:t>
            </w:r>
          </w:p>
        </w:tc>
        <w:tc>
          <w:tcPr>
            <w:tcW w:w="120" w:type="dxa"/>
            <w:vAlign w:val="bottom"/>
          </w:tcPr>
          <w:p>
            <w:pPr>
              <w:spacing w:after="0"/>
              <w:rPr>
                <w:sz w:val="14"/>
                <w:szCs w:val="14"/>
                <w:color w:val="auto"/>
              </w:rPr>
            </w:pPr>
          </w:p>
        </w:tc>
        <w:tc>
          <w:tcPr>
            <w:tcW w:w="114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3040" w:type="dxa"/>
            <w:vAlign w:val="bottom"/>
          </w:tcPr>
          <w:p>
            <w:pPr>
              <w:ind w:left="440"/>
              <w:spacing w:after="0"/>
              <w:rPr>
                <w:sz w:val="20"/>
                <w:szCs w:val="20"/>
                <w:color w:val="auto"/>
              </w:rPr>
            </w:pPr>
            <w:r>
              <w:rPr>
                <w:rFonts w:ascii="Arial" w:cs="Arial" w:eastAsia="Arial" w:hAnsi="Arial"/>
                <w:sz w:val="14"/>
                <w:szCs w:val="14"/>
                <w:color w:val="auto"/>
              </w:rPr>
              <w:t>Total</w:t>
            </w:r>
          </w:p>
        </w:tc>
        <w:tc>
          <w:tcPr>
            <w:tcW w:w="17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1,782</w:t>
            </w:r>
          </w:p>
        </w:tc>
        <w:tc>
          <w:tcPr>
            <w:tcW w:w="0" w:type="dxa"/>
            <w:vAlign w:val="bottom"/>
          </w:tcPr>
          <w:p>
            <w:pPr>
              <w:spacing w:after="0"/>
              <w:rPr>
                <w:sz w:val="1"/>
                <w:szCs w:val="1"/>
                <w:color w:val="auto"/>
              </w:rPr>
            </w:pPr>
          </w:p>
        </w:tc>
      </w:tr>
      <w:tr>
        <w:trPr>
          <w:trHeight w:val="208"/>
        </w:trPr>
        <w:tc>
          <w:tcPr>
            <w:tcW w:w="3040" w:type="dxa"/>
            <w:vAlign w:val="bottom"/>
          </w:tcPr>
          <w:p>
            <w:pPr>
              <w:spacing w:after="0"/>
              <w:rPr>
                <w:sz w:val="20"/>
                <w:szCs w:val="20"/>
                <w:color w:val="auto"/>
              </w:rPr>
            </w:pPr>
            <w:r>
              <w:rPr>
                <w:rFonts w:ascii="Arial" w:cs="Arial" w:eastAsia="Arial" w:hAnsi="Arial"/>
                <w:sz w:val="14"/>
                <w:szCs w:val="14"/>
                <w:color w:val="auto"/>
              </w:rPr>
              <w:t>Total contracted</w:t>
            </w:r>
          </w:p>
        </w:tc>
        <w:tc>
          <w:tcPr>
            <w:tcW w:w="17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3,431</w:t>
            </w:r>
          </w:p>
        </w:tc>
        <w:tc>
          <w:tcPr>
            <w:tcW w:w="0" w:type="dxa"/>
            <w:vAlign w:val="bottom"/>
          </w:tcPr>
          <w:p>
            <w:pPr>
              <w:spacing w:after="0"/>
              <w:rPr>
                <w:sz w:val="1"/>
                <w:szCs w:val="1"/>
                <w:color w:val="auto"/>
              </w:rPr>
            </w:pPr>
          </w:p>
        </w:tc>
      </w:tr>
      <w:tr>
        <w:trPr>
          <w:trHeight w:val="418"/>
        </w:trPr>
        <w:tc>
          <w:tcPr>
            <w:tcW w:w="3040" w:type="dxa"/>
            <w:vAlign w:val="bottom"/>
          </w:tcPr>
          <w:p>
            <w:pPr>
              <w:spacing w:after="0"/>
              <w:rPr>
                <w:sz w:val="20"/>
                <w:szCs w:val="20"/>
                <w:color w:val="auto"/>
              </w:rPr>
            </w:pPr>
            <w:r>
              <w:rPr>
                <w:rFonts w:ascii="Arial" w:cs="Arial" w:eastAsia="Arial" w:hAnsi="Arial"/>
                <w:sz w:val="14"/>
                <w:szCs w:val="14"/>
                <w:color w:val="auto"/>
              </w:rPr>
              <w:t>GENERATION:</w:t>
            </w:r>
          </w:p>
        </w:tc>
        <w:tc>
          <w:tcPr>
            <w:tcW w:w="17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040" w:type="dxa"/>
            <w:vAlign w:val="bottom"/>
          </w:tcPr>
          <w:p>
            <w:pPr>
              <w:ind w:left="200"/>
              <w:spacing w:after="0"/>
              <w:rPr>
                <w:sz w:val="20"/>
                <w:szCs w:val="20"/>
                <w:color w:val="auto"/>
              </w:rPr>
            </w:pPr>
            <w:r>
              <w:rPr>
                <w:rFonts w:ascii="Arial" w:cs="Arial" w:eastAsia="Arial" w:hAnsi="Arial"/>
                <w:sz w:val="14"/>
                <w:szCs w:val="14"/>
                <w:color w:val="auto"/>
              </w:rPr>
              <w:t>Palomar</w:t>
            </w:r>
          </w:p>
        </w:tc>
        <w:tc>
          <w:tcPr>
            <w:tcW w:w="1720" w:type="dxa"/>
            <w:vAlign w:val="bottom"/>
          </w:tcPr>
          <w:p>
            <w:pPr>
              <w:ind w:left="220"/>
              <w:spacing w:after="0"/>
              <w:rPr>
                <w:sz w:val="20"/>
                <w:szCs w:val="20"/>
                <w:color w:val="auto"/>
              </w:rPr>
            </w:pPr>
            <w:r>
              <w:rPr>
                <w:rFonts w:ascii="Arial" w:cs="Arial" w:eastAsia="Arial" w:hAnsi="Arial"/>
                <w:sz w:val="14"/>
                <w:szCs w:val="14"/>
                <w:color w:val="auto"/>
              </w:rPr>
              <w:t>Natural Gas</w:t>
            </w: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ind w:right="68"/>
              <w:spacing w:after="0"/>
              <w:rPr>
                <w:sz w:val="20"/>
                <w:szCs w:val="20"/>
                <w:color w:val="auto"/>
              </w:rPr>
            </w:pPr>
            <w:r>
              <w:rPr>
                <w:rFonts w:ascii="Arial" w:cs="Arial" w:eastAsia="Arial" w:hAnsi="Arial"/>
                <w:sz w:val="14"/>
                <w:szCs w:val="14"/>
                <w:color w:val="auto"/>
              </w:rPr>
              <w:t>550</w:t>
            </w:r>
          </w:p>
        </w:tc>
        <w:tc>
          <w:tcPr>
            <w:tcW w:w="0" w:type="dxa"/>
            <w:vAlign w:val="bottom"/>
          </w:tcPr>
          <w:p>
            <w:pPr>
              <w:spacing w:after="0"/>
              <w:rPr>
                <w:sz w:val="1"/>
                <w:szCs w:val="1"/>
                <w:color w:val="auto"/>
              </w:rPr>
            </w:pPr>
          </w:p>
        </w:tc>
      </w:tr>
      <w:tr>
        <w:trPr>
          <w:trHeight w:val="216"/>
        </w:trPr>
        <w:tc>
          <w:tcPr>
            <w:tcW w:w="3040" w:type="dxa"/>
            <w:vAlign w:val="bottom"/>
          </w:tcPr>
          <w:p>
            <w:pPr>
              <w:ind w:left="200"/>
              <w:spacing w:after="0"/>
              <w:rPr>
                <w:sz w:val="20"/>
                <w:szCs w:val="20"/>
                <w:color w:val="auto"/>
              </w:rPr>
            </w:pPr>
            <w:r>
              <w:rPr>
                <w:rFonts w:ascii="Arial" w:cs="Arial" w:eastAsia="Arial" w:hAnsi="Arial"/>
                <w:sz w:val="14"/>
                <w:szCs w:val="14"/>
                <w:color w:val="auto"/>
              </w:rPr>
              <w:t>SONGS</w:t>
            </w:r>
          </w:p>
        </w:tc>
        <w:tc>
          <w:tcPr>
            <w:tcW w:w="1720" w:type="dxa"/>
            <w:vAlign w:val="bottom"/>
          </w:tcPr>
          <w:p>
            <w:pPr>
              <w:ind w:left="220"/>
              <w:spacing w:after="0"/>
              <w:rPr>
                <w:sz w:val="20"/>
                <w:szCs w:val="20"/>
                <w:color w:val="auto"/>
              </w:rPr>
            </w:pPr>
            <w:r>
              <w:rPr>
                <w:rFonts w:ascii="Arial" w:cs="Arial" w:eastAsia="Arial" w:hAnsi="Arial"/>
                <w:sz w:val="14"/>
                <w:szCs w:val="14"/>
                <w:color w:val="auto"/>
              </w:rPr>
              <w:t>Nuclear</w:t>
            </w: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ind w:right="68"/>
              <w:spacing w:after="0"/>
              <w:rPr>
                <w:sz w:val="20"/>
                <w:szCs w:val="20"/>
                <w:color w:val="auto"/>
              </w:rPr>
            </w:pPr>
            <w:r>
              <w:rPr>
                <w:rFonts w:ascii="Arial" w:cs="Arial" w:eastAsia="Arial" w:hAnsi="Arial"/>
                <w:sz w:val="14"/>
                <w:szCs w:val="14"/>
                <w:color w:val="auto"/>
              </w:rPr>
              <w:t>430</w:t>
            </w:r>
          </w:p>
        </w:tc>
        <w:tc>
          <w:tcPr>
            <w:tcW w:w="0" w:type="dxa"/>
            <w:vAlign w:val="bottom"/>
          </w:tcPr>
          <w:p>
            <w:pPr>
              <w:spacing w:after="0"/>
              <w:rPr>
                <w:sz w:val="1"/>
                <w:szCs w:val="1"/>
                <w:color w:val="auto"/>
              </w:rPr>
            </w:pPr>
          </w:p>
        </w:tc>
      </w:tr>
      <w:tr>
        <w:trPr>
          <w:trHeight w:val="222"/>
        </w:trPr>
        <w:tc>
          <w:tcPr>
            <w:tcW w:w="3040" w:type="dxa"/>
            <w:vAlign w:val="bottom"/>
          </w:tcPr>
          <w:p>
            <w:pPr>
              <w:ind w:left="200"/>
              <w:spacing w:after="0"/>
              <w:rPr>
                <w:sz w:val="20"/>
                <w:szCs w:val="20"/>
                <w:color w:val="auto"/>
              </w:rPr>
            </w:pPr>
            <w:r>
              <w:rPr>
                <w:rFonts w:ascii="Arial" w:cs="Arial" w:eastAsia="Arial" w:hAnsi="Arial"/>
                <w:sz w:val="14"/>
                <w:szCs w:val="14"/>
                <w:color w:val="auto"/>
              </w:rPr>
              <w:t>Miramar</w:t>
            </w:r>
          </w:p>
        </w:tc>
        <w:tc>
          <w:tcPr>
            <w:tcW w:w="1720" w:type="dxa"/>
            <w:vAlign w:val="bottom"/>
          </w:tcPr>
          <w:p>
            <w:pPr>
              <w:ind w:left="220"/>
              <w:spacing w:after="0"/>
              <w:rPr>
                <w:sz w:val="20"/>
                <w:szCs w:val="20"/>
                <w:color w:val="auto"/>
              </w:rPr>
            </w:pPr>
            <w:r>
              <w:rPr>
                <w:rFonts w:ascii="Arial" w:cs="Arial" w:eastAsia="Arial" w:hAnsi="Arial"/>
                <w:sz w:val="14"/>
                <w:szCs w:val="14"/>
                <w:color w:val="auto"/>
              </w:rPr>
              <w:t>Natural Gas</w:t>
            </w:r>
          </w:p>
        </w:tc>
        <w:tc>
          <w:tcPr>
            <w:tcW w:w="14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45</w:t>
            </w:r>
          </w:p>
        </w:tc>
        <w:tc>
          <w:tcPr>
            <w:tcW w:w="0" w:type="dxa"/>
            <w:vAlign w:val="bottom"/>
          </w:tcPr>
          <w:p>
            <w:pPr>
              <w:spacing w:after="0"/>
              <w:rPr>
                <w:sz w:val="1"/>
                <w:szCs w:val="1"/>
                <w:color w:val="auto"/>
              </w:rPr>
            </w:pPr>
          </w:p>
        </w:tc>
      </w:tr>
      <w:tr>
        <w:trPr>
          <w:trHeight w:val="208"/>
        </w:trPr>
        <w:tc>
          <w:tcPr>
            <w:tcW w:w="3040" w:type="dxa"/>
            <w:vAlign w:val="bottom"/>
          </w:tcPr>
          <w:p>
            <w:pPr>
              <w:spacing w:after="0"/>
              <w:rPr>
                <w:sz w:val="20"/>
                <w:szCs w:val="20"/>
                <w:color w:val="auto"/>
              </w:rPr>
            </w:pPr>
            <w:r>
              <w:rPr>
                <w:rFonts w:ascii="Arial" w:cs="Arial" w:eastAsia="Arial" w:hAnsi="Arial"/>
                <w:sz w:val="14"/>
                <w:szCs w:val="14"/>
                <w:color w:val="auto"/>
              </w:rPr>
              <w:t>Total generation</w:t>
            </w:r>
          </w:p>
        </w:tc>
        <w:tc>
          <w:tcPr>
            <w:tcW w:w="17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1,025</w:t>
            </w:r>
          </w:p>
        </w:tc>
        <w:tc>
          <w:tcPr>
            <w:tcW w:w="0" w:type="dxa"/>
            <w:vAlign w:val="bottom"/>
          </w:tcPr>
          <w:p>
            <w:pPr>
              <w:spacing w:after="0"/>
              <w:rPr>
                <w:sz w:val="1"/>
                <w:szCs w:val="1"/>
                <w:color w:val="auto"/>
              </w:rPr>
            </w:pPr>
          </w:p>
        </w:tc>
      </w:tr>
      <w:tr>
        <w:trPr>
          <w:trHeight w:val="224"/>
        </w:trPr>
        <w:tc>
          <w:tcPr>
            <w:tcW w:w="30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TOTAL CONTRACTED AND GENERATION</w:t>
            </w:r>
          </w:p>
        </w:tc>
        <w:tc>
          <w:tcPr>
            <w:tcW w:w="17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4,456</w:t>
            </w:r>
          </w:p>
        </w:tc>
        <w:tc>
          <w:tcPr>
            <w:tcW w:w="0" w:type="dxa"/>
            <w:vAlign w:val="bottom"/>
          </w:tcPr>
          <w:p>
            <w:pPr>
              <w:spacing w:after="0"/>
              <w:rPr>
                <w:sz w:val="1"/>
                <w:szCs w:val="1"/>
                <w:color w:val="auto"/>
              </w:rPr>
            </w:pPr>
          </w:p>
        </w:tc>
      </w:tr>
    </w:tbl>
    <w:p>
      <w:pPr>
        <w:spacing w:after="0" w:line="4" w:lineRule="exact"/>
        <w:rPr>
          <w:sz w:val="20"/>
          <w:szCs w:val="20"/>
          <w:color w:val="auto"/>
        </w:rPr>
      </w:pPr>
    </w:p>
    <w:p>
      <w:pPr>
        <w:ind w:left="2120" w:right="1940" w:hanging="118"/>
        <w:spacing w:after="0" w:line="257" w:lineRule="auto"/>
        <w:tabs>
          <w:tab w:leader="none" w:pos="2090" w:val="left"/>
        </w:tabs>
        <w:numPr>
          <w:ilvl w:val="0"/>
          <w:numId w:val="10"/>
        </w:numPr>
        <w:rPr>
          <w:rFonts w:ascii="Arial" w:cs="Arial" w:eastAsia="Arial" w:hAnsi="Arial"/>
          <w:sz w:val="13"/>
          <w:szCs w:val="13"/>
          <w:i w:val="1"/>
          <w:iCs w:val="1"/>
          <w:color w:val="auto"/>
        </w:rPr>
      </w:pPr>
      <w:r>
        <w:rPr>
          <w:rFonts w:ascii="Arial" w:cs="Arial" w:eastAsia="Arial" w:hAnsi="Arial"/>
          <w:sz w:val="13"/>
          <w:szCs w:val="13"/>
          <w:i w:val="1"/>
          <w:iCs w:val="1"/>
          <w:color w:val="auto"/>
        </w:rPr>
        <w:t>A QF is a generating facility which meets the requirements for QF status under the Public Utility Regulatory Policies Act of 1978. It includes cogeneration facilities, which produce electricity and another form of useful thermal energy (such as heat or steam) used for industrial, commercial, residential or institutional purposes. It also includes small power production facilities, which are generating facilities whose primary energy source is renewable (hydro, wind, solar, etc.), biomass, waste, or geothermal resources. Small power production facilities are generally limited in size to 80 MW.</w:t>
      </w:r>
    </w:p>
    <w:p>
      <w:pPr>
        <w:spacing w:after="0" w:line="264" w:lineRule="exact"/>
        <w:rPr>
          <w:sz w:val="20"/>
          <w:szCs w:val="20"/>
          <w:color w:val="auto"/>
        </w:rPr>
      </w:pPr>
    </w:p>
    <w:p>
      <w:pPr>
        <w:ind w:right="300"/>
        <w:spacing w:after="0" w:line="319" w:lineRule="auto"/>
        <w:rPr>
          <w:sz w:val="20"/>
          <w:szCs w:val="20"/>
          <w:color w:val="auto"/>
        </w:rPr>
      </w:pPr>
      <w:r>
        <w:rPr>
          <w:rFonts w:ascii="Arial" w:cs="Arial" w:eastAsia="Arial" w:hAnsi="Arial"/>
          <w:sz w:val="14"/>
          <w:szCs w:val="14"/>
          <w:color w:val="auto"/>
        </w:rPr>
        <w:t>Under the contract with PGE, SDG&amp;E pays a capacity charge plus a charge based on the amount of energy received and/or PGE's non-fuel costs. Costs under most of the contracts with QFs are based on SDG&amp;E's avoided cost. Charges under the remaining contracts are for firm and as-available energy, and are based on the amount of energy received or are tolls based on available capacity. The prices under these contracts are based on the market value at the time the contracts were negotiated.</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Natural Gas Supply</w:t>
      </w:r>
    </w:p>
    <w:p>
      <w:pPr>
        <w:spacing w:after="0" w:line="23" w:lineRule="exact"/>
        <w:rPr>
          <w:sz w:val="20"/>
          <w:szCs w:val="20"/>
          <w:color w:val="auto"/>
        </w:rPr>
      </w:pPr>
    </w:p>
    <w:p>
      <w:pPr>
        <w:spacing w:after="0" w:line="312" w:lineRule="auto"/>
        <w:rPr>
          <w:sz w:val="20"/>
          <w:szCs w:val="20"/>
          <w:color w:val="auto"/>
        </w:rPr>
      </w:pPr>
      <w:r>
        <w:rPr>
          <w:rFonts w:ascii="Arial" w:cs="Arial" w:eastAsia="Arial" w:hAnsi="Arial"/>
          <w:sz w:val="15"/>
          <w:szCs w:val="15"/>
          <w:color w:val="auto"/>
        </w:rPr>
        <w:t>SDG&amp;E buys natural gas under short-term contracts for its Palomar and Miramar generating facilities and for the Cabrillo Power I, LLC and Dynegy South Bay Holdings, LLC tolling contracts. Purchases are from various southwestern U.S. suppliers and are primarily based on monthly and spot-market prices. SDG&amp;E's natural gas is</w:t>
      </w: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14"/>
          <w:szCs w:val="14"/>
          <w:color w:val="auto"/>
        </w:rPr>
        <w:t>12</w:t>
      </w:r>
    </w:p>
    <w:p>
      <w:pPr>
        <w:sectPr>
          <w:pgSz w:w="11900" w:h="16838" w:orient="portrait"/>
          <w:cols w:equalWidth="0" w:num="1">
            <w:col w:w="11280"/>
          </w:cols>
          <w:pgMar w:left="240" w:top="448" w:right="379" w:bottom="1440" w:gutter="0" w:footer="0" w:header="0"/>
        </w:sectPr>
      </w:pPr>
    </w:p>
    <w:bookmarkStart w:id="12" w:name="page13"/>
    <w:bookmarkEnd w:id="12"/>
    <w:p>
      <w:pPr>
        <w:ind w:right="320"/>
        <w:spacing w:after="0" w:line="259" w:lineRule="auto"/>
        <w:rPr>
          <w:sz w:val="20"/>
          <w:szCs w:val="20"/>
          <w:color w:val="auto"/>
        </w:rPr>
      </w:pPr>
      <w:r>
        <w:rPr>
          <w:rFonts w:ascii="Arial" w:cs="Arial" w:eastAsia="Arial" w:hAnsi="Arial"/>
          <w:sz w:val="16"/>
          <w:szCs w:val="16"/>
          <w:color w:val="auto"/>
        </w:rPr>
        <w:t>delivered from southern California border receipt points to the SoCal CityGate pool via firm access rights which expire on March 31, 2011. The natural gas is then delivered from the SoCal CityGate pool to the generating facilities through SoCalGas' pipelines on a SoCalGas transportation agreement that expires on May 31, 2009. Prior to the expiration of this agreement, SDG&amp;E intends to enter into a new transportation agreement with SoCalGas to meet its projected delivery requirements. SDG&amp;E has also contracted with SoCalGas for natural gas storage from April 1, 2009 to March 31, 2010.</w:t>
      </w:r>
    </w:p>
    <w:p>
      <w:pPr>
        <w:spacing w:after="0" w:line="59" w:lineRule="exact"/>
        <w:rPr>
          <w:sz w:val="20"/>
          <w:szCs w:val="20"/>
          <w:color w:val="auto"/>
        </w:rPr>
      </w:pPr>
    </w:p>
    <w:p>
      <w:pPr>
        <w:ind w:right="320"/>
        <w:spacing w:after="0" w:line="264" w:lineRule="auto"/>
        <w:rPr>
          <w:sz w:val="20"/>
          <w:szCs w:val="20"/>
          <w:color w:val="auto"/>
        </w:rPr>
      </w:pPr>
      <w:r>
        <w:rPr>
          <w:rFonts w:ascii="Arial" w:cs="Arial" w:eastAsia="Arial" w:hAnsi="Arial"/>
          <w:sz w:val="16"/>
          <w:szCs w:val="16"/>
          <w:color w:val="auto"/>
        </w:rPr>
        <w:t>SDG&amp;E also buys natural gas as the California DWR's limited agent for the DWR-allocated contracts. Most of the natural gas deliveries for the DWR-allocated contracts are transported through the Kern River Gas Transmission Pipeline under a long-term transportation agreement. The DWR is financially responsible for the costs of gas and transportation.</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SONGS</w:t>
      </w:r>
    </w:p>
    <w:p>
      <w:pPr>
        <w:spacing w:after="0" w:line="35" w:lineRule="exact"/>
        <w:rPr>
          <w:sz w:val="20"/>
          <w:szCs w:val="20"/>
          <w:color w:val="auto"/>
        </w:rPr>
      </w:pPr>
    </w:p>
    <w:p>
      <w:pPr>
        <w:ind w:right="120"/>
        <w:spacing w:after="0" w:line="264" w:lineRule="auto"/>
        <w:rPr>
          <w:sz w:val="20"/>
          <w:szCs w:val="20"/>
          <w:color w:val="auto"/>
        </w:rPr>
      </w:pPr>
      <w:r>
        <w:rPr>
          <w:rFonts w:ascii="Arial" w:cs="Arial" w:eastAsia="Arial" w:hAnsi="Arial"/>
          <w:sz w:val="16"/>
          <w:szCs w:val="16"/>
          <w:color w:val="auto"/>
        </w:rPr>
        <w:t>SDG&amp;E has a 20-percent ownership interest in SONGS, which is located south of San Clemente, California. SONGS consists of two operating nuclear generating units: Units 2 and 3. Unit 1 is permanently shut down and is being decommissioned. The city of Riverside owns 1.79 percent of Units 2 and 3, and Southern California Edison (Edison), the operator of SONGS, owns the remaining interests.</w:t>
      </w:r>
    </w:p>
    <w:p>
      <w:pPr>
        <w:spacing w:after="0" w:line="54" w:lineRule="exact"/>
        <w:rPr>
          <w:sz w:val="20"/>
          <w:szCs w:val="20"/>
          <w:color w:val="auto"/>
        </w:rPr>
      </w:pPr>
    </w:p>
    <w:p>
      <w:pPr>
        <w:spacing w:after="0"/>
        <w:rPr>
          <w:sz w:val="20"/>
          <w:szCs w:val="20"/>
          <w:color w:val="auto"/>
        </w:rPr>
      </w:pPr>
      <w:r>
        <w:rPr>
          <w:rFonts w:ascii="Arial" w:cs="Arial" w:eastAsia="Arial" w:hAnsi="Arial"/>
          <w:sz w:val="15"/>
          <w:szCs w:val="15"/>
          <w:color w:val="auto"/>
        </w:rPr>
        <w:t>Units 2 and 3 began commercial operation in August 1983 and April 1984, respectively. SDG&amp;E's share of the capacity is 214 MW of Unit 2 and 216 MW of Unit 3.</w:t>
      </w:r>
    </w:p>
    <w:p>
      <w:pPr>
        <w:spacing w:after="0" w:line="92" w:lineRule="exact"/>
        <w:rPr>
          <w:sz w:val="20"/>
          <w:szCs w:val="20"/>
          <w:color w:val="auto"/>
        </w:rPr>
      </w:pPr>
    </w:p>
    <w:p>
      <w:pPr>
        <w:ind w:right="220"/>
        <w:spacing w:after="0" w:line="277" w:lineRule="auto"/>
        <w:rPr>
          <w:sz w:val="20"/>
          <w:szCs w:val="20"/>
          <w:color w:val="auto"/>
        </w:rPr>
      </w:pPr>
      <w:r>
        <w:rPr>
          <w:rFonts w:ascii="Arial" w:cs="Arial" w:eastAsia="Arial" w:hAnsi="Arial"/>
          <w:sz w:val="16"/>
          <w:szCs w:val="16"/>
          <w:color w:val="auto"/>
        </w:rPr>
        <w:t>Unit 1 was removed from service in November 1992 when the CPUC issued a decision to permanently shut it down. The decommissioning of Unit 1 is now in progress and its spent nuclear fuel is being stored on site in an independent spent fuel storage installation (ISFSI) licensed by the NRC.</w:t>
      </w:r>
    </w:p>
    <w:p>
      <w:pPr>
        <w:spacing w:after="0" w:line="44" w:lineRule="exact"/>
        <w:rPr>
          <w:sz w:val="20"/>
          <w:szCs w:val="20"/>
          <w:color w:val="auto"/>
        </w:rPr>
      </w:pPr>
    </w:p>
    <w:p>
      <w:pPr>
        <w:ind w:right="180"/>
        <w:spacing w:after="0" w:line="277" w:lineRule="auto"/>
        <w:rPr>
          <w:sz w:val="20"/>
          <w:szCs w:val="20"/>
          <w:color w:val="auto"/>
        </w:rPr>
      </w:pPr>
      <w:r>
        <w:rPr>
          <w:rFonts w:ascii="Arial" w:cs="Arial" w:eastAsia="Arial" w:hAnsi="Arial"/>
          <w:sz w:val="16"/>
          <w:szCs w:val="16"/>
          <w:color w:val="auto"/>
        </w:rPr>
        <w:t>SDG&amp;E has fully recovered its capital investment in SONGS through December 31, 2003 and earns a return only on subsequent capital additions, including SDG&amp;E’s share of costs associated with planned steam generator replacements.</w:t>
      </w:r>
    </w:p>
    <w:p>
      <w:pPr>
        <w:spacing w:after="0" w:line="44" w:lineRule="exact"/>
        <w:rPr>
          <w:sz w:val="20"/>
          <w:szCs w:val="20"/>
          <w:color w:val="auto"/>
        </w:rPr>
      </w:pPr>
    </w:p>
    <w:p>
      <w:pPr>
        <w:ind w:right="20"/>
        <w:spacing w:after="0" w:line="312" w:lineRule="auto"/>
        <w:rPr>
          <w:sz w:val="20"/>
          <w:szCs w:val="20"/>
          <w:color w:val="auto"/>
        </w:rPr>
      </w:pPr>
      <w:r>
        <w:rPr>
          <w:rFonts w:ascii="Arial" w:cs="Arial" w:eastAsia="Arial" w:hAnsi="Arial"/>
          <w:sz w:val="15"/>
          <w:szCs w:val="15"/>
          <w:color w:val="auto"/>
        </w:rPr>
        <w:t>We provide additional information concerning the SONGS units and nuclear decommissioning below in "Environmental Matters" and in "Management's Discussion and Analysis of Financial Condition and Results of Operations" and Notes 7, 14 and 16 of the Notes to Consolidated Financial Statements in the Annual Report.</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Nuclear Fuel Supply</w:t>
      </w:r>
    </w:p>
    <w:p>
      <w:pPr>
        <w:spacing w:after="0" w:line="35" w:lineRule="exact"/>
        <w:rPr>
          <w:sz w:val="20"/>
          <w:szCs w:val="20"/>
          <w:color w:val="auto"/>
        </w:rPr>
      </w:pPr>
    </w:p>
    <w:p>
      <w:pPr>
        <w:spacing w:after="0" w:line="264" w:lineRule="auto"/>
        <w:rPr>
          <w:sz w:val="20"/>
          <w:szCs w:val="20"/>
          <w:color w:val="auto"/>
        </w:rPr>
      </w:pPr>
      <w:r>
        <w:rPr>
          <w:rFonts w:ascii="Arial" w:cs="Arial" w:eastAsia="Arial" w:hAnsi="Arial"/>
          <w:sz w:val="16"/>
          <w:szCs w:val="16"/>
          <w:color w:val="auto"/>
        </w:rPr>
        <w:t>The nuclear fuel supply cycle includes materials and services (uranium oxide, conversion of uranium oxide to uranium hexafluoride, uranium enrichment services, and fabrication of fuel assemblies) performed by others under various contracts that extend through 2020. The supply contracts are index-priced and provide nuclear fuel supply through 2022, the expiration of SONGS’ NRC license.</w:t>
      </w:r>
    </w:p>
    <w:p>
      <w:pPr>
        <w:spacing w:after="0" w:line="54" w:lineRule="exact"/>
        <w:rPr>
          <w:sz w:val="20"/>
          <w:szCs w:val="20"/>
          <w:color w:val="auto"/>
        </w:rPr>
      </w:pPr>
    </w:p>
    <w:p>
      <w:pPr>
        <w:ind w:right="40"/>
        <w:spacing w:after="0" w:line="308" w:lineRule="auto"/>
        <w:rPr>
          <w:sz w:val="20"/>
          <w:szCs w:val="20"/>
          <w:color w:val="auto"/>
        </w:rPr>
      </w:pPr>
      <w:r>
        <w:rPr>
          <w:rFonts w:ascii="Arial" w:cs="Arial" w:eastAsia="Arial" w:hAnsi="Arial"/>
          <w:sz w:val="14"/>
          <w:szCs w:val="14"/>
          <w:color w:val="auto"/>
        </w:rPr>
        <w:t>Spent fuel from SONGS is being stored on site in both the ISFSI and spent fuel pools. Upon completion of the current phase of Unit 1 decommissioning, the site will have adequate space to build ISFSI storage capacity through 2022. Pursuant to the Nuclear Waste Policy Act of 1982, SDG&amp;E entered into a contract with the U.S. Department of Energy (DOE) for spent-fuel disposal. Under the agreement, the DOE is responsible for the ultimate disposal of spent fuel from SONGS. SDG&amp;E pays the DOE a disposal fee of $1.00 per megawatt-hour of net nuclear generation, or $3 million per year. The DOE projects that it will not begin accepting spent fuel until 2017 at the earliest.</w:t>
      </w:r>
    </w:p>
    <w:p>
      <w:pPr>
        <w:spacing w:after="0" w:line="14" w:lineRule="exact"/>
        <w:rPr>
          <w:sz w:val="20"/>
          <w:szCs w:val="20"/>
          <w:color w:val="auto"/>
        </w:rPr>
      </w:pPr>
    </w:p>
    <w:p>
      <w:pPr>
        <w:ind w:right="440"/>
        <w:spacing w:after="0" w:line="277" w:lineRule="auto"/>
        <w:rPr>
          <w:sz w:val="20"/>
          <w:szCs w:val="20"/>
          <w:color w:val="auto"/>
        </w:rPr>
      </w:pPr>
      <w:r>
        <w:rPr>
          <w:rFonts w:ascii="Arial" w:cs="Arial" w:eastAsia="Arial" w:hAnsi="Arial"/>
          <w:sz w:val="16"/>
          <w:szCs w:val="16"/>
          <w:color w:val="auto"/>
        </w:rPr>
        <w:t>We provide additional information concerning nuclear-fuel costs and the storage and movement of spent fuel in Notes 14 and 16, respectively, of the Notes to Consolidated Financial Statements in the Annual Report.</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Power Pools</w:t>
      </w:r>
    </w:p>
    <w:p>
      <w:pPr>
        <w:spacing w:after="0" w:line="35" w:lineRule="exact"/>
        <w:rPr>
          <w:sz w:val="20"/>
          <w:szCs w:val="20"/>
          <w:color w:val="auto"/>
        </w:rPr>
      </w:pPr>
    </w:p>
    <w:p>
      <w:pPr>
        <w:ind w:right="320"/>
        <w:spacing w:after="0" w:line="259" w:lineRule="auto"/>
        <w:rPr>
          <w:sz w:val="20"/>
          <w:szCs w:val="20"/>
          <w:color w:val="auto"/>
        </w:rPr>
      </w:pPr>
      <w:r>
        <w:rPr>
          <w:rFonts w:ascii="Arial" w:cs="Arial" w:eastAsia="Arial" w:hAnsi="Arial"/>
          <w:sz w:val="16"/>
          <w:szCs w:val="16"/>
          <w:color w:val="auto"/>
        </w:rPr>
        <w:t>SDG&amp;E is a participant in the Western Systems Power Pool, which includes an electric-power and transmission-rate agreement with utilities and power agencies located throughout the United States and Canada. More than 300 investor-owned and municipal utilities, state and federal power agencies, energy brokers and power marketers share power and information in order to increase efficiency and competition in the bulk power market. Participants are able to make power transactions on standardized terms preapproved by the FERC.</w:t>
      </w: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4"/>
          <w:szCs w:val="14"/>
          <w:color w:val="auto"/>
        </w:rPr>
        <w:t>13</w:t>
      </w:r>
    </w:p>
    <w:p>
      <w:pPr>
        <w:sectPr>
          <w:pgSz w:w="11900" w:h="16838" w:orient="portrait"/>
          <w:cols w:equalWidth="0" w:num="1">
            <w:col w:w="11420"/>
          </w:cols>
          <w:pgMar w:left="240" w:top="127" w:right="239" w:bottom="1440" w:gutter="0" w:footer="0" w:header="0"/>
        </w:sectPr>
      </w:pPr>
    </w:p>
    <w:bookmarkStart w:id="13" w:name="page14"/>
    <w:bookmarkEnd w:id="13"/>
    <w:p>
      <w:pPr>
        <w:ind w:left="4"/>
        <w:spacing w:after="0"/>
        <w:rPr>
          <w:sz w:val="20"/>
          <w:szCs w:val="20"/>
          <w:color w:val="auto"/>
        </w:rPr>
      </w:pPr>
      <w:r>
        <w:rPr>
          <w:rFonts w:ascii="Arial" w:cs="Arial" w:eastAsia="Arial" w:hAnsi="Arial"/>
          <w:sz w:val="18"/>
          <w:szCs w:val="18"/>
          <w:b w:val="1"/>
          <w:bCs w:val="1"/>
          <w:i w:val="1"/>
          <w:iCs w:val="1"/>
          <w:color w:val="auto"/>
        </w:rPr>
        <w:t>Transmission Arrangements</w:t>
      </w:r>
    </w:p>
    <w:p>
      <w:pPr>
        <w:spacing w:after="0" w:line="23" w:lineRule="exact"/>
        <w:rPr>
          <w:sz w:val="20"/>
          <w:szCs w:val="20"/>
          <w:color w:val="auto"/>
        </w:rPr>
      </w:pPr>
    </w:p>
    <w:p>
      <w:pPr>
        <w:ind w:left="4" w:right="380"/>
        <w:spacing w:after="0" w:line="277" w:lineRule="auto"/>
        <w:rPr>
          <w:sz w:val="20"/>
          <w:szCs w:val="20"/>
          <w:color w:val="auto"/>
        </w:rPr>
      </w:pPr>
      <w:r>
        <w:rPr>
          <w:rFonts w:ascii="Arial" w:cs="Arial" w:eastAsia="Arial" w:hAnsi="Arial"/>
          <w:sz w:val="16"/>
          <w:szCs w:val="16"/>
          <w:color w:val="auto"/>
        </w:rPr>
        <w:t>SDG&amp;E's 500-kV Southwest Powerlink transmission line, which is shared with Arizona Public Service Company and Imperial Irrigation District, extends from Palo Verde, Arizona to San Diego, California. SDG&amp;E's share of the line is 1,162 MW, although it can be less under certain system conditions.</w:t>
      </w:r>
    </w:p>
    <w:p>
      <w:pPr>
        <w:spacing w:after="0" w:line="44" w:lineRule="exact"/>
        <w:rPr>
          <w:sz w:val="20"/>
          <w:szCs w:val="20"/>
          <w:color w:val="auto"/>
        </w:rPr>
      </w:pPr>
    </w:p>
    <w:p>
      <w:pPr>
        <w:ind w:left="4"/>
        <w:spacing w:after="0" w:line="277" w:lineRule="auto"/>
        <w:rPr>
          <w:sz w:val="20"/>
          <w:szCs w:val="20"/>
          <w:color w:val="auto"/>
        </w:rPr>
      </w:pPr>
      <w:r>
        <w:rPr>
          <w:rFonts w:ascii="Arial" w:cs="Arial" w:eastAsia="Arial" w:hAnsi="Arial"/>
          <w:sz w:val="16"/>
          <w:szCs w:val="16"/>
          <w:color w:val="auto"/>
        </w:rPr>
        <w:t>Mexico's Baja California Norte system is connected to SDG&amp;E's system via two 230-kV interconnections with firm capability of 408 MW in the north to south direction and 800 MW in the south to north direction.</w:t>
      </w:r>
    </w:p>
    <w:p>
      <w:pPr>
        <w:spacing w:after="0" w:line="44" w:lineRule="exact"/>
        <w:rPr>
          <w:sz w:val="20"/>
          <w:szCs w:val="20"/>
          <w:color w:val="auto"/>
        </w:rPr>
      </w:pPr>
    </w:p>
    <w:p>
      <w:pPr>
        <w:ind w:left="4" w:right="60"/>
        <w:spacing w:after="0" w:line="259" w:lineRule="auto"/>
        <w:rPr>
          <w:sz w:val="20"/>
          <w:szCs w:val="20"/>
          <w:color w:val="auto"/>
        </w:rPr>
      </w:pPr>
      <w:r>
        <w:rPr>
          <w:rFonts w:ascii="Arial" w:cs="Arial" w:eastAsia="Arial" w:hAnsi="Arial"/>
          <w:sz w:val="16"/>
          <w:szCs w:val="16"/>
          <w:color w:val="auto"/>
        </w:rPr>
        <w:t>In December 2008, the CPUC approved SDG&amp;E’s Sunrise Powerlink, a new 120-mile, 500-kV transmission line between the existing Imperial Valley Substation and a new central substation to be located within the SDG&amp;E system. SDG&amp;E is in the final engineering, design and procurement phase. SDG&amp;E expects the line to be in commercial operation in 2012. The Sunrise Powerlink is designed to have a rating of 1,000 MW. We provide further discussion in Note 14 of the Notes to Consolidated Financial Statements in the Annual Report.</w:t>
      </w:r>
    </w:p>
    <w:p>
      <w:pPr>
        <w:spacing w:after="0" w:line="141" w:lineRule="exact"/>
        <w:rPr>
          <w:sz w:val="20"/>
          <w:szCs w:val="20"/>
          <w:color w:val="auto"/>
        </w:rPr>
      </w:pPr>
    </w:p>
    <w:p>
      <w:pPr>
        <w:ind w:left="4"/>
        <w:spacing w:after="0"/>
        <w:rPr>
          <w:sz w:val="20"/>
          <w:szCs w:val="20"/>
          <w:color w:val="auto"/>
        </w:rPr>
      </w:pPr>
      <w:r>
        <w:rPr>
          <w:rFonts w:ascii="Arial" w:cs="Arial" w:eastAsia="Arial" w:hAnsi="Arial"/>
          <w:sz w:val="18"/>
          <w:szCs w:val="18"/>
          <w:b w:val="1"/>
          <w:bCs w:val="1"/>
          <w:i w:val="1"/>
          <w:iCs w:val="1"/>
          <w:color w:val="auto"/>
        </w:rPr>
        <w:t>Transmission Access</w:t>
      </w:r>
    </w:p>
    <w:p>
      <w:pPr>
        <w:spacing w:after="0" w:line="35" w:lineRule="exact"/>
        <w:rPr>
          <w:sz w:val="20"/>
          <w:szCs w:val="20"/>
          <w:color w:val="auto"/>
        </w:rPr>
      </w:pPr>
    </w:p>
    <w:p>
      <w:pPr>
        <w:ind w:left="4" w:right="40"/>
        <w:spacing w:after="0" w:line="264" w:lineRule="auto"/>
        <w:rPr>
          <w:sz w:val="20"/>
          <w:szCs w:val="20"/>
          <w:color w:val="auto"/>
        </w:rPr>
      </w:pPr>
      <w:r>
        <w:rPr>
          <w:rFonts w:ascii="Arial" w:cs="Arial" w:eastAsia="Arial" w:hAnsi="Arial"/>
          <w:sz w:val="16"/>
          <w:szCs w:val="16"/>
          <w:color w:val="auto"/>
        </w:rPr>
        <w:t>The National Energy Policy Act governs procedures for requests for transmission service. The FERC approved the California investor-owned utilities' (IOUs) transfer of operation and control of their transmission facilities to the Independent System Operator (ISO) in 1998. We provide additional information regarding the FERC and transmission issues in Note 14 of the Notes to Consolidated Financial Statements in the Annual Report.</w:t>
      </w:r>
    </w:p>
    <w:p>
      <w:pPr>
        <w:spacing w:after="0" w:line="237"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auto"/>
        </w:rPr>
        <w:t>RATES AND REGULATION – SEMPRA UTILITIES</w:t>
      </w:r>
    </w:p>
    <w:p>
      <w:pPr>
        <w:spacing w:after="0" w:line="101" w:lineRule="exact"/>
        <w:rPr>
          <w:sz w:val="20"/>
          <w:szCs w:val="20"/>
          <w:color w:val="auto"/>
        </w:rPr>
      </w:pPr>
    </w:p>
    <w:p>
      <w:pPr>
        <w:ind w:left="4" w:right="360"/>
        <w:spacing w:after="0" w:line="277" w:lineRule="auto"/>
        <w:rPr>
          <w:sz w:val="20"/>
          <w:szCs w:val="20"/>
          <w:color w:val="auto"/>
        </w:rPr>
      </w:pPr>
      <w:r>
        <w:rPr>
          <w:rFonts w:ascii="Arial" w:cs="Arial" w:eastAsia="Arial" w:hAnsi="Arial"/>
          <w:sz w:val="16"/>
          <w:szCs w:val="16"/>
          <w:color w:val="auto"/>
        </w:rPr>
        <w:t>We provide information concerning rates and regulation applicable to the Sempra Utilities in "Management's Discussion and Analysis of Financial Condition and Results of Operations" and in Notes 1, 14 and 15 of the Notes to Consolidated Financial Statements in the Annual Report.</w:t>
      </w:r>
    </w:p>
    <w:p>
      <w:pPr>
        <w:spacing w:after="0" w:line="228"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auto"/>
        </w:rPr>
        <w:t>SEMPRA GLOBAL</w:t>
      </w:r>
    </w:p>
    <w:p>
      <w:pPr>
        <w:spacing w:after="0" w:line="101" w:lineRule="exact"/>
        <w:rPr>
          <w:sz w:val="20"/>
          <w:szCs w:val="20"/>
          <w:color w:val="auto"/>
        </w:rPr>
      </w:pPr>
    </w:p>
    <w:p>
      <w:pPr>
        <w:ind w:left="4" w:right="200"/>
        <w:spacing w:after="0" w:line="259" w:lineRule="auto"/>
        <w:rPr>
          <w:sz w:val="20"/>
          <w:szCs w:val="20"/>
          <w:color w:val="auto"/>
        </w:rPr>
      </w:pPr>
      <w:r>
        <w:rPr>
          <w:rFonts w:ascii="Arial" w:cs="Arial" w:eastAsia="Arial" w:hAnsi="Arial"/>
          <w:sz w:val="16"/>
          <w:szCs w:val="16"/>
          <w:color w:val="auto"/>
        </w:rPr>
        <w:t>Sempra Global is a holding company for most of our subsidiaries that are not subject to California utility regulation. Sempra Global includes Sempra Commodities, Sempra Generation, Sempra Pipelines &amp; Storage and Sempra LNG. We provide descriptions of these business units and information concerning their operations under "Management's Discussion and Analysis of Financial Condition and Results of Operations" and in Notes 1, 3, 4, 5, 16 and 17 of the Notes to Consolidated Financial Statements in the Annual Report.</w:t>
      </w:r>
    </w:p>
    <w:p>
      <w:pPr>
        <w:spacing w:after="0" w:line="153" w:lineRule="exact"/>
        <w:rPr>
          <w:sz w:val="20"/>
          <w:szCs w:val="20"/>
          <w:color w:val="auto"/>
        </w:rPr>
      </w:pPr>
    </w:p>
    <w:p>
      <w:pPr>
        <w:ind w:left="4"/>
        <w:spacing w:after="0"/>
        <w:rPr>
          <w:sz w:val="20"/>
          <w:szCs w:val="20"/>
          <w:color w:val="auto"/>
        </w:rPr>
      </w:pPr>
      <w:r>
        <w:rPr>
          <w:rFonts w:ascii="Arial" w:cs="Arial" w:eastAsia="Arial" w:hAnsi="Arial"/>
          <w:sz w:val="18"/>
          <w:szCs w:val="18"/>
          <w:b w:val="1"/>
          <w:bCs w:val="1"/>
          <w:i w:val="1"/>
          <w:iCs w:val="1"/>
          <w:color w:val="auto"/>
        </w:rPr>
        <w:t>Competition</w:t>
      </w:r>
    </w:p>
    <w:p>
      <w:pPr>
        <w:spacing w:after="0" w:line="23" w:lineRule="exact"/>
        <w:rPr>
          <w:sz w:val="20"/>
          <w:szCs w:val="20"/>
          <w:color w:val="auto"/>
        </w:rPr>
      </w:pPr>
    </w:p>
    <w:p>
      <w:pPr>
        <w:jc w:val="both"/>
        <w:ind w:left="4" w:right="40"/>
        <w:spacing w:after="0" w:line="264" w:lineRule="auto"/>
        <w:rPr>
          <w:sz w:val="20"/>
          <w:szCs w:val="20"/>
          <w:color w:val="auto"/>
        </w:rPr>
      </w:pPr>
      <w:r>
        <w:rPr>
          <w:rFonts w:ascii="Arial" w:cs="Arial" w:eastAsia="Arial" w:hAnsi="Arial"/>
          <w:sz w:val="16"/>
          <w:szCs w:val="16"/>
          <w:color w:val="auto"/>
        </w:rPr>
        <w:t>Sempra Energy’s non-utility businesses are among many others in the energy industry providing similar products and services. They are engaged in highly competitive activities that require significant capital investments and highly skilled and experienced personnel. Many of their competitors may have significantly greater financial, personnel and other resources than Sempra Global.</w:t>
      </w:r>
    </w:p>
    <w:p>
      <w:pPr>
        <w:spacing w:after="0" w:line="51" w:lineRule="exact"/>
        <w:rPr>
          <w:sz w:val="20"/>
          <w:szCs w:val="20"/>
          <w:color w:val="auto"/>
        </w:rPr>
      </w:pPr>
    </w:p>
    <w:p>
      <w:pPr>
        <w:ind w:left="4"/>
        <w:spacing w:after="0"/>
        <w:rPr>
          <w:sz w:val="20"/>
          <w:szCs w:val="20"/>
          <w:color w:val="auto"/>
        </w:rPr>
      </w:pPr>
      <w:r>
        <w:rPr>
          <w:rFonts w:ascii="Arial" w:cs="Arial" w:eastAsia="Arial" w:hAnsi="Arial"/>
          <w:sz w:val="18"/>
          <w:szCs w:val="18"/>
          <w:i w:val="1"/>
          <w:iCs w:val="1"/>
          <w:color w:val="auto"/>
        </w:rPr>
        <w:t>Sempra Commodities</w:t>
      </w:r>
    </w:p>
    <w:p>
      <w:pPr>
        <w:spacing w:after="0" w:line="72" w:lineRule="exact"/>
        <w:rPr>
          <w:sz w:val="20"/>
          <w:szCs w:val="20"/>
          <w:color w:val="auto"/>
        </w:rPr>
      </w:pPr>
    </w:p>
    <w:p>
      <w:pPr>
        <w:jc w:val="both"/>
        <w:ind w:left="4" w:right="60"/>
        <w:spacing w:after="0" w:line="264" w:lineRule="auto"/>
        <w:rPr>
          <w:sz w:val="20"/>
          <w:szCs w:val="20"/>
          <w:color w:val="auto"/>
        </w:rPr>
      </w:pPr>
      <w:r>
        <w:rPr>
          <w:rFonts w:ascii="Arial" w:cs="Arial" w:eastAsia="Arial" w:hAnsi="Arial"/>
          <w:sz w:val="16"/>
          <w:szCs w:val="16"/>
          <w:color w:val="auto"/>
        </w:rPr>
        <w:t>Sempra Commodities is primarily comprised of our investment in RBS Sempra Commodities, a joint venture formed in April 2008. This partnership is discussed in Notes 3 and 4 of the Notes to Consolidated Financial Statements in the Annual Report. This business unit also includes Sempra Rockies Marketing, which holds firm service capacity on the Rockies Express Pipeline.</w:t>
      </w:r>
    </w:p>
    <w:p>
      <w:pPr>
        <w:spacing w:after="0" w:line="54" w:lineRule="exact"/>
        <w:rPr>
          <w:sz w:val="20"/>
          <w:szCs w:val="20"/>
          <w:color w:val="auto"/>
        </w:rPr>
      </w:pPr>
    </w:p>
    <w:p>
      <w:pPr>
        <w:ind w:left="4"/>
        <w:spacing w:after="0"/>
        <w:rPr>
          <w:sz w:val="20"/>
          <w:szCs w:val="20"/>
          <w:color w:val="auto"/>
        </w:rPr>
      </w:pPr>
      <w:r>
        <w:rPr>
          <w:rFonts w:ascii="Arial" w:cs="Arial" w:eastAsia="Arial" w:hAnsi="Arial"/>
          <w:sz w:val="16"/>
          <w:szCs w:val="16"/>
          <w:color w:val="auto"/>
        </w:rPr>
        <w:t>All aspects of RBS Sempra Commodities’ business are intensely competitive and are expected to remain so. Sources of competition include the following:</w:t>
      </w:r>
    </w:p>
    <w:p>
      <w:pPr>
        <w:spacing w:after="0" w:line="44" w:lineRule="exact"/>
        <w:rPr>
          <w:sz w:val="20"/>
          <w:szCs w:val="20"/>
          <w:color w:val="auto"/>
        </w:rPr>
      </w:pPr>
    </w:p>
    <w:p>
      <w:pPr>
        <w:ind w:left="144" w:hanging="144"/>
        <w:spacing w:after="0"/>
        <w:tabs>
          <w:tab w:leader="none" w:pos="144" w:val="left"/>
        </w:tabs>
        <w:numPr>
          <w:ilvl w:val="0"/>
          <w:numId w:val="11"/>
        </w:numPr>
        <w:rPr>
          <w:rFonts w:ascii="Arial" w:cs="Arial" w:eastAsia="Arial" w:hAnsi="Arial"/>
          <w:sz w:val="16"/>
          <w:szCs w:val="16"/>
          <w:color w:val="auto"/>
        </w:rPr>
      </w:pPr>
      <w:r>
        <w:rPr>
          <w:rFonts w:ascii="Arial" w:cs="Arial" w:eastAsia="Arial" w:hAnsi="Arial"/>
          <w:sz w:val="16"/>
          <w:szCs w:val="16"/>
          <w:color w:val="auto"/>
        </w:rPr>
        <w:t>other brokers and dealers,</w:t>
      </w:r>
    </w:p>
    <w:p>
      <w:pPr>
        <w:spacing w:after="0" w:line="32" w:lineRule="exact"/>
        <w:rPr>
          <w:rFonts w:ascii="Arial" w:cs="Arial" w:eastAsia="Arial" w:hAnsi="Arial"/>
          <w:sz w:val="16"/>
          <w:szCs w:val="16"/>
          <w:color w:val="auto"/>
        </w:rPr>
      </w:pPr>
    </w:p>
    <w:p>
      <w:pPr>
        <w:ind w:left="144" w:hanging="144"/>
        <w:spacing w:after="0"/>
        <w:tabs>
          <w:tab w:leader="none" w:pos="144" w:val="left"/>
        </w:tabs>
        <w:numPr>
          <w:ilvl w:val="0"/>
          <w:numId w:val="11"/>
        </w:numPr>
        <w:rPr>
          <w:rFonts w:ascii="Arial" w:cs="Arial" w:eastAsia="Arial" w:hAnsi="Arial"/>
          <w:sz w:val="16"/>
          <w:szCs w:val="16"/>
          <w:color w:val="auto"/>
        </w:rPr>
      </w:pPr>
      <w:r>
        <w:rPr>
          <w:rFonts w:ascii="Arial" w:cs="Arial" w:eastAsia="Arial" w:hAnsi="Arial"/>
          <w:sz w:val="16"/>
          <w:szCs w:val="16"/>
          <w:color w:val="auto"/>
        </w:rPr>
        <w:t>investment banking firms,</w:t>
      </w:r>
    </w:p>
    <w:p>
      <w:pPr>
        <w:spacing w:after="0" w:line="44" w:lineRule="exact"/>
        <w:rPr>
          <w:rFonts w:ascii="Arial" w:cs="Arial" w:eastAsia="Arial" w:hAnsi="Arial"/>
          <w:sz w:val="16"/>
          <w:szCs w:val="16"/>
          <w:color w:val="auto"/>
        </w:rPr>
      </w:pPr>
    </w:p>
    <w:p>
      <w:pPr>
        <w:ind w:left="144" w:hanging="144"/>
        <w:spacing w:after="0"/>
        <w:tabs>
          <w:tab w:leader="none" w:pos="144" w:val="left"/>
        </w:tabs>
        <w:numPr>
          <w:ilvl w:val="0"/>
          <w:numId w:val="11"/>
        </w:numPr>
        <w:rPr>
          <w:rFonts w:ascii="Arial" w:cs="Arial" w:eastAsia="Arial" w:hAnsi="Arial"/>
          <w:sz w:val="16"/>
          <w:szCs w:val="16"/>
          <w:color w:val="auto"/>
        </w:rPr>
      </w:pPr>
      <w:r>
        <w:rPr>
          <w:rFonts w:ascii="Arial" w:cs="Arial" w:eastAsia="Arial" w:hAnsi="Arial"/>
          <w:sz w:val="16"/>
          <w:szCs w:val="16"/>
          <w:color w:val="auto"/>
        </w:rPr>
        <w:t>energy companies, and</w:t>
      </w:r>
    </w:p>
    <w:p>
      <w:pPr>
        <w:spacing w:after="0" w:line="44" w:lineRule="exact"/>
        <w:rPr>
          <w:rFonts w:ascii="Arial" w:cs="Arial" w:eastAsia="Arial" w:hAnsi="Arial"/>
          <w:sz w:val="16"/>
          <w:szCs w:val="16"/>
          <w:color w:val="auto"/>
        </w:rPr>
      </w:pPr>
    </w:p>
    <w:p>
      <w:pPr>
        <w:ind w:left="144" w:hanging="144"/>
        <w:spacing w:after="0"/>
        <w:tabs>
          <w:tab w:leader="none" w:pos="144" w:val="left"/>
        </w:tabs>
        <w:numPr>
          <w:ilvl w:val="0"/>
          <w:numId w:val="11"/>
        </w:numPr>
        <w:rPr>
          <w:rFonts w:ascii="Arial" w:cs="Arial" w:eastAsia="Arial" w:hAnsi="Arial"/>
          <w:sz w:val="16"/>
          <w:szCs w:val="16"/>
          <w:color w:val="auto"/>
        </w:rPr>
      </w:pPr>
      <w:r>
        <w:rPr>
          <w:rFonts w:ascii="Arial" w:cs="Arial" w:eastAsia="Arial" w:hAnsi="Arial"/>
          <w:sz w:val="16"/>
          <w:szCs w:val="16"/>
          <w:color w:val="auto"/>
        </w:rPr>
        <w:t>other companies that offer similar products and services in the U.S. and globally.</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4"/>
        <w:spacing w:after="0"/>
        <w:rPr>
          <w:sz w:val="20"/>
          <w:szCs w:val="20"/>
          <w:color w:val="auto"/>
        </w:rPr>
      </w:pPr>
      <w:r>
        <w:rPr>
          <w:rFonts w:ascii="Arial" w:cs="Arial" w:eastAsia="Arial" w:hAnsi="Arial"/>
          <w:sz w:val="14"/>
          <w:szCs w:val="14"/>
          <w:color w:val="auto"/>
        </w:rPr>
        <w:t>14</w:t>
      </w:r>
    </w:p>
    <w:p>
      <w:pPr>
        <w:sectPr>
          <w:pgSz w:w="11900" w:h="16838" w:orient="portrait"/>
          <w:cols w:equalWidth="0" w:num="1">
            <w:col w:w="11384"/>
          </w:cols>
          <w:pgMar w:left="236" w:top="305" w:right="279" w:bottom="1440" w:gutter="0" w:footer="0" w:header="0"/>
        </w:sectPr>
      </w:pPr>
    </w:p>
    <w:bookmarkStart w:id="14" w:name="page15"/>
    <w:bookmarkEnd w:id="14"/>
    <w:p>
      <w:pPr>
        <w:ind w:left="4"/>
        <w:spacing w:after="0"/>
        <w:rPr>
          <w:sz w:val="20"/>
          <w:szCs w:val="20"/>
          <w:color w:val="auto"/>
        </w:rPr>
      </w:pPr>
      <w:r>
        <w:rPr>
          <w:rFonts w:ascii="Arial" w:cs="Arial" w:eastAsia="Arial" w:hAnsi="Arial"/>
          <w:sz w:val="15"/>
          <w:szCs w:val="15"/>
          <w:color w:val="auto"/>
        </w:rPr>
        <w:t>RBS Sempra Commodities’ competition is based on a number of factors, including transaction execution, products and services, innovation, reputation and price.</w:t>
      </w:r>
    </w:p>
    <w:p>
      <w:pPr>
        <w:spacing w:after="0" w:line="104" w:lineRule="exact"/>
        <w:rPr>
          <w:sz w:val="20"/>
          <w:szCs w:val="20"/>
          <w:color w:val="auto"/>
        </w:rPr>
      </w:pPr>
    </w:p>
    <w:p>
      <w:pPr>
        <w:ind w:left="4" w:right="80"/>
        <w:spacing w:after="0" w:line="277" w:lineRule="auto"/>
        <w:rPr>
          <w:sz w:val="20"/>
          <w:szCs w:val="20"/>
          <w:color w:val="auto"/>
        </w:rPr>
      </w:pPr>
      <w:r>
        <w:rPr>
          <w:rFonts w:ascii="Arial" w:cs="Arial" w:eastAsia="Arial" w:hAnsi="Arial"/>
          <w:sz w:val="16"/>
          <w:szCs w:val="16"/>
          <w:color w:val="auto"/>
        </w:rPr>
        <w:t>RBS Sempra Commodities also faces intense competition in attracting and retaining qualified employees. RBS Sempra Commodities’ ability to compete effectively will depend upon the ability to attract new employees and retain and motivate existing employees.</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6"/>
          <w:szCs w:val="16"/>
          <w:color w:val="auto"/>
        </w:rPr>
        <w:t>RBS Sempra Commodities’ competitors include Goldman Sachs, JPMorgan, Morgan Stanley and Barclay’s Capital.</w:t>
      </w:r>
    </w:p>
    <w:p>
      <w:pPr>
        <w:spacing w:after="0" w:line="90" w:lineRule="exact"/>
        <w:rPr>
          <w:sz w:val="20"/>
          <w:szCs w:val="20"/>
          <w:color w:val="auto"/>
        </w:rPr>
      </w:pPr>
    </w:p>
    <w:p>
      <w:pPr>
        <w:ind w:left="4"/>
        <w:spacing w:after="0"/>
        <w:rPr>
          <w:sz w:val="20"/>
          <w:szCs w:val="20"/>
          <w:color w:val="auto"/>
        </w:rPr>
      </w:pPr>
      <w:r>
        <w:rPr>
          <w:rFonts w:ascii="Arial" w:cs="Arial" w:eastAsia="Arial" w:hAnsi="Arial"/>
          <w:sz w:val="18"/>
          <w:szCs w:val="18"/>
          <w:i w:val="1"/>
          <w:iCs w:val="1"/>
          <w:color w:val="auto"/>
        </w:rPr>
        <w:t>Sempra Generation</w:t>
      </w:r>
    </w:p>
    <w:p>
      <w:pPr>
        <w:spacing w:after="0" w:line="72" w:lineRule="exact"/>
        <w:rPr>
          <w:sz w:val="20"/>
          <w:szCs w:val="20"/>
          <w:color w:val="auto"/>
        </w:rPr>
      </w:pPr>
    </w:p>
    <w:p>
      <w:pPr>
        <w:ind w:left="4"/>
        <w:spacing w:after="0"/>
        <w:rPr>
          <w:sz w:val="20"/>
          <w:szCs w:val="20"/>
          <w:color w:val="auto"/>
        </w:rPr>
      </w:pPr>
      <w:r>
        <w:rPr>
          <w:rFonts w:ascii="Arial" w:cs="Arial" w:eastAsia="Arial" w:hAnsi="Arial"/>
          <w:sz w:val="15"/>
          <w:szCs w:val="15"/>
          <w:color w:val="auto"/>
        </w:rPr>
        <w:t>For sales of non-contracted power, Sempra Generation is subject to competition from energy marketers, utilities, industrial companies and other independent power</w:t>
      </w:r>
    </w:p>
    <w:p>
      <w:pPr>
        <w:spacing w:after="0" w:line="32" w:lineRule="exact"/>
        <w:rPr>
          <w:sz w:val="20"/>
          <w:szCs w:val="20"/>
          <w:color w:val="auto"/>
        </w:rPr>
      </w:pPr>
    </w:p>
    <w:p>
      <w:pPr>
        <w:ind w:left="4"/>
        <w:spacing w:after="0" w:line="253" w:lineRule="auto"/>
        <w:rPr>
          <w:sz w:val="20"/>
          <w:szCs w:val="20"/>
          <w:color w:val="auto"/>
        </w:rPr>
      </w:pPr>
      <w:r>
        <w:rPr>
          <w:rFonts w:ascii="Arial" w:cs="Arial" w:eastAsia="Arial" w:hAnsi="Arial"/>
          <w:sz w:val="16"/>
          <w:szCs w:val="16"/>
          <w:color w:val="auto"/>
        </w:rPr>
        <w:t>producers. For a number of years, natural gas has been the fuel of choice for new power generation facilities for economic, operational and environmental reasons. While natural gas-fired facilities will continue to be an important part of the nation’s generation portfolio, some regulated utilities are now constructing units powered by renewable resources, often with subsidies or under legislative mandate. These utilities generally have a lower cost of capital than most independent power producers and often are able to recover fixed costs through rate base mechanisms. This recovery allows them to build, buy and upgrade generation without relying exclusively on market clearing prices to recover their investments.</w:t>
      </w:r>
    </w:p>
    <w:p>
      <w:pPr>
        <w:spacing w:after="0" w:line="63" w:lineRule="exact"/>
        <w:rPr>
          <w:sz w:val="20"/>
          <w:szCs w:val="20"/>
          <w:color w:val="auto"/>
        </w:rPr>
      </w:pPr>
    </w:p>
    <w:p>
      <w:pPr>
        <w:ind w:left="4" w:right="100"/>
        <w:spacing w:after="0" w:line="282" w:lineRule="auto"/>
        <w:rPr>
          <w:sz w:val="20"/>
          <w:szCs w:val="20"/>
          <w:color w:val="auto"/>
        </w:rPr>
      </w:pPr>
      <w:r>
        <w:rPr>
          <w:rFonts w:ascii="Arial" w:cs="Arial" w:eastAsia="Arial" w:hAnsi="Arial"/>
          <w:sz w:val="15"/>
          <w:szCs w:val="15"/>
          <w:color w:val="auto"/>
        </w:rPr>
        <w:t>When Sempra Generation sells power not subject to long-term contract commitments, it is exposed to market fluctuations in prices based on a number of factors, including the amount of capacity available to meet demand, the price and availability of fuel, and the presence of transmission constraints. Some of Sempra Generation’s competitors, such as electric utilities and generation companies, have their own generation capacity, including nuclear generation. These companies, generally larger than Sempra Generation, may have a lower cost of capital and may have competitive advantages as a result of their scale and the location of their generation facilities.</w:t>
      </w:r>
    </w:p>
    <w:p>
      <w:pPr>
        <w:spacing w:after="0" w:line="42" w:lineRule="exact"/>
        <w:rPr>
          <w:sz w:val="20"/>
          <w:szCs w:val="20"/>
          <w:color w:val="auto"/>
        </w:rPr>
      </w:pPr>
    </w:p>
    <w:p>
      <w:pPr>
        <w:ind w:left="4"/>
        <w:spacing w:after="0"/>
        <w:rPr>
          <w:sz w:val="20"/>
          <w:szCs w:val="20"/>
          <w:color w:val="auto"/>
        </w:rPr>
      </w:pPr>
      <w:r>
        <w:rPr>
          <w:rFonts w:ascii="Arial" w:cs="Arial" w:eastAsia="Arial" w:hAnsi="Arial"/>
          <w:sz w:val="16"/>
          <w:szCs w:val="16"/>
          <w:color w:val="auto"/>
        </w:rPr>
        <w:t>Sempra Generation’s competitors include</w:t>
      </w:r>
    </w:p>
    <w:p>
      <w:pPr>
        <w:spacing w:after="0" w:line="80" w:lineRule="exact"/>
        <w:rPr>
          <w:sz w:val="20"/>
          <w:szCs w:val="20"/>
          <w:color w:val="auto"/>
        </w:rPr>
      </w:pPr>
    </w:p>
    <w:tbl>
      <w:tblPr>
        <w:tblLayout w:type="fixed"/>
        <w:tblInd w:w="4" w:type="dxa"/>
        <w:tblCellMar>
          <w:top w:w="0" w:type="dxa"/>
          <w:left w:w="0" w:type="dxa"/>
          <w:bottom w:w="0" w:type="dxa"/>
          <w:right w:w="0" w:type="dxa"/>
        </w:tblCellMar>
      </w:tblPr>
      <w:tr>
        <w:trPr>
          <w:trHeight w:val="205"/>
        </w:trPr>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2480" w:type="dxa"/>
            <w:vAlign w:val="bottom"/>
          </w:tcPr>
          <w:p>
            <w:pPr>
              <w:ind w:left="40"/>
              <w:spacing w:after="0"/>
              <w:rPr>
                <w:sz w:val="20"/>
                <w:szCs w:val="20"/>
                <w:color w:val="auto"/>
              </w:rPr>
            </w:pPr>
            <w:r>
              <w:rPr>
                <w:rFonts w:ascii="Arial" w:cs="Arial" w:eastAsia="Arial" w:hAnsi="Arial"/>
                <w:sz w:val="16"/>
                <w:szCs w:val="16"/>
                <w:color w:val="auto"/>
              </w:rPr>
              <w:t>Edison Mission Energy</w:t>
            </w: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ind w:left="40"/>
              <w:spacing w:after="0"/>
              <w:rPr>
                <w:sz w:val="20"/>
                <w:szCs w:val="20"/>
                <w:color w:val="auto"/>
              </w:rPr>
            </w:pPr>
            <w:r>
              <w:rPr>
                <w:rFonts w:ascii="Arial" w:cs="Arial" w:eastAsia="Arial" w:hAnsi="Arial"/>
                <w:sz w:val="16"/>
                <w:szCs w:val="16"/>
                <w:color w:val="auto"/>
                <w:w w:val="89"/>
              </w:rPr>
              <w:t>Reliant Energy</w:t>
            </w:r>
          </w:p>
        </w:tc>
      </w:tr>
      <w:tr>
        <w:trPr>
          <w:trHeight w:val="252"/>
        </w:trPr>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2480" w:type="dxa"/>
            <w:vAlign w:val="bottom"/>
          </w:tcPr>
          <w:p>
            <w:pPr>
              <w:ind w:left="40"/>
              <w:spacing w:after="0"/>
              <w:rPr>
                <w:sz w:val="20"/>
                <w:szCs w:val="20"/>
                <w:color w:val="auto"/>
              </w:rPr>
            </w:pPr>
            <w:r>
              <w:rPr>
                <w:rFonts w:ascii="Arial" w:cs="Arial" w:eastAsia="Arial" w:hAnsi="Arial"/>
                <w:sz w:val="16"/>
                <w:szCs w:val="16"/>
                <w:color w:val="auto"/>
              </w:rPr>
              <w:t>FPL Energy LLC</w:t>
            </w: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ind w:left="40"/>
              <w:spacing w:after="0"/>
              <w:rPr>
                <w:sz w:val="20"/>
                <w:szCs w:val="20"/>
                <w:color w:val="auto"/>
              </w:rPr>
            </w:pPr>
            <w:r>
              <w:rPr>
                <w:rFonts w:ascii="Arial" w:cs="Arial" w:eastAsia="Arial" w:hAnsi="Arial"/>
                <w:sz w:val="16"/>
                <w:szCs w:val="16"/>
                <w:color w:val="auto"/>
                <w:w w:val="94"/>
              </w:rPr>
              <w:t>Mirant Energy</w:t>
            </w:r>
          </w:p>
        </w:tc>
      </w:tr>
      <w:tr>
        <w:trPr>
          <w:trHeight w:val="252"/>
        </w:trPr>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2480" w:type="dxa"/>
            <w:vAlign w:val="bottom"/>
          </w:tcPr>
          <w:p>
            <w:pPr>
              <w:ind w:left="40"/>
              <w:spacing w:after="0"/>
              <w:rPr>
                <w:sz w:val="20"/>
                <w:szCs w:val="20"/>
                <w:color w:val="auto"/>
              </w:rPr>
            </w:pPr>
            <w:r>
              <w:rPr>
                <w:rFonts w:ascii="Arial" w:cs="Arial" w:eastAsia="Arial" w:hAnsi="Arial"/>
                <w:sz w:val="16"/>
                <w:szCs w:val="16"/>
                <w:color w:val="auto"/>
              </w:rPr>
              <w:t>Calpine</w:t>
            </w: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ind w:left="40"/>
              <w:spacing w:after="0"/>
              <w:rPr>
                <w:sz w:val="20"/>
                <w:szCs w:val="20"/>
                <w:color w:val="auto"/>
              </w:rPr>
            </w:pPr>
            <w:r>
              <w:rPr>
                <w:rFonts w:ascii="Arial" w:cs="Arial" w:eastAsia="Arial" w:hAnsi="Arial"/>
                <w:sz w:val="16"/>
                <w:szCs w:val="16"/>
                <w:color w:val="auto"/>
              </w:rPr>
              <w:t>Dynegy</w:t>
            </w:r>
          </w:p>
        </w:tc>
      </w:tr>
    </w:tbl>
    <w:p>
      <w:pPr>
        <w:spacing w:after="0" w:line="202" w:lineRule="exact"/>
        <w:rPr>
          <w:sz w:val="20"/>
          <w:szCs w:val="20"/>
          <w:color w:val="auto"/>
        </w:rPr>
      </w:pPr>
    </w:p>
    <w:p>
      <w:pPr>
        <w:ind w:left="4"/>
        <w:spacing w:after="0"/>
        <w:rPr>
          <w:sz w:val="20"/>
          <w:szCs w:val="20"/>
          <w:color w:val="auto"/>
        </w:rPr>
      </w:pPr>
      <w:r>
        <w:rPr>
          <w:rFonts w:ascii="Arial" w:cs="Arial" w:eastAsia="Arial" w:hAnsi="Arial"/>
          <w:sz w:val="18"/>
          <w:szCs w:val="18"/>
          <w:i w:val="1"/>
          <w:iCs w:val="1"/>
          <w:color w:val="auto"/>
        </w:rPr>
        <w:t>Sempra Pipelines &amp; Storage</w:t>
      </w:r>
    </w:p>
    <w:p>
      <w:pPr>
        <w:spacing w:after="0" w:line="84" w:lineRule="exact"/>
        <w:rPr>
          <w:sz w:val="20"/>
          <w:szCs w:val="20"/>
          <w:color w:val="auto"/>
        </w:rPr>
      </w:pPr>
    </w:p>
    <w:p>
      <w:pPr>
        <w:ind w:left="4" w:right="480"/>
        <w:spacing w:after="0" w:line="340" w:lineRule="auto"/>
        <w:rPr>
          <w:sz w:val="20"/>
          <w:szCs w:val="20"/>
          <w:color w:val="auto"/>
        </w:rPr>
      </w:pPr>
      <w:r>
        <w:rPr>
          <w:rFonts w:ascii="Arial" w:cs="Arial" w:eastAsia="Arial" w:hAnsi="Arial"/>
          <w:sz w:val="14"/>
          <w:szCs w:val="14"/>
          <w:color w:val="auto"/>
        </w:rPr>
        <w:t>Within its market area, Sempra Pipelines &amp; Storage’s natural gas storage facilities and pipelines compete with other storage facilities and pipelines (both regulated and unregulated systems). It competes primarily on the basis of price (in terms of storage and transportation fees), available capacity, and connections to downstream markets.</w:t>
      </w:r>
    </w:p>
    <w:p>
      <w:pPr>
        <w:ind w:left="4"/>
        <w:spacing w:after="0"/>
        <w:rPr>
          <w:sz w:val="20"/>
          <w:szCs w:val="20"/>
          <w:color w:val="auto"/>
        </w:rPr>
      </w:pPr>
      <w:r>
        <w:rPr>
          <w:rFonts w:ascii="Arial" w:cs="Arial" w:eastAsia="Arial" w:hAnsi="Arial"/>
          <w:sz w:val="16"/>
          <w:szCs w:val="16"/>
          <w:color w:val="auto"/>
        </w:rPr>
        <w:t>Sempra Pipelines &amp; Storage’s competitors include</w:t>
      </w:r>
    </w:p>
    <w:p>
      <w:pPr>
        <w:spacing w:after="0" w:line="92" w:lineRule="exact"/>
        <w:rPr>
          <w:sz w:val="20"/>
          <w:szCs w:val="20"/>
          <w:color w:val="auto"/>
        </w:rPr>
      </w:pPr>
    </w:p>
    <w:tbl>
      <w:tblPr>
        <w:tblLayout w:type="fixed"/>
        <w:tblInd w:w="4" w:type="dxa"/>
        <w:tblCellMar>
          <w:top w:w="0" w:type="dxa"/>
          <w:left w:w="0" w:type="dxa"/>
          <w:bottom w:w="0" w:type="dxa"/>
          <w:right w:w="0" w:type="dxa"/>
        </w:tblCellMar>
      </w:tblPr>
      <w:tr>
        <w:trPr>
          <w:trHeight w:val="205"/>
        </w:trPr>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2640" w:type="dxa"/>
            <w:vAlign w:val="bottom"/>
          </w:tcPr>
          <w:p>
            <w:pPr>
              <w:ind w:left="40"/>
              <w:spacing w:after="0"/>
              <w:rPr>
                <w:sz w:val="20"/>
                <w:szCs w:val="20"/>
                <w:color w:val="auto"/>
              </w:rPr>
            </w:pPr>
            <w:r>
              <w:rPr>
                <w:rFonts w:ascii="Arial" w:cs="Arial" w:eastAsia="Arial" w:hAnsi="Arial"/>
                <w:sz w:val="16"/>
                <w:szCs w:val="16"/>
                <w:color w:val="auto"/>
              </w:rPr>
              <w:t>Iberdrola (Enstor)</w:t>
            </w:r>
          </w:p>
        </w:tc>
        <w:tc>
          <w:tcPr>
            <w:tcW w:w="920" w:type="dxa"/>
            <w:vAlign w:val="bottom"/>
          </w:tcPr>
          <w:p>
            <w:pPr>
              <w:ind w:left="780"/>
              <w:spacing w:after="0"/>
              <w:rPr>
                <w:sz w:val="20"/>
                <w:szCs w:val="20"/>
                <w:color w:val="auto"/>
              </w:rPr>
            </w:pPr>
            <w:r>
              <w:rPr>
                <w:rFonts w:ascii="Arial" w:cs="Arial" w:eastAsia="Arial" w:hAnsi="Arial"/>
                <w:sz w:val="16"/>
                <w:szCs w:val="16"/>
                <w:color w:val="auto"/>
              </w:rPr>
              <w:t>§</w:t>
            </w:r>
          </w:p>
        </w:tc>
        <w:tc>
          <w:tcPr>
            <w:tcW w:w="3140" w:type="dxa"/>
            <w:vAlign w:val="bottom"/>
          </w:tcPr>
          <w:p>
            <w:pPr>
              <w:ind w:left="40"/>
              <w:spacing w:after="0"/>
              <w:rPr>
                <w:sz w:val="20"/>
                <w:szCs w:val="20"/>
                <w:color w:val="auto"/>
              </w:rPr>
            </w:pPr>
            <w:r>
              <w:rPr>
                <w:rFonts w:ascii="Arial" w:cs="Arial" w:eastAsia="Arial" w:hAnsi="Arial"/>
                <w:sz w:val="16"/>
                <w:szCs w:val="16"/>
                <w:color w:val="auto"/>
              </w:rPr>
              <w:t>Kinder Morgan</w:t>
            </w:r>
          </w:p>
        </w:tc>
      </w:tr>
      <w:tr>
        <w:trPr>
          <w:trHeight w:val="252"/>
        </w:trPr>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2640" w:type="dxa"/>
            <w:vAlign w:val="bottom"/>
          </w:tcPr>
          <w:p>
            <w:pPr>
              <w:ind w:left="40"/>
              <w:spacing w:after="0"/>
              <w:rPr>
                <w:sz w:val="20"/>
                <w:szCs w:val="20"/>
                <w:color w:val="auto"/>
              </w:rPr>
            </w:pPr>
            <w:r>
              <w:rPr>
                <w:rFonts w:ascii="Arial" w:cs="Arial" w:eastAsia="Arial" w:hAnsi="Arial"/>
                <w:sz w:val="16"/>
                <w:szCs w:val="16"/>
                <w:color w:val="auto"/>
              </w:rPr>
              <w:t>Spectra Energy</w:t>
            </w:r>
          </w:p>
        </w:tc>
        <w:tc>
          <w:tcPr>
            <w:tcW w:w="4060" w:type="dxa"/>
            <w:vAlign w:val="bottom"/>
            <w:gridSpan w:val="2"/>
          </w:tcPr>
          <w:p>
            <w:pPr>
              <w:ind w:left="780"/>
              <w:spacing w:after="0"/>
              <w:rPr>
                <w:sz w:val="20"/>
                <w:szCs w:val="20"/>
                <w:color w:val="auto"/>
              </w:rPr>
            </w:pPr>
            <w:r>
              <w:rPr>
                <w:rFonts w:ascii="Arial" w:cs="Arial" w:eastAsia="Arial" w:hAnsi="Arial"/>
                <w:sz w:val="16"/>
                <w:szCs w:val="16"/>
                <w:color w:val="auto"/>
              </w:rPr>
              <w:t>§ Enterprise Product Partners LP</w:t>
            </w:r>
          </w:p>
        </w:tc>
      </w:tr>
      <w:tr>
        <w:trPr>
          <w:trHeight w:val="252"/>
        </w:trPr>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2640" w:type="dxa"/>
            <w:vAlign w:val="bottom"/>
          </w:tcPr>
          <w:p>
            <w:pPr>
              <w:ind w:left="40"/>
              <w:spacing w:after="0"/>
              <w:rPr>
                <w:sz w:val="20"/>
                <w:szCs w:val="20"/>
                <w:color w:val="auto"/>
              </w:rPr>
            </w:pPr>
            <w:r>
              <w:rPr>
                <w:rFonts w:ascii="Arial" w:cs="Arial" w:eastAsia="Arial" w:hAnsi="Arial"/>
                <w:sz w:val="16"/>
                <w:szCs w:val="16"/>
                <w:color w:val="auto"/>
              </w:rPr>
              <w:t>Energy Transfer Partners LP</w:t>
            </w:r>
          </w:p>
        </w:tc>
        <w:tc>
          <w:tcPr>
            <w:tcW w:w="920" w:type="dxa"/>
            <w:vAlign w:val="bottom"/>
          </w:tcPr>
          <w:p>
            <w:pPr>
              <w:ind w:left="780"/>
              <w:spacing w:after="0"/>
              <w:rPr>
                <w:sz w:val="20"/>
                <w:szCs w:val="20"/>
                <w:color w:val="auto"/>
              </w:rPr>
            </w:pPr>
            <w:r>
              <w:rPr>
                <w:rFonts w:ascii="Arial" w:cs="Arial" w:eastAsia="Arial" w:hAnsi="Arial"/>
                <w:sz w:val="16"/>
                <w:szCs w:val="16"/>
                <w:color w:val="auto"/>
              </w:rPr>
              <w:t>§</w:t>
            </w:r>
          </w:p>
        </w:tc>
        <w:tc>
          <w:tcPr>
            <w:tcW w:w="3140" w:type="dxa"/>
            <w:vAlign w:val="bottom"/>
          </w:tcPr>
          <w:p>
            <w:pPr>
              <w:ind w:left="40"/>
              <w:spacing w:after="0"/>
              <w:rPr>
                <w:sz w:val="20"/>
                <w:szCs w:val="20"/>
                <w:color w:val="auto"/>
              </w:rPr>
            </w:pPr>
            <w:r>
              <w:rPr>
                <w:rFonts w:ascii="Arial" w:cs="Arial" w:eastAsia="Arial" w:hAnsi="Arial"/>
                <w:sz w:val="16"/>
                <w:szCs w:val="16"/>
                <w:color w:val="auto"/>
              </w:rPr>
              <w:t>Boardwalk Pipeline Partners</w:t>
            </w:r>
          </w:p>
        </w:tc>
      </w:tr>
      <w:tr>
        <w:trPr>
          <w:trHeight w:val="252"/>
        </w:trPr>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2640" w:type="dxa"/>
            <w:vAlign w:val="bottom"/>
          </w:tcPr>
          <w:p>
            <w:pPr>
              <w:ind w:left="40"/>
              <w:spacing w:after="0"/>
              <w:rPr>
                <w:sz w:val="20"/>
                <w:szCs w:val="20"/>
                <w:color w:val="auto"/>
              </w:rPr>
            </w:pPr>
            <w:r>
              <w:rPr>
                <w:rFonts w:ascii="Arial" w:cs="Arial" w:eastAsia="Arial" w:hAnsi="Arial"/>
                <w:sz w:val="16"/>
                <w:szCs w:val="16"/>
                <w:color w:val="auto"/>
              </w:rPr>
              <w:t>Plains All-American LP</w:t>
            </w:r>
          </w:p>
        </w:tc>
        <w:tc>
          <w:tcPr>
            <w:tcW w:w="920" w:type="dxa"/>
            <w:vAlign w:val="bottom"/>
          </w:tcPr>
          <w:p>
            <w:pPr>
              <w:ind w:left="780"/>
              <w:spacing w:after="0"/>
              <w:rPr>
                <w:sz w:val="20"/>
                <w:szCs w:val="20"/>
                <w:color w:val="auto"/>
              </w:rPr>
            </w:pPr>
            <w:r>
              <w:rPr>
                <w:rFonts w:ascii="Arial" w:cs="Arial" w:eastAsia="Arial" w:hAnsi="Arial"/>
                <w:sz w:val="16"/>
                <w:szCs w:val="16"/>
                <w:color w:val="auto"/>
              </w:rPr>
              <w:t>§</w:t>
            </w:r>
          </w:p>
        </w:tc>
        <w:tc>
          <w:tcPr>
            <w:tcW w:w="3140" w:type="dxa"/>
            <w:vAlign w:val="bottom"/>
          </w:tcPr>
          <w:p>
            <w:pPr>
              <w:ind w:left="40"/>
              <w:spacing w:after="0"/>
              <w:rPr>
                <w:sz w:val="20"/>
                <w:szCs w:val="20"/>
                <w:color w:val="auto"/>
              </w:rPr>
            </w:pPr>
            <w:r>
              <w:rPr>
                <w:rFonts w:ascii="Arial" w:cs="Arial" w:eastAsia="Arial" w:hAnsi="Arial"/>
                <w:sz w:val="16"/>
                <w:szCs w:val="16"/>
                <w:color w:val="auto"/>
              </w:rPr>
              <w:t>El Paso Corporation</w:t>
            </w:r>
          </w:p>
        </w:tc>
      </w:tr>
      <w:tr>
        <w:trPr>
          <w:trHeight w:val="252"/>
        </w:trPr>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2640" w:type="dxa"/>
            <w:vAlign w:val="bottom"/>
          </w:tcPr>
          <w:p>
            <w:pPr>
              <w:ind w:left="40"/>
              <w:spacing w:after="0"/>
              <w:rPr>
                <w:sz w:val="20"/>
                <w:szCs w:val="20"/>
                <w:color w:val="auto"/>
              </w:rPr>
            </w:pPr>
            <w:r>
              <w:rPr>
                <w:rFonts w:ascii="Arial" w:cs="Arial" w:eastAsia="Arial" w:hAnsi="Arial"/>
                <w:sz w:val="16"/>
                <w:szCs w:val="16"/>
                <w:color w:val="auto"/>
              </w:rPr>
              <w:t>The Williams Companies</w:t>
            </w:r>
          </w:p>
        </w:tc>
        <w:tc>
          <w:tcPr>
            <w:tcW w:w="920" w:type="dxa"/>
            <w:vAlign w:val="bottom"/>
          </w:tcPr>
          <w:p>
            <w:pPr>
              <w:ind w:left="780"/>
              <w:spacing w:after="0"/>
              <w:rPr>
                <w:sz w:val="20"/>
                <w:szCs w:val="20"/>
                <w:color w:val="auto"/>
              </w:rPr>
            </w:pPr>
            <w:r>
              <w:rPr>
                <w:rFonts w:ascii="Arial" w:cs="Arial" w:eastAsia="Arial" w:hAnsi="Arial"/>
                <w:sz w:val="16"/>
                <w:szCs w:val="16"/>
                <w:color w:val="auto"/>
              </w:rPr>
              <w:t>§</w:t>
            </w:r>
          </w:p>
        </w:tc>
        <w:tc>
          <w:tcPr>
            <w:tcW w:w="3140" w:type="dxa"/>
            <w:vAlign w:val="bottom"/>
          </w:tcPr>
          <w:p>
            <w:pPr>
              <w:ind w:left="40"/>
              <w:spacing w:after="0"/>
              <w:rPr>
                <w:sz w:val="20"/>
                <w:szCs w:val="20"/>
                <w:color w:val="auto"/>
              </w:rPr>
            </w:pPr>
            <w:r>
              <w:rPr>
                <w:rFonts w:ascii="Arial" w:cs="Arial" w:eastAsia="Arial" w:hAnsi="Arial"/>
                <w:sz w:val="16"/>
                <w:szCs w:val="16"/>
                <w:color w:val="auto"/>
                <w:w w:val="87"/>
              </w:rPr>
              <w:t>Various independent midstream asset developers</w:t>
            </w:r>
          </w:p>
        </w:tc>
      </w:tr>
      <w:tr>
        <w:trPr>
          <w:trHeight w:val="252"/>
        </w:trPr>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2640" w:type="dxa"/>
            <w:vAlign w:val="bottom"/>
          </w:tcPr>
          <w:p>
            <w:pPr>
              <w:ind w:left="40"/>
              <w:spacing w:after="0"/>
              <w:rPr>
                <w:sz w:val="20"/>
                <w:szCs w:val="20"/>
                <w:color w:val="auto"/>
              </w:rPr>
            </w:pPr>
            <w:r>
              <w:rPr>
                <w:rFonts w:ascii="Arial" w:cs="Arial" w:eastAsia="Arial" w:hAnsi="Arial"/>
                <w:sz w:val="16"/>
                <w:szCs w:val="16"/>
                <w:color w:val="auto"/>
              </w:rPr>
              <w:t>TransCanada</w:t>
            </w:r>
          </w:p>
        </w:tc>
        <w:tc>
          <w:tcPr>
            <w:tcW w:w="920" w:type="dxa"/>
            <w:vAlign w:val="bottom"/>
          </w:tcPr>
          <w:p>
            <w:pPr>
              <w:spacing w:after="0"/>
              <w:rPr>
                <w:sz w:val="21"/>
                <w:szCs w:val="21"/>
                <w:color w:val="auto"/>
              </w:rPr>
            </w:pPr>
          </w:p>
        </w:tc>
        <w:tc>
          <w:tcPr>
            <w:tcW w:w="3140" w:type="dxa"/>
            <w:vAlign w:val="bottom"/>
          </w:tcPr>
          <w:p>
            <w:pPr>
              <w:spacing w:after="0"/>
              <w:rPr>
                <w:sz w:val="21"/>
                <w:szCs w:val="21"/>
                <w:color w:val="auto"/>
              </w:rPr>
            </w:pPr>
          </w:p>
        </w:tc>
      </w:tr>
    </w:tbl>
    <w:p>
      <w:pPr>
        <w:spacing w:after="0" w:line="202" w:lineRule="exact"/>
        <w:rPr>
          <w:sz w:val="20"/>
          <w:szCs w:val="20"/>
          <w:color w:val="auto"/>
        </w:rPr>
      </w:pPr>
    </w:p>
    <w:p>
      <w:pPr>
        <w:ind w:left="4"/>
        <w:spacing w:after="0"/>
        <w:rPr>
          <w:sz w:val="20"/>
          <w:szCs w:val="20"/>
          <w:color w:val="auto"/>
        </w:rPr>
      </w:pPr>
      <w:r>
        <w:rPr>
          <w:rFonts w:ascii="Arial" w:cs="Arial" w:eastAsia="Arial" w:hAnsi="Arial"/>
          <w:sz w:val="18"/>
          <w:szCs w:val="18"/>
          <w:i w:val="1"/>
          <w:iCs w:val="1"/>
          <w:color w:val="auto"/>
        </w:rPr>
        <w:t>Sempra LNG</w:t>
      </w:r>
    </w:p>
    <w:p>
      <w:pPr>
        <w:spacing w:after="0" w:line="72" w:lineRule="exact"/>
        <w:rPr>
          <w:sz w:val="20"/>
          <w:szCs w:val="20"/>
          <w:color w:val="auto"/>
        </w:rPr>
      </w:pPr>
    </w:p>
    <w:p>
      <w:pPr>
        <w:ind w:left="4"/>
        <w:spacing w:after="0"/>
        <w:rPr>
          <w:sz w:val="20"/>
          <w:szCs w:val="20"/>
          <w:color w:val="auto"/>
        </w:rPr>
      </w:pPr>
      <w:r>
        <w:rPr>
          <w:rFonts w:ascii="Arial" w:cs="Arial" w:eastAsia="Arial" w:hAnsi="Arial"/>
          <w:sz w:val="16"/>
          <w:szCs w:val="16"/>
          <w:color w:val="auto"/>
        </w:rPr>
        <w:t>New supplies to meet North America’s natural gas demand may be developed from a combination of the following sources:</w:t>
      </w:r>
    </w:p>
    <w:p>
      <w:pPr>
        <w:spacing w:after="0" w:line="44" w:lineRule="exact"/>
        <w:rPr>
          <w:sz w:val="20"/>
          <w:szCs w:val="20"/>
          <w:color w:val="auto"/>
        </w:rPr>
      </w:pPr>
    </w:p>
    <w:p>
      <w:pPr>
        <w:ind w:left="144" w:hanging="144"/>
        <w:spacing w:after="0"/>
        <w:tabs>
          <w:tab w:leader="none" w:pos="144" w:val="left"/>
        </w:tabs>
        <w:numPr>
          <w:ilvl w:val="0"/>
          <w:numId w:val="12"/>
        </w:numPr>
        <w:rPr>
          <w:rFonts w:ascii="Arial" w:cs="Arial" w:eastAsia="Arial" w:hAnsi="Arial"/>
          <w:sz w:val="16"/>
          <w:szCs w:val="16"/>
          <w:color w:val="auto"/>
        </w:rPr>
      </w:pPr>
      <w:r>
        <w:rPr>
          <w:rFonts w:ascii="Arial" w:cs="Arial" w:eastAsia="Arial" w:hAnsi="Arial"/>
          <w:sz w:val="16"/>
          <w:szCs w:val="16"/>
          <w:color w:val="auto"/>
        </w:rPr>
        <w:t>existing producing basins in the United States, Canada, and Mexico;</w:t>
      </w:r>
    </w:p>
    <w:p>
      <w:pPr>
        <w:spacing w:after="0" w:line="44" w:lineRule="exact"/>
        <w:rPr>
          <w:rFonts w:ascii="Arial" w:cs="Arial" w:eastAsia="Arial" w:hAnsi="Arial"/>
          <w:sz w:val="16"/>
          <w:szCs w:val="16"/>
          <w:color w:val="auto"/>
        </w:rPr>
      </w:pPr>
    </w:p>
    <w:p>
      <w:pPr>
        <w:ind w:left="144" w:hanging="144"/>
        <w:spacing w:after="0"/>
        <w:tabs>
          <w:tab w:leader="none" w:pos="144" w:val="left"/>
        </w:tabs>
        <w:numPr>
          <w:ilvl w:val="0"/>
          <w:numId w:val="12"/>
        </w:numPr>
        <w:rPr>
          <w:rFonts w:ascii="Arial" w:cs="Arial" w:eastAsia="Arial" w:hAnsi="Arial"/>
          <w:sz w:val="16"/>
          <w:szCs w:val="16"/>
          <w:color w:val="auto"/>
        </w:rPr>
      </w:pPr>
      <w:r>
        <w:rPr>
          <w:rFonts w:ascii="Arial" w:cs="Arial" w:eastAsia="Arial" w:hAnsi="Arial"/>
          <w:sz w:val="16"/>
          <w:szCs w:val="16"/>
          <w:color w:val="auto"/>
        </w:rPr>
        <w:t>frontier basins in Alaska, northern Canada, and offshore deepwater;</w:t>
      </w:r>
    </w:p>
    <w:p>
      <w:pPr>
        <w:spacing w:after="0" w:line="32" w:lineRule="exact"/>
        <w:rPr>
          <w:rFonts w:ascii="Arial" w:cs="Arial" w:eastAsia="Arial" w:hAnsi="Arial"/>
          <w:sz w:val="16"/>
          <w:szCs w:val="16"/>
          <w:color w:val="auto"/>
        </w:rPr>
      </w:pPr>
    </w:p>
    <w:p>
      <w:pPr>
        <w:ind w:left="144" w:right="1280" w:hanging="144"/>
        <w:spacing w:after="0" w:line="273" w:lineRule="auto"/>
        <w:tabs>
          <w:tab w:leader="none" w:pos="144" w:val="left"/>
        </w:tabs>
        <w:numPr>
          <w:ilvl w:val="0"/>
          <w:numId w:val="12"/>
        </w:numPr>
        <w:rPr>
          <w:rFonts w:ascii="Arial" w:cs="Arial" w:eastAsia="Arial" w:hAnsi="Arial"/>
          <w:sz w:val="16"/>
          <w:szCs w:val="16"/>
          <w:color w:val="auto"/>
        </w:rPr>
      </w:pPr>
      <w:r>
        <w:rPr>
          <w:rFonts w:ascii="Arial" w:cs="Arial" w:eastAsia="Arial" w:hAnsi="Arial"/>
          <w:sz w:val="16"/>
          <w:szCs w:val="16"/>
          <w:color w:val="auto"/>
        </w:rPr>
        <w:t>areas currently restricted from exploration and development due to public policies, such as areas in the Rocky Mountains and offshore Atlantic, Pacific and Gulf of Mexico coasts; and</w:t>
      </w:r>
    </w:p>
    <w:p>
      <w:pPr>
        <w:spacing w:after="0" w:line="1" w:lineRule="exact"/>
        <w:rPr>
          <w:rFonts w:ascii="Arial" w:cs="Arial" w:eastAsia="Arial" w:hAnsi="Arial"/>
          <w:sz w:val="16"/>
          <w:szCs w:val="16"/>
          <w:color w:val="auto"/>
        </w:rPr>
      </w:pPr>
    </w:p>
    <w:p>
      <w:pPr>
        <w:ind w:left="144" w:hanging="144"/>
        <w:spacing w:after="0"/>
        <w:tabs>
          <w:tab w:leader="none" w:pos="144" w:val="left"/>
        </w:tabs>
        <w:numPr>
          <w:ilvl w:val="0"/>
          <w:numId w:val="12"/>
        </w:numPr>
        <w:rPr>
          <w:rFonts w:ascii="Arial" w:cs="Arial" w:eastAsia="Arial" w:hAnsi="Arial"/>
          <w:sz w:val="16"/>
          <w:szCs w:val="16"/>
          <w:color w:val="auto"/>
        </w:rPr>
      </w:pPr>
      <w:r>
        <w:rPr>
          <w:rFonts w:ascii="Arial" w:cs="Arial" w:eastAsia="Arial" w:hAnsi="Arial"/>
          <w:sz w:val="16"/>
          <w:szCs w:val="16"/>
          <w:color w:val="auto"/>
        </w:rPr>
        <w:t>imported LNG.</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4"/>
        <w:spacing w:after="0"/>
        <w:rPr>
          <w:sz w:val="20"/>
          <w:szCs w:val="20"/>
          <w:color w:val="auto"/>
        </w:rPr>
      </w:pPr>
      <w:r>
        <w:rPr>
          <w:rFonts w:ascii="Arial" w:cs="Arial" w:eastAsia="Arial" w:hAnsi="Arial"/>
          <w:sz w:val="14"/>
          <w:szCs w:val="14"/>
          <w:color w:val="auto"/>
        </w:rPr>
        <w:t>15</w:t>
      </w:r>
    </w:p>
    <w:p>
      <w:pPr>
        <w:sectPr>
          <w:pgSz w:w="11900" w:h="16838" w:orient="portrait"/>
          <w:cols w:equalWidth="0" w:num="1">
            <w:col w:w="11384"/>
          </w:cols>
          <w:pgMar w:left="236" w:top="127" w:right="279" w:bottom="1440" w:gutter="0" w:footer="0" w:header="0"/>
        </w:sectPr>
      </w:pPr>
    </w:p>
    <w:bookmarkStart w:id="15" w:name="page16"/>
    <w:bookmarkEnd w:id="15"/>
    <w:p>
      <w:pPr>
        <w:spacing w:after="0"/>
        <w:rPr>
          <w:sz w:val="20"/>
          <w:szCs w:val="20"/>
          <w:color w:val="auto"/>
        </w:rPr>
      </w:pPr>
      <w:r>
        <w:rPr>
          <w:rFonts w:ascii="Arial" w:cs="Arial" w:eastAsia="Arial" w:hAnsi="Arial"/>
          <w:sz w:val="14"/>
          <w:szCs w:val="14"/>
          <w:color w:val="auto"/>
        </w:rPr>
        <w:t>In addition, the demand for energy currently met by natural gas could alternatively be met by other energy forms such as coal, hydroelectric, oil, wind, solar and nuclear energy.</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Sempra LNG will, therefore, face competition from each of these energy sources.</w:t>
      </w:r>
    </w:p>
    <w:p>
      <w:pPr>
        <w:spacing w:after="0" w:line="80" w:lineRule="exact"/>
        <w:rPr>
          <w:sz w:val="20"/>
          <w:szCs w:val="20"/>
          <w:color w:val="auto"/>
        </w:rPr>
      </w:pPr>
    </w:p>
    <w:p>
      <w:pPr>
        <w:ind w:right="120"/>
        <w:spacing w:after="0" w:line="259" w:lineRule="auto"/>
        <w:rPr>
          <w:sz w:val="20"/>
          <w:szCs w:val="20"/>
          <w:color w:val="auto"/>
        </w:rPr>
      </w:pPr>
      <w:r>
        <w:rPr>
          <w:rFonts w:ascii="Arial" w:cs="Arial" w:eastAsia="Arial" w:hAnsi="Arial"/>
          <w:sz w:val="16"/>
          <w:szCs w:val="16"/>
          <w:color w:val="auto"/>
        </w:rPr>
        <w:t>Sempra LNG competes with other companies to construct and operate LNG receiving terminals. According to the FERC, as of October 31, 2008, there were 10 existing LNG terminals in North America. There are six terminals currently under construction. In addition, as of December 31, 2008, there were 66 LNG receiving terminals in 18 countries. There are also other proposed LNG receiving terminals worldwide with which Sempra LNG will compete to be the most economical delivery point for LNG production of both long-term contracted and spot volumes.</w:t>
      </w:r>
    </w:p>
    <w:p>
      <w:pPr>
        <w:spacing w:after="0" w:line="47" w:lineRule="exact"/>
        <w:rPr>
          <w:sz w:val="20"/>
          <w:szCs w:val="20"/>
          <w:color w:val="auto"/>
        </w:rPr>
      </w:pPr>
    </w:p>
    <w:p>
      <w:pPr>
        <w:spacing w:after="0"/>
        <w:rPr>
          <w:sz w:val="20"/>
          <w:szCs w:val="20"/>
          <w:color w:val="auto"/>
        </w:rPr>
      </w:pPr>
      <w:r>
        <w:rPr>
          <w:rFonts w:ascii="Arial" w:cs="Arial" w:eastAsia="Arial" w:hAnsi="Arial"/>
          <w:sz w:val="16"/>
          <w:szCs w:val="16"/>
          <w:color w:val="auto"/>
        </w:rPr>
        <w:t>Sempra LNG’s U.S. competitors include</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2560" w:type="dxa"/>
            <w:vAlign w:val="bottom"/>
          </w:tcPr>
          <w:p>
            <w:pPr>
              <w:ind w:left="40"/>
              <w:spacing w:after="0"/>
              <w:rPr>
                <w:sz w:val="20"/>
                <w:szCs w:val="20"/>
                <w:color w:val="auto"/>
              </w:rPr>
            </w:pPr>
            <w:r>
              <w:rPr>
                <w:rFonts w:ascii="Arial" w:cs="Arial" w:eastAsia="Arial" w:hAnsi="Arial"/>
                <w:sz w:val="16"/>
                <w:szCs w:val="16"/>
                <w:color w:val="auto"/>
              </w:rPr>
              <w:t>Cheniere Energy, Inc.</w:t>
            </w:r>
          </w:p>
        </w:tc>
        <w:tc>
          <w:tcPr>
            <w:tcW w:w="3060" w:type="dxa"/>
            <w:vAlign w:val="bottom"/>
            <w:gridSpan w:val="2"/>
          </w:tcPr>
          <w:p>
            <w:pPr>
              <w:ind w:left="860"/>
              <w:spacing w:after="0"/>
              <w:rPr>
                <w:sz w:val="20"/>
                <w:szCs w:val="20"/>
                <w:color w:val="auto"/>
              </w:rPr>
            </w:pPr>
            <w:r>
              <w:rPr>
                <w:rFonts w:ascii="Arial" w:cs="Arial" w:eastAsia="Arial" w:hAnsi="Arial"/>
                <w:sz w:val="16"/>
                <w:szCs w:val="16"/>
                <w:color w:val="auto"/>
                <w:w w:val="92"/>
              </w:rPr>
              <w:t>§ GDF Suez Energy International</w:t>
            </w:r>
          </w:p>
        </w:tc>
      </w:tr>
      <w:tr>
        <w:trPr>
          <w:trHeight w:val="252"/>
        </w:trPr>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2560" w:type="dxa"/>
            <w:vAlign w:val="bottom"/>
          </w:tcPr>
          <w:p>
            <w:pPr>
              <w:ind w:left="40"/>
              <w:spacing w:after="0"/>
              <w:rPr>
                <w:sz w:val="20"/>
                <w:szCs w:val="20"/>
                <w:color w:val="auto"/>
              </w:rPr>
            </w:pPr>
            <w:r>
              <w:rPr>
                <w:rFonts w:ascii="Arial" w:cs="Arial" w:eastAsia="Arial" w:hAnsi="Arial"/>
                <w:sz w:val="16"/>
                <w:szCs w:val="16"/>
                <w:color w:val="auto"/>
              </w:rPr>
              <w:t>El Paso Corporation</w:t>
            </w:r>
          </w:p>
        </w:tc>
        <w:tc>
          <w:tcPr>
            <w:tcW w:w="1000" w:type="dxa"/>
            <w:vAlign w:val="bottom"/>
          </w:tcPr>
          <w:p>
            <w:pPr>
              <w:ind w:left="860"/>
              <w:spacing w:after="0"/>
              <w:rPr>
                <w:sz w:val="20"/>
                <w:szCs w:val="20"/>
                <w:color w:val="auto"/>
              </w:rPr>
            </w:pPr>
            <w:r>
              <w:rPr>
                <w:rFonts w:ascii="Arial" w:cs="Arial" w:eastAsia="Arial" w:hAnsi="Arial"/>
                <w:sz w:val="16"/>
                <w:szCs w:val="16"/>
                <w:color w:val="auto"/>
              </w:rPr>
              <w:t>§</w:t>
            </w:r>
          </w:p>
        </w:tc>
        <w:tc>
          <w:tcPr>
            <w:tcW w:w="2060" w:type="dxa"/>
            <w:vAlign w:val="bottom"/>
          </w:tcPr>
          <w:p>
            <w:pPr>
              <w:ind w:left="40"/>
              <w:spacing w:after="0"/>
              <w:rPr>
                <w:sz w:val="20"/>
                <w:szCs w:val="20"/>
                <w:color w:val="auto"/>
              </w:rPr>
            </w:pPr>
            <w:r>
              <w:rPr>
                <w:rFonts w:ascii="Arial" w:cs="Arial" w:eastAsia="Arial" w:hAnsi="Arial"/>
                <w:sz w:val="16"/>
                <w:szCs w:val="16"/>
                <w:color w:val="auto"/>
              </w:rPr>
              <w:t>Dominion Resources, Inc.</w:t>
            </w:r>
          </w:p>
        </w:tc>
      </w:tr>
      <w:tr>
        <w:trPr>
          <w:trHeight w:val="252"/>
        </w:trPr>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2560" w:type="dxa"/>
            <w:vAlign w:val="bottom"/>
          </w:tcPr>
          <w:p>
            <w:pPr>
              <w:ind w:left="40"/>
              <w:spacing w:after="0"/>
              <w:rPr>
                <w:sz w:val="20"/>
                <w:szCs w:val="20"/>
                <w:color w:val="auto"/>
              </w:rPr>
            </w:pPr>
            <w:r>
              <w:rPr>
                <w:rFonts w:ascii="Arial" w:cs="Arial" w:eastAsia="Arial" w:hAnsi="Arial"/>
                <w:sz w:val="16"/>
                <w:szCs w:val="16"/>
                <w:color w:val="auto"/>
              </w:rPr>
              <w:t>Exxon Mobil Corporation</w:t>
            </w:r>
          </w:p>
        </w:tc>
        <w:tc>
          <w:tcPr>
            <w:tcW w:w="1000" w:type="dxa"/>
            <w:vAlign w:val="bottom"/>
          </w:tcPr>
          <w:p>
            <w:pPr>
              <w:ind w:left="860"/>
              <w:spacing w:after="0"/>
              <w:rPr>
                <w:sz w:val="20"/>
                <w:szCs w:val="20"/>
                <w:color w:val="auto"/>
              </w:rPr>
            </w:pPr>
            <w:r>
              <w:rPr>
                <w:rFonts w:ascii="Arial" w:cs="Arial" w:eastAsia="Arial" w:hAnsi="Arial"/>
                <w:sz w:val="16"/>
                <w:szCs w:val="16"/>
                <w:color w:val="auto"/>
              </w:rPr>
              <w:t>§</w:t>
            </w:r>
          </w:p>
        </w:tc>
        <w:tc>
          <w:tcPr>
            <w:tcW w:w="2060" w:type="dxa"/>
            <w:vAlign w:val="bottom"/>
          </w:tcPr>
          <w:p>
            <w:pPr>
              <w:ind w:left="40"/>
              <w:spacing w:after="0"/>
              <w:rPr>
                <w:sz w:val="20"/>
                <w:szCs w:val="20"/>
                <w:color w:val="auto"/>
              </w:rPr>
            </w:pPr>
            <w:r>
              <w:rPr>
                <w:rFonts w:ascii="Arial" w:cs="Arial" w:eastAsia="Arial" w:hAnsi="Arial"/>
                <w:sz w:val="16"/>
                <w:szCs w:val="16"/>
                <w:color w:val="auto"/>
              </w:rPr>
              <w:t>Southern Union Company</w:t>
            </w:r>
          </w:p>
        </w:tc>
      </w:tr>
      <w:tr>
        <w:trPr>
          <w:trHeight w:val="252"/>
        </w:trPr>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2560" w:type="dxa"/>
            <w:vAlign w:val="bottom"/>
          </w:tcPr>
          <w:p>
            <w:pPr>
              <w:ind w:left="40"/>
              <w:spacing w:after="0"/>
              <w:rPr>
                <w:sz w:val="20"/>
                <w:szCs w:val="20"/>
                <w:color w:val="auto"/>
              </w:rPr>
            </w:pPr>
            <w:r>
              <w:rPr>
                <w:rFonts w:ascii="Arial" w:cs="Arial" w:eastAsia="Arial" w:hAnsi="Arial"/>
                <w:sz w:val="16"/>
                <w:szCs w:val="16"/>
                <w:color w:val="auto"/>
              </w:rPr>
              <w:t>Excelerate Energy</w:t>
            </w:r>
          </w:p>
        </w:tc>
        <w:tc>
          <w:tcPr>
            <w:tcW w:w="1000" w:type="dxa"/>
            <w:vAlign w:val="bottom"/>
          </w:tcPr>
          <w:p>
            <w:pPr>
              <w:spacing w:after="0"/>
              <w:rPr>
                <w:sz w:val="21"/>
                <w:szCs w:val="21"/>
                <w:color w:val="auto"/>
              </w:rPr>
            </w:pPr>
          </w:p>
        </w:tc>
        <w:tc>
          <w:tcPr>
            <w:tcW w:w="2060" w:type="dxa"/>
            <w:vAlign w:val="bottom"/>
          </w:tcPr>
          <w:p>
            <w:pPr>
              <w:spacing w:after="0"/>
              <w:rPr>
                <w:sz w:val="21"/>
                <w:szCs w:val="21"/>
                <w:color w:val="auto"/>
              </w:rPr>
            </w:pPr>
          </w:p>
        </w:tc>
      </w:tr>
    </w:tbl>
    <w:p>
      <w:pPr>
        <w:spacing w:after="0" w:line="38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ENVIRONMENTAL MATTERS</w:t>
      </w:r>
    </w:p>
    <w:p>
      <w:pPr>
        <w:spacing w:after="0" w:line="101" w:lineRule="exact"/>
        <w:rPr>
          <w:sz w:val="20"/>
          <w:szCs w:val="20"/>
          <w:color w:val="auto"/>
        </w:rPr>
      </w:pPr>
    </w:p>
    <w:p>
      <w:pPr>
        <w:ind w:right="360"/>
        <w:spacing w:after="0" w:line="277" w:lineRule="auto"/>
        <w:rPr>
          <w:sz w:val="20"/>
          <w:szCs w:val="20"/>
          <w:color w:val="auto"/>
        </w:rPr>
      </w:pPr>
      <w:r>
        <w:rPr>
          <w:rFonts w:ascii="Arial" w:cs="Arial" w:eastAsia="Arial" w:hAnsi="Arial"/>
          <w:sz w:val="16"/>
          <w:szCs w:val="16"/>
          <w:color w:val="auto"/>
        </w:rPr>
        <w:t>We discuss environmental issues affecting us in Notes 14, 15 and 16 of the Notes to Consolidated Financial Statements in the Annual Report. You should read the following additional information in conjunction with those discussions.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Hazardous Substances</w:t>
      </w:r>
    </w:p>
    <w:p>
      <w:pPr>
        <w:spacing w:after="0" w:line="35" w:lineRule="exact"/>
        <w:rPr>
          <w:sz w:val="20"/>
          <w:szCs w:val="20"/>
          <w:color w:val="auto"/>
        </w:rPr>
      </w:pPr>
    </w:p>
    <w:p>
      <w:pPr>
        <w:ind w:right="240"/>
        <w:spacing w:after="0" w:line="282" w:lineRule="auto"/>
        <w:rPr>
          <w:sz w:val="20"/>
          <w:szCs w:val="20"/>
          <w:color w:val="auto"/>
        </w:rPr>
      </w:pPr>
      <w:r>
        <w:rPr>
          <w:rFonts w:ascii="Arial" w:cs="Arial" w:eastAsia="Arial" w:hAnsi="Arial"/>
          <w:sz w:val="15"/>
          <w:szCs w:val="15"/>
          <w:color w:val="auto"/>
        </w:rPr>
        <w:t>In 1994, the CPUC approved the Hazardous Waste Collaborative mechanism, allowing California's IOUs to recover hazardous waste cleanup costs for certain sites, including those related to certain Superfund sites. This mechanism permits the Sempra Utilities to recover in rates 90 percent of hazardous waste cleanup costs and related third-party litigation costs, and 70 percent of the related insurance-litigation expenses. In addition, the Sempra Utilities have the opportunity to retain a percentage of any recoveries from insurance carriers and other third parties to offset the cleanup and associated litigation costs not recovered in rates.</w:t>
      </w:r>
    </w:p>
    <w:p>
      <w:pPr>
        <w:spacing w:after="0" w:line="42" w:lineRule="exact"/>
        <w:rPr>
          <w:sz w:val="20"/>
          <w:szCs w:val="20"/>
          <w:color w:val="auto"/>
        </w:rPr>
      </w:pPr>
    </w:p>
    <w:p>
      <w:pPr>
        <w:ind w:right="20"/>
        <w:spacing w:after="0" w:line="257" w:lineRule="auto"/>
        <w:rPr>
          <w:sz w:val="20"/>
          <w:szCs w:val="20"/>
          <w:color w:val="auto"/>
        </w:rPr>
      </w:pPr>
      <w:r>
        <w:rPr>
          <w:rFonts w:ascii="Arial" w:cs="Arial" w:eastAsia="Arial" w:hAnsi="Arial"/>
          <w:sz w:val="16"/>
          <w:szCs w:val="16"/>
          <w:color w:val="auto"/>
        </w:rPr>
        <w:t>At December 31, 2008, we had accrued estimated remaining investigation and remediation liabilities of $0.5 million at SDG&amp;E and $39.8 million at SoCalGas, both related to hazardous waste sites. These accruals include costs for numerous locations that had been manufactured-gas plants, for which the Hazardous Waste Collaborative mechanism authorizes us to recover 90 percent. This estimated cost excludes remediation costs of $7.3 million associated with SDG&amp;E's former fossil-fuel power plants and another location for which the cleanup costs are not being recovered in rates. We believe that any costs not ultimately recovered through rates, insurance or other means will not have a material adverse effect on our consolidated results of operations or financial position.</w:t>
      </w:r>
    </w:p>
    <w:p>
      <w:pPr>
        <w:spacing w:after="0" w:line="48" w:lineRule="exact"/>
        <w:rPr>
          <w:sz w:val="20"/>
          <w:szCs w:val="20"/>
          <w:color w:val="auto"/>
        </w:rPr>
      </w:pPr>
    </w:p>
    <w:p>
      <w:pPr>
        <w:spacing w:after="0" w:line="277" w:lineRule="auto"/>
        <w:rPr>
          <w:sz w:val="20"/>
          <w:szCs w:val="20"/>
          <w:color w:val="auto"/>
        </w:rPr>
      </w:pPr>
      <w:r>
        <w:rPr>
          <w:rFonts w:ascii="Arial" w:cs="Arial" w:eastAsia="Arial" w:hAnsi="Arial"/>
          <w:sz w:val="16"/>
          <w:szCs w:val="16"/>
          <w:color w:val="auto"/>
        </w:rPr>
        <w:t>We record estimated liabilities for environmental remediation when amounts are probable and estimable. In addition, we record amounts authorized to be recovered in rates under the Hazardous Waste Collaborative mechanism as regulatory assets.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Air and Water Quality</w:t>
      </w:r>
    </w:p>
    <w:p>
      <w:pPr>
        <w:spacing w:after="0" w:line="35" w:lineRule="exact"/>
        <w:rPr>
          <w:sz w:val="20"/>
          <w:szCs w:val="20"/>
          <w:color w:val="auto"/>
        </w:rPr>
      </w:pPr>
    </w:p>
    <w:p>
      <w:pPr>
        <w:spacing w:after="0" w:line="264" w:lineRule="auto"/>
        <w:rPr>
          <w:sz w:val="20"/>
          <w:szCs w:val="20"/>
          <w:color w:val="auto"/>
        </w:rPr>
      </w:pPr>
      <w:r>
        <w:rPr>
          <w:rFonts w:ascii="Arial" w:cs="Arial" w:eastAsia="Arial" w:hAnsi="Arial"/>
          <w:sz w:val="16"/>
          <w:szCs w:val="16"/>
          <w:color w:val="auto"/>
        </w:rPr>
        <w:t>The transmission and distribution of natural gas require the operation of compressor stations, which are subject to increasingly stringent air-quality standards, such as those established by the CARB. We discuss these standards in "Government Regulation – California Utility Regulation" above. The Sempra Utilities generally recover in rates the costs to comply with these standards.</w:t>
      </w:r>
    </w:p>
    <w:p>
      <w:pPr>
        <w:spacing w:after="0" w:line="42" w:lineRule="exact"/>
        <w:rPr>
          <w:sz w:val="20"/>
          <w:szCs w:val="20"/>
          <w:color w:val="auto"/>
        </w:rPr>
      </w:pPr>
    </w:p>
    <w:p>
      <w:pPr>
        <w:ind w:right="120"/>
        <w:spacing w:after="0" w:line="259" w:lineRule="auto"/>
        <w:rPr>
          <w:sz w:val="20"/>
          <w:szCs w:val="20"/>
          <w:color w:val="auto"/>
        </w:rPr>
      </w:pPr>
      <w:r>
        <w:rPr>
          <w:rFonts w:ascii="Arial" w:cs="Arial" w:eastAsia="Arial" w:hAnsi="Arial"/>
          <w:sz w:val="16"/>
          <w:szCs w:val="16"/>
          <w:color w:val="auto"/>
        </w:rPr>
        <w:t>In connection with the issuance of operating permits, SDG&amp;E and the other owners of SONGS have an agreement with the California Coastal Commission to mitigate the environmental damage to the marine environment attributed to the cooling-water discharge from SONGS. SDG&amp;E's share of the mitigation costs is estimated to be $50 million, of which $30.3 million had been incurred through December 31, 2008, and $19.7 million is accrued for the remaining costs through 2050. In 2008, an artificial kelp reef project was completed. The remaining costs are to complete a wetlands project and maintain both projects through 2050.</w:t>
      </w: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4"/>
          <w:szCs w:val="14"/>
          <w:color w:val="auto"/>
        </w:rPr>
        <w:t>16</w:t>
      </w:r>
    </w:p>
    <w:p>
      <w:pPr>
        <w:sectPr>
          <w:pgSz w:w="11900" w:h="16838" w:orient="portrait"/>
          <w:cols w:equalWidth="0" w:num="1">
            <w:col w:w="11400"/>
          </w:cols>
          <w:pgMar w:left="240" w:top="127" w:right="259" w:bottom="1440" w:gutter="0" w:footer="0" w:header="0"/>
        </w:sectPr>
      </w:pPr>
    </w:p>
    <w:bookmarkStart w:id="16" w:name="page17"/>
    <w:bookmarkEnd w:id="16"/>
    <w:p>
      <w:pPr>
        <w:spacing w:after="0"/>
        <w:rPr>
          <w:sz w:val="20"/>
          <w:szCs w:val="20"/>
          <w:color w:val="auto"/>
        </w:rPr>
      </w:pPr>
      <w:r>
        <w:rPr>
          <w:rFonts w:ascii="Arial" w:cs="Arial" w:eastAsia="Arial" w:hAnsi="Arial"/>
          <w:sz w:val="16"/>
          <w:szCs w:val="16"/>
          <w:b w:val="1"/>
          <w:bCs w:val="1"/>
          <w:color w:val="auto"/>
        </w:rPr>
        <w:t>OTHER MATTERS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Employees of Registrants</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As of December 31, each company had the following number of employees:</w:t>
      </w:r>
    </w:p>
    <w:p>
      <w:pPr>
        <w:spacing w:after="0" w:line="157" w:lineRule="exact"/>
        <w:rPr>
          <w:sz w:val="20"/>
          <w:szCs w:val="20"/>
          <w:color w:val="auto"/>
        </w:rPr>
      </w:pPr>
    </w:p>
    <w:tbl>
      <w:tblPr>
        <w:tblLayout w:type="fixed"/>
        <w:tblInd w:w="1800" w:type="dxa"/>
        <w:tblCellMar>
          <w:top w:w="0" w:type="dxa"/>
          <w:left w:w="0" w:type="dxa"/>
          <w:bottom w:w="0" w:type="dxa"/>
          <w:right w:w="0" w:type="dxa"/>
        </w:tblCellMar>
      </w:tblPr>
      <w:tr>
        <w:trPr>
          <w:trHeight w:val="159"/>
        </w:trPr>
        <w:tc>
          <w:tcPr>
            <w:tcW w:w="2980" w:type="dxa"/>
            <w:vAlign w:val="bottom"/>
          </w:tcPr>
          <w:p>
            <w:pPr>
              <w:spacing w:after="0"/>
              <w:rPr>
                <w:sz w:val="13"/>
                <w:szCs w:val="13"/>
                <w:color w:val="auto"/>
              </w:rPr>
            </w:pPr>
          </w:p>
        </w:tc>
        <w:tc>
          <w:tcPr>
            <w:tcW w:w="1780" w:type="dxa"/>
            <w:vAlign w:val="bottom"/>
            <w:tcBorders>
              <w:bottom w:val="single" w:sz="8" w:color="auto"/>
            </w:tcBorders>
          </w:tcPr>
          <w:p>
            <w:pPr>
              <w:spacing w:after="0"/>
              <w:rPr>
                <w:sz w:val="13"/>
                <w:szCs w:val="13"/>
                <w:color w:val="auto"/>
              </w:rPr>
            </w:pPr>
          </w:p>
        </w:tc>
        <w:tc>
          <w:tcPr>
            <w:tcW w:w="3080" w:type="dxa"/>
            <w:vAlign w:val="bottom"/>
            <w:tcBorders>
              <w:bottom w:val="single" w:sz="8" w:color="auto"/>
            </w:tcBorders>
          </w:tcPr>
          <w:p>
            <w:pPr>
              <w:jc w:val="right"/>
              <w:ind w:right="1891"/>
              <w:spacing w:after="0"/>
              <w:rPr>
                <w:sz w:val="20"/>
                <w:szCs w:val="20"/>
                <w:color w:val="auto"/>
              </w:rPr>
            </w:pPr>
            <w:r>
              <w:rPr>
                <w:rFonts w:ascii="Arial" w:cs="Arial" w:eastAsia="Arial" w:hAnsi="Arial"/>
                <w:sz w:val="13"/>
                <w:szCs w:val="13"/>
                <w:color w:val="auto"/>
              </w:rPr>
              <w:t>At December 31,</w:t>
            </w:r>
          </w:p>
        </w:tc>
      </w:tr>
      <w:tr>
        <w:trPr>
          <w:trHeight w:val="208"/>
        </w:trPr>
        <w:tc>
          <w:tcPr>
            <w:tcW w:w="298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ind w:right="70"/>
              <w:spacing w:after="0"/>
              <w:rPr>
                <w:sz w:val="20"/>
                <w:szCs w:val="20"/>
                <w:color w:val="auto"/>
              </w:rPr>
            </w:pPr>
            <w:r>
              <w:rPr>
                <w:rFonts w:ascii="Arial" w:cs="Arial" w:eastAsia="Arial" w:hAnsi="Arial"/>
                <w:sz w:val="13"/>
                <w:szCs w:val="13"/>
                <w:color w:val="auto"/>
              </w:rPr>
              <w:t>2008</w:t>
            </w:r>
          </w:p>
        </w:tc>
        <w:tc>
          <w:tcPr>
            <w:tcW w:w="3080" w:type="dxa"/>
            <w:vAlign w:val="bottom"/>
            <w:tcBorders>
              <w:bottom w:val="single" w:sz="8" w:color="auto"/>
            </w:tcBorders>
          </w:tcPr>
          <w:p>
            <w:pPr>
              <w:jc w:val="right"/>
              <w:ind w:right="711"/>
              <w:spacing w:after="0"/>
              <w:rPr>
                <w:sz w:val="20"/>
                <w:szCs w:val="20"/>
                <w:color w:val="auto"/>
              </w:rPr>
            </w:pPr>
            <w:r>
              <w:rPr>
                <w:rFonts w:ascii="Arial" w:cs="Arial" w:eastAsia="Arial" w:hAnsi="Arial"/>
                <w:sz w:val="13"/>
                <w:szCs w:val="13"/>
                <w:color w:val="auto"/>
              </w:rPr>
              <w:t>2007</w:t>
            </w:r>
          </w:p>
        </w:tc>
      </w:tr>
      <w:tr>
        <w:trPr>
          <w:trHeight w:val="207"/>
        </w:trPr>
        <w:tc>
          <w:tcPr>
            <w:tcW w:w="2980" w:type="dxa"/>
            <w:vAlign w:val="bottom"/>
          </w:tcPr>
          <w:p>
            <w:pPr>
              <w:ind w:left="20"/>
              <w:spacing w:after="0"/>
              <w:rPr>
                <w:sz w:val="20"/>
                <w:szCs w:val="20"/>
                <w:color w:val="auto"/>
              </w:rPr>
            </w:pPr>
            <w:r>
              <w:rPr>
                <w:rFonts w:ascii="Arial" w:cs="Arial" w:eastAsia="Arial" w:hAnsi="Arial"/>
                <w:sz w:val="14"/>
                <w:szCs w:val="14"/>
                <w:color w:val="auto"/>
              </w:rPr>
              <w:t>Sempra Energy Consolidated</w:t>
            </w:r>
          </w:p>
        </w:tc>
        <w:tc>
          <w:tcPr>
            <w:tcW w:w="1780" w:type="dxa"/>
            <w:vAlign w:val="bottom"/>
          </w:tcPr>
          <w:p>
            <w:pPr>
              <w:jc w:val="right"/>
              <w:ind w:right="70"/>
              <w:spacing w:after="0"/>
              <w:rPr>
                <w:sz w:val="20"/>
                <w:szCs w:val="20"/>
                <w:color w:val="auto"/>
              </w:rPr>
            </w:pPr>
            <w:r>
              <w:rPr>
                <w:rFonts w:ascii="Arial" w:cs="Arial" w:eastAsia="Arial" w:hAnsi="Arial"/>
                <w:sz w:val="14"/>
                <w:szCs w:val="14"/>
                <w:color w:val="auto"/>
              </w:rPr>
              <w:t>13,673</w:t>
            </w:r>
          </w:p>
        </w:tc>
        <w:tc>
          <w:tcPr>
            <w:tcW w:w="3080" w:type="dxa"/>
            <w:vAlign w:val="bottom"/>
          </w:tcPr>
          <w:p>
            <w:pPr>
              <w:jc w:val="right"/>
              <w:ind w:right="711"/>
              <w:spacing w:after="0"/>
              <w:rPr>
                <w:sz w:val="20"/>
                <w:szCs w:val="20"/>
                <w:color w:val="auto"/>
              </w:rPr>
            </w:pPr>
            <w:r>
              <w:rPr>
                <w:rFonts w:ascii="Arial" w:cs="Arial" w:eastAsia="Arial" w:hAnsi="Arial"/>
                <w:sz w:val="14"/>
                <w:szCs w:val="14"/>
                <w:color w:val="auto"/>
              </w:rPr>
              <w:t>14,314</w:t>
            </w:r>
          </w:p>
        </w:tc>
      </w:tr>
      <w:tr>
        <w:trPr>
          <w:trHeight w:val="216"/>
        </w:trPr>
        <w:tc>
          <w:tcPr>
            <w:tcW w:w="2980" w:type="dxa"/>
            <w:vAlign w:val="bottom"/>
          </w:tcPr>
          <w:p>
            <w:pPr>
              <w:ind w:left="20"/>
              <w:spacing w:after="0"/>
              <w:rPr>
                <w:sz w:val="20"/>
                <w:szCs w:val="20"/>
                <w:color w:val="auto"/>
              </w:rPr>
            </w:pPr>
            <w:r>
              <w:rPr>
                <w:rFonts w:ascii="Arial" w:cs="Arial" w:eastAsia="Arial" w:hAnsi="Arial"/>
                <w:sz w:val="14"/>
                <w:szCs w:val="14"/>
                <w:color w:val="auto"/>
              </w:rPr>
              <w:t>SDG&amp;E</w:t>
            </w:r>
          </w:p>
        </w:tc>
        <w:tc>
          <w:tcPr>
            <w:tcW w:w="1780" w:type="dxa"/>
            <w:vAlign w:val="bottom"/>
          </w:tcPr>
          <w:p>
            <w:pPr>
              <w:jc w:val="right"/>
              <w:ind w:right="70"/>
              <w:spacing w:after="0"/>
              <w:rPr>
                <w:sz w:val="20"/>
                <w:szCs w:val="20"/>
                <w:color w:val="auto"/>
              </w:rPr>
            </w:pPr>
            <w:r>
              <w:rPr>
                <w:rFonts w:ascii="Arial" w:cs="Arial" w:eastAsia="Arial" w:hAnsi="Arial"/>
                <w:sz w:val="14"/>
                <w:szCs w:val="14"/>
                <w:color w:val="auto"/>
              </w:rPr>
              <w:t>4,833</w:t>
            </w:r>
          </w:p>
        </w:tc>
        <w:tc>
          <w:tcPr>
            <w:tcW w:w="3080" w:type="dxa"/>
            <w:vAlign w:val="bottom"/>
          </w:tcPr>
          <w:p>
            <w:pPr>
              <w:jc w:val="right"/>
              <w:ind w:right="711"/>
              <w:spacing w:after="0"/>
              <w:rPr>
                <w:sz w:val="20"/>
                <w:szCs w:val="20"/>
                <w:color w:val="auto"/>
              </w:rPr>
            </w:pPr>
            <w:r>
              <w:rPr>
                <w:rFonts w:ascii="Arial" w:cs="Arial" w:eastAsia="Arial" w:hAnsi="Arial"/>
                <w:sz w:val="14"/>
                <w:szCs w:val="14"/>
                <w:color w:val="auto"/>
              </w:rPr>
              <w:t>4,774</w:t>
            </w:r>
          </w:p>
        </w:tc>
      </w:tr>
      <w:tr>
        <w:trPr>
          <w:trHeight w:val="250"/>
        </w:trPr>
        <w:tc>
          <w:tcPr>
            <w:tcW w:w="2980" w:type="dxa"/>
            <w:vAlign w:val="bottom"/>
            <w:tcBorders>
              <w:bottom w:val="single" w:sz="8" w:color="DFDFDF"/>
            </w:tcBorders>
          </w:tcPr>
          <w:p>
            <w:pPr>
              <w:ind w:left="20"/>
              <w:spacing w:after="0"/>
              <w:rPr>
                <w:sz w:val="20"/>
                <w:szCs w:val="20"/>
                <w:color w:val="auto"/>
              </w:rPr>
            </w:pPr>
            <w:r>
              <w:rPr>
                <w:rFonts w:ascii="Arial" w:cs="Arial" w:eastAsia="Arial" w:hAnsi="Arial"/>
                <w:sz w:val="14"/>
                <w:szCs w:val="14"/>
                <w:color w:val="auto"/>
              </w:rPr>
              <w:t>SoCalGas</w:t>
            </w:r>
          </w:p>
        </w:tc>
        <w:tc>
          <w:tcPr>
            <w:tcW w:w="1780" w:type="dxa"/>
            <w:vAlign w:val="bottom"/>
            <w:tcBorders>
              <w:bottom w:val="single" w:sz="8" w:color="DFDFDF"/>
            </w:tcBorders>
          </w:tcPr>
          <w:p>
            <w:pPr>
              <w:jc w:val="right"/>
              <w:ind w:right="70"/>
              <w:spacing w:after="0"/>
              <w:rPr>
                <w:sz w:val="20"/>
                <w:szCs w:val="20"/>
                <w:color w:val="auto"/>
              </w:rPr>
            </w:pPr>
            <w:r>
              <w:rPr>
                <w:rFonts w:ascii="Arial" w:cs="Arial" w:eastAsia="Arial" w:hAnsi="Arial"/>
                <w:sz w:val="14"/>
                <w:szCs w:val="14"/>
                <w:color w:val="auto"/>
              </w:rPr>
              <w:t>7,188</w:t>
            </w:r>
          </w:p>
        </w:tc>
        <w:tc>
          <w:tcPr>
            <w:tcW w:w="3080" w:type="dxa"/>
            <w:vAlign w:val="bottom"/>
            <w:tcBorders>
              <w:bottom w:val="single" w:sz="8" w:color="DFDFDF"/>
            </w:tcBorders>
          </w:tcPr>
          <w:p>
            <w:pPr>
              <w:jc w:val="right"/>
              <w:ind w:right="711"/>
              <w:spacing w:after="0"/>
              <w:rPr>
                <w:sz w:val="20"/>
                <w:szCs w:val="20"/>
                <w:color w:val="auto"/>
              </w:rPr>
            </w:pPr>
            <w:r>
              <w:rPr>
                <w:rFonts w:ascii="Arial" w:cs="Arial" w:eastAsia="Arial" w:hAnsi="Arial"/>
                <w:sz w:val="14"/>
                <w:szCs w:val="14"/>
                <w:color w:val="auto"/>
              </w:rPr>
              <w:t>7,222</w:t>
            </w:r>
          </w:p>
        </w:tc>
      </w:tr>
    </w:tbl>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Labor Relations</w:t>
      </w:r>
    </w:p>
    <w:p>
      <w:pPr>
        <w:spacing w:after="0" w:line="35" w:lineRule="exact"/>
        <w:rPr>
          <w:sz w:val="20"/>
          <w:szCs w:val="20"/>
          <w:color w:val="auto"/>
        </w:rPr>
      </w:pPr>
    </w:p>
    <w:p>
      <w:pPr>
        <w:spacing w:after="0" w:line="282" w:lineRule="auto"/>
        <w:rPr>
          <w:sz w:val="20"/>
          <w:szCs w:val="20"/>
          <w:color w:val="auto"/>
        </w:rPr>
      </w:pPr>
      <w:r>
        <w:rPr>
          <w:rFonts w:ascii="Arial" w:cs="Arial" w:eastAsia="Arial" w:hAnsi="Arial"/>
          <w:sz w:val="15"/>
          <w:szCs w:val="15"/>
          <w:color w:val="auto"/>
        </w:rPr>
        <w:t>Field, technical and most clerical employees at SoCalGas are represented by the Utility Workers Union of America or the International Chemical Workers Union Council. The collective bargaining agreement for these employees covering wages, hours, working conditions, and medical and other benefit plans expired on September 30, 2008. On January 31, 2009, SoCalGas and representatives of the unions reached a tentative agreement for a new collective bargaining agreement. To allow time for ratification of the collective bargaining agreement by the employees, it was also agreed to extend the terms and conditions of the existing contract through February 28, 2009.</w:t>
      </w:r>
    </w:p>
    <w:p>
      <w:pPr>
        <w:spacing w:after="0" w:line="30" w:lineRule="exact"/>
        <w:rPr>
          <w:sz w:val="20"/>
          <w:szCs w:val="20"/>
          <w:color w:val="auto"/>
        </w:rPr>
      </w:pPr>
    </w:p>
    <w:p>
      <w:pPr>
        <w:ind w:right="60"/>
        <w:spacing w:after="0" w:line="289" w:lineRule="auto"/>
        <w:rPr>
          <w:sz w:val="20"/>
          <w:szCs w:val="20"/>
          <w:color w:val="auto"/>
        </w:rPr>
      </w:pPr>
      <w:r>
        <w:rPr>
          <w:rFonts w:ascii="Arial" w:cs="Arial" w:eastAsia="Arial" w:hAnsi="Arial"/>
          <w:sz w:val="15"/>
          <w:szCs w:val="15"/>
          <w:color w:val="auto"/>
        </w:rPr>
        <w:t>Field, technical and some clerical employees at SDG&amp;E are represented by the International Brotherhood of Electrical Workers. The collective bargaining agreement for these employees covering wages, hours and working conditions is in effect through August 31, 2011. For these same employees, the agreement covering health and welfare benefits is in effect through December 31, 2010, and the agreement covering pension benefits is in effect through December 4,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207010</wp:posOffset>
            </wp:positionV>
            <wp:extent cx="7261860" cy="76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color w:val="auto"/>
        </w:rPr>
        <w:t>ITEM 1A. RISK FACTORS</w:t>
      </w:r>
    </w:p>
    <w:p>
      <w:pPr>
        <w:spacing w:after="0" w:line="60" w:lineRule="exact"/>
        <w:rPr>
          <w:sz w:val="20"/>
          <w:szCs w:val="20"/>
          <w:color w:val="auto"/>
        </w:rPr>
      </w:pPr>
    </w:p>
    <w:p>
      <w:pPr>
        <w:ind w:right="40"/>
        <w:spacing w:after="0" w:line="276" w:lineRule="auto"/>
        <w:rPr>
          <w:sz w:val="20"/>
          <w:szCs w:val="20"/>
          <w:color w:val="auto"/>
        </w:rPr>
      </w:pPr>
      <w:r>
        <w:rPr>
          <w:rFonts w:ascii="Arial" w:cs="Arial" w:eastAsia="Arial" w:hAnsi="Arial"/>
          <w:sz w:val="15"/>
          <w:szCs w:val="15"/>
          <w:i w:val="1"/>
          <w:iCs w:val="1"/>
          <w:color w:val="auto"/>
        </w:rPr>
        <w:t>When evaluating our company and its subsidiaries, you should consider carefully the following risk factors and all other information contained in this report. These risk factors could affect our actual results and cause such results to differ materially from those expressed in any forward-looking statements made by us or on our behalf. Other risks and uncertainties, in addition to those that are described below, may also impair our business operations. If any of the following risks occurs, our business, cash flows, results of operations and financial condition could be seriously harmed. In addition, the trading price of our securities could decline due to the occurrence of any of these risks. These risk factors should be read in conjunction with the other detailed information concerning our company set forth in the Notes to Consolidated Financial Statements and in "Management's Discussion and Analysis of Financial Condition and Res ults of Operations" in the Annual Report.</w:t>
      </w:r>
    </w:p>
    <w:p>
      <w:pPr>
        <w:spacing w:after="0" w:line="4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Sempra Energy's cash flows, ability to pay dividends and ability to meet its debt obligations largely depend on the performance of its subsidiaries.</w:t>
      </w:r>
    </w:p>
    <w:p>
      <w:pPr>
        <w:spacing w:after="0" w:line="80" w:lineRule="exact"/>
        <w:rPr>
          <w:sz w:val="20"/>
          <w:szCs w:val="20"/>
          <w:color w:val="auto"/>
        </w:rPr>
      </w:pPr>
    </w:p>
    <w:p>
      <w:pPr>
        <w:jc w:val="both"/>
        <w:ind w:right="20"/>
        <w:spacing w:after="0" w:line="259" w:lineRule="auto"/>
        <w:rPr>
          <w:sz w:val="20"/>
          <w:szCs w:val="20"/>
          <w:color w:val="auto"/>
        </w:rPr>
      </w:pPr>
      <w:r>
        <w:rPr>
          <w:rFonts w:ascii="Arial" w:cs="Arial" w:eastAsia="Arial" w:hAnsi="Arial"/>
          <w:sz w:val="16"/>
          <w:szCs w:val="16"/>
          <w:color w:val="auto"/>
        </w:rPr>
        <w:t>Sempra Energy's ability to pay dividends and meet its debt obligations depends on cash flows from its subsidiaries and, in the short term, its ability to raise capital from external sources. In the long term, cash flows from the subsidiaries depend on their ability to generate operating cash flows in excess of their own capital expenditures and long-term debt obligations. In addition, the subsidiaries are separate and distinct legal entities and could be precluded from making such distributions under certain circumstances, including as a result of legislation or regulation or in times of financial distress.</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businesses may be adversely affected by conditions in the financial markets and economic conditions generally.</w:t>
      </w:r>
    </w:p>
    <w:p>
      <w:pPr>
        <w:spacing w:after="0" w:line="92" w:lineRule="exact"/>
        <w:rPr>
          <w:sz w:val="20"/>
          <w:szCs w:val="20"/>
          <w:color w:val="auto"/>
        </w:rPr>
      </w:pPr>
    </w:p>
    <w:p>
      <w:pPr>
        <w:ind w:right="420"/>
        <w:spacing w:after="0" w:line="277" w:lineRule="auto"/>
        <w:rPr>
          <w:sz w:val="20"/>
          <w:szCs w:val="20"/>
          <w:color w:val="auto"/>
        </w:rPr>
      </w:pPr>
      <w:r>
        <w:rPr>
          <w:rFonts w:ascii="Arial" w:cs="Arial" w:eastAsia="Arial" w:hAnsi="Arial"/>
          <w:sz w:val="16"/>
          <w:szCs w:val="16"/>
          <w:color w:val="auto"/>
        </w:rPr>
        <w:t>Our businesses are capital intensive and we rely significantly on short-term borrowings to fund a portion of day-to-day business operations and on long-term debt to fund a portion of our capital expenditures and refund outstanding debt.</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4"/>
          <w:szCs w:val="14"/>
          <w:color w:val="auto"/>
        </w:rPr>
        <w:t>17</w:t>
      </w:r>
    </w:p>
    <w:p>
      <w:pPr>
        <w:sectPr>
          <w:pgSz w:w="11900" w:h="16838" w:orient="portrait"/>
          <w:cols w:equalWidth="0" w:num="1">
            <w:col w:w="11380"/>
          </w:cols>
          <w:pgMar w:left="240" w:top="395" w:right="279" w:bottom="1440" w:gutter="0" w:footer="0" w:header="0"/>
        </w:sectPr>
      </w:pPr>
    </w:p>
    <w:bookmarkStart w:id="17" w:name="page18"/>
    <w:bookmarkEnd w:id="17"/>
    <w:p>
      <w:pPr>
        <w:ind w:right="260"/>
        <w:spacing w:after="0" w:line="277" w:lineRule="auto"/>
        <w:rPr>
          <w:sz w:val="20"/>
          <w:szCs w:val="20"/>
          <w:color w:val="auto"/>
        </w:rPr>
      </w:pPr>
      <w:r>
        <w:rPr>
          <w:rFonts w:ascii="Arial" w:cs="Arial" w:eastAsia="Arial" w:hAnsi="Arial"/>
          <w:sz w:val="16"/>
          <w:szCs w:val="16"/>
          <w:color w:val="auto"/>
        </w:rPr>
        <w:t>The credit markets and financial services industry have been experiencing a period of extreme world-wide turmoil characterized by the bankruptcy, failure, collapse or sale of many financial institutions and by extraordinary levels of government intervention.</w:t>
      </w:r>
    </w:p>
    <w:p>
      <w:pPr>
        <w:spacing w:after="0" w:line="44" w:lineRule="exact"/>
        <w:rPr>
          <w:sz w:val="20"/>
          <w:szCs w:val="20"/>
          <w:color w:val="auto"/>
        </w:rPr>
      </w:pPr>
    </w:p>
    <w:p>
      <w:pPr>
        <w:spacing w:after="0" w:line="289" w:lineRule="auto"/>
        <w:rPr>
          <w:sz w:val="20"/>
          <w:szCs w:val="20"/>
          <w:color w:val="auto"/>
        </w:rPr>
      </w:pPr>
      <w:r>
        <w:rPr>
          <w:rFonts w:ascii="Arial" w:cs="Arial" w:eastAsia="Arial" w:hAnsi="Arial"/>
          <w:sz w:val="15"/>
          <w:szCs w:val="15"/>
          <w:color w:val="auto"/>
        </w:rPr>
        <w:t>Limitations on the availability of credit and increases in interest rates or credit spreads may adversely affect our liquidity and results of operations. In difficult credit markets, we may find it necessary to fund our operations and capital expenditures at a higher cost or we may be unable to raise as much funding as we need to support business activities. This could cause us to reduce capital expenditures and could increase our cost of funding, both of which could reduce our short-term and long-term profitability.</w:t>
      </w:r>
    </w:p>
    <w:p>
      <w:pPr>
        <w:spacing w:after="0" w:line="26" w:lineRule="exact"/>
        <w:rPr>
          <w:sz w:val="20"/>
          <w:szCs w:val="20"/>
          <w:color w:val="auto"/>
        </w:rPr>
      </w:pPr>
    </w:p>
    <w:p>
      <w:pPr>
        <w:ind w:right="180"/>
        <w:spacing w:after="0" w:line="277" w:lineRule="auto"/>
        <w:rPr>
          <w:sz w:val="20"/>
          <w:szCs w:val="20"/>
          <w:color w:val="auto"/>
        </w:rPr>
      </w:pPr>
      <w:r>
        <w:rPr>
          <w:rFonts w:ascii="Arial" w:cs="Arial" w:eastAsia="Arial" w:hAnsi="Arial"/>
          <w:sz w:val="16"/>
          <w:szCs w:val="16"/>
          <w:color w:val="auto"/>
        </w:rPr>
        <w:t>The availability and cost of credit for our businesses may be greatly affected by credit ratings. If the credit ratings of SoCalGas or SDG&amp;E were to be reduced, their businesses could be adversely affected and any reduction in Sempra Energy's ratings could adversely affect its non-utility subsidiaries.</w:t>
      </w:r>
    </w:p>
    <w:p>
      <w:pPr>
        <w:spacing w:after="0" w:line="240" w:lineRule="exact"/>
        <w:rPr>
          <w:sz w:val="20"/>
          <w:szCs w:val="20"/>
          <w:color w:val="auto"/>
        </w:rPr>
      </w:pPr>
    </w:p>
    <w:p>
      <w:pPr>
        <w:jc w:val="center"/>
        <w:ind w:right="540"/>
        <w:spacing w:after="0"/>
        <w:rPr>
          <w:sz w:val="20"/>
          <w:szCs w:val="20"/>
          <w:color w:val="auto"/>
        </w:rPr>
      </w:pPr>
      <w:r>
        <w:rPr>
          <w:rFonts w:ascii="Arial" w:cs="Arial" w:eastAsia="Arial" w:hAnsi="Arial"/>
          <w:sz w:val="16"/>
          <w:szCs w:val="16"/>
          <w:b w:val="1"/>
          <w:bCs w:val="1"/>
          <w:color w:val="auto"/>
        </w:rPr>
        <w:t>Risks Related to All Sempra Energy Subsidiaries</w:t>
      </w:r>
    </w:p>
    <w:p>
      <w:pPr>
        <w:spacing w:after="0" w:line="89" w:lineRule="exact"/>
        <w:rPr>
          <w:sz w:val="20"/>
          <w:szCs w:val="20"/>
          <w:color w:val="auto"/>
        </w:rPr>
      </w:pPr>
    </w:p>
    <w:p>
      <w:pPr>
        <w:jc w:val="center"/>
        <w:ind w:right="200"/>
        <w:spacing w:after="0"/>
        <w:rPr>
          <w:sz w:val="20"/>
          <w:szCs w:val="20"/>
          <w:color w:val="auto"/>
        </w:rPr>
      </w:pPr>
      <w:r>
        <w:rPr>
          <w:rFonts w:ascii="Arial" w:cs="Arial" w:eastAsia="Arial" w:hAnsi="Arial"/>
          <w:sz w:val="13"/>
          <w:szCs w:val="13"/>
          <w:b w:val="1"/>
          <w:bCs w:val="1"/>
          <w:i w:val="1"/>
          <w:iCs w:val="1"/>
          <w:color w:val="auto"/>
        </w:rPr>
        <w:t>Our businesses are subject to complex government regulations and may be adversely affected by changes in these regulations or in their interpretation or implementation.</w:t>
      </w:r>
    </w:p>
    <w:p>
      <w:pPr>
        <w:spacing w:after="0" w:line="127" w:lineRule="exact"/>
        <w:rPr>
          <w:sz w:val="20"/>
          <w:szCs w:val="20"/>
          <w:color w:val="auto"/>
        </w:rPr>
      </w:pPr>
    </w:p>
    <w:p>
      <w:pPr>
        <w:ind w:right="80"/>
        <w:spacing w:after="0" w:line="278" w:lineRule="auto"/>
        <w:rPr>
          <w:sz w:val="20"/>
          <w:szCs w:val="20"/>
          <w:color w:val="auto"/>
        </w:rPr>
      </w:pPr>
      <w:r>
        <w:rPr>
          <w:rFonts w:ascii="Arial" w:cs="Arial" w:eastAsia="Arial" w:hAnsi="Arial"/>
          <w:sz w:val="15"/>
          <w:szCs w:val="15"/>
          <w:color w:val="auto"/>
        </w:rPr>
        <w:t>In recent years, the regulatory environment that applies to the electric power and natural gas industries has undergone significant changes, on both federal and state levels. These changes have affected the nature of these industries and the manner in which their participants conduct their businesses. These changes are ongoing, and we cannot predict the future course of changes in this regulatory environment or the ultimate effect that this changing regulatory environment will have on our businesses. Moreover, existing regulations may be revised or reinterpreted, and new laws and regulations may be adopted or become applicable to us and our facilities. Future changes in laws and regulations may have a detrimental effect on our business, cash flows, financial condition and results of operations.</w:t>
      </w:r>
    </w:p>
    <w:p>
      <w:pPr>
        <w:spacing w:after="0" w:line="46" w:lineRule="exact"/>
        <w:rPr>
          <w:sz w:val="20"/>
          <w:szCs w:val="20"/>
          <w:color w:val="auto"/>
        </w:rPr>
      </w:pPr>
    </w:p>
    <w:p>
      <w:pPr>
        <w:ind w:right="60"/>
        <w:spacing w:after="0" w:line="257" w:lineRule="auto"/>
        <w:rPr>
          <w:sz w:val="20"/>
          <w:szCs w:val="20"/>
          <w:color w:val="auto"/>
        </w:rPr>
      </w:pPr>
      <w:r>
        <w:rPr>
          <w:rFonts w:ascii="Arial" w:cs="Arial" w:eastAsia="Arial" w:hAnsi="Arial"/>
          <w:sz w:val="16"/>
          <w:szCs w:val="16"/>
          <w:color w:val="auto"/>
        </w:rPr>
        <w:t>Our operations are subject to rules relating to transactions among the Sempra Utilities and other Sempra Energy operations. These rules are commonly referred to as the Affiliate Transaction Rules. These businesses could be adversely affected by changes in these rules or by additional CPUC or FERC rules that further restrict our ability to sell electricity or natural gas, or to trade with the Sempra Utilities and with each other. Affiliate Transaction Rules also could require us to obtain prior approval from the CPUC before entering into any such transactions with the Sempra Utilities. Any such restrictions or approval requirements could adversely affect the LNG receiving terminals, natural gas pipelines, electric generation facilities, or trading operations of our subsidiaries.</w:t>
      </w:r>
    </w:p>
    <w:p>
      <w:pPr>
        <w:spacing w:after="0" w:line="48" w:lineRule="exact"/>
        <w:rPr>
          <w:sz w:val="20"/>
          <w:szCs w:val="20"/>
          <w:color w:val="auto"/>
        </w:rPr>
      </w:pPr>
    </w:p>
    <w:p>
      <w:pPr>
        <w:ind w:right="60"/>
        <w:spacing w:after="0" w:line="277" w:lineRule="auto"/>
        <w:rPr>
          <w:sz w:val="20"/>
          <w:szCs w:val="20"/>
          <w:color w:val="auto"/>
        </w:rPr>
      </w:pPr>
      <w:r>
        <w:rPr>
          <w:rFonts w:ascii="Arial" w:cs="Arial" w:eastAsia="Arial" w:hAnsi="Arial"/>
          <w:sz w:val="16"/>
          <w:szCs w:val="16"/>
          <w:color w:val="auto"/>
        </w:rPr>
        <w:t>Sempra Generation has various proceedings, inquiries and investigations relating to its business activities currently pending before the FERC. A description of such proceedings, inquiries and investigations is provided in Note 16 of the Notes to Consolidated Financial Statements in the Annual Report.</w:t>
      </w:r>
    </w:p>
    <w:p>
      <w:pPr>
        <w:spacing w:after="0" w:line="44" w:lineRule="exact"/>
        <w:rPr>
          <w:sz w:val="20"/>
          <w:szCs w:val="20"/>
          <w:color w:val="auto"/>
        </w:rPr>
      </w:pPr>
    </w:p>
    <w:p>
      <w:pPr>
        <w:ind w:right="180"/>
        <w:spacing w:after="0" w:line="277" w:lineRule="auto"/>
        <w:rPr>
          <w:sz w:val="20"/>
          <w:szCs w:val="20"/>
          <w:color w:val="auto"/>
        </w:rPr>
      </w:pPr>
      <w:r>
        <w:rPr>
          <w:rFonts w:ascii="Arial" w:cs="Arial" w:eastAsia="Arial" w:hAnsi="Arial"/>
          <w:sz w:val="16"/>
          <w:szCs w:val="16"/>
          <w:b w:val="1"/>
          <w:bCs w:val="1"/>
          <w:i w:val="1"/>
          <w:iCs w:val="1"/>
          <w:color w:val="auto"/>
        </w:rPr>
        <w:t>Our businesses require numerous permits and other governmental approvals from various federal, state, local and foreign governmental agencies; any failure to obtain or maintain required permits or approvals could cause our sales to decline and/or our costs to increase.</w:t>
      </w:r>
    </w:p>
    <w:p>
      <w:pPr>
        <w:spacing w:after="0" w:line="44" w:lineRule="exact"/>
        <w:rPr>
          <w:sz w:val="20"/>
          <w:szCs w:val="20"/>
          <w:color w:val="auto"/>
        </w:rPr>
      </w:pPr>
    </w:p>
    <w:p>
      <w:pPr>
        <w:jc w:val="both"/>
        <w:ind w:right="120"/>
        <w:spacing w:after="0" w:line="259" w:lineRule="auto"/>
        <w:rPr>
          <w:sz w:val="20"/>
          <w:szCs w:val="20"/>
          <w:color w:val="auto"/>
        </w:rPr>
      </w:pPr>
      <w:r>
        <w:rPr>
          <w:rFonts w:ascii="Arial" w:cs="Arial" w:eastAsia="Arial" w:hAnsi="Arial"/>
          <w:sz w:val="16"/>
          <w:szCs w:val="16"/>
          <w:color w:val="auto"/>
        </w:rPr>
        <w:t>All of our existing and planned development projects require multiple permits. The acquisition, ownership and operation of LNG receiving terminals, natural gas pipelines and storage facilities, and electric generation facilities require numerous permits, approvals and certificates from federal, state, local and foreign governmental agencies. If there is a delay in obtaining any required regulatory approvals or if we fail to obtain or maintain any required approvals or to comply with any applicable laws or regulations, we may not be able to operate our facilities, or we may be forced to incur additional costs.</w:t>
      </w:r>
    </w:p>
    <w:p>
      <w:pPr>
        <w:spacing w:after="0" w:line="4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businesses have significant environmental compliance costs, and future environmental compliance costs could adversely affect our profitability.</w:t>
      </w:r>
    </w:p>
    <w:p>
      <w:pPr>
        <w:spacing w:after="0" w:line="92" w:lineRule="exact"/>
        <w:rPr>
          <w:sz w:val="20"/>
          <w:szCs w:val="20"/>
          <w:color w:val="auto"/>
        </w:rPr>
      </w:pPr>
    </w:p>
    <w:p>
      <w:pPr>
        <w:ind w:right="80"/>
        <w:spacing w:after="0" w:line="264" w:lineRule="auto"/>
        <w:rPr>
          <w:sz w:val="20"/>
          <w:szCs w:val="20"/>
          <w:color w:val="auto"/>
        </w:rPr>
      </w:pPr>
      <w:r>
        <w:rPr>
          <w:rFonts w:ascii="Arial" w:cs="Arial" w:eastAsia="Arial" w:hAnsi="Arial"/>
          <w:sz w:val="16"/>
          <w:szCs w:val="16"/>
          <w:color w:val="auto"/>
        </w:rPr>
        <w:t>We are subject to extensive federal, state, local and foreign statutes, rules and regulations relating to environmental protection, including, in particular, global warming and greenhouse gas (GHG) emissions. We are required to obtain numerous governmental permits, licenses and other approvals to construct and operate our businesses. Additionally, to comply with these legal requirements, we must spend significant sums on environmental monitoring, pollution</w:t>
      </w: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4"/>
          <w:szCs w:val="14"/>
          <w:color w:val="auto"/>
        </w:rPr>
        <w:t>18</w:t>
      </w:r>
    </w:p>
    <w:p>
      <w:pPr>
        <w:sectPr>
          <w:pgSz w:w="11900" w:h="16838" w:orient="portrait"/>
          <w:cols w:equalWidth="0" w:num="1">
            <w:col w:w="11400"/>
          </w:cols>
          <w:pgMar w:left="240" w:top="127" w:right="259" w:bottom="1440" w:gutter="0" w:footer="0" w:header="0"/>
        </w:sectPr>
      </w:pPr>
    </w:p>
    <w:bookmarkStart w:id="18" w:name="page19"/>
    <w:bookmarkEnd w:id="18"/>
    <w:p>
      <w:pPr>
        <w:jc w:val="both"/>
        <w:ind w:right="400"/>
        <w:spacing w:after="0" w:line="264" w:lineRule="auto"/>
        <w:rPr>
          <w:sz w:val="20"/>
          <w:szCs w:val="20"/>
          <w:color w:val="auto"/>
        </w:rPr>
      </w:pPr>
      <w:r>
        <w:rPr>
          <w:rFonts w:ascii="Arial" w:cs="Arial" w:eastAsia="Arial" w:hAnsi="Arial"/>
          <w:sz w:val="16"/>
          <w:szCs w:val="16"/>
          <w:color w:val="auto"/>
        </w:rPr>
        <w:t>control equipment, mitigation costs and emissions fees. In addition, we are generally responsible for all on-site liabilities associated with the environmental condition of our electric generation facilities and other energy projects, regardless of when the liabilities arose and whether they are known or unknown. If we fail to comply with applicable environmental laws, we may be subject to penalties, fines and/or curtailments of our operations.</w:t>
      </w:r>
    </w:p>
    <w:p>
      <w:pPr>
        <w:spacing w:after="0" w:line="54" w:lineRule="exact"/>
        <w:rPr>
          <w:sz w:val="20"/>
          <w:szCs w:val="20"/>
          <w:color w:val="auto"/>
        </w:rPr>
      </w:pPr>
    </w:p>
    <w:p>
      <w:pPr>
        <w:spacing w:after="0" w:line="273" w:lineRule="auto"/>
        <w:rPr>
          <w:sz w:val="20"/>
          <w:szCs w:val="20"/>
          <w:color w:val="auto"/>
        </w:rPr>
      </w:pPr>
      <w:r>
        <w:rPr>
          <w:rFonts w:ascii="Arial" w:cs="Arial" w:eastAsia="Arial" w:hAnsi="Arial"/>
          <w:sz w:val="15"/>
          <w:szCs w:val="15"/>
          <w:color w:val="auto"/>
        </w:rPr>
        <w:t>The scope and effect of new environmental laws and regulations, including their effects on our current operations and future expansions, are difficult to predict. Increasing international, national, regional and state-level concerns as well as new or proposed legislation and regulation may have substantial effects on our operations, operating costs, and the scope and economics of proposed expansion. In particular, state-level laws and regulations, as well as proposed national and international legislation and regulation relating to GHG emissions (including carbon dioxide, methane, nitrogen oxide, hydrofluorocarbon, perfluorocarbon and sulfur hexafluoride), may limit or otherwise adversely affect our operations. The implementation of recent California legislation and proposed federal legislation may adversely affect our unregulated businesses by imposing additional costs associated with emission limits and the possible require ment of carbon taxes or the purchase of emissions credits. Similarly, the Sempra Utilities may be affected if costs are not recoverable in rates. The effects of significantly tougher standards may cause rates to increase to levels that substantially reduce customer demand and growth. In addition, SDG&amp;E may be subject to penalties if certain mandated renewable energy goals are not met. We provide further discussion of these matters in Notes 14, 15 and 16 of the Notes to Consolidated Financial Statements in the Annual Report.</w:t>
      </w:r>
    </w:p>
    <w:p>
      <w:pPr>
        <w:spacing w:after="0" w:line="36" w:lineRule="exact"/>
        <w:rPr>
          <w:sz w:val="20"/>
          <w:szCs w:val="20"/>
          <w:color w:val="auto"/>
        </w:rPr>
      </w:pPr>
    </w:p>
    <w:p>
      <w:pPr>
        <w:ind w:right="100"/>
        <w:spacing w:after="0" w:line="259" w:lineRule="auto"/>
        <w:rPr>
          <w:sz w:val="20"/>
          <w:szCs w:val="20"/>
          <w:color w:val="auto"/>
        </w:rPr>
      </w:pPr>
      <w:r>
        <w:rPr>
          <w:rFonts w:ascii="Arial" w:cs="Arial" w:eastAsia="Arial" w:hAnsi="Arial"/>
          <w:sz w:val="16"/>
          <w:szCs w:val="16"/>
          <w:color w:val="auto"/>
        </w:rPr>
        <w:t>In addition, existing and future laws and regulation on mercury, nitrogen and sulfur oxides, particulates, or other emissions could result in requirements for additional pollution control equipment or emission fees and taxes that could adversely affect us. Moreover, existing rules and regulations may be interpreted or revised in ways that may adversely affect us and our facilities and operations. We provide additional information about these matters in Note 15 of the Notes to the Consolidated Financial Statements in the Annual Report.</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Natural disasters, catastrophic accidents or acts of terrorism could materially adversely affect our business, earnings and cash flows.</w:t>
      </w:r>
    </w:p>
    <w:p>
      <w:pPr>
        <w:spacing w:after="0" w:line="92" w:lineRule="exact"/>
        <w:rPr>
          <w:sz w:val="20"/>
          <w:szCs w:val="20"/>
          <w:color w:val="auto"/>
        </w:rPr>
      </w:pPr>
    </w:p>
    <w:p>
      <w:pPr>
        <w:spacing w:after="0"/>
        <w:rPr>
          <w:sz w:val="20"/>
          <w:szCs w:val="20"/>
          <w:color w:val="auto"/>
        </w:rPr>
      </w:pPr>
      <w:r>
        <w:rPr>
          <w:rFonts w:ascii="Arial" w:cs="Arial" w:eastAsia="Arial" w:hAnsi="Arial"/>
          <w:sz w:val="16"/>
          <w:szCs w:val="16"/>
          <w:color w:val="auto"/>
        </w:rPr>
        <w:t>Like other major industrial facilities, ours may be damaged by natural disasters, catastrophic accidents, or acts of terrorism. Such facilities include</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2740" w:type="dxa"/>
            <w:vAlign w:val="bottom"/>
          </w:tcPr>
          <w:p>
            <w:pPr>
              <w:ind w:left="40"/>
              <w:spacing w:after="0"/>
              <w:rPr>
                <w:sz w:val="20"/>
                <w:szCs w:val="20"/>
                <w:color w:val="auto"/>
              </w:rPr>
            </w:pPr>
            <w:r>
              <w:rPr>
                <w:rFonts w:ascii="Arial" w:cs="Arial" w:eastAsia="Arial" w:hAnsi="Arial"/>
                <w:sz w:val="16"/>
                <w:szCs w:val="16"/>
                <w:color w:val="auto"/>
              </w:rPr>
              <w:t>generation</w:t>
            </w:r>
          </w:p>
        </w:tc>
        <w:tc>
          <w:tcPr>
            <w:tcW w:w="460" w:type="dxa"/>
            <w:vAlign w:val="bottom"/>
          </w:tcPr>
          <w:p>
            <w:pPr>
              <w:jc w:val="right"/>
              <w:spacing w:after="0"/>
              <w:rPr>
                <w:sz w:val="20"/>
                <w:szCs w:val="20"/>
                <w:color w:val="auto"/>
              </w:rPr>
            </w:pPr>
            <w:r>
              <w:rPr>
                <w:rFonts w:ascii="Arial" w:cs="Arial" w:eastAsia="Arial" w:hAnsi="Arial"/>
                <w:sz w:val="16"/>
                <w:szCs w:val="16"/>
                <w:color w:val="auto"/>
              </w:rPr>
              <w:t>§</w:t>
            </w:r>
          </w:p>
        </w:tc>
        <w:tc>
          <w:tcPr>
            <w:tcW w:w="2140" w:type="dxa"/>
            <w:vAlign w:val="bottom"/>
          </w:tcPr>
          <w:p>
            <w:pPr>
              <w:ind w:left="40"/>
              <w:spacing w:after="0"/>
              <w:rPr>
                <w:sz w:val="20"/>
                <w:szCs w:val="20"/>
                <w:color w:val="auto"/>
              </w:rPr>
            </w:pPr>
            <w:r>
              <w:rPr>
                <w:rFonts w:ascii="Arial" w:cs="Arial" w:eastAsia="Arial" w:hAnsi="Arial"/>
                <w:sz w:val="16"/>
                <w:szCs w:val="16"/>
                <w:color w:val="auto"/>
                <w:w w:val="97"/>
              </w:rPr>
              <w:t>chartered oil and LNG tankers</w:t>
            </w:r>
          </w:p>
        </w:tc>
      </w:tr>
      <w:tr>
        <w:trPr>
          <w:trHeight w:val="252"/>
        </w:trPr>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2740" w:type="dxa"/>
            <w:vAlign w:val="bottom"/>
          </w:tcPr>
          <w:p>
            <w:pPr>
              <w:ind w:left="40"/>
              <w:spacing w:after="0"/>
              <w:rPr>
                <w:sz w:val="20"/>
                <w:szCs w:val="20"/>
                <w:color w:val="auto"/>
              </w:rPr>
            </w:pPr>
            <w:r>
              <w:rPr>
                <w:rFonts w:ascii="Arial" w:cs="Arial" w:eastAsia="Arial" w:hAnsi="Arial"/>
                <w:sz w:val="16"/>
                <w:szCs w:val="16"/>
                <w:color w:val="auto"/>
              </w:rPr>
              <w:t>electric transmission and distribution</w:t>
            </w:r>
          </w:p>
        </w:tc>
        <w:tc>
          <w:tcPr>
            <w:tcW w:w="460" w:type="dxa"/>
            <w:vAlign w:val="bottom"/>
          </w:tcPr>
          <w:p>
            <w:pPr>
              <w:jc w:val="right"/>
              <w:spacing w:after="0"/>
              <w:rPr>
                <w:sz w:val="20"/>
                <w:szCs w:val="20"/>
                <w:color w:val="auto"/>
              </w:rPr>
            </w:pPr>
            <w:r>
              <w:rPr>
                <w:rFonts w:ascii="Arial" w:cs="Arial" w:eastAsia="Arial" w:hAnsi="Arial"/>
                <w:sz w:val="16"/>
                <w:szCs w:val="16"/>
                <w:color w:val="auto"/>
              </w:rPr>
              <w:t>§</w:t>
            </w:r>
          </w:p>
        </w:tc>
        <w:tc>
          <w:tcPr>
            <w:tcW w:w="2140" w:type="dxa"/>
            <w:vAlign w:val="bottom"/>
          </w:tcPr>
          <w:p>
            <w:pPr>
              <w:ind w:left="40"/>
              <w:spacing w:after="0"/>
              <w:rPr>
                <w:sz w:val="20"/>
                <w:szCs w:val="20"/>
                <w:color w:val="auto"/>
              </w:rPr>
            </w:pPr>
            <w:r>
              <w:rPr>
                <w:rFonts w:ascii="Arial" w:cs="Arial" w:eastAsia="Arial" w:hAnsi="Arial"/>
                <w:sz w:val="16"/>
                <w:szCs w:val="16"/>
                <w:color w:val="auto"/>
                <w:w w:val="88"/>
              </w:rPr>
              <w:t>natural gas pipelines and storage</w:t>
            </w:r>
          </w:p>
        </w:tc>
      </w:tr>
      <w:tr>
        <w:trPr>
          <w:trHeight w:val="252"/>
        </w:trPr>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2740" w:type="dxa"/>
            <w:vAlign w:val="bottom"/>
          </w:tcPr>
          <w:p>
            <w:pPr>
              <w:ind w:left="40"/>
              <w:spacing w:after="0"/>
              <w:rPr>
                <w:sz w:val="20"/>
                <w:szCs w:val="20"/>
                <w:color w:val="auto"/>
              </w:rPr>
            </w:pPr>
            <w:r>
              <w:rPr>
                <w:rFonts w:ascii="Arial" w:cs="Arial" w:eastAsia="Arial" w:hAnsi="Arial"/>
                <w:sz w:val="16"/>
                <w:szCs w:val="16"/>
                <w:color w:val="auto"/>
              </w:rPr>
              <w:t>LNG receipt terminals and storage</w:t>
            </w:r>
          </w:p>
        </w:tc>
        <w:tc>
          <w:tcPr>
            <w:tcW w:w="460" w:type="dxa"/>
            <w:vAlign w:val="bottom"/>
          </w:tcPr>
          <w:p>
            <w:pPr>
              <w:spacing w:after="0"/>
              <w:rPr>
                <w:sz w:val="21"/>
                <w:szCs w:val="21"/>
                <w:color w:val="auto"/>
              </w:rPr>
            </w:pPr>
          </w:p>
        </w:tc>
        <w:tc>
          <w:tcPr>
            <w:tcW w:w="2140" w:type="dxa"/>
            <w:vAlign w:val="bottom"/>
          </w:tcPr>
          <w:p>
            <w:pPr>
              <w:spacing w:after="0"/>
              <w:rPr>
                <w:sz w:val="21"/>
                <w:szCs w:val="21"/>
                <w:color w:val="auto"/>
              </w:rPr>
            </w:pPr>
          </w:p>
        </w:tc>
      </w:tr>
    </w:tbl>
    <w:p>
      <w:pPr>
        <w:spacing w:after="0" w:line="120" w:lineRule="exact"/>
        <w:rPr>
          <w:sz w:val="20"/>
          <w:szCs w:val="20"/>
          <w:color w:val="auto"/>
        </w:rPr>
      </w:pPr>
    </w:p>
    <w:p>
      <w:pPr>
        <w:ind w:right="60"/>
        <w:spacing w:after="0" w:line="277" w:lineRule="auto"/>
        <w:rPr>
          <w:sz w:val="20"/>
          <w:szCs w:val="20"/>
          <w:color w:val="auto"/>
        </w:rPr>
      </w:pPr>
      <w:r>
        <w:rPr>
          <w:rFonts w:ascii="Arial" w:cs="Arial" w:eastAsia="Arial" w:hAnsi="Arial"/>
          <w:sz w:val="16"/>
          <w:szCs w:val="16"/>
          <w:color w:val="auto"/>
        </w:rPr>
        <w:t>Such incidents could result in severe business disruptions, significant decreases in revenues, or significant additional costs to us. Any such incident could have a material adverse effect on our financial condition, earnings and cash flows.</w:t>
      </w:r>
    </w:p>
    <w:p>
      <w:pPr>
        <w:spacing w:after="0" w:line="44" w:lineRule="exact"/>
        <w:rPr>
          <w:sz w:val="20"/>
          <w:szCs w:val="20"/>
          <w:color w:val="auto"/>
        </w:rPr>
      </w:pPr>
    </w:p>
    <w:p>
      <w:pPr>
        <w:spacing w:after="0" w:line="259" w:lineRule="auto"/>
        <w:rPr>
          <w:sz w:val="20"/>
          <w:szCs w:val="20"/>
          <w:color w:val="auto"/>
        </w:rPr>
      </w:pPr>
      <w:r>
        <w:rPr>
          <w:rFonts w:ascii="Arial" w:cs="Arial" w:eastAsia="Arial" w:hAnsi="Arial"/>
          <w:sz w:val="16"/>
          <w:szCs w:val="16"/>
          <w:color w:val="auto"/>
        </w:rPr>
        <w:t>Depending on the nature and location of the facilities affected, any such incident also could cause fires, leaks, explosions, spills or other significant damage to natural resources or property belonging to third parties, or cause personal injuries. Any of these consequences could lead to significant claims against us. Insurance coverage may become unavailable for certain of these risks, and any insurance proceeds we receive may be insufficient to cover our losses or liabilities, which could materially adversely affect our financial condition, earnings and cash flows.</w:t>
      </w:r>
    </w:p>
    <w:p>
      <w:pPr>
        <w:spacing w:after="0" w:line="4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future results of operations, financial condition, and cash flows may be materially adversely affected by the outcome of pending litigation against us.</w:t>
      </w:r>
    </w:p>
    <w:p>
      <w:pPr>
        <w:spacing w:after="0" w:line="104" w:lineRule="exact"/>
        <w:rPr>
          <w:sz w:val="20"/>
          <w:szCs w:val="20"/>
          <w:color w:val="auto"/>
        </w:rPr>
      </w:pPr>
    </w:p>
    <w:p>
      <w:pPr>
        <w:spacing w:after="0" w:line="255" w:lineRule="auto"/>
        <w:rPr>
          <w:sz w:val="20"/>
          <w:szCs w:val="20"/>
          <w:color w:val="auto"/>
        </w:rPr>
      </w:pPr>
      <w:r>
        <w:rPr>
          <w:rFonts w:ascii="Arial" w:cs="Arial" w:eastAsia="Arial" w:hAnsi="Arial"/>
          <w:sz w:val="16"/>
          <w:szCs w:val="16"/>
          <w:color w:val="auto"/>
        </w:rPr>
        <w:t>Sempra Energy and its subsidiaries are defendants in numerous lawsuits. We have spent, and continue to spend, substantial amounts defending these lawsuits, and in related investigations and regulatory proceedings. In particular, SDG&amp;E is subject to numerous lawsuits arising out of San Diego County wildfires in 2007, and Sempra Generation is subject to extensive litigation regarding a major long-term power agreement. We discuss these and other litigation in Note 16 of the Notes to Consolidated Financial Statements in the Annual Report. The uncertainties inherent in legal proceedings make it difficult to estimate with any degree of certainty the costs and effects of resolving these matters. In addition, California juries have demonstrated an increasing willingness to grant large awards, including punitive damages, in personal injury, product liability, property damage and other claims. Accordingly, actual costs incurred may differ materially from insured or reserved amounts and could materially adversely affect our business, cash flows, results of operations and financial condition.</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4"/>
          <w:szCs w:val="14"/>
          <w:color w:val="auto"/>
        </w:rPr>
        <w:t>19</w:t>
      </w:r>
    </w:p>
    <w:p>
      <w:pPr>
        <w:sectPr>
          <w:pgSz w:w="11900" w:h="16838" w:orient="portrait"/>
          <w:cols w:equalWidth="0" w:num="1">
            <w:col w:w="11420"/>
          </w:cols>
          <w:pgMar w:left="240" w:top="127" w:right="239" w:bottom="1440" w:gutter="0" w:footer="0" w:header="0"/>
        </w:sectPr>
      </w:pPr>
    </w:p>
    <w:bookmarkStart w:id="19" w:name="page20"/>
    <w:bookmarkEnd w:id="19"/>
    <w:p>
      <w:pPr>
        <w:spacing w:after="0" w:line="277" w:lineRule="auto"/>
        <w:rPr>
          <w:sz w:val="20"/>
          <w:szCs w:val="20"/>
          <w:color w:val="auto"/>
        </w:rPr>
      </w:pPr>
      <w:r>
        <w:rPr>
          <w:rFonts w:ascii="Arial" w:cs="Arial" w:eastAsia="Arial" w:hAnsi="Arial"/>
          <w:sz w:val="16"/>
          <w:szCs w:val="16"/>
          <w:color w:val="auto"/>
        </w:rPr>
        <w:t>We discuss these proceedings in Note 16 of the Notes to Consolidated Financial Statements and in "Management's Discussion and Analysis of Financial Condition and Results of Operations" in the Annual Report.</w:t>
      </w:r>
    </w:p>
    <w:p>
      <w:pPr>
        <w:spacing w:after="0" w:line="228" w:lineRule="exact"/>
        <w:rPr>
          <w:sz w:val="20"/>
          <w:szCs w:val="20"/>
          <w:color w:val="auto"/>
        </w:rPr>
      </w:pPr>
    </w:p>
    <w:p>
      <w:pPr>
        <w:jc w:val="center"/>
        <w:ind w:right="520"/>
        <w:spacing w:after="0"/>
        <w:rPr>
          <w:sz w:val="20"/>
          <w:szCs w:val="20"/>
          <w:color w:val="auto"/>
        </w:rPr>
      </w:pPr>
      <w:r>
        <w:rPr>
          <w:rFonts w:ascii="Arial" w:cs="Arial" w:eastAsia="Arial" w:hAnsi="Arial"/>
          <w:sz w:val="16"/>
          <w:szCs w:val="16"/>
          <w:b w:val="1"/>
          <w:bCs w:val="1"/>
          <w:color w:val="auto"/>
        </w:rPr>
        <w:t>Risks Related to the Sempra Utilities</w:t>
      </w:r>
    </w:p>
    <w:p>
      <w:pPr>
        <w:spacing w:after="0" w:line="101" w:lineRule="exact"/>
        <w:rPr>
          <w:sz w:val="20"/>
          <w:szCs w:val="20"/>
          <w:color w:val="auto"/>
        </w:rPr>
      </w:pPr>
    </w:p>
    <w:p>
      <w:pPr>
        <w:ind w:right="640"/>
        <w:spacing w:after="0" w:line="277" w:lineRule="auto"/>
        <w:rPr>
          <w:sz w:val="20"/>
          <w:szCs w:val="20"/>
          <w:color w:val="auto"/>
        </w:rPr>
      </w:pPr>
      <w:r>
        <w:rPr>
          <w:rFonts w:ascii="Arial" w:cs="Arial" w:eastAsia="Arial" w:hAnsi="Arial"/>
          <w:sz w:val="16"/>
          <w:szCs w:val="16"/>
          <w:b w:val="1"/>
          <w:bCs w:val="1"/>
          <w:i w:val="1"/>
          <w:iCs w:val="1"/>
          <w:color w:val="auto"/>
        </w:rPr>
        <w:t>The Sempra Utilities are subject to extensive regulation by state, federal and local legislation and regulatory authorities, which may adversely affect the operations, performance and growth of their businesses.</w:t>
      </w:r>
    </w:p>
    <w:p>
      <w:pPr>
        <w:spacing w:after="0" w:line="44" w:lineRule="exact"/>
        <w:rPr>
          <w:sz w:val="20"/>
          <w:szCs w:val="20"/>
          <w:color w:val="auto"/>
        </w:rPr>
      </w:pPr>
    </w:p>
    <w:p>
      <w:pPr>
        <w:spacing w:after="0"/>
        <w:rPr>
          <w:sz w:val="20"/>
          <w:szCs w:val="20"/>
          <w:color w:val="auto"/>
        </w:rPr>
      </w:pPr>
      <w:r>
        <w:rPr>
          <w:rFonts w:ascii="Arial" w:cs="Arial" w:eastAsia="Arial" w:hAnsi="Arial"/>
          <w:sz w:val="14"/>
          <w:szCs w:val="14"/>
          <w:color w:val="auto"/>
        </w:rPr>
        <w:t>The CPUC regulates the Sempra Utilities' rates, except SDG&amp;E's electric transmission rates, which are regulated by the FERC. The CPUC also regulates the Sempra Utilities'</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2000" w:type="dxa"/>
            <w:vAlign w:val="bottom"/>
          </w:tcPr>
          <w:p>
            <w:pPr>
              <w:ind w:left="40"/>
              <w:spacing w:after="0"/>
              <w:rPr>
                <w:sz w:val="20"/>
                <w:szCs w:val="20"/>
                <w:color w:val="auto"/>
              </w:rPr>
            </w:pPr>
            <w:r>
              <w:rPr>
                <w:rFonts w:ascii="Arial" w:cs="Arial" w:eastAsia="Arial" w:hAnsi="Arial"/>
                <w:sz w:val="16"/>
                <w:szCs w:val="16"/>
                <w:color w:val="auto"/>
              </w:rPr>
              <w:t>conditions of service</w:t>
            </w: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2120" w:type="dxa"/>
            <w:vAlign w:val="bottom"/>
          </w:tcPr>
          <w:p>
            <w:pPr>
              <w:ind w:left="60"/>
              <w:spacing w:after="0"/>
              <w:rPr>
                <w:sz w:val="20"/>
                <w:szCs w:val="20"/>
                <w:color w:val="auto"/>
              </w:rPr>
            </w:pPr>
            <w:r>
              <w:rPr>
                <w:rFonts w:ascii="Arial" w:cs="Arial" w:eastAsia="Arial" w:hAnsi="Arial"/>
                <w:sz w:val="16"/>
                <w:szCs w:val="16"/>
                <w:color w:val="auto"/>
              </w:rPr>
              <w:t>rates of depreciation</w:t>
            </w:r>
          </w:p>
        </w:tc>
      </w:tr>
      <w:tr>
        <w:trPr>
          <w:trHeight w:val="252"/>
        </w:trPr>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2000" w:type="dxa"/>
            <w:vAlign w:val="bottom"/>
          </w:tcPr>
          <w:p>
            <w:pPr>
              <w:ind w:left="40"/>
              <w:spacing w:after="0"/>
              <w:rPr>
                <w:sz w:val="20"/>
                <w:szCs w:val="20"/>
                <w:color w:val="auto"/>
              </w:rPr>
            </w:pPr>
            <w:r>
              <w:rPr>
                <w:rFonts w:ascii="Arial" w:cs="Arial" w:eastAsia="Arial" w:hAnsi="Arial"/>
                <w:sz w:val="16"/>
                <w:szCs w:val="16"/>
                <w:color w:val="auto"/>
              </w:rPr>
              <w:t>capital structure</w:t>
            </w: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2120" w:type="dxa"/>
            <w:vAlign w:val="bottom"/>
          </w:tcPr>
          <w:p>
            <w:pPr>
              <w:ind w:left="60"/>
              <w:spacing w:after="0"/>
              <w:rPr>
                <w:sz w:val="20"/>
                <w:szCs w:val="20"/>
                <w:color w:val="auto"/>
              </w:rPr>
            </w:pPr>
            <w:r>
              <w:rPr>
                <w:rFonts w:ascii="Arial" w:cs="Arial" w:eastAsia="Arial" w:hAnsi="Arial"/>
                <w:sz w:val="16"/>
                <w:szCs w:val="16"/>
                <w:color w:val="auto"/>
                <w:w w:val="89"/>
              </w:rPr>
              <w:t>long-term resource procurement</w:t>
            </w:r>
          </w:p>
        </w:tc>
      </w:tr>
      <w:tr>
        <w:trPr>
          <w:trHeight w:val="252"/>
        </w:trPr>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2000" w:type="dxa"/>
            <w:vAlign w:val="bottom"/>
          </w:tcPr>
          <w:p>
            <w:pPr>
              <w:ind w:left="40"/>
              <w:spacing w:after="0"/>
              <w:rPr>
                <w:sz w:val="20"/>
                <w:szCs w:val="20"/>
                <w:color w:val="auto"/>
              </w:rPr>
            </w:pPr>
            <w:r>
              <w:rPr>
                <w:rFonts w:ascii="Arial" w:cs="Arial" w:eastAsia="Arial" w:hAnsi="Arial"/>
                <w:sz w:val="16"/>
                <w:szCs w:val="16"/>
                <w:color w:val="auto"/>
              </w:rPr>
              <w:t>rates of return</w:t>
            </w: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2120" w:type="dxa"/>
            <w:vAlign w:val="bottom"/>
          </w:tcPr>
          <w:p>
            <w:pPr>
              <w:ind w:left="60"/>
              <w:spacing w:after="0"/>
              <w:rPr>
                <w:sz w:val="20"/>
                <w:szCs w:val="20"/>
                <w:color w:val="auto"/>
              </w:rPr>
            </w:pPr>
            <w:r>
              <w:rPr>
                <w:rFonts w:ascii="Arial" w:cs="Arial" w:eastAsia="Arial" w:hAnsi="Arial"/>
                <w:sz w:val="16"/>
                <w:szCs w:val="16"/>
                <w:color w:val="auto"/>
              </w:rPr>
              <w:t>sales of securities</w:t>
            </w:r>
          </w:p>
        </w:tc>
      </w:tr>
    </w:tbl>
    <w:p>
      <w:pPr>
        <w:spacing w:after="0" w:line="120" w:lineRule="exact"/>
        <w:rPr>
          <w:sz w:val="20"/>
          <w:szCs w:val="20"/>
          <w:color w:val="auto"/>
        </w:rPr>
      </w:pPr>
    </w:p>
    <w:p>
      <w:pPr>
        <w:ind w:right="20"/>
        <w:spacing w:after="0" w:line="259" w:lineRule="auto"/>
        <w:rPr>
          <w:sz w:val="20"/>
          <w:szCs w:val="20"/>
          <w:color w:val="auto"/>
        </w:rPr>
      </w:pPr>
      <w:r>
        <w:rPr>
          <w:rFonts w:ascii="Arial" w:cs="Arial" w:eastAsia="Arial" w:hAnsi="Arial"/>
          <w:sz w:val="16"/>
          <w:szCs w:val="16"/>
          <w:color w:val="auto"/>
        </w:rPr>
        <w:t>The CPUC conducts various reviews and audits of utility performance, compliance with CPUC regulations and standards, affiliate relationships and other matters. These reviews and audits may result in disallowances and penalties that could adversely affect earnings and cash flows. We discuss various CPUC proceedings relating to the Sempra Utilities' rates, costs, incentive mechanisms, and performance-based regulation in Notes 14 and 15 of the Notes to Consolidated Financial Statements and in "Management's Discussion and Analysis of Financial Condition and Results of Operations" in the Annual Report.</w:t>
      </w:r>
    </w:p>
    <w:p>
      <w:pPr>
        <w:spacing w:after="0" w:line="59" w:lineRule="exact"/>
        <w:rPr>
          <w:sz w:val="20"/>
          <w:szCs w:val="20"/>
          <w:color w:val="auto"/>
        </w:rPr>
      </w:pPr>
    </w:p>
    <w:p>
      <w:pPr>
        <w:ind w:right="260"/>
        <w:spacing w:after="0" w:line="340" w:lineRule="auto"/>
        <w:rPr>
          <w:sz w:val="20"/>
          <w:szCs w:val="20"/>
          <w:color w:val="auto"/>
        </w:rPr>
      </w:pPr>
      <w:r>
        <w:rPr>
          <w:rFonts w:ascii="Arial" w:cs="Arial" w:eastAsia="Arial" w:hAnsi="Arial"/>
          <w:sz w:val="14"/>
          <w:szCs w:val="14"/>
          <w:color w:val="auto"/>
        </w:rPr>
        <w:t>The Sempra Utilities may spend funds related to a major capital project prior to receiving regulatory approval. If the project does not receive regulatory approval or if management decides not to proceed with the project, they may not be able to recover all amounts spent for that project, which could adversely affect earnings and cash flows.</w:t>
      </w:r>
    </w:p>
    <w:p>
      <w:pPr>
        <w:ind w:right="260"/>
        <w:spacing w:after="0" w:line="312" w:lineRule="auto"/>
        <w:rPr>
          <w:sz w:val="20"/>
          <w:szCs w:val="20"/>
          <w:color w:val="auto"/>
        </w:rPr>
      </w:pPr>
      <w:r>
        <w:rPr>
          <w:rFonts w:ascii="Arial" w:cs="Arial" w:eastAsia="Arial" w:hAnsi="Arial"/>
          <w:sz w:val="15"/>
          <w:szCs w:val="15"/>
          <w:color w:val="auto"/>
        </w:rPr>
        <w:t>The CPUC periodically approves the Sempra Utilities' rates based on authorized capital expenditures, operating costs and an authorized rate of return on investment. If actual capital expenditures and operating costs were to exceed the amount approved by the CPUC, earnings and cash flows could be adversely affected.</w:t>
      </w:r>
    </w:p>
    <w:p>
      <w:pPr>
        <w:spacing w:after="0" w:line="20" w:lineRule="exact"/>
        <w:rPr>
          <w:sz w:val="20"/>
          <w:szCs w:val="20"/>
          <w:color w:val="auto"/>
        </w:rPr>
      </w:pPr>
    </w:p>
    <w:p>
      <w:pPr>
        <w:ind w:right="40"/>
        <w:spacing w:after="0" w:line="255" w:lineRule="auto"/>
        <w:rPr>
          <w:sz w:val="20"/>
          <w:szCs w:val="20"/>
          <w:color w:val="auto"/>
        </w:rPr>
      </w:pPr>
      <w:r>
        <w:rPr>
          <w:rFonts w:ascii="Arial" w:cs="Arial" w:eastAsia="Arial" w:hAnsi="Arial"/>
          <w:sz w:val="16"/>
          <w:szCs w:val="16"/>
          <w:color w:val="auto"/>
        </w:rPr>
        <w:t>The CPUC applies performance-based measures and incentive mechanisms to all California utilities. Under these, income potential above authorized base margins is tied to achieving or exceeding specific performance and operating goals, rather than relying solely on expanding utility plant to increase earnings. At the Sempra Utilities, the areas that are eligible for incentives are operational activities such as employee safety, energy efficiency programs and, at SoCalGas, natural gas procurement. Although the Sempra Utilities have received incentive awards in the past, there can be no assurance that they will receive awards in the future, or that any future awards earned would be in amounts comparable to prior periods. Additionally, if the Sempra Utilities fail to achieve certain minimum performance levels established under such mechanisms, they may be assessed financial disallowances or penalties which could negatively affect earnings and cash flows. SoC alGas is also eligible for incentives, but is not subject to penalties, associated with unbundled gas storage activities.</w:t>
      </w:r>
    </w:p>
    <w:p>
      <w:pPr>
        <w:spacing w:after="0" w:line="61" w:lineRule="exact"/>
        <w:rPr>
          <w:sz w:val="20"/>
          <w:szCs w:val="20"/>
          <w:color w:val="auto"/>
        </w:rPr>
      </w:pPr>
    </w:p>
    <w:p>
      <w:pPr>
        <w:spacing w:after="0" w:line="277" w:lineRule="auto"/>
        <w:rPr>
          <w:sz w:val="20"/>
          <w:szCs w:val="20"/>
          <w:color w:val="auto"/>
        </w:rPr>
      </w:pPr>
      <w:r>
        <w:rPr>
          <w:rFonts w:ascii="Arial" w:cs="Arial" w:eastAsia="Arial" w:hAnsi="Arial"/>
          <w:sz w:val="16"/>
          <w:szCs w:val="16"/>
          <w:color w:val="auto"/>
        </w:rPr>
        <w:t>The FERC regulates electric transmission rates, the transmission and wholesale sales of electricity in interstate commerce, transmission access, the rates of return on transmission investments, and other similar matters involving SDG&amp;E.</w:t>
      </w:r>
    </w:p>
    <w:p>
      <w:pPr>
        <w:spacing w:after="0" w:line="32" w:lineRule="exact"/>
        <w:rPr>
          <w:sz w:val="20"/>
          <w:szCs w:val="20"/>
          <w:color w:val="auto"/>
        </w:rPr>
      </w:pPr>
    </w:p>
    <w:p>
      <w:pPr>
        <w:jc w:val="both"/>
        <w:ind w:right="320"/>
        <w:spacing w:after="0" w:line="264" w:lineRule="auto"/>
        <w:rPr>
          <w:sz w:val="20"/>
          <w:szCs w:val="20"/>
          <w:color w:val="auto"/>
        </w:rPr>
      </w:pPr>
      <w:r>
        <w:rPr>
          <w:rFonts w:ascii="Arial" w:cs="Arial" w:eastAsia="Arial" w:hAnsi="Arial"/>
          <w:sz w:val="16"/>
          <w:szCs w:val="16"/>
          <w:color w:val="auto"/>
        </w:rPr>
        <w:t>The Sempra Utilities may be adversely affected by new regulations, decisions, orders or interpretations of the CPUC, the FERC or other regulatory bodies. New legislation, regulations, decisions, orders or interpretations could change how they operate, could affect their ability to recover various costs through rates or adjustment mechanisms, or could require them to incur additional expenses.</w:t>
      </w:r>
    </w:p>
    <w:p>
      <w:pPr>
        <w:spacing w:after="0" w:line="54" w:lineRule="exact"/>
        <w:rPr>
          <w:sz w:val="20"/>
          <w:szCs w:val="20"/>
          <w:color w:val="auto"/>
        </w:rPr>
      </w:pPr>
    </w:p>
    <w:p>
      <w:pPr>
        <w:ind w:right="20"/>
        <w:spacing w:after="0" w:line="259" w:lineRule="auto"/>
        <w:rPr>
          <w:sz w:val="20"/>
          <w:szCs w:val="20"/>
          <w:color w:val="auto"/>
        </w:rPr>
      </w:pPr>
      <w:r>
        <w:rPr>
          <w:rFonts w:ascii="Arial" w:cs="Arial" w:eastAsia="Arial" w:hAnsi="Arial"/>
          <w:sz w:val="16"/>
          <w:szCs w:val="16"/>
          <w:color w:val="auto"/>
        </w:rPr>
        <w:t>The construction and expansion of the Sempra Utilities' natural gas pipelines, SoCalGas' storage facilities, and SDG&amp;E's electric transmission and distribution facilities require numerous permits and approvals from federal, state and local governmental agencies. If there are delays in obtaining required approvals, or failure to obtain or maintain required approvals, or to comply with applicable laws or regulations, the Sempra Utilities' business, cash flows, results of operations and financial condition could be materially adversely affected.</w:t>
      </w: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14"/>
          <w:szCs w:val="14"/>
          <w:color w:val="auto"/>
        </w:rPr>
        <w:t>20</w:t>
      </w:r>
    </w:p>
    <w:p>
      <w:pPr>
        <w:sectPr>
          <w:pgSz w:w="11900" w:h="16838" w:orient="portrait"/>
          <w:cols w:equalWidth="0" w:num="1">
            <w:col w:w="11380"/>
          </w:cols>
          <w:pgMar w:left="240" w:top="127" w:right="279" w:bottom="1440" w:gutter="0" w:footer="0" w:header="0"/>
        </w:sectPr>
      </w:pPr>
    </w:p>
    <w:bookmarkStart w:id="20" w:name="page21"/>
    <w:bookmarkEnd w:id="20"/>
    <w:p>
      <w:pPr>
        <w:ind w:left="4"/>
        <w:spacing w:after="0"/>
        <w:rPr>
          <w:sz w:val="20"/>
          <w:szCs w:val="20"/>
          <w:color w:val="auto"/>
        </w:rPr>
      </w:pPr>
      <w:r>
        <w:rPr>
          <w:rFonts w:ascii="Arial" w:cs="Arial" w:eastAsia="Arial" w:hAnsi="Arial"/>
          <w:sz w:val="16"/>
          <w:szCs w:val="16"/>
          <w:b w:val="1"/>
          <w:bCs w:val="1"/>
          <w:i w:val="1"/>
          <w:iCs w:val="1"/>
          <w:color w:val="auto"/>
        </w:rPr>
        <w:t>SDG&amp;E may incur substantial costs and liabilities as a result of its ownership of nuclear facilities.</w:t>
      </w:r>
    </w:p>
    <w:p>
      <w:pPr>
        <w:spacing w:after="0" w:line="92" w:lineRule="exact"/>
        <w:rPr>
          <w:sz w:val="20"/>
          <w:szCs w:val="20"/>
          <w:color w:val="auto"/>
        </w:rPr>
      </w:pPr>
    </w:p>
    <w:p>
      <w:pPr>
        <w:ind w:left="4" w:right="520"/>
        <w:spacing w:after="0" w:line="261" w:lineRule="auto"/>
        <w:rPr>
          <w:sz w:val="20"/>
          <w:szCs w:val="20"/>
          <w:color w:val="auto"/>
        </w:rPr>
      </w:pPr>
      <w:r>
        <w:rPr>
          <w:rFonts w:ascii="Arial" w:cs="Arial" w:eastAsia="Arial" w:hAnsi="Arial"/>
          <w:sz w:val="16"/>
          <w:szCs w:val="16"/>
          <w:color w:val="auto"/>
        </w:rPr>
        <w:t>SDG&amp;E has a 20-percent ownership interest in SONGS, a 2,150-MW nuclear generating facility near San Clemente, California, operated by Southern California Edison Company. The NRC has broad authority under federal law to impose licensing and safety-related requirements for the operation of nuclear generation facilities. SDG&amp;E's ownership interest in SONGS subjects it to the risks of nuclear generation, which include</w:t>
      </w:r>
    </w:p>
    <w:p>
      <w:pPr>
        <w:ind w:left="144" w:right="1240" w:hanging="144"/>
        <w:spacing w:after="0" w:line="274" w:lineRule="auto"/>
        <w:tabs>
          <w:tab w:leader="none" w:pos="144"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potential harmful effects on the environment and human health resulting from the operation of nuclear facilities and the storage, handling and disposal of radioactive materials;</w:t>
      </w:r>
    </w:p>
    <w:p>
      <w:pPr>
        <w:ind w:left="144" w:hanging="144"/>
        <w:spacing w:after="0"/>
        <w:tabs>
          <w:tab w:leader="none" w:pos="144" w:val="left"/>
        </w:tabs>
        <w:numPr>
          <w:ilvl w:val="0"/>
          <w:numId w:val="13"/>
        </w:numPr>
        <w:rPr>
          <w:rFonts w:ascii="Arial" w:cs="Arial" w:eastAsia="Arial" w:hAnsi="Arial"/>
          <w:sz w:val="16"/>
          <w:szCs w:val="16"/>
          <w:color w:val="auto"/>
        </w:rPr>
      </w:pPr>
      <w:r>
        <w:rPr>
          <w:rFonts w:ascii="Arial" w:cs="Arial" w:eastAsia="Arial" w:hAnsi="Arial"/>
          <w:sz w:val="16"/>
          <w:szCs w:val="16"/>
          <w:color w:val="auto"/>
        </w:rPr>
        <w:t>limitations on the amounts and types of insurance commercially available to cover losses that might arise in connection with nuclear operations; and</w:t>
      </w:r>
    </w:p>
    <w:p>
      <w:pPr>
        <w:spacing w:after="0" w:line="44" w:lineRule="exact"/>
        <w:rPr>
          <w:rFonts w:ascii="Arial" w:cs="Arial" w:eastAsia="Arial" w:hAnsi="Arial"/>
          <w:sz w:val="16"/>
          <w:szCs w:val="16"/>
          <w:color w:val="auto"/>
        </w:rPr>
      </w:pPr>
    </w:p>
    <w:p>
      <w:pPr>
        <w:ind w:left="144" w:right="1380" w:hanging="144"/>
        <w:spacing w:after="0" w:line="277" w:lineRule="auto"/>
        <w:tabs>
          <w:tab w:leader="none" w:pos="144" w:val="left"/>
        </w:tabs>
        <w:numPr>
          <w:ilvl w:val="0"/>
          <w:numId w:val="13"/>
        </w:numPr>
        <w:rPr>
          <w:rFonts w:ascii="Arial" w:cs="Arial" w:eastAsia="Arial" w:hAnsi="Arial"/>
          <w:sz w:val="16"/>
          <w:szCs w:val="16"/>
          <w:color w:val="auto"/>
        </w:rPr>
      </w:pPr>
      <w:r>
        <w:rPr>
          <w:rFonts w:ascii="Arial" w:cs="Arial" w:eastAsia="Arial" w:hAnsi="Arial"/>
          <w:sz w:val="16"/>
          <w:szCs w:val="16"/>
          <w:color w:val="auto"/>
        </w:rPr>
        <w:t>uncertainties with respect to the technological and financial aspects of replacing steam generators or other equipment, and the decommissioning of nuclear plants.</w:t>
      </w:r>
    </w:p>
    <w:p>
      <w:pPr>
        <w:spacing w:after="0" w:line="227" w:lineRule="exact"/>
        <w:rPr>
          <w:sz w:val="20"/>
          <w:szCs w:val="20"/>
          <w:color w:val="auto"/>
        </w:rPr>
      </w:pPr>
    </w:p>
    <w:p>
      <w:pPr>
        <w:ind w:left="2024"/>
        <w:spacing w:after="0"/>
        <w:rPr>
          <w:sz w:val="20"/>
          <w:szCs w:val="20"/>
          <w:color w:val="auto"/>
        </w:rPr>
      </w:pPr>
      <w:r>
        <w:rPr>
          <w:rFonts w:ascii="Arial" w:cs="Arial" w:eastAsia="Arial" w:hAnsi="Arial"/>
          <w:sz w:val="16"/>
          <w:szCs w:val="16"/>
          <w:b w:val="1"/>
          <w:bCs w:val="1"/>
          <w:color w:val="auto"/>
        </w:rPr>
        <w:t>Risks Related to our Electric Generation, LNG, Pipelines &amp; Storage and Other Businesses</w:t>
      </w:r>
    </w:p>
    <w:p>
      <w:pPr>
        <w:spacing w:after="0" w:line="101" w:lineRule="exact"/>
        <w:rPr>
          <w:sz w:val="20"/>
          <w:szCs w:val="20"/>
          <w:color w:val="auto"/>
        </w:rPr>
      </w:pPr>
    </w:p>
    <w:p>
      <w:pPr>
        <w:ind w:left="4"/>
        <w:spacing w:after="0" w:line="277" w:lineRule="auto"/>
        <w:rPr>
          <w:sz w:val="20"/>
          <w:szCs w:val="20"/>
          <w:color w:val="auto"/>
        </w:rPr>
      </w:pPr>
      <w:r>
        <w:rPr>
          <w:rFonts w:ascii="Arial" w:cs="Arial" w:eastAsia="Arial" w:hAnsi="Arial"/>
          <w:sz w:val="16"/>
          <w:szCs w:val="16"/>
          <w:b w:val="1"/>
          <w:bCs w:val="1"/>
          <w:i w:val="1"/>
          <w:iCs w:val="1"/>
          <w:color w:val="auto"/>
        </w:rPr>
        <w:t>Our businesses are exposed to market risk, and our financial condition, results of operations, cash flows and liquidity may be adversely affected by fluctuations in commodity market prices that are beyond our control.</w:t>
      </w:r>
    </w:p>
    <w:p>
      <w:pPr>
        <w:spacing w:after="0" w:line="32" w:lineRule="exact"/>
        <w:rPr>
          <w:sz w:val="20"/>
          <w:szCs w:val="20"/>
          <w:color w:val="auto"/>
        </w:rPr>
      </w:pPr>
    </w:p>
    <w:p>
      <w:pPr>
        <w:ind w:left="4" w:right="280"/>
        <w:spacing w:after="0" w:line="264" w:lineRule="auto"/>
        <w:rPr>
          <w:sz w:val="20"/>
          <w:szCs w:val="20"/>
          <w:color w:val="auto"/>
        </w:rPr>
      </w:pPr>
      <w:r>
        <w:rPr>
          <w:rFonts w:ascii="Arial" w:cs="Arial" w:eastAsia="Arial" w:hAnsi="Arial"/>
          <w:sz w:val="16"/>
          <w:szCs w:val="16"/>
          <w:color w:val="auto"/>
        </w:rPr>
        <w:t>Sempra Generation generates electricity that it sells under long-term contracts and into the spot market or other competitive markets. It purchases natural gas to fuel its power plants and may also purchase electricity in the open market to satisfy its contractual obligations. As part of its risk management strategy, Sempra Generation may hedge a substantial portion of its electricity sales and natural gas purchases to manage its portfolio.</w:t>
      </w:r>
    </w:p>
    <w:p>
      <w:pPr>
        <w:spacing w:after="0" w:line="54" w:lineRule="exact"/>
        <w:rPr>
          <w:sz w:val="20"/>
          <w:szCs w:val="20"/>
          <w:color w:val="auto"/>
        </w:rPr>
      </w:pPr>
    </w:p>
    <w:p>
      <w:pPr>
        <w:ind w:left="4" w:right="420"/>
        <w:spacing w:after="0" w:line="259" w:lineRule="auto"/>
        <w:rPr>
          <w:sz w:val="20"/>
          <w:szCs w:val="20"/>
          <w:color w:val="auto"/>
        </w:rPr>
      </w:pPr>
      <w:r>
        <w:rPr>
          <w:rFonts w:ascii="Arial" w:cs="Arial" w:eastAsia="Arial" w:hAnsi="Arial"/>
          <w:sz w:val="16"/>
          <w:szCs w:val="16"/>
          <w:color w:val="auto"/>
        </w:rPr>
        <w:t>We buy energy-related and other commodities from time to time, for power plants or for LNG regasification terminals to satisfy contractual obligations with customers, in regional markets and other competitive markets in which we compete. Our revenues and results of operations could be adversely affected if the prevailing market prices for electricity, natural gas, LNG or other commodities that we buy change in a direction or manner not anticipated and for which we had not provided through purchase or sale commitments or other hedging transactions.</w:t>
      </w:r>
    </w:p>
    <w:p>
      <w:pPr>
        <w:spacing w:after="0" w:line="59" w:lineRule="exact"/>
        <w:rPr>
          <w:sz w:val="20"/>
          <w:szCs w:val="20"/>
          <w:color w:val="auto"/>
        </w:rPr>
      </w:pPr>
    </w:p>
    <w:p>
      <w:pPr>
        <w:ind w:left="4"/>
        <w:spacing w:after="0"/>
        <w:rPr>
          <w:sz w:val="20"/>
          <w:szCs w:val="20"/>
          <w:color w:val="auto"/>
        </w:rPr>
      </w:pPr>
      <w:r>
        <w:rPr>
          <w:rFonts w:ascii="Arial" w:cs="Arial" w:eastAsia="Arial" w:hAnsi="Arial"/>
          <w:sz w:val="16"/>
          <w:szCs w:val="16"/>
          <w:color w:val="auto"/>
        </w:rPr>
        <w:t>Unanticipated changes in market prices for energy-related and other commodities result from multiple factors, including:</w:t>
      </w:r>
    </w:p>
    <w:p>
      <w:pPr>
        <w:spacing w:after="0" w:line="32" w:lineRule="exact"/>
        <w:rPr>
          <w:sz w:val="20"/>
          <w:szCs w:val="20"/>
          <w:color w:val="auto"/>
        </w:rPr>
      </w:pPr>
    </w:p>
    <w:p>
      <w:pPr>
        <w:ind w:left="144" w:hanging="144"/>
        <w:spacing w:after="0"/>
        <w:tabs>
          <w:tab w:leader="none" w:pos="144" w:val="left"/>
        </w:tabs>
        <w:numPr>
          <w:ilvl w:val="0"/>
          <w:numId w:val="14"/>
        </w:numPr>
        <w:rPr>
          <w:rFonts w:ascii="Arial" w:cs="Arial" w:eastAsia="Arial" w:hAnsi="Arial"/>
          <w:sz w:val="16"/>
          <w:szCs w:val="16"/>
          <w:color w:val="auto"/>
        </w:rPr>
      </w:pPr>
      <w:r>
        <w:rPr>
          <w:rFonts w:ascii="Arial" w:cs="Arial" w:eastAsia="Arial" w:hAnsi="Arial"/>
          <w:sz w:val="16"/>
          <w:szCs w:val="16"/>
          <w:color w:val="auto"/>
        </w:rPr>
        <w:t>weather conditions</w:t>
      </w:r>
    </w:p>
    <w:p>
      <w:pPr>
        <w:spacing w:after="0" w:line="44" w:lineRule="exact"/>
        <w:rPr>
          <w:rFonts w:ascii="Arial" w:cs="Arial" w:eastAsia="Arial" w:hAnsi="Arial"/>
          <w:sz w:val="16"/>
          <w:szCs w:val="16"/>
          <w:color w:val="auto"/>
        </w:rPr>
      </w:pPr>
    </w:p>
    <w:p>
      <w:pPr>
        <w:ind w:left="144" w:hanging="144"/>
        <w:spacing w:after="0"/>
        <w:tabs>
          <w:tab w:leader="none" w:pos="144" w:val="left"/>
        </w:tabs>
        <w:numPr>
          <w:ilvl w:val="0"/>
          <w:numId w:val="14"/>
        </w:numPr>
        <w:rPr>
          <w:rFonts w:ascii="Arial" w:cs="Arial" w:eastAsia="Arial" w:hAnsi="Arial"/>
          <w:sz w:val="16"/>
          <w:szCs w:val="16"/>
          <w:color w:val="auto"/>
        </w:rPr>
      </w:pPr>
      <w:r>
        <w:rPr>
          <w:rFonts w:ascii="Arial" w:cs="Arial" w:eastAsia="Arial" w:hAnsi="Arial"/>
          <w:sz w:val="16"/>
          <w:szCs w:val="16"/>
          <w:color w:val="auto"/>
        </w:rPr>
        <w:t>seasonality</w:t>
      </w:r>
    </w:p>
    <w:p>
      <w:pPr>
        <w:spacing w:after="0" w:line="44" w:lineRule="exact"/>
        <w:rPr>
          <w:rFonts w:ascii="Arial" w:cs="Arial" w:eastAsia="Arial" w:hAnsi="Arial"/>
          <w:sz w:val="16"/>
          <w:szCs w:val="16"/>
          <w:color w:val="auto"/>
        </w:rPr>
      </w:pPr>
    </w:p>
    <w:p>
      <w:pPr>
        <w:ind w:left="144" w:hanging="144"/>
        <w:spacing w:after="0"/>
        <w:tabs>
          <w:tab w:leader="none" w:pos="144" w:val="left"/>
        </w:tabs>
        <w:numPr>
          <w:ilvl w:val="0"/>
          <w:numId w:val="14"/>
        </w:numPr>
        <w:rPr>
          <w:rFonts w:ascii="Arial" w:cs="Arial" w:eastAsia="Arial" w:hAnsi="Arial"/>
          <w:sz w:val="16"/>
          <w:szCs w:val="16"/>
          <w:color w:val="auto"/>
        </w:rPr>
      </w:pPr>
      <w:r>
        <w:rPr>
          <w:rFonts w:ascii="Arial" w:cs="Arial" w:eastAsia="Arial" w:hAnsi="Arial"/>
          <w:sz w:val="16"/>
          <w:szCs w:val="16"/>
          <w:color w:val="auto"/>
        </w:rPr>
        <w:t>changes in supply and demand</w:t>
      </w:r>
    </w:p>
    <w:p>
      <w:pPr>
        <w:spacing w:after="0" w:line="32" w:lineRule="exact"/>
        <w:rPr>
          <w:rFonts w:ascii="Arial" w:cs="Arial" w:eastAsia="Arial" w:hAnsi="Arial"/>
          <w:sz w:val="16"/>
          <w:szCs w:val="16"/>
          <w:color w:val="auto"/>
        </w:rPr>
      </w:pPr>
    </w:p>
    <w:p>
      <w:pPr>
        <w:ind w:left="144" w:hanging="144"/>
        <w:spacing w:after="0"/>
        <w:tabs>
          <w:tab w:leader="none" w:pos="144" w:val="left"/>
        </w:tabs>
        <w:numPr>
          <w:ilvl w:val="0"/>
          <w:numId w:val="14"/>
        </w:numPr>
        <w:rPr>
          <w:rFonts w:ascii="Arial" w:cs="Arial" w:eastAsia="Arial" w:hAnsi="Arial"/>
          <w:sz w:val="16"/>
          <w:szCs w:val="16"/>
          <w:color w:val="auto"/>
        </w:rPr>
      </w:pPr>
      <w:r>
        <w:rPr>
          <w:rFonts w:ascii="Arial" w:cs="Arial" w:eastAsia="Arial" w:hAnsi="Arial"/>
          <w:sz w:val="16"/>
          <w:szCs w:val="16"/>
          <w:color w:val="auto"/>
        </w:rPr>
        <w:t>transmission or transportation constraints or inefficiencies</w:t>
      </w:r>
    </w:p>
    <w:p>
      <w:pPr>
        <w:spacing w:after="0" w:line="44" w:lineRule="exact"/>
        <w:rPr>
          <w:rFonts w:ascii="Arial" w:cs="Arial" w:eastAsia="Arial" w:hAnsi="Arial"/>
          <w:sz w:val="16"/>
          <w:szCs w:val="16"/>
          <w:color w:val="auto"/>
        </w:rPr>
      </w:pPr>
    </w:p>
    <w:p>
      <w:pPr>
        <w:ind w:left="144" w:hanging="144"/>
        <w:spacing w:after="0"/>
        <w:tabs>
          <w:tab w:leader="none" w:pos="144" w:val="left"/>
        </w:tabs>
        <w:numPr>
          <w:ilvl w:val="0"/>
          <w:numId w:val="14"/>
        </w:numPr>
        <w:rPr>
          <w:rFonts w:ascii="Arial" w:cs="Arial" w:eastAsia="Arial" w:hAnsi="Arial"/>
          <w:sz w:val="16"/>
          <w:szCs w:val="16"/>
          <w:color w:val="auto"/>
        </w:rPr>
      </w:pPr>
      <w:r>
        <w:rPr>
          <w:rFonts w:ascii="Arial" w:cs="Arial" w:eastAsia="Arial" w:hAnsi="Arial"/>
          <w:sz w:val="16"/>
          <w:szCs w:val="16"/>
          <w:color w:val="auto"/>
        </w:rPr>
        <w:t>availability of competitively priced alternative energy sources</w:t>
      </w:r>
    </w:p>
    <w:p>
      <w:pPr>
        <w:spacing w:after="0" w:line="44" w:lineRule="exact"/>
        <w:rPr>
          <w:rFonts w:ascii="Arial" w:cs="Arial" w:eastAsia="Arial" w:hAnsi="Arial"/>
          <w:sz w:val="16"/>
          <w:szCs w:val="16"/>
          <w:color w:val="auto"/>
        </w:rPr>
      </w:pPr>
    </w:p>
    <w:p>
      <w:pPr>
        <w:ind w:left="144" w:hanging="144"/>
        <w:spacing w:after="0"/>
        <w:tabs>
          <w:tab w:leader="none" w:pos="144" w:val="left"/>
        </w:tabs>
        <w:numPr>
          <w:ilvl w:val="0"/>
          <w:numId w:val="14"/>
        </w:numPr>
        <w:rPr>
          <w:rFonts w:ascii="Arial" w:cs="Arial" w:eastAsia="Arial" w:hAnsi="Arial"/>
          <w:sz w:val="16"/>
          <w:szCs w:val="16"/>
          <w:color w:val="auto"/>
        </w:rPr>
      </w:pPr>
      <w:r>
        <w:rPr>
          <w:rFonts w:ascii="Arial" w:cs="Arial" w:eastAsia="Arial" w:hAnsi="Arial"/>
          <w:sz w:val="16"/>
          <w:szCs w:val="16"/>
          <w:color w:val="auto"/>
        </w:rPr>
        <w:t>commodity production levels</w:t>
      </w:r>
    </w:p>
    <w:p>
      <w:pPr>
        <w:spacing w:after="0" w:line="32" w:lineRule="exact"/>
        <w:rPr>
          <w:rFonts w:ascii="Arial" w:cs="Arial" w:eastAsia="Arial" w:hAnsi="Arial"/>
          <w:sz w:val="16"/>
          <w:szCs w:val="16"/>
          <w:color w:val="auto"/>
        </w:rPr>
      </w:pPr>
    </w:p>
    <w:p>
      <w:pPr>
        <w:ind w:left="144" w:hanging="144"/>
        <w:spacing w:after="0"/>
        <w:tabs>
          <w:tab w:leader="none" w:pos="144" w:val="left"/>
        </w:tabs>
        <w:numPr>
          <w:ilvl w:val="0"/>
          <w:numId w:val="14"/>
        </w:numPr>
        <w:rPr>
          <w:rFonts w:ascii="Arial" w:cs="Arial" w:eastAsia="Arial" w:hAnsi="Arial"/>
          <w:sz w:val="16"/>
          <w:szCs w:val="16"/>
          <w:color w:val="auto"/>
        </w:rPr>
      </w:pPr>
      <w:r>
        <w:rPr>
          <w:rFonts w:ascii="Arial" w:cs="Arial" w:eastAsia="Arial" w:hAnsi="Arial"/>
          <w:sz w:val="16"/>
          <w:szCs w:val="16"/>
          <w:color w:val="auto"/>
        </w:rPr>
        <w:t>actions by the Organization of the Petroleum Exporting Countries with respect to the supply of crude oil</w:t>
      </w:r>
    </w:p>
    <w:p>
      <w:pPr>
        <w:spacing w:after="0" w:line="44" w:lineRule="exact"/>
        <w:rPr>
          <w:rFonts w:ascii="Arial" w:cs="Arial" w:eastAsia="Arial" w:hAnsi="Arial"/>
          <w:sz w:val="16"/>
          <w:szCs w:val="16"/>
          <w:color w:val="auto"/>
        </w:rPr>
      </w:pPr>
    </w:p>
    <w:p>
      <w:pPr>
        <w:ind w:left="144" w:hanging="144"/>
        <w:spacing w:after="0"/>
        <w:tabs>
          <w:tab w:leader="none" w:pos="144" w:val="left"/>
        </w:tabs>
        <w:numPr>
          <w:ilvl w:val="0"/>
          <w:numId w:val="14"/>
        </w:numPr>
        <w:rPr>
          <w:rFonts w:ascii="Arial" w:cs="Arial" w:eastAsia="Arial" w:hAnsi="Arial"/>
          <w:sz w:val="16"/>
          <w:szCs w:val="16"/>
          <w:color w:val="auto"/>
        </w:rPr>
      </w:pPr>
      <w:r>
        <w:rPr>
          <w:rFonts w:ascii="Arial" w:cs="Arial" w:eastAsia="Arial" w:hAnsi="Arial"/>
          <w:sz w:val="16"/>
          <w:szCs w:val="16"/>
          <w:color w:val="auto"/>
        </w:rPr>
        <w:t>federal, state and foreign energy and environmental regulation and legislation</w:t>
      </w:r>
    </w:p>
    <w:p>
      <w:pPr>
        <w:spacing w:after="0" w:line="44" w:lineRule="exact"/>
        <w:rPr>
          <w:rFonts w:ascii="Arial" w:cs="Arial" w:eastAsia="Arial" w:hAnsi="Arial"/>
          <w:sz w:val="16"/>
          <w:szCs w:val="16"/>
          <w:color w:val="auto"/>
        </w:rPr>
      </w:pPr>
    </w:p>
    <w:p>
      <w:pPr>
        <w:ind w:left="144" w:hanging="144"/>
        <w:spacing w:after="0"/>
        <w:tabs>
          <w:tab w:leader="none" w:pos="144" w:val="left"/>
        </w:tabs>
        <w:numPr>
          <w:ilvl w:val="0"/>
          <w:numId w:val="14"/>
        </w:numPr>
        <w:rPr>
          <w:rFonts w:ascii="Arial" w:cs="Arial" w:eastAsia="Arial" w:hAnsi="Arial"/>
          <w:sz w:val="16"/>
          <w:szCs w:val="16"/>
          <w:color w:val="auto"/>
        </w:rPr>
      </w:pPr>
      <w:r>
        <w:rPr>
          <w:rFonts w:ascii="Arial" w:cs="Arial" w:eastAsia="Arial" w:hAnsi="Arial"/>
          <w:sz w:val="16"/>
          <w:szCs w:val="16"/>
          <w:color w:val="auto"/>
        </w:rPr>
        <w:t>natural disasters, wars, embargoes and other catastrophic events</w:t>
      </w:r>
    </w:p>
    <w:p>
      <w:pPr>
        <w:spacing w:after="0" w:line="32" w:lineRule="exact"/>
        <w:rPr>
          <w:rFonts w:ascii="Arial" w:cs="Arial" w:eastAsia="Arial" w:hAnsi="Arial"/>
          <w:sz w:val="16"/>
          <w:szCs w:val="16"/>
          <w:color w:val="auto"/>
        </w:rPr>
      </w:pPr>
    </w:p>
    <w:p>
      <w:pPr>
        <w:ind w:left="144" w:hanging="144"/>
        <w:spacing w:after="0"/>
        <w:tabs>
          <w:tab w:leader="none" w:pos="144" w:val="left"/>
        </w:tabs>
        <w:numPr>
          <w:ilvl w:val="0"/>
          <w:numId w:val="14"/>
        </w:numPr>
        <w:rPr>
          <w:rFonts w:ascii="Arial" w:cs="Arial" w:eastAsia="Arial" w:hAnsi="Arial"/>
          <w:sz w:val="16"/>
          <w:szCs w:val="16"/>
          <w:color w:val="auto"/>
        </w:rPr>
      </w:pPr>
      <w:r>
        <w:rPr>
          <w:rFonts w:ascii="Arial" w:cs="Arial" w:eastAsia="Arial" w:hAnsi="Arial"/>
          <w:sz w:val="16"/>
          <w:szCs w:val="16"/>
          <w:color w:val="auto"/>
        </w:rPr>
        <w:t>expropriation of assets by foreign countries</w:t>
      </w:r>
    </w:p>
    <w:p>
      <w:pPr>
        <w:spacing w:after="0" w:line="128" w:lineRule="exact"/>
        <w:rPr>
          <w:sz w:val="20"/>
          <w:szCs w:val="20"/>
          <w:color w:val="auto"/>
        </w:rPr>
      </w:pPr>
    </w:p>
    <w:p>
      <w:pPr>
        <w:ind w:left="4" w:right="140"/>
        <w:spacing w:after="0" w:line="308" w:lineRule="auto"/>
        <w:rPr>
          <w:sz w:val="20"/>
          <w:szCs w:val="20"/>
          <w:color w:val="auto"/>
        </w:rPr>
      </w:pPr>
      <w:r>
        <w:rPr>
          <w:rFonts w:ascii="Arial" w:cs="Arial" w:eastAsia="Arial" w:hAnsi="Arial"/>
          <w:sz w:val="14"/>
          <w:szCs w:val="14"/>
          <w:color w:val="auto"/>
        </w:rPr>
        <w:t>The FERC has jurisdiction over wholesale power and transmission rates, independent system operators, and other entities that control transmission facilities or that administer wholesale power sales in some of the markets in which we operate. In 2001, the FERC imposed price limitations that resulted in unexpected moves in electricity prices. In the future, the FERC may impose additional price limitations, bidding rules and other mechanisms, or terminate existing price limitations from time to time. Any such action by the FERC may result in prices for electricity changing in an unanticipated direction or manner and, as a result, may have an adverse effect on our sales and results of operations.</w:t>
      </w:r>
    </w:p>
    <w:p>
      <w:pPr>
        <w:spacing w:after="0" w:line="200" w:lineRule="exact"/>
        <w:rPr>
          <w:sz w:val="20"/>
          <w:szCs w:val="20"/>
          <w:color w:val="auto"/>
        </w:rPr>
      </w:pPr>
    </w:p>
    <w:p>
      <w:pPr>
        <w:spacing w:after="0" w:line="299" w:lineRule="exact"/>
        <w:rPr>
          <w:sz w:val="20"/>
          <w:szCs w:val="20"/>
          <w:color w:val="auto"/>
        </w:rPr>
      </w:pPr>
    </w:p>
    <w:p>
      <w:pPr>
        <w:ind w:left="4"/>
        <w:spacing w:after="0"/>
        <w:rPr>
          <w:sz w:val="20"/>
          <w:szCs w:val="20"/>
          <w:color w:val="auto"/>
        </w:rPr>
      </w:pPr>
      <w:r>
        <w:rPr>
          <w:rFonts w:ascii="Arial" w:cs="Arial" w:eastAsia="Arial" w:hAnsi="Arial"/>
          <w:sz w:val="14"/>
          <w:szCs w:val="14"/>
          <w:color w:val="auto"/>
        </w:rPr>
        <w:t>21</w:t>
      </w:r>
    </w:p>
    <w:p>
      <w:pPr>
        <w:sectPr>
          <w:pgSz w:w="11900" w:h="16838" w:orient="portrait"/>
          <w:cols w:equalWidth="0" w:num="1">
            <w:col w:w="11424"/>
          </w:cols>
          <w:pgMar w:left="236" w:top="127" w:right="239" w:bottom="1440" w:gutter="0" w:footer="0" w:header="0"/>
        </w:sectPr>
      </w:pPr>
    </w:p>
    <w:bookmarkStart w:id="21" w:name="page22"/>
    <w:bookmarkEnd w:id="21"/>
    <w:p>
      <w:pPr>
        <w:ind w:left="4"/>
        <w:spacing w:after="0" w:line="277" w:lineRule="auto"/>
        <w:rPr>
          <w:sz w:val="20"/>
          <w:szCs w:val="20"/>
          <w:color w:val="auto"/>
        </w:rPr>
      </w:pPr>
      <w:r>
        <w:rPr>
          <w:rFonts w:ascii="Arial" w:cs="Arial" w:eastAsia="Arial" w:hAnsi="Arial"/>
          <w:sz w:val="16"/>
          <w:szCs w:val="16"/>
          <w:b w:val="1"/>
          <w:bCs w:val="1"/>
          <w:i w:val="1"/>
          <w:iCs w:val="1"/>
          <w:color w:val="auto"/>
        </w:rPr>
        <w:t>Business development activities may not be successful and projects under construction may not commence operation as scheduled, which could increase our costs and impair our ability to recover our investments.</w:t>
      </w:r>
    </w:p>
    <w:p>
      <w:pPr>
        <w:spacing w:after="0" w:line="44" w:lineRule="exact"/>
        <w:rPr>
          <w:sz w:val="20"/>
          <w:szCs w:val="20"/>
          <w:color w:val="auto"/>
        </w:rPr>
      </w:pPr>
    </w:p>
    <w:p>
      <w:pPr>
        <w:ind w:left="4" w:right="20"/>
        <w:spacing w:after="0" w:line="258" w:lineRule="auto"/>
        <w:rPr>
          <w:sz w:val="20"/>
          <w:szCs w:val="20"/>
          <w:color w:val="auto"/>
        </w:rPr>
      </w:pPr>
      <w:r>
        <w:rPr>
          <w:rFonts w:ascii="Arial" w:cs="Arial" w:eastAsia="Arial" w:hAnsi="Arial"/>
          <w:sz w:val="16"/>
          <w:szCs w:val="16"/>
          <w:color w:val="auto"/>
        </w:rPr>
        <w:t>The acquisition, development and construction of LNG receiving terminals, natural gas pipelines and storage facilities, electric generation facilities, and other energy infrastructure projects involve numerous risks. We may be required to spend significant sums for preliminary engineering, permitting, fuel supply, resource exploration, legal, and other expenses before we can determine whether a project is feasible, economically attractive, or capable of being built. Success in developing a particular project is contingent upon, among other things:</w:t>
      </w:r>
    </w:p>
    <w:p>
      <w:pPr>
        <w:spacing w:after="0" w:line="2" w:lineRule="exact"/>
        <w:rPr>
          <w:sz w:val="20"/>
          <w:szCs w:val="20"/>
          <w:color w:val="auto"/>
        </w:rPr>
      </w:pPr>
    </w:p>
    <w:p>
      <w:pPr>
        <w:ind w:left="144" w:hanging="144"/>
        <w:spacing w:after="0"/>
        <w:tabs>
          <w:tab w:leader="none" w:pos="144" w:val="left"/>
        </w:tabs>
        <w:numPr>
          <w:ilvl w:val="0"/>
          <w:numId w:val="15"/>
        </w:numPr>
        <w:rPr>
          <w:rFonts w:ascii="Arial" w:cs="Arial" w:eastAsia="Arial" w:hAnsi="Arial"/>
          <w:sz w:val="16"/>
          <w:szCs w:val="16"/>
          <w:color w:val="auto"/>
        </w:rPr>
      </w:pPr>
      <w:r>
        <w:rPr>
          <w:rFonts w:ascii="Arial" w:cs="Arial" w:eastAsia="Arial" w:hAnsi="Arial"/>
          <w:sz w:val="16"/>
          <w:szCs w:val="16"/>
          <w:color w:val="auto"/>
        </w:rPr>
        <w:t>negotiation of satisfactory engineering, procurement and construction agreements</w:t>
      </w:r>
    </w:p>
    <w:p>
      <w:pPr>
        <w:spacing w:after="0" w:line="44" w:lineRule="exact"/>
        <w:rPr>
          <w:rFonts w:ascii="Arial" w:cs="Arial" w:eastAsia="Arial" w:hAnsi="Arial"/>
          <w:sz w:val="16"/>
          <w:szCs w:val="16"/>
          <w:color w:val="auto"/>
        </w:rPr>
      </w:pPr>
    </w:p>
    <w:p>
      <w:pPr>
        <w:ind w:left="144" w:hanging="144"/>
        <w:spacing w:after="0"/>
        <w:tabs>
          <w:tab w:leader="none" w:pos="144" w:val="left"/>
        </w:tabs>
        <w:numPr>
          <w:ilvl w:val="0"/>
          <w:numId w:val="15"/>
        </w:numPr>
        <w:rPr>
          <w:rFonts w:ascii="Arial" w:cs="Arial" w:eastAsia="Arial" w:hAnsi="Arial"/>
          <w:sz w:val="16"/>
          <w:szCs w:val="16"/>
          <w:color w:val="auto"/>
        </w:rPr>
      </w:pPr>
      <w:r>
        <w:rPr>
          <w:rFonts w:ascii="Arial" w:cs="Arial" w:eastAsia="Arial" w:hAnsi="Arial"/>
          <w:sz w:val="16"/>
          <w:szCs w:val="16"/>
          <w:color w:val="auto"/>
        </w:rPr>
        <w:t>negotiation of supply and natural gas sales agreements or firm capacity service agreements</w:t>
      </w:r>
    </w:p>
    <w:p>
      <w:pPr>
        <w:spacing w:after="0" w:line="44" w:lineRule="exact"/>
        <w:rPr>
          <w:rFonts w:ascii="Arial" w:cs="Arial" w:eastAsia="Arial" w:hAnsi="Arial"/>
          <w:sz w:val="16"/>
          <w:szCs w:val="16"/>
          <w:color w:val="auto"/>
        </w:rPr>
      </w:pPr>
    </w:p>
    <w:p>
      <w:pPr>
        <w:ind w:left="144" w:hanging="144"/>
        <w:spacing w:after="0"/>
        <w:tabs>
          <w:tab w:leader="none" w:pos="144" w:val="left"/>
        </w:tabs>
        <w:numPr>
          <w:ilvl w:val="0"/>
          <w:numId w:val="15"/>
        </w:numPr>
        <w:rPr>
          <w:rFonts w:ascii="Arial" w:cs="Arial" w:eastAsia="Arial" w:hAnsi="Arial"/>
          <w:sz w:val="16"/>
          <w:szCs w:val="16"/>
          <w:color w:val="auto"/>
        </w:rPr>
      </w:pPr>
      <w:r>
        <w:rPr>
          <w:rFonts w:ascii="Arial" w:cs="Arial" w:eastAsia="Arial" w:hAnsi="Arial"/>
          <w:sz w:val="16"/>
          <w:szCs w:val="16"/>
          <w:color w:val="auto"/>
        </w:rPr>
        <w:t>receipt of required governmental permits</w:t>
      </w:r>
    </w:p>
    <w:p>
      <w:pPr>
        <w:spacing w:after="0" w:line="32" w:lineRule="exact"/>
        <w:rPr>
          <w:rFonts w:ascii="Arial" w:cs="Arial" w:eastAsia="Arial" w:hAnsi="Arial"/>
          <w:sz w:val="16"/>
          <w:szCs w:val="16"/>
          <w:color w:val="auto"/>
        </w:rPr>
      </w:pPr>
    </w:p>
    <w:p>
      <w:pPr>
        <w:ind w:left="144" w:hanging="144"/>
        <w:spacing w:after="0"/>
        <w:tabs>
          <w:tab w:leader="none" w:pos="144" w:val="left"/>
        </w:tabs>
        <w:numPr>
          <w:ilvl w:val="0"/>
          <w:numId w:val="15"/>
        </w:numPr>
        <w:rPr>
          <w:rFonts w:ascii="Arial" w:cs="Arial" w:eastAsia="Arial" w:hAnsi="Arial"/>
          <w:sz w:val="16"/>
          <w:szCs w:val="16"/>
          <w:color w:val="auto"/>
        </w:rPr>
      </w:pPr>
      <w:r>
        <w:rPr>
          <w:rFonts w:ascii="Arial" w:cs="Arial" w:eastAsia="Arial" w:hAnsi="Arial"/>
          <w:sz w:val="16"/>
          <w:szCs w:val="16"/>
          <w:color w:val="auto"/>
        </w:rPr>
        <w:t>timely implementation and satisfactory completion of construction</w:t>
      </w:r>
    </w:p>
    <w:p>
      <w:pPr>
        <w:spacing w:after="0" w:line="128" w:lineRule="exact"/>
        <w:rPr>
          <w:sz w:val="20"/>
          <w:szCs w:val="20"/>
          <w:color w:val="auto"/>
        </w:rPr>
      </w:pPr>
    </w:p>
    <w:p>
      <w:pPr>
        <w:ind w:left="4"/>
        <w:spacing w:after="0"/>
        <w:rPr>
          <w:sz w:val="20"/>
          <w:szCs w:val="20"/>
          <w:color w:val="auto"/>
        </w:rPr>
      </w:pPr>
      <w:r>
        <w:rPr>
          <w:rFonts w:ascii="Arial" w:cs="Arial" w:eastAsia="Arial" w:hAnsi="Arial"/>
          <w:sz w:val="16"/>
          <w:szCs w:val="16"/>
          <w:color w:val="auto"/>
        </w:rPr>
        <w:t>Successful completion of a particular project may be adversely affected by:</w:t>
      </w:r>
    </w:p>
    <w:p>
      <w:pPr>
        <w:spacing w:after="0" w:line="44" w:lineRule="exact"/>
        <w:rPr>
          <w:sz w:val="20"/>
          <w:szCs w:val="20"/>
          <w:color w:val="auto"/>
        </w:rPr>
      </w:pPr>
    </w:p>
    <w:p>
      <w:pPr>
        <w:ind w:left="144" w:hanging="144"/>
        <w:spacing w:after="0"/>
        <w:tabs>
          <w:tab w:leader="none" w:pos="144" w:val="left"/>
        </w:tabs>
        <w:numPr>
          <w:ilvl w:val="0"/>
          <w:numId w:val="16"/>
        </w:numPr>
        <w:rPr>
          <w:rFonts w:ascii="Arial" w:cs="Arial" w:eastAsia="Arial" w:hAnsi="Arial"/>
          <w:sz w:val="16"/>
          <w:szCs w:val="16"/>
          <w:color w:val="auto"/>
        </w:rPr>
      </w:pPr>
      <w:r>
        <w:rPr>
          <w:rFonts w:ascii="Arial" w:cs="Arial" w:eastAsia="Arial" w:hAnsi="Arial"/>
          <w:sz w:val="16"/>
          <w:szCs w:val="16"/>
          <w:color w:val="auto"/>
        </w:rPr>
        <w:t>unforeseen engineering problems</w:t>
      </w:r>
    </w:p>
    <w:p>
      <w:pPr>
        <w:spacing w:after="0" w:line="44" w:lineRule="exact"/>
        <w:rPr>
          <w:rFonts w:ascii="Arial" w:cs="Arial" w:eastAsia="Arial" w:hAnsi="Arial"/>
          <w:sz w:val="16"/>
          <w:szCs w:val="16"/>
          <w:color w:val="auto"/>
        </w:rPr>
      </w:pPr>
    </w:p>
    <w:p>
      <w:pPr>
        <w:ind w:left="144" w:hanging="144"/>
        <w:spacing w:after="0"/>
        <w:tabs>
          <w:tab w:leader="none" w:pos="144" w:val="left"/>
        </w:tabs>
        <w:numPr>
          <w:ilvl w:val="0"/>
          <w:numId w:val="16"/>
        </w:numPr>
        <w:rPr>
          <w:rFonts w:ascii="Arial" w:cs="Arial" w:eastAsia="Arial" w:hAnsi="Arial"/>
          <w:sz w:val="16"/>
          <w:szCs w:val="16"/>
          <w:color w:val="auto"/>
        </w:rPr>
      </w:pPr>
      <w:r>
        <w:rPr>
          <w:rFonts w:ascii="Arial" w:cs="Arial" w:eastAsia="Arial" w:hAnsi="Arial"/>
          <w:sz w:val="16"/>
          <w:szCs w:val="16"/>
          <w:color w:val="auto"/>
        </w:rPr>
        <w:t>construction delays and contractor performance shortfalls</w:t>
      </w:r>
    </w:p>
    <w:p>
      <w:pPr>
        <w:spacing w:after="0" w:line="32" w:lineRule="exact"/>
        <w:rPr>
          <w:rFonts w:ascii="Arial" w:cs="Arial" w:eastAsia="Arial" w:hAnsi="Arial"/>
          <w:sz w:val="16"/>
          <w:szCs w:val="16"/>
          <w:color w:val="auto"/>
        </w:rPr>
      </w:pPr>
    </w:p>
    <w:p>
      <w:pPr>
        <w:ind w:left="144" w:hanging="144"/>
        <w:spacing w:after="0"/>
        <w:tabs>
          <w:tab w:leader="none" w:pos="144" w:val="left"/>
        </w:tabs>
        <w:numPr>
          <w:ilvl w:val="0"/>
          <w:numId w:val="16"/>
        </w:numPr>
        <w:rPr>
          <w:rFonts w:ascii="Arial" w:cs="Arial" w:eastAsia="Arial" w:hAnsi="Arial"/>
          <w:sz w:val="16"/>
          <w:szCs w:val="16"/>
          <w:color w:val="auto"/>
        </w:rPr>
      </w:pPr>
      <w:r>
        <w:rPr>
          <w:rFonts w:ascii="Arial" w:cs="Arial" w:eastAsia="Arial" w:hAnsi="Arial"/>
          <w:sz w:val="16"/>
          <w:szCs w:val="16"/>
          <w:color w:val="auto"/>
        </w:rPr>
        <w:t>work stoppages</w:t>
      </w:r>
    </w:p>
    <w:p>
      <w:pPr>
        <w:spacing w:after="0" w:line="44" w:lineRule="exact"/>
        <w:rPr>
          <w:rFonts w:ascii="Arial" w:cs="Arial" w:eastAsia="Arial" w:hAnsi="Arial"/>
          <w:sz w:val="16"/>
          <w:szCs w:val="16"/>
          <w:color w:val="auto"/>
        </w:rPr>
      </w:pPr>
    </w:p>
    <w:p>
      <w:pPr>
        <w:ind w:left="144" w:hanging="144"/>
        <w:spacing w:after="0"/>
        <w:tabs>
          <w:tab w:leader="none" w:pos="144" w:val="left"/>
        </w:tabs>
        <w:numPr>
          <w:ilvl w:val="0"/>
          <w:numId w:val="16"/>
        </w:numPr>
        <w:rPr>
          <w:rFonts w:ascii="Arial" w:cs="Arial" w:eastAsia="Arial" w:hAnsi="Arial"/>
          <w:sz w:val="16"/>
          <w:szCs w:val="16"/>
          <w:color w:val="auto"/>
        </w:rPr>
      </w:pPr>
      <w:r>
        <w:rPr>
          <w:rFonts w:ascii="Arial" w:cs="Arial" w:eastAsia="Arial" w:hAnsi="Arial"/>
          <w:sz w:val="16"/>
          <w:szCs w:val="16"/>
          <w:color w:val="auto"/>
        </w:rPr>
        <w:t>equipment supply</w:t>
      </w:r>
    </w:p>
    <w:p>
      <w:pPr>
        <w:spacing w:after="0" w:line="44" w:lineRule="exact"/>
        <w:rPr>
          <w:rFonts w:ascii="Arial" w:cs="Arial" w:eastAsia="Arial" w:hAnsi="Arial"/>
          <w:sz w:val="16"/>
          <w:szCs w:val="16"/>
          <w:color w:val="auto"/>
        </w:rPr>
      </w:pPr>
    </w:p>
    <w:p>
      <w:pPr>
        <w:ind w:left="144" w:hanging="144"/>
        <w:spacing w:after="0"/>
        <w:tabs>
          <w:tab w:leader="none" w:pos="144" w:val="left"/>
        </w:tabs>
        <w:numPr>
          <w:ilvl w:val="0"/>
          <w:numId w:val="16"/>
        </w:numPr>
        <w:rPr>
          <w:rFonts w:ascii="Arial" w:cs="Arial" w:eastAsia="Arial" w:hAnsi="Arial"/>
          <w:sz w:val="16"/>
          <w:szCs w:val="16"/>
          <w:color w:val="auto"/>
        </w:rPr>
      </w:pPr>
      <w:r>
        <w:rPr>
          <w:rFonts w:ascii="Arial" w:cs="Arial" w:eastAsia="Arial" w:hAnsi="Arial"/>
          <w:sz w:val="16"/>
          <w:szCs w:val="16"/>
          <w:color w:val="auto"/>
        </w:rPr>
        <w:t>adverse weather conditions</w:t>
      </w:r>
    </w:p>
    <w:p>
      <w:pPr>
        <w:spacing w:after="0" w:line="32" w:lineRule="exact"/>
        <w:rPr>
          <w:rFonts w:ascii="Arial" w:cs="Arial" w:eastAsia="Arial" w:hAnsi="Arial"/>
          <w:sz w:val="16"/>
          <w:szCs w:val="16"/>
          <w:color w:val="auto"/>
        </w:rPr>
      </w:pPr>
    </w:p>
    <w:p>
      <w:pPr>
        <w:ind w:left="144" w:hanging="144"/>
        <w:spacing w:after="0"/>
        <w:tabs>
          <w:tab w:leader="none" w:pos="144" w:val="left"/>
        </w:tabs>
        <w:numPr>
          <w:ilvl w:val="0"/>
          <w:numId w:val="16"/>
        </w:numPr>
        <w:rPr>
          <w:rFonts w:ascii="Arial" w:cs="Arial" w:eastAsia="Arial" w:hAnsi="Arial"/>
          <w:sz w:val="16"/>
          <w:szCs w:val="16"/>
          <w:color w:val="auto"/>
        </w:rPr>
      </w:pPr>
      <w:r>
        <w:rPr>
          <w:rFonts w:ascii="Arial" w:cs="Arial" w:eastAsia="Arial" w:hAnsi="Arial"/>
          <w:sz w:val="16"/>
          <w:szCs w:val="16"/>
          <w:color w:val="auto"/>
        </w:rPr>
        <w:t>environmental and geological conditions</w:t>
      </w:r>
    </w:p>
    <w:p>
      <w:pPr>
        <w:spacing w:after="0" w:line="44" w:lineRule="exact"/>
        <w:rPr>
          <w:rFonts w:ascii="Arial" w:cs="Arial" w:eastAsia="Arial" w:hAnsi="Arial"/>
          <w:sz w:val="16"/>
          <w:szCs w:val="16"/>
          <w:color w:val="auto"/>
        </w:rPr>
      </w:pPr>
    </w:p>
    <w:p>
      <w:pPr>
        <w:ind w:left="144" w:hanging="144"/>
        <w:spacing w:after="0"/>
        <w:tabs>
          <w:tab w:leader="none" w:pos="144" w:val="left"/>
        </w:tabs>
        <w:numPr>
          <w:ilvl w:val="0"/>
          <w:numId w:val="16"/>
        </w:numPr>
        <w:rPr>
          <w:rFonts w:ascii="Arial" w:cs="Arial" w:eastAsia="Arial" w:hAnsi="Arial"/>
          <w:sz w:val="16"/>
          <w:szCs w:val="16"/>
          <w:color w:val="auto"/>
        </w:rPr>
      </w:pPr>
      <w:r>
        <w:rPr>
          <w:rFonts w:ascii="Arial" w:cs="Arial" w:eastAsia="Arial" w:hAnsi="Arial"/>
          <w:sz w:val="16"/>
          <w:szCs w:val="16"/>
          <w:color w:val="auto"/>
        </w:rPr>
        <w:t>other factors</w:t>
      </w:r>
    </w:p>
    <w:p>
      <w:pPr>
        <w:spacing w:after="0" w:line="128" w:lineRule="exact"/>
        <w:rPr>
          <w:sz w:val="20"/>
          <w:szCs w:val="20"/>
          <w:color w:val="auto"/>
        </w:rPr>
      </w:pPr>
    </w:p>
    <w:p>
      <w:pPr>
        <w:ind w:left="4"/>
        <w:spacing w:after="0"/>
        <w:rPr>
          <w:sz w:val="20"/>
          <w:szCs w:val="20"/>
          <w:color w:val="auto"/>
        </w:rPr>
      </w:pPr>
      <w:r>
        <w:rPr>
          <w:rFonts w:ascii="Arial" w:cs="Arial" w:eastAsia="Arial" w:hAnsi="Arial"/>
          <w:sz w:val="16"/>
          <w:szCs w:val="16"/>
          <w:color w:val="auto"/>
        </w:rPr>
        <w:t>If we are unable to complete the development of a facility, we typically will not be able to recover our investment in the project.</w:t>
      </w:r>
    </w:p>
    <w:p>
      <w:pPr>
        <w:spacing w:after="0" w:line="92" w:lineRule="exact"/>
        <w:rPr>
          <w:sz w:val="20"/>
          <w:szCs w:val="20"/>
          <w:color w:val="auto"/>
        </w:rPr>
      </w:pPr>
    </w:p>
    <w:p>
      <w:pPr>
        <w:ind w:left="4"/>
        <w:spacing w:after="0" w:line="257" w:lineRule="auto"/>
        <w:rPr>
          <w:sz w:val="20"/>
          <w:szCs w:val="20"/>
          <w:color w:val="auto"/>
        </w:rPr>
      </w:pPr>
      <w:r>
        <w:rPr>
          <w:rFonts w:ascii="Arial" w:cs="Arial" w:eastAsia="Arial" w:hAnsi="Arial"/>
          <w:sz w:val="16"/>
          <w:szCs w:val="16"/>
          <w:color w:val="auto"/>
        </w:rPr>
        <w:t>The operation of existing and future facilities also involves many risks, including the breakdown or failure of generation or regasification and storage facilities or other equipment or processes, labor disputes, fuel interruption, and operating performance below expected levels. In addition, weather-related incidents and other natural disasters can disrupt generation, regasification, storage and transmission systems. The occurrence of any of these events could lead to operating facilities below expected capacity levels, which may result in lost revenues or increased expenses, including higher maintenance costs and penalties. Such occurrences could adversely affect our business, cash flows and results of operations.</w:t>
      </w:r>
    </w:p>
    <w:p>
      <w:pPr>
        <w:spacing w:after="0" w:line="48" w:lineRule="exact"/>
        <w:rPr>
          <w:sz w:val="20"/>
          <w:szCs w:val="20"/>
          <w:color w:val="auto"/>
        </w:rPr>
      </w:pPr>
    </w:p>
    <w:p>
      <w:pPr>
        <w:ind w:left="4" w:right="40"/>
        <w:spacing w:after="0" w:line="277" w:lineRule="auto"/>
        <w:rPr>
          <w:sz w:val="20"/>
          <w:szCs w:val="20"/>
          <w:color w:val="auto"/>
        </w:rPr>
      </w:pPr>
      <w:r>
        <w:rPr>
          <w:rFonts w:ascii="Arial" w:cs="Arial" w:eastAsia="Arial" w:hAnsi="Arial"/>
          <w:sz w:val="16"/>
          <w:szCs w:val="16"/>
          <w:b w:val="1"/>
          <w:bCs w:val="1"/>
          <w:i w:val="1"/>
          <w:iCs w:val="1"/>
          <w:color w:val="auto"/>
        </w:rPr>
        <w:t>We may elect not to, or may not be able to, enter into long-term supply and sales agreements or long-term firm capacity agreements for our projects, which would subject our sales to increased volatility and our businesses to increased competition.</w:t>
      </w:r>
    </w:p>
    <w:p>
      <w:pPr>
        <w:spacing w:after="0" w:line="44" w:lineRule="exact"/>
        <w:rPr>
          <w:sz w:val="20"/>
          <w:szCs w:val="20"/>
          <w:color w:val="auto"/>
        </w:rPr>
      </w:pPr>
    </w:p>
    <w:p>
      <w:pPr>
        <w:ind w:left="4"/>
        <w:spacing w:after="0" w:line="259" w:lineRule="auto"/>
        <w:rPr>
          <w:sz w:val="20"/>
          <w:szCs w:val="20"/>
          <w:color w:val="auto"/>
        </w:rPr>
      </w:pPr>
      <w:r>
        <w:rPr>
          <w:rFonts w:ascii="Arial" w:cs="Arial" w:eastAsia="Arial" w:hAnsi="Arial"/>
          <w:sz w:val="16"/>
          <w:szCs w:val="16"/>
          <w:color w:val="auto"/>
        </w:rPr>
        <w:t>The electric generation and wholesale power sales industries have become highly competitive. As more plants are built and competitive pressures increase, wholesale electricity prices may become more volatile. Without the benefit of long-term power sales agreements, such as the 10-year power sales agreement between Sempra Generation and the DWR that expires in 2011, our sales may be subject to increased price volatility. As a result, we may be unable to sell the power generated by Sempra Generation's facilities or operate those facilities profitably.</w:t>
      </w:r>
    </w:p>
    <w:p>
      <w:pPr>
        <w:spacing w:after="0" w:line="59" w:lineRule="exact"/>
        <w:rPr>
          <w:sz w:val="20"/>
          <w:szCs w:val="20"/>
          <w:color w:val="auto"/>
        </w:rPr>
      </w:pPr>
    </w:p>
    <w:p>
      <w:pPr>
        <w:ind w:left="4" w:right="20"/>
        <w:spacing w:after="0" w:line="254" w:lineRule="auto"/>
        <w:rPr>
          <w:sz w:val="20"/>
          <w:szCs w:val="20"/>
          <w:color w:val="auto"/>
        </w:rPr>
      </w:pPr>
      <w:r>
        <w:rPr>
          <w:rFonts w:ascii="Arial" w:cs="Arial" w:eastAsia="Arial" w:hAnsi="Arial"/>
          <w:sz w:val="16"/>
          <w:szCs w:val="16"/>
          <w:color w:val="auto"/>
        </w:rPr>
        <w:t>Sempra LNG utilizes its regasification terminals by entering into long-term firm capacity service agreements. Under these agreements, customers pay Sempra LNG fees to use its facilities to regasify the customer's LNG. Sempra LNG also may enter into long-term supply agreements to purchase LNG, which is regasified at its terminals for sale to other parties. The long-term supply agreement contracts are expected to substantially reduce our exposure to changes in natural gas prices through corresponding natural gas sales agreements or by tying supply prices to prevailing natural gas price market indices. However, if Sempra LNG is unable to obtain sufficient long-term agreements or if the counterparties, customers or suppliers to one or more of the key agreements for the LNG facilities were to fail or become unable to meet their contractual obligations on a timely basis, it could have a material adverse effect on our business, results of operations, cash flows and f inancial condition. In addition, reduced availability of LNG to the United States due to inadequate supplies, increased demand and higher prices in other countries, and delays in the development of new liquefaction capacity could affect the timing of development</w:t>
      </w:r>
    </w:p>
    <w:p>
      <w:pPr>
        <w:spacing w:after="0" w:line="200" w:lineRule="exact"/>
        <w:rPr>
          <w:sz w:val="20"/>
          <w:szCs w:val="20"/>
          <w:color w:val="auto"/>
        </w:rPr>
      </w:pPr>
    </w:p>
    <w:p>
      <w:pPr>
        <w:spacing w:after="0" w:line="325" w:lineRule="exact"/>
        <w:rPr>
          <w:sz w:val="20"/>
          <w:szCs w:val="20"/>
          <w:color w:val="auto"/>
        </w:rPr>
      </w:pPr>
    </w:p>
    <w:p>
      <w:pPr>
        <w:ind w:left="4"/>
        <w:spacing w:after="0"/>
        <w:rPr>
          <w:sz w:val="20"/>
          <w:szCs w:val="20"/>
          <w:color w:val="auto"/>
        </w:rPr>
      </w:pPr>
      <w:r>
        <w:rPr>
          <w:rFonts w:ascii="Arial" w:cs="Arial" w:eastAsia="Arial" w:hAnsi="Arial"/>
          <w:sz w:val="14"/>
          <w:szCs w:val="14"/>
          <w:color w:val="auto"/>
        </w:rPr>
        <w:t>22</w:t>
      </w:r>
    </w:p>
    <w:p>
      <w:pPr>
        <w:sectPr>
          <w:pgSz w:w="11900" w:h="16838" w:orient="portrait"/>
          <w:cols w:equalWidth="0" w:num="1">
            <w:col w:w="11424"/>
          </w:cols>
          <w:pgMar w:left="236" w:top="127" w:right="239" w:bottom="1440" w:gutter="0" w:footer="0" w:header="0"/>
        </w:sectPr>
      </w:pPr>
    </w:p>
    <w:bookmarkStart w:id="22" w:name="page23"/>
    <w:bookmarkEnd w:id="22"/>
    <w:p>
      <w:pPr>
        <w:ind w:left="4" w:right="80"/>
        <w:spacing w:after="0" w:line="277" w:lineRule="auto"/>
        <w:rPr>
          <w:sz w:val="20"/>
          <w:szCs w:val="20"/>
          <w:color w:val="auto"/>
        </w:rPr>
      </w:pPr>
      <w:r>
        <w:rPr>
          <w:rFonts w:ascii="Arial" w:cs="Arial" w:eastAsia="Arial" w:hAnsi="Arial"/>
          <w:sz w:val="16"/>
          <w:szCs w:val="16"/>
          <w:color w:val="auto"/>
        </w:rPr>
        <w:t>of new LNG facilities and expansion of existing facilities. These conditions also are likely to delay near-term attainment of full-capacity utilization at our facilities. Our potential LNG suppliers also may be subject to international political and economic pressures and risks, which may also affect the supply of LNG.</w:t>
      </w:r>
    </w:p>
    <w:p>
      <w:pPr>
        <w:spacing w:after="0" w:line="44" w:lineRule="exact"/>
        <w:rPr>
          <w:sz w:val="20"/>
          <w:szCs w:val="20"/>
          <w:color w:val="auto"/>
        </w:rPr>
      </w:pPr>
    </w:p>
    <w:p>
      <w:pPr>
        <w:ind w:left="4" w:right="420"/>
        <w:spacing w:after="0" w:line="277" w:lineRule="auto"/>
        <w:rPr>
          <w:sz w:val="20"/>
          <w:szCs w:val="20"/>
          <w:color w:val="auto"/>
        </w:rPr>
      </w:pPr>
      <w:r>
        <w:rPr>
          <w:rFonts w:ascii="Arial" w:cs="Arial" w:eastAsia="Arial" w:hAnsi="Arial"/>
          <w:sz w:val="16"/>
          <w:szCs w:val="16"/>
          <w:color w:val="auto"/>
        </w:rPr>
        <w:t>Sempra Pipelines &amp; Storage's natural gas pipeline operations are dependent on supplies of natural gas from their transportation customers, which may include Sempra LNG facilities.</w:t>
      </w:r>
    </w:p>
    <w:p>
      <w:pPr>
        <w:spacing w:after="0" w:line="32" w:lineRule="exact"/>
        <w:rPr>
          <w:sz w:val="20"/>
          <w:szCs w:val="20"/>
          <w:color w:val="auto"/>
        </w:rPr>
      </w:pPr>
    </w:p>
    <w:p>
      <w:pPr>
        <w:ind w:left="4" w:right="360"/>
        <w:spacing w:after="0" w:line="376" w:lineRule="auto"/>
        <w:rPr>
          <w:sz w:val="20"/>
          <w:szCs w:val="20"/>
          <w:color w:val="auto"/>
        </w:rPr>
      </w:pPr>
      <w:r>
        <w:rPr>
          <w:rFonts w:ascii="Arial" w:cs="Arial" w:eastAsia="Arial" w:hAnsi="Arial"/>
          <w:sz w:val="13"/>
          <w:szCs w:val="13"/>
          <w:b w:val="1"/>
          <w:bCs w:val="1"/>
          <w:i w:val="1"/>
          <w:iCs w:val="1"/>
          <w:color w:val="auto"/>
        </w:rPr>
        <w:t>Our businesses depend on counterparties, business partners, customers, and suppliers performing in accordance with their agreements. If they fail to perform, we could incur substantial expenses and be exposed to commodity price risk and volatility, which could adversely affect our liquidity, cash flows and results of operations.</w:t>
      </w:r>
    </w:p>
    <w:p>
      <w:pPr>
        <w:ind w:left="4"/>
        <w:spacing w:after="0" w:line="257" w:lineRule="auto"/>
        <w:rPr>
          <w:sz w:val="20"/>
          <w:szCs w:val="20"/>
          <w:color w:val="auto"/>
        </w:rPr>
      </w:pPr>
      <w:r>
        <w:rPr>
          <w:rFonts w:ascii="Arial" w:cs="Arial" w:eastAsia="Arial" w:hAnsi="Arial"/>
          <w:sz w:val="16"/>
          <w:szCs w:val="16"/>
          <w:color w:val="auto"/>
        </w:rPr>
        <w:t>We are exposed to the risk that counterparties, business partners, customers, and suppliers that owe money or commodities as a result of market transactions or other long-term agreements will not perform their obligations under such agreements. Should they fail to perform, we may be required to acquire alternative hedging arrangements or to honor the underlying commitment at then-current market prices. In such event, we may incur additional losses to the extent of amounts already paid to such counterparties or suppliers. In addition, we often extend credit to counterparties and customers. While we perform significant credit analyses prior to extending credit, we are exposed to the risk that we may not be able to collect amounts owed to us.</w:t>
      </w:r>
    </w:p>
    <w:p>
      <w:pPr>
        <w:spacing w:after="0" w:line="60" w:lineRule="exact"/>
        <w:rPr>
          <w:sz w:val="20"/>
          <w:szCs w:val="20"/>
          <w:color w:val="auto"/>
        </w:rPr>
      </w:pPr>
    </w:p>
    <w:p>
      <w:pPr>
        <w:ind w:left="4" w:right="140"/>
        <w:spacing w:after="0" w:line="264" w:lineRule="auto"/>
        <w:rPr>
          <w:sz w:val="20"/>
          <w:szCs w:val="20"/>
          <w:color w:val="auto"/>
        </w:rPr>
      </w:pPr>
      <w:r>
        <w:rPr>
          <w:rFonts w:ascii="Arial" w:cs="Arial" w:eastAsia="Arial" w:hAnsi="Arial"/>
          <w:sz w:val="16"/>
          <w:szCs w:val="16"/>
          <w:color w:val="auto"/>
        </w:rPr>
        <w:t>Sempra LNG's obligations and those of its suppliers for LNG supplies are contractually subject to 1) suspension or termination for "force majeure" events beyond the control of the parties; and 2) substantial limitations of remedies for other failures to perform, including limitations on damages to amounts that could be substantially less than those necessary to provide full recovery of capital for breach of the agreements.</w:t>
      </w:r>
    </w:p>
    <w:p>
      <w:pPr>
        <w:spacing w:after="0" w:line="42" w:lineRule="exact"/>
        <w:rPr>
          <w:sz w:val="20"/>
          <w:szCs w:val="20"/>
          <w:color w:val="auto"/>
        </w:rPr>
      </w:pPr>
    </w:p>
    <w:p>
      <w:pPr>
        <w:ind w:left="4" w:right="320"/>
        <w:spacing w:after="0" w:line="277" w:lineRule="auto"/>
        <w:rPr>
          <w:sz w:val="20"/>
          <w:szCs w:val="20"/>
          <w:color w:val="auto"/>
        </w:rPr>
      </w:pPr>
      <w:r>
        <w:rPr>
          <w:rFonts w:ascii="Arial" w:cs="Arial" w:eastAsia="Arial" w:hAnsi="Arial"/>
          <w:sz w:val="16"/>
          <w:szCs w:val="16"/>
          <w:b w:val="1"/>
          <w:bCs w:val="1"/>
          <w:i w:val="1"/>
          <w:iCs w:val="1"/>
          <w:color w:val="auto"/>
        </w:rPr>
        <w:t>If California's DWR were to succeed in setting aside, or were to fail to perform its obligations under its long-term power contract with Sempra Generation, our business, results of operations and cash flows will be materially adversely affected.</w:t>
      </w:r>
    </w:p>
    <w:p>
      <w:pPr>
        <w:spacing w:after="0" w:line="44" w:lineRule="exact"/>
        <w:rPr>
          <w:sz w:val="20"/>
          <w:szCs w:val="20"/>
          <w:color w:val="auto"/>
        </w:rPr>
      </w:pPr>
    </w:p>
    <w:p>
      <w:pPr>
        <w:ind w:left="4" w:right="60"/>
        <w:spacing w:after="0" w:line="276" w:lineRule="auto"/>
        <w:rPr>
          <w:sz w:val="20"/>
          <w:szCs w:val="20"/>
          <w:color w:val="auto"/>
        </w:rPr>
      </w:pPr>
      <w:r>
        <w:rPr>
          <w:rFonts w:ascii="Arial" w:cs="Arial" w:eastAsia="Arial" w:hAnsi="Arial"/>
          <w:sz w:val="15"/>
          <w:szCs w:val="15"/>
          <w:color w:val="auto"/>
        </w:rPr>
        <w:t>In 2001, Sempra Generation entered into a 10-year power sales agreement with the DWR to supply up to 1,900 MW to the state. The validity of the power sales agreement with the DWR continues to be the subject of extensive litigation between the parties before the FERC, in the courts and in arbitration proceedings. If the DWR were to succeed in setting aside its obligations under the contract, or if the DWR fails or is unable to meet its contractual obligations on a timely basis, it could have a material adverse effect on our business, results of operations, cash flows and financial condition. These proceedings are described in the Notes to Consolidated Financial Statements and in "Management's Discussion and Analysis of Financial Condition and Results of Operations" in the Annual Report. As described in Note 16 of the Notes to Consolidated Financial Statements, we unilaterally reduced our price to the DWR in connection with an agreement to settle other litigation.</w:t>
      </w:r>
    </w:p>
    <w:p>
      <w:pPr>
        <w:spacing w:after="0" w:line="47" w:lineRule="exact"/>
        <w:rPr>
          <w:sz w:val="20"/>
          <w:szCs w:val="20"/>
          <w:color w:val="auto"/>
        </w:rPr>
      </w:pPr>
    </w:p>
    <w:p>
      <w:pPr>
        <w:ind w:left="4"/>
        <w:spacing w:after="0"/>
        <w:rPr>
          <w:sz w:val="20"/>
          <w:szCs w:val="20"/>
          <w:color w:val="auto"/>
        </w:rPr>
      </w:pPr>
      <w:r>
        <w:rPr>
          <w:rFonts w:ascii="Arial" w:cs="Arial" w:eastAsia="Arial" w:hAnsi="Arial"/>
          <w:sz w:val="16"/>
          <w:szCs w:val="16"/>
          <w:b w:val="1"/>
          <w:bCs w:val="1"/>
          <w:i w:val="1"/>
          <w:iCs w:val="1"/>
          <w:color w:val="auto"/>
        </w:rPr>
        <w:t>We rely on transportation assets and services that we do not own or control to deliver electricity and natural gas.</w:t>
      </w:r>
    </w:p>
    <w:p>
      <w:pPr>
        <w:spacing w:after="0" w:line="80" w:lineRule="exact"/>
        <w:rPr>
          <w:sz w:val="20"/>
          <w:szCs w:val="20"/>
          <w:color w:val="auto"/>
        </w:rPr>
      </w:pPr>
    </w:p>
    <w:p>
      <w:pPr>
        <w:ind w:left="4"/>
        <w:spacing w:after="0"/>
        <w:rPr>
          <w:sz w:val="20"/>
          <w:szCs w:val="20"/>
          <w:color w:val="auto"/>
        </w:rPr>
      </w:pPr>
      <w:r>
        <w:rPr>
          <w:rFonts w:ascii="Arial" w:cs="Arial" w:eastAsia="Arial" w:hAnsi="Arial"/>
          <w:sz w:val="16"/>
          <w:szCs w:val="16"/>
          <w:color w:val="auto"/>
        </w:rPr>
        <w:t>We depend on electric transmission lines, natural gas pipelines, and other transportation facilities owned and operated by third parties to:</w:t>
      </w:r>
    </w:p>
    <w:p>
      <w:pPr>
        <w:spacing w:after="0" w:line="92" w:lineRule="exact"/>
        <w:rPr>
          <w:sz w:val="20"/>
          <w:szCs w:val="20"/>
          <w:color w:val="auto"/>
        </w:rPr>
      </w:pPr>
    </w:p>
    <w:p>
      <w:pPr>
        <w:ind w:left="164" w:hanging="164"/>
        <w:spacing w:after="0"/>
        <w:tabs>
          <w:tab w:leader="none" w:pos="164" w:val="left"/>
        </w:tabs>
        <w:numPr>
          <w:ilvl w:val="0"/>
          <w:numId w:val="17"/>
        </w:numPr>
        <w:rPr>
          <w:rFonts w:ascii="Arial" w:cs="Arial" w:eastAsia="Arial" w:hAnsi="Arial"/>
          <w:sz w:val="16"/>
          <w:szCs w:val="16"/>
          <w:color w:val="auto"/>
        </w:rPr>
      </w:pPr>
      <w:r>
        <w:rPr>
          <w:rFonts w:ascii="Arial" w:cs="Arial" w:eastAsia="Arial" w:hAnsi="Arial"/>
          <w:sz w:val="16"/>
          <w:szCs w:val="16"/>
          <w:color w:val="auto"/>
        </w:rPr>
        <w:t>deliver the electricity and natural gas we sell to wholesale markets,</w:t>
      </w:r>
    </w:p>
    <w:p>
      <w:pPr>
        <w:spacing w:after="0" w:line="44" w:lineRule="exact"/>
        <w:rPr>
          <w:rFonts w:ascii="Arial" w:cs="Arial" w:eastAsia="Arial" w:hAnsi="Arial"/>
          <w:sz w:val="16"/>
          <w:szCs w:val="16"/>
          <w:color w:val="auto"/>
        </w:rPr>
      </w:pPr>
    </w:p>
    <w:p>
      <w:pPr>
        <w:ind w:left="164" w:hanging="164"/>
        <w:spacing w:after="0"/>
        <w:tabs>
          <w:tab w:leader="none" w:pos="164" w:val="left"/>
        </w:tabs>
        <w:numPr>
          <w:ilvl w:val="0"/>
          <w:numId w:val="17"/>
        </w:numPr>
        <w:rPr>
          <w:rFonts w:ascii="Arial" w:cs="Arial" w:eastAsia="Arial" w:hAnsi="Arial"/>
          <w:sz w:val="16"/>
          <w:szCs w:val="16"/>
          <w:color w:val="auto"/>
        </w:rPr>
      </w:pPr>
      <w:r>
        <w:rPr>
          <w:rFonts w:ascii="Arial" w:cs="Arial" w:eastAsia="Arial" w:hAnsi="Arial"/>
          <w:sz w:val="16"/>
          <w:szCs w:val="16"/>
          <w:color w:val="auto"/>
        </w:rPr>
        <w:t>supply natural gas to our electric generation facilities, and</w:t>
      </w:r>
    </w:p>
    <w:p>
      <w:pPr>
        <w:spacing w:after="0" w:line="56" w:lineRule="exact"/>
        <w:rPr>
          <w:rFonts w:ascii="Arial" w:cs="Arial" w:eastAsia="Arial" w:hAnsi="Arial"/>
          <w:sz w:val="16"/>
          <w:szCs w:val="16"/>
          <w:color w:val="auto"/>
        </w:rPr>
      </w:pPr>
    </w:p>
    <w:p>
      <w:pPr>
        <w:ind w:left="164" w:hanging="164"/>
        <w:spacing w:after="0"/>
        <w:tabs>
          <w:tab w:leader="none" w:pos="164" w:val="left"/>
        </w:tabs>
        <w:numPr>
          <w:ilvl w:val="0"/>
          <w:numId w:val="17"/>
        </w:numPr>
        <w:rPr>
          <w:rFonts w:ascii="Arial" w:cs="Arial" w:eastAsia="Arial" w:hAnsi="Arial"/>
          <w:sz w:val="16"/>
          <w:szCs w:val="16"/>
          <w:color w:val="auto"/>
        </w:rPr>
      </w:pPr>
      <w:r>
        <w:rPr>
          <w:rFonts w:ascii="Arial" w:cs="Arial" w:eastAsia="Arial" w:hAnsi="Arial"/>
          <w:sz w:val="16"/>
          <w:szCs w:val="16"/>
          <w:color w:val="auto"/>
        </w:rPr>
        <w:t>provide retail energy services to customers.</w:t>
      </w:r>
    </w:p>
    <w:p>
      <w:pPr>
        <w:spacing w:after="0" w:line="128" w:lineRule="exact"/>
        <w:rPr>
          <w:sz w:val="20"/>
          <w:szCs w:val="20"/>
          <w:color w:val="auto"/>
        </w:rPr>
      </w:pPr>
    </w:p>
    <w:p>
      <w:pPr>
        <w:ind w:left="4"/>
        <w:spacing w:after="0" w:line="259" w:lineRule="auto"/>
        <w:rPr>
          <w:sz w:val="20"/>
          <w:szCs w:val="20"/>
          <w:color w:val="auto"/>
        </w:rPr>
      </w:pPr>
      <w:r>
        <w:rPr>
          <w:rFonts w:ascii="Arial" w:cs="Arial" w:eastAsia="Arial" w:hAnsi="Arial"/>
          <w:sz w:val="16"/>
          <w:szCs w:val="16"/>
          <w:color w:val="auto"/>
        </w:rPr>
        <w:t>Sempra Pipelines &amp; Storage also depends on natural gas pipelines to interconnect with their ultimate source or customers of the commodities they are transporting. Sempra LNG also relies on specialized ships to transport LNG to its facilities and on natural gas pipelines to transport natural gas for customers of the facilities. If transportation is disrupted, or if capacity is inadequate, our ability to sell and deliver our products and services may be hindered. As a result, we may be responsible for damages incurred by our customers, such as the additional cost of acquiring alternative supply at then-current spot market rates.</w:t>
      </w:r>
    </w:p>
    <w:p>
      <w:pPr>
        <w:spacing w:after="0" w:line="47" w:lineRule="exact"/>
        <w:rPr>
          <w:sz w:val="20"/>
          <w:szCs w:val="20"/>
          <w:color w:val="auto"/>
        </w:rPr>
      </w:pPr>
    </w:p>
    <w:p>
      <w:pPr>
        <w:ind w:left="4" w:right="460"/>
        <w:spacing w:after="0" w:line="277" w:lineRule="auto"/>
        <w:rPr>
          <w:sz w:val="20"/>
          <w:szCs w:val="20"/>
          <w:color w:val="auto"/>
        </w:rPr>
      </w:pPr>
      <w:r>
        <w:rPr>
          <w:rFonts w:ascii="Arial" w:cs="Arial" w:eastAsia="Arial" w:hAnsi="Arial"/>
          <w:sz w:val="16"/>
          <w:szCs w:val="16"/>
          <w:b w:val="1"/>
          <w:bCs w:val="1"/>
          <w:i w:val="1"/>
          <w:iCs w:val="1"/>
          <w:color w:val="auto"/>
        </w:rPr>
        <w:t>We cannot and do not attempt to fully hedge our assets or contract positions against changes in commodity prices. Therefore, our hedging procedures may not work as planned.</w:t>
      </w:r>
    </w:p>
    <w:p>
      <w:pPr>
        <w:spacing w:after="0" w:line="44" w:lineRule="exact"/>
        <w:rPr>
          <w:sz w:val="20"/>
          <w:szCs w:val="20"/>
          <w:color w:val="auto"/>
        </w:rPr>
      </w:pPr>
    </w:p>
    <w:p>
      <w:pPr>
        <w:ind w:left="4" w:right="220"/>
        <w:spacing w:after="0" w:line="277" w:lineRule="auto"/>
        <w:rPr>
          <w:sz w:val="20"/>
          <w:szCs w:val="20"/>
          <w:color w:val="auto"/>
        </w:rPr>
      </w:pPr>
      <w:r>
        <w:rPr>
          <w:rFonts w:ascii="Arial" w:cs="Arial" w:eastAsia="Arial" w:hAnsi="Arial"/>
          <w:sz w:val="16"/>
          <w:szCs w:val="16"/>
          <w:color w:val="auto"/>
        </w:rPr>
        <w:t>To reduce financial exposure related to commodity price fluctuations, we may enter into contracts to hedge our purchase and sale commitments, inventories of natural gas, and electric generation capacity. As part of this strategy,</w:t>
      </w:r>
    </w:p>
    <w:p>
      <w:pPr>
        <w:spacing w:after="0" w:line="200" w:lineRule="exact"/>
        <w:rPr>
          <w:sz w:val="20"/>
          <w:szCs w:val="20"/>
          <w:color w:val="auto"/>
        </w:rPr>
      </w:pPr>
    </w:p>
    <w:p>
      <w:pPr>
        <w:spacing w:after="0" w:line="304" w:lineRule="exact"/>
        <w:rPr>
          <w:sz w:val="20"/>
          <w:szCs w:val="20"/>
          <w:color w:val="auto"/>
        </w:rPr>
      </w:pPr>
    </w:p>
    <w:p>
      <w:pPr>
        <w:ind w:left="4"/>
        <w:spacing w:after="0"/>
        <w:rPr>
          <w:sz w:val="20"/>
          <w:szCs w:val="20"/>
          <w:color w:val="auto"/>
        </w:rPr>
      </w:pPr>
      <w:r>
        <w:rPr>
          <w:rFonts w:ascii="Arial" w:cs="Arial" w:eastAsia="Arial" w:hAnsi="Arial"/>
          <w:sz w:val="14"/>
          <w:szCs w:val="14"/>
          <w:color w:val="auto"/>
        </w:rPr>
        <w:t>23</w:t>
      </w:r>
    </w:p>
    <w:p>
      <w:pPr>
        <w:sectPr>
          <w:pgSz w:w="11900" w:h="16838" w:orient="portrait"/>
          <w:cols w:equalWidth="0" w:num="1">
            <w:col w:w="11424"/>
          </w:cols>
          <w:pgMar w:left="236" w:top="127" w:right="239" w:bottom="1440" w:gutter="0" w:footer="0" w:header="0"/>
        </w:sectPr>
      </w:pPr>
    </w:p>
    <w:bookmarkStart w:id="23" w:name="page24"/>
    <w:bookmarkEnd w:id="23"/>
    <w:p>
      <w:pPr>
        <w:jc w:val="both"/>
        <w:ind w:left="4" w:right="380"/>
        <w:spacing w:after="0" w:line="319" w:lineRule="auto"/>
        <w:rPr>
          <w:sz w:val="20"/>
          <w:szCs w:val="20"/>
          <w:color w:val="auto"/>
        </w:rPr>
      </w:pPr>
      <w:r>
        <w:rPr>
          <w:rFonts w:ascii="Arial" w:cs="Arial" w:eastAsia="Arial" w:hAnsi="Arial"/>
          <w:sz w:val="14"/>
          <w:szCs w:val="14"/>
          <w:color w:val="auto"/>
        </w:rPr>
        <w:t>we may use fixed-price, forward, physical purchase and sales contracts, futures, financial swaps, and options. However, we do not hedge the entire exposure to market price volatility of our assets or our contract positions and the coverage will vary over time. To the extent we have unhedged positions, or if our hedging strategies do not work as planned, fluctuating commodity prices could have a material adverse effect on our business, results of operations, cash flows and financial condition.</w:t>
      </w:r>
    </w:p>
    <w:p>
      <w:pPr>
        <w:spacing w:after="0" w:line="19" w:lineRule="exact"/>
        <w:rPr>
          <w:sz w:val="20"/>
          <w:szCs w:val="20"/>
          <w:color w:val="auto"/>
        </w:rPr>
      </w:pPr>
    </w:p>
    <w:p>
      <w:pPr>
        <w:ind w:left="4"/>
        <w:spacing w:after="0"/>
        <w:rPr>
          <w:sz w:val="20"/>
          <w:szCs w:val="20"/>
          <w:color w:val="auto"/>
        </w:rPr>
      </w:pPr>
      <w:r>
        <w:rPr>
          <w:rFonts w:ascii="Arial" w:cs="Arial" w:eastAsia="Arial" w:hAnsi="Arial"/>
          <w:sz w:val="16"/>
          <w:szCs w:val="16"/>
          <w:b w:val="1"/>
          <w:bCs w:val="1"/>
          <w:i w:val="1"/>
          <w:iCs w:val="1"/>
          <w:color w:val="auto"/>
        </w:rPr>
        <w:t>Risk management procedures may not prevent losses.</w:t>
      </w:r>
    </w:p>
    <w:p>
      <w:pPr>
        <w:spacing w:after="0" w:line="80" w:lineRule="exact"/>
        <w:rPr>
          <w:sz w:val="20"/>
          <w:szCs w:val="20"/>
          <w:color w:val="auto"/>
        </w:rPr>
      </w:pPr>
    </w:p>
    <w:p>
      <w:pPr>
        <w:ind w:left="4" w:right="120"/>
        <w:spacing w:after="0" w:line="257" w:lineRule="auto"/>
        <w:rPr>
          <w:sz w:val="20"/>
          <w:szCs w:val="20"/>
          <w:color w:val="auto"/>
        </w:rPr>
      </w:pPr>
      <w:r>
        <w:rPr>
          <w:rFonts w:ascii="Arial" w:cs="Arial" w:eastAsia="Arial" w:hAnsi="Arial"/>
          <w:sz w:val="16"/>
          <w:szCs w:val="16"/>
          <w:color w:val="auto"/>
        </w:rPr>
        <w:t>Although we have in place risk management systems and control systems that use advanced methodologies to quantify and manage risk, these systems may not always prevent material losses. Risk management procedures may not always be followed as required by the companies or may not always work as planned. In addition, daily value-at-risk and loss limits are based on historic price movements. If prices significantly or persistently deviate from historic prices, the limits may not protect us from significant losses. As a result of these and other factors, there is no assurance that our risk management procedures will prevent losses that would negatively affect our business, results of operations, cash flows and financial condition.</w:t>
      </w:r>
    </w:p>
    <w:p>
      <w:pPr>
        <w:spacing w:after="0" w:line="60" w:lineRule="exact"/>
        <w:rPr>
          <w:sz w:val="20"/>
          <w:szCs w:val="20"/>
          <w:color w:val="auto"/>
        </w:rPr>
      </w:pPr>
    </w:p>
    <w:p>
      <w:pPr>
        <w:ind w:left="4" w:right="500"/>
        <w:spacing w:after="0" w:line="277" w:lineRule="auto"/>
        <w:rPr>
          <w:sz w:val="20"/>
          <w:szCs w:val="20"/>
          <w:color w:val="auto"/>
        </w:rPr>
      </w:pPr>
      <w:r>
        <w:rPr>
          <w:rFonts w:ascii="Arial" w:cs="Arial" w:eastAsia="Arial" w:hAnsi="Arial"/>
          <w:sz w:val="16"/>
          <w:szCs w:val="16"/>
          <w:b w:val="1"/>
          <w:bCs w:val="1"/>
          <w:i w:val="1"/>
          <w:iCs w:val="1"/>
          <w:color w:val="auto"/>
        </w:rPr>
        <w:t>Our international businesses are exposed to different local, regulatory and business risks and challenges, which could have a material adverse effect on our financial condition, cash flows and results of operations.</w:t>
      </w:r>
    </w:p>
    <w:p>
      <w:pPr>
        <w:spacing w:after="0" w:line="44" w:lineRule="exact"/>
        <w:rPr>
          <w:sz w:val="20"/>
          <w:szCs w:val="20"/>
          <w:color w:val="auto"/>
        </w:rPr>
      </w:pPr>
    </w:p>
    <w:p>
      <w:pPr>
        <w:jc w:val="both"/>
        <w:ind w:left="4" w:right="200"/>
        <w:spacing w:after="0" w:line="275" w:lineRule="auto"/>
        <w:rPr>
          <w:sz w:val="20"/>
          <w:szCs w:val="20"/>
          <w:color w:val="auto"/>
        </w:rPr>
      </w:pPr>
      <w:r>
        <w:rPr>
          <w:rFonts w:ascii="Arial" w:cs="Arial" w:eastAsia="Arial" w:hAnsi="Arial"/>
          <w:sz w:val="15"/>
          <w:szCs w:val="15"/>
          <w:color w:val="auto"/>
        </w:rPr>
        <w:t>We have interests in electricity generation and transmission, natural gas distribution and transportation, and LNG terminal projects in Mexico. Sempra Pipelines &amp; Storage has ownership interests in electricity and natural gas distribution businesses in Argentina, Chile and Peru. We have an ownership interest in RBS Sempra Commodities, which has trading, marketing and risk management operations in Canada, Europe and Asia. Developing infrastructure projects, owning energy assets, and operating businesses in foreign jurisdictions subject us to significant political, legal and financial risks that vary by country, including:</w:t>
      </w:r>
    </w:p>
    <w:p>
      <w:pPr>
        <w:spacing w:after="0" w:line="2" w:lineRule="exact"/>
        <w:rPr>
          <w:sz w:val="20"/>
          <w:szCs w:val="20"/>
          <w:color w:val="auto"/>
        </w:rPr>
      </w:pPr>
    </w:p>
    <w:p>
      <w:pPr>
        <w:ind w:left="144" w:hanging="144"/>
        <w:spacing w:after="0"/>
        <w:tabs>
          <w:tab w:leader="none" w:pos="144" w:val="left"/>
        </w:tabs>
        <w:numPr>
          <w:ilvl w:val="0"/>
          <w:numId w:val="18"/>
        </w:numPr>
        <w:rPr>
          <w:rFonts w:ascii="Arial" w:cs="Arial" w:eastAsia="Arial" w:hAnsi="Arial"/>
          <w:sz w:val="16"/>
          <w:szCs w:val="16"/>
          <w:color w:val="auto"/>
        </w:rPr>
      </w:pPr>
      <w:r>
        <w:rPr>
          <w:rFonts w:ascii="Arial" w:cs="Arial" w:eastAsia="Arial" w:hAnsi="Arial"/>
          <w:sz w:val="16"/>
          <w:szCs w:val="16"/>
          <w:color w:val="auto"/>
        </w:rPr>
        <w:t>changes in foreign laws and regulations, including tax and environmental laws and regulations, and U.S. laws and regulations related to foreign operations</w:t>
      </w:r>
    </w:p>
    <w:p>
      <w:pPr>
        <w:spacing w:after="0" w:line="44" w:lineRule="exact"/>
        <w:rPr>
          <w:rFonts w:ascii="Arial" w:cs="Arial" w:eastAsia="Arial" w:hAnsi="Arial"/>
          <w:sz w:val="16"/>
          <w:szCs w:val="16"/>
          <w:color w:val="auto"/>
        </w:rPr>
      </w:pPr>
    </w:p>
    <w:p>
      <w:pPr>
        <w:ind w:left="144" w:hanging="144"/>
        <w:spacing w:after="0"/>
        <w:tabs>
          <w:tab w:leader="none" w:pos="144" w:val="left"/>
        </w:tabs>
        <w:numPr>
          <w:ilvl w:val="0"/>
          <w:numId w:val="18"/>
        </w:numPr>
        <w:rPr>
          <w:rFonts w:ascii="Arial" w:cs="Arial" w:eastAsia="Arial" w:hAnsi="Arial"/>
          <w:sz w:val="16"/>
          <w:szCs w:val="16"/>
          <w:color w:val="auto"/>
        </w:rPr>
      </w:pPr>
      <w:r>
        <w:rPr>
          <w:rFonts w:ascii="Arial" w:cs="Arial" w:eastAsia="Arial" w:hAnsi="Arial"/>
          <w:sz w:val="16"/>
          <w:szCs w:val="16"/>
          <w:color w:val="auto"/>
        </w:rPr>
        <w:t>high rates of inflation</w:t>
      </w:r>
    </w:p>
    <w:p>
      <w:pPr>
        <w:spacing w:after="0" w:line="44" w:lineRule="exact"/>
        <w:rPr>
          <w:rFonts w:ascii="Arial" w:cs="Arial" w:eastAsia="Arial" w:hAnsi="Arial"/>
          <w:sz w:val="16"/>
          <w:szCs w:val="16"/>
          <w:color w:val="auto"/>
        </w:rPr>
      </w:pPr>
    </w:p>
    <w:p>
      <w:pPr>
        <w:ind w:left="144" w:hanging="144"/>
        <w:spacing w:after="0"/>
        <w:tabs>
          <w:tab w:leader="none" w:pos="144" w:val="left"/>
        </w:tabs>
        <w:numPr>
          <w:ilvl w:val="0"/>
          <w:numId w:val="18"/>
        </w:numPr>
        <w:rPr>
          <w:rFonts w:ascii="Arial" w:cs="Arial" w:eastAsia="Arial" w:hAnsi="Arial"/>
          <w:sz w:val="16"/>
          <w:szCs w:val="16"/>
          <w:color w:val="auto"/>
        </w:rPr>
      </w:pPr>
      <w:r>
        <w:rPr>
          <w:rFonts w:ascii="Arial" w:cs="Arial" w:eastAsia="Arial" w:hAnsi="Arial"/>
          <w:sz w:val="16"/>
          <w:szCs w:val="16"/>
          <w:color w:val="auto"/>
        </w:rPr>
        <w:t>changes in government policies or personnel</w:t>
      </w:r>
    </w:p>
    <w:p>
      <w:pPr>
        <w:spacing w:after="0" w:line="32" w:lineRule="exact"/>
        <w:rPr>
          <w:rFonts w:ascii="Arial" w:cs="Arial" w:eastAsia="Arial" w:hAnsi="Arial"/>
          <w:sz w:val="16"/>
          <w:szCs w:val="16"/>
          <w:color w:val="auto"/>
        </w:rPr>
      </w:pPr>
    </w:p>
    <w:p>
      <w:pPr>
        <w:ind w:left="144" w:hanging="144"/>
        <w:spacing w:after="0"/>
        <w:tabs>
          <w:tab w:leader="none" w:pos="144" w:val="left"/>
        </w:tabs>
        <w:numPr>
          <w:ilvl w:val="0"/>
          <w:numId w:val="18"/>
        </w:numPr>
        <w:rPr>
          <w:rFonts w:ascii="Arial" w:cs="Arial" w:eastAsia="Arial" w:hAnsi="Arial"/>
          <w:sz w:val="16"/>
          <w:szCs w:val="16"/>
          <w:color w:val="auto"/>
        </w:rPr>
      </w:pPr>
      <w:r>
        <w:rPr>
          <w:rFonts w:ascii="Arial" w:cs="Arial" w:eastAsia="Arial" w:hAnsi="Arial"/>
          <w:sz w:val="16"/>
          <w:szCs w:val="16"/>
          <w:color w:val="auto"/>
        </w:rPr>
        <w:t>trade restrictions</w:t>
      </w:r>
    </w:p>
    <w:p>
      <w:pPr>
        <w:spacing w:after="0" w:line="44" w:lineRule="exact"/>
        <w:rPr>
          <w:rFonts w:ascii="Arial" w:cs="Arial" w:eastAsia="Arial" w:hAnsi="Arial"/>
          <w:sz w:val="16"/>
          <w:szCs w:val="16"/>
          <w:color w:val="auto"/>
        </w:rPr>
      </w:pPr>
    </w:p>
    <w:p>
      <w:pPr>
        <w:ind w:left="144" w:hanging="144"/>
        <w:spacing w:after="0"/>
        <w:tabs>
          <w:tab w:leader="none" w:pos="144" w:val="left"/>
        </w:tabs>
        <w:numPr>
          <w:ilvl w:val="0"/>
          <w:numId w:val="18"/>
        </w:numPr>
        <w:rPr>
          <w:rFonts w:ascii="Arial" w:cs="Arial" w:eastAsia="Arial" w:hAnsi="Arial"/>
          <w:sz w:val="16"/>
          <w:szCs w:val="16"/>
          <w:color w:val="auto"/>
        </w:rPr>
      </w:pPr>
      <w:r>
        <w:rPr>
          <w:rFonts w:ascii="Arial" w:cs="Arial" w:eastAsia="Arial" w:hAnsi="Arial"/>
          <w:sz w:val="16"/>
          <w:szCs w:val="16"/>
          <w:color w:val="auto"/>
        </w:rPr>
        <w:t>limitations on U.S. company ownership in foreign countries</w:t>
      </w:r>
    </w:p>
    <w:p>
      <w:pPr>
        <w:spacing w:after="0" w:line="44" w:lineRule="exact"/>
        <w:rPr>
          <w:rFonts w:ascii="Arial" w:cs="Arial" w:eastAsia="Arial" w:hAnsi="Arial"/>
          <w:sz w:val="16"/>
          <w:szCs w:val="16"/>
          <w:color w:val="auto"/>
        </w:rPr>
      </w:pPr>
    </w:p>
    <w:p>
      <w:pPr>
        <w:ind w:left="144" w:hanging="144"/>
        <w:spacing w:after="0"/>
        <w:tabs>
          <w:tab w:leader="none" w:pos="144" w:val="left"/>
        </w:tabs>
        <w:numPr>
          <w:ilvl w:val="0"/>
          <w:numId w:val="18"/>
        </w:numPr>
        <w:rPr>
          <w:rFonts w:ascii="Arial" w:cs="Arial" w:eastAsia="Arial" w:hAnsi="Arial"/>
          <w:sz w:val="16"/>
          <w:szCs w:val="16"/>
          <w:color w:val="auto"/>
        </w:rPr>
      </w:pPr>
      <w:r>
        <w:rPr>
          <w:rFonts w:ascii="Arial" w:cs="Arial" w:eastAsia="Arial" w:hAnsi="Arial"/>
          <w:sz w:val="16"/>
          <w:szCs w:val="16"/>
          <w:color w:val="auto"/>
        </w:rPr>
        <w:t>permitting and regulatory compliance</w:t>
      </w:r>
    </w:p>
    <w:p>
      <w:pPr>
        <w:spacing w:after="0" w:line="32" w:lineRule="exact"/>
        <w:rPr>
          <w:rFonts w:ascii="Arial" w:cs="Arial" w:eastAsia="Arial" w:hAnsi="Arial"/>
          <w:sz w:val="16"/>
          <w:szCs w:val="16"/>
          <w:color w:val="auto"/>
        </w:rPr>
      </w:pPr>
    </w:p>
    <w:p>
      <w:pPr>
        <w:ind w:left="144" w:hanging="144"/>
        <w:spacing w:after="0"/>
        <w:tabs>
          <w:tab w:leader="none" w:pos="144" w:val="left"/>
        </w:tabs>
        <w:numPr>
          <w:ilvl w:val="0"/>
          <w:numId w:val="18"/>
        </w:numPr>
        <w:rPr>
          <w:rFonts w:ascii="Arial" w:cs="Arial" w:eastAsia="Arial" w:hAnsi="Arial"/>
          <w:sz w:val="16"/>
          <w:szCs w:val="16"/>
          <w:color w:val="auto"/>
        </w:rPr>
      </w:pPr>
      <w:r>
        <w:rPr>
          <w:rFonts w:ascii="Arial" w:cs="Arial" w:eastAsia="Arial" w:hAnsi="Arial"/>
          <w:sz w:val="16"/>
          <w:szCs w:val="16"/>
          <w:color w:val="auto"/>
        </w:rPr>
        <w:t>changes in labor supply and labor relations in operations outside the U.S.</w:t>
      </w:r>
    </w:p>
    <w:p>
      <w:pPr>
        <w:spacing w:after="0" w:line="44" w:lineRule="exact"/>
        <w:rPr>
          <w:rFonts w:ascii="Arial" w:cs="Arial" w:eastAsia="Arial" w:hAnsi="Arial"/>
          <w:sz w:val="16"/>
          <w:szCs w:val="16"/>
          <w:color w:val="auto"/>
        </w:rPr>
      </w:pPr>
    </w:p>
    <w:p>
      <w:pPr>
        <w:ind w:left="144" w:right="1580" w:hanging="144"/>
        <w:spacing w:after="0" w:line="273" w:lineRule="auto"/>
        <w:tabs>
          <w:tab w:leader="none" w:pos="144" w:val="left"/>
        </w:tabs>
        <w:numPr>
          <w:ilvl w:val="0"/>
          <w:numId w:val="18"/>
        </w:numPr>
        <w:rPr>
          <w:rFonts w:ascii="Arial" w:cs="Arial" w:eastAsia="Arial" w:hAnsi="Arial"/>
          <w:sz w:val="16"/>
          <w:szCs w:val="16"/>
          <w:color w:val="auto"/>
        </w:rPr>
      </w:pPr>
      <w:r>
        <w:rPr>
          <w:rFonts w:ascii="Arial" w:cs="Arial" w:eastAsia="Arial" w:hAnsi="Arial"/>
          <w:sz w:val="16"/>
          <w:szCs w:val="16"/>
          <w:color w:val="auto"/>
        </w:rPr>
        <w:t>adverse rulings by foreign courts or tribunals, challenges to permits, difficulty in enforcing contractual rights, and unsettled property rights and titles in Mexico and other foreign jurisdictions</w:t>
      </w:r>
    </w:p>
    <w:p>
      <w:pPr>
        <w:spacing w:after="0" w:line="1" w:lineRule="exact"/>
        <w:rPr>
          <w:rFonts w:ascii="Arial" w:cs="Arial" w:eastAsia="Arial" w:hAnsi="Arial"/>
          <w:sz w:val="16"/>
          <w:szCs w:val="16"/>
          <w:color w:val="auto"/>
        </w:rPr>
      </w:pPr>
    </w:p>
    <w:p>
      <w:pPr>
        <w:ind w:left="144" w:hanging="144"/>
        <w:spacing w:after="0"/>
        <w:tabs>
          <w:tab w:leader="none" w:pos="144" w:val="left"/>
        </w:tabs>
        <w:numPr>
          <w:ilvl w:val="0"/>
          <w:numId w:val="18"/>
        </w:numPr>
        <w:rPr>
          <w:rFonts w:ascii="Arial" w:cs="Arial" w:eastAsia="Arial" w:hAnsi="Arial"/>
          <w:sz w:val="16"/>
          <w:szCs w:val="16"/>
          <w:color w:val="auto"/>
        </w:rPr>
      </w:pPr>
      <w:r>
        <w:rPr>
          <w:rFonts w:ascii="Arial" w:cs="Arial" w:eastAsia="Arial" w:hAnsi="Arial"/>
          <w:sz w:val="16"/>
          <w:szCs w:val="16"/>
          <w:color w:val="auto"/>
        </w:rPr>
        <w:t>general political, economic and business conditions</w:t>
      </w:r>
    </w:p>
    <w:p>
      <w:pPr>
        <w:spacing w:after="0" w:line="128" w:lineRule="exact"/>
        <w:rPr>
          <w:sz w:val="20"/>
          <w:szCs w:val="20"/>
          <w:color w:val="auto"/>
        </w:rPr>
      </w:pPr>
    </w:p>
    <w:p>
      <w:pPr>
        <w:ind w:left="4"/>
        <w:spacing w:after="0" w:line="282" w:lineRule="auto"/>
        <w:rPr>
          <w:sz w:val="20"/>
          <w:szCs w:val="20"/>
          <w:color w:val="auto"/>
        </w:rPr>
      </w:pPr>
      <w:r>
        <w:rPr>
          <w:rFonts w:ascii="Arial" w:cs="Arial" w:eastAsia="Arial" w:hAnsi="Arial"/>
          <w:sz w:val="15"/>
          <w:szCs w:val="15"/>
          <w:color w:val="auto"/>
        </w:rPr>
        <w:t>Our international businesses also are subject to foreign currency risks. These risks arise from both volatility in foreign currency exchange and inflation rates and devaluations of foreign currencies. In such cases, an appreciation of the U.S. dollar against a local currency could reduce the amount of cash and income received from those foreign subsidiaries. Fluctuations in foreign currency exchange and inflation rates may result in increased taxes in foreign countries. While Sempra Pipelines &amp; Storage believes that it has contracts and other measures in place to mitigate its most significant foreign currency exchange risks, some exposure is not fully mitigated.</w:t>
      </w:r>
    </w:p>
    <w:p>
      <w:pPr>
        <w:spacing w:after="0" w:line="226" w:lineRule="exact"/>
        <w:rPr>
          <w:sz w:val="20"/>
          <w:szCs w:val="20"/>
          <w:color w:val="auto"/>
        </w:rPr>
      </w:pPr>
    </w:p>
    <w:p>
      <w:pPr>
        <w:ind w:left="4984"/>
        <w:spacing w:after="0"/>
        <w:rPr>
          <w:sz w:val="20"/>
          <w:szCs w:val="20"/>
          <w:color w:val="auto"/>
        </w:rPr>
      </w:pPr>
      <w:r>
        <w:rPr>
          <w:rFonts w:ascii="Arial" w:cs="Arial" w:eastAsia="Arial" w:hAnsi="Arial"/>
          <w:sz w:val="16"/>
          <w:szCs w:val="16"/>
          <w:b w:val="1"/>
          <w:bCs w:val="1"/>
          <w:color w:val="auto"/>
        </w:rPr>
        <w:t>Other Risks</w:t>
      </w:r>
    </w:p>
    <w:p>
      <w:pPr>
        <w:spacing w:after="0" w:line="101" w:lineRule="exact"/>
        <w:rPr>
          <w:sz w:val="20"/>
          <w:szCs w:val="20"/>
          <w:color w:val="auto"/>
        </w:rPr>
      </w:pPr>
    </w:p>
    <w:p>
      <w:pPr>
        <w:ind w:left="4"/>
        <w:spacing w:after="0"/>
        <w:rPr>
          <w:sz w:val="20"/>
          <w:szCs w:val="20"/>
          <w:color w:val="auto"/>
        </w:rPr>
      </w:pPr>
      <w:r>
        <w:rPr>
          <w:rFonts w:ascii="Arial" w:cs="Arial" w:eastAsia="Arial" w:hAnsi="Arial"/>
          <w:sz w:val="16"/>
          <w:szCs w:val="16"/>
          <w:b w:val="1"/>
          <w:bCs w:val="1"/>
          <w:i w:val="1"/>
          <w:iCs w:val="1"/>
          <w:color w:val="auto"/>
        </w:rPr>
        <w:t>Sempra Energy has substantial investments and other obligations in businesses that it does not control or manage.</w:t>
      </w:r>
    </w:p>
    <w:p>
      <w:pPr>
        <w:spacing w:after="0" w:line="80" w:lineRule="exact"/>
        <w:rPr>
          <w:sz w:val="20"/>
          <w:szCs w:val="20"/>
          <w:color w:val="auto"/>
        </w:rPr>
      </w:pPr>
    </w:p>
    <w:p>
      <w:pPr>
        <w:ind w:left="4" w:right="20"/>
        <w:spacing w:after="0" w:line="264" w:lineRule="auto"/>
        <w:rPr>
          <w:sz w:val="20"/>
          <w:szCs w:val="20"/>
          <w:color w:val="auto"/>
        </w:rPr>
      </w:pPr>
      <w:r>
        <w:rPr>
          <w:rFonts w:ascii="Arial" w:cs="Arial" w:eastAsia="Arial" w:hAnsi="Arial"/>
          <w:sz w:val="16"/>
          <w:szCs w:val="16"/>
          <w:color w:val="auto"/>
        </w:rPr>
        <w:t>Sempra Energy is a partner with The Royal Bank of Scotland (RBS) in RBS Sempra Commodities, a commodities-marketing firm in which we invested $1.6 billion. RBS, which has been greatly affected by the world-wide turmoil in banking and is now indirectly controlled by the government of the United Kingdom, is obligated to provide all of the additional capital required for the operation and expansion of the commodities-marketing business.</w:t>
      </w:r>
    </w:p>
    <w:p>
      <w:pPr>
        <w:spacing w:after="0" w:line="200" w:lineRule="exact"/>
        <w:rPr>
          <w:sz w:val="20"/>
          <w:szCs w:val="20"/>
          <w:color w:val="auto"/>
        </w:rPr>
      </w:pPr>
    </w:p>
    <w:p>
      <w:pPr>
        <w:spacing w:after="0" w:line="326" w:lineRule="exact"/>
        <w:rPr>
          <w:sz w:val="20"/>
          <w:szCs w:val="20"/>
          <w:color w:val="auto"/>
        </w:rPr>
      </w:pPr>
    </w:p>
    <w:p>
      <w:pPr>
        <w:ind w:left="4"/>
        <w:spacing w:after="0"/>
        <w:rPr>
          <w:sz w:val="20"/>
          <w:szCs w:val="20"/>
          <w:color w:val="auto"/>
        </w:rPr>
      </w:pPr>
      <w:r>
        <w:rPr>
          <w:rFonts w:ascii="Arial" w:cs="Arial" w:eastAsia="Arial" w:hAnsi="Arial"/>
          <w:sz w:val="14"/>
          <w:szCs w:val="14"/>
          <w:color w:val="auto"/>
        </w:rPr>
        <w:t>24</w:t>
      </w:r>
    </w:p>
    <w:p>
      <w:pPr>
        <w:sectPr>
          <w:pgSz w:w="11900" w:h="16838" w:orient="portrait"/>
          <w:cols w:equalWidth="0" w:num="1">
            <w:col w:w="11404"/>
          </w:cols>
          <w:pgMar w:left="236" w:top="127" w:right="259" w:bottom="1440" w:gutter="0" w:footer="0" w:header="0"/>
        </w:sectPr>
      </w:pPr>
    </w:p>
    <w:bookmarkStart w:id="24" w:name="page25"/>
    <w:bookmarkEnd w:id="24"/>
    <w:p>
      <w:pPr>
        <w:ind w:left="4" w:right="60"/>
        <w:spacing w:after="0" w:line="277" w:lineRule="auto"/>
        <w:rPr>
          <w:sz w:val="20"/>
          <w:szCs w:val="20"/>
          <w:color w:val="auto"/>
        </w:rPr>
      </w:pPr>
      <w:r>
        <w:rPr>
          <w:rFonts w:ascii="Arial" w:cs="Arial" w:eastAsia="Arial" w:hAnsi="Arial"/>
          <w:sz w:val="16"/>
          <w:szCs w:val="16"/>
          <w:color w:val="auto"/>
        </w:rPr>
        <w:t>We also own a 25-percent interest in Rockies Express, a joint venture which is completing construction of a 1,679-mile natural gas pipeline at an estimated cost of approximately $6.2 billion. Rockies Express is controlled by Kinder Morgan Energy Partners, which holds a 51-percent interest.</w:t>
      </w:r>
    </w:p>
    <w:p>
      <w:pPr>
        <w:spacing w:after="0" w:line="44" w:lineRule="exact"/>
        <w:rPr>
          <w:sz w:val="20"/>
          <w:szCs w:val="20"/>
          <w:color w:val="auto"/>
        </w:rPr>
      </w:pPr>
    </w:p>
    <w:p>
      <w:pPr>
        <w:ind w:left="4" w:right="760"/>
        <w:spacing w:after="0" w:line="312" w:lineRule="auto"/>
        <w:rPr>
          <w:sz w:val="20"/>
          <w:szCs w:val="20"/>
          <w:color w:val="auto"/>
        </w:rPr>
      </w:pPr>
      <w:r>
        <w:rPr>
          <w:rFonts w:ascii="Arial" w:cs="Arial" w:eastAsia="Arial" w:hAnsi="Arial"/>
          <w:sz w:val="15"/>
          <w:szCs w:val="15"/>
          <w:color w:val="auto"/>
        </w:rPr>
        <w:t>We have also guaranteed a portion of the debt and other obligations of RBS Sempra Commodities and debt of Rockies Express as we discuss in Note 6 of the Notes to Consolidated Financial Statements in the Annual Report. We also have smaller investments in other entities that we do not control or manage.</w:t>
      </w:r>
    </w:p>
    <w:p>
      <w:pPr>
        <w:spacing w:after="0" w:line="8" w:lineRule="exact"/>
        <w:rPr>
          <w:sz w:val="20"/>
          <w:szCs w:val="20"/>
          <w:color w:val="auto"/>
        </w:rPr>
      </w:pPr>
    </w:p>
    <w:p>
      <w:pPr>
        <w:ind w:left="4" w:right="80"/>
        <w:spacing w:after="0" w:line="264" w:lineRule="auto"/>
        <w:rPr>
          <w:sz w:val="20"/>
          <w:szCs w:val="20"/>
          <w:color w:val="auto"/>
        </w:rPr>
      </w:pPr>
      <w:r>
        <w:rPr>
          <w:rFonts w:ascii="Arial" w:cs="Arial" w:eastAsia="Arial" w:hAnsi="Arial"/>
          <w:sz w:val="16"/>
          <w:szCs w:val="16"/>
          <w:color w:val="auto"/>
        </w:rPr>
        <w:t>We do not control and have limited influence over these businesses and their management. In addition to the other risks inherent in these businesses, if their management were to fail to perform adequately or the other investors in the businesses were unable or otherwise failed to perform their obligations to provide capital and credit support for these businesses, it could have a material adverse affect on our results of operations, financial position and cash flows.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217170</wp:posOffset>
            </wp:positionV>
            <wp:extent cx="7261860" cy="76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pacing w:after="0" w:line="379" w:lineRule="exact"/>
        <w:rPr>
          <w:sz w:val="20"/>
          <w:szCs w:val="20"/>
          <w:color w:val="auto"/>
        </w:rPr>
      </w:pPr>
    </w:p>
    <w:p>
      <w:pPr>
        <w:ind w:left="4"/>
        <w:spacing w:after="0"/>
        <w:rPr>
          <w:sz w:val="20"/>
          <w:szCs w:val="20"/>
          <w:color w:val="auto"/>
        </w:rPr>
      </w:pPr>
      <w:r>
        <w:rPr>
          <w:rFonts w:ascii="Arial" w:cs="Arial" w:eastAsia="Arial" w:hAnsi="Arial"/>
          <w:sz w:val="18"/>
          <w:szCs w:val="18"/>
          <w:color w:val="auto"/>
        </w:rPr>
        <w:t>ITEM 1B. UNRESOLVED STAFF COMMENTS</w:t>
      </w:r>
    </w:p>
    <w:p>
      <w:pPr>
        <w:spacing w:after="0" w:line="60" w:lineRule="exact"/>
        <w:rPr>
          <w:sz w:val="20"/>
          <w:szCs w:val="20"/>
          <w:color w:val="auto"/>
        </w:rPr>
      </w:pPr>
    </w:p>
    <w:p>
      <w:pPr>
        <w:ind w:left="4"/>
        <w:spacing w:after="0"/>
        <w:rPr>
          <w:sz w:val="20"/>
          <w:szCs w:val="20"/>
          <w:color w:val="auto"/>
        </w:rPr>
      </w:pPr>
      <w:r>
        <w:rPr>
          <w:rFonts w:ascii="Arial" w:cs="Arial" w:eastAsia="Arial" w:hAnsi="Arial"/>
          <w:sz w:val="16"/>
          <w:szCs w:val="16"/>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219075</wp:posOffset>
            </wp:positionV>
            <wp:extent cx="7261860" cy="76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pacing w:after="0" w:line="382" w:lineRule="exact"/>
        <w:rPr>
          <w:sz w:val="20"/>
          <w:szCs w:val="20"/>
          <w:color w:val="auto"/>
        </w:rPr>
      </w:pPr>
    </w:p>
    <w:p>
      <w:pPr>
        <w:ind w:left="4"/>
        <w:spacing w:after="0"/>
        <w:rPr>
          <w:sz w:val="20"/>
          <w:szCs w:val="20"/>
          <w:color w:val="auto"/>
        </w:rPr>
      </w:pPr>
      <w:r>
        <w:rPr>
          <w:rFonts w:ascii="Arial" w:cs="Arial" w:eastAsia="Arial" w:hAnsi="Arial"/>
          <w:sz w:val="18"/>
          <w:szCs w:val="18"/>
          <w:color w:val="auto"/>
        </w:rPr>
        <w:t>ITEM 2. PROPERTIES</w:t>
      </w:r>
    </w:p>
    <w:p>
      <w:pPr>
        <w:spacing w:after="0" w:line="244"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auto"/>
        </w:rPr>
        <w:t>ELECTRIC PROPERTIES – SDG&amp;E</w:t>
      </w:r>
    </w:p>
    <w:p>
      <w:pPr>
        <w:spacing w:after="0" w:line="101" w:lineRule="exact"/>
        <w:rPr>
          <w:sz w:val="20"/>
          <w:szCs w:val="20"/>
          <w:color w:val="auto"/>
        </w:rPr>
      </w:pPr>
    </w:p>
    <w:p>
      <w:pPr>
        <w:ind w:left="4"/>
        <w:spacing w:after="0"/>
        <w:rPr>
          <w:sz w:val="20"/>
          <w:szCs w:val="20"/>
          <w:color w:val="auto"/>
        </w:rPr>
      </w:pPr>
      <w:r>
        <w:rPr>
          <w:rFonts w:ascii="Arial" w:cs="Arial" w:eastAsia="Arial" w:hAnsi="Arial"/>
          <w:sz w:val="16"/>
          <w:szCs w:val="16"/>
          <w:color w:val="auto"/>
        </w:rPr>
        <w:t>At December 31, 2008, SDG&amp;E owns two natural gas-fired power plants:</w:t>
      </w:r>
    </w:p>
    <w:p>
      <w:pPr>
        <w:spacing w:after="0" w:line="32" w:lineRule="exact"/>
        <w:rPr>
          <w:sz w:val="20"/>
          <w:szCs w:val="20"/>
          <w:color w:val="auto"/>
        </w:rPr>
      </w:pPr>
    </w:p>
    <w:p>
      <w:pPr>
        <w:ind w:left="144" w:hanging="144"/>
        <w:spacing w:after="0"/>
        <w:tabs>
          <w:tab w:leader="none" w:pos="144" w:val="left"/>
        </w:tabs>
        <w:numPr>
          <w:ilvl w:val="0"/>
          <w:numId w:val="19"/>
        </w:numPr>
        <w:rPr>
          <w:rFonts w:ascii="Arial" w:cs="Arial" w:eastAsia="Arial" w:hAnsi="Arial"/>
          <w:sz w:val="16"/>
          <w:szCs w:val="16"/>
          <w:color w:val="auto"/>
        </w:rPr>
      </w:pPr>
      <w:r>
        <w:rPr>
          <w:rFonts w:ascii="Arial" w:cs="Arial" w:eastAsia="Arial" w:hAnsi="Arial"/>
          <w:sz w:val="16"/>
          <w:szCs w:val="16"/>
          <w:color w:val="auto"/>
        </w:rPr>
        <w:t>a 550-MW electric generation facility (the Palomar generation facility) in Escondido, California, and</w:t>
      </w:r>
    </w:p>
    <w:p>
      <w:pPr>
        <w:spacing w:after="0" w:line="44" w:lineRule="exact"/>
        <w:rPr>
          <w:rFonts w:ascii="Arial" w:cs="Arial" w:eastAsia="Arial" w:hAnsi="Arial"/>
          <w:sz w:val="16"/>
          <w:szCs w:val="16"/>
          <w:color w:val="auto"/>
        </w:rPr>
      </w:pPr>
    </w:p>
    <w:p>
      <w:pPr>
        <w:ind w:left="144" w:hanging="144"/>
        <w:spacing w:after="0"/>
        <w:tabs>
          <w:tab w:leader="none" w:pos="144" w:val="left"/>
        </w:tabs>
        <w:numPr>
          <w:ilvl w:val="0"/>
          <w:numId w:val="19"/>
        </w:numPr>
        <w:rPr>
          <w:rFonts w:ascii="Arial" w:cs="Arial" w:eastAsia="Arial" w:hAnsi="Arial"/>
          <w:sz w:val="16"/>
          <w:szCs w:val="16"/>
          <w:color w:val="auto"/>
        </w:rPr>
      </w:pPr>
      <w:r>
        <w:rPr>
          <w:rFonts w:ascii="Arial" w:cs="Arial" w:eastAsia="Arial" w:hAnsi="Arial"/>
          <w:sz w:val="16"/>
          <w:szCs w:val="16"/>
          <w:color w:val="auto"/>
        </w:rPr>
        <w:t>a 45-MW electric generation facility (the Miramar generation facility) in San Diego, California.</w:t>
      </w:r>
    </w:p>
    <w:p>
      <w:pPr>
        <w:spacing w:after="0" w:line="128" w:lineRule="exact"/>
        <w:rPr>
          <w:sz w:val="20"/>
          <w:szCs w:val="20"/>
          <w:color w:val="auto"/>
        </w:rPr>
      </w:pPr>
    </w:p>
    <w:p>
      <w:pPr>
        <w:ind w:left="4" w:right="340"/>
        <w:spacing w:after="0" w:line="349" w:lineRule="auto"/>
        <w:rPr>
          <w:sz w:val="20"/>
          <w:szCs w:val="20"/>
          <w:color w:val="auto"/>
        </w:rPr>
      </w:pPr>
      <w:r>
        <w:rPr>
          <w:rFonts w:ascii="Arial" w:cs="Arial" w:eastAsia="Arial" w:hAnsi="Arial"/>
          <w:sz w:val="14"/>
          <w:szCs w:val="14"/>
          <w:color w:val="auto"/>
        </w:rPr>
        <w:t>SDG&amp;E has exercised its option to purchase the 480-MW natural gas-fired power plant located in El Dorado, Nevada from Sempra Generation in 2011. In January 2009, the CPUC approved SDG&amp;E's application to construct a 46.5-MW natural gas-fired peaking plant in San Diego next to the Miramar generation facility noted above.</w:t>
      </w:r>
    </w:p>
    <w:p>
      <w:pPr>
        <w:ind w:left="4"/>
        <w:spacing w:after="0"/>
        <w:rPr>
          <w:sz w:val="20"/>
          <w:szCs w:val="20"/>
          <w:color w:val="auto"/>
        </w:rPr>
      </w:pPr>
      <w:r>
        <w:rPr>
          <w:rFonts w:ascii="Arial" w:cs="Arial" w:eastAsia="Arial" w:hAnsi="Arial"/>
          <w:sz w:val="16"/>
          <w:szCs w:val="16"/>
          <w:color w:val="auto"/>
        </w:rPr>
        <w:t>SDG&amp;E's interest in SONGS is described above in "Electric Utility Operations – SONGS."</w:t>
      </w:r>
    </w:p>
    <w:p>
      <w:pPr>
        <w:spacing w:after="0" w:line="80" w:lineRule="exact"/>
        <w:rPr>
          <w:sz w:val="20"/>
          <w:szCs w:val="20"/>
          <w:color w:val="auto"/>
        </w:rPr>
      </w:pPr>
    </w:p>
    <w:p>
      <w:pPr>
        <w:ind w:left="4" w:right="40"/>
        <w:spacing w:after="0" w:line="264" w:lineRule="auto"/>
        <w:rPr>
          <w:sz w:val="20"/>
          <w:szCs w:val="20"/>
          <w:color w:val="auto"/>
        </w:rPr>
      </w:pPr>
      <w:r>
        <w:rPr>
          <w:rFonts w:ascii="Arial" w:cs="Arial" w:eastAsia="Arial" w:hAnsi="Arial"/>
          <w:sz w:val="16"/>
          <w:szCs w:val="16"/>
          <w:color w:val="auto"/>
        </w:rPr>
        <w:t>At December 31, 2008, SDG&amp;E's electric transmission and distribution facilities included substations, and overhead and underground lines. These electric facilities are located in San Diego, Imperial and Orange counties of California and in Arizona. The facilities consist of 1,868 miles of transmission lines and 22,198 miles of distribution lines. Periodically, various areas of the service territory require expansion to accommodate customer growth.</w:t>
      </w:r>
    </w:p>
    <w:p>
      <w:pPr>
        <w:spacing w:after="0" w:line="249"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auto"/>
        </w:rPr>
        <w:t>NATURAL GAS PROPERTIES – SEMPRA UTILITIES</w:t>
      </w:r>
    </w:p>
    <w:p>
      <w:pPr>
        <w:spacing w:after="0" w:line="89" w:lineRule="exact"/>
        <w:rPr>
          <w:sz w:val="20"/>
          <w:szCs w:val="20"/>
          <w:color w:val="auto"/>
        </w:rPr>
      </w:pPr>
    </w:p>
    <w:p>
      <w:pPr>
        <w:ind w:left="4" w:right="180"/>
        <w:spacing w:after="0" w:line="277" w:lineRule="auto"/>
        <w:rPr>
          <w:sz w:val="20"/>
          <w:szCs w:val="20"/>
          <w:color w:val="auto"/>
        </w:rPr>
      </w:pPr>
      <w:r>
        <w:rPr>
          <w:rFonts w:ascii="Arial" w:cs="Arial" w:eastAsia="Arial" w:hAnsi="Arial"/>
          <w:sz w:val="16"/>
          <w:szCs w:val="16"/>
          <w:color w:val="auto"/>
        </w:rPr>
        <w:t>At December 31, 2008, SDG&amp;E's natural gas facilities, which are located in San Diego and Riverside counties of California, consisted of the Moreno and Rainbow compressor stations, 168 miles of transmission pipelines, 8,389 miles of distribution mains, and 6,320 miles of service lines.</w:t>
      </w:r>
    </w:p>
    <w:p>
      <w:pPr>
        <w:spacing w:after="0" w:line="44" w:lineRule="exact"/>
        <w:rPr>
          <w:sz w:val="20"/>
          <w:szCs w:val="20"/>
          <w:color w:val="auto"/>
        </w:rPr>
      </w:pPr>
    </w:p>
    <w:p>
      <w:pPr>
        <w:ind w:left="4"/>
        <w:spacing w:after="0" w:line="264" w:lineRule="auto"/>
        <w:rPr>
          <w:sz w:val="20"/>
          <w:szCs w:val="20"/>
          <w:color w:val="auto"/>
        </w:rPr>
      </w:pPr>
      <w:r>
        <w:rPr>
          <w:rFonts w:ascii="Arial" w:cs="Arial" w:eastAsia="Arial" w:hAnsi="Arial"/>
          <w:sz w:val="16"/>
          <w:szCs w:val="16"/>
          <w:color w:val="auto"/>
        </w:rPr>
        <w:t>At December 31, 2008, SoCalGas’ natural gas facilities included 2,890 miles of transmission and storage pipelines, 53,499 miles of distribution pipelines and 47,190 miles of service pipelines. They also included 11 transmission compressor stations and 4 underground natural gas storage reservoirs with a combined working capacity of 131 billion cubic feet (Bcf).</w:t>
      </w:r>
    </w:p>
    <w:p>
      <w:pPr>
        <w:spacing w:after="0" w:line="200" w:lineRule="exact"/>
        <w:rPr>
          <w:sz w:val="20"/>
          <w:szCs w:val="20"/>
          <w:color w:val="auto"/>
        </w:rPr>
      </w:pPr>
    </w:p>
    <w:p>
      <w:pPr>
        <w:spacing w:after="0" w:line="338" w:lineRule="exact"/>
        <w:rPr>
          <w:sz w:val="20"/>
          <w:szCs w:val="20"/>
          <w:color w:val="auto"/>
        </w:rPr>
      </w:pPr>
    </w:p>
    <w:p>
      <w:pPr>
        <w:ind w:left="4"/>
        <w:spacing w:after="0"/>
        <w:rPr>
          <w:sz w:val="20"/>
          <w:szCs w:val="20"/>
          <w:color w:val="auto"/>
        </w:rPr>
      </w:pPr>
      <w:r>
        <w:rPr>
          <w:rFonts w:ascii="Arial" w:cs="Arial" w:eastAsia="Arial" w:hAnsi="Arial"/>
          <w:sz w:val="14"/>
          <w:szCs w:val="14"/>
          <w:color w:val="auto"/>
        </w:rPr>
        <w:t>25</w:t>
      </w:r>
    </w:p>
    <w:p>
      <w:pPr>
        <w:sectPr>
          <w:pgSz w:w="11900" w:h="16838" w:orient="portrait"/>
          <w:cols w:equalWidth="0" w:num="1">
            <w:col w:w="11424"/>
          </w:cols>
          <w:pgMar w:left="236" w:top="127" w:right="239" w:bottom="1440" w:gutter="0" w:footer="0" w:header="0"/>
        </w:sectPr>
      </w:pPr>
    </w:p>
    <w:bookmarkStart w:id="25" w:name="page26"/>
    <w:bookmarkEnd w:id="25"/>
    <w:p>
      <w:pPr>
        <w:spacing w:after="0"/>
        <w:rPr>
          <w:sz w:val="20"/>
          <w:szCs w:val="20"/>
          <w:color w:val="auto"/>
        </w:rPr>
      </w:pPr>
      <w:r>
        <w:rPr>
          <w:rFonts w:ascii="Arial" w:cs="Arial" w:eastAsia="Arial" w:hAnsi="Arial"/>
          <w:sz w:val="16"/>
          <w:szCs w:val="16"/>
          <w:b w:val="1"/>
          <w:bCs w:val="1"/>
          <w:color w:val="auto"/>
        </w:rPr>
        <w:t>ENERGY PROPERTIES – SEMPRA GLOBAL</w:t>
      </w:r>
    </w:p>
    <w:p>
      <w:pPr>
        <w:spacing w:after="0" w:line="101" w:lineRule="exact"/>
        <w:rPr>
          <w:sz w:val="20"/>
          <w:szCs w:val="20"/>
          <w:color w:val="auto"/>
        </w:rPr>
      </w:pPr>
    </w:p>
    <w:p>
      <w:pPr>
        <w:jc w:val="both"/>
        <w:ind w:right="660"/>
        <w:spacing w:after="0" w:line="264" w:lineRule="auto"/>
        <w:rPr>
          <w:sz w:val="20"/>
          <w:szCs w:val="20"/>
          <w:color w:val="auto"/>
        </w:rPr>
      </w:pPr>
      <w:r>
        <w:rPr>
          <w:rFonts w:ascii="Arial" w:cs="Arial" w:eastAsia="Arial" w:hAnsi="Arial"/>
          <w:sz w:val="16"/>
          <w:szCs w:val="16"/>
          <w:color w:val="auto"/>
        </w:rPr>
        <w:t>At December 31, 2008, Sempra Generation operates power plants in California, Arizona, Nevada and Mexico with a total capacity of 2,640 MW. We provide additional information in "Management’s Discussion and Analysis of Financial Condition and Results of Operations" and in Notes 3 and 4 of the Notes to Consolidated Financial Statements in the Annual Report.</w:t>
      </w:r>
    </w:p>
    <w:p>
      <w:pPr>
        <w:spacing w:after="0" w:line="54" w:lineRule="exact"/>
        <w:rPr>
          <w:sz w:val="20"/>
          <w:szCs w:val="20"/>
          <w:color w:val="auto"/>
        </w:rPr>
      </w:pPr>
    </w:p>
    <w:p>
      <w:pPr>
        <w:spacing w:after="0"/>
        <w:rPr>
          <w:sz w:val="20"/>
          <w:szCs w:val="20"/>
          <w:color w:val="auto"/>
        </w:rPr>
      </w:pPr>
      <w:r>
        <w:rPr>
          <w:rFonts w:ascii="Arial" w:cs="Arial" w:eastAsia="Arial" w:hAnsi="Arial"/>
          <w:sz w:val="16"/>
          <w:szCs w:val="16"/>
          <w:color w:val="auto"/>
        </w:rPr>
        <w:t>Sempra Generation leases or owns property in Arizona, Nevada and Mexico for potential development of solar and wind electric generation facilities.</w:t>
      </w:r>
    </w:p>
    <w:p>
      <w:pPr>
        <w:spacing w:after="0" w:line="80" w:lineRule="exact"/>
        <w:rPr>
          <w:sz w:val="20"/>
          <w:szCs w:val="20"/>
          <w:color w:val="auto"/>
        </w:rPr>
      </w:pPr>
    </w:p>
    <w:p>
      <w:pPr>
        <w:ind w:right="120"/>
        <w:spacing w:after="0" w:line="277" w:lineRule="auto"/>
        <w:rPr>
          <w:sz w:val="20"/>
          <w:szCs w:val="20"/>
          <w:color w:val="auto"/>
        </w:rPr>
      </w:pPr>
      <w:r>
        <w:rPr>
          <w:rFonts w:ascii="Arial" w:cs="Arial" w:eastAsia="Arial" w:hAnsi="Arial"/>
          <w:sz w:val="16"/>
          <w:szCs w:val="16"/>
          <w:color w:val="auto"/>
        </w:rPr>
        <w:t>At December 31, 2008, Sempra Pipelines &amp; Storage's operations in Mexico included 1,837 miles of distribution pipelines, 203 miles of transmission pipelines and 2 compressor stations.</w:t>
      </w:r>
    </w:p>
    <w:p>
      <w:pPr>
        <w:spacing w:after="0" w:line="44" w:lineRule="exact"/>
        <w:rPr>
          <w:sz w:val="20"/>
          <w:szCs w:val="20"/>
          <w:color w:val="auto"/>
        </w:rPr>
      </w:pPr>
    </w:p>
    <w:p>
      <w:pPr>
        <w:ind w:right="80"/>
        <w:spacing w:after="0" w:line="264" w:lineRule="auto"/>
        <w:rPr>
          <w:sz w:val="20"/>
          <w:szCs w:val="20"/>
          <w:color w:val="auto"/>
        </w:rPr>
      </w:pPr>
      <w:r>
        <w:rPr>
          <w:rFonts w:ascii="Arial" w:cs="Arial" w:eastAsia="Arial" w:hAnsi="Arial"/>
          <w:sz w:val="16"/>
          <w:szCs w:val="16"/>
          <w:color w:val="auto"/>
        </w:rPr>
        <w:t>Sempra Pipelines &amp; Storage leases land in Calcasieu Parish, Louisiana, where its Liberty Gas Storage natural gas storage facility is under construction. In 2006, Sempra Pipelines &amp; Storage and Proliance Transportation and Storage, LLC acquired three existing salt caverns representing 10 Bcf to 12 Bcf of potential natural gas storage capacity in Cameron Parish, Louisiana, that is currently being developed into a natural gas storage facility.</w:t>
      </w:r>
    </w:p>
    <w:p>
      <w:pPr>
        <w:spacing w:after="0" w:line="54" w:lineRule="exact"/>
        <w:rPr>
          <w:sz w:val="20"/>
          <w:szCs w:val="20"/>
          <w:color w:val="auto"/>
        </w:rPr>
      </w:pPr>
    </w:p>
    <w:p>
      <w:pPr>
        <w:ind w:right="80"/>
        <w:spacing w:after="0" w:line="277" w:lineRule="auto"/>
        <w:rPr>
          <w:sz w:val="20"/>
          <w:szCs w:val="20"/>
          <w:color w:val="auto"/>
        </w:rPr>
      </w:pPr>
      <w:r>
        <w:rPr>
          <w:rFonts w:ascii="Arial" w:cs="Arial" w:eastAsia="Arial" w:hAnsi="Arial"/>
          <w:sz w:val="16"/>
          <w:szCs w:val="16"/>
          <w:color w:val="auto"/>
        </w:rPr>
        <w:t>Sempra Pipelines &amp; Storage operates Mobile Gas, a small natural gas distribution utility located in Mobile and Baldwin counties in Alabama. Its property consists of distribution mains, service lines and regulating equipment.</w:t>
      </w:r>
    </w:p>
    <w:p>
      <w:pPr>
        <w:spacing w:after="0" w:line="32" w:lineRule="exact"/>
        <w:rPr>
          <w:sz w:val="20"/>
          <w:szCs w:val="20"/>
          <w:color w:val="auto"/>
        </w:rPr>
      </w:pPr>
    </w:p>
    <w:p>
      <w:pPr>
        <w:ind w:right="120"/>
        <w:spacing w:after="0" w:line="277" w:lineRule="auto"/>
        <w:rPr>
          <w:sz w:val="20"/>
          <w:szCs w:val="20"/>
          <w:color w:val="auto"/>
        </w:rPr>
      </w:pPr>
      <w:r>
        <w:rPr>
          <w:rFonts w:ascii="Arial" w:cs="Arial" w:eastAsia="Arial" w:hAnsi="Arial"/>
          <w:sz w:val="16"/>
          <w:szCs w:val="16"/>
          <w:color w:val="auto"/>
        </w:rPr>
        <w:t>In Washington County, Alabama, Sempra Pipelines &amp; Storage operates an 11.4 Bcf natural gas storage facility under a land lease, with plans to expand total working capacity to 27 Bcf, and also owns land in Simpson County, Mississippi, with plans to develop natural gas storage with a working capacity of 30 Bcf.</w:t>
      </w:r>
    </w:p>
    <w:p>
      <w:pPr>
        <w:spacing w:after="0" w:line="44" w:lineRule="exact"/>
        <w:rPr>
          <w:sz w:val="20"/>
          <w:szCs w:val="20"/>
          <w:color w:val="auto"/>
        </w:rPr>
      </w:pPr>
    </w:p>
    <w:p>
      <w:pPr>
        <w:spacing w:after="0" w:line="277" w:lineRule="auto"/>
        <w:rPr>
          <w:sz w:val="20"/>
          <w:szCs w:val="20"/>
          <w:color w:val="auto"/>
        </w:rPr>
      </w:pPr>
      <w:r>
        <w:rPr>
          <w:rFonts w:ascii="Arial" w:cs="Arial" w:eastAsia="Arial" w:hAnsi="Arial"/>
          <w:sz w:val="16"/>
          <w:szCs w:val="16"/>
          <w:color w:val="auto"/>
        </w:rPr>
        <w:t>Sempra LNG operates an LNG receipt terminal on land it owns in Baja California, Mexico and has a land lease in Hackberry, Louisiana, where its Cameron LNG receipt terminal is under construction. Sempra LNG also owns land in Port Arthur, Texas, for potential development.</w:t>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OTHER PROPERTIES</w:t>
      </w:r>
    </w:p>
    <w:p>
      <w:pPr>
        <w:spacing w:after="0" w:line="101" w:lineRule="exact"/>
        <w:rPr>
          <w:sz w:val="20"/>
          <w:szCs w:val="20"/>
          <w:color w:val="auto"/>
        </w:rPr>
      </w:pPr>
    </w:p>
    <w:p>
      <w:pPr>
        <w:ind w:right="240"/>
        <w:spacing w:after="0" w:line="277" w:lineRule="auto"/>
        <w:rPr>
          <w:sz w:val="20"/>
          <w:szCs w:val="20"/>
          <w:color w:val="auto"/>
        </w:rPr>
      </w:pPr>
      <w:r>
        <w:rPr>
          <w:rFonts w:ascii="Arial" w:cs="Arial" w:eastAsia="Arial" w:hAnsi="Arial"/>
          <w:sz w:val="16"/>
          <w:szCs w:val="16"/>
          <w:color w:val="auto"/>
        </w:rPr>
        <w:t>Sempra Energy occupies its 19-story corporate headquarters building in San Diego, California, pursuant to an operating lease that expires in 2015. The lease has two five-year renewal options.</w:t>
      </w:r>
    </w:p>
    <w:p>
      <w:pPr>
        <w:spacing w:after="0" w:line="44" w:lineRule="exact"/>
        <w:rPr>
          <w:sz w:val="20"/>
          <w:szCs w:val="20"/>
          <w:color w:val="auto"/>
        </w:rPr>
      </w:pPr>
    </w:p>
    <w:p>
      <w:pPr>
        <w:ind w:right="220"/>
        <w:spacing w:after="0" w:line="277" w:lineRule="auto"/>
        <w:rPr>
          <w:sz w:val="20"/>
          <w:szCs w:val="20"/>
          <w:color w:val="auto"/>
        </w:rPr>
      </w:pPr>
      <w:r>
        <w:rPr>
          <w:rFonts w:ascii="Arial" w:cs="Arial" w:eastAsia="Arial" w:hAnsi="Arial"/>
          <w:sz w:val="16"/>
          <w:szCs w:val="16"/>
          <w:color w:val="auto"/>
        </w:rPr>
        <w:t>SoCalGas leases approximately half of a 52-story office building in downtown Los Angeles, California, pursuant to an operating lease expiring in 2011. The lease has six five-year renewal options.</w:t>
      </w:r>
    </w:p>
    <w:p>
      <w:pPr>
        <w:spacing w:after="0" w:line="32" w:lineRule="exact"/>
        <w:rPr>
          <w:sz w:val="20"/>
          <w:szCs w:val="20"/>
          <w:color w:val="auto"/>
        </w:rPr>
      </w:pPr>
    </w:p>
    <w:p>
      <w:pPr>
        <w:ind w:right="320"/>
        <w:spacing w:after="0" w:line="277" w:lineRule="auto"/>
        <w:rPr>
          <w:sz w:val="20"/>
          <w:szCs w:val="20"/>
          <w:color w:val="auto"/>
        </w:rPr>
      </w:pPr>
      <w:r>
        <w:rPr>
          <w:rFonts w:ascii="Arial" w:cs="Arial" w:eastAsia="Arial" w:hAnsi="Arial"/>
          <w:sz w:val="16"/>
          <w:szCs w:val="16"/>
          <w:color w:val="auto"/>
        </w:rPr>
        <w:t>SDG&amp;E occupies a six-building office complex in San Diego pursuant to two separate operating leases, both ending in December 2017. One lease has four five-year renewal options and the other lease has three five-year renewal options.</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Sempra Global leases office facilities at various locations in the U.S. and Mexico with the leases ending from 2008 to 2035.</w:t>
      </w:r>
    </w:p>
    <w:p>
      <w:pPr>
        <w:spacing w:after="0" w:line="92" w:lineRule="exact"/>
        <w:rPr>
          <w:sz w:val="20"/>
          <w:szCs w:val="20"/>
          <w:color w:val="auto"/>
        </w:rPr>
      </w:pPr>
    </w:p>
    <w:p>
      <w:pPr>
        <w:ind w:right="200"/>
        <w:spacing w:after="0" w:line="277" w:lineRule="auto"/>
        <w:rPr>
          <w:sz w:val="20"/>
          <w:szCs w:val="20"/>
          <w:color w:val="auto"/>
        </w:rPr>
      </w:pPr>
      <w:r>
        <w:rPr>
          <w:rFonts w:ascii="Arial" w:cs="Arial" w:eastAsia="Arial" w:hAnsi="Arial"/>
          <w:sz w:val="16"/>
          <w:szCs w:val="16"/>
          <w:color w:val="auto"/>
        </w:rPr>
        <w:t>Sempra Energy, SDG&amp;E and SoCalGas own or lease other land, easements, rights of way, warehouses, offices, operating and maintenance centers, shops, service facilities and equipment necessary in the conduct of their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203835</wp:posOffset>
            </wp:positionV>
            <wp:extent cx="7261860" cy="76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pacing w:after="0" w:line="357" w:lineRule="exact"/>
        <w:rPr>
          <w:sz w:val="20"/>
          <w:szCs w:val="20"/>
          <w:color w:val="auto"/>
        </w:rPr>
      </w:pPr>
    </w:p>
    <w:p>
      <w:pPr>
        <w:spacing w:after="0"/>
        <w:rPr>
          <w:sz w:val="20"/>
          <w:szCs w:val="20"/>
          <w:color w:val="auto"/>
        </w:rPr>
      </w:pPr>
      <w:r>
        <w:rPr>
          <w:rFonts w:ascii="Arial" w:cs="Arial" w:eastAsia="Arial" w:hAnsi="Arial"/>
          <w:sz w:val="18"/>
          <w:szCs w:val="18"/>
          <w:color w:val="auto"/>
        </w:rPr>
        <w:t>ITEM 3. LEGAL PROCEEDINGS</w:t>
      </w:r>
    </w:p>
    <w:p>
      <w:pPr>
        <w:spacing w:after="0" w:line="60" w:lineRule="exact"/>
        <w:rPr>
          <w:sz w:val="20"/>
          <w:szCs w:val="20"/>
          <w:color w:val="auto"/>
        </w:rPr>
      </w:pPr>
    </w:p>
    <w:p>
      <w:pPr>
        <w:ind w:right="180"/>
        <w:spacing w:after="0" w:line="264" w:lineRule="auto"/>
        <w:rPr>
          <w:sz w:val="20"/>
          <w:szCs w:val="20"/>
          <w:color w:val="auto"/>
        </w:rPr>
      </w:pPr>
      <w:r>
        <w:rPr>
          <w:rFonts w:ascii="Arial" w:cs="Arial" w:eastAsia="Arial" w:hAnsi="Arial"/>
          <w:sz w:val="16"/>
          <w:szCs w:val="16"/>
          <w:color w:val="auto"/>
        </w:rPr>
        <w:t>We are not party to, and our property is not the subject of, any material pending legal proceedings (other than ordinary routine litigation incidental to our businesses) except for the matters 1) described in Notes 14, 15 and 16 of the Notes to Consolidated Financial Statements, or 2) referred to in "Management's Discussion and Analysis of Financial Condition and Results of Operations" in the Annual Report.</w:t>
      </w:r>
    </w:p>
    <w:p>
      <w:pPr>
        <w:spacing w:after="0" w:line="54" w:lineRule="exact"/>
        <w:rPr>
          <w:sz w:val="20"/>
          <w:szCs w:val="20"/>
          <w:color w:val="auto"/>
        </w:rPr>
      </w:pPr>
    </w:p>
    <w:p>
      <w:pPr>
        <w:ind w:right="140"/>
        <w:spacing w:after="0" w:line="351" w:lineRule="auto"/>
        <w:rPr>
          <w:sz w:val="20"/>
          <w:szCs w:val="20"/>
          <w:color w:val="auto"/>
        </w:rPr>
      </w:pPr>
      <w:r>
        <w:rPr>
          <w:rFonts w:ascii="Arial" w:cs="Arial" w:eastAsia="Arial" w:hAnsi="Arial"/>
          <w:sz w:val="14"/>
          <w:szCs w:val="14"/>
          <w:color w:val="auto"/>
        </w:rPr>
        <w:t>The Los Angeles Regional Water Quality Control Board has asserted that SoCalGas violated the California Water Code in connection with certain maintenance activities in Los Angeles County's Sullivan Canyon. In June 2008, the board dismissed without prejudice a related lawsuit to provide an opportunity for the parties to resolve this matter</w:t>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4"/>
          <w:szCs w:val="14"/>
          <w:color w:val="auto"/>
        </w:rPr>
        <w:t>26</w:t>
      </w:r>
    </w:p>
    <w:p>
      <w:pPr>
        <w:sectPr>
          <w:pgSz w:w="11900" w:h="16838" w:orient="portrait"/>
          <w:cols w:equalWidth="0" w:num="1">
            <w:col w:w="11420"/>
          </w:cols>
          <w:pgMar w:left="240" w:top="395" w:right="239" w:bottom="1440" w:gutter="0" w:footer="0" w:header="0"/>
        </w:sectPr>
      </w:pPr>
    </w:p>
    <w:bookmarkStart w:id="26" w:name="page27"/>
    <w:bookmarkEnd w:id="26"/>
    <w:p>
      <w:pPr>
        <w:spacing w:after="0"/>
        <w:rPr>
          <w:sz w:val="20"/>
          <w:szCs w:val="20"/>
          <w:color w:val="auto"/>
        </w:rPr>
      </w:pPr>
      <w:r>
        <w:rPr>
          <w:rFonts w:ascii="Arial" w:cs="Arial" w:eastAsia="Arial" w:hAnsi="Arial"/>
          <w:sz w:val="16"/>
          <w:szCs w:val="16"/>
          <w:color w:val="auto"/>
        </w:rPr>
        <w:t>without litigation. SoCalGas believes that any resolution will impose upon it fines and penalties of no more than $525,000.</w:t>
      </w:r>
    </w:p>
    <w:p>
      <w:pPr>
        <w:spacing w:after="0" w:line="92" w:lineRule="exact"/>
        <w:rPr>
          <w:sz w:val="20"/>
          <w:szCs w:val="20"/>
          <w:color w:val="auto"/>
        </w:rPr>
      </w:pPr>
    </w:p>
    <w:p>
      <w:pPr>
        <w:spacing w:after="0" w:line="319" w:lineRule="auto"/>
        <w:rPr>
          <w:sz w:val="20"/>
          <w:szCs w:val="20"/>
          <w:color w:val="auto"/>
        </w:rPr>
      </w:pPr>
      <w:r>
        <w:rPr>
          <w:rFonts w:ascii="Arial" w:cs="Arial" w:eastAsia="Arial" w:hAnsi="Arial"/>
          <w:sz w:val="14"/>
          <w:szCs w:val="14"/>
          <w:color w:val="auto"/>
        </w:rPr>
        <w:t>On July 13, 2007, SDG&amp;E, one of its employees, and an SDG&amp;E contractor were convicted in a federal jury trial on criminal charges of environmental violations in connection with the 2000 – 2001 dismantlement of a natural gas storage facility. SDG&amp;E was also convicted of a related charge of making a false statement to a governmental agency. On December 7, 2007, the trial court set aside all of the convictions and granted all of the defendants a new trial on all counts. The government has appealed the trial court's decision.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187960</wp:posOffset>
            </wp:positionV>
            <wp:extent cx="7261860" cy="76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color w:val="auto"/>
        </w:rPr>
        <w:t>ITEM 4. SUBMISSION OF MATTERS TO A VOTE OF SECURITY HOLDERS</w:t>
      </w:r>
    </w:p>
    <w:p>
      <w:pPr>
        <w:spacing w:after="0" w:line="60" w:lineRule="exact"/>
        <w:rPr>
          <w:sz w:val="20"/>
          <w:szCs w:val="20"/>
          <w:color w:val="auto"/>
        </w:rPr>
      </w:pPr>
    </w:p>
    <w:p>
      <w:pPr>
        <w:spacing w:after="0"/>
        <w:rPr>
          <w:sz w:val="20"/>
          <w:szCs w:val="20"/>
          <w:color w:val="auto"/>
        </w:rPr>
      </w:pPr>
      <w:r>
        <w:rPr>
          <w:rFonts w:ascii="Arial" w:cs="Arial" w:eastAsia="Arial" w:hAnsi="Arial"/>
          <w:sz w:val="16"/>
          <w:szCs w:val="16"/>
          <w:color w:val="auto"/>
        </w:rPr>
        <w:t>None.</w:t>
      </w: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4"/>
          <w:szCs w:val="14"/>
          <w:color w:val="auto"/>
        </w:rPr>
        <w:t>27</w:t>
      </w:r>
    </w:p>
    <w:p>
      <w:pPr>
        <w:sectPr>
          <w:pgSz w:w="11900" w:h="16838" w:orient="portrait"/>
          <w:cols w:equalWidth="0" w:num="1">
            <w:col w:w="11400"/>
          </w:cols>
          <w:pgMar w:left="240" w:top="127" w:right="259" w:bottom="1440" w:gutter="0" w:footer="0" w:header="0"/>
        </w:sectPr>
      </w:pPr>
    </w:p>
    <w:bookmarkStart w:id="27" w:name="page28"/>
    <w:bookmarkEnd w:id="27"/>
    <w:p>
      <w:pPr>
        <w:spacing w:after="0"/>
        <w:rPr>
          <w:sz w:val="20"/>
          <w:szCs w:val="20"/>
          <w:color w:val="auto"/>
        </w:rPr>
      </w:pPr>
      <w:r>
        <w:rPr>
          <w:rFonts w:ascii="Arial" w:cs="Arial" w:eastAsia="Arial" w:hAnsi="Arial"/>
          <w:sz w:val="21"/>
          <w:szCs w:val="21"/>
          <w:color w:val="auto"/>
        </w:rPr>
        <w:t>PART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263525</wp:posOffset>
            </wp:positionV>
            <wp:extent cx="7261860" cy="76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ind w:right="240"/>
        <w:spacing w:after="0" w:line="233" w:lineRule="auto"/>
        <w:rPr>
          <w:sz w:val="20"/>
          <w:szCs w:val="20"/>
          <w:color w:val="auto"/>
        </w:rPr>
      </w:pPr>
      <w:r>
        <w:rPr>
          <w:rFonts w:ascii="Arial" w:cs="Arial" w:eastAsia="Arial" w:hAnsi="Arial"/>
          <w:sz w:val="18"/>
          <w:szCs w:val="18"/>
          <w:color w:val="auto"/>
        </w:rPr>
        <w:t>ITEM 5. MARKET FOR REGISTRANT'S COMMON EQUITY, RELATED STOCKHOLDER MATTERS AND ISSUER PURCHASES OF EQUITY SECURITIES</w:t>
      </w:r>
    </w:p>
    <w:p>
      <w:pPr>
        <w:spacing w:after="0" w:line="24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COMMON STOCK AND RELATED SHAREHOLDER MATTERS</w:t>
      </w:r>
    </w:p>
    <w:p>
      <w:pPr>
        <w:spacing w:after="0" w:line="101" w:lineRule="exact"/>
        <w:rPr>
          <w:sz w:val="20"/>
          <w:szCs w:val="20"/>
          <w:color w:val="auto"/>
        </w:rPr>
      </w:pPr>
    </w:p>
    <w:p>
      <w:pPr>
        <w:spacing w:after="0"/>
        <w:rPr>
          <w:sz w:val="20"/>
          <w:szCs w:val="20"/>
          <w:color w:val="auto"/>
        </w:rPr>
      </w:pPr>
      <w:r>
        <w:rPr>
          <w:rFonts w:ascii="Arial" w:cs="Arial" w:eastAsia="Arial" w:hAnsi="Arial"/>
          <w:sz w:val="16"/>
          <w:szCs w:val="16"/>
          <w:color w:val="auto"/>
        </w:rPr>
        <w:t>The common stock, related shareholder, and dividend restriction information required by Item 5 is included in "Common Stock Data" in the Annual Report.</w:t>
      </w:r>
    </w:p>
    <w:p>
      <w:pPr>
        <w:spacing w:after="0" w:line="27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PERFORMANCE GRAPH -- COMPARATIVE TOTAL SHAREHOLDER RETURNS</w:t>
      </w:r>
    </w:p>
    <w:p>
      <w:pPr>
        <w:spacing w:after="0" w:line="101" w:lineRule="exact"/>
        <w:rPr>
          <w:sz w:val="20"/>
          <w:szCs w:val="20"/>
          <w:color w:val="auto"/>
        </w:rPr>
      </w:pPr>
    </w:p>
    <w:p>
      <w:pPr>
        <w:spacing w:after="0"/>
        <w:rPr>
          <w:sz w:val="20"/>
          <w:szCs w:val="20"/>
          <w:color w:val="auto"/>
        </w:rPr>
      </w:pPr>
      <w:r>
        <w:rPr>
          <w:rFonts w:ascii="Arial" w:cs="Arial" w:eastAsia="Arial" w:hAnsi="Arial"/>
          <w:sz w:val="16"/>
          <w:szCs w:val="16"/>
          <w:color w:val="auto"/>
        </w:rPr>
        <w:t>The performance graph required by Item 5 is provided in "Performance Graph – Comparative Total Shareholder Returns" in the Annual Report.</w:t>
      </w:r>
    </w:p>
    <w:p>
      <w:pPr>
        <w:spacing w:after="0" w:line="27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SEMPRA ENERGY EQUITY COMPENSATION PLANS</w:t>
      </w:r>
    </w:p>
    <w:p>
      <w:pPr>
        <w:spacing w:after="0" w:line="101" w:lineRule="exact"/>
        <w:rPr>
          <w:sz w:val="20"/>
          <w:szCs w:val="20"/>
          <w:color w:val="auto"/>
        </w:rPr>
      </w:pPr>
    </w:p>
    <w:p>
      <w:pPr>
        <w:ind w:right="200"/>
        <w:spacing w:after="0" w:line="289" w:lineRule="auto"/>
        <w:rPr>
          <w:sz w:val="20"/>
          <w:szCs w:val="20"/>
          <w:color w:val="auto"/>
        </w:rPr>
      </w:pPr>
      <w:r>
        <w:rPr>
          <w:rFonts w:ascii="Arial" w:cs="Arial" w:eastAsia="Arial" w:hAnsi="Arial"/>
          <w:sz w:val="15"/>
          <w:szCs w:val="15"/>
          <w:color w:val="auto"/>
        </w:rPr>
        <w:t>In May 2008, Sempra Energy's 2008 Long Term Incentive Plan was approved by shareholders and replaced our 1998 Long Term Incentive Plan and our Employee Stock Incentive Plan. These plans permit the grant of a wide variety of equity and equity-based incentive awards to officers and key employees. The 2008 Long Term Incentive Plan also replaced our Non-Employee Directors Stock Plan and provides for automatic annual grants of stock options to non-employee directors.</w:t>
      </w:r>
    </w:p>
    <w:p>
      <w:pPr>
        <w:spacing w:after="0" w:line="26" w:lineRule="exact"/>
        <w:rPr>
          <w:sz w:val="20"/>
          <w:szCs w:val="20"/>
          <w:color w:val="auto"/>
        </w:rPr>
      </w:pPr>
    </w:p>
    <w:p>
      <w:pPr>
        <w:spacing w:after="0" w:line="278" w:lineRule="auto"/>
        <w:rPr>
          <w:sz w:val="20"/>
          <w:szCs w:val="20"/>
          <w:color w:val="auto"/>
        </w:rPr>
      </w:pPr>
      <w:r>
        <w:rPr>
          <w:rFonts w:ascii="Arial" w:cs="Arial" w:eastAsia="Arial" w:hAnsi="Arial"/>
          <w:sz w:val="15"/>
          <w:szCs w:val="15"/>
          <w:color w:val="auto"/>
        </w:rPr>
        <w:t>The Sempra Energy 2008 Long Term Incentive Plan for EnergySouth, Inc. Employees and Other Eligible Individuals ("the Plan") authorizes the issuance of up to 302,478 shares of Sempra Energy common stock. In connection with our acquisition of EnergySouth in October 2008, we adopted the Plan to utilize the shares remaining available for future awards under the 2008 Incentive Plan of EnergySouth, Inc. (the "Prior Plan"). All awards outstanding under the Prior Plan at the time of the acquisition were cancelled and the holders were paid the merger consideration in accordance with the terms of the merger agreement. The Plan provides for the grant of substantially the same types of share-based awards (other than incentive stock options) that are available under the Sempra Energy 2008 Long Term Incentive Plan.</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At December 31, 2008, outstanding awards consisted of stock options, restricted stock, and restricted stock units held by 326 employees.</w:t>
      </w: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4"/>
          <w:szCs w:val="14"/>
          <w:color w:val="auto"/>
        </w:rPr>
        <w:t>28</w:t>
      </w:r>
    </w:p>
    <w:p>
      <w:pPr>
        <w:sectPr>
          <w:pgSz w:w="11900" w:h="16838" w:orient="portrait"/>
          <w:cols w:equalWidth="0" w:num="1">
            <w:col w:w="11360"/>
          </w:cols>
          <w:pgMar w:left="240" w:top="143" w:right="299" w:bottom="1440" w:gutter="0" w:footer="0" w:header="0"/>
        </w:sectPr>
      </w:pPr>
    </w:p>
    <w:bookmarkStart w:id="28" w:name="page29"/>
    <w:bookmarkEnd w:id="28"/>
    <w:p>
      <w:pPr>
        <w:spacing w:after="0"/>
        <w:rPr>
          <w:sz w:val="20"/>
          <w:szCs w:val="20"/>
          <w:color w:val="auto"/>
        </w:rPr>
      </w:pPr>
      <w:r>
        <w:rPr>
          <w:rFonts w:ascii="Arial" w:cs="Arial" w:eastAsia="Arial" w:hAnsi="Arial"/>
          <w:sz w:val="16"/>
          <w:szCs w:val="16"/>
          <w:color w:val="auto"/>
        </w:rPr>
        <w:t>The following table sets forth information regarding our equity compensation plans at December 31, 2008.</w:t>
      </w:r>
    </w:p>
    <w:p>
      <w:pPr>
        <w:spacing w:after="0" w:line="200" w:lineRule="exact"/>
        <w:rPr>
          <w:sz w:val="20"/>
          <w:szCs w:val="20"/>
          <w:color w:val="auto"/>
        </w:rPr>
      </w:pPr>
    </w:p>
    <w:p>
      <w:pPr>
        <w:spacing w:after="0" w:line="209" w:lineRule="exact"/>
        <w:rPr>
          <w:sz w:val="20"/>
          <w:szCs w:val="20"/>
          <w:color w:val="auto"/>
        </w:rPr>
      </w:pPr>
    </w:p>
    <w:tbl>
      <w:tblPr>
        <w:tblLayout w:type="fixed"/>
        <w:tblInd w:w="2420" w:type="dxa"/>
        <w:tblCellMar>
          <w:top w:w="0" w:type="dxa"/>
          <w:left w:w="0" w:type="dxa"/>
          <w:bottom w:w="0" w:type="dxa"/>
          <w:right w:w="0" w:type="dxa"/>
        </w:tblCellMar>
      </w:tblPr>
      <w:tr>
        <w:trPr>
          <w:trHeight w:val="154"/>
        </w:trPr>
        <w:tc>
          <w:tcPr>
            <w:tcW w:w="1680" w:type="dxa"/>
            <w:vAlign w:val="bottom"/>
          </w:tcPr>
          <w:p>
            <w:pPr>
              <w:spacing w:after="0"/>
              <w:rPr>
                <w:sz w:val="13"/>
                <w:szCs w:val="13"/>
                <w:color w:val="auto"/>
              </w:rPr>
            </w:pPr>
          </w:p>
        </w:tc>
        <w:tc>
          <w:tcPr>
            <w:tcW w:w="1740" w:type="dxa"/>
            <w:vAlign w:val="bottom"/>
          </w:tcPr>
          <w:p>
            <w:pPr>
              <w:jc w:val="right"/>
              <w:ind w:right="133"/>
              <w:spacing w:after="0"/>
              <w:rPr>
                <w:sz w:val="20"/>
                <w:szCs w:val="20"/>
                <w:color w:val="auto"/>
              </w:rPr>
            </w:pPr>
            <w:r>
              <w:rPr>
                <w:rFonts w:ascii="Arial" w:cs="Arial" w:eastAsia="Arial" w:hAnsi="Arial"/>
                <w:sz w:val="13"/>
                <w:szCs w:val="13"/>
                <w:color w:val="auto"/>
              </w:rPr>
              <w:t>Number of shares to</w:t>
            </w:r>
          </w:p>
        </w:tc>
        <w:tc>
          <w:tcPr>
            <w:tcW w:w="8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156"/>
        </w:trPr>
        <w:tc>
          <w:tcPr>
            <w:tcW w:w="1680" w:type="dxa"/>
            <w:vAlign w:val="bottom"/>
          </w:tcPr>
          <w:p>
            <w:pPr>
              <w:spacing w:after="0"/>
              <w:rPr>
                <w:sz w:val="13"/>
                <w:szCs w:val="13"/>
                <w:color w:val="auto"/>
              </w:rPr>
            </w:pPr>
          </w:p>
        </w:tc>
        <w:tc>
          <w:tcPr>
            <w:tcW w:w="1740" w:type="dxa"/>
            <w:vAlign w:val="bottom"/>
          </w:tcPr>
          <w:p>
            <w:pPr>
              <w:jc w:val="right"/>
              <w:ind w:right="133"/>
              <w:spacing w:after="0"/>
              <w:rPr>
                <w:sz w:val="20"/>
                <w:szCs w:val="20"/>
                <w:color w:val="auto"/>
              </w:rPr>
            </w:pPr>
            <w:r>
              <w:rPr>
                <w:rFonts w:ascii="Arial" w:cs="Arial" w:eastAsia="Arial" w:hAnsi="Arial"/>
                <w:sz w:val="13"/>
                <w:szCs w:val="13"/>
                <w:color w:val="auto"/>
              </w:rPr>
              <w:t>be issued upon</w:t>
            </w:r>
          </w:p>
        </w:tc>
        <w:tc>
          <w:tcPr>
            <w:tcW w:w="8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0" w:type="dxa"/>
            <w:vAlign w:val="bottom"/>
          </w:tcPr>
          <w:p>
            <w:pPr>
              <w:jc w:val="right"/>
              <w:ind w:right="273"/>
              <w:spacing w:after="0"/>
              <w:rPr>
                <w:sz w:val="20"/>
                <w:szCs w:val="20"/>
                <w:color w:val="auto"/>
              </w:rPr>
            </w:pPr>
            <w:r>
              <w:rPr>
                <w:rFonts w:ascii="Arial" w:cs="Arial" w:eastAsia="Arial" w:hAnsi="Arial"/>
                <w:sz w:val="13"/>
                <w:szCs w:val="13"/>
                <w:color w:val="auto"/>
              </w:rPr>
              <w:t>Number of</w:t>
            </w:r>
          </w:p>
        </w:tc>
      </w:tr>
      <w:tr>
        <w:trPr>
          <w:trHeight w:val="156"/>
        </w:trPr>
        <w:tc>
          <w:tcPr>
            <w:tcW w:w="1680" w:type="dxa"/>
            <w:vAlign w:val="bottom"/>
          </w:tcPr>
          <w:p>
            <w:pPr>
              <w:spacing w:after="0"/>
              <w:rPr>
                <w:sz w:val="13"/>
                <w:szCs w:val="13"/>
                <w:color w:val="auto"/>
              </w:rPr>
            </w:pPr>
          </w:p>
        </w:tc>
        <w:tc>
          <w:tcPr>
            <w:tcW w:w="1740" w:type="dxa"/>
            <w:vAlign w:val="bottom"/>
          </w:tcPr>
          <w:p>
            <w:pPr>
              <w:jc w:val="right"/>
              <w:ind w:right="133"/>
              <w:spacing w:after="0"/>
              <w:rPr>
                <w:sz w:val="20"/>
                <w:szCs w:val="20"/>
                <w:color w:val="auto"/>
              </w:rPr>
            </w:pPr>
            <w:r>
              <w:rPr>
                <w:rFonts w:ascii="Arial" w:cs="Arial" w:eastAsia="Arial" w:hAnsi="Arial"/>
                <w:sz w:val="13"/>
                <w:szCs w:val="13"/>
                <w:color w:val="auto"/>
              </w:rPr>
              <w:t>exercise of</w:t>
            </w:r>
          </w:p>
        </w:tc>
        <w:tc>
          <w:tcPr>
            <w:tcW w:w="1560" w:type="dxa"/>
            <w:vAlign w:val="bottom"/>
            <w:gridSpan w:val="2"/>
          </w:tcPr>
          <w:p>
            <w:pPr>
              <w:jc w:val="right"/>
              <w:ind w:right="148"/>
              <w:spacing w:after="0"/>
              <w:rPr>
                <w:sz w:val="20"/>
                <w:szCs w:val="20"/>
                <w:color w:val="auto"/>
              </w:rPr>
            </w:pPr>
            <w:r>
              <w:rPr>
                <w:rFonts w:ascii="Arial" w:cs="Arial" w:eastAsia="Arial" w:hAnsi="Arial"/>
                <w:sz w:val="13"/>
                <w:szCs w:val="13"/>
                <w:color w:val="auto"/>
              </w:rPr>
              <w:t>Weighted-average</w:t>
            </w:r>
          </w:p>
        </w:tc>
        <w:tc>
          <w:tcPr>
            <w:tcW w:w="1600" w:type="dxa"/>
            <w:vAlign w:val="bottom"/>
          </w:tcPr>
          <w:p>
            <w:pPr>
              <w:jc w:val="right"/>
              <w:ind w:right="273"/>
              <w:spacing w:after="0"/>
              <w:rPr>
                <w:sz w:val="20"/>
                <w:szCs w:val="20"/>
                <w:color w:val="auto"/>
              </w:rPr>
            </w:pPr>
            <w:r>
              <w:rPr>
                <w:rFonts w:ascii="Arial" w:cs="Arial" w:eastAsia="Arial" w:hAnsi="Arial"/>
                <w:sz w:val="13"/>
                <w:szCs w:val="13"/>
                <w:color w:val="auto"/>
              </w:rPr>
              <w:t>additional</w:t>
            </w:r>
          </w:p>
        </w:tc>
      </w:tr>
      <w:tr>
        <w:trPr>
          <w:trHeight w:val="156"/>
        </w:trPr>
        <w:tc>
          <w:tcPr>
            <w:tcW w:w="1680" w:type="dxa"/>
            <w:vAlign w:val="bottom"/>
          </w:tcPr>
          <w:p>
            <w:pPr>
              <w:spacing w:after="0"/>
              <w:rPr>
                <w:sz w:val="13"/>
                <w:szCs w:val="13"/>
                <w:color w:val="auto"/>
              </w:rPr>
            </w:pPr>
          </w:p>
        </w:tc>
        <w:tc>
          <w:tcPr>
            <w:tcW w:w="1740" w:type="dxa"/>
            <w:vAlign w:val="bottom"/>
          </w:tcPr>
          <w:p>
            <w:pPr>
              <w:jc w:val="right"/>
              <w:ind w:right="133"/>
              <w:spacing w:after="0"/>
              <w:rPr>
                <w:sz w:val="20"/>
                <w:szCs w:val="20"/>
                <w:color w:val="auto"/>
              </w:rPr>
            </w:pPr>
            <w:r>
              <w:rPr>
                <w:rFonts w:ascii="Arial" w:cs="Arial" w:eastAsia="Arial" w:hAnsi="Arial"/>
                <w:sz w:val="13"/>
                <w:szCs w:val="13"/>
                <w:color w:val="auto"/>
              </w:rPr>
              <w:t>outstanding</w:t>
            </w:r>
          </w:p>
        </w:tc>
        <w:tc>
          <w:tcPr>
            <w:tcW w:w="1560" w:type="dxa"/>
            <w:vAlign w:val="bottom"/>
            <w:gridSpan w:val="2"/>
          </w:tcPr>
          <w:p>
            <w:pPr>
              <w:jc w:val="right"/>
              <w:ind w:right="148"/>
              <w:spacing w:after="0"/>
              <w:rPr>
                <w:sz w:val="20"/>
                <w:szCs w:val="20"/>
                <w:color w:val="auto"/>
              </w:rPr>
            </w:pPr>
            <w:r>
              <w:rPr>
                <w:rFonts w:ascii="Arial" w:cs="Arial" w:eastAsia="Arial" w:hAnsi="Arial"/>
                <w:sz w:val="13"/>
                <w:szCs w:val="13"/>
                <w:color w:val="auto"/>
              </w:rPr>
              <w:t>exercise price of</w:t>
            </w:r>
          </w:p>
        </w:tc>
        <w:tc>
          <w:tcPr>
            <w:tcW w:w="1600" w:type="dxa"/>
            <w:vAlign w:val="bottom"/>
          </w:tcPr>
          <w:p>
            <w:pPr>
              <w:jc w:val="right"/>
              <w:ind w:right="273"/>
              <w:spacing w:after="0"/>
              <w:rPr>
                <w:sz w:val="20"/>
                <w:szCs w:val="20"/>
                <w:color w:val="auto"/>
              </w:rPr>
            </w:pPr>
            <w:r>
              <w:rPr>
                <w:rFonts w:ascii="Arial" w:cs="Arial" w:eastAsia="Arial" w:hAnsi="Arial"/>
                <w:sz w:val="13"/>
                <w:szCs w:val="13"/>
                <w:color w:val="auto"/>
              </w:rPr>
              <w:t>shares remaining</w:t>
            </w:r>
          </w:p>
        </w:tc>
      </w:tr>
      <w:tr>
        <w:trPr>
          <w:trHeight w:val="156"/>
        </w:trPr>
        <w:tc>
          <w:tcPr>
            <w:tcW w:w="1680" w:type="dxa"/>
            <w:vAlign w:val="bottom"/>
          </w:tcPr>
          <w:p>
            <w:pPr>
              <w:spacing w:after="0"/>
              <w:rPr>
                <w:sz w:val="13"/>
                <w:szCs w:val="13"/>
                <w:color w:val="auto"/>
              </w:rPr>
            </w:pPr>
          </w:p>
        </w:tc>
        <w:tc>
          <w:tcPr>
            <w:tcW w:w="1740" w:type="dxa"/>
            <w:vAlign w:val="bottom"/>
          </w:tcPr>
          <w:p>
            <w:pPr>
              <w:jc w:val="right"/>
              <w:ind w:right="133"/>
              <w:spacing w:after="0"/>
              <w:rPr>
                <w:sz w:val="20"/>
                <w:szCs w:val="20"/>
                <w:color w:val="auto"/>
              </w:rPr>
            </w:pPr>
            <w:r>
              <w:rPr>
                <w:rFonts w:ascii="Arial" w:cs="Arial" w:eastAsia="Arial" w:hAnsi="Arial"/>
                <w:sz w:val="13"/>
                <w:szCs w:val="13"/>
                <w:color w:val="auto"/>
              </w:rPr>
              <w:t>options, warrants</w:t>
            </w:r>
          </w:p>
        </w:tc>
        <w:tc>
          <w:tcPr>
            <w:tcW w:w="1560" w:type="dxa"/>
            <w:vAlign w:val="bottom"/>
            <w:gridSpan w:val="2"/>
          </w:tcPr>
          <w:p>
            <w:pPr>
              <w:jc w:val="right"/>
              <w:ind w:right="148"/>
              <w:spacing w:after="0"/>
              <w:rPr>
                <w:sz w:val="20"/>
                <w:szCs w:val="20"/>
                <w:color w:val="auto"/>
              </w:rPr>
            </w:pPr>
            <w:r>
              <w:rPr>
                <w:rFonts w:ascii="Arial" w:cs="Arial" w:eastAsia="Arial" w:hAnsi="Arial"/>
                <w:sz w:val="13"/>
                <w:szCs w:val="13"/>
                <w:color w:val="auto"/>
              </w:rPr>
              <w:t>outstanding options,</w:t>
            </w:r>
          </w:p>
        </w:tc>
        <w:tc>
          <w:tcPr>
            <w:tcW w:w="1600" w:type="dxa"/>
            <w:vAlign w:val="bottom"/>
          </w:tcPr>
          <w:p>
            <w:pPr>
              <w:jc w:val="right"/>
              <w:ind w:right="273"/>
              <w:spacing w:after="0"/>
              <w:rPr>
                <w:sz w:val="20"/>
                <w:szCs w:val="20"/>
                <w:color w:val="auto"/>
              </w:rPr>
            </w:pPr>
            <w:r>
              <w:rPr>
                <w:rFonts w:ascii="Arial" w:cs="Arial" w:eastAsia="Arial" w:hAnsi="Arial"/>
                <w:sz w:val="13"/>
                <w:szCs w:val="13"/>
                <w:color w:val="auto"/>
              </w:rPr>
              <w:t>available for future</w:t>
            </w:r>
          </w:p>
        </w:tc>
      </w:tr>
      <w:tr>
        <w:trPr>
          <w:trHeight w:val="161"/>
        </w:trPr>
        <w:tc>
          <w:tcPr>
            <w:tcW w:w="168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tcPr>
          <w:p>
            <w:pPr>
              <w:jc w:val="right"/>
              <w:ind w:right="133"/>
              <w:spacing w:after="0"/>
              <w:rPr>
                <w:sz w:val="20"/>
                <w:szCs w:val="20"/>
                <w:color w:val="auto"/>
              </w:rPr>
            </w:pPr>
            <w:r>
              <w:rPr>
                <w:rFonts w:ascii="Arial" w:cs="Arial" w:eastAsia="Arial" w:hAnsi="Arial"/>
                <w:sz w:val="13"/>
                <w:szCs w:val="13"/>
                <w:color w:val="auto"/>
              </w:rPr>
              <w:t>and rights (A)</w:t>
            </w:r>
          </w:p>
        </w:tc>
        <w:tc>
          <w:tcPr>
            <w:tcW w:w="1560" w:type="dxa"/>
            <w:vAlign w:val="bottom"/>
            <w:tcBorders>
              <w:bottom w:val="single" w:sz="8" w:color="auto"/>
            </w:tcBorders>
            <w:gridSpan w:val="2"/>
          </w:tcPr>
          <w:p>
            <w:pPr>
              <w:jc w:val="right"/>
              <w:ind w:right="148"/>
              <w:spacing w:after="0"/>
              <w:rPr>
                <w:sz w:val="20"/>
                <w:szCs w:val="20"/>
                <w:color w:val="auto"/>
              </w:rPr>
            </w:pPr>
            <w:r>
              <w:rPr>
                <w:rFonts w:ascii="Arial" w:cs="Arial" w:eastAsia="Arial" w:hAnsi="Arial"/>
                <w:sz w:val="13"/>
                <w:szCs w:val="13"/>
                <w:color w:val="auto"/>
              </w:rPr>
              <w:t>warrants and rights</w:t>
            </w:r>
          </w:p>
        </w:tc>
        <w:tc>
          <w:tcPr>
            <w:tcW w:w="1600" w:type="dxa"/>
            <w:vAlign w:val="bottom"/>
            <w:tcBorders>
              <w:bottom w:val="single" w:sz="8" w:color="auto"/>
            </w:tcBorders>
          </w:tcPr>
          <w:p>
            <w:pPr>
              <w:jc w:val="right"/>
              <w:ind w:right="273"/>
              <w:spacing w:after="0"/>
              <w:rPr>
                <w:sz w:val="20"/>
                <w:szCs w:val="20"/>
                <w:color w:val="auto"/>
              </w:rPr>
            </w:pPr>
            <w:r>
              <w:rPr>
                <w:rFonts w:ascii="Arial" w:cs="Arial" w:eastAsia="Arial" w:hAnsi="Arial"/>
                <w:sz w:val="13"/>
                <w:szCs w:val="13"/>
                <w:color w:val="auto"/>
              </w:rPr>
              <w:t>issuance</w:t>
            </w:r>
          </w:p>
        </w:tc>
      </w:tr>
      <w:tr>
        <w:trPr>
          <w:trHeight w:val="395"/>
        </w:trPr>
        <w:tc>
          <w:tcPr>
            <w:tcW w:w="1680" w:type="dxa"/>
            <w:vAlign w:val="bottom"/>
          </w:tcPr>
          <w:p>
            <w:pPr>
              <w:ind w:left="20"/>
              <w:spacing w:after="0"/>
              <w:rPr>
                <w:sz w:val="20"/>
                <w:szCs w:val="20"/>
                <w:color w:val="auto"/>
              </w:rPr>
            </w:pPr>
            <w:r>
              <w:rPr>
                <w:rFonts w:ascii="Arial" w:cs="Arial" w:eastAsia="Arial" w:hAnsi="Arial"/>
                <w:sz w:val="14"/>
                <w:szCs w:val="14"/>
                <w:color w:val="auto"/>
              </w:rPr>
              <w:t>Equity compensation</w:t>
            </w:r>
          </w:p>
        </w:tc>
        <w:tc>
          <w:tcPr>
            <w:tcW w:w="17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168"/>
        </w:trPr>
        <w:tc>
          <w:tcPr>
            <w:tcW w:w="1680" w:type="dxa"/>
            <w:vAlign w:val="bottom"/>
          </w:tcPr>
          <w:p>
            <w:pPr>
              <w:ind w:left="120"/>
              <w:spacing w:after="0"/>
              <w:rPr>
                <w:sz w:val="20"/>
                <w:szCs w:val="20"/>
                <w:color w:val="auto"/>
              </w:rPr>
            </w:pPr>
            <w:r>
              <w:rPr>
                <w:rFonts w:ascii="Arial" w:cs="Arial" w:eastAsia="Arial" w:hAnsi="Arial"/>
                <w:sz w:val="14"/>
                <w:szCs w:val="14"/>
                <w:color w:val="auto"/>
              </w:rPr>
              <w:t>plans approved by</w:t>
            </w:r>
          </w:p>
        </w:tc>
        <w:tc>
          <w:tcPr>
            <w:tcW w:w="17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172"/>
        </w:trPr>
        <w:tc>
          <w:tcPr>
            <w:tcW w:w="1680" w:type="dxa"/>
            <w:vAlign w:val="bottom"/>
          </w:tcPr>
          <w:p>
            <w:pPr>
              <w:ind w:left="120"/>
              <w:spacing w:after="0"/>
              <w:rPr>
                <w:sz w:val="20"/>
                <w:szCs w:val="20"/>
                <w:color w:val="auto"/>
              </w:rPr>
            </w:pPr>
            <w:r>
              <w:rPr>
                <w:rFonts w:ascii="Arial" w:cs="Arial" w:eastAsia="Arial" w:hAnsi="Arial"/>
                <w:sz w:val="14"/>
                <w:szCs w:val="14"/>
                <w:color w:val="auto"/>
              </w:rPr>
              <w:t>shareholders:</w:t>
            </w:r>
          </w:p>
        </w:tc>
        <w:tc>
          <w:tcPr>
            <w:tcW w:w="17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188"/>
        </w:trPr>
        <w:tc>
          <w:tcPr>
            <w:tcW w:w="1680" w:type="dxa"/>
            <w:vAlign w:val="bottom"/>
          </w:tcPr>
          <w:p>
            <w:pPr>
              <w:ind w:left="240"/>
              <w:spacing w:after="0"/>
              <w:rPr>
                <w:sz w:val="20"/>
                <w:szCs w:val="20"/>
                <w:color w:val="auto"/>
              </w:rPr>
            </w:pPr>
            <w:r>
              <w:rPr>
                <w:rFonts w:ascii="Arial" w:cs="Arial" w:eastAsia="Arial" w:hAnsi="Arial"/>
                <w:sz w:val="14"/>
                <w:szCs w:val="14"/>
                <w:color w:val="auto"/>
              </w:rPr>
              <w:t>2008 Long Term</w:t>
            </w:r>
          </w:p>
        </w:tc>
        <w:tc>
          <w:tcPr>
            <w:tcW w:w="17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0" w:type="dxa"/>
            <w:vAlign w:val="bottom"/>
          </w:tcPr>
          <w:p>
            <w:pPr>
              <w:spacing w:after="0"/>
              <w:rPr>
                <w:sz w:val="16"/>
                <w:szCs w:val="16"/>
                <w:color w:val="auto"/>
              </w:rPr>
            </w:pPr>
          </w:p>
        </w:tc>
      </w:tr>
      <w:tr>
        <w:trPr>
          <w:trHeight w:val="172"/>
        </w:trPr>
        <w:tc>
          <w:tcPr>
            <w:tcW w:w="1680" w:type="dxa"/>
            <w:vAlign w:val="bottom"/>
          </w:tcPr>
          <w:p>
            <w:pPr>
              <w:ind w:left="360"/>
              <w:spacing w:after="0"/>
              <w:rPr>
                <w:sz w:val="20"/>
                <w:szCs w:val="20"/>
                <w:color w:val="auto"/>
              </w:rPr>
            </w:pPr>
            <w:r>
              <w:rPr>
                <w:rFonts w:ascii="Arial" w:cs="Arial" w:eastAsia="Arial" w:hAnsi="Arial"/>
                <w:sz w:val="14"/>
                <w:szCs w:val="14"/>
                <w:color w:val="auto"/>
              </w:rPr>
              <w:t>Incentive Plan</w:t>
            </w:r>
          </w:p>
        </w:tc>
        <w:tc>
          <w:tcPr>
            <w:tcW w:w="1740" w:type="dxa"/>
            <w:vAlign w:val="bottom"/>
          </w:tcPr>
          <w:p>
            <w:pPr>
              <w:jc w:val="right"/>
              <w:ind w:right="133"/>
              <w:spacing w:after="0"/>
              <w:rPr>
                <w:sz w:val="20"/>
                <w:szCs w:val="20"/>
                <w:color w:val="auto"/>
              </w:rPr>
            </w:pPr>
            <w:r>
              <w:rPr>
                <w:rFonts w:ascii="Arial" w:cs="Arial" w:eastAsia="Arial" w:hAnsi="Arial"/>
                <w:sz w:val="14"/>
                <w:szCs w:val="14"/>
                <w:color w:val="auto"/>
              </w:rPr>
              <w:t>6,852,256</w:t>
            </w:r>
          </w:p>
        </w:tc>
        <w:tc>
          <w:tcPr>
            <w:tcW w:w="820" w:type="dxa"/>
            <w:vAlign w:val="bottom"/>
          </w:tcPr>
          <w:p>
            <w:pPr>
              <w:jc w:val="right"/>
              <w:ind w:right="113"/>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148"/>
              <w:spacing w:after="0"/>
              <w:rPr>
                <w:sz w:val="20"/>
                <w:szCs w:val="20"/>
                <w:color w:val="auto"/>
              </w:rPr>
            </w:pPr>
            <w:r>
              <w:rPr>
                <w:rFonts w:ascii="Arial" w:cs="Arial" w:eastAsia="Arial" w:hAnsi="Arial"/>
                <w:sz w:val="14"/>
                <w:szCs w:val="14"/>
                <w:color w:val="auto"/>
              </w:rPr>
              <w:t>36.42</w:t>
            </w:r>
          </w:p>
        </w:tc>
        <w:tc>
          <w:tcPr>
            <w:tcW w:w="1600" w:type="dxa"/>
            <w:vAlign w:val="bottom"/>
          </w:tcPr>
          <w:p>
            <w:pPr>
              <w:jc w:val="right"/>
              <w:ind w:right="53"/>
              <w:spacing w:after="0"/>
              <w:rPr>
                <w:sz w:val="20"/>
                <w:szCs w:val="20"/>
                <w:color w:val="auto"/>
              </w:rPr>
            </w:pPr>
            <w:r>
              <w:rPr>
                <w:rFonts w:ascii="Arial" w:cs="Arial" w:eastAsia="Arial" w:hAnsi="Arial"/>
                <w:sz w:val="14"/>
                <w:szCs w:val="14"/>
                <w:color w:val="auto"/>
              </w:rPr>
              <w:t>6,993,761 (B)</w:t>
            </w:r>
          </w:p>
        </w:tc>
      </w:tr>
      <w:tr>
        <w:trPr>
          <w:trHeight w:val="404"/>
        </w:trPr>
        <w:tc>
          <w:tcPr>
            <w:tcW w:w="1680" w:type="dxa"/>
            <w:vAlign w:val="bottom"/>
          </w:tcPr>
          <w:p>
            <w:pPr>
              <w:ind w:left="60"/>
              <w:spacing w:after="0"/>
              <w:rPr>
                <w:sz w:val="20"/>
                <w:szCs w:val="20"/>
                <w:color w:val="auto"/>
              </w:rPr>
            </w:pPr>
            <w:r>
              <w:rPr>
                <w:rFonts w:ascii="Arial" w:cs="Arial" w:eastAsia="Arial" w:hAnsi="Arial"/>
                <w:sz w:val="14"/>
                <w:szCs w:val="14"/>
                <w:color w:val="auto"/>
              </w:rPr>
              <w:t>Equity compensation</w:t>
            </w:r>
          </w:p>
        </w:tc>
        <w:tc>
          <w:tcPr>
            <w:tcW w:w="17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168"/>
        </w:trPr>
        <w:tc>
          <w:tcPr>
            <w:tcW w:w="1680" w:type="dxa"/>
            <w:vAlign w:val="bottom"/>
          </w:tcPr>
          <w:p>
            <w:pPr>
              <w:ind w:left="120"/>
              <w:spacing w:after="0"/>
              <w:rPr>
                <w:sz w:val="20"/>
                <w:szCs w:val="20"/>
                <w:color w:val="auto"/>
              </w:rPr>
            </w:pPr>
            <w:r>
              <w:rPr>
                <w:rFonts w:ascii="Arial" w:cs="Arial" w:eastAsia="Arial" w:hAnsi="Arial"/>
                <w:sz w:val="14"/>
                <w:szCs w:val="14"/>
                <w:color w:val="auto"/>
              </w:rPr>
              <w:t>plans not approved by</w:t>
            </w:r>
          </w:p>
        </w:tc>
        <w:tc>
          <w:tcPr>
            <w:tcW w:w="17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172"/>
        </w:trPr>
        <w:tc>
          <w:tcPr>
            <w:tcW w:w="1680" w:type="dxa"/>
            <w:vAlign w:val="bottom"/>
          </w:tcPr>
          <w:p>
            <w:pPr>
              <w:ind w:left="120"/>
              <w:spacing w:after="0"/>
              <w:rPr>
                <w:sz w:val="20"/>
                <w:szCs w:val="20"/>
                <w:color w:val="auto"/>
              </w:rPr>
            </w:pPr>
            <w:r>
              <w:rPr>
                <w:rFonts w:ascii="Arial" w:cs="Arial" w:eastAsia="Arial" w:hAnsi="Arial"/>
                <w:sz w:val="14"/>
                <w:szCs w:val="14"/>
                <w:color w:val="auto"/>
              </w:rPr>
              <w:t>shareholders:</w:t>
            </w:r>
          </w:p>
        </w:tc>
        <w:tc>
          <w:tcPr>
            <w:tcW w:w="17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188"/>
        </w:trPr>
        <w:tc>
          <w:tcPr>
            <w:tcW w:w="1680" w:type="dxa"/>
            <w:vAlign w:val="bottom"/>
          </w:tcPr>
          <w:p>
            <w:pPr>
              <w:ind w:left="240"/>
              <w:spacing w:after="0"/>
              <w:rPr>
                <w:sz w:val="20"/>
                <w:szCs w:val="20"/>
                <w:color w:val="auto"/>
              </w:rPr>
            </w:pPr>
            <w:r>
              <w:rPr>
                <w:rFonts w:ascii="Arial" w:cs="Arial" w:eastAsia="Arial" w:hAnsi="Arial"/>
                <w:sz w:val="14"/>
                <w:szCs w:val="14"/>
                <w:color w:val="auto"/>
              </w:rPr>
              <w:t>2008 Long Term</w:t>
            </w:r>
          </w:p>
        </w:tc>
        <w:tc>
          <w:tcPr>
            <w:tcW w:w="17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0" w:type="dxa"/>
            <w:vAlign w:val="bottom"/>
          </w:tcPr>
          <w:p>
            <w:pPr>
              <w:spacing w:after="0"/>
              <w:rPr>
                <w:sz w:val="16"/>
                <w:szCs w:val="16"/>
                <w:color w:val="auto"/>
              </w:rPr>
            </w:pPr>
          </w:p>
        </w:tc>
      </w:tr>
      <w:tr>
        <w:trPr>
          <w:trHeight w:val="168"/>
        </w:trPr>
        <w:tc>
          <w:tcPr>
            <w:tcW w:w="1680" w:type="dxa"/>
            <w:vAlign w:val="bottom"/>
          </w:tcPr>
          <w:p>
            <w:pPr>
              <w:ind w:left="360"/>
              <w:spacing w:after="0"/>
              <w:rPr>
                <w:sz w:val="20"/>
                <w:szCs w:val="20"/>
                <w:color w:val="auto"/>
              </w:rPr>
            </w:pPr>
            <w:r>
              <w:rPr>
                <w:rFonts w:ascii="Arial" w:cs="Arial" w:eastAsia="Arial" w:hAnsi="Arial"/>
                <w:sz w:val="14"/>
                <w:szCs w:val="14"/>
                <w:color w:val="auto"/>
              </w:rPr>
              <w:t>Incentive Plan for</w:t>
            </w:r>
          </w:p>
        </w:tc>
        <w:tc>
          <w:tcPr>
            <w:tcW w:w="17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168"/>
        </w:trPr>
        <w:tc>
          <w:tcPr>
            <w:tcW w:w="1680" w:type="dxa"/>
            <w:vAlign w:val="bottom"/>
          </w:tcPr>
          <w:p>
            <w:pPr>
              <w:ind w:left="360"/>
              <w:spacing w:after="0"/>
              <w:rPr>
                <w:sz w:val="20"/>
                <w:szCs w:val="20"/>
                <w:color w:val="auto"/>
              </w:rPr>
            </w:pPr>
            <w:r>
              <w:rPr>
                <w:rFonts w:ascii="Arial" w:cs="Arial" w:eastAsia="Arial" w:hAnsi="Arial"/>
                <w:sz w:val="14"/>
                <w:szCs w:val="14"/>
                <w:color w:val="auto"/>
              </w:rPr>
              <w:t>EnergySouth, Inc.</w:t>
            </w:r>
          </w:p>
        </w:tc>
        <w:tc>
          <w:tcPr>
            <w:tcW w:w="17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168"/>
        </w:trPr>
        <w:tc>
          <w:tcPr>
            <w:tcW w:w="1680" w:type="dxa"/>
            <w:vAlign w:val="bottom"/>
          </w:tcPr>
          <w:p>
            <w:pPr>
              <w:ind w:left="360"/>
              <w:spacing w:after="0"/>
              <w:rPr>
                <w:sz w:val="20"/>
                <w:szCs w:val="20"/>
                <w:color w:val="auto"/>
              </w:rPr>
            </w:pPr>
            <w:r>
              <w:rPr>
                <w:rFonts w:ascii="Arial" w:cs="Arial" w:eastAsia="Arial" w:hAnsi="Arial"/>
                <w:sz w:val="14"/>
                <w:szCs w:val="14"/>
                <w:color w:val="auto"/>
              </w:rPr>
              <w:t>Employees and</w:t>
            </w:r>
          </w:p>
        </w:tc>
        <w:tc>
          <w:tcPr>
            <w:tcW w:w="17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168"/>
        </w:trPr>
        <w:tc>
          <w:tcPr>
            <w:tcW w:w="1680" w:type="dxa"/>
            <w:vAlign w:val="bottom"/>
          </w:tcPr>
          <w:p>
            <w:pPr>
              <w:ind w:left="360"/>
              <w:spacing w:after="0"/>
              <w:rPr>
                <w:sz w:val="20"/>
                <w:szCs w:val="20"/>
                <w:color w:val="auto"/>
              </w:rPr>
            </w:pPr>
            <w:r>
              <w:rPr>
                <w:rFonts w:ascii="Arial" w:cs="Arial" w:eastAsia="Arial" w:hAnsi="Arial"/>
                <w:sz w:val="14"/>
                <w:szCs w:val="14"/>
                <w:color w:val="auto"/>
              </w:rPr>
              <w:t>Other Eligible</w:t>
            </w:r>
          </w:p>
        </w:tc>
        <w:tc>
          <w:tcPr>
            <w:tcW w:w="17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172"/>
        </w:trPr>
        <w:tc>
          <w:tcPr>
            <w:tcW w:w="1680" w:type="dxa"/>
            <w:vAlign w:val="bottom"/>
          </w:tcPr>
          <w:p>
            <w:pPr>
              <w:ind w:left="360"/>
              <w:spacing w:after="0"/>
              <w:rPr>
                <w:sz w:val="20"/>
                <w:szCs w:val="20"/>
                <w:color w:val="auto"/>
              </w:rPr>
            </w:pPr>
            <w:r>
              <w:rPr>
                <w:rFonts w:ascii="Arial" w:cs="Arial" w:eastAsia="Arial" w:hAnsi="Arial"/>
                <w:sz w:val="14"/>
                <w:szCs w:val="14"/>
                <w:color w:val="auto"/>
              </w:rPr>
              <w:t>Individuals (C)</w:t>
            </w:r>
          </w:p>
        </w:tc>
        <w:tc>
          <w:tcPr>
            <w:tcW w:w="1740" w:type="dxa"/>
            <w:vAlign w:val="bottom"/>
          </w:tcPr>
          <w:p>
            <w:pPr>
              <w:jc w:val="right"/>
              <w:ind w:right="133"/>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113"/>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600" w:type="dxa"/>
            <w:vAlign w:val="bottom"/>
          </w:tcPr>
          <w:p>
            <w:pPr>
              <w:jc w:val="right"/>
              <w:ind w:right="53"/>
              <w:spacing w:after="0"/>
              <w:rPr>
                <w:sz w:val="20"/>
                <w:szCs w:val="20"/>
                <w:color w:val="auto"/>
              </w:rPr>
            </w:pPr>
            <w:r>
              <w:rPr>
                <w:rFonts w:ascii="Arial" w:cs="Arial" w:eastAsia="Arial" w:hAnsi="Arial"/>
                <w:sz w:val="14"/>
                <w:szCs w:val="14"/>
                <w:color w:val="auto"/>
              </w:rPr>
              <w:t>302,478 (D)</w:t>
            </w:r>
          </w:p>
        </w:tc>
      </w:tr>
      <w:tr>
        <w:trPr>
          <w:trHeight w:val="222"/>
        </w:trPr>
        <w:tc>
          <w:tcPr>
            <w:tcW w:w="1680" w:type="dxa"/>
            <w:vAlign w:val="bottom"/>
          </w:tcPr>
          <w:p>
            <w:pPr>
              <w:spacing w:after="0"/>
              <w:rPr>
                <w:sz w:val="19"/>
                <w:szCs w:val="19"/>
                <w:color w:val="auto"/>
              </w:rPr>
            </w:pPr>
          </w:p>
        </w:tc>
        <w:tc>
          <w:tcPr>
            <w:tcW w:w="17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spacing w:after="0"/>
              <w:rPr>
                <w:sz w:val="19"/>
                <w:szCs w:val="19"/>
                <w:color w:val="auto"/>
              </w:rPr>
            </w:pPr>
          </w:p>
        </w:tc>
      </w:tr>
      <w:tr>
        <w:trPr>
          <w:trHeight w:val="178"/>
        </w:trPr>
        <w:tc>
          <w:tcPr>
            <w:tcW w:w="1680" w:type="dxa"/>
            <w:vAlign w:val="bottom"/>
          </w:tcPr>
          <w:p>
            <w:pPr>
              <w:ind w:left="20"/>
              <w:spacing w:after="0"/>
              <w:rPr>
                <w:sz w:val="20"/>
                <w:szCs w:val="20"/>
                <w:color w:val="auto"/>
              </w:rPr>
            </w:pPr>
            <w:r>
              <w:rPr>
                <w:rFonts w:ascii="Arial" w:cs="Arial" w:eastAsia="Arial" w:hAnsi="Arial"/>
                <w:sz w:val="14"/>
                <w:szCs w:val="14"/>
                <w:color w:val="auto"/>
              </w:rPr>
              <w:t>Total</w:t>
            </w:r>
          </w:p>
        </w:tc>
        <w:tc>
          <w:tcPr>
            <w:tcW w:w="1740" w:type="dxa"/>
            <w:vAlign w:val="bottom"/>
          </w:tcPr>
          <w:p>
            <w:pPr>
              <w:jc w:val="right"/>
              <w:ind w:right="133"/>
              <w:spacing w:after="0"/>
              <w:rPr>
                <w:sz w:val="20"/>
                <w:szCs w:val="20"/>
                <w:color w:val="auto"/>
              </w:rPr>
            </w:pPr>
            <w:r>
              <w:rPr>
                <w:rFonts w:ascii="Arial" w:cs="Arial" w:eastAsia="Arial" w:hAnsi="Arial"/>
                <w:sz w:val="14"/>
                <w:szCs w:val="14"/>
                <w:color w:val="auto"/>
              </w:rPr>
              <w:t>6,852,256</w:t>
            </w:r>
          </w:p>
        </w:tc>
        <w:tc>
          <w:tcPr>
            <w:tcW w:w="820" w:type="dxa"/>
            <w:vAlign w:val="bottom"/>
          </w:tcPr>
          <w:p>
            <w:pPr>
              <w:jc w:val="right"/>
              <w:ind w:right="113"/>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148"/>
              <w:spacing w:after="0"/>
              <w:rPr>
                <w:sz w:val="20"/>
                <w:szCs w:val="20"/>
                <w:color w:val="auto"/>
              </w:rPr>
            </w:pPr>
            <w:r>
              <w:rPr>
                <w:rFonts w:ascii="Arial" w:cs="Arial" w:eastAsia="Arial" w:hAnsi="Arial"/>
                <w:sz w:val="14"/>
                <w:szCs w:val="14"/>
                <w:color w:val="auto"/>
              </w:rPr>
              <w:t>36.42</w:t>
            </w:r>
          </w:p>
        </w:tc>
        <w:tc>
          <w:tcPr>
            <w:tcW w:w="1600" w:type="dxa"/>
            <w:vAlign w:val="bottom"/>
          </w:tcPr>
          <w:p>
            <w:pPr>
              <w:jc w:val="right"/>
              <w:ind w:right="273"/>
              <w:spacing w:after="0"/>
              <w:rPr>
                <w:sz w:val="20"/>
                <w:szCs w:val="20"/>
                <w:color w:val="auto"/>
              </w:rPr>
            </w:pPr>
            <w:r>
              <w:rPr>
                <w:rFonts w:ascii="Arial" w:cs="Arial" w:eastAsia="Arial" w:hAnsi="Arial"/>
                <w:sz w:val="14"/>
                <w:szCs w:val="14"/>
                <w:color w:val="auto"/>
              </w:rPr>
              <w:t>7,296,239</w:t>
            </w:r>
          </w:p>
        </w:tc>
      </w:tr>
      <w:tr>
        <w:trPr>
          <w:trHeight w:val="46"/>
        </w:trPr>
        <w:tc>
          <w:tcPr>
            <w:tcW w:w="1680" w:type="dxa"/>
            <w:vAlign w:val="bottom"/>
            <w:tcBorders>
              <w:bottom w:val="single" w:sz="8" w:color="auto"/>
            </w:tcBorders>
          </w:tcPr>
          <w:p>
            <w:pPr>
              <w:spacing w:after="0"/>
              <w:rPr>
                <w:sz w:val="4"/>
                <w:szCs w:val="4"/>
                <w:color w:val="auto"/>
              </w:rPr>
            </w:pPr>
          </w:p>
        </w:tc>
        <w:tc>
          <w:tcPr>
            <w:tcW w:w="174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600" w:type="dxa"/>
            <w:vAlign w:val="bottom"/>
            <w:tcBorders>
              <w:bottom w:val="single" w:sz="8" w:color="auto"/>
            </w:tcBorders>
          </w:tcPr>
          <w:p>
            <w:pPr>
              <w:spacing w:after="0"/>
              <w:rPr>
                <w:sz w:val="4"/>
                <w:szCs w:val="4"/>
                <w:color w:val="auto"/>
              </w:rPr>
            </w:pPr>
          </w:p>
        </w:tc>
      </w:tr>
    </w:tbl>
    <w:p>
      <w:pPr>
        <w:spacing w:after="0" w:line="28" w:lineRule="exact"/>
        <w:rPr>
          <w:sz w:val="20"/>
          <w:szCs w:val="20"/>
          <w:color w:val="auto"/>
        </w:rPr>
      </w:pPr>
    </w:p>
    <w:p>
      <w:pPr>
        <w:ind w:left="2700" w:right="1399" w:hanging="265"/>
        <w:spacing w:after="0" w:line="277" w:lineRule="auto"/>
        <w:tabs>
          <w:tab w:leader="none" w:pos="2700" w:val="left"/>
        </w:tabs>
        <w:numPr>
          <w:ilvl w:val="0"/>
          <w:numId w:val="20"/>
        </w:numPr>
        <w:rPr>
          <w:rFonts w:ascii="Arial" w:cs="Arial" w:eastAsia="Arial" w:hAnsi="Arial"/>
          <w:sz w:val="13"/>
          <w:szCs w:val="13"/>
          <w:i w:val="1"/>
          <w:iCs w:val="1"/>
          <w:color w:val="auto"/>
        </w:rPr>
      </w:pPr>
      <w:r>
        <w:rPr>
          <w:rFonts w:ascii="Arial" w:cs="Arial" w:eastAsia="Arial" w:hAnsi="Arial"/>
          <w:sz w:val="13"/>
          <w:szCs w:val="13"/>
          <w:i w:val="1"/>
          <w:iCs w:val="1"/>
          <w:color w:val="auto"/>
        </w:rPr>
        <w:t>Consists solely of options to purchase shares of our common stock, all of which were granted at an exercise price of 100% of the grant date fair market value of the shares subject to the option.</w:t>
      </w:r>
    </w:p>
    <w:p>
      <w:pPr>
        <w:spacing w:after="0" w:line="15" w:lineRule="exact"/>
        <w:rPr>
          <w:rFonts w:ascii="Arial" w:cs="Arial" w:eastAsia="Arial" w:hAnsi="Arial"/>
          <w:sz w:val="13"/>
          <w:szCs w:val="13"/>
          <w:i w:val="1"/>
          <w:iCs w:val="1"/>
          <w:color w:val="auto"/>
        </w:rPr>
      </w:pPr>
    </w:p>
    <w:p>
      <w:pPr>
        <w:ind w:left="2700" w:right="1319" w:hanging="265"/>
        <w:spacing w:after="0" w:line="259" w:lineRule="auto"/>
        <w:tabs>
          <w:tab w:leader="none" w:pos="2700" w:val="left"/>
        </w:tabs>
        <w:numPr>
          <w:ilvl w:val="0"/>
          <w:numId w:val="20"/>
        </w:numPr>
        <w:rPr>
          <w:rFonts w:ascii="Arial" w:cs="Arial" w:eastAsia="Arial" w:hAnsi="Arial"/>
          <w:sz w:val="13"/>
          <w:szCs w:val="13"/>
          <w:i w:val="1"/>
          <w:iCs w:val="1"/>
          <w:color w:val="auto"/>
        </w:rPr>
      </w:pPr>
      <w:r>
        <w:rPr>
          <w:rFonts w:ascii="Arial" w:cs="Arial" w:eastAsia="Arial" w:hAnsi="Arial"/>
          <w:sz w:val="13"/>
          <w:szCs w:val="13"/>
          <w:i w:val="1"/>
          <w:iCs w:val="1"/>
          <w:color w:val="auto"/>
        </w:rPr>
        <w:t>The number of shares available for future issuance is increased by the number of shares withheld to satisfy related tax withholding obligations relating to stock option and other plan awards and by the number of shares subject to awards that lapse, expire or are otherwise terminated or are settled other than by the issuance of shares.</w:t>
      </w:r>
    </w:p>
    <w:p>
      <w:pPr>
        <w:spacing w:after="0" w:line="27" w:lineRule="exact"/>
        <w:rPr>
          <w:rFonts w:ascii="Arial" w:cs="Arial" w:eastAsia="Arial" w:hAnsi="Arial"/>
          <w:sz w:val="13"/>
          <w:szCs w:val="13"/>
          <w:i w:val="1"/>
          <w:iCs w:val="1"/>
          <w:color w:val="auto"/>
        </w:rPr>
      </w:pPr>
    </w:p>
    <w:p>
      <w:pPr>
        <w:jc w:val="both"/>
        <w:ind w:left="2700" w:right="1739" w:hanging="265"/>
        <w:spacing w:after="0" w:line="263" w:lineRule="auto"/>
        <w:tabs>
          <w:tab w:leader="none" w:pos="2700" w:val="left"/>
        </w:tabs>
        <w:numPr>
          <w:ilvl w:val="0"/>
          <w:numId w:val="20"/>
        </w:numPr>
        <w:rPr>
          <w:rFonts w:ascii="Arial" w:cs="Arial" w:eastAsia="Arial" w:hAnsi="Arial"/>
          <w:sz w:val="13"/>
          <w:szCs w:val="13"/>
          <w:i w:val="1"/>
          <w:iCs w:val="1"/>
          <w:color w:val="auto"/>
        </w:rPr>
      </w:pPr>
      <w:r>
        <w:rPr>
          <w:rFonts w:ascii="Arial" w:cs="Arial" w:eastAsia="Arial" w:hAnsi="Arial"/>
          <w:sz w:val="13"/>
          <w:szCs w:val="13"/>
          <w:i w:val="1"/>
          <w:iCs w:val="1"/>
          <w:color w:val="auto"/>
        </w:rPr>
        <w:t>Adopted in connection with our acquisition of EnergySouth in October 2008 to utilize shares remaining available under the 2008 Incentive Plan of EnergySouth, Inc., which had been previously approved by EnergySouth shareholders.</w:t>
      </w:r>
    </w:p>
    <w:p>
      <w:pPr>
        <w:spacing w:after="0" w:line="25" w:lineRule="exact"/>
        <w:rPr>
          <w:rFonts w:ascii="Arial" w:cs="Arial" w:eastAsia="Arial" w:hAnsi="Arial"/>
          <w:sz w:val="13"/>
          <w:szCs w:val="13"/>
          <w:i w:val="1"/>
          <w:iCs w:val="1"/>
          <w:color w:val="auto"/>
        </w:rPr>
      </w:pPr>
    </w:p>
    <w:p>
      <w:pPr>
        <w:ind w:left="2700" w:right="1479" w:hanging="265"/>
        <w:spacing w:after="0" w:line="277" w:lineRule="auto"/>
        <w:tabs>
          <w:tab w:leader="none" w:pos="2700" w:val="left"/>
        </w:tabs>
        <w:numPr>
          <w:ilvl w:val="0"/>
          <w:numId w:val="20"/>
        </w:numPr>
        <w:rPr>
          <w:rFonts w:ascii="Arial" w:cs="Arial" w:eastAsia="Arial" w:hAnsi="Arial"/>
          <w:sz w:val="13"/>
          <w:szCs w:val="13"/>
          <w:i w:val="1"/>
          <w:iCs w:val="1"/>
          <w:color w:val="auto"/>
        </w:rPr>
      </w:pPr>
      <w:r>
        <w:rPr>
          <w:rFonts w:ascii="Arial" w:cs="Arial" w:eastAsia="Arial" w:hAnsi="Arial"/>
          <w:sz w:val="13"/>
          <w:szCs w:val="13"/>
          <w:i w:val="1"/>
          <w:iCs w:val="1"/>
          <w:color w:val="auto"/>
        </w:rPr>
        <w:t>The number of shares available for future issuance is increased by the number of shares subject to awards that terminate without the issuance of shares.</w:t>
      </w:r>
    </w:p>
    <w:p>
      <w:pPr>
        <w:spacing w:after="0" w:line="167" w:lineRule="exact"/>
        <w:rPr>
          <w:sz w:val="20"/>
          <w:szCs w:val="20"/>
          <w:color w:val="auto"/>
        </w:rPr>
      </w:pPr>
    </w:p>
    <w:p>
      <w:pPr>
        <w:spacing w:after="0"/>
        <w:rPr>
          <w:sz w:val="20"/>
          <w:szCs w:val="20"/>
          <w:color w:val="auto"/>
        </w:rPr>
      </w:pPr>
      <w:r>
        <w:rPr>
          <w:rFonts w:ascii="Arial" w:cs="Arial" w:eastAsia="Arial" w:hAnsi="Arial"/>
          <w:sz w:val="14"/>
          <w:szCs w:val="14"/>
          <w:color w:val="auto"/>
        </w:rPr>
        <w:t>We provide additional discussion of share-based compensation in Note 10 of the Notes to Consolidated Financial Statements in the Annual Report.</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4"/>
          <w:szCs w:val="14"/>
          <w:color w:val="auto"/>
        </w:rPr>
        <w:t>29</w:t>
      </w:r>
    </w:p>
    <w:p>
      <w:pPr>
        <w:sectPr>
          <w:pgSz w:w="11900" w:h="16838" w:orient="portrait"/>
          <w:cols w:equalWidth="0" w:num="1">
            <w:col w:w="10219"/>
          </w:cols>
          <w:pgMar w:left="240" w:top="127" w:right="1440" w:bottom="1440" w:gutter="0" w:footer="0" w:header="0"/>
        </w:sectPr>
      </w:pPr>
    </w:p>
    <w:bookmarkStart w:id="29" w:name="page30"/>
    <w:bookmarkEnd w:id="29"/>
    <w:p>
      <w:pPr>
        <w:spacing w:after="0"/>
        <w:rPr>
          <w:sz w:val="20"/>
          <w:szCs w:val="20"/>
          <w:color w:val="auto"/>
        </w:rPr>
      </w:pPr>
      <w:r>
        <w:rPr>
          <w:rFonts w:ascii="Arial" w:cs="Arial" w:eastAsia="Arial" w:hAnsi="Arial"/>
          <w:sz w:val="16"/>
          <w:szCs w:val="16"/>
          <w:b w:val="1"/>
          <w:bCs w:val="1"/>
          <w:color w:val="auto"/>
        </w:rPr>
        <w:t>PURCHASES OF EQUITY SECURITIES BY THE ISSUER AND AFFILIATED PURCHASERS</w:t>
      </w:r>
    </w:p>
    <w:p>
      <w:pPr>
        <w:spacing w:after="0" w:line="101" w:lineRule="exact"/>
        <w:rPr>
          <w:sz w:val="20"/>
          <w:szCs w:val="20"/>
          <w:color w:val="auto"/>
        </w:rPr>
      </w:pPr>
    </w:p>
    <w:p>
      <w:pPr>
        <w:spacing w:after="0" w:line="277" w:lineRule="auto"/>
        <w:rPr>
          <w:sz w:val="20"/>
          <w:szCs w:val="20"/>
          <w:color w:val="auto"/>
        </w:rPr>
      </w:pPr>
      <w:r>
        <w:rPr>
          <w:rFonts w:ascii="Arial" w:cs="Arial" w:eastAsia="Arial" w:hAnsi="Arial"/>
          <w:sz w:val="16"/>
          <w:szCs w:val="16"/>
          <w:color w:val="auto"/>
        </w:rPr>
        <w:t>On September 11, 2007, the Sempra Energy board of directors authorized the repurchase of Sempra Energy common stock provided that the amounts spent for such purposes do not exceed the greater of $2 billion or amounts spent to purchase no more than 40 million shares.</w:t>
      </w:r>
    </w:p>
    <w:p>
      <w:pPr>
        <w:spacing w:after="0" w:line="44" w:lineRule="exact"/>
        <w:rPr>
          <w:sz w:val="20"/>
          <w:szCs w:val="20"/>
          <w:color w:val="auto"/>
        </w:rPr>
      </w:pPr>
    </w:p>
    <w:p>
      <w:pPr>
        <w:ind w:right="280"/>
        <w:spacing w:after="0" w:line="277" w:lineRule="auto"/>
        <w:rPr>
          <w:sz w:val="20"/>
          <w:szCs w:val="20"/>
          <w:color w:val="auto"/>
        </w:rPr>
      </w:pPr>
      <w:r>
        <w:rPr>
          <w:rFonts w:ascii="Arial" w:cs="Arial" w:eastAsia="Arial" w:hAnsi="Arial"/>
          <w:sz w:val="16"/>
          <w:szCs w:val="16"/>
          <w:color w:val="auto"/>
        </w:rPr>
        <w:t>On April 1, 2008, we entered into a Collared Accelerated Share Acquisition Program with Merrill Lynch International. Under this program, we paid $1 billion to repurchase shares of our common stock. We discuss this repurchase in Note 13 of the Notes to Consolidated Financial Statements in the Annual Report.</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The following table sets forth information concerning purchases made by us, from the programs authorized above, of our common stock during the fourth quarter of 2008:</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tbl>
      <w:tblPr>
        <w:tblLayout w:type="fixed"/>
        <w:tblInd w:w="1780" w:type="dxa"/>
        <w:tblCellMar>
          <w:top w:w="0" w:type="dxa"/>
          <w:left w:w="0" w:type="dxa"/>
          <w:bottom w:w="0" w:type="dxa"/>
          <w:right w:w="0" w:type="dxa"/>
        </w:tblCellMar>
      </w:tblPr>
      <w:tr>
        <w:trPr>
          <w:trHeight w:val="154"/>
        </w:trPr>
        <w:tc>
          <w:tcPr>
            <w:tcW w:w="20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2020" w:type="dxa"/>
            <w:vAlign w:val="bottom"/>
          </w:tcPr>
          <w:p>
            <w:pPr>
              <w:jc w:val="center"/>
              <w:ind w:right="15"/>
              <w:spacing w:after="0"/>
              <w:rPr>
                <w:sz w:val="20"/>
                <w:szCs w:val="20"/>
                <w:color w:val="auto"/>
              </w:rPr>
            </w:pPr>
            <w:r>
              <w:rPr>
                <w:rFonts w:ascii="Arial" w:cs="Arial" w:eastAsia="Arial" w:hAnsi="Arial"/>
                <w:sz w:val="13"/>
                <w:szCs w:val="13"/>
                <w:color w:val="auto"/>
                <w:w w:val="95"/>
              </w:rPr>
              <w:t>Maximum</w:t>
            </w:r>
          </w:p>
        </w:tc>
      </w:tr>
      <w:tr>
        <w:trPr>
          <w:trHeight w:val="156"/>
        </w:trPr>
        <w:tc>
          <w:tcPr>
            <w:tcW w:w="20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0" w:type="dxa"/>
            <w:vAlign w:val="bottom"/>
          </w:tcPr>
          <w:p>
            <w:pPr>
              <w:jc w:val="center"/>
              <w:ind w:right="32"/>
              <w:spacing w:after="0"/>
              <w:rPr>
                <w:sz w:val="20"/>
                <w:szCs w:val="20"/>
                <w:color w:val="auto"/>
              </w:rPr>
            </w:pPr>
            <w:r>
              <w:rPr>
                <w:rFonts w:ascii="Arial" w:cs="Arial" w:eastAsia="Arial" w:hAnsi="Arial"/>
                <w:sz w:val="13"/>
                <w:szCs w:val="13"/>
                <w:color w:val="auto"/>
                <w:w w:val="96"/>
              </w:rPr>
              <w:t>Total Number of</w:t>
            </w:r>
          </w:p>
        </w:tc>
        <w:tc>
          <w:tcPr>
            <w:tcW w:w="2020" w:type="dxa"/>
            <w:vAlign w:val="bottom"/>
          </w:tcPr>
          <w:p>
            <w:pPr>
              <w:jc w:val="center"/>
              <w:ind w:right="15"/>
              <w:spacing w:after="0"/>
              <w:rPr>
                <w:sz w:val="20"/>
                <w:szCs w:val="20"/>
                <w:color w:val="auto"/>
              </w:rPr>
            </w:pPr>
            <w:r>
              <w:rPr>
                <w:rFonts w:ascii="Arial" w:cs="Arial" w:eastAsia="Arial" w:hAnsi="Arial"/>
                <w:sz w:val="13"/>
                <w:szCs w:val="13"/>
                <w:color w:val="auto"/>
                <w:w w:val="96"/>
              </w:rPr>
              <w:t>Dollar Value of</w:t>
            </w:r>
          </w:p>
        </w:tc>
      </w:tr>
      <w:tr>
        <w:trPr>
          <w:trHeight w:val="156"/>
        </w:trPr>
        <w:tc>
          <w:tcPr>
            <w:tcW w:w="2060" w:type="dxa"/>
            <w:vAlign w:val="bottom"/>
          </w:tcPr>
          <w:p>
            <w:pPr>
              <w:spacing w:after="0"/>
              <w:rPr>
                <w:sz w:val="13"/>
                <w:szCs w:val="13"/>
                <w:color w:val="auto"/>
              </w:rPr>
            </w:pPr>
          </w:p>
        </w:tc>
        <w:tc>
          <w:tcPr>
            <w:tcW w:w="1120" w:type="dxa"/>
            <w:vAlign w:val="bottom"/>
          </w:tcPr>
          <w:p>
            <w:pPr>
              <w:jc w:val="center"/>
              <w:spacing w:after="0"/>
              <w:rPr>
                <w:sz w:val="20"/>
                <w:szCs w:val="20"/>
                <w:color w:val="auto"/>
              </w:rPr>
            </w:pPr>
            <w:r>
              <w:rPr>
                <w:rFonts w:ascii="Arial" w:cs="Arial" w:eastAsia="Arial" w:hAnsi="Arial"/>
                <w:sz w:val="13"/>
                <w:szCs w:val="13"/>
                <w:color w:val="auto"/>
                <w:w w:val="89"/>
              </w:rPr>
              <w:t>Total</w:t>
            </w:r>
          </w:p>
        </w:tc>
        <w:tc>
          <w:tcPr>
            <w:tcW w:w="3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0" w:type="dxa"/>
            <w:vAlign w:val="bottom"/>
          </w:tcPr>
          <w:p>
            <w:pPr>
              <w:jc w:val="center"/>
              <w:ind w:right="32"/>
              <w:spacing w:after="0"/>
              <w:rPr>
                <w:sz w:val="20"/>
                <w:szCs w:val="20"/>
                <w:color w:val="auto"/>
              </w:rPr>
            </w:pPr>
            <w:r>
              <w:rPr>
                <w:rFonts w:ascii="Arial" w:cs="Arial" w:eastAsia="Arial" w:hAnsi="Arial"/>
                <w:sz w:val="13"/>
                <w:szCs w:val="13"/>
                <w:color w:val="auto"/>
                <w:w w:val="98"/>
              </w:rPr>
              <w:t>Shares Purchased as</w:t>
            </w:r>
          </w:p>
        </w:tc>
        <w:tc>
          <w:tcPr>
            <w:tcW w:w="2020" w:type="dxa"/>
            <w:vAlign w:val="bottom"/>
          </w:tcPr>
          <w:p>
            <w:pPr>
              <w:jc w:val="center"/>
              <w:ind w:right="15"/>
              <w:spacing w:after="0"/>
              <w:rPr>
                <w:sz w:val="20"/>
                <w:szCs w:val="20"/>
                <w:color w:val="auto"/>
              </w:rPr>
            </w:pPr>
            <w:r>
              <w:rPr>
                <w:rFonts w:ascii="Arial" w:cs="Arial" w:eastAsia="Arial" w:hAnsi="Arial"/>
                <w:sz w:val="13"/>
                <w:szCs w:val="13"/>
                <w:color w:val="auto"/>
                <w:w w:val="99"/>
              </w:rPr>
              <w:t>Shares that may</w:t>
            </w:r>
          </w:p>
        </w:tc>
      </w:tr>
      <w:tr>
        <w:trPr>
          <w:trHeight w:val="156"/>
        </w:trPr>
        <w:tc>
          <w:tcPr>
            <w:tcW w:w="2060" w:type="dxa"/>
            <w:vAlign w:val="bottom"/>
          </w:tcPr>
          <w:p>
            <w:pPr>
              <w:spacing w:after="0"/>
              <w:rPr>
                <w:sz w:val="13"/>
                <w:szCs w:val="13"/>
                <w:color w:val="auto"/>
              </w:rPr>
            </w:pPr>
          </w:p>
        </w:tc>
        <w:tc>
          <w:tcPr>
            <w:tcW w:w="1120" w:type="dxa"/>
            <w:vAlign w:val="bottom"/>
          </w:tcPr>
          <w:p>
            <w:pPr>
              <w:jc w:val="center"/>
              <w:spacing w:after="0"/>
              <w:rPr>
                <w:sz w:val="20"/>
                <w:szCs w:val="20"/>
                <w:color w:val="auto"/>
              </w:rPr>
            </w:pPr>
            <w:r>
              <w:rPr>
                <w:rFonts w:ascii="Arial" w:cs="Arial" w:eastAsia="Arial" w:hAnsi="Arial"/>
                <w:sz w:val="13"/>
                <w:szCs w:val="13"/>
                <w:color w:val="auto"/>
                <w:w w:val="99"/>
              </w:rPr>
              <w:t>Number</w:t>
            </w:r>
          </w:p>
        </w:tc>
        <w:tc>
          <w:tcPr>
            <w:tcW w:w="1060" w:type="dxa"/>
            <w:vAlign w:val="bottom"/>
            <w:gridSpan w:val="2"/>
          </w:tcPr>
          <w:p>
            <w:pPr>
              <w:ind w:left="280"/>
              <w:spacing w:after="0"/>
              <w:rPr>
                <w:sz w:val="20"/>
                <w:szCs w:val="20"/>
                <w:color w:val="auto"/>
              </w:rPr>
            </w:pPr>
            <w:r>
              <w:rPr>
                <w:rFonts w:ascii="Arial" w:cs="Arial" w:eastAsia="Arial" w:hAnsi="Arial"/>
                <w:sz w:val="13"/>
                <w:szCs w:val="13"/>
                <w:color w:val="auto"/>
              </w:rPr>
              <w:t>Average</w:t>
            </w:r>
          </w:p>
        </w:tc>
        <w:tc>
          <w:tcPr>
            <w:tcW w:w="1600" w:type="dxa"/>
            <w:vAlign w:val="bottom"/>
          </w:tcPr>
          <w:p>
            <w:pPr>
              <w:jc w:val="center"/>
              <w:ind w:right="32"/>
              <w:spacing w:after="0"/>
              <w:rPr>
                <w:sz w:val="20"/>
                <w:szCs w:val="20"/>
                <w:color w:val="auto"/>
              </w:rPr>
            </w:pPr>
            <w:r>
              <w:rPr>
                <w:rFonts w:ascii="Arial" w:cs="Arial" w:eastAsia="Arial" w:hAnsi="Arial"/>
                <w:sz w:val="13"/>
                <w:szCs w:val="13"/>
                <w:color w:val="auto"/>
                <w:w w:val="99"/>
              </w:rPr>
              <w:t>Part of Publicly</w:t>
            </w:r>
          </w:p>
        </w:tc>
        <w:tc>
          <w:tcPr>
            <w:tcW w:w="2020" w:type="dxa"/>
            <w:vAlign w:val="bottom"/>
          </w:tcPr>
          <w:p>
            <w:pPr>
              <w:jc w:val="center"/>
              <w:ind w:right="15"/>
              <w:spacing w:after="0"/>
              <w:rPr>
                <w:sz w:val="20"/>
                <w:szCs w:val="20"/>
                <w:color w:val="auto"/>
              </w:rPr>
            </w:pPr>
            <w:r>
              <w:rPr>
                <w:rFonts w:ascii="Arial" w:cs="Arial" w:eastAsia="Arial" w:hAnsi="Arial"/>
                <w:sz w:val="13"/>
                <w:szCs w:val="13"/>
                <w:color w:val="auto"/>
                <w:w w:val="98"/>
              </w:rPr>
              <w:t>Yet be Purchased</w:t>
            </w:r>
          </w:p>
        </w:tc>
      </w:tr>
      <w:tr>
        <w:trPr>
          <w:trHeight w:val="156"/>
        </w:trPr>
        <w:tc>
          <w:tcPr>
            <w:tcW w:w="2060" w:type="dxa"/>
            <w:vAlign w:val="bottom"/>
          </w:tcPr>
          <w:p>
            <w:pPr>
              <w:spacing w:after="0"/>
              <w:rPr>
                <w:sz w:val="13"/>
                <w:szCs w:val="13"/>
                <w:color w:val="auto"/>
              </w:rPr>
            </w:pPr>
          </w:p>
        </w:tc>
        <w:tc>
          <w:tcPr>
            <w:tcW w:w="1120" w:type="dxa"/>
            <w:vAlign w:val="bottom"/>
          </w:tcPr>
          <w:p>
            <w:pPr>
              <w:jc w:val="center"/>
              <w:spacing w:after="0"/>
              <w:rPr>
                <w:sz w:val="20"/>
                <w:szCs w:val="20"/>
                <w:color w:val="auto"/>
              </w:rPr>
            </w:pPr>
            <w:r>
              <w:rPr>
                <w:rFonts w:ascii="Arial" w:cs="Arial" w:eastAsia="Arial" w:hAnsi="Arial"/>
                <w:sz w:val="13"/>
                <w:szCs w:val="13"/>
                <w:color w:val="auto"/>
                <w:w w:val="96"/>
              </w:rPr>
              <w:t>of Shares</w:t>
            </w:r>
          </w:p>
        </w:tc>
        <w:tc>
          <w:tcPr>
            <w:tcW w:w="1060" w:type="dxa"/>
            <w:vAlign w:val="bottom"/>
            <w:gridSpan w:val="2"/>
          </w:tcPr>
          <w:p>
            <w:pPr>
              <w:jc w:val="center"/>
              <w:spacing w:after="0"/>
              <w:rPr>
                <w:sz w:val="20"/>
                <w:szCs w:val="20"/>
                <w:color w:val="auto"/>
              </w:rPr>
            </w:pPr>
            <w:r>
              <w:rPr>
                <w:rFonts w:ascii="Arial" w:cs="Arial" w:eastAsia="Arial" w:hAnsi="Arial"/>
                <w:sz w:val="13"/>
                <w:szCs w:val="13"/>
                <w:color w:val="auto"/>
                <w:w w:val="97"/>
              </w:rPr>
              <w:t>Price Paid</w:t>
            </w:r>
          </w:p>
        </w:tc>
        <w:tc>
          <w:tcPr>
            <w:tcW w:w="1600" w:type="dxa"/>
            <w:vAlign w:val="bottom"/>
          </w:tcPr>
          <w:p>
            <w:pPr>
              <w:jc w:val="center"/>
              <w:ind w:right="52"/>
              <w:spacing w:after="0"/>
              <w:rPr>
                <w:sz w:val="20"/>
                <w:szCs w:val="20"/>
                <w:color w:val="auto"/>
              </w:rPr>
            </w:pPr>
            <w:r>
              <w:rPr>
                <w:rFonts w:ascii="Arial" w:cs="Arial" w:eastAsia="Arial" w:hAnsi="Arial"/>
                <w:sz w:val="13"/>
                <w:szCs w:val="13"/>
                <w:color w:val="auto"/>
                <w:w w:val="98"/>
              </w:rPr>
              <w:t>Announced Plans</w:t>
            </w:r>
          </w:p>
        </w:tc>
        <w:tc>
          <w:tcPr>
            <w:tcW w:w="2020" w:type="dxa"/>
            <w:vAlign w:val="bottom"/>
          </w:tcPr>
          <w:p>
            <w:pPr>
              <w:jc w:val="center"/>
              <w:spacing w:after="0"/>
              <w:rPr>
                <w:sz w:val="20"/>
                <w:szCs w:val="20"/>
                <w:color w:val="auto"/>
              </w:rPr>
            </w:pPr>
            <w:r>
              <w:rPr>
                <w:rFonts w:ascii="Arial" w:cs="Arial" w:eastAsia="Arial" w:hAnsi="Arial"/>
                <w:sz w:val="13"/>
                <w:szCs w:val="13"/>
                <w:color w:val="auto"/>
                <w:w w:val="98"/>
              </w:rPr>
              <w:t>Under the Plans</w:t>
            </w:r>
          </w:p>
        </w:tc>
      </w:tr>
      <w:tr>
        <w:trPr>
          <w:trHeight w:val="158"/>
        </w:trPr>
        <w:tc>
          <w:tcPr>
            <w:tcW w:w="2060" w:type="dxa"/>
            <w:vAlign w:val="bottom"/>
          </w:tcPr>
          <w:p>
            <w:pPr>
              <w:spacing w:after="0"/>
              <w:rPr>
                <w:sz w:val="13"/>
                <w:szCs w:val="13"/>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rPr>
              <w:t>Purchased (1)</w:t>
            </w:r>
          </w:p>
        </w:tc>
        <w:tc>
          <w:tcPr>
            <w:tcW w:w="106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color w:val="auto"/>
                <w:w w:val="99"/>
              </w:rPr>
              <w:t>Per Share (1)</w:t>
            </w:r>
          </w:p>
        </w:tc>
        <w:tc>
          <w:tcPr>
            <w:tcW w:w="1600" w:type="dxa"/>
            <w:vAlign w:val="bottom"/>
            <w:tcBorders>
              <w:bottom w:val="single" w:sz="8" w:color="auto"/>
            </w:tcBorders>
          </w:tcPr>
          <w:p>
            <w:pPr>
              <w:jc w:val="center"/>
              <w:ind w:right="32"/>
              <w:spacing w:after="0"/>
              <w:rPr>
                <w:sz w:val="20"/>
                <w:szCs w:val="20"/>
                <w:color w:val="auto"/>
              </w:rPr>
            </w:pPr>
            <w:r>
              <w:rPr>
                <w:rFonts w:ascii="Arial" w:cs="Arial" w:eastAsia="Arial" w:hAnsi="Arial"/>
                <w:sz w:val="13"/>
                <w:szCs w:val="13"/>
                <w:color w:val="auto"/>
                <w:w w:val="98"/>
              </w:rPr>
              <w:t>or Programs (1)</w:t>
            </w:r>
          </w:p>
        </w:tc>
        <w:tc>
          <w:tcPr>
            <w:tcW w:w="2020" w:type="dxa"/>
            <w:vAlign w:val="bottom"/>
            <w:tcBorders>
              <w:bottom w:val="single" w:sz="8" w:color="auto"/>
            </w:tcBorders>
          </w:tcPr>
          <w:p>
            <w:pPr>
              <w:jc w:val="center"/>
              <w:ind w:right="15"/>
              <w:spacing w:after="0"/>
              <w:rPr>
                <w:sz w:val="20"/>
                <w:szCs w:val="20"/>
                <w:color w:val="auto"/>
              </w:rPr>
            </w:pPr>
            <w:r>
              <w:rPr>
                <w:rFonts w:ascii="Arial" w:cs="Arial" w:eastAsia="Arial" w:hAnsi="Arial"/>
                <w:sz w:val="13"/>
                <w:szCs w:val="13"/>
                <w:color w:val="auto"/>
                <w:w w:val="97"/>
              </w:rPr>
              <w:t>or Programs</w:t>
            </w:r>
          </w:p>
        </w:tc>
      </w:tr>
      <w:tr>
        <w:trPr>
          <w:trHeight w:val="210"/>
        </w:trPr>
        <w:tc>
          <w:tcPr>
            <w:tcW w:w="2060" w:type="dxa"/>
            <w:vAlign w:val="bottom"/>
          </w:tcPr>
          <w:p>
            <w:pPr>
              <w:ind w:left="20"/>
              <w:spacing w:after="0"/>
              <w:rPr>
                <w:sz w:val="20"/>
                <w:szCs w:val="20"/>
                <w:color w:val="auto"/>
              </w:rPr>
            </w:pPr>
            <w:r>
              <w:rPr>
                <w:rFonts w:ascii="Arial" w:cs="Arial" w:eastAsia="Arial" w:hAnsi="Arial"/>
                <w:sz w:val="14"/>
                <w:szCs w:val="14"/>
                <w:color w:val="auto"/>
              </w:rPr>
              <w:t>October 2008</w:t>
            </w:r>
          </w:p>
        </w:tc>
        <w:tc>
          <w:tcPr>
            <w:tcW w:w="1120" w:type="dxa"/>
            <w:vAlign w:val="bottom"/>
          </w:tcPr>
          <w:p>
            <w:pPr>
              <w:jc w:val="right"/>
              <w:ind w:right="152"/>
              <w:spacing w:after="0"/>
              <w:rPr>
                <w:sz w:val="20"/>
                <w:szCs w:val="20"/>
                <w:color w:val="auto"/>
              </w:rPr>
            </w:pPr>
            <w:r>
              <w:rPr>
                <w:rFonts w:ascii="Arial" w:cs="Arial" w:eastAsia="Arial" w:hAnsi="Arial"/>
                <w:sz w:val="14"/>
                <w:szCs w:val="14"/>
                <w:color w:val="auto"/>
              </w:rPr>
              <w:t>3,008,280</w:t>
            </w:r>
          </w:p>
        </w:tc>
        <w:tc>
          <w:tcPr>
            <w:tcW w:w="380" w:type="dxa"/>
            <w:vAlign w:val="bottom"/>
          </w:tcPr>
          <w:p>
            <w:pPr>
              <w:ind w:left="280"/>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208"/>
              <w:spacing w:after="0"/>
              <w:rPr>
                <w:sz w:val="20"/>
                <w:szCs w:val="20"/>
                <w:color w:val="auto"/>
              </w:rPr>
            </w:pPr>
            <w:r>
              <w:rPr>
                <w:rFonts w:ascii="Arial" w:cs="Arial" w:eastAsia="Arial" w:hAnsi="Arial"/>
                <w:sz w:val="14"/>
                <w:szCs w:val="14"/>
                <w:color w:val="auto"/>
              </w:rPr>
              <w:t>54.30</w:t>
            </w:r>
          </w:p>
        </w:tc>
        <w:tc>
          <w:tcPr>
            <w:tcW w:w="1600" w:type="dxa"/>
            <w:vAlign w:val="bottom"/>
          </w:tcPr>
          <w:p>
            <w:pPr>
              <w:jc w:val="right"/>
              <w:ind w:right="252"/>
              <w:spacing w:after="0"/>
              <w:rPr>
                <w:sz w:val="20"/>
                <w:szCs w:val="20"/>
                <w:color w:val="auto"/>
              </w:rPr>
            </w:pPr>
            <w:r>
              <w:rPr>
                <w:rFonts w:ascii="Arial" w:cs="Arial" w:eastAsia="Arial" w:hAnsi="Arial"/>
                <w:sz w:val="14"/>
                <w:szCs w:val="14"/>
                <w:color w:val="auto"/>
              </w:rPr>
              <w:t>3,008,280</w:t>
            </w:r>
          </w:p>
        </w:tc>
        <w:tc>
          <w:tcPr>
            <w:tcW w:w="2020" w:type="dxa"/>
            <w:vAlign w:val="bottom"/>
          </w:tcPr>
          <w:p>
            <w:pPr>
              <w:spacing w:after="0"/>
              <w:rPr>
                <w:sz w:val="18"/>
                <w:szCs w:val="18"/>
                <w:color w:val="auto"/>
              </w:rPr>
            </w:pPr>
          </w:p>
        </w:tc>
      </w:tr>
      <w:tr>
        <w:trPr>
          <w:trHeight w:val="216"/>
        </w:trPr>
        <w:tc>
          <w:tcPr>
            <w:tcW w:w="2060" w:type="dxa"/>
            <w:vAlign w:val="bottom"/>
          </w:tcPr>
          <w:p>
            <w:pPr>
              <w:ind w:left="20"/>
              <w:spacing w:after="0"/>
              <w:rPr>
                <w:sz w:val="20"/>
                <w:szCs w:val="20"/>
                <w:color w:val="auto"/>
              </w:rPr>
            </w:pPr>
            <w:r>
              <w:rPr>
                <w:rFonts w:ascii="Arial" w:cs="Arial" w:eastAsia="Arial" w:hAnsi="Arial"/>
                <w:sz w:val="14"/>
                <w:szCs w:val="14"/>
                <w:color w:val="auto"/>
              </w:rPr>
              <w:t>November 2008</w:t>
            </w:r>
          </w:p>
        </w:tc>
        <w:tc>
          <w:tcPr>
            <w:tcW w:w="1120" w:type="dxa"/>
            <w:vAlign w:val="bottom"/>
          </w:tcPr>
          <w:p>
            <w:pPr>
              <w:jc w:val="right"/>
              <w:ind w:right="152"/>
              <w:spacing w:after="0"/>
              <w:rPr>
                <w:sz w:val="20"/>
                <w:szCs w:val="20"/>
                <w:color w:val="auto"/>
              </w:rPr>
            </w:pPr>
            <w:r>
              <w:rPr>
                <w:rFonts w:ascii="Arial" w:cs="Arial" w:eastAsia="Arial" w:hAnsi="Arial"/>
                <w:sz w:val="14"/>
                <w:szCs w:val="14"/>
                <w:color w:val="auto"/>
              </w:rPr>
              <w:t>--</w:t>
            </w:r>
          </w:p>
        </w:tc>
        <w:tc>
          <w:tcPr>
            <w:tcW w:w="380" w:type="dxa"/>
            <w:vAlign w:val="bottom"/>
          </w:tcPr>
          <w:p>
            <w:pPr>
              <w:ind w:left="280"/>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600" w:type="dxa"/>
            <w:vAlign w:val="bottom"/>
          </w:tcPr>
          <w:p>
            <w:pPr>
              <w:jc w:val="right"/>
              <w:ind w:right="252"/>
              <w:spacing w:after="0"/>
              <w:rPr>
                <w:sz w:val="20"/>
                <w:szCs w:val="20"/>
                <w:color w:val="auto"/>
              </w:rPr>
            </w:pPr>
            <w:r>
              <w:rPr>
                <w:rFonts w:ascii="Arial" w:cs="Arial" w:eastAsia="Arial" w:hAnsi="Arial"/>
                <w:sz w:val="14"/>
                <w:szCs w:val="14"/>
                <w:color w:val="auto"/>
              </w:rPr>
              <w:t>--</w:t>
            </w:r>
          </w:p>
        </w:tc>
        <w:tc>
          <w:tcPr>
            <w:tcW w:w="2020" w:type="dxa"/>
            <w:vAlign w:val="bottom"/>
          </w:tcPr>
          <w:p>
            <w:pPr>
              <w:spacing w:after="0"/>
              <w:rPr>
                <w:sz w:val="18"/>
                <w:szCs w:val="18"/>
                <w:color w:val="auto"/>
              </w:rPr>
            </w:pPr>
          </w:p>
        </w:tc>
      </w:tr>
      <w:tr>
        <w:trPr>
          <w:trHeight w:val="219"/>
        </w:trPr>
        <w:tc>
          <w:tcPr>
            <w:tcW w:w="2060" w:type="dxa"/>
            <w:vAlign w:val="bottom"/>
          </w:tcPr>
          <w:p>
            <w:pPr>
              <w:ind w:left="20"/>
              <w:spacing w:after="0"/>
              <w:rPr>
                <w:sz w:val="20"/>
                <w:szCs w:val="20"/>
                <w:color w:val="auto"/>
              </w:rPr>
            </w:pPr>
            <w:r>
              <w:rPr>
                <w:rFonts w:ascii="Arial" w:cs="Arial" w:eastAsia="Arial" w:hAnsi="Arial"/>
                <w:sz w:val="14"/>
                <w:szCs w:val="14"/>
                <w:color w:val="auto"/>
              </w:rPr>
              <w:t>December 2008</w:t>
            </w:r>
          </w:p>
        </w:tc>
        <w:tc>
          <w:tcPr>
            <w:tcW w:w="112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auto"/>
            </w:tcBorders>
          </w:tcPr>
          <w:p>
            <w:pPr>
              <w:ind w:left="280"/>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w:t>
            </w:r>
          </w:p>
        </w:tc>
        <w:tc>
          <w:tcPr>
            <w:tcW w:w="160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color w:val="auto"/>
              </w:rPr>
              <w:t>--</w:t>
            </w:r>
          </w:p>
        </w:tc>
        <w:tc>
          <w:tcPr>
            <w:tcW w:w="2020" w:type="dxa"/>
            <w:vAlign w:val="bottom"/>
            <w:tcBorders>
              <w:bottom w:val="single" w:sz="8" w:color="auto"/>
            </w:tcBorders>
          </w:tcPr>
          <w:p>
            <w:pPr>
              <w:spacing w:after="0"/>
              <w:rPr>
                <w:sz w:val="19"/>
                <w:szCs w:val="19"/>
                <w:color w:val="auto"/>
              </w:rPr>
            </w:pPr>
          </w:p>
        </w:tc>
      </w:tr>
      <w:tr>
        <w:trPr>
          <w:trHeight w:val="227"/>
        </w:trPr>
        <w:tc>
          <w:tcPr>
            <w:tcW w:w="20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color w:val="auto"/>
              </w:rPr>
              <w:t>3,008,280</w:t>
            </w:r>
          </w:p>
        </w:tc>
        <w:tc>
          <w:tcPr>
            <w:tcW w:w="380" w:type="dxa"/>
            <w:vAlign w:val="bottom"/>
            <w:tcBorders>
              <w:bottom w:val="single" w:sz="8" w:color="auto"/>
            </w:tcBorders>
          </w:tcPr>
          <w:p>
            <w:pPr>
              <w:ind w:left="280"/>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54.30</w:t>
            </w:r>
          </w:p>
        </w:tc>
        <w:tc>
          <w:tcPr>
            <w:tcW w:w="160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color w:val="auto"/>
              </w:rPr>
              <w:t>3,008,280</w:t>
            </w:r>
          </w:p>
        </w:tc>
        <w:tc>
          <w:tcPr>
            <w:tcW w:w="2020" w:type="dxa"/>
            <w:vAlign w:val="bottom"/>
            <w:tcBorders>
              <w:bottom w:val="single" w:sz="8" w:color="auto"/>
            </w:tcBorders>
          </w:tcPr>
          <w:p>
            <w:pPr>
              <w:ind w:left="240"/>
              <w:spacing w:after="0"/>
              <w:rPr>
                <w:sz w:val="20"/>
                <w:szCs w:val="20"/>
                <w:color w:val="auto"/>
              </w:rPr>
            </w:pPr>
            <w:r>
              <w:rPr>
                <w:rFonts w:ascii="Arial" w:cs="Arial" w:eastAsia="Arial" w:hAnsi="Arial"/>
                <w:sz w:val="14"/>
                <w:szCs w:val="14"/>
                <w:color w:val="auto"/>
              </w:rPr>
              <w:t>$1 billion remaining (2)(3)</w:t>
            </w:r>
          </w:p>
        </w:tc>
      </w:tr>
    </w:tbl>
    <w:p>
      <w:pPr>
        <w:spacing w:after="0" w:line="16" w:lineRule="exact"/>
        <w:rPr>
          <w:sz w:val="20"/>
          <w:szCs w:val="20"/>
          <w:color w:val="auto"/>
        </w:rPr>
      </w:pPr>
    </w:p>
    <w:p>
      <w:pPr>
        <w:ind w:left="2040" w:right="1740" w:hanging="242"/>
        <w:spacing w:after="0" w:line="259" w:lineRule="auto"/>
        <w:tabs>
          <w:tab w:leader="none" w:pos="2040" w:val="left"/>
        </w:tabs>
        <w:numPr>
          <w:ilvl w:val="0"/>
          <w:numId w:val="21"/>
        </w:numPr>
        <w:rPr>
          <w:rFonts w:ascii="Arial" w:cs="Arial" w:eastAsia="Arial" w:hAnsi="Arial"/>
          <w:sz w:val="13"/>
          <w:szCs w:val="13"/>
          <w:i w:val="1"/>
          <w:iCs w:val="1"/>
          <w:color w:val="auto"/>
        </w:rPr>
      </w:pPr>
      <w:r>
        <w:rPr>
          <w:rFonts w:ascii="Arial" w:cs="Arial" w:eastAsia="Arial" w:hAnsi="Arial"/>
          <w:sz w:val="13"/>
          <w:szCs w:val="13"/>
          <w:i w:val="1"/>
          <w:iCs w:val="1"/>
          <w:color w:val="auto"/>
        </w:rPr>
        <w:t>Our publicly announced Collared Accelerated Share Acquisition Program that began in April 2008 was completed on October 13, 2008. A total of 18,416,241 shares were purchased at a weighted average price of $54.30 per share under this program, 3,008,280 of which were received in October 2008. Additional information regarding the program is provided in Note 13 of the Notes to Consolidated Financial Statements in the Annual Report.</w:t>
      </w:r>
    </w:p>
    <w:p>
      <w:pPr>
        <w:spacing w:after="0" w:line="27" w:lineRule="exact"/>
        <w:rPr>
          <w:rFonts w:ascii="Arial" w:cs="Arial" w:eastAsia="Arial" w:hAnsi="Arial"/>
          <w:sz w:val="13"/>
          <w:szCs w:val="13"/>
          <w:i w:val="1"/>
          <w:iCs w:val="1"/>
          <w:color w:val="auto"/>
        </w:rPr>
      </w:pPr>
    </w:p>
    <w:p>
      <w:pPr>
        <w:ind w:left="2040" w:right="1920" w:hanging="242"/>
        <w:spacing w:after="0" w:line="277" w:lineRule="auto"/>
        <w:tabs>
          <w:tab w:leader="none" w:pos="2040" w:val="left"/>
        </w:tabs>
        <w:numPr>
          <w:ilvl w:val="0"/>
          <w:numId w:val="21"/>
        </w:numPr>
        <w:rPr>
          <w:rFonts w:ascii="Arial" w:cs="Arial" w:eastAsia="Arial" w:hAnsi="Arial"/>
          <w:sz w:val="13"/>
          <w:szCs w:val="13"/>
          <w:i w:val="1"/>
          <w:iCs w:val="1"/>
          <w:color w:val="auto"/>
        </w:rPr>
      </w:pPr>
      <w:r>
        <w:rPr>
          <w:rFonts w:ascii="Arial" w:cs="Arial" w:eastAsia="Arial" w:hAnsi="Arial"/>
          <w:sz w:val="13"/>
          <w:szCs w:val="13"/>
          <w:i w:val="1"/>
          <w:iCs w:val="1"/>
          <w:color w:val="auto"/>
        </w:rPr>
        <w:t>Approximately $1 billion remains authorized by our board of directors to purchase additional shares. However, we do not expect to repurchase any common shares in 2009, except as we discuss in (3) below.</w:t>
      </w:r>
    </w:p>
    <w:p>
      <w:pPr>
        <w:spacing w:after="0" w:line="15" w:lineRule="exact"/>
        <w:rPr>
          <w:rFonts w:ascii="Arial" w:cs="Arial" w:eastAsia="Arial" w:hAnsi="Arial"/>
          <w:sz w:val="13"/>
          <w:szCs w:val="13"/>
          <w:i w:val="1"/>
          <w:iCs w:val="1"/>
          <w:color w:val="auto"/>
        </w:rPr>
      </w:pPr>
    </w:p>
    <w:p>
      <w:pPr>
        <w:ind w:left="2040" w:right="1960" w:hanging="242"/>
        <w:spacing w:after="0" w:line="277" w:lineRule="auto"/>
        <w:tabs>
          <w:tab w:leader="none" w:pos="2040" w:val="left"/>
        </w:tabs>
        <w:numPr>
          <w:ilvl w:val="0"/>
          <w:numId w:val="21"/>
        </w:numPr>
        <w:rPr>
          <w:rFonts w:ascii="Arial" w:cs="Arial" w:eastAsia="Arial" w:hAnsi="Arial"/>
          <w:sz w:val="13"/>
          <w:szCs w:val="13"/>
          <w:i w:val="1"/>
          <w:iCs w:val="1"/>
          <w:color w:val="auto"/>
        </w:rPr>
      </w:pPr>
      <w:r>
        <w:rPr>
          <w:rFonts w:ascii="Arial" w:cs="Arial" w:eastAsia="Arial" w:hAnsi="Arial"/>
          <w:sz w:val="13"/>
          <w:szCs w:val="13"/>
          <w:i w:val="1"/>
          <w:iCs w:val="1"/>
          <w:color w:val="auto"/>
        </w:rPr>
        <w:t>We may, from time to time, purchase shares of our common stock from holders of our restricted stock and restricted stock units in amounts sufficient to meet minimum statutory tax withholding requirements upon vesting.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342900</wp:posOffset>
            </wp:positionV>
            <wp:extent cx="7261860" cy="76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color w:val="auto"/>
        </w:rPr>
        <w:t>ITEM 6. SELECTED FINANCIAL DATA</w:t>
      </w:r>
    </w:p>
    <w:p>
      <w:pPr>
        <w:spacing w:after="0" w:line="60" w:lineRule="exact"/>
        <w:rPr>
          <w:sz w:val="20"/>
          <w:szCs w:val="20"/>
          <w:color w:val="auto"/>
        </w:rPr>
      </w:pPr>
    </w:p>
    <w:p>
      <w:pPr>
        <w:spacing w:after="0"/>
        <w:rPr>
          <w:sz w:val="20"/>
          <w:szCs w:val="20"/>
          <w:color w:val="auto"/>
        </w:rPr>
      </w:pPr>
      <w:r>
        <w:rPr>
          <w:rFonts w:ascii="Arial" w:cs="Arial" w:eastAsia="Arial" w:hAnsi="Arial"/>
          <w:sz w:val="16"/>
          <w:szCs w:val="16"/>
          <w:color w:val="auto"/>
        </w:rPr>
        <w:t>The information required by Item 6 is included in "Five-Year Summaries" in the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241935</wp:posOffset>
            </wp:positionV>
            <wp:extent cx="7261860" cy="76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ITEM 7. MANAGEMENT'S DISCUSSION AND ANALYSIS OF FINANCIAL CONDITION AND RESULTS OF OPERATIONS</w:t>
      </w:r>
    </w:p>
    <w:p>
      <w:pPr>
        <w:spacing w:after="0" w:line="60" w:lineRule="exact"/>
        <w:rPr>
          <w:sz w:val="20"/>
          <w:szCs w:val="20"/>
          <w:color w:val="auto"/>
        </w:rPr>
      </w:pPr>
    </w:p>
    <w:p>
      <w:pPr>
        <w:spacing w:after="0" w:line="277" w:lineRule="auto"/>
        <w:rPr>
          <w:sz w:val="20"/>
          <w:szCs w:val="20"/>
          <w:color w:val="auto"/>
        </w:rPr>
      </w:pPr>
      <w:r>
        <w:rPr>
          <w:rFonts w:ascii="Arial" w:cs="Arial" w:eastAsia="Arial" w:hAnsi="Arial"/>
          <w:sz w:val="16"/>
          <w:szCs w:val="16"/>
          <w:color w:val="auto"/>
        </w:rPr>
        <w:t>The information required by Item 7 is set forth under "Management's Discussion and Analysis of Financial Condition and Results of Operations" in the Annual Report, on pages 1 to 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203835</wp:posOffset>
            </wp:positionV>
            <wp:extent cx="7261860" cy="76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pacing w:after="0" w:line="357" w:lineRule="exact"/>
        <w:rPr>
          <w:sz w:val="20"/>
          <w:szCs w:val="20"/>
          <w:color w:val="auto"/>
        </w:rPr>
      </w:pPr>
    </w:p>
    <w:p>
      <w:pPr>
        <w:spacing w:after="0"/>
        <w:rPr>
          <w:sz w:val="20"/>
          <w:szCs w:val="20"/>
          <w:color w:val="auto"/>
        </w:rPr>
      </w:pPr>
      <w:r>
        <w:rPr>
          <w:rFonts w:ascii="Arial" w:cs="Arial" w:eastAsia="Arial" w:hAnsi="Arial"/>
          <w:sz w:val="18"/>
          <w:szCs w:val="18"/>
          <w:color w:val="auto"/>
        </w:rPr>
        <w:t>ITEM 7A. QUANTITATIVE AND QUALITATIVE DISCLOSURES ABOUT MARKET RISK</w:t>
      </w:r>
    </w:p>
    <w:p>
      <w:pPr>
        <w:spacing w:after="0" w:line="72" w:lineRule="exact"/>
        <w:rPr>
          <w:sz w:val="20"/>
          <w:szCs w:val="20"/>
          <w:color w:val="auto"/>
        </w:rPr>
      </w:pPr>
    </w:p>
    <w:p>
      <w:pPr>
        <w:ind w:right="40"/>
        <w:spacing w:after="0" w:line="277" w:lineRule="auto"/>
        <w:rPr>
          <w:sz w:val="20"/>
          <w:szCs w:val="20"/>
          <w:color w:val="auto"/>
        </w:rPr>
      </w:pPr>
      <w:r>
        <w:rPr>
          <w:rFonts w:ascii="Arial" w:cs="Arial" w:eastAsia="Arial" w:hAnsi="Arial"/>
          <w:sz w:val="16"/>
          <w:szCs w:val="16"/>
          <w:color w:val="auto"/>
        </w:rPr>
        <w:t>The information required by Item 7A is set forth under "Management's Discussion and Analysis of Financial Condition and Results of Operations – Market Risk" in the Annual Report.</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4"/>
          <w:szCs w:val="14"/>
          <w:color w:val="auto"/>
        </w:rPr>
        <w:t>30</w:t>
      </w:r>
    </w:p>
    <w:p>
      <w:pPr>
        <w:sectPr>
          <w:pgSz w:w="11900" w:h="16838" w:orient="portrait"/>
          <w:cols w:equalWidth="0" w:num="1">
            <w:col w:w="11320"/>
          </w:cols>
          <w:pgMar w:left="240" w:top="395"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149860</wp:posOffset>
            </wp:positionH>
            <wp:positionV relativeFrom="page">
              <wp:posOffset>309880</wp:posOffset>
            </wp:positionV>
            <wp:extent cx="7261860" cy="76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1860" cy="7620"/>
                    </a:xfrm>
                    <a:prstGeom prst="rect">
                      <a:avLst/>
                    </a:prstGeom>
                    <a:noFill/>
                  </pic:spPr>
                </pic:pic>
              </a:graphicData>
            </a:graphic>
          </wp:anchor>
        </w:drawing>
        <w:t>ITEM 8. FINANCIAL STATEMENTS AND SUPPLEMENTARY DATA</w:t>
      </w:r>
    </w:p>
    <w:p>
      <w:pPr>
        <w:spacing w:after="0" w:line="72" w:lineRule="exact"/>
        <w:rPr>
          <w:sz w:val="20"/>
          <w:szCs w:val="20"/>
          <w:color w:val="auto"/>
        </w:rPr>
      </w:pPr>
    </w:p>
    <w:p>
      <w:pPr>
        <w:spacing w:after="0"/>
        <w:rPr>
          <w:sz w:val="20"/>
          <w:szCs w:val="20"/>
          <w:color w:val="auto"/>
        </w:rPr>
      </w:pPr>
      <w:r>
        <w:rPr>
          <w:rFonts w:ascii="Arial" w:cs="Arial" w:eastAsia="Arial" w:hAnsi="Arial"/>
          <w:sz w:val="16"/>
          <w:szCs w:val="16"/>
          <w:color w:val="auto"/>
        </w:rPr>
        <w:t>The information required by Item 8 is set forth on pages 69 through 189 of the Annual Report. Item 15(a)1 includes a listing of financial statements included.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234315</wp:posOffset>
            </wp:positionV>
            <wp:extent cx="7261860" cy="76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ITEM 9. CHANGES IN AND DISAGREEMENTS WITH ACCOUNTANTS ON ACCOUNTING AND FINANCIAL DISCLOSURE</w:t>
      </w:r>
    </w:p>
    <w:p>
      <w:pPr>
        <w:spacing w:after="0" w:line="60" w:lineRule="exact"/>
        <w:rPr>
          <w:sz w:val="20"/>
          <w:szCs w:val="20"/>
          <w:color w:val="auto"/>
        </w:rPr>
      </w:pPr>
    </w:p>
    <w:p>
      <w:pPr>
        <w:spacing w:after="0"/>
        <w:rPr>
          <w:sz w:val="20"/>
          <w:szCs w:val="20"/>
          <w:color w:val="auto"/>
        </w:rPr>
      </w:pPr>
      <w:r>
        <w:rPr>
          <w:rFonts w:ascii="Arial" w:cs="Arial" w:eastAsia="Arial" w:hAnsi="Arial"/>
          <w:sz w:val="16"/>
          <w:szCs w:val="16"/>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241935</wp:posOffset>
            </wp:positionV>
            <wp:extent cx="7261860" cy="76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ITEM 9A. CONTROLS AND PROCEDURES</w:t>
      </w:r>
    </w:p>
    <w:p>
      <w:pPr>
        <w:spacing w:after="0" w:line="60" w:lineRule="exact"/>
        <w:rPr>
          <w:sz w:val="20"/>
          <w:szCs w:val="20"/>
          <w:color w:val="auto"/>
        </w:rPr>
      </w:pPr>
    </w:p>
    <w:p>
      <w:pPr>
        <w:spacing w:after="0"/>
        <w:rPr>
          <w:sz w:val="20"/>
          <w:szCs w:val="20"/>
          <w:color w:val="auto"/>
        </w:rPr>
      </w:pPr>
      <w:r>
        <w:rPr>
          <w:rFonts w:ascii="Arial" w:cs="Arial" w:eastAsia="Arial" w:hAnsi="Arial"/>
          <w:sz w:val="16"/>
          <w:szCs w:val="16"/>
          <w:color w:val="auto"/>
        </w:rPr>
        <w:t>The information required by Item 9A is provided in "Controls and Procedures" in the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234315</wp:posOffset>
            </wp:positionV>
            <wp:extent cx="7261860" cy="76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ITEM 9B. OTHER INFORMATION</w:t>
      </w:r>
    </w:p>
    <w:p>
      <w:pPr>
        <w:spacing w:after="0" w:line="72" w:lineRule="exact"/>
        <w:rPr>
          <w:sz w:val="20"/>
          <w:szCs w:val="20"/>
          <w:color w:val="auto"/>
        </w:rPr>
      </w:pPr>
    </w:p>
    <w:p>
      <w:pPr>
        <w:ind w:right="120"/>
        <w:spacing w:after="0" w:line="273" w:lineRule="auto"/>
        <w:rPr>
          <w:sz w:val="20"/>
          <w:szCs w:val="20"/>
          <w:color w:val="auto"/>
        </w:rPr>
      </w:pPr>
      <w:r>
        <w:rPr>
          <w:rFonts w:ascii="Arial" w:cs="Arial" w:eastAsia="Arial" w:hAnsi="Arial"/>
          <w:sz w:val="15"/>
          <w:szCs w:val="15"/>
          <w:color w:val="auto"/>
        </w:rPr>
        <w:t>On February 19, 2009, the Compensation Committee of the Sempra Energy board of directors awarded Mark A. Snell, an Executive Vice President and the Chief Financial Officer of Sempra Energy, a performance-based restricted stock award under Sempra Energy's shareholder approved 2008 Long Term Incentive Plan. The award consists of 14,880 restricted shares of Sempra Energy common stock. Subject to the satisfaction of performance criteria, the restricted shares (together with additional restricted shares attributable to reinvested dividends) are scheduled to vest in equal annual installments of one-third of the shares initially subject to the award. However, each installment of restricted shares will be forfeited if we have not achieved positive operating income for the year prior to the scheduled vesting date. In addition, the Compensation Committee may at any time reduce the number of unvested shares remaining subject to the award if it determines that the principal objectives for the formation of RBS Sempra Commodities, a joint venture between Sempra Energy and The Royal Bank of Scotland, are not continuing to be achieved. Unvested shares also will be forfeited if Mr. Snell’s employment with Sempra Energy and its subsidiaries were to terminate for any reason other than his death.</w:t>
      </w:r>
    </w:p>
    <w:p>
      <w:pPr>
        <w:spacing w:after="0" w:line="40" w:lineRule="exact"/>
        <w:rPr>
          <w:sz w:val="20"/>
          <w:szCs w:val="20"/>
          <w:color w:val="auto"/>
        </w:rPr>
      </w:pPr>
    </w:p>
    <w:p>
      <w:pPr>
        <w:spacing w:after="0" w:line="277" w:lineRule="auto"/>
        <w:rPr>
          <w:sz w:val="20"/>
          <w:szCs w:val="20"/>
          <w:color w:val="auto"/>
        </w:rPr>
      </w:pPr>
      <w:r>
        <w:rPr>
          <w:rFonts w:ascii="Arial" w:cs="Arial" w:eastAsia="Arial" w:hAnsi="Arial"/>
          <w:sz w:val="16"/>
          <w:szCs w:val="16"/>
          <w:color w:val="auto"/>
        </w:rPr>
        <w:t>The award to Mr. Snell is in addition to customary awards of service-based stock options and performance-based restricted stock units granted to officers and other employees of Sempra Energy at the beginning of each year under Sempra Energy's 2008 Long Term Incentive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4"/>
          <w:szCs w:val="14"/>
          <w:color w:val="auto"/>
        </w:rPr>
        <w:t>31</w:t>
      </w:r>
    </w:p>
    <w:p>
      <w:pPr>
        <w:sectPr>
          <w:pgSz w:w="11900" w:h="16838" w:orient="portrait"/>
          <w:cols w:equalWidth="0" w:num="1">
            <w:col w:w="11340"/>
          </w:cols>
          <w:pgMar w:left="240" w:top="545" w:right="319" w:bottom="1440" w:gutter="0" w:footer="0" w:header="0"/>
        </w:sectPr>
      </w:pPr>
    </w:p>
    <w:bookmarkStart w:id="31" w:name="page32"/>
    <w:bookmarkEnd w:id="31"/>
    <w:p>
      <w:pPr>
        <w:spacing w:after="0"/>
        <w:rPr>
          <w:sz w:val="20"/>
          <w:szCs w:val="20"/>
          <w:color w:val="auto"/>
        </w:rPr>
      </w:pPr>
      <w:r>
        <w:rPr>
          <w:rFonts w:ascii="Arial" w:cs="Arial" w:eastAsia="Arial" w:hAnsi="Arial"/>
          <w:sz w:val="21"/>
          <w:szCs w:val="21"/>
          <w:color w:val="auto"/>
        </w:rPr>
        <w:t>PART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263525</wp:posOffset>
            </wp:positionV>
            <wp:extent cx="7261860" cy="76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ITEM 10. DIRECTORS, EXECUTIVE OFFICERS AND CORPORATE GOVERNANCE</w:t>
      </w:r>
    </w:p>
    <w:p>
      <w:pPr>
        <w:spacing w:after="0" w:line="24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SEMPRA ENERGY</w:t>
      </w:r>
    </w:p>
    <w:p>
      <w:pPr>
        <w:spacing w:after="0" w:line="101" w:lineRule="exact"/>
        <w:rPr>
          <w:sz w:val="20"/>
          <w:szCs w:val="20"/>
          <w:color w:val="auto"/>
        </w:rPr>
      </w:pPr>
    </w:p>
    <w:p>
      <w:pPr>
        <w:spacing w:after="0" w:line="277" w:lineRule="auto"/>
        <w:rPr>
          <w:sz w:val="20"/>
          <w:szCs w:val="20"/>
          <w:color w:val="auto"/>
        </w:rPr>
      </w:pPr>
      <w:r>
        <w:rPr>
          <w:rFonts w:ascii="Arial" w:cs="Arial" w:eastAsia="Arial" w:hAnsi="Arial"/>
          <w:sz w:val="16"/>
          <w:szCs w:val="16"/>
          <w:color w:val="auto"/>
        </w:rPr>
        <w:t>The information required by Item 10 for Sempra Energy is incorporated by reference from "Corporate Governance" and "Share Ownership" in the Proxy Statement prepared for the April 2009 annual meeting of shareholders. The information required on our executive officers is provided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1217930</wp:posOffset>
            </wp:positionH>
            <wp:positionV relativeFrom="paragraph">
              <wp:posOffset>226695</wp:posOffset>
            </wp:positionV>
            <wp:extent cx="4828540" cy="2667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4828540" cy="266700"/>
                    </a:xfrm>
                    <a:prstGeom prst="rect">
                      <a:avLst/>
                    </a:prstGeom>
                    <a:noFill/>
                  </pic:spPr>
                </pic:pic>
              </a:graphicData>
            </a:graphic>
          </wp:anchor>
        </w:drawing>
      </w:r>
    </w:p>
    <w:p>
      <w:pPr>
        <w:spacing w:after="0" w:line="344" w:lineRule="exact"/>
        <w:rPr>
          <w:sz w:val="20"/>
          <w:szCs w:val="20"/>
          <w:color w:val="auto"/>
        </w:rPr>
      </w:pPr>
    </w:p>
    <w:p>
      <w:pPr>
        <w:ind w:left="1920"/>
        <w:spacing w:after="0"/>
        <w:rPr>
          <w:sz w:val="20"/>
          <w:szCs w:val="20"/>
          <w:color w:val="auto"/>
        </w:rPr>
      </w:pPr>
      <w:r>
        <w:rPr>
          <w:rFonts w:ascii="Arial" w:cs="Arial" w:eastAsia="Arial" w:hAnsi="Arial"/>
          <w:sz w:val="14"/>
          <w:szCs w:val="14"/>
          <w:b w:val="1"/>
          <w:bCs w:val="1"/>
          <w:color w:val="auto"/>
        </w:rPr>
        <w:t>EXECUTIVE OFFICERS OF THE REGISTRANT</w:t>
      </w:r>
    </w:p>
    <w:p>
      <w:pPr>
        <w:spacing w:after="0" w:line="268" w:lineRule="exact"/>
        <w:rPr>
          <w:sz w:val="20"/>
          <w:szCs w:val="20"/>
          <w:color w:val="auto"/>
        </w:rPr>
      </w:pPr>
    </w:p>
    <w:tbl>
      <w:tblPr>
        <w:tblLayout w:type="fixed"/>
        <w:tblInd w:w="1920" w:type="dxa"/>
        <w:tblCellMar>
          <w:top w:w="0" w:type="dxa"/>
          <w:left w:w="0" w:type="dxa"/>
          <w:bottom w:w="0" w:type="dxa"/>
          <w:right w:w="0" w:type="dxa"/>
        </w:tblCellMar>
      </w:tblPr>
      <w:tr>
        <w:trPr>
          <w:trHeight w:val="159"/>
        </w:trPr>
        <w:tc>
          <w:tcPr>
            <w:tcW w:w="176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Name</w:t>
            </w:r>
          </w:p>
        </w:tc>
        <w:tc>
          <w:tcPr>
            <w:tcW w:w="680" w:type="dxa"/>
            <w:vAlign w:val="bottom"/>
            <w:tcBorders>
              <w:bottom w:val="single" w:sz="8" w:color="auto"/>
            </w:tcBorders>
          </w:tcPr>
          <w:p>
            <w:pPr>
              <w:ind w:left="240"/>
              <w:spacing w:after="0"/>
              <w:rPr>
                <w:sz w:val="20"/>
                <w:szCs w:val="20"/>
                <w:color w:val="auto"/>
              </w:rPr>
            </w:pPr>
            <w:r>
              <w:rPr>
                <w:rFonts w:ascii="Arial" w:cs="Arial" w:eastAsia="Arial" w:hAnsi="Arial"/>
                <w:sz w:val="13"/>
                <w:szCs w:val="13"/>
                <w:color w:val="auto"/>
              </w:rPr>
              <w:t>Age*</w:t>
            </w:r>
          </w:p>
        </w:tc>
        <w:tc>
          <w:tcPr>
            <w:tcW w:w="5160" w:type="dxa"/>
            <w:vAlign w:val="bottom"/>
            <w:tcBorders>
              <w:bottom w:val="single" w:sz="8" w:color="auto"/>
            </w:tcBorders>
          </w:tcPr>
          <w:p>
            <w:pPr>
              <w:ind w:left="160"/>
              <w:spacing w:after="0"/>
              <w:rPr>
                <w:sz w:val="20"/>
                <w:szCs w:val="20"/>
                <w:color w:val="auto"/>
              </w:rPr>
            </w:pPr>
            <w:r>
              <w:rPr>
                <w:rFonts w:ascii="Arial" w:cs="Arial" w:eastAsia="Arial" w:hAnsi="Arial"/>
                <w:sz w:val="13"/>
                <w:szCs w:val="13"/>
                <w:color w:val="auto"/>
              </w:rPr>
              <w:t>Position*</w:t>
            </w:r>
          </w:p>
        </w:tc>
      </w:tr>
      <w:tr>
        <w:trPr>
          <w:trHeight w:val="183"/>
        </w:trPr>
        <w:tc>
          <w:tcPr>
            <w:tcW w:w="1760" w:type="dxa"/>
            <w:vAlign w:val="bottom"/>
          </w:tcPr>
          <w:p>
            <w:pPr>
              <w:spacing w:after="0"/>
              <w:rPr>
                <w:sz w:val="20"/>
                <w:szCs w:val="20"/>
                <w:color w:val="auto"/>
              </w:rPr>
            </w:pPr>
            <w:r>
              <w:rPr>
                <w:rFonts w:ascii="Arial" w:cs="Arial" w:eastAsia="Arial" w:hAnsi="Arial"/>
                <w:sz w:val="14"/>
                <w:szCs w:val="14"/>
                <w:color w:val="auto"/>
              </w:rPr>
              <w:t>Donald E. Felsinger</w:t>
            </w:r>
          </w:p>
        </w:tc>
        <w:tc>
          <w:tcPr>
            <w:tcW w:w="680" w:type="dxa"/>
            <w:vAlign w:val="bottom"/>
          </w:tcPr>
          <w:p>
            <w:pPr>
              <w:ind w:left="240"/>
              <w:spacing w:after="0"/>
              <w:rPr>
                <w:sz w:val="20"/>
                <w:szCs w:val="20"/>
                <w:color w:val="auto"/>
              </w:rPr>
            </w:pPr>
            <w:r>
              <w:rPr>
                <w:rFonts w:ascii="Arial" w:cs="Arial" w:eastAsia="Arial" w:hAnsi="Arial"/>
                <w:sz w:val="14"/>
                <w:szCs w:val="14"/>
                <w:color w:val="auto"/>
              </w:rPr>
              <w:t>61</w:t>
            </w:r>
          </w:p>
        </w:tc>
        <w:tc>
          <w:tcPr>
            <w:tcW w:w="5160" w:type="dxa"/>
            <w:vAlign w:val="bottom"/>
          </w:tcPr>
          <w:p>
            <w:pPr>
              <w:ind w:left="160"/>
              <w:spacing w:after="0"/>
              <w:rPr>
                <w:sz w:val="20"/>
                <w:szCs w:val="20"/>
                <w:color w:val="auto"/>
              </w:rPr>
            </w:pPr>
            <w:r>
              <w:rPr>
                <w:rFonts w:ascii="Arial" w:cs="Arial" w:eastAsia="Arial" w:hAnsi="Arial"/>
                <w:sz w:val="14"/>
                <w:szCs w:val="14"/>
                <w:color w:val="auto"/>
              </w:rPr>
              <w:t>Chairman and Chief Executive Officer</w:t>
            </w:r>
          </w:p>
        </w:tc>
      </w:tr>
      <w:tr>
        <w:trPr>
          <w:trHeight w:val="192"/>
        </w:trPr>
        <w:tc>
          <w:tcPr>
            <w:tcW w:w="1760" w:type="dxa"/>
            <w:vAlign w:val="bottom"/>
          </w:tcPr>
          <w:p>
            <w:pPr>
              <w:spacing w:after="0"/>
              <w:rPr>
                <w:sz w:val="20"/>
                <w:szCs w:val="20"/>
                <w:color w:val="auto"/>
              </w:rPr>
            </w:pPr>
            <w:r>
              <w:rPr>
                <w:rFonts w:ascii="Arial" w:cs="Arial" w:eastAsia="Arial" w:hAnsi="Arial"/>
                <w:sz w:val="14"/>
                <w:szCs w:val="14"/>
                <w:color w:val="auto"/>
              </w:rPr>
              <w:t>Neal E. Schmale</w:t>
            </w:r>
          </w:p>
        </w:tc>
        <w:tc>
          <w:tcPr>
            <w:tcW w:w="680" w:type="dxa"/>
            <w:vAlign w:val="bottom"/>
          </w:tcPr>
          <w:p>
            <w:pPr>
              <w:ind w:left="240"/>
              <w:spacing w:after="0"/>
              <w:rPr>
                <w:sz w:val="20"/>
                <w:szCs w:val="20"/>
                <w:color w:val="auto"/>
              </w:rPr>
            </w:pPr>
            <w:r>
              <w:rPr>
                <w:rFonts w:ascii="Arial" w:cs="Arial" w:eastAsia="Arial" w:hAnsi="Arial"/>
                <w:sz w:val="14"/>
                <w:szCs w:val="14"/>
                <w:color w:val="auto"/>
              </w:rPr>
              <w:t>62</w:t>
            </w:r>
          </w:p>
        </w:tc>
        <w:tc>
          <w:tcPr>
            <w:tcW w:w="5160" w:type="dxa"/>
            <w:vAlign w:val="bottom"/>
          </w:tcPr>
          <w:p>
            <w:pPr>
              <w:ind w:left="160"/>
              <w:spacing w:after="0"/>
              <w:rPr>
                <w:sz w:val="20"/>
                <w:szCs w:val="20"/>
                <w:color w:val="auto"/>
              </w:rPr>
            </w:pPr>
            <w:r>
              <w:rPr>
                <w:rFonts w:ascii="Arial" w:cs="Arial" w:eastAsia="Arial" w:hAnsi="Arial"/>
                <w:sz w:val="14"/>
                <w:szCs w:val="14"/>
                <w:color w:val="auto"/>
              </w:rPr>
              <w:t>President and Chief Operating Officer</w:t>
            </w:r>
          </w:p>
        </w:tc>
      </w:tr>
      <w:tr>
        <w:trPr>
          <w:trHeight w:val="192"/>
        </w:trPr>
        <w:tc>
          <w:tcPr>
            <w:tcW w:w="1760" w:type="dxa"/>
            <w:vAlign w:val="bottom"/>
          </w:tcPr>
          <w:p>
            <w:pPr>
              <w:spacing w:after="0"/>
              <w:rPr>
                <w:sz w:val="20"/>
                <w:szCs w:val="20"/>
                <w:color w:val="auto"/>
              </w:rPr>
            </w:pPr>
            <w:r>
              <w:rPr>
                <w:rFonts w:ascii="Arial" w:cs="Arial" w:eastAsia="Arial" w:hAnsi="Arial"/>
                <w:sz w:val="14"/>
                <w:szCs w:val="14"/>
                <w:color w:val="auto"/>
              </w:rPr>
              <w:t>Javade Chaudhri</w:t>
            </w:r>
          </w:p>
        </w:tc>
        <w:tc>
          <w:tcPr>
            <w:tcW w:w="680" w:type="dxa"/>
            <w:vAlign w:val="bottom"/>
          </w:tcPr>
          <w:p>
            <w:pPr>
              <w:ind w:left="240"/>
              <w:spacing w:after="0"/>
              <w:rPr>
                <w:sz w:val="20"/>
                <w:szCs w:val="20"/>
                <w:color w:val="auto"/>
              </w:rPr>
            </w:pPr>
            <w:r>
              <w:rPr>
                <w:rFonts w:ascii="Arial" w:cs="Arial" w:eastAsia="Arial" w:hAnsi="Arial"/>
                <w:sz w:val="14"/>
                <w:szCs w:val="14"/>
                <w:color w:val="auto"/>
              </w:rPr>
              <w:t>56</w:t>
            </w:r>
          </w:p>
        </w:tc>
        <w:tc>
          <w:tcPr>
            <w:tcW w:w="5160" w:type="dxa"/>
            <w:vAlign w:val="bottom"/>
          </w:tcPr>
          <w:p>
            <w:pPr>
              <w:ind w:left="160"/>
              <w:spacing w:after="0"/>
              <w:rPr>
                <w:sz w:val="20"/>
                <w:szCs w:val="20"/>
                <w:color w:val="auto"/>
              </w:rPr>
            </w:pPr>
            <w:r>
              <w:rPr>
                <w:rFonts w:ascii="Arial" w:cs="Arial" w:eastAsia="Arial" w:hAnsi="Arial"/>
                <w:sz w:val="14"/>
                <w:szCs w:val="14"/>
                <w:color w:val="auto"/>
              </w:rPr>
              <w:t>Executive Vice President and General Counsel</w:t>
            </w:r>
          </w:p>
        </w:tc>
      </w:tr>
      <w:tr>
        <w:trPr>
          <w:trHeight w:val="192"/>
        </w:trPr>
        <w:tc>
          <w:tcPr>
            <w:tcW w:w="1760" w:type="dxa"/>
            <w:vAlign w:val="bottom"/>
          </w:tcPr>
          <w:p>
            <w:pPr>
              <w:spacing w:after="0"/>
              <w:rPr>
                <w:sz w:val="20"/>
                <w:szCs w:val="20"/>
                <w:color w:val="auto"/>
              </w:rPr>
            </w:pPr>
            <w:r>
              <w:rPr>
                <w:rFonts w:ascii="Arial" w:cs="Arial" w:eastAsia="Arial" w:hAnsi="Arial"/>
                <w:sz w:val="14"/>
                <w:szCs w:val="14"/>
                <w:color w:val="auto"/>
              </w:rPr>
              <w:t>Edwin A. Guiles</w:t>
            </w:r>
          </w:p>
        </w:tc>
        <w:tc>
          <w:tcPr>
            <w:tcW w:w="680" w:type="dxa"/>
            <w:vAlign w:val="bottom"/>
          </w:tcPr>
          <w:p>
            <w:pPr>
              <w:ind w:left="240"/>
              <w:spacing w:after="0"/>
              <w:rPr>
                <w:sz w:val="20"/>
                <w:szCs w:val="20"/>
                <w:color w:val="auto"/>
              </w:rPr>
            </w:pPr>
            <w:r>
              <w:rPr>
                <w:rFonts w:ascii="Arial" w:cs="Arial" w:eastAsia="Arial" w:hAnsi="Arial"/>
                <w:sz w:val="14"/>
                <w:szCs w:val="14"/>
                <w:color w:val="auto"/>
              </w:rPr>
              <w:t>59</w:t>
            </w:r>
          </w:p>
        </w:tc>
        <w:tc>
          <w:tcPr>
            <w:tcW w:w="5160" w:type="dxa"/>
            <w:vAlign w:val="bottom"/>
          </w:tcPr>
          <w:p>
            <w:pPr>
              <w:ind w:left="160"/>
              <w:spacing w:after="0"/>
              <w:rPr>
                <w:sz w:val="20"/>
                <w:szCs w:val="20"/>
                <w:color w:val="auto"/>
              </w:rPr>
            </w:pPr>
            <w:r>
              <w:rPr>
                <w:rFonts w:ascii="Arial" w:cs="Arial" w:eastAsia="Arial" w:hAnsi="Arial"/>
                <w:sz w:val="14"/>
                <w:szCs w:val="14"/>
                <w:color w:val="auto"/>
              </w:rPr>
              <w:t>Executive Vice President - Corporate Development</w:t>
            </w:r>
          </w:p>
        </w:tc>
      </w:tr>
      <w:tr>
        <w:trPr>
          <w:trHeight w:val="192"/>
        </w:trPr>
        <w:tc>
          <w:tcPr>
            <w:tcW w:w="1760" w:type="dxa"/>
            <w:vAlign w:val="bottom"/>
          </w:tcPr>
          <w:p>
            <w:pPr>
              <w:spacing w:after="0"/>
              <w:rPr>
                <w:sz w:val="20"/>
                <w:szCs w:val="20"/>
                <w:color w:val="auto"/>
              </w:rPr>
            </w:pPr>
            <w:r>
              <w:rPr>
                <w:rFonts w:ascii="Arial" w:cs="Arial" w:eastAsia="Arial" w:hAnsi="Arial"/>
                <w:sz w:val="14"/>
                <w:szCs w:val="14"/>
                <w:color w:val="auto"/>
              </w:rPr>
              <w:t>Jessie J. Knight, Jr.</w:t>
            </w:r>
          </w:p>
        </w:tc>
        <w:tc>
          <w:tcPr>
            <w:tcW w:w="680" w:type="dxa"/>
            <w:vAlign w:val="bottom"/>
          </w:tcPr>
          <w:p>
            <w:pPr>
              <w:ind w:left="240"/>
              <w:spacing w:after="0"/>
              <w:rPr>
                <w:sz w:val="20"/>
                <w:szCs w:val="20"/>
                <w:color w:val="auto"/>
              </w:rPr>
            </w:pPr>
            <w:r>
              <w:rPr>
                <w:rFonts w:ascii="Arial" w:cs="Arial" w:eastAsia="Arial" w:hAnsi="Arial"/>
                <w:sz w:val="14"/>
                <w:szCs w:val="14"/>
                <w:color w:val="auto"/>
              </w:rPr>
              <w:t>58</w:t>
            </w:r>
          </w:p>
        </w:tc>
        <w:tc>
          <w:tcPr>
            <w:tcW w:w="5160" w:type="dxa"/>
            <w:vAlign w:val="bottom"/>
          </w:tcPr>
          <w:p>
            <w:pPr>
              <w:ind w:left="160"/>
              <w:spacing w:after="0"/>
              <w:rPr>
                <w:sz w:val="20"/>
                <w:szCs w:val="20"/>
                <w:color w:val="auto"/>
              </w:rPr>
            </w:pPr>
            <w:r>
              <w:rPr>
                <w:rFonts w:ascii="Arial" w:cs="Arial" w:eastAsia="Arial" w:hAnsi="Arial"/>
                <w:sz w:val="14"/>
                <w:szCs w:val="14"/>
                <w:color w:val="auto"/>
              </w:rPr>
              <w:t>Executive Vice President - External Affairs</w:t>
            </w:r>
          </w:p>
        </w:tc>
      </w:tr>
      <w:tr>
        <w:trPr>
          <w:trHeight w:val="192"/>
        </w:trPr>
        <w:tc>
          <w:tcPr>
            <w:tcW w:w="1760" w:type="dxa"/>
            <w:vAlign w:val="bottom"/>
          </w:tcPr>
          <w:p>
            <w:pPr>
              <w:spacing w:after="0"/>
              <w:rPr>
                <w:sz w:val="20"/>
                <w:szCs w:val="20"/>
                <w:color w:val="auto"/>
              </w:rPr>
            </w:pPr>
            <w:r>
              <w:rPr>
                <w:rFonts w:ascii="Arial" w:cs="Arial" w:eastAsia="Arial" w:hAnsi="Arial"/>
                <w:sz w:val="14"/>
                <w:szCs w:val="14"/>
                <w:color w:val="auto"/>
              </w:rPr>
              <w:t>Mark A. Snell</w:t>
            </w:r>
          </w:p>
        </w:tc>
        <w:tc>
          <w:tcPr>
            <w:tcW w:w="680" w:type="dxa"/>
            <w:vAlign w:val="bottom"/>
          </w:tcPr>
          <w:p>
            <w:pPr>
              <w:ind w:left="240"/>
              <w:spacing w:after="0"/>
              <w:rPr>
                <w:sz w:val="20"/>
                <w:szCs w:val="20"/>
                <w:color w:val="auto"/>
              </w:rPr>
            </w:pPr>
            <w:r>
              <w:rPr>
                <w:rFonts w:ascii="Arial" w:cs="Arial" w:eastAsia="Arial" w:hAnsi="Arial"/>
                <w:sz w:val="14"/>
                <w:szCs w:val="14"/>
                <w:color w:val="auto"/>
              </w:rPr>
              <w:t>52</w:t>
            </w:r>
          </w:p>
        </w:tc>
        <w:tc>
          <w:tcPr>
            <w:tcW w:w="5160" w:type="dxa"/>
            <w:vAlign w:val="bottom"/>
          </w:tcPr>
          <w:p>
            <w:pPr>
              <w:ind w:left="160"/>
              <w:spacing w:after="0"/>
              <w:rPr>
                <w:sz w:val="20"/>
                <w:szCs w:val="20"/>
                <w:color w:val="auto"/>
              </w:rPr>
            </w:pPr>
            <w:r>
              <w:rPr>
                <w:rFonts w:ascii="Arial" w:cs="Arial" w:eastAsia="Arial" w:hAnsi="Arial"/>
                <w:sz w:val="14"/>
                <w:szCs w:val="14"/>
                <w:color w:val="auto"/>
              </w:rPr>
              <w:t>Executive Vice President and Chief Financial Officer</w:t>
            </w:r>
          </w:p>
        </w:tc>
      </w:tr>
      <w:tr>
        <w:trPr>
          <w:trHeight w:val="192"/>
        </w:trPr>
        <w:tc>
          <w:tcPr>
            <w:tcW w:w="1760" w:type="dxa"/>
            <w:vAlign w:val="bottom"/>
          </w:tcPr>
          <w:p>
            <w:pPr>
              <w:spacing w:after="0"/>
              <w:rPr>
                <w:sz w:val="20"/>
                <w:szCs w:val="20"/>
                <w:color w:val="auto"/>
              </w:rPr>
            </w:pPr>
            <w:r>
              <w:rPr>
                <w:rFonts w:ascii="Arial" w:cs="Arial" w:eastAsia="Arial" w:hAnsi="Arial"/>
                <w:sz w:val="14"/>
                <w:szCs w:val="14"/>
                <w:color w:val="auto"/>
              </w:rPr>
              <w:t>Joseph A. Householder</w:t>
            </w:r>
          </w:p>
        </w:tc>
        <w:tc>
          <w:tcPr>
            <w:tcW w:w="680" w:type="dxa"/>
            <w:vAlign w:val="bottom"/>
          </w:tcPr>
          <w:p>
            <w:pPr>
              <w:ind w:left="240"/>
              <w:spacing w:after="0"/>
              <w:rPr>
                <w:sz w:val="20"/>
                <w:szCs w:val="20"/>
                <w:color w:val="auto"/>
              </w:rPr>
            </w:pPr>
            <w:r>
              <w:rPr>
                <w:rFonts w:ascii="Arial" w:cs="Arial" w:eastAsia="Arial" w:hAnsi="Arial"/>
                <w:sz w:val="14"/>
                <w:szCs w:val="14"/>
                <w:color w:val="auto"/>
              </w:rPr>
              <w:t>53</w:t>
            </w:r>
          </w:p>
        </w:tc>
        <w:tc>
          <w:tcPr>
            <w:tcW w:w="5160" w:type="dxa"/>
            <w:vAlign w:val="bottom"/>
          </w:tcPr>
          <w:p>
            <w:pPr>
              <w:ind w:left="160"/>
              <w:spacing w:after="0"/>
              <w:rPr>
                <w:sz w:val="20"/>
                <w:szCs w:val="20"/>
                <w:color w:val="auto"/>
              </w:rPr>
            </w:pPr>
            <w:r>
              <w:rPr>
                <w:rFonts w:ascii="Arial" w:cs="Arial" w:eastAsia="Arial" w:hAnsi="Arial"/>
                <w:sz w:val="14"/>
                <w:szCs w:val="14"/>
                <w:color w:val="auto"/>
              </w:rPr>
              <w:t>Senior Vice President, Controller and Chief Accounting Officer</w:t>
            </w:r>
          </w:p>
        </w:tc>
      </w:tr>
      <w:tr>
        <w:trPr>
          <w:trHeight w:val="192"/>
        </w:trPr>
        <w:tc>
          <w:tcPr>
            <w:tcW w:w="1760" w:type="dxa"/>
            <w:vAlign w:val="bottom"/>
          </w:tcPr>
          <w:p>
            <w:pPr>
              <w:spacing w:after="0"/>
              <w:rPr>
                <w:sz w:val="20"/>
                <w:szCs w:val="20"/>
                <w:color w:val="auto"/>
              </w:rPr>
            </w:pPr>
            <w:r>
              <w:rPr>
                <w:rFonts w:ascii="Arial" w:cs="Arial" w:eastAsia="Arial" w:hAnsi="Arial"/>
                <w:sz w:val="14"/>
                <w:szCs w:val="14"/>
                <w:color w:val="auto"/>
              </w:rPr>
              <w:t>Charles A. McMonagle</w:t>
            </w:r>
          </w:p>
        </w:tc>
        <w:tc>
          <w:tcPr>
            <w:tcW w:w="680" w:type="dxa"/>
            <w:vAlign w:val="bottom"/>
          </w:tcPr>
          <w:p>
            <w:pPr>
              <w:ind w:left="240"/>
              <w:spacing w:after="0"/>
              <w:rPr>
                <w:sz w:val="20"/>
                <w:szCs w:val="20"/>
                <w:color w:val="auto"/>
              </w:rPr>
            </w:pPr>
            <w:r>
              <w:rPr>
                <w:rFonts w:ascii="Arial" w:cs="Arial" w:eastAsia="Arial" w:hAnsi="Arial"/>
                <w:sz w:val="14"/>
                <w:szCs w:val="14"/>
                <w:color w:val="auto"/>
              </w:rPr>
              <w:t>59</w:t>
            </w:r>
          </w:p>
        </w:tc>
        <w:tc>
          <w:tcPr>
            <w:tcW w:w="5160" w:type="dxa"/>
            <w:vAlign w:val="bottom"/>
          </w:tcPr>
          <w:p>
            <w:pPr>
              <w:ind w:left="160"/>
              <w:spacing w:after="0"/>
              <w:rPr>
                <w:sz w:val="20"/>
                <w:szCs w:val="20"/>
                <w:color w:val="auto"/>
              </w:rPr>
            </w:pPr>
            <w:r>
              <w:rPr>
                <w:rFonts w:ascii="Arial" w:cs="Arial" w:eastAsia="Arial" w:hAnsi="Arial"/>
                <w:sz w:val="14"/>
                <w:szCs w:val="14"/>
                <w:color w:val="auto"/>
              </w:rPr>
              <w:t>Senior Vice President and Treasurer</w:t>
            </w:r>
          </w:p>
        </w:tc>
      </w:tr>
      <w:tr>
        <w:trPr>
          <w:trHeight w:val="226"/>
        </w:trPr>
        <w:tc>
          <w:tcPr>
            <w:tcW w:w="1760" w:type="dxa"/>
            <w:vAlign w:val="bottom"/>
            <w:tcBorders>
              <w:bottom w:val="single" w:sz="8" w:color="3F3F3F"/>
            </w:tcBorders>
          </w:tcPr>
          <w:p>
            <w:pPr>
              <w:spacing w:after="0"/>
              <w:rPr>
                <w:sz w:val="20"/>
                <w:szCs w:val="20"/>
                <w:color w:val="auto"/>
              </w:rPr>
            </w:pPr>
            <w:r>
              <w:rPr>
                <w:rFonts w:ascii="Arial" w:cs="Arial" w:eastAsia="Arial" w:hAnsi="Arial"/>
                <w:sz w:val="14"/>
                <w:szCs w:val="14"/>
                <w:color w:val="auto"/>
              </w:rPr>
              <w:t>G. Joyce Rowland</w:t>
            </w:r>
          </w:p>
        </w:tc>
        <w:tc>
          <w:tcPr>
            <w:tcW w:w="680" w:type="dxa"/>
            <w:vAlign w:val="bottom"/>
            <w:tcBorders>
              <w:bottom w:val="single" w:sz="8" w:color="3F3F3F"/>
            </w:tcBorders>
          </w:tcPr>
          <w:p>
            <w:pPr>
              <w:ind w:left="240"/>
              <w:spacing w:after="0"/>
              <w:rPr>
                <w:sz w:val="20"/>
                <w:szCs w:val="20"/>
                <w:color w:val="auto"/>
              </w:rPr>
            </w:pPr>
            <w:r>
              <w:rPr>
                <w:rFonts w:ascii="Arial" w:cs="Arial" w:eastAsia="Arial" w:hAnsi="Arial"/>
                <w:sz w:val="14"/>
                <w:szCs w:val="14"/>
                <w:color w:val="auto"/>
              </w:rPr>
              <w:t>54</w:t>
            </w:r>
          </w:p>
        </w:tc>
        <w:tc>
          <w:tcPr>
            <w:tcW w:w="5160" w:type="dxa"/>
            <w:vAlign w:val="bottom"/>
            <w:tcBorders>
              <w:bottom w:val="single" w:sz="8" w:color="3F3F3F"/>
            </w:tcBorders>
          </w:tcPr>
          <w:p>
            <w:pPr>
              <w:ind w:left="160"/>
              <w:spacing w:after="0"/>
              <w:rPr>
                <w:sz w:val="20"/>
                <w:szCs w:val="20"/>
                <w:color w:val="auto"/>
              </w:rPr>
            </w:pPr>
            <w:r>
              <w:rPr>
                <w:rFonts w:ascii="Arial" w:cs="Arial" w:eastAsia="Arial" w:hAnsi="Arial"/>
                <w:sz w:val="14"/>
                <w:szCs w:val="14"/>
                <w:color w:val="auto"/>
              </w:rPr>
              <w:t>Senior Vice President - Human Resources</w:t>
            </w:r>
          </w:p>
        </w:tc>
      </w:tr>
    </w:tbl>
    <w:p>
      <w:pPr>
        <w:spacing w:after="0" w:line="16" w:lineRule="exact"/>
        <w:rPr>
          <w:sz w:val="20"/>
          <w:szCs w:val="20"/>
          <w:color w:val="auto"/>
        </w:rPr>
      </w:pPr>
    </w:p>
    <w:p>
      <w:pPr>
        <w:ind w:left="1920"/>
        <w:spacing w:after="0"/>
        <w:rPr>
          <w:sz w:val="20"/>
          <w:szCs w:val="20"/>
          <w:color w:val="auto"/>
        </w:rPr>
      </w:pPr>
      <w:r>
        <w:rPr>
          <w:rFonts w:ascii="Arial" w:cs="Arial" w:eastAsia="Arial" w:hAnsi="Arial"/>
          <w:sz w:val="13"/>
          <w:szCs w:val="13"/>
          <w:i w:val="1"/>
          <w:iCs w:val="1"/>
          <w:color w:val="auto"/>
        </w:rPr>
        <w:t>* As of February 24, 2009.</w:t>
      </w:r>
    </w:p>
    <w:p>
      <w:pPr>
        <w:spacing w:after="0" w:line="290" w:lineRule="exact"/>
        <w:rPr>
          <w:sz w:val="20"/>
          <w:szCs w:val="20"/>
          <w:color w:val="auto"/>
        </w:rPr>
      </w:pPr>
    </w:p>
    <w:p>
      <w:pPr>
        <w:ind w:right="80"/>
        <w:spacing w:after="0" w:line="277" w:lineRule="auto"/>
        <w:rPr>
          <w:sz w:val="20"/>
          <w:szCs w:val="20"/>
          <w:color w:val="auto"/>
        </w:rPr>
      </w:pPr>
      <w:r>
        <w:rPr>
          <w:rFonts w:ascii="Arial" w:cs="Arial" w:eastAsia="Arial" w:hAnsi="Arial"/>
          <w:sz w:val="16"/>
          <w:szCs w:val="16"/>
          <w:color w:val="auto"/>
        </w:rPr>
        <w:t>Each executive officer has been an officer of Sempra Energy or one of its subsidiaries for more than five years, except for Mr. Knight. Prior to joining Sempra Energy in 2006, Mr. Knight served as President and CEO of the San Diego Regional Chamber of Commerce since 1999.</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4"/>
          <w:szCs w:val="14"/>
          <w:color w:val="auto"/>
        </w:rPr>
        <w:t>32</w:t>
      </w:r>
    </w:p>
    <w:p>
      <w:pPr>
        <w:sectPr>
          <w:pgSz w:w="11900" w:h="16838" w:orient="portrait"/>
          <w:cols w:equalWidth="0" w:num="1">
            <w:col w:w="11280"/>
          </w:cols>
          <w:pgMar w:left="240" w:top="143" w:right="379" w:bottom="1440" w:gutter="0" w:footer="0" w:header="0"/>
        </w:sectPr>
      </w:pPr>
    </w:p>
    <w:bookmarkStart w:id="32" w:name="page33"/>
    <w:bookmarkEnd w:id="32"/>
    <w:p>
      <w:pPr>
        <w:spacing w:after="0"/>
        <w:rPr>
          <w:sz w:val="20"/>
          <w:szCs w:val="20"/>
          <w:color w:val="auto"/>
        </w:rPr>
      </w:pPr>
      <w:r>
        <w:rPr>
          <w:rFonts w:ascii="Arial" w:cs="Arial" w:eastAsia="Arial" w:hAnsi="Arial"/>
          <w:sz w:val="16"/>
          <w:szCs w:val="16"/>
          <w:b w:val="1"/>
          <w:bCs w:val="1"/>
          <w:color w:val="auto"/>
        </w:rPr>
        <w:t>SDG&amp;E, PE AND SOCALGAS</w:t>
      </w:r>
    </w:p>
    <w:p>
      <w:pPr>
        <w:spacing w:after="0" w:line="101" w:lineRule="exact"/>
        <w:rPr>
          <w:sz w:val="20"/>
          <w:szCs w:val="20"/>
          <w:color w:val="auto"/>
        </w:rPr>
      </w:pPr>
    </w:p>
    <w:p>
      <w:pPr>
        <w:ind w:right="140"/>
        <w:spacing w:after="0" w:line="277" w:lineRule="auto"/>
        <w:rPr>
          <w:sz w:val="20"/>
          <w:szCs w:val="20"/>
          <w:color w:val="auto"/>
        </w:rPr>
      </w:pPr>
      <w:r>
        <w:rPr>
          <w:rFonts w:ascii="Arial" w:cs="Arial" w:eastAsia="Arial" w:hAnsi="Arial"/>
          <w:sz w:val="16"/>
          <w:szCs w:val="16"/>
          <w:color w:val="auto"/>
        </w:rPr>
        <w:t>The information required by Item 10 for SDG&amp;E, PE and SoCalGas is incorporated by reference from the Information Statement prepared for the June 2009 annual meeting of shareholders. The information required on the executive officers is set forth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1217930</wp:posOffset>
            </wp:positionH>
            <wp:positionV relativeFrom="paragraph">
              <wp:posOffset>226695</wp:posOffset>
            </wp:positionV>
            <wp:extent cx="4828540" cy="2667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4828540" cy="266700"/>
                    </a:xfrm>
                    <a:prstGeom prst="rect">
                      <a:avLst/>
                    </a:prstGeom>
                    <a:noFill/>
                  </pic:spPr>
                </pic:pic>
              </a:graphicData>
            </a:graphic>
          </wp:anchor>
        </w:drawing>
      </w:r>
    </w:p>
    <w:p>
      <w:pPr>
        <w:spacing w:after="0" w:line="344" w:lineRule="exact"/>
        <w:rPr>
          <w:sz w:val="20"/>
          <w:szCs w:val="20"/>
          <w:color w:val="auto"/>
        </w:rPr>
      </w:pPr>
    </w:p>
    <w:p>
      <w:pPr>
        <w:ind w:left="1920"/>
        <w:spacing w:after="0"/>
        <w:rPr>
          <w:sz w:val="20"/>
          <w:szCs w:val="20"/>
          <w:color w:val="auto"/>
        </w:rPr>
      </w:pPr>
      <w:r>
        <w:rPr>
          <w:rFonts w:ascii="Arial" w:cs="Arial" w:eastAsia="Arial" w:hAnsi="Arial"/>
          <w:sz w:val="14"/>
          <w:szCs w:val="14"/>
          <w:b w:val="1"/>
          <w:bCs w:val="1"/>
          <w:color w:val="auto"/>
        </w:rPr>
        <w:t>EXECUTIVE OFFICERS OF THE REGISTRANTS</w:t>
      </w:r>
    </w:p>
    <w:p>
      <w:pPr>
        <w:spacing w:after="0" w:line="268" w:lineRule="exact"/>
        <w:rPr>
          <w:sz w:val="20"/>
          <w:szCs w:val="20"/>
          <w:color w:val="auto"/>
        </w:rPr>
      </w:pPr>
    </w:p>
    <w:tbl>
      <w:tblPr>
        <w:tblLayout w:type="fixed"/>
        <w:tblInd w:w="1920" w:type="dxa"/>
        <w:tblCellMar>
          <w:top w:w="0" w:type="dxa"/>
          <w:left w:w="0" w:type="dxa"/>
          <w:bottom w:w="0" w:type="dxa"/>
          <w:right w:w="0" w:type="dxa"/>
        </w:tblCellMar>
      </w:tblPr>
      <w:tr>
        <w:trPr>
          <w:trHeight w:val="159"/>
        </w:trPr>
        <w:tc>
          <w:tcPr>
            <w:tcW w:w="176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Name</w:t>
            </w:r>
          </w:p>
        </w:tc>
        <w:tc>
          <w:tcPr>
            <w:tcW w:w="680" w:type="dxa"/>
            <w:vAlign w:val="bottom"/>
            <w:tcBorders>
              <w:bottom w:val="single" w:sz="8" w:color="auto"/>
            </w:tcBorders>
          </w:tcPr>
          <w:p>
            <w:pPr>
              <w:ind w:left="240"/>
              <w:spacing w:after="0"/>
              <w:rPr>
                <w:sz w:val="20"/>
                <w:szCs w:val="20"/>
                <w:color w:val="auto"/>
              </w:rPr>
            </w:pPr>
            <w:r>
              <w:rPr>
                <w:rFonts w:ascii="Arial" w:cs="Arial" w:eastAsia="Arial" w:hAnsi="Arial"/>
                <w:sz w:val="13"/>
                <w:szCs w:val="13"/>
                <w:color w:val="auto"/>
              </w:rPr>
              <w:t>Age*</w:t>
            </w:r>
          </w:p>
        </w:tc>
        <w:tc>
          <w:tcPr>
            <w:tcW w:w="5160" w:type="dxa"/>
            <w:vAlign w:val="bottom"/>
            <w:tcBorders>
              <w:bottom w:val="single" w:sz="8" w:color="auto"/>
            </w:tcBorders>
          </w:tcPr>
          <w:p>
            <w:pPr>
              <w:ind w:left="160"/>
              <w:spacing w:after="0"/>
              <w:rPr>
                <w:sz w:val="20"/>
                <w:szCs w:val="20"/>
                <w:color w:val="auto"/>
              </w:rPr>
            </w:pPr>
            <w:r>
              <w:rPr>
                <w:rFonts w:ascii="Arial" w:cs="Arial" w:eastAsia="Arial" w:hAnsi="Arial"/>
                <w:sz w:val="13"/>
                <w:szCs w:val="13"/>
                <w:color w:val="auto"/>
              </w:rPr>
              <w:t>Position*</w:t>
            </w:r>
          </w:p>
        </w:tc>
      </w:tr>
      <w:tr>
        <w:trPr>
          <w:trHeight w:val="176"/>
        </w:trPr>
        <w:tc>
          <w:tcPr>
            <w:tcW w:w="7600" w:type="dxa"/>
            <w:vAlign w:val="bottom"/>
            <w:gridSpan w:val="3"/>
          </w:tcPr>
          <w:p>
            <w:pPr>
              <w:spacing w:after="0"/>
              <w:rPr>
                <w:sz w:val="20"/>
                <w:szCs w:val="20"/>
                <w:color w:val="auto"/>
              </w:rPr>
            </w:pPr>
            <w:r>
              <w:rPr>
                <w:rFonts w:ascii="Arial" w:cs="Arial" w:eastAsia="Arial" w:hAnsi="Arial"/>
                <w:sz w:val="14"/>
                <w:szCs w:val="14"/>
                <w:b w:val="1"/>
                <w:bCs w:val="1"/>
                <w:color w:val="auto"/>
              </w:rPr>
              <w:t>SAN DIEGO GAS &amp; ELECTRIC COMPANY</w:t>
            </w:r>
          </w:p>
        </w:tc>
      </w:tr>
      <w:tr>
        <w:trPr>
          <w:trHeight w:val="175"/>
        </w:trPr>
        <w:tc>
          <w:tcPr>
            <w:tcW w:w="1760" w:type="dxa"/>
            <w:vAlign w:val="bottom"/>
          </w:tcPr>
          <w:p>
            <w:pPr>
              <w:spacing w:after="0"/>
              <w:rPr>
                <w:sz w:val="20"/>
                <w:szCs w:val="20"/>
                <w:color w:val="auto"/>
              </w:rPr>
            </w:pPr>
            <w:r>
              <w:rPr>
                <w:rFonts w:ascii="Arial" w:cs="Arial" w:eastAsia="Arial" w:hAnsi="Arial"/>
                <w:sz w:val="14"/>
                <w:szCs w:val="14"/>
                <w:color w:val="auto"/>
              </w:rPr>
              <w:t>Debra L. Reed</w:t>
            </w:r>
          </w:p>
        </w:tc>
        <w:tc>
          <w:tcPr>
            <w:tcW w:w="680" w:type="dxa"/>
            <w:vAlign w:val="bottom"/>
          </w:tcPr>
          <w:p>
            <w:pPr>
              <w:ind w:left="240"/>
              <w:spacing w:after="0"/>
              <w:rPr>
                <w:sz w:val="20"/>
                <w:szCs w:val="20"/>
                <w:color w:val="auto"/>
              </w:rPr>
            </w:pPr>
            <w:r>
              <w:rPr>
                <w:rFonts w:ascii="Arial" w:cs="Arial" w:eastAsia="Arial" w:hAnsi="Arial"/>
                <w:sz w:val="14"/>
                <w:szCs w:val="14"/>
                <w:color w:val="auto"/>
              </w:rPr>
              <w:t>52</w:t>
            </w:r>
          </w:p>
        </w:tc>
        <w:tc>
          <w:tcPr>
            <w:tcW w:w="5160" w:type="dxa"/>
            <w:vAlign w:val="bottom"/>
          </w:tcPr>
          <w:p>
            <w:pPr>
              <w:ind w:left="160"/>
              <w:spacing w:after="0"/>
              <w:rPr>
                <w:sz w:val="20"/>
                <w:szCs w:val="20"/>
                <w:color w:val="auto"/>
              </w:rPr>
            </w:pPr>
            <w:r>
              <w:rPr>
                <w:rFonts w:ascii="Arial" w:cs="Arial" w:eastAsia="Arial" w:hAnsi="Arial"/>
                <w:sz w:val="14"/>
                <w:szCs w:val="14"/>
                <w:color w:val="auto"/>
              </w:rPr>
              <w:t>Chairperson, President and Chief Executive Officer</w:t>
            </w:r>
          </w:p>
        </w:tc>
      </w:tr>
      <w:tr>
        <w:trPr>
          <w:trHeight w:val="192"/>
        </w:trPr>
        <w:tc>
          <w:tcPr>
            <w:tcW w:w="1760" w:type="dxa"/>
            <w:vAlign w:val="bottom"/>
          </w:tcPr>
          <w:p>
            <w:pPr>
              <w:spacing w:after="0"/>
              <w:rPr>
                <w:sz w:val="20"/>
                <w:szCs w:val="20"/>
                <w:color w:val="auto"/>
              </w:rPr>
            </w:pPr>
            <w:r>
              <w:rPr>
                <w:rFonts w:ascii="Arial" w:cs="Arial" w:eastAsia="Arial" w:hAnsi="Arial"/>
                <w:sz w:val="14"/>
                <w:szCs w:val="14"/>
                <w:color w:val="auto"/>
              </w:rPr>
              <w:t>Michael R. Niggli</w:t>
            </w:r>
          </w:p>
        </w:tc>
        <w:tc>
          <w:tcPr>
            <w:tcW w:w="680" w:type="dxa"/>
            <w:vAlign w:val="bottom"/>
          </w:tcPr>
          <w:p>
            <w:pPr>
              <w:ind w:left="240"/>
              <w:spacing w:after="0"/>
              <w:rPr>
                <w:sz w:val="20"/>
                <w:szCs w:val="20"/>
                <w:color w:val="auto"/>
              </w:rPr>
            </w:pPr>
            <w:r>
              <w:rPr>
                <w:rFonts w:ascii="Arial" w:cs="Arial" w:eastAsia="Arial" w:hAnsi="Arial"/>
                <w:sz w:val="14"/>
                <w:szCs w:val="14"/>
                <w:color w:val="auto"/>
              </w:rPr>
              <w:t>59</w:t>
            </w:r>
          </w:p>
        </w:tc>
        <w:tc>
          <w:tcPr>
            <w:tcW w:w="5160" w:type="dxa"/>
            <w:vAlign w:val="bottom"/>
          </w:tcPr>
          <w:p>
            <w:pPr>
              <w:ind w:left="160"/>
              <w:spacing w:after="0"/>
              <w:rPr>
                <w:sz w:val="20"/>
                <w:szCs w:val="20"/>
                <w:color w:val="auto"/>
              </w:rPr>
            </w:pPr>
            <w:r>
              <w:rPr>
                <w:rFonts w:ascii="Arial" w:cs="Arial" w:eastAsia="Arial" w:hAnsi="Arial"/>
                <w:sz w:val="14"/>
                <w:szCs w:val="14"/>
                <w:color w:val="auto"/>
              </w:rPr>
              <w:t>Chief Operating Officer</w:t>
            </w:r>
          </w:p>
        </w:tc>
      </w:tr>
      <w:tr>
        <w:trPr>
          <w:trHeight w:val="192"/>
        </w:trPr>
        <w:tc>
          <w:tcPr>
            <w:tcW w:w="1760" w:type="dxa"/>
            <w:vAlign w:val="bottom"/>
          </w:tcPr>
          <w:p>
            <w:pPr>
              <w:spacing w:after="0"/>
              <w:rPr>
                <w:sz w:val="20"/>
                <w:szCs w:val="20"/>
                <w:color w:val="auto"/>
              </w:rPr>
            </w:pPr>
            <w:r>
              <w:rPr>
                <w:rFonts w:ascii="Arial" w:cs="Arial" w:eastAsia="Arial" w:hAnsi="Arial"/>
                <w:sz w:val="14"/>
                <w:szCs w:val="14"/>
                <w:color w:val="auto"/>
              </w:rPr>
              <w:t>James P. Avery</w:t>
            </w:r>
          </w:p>
        </w:tc>
        <w:tc>
          <w:tcPr>
            <w:tcW w:w="680" w:type="dxa"/>
            <w:vAlign w:val="bottom"/>
          </w:tcPr>
          <w:p>
            <w:pPr>
              <w:ind w:left="240"/>
              <w:spacing w:after="0"/>
              <w:rPr>
                <w:sz w:val="20"/>
                <w:szCs w:val="20"/>
                <w:color w:val="auto"/>
              </w:rPr>
            </w:pPr>
            <w:r>
              <w:rPr>
                <w:rFonts w:ascii="Arial" w:cs="Arial" w:eastAsia="Arial" w:hAnsi="Arial"/>
                <w:sz w:val="14"/>
                <w:szCs w:val="14"/>
                <w:color w:val="auto"/>
              </w:rPr>
              <w:t>52</w:t>
            </w:r>
          </w:p>
        </w:tc>
        <w:tc>
          <w:tcPr>
            <w:tcW w:w="5160" w:type="dxa"/>
            <w:vAlign w:val="bottom"/>
          </w:tcPr>
          <w:p>
            <w:pPr>
              <w:ind w:left="160"/>
              <w:spacing w:after="0"/>
              <w:rPr>
                <w:sz w:val="20"/>
                <w:szCs w:val="20"/>
                <w:color w:val="auto"/>
              </w:rPr>
            </w:pPr>
            <w:r>
              <w:rPr>
                <w:rFonts w:ascii="Arial" w:cs="Arial" w:eastAsia="Arial" w:hAnsi="Arial"/>
                <w:sz w:val="14"/>
                <w:szCs w:val="14"/>
                <w:color w:val="auto"/>
              </w:rPr>
              <w:t>Senior Vice President - Electric</w:t>
            </w:r>
          </w:p>
        </w:tc>
      </w:tr>
      <w:tr>
        <w:trPr>
          <w:trHeight w:val="192"/>
        </w:trPr>
        <w:tc>
          <w:tcPr>
            <w:tcW w:w="1760" w:type="dxa"/>
            <w:vAlign w:val="bottom"/>
          </w:tcPr>
          <w:p>
            <w:pPr>
              <w:spacing w:after="0"/>
              <w:rPr>
                <w:sz w:val="20"/>
                <w:szCs w:val="20"/>
                <w:color w:val="auto"/>
              </w:rPr>
            </w:pPr>
            <w:r>
              <w:rPr>
                <w:rFonts w:ascii="Arial" w:cs="Arial" w:eastAsia="Arial" w:hAnsi="Arial"/>
                <w:sz w:val="14"/>
                <w:szCs w:val="14"/>
                <w:color w:val="auto"/>
              </w:rPr>
              <w:t>Lee Schavrien</w:t>
            </w:r>
          </w:p>
        </w:tc>
        <w:tc>
          <w:tcPr>
            <w:tcW w:w="680" w:type="dxa"/>
            <w:vAlign w:val="bottom"/>
          </w:tcPr>
          <w:p>
            <w:pPr>
              <w:ind w:left="240"/>
              <w:spacing w:after="0"/>
              <w:rPr>
                <w:sz w:val="20"/>
                <w:szCs w:val="20"/>
                <w:color w:val="auto"/>
              </w:rPr>
            </w:pPr>
            <w:r>
              <w:rPr>
                <w:rFonts w:ascii="Arial" w:cs="Arial" w:eastAsia="Arial" w:hAnsi="Arial"/>
                <w:sz w:val="14"/>
                <w:szCs w:val="14"/>
                <w:color w:val="auto"/>
              </w:rPr>
              <w:t>54</w:t>
            </w:r>
          </w:p>
        </w:tc>
        <w:tc>
          <w:tcPr>
            <w:tcW w:w="5160" w:type="dxa"/>
            <w:vAlign w:val="bottom"/>
          </w:tcPr>
          <w:p>
            <w:pPr>
              <w:ind w:left="160"/>
              <w:spacing w:after="0"/>
              <w:rPr>
                <w:sz w:val="20"/>
                <w:szCs w:val="20"/>
                <w:color w:val="auto"/>
              </w:rPr>
            </w:pPr>
            <w:r>
              <w:rPr>
                <w:rFonts w:ascii="Arial" w:cs="Arial" w:eastAsia="Arial" w:hAnsi="Arial"/>
                <w:sz w:val="14"/>
                <w:szCs w:val="14"/>
                <w:color w:val="auto"/>
              </w:rPr>
              <w:t>Senior Vice President - Regulatory and Finance</w:t>
            </w:r>
          </w:p>
        </w:tc>
      </w:tr>
      <w:tr>
        <w:trPr>
          <w:trHeight w:val="192"/>
        </w:trPr>
        <w:tc>
          <w:tcPr>
            <w:tcW w:w="1760" w:type="dxa"/>
            <w:vAlign w:val="bottom"/>
          </w:tcPr>
          <w:p>
            <w:pPr>
              <w:spacing w:after="0"/>
              <w:rPr>
                <w:sz w:val="20"/>
                <w:szCs w:val="20"/>
                <w:color w:val="auto"/>
              </w:rPr>
            </w:pPr>
            <w:r>
              <w:rPr>
                <w:rFonts w:ascii="Arial" w:cs="Arial" w:eastAsia="Arial" w:hAnsi="Arial"/>
                <w:sz w:val="14"/>
                <w:szCs w:val="14"/>
                <w:color w:val="auto"/>
              </w:rPr>
              <w:t>Anne S. Smith</w:t>
            </w:r>
          </w:p>
        </w:tc>
        <w:tc>
          <w:tcPr>
            <w:tcW w:w="680" w:type="dxa"/>
            <w:vAlign w:val="bottom"/>
          </w:tcPr>
          <w:p>
            <w:pPr>
              <w:ind w:left="240"/>
              <w:spacing w:after="0"/>
              <w:rPr>
                <w:sz w:val="20"/>
                <w:szCs w:val="20"/>
                <w:color w:val="auto"/>
              </w:rPr>
            </w:pPr>
            <w:r>
              <w:rPr>
                <w:rFonts w:ascii="Arial" w:cs="Arial" w:eastAsia="Arial" w:hAnsi="Arial"/>
                <w:sz w:val="14"/>
                <w:szCs w:val="14"/>
                <w:color w:val="auto"/>
              </w:rPr>
              <w:t>55</w:t>
            </w:r>
          </w:p>
        </w:tc>
        <w:tc>
          <w:tcPr>
            <w:tcW w:w="5160" w:type="dxa"/>
            <w:vAlign w:val="bottom"/>
          </w:tcPr>
          <w:p>
            <w:pPr>
              <w:ind w:left="160"/>
              <w:spacing w:after="0"/>
              <w:rPr>
                <w:sz w:val="20"/>
                <w:szCs w:val="20"/>
                <w:color w:val="auto"/>
              </w:rPr>
            </w:pPr>
            <w:r>
              <w:rPr>
                <w:rFonts w:ascii="Arial" w:cs="Arial" w:eastAsia="Arial" w:hAnsi="Arial"/>
                <w:sz w:val="14"/>
                <w:szCs w:val="14"/>
                <w:color w:val="auto"/>
              </w:rPr>
              <w:t>Senior Vice President - Customer Services</w:t>
            </w:r>
          </w:p>
        </w:tc>
      </w:tr>
      <w:tr>
        <w:trPr>
          <w:trHeight w:val="192"/>
        </w:trPr>
        <w:tc>
          <w:tcPr>
            <w:tcW w:w="1760" w:type="dxa"/>
            <w:vAlign w:val="bottom"/>
          </w:tcPr>
          <w:p>
            <w:pPr>
              <w:spacing w:after="0"/>
              <w:rPr>
                <w:sz w:val="20"/>
                <w:szCs w:val="20"/>
                <w:color w:val="auto"/>
              </w:rPr>
            </w:pPr>
            <w:r>
              <w:rPr>
                <w:rFonts w:ascii="Arial" w:cs="Arial" w:eastAsia="Arial" w:hAnsi="Arial"/>
                <w:sz w:val="14"/>
                <w:szCs w:val="14"/>
                <w:color w:val="auto"/>
              </w:rPr>
              <w:t>W. Davis Smith</w:t>
            </w:r>
          </w:p>
        </w:tc>
        <w:tc>
          <w:tcPr>
            <w:tcW w:w="680" w:type="dxa"/>
            <w:vAlign w:val="bottom"/>
          </w:tcPr>
          <w:p>
            <w:pPr>
              <w:ind w:left="240"/>
              <w:spacing w:after="0"/>
              <w:rPr>
                <w:sz w:val="20"/>
                <w:szCs w:val="20"/>
                <w:color w:val="auto"/>
              </w:rPr>
            </w:pPr>
            <w:r>
              <w:rPr>
                <w:rFonts w:ascii="Arial" w:cs="Arial" w:eastAsia="Arial" w:hAnsi="Arial"/>
                <w:sz w:val="14"/>
                <w:szCs w:val="14"/>
                <w:color w:val="auto"/>
              </w:rPr>
              <w:t>59</w:t>
            </w:r>
          </w:p>
        </w:tc>
        <w:tc>
          <w:tcPr>
            <w:tcW w:w="5160" w:type="dxa"/>
            <w:vAlign w:val="bottom"/>
          </w:tcPr>
          <w:p>
            <w:pPr>
              <w:ind w:left="160"/>
              <w:spacing w:after="0"/>
              <w:rPr>
                <w:sz w:val="20"/>
                <w:szCs w:val="20"/>
                <w:color w:val="auto"/>
              </w:rPr>
            </w:pPr>
            <w:r>
              <w:rPr>
                <w:rFonts w:ascii="Arial" w:cs="Arial" w:eastAsia="Arial" w:hAnsi="Arial"/>
                <w:sz w:val="14"/>
                <w:szCs w:val="14"/>
                <w:color w:val="auto"/>
              </w:rPr>
              <w:t>Senior Vice President and General Counsel</w:t>
            </w:r>
          </w:p>
        </w:tc>
      </w:tr>
      <w:tr>
        <w:trPr>
          <w:trHeight w:val="192"/>
        </w:trPr>
        <w:tc>
          <w:tcPr>
            <w:tcW w:w="1760" w:type="dxa"/>
            <w:vAlign w:val="bottom"/>
          </w:tcPr>
          <w:p>
            <w:pPr>
              <w:spacing w:after="0"/>
              <w:rPr>
                <w:sz w:val="20"/>
                <w:szCs w:val="20"/>
                <w:color w:val="auto"/>
              </w:rPr>
            </w:pPr>
            <w:r>
              <w:rPr>
                <w:rFonts w:ascii="Arial" w:cs="Arial" w:eastAsia="Arial" w:hAnsi="Arial"/>
                <w:sz w:val="14"/>
                <w:szCs w:val="14"/>
                <w:color w:val="auto"/>
              </w:rPr>
              <w:t>Lee M. Stewart</w:t>
            </w:r>
          </w:p>
        </w:tc>
        <w:tc>
          <w:tcPr>
            <w:tcW w:w="680" w:type="dxa"/>
            <w:vAlign w:val="bottom"/>
          </w:tcPr>
          <w:p>
            <w:pPr>
              <w:ind w:left="240"/>
              <w:spacing w:after="0"/>
              <w:rPr>
                <w:sz w:val="20"/>
                <w:szCs w:val="20"/>
                <w:color w:val="auto"/>
              </w:rPr>
            </w:pPr>
            <w:r>
              <w:rPr>
                <w:rFonts w:ascii="Arial" w:cs="Arial" w:eastAsia="Arial" w:hAnsi="Arial"/>
                <w:sz w:val="14"/>
                <w:szCs w:val="14"/>
                <w:color w:val="auto"/>
              </w:rPr>
              <w:t>63</w:t>
            </w:r>
          </w:p>
        </w:tc>
        <w:tc>
          <w:tcPr>
            <w:tcW w:w="5160" w:type="dxa"/>
            <w:vAlign w:val="bottom"/>
          </w:tcPr>
          <w:p>
            <w:pPr>
              <w:ind w:left="160"/>
              <w:spacing w:after="0"/>
              <w:rPr>
                <w:sz w:val="20"/>
                <w:szCs w:val="20"/>
                <w:color w:val="auto"/>
              </w:rPr>
            </w:pPr>
            <w:r>
              <w:rPr>
                <w:rFonts w:ascii="Arial" w:cs="Arial" w:eastAsia="Arial" w:hAnsi="Arial"/>
                <w:sz w:val="14"/>
                <w:szCs w:val="14"/>
                <w:color w:val="auto"/>
              </w:rPr>
              <w:t>Senior Vice President - Gas Operations</w:t>
            </w:r>
          </w:p>
        </w:tc>
      </w:tr>
      <w:tr>
        <w:trPr>
          <w:trHeight w:val="192"/>
        </w:trPr>
        <w:tc>
          <w:tcPr>
            <w:tcW w:w="1760" w:type="dxa"/>
            <w:vAlign w:val="bottom"/>
          </w:tcPr>
          <w:p>
            <w:pPr>
              <w:spacing w:after="0"/>
              <w:rPr>
                <w:sz w:val="20"/>
                <w:szCs w:val="20"/>
                <w:color w:val="auto"/>
              </w:rPr>
            </w:pPr>
            <w:r>
              <w:rPr>
                <w:rFonts w:ascii="Arial" w:cs="Arial" w:eastAsia="Arial" w:hAnsi="Arial"/>
                <w:sz w:val="14"/>
                <w:szCs w:val="14"/>
                <w:color w:val="auto"/>
              </w:rPr>
              <w:t>Robert M. Schlax</w:t>
            </w:r>
          </w:p>
        </w:tc>
        <w:tc>
          <w:tcPr>
            <w:tcW w:w="680" w:type="dxa"/>
            <w:vAlign w:val="bottom"/>
          </w:tcPr>
          <w:p>
            <w:pPr>
              <w:ind w:left="240"/>
              <w:spacing w:after="0"/>
              <w:rPr>
                <w:sz w:val="20"/>
                <w:szCs w:val="20"/>
                <w:color w:val="auto"/>
              </w:rPr>
            </w:pPr>
            <w:r>
              <w:rPr>
                <w:rFonts w:ascii="Arial" w:cs="Arial" w:eastAsia="Arial" w:hAnsi="Arial"/>
                <w:sz w:val="14"/>
                <w:szCs w:val="14"/>
                <w:color w:val="auto"/>
              </w:rPr>
              <w:t>53</w:t>
            </w:r>
          </w:p>
        </w:tc>
        <w:tc>
          <w:tcPr>
            <w:tcW w:w="5160" w:type="dxa"/>
            <w:vAlign w:val="bottom"/>
          </w:tcPr>
          <w:p>
            <w:pPr>
              <w:ind w:left="160"/>
              <w:spacing w:after="0"/>
              <w:rPr>
                <w:sz w:val="20"/>
                <w:szCs w:val="20"/>
                <w:color w:val="auto"/>
              </w:rPr>
            </w:pPr>
            <w:r>
              <w:rPr>
                <w:rFonts w:ascii="Arial" w:cs="Arial" w:eastAsia="Arial" w:hAnsi="Arial"/>
                <w:sz w:val="14"/>
                <w:szCs w:val="14"/>
                <w:color w:val="auto"/>
              </w:rPr>
              <w:t>Vice President, Controller and Chief Financial Officer</w:t>
            </w:r>
          </w:p>
        </w:tc>
      </w:tr>
      <w:tr>
        <w:trPr>
          <w:trHeight w:val="442"/>
        </w:trPr>
        <w:tc>
          <w:tcPr>
            <w:tcW w:w="1760" w:type="dxa"/>
            <w:vAlign w:val="bottom"/>
          </w:tcPr>
          <w:p>
            <w:pPr>
              <w:spacing w:after="0"/>
              <w:rPr>
                <w:sz w:val="20"/>
                <w:szCs w:val="20"/>
                <w:color w:val="auto"/>
              </w:rPr>
            </w:pPr>
            <w:r>
              <w:rPr>
                <w:rFonts w:ascii="Arial" w:cs="Arial" w:eastAsia="Arial" w:hAnsi="Arial"/>
                <w:sz w:val="14"/>
                <w:szCs w:val="14"/>
                <w:b w:val="1"/>
                <w:bCs w:val="1"/>
                <w:color w:val="auto"/>
              </w:rPr>
              <w:t>PACIFIC ENTERPRISES</w:t>
            </w:r>
          </w:p>
        </w:tc>
        <w:tc>
          <w:tcPr>
            <w:tcW w:w="680" w:type="dxa"/>
            <w:vAlign w:val="bottom"/>
          </w:tcPr>
          <w:p>
            <w:pPr>
              <w:spacing w:after="0"/>
              <w:rPr>
                <w:sz w:val="24"/>
                <w:szCs w:val="24"/>
                <w:color w:val="auto"/>
              </w:rPr>
            </w:pPr>
          </w:p>
        </w:tc>
        <w:tc>
          <w:tcPr>
            <w:tcW w:w="5160" w:type="dxa"/>
            <w:vAlign w:val="bottom"/>
          </w:tcPr>
          <w:p>
            <w:pPr>
              <w:spacing w:after="0"/>
              <w:rPr>
                <w:sz w:val="24"/>
                <w:szCs w:val="24"/>
                <w:color w:val="auto"/>
              </w:rPr>
            </w:pPr>
          </w:p>
        </w:tc>
      </w:tr>
      <w:tr>
        <w:trPr>
          <w:trHeight w:val="182"/>
        </w:trPr>
        <w:tc>
          <w:tcPr>
            <w:tcW w:w="1760" w:type="dxa"/>
            <w:vAlign w:val="bottom"/>
          </w:tcPr>
          <w:p>
            <w:pPr>
              <w:spacing w:after="0"/>
              <w:rPr>
                <w:sz w:val="20"/>
                <w:szCs w:val="20"/>
                <w:color w:val="auto"/>
              </w:rPr>
            </w:pPr>
            <w:r>
              <w:rPr>
                <w:rFonts w:ascii="Arial" w:cs="Arial" w:eastAsia="Arial" w:hAnsi="Arial"/>
                <w:sz w:val="14"/>
                <w:szCs w:val="14"/>
                <w:color w:val="auto"/>
              </w:rPr>
              <w:t>Debra L. Reed</w:t>
            </w:r>
          </w:p>
        </w:tc>
        <w:tc>
          <w:tcPr>
            <w:tcW w:w="680" w:type="dxa"/>
            <w:vAlign w:val="bottom"/>
          </w:tcPr>
          <w:p>
            <w:pPr>
              <w:ind w:left="240"/>
              <w:spacing w:after="0"/>
              <w:rPr>
                <w:sz w:val="20"/>
                <w:szCs w:val="20"/>
                <w:color w:val="auto"/>
              </w:rPr>
            </w:pPr>
            <w:r>
              <w:rPr>
                <w:rFonts w:ascii="Arial" w:cs="Arial" w:eastAsia="Arial" w:hAnsi="Arial"/>
                <w:sz w:val="14"/>
                <w:szCs w:val="14"/>
                <w:color w:val="auto"/>
              </w:rPr>
              <w:t>52</w:t>
            </w:r>
          </w:p>
        </w:tc>
        <w:tc>
          <w:tcPr>
            <w:tcW w:w="5160" w:type="dxa"/>
            <w:vAlign w:val="bottom"/>
          </w:tcPr>
          <w:p>
            <w:pPr>
              <w:ind w:left="160"/>
              <w:spacing w:after="0"/>
              <w:rPr>
                <w:sz w:val="20"/>
                <w:szCs w:val="20"/>
                <w:color w:val="auto"/>
              </w:rPr>
            </w:pPr>
            <w:r>
              <w:rPr>
                <w:rFonts w:ascii="Arial" w:cs="Arial" w:eastAsia="Arial" w:hAnsi="Arial"/>
                <w:sz w:val="14"/>
                <w:szCs w:val="14"/>
                <w:color w:val="auto"/>
              </w:rPr>
              <w:t>Chairperson, President and Chief Executive Officer</w:t>
            </w:r>
          </w:p>
        </w:tc>
      </w:tr>
      <w:tr>
        <w:trPr>
          <w:trHeight w:val="192"/>
        </w:trPr>
        <w:tc>
          <w:tcPr>
            <w:tcW w:w="1760" w:type="dxa"/>
            <w:vAlign w:val="bottom"/>
          </w:tcPr>
          <w:p>
            <w:pPr>
              <w:spacing w:after="0"/>
              <w:rPr>
                <w:sz w:val="20"/>
                <w:szCs w:val="20"/>
                <w:color w:val="auto"/>
              </w:rPr>
            </w:pPr>
            <w:r>
              <w:rPr>
                <w:rFonts w:ascii="Arial" w:cs="Arial" w:eastAsia="Arial" w:hAnsi="Arial"/>
                <w:sz w:val="14"/>
                <w:szCs w:val="14"/>
                <w:color w:val="auto"/>
              </w:rPr>
              <w:t>Michael R. Niggli</w:t>
            </w:r>
          </w:p>
        </w:tc>
        <w:tc>
          <w:tcPr>
            <w:tcW w:w="680" w:type="dxa"/>
            <w:vAlign w:val="bottom"/>
          </w:tcPr>
          <w:p>
            <w:pPr>
              <w:ind w:left="240"/>
              <w:spacing w:after="0"/>
              <w:rPr>
                <w:sz w:val="20"/>
                <w:szCs w:val="20"/>
                <w:color w:val="auto"/>
              </w:rPr>
            </w:pPr>
            <w:r>
              <w:rPr>
                <w:rFonts w:ascii="Arial" w:cs="Arial" w:eastAsia="Arial" w:hAnsi="Arial"/>
                <w:sz w:val="14"/>
                <w:szCs w:val="14"/>
                <w:color w:val="auto"/>
              </w:rPr>
              <w:t>59</w:t>
            </w:r>
          </w:p>
        </w:tc>
        <w:tc>
          <w:tcPr>
            <w:tcW w:w="5160" w:type="dxa"/>
            <w:vAlign w:val="bottom"/>
          </w:tcPr>
          <w:p>
            <w:pPr>
              <w:ind w:left="160"/>
              <w:spacing w:after="0"/>
              <w:rPr>
                <w:sz w:val="20"/>
                <w:szCs w:val="20"/>
                <w:color w:val="auto"/>
              </w:rPr>
            </w:pPr>
            <w:r>
              <w:rPr>
                <w:rFonts w:ascii="Arial" w:cs="Arial" w:eastAsia="Arial" w:hAnsi="Arial"/>
                <w:sz w:val="14"/>
                <w:szCs w:val="14"/>
                <w:color w:val="auto"/>
              </w:rPr>
              <w:t>Chief Operating Officer</w:t>
            </w:r>
          </w:p>
        </w:tc>
      </w:tr>
      <w:tr>
        <w:trPr>
          <w:trHeight w:val="192"/>
        </w:trPr>
        <w:tc>
          <w:tcPr>
            <w:tcW w:w="1760" w:type="dxa"/>
            <w:vAlign w:val="bottom"/>
          </w:tcPr>
          <w:p>
            <w:pPr>
              <w:spacing w:after="0"/>
              <w:rPr>
                <w:sz w:val="20"/>
                <w:szCs w:val="20"/>
                <w:color w:val="auto"/>
              </w:rPr>
            </w:pPr>
            <w:r>
              <w:rPr>
                <w:rFonts w:ascii="Arial" w:cs="Arial" w:eastAsia="Arial" w:hAnsi="Arial"/>
                <w:sz w:val="14"/>
                <w:szCs w:val="14"/>
                <w:color w:val="auto"/>
              </w:rPr>
              <w:t>Robert M. Schlax</w:t>
            </w:r>
          </w:p>
        </w:tc>
        <w:tc>
          <w:tcPr>
            <w:tcW w:w="680" w:type="dxa"/>
            <w:vAlign w:val="bottom"/>
          </w:tcPr>
          <w:p>
            <w:pPr>
              <w:ind w:left="240"/>
              <w:spacing w:after="0"/>
              <w:rPr>
                <w:sz w:val="20"/>
                <w:szCs w:val="20"/>
                <w:color w:val="auto"/>
              </w:rPr>
            </w:pPr>
            <w:r>
              <w:rPr>
                <w:rFonts w:ascii="Arial" w:cs="Arial" w:eastAsia="Arial" w:hAnsi="Arial"/>
                <w:sz w:val="14"/>
                <w:szCs w:val="14"/>
                <w:color w:val="auto"/>
              </w:rPr>
              <w:t>53</w:t>
            </w:r>
          </w:p>
        </w:tc>
        <w:tc>
          <w:tcPr>
            <w:tcW w:w="5160" w:type="dxa"/>
            <w:vAlign w:val="bottom"/>
          </w:tcPr>
          <w:p>
            <w:pPr>
              <w:ind w:left="160"/>
              <w:spacing w:after="0"/>
              <w:rPr>
                <w:sz w:val="20"/>
                <w:szCs w:val="20"/>
                <w:color w:val="auto"/>
              </w:rPr>
            </w:pPr>
            <w:r>
              <w:rPr>
                <w:rFonts w:ascii="Arial" w:cs="Arial" w:eastAsia="Arial" w:hAnsi="Arial"/>
                <w:sz w:val="14"/>
                <w:szCs w:val="14"/>
                <w:color w:val="auto"/>
              </w:rPr>
              <w:t>Vice President, Controller and Chief Financial Officer</w:t>
            </w:r>
          </w:p>
        </w:tc>
      </w:tr>
      <w:tr>
        <w:trPr>
          <w:trHeight w:val="394"/>
        </w:trPr>
        <w:tc>
          <w:tcPr>
            <w:tcW w:w="7600" w:type="dxa"/>
            <w:vAlign w:val="bottom"/>
            <w:gridSpan w:val="3"/>
          </w:tcPr>
          <w:p>
            <w:pPr>
              <w:spacing w:after="0"/>
              <w:rPr>
                <w:sz w:val="20"/>
                <w:szCs w:val="20"/>
                <w:color w:val="auto"/>
              </w:rPr>
            </w:pPr>
            <w:r>
              <w:rPr>
                <w:rFonts w:ascii="Arial" w:cs="Arial" w:eastAsia="Arial" w:hAnsi="Arial"/>
                <w:sz w:val="14"/>
                <w:szCs w:val="14"/>
                <w:b w:val="1"/>
                <w:bCs w:val="1"/>
                <w:color w:val="auto"/>
              </w:rPr>
              <w:t>SOUTHERN CALIFORNIA GAS COMPANY</w:t>
            </w:r>
          </w:p>
        </w:tc>
      </w:tr>
      <w:tr>
        <w:trPr>
          <w:trHeight w:val="182"/>
        </w:trPr>
        <w:tc>
          <w:tcPr>
            <w:tcW w:w="1760" w:type="dxa"/>
            <w:vAlign w:val="bottom"/>
          </w:tcPr>
          <w:p>
            <w:pPr>
              <w:spacing w:after="0"/>
              <w:rPr>
                <w:sz w:val="20"/>
                <w:szCs w:val="20"/>
                <w:color w:val="auto"/>
              </w:rPr>
            </w:pPr>
            <w:r>
              <w:rPr>
                <w:rFonts w:ascii="Arial" w:cs="Arial" w:eastAsia="Arial" w:hAnsi="Arial"/>
                <w:sz w:val="14"/>
                <w:szCs w:val="14"/>
                <w:color w:val="auto"/>
              </w:rPr>
              <w:t>Debra L. Reed</w:t>
            </w:r>
          </w:p>
        </w:tc>
        <w:tc>
          <w:tcPr>
            <w:tcW w:w="680" w:type="dxa"/>
            <w:vAlign w:val="bottom"/>
          </w:tcPr>
          <w:p>
            <w:pPr>
              <w:ind w:left="240"/>
              <w:spacing w:after="0"/>
              <w:rPr>
                <w:sz w:val="20"/>
                <w:szCs w:val="20"/>
                <w:color w:val="auto"/>
              </w:rPr>
            </w:pPr>
            <w:r>
              <w:rPr>
                <w:rFonts w:ascii="Arial" w:cs="Arial" w:eastAsia="Arial" w:hAnsi="Arial"/>
                <w:sz w:val="14"/>
                <w:szCs w:val="14"/>
                <w:color w:val="auto"/>
              </w:rPr>
              <w:t>52</w:t>
            </w:r>
          </w:p>
        </w:tc>
        <w:tc>
          <w:tcPr>
            <w:tcW w:w="5160" w:type="dxa"/>
            <w:vAlign w:val="bottom"/>
          </w:tcPr>
          <w:p>
            <w:pPr>
              <w:ind w:left="160"/>
              <w:spacing w:after="0"/>
              <w:rPr>
                <w:sz w:val="20"/>
                <w:szCs w:val="20"/>
                <w:color w:val="auto"/>
              </w:rPr>
            </w:pPr>
            <w:r>
              <w:rPr>
                <w:rFonts w:ascii="Arial" w:cs="Arial" w:eastAsia="Arial" w:hAnsi="Arial"/>
                <w:sz w:val="14"/>
                <w:szCs w:val="14"/>
                <w:color w:val="auto"/>
              </w:rPr>
              <w:t>Chairperson, President and Chief Executive Officer</w:t>
            </w:r>
          </w:p>
        </w:tc>
      </w:tr>
      <w:tr>
        <w:trPr>
          <w:trHeight w:val="192"/>
        </w:trPr>
        <w:tc>
          <w:tcPr>
            <w:tcW w:w="1760" w:type="dxa"/>
            <w:vAlign w:val="bottom"/>
          </w:tcPr>
          <w:p>
            <w:pPr>
              <w:spacing w:after="0"/>
              <w:rPr>
                <w:sz w:val="20"/>
                <w:szCs w:val="20"/>
                <w:color w:val="auto"/>
              </w:rPr>
            </w:pPr>
            <w:r>
              <w:rPr>
                <w:rFonts w:ascii="Arial" w:cs="Arial" w:eastAsia="Arial" w:hAnsi="Arial"/>
                <w:sz w:val="14"/>
                <w:szCs w:val="14"/>
                <w:color w:val="auto"/>
              </w:rPr>
              <w:t>Michael R. Niggli</w:t>
            </w:r>
          </w:p>
        </w:tc>
        <w:tc>
          <w:tcPr>
            <w:tcW w:w="680" w:type="dxa"/>
            <w:vAlign w:val="bottom"/>
          </w:tcPr>
          <w:p>
            <w:pPr>
              <w:ind w:left="240"/>
              <w:spacing w:after="0"/>
              <w:rPr>
                <w:sz w:val="20"/>
                <w:szCs w:val="20"/>
                <w:color w:val="auto"/>
              </w:rPr>
            </w:pPr>
            <w:r>
              <w:rPr>
                <w:rFonts w:ascii="Arial" w:cs="Arial" w:eastAsia="Arial" w:hAnsi="Arial"/>
                <w:sz w:val="14"/>
                <w:szCs w:val="14"/>
                <w:color w:val="auto"/>
              </w:rPr>
              <w:t>59</w:t>
            </w:r>
          </w:p>
        </w:tc>
        <w:tc>
          <w:tcPr>
            <w:tcW w:w="5160" w:type="dxa"/>
            <w:vAlign w:val="bottom"/>
          </w:tcPr>
          <w:p>
            <w:pPr>
              <w:ind w:left="160"/>
              <w:spacing w:after="0"/>
              <w:rPr>
                <w:sz w:val="20"/>
                <w:szCs w:val="20"/>
                <w:color w:val="auto"/>
              </w:rPr>
            </w:pPr>
            <w:r>
              <w:rPr>
                <w:rFonts w:ascii="Arial" w:cs="Arial" w:eastAsia="Arial" w:hAnsi="Arial"/>
                <w:sz w:val="14"/>
                <w:szCs w:val="14"/>
                <w:color w:val="auto"/>
              </w:rPr>
              <w:t>Chief Operating Officer</w:t>
            </w:r>
          </w:p>
        </w:tc>
      </w:tr>
      <w:tr>
        <w:trPr>
          <w:trHeight w:val="192"/>
        </w:trPr>
        <w:tc>
          <w:tcPr>
            <w:tcW w:w="1760" w:type="dxa"/>
            <w:vAlign w:val="bottom"/>
          </w:tcPr>
          <w:p>
            <w:pPr>
              <w:spacing w:after="0"/>
              <w:rPr>
                <w:sz w:val="20"/>
                <w:szCs w:val="20"/>
                <w:color w:val="auto"/>
              </w:rPr>
            </w:pPr>
            <w:r>
              <w:rPr>
                <w:rFonts w:ascii="Arial" w:cs="Arial" w:eastAsia="Arial" w:hAnsi="Arial"/>
                <w:sz w:val="14"/>
                <w:szCs w:val="14"/>
                <w:color w:val="auto"/>
              </w:rPr>
              <w:t>Lee Schavrien</w:t>
            </w:r>
          </w:p>
        </w:tc>
        <w:tc>
          <w:tcPr>
            <w:tcW w:w="680" w:type="dxa"/>
            <w:vAlign w:val="bottom"/>
          </w:tcPr>
          <w:p>
            <w:pPr>
              <w:ind w:left="240"/>
              <w:spacing w:after="0"/>
              <w:rPr>
                <w:sz w:val="20"/>
                <w:szCs w:val="20"/>
                <w:color w:val="auto"/>
              </w:rPr>
            </w:pPr>
            <w:r>
              <w:rPr>
                <w:rFonts w:ascii="Arial" w:cs="Arial" w:eastAsia="Arial" w:hAnsi="Arial"/>
                <w:sz w:val="14"/>
                <w:szCs w:val="14"/>
                <w:color w:val="auto"/>
              </w:rPr>
              <w:t>54</w:t>
            </w:r>
          </w:p>
        </w:tc>
        <w:tc>
          <w:tcPr>
            <w:tcW w:w="5160" w:type="dxa"/>
            <w:vAlign w:val="bottom"/>
          </w:tcPr>
          <w:p>
            <w:pPr>
              <w:ind w:left="160"/>
              <w:spacing w:after="0"/>
              <w:rPr>
                <w:sz w:val="20"/>
                <w:szCs w:val="20"/>
                <w:color w:val="auto"/>
              </w:rPr>
            </w:pPr>
            <w:r>
              <w:rPr>
                <w:rFonts w:ascii="Arial" w:cs="Arial" w:eastAsia="Arial" w:hAnsi="Arial"/>
                <w:sz w:val="14"/>
                <w:szCs w:val="14"/>
                <w:color w:val="auto"/>
              </w:rPr>
              <w:t>Senior Vice President - Regulatory and Finance</w:t>
            </w:r>
          </w:p>
        </w:tc>
      </w:tr>
      <w:tr>
        <w:trPr>
          <w:trHeight w:val="192"/>
        </w:trPr>
        <w:tc>
          <w:tcPr>
            <w:tcW w:w="1760" w:type="dxa"/>
            <w:vAlign w:val="bottom"/>
          </w:tcPr>
          <w:p>
            <w:pPr>
              <w:spacing w:after="0"/>
              <w:rPr>
                <w:sz w:val="20"/>
                <w:szCs w:val="20"/>
                <w:color w:val="auto"/>
              </w:rPr>
            </w:pPr>
            <w:r>
              <w:rPr>
                <w:rFonts w:ascii="Arial" w:cs="Arial" w:eastAsia="Arial" w:hAnsi="Arial"/>
                <w:sz w:val="14"/>
                <w:szCs w:val="14"/>
                <w:color w:val="auto"/>
              </w:rPr>
              <w:t>Anne S. Smith</w:t>
            </w:r>
          </w:p>
        </w:tc>
        <w:tc>
          <w:tcPr>
            <w:tcW w:w="680" w:type="dxa"/>
            <w:vAlign w:val="bottom"/>
          </w:tcPr>
          <w:p>
            <w:pPr>
              <w:ind w:left="240"/>
              <w:spacing w:after="0"/>
              <w:rPr>
                <w:sz w:val="20"/>
                <w:szCs w:val="20"/>
                <w:color w:val="auto"/>
              </w:rPr>
            </w:pPr>
            <w:r>
              <w:rPr>
                <w:rFonts w:ascii="Arial" w:cs="Arial" w:eastAsia="Arial" w:hAnsi="Arial"/>
                <w:sz w:val="14"/>
                <w:szCs w:val="14"/>
                <w:color w:val="auto"/>
              </w:rPr>
              <w:t>55</w:t>
            </w:r>
          </w:p>
        </w:tc>
        <w:tc>
          <w:tcPr>
            <w:tcW w:w="5160" w:type="dxa"/>
            <w:vAlign w:val="bottom"/>
          </w:tcPr>
          <w:p>
            <w:pPr>
              <w:ind w:left="160"/>
              <w:spacing w:after="0"/>
              <w:rPr>
                <w:sz w:val="20"/>
                <w:szCs w:val="20"/>
                <w:color w:val="auto"/>
              </w:rPr>
            </w:pPr>
            <w:r>
              <w:rPr>
                <w:rFonts w:ascii="Arial" w:cs="Arial" w:eastAsia="Arial" w:hAnsi="Arial"/>
                <w:sz w:val="14"/>
                <w:szCs w:val="14"/>
                <w:color w:val="auto"/>
              </w:rPr>
              <w:t>Senior Vice President - Customer Services</w:t>
            </w:r>
          </w:p>
        </w:tc>
      </w:tr>
      <w:tr>
        <w:trPr>
          <w:trHeight w:val="192"/>
        </w:trPr>
        <w:tc>
          <w:tcPr>
            <w:tcW w:w="1760" w:type="dxa"/>
            <w:vAlign w:val="bottom"/>
          </w:tcPr>
          <w:p>
            <w:pPr>
              <w:spacing w:after="0"/>
              <w:rPr>
                <w:sz w:val="20"/>
                <w:szCs w:val="20"/>
                <w:color w:val="auto"/>
              </w:rPr>
            </w:pPr>
            <w:r>
              <w:rPr>
                <w:rFonts w:ascii="Arial" w:cs="Arial" w:eastAsia="Arial" w:hAnsi="Arial"/>
                <w:sz w:val="14"/>
                <w:szCs w:val="14"/>
                <w:color w:val="auto"/>
              </w:rPr>
              <w:t>W. Davis Smith</w:t>
            </w:r>
          </w:p>
        </w:tc>
        <w:tc>
          <w:tcPr>
            <w:tcW w:w="680" w:type="dxa"/>
            <w:vAlign w:val="bottom"/>
          </w:tcPr>
          <w:p>
            <w:pPr>
              <w:ind w:left="240"/>
              <w:spacing w:after="0"/>
              <w:rPr>
                <w:sz w:val="20"/>
                <w:szCs w:val="20"/>
                <w:color w:val="auto"/>
              </w:rPr>
            </w:pPr>
            <w:r>
              <w:rPr>
                <w:rFonts w:ascii="Arial" w:cs="Arial" w:eastAsia="Arial" w:hAnsi="Arial"/>
                <w:sz w:val="14"/>
                <w:szCs w:val="14"/>
                <w:color w:val="auto"/>
              </w:rPr>
              <w:t>59</w:t>
            </w:r>
          </w:p>
        </w:tc>
        <w:tc>
          <w:tcPr>
            <w:tcW w:w="5160" w:type="dxa"/>
            <w:vAlign w:val="bottom"/>
          </w:tcPr>
          <w:p>
            <w:pPr>
              <w:ind w:left="160"/>
              <w:spacing w:after="0"/>
              <w:rPr>
                <w:sz w:val="20"/>
                <w:szCs w:val="20"/>
                <w:color w:val="auto"/>
              </w:rPr>
            </w:pPr>
            <w:r>
              <w:rPr>
                <w:rFonts w:ascii="Arial" w:cs="Arial" w:eastAsia="Arial" w:hAnsi="Arial"/>
                <w:sz w:val="14"/>
                <w:szCs w:val="14"/>
                <w:color w:val="auto"/>
              </w:rPr>
              <w:t>Senior Vice President and General Counsel</w:t>
            </w:r>
          </w:p>
        </w:tc>
      </w:tr>
      <w:tr>
        <w:trPr>
          <w:trHeight w:val="192"/>
        </w:trPr>
        <w:tc>
          <w:tcPr>
            <w:tcW w:w="1760" w:type="dxa"/>
            <w:vAlign w:val="bottom"/>
          </w:tcPr>
          <w:p>
            <w:pPr>
              <w:spacing w:after="0"/>
              <w:rPr>
                <w:sz w:val="20"/>
                <w:szCs w:val="20"/>
                <w:color w:val="auto"/>
              </w:rPr>
            </w:pPr>
            <w:r>
              <w:rPr>
                <w:rFonts w:ascii="Arial" w:cs="Arial" w:eastAsia="Arial" w:hAnsi="Arial"/>
                <w:sz w:val="14"/>
                <w:szCs w:val="14"/>
                <w:color w:val="auto"/>
              </w:rPr>
              <w:t>Lee M. Stewart</w:t>
            </w:r>
          </w:p>
        </w:tc>
        <w:tc>
          <w:tcPr>
            <w:tcW w:w="680" w:type="dxa"/>
            <w:vAlign w:val="bottom"/>
          </w:tcPr>
          <w:p>
            <w:pPr>
              <w:ind w:left="240"/>
              <w:spacing w:after="0"/>
              <w:rPr>
                <w:sz w:val="20"/>
                <w:szCs w:val="20"/>
                <w:color w:val="auto"/>
              </w:rPr>
            </w:pPr>
            <w:r>
              <w:rPr>
                <w:rFonts w:ascii="Arial" w:cs="Arial" w:eastAsia="Arial" w:hAnsi="Arial"/>
                <w:sz w:val="14"/>
                <w:szCs w:val="14"/>
                <w:color w:val="auto"/>
              </w:rPr>
              <w:t>63</w:t>
            </w:r>
          </w:p>
        </w:tc>
        <w:tc>
          <w:tcPr>
            <w:tcW w:w="5160" w:type="dxa"/>
            <w:vAlign w:val="bottom"/>
          </w:tcPr>
          <w:p>
            <w:pPr>
              <w:ind w:left="160"/>
              <w:spacing w:after="0"/>
              <w:rPr>
                <w:sz w:val="20"/>
                <w:szCs w:val="20"/>
                <w:color w:val="auto"/>
              </w:rPr>
            </w:pPr>
            <w:r>
              <w:rPr>
                <w:rFonts w:ascii="Arial" w:cs="Arial" w:eastAsia="Arial" w:hAnsi="Arial"/>
                <w:sz w:val="14"/>
                <w:szCs w:val="14"/>
                <w:color w:val="auto"/>
              </w:rPr>
              <w:t>Senior Vice President - Gas Operations</w:t>
            </w:r>
          </w:p>
        </w:tc>
      </w:tr>
      <w:tr>
        <w:trPr>
          <w:trHeight w:val="226"/>
        </w:trPr>
        <w:tc>
          <w:tcPr>
            <w:tcW w:w="1760" w:type="dxa"/>
            <w:vAlign w:val="bottom"/>
            <w:tcBorders>
              <w:bottom w:val="single" w:sz="8" w:color="3F3F3F"/>
            </w:tcBorders>
          </w:tcPr>
          <w:p>
            <w:pPr>
              <w:spacing w:after="0"/>
              <w:rPr>
                <w:sz w:val="20"/>
                <w:szCs w:val="20"/>
                <w:color w:val="auto"/>
              </w:rPr>
            </w:pPr>
            <w:r>
              <w:rPr>
                <w:rFonts w:ascii="Arial" w:cs="Arial" w:eastAsia="Arial" w:hAnsi="Arial"/>
                <w:sz w:val="14"/>
                <w:szCs w:val="14"/>
                <w:color w:val="auto"/>
              </w:rPr>
              <w:t>Robert M. Schlax</w:t>
            </w:r>
          </w:p>
        </w:tc>
        <w:tc>
          <w:tcPr>
            <w:tcW w:w="680" w:type="dxa"/>
            <w:vAlign w:val="bottom"/>
            <w:tcBorders>
              <w:bottom w:val="single" w:sz="8" w:color="3F3F3F"/>
            </w:tcBorders>
          </w:tcPr>
          <w:p>
            <w:pPr>
              <w:ind w:left="240"/>
              <w:spacing w:after="0"/>
              <w:rPr>
                <w:sz w:val="20"/>
                <w:szCs w:val="20"/>
                <w:color w:val="auto"/>
              </w:rPr>
            </w:pPr>
            <w:r>
              <w:rPr>
                <w:rFonts w:ascii="Arial" w:cs="Arial" w:eastAsia="Arial" w:hAnsi="Arial"/>
                <w:sz w:val="14"/>
                <w:szCs w:val="14"/>
                <w:color w:val="auto"/>
              </w:rPr>
              <w:t>53</w:t>
            </w:r>
          </w:p>
        </w:tc>
        <w:tc>
          <w:tcPr>
            <w:tcW w:w="5160" w:type="dxa"/>
            <w:vAlign w:val="bottom"/>
            <w:tcBorders>
              <w:bottom w:val="single" w:sz="8" w:color="3F3F3F"/>
            </w:tcBorders>
          </w:tcPr>
          <w:p>
            <w:pPr>
              <w:ind w:left="160"/>
              <w:spacing w:after="0"/>
              <w:rPr>
                <w:sz w:val="20"/>
                <w:szCs w:val="20"/>
                <w:color w:val="auto"/>
              </w:rPr>
            </w:pPr>
            <w:r>
              <w:rPr>
                <w:rFonts w:ascii="Arial" w:cs="Arial" w:eastAsia="Arial" w:hAnsi="Arial"/>
                <w:sz w:val="14"/>
                <w:szCs w:val="14"/>
                <w:color w:val="auto"/>
              </w:rPr>
              <w:t>Vice President, Controller and Chief Financial Officer</w:t>
            </w:r>
          </w:p>
        </w:tc>
      </w:tr>
    </w:tbl>
    <w:p>
      <w:pPr>
        <w:spacing w:after="0" w:line="28" w:lineRule="exact"/>
        <w:rPr>
          <w:sz w:val="20"/>
          <w:szCs w:val="20"/>
          <w:color w:val="auto"/>
        </w:rPr>
      </w:pPr>
    </w:p>
    <w:p>
      <w:pPr>
        <w:ind w:left="1920"/>
        <w:spacing w:after="0"/>
        <w:rPr>
          <w:sz w:val="20"/>
          <w:szCs w:val="20"/>
          <w:color w:val="auto"/>
        </w:rPr>
      </w:pPr>
      <w:r>
        <w:rPr>
          <w:rFonts w:ascii="Arial" w:cs="Arial" w:eastAsia="Arial" w:hAnsi="Arial"/>
          <w:sz w:val="13"/>
          <w:szCs w:val="13"/>
          <w:i w:val="1"/>
          <w:iCs w:val="1"/>
          <w:color w:val="auto"/>
        </w:rPr>
        <w:t>* As of February 24, 2009.</w:t>
      </w:r>
    </w:p>
    <w:p>
      <w:pPr>
        <w:spacing w:after="0" w:line="290" w:lineRule="exact"/>
        <w:rPr>
          <w:sz w:val="20"/>
          <w:szCs w:val="20"/>
          <w:color w:val="auto"/>
        </w:rPr>
      </w:pPr>
    </w:p>
    <w:p>
      <w:pPr>
        <w:spacing w:after="0"/>
        <w:rPr>
          <w:sz w:val="20"/>
          <w:szCs w:val="20"/>
          <w:color w:val="auto"/>
        </w:rPr>
      </w:pPr>
      <w:r>
        <w:rPr>
          <w:rFonts w:ascii="Arial" w:cs="Arial" w:eastAsia="Arial" w:hAnsi="Arial"/>
          <w:sz w:val="14"/>
          <w:szCs w:val="14"/>
          <w:color w:val="auto"/>
        </w:rPr>
        <w:t>Each executive officer of SDG&amp;E, PE and SoCalGas has been an officer or employee of Sempra Energy or its subsidiaries for more than five years, with the exception of Mr.</w:t>
      </w:r>
    </w:p>
    <w:p>
      <w:pPr>
        <w:spacing w:after="0" w:line="44" w:lineRule="exact"/>
        <w:rPr>
          <w:sz w:val="20"/>
          <w:szCs w:val="20"/>
          <w:color w:val="auto"/>
        </w:rPr>
      </w:pPr>
    </w:p>
    <w:p>
      <w:pPr>
        <w:spacing w:after="0"/>
        <w:rPr>
          <w:sz w:val="20"/>
          <w:szCs w:val="20"/>
          <w:color w:val="auto"/>
        </w:rPr>
      </w:pPr>
      <w:r>
        <w:rPr>
          <w:rFonts w:ascii="Arial" w:cs="Arial" w:eastAsia="Arial" w:hAnsi="Arial"/>
          <w:sz w:val="14"/>
          <w:szCs w:val="14"/>
          <w:color w:val="auto"/>
        </w:rPr>
        <w:t>Schlax. Prior to joining SDG&amp;E in 2005, Mr. Schlax was Chief Financial Officer, Treasurer and Vice President of Finance of Mercury Air Group, Inc. since 2002. Except for Mr.</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Avery, each executive officer of SDG&amp;E holds the same position at SoCalGas.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226695</wp:posOffset>
            </wp:positionV>
            <wp:extent cx="7261860" cy="762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color w:val="auto"/>
        </w:rPr>
        <w:t>ITEM 11. EXECUTIVE COMPENSATION</w:t>
      </w:r>
    </w:p>
    <w:p>
      <w:pPr>
        <w:spacing w:after="0" w:line="60" w:lineRule="exact"/>
        <w:rPr>
          <w:sz w:val="20"/>
          <w:szCs w:val="20"/>
          <w:color w:val="auto"/>
        </w:rPr>
      </w:pPr>
    </w:p>
    <w:p>
      <w:pPr>
        <w:ind w:right="420"/>
        <w:spacing w:after="0" w:line="264" w:lineRule="auto"/>
        <w:rPr>
          <w:sz w:val="20"/>
          <w:szCs w:val="20"/>
          <w:color w:val="auto"/>
        </w:rPr>
      </w:pPr>
      <w:r>
        <w:rPr>
          <w:rFonts w:ascii="Arial" w:cs="Arial" w:eastAsia="Arial" w:hAnsi="Arial"/>
          <w:sz w:val="16"/>
          <w:szCs w:val="16"/>
          <w:color w:val="auto"/>
        </w:rPr>
        <w:t>The information required by Item 11 is incorporated by reference from "Corporate Governance," and "Executive Compensation," including "Compensation Discussion and Analysis," and "Compensation Committee Report" in the Proxy Statement prepared for the April 2009 annual meeting of shareholders for Sempra Energy and from the Information Statement prepared for the June 2009 annual meeting of shareholders for SDG&amp;E, PE and SoCalGas.</w:t>
      </w: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4"/>
          <w:szCs w:val="14"/>
          <w:color w:val="auto"/>
        </w:rPr>
        <w:t>33</w:t>
      </w:r>
    </w:p>
    <w:p>
      <w:pPr>
        <w:sectPr>
          <w:pgSz w:w="11900" w:h="16838" w:orient="portrait"/>
          <w:cols w:equalWidth="0" w:num="1">
            <w:col w:w="11380"/>
          </w:cols>
          <w:pgMar w:left="240" w:top="395" w:right="279" w:bottom="1440" w:gutter="0" w:footer="0" w:header="0"/>
        </w:sectPr>
      </w:pPr>
    </w:p>
    <w:bookmarkStart w:id="33" w:name="page34"/>
    <w:bookmarkEnd w:id="3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149860</wp:posOffset>
            </wp:positionH>
            <wp:positionV relativeFrom="page">
              <wp:posOffset>309880</wp:posOffset>
            </wp:positionV>
            <wp:extent cx="7261860" cy="762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1860" cy="7620"/>
                    </a:xfrm>
                    <a:prstGeom prst="rect">
                      <a:avLst/>
                    </a:prstGeom>
                    <a:noFill/>
                  </pic:spPr>
                </pic:pic>
              </a:graphicData>
            </a:graphic>
          </wp:anchor>
        </w:drawing>
        <w:t>ITEM 12. SECURITY OWNERSHIP OF CERTAIN BENEFICIAL OWNERS AND MANAGEMENT AND RELATED STOCKHOLDER MATTERS</w:t>
      </w: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SECURITIES AUTHORIZED FOR ISSUANCE UNDER EQUITY COMPENSATION PLANS</w:t>
      </w:r>
    </w:p>
    <w:p>
      <w:pPr>
        <w:spacing w:after="0" w:line="89" w:lineRule="exact"/>
        <w:rPr>
          <w:sz w:val="20"/>
          <w:szCs w:val="20"/>
          <w:color w:val="auto"/>
        </w:rPr>
      </w:pPr>
    </w:p>
    <w:p>
      <w:pPr>
        <w:spacing w:after="0"/>
        <w:rPr>
          <w:sz w:val="20"/>
          <w:szCs w:val="20"/>
          <w:color w:val="auto"/>
        </w:rPr>
      </w:pPr>
      <w:r>
        <w:rPr>
          <w:rFonts w:ascii="Arial" w:cs="Arial" w:eastAsia="Arial" w:hAnsi="Arial"/>
          <w:sz w:val="16"/>
          <w:szCs w:val="16"/>
          <w:color w:val="auto"/>
        </w:rPr>
        <w:t>Information regarding securities authorized for issuance under equity compensation plans as required by Item 12 is included in Item 5.</w:t>
      </w:r>
    </w:p>
    <w:p>
      <w:pPr>
        <w:spacing w:after="0" w:line="28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SECURITY OWNERSHIP OF CERTAIN BENEFICIAL OWNERS</w:t>
      </w:r>
    </w:p>
    <w:p>
      <w:pPr>
        <w:spacing w:after="0" w:line="89" w:lineRule="exact"/>
        <w:rPr>
          <w:sz w:val="20"/>
          <w:szCs w:val="20"/>
          <w:color w:val="auto"/>
        </w:rPr>
      </w:pPr>
    </w:p>
    <w:p>
      <w:pPr>
        <w:ind w:right="60"/>
        <w:spacing w:after="0" w:line="351" w:lineRule="auto"/>
        <w:rPr>
          <w:sz w:val="20"/>
          <w:szCs w:val="20"/>
          <w:color w:val="auto"/>
        </w:rPr>
      </w:pPr>
      <w:r>
        <w:rPr>
          <w:rFonts w:ascii="Arial" w:cs="Arial" w:eastAsia="Arial" w:hAnsi="Arial"/>
          <w:sz w:val="14"/>
          <w:szCs w:val="14"/>
          <w:color w:val="auto"/>
        </w:rPr>
        <w:t>The security ownership information required by Item 12 is incorporated by reference from "Share Ownership" in the Proxy Statement prepared for the April 2009 annual meeting of shareholders for Sempra Energy and from the Information Statement prepared for the June 2009 annual meeting of shareholders for SDG&amp;E, PE and SoCalGas.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181610</wp:posOffset>
            </wp:positionV>
            <wp:extent cx="7261860" cy="762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ITEM 13. CERTAIN RELATIONSHIPS AND RELATED TRANSACTIONS, AND DIRECTOR INDEPENDENCE</w:t>
      </w:r>
    </w:p>
    <w:p>
      <w:pPr>
        <w:spacing w:after="0" w:line="60" w:lineRule="exact"/>
        <w:rPr>
          <w:sz w:val="20"/>
          <w:szCs w:val="20"/>
          <w:color w:val="auto"/>
        </w:rPr>
      </w:pPr>
    </w:p>
    <w:p>
      <w:pPr>
        <w:ind w:right="780"/>
        <w:spacing w:after="0" w:line="351" w:lineRule="auto"/>
        <w:rPr>
          <w:sz w:val="20"/>
          <w:szCs w:val="20"/>
          <w:color w:val="auto"/>
        </w:rPr>
      </w:pPr>
      <w:r>
        <w:rPr>
          <w:rFonts w:ascii="Arial" w:cs="Arial" w:eastAsia="Arial" w:hAnsi="Arial"/>
          <w:sz w:val="14"/>
          <w:szCs w:val="14"/>
          <w:color w:val="auto"/>
        </w:rPr>
        <w:t>The information required by Item 13 is incorporated by reference from "Corporate Governance" in the Proxy Statement prepared for the April 2009 annual meeting of shareholders for Sempra Energy and from the Information Statement prepared for the June 2009 annual meeting of shareholders for SDG&amp;E, PE and SoCalGas.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173990</wp:posOffset>
            </wp:positionV>
            <wp:extent cx="7261860" cy="762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color w:val="auto"/>
        </w:rPr>
        <w:t>ITEM 14. PRINCIPAL ACCOUNTANT FEES AND SERVICES</w:t>
      </w:r>
    </w:p>
    <w:p>
      <w:pPr>
        <w:spacing w:after="0" w:line="72" w:lineRule="exact"/>
        <w:rPr>
          <w:sz w:val="20"/>
          <w:szCs w:val="20"/>
          <w:color w:val="auto"/>
        </w:rPr>
      </w:pPr>
    </w:p>
    <w:p>
      <w:pPr>
        <w:spacing w:after="0" w:line="264" w:lineRule="auto"/>
        <w:rPr>
          <w:sz w:val="20"/>
          <w:szCs w:val="20"/>
          <w:color w:val="auto"/>
        </w:rPr>
      </w:pPr>
      <w:r>
        <w:rPr>
          <w:rFonts w:ascii="Arial" w:cs="Arial" w:eastAsia="Arial" w:hAnsi="Arial"/>
          <w:sz w:val="16"/>
          <w:szCs w:val="16"/>
          <w:color w:val="auto"/>
        </w:rPr>
        <w:t>Information regarding principal accountant fees and services, as required by Item 14, is incorporated by reference from "Proposals To Be Voted On - Proposal 2: Ratification of Independent Registered Public Accounting Firm" in the Proxy Statement prepared for the April 2009 annual meeting of shareholders for Sempra Energy and from the Information Statement prepared for the June 2009 annual meeting of shareholders for SDG&amp;E, PE and SoCalGas.</w:t>
      </w: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4"/>
          <w:szCs w:val="14"/>
          <w:color w:val="auto"/>
        </w:rPr>
        <w:t>34</w:t>
      </w:r>
    </w:p>
    <w:p>
      <w:pPr>
        <w:sectPr>
          <w:pgSz w:w="11900" w:h="16838" w:orient="portrait"/>
          <w:cols w:equalWidth="0" w:num="1">
            <w:col w:w="11440"/>
          </w:cols>
          <w:pgMar w:left="240" w:top="545" w:right="219" w:bottom="1440" w:gutter="0" w:footer="0" w:header="0"/>
        </w:sectPr>
      </w:pPr>
    </w:p>
    <w:bookmarkStart w:id="34" w:name="page35"/>
    <w:bookmarkEnd w:id="34"/>
    <w:p>
      <w:pPr>
        <w:ind w:left="4"/>
        <w:spacing w:after="0"/>
        <w:rPr>
          <w:sz w:val="20"/>
          <w:szCs w:val="20"/>
          <w:color w:val="auto"/>
        </w:rPr>
      </w:pPr>
      <w:r>
        <w:rPr>
          <w:rFonts w:ascii="Arial" w:cs="Arial" w:eastAsia="Arial" w:hAnsi="Arial"/>
          <w:sz w:val="21"/>
          <w:szCs w:val="21"/>
          <w:color w:val="auto"/>
        </w:rPr>
        <w:t>PART 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263525</wp:posOffset>
            </wp:positionV>
            <wp:extent cx="7261860" cy="762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ind w:left="4"/>
        <w:spacing w:after="0"/>
        <w:rPr>
          <w:sz w:val="20"/>
          <w:szCs w:val="20"/>
          <w:color w:val="auto"/>
        </w:rPr>
      </w:pPr>
      <w:r>
        <w:rPr>
          <w:rFonts w:ascii="Arial" w:cs="Arial" w:eastAsia="Arial" w:hAnsi="Arial"/>
          <w:sz w:val="18"/>
          <w:szCs w:val="18"/>
          <w:color w:val="auto"/>
        </w:rPr>
        <w:t>ITEM 15. EXHIBITS AND FINANCIAL STATEMENT SCHEDULES</w:t>
      </w:r>
    </w:p>
    <w:p>
      <w:pPr>
        <w:spacing w:after="0" w:line="60" w:lineRule="exact"/>
        <w:rPr>
          <w:sz w:val="20"/>
          <w:szCs w:val="20"/>
          <w:color w:val="auto"/>
        </w:rPr>
      </w:pPr>
    </w:p>
    <w:p>
      <w:pPr>
        <w:ind w:left="4"/>
        <w:spacing w:after="0"/>
        <w:rPr>
          <w:sz w:val="20"/>
          <w:szCs w:val="20"/>
          <w:color w:val="auto"/>
        </w:rPr>
      </w:pPr>
      <w:r>
        <w:rPr>
          <w:rFonts w:ascii="Arial" w:cs="Arial" w:eastAsia="Arial" w:hAnsi="Arial"/>
          <w:sz w:val="16"/>
          <w:szCs w:val="16"/>
          <w:color w:val="auto"/>
        </w:rPr>
        <w:t>(a) The following documents are filed as part of this report:</w:t>
      </w:r>
    </w:p>
    <w:p>
      <w:pPr>
        <w:spacing w:after="0" w:line="276"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auto"/>
        </w:rPr>
        <w:t>1. FINANCIAL STATEMENTS</w:t>
      </w:r>
    </w:p>
    <w:p>
      <w:pPr>
        <w:spacing w:after="0" w:line="137" w:lineRule="exact"/>
        <w:rPr>
          <w:sz w:val="20"/>
          <w:szCs w:val="20"/>
          <w:color w:val="auto"/>
        </w:rPr>
      </w:pPr>
    </w:p>
    <w:tbl>
      <w:tblPr>
        <w:tblLayout w:type="fixed"/>
        <w:tblInd w:w="1804" w:type="dxa"/>
        <w:tblCellMar>
          <w:top w:w="0" w:type="dxa"/>
          <w:left w:w="0" w:type="dxa"/>
          <w:bottom w:w="0" w:type="dxa"/>
          <w:right w:w="0" w:type="dxa"/>
        </w:tblCellMar>
      </w:tblPr>
      <w:tr>
        <w:trPr>
          <w:trHeight w:val="170"/>
        </w:trPr>
        <w:tc>
          <w:tcPr>
            <w:tcW w:w="35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140" w:type="dxa"/>
            <w:vAlign w:val="bottom"/>
            <w:gridSpan w:val="2"/>
          </w:tcPr>
          <w:p>
            <w:pPr>
              <w:ind w:left="440"/>
              <w:spacing w:after="0"/>
              <w:rPr>
                <w:sz w:val="20"/>
                <w:szCs w:val="20"/>
                <w:color w:val="auto"/>
              </w:rPr>
            </w:pPr>
            <w:r>
              <w:rPr>
                <w:rFonts w:ascii="Arial" w:cs="Arial" w:eastAsia="Arial" w:hAnsi="Arial"/>
                <w:sz w:val="13"/>
                <w:szCs w:val="13"/>
                <w:b w:val="1"/>
                <w:bCs w:val="1"/>
                <w:color w:val="auto"/>
              </w:rPr>
              <w:t>Page in Annual Report*</w:t>
            </w:r>
          </w:p>
        </w:tc>
        <w:tc>
          <w:tcPr>
            <w:tcW w:w="1140" w:type="dxa"/>
            <w:vAlign w:val="bottom"/>
          </w:tcPr>
          <w:p>
            <w:pPr>
              <w:spacing w:after="0"/>
              <w:rPr>
                <w:sz w:val="14"/>
                <w:szCs w:val="14"/>
                <w:color w:val="auto"/>
              </w:rPr>
            </w:pPr>
          </w:p>
        </w:tc>
      </w:tr>
      <w:tr>
        <w:trPr>
          <w:trHeight w:val="34"/>
        </w:trPr>
        <w:tc>
          <w:tcPr>
            <w:tcW w:w="356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365"/>
        </w:trPr>
        <w:tc>
          <w:tcPr>
            <w:tcW w:w="35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180" w:type="dxa"/>
            <w:vAlign w:val="bottom"/>
          </w:tcPr>
          <w:p>
            <w:pPr>
              <w:jc w:val="center"/>
              <w:ind w:right="31"/>
              <w:spacing w:after="0"/>
              <w:rPr>
                <w:sz w:val="20"/>
                <w:szCs w:val="20"/>
                <w:color w:val="auto"/>
              </w:rPr>
            </w:pPr>
            <w:r>
              <w:rPr>
                <w:rFonts w:ascii="Arial" w:cs="Arial" w:eastAsia="Arial" w:hAnsi="Arial"/>
                <w:sz w:val="13"/>
                <w:szCs w:val="13"/>
                <w:b w:val="1"/>
                <w:bCs w:val="1"/>
                <w:color w:val="auto"/>
                <w:w w:val="99"/>
              </w:rPr>
              <w:t>San Diego Gas &amp;</w:t>
            </w:r>
          </w:p>
        </w:tc>
        <w:tc>
          <w:tcPr>
            <w:tcW w:w="96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3"/>
                <w:szCs w:val="13"/>
                <w:b w:val="1"/>
                <w:bCs w:val="1"/>
                <w:color w:val="auto"/>
                <w:w w:val="98"/>
              </w:rPr>
              <w:t>Southern</w:t>
            </w:r>
          </w:p>
        </w:tc>
      </w:tr>
      <w:tr>
        <w:trPr>
          <w:trHeight w:val="156"/>
        </w:trPr>
        <w:tc>
          <w:tcPr>
            <w:tcW w:w="35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80" w:type="dxa"/>
            <w:vAlign w:val="bottom"/>
          </w:tcPr>
          <w:p>
            <w:pPr>
              <w:jc w:val="center"/>
              <w:ind w:right="11"/>
              <w:spacing w:after="0"/>
              <w:rPr>
                <w:sz w:val="20"/>
                <w:szCs w:val="20"/>
                <w:color w:val="auto"/>
              </w:rPr>
            </w:pPr>
            <w:r>
              <w:rPr>
                <w:rFonts w:ascii="Arial" w:cs="Arial" w:eastAsia="Arial" w:hAnsi="Arial"/>
                <w:sz w:val="13"/>
                <w:szCs w:val="13"/>
                <w:b w:val="1"/>
                <w:bCs w:val="1"/>
                <w:color w:val="auto"/>
                <w:w w:val="97"/>
              </w:rPr>
              <w:t>Electric</w:t>
            </w:r>
          </w:p>
        </w:tc>
        <w:tc>
          <w:tcPr>
            <w:tcW w:w="960" w:type="dxa"/>
            <w:vAlign w:val="bottom"/>
          </w:tcPr>
          <w:p>
            <w:pPr>
              <w:jc w:val="center"/>
              <w:spacing w:after="0"/>
              <w:rPr>
                <w:sz w:val="20"/>
                <w:szCs w:val="20"/>
                <w:color w:val="auto"/>
              </w:rPr>
            </w:pPr>
            <w:r>
              <w:rPr>
                <w:rFonts w:ascii="Arial" w:cs="Arial" w:eastAsia="Arial" w:hAnsi="Arial"/>
                <w:sz w:val="13"/>
                <w:szCs w:val="13"/>
                <w:b w:val="1"/>
                <w:bCs w:val="1"/>
                <w:color w:val="auto"/>
                <w:w w:val="95"/>
              </w:rPr>
              <w:t>Pacific</w:t>
            </w:r>
          </w:p>
        </w:tc>
        <w:tc>
          <w:tcPr>
            <w:tcW w:w="1140" w:type="dxa"/>
            <w:vAlign w:val="bottom"/>
          </w:tcPr>
          <w:p>
            <w:pPr>
              <w:jc w:val="center"/>
              <w:spacing w:after="0"/>
              <w:rPr>
                <w:sz w:val="20"/>
                <w:szCs w:val="20"/>
                <w:color w:val="auto"/>
              </w:rPr>
            </w:pPr>
            <w:r>
              <w:rPr>
                <w:rFonts w:ascii="Arial" w:cs="Arial" w:eastAsia="Arial" w:hAnsi="Arial"/>
                <w:sz w:val="13"/>
                <w:szCs w:val="13"/>
                <w:b w:val="1"/>
                <w:bCs w:val="1"/>
                <w:color w:val="auto"/>
                <w:w w:val="97"/>
              </w:rPr>
              <w:t>California Gas</w:t>
            </w:r>
          </w:p>
        </w:tc>
      </w:tr>
      <w:tr>
        <w:trPr>
          <w:trHeight w:val="170"/>
        </w:trPr>
        <w:tc>
          <w:tcPr>
            <w:tcW w:w="356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Arial" w:cs="Arial" w:eastAsia="Arial" w:hAnsi="Arial"/>
                <w:sz w:val="13"/>
                <w:szCs w:val="13"/>
                <w:b w:val="1"/>
                <w:bCs w:val="1"/>
                <w:color w:val="auto"/>
                <w:w w:val="98"/>
              </w:rPr>
              <w:t>Sempra Energy</w:t>
            </w:r>
          </w:p>
        </w:tc>
        <w:tc>
          <w:tcPr>
            <w:tcW w:w="1180" w:type="dxa"/>
            <w:vAlign w:val="bottom"/>
          </w:tcPr>
          <w:p>
            <w:pPr>
              <w:jc w:val="center"/>
              <w:ind w:right="11"/>
              <w:spacing w:after="0"/>
              <w:rPr>
                <w:sz w:val="20"/>
                <w:szCs w:val="20"/>
                <w:color w:val="auto"/>
              </w:rPr>
            </w:pPr>
            <w:r>
              <w:rPr>
                <w:rFonts w:ascii="Arial" w:cs="Arial" w:eastAsia="Arial" w:hAnsi="Arial"/>
                <w:sz w:val="13"/>
                <w:szCs w:val="13"/>
                <w:b w:val="1"/>
                <w:bCs w:val="1"/>
                <w:color w:val="auto"/>
                <w:w w:val="97"/>
              </w:rPr>
              <w:t>Company</w:t>
            </w:r>
          </w:p>
        </w:tc>
        <w:tc>
          <w:tcPr>
            <w:tcW w:w="960" w:type="dxa"/>
            <w:vAlign w:val="bottom"/>
          </w:tcPr>
          <w:p>
            <w:pPr>
              <w:jc w:val="center"/>
              <w:spacing w:after="0"/>
              <w:rPr>
                <w:sz w:val="20"/>
                <w:szCs w:val="20"/>
                <w:color w:val="auto"/>
              </w:rPr>
            </w:pPr>
            <w:r>
              <w:rPr>
                <w:rFonts w:ascii="Arial" w:cs="Arial" w:eastAsia="Arial" w:hAnsi="Arial"/>
                <w:sz w:val="13"/>
                <w:szCs w:val="13"/>
                <w:b w:val="1"/>
                <w:bCs w:val="1"/>
                <w:color w:val="auto"/>
              </w:rPr>
              <w:t>Enterprises</w:t>
            </w:r>
          </w:p>
        </w:tc>
        <w:tc>
          <w:tcPr>
            <w:tcW w:w="1140" w:type="dxa"/>
            <w:vAlign w:val="bottom"/>
          </w:tcPr>
          <w:p>
            <w:pPr>
              <w:jc w:val="center"/>
              <w:spacing w:after="0"/>
              <w:rPr>
                <w:sz w:val="20"/>
                <w:szCs w:val="20"/>
                <w:color w:val="auto"/>
              </w:rPr>
            </w:pPr>
            <w:r>
              <w:rPr>
                <w:rFonts w:ascii="Arial" w:cs="Arial" w:eastAsia="Arial" w:hAnsi="Arial"/>
                <w:sz w:val="13"/>
                <w:szCs w:val="13"/>
                <w:b w:val="1"/>
                <w:bCs w:val="1"/>
                <w:color w:val="auto"/>
                <w:w w:val="97"/>
              </w:rPr>
              <w:t>Company</w:t>
            </w:r>
          </w:p>
        </w:tc>
      </w:tr>
      <w:tr>
        <w:trPr>
          <w:trHeight w:val="408"/>
        </w:trPr>
        <w:tc>
          <w:tcPr>
            <w:tcW w:w="3560" w:type="dxa"/>
            <w:vAlign w:val="bottom"/>
          </w:tcPr>
          <w:p>
            <w:pPr>
              <w:ind w:left="20"/>
              <w:spacing w:after="0"/>
              <w:rPr>
                <w:sz w:val="20"/>
                <w:szCs w:val="20"/>
                <w:color w:val="auto"/>
              </w:rPr>
            </w:pPr>
            <w:r>
              <w:rPr>
                <w:rFonts w:ascii="Arial" w:cs="Arial" w:eastAsia="Arial" w:hAnsi="Arial"/>
                <w:sz w:val="14"/>
                <w:szCs w:val="14"/>
                <w:color w:val="auto"/>
              </w:rPr>
              <w:t>Management's Report On Internal Control Over</w:t>
            </w:r>
          </w:p>
        </w:tc>
        <w:tc>
          <w:tcPr>
            <w:tcW w:w="9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72"/>
        </w:trPr>
        <w:tc>
          <w:tcPr>
            <w:tcW w:w="3560" w:type="dxa"/>
            <w:vAlign w:val="bottom"/>
          </w:tcPr>
          <w:p>
            <w:pPr>
              <w:ind w:left="140"/>
              <w:spacing w:after="0"/>
              <w:rPr>
                <w:sz w:val="20"/>
                <w:szCs w:val="20"/>
                <w:color w:val="auto"/>
              </w:rPr>
            </w:pPr>
            <w:r>
              <w:rPr>
                <w:rFonts w:ascii="Arial" w:cs="Arial" w:eastAsia="Arial" w:hAnsi="Arial"/>
                <w:sz w:val="14"/>
                <w:szCs w:val="14"/>
                <w:color w:val="auto"/>
              </w:rPr>
              <w:t>Financial Reporting</w:t>
            </w:r>
          </w:p>
        </w:tc>
        <w:tc>
          <w:tcPr>
            <w:tcW w:w="980" w:type="dxa"/>
            <w:vAlign w:val="bottom"/>
          </w:tcPr>
          <w:p>
            <w:pPr>
              <w:jc w:val="center"/>
              <w:spacing w:after="0"/>
              <w:rPr>
                <w:sz w:val="20"/>
                <w:szCs w:val="20"/>
                <w:color w:val="auto"/>
              </w:rPr>
            </w:pPr>
            <w:r>
              <w:rPr>
                <w:rFonts w:ascii="Arial" w:cs="Arial" w:eastAsia="Arial" w:hAnsi="Arial"/>
                <w:sz w:val="14"/>
                <w:szCs w:val="14"/>
                <w:color w:val="auto"/>
              </w:rPr>
              <w:t>60</w:t>
            </w:r>
          </w:p>
        </w:tc>
        <w:tc>
          <w:tcPr>
            <w:tcW w:w="1180" w:type="dxa"/>
            <w:vAlign w:val="bottom"/>
          </w:tcPr>
          <w:p>
            <w:pPr>
              <w:jc w:val="center"/>
              <w:ind w:right="31"/>
              <w:spacing w:after="0"/>
              <w:rPr>
                <w:sz w:val="20"/>
                <w:szCs w:val="20"/>
                <w:color w:val="auto"/>
              </w:rPr>
            </w:pPr>
            <w:r>
              <w:rPr>
                <w:rFonts w:ascii="Arial" w:cs="Arial" w:eastAsia="Arial" w:hAnsi="Arial"/>
                <w:sz w:val="14"/>
                <w:szCs w:val="14"/>
                <w:color w:val="auto"/>
              </w:rPr>
              <w:t>60</w:t>
            </w:r>
          </w:p>
        </w:tc>
        <w:tc>
          <w:tcPr>
            <w:tcW w:w="960" w:type="dxa"/>
            <w:vAlign w:val="bottom"/>
          </w:tcPr>
          <w:p>
            <w:pPr>
              <w:jc w:val="center"/>
              <w:spacing w:after="0"/>
              <w:rPr>
                <w:sz w:val="20"/>
                <w:szCs w:val="20"/>
                <w:color w:val="auto"/>
              </w:rPr>
            </w:pPr>
            <w:r>
              <w:rPr>
                <w:rFonts w:ascii="Arial" w:cs="Arial" w:eastAsia="Arial" w:hAnsi="Arial"/>
                <w:sz w:val="14"/>
                <w:szCs w:val="14"/>
                <w:color w:val="auto"/>
              </w:rPr>
              <w:t>60</w:t>
            </w:r>
          </w:p>
        </w:tc>
        <w:tc>
          <w:tcPr>
            <w:tcW w:w="1140" w:type="dxa"/>
            <w:vAlign w:val="bottom"/>
          </w:tcPr>
          <w:p>
            <w:pPr>
              <w:jc w:val="center"/>
              <w:spacing w:after="0"/>
              <w:rPr>
                <w:sz w:val="20"/>
                <w:szCs w:val="20"/>
                <w:color w:val="auto"/>
              </w:rPr>
            </w:pPr>
            <w:r>
              <w:rPr>
                <w:rFonts w:ascii="Arial" w:cs="Arial" w:eastAsia="Arial" w:hAnsi="Arial"/>
                <w:sz w:val="14"/>
                <w:szCs w:val="14"/>
                <w:color w:val="auto"/>
              </w:rPr>
              <w:t>60</w:t>
            </w:r>
          </w:p>
        </w:tc>
      </w:tr>
      <w:tr>
        <w:trPr>
          <w:trHeight w:val="404"/>
        </w:trPr>
        <w:tc>
          <w:tcPr>
            <w:tcW w:w="3560" w:type="dxa"/>
            <w:vAlign w:val="bottom"/>
          </w:tcPr>
          <w:p>
            <w:pPr>
              <w:ind w:left="20"/>
              <w:spacing w:after="0"/>
              <w:rPr>
                <w:sz w:val="20"/>
                <w:szCs w:val="20"/>
                <w:color w:val="auto"/>
              </w:rPr>
            </w:pPr>
            <w:r>
              <w:rPr>
                <w:rFonts w:ascii="Arial" w:cs="Arial" w:eastAsia="Arial" w:hAnsi="Arial"/>
                <w:sz w:val="14"/>
                <w:szCs w:val="14"/>
                <w:color w:val="auto"/>
              </w:rPr>
              <w:t>Reports of Independent Registered Public Accounting</w:t>
            </w:r>
          </w:p>
        </w:tc>
        <w:tc>
          <w:tcPr>
            <w:tcW w:w="9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72"/>
        </w:trPr>
        <w:tc>
          <w:tcPr>
            <w:tcW w:w="3560" w:type="dxa"/>
            <w:vAlign w:val="bottom"/>
          </w:tcPr>
          <w:p>
            <w:pPr>
              <w:ind w:left="140"/>
              <w:spacing w:after="0"/>
              <w:rPr>
                <w:sz w:val="20"/>
                <w:szCs w:val="20"/>
                <w:color w:val="auto"/>
              </w:rPr>
            </w:pPr>
            <w:r>
              <w:rPr>
                <w:rFonts w:ascii="Arial" w:cs="Arial" w:eastAsia="Arial" w:hAnsi="Arial"/>
                <w:sz w:val="14"/>
                <w:szCs w:val="14"/>
                <w:color w:val="auto"/>
              </w:rPr>
              <w:t>Firm</w:t>
            </w:r>
          </w:p>
        </w:tc>
        <w:tc>
          <w:tcPr>
            <w:tcW w:w="980" w:type="dxa"/>
            <w:vAlign w:val="bottom"/>
          </w:tcPr>
          <w:p>
            <w:pPr>
              <w:jc w:val="center"/>
              <w:spacing w:after="0"/>
              <w:rPr>
                <w:sz w:val="20"/>
                <w:szCs w:val="20"/>
                <w:color w:val="auto"/>
              </w:rPr>
            </w:pPr>
            <w:r>
              <w:rPr>
                <w:rFonts w:ascii="Arial" w:cs="Arial" w:eastAsia="Arial" w:hAnsi="Arial"/>
                <w:sz w:val="14"/>
                <w:szCs w:val="14"/>
                <w:color w:val="auto"/>
              </w:rPr>
              <w:t>61</w:t>
            </w:r>
          </w:p>
        </w:tc>
        <w:tc>
          <w:tcPr>
            <w:tcW w:w="1180" w:type="dxa"/>
            <w:vAlign w:val="bottom"/>
          </w:tcPr>
          <w:p>
            <w:pPr>
              <w:jc w:val="center"/>
              <w:ind w:right="31"/>
              <w:spacing w:after="0"/>
              <w:rPr>
                <w:sz w:val="20"/>
                <w:szCs w:val="20"/>
                <w:color w:val="auto"/>
              </w:rPr>
            </w:pPr>
            <w:r>
              <w:rPr>
                <w:rFonts w:ascii="Arial" w:cs="Arial" w:eastAsia="Arial" w:hAnsi="Arial"/>
                <w:sz w:val="14"/>
                <w:szCs w:val="14"/>
                <w:color w:val="auto"/>
              </w:rPr>
              <w:t>63</w:t>
            </w:r>
          </w:p>
        </w:tc>
        <w:tc>
          <w:tcPr>
            <w:tcW w:w="960" w:type="dxa"/>
            <w:vAlign w:val="bottom"/>
          </w:tcPr>
          <w:p>
            <w:pPr>
              <w:jc w:val="center"/>
              <w:spacing w:after="0"/>
              <w:rPr>
                <w:sz w:val="20"/>
                <w:szCs w:val="20"/>
                <w:color w:val="auto"/>
              </w:rPr>
            </w:pPr>
            <w:r>
              <w:rPr>
                <w:rFonts w:ascii="Arial" w:cs="Arial" w:eastAsia="Arial" w:hAnsi="Arial"/>
                <w:sz w:val="14"/>
                <w:szCs w:val="14"/>
                <w:color w:val="auto"/>
              </w:rPr>
              <w:t>65</w:t>
            </w:r>
          </w:p>
        </w:tc>
        <w:tc>
          <w:tcPr>
            <w:tcW w:w="1140" w:type="dxa"/>
            <w:vAlign w:val="bottom"/>
          </w:tcPr>
          <w:p>
            <w:pPr>
              <w:jc w:val="center"/>
              <w:spacing w:after="0"/>
              <w:rPr>
                <w:sz w:val="20"/>
                <w:szCs w:val="20"/>
                <w:color w:val="auto"/>
              </w:rPr>
            </w:pPr>
            <w:r>
              <w:rPr>
                <w:rFonts w:ascii="Arial" w:cs="Arial" w:eastAsia="Arial" w:hAnsi="Arial"/>
                <w:sz w:val="14"/>
                <w:szCs w:val="14"/>
                <w:color w:val="auto"/>
              </w:rPr>
              <w:t>67</w:t>
            </w:r>
          </w:p>
        </w:tc>
      </w:tr>
      <w:tr>
        <w:trPr>
          <w:trHeight w:val="404"/>
        </w:trPr>
        <w:tc>
          <w:tcPr>
            <w:tcW w:w="3560" w:type="dxa"/>
            <w:vAlign w:val="bottom"/>
          </w:tcPr>
          <w:p>
            <w:pPr>
              <w:ind w:left="20"/>
              <w:spacing w:after="0"/>
              <w:rPr>
                <w:sz w:val="20"/>
                <w:szCs w:val="20"/>
                <w:color w:val="auto"/>
              </w:rPr>
            </w:pPr>
            <w:r>
              <w:rPr>
                <w:rFonts w:ascii="Arial" w:cs="Arial" w:eastAsia="Arial" w:hAnsi="Arial"/>
                <w:sz w:val="14"/>
                <w:szCs w:val="14"/>
                <w:color w:val="auto"/>
              </w:rPr>
              <w:t>Statements of Consolidated Income for the years</w:t>
            </w:r>
          </w:p>
        </w:tc>
        <w:tc>
          <w:tcPr>
            <w:tcW w:w="9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72"/>
        </w:trPr>
        <w:tc>
          <w:tcPr>
            <w:tcW w:w="3560" w:type="dxa"/>
            <w:vAlign w:val="bottom"/>
          </w:tcPr>
          <w:p>
            <w:pPr>
              <w:ind w:left="140"/>
              <w:spacing w:after="0"/>
              <w:rPr>
                <w:sz w:val="20"/>
                <w:szCs w:val="20"/>
                <w:color w:val="auto"/>
              </w:rPr>
            </w:pPr>
            <w:r>
              <w:rPr>
                <w:rFonts w:ascii="Arial" w:cs="Arial" w:eastAsia="Arial" w:hAnsi="Arial"/>
                <w:sz w:val="14"/>
                <w:szCs w:val="14"/>
                <w:color w:val="auto"/>
              </w:rPr>
              <w:t>ended December 31, 2008, 2007 and 2006</w:t>
            </w:r>
          </w:p>
        </w:tc>
        <w:tc>
          <w:tcPr>
            <w:tcW w:w="980" w:type="dxa"/>
            <w:vAlign w:val="bottom"/>
          </w:tcPr>
          <w:p>
            <w:pPr>
              <w:jc w:val="center"/>
              <w:spacing w:after="0"/>
              <w:rPr>
                <w:sz w:val="20"/>
                <w:szCs w:val="20"/>
                <w:color w:val="auto"/>
              </w:rPr>
            </w:pPr>
            <w:r>
              <w:rPr>
                <w:rFonts w:ascii="Arial" w:cs="Arial" w:eastAsia="Arial" w:hAnsi="Arial"/>
                <w:sz w:val="14"/>
                <w:szCs w:val="14"/>
                <w:color w:val="auto"/>
              </w:rPr>
              <w:t>69</w:t>
            </w:r>
          </w:p>
        </w:tc>
        <w:tc>
          <w:tcPr>
            <w:tcW w:w="1180" w:type="dxa"/>
            <w:vAlign w:val="bottom"/>
          </w:tcPr>
          <w:p>
            <w:pPr>
              <w:jc w:val="center"/>
              <w:ind w:right="31"/>
              <w:spacing w:after="0"/>
              <w:rPr>
                <w:sz w:val="20"/>
                <w:szCs w:val="20"/>
                <w:color w:val="auto"/>
              </w:rPr>
            </w:pPr>
            <w:r>
              <w:rPr>
                <w:rFonts w:ascii="Arial" w:cs="Arial" w:eastAsia="Arial" w:hAnsi="Arial"/>
                <w:sz w:val="14"/>
                <w:szCs w:val="14"/>
                <w:color w:val="auto"/>
              </w:rPr>
              <w:t>75</w:t>
            </w:r>
          </w:p>
        </w:tc>
        <w:tc>
          <w:tcPr>
            <w:tcW w:w="960" w:type="dxa"/>
            <w:vAlign w:val="bottom"/>
          </w:tcPr>
          <w:p>
            <w:pPr>
              <w:jc w:val="center"/>
              <w:spacing w:after="0"/>
              <w:rPr>
                <w:sz w:val="20"/>
                <w:szCs w:val="20"/>
                <w:color w:val="auto"/>
              </w:rPr>
            </w:pPr>
            <w:r>
              <w:rPr>
                <w:rFonts w:ascii="Arial" w:cs="Arial" w:eastAsia="Arial" w:hAnsi="Arial"/>
                <w:sz w:val="14"/>
                <w:szCs w:val="14"/>
                <w:color w:val="auto"/>
              </w:rPr>
              <w:t>81</w:t>
            </w:r>
          </w:p>
        </w:tc>
        <w:tc>
          <w:tcPr>
            <w:tcW w:w="1140" w:type="dxa"/>
            <w:vAlign w:val="bottom"/>
          </w:tcPr>
          <w:p>
            <w:pPr>
              <w:jc w:val="center"/>
              <w:spacing w:after="0"/>
              <w:rPr>
                <w:sz w:val="20"/>
                <w:szCs w:val="20"/>
                <w:color w:val="auto"/>
              </w:rPr>
            </w:pPr>
            <w:r>
              <w:rPr>
                <w:rFonts w:ascii="Arial" w:cs="Arial" w:eastAsia="Arial" w:hAnsi="Arial"/>
                <w:sz w:val="14"/>
                <w:szCs w:val="14"/>
                <w:color w:val="auto"/>
              </w:rPr>
              <w:t>87</w:t>
            </w:r>
          </w:p>
        </w:tc>
      </w:tr>
      <w:tr>
        <w:trPr>
          <w:trHeight w:val="404"/>
        </w:trPr>
        <w:tc>
          <w:tcPr>
            <w:tcW w:w="3560" w:type="dxa"/>
            <w:vAlign w:val="bottom"/>
          </w:tcPr>
          <w:p>
            <w:pPr>
              <w:ind w:left="20"/>
              <w:spacing w:after="0"/>
              <w:rPr>
                <w:sz w:val="20"/>
                <w:szCs w:val="20"/>
                <w:color w:val="auto"/>
              </w:rPr>
            </w:pPr>
            <w:r>
              <w:rPr>
                <w:rFonts w:ascii="Arial" w:cs="Arial" w:eastAsia="Arial" w:hAnsi="Arial"/>
                <w:sz w:val="14"/>
                <w:szCs w:val="14"/>
                <w:color w:val="auto"/>
              </w:rPr>
              <w:t>Consolidated Balance Sheets at December 31, 2008</w:t>
            </w:r>
          </w:p>
        </w:tc>
        <w:tc>
          <w:tcPr>
            <w:tcW w:w="9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72"/>
        </w:trPr>
        <w:tc>
          <w:tcPr>
            <w:tcW w:w="3560" w:type="dxa"/>
            <w:vAlign w:val="bottom"/>
          </w:tcPr>
          <w:p>
            <w:pPr>
              <w:ind w:left="140"/>
              <w:spacing w:after="0"/>
              <w:rPr>
                <w:sz w:val="20"/>
                <w:szCs w:val="20"/>
                <w:color w:val="auto"/>
              </w:rPr>
            </w:pPr>
            <w:r>
              <w:rPr>
                <w:rFonts w:ascii="Arial" w:cs="Arial" w:eastAsia="Arial" w:hAnsi="Arial"/>
                <w:sz w:val="14"/>
                <w:szCs w:val="14"/>
                <w:color w:val="auto"/>
              </w:rPr>
              <w:t>and 2007</w:t>
            </w:r>
          </w:p>
        </w:tc>
        <w:tc>
          <w:tcPr>
            <w:tcW w:w="980" w:type="dxa"/>
            <w:vAlign w:val="bottom"/>
          </w:tcPr>
          <w:p>
            <w:pPr>
              <w:jc w:val="center"/>
              <w:spacing w:after="0"/>
              <w:rPr>
                <w:sz w:val="20"/>
                <w:szCs w:val="20"/>
                <w:color w:val="auto"/>
              </w:rPr>
            </w:pPr>
            <w:r>
              <w:rPr>
                <w:rFonts w:ascii="Arial" w:cs="Arial" w:eastAsia="Arial" w:hAnsi="Arial"/>
                <w:sz w:val="14"/>
                <w:szCs w:val="14"/>
                <w:color w:val="auto"/>
              </w:rPr>
              <w:t>70</w:t>
            </w:r>
          </w:p>
        </w:tc>
        <w:tc>
          <w:tcPr>
            <w:tcW w:w="1180" w:type="dxa"/>
            <w:vAlign w:val="bottom"/>
          </w:tcPr>
          <w:p>
            <w:pPr>
              <w:jc w:val="center"/>
              <w:ind w:right="31"/>
              <w:spacing w:after="0"/>
              <w:rPr>
                <w:sz w:val="20"/>
                <w:szCs w:val="20"/>
                <w:color w:val="auto"/>
              </w:rPr>
            </w:pPr>
            <w:r>
              <w:rPr>
                <w:rFonts w:ascii="Arial" w:cs="Arial" w:eastAsia="Arial" w:hAnsi="Arial"/>
                <w:sz w:val="14"/>
                <w:szCs w:val="14"/>
                <w:color w:val="auto"/>
              </w:rPr>
              <w:t>76</w:t>
            </w:r>
          </w:p>
        </w:tc>
        <w:tc>
          <w:tcPr>
            <w:tcW w:w="960" w:type="dxa"/>
            <w:vAlign w:val="bottom"/>
          </w:tcPr>
          <w:p>
            <w:pPr>
              <w:jc w:val="center"/>
              <w:spacing w:after="0"/>
              <w:rPr>
                <w:sz w:val="20"/>
                <w:szCs w:val="20"/>
                <w:color w:val="auto"/>
              </w:rPr>
            </w:pPr>
            <w:r>
              <w:rPr>
                <w:rFonts w:ascii="Arial" w:cs="Arial" w:eastAsia="Arial" w:hAnsi="Arial"/>
                <w:sz w:val="14"/>
                <w:szCs w:val="14"/>
                <w:color w:val="auto"/>
              </w:rPr>
              <w:t>82</w:t>
            </w:r>
          </w:p>
        </w:tc>
        <w:tc>
          <w:tcPr>
            <w:tcW w:w="1140" w:type="dxa"/>
            <w:vAlign w:val="bottom"/>
          </w:tcPr>
          <w:p>
            <w:pPr>
              <w:jc w:val="center"/>
              <w:spacing w:after="0"/>
              <w:rPr>
                <w:sz w:val="20"/>
                <w:szCs w:val="20"/>
                <w:color w:val="auto"/>
              </w:rPr>
            </w:pPr>
            <w:r>
              <w:rPr>
                <w:rFonts w:ascii="Arial" w:cs="Arial" w:eastAsia="Arial" w:hAnsi="Arial"/>
                <w:sz w:val="14"/>
                <w:szCs w:val="14"/>
                <w:color w:val="auto"/>
              </w:rPr>
              <w:t>88</w:t>
            </w:r>
          </w:p>
        </w:tc>
      </w:tr>
      <w:tr>
        <w:trPr>
          <w:trHeight w:val="404"/>
        </w:trPr>
        <w:tc>
          <w:tcPr>
            <w:tcW w:w="3560" w:type="dxa"/>
            <w:vAlign w:val="bottom"/>
          </w:tcPr>
          <w:p>
            <w:pPr>
              <w:ind w:left="20"/>
              <w:spacing w:after="0"/>
              <w:rPr>
                <w:sz w:val="20"/>
                <w:szCs w:val="20"/>
                <w:color w:val="auto"/>
              </w:rPr>
            </w:pPr>
            <w:r>
              <w:rPr>
                <w:rFonts w:ascii="Arial" w:cs="Arial" w:eastAsia="Arial" w:hAnsi="Arial"/>
                <w:sz w:val="14"/>
                <w:szCs w:val="14"/>
                <w:color w:val="auto"/>
              </w:rPr>
              <w:t>Statements of Consolidated Cash Flows for the years</w:t>
            </w:r>
          </w:p>
        </w:tc>
        <w:tc>
          <w:tcPr>
            <w:tcW w:w="9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72"/>
        </w:trPr>
        <w:tc>
          <w:tcPr>
            <w:tcW w:w="3560" w:type="dxa"/>
            <w:vAlign w:val="bottom"/>
          </w:tcPr>
          <w:p>
            <w:pPr>
              <w:ind w:left="140"/>
              <w:spacing w:after="0"/>
              <w:rPr>
                <w:sz w:val="20"/>
                <w:szCs w:val="20"/>
                <w:color w:val="auto"/>
              </w:rPr>
            </w:pPr>
            <w:r>
              <w:rPr>
                <w:rFonts w:ascii="Arial" w:cs="Arial" w:eastAsia="Arial" w:hAnsi="Arial"/>
                <w:sz w:val="14"/>
                <w:szCs w:val="14"/>
                <w:color w:val="auto"/>
              </w:rPr>
              <w:t>ended December 31, 2008, 2007 and 2006</w:t>
            </w:r>
          </w:p>
        </w:tc>
        <w:tc>
          <w:tcPr>
            <w:tcW w:w="980" w:type="dxa"/>
            <w:vAlign w:val="bottom"/>
          </w:tcPr>
          <w:p>
            <w:pPr>
              <w:jc w:val="center"/>
              <w:spacing w:after="0"/>
              <w:rPr>
                <w:sz w:val="20"/>
                <w:szCs w:val="20"/>
                <w:color w:val="auto"/>
              </w:rPr>
            </w:pPr>
            <w:r>
              <w:rPr>
                <w:rFonts w:ascii="Arial" w:cs="Arial" w:eastAsia="Arial" w:hAnsi="Arial"/>
                <w:sz w:val="14"/>
                <w:szCs w:val="14"/>
                <w:color w:val="auto"/>
              </w:rPr>
              <w:t>72</w:t>
            </w:r>
          </w:p>
        </w:tc>
        <w:tc>
          <w:tcPr>
            <w:tcW w:w="1180" w:type="dxa"/>
            <w:vAlign w:val="bottom"/>
          </w:tcPr>
          <w:p>
            <w:pPr>
              <w:jc w:val="center"/>
              <w:ind w:right="31"/>
              <w:spacing w:after="0"/>
              <w:rPr>
                <w:sz w:val="20"/>
                <w:szCs w:val="20"/>
                <w:color w:val="auto"/>
              </w:rPr>
            </w:pPr>
            <w:r>
              <w:rPr>
                <w:rFonts w:ascii="Arial" w:cs="Arial" w:eastAsia="Arial" w:hAnsi="Arial"/>
                <w:sz w:val="14"/>
                <w:szCs w:val="14"/>
                <w:color w:val="auto"/>
              </w:rPr>
              <w:t>78</w:t>
            </w:r>
          </w:p>
        </w:tc>
        <w:tc>
          <w:tcPr>
            <w:tcW w:w="960" w:type="dxa"/>
            <w:vAlign w:val="bottom"/>
          </w:tcPr>
          <w:p>
            <w:pPr>
              <w:jc w:val="center"/>
              <w:spacing w:after="0"/>
              <w:rPr>
                <w:sz w:val="20"/>
                <w:szCs w:val="20"/>
                <w:color w:val="auto"/>
              </w:rPr>
            </w:pPr>
            <w:r>
              <w:rPr>
                <w:rFonts w:ascii="Arial" w:cs="Arial" w:eastAsia="Arial" w:hAnsi="Arial"/>
                <w:sz w:val="14"/>
                <w:szCs w:val="14"/>
                <w:color w:val="auto"/>
              </w:rPr>
              <w:t>84</w:t>
            </w:r>
          </w:p>
        </w:tc>
        <w:tc>
          <w:tcPr>
            <w:tcW w:w="1140" w:type="dxa"/>
            <w:vAlign w:val="bottom"/>
          </w:tcPr>
          <w:p>
            <w:pPr>
              <w:jc w:val="center"/>
              <w:spacing w:after="0"/>
              <w:rPr>
                <w:sz w:val="20"/>
                <w:szCs w:val="20"/>
                <w:color w:val="auto"/>
              </w:rPr>
            </w:pPr>
            <w:r>
              <w:rPr>
                <w:rFonts w:ascii="Arial" w:cs="Arial" w:eastAsia="Arial" w:hAnsi="Arial"/>
                <w:sz w:val="14"/>
                <w:szCs w:val="14"/>
                <w:color w:val="auto"/>
              </w:rPr>
              <w:t>90</w:t>
            </w:r>
          </w:p>
        </w:tc>
      </w:tr>
      <w:tr>
        <w:trPr>
          <w:trHeight w:val="404"/>
        </w:trPr>
        <w:tc>
          <w:tcPr>
            <w:tcW w:w="3560" w:type="dxa"/>
            <w:vAlign w:val="bottom"/>
          </w:tcPr>
          <w:p>
            <w:pPr>
              <w:ind w:left="20"/>
              <w:spacing w:after="0"/>
              <w:rPr>
                <w:sz w:val="20"/>
                <w:szCs w:val="20"/>
                <w:color w:val="auto"/>
              </w:rPr>
            </w:pPr>
            <w:r>
              <w:rPr>
                <w:rFonts w:ascii="Arial" w:cs="Arial" w:eastAsia="Arial" w:hAnsi="Arial"/>
                <w:sz w:val="14"/>
                <w:szCs w:val="14"/>
                <w:color w:val="auto"/>
              </w:rPr>
              <w:t>Statements of Consolidated Comprehensive Income</w:t>
            </w:r>
          </w:p>
        </w:tc>
        <w:tc>
          <w:tcPr>
            <w:tcW w:w="9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68"/>
        </w:trPr>
        <w:tc>
          <w:tcPr>
            <w:tcW w:w="3560" w:type="dxa"/>
            <w:vAlign w:val="bottom"/>
          </w:tcPr>
          <w:p>
            <w:pPr>
              <w:ind w:left="140"/>
              <w:spacing w:after="0"/>
              <w:rPr>
                <w:sz w:val="20"/>
                <w:szCs w:val="20"/>
                <w:color w:val="auto"/>
              </w:rPr>
            </w:pPr>
            <w:r>
              <w:rPr>
                <w:rFonts w:ascii="Arial" w:cs="Arial" w:eastAsia="Arial" w:hAnsi="Arial"/>
                <w:sz w:val="14"/>
                <w:szCs w:val="14"/>
                <w:color w:val="auto"/>
              </w:rPr>
              <w:t>and Changes in Shareholders' Equity for the years</w:t>
            </w:r>
          </w:p>
        </w:tc>
        <w:tc>
          <w:tcPr>
            <w:tcW w:w="9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72"/>
        </w:trPr>
        <w:tc>
          <w:tcPr>
            <w:tcW w:w="3560" w:type="dxa"/>
            <w:vAlign w:val="bottom"/>
          </w:tcPr>
          <w:p>
            <w:pPr>
              <w:ind w:left="140"/>
              <w:spacing w:after="0"/>
              <w:rPr>
                <w:sz w:val="20"/>
                <w:szCs w:val="20"/>
                <w:color w:val="auto"/>
              </w:rPr>
            </w:pPr>
            <w:r>
              <w:rPr>
                <w:rFonts w:ascii="Arial" w:cs="Arial" w:eastAsia="Arial" w:hAnsi="Arial"/>
                <w:sz w:val="14"/>
                <w:szCs w:val="14"/>
                <w:color w:val="auto"/>
              </w:rPr>
              <w:t>ended December 31, 2008, 2007 and 2006</w:t>
            </w:r>
          </w:p>
        </w:tc>
        <w:tc>
          <w:tcPr>
            <w:tcW w:w="980" w:type="dxa"/>
            <w:vAlign w:val="bottom"/>
          </w:tcPr>
          <w:p>
            <w:pPr>
              <w:jc w:val="center"/>
              <w:spacing w:after="0"/>
              <w:rPr>
                <w:sz w:val="20"/>
                <w:szCs w:val="20"/>
                <w:color w:val="auto"/>
              </w:rPr>
            </w:pPr>
            <w:r>
              <w:rPr>
                <w:rFonts w:ascii="Arial" w:cs="Arial" w:eastAsia="Arial" w:hAnsi="Arial"/>
                <w:sz w:val="14"/>
                <w:szCs w:val="14"/>
                <w:color w:val="auto"/>
              </w:rPr>
              <w:t>74</w:t>
            </w:r>
          </w:p>
        </w:tc>
        <w:tc>
          <w:tcPr>
            <w:tcW w:w="1180" w:type="dxa"/>
            <w:vAlign w:val="bottom"/>
          </w:tcPr>
          <w:p>
            <w:pPr>
              <w:jc w:val="center"/>
              <w:ind w:right="31"/>
              <w:spacing w:after="0"/>
              <w:rPr>
                <w:sz w:val="20"/>
                <w:szCs w:val="20"/>
                <w:color w:val="auto"/>
              </w:rPr>
            </w:pPr>
            <w:r>
              <w:rPr>
                <w:rFonts w:ascii="Arial" w:cs="Arial" w:eastAsia="Arial" w:hAnsi="Arial"/>
                <w:sz w:val="14"/>
                <w:szCs w:val="14"/>
                <w:color w:val="auto"/>
              </w:rPr>
              <w:t>80</w:t>
            </w:r>
          </w:p>
        </w:tc>
        <w:tc>
          <w:tcPr>
            <w:tcW w:w="960" w:type="dxa"/>
            <w:vAlign w:val="bottom"/>
          </w:tcPr>
          <w:p>
            <w:pPr>
              <w:jc w:val="center"/>
              <w:spacing w:after="0"/>
              <w:rPr>
                <w:sz w:val="20"/>
                <w:szCs w:val="20"/>
                <w:color w:val="auto"/>
              </w:rPr>
            </w:pPr>
            <w:r>
              <w:rPr>
                <w:rFonts w:ascii="Arial" w:cs="Arial" w:eastAsia="Arial" w:hAnsi="Arial"/>
                <w:sz w:val="14"/>
                <w:szCs w:val="14"/>
                <w:color w:val="auto"/>
              </w:rPr>
              <w:t>86</w:t>
            </w:r>
          </w:p>
        </w:tc>
        <w:tc>
          <w:tcPr>
            <w:tcW w:w="1140" w:type="dxa"/>
            <w:vAlign w:val="bottom"/>
          </w:tcPr>
          <w:p>
            <w:pPr>
              <w:jc w:val="center"/>
              <w:spacing w:after="0"/>
              <w:rPr>
                <w:sz w:val="20"/>
                <w:szCs w:val="20"/>
                <w:color w:val="auto"/>
              </w:rPr>
            </w:pPr>
            <w:r>
              <w:rPr>
                <w:rFonts w:ascii="Arial" w:cs="Arial" w:eastAsia="Arial" w:hAnsi="Arial"/>
                <w:sz w:val="14"/>
                <w:szCs w:val="14"/>
                <w:color w:val="auto"/>
              </w:rPr>
              <w:t>92</w:t>
            </w:r>
          </w:p>
        </w:tc>
      </w:tr>
      <w:tr>
        <w:trPr>
          <w:trHeight w:val="411"/>
        </w:trPr>
        <w:tc>
          <w:tcPr>
            <w:tcW w:w="35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Notes to Consolidated Financial Statements</w:t>
            </w: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93</w:t>
            </w:r>
          </w:p>
        </w:tc>
        <w:tc>
          <w:tcPr>
            <w:tcW w:w="1180" w:type="dxa"/>
            <w:vAlign w:val="bottom"/>
            <w:tcBorders>
              <w:bottom w:val="single" w:sz="8" w:color="auto"/>
            </w:tcBorders>
          </w:tcPr>
          <w:p>
            <w:pPr>
              <w:jc w:val="center"/>
              <w:ind w:right="31"/>
              <w:spacing w:after="0"/>
              <w:rPr>
                <w:sz w:val="20"/>
                <w:szCs w:val="20"/>
                <w:color w:val="auto"/>
              </w:rPr>
            </w:pPr>
            <w:r>
              <w:rPr>
                <w:rFonts w:ascii="Arial" w:cs="Arial" w:eastAsia="Arial" w:hAnsi="Arial"/>
                <w:sz w:val="14"/>
                <w:szCs w:val="14"/>
                <w:color w:val="auto"/>
              </w:rPr>
              <w:t>93</w:t>
            </w: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93</w:t>
            </w: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93</w:t>
            </w:r>
          </w:p>
        </w:tc>
      </w:tr>
    </w:tbl>
    <w:p>
      <w:pPr>
        <w:spacing w:after="0" w:line="28" w:lineRule="exact"/>
        <w:rPr>
          <w:sz w:val="20"/>
          <w:szCs w:val="20"/>
          <w:color w:val="auto"/>
        </w:rPr>
      </w:pPr>
    </w:p>
    <w:p>
      <w:pPr>
        <w:ind w:left="1904" w:hanging="78"/>
        <w:spacing w:after="0"/>
        <w:tabs>
          <w:tab w:leader="none" w:pos="1904" w:val="left"/>
        </w:tabs>
        <w:numPr>
          <w:ilvl w:val="1"/>
          <w:numId w:val="22"/>
        </w:numPr>
        <w:rPr>
          <w:rFonts w:ascii="Arial" w:cs="Arial" w:eastAsia="Arial" w:hAnsi="Arial"/>
          <w:sz w:val="13"/>
          <w:szCs w:val="13"/>
          <w:i w:val="1"/>
          <w:iCs w:val="1"/>
          <w:color w:val="auto"/>
        </w:rPr>
      </w:pPr>
      <w:r>
        <w:rPr>
          <w:rFonts w:ascii="Arial" w:cs="Arial" w:eastAsia="Arial" w:hAnsi="Arial"/>
          <w:sz w:val="13"/>
          <w:szCs w:val="13"/>
          <w:i w:val="1"/>
          <w:iCs w:val="1"/>
          <w:color w:val="auto"/>
        </w:rPr>
        <w:t>Incorporated by reference from the indicated pages of the 2008 Annual Report to Shareholders, filed as Exhibit 13.1.</w:t>
      </w:r>
    </w:p>
    <w:p>
      <w:pPr>
        <w:spacing w:after="0" w:line="281" w:lineRule="exact"/>
        <w:rPr>
          <w:rFonts w:ascii="Arial" w:cs="Arial" w:eastAsia="Arial" w:hAnsi="Arial"/>
          <w:sz w:val="13"/>
          <w:szCs w:val="13"/>
          <w:i w:val="1"/>
          <w:iCs w:val="1"/>
          <w:color w:val="auto"/>
        </w:rPr>
      </w:pPr>
    </w:p>
    <w:p>
      <w:pPr>
        <w:ind w:left="184" w:hanging="184"/>
        <w:spacing w:after="0"/>
        <w:tabs>
          <w:tab w:leader="none" w:pos="184" w:val="left"/>
        </w:tabs>
        <w:numPr>
          <w:ilvl w:val="0"/>
          <w:numId w:val="22"/>
        </w:numPr>
        <w:rPr>
          <w:rFonts w:ascii="Arial" w:cs="Arial" w:eastAsia="Arial" w:hAnsi="Arial"/>
          <w:sz w:val="16"/>
          <w:szCs w:val="16"/>
          <w:b w:val="1"/>
          <w:bCs w:val="1"/>
          <w:color w:val="auto"/>
        </w:rPr>
      </w:pPr>
      <w:r>
        <w:rPr>
          <w:rFonts w:ascii="Arial" w:cs="Arial" w:eastAsia="Arial" w:hAnsi="Arial"/>
          <w:sz w:val="16"/>
          <w:szCs w:val="16"/>
          <w:b w:val="1"/>
          <w:bCs w:val="1"/>
          <w:color w:val="auto"/>
        </w:rPr>
        <w:t>FINANCIAL STATEMENT SCHEDULES</w:t>
      </w:r>
    </w:p>
    <w:p>
      <w:pPr>
        <w:spacing w:after="0" w:line="194" w:lineRule="exact"/>
        <w:rPr>
          <w:sz w:val="20"/>
          <w:szCs w:val="20"/>
          <w:color w:val="auto"/>
        </w:rPr>
      </w:pPr>
    </w:p>
    <w:p>
      <w:pPr>
        <w:ind w:left="4"/>
        <w:spacing w:after="0"/>
        <w:rPr>
          <w:sz w:val="20"/>
          <w:szCs w:val="20"/>
          <w:color w:val="auto"/>
        </w:rPr>
      </w:pPr>
      <w:r>
        <w:rPr>
          <w:rFonts w:ascii="Arial" w:cs="Arial" w:eastAsia="Arial" w:hAnsi="Arial"/>
          <w:sz w:val="18"/>
          <w:szCs w:val="18"/>
          <w:b w:val="1"/>
          <w:bCs w:val="1"/>
          <w:i w:val="1"/>
          <w:iCs w:val="1"/>
          <w:color w:val="auto"/>
        </w:rPr>
        <w:t>Sempra Energy</w:t>
      </w:r>
    </w:p>
    <w:p>
      <w:pPr>
        <w:spacing w:after="0" w:line="35" w:lineRule="exact"/>
        <w:rPr>
          <w:sz w:val="20"/>
          <w:szCs w:val="20"/>
          <w:color w:val="auto"/>
        </w:rPr>
      </w:pPr>
    </w:p>
    <w:p>
      <w:pPr>
        <w:ind w:left="4"/>
        <w:spacing w:after="0"/>
        <w:rPr>
          <w:sz w:val="20"/>
          <w:szCs w:val="20"/>
          <w:color w:val="auto"/>
        </w:rPr>
      </w:pPr>
      <w:r>
        <w:rPr>
          <w:rFonts w:ascii="Arial" w:cs="Arial" w:eastAsia="Arial" w:hAnsi="Arial"/>
          <w:sz w:val="16"/>
          <w:szCs w:val="16"/>
          <w:color w:val="auto"/>
        </w:rPr>
        <w:t>Schedule I--Sempra Energy Condensed Financial Information of Parent may be found on page 38.</w:t>
      </w:r>
    </w:p>
    <w:p>
      <w:pPr>
        <w:spacing w:after="0" w:line="174" w:lineRule="exact"/>
        <w:rPr>
          <w:sz w:val="20"/>
          <w:szCs w:val="20"/>
          <w:color w:val="auto"/>
        </w:rPr>
      </w:pPr>
    </w:p>
    <w:p>
      <w:pPr>
        <w:ind w:left="4"/>
        <w:spacing w:after="0"/>
        <w:rPr>
          <w:sz w:val="20"/>
          <w:szCs w:val="20"/>
          <w:color w:val="auto"/>
        </w:rPr>
      </w:pPr>
      <w:r>
        <w:rPr>
          <w:rFonts w:ascii="Arial" w:cs="Arial" w:eastAsia="Arial" w:hAnsi="Arial"/>
          <w:sz w:val="18"/>
          <w:szCs w:val="18"/>
          <w:b w:val="1"/>
          <w:bCs w:val="1"/>
          <w:i w:val="1"/>
          <w:iCs w:val="1"/>
          <w:color w:val="auto"/>
        </w:rPr>
        <w:t>Pacific Enterprises</w:t>
      </w:r>
    </w:p>
    <w:p>
      <w:pPr>
        <w:spacing w:after="0" w:line="35" w:lineRule="exact"/>
        <w:rPr>
          <w:sz w:val="20"/>
          <w:szCs w:val="20"/>
          <w:color w:val="auto"/>
        </w:rPr>
      </w:pPr>
    </w:p>
    <w:p>
      <w:pPr>
        <w:ind w:left="4"/>
        <w:spacing w:after="0"/>
        <w:rPr>
          <w:sz w:val="20"/>
          <w:szCs w:val="20"/>
          <w:color w:val="auto"/>
        </w:rPr>
      </w:pPr>
      <w:r>
        <w:rPr>
          <w:rFonts w:ascii="Arial" w:cs="Arial" w:eastAsia="Arial" w:hAnsi="Arial"/>
          <w:sz w:val="16"/>
          <w:szCs w:val="16"/>
          <w:color w:val="auto"/>
        </w:rPr>
        <w:t>Schedule I--Pacific Enterprises Condensed Financial Information of Parent may be found on page 42.</w:t>
      </w:r>
    </w:p>
    <w:p>
      <w:pPr>
        <w:spacing w:after="0" w:line="92" w:lineRule="exact"/>
        <w:rPr>
          <w:sz w:val="20"/>
          <w:szCs w:val="20"/>
          <w:color w:val="auto"/>
        </w:rPr>
      </w:pPr>
    </w:p>
    <w:p>
      <w:pPr>
        <w:ind w:left="4"/>
        <w:spacing w:after="0" w:line="277" w:lineRule="auto"/>
        <w:rPr>
          <w:sz w:val="20"/>
          <w:szCs w:val="20"/>
          <w:color w:val="auto"/>
        </w:rPr>
      </w:pPr>
      <w:r>
        <w:rPr>
          <w:rFonts w:ascii="Arial" w:cs="Arial" w:eastAsia="Arial" w:hAnsi="Arial"/>
          <w:sz w:val="16"/>
          <w:szCs w:val="16"/>
          <w:color w:val="auto"/>
        </w:rPr>
        <w:t>Any other schedule for which provision is made in Regulation S-X is not required under the instructions contained therein, is inapplicable or the information is included in the Consolidated Financial Statements and notes thereto.</w:t>
      </w:r>
    </w:p>
    <w:p>
      <w:pPr>
        <w:spacing w:after="0" w:line="228"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auto"/>
        </w:rPr>
        <w:t>3. EXHIBITS</w:t>
      </w:r>
    </w:p>
    <w:p>
      <w:pPr>
        <w:spacing w:after="0" w:line="101" w:lineRule="exact"/>
        <w:rPr>
          <w:sz w:val="20"/>
          <w:szCs w:val="20"/>
          <w:color w:val="auto"/>
        </w:rPr>
      </w:pPr>
    </w:p>
    <w:p>
      <w:pPr>
        <w:ind w:left="4"/>
        <w:spacing w:after="0"/>
        <w:rPr>
          <w:sz w:val="20"/>
          <w:szCs w:val="20"/>
          <w:color w:val="auto"/>
        </w:rPr>
      </w:pPr>
      <w:r>
        <w:rPr>
          <w:rFonts w:ascii="Arial" w:cs="Arial" w:eastAsia="Arial" w:hAnsi="Arial"/>
          <w:sz w:val="16"/>
          <w:szCs w:val="16"/>
          <w:color w:val="auto"/>
        </w:rPr>
        <w:t>See Exhibit Index on page 48 of this report.</w:t>
      </w:r>
    </w:p>
    <w:p>
      <w:pPr>
        <w:spacing w:after="0" w:line="80" w:lineRule="exact"/>
        <w:rPr>
          <w:sz w:val="20"/>
          <w:szCs w:val="20"/>
          <w:color w:val="auto"/>
        </w:rPr>
      </w:pPr>
    </w:p>
    <w:p>
      <w:pPr>
        <w:ind w:left="4" w:right="740" w:hanging="4"/>
        <w:spacing w:after="0" w:line="312" w:lineRule="auto"/>
        <w:tabs>
          <w:tab w:leader="none" w:pos="222" w:val="left"/>
        </w:tabs>
        <w:numPr>
          <w:ilvl w:val="0"/>
          <w:numId w:val="23"/>
        </w:numPr>
        <w:rPr>
          <w:rFonts w:ascii="Arial" w:cs="Arial" w:eastAsia="Arial" w:hAnsi="Arial"/>
          <w:sz w:val="15"/>
          <w:szCs w:val="15"/>
          <w:color w:val="auto"/>
        </w:rPr>
      </w:pPr>
      <w:r>
        <w:rPr>
          <w:rFonts w:ascii="Arial" w:cs="Arial" w:eastAsia="Arial" w:hAnsi="Arial"/>
          <w:sz w:val="15"/>
          <w:szCs w:val="15"/>
          <w:color w:val="auto"/>
        </w:rPr>
        <w:t>RBS Sempra Commodities LLP and Subsidiaries – Consolidated Financial Statements as of December 31, 2008 and for the Period From April 1, 2008 (Date of Commencement) to December 31, 2008 and Report of Independent Registered Public Accounting Firm are provided in Exhibit 99.1.</w:t>
      </w:r>
    </w:p>
    <w:p>
      <w:pPr>
        <w:spacing w:after="0" w:line="200" w:lineRule="exact"/>
        <w:rPr>
          <w:sz w:val="20"/>
          <w:szCs w:val="20"/>
          <w:color w:val="auto"/>
        </w:rPr>
      </w:pPr>
    </w:p>
    <w:p>
      <w:pPr>
        <w:spacing w:after="0" w:line="293" w:lineRule="exact"/>
        <w:rPr>
          <w:sz w:val="20"/>
          <w:szCs w:val="20"/>
          <w:color w:val="auto"/>
        </w:rPr>
      </w:pPr>
    </w:p>
    <w:p>
      <w:pPr>
        <w:ind w:left="4"/>
        <w:spacing w:after="0"/>
        <w:rPr>
          <w:sz w:val="20"/>
          <w:szCs w:val="20"/>
          <w:color w:val="auto"/>
        </w:rPr>
      </w:pPr>
      <w:r>
        <w:rPr>
          <w:rFonts w:ascii="Arial" w:cs="Arial" w:eastAsia="Arial" w:hAnsi="Arial"/>
          <w:sz w:val="14"/>
          <w:szCs w:val="14"/>
          <w:color w:val="auto"/>
        </w:rPr>
        <w:t>35</w:t>
      </w:r>
    </w:p>
    <w:p>
      <w:pPr>
        <w:sectPr>
          <w:pgSz w:w="11900" w:h="16838" w:orient="portrait"/>
          <w:cols w:equalWidth="0" w:num="1">
            <w:col w:w="11184"/>
          </w:cols>
          <w:pgMar w:left="236" w:top="143" w:right="479" w:bottom="1440" w:gutter="0" w:footer="0" w:header="0"/>
        </w:sectPr>
      </w:pPr>
    </w:p>
    <w:bookmarkStart w:id="35" w:name="page36"/>
    <w:bookmarkEnd w:id="35"/>
    <w:p>
      <w:pPr>
        <w:spacing w:after="0"/>
        <w:rPr>
          <w:sz w:val="20"/>
          <w:szCs w:val="20"/>
          <w:color w:val="auto"/>
        </w:rPr>
      </w:pPr>
      <w:r>
        <w:rPr>
          <w:rFonts w:ascii="Arial" w:cs="Arial" w:eastAsia="Arial" w:hAnsi="Arial"/>
          <w:sz w:val="21"/>
          <w:szCs w:val="21"/>
          <w:color w:val="auto"/>
        </w:rPr>
        <w:t>CONSENTS OF INDEPENDENT REGISTERED PUBLIC ACCOUNTING FIRM AND REPORT ON SCHEDULE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263525</wp:posOffset>
            </wp:positionV>
            <wp:extent cx="7261860" cy="762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SEMPRA ENERGY</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To the Board of Directors and Shareholders of Sempra Energy:</w:t>
      </w:r>
    </w:p>
    <w:p>
      <w:pPr>
        <w:spacing w:after="0" w:line="35" w:lineRule="exact"/>
        <w:rPr>
          <w:sz w:val="20"/>
          <w:szCs w:val="20"/>
          <w:color w:val="auto"/>
        </w:rPr>
      </w:pPr>
    </w:p>
    <w:p>
      <w:pPr>
        <w:ind w:right="20"/>
        <w:spacing w:after="0" w:line="259" w:lineRule="auto"/>
        <w:rPr>
          <w:sz w:val="20"/>
          <w:szCs w:val="20"/>
          <w:color w:val="auto"/>
        </w:rPr>
      </w:pPr>
      <w:r>
        <w:rPr>
          <w:rFonts w:ascii="Arial" w:cs="Arial" w:eastAsia="Arial" w:hAnsi="Arial"/>
          <w:sz w:val="16"/>
          <w:szCs w:val="16"/>
          <w:color w:val="auto"/>
        </w:rPr>
        <w:t>We consent to the incorporation by reference in Registration Statement No. 333-153425 on Form S-3 and 333-56161, 333-50806, 333-49732, 333-121073, 333-128441, 333-151184, and 333-155191 on Form S-8 of our reports dated February 23, 2009, relating to the consolidated financial statements of Sempra Energy and subsidiaries ("the Company") and the effectiveness of the Company’s internal control over financial reporting, incorporated by reference in this Annual Report on Form 10-K of Sempra Energy for the year ended December 31, 2008.</w:t>
      </w:r>
    </w:p>
    <w:p>
      <w:pPr>
        <w:spacing w:after="0" w:line="59" w:lineRule="exact"/>
        <w:rPr>
          <w:sz w:val="20"/>
          <w:szCs w:val="20"/>
          <w:color w:val="auto"/>
        </w:rPr>
      </w:pPr>
    </w:p>
    <w:p>
      <w:pPr>
        <w:jc w:val="both"/>
        <w:ind w:right="180"/>
        <w:spacing w:after="0" w:line="259" w:lineRule="auto"/>
        <w:rPr>
          <w:sz w:val="20"/>
          <w:szCs w:val="20"/>
          <w:color w:val="auto"/>
        </w:rPr>
      </w:pPr>
      <w:r>
        <w:rPr>
          <w:rFonts w:ascii="Arial" w:cs="Arial" w:eastAsia="Arial" w:hAnsi="Arial"/>
          <w:sz w:val="16"/>
          <w:szCs w:val="16"/>
          <w:color w:val="auto"/>
        </w:rPr>
        <w:t>Our audits of the financial statements referred to in our aforementioned report relating to the consolidated financial statements also included the financial statement schedule of the Company, listed in Item 15. This financial statement schedule is the responsibility of the Company’s management. Our responsibility is to express an opinion based on our audits. In our opinion, such financial statement schedule, when considered in relation to the basic financial statements taken as a whole, presents fairly, in all material respects, the information set forth therein.</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 DELOITTE &amp; TOUCHE LLP</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San Diego, California</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February 23,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226695</wp:posOffset>
            </wp:positionV>
            <wp:extent cx="7261860" cy="762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color w:val="auto"/>
        </w:rPr>
        <w:t>SAN DIEGO GAS &amp; ELECTRIC COMPANY</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To the Board of Directors and Shareholders of San Diego Gas &amp; Electric Company:</w:t>
      </w:r>
    </w:p>
    <w:p>
      <w:pPr>
        <w:spacing w:after="0" w:line="35" w:lineRule="exact"/>
        <w:rPr>
          <w:sz w:val="20"/>
          <w:szCs w:val="20"/>
          <w:color w:val="auto"/>
        </w:rPr>
      </w:pPr>
    </w:p>
    <w:p>
      <w:pPr>
        <w:spacing w:after="0" w:line="289" w:lineRule="auto"/>
        <w:rPr>
          <w:sz w:val="20"/>
          <w:szCs w:val="20"/>
          <w:color w:val="auto"/>
        </w:rPr>
      </w:pPr>
      <w:r>
        <w:rPr>
          <w:rFonts w:ascii="Arial" w:cs="Arial" w:eastAsia="Arial" w:hAnsi="Arial"/>
          <w:sz w:val="15"/>
          <w:szCs w:val="15"/>
          <w:color w:val="auto"/>
        </w:rPr>
        <w:t>We consent to the incorporation by reference in Registration Statement No. 333-133541 on Form S-3 of our reports dated February 23, 2009, relating to the consolidated financial statements of San Diego Gas &amp; Electric Company and subsidiary ("the Company") and the effectiveness of the Company's internal control over financial reporting, incorporated by reference in this Annual Report on Form 10-K of San Diego Gas &amp; Electric Company for the year ended December 31, 2008.</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 DELOITTE &amp; TOUCHE LLP</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San Diego, California</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February 23, 2009</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4"/>
          <w:szCs w:val="14"/>
          <w:color w:val="auto"/>
        </w:rPr>
        <w:t>36</w:t>
      </w:r>
    </w:p>
    <w:p>
      <w:pPr>
        <w:sectPr>
          <w:pgSz w:w="11900" w:h="16838" w:orient="portrait"/>
          <w:cols w:equalWidth="0" w:num="1">
            <w:col w:w="11420"/>
          </w:cols>
          <w:pgMar w:left="240" w:top="143" w:right="239" w:bottom="1440" w:gutter="0" w:footer="0" w:header="0"/>
        </w:sectPr>
      </w:pPr>
    </w:p>
    <w:bookmarkStart w:id="36" w:name="page37"/>
    <w:bookmarkEnd w:id="3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149860</wp:posOffset>
            </wp:positionH>
            <wp:positionV relativeFrom="page">
              <wp:posOffset>432435</wp:posOffset>
            </wp:positionV>
            <wp:extent cx="7261860" cy="762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1860" cy="7620"/>
                    </a:xfrm>
                    <a:prstGeom prst="rect">
                      <a:avLst/>
                    </a:prstGeom>
                    <a:noFill/>
                  </pic:spPr>
                </pic:pic>
              </a:graphicData>
            </a:graphic>
          </wp:anchor>
        </w:drawing>
        <w:t>SOUTHERN CALIFORNIA GAS COMPANY</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To the Board of Directors and Shareholders of Southern California Gas Company:</w:t>
      </w:r>
    </w:p>
    <w:p>
      <w:pPr>
        <w:spacing w:after="0" w:line="35" w:lineRule="exact"/>
        <w:rPr>
          <w:sz w:val="20"/>
          <w:szCs w:val="20"/>
          <w:color w:val="auto"/>
        </w:rPr>
      </w:pPr>
    </w:p>
    <w:p>
      <w:pPr>
        <w:spacing w:after="0" w:line="289" w:lineRule="auto"/>
        <w:rPr>
          <w:sz w:val="20"/>
          <w:szCs w:val="20"/>
          <w:color w:val="auto"/>
        </w:rPr>
      </w:pPr>
      <w:r>
        <w:rPr>
          <w:rFonts w:ascii="Arial" w:cs="Arial" w:eastAsia="Arial" w:hAnsi="Arial"/>
          <w:sz w:val="15"/>
          <w:szCs w:val="15"/>
          <w:color w:val="auto"/>
        </w:rPr>
        <w:t>We consent to the incorporation by reference in Registration Statement No. 333-134289 on Form S-3 of our reports dated February 23, 2009, relating to the consolidated financial statements of Southern California Gas Company and subsidiaries (the "Company") and the effectiveness of the Company's internal control over financial reporting, incorporated by reference in this Annual Report on Form 10-K of Southern California Gas Company for the year ended December 31, 2008.</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 DELOITTE &amp; TOUCHE LLP</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San Diego, California</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February 23, 2009</w:t>
      </w:r>
    </w:p>
    <w:p>
      <w:pPr>
        <w:spacing w:after="0" w:line="363" w:lineRule="exact"/>
        <w:rPr>
          <w:sz w:val="20"/>
          <w:szCs w:val="20"/>
          <w:color w:val="auto"/>
        </w:rPr>
      </w:pPr>
    </w:p>
    <w:p>
      <w:pPr>
        <w:spacing w:after="0"/>
        <w:rPr>
          <w:sz w:val="20"/>
          <w:szCs w:val="20"/>
          <w:color w:val="auto"/>
        </w:rPr>
      </w:pPr>
      <w:r>
        <w:rPr>
          <w:rFonts w:ascii="Arial" w:cs="Arial" w:eastAsia="Arial" w:hAnsi="Arial"/>
          <w:sz w:val="19"/>
          <w:szCs w:val="19"/>
          <w:color w:val="auto"/>
        </w:rPr>
        <w:t>REPORT OF INDEPENDENT REGISTERED PUBLIC ACCOUNTING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238760</wp:posOffset>
            </wp:positionV>
            <wp:extent cx="7261860" cy="762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PACIFIC ENTERPRISES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To the Board of Directors and Shareholders of Pacific Enterprises:</w:t>
      </w:r>
    </w:p>
    <w:p>
      <w:pPr>
        <w:spacing w:after="0" w:line="35" w:lineRule="exact"/>
        <w:rPr>
          <w:sz w:val="20"/>
          <w:szCs w:val="20"/>
          <w:color w:val="auto"/>
        </w:rPr>
      </w:pPr>
    </w:p>
    <w:p>
      <w:pPr>
        <w:spacing w:after="0" w:line="276" w:lineRule="auto"/>
        <w:rPr>
          <w:sz w:val="20"/>
          <w:szCs w:val="20"/>
          <w:color w:val="auto"/>
        </w:rPr>
      </w:pPr>
      <w:r>
        <w:rPr>
          <w:rFonts w:ascii="Arial" w:cs="Arial" w:eastAsia="Arial" w:hAnsi="Arial"/>
          <w:sz w:val="15"/>
          <w:szCs w:val="15"/>
          <w:color w:val="auto"/>
        </w:rPr>
        <w:t>We have audited the consolidated financial statements of Pacific Enterprises and subsidiaries (the "Company") as of December 31, 2008 and 2007, and for each of the three years in the period ended December 31, 2008, and the Company’s internal control over financial reporting as of December 31, 2008, and have issued our reports thereon dated February 23, 2009; such consolidated financial statements and reports are included in your 2008 Annual Report to Shareholders and are incorporated by reference herein. Our audits also included the financial statement schedule of the Company listed in Item 15. This financial statement schedule is the responsibility of the Company's management. Our responsibility is to express an opinion based on our audits. In our opinion, such financial statement schedule, when considered in relation to the basic consolidated financial statements taken as a whole, presents fairly, in all material respects, the information set forth therein.</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 DELOITTE &amp; TOUCHE LLP</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San Diego, California</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February 23, 2009</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4"/>
          <w:szCs w:val="14"/>
          <w:color w:val="auto"/>
        </w:rPr>
        <w:t>37</w:t>
      </w:r>
    </w:p>
    <w:p>
      <w:pPr>
        <w:sectPr>
          <w:pgSz w:w="11900" w:h="16838" w:orient="portrait"/>
          <w:cols w:equalWidth="0" w:num="1">
            <w:col w:w="11420"/>
          </w:cols>
          <w:pgMar w:left="240" w:top="737" w:right="239" w:bottom="1440" w:gutter="0" w:footer="0" w:header="0"/>
        </w:sectPr>
      </w:pPr>
    </w:p>
    <w:bookmarkStart w:id="37" w:name="page38"/>
    <w:bookmarkEnd w:id="3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149860</wp:posOffset>
            </wp:positionH>
            <wp:positionV relativeFrom="page">
              <wp:posOffset>432435</wp:posOffset>
            </wp:positionV>
            <wp:extent cx="7261860" cy="762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1860" cy="7620"/>
                    </a:xfrm>
                    <a:prstGeom prst="rect">
                      <a:avLst/>
                    </a:prstGeom>
                    <a:noFill/>
                  </pic:spPr>
                </pic:pic>
              </a:graphicData>
            </a:graphic>
          </wp:anchor>
        </w:drawing>
        <w:t>SCHEDULE I – SEMPRA ENERGY CONDENSED FINANCIAL INFORMATION OF PARENT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1141730</wp:posOffset>
            </wp:positionH>
            <wp:positionV relativeFrom="paragraph">
              <wp:posOffset>236855</wp:posOffset>
            </wp:positionV>
            <wp:extent cx="4980940" cy="389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4980940" cy="389255"/>
                    </a:xfrm>
                    <a:prstGeom prst="rect">
                      <a:avLst/>
                    </a:prstGeom>
                    <a:noFill/>
                  </pic:spPr>
                </pic:pic>
              </a:graphicData>
            </a:graphic>
          </wp:anchor>
        </w:drawing>
      </w:r>
    </w:p>
    <w:p>
      <w:pPr>
        <w:spacing w:after="0" w:line="361" w:lineRule="exact"/>
        <w:rPr>
          <w:sz w:val="20"/>
          <w:szCs w:val="20"/>
          <w:color w:val="auto"/>
        </w:rPr>
      </w:pPr>
    </w:p>
    <w:p>
      <w:pPr>
        <w:ind w:left="1800"/>
        <w:spacing w:after="0"/>
        <w:rPr>
          <w:sz w:val="20"/>
          <w:szCs w:val="20"/>
          <w:color w:val="auto"/>
        </w:rPr>
      </w:pPr>
      <w:r>
        <w:rPr>
          <w:rFonts w:ascii="Arial" w:cs="Arial" w:eastAsia="Arial" w:hAnsi="Arial"/>
          <w:sz w:val="14"/>
          <w:szCs w:val="14"/>
          <w:b w:val="1"/>
          <w:bCs w:val="1"/>
          <w:color w:val="auto"/>
        </w:rPr>
        <w:t>SEMPRA ENERGY</w:t>
      </w:r>
    </w:p>
    <w:p>
      <w:pPr>
        <w:spacing w:after="0" w:line="31" w:lineRule="exact"/>
        <w:rPr>
          <w:sz w:val="20"/>
          <w:szCs w:val="20"/>
          <w:color w:val="auto"/>
        </w:rPr>
      </w:pPr>
    </w:p>
    <w:p>
      <w:pPr>
        <w:ind w:left="1800"/>
        <w:spacing w:after="0"/>
        <w:rPr>
          <w:sz w:val="20"/>
          <w:szCs w:val="20"/>
          <w:color w:val="auto"/>
        </w:rPr>
      </w:pPr>
      <w:r>
        <w:rPr>
          <w:rFonts w:ascii="Arial" w:cs="Arial" w:eastAsia="Arial" w:hAnsi="Arial"/>
          <w:sz w:val="14"/>
          <w:szCs w:val="14"/>
          <w:b w:val="1"/>
          <w:bCs w:val="1"/>
          <w:color w:val="auto"/>
        </w:rPr>
        <w:t>CONDENSED STATEMENTS OF INCOME</w:t>
      </w:r>
    </w:p>
    <w:p>
      <w:pPr>
        <w:spacing w:after="0" w:line="76" w:lineRule="exact"/>
        <w:rPr>
          <w:sz w:val="20"/>
          <w:szCs w:val="20"/>
          <w:color w:val="auto"/>
        </w:rPr>
      </w:pPr>
    </w:p>
    <w:p>
      <w:pPr>
        <w:ind w:left="1800"/>
        <w:spacing w:after="0"/>
        <w:rPr>
          <w:sz w:val="20"/>
          <w:szCs w:val="20"/>
          <w:color w:val="auto"/>
        </w:rPr>
      </w:pPr>
      <w:r>
        <w:rPr>
          <w:rFonts w:ascii="Arial" w:cs="Arial" w:eastAsia="Arial" w:hAnsi="Arial"/>
          <w:sz w:val="13"/>
          <w:szCs w:val="13"/>
          <w:i w:val="1"/>
          <w:iCs w:val="1"/>
          <w:color w:val="auto"/>
        </w:rPr>
        <w:t>(Dollars in millions, except per share amounts)</w:t>
      </w:r>
    </w:p>
    <w:p>
      <w:pPr>
        <w:spacing w:after="0" w:line="67" w:lineRule="exact"/>
        <w:rPr>
          <w:sz w:val="20"/>
          <w:szCs w:val="20"/>
          <w:color w:val="auto"/>
        </w:rPr>
      </w:pPr>
    </w:p>
    <w:p>
      <w:pPr>
        <w:jc w:val="center"/>
        <w:ind w:left="4240"/>
        <w:spacing w:after="0"/>
        <w:rPr>
          <w:sz w:val="20"/>
          <w:szCs w:val="20"/>
          <w:color w:val="auto"/>
        </w:rPr>
      </w:pPr>
      <w:r>
        <w:rPr>
          <w:rFonts w:ascii="Arial" w:cs="Arial" w:eastAsia="Arial" w:hAnsi="Arial"/>
          <w:sz w:val="13"/>
          <w:szCs w:val="13"/>
          <w:color w:val="auto"/>
        </w:rPr>
        <w:t>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3826510</wp:posOffset>
            </wp:positionH>
            <wp:positionV relativeFrom="paragraph">
              <wp:posOffset>8890</wp:posOffset>
            </wp:positionV>
            <wp:extent cx="2296160" cy="762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296160" cy="7620"/>
                    </a:xfrm>
                    <a:prstGeom prst="rect">
                      <a:avLst/>
                    </a:prstGeom>
                    <a:noFill/>
                  </pic:spPr>
                </pic:pic>
              </a:graphicData>
            </a:graphic>
          </wp:anchor>
        </w:drawing>
      </w:r>
    </w:p>
    <w:p>
      <w:pPr>
        <w:spacing w:after="0" w:line="59" w:lineRule="exact"/>
        <w:rPr>
          <w:sz w:val="20"/>
          <w:szCs w:val="20"/>
          <w:color w:val="auto"/>
        </w:rPr>
      </w:pPr>
    </w:p>
    <w:p>
      <w:pPr>
        <w:jc w:val="both"/>
        <w:ind w:left="6480"/>
        <w:spacing w:after="0"/>
        <w:tabs>
          <w:tab w:leader="none" w:pos="7640" w:val="left"/>
          <w:tab w:leader="none" w:pos="8860" w:val="left"/>
        </w:tabs>
        <w:rPr>
          <w:sz w:val="20"/>
          <w:szCs w:val="20"/>
          <w:color w:val="auto"/>
        </w:rPr>
      </w:pPr>
      <w:r>
        <w:rPr>
          <w:rFonts w:ascii="Arial" w:cs="Arial" w:eastAsia="Arial" w:hAnsi="Arial"/>
          <w:sz w:val="13"/>
          <w:szCs w:val="13"/>
          <w:color w:val="auto"/>
        </w:rPr>
        <w:t>2008</w:t>
      </w:r>
      <w:r>
        <w:rPr>
          <w:sz w:val="20"/>
          <w:szCs w:val="20"/>
          <w:color w:val="auto"/>
        </w:rPr>
        <w:tab/>
      </w:r>
      <w:r>
        <w:rPr>
          <w:rFonts w:ascii="Arial" w:cs="Arial" w:eastAsia="Arial" w:hAnsi="Arial"/>
          <w:sz w:val="13"/>
          <w:szCs w:val="13"/>
          <w:color w:val="auto"/>
        </w:rPr>
        <w:t>2007</w:t>
      </w:r>
      <w:r>
        <w:rPr>
          <w:sz w:val="20"/>
          <w:szCs w:val="20"/>
          <w:color w:val="auto"/>
        </w:rPr>
        <w:tab/>
      </w:r>
      <w:r>
        <w:rPr>
          <w:rFonts w:ascii="Arial" w:cs="Arial" w:eastAsia="Arial" w:hAnsi="Arial"/>
          <w:sz w:val="12"/>
          <w:szCs w:val="12"/>
          <w:color w:val="auto"/>
        </w:rPr>
        <w:t>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1141730</wp:posOffset>
            </wp:positionH>
            <wp:positionV relativeFrom="paragraph">
              <wp:posOffset>8890</wp:posOffset>
            </wp:positionV>
            <wp:extent cx="4980940" cy="762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4980940" cy="7620"/>
                    </a:xfrm>
                    <a:prstGeom prst="rect">
                      <a:avLst/>
                    </a:prstGeom>
                    <a:noFill/>
                  </pic:spPr>
                </pic:pic>
              </a:graphicData>
            </a:graphic>
          </wp:anchor>
        </w:drawing>
      </w:r>
    </w:p>
    <w:p>
      <w:pPr>
        <w:sectPr>
          <w:pgSz w:w="11900" w:h="16838" w:orient="portrait"/>
          <w:cols w:equalWidth="0" w:num="1">
            <w:col w:w="10219"/>
          </w:cols>
          <w:pgMar w:left="240" w:top="737" w:right="1440" w:bottom="1440" w:gutter="0" w:footer="0" w:header="0"/>
        </w:sectPr>
      </w:pPr>
    </w:p>
    <w:p>
      <w:pPr>
        <w:spacing w:after="0" w:line="280" w:lineRule="exact"/>
        <w:rPr>
          <w:sz w:val="20"/>
          <w:szCs w:val="20"/>
          <w:color w:val="auto"/>
        </w:rPr>
      </w:pPr>
    </w:p>
    <w:p>
      <w:pPr>
        <w:ind w:left="1800"/>
        <w:spacing w:after="0"/>
        <w:rPr>
          <w:sz w:val="20"/>
          <w:szCs w:val="20"/>
          <w:color w:val="auto"/>
        </w:rPr>
      </w:pPr>
      <w:r>
        <w:rPr>
          <w:rFonts w:ascii="Arial" w:cs="Arial" w:eastAsia="Arial" w:hAnsi="Arial"/>
          <w:sz w:val="14"/>
          <w:szCs w:val="14"/>
          <w:color w:val="auto"/>
        </w:rPr>
        <w:t>Interest income</w:t>
      </w:r>
    </w:p>
    <w:p>
      <w:pPr>
        <w:spacing w:after="0" w:line="55" w:lineRule="exact"/>
        <w:rPr>
          <w:sz w:val="20"/>
          <w:szCs w:val="20"/>
          <w:color w:val="auto"/>
        </w:rPr>
      </w:pPr>
    </w:p>
    <w:p>
      <w:pPr>
        <w:ind w:left="1800"/>
        <w:spacing w:after="0"/>
        <w:rPr>
          <w:sz w:val="20"/>
          <w:szCs w:val="20"/>
          <w:color w:val="auto"/>
        </w:rPr>
      </w:pPr>
      <w:r>
        <w:rPr>
          <w:rFonts w:ascii="Arial" w:cs="Arial" w:eastAsia="Arial" w:hAnsi="Arial"/>
          <w:sz w:val="14"/>
          <w:szCs w:val="14"/>
          <w:color w:val="auto"/>
        </w:rPr>
        <w:t>Interest expense</w:t>
      </w:r>
    </w:p>
    <w:p>
      <w:pPr>
        <w:spacing w:after="0" w:line="55" w:lineRule="exact"/>
        <w:rPr>
          <w:sz w:val="20"/>
          <w:szCs w:val="20"/>
          <w:color w:val="auto"/>
        </w:rPr>
      </w:pPr>
    </w:p>
    <w:p>
      <w:pPr>
        <w:ind w:left="1800"/>
        <w:spacing w:after="0"/>
        <w:rPr>
          <w:sz w:val="20"/>
          <w:szCs w:val="20"/>
          <w:color w:val="auto"/>
        </w:rPr>
      </w:pPr>
      <w:r>
        <w:rPr>
          <w:rFonts w:ascii="Arial" w:cs="Arial" w:eastAsia="Arial" w:hAnsi="Arial"/>
          <w:sz w:val="14"/>
          <w:szCs w:val="14"/>
          <w:color w:val="auto"/>
        </w:rPr>
        <w:t>Operation and maintenance</w:t>
      </w:r>
    </w:p>
    <w:p>
      <w:pPr>
        <w:spacing w:after="0" w:line="55" w:lineRule="exact"/>
        <w:rPr>
          <w:sz w:val="20"/>
          <w:szCs w:val="20"/>
          <w:color w:val="auto"/>
        </w:rPr>
      </w:pPr>
    </w:p>
    <w:p>
      <w:pPr>
        <w:ind w:left="1800"/>
        <w:spacing w:after="0"/>
        <w:rPr>
          <w:sz w:val="20"/>
          <w:szCs w:val="20"/>
          <w:color w:val="auto"/>
        </w:rPr>
      </w:pPr>
      <w:r>
        <w:rPr>
          <w:rFonts w:ascii="Arial" w:cs="Arial" w:eastAsia="Arial" w:hAnsi="Arial"/>
          <w:sz w:val="14"/>
          <w:szCs w:val="14"/>
          <w:color w:val="auto"/>
        </w:rPr>
        <w:t>Other income (expense), net</w:t>
      </w:r>
    </w:p>
    <w:p>
      <w:pPr>
        <w:spacing w:after="0" w:line="67" w:lineRule="exact"/>
        <w:rPr>
          <w:sz w:val="20"/>
          <w:szCs w:val="20"/>
          <w:color w:val="auto"/>
        </w:rPr>
      </w:pPr>
    </w:p>
    <w:p>
      <w:pPr>
        <w:ind w:left="1800"/>
        <w:spacing w:after="0"/>
        <w:rPr>
          <w:sz w:val="20"/>
          <w:szCs w:val="20"/>
          <w:color w:val="auto"/>
        </w:rPr>
      </w:pPr>
      <w:r>
        <w:rPr>
          <w:rFonts w:ascii="Arial" w:cs="Arial" w:eastAsia="Arial" w:hAnsi="Arial"/>
          <w:sz w:val="14"/>
          <w:szCs w:val="14"/>
          <w:color w:val="auto"/>
        </w:rPr>
        <w:t>Income tax benefits</w:t>
      </w:r>
    </w:p>
    <w:p>
      <w:pPr>
        <w:spacing w:after="0" w:line="55" w:lineRule="exact"/>
        <w:rPr>
          <w:sz w:val="20"/>
          <w:szCs w:val="20"/>
          <w:color w:val="auto"/>
        </w:rPr>
      </w:pPr>
    </w:p>
    <w:p>
      <w:pPr>
        <w:ind w:left="1980"/>
        <w:spacing w:after="0"/>
        <w:rPr>
          <w:sz w:val="20"/>
          <w:szCs w:val="20"/>
          <w:color w:val="auto"/>
        </w:rPr>
      </w:pPr>
      <w:r>
        <w:rPr>
          <w:rFonts w:ascii="Arial" w:cs="Arial" w:eastAsia="Arial" w:hAnsi="Arial"/>
          <w:sz w:val="14"/>
          <w:szCs w:val="14"/>
          <w:color w:val="auto"/>
        </w:rPr>
        <w:t>Loss before equity in earnings of subsidiaries</w:t>
      </w:r>
    </w:p>
    <w:p>
      <w:pPr>
        <w:spacing w:after="0" w:line="67" w:lineRule="exact"/>
        <w:rPr>
          <w:sz w:val="20"/>
          <w:szCs w:val="20"/>
          <w:color w:val="auto"/>
        </w:rPr>
      </w:pPr>
    </w:p>
    <w:p>
      <w:pPr>
        <w:ind w:left="1800"/>
        <w:spacing w:after="0"/>
        <w:rPr>
          <w:sz w:val="20"/>
          <w:szCs w:val="20"/>
          <w:color w:val="auto"/>
        </w:rPr>
      </w:pPr>
      <w:r>
        <w:rPr>
          <w:rFonts w:ascii="Arial" w:cs="Arial" w:eastAsia="Arial" w:hAnsi="Arial"/>
          <w:sz w:val="14"/>
          <w:szCs w:val="14"/>
          <w:color w:val="auto"/>
        </w:rPr>
        <w:t>Equity in earnings of subsidiaries</w:t>
      </w:r>
    </w:p>
    <w:p>
      <w:pPr>
        <w:spacing w:after="0" w:line="91" w:lineRule="exact"/>
        <w:rPr>
          <w:sz w:val="20"/>
          <w:szCs w:val="20"/>
          <w:color w:val="auto"/>
        </w:rPr>
      </w:pPr>
    </w:p>
    <w:p>
      <w:pPr>
        <w:ind w:left="1980"/>
        <w:spacing w:after="0"/>
        <w:rPr>
          <w:sz w:val="20"/>
          <w:szCs w:val="20"/>
          <w:color w:val="auto"/>
        </w:rPr>
      </w:pPr>
      <w:r>
        <w:rPr>
          <w:rFonts w:ascii="Arial" w:cs="Arial" w:eastAsia="Arial" w:hAnsi="Arial"/>
          <w:sz w:val="14"/>
          <w:szCs w:val="14"/>
          <w:color w:val="auto"/>
        </w:rPr>
        <w:t>Net income</w:t>
      </w:r>
    </w:p>
    <w:p>
      <w:pPr>
        <w:spacing w:after="0" w:line="271" w:lineRule="exact"/>
        <w:rPr>
          <w:sz w:val="20"/>
          <w:szCs w:val="20"/>
          <w:color w:val="auto"/>
        </w:rPr>
      </w:pPr>
    </w:p>
    <w:p>
      <w:pPr>
        <w:ind w:left="1800"/>
        <w:spacing w:after="0"/>
        <w:rPr>
          <w:sz w:val="20"/>
          <w:szCs w:val="20"/>
          <w:color w:val="auto"/>
        </w:rPr>
      </w:pPr>
      <w:r>
        <w:rPr>
          <w:rFonts w:ascii="Arial" w:cs="Arial" w:eastAsia="Arial" w:hAnsi="Arial"/>
          <w:sz w:val="14"/>
          <w:szCs w:val="14"/>
          <w:color w:val="auto"/>
        </w:rPr>
        <w:t>Basic earnings per share:</w:t>
      </w:r>
    </w:p>
    <w:p>
      <w:pPr>
        <w:spacing w:after="0" w:line="91" w:lineRule="exact"/>
        <w:rPr>
          <w:sz w:val="20"/>
          <w:szCs w:val="20"/>
          <w:color w:val="auto"/>
        </w:rPr>
      </w:pPr>
    </w:p>
    <w:p>
      <w:pPr>
        <w:ind w:left="1980"/>
        <w:spacing w:after="0"/>
        <w:rPr>
          <w:sz w:val="20"/>
          <w:szCs w:val="20"/>
          <w:color w:val="auto"/>
        </w:rPr>
      </w:pPr>
      <w:r>
        <w:rPr>
          <w:rFonts w:ascii="Arial" w:cs="Arial" w:eastAsia="Arial" w:hAnsi="Arial"/>
          <w:sz w:val="14"/>
          <w:szCs w:val="14"/>
          <w:color w:val="auto"/>
        </w:rPr>
        <w:t>Net income</w:t>
      </w:r>
    </w:p>
    <w:p>
      <w:pPr>
        <w:spacing w:after="0" w:line="91" w:lineRule="exact"/>
        <w:rPr>
          <w:sz w:val="20"/>
          <w:szCs w:val="20"/>
          <w:color w:val="auto"/>
        </w:rPr>
      </w:pPr>
    </w:p>
    <w:p>
      <w:pPr>
        <w:ind w:left="1980"/>
        <w:spacing w:after="0"/>
        <w:rPr>
          <w:sz w:val="20"/>
          <w:szCs w:val="20"/>
          <w:color w:val="auto"/>
        </w:rPr>
      </w:pPr>
      <w:r>
        <w:rPr>
          <w:rFonts w:ascii="Arial" w:cs="Arial" w:eastAsia="Arial" w:hAnsi="Arial"/>
          <w:sz w:val="14"/>
          <w:szCs w:val="14"/>
          <w:color w:val="auto"/>
        </w:rPr>
        <w:t>Weighted-average number of shares outstanding (thousands)</w:t>
      </w:r>
    </w:p>
    <w:p>
      <w:pPr>
        <w:spacing w:after="0" w:line="20" w:lineRule="exact"/>
        <w:rPr>
          <w:sz w:val="20"/>
          <w:szCs w:val="20"/>
          <w:color w:val="auto"/>
        </w:rPr>
      </w:pPr>
      <w:r>
        <w:rPr>
          <w:sz w:val="20"/>
          <w:szCs w:val="20"/>
          <w:color w:val="auto"/>
        </w:rPr>
        <w:br w:type="column"/>
      </w:r>
    </w:p>
    <w:p>
      <w:pPr>
        <w:spacing w:after="0" w:line="26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2"/>
        </w:trPr>
        <w:tc>
          <w:tcPr>
            <w:tcW w:w="38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228"/>
              <w:spacing w:after="0"/>
              <w:rPr>
                <w:sz w:val="20"/>
                <w:szCs w:val="20"/>
                <w:color w:val="auto"/>
              </w:rPr>
            </w:pPr>
            <w:r>
              <w:rPr>
                <w:rFonts w:ascii="Arial" w:cs="Arial" w:eastAsia="Arial" w:hAnsi="Arial"/>
                <w:sz w:val="14"/>
                <w:szCs w:val="14"/>
                <w:color w:val="auto"/>
              </w:rPr>
              <w:t>104</w:t>
            </w:r>
          </w:p>
        </w:tc>
        <w:tc>
          <w:tcPr>
            <w:tcW w:w="36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248"/>
              <w:spacing w:after="0"/>
              <w:rPr>
                <w:sz w:val="20"/>
                <w:szCs w:val="20"/>
                <w:color w:val="auto"/>
              </w:rPr>
            </w:pPr>
            <w:r>
              <w:rPr>
                <w:rFonts w:ascii="Arial" w:cs="Arial" w:eastAsia="Arial" w:hAnsi="Arial"/>
                <w:sz w:val="14"/>
                <w:szCs w:val="14"/>
                <w:color w:val="auto"/>
              </w:rPr>
              <w:t>166</w:t>
            </w:r>
          </w:p>
        </w:tc>
        <w:tc>
          <w:tcPr>
            <w:tcW w:w="36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188"/>
              <w:spacing w:after="0"/>
              <w:rPr>
                <w:sz w:val="20"/>
                <w:szCs w:val="20"/>
                <w:color w:val="auto"/>
              </w:rPr>
            </w:pPr>
            <w:r>
              <w:rPr>
                <w:rFonts w:ascii="Arial" w:cs="Arial" w:eastAsia="Arial" w:hAnsi="Arial"/>
                <w:sz w:val="14"/>
                <w:szCs w:val="14"/>
                <w:color w:val="auto"/>
              </w:rPr>
              <w:t>188</w:t>
            </w:r>
          </w:p>
        </w:tc>
      </w:tr>
      <w:tr>
        <w:trPr>
          <w:trHeight w:val="216"/>
        </w:trPr>
        <w:tc>
          <w:tcPr>
            <w:tcW w:w="380" w:type="dxa"/>
            <w:vAlign w:val="bottom"/>
          </w:tcPr>
          <w:p>
            <w:pPr>
              <w:spacing w:after="0"/>
              <w:rPr>
                <w:sz w:val="18"/>
                <w:szCs w:val="18"/>
                <w:color w:val="auto"/>
              </w:rPr>
            </w:pPr>
          </w:p>
        </w:tc>
        <w:tc>
          <w:tcPr>
            <w:tcW w:w="840" w:type="dxa"/>
            <w:vAlign w:val="bottom"/>
          </w:tcPr>
          <w:p>
            <w:pPr>
              <w:jc w:val="right"/>
              <w:ind w:right="148"/>
              <w:spacing w:after="0"/>
              <w:rPr>
                <w:sz w:val="20"/>
                <w:szCs w:val="20"/>
                <w:color w:val="auto"/>
              </w:rPr>
            </w:pPr>
            <w:r>
              <w:rPr>
                <w:rFonts w:ascii="Arial" w:cs="Arial" w:eastAsia="Arial" w:hAnsi="Arial"/>
                <w:sz w:val="14"/>
                <w:szCs w:val="14"/>
                <w:color w:val="auto"/>
              </w:rPr>
              <w:t>(130 )</w:t>
            </w:r>
          </w:p>
        </w:tc>
        <w:tc>
          <w:tcPr>
            <w:tcW w:w="360" w:type="dxa"/>
            <w:vAlign w:val="bottom"/>
          </w:tcPr>
          <w:p>
            <w:pPr>
              <w:spacing w:after="0"/>
              <w:rPr>
                <w:sz w:val="18"/>
                <w:szCs w:val="18"/>
                <w:color w:val="auto"/>
              </w:rPr>
            </w:pPr>
          </w:p>
        </w:tc>
        <w:tc>
          <w:tcPr>
            <w:tcW w:w="860" w:type="dxa"/>
            <w:vAlign w:val="bottom"/>
          </w:tcPr>
          <w:p>
            <w:pPr>
              <w:jc w:val="right"/>
              <w:ind w:right="168"/>
              <w:spacing w:after="0"/>
              <w:rPr>
                <w:sz w:val="20"/>
                <w:szCs w:val="20"/>
                <w:color w:val="auto"/>
              </w:rPr>
            </w:pPr>
            <w:r>
              <w:rPr>
                <w:rFonts w:ascii="Arial" w:cs="Arial" w:eastAsia="Arial" w:hAnsi="Arial"/>
                <w:sz w:val="14"/>
                <w:szCs w:val="14"/>
                <w:color w:val="auto"/>
              </w:rPr>
              <w:t>(178 )</w:t>
            </w:r>
          </w:p>
        </w:tc>
        <w:tc>
          <w:tcPr>
            <w:tcW w:w="360" w:type="dxa"/>
            <w:vAlign w:val="bottom"/>
          </w:tcPr>
          <w:p>
            <w:pPr>
              <w:spacing w:after="0"/>
              <w:rPr>
                <w:sz w:val="18"/>
                <w:szCs w:val="18"/>
                <w:color w:val="auto"/>
              </w:rPr>
            </w:pPr>
          </w:p>
        </w:tc>
        <w:tc>
          <w:tcPr>
            <w:tcW w:w="820" w:type="dxa"/>
            <w:vAlign w:val="bottom"/>
          </w:tcPr>
          <w:p>
            <w:pPr>
              <w:jc w:val="right"/>
              <w:ind w:right="128"/>
              <w:spacing w:after="0"/>
              <w:rPr>
                <w:sz w:val="20"/>
                <w:szCs w:val="20"/>
                <w:color w:val="auto"/>
              </w:rPr>
            </w:pPr>
            <w:r>
              <w:rPr>
                <w:rFonts w:ascii="Arial" w:cs="Arial" w:eastAsia="Arial" w:hAnsi="Arial"/>
                <w:sz w:val="14"/>
                <w:szCs w:val="14"/>
                <w:color w:val="auto"/>
              </w:rPr>
              <w:t>(202 )</w:t>
            </w:r>
          </w:p>
        </w:tc>
      </w:tr>
      <w:tr>
        <w:trPr>
          <w:trHeight w:val="216"/>
        </w:trPr>
        <w:tc>
          <w:tcPr>
            <w:tcW w:w="380" w:type="dxa"/>
            <w:vAlign w:val="bottom"/>
          </w:tcPr>
          <w:p>
            <w:pPr>
              <w:spacing w:after="0"/>
              <w:rPr>
                <w:sz w:val="18"/>
                <w:szCs w:val="18"/>
                <w:color w:val="auto"/>
              </w:rPr>
            </w:pPr>
          </w:p>
        </w:tc>
        <w:tc>
          <w:tcPr>
            <w:tcW w:w="840" w:type="dxa"/>
            <w:vAlign w:val="bottom"/>
          </w:tcPr>
          <w:p>
            <w:pPr>
              <w:jc w:val="right"/>
              <w:ind w:right="148"/>
              <w:spacing w:after="0"/>
              <w:rPr>
                <w:sz w:val="20"/>
                <w:szCs w:val="20"/>
                <w:color w:val="auto"/>
              </w:rPr>
            </w:pPr>
            <w:r>
              <w:rPr>
                <w:rFonts w:ascii="Arial" w:cs="Arial" w:eastAsia="Arial" w:hAnsi="Arial"/>
                <w:sz w:val="14"/>
                <w:szCs w:val="14"/>
                <w:color w:val="auto"/>
              </w:rPr>
              <w:t>(64 )</w:t>
            </w:r>
          </w:p>
        </w:tc>
        <w:tc>
          <w:tcPr>
            <w:tcW w:w="360" w:type="dxa"/>
            <w:vAlign w:val="bottom"/>
          </w:tcPr>
          <w:p>
            <w:pPr>
              <w:spacing w:after="0"/>
              <w:rPr>
                <w:sz w:val="18"/>
                <w:szCs w:val="18"/>
                <w:color w:val="auto"/>
              </w:rPr>
            </w:pPr>
          </w:p>
        </w:tc>
        <w:tc>
          <w:tcPr>
            <w:tcW w:w="860" w:type="dxa"/>
            <w:vAlign w:val="bottom"/>
          </w:tcPr>
          <w:p>
            <w:pPr>
              <w:jc w:val="right"/>
              <w:ind w:right="168"/>
              <w:spacing w:after="0"/>
              <w:rPr>
                <w:sz w:val="20"/>
                <w:szCs w:val="20"/>
                <w:color w:val="auto"/>
              </w:rPr>
            </w:pPr>
            <w:r>
              <w:rPr>
                <w:rFonts w:ascii="Arial" w:cs="Arial" w:eastAsia="Arial" w:hAnsi="Arial"/>
                <w:sz w:val="14"/>
                <w:szCs w:val="14"/>
                <w:color w:val="auto"/>
              </w:rPr>
              <w:t>(105 )</w:t>
            </w:r>
          </w:p>
        </w:tc>
        <w:tc>
          <w:tcPr>
            <w:tcW w:w="360" w:type="dxa"/>
            <w:vAlign w:val="bottom"/>
          </w:tcPr>
          <w:p>
            <w:pPr>
              <w:spacing w:after="0"/>
              <w:rPr>
                <w:sz w:val="18"/>
                <w:szCs w:val="18"/>
                <w:color w:val="auto"/>
              </w:rPr>
            </w:pPr>
          </w:p>
        </w:tc>
        <w:tc>
          <w:tcPr>
            <w:tcW w:w="820" w:type="dxa"/>
            <w:vAlign w:val="bottom"/>
          </w:tcPr>
          <w:p>
            <w:pPr>
              <w:jc w:val="right"/>
              <w:ind w:right="128"/>
              <w:spacing w:after="0"/>
              <w:rPr>
                <w:sz w:val="20"/>
                <w:szCs w:val="20"/>
                <w:color w:val="auto"/>
              </w:rPr>
            </w:pPr>
            <w:r>
              <w:rPr>
                <w:rFonts w:ascii="Arial" w:cs="Arial" w:eastAsia="Arial" w:hAnsi="Arial"/>
                <w:sz w:val="14"/>
                <w:szCs w:val="14"/>
                <w:color w:val="auto"/>
              </w:rPr>
              <w:t>(120 )</w:t>
            </w:r>
          </w:p>
        </w:tc>
      </w:tr>
      <w:tr>
        <w:trPr>
          <w:trHeight w:val="216"/>
        </w:trPr>
        <w:tc>
          <w:tcPr>
            <w:tcW w:w="380" w:type="dxa"/>
            <w:vAlign w:val="bottom"/>
          </w:tcPr>
          <w:p>
            <w:pPr>
              <w:spacing w:after="0"/>
              <w:rPr>
                <w:sz w:val="18"/>
                <w:szCs w:val="18"/>
                <w:color w:val="auto"/>
              </w:rPr>
            </w:pPr>
          </w:p>
        </w:tc>
        <w:tc>
          <w:tcPr>
            <w:tcW w:w="840" w:type="dxa"/>
            <w:vAlign w:val="bottom"/>
          </w:tcPr>
          <w:p>
            <w:pPr>
              <w:jc w:val="right"/>
              <w:ind w:right="148"/>
              <w:spacing w:after="0"/>
              <w:rPr>
                <w:sz w:val="20"/>
                <w:szCs w:val="20"/>
                <w:color w:val="auto"/>
              </w:rPr>
            </w:pPr>
            <w:r>
              <w:rPr>
                <w:rFonts w:ascii="Arial" w:cs="Arial" w:eastAsia="Arial" w:hAnsi="Arial"/>
                <w:sz w:val="14"/>
                <w:szCs w:val="14"/>
                <w:color w:val="auto"/>
              </w:rPr>
              <w:t>(63 )</w:t>
            </w:r>
          </w:p>
        </w:tc>
        <w:tc>
          <w:tcPr>
            <w:tcW w:w="360" w:type="dxa"/>
            <w:vAlign w:val="bottom"/>
          </w:tcPr>
          <w:p>
            <w:pPr>
              <w:spacing w:after="0"/>
              <w:rPr>
                <w:sz w:val="18"/>
                <w:szCs w:val="18"/>
                <w:color w:val="auto"/>
              </w:rPr>
            </w:pPr>
          </w:p>
        </w:tc>
        <w:tc>
          <w:tcPr>
            <w:tcW w:w="860" w:type="dxa"/>
            <w:vAlign w:val="bottom"/>
          </w:tcPr>
          <w:p>
            <w:pPr>
              <w:jc w:val="right"/>
              <w:ind w:right="248"/>
              <w:spacing w:after="0"/>
              <w:rPr>
                <w:sz w:val="20"/>
                <w:szCs w:val="20"/>
                <w:color w:val="auto"/>
              </w:rPr>
            </w:pPr>
            <w:r>
              <w:rPr>
                <w:rFonts w:ascii="Arial" w:cs="Arial" w:eastAsia="Arial" w:hAnsi="Arial"/>
                <w:sz w:val="14"/>
                <w:szCs w:val="14"/>
                <w:color w:val="auto"/>
              </w:rPr>
              <w:t>58</w:t>
            </w:r>
          </w:p>
        </w:tc>
        <w:tc>
          <w:tcPr>
            <w:tcW w:w="360" w:type="dxa"/>
            <w:vAlign w:val="bottom"/>
          </w:tcPr>
          <w:p>
            <w:pPr>
              <w:spacing w:after="0"/>
              <w:rPr>
                <w:sz w:val="18"/>
                <w:szCs w:val="18"/>
                <w:color w:val="auto"/>
              </w:rPr>
            </w:pPr>
          </w:p>
        </w:tc>
        <w:tc>
          <w:tcPr>
            <w:tcW w:w="820" w:type="dxa"/>
            <w:vAlign w:val="bottom"/>
          </w:tcPr>
          <w:p>
            <w:pPr>
              <w:jc w:val="right"/>
              <w:ind w:right="188"/>
              <w:spacing w:after="0"/>
              <w:rPr>
                <w:sz w:val="20"/>
                <w:szCs w:val="20"/>
                <w:color w:val="auto"/>
              </w:rPr>
            </w:pPr>
            <w:r>
              <w:rPr>
                <w:rFonts w:ascii="Arial" w:cs="Arial" w:eastAsia="Arial" w:hAnsi="Arial"/>
                <w:sz w:val="14"/>
                <w:szCs w:val="14"/>
                <w:color w:val="auto"/>
              </w:rPr>
              <w:t>21</w:t>
            </w:r>
          </w:p>
        </w:tc>
      </w:tr>
      <w:tr>
        <w:trPr>
          <w:trHeight w:val="219"/>
        </w:trPr>
        <w:tc>
          <w:tcPr>
            <w:tcW w:w="3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93</w:t>
            </w:r>
          </w:p>
        </w:tc>
        <w:tc>
          <w:tcPr>
            <w:tcW w:w="3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38</w:t>
            </w:r>
          </w:p>
        </w:tc>
        <w:tc>
          <w:tcPr>
            <w:tcW w:w="3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61</w:t>
            </w:r>
          </w:p>
        </w:tc>
      </w:tr>
      <w:tr>
        <w:trPr>
          <w:trHeight w:val="205"/>
        </w:trPr>
        <w:tc>
          <w:tcPr>
            <w:tcW w:w="380" w:type="dxa"/>
            <w:vAlign w:val="bottom"/>
          </w:tcPr>
          <w:p>
            <w:pPr>
              <w:spacing w:after="0"/>
              <w:rPr>
                <w:sz w:val="17"/>
                <w:szCs w:val="17"/>
                <w:color w:val="auto"/>
              </w:rPr>
            </w:pPr>
          </w:p>
        </w:tc>
        <w:tc>
          <w:tcPr>
            <w:tcW w:w="840" w:type="dxa"/>
            <w:vAlign w:val="bottom"/>
          </w:tcPr>
          <w:p>
            <w:pPr>
              <w:jc w:val="right"/>
              <w:ind w:right="148"/>
              <w:spacing w:after="0"/>
              <w:rPr>
                <w:sz w:val="20"/>
                <w:szCs w:val="20"/>
                <w:color w:val="auto"/>
              </w:rPr>
            </w:pPr>
            <w:r>
              <w:rPr>
                <w:rFonts w:ascii="Arial" w:cs="Arial" w:eastAsia="Arial" w:hAnsi="Arial"/>
                <w:sz w:val="14"/>
                <w:szCs w:val="14"/>
                <w:color w:val="auto"/>
              </w:rPr>
              <w:t>(60 )</w:t>
            </w:r>
          </w:p>
        </w:tc>
        <w:tc>
          <w:tcPr>
            <w:tcW w:w="360" w:type="dxa"/>
            <w:vAlign w:val="bottom"/>
          </w:tcPr>
          <w:p>
            <w:pPr>
              <w:spacing w:after="0"/>
              <w:rPr>
                <w:sz w:val="17"/>
                <w:szCs w:val="17"/>
                <w:color w:val="auto"/>
              </w:rPr>
            </w:pPr>
          </w:p>
        </w:tc>
        <w:tc>
          <w:tcPr>
            <w:tcW w:w="860" w:type="dxa"/>
            <w:vAlign w:val="bottom"/>
          </w:tcPr>
          <w:p>
            <w:pPr>
              <w:jc w:val="right"/>
              <w:ind w:right="168"/>
              <w:spacing w:after="0"/>
              <w:rPr>
                <w:sz w:val="20"/>
                <w:szCs w:val="20"/>
                <w:color w:val="auto"/>
              </w:rPr>
            </w:pPr>
            <w:r>
              <w:rPr>
                <w:rFonts w:ascii="Arial" w:cs="Arial" w:eastAsia="Arial" w:hAnsi="Arial"/>
                <w:sz w:val="14"/>
                <w:szCs w:val="14"/>
                <w:color w:val="auto"/>
              </w:rPr>
              <w:t>(21 )</w:t>
            </w:r>
          </w:p>
        </w:tc>
        <w:tc>
          <w:tcPr>
            <w:tcW w:w="360" w:type="dxa"/>
            <w:vAlign w:val="bottom"/>
          </w:tcPr>
          <w:p>
            <w:pPr>
              <w:spacing w:after="0"/>
              <w:rPr>
                <w:sz w:val="17"/>
                <w:szCs w:val="17"/>
                <w:color w:val="auto"/>
              </w:rPr>
            </w:pPr>
          </w:p>
        </w:tc>
        <w:tc>
          <w:tcPr>
            <w:tcW w:w="820" w:type="dxa"/>
            <w:vAlign w:val="bottom"/>
          </w:tcPr>
          <w:p>
            <w:pPr>
              <w:jc w:val="right"/>
              <w:ind w:right="128"/>
              <w:spacing w:after="0"/>
              <w:rPr>
                <w:sz w:val="20"/>
                <w:szCs w:val="20"/>
                <w:color w:val="auto"/>
              </w:rPr>
            </w:pPr>
            <w:r>
              <w:rPr>
                <w:rFonts w:ascii="Arial" w:cs="Arial" w:eastAsia="Arial" w:hAnsi="Arial"/>
                <w:sz w:val="14"/>
                <w:szCs w:val="14"/>
                <w:color w:val="auto"/>
              </w:rPr>
              <w:t>(52 )</w:t>
            </w:r>
          </w:p>
        </w:tc>
      </w:tr>
      <w:tr>
        <w:trPr>
          <w:trHeight w:val="219"/>
        </w:trPr>
        <w:tc>
          <w:tcPr>
            <w:tcW w:w="3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1,173</w:t>
            </w:r>
          </w:p>
        </w:tc>
        <w:tc>
          <w:tcPr>
            <w:tcW w:w="3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1,120</w:t>
            </w:r>
          </w:p>
        </w:tc>
        <w:tc>
          <w:tcPr>
            <w:tcW w:w="3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1,458</w:t>
            </w:r>
          </w:p>
        </w:tc>
      </w:tr>
      <w:tr>
        <w:trPr>
          <w:trHeight w:val="227"/>
        </w:trPr>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1,113</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1,099</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1,406</w:t>
            </w:r>
          </w:p>
        </w:tc>
      </w:tr>
      <w:tr>
        <w:trPr>
          <w:trHeight w:val="665"/>
        </w:trPr>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4.50</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4.24</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5.48</w:t>
            </w:r>
          </w:p>
        </w:tc>
      </w:tr>
      <w:tr>
        <w:trPr>
          <w:trHeight w:val="232"/>
        </w:trPr>
        <w:tc>
          <w:tcPr>
            <w:tcW w:w="3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247,387</w:t>
            </w:r>
          </w:p>
        </w:tc>
        <w:tc>
          <w:tcPr>
            <w:tcW w:w="3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259,269</w:t>
            </w:r>
          </w:p>
        </w:tc>
        <w:tc>
          <w:tcPr>
            <w:tcW w:w="3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256,477</w:t>
            </w:r>
          </w:p>
        </w:tc>
      </w:tr>
    </w:tbl>
    <w:p>
      <w:pPr>
        <w:spacing w:after="0" w:line="200" w:lineRule="exact"/>
        <w:rPr>
          <w:sz w:val="20"/>
          <w:szCs w:val="20"/>
          <w:color w:val="auto"/>
        </w:rPr>
      </w:pPr>
    </w:p>
    <w:p>
      <w:pPr>
        <w:sectPr>
          <w:pgSz w:w="11900" w:h="16838" w:orient="portrait"/>
          <w:cols w:equalWidth="0" w:num="2">
            <w:col w:w="5900" w:space="120"/>
            <w:col w:w="4199"/>
          </w:cols>
          <w:pgMar w:left="240" w:top="737" w:right="1440" w:bottom="1440" w:gutter="0" w:footer="0" w:header="0"/>
          <w:type w:val="continuous"/>
        </w:sectPr>
      </w:pPr>
    </w:p>
    <w:p>
      <w:pPr>
        <w:spacing w:after="0" w:line="54" w:lineRule="exact"/>
        <w:rPr>
          <w:sz w:val="20"/>
          <w:szCs w:val="20"/>
          <w:color w:val="auto"/>
        </w:rPr>
      </w:pPr>
    </w:p>
    <w:tbl>
      <w:tblPr>
        <w:tblLayout w:type="fixed"/>
        <w:tblInd w:w="1800" w:type="dxa"/>
        <w:tblCellMar>
          <w:top w:w="0" w:type="dxa"/>
          <w:left w:w="0" w:type="dxa"/>
          <w:bottom w:w="0" w:type="dxa"/>
          <w:right w:w="0" w:type="dxa"/>
        </w:tblCellMar>
      </w:tblPr>
      <w:tr>
        <w:trPr>
          <w:trHeight w:val="172"/>
        </w:trPr>
        <w:tc>
          <w:tcPr>
            <w:tcW w:w="4220" w:type="dxa"/>
            <w:vAlign w:val="bottom"/>
          </w:tcPr>
          <w:p>
            <w:pPr>
              <w:spacing w:after="0"/>
              <w:rPr>
                <w:sz w:val="20"/>
                <w:szCs w:val="20"/>
                <w:color w:val="auto"/>
              </w:rPr>
            </w:pPr>
            <w:r>
              <w:rPr>
                <w:rFonts w:ascii="Arial" w:cs="Arial" w:eastAsia="Arial" w:hAnsi="Arial"/>
                <w:sz w:val="14"/>
                <w:szCs w:val="14"/>
                <w:color w:val="auto"/>
              </w:rPr>
              <w:t>Diluted earnings per share:</w:t>
            </w: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238"/>
        </w:trPr>
        <w:tc>
          <w:tcPr>
            <w:tcW w:w="4220" w:type="dxa"/>
            <w:vAlign w:val="bottom"/>
          </w:tcPr>
          <w:p>
            <w:pPr>
              <w:ind w:left="180"/>
              <w:spacing w:after="0"/>
              <w:rPr>
                <w:sz w:val="20"/>
                <w:szCs w:val="20"/>
                <w:color w:val="auto"/>
              </w:rPr>
            </w:pPr>
            <w:r>
              <w:rPr>
                <w:rFonts w:ascii="Arial" w:cs="Arial" w:eastAsia="Arial" w:hAnsi="Arial"/>
                <w:sz w:val="14"/>
                <w:szCs w:val="14"/>
                <w:color w:val="auto"/>
              </w:rPr>
              <w:t>Net income</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4.43</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4.16</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5.38</w:t>
            </w:r>
          </w:p>
        </w:tc>
      </w:tr>
      <w:tr>
        <w:trPr>
          <w:trHeight w:val="232"/>
        </w:trPr>
        <w:tc>
          <w:tcPr>
            <w:tcW w:w="4220" w:type="dxa"/>
            <w:vAlign w:val="bottom"/>
            <w:tcBorders>
              <w:bottom w:val="single" w:sz="8" w:color="auto"/>
            </w:tcBorders>
          </w:tcPr>
          <w:p>
            <w:pPr>
              <w:ind w:left="180"/>
              <w:spacing w:after="0"/>
              <w:rPr>
                <w:sz w:val="20"/>
                <w:szCs w:val="20"/>
                <w:color w:val="auto"/>
              </w:rPr>
            </w:pPr>
            <w:r>
              <w:rPr>
                <w:rFonts w:ascii="Arial" w:cs="Arial" w:eastAsia="Arial" w:hAnsi="Arial"/>
                <w:sz w:val="14"/>
                <w:szCs w:val="14"/>
                <w:color w:val="auto"/>
              </w:rPr>
              <w:t>Weighted-average number of shares outstanding (thousands)</w:t>
            </w:r>
          </w:p>
        </w:tc>
        <w:tc>
          <w:tcPr>
            <w:tcW w:w="3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251,159</w:t>
            </w:r>
          </w:p>
        </w:tc>
        <w:tc>
          <w:tcPr>
            <w:tcW w:w="3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264,004</w:t>
            </w:r>
          </w:p>
        </w:tc>
        <w:tc>
          <w:tcPr>
            <w:tcW w:w="4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261,368</w:t>
            </w:r>
          </w:p>
        </w:tc>
      </w:tr>
    </w:tbl>
    <w:p>
      <w:pPr>
        <w:spacing w:after="0" w:line="28" w:lineRule="exact"/>
        <w:rPr>
          <w:sz w:val="20"/>
          <w:szCs w:val="20"/>
          <w:color w:val="auto"/>
        </w:rPr>
      </w:pPr>
    </w:p>
    <w:p>
      <w:pPr>
        <w:ind w:left="1800"/>
        <w:spacing w:after="0"/>
        <w:rPr>
          <w:sz w:val="20"/>
          <w:szCs w:val="20"/>
          <w:color w:val="auto"/>
        </w:rPr>
      </w:pPr>
      <w:r>
        <w:rPr>
          <w:rFonts w:ascii="Arial" w:cs="Arial" w:eastAsia="Arial" w:hAnsi="Arial"/>
          <w:sz w:val="13"/>
          <w:szCs w:val="13"/>
          <w:i w:val="1"/>
          <w:iCs w:val="1"/>
          <w:color w:val="auto"/>
        </w:rPr>
        <w:t>See Notes to Condensed Financial Information of Parent (Sempra Energy).</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4"/>
          <w:szCs w:val="14"/>
          <w:color w:val="auto"/>
        </w:rPr>
        <w:t>38</w:t>
      </w:r>
    </w:p>
    <w:p>
      <w:pPr>
        <w:sectPr>
          <w:pgSz w:w="11900" w:h="16838" w:orient="portrait"/>
          <w:cols w:equalWidth="0" w:num="1">
            <w:col w:w="10219"/>
          </w:cols>
          <w:pgMar w:left="240" w:top="737" w:right="1440" w:bottom="1440" w:gutter="0" w:footer="0" w:header="0"/>
          <w:type w:val="continuous"/>
        </w:sectPr>
      </w:pPr>
    </w:p>
    <w:bookmarkStart w:id="38" w:name="page39"/>
    <w:bookmarkEnd w:id="38"/>
    <w:p>
      <w:pPr>
        <w:ind w:left="1760"/>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1263650</wp:posOffset>
            </wp:positionH>
            <wp:positionV relativeFrom="page">
              <wp:posOffset>279400</wp:posOffset>
            </wp:positionV>
            <wp:extent cx="5034280" cy="419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034280" cy="419735"/>
                    </a:xfrm>
                    <a:prstGeom prst="rect">
                      <a:avLst/>
                    </a:prstGeom>
                    <a:noFill/>
                  </pic:spPr>
                </pic:pic>
              </a:graphicData>
            </a:graphic>
          </wp:anchor>
        </w:drawing>
        <w:t>SEMPRA ENERGY</w:t>
      </w:r>
    </w:p>
    <w:p>
      <w:pPr>
        <w:spacing w:after="0" w:line="55" w:lineRule="exact"/>
        <w:rPr>
          <w:sz w:val="20"/>
          <w:szCs w:val="20"/>
          <w:color w:val="auto"/>
        </w:rPr>
      </w:pPr>
    </w:p>
    <w:p>
      <w:pPr>
        <w:ind w:left="1760"/>
        <w:spacing w:after="0"/>
        <w:rPr>
          <w:sz w:val="20"/>
          <w:szCs w:val="20"/>
          <w:color w:val="auto"/>
        </w:rPr>
      </w:pPr>
      <w:r>
        <w:rPr>
          <w:rFonts w:ascii="Arial" w:cs="Arial" w:eastAsia="Arial" w:hAnsi="Arial"/>
          <w:sz w:val="14"/>
          <w:szCs w:val="14"/>
          <w:b w:val="1"/>
          <w:bCs w:val="1"/>
          <w:color w:val="auto"/>
        </w:rPr>
        <w:t>CONDENSED BALANCE SHEETS</w:t>
      </w:r>
    </w:p>
    <w:p>
      <w:pPr>
        <w:spacing w:after="0" w:line="49" w:lineRule="exact"/>
        <w:rPr>
          <w:sz w:val="20"/>
          <w:szCs w:val="20"/>
          <w:color w:val="auto"/>
        </w:rPr>
      </w:pPr>
    </w:p>
    <w:tbl>
      <w:tblPr>
        <w:tblLayout w:type="fixed"/>
        <w:tblInd w:w="1740" w:type="dxa"/>
        <w:tblCellMar>
          <w:top w:w="0" w:type="dxa"/>
          <w:left w:w="0" w:type="dxa"/>
          <w:bottom w:w="0" w:type="dxa"/>
          <w:right w:w="0" w:type="dxa"/>
        </w:tblCellMar>
      </w:tblPr>
      <w:tr>
        <w:trPr>
          <w:trHeight w:val="202"/>
        </w:trPr>
        <w:tc>
          <w:tcPr>
            <w:tcW w:w="4280" w:type="dxa"/>
            <w:vAlign w:val="bottom"/>
          </w:tcPr>
          <w:p>
            <w:pPr>
              <w:ind w:left="20"/>
              <w:spacing w:after="0"/>
              <w:rPr>
                <w:sz w:val="20"/>
                <w:szCs w:val="20"/>
                <w:color w:val="auto"/>
              </w:rPr>
            </w:pPr>
            <w:r>
              <w:rPr>
                <w:rFonts w:ascii="Arial" w:cs="Arial" w:eastAsia="Arial" w:hAnsi="Arial"/>
                <w:sz w:val="13"/>
                <w:szCs w:val="13"/>
                <w:i w:val="1"/>
                <w:iCs w:val="1"/>
                <w:color w:val="auto"/>
              </w:rPr>
              <w:t>(Dollars in millions)</w:t>
            </w:r>
          </w:p>
        </w:tc>
        <w:tc>
          <w:tcPr>
            <w:tcW w:w="1000" w:type="dxa"/>
            <w:vAlign w:val="bottom"/>
            <w:shd w:val="clear" w:color="auto" w:fill="D9D9D9"/>
          </w:tcPr>
          <w:p>
            <w:pPr>
              <w:spacing w:after="0"/>
              <w:rPr>
                <w:sz w:val="17"/>
                <w:szCs w:val="17"/>
                <w:color w:val="auto"/>
              </w:rPr>
            </w:pPr>
          </w:p>
        </w:tc>
        <w:tc>
          <w:tcPr>
            <w:tcW w:w="160" w:type="dxa"/>
            <w:vAlign w:val="bottom"/>
            <w:shd w:val="clear" w:color="auto" w:fill="D9D9D9"/>
          </w:tcPr>
          <w:p>
            <w:pPr>
              <w:spacing w:after="0"/>
              <w:rPr>
                <w:sz w:val="17"/>
                <w:szCs w:val="17"/>
                <w:color w:val="auto"/>
              </w:rPr>
            </w:pPr>
          </w:p>
        </w:tc>
        <w:tc>
          <w:tcPr>
            <w:tcW w:w="1140" w:type="dxa"/>
            <w:vAlign w:val="bottom"/>
            <w:shd w:val="clear" w:color="auto" w:fill="D9D9D9"/>
          </w:tcPr>
          <w:p>
            <w:pPr>
              <w:spacing w:after="0"/>
              <w:rPr>
                <w:sz w:val="17"/>
                <w:szCs w:val="17"/>
                <w:color w:val="auto"/>
              </w:rPr>
            </w:pPr>
          </w:p>
        </w:tc>
        <w:tc>
          <w:tcPr>
            <w:tcW w:w="520" w:type="dxa"/>
            <w:vAlign w:val="bottom"/>
            <w:shd w:val="clear" w:color="auto" w:fill="D9D9D9"/>
          </w:tcPr>
          <w:p>
            <w:pPr>
              <w:spacing w:after="0"/>
              <w:rPr>
                <w:sz w:val="17"/>
                <w:szCs w:val="17"/>
                <w:color w:val="auto"/>
              </w:rPr>
            </w:pPr>
          </w:p>
        </w:tc>
        <w:tc>
          <w:tcPr>
            <w:tcW w:w="840" w:type="dxa"/>
            <w:vAlign w:val="bottom"/>
            <w:shd w:val="clear" w:color="auto" w:fill="D9D9D9"/>
          </w:tcPr>
          <w:p>
            <w:pPr>
              <w:spacing w:after="0"/>
              <w:rPr>
                <w:sz w:val="17"/>
                <w:szCs w:val="17"/>
                <w:color w:val="auto"/>
              </w:rPr>
            </w:pPr>
          </w:p>
        </w:tc>
        <w:tc>
          <w:tcPr>
            <w:tcW w:w="0" w:type="dxa"/>
            <w:vAlign w:val="bottom"/>
          </w:tcPr>
          <w:p>
            <w:pPr>
              <w:spacing w:after="0"/>
              <w:rPr>
                <w:sz w:val="1"/>
                <w:szCs w:val="1"/>
                <w:color w:val="auto"/>
              </w:rPr>
            </w:pPr>
          </w:p>
        </w:tc>
      </w:tr>
      <w:tr>
        <w:trPr>
          <w:trHeight w:val="170"/>
        </w:trPr>
        <w:tc>
          <w:tcPr>
            <w:tcW w:w="42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jc w:val="right"/>
              <w:ind w:right="269"/>
              <w:spacing w:after="0"/>
              <w:rPr>
                <w:sz w:val="20"/>
                <w:szCs w:val="20"/>
                <w:color w:val="auto"/>
              </w:rPr>
            </w:pPr>
            <w:r>
              <w:rPr>
                <w:rFonts w:ascii="Arial" w:cs="Arial" w:eastAsia="Arial" w:hAnsi="Arial"/>
                <w:sz w:val="13"/>
                <w:szCs w:val="13"/>
                <w:color w:val="auto"/>
                <w:w w:val="95"/>
              </w:rPr>
              <w:t>December 31,</w:t>
            </w:r>
          </w:p>
        </w:tc>
        <w:tc>
          <w:tcPr>
            <w:tcW w:w="1360" w:type="dxa"/>
            <w:vAlign w:val="bottom"/>
            <w:gridSpan w:val="2"/>
          </w:tcPr>
          <w:p>
            <w:pPr>
              <w:jc w:val="right"/>
              <w:ind w:right="108"/>
              <w:spacing w:after="0"/>
              <w:rPr>
                <w:sz w:val="20"/>
                <w:szCs w:val="20"/>
                <w:color w:val="auto"/>
              </w:rPr>
            </w:pPr>
            <w:r>
              <w:rPr>
                <w:rFonts w:ascii="Arial" w:cs="Arial" w:eastAsia="Arial" w:hAnsi="Arial"/>
                <w:sz w:val="13"/>
                <w:szCs w:val="13"/>
                <w:color w:val="auto"/>
              </w:rPr>
              <w:t>December 31,</w:t>
            </w:r>
          </w:p>
        </w:tc>
        <w:tc>
          <w:tcPr>
            <w:tcW w:w="0" w:type="dxa"/>
            <w:vAlign w:val="bottom"/>
          </w:tcPr>
          <w:p>
            <w:pPr>
              <w:spacing w:after="0"/>
              <w:rPr>
                <w:sz w:val="1"/>
                <w:szCs w:val="1"/>
                <w:color w:val="auto"/>
              </w:rPr>
            </w:pPr>
          </w:p>
        </w:tc>
      </w:tr>
      <w:tr>
        <w:trPr>
          <w:trHeight w:val="216"/>
        </w:trPr>
        <w:tc>
          <w:tcPr>
            <w:tcW w:w="4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jc w:val="right"/>
              <w:ind w:right="529"/>
              <w:spacing w:after="0"/>
              <w:rPr>
                <w:sz w:val="20"/>
                <w:szCs w:val="20"/>
                <w:color w:val="auto"/>
              </w:rPr>
            </w:pPr>
            <w:r>
              <w:rPr>
                <w:rFonts w:ascii="Arial" w:cs="Arial" w:eastAsia="Arial" w:hAnsi="Arial"/>
                <w:sz w:val="13"/>
                <w:szCs w:val="13"/>
                <w:color w:val="auto"/>
              </w:rPr>
              <w:t>2008</w:t>
            </w:r>
          </w:p>
        </w:tc>
        <w:tc>
          <w:tcPr>
            <w:tcW w:w="520" w:type="dxa"/>
            <w:vAlign w:val="bottom"/>
          </w:tcPr>
          <w:p>
            <w:pPr>
              <w:spacing w:after="0"/>
              <w:rPr>
                <w:sz w:val="18"/>
                <w:szCs w:val="18"/>
                <w:color w:val="auto"/>
              </w:rPr>
            </w:pPr>
          </w:p>
        </w:tc>
        <w:tc>
          <w:tcPr>
            <w:tcW w:w="840" w:type="dxa"/>
            <w:vAlign w:val="bottom"/>
          </w:tcPr>
          <w:p>
            <w:pPr>
              <w:jc w:val="right"/>
              <w:ind w:right="368"/>
              <w:spacing w:after="0"/>
              <w:rPr>
                <w:sz w:val="20"/>
                <w:szCs w:val="20"/>
                <w:color w:val="auto"/>
              </w:rPr>
            </w:pPr>
            <w:r>
              <w:rPr>
                <w:rFonts w:ascii="Arial" w:cs="Arial" w:eastAsia="Arial" w:hAnsi="Arial"/>
                <w:sz w:val="13"/>
                <w:szCs w:val="13"/>
                <w:color w:val="auto"/>
              </w:rPr>
              <w:t>2007</w:t>
            </w:r>
          </w:p>
        </w:tc>
        <w:tc>
          <w:tcPr>
            <w:tcW w:w="0" w:type="dxa"/>
            <w:vAlign w:val="bottom"/>
          </w:tcPr>
          <w:p>
            <w:pPr>
              <w:spacing w:after="0"/>
              <w:rPr>
                <w:sz w:val="1"/>
                <w:szCs w:val="1"/>
                <w:color w:val="auto"/>
              </w:rPr>
            </w:pPr>
          </w:p>
        </w:tc>
      </w:tr>
      <w:tr>
        <w:trPr>
          <w:trHeight w:val="46"/>
        </w:trPr>
        <w:tc>
          <w:tcPr>
            <w:tcW w:w="428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94"/>
        </w:trPr>
        <w:tc>
          <w:tcPr>
            <w:tcW w:w="4280" w:type="dxa"/>
            <w:vAlign w:val="bottom"/>
          </w:tcPr>
          <w:p>
            <w:pPr>
              <w:ind w:left="20"/>
              <w:spacing w:after="0"/>
              <w:rPr>
                <w:sz w:val="20"/>
                <w:szCs w:val="20"/>
                <w:color w:val="auto"/>
              </w:rPr>
            </w:pPr>
            <w:r>
              <w:rPr>
                <w:rFonts w:ascii="Arial" w:cs="Arial" w:eastAsia="Arial" w:hAnsi="Arial"/>
                <w:sz w:val="14"/>
                <w:szCs w:val="14"/>
                <w:color w:val="auto"/>
              </w:rPr>
              <w:t>Assets:</w:t>
            </w: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4280" w:type="dxa"/>
            <w:vAlign w:val="bottom"/>
          </w:tcPr>
          <w:p>
            <w:pPr>
              <w:ind w:left="20"/>
              <w:spacing w:after="0"/>
              <w:rPr>
                <w:sz w:val="20"/>
                <w:szCs w:val="20"/>
                <w:color w:val="auto"/>
              </w:rPr>
            </w:pPr>
            <w:r>
              <w:rPr>
                <w:rFonts w:ascii="Arial" w:cs="Arial" w:eastAsia="Arial" w:hAnsi="Arial"/>
                <w:sz w:val="14"/>
                <w:szCs w:val="14"/>
                <w:color w:val="auto"/>
              </w:rPr>
              <w:t>Cash and cash equivalents</w:t>
            </w:r>
          </w:p>
        </w:tc>
        <w:tc>
          <w:tcPr>
            <w:tcW w:w="1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229"/>
              <w:spacing w:after="0"/>
              <w:rPr>
                <w:sz w:val="20"/>
                <w:szCs w:val="20"/>
                <w:color w:val="auto"/>
              </w:rPr>
            </w:pPr>
            <w:r>
              <w:rPr>
                <w:rFonts w:ascii="Arial" w:cs="Arial" w:eastAsia="Arial" w:hAnsi="Arial"/>
                <w:sz w:val="14"/>
                <w:szCs w:val="14"/>
                <w:color w:val="auto"/>
              </w:rPr>
              <w:t>12</w:t>
            </w:r>
          </w:p>
        </w:tc>
        <w:tc>
          <w:tcPr>
            <w:tcW w:w="520" w:type="dxa"/>
            <w:vAlign w:val="bottom"/>
          </w:tcPr>
          <w:p>
            <w:pPr>
              <w:jc w:val="right"/>
              <w:ind w:right="70"/>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68"/>
              <w:spacing w:after="0"/>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216"/>
        </w:trPr>
        <w:tc>
          <w:tcPr>
            <w:tcW w:w="4280" w:type="dxa"/>
            <w:vAlign w:val="bottom"/>
          </w:tcPr>
          <w:p>
            <w:pPr>
              <w:ind w:left="20"/>
              <w:spacing w:after="0"/>
              <w:rPr>
                <w:sz w:val="20"/>
                <w:szCs w:val="20"/>
                <w:color w:val="auto"/>
              </w:rPr>
            </w:pPr>
            <w:r>
              <w:rPr>
                <w:rFonts w:ascii="Arial" w:cs="Arial" w:eastAsia="Arial" w:hAnsi="Arial"/>
                <w:sz w:val="14"/>
                <w:szCs w:val="14"/>
                <w:color w:val="auto"/>
              </w:rPr>
              <w:t>Short-term investments</w:t>
            </w: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jc w:val="right"/>
              <w:ind w:right="229"/>
              <w:spacing w:after="0"/>
              <w:rPr>
                <w:sz w:val="20"/>
                <w:szCs w:val="20"/>
                <w:color w:val="auto"/>
              </w:rPr>
            </w:pPr>
            <w:r>
              <w:rPr>
                <w:rFonts w:ascii="Arial" w:cs="Arial" w:eastAsia="Arial" w:hAnsi="Arial"/>
                <w:sz w:val="14"/>
                <w:szCs w:val="14"/>
                <w:color w:val="auto"/>
              </w:rPr>
              <w:t>152</w:t>
            </w:r>
          </w:p>
        </w:tc>
        <w:tc>
          <w:tcPr>
            <w:tcW w:w="520" w:type="dxa"/>
            <w:vAlign w:val="bottom"/>
          </w:tcPr>
          <w:p>
            <w:pPr>
              <w:spacing w:after="0"/>
              <w:rPr>
                <w:sz w:val="18"/>
                <w:szCs w:val="18"/>
                <w:color w:val="auto"/>
              </w:rPr>
            </w:pPr>
          </w:p>
        </w:tc>
        <w:tc>
          <w:tcPr>
            <w:tcW w:w="8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6"/>
        </w:trPr>
        <w:tc>
          <w:tcPr>
            <w:tcW w:w="4280" w:type="dxa"/>
            <w:vAlign w:val="bottom"/>
          </w:tcPr>
          <w:p>
            <w:pPr>
              <w:ind w:left="20"/>
              <w:spacing w:after="0"/>
              <w:rPr>
                <w:sz w:val="20"/>
                <w:szCs w:val="20"/>
                <w:color w:val="auto"/>
              </w:rPr>
            </w:pPr>
            <w:r>
              <w:rPr>
                <w:rFonts w:ascii="Arial" w:cs="Arial" w:eastAsia="Arial" w:hAnsi="Arial"/>
                <w:sz w:val="14"/>
                <w:szCs w:val="14"/>
                <w:color w:val="auto"/>
              </w:rPr>
              <w:t>Due from affiliates</w:t>
            </w: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jc w:val="right"/>
              <w:ind w:right="229"/>
              <w:spacing w:after="0"/>
              <w:rPr>
                <w:sz w:val="20"/>
                <w:szCs w:val="20"/>
                <w:color w:val="auto"/>
              </w:rPr>
            </w:pPr>
            <w:r>
              <w:rPr>
                <w:rFonts w:ascii="Arial" w:cs="Arial" w:eastAsia="Arial" w:hAnsi="Arial"/>
                <w:sz w:val="14"/>
                <w:szCs w:val="14"/>
                <w:color w:val="auto"/>
              </w:rPr>
              <w:t>28</w:t>
            </w:r>
          </w:p>
        </w:tc>
        <w:tc>
          <w:tcPr>
            <w:tcW w:w="520" w:type="dxa"/>
            <w:vAlign w:val="bottom"/>
          </w:tcPr>
          <w:p>
            <w:pPr>
              <w:spacing w:after="0"/>
              <w:rPr>
                <w:sz w:val="18"/>
                <w:szCs w:val="18"/>
                <w:color w:val="auto"/>
              </w:rPr>
            </w:pPr>
          </w:p>
        </w:tc>
        <w:tc>
          <w:tcPr>
            <w:tcW w:w="840" w:type="dxa"/>
            <w:vAlign w:val="bottom"/>
          </w:tcPr>
          <w:p>
            <w:pPr>
              <w:jc w:val="right"/>
              <w:ind w:right="68"/>
              <w:spacing w:after="0"/>
              <w:rPr>
                <w:sz w:val="20"/>
                <w:szCs w:val="20"/>
                <w:color w:val="auto"/>
              </w:rPr>
            </w:pPr>
            <w:r>
              <w:rPr>
                <w:rFonts w:ascii="Arial" w:cs="Arial" w:eastAsia="Arial" w:hAnsi="Arial"/>
                <w:sz w:val="14"/>
                <w:szCs w:val="14"/>
                <w:color w:val="auto"/>
              </w:rPr>
              <w:t>103</w:t>
            </w:r>
          </w:p>
        </w:tc>
        <w:tc>
          <w:tcPr>
            <w:tcW w:w="0" w:type="dxa"/>
            <w:vAlign w:val="bottom"/>
          </w:tcPr>
          <w:p>
            <w:pPr>
              <w:spacing w:after="0"/>
              <w:rPr>
                <w:sz w:val="1"/>
                <w:szCs w:val="1"/>
                <w:color w:val="auto"/>
              </w:rPr>
            </w:pPr>
          </w:p>
        </w:tc>
      </w:tr>
      <w:tr>
        <w:trPr>
          <w:trHeight w:val="216"/>
        </w:trPr>
        <w:tc>
          <w:tcPr>
            <w:tcW w:w="4280" w:type="dxa"/>
            <w:vAlign w:val="bottom"/>
          </w:tcPr>
          <w:p>
            <w:pPr>
              <w:ind w:left="20"/>
              <w:spacing w:after="0"/>
              <w:rPr>
                <w:sz w:val="20"/>
                <w:szCs w:val="20"/>
                <w:color w:val="auto"/>
              </w:rPr>
            </w:pPr>
            <w:r>
              <w:rPr>
                <w:rFonts w:ascii="Arial" w:cs="Arial" w:eastAsia="Arial" w:hAnsi="Arial"/>
                <w:sz w:val="14"/>
                <w:szCs w:val="14"/>
                <w:color w:val="auto"/>
              </w:rPr>
              <w:t>Income taxes receivable</w:t>
            </w: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jc w:val="right"/>
              <w:ind w:right="229"/>
              <w:spacing w:after="0"/>
              <w:rPr>
                <w:sz w:val="20"/>
                <w:szCs w:val="20"/>
                <w:color w:val="auto"/>
              </w:rPr>
            </w:pPr>
            <w:r>
              <w:rPr>
                <w:rFonts w:ascii="Arial" w:cs="Arial" w:eastAsia="Arial" w:hAnsi="Arial"/>
                <w:sz w:val="14"/>
                <w:szCs w:val="14"/>
                <w:color w:val="auto"/>
              </w:rPr>
              <w:t>299</w:t>
            </w:r>
          </w:p>
        </w:tc>
        <w:tc>
          <w:tcPr>
            <w:tcW w:w="520" w:type="dxa"/>
            <w:vAlign w:val="bottom"/>
          </w:tcPr>
          <w:p>
            <w:pPr>
              <w:spacing w:after="0"/>
              <w:rPr>
                <w:sz w:val="18"/>
                <w:szCs w:val="18"/>
                <w:color w:val="auto"/>
              </w:rPr>
            </w:pPr>
          </w:p>
        </w:tc>
        <w:tc>
          <w:tcPr>
            <w:tcW w:w="840" w:type="dxa"/>
            <w:vAlign w:val="bottom"/>
          </w:tcPr>
          <w:p>
            <w:pPr>
              <w:jc w:val="right"/>
              <w:ind w:right="68"/>
              <w:spacing w:after="0"/>
              <w:rPr>
                <w:sz w:val="20"/>
                <w:szCs w:val="20"/>
                <w:color w:val="auto"/>
              </w:rPr>
            </w:pPr>
            <w:r>
              <w:rPr>
                <w:rFonts w:ascii="Arial" w:cs="Arial" w:eastAsia="Arial" w:hAnsi="Arial"/>
                <w:sz w:val="14"/>
                <w:szCs w:val="14"/>
                <w:color w:val="auto"/>
              </w:rPr>
              <w:t>210</w:t>
            </w:r>
          </w:p>
        </w:tc>
        <w:tc>
          <w:tcPr>
            <w:tcW w:w="0" w:type="dxa"/>
            <w:vAlign w:val="bottom"/>
          </w:tcPr>
          <w:p>
            <w:pPr>
              <w:spacing w:after="0"/>
              <w:rPr>
                <w:sz w:val="1"/>
                <w:szCs w:val="1"/>
                <w:color w:val="auto"/>
              </w:rPr>
            </w:pPr>
          </w:p>
        </w:tc>
      </w:tr>
      <w:tr>
        <w:trPr>
          <w:trHeight w:val="216"/>
        </w:trPr>
        <w:tc>
          <w:tcPr>
            <w:tcW w:w="4280" w:type="dxa"/>
            <w:vAlign w:val="bottom"/>
          </w:tcPr>
          <w:p>
            <w:pPr>
              <w:ind w:left="20"/>
              <w:spacing w:after="0"/>
              <w:rPr>
                <w:sz w:val="20"/>
                <w:szCs w:val="20"/>
                <w:color w:val="auto"/>
              </w:rPr>
            </w:pPr>
            <w:r>
              <w:rPr>
                <w:rFonts w:ascii="Arial" w:cs="Arial" w:eastAsia="Arial" w:hAnsi="Arial"/>
                <w:sz w:val="14"/>
                <w:szCs w:val="14"/>
                <w:color w:val="auto"/>
              </w:rPr>
              <w:t>Other current assets</w:t>
            </w:r>
          </w:p>
        </w:tc>
        <w:tc>
          <w:tcPr>
            <w:tcW w:w="10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229"/>
              <w:spacing w:after="0"/>
              <w:rPr>
                <w:sz w:val="20"/>
                <w:szCs w:val="20"/>
                <w:color w:val="auto"/>
              </w:rPr>
            </w:pPr>
            <w:r>
              <w:rPr>
                <w:rFonts w:ascii="Arial" w:cs="Arial" w:eastAsia="Arial" w:hAnsi="Arial"/>
                <w:sz w:val="14"/>
                <w:szCs w:val="14"/>
                <w:color w:val="auto"/>
              </w:rPr>
              <w:t>9</w:t>
            </w:r>
          </w:p>
        </w:tc>
        <w:tc>
          <w:tcPr>
            <w:tcW w:w="5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31</w:t>
            </w:r>
          </w:p>
        </w:tc>
        <w:tc>
          <w:tcPr>
            <w:tcW w:w="0" w:type="dxa"/>
            <w:vAlign w:val="bottom"/>
          </w:tcPr>
          <w:p>
            <w:pPr>
              <w:spacing w:after="0"/>
              <w:rPr>
                <w:sz w:val="1"/>
                <w:szCs w:val="1"/>
                <w:color w:val="auto"/>
              </w:rPr>
            </w:pPr>
          </w:p>
        </w:tc>
      </w:tr>
      <w:tr>
        <w:trPr>
          <w:trHeight w:val="208"/>
        </w:trPr>
        <w:tc>
          <w:tcPr>
            <w:tcW w:w="4280" w:type="dxa"/>
            <w:vAlign w:val="bottom"/>
          </w:tcPr>
          <w:p>
            <w:pPr>
              <w:ind w:left="220"/>
              <w:spacing w:after="0"/>
              <w:rPr>
                <w:sz w:val="20"/>
                <w:szCs w:val="20"/>
                <w:color w:val="auto"/>
              </w:rPr>
            </w:pPr>
            <w:r>
              <w:rPr>
                <w:rFonts w:ascii="Arial" w:cs="Arial" w:eastAsia="Arial" w:hAnsi="Arial"/>
                <w:sz w:val="14"/>
                <w:szCs w:val="14"/>
                <w:color w:val="auto"/>
              </w:rPr>
              <w:t>Total current assets</w:t>
            </w: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jc w:val="right"/>
              <w:ind w:right="229"/>
              <w:spacing w:after="0"/>
              <w:rPr>
                <w:sz w:val="20"/>
                <w:szCs w:val="20"/>
                <w:color w:val="auto"/>
              </w:rPr>
            </w:pPr>
            <w:r>
              <w:rPr>
                <w:rFonts w:ascii="Arial" w:cs="Arial" w:eastAsia="Arial" w:hAnsi="Arial"/>
                <w:sz w:val="14"/>
                <w:szCs w:val="14"/>
                <w:color w:val="auto"/>
              </w:rPr>
              <w:t>500</w:t>
            </w:r>
          </w:p>
        </w:tc>
        <w:tc>
          <w:tcPr>
            <w:tcW w:w="520" w:type="dxa"/>
            <w:vAlign w:val="bottom"/>
          </w:tcPr>
          <w:p>
            <w:pPr>
              <w:spacing w:after="0"/>
              <w:rPr>
                <w:sz w:val="18"/>
                <w:szCs w:val="18"/>
                <w:color w:val="auto"/>
              </w:rPr>
            </w:pPr>
          </w:p>
        </w:tc>
        <w:tc>
          <w:tcPr>
            <w:tcW w:w="840" w:type="dxa"/>
            <w:vAlign w:val="bottom"/>
          </w:tcPr>
          <w:p>
            <w:pPr>
              <w:jc w:val="right"/>
              <w:ind w:right="68"/>
              <w:spacing w:after="0"/>
              <w:rPr>
                <w:sz w:val="20"/>
                <w:szCs w:val="20"/>
                <w:color w:val="auto"/>
              </w:rPr>
            </w:pPr>
            <w:r>
              <w:rPr>
                <w:rFonts w:ascii="Arial" w:cs="Arial" w:eastAsia="Arial" w:hAnsi="Arial"/>
                <w:sz w:val="14"/>
                <w:szCs w:val="14"/>
                <w:color w:val="auto"/>
              </w:rPr>
              <w:t>350</w:t>
            </w:r>
          </w:p>
        </w:tc>
        <w:tc>
          <w:tcPr>
            <w:tcW w:w="0" w:type="dxa"/>
            <w:vAlign w:val="bottom"/>
          </w:tcPr>
          <w:p>
            <w:pPr>
              <w:spacing w:after="0"/>
              <w:rPr>
                <w:sz w:val="1"/>
                <w:szCs w:val="1"/>
                <w:color w:val="auto"/>
              </w:rPr>
            </w:pPr>
          </w:p>
        </w:tc>
      </w:tr>
      <w:tr>
        <w:trPr>
          <w:trHeight w:val="432"/>
        </w:trPr>
        <w:tc>
          <w:tcPr>
            <w:tcW w:w="4280" w:type="dxa"/>
            <w:vAlign w:val="bottom"/>
          </w:tcPr>
          <w:p>
            <w:pPr>
              <w:ind w:left="20"/>
              <w:spacing w:after="0"/>
              <w:rPr>
                <w:sz w:val="20"/>
                <w:szCs w:val="20"/>
                <w:color w:val="auto"/>
              </w:rPr>
            </w:pPr>
            <w:r>
              <w:rPr>
                <w:rFonts w:ascii="Arial" w:cs="Arial" w:eastAsia="Arial" w:hAnsi="Arial"/>
                <w:sz w:val="14"/>
                <w:szCs w:val="14"/>
                <w:color w:val="auto"/>
              </w:rPr>
              <w:t>Investments in subsidiaries</w:t>
            </w: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jc w:val="right"/>
              <w:ind w:right="229"/>
              <w:spacing w:after="0"/>
              <w:rPr>
                <w:sz w:val="20"/>
                <w:szCs w:val="20"/>
                <w:color w:val="auto"/>
              </w:rPr>
            </w:pPr>
            <w:r>
              <w:rPr>
                <w:rFonts w:ascii="Arial" w:cs="Arial" w:eastAsia="Arial" w:hAnsi="Arial"/>
                <w:sz w:val="14"/>
                <w:szCs w:val="14"/>
                <w:color w:val="auto"/>
              </w:rPr>
              <w:t>9,644</w:t>
            </w:r>
          </w:p>
        </w:tc>
        <w:tc>
          <w:tcPr>
            <w:tcW w:w="520" w:type="dxa"/>
            <w:vAlign w:val="bottom"/>
          </w:tcPr>
          <w:p>
            <w:pPr>
              <w:spacing w:after="0"/>
              <w:rPr>
                <w:sz w:val="24"/>
                <w:szCs w:val="24"/>
                <w:color w:val="auto"/>
              </w:rPr>
            </w:pPr>
          </w:p>
        </w:tc>
        <w:tc>
          <w:tcPr>
            <w:tcW w:w="840" w:type="dxa"/>
            <w:vAlign w:val="bottom"/>
          </w:tcPr>
          <w:p>
            <w:pPr>
              <w:jc w:val="right"/>
              <w:ind w:right="68"/>
              <w:spacing w:after="0"/>
              <w:rPr>
                <w:sz w:val="20"/>
                <w:szCs w:val="20"/>
                <w:color w:val="auto"/>
              </w:rPr>
            </w:pPr>
            <w:r>
              <w:rPr>
                <w:rFonts w:ascii="Arial" w:cs="Arial" w:eastAsia="Arial" w:hAnsi="Arial"/>
                <w:sz w:val="14"/>
                <w:szCs w:val="14"/>
                <w:color w:val="auto"/>
              </w:rPr>
              <w:t>8,766</w:t>
            </w:r>
          </w:p>
        </w:tc>
        <w:tc>
          <w:tcPr>
            <w:tcW w:w="0" w:type="dxa"/>
            <w:vAlign w:val="bottom"/>
          </w:tcPr>
          <w:p>
            <w:pPr>
              <w:spacing w:after="0"/>
              <w:rPr>
                <w:sz w:val="1"/>
                <w:szCs w:val="1"/>
                <w:color w:val="auto"/>
              </w:rPr>
            </w:pPr>
          </w:p>
        </w:tc>
      </w:tr>
      <w:tr>
        <w:trPr>
          <w:trHeight w:val="216"/>
        </w:trPr>
        <w:tc>
          <w:tcPr>
            <w:tcW w:w="4280" w:type="dxa"/>
            <w:vAlign w:val="bottom"/>
          </w:tcPr>
          <w:p>
            <w:pPr>
              <w:ind w:left="20"/>
              <w:spacing w:after="0"/>
              <w:rPr>
                <w:sz w:val="20"/>
                <w:szCs w:val="20"/>
                <w:color w:val="auto"/>
              </w:rPr>
            </w:pPr>
            <w:r>
              <w:rPr>
                <w:rFonts w:ascii="Arial" w:cs="Arial" w:eastAsia="Arial" w:hAnsi="Arial"/>
                <w:sz w:val="14"/>
                <w:szCs w:val="14"/>
                <w:color w:val="auto"/>
              </w:rPr>
              <w:t>Due from affiliates</w:t>
            </w: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jc w:val="right"/>
              <w:ind w:right="229"/>
              <w:spacing w:after="0"/>
              <w:rPr>
                <w:sz w:val="20"/>
                <w:szCs w:val="20"/>
                <w:color w:val="auto"/>
              </w:rPr>
            </w:pPr>
            <w:r>
              <w:rPr>
                <w:rFonts w:ascii="Arial" w:cs="Arial" w:eastAsia="Arial" w:hAnsi="Arial"/>
                <w:sz w:val="14"/>
                <w:szCs w:val="14"/>
                <w:color w:val="auto"/>
              </w:rPr>
              <w:t>2,365</w:t>
            </w:r>
          </w:p>
        </w:tc>
        <w:tc>
          <w:tcPr>
            <w:tcW w:w="520" w:type="dxa"/>
            <w:vAlign w:val="bottom"/>
          </w:tcPr>
          <w:p>
            <w:pPr>
              <w:spacing w:after="0"/>
              <w:rPr>
                <w:sz w:val="18"/>
                <w:szCs w:val="18"/>
                <w:color w:val="auto"/>
              </w:rPr>
            </w:pPr>
          </w:p>
        </w:tc>
        <w:tc>
          <w:tcPr>
            <w:tcW w:w="840" w:type="dxa"/>
            <w:vAlign w:val="bottom"/>
          </w:tcPr>
          <w:p>
            <w:pPr>
              <w:jc w:val="right"/>
              <w:ind w:right="68"/>
              <w:spacing w:after="0"/>
              <w:rPr>
                <w:sz w:val="20"/>
                <w:szCs w:val="20"/>
                <w:color w:val="auto"/>
              </w:rPr>
            </w:pPr>
            <w:r>
              <w:rPr>
                <w:rFonts w:ascii="Arial" w:cs="Arial" w:eastAsia="Arial" w:hAnsi="Arial"/>
                <w:sz w:val="14"/>
                <w:szCs w:val="14"/>
                <w:color w:val="auto"/>
              </w:rPr>
              <w:t>2,298</w:t>
            </w:r>
          </w:p>
        </w:tc>
        <w:tc>
          <w:tcPr>
            <w:tcW w:w="0" w:type="dxa"/>
            <w:vAlign w:val="bottom"/>
          </w:tcPr>
          <w:p>
            <w:pPr>
              <w:spacing w:after="0"/>
              <w:rPr>
                <w:sz w:val="1"/>
                <w:szCs w:val="1"/>
                <w:color w:val="auto"/>
              </w:rPr>
            </w:pPr>
          </w:p>
        </w:tc>
      </w:tr>
      <w:tr>
        <w:trPr>
          <w:trHeight w:val="219"/>
        </w:trPr>
        <w:tc>
          <w:tcPr>
            <w:tcW w:w="4280" w:type="dxa"/>
            <w:vAlign w:val="bottom"/>
          </w:tcPr>
          <w:p>
            <w:pPr>
              <w:ind w:left="20"/>
              <w:spacing w:after="0"/>
              <w:rPr>
                <w:sz w:val="20"/>
                <w:szCs w:val="20"/>
                <w:color w:val="auto"/>
              </w:rPr>
            </w:pPr>
            <w:r>
              <w:rPr>
                <w:rFonts w:ascii="Arial" w:cs="Arial" w:eastAsia="Arial" w:hAnsi="Arial"/>
                <w:sz w:val="14"/>
                <w:szCs w:val="14"/>
                <w:color w:val="auto"/>
              </w:rPr>
              <w:t>Other assets</w:t>
            </w:r>
          </w:p>
        </w:tc>
        <w:tc>
          <w:tcPr>
            <w:tcW w:w="10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229"/>
              <w:spacing w:after="0"/>
              <w:rPr>
                <w:sz w:val="20"/>
                <w:szCs w:val="20"/>
                <w:color w:val="auto"/>
              </w:rPr>
            </w:pPr>
            <w:r>
              <w:rPr>
                <w:rFonts w:ascii="Arial" w:cs="Arial" w:eastAsia="Arial" w:hAnsi="Arial"/>
                <w:sz w:val="14"/>
                <w:szCs w:val="14"/>
                <w:color w:val="auto"/>
              </w:rPr>
              <w:t>811</w:t>
            </w:r>
          </w:p>
        </w:tc>
        <w:tc>
          <w:tcPr>
            <w:tcW w:w="5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784</w:t>
            </w:r>
          </w:p>
        </w:tc>
        <w:tc>
          <w:tcPr>
            <w:tcW w:w="0" w:type="dxa"/>
            <w:vAlign w:val="bottom"/>
          </w:tcPr>
          <w:p>
            <w:pPr>
              <w:spacing w:after="0"/>
              <w:rPr>
                <w:sz w:val="1"/>
                <w:szCs w:val="1"/>
                <w:color w:val="auto"/>
              </w:rPr>
            </w:pPr>
          </w:p>
        </w:tc>
      </w:tr>
      <w:tr>
        <w:trPr>
          <w:trHeight w:val="181"/>
        </w:trPr>
        <w:tc>
          <w:tcPr>
            <w:tcW w:w="4280" w:type="dxa"/>
            <w:vAlign w:val="bottom"/>
          </w:tcPr>
          <w:p>
            <w:pPr>
              <w:ind w:left="200"/>
              <w:spacing w:after="0"/>
              <w:rPr>
                <w:sz w:val="20"/>
                <w:szCs w:val="20"/>
                <w:color w:val="auto"/>
              </w:rPr>
            </w:pPr>
            <w:r>
              <w:rPr>
                <w:rFonts w:ascii="Arial" w:cs="Arial" w:eastAsia="Arial" w:hAnsi="Arial"/>
                <w:sz w:val="14"/>
                <w:szCs w:val="14"/>
                <w:color w:val="auto"/>
              </w:rPr>
              <w:t>Total assets</w:t>
            </w:r>
          </w:p>
        </w:tc>
        <w:tc>
          <w:tcPr>
            <w:tcW w:w="1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229"/>
              <w:spacing w:after="0"/>
              <w:rPr>
                <w:sz w:val="20"/>
                <w:szCs w:val="20"/>
                <w:color w:val="auto"/>
              </w:rPr>
            </w:pPr>
            <w:r>
              <w:rPr>
                <w:rFonts w:ascii="Arial" w:cs="Arial" w:eastAsia="Arial" w:hAnsi="Arial"/>
                <w:sz w:val="14"/>
                <w:szCs w:val="14"/>
                <w:color w:val="auto"/>
              </w:rPr>
              <w:t>13,320</w:t>
            </w:r>
          </w:p>
        </w:tc>
        <w:tc>
          <w:tcPr>
            <w:tcW w:w="520" w:type="dxa"/>
            <w:vAlign w:val="bottom"/>
          </w:tcPr>
          <w:p>
            <w:pPr>
              <w:jc w:val="right"/>
              <w:ind w:right="70"/>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68"/>
              <w:spacing w:after="0"/>
              <w:rPr>
                <w:sz w:val="20"/>
                <w:szCs w:val="20"/>
                <w:color w:val="auto"/>
              </w:rPr>
            </w:pPr>
            <w:r>
              <w:rPr>
                <w:rFonts w:ascii="Arial" w:cs="Arial" w:eastAsia="Arial" w:hAnsi="Arial"/>
                <w:sz w:val="14"/>
                <w:szCs w:val="14"/>
                <w:color w:val="auto"/>
              </w:rPr>
              <w:t>12,198</w:t>
            </w:r>
          </w:p>
        </w:tc>
        <w:tc>
          <w:tcPr>
            <w:tcW w:w="0" w:type="dxa"/>
            <w:vAlign w:val="bottom"/>
          </w:tcPr>
          <w:p>
            <w:pPr>
              <w:spacing w:after="0"/>
              <w:rPr>
                <w:sz w:val="1"/>
                <w:szCs w:val="1"/>
                <w:color w:val="auto"/>
              </w:rPr>
            </w:pPr>
          </w:p>
        </w:tc>
      </w:tr>
      <w:tr>
        <w:trPr>
          <w:trHeight w:val="46"/>
        </w:trPr>
        <w:tc>
          <w:tcPr>
            <w:tcW w:w="4280" w:type="dxa"/>
            <w:vAlign w:val="bottom"/>
            <w:vMerge w:val="restart"/>
          </w:tcPr>
          <w:p>
            <w:pPr>
              <w:ind w:left="20"/>
              <w:spacing w:after="0"/>
              <w:rPr>
                <w:sz w:val="20"/>
                <w:szCs w:val="20"/>
                <w:color w:val="auto"/>
              </w:rPr>
            </w:pPr>
            <w:r>
              <w:rPr>
                <w:rFonts w:ascii="Arial" w:cs="Arial" w:eastAsia="Arial" w:hAnsi="Arial"/>
                <w:sz w:val="14"/>
                <w:szCs w:val="14"/>
                <w:color w:val="auto"/>
              </w:rPr>
              <w:t>Liabilities and Shareholders' Equity:</w:t>
            </w:r>
          </w:p>
        </w:tc>
        <w:tc>
          <w:tcPr>
            <w:tcW w:w="100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402"/>
        </w:trPr>
        <w:tc>
          <w:tcPr>
            <w:tcW w:w="4280" w:type="dxa"/>
            <w:vAlign w:val="bottom"/>
            <w:vMerge w:val="continue"/>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4280" w:type="dxa"/>
            <w:vAlign w:val="bottom"/>
          </w:tcPr>
          <w:p>
            <w:pPr>
              <w:ind w:left="20"/>
              <w:spacing w:after="0"/>
              <w:rPr>
                <w:sz w:val="20"/>
                <w:szCs w:val="20"/>
                <w:color w:val="auto"/>
              </w:rPr>
            </w:pPr>
            <w:r>
              <w:rPr>
                <w:rFonts w:ascii="Arial" w:cs="Arial" w:eastAsia="Arial" w:hAnsi="Arial"/>
                <w:sz w:val="14"/>
                <w:szCs w:val="14"/>
                <w:color w:val="auto"/>
              </w:rPr>
              <w:t>Current portion of long-term debt</w:t>
            </w:r>
          </w:p>
        </w:tc>
        <w:tc>
          <w:tcPr>
            <w:tcW w:w="1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229"/>
              <w:spacing w:after="0"/>
              <w:rPr>
                <w:sz w:val="20"/>
                <w:szCs w:val="20"/>
                <w:color w:val="auto"/>
              </w:rPr>
            </w:pPr>
            <w:r>
              <w:rPr>
                <w:rFonts w:ascii="Arial" w:cs="Arial" w:eastAsia="Arial" w:hAnsi="Arial"/>
                <w:sz w:val="14"/>
                <w:szCs w:val="14"/>
                <w:color w:val="auto"/>
              </w:rPr>
              <w:t>300</w:t>
            </w:r>
          </w:p>
        </w:tc>
        <w:tc>
          <w:tcPr>
            <w:tcW w:w="520" w:type="dxa"/>
            <w:vAlign w:val="bottom"/>
          </w:tcPr>
          <w:p>
            <w:pPr>
              <w:jc w:val="right"/>
              <w:ind w:right="70"/>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6"/>
        </w:trPr>
        <w:tc>
          <w:tcPr>
            <w:tcW w:w="4280" w:type="dxa"/>
            <w:vAlign w:val="bottom"/>
          </w:tcPr>
          <w:p>
            <w:pPr>
              <w:ind w:left="20"/>
              <w:spacing w:after="0"/>
              <w:rPr>
                <w:sz w:val="20"/>
                <w:szCs w:val="20"/>
                <w:color w:val="auto"/>
              </w:rPr>
            </w:pPr>
            <w:r>
              <w:rPr>
                <w:rFonts w:ascii="Arial" w:cs="Arial" w:eastAsia="Arial" w:hAnsi="Arial"/>
                <w:sz w:val="14"/>
                <w:szCs w:val="14"/>
                <w:color w:val="auto"/>
              </w:rPr>
              <w:t>Due to affiliates</w:t>
            </w: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jc w:val="right"/>
              <w:ind w:right="229"/>
              <w:spacing w:after="0"/>
              <w:rPr>
                <w:sz w:val="20"/>
                <w:szCs w:val="20"/>
                <w:color w:val="auto"/>
              </w:rPr>
            </w:pPr>
            <w:r>
              <w:rPr>
                <w:rFonts w:ascii="Arial" w:cs="Arial" w:eastAsia="Arial" w:hAnsi="Arial"/>
                <w:sz w:val="14"/>
                <w:szCs w:val="14"/>
                <w:color w:val="auto"/>
              </w:rPr>
              <w:t>1,876</w:t>
            </w:r>
          </w:p>
        </w:tc>
        <w:tc>
          <w:tcPr>
            <w:tcW w:w="520" w:type="dxa"/>
            <w:vAlign w:val="bottom"/>
          </w:tcPr>
          <w:p>
            <w:pPr>
              <w:spacing w:after="0"/>
              <w:rPr>
                <w:sz w:val="18"/>
                <w:szCs w:val="18"/>
                <w:color w:val="auto"/>
              </w:rPr>
            </w:pPr>
          </w:p>
        </w:tc>
        <w:tc>
          <w:tcPr>
            <w:tcW w:w="840" w:type="dxa"/>
            <w:vAlign w:val="bottom"/>
          </w:tcPr>
          <w:p>
            <w:pPr>
              <w:jc w:val="right"/>
              <w:ind w:right="68"/>
              <w:spacing w:after="0"/>
              <w:rPr>
                <w:sz w:val="20"/>
                <w:szCs w:val="20"/>
                <w:color w:val="auto"/>
              </w:rPr>
            </w:pPr>
            <w:r>
              <w:rPr>
                <w:rFonts w:ascii="Arial" w:cs="Arial" w:eastAsia="Arial" w:hAnsi="Arial"/>
                <w:sz w:val="14"/>
                <w:szCs w:val="14"/>
                <w:color w:val="auto"/>
              </w:rPr>
              <w:t>1,708</w:t>
            </w:r>
          </w:p>
        </w:tc>
        <w:tc>
          <w:tcPr>
            <w:tcW w:w="0" w:type="dxa"/>
            <w:vAlign w:val="bottom"/>
          </w:tcPr>
          <w:p>
            <w:pPr>
              <w:spacing w:after="0"/>
              <w:rPr>
                <w:sz w:val="1"/>
                <w:szCs w:val="1"/>
                <w:color w:val="auto"/>
              </w:rPr>
            </w:pPr>
          </w:p>
        </w:tc>
      </w:tr>
      <w:tr>
        <w:trPr>
          <w:trHeight w:val="219"/>
        </w:trPr>
        <w:tc>
          <w:tcPr>
            <w:tcW w:w="4280" w:type="dxa"/>
            <w:vAlign w:val="bottom"/>
          </w:tcPr>
          <w:p>
            <w:pPr>
              <w:ind w:left="20"/>
              <w:spacing w:after="0"/>
              <w:rPr>
                <w:sz w:val="20"/>
                <w:szCs w:val="20"/>
                <w:color w:val="auto"/>
              </w:rPr>
            </w:pPr>
            <w:r>
              <w:rPr>
                <w:rFonts w:ascii="Arial" w:cs="Arial" w:eastAsia="Arial" w:hAnsi="Arial"/>
                <w:sz w:val="14"/>
                <w:szCs w:val="14"/>
                <w:color w:val="auto"/>
              </w:rPr>
              <w:t>Other current liabilities</w:t>
            </w:r>
          </w:p>
        </w:tc>
        <w:tc>
          <w:tcPr>
            <w:tcW w:w="10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229"/>
              <w:spacing w:after="0"/>
              <w:rPr>
                <w:sz w:val="20"/>
                <w:szCs w:val="20"/>
                <w:color w:val="auto"/>
              </w:rPr>
            </w:pPr>
            <w:r>
              <w:rPr>
                <w:rFonts w:ascii="Arial" w:cs="Arial" w:eastAsia="Arial" w:hAnsi="Arial"/>
                <w:sz w:val="14"/>
                <w:szCs w:val="14"/>
                <w:color w:val="auto"/>
              </w:rPr>
              <w:t>307</w:t>
            </w:r>
          </w:p>
        </w:tc>
        <w:tc>
          <w:tcPr>
            <w:tcW w:w="5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344</w:t>
            </w:r>
          </w:p>
        </w:tc>
        <w:tc>
          <w:tcPr>
            <w:tcW w:w="0" w:type="dxa"/>
            <w:vAlign w:val="bottom"/>
          </w:tcPr>
          <w:p>
            <w:pPr>
              <w:spacing w:after="0"/>
              <w:rPr>
                <w:sz w:val="1"/>
                <w:szCs w:val="1"/>
                <w:color w:val="auto"/>
              </w:rPr>
            </w:pPr>
          </w:p>
        </w:tc>
      </w:tr>
      <w:tr>
        <w:trPr>
          <w:trHeight w:val="205"/>
        </w:trPr>
        <w:tc>
          <w:tcPr>
            <w:tcW w:w="4280" w:type="dxa"/>
            <w:vAlign w:val="bottom"/>
          </w:tcPr>
          <w:p>
            <w:pPr>
              <w:ind w:left="220"/>
              <w:spacing w:after="0"/>
              <w:rPr>
                <w:sz w:val="20"/>
                <w:szCs w:val="20"/>
                <w:color w:val="auto"/>
              </w:rPr>
            </w:pPr>
            <w:r>
              <w:rPr>
                <w:rFonts w:ascii="Arial" w:cs="Arial" w:eastAsia="Arial" w:hAnsi="Arial"/>
                <w:sz w:val="14"/>
                <w:szCs w:val="14"/>
                <w:color w:val="auto"/>
              </w:rPr>
              <w:t>Total current liabilities</w:t>
            </w: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jc w:val="right"/>
              <w:ind w:right="229"/>
              <w:spacing w:after="0"/>
              <w:rPr>
                <w:sz w:val="20"/>
                <w:szCs w:val="20"/>
                <w:color w:val="auto"/>
              </w:rPr>
            </w:pPr>
            <w:r>
              <w:rPr>
                <w:rFonts w:ascii="Arial" w:cs="Arial" w:eastAsia="Arial" w:hAnsi="Arial"/>
                <w:sz w:val="14"/>
                <w:szCs w:val="14"/>
                <w:color w:val="auto"/>
              </w:rPr>
              <w:t>2,483</w:t>
            </w:r>
          </w:p>
        </w:tc>
        <w:tc>
          <w:tcPr>
            <w:tcW w:w="520" w:type="dxa"/>
            <w:vAlign w:val="bottom"/>
          </w:tcPr>
          <w:p>
            <w:pPr>
              <w:spacing w:after="0"/>
              <w:rPr>
                <w:sz w:val="17"/>
                <w:szCs w:val="17"/>
                <w:color w:val="auto"/>
              </w:rPr>
            </w:pPr>
          </w:p>
        </w:tc>
        <w:tc>
          <w:tcPr>
            <w:tcW w:w="840" w:type="dxa"/>
            <w:vAlign w:val="bottom"/>
          </w:tcPr>
          <w:p>
            <w:pPr>
              <w:jc w:val="right"/>
              <w:ind w:right="68"/>
              <w:spacing w:after="0"/>
              <w:rPr>
                <w:sz w:val="20"/>
                <w:szCs w:val="20"/>
                <w:color w:val="auto"/>
              </w:rPr>
            </w:pPr>
            <w:r>
              <w:rPr>
                <w:rFonts w:ascii="Arial" w:cs="Arial" w:eastAsia="Arial" w:hAnsi="Arial"/>
                <w:sz w:val="14"/>
                <w:szCs w:val="14"/>
                <w:color w:val="auto"/>
              </w:rPr>
              <w:t>2,052</w:t>
            </w:r>
          </w:p>
        </w:tc>
        <w:tc>
          <w:tcPr>
            <w:tcW w:w="0" w:type="dxa"/>
            <w:vAlign w:val="bottom"/>
          </w:tcPr>
          <w:p>
            <w:pPr>
              <w:spacing w:after="0"/>
              <w:rPr>
                <w:sz w:val="1"/>
                <w:szCs w:val="1"/>
                <w:color w:val="auto"/>
              </w:rPr>
            </w:pPr>
          </w:p>
        </w:tc>
      </w:tr>
      <w:tr>
        <w:trPr>
          <w:trHeight w:val="432"/>
        </w:trPr>
        <w:tc>
          <w:tcPr>
            <w:tcW w:w="4280" w:type="dxa"/>
            <w:vAlign w:val="bottom"/>
          </w:tcPr>
          <w:p>
            <w:pPr>
              <w:ind w:left="20"/>
              <w:spacing w:after="0"/>
              <w:rPr>
                <w:sz w:val="20"/>
                <w:szCs w:val="20"/>
                <w:color w:val="auto"/>
              </w:rPr>
            </w:pPr>
            <w:r>
              <w:rPr>
                <w:rFonts w:ascii="Arial" w:cs="Arial" w:eastAsia="Arial" w:hAnsi="Arial"/>
                <w:sz w:val="14"/>
                <w:szCs w:val="14"/>
                <w:color w:val="auto"/>
              </w:rPr>
              <w:t>Long-term debt</w:t>
            </w: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jc w:val="right"/>
              <w:ind w:right="229"/>
              <w:spacing w:after="0"/>
              <w:rPr>
                <w:sz w:val="20"/>
                <w:szCs w:val="20"/>
                <w:color w:val="auto"/>
              </w:rPr>
            </w:pPr>
            <w:r>
              <w:rPr>
                <w:rFonts w:ascii="Arial" w:cs="Arial" w:eastAsia="Arial" w:hAnsi="Arial"/>
                <w:sz w:val="14"/>
                <w:szCs w:val="14"/>
                <w:color w:val="auto"/>
              </w:rPr>
              <w:t>2,233</w:t>
            </w:r>
          </w:p>
        </w:tc>
        <w:tc>
          <w:tcPr>
            <w:tcW w:w="520" w:type="dxa"/>
            <w:vAlign w:val="bottom"/>
          </w:tcPr>
          <w:p>
            <w:pPr>
              <w:spacing w:after="0"/>
              <w:rPr>
                <w:sz w:val="24"/>
                <w:szCs w:val="24"/>
                <w:color w:val="auto"/>
              </w:rPr>
            </w:pPr>
          </w:p>
        </w:tc>
        <w:tc>
          <w:tcPr>
            <w:tcW w:w="840" w:type="dxa"/>
            <w:vAlign w:val="bottom"/>
          </w:tcPr>
          <w:p>
            <w:pPr>
              <w:jc w:val="right"/>
              <w:ind w:right="68"/>
              <w:spacing w:after="0"/>
              <w:rPr>
                <w:sz w:val="20"/>
                <w:szCs w:val="20"/>
                <w:color w:val="auto"/>
              </w:rPr>
            </w:pPr>
            <w:r>
              <w:rPr>
                <w:rFonts w:ascii="Arial" w:cs="Arial" w:eastAsia="Arial" w:hAnsi="Arial"/>
                <w:sz w:val="14"/>
                <w:szCs w:val="14"/>
                <w:color w:val="auto"/>
              </w:rPr>
              <w:t>1,290</w:t>
            </w:r>
          </w:p>
        </w:tc>
        <w:tc>
          <w:tcPr>
            <w:tcW w:w="0" w:type="dxa"/>
            <w:vAlign w:val="bottom"/>
          </w:tcPr>
          <w:p>
            <w:pPr>
              <w:spacing w:after="0"/>
              <w:rPr>
                <w:sz w:val="1"/>
                <w:szCs w:val="1"/>
                <w:color w:val="auto"/>
              </w:rPr>
            </w:pPr>
          </w:p>
        </w:tc>
      </w:tr>
      <w:tr>
        <w:trPr>
          <w:trHeight w:val="216"/>
        </w:trPr>
        <w:tc>
          <w:tcPr>
            <w:tcW w:w="4280" w:type="dxa"/>
            <w:vAlign w:val="bottom"/>
          </w:tcPr>
          <w:p>
            <w:pPr>
              <w:ind w:left="20"/>
              <w:spacing w:after="0"/>
              <w:rPr>
                <w:sz w:val="20"/>
                <w:szCs w:val="20"/>
                <w:color w:val="auto"/>
              </w:rPr>
            </w:pPr>
            <w:r>
              <w:rPr>
                <w:rFonts w:ascii="Arial" w:cs="Arial" w:eastAsia="Arial" w:hAnsi="Arial"/>
                <w:sz w:val="14"/>
                <w:szCs w:val="14"/>
                <w:color w:val="auto"/>
              </w:rPr>
              <w:t>Other long-term liabilities</w:t>
            </w: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jc w:val="right"/>
              <w:ind w:right="229"/>
              <w:spacing w:after="0"/>
              <w:rPr>
                <w:sz w:val="20"/>
                <w:szCs w:val="20"/>
                <w:color w:val="auto"/>
              </w:rPr>
            </w:pPr>
            <w:r>
              <w:rPr>
                <w:rFonts w:ascii="Arial" w:cs="Arial" w:eastAsia="Arial" w:hAnsi="Arial"/>
                <w:sz w:val="14"/>
                <w:szCs w:val="14"/>
                <w:color w:val="auto"/>
              </w:rPr>
              <w:t>635</w:t>
            </w:r>
          </w:p>
        </w:tc>
        <w:tc>
          <w:tcPr>
            <w:tcW w:w="520" w:type="dxa"/>
            <w:vAlign w:val="bottom"/>
          </w:tcPr>
          <w:p>
            <w:pPr>
              <w:spacing w:after="0"/>
              <w:rPr>
                <w:sz w:val="18"/>
                <w:szCs w:val="18"/>
                <w:color w:val="auto"/>
              </w:rPr>
            </w:pPr>
          </w:p>
        </w:tc>
        <w:tc>
          <w:tcPr>
            <w:tcW w:w="840" w:type="dxa"/>
            <w:vAlign w:val="bottom"/>
          </w:tcPr>
          <w:p>
            <w:pPr>
              <w:jc w:val="right"/>
              <w:ind w:right="68"/>
              <w:spacing w:after="0"/>
              <w:rPr>
                <w:sz w:val="20"/>
                <w:szCs w:val="20"/>
                <w:color w:val="auto"/>
              </w:rPr>
            </w:pPr>
            <w:r>
              <w:rPr>
                <w:rFonts w:ascii="Arial" w:cs="Arial" w:eastAsia="Arial" w:hAnsi="Arial"/>
                <w:sz w:val="14"/>
                <w:szCs w:val="14"/>
                <w:color w:val="auto"/>
              </w:rPr>
              <w:t>517</w:t>
            </w:r>
          </w:p>
        </w:tc>
        <w:tc>
          <w:tcPr>
            <w:tcW w:w="0" w:type="dxa"/>
            <w:vAlign w:val="bottom"/>
          </w:tcPr>
          <w:p>
            <w:pPr>
              <w:spacing w:after="0"/>
              <w:rPr>
                <w:sz w:val="1"/>
                <w:szCs w:val="1"/>
                <w:color w:val="auto"/>
              </w:rPr>
            </w:pPr>
          </w:p>
        </w:tc>
      </w:tr>
      <w:tr>
        <w:trPr>
          <w:trHeight w:val="219"/>
        </w:trPr>
        <w:tc>
          <w:tcPr>
            <w:tcW w:w="4280" w:type="dxa"/>
            <w:vAlign w:val="bottom"/>
          </w:tcPr>
          <w:p>
            <w:pPr>
              <w:ind w:left="20"/>
              <w:spacing w:after="0"/>
              <w:rPr>
                <w:sz w:val="20"/>
                <w:szCs w:val="20"/>
                <w:color w:val="auto"/>
              </w:rPr>
            </w:pPr>
            <w:r>
              <w:rPr>
                <w:rFonts w:ascii="Arial" w:cs="Arial" w:eastAsia="Arial" w:hAnsi="Arial"/>
                <w:sz w:val="14"/>
                <w:szCs w:val="14"/>
                <w:color w:val="auto"/>
              </w:rPr>
              <w:t>Shareholders' equity</w:t>
            </w:r>
          </w:p>
        </w:tc>
        <w:tc>
          <w:tcPr>
            <w:tcW w:w="10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229"/>
              <w:spacing w:after="0"/>
              <w:rPr>
                <w:sz w:val="20"/>
                <w:szCs w:val="20"/>
                <w:color w:val="auto"/>
              </w:rPr>
            </w:pPr>
            <w:r>
              <w:rPr>
                <w:rFonts w:ascii="Arial" w:cs="Arial" w:eastAsia="Arial" w:hAnsi="Arial"/>
                <w:sz w:val="14"/>
                <w:szCs w:val="14"/>
                <w:color w:val="auto"/>
              </w:rPr>
              <w:t>7,969</w:t>
            </w:r>
          </w:p>
        </w:tc>
        <w:tc>
          <w:tcPr>
            <w:tcW w:w="5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8,339</w:t>
            </w:r>
          </w:p>
        </w:tc>
        <w:tc>
          <w:tcPr>
            <w:tcW w:w="0" w:type="dxa"/>
            <w:vAlign w:val="bottom"/>
          </w:tcPr>
          <w:p>
            <w:pPr>
              <w:spacing w:after="0"/>
              <w:rPr>
                <w:sz w:val="1"/>
                <w:szCs w:val="1"/>
                <w:color w:val="auto"/>
              </w:rPr>
            </w:pPr>
          </w:p>
        </w:tc>
      </w:tr>
      <w:tr>
        <w:trPr>
          <w:trHeight w:val="227"/>
        </w:trPr>
        <w:tc>
          <w:tcPr>
            <w:tcW w:w="4280" w:type="dxa"/>
            <w:vAlign w:val="bottom"/>
            <w:tcBorders>
              <w:bottom w:val="single" w:sz="8" w:color="auto"/>
            </w:tcBorders>
          </w:tcPr>
          <w:p>
            <w:pPr>
              <w:ind w:left="200"/>
              <w:spacing w:after="0"/>
              <w:rPr>
                <w:sz w:val="20"/>
                <w:szCs w:val="20"/>
                <w:color w:val="auto"/>
              </w:rPr>
            </w:pPr>
            <w:r>
              <w:rPr>
                <w:rFonts w:ascii="Arial" w:cs="Arial" w:eastAsia="Arial" w:hAnsi="Arial"/>
                <w:sz w:val="14"/>
                <w:szCs w:val="14"/>
                <w:color w:val="auto"/>
              </w:rPr>
              <w:t>Total liabilities and shareholders' equity</w:t>
            </w:r>
          </w:p>
        </w:tc>
        <w:tc>
          <w:tcPr>
            <w:tcW w:w="11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ind w:right="229"/>
              <w:spacing w:after="0"/>
              <w:rPr>
                <w:sz w:val="20"/>
                <w:szCs w:val="20"/>
                <w:color w:val="auto"/>
              </w:rPr>
            </w:pPr>
            <w:r>
              <w:rPr>
                <w:rFonts w:ascii="Arial" w:cs="Arial" w:eastAsia="Arial" w:hAnsi="Arial"/>
                <w:sz w:val="14"/>
                <w:szCs w:val="14"/>
                <w:color w:val="auto"/>
              </w:rPr>
              <w:t>13,320</w:t>
            </w:r>
          </w:p>
        </w:tc>
        <w:tc>
          <w:tcPr>
            <w:tcW w:w="520" w:type="dxa"/>
            <w:vAlign w:val="bottom"/>
            <w:tcBorders>
              <w:bottom w:val="single" w:sz="8" w:color="auto"/>
            </w:tcBorders>
          </w:tcPr>
          <w:p>
            <w:pPr>
              <w:jc w:val="right"/>
              <w:ind w:right="70"/>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12,198</w:t>
            </w:r>
          </w:p>
        </w:tc>
        <w:tc>
          <w:tcPr>
            <w:tcW w:w="0" w:type="dxa"/>
            <w:vAlign w:val="bottom"/>
          </w:tcPr>
          <w:p>
            <w:pPr>
              <w:spacing w:after="0"/>
              <w:rPr>
                <w:sz w:val="1"/>
                <w:szCs w:val="1"/>
                <w:color w:val="auto"/>
              </w:rPr>
            </w:pPr>
          </w:p>
        </w:tc>
      </w:tr>
    </w:tbl>
    <w:p>
      <w:pPr>
        <w:spacing w:after="0" w:line="16" w:lineRule="exact"/>
        <w:rPr>
          <w:sz w:val="20"/>
          <w:szCs w:val="20"/>
          <w:color w:val="auto"/>
        </w:rPr>
      </w:pPr>
    </w:p>
    <w:p>
      <w:pPr>
        <w:ind w:left="1760"/>
        <w:spacing w:after="0"/>
        <w:rPr>
          <w:sz w:val="20"/>
          <w:szCs w:val="20"/>
          <w:color w:val="auto"/>
        </w:rPr>
      </w:pPr>
      <w:r>
        <w:rPr>
          <w:rFonts w:ascii="Arial" w:cs="Arial" w:eastAsia="Arial" w:hAnsi="Arial"/>
          <w:sz w:val="13"/>
          <w:szCs w:val="13"/>
          <w:i w:val="1"/>
          <w:iCs w:val="1"/>
          <w:color w:val="auto"/>
        </w:rPr>
        <w:t>See Notes to Condensed Financial Information of Parent (Sempra Energy).</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4"/>
          <w:szCs w:val="14"/>
          <w:color w:val="auto"/>
        </w:rPr>
        <w:t>39</w:t>
      </w:r>
    </w:p>
    <w:p>
      <w:pPr>
        <w:sectPr>
          <w:pgSz w:w="11900" w:h="16838" w:orient="portrait"/>
          <w:cols w:equalWidth="0" w:num="1">
            <w:col w:w="10219"/>
          </w:cols>
          <w:pgMar w:left="240" w:top="472" w:right="1440" w:bottom="1440" w:gutter="0" w:footer="0" w:header="0"/>
        </w:sectPr>
      </w:pPr>
    </w:p>
    <w:bookmarkStart w:id="39" w:name="page40"/>
    <w:bookmarkEnd w:id="39"/>
    <w:p>
      <w:pPr>
        <w:ind w:left="1740"/>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1256030</wp:posOffset>
            </wp:positionH>
            <wp:positionV relativeFrom="page">
              <wp:posOffset>226060</wp:posOffset>
            </wp:positionV>
            <wp:extent cx="5057140" cy="36639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057140" cy="366395"/>
                    </a:xfrm>
                    <a:prstGeom prst="rect">
                      <a:avLst/>
                    </a:prstGeom>
                    <a:noFill/>
                  </pic:spPr>
                </pic:pic>
              </a:graphicData>
            </a:graphic>
          </wp:anchor>
        </w:drawing>
        <w:t>SEMPRA ENERGY</w:t>
      </w:r>
    </w:p>
    <w:p>
      <w:pPr>
        <w:spacing w:after="0" w:line="31" w:lineRule="exact"/>
        <w:rPr>
          <w:sz w:val="20"/>
          <w:szCs w:val="20"/>
          <w:color w:val="auto"/>
        </w:rPr>
      </w:pPr>
    </w:p>
    <w:p>
      <w:pPr>
        <w:ind w:left="1740"/>
        <w:spacing w:after="0"/>
        <w:rPr>
          <w:sz w:val="20"/>
          <w:szCs w:val="20"/>
          <w:color w:val="auto"/>
        </w:rPr>
      </w:pPr>
      <w:r>
        <w:rPr>
          <w:rFonts w:ascii="Arial" w:cs="Arial" w:eastAsia="Arial" w:hAnsi="Arial"/>
          <w:sz w:val="14"/>
          <w:szCs w:val="14"/>
          <w:b w:val="1"/>
          <w:bCs w:val="1"/>
          <w:color w:val="auto"/>
        </w:rPr>
        <w:t>CONDENSED STATEMENTS OF CASH FLOWS</w:t>
      </w:r>
    </w:p>
    <w:p>
      <w:pPr>
        <w:spacing w:after="0" w:line="40" w:lineRule="exact"/>
        <w:rPr>
          <w:sz w:val="20"/>
          <w:szCs w:val="20"/>
          <w:color w:val="auto"/>
        </w:rPr>
      </w:pPr>
    </w:p>
    <w:p>
      <w:pPr>
        <w:ind w:left="1740"/>
        <w:spacing w:after="0"/>
        <w:rPr>
          <w:sz w:val="20"/>
          <w:szCs w:val="20"/>
          <w:color w:val="auto"/>
        </w:rPr>
      </w:pPr>
      <w:r>
        <w:rPr>
          <w:rFonts w:ascii="Arial" w:cs="Arial" w:eastAsia="Arial" w:hAnsi="Arial"/>
          <w:sz w:val="13"/>
          <w:szCs w:val="13"/>
          <w:i w:val="1"/>
          <w:iCs w:val="1"/>
          <w:color w:val="auto"/>
        </w:rPr>
        <w:t>(Dollars in millions)</w:t>
      </w:r>
    </w:p>
    <w:p>
      <w:pPr>
        <w:spacing w:after="0" w:line="67" w:lineRule="exact"/>
        <w:rPr>
          <w:sz w:val="20"/>
          <w:szCs w:val="20"/>
          <w:color w:val="auto"/>
        </w:rPr>
      </w:pPr>
    </w:p>
    <w:tbl>
      <w:tblPr>
        <w:tblLayout w:type="fixed"/>
        <w:tblInd w:w="1740" w:type="dxa"/>
        <w:tblCellMar>
          <w:top w:w="0" w:type="dxa"/>
          <w:left w:w="0" w:type="dxa"/>
          <w:bottom w:w="0" w:type="dxa"/>
          <w:right w:w="0" w:type="dxa"/>
        </w:tblCellMar>
      </w:tblPr>
      <w:tr>
        <w:trPr>
          <w:trHeight w:val="159"/>
        </w:trPr>
        <w:tc>
          <w:tcPr>
            <w:tcW w:w="456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164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color w:val="auto"/>
                <w:w w:val="99"/>
              </w:rPr>
              <w:t>Years ended December 31,</w:t>
            </w:r>
          </w:p>
        </w:tc>
        <w:tc>
          <w:tcPr>
            <w:tcW w:w="2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r>
      <w:tr>
        <w:trPr>
          <w:trHeight w:val="208"/>
        </w:trPr>
        <w:tc>
          <w:tcPr>
            <w:tcW w:w="45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192"/>
              <w:spacing w:after="0"/>
              <w:rPr>
                <w:sz w:val="20"/>
                <w:szCs w:val="20"/>
                <w:color w:val="auto"/>
              </w:rPr>
            </w:pPr>
            <w:r>
              <w:rPr>
                <w:rFonts w:ascii="Arial" w:cs="Arial" w:eastAsia="Arial" w:hAnsi="Arial"/>
                <w:sz w:val="13"/>
                <w:szCs w:val="13"/>
                <w:color w:val="auto"/>
              </w:rPr>
              <w:t>2008</w:t>
            </w:r>
          </w:p>
        </w:tc>
        <w:tc>
          <w:tcPr>
            <w:tcW w:w="6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552"/>
              <w:spacing w:after="0"/>
              <w:rPr>
                <w:sz w:val="20"/>
                <w:szCs w:val="20"/>
                <w:color w:val="auto"/>
              </w:rPr>
            </w:pPr>
            <w:r>
              <w:rPr>
                <w:rFonts w:ascii="Arial" w:cs="Arial" w:eastAsia="Arial" w:hAnsi="Arial"/>
                <w:sz w:val="13"/>
                <w:szCs w:val="13"/>
                <w:color w:val="auto"/>
              </w:rPr>
              <w:t>2007</w:t>
            </w:r>
          </w:p>
        </w:tc>
        <w:tc>
          <w:tcPr>
            <w:tcW w:w="2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232"/>
              <w:spacing w:after="0"/>
              <w:rPr>
                <w:sz w:val="20"/>
                <w:szCs w:val="20"/>
                <w:color w:val="auto"/>
              </w:rPr>
            </w:pPr>
            <w:r>
              <w:rPr>
                <w:rFonts w:ascii="Arial" w:cs="Arial" w:eastAsia="Arial" w:hAnsi="Arial"/>
                <w:sz w:val="13"/>
                <w:szCs w:val="13"/>
                <w:color w:val="auto"/>
              </w:rPr>
              <w:t>2006</w:t>
            </w:r>
          </w:p>
        </w:tc>
      </w:tr>
      <w:tr>
        <w:trPr>
          <w:trHeight w:val="429"/>
        </w:trPr>
        <w:tc>
          <w:tcPr>
            <w:tcW w:w="4560" w:type="dxa"/>
            <w:vAlign w:val="bottom"/>
          </w:tcPr>
          <w:p>
            <w:pPr>
              <w:spacing w:after="0"/>
              <w:rPr>
                <w:sz w:val="20"/>
                <w:szCs w:val="20"/>
                <w:color w:val="auto"/>
              </w:rPr>
            </w:pPr>
            <w:r>
              <w:rPr>
                <w:rFonts w:ascii="Arial" w:cs="Arial" w:eastAsia="Arial" w:hAnsi="Arial"/>
                <w:sz w:val="14"/>
                <w:szCs w:val="14"/>
                <w:color w:val="auto"/>
              </w:rPr>
              <w:t>Net cash provided by operating activities</w:t>
            </w:r>
          </w:p>
        </w:tc>
        <w:tc>
          <w:tcPr>
            <w:tcW w:w="2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w w:val="76"/>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173</w:t>
            </w:r>
          </w:p>
        </w:tc>
        <w:tc>
          <w:tcPr>
            <w:tcW w:w="64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color w:val="auto"/>
              </w:rPr>
              <w:t>240</w:t>
            </w: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color w:val="auto"/>
              </w:rPr>
              <w:t>322</w:t>
            </w:r>
          </w:p>
        </w:tc>
      </w:tr>
    </w:tbl>
    <w:p>
      <w:pPr>
        <w:spacing w:after="0" w:line="200" w:lineRule="exact"/>
        <w:rPr>
          <w:sz w:val="20"/>
          <w:szCs w:val="20"/>
          <w:color w:val="auto"/>
        </w:rPr>
      </w:pPr>
    </w:p>
    <w:p>
      <w:pPr>
        <w:sectPr>
          <w:pgSz w:w="11900" w:h="16838" w:orient="portrait"/>
          <w:cols w:equalWidth="0" w:num="1">
            <w:col w:w="10219"/>
          </w:cols>
          <w:pgMar w:left="240" w:top="364" w:right="1440" w:bottom="1440" w:gutter="0" w:footer="0" w:header="0"/>
        </w:sectPr>
      </w:pPr>
    </w:p>
    <w:p>
      <w:pPr>
        <w:spacing w:after="0" w:line="54" w:lineRule="exact"/>
        <w:rPr>
          <w:sz w:val="20"/>
          <w:szCs w:val="20"/>
          <w:color w:val="auto"/>
        </w:rPr>
      </w:pPr>
    </w:p>
    <w:p>
      <w:pPr>
        <w:ind w:left="1740"/>
        <w:spacing w:after="0"/>
        <w:rPr>
          <w:sz w:val="20"/>
          <w:szCs w:val="20"/>
          <w:color w:val="auto"/>
        </w:rPr>
      </w:pPr>
      <w:r>
        <w:rPr>
          <w:rFonts w:ascii="Arial" w:cs="Arial" w:eastAsia="Arial" w:hAnsi="Arial"/>
          <w:sz w:val="14"/>
          <w:szCs w:val="14"/>
          <w:color w:val="auto"/>
        </w:rPr>
        <w:t>Dividends received from subsidiaries</w:t>
      </w:r>
    </w:p>
    <w:p>
      <w:pPr>
        <w:spacing w:after="0" w:line="55" w:lineRule="exact"/>
        <w:rPr>
          <w:sz w:val="20"/>
          <w:szCs w:val="20"/>
          <w:color w:val="auto"/>
        </w:rPr>
      </w:pPr>
    </w:p>
    <w:p>
      <w:pPr>
        <w:ind w:left="1740"/>
        <w:spacing w:after="0"/>
        <w:rPr>
          <w:sz w:val="20"/>
          <w:szCs w:val="20"/>
          <w:color w:val="auto"/>
        </w:rPr>
      </w:pPr>
      <w:r>
        <w:rPr>
          <w:rFonts w:ascii="Arial" w:cs="Arial" w:eastAsia="Arial" w:hAnsi="Arial"/>
          <w:sz w:val="14"/>
          <w:szCs w:val="14"/>
          <w:color w:val="auto"/>
        </w:rPr>
        <w:t>Expenditures for property, plant and equipment</w:t>
      </w:r>
    </w:p>
    <w:p>
      <w:pPr>
        <w:spacing w:after="0" w:line="55" w:lineRule="exact"/>
        <w:rPr>
          <w:sz w:val="20"/>
          <w:szCs w:val="20"/>
          <w:color w:val="auto"/>
        </w:rPr>
      </w:pPr>
    </w:p>
    <w:p>
      <w:pPr>
        <w:ind w:left="1740"/>
        <w:spacing w:after="0"/>
        <w:rPr>
          <w:sz w:val="20"/>
          <w:szCs w:val="20"/>
          <w:color w:val="auto"/>
        </w:rPr>
      </w:pPr>
      <w:r>
        <w:rPr>
          <w:rFonts w:ascii="Arial" w:cs="Arial" w:eastAsia="Arial" w:hAnsi="Arial"/>
          <w:sz w:val="14"/>
          <w:szCs w:val="14"/>
          <w:color w:val="auto"/>
        </w:rPr>
        <w:t>Expenditures for short-term investments</w:t>
      </w:r>
    </w:p>
    <w:p>
      <w:pPr>
        <w:spacing w:after="0" w:line="55" w:lineRule="exact"/>
        <w:rPr>
          <w:sz w:val="20"/>
          <w:szCs w:val="20"/>
          <w:color w:val="auto"/>
        </w:rPr>
      </w:pPr>
    </w:p>
    <w:p>
      <w:pPr>
        <w:ind w:left="1740"/>
        <w:spacing w:after="0"/>
        <w:rPr>
          <w:sz w:val="20"/>
          <w:szCs w:val="20"/>
          <w:color w:val="auto"/>
        </w:rPr>
      </w:pPr>
      <w:r>
        <w:rPr>
          <w:rFonts w:ascii="Arial" w:cs="Arial" w:eastAsia="Arial" w:hAnsi="Arial"/>
          <w:sz w:val="14"/>
          <w:szCs w:val="14"/>
          <w:color w:val="auto"/>
        </w:rPr>
        <w:t>Proceeds from sale of short-term investments</w:t>
      </w:r>
    </w:p>
    <w:p>
      <w:pPr>
        <w:spacing w:after="0" w:line="55" w:lineRule="exact"/>
        <w:rPr>
          <w:sz w:val="20"/>
          <w:szCs w:val="20"/>
          <w:color w:val="auto"/>
        </w:rPr>
      </w:pPr>
    </w:p>
    <w:p>
      <w:pPr>
        <w:ind w:left="1740"/>
        <w:spacing w:after="0"/>
        <w:rPr>
          <w:sz w:val="20"/>
          <w:szCs w:val="20"/>
          <w:color w:val="auto"/>
        </w:rPr>
      </w:pPr>
      <w:r>
        <w:rPr>
          <w:rFonts w:ascii="Arial" w:cs="Arial" w:eastAsia="Arial" w:hAnsi="Arial"/>
          <w:sz w:val="14"/>
          <w:szCs w:val="14"/>
          <w:color w:val="auto"/>
        </w:rPr>
        <w:t>Increase in investments and other assets</w:t>
      </w:r>
    </w:p>
    <w:p>
      <w:pPr>
        <w:spacing w:after="0" w:line="55" w:lineRule="exact"/>
        <w:rPr>
          <w:sz w:val="20"/>
          <w:szCs w:val="20"/>
          <w:color w:val="auto"/>
        </w:rPr>
      </w:pPr>
    </w:p>
    <w:p>
      <w:pPr>
        <w:ind w:left="1740"/>
        <w:spacing w:after="0"/>
        <w:rPr>
          <w:sz w:val="20"/>
          <w:szCs w:val="20"/>
          <w:color w:val="auto"/>
        </w:rPr>
      </w:pPr>
      <w:r>
        <w:rPr>
          <w:rFonts w:ascii="Arial" w:cs="Arial" w:eastAsia="Arial" w:hAnsi="Arial"/>
          <w:sz w:val="14"/>
          <w:szCs w:val="14"/>
          <w:color w:val="auto"/>
        </w:rPr>
        <w:t>Purchase of trust assets</w:t>
      </w:r>
    </w:p>
    <w:p>
      <w:pPr>
        <w:spacing w:after="0" w:line="55" w:lineRule="exact"/>
        <w:rPr>
          <w:sz w:val="20"/>
          <w:szCs w:val="20"/>
          <w:color w:val="auto"/>
        </w:rPr>
      </w:pPr>
    </w:p>
    <w:p>
      <w:pPr>
        <w:ind w:left="1740"/>
        <w:spacing w:after="0"/>
        <w:rPr>
          <w:sz w:val="20"/>
          <w:szCs w:val="20"/>
          <w:color w:val="auto"/>
        </w:rPr>
      </w:pPr>
      <w:r>
        <w:rPr>
          <w:rFonts w:ascii="Arial" w:cs="Arial" w:eastAsia="Arial" w:hAnsi="Arial"/>
          <w:sz w:val="14"/>
          <w:szCs w:val="14"/>
          <w:color w:val="auto"/>
        </w:rPr>
        <w:t>Proceeds from sales by trust</w:t>
      </w:r>
    </w:p>
    <w:p>
      <w:pPr>
        <w:spacing w:after="0" w:line="67" w:lineRule="exact"/>
        <w:rPr>
          <w:sz w:val="20"/>
          <w:szCs w:val="20"/>
          <w:color w:val="auto"/>
        </w:rPr>
      </w:pPr>
    </w:p>
    <w:p>
      <w:pPr>
        <w:ind w:left="1740"/>
        <w:spacing w:after="0"/>
        <w:rPr>
          <w:sz w:val="20"/>
          <w:szCs w:val="20"/>
          <w:color w:val="auto"/>
        </w:rPr>
      </w:pPr>
      <w:r>
        <w:rPr>
          <w:rFonts w:ascii="Arial" w:cs="Arial" w:eastAsia="Arial" w:hAnsi="Arial"/>
          <w:sz w:val="14"/>
          <w:szCs w:val="14"/>
          <w:color w:val="auto"/>
        </w:rPr>
        <w:t>Decrease (increase) in loans to affiliates, net</w:t>
      </w:r>
    </w:p>
    <w:p>
      <w:pPr>
        <w:spacing w:after="0" w:line="67" w:lineRule="exact"/>
        <w:rPr>
          <w:sz w:val="20"/>
          <w:szCs w:val="20"/>
          <w:color w:val="auto"/>
        </w:rPr>
      </w:pPr>
    </w:p>
    <w:p>
      <w:pPr>
        <w:ind w:left="1900"/>
        <w:spacing w:after="0"/>
        <w:rPr>
          <w:sz w:val="20"/>
          <w:szCs w:val="20"/>
          <w:color w:val="auto"/>
        </w:rPr>
      </w:pPr>
      <w:r>
        <w:rPr>
          <w:rFonts w:ascii="Arial" w:cs="Arial" w:eastAsia="Arial" w:hAnsi="Arial"/>
          <w:sz w:val="14"/>
          <w:szCs w:val="14"/>
          <w:color w:val="auto"/>
        </w:rPr>
        <w:t>Cash provided by (used in) investing activities</w:t>
      </w:r>
    </w:p>
    <w:p>
      <w:pPr>
        <w:spacing w:after="0" w:line="20" w:lineRule="exact"/>
        <w:rPr>
          <w:sz w:val="20"/>
          <w:szCs w:val="20"/>
          <w:color w:val="auto"/>
        </w:rPr>
      </w:pPr>
      <w:r>
        <w:rPr>
          <w:sz w:val="20"/>
          <w:szCs w:val="20"/>
          <w:color w:val="auto"/>
        </w:rPr>
        <w:br w:type="column"/>
      </w:r>
    </w:p>
    <w:p>
      <w:pPr>
        <w:spacing w:after="0" w:line="3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2"/>
        </w:trPr>
        <w:tc>
          <w:tcPr>
            <w:tcW w:w="1360" w:type="dxa"/>
            <w:vAlign w:val="bottom"/>
          </w:tcPr>
          <w:p>
            <w:pPr>
              <w:jc w:val="right"/>
              <w:ind w:right="468"/>
              <w:spacing w:after="0"/>
              <w:rPr>
                <w:sz w:val="20"/>
                <w:szCs w:val="20"/>
                <w:color w:val="auto"/>
              </w:rPr>
            </w:pPr>
            <w:r>
              <w:rPr>
                <w:rFonts w:ascii="Arial" w:cs="Arial" w:eastAsia="Arial" w:hAnsi="Arial"/>
                <w:sz w:val="14"/>
                <w:szCs w:val="14"/>
                <w:color w:val="auto"/>
              </w:rPr>
              <w:t>350</w:t>
            </w:r>
          </w:p>
        </w:tc>
        <w:tc>
          <w:tcPr>
            <w:tcW w:w="1200" w:type="dxa"/>
            <w:vAlign w:val="bottom"/>
          </w:tcPr>
          <w:p>
            <w:pPr>
              <w:jc w:val="right"/>
              <w:ind w:right="428"/>
              <w:spacing w:after="0"/>
              <w:rPr>
                <w:sz w:val="20"/>
                <w:szCs w:val="20"/>
                <w:color w:val="auto"/>
              </w:rPr>
            </w:pPr>
            <w:r>
              <w:rPr>
                <w:rFonts w:ascii="Arial" w:cs="Arial" w:eastAsia="Arial" w:hAnsi="Arial"/>
                <w:sz w:val="14"/>
                <w:szCs w:val="14"/>
                <w:color w:val="auto"/>
              </w:rPr>
              <w:t>150</w:t>
            </w: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150</w:t>
            </w:r>
          </w:p>
        </w:tc>
      </w:tr>
      <w:tr>
        <w:trPr>
          <w:trHeight w:val="216"/>
        </w:trPr>
        <w:tc>
          <w:tcPr>
            <w:tcW w:w="1360" w:type="dxa"/>
            <w:vAlign w:val="bottom"/>
          </w:tcPr>
          <w:p>
            <w:pPr>
              <w:jc w:val="right"/>
              <w:ind w:right="388"/>
              <w:spacing w:after="0"/>
              <w:rPr>
                <w:sz w:val="20"/>
                <w:szCs w:val="20"/>
                <w:color w:val="auto"/>
              </w:rPr>
            </w:pPr>
            <w:r>
              <w:rPr>
                <w:rFonts w:ascii="Arial" w:cs="Arial" w:eastAsia="Arial" w:hAnsi="Arial"/>
                <w:sz w:val="14"/>
                <w:szCs w:val="14"/>
                <w:color w:val="auto"/>
              </w:rPr>
              <w:t>(4 )</w:t>
            </w:r>
          </w:p>
        </w:tc>
        <w:tc>
          <w:tcPr>
            <w:tcW w:w="1200" w:type="dxa"/>
            <w:vAlign w:val="bottom"/>
          </w:tcPr>
          <w:p>
            <w:pPr>
              <w:jc w:val="right"/>
              <w:ind w:right="348"/>
              <w:spacing w:after="0"/>
              <w:rPr>
                <w:sz w:val="20"/>
                <w:szCs w:val="20"/>
                <w:color w:val="auto"/>
              </w:rPr>
            </w:pPr>
            <w:r>
              <w:rPr>
                <w:rFonts w:ascii="Arial" w:cs="Arial" w:eastAsia="Arial" w:hAnsi="Arial"/>
                <w:sz w:val="14"/>
                <w:szCs w:val="14"/>
                <w:color w:val="auto"/>
              </w:rPr>
              <w:t>(13 )</w:t>
            </w:r>
          </w:p>
        </w:tc>
        <w:tc>
          <w:tcPr>
            <w:tcW w:w="840" w:type="dxa"/>
            <w:vAlign w:val="bottom"/>
          </w:tcPr>
          <w:p>
            <w:pPr>
              <w:jc w:val="right"/>
              <w:spacing w:after="0"/>
              <w:rPr>
                <w:sz w:val="20"/>
                <w:szCs w:val="20"/>
                <w:color w:val="auto"/>
              </w:rPr>
            </w:pPr>
            <w:r>
              <w:rPr>
                <w:rFonts w:ascii="Arial" w:cs="Arial" w:eastAsia="Arial" w:hAnsi="Arial"/>
                <w:sz w:val="14"/>
                <w:szCs w:val="14"/>
                <w:color w:val="auto"/>
              </w:rPr>
              <w:t>(19 )</w:t>
            </w:r>
          </w:p>
        </w:tc>
      </w:tr>
      <w:tr>
        <w:trPr>
          <w:trHeight w:val="216"/>
        </w:trPr>
        <w:tc>
          <w:tcPr>
            <w:tcW w:w="1360" w:type="dxa"/>
            <w:vAlign w:val="bottom"/>
          </w:tcPr>
          <w:p>
            <w:pPr>
              <w:jc w:val="right"/>
              <w:ind w:right="388"/>
              <w:spacing w:after="0"/>
              <w:rPr>
                <w:sz w:val="20"/>
                <w:szCs w:val="20"/>
                <w:color w:val="auto"/>
              </w:rPr>
            </w:pPr>
            <w:r>
              <w:rPr>
                <w:rFonts w:ascii="Arial" w:cs="Arial" w:eastAsia="Arial" w:hAnsi="Arial"/>
                <w:sz w:val="14"/>
                <w:szCs w:val="14"/>
                <w:color w:val="auto"/>
              </w:rPr>
              <w:t>(640 )</w:t>
            </w:r>
          </w:p>
        </w:tc>
        <w:tc>
          <w:tcPr>
            <w:tcW w:w="1200" w:type="dxa"/>
            <w:vAlign w:val="bottom"/>
          </w:tcPr>
          <w:p>
            <w:pPr>
              <w:jc w:val="right"/>
              <w:ind w:right="428"/>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w:t>
            </w:r>
          </w:p>
        </w:tc>
      </w:tr>
      <w:tr>
        <w:trPr>
          <w:trHeight w:val="216"/>
        </w:trPr>
        <w:tc>
          <w:tcPr>
            <w:tcW w:w="1360" w:type="dxa"/>
            <w:vAlign w:val="bottom"/>
          </w:tcPr>
          <w:p>
            <w:pPr>
              <w:jc w:val="right"/>
              <w:ind w:right="468"/>
              <w:spacing w:after="0"/>
              <w:rPr>
                <w:sz w:val="20"/>
                <w:szCs w:val="20"/>
                <w:color w:val="auto"/>
              </w:rPr>
            </w:pPr>
            <w:r>
              <w:rPr>
                <w:rFonts w:ascii="Arial" w:cs="Arial" w:eastAsia="Arial" w:hAnsi="Arial"/>
                <w:sz w:val="14"/>
                <w:szCs w:val="14"/>
                <w:color w:val="auto"/>
              </w:rPr>
              <w:t>488</w:t>
            </w:r>
          </w:p>
        </w:tc>
        <w:tc>
          <w:tcPr>
            <w:tcW w:w="1200" w:type="dxa"/>
            <w:vAlign w:val="bottom"/>
          </w:tcPr>
          <w:p>
            <w:pPr>
              <w:jc w:val="right"/>
              <w:ind w:right="428"/>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w:t>
            </w:r>
          </w:p>
        </w:tc>
      </w:tr>
      <w:tr>
        <w:trPr>
          <w:trHeight w:val="216"/>
        </w:trPr>
        <w:tc>
          <w:tcPr>
            <w:tcW w:w="1360" w:type="dxa"/>
            <w:vAlign w:val="bottom"/>
          </w:tcPr>
          <w:p>
            <w:pPr>
              <w:jc w:val="right"/>
              <w:ind w:right="388"/>
              <w:spacing w:after="0"/>
              <w:rPr>
                <w:sz w:val="20"/>
                <w:szCs w:val="20"/>
                <w:color w:val="auto"/>
              </w:rPr>
            </w:pPr>
            <w:r>
              <w:rPr>
                <w:rFonts w:ascii="Arial" w:cs="Arial" w:eastAsia="Arial" w:hAnsi="Arial"/>
                <w:sz w:val="14"/>
                <w:szCs w:val="14"/>
                <w:color w:val="auto"/>
              </w:rPr>
              <w:t>(8 )</w:t>
            </w:r>
          </w:p>
        </w:tc>
        <w:tc>
          <w:tcPr>
            <w:tcW w:w="1200" w:type="dxa"/>
            <w:vAlign w:val="bottom"/>
          </w:tcPr>
          <w:p>
            <w:pPr>
              <w:jc w:val="right"/>
              <w:ind w:right="348"/>
              <w:spacing w:after="0"/>
              <w:rPr>
                <w:sz w:val="20"/>
                <w:szCs w:val="20"/>
                <w:color w:val="auto"/>
              </w:rPr>
            </w:pPr>
            <w:r>
              <w:rPr>
                <w:rFonts w:ascii="Arial" w:cs="Arial" w:eastAsia="Arial" w:hAnsi="Arial"/>
                <w:sz w:val="14"/>
                <w:szCs w:val="14"/>
                <w:color w:val="auto"/>
              </w:rPr>
              <w:t>(4 )</w:t>
            </w:r>
          </w:p>
        </w:tc>
        <w:tc>
          <w:tcPr>
            <w:tcW w:w="840" w:type="dxa"/>
            <w:vAlign w:val="bottom"/>
          </w:tcPr>
          <w:p>
            <w:pPr>
              <w:jc w:val="right"/>
              <w:spacing w:after="0"/>
              <w:rPr>
                <w:sz w:val="20"/>
                <w:szCs w:val="20"/>
                <w:color w:val="auto"/>
              </w:rPr>
            </w:pPr>
            <w:r>
              <w:rPr>
                <w:rFonts w:ascii="Arial" w:cs="Arial" w:eastAsia="Arial" w:hAnsi="Arial"/>
                <w:sz w:val="14"/>
                <w:szCs w:val="14"/>
                <w:color w:val="auto"/>
              </w:rPr>
              <w:t>(207 )</w:t>
            </w:r>
          </w:p>
        </w:tc>
      </w:tr>
      <w:tr>
        <w:trPr>
          <w:trHeight w:val="216"/>
        </w:trPr>
        <w:tc>
          <w:tcPr>
            <w:tcW w:w="1360" w:type="dxa"/>
            <w:vAlign w:val="bottom"/>
          </w:tcPr>
          <w:p>
            <w:pPr>
              <w:jc w:val="right"/>
              <w:ind w:right="388"/>
              <w:spacing w:after="0"/>
              <w:rPr>
                <w:sz w:val="20"/>
                <w:szCs w:val="20"/>
                <w:color w:val="auto"/>
              </w:rPr>
            </w:pPr>
            <w:r>
              <w:rPr>
                <w:rFonts w:ascii="Arial" w:cs="Arial" w:eastAsia="Arial" w:hAnsi="Arial"/>
                <w:sz w:val="14"/>
                <w:szCs w:val="14"/>
                <w:color w:val="auto"/>
              </w:rPr>
              <w:t>(9 )</w:t>
            </w:r>
          </w:p>
        </w:tc>
        <w:tc>
          <w:tcPr>
            <w:tcW w:w="1200" w:type="dxa"/>
            <w:vAlign w:val="bottom"/>
          </w:tcPr>
          <w:p>
            <w:pPr>
              <w:jc w:val="right"/>
              <w:ind w:right="348"/>
              <w:spacing w:after="0"/>
              <w:rPr>
                <w:sz w:val="20"/>
                <w:szCs w:val="20"/>
                <w:color w:val="auto"/>
              </w:rPr>
            </w:pPr>
            <w:r>
              <w:rPr>
                <w:rFonts w:ascii="Arial" w:cs="Arial" w:eastAsia="Arial" w:hAnsi="Arial"/>
                <w:sz w:val="14"/>
                <w:szCs w:val="14"/>
                <w:color w:val="auto"/>
              </w:rPr>
              <w:t>(59 )</w:t>
            </w:r>
          </w:p>
        </w:tc>
        <w:tc>
          <w:tcPr>
            <w:tcW w:w="840" w:type="dxa"/>
            <w:vAlign w:val="bottom"/>
          </w:tcPr>
          <w:p>
            <w:pPr>
              <w:jc w:val="right"/>
              <w:spacing w:after="0"/>
              <w:rPr>
                <w:sz w:val="20"/>
                <w:szCs w:val="20"/>
                <w:color w:val="auto"/>
              </w:rPr>
            </w:pPr>
            <w:r>
              <w:rPr>
                <w:rFonts w:ascii="Arial" w:cs="Arial" w:eastAsia="Arial" w:hAnsi="Arial"/>
                <w:sz w:val="14"/>
                <w:szCs w:val="14"/>
                <w:color w:val="auto"/>
              </w:rPr>
              <w:t>(65 )</w:t>
            </w:r>
          </w:p>
        </w:tc>
      </w:tr>
      <w:tr>
        <w:trPr>
          <w:trHeight w:val="216"/>
        </w:trPr>
        <w:tc>
          <w:tcPr>
            <w:tcW w:w="1360" w:type="dxa"/>
            <w:vAlign w:val="bottom"/>
          </w:tcPr>
          <w:p>
            <w:pPr>
              <w:jc w:val="right"/>
              <w:ind w:right="468"/>
              <w:spacing w:after="0"/>
              <w:rPr>
                <w:sz w:val="20"/>
                <w:szCs w:val="20"/>
                <w:color w:val="auto"/>
              </w:rPr>
            </w:pPr>
            <w:r>
              <w:rPr>
                <w:rFonts w:ascii="Arial" w:cs="Arial" w:eastAsia="Arial" w:hAnsi="Arial"/>
                <w:sz w:val="14"/>
                <w:szCs w:val="14"/>
                <w:color w:val="auto"/>
              </w:rPr>
              <w:t>2</w:t>
            </w:r>
          </w:p>
        </w:tc>
        <w:tc>
          <w:tcPr>
            <w:tcW w:w="1200" w:type="dxa"/>
            <w:vAlign w:val="bottom"/>
          </w:tcPr>
          <w:p>
            <w:pPr>
              <w:jc w:val="right"/>
              <w:ind w:right="428"/>
              <w:spacing w:after="0"/>
              <w:rPr>
                <w:sz w:val="20"/>
                <w:szCs w:val="20"/>
                <w:color w:val="auto"/>
              </w:rPr>
            </w:pPr>
            <w:r>
              <w:rPr>
                <w:rFonts w:ascii="Arial" w:cs="Arial" w:eastAsia="Arial" w:hAnsi="Arial"/>
                <w:sz w:val="14"/>
                <w:szCs w:val="14"/>
                <w:color w:val="auto"/>
              </w:rPr>
              <w:t>21</w:t>
            </w: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19</w:t>
            </w:r>
          </w:p>
        </w:tc>
      </w:tr>
      <w:tr>
        <w:trPr>
          <w:trHeight w:val="219"/>
        </w:trPr>
        <w:tc>
          <w:tcPr>
            <w:tcW w:w="136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color w:val="auto"/>
              </w:rPr>
              <w:t>(149 )</w:t>
            </w:r>
          </w:p>
        </w:tc>
        <w:tc>
          <w:tcPr>
            <w:tcW w:w="120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color w:val="auto"/>
              </w:rPr>
              <w:t>532</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(23 )</w:t>
            </w:r>
          </w:p>
        </w:tc>
      </w:tr>
      <w:tr>
        <w:trPr>
          <w:trHeight w:val="208"/>
        </w:trPr>
        <w:tc>
          <w:tcPr>
            <w:tcW w:w="136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color w:val="auto"/>
              </w:rPr>
              <w:t>30</w:t>
            </w:r>
          </w:p>
        </w:tc>
        <w:tc>
          <w:tcPr>
            <w:tcW w:w="120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color w:val="auto"/>
              </w:rPr>
              <w:t>627</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(145 )</w:t>
            </w:r>
          </w:p>
        </w:tc>
      </w:tr>
    </w:tbl>
    <w:p>
      <w:pPr>
        <w:spacing w:after="0" w:line="200" w:lineRule="exact"/>
        <w:rPr>
          <w:sz w:val="20"/>
          <w:szCs w:val="20"/>
          <w:color w:val="auto"/>
        </w:rPr>
      </w:pPr>
    </w:p>
    <w:p>
      <w:pPr>
        <w:sectPr>
          <w:pgSz w:w="11900" w:h="16838" w:orient="portrait"/>
          <w:cols w:equalWidth="0" w:num="2">
            <w:col w:w="5580" w:space="720"/>
            <w:col w:w="3919"/>
          </w:cols>
          <w:pgMar w:left="240" w:top="364" w:right="1440" w:bottom="1440" w:gutter="0" w:footer="0" w:header="0"/>
          <w:type w:val="continuous"/>
        </w:sectPr>
      </w:pPr>
    </w:p>
    <w:p>
      <w:pPr>
        <w:spacing w:after="0" w:line="54" w:lineRule="exact"/>
        <w:rPr>
          <w:sz w:val="20"/>
          <w:szCs w:val="20"/>
          <w:color w:val="auto"/>
        </w:rPr>
      </w:pPr>
    </w:p>
    <w:p>
      <w:pPr>
        <w:ind w:left="1740"/>
        <w:spacing w:after="0"/>
        <w:rPr>
          <w:sz w:val="20"/>
          <w:szCs w:val="20"/>
          <w:color w:val="auto"/>
        </w:rPr>
      </w:pPr>
      <w:r>
        <w:rPr>
          <w:rFonts w:ascii="Arial" w:cs="Arial" w:eastAsia="Arial" w:hAnsi="Arial"/>
          <w:sz w:val="14"/>
          <w:szCs w:val="14"/>
          <w:color w:val="auto"/>
        </w:rPr>
        <w:t>Common stock dividends paid</w:t>
      </w:r>
    </w:p>
    <w:p>
      <w:pPr>
        <w:spacing w:after="0" w:line="55" w:lineRule="exact"/>
        <w:rPr>
          <w:sz w:val="20"/>
          <w:szCs w:val="20"/>
          <w:color w:val="auto"/>
        </w:rPr>
      </w:pPr>
    </w:p>
    <w:p>
      <w:pPr>
        <w:ind w:left="1740"/>
        <w:spacing w:after="0"/>
        <w:rPr>
          <w:sz w:val="20"/>
          <w:szCs w:val="20"/>
          <w:color w:val="auto"/>
        </w:rPr>
      </w:pPr>
      <w:r>
        <w:rPr>
          <w:rFonts w:ascii="Arial" w:cs="Arial" w:eastAsia="Arial" w:hAnsi="Arial"/>
          <w:sz w:val="14"/>
          <w:szCs w:val="14"/>
          <w:color w:val="auto"/>
        </w:rPr>
        <w:t>Issuances of common stock</w:t>
      </w:r>
    </w:p>
    <w:p>
      <w:pPr>
        <w:spacing w:after="0" w:line="55" w:lineRule="exact"/>
        <w:rPr>
          <w:sz w:val="20"/>
          <w:szCs w:val="20"/>
          <w:color w:val="auto"/>
        </w:rPr>
      </w:pPr>
    </w:p>
    <w:p>
      <w:pPr>
        <w:ind w:left="1740"/>
        <w:spacing w:after="0"/>
        <w:rPr>
          <w:sz w:val="20"/>
          <w:szCs w:val="20"/>
          <w:color w:val="auto"/>
        </w:rPr>
      </w:pPr>
      <w:r>
        <w:rPr>
          <w:rFonts w:ascii="Arial" w:cs="Arial" w:eastAsia="Arial" w:hAnsi="Arial"/>
          <w:sz w:val="14"/>
          <w:szCs w:val="14"/>
          <w:color w:val="auto"/>
        </w:rPr>
        <w:t>Repurchases of common stock</w:t>
      </w:r>
    </w:p>
    <w:p>
      <w:pPr>
        <w:spacing w:after="0" w:line="55" w:lineRule="exact"/>
        <w:rPr>
          <w:sz w:val="20"/>
          <w:szCs w:val="20"/>
          <w:color w:val="auto"/>
        </w:rPr>
      </w:pPr>
    </w:p>
    <w:p>
      <w:pPr>
        <w:ind w:left="1740"/>
        <w:spacing w:after="0"/>
        <w:rPr>
          <w:sz w:val="20"/>
          <w:szCs w:val="20"/>
          <w:color w:val="auto"/>
        </w:rPr>
      </w:pPr>
      <w:r>
        <w:rPr>
          <w:rFonts w:ascii="Arial" w:cs="Arial" w:eastAsia="Arial" w:hAnsi="Arial"/>
          <w:sz w:val="14"/>
          <w:szCs w:val="14"/>
          <w:color w:val="auto"/>
        </w:rPr>
        <w:t>Issuances of long-term debt</w:t>
      </w:r>
    </w:p>
    <w:p>
      <w:pPr>
        <w:spacing w:after="0" w:line="55" w:lineRule="exact"/>
        <w:rPr>
          <w:sz w:val="20"/>
          <w:szCs w:val="20"/>
          <w:color w:val="auto"/>
        </w:rPr>
      </w:pPr>
    </w:p>
    <w:p>
      <w:pPr>
        <w:ind w:left="1740"/>
        <w:spacing w:after="0"/>
        <w:rPr>
          <w:sz w:val="20"/>
          <w:szCs w:val="20"/>
          <w:color w:val="auto"/>
        </w:rPr>
      </w:pPr>
      <w:r>
        <w:rPr>
          <w:rFonts w:ascii="Arial" w:cs="Arial" w:eastAsia="Arial" w:hAnsi="Arial"/>
          <w:sz w:val="14"/>
          <w:szCs w:val="14"/>
          <w:color w:val="auto"/>
        </w:rPr>
        <w:t>Payments on long-term debt</w:t>
      </w:r>
    </w:p>
    <w:p>
      <w:pPr>
        <w:spacing w:after="0" w:line="55" w:lineRule="exact"/>
        <w:rPr>
          <w:sz w:val="20"/>
          <w:szCs w:val="20"/>
          <w:color w:val="auto"/>
        </w:rPr>
      </w:pPr>
    </w:p>
    <w:p>
      <w:pPr>
        <w:ind w:left="1740"/>
        <w:spacing w:after="0"/>
        <w:rPr>
          <w:sz w:val="20"/>
          <w:szCs w:val="20"/>
          <w:color w:val="auto"/>
        </w:rPr>
      </w:pPr>
      <w:r>
        <w:rPr>
          <w:rFonts w:ascii="Arial" w:cs="Arial" w:eastAsia="Arial" w:hAnsi="Arial"/>
          <w:sz w:val="14"/>
          <w:szCs w:val="14"/>
          <w:color w:val="auto"/>
        </w:rPr>
        <w:t>Increase (decrease) in loans from affiliates, net</w:t>
      </w:r>
    </w:p>
    <w:p>
      <w:pPr>
        <w:spacing w:after="0" w:line="67" w:lineRule="exact"/>
        <w:rPr>
          <w:sz w:val="20"/>
          <w:szCs w:val="20"/>
          <w:color w:val="auto"/>
        </w:rPr>
      </w:pPr>
    </w:p>
    <w:p>
      <w:pPr>
        <w:ind w:left="1740"/>
        <w:spacing w:after="0"/>
        <w:rPr>
          <w:sz w:val="20"/>
          <w:szCs w:val="20"/>
          <w:color w:val="auto"/>
        </w:rPr>
      </w:pPr>
      <w:r>
        <w:rPr>
          <w:rFonts w:ascii="Arial" w:cs="Arial" w:eastAsia="Arial" w:hAnsi="Arial"/>
          <w:sz w:val="14"/>
          <w:szCs w:val="14"/>
          <w:color w:val="auto"/>
        </w:rPr>
        <w:t>Other</w:t>
      </w:r>
    </w:p>
    <w:p>
      <w:pPr>
        <w:spacing w:after="0" w:line="67" w:lineRule="exact"/>
        <w:rPr>
          <w:sz w:val="20"/>
          <w:szCs w:val="20"/>
          <w:color w:val="auto"/>
        </w:rPr>
      </w:pPr>
    </w:p>
    <w:p>
      <w:pPr>
        <w:ind w:left="1900"/>
        <w:spacing w:after="0"/>
        <w:rPr>
          <w:sz w:val="20"/>
          <w:szCs w:val="20"/>
          <w:color w:val="auto"/>
        </w:rPr>
      </w:pPr>
      <w:r>
        <w:rPr>
          <w:rFonts w:ascii="Arial" w:cs="Arial" w:eastAsia="Arial" w:hAnsi="Arial"/>
          <w:sz w:val="14"/>
          <w:szCs w:val="14"/>
          <w:color w:val="auto"/>
        </w:rPr>
        <w:t>Cash provided by (used in) financing activities</w:t>
      </w:r>
    </w:p>
    <w:p>
      <w:pPr>
        <w:spacing w:after="0" w:line="20" w:lineRule="exact"/>
        <w:rPr>
          <w:sz w:val="20"/>
          <w:szCs w:val="20"/>
          <w:color w:val="auto"/>
        </w:rPr>
      </w:pPr>
      <w:r>
        <w:rPr>
          <w:sz w:val="20"/>
          <w:szCs w:val="20"/>
          <w:color w:val="auto"/>
        </w:rPr>
        <w:br w:type="column"/>
      </w:r>
    </w:p>
    <w:p>
      <w:pPr>
        <w:spacing w:after="0" w:line="3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2"/>
        </w:trPr>
        <w:tc>
          <w:tcPr>
            <w:tcW w:w="1280" w:type="dxa"/>
            <w:vAlign w:val="bottom"/>
          </w:tcPr>
          <w:p>
            <w:pPr>
              <w:jc w:val="right"/>
              <w:ind w:right="308"/>
              <w:spacing w:after="0"/>
              <w:rPr>
                <w:sz w:val="20"/>
                <w:szCs w:val="20"/>
                <w:color w:val="auto"/>
              </w:rPr>
            </w:pPr>
            <w:r>
              <w:rPr>
                <w:rFonts w:ascii="Arial" w:cs="Arial" w:eastAsia="Arial" w:hAnsi="Arial"/>
                <w:sz w:val="14"/>
                <w:szCs w:val="14"/>
                <w:color w:val="auto"/>
              </w:rPr>
              <w:t>(339 )</w:t>
            </w:r>
          </w:p>
        </w:tc>
        <w:tc>
          <w:tcPr>
            <w:tcW w:w="1280" w:type="dxa"/>
            <w:vAlign w:val="bottom"/>
          </w:tcPr>
          <w:p>
            <w:pPr>
              <w:jc w:val="right"/>
              <w:ind w:right="348"/>
              <w:spacing w:after="0"/>
              <w:rPr>
                <w:sz w:val="20"/>
                <w:szCs w:val="20"/>
                <w:color w:val="auto"/>
              </w:rPr>
            </w:pPr>
            <w:r>
              <w:rPr>
                <w:rFonts w:ascii="Arial" w:cs="Arial" w:eastAsia="Arial" w:hAnsi="Arial"/>
                <w:sz w:val="14"/>
                <w:szCs w:val="14"/>
                <w:color w:val="auto"/>
              </w:rPr>
              <w:t>(316 )</w:t>
            </w:r>
          </w:p>
        </w:tc>
        <w:tc>
          <w:tcPr>
            <w:tcW w:w="840" w:type="dxa"/>
            <w:vAlign w:val="bottom"/>
          </w:tcPr>
          <w:p>
            <w:pPr>
              <w:jc w:val="right"/>
              <w:spacing w:after="0"/>
              <w:rPr>
                <w:sz w:val="20"/>
                <w:szCs w:val="20"/>
                <w:color w:val="auto"/>
              </w:rPr>
            </w:pPr>
            <w:r>
              <w:rPr>
                <w:rFonts w:ascii="Arial" w:cs="Arial" w:eastAsia="Arial" w:hAnsi="Arial"/>
                <w:sz w:val="14"/>
                <w:szCs w:val="14"/>
                <w:color w:val="auto"/>
              </w:rPr>
              <w:t>(283 )</w:t>
            </w:r>
          </w:p>
        </w:tc>
      </w:tr>
      <w:tr>
        <w:trPr>
          <w:trHeight w:val="216"/>
        </w:trPr>
        <w:tc>
          <w:tcPr>
            <w:tcW w:w="1280" w:type="dxa"/>
            <w:vAlign w:val="bottom"/>
          </w:tcPr>
          <w:p>
            <w:pPr>
              <w:jc w:val="right"/>
              <w:ind w:right="388"/>
              <w:spacing w:after="0"/>
              <w:rPr>
                <w:sz w:val="20"/>
                <w:szCs w:val="20"/>
                <w:color w:val="auto"/>
              </w:rPr>
            </w:pPr>
            <w:r>
              <w:rPr>
                <w:rFonts w:ascii="Arial" w:cs="Arial" w:eastAsia="Arial" w:hAnsi="Arial"/>
                <w:sz w:val="14"/>
                <w:szCs w:val="14"/>
                <w:color w:val="auto"/>
              </w:rPr>
              <w:t>18</w:t>
            </w:r>
          </w:p>
        </w:tc>
        <w:tc>
          <w:tcPr>
            <w:tcW w:w="1280" w:type="dxa"/>
            <w:vAlign w:val="bottom"/>
          </w:tcPr>
          <w:p>
            <w:pPr>
              <w:jc w:val="right"/>
              <w:ind w:right="428"/>
              <w:spacing w:after="0"/>
              <w:rPr>
                <w:sz w:val="20"/>
                <w:szCs w:val="20"/>
                <w:color w:val="auto"/>
              </w:rPr>
            </w:pPr>
            <w:r>
              <w:rPr>
                <w:rFonts w:ascii="Arial" w:cs="Arial" w:eastAsia="Arial" w:hAnsi="Arial"/>
                <w:sz w:val="14"/>
                <w:szCs w:val="14"/>
                <w:color w:val="auto"/>
              </w:rPr>
              <w:t>40</w:t>
            </w: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97</w:t>
            </w:r>
          </w:p>
        </w:tc>
      </w:tr>
      <w:tr>
        <w:trPr>
          <w:trHeight w:val="216"/>
        </w:trPr>
        <w:tc>
          <w:tcPr>
            <w:tcW w:w="1280" w:type="dxa"/>
            <w:vAlign w:val="bottom"/>
          </w:tcPr>
          <w:p>
            <w:pPr>
              <w:jc w:val="right"/>
              <w:ind w:right="308"/>
              <w:spacing w:after="0"/>
              <w:rPr>
                <w:sz w:val="20"/>
                <w:szCs w:val="20"/>
                <w:color w:val="auto"/>
              </w:rPr>
            </w:pPr>
            <w:r>
              <w:rPr>
                <w:rFonts w:ascii="Arial" w:cs="Arial" w:eastAsia="Arial" w:hAnsi="Arial"/>
                <w:sz w:val="14"/>
                <w:szCs w:val="14"/>
                <w:color w:val="auto"/>
              </w:rPr>
              <w:t>(1,018 )</w:t>
            </w:r>
          </w:p>
        </w:tc>
        <w:tc>
          <w:tcPr>
            <w:tcW w:w="1280" w:type="dxa"/>
            <w:vAlign w:val="bottom"/>
          </w:tcPr>
          <w:p>
            <w:pPr>
              <w:jc w:val="right"/>
              <w:ind w:right="348"/>
              <w:spacing w:after="0"/>
              <w:rPr>
                <w:sz w:val="20"/>
                <w:szCs w:val="20"/>
                <w:color w:val="auto"/>
              </w:rPr>
            </w:pPr>
            <w:r>
              <w:rPr>
                <w:rFonts w:ascii="Arial" w:cs="Arial" w:eastAsia="Arial" w:hAnsi="Arial"/>
                <w:sz w:val="14"/>
                <w:szCs w:val="14"/>
                <w:color w:val="auto"/>
              </w:rPr>
              <w:t>(185 )</w:t>
            </w:r>
          </w:p>
        </w:tc>
        <w:tc>
          <w:tcPr>
            <w:tcW w:w="840" w:type="dxa"/>
            <w:vAlign w:val="bottom"/>
          </w:tcPr>
          <w:p>
            <w:pPr>
              <w:jc w:val="right"/>
              <w:spacing w:after="0"/>
              <w:rPr>
                <w:sz w:val="20"/>
                <w:szCs w:val="20"/>
                <w:color w:val="auto"/>
              </w:rPr>
            </w:pPr>
            <w:r>
              <w:rPr>
                <w:rFonts w:ascii="Arial" w:cs="Arial" w:eastAsia="Arial" w:hAnsi="Arial"/>
                <w:sz w:val="14"/>
                <w:szCs w:val="14"/>
                <w:color w:val="auto"/>
              </w:rPr>
              <w:t>(37 )</w:t>
            </w:r>
          </w:p>
        </w:tc>
      </w:tr>
      <w:tr>
        <w:trPr>
          <w:trHeight w:val="216"/>
        </w:trPr>
        <w:tc>
          <w:tcPr>
            <w:tcW w:w="1280" w:type="dxa"/>
            <w:vAlign w:val="bottom"/>
          </w:tcPr>
          <w:p>
            <w:pPr>
              <w:jc w:val="right"/>
              <w:ind w:right="388"/>
              <w:spacing w:after="0"/>
              <w:rPr>
                <w:sz w:val="20"/>
                <w:szCs w:val="20"/>
                <w:color w:val="auto"/>
              </w:rPr>
            </w:pPr>
            <w:r>
              <w:rPr>
                <w:rFonts w:ascii="Arial" w:cs="Arial" w:eastAsia="Arial" w:hAnsi="Arial"/>
                <w:sz w:val="14"/>
                <w:szCs w:val="14"/>
                <w:color w:val="auto"/>
              </w:rPr>
              <w:t>1,247</w:t>
            </w:r>
          </w:p>
        </w:tc>
        <w:tc>
          <w:tcPr>
            <w:tcW w:w="1280" w:type="dxa"/>
            <w:vAlign w:val="bottom"/>
          </w:tcPr>
          <w:p>
            <w:pPr>
              <w:jc w:val="right"/>
              <w:ind w:right="468"/>
              <w:spacing w:after="0"/>
              <w:rPr>
                <w:sz w:val="20"/>
                <w:szCs w:val="20"/>
                <w:color w:val="auto"/>
              </w:rPr>
            </w:pPr>
            <w:r>
              <w:rPr>
                <w:rFonts w:ascii="Arial" w:cs="Arial" w:eastAsia="Arial" w:hAnsi="Arial"/>
                <w:sz w:val="14"/>
                <w:szCs w:val="14"/>
                <w:color w:val="auto"/>
              </w:rPr>
              <w:t>82</w:t>
            </w: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w:t>
            </w:r>
          </w:p>
        </w:tc>
      </w:tr>
      <w:tr>
        <w:trPr>
          <w:trHeight w:val="216"/>
        </w:trPr>
        <w:tc>
          <w:tcPr>
            <w:tcW w:w="1280" w:type="dxa"/>
            <w:vAlign w:val="bottom"/>
          </w:tcPr>
          <w:p>
            <w:pPr>
              <w:jc w:val="right"/>
              <w:ind w:right="308"/>
              <w:spacing w:after="0"/>
              <w:rPr>
                <w:sz w:val="20"/>
                <w:szCs w:val="20"/>
                <w:color w:val="auto"/>
              </w:rPr>
            </w:pPr>
            <w:r>
              <w:rPr>
                <w:rFonts w:ascii="Arial" w:cs="Arial" w:eastAsia="Arial" w:hAnsi="Arial"/>
                <w:sz w:val="14"/>
                <w:szCs w:val="14"/>
                <w:color w:val="auto"/>
              </w:rPr>
              <w:t>(11 )</w:t>
            </w:r>
          </w:p>
        </w:tc>
        <w:tc>
          <w:tcPr>
            <w:tcW w:w="1280" w:type="dxa"/>
            <w:vAlign w:val="bottom"/>
          </w:tcPr>
          <w:p>
            <w:pPr>
              <w:jc w:val="right"/>
              <w:ind w:right="348"/>
              <w:spacing w:after="0"/>
              <w:rPr>
                <w:sz w:val="20"/>
                <w:szCs w:val="20"/>
                <w:color w:val="auto"/>
              </w:rPr>
            </w:pPr>
            <w:r>
              <w:rPr>
                <w:rFonts w:ascii="Arial" w:cs="Arial" w:eastAsia="Arial" w:hAnsi="Arial"/>
                <w:sz w:val="14"/>
                <w:szCs w:val="14"/>
                <w:color w:val="auto"/>
              </w:rPr>
              <w:t>(990 )</w:t>
            </w:r>
          </w:p>
        </w:tc>
        <w:tc>
          <w:tcPr>
            <w:tcW w:w="840" w:type="dxa"/>
            <w:vAlign w:val="bottom"/>
          </w:tcPr>
          <w:p>
            <w:pPr>
              <w:jc w:val="right"/>
              <w:spacing w:after="0"/>
              <w:rPr>
                <w:sz w:val="20"/>
                <w:szCs w:val="20"/>
                <w:color w:val="auto"/>
              </w:rPr>
            </w:pPr>
            <w:r>
              <w:rPr>
                <w:rFonts w:ascii="Arial" w:cs="Arial" w:eastAsia="Arial" w:hAnsi="Arial"/>
                <w:sz w:val="14"/>
                <w:szCs w:val="14"/>
                <w:color w:val="auto"/>
              </w:rPr>
              <w:t>(12 )</w:t>
            </w:r>
          </w:p>
        </w:tc>
      </w:tr>
      <w:tr>
        <w:trPr>
          <w:trHeight w:val="216"/>
        </w:trPr>
        <w:tc>
          <w:tcPr>
            <w:tcW w:w="1280" w:type="dxa"/>
            <w:vAlign w:val="bottom"/>
          </w:tcPr>
          <w:p>
            <w:pPr>
              <w:jc w:val="right"/>
              <w:ind w:right="308"/>
              <w:spacing w:after="0"/>
              <w:rPr>
                <w:sz w:val="20"/>
                <w:szCs w:val="20"/>
                <w:color w:val="auto"/>
              </w:rPr>
            </w:pPr>
            <w:r>
              <w:rPr>
                <w:rFonts w:ascii="Arial" w:cs="Arial" w:eastAsia="Arial" w:hAnsi="Arial"/>
                <w:sz w:val="14"/>
                <w:szCs w:val="14"/>
                <w:color w:val="auto"/>
              </w:rPr>
              <w:t>(102 )</w:t>
            </w:r>
          </w:p>
        </w:tc>
        <w:tc>
          <w:tcPr>
            <w:tcW w:w="1280" w:type="dxa"/>
            <w:vAlign w:val="bottom"/>
          </w:tcPr>
          <w:p>
            <w:pPr>
              <w:jc w:val="right"/>
              <w:ind w:right="428"/>
              <w:spacing w:after="0"/>
              <w:rPr>
                <w:sz w:val="20"/>
                <w:szCs w:val="20"/>
                <w:color w:val="auto"/>
              </w:rPr>
            </w:pPr>
            <w:r>
              <w:rPr>
                <w:rFonts w:ascii="Arial" w:cs="Arial" w:eastAsia="Arial" w:hAnsi="Arial"/>
                <w:sz w:val="14"/>
                <w:szCs w:val="14"/>
                <w:color w:val="auto"/>
              </w:rPr>
              <w:t>59</w:t>
            </w: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273</w:t>
            </w:r>
          </w:p>
        </w:tc>
      </w:tr>
      <w:tr>
        <w:trPr>
          <w:trHeight w:val="219"/>
        </w:trPr>
        <w:tc>
          <w:tcPr>
            <w:tcW w:w="128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color w:val="auto"/>
              </w:rPr>
              <w:t>8</w:t>
            </w:r>
          </w:p>
        </w:tc>
        <w:tc>
          <w:tcPr>
            <w:tcW w:w="128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color w:val="auto"/>
              </w:rPr>
              <w:t>22</w:t>
            </w:r>
          </w:p>
        </w:tc>
        <w:tc>
          <w:tcPr>
            <w:tcW w:w="8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29</w:t>
            </w:r>
          </w:p>
        </w:tc>
      </w:tr>
      <w:tr>
        <w:trPr>
          <w:trHeight w:val="208"/>
        </w:trPr>
        <w:tc>
          <w:tcPr>
            <w:tcW w:w="128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(197 )</w:t>
            </w:r>
          </w:p>
        </w:tc>
        <w:tc>
          <w:tcPr>
            <w:tcW w:w="128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color w:val="auto"/>
              </w:rPr>
              <w:t>(1,288 )</w:t>
            </w:r>
          </w:p>
        </w:tc>
        <w:tc>
          <w:tcPr>
            <w:tcW w:w="8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67</w:t>
            </w:r>
          </w:p>
        </w:tc>
      </w:tr>
    </w:tbl>
    <w:p>
      <w:pPr>
        <w:spacing w:after="0" w:line="200" w:lineRule="exact"/>
        <w:rPr>
          <w:sz w:val="20"/>
          <w:szCs w:val="20"/>
          <w:color w:val="auto"/>
        </w:rPr>
      </w:pPr>
    </w:p>
    <w:p>
      <w:pPr>
        <w:sectPr>
          <w:pgSz w:w="11900" w:h="16838" w:orient="portrait"/>
          <w:cols w:equalWidth="0" w:num="2">
            <w:col w:w="5580" w:space="720"/>
            <w:col w:w="3919"/>
          </w:cols>
          <w:pgMar w:left="240" w:top="364" w:right="1440" w:bottom="1440" w:gutter="0" w:footer="0" w:header="0"/>
          <w:type w:val="continuous"/>
        </w:sectPr>
      </w:pPr>
    </w:p>
    <w:p>
      <w:pPr>
        <w:spacing w:after="0" w:line="54" w:lineRule="exact"/>
        <w:rPr>
          <w:sz w:val="20"/>
          <w:szCs w:val="20"/>
          <w:color w:val="auto"/>
        </w:rPr>
      </w:pPr>
    </w:p>
    <w:tbl>
      <w:tblPr>
        <w:tblLayout w:type="fixed"/>
        <w:tblInd w:w="1740" w:type="dxa"/>
        <w:tblCellMar>
          <w:top w:w="0" w:type="dxa"/>
          <w:left w:w="0" w:type="dxa"/>
          <w:bottom w:w="0" w:type="dxa"/>
          <w:right w:w="0" w:type="dxa"/>
        </w:tblCellMar>
      </w:tblPr>
      <w:tr>
        <w:trPr>
          <w:trHeight w:val="172"/>
        </w:trPr>
        <w:tc>
          <w:tcPr>
            <w:tcW w:w="4560" w:type="dxa"/>
            <w:vAlign w:val="bottom"/>
          </w:tcPr>
          <w:p>
            <w:pPr>
              <w:spacing w:after="0"/>
              <w:rPr>
                <w:sz w:val="20"/>
                <w:szCs w:val="20"/>
                <w:color w:val="auto"/>
              </w:rPr>
            </w:pPr>
            <w:r>
              <w:rPr>
                <w:rFonts w:ascii="Arial" w:cs="Arial" w:eastAsia="Arial" w:hAnsi="Arial"/>
                <w:sz w:val="14"/>
                <w:szCs w:val="14"/>
                <w:color w:val="auto"/>
              </w:rPr>
              <w:t>Increase (decrease) in cash and cash equivalents</w:t>
            </w:r>
          </w:p>
        </w:tc>
        <w:tc>
          <w:tcPr>
            <w:tcW w:w="400" w:type="dxa"/>
            <w:vAlign w:val="bottom"/>
          </w:tcPr>
          <w:p>
            <w:pPr>
              <w:spacing w:after="0"/>
              <w:rPr>
                <w:sz w:val="14"/>
                <w:szCs w:val="14"/>
                <w:color w:val="auto"/>
              </w:rPr>
            </w:pPr>
          </w:p>
        </w:tc>
        <w:tc>
          <w:tcPr>
            <w:tcW w:w="680" w:type="dxa"/>
            <w:vAlign w:val="bottom"/>
          </w:tcPr>
          <w:p>
            <w:pPr>
              <w:jc w:val="right"/>
              <w:ind w:right="188"/>
              <w:spacing w:after="0"/>
              <w:rPr>
                <w:sz w:val="20"/>
                <w:szCs w:val="20"/>
                <w:color w:val="auto"/>
              </w:rPr>
            </w:pPr>
            <w:r>
              <w:rPr>
                <w:rFonts w:ascii="Arial" w:cs="Arial" w:eastAsia="Arial" w:hAnsi="Arial"/>
                <w:sz w:val="14"/>
                <w:szCs w:val="14"/>
                <w:color w:val="auto"/>
              </w:rPr>
              <w:t>6</w:t>
            </w:r>
          </w:p>
        </w:tc>
        <w:tc>
          <w:tcPr>
            <w:tcW w:w="500" w:type="dxa"/>
            <w:vAlign w:val="bottom"/>
          </w:tcPr>
          <w:p>
            <w:pPr>
              <w:spacing w:after="0"/>
              <w:rPr>
                <w:sz w:val="14"/>
                <w:szCs w:val="14"/>
                <w:color w:val="auto"/>
              </w:rPr>
            </w:pPr>
          </w:p>
        </w:tc>
        <w:tc>
          <w:tcPr>
            <w:tcW w:w="740" w:type="dxa"/>
            <w:vAlign w:val="bottom"/>
          </w:tcPr>
          <w:p>
            <w:pPr>
              <w:jc w:val="right"/>
              <w:ind w:right="148"/>
              <w:spacing w:after="0"/>
              <w:rPr>
                <w:sz w:val="20"/>
                <w:szCs w:val="20"/>
                <w:color w:val="auto"/>
              </w:rPr>
            </w:pPr>
            <w:r>
              <w:rPr>
                <w:rFonts w:ascii="Arial" w:cs="Arial" w:eastAsia="Arial" w:hAnsi="Arial"/>
                <w:sz w:val="14"/>
                <w:szCs w:val="14"/>
                <w:color w:val="auto"/>
              </w:rPr>
              <w:t>(421 )</w:t>
            </w:r>
          </w:p>
        </w:tc>
        <w:tc>
          <w:tcPr>
            <w:tcW w:w="520" w:type="dxa"/>
            <w:vAlign w:val="bottom"/>
          </w:tcPr>
          <w:p>
            <w:pPr>
              <w:spacing w:after="0"/>
              <w:rPr>
                <w:sz w:val="14"/>
                <w:szCs w:val="14"/>
                <w:color w:val="auto"/>
              </w:rPr>
            </w:pPr>
          </w:p>
        </w:tc>
        <w:tc>
          <w:tcPr>
            <w:tcW w:w="560" w:type="dxa"/>
            <w:vAlign w:val="bottom"/>
          </w:tcPr>
          <w:p>
            <w:pPr>
              <w:jc w:val="right"/>
              <w:ind w:right="48"/>
              <w:spacing w:after="0"/>
              <w:rPr>
                <w:sz w:val="20"/>
                <w:szCs w:val="20"/>
                <w:color w:val="auto"/>
              </w:rPr>
            </w:pPr>
            <w:r>
              <w:rPr>
                <w:rFonts w:ascii="Arial" w:cs="Arial" w:eastAsia="Arial" w:hAnsi="Arial"/>
                <w:sz w:val="14"/>
                <w:szCs w:val="14"/>
                <w:color w:val="auto"/>
              </w:rPr>
              <w:t>244</w:t>
            </w:r>
          </w:p>
        </w:tc>
      </w:tr>
      <w:tr>
        <w:trPr>
          <w:trHeight w:val="222"/>
        </w:trPr>
        <w:tc>
          <w:tcPr>
            <w:tcW w:w="4560" w:type="dxa"/>
            <w:vAlign w:val="bottom"/>
          </w:tcPr>
          <w:p>
            <w:pPr>
              <w:spacing w:after="0"/>
              <w:rPr>
                <w:sz w:val="20"/>
                <w:szCs w:val="20"/>
                <w:color w:val="auto"/>
              </w:rPr>
            </w:pPr>
            <w:r>
              <w:rPr>
                <w:rFonts w:ascii="Arial" w:cs="Arial" w:eastAsia="Arial" w:hAnsi="Arial"/>
                <w:sz w:val="14"/>
                <w:szCs w:val="14"/>
                <w:color w:val="auto"/>
              </w:rPr>
              <w:t>Cash and cash equivalents, January 1</w:t>
            </w:r>
          </w:p>
        </w:tc>
        <w:tc>
          <w:tcPr>
            <w:tcW w:w="4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6</w:t>
            </w:r>
          </w:p>
        </w:tc>
        <w:tc>
          <w:tcPr>
            <w:tcW w:w="5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427</w:t>
            </w:r>
          </w:p>
        </w:tc>
        <w:tc>
          <w:tcPr>
            <w:tcW w:w="5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183</w:t>
            </w:r>
          </w:p>
        </w:tc>
      </w:tr>
      <w:tr>
        <w:trPr>
          <w:trHeight w:val="224"/>
        </w:trPr>
        <w:tc>
          <w:tcPr>
            <w:tcW w:w="45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Cash and cash equivalents, December 31</w:t>
            </w:r>
          </w:p>
        </w:tc>
        <w:tc>
          <w:tcPr>
            <w:tcW w:w="40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12</w:t>
            </w:r>
          </w:p>
        </w:tc>
        <w:tc>
          <w:tcPr>
            <w:tcW w:w="5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6</w:t>
            </w:r>
          </w:p>
        </w:tc>
        <w:tc>
          <w:tcPr>
            <w:tcW w:w="5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427</w:t>
            </w:r>
          </w:p>
        </w:tc>
      </w:tr>
    </w:tbl>
    <w:p>
      <w:pPr>
        <w:spacing w:after="0" w:line="28" w:lineRule="exact"/>
        <w:rPr>
          <w:sz w:val="20"/>
          <w:szCs w:val="20"/>
          <w:color w:val="auto"/>
        </w:rPr>
      </w:pPr>
    </w:p>
    <w:p>
      <w:pPr>
        <w:ind w:left="1740"/>
        <w:spacing w:after="0"/>
        <w:rPr>
          <w:sz w:val="20"/>
          <w:szCs w:val="20"/>
          <w:color w:val="auto"/>
        </w:rPr>
      </w:pPr>
      <w:r>
        <w:rPr>
          <w:rFonts w:ascii="Arial" w:cs="Arial" w:eastAsia="Arial" w:hAnsi="Arial"/>
          <w:sz w:val="13"/>
          <w:szCs w:val="13"/>
          <w:i w:val="1"/>
          <w:iCs w:val="1"/>
          <w:color w:val="auto"/>
        </w:rPr>
        <w:t>See Notes to Condensed Financial Information of Parent (Sempra Energy).</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4"/>
          <w:szCs w:val="14"/>
          <w:color w:val="auto"/>
        </w:rPr>
        <w:t>40</w:t>
      </w:r>
    </w:p>
    <w:p>
      <w:pPr>
        <w:sectPr>
          <w:pgSz w:w="11900" w:h="16838" w:orient="portrait"/>
          <w:cols w:equalWidth="0" w:num="1">
            <w:col w:w="10219"/>
          </w:cols>
          <w:pgMar w:left="240" w:top="364" w:right="1440" w:bottom="1440" w:gutter="0" w:footer="0" w:header="0"/>
          <w:type w:val="continuous"/>
        </w:sectPr>
      </w:pPr>
    </w:p>
    <w:bookmarkStart w:id="40" w:name="page41"/>
    <w:bookmarkEnd w:id="40"/>
    <w:p>
      <w:pPr>
        <w:spacing w:after="0"/>
        <w:rPr>
          <w:sz w:val="20"/>
          <w:szCs w:val="20"/>
          <w:color w:val="auto"/>
        </w:rPr>
      </w:pPr>
      <w:r>
        <w:rPr>
          <w:rFonts w:ascii="Arial" w:cs="Arial" w:eastAsia="Arial" w:hAnsi="Arial"/>
          <w:sz w:val="16"/>
          <w:szCs w:val="16"/>
          <w:b w:val="1"/>
          <w:bCs w:val="1"/>
          <w:color w:val="auto"/>
        </w:rPr>
        <w:t>SEMPRA ENERGY</w:t>
      </w:r>
    </w:p>
    <w:p>
      <w:pPr>
        <w:spacing w:after="0" w:line="28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NOTES TO CONDENSED FINANCIAL INFORMATION OF PARENT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Basis of Presentation</w:t>
      </w:r>
    </w:p>
    <w:p>
      <w:pPr>
        <w:spacing w:after="0" w:line="41" w:lineRule="exact"/>
        <w:rPr>
          <w:sz w:val="20"/>
          <w:szCs w:val="20"/>
          <w:color w:val="auto"/>
        </w:rPr>
      </w:pPr>
    </w:p>
    <w:p>
      <w:pPr>
        <w:spacing w:after="0"/>
        <w:rPr>
          <w:sz w:val="20"/>
          <w:szCs w:val="20"/>
          <w:color w:val="auto"/>
        </w:rPr>
      </w:pPr>
      <w:r>
        <w:rPr>
          <w:rFonts w:ascii="Arial" w:cs="Arial" w:eastAsia="Arial" w:hAnsi="Arial"/>
          <w:sz w:val="16"/>
          <w:szCs w:val="16"/>
          <w:color w:val="auto"/>
        </w:rPr>
        <w:t>Sempra Energy accounts for the earnings of its subsidiaries under the equity method in this unconsolidated financial information.</w:t>
      </w:r>
    </w:p>
    <w:p>
      <w:pPr>
        <w:spacing w:after="0" w:line="80" w:lineRule="exact"/>
        <w:rPr>
          <w:sz w:val="20"/>
          <w:szCs w:val="20"/>
          <w:color w:val="auto"/>
        </w:rPr>
      </w:pPr>
    </w:p>
    <w:p>
      <w:pPr>
        <w:ind w:right="20"/>
        <w:spacing w:after="0" w:line="264" w:lineRule="auto"/>
        <w:rPr>
          <w:sz w:val="20"/>
          <w:szCs w:val="20"/>
          <w:color w:val="auto"/>
        </w:rPr>
      </w:pPr>
      <w:r>
        <w:rPr>
          <w:rFonts w:ascii="Arial" w:cs="Arial" w:eastAsia="Arial" w:hAnsi="Arial"/>
          <w:sz w:val="16"/>
          <w:szCs w:val="16"/>
          <w:color w:val="auto"/>
        </w:rPr>
        <w:t>Other Income (Expense), Net, on the Condensed Statements of Income includes $53 million of losses in 2008 and $27 million of gains in 2007 associated with investment earnings or losses on dedicated assets in support of our executive retirement and deferred compensation plans. It also included $57 million from Mexican peso exchange losses in 2008.</w:t>
      </w:r>
    </w:p>
    <w:p>
      <w:pPr>
        <w:spacing w:after="0" w:line="54" w:lineRule="exact"/>
        <w:rPr>
          <w:sz w:val="20"/>
          <w:szCs w:val="20"/>
          <w:color w:val="auto"/>
        </w:rPr>
      </w:pPr>
    </w:p>
    <w:p>
      <w:pPr>
        <w:ind w:right="280"/>
        <w:spacing w:after="0" w:line="277" w:lineRule="auto"/>
        <w:rPr>
          <w:sz w:val="20"/>
          <w:szCs w:val="20"/>
          <w:color w:val="auto"/>
        </w:rPr>
      </w:pPr>
      <w:r>
        <w:rPr>
          <w:rFonts w:ascii="Arial" w:cs="Arial" w:eastAsia="Arial" w:hAnsi="Arial"/>
          <w:sz w:val="16"/>
          <w:szCs w:val="16"/>
          <w:color w:val="auto"/>
        </w:rPr>
        <w:t>Equity in Earnings of Subsidiaries on the Condensed Statements of Income includes a loss of $26 million in 2007 and income of $315 million in 2006 related to discontinued operations.</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Because of its nature as a holding company, Sempra Energy classifies dividends received from subsidiaries as an investing cash flow.</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Long-Term Debt</w:t>
      </w:r>
    </w:p>
    <w:p>
      <w:pPr>
        <w:spacing w:after="0" w:line="178" w:lineRule="exact"/>
        <w:rPr>
          <w:sz w:val="20"/>
          <w:szCs w:val="20"/>
          <w:color w:val="auto"/>
        </w:rPr>
      </w:pPr>
    </w:p>
    <w:tbl>
      <w:tblPr>
        <w:tblLayout w:type="fixed"/>
        <w:tblInd w:w="1800" w:type="dxa"/>
        <w:tblCellMar>
          <w:top w:w="0" w:type="dxa"/>
          <w:left w:w="0" w:type="dxa"/>
          <w:bottom w:w="0" w:type="dxa"/>
          <w:right w:w="0" w:type="dxa"/>
        </w:tblCellMar>
      </w:tblPr>
      <w:tr>
        <w:trPr>
          <w:trHeight w:val="154"/>
        </w:trPr>
        <w:tc>
          <w:tcPr>
            <w:tcW w:w="5400" w:type="dxa"/>
            <w:vAlign w:val="bottom"/>
          </w:tcPr>
          <w:p>
            <w:pPr>
              <w:spacing w:after="0"/>
              <w:rPr>
                <w:sz w:val="13"/>
                <w:szCs w:val="13"/>
                <w:color w:val="auto"/>
              </w:rPr>
            </w:pPr>
          </w:p>
        </w:tc>
        <w:tc>
          <w:tcPr>
            <w:tcW w:w="1280" w:type="dxa"/>
            <w:vAlign w:val="bottom"/>
            <w:gridSpan w:val="2"/>
          </w:tcPr>
          <w:p>
            <w:pPr>
              <w:ind w:left="220"/>
              <w:spacing w:after="0"/>
              <w:rPr>
                <w:sz w:val="20"/>
                <w:szCs w:val="20"/>
                <w:color w:val="auto"/>
              </w:rPr>
            </w:pPr>
            <w:r>
              <w:rPr>
                <w:rFonts w:ascii="Arial" w:cs="Arial" w:eastAsia="Arial" w:hAnsi="Arial"/>
                <w:sz w:val="13"/>
                <w:szCs w:val="13"/>
                <w:color w:val="auto"/>
              </w:rPr>
              <w:t>December 31,</w:t>
            </w:r>
          </w:p>
        </w:tc>
        <w:tc>
          <w:tcPr>
            <w:tcW w:w="160" w:type="dxa"/>
            <w:vAlign w:val="bottom"/>
          </w:tcPr>
          <w:p>
            <w:pPr>
              <w:spacing w:after="0"/>
              <w:rPr>
                <w:sz w:val="13"/>
                <w:szCs w:val="13"/>
                <w:color w:val="auto"/>
              </w:rPr>
            </w:pPr>
          </w:p>
        </w:tc>
        <w:tc>
          <w:tcPr>
            <w:tcW w:w="1000" w:type="dxa"/>
            <w:vAlign w:val="bottom"/>
          </w:tcPr>
          <w:p>
            <w:pPr>
              <w:jc w:val="right"/>
              <w:ind w:right="129"/>
              <w:spacing w:after="0"/>
              <w:rPr>
                <w:sz w:val="20"/>
                <w:szCs w:val="20"/>
                <w:color w:val="auto"/>
              </w:rPr>
            </w:pPr>
            <w:r>
              <w:rPr>
                <w:rFonts w:ascii="Arial" w:cs="Arial" w:eastAsia="Arial" w:hAnsi="Arial"/>
                <w:sz w:val="13"/>
                <w:szCs w:val="13"/>
                <w:color w:val="auto"/>
                <w:w w:val="95"/>
              </w:rPr>
              <w:t>December 31,</w:t>
            </w:r>
          </w:p>
        </w:tc>
      </w:tr>
      <w:tr>
        <w:trPr>
          <w:trHeight w:val="221"/>
        </w:trPr>
        <w:tc>
          <w:tcPr>
            <w:tcW w:w="5400" w:type="dxa"/>
            <w:vAlign w:val="bottom"/>
            <w:tcBorders>
              <w:bottom w:val="single" w:sz="8" w:color="auto"/>
            </w:tcBorders>
          </w:tcPr>
          <w:p>
            <w:pPr>
              <w:ind w:left="20"/>
              <w:spacing w:after="0"/>
              <w:rPr>
                <w:sz w:val="20"/>
                <w:szCs w:val="20"/>
                <w:color w:val="auto"/>
              </w:rPr>
            </w:pPr>
            <w:r>
              <w:rPr>
                <w:rFonts w:ascii="Arial" w:cs="Arial" w:eastAsia="Arial" w:hAnsi="Arial"/>
                <w:sz w:val="13"/>
                <w:szCs w:val="13"/>
                <w:i w:val="1"/>
                <w:iCs w:val="1"/>
                <w:color w:val="auto"/>
              </w:rPr>
              <w:t>(Dollars in millions)</w:t>
            </w:r>
          </w:p>
        </w:tc>
        <w:tc>
          <w:tcPr>
            <w:tcW w:w="3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448"/>
              <w:spacing w:after="0"/>
              <w:rPr>
                <w:sz w:val="20"/>
                <w:szCs w:val="20"/>
                <w:color w:val="auto"/>
              </w:rPr>
            </w:pPr>
            <w:r>
              <w:rPr>
                <w:rFonts w:ascii="Arial" w:cs="Arial" w:eastAsia="Arial" w:hAnsi="Arial"/>
                <w:sz w:val="13"/>
                <w:szCs w:val="13"/>
                <w:color w:val="auto"/>
              </w:rPr>
              <w:t>2008</w:t>
            </w: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89"/>
              <w:spacing w:after="0"/>
              <w:rPr>
                <w:sz w:val="20"/>
                <w:szCs w:val="20"/>
                <w:color w:val="auto"/>
              </w:rPr>
            </w:pPr>
            <w:r>
              <w:rPr>
                <w:rFonts w:ascii="Arial" w:cs="Arial" w:eastAsia="Arial" w:hAnsi="Arial"/>
                <w:sz w:val="13"/>
                <w:szCs w:val="13"/>
                <w:color w:val="auto"/>
              </w:rPr>
              <w:t>2007</w:t>
            </w:r>
          </w:p>
        </w:tc>
      </w:tr>
      <w:tr>
        <w:trPr>
          <w:trHeight w:val="423"/>
        </w:trPr>
        <w:tc>
          <w:tcPr>
            <w:tcW w:w="5400" w:type="dxa"/>
            <w:vAlign w:val="bottom"/>
          </w:tcPr>
          <w:p>
            <w:pPr>
              <w:ind w:left="200"/>
              <w:spacing w:after="0"/>
              <w:rPr>
                <w:sz w:val="20"/>
                <w:szCs w:val="20"/>
                <w:color w:val="auto"/>
              </w:rPr>
            </w:pPr>
            <w:r>
              <w:rPr>
                <w:rFonts w:ascii="Arial" w:cs="Arial" w:eastAsia="Arial" w:hAnsi="Arial"/>
                <w:sz w:val="14"/>
                <w:szCs w:val="14"/>
                <w:color w:val="auto"/>
              </w:rPr>
              <w:t>9.8% Notes February 15, 2019</w:t>
            </w:r>
          </w:p>
        </w:tc>
        <w:tc>
          <w:tcPr>
            <w:tcW w:w="380" w:type="dxa"/>
            <w:vAlign w:val="bottom"/>
          </w:tcPr>
          <w:p>
            <w:pPr>
              <w:ind w:left="220"/>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500</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129"/>
              <w:spacing w:after="0"/>
              <w:rPr>
                <w:sz w:val="20"/>
                <w:szCs w:val="20"/>
                <w:color w:val="auto"/>
              </w:rPr>
            </w:pPr>
            <w:r>
              <w:rPr>
                <w:rFonts w:ascii="Arial" w:cs="Arial" w:eastAsia="Arial" w:hAnsi="Arial"/>
                <w:sz w:val="14"/>
                <w:szCs w:val="14"/>
                <w:color w:val="auto"/>
              </w:rPr>
              <w:t>--</w:t>
            </w:r>
          </w:p>
        </w:tc>
      </w:tr>
      <w:tr>
        <w:trPr>
          <w:trHeight w:val="216"/>
        </w:trPr>
        <w:tc>
          <w:tcPr>
            <w:tcW w:w="5400" w:type="dxa"/>
            <w:vAlign w:val="bottom"/>
          </w:tcPr>
          <w:p>
            <w:pPr>
              <w:ind w:left="200"/>
              <w:spacing w:after="0"/>
              <w:rPr>
                <w:sz w:val="20"/>
                <w:szCs w:val="20"/>
                <w:color w:val="auto"/>
              </w:rPr>
            </w:pPr>
            <w:r>
              <w:rPr>
                <w:rFonts w:ascii="Arial" w:cs="Arial" w:eastAsia="Arial" w:hAnsi="Arial"/>
                <w:sz w:val="14"/>
                <w:szCs w:val="14"/>
                <w:color w:val="auto"/>
              </w:rPr>
              <w:t>6.15% Notes June 15, 2018</w:t>
            </w:r>
          </w:p>
        </w:tc>
        <w:tc>
          <w:tcPr>
            <w:tcW w:w="380" w:type="dxa"/>
            <w:vAlign w:val="bottom"/>
          </w:tcPr>
          <w:p>
            <w:pPr>
              <w:spacing w:after="0"/>
              <w:rPr>
                <w:sz w:val="18"/>
                <w:szCs w:val="18"/>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500</w:t>
            </w:r>
          </w:p>
        </w:tc>
        <w:tc>
          <w:tcPr>
            <w:tcW w:w="160" w:type="dxa"/>
            <w:vAlign w:val="bottom"/>
          </w:tcPr>
          <w:p>
            <w:pPr>
              <w:spacing w:after="0"/>
              <w:rPr>
                <w:sz w:val="18"/>
                <w:szCs w:val="18"/>
                <w:color w:val="auto"/>
              </w:rPr>
            </w:pPr>
          </w:p>
        </w:tc>
        <w:tc>
          <w:tcPr>
            <w:tcW w:w="1000" w:type="dxa"/>
            <w:vAlign w:val="bottom"/>
          </w:tcPr>
          <w:p>
            <w:pPr>
              <w:jc w:val="right"/>
              <w:ind w:right="129"/>
              <w:spacing w:after="0"/>
              <w:rPr>
                <w:sz w:val="20"/>
                <w:szCs w:val="20"/>
                <w:color w:val="auto"/>
              </w:rPr>
            </w:pPr>
            <w:r>
              <w:rPr>
                <w:rFonts w:ascii="Arial" w:cs="Arial" w:eastAsia="Arial" w:hAnsi="Arial"/>
                <w:sz w:val="14"/>
                <w:szCs w:val="14"/>
                <w:color w:val="auto"/>
              </w:rPr>
              <w:t>--</w:t>
            </w:r>
          </w:p>
        </w:tc>
      </w:tr>
      <w:tr>
        <w:trPr>
          <w:trHeight w:val="216"/>
        </w:trPr>
        <w:tc>
          <w:tcPr>
            <w:tcW w:w="5400" w:type="dxa"/>
            <w:vAlign w:val="bottom"/>
          </w:tcPr>
          <w:p>
            <w:pPr>
              <w:ind w:left="200"/>
              <w:spacing w:after="0"/>
              <w:rPr>
                <w:sz w:val="20"/>
                <w:szCs w:val="20"/>
                <w:color w:val="auto"/>
              </w:rPr>
            </w:pPr>
            <w:r>
              <w:rPr>
                <w:rFonts w:ascii="Arial" w:cs="Arial" w:eastAsia="Arial" w:hAnsi="Arial"/>
                <w:sz w:val="14"/>
                <w:szCs w:val="14"/>
                <w:color w:val="auto"/>
              </w:rPr>
              <w:t>6.0% Notes February 1, 2013</w:t>
            </w:r>
          </w:p>
        </w:tc>
        <w:tc>
          <w:tcPr>
            <w:tcW w:w="380" w:type="dxa"/>
            <w:vAlign w:val="bottom"/>
          </w:tcPr>
          <w:p>
            <w:pPr>
              <w:spacing w:after="0"/>
              <w:rPr>
                <w:sz w:val="18"/>
                <w:szCs w:val="18"/>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400</w:t>
            </w:r>
          </w:p>
        </w:tc>
        <w:tc>
          <w:tcPr>
            <w:tcW w:w="160" w:type="dxa"/>
            <w:vAlign w:val="bottom"/>
          </w:tcPr>
          <w:p>
            <w:pPr>
              <w:spacing w:after="0"/>
              <w:rPr>
                <w:sz w:val="18"/>
                <w:szCs w:val="18"/>
                <w:color w:val="auto"/>
              </w:rPr>
            </w:pPr>
          </w:p>
        </w:tc>
        <w:tc>
          <w:tcPr>
            <w:tcW w:w="1000" w:type="dxa"/>
            <w:vAlign w:val="bottom"/>
          </w:tcPr>
          <w:p>
            <w:pPr>
              <w:jc w:val="right"/>
              <w:ind w:right="129"/>
              <w:spacing w:after="0"/>
              <w:rPr>
                <w:sz w:val="20"/>
                <w:szCs w:val="20"/>
                <w:color w:val="auto"/>
              </w:rPr>
            </w:pPr>
            <w:r>
              <w:rPr>
                <w:rFonts w:ascii="Arial" w:cs="Arial" w:eastAsia="Arial" w:hAnsi="Arial"/>
                <w:sz w:val="14"/>
                <w:szCs w:val="14"/>
                <w:color w:val="auto"/>
              </w:rPr>
              <w:t>400</w:t>
            </w:r>
          </w:p>
        </w:tc>
      </w:tr>
      <w:tr>
        <w:trPr>
          <w:trHeight w:val="216"/>
        </w:trPr>
        <w:tc>
          <w:tcPr>
            <w:tcW w:w="5400" w:type="dxa"/>
            <w:vAlign w:val="bottom"/>
          </w:tcPr>
          <w:p>
            <w:pPr>
              <w:ind w:left="200"/>
              <w:spacing w:after="0"/>
              <w:rPr>
                <w:sz w:val="20"/>
                <w:szCs w:val="20"/>
                <w:color w:val="auto"/>
              </w:rPr>
            </w:pPr>
            <w:r>
              <w:rPr>
                <w:rFonts w:ascii="Arial" w:cs="Arial" w:eastAsia="Arial" w:hAnsi="Arial"/>
                <w:sz w:val="14"/>
                <w:szCs w:val="14"/>
                <w:color w:val="auto"/>
              </w:rPr>
              <w:t>Notes at variable rates after fixed-to-floating swap</w:t>
            </w:r>
          </w:p>
        </w:tc>
        <w:tc>
          <w:tcPr>
            <w:tcW w:w="3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5400" w:type="dxa"/>
            <w:vAlign w:val="bottom"/>
          </w:tcPr>
          <w:p>
            <w:pPr>
              <w:ind w:left="440"/>
              <w:spacing w:after="0"/>
              <w:rPr>
                <w:sz w:val="20"/>
                <w:szCs w:val="20"/>
                <w:color w:val="auto"/>
              </w:rPr>
            </w:pPr>
            <w:r>
              <w:rPr>
                <w:rFonts w:ascii="Arial" w:cs="Arial" w:eastAsia="Arial" w:hAnsi="Arial"/>
                <w:sz w:val="14"/>
                <w:szCs w:val="14"/>
                <w:color w:val="auto"/>
              </w:rPr>
              <w:t>(5.06% at December 31, 2008) March 1, 2010</w:t>
            </w:r>
          </w:p>
        </w:tc>
        <w:tc>
          <w:tcPr>
            <w:tcW w:w="380" w:type="dxa"/>
            <w:vAlign w:val="bottom"/>
          </w:tcPr>
          <w:p>
            <w:pPr>
              <w:spacing w:after="0"/>
              <w:rPr>
                <w:sz w:val="18"/>
                <w:szCs w:val="18"/>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300</w:t>
            </w:r>
          </w:p>
        </w:tc>
        <w:tc>
          <w:tcPr>
            <w:tcW w:w="160" w:type="dxa"/>
            <w:vAlign w:val="bottom"/>
          </w:tcPr>
          <w:p>
            <w:pPr>
              <w:spacing w:after="0"/>
              <w:rPr>
                <w:sz w:val="18"/>
                <w:szCs w:val="18"/>
                <w:color w:val="auto"/>
              </w:rPr>
            </w:pPr>
          </w:p>
        </w:tc>
        <w:tc>
          <w:tcPr>
            <w:tcW w:w="1000" w:type="dxa"/>
            <w:vAlign w:val="bottom"/>
          </w:tcPr>
          <w:p>
            <w:pPr>
              <w:jc w:val="right"/>
              <w:ind w:right="129"/>
              <w:spacing w:after="0"/>
              <w:rPr>
                <w:sz w:val="20"/>
                <w:szCs w:val="20"/>
                <w:color w:val="auto"/>
              </w:rPr>
            </w:pPr>
            <w:r>
              <w:rPr>
                <w:rFonts w:ascii="Arial" w:cs="Arial" w:eastAsia="Arial" w:hAnsi="Arial"/>
                <w:sz w:val="14"/>
                <w:szCs w:val="14"/>
                <w:color w:val="auto"/>
              </w:rPr>
              <w:t>300</w:t>
            </w:r>
          </w:p>
        </w:tc>
      </w:tr>
      <w:tr>
        <w:trPr>
          <w:trHeight w:val="216"/>
        </w:trPr>
        <w:tc>
          <w:tcPr>
            <w:tcW w:w="5400" w:type="dxa"/>
            <w:vAlign w:val="bottom"/>
          </w:tcPr>
          <w:p>
            <w:pPr>
              <w:ind w:left="200"/>
              <w:spacing w:after="0"/>
              <w:rPr>
                <w:sz w:val="20"/>
                <w:szCs w:val="20"/>
                <w:color w:val="auto"/>
              </w:rPr>
            </w:pPr>
            <w:r>
              <w:rPr>
                <w:rFonts w:ascii="Arial" w:cs="Arial" w:eastAsia="Arial" w:hAnsi="Arial"/>
                <w:sz w:val="14"/>
                <w:szCs w:val="14"/>
                <w:color w:val="auto"/>
              </w:rPr>
              <w:t>4.75% Notes May 15, 2009</w:t>
            </w:r>
          </w:p>
        </w:tc>
        <w:tc>
          <w:tcPr>
            <w:tcW w:w="380" w:type="dxa"/>
            <w:vAlign w:val="bottom"/>
          </w:tcPr>
          <w:p>
            <w:pPr>
              <w:spacing w:after="0"/>
              <w:rPr>
                <w:sz w:val="18"/>
                <w:szCs w:val="18"/>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300</w:t>
            </w:r>
          </w:p>
        </w:tc>
        <w:tc>
          <w:tcPr>
            <w:tcW w:w="160" w:type="dxa"/>
            <w:vAlign w:val="bottom"/>
          </w:tcPr>
          <w:p>
            <w:pPr>
              <w:spacing w:after="0"/>
              <w:rPr>
                <w:sz w:val="18"/>
                <w:szCs w:val="18"/>
                <w:color w:val="auto"/>
              </w:rPr>
            </w:pPr>
          </w:p>
        </w:tc>
        <w:tc>
          <w:tcPr>
            <w:tcW w:w="1000" w:type="dxa"/>
            <w:vAlign w:val="bottom"/>
          </w:tcPr>
          <w:p>
            <w:pPr>
              <w:jc w:val="right"/>
              <w:ind w:right="129"/>
              <w:spacing w:after="0"/>
              <w:rPr>
                <w:sz w:val="20"/>
                <w:szCs w:val="20"/>
                <w:color w:val="auto"/>
              </w:rPr>
            </w:pPr>
            <w:r>
              <w:rPr>
                <w:rFonts w:ascii="Arial" w:cs="Arial" w:eastAsia="Arial" w:hAnsi="Arial"/>
                <w:sz w:val="14"/>
                <w:szCs w:val="14"/>
                <w:color w:val="auto"/>
              </w:rPr>
              <w:t>300</w:t>
            </w:r>
          </w:p>
        </w:tc>
      </w:tr>
      <w:tr>
        <w:trPr>
          <w:trHeight w:val="216"/>
        </w:trPr>
        <w:tc>
          <w:tcPr>
            <w:tcW w:w="5400" w:type="dxa"/>
            <w:vAlign w:val="bottom"/>
          </w:tcPr>
          <w:p>
            <w:pPr>
              <w:ind w:left="200"/>
              <w:spacing w:after="0"/>
              <w:rPr>
                <w:sz w:val="20"/>
                <w:szCs w:val="20"/>
                <w:color w:val="auto"/>
              </w:rPr>
            </w:pPr>
            <w:r>
              <w:rPr>
                <w:rFonts w:ascii="Arial" w:cs="Arial" w:eastAsia="Arial" w:hAnsi="Arial"/>
                <w:sz w:val="14"/>
                <w:szCs w:val="14"/>
                <w:color w:val="auto"/>
              </w:rPr>
              <w:t>8.9% Notes November 15, 2013</w:t>
            </w:r>
          </w:p>
        </w:tc>
        <w:tc>
          <w:tcPr>
            <w:tcW w:w="380" w:type="dxa"/>
            <w:vAlign w:val="bottom"/>
          </w:tcPr>
          <w:p>
            <w:pPr>
              <w:spacing w:after="0"/>
              <w:rPr>
                <w:sz w:val="18"/>
                <w:szCs w:val="18"/>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250</w:t>
            </w:r>
          </w:p>
        </w:tc>
        <w:tc>
          <w:tcPr>
            <w:tcW w:w="160" w:type="dxa"/>
            <w:vAlign w:val="bottom"/>
          </w:tcPr>
          <w:p>
            <w:pPr>
              <w:spacing w:after="0"/>
              <w:rPr>
                <w:sz w:val="18"/>
                <w:szCs w:val="18"/>
                <w:color w:val="auto"/>
              </w:rPr>
            </w:pPr>
          </w:p>
        </w:tc>
        <w:tc>
          <w:tcPr>
            <w:tcW w:w="1000" w:type="dxa"/>
            <w:vAlign w:val="bottom"/>
          </w:tcPr>
          <w:p>
            <w:pPr>
              <w:jc w:val="right"/>
              <w:ind w:right="129"/>
              <w:spacing w:after="0"/>
              <w:rPr>
                <w:sz w:val="20"/>
                <w:szCs w:val="20"/>
                <w:color w:val="auto"/>
              </w:rPr>
            </w:pPr>
            <w:r>
              <w:rPr>
                <w:rFonts w:ascii="Arial" w:cs="Arial" w:eastAsia="Arial" w:hAnsi="Arial"/>
                <w:sz w:val="14"/>
                <w:szCs w:val="14"/>
                <w:color w:val="auto"/>
              </w:rPr>
              <w:t>--</w:t>
            </w:r>
          </w:p>
        </w:tc>
      </w:tr>
      <w:tr>
        <w:trPr>
          <w:trHeight w:val="216"/>
        </w:trPr>
        <w:tc>
          <w:tcPr>
            <w:tcW w:w="5400" w:type="dxa"/>
            <w:vAlign w:val="bottom"/>
          </w:tcPr>
          <w:p>
            <w:pPr>
              <w:ind w:left="200"/>
              <w:spacing w:after="0"/>
              <w:rPr>
                <w:sz w:val="20"/>
                <w:szCs w:val="20"/>
                <w:color w:val="auto"/>
              </w:rPr>
            </w:pPr>
            <w:r>
              <w:rPr>
                <w:rFonts w:ascii="Arial" w:cs="Arial" w:eastAsia="Arial" w:hAnsi="Arial"/>
                <w:sz w:val="14"/>
                <w:szCs w:val="14"/>
                <w:color w:val="auto"/>
              </w:rPr>
              <w:t>7.95% Notes March 1, 2010</w:t>
            </w:r>
          </w:p>
        </w:tc>
        <w:tc>
          <w:tcPr>
            <w:tcW w:w="380" w:type="dxa"/>
            <w:vAlign w:val="bottom"/>
          </w:tcPr>
          <w:p>
            <w:pPr>
              <w:spacing w:after="0"/>
              <w:rPr>
                <w:sz w:val="18"/>
                <w:szCs w:val="18"/>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200</w:t>
            </w:r>
          </w:p>
        </w:tc>
        <w:tc>
          <w:tcPr>
            <w:tcW w:w="160" w:type="dxa"/>
            <w:vAlign w:val="bottom"/>
          </w:tcPr>
          <w:p>
            <w:pPr>
              <w:spacing w:after="0"/>
              <w:rPr>
                <w:sz w:val="18"/>
                <w:szCs w:val="18"/>
                <w:color w:val="auto"/>
              </w:rPr>
            </w:pPr>
          </w:p>
        </w:tc>
        <w:tc>
          <w:tcPr>
            <w:tcW w:w="1000" w:type="dxa"/>
            <w:vAlign w:val="bottom"/>
          </w:tcPr>
          <w:p>
            <w:pPr>
              <w:jc w:val="right"/>
              <w:ind w:right="129"/>
              <w:spacing w:after="0"/>
              <w:rPr>
                <w:sz w:val="20"/>
                <w:szCs w:val="20"/>
                <w:color w:val="auto"/>
              </w:rPr>
            </w:pPr>
            <w:r>
              <w:rPr>
                <w:rFonts w:ascii="Arial" w:cs="Arial" w:eastAsia="Arial" w:hAnsi="Arial"/>
                <w:sz w:val="14"/>
                <w:szCs w:val="14"/>
                <w:color w:val="auto"/>
              </w:rPr>
              <w:t>200</w:t>
            </w:r>
          </w:p>
        </w:tc>
      </w:tr>
      <w:tr>
        <w:trPr>
          <w:trHeight w:val="216"/>
        </w:trPr>
        <w:tc>
          <w:tcPr>
            <w:tcW w:w="5400" w:type="dxa"/>
            <w:vAlign w:val="bottom"/>
          </w:tcPr>
          <w:p>
            <w:pPr>
              <w:ind w:left="200"/>
              <w:spacing w:after="0"/>
              <w:rPr>
                <w:sz w:val="20"/>
                <w:szCs w:val="20"/>
                <w:color w:val="auto"/>
              </w:rPr>
            </w:pPr>
            <w:r>
              <w:rPr>
                <w:rFonts w:ascii="Arial" w:cs="Arial" w:eastAsia="Arial" w:hAnsi="Arial"/>
                <w:sz w:val="14"/>
                <w:szCs w:val="14"/>
                <w:color w:val="auto"/>
              </w:rPr>
              <w:t>Employee Stock Ownership Plan</w:t>
            </w:r>
          </w:p>
        </w:tc>
        <w:tc>
          <w:tcPr>
            <w:tcW w:w="3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5400" w:type="dxa"/>
            <w:vAlign w:val="bottom"/>
          </w:tcPr>
          <w:p>
            <w:pPr>
              <w:ind w:left="440"/>
              <w:spacing w:after="0"/>
              <w:rPr>
                <w:sz w:val="20"/>
                <w:szCs w:val="20"/>
                <w:color w:val="auto"/>
              </w:rPr>
            </w:pPr>
            <w:r>
              <w:rPr>
                <w:rFonts w:ascii="Arial" w:cs="Arial" w:eastAsia="Arial" w:hAnsi="Arial"/>
                <w:sz w:val="14"/>
                <w:szCs w:val="14"/>
                <w:color w:val="auto"/>
              </w:rPr>
              <w:t>Bonds at 5.781% (fixed rate to July 1, 2010) November 1, 2014</w:t>
            </w:r>
          </w:p>
        </w:tc>
        <w:tc>
          <w:tcPr>
            <w:tcW w:w="380" w:type="dxa"/>
            <w:vAlign w:val="bottom"/>
          </w:tcPr>
          <w:p>
            <w:pPr>
              <w:spacing w:after="0"/>
              <w:rPr>
                <w:sz w:val="18"/>
                <w:szCs w:val="18"/>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50</w:t>
            </w:r>
          </w:p>
        </w:tc>
        <w:tc>
          <w:tcPr>
            <w:tcW w:w="160" w:type="dxa"/>
            <w:vAlign w:val="bottom"/>
          </w:tcPr>
          <w:p>
            <w:pPr>
              <w:spacing w:after="0"/>
              <w:rPr>
                <w:sz w:val="18"/>
                <w:szCs w:val="18"/>
                <w:color w:val="auto"/>
              </w:rPr>
            </w:pPr>
          </w:p>
        </w:tc>
        <w:tc>
          <w:tcPr>
            <w:tcW w:w="1000" w:type="dxa"/>
            <w:vAlign w:val="bottom"/>
          </w:tcPr>
          <w:p>
            <w:pPr>
              <w:jc w:val="right"/>
              <w:ind w:right="129"/>
              <w:spacing w:after="0"/>
              <w:rPr>
                <w:sz w:val="20"/>
                <w:szCs w:val="20"/>
                <w:color w:val="auto"/>
              </w:rPr>
            </w:pPr>
            <w:r>
              <w:rPr>
                <w:rFonts w:ascii="Arial" w:cs="Arial" w:eastAsia="Arial" w:hAnsi="Arial"/>
                <w:sz w:val="14"/>
                <w:szCs w:val="14"/>
                <w:color w:val="auto"/>
              </w:rPr>
              <w:t>50</w:t>
            </w:r>
          </w:p>
        </w:tc>
      </w:tr>
      <w:tr>
        <w:trPr>
          <w:trHeight w:val="216"/>
        </w:trPr>
        <w:tc>
          <w:tcPr>
            <w:tcW w:w="5400" w:type="dxa"/>
            <w:vAlign w:val="bottom"/>
          </w:tcPr>
          <w:p>
            <w:pPr>
              <w:ind w:left="440"/>
              <w:spacing w:after="0"/>
              <w:rPr>
                <w:sz w:val="20"/>
                <w:szCs w:val="20"/>
                <w:color w:val="auto"/>
              </w:rPr>
            </w:pPr>
            <w:r>
              <w:rPr>
                <w:rFonts w:ascii="Arial" w:cs="Arial" w:eastAsia="Arial" w:hAnsi="Arial"/>
                <w:sz w:val="14"/>
                <w:szCs w:val="14"/>
                <w:color w:val="auto"/>
              </w:rPr>
              <w:t>Bonds at variable rates (5.26% at December 31, 2008)</w:t>
            </w:r>
          </w:p>
        </w:tc>
        <w:tc>
          <w:tcPr>
            <w:tcW w:w="3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5400" w:type="dxa"/>
            <w:vAlign w:val="bottom"/>
          </w:tcPr>
          <w:p>
            <w:pPr>
              <w:ind w:left="700"/>
              <w:spacing w:after="0"/>
              <w:rPr>
                <w:sz w:val="20"/>
                <w:szCs w:val="20"/>
                <w:color w:val="auto"/>
              </w:rPr>
            </w:pPr>
            <w:r>
              <w:rPr>
                <w:rFonts w:ascii="Arial" w:cs="Arial" w:eastAsia="Arial" w:hAnsi="Arial"/>
                <w:sz w:val="14"/>
                <w:szCs w:val="14"/>
                <w:color w:val="auto"/>
              </w:rPr>
              <w:t>November 1, 2014</w:t>
            </w:r>
          </w:p>
        </w:tc>
        <w:tc>
          <w:tcPr>
            <w:tcW w:w="380" w:type="dxa"/>
            <w:vAlign w:val="bottom"/>
          </w:tcPr>
          <w:p>
            <w:pPr>
              <w:spacing w:after="0"/>
              <w:rPr>
                <w:sz w:val="18"/>
                <w:szCs w:val="18"/>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22</w:t>
            </w:r>
          </w:p>
        </w:tc>
        <w:tc>
          <w:tcPr>
            <w:tcW w:w="160" w:type="dxa"/>
            <w:vAlign w:val="bottom"/>
          </w:tcPr>
          <w:p>
            <w:pPr>
              <w:spacing w:after="0"/>
              <w:rPr>
                <w:sz w:val="18"/>
                <w:szCs w:val="18"/>
                <w:color w:val="auto"/>
              </w:rPr>
            </w:pPr>
          </w:p>
        </w:tc>
        <w:tc>
          <w:tcPr>
            <w:tcW w:w="1000" w:type="dxa"/>
            <w:vAlign w:val="bottom"/>
          </w:tcPr>
          <w:p>
            <w:pPr>
              <w:jc w:val="right"/>
              <w:ind w:right="129"/>
              <w:spacing w:after="0"/>
              <w:rPr>
                <w:sz w:val="20"/>
                <w:szCs w:val="20"/>
                <w:color w:val="auto"/>
              </w:rPr>
            </w:pPr>
            <w:r>
              <w:rPr>
                <w:rFonts w:ascii="Arial" w:cs="Arial" w:eastAsia="Arial" w:hAnsi="Arial"/>
                <w:sz w:val="14"/>
                <w:szCs w:val="14"/>
                <w:color w:val="auto"/>
              </w:rPr>
              <w:t>33</w:t>
            </w:r>
          </w:p>
        </w:tc>
      </w:tr>
      <w:tr>
        <w:trPr>
          <w:trHeight w:val="216"/>
        </w:trPr>
        <w:tc>
          <w:tcPr>
            <w:tcW w:w="5400" w:type="dxa"/>
            <w:vAlign w:val="bottom"/>
          </w:tcPr>
          <w:p>
            <w:pPr>
              <w:ind w:left="200"/>
              <w:spacing w:after="0"/>
              <w:rPr>
                <w:sz w:val="20"/>
                <w:szCs w:val="20"/>
                <w:color w:val="auto"/>
              </w:rPr>
            </w:pPr>
            <w:r>
              <w:rPr>
                <w:rFonts w:ascii="Arial" w:cs="Arial" w:eastAsia="Arial" w:hAnsi="Arial"/>
                <w:sz w:val="14"/>
                <w:szCs w:val="14"/>
                <w:color w:val="auto"/>
              </w:rPr>
              <w:t>Market value adjustments for interest-rate swap, net</w:t>
            </w:r>
          </w:p>
        </w:tc>
        <w:tc>
          <w:tcPr>
            <w:tcW w:w="3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0"/>
        </w:trPr>
        <w:tc>
          <w:tcPr>
            <w:tcW w:w="5400" w:type="dxa"/>
            <w:vAlign w:val="bottom"/>
          </w:tcPr>
          <w:p>
            <w:pPr>
              <w:ind w:left="440"/>
              <w:spacing w:after="0"/>
              <w:rPr>
                <w:sz w:val="20"/>
                <w:szCs w:val="20"/>
                <w:color w:val="auto"/>
              </w:rPr>
            </w:pPr>
            <w:r>
              <w:rPr>
                <w:rFonts w:ascii="Arial" w:cs="Arial" w:eastAsia="Arial" w:hAnsi="Arial"/>
                <w:sz w:val="14"/>
                <w:szCs w:val="14"/>
                <w:color w:val="auto"/>
              </w:rPr>
              <w:t>(expires March 1, 2010)</w:t>
            </w:r>
          </w:p>
        </w:tc>
        <w:tc>
          <w:tcPr>
            <w:tcW w:w="3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15</w:t>
            </w:r>
          </w:p>
        </w:tc>
        <w:tc>
          <w:tcPr>
            <w:tcW w:w="1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29"/>
              <w:spacing w:after="0"/>
              <w:rPr>
                <w:sz w:val="20"/>
                <w:szCs w:val="20"/>
                <w:color w:val="auto"/>
              </w:rPr>
            </w:pPr>
            <w:r>
              <w:rPr>
                <w:rFonts w:ascii="Arial" w:cs="Arial" w:eastAsia="Arial" w:hAnsi="Arial"/>
                <w:sz w:val="14"/>
                <w:szCs w:val="14"/>
                <w:color w:val="auto"/>
              </w:rPr>
              <w:t>8</w:t>
            </w:r>
          </w:p>
        </w:tc>
      </w:tr>
      <w:tr>
        <w:trPr>
          <w:trHeight w:val="202"/>
        </w:trPr>
        <w:tc>
          <w:tcPr>
            <w:tcW w:w="54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2,537</w:t>
            </w:r>
          </w:p>
        </w:tc>
        <w:tc>
          <w:tcPr>
            <w:tcW w:w="160" w:type="dxa"/>
            <w:vAlign w:val="bottom"/>
          </w:tcPr>
          <w:p>
            <w:pPr>
              <w:spacing w:after="0"/>
              <w:rPr>
                <w:sz w:val="17"/>
                <w:szCs w:val="17"/>
                <w:color w:val="auto"/>
              </w:rPr>
            </w:pPr>
          </w:p>
        </w:tc>
        <w:tc>
          <w:tcPr>
            <w:tcW w:w="1000" w:type="dxa"/>
            <w:vAlign w:val="bottom"/>
          </w:tcPr>
          <w:p>
            <w:pPr>
              <w:jc w:val="right"/>
              <w:ind w:right="129"/>
              <w:spacing w:after="0"/>
              <w:rPr>
                <w:sz w:val="20"/>
                <w:szCs w:val="20"/>
                <w:color w:val="auto"/>
              </w:rPr>
            </w:pPr>
            <w:r>
              <w:rPr>
                <w:rFonts w:ascii="Arial" w:cs="Arial" w:eastAsia="Arial" w:hAnsi="Arial"/>
                <w:sz w:val="14"/>
                <w:szCs w:val="14"/>
                <w:color w:val="auto"/>
              </w:rPr>
              <w:t>1,291</w:t>
            </w:r>
          </w:p>
        </w:tc>
      </w:tr>
      <w:tr>
        <w:trPr>
          <w:trHeight w:val="216"/>
        </w:trPr>
        <w:tc>
          <w:tcPr>
            <w:tcW w:w="5400" w:type="dxa"/>
            <w:vAlign w:val="bottom"/>
          </w:tcPr>
          <w:p>
            <w:pPr>
              <w:ind w:left="200"/>
              <w:spacing w:after="0"/>
              <w:rPr>
                <w:sz w:val="20"/>
                <w:szCs w:val="20"/>
                <w:color w:val="auto"/>
              </w:rPr>
            </w:pPr>
            <w:r>
              <w:rPr>
                <w:rFonts w:ascii="Arial" w:cs="Arial" w:eastAsia="Arial" w:hAnsi="Arial"/>
                <w:sz w:val="14"/>
                <w:szCs w:val="14"/>
                <w:color w:val="auto"/>
              </w:rPr>
              <w:t>Current portion of long-term debt</w:t>
            </w:r>
          </w:p>
        </w:tc>
        <w:tc>
          <w:tcPr>
            <w:tcW w:w="3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(300 )</w:t>
            </w:r>
          </w:p>
        </w:tc>
        <w:tc>
          <w:tcPr>
            <w:tcW w:w="160" w:type="dxa"/>
            <w:vAlign w:val="bottom"/>
          </w:tcPr>
          <w:p>
            <w:pPr>
              <w:spacing w:after="0"/>
              <w:rPr>
                <w:sz w:val="18"/>
                <w:szCs w:val="18"/>
                <w:color w:val="auto"/>
              </w:rPr>
            </w:pPr>
          </w:p>
        </w:tc>
        <w:tc>
          <w:tcPr>
            <w:tcW w:w="1000" w:type="dxa"/>
            <w:vAlign w:val="bottom"/>
          </w:tcPr>
          <w:p>
            <w:pPr>
              <w:jc w:val="right"/>
              <w:ind w:right="129"/>
              <w:spacing w:after="0"/>
              <w:rPr>
                <w:sz w:val="20"/>
                <w:szCs w:val="20"/>
                <w:color w:val="auto"/>
              </w:rPr>
            </w:pPr>
            <w:r>
              <w:rPr>
                <w:rFonts w:ascii="Arial" w:cs="Arial" w:eastAsia="Arial" w:hAnsi="Arial"/>
                <w:sz w:val="14"/>
                <w:szCs w:val="14"/>
                <w:color w:val="auto"/>
              </w:rPr>
              <w:t>--</w:t>
            </w:r>
          </w:p>
        </w:tc>
      </w:tr>
      <w:tr>
        <w:trPr>
          <w:trHeight w:val="222"/>
        </w:trPr>
        <w:tc>
          <w:tcPr>
            <w:tcW w:w="5400" w:type="dxa"/>
            <w:vAlign w:val="bottom"/>
          </w:tcPr>
          <w:p>
            <w:pPr>
              <w:ind w:left="200"/>
              <w:spacing w:after="0"/>
              <w:rPr>
                <w:sz w:val="20"/>
                <w:szCs w:val="20"/>
                <w:color w:val="auto"/>
              </w:rPr>
            </w:pPr>
            <w:r>
              <w:rPr>
                <w:rFonts w:ascii="Arial" w:cs="Arial" w:eastAsia="Arial" w:hAnsi="Arial"/>
                <w:sz w:val="14"/>
                <w:szCs w:val="14"/>
                <w:color w:val="auto"/>
              </w:rPr>
              <w:t>Unamortized discount on long-term debt</w:t>
            </w:r>
          </w:p>
        </w:tc>
        <w:tc>
          <w:tcPr>
            <w:tcW w:w="3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(4 )</w:t>
            </w: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(1 )</w:t>
            </w:r>
          </w:p>
        </w:tc>
      </w:tr>
      <w:tr>
        <w:trPr>
          <w:trHeight w:val="224"/>
        </w:trPr>
        <w:tc>
          <w:tcPr>
            <w:tcW w:w="5400" w:type="dxa"/>
            <w:vAlign w:val="bottom"/>
            <w:tcBorders>
              <w:bottom w:val="single" w:sz="8" w:color="auto"/>
            </w:tcBorders>
          </w:tcPr>
          <w:p>
            <w:pPr>
              <w:ind w:left="200"/>
              <w:spacing w:after="0"/>
              <w:rPr>
                <w:sz w:val="20"/>
                <w:szCs w:val="20"/>
                <w:color w:val="auto"/>
              </w:rPr>
            </w:pPr>
            <w:r>
              <w:rPr>
                <w:rFonts w:ascii="Arial" w:cs="Arial" w:eastAsia="Arial" w:hAnsi="Arial"/>
                <w:sz w:val="14"/>
                <w:szCs w:val="14"/>
                <w:color w:val="auto"/>
              </w:rPr>
              <w:t>Total long-term debt</w:t>
            </w:r>
          </w:p>
        </w:tc>
        <w:tc>
          <w:tcPr>
            <w:tcW w:w="380" w:type="dxa"/>
            <w:vAlign w:val="bottom"/>
            <w:tcBorders>
              <w:bottom w:val="single" w:sz="8" w:color="auto"/>
            </w:tcBorders>
          </w:tcPr>
          <w:p>
            <w:pPr>
              <w:ind w:left="220"/>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2,233</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ind w:right="129"/>
              <w:spacing w:after="0"/>
              <w:rPr>
                <w:sz w:val="20"/>
                <w:szCs w:val="20"/>
                <w:color w:val="auto"/>
              </w:rPr>
            </w:pPr>
            <w:r>
              <w:rPr>
                <w:rFonts w:ascii="Arial" w:cs="Arial" w:eastAsia="Arial" w:hAnsi="Arial"/>
                <w:sz w:val="14"/>
                <w:szCs w:val="14"/>
                <w:color w:val="auto"/>
              </w:rPr>
              <w:t>1,290</w:t>
            </w:r>
          </w:p>
        </w:tc>
      </w:tr>
    </w:tbl>
    <w:p>
      <w:pPr>
        <w:spacing w:after="0" w:line="252" w:lineRule="exact"/>
        <w:rPr>
          <w:sz w:val="20"/>
          <w:szCs w:val="20"/>
          <w:color w:val="auto"/>
        </w:rPr>
      </w:pPr>
    </w:p>
    <w:p>
      <w:pPr>
        <w:spacing w:after="0" w:line="277" w:lineRule="auto"/>
        <w:rPr>
          <w:sz w:val="20"/>
          <w:szCs w:val="20"/>
          <w:color w:val="auto"/>
        </w:rPr>
      </w:pPr>
      <w:r>
        <w:rPr>
          <w:rFonts w:ascii="Arial" w:cs="Arial" w:eastAsia="Arial" w:hAnsi="Arial"/>
          <w:sz w:val="16"/>
          <w:szCs w:val="16"/>
          <w:color w:val="auto"/>
        </w:rPr>
        <w:t>Maturities of long-term debt, excluding market value adjustments for the interest-rate swap, are $300 million in 2009, $500 million in 2010, $650 million in 2013 and $1.1 billion thereafter.</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Additional information on Sempra Energy's long-term debt is provided in Note 6 of the Notes to Consolidated Financial Statements in the Annual Report.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Commitments and Contingencies</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For contingencies and guarantees related to Sempra Energy, refer to Notes 6 and 16 of the Notes to Consolidated Financial Statements in the Annual Report.</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4"/>
          <w:szCs w:val="14"/>
          <w:color w:val="auto"/>
        </w:rPr>
        <w:t>41</w:t>
      </w:r>
    </w:p>
    <w:p>
      <w:pPr>
        <w:sectPr>
          <w:pgSz w:w="11900" w:h="16838" w:orient="portrait"/>
          <w:cols w:equalWidth="0" w:num="1">
            <w:col w:w="11400"/>
          </w:cols>
          <w:pgMar w:left="240" w:top="120" w:right="259" w:bottom="1440" w:gutter="0" w:footer="0" w:header="0"/>
        </w:sectPr>
      </w:pPr>
    </w:p>
    <w:bookmarkStart w:id="41" w:name="page42"/>
    <w:bookmarkEnd w:id="4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149860</wp:posOffset>
            </wp:positionH>
            <wp:positionV relativeFrom="page">
              <wp:posOffset>432435</wp:posOffset>
            </wp:positionV>
            <wp:extent cx="7261860" cy="762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1860" cy="7620"/>
                    </a:xfrm>
                    <a:prstGeom prst="rect">
                      <a:avLst/>
                    </a:prstGeom>
                    <a:noFill/>
                  </pic:spPr>
                </pic:pic>
              </a:graphicData>
            </a:graphic>
          </wp:anchor>
        </w:drawing>
        <w:t>SCHEDULE I – PACIFIC ENTERPRISES CONDENSED FINANCIAL INFORMATION OF PARENT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1149350</wp:posOffset>
            </wp:positionH>
            <wp:positionV relativeFrom="paragraph">
              <wp:posOffset>236855</wp:posOffset>
            </wp:positionV>
            <wp:extent cx="4965700" cy="419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4965700" cy="419735"/>
                    </a:xfrm>
                    <a:prstGeom prst="rect">
                      <a:avLst/>
                    </a:prstGeom>
                    <a:noFill/>
                  </pic:spPr>
                </pic:pic>
              </a:graphicData>
            </a:graphic>
          </wp:anchor>
        </w:drawing>
      </w:r>
    </w:p>
    <w:p>
      <w:pPr>
        <w:spacing w:after="0" w:line="385" w:lineRule="exact"/>
        <w:rPr>
          <w:sz w:val="20"/>
          <w:szCs w:val="20"/>
          <w:color w:val="auto"/>
        </w:rPr>
      </w:pPr>
    </w:p>
    <w:p>
      <w:pPr>
        <w:ind w:left="1820"/>
        <w:spacing w:after="0"/>
        <w:rPr>
          <w:sz w:val="20"/>
          <w:szCs w:val="20"/>
          <w:color w:val="auto"/>
        </w:rPr>
      </w:pPr>
      <w:r>
        <w:rPr>
          <w:rFonts w:ascii="Arial" w:cs="Arial" w:eastAsia="Arial" w:hAnsi="Arial"/>
          <w:sz w:val="14"/>
          <w:szCs w:val="14"/>
          <w:b w:val="1"/>
          <w:bCs w:val="1"/>
          <w:color w:val="auto"/>
        </w:rPr>
        <w:t>PACIFIC ENTERPRISES</w:t>
      </w:r>
    </w:p>
    <w:p>
      <w:pPr>
        <w:spacing w:after="0" w:line="55" w:lineRule="exact"/>
        <w:rPr>
          <w:sz w:val="20"/>
          <w:szCs w:val="20"/>
          <w:color w:val="auto"/>
        </w:rPr>
      </w:pPr>
    </w:p>
    <w:p>
      <w:pPr>
        <w:ind w:left="1820"/>
        <w:spacing w:after="0"/>
        <w:rPr>
          <w:sz w:val="20"/>
          <w:szCs w:val="20"/>
          <w:color w:val="auto"/>
        </w:rPr>
      </w:pPr>
      <w:r>
        <w:rPr>
          <w:rFonts w:ascii="Arial" w:cs="Arial" w:eastAsia="Arial" w:hAnsi="Arial"/>
          <w:sz w:val="14"/>
          <w:szCs w:val="14"/>
          <w:b w:val="1"/>
          <w:bCs w:val="1"/>
          <w:color w:val="auto"/>
        </w:rPr>
        <w:t>CONDENSED STATEMENTS OF INCOME</w:t>
      </w:r>
    </w:p>
    <w:p>
      <w:pPr>
        <w:spacing w:after="0" w:line="49" w:lineRule="exact"/>
        <w:rPr>
          <w:sz w:val="20"/>
          <w:szCs w:val="20"/>
          <w:color w:val="auto"/>
        </w:rPr>
      </w:pPr>
    </w:p>
    <w:tbl>
      <w:tblPr>
        <w:tblLayout w:type="fixed"/>
        <w:tblInd w:w="1800" w:type="dxa"/>
        <w:tblCellMar>
          <w:top w:w="0" w:type="dxa"/>
          <w:left w:w="0" w:type="dxa"/>
          <w:bottom w:w="0" w:type="dxa"/>
          <w:right w:w="0" w:type="dxa"/>
        </w:tblCellMar>
      </w:tblPr>
      <w:tr>
        <w:trPr>
          <w:trHeight w:val="202"/>
        </w:trPr>
        <w:tc>
          <w:tcPr>
            <w:tcW w:w="4240" w:type="dxa"/>
            <w:vAlign w:val="bottom"/>
          </w:tcPr>
          <w:p>
            <w:pPr>
              <w:ind w:left="20"/>
              <w:spacing w:after="0"/>
              <w:rPr>
                <w:sz w:val="20"/>
                <w:szCs w:val="20"/>
                <w:color w:val="auto"/>
              </w:rPr>
            </w:pPr>
            <w:r>
              <w:rPr>
                <w:rFonts w:ascii="Arial" w:cs="Arial" w:eastAsia="Arial" w:hAnsi="Arial"/>
                <w:sz w:val="13"/>
                <w:szCs w:val="13"/>
                <w:i w:val="1"/>
                <w:iCs w:val="1"/>
                <w:color w:val="auto"/>
              </w:rPr>
              <w:t>(Dollars in millions)</w:t>
            </w:r>
          </w:p>
        </w:tc>
        <w:tc>
          <w:tcPr>
            <w:tcW w:w="380" w:type="dxa"/>
            <w:vAlign w:val="bottom"/>
            <w:shd w:val="clear" w:color="auto" w:fill="D9D9D9"/>
          </w:tcPr>
          <w:p>
            <w:pPr>
              <w:spacing w:after="0"/>
              <w:rPr>
                <w:sz w:val="17"/>
                <w:szCs w:val="17"/>
                <w:color w:val="auto"/>
              </w:rPr>
            </w:pPr>
          </w:p>
        </w:tc>
        <w:tc>
          <w:tcPr>
            <w:tcW w:w="580" w:type="dxa"/>
            <w:vAlign w:val="bottom"/>
            <w:shd w:val="clear" w:color="auto" w:fill="D9D9D9"/>
          </w:tcPr>
          <w:p>
            <w:pPr>
              <w:spacing w:after="0"/>
              <w:rPr>
                <w:sz w:val="17"/>
                <w:szCs w:val="17"/>
                <w:color w:val="auto"/>
              </w:rPr>
            </w:pPr>
          </w:p>
        </w:tc>
        <w:tc>
          <w:tcPr>
            <w:tcW w:w="600" w:type="dxa"/>
            <w:vAlign w:val="bottom"/>
            <w:shd w:val="clear" w:color="auto" w:fill="D9D9D9"/>
          </w:tcPr>
          <w:p>
            <w:pPr>
              <w:spacing w:after="0"/>
              <w:rPr>
                <w:sz w:val="17"/>
                <w:szCs w:val="17"/>
                <w:color w:val="auto"/>
              </w:rPr>
            </w:pPr>
          </w:p>
        </w:tc>
        <w:tc>
          <w:tcPr>
            <w:tcW w:w="1040" w:type="dxa"/>
            <w:vAlign w:val="bottom"/>
            <w:shd w:val="clear" w:color="auto" w:fill="D9D9D9"/>
          </w:tcPr>
          <w:p>
            <w:pPr>
              <w:spacing w:after="0"/>
              <w:rPr>
                <w:sz w:val="17"/>
                <w:szCs w:val="17"/>
                <w:color w:val="auto"/>
              </w:rPr>
            </w:pPr>
          </w:p>
        </w:tc>
        <w:tc>
          <w:tcPr>
            <w:tcW w:w="180" w:type="dxa"/>
            <w:vAlign w:val="bottom"/>
            <w:shd w:val="clear" w:color="auto" w:fill="D9D9D9"/>
          </w:tcPr>
          <w:p>
            <w:pPr>
              <w:spacing w:after="0"/>
              <w:rPr>
                <w:sz w:val="17"/>
                <w:szCs w:val="17"/>
                <w:color w:val="auto"/>
              </w:rPr>
            </w:pPr>
          </w:p>
        </w:tc>
        <w:tc>
          <w:tcPr>
            <w:tcW w:w="820" w:type="dxa"/>
            <w:vAlign w:val="bottom"/>
            <w:shd w:val="clear" w:color="auto" w:fill="D9D9D9"/>
          </w:tcPr>
          <w:p>
            <w:pPr>
              <w:spacing w:after="0"/>
              <w:rPr>
                <w:sz w:val="17"/>
                <w:szCs w:val="17"/>
                <w:color w:val="auto"/>
              </w:rPr>
            </w:pPr>
          </w:p>
        </w:tc>
      </w:tr>
      <w:tr>
        <w:trPr>
          <w:trHeight w:val="199"/>
        </w:trPr>
        <w:tc>
          <w:tcPr>
            <w:tcW w:w="424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color w:val="auto"/>
                <w:w w:val="99"/>
              </w:rPr>
              <w:t>Years ended December 31,</w:t>
            </w:r>
          </w:p>
        </w:tc>
        <w:tc>
          <w:tcPr>
            <w:tcW w:w="1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r>
      <w:tr>
        <w:trPr>
          <w:trHeight w:val="208"/>
        </w:trPr>
        <w:tc>
          <w:tcPr>
            <w:tcW w:w="424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169"/>
              <w:spacing w:after="0"/>
              <w:rPr>
                <w:sz w:val="20"/>
                <w:szCs w:val="20"/>
                <w:color w:val="auto"/>
              </w:rPr>
            </w:pPr>
            <w:r>
              <w:rPr>
                <w:rFonts w:ascii="Arial" w:cs="Arial" w:eastAsia="Arial" w:hAnsi="Arial"/>
                <w:sz w:val="13"/>
                <w:szCs w:val="13"/>
                <w:color w:val="auto"/>
              </w:rPr>
              <w:t>2008</w:t>
            </w:r>
          </w:p>
        </w:tc>
        <w:tc>
          <w:tcPr>
            <w:tcW w:w="6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629"/>
              <w:spacing w:after="0"/>
              <w:rPr>
                <w:sz w:val="20"/>
                <w:szCs w:val="20"/>
                <w:color w:val="auto"/>
              </w:rPr>
            </w:pPr>
            <w:r>
              <w:rPr>
                <w:rFonts w:ascii="Arial" w:cs="Arial" w:eastAsia="Arial" w:hAnsi="Arial"/>
                <w:sz w:val="13"/>
                <w:szCs w:val="13"/>
                <w:color w:val="auto"/>
              </w:rPr>
              <w:t>2007</w:t>
            </w:r>
          </w:p>
        </w:tc>
        <w:tc>
          <w:tcPr>
            <w:tcW w:w="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409"/>
              <w:spacing w:after="0"/>
              <w:rPr>
                <w:sz w:val="20"/>
                <w:szCs w:val="20"/>
                <w:color w:val="auto"/>
              </w:rPr>
            </w:pPr>
            <w:r>
              <w:rPr>
                <w:rFonts w:ascii="Arial" w:cs="Arial" w:eastAsia="Arial" w:hAnsi="Arial"/>
                <w:sz w:val="13"/>
                <w:szCs w:val="13"/>
                <w:color w:val="auto"/>
              </w:rPr>
              <w:t>2006</w:t>
            </w:r>
          </w:p>
        </w:tc>
      </w:tr>
      <w:tr>
        <w:trPr>
          <w:trHeight w:val="423"/>
        </w:trPr>
        <w:tc>
          <w:tcPr>
            <w:tcW w:w="4240" w:type="dxa"/>
            <w:vAlign w:val="bottom"/>
          </w:tcPr>
          <w:p>
            <w:pPr>
              <w:ind w:left="20"/>
              <w:spacing w:after="0"/>
              <w:rPr>
                <w:sz w:val="20"/>
                <w:szCs w:val="20"/>
                <w:color w:val="auto"/>
              </w:rPr>
            </w:pPr>
            <w:r>
              <w:rPr>
                <w:rFonts w:ascii="Arial" w:cs="Arial" w:eastAsia="Arial" w:hAnsi="Arial"/>
                <w:sz w:val="14"/>
                <w:szCs w:val="14"/>
                <w:color w:val="auto"/>
              </w:rPr>
              <w:t>Interest and other income</w:t>
            </w:r>
          </w:p>
        </w:tc>
        <w:tc>
          <w:tcPr>
            <w:tcW w:w="380" w:type="dxa"/>
            <w:vAlign w:val="bottom"/>
          </w:tcPr>
          <w:p>
            <w:pPr>
              <w:jc w:val="right"/>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11</w:t>
            </w: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429"/>
              <w:spacing w:after="0"/>
              <w:rPr>
                <w:sz w:val="20"/>
                <w:szCs w:val="20"/>
                <w:color w:val="auto"/>
              </w:rPr>
            </w:pPr>
            <w:r>
              <w:rPr>
                <w:rFonts w:ascii="Arial" w:cs="Arial" w:eastAsia="Arial" w:hAnsi="Arial"/>
                <w:sz w:val="14"/>
                <w:szCs w:val="14"/>
                <w:color w:val="auto"/>
              </w:rPr>
              <w:t>23</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229"/>
              <w:spacing w:after="0"/>
              <w:rPr>
                <w:sz w:val="20"/>
                <w:szCs w:val="20"/>
                <w:color w:val="auto"/>
              </w:rPr>
            </w:pPr>
            <w:r>
              <w:rPr>
                <w:rFonts w:ascii="Arial" w:cs="Arial" w:eastAsia="Arial" w:hAnsi="Arial"/>
                <w:sz w:val="14"/>
                <w:szCs w:val="14"/>
                <w:color w:val="auto"/>
              </w:rPr>
              <w:t>35</w:t>
            </w:r>
          </w:p>
        </w:tc>
      </w:tr>
      <w:tr>
        <w:trPr>
          <w:trHeight w:val="222"/>
        </w:trPr>
        <w:tc>
          <w:tcPr>
            <w:tcW w:w="4240" w:type="dxa"/>
            <w:vAlign w:val="bottom"/>
          </w:tcPr>
          <w:p>
            <w:pPr>
              <w:ind w:left="20"/>
              <w:spacing w:after="0"/>
              <w:rPr>
                <w:sz w:val="20"/>
                <w:szCs w:val="20"/>
                <w:color w:val="auto"/>
              </w:rPr>
            </w:pPr>
            <w:r>
              <w:rPr>
                <w:rFonts w:ascii="Arial" w:cs="Arial" w:eastAsia="Arial" w:hAnsi="Arial"/>
                <w:sz w:val="14"/>
                <w:szCs w:val="14"/>
                <w:color w:val="auto"/>
              </w:rPr>
              <w:t>Expenses, interest and income taxes</w:t>
            </w:r>
          </w:p>
        </w:tc>
        <w:tc>
          <w:tcPr>
            <w:tcW w:w="3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w:t>
            </w:r>
          </w:p>
        </w:tc>
        <w:tc>
          <w:tcPr>
            <w:tcW w:w="6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29"/>
              <w:spacing w:after="0"/>
              <w:rPr>
                <w:sz w:val="20"/>
                <w:szCs w:val="20"/>
                <w:color w:val="auto"/>
              </w:rPr>
            </w:pPr>
            <w:r>
              <w:rPr>
                <w:rFonts w:ascii="Arial" w:cs="Arial" w:eastAsia="Arial" w:hAnsi="Arial"/>
                <w:sz w:val="14"/>
                <w:szCs w:val="14"/>
                <w:color w:val="auto"/>
              </w:rPr>
              <w:t>15</w:t>
            </w: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29"/>
              <w:spacing w:after="0"/>
              <w:rPr>
                <w:sz w:val="20"/>
                <w:szCs w:val="20"/>
                <w:color w:val="auto"/>
              </w:rPr>
            </w:pPr>
            <w:r>
              <w:rPr>
                <w:rFonts w:ascii="Arial" w:cs="Arial" w:eastAsia="Arial" w:hAnsi="Arial"/>
                <w:sz w:val="14"/>
                <w:szCs w:val="14"/>
                <w:color w:val="auto"/>
              </w:rPr>
              <w:t>23</w:t>
            </w:r>
          </w:p>
        </w:tc>
      </w:tr>
      <w:tr>
        <w:trPr>
          <w:trHeight w:val="202"/>
        </w:trPr>
        <w:tc>
          <w:tcPr>
            <w:tcW w:w="4240" w:type="dxa"/>
            <w:vAlign w:val="bottom"/>
          </w:tcPr>
          <w:p>
            <w:pPr>
              <w:ind w:left="180"/>
              <w:spacing w:after="0"/>
              <w:rPr>
                <w:sz w:val="20"/>
                <w:szCs w:val="20"/>
                <w:color w:val="auto"/>
              </w:rPr>
            </w:pPr>
            <w:r>
              <w:rPr>
                <w:rFonts w:ascii="Arial" w:cs="Arial" w:eastAsia="Arial" w:hAnsi="Arial"/>
                <w:sz w:val="14"/>
                <w:szCs w:val="14"/>
                <w:color w:val="auto"/>
              </w:rPr>
              <w:t>Income before equity in earnings of subsidiaries</w:t>
            </w:r>
          </w:p>
        </w:tc>
        <w:tc>
          <w:tcPr>
            <w:tcW w:w="3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4</w:t>
            </w:r>
          </w:p>
        </w:tc>
        <w:tc>
          <w:tcPr>
            <w:tcW w:w="600" w:type="dxa"/>
            <w:vAlign w:val="bottom"/>
          </w:tcPr>
          <w:p>
            <w:pPr>
              <w:spacing w:after="0"/>
              <w:rPr>
                <w:sz w:val="17"/>
                <w:szCs w:val="17"/>
                <w:color w:val="auto"/>
              </w:rPr>
            </w:pPr>
          </w:p>
        </w:tc>
        <w:tc>
          <w:tcPr>
            <w:tcW w:w="1040" w:type="dxa"/>
            <w:vAlign w:val="bottom"/>
          </w:tcPr>
          <w:p>
            <w:pPr>
              <w:jc w:val="right"/>
              <w:ind w:right="429"/>
              <w:spacing w:after="0"/>
              <w:rPr>
                <w:sz w:val="20"/>
                <w:szCs w:val="20"/>
                <w:color w:val="auto"/>
              </w:rPr>
            </w:pPr>
            <w:r>
              <w:rPr>
                <w:rFonts w:ascii="Arial" w:cs="Arial" w:eastAsia="Arial" w:hAnsi="Arial"/>
                <w:sz w:val="14"/>
                <w:szCs w:val="14"/>
                <w:color w:val="auto"/>
              </w:rPr>
              <w:t>8</w:t>
            </w:r>
          </w:p>
        </w:tc>
        <w:tc>
          <w:tcPr>
            <w:tcW w:w="180" w:type="dxa"/>
            <w:vAlign w:val="bottom"/>
          </w:tcPr>
          <w:p>
            <w:pPr>
              <w:spacing w:after="0"/>
              <w:rPr>
                <w:sz w:val="17"/>
                <w:szCs w:val="17"/>
                <w:color w:val="auto"/>
              </w:rPr>
            </w:pPr>
          </w:p>
        </w:tc>
        <w:tc>
          <w:tcPr>
            <w:tcW w:w="820" w:type="dxa"/>
            <w:vAlign w:val="bottom"/>
          </w:tcPr>
          <w:p>
            <w:pPr>
              <w:jc w:val="right"/>
              <w:ind w:right="229"/>
              <w:spacing w:after="0"/>
              <w:rPr>
                <w:sz w:val="20"/>
                <w:szCs w:val="20"/>
                <w:color w:val="auto"/>
              </w:rPr>
            </w:pPr>
            <w:r>
              <w:rPr>
                <w:rFonts w:ascii="Arial" w:cs="Arial" w:eastAsia="Arial" w:hAnsi="Arial"/>
                <w:sz w:val="14"/>
                <w:szCs w:val="14"/>
                <w:color w:val="auto"/>
              </w:rPr>
              <w:t>12</w:t>
            </w:r>
          </w:p>
        </w:tc>
      </w:tr>
      <w:tr>
        <w:trPr>
          <w:trHeight w:val="222"/>
        </w:trPr>
        <w:tc>
          <w:tcPr>
            <w:tcW w:w="4240" w:type="dxa"/>
            <w:vAlign w:val="bottom"/>
          </w:tcPr>
          <w:p>
            <w:pPr>
              <w:ind w:left="20"/>
              <w:spacing w:after="0"/>
              <w:rPr>
                <w:sz w:val="20"/>
                <w:szCs w:val="20"/>
                <w:color w:val="auto"/>
              </w:rPr>
            </w:pPr>
            <w:r>
              <w:rPr>
                <w:rFonts w:ascii="Arial" w:cs="Arial" w:eastAsia="Arial" w:hAnsi="Arial"/>
                <w:sz w:val="14"/>
                <w:szCs w:val="14"/>
                <w:color w:val="auto"/>
              </w:rPr>
              <w:t>Equity in earnings of subsidiaries</w:t>
            </w:r>
          </w:p>
        </w:tc>
        <w:tc>
          <w:tcPr>
            <w:tcW w:w="3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244</w:t>
            </w:r>
          </w:p>
        </w:tc>
        <w:tc>
          <w:tcPr>
            <w:tcW w:w="6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29"/>
              <w:spacing w:after="0"/>
              <w:rPr>
                <w:sz w:val="20"/>
                <w:szCs w:val="20"/>
                <w:color w:val="auto"/>
              </w:rPr>
            </w:pPr>
            <w:r>
              <w:rPr>
                <w:rFonts w:ascii="Arial" w:cs="Arial" w:eastAsia="Arial" w:hAnsi="Arial"/>
                <w:sz w:val="14"/>
                <w:szCs w:val="14"/>
                <w:color w:val="auto"/>
              </w:rPr>
              <w:t>230</w:t>
            </w: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29"/>
              <w:spacing w:after="0"/>
              <w:rPr>
                <w:sz w:val="20"/>
                <w:szCs w:val="20"/>
                <w:color w:val="auto"/>
              </w:rPr>
            </w:pPr>
            <w:r>
              <w:rPr>
                <w:rFonts w:ascii="Arial" w:cs="Arial" w:eastAsia="Arial" w:hAnsi="Arial"/>
                <w:sz w:val="14"/>
                <w:szCs w:val="14"/>
                <w:color w:val="auto"/>
              </w:rPr>
              <w:t>223</w:t>
            </w:r>
          </w:p>
        </w:tc>
      </w:tr>
      <w:tr>
        <w:trPr>
          <w:trHeight w:val="224"/>
        </w:trPr>
        <w:tc>
          <w:tcPr>
            <w:tcW w:w="4240" w:type="dxa"/>
            <w:vAlign w:val="bottom"/>
            <w:tcBorders>
              <w:bottom w:val="single" w:sz="8" w:color="auto"/>
            </w:tcBorders>
          </w:tcPr>
          <w:p>
            <w:pPr>
              <w:ind w:left="180"/>
              <w:spacing w:after="0"/>
              <w:rPr>
                <w:sz w:val="20"/>
                <w:szCs w:val="20"/>
                <w:color w:val="auto"/>
              </w:rPr>
            </w:pPr>
            <w:r>
              <w:rPr>
                <w:rFonts w:ascii="Arial" w:cs="Arial" w:eastAsia="Arial" w:hAnsi="Arial"/>
                <w:sz w:val="14"/>
                <w:szCs w:val="14"/>
                <w:color w:val="auto"/>
              </w:rPr>
              <w:t>Earnings applicable to common shares</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248</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ind w:right="429"/>
              <w:spacing w:after="0"/>
              <w:rPr>
                <w:sz w:val="20"/>
                <w:szCs w:val="20"/>
                <w:color w:val="auto"/>
              </w:rPr>
            </w:pPr>
            <w:r>
              <w:rPr>
                <w:rFonts w:ascii="Arial" w:cs="Arial" w:eastAsia="Arial" w:hAnsi="Arial"/>
                <w:sz w:val="14"/>
                <w:szCs w:val="14"/>
                <w:color w:val="auto"/>
              </w:rPr>
              <w:t>238</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229"/>
              <w:spacing w:after="0"/>
              <w:rPr>
                <w:sz w:val="20"/>
                <w:szCs w:val="20"/>
                <w:color w:val="auto"/>
              </w:rPr>
            </w:pPr>
            <w:r>
              <w:rPr>
                <w:rFonts w:ascii="Arial" w:cs="Arial" w:eastAsia="Arial" w:hAnsi="Arial"/>
                <w:sz w:val="14"/>
                <w:szCs w:val="14"/>
                <w:color w:val="auto"/>
              </w:rPr>
              <w:t>235</w:t>
            </w:r>
          </w:p>
        </w:tc>
      </w:tr>
    </w:tbl>
    <w:p>
      <w:pPr>
        <w:spacing w:after="0" w:line="28" w:lineRule="exact"/>
        <w:rPr>
          <w:sz w:val="20"/>
          <w:szCs w:val="20"/>
          <w:color w:val="auto"/>
        </w:rPr>
      </w:pPr>
    </w:p>
    <w:p>
      <w:pPr>
        <w:ind w:left="1820"/>
        <w:spacing w:after="0"/>
        <w:rPr>
          <w:sz w:val="20"/>
          <w:szCs w:val="20"/>
          <w:color w:val="auto"/>
        </w:rPr>
      </w:pPr>
      <w:r>
        <w:rPr>
          <w:rFonts w:ascii="Arial" w:cs="Arial" w:eastAsia="Arial" w:hAnsi="Arial"/>
          <w:sz w:val="13"/>
          <w:szCs w:val="13"/>
          <w:i w:val="1"/>
          <w:iCs w:val="1"/>
          <w:color w:val="auto"/>
        </w:rPr>
        <w:t>See Notes to Condensed Financial Information of Parent (Pacific Enterprises).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367665</wp:posOffset>
            </wp:positionV>
            <wp:extent cx="7261860" cy="762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1860" cy="7620"/>
                    </a:xfrm>
                    <a:prstGeom prst="rect">
                      <a:avLst/>
                    </a:prstGeom>
                    <a:noFill/>
                  </pic:spPr>
                </pic:pic>
              </a:graphicData>
            </a:graphic>
          </wp:anchor>
        </w:drawing>
        <w:drawing>
          <wp:anchor simplePos="0" relativeHeight="251657728" behindDoc="1" locked="0" layoutInCell="0" allowOverlap="1">
            <wp:simplePos x="0" y="0"/>
            <wp:positionH relativeFrom="column">
              <wp:posOffset>1111250</wp:posOffset>
            </wp:positionH>
            <wp:positionV relativeFrom="paragraph">
              <wp:posOffset>596265</wp:posOffset>
            </wp:positionV>
            <wp:extent cx="5041900" cy="419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041900" cy="419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1760"/>
        <w:spacing w:after="0"/>
        <w:rPr>
          <w:sz w:val="20"/>
          <w:szCs w:val="20"/>
          <w:color w:val="auto"/>
        </w:rPr>
      </w:pPr>
      <w:r>
        <w:rPr>
          <w:rFonts w:ascii="Arial" w:cs="Arial" w:eastAsia="Arial" w:hAnsi="Arial"/>
          <w:sz w:val="14"/>
          <w:szCs w:val="14"/>
          <w:b w:val="1"/>
          <w:bCs w:val="1"/>
          <w:color w:val="auto"/>
        </w:rPr>
        <w:t>PACIFIC ENTERPRISES</w:t>
      </w:r>
    </w:p>
    <w:p>
      <w:pPr>
        <w:spacing w:after="0" w:line="55" w:lineRule="exact"/>
        <w:rPr>
          <w:sz w:val="20"/>
          <w:szCs w:val="20"/>
          <w:color w:val="auto"/>
        </w:rPr>
      </w:pPr>
    </w:p>
    <w:p>
      <w:pPr>
        <w:ind w:left="1760"/>
        <w:spacing w:after="0"/>
        <w:rPr>
          <w:sz w:val="20"/>
          <w:szCs w:val="20"/>
          <w:color w:val="auto"/>
        </w:rPr>
      </w:pPr>
      <w:r>
        <w:rPr>
          <w:rFonts w:ascii="Arial" w:cs="Arial" w:eastAsia="Arial" w:hAnsi="Arial"/>
          <w:sz w:val="14"/>
          <w:szCs w:val="14"/>
          <w:b w:val="1"/>
          <w:bCs w:val="1"/>
          <w:color w:val="auto"/>
        </w:rPr>
        <w:t>CONDENSED BALANCE SHEETS</w:t>
      </w:r>
    </w:p>
    <w:p>
      <w:pPr>
        <w:spacing w:after="0" w:line="49" w:lineRule="exact"/>
        <w:rPr>
          <w:sz w:val="20"/>
          <w:szCs w:val="20"/>
          <w:color w:val="auto"/>
        </w:rPr>
      </w:pPr>
    </w:p>
    <w:tbl>
      <w:tblPr>
        <w:tblLayout w:type="fixed"/>
        <w:tblInd w:w="1740" w:type="dxa"/>
        <w:tblCellMar>
          <w:top w:w="0" w:type="dxa"/>
          <w:left w:w="0" w:type="dxa"/>
          <w:bottom w:w="0" w:type="dxa"/>
          <w:right w:w="0" w:type="dxa"/>
        </w:tblCellMar>
      </w:tblPr>
      <w:tr>
        <w:trPr>
          <w:trHeight w:val="202"/>
        </w:trPr>
        <w:tc>
          <w:tcPr>
            <w:tcW w:w="5000" w:type="dxa"/>
            <w:vAlign w:val="bottom"/>
          </w:tcPr>
          <w:p>
            <w:pPr>
              <w:ind w:left="20"/>
              <w:spacing w:after="0"/>
              <w:rPr>
                <w:sz w:val="20"/>
                <w:szCs w:val="20"/>
                <w:color w:val="auto"/>
              </w:rPr>
            </w:pPr>
            <w:r>
              <w:rPr>
                <w:rFonts w:ascii="Arial" w:cs="Arial" w:eastAsia="Arial" w:hAnsi="Arial"/>
                <w:sz w:val="13"/>
                <w:szCs w:val="13"/>
                <w:i w:val="1"/>
                <w:iCs w:val="1"/>
                <w:color w:val="auto"/>
              </w:rPr>
              <w:t>(Dollars in millions)</w:t>
            </w:r>
          </w:p>
        </w:tc>
        <w:tc>
          <w:tcPr>
            <w:tcW w:w="300" w:type="dxa"/>
            <w:vAlign w:val="bottom"/>
            <w:shd w:val="clear" w:color="auto" w:fill="D9D9D9"/>
          </w:tcPr>
          <w:p>
            <w:pPr>
              <w:spacing w:after="0"/>
              <w:rPr>
                <w:sz w:val="17"/>
                <w:szCs w:val="17"/>
                <w:color w:val="auto"/>
              </w:rPr>
            </w:pPr>
          </w:p>
        </w:tc>
        <w:tc>
          <w:tcPr>
            <w:tcW w:w="140" w:type="dxa"/>
            <w:vAlign w:val="bottom"/>
            <w:shd w:val="clear" w:color="auto" w:fill="D9D9D9"/>
          </w:tcPr>
          <w:p>
            <w:pPr>
              <w:spacing w:after="0"/>
              <w:rPr>
                <w:sz w:val="17"/>
                <w:szCs w:val="17"/>
                <w:color w:val="auto"/>
              </w:rPr>
            </w:pPr>
          </w:p>
        </w:tc>
        <w:tc>
          <w:tcPr>
            <w:tcW w:w="1140" w:type="dxa"/>
            <w:vAlign w:val="bottom"/>
            <w:shd w:val="clear" w:color="auto" w:fill="D9D9D9"/>
          </w:tcPr>
          <w:p>
            <w:pPr>
              <w:spacing w:after="0"/>
              <w:rPr>
                <w:sz w:val="17"/>
                <w:szCs w:val="17"/>
                <w:color w:val="auto"/>
              </w:rPr>
            </w:pPr>
          </w:p>
        </w:tc>
        <w:tc>
          <w:tcPr>
            <w:tcW w:w="520" w:type="dxa"/>
            <w:vAlign w:val="bottom"/>
            <w:shd w:val="clear" w:color="auto" w:fill="D9D9D9"/>
          </w:tcPr>
          <w:p>
            <w:pPr>
              <w:spacing w:after="0"/>
              <w:rPr>
                <w:sz w:val="17"/>
                <w:szCs w:val="17"/>
                <w:color w:val="auto"/>
              </w:rPr>
            </w:pPr>
          </w:p>
        </w:tc>
        <w:tc>
          <w:tcPr>
            <w:tcW w:w="860" w:type="dxa"/>
            <w:vAlign w:val="bottom"/>
            <w:shd w:val="clear" w:color="auto" w:fill="D9D9D9"/>
          </w:tcPr>
          <w:p>
            <w:pPr>
              <w:spacing w:after="0"/>
              <w:rPr>
                <w:sz w:val="17"/>
                <w:szCs w:val="17"/>
                <w:color w:val="auto"/>
              </w:rPr>
            </w:pPr>
          </w:p>
        </w:tc>
        <w:tc>
          <w:tcPr>
            <w:tcW w:w="0" w:type="dxa"/>
            <w:vAlign w:val="bottom"/>
          </w:tcPr>
          <w:p>
            <w:pPr>
              <w:spacing w:after="0"/>
              <w:rPr>
                <w:sz w:val="1"/>
                <w:szCs w:val="1"/>
                <w:color w:val="auto"/>
              </w:rPr>
            </w:pPr>
          </w:p>
        </w:tc>
      </w:tr>
      <w:tr>
        <w:trPr>
          <w:trHeight w:val="170"/>
        </w:trPr>
        <w:tc>
          <w:tcPr>
            <w:tcW w:w="5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jc w:val="right"/>
              <w:ind w:right="249"/>
              <w:spacing w:after="0"/>
              <w:rPr>
                <w:sz w:val="20"/>
                <w:szCs w:val="20"/>
                <w:color w:val="auto"/>
              </w:rPr>
            </w:pPr>
            <w:r>
              <w:rPr>
                <w:rFonts w:ascii="Arial" w:cs="Arial" w:eastAsia="Arial" w:hAnsi="Arial"/>
                <w:sz w:val="13"/>
                <w:szCs w:val="13"/>
                <w:color w:val="auto"/>
                <w:w w:val="97"/>
              </w:rPr>
              <w:t>December 31,</w:t>
            </w:r>
          </w:p>
        </w:tc>
        <w:tc>
          <w:tcPr>
            <w:tcW w:w="1380" w:type="dxa"/>
            <w:vAlign w:val="bottom"/>
            <w:gridSpan w:val="2"/>
          </w:tcPr>
          <w:p>
            <w:pPr>
              <w:jc w:val="right"/>
              <w:ind w:right="129"/>
              <w:spacing w:after="0"/>
              <w:rPr>
                <w:sz w:val="20"/>
                <w:szCs w:val="20"/>
                <w:color w:val="auto"/>
              </w:rPr>
            </w:pPr>
            <w:r>
              <w:rPr>
                <w:rFonts w:ascii="Arial" w:cs="Arial" w:eastAsia="Arial" w:hAnsi="Arial"/>
                <w:sz w:val="13"/>
                <w:szCs w:val="13"/>
                <w:color w:val="auto"/>
              </w:rPr>
              <w:t>December 31,</w:t>
            </w:r>
          </w:p>
        </w:tc>
        <w:tc>
          <w:tcPr>
            <w:tcW w:w="0" w:type="dxa"/>
            <w:vAlign w:val="bottom"/>
          </w:tcPr>
          <w:p>
            <w:pPr>
              <w:spacing w:after="0"/>
              <w:rPr>
                <w:sz w:val="1"/>
                <w:szCs w:val="1"/>
                <w:color w:val="auto"/>
              </w:rPr>
            </w:pPr>
          </w:p>
        </w:tc>
      </w:tr>
      <w:tr>
        <w:trPr>
          <w:trHeight w:val="216"/>
        </w:trPr>
        <w:tc>
          <w:tcPr>
            <w:tcW w:w="5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ind w:right="509"/>
              <w:spacing w:after="0"/>
              <w:rPr>
                <w:sz w:val="20"/>
                <w:szCs w:val="20"/>
                <w:color w:val="auto"/>
              </w:rPr>
            </w:pPr>
            <w:r>
              <w:rPr>
                <w:rFonts w:ascii="Arial" w:cs="Arial" w:eastAsia="Arial" w:hAnsi="Arial"/>
                <w:sz w:val="13"/>
                <w:szCs w:val="13"/>
                <w:color w:val="auto"/>
              </w:rPr>
              <w:t>2008</w:t>
            </w:r>
          </w:p>
        </w:tc>
        <w:tc>
          <w:tcPr>
            <w:tcW w:w="520" w:type="dxa"/>
            <w:vAlign w:val="bottom"/>
          </w:tcPr>
          <w:p>
            <w:pPr>
              <w:spacing w:after="0"/>
              <w:rPr>
                <w:sz w:val="18"/>
                <w:szCs w:val="18"/>
                <w:color w:val="auto"/>
              </w:rPr>
            </w:pPr>
          </w:p>
        </w:tc>
        <w:tc>
          <w:tcPr>
            <w:tcW w:w="860" w:type="dxa"/>
            <w:vAlign w:val="bottom"/>
          </w:tcPr>
          <w:p>
            <w:pPr>
              <w:jc w:val="right"/>
              <w:ind w:right="389"/>
              <w:spacing w:after="0"/>
              <w:rPr>
                <w:sz w:val="20"/>
                <w:szCs w:val="20"/>
                <w:color w:val="auto"/>
              </w:rPr>
            </w:pPr>
            <w:r>
              <w:rPr>
                <w:rFonts w:ascii="Arial" w:cs="Arial" w:eastAsia="Arial" w:hAnsi="Arial"/>
                <w:sz w:val="13"/>
                <w:szCs w:val="13"/>
                <w:color w:val="auto"/>
              </w:rPr>
              <w:t>2007</w:t>
            </w:r>
          </w:p>
        </w:tc>
        <w:tc>
          <w:tcPr>
            <w:tcW w:w="0" w:type="dxa"/>
            <w:vAlign w:val="bottom"/>
          </w:tcPr>
          <w:p>
            <w:pPr>
              <w:spacing w:after="0"/>
              <w:rPr>
                <w:sz w:val="1"/>
                <w:szCs w:val="1"/>
                <w:color w:val="auto"/>
              </w:rPr>
            </w:pPr>
          </w:p>
        </w:tc>
      </w:tr>
      <w:tr>
        <w:trPr>
          <w:trHeight w:val="46"/>
        </w:trPr>
        <w:tc>
          <w:tcPr>
            <w:tcW w:w="500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94"/>
        </w:trPr>
        <w:tc>
          <w:tcPr>
            <w:tcW w:w="5000" w:type="dxa"/>
            <w:vAlign w:val="bottom"/>
          </w:tcPr>
          <w:p>
            <w:pPr>
              <w:ind w:left="20"/>
              <w:spacing w:after="0"/>
              <w:rPr>
                <w:sz w:val="20"/>
                <w:szCs w:val="20"/>
                <w:color w:val="auto"/>
              </w:rPr>
            </w:pPr>
            <w:r>
              <w:rPr>
                <w:rFonts w:ascii="Arial" w:cs="Arial" w:eastAsia="Arial" w:hAnsi="Arial"/>
                <w:sz w:val="14"/>
                <w:szCs w:val="14"/>
                <w:color w:val="auto"/>
              </w:rPr>
              <w:t>Assets:</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5000" w:type="dxa"/>
            <w:vAlign w:val="bottom"/>
          </w:tcPr>
          <w:p>
            <w:pPr>
              <w:ind w:left="20"/>
              <w:spacing w:after="0"/>
              <w:rPr>
                <w:sz w:val="20"/>
                <w:szCs w:val="20"/>
                <w:color w:val="auto"/>
              </w:rPr>
            </w:pPr>
            <w:r>
              <w:rPr>
                <w:rFonts w:ascii="Arial" w:cs="Arial" w:eastAsia="Arial" w:hAnsi="Arial"/>
                <w:sz w:val="14"/>
                <w:szCs w:val="14"/>
                <w:color w:val="auto"/>
              </w:rPr>
              <w:t>Current assets</w:t>
            </w:r>
          </w:p>
        </w:tc>
        <w:tc>
          <w:tcPr>
            <w:tcW w:w="4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229"/>
              <w:spacing w:after="0"/>
              <w:rPr>
                <w:sz w:val="20"/>
                <w:szCs w:val="20"/>
                <w:color w:val="auto"/>
              </w:rPr>
            </w:pPr>
            <w:r>
              <w:rPr>
                <w:rFonts w:ascii="Arial" w:cs="Arial" w:eastAsia="Arial" w:hAnsi="Arial"/>
                <w:sz w:val="14"/>
                <w:szCs w:val="14"/>
                <w:color w:val="auto"/>
              </w:rPr>
              <w:t>72</w:t>
            </w:r>
          </w:p>
        </w:tc>
        <w:tc>
          <w:tcPr>
            <w:tcW w:w="520" w:type="dxa"/>
            <w:vAlign w:val="bottom"/>
          </w:tcPr>
          <w:p>
            <w:pPr>
              <w:jc w:val="right"/>
              <w:ind w:right="50"/>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69"/>
              <w:spacing w:after="0"/>
              <w:rPr>
                <w:sz w:val="20"/>
                <w:szCs w:val="20"/>
                <w:color w:val="auto"/>
              </w:rPr>
            </w:pPr>
            <w:r>
              <w:rPr>
                <w:rFonts w:ascii="Arial" w:cs="Arial" w:eastAsia="Arial" w:hAnsi="Arial"/>
                <w:sz w:val="14"/>
                <w:szCs w:val="14"/>
                <w:color w:val="auto"/>
              </w:rPr>
              <w:t>219</w:t>
            </w:r>
          </w:p>
        </w:tc>
        <w:tc>
          <w:tcPr>
            <w:tcW w:w="0" w:type="dxa"/>
            <w:vAlign w:val="bottom"/>
          </w:tcPr>
          <w:p>
            <w:pPr>
              <w:spacing w:after="0"/>
              <w:rPr>
                <w:sz w:val="1"/>
                <w:szCs w:val="1"/>
                <w:color w:val="auto"/>
              </w:rPr>
            </w:pPr>
          </w:p>
        </w:tc>
      </w:tr>
      <w:tr>
        <w:trPr>
          <w:trHeight w:val="216"/>
        </w:trPr>
        <w:tc>
          <w:tcPr>
            <w:tcW w:w="5000" w:type="dxa"/>
            <w:vAlign w:val="bottom"/>
          </w:tcPr>
          <w:p>
            <w:pPr>
              <w:ind w:left="20"/>
              <w:spacing w:after="0"/>
              <w:rPr>
                <w:sz w:val="20"/>
                <w:szCs w:val="20"/>
                <w:color w:val="auto"/>
              </w:rPr>
            </w:pPr>
            <w:r>
              <w:rPr>
                <w:rFonts w:ascii="Arial" w:cs="Arial" w:eastAsia="Arial" w:hAnsi="Arial"/>
                <w:sz w:val="14"/>
                <w:szCs w:val="14"/>
                <w:color w:val="auto"/>
              </w:rPr>
              <w:t>Investment in subsidiary</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ind w:right="229"/>
              <w:spacing w:after="0"/>
              <w:rPr>
                <w:sz w:val="20"/>
                <w:szCs w:val="20"/>
                <w:color w:val="auto"/>
              </w:rPr>
            </w:pPr>
            <w:r>
              <w:rPr>
                <w:rFonts w:ascii="Arial" w:cs="Arial" w:eastAsia="Arial" w:hAnsi="Arial"/>
                <w:sz w:val="14"/>
                <w:szCs w:val="14"/>
                <w:color w:val="auto"/>
              </w:rPr>
              <w:t>1,470</w:t>
            </w:r>
          </w:p>
        </w:tc>
        <w:tc>
          <w:tcPr>
            <w:tcW w:w="520" w:type="dxa"/>
            <w:vAlign w:val="bottom"/>
          </w:tcPr>
          <w:p>
            <w:pPr>
              <w:spacing w:after="0"/>
              <w:rPr>
                <w:sz w:val="18"/>
                <w:szCs w:val="18"/>
                <w:color w:val="auto"/>
              </w:rPr>
            </w:pPr>
          </w:p>
        </w:tc>
        <w:tc>
          <w:tcPr>
            <w:tcW w:w="860" w:type="dxa"/>
            <w:vAlign w:val="bottom"/>
          </w:tcPr>
          <w:p>
            <w:pPr>
              <w:jc w:val="right"/>
              <w:ind w:right="69"/>
              <w:spacing w:after="0"/>
              <w:rPr>
                <w:sz w:val="20"/>
                <w:szCs w:val="20"/>
                <w:color w:val="auto"/>
              </w:rPr>
            </w:pPr>
            <w:r>
              <w:rPr>
                <w:rFonts w:ascii="Arial" w:cs="Arial" w:eastAsia="Arial" w:hAnsi="Arial"/>
                <w:sz w:val="14"/>
                <w:szCs w:val="14"/>
                <w:color w:val="auto"/>
              </w:rPr>
              <w:t>1,450</w:t>
            </w:r>
          </w:p>
        </w:tc>
        <w:tc>
          <w:tcPr>
            <w:tcW w:w="0" w:type="dxa"/>
            <w:vAlign w:val="bottom"/>
          </w:tcPr>
          <w:p>
            <w:pPr>
              <w:spacing w:after="0"/>
              <w:rPr>
                <w:sz w:val="1"/>
                <w:szCs w:val="1"/>
                <w:color w:val="auto"/>
              </w:rPr>
            </w:pPr>
          </w:p>
        </w:tc>
      </w:tr>
      <w:tr>
        <w:trPr>
          <w:trHeight w:val="216"/>
        </w:trPr>
        <w:tc>
          <w:tcPr>
            <w:tcW w:w="5000" w:type="dxa"/>
            <w:vAlign w:val="bottom"/>
          </w:tcPr>
          <w:p>
            <w:pPr>
              <w:ind w:left="20"/>
              <w:spacing w:after="0"/>
              <w:rPr>
                <w:sz w:val="20"/>
                <w:szCs w:val="20"/>
                <w:color w:val="auto"/>
              </w:rPr>
            </w:pPr>
            <w:r>
              <w:rPr>
                <w:rFonts w:ascii="Arial" w:cs="Arial" w:eastAsia="Arial" w:hAnsi="Arial"/>
                <w:sz w:val="14"/>
                <w:szCs w:val="14"/>
                <w:color w:val="auto"/>
              </w:rPr>
              <w:t>Due from affiliates long-term</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ind w:right="229"/>
              <w:spacing w:after="0"/>
              <w:rPr>
                <w:sz w:val="20"/>
                <w:szCs w:val="20"/>
                <w:color w:val="auto"/>
              </w:rPr>
            </w:pPr>
            <w:r>
              <w:rPr>
                <w:rFonts w:ascii="Arial" w:cs="Arial" w:eastAsia="Arial" w:hAnsi="Arial"/>
                <w:sz w:val="14"/>
                <w:szCs w:val="14"/>
                <w:color w:val="auto"/>
              </w:rPr>
              <w:t>457</w:t>
            </w:r>
          </w:p>
        </w:tc>
        <w:tc>
          <w:tcPr>
            <w:tcW w:w="520" w:type="dxa"/>
            <w:vAlign w:val="bottom"/>
          </w:tcPr>
          <w:p>
            <w:pPr>
              <w:spacing w:after="0"/>
              <w:rPr>
                <w:sz w:val="18"/>
                <w:szCs w:val="18"/>
                <w:color w:val="auto"/>
              </w:rPr>
            </w:pPr>
          </w:p>
        </w:tc>
        <w:tc>
          <w:tcPr>
            <w:tcW w:w="860" w:type="dxa"/>
            <w:vAlign w:val="bottom"/>
          </w:tcPr>
          <w:p>
            <w:pPr>
              <w:jc w:val="right"/>
              <w:ind w:right="69"/>
              <w:spacing w:after="0"/>
              <w:rPr>
                <w:sz w:val="20"/>
                <w:szCs w:val="20"/>
                <w:color w:val="auto"/>
              </w:rPr>
            </w:pPr>
            <w:r>
              <w:rPr>
                <w:rFonts w:ascii="Arial" w:cs="Arial" w:eastAsia="Arial" w:hAnsi="Arial"/>
                <w:sz w:val="14"/>
                <w:szCs w:val="14"/>
                <w:color w:val="auto"/>
              </w:rPr>
              <w:t>457</w:t>
            </w:r>
          </w:p>
        </w:tc>
        <w:tc>
          <w:tcPr>
            <w:tcW w:w="0" w:type="dxa"/>
            <w:vAlign w:val="bottom"/>
          </w:tcPr>
          <w:p>
            <w:pPr>
              <w:spacing w:after="0"/>
              <w:rPr>
                <w:sz w:val="1"/>
                <w:szCs w:val="1"/>
                <w:color w:val="auto"/>
              </w:rPr>
            </w:pPr>
          </w:p>
        </w:tc>
      </w:tr>
      <w:tr>
        <w:trPr>
          <w:trHeight w:val="219"/>
        </w:trPr>
        <w:tc>
          <w:tcPr>
            <w:tcW w:w="5000" w:type="dxa"/>
            <w:vAlign w:val="bottom"/>
          </w:tcPr>
          <w:p>
            <w:pPr>
              <w:ind w:left="20"/>
              <w:spacing w:after="0"/>
              <w:rPr>
                <w:sz w:val="20"/>
                <w:szCs w:val="20"/>
                <w:color w:val="auto"/>
              </w:rPr>
            </w:pPr>
            <w:r>
              <w:rPr>
                <w:rFonts w:ascii="Arial" w:cs="Arial" w:eastAsia="Arial" w:hAnsi="Arial"/>
                <w:sz w:val="14"/>
                <w:szCs w:val="14"/>
                <w:color w:val="auto"/>
              </w:rPr>
              <w:t>Deferred charges and other assets</w:t>
            </w:r>
          </w:p>
        </w:tc>
        <w:tc>
          <w:tcPr>
            <w:tcW w:w="3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229"/>
              <w:spacing w:after="0"/>
              <w:rPr>
                <w:sz w:val="20"/>
                <w:szCs w:val="20"/>
                <w:color w:val="auto"/>
              </w:rPr>
            </w:pPr>
            <w:r>
              <w:rPr>
                <w:rFonts w:ascii="Arial" w:cs="Arial" w:eastAsia="Arial" w:hAnsi="Arial"/>
                <w:sz w:val="14"/>
                <w:szCs w:val="14"/>
                <w:color w:val="auto"/>
              </w:rPr>
              <w:t>37</w:t>
            </w:r>
          </w:p>
        </w:tc>
        <w:tc>
          <w:tcPr>
            <w:tcW w:w="5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39</w:t>
            </w:r>
          </w:p>
        </w:tc>
        <w:tc>
          <w:tcPr>
            <w:tcW w:w="0" w:type="dxa"/>
            <w:vAlign w:val="bottom"/>
          </w:tcPr>
          <w:p>
            <w:pPr>
              <w:spacing w:after="0"/>
              <w:rPr>
                <w:sz w:val="1"/>
                <w:szCs w:val="1"/>
                <w:color w:val="auto"/>
              </w:rPr>
            </w:pPr>
          </w:p>
        </w:tc>
      </w:tr>
      <w:tr>
        <w:trPr>
          <w:trHeight w:val="181"/>
        </w:trPr>
        <w:tc>
          <w:tcPr>
            <w:tcW w:w="5000" w:type="dxa"/>
            <w:vAlign w:val="bottom"/>
          </w:tcPr>
          <w:p>
            <w:pPr>
              <w:ind w:left="200"/>
              <w:spacing w:after="0"/>
              <w:rPr>
                <w:sz w:val="20"/>
                <w:szCs w:val="20"/>
                <w:color w:val="auto"/>
              </w:rPr>
            </w:pPr>
            <w:r>
              <w:rPr>
                <w:rFonts w:ascii="Arial" w:cs="Arial" w:eastAsia="Arial" w:hAnsi="Arial"/>
                <w:sz w:val="14"/>
                <w:szCs w:val="14"/>
                <w:color w:val="auto"/>
              </w:rPr>
              <w:t>Total assets</w:t>
            </w:r>
          </w:p>
        </w:tc>
        <w:tc>
          <w:tcPr>
            <w:tcW w:w="4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229"/>
              <w:spacing w:after="0"/>
              <w:rPr>
                <w:sz w:val="20"/>
                <w:szCs w:val="20"/>
                <w:color w:val="auto"/>
              </w:rPr>
            </w:pPr>
            <w:r>
              <w:rPr>
                <w:rFonts w:ascii="Arial" w:cs="Arial" w:eastAsia="Arial" w:hAnsi="Arial"/>
                <w:sz w:val="14"/>
                <w:szCs w:val="14"/>
                <w:color w:val="auto"/>
              </w:rPr>
              <w:t>2,036</w:t>
            </w:r>
          </w:p>
        </w:tc>
        <w:tc>
          <w:tcPr>
            <w:tcW w:w="520" w:type="dxa"/>
            <w:vAlign w:val="bottom"/>
          </w:tcPr>
          <w:p>
            <w:pPr>
              <w:jc w:val="right"/>
              <w:ind w:right="50"/>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69"/>
              <w:spacing w:after="0"/>
              <w:rPr>
                <w:sz w:val="20"/>
                <w:szCs w:val="20"/>
                <w:color w:val="auto"/>
              </w:rPr>
            </w:pPr>
            <w:r>
              <w:rPr>
                <w:rFonts w:ascii="Arial" w:cs="Arial" w:eastAsia="Arial" w:hAnsi="Arial"/>
                <w:sz w:val="14"/>
                <w:szCs w:val="14"/>
                <w:color w:val="auto"/>
              </w:rPr>
              <w:t>2,165</w:t>
            </w:r>
          </w:p>
        </w:tc>
        <w:tc>
          <w:tcPr>
            <w:tcW w:w="0" w:type="dxa"/>
            <w:vAlign w:val="bottom"/>
          </w:tcPr>
          <w:p>
            <w:pPr>
              <w:spacing w:after="0"/>
              <w:rPr>
                <w:sz w:val="1"/>
                <w:szCs w:val="1"/>
                <w:color w:val="auto"/>
              </w:rPr>
            </w:pPr>
          </w:p>
        </w:tc>
      </w:tr>
      <w:tr>
        <w:trPr>
          <w:trHeight w:val="46"/>
        </w:trPr>
        <w:tc>
          <w:tcPr>
            <w:tcW w:w="5000" w:type="dxa"/>
            <w:vAlign w:val="bottom"/>
            <w:vMerge w:val="restart"/>
          </w:tcPr>
          <w:p>
            <w:pPr>
              <w:ind w:left="20"/>
              <w:spacing w:after="0"/>
              <w:rPr>
                <w:sz w:val="20"/>
                <w:szCs w:val="20"/>
                <w:color w:val="auto"/>
              </w:rPr>
            </w:pPr>
            <w:r>
              <w:rPr>
                <w:rFonts w:ascii="Arial" w:cs="Arial" w:eastAsia="Arial" w:hAnsi="Arial"/>
                <w:sz w:val="14"/>
                <w:szCs w:val="14"/>
                <w:color w:val="auto"/>
              </w:rPr>
              <w:t>Liabilities and Shareholders' Equity:</w:t>
            </w:r>
          </w:p>
        </w:tc>
        <w:tc>
          <w:tcPr>
            <w:tcW w:w="300" w:type="dxa"/>
            <w:vAlign w:val="bottom"/>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402"/>
        </w:trPr>
        <w:tc>
          <w:tcPr>
            <w:tcW w:w="500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5000" w:type="dxa"/>
            <w:vAlign w:val="bottom"/>
          </w:tcPr>
          <w:p>
            <w:pPr>
              <w:ind w:left="20"/>
              <w:spacing w:after="0"/>
              <w:rPr>
                <w:sz w:val="20"/>
                <w:szCs w:val="20"/>
                <w:color w:val="auto"/>
              </w:rPr>
            </w:pPr>
            <w:r>
              <w:rPr>
                <w:rFonts w:ascii="Arial" w:cs="Arial" w:eastAsia="Arial" w:hAnsi="Arial"/>
                <w:sz w:val="14"/>
                <w:szCs w:val="14"/>
                <w:color w:val="auto"/>
              </w:rPr>
              <w:t>Due to affiliates</w:t>
            </w:r>
          </w:p>
        </w:tc>
        <w:tc>
          <w:tcPr>
            <w:tcW w:w="4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229"/>
              <w:spacing w:after="0"/>
              <w:rPr>
                <w:sz w:val="20"/>
                <w:szCs w:val="20"/>
                <w:color w:val="auto"/>
              </w:rPr>
            </w:pPr>
            <w:r>
              <w:rPr>
                <w:rFonts w:ascii="Arial" w:cs="Arial" w:eastAsia="Arial" w:hAnsi="Arial"/>
                <w:sz w:val="14"/>
                <w:szCs w:val="14"/>
                <w:color w:val="auto"/>
              </w:rPr>
              <w:t>84</w:t>
            </w:r>
          </w:p>
        </w:tc>
        <w:tc>
          <w:tcPr>
            <w:tcW w:w="520" w:type="dxa"/>
            <w:vAlign w:val="bottom"/>
          </w:tcPr>
          <w:p>
            <w:pPr>
              <w:jc w:val="right"/>
              <w:ind w:right="50"/>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69"/>
              <w:spacing w:after="0"/>
              <w:rPr>
                <w:sz w:val="20"/>
                <w:szCs w:val="20"/>
                <w:color w:val="auto"/>
              </w:rPr>
            </w:pPr>
            <w:r>
              <w:rPr>
                <w:rFonts w:ascii="Arial" w:cs="Arial" w:eastAsia="Arial" w:hAnsi="Arial"/>
                <w:sz w:val="14"/>
                <w:szCs w:val="14"/>
                <w:color w:val="auto"/>
              </w:rPr>
              <w:t>232</w:t>
            </w:r>
          </w:p>
        </w:tc>
        <w:tc>
          <w:tcPr>
            <w:tcW w:w="0" w:type="dxa"/>
            <w:vAlign w:val="bottom"/>
          </w:tcPr>
          <w:p>
            <w:pPr>
              <w:spacing w:after="0"/>
              <w:rPr>
                <w:sz w:val="1"/>
                <w:szCs w:val="1"/>
                <w:color w:val="auto"/>
              </w:rPr>
            </w:pPr>
          </w:p>
        </w:tc>
      </w:tr>
      <w:tr>
        <w:trPr>
          <w:trHeight w:val="219"/>
        </w:trPr>
        <w:tc>
          <w:tcPr>
            <w:tcW w:w="5000" w:type="dxa"/>
            <w:vAlign w:val="bottom"/>
          </w:tcPr>
          <w:p>
            <w:pPr>
              <w:ind w:left="20"/>
              <w:spacing w:after="0"/>
              <w:rPr>
                <w:sz w:val="20"/>
                <w:szCs w:val="20"/>
                <w:color w:val="auto"/>
              </w:rPr>
            </w:pPr>
            <w:r>
              <w:rPr>
                <w:rFonts w:ascii="Arial" w:cs="Arial" w:eastAsia="Arial" w:hAnsi="Arial"/>
                <w:sz w:val="14"/>
                <w:szCs w:val="14"/>
                <w:color w:val="auto"/>
              </w:rPr>
              <w:t>Other current liabilities</w:t>
            </w:r>
          </w:p>
        </w:tc>
        <w:tc>
          <w:tcPr>
            <w:tcW w:w="3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229"/>
              <w:spacing w:after="0"/>
              <w:rPr>
                <w:sz w:val="20"/>
                <w:szCs w:val="20"/>
                <w:color w:val="auto"/>
              </w:rPr>
            </w:pPr>
            <w:r>
              <w:rPr>
                <w:rFonts w:ascii="Arial" w:cs="Arial" w:eastAsia="Arial" w:hAnsi="Arial"/>
                <w:sz w:val="14"/>
                <w:szCs w:val="14"/>
                <w:color w:val="auto"/>
              </w:rPr>
              <w:t>1</w:t>
            </w:r>
          </w:p>
        </w:tc>
        <w:tc>
          <w:tcPr>
            <w:tcW w:w="5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05"/>
        </w:trPr>
        <w:tc>
          <w:tcPr>
            <w:tcW w:w="5000" w:type="dxa"/>
            <w:vAlign w:val="bottom"/>
          </w:tcPr>
          <w:p>
            <w:pPr>
              <w:ind w:left="200"/>
              <w:spacing w:after="0"/>
              <w:rPr>
                <w:sz w:val="20"/>
                <w:szCs w:val="20"/>
                <w:color w:val="auto"/>
              </w:rPr>
            </w:pPr>
            <w:r>
              <w:rPr>
                <w:rFonts w:ascii="Arial" w:cs="Arial" w:eastAsia="Arial" w:hAnsi="Arial"/>
                <w:sz w:val="14"/>
                <w:szCs w:val="14"/>
                <w:color w:val="auto"/>
              </w:rPr>
              <w:t>Total current liabilities</w:t>
            </w: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jc w:val="right"/>
              <w:ind w:right="229"/>
              <w:spacing w:after="0"/>
              <w:rPr>
                <w:sz w:val="20"/>
                <w:szCs w:val="20"/>
                <w:color w:val="auto"/>
              </w:rPr>
            </w:pPr>
            <w:r>
              <w:rPr>
                <w:rFonts w:ascii="Arial" w:cs="Arial" w:eastAsia="Arial" w:hAnsi="Arial"/>
                <w:sz w:val="14"/>
                <w:szCs w:val="14"/>
                <w:color w:val="auto"/>
              </w:rPr>
              <w:t>85</w:t>
            </w:r>
          </w:p>
        </w:tc>
        <w:tc>
          <w:tcPr>
            <w:tcW w:w="520" w:type="dxa"/>
            <w:vAlign w:val="bottom"/>
          </w:tcPr>
          <w:p>
            <w:pPr>
              <w:spacing w:after="0"/>
              <w:rPr>
                <w:sz w:val="17"/>
                <w:szCs w:val="17"/>
                <w:color w:val="auto"/>
              </w:rPr>
            </w:pPr>
          </w:p>
        </w:tc>
        <w:tc>
          <w:tcPr>
            <w:tcW w:w="860" w:type="dxa"/>
            <w:vAlign w:val="bottom"/>
          </w:tcPr>
          <w:p>
            <w:pPr>
              <w:jc w:val="right"/>
              <w:ind w:right="69"/>
              <w:spacing w:after="0"/>
              <w:rPr>
                <w:sz w:val="20"/>
                <w:szCs w:val="20"/>
                <w:color w:val="auto"/>
              </w:rPr>
            </w:pPr>
            <w:r>
              <w:rPr>
                <w:rFonts w:ascii="Arial" w:cs="Arial" w:eastAsia="Arial" w:hAnsi="Arial"/>
                <w:sz w:val="14"/>
                <w:szCs w:val="14"/>
                <w:color w:val="auto"/>
              </w:rPr>
              <w:t>233</w:t>
            </w:r>
          </w:p>
        </w:tc>
        <w:tc>
          <w:tcPr>
            <w:tcW w:w="0" w:type="dxa"/>
            <w:vAlign w:val="bottom"/>
          </w:tcPr>
          <w:p>
            <w:pPr>
              <w:spacing w:after="0"/>
              <w:rPr>
                <w:sz w:val="1"/>
                <w:szCs w:val="1"/>
                <w:color w:val="auto"/>
              </w:rPr>
            </w:pPr>
          </w:p>
        </w:tc>
      </w:tr>
      <w:tr>
        <w:trPr>
          <w:trHeight w:val="216"/>
        </w:trPr>
        <w:tc>
          <w:tcPr>
            <w:tcW w:w="5000" w:type="dxa"/>
            <w:vAlign w:val="bottom"/>
          </w:tcPr>
          <w:p>
            <w:pPr>
              <w:ind w:left="20"/>
              <w:spacing w:after="0"/>
              <w:rPr>
                <w:sz w:val="20"/>
                <w:szCs w:val="20"/>
                <w:color w:val="auto"/>
              </w:rPr>
            </w:pPr>
            <w:r>
              <w:rPr>
                <w:rFonts w:ascii="Arial" w:cs="Arial" w:eastAsia="Arial" w:hAnsi="Arial"/>
                <w:sz w:val="14"/>
                <w:szCs w:val="14"/>
                <w:color w:val="auto"/>
              </w:rPr>
              <w:t>Long-term liabilities</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ind w:right="229"/>
              <w:spacing w:after="0"/>
              <w:rPr>
                <w:sz w:val="20"/>
                <w:szCs w:val="20"/>
                <w:color w:val="auto"/>
              </w:rPr>
            </w:pPr>
            <w:r>
              <w:rPr>
                <w:rFonts w:ascii="Arial" w:cs="Arial" w:eastAsia="Arial" w:hAnsi="Arial"/>
                <w:sz w:val="14"/>
                <w:szCs w:val="14"/>
                <w:color w:val="auto"/>
              </w:rPr>
              <w:t>11</w:t>
            </w:r>
          </w:p>
        </w:tc>
        <w:tc>
          <w:tcPr>
            <w:tcW w:w="520" w:type="dxa"/>
            <w:vAlign w:val="bottom"/>
          </w:tcPr>
          <w:p>
            <w:pPr>
              <w:spacing w:after="0"/>
              <w:rPr>
                <w:sz w:val="18"/>
                <w:szCs w:val="18"/>
                <w:color w:val="auto"/>
              </w:rPr>
            </w:pPr>
          </w:p>
        </w:tc>
        <w:tc>
          <w:tcPr>
            <w:tcW w:w="860" w:type="dxa"/>
            <w:vAlign w:val="bottom"/>
          </w:tcPr>
          <w:p>
            <w:pPr>
              <w:jc w:val="right"/>
              <w:ind w:right="69"/>
              <w:spacing w:after="0"/>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216"/>
        </w:trPr>
        <w:tc>
          <w:tcPr>
            <w:tcW w:w="5000" w:type="dxa"/>
            <w:vAlign w:val="bottom"/>
          </w:tcPr>
          <w:p>
            <w:pPr>
              <w:ind w:left="20"/>
              <w:spacing w:after="0"/>
              <w:rPr>
                <w:sz w:val="20"/>
                <w:szCs w:val="20"/>
                <w:color w:val="auto"/>
              </w:rPr>
            </w:pPr>
            <w:r>
              <w:rPr>
                <w:rFonts w:ascii="Arial" w:cs="Arial" w:eastAsia="Arial" w:hAnsi="Arial"/>
                <w:sz w:val="14"/>
                <w:szCs w:val="14"/>
                <w:color w:val="auto"/>
              </w:rPr>
              <w:t>Common equity</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ind w:right="229"/>
              <w:spacing w:after="0"/>
              <w:rPr>
                <w:sz w:val="20"/>
                <w:szCs w:val="20"/>
                <w:color w:val="auto"/>
              </w:rPr>
            </w:pPr>
            <w:r>
              <w:rPr>
                <w:rFonts w:ascii="Arial" w:cs="Arial" w:eastAsia="Arial" w:hAnsi="Arial"/>
                <w:sz w:val="14"/>
                <w:szCs w:val="14"/>
                <w:color w:val="auto"/>
              </w:rPr>
              <w:t>1,860</w:t>
            </w:r>
          </w:p>
        </w:tc>
        <w:tc>
          <w:tcPr>
            <w:tcW w:w="520" w:type="dxa"/>
            <w:vAlign w:val="bottom"/>
          </w:tcPr>
          <w:p>
            <w:pPr>
              <w:spacing w:after="0"/>
              <w:rPr>
                <w:sz w:val="18"/>
                <w:szCs w:val="18"/>
                <w:color w:val="auto"/>
              </w:rPr>
            </w:pPr>
          </w:p>
        </w:tc>
        <w:tc>
          <w:tcPr>
            <w:tcW w:w="860" w:type="dxa"/>
            <w:vAlign w:val="bottom"/>
          </w:tcPr>
          <w:p>
            <w:pPr>
              <w:jc w:val="right"/>
              <w:ind w:right="69"/>
              <w:spacing w:after="0"/>
              <w:rPr>
                <w:sz w:val="20"/>
                <w:szCs w:val="20"/>
                <w:color w:val="auto"/>
              </w:rPr>
            </w:pPr>
            <w:r>
              <w:rPr>
                <w:rFonts w:ascii="Arial" w:cs="Arial" w:eastAsia="Arial" w:hAnsi="Arial"/>
                <w:sz w:val="14"/>
                <w:szCs w:val="14"/>
                <w:color w:val="auto"/>
              </w:rPr>
              <w:t>1,836</w:t>
            </w:r>
          </w:p>
        </w:tc>
        <w:tc>
          <w:tcPr>
            <w:tcW w:w="0" w:type="dxa"/>
            <w:vAlign w:val="bottom"/>
          </w:tcPr>
          <w:p>
            <w:pPr>
              <w:spacing w:after="0"/>
              <w:rPr>
                <w:sz w:val="1"/>
                <w:szCs w:val="1"/>
                <w:color w:val="auto"/>
              </w:rPr>
            </w:pPr>
          </w:p>
        </w:tc>
      </w:tr>
      <w:tr>
        <w:trPr>
          <w:trHeight w:val="219"/>
        </w:trPr>
        <w:tc>
          <w:tcPr>
            <w:tcW w:w="5000" w:type="dxa"/>
            <w:vAlign w:val="bottom"/>
          </w:tcPr>
          <w:p>
            <w:pPr>
              <w:ind w:left="20"/>
              <w:spacing w:after="0"/>
              <w:rPr>
                <w:sz w:val="20"/>
                <w:szCs w:val="20"/>
                <w:color w:val="auto"/>
              </w:rPr>
            </w:pPr>
            <w:r>
              <w:rPr>
                <w:rFonts w:ascii="Arial" w:cs="Arial" w:eastAsia="Arial" w:hAnsi="Arial"/>
                <w:sz w:val="14"/>
                <w:szCs w:val="14"/>
                <w:color w:val="auto"/>
              </w:rPr>
              <w:t>Preferred stock</w:t>
            </w:r>
          </w:p>
        </w:tc>
        <w:tc>
          <w:tcPr>
            <w:tcW w:w="3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229"/>
              <w:spacing w:after="0"/>
              <w:rPr>
                <w:sz w:val="20"/>
                <w:szCs w:val="20"/>
                <w:color w:val="auto"/>
              </w:rPr>
            </w:pPr>
            <w:r>
              <w:rPr>
                <w:rFonts w:ascii="Arial" w:cs="Arial" w:eastAsia="Arial" w:hAnsi="Arial"/>
                <w:sz w:val="14"/>
                <w:szCs w:val="14"/>
                <w:color w:val="auto"/>
              </w:rPr>
              <w:t>80</w:t>
            </w:r>
          </w:p>
        </w:tc>
        <w:tc>
          <w:tcPr>
            <w:tcW w:w="5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80</w:t>
            </w:r>
          </w:p>
        </w:tc>
        <w:tc>
          <w:tcPr>
            <w:tcW w:w="0" w:type="dxa"/>
            <w:vAlign w:val="bottom"/>
          </w:tcPr>
          <w:p>
            <w:pPr>
              <w:spacing w:after="0"/>
              <w:rPr>
                <w:sz w:val="1"/>
                <w:szCs w:val="1"/>
                <w:color w:val="auto"/>
              </w:rPr>
            </w:pPr>
          </w:p>
        </w:tc>
      </w:tr>
      <w:tr>
        <w:trPr>
          <w:trHeight w:val="227"/>
        </w:trPr>
        <w:tc>
          <w:tcPr>
            <w:tcW w:w="5000" w:type="dxa"/>
            <w:vAlign w:val="bottom"/>
            <w:tcBorders>
              <w:bottom w:val="single" w:sz="8" w:color="auto"/>
            </w:tcBorders>
          </w:tcPr>
          <w:p>
            <w:pPr>
              <w:ind w:left="200"/>
              <w:spacing w:after="0"/>
              <w:rPr>
                <w:sz w:val="20"/>
                <w:szCs w:val="20"/>
                <w:color w:val="auto"/>
              </w:rPr>
            </w:pPr>
            <w:r>
              <w:rPr>
                <w:rFonts w:ascii="Arial" w:cs="Arial" w:eastAsia="Arial" w:hAnsi="Arial"/>
                <w:sz w:val="14"/>
                <w:szCs w:val="14"/>
                <w:color w:val="auto"/>
              </w:rPr>
              <w:t>Total liabilities and shareholders' equity</w:t>
            </w:r>
          </w:p>
        </w:tc>
        <w:tc>
          <w:tcPr>
            <w:tcW w:w="4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ind w:right="229"/>
              <w:spacing w:after="0"/>
              <w:rPr>
                <w:sz w:val="20"/>
                <w:szCs w:val="20"/>
                <w:color w:val="auto"/>
              </w:rPr>
            </w:pPr>
            <w:r>
              <w:rPr>
                <w:rFonts w:ascii="Arial" w:cs="Arial" w:eastAsia="Arial" w:hAnsi="Arial"/>
                <w:sz w:val="14"/>
                <w:szCs w:val="14"/>
                <w:color w:val="auto"/>
              </w:rPr>
              <w:t>2,036</w:t>
            </w:r>
          </w:p>
        </w:tc>
        <w:tc>
          <w:tcPr>
            <w:tcW w:w="52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2,165</w:t>
            </w:r>
          </w:p>
        </w:tc>
        <w:tc>
          <w:tcPr>
            <w:tcW w:w="0" w:type="dxa"/>
            <w:vAlign w:val="bottom"/>
          </w:tcPr>
          <w:p>
            <w:pPr>
              <w:spacing w:after="0"/>
              <w:rPr>
                <w:sz w:val="1"/>
                <w:szCs w:val="1"/>
                <w:color w:val="auto"/>
              </w:rPr>
            </w:pPr>
          </w:p>
        </w:tc>
      </w:tr>
    </w:tbl>
    <w:p>
      <w:pPr>
        <w:spacing w:after="0" w:line="28" w:lineRule="exact"/>
        <w:rPr>
          <w:sz w:val="20"/>
          <w:szCs w:val="20"/>
          <w:color w:val="auto"/>
        </w:rPr>
      </w:pPr>
    </w:p>
    <w:p>
      <w:pPr>
        <w:ind w:left="1760"/>
        <w:spacing w:after="0"/>
        <w:rPr>
          <w:sz w:val="20"/>
          <w:szCs w:val="20"/>
          <w:color w:val="auto"/>
        </w:rPr>
      </w:pPr>
      <w:r>
        <w:rPr>
          <w:rFonts w:ascii="Arial" w:cs="Arial" w:eastAsia="Arial" w:hAnsi="Arial"/>
          <w:sz w:val="13"/>
          <w:szCs w:val="13"/>
          <w:i w:val="1"/>
          <w:iCs w:val="1"/>
          <w:color w:val="auto"/>
        </w:rPr>
        <w:t>See Notes to Condensed Financial Information of Parent (Pacific Enterprises).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Arial" w:cs="Arial" w:eastAsia="Arial" w:hAnsi="Arial"/>
          <w:sz w:val="14"/>
          <w:szCs w:val="14"/>
          <w:color w:val="auto"/>
        </w:rPr>
        <w:t>42</w:t>
      </w:r>
    </w:p>
    <w:p>
      <w:pPr>
        <w:sectPr>
          <w:pgSz w:w="11900" w:h="16838" w:orient="portrait"/>
          <w:cols w:equalWidth="0" w:num="1">
            <w:col w:w="10219"/>
          </w:cols>
          <w:pgMar w:left="240" w:top="737" w:right="1440" w:bottom="1440" w:gutter="0" w:footer="0" w:header="0"/>
        </w:sectPr>
      </w:pPr>
    </w:p>
    <w:bookmarkStart w:id="42" w:name="page43"/>
    <w:bookmarkEnd w:id="42"/>
    <w:p>
      <w:pPr>
        <w:ind w:left="1680"/>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1210310</wp:posOffset>
            </wp:positionH>
            <wp:positionV relativeFrom="page">
              <wp:posOffset>279400</wp:posOffset>
            </wp:positionV>
            <wp:extent cx="5140960" cy="36639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140960" cy="366395"/>
                    </a:xfrm>
                    <a:prstGeom prst="rect">
                      <a:avLst/>
                    </a:prstGeom>
                    <a:noFill/>
                  </pic:spPr>
                </pic:pic>
              </a:graphicData>
            </a:graphic>
          </wp:anchor>
        </w:drawing>
        <w:t>PACIFIC ENTERPRISES</w:t>
      </w:r>
    </w:p>
    <w:p>
      <w:pPr>
        <w:spacing w:after="0" w:line="31" w:lineRule="exact"/>
        <w:rPr>
          <w:sz w:val="20"/>
          <w:szCs w:val="20"/>
          <w:color w:val="auto"/>
        </w:rPr>
      </w:pPr>
    </w:p>
    <w:p>
      <w:pPr>
        <w:ind w:left="1680"/>
        <w:spacing w:after="0"/>
        <w:rPr>
          <w:sz w:val="20"/>
          <w:szCs w:val="20"/>
          <w:color w:val="auto"/>
        </w:rPr>
      </w:pPr>
      <w:r>
        <w:rPr>
          <w:rFonts w:ascii="Arial" w:cs="Arial" w:eastAsia="Arial" w:hAnsi="Arial"/>
          <w:sz w:val="14"/>
          <w:szCs w:val="14"/>
          <w:b w:val="1"/>
          <w:bCs w:val="1"/>
          <w:color w:val="auto"/>
        </w:rPr>
        <w:t>CONDENSED STATEMENTS OF CASH FLOWS</w:t>
      </w:r>
    </w:p>
    <w:p>
      <w:pPr>
        <w:spacing w:after="0" w:line="40" w:lineRule="exact"/>
        <w:rPr>
          <w:sz w:val="20"/>
          <w:szCs w:val="20"/>
          <w:color w:val="auto"/>
        </w:rPr>
      </w:pPr>
    </w:p>
    <w:p>
      <w:pPr>
        <w:ind w:left="1680"/>
        <w:spacing w:after="0"/>
        <w:rPr>
          <w:sz w:val="20"/>
          <w:szCs w:val="20"/>
          <w:color w:val="auto"/>
        </w:rPr>
      </w:pPr>
      <w:r>
        <w:rPr>
          <w:rFonts w:ascii="Arial" w:cs="Arial" w:eastAsia="Arial" w:hAnsi="Arial"/>
          <w:sz w:val="13"/>
          <w:szCs w:val="13"/>
          <w:i w:val="1"/>
          <w:iCs w:val="1"/>
          <w:color w:val="auto"/>
        </w:rPr>
        <w:t>(Dollars in millions)</w:t>
      </w:r>
    </w:p>
    <w:p>
      <w:pPr>
        <w:spacing w:after="0" w:line="67" w:lineRule="exact"/>
        <w:rPr>
          <w:sz w:val="20"/>
          <w:szCs w:val="20"/>
          <w:color w:val="auto"/>
        </w:rPr>
      </w:pPr>
    </w:p>
    <w:tbl>
      <w:tblPr>
        <w:tblLayout w:type="fixed"/>
        <w:tblInd w:w="1660" w:type="dxa"/>
        <w:tblCellMar>
          <w:top w:w="0" w:type="dxa"/>
          <w:left w:w="0" w:type="dxa"/>
          <w:bottom w:w="0" w:type="dxa"/>
          <w:right w:w="0" w:type="dxa"/>
        </w:tblCellMar>
      </w:tblPr>
      <w:tr>
        <w:trPr>
          <w:trHeight w:val="159"/>
        </w:trPr>
        <w:tc>
          <w:tcPr>
            <w:tcW w:w="5060" w:type="dxa"/>
            <w:vAlign w:val="bottom"/>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640" w:type="dxa"/>
            <w:vAlign w:val="bottom"/>
            <w:tcBorders>
              <w:bottom w:val="single" w:sz="8" w:color="auto"/>
            </w:tcBorders>
            <w:gridSpan w:val="3"/>
          </w:tcPr>
          <w:p>
            <w:pPr>
              <w:jc w:val="right"/>
              <w:ind w:right="8"/>
              <w:spacing w:after="0"/>
              <w:rPr>
                <w:sz w:val="20"/>
                <w:szCs w:val="20"/>
                <w:color w:val="auto"/>
              </w:rPr>
            </w:pPr>
            <w:r>
              <w:rPr>
                <w:rFonts w:ascii="Arial" w:cs="Arial" w:eastAsia="Arial" w:hAnsi="Arial"/>
                <w:sz w:val="13"/>
                <w:szCs w:val="13"/>
                <w:color w:val="auto"/>
                <w:w w:val="96"/>
              </w:rPr>
              <w:t>Years ended December 31,</w:t>
            </w:r>
          </w:p>
        </w:tc>
        <w:tc>
          <w:tcPr>
            <w:tcW w:w="660" w:type="dxa"/>
            <w:vAlign w:val="bottom"/>
            <w:tcBorders>
              <w:bottom w:val="single" w:sz="8" w:color="auto"/>
            </w:tcBorders>
          </w:tcPr>
          <w:p>
            <w:pPr>
              <w:spacing w:after="0"/>
              <w:rPr>
                <w:sz w:val="13"/>
                <w:szCs w:val="13"/>
                <w:color w:val="auto"/>
              </w:rPr>
            </w:pPr>
          </w:p>
        </w:tc>
      </w:tr>
      <w:tr>
        <w:trPr>
          <w:trHeight w:val="208"/>
        </w:trPr>
        <w:tc>
          <w:tcPr>
            <w:tcW w:w="50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2008</w:t>
            </w:r>
          </w:p>
        </w:tc>
        <w:tc>
          <w:tcPr>
            <w:tcW w:w="14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52"/>
              <w:spacing w:after="0"/>
              <w:rPr>
                <w:sz w:val="20"/>
                <w:szCs w:val="20"/>
                <w:color w:val="auto"/>
              </w:rPr>
            </w:pPr>
            <w:r>
              <w:rPr>
                <w:rFonts w:ascii="Arial" w:cs="Arial" w:eastAsia="Arial" w:hAnsi="Arial"/>
                <w:sz w:val="13"/>
                <w:szCs w:val="13"/>
                <w:color w:val="auto"/>
              </w:rPr>
              <w:t>2007</w:t>
            </w:r>
          </w:p>
        </w:tc>
        <w:tc>
          <w:tcPr>
            <w:tcW w:w="4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232"/>
              <w:spacing w:after="0"/>
              <w:rPr>
                <w:sz w:val="20"/>
                <w:szCs w:val="20"/>
                <w:color w:val="auto"/>
              </w:rPr>
            </w:pPr>
            <w:r>
              <w:rPr>
                <w:rFonts w:ascii="Arial" w:cs="Arial" w:eastAsia="Arial" w:hAnsi="Arial"/>
                <w:sz w:val="13"/>
                <w:szCs w:val="13"/>
                <w:color w:val="auto"/>
              </w:rPr>
              <w:t>2006</w:t>
            </w:r>
          </w:p>
        </w:tc>
      </w:tr>
      <w:tr>
        <w:trPr>
          <w:trHeight w:val="429"/>
        </w:trPr>
        <w:tc>
          <w:tcPr>
            <w:tcW w:w="5060" w:type="dxa"/>
            <w:vAlign w:val="bottom"/>
          </w:tcPr>
          <w:p>
            <w:pPr>
              <w:ind w:left="20"/>
              <w:spacing w:after="0"/>
              <w:rPr>
                <w:sz w:val="20"/>
                <w:szCs w:val="20"/>
                <w:color w:val="auto"/>
              </w:rPr>
            </w:pPr>
            <w:r>
              <w:rPr>
                <w:rFonts w:ascii="Arial" w:cs="Arial" w:eastAsia="Arial" w:hAnsi="Arial"/>
                <w:sz w:val="14"/>
                <w:szCs w:val="14"/>
                <w:color w:val="auto"/>
              </w:rPr>
              <w:t>Net cash provided by operating activities</w:t>
            </w:r>
          </w:p>
        </w:tc>
        <w:tc>
          <w:tcPr>
            <w:tcW w:w="60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w:t>
            </w:r>
          </w:p>
        </w:tc>
        <w:tc>
          <w:tcPr>
            <w:tcW w:w="40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color w:val="auto"/>
              </w:rPr>
              <w:t>14</w:t>
            </w:r>
          </w:p>
        </w:tc>
        <w:tc>
          <w:tcPr>
            <w:tcW w:w="4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color w:val="auto"/>
              </w:rPr>
              <w:t>38</w:t>
            </w:r>
          </w:p>
        </w:tc>
      </w:tr>
    </w:tbl>
    <w:p>
      <w:pPr>
        <w:spacing w:after="0" w:line="200" w:lineRule="exact"/>
        <w:rPr>
          <w:sz w:val="20"/>
          <w:szCs w:val="20"/>
          <w:color w:val="auto"/>
        </w:rPr>
      </w:pPr>
    </w:p>
    <w:p>
      <w:pPr>
        <w:sectPr>
          <w:pgSz w:w="11900" w:h="16838" w:orient="portrait"/>
          <w:cols w:equalWidth="0" w:num="1">
            <w:col w:w="10219"/>
          </w:cols>
          <w:pgMar w:left="240" w:top="448" w:right="1440" w:bottom="1440" w:gutter="0" w:footer="0" w:header="0"/>
        </w:sectPr>
      </w:pPr>
    </w:p>
    <w:p>
      <w:pPr>
        <w:spacing w:after="0" w:line="54" w:lineRule="exact"/>
        <w:rPr>
          <w:sz w:val="20"/>
          <w:szCs w:val="20"/>
          <w:color w:val="auto"/>
        </w:rPr>
      </w:pPr>
    </w:p>
    <w:p>
      <w:pPr>
        <w:ind w:left="1680"/>
        <w:spacing w:after="0"/>
        <w:rPr>
          <w:sz w:val="20"/>
          <w:szCs w:val="20"/>
          <w:color w:val="auto"/>
        </w:rPr>
      </w:pPr>
      <w:r>
        <w:rPr>
          <w:rFonts w:ascii="Arial" w:cs="Arial" w:eastAsia="Arial" w:hAnsi="Arial"/>
          <w:sz w:val="14"/>
          <w:szCs w:val="14"/>
          <w:color w:val="auto"/>
        </w:rPr>
        <w:t>Dividends received from subsidiaries</w:t>
      </w:r>
    </w:p>
    <w:p>
      <w:pPr>
        <w:spacing w:after="0" w:line="55" w:lineRule="exact"/>
        <w:rPr>
          <w:sz w:val="20"/>
          <w:szCs w:val="20"/>
          <w:color w:val="auto"/>
        </w:rPr>
      </w:pPr>
    </w:p>
    <w:p>
      <w:pPr>
        <w:ind w:left="1680"/>
        <w:spacing w:after="0"/>
        <w:rPr>
          <w:sz w:val="20"/>
          <w:szCs w:val="20"/>
          <w:color w:val="auto"/>
        </w:rPr>
      </w:pPr>
      <w:r>
        <w:rPr>
          <w:rFonts w:ascii="Arial" w:cs="Arial" w:eastAsia="Arial" w:hAnsi="Arial"/>
          <w:sz w:val="14"/>
          <w:szCs w:val="14"/>
          <w:color w:val="auto"/>
        </w:rPr>
        <w:t>Increase in loans to affiliates, net</w:t>
      </w:r>
    </w:p>
    <w:p>
      <w:pPr>
        <w:spacing w:after="0" w:line="67" w:lineRule="exact"/>
        <w:rPr>
          <w:sz w:val="20"/>
          <w:szCs w:val="20"/>
          <w:color w:val="auto"/>
        </w:rPr>
      </w:pPr>
    </w:p>
    <w:p>
      <w:pPr>
        <w:ind w:left="1680"/>
        <w:spacing w:after="0"/>
        <w:rPr>
          <w:sz w:val="20"/>
          <w:szCs w:val="20"/>
          <w:color w:val="auto"/>
        </w:rPr>
      </w:pPr>
      <w:r>
        <w:rPr>
          <w:rFonts w:ascii="Arial" w:cs="Arial" w:eastAsia="Arial" w:hAnsi="Arial"/>
          <w:sz w:val="14"/>
          <w:szCs w:val="14"/>
          <w:color w:val="auto"/>
        </w:rPr>
        <w:t>Other</w:t>
      </w:r>
    </w:p>
    <w:p>
      <w:pPr>
        <w:spacing w:after="0" w:line="67" w:lineRule="exact"/>
        <w:rPr>
          <w:sz w:val="20"/>
          <w:szCs w:val="20"/>
          <w:color w:val="auto"/>
        </w:rPr>
      </w:pPr>
    </w:p>
    <w:p>
      <w:pPr>
        <w:jc w:val="right"/>
        <w:ind w:right="1600"/>
        <w:spacing w:after="0"/>
        <w:rPr>
          <w:sz w:val="20"/>
          <w:szCs w:val="20"/>
          <w:color w:val="auto"/>
        </w:rPr>
      </w:pPr>
      <w:r>
        <w:rPr>
          <w:rFonts w:ascii="Arial" w:cs="Arial" w:eastAsia="Arial" w:hAnsi="Arial"/>
          <w:sz w:val="14"/>
          <w:szCs w:val="14"/>
          <w:color w:val="auto"/>
        </w:rPr>
        <w:t>Cash provided by investing activities</w:t>
      </w:r>
    </w:p>
    <w:p>
      <w:pPr>
        <w:spacing w:after="0" w:line="271" w:lineRule="exact"/>
        <w:rPr>
          <w:sz w:val="20"/>
          <w:szCs w:val="20"/>
          <w:color w:val="auto"/>
        </w:rPr>
      </w:pPr>
    </w:p>
    <w:p>
      <w:pPr>
        <w:ind w:left="1680"/>
        <w:spacing w:after="0"/>
        <w:rPr>
          <w:sz w:val="20"/>
          <w:szCs w:val="20"/>
          <w:color w:val="auto"/>
        </w:rPr>
      </w:pPr>
      <w:r>
        <w:rPr>
          <w:rFonts w:ascii="Arial" w:cs="Arial" w:eastAsia="Arial" w:hAnsi="Arial"/>
          <w:sz w:val="14"/>
          <w:szCs w:val="14"/>
          <w:color w:val="auto"/>
        </w:rPr>
        <w:t>Common stock dividends paid</w:t>
      </w:r>
    </w:p>
    <w:p>
      <w:pPr>
        <w:spacing w:after="0" w:line="67" w:lineRule="exact"/>
        <w:rPr>
          <w:sz w:val="20"/>
          <w:szCs w:val="20"/>
          <w:color w:val="auto"/>
        </w:rPr>
      </w:pPr>
    </w:p>
    <w:p>
      <w:pPr>
        <w:ind w:left="1680"/>
        <w:spacing w:after="0"/>
        <w:rPr>
          <w:sz w:val="20"/>
          <w:szCs w:val="20"/>
          <w:color w:val="auto"/>
        </w:rPr>
      </w:pPr>
      <w:r>
        <w:rPr>
          <w:rFonts w:ascii="Arial" w:cs="Arial" w:eastAsia="Arial" w:hAnsi="Arial"/>
          <w:sz w:val="14"/>
          <w:szCs w:val="14"/>
          <w:color w:val="auto"/>
        </w:rPr>
        <w:t>Preferred dividends paid</w:t>
      </w:r>
    </w:p>
    <w:p>
      <w:pPr>
        <w:spacing w:after="0" w:line="67" w:lineRule="exact"/>
        <w:rPr>
          <w:sz w:val="20"/>
          <w:szCs w:val="20"/>
          <w:color w:val="auto"/>
        </w:rPr>
      </w:pPr>
    </w:p>
    <w:p>
      <w:pPr>
        <w:ind w:left="2080"/>
        <w:spacing w:after="0"/>
        <w:rPr>
          <w:sz w:val="20"/>
          <w:szCs w:val="20"/>
          <w:color w:val="auto"/>
        </w:rPr>
      </w:pPr>
      <w:r>
        <w:rPr>
          <w:rFonts w:ascii="Arial" w:cs="Arial" w:eastAsia="Arial" w:hAnsi="Arial"/>
          <w:sz w:val="14"/>
          <w:szCs w:val="14"/>
          <w:color w:val="auto"/>
        </w:rPr>
        <w:t>Cash used in financing activities</w:t>
      </w:r>
    </w:p>
    <w:p>
      <w:pPr>
        <w:spacing w:after="0" w:line="20" w:lineRule="exact"/>
        <w:rPr>
          <w:sz w:val="20"/>
          <w:szCs w:val="20"/>
          <w:color w:val="auto"/>
        </w:rPr>
      </w:pPr>
      <w:r>
        <w:rPr>
          <w:sz w:val="20"/>
          <w:szCs w:val="20"/>
          <w:color w:val="auto"/>
        </w:rPr>
        <w:br w:type="column"/>
      </w:r>
    </w:p>
    <w:p>
      <w:pPr>
        <w:spacing w:after="0" w:line="3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2"/>
        </w:trPr>
        <w:tc>
          <w:tcPr>
            <w:tcW w:w="1100" w:type="dxa"/>
            <w:vAlign w:val="bottom"/>
          </w:tcPr>
          <w:p>
            <w:pPr>
              <w:jc w:val="right"/>
              <w:ind w:right="308"/>
              <w:spacing w:after="0"/>
              <w:rPr>
                <w:sz w:val="20"/>
                <w:szCs w:val="20"/>
                <w:color w:val="auto"/>
              </w:rPr>
            </w:pPr>
            <w:r>
              <w:rPr>
                <w:rFonts w:ascii="Arial" w:cs="Arial" w:eastAsia="Arial" w:hAnsi="Arial"/>
                <w:sz w:val="14"/>
                <w:szCs w:val="14"/>
                <w:color w:val="auto"/>
              </w:rPr>
              <w:t>350</w:t>
            </w:r>
          </w:p>
        </w:tc>
        <w:tc>
          <w:tcPr>
            <w:tcW w:w="1100" w:type="dxa"/>
            <w:vAlign w:val="bottom"/>
          </w:tcPr>
          <w:p>
            <w:pPr>
              <w:jc w:val="right"/>
              <w:ind w:right="428"/>
              <w:spacing w:after="0"/>
              <w:rPr>
                <w:sz w:val="20"/>
                <w:szCs w:val="20"/>
                <w:color w:val="auto"/>
              </w:rPr>
            </w:pPr>
            <w:r>
              <w:rPr>
                <w:rFonts w:ascii="Arial" w:cs="Arial" w:eastAsia="Arial" w:hAnsi="Arial"/>
                <w:sz w:val="14"/>
                <w:szCs w:val="14"/>
                <w:color w:val="auto"/>
              </w:rPr>
              <w:t>150</w:t>
            </w: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150</w:t>
            </w:r>
          </w:p>
        </w:tc>
      </w:tr>
      <w:tr>
        <w:trPr>
          <w:trHeight w:val="216"/>
        </w:trPr>
        <w:tc>
          <w:tcPr>
            <w:tcW w:w="1100" w:type="dxa"/>
            <w:vAlign w:val="bottom"/>
          </w:tcPr>
          <w:p>
            <w:pPr>
              <w:jc w:val="right"/>
              <w:ind w:right="228"/>
              <w:spacing w:after="0"/>
              <w:rPr>
                <w:sz w:val="20"/>
                <w:szCs w:val="20"/>
                <w:color w:val="auto"/>
              </w:rPr>
            </w:pPr>
            <w:r>
              <w:rPr>
                <w:rFonts w:ascii="Arial" w:cs="Arial" w:eastAsia="Arial" w:hAnsi="Arial"/>
                <w:sz w:val="14"/>
                <w:szCs w:val="14"/>
                <w:color w:val="auto"/>
              </w:rPr>
              <w:t>(1 )</w:t>
            </w:r>
          </w:p>
        </w:tc>
        <w:tc>
          <w:tcPr>
            <w:tcW w:w="1100" w:type="dxa"/>
            <w:vAlign w:val="bottom"/>
          </w:tcPr>
          <w:p>
            <w:pPr>
              <w:jc w:val="right"/>
              <w:ind w:right="348"/>
              <w:spacing w:after="0"/>
              <w:rPr>
                <w:sz w:val="20"/>
                <w:szCs w:val="20"/>
                <w:color w:val="auto"/>
              </w:rPr>
            </w:pPr>
            <w:r>
              <w:rPr>
                <w:rFonts w:ascii="Arial" w:cs="Arial" w:eastAsia="Arial" w:hAnsi="Arial"/>
                <w:sz w:val="14"/>
                <w:szCs w:val="14"/>
                <w:color w:val="auto"/>
              </w:rPr>
              <w:t>(9 )</w:t>
            </w:r>
          </w:p>
        </w:tc>
        <w:tc>
          <w:tcPr>
            <w:tcW w:w="840" w:type="dxa"/>
            <w:vAlign w:val="bottom"/>
          </w:tcPr>
          <w:p>
            <w:pPr>
              <w:jc w:val="right"/>
              <w:spacing w:after="0"/>
              <w:rPr>
                <w:sz w:val="20"/>
                <w:szCs w:val="20"/>
                <w:color w:val="auto"/>
              </w:rPr>
            </w:pPr>
            <w:r>
              <w:rPr>
                <w:rFonts w:ascii="Arial" w:cs="Arial" w:eastAsia="Arial" w:hAnsi="Arial"/>
                <w:sz w:val="14"/>
                <w:szCs w:val="14"/>
                <w:color w:val="auto"/>
              </w:rPr>
              <w:t xml:space="preserve">(33 </w:t>
            </w:r>
            <w:r>
              <w:rPr>
                <w:rFonts w:ascii="Arial" w:cs="Arial" w:eastAsia="Arial" w:hAnsi="Arial"/>
                <w:sz w:val="16"/>
                <w:szCs w:val="16"/>
                <w:color w:val="auto"/>
              </w:rPr>
              <w:t>)</w:t>
            </w:r>
          </w:p>
        </w:tc>
      </w:tr>
      <w:tr>
        <w:trPr>
          <w:trHeight w:val="219"/>
        </w:trPr>
        <w:tc>
          <w:tcPr>
            <w:tcW w:w="110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color w:val="auto"/>
              </w:rPr>
              <w:t>(1 )</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 xml:space="preserve">(1 </w:t>
            </w:r>
            <w:r>
              <w:rPr>
                <w:rFonts w:ascii="Arial" w:cs="Arial" w:eastAsia="Arial" w:hAnsi="Arial"/>
                <w:sz w:val="16"/>
                <w:szCs w:val="16"/>
                <w:color w:val="auto"/>
              </w:rPr>
              <w:t>)</w:t>
            </w:r>
          </w:p>
        </w:tc>
      </w:tr>
      <w:tr>
        <w:trPr>
          <w:trHeight w:val="208"/>
        </w:trPr>
        <w:tc>
          <w:tcPr>
            <w:tcW w:w="110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349</w:t>
            </w:r>
          </w:p>
        </w:tc>
        <w:tc>
          <w:tcPr>
            <w:tcW w:w="110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color w:val="auto"/>
              </w:rPr>
              <w:t>140</w:t>
            </w:r>
          </w:p>
        </w:tc>
        <w:tc>
          <w:tcPr>
            <w:tcW w:w="8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116</w:t>
            </w:r>
          </w:p>
        </w:tc>
      </w:tr>
      <w:tr>
        <w:trPr>
          <w:trHeight w:val="421"/>
        </w:trPr>
        <w:tc>
          <w:tcPr>
            <w:tcW w:w="1100" w:type="dxa"/>
            <w:vAlign w:val="bottom"/>
          </w:tcPr>
          <w:p>
            <w:pPr>
              <w:jc w:val="right"/>
              <w:ind w:right="228"/>
              <w:spacing w:after="0"/>
              <w:rPr>
                <w:sz w:val="20"/>
                <w:szCs w:val="20"/>
                <w:color w:val="auto"/>
              </w:rPr>
            </w:pPr>
            <w:r>
              <w:rPr>
                <w:rFonts w:ascii="Arial" w:cs="Arial" w:eastAsia="Arial" w:hAnsi="Arial"/>
                <w:sz w:val="14"/>
                <w:szCs w:val="14"/>
                <w:color w:val="auto"/>
              </w:rPr>
              <w:t>(350 )</w:t>
            </w:r>
          </w:p>
        </w:tc>
        <w:tc>
          <w:tcPr>
            <w:tcW w:w="1100" w:type="dxa"/>
            <w:vAlign w:val="bottom"/>
          </w:tcPr>
          <w:p>
            <w:pPr>
              <w:jc w:val="right"/>
              <w:ind w:right="348"/>
              <w:spacing w:after="0"/>
              <w:rPr>
                <w:sz w:val="20"/>
                <w:szCs w:val="20"/>
                <w:color w:val="auto"/>
              </w:rPr>
            </w:pPr>
            <w:r>
              <w:rPr>
                <w:rFonts w:ascii="Arial" w:cs="Arial" w:eastAsia="Arial" w:hAnsi="Arial"/>
                <w:sz w:val="14"/>
                <w:szCs w:val="14"/>
                <w:color w:val="auto"/>
              </w:rPr>
              <w:t>(150 )</w:t>
            </w:r>
          </w:p>
        </w:tc>
        <w:tc>
          <w:tcPr>
            <w:tcW w:w="840" w:type="dxa"/>
            <w:vAlign w:val="bottom"/>
          </w:tcPr>
          <w:p>
            <w:pPr>
              <w:jc w:val="right"/>
              <w:spacing w:after="0"/>
              <w:rPr>
                <w:sz w:val="20"/>
                <w:szCs w:val="20"/>
                <w:color w:val="auto"/>
              </w:rPr>
            </w:pPr>
            <w:r>
              <w:rPr>
                <w:rFonts w:ascii="Arial" w:cs="Arial" w:eastAsia="Arial" w:hAnsi="Arial"/>
                <w:sz w:val="14"/>
                <w:szCs w:val="14"/>
                <w:color w:val="auto"/>
              </w:rPr>
              <w:t xml:space="preserve">(150 </w:t>
            </w:r>
            <w:r>
              <w:rPr>
                <w:rFonts w:ascii="Arial" w:cs="Arial" w:eastAsia="Arial" w:hAnsi="Arial"/>
                <w:sz w:val="16"/>
                <w:szCs w:val="16"/>
                <w:color w:val="auto"/>
              </w:rPr>
              <w:t>)</w:t>
            </w:r>
          </w:p>
        </w:tc>
      </w:tr>
      <w:tr>
        <w:trPr>
          <w:trHeight w:val="219"/>
        </w:trPr>
        <w:tc>
          <w:tcPr>
            <w:tcW w:w="11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(4 )</w:t>
            </w:r>
          </w:p>
        </w:tc>
        <w:tc>
          <w:tcPr>
            <w:tcW w:w="110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color w:val="auto"/>
              </w:rPr>
              <w:t>(4 )</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 xml:space="preserve">(4 </w:t>
            </w:r>
            <w:r>
              <w:rPr>
                <w:rFonts w:ascii="Arial" w:cs="Arial" w:eastAsia="Arial" w:hAnsi="Arial"/>
                <w:sz w:val="16"/>
                <w:szCs w:val="16"/>
                <w:color w:val="auto"/>
              </w:rPr>
              <w:t>)</w:t>
            </w:r>
          </w:p>
        </w:tc>
      </w:tr>
      <w:tr>
        <w:trPr>
          <w:trHeight w:val="208"/>
        </w:trPr>
        <w:tc>
          <w:tcPr>
            <w:tcW w:w="11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(354 )</w:t>
            </w:r>
          </w:p>
        </w:tc>
        <w:tc>
          <w:tcPr>
            <w:tcW w:w="110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color w:val="auto"/>
              </w:rPr>
              <w:t>(154 )</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 xml:space="preserve">(154 </w:t>
            </w:r>
            <w:r>
              <w:rPr>
                <w:rFonts w:ascii="Arial" w:cs="Arial" w:eastAsia="Arial" w:hAnsi="Arial"/>
                <w:sz w:val="16"/>
                <w:szCs w:val="16"/>
                <w:color w:val="auto"/>
              </w:rPr>
              <w:t>)</w:t>
            </w:r>
          </w:p>
        </w:tc>
      </w:tr>
    </w:tbl>
    <w:p>
      <w:pPr>
        <w:spacing w:after="0" w:line="200" w:lineRule="exact"/>
        <w:rPr>
          <w:sz w:val="20"/>
          <w:szCs w:val="20"/>
          <w:color w:val="auto"/>
        </w:rPr>
      </w:pPr>
    </w:p>
    <w:p>
      <w:pPr>
        <w:sectPr>
          <w:pgSz w:w="11900" w:h="16838" w:orient="portrait"/>
          <w:cols w:equalWidth="0" w:num="2">
            <w:col w:w="6000" w:space="720"/>
            <w:col w:w="3499"/>
          </w:cols>
          <w:pgMar w:left="240" w:top="448" w:right="1440" w:bottom="1440" w:gutter="0" w:footer="0" w:header="0"/>
          <w:type w:val="continuous"/>
        </w:sectPr>
      </w:pPr>
    </w:p>
    <w:p>
      <w:pPr>
        <w:spacing w:after="0" w:line="54" w:lineRule="exact"/>
        <w:rPr>
          <w:sz w:val="20"/>
          <w:szCs w:val="20"/>
          <w:color w:val="auto"/>
        </w:rPr>
      </w:pPr>
    </w:p>
    <w:tbl>
      <w:tblPr>
        <w:tblLayout w:type="fixed"/>
        <w:tblInd w:w="1660" w:type="dxa"/>
        <w:tblCellMar>
          <w:top w:w="0" w:type="dxa"/>
          <w:left w:w="0" w:type="dxa"/>
          <w:bottom w:w="0" w:type="dxa"/>
          <w:right w:w="0" w:type="dxa"/>
        </w:tblCellMar>
      </w:tblPr>
      <w:tr>
        <w:trPr>
          <w:trHeight w:val="172"/>
        </w:trPr>
        <w:tc>
          <w:tcPr>
            <w:tcW w:w="5060" w:type="dxa"/>
            <w:vAlign w:val="bottom"/>
          </w:tcPr>
          <w:p>
            <w:pPr>
              <w:ind w:left="20"/>
              <w:spacing w:after="0"/>
              <w:rPr>
                <w:sz w:val="20"/>
                <w:szCs w:val="20"/>
                <w:color w:val="auto"/>
              </w:rPr>
            </w:pPr>
            <w:r>
              <w:rPr>
                <w:rFonts w:ascii="Arial" w:cs="Arial" w:eastAsia="Arial" w:hAnsi="Arial"/>
                <w:sz w:val="14"/>
                <w:szCs w:val="14"/>
                <w:color w:val="auto"/>
              </w:rPr>
              <w:t>Change in cash and cash equivalents</w:t>
            </w:r>
          </w:p>
        </w:tc>
        <w:tc>
          <w:tcPr>
            <w:tcW w:w="380" w:type="dxa"/>
            <w:vAlign w:val="bottom"/>
          </w:tcPr>
          <w:p>
            <w:pPr>
              <w:spacing w:after="0"/>
              <w:rPr>
                <w:sz w:val="14"/>
                <w:szCs w:val="14"/>
                <w:color w:val="auto"/>
              </w:rPr>
            </w:pPr>
          </w:p>
        </w:tc>
        <w:tc>
          <w:tcPr>
            <w:tcW w:w="4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14"/>
                <w:szCs w:val="14"/>
                <w:color w:val="auto"/>
              </w:rPr>
            </w:pPr>
          </w:p>
        </w:tc>
        <w:tc>
          <w:tcPr>
            <w:tcW w:w="62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580" w:type="dxa"/>
            <w:vAlign w:val="bottom"/>
          </w:tcPr>
          <w:p>
            <w:pPr>
              <w:spacing w:after="0"/>
              <w:rPr>
                <w:sz w:val="14"/>
                <w:szCs w:val="14"/>
                <w:color w:val="auto"/>
              </w:rPr>
            </w:pPr>
          </w:p>
        </w:tc>
        <w:tc>
          <w:tcPr>
            <w:tcW w:w="500" w:type="dxa"/>
            <w:vAlign w:val="bottom"/>
          </w:tcPr>
          <w:p>
            <w:pPr>
              <w:jc w:val="right"/>
              <w:ind w:right="48"/>
              <w:spacing w:after="0"/>
              <w:rPr>
                <w:sz w:val="20"/>
                <w:szCs w:val="20"/>
                <w:color w:val="auto"/>
              </w:rPr>
            </w:pPr>
            <w:r>
              <w:rPr>
                <w:rFonts w:ascii="Arial" w:cs="Arial" w:eastAsia="Arial" w:hAnsi="Arial"/>
                <w:sz w:val="14"/>
                <w:szCs w:val="14"/>
                <w:color w:val="auto"/>
              </w:rPr>
              <w:t>--</w:t>
            </w:r>
          </w:p>
        </w:tc>
      </w:tr>
      <w:tr>
        <w:trPr>
          <w:trHeight w:val="222"/>
        </w:trPr>
        <w:tc>
          <w:tcPr>
            <w:tcW w:w="5060" w:type="dxa"/>
            <w:vAlign w:val="bottom"/>
          </w:tcPr>
          <w:p>
            <w:pPr>
              <w:ind w:left="20"/>
              <w:spacing w:after="0"/>
              <w:rPr>
                <w:sz w:val="20"/>
                <w:szCs w:val="20"/>
                <w:color w:val="auto"/>
              </w:rPr>
            </w:pPr>
            <w:r>
              <w:rPr>
                <w:rFonts w:ascii="Arial" w:cs="Arial" w:eastAsia="Arial" w:hAnsi="Arial"/>
                <w:sz w:val="14"/>
                <w:szCs w:val="14"/>
                <w:color w:val="auto"/>
              </w:rPr>
              <w:t>Cash and cash equivalents, January 1</w:t>
            </w:r>
          </w:p>
        </w:tc>
        <w:tc>
          <w:tcPr>
            <w:tcW w:w="3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4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r>
      <w:tr>
        <w:trPr>
          <w:trHeight w:val="224"/>
        </w:trPr>
        <w:tc>
          <w:tcPr>
            <w:tcW w:w="50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Cash and cash equivalents, December 31</w:t>
            </w:r>
          </w:p>
        </w:tc>
        <w:tc>
          <w:tcPr>
            <w:tcW w:w="38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4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48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r>
    </w:tbl>
    <w:p>
      <w:pPr>
        <w:spacing w:after="0" w:line="16" w:lineRule="exact"/>
        <w:rPr>
          <w:sz w:val="20"/>
          <w:szCs w:val="20"/>
          <w:color w:val="auto"/>
        </w:rPr>
      </w:pPr>
    </w:p>
    <w:p>
      <w:pPr>
        <w:ind w:left="1680"/>
        <w:spacing w:after="0"/>
        <w:rPr>
          <w:sz w:val="20"/>
          <w:szCs w:val="20"/>
          <w:color w:val="auto"/>
        </w:rPr>
      </w:pPr>
      <w:r>
        <w:rPr>
          <w:rFonts w:ascii="Arial" w:cs="Arial" w:eastAsia="Arial" w:hAnsi="Arial"/>
          <w:sz w:val="13"/>
          <w:szCs w:val="13"/>
          <w:i w:val="1"/>
          <w:iCs w:val="1"/>
          <w:color w:val="auto"/>
        </w:rPr>
        <w:t>See Notes to Condensed Financial Information of Parent (Pacific Enterprises).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367665</wp:posOffset>
            </wp:positionV>
            <wp:extent cx="7261860" cy="762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PACIFIC ENTERPRISES</w:t>
      </w:r>
    </w:p>
    <w:p>
      <w:pPr>
        <w:spacing w:after="0" w:line="29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NOTES TO CONDENSED FINANCIAL INFORMATION OF PARENT</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Basis of Presentation</w:t>
      </w:r>
    </w:p>
    <w:p>
      <w:pPr>
        <w:spacing w:after="0" w:line="41" w:lineRule="exact"/>
        <w:rPr>
          <w:sz w:val="20"/>
          <w:szCs w:val="20"/>
          <w:color w:val="auto"/>
        </w:rPr>
      </w:pPr>
    </w:p>
    <w:p>
      <w:pPr>
        <w:spacing w:after="0"/>
        <w:rPr>
          <w:sz w:val="20"/>
          <w:szCs w:val="20"/>
          <w:color w:val="auto"/>
        </w:rPr>
      </w:pPr>
      <w:r>
        <w:rPr>
          <w:rFonts w:ascii="Arial" w:cs="Arial" w:eastAsia="Arial" w:hAnsi="Arial"/>
          <w:sz w:val="16"/>
          <w:szCs w:val="16"/>
          <w:color w:val="auto"/>
        </w:rPr>
        <w:t>Pacific Enterprises accounts for the earnings of its subsidiaries under the equity method in this unconsolidated financial information.</w:t>
      </w:r>
    </w:p>
    <w:p>
      <w:pPr>
        <w:spacing w:after="0" w:line="92" w:lineRule="exact"/>
        <w:rPr>
          <w:sz w:val="20"/>
          <w:szCs w:val="20"/>
          <w:color w:val="auto"/>
        </w:rPr>
      </w:pPr>
    </w:p>
    <w:p>
      <w:pPr>
        <w:spacing w:after="0"/>
        <w:rPr>
          <w:sz w:val="20"/>
          <w:szCs w:val="20"/>
          <w:color w:val="auto"/>
        </w:rPr>
      </w:pPr>
      <w:r>
        <w:rPr>
          <w:rFonts w:ascii="Arial" w:cs="Arial" w:eastAsia="Arial" w:hAnsi="Arial"/>
          <w:sz w:val="16"/>
          <w:szCs w:val="16"/>
          <w:color w:val="auto"/>
        </w:rPr>
        <w:t>Because of its nature as a holding company, Pacific Enterprises classifies dividends received from subsidiaries as an investing cash flow.</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Commitments and Contingencies</w:t>
      </w:r>
    </w:p>
    <w:p>
      <w:pPr>
        <w:spacing w:after="0" w:line="41" w:lineRule="exact"/>
        <w:rPr>
          <w:sz w:val="20"/>
          <w:szCs w:val="20"/>
          <w:color w:val="auto"/>
        </w:rPr>
      </w:pPr>
    </w:p>
    <w:p>
      <w:pPr>
        <w:spacing w:after="0"/>
        <w:rPr>
          <w:sz w:val="20"/>
          <w:szCs w:val="20"/>
          <w:color w:val="auto"/>
        </w:rPr>
      </w:pPr>
      <w:r>
        <w:rPr>
          <w:rFonts w:ascii="Arial" w:cs="Arial" w:eastAsia="Arial" w:hAnsi="Arial"/>
          <w:sz w:val="16"/>
          <w:szCs w:val="16"/>
          <w:color w:val="auto"/>
        </w:rPr>
        <w:t>For contingencies related to Pacific Enterprises, refer to Note 16 of the Notes to Consolidated Financial Statements in the Annual Report.</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4"/>
          <w:szCs w:val="14"/>
          <w:color w:val="auto"/>
        </w:rPr>
        <w:t>43</w:t>
      </w:r>
    </w:p>
    <w:p>
      <w:pPr>
        <w:sectPr>
          <w:pgSz w:w="11900" w:h="16838" w:orient="portrait"/>
          <w:cols w:equalWidth="0" w:num="1">
            <w:col w:w="10219"/>
          </w:cols>
          <w:pgMar w:left="240" w:top="448" w:right="1440" w:bottom="1440" w:gutter="0" w:footer="0" w:header="0"/>
          <w:type w:val="continuous"/>
        </w:sectPr>
      </w:pPr>
    </w:p>
    <w:bookmarkStart w:id="43" w:name="page44"/>
    <w:bookmarkEnd w:id="43"/>
    <w:p>
      <w:pPr>
        <w:ind w:left="460"/>
        <w:spacing w:after="0"/>
        <w:rPr>
          <w:sz w:val="20"/>
          <w:szCs w:val="20"/>
          <w:color w:val="auto"/>
        </w:rPr>
      </w:pPr>
      <w:r>
        <w:rPr>
          <w:rFonts w:ascii="Arial" w:cs="Arial" w:eastAsia="Arial" w:hAnsi="Arial"/>
          <w:sz w:val="16"/>
          <w:szCs w:val="16"/>
          <w:b w:val="1"/>
          <w:bCs w:val="1"/>
          <w:color w:val="auto"/>
        </w:rPr>
        <w:t>Sempra Energy:</w:t>
      </w:r>
    </w:p>
    <w:p>
      <w:pPr>
        <w:spacing w:after="0" w:line="32" w:lineRule="exact"/>
        <w:rPr>
          <w:sz w:val="20"/>
          <w:szCs w:val="20"/>
          <w:color w:val="auto"/>
        </w:rPr>
      </w:pPr>
    </w:p>
    <w:p>
      <w:pPr>
        <w:ind w:left="3720"/>
        <w:spacing w:after="0"/>
        <w:rPr>
          <w:sz w:val="20"/>
          <w:szCs w:val="20"/>
          <w:color w:val="auto"/>
        </w:rPr>
      </w:pPr>
      <w:r>
        <w:rPr>
          <w:rFonts w:ascii="Arial" w:cs="Arial" w:eastAsia="Arial" w:hAnsi="Arial"/>
          <w:sz w:val="16"/>
          <w:szCs w:val="16"/>
          <w:b w:val="1"/>
          <w:bCs w:val="1"/>
          <w:color w:val="auto"/>
        </w:rPr>
        <w:t>SIGNATURES</w:t>
      </w:r>
    </w:p>
    <w:p>
      <w:pPr>
        <w:spacing w:after="0" w:line="252" w:lineRule="exact"/>
        <w:rPr>
          <w:sz w:val="20"/>
          <w:szCs w:val="20"/>
          <w:color w:val="auto"/>
        </w:rPr>
      </w:pPr>
    </w:p>
    <w:p>
      <w:pPr>
        <w:ind w:left="460" w:right="1199"/>
        <w:spacing w:after="0" w:line="312" w:lineRule="auto"/>
        <w:rPr>
          <w:sz w:val="20"/>
          <w:szCs w:val="20"/>
          <w:color w:val="auto"/>
        </w:rPr>
      </w:pPr>
      <w:r>
        <w:rPr>
          <w:rFonts w:ascii="Arial" w:cs="Arial" w:eastAsia="Arial" w:hAnsi="Arial"/>
          <w:sz w:val="15"/>
          <w:szCs w:val="15"/>
          <w:color w:val="auto"/>
        </w:rPr>
        <w:t>Pursuant to the requirements of Section 13 or 15(d) of the Securities Exchange Act of 1934, the registrant has duly caused this report to be signed on its behalf by the undersigned, thereunto duly authorized.</w:t>
      </w:r>
    </w:p>
    <w:p>
      <w:pPr>
        <w:spacing w:after="0" w:line="176" w:lineRule="exact"/>
        <w:rPr>
          <w:sz w:val="20"/>
          <w:szCs w:val="20"/>
          <w:color w:val="auto"/>
        </w:rPr>
      </w:pPr>
    </w:p>
    <w:p>
      <w:pPr>
        <w:ind w:left="4780"/>
        <w:spacing w:after="0"/>
        <w:rPr>
          <w:sz w:val="20"/>
          <w:szCs w:val="20"/>
          <w:color w:val="auto"/>
        </w:rPr>
      </w:pPr>
      <w:r>
        <w:rPr>
          <w:rFonts w:ascii="Arial" w:cs="Arial" w:eastAsia="Arial" w:hAnsi="Arial"/>
          <w:sz w:val="16"/>
          <w:szCs w:val="16"/>
          <w:color w:val="auto"/>
        </w:rPr>
        <w:t>SEMPRA ENERGY,</w:t>
      </w:r>
    </w:p>
    <w:p>
      <w:pPr>
        <w:spacing w:after="0" w:line="21" w:lineRule="exact"/>
        <w:rPr>
          <w:sz w:val="20"/>
          <w:szCs w:val="20"/>
          <w:color w:val="auto"/>
        </w:rPr>
      </w:pPr>
    </w:p>
    <w:p>
      <w:pPr>
        <w:ind w:left="4780"/>
        <w:spacing w:after="0"/>
        <w:rPr>
          <w:sz w:val="20"/>
          <w:szCs w:val="20"/>
          <w:color w:val="auto"/>
        </w:rPr>
      </w:pPr>
      <w:r>
        <w:rPr>
          <w:rFonts w:ascii="Arial" w:cs="Arial" w:eastAsia="Arial" w:hAnsi="Arial"/>
          <w:sz w:val="16"/>
          <w:szCs w:val="16"/>
          <w:color w:val="auto"/>
        </w:rPr>
        <w:t>(Registrant)</w:t>
      </w:r>
    </w:p>
    <w:p>
      <w:pPr>
        <w:spacing w:after="0" w:line="236" w:lineRule="exact"/>
        <w:rPr>
          <w:sz w:val="20"/>
          <w:szCs w:val="20"/>
          <w:color w:val="auto"/>
        </w:rPr>
      </w:pPr>
    </w:p>
    <w:p>
      <w:pPr>
        <w:ind w:left="4780"/>
        <w:spacing w:after="0"/>
        <w:rPr>
          <w:sz w:val="20"/>
          <w:szCs w:val="20"/>
          <w:color w:val="auto"/>
        </w:rPr>
      </w:pPr>
      <w:r>
        <w:rPr>
          <w:rFonts w:ascii="Arial" w:cs="Arial" w:eastAsia="Arial" w:hAnsi="Arial"/>
          <w:sz w:val="16"/>
          <w:szCs w:val="16"/>
          <w:color w:val="auto"/>
        </w:rPr>
        <w:t>By: /s/ Donald E. Felsinger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3026410</wp:posOffset>
            </wp:positionH>
            <wp:positionV relativeFrom="paragraph">
              <wp:posOffset>20955</wp:posOffset>
            </wp:positionV>
            <wp:extent cx="2418080" cy="762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418080" cy="7620"/>
                    </a:xfrm>
                    <a:prstGeom prst="rect">
                      <a:avLst/>
                    </a:prstGeom>
                    <a:noFill/>
                  </pic:spPr>
                </pic:pic>
              </a:graphicData>
            </a:graphic>
          </wp:anchor>
        </w:drawing>
      </w:r>
    </w:p>
    <w:p>
      <w:pPr>
        <w:spacing w:after="0" w:line="24" w:lineRule="exact"/>
        <w:rPr>
          <w:sz w:val="20"/>
          <w:szCs w:val="20"/>
          <w:color w:val="auto"/>
        </w:rPr>
      </w:pPr>
    </w:p>
    <w:p>
      <w:pPr>
        <w:ind w:left="4780"/>
        <w:spacing w:after="0"/>
        <w:rPr>
          <w:sz w:val="20"/>
          <w:szCs w:val="20"/>
          <w:color w:val="auto"/>
        </w:rPr>
      </w:pPr>
      <w:r>
        <w:rPr>
          <w:rFonts w:ascii="Arial" w:cs="Arial" w:eastAsia="Arial" w:hAnsi="Arial"/>
          <w:sz w:val="16"/>
          <w:szCs w:val="16"/>
          <w:color w:val="auto"/>
        </w:rPr>
        <w:t>Donald E. Felsinger</w:t>
      </w:r>
    </w:p>
    <w:p>
      <w:pPr>
        <w:spacing w:after="0" w:line="21" w:lineRule="exact"/>
        <w:rPr>
          <w:sz w:val="20"/>
          <w:szCs w:val="20"/>
          <w:color w:val="auto"/>
        </w:rPr>
      </w:pPr>
    </w:p>
    <w:p>
      <w:pPr>
        <w:ind w:left="4780"/>
        <w:spacing w:after="0"/>
        <w:rPr>
          <w:sz w:val="20"/>
          <w:szCs w:val="20"/>
          <w:color w:val="auto"/>
        </w:rPr>
      </w:pPr>
      <w:r>
        <w:rPr>
          <w:rFonts w:ascii="Arial" w:cs="Arial" w:eastAsia="Arial" w:hAnsi="Arial"/>
          <w:sz w:val="16"/>
          <w:szCs w:val="16"/>
          <w:color w:val="auto"/>
        </w:rPr>
        <w:t>Chairman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460" w:right="559"/>
        <w:spacing w:after="0" w:line="277" w:lineRule="auto"/>
        <w:rPr>
          <w:sz w:val="20"/>
          <w:szCs w:val="20"/>
          <w:color w:val="auto"/>
        </w:rPr>
      </w:pPr>
      <w:r>
        <w:rPr>
          <w:rFonts w:ascii="Arial" w:cs="Arial" w:eastAsia="Arial" w:hAnsi="Arial"/>
          <w:sz w:val="16"/>
          <w:szCs w:val="16"/>
          <w:color w:val="auto"/>
        </w:rPr>
        <w:t>Pursuant to the requirements of the Securities Exchange Act of 1934, this report is signed below by the following persons on behalf of the Registrant in the capacities and on the dates indicated.</w:t>
      </w:r>
    </w:p>
    <w:p>
      <w:pPr>
        <w:spacing w:after="0" w:line="196" w:lineRule="exact"/>
        <w:rPr>
          <w:sz w:val="20"/>
          <w:szCs w:val="20"/>
          <w:color w:val="auto"/>
        </w:rPr>
      </w:pPr>
    </w:p>
    <w:tbl>
      <w:tblPr>
        <w:tblLayout w:type="fixed"/>
        <w:tblInd w:w="460" w:type="dxa"/>
        <w:tblCellMar>
          <w:top w:w="0" w:type="dxa"/>
          <w:left w:w="0" w:type="dxa"/>
          <w:bottom w:w="0" w:type="dxa"/>
          <w:right w:w="0" w:type="dxa"/>
        </w:tblCellMar>
      </w:tblPr>
      <w:tr>
        <w:trPr>
          <w:trHeight w:val="215"/>
        </w:trPr>
        <w:tc>
          <w:tcPr>
            <w:tcW w:w="312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Name/Title</w:t>
            </w:r>
          </w:p>
        </w:tc>
        <w:tc>
          <w:tcPr>
            <w:tcW w:w="294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Signature</w:t>
            </w:r>
          </w:p>
        </w:tc>
        <w:tc>
          <w:tcPr>
            <w:tcW w:w="206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Date</w:t>
            </w:r>
          </w:p>
        </w:tc>
        <w:tc>
          <w:tcPr>
            <w:tcW w:w="0" w:type="dxa"/>
            <w:vAlign w:val="bottom"/>
          </w:tcPr>
          <w:p>
            <w:pPr>
              <w:spacing w:after="0"/>
              <w:rPr>
                <w:sz w:val="1"/>
                <w:szCs w:val="1"/>
                <w:color w:val="auto"/>
              </w:rPr>
            </w:pPr>
          </w:p>
        </w:tc>
      </w:tr>
      <w:tr>
        <w:trPr>
          <w:trHeight w:val="202"/>
        </w:trPr>
        <w:tc>
          <w:tcPr>
            <w:tcW w:w="3120" w:type="dxa"/>
            <w:vAlign w:val="bottom"/>
          </w:tcPr>
          <w:p>
            <w:pPr>
              <w:spacing w:after="0"/>
              <w:rPr>
                <w:sz w:val="20"/>
                <w:szCs w:val="20"/>
                <w:color w:val="auto"/>
              </w:rPr>
            </w:pPr>
            <w:r>
              <w:rPr>
                <w:rFonts w:ascii="Arial" w:cs="Arial" w:eastAsia="Arial" w:hAnsi="Arial"/>
                <w:sz w:val="16"/>
                <w:szCs w:val="16"/>
                <w:b w:val="1"/>
                <w:bCs w:val="1"/>
                <w:color w:val="auto"/>
              </w:rPr>
              <w:t>Principal Executive Officer:</w:t>
            </w:r>
          </w:p>
        </w:tc>
        <w:tc>
          <w:tcPr>
            <w:tcW w:w="294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3120" w:type="dxa"/>
            <w:vAlign w:val="bottom"/>
          </w:tcPr>
          <w:p>
            <w:pPr>
              <w:spacing w:after="0"/>
              <w:rPr>
                <w:sz w:val="20"/>
                <w:szCs w:val="20"/>
                <w:color w:val="auto"/>
              </w:rPr>
            </w:pPr>
            <w:r>
              <w:rPr>
                <w:rFonts w:ascii="Arial" w:cs="Arial" w:eastAsia="Arial" w:hAnsi="Arial"/>
                <w:sz w:val="16"/>
                <w:szCs w:val="16"/>
                <w:color w:val="auto"/>
              </w:rPr>
              <w:t>Donald E. Felsinger</w:t>
            </w:r>
          </w:p>
        </w:tc>
        <w:tc>
          <w:tcPr>
            <w:tcW w:w="2940" w:type="dxa"/>
            <w:vAlign w:val="bottom"/>
            <w:vMerge w:val="restart"/>
          </w:tcPr>
          <w:p>
            <w:pPr>
              <w:ind w:left="20"/>
              <w:spacing w:after="0"/>
              <w:rPr>
                <w:sz w:val="20"/>
                <w:szCs w:val="20"/>
                <w:color w:val="auto"/>
              </w:rPr>
            </w:pPr>
            <w:r>
              <w:rPr>
                <w:rFonts w:ascii="Arial" w:cs="Arial" w:eastAsia="Arial" w:hAnsi="Arial"/>
                <w:sz w:val="16"/>
                <w:szCs w:val="16"/>
                <w:color w:val="auto"/>
              </w:rPr>
              <w:t>/s/ Donald E. Felsinger</w:t>
            </w:r>
          </w:p>
        </w:tc>
        <w:tc>
          <w:tcPr>
            <w:tcW w:w="2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120" w:type="dxa"/>
            <w:vAlign w:val="bottom"/>
          </w:tcPr>
          <w:p>
            <w:pPr>
              <w:spacing w:after="0"/>
              <w:rPr>
                <w:sz w:val="20"/>
                <w:szCs w:val="20"/>
                <w:color w:val="auto"/>
              </w:rPr>
            </w:pPr>
            <w:r>
              <w:rPr>
                <w:rFonts w:ascii="Arial" w:cs="Arial" w:eastAsia="Arial" w:hAnsi="Arial"/>
                <w:sz w:val="16"/>
                <w:szCs w:val="16"/>
                <w:color w:val="auto"/>
              </w:rPr>
              <w:t>Chairman and Chief Executive Officer</w:t>
            </w:r>
          </w:p>
        </w:tc>
        <w:tc>
          <w:tcPr>
            <w:tcW w:w="2940" w:type="dxa"/>
            <w:vAlign w:val="bottom"/>
            <w:tcBorders>
              <w:bottom w:val="single" w:sz="8" w:color="auto"/>
            </w:tcBorders>
            <w:vMerge w:val="continue"/>
          </w:tcPr>
          <w:p>
            <w:pPr>
              <w:spacing w:after="0"/>
              <w:rPr>
                <w:sz w:val="17"/>
                <w:szCs w:val="17"/>
                <w:color w:val="auto"/>
              </w:rPr>
            </w:pPr>
          </w:p>
        </w:tc>
        <w:tc>
          <w:tcPr>
            <w:tcW w:w="2060" w:type="dxa"/>
            <w:vAlign w:val="bottom"/>
          </w:tcPr>
          <w:p>
            <w:pPr>
              <w:ind w:left="20"/>
              <w:spacing w:after="0"/>
              <w:rPr>
                <w:sz w:val="20"/>
                <w:szCs w:val="20"/>
                <w:color w:val="auto"/>
              </w:rPr>
            </w:pPr>
            <w:r>
              <w:rPr>
                <w:rFonts w:ascii="Arial" w:cs="Arial" w:eastAsia="Arial" w:hAnsi="Arial"/>
                <w:sz w:val="16"/>
                <w:szCs w:val="16"/>
                <w:color w:val="auto"/>
              </w:rPr>
              <w:t>February 24, 2009</w:t>
            </w:r>
          </w:p>
        </w:tc>
        <w:tc>
          <w:tcPr>
            <w:tcW w:w="0" w:type="dxa"/>
            <w:vAlign w:val="bottom"/>
          </w:tcPr>
          <w:p>
            <w:pPr>
              <w:spacing w:after="0"/>
              <w:rPr>
                <w:sz w:val="1"/>
                <w:szCs w:val="1"/>
                <w:color w:val="auto"/>
              </w:rPr>
            </w:pPr>
          </w:p>
        </w:tc>
      </w:tr>
      <w:tr>
        <w:trPr>
          <w:trHeight w:val="412"/>
        </w:trPr>
        <w:tc>
          <w:tcPr>
            <w:tcW w:w="3120" w:type="dxa"/>
            <w:vAlign w:val="bottom"/>
          </w:tcPr>
          <w:p>
            <w:pPr>
              <w:spacing w:after="0"/>
              <w:rPr>
                <w:sz w:val="20"/>
                <w:szCs w:val="20"/>
                <w:color w:val="auto"/>
              </w:rPr>
            </w:pPr>
            <w:r>
              <w:rPr>
                <w:rFonts w:ascii="Arial" w:cs="Arial" w:eastAsia="Arial" w:hAnsi="Arial"/>
                <w:sz w:val="16"/>
                <w:szCs w:val="16"/>
                <w:b w:val="1"/>
                <w:bCs w:val="1"/>
                <w:color w:val="auto"/>
              </w:rPr>
              <w:t>Principal Financial Officer:</w:t>
            </w:r>
          </w:p>
        </w:tc>
        <w:tc>
          <w:tcPr>
            <w:tcW w:w="294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3120" w:type="dxa"/>
            <w:vAlign w:val="bottom"/>
          </w:tcPr>
          <w:p>
            <w:pPr>
              <w:spacing w:after="0"/>
              <w:rPr>
                <w:sz w:val="20"/>
                <w:szCs w:val="20"/>
                <w:color w:val="auto"/>
              </w:rPr>
            </w:pPr>
            <w:r>
              <w:rPr>
                <w:rFonts w:ascii="Arial" w:cs="Arial" w:eastAsia="Arial" w:hAnsi="Arial"/>
                <w:sz w:val="16"/>
                <w:szCs w:val="16"/>
                <w:color w:val="auto"/>
              </w:rPr>
              <w:t>Mark A. Snell</w:t>
            </w:r>
          </w:p>
        </w:tc>
        <w:tc>
          <w:tcPr>
            <w:tcW w:w="294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120" w:type="dxa"/>
            <w:vAlign w:val="bottom"/>
          </w:tcPr>
          <w:p>
            <w:pPr>
              <w:spacing w:after="0"/>
              <w:rPr>
                <w:sz w:val="20"/>
                <w:szCs w:val="20"/>
                <w:color w:val="auto"/>
              </w:rPr>
            </w:pPr>
            <w:r>
              <w:rPr>
                <w:rFonts w:ascii="Arial" w:cs="Arial" w:eastAsia="Arial" w:hAnsi="Arial"/>
                <w:sz w:val="16"/>
                <w:szCs w:val="16"/>
                <w:color w:val="auto"/>
              </w:rPr>
              <w:t>Executive Vice President and</w:t>
            </w:r>
          </w:p>
        </w:tc>
        <w:tc>
          <w:tcPr>
            <w:tcW w:w="2940" w:type="dxa"/>
            <w:vAlign w:val="bottom"/>
            <w:vMerge w:val="restart"/>
          </w:tcPr>
          <w:p>
            <w:pPr>
              <w:ind w:left="20"/>
              <w:spacing w:after="0"/>
              <w:rPr>
                <w:sz w:val="20"/>
                <w:szCs w:val="20"/>
                <w:color w:val="auto"/>
              </w:rPr>
            </w:pPr>
            <w:r>
              <w:rPr>
                <w:rFonts w:ascii="Arial" w:cs="Arial" w:eastAsia="Arial" w:hAnsi="Arial"/>
                <w:sz w:val="16"/>
                <w:szCs w:val="16"/>
                <w:color w:val="auto"/>
              </w:rPr>
              <w:t>/s/ Mark A. Snell</w:t>
            </w:r>
          </w:p>
        </w:tc>
        <w:tc>
          <w:tcPr>
            <w:tcW w:w="2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120" w:type="dxa"/>
            <w:vAlign w:val="bottom"/>
          </w:tcPr>
          <w:p>
            <w:pPr>
              <w:spacing w:after="0"/>
              <w:rPr>
                <w:sz w:val="20"/>
                <w:szCs w:val="20"/>
                <w:color w:val="auto"/>
              </w:rPr>
            </w:pPr>
            <w:r>
              <w:rPr>
                <w:rFonts w:ascii="Arial" w:cs="Arial" w:eastAsia="Arial" w:hAnsi="Arial"/>
                <w:sz w:val="16"/>
                <w:szCs w:val="16"/>
                <w:color w:val="auto"/>
              </w:rPr>
              <w:t>Chief Financial Officer</w:t>
            </w:r>
          </w:p>
        </w:tc>
        <w:tc>
          <w:tcPr>
            <w:tcW w:w="2940" w:type="dxa"/>
            <w:vAlign w:val="bottom"/>
            <w:tcBorders>
              <w:bottom w:val="single" w:sz="8" w:color="auto"/>
            </w:tcBorders>
            <w:vMerge w:val="continue"/>
          </w:tcPr>
          <w:p>
            <w:pPr>
              <w:spacing w:after="0"/>
              <w:rPr>
                <w:sz w:val="17"/>
                <w:szCs w:val="17"/>
                <w:color w:val="auto"/>
              </w:rPr>
            </w:pPr>
          </w:p>
        </w:tc>
        <w:tc>
          <w:tcPr>
            <w:tcW w:w="2060" w:type="dxa"/>
            <w:vAlign w:val="bottom"/>
          </w:tcPr>
          <w:p>
            <w:pPr>
              <w:ind w:left="20"/>
              <w:spacing w:after="0"/>
              <w:rPr>
                <w:sz w:val="20"/>
                <w:szCs w:val="20"/>
                <w:color w:val="auto"/>
              </w:rPr>
            </w:pPr>
            <w:r>
              <w:rPr>
                <w:rFonts w:ascii="Arial" w:cs="Arial" w:eastAsia="Arial" w:hAnsi="Arial"/>
                <w:sz w:val="16"/>
                <w:szCs w:val="16"/>
                <w:color w:val="auto"/>
              </w:rPr>
              <w:t>February 24, 2009</w:t>
            </w:r>
          </w:p>
        </w:tc>
        <w:tc>
          <w:tcPr>
            <w:tcW w:w="0" w:type="dxa"/>
            <w:vAlign w:val="bottom"/>
          </w:tcPr>
          <w:p>
            <w:pPr>
              <w:spacing w:after="0"/>
              <w:rPr>
                <w:sz w:val="1"/>
                <w:szCs w:val="1"/>
                <w:color w:val="auto"/>
              </w:rPr>
            </w:pPr>
          </w:p>
        </w:tc>
      </w:tr>
      <w:tr>
        <w:trPr>
          <w:trHeight w:val="412"/>
        </w:trPr>
        <w:tc>
          <w:tcPr>
            <w:tcW w:w="3120" w:type="dxa"/>
            <w:vAlign w:val="bottom"/>
          </w:tcPr>
          <w:p>
            <w:pPr>
              <w:spacing w:after="0"/>
              <w:rPr>
                <w:sz w:val="20"/>
                <w:szCs w:val="20"/>
                <w:color w:val="auto"/>
              </w:rPr>
            </w:pPr>
            <w:r>
              <w:rPr>
                <w:rFonts w:ascii="Arial" w:cs="Arial" w:eastAsia="Arial" w:hAnsi="Arial"/>
                <w:sz w:val="16"/>
                <w:szCs w:val="16"/>
                <w:b w:val="1"/>
                <w:bCs w:val="1"/>
                <w:color w:val="auto"/>
              </w:rPr>
              <w:t>Principal Accounting Officer:</w:t>
            </w:r>
          </w:p>
        </w:tc>
        <w:tc>
          <w:tcPr>
            <w:tcW w:w="294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3120" w:type="dxa"/>
            <w:vAlign w:val="bottom"/>
          </w:tcPr>
          <w:p>
            <w:pPr>
              <w:spacing w:after="0"/>
              <w:rPr>
                <w:sz w:val="20"/>
                <w:szCs w:val="20"/>
                <w:color w:val="auto"/>
              </w:rPr>
            </w:pPr>
            <w:r>
              <w:rPr>
                <w:rFonts w:ascii="Arial" w:cs="Arial" w:eastAsia="Arial" w:hAnsi="Arial"/>
                <w:sz w:val="16"/>
                <w:szCs w:val="16"/>
                <w:color w:val="auto"/>
              </w:rPr>
              <w:t>Joseph A. Householder</w:t>
            </w:r>
          </w:p>
        </w:tc>
        <w:tc>
          <w:tcPr>
            <w:tcW w:w="294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120" w:type="dxa"/>
            <w:vAlign w:val="bottom"/>
          </w:tcPr>
          <w:p>
            <w:pPr>
              <w:spacing w:after="0"/>
              <w:rPr>
                <w:sz w:val="20"/>
                <w:szCs w:val="20"/>
                <w:color w:val="auto"/>
              </w:rPr>
            </w:pPr>
            <w:r>
              <w:rPr>
                <w:rFonts w:ascii="Arial" w:cs="Arial" w:eastAsia="Arial" w:hAnsi="Arial"/>
                <w:sz w:val="16"/>
                <w:szCs w:val="16"/>
                <w:color w:val="auto"/>
              </w:rPr>
              <w:t>Senior Vice President, Controller and Chief</w:t>
            </w:r>
          </w:p>
        </w:tc>
        <w:tc>
          <w:tcPr>
            <w:tcW w:w="2940" w:type="dxa"/>
            <w:vAlign w:val="bottom"/>
            <w:vMerge w:val="restart"/>
          </w:tcPr>
          <w:p>
            <w:pPr>
              <w:ind w:left="20"/>
              <w:spacing w:after="0"/>
              <w:rPr>
                <w:sz w:val="20"/>
                <w:szCs w:val="20"/>
                <w:color w:val="auto"/>
              </w:rPr>
            </w:pPr>
            <w:r>
              <w:rPr>
                <w:rFonts w:ascii="Arial" w:cs="Arial" w:eastAsia="Arial" w:hAnsi="Arial"/>
                <w:sz w:val="16"/>
                <w:szCs w:val="16"/>
                <w:color w:val="auto"/>
              </w:rPr>
              <w:t>/s/ Joseph A. Householder</w:t>
            </w:r>
          </w:p>
        </w:tc>
        <w:tc>
          <w:tcPr>
            <w:tcW w:w="2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120" w:type="dxa"/>
            <w:vAlign w:val="bottom"/>
          </w:tcPr>
          <w:p>
            <w:pPr>
              <w:spacing w:after="0"/>
              <w:rPr>
                <w:sz w:val="20"/>
                <w:szCs w:val="20"/>
                <w:color w:val="auto"/>
              </w:rPr>
            </w:pPr>
            <w:r>
              <w:rPr>
                <w:rFonts w:ascii="Arial" w:cs="Arial" w:eastAsia="Arial" w:hAnsi="Arial"/>
                <w:sz w:val="16"/>
                <w:szCs w:val="16"/>
                <w:color w:val="auto"/>
              </w:rPr>
              <w:t>Accounting Officer</w:t>
            </w:r>
          </w:p>
        </w:tc>
        <w:tc>
          <w:tcPr>
            <w:tcW w:w="2940" w:type="dxa"/>
            <w:vAlign w:val="bottom"/>
            <w:tcBorders>
              <w:bottom w:val="single" w:sz="8" w:color="auto"/>
            </w:tcBorders>
            <w:vMerge w:val="continue"/>
          </w:tcPr>
          <w:p>
            <w:pPr>
              <w:spacing w:after="0"/>
              <w:rPr>
                <w:sz w:val="17"/>
                <w:szCs w:val="17"/>
                <w:color w:val="auto"/>
              </w:rPr>
            </w:pPr>
          </w:p>
        </w:tc>
        <w:tc>
          <w:tcPr>
            <w:tcW w:w="2060" w:type="dxa"/>
            <w:vAlign w:val="bottom"/>
          </w:tcPr>
          <w:p>
            <w:pPr>
              <w:ind w:left="20"/>
              <w:spacing w:after="0"/>
              <w:rPr>
                <w:sz w:val="20"/>
                <w:szCs w:val="20"/>
                <w:color w:val="auto"/>
              </w:rPr>
            </w:pPr>
            <w:r>
              <w:rPr>
                <w:rFonts w:ascii="Arial" w:cs="Arial" w:eastAsia="Arial" w:hAnsi="Arial"/>
                <w:sz w:val="16"/>
                <w:szCs w:val="16"/>
                <w:color w:val="auto"/>
              </w:rPr>
              <w:t>February 24, 2009</w:t>
            </w:r>
          </w:p>
        </w:tc>
        <w:tc>
          <w:tcPr>
            <w:tcW w:w="0" w:type="dxa"/>
            <w:vAlign w:val="bottom"/>
          </w:tcPr>
          <w:p>
            <w:pPr>
              <w:spacing w:after="0"/>
              <w:rPr>
                <w:sz w:val="1"/>
                <w:szCs w:val="1"/>
                <w:color w:val="auto"/>
              </w:rPr>
            </w:pPr>
          </w:p>
        </w:tc>
      </w:tr>
      <w:tr>
        <w:trPr>
          <w:trHeight w:val="412"/>
        </w:trPr>
        <w:tc>
          <w:tcPr>
            <w:tcW w:w="3120" w:type="dxa"/>
            <w:vAlign w:val="bottom"/>
          </w:tcPr>
          <w:p>
            <w:pPr>
              <w:spacing w:after="0"/>
              <w:rPr>
                <w:sz w:val="20"/>
                <w:szCs w:val="20"/>
                <w:color w:val="auto"/>
              </w:rPr>
            </w:pPr>
            <w:r>
              <w:rPr>
                <w:rFonts w:ascii="Arial" w:cs="Arial" w:eastAsia="Arial" w:hAnsi="Arial"/>
                <w:sz w:val="16"/>
                <w:szCs w:val="16"/>
                <w:b w:val="1"/>
                <w:bCs w:val="1"/>
                <w:color w:val="auto"/>
              </w:rPr>
              <w:t>Directors:</w:t>
            </w:r>
          </w:p>
        </w:tc>
        <w:tc>
          <w:tcPr>
            <w:tcW w:w="294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2" w:lineRule="exact"/>
        <w:rPr>
          <w:sz w:val="20"/>
          <w:szCs w:val="20"/>
          <w:color w:val="auto"/>
        </w:rPr>
      </w:pPr>
    </w:p>
    <w:p>
      <w:pPr>
        <w:sectPr>
          <w:pgSz w:w="11900" w:h="16838" w:orient="portrait"/>
          <w:cols w:equalWidth="0" w:num="1">
            <w:col w:w="9019"/>
          </w:cols>
          <w:pgMar w:left="1440" w:top="736" w:right="1440" w:bottom="274" w:gutter="0" w:footer="0" w:header="0"/>
        </w:sectPr>
      </w:pPr>
    </w:p>
    <w:p>
      <w:pPr>
        <w:spacing w:after="0" w:line="1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Donald E. Felsinger, Chairman</w:t>
      </w:r>
    </w:p>
    <w:p>
      <w:pPr>
        <w:spacing w:after="0" w:line="200" w:lineRule="exact"/>
        <w:rPr>
          <w:sz w:val="20"/>
          <w:szCs w:val="20"/>
          <w:color w:val="auto"/>
        </w:rPr>
      </w:pPr>
    </w:p>
    <w:p>
      <w:pPr>
        <w:spacing w:after="0" w:line="277" w:lineRule="exact"/>
        <w:rPr>
          <w:sz w:val="20"/>
          <w:szCs w:val="20"/>
          <w:color w:val="auto"/>
        </w:rPr>
      </w:pPr>
    </w:p>
    <w:p>
      <w:pPr>
        <w:ind w:left="460"/>
        <w:spacing w:after="0"/>
        <w:rPr>
          <w:sz w:val="20"/>
          <w:szCs w:val="20"/>
          <w:color w:val="auto"/>
        </w:rPr>
      </w:pPr>
      <w:r>
        <w:rPr>
          <w:rFonts w:ascii="Arial" w:cs="Arial" w:eastAsia="Arial" w:hAnsi="Arial"/>
          <w:sz w:val="14"/>
          <w:szCs w:val="14"/>
          <w:color w:val="auto"/>
        </w:rPr>
        <w:t>James G. Brocksmith, Jr., Director</w:t>
      </w:r>
    </w:p>
    <w:p>
      <w:pPr>
        <w:spacing w:after="0" w:line="200" w:lineRule="exact"/>
        <w:rPr>
          <w:sz w:val="20"/>
          <w:szCs w:val="20"/>
          <w:color w:val="auto"/>
        </w:rPr>
      </w:pPr>
    </w:p>
    <w:p>
      <w:pPr>
        <w:spacing w:after="0" w:line="30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Richard A. Collato, Director</w:t>
      </w:r>
    </w:p>
    <w:p>
      <w:pPr>
        <w:spacing w:after="0" w:line="200" w:lineRule="exact"/>
        <w:rPr>
          <w:sz w:val="20"/>
          <w:szCs w:val="20"/>
          <w:color w:val="auto"/>
        </w:rPr>
      </w:pPr>
    </w:p>
    <w:p>
      <w:pPr>
        <w:spacing w:after="0" w:line="277" w:lineRule="exact"/>
        <w:rPr>
          <w:sz w:val="20"/>
          <w:szCs w:val="20"/>
          <w:color w:val="auto"/>
        </w:rPr>
      </w:pPr>
    </w:p>
    <w:p>
      <w:pPr>
        <w:ind w:left="460"/>
        <w:spacing w:after="0"/>
        <w:rPr>
          <w:sz w:val="20"/>
          <w:szCs w:val="20"/>
          <w:color w:val="auto"/>
        </w:rPr>
      </w:pPr>
      <w:r>
        <w:rPr>
          <w:rFonts w:ascii="Arial" w:cs="Arial" w:eastAsia="Arial" w:hAnsi="Arial"/>
          <w:sz w:val="15"/>
          <w:szCs w:val="15"/>
          <w:color w:val="auto"/>
        </w:rPr>
        <w:t>Wilford D. Godbold, Jr., Director</w:t>
      </w:r>
    </w:p>
    <w:p>
      <w:pPr>
        <w:spacing w:after="0" w:line="200" w:lineRule="exact"/>
        <w:rPr>
          <w:sz w:val="20"/>
          <w:szCs w:val="20"/>
          <w:color w:val="auto"/>
        </w:rPr>
      </w:pPr>
    </w:p>
    <w:p>
      <w:pPr>
        <w:spacing w:after="0" w:line="28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William D. Jones, Director</w:t>
      </w:r>
    </w:p>
    <w:p>
      <w:pPr>
        <w:spacing w:after="0" w:line="200" w:lineRule="exact"/>
        <w:rPr>
          <w:sz w:val="20"/>
          <w:szCs w:val="20"/>
          <w:color w:val="auto"/>
        </w:rPr>
      </w:pPr>
    </w:p>
    <w:p>
      <w:pPr>
        <w:spacing w:after="0" w:line="27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Richard G. Newman, Director</w:t>
      </w:r>
    </w:p>
    <w:p>
      <w:pPr>
        <w:spacing w:after="0" w:line="200" w:lineRule="exact"/>
        <w:rPr>
          <w:sz w:val="20"/>
          <w:szCs w:val="20"/>
          <w:color w:val="auto"/>
        </w:rPr>
      </w:pPr>
    </w:p>
    <w:p>
      <w:pPr>
        <w:spacing w:after="0" w:line="27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William G. Ouchi, Director</w:t>
      </w:r>
    </w:p>
    <w:p>
      <w:pPr>
        <w:spacing w:after="0" w:line="200" w:lineRule="exact"/>
        <w:rPr>
          <w:sz w:val="20"/>
          <w:szCs w:val="20"/>
          <w:color w:val="auto"/>
        </w:rPr>
      </w:pPr>
    </w:p>
    <w:p>
      <w:pPr>
        <w:spacing w:after="0" w:line="27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Carlos Ruiz, Director</w:t>
      </w:r>
    </w:p>
    <w:p>
      <w:pPr>
        <w:spacing w:after="0" w:line="200" w:lineRule="exact"/>
        <w:rPr>
          <w:sz w:val="20"/>
          <w:szCs w:val="20"/>
          <w:color w:val="auto"/>
        </w:rPr>
      </w:pPr>
    </w:p>
    <w:p>
      <w:pPr>
        <w:spacing w:after="0" w:line="27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William C. Rusnack, Director</w:t>
      </w:r>
    </w:p>
    <w:p>
      <w:pPr>
        <w:spacing w:after="0" w:line="200" w:lineRule="exact"/>
        <w:rPr>
          <w:sz w:val="20"/>
          <w:szCs w:val="20"/>
          <w:color w:val="auto"/>
        </w:rPr>
      </w:pPr>
    </w:p>
    <w:p>
      <w:pPr>
        <w:spacing w:after="0" w:line="27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William P. Rutledge, Director</w:t>
      </w:r>
    </w:p>
    <w:p>
      <w:pPr>
        <w:spacing w:after="0" w:line="26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Lynn Schenk, Director</w:t>
      </w:r>
    </w:p>
    <w:p>
      <w:pPr>
        <w:spacing w:after="0" w:line="26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Neal E. Schmale, Director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/s/ Donald E. Felsinger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20955</wp:posOffset>
            </wp:positionV>
            <wp:extent cx="1861185" cy="762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861185" cy="7620"/>
                    </a:xfrm>
                    <a:prstGeom prst="rect">
                      <a:avLst/>
                    </a:prstGeom>
                    <a:noFill/>
                  </pic:spPr>
                </pic:pic>
              </a:graphicData>
            </a:graphic>
          </wp:anchor>
        </w:drawing>
      </w: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4"/>
          <w:szCs w:val="14"/>
          <w:color w:val="auto"/>
        </w:rPr>
        <w:t>/s/ James G. Brocksmith,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35560</wp:posOffset>
            </wp:positionV>
            <wp:extent cx="1861185" cy="762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861185" cy="7620"/>
                    </a:xfrm>
                    <a:prstGeom prst="rect">
                      <a:avLst/>
                    </a:prstGeom>
                    <a:noFill/>
                  </pic:spPr>
                </pic:pic>
              </a:graphicData>
            </a:graphic>
          </wp:anchor>
        </w:drawing>
      </w: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6"/>
          <w:szCs w:val="16"/>
          <w:color w:val="auto"/>
        </w:rPr>
        <w:t>/s/ Richard A. Collato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20955</wp:posOffset>
            </wp:positionV>
            <wp:extent cx="1861185" cy="762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861185" cy="7620"/>
                    </a:xfrm>
                    <a:prstGeom prst="rect">
                      <a:avLst/>
                    </a:prstGeom>
                    <a:noFill/>
                  </pic:spPr>
                </pic:pic>
              </a:graphicData>
            </a:graphic>
          </wp:anchor>
        </w:drawing>
      </w: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5"/>
          <w:szCs w:val="15"/>
          <w:color w:val="auto"/>
        </w:rPr>
        <w:t>/s/ Wilford D. Godbold,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27940</wp:posOffset>
            </wp:positionV>
            <wp:extent cx="1861185" cy="762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861185" cy="7620"/>
                    </a:xfrm>
                    <a:prstGeom prst="rect">
                      <a:avLst/>
                    </a:prstGeom>
                    <a:noFill/>
                  </pic:spPr>
                </pic:pic>
              </a:graphicData>
            </a:graphic>
          </wp:anchor>
        </w:drawing>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6"/>
          <w:szCs w:val="16"/>
          <w:color w:val="auto"/>
        </w:rPr>
        <w:t>/s/ William D.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20955</wp:posOffset>
            </wp:positionV>
            <wp:extent cx="1861185" cy="762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861185" cy="7620"/>
                    </a:xfrm>
                    <a:prstGeom prst="rect">
                      <a:avLst/>
                    </a:prstGeom>
                    <a:noFill/>
                  </pic:spPr>
                </pic:pic>
              </a:graphicData>
            </a:graphic>
          </wp:anchor>
        </w:drawing>
      </w: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6"/>
          <w:szCs w:val="16"/>
          <w:color w:val="auto"/>
        </w:rPr>
        <w:t>/s/ Richard G. Newman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20955</wp:posOffset>
            </wp:positionV>
            <wp:extent cx="1861185" cy="762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861185" cy="7620"/>
                    </a:xfrm>
                    <a:prstGeom prst="rect">
                      <a:avLst/>
                    </a:prstGeom>
                    <a:noFill/>
                  </pic:spPr>
                </pic:pic>
              </a:graphicData>
            </a:graphic>
          </wp:anchor>
        </w:drawing>
      </w: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6"/>
          <w:szCs w:val="16"/>
          <w:color w:val="auto"/>
        </w:rPr>
        <w:t>/s/ William G. Ouchi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20955</wp:posOffset>
            </wp:positionV>
            <wp:extent cx="1861185" cy="762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861185" cy="7620"/>
                    </a:xfrm>
                    <a:prstGeom prst="rect">
                      <a:avLst/>
                    </a:prstGeom>
                    <a:noFill/>
                  </pic:spPr>
                </pic:pic>
              </a:graphicData>
            </a:graphic>
          </wp:anchor>
        </w:drawing>
      </w: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6"/>
          <w:szCs w:val="16"/>
          <w:color w:val="auto"/>
        </w:rPr>
        <w:t>/s/ Carlos Ruiz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20955</wp:posOffset>
            </wp:positionV>
            <wp:extent cx="1861185" cy="762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861185" cy="7620"/>
                    </a:xfrm>
                    <a:prstGeom prst="rect">
                      <a:avLst/>
                    </a:prstGeom>
                    <a:noFill/>
                  </pic:spPr>
                </pic:pic>
              </a:graphicData>
            </a:graphic>
          </wp:anchor>
        </w:drawing>
      </w: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6"/>
          <w:szCs w:val="16"/>
          <w:color w:val="auto"/>
        </w:rPr>
        <w:t>/s/ William C. Rusnack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20955</wp:posOffset>
            </wp:positionV>
            <wp:extent cx="1861185" cy="762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861185" cy="7620"/>
                    </a:xfrm>
                    <a:prstGeom prst="rect">
                      <a:avLst/>
                    </a:prstGeom>
                    <a:noFill/>
                  </pic:spPr>
                </pic:pic>
              </a:graphicData>
            </a:graphic>
          </wp:anchor>
        </w:drawing>
      </w: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6"/>
          <w:szCs w:val="16"/>
          <w:color w:val="auto"/>
        </w:rPr>
        <w:t>/s/ William P. Rutledge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20955</wp:posOffset>
            </wp:positionV>
            <wp:extent cx="1861185" cy="762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861185" cy="7620"/>
                    </a:xfrm>
                    <a:prstGeom prst="rect">
                      <a:avLst/>
                    </a:prstGeom>
                    <a:noFill/>
                  </pic:spPr>
                </pic:pic>
              </a:graphicData>
            </a:graphic>
          </wp:anchor>
        </w:drawing>
      </w:r>
    </w:p>
    <w:p>
      <w:pPr>
        <w:spacing w:after="0" w:line="240" w:lineRule="exact"/>
        <w:rPr>
          <w:sz w:val="20"/>
          <w:szCs w:val="20"/>
          <w:color w:val="auto"/>
        </w:rPr>
      </w:pPr>
    </w:p>
    <w:p>
      <w:pPr>
        <w:spacing w:after="0"/>
        <w:rPr>
          <w:sz w:val="20"/>
          <w:szCs w:val="20"/>
          <w:color w:val="auto"/>
        </w:rPr>
      </w:pPr>
      <w:r>
        <w:rPr>
          <w:rFonts w:ascii="Arial" w:cs="Arial" w:eastAsia="Arial" w:hAnsi="Arial"/>
          <w:sz w:val="16"/>
          <w:szCs w:val="16"/>
          <w:color w:val="auto"/>
        </w:rPr>
        <w:t>/s/ Lynn Schenk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20955</wp:posOffset>
            </wp:positionV>
            <wp:extent cx="1861185" cy="762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861185" cy="7620"/>
                    </a:xfrm>
                    <a:prstGeom prst="rect">
                      <a:avLst/>
                    </a:prstGeom>
                    <a:noFill/>
                  </pic:spPr>
                </pic:pic>
              </a:graphicData>
            </a:graphic>
          </wp:anchor>
        </w:drawing>
      </w:r>
    </w:p>
    <w:p>
      <w:pPr>
        <w:spacing w:after="0" w:line="240" w:lineRule="exact"/>
        <w:rPr>
          <w:sz w:val="20"/>
          <w:szCs w:val="20"/>
          <w:color w:val="auto"/>
        </w:rPr>
      </w:pPr>
    </w:p>
    <w:p>
      <w:pPr>
        <w:spacing w:after="0"/>
        <w:rPr>
          <w:sz w:val="20"/>
          <w:szCs w:val="20"/>
          <w:color w:val="auto"/>
        </w:rPr>
      </w:pPr>
      <w:r>
        <w:rPr>
          <w:rFonts w:ascii="Arial" w:cs="Arial" w:eastAsia="Arial" w:hAnsi="Arial"/>
          <w:sz w:val="16"/>
          <w:szCs w:val="16"/>
          <w:color w:val="auto"/>
        </w:rPr>
        <w:t>/s/ Neal E. Schmale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20955</wp:posOffset>
            </wp:positionV>
            <wp:extent cx="1861185" cy="762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861185" cy="76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color w:val="auto"/>
        </w:rPr>
        <w:t>February 24, 2009</w:t>
      </w: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4"/>
          <w:szCs w:val="14"/>
          <w:color w:val="auto"/>
        </w:rPr>
        <w:t>February 24, 2009</w:t>
      </w: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4"/>
          <w:szCs w:val="14"/>
          <w:color w:val="auto"/>
        </w:rPr>
        <w:t>February 24, 2009</w:t>
      </w: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4"/>
          <w:szCs w:val="14"/>
          <w:color w:val="auto"/>
        </w:rPr>
        <w:t>February 24, 2009</w:t>
      </w: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4"/>
          <w:szCs w:val="14"/>
          <w:color w:val="auto"/>
        </w:rPr>
        <w:t>February 24, 2009</w:t>
      </w: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4"/>
          <w:szCs w:val="14"/>
          <w:color w:val="auto"/>
        </w:rPr>
        <w:t>February 24, 2009</w:t>
      </w: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4"/>
          <w:szCs w:val="14"/>
          <w:color w:val="auto"/>
        </w:rPr>
        <w:t>February 24, 2009</w:t>
      </w: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4"/>
          <w:szCs w:val="14"/>
          <w:color w:val="auto"/>
        </w:rPr>
        <w:t>February 24, 2009</w:t>
      </w: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4"/>
          <w:szCs w:val="14"/>
          <w:color w:val="auto"/>
        </w:rPr>
        <w:t>February 24, 2009</w:t>
      </w: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4"/>
          <w:szCs w:val="14"/>
          <w:color w:val="auto"/>
        </w:rPr>
        <w:t>February 24, 2009</w:t>
      </w:r>
    </w:p>
    <w:p>
      <w:pPr>
        <w:spacing w:after="0" w:line="283" w:lineRule="exact"/>
        <w:rPr>
          <w:sz w:val="20"/>
          <w:szCs w:val="20"/>
          <w:color w:val="auto"/>
        </w:rPr>
      </w:pPr>
    </w:p>
    <w:p>
      <w:pPr>
        <w:spacing w:after="0"/>
        <w:rPr>
          <w:sz w:val="20"/>
          <w:szCs w:val="20"/>
          <w:color w:val="auto"/>
        </w:rPr>
      </w:pPr>
      <w:r>
        <w:rPr>
          <w:rFonts w:ascii="Arial" w:cs="Arial" w:eastAsia="Arial" w:hAnsi="Arial"/>
          <w:sz w:val="14"/>
          <w:szCs w:val="14"/>
          <w:color w:val="auto"/>
        </w:rPr>
        <w:t>February 24, 2009</w:t>
      </w:r>
    </w:p>
    <w:p>
      <w:pPr>
        <w:spacing w:after="0" w:line="283" w:lineRule="exact"/>
        <w:rPr>
          <w:sz w:val="20"/>
          <w:szCs w:val="20"/>
          <w:color w:val="auto"/>
        </w:rPr>
      </w:pPr>
    </w:p>
    <w:p>
      <w:pPr>
        <w:spacing w:after="0"/>
        <w:rPr>
          <w:sz w:val="20"/>
          <w:szCs w:val="20"/>
          <w:color w:val="auto"/>
        </w:rPr>
      </w:pPr>
      <w:r>
        <w:rPr>
          <w:rFonts w:ascii="Arial" w:cs="Arial" w:eastAsia="Arial" w:hAnsi="Arial"/>
          <w:sz w:val="14"/>
          <w:szCs w:val="14"/>
          <w:color w:val="auto"/>
        </w:rPr>
        <w:t>February 24, 2009</w:t>
      </w:r>
    </w:p>
    <w:p>
      <w:pPr>
        <w:sectPr>
          <w:pgSz w:w="11900" w:h="16838" w:orient="portrait"/>
          <w:cols w:equalWidth="0" w:num="3">
            <w:col w:w="2880" w:space="720"/>
            <w:col w:w="2220" w:space="720"/>
            <w:col w:w="2479"/>
          </w:cols>
          <w:pgMar w:left="1440" w:top="736" w:right="1440" w:bottom="274" w:gutter="0" w:footer="0" w:header="0"/>
          <w:type w:val="continuous"/>
        </w:sectPr>
      </w:pPr>
    </w:p>
    <w:bookmarkStart w:id="44" w:name="page45"/>
    <w:bookmarkEnd w:id="44"/>
    <w:p>
      <w:pPr>
        <w:spacing w:after="0"/>
        <w:rPr>
          <w:sz w:val="20"/>
          <w:szCs w:val="20"/>
          <w:color w:val="auto"/>
        </w:rPr>
      </w:pPr>
      <w:r>
        <w:rPr>
          <w:rFonts w:ascii="Arial" w:cs="Arial" w:eastAsia="Arial" w:hAnsi="Arial"/>
          <w:sz w:val="12"/>
          <w:szCs w:val="12"/>
          <w:color w:val="auto"/>
        </w:rPr>
        <w:t>44</w:t>
      </w:r>
    </w:p>
    <w:p>
      <w:pPr>
        <w:sectPr>
          <w:pgSz w:w="11900" w:h="16838" w:orient="portrait"/>
          <w:cols w:equalWidth="0" w:num="1">
            <w:col w:w="10219"/>
          </w:cols>
          <w:pgMar w:left="240" w:top="516" w:right="1440" w:bottom="1440" w:gutter="0" w:footer="0" w:header="0"/>
        </w:sectPr>
      </w:pPr>
    </w:p>
    <w:bookmarkStart w:id="45" w:name="page46"/>
    <w:bookmarkEnd w:id="45"/>
    <w:p>
      <w:pPr>
        <w:ind w:left="1680"/>
        <w:spacing w:after="0"/>
        <w:rPr>
          <w:sz w:val="20"/>
          <w:szCs w:val="20"/>
          <w:color w:val="auto"/>
        </w:rPr>
      </w:pPr>
      <w:r>
        <w:rPr>
          <w:rFonts w:ascii="Arial" w:cs="Arial" w:eastAsia="Arial" w:hAnsi="Arial"/>
          <w:sz w:val="16"/>
          <w:szCs w:val="16"/>
          <w:b w:val="1"/>
          <w:bCs w:val="1"/>
          <w:color w:val="auto"/>
        </w:rPr>
        <w:t>San Diego Gas &amp; Electric Company:</w:t>
      </w:r>
    </w:p>
    <w:p>
      <w:pPr>
        <w:spacing w:after="0" w:line="32" w:lineRule="exact"/>
        <w:rPr>
          <w:sz w:val="20"/>
          <w:szCs w:val="20"/>
          <w:color w:val="auto"/>
        </w:rPr>
      </w:pPr>
    </w:p>
    <w:p>
      <w:pPr>
        <w:ind w:left="4920"/>
        <w:spacing w:after="0"/>
        <w:rPr>
          <w:sz w:val="20"/>
          <w:szCs w:val="20"/>
          <w:color w:val="auto"/>
        </w:rPr>
      </w:pPr>
      <w:r>
        <w:rPr>
          <w:rFonts w:ascii="Arial" w:cs="Arial" w:eastAsia="Arial" w:hAnsi="Arial"/>
          <w:sz w:val="16"/>
          <w:szCs w:val="16"/>
          <w:b w:val="1"/>
          <w:bCs w:val="1"/>
          <w:color w:val="auto"/>
        </w:rPr>
        <w:t>SIGNATURES</w:t>
      </w:r>
    </w:p>
    <w:p>
      <w:pPr>
        <w:spacing w:after="0" w:line="252" w:lineRule="exact"/>
        <w:rPr>
          <w:sz w:val="20"/>
          <w:szCs w:val="20"/>
          <w:color w:val="auto"/>
        </w:rPr>
      </w:pPr>
    </w:p>
    <w:p>
      <w:pPr>
        <w:ind w:left="1680" w:right="1179"/>
        <w:spacing w:after="0" w:line="312" w:lineRule="auto"/>
        <w:rPr>
          <w:sz w:val="20"/>
          <w:szCs w:val="20"/>
          <w:color w:val="auto"/>
        </w:rPr>
      </w:pPr>
      <w:r>
        <w:rPr>
          <w:rFonts w:ascii="Arial" w:cs="Arial" w:eastAsia="Arial" w:hAnsi="Arial"/>
          <w:sz w:val="15"/>
          <w:szCs w:val="15"/>
          <w:color w:val="auto"/>
        </w:rPr>
        <w:t>Pursuant to the requirements of Section 13 or 15(d) of the Securities Exchange Act of 1934, the registrant has duly caused this report to be signed on its behalf by the undersigned, thereunto duly authorized.</w:t>
      </w:r>
    </w:p>
    <w:p>
      <w:pPr>
        <w:spacing w:after="0" w:line="176" w:lineRule="exact"/>
        <w:rPr>
          <w:sz w:val="20"/>
          <w:szCs w:val="20"/>
          <w:color w:val="auto"/>
        </w:rPr>
      </w:pPr>
    </w:p>
    <w:p>
      <w:pPr>
        <w:ind w:left="5460"/>
        <w:spacing w:after="0"/>
        <w:rPr>
          <w:sz w:val="20"/>
          <w:szCs w:val="20"/>
          <w:color w:val="auto"/>
        </w:rPr>
      </w:pPr>
      <w:r>
        <w:rPr>
          <w:rFonts w:ascii="Arial" w:cs="Arial" w:eastAsia="Arial" w:hAnsi="Arial"/>
          <w:sz w:val="16"/>
          <w:szCs w:val="16"/>
          <w:color w:val="auto"/>
        </w:rPr>
        <w:t>SAN DIEGO GAS &amp; ELECTRIC COMPANY,</w:t>
      </w:r>
    </w:p>
    <w:p>
      <w:pPr>
        <w:spacing w:after="0" w:line="21" w:lineRule="exact"/>
        <w:rPr>
          <w:sz w:val="20"/>
          <w:szCs w:val="20"/>
          <w:color w:val="auto"/>
        </w:rPr>
      </w:pPr>
    </w:p>
    <w:p>
      <w:pPr>
        <w:ind w:left="5460"/>
        <w:spacing w:after="0"/>
        <w:rPr>
          <w:sz w:val="20"/>
          <w:szCs w:val="20"/>
          <w:color w:val="auto"/>
        </w:rPr>
      </w:pPr>
      <w:r>
        <w:rPr>
          <w:rFonts w:ascii="Arial" w:cs="Arial" w:eastAsia="Arial" w:hAnsi="Arial"/>
          <w:sz w:val="16"/>
          <w:szCs w:val="16"/>
          <w:color w:val="auto"/>
        </w:rPr>
        <w:t>(Registrant)</w:t>
      </w:r>
    </w:p>
    <w:p>
      <w:pPr>
        <w:spacing w:after="0" w:line="236" w:lineRule="exact"/>
        <w:rPr>
          <w:sz w:val="20"/>
          <w:szCs w:val="20"/>
          <w:color w:val="auto"/>
        </w:rPr>
      </w:pPr>
    </w:p>
    <w:p>
      <w:pPr>
        <w:ind w:left="5460"/>
        <w:spacing w:after="0"/>
        <w:rPr>
          <w:sz w:val="20"/>
          <w:szCs w:val="20"/>
          <w:color w:val="auto"/>
        </w:rPr>
      </w:pPr>
      <w:r>
        <w:rPr>
          <w:rFonts w:ascii="Arial" w:cs="Arial" w:eastAsia="Arial" w:hAnsi="Arial"/>
          <w:sz w:val="16"/>
          <w:szCs w:val="16"/>
          <w:color w:val="auto"/>
        </w:rPr>
        <w:t>By: /s/ Debra L. Reed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3460750</wp:posOffset>
            </wp:positionH>
            <wp:positionV relativeFrom="paragraph">
              <wp:posOffset>20955</wp:posOffset>
            </wp:positionV>
            <wp:extent cx="2730500" cy="762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730500" cy="7620"/>
                    </a:xfrm>
                    <a:prstGeom prst="rect">
                      <a:avLst/>
                    </a:prstGeom>
                    <a:noFill/>
                  </pic:spPr>
                </pic:pic>
              </a:graphicData>
            </a:graphic>
          </wp:anchor>
        </w:drawing>
      </w:r>
    </w:p>
    <w:p>
      <w:pPr>
        <w:spacing w:after="0" w:line="24" w:lineRule="exact"/>
        <w:rPr>
          <w:sz w:val="20"/>
          <w:szCs w:val="20"/>
          <w:color w:val="auto"/>
        </w:rPr>
      </w:pPr>
    </w:p>
    <w:p>
      <w:pPr>
        <w:ind w:left="5460"/>
        <w:spacing w:after="0"/>
        <w:rPr>
          <w:sz w:val="20"/>
          <w:szCs w:val="20"/>
          <w:color w:val="auto"/>
        </w:rPr>
      </w:pPr>
      <w:r>
        <w:rPr>
          <w:rFonts w:ascii="Arial" w:cs="Arial" w:eastAsia="Arial" w:hAnsi="Arial"/>
          <w:sz w:val="16"/>
          <w:szCs w:val="16"/>
          <w:color w:val="auto"/>
        </w:rPr>
        <w:t>Debra L. Reed</w:t>
      </w:r>
    </w:p>
    <w:p>
      <w:pPr>
        <w:spacing w:after="0" w:line="21" w:lineRule="exact"/>
        <w:rPr>
          <w:sz w:val="20"/>
          <w:szCs w:val="20"/>
          <w:color w:val="auto"/>
        </w:rPr>
      </w:pPr>
    </w:p>
    <w:p>
      <w:pPr>
        <w:ind w:left="5460"/>
        <w:spacing w:after="0"/>
        <w:rPr>
          <w:sz w:val="20"/>
          <w:szCs w:val="20"/>
          <w:color w:val="auto"/>
        </w:rPr>
      </w:pPr>
      <w:r>
        <w:rPr>
          <w:rFonts w:ascii="Arial" w:cs="Arial" w:eastAsia="Arial" w:hAnsi="Arial"/>
          <w:sz w:val="16"/>
          <w:szCs w:val="16"/>
          <w:color w:val="auto"/>
        </w:rPr>
        <w:t>Chairperson, President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1680" w:right="559"/>
        <w:spacing w:after="0" w:line="277" w:lineRule="auto"/>
        <w:rPr>
          <w:sz w:val="20"/>
          <w:szCs w:val="20"/>
          <w:color w:val="auto"/>
        </w:rPr>
      </w:pPr>
      <w:r>
        <w:rPr>
          <w:rFonts w:ascii="Arial" w:cs="Arial" w:eastAsia="Arial" w:hAnsi="Arial"/>
          <w:sz w:val="16"/>
          <w:szCs w:val="16"/>
          <w:color w:val="auto"/>
        </w:rPr>
        <w:t>Pursuant to the requirements of the Securities Exchange Act of 1934, this report is signed below by the following persons on behalf of the Registrant in the capacities and on the dates indicated.</w:t>
      </w:r>
    </w:p>
    <w:p>
      <w:pPr>
        <w:spacing w:after="0" w:line="196" w:lineRule="exact"/>
        <w:rPr>
          <w:sz w:val="20"/>
          <w:szCs w:val="20"/>
          <w:color w:val="auto"/>
        </w:rPr>
      </w:pPr>
    </w:p>
    <w:tbl>
      <w:tblPr>
        <w:tblLayout w:type="fixed"/>
        <w:tblInd w:w="1660" w:type="dxa"/>
        <w:tblCellMar>
          <w:top w:w="0" w:type="dxa"/>
          <w:left w:w="0" w:type="dxa"/>
          <w:bottom w:w="0" w:type="dxa"/>
          <w:right w:w="0" w:type="dxa"/>
        </w:tblCellMar>
      </w:tblPr>
      <w:tr>
        <w:trPr>
          <w:trHeight w:val="215"/>
        </w:trPr>
        <w:tc>
          <w:tcPr>
            <w:tcW w:w="314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Name/Title</w:t>
            </w:r>
          </w:p>
        </w:tc>
        <w:tc>
          <w:tcPr>
            <w:tcW w:w="290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Signature</w:t>
            </w:r>
          </w:p>
        </w:tc>
        <w:tc>
          <w:tcPr>
            <w:tcW w:w="206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Date</w:t>
            </w:r>
          </w:p>
        </w:tc>
        <w:tc>
          <w:tcPr>
            <w:tcW w:w="0" w:type="dxa"/>
            <w:vAlign w:val="bottom"/>
          </w:tcPr>
          <w:p>
            <w:pPr>
              <w:spacing w:after="0"/>
              <w:rPr>
                <w:sz w:val="1"/>
                <w:szCs w:val="1"/>
                <w:color w:val="auto"/>
              </w:rPr>
            </w:pPr>
          </w:p>
        </w:tc>
      </w:tr>
      <w:tr>
        <w:trPr>
          <w:trHeight w:val="202"/>
        </w:trPr>
        <w:tc>
          <w:tcPr>
            <w:tcW w:w="3140" w:type="dxa"/>
            <w:vAlign w:val="bottom"/>
          </w:tcPr>
          <w:p>
            <w:pPr>
              <w:ind w:left="20"/>
              <w:spacing w:after="0"/>
              <w:rPr>
                <w:sz w:val="20"/>
                <w:szCs w:val="20"/>
                <w:color w:val="auto"/>
              </w:rPr>
            </w:pPr>
            <w:r>
              <w:rPr>
                <w:rFonts w:ascii="Arial" w:cs="Arial" w:eastAsia="Arial" w:hAnsi="Arial"/>
                <w:sz w:val="16"/>
                <w:szCs w:val="16"/>
                <w:b w:val="1"/>
                <w:bCs w:val="1"/>
                <w:color w:val="auto"/>
              </w:rPr>
              <w:t>Principal Executive Officer:</w:t>
            </w:r>
          </w:p>
        </w:tc>
        <w:tc>
          <w:tcPr>
            <w:tcW w:w="290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3140" w:type="dxa"/>
            <w:vAlign w:val="bottom"/>
          </w:tcPr>
          <w:p>
            <w:pPr>
              <w:ind w:left="20"/>
              <w:spacing w:after="0"/>
              <w:rPr>
                <w:sz w:val="20"/>
                <w:szCs w:val="20"/>
                <w:color w:val="auto"/>
              </w:rPr>
            </w:pPr>
            <w:r>
              <w:rPr>
                <w:rFonts w:ascii="Arial" w:cs="Arial" w:eastAsia="Arial" w:hAnsi="Arial"/>
                <w:sz w:val="16"/>
                <w:szCs w:val="16"/>
                <w:color w:val="auto"/>
              </w:rPr>
              <w:t>Debra L. Reed</w:t>
            </w:r>
          </w:p>
        </w:tc>
        <w:tc>
          <w:tcPr>
            <w:tcW w:w="290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140" w:type="dxa"/>
            <w:vAlign w:val="bottom"/>
          </w:tcPr>
          <w:p>
            <w:pPr>
              <w:ind w:left="20"/>
              <w:spacing w:after="0"/>
              <w:rPr>
                <w:sz w:val="20"/>
                <w:szCs w:val="20"/>
                <w:color w:val="auto"/>
              </w:rPr>
            </w:pPr>
            <w:r>
              <w:rPr>
                <w:rFonts w:ascii="Arial" w:cs="Arial" w:eastAsia="Arial" w:hAnsi="Arial"/>
                <w:sz w:val="16"/>
                <w:szCs w:val="16"/>
                <w:color w:val="auto"/>
                <w:w w:val="99"/>
              </w:rPr>
              <w:t>Chairperson, President and Chief Executive</w:t>
            </w:r>
          </w:p>
        </w:tc>
        <w:tc>
          <w:tcPr>
            <w:tcW w:w="2900" w:type="dxa"/>
            <w:vAlign w:val="bottom"/>
            <w:vMerge w:val="restart"/>
          </w:tcPr>
          <w:p>
            <w:pPr>
              <w:ind w:left="20"/>
              <w:spacing w:after="0"/>
              <w:rPr>
                <w:sz w:val="20"/>
                <w:szCs w:val="20"/>
                <w:color w:val="auto"/>
              </w:rPr>
            </w:pPr>
            <w:r>
              <w:rPr>
                <w:rFonts w:ascii="Arial" w:cs="Arial" w:eastAsia="Arial" w:hAnsi="Arial"/>
                <w:sz w:val="16"/>
                <w:szCs w:val="16"/>
                <w:color w:val="auto"/>
              </w:rPr>
              <w:t>/s/ Debra L. Reed</w:t>
            </w:r>
          </w:p>
        </w:tc>
        <w:tc>
          <w:tcPr>
            <w:tcW w:w="2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140" w:type="dxa"/>
            <w:vAlign w:val="bottom"/>
          </w:tcPr>
          <w:p>
            <w:pPr>
              <w:ind w:left="20"/>
              <w:spacing w:after="0"/>
              <w:rPr>
                <w:sz w:val="20"/>
                <w:szCs w:val="20"/>
                <w:color w:val="auto"/>
              </w:rPr>
            </w:pPr>
            <w:r>
              <w:rPr>
                <w:rFonts w:ascii="Arial" w:cs="Arial" w:eastAsia="Arial" w:hAnsi="Arial"/>
                <w:sz w:val="16"/>
                <w:szCs w:val="16"/>
                <w:color w:val="auto"/>
              </w:rPr>
              <w:t>Officer</w:t>
            </w:r>
          </w:p>
        </w:tc>
        <w:tc>
          <w:tcPr>
            <w:tcW w:w="2900" w:type="dxa"/>
            <w:vAlign w:val="bottom"/>
            <w:tcBorders>
              <w:bottom w:val="single" w:sz="8" w:color="auto"/>
            </w:tcBorders>
            <w:vMerge w:val="continue"/>
          </w:tcPr>
          <w:p>
            <w:pPr>
              <w:spacing w:after="0"/>
              <w:rPr>
                <w:sz w:val="17"/>
                <w:szCs w:val="17"/>
                <w:color w:val="auto"/>
              </w:rPr>
            </w:pPr>
          </w:p>
        </w:tc>
        <w:tc>
          <w:tcPr>
            <w:tcW w:w="2060" w:type="dxa"/>
            <w:vAlign w:val="bottom"/>
          </w:tcPr>
          <w:p>
            <w:pPr>
              <w:ind w:left="20"/>
              <w:spacing w:after="0"/>
              <w:rPr>
                <w:sz w:val="20"/>
                <w:szCs w:val="20"/>
                <w:color w:val="auto"/>
              </w:rPr>
            </w:pPr>
            <w:r>
              <w:rPr>
                <w:rFonts w:ascii="Arial" w:cs="Arial" w:eastAsia="Arial" w:hAnsi="Arial"/>
                <w:sz w:val="16"/>
                <w:szCs w:val="16"/>
                <w:color w:val="auto"/>
              </w:rPr>
              <w:t>February 24, 2009</w:t>
            </w:r>
          </w:p>
        </w:tc>
        <w:tc>
          <w:tcPr>
            <w:tcW w:w="0" w:type="dxa"/>
            <w:vAlign w:val="bottom"/>
          </w:tcPr>
          <w:p>
            <w:pPr>
              <w:spacing w:after="0"/>
              <w:rPr>
                <w:sz w:val="1"/>
                <w:szCs w:val="1"/>
                <w:color w:val="auto"/>
              </w:rPr>
            </w:pPr>
          </w:p>
        </w:tc>
      </w:tr>
      <w:tr>
        <w:trPr>
          <w:trHeight w:val="412"/>
        </w:trPr>
        <w:tc>
          <w:tcPr>
            <w:tcW w:w="3140" w:type="dxa"/>
            <w:vAlign w:val="bottom"/>
          </w:tcPr>
          <w:p>
            <w:pPr>
              <w:ind w:left="20"/>
              <w:spacing w:after="0"/>
              <w:rPr>
                <w:sz w:val="20"/>
                <w:szCs w:val="20"/>
                <w:color w:val="auto"/>
              </w:rPr>
            </w:pPr>
            <w:r>
              <w:rPr>
                <w:rFonts w:ascii="Arial" w:cs="Arial" w:eastAsia="Arial" w:hAnsi="Arial"/>
                <w:sz w:val="16"/>
                <w:szCs w:val="16"/>
                <w:b w:val="1"/>
                <w:bCs w:val="1"/>
                <w:color w:val="auto"/>
                <w:w w:val="94"/>
              </w:rPr>
              <w:t>Principal Financial and Accounting Officer:</w:t>
            </w:r>
          </w:p>
        </w:tc>
        <w:tc>
          <w:tcPr>
            <w:tcW w:w="290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3140" w:type="dxa"/>
            <w:vAlign w:val="bottom"/>
          </w:tcPr>
          <w:p>
            <w:pPr>
              <w:ind w:left="20"/>
              <w:spacing w:after="0"/>
              <w:rPr>
                <w:sz w:val="20"/>
                <w:szCs w:val="20"/>
                <w:color w:val="auto"/>
              </w:rPr>
            </w:pPr>
            <w:r>
              <w:rPr>
                <w:rFonts w:ascii="Arial" w:cs="Arial" w:eastAsia="Arial" w:hAnsi="Arial"/>
                <w:sz w:val="16"/>
                <w:szCs w:val="16"/>
                <w:color w:val="auto"/>
              </w:rPr>
              <w:t>Robert M. Schlax</w:t>
            </w:r>
          </w:p>
        </w:tc>
        <w:tc>
          <w:tcPr>
            <w:tcW w:w="290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140" w:type="dxa"/>
            <w:vAlign w:val="bottom"/>
          </w:tcPr>
          <w:p>
            <w:pPr>
              <w:ind w:left="20"/>
              <w:spacing w:after="0"/>
              <w:rPr>
                <w:sz w:val="20"/>
                <w:szCs w:val="20"/>
                <w:color w:val="auto"/>
              </w:rPr>
            </w:pPr>
            <w:r>
              <w:rPr>
                <w:rFonts w:ascii="Arial" w:cs="Arial" w:eastAsia="Arial" w:hAnsi="Arial"/>
                <w:sz w:val="16"/>
                <w:szCs w:val="16"/>
                <w:color w:val="auto"/>
                <w:w w:val="96"/>
              </w:rPr>
              <w:t>Vice President, Controller and Chief Financial</w:t>
            </w:r>
          </w:p>
        </w:tc>
        <w:tc>
          <w:tcPr>
            <w:tcW w:w="2900" w:type="dxa"/>
            <w:vAlign w:val="bottom"/>
            <w:vMerge w:val="restart"/>
          </w:tcPr>
          <w:p>
            <w:pPr>
              <w:ind w:left="20"/>
              <w:spacing w:after="0"/>
              <w:rPr>
                <w:sz w:val="20"/>
                <w:szCs w:val="20"/>
                <w:color w:val="auto"/>
              </w:rPr>
            </w:pPr>
            <w:r>
              <w:rPr>
                <w:rFonts w:ascii="Arial" w:cs="Arial" w:eastAsia="Arial" w:hAnsi="Arial"/>
                <w:sz w:val="16"/>
                <w:szCs w:val="16"/>
                <w:color w:val="auto"/>
              </w:rPr>
              <w:t>/s/ Robert M. Schlax</w:t>
            </w:r>
          </w:p>
        </w:tc>
        <w:tc>
          <w:tcPr>
            <w:tcW w:w="2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140" w:type="dxa"/>
            <w:vAlign w:val="bottom"/>
          </w:tcPr>
          <w:p>
            <w:pPr>
              <w:ind w:left="20"/>
              <w:spacing w:after="0"/>
              <w:rPr>
                <w:sz w:val="20"/>
                <w:szCs w:val="20"/>
                <w:color w:val="auto"/>
              </w:rPr>
            </w:pPr>
            <w:r>
              <w:rPr>
                <w:rFonts w:ascii="Arial" w:cs="Arial" w:eastAsia="Arial" w:hAnsi="Arial"/>
                <w:sz w:val="16"/>
                <w:szCs w:val="16"/>
                <w:color w:val="auto"/>
              </w:rPr>
              <w:t>Officer</w:t>
            </w:r>
          </w:p>
        </w:tc>
        <w:tc>
          <w:tcPr>
            <w:tcW w:w="2900" w:type="dxa"/>
            <w:vAlign w:val="bottom"/>
            <w:tcBorders>
              <w:bottom w:val="single" w:sz="8" w:color="auto"/>
            </w:tcBorders>
            <w:vMerge w:val="continue"/>
          </w:tcPr>
          <w:p>
            <w:pPr>
              <w:spacing w:after="0"/>
              <w:rPr>
                <w:sz w:val="17"/>
                <w:szCs w:val="17"/>
                <w:color w:val="auto"/>
              </w:rPr>
            </w:pPr>
          </w:p>
        </w:tc>
        <w:tc>
          <w:tcPr>
            <w:tcW w:w="2060" w:type="dxa"/>
            <w:vAlign w:val="bottom"/>
          </w:tcPr>
          <w:p>
            <w:pPr>
              <w:ind w:left="20"/>
              <w:spacing w:after="0"/>
              <w:rPr>
                <w:sz w:val="20"/>
                <w:szCs w:val="20"/>
                <w:color w:val="auto"/>
              </w:rPr>
            </w:pPr>
            <w:r>
              <w:rPr>
                <w:rFonts w:ascii="Arial" w:cs="Arial" w:eastAsia="Arial" w:hAnsi="Arial"/>
                <w:sz w:val="16"/>
                <w:szCs w:val="16"/>
                <w:color w:val="auto"/>
              </w:rPr>
              <w:t>February 24, 2009</w:t>
            </w:r>
          </w:p>
        </w:tc>
        <w:tc>
          <w:tcPr>
            <w:tcW w:w="0" w:type="dxa"/>
            <w:vAlign w:val="bottom"/>
          </w:tcPr>
          <w:p>
            <w:pPr>
              <w:spacing w:after="0"/>
              <w:rPr>
                <w:sz w:val="1"/>
                <w:szCs w:val="1"/>
                <w:color w:val="auto"/>
              </w:rPr>
            </w:pPr>
          </w:p>
        </w:tc>
      </w:tr>
      <w:tr>
        <w:trPr>
          <w:trHeight w:val="412"/>
        </w:trPr>
        <w:tc>
          <w:tcPr>
            <w:tcW w:w="3140" w:type="dxa"/>
            <w:vAlign w:val="bottom"/>
          </w:tcPr>
          <w:p>
            <w:pPr>
              <w:ind w:left="20"/>
              <w:spacing w:after="0"/>
              <w:rPr>
                <w:sz w:val="20"/>
                <w:szCs w:val="20"/>
                <w:color w:val="auto"/>
              </w:rPr>
            </w:pPr>
            <w:r>
              <w:rPr>
                <w:rFonts w:ascii="Arial" w:cs="Arial" w:eastAsia="Arial" w:hAnsi="Arial"/>
                <w:sz w:val="16"/>
                <w:szCs w:val="16"/>
                <w:b w:val="1"/>
                <w:bCs w:val="1"/>
                <w:color w:val="auto"/>
              </w:rPr>
              <w:t>Directors:</w:t>
            </w:r>
          </w:p>
        </w:tc>
        <w:tc>
          <w:tcPr>
            <w:tcW w:w="290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3140" w:type="dxa"/>
            <w:vAlign w:val="bottom"/>
          </w:tcPr>
          <w:p>
            <w:pPr>
              <w:ind w:left="20"/>
              <w:spacing w:after="0"/>
              <w:rPr>
                <w:sz w:val="20"/>
                <w:szCs w:val="20"/>
                <w:color w:val="auto"/>
              </w:rPr>
            </w:pPr>
            <w:r>
              <w:rPr>
                <w:rFonts w:ascii="Arial" w:cs="Arial" w:eastAsia="Arial" w:hAnsi="Arial"/>
                <w:sz w:val="16"/>
                <w:szCs w:val="16"/>
                <w:color w:val="auto"/>
              </w:rPr>
              <w:t>Debra L. Reed, Chairperson</w:t>
            </w:r>
          </w:p>
        </w:tc>
        <w:tc>
          <w:tcPr>
            <w:tcW w:w="29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 Debra L. Reed</w:t>
            </w:r>
          </w:p>
        </w:tc>
        <w:tc>
          <w:tcPr>
            <w:tcW w:w="2060" w:type="dxa"/>
            <w:vAlign w:val="bottom"/>
          </w:tcPr>
          <w:p>
            <w:pPr>
              <w:ind w:left="20"/>
              <w:spacing w:after="0"/>
              <w:rPr>
                <w:sz w:val="20"/>
                <w:szCs w:val="20"/>
                <w:color w:val="auto"/>
              </w:rPr>
            </w:pPr>
            <w:r>
              <w:rPr>
                <w:rFonts w:ascii="Arial" w:cs="Arial" w:eastAsia="Arial" w:hAnsi="Arial"/>
                <w:sz w:val="16"/>
                <w:szCs w:val="16"/>
                <w:color w:val="auto"/>
              </w:rPr>
              <w:t>February 24, 2009</w:t>
            </w:r>
          </w:p>
        </w:tc>
        <w:tc>
          <w:tcPr>
            <w:tcW w:w="0" w:type="dxa"/>
            <w:vAlign w:val="bottom"/>
          </w:tcPr>
          <w:p>
            <w:pPr>
              <w:spacing w:after="0"/>
              <w:rPr>
                <w:sz w:val="1"/>
                <w:szCs w:val="1"/>
                <w:color w:val="auto"/>
              </w:rPr>
            </w:pPr>
          </w:p>
        </w:tc>
      </w:tr>
      <w:tr>
        <w:trPr>
          <w:trHeight w:val="641"/>
        </w:trPr>
        <w:tc>
          <w:tcPr>
            <w:tcW w:w="3140" w:type="dxa"/>
            <w:vAlign w:val="bottom"/>
          </w:tcPr>
          <w:p>
            <w:pPr>
              <w:ind w:left="20"/>
              <w:spacing w:after="0"/>
              <w:rPr>
                <w:sz w:val="20"/>
                <w:szCs w:val="20"/>
                <w:color w:val="auto"/>
              </w:rPr>
            </w:pPr>
            <w:r>
              <w:rPr>
                <w:rFonts w:ascii="Arial" w:cs="Arial" w:eastAsia="Arial" w:hAnsi="Arial"/>
                <w:sz w:val="16"/>
                <w:szCs w:val="16"/>
                <w:color w:val="auto"/>
              </w:rPr>
              <w:t>Michael R. Niggli, Director</w:t>
            </w:r>
          </w:p>
        </w:tc>
        <w:tc>
          <w:tcPr>
            <w:tcW w:w="29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 Michael R. Niggli</w:t>
            </w:r>
          </w:p>
        </w:tc>
        <w:tc>
          <w:tcPr>
            <w:tcW w:w="2060" w:type="dxa"/>
            <w:vAlign w:val="bottom"/>
          </w:tcPr>
          <w:p>
            <w:pPr>
              <w:ind w:left="20"/>
              <w:spacing w:after="0"/>
              <w:rPr>
                <w:sz w:val="20"/>
                <w:szCs w:val="20"/>
                <w:color w:val="auto"/>
              </w:rPr>
            </w:pPr>
            <w:r>
              <w:rPr>
                <w:rFonts w:ascii="Arial" w:cs="Arial" w:eastAsia="Arial" w:hAnsi="Arial"/>
                <w:sz w:val="16"/>
                <w:szCs w:val="16"/>
                <w:color w:val="auto"/>
              </w:rPr>
              <w:t>February 24, 2009</w:t>
            </w:r>
          </w:p>
        </w:tc>
        <w:tc>
          <w:tcPr>
            <w:tcW w:w="0" w:type="dxa"/>
            <w:vAlign w:val="bottom"/>
          </w:tcPr>
          <w:p>
            <w:pPr>
              <w:spacing w:after="0"/>
              <w:rPr>
                <w:sz w:val="1"/>
                <w:szCs w:val="1"/>
                <w:color w:val="auto"/>
              </w:rPr>
            </w:pPr>
          </w:p>
        </w:tc>
      </w:tr>
      <w:tr>
        <w:trPr>
          <w:trHeight w:val="641"/>
        </w:trPr>
        <w:tc>
          <w:tcPr>
            <w:tcW w:w="3140" w:type="dxa"/>
            <w:vAlign w:val="bottom"/>
          </w:tcPr>
          <w:p>
            <w:pPr>
              <w:ind w:left="20"/>
              <w:spacing w:after="0"/>
              <w:rPr>
                <w:sz w:val="20"/>
                <w:szCs w:val="20"/>
                <w:color w:val="auto"/>
              </w:rPr>
            </w:pPr>
            <w:r>
              <w:rPr>
                <w:rFonts w:ascii="Arial" w:cs="Arial" w:eastAsia="Arial" w:hAnsi="Arial"/>
                <w:sz w:val="16"/>
                <w:szCs w:val="16"/>
                <w:color w:val="auto"/>
              </w:rPr>
              <w:t>Mark A. Snell, Director</w:t>
            </w:r>
          </w:p>
        </w:tc>
        <w:tc>
          <w:tcPr>
            <w:tcW w:w="29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 Mark A. Snell</w:t>
            </w:r>
          </w:p>
        </w:tc>
        <w:tc>
          <w:tcPr>
            <w:tcW w:w="2060" w:type="dxa"/>
            <w:vAlign w:val="bottom"/>
          </w:tcPr>
          <w:p>
            <w:pPr>
              <w:ind w:left="20"/>
              <w:spacing w:after="0"/>
              <w:rPr>
                <w:sz w:val="20"/>
                <w:szCs w:val="20"/>
                <w:color w:val="auto"/>
              </w:rPr>
            </w:pPr>
            <w:r>
              <w:rPr>
                <w:rFonts w:ascii="Arial" w:cs="Arial" w:eastAsia="Arial" w:hAnsi="Arial"/>
                <w:sz w:val="16"/>
                <w:szCs w:val="16"/>
                <w:color w:val="auto"/>
              </w:rPr>
              <w:t>February 24, 2009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Arial" w:cs="Arial" w:eastAsia="Arial" w:hAnsi="Arial"/>
          <w:sz w:val="14"/>
          <w:szCs w:val="14"/>
          <w:color w:val="auto"/>
        </w:rPr>
        <w:t>45</w:t>
      </w:r>
    </w:p>
    <w:p>
      <w:pPr>
        <w:sectPr>
          <w:pgSz w:w="11900" w:h="16838" w:orient="portrait"/>
          <w:cols w:equalWidth="0" w:num="1">
            <w:col w:w="10219"/>
          </w:cols>
          <w:pgMar w:left="240" w:top="351" w:right="1440" w:bottom="1440" w:gutter="0" w:footer="0" w:header="0"/>
        </w:sectPr>
      </w:pPr>
    </w:p>
    <w:bookmarkStart w:id="46" w:name="page47"/>
    <w:bookmarkEnd w:id="46"/>
    <w:p>
      <w:pPr>
        <w:ind w:left="1680"/>
        <w:spacing w:after="0"/>
        <w:rPr>
          <w:sz w:val="20"/>
          <w:szCs w:val="20"/>
          <w:color w:val="auto"/>
        </w:rPr>
      </w:pPr>
      <w:r>
        <w:rPr>
          <w:rFonts w:ascii="Arial" w:cs="Arial" w:eastAsia="Arial" w:hAnsi="Arial"/>
          <w:sz w:val="16"/>
          <w:szCs w:val="16"/>
          <w:b w:val="1"/>
          <w:bCs w:val="1"/>
          <w:color w:val="auto"/>
        </w:rPr>
        <w:t>Pacific Enterprises:</w:t>
      </w:r>
    </w:p>
    <w:p>
      <w:pPr>
        <w:spacing w:after="0" w:line="32" w:lineRule="exact"/>
        <w:rPr>
          <w:sz w:val="20"/>
          <w:szCs w:val="20"/>
          <w:color w:val="auto"/>
        </w:rPr>
      </w:pPr>
    </w:p>
    <w:p>
      <w:pPr>
        <w:ind w:left="4920"/>
        <w:spacing w:after="0"/>
        <w:rPr>
          <w:sz w:val="20"/>
          <w:szCs w:val="20"/>
          <w:color w:val="auto"/>
        </w:rPr>
      </w:pPr>
      <w:r>
        <w:rPr>
          <w:rFonts w:ascii="Arial" w:cs="Arial" w:eastAsia="Arial" w:hAnsi="Arial"/>
          <w:sz w:val="16"/>
          <w:szCs w:val="16"/>
          <w:b w:val="1"/>
          <w:bCs w:val="1"/>
          <w:color w:val="auto"/>
        </w:rPr>
        <w:t>SIGNATURES</w:t>
      </w:r>
    </w:p>
    <w:p>
      <w:pPr>
        <w:spacing w:after="0" w:line="252" w:lineRule="exact"/>
        <w:rPr>
          <w:sz w:val="20"/>
          <w:szCs w:val="20"/>
          <w:color w:val="auto"/>
        </w:rPr>
      </w:pPr>
    </w:p>
    <w:p>
      <w:pPr>
        <w:ind w:left="1680" w:right="1179"/>
        <w:spacing w:after="0" w:line="312" w:lineRule="auto"/>
        <w:rPr>
          <w:sz w:val="20"/>
          <w:szCs w:val="20"/>
          <w:color w:val="auto"/>
        </w:rPr>
      </w:pPr>
      <w:r>
        <w:rPr>
          <w:rFonts w:ascii="Arial" w:cs="Arial" w:eastAsia="Arial" w:hAnsi="Arial"/>
          <w:sz w:val="15"/>
          <w:szCs w:val="15"/>
          <w:color w:val="auto"/>
        </w:rPr>
        <w:t>Pursuant to the requirements of Section 13 or 15(d) of the Securities Exchange Act of 1934, the registrant has duly caused this report to be signed on its behalf by the undersigned, thereunto duly authorized.</w:t>
      </w:r>
    </w:p>
    <w:p>
      <w:pPr>
        <w:spacing w:after="0" w:line="176" w:lineRule="exact"/>
        <w:rPr>
          <w:sz w:val="20"/>
          <w:szCs w:val="20"/>
          <w:color w:val="auto"/>
        </w:rPr>
      </w:pPr>
    </w:p>
    <w:p>
      <w:pPr>
        <w:ind w:left="5460"/>
        <w:spacing w:after="0"/>
        <w:rPr>
          <w:sz w:val="20"/>
          <w:szCs w:val="20"/>
          <w:color w:val="auto"/>
        </w:rPr>
      </w:pPr>
      <w:r>
        <w:rPr>
          <w:rFonts w:ascii="Arial" w:cs="Arial" w:eastAsia="Arial" w:hAnsi="Arial"/>
          <w:sz w:val="16"/>
          <w:szCs w:val="16"/>
          <w:color w:val="auto"/>
        </w:rPr>
        <w:t>PACIFIC ENTERPRISES,</w:t>
      </w:r>
    </w:p>
    <w:p>
      <w:pPr>
        <w:spacing w:after="0" w:line="21" w:lineRule="exact"/>
        <w:rPr>
          <w:sz w:val="20"/>
          <w:szCs w:val="20"/>
          <w:color w:val="auto"/>
        </w:rPr>
      </w:pPr>
    </w:p>
    <w:p>
      <w:pPr>
        <w:ind w:left="5460"/>
        <w:spacing w:after="0"/>
        <w:rPr>
          <w:sz w:val="20"/>
          <w:szCs w:val="20"/>
          <w:color w:val="auto"/>
        </w:rPr>
      </w:pPr>
      <w:r>
        <w:rPr>
          <w:rFonts w:ascii="Arial" w:cs="Arial" w:eastAsia="Arial" w:hAnsi="Arial"/>
          <w:sz w:val="16"/>
          <w:szCs w:val="16"/>
          <w:color w:val="auto"/>
        </w:rPr>
        <w:t>(Registrant)</w:t>
      </w:r>
    </w:p>
    <w:p>
      <w:pPr>
        <w:spacing w:after="0" w:line="236" w:lineRule="exact"/>
        <w:rPr>
          <w:sz w:val="20"/>
          <w:szCs w:val="20"/>
          <w:color w:val="auto"/>
        </w:rPr>
      </w:pPr>
    </w:p>
    <w:p>
      <w:pPr>
        <w:ind w:left="5460"/>
        <w:spacing w:after="0"/>
        <w:rPr>
          <w:sz w:val="20"/>
          <w:szCs w:val="20"/>
          <w:color w:val="auto"/>
        </w:rPr>
      </w:pPr>
      <w:r>
        <w:rPr>
          <w:rFonts w:ascii="Arial" w:cs="Arial" w:eastAsia="Arial" w:hAnsi="Arial"/>
          <w:sz w:val="16"/>
          <w:szCs w:val="16"/>
          <w:color w:val="auto"/>
        </w:rPr>
        <w:t>By: /s/ Debra L. Reed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3460750</wp:posOffset>
            </wp:positionH>
            <wp:positionV relativeFrom="paragraph">
              <wp:posOffset>20955</wp:posOffset>
            </wp:positionV>
            <wp:extent cx="2730500" cy="762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730500" cy="7620"/>
                    </a:xfrm>
                    <a:prstGeom prst="rect">
                      <a:avLst/>
                    </a:prstGeom>
                    <a:noFill/>
                  </pic:spPr>
                </pic:pic>
              </a:graphicData>
            </a:graphic>
          </wp:anchor>
        </w:drawing>
      </w:r>
    </w:p>
    <w:p>
      <w:pPr>
        <w:spacing w:after="0" w:line="24" w:lineRule="exact"/>
        <w:rPr>
          <w:sz w:val="20"/>
          <w:szCs w:val="20"/>
          <w:color w:val="auto"/>
        </w:rPr>
      </w:pPr>
    </w:p>
    <w:p>
      <w:pPr>
        <w:ind w:left="5460"/>
        <w:spacing w:after="0"/>
        <w:rPr>
          <w:sz w:val="20"/>
          <w:szCs w:val="20"/>
          <w:color w:val="auto"/>
        </w:rPr>
      </w:pPr>
      <w:r>
        <w:rPr>
          <w:rFonts w:ascii="Arial" w:cs="Arial" w:eastAsia="Arial" w:hAnsi="Arial"/>
          <w:sz w:val="16"/>
          <w:szCs w:val="16"/>
          <w:color w:val="auto"/>
        </w:rPr>
        <w:t>Debra L. Reed</w:t>
      </w:r>
    </w:p>
    <w:p>
      <w:pPr>
        <w:spacing w:after="0" w:line="21" w:lineRule="exact"/>
        <w:rPr>
          <w:sz w:val="20"/>
          <w:szCs w:val="20"/>
          <w:color w:val="auto"/>
        </w:rPr>
      </w:pPr>
    </w:p>
    <w:p>
      <w:pPr>
        <w:ind w:left="5460"/>
        <w:spacing w:after="0"/>
        <w:rPr>
          <w:sz w:val="20"/>
          <w:szCs w:val="20"/>
          <w:color w:val="auto"/>
        </w:rPr>
      </w:pPr>
      <w:r>
        <w:rPr>
          <w:rFonts w:ascii="Arial" w:cs="Arial" w:eastAsia="Arial" w:hAnsi="Arial"/>
          <w:sz w:val="16"/>
          <w:szCs w:val="16"/>
          <w:color w:val="auto"/>
        </w:rPr>
        <w:t>Chairperson, President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1680" w:right="559"/>
        <w:spacing w:after="0" w:line="277" w:lineRule="auto"/>
        <w:rPr>
          <w:sz w:val="20"/>
          <w:szCs w:val="20"/>
          <w:color w:val="auto"/>
        </w:rPr>
      </w:pPr>
      <w:r>
        <w:rPr>
          <w:rFonts w:ascii="Arial" w:cs="Arial" w:eastAsia="Arial" w:hAnsi="Arial"/>
          <w:sz w:val="16"/>
          <w:szCs w:val="16"/>
          <w:color w:val="auto"/>
        </w:rPr>
        <w:t>Pursuant to the requirements of the Securities Exchange Act of 1934, this report is signed below by the following persons on behalf of the Registrant in the capacities and on the dates indicated.</w:t>
      </w:r>
    </w:p>
    <w:p>
      <w:pPr>
        <w:spacing w:after="0" w:line="196" w:lineRule="exact"/>
        <w:rPr>
          <w:sz w:val="20"/>
          <w:szCs w:val="20"/>
          <w:color w:val="auto"/>
        </w:rPr>
      </w:pPr>
    </w:p>
    <w:tbl>
      <w:tblPr>
        <w:tblLayout w:type="fixed"/>
        <w:tblInd w:w="1660" w:type="dxa"/>
        <w:tblCellMar>
          <w:top w:w="0" w:type="dxa"/>
          <w:left w:w="0" w:type="dxa"/>
          <w:bottom w:w="0" w:type="dxa"/>
          <w:right w:w="0" w:type="dxa"/>
        </w:tblCellMar>
      </w:tblPr>
      <w:tr>
        <w:trPr>
          <w:trHeight w:val="215"/>
        </w:trPr>
        <w:tc>
          <w:tcPr>
            <w:tcW w:w="314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Name/Title</w:t>
            </w:r>
          </w:p>
        </w:tc>
        <w:tc>
          <w:tcPr>
            <w:tcW w:w="290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Signature</w:t>
            </w:r>
          </w:p>
        </w:tc>
        <w:tc>
          <w:tcPr>
            <w:tcW w:w="206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Date</w:t>
            </w:r>
          </w:p>
        </w:tc>
        <w:tc>
          <w:tcPr>
            <w:tcW w:w="0" w:type="dxa"/>
            <w:vAlign w:val="bottom"/>
          </w:tcPr>
          <w:p>
            <w:pPr>
              <w:spacing w:after="0"/>
              <w:rPr>
                <w:sz w:val="1"/>
                <w:szCs w:val="1"/>
                <w:color w:val="auto"/>
              </w:rPr>
            </w:pPr>
          </w:p>
        </w:tc>
      </w:tr>
      <w:tr>
        <w:trPr>
          <w:trHeight w:val="202"/>
        </w:trPr>
        <w:tc>
          <w:tcPr>
            <w:tcW w:w="3140" w:type="dxa"/>
            <w:vAlign w:val="bottom"/>
          </w:tcPr>
          <w:p>
            <w:pPr>
              <w:ind w:left="20"/>
              <w:spacing w:after="0"/>
              <w:rPr>
                <w:sz w:val="20"/>
                <w:szCs w:val="20"/>
                <w:color w:val="auto"/>
              </w:rPr>
            </w:pPr>
            <w:r>
              <w:rPr>
                <w:rFonts w:ascii="Arial" w:cs="Arial" w:eastAsia="Arial" w:hAnsi="Arial"/>
                <w:sz w:val="16"/>
                <w:szCs w:val="16"/>
                <w:b w:val="1"/>
                <w:bCs w:val="1"/>
                <w:color w:val="auto"/>
              </w:rPr>
              <w:t>Principal Executive Officer:</w:t>
            </w:r>
          </w:p>
        </w:tc>
        <w:tc>
          <w:tcPr>
            <w:tcW w:w="290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3140" w:type="dxa"/>
            <w:vAlign w:val="bottom"/>
          </w:tcPr>
          <w:p>
            <w:pPr>
              <w:ind w:left="20"/>
              <w:spacing w:after="0"/>
              <w:rPr>
                <w:sz w:val="20"/>
                <w:szCs w:val="20"/>
                <w:color w:val="auto"/>
              </w:rPr>
            </w:pPr>
            <w:r>
              <w:rPr>
                <w:rFonts w:ascii="Arial" w:cs="Arial" w:eastAsia="Arial" w:hAnsi="Arial"/>
                <w:sz w:val="16"/>
                <w:szCs w:val="16"/>
                <w:color w:val="auto"/>
              </w:rPr>
              <w:t>Debra L. Reed</w:t>
            </w:r>
          </w:p>
        </w:tc>
        <w:tc>
          <w:tcPr>
            <w:tcW w:w="290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140" w:type="dxa"/>
            <w:vAlign w:val="bottom"/>
          </w:tcPr>
          <w:p>
            <w:pPr>
              <w:ind w:left="20"/>
              <w:spacing w:after="0"/>
              <w:rPr>
                <w:sz w:val="20"/>
                <w:szCs w:val="20"/>
                <w:color w:val="auto"/>
              </w:rPr>
            </w:pPr>
            <w:r>
              <w:rPr>
                <w:rFonts w:ascii="Arial" w:cs="Arial" w:eastAsia="Arial" w:hAnsi="Arial"/>
                <w:sz w:val="16"/>
                <w:szCs w:val="16"/>
                <w:color w:val="auto"/>
                <w:w w:val="99"/>
              </w:rPr>
              <w:t>Chairperson, President and Chief Executive</w:t>
            </w:r>
          </w:p>
        </w:tc>
        <w:tc>
          <w:tcPr>
            <w:tcW w:w="2900" w:type="dxa"/>
            <w:vAlign w:val="bottom"/>
            <w:vMerge w:val="restart"/>
          </w:tcPr>
          <w:p>
            <w:pPr>
              <w:ind w:left="20"/>
              <w:spacing w:after="0"/>
              <w:rPr>
                <w:sz w:val="20"/>
                <w:szCs w:val="20"/>
                <w:color w:val="auto"/>
              </w:rPr>
            </w:pPr>
            <w:r>
              <w:rPr>
                <w:rFonts w:ascii="Arial" w:cs="Arial" w:eastAsia="Arial" w:hAnsi="Arial"/>
                <w:sz w:val="16"/>
                <w:szCs w:val="16"/>
                <w:color w:val="auto"/>
              </w:rPr>
              <w:t>/s/ Debra L. Reed</w:t>
            </w:r>
          </w:p>
        </w:tc>
        <w:tc>
          <w:tcPr>
            <w:tcW w:w="2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140" w:type="dxa"/>
            <w:vAlign w:val="bottom"/>
          </w:tcPr>
          <w:p>
            <w:pPr>
              <w:ind w:left="20"/>
              <w:spacing w:after="0"/>
              <w:rPr>
                <w:sz w:val="20"/>
                <w:szCs w:val="20"/>
                <w:color w:val="auto"/>
              </w:rPr>
            </w:pPr>
            <w:r>
              <w:rPr>
                <w:rFonts w:ascii="Arial" w:cs="Arial" w:eastAsia="Arial" w:hAnsi="Arial"/>
                <w:sz w:val="16"/>
                <w:szCs w:val="16"/>
                <w:color w:val="auto"/>
              </w:rPr>
              <w:t>Officer</w:t>
            </w:r>
          </w:p>
        </w:tc>
        <w:tc>
          <w:tcPr>
            <w:tcW w:w="2900" w:type="dxa"/>
            <w:vAlign w:val="bottom"/>
            <w:tcBorders>
              <w:bottom w:val="single" w:sz="8" w:color="auto"/>
            </w:tcBorders>
            <w:vMerge w:val="continue"/>
          </w:tcPr>
          <w:p>
            <w:pPr>
              <w:spacing w:after="0"/>
              <w:rPr>
                <w:sz w:val="17"/>
                <w:szCs w:val="17"/>
                <w:color w:val="auto"/>
              </w:rPr>
            </w:pPr>
          </w:p>
        </w:tc>
        <w:tc>
          <w:tcPr>
            <w:tcW w:w="2060" w:type="dxa"/>
            <w:vAlign w:val="bottom"/>
          </w:tcPr>
          <w:p>
            <w:pPr>
              <w:ind w:left="20"/>
              <w:spacing w:after="0"/>
              <w:rPr>
                <w:sz w:val="20"/>
                <w:szCs w:val="20"/>
                <w:color w:val="auto"/>
              </w:rPr>
            </w:pPr>
            <w:r>
              <w:rPr>
                <w:rFonts w:ascii="Arial" w:cs="Arial" w:eastAsia="Arial" w:hAnsi="Arial"/>
                <w:sz w:val="16"/>
                <w:szCs w:val="16"/>
                <w:color w:val="auto"/>
              </w:rPr>
              <w:t>February 24, 2009</w:t>
            </w:r>
          </w:p>
        </w:tc>
        <w:tc>
          <w:tcPr>
            <w:tcW w:w="0" w:type="dxa"/>
            <w:vAlign w:val="bottom"/>
          </w:tcPr>
          <w:p>
            <w:pPr>
              <w:spacing w:after="0"/>
              <w:rPr>
                <w:sz w:val="1"/>
                <w:szCs w:val="1"/>
                <w:color w:val="auto"/>
              </w:rPr>
            </w:pPr>
          </w:p>
        </w:tc>
      </w:tr>
      <w:tr>
        <w:trPr>
          <w:trHeight w:val="604"/>
        </w:trPr>
        <w:tc>
          <w:tcPr>
            <w:tcW w:w="3140" w:type="dxa"/>
            <w:vAlign w:val="bottom"/>
          </w:tcPr>
          <w:p>
            <w:pPr>
              <w:ind w:left="20"/>
              <w:spacing w:after="0"/>
              <w:rPr>
                <w:sz w:val="20"/>
                <w:szCs w:val="20"/>
                <w:color w:val="auto"/>
              </w:rPr>
            </w:pPr>
            <w:r>
              <w:rPr>
                <w:rFonts w:ascii="Arial" w:cs="Arial" w:eastAsia="Arial" w:hAnsi="Arial"/>
                <w:sz w:val="16"/>
                <w:szCs w:val="16"/>
                <w:b w:val="1"/>
                <w:bCs w:val="1"/>
                <w:color w:val="auto"/>
                <w:w w:val="94"/>
              </w:rPr>
              <w:t>Principal Financial and Accounting Officer:</w:t>
            </w:r>
          </w:p>
        </w:tc>
        <w:tc>
          <w:tcPr>
            <w:tcW w:w="290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3140" w:type="dxa"/>
            <w:vAlign w:val="bottom"/>
          </w:tcPr>
          <w:p>
            <w:pPr>
              <w:ind w:left="20"/>
              <w:spacing w:after="0"/>
              <w:rPr>
                <w:sz w:val="20"/>
                <w:szCs w:val="20"/>
                <w:color w:val="auto"/>
              </w:rPr>
            </w:pPr>
            <w:r>
              <w:rPr>
                <w:rFonts w:ascii="Arial" w:cs="Arial" w:eastAsia="Arial" w:hAnsi="Arial"/>
                <w:sz w:val="16"/>
                <w:szCs w:val="16"/>
                <w:color w:val="auto"/>
              </w:rPr>
              <w:t>Robert M. Schlax</w:t>
            </w:r>
          </w:p>
        </w:tc>
        <w:tc>
          <w:tcPr>
            <w:tcW w:w="290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140" w:type="dxa"/>
            <w:vAlign w:val="bottom"/>
          </w:tcPr>
          <w:p>
            <w:pPr>
              <w:ind w:left="20"/>
              <w:spacing w:after="0"/>
              <w:rPr>
                <w:sz w:val="20"/>
                <w:szCs w:val="20"/>
                <w:color w:val="auto"/>
              </w:rPr>
            </w:pPr>
            <w:r>
              <w:rPr>
                <w:rFonts w:ascii="Arial" w:cs="Arial" w:eastAsia="Arial" w:hAnsi="Arial"/>
                <w:sz w:val="16"/>
                <w:szCs w:val="16"/>
                <w:color w:val="auto"/>
              </w:rPr>
              <w:t>Vice President, Controller</w:t>
            </w:r>
          </w:p>
        </w:tc>
        <w:tc>
          <w:tcPr>
            <w:tcW w:w="2900" w:type="dxa"/>
            <w:vAlign w:val="bottom"/>
            <w:vMerge w:val="restart"/>
          </w:tcPr>
          <w:p>
            <w:pPr>
              <w:ind w:left="20"/>
              <w:spacing w:after="0"/>
              <w:rPr>
                <w:sz w:val="20"/>
                <w:szCs w:val="20"/>
                <w:color w:val="auto"/>
              </w:rPr>
            </w:pPr>
            <w:r>
              <w:rPr>
                <w:rFonts w:ascii="Arial" w:cs="Arial" w:eastAsia="Arial" w:hAnsi="Arial"/>
                <w:sz w:val="16"/>
                <w:szCs w:val="16"/>
                <w:color w:val="auto"/>
              </w:rPr>
              <w:t>/s/ Robert M. Schlax</w:t>
            </w:r>
          </w:p>
        </w:tc>
        <w:tc>
          <w:tcPr>
            <w:tcW w:w="2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140" w:type="dxa"/>
            <w:vAlign w:val="bottom"/>
          </w:tcPr>
          <w:p>
            <w:pPr>
              <w:ind w:left="20"/>
              <w:spacing w:after="0"/>
              <w:rPr>
                <w:sz w:val="20"/>
                <w:szCs w:val="20"/>
                <w:color w:val="auto"/>
              </w:rPr>
            </w:pPr>
            <w:r>
              <w:rPr>
                <w:rFonts w:ascii="Arial" w:cs="Arial" w:eastAsia="Arial" w:hAnsi="Arial"/>
                <w:sz w:val="16"/>
                <w:szCs w:val="16"/>
                <w:color w:val="auto"/>
              </w:rPr>
              <w:t>and Chief Financial Officer</w:t>
            </w:r>
          </w:p>
        </w:tc>
        <w:tc>
          <w:tcPr>
            <w:tcW w:w="2900" w:type="dxa"/>
            <w:vAlign w:val="bottom"/>
            <w:tcBorders>
              <w:bottom w:val="single" w:sz="8" w:color="auto"/>
            </w:tcBorders>
            <w:vMerge w:val="continue"/>
          </w:tcPr>
          <w:p>
            <w:pPr>
              <w:spacing w:after="0"/>
              <w:rPr>
                <w:sz w:val="17"/>
                <w:szCs w:val="17"/>
                <w:color w:val="auto"/>
              </w:rPr>
            </w:pPr>
          </w:p>
        </w:tc>
        <w:tc>
          <w:tcPr>
            <w:tcW w:w="2060" w:type="dxa"/>
            <w:vAlign w:val="bottom"/>
          </w:tcPr>
          <w:p>
            <w:pPr>
              <w:ind w:left="20"/>
              <w:spacing w:after="0"/>
              <w:rPr>
                <w:sz w:val="20"/>
                <w:szCs w:val="20"/>
                <w:color w:val="auto"/>
              </w:rPr>
            </w:pPr>
            <w:r>
              <w:rPr>
                <w:rFonts w:ascii="Arial" w:cs="Arial" w:eastAsia="Arial" w:hAnsi="Arial"/>
                <w:sz w:val="16"/>
                <w:szCs w:val="16"/>
                <w:color w:val="auto"/>
              </w:rPr>
              <w:t>February 24, 2009</w:t>
            </w:r>
          </w:p>
        </w:tc>
        <w:tc>
          <w:tcPr>
            <w:tcW w:w="0" w:type="dxa"/>
            <w:vAlign w:val="bottom"/>
          </w:tcPr>
          <w:p>
            <w:pPr>
              <w:spacing w:after="0"/>
              <w:rPr>
                <w:sz w:val="1"/>
                <w:szCs w:val="1"/>
                <w:color w:val="auto"/>
              </w:rPr>
            </w:pPr>
          </w:p>
        </w:tc>
      </w:tr>
      <w:tr>
        <w:trPr>
          <w:trHeight w:val="412"/>
        </w:trPr>
        <w:tc>
          <w:tcPr>
            <w:tcW w:w="3140" w:type="dxa"/>
            <w:vAlign w:val="bottom"/>
          </w:tcPr>
          <w:p>
            <w:pPr>
              <w:ind w:left="20"/>
              <w:spacing w:after="0"/>
              <w:rPr>
                <w:sz w:val="20"/>
                <w:szCs w:val="20"/>
                <w:color w:val="auto"/>
              </w:rPr>
            </w:pPr>
            <w:r>
              <w:rPr>
                <w:rFonts w:ascii="Arial" w:cs="Arial" w:eastAsia="Arial" w:hAnsi="Arial"/>
                <w:sz w:val="16"/>
                <w:szCs w:val="16"/>
                <w:b w:val="1"/>
                <w:bCs w:val="1"/>
                <w:color w:val="auto"/>
              </w:rPr>
              <w:t>Directors:</w:t>
            </w:r>
          </w:p>
        </w:tc>
        <w:tc>
          <w:tcPr>
            <w:tcW w:w="290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3140" w:type="dxa"/>
            <w:vAlign w:val="bottom"/>
          </w:tcPr>
          <w:p>
            <w:pPr>
              <w:ind w:left="20"/>
              <w:spacing w:after="0"/>
              <w:rPr>
                <w:sz w:val="20"/>
                <w:szCs w:val="20"/>
                <w:color w:val="auto"/>
              </w:rPr>
            </w:pPr>
            <w:r>
              <w:rPr>
                <w:rFonts w:ascii="Arial" w:cs="Arial" w:eastAsia="Arial" w:hAnsi="Arial"/>
                <w:sz w:val="16"/>
                <w:szCs w:val="16"/>
                <w:color w:val="auto"/>
              </w:rPr>
              <w:t>Debra L. Reed, Chairperson</w:t>
            </w:r>
          </w:p>
        </w:tc>
        <w:tc>
          <w:tcPr>
            <w:tcW w:w="29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 Debra L. Reed</w:t>
            </w:r>
          </w:p>
        </w:tc>
        <w:tc>
          <w:tcPr>
            <w:tcW w:w="2060" w:type="dxa"/>
            <w:vAlign w:val="bottom"/>
          </w:tcPr>
          <w:p>
            <w:pPr>
              <w:ind w:left="20"/>
              <w:spacing w:after="0"/>
              <w:rPr>
                <w:sz w:val="20"/>
                <w:szCs w:val="20"/>
                <w:color w:val="auto"/>
              </w:rPr>
            </w:pPr>
            <w:r>
              <w:rPr>
                <w:rFonts w:ascii="Arial" w:cs="Arial" w:eastAsia="Arial" w:hAnsi="Arial"/>
                <w:sz w:val="16"/>
                <w:szCs w:val="16"/>
                <w:color w:val="auto"/>
              </w:rPr>
              <w:t>February 24, 2009</w:t>
            </w:r>
          </w:p>
        </w:tc>
        <w:tc>
          <w:tcPr>
            <w:tcW w:w="0" w:type="dxa"/>
            <w:vAlign w:val="bottom"/>
          </w:tcPr>
          <w:p>
            <w:pPr>
              <w:spacing w:after="0"/>
              <w:rPr>
                <w:sz w:val="1"/>
                <w:szCs w:val="1"/>
                <w:color w:val="auto"/>
              </w:rPr>
            </w:pPr>
          </w:p>
        </w:tc>
      </w:tr>
      <w:tr>
        <w:trPr>
          <w:trHeight w:val="641"/>
        </w:trPr>
        <w:tc>
          <w:tcPr>
            <w:tcW w:w="3140" w:type="dxa"/>
            <w:vAlign w:val="bottom"/>
          </w:tcPr>
          <w:p>
            <w:pPr>
              <w:ind w:left="20"/>
              <w:spacing w:after="0"/>
              <w:rPr>
                <w:sz w:val="20"/>
                <w:szCs w:val="20"/>
                <w:color w:val="auto"/>
              </w:rPr>
            </w:pPr>
            <w:r>
              <w:rPr>
                <w:rFonts w:ascii="Arial" w:cs="Arial" w:eastAsia="Arial" w:hAnsi="Arial"/>
                <w:sz w:val="16"/>
                <w:szCs w:val="16"/>
                <w:color w:val="auto"/>
              </w:rPr>
              <w:t>Michael R. Niggli, Director</w:t>
            </w:r>
          </w:p>
        </w:tc>
        <w:tc>
          <w:tcPr>
            <w:tcW w:w="29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 Michael R. Niggli</w:t>
            </w:r>
          </w:p>
        </w:tc>
        <w:tc>
          <w:tcPr>
            <w:tcW w:w="2060" w:type="dxa"/>
            <w:vAlign w:val="bottom"/>
          </w:tcPr>
          <w:p>
            <w:pPr>
              <w:ind w:left="20"/>
              <w:spacing w:after="0"/>
              <w:rPr>
                <w:sz w:val="20"/>
                <w:szCs w:val="20"/>
                <w:color w:val="auto"/>
              </w:rPr>
            </w:pPr>
            <w:r>
              <w:rPr>
                <w:rFonts w:ascii="Arial" w:cs="Arial" w:eastAsia="Arial" w:hAnsi="Arial"/>
                <w:sz w:val="16"/>
                <w:szCs w:val="16"/>
                <w:color w:val="auto"/>
              </w:rPr>
              <w:t>February 24, 2009</w:t>
            </w:r>
          </w:p>
        </w:tc>
        <w:tc>
          <w:tcPr>
            <w:tcW w:w="0" w:type="dxa"/>
            <w:vAlign w:val="bottom"/>
          </w:tcPr>
          <w:p>
            <w:pPr>
              <w:spacing w:after="0"/>
              <w:rPr>
                <w:sz w:val="1"/>
                <w:szCs w:val="1"/>
                <w:color w:val="auto"/>
              </w:rPr>
            </w:pPr>
          </w:p>
        </w:tc>
      </w:tr>
      <w:tr>
        <w:trPr>
          <w:trHeight w:val="641"/>
        </w:trPr>
        <w:tc>
          <w:tcPr>
            <w:tcW w:w="3140" w:type="dxa"/>
            <w:vAlign w:val="bottom"/>
          </w:tcPr>
          <w:p>
            <w:pPr>
              <w:ind w:left="20"/>
              <w:spacing w:after="0"/>
              <w:rPr>
                <w:sz w:val="20"/>
                <w:szCs w:val="20"/>
                <w:color w:val="auto"/>
              </w:rPr>
            </w:pPr>
            <w:r>
              <w:rPr>
                <w:rFonts w:ascii="Arial" w:cs="Arial" w:eastAsia="Arial" w:hAnsi="Arial"/>
                <w:sz w:val="16"/>
                <w:szCs w:val="16"/>
                <w:color w:val="auto"/>
              </w:rPr>
              <w:t>Mark A. Snell, Director</w:t>
            </w:r>
          </w:p>
        </w:tc>
        <w:tc>
          <w:tcPr>
            <w:tcW w:w="29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 Mark A. Snell</w:t>
            </w:r>
          </w:p>
        </w:tc>
        <w:tc>
          <w:tcPr>
            <w:tcW w:w="2060" w:type="dxa"/>
            <w:vAlign w:val="bottom"/>
          </w:tcPr>
          <w:p>
            <w:pPr>
              <w:ind w:left="20"/>
              <w:spacing w:after="0"/>
              <w:rPr>
                <w:sz w:val="20"/>
                <w:szCs w:val="20"/>
                <w:color w:val="auto"/>
              </w:rPr>
            </w:pPr>
            <w:r>
              <w:rPr>
                <w:rFonts w:ascii="Arial" w:cs="Arial" w:eastAsia="Arial" w:hAnsi="Arial"/>
                <w:sz w:val="16"/>
                <w:szCs w:val="16"/>
                <w:color w:val="auto"/>
              </w:rPr>
              <w:t>February 24, 2009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Arial" w:cs="Arial" w:eastAsia="Arial" w:hAnsi="Arial"/>
          <w:sz w:val="14"/>
          <w:szCs w:val="14"/>
          <w:color w:val="auto"/>
        </w:rPr>
        <w:t>46</w:t>
      </w:r>
    </w:p>
    <w:p>
      <w:pPr>
        <w:sectPr>
          <w:pgSz w:w="11900" w:h="16838" w:orient="portrait"/>
          <w:cols w:equalWidth="0" w:num="1">
            <w:col w:w="10219"/>
          </w:cols>
          <w:pgMar w:left="240" w:top="351" w:right="1440" w:bottom="1440" w:gutter="0" w:footer="0" w:header="0"/>
        </w:sectPr>
      </w:pPr>
    </w:p>
    <w:bookmarkStart w:id="47" w:name="page48"/>
    <w:bookmarkEnd w:id="47"/>
    <w:p>
      <w:pPr>
        <w:ind w:left="1680"/>
        <w:spacing w:after="0"/>
        <w:rPr>
          <w:sz w:val="20"/>
          <w:szCs w:val="20"/>
          <w:color w:val="auto"/>
        </w:rPr>
      </w:pPr>
      <w:r>
        <w:rPr>
          <w:rFonts w:ascii="Arial" w:cs="Arial" w:eastAsia="Arial" w:hAnsi="Arial"/>
          <w:sz w:val="16"/>
          <w:szCs w:val="16"/>
          <w:b w:val="1"/>
          <w:bCs w:val="1"/>
          <w:color w:val="auto"/>
        </w:rPr>
        <w:t>Southern California Gas Company:</w:t>
      </w:r>
    </w:p>
    <w:p>
      <w:pPr>
        <w:spacing w:after="0" w:line="32" w:lineRule="exact"/>
        <w:rPr>
          <w:sz w:val="20"/>
          <w:szCs w:val="20"/>
          <w:color w:val="auto"/>
        </w:rPr>
      </w:pPr>
    </w:p>
    <w:p>
      <w:pPr>
        <w:ind w:left="4920"/>
        <w:spacing w:after="0"/>
        <w:rPr>
          <w:sz w:val="20"/>
          <w:szCs w:val="20"/>
          <w:color w:val="auto"/>
        </w:rPr>
      </w:pPr>
      <w:r>
        <w:rPr>
          <w:rFonts w:ascii="Arial" w:cs="Arial" w:eastAsia="Arial" w:hAnsi="Arial"/>
          <w:sz w:val="16"/>
          <w:szCs w:val="16"/>
          <w:b w:val="1"/>
          <w:bCs w:val="1"/>
          <w:color w:val="auto"/>
        </w:rPr>
        <w:t>SIGNATURES</w:t>
      </w:r>
    </w:p>
    <w:p>
      <w:pPr>
        <w:spacing w:after="0" w:line="252" w:lineRule="exact"/>
        <w:rPr>
          <w:sz w:val="20"/>
          <w:szCs w:val="20"/>
          <w:color w:val="auto"/>
        </w:rPr>
      </w:pPr>
    </w:p>
    <w:p>
      <w:pPr>
        <w:ind w:left="1680" w:right="1179"/>
        <w:spacing w:after="0" w:line="312" w:lineRule="auto"/>
        <w:rPr>
          <w:sz w:val="20"/>
          <w:szCs w:val="20"/>
          <w:color w:val="auto"/>
        </w:rPr>
      </w:pPr>
      <w:r>
        <w:rPr>
          <w:rFonts w:ascii="Arial" w:cs="Arial" w:eastAsia="Arial" w:hAnsi="Arial"/>
          <w:sz w:val="15"/>
          <w:szCs w:val="15"/>
          <w:color w:val="auto"/>
        </w:rPr>
        <w:t>Pursuant to the requirements of Section 13 or 15(d) of the Securities Exchange Act of 1934, the registrant has duly caused this report to be signed on its behalf by the undersigned, thereunto duly authorized.</w:t>
      </w:r>
    </w:p>
    <w:p>
      <w:pPr>
        <w:spacing w:after="0" w:line="176" w:lineRule="exact"/>
        <w:rPr>
          <w:sz w:val="20"/>
          <w:szCs w:val="20"/>
          <w:color w:val="auto"/>
        </w:rPr>
      </w:pPr>
    </w:p>
    <w:p>
      <w:pPr>
        <w:ind w:left="5460"/>
        <w:spacing w:after="0"/>
        <w:rPr>
          <w:sz w:val="20"/>
          <w:szCs w:val="20"/>
          <w:color w:val="auto"/>
        </w:rPr>
      </w:pPr>
      <w:r>
        <w:rPr>
          <w:rFonts w:ascii="Arial" w:cs="Arial" w:eastAsia="Arial" w:hAnsi="Arial"/>
          <w:sz w:val="16"/>
          <w:szCs w:val="16"/>
          <w:color w:val="auto"/>
        </w:rPr>
        <w:t>SOUTHERN CALIFORNIA GAS COMPANY,</w:t>
      </w:r>
    </w:p>
    <w:p>
      <w:pPr>
        <w:spacing w:after="0" w:line="21" w:lineRule="exact"/>
        <w:rPr>
          <w:sz w:val="20"/>
          <w:szCs w:val="20"/>
          <w:color w:val="auto"/>
        </w:rPr>
      </w:pPr>
    </w:p>
    <w:p>
      <w:pPr>
        <w:ind w:left="5460"/>
        <w:spacing w:after="0"/>
        <w:rPr>
          <w:sz w:val="20"/>
          <w:szCs w:val="20"/>
          <w:color w:val="auto"/>
        </w:rPr>
      </w:pPr>
      <w:r>
        <w:rPr>
          <w:rFonts w:ascii="Arial" w:cs="Arial" w:eastAsia="Arial" w:hAnsi="Arial"/>
          <w:sz w:val="16"/>
          <w:szCs w:val="16"/>
          <w:color w:val="auto"/>
        </w:rPr>
        <w:t>(Registrant)</w:t>
      </w:r>
    </w:p>
    <w:p>
      <w:pPr>
        <w:spacing w:after="0" w:line="236" w:lineRule="exact"/>
        <w:rPr>
          <w:sz w:val="20"/>
          <w:szCs w:val="20"/>
          <w:color w:val="auto"/>
        </w:rPr>
      </w:pPr>
    </w:p>
    <w:p>
      <w:pPr>
        <w:ind w:left="5460"/>
        <w:spacing w:after="0"/>
        <w:rPr>
          <w:sz w:val="20"/>
          <w:szCs w:val="20"/>
          <w:color w:val="auto"/>
        </w:rPr>
      </w:pPr>
      <w:r>
        <w:rPr>
          <w:rFonts w:ascii="Arial" w:cs="Arial" w:eastAsia="Arial" w:hAnsi="Arial"/>
          <w:sz w:val="16"/>
          <w:szCs w:val="16"/>
          <w:color w:val="auto"/>
        </w:rPr>
        <w:t>By: /s/ Debra L. Reed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3460750</wp:posOffset>
            </wp:positionH>
            <wp:positionV relativeFrom="paragraph">
              <wp:posOffset>20955</wp:posOffset>
            </wp:positionV>
            <wp:extent cx="2730500" cy="762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2730500" cy="7620"/>
                    </a:xfrm>
                    <a:prstGeom prst="rect">
                      <a:avLst/>
                    </a:prstGeom>
                    <a:noFill/>
                  </pic:spPr>
                </pic:pic>
              </a:graphicData>
            </a:graphic>
          </wp:anchor>
        </w:drawing>
      </w:r>
    </w:p>
    <w:p>
      <w:pPr>
        <w:spacing w:after="0" w:line="24" w:lineRule="exact"/>
        <w:rPr>
          <w:sz w:val="20"/>
          <w:szCs w:val="20"/>
          <w:color w:val="auto"/>
        </w:rPr>
      </w:pPr>
    </w:p>
    <w:p>
      <w:pPr>
        <w:ind w:left="5460"/>
        <w:spacing w:after="0"/>
        <w:rPr>
          <w:sz w:val="20"/>
          <w:szCs w:val="20"/>
          <w:color w:val="auto"/>
        </w:rPr>
      </w:pPr>
      <w:r>
        <w:rPr>
          <w:rFonts w:ascii="Arial" w:cs="Arial" w:eastAsia="Arial" w:hAnsi="Arial"/>
          <w:sz w:val="16"/>
          <w:szCs w:val="16"/>
          <w:color w:val="auto"/>
        </w:rPr>
        <w:t>Debra L. Reed</w:t>
      </w:r>
    </w:p>
    <w:p>
      <w:pPr>
        <w:spacing w:after="0" w:line="21" w:lineRule="exact"/>
        <w:rPr>
          <w:sz w:val="20"/>
          <w:szCs w:val="20"/>
          <w:color w:val="auto"/>
        </w:rPr>
      </w:pPr>
    </w:p>
    <w:p>
      <w:pPr>
        <w:ind w:left="5460"/>
        <w:spacing w:after="0"/>
        <w:rPr>
          <w:sz w:val="20"/>
          <w:szCs w:val="20"/>
          <w:color w:val="auto"/>
        </w:rPr>
      </w:pPr>
      <w:r>
        <w:rPr>
          <w:rFonts w:ascii="Arial" w:cs="Arial" w:eastAsia="Arial" w:hAnsi="Arial"/>
          <w:sz w:val="16"/>
          <w:szCs w:val="16"/>
          <w:color w:val="auto"/>
        </w:rPr>
        <w:t>Chairperson, President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1680" w:right="559"/>
        <w:spacing w:after="0" w:line="277" w:lineRule="auto"/>
        <w:rPr>
          <w:sz w:val="20"/>
          <w:szCs w:val="20"/>
          <w:color w:val="auto"/>
        </w:rPr>
      </w:pPr>
      <w:r>
        <w:rPr>
          <w:rFonts w:ascii="Arial" w:cs="Arial" w:eastAsia="Arial" w:hAnsi="Arial"/>
          <w:sz w:val="16"/>
          <w:szCs w:val="16"/>
          <w:color w:val="auto"/>
        </w:rPr>
        <w:t>Pursuant to the requirements of the Securities Exchange Act of 1934, this report is signed below by the following persons on behalf of the Registrant in the capacities and on the dates indicated.</w:t>
      </w:r>
    </w:p>
    <w:p>
      <w:pPr>
        <w:spacing w:after="0" w:line="196" w:lineRule="exact"/>
        <w:rPr>
          <w:sz w:val="20"/>
          <w:szCs w:val="20"/>
          <w:color w:val="auto"/>
        </w:rPr>
      </w:pPr>
    </w:p>
    <w:tbl>
      <w:tblPr>
        <w:tblLayout w:type="fixed"/>
        <w:tblInd w:w="1660" w:type="dxa"/>
        <w:tblCellMar>
          <w:top w:w="0" w:type="dxa"/>
          <w:left w:w="0" w:type="dxa"/>
          <w:bottom w:w="0" w:type="dxa"/>
          <w:right w:w="0" w:type="dxa"/>
        </w:tblCellMar>
      </w:tblPr>
      <w:tr>
        <w:trPr>
          <w:trHeight w:val="215"/>
        </w:trPr>
        <w:tc>
          <w:tcPr>
            <w:tcW w:w="314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Name/Title</w:t>
            </w:r>
          </w:p>
        </w:tc>
        <w:tc>
          <w:tcPr>
            <w:tcW w:w="290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Signature</w:t>
            </w:r>
          </w:p>
        </w:tc>
        <w:tc>
          <w:tcPr>
            <w:tcW w:w="206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Date</w:t>
            </w:r>
          </w:p>
        </w:tc>
        <w:tc>
          <w:tcPr>
            <w:tcW w:w="0" w:type="dxa"/>
            <w:vAlign w:val="bottom"/>
          </w:tcPr>
          <w:p>
            <w:pPr>
              <w:spacing w:after="0"/>
              <w:rPr>
                <w:sz w:val="1"/>
                <w:szCs w:val="1"/>
                <w:color w:val="auto"/>
              </w:rPr>
            </w:pPr>
          </w:p>
        </w:tc>
      </w:tr>
      <w:tr>
        <w:trPr>
          <w:trHeight w:val="202"/>
        </w:trPr>
        <w:tc>
          <w:tcPr>
            <w:tcW w:w="3140" w:type="dxa"/>
            <w:vAlign w:val="bottom"/>
          </w:tcPr>
          <w:p>
            <w:pPr>
              <w:ind w:left="20"/>
              <w:spacing w:after="0"/>
              <w:rPr>
                <w:sz w:val="20"/>
                <w:szCs w:val="20"/>
                <w:color w:val="auto"/>
              </w:rPr>
            </w:pPr>
            <w:r>
              <w:rPr>
                <w:rFonts w:ascii="Arial" w:cs="Arial" w:eastAsia="Arial" w:hAnsi="Arial"/>
                <w:sz w:val="16"/>
                <w:szCs w:val="16"/>
                <w:b w:val="1"/>
                <w:bCs w:val="1"/>
                <w:color w:val="auto"/>
              </w:rPr>
              <w:t>Principal Executive Officer:</w:t>
            </w:r>
          </w:p>
        </w:tc>
        <w:tc>
          <w:tcPr>
            <w:tcW w:w="290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3140" w:type="dxa"/>
            <w:vAlign w:val="bottom"/>
          </w:tcPr>
          <w:p>
            <w:pPr>
              <w:ind w:left="20"/>
              <w:spacing w:after="0"/>
              <w:rPr>
                <w:sz w:val="20"/>
                <w:szCs w:val="20"/>
                <w:color w:val="auto"/>
              </w:rPr>
            </w:pPr>
            <w:r>
              <w:rPr>
                <w:rFonts w:ascii="Arial" w:cs="Arial" w:eastAsia="Arial" w:hAnsi="Arial"/>
                <w:sz w:val="16"/>
                <w:szCs w:val="16"/>
                <w:color w:val="auto"/>
              </w:rPr>
              <w:t>Debra L. Reed</w:t>
            </w:r>
          </w:p>
        </w:tc>
        <w:tc>
          <w:tcPr>
            <w:tcW w:w="290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140" w:type="dxa"/>
            <w:vAlign w:val="bottom"/>
          </w:tcPr>
          <w:p>
            <w:pPr>
              <w:ind w:left="20"/>
              <w:spacing w:after="0"/>
              <w:rPr>
                <w:sz w:val="20"/>
                <w:szCs w:val="20"/>
                <w:color w:val="auto"/>
              </w:rPr>
            </w:pPr>
            <w:r>
              <w:rPr>
                <w:rFonts w:ascii="Arial" w:cs="Arial" w:eastAsia="Arial" w:hAnsi="Arial"/>
                <w:sz w:val="16"/>
                <w:szCs w:val="16"/>
                <w:color w:val="auto"/>
                <w:w w:val="99"/>
              </w:rPr>
              <w:t>Chairperson, President and Chief Executive</w:t>
            </w:r>
          </w:p>
        </w:tc>
        <w:tc>
          <w:tcPr>
            <w:tcW w:w="2900" w:type="dxa"/>
            <w:vAlign w:val="bottom"/>
            <w:vMerge w:val="restart"/>
          </w:tcPr>
          <w:p>
            <w:pPr>
              <w:ind w:left="20"/>
              <w:spacing w:after="0"/>
              <w:rPr>
                <w:sz w:val="20"/>
                <w:szCs w:val="20"/>
                <w:color w:val="auto"/>
              </w:rPr>
            </w:pPr>
            <w:r>
              <w:rPr>
                <w:rFonts w:ascii="Arial" w:cs="Arial" w:eastAsia="Arial" w:hAnsi="Arial"/>
                <w:sz w:val="16"/>
                <w:szCs w:val="16"/>
                <w:color w:val="auto"/>
              </w:rPr>
              <w:t>/s/ Debra L. Reed</w:t>
            </w:r>
          </w:p>
        </w:tc>
        <w:tc>
          <w:tcPr>
            <w:tcW w:w="2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140" w:type="dxa"/>
            <w:vAlign w:val="bottom"/>
          </w:tcPr>
          <w:p>
            <w:pPr>
              <w:ind w:left="20"/>
              <w:spacing w:after="0"/>
              <w:rPr>
                <w:sz w:val="20"/>
                <w:szCs w:val="20"/>
                <w:color w:val="auto"/>
              </w:rPr>
            </w:pPr>
            <w:r>
              <w:rPr>
                <w:rFonts w:ascii="Arial" w:cs="Arial" w:eastAsia="Arial" w:hAnsi="Arial"/>
                <w:sz w:val="16"/>
                <w:szCs w:val="16"/>
                <w:color w:val="auto"/>
              </w:rPr>
              <w:t>Officer</w:t>
            </w:r>
          </w:p>
        </w:tc>
        <w:tc>
          <w:tcPr>
            <w:tcW w:w="2900" w:type="dxa"/>
            <w:vAlign w:val="bottom"/>
            <w:tcBorders>
              <w:bottom w:val="single" w:sz="8" w:color="auto"/>
            </w:tcBorders>
            <w:vMerge w:val="continue"/>
          </w:tcPr>
          <w:p>
            <w:pPr>
              <w:spacing w:after="0"/>
              <w:rPr>
                <w:sz w:val="17"/>
                <w:szCs w:val="17"/>
                <w:color w:val="auto"/>
              </w:rPr>
            </w:pPr>
          </w:p>
        </w:tc>
        <w:tc>
          <w:tcPr>
            <w:tcW w:w="2060" w:type="dxa"/>
            <w:vAlign w:val="bottom"/>
          </w:tcPr>
          <w:p>
            <w:pPr>
              <w:ind w:left="20"/>
              <w:spacing w:after="0"/>
              <w:rPr>
                <w:sz w:val="20"/>
                <w:szCs w:val="20"/>
                <w:color w:val="auto"/>
              </w:rPr>
            </w:pPr>
            <w:r>
              <w:rPr>
                <w:rFonts w:ascii="Arial" w:cs="Arial" w:eastAsia="Arial" w:hAnsi="Arial"/>
                <w:sz w:val="16"/>
                <w:szCs w:val="16"/>
                <w:color w:val="auto"/>
              </w:rPr>
              <w:t>February 24, 2009</w:t>
            </w:r>
          </w:p>
        </w:tc>
        <w:tc>
          <w:tcPr>
            <w:tcW w:w="0" w:type="dxa"/>
            <w:vAlign w:val="bottom"/>
          </w:tcPr>
          <w:p>
            <w:pPr>
              <w:spacing w:after="0"/>
              <w:rPr>
                <w:sz w:val="1"/>
                <w:szCs w:val="1"/>
                <w:color w:val="auto"/>
              </w:rPr>
            </w:pPr>
          </w:p>
        </w:tc>
      </w:tr>
      <w:tr>
        <w:trPr>
          <w:trHeight w:val="412"/>
        </w:trPr>
        <w:tc>
          <w:tcPr>
            <w:tcW w:w="3140" w:type="dxa"/>
            <w:vAlign w:val="bottom"/>
          </w:tcPr>
          <w:p>
            <w:pPr>
              <w:ind w:left="20"/>
              <w:spacing w:after="0"/>
              <w:rPr>
                <w:sz w:val="20"/>
                <w:szCs w:val="20"/>
                <w:color w:val="auto"/>
              </w:rPr>
            </w:pPr>
            <w:r>
              <w:rPr>
                <w:rFonts w:ascii="Arial" w:cs="Arial" w:eastAsia="Arial" w:hAnsi="Arial"/>
                <w:sz w:val="16"/>
                <w:szCs w:val="16"/>
                <w:b w:val="1"/>
                <w:bCs w:val="1"/>
                <w:color w:val="auto"/>
                <w:w w:val="94"/>
              </w:rPr>
              <w:t>Principal Financial and Accounting Officer:</w:t>
            </w:r>
          </w:p>
        </w:tc>
        <w:tc>
          <w:tcPr>
            <w:tcW w:w="290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3140" w:type="dxa"/>
            <w:vAlign w:val="bottom"/>
          </w:tcPr>
          <w:p>
            <w:pPr>
              <w:ind w:left="20"/>
              <w:spacing w:after="0"/>
              <w:rPr>
                <w:sz w:val="20"/>
                <w:szCs w:val="20"/>
                <w:color w:val="auto"/>
              </w:rPr>
            </w:pPr>
            <w:r>
              <w:rPr>
                <w:rFonts w:ascii="Arial" w:cs="Arial" w:eastAsia="Arial" w:hAnsi="Arial"/>
                <w:sz w:val="16"/>
                <w:szCs w:val="16"/>
                <w:color w:val="auto"/>
              </w:rPr>
              <w:t>Robert M. Schlax</w:t>
            </w:r>
          </w:p>
        </w:tc>
        <w:tc>
          <w:tcPr>
            <w:tcW w:w="290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140" w:type="dxa"/>
            <w:vAlign w:val="bottom"/>
          </w:tcPr>
          <w:p>
            <w:pPr>
              <w:ind w:left="20"/>
              <w:spacing w:after="0"/>
              <w:rPr>
                <w:sz w:val="20"/>
                <w:szCs w:val="20"/>
                <w:color w:val="auto"/>
              </w:rPr>
            </w:pPr>
            <w:r>
              <w:rPr>
                <w:rFonts w:ascii="Arial" w:cs="Arial" w:eastAsia="Arial" w:hAnsi="Arial"/>
                <w:sz w:val="16"/>
                <w:szCs w:val="16"/>
                <w:color w:val="auto"/>
              </w:rPr>
              <w:t>Vice President, Controller</w:t>
            </w:r>
          </w:p>
        </w:tc>
        <w:tc>
          <w:tcPr>
            <w:tcW w:w="2900" w:type="dxa"/>
            <w:vAlign w:val="bottom"/>
            <w:vMerge w:val="restart"/>
          </w:tcPr>
          <w:p>
            <w:pPr>
              <w:ind w:left="20"/>
              <w:spacing w:after="0"/>
              <w:rPr>
                <w:sz w:val="20"/>
                <w:szCs w:val="20"/>
                <w:color w:val="auto"/>
              </w:rPr>
            </w:pPr>
            <w:r>
              <w:rPr>
                <w:rFonts w:ascii="Arial" w:cs="Arial" w:eastAsia="Arial" w:hAnsi="Arial"/>
                <w:sz w:val="16"/>
                <w:szCs w:val="16"/>
                <w:color w:val="auto"/>
              </w:rPr>
              <w:t>/s/ Robert M. Schlax</w:t>
            </w:r>
          </w:p>
        </w:tc>
        <w:tc>
          <w:tcPr>
            <w:tcW w:w="2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140" w:type="dxa"/>
            <w:vAlign w:val="bottom"/>
          </w:tcPr>
          <w:p>
            <w:pPr>
              <w:ind w:left="20"/>
              <w:spacing w:after="0"/>
              <w:rPr>
                <w:sz w:val="20"/>
                <w:szCs w:val="20"/>
                <w:color w:val="auto"/>
              </w:rPr>
            </w:pPr>
            <w:r>
              <w:rPr>
                <w:rFonts w:ascii="Arial" w:cs="Arial" w:eastAsia="Arial" w:hAnsi="Arial"/>
                <w:sz w:val="16"/>
                <w:szCs w:val="16"/>
                <w:color w:val="auto"/>
              </w:rPr>
              <w:t>and Chief Financial Officer</w:t>
            </w:r>
          </w:p>
        </w:tc>
        <w:tc>
          <w:tcPr>
            <w:tcW w:w="2900" w:type="dxa"/>
            <w:vAlign w:val="bottom"/>
            <w:tcBorders>
              <w:bottom w:val="single" w:sz="8" w:color="auto"/>
            </w:tcBorders>
            <w:vMerge w:val="continue"/>
          </w:tcPr>
          <w:p>
            <w:pPr>
              <w:spacing w:after="0"/>
              <w:rPr>
                <w:sz w:val="17"/>
                <w:szCs w:val="17"/>
                <w:color w:val="auto"/>
              </w:rPr>
            </w:pPr>
          </w:p>
        </w:tc>
        <w:tc>
          <w:tcPr>
            <w:tcW w:w="2060" w:type="dxa"/>
            <w:vAlign w:val="bottom"/>
          </w:tcPr>
          <w:p>
            <w:pPr>
              <w:ind w:left="20"/>
              <w:spacing w:after="0"/>
              <w:rPr>
                <w:sz w:val="20"/>
                <w:szCs w:val="20"/>
                <w:color w:val="auto"/>
              </w:rPr>
            </w:pPr>
            <w:r>
              <w:rPr>
                <w:rFonts w:ascii="Arial" w:cs="Arial" w:eastAsia="Arial" w:hAnsi="Arial"/>
                <w:sz w:val="16"/>
                <w:szCs w:val="16"/>
                <w:color w:val="auto"/>
              </w:rPr>
              <w:t>February 24, 2009</w:t>
            </w:r>
          </w:p>
        </w:tc>
        <w:tc>
          <w:tcPr>
            <w:tcW w:w="0" w:type="dxa"/>
            <w:vAlign w:val="bottom"/>
          </w:tcPr>
          <w:p>
            <w:pPr>
              <w:spacing w:after="0"/>
              <w:rPr>
                <w:sz w:val="1"/>
                <w:szCs w:val="1"/>
                <w:color w:val="auto"/>
              </w:rPr>
            </w:pPr>
          </w:p>
        </w:tc>
      </w:tr>
      <w:tr>
        <w:trPr>
          <w:trHeight w:val="412"/>
        </w:trPr>
        <w:tc>
          <w:tcPr>
            <w:tcW w:w="3140" w:type="dxa"/>
            <w:vAlign w:val="bottom"/>
          </w:tcPr>
          <w:p>
            <w:pPr>
              <w:ind w:left="20"/>
              <w:spacing w:after="0"/>
              <w:rPr>
                <w:sz w:val="20"/>
                <w:szCs w:val="20"/>
                <w:color w:val="auto"/>
              </w:rPr>
            </w:pPr>
            <w:r>
              <w:rPr>
                <w:rFonts w:ascii="Arial" w:cs="Arial" w:eastAsia="Arial" w:hAnsi="Arial"/>
                <w:sz w:val="16"/>
                <w:szCs w:val="16"/>
                <w:b w:val="1"/>
                <w:bCs w:val="1"/>
                <w:color w:val="auto"/>
              </w:rPr>
              <w:t>Directors:</w:t>
            </w:r>
          </w:p>
        </w:tc>
        <w:tc>
          <w:tcPr>
            <w:tcW w:w="290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3140" w:type="dxa"/>
            <w:vAlign w:val="bottom"/>
          </w:tcPr>
          <w:p>
            <w:pPr>
              <w:ind w:left="20"/>
              <w:spacing w:after="0"/>
              <w:rPr>
                <w:sz w:val="20"/>
                <w:szCs w:val="20"/>
                <w:color w:val="auto"/>
              </w:rPr>
            </w:pPr>
            <w:r>
              <w:rPr>
                <w:rFonts w:ascii="Arial" w:cs="Arial" w:eastAsia="Arial" w:hAnsi="Arial"/>
                <w:sz w:val="16"/>
                <w:szCs w:val="16"/>
                <w:color w:val="auto"/>
              </w:rPr>
              <w:t>Debra L. Reed, Chairperson</w:t>
            </w:r>
          </w:p>
        </w:tc>
        <w:tc>
          <w:tcPr>
            <w:tcW w:w="29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 Debra L. Reed</w:t>
            </w:r>
          </w:p>
        </w:tc>
        <w:tc>
          <w:tcPr>
            <w:tcW w:w="2060" w:type="dxa"/>
            <w:vAlign w:val="bottom"/>
          </w:tcPr>
          <w:p>
            <w:pPr>
              <w:ind w:left="20"/>
              <w:spacing w:after="0"/>
              <w:rPr>
                <w:sz w:val="20"/>
                <w:szCs w:val="20"/>
                <w:color w:val="auto"/>
              </w:rPr>
            </w:pPr>
            <w:r>
              <w:rPr>
                <w:rFonts w:ascii="Arial" w:cs="Arial" w:eastAsia="Arial" w:hAnsi="Arial"/>
                <w:sz w:val="16"/>
                <w:szCs w:val="16"/>
                <w:color w:val="auto"/>
              </w:rPr>
              <w:t>February 24, 2009</w:t>
            </w:r>
          </w:p>
        </w:tc>
        <w:tc>
          <w:tcPr>
            <w:tcW w:w="0" w:type="dxa"/>
            <w:vAlign w:val="bottom"/>
          </w:tcPr>
          <w:p>
            <w:pPr>
              <w:spacing w:after="0"/>
              <w:rPr>
                <w:sz w:val="1"/>
                <w:szCs w:val="1"/>
                <w:color w:val="auto"/>
              </w:rPr>
            </w:pPr>
          </w:p>
        </w:tc>
      </w:tr>
      <w:tr>
        <w:trPr>
          <w:trHeight w:val="641"/>
        </w:trPr>
        <w:tc>
          <w:tcPr>
            <w:tcW w:w="3140" w:type="dxa"/>
            <w:vAlign w:val="bottom"/>
          </w:tcPr>
          <w:p>
            <w:pPr>
              <w:ind w:left="20"/>
              <w:spacing w:after="0"/>
              <w:rPr>
                <w:sz w:val="20"/>
                <w:szCs w:val="20"/>
                <w:color w:val="auto"/>
              </w:rPr>
            </w:pPr>
            <w:r>
              <w:rPr>
                <w:rFonts w:ascii="Arial" w:cs="Arial" w:eastAsia="Arial" w:hAnsi="Arial"/>
                <w:sz w:val="16"/>
                <w:szCs w:val="16"/>
                <w:color w:val="auto"/>
              </w:rPr>
              <w:t>Michael R. Niggli, Director</w:t>
            </w:r>
          </w:p>
        </w:tc>
        <w:tc>
          <w:tcPr>
            <w:tcW w:w="29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 Michael R. Niggli</w:t>
            </w:r>
          </w:p>
        </w:tc>
        <w:tc>
          <w:tcPr>
            <w:tcW w:w="2060" w:type="dxa"/>
            <w:vAlign w:val="bottom"/>
          </w:tcPr>
          <w:p>
            <w:pPr>
              <w:ind w:left="20"/>
              <w:spacing w:after="0"/>
              <w:rPr>
                <w:sz w:val="20"/>
                <w:szCs w:val="20"/>
                <w:color w:val="auto"/>
              </w:rPr>
            </w:pPr>
            <w:r>
              <w:rPr>
                <w:rFonts w:ascii="Arial" w:cs="Arial" w:eastAsia="Arial" w:hAnsi="Arial"/>
                <w:sz w:val="16"/>
                <w:szCs w:val="16"/>
                <w:color w:val="auto"/>
              </w:rPr>
              <w:t>February 24, 2009</w:t>
            </w:r>
          </w:p>
        </w:tc>
        <w:tc>
          <w:tcPr>
            <w:tcW w:w="0" w:type="dxa"/>
            <w:vAlign w:val="bottom"/>
          </w:tcPr>
          <w:p>
            <w:pPr>
              <w:spacing w:after="0"/>
              <w:rPr>
                <w:sz w:val="1"/>
                <w:szCs w:val="1"/>
                <w:color w:val="auto"/>
              </w:rPr>
            </w:pPr>
          </w:p>
        </w:tc>
      </w:tr>
      <w:tr>
        <w:trPr>
          <w:trHeight w:val="641"/>
        </w:trPr>
        <w:tc>
          <w:tcPr>
            <w:tcW w:w="3140" w:type="dxa"/>
            <w:vAlign w:val="bottom"/>
          </w:tcPr>
          <w:p>
            <w:pPr>
              <w:ind w:left="20"/>
              <w:spacing w:after="0"/>
              <w:rPr>
                <w:sz w:val="20"/>
                <w:szCs w:val="20"/>
                <w:color w:val="auto"/>
              </w:rPr>
            </w:pPr>
            <w:r>
              <w:rPr>
                <w:rFonts w:ascii="Arial" w:cs="Arial" w:eastAsia="Arial" w:hAnsi="Arial"/>
                <w:sz w:val="16"/>
                <w:szCs w:val="16"/>
                <w:color w:val="auto"/>
              </w:rPr>
              <w:t>Mark A. Snell, Director</w:t>
            </w:r>
          </w:p>
        </w:tc>
        <w:tc>
          <w:tcPr>
            <w:tcW w:w="29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 Mark A. Snell</w:t>
            </w:r>
          </w:p>
        </w:tc>
        <w:tc>
          <w:tcPr>
            <w:tcW w:w="2060" w:type="dxa"/>
            <w:vAlign w:val="bottom"/>
          </w:tcPr>
          <w:p>
            <w:pPr>
              <w:ind w:left="20"/>
              <w:spacing w:after="0"/>
              <w:rPr>
                <w:sz w:val="20"/>
                <w:szCs w:val="20"/>
                <w:color w:val="auto"/>
              </w:rPr>
            </w:pPr>
            <w:r>
              <w:rPr>
                <w:rFonts w:ascii="Arial" w:cs="Arial" w:eastAsia="Arial" w:hAnsi="Arial"/>
                <w:sz w:val="16"/>
                <w:szCs w:val="16"/>
                <w:color w:val="auto"/>
              </w:rPr>
              <w:t>February 24, 2009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Arial" w:cs="Arial" w:eastAsia="Arial" w:hAnsi="Arial"/>
          <w:sz w:val="14"/>
          <w:szCs w:val="14"/>
          <w:color w:val="auto"/>
        </w:rPr>
        <w:t>47</w:t>
      </w:r>
    </w:p>
    <w:p>
      <w:pPr>
        <w:sectPr>
          <w:pgSz w:w="11900" w:h="16838" w:orient="portrait"/>
          <w:cols w:equalWidth="0" w:num="1">
            <w:col w:w="10219"/>
          </w:cols>
          <w:pgMar w:left="240" w:top="351" w:right="1440" w:bottom="1440" w:gutter="0" w:footer="0" w:header="0"/>
        </w:sectPr>
      </w:pPr>
    </w:p>
    <w:bookmarkStart w:id="48" w:name="page49"/>
    <w:bookmarkEnd w:id="48"/>
    <w:p>
      <w:pPr>
        <w:ind w:left="22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1568450</wp:posOffset>
            </wp:positionH>
            <wp:positionV relativeFrom="page">
              <wp:posOffset>577215</wp:posOffset>
            </wp:positionV>
            <wp:extent cx="4424045" cy="762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4424045" cy="7620"/>
                    </a:xfrm>
                    <a:prstGeom prst="rect">
                      <a:avLst/>
                    </a:prstGeom>
                    <a:noFill/>
                  </pic:spPr>
                </pic:pic>
              </a:graphicData>
            </a:graphic>
          </wp:anchor>
        </w:drawing>
        <w:t>EXHIBIT INDEX</w:t>
      </w:r>
    </w:p>
    <w:p>
      <w:pPr>
        <w:spacing w:after="0" w:line="312" w:lineRule="exact"/>
        <w:rPr>
          <w:sz w:val="20"/>
          <w:szCs w:val="20"/>
          <w:color w:val="auto"/>
        </w:rPr>
      </w:pPr>
    </w:p>
    <w:p>
      <w:pPr>
        <w:jc w:val="both"/>
        <w:ind w:left="2240" w:right="1259"/>
        <w:spacing w:after="0" w:line="282" w:lineRule="auto"/>
        <w:rPr>
          <w:sz w:val="20"/>
          <w:szCs w:val="20"/>
          <w:color w:val="auto"/>
        </w:rPr>
      </w:pPr>
      <w:r>
        <w:rPr>
          <w:rFonts w:ascii="Arial" w:cs="Arial" w:eastAsia="Arial" w:hAnsi="Arial"/>
          <w:sz w:val="15"/>
          <w:szCs w:val="15"/>
          <w:color w:val="auto"/>
        </w:rPr>
        <w:t>The Registration Statements and Forms S-8, 8-K, 10-K and 10-Q incorporated herein by reference were filed under Commission File Number 1-14201 (Sempra Energy), Commission File Number 1-40 (Pacific Enterprises/Pacific Lighting Corporation), Commission File Number 1-3779 (San Diego Gas &amp; Electric Company) and/or Commission File Number 1-1402 (Southern California Gas Company).</w:t>
      </w:r>
    </w:p>
    <w:p>
      <w:pPr>
        <w:spacing w:after="0" w:line="198" w:lineRule="exact"/>
        <w:rPr>
          <w:sz w:val="20"/>
          <w:szCs w:val="20"/>
          <w:color w:val="auto"/>
        </w:rPr>
      </w:pPr>
    </w:p>
    <w:p>
      <w:pPr>
        <w:ind w:left="2240"/>
        <w:spacing w:after="0"/>
        <w:rPr>
          <w:sz w:val="20"/>
          <w:szCs w:val="20"/>
          <w:color w:val="auto"/>
        </w:rPr>
      </w:pPr>
      <w:r>
        <w:rPr>
          <w:rFonts w:ascii="Arial" w:cs="Arial" w:eastAsia="Arial" w:hAnsi="Arial"/>
          <w:sz w:val="16"/>
          <w:szCs w:val="16"/>
          <w:color w:val="auto"/>
        </w:rPr>
        <w:t>The following exhibits relate to each registrant as indicated.</w:t>
      </w:r>
    </w:p>
    <w:p>
      <w:pPr>
        <w:spacing w:after="0" w:line="300" w:lineRule="exact"/>
        <w:rPr>
          <w:sz w:val="20"/>
          <w:szCs w:val="20"/>
          <w:color w:val="auto"/>
        </w:rPr>
      </w:pPr>
    </w:p>
    <w:p>
      <w:pPr>
        <w:ind w:left="2240"/>
        <w:spacing w:after="0"/>
        <w:rPr>
          <w:sz w:val="20"/>
          <w:szCs w:val="20"/>
          <w:color w:val="auto"/>
        </w:rPr>
      </w:pPr>
      <w:r>
        <w:rPr>
          <w:rFonts w:ascii="Arial" w:cs="Arial" w:eastAsia="Arial" w:hAnsi="Arial"/>
          <w:sz w:val="16"/>
          <w:szCs w:val="16"/>
          <w:b w:val="1"/>
          <w:bCs w:val="1"/>
          <w:color w:val="auto"/>
        </w:rPr>
        <w:t>EXHIBIT 3 -- BYLAWS AND ARTICLES OF INCORPORATION</w:t>
      </w:r>
    </w:p>
    <w:p>
      <w:pPr>
        <w:spacing w:after="0" w:line="291" w:lineRule="exact"/>
        <w:rPr>
          <w:sz w:val="20"/>
          <w:szCs w:val="20"/>
          <w:color w:val="auto"/>
        </w:rPr>
      </w:pPr>
    </w:p>
    <w:p>
      <w:pPr>
        <w:ind w:left="2240"/>
        <w:spacing w:after="0"/>
        <w:rPr>
          <w:sz w:val="20"/>
          <w:szCs w:val="20"/>
          <w:color w:val="auto"/>
        </w:rPr>
      </w:pPr>
      <w:r>
        <w:rPr>
          <w:rFonts w:ascii="Arial" w:cs="Arial" w:eastAsia="Arial" w:hAnsi="Arial"/>
          <w:sz w:val="18"/>
          <w:szCs w:val="18"/>
          <w:b w:val="1"/>
          <w:bCs w:val="1"/>
          <w:i w:val="1"/>
          <w:iCs w:val="1"/>
          <w:color w:val="auto"/>
        </w:rPr>
        <w:t>Sempra Energy</w:t>
      </w:r>
    </w:p>
    <w:p>
      <w:pPr>
        <w:spacing w:after="0" w:line="60" w:lineRule="exact"/>
        <w:rPr>
          <w:sz w:val="20"/>
          <w:szCs w:val="20"/>
          <w:color w:val="auto"/>
        </w:rPr>
      </w:pPr>
    </w:p>
    <w:p>
      <w:pPr>
        <w:ind w:left="3080" w:right="1099" w:hanging="303"/>
        <w:spacing w:after="0" w:line="351" w:lineRule="auto"/>
        <w:rPr>
          <w:sz w:val="20"/>
          <w:szCs w:val="20"/>
          <w:color w:val="auto"/>
        </w:rPr>
      </w:pPr>
      <w:r>
        <w:rPr>
          <w:rFonts w:ascii="Arial" w:cs="Arial" w:eastAsia="Arial" w:hAnsi="Arial"/>
          <w:sz w:val="14"/>
          <w:szCs w:val="14"/>
          <w:color w:val="auto"/>
        </w:rPr>
        <w:t>3.1 Amended and Restated Articles of Incorporation of Sempra Energy effective May 23, 2008 (Appendix B to the 2008 Sempra Energy Definitive Proxy Statement, filed on April 15, 2008).</w:t>
      </w:r>
    </w:p>
    <w:p>
      <w:pPr>
        <w:spacing w:after="0" w:line="154" w:lineRule="exact"/>
        <w:rPr>
          <w:sz w:val="20"/>
          <w:szCs w:val="20"/>
          <w:color w:val="auto"/>
        </w:rPr>
      </w:pPr>
    </w:p>
    <w:p>
      <w:pPr>
        <w:ind w:left="3080" w:right="1239" w:hanging="303"/>
        <w:spacing w:after="0" w:line="277" w:lineRule="auto"/>
        <w:rPr>
          <w:sz w:val="20"/>
          <w:szCs w:val="20"/>
          <w:color w:val="auto"/>
        </w:rPr>
      </w:pPr>
      <w:r>
        <w:rPr>
          <w:rFonts w:ascii="Arial" w:cs="Arial" w:eastAsia="Arial" w:hAnsi="Arial"/>
          <w:sz w:val="16"/>
          <w:szCs w:val="16"/>
          <w:color w:val="auto"/>
        </w:rPr>
        <w:t>3.2 Amended Bylaws of Sempra Energy effective December 4, 2007 (Sempra Energy Form 8-K filed on December 5, 2007, Exhibit 3(ii)).</w:t>
      </w:r>
    </w:p>
    <w:p>
      <w:pPr>
        <w:spacing w:after="0" w:line="200" w:lineRule="exact"/>
        <w:rPr>
          <w:sz w:val="20"/>
          <w:szCs w:val="20"/>
          <w:color w:val="auto"/>
        </w:rPr>
      </w:pPr>
    </w:p>
    <w:p>
      <w:pPr>
        <w:ind w:left="3080" w:right="1239" w:hanging="303"/>
        <w:spacing w:after="0" w:line="264" w:lineRule="auto"/>
        <w:rPr>
          <w:sz w:val="20"/>
          <w:szCs w:val="20"/>
          <w:color w:val="auto"/>
        </w:rPr>
      </w:pPr>
      <w:r>
        <w:rPr>
          <w:rFonts w:ascii="Arial" w:cs="Arial" w:eastAsia="Arial" w:hAnsi="Arial"/>
          <w:sz w:val="16"/>
          <w:szCs w:val="16"/>
          <w:color w:val="auto"/>
        </w:rPr>
        <w:t>3.3 Amended and Restated Bylaws of Sempra Energy effective May 26, 1998 (Registration Statement on Form S-8 Sempra Energy Registration Statement No. 333-56161 dated June 5, 1998, Exhibit 3.2).</w:t>
      </w:r>
    </w:p>
    <w:p>
      <w:pPr>
        <w:spacing w:after="0" w:line="171" w:lineRule="exact"/>
        <w:rPr>
          <w:sz w:val="20"/>
          <w:szCs w:val="20"/>
          <w:color w:val="auto"/>
        </w:rPr>
      </w:pPr>
    </w:p>
    <w:p>
      <w:pPr>
        <w:ind w:left="2240"/>
        <w:spacing w:after="0"/>
        <w:rPr>
          <w:sz w:val="20"/>
          <w:szCs w:val="20"/>
          <w:color w:val="auto"/>
        </w:rPr>
      </w:pPr>
      <w:r>
        <w:rPr>
          <w:rFonts w:ascii="Arial" w:cs="Arial" w:eastAsia="Arial" w:hAnsi="Arial"/>
          <w:sz w:val="18"/>
          <w:szCs w:val="18"/>
          <w:b w:val="1"/>
          <w:bCs w:val="1"/>
          <w:i w:val="1"/>
          <w:iCs w:val="1"/>
          <w:color w:val="auto"/>
        </w:rPr>
        <w:t>San Diego Gas &amp; Electric Company</w:t>
      </w:r>
    </w:p>
    <w:p>
      <w:pPr>
        <w:spacing w:after="0" w:line="60" w:lineRule="exact"/>
        <w:rPr>
          <w:sz w:val="20"/>
          <w:szCs w:val="20"/>
          <w:color w:val="auto"/>
        </w:rPr>
      </w:pPr>
    </w:p>
    <w:p>
      <w:pPr>
        <w:ind w:left="2760"/>
        <w:spacing w:after="0"/>
        <w:rPr>
          <w:sz w:val="20"/>
          <w:szCs w:val="20"/>
          <w:color w:val="auto"/>
        </w:rPr>
      </w:pPr>
      <w:r>
        <w:rPr>
          <w:rFonts w:ascii="Arial" w:cs="Arial" w:eastAsia="Arial" w:hAnsi="Arial"/>
          <w:sz w:val="15"/>
          <w:szCs w:val="15"/>
          <w:color w:val="auto"/>
        </w:rPr>
        <w:t>3.4  Amended Bylaws of San Diego Gas &amp; Electric effective August 4, 2003 (2007 SDG&amp;E Form</w:t>
      </w:r>
    </w:p>
    <w:p>
      <w:pPr>
        <w:spacing w:after="0" w:line="32" w:lineRule="exact"/>
        <w:rPr>
          <w:sz w:val="20"/>
          <w:szCs w:val="20"/>
          <w:color w:val="auto"/>
        </w:rPr>
      </w:pPr>
    </w:p>
    <w:p>
      <w:pPr>
        <w:ind w:left="3080"/>
        <w:spacing w:after="0"/>
        <w:rPr>
          <w:sz w:val="20"/>
          <w:szCs w:val="20"/>
          <w:color w:val="auto"/>
        </w:rPr>
      </w:pPr>
      <w:r>
        <w:rPr>
          <w:rFonts w:ascii="Arial" w:cs="Arial" w:eastAsia="Arial" w:hAnsi="Arial"/>
          <w:sz w:val="16"/>
          <w:szCs w:val="16"/>
          <w:color w:val="auto"/>
        </w:rPr>
        <w:t>10-K, Exhibit 3.01).</w:t>
      </w:r>
    </w:p>
    <w:p>
      <w:pPr>
        <w:spacing w:after="0" w:line="236" w:lineRule="exact"/>
        <w:rPr>
          <w:sz w:val="20"/>
          <w:szCs w:val="20"/>
          <w:color w:val="auto"/>
        </w:rPr>
      </w:pPr>
    </w:p>
    <w:p>
      <w:pPr>
        <w:ind w:left="3080" w:right="1319" w:hanging="303"/>
        <w:spacing w:after="0" w:line="277" w:lineRule="auto"/>
        <w:rPr>
          <w:sz w:val="20"/>
          <w:szCs w:val="20"/>
          <w:color w:val="auto"/>
        </w:rPr>
      </w:pPr>
      <w:r>
        <w:rPr>
          <w:rFonts w:ascii="Arial" w:cs="Arial" w:eastAsia="Arial" w:hAnsi="Arial"/>
          <w:sz w:val="16"/>
          <w:szCs w:val="16"/>
          <w:color w:val="auto"/>
        </w:rPr>
        <w:t>3.5 Amended and Restated Bylaws of San Diego Gas &amp; Electric effective May 14, 2002 (2007 SDG&amp;E Form 10-K, Exhibit 3.02).</w:t>
      </w:r>
    </w:p>
    <w:p>
      <w:pPr>
        <w:spacing w:after="0" w:line="200" w:lineRule="exact"/>
        <w:rPr>
          <w:sz w:val="20"/>
          <w:szCs w:val="20"/>
          <w:color w:val="auto"/>
        </w:rPr>
      </w:pPr>
    </w:p>
    <w:p>
      <w:pPr>
        <w:ind w:left="3080" w:right="1499" w:hanging="303"/>
        <w:spacing w:after="0" w:line="312" w:lineRule="auto"/>
        <w:rPr>
          <w:sz w:val="20"/>
          <w:szCs w:val="20"/>
          <w:color w:val="auto"/>
        </w:rPr>
      </w:pPr>
      <w:r>
        <w:rPr>
          <w:rFonts w:ascii="Arial" w:cs="Arial" w:eastAsia="Arial" w:hAnsi="Arial"/>
          <w:sz w:val="15"/>
          <w:szCs w:val="15"/>
          <w:color w:val="auto"/>
        </w:rPr>
        <w:t>3.6 Amended and Restated Articles of Incorporation of San Diego Gas &amp; Electric Company effective November 10, 2006 (2006 SDG&amp;E Form 10-K, Exhibit 3.02).</w:t>
      </w:r>
    </w:p>
    <w:p>
      <w:pPr>
        <w:spacing w:after="0" w:line="138" w:lineRule="exact"/>
        <w:rPr>
          <w:sz w:val="20"/>
          <w:szCs w:val="20"/>
          <w:color w:val="auto"/>
        </w:rPr>
      </w:pPr>
    </w:p>
    <w:p>
      <w:pPr>
        <w:ind w:left="2240"/>
        <w:spacing w:after="0"/>
        <w:rPr>
          <w:sz w:val="20"/>
          <w:szCs w:val="20"/>
          <w:color w:val="auto"/>
        </w:rPr>
      </w:pPr>
      <w:r>
        <w:rPr>
          <w:rFonts w:ascii="Arial" w:cs="Arial" w:eastAsia="Arial" w:hAnsi="Arial"/>
          <w:sz w:val="18"/>
          <w:szCs w:val="18"/>
          <w:b w:val="1"/>
          <w:bCs w:val="1"/>
          <w:i w:val="1"/>
          <w:iCs w:val="1"/>
          <w:color w:val="auto"/>
        </w:rPr>
        <w:t>Pacific Enterprises / Southern California Gas Company</w:t>
      </w:r>
    </w:p>
    <w:p>
      <w:pPr>
        <w:spacing w:after="0" w:line="60" w:lineRule="exact"/>
        <w:rPr>
          <w:sz w:val="20"/>
          <w:szCs w:val="20"/>
          <w:color w:val="auto"/>
        </w:rPr>
      </w:pPr>
    </w:p>
    <w:p>
      <w:pPr>
        <w:ind w:left="2760"/>
        <w:spacing w:after="0"/>
        <w:rPr>
          <w:sz w:val="20"/>
          <w:szCs w:val="20"/>
          <w:color w:val="auto"/>
        </w:rPr>
      </w:pPr>
      <w:r>
        <w:rPr>
          <w:rFonts w:ascii="Arial" w:cs="Arial" w:eastAsia="Arial" w:hAnsi="Arial"/>
          <w:sz w:val="14"/>
          <w:szCs w:val="14"/>
          <w:color w:val="auto"/>
        </w:rPr>
        <w:t>3.7  Amended and Restated Bylaws of Pacific Enterprises effective May 12, 2002 (2007 PE Form</w:t>
      </w:r>
    </w:p>
    <w:p>
      <w:pPr>
        <w:spacing w:after="0" w:line="44" w:lineRule="exact"/>
        <w:rPr>
          <w:sz w:val="20"/>
          <w:szCs w:val="20"/>
          <w:color w:val="auto"/>
        </w:rPr>
      </w:pPr>
    </w:p>
    <w:p>
      <w:pPr>
        <w:ind w:left="3080"/>
        <w:spacing w:after="0"/>
        <w:rPr>
          <w:sz w:val="20"/>
          <w:szCs w:val="20"/>
          <w:color w:val="auto"/>
        </w:rPr>
      </w:pPr>
      <w:r>
        <w:rPr>
          <w:rFonts w:ascii="Arial" w:cs="Arial" w:eastAsia="Arial" w:hAnsi="Arial"/>
          <w:sz w:val="16"/>
          <w:szCs w:val="16"/>
          <w:color w:val="auto"/>
        </w:rPr>
        <w:t>10-K, Exhibit 3.01).</w:t>
      </w:r>
    </w:p>
    <w:p>
      <w:pPr>
        <w:spacing w:after="0" w:line="236" w:lineRule="exact"/>
        <w:rPr>
          <w:sz w:val="20"/>
          <w:szCs w:val="20"/>
          <w:color w:val="auto"/>
        </w:rPr>
      </w:pPr>
    </w:p>
    <w:p>
      <w:pPr>
        <w:ind w:left="3080" w:right="1539" w:hanging="303"/>
        <w:spacing w:after="0" w:line="277" w:lineRule="auto"/>
        <w:rPr>
          <w:sz w:val="20"/>
          <w:szCs w:val="20"/>
          <w:color w:val="auto"/>
        </w:rPr>
      </w:pPr>
      <w:r>
        <w:rPr>
          <w:rFonts w:ascii="Arial" w:cs="Arial" w:eastAsia="Arial" w:hAnsi="Arial"/>
          <w:sz w:val="16"/>
          <w:szCs w:val="16"/>
          <w:color w:val="auto"/>
        </w:rPr>
        <w:t>3.8 Amended Bylaws of Southern California Gas Company effective August 3, 2003 (2007 SoCalGas Form 10-K, Exhibit 3.02).</w:t>
      </w:r>
    </w:p>
    <w:p>
      <w:pPr>
        <w:spacing w:after="0" w:line="200" w:lineRule="exact"/>
        <w:rPr>
          <w:sz w:val="20"/>
          <w:szCs w:val="20"/>
          <w:color w:val="auto"/>
        </w:rPr>
      </w:pPr>
    </w:p>
    <w:p>
      <w:pPr>
        <w:ind w:left="2760"/>
        <w:spacing w:after="0"/>
        <w:rPr>
          <w:sz w:val="20"/>
          <w:szCs w:val="20"/>
          <w:color w:val="auto"/>
        </w:rPr>
      </w:pPr>
      <w:r>
        <w:rPr>
          <w:rFonts w:ascii="Arial" w:cs="Arial" w:eastAsia="Arial" w:hAnsi="Arial"/>
          <w:sz w:val="14"/>
          <w:szCs w:val="14"/>
          <w:color w:val="auto"/>
        </w:rPr>
        <w:t>3.9  Amended and Restated Bylaws of Southern California Gas Company effective May 14, 2002</w:t>
      </w:r>
    </w:p>
    <w:p>
      <w:pPr>
        <w:spacing w:after="0" w:line="44" w:lineRule="exact"/>
        <w:rPr>
          <w:sz w:val="20"/>
          <w:szCs w:val="20"/>
          <w:color w:val="auto"/>
        </w:rPr>
      </w:pPr>
    </w:p>
    <w:p>
      <w:pPr>
        <w:ind w:left="3080"/>
        <w:spacing w:after="0"/>
        <w:rPr>
          <w:sz w:val="20"/>
          <w:szCs w:val="20"/>
          <w:color w:val="auto"/>
        </w:rPr>
      </w:pPr>
      <w:r>
        <w:rPr>
          <w:rFonts w:ascii="Arial" w:cs="Arial" w:eastAsia="Arial" w:hAnsi="Arial"/>
          <w:sz w:val="16"/>
          <w:szCs w:val="16"/>
          <w:color w:val="auto"/>
        </w:rPr>
        <w:t>(2007 SoCalGas Form 10-K, Exhibit 3.03).</w:t>
      </w:r>
    </w:p>
    <w:p>
      <w:pPr>
        <w:spacing w:after="0" w:line="236" w:lineRule="exact"/>
        <w:rPr>
          <w:sz w:val="20"/>
          <w:szCs w:val="20"/>
          <w:color w:val="auto"/>
        </w:rPr>
      </w:pPr>
    </w:p>
    <w:p>
      <w:pPr>
        <w:ind w:left="2680"/>
        <w:spacing w:after="0"/>
        <w:rPr>
          <w:sz w:val="20"/>
          <w:szCs w:val="20"/>
          <w:color w:val="auto"/>
        </w:rPr>
      </w:pPr>
      <w:r>
        <w:rPr>
          <w:rFonts w:ascii="Arial" w:cs="Arial" w:eastAsia="Arial" w:hAnsi="Arial"/>
          <w:sz w:val="15"/>
          <w:szCs w:val="15"/>
          <w:color w:val="auto"/>
        </w:rPr>
        <w:t>3.10  Restated Articles of Incorporation of Pacific Enterprises (1996 PE Form 10-K, Exhibit 3.01).</w:t>
      </w:r>
    </w:p>
    <w:p>
      <w:pPr>
        <w:spacing w:after="0" w:line="260" w:lineRule="exact"/>
        <w:rPr>
          <w:sz w:val="20"/>
          <w:szCs w:val="20"/>
          <w:color w:val="auto"/>
        </w:rPr>
      </w:pPr>
    </w:p>
    <w:p>
      <w:pPr>
        <w:ind w:left="2700"/>
        <w:spacing w:after="0"/>
        <w:rPr>
          <w:sz w:val="20"/>
          <w:szCs w:val="20"/>
          <w:color w:val="auto"/>
        </w:rPr>
      </w:pPr>
      <w:r>
        <w:rPr>
          <w:rFonts w:ascii="Arial" w:cs="Arial" w:eastAsia="Arial" w:hAnsi="Arial"/>
          <w:sz w:val="14"/>
          <w:szCs w:val="14"/>
          <w:color w:val="auto"/>
        </w:rPr>
        <w:t>3.11  Restated Articles of Incorporation of Southern California Gas Company (1996 SoCalGas Form</w:t>
      </w:r>
    </w:p>
    <w:p>
      <w:pPr>
        <w:spacing w:after="0" w:line="44" w:lineRule="exact"/>
        <w:rPr>
          <w:sz w:val="20"/>
          <w:szCs w:val="20"/>
          <w:color w:val="auto"/>
        </w:rPr>
      </w:pPr>
    </w:p>
    <w:p>
      <w:pPr>
        <w:ind w:left="3080"/>
        <w:spacing w:after="0"/>
        <w:rPr>
          <w:sz w:val="20"/>
          <w:szCs w:val="20"/>
          <w:color w:val="auto"/>
        </w:rPr>
      </w:pPr>
      <w:r>
        <w:rPr>
          <w:rFonts w:ascii="Arial" w:cs="Arial" w:eastAsia="Arial" w:hAnsi="Arial"/>
          <w:sz w:val="16"/>
          <w:szCs w:val="16"/>
          <w:color w:val="auto"/>
        </w:rPr>
        <w:t>10-K, Exhibit 3.01).</w:t>
      </w:r>
    </w:p>
    <w:p>
      <w:pPr>
        <w:spacing w:after="0" w:line="396" w:lineRule="exact"/>
        <w:rPr>
          <w:sz w:val="20"/>
          <w:szCs w:val="20"/>
          <w:color w:val="auto"/>
        </w:rPr>
      </w:pPr>
    </w:p>
    <w:p>
      <w:pPr>
        <w:spacing w:after="0"/>
        <w:rPr>
          <w:sz w:val="20"/>
          <w:szCs w:val="20"/>
          <w:color w:val="auto"/>
        </w:rPr>
      </w:pPr>
      <w:r>
        <w:rPr>
          <w:rFonts w:ascii="Arial" w:cs="Arial" w:eastAsia="Arial" w:hAnsi="Arial"/>
          <w:sz w:val="14"/>
          <w:szCs w:val="14"/>
          <w:color w:val="auto"/>
        </w:rPr>
        <w:t>48</w:t>
      </w:r>
    </w:p>
    <w:p>
      <w:pPr>
        <w:sectPr>
          <w:pgSz w:w="11900" w:h="16838" w:orient="portrait"/>
          <w:cols w:equalWidth="0" w:num="1">
            <w:col w:w="10219"/>
          </w:cols>
          <w:pgMar w:left="240" w:top="965" w:right="1440" w:bottom="1440" w:gutter="0" w:footer="0" w:header="0"/>
        </w:sectPr>
      </w:pPr>
    </w:p>
    <w:bookmarkStart w:id="49" w:name="page50"/>
    <w:bookmarkEnd w:id="49"/>
    <w:p>
      <w:pPr>
        <w:ind w:left="2240" w:right="2059"/>
        <w:spacing w:after="0" w:line="272" w:lineRule="auto"/>
        <w:rPr>
          <w:sz w:val="20"/>
          <w:szCs w:val="20"/>
          <w:color w:val="auto"/>
        </w:rPr>
      </w:pPr>
      <w:r>
        <w:rPr>
          <w:rFonts w:ascii="Arial" w:cs="Arial" w:eastAsia="Arial" w:hAnsi="Arial"/>
          <w:sz w:val="16"/>
          <w:szCs w:val="16"/>
          <w:b w:val="1"/>
          <w:bCs w:val="1"/>
          <w:color w:val="auto"/>
        </w:rPr>
        <w:t>EXHIBIT 4 -- INSTRUMENTS DEFINING THE RIGHTS OF SECURITY HOLDERS, INCLUDING INDENTURES</w:t>
      </w:r>
    </w:p>
    <w:p>
      <w:pPr>
        <w:spacing w:after="0" w:line="60" w:lineRule="exact"/>
        <w:rPr>
          <w:sz w:val="20"/>
          <w:szCs w:val="20"/>
          <w:color w:val="auto"/>
        </w:rPr>
      </w:pPr>
    </w:p>
    <w:p>
      <w:pPr>
        <w:ind w:left="2240"/>
        <w:spacing w:after="0"/>
        <w:rPr>
          <w:sz w:val="20"/>
          <w:szCs w:val="20"/>
          <w:color w:val="auto"/>
        </w:rPr>
      </w:pPr>
      <w:r>
        <w:rPr>
          <w:rFonts w:ascii="Arial" w:cs="Arial" w:eastAsia="Arial" w:hAnsi="Arial"/>
          <w:sz w:val="16"/>
          <w:szCs w:val="16"/>
          <w:color w:val="auto"/>
        </w:rPr>
        <w:t>The companies agree to furnish a copy of each such instrument to the Commission upon request.</w:t>
      </w:r>
    </w:p>
    <w:p>
      <w:pPr>
        <w:spacing w:after="0" w:line="210" w:lineRule="exact"/>
        <w:rPr>
          <w:sz w:val="20"/>
          <w:szCs w:val="20"/>
          <w:color w:val="auto"/>
        </w:rPr>
      </w:pPr>
    </w:p>
    <w:p>
      <w:pPr>
        <w:ind w:left="2240"/>
        <w:spacing w:after="0"/>
        <w:rPr>
          <w:sz w:val="20"/>
          <w:szCs w:val="20"/>
          <w:color w:val="auto"/>
        </w:rPr>
      </w:pPr>
      <w:r>
        <w:rPr>
          <w:rFonts w:ascii="Arial" w:cs="Arial" w:eastAsia="Arial" w:hAnsi="Arial"/>
          <w:sz w:val="18"/>
          <w:szCs w:val="18"/>
          <w:b w:val="1"/>
          <w:bCs w:val="1"/>
          <w:i w:val="1"/>
          <w:iCs w:val="1"/>
          <w:color w:val="auto"/>
        </w:rPr>
        <w:t>Sempra Energy</w:t>
      </w:r>
    </w:p>
    <w:p>
      <w:pPr>
        <w:spacing w:after="0" w:line="60" w:lineRule="exact"/>
        <w:rPr>
          <w:sz w:val="20"/>
          <w:szCs w:val="20"/>
          <w:color w:val="auto"/>
        </w:rPr>
      </w:pPr>
    </w:p>
    <w:p>
      <w:pPr>
        <w:ind w:left="3080" w:right="1279" w:hanging="303"/>
        <w:spacing w:after="0" w:line="312" w:lineRule="auto"/>
        <w:rPr>
          <w:sz w:val="20"/>
          <w:szCs w:val="20"/>
          <w:color w:val="auto"/>
        </w:rPr>
      </w:pPr>
      <w:r>
        <w:rPr>
          <w:rFonts w:ascii="Arial" w:cs="Arial" w:eastAsia="Arial" w:hAnsi="Arial"/>
          <w:sz w:val="15"/>
          <w:szCs w:val="15"/>
          <w:color w:val="auto"/>
        </w:rPr>
        <w:t>4.1 Description of rights of Sempra Energy Common Stock (Amended and Restated Articles of Incorporation of Sempra Energy effective May 23, 2008, Exhibit 3.1 above).</w:t>
      </w:r>
    </w:p>
    <w:p>
      <w:pPr>
        <w:spacing w:after="0" w:line="138" w:lineRule="exact"/>
        <w:rPr>
          <w:sz w:val="20"/>
          <w:szCs w:val="20"/>
          <w:color w:val="auto"/>
        </w:rPr>
      </w:pPr>
    </w:p>
    <w:p>
      <w:pPr>
        <w:ind w:left="2240"/>
        <w:spacing w:after="0"/>
        <w:rPr>
          <w:sz w:val="20"/>
          <w:szCs w:val="20"/>
          <w:color w:val="auto"/>
        </w:rPr>
      </w:pPr>
      <w:r>
        <w:rPr>
          <w:rFonts w:ascii="Arial" w:cs="Arial" w:eastAsia="Arial" w:hAnsi="Arial"/>
          <w:sz w:val="18"/>
          <w:szCs w:val="18"/>
          <w:b w:val="1"/>
          <w:bCs w:val="1"/>
          <w:i w:val="1"/>
          <w:iCs w:val="1"/>
          <w:color w:val="auto"/>
        </w:rPr>
        <w:t>San Diego Gas &amp; Electric Company</w:t>
      </w:r>
    </w:p>
    <w:p>
      <w:pPr>
        <w:spacing w:after="0" w:line="60" w:lineRule="exact"/>
        <w:rPr>
          <w:sz w:val="20"/>
          <w:szCs w:val="20"/>
          <w:color w:val="auto"/>
        </w:rPr>
      </w:pPr>
    </w:p>
    <w:p>
      <w:pPr>
        <w:ind w:left="3080" w:right="1119" w:hanging="303"/>
        <w:spacing w:after="0" w:line="264" w:lineRule="auto"/>
        <w:rPr>
          <w:sz w:val="20"/>
          <w:szCs w:val="20"/>
          <w:color w:val="auto"/>
        </w:rPr>
      </w:pPr>
      <w:r>
        <w:rPr>
          <w:rFonts w:ascii="Arial" w:cs="Arial" w:eastAsia="Arial" w:hAnsi="Arial"/>
          <w:sz w:val="16"/>
          <w:szCs w:val="16"/>
          <w:color w:val="auto"/>
        </w:rPr>
        <w:t>4.2 Description of preferences of Cumulative Preferred Stock, Preference Stock (Cumulative) and Series Preference Stock (SDG&amp;E Amended and Restated Articles of Incorporation as of November 10, 2006, Exhibit 3.6 above).</w:t>
      </w:r>
    </w:p>
    <w:p>
      <w:pPr>
        <w:spacing w:after="0" w:line="171" w:lineRule="exact"/>
        <w:rPr>
          <w:sz w:val="20"/>
          <w:szCs w:val="20"/>
          <w:color w:val="auto"/>
        </w:rPr>
      </w:pPr>
    </w:p>
    <w:p>
      <w:pPr>
        <w:ind w:left="2240"/>
        <w:spacing w:after="0"/>
        <w:rPr>
          <w:sz w:val="20"/>
          <w:szCs w:val="20"/>
          <w:color w:val="auto"/>
        </w:rPr>
      </w:pPr>
      <w:r>
        <w:rPr>
          <w:rFonts w:ascii="Arial" w:cs="Arial" w:eastAsia="Arial" w:hAnsi="Arial"/>
          <w:sz w:val="18"/>
          <w:szCs w:val="18"/>
          <w:b w:val="1"/>
          <w:bCs w:val="1"/>
          <w:i w:val="1"/>
          <w:iCs w:val="1"/>
          <w:color w:val="auto"/>
        </w:rPr>
        <w:t>Pacific Enterprises / Southern California Gas Company</w:t>
      </w:r>
    </w:p>
    <w:p>
      <w:pPr>
        <w:spacing w:after="0" w:line="60" w:lineRule="exact"/>
        <w:rPr>
          <w:sz w:val="20"/>
          <w:szCs w:val="20"/>
          <w:color w:val="auto"/>
        </w:rPr>
      </w:pPr>
    </w:p>
    <w:p>
      <w:pPr>
        <w:jc w:val="right"/>
        <w:ind w:left="2760" w:right="1279"/>
        <w:spacing w:after="0" w:line="351" w:lineRule="auto"/>
        <w:rPr>
          <w:sz w:val="20"/>
          <w:szCs w:val="20"/>
          <w:color w:val="auto"/>
        </w:rPr>
      </w:pPr>
      <w:r>
        <w:rPr>
          <w:rFonts w:ascii="Arial" w:cs="Arial" w:eastAsia="Arial" w:hAnsi="Arial"/>
          <w:sz w:val="14"/>
          <w:szCs w:val="14"/>
          <w:color w:val="auto"/>
        </w:rPr>
        <w:t>4.3  Description of preferences of Preferred Stock, Preference Stock and Series Preferred Stock (Southern California Gas Company Restated Articles of Incorporation, Exhibit 3.11 above).</w:t>
      </w:r>
    </w:p>
    <w:p>
      <w:pPr>
        <w:spacing w:after="0" w:line="115" w:lineRule="exact"/>
        <w:rPr>
          <w:sz w:val="20"/>
          <w:szCs w:val="20"/>
          <w:color w:val="auto"/>
        </w:rPr>
      </w:pPr>
    </w:p>
    <w:p>
      <w:pPr>
        <w:ind w:left="2240"/>
        <w:spacing w:after="0"/>
        <w:rPr>
          <w:sz w:val="20"/>
          <w:szCs w:val="20"/>
          <w:color w:val="auto"/>
        </w:rPr>
      </w:pPr>
      <w:r>
        <w:rPr>
          <w:rFonts w:ascii="Arial" w:cs="Arial" w:eastAsia="Arial" w:hAnsi="Arial"/>
          <w:sz w:val="18"/>
          <w:szCs w:val="18"/>
          <w:b w:val="1"/>
          <w:bCs w:val="1"/>
          <w:i w:val="1"/>
          <w:iCs w:val="1"/>
          <w:color w:val="auto"/>
        </w:rPr>
        <w:t>Sempra Energy / San Diego Gas &amp; Electric Company</w:t>
      </w:r>
    </w:p>
    <w:p>
      <w:pPr>
        <w:spacing w:after="0" w:line="60" w:lineRule="exact"/>
        <w:rPr>
          <w:sz w:val="20"/>
          <w:szCs w:val="20"/>
          <w:color w:val="auto"/>
        </w:rPr>
      </w:pPr>
    </w:p>
    <w:p>
      <w:pPr>
        <w:ind w:left="3080" w:right="1079" w:hanging="303"/>
        <w:spacing w:after="0" w:line="277" w:lineRule="auto"/>
        <w:rPr>
          <w:sz w:val="20"/>
          <w:szCs w:val="20"/>
          <w:color w:val="auto"/>
        </w:rPr>
      </w:pPr>
      <w:r>
        <w:rPr>
          <w:rFonts w:ascii="Arial" w:cs="Arial" w:eastAsia="Arial" w:hAnsi="Arial"/>
          <w:sz w:val="16"/>
          <w:szCs w:val="16"/>
          <w:color w:val="auto"/>
        </w:rPr>
        <w:t>4.4 Mortgage and Deed of Trust dated July 1, 1940 (SDG&amp;E Registration Statement No. 2-49810, Exhibit 2A).</w:t>
      </w:r>
    </w:p>
    <w:p>
      <w:pPr>
        <w:spacing w:after="0" w:line="200" w:lineRule="exact"/>
        <w:rPr>
          <w:sz w:val="20"/>
          <w:szCs w:val="20"/>
          <w:color w:val="auto"/>
        </w:rPr>
      </w:pPr>
    </w:p>
    <w:p>
      <w:pPr>
        <w:ind w:left="2760"/>
        <w:spacing w:after="0"/>
        <w:rPr>
          <w:sz w:val="20"/>
          <w:szCs w:val="20"/>
          <w:color w:val="auto"/>
        </w:rPr>
      </w:pPr>
      <w:r>
        <w:rPr>
          <w:rFonts w:ascii="Arial" w:cs="Arial" w:eastAsia="Arial" w:hAnsi="Arial"/>
          <w:sz w:val="14"/>
          <w:szCs w:val="14"/>
          <w:color w:val="auto"/>
        </w:rPr>
        <w:t>4.5  Ninth Supplemental Indenture dated as of August 1, 1968 (SDG&amp;E Registration Statement No.</w:t>
      </w:r>
    </w:p>
    <w:p>
      <w:pPr>
        <w:spacing w:after="0" w:line="44" w:lineRule="exact"/>
        <w:rPr>
          <w:sz w:val="20"/>
          <w:szCs w:val="20"/>
          <w:color w:val="auto"/>
        </w:rPr>
      </w:pPr>
    </w:p>
    <w:p>
      <w:pPr>
        <w:ind w:left="3080"/>
        <w:spacing w:after="0"/>
        <w:rPr>
          <w:sz w:val="20"/>
          <w:szCs w:val="20"/>
          <w:color w:val="auto"/>
        </w:rPr>
      </w:pPr>
      <w:r>
        <w:rPr>
          <w:rFonts w:ascii="Arial" w:cs="Arial" w:eastAsia="Arial" w:hAnsi="Arial"/>
          <w:sz w:val="16"/>
          <w:szCs w:val="16"/>
          <w:color w:val="auto"/>
        </w:rPr>
        <w:t>2-68420, Exhibit 2D).</w:t>
      </w:r>
    </w:p>
    <w:p>
      <w:pPr>
        <w:spacing w:after="0" w:line="236" w:lineRule="exact"/>
        <w:rPr>
          <w:sz w:val="20"/>
          <w:szCs w:val="20"/>
          <w:color w:val="auto"/>
        </w:rPr>
      </w:pPr>
    </w:p>
    <w:p>
      <w:pPr>
        <w:ind w:left="2760"/>
        <w:spacing w:after="0"/>
        <w:rPr>
          <w:sz w:val="20"/>
          <w:szCs w:val="20"/>
          <w:color w:val="auto"/>
        </w:rPr>
      </w:pPr>
      <w:r>
        <w:rPr>
          <w:rFonts w:ascii="Arial" w:cs="Arial" w:eastAsia="Arial" w:hAnsi="Arial"/>
          <w:sz w:val="14"/>
          <w:szCs w:val="14"/>
          <w:color w:val="auto"/>
        </w:rPr>
        <w:t>4.6  Sixteenth Supplemental Indenture dated August 28, 1975 (SDG&amp;E Registration Statement No.</w:t>
      </w:r>
    </w:p>
    <w:p>
      <w:pPr>
        <w:spacing w:after="0" w:line="44" w:lineRule="exact"/>
        <w:rPr>
          <w:sz w:val="20"/>
          <w:szCs w:val="20"/>
          <w:color w:val="auto"/>
        </w:rPr>
      </w:pPr>
    </w:p>
    <w:p>
      <w:pPr>
        <w:ind w:left="3080"/>
        <w:spacing w:after="0"/>
        <w:rPr>
          <w:sz w:val="20"/>
          <w:szCs w:val="20"/>
          <w:color w:val="auto"/>
        </w:rPr>
      </w:pPr>
      <w:r>
        <w:rPr>
          <w:rFonts w:ascii="Arial" w:cs="Arial" w:eastAsia="Arial" w:hAnsi="Arial"/>
          <w:sz w:val="16"/>
          <w:szCs w:val="16"/>
          <w:color w:val="auto"/>
        </w:rPr>
        <w:t>2-68420, Exhibit 2E).</w:t>
      </w:r>
    </w:p>
    <w:p>
      <w:pPr>
        <w:spacing w:after="0" w:line="236" w:lineRule="exact"/>
        <w:rPr>
          <w:sz w:val="20"/>
          <w:szCs w:val="20"/>
          <w:color w:val="auto"/>
        </w:rPr>
      </w:pPr>
    </w:p>
    <w:p>
      <w:pPr>
        <w:ind w:left="3080" w:right="1159" w:hanging="303"/>
        <w:spacing w:after="0" w:line="277" w:lineRule="auto"/>
        <w:rPr>
          <w:sz w:val="20"/>
          <w:szCs w:val="20"/>
          <w:color w:val="auto"/>
        </w:rPr>
      </w:pPr>
      <w:r>
        <w:rPr>
          <w:rFonts w:ascii="Arial" w:cs="Arial" w:eastAsia="Arial" w:hAnsi="Arial"/>
          <w:sz w:val="16"/>
          <w:szCs w:val="16"/>
          <w:color w:val="auto"/>
        </w:rPr>
        <w:t>4.7 Thirtieth Supplemental Indenture dated September 28, 1983 (SDG&amp;E Registration Statement No. 33-34017, Exhibit 4.3).</w:t>
      </w:r>
    </w:p>
    <w:p>
      <w:pPr>
        <w:spacing w:after="0" w:line="162" w:lineRule="exact"/>
        <w:rPr>
          <w:sz w:val="20"/>
          <w:szCs w:val="20"/>
          <w:color w:val="auto"/>
        </w:rPr>
      </w:pPr>
    </w:p>
    <w:p>
      <w:pPr>
        <w:ind w:left="2240"/>
        <w:spacing w:after="0"/>
        <w:rPr>
          <w:sz w:val="20"/>
          <w:szCs w:val="20"/>
          <w:color w:val="auto"/>
        </w:rPr>
      </w:pPr>
      <w:r>
        <w:rPr>
          <w:rFonts w:ascii="Arial" w:cs="Arial" w:eastAsia="Arial" w:hAnsi="Arial"/>
          <w:sz w:val="18"/>
          <w:szCs w:val="18"/>
          <w:b w:val="1"/>
          <w:bCs w:val="1"/>
          <w:i w:val="1"/>
          <w:iCs w:val="1"/>
          <w:color w:val="auto"/>
        </w:rPr>
        <w:t>Sempra Energy / Pacific Enterprises / Southern California Gas Company</w:t>
      </w:r>
    </w:p>
    <w:p>
      <w:pPr>
        <w:spacing w:after="0" w:line="60" w:lineRule="exact"/>
        <w:rPr>
          <w:sz w:val="20"/>
          <w:szCs w:val="20"/>
          <w:color w:val="auto"/>
        </w:rPr>
      </w:pPr>
    </w:p>
    <w:p>
      <w:pPr>
        <w:jc w:val="both"/>
        <w:ind w:left="3080" w:right="1239" w:hanging="303"/>
        <w:spacing w:after="0" w:line="264" w:lineRule="auto"/>
        <w:rPr>
          <w:sz w:val="20"/>
          <w:szCs w:val="20"/>
          <w:color w:val="auto"/>
        </w:rPr>
      </w:pPr>
      <w:r>
        <w:rPr>
          <w:rFonts w:ascii="Arial" w:cs="Arial" w:eastAsia="Arial" w:hAnsi="Arial"/>
          <w:sz w:val="16"/>
          <w:szCs w:val="16"/>
          <w:color w:val="auto"/>
        </w:rPr>
        <w:t>4.8 First Mortgage Indenture of Southern California Gas Company to American Trust Company dated October 1, 1940 (Registration Statement No. 2-4504 filed by Southern California Gas Company on September 16, 1940, Exhibit B-4).</w:t>
      </w:r>
    </w:p>
    <w:p>
      <w:pPr>
        <w:spacing w:after="0" w:line="210" w:lineRule="exact"/>
        <w:rPr>
          <w:sz w:val="20"/>
          <w:szCs w:val="20"/>
          <w:color w:val="auto"/>
        </w:rPr>
      </w:pPr>
    </w:p>
    <w:p>
      <w:pPr>
        <w:ind w:left="3080" w:right="1319" w:hanging="303"/>
        <w:spacing w:after="0" w:line="264" w:lineRule="auto"/>
        <w:rPr>
          <w:sz w:val="20"/>
          <w:szCs w:val="20"/>
          <w:color w:val="auto"/>
        </w:rPr>
      </w:pPr>
      <w:r>
        <w:rPr>
          <w:rFonts w:ascii="Arial" w:cs="Arial" w:eastAsia="Arial" w:hAnsi="Arial"/>
          <w:sz w:val="16"/>
          <w:szCs w:val="16"/>
          <w:color w:val="auto"/>
        </w:rPr>
        <w:t>4.9 Supplemental Indenture of Southern California Gas Company to American Trust Company dated as of August 1, 1955 (Registration Statement No. 2-11997 filed by Pacific Lighting Corporation on October 26, 1955, Exhibit 4.07).</w:t>
      </w:r>
    </w:p>
    <w:p>
      <w:pPr>
        <w:spacing w:after="0" w:line="210" w:lineRule="exact"/>
        <w:rPr>
          <w:sz w:val="20"/>
          <w:szCs w:val="20"/>
          <w:color w:val="auto"/>
        </w:rPr>
      </w:pPr>
    </w:p>
    <w:p>
      <w:pPr>
        <w:ind w:left="3080" w:right="1059" w:hanging="383"/>
        <w:spacing w:after="0" w:line="264" w:lineRule="auto"/>
        <w:rPr>
          <w:sz w:val="20"/>
          <w:szCs w:val="20"/>
          <w:color w:val="auto"/>
        </w:rPr>
      </w:pPr>
      <w:r>
        <w:rPr>
          <w:rFonts w:ascii="Arial" w:cs="Arial" w:eastAsia="Arial" w:hAnsi="Arial"/>
          <w:sz w:val="16"/>
          <w:szCs w:val="16"/>
          <w:color w:val="auto"/>
        </w:rPr>
        <w:t>4.10 Supplemental Indenture of Southern California Gas Company to American Trust Company dated as of June 1, 1956 (Registration Statement No. 2-12456 filed by Southern California Gas Company on April 23, 1956, Exhibit 2.08).</w:t>
      </w:r>
    </w:p>
    <w:p>
      <w:pPr>
        <w:spacing w:after="0" w:line="210" w:lineRule="exact"/>
        <w:rPr>
          <w:sz w:val="20"/>
          <w:szCs w:val="20"/>
          <w:color w:val="auto"/>
        </w:rPr>
      </w:pPr>
    </w:p>
    <w:p>
      <w:pPr>
        <w:ind w:left="3080" w:right="1319" w:hanging="377"/>
        <w:spacing w:after="0" w:line="351" w:lineRule="auto"/>
        <w:rPr>
          <w:sz w:val="20"/>
          <w:szCs w:val="20"/>
          <w:color w:val="auto"/>
        </w:rPr>
      </w:pPr>
      <w:r>
        <w:rPr>
          <w:rFonts w:ascii="Arial" w:cs="Arial" w:eastAsia="Arial" w:hAnsi="Arial"/>
          <w:sz w:val="14"/>
          <w:szCs w:val="14"/>
          <w:color w:val="auto"/>
        </w:rPr>
        <w:t>4.11 Supplemental Indenture of Southern California Gas Company to American Trust Company dated as of December 1, 1956 (2006 Sempra Energy Form 10-K, Exhibit 4.09).</w:t>
      </w:r>
    </w:p>
    <w:p>
      <w:pPr>
        <w:spacing w:after="0" w:line="154" w:lineRule="exact"/>
        <w:rPr>
          <w:sz w:val="20"/>
          <w:szCs w:val="20"/>
          <w:color w:val="auto"/>
        </w:rPr>
      </w:pPr>
    </w:p>
    <w:p>
      <w:pPr>
        <w:ind w:left="3080" w:right="1099" w:hanging="383"/>
        <w:spacing w:after="0" w:line="277" w:lineRule="auto"/>
        <w:rPr>
          <w:sz w:val="20"/>
          <w:szCs w:val="20"/>
          <w:color w:val="auto"/>
        </w:rPr>
      </w:pPr>
      <w:r>
        <w:rPr>
          <w:rFonts w:ascii="Arial" w:cs="Arial" w:eastAsia="Arial" w:hAnsi="Arial"/>
          <w:sz w:val="16"/>
          <w:szCs w:val="16"/>
          <w:color w:val="auto"/>
        </w:rPr>
        <w:t>4.12 Supplemental Indenture of Southern California Gas Company to Wells Fargo Bank dated as of June 1, 1965 (2006 Sempra Energy Form 10-K, Exhibit 4.10).</w:t>
      </w:r>
    </w:p>
    <w:p>
      <w:pPr>
        <w:spacing w:after="0" w:line="200" w:lineRule="exact"/>
        <w:rPr>
          <w:sz w:val="20"/>
          <w:szCs w:val="20"/>
          <w:color w:val="auto"/>
        </w:rPr>
      </w:pPr>
    </w:p>
    <w:p>
      <w:pPr>
        <w:ind w:left="3080" w:right="1079" w:hanging="383"/>
        <w:spacing w:after="0" w:line="264" w:lineRule="auto"/>
        <w:rPr>
          <w:sz w:val="20"/>
          <w:szCs w:val="20"/>
          <w:color w:val="auto"/>
        </w:rPr>
      </w:pPr>
      <w:r>
        <w:rPr>
          <w:rFonts w:ascii="Arial" w:cs="Arial" w:eastAsia="Arial" w:hAnsi="Arial"/>
          <w:sz w:val="16"/>
          <w:szCs w:val="16"/>
          <w:color w:val="auto"/>
        </w:rPr>
        <w:t>4.13 Supplemental Indenture of Southern California Gas Company to Wells Fargo Bank, National Association dated as of August 1, 1972 (Registration Statement No. 2-59832 filed by Southern California Gas Company on September 6, 1977, Exhibit 2.19).</w:t>
      </w:r>
    </w:p>
    <w:p>
      <w:pPr>
        <w:spacing w:after="0" w:line="370" w:lineRule="exact"/>
        <w:rPr>
          <w:sz w:val="20"/>
          <w:szCs w:val="20"/>
          <w:color w:val="auto"/>
        </w:rPr>
      </w:pPr>
    </w:p>
    <w:p>
      <w:pPr>
        <w:spacing w:after="0"/>
        <w:rPr>
          <w:sz w:val="20"/>
          <w:szCs w:val="20"/>
          <w:color w:val="auto"/>
        </w:rPr>
      </w:pPr>
      <w:r>
        <w:rPr>
          <w:rFonts w:ascii="Arial" w:cs="Arial" w:eastAsia="Arial" w:hAnsi="Arial"/>
          <w:sz w:val="14"/>
          <w:szCs w:val="14"/>
          <w:color w:val="auto"/>
        </w:rPr>
        <w:t>49</w:t>
      </w:r>
    </w:p>
    <w:p>
      <w:pPr>
        <w:sectPr>
          <w:pgSz w:w="11900" w:h="16838" w:orient="portrait"/>
          <w:cols w:equalWidth="0" w:num="1">
            <w:col w:w="10219"/>
          </w:cols>
          <w:pgMar w:left="240" w:top="1008" w:right="1440" w:bottom="1440" w:gutter="0" w:footer="0" w:header="0"/>
        </w:sectPr>
      </w:pPr>
    </w:p>
    <w:bookmarkStart w:id="50" w:name="page51"/>
    <w:bookmarkEnd w:id="50"/>
    <w:p>
      <w:pPr>
        <w:jc w:val="both"/>
        <w:ind w:left="3080" w:right="1199" w:hanging="383"/>
        <w:spacing w:after="0" w:line="264" w:lineRule="auto"/>
        <w:rPr>
          <w:sz w:val="20"/>
          <w:szCs w:val="20"/>
          <w:color w:val="auto"/>
        </w:rPr>
      </w:pPr>
      <w:r>
        <w:rPr>
          <w:rFonts w:ascii="Arial" w:cs="Arial" w:eastAsia="Arial" w:hAnsi="Arial"/>
          <w:sz w:val="16"/>
          <w:szCs w:val="16"/>
          <w:color w:val="auto"/>
        </w:rPr>
        <w:t>4.14 Supplemental Indenture of Southern California Gas Company to Wells Fargo Bank, National Association dated as of May 1, 1976 (Registration Statement No. 2-56034 filed by Southern California Gas Company on April 14, 1976, Exhibit 2.20).</w:t>
      </w:r>
    </w:p>
    <w:p>
      <w:pPr>
        <w:spacing w:after="0" w:line="210" w:lineRule="exact"/>
        <w:rPr>
          <w:sz w:val="20"/>
          <w:szCs w:val="20"/>
          <w:color w:val="auto"/>
        </w:rPr>
      </w:pPr>
    </w:p>
    <w:p>
      <w:pPr>
        <w:ind w:left="3080" w:right="1079" w:hanging="383"/>
        <w:spacing w:after="0" w:line="259" w:lineRule="auto"/>
        <w:rPr>
          <w:sz w:val="20"/>
          <w:szCs w:val="20"/>
          <w:color w:val="auto"/>
        </w:rPr>
      </w:pPr>
      <w:r>
        <w:rPr>
          <w:rFonts w:ascii="Arial" w:cs="Arial" w:eastAsia="Arial" w:hAnsi="Arial"/>
          <w:sz w:val="16"/>
          <w:szCs w:val="16"/>
          <w:color w:val="auto"/>
        </w:rPr>
        <w:t>4.15 Supplemental Indenture of Southern California Gas Company to Manufacturers Hanover Trust Company of California, successor to Wells Fargo Bank, National Association, and Crocker National Bank as Successor Trustee dated as of May 18, 1984 (Southern California Gas Company 1984 Form 10-K, Exhibit 4.29).</w:t>
      </w:r>
    </w:p>
    <w:p>
      <w:pPr>
        <w:spacing w:after="0" w:line="267" w:lineRule="exact"/>
        <w:rPr>
          <w:sz w:val="20"/>
          <w:szCs w:val="20"/>
          <w:color w:val="auto"/>
        </w:rPr>
      </w:pPr>
    </w:p>
    <w:p>
      <w:pPr>
        <w:ind w:left="2240"/>
        <w:spacing w:after="0"/>
        <w:rPr>
          <w:sz w:val="20"/>
          <w:szCs w:val="20"/>
          <w:color w:val="auto"/>
        </w:rPr>
      </w:pPr>
      <w:r>
        <w:rPr>
          <w:rFonts w:ascii="Arial" w:cs="Arial" w:eastAsia="Arial" w:hAnsi="Arial"/>
          <w:sz w:val="16"/>
          <w:szCs w:val="16"/>
          <w:b w:val="1"/>
          <w:bCs w:val="1"/>
          <w:color w:val="auto"/>
        </w:rPr>
        <w:t>EXHIBIT 10 -- MATERIAL CONTRACTS</w:t>
      </w:r>
    </w:p>
    <w:p>
      <w:pPr>
        <w:spacing w:after="0" w:line="291" w:lineRule="exact"/>
        <w:rPr>
          <w:sz w:val="20"/>
          <w:szCs w:val="20"/>
          <w:color w:val="auto"/>
        </w:rPr>
      </w:pPr>
    </w:p>
    <w:p>
      <w:pPr>
        <w:ind w:left="2240" w:right="1939"/>
        <w:spacing w:after="0" w:line="255" w:lineRule="auto"/>
        <w:rPr>
          <w:sz w:val="20"/>
          <w:szCs w:val="20"/>
          <w:color w:val="auto"/>
        </w:rPr>
      </w:pPr>
      <w:r>
        <w:rPr>
          <w:rFonts w:ascii="Arial" w:cs="Arial" w:eastAsia="Arial" w:hAnsi="Arial"/>
          <w:sz w:val="18"/>
          <w:szCs w:val="18"/>
          <w:i w:val="1"/>
          <w:iCs w:val="1"/>
          <w:color w:val="auto"/>
        </w:rPr>
        <w:t>Sempra Energy / San Diego Gas &amp; Electric Company / Pacific Enterprises / Southern California Gas Company</w:t>
      </w:r>
    </w:p>
    <w:p>
      <w:pPr>
        <w:spacing w:after="0" w:line="31" w:lineRule="exact"/>
        <w:rPr>
          <w:sz w:val="20"/>
          <w:szCs w:val="20"/>
          <w:color w:val="auto"/>
        </w:rPr>
      </w:pPr>
    </w:p>
    <w:p>
      <w:pPr>
        <w:ind w:left="3080" w:right="1079" w:hanging="383"/>
        <w:spacing w:after="0" w:line="312" w:lineRule="auto"/>
        <w:rPr>
          <w:sz w:val="20"/>
          <w:szCs w:val="20"/>
          <w:color w:val="auto"/>
        </w:rPr>
      </w:pPr>
      <w:r>
        <w:rPr>
          <w:rFonts w:ascii="Arial" w:cs="Arial" w:eastAsia="Arial" w:hAnsi="Arial"/>
          <w:sz w:val="15"/>
          <w:szCs w:val="15"/>
          <w:color w:val="auto"/>
        </w:rPr>
        <w:t>10.1 Form of Continental Forge and California Class Action Price Reporting Settlement Agreement dated as of January 4, 2006 (Form 8-K filed on January 5, 2006, Exhibit 99.1).</w:t>
      </w:r>
    </w:p>
    <w:p>
      <w:pPr>
        <w:spacing w:after="0" w:line="176" w:lineRule="exact"/>
        <w:rPr>
          <w:sz w:val="20"/>
          <w:szCs w:val="20"/>
          <w:color w:val="auto"/>
        </w:rPr>
      </w:pPr>
    </w:p>
    <w:p>
      <w:pPr>
        <w:ind w:left="3080" w:right="1159" w:hanging="383"/>
        <w:spacing w:after="0" w:line="277" w:lineRule="auto"/>
        <w:rPr>
          <w:sz w:val="20"/>
          <w:szCs w:val="20"/>
          <w:color w:val="auto"/>
        </w:rPr>
      </w:pPr>
      <w:r>
        <w:rPr>
          <w:rFonts w:ascii="Arial" w:cs="Arial" w:eastAsia="Arial" w:hAnsi="Arial"/>
          <w:sz w:val="16"/>
          <w:szCs w:val="16"/>
          <w:color w:val="auto"/>
        </w:rPr>
        <w:t>10.2 Form of Nevada Antitrust Settlement Agreement dated as of January 4, 2006 (Form 8-K filed on January 5, 2006, Exhibit 99.2).</w:t>
      </w:r>
    </w:p>
    <w:p>
      <w:pPr>
        <w:spacing w:after="0" w:line="162" w:lineRule="exact"/>
        <w:rPr>
          <w:sz w:val="20"/>
          <w:szCs w:val="20"/>
          <w:color w:val="auto"/>
        </w:rPr>
      </w:pPr>
    </w:p>
    <w:p>
      <w:pPr>
        <w:ind w:left="2240"/>
        <w:spacing w:after="0"/>
        <w:rPr>
          <w:sz w:val="20"/>
          <w:szCs w:val="20"/>
          <w:color w:val="auto"/>
        </w:rPr>
      </w:pPr>
      <w:r>
        <w:rPr>
          <w:rFonts w:ascii="Arial" w:cs="Arial" w:eastAsia="Arial" w:hAnsi="Arial"/>
          <w:sz w:val="18"/>
          <w:szCs w:val="18"/>
          <w:i w:val="1"/>
          <w:iCs w:val="1"/>
          <w:color w:val="auto"/>
        </w:rPr>
        <w:t>Sempra Energy</w:t>
      </w:r>
    </w:p>
    <w:p>
      <w:pPr>
        <w:spacing w:after="0" w:line="60" w:lineRule="exact"/>
        <w:rPr>
          <w:sz w:val="20"/>
          <w:szCs w:val="20"/>
          <w:color w:val="auto"/>
        </w:rPr>
      </w:pPr>
    </w:p>
    <w:p>
      <w:pPr>
        <w:ind w:left="3080" w:right="1039" w:hanging="383"/>
        <w:spacing w:after="0" w:line="259" w:lineRule="auto"/>
        <w:rPr>
          <w:sz w:val="20"/>
          <w:szCs w:val="20"/>
          <w:color w:val="auto"/>
        </w:rPr>
      </w:pPr>
      <w:r>
        <w:rPr>
          <w:rFonts w:ascii="Arial" w:cs="Arial" w:eastAsia="Arial" w:hAnsi="Arial"/>
          <w:sz w:val="16"/>
          <w:szCs w:val="16"/>
          <w:color w:val="auto"/>
        </w:rPr>
        <w:t>10.3 Limited Liability Partnership Agreement, dated as of April 1, 2008, between Sempra Energy, Sempra Commodities, Inc., Sempra Energy Holdings, VII B.V., RBS Sempra Commodities LLP and The Royal Bank of Scotland plc (Sempra Energy March 31, 2008 Form 10-Q, Exhibit 10.1).</w:t>
      </w:r>
    </w:p>
    <w:p>
      <w:pPr>
        <w:spacing w:after="0" w:line="215" w:lineRule="exact"/>
        <w:rPr>
          <w:sz w:val="20"/>
          <w:szCs w:val="20"/>
          <w:color w:val="auto"/>
        </w:rPr>
      </w:pPr>
    </w:p>
    <w:p>
      <w:pPr>
        <w:ind w:left="3080" w:right="1019" w:hanging="383"/>
        <w:spacing w:after="0" w:line="264" w:lineRule="auto"/>
        <w:rPr>
          <w:sz w:val="20"/>
          <w:szCs w:val="20"/>
          <w:color w:val="auto"/>
        </w:rPr>
      </w:pPr>
      <w:r>
        <w:rPr>
          <w:rFonts w:ascii="Arial" w:cs="Arial" w:eastAsia="Arial" w:hAnsi="Arial"/>
          <w:sz w:val="16"/>
          <w:szCs w:val="16"/>
          <w:color w:val="auto"/>
        </w:rPr>
        <w:t>10.4 Indemnity Agreement, dated as of April 1, 2008, between Sempra Energy, Pacific Enterprises, Enova Corporation and The Royal Bank of Scotland plc (Sempra Energy March 31, 2008 Form 10-Q, Exhibit 10.2).</w:t>
      </w:r>
    </w:p>
    <w:p>
      <w:pPr>
        <w:spacing w:after="0" w:line="210" w:lineRule="exact"/>
        <w:rPr>
          <w:sz w:val="20"/>
          <w:szCs w:val="20"/>
          <w:color w:val="auto"/>
        </w:rPr>
      </w:pPr>
    </w:p>
    <w:p>
      <w:pPr>
        <w:ind w:left="3080" w:right="1279" w:hanging="383"/>
        <w:spacing w:after="0" w:line="264" w:lineRule="auto"/>
        <w:rPr>
          <w:sz w:val="20"/>
          <w:szCs w:val="20"/>
          <w:color w:val="auto"/>
        </w:rPr>
      </w:pPr>
      <w:r>
        <w:rPr>
          <w:rFonts w:ascii="Arial" w:cs="Arial" w:eastAsia="Arial" w:hAnsi="Arial"/>
          <w:sz w:val="16"/>
          <w:szCs w:val="16"/>
          <w:color w:val="auto"/>
        </w:rPr>
        <w:t>10.5 Master Confirmation for Share Purchase Agreement, dated as of April 1, 2008, between Sempra Energy and Merrill Lynch International (June 30, 2008 Sempra Energy Form 10-Q, Exhibit 10.4).</w:t>
      </w:r>
    </w:p>
    <w:p>
      <w:pPr>
        <w:spacing w:after="0" w:line="210" w:lineRule="exact"/>
        <w:rPr>
          <w:sz w:val="20"/>
          <w:szCs w:val="20"/>
          <w:color w:val="auto"/>
        </w:rPr>
      </w:pPr>
    </w:p>
    <w:p>
      <w:pPr>
        <w:ind w:left="3080" w:right="1079" w:hanging="383"/>
        <w:spacing w:after="0" w:line="259" w:lineRule="auto"/>
        <w:rPr>
          <w:sz w:val="20"/>
          <w:szCs w:val="20"/>
          <w:color w:val="auto"/>
        </w:rPr>
      </w:pPr>
      <w:r>
        <w:rPr>
          <w:rFonts w:ascii="Arial" w:cs="Arial" w:eastAsia="Arial" w:hAnsi="Arial"/>
          <w:sz w:val="16"/>
          <w:szCs w:val="16"/>
          <w:color w:val="auto"/>
        </w:rPr>
        <w:t>10.6 First amendment to the Master Formation and Equity Interest Purchase Agreement, dated as of April 1, 2008, by and among Sempra Energy, Sempra Global, Sempra Energy Trading International, B.V. and The Royal Bank of Scotland plc (Sempra Energy March 31, 2008 Form 10-Q, Exhibit 10.3).</w:t>
      </w:r>
    </w:p>
    <w:p>
      <w:pPr>
        <w:spacing w:after="0" w:line="215" w:lineRule="exact"/>
        <w:rPr>
          <w:sz w:val="20"/>
          <w:szCs w:val="20"/>
          <w:color w:val="auto"/>
        </w:rPr>
      </w:pPr>
    </w:p>
    <w:p>
      <w:pPr>
        <w:jc w:val="both"/>
        <w:ind w:left="3080" w:right="1259" w:hanging="383"/>
        <w:spacing w:after="0" w:line="319" w:lineRule="auto"/>
        <w:rPr>
          <w:sz w:val="20"/>
          <w:szCs w:val="20"/>
          <w:color w:val="auto"/>
        </w:rPr>
      </w:pPr>
      <w:r>
        <w:rPr>
          <w:rFonts w:ascii="Arial" w:cs="Arial" w:eastAsia="Arial" w:hAnsi="Arial"/>
          <w:sz w:val="14"/>
          <w:szCs w:val="14"/>
          <w:color w:val="auto"/>
        </w:rPr>
        <w:t>10.7 Master Formation and Equity Interest Purchase Agreement, dated as of July 9, 2007, by and among Sempra Energy, Sempra Global, Sempra Energy Trading International, B.V. and The Royal Bank of Scotland plc (Sempra Energy Form 8-K filed on July 9, 2007, Exhibit 10.2).</w:t>
      </w:r>
    </w:p>
    <w:p>
      <w:pPr>
        <w:spacing w:after="0" w:line="175" w:lineRule="exact"/>
        <w:rPr>
          <w:sz w:val="20"/>
          <w:szCs w:val="20"/>
          <w:color w:val="auto"/>
        </w:rPr>
      </w:pPr>
    </w:p>
    <w:p>
      <w:pPr>
        <w:ind w:left="3080" w:right="1019" w:hanging="383"/>
        <w:spacing w:after="0" w:line="351" w:lineRule="auto"/>
        <w:rPr>
          <w:sz w:val="20"/>
          <w:szCs w:val="20"/>
          <w:color w:val="auto"/>
        </w:rPr>
      </w:pPr>
      <w:r>
        <w:rPr>
          <w:rFonts w:ascii="Arial" w:cs="Arial" w:eastAsia="Arial" w:hAnsi="Arial"/>
          <w:sz w:val="14"/>
          <w:szCs w:val="14"/>
          <w:color w:val="auto"/>
        </w:rPr>
        <w:t>10.8 Energy Purchase Agreement between Sempra Energy Resources and the California Department of Water Resources, executed May 4, 2001 (2001 Sempra Energy Form 10-K, Exhibit 10.01).</w:t>
      </w:r>
    </w:p>
    <w:p>
      <w:pPr>
        <w:spacing w:after="0" w:line="115" w:lineRule="exact"/>
        <w:rPr>
          <w:sz w:val="20"/>
          <w:szCs w:val="20"/>
          <w:color w:val="auto"/>
        </w:rPr>
      </w:pPr>
    </w:p>
    <w:p>
      <w:pPr>
        <w:ind w:left="2240"/>
        <w:spacing w:after="0"/>
        <w:rPr>
          <w:sz w:val="20"/>
          <w:szCs w:val="20"/>
          <w:color w:val="auto"/>
        </w:rPr>
      </w:pPr>
      <w:r>
        <w:rPr>
          <w:rFonts w:ascii="Arial" w:cs="Arial" w:eastAsia="Arial" w:hAnsi="Arial"/>
          <w:sz w:val="18"/>
          <w:szCs w:val="18"/>
          <w:i w:val="1"/>
          <w:iCs w:val="1"/>
          <w:color w:val="auto"/>
        </w:rPr>
        <w:t>Sempra Energy / San Diego Gas &amp; Electric Company</w:t>
      </w:r>
    </w:p>
    <w:p>
      <w:pPr>
        <w:spacing w:after="0" w:line="60" w:lineRule="exact"/>
        <w:rPr>
          <w:sz w:val="20"/>
          <w:szCs w:val="20"/>
          <w:color w:val="auto"/>
        </w:rPr>
      </w:pPr>
    </w:p>
    <w:p>
      <w:pPr>
        <w:ind w:left="3080" w:right="1319" w:hanging="383"/>
        <w:spacing w:after="0" w:line="351" w:lineRule="auto"/>
        <w:rPr>
          <w:sz w:val="20"/>
          <w:szCs w:val="20"/>
          <w:color w:val="auto"/>
        </w:rPr>
      </w:pPr>
      <w:r>
        <w:rPr>
          <w:rFonts w:ascii="Arial" w:cs="Arial" w:eastAsia="Arial" w:hAnsi="Arial"/>
          <w:sz w:val="14"/>
          <w:szCs w:val="14"/>
          <w:color w:val="auto"/>
        </w:rPr>
        <w:t>10.9 Operating Agreement between San Diego Gas &amp; Electric and the California Department of Water Resources dated April 17, 2003 (2003 Sempra Energy Form 10-K, Exhibit 10.06).</w:t>
      </w:r>
    </w:p>
    <w:p>
      <w:pPr>
        <w:spacing w:after="0" w:line="154" w:lineRule="exact"/>
        <w:rPr>
          <w:sz w:val="20"/>
          <w:szCs w:val="20"/>
          <w:color w:val="auto"/>
        </w:rPr>
      </w:pPr>
    </w:p>
    <w:p>
      <w:pPr>
        <w:ind w:left="3080" w:right="1139" w:hanging="463"/>
        <w:spacing w:after="0" w:line="351" w:lineRule="auto"/>
        <w:rPr>
          <w:sz w:val="20"/>
          <w:szCs w:val="20"/>
          <w:color w:val="auto"/>
        </w:rPr>
      </w:pPr>
      <w:r>
        <w:rPr>
          <w:rFonts w:ascii="Arial" w:cs="Arial" w:eastAsia="Arial" w:hAnsi="Arial"/>
          <w:sz w:val="14"/>
          <w:szCs w:val="14"/>
          <w:color w:val="auto"/>
        </w:rPr>
        <w:t>10.10 Servicing Agreement between San Diego Gas &amp; Electric and the California Department of Water Resources dated December 19, 2002 (2003 Sempra Energy Form 10-K, Exhibit 10.07).</w:t>
      </w:r>
    </w:p>
    <w:p>
      <w:pPr>
        <w:spacing w:after="0" w:line="314" w:lineRule="exact"/>
        <w:rPr>
          <w:sz w:val="20"/>
          <w:szCs w:val="20"/>
          <w:color w:val="auto"/>
        </w:rPr>
      </w:pPr>
    </w:p>
    <w:p>
      <w:pPr>
        <w:spacing w:after="0"/>
        <w:rPr>
          <w:sz w:val="20"/>
          <w:szCs w:val="20"/>
          <w:color w:val="auto"/>
        </w:rPr>
      </w:pPr>
      <w:r>
        <w:rPr>
          <w:rFonts w:ascii="Arial" w:cs="Arial" w:eastAsia="Arial" w:hAnsi="Arial"/>
          <w:sz w:val="14"/>
          <w:szCs w:val="14"/>
          <w:color w:val="auto"/>
        </w:rPr>
        <w:t>50</w:t>
      </w:r>
    </w:p>
    <w:p>
      <w:pPr>
        <w:sectPr>
          <w:pgSz w:w="11900" w:h="16838" w:orient="portrait"/>
          <w:cols w:equalWidth="0" w:num="1">
            <w:col w:w="10219"/>
          </w:cols>
          <w:pgMar w:left="240" w:top="956" w:right="1440" w:bottom="1440" w:gutter="0" w:footer="0" w:header="0"/>
        </w:sectPr>
      </w:pPr>
    </w:p>
    <w:bookmarkStart w:id="51" w:name="page52"/>
    <w:bookmarkEnd w:id="51"/>
    <w:p>
      <w:pPr>
        <w:ind w:left="2240"/>
        <w:spacing w:after="0"/>
        <w:rPr>
          <w:sz w:val="20"/>
          <w:szCs w:val="20"/>
          <w:color w:val="auto"/>
        </w:rPr>
      </w:pPr>
      <w:r>
        <w:rPr>
          <w:rFonts w:ascii="Arial" w:cs="Arial" w:eastAsia="Arial" w:hAnsi="Arial"/>
          <w:sz w:val="18"/>
          <w:szCs w:val="18"/>
          <w:b w:val="1"/>
          <w:bCs w:val="1"/>
          <w:i w:val="1"/>
          <w:iCs w:val="1"/>
          <w:color w:val="auto"/>
        </w:rPr>
        <w:t>Compensation</w:t>
      </w:r>
    </w:p>
    <w:p>
      <w:pPr>
        <w:spacing w:after="0" w:line="237" w:lineRule="exact"/>
        <w:rPr>
          <w:sz w:val="20"/>
          <w:szCs w:val="20"/>
          <w:color w:val="auto"/>
        </w:rPr>
      </w:pPr>
    </w:p>
    <w:p>
      <w:pPr>
        <w:ind w:left="2240" w:right="1939"/>
        <w:spacing w:after="0" w:line="255" w:lineRule="auto"/>
        <w:rPr>
          <w:sz w:val="20"/>
          <w:szCs w:val="20"/>
          <w:color w:val="auto"/>
        </w:rPr>
      </w:pPr>
      <w:r>
        <w:rPr>
          <w:rFonts w:ascii="Arial" w:cs="Arial" w:eastAsia="Arial" w:hAnsi="Arial"/>
          <w:sz w:val="18"/>
          <w:szCs w:val="18"/>
          <w:i w:val="1"/>
          <w:iCs w:val="1"/>
          <w:color w:val="auto"/>
        </w:rPr>
        <w:t>Sempra Energy / San Diego Gas &amp; Electric Company / Pacific Enterprises / Southern California Gas Company</w:t>
      </w:r>
    </w:p>
    <w:p>
      <w:pPr>
        <w:spacing w:after="0" w:line="31" w:lineRule="exact"/>
        <w:rPr>
          <w:sz w:val="20"/>
          <w:szCs w:val="20"/>
          <w:color w:val="auto"/>
        </w:rPr>
      </w:pPr>
    </w:p>
    <w:p>
      <w:pPr>
        <w:ind w:left="3080" w:right="1419" w:hanging="457"/>
        <w:spacing w:after="0" w:line="277" w:lineRule="auto"/>
        <w:rPr>
          <w:sz w:val="20"/>
          <w:szCs w:val="20"/>
          <w:color w:val="auto"/>
        </w:rPr>
      </w:pPr>
      <w:r>
        <w:rPr>
          <w:rFonts w:ascii="Arial" w:cs="Arial" w:eastAsia="Arial" w:hAnsi="Arial"/>
          <w:sz w:val="16"/>
          <w:szCs w:val="16"/>
          <w:color w:val="auto"/>
        </w:rPr>
        <w:t>10.11 Sempra Energy 2008 Long Term Incentive Plan (Appendix A to the 2008 Sempra Energy Definitive Proxy Statement, filed on April 15, 2008).</w:t>
      </w:r>
    </w:p>
    <w:p>
      <w:pPr>
        <w:spacing w:after="0" w:line="200" w:lineRule="exact"/>
        <w:rPr>
          <w:sz w:val="20"/>
          <w:szCs w:val="20"/>
          <w:color w:val="auto"/>
        </w:rPr>
      </w:pPr>
    </w:p>
    <w:p>
      <w:pPr>
        <w:ind w:left="3080" w:right="1359" w:hanging="463"/>
        <w:spacing w:after="0" w:line="277" w:lineRule="auto"/>
        <w:rPr>
          <w:sz w:val="20"/>
          <w:szCs w:val="20"/>
          <w:color w:val="auto"/>
        </w:rPr>
      </w:pPr>
      <w:r>
        <w:rPr>
          <w:rFonts w:ascii="Arial" w:cs="Arial" w:eastAsia="Arial" w:hAnsi="Arial"/>
          <w:sz w:val="16"/>
          <w:szCs w:val="16"/>
          <w:color w:val="auto"/>
        </w:rPr>
        <w:t>10.12 Form of Indemnification Agreement with Directors and Executive Officers (June 30, 2008 Sempra Energy Form 10-Q, Exhibit 10.2).</w:t>
      </w:r>
    </w:p>
    <w:p>
      <w:pPr>
        <w:spacing w:after="0" w:line="200" w:lineRule="exact"/>
        <w:rPr>
          <w:sz w:val="20"/>
          <w:szCs w:val="20"/>
          <w:color w:val="auto"/>
        </w:rPr>
      </w:pPr>
    </w:p>
    <w:p>
      <w:pPr>
        <w:ind w:left="3080" w:right="1139" w:hanging="463"/>
        <w:spacing w:after="0" w:line="312" w:lineRule="auto"/>
        <w:rPr>
          <w:sz w:val="20"/>
          <w:szCs w:val="20"/>
          <w:color w:val="auto"/>
        </w:rPr>
      </w:pPr>
      <w:r>
        <w:rPr>
          <w:rFonts w:ascii="Arial" w:cs="Arial" w:eastAsia="Arial" w:hAnsi="Arial"/>
          <w:sz w:val="15"/>
          <w:szCs w:val="15"/>
          <w:color w:val="auto"/>
        </w:rPr>
        <w:t>10.13 Form of Sempra Energy 2008 Long Term Incentive Plan, 2008 Performance-Based Restricted Stock Unit Award (June 30, 2008 Sempra Energy Form 10-Q, Exhibit 10.3).</w:t>
      </w:r>
    </w:p>
    <w:p>
      <w:pPr>
        <w:spacing w:after="0" w:line="176" w:lineRule="exact"/>
        <w:rPr>
          <w:sz w:val="20"/>
          <w:szCs w:val="20"/>
          <w:color w:val="auto"/>
        </w:rPr>
      </w:pPr>
    </w:p>
    <w:p>
      <w:pPr>
        <w:ind w:left="3080" w:right="1359" w:hanging="463"/>
        <w:spacing w:after="0" w:line="277" w:lineRule="auto"/>
        <w:rPr>
          <w:sz w:val="20"/>
          <w:szCs w:val="20"/>
          <w:color w:val="auto"/>
        </w:rPr>
      </w:pPr>
      <w:r>
        <w:rPr>
          <w:rFonts w:ascii="Arial" w:cs="Arial" w:eastAsia="Arial" w:hAnsi="Arial"/>
          <w:sz w:val="16"/>
          <w:szCs w:val="16"/>
          <w:color w:val="auto"/>
        </w:rPr>
        <w:t>10.14 Form of Sempra Energy 2008 Long Term Incentive Plan, 2008 Nonqualified Stock Option Agreement (June 30, 2008 Sempra Energy Form 10-Q, Exhibit 10.4).</w:t>
      </w:r>
    </w:p>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10.15  Sempra Energy Amended and Restated Executive Life Insurance Plan.</w:t>
      </w:r>
    </w:p>
    <w:p>
      <w:pPr>
        <w:spacing w:after="0" w:line="248" w:lineRule="exact"/>
        <w:rPr>
          <w:sz w:val="20"/>
          <w:szCs w:val="20"/>
          <w:color w:val="auto"/>
        </w:rPr>
      </w:pPr>
    </w:p>
    <w:p>
      <w:pPr>
        <w:ind w:left="2600"/>
        <w:spacing w:after="0"/>
        <w:rPr>
          <w:sz w:val="20"/>
          <w:szCs w:val="20"/>
          <w:color w:val="auto"/>
        </w:rPr>
      </w:pPr>
      <w:r>
        <w:rPr>
          <w:rFonts w:ascii="Arial" w:cs="Arial" w:eastAsia="Arial" w:hAnsi="Arial"/>
          <w:sz w:val="16"/>
          <w:szCs w:val="16"/>
          <w:color w:val="auto"/>
        </w:rPr>
        <w:t>10.16  Amendment and Restatement of the Sempra Energy Cash Balance Restoration Plan.</w:t>
      </w:r>
    </w:p>
    <w:p>
      <w:pPr>
        <w:spacing w:after="0" w:line="248" w:lineRule="exact"/>
        <w:rPr>
          <w:sz w:val="20"/>
          <w:szCs w:val="20"/>
          <w:color w:val="auto"/>
        </w:rPr>
      </w:pPr>
    </w:p>
    <w:p>
      <w:pPr>
        <w:ind w:left="2600"/>
        <w:spacing w:after="0"/>
        <w:rPr>
          <w:sz w:val="20"/>
          <w:szCs w:val="20"/>
          <w:color w:val="auto"/>
        </w:rPr>
      </w:pPr>
      <w:r>
        <w:rPr>
          <w:rFonts w:ascii="Arial" w:cs="Arial" w:eastAsia="Arial" w:hAnsi="Arial"/>
          <w:sz w:val="16"/>
          <w:szCs w:val="16"/>
          <w:color w:val="auto"/>
        </w:rPr>
        <w:t>10.17  Form of Amended and Restated Sempra Energy Severance Pay Agreement.</w:t>
      </w:r>
    </w:p>
    <w:p>
      <w:pPr>
        <w:spacing w:after="0" w:line="248" w:lineRule="exact"/>
        <w:rPr>
          <w:sz w:val="20"/>
          <w:szCs w:val="20"/>
          <w:color w:val="auto"/>
        </w:rPr>
      </w:pPr>
    </w:p>
    <w:p>
      <w:pPr>
        <w:ind w:left="2600"/>
        <w:spacing w:after="0"/>
        <w:rPr>
          <w:sz w:val="20"/>
          <w:szCs w:val="20"/>
          <w:color w:val="auto"/>
        </w:rPr>
      </w:pPr>
      <w:r>
        <w:rPr>
          <w:rFonts w:ascii="Arial" w:cs="Arial" w:eastAsia="Arial" w:hAnsi="Arial"/>
          <w:sz w:val="15"/>
          <w:szCs w:val="15"/>
          <w:color w:val="auto"/>
        </w:rPr>
        <w:t>10.18  Amendment and Restatement of the Sempra Energy 2005 Deferred Compensation Plan.</w:t>
      </w:r>
    </w:p>
    <w:p>
      <w:pPr>
        <w:spacing w:after="0" w:line="260" w:lineRule="exact"/>
        <w:rPr>
          <w:sz w:val="20"/>
          <w:szCs w:val="20"/>
          <w:color w:val="auto"/>
        </w:rPr>
      </w:pPr>
    </w:p>
    <w:p>
      <w:pPr>
        <w:ind w:left="2600"/>
        <w:spacing w:after="0"/>
        <w:rPr>
          <w:sz w:val="20"/>
          <w:szCs w:val="20"/>
          <w:color w:val="auto"/>
        </w:rPr>
      </w:pPr>
      <w:r>
        <w:rPr>
          <w:rFonts w:ascii="Arial" w:cs="Arial" w:eastAsia="Arial" w:hAnsi="Arial"/>
          <w:sz w:val="14"/>
          <w:szCs w:val="14"/>
          <w:color w:val="auto"/>
        </w:rPr>
        <w:t>10.19  Amendment and Restatement of the Sempra Energy Supplemental Executive Retirement Plan.</w:t>
      </w:r>
    </w:p>
    <w:p>
      <w:pPr>
        <w:spacing w:after="0" w:line="271" w:lineRule="exact"/>
        <w:rPr>
          <w:sz w:val="20"/>
          <w:szCs w:val="20"/>
          <w:color w:val="auto"/>
        </w:rPr>
      </w:pPr>
    </w:p>
    <w:p>
      <w:pPr>
        <w:ind w:left="2600"/>
        <w:spacing w:after="0"/>
        <w:rPr>
          <w:sz w:val="20"/>
          <w:szCs w:val="20"/>
          <w:color w:val="auto"/>
        </w:rPr>
      </w:pPr>
      <w:r>
        <w:rPr>
          <w:rFonts w:ascii="Arial" w:cs="Arial" w:eastAsia="Arial" w:hAnsi="Arial"/>
          <w:sz w:val="14"/>
          <w:szCs w:val="14"/>
          <w:color w:val="auto"/>
        </w:rPr>
        <w:t>10.20  Sempra Energy Executive Personal Financial Planning Program Policy Document (September</w:t>
      </w:r>
    </w:p>
    <w:p>
      <w:pPr>
        <w:spacing w:after="0" w:line="44" w:lineRule="exact"/>
        <w:rPr>
          <w:sz w:val="20"/>
          <w:szCs w:val="20"/>
          <w:color w:val="auto"/>
        </w:rPr>
      </w:pPr>
    </w:p>
    <w:p>
      <w:pPr>
        <w:ind w:left="3080"/>
        <w:spacing w:after="0"/>
        <w:rPr>
          <w:sz w:val="20"/>
          <w:szCs w:val="20"/>
          <w:color w:val="auto"/>
        </w:rPr>
      </w:pPr>
      <w:r>
        <w:rPr>
          <w:rFonts w:ascii="Arial" w:cs="Arial" w:eastAsia="Arial" w:hAnsi="Arial"/>
          <w:sz w:val="16"/>
          <w:szCs w:val="16"/>
          <w:color w:val="auto"/>
        </w:rPr>
        <w:t>30, 2004 Sempra Energy Form 10-Q, Exhibit 10.11).</w:t>
      </w:r>
    </w:p>
    <w:p>
      <w:pPr>
        <w:spacing w:after="0" w:line="236" w:lineRule="exact"/>
        <w:rPr>
          <w:sz w:val="20"/>
          <w:szCs w:val="20"/>
          <w:color w:val="auto"/>
        </w:rPr>
      </w:pPr>
    </w:p>
    <w:p>
      <w:pPr>
        <w:ind w:left="2600"/>
        <w:spacing w:after="0"/>
        <w:rPr>
          <w:sz w:val="20"/>
          <w:szCs w:val="20"/>
          <w:color w:val="auto"/>
        </w:rPr>
      </w:pPr>
      <w:r>
        <w:rPr>
          <w:rFonts w:ascii="Arial" w:cs="Arial" w:eastAsia="Arial" w:hAnsi="Arial"/>
          <w:sz w:val="15"/>
          <w:szCs w:val="15"/>
          <w:color w:val="auto"/>
        </w:rPr>
        <w:t>10.21  2003 Sempra Energy Executive Incentive Plan B (2003 Sempra Energy Form 10-K, Exhibit</w:t>
      </w:r>
    </w:p>
    <w:p>
      <w:pPr>
        <w:spacing w:after="0" w:line="32" w:lineRule="exact"/>
        <w:rPr>
          <w:sz w:val="20"/>
          <w:szCs w:val="20"/>
          <w:color w:val="auto"/>
        </w:rPr>
      </w:pPr>
    </w:p>
    <w:p>
      <w:pPr>
        <w:ind w:left="3080"/>
        <w:spacing w:after="0"/>
        <w:rPr>
          <w:sz w:val="20"/>
          <w:szCs w:val="20"/>
          <w:color w:val="auto"/>
        </w:rPr>
      </w:pPr>
      <w:r>
        <w:rPr>
          <w:rFonts w:ascii="Arial" w:cs="Arial" w:eastAsia="Arial" w:hAnsi="Arial"/>
          <w:sz w:val="16"/>
          <w:szCs w:val="16"/>
          <w:color w:val="auto"/>
        </w:rPr>
        <w:t>10.10).</w:t>
      </w:r>
    </w:p>
    <w:p>
      <w:pPr>
        <w:spacing w:after="0" w:line="236" w:lineRule="exact"/>
        <w:rPr>
          <w:sz w:val="20"/>
          <w:szCs w:val="20"/>
          <w:color w:val="auto"/>
        </w:rPr>
      </w:pPr>
    </w:p>
    <w:p>
      <w:pPr>
        <w:ind w:left="2600"/>
        <w:spacing w:after="0"/>
        <w:rPr>
          <w:sz w:val="20"/>
          <w:szCs w:val="20"/>
          <w:color w:val="auto"/>
        </w:rPr>
      </w:pPr>
      <w:r>
        <w:rPr>
          <w:rFonts w:ascii="Arial" w:cs="Arial" w:eastAsia="Arial" w:hAnsi="Arial"/>
          <w:sz w:val="14"/>
          <w:szCs w:val="14"/>
          <w:color w:val="auto"/>
        </w:rPr>
        <w:t>10.22  Sempra Energy Executive Incentive Plan effective January 1, 2003 (2002 Sempra Energy Form</w:t>
      </w:r>
    </w:p>
    <w:p>
      <w:pPr>
        <w:spacing w:after="0" w:line="44" w:lineRule="exact"/>
        <w:rPr>
          <w:sz w:val="20"/>
          <w:szCs w:val="20"/>
          <w:color w:val="auto"/>
        </w:rPr>
      </w:pPr>
    </w:p>
    <w:p>
      <w:pPr>
        <w:ind w:left="3080"/>
        <w:spacing w:after="0"/>
        <w:rPr>
          <w:sz w:val="20"/>
          <w:szCs w:val="20"/>
          <w:color w:val="auto"/>
        </w:rPr>
      </w:pPr>
      <w:r>
        <w:rPr>
          <w:rFonts w:ascii="Arial" w:cs="Arial" w:eastAsia="Arial" w:hAnsi="Arial"/>
          <w:sz w:val="16"/>
          <w:szCs w:val="16"/>
          <w:color w:val="auto"/>
        </w:rPr>
        <w:t>10-K, Exhibit 10.09).</w:t>
      </w:r>
    </w:p>
    <w:p>
      <w:pPr>
        <w:spacing w:after="0" w:line="236" w:lineRule="exact"/>
        <w:rPr>
          <w:sz w:val="20"/>
          <w:szCs w:val="20"/>
          <w:color w:val="auto"/>
        </w:rPr>
      </w:pPr>
    </w:p>
    <w:p>
      <w:pPr>
        <w:ind w:left="3080" w:right="1439" w:hanging="463"/>
        <w:spacing w:after="0" w:line="277" w:lineRule="auto"/>
        <w:rPr>
          <w:sz w:val="20"/>
          <w:szCs w:val="20"/>
          <w:color w:val="auto"/>
        </w:rPr>
      </w:pPr>
      <w:r>
        <w:rPr>
          <w:rFonts w:ascii="Arial" w:cs="Arial" w:eastAsia="Arial" w:hAnsi="Arial"/>
          <w:sz w:val="16"/>
          <w:szCs w:val="16"/>
          <w:color w:val="auto"/>
        </w:rPr>
        <w:t>10.23 Amended and Restated Sempra Energy Deferred Compensation and Excess Savings Plan (September 30, 2002 Sempra Energy Form 10-Q, Exhibit 10.3).</w:t>
      </w:r>
    </w:p>
    <w:p>
      <w:pPr>
        <w:spacing w:after="0" w:line="200" w:lineRule="exact"/>
        <w:rPr>
          <w:sz w:val="20"/>
          <w:szCs w:val="20"/>
          <w:color w:val="auto"/>
        </w:rPr>
      </w:pPr>
    </w:p>
    <w:p>
      <w:pPr>
        <w:ind w:left="2600"/>
        <w:spacing w:after="0"/>
        <w:rPr>
          <w:sz w:val="20"/>
          <w:szCs w:val="20"/>
          <w:color w:val="auto"/>
        </w:rPr>
      </w:pPr>
      <w:r>
        <w:rPr>
          <w:rFonts w:ascii="Arial" w:cs="Arial" w:eastAsia="Arial" w:hAnsi="Arial"/>
          <w:sz w:val="15"/>
          <w:szCs w:val="15"/>
          <w:color w:val="auto"/>
        </w:rPr>
        <w:t>10.24  Sempra Energy Employee Stock Ownership Plan and Trust Agreement effective January 1,</w:t>
      </w:r>
    </w:p>
    <w:p>
      <w:pPr>
        <w:spacing w:after="0" w:line="32" w:lineRule="exact"/>
        <w:rPr>
          <w:sz w:val="20"/>
          <w:szCs w:val="20"/>
          <w:color w:val="auto"/>
        </w:rPr>
      </w:pPr>
    </w:p>
    <w:p>
      <w:pPr>
        <w:ind w:left="3080"/>
        <w:spacing w:after="0"/>
        <w:rPr>
          <w:sz w:val="20"/>
          <w:szCs w:val="20"/>
          <w:color w:val="auto"/>
        </w:rPr>
      </w:pPr>
      <w:r>
        <w:rPr>
          <w:rFonts w:ascii="Arial" w:cs="Arial" w:eastAsia="Arial" w:hAnsi="Arial"/>
          <w:sz w:val="16"/>
          <w:szCs w:val="16"/>
          <w:color w:val="auto"/>
        </w:rPr>
        <w:t>2001 (September 30, 2008 Sempra Energy Form 10-Q, Exhibit 10.1).</w:t>
      </w:r>
    </w:p>
    <w:p>
      <w:pPr>
        <w:spacing w:after="0" w:line="236" w:lineRule="exact"/>
        <w:rPr>
          <w:sz w:val="20"/>
          <w:szCs w:val="20"/>
          <w:color w:val="auto"/>
        </w:rPr>
      </w:pPr>
    </w:p>
    <w:p>
      <w:pPr>
        <w:ind w:left="3080" w:right="1079" w:hanging="463"/>
        <w:spacing w:after="0" w:line="277" w:lineRule="auto"/>
        <w:rPr>
          <w:sz w:val="20"/>
          <w:szCs w:val="20"/>
          <w:color w:val="auto"/>
        </w:rPr>
      </w:pPr>
      <w:r>
        <w:rPr>
          <w:rFonts w:ascii="Arial" w:cs="Arial" w:eastAsia="Arial" w:hAnsi="Arial"/>
          <w:sz w:val="16"/>
          <w:szCs w:val="16"/>
          <w:color w:val="auto"/>
        </w:rPr>
        <w:t>10.25 Amendment to the Amended and Restated Sempra Energy Deferred Compensation and Excess Savings Plan.</w:t>
      </w:r>
    </w:p>
    <w:p>
      <w:pPr>
        <w:spacing w:after="0" w:line="200" w:lineRule="exact"/>
        <w:rPr>
          <w:sz w:val="20"/>
          <w:szCs w:val="20"/>
          <w:color w:val="auto"/>
        </w:rPr>
      </w:pPr>
    </w:p>
    <w:p>
      <w:pPr>
        <w:ind w:left="2600"/>
        <w:spacing w:after="0"/>
        <w:rPr>
          <w:sz w:val="20"/>
          <w:szCs w:val="20"/>
          <w:color w:val="auto"/>
        </w:rPr>
      </w:pPr>
      <w:r>
        <w:rPr>
          <w:rFonts w:ascii="Arial" w:cs="Arial" w:eastAsia="Arial" w:hAnsi="Arial"/>
          <w:sz w:val="16"/>
          <w:szCs w:val="16"/>
          <w:color w:val="auto"/>
        </w:rPr>
        <w:t>10.26  Sempra Energy Amended and Restated Executive Medical Plan.</w:t>
      </w:r>
    </w:p>
    <w:p>
      <w:pPr>
        <w:spacing w:after="0" w:line="248" w:lineRule="exact"/>
        <w:rPr>
          <w:sz w:val="20"/>
          <w:szCs w:val="20"/>
          <w:color w:val="auto"/>
        </w:rPr>
      </w:pPr>
    </w:p>
    <w:p>
      <w:pPr>
        <w:ind w:left="3080" w:right="1139" w:hanging="463"/>
        <w:spacing w:after="0" w:line="277" w:lineRule="auto"/>
        <w:rPr>
          <w:sz w:val="20"/>
          <w:szCs w:val="20"/>
          <w:color w:val="auto"/>
        </w:rPr>
      </w:pPr>
      <w:r>
        <w:rPr>
          <w:rFonts w:ascii="Arial" w:cs="Arial" w:eastAsia="Arial" w:hAnsi="Arial"/>
          <w:sz w:val="16"/>
          <w:szCs w:val="16"/>
          <w:color w:val="auto"/>
        </w:rPr>
        <w:t>10.27 Form of Sempra Energy 1998 Long Term Incentive Plan, 2008 Performance-Based Restricted Stock Unit Award (2007 Sempra Energy Form 10-K, Exhibit 10.09).</w:t>
      </w:r>
    </w:p>
    <w:p>
      <w:pPr>
        <w:spacing w:after="0" w:line="200" w:lineRule="exact"/>
        <w:rPr>
          <w:sz w:val="20"/>
          <w:szCs w:val="20"/>
          <w:color w:val="auto"/>
        </w:rPr>
      </w:pPr>
    </w:p>
    <w:p>
      <w:pPr>
        <w:ind w:left="3080" w:right="1259" w:hanging="463"/>
        <w:spacing w:after="0" w:line="277" w:lineRule="auto"/>
        <w:rPr>
          <w:sz w:val="20"/>
          <w:szCs w:val="20"/>
          <w:color w:val="auto"/>
        </w:rPr>
      </w:pPr>
      <w:r>
        <w:rPr>
          <w:rFonts w:ascii="Arial" w:cs="Arial" w:eastAsia="Arial" w:hAnsi="Arial"/>
          <w:sz w:val="16"/>
          <w:szCs w:val="16"/>
          <w:color w:val="auto"/>
        </w:rPr>
        <w:t>10.28 Form of Sempra Energy 1998 Long Term Incentive Plan, 2008 Non-Qualified Stock Option Agreement (2007 Sempra Energy Form 10-K, Exhibit 10.10).</w:t>
      </w:r>
    </w:p>
    <w:p>
      <w:pPr>
        <w:spacing w:after="0" w:line="200" w:lineRule="exact"/>
        <w:rPr>
          <w:sz w:val="20"/>
          <w:szCs w:val="20"/>
          <w:color w:val="auto"/>
        </w:rPr>
      </w:pPr>
    </w:p>
    <w:p>
      <w:pPr>
        <w:ind w:left="3080" w:right="1039" w:hanging="463"/>
        <w:spacing w:after="0" w:line="277" w:lineRule="auto"/>
        <w:rPr>
          <w:sz w:val="20"/>
          <w:szCs w:val="20"/>
          <w:color w:val="auto"/>
        </w:rPr>
      </w:pPr>
      <w:r>
        <w:rPr>
          <w:rFonts w:ascii="Arial" w:cs="Arial" w:eastAsia="Arial" w:hAnsi="Arial"/>
          <w:sz w:val="16"/>
          <w:szCs w:val="16"/>
          <w:color w:val="auto"/>
        </w:rPr>
        <w:t>10.29 Amended and Restated Sempra Energy 1998 Long-Term Incentive Plan (June 30, 2003 Sempra Energy Form 10-Q, Exhibit 10.2).</w:t>
      </w:r>
    </w:p>
    <w:p>
      <w:pPr>
        <w:spacing w:after="0" w:line="360" w:lineRule="exact"/>
        <w:rPr>
          <w:sz w:val="20"/>
          <w:szCs w:val="20"/>
          <w:color w:val="auto"/>
        </w:rPr>
      </w:pPr>
    </w:p>
    <w:p>
      <w:pPr>
        <w:spacing w:after="0"/>
        <w:rPr>
          <w:sz w:val="20"/>
          <w:szCs w:val="20"/>
          <w:color w:val="auto"/>
        </w:rPr>
      </w:pPr>
      <w:r>
        <w:rPr>
          <w:rFonts w:ascii="Arial" w:cs="Arial" w:eastAsia="Arial" w:hAnsi="Arial"/>
          <w:sz w:val="14"/>
          <w:szCs w:val="14"/>
          <w:color w:val="auto"/>
        </w:rPr>
        <w:t>51</w:t>
      </w:r>
    </w:p>
    <w:p>
      <w:pPr>
        <w:sectPr>
          <w:pgSz w:w="11900" w:h="16838" w:orient="portrait"/>
          <w:cols w:equalWidth="0" w:num="1">
            <w:col w:w="10219"/>
          </w:cols>
          <w:pgMar w:left="240" w:top="725" w:right="1440" w:bottom="1440" w:gutter="0" w:footer="0" w:header="0"/>
        </w:sectPr>
      </w:pPr>
    </w:p>
    <w:bookmarkStart w:id="52" w:name="page53"/>
    <w:bookmarkEnd w:id="52"/>
    <w:p>
      <w:pPr>
        <w:ind w:left="2240"/>
        <w:spacing w:after="0"/>
        <w:rPr>
          <w:sz w:val="20"/>
          <w:szCs w:val="20"/>
          <w:color w:val="auto"/>
        </w:rPr>
      </w:pPr>
      <w:r>
        <w:rPr>
          <w:rFonts w:ascii="Arial" w:cs="Arial" w:eastAsia="Arial" w:hAnsi="Arial"/>
          <w:sz w:val="18"/>
          <w:szCs w:val="18"/>
          <w:i w:val="1"/>
          <w:iCs w:val="1"/>
          <w:color w:val="auto"/>
        </w:rPr>
        <w:t>Sempra Energy</w:t>
      </w:r>
    </w:p>
    <w:p>
      <w:pPr>
        <w:spacing w:after="0" w:line="60" w:lineRule="exact"/>
        <w:rPr>
          <w:sz w:val="20"/>
          <w:szCs w:val="20"/>
          <w:color w:val="auto"/>
        </w:rPr>
      </w:pPr>
    </w:p>
    <w:p>
      <w:pPr>
        <w:ind w:left="3080" w:right="1239" w:hanging="463"/>
        <w:spacing w:after="0" w:line="264" w:lineRule="auto"/>
        <w:rPr>
          <w:sz w:val="20"/>
          <w:szCs w:val="20"/>
          <w:color w:val="auto"/>
        </w:rPr>
      </w:pPr>
      <w:r>
        <w:rPr>
          <w:rFonts w:ascii="Arial" w:cs="Arial" w:eastAsia="Arial" w:hAnsi="Arial"/>
          <w:sz w:val="16"/>
          <w:szCs w:val="16"/>
          <w:color w:val="auto"/>
        </w:rPr>
        <w:t>10.30 Sempra Energy 2008 Long Term Incentive Plan for EnergySouth, Inc. Employees and Other Eligible Individuals (Registration Statement on Form S-8 Sempra Energy Registration Statement No. 333-155191 dated November 7, 2008, Exhibit 10.1).</w:t>
      </w:r>
    </w:p>
    <w:p>
      <w:pPr>
        <w:spacing w:after="0" w:line="210" w:lineRule="exact"/>
        <w:rPr>
          <w:sz w:val="20"/>
          <w:szCs w:val="20"/>
          <w:color w:val="auto"/>
        </w:rPr>
      </w:pPr>
    </w:p>
    <w:p>
      <w:pPr>
        <w:ind w:left="2600"/>
        <w:spacing w:after="0"/>
        <w:rPr>
          <w:sz w:val="20"/>
          <w:szCs w:val="20"/>
          <w:color w:val="auto"/>
        </w:rPr>
      </w:pPr>
      <w:r>
        <w:rPr>
          <w:rFonts w:ascii="Arial" w:cs="Arial" w:eastAsia="Arial" w:hAnsi="Arial"/>
          <w:sz w:val="15"/>
          <w:szCs w:val="15"/>
          <w:color w:val="auto"/>
        </w:rPr>
        <w:t>10.31  Form of Sempra Energy 2008 Non-Employee Directors' Stock Plan, Nonqualified Stock</w:t>
      </w:r>
    </w:p>
    <w:p>
      <w:pPr>
        <w:spacing w:after="0" w:line="32" w:lineRule="exact"/>
        <w:rPr>
          <w:sz w:val="20"/>
          <w:szCs w:val="20"/>
          <w:color w:val="auto"/>
        </w:rPr>
      </w:pPr>
    </w:p>
    <w:p>
      <w:pPr>
        <w:ind w:left="3080"/>
        <w:spacing w:after="0"/>
        <w:rPr>
          <w:sz w:val="20"/>
          <w:szCs w:val="20"/>
          <w:color w:val="auto"/>
        </w:rPr>
      </w:pPr>
      <w:r>
        <w:rPr>
          <w:rFonts w:ascii="Arial" w:cs="Arial" w:eastAsia="Arial" w:hAnsi="Arial"/>
          <w:sz w:val="16"/>
          <w:szCs w:val="16"/>
          <w:color w:val="auto"/>
        </w:rPr>
        <w:t>Option Agreement (June 30, 2008 Sempra Energy Form 10-Q, Exhibit 10.5).</w:t>
      </w:r>
    </w:p>
    <w:p>
      <w:pPr>
        <w:spacing w:after="0" w:line="236" w:lineRule="exact"/>
        <w:rPr>
          <w:sz w:val="20"/>
          <w:szCs w:val="20"/>
          <w:color w:val="auto"/>
        </w:rPr>
      </w:pPr>
    </w:p>
    <w:p>
      <w:pPr>
        <w:ind w:left="2600"/>
        <w:spacing w:after="0"/>
        <w:rPr>
          <w:sz w:val="20"/>
          <w:szCs w:val="20"/>
          <w:color w:val="auto"/>
        </w:rPr>
      </w:pPr>
      <w:r>
        <w:rPr>
          <w:rFonts w:ascii="Arial" w:cs="Arial" w:eastAsia="Arial" w:hAnsi="Arial"/>
          <w:sz w:val="14"/>
          <w:szCs w:val="14"/>
          <w:color w:val="auto"/>
        </w:rPr>
        <w:t>10.32  Sempra Energy Amended and Restated Sempra Energy Retirement Plan for Directors (June 30,</w:t>
      </w:r>
    </w:p>
    <w:p>
      <w:pPr>
        <w:spacing w:after="0" w:line="44" w:lineRule="exact"/>
        <w:rPr>
          <w:sz w:val="20"/>
          <w:szCs w:val="20"/>
          <w:color w:val="auto"/>
        </w:rPr>
      </w:pPr>
    </w:p>
    <w:p>
      <w:pPr>
        <w:ind w:left="3080"/>
        <w:spacing w:after="0"/>
        <w:rPr>
          <w:sz w:val="20"/>
          <w:szCs w:val="20"/>
          <w:color w:val="auto"/>
        </w:rPr>
      </w:pPr>
      <w:r>
        <w:rPr>
          <w:rFonts w:ascii="Arial" w:cs="Arial" w:eastAsia="Arial" w:hAnsi="Arial"/>
          <w:sz w:val="16"/>
          <w:szCs w:val="16"/>
          <w:color w:val="auto"/>
        </w:rPr>
        <w:t>2008 Sempra Energy Form 10-Q, Exhibit 10.7).</w:t>
      </w:r>
    </w:p>
    <w:p>
      <w:pPr>
        <w:spacing w:after="0" w:line="236" w:lineRule="exact"/>
        <w:rPr>
          <w:sz w:val="20"/>
          <w:szCs w:val="20"/>
          <w:color w:val="auto"/>
        </w:rPr>
      </w:pPr>
    </w:p>
    <w:p>
      <w:pPr>
        <w:ind w:left="2600"/>
        <w:spacing w:after="0"/>
        <w:rPr>
          <w:sz w:val="20"/>
          <w:szCs w:val="20"/>
          <w:color w:val="auto"/>
        </w:rPr>
      </w:pPr>
      <w:r>
        <w:rPr>
          <w:rFonts w:ascii="Arial" w:cs="Arial" w:eastAsia="Arial" w:hAnsi="Arial"/>
          <w:sz w:val="14"/>
          <w:szCs w:val="14"/>
          <w:color w:val="auto"/>
        </w:rPr>
        <w:t>10.33  Neal Schmale Restricted Stock Award Agreement (September 30, 2004 Sempra Energy Form</w:t>
      </w:r>
    </w:p>
    <w:p>
      <w:pPr>
        <w:spacing w:after="0" w:line="44" w:lineRule="exact"/>
        <w:rPr>
          <w:sz w:val="20"/>
          <w:szCs w:val="20"/>
          <w:color w:val="auto"/>
        </w:rPr>
      </w:pPr>
    </w:p>
    <w:p>
      <w:pPr>
        <w:ind w:left="3080"/>
        <w:spacing w:after="0"/>
        <w:rPr>
          <w:sz w:val="20"/>
          <w:szCs w:val="20"/>
          <w:color w:val="auto"/>
        </w:rPr>
      </w:pPr>
      <w:r>
        <w:rPr>
          <w:rFonts w:ascii="Arial" w:cs="Arial" w:eastAsia="Arial" w:hAnsi="Arial"/>
          <w:sz w:val="16"/>
          <w:szCs w:val="16"/>
          <w:color w:val="auto"/>
        </w:rPr>
        <w:t>10-Q, Exhibit 10.8).</w:t>
      </w:r>
    </w:p>
    <w:p>
      <w:pPr>
        <w:spacing w:after="0" w:line="236" w:lineRule="exact"/>
        <w:rPr>
          <w:sz w:val="20"/>
          <w:szCs w:val="20"/>
          <w:color w:val="auto"/>
        </w:rPr>
      </w:pPr>
    </w:p>
    <w:p>
      <w:pPr>
        <w:ind w:left="3080" w:right="1439" w:hanging="463"/>
        <w:spacing w:after="0" w:line="312" w:lineRule="auto"/>
        <w:rPr>
          <w:sz w:val="20"/>
          <w:szCs w:val="20"/>
          <w:color w:val="auto"/>
        </w:rPr>
      </w:pPr>
      <w:r>
        <w:rPr>
          <w:rFonts w:ascii="Arial" w:cs="Arial" w:eastAsia="Arial" w:hAnsi="Arial"/>
          <w:sz w:val="15"/>
          <w:szCs w:val="15"/>
          <w:color w:val="auto"/>
        </w:rPr>
        <w:t>10.34 Form of Sempra Energy 1998 Non-Employee Directors' Stock Plan Non-Qualified Stock Option Agreement (2006 Sempra Energy Form 10-K, Exhibit 10.09).</w:t>
      </w:r>
    </w:p>
    <w:p>
      <w:pPr>
        <w:spacing w:after="0" w:line="176" w:lineRule="exact"/>
        <w:rPr>
          <w:sz w:val="20"/>
          <w:szCs w:val="20"/>
          <w:color w:val="auto"/>
        </w:rPr>
      </w:pPr>
    </w:p>
    <w:p>
      <w:pPr>
        <w:ind w:left="2600"/>
        <w:spacing w:after="0"/>
        <w:rPr>
          <w:sz w:val="20"/>
          <w:szCs w:val="20"/>
          <w:color w:val="auto"/>
        </w:rPr>
      </w:pPr>
      <w:r>
        <w:rPr>
          <w:rFonts w:ascii="Arial" w:cs="Arial" w:eastAsia="Arial" w:hAnsi="Arial"/>
          <w:sz w:val="14"/>
          <w:szCs w:val="14"/>
          <w:color w:val="auto"/>
        </w:rPr>
        <w:t>10.35  Sempra Energy 1998 Non-Employee Directors' Stock Plan (Registration Statement on Form S-</w:t>
      </w:r>
    </w:p>
    <w:p>
      <w:pPr>
        <w:spacing w:after="0" w:line="44" w:lineRule="exact"/>
        <w:rPr>
          <w:sz w:val="20"/>
          <w:szCs w:val="20"/>
          <w:color w:val="auto"/>
        </w:rPr>
      </w:pPr>
    </w:p>
    <w:p>
      <w:pPr>
        <w:ind w:left="3080"/>
        <w:spacing w:after="0"/>
        <w:rPr>
          <w:sz w:val="20"/>
          <w:szCs w:val="20"/>
          <w:color w:val="auto"/>
        </w:rPr>
      </w:pPr>
      <w:r>
        <w:rPr>
          <w:rFonts w:ascii="Arial" w:cs="Arial" w:eastAsia="Arial" w:hAnsi="Arial"/>
          <w:sz w:val="15"/>
          <w:szCs w:val="15"/>
          <w:color w:val="auto"/>
        </w:rPr>
        <w:t>8 Sempra Energy Registration Statement No. 333-56161 dated June 5, 1998, Exhibit 4.2).</w:t>
      </w:r>
    </w:p>
    <w:p>
      <w:pPr>
        <w:spacing w:after="0" w:line="209" w:lineRule="exact"/>
        <w:rPr>
          <w:sz w:val="20"/>
          <w:szCs w:val="20"/>
          <w:color w:val="auto"/>
        </w:rPr>
      </w:pPr>
    </w:p>
    <w:p>
      <w:pPr>
        <w:ind w:left="2240"/>
        <w:spacing w:after="0"/>
        <w:rPr>
          <w:sz w:val="20"/>
          <w:szCs w:val="20"/>
          <w:color w:val="auto"/>
        </w:rPr>
      </w:pPr>
      <w:r>
        <w:rPr>
          <w:rFonts w:ascii="Arial" w:cs="Arial" w:eastAsia="Arial" w:hAnsi="Arial"/>
          <w:sz w:val="18"/>
          <w:szCs w:val="18"/>
          <w:b w:val="1"/>
          <w:bCs w:val="1"/>
          <w:i w:val="1"/>
          <w:iCs w:val="1"/>
          <w:color w:val="auto"/>
        </w:rPr>
        <w:t>Nuclear</w:t>
      </w:r>
    </w:p>
    <w:p>
      <w:pPr>
        <w:spacing w:after="0" w:line="237" w:lineRule="exact"/>
        <w:rPr>
          <w:sz w:val="20"/>
          <w:szCs w:val="20"/>
          <w:color w:val="auto"/>
        </w:rPr>
      </w:pPr>
    </w:p>
    <w:p>
      <w:pPr>
        <w:ind w:left="2240"/>
        <w:spacing w:after="0"/>
        <w:rPr>
          <w:sz w:val="20"/>
          <w:szCs w:val="20"/>
          <w:color w:val="auto"/>
        </w:rPr>
      </w:pPr>
      <w:r>
        <w:rPr>
          <w:rFonts w:ascii="Arial" w:cs="Arial" w:eastAsia="Arial" w:hAnsi="Arial"/>
          <w:sz w:val="18"/>
          <w:szCs w:val="18"/>
          <w:i w:val="1"/>
          <w:iCs w:val="1"/>
          <w:color w:val="auto"/>
        </w:rPr>
        <w:t>Sempra Energy / San Diego Gas &amp; Electric Company</w:t>
      </w:r>
    </w:p>
    <w:p>
      <w:pPr>
        <w:spacing w:after="0" w:line="60" w:lineRule="exact"/>
        <w:rPr>
          <w:sz w:val="20"/>
          <w:szCs w:val="20"/>
          <w:color w:val="auto"/>
        </w:rPr>
      </w:pPr>
    </w:p>
    <w:p>
      <w:pPr>
        <w:jc w:val="both"/>
        <w:ind w:left="3080" w:right="1099" w:hanging="463"/>
        <w:spacing w:after="0" w:line="264" w:lineRule="auto"/>
        <w:rPr>
          <w:sz w:val="20"/>
          <w:szCs w:val="20"/>
          <w:color w:val="auto"/>
        </w:rPr>
      </w:pPr>
      <w:r>
        <w:rPr>
          <w:rFonts w:ascii="Arial" w:cs="Arial" w:eastAsia="Arial" w:hAnsi="Arial"/>
          <w:sz w:val="16"/>
          <w:szCs w:val="16"/>
          <w:color w:val="auto"/>
        </w:rPr>
        <w:t>10.36 Nuclear Facilities Qualified CPUC Decommissioning Master Trust Agreement for San Onofre Nuclear Generating Station, approved November 25, 1987 (1992 SDG&amp;E Form 10-K, Exhibit 10.7).</w:t>
      </w:r>
    </w:p>
    <w:p>
      <w:pPr>
        <w:spacing w:after="0" w:line="210" w:lineRule="exact"/>
        <w:rPr>
          <w:sz w:val="20"/>
          <w:szCs w:val="20"/>
          <w:color w:val="auto"/>
        </w:rPr>
      </w:pPr>
    </w:p>
    <w:p>
      <w:pPr>
        <w:ind w:left="3080" w:right="1259" w:hanging="463"/>
        <w:spacing w:after="0" w:line="351" w:lineRule="auto"/>
        <w:rPr>
          <w:sz w:val="20"/>
          <w:szCs w:val="20"/>
          <w:color w:val="auto"/>
        </w:rPr>
      </w:pPr>
      <w:r>
        <w:rPr>
          <w:rFonts w:ascii="Arial" w:cs="Arial" w:eastAsia="Arial" w:hAnsi="Arial"/>
          <w:sz w:val="14"/>
          <w:szCs w:val="14"/>
          <w:color w:val="auto"/>
        </w:rPr>
        <w:t>10.37 Amendment No. 1 to the Qualified CPUC Decommissioning Master Trust Agreement dated September 22, 1994 (see Exhibit 10.36 above)(1994 SDG&amp;E Form 10-K, Exhibit 10.56).</w:t>
      </w:r>
    </w:p>
    <w:p>
      <w:pPr>
        <w:spacing w:after="0" w:line="154" w:lineRule="exact"/>
        <w:rPr>
          <w:sz w:val="20"/>
          <w:szCs w:val="20"/>
          <w:color w:val="auto"/>
        </w:rPr>
      </w:pPr>
    </w:p>
    <w:p>
      <w:pPr>
        <w:ind w:left="3080" w:right="1119" w:hanging="463"/>
        <w:spacing w:after="0" w:line="289" w:lineRule="auto"/>
        <w:rPr>
          <w:sz w:val="20"/>
          <w:szCs w:val="20"/>
          <w:color w:val="auto"/>
        </w:rPr>
      </w:pPr>
      <w:r>
        <w:rPr>
          <w:rFonts w:ascii="Arial" w:cs="Arial" w:eastAsia="Arial" w:hAnsi="Arial"/>
          <w:sz w:val="15"/>
          <w:szCs w:val="15"/>
          <w:color w:val="auto"/>
        </w:rPr>
        <w:t>10.38 Second Amendment to the San Diego Gas &amp; Electric Company Nuclear Facilities Qualified CPUC Decommissioning Master Trust Agreement for San Onofre Nuclear Generating Station (see Exhibit 10.36 above)(1994 SDG&amp;E Form 10-K, Exhibit 10.57).</w:t>
      </w:r>
    </w:p>
    <w:p>
      <w:pPr>
        <w:spacing w:after="0" w:line="194" w:lineRule="exact"/>
        <w:rPr>
          <w:sz w:val="20"/>
          <w:szCs w:val="20"/>
          <w:color w:val="auto"/>
        </w:rPr>
      </w:pPr>
    </w:p>
    <w:p>
      <w:pPr>
        <w:ind w:left="3080" w:right="1119" w:hanging="463"/>
        <w:spacing w:after="0" w:line="289" w:lineRule="auto"/>
        <w:rPr>
          <w:sz w:val="20"/>
          <w:szCs w:val="20"/>
          <w:color w:val="auto"/>
        </w:rPr>
      </w:pPr>
      <w:r>
        <w:rPr>
          <w:rFonts w:ascii="Arial" w:cs="Arial" w:eastAsia="Arial" w:hAnsi="Arial"/>
          <w:sz w:val="15"/>
          <w:szCs w:val="15"/>
          <w:color w:val="auto"/>
        </w:rPr>
        <w:t>10.39 Third Amendment to the San Diego Gas &amp; Electric Company Nuclear Facilities Qualified CPUC Decommissioning Master Trust Agreement for San Onofre Nuclear Generating Station (see Exhibit 10.36 above)(1996 SDG&amp;E Form 10-K, Exhibit 10.59).</w:t>
      </w:r>
    </w:p>
    <w:p>
      <w:pPr>
        <w:spacing w:after="0" w:line="194" w:lineRule="exact"/>
        <w:rPr>
          <w:sz w:val="20"/>
          <w:szCs w:val="20"/>
          <w:color w:val="auto"/>
        </w:rPr>
      </w:pPr>
    </w:p>
    <w:p>
      <w:pPr>
        <w:ind w:left="3080" w:right="1119" w:hanging="463"/>
        <w:spacing w:after="0" w:line="289" w:lineRule="auto"/>
        <w:rPr>
          <w:sz w:val="20"/>
          <w:szCs w:val="20"/>
          <w:color w:val="auto"/>
        </w:rPr>
      </w:pPr>
      <w:r>
        <w:rPr>
          <w:rFonts w:ascii="Arial" w:cs="Arial" w:eastAsia="Arial" w:hAnsi="Arial"/>
          <w:sz w:val="15"/>
          <w:szCs w:val="15"/>
          <w:color w:val="auto"/>
        </w:rPr>
        <w:t>10.40 Fourth Amendment to the San Diego Gas &amp; Electric Company Nuclear Facilities Qualified CPUC Decommissioning Master Trust Agreement for San Onofre Nuclear Generating Station (see Exhibit 10.36 above)(1996 SDG&amp;E Form 10-K, Exhibit 10.60).</w:t>
      </w:r>
    </w:p>
    <w:p>
      <w:pPr>
        <w:spacing w:after="0" w:line="194" w:lineRule="exact"/>
        <w:rPr>
          <w:sz w:val="20"/>
          <w:szCs w:val="20"/>
          <w:color w:val="auto"/>
        </w:rPr>
      </w:pPr>
    </w:p>
    <w:p>
      <w:pPr>
        <w:ind w:left="3080" w:right="1119" w:hanging="463"/>
        <w:spacing w:after="0" w:line="289" w:lineRule="auto"/>
        <w:rPr>
          <w:sz w:val="20"/>
          <w:szCs w:val="20"/>
          <w:color w:val="auto"/>
        </w:rPr>
      </w:pPr>
      <w:r>
        <w:rPr>
          <w:rFonts w:ascii="Arial" w:cs="Arial" w:eastAsia="Arial" w:hAnsi="Arial"/>
          <w:sz w:val="15"/>
          <w:szCs w:val="15"/>
          <w:color w:val="auto"/>
        </w:rPr>
        <w:t>10.41 Fifth Amendment to the San Diego Gas &amp; Electric Company Nuclear Facilities Qualified CPUC Decommissioning Master Trust Agreement for San Onofre Nuclear Generation Station (see Exhibit 10.36 above)(1999 SDG&amp;E Form 10-K, Exhibit 10.26).</w:t>
      </w:r>
    </w:p>
    <w:p>
      <w:pPr>
        <w:spacing w:after="0" w:line="194" w:lineRule="exact"/>
        <w:rPr>
          <w:sz w:val="20"/>
          <w:szCs w:val="20"/>
          <w:color w:val="auto"/>
        </w:rPr>
      </w:pPr>
    </w:p>
    <w:p>
      <w:pPr>
        <w:ind w:left="3080" w:right="1119" w:hanging="463"/>
        <w:spacing w:after="0" w:line="289" w:lineRule="auto"/>
        <w:rPr>
          <w:sz w:val="20"/>
          <w:szCs w:val="20"/>
          <w:color w:val="auto"/>
        </w:rPr>
      </w:pPr>
      <w:r>
        <w:rPr>
          <w:rFonts w:ascii="Arial" w:cs="Arial" w:eastAsia="Arial" w:hAnsi="Arial"/>
          <w:sz w:val="15"/>
          <w:szCs w:val="15"/>
          <w:color w:val="auto"/>
        </w:rPr>
        <w:t>10.42 Sixth Amendment to the San Diego Gas &amp; Electric Company Nuclear Facilities Qualified CPUC Decommissioning Master Trust Agreement for San Onofre Nuclear Generating Station (see Exhibit 10.36 above)(1999 SDG&amp;E Form 10-K, Exhibit 10.27).</w:t>
      </w:r>
    </w:p>
    <w:p>
      <w:pPr>
        <w:spacing w:after="0" w:line="194" w:lineRule="exact"/>
        <w:rPr>
          <w:sz w:val="20"/>
          <w:szCs w:val="20"/>
          <w:color w:val="auto"/>
        </w:rPr>
      </w:pPr>
    </w:p>
    <w:p>
      <w:pPr>
        <w:ind w:left="3080" w:right="1099" w:hanging="463"/>
        <w:spacing w:after="0" w:line="259" w:lineRule="auto"/>
        <w:rPr>
          <w:sz w:val="20"/>
          <w:szCs w:val="20"/>
          <w:color w:val="auto"/>
        </w:rPr>
      </w:pPr>
      <w:r>
        <w:rPr>
          <w:rFonts w:ascii="Arial" w:cs="Arial" w:eastAsia="Arial" w:hAnsi="Arial"/>
          <w:sz w:val="16"/>
          <w:szCs w:val="16"/>
          <w:color w:val="auto"/>
        </w:rPr>
        <w:t>10.43 Seventh Amendment to the San Diego Gas &amp; Electric Company Nuclear Facilities Qualified CPUC Decommissioning Master Trust Agreement for San Onofre Nuclear Generating Station dated December 24, 2003 (see Exhibit 10.36 above)(2003 Sempra Energy Form 10-K, Exhibit 10.42).</w:t>
      </w:r>
    </w:p>
    <w:p>
      <w:pPr>
        <w:spacing w:after="0" w:line="375" w:lineRule="exact"/>
        <w:rPr>
          <w:sz w:val="20"/>
          <w:szCs w:val="20"/>
          <w:color w:val="auto"/>
        </w:rPr>
      </w:pPr>
    </w:p>
    <w:p>
      <w:pPr>
        <w:spacing w:after="0"/>
        <w:rPr>
          <w:sz w:val="20"/>
          <w:szCs w:val="20"/>
          <w:color w:val="auto"/>
        </w:rPr>
      </w:pPr>
      <w:r>
        <w:rPr>
          <w:rFonts w:ascii="Arial" w:cs="Arial" w:eastAsia="Arial" w:hAnsi="Arial"/>
          <w:sz w:val="14"/>
          <w:szCs w:val="14"/>
          <w:color w:val="auto"/>
        </w:rPr>
        <w:t>52</w:t>
      </w:r>
    </w:p>
    <w:p>
      <w:pPr>
        <w:sectPr>
          <w:pgSz w:w="11900" w:h="16838" w:orient="portrait"/>
          <w:cols w:equalWidth="0" w:num="1">
            <w:col w:w="10219"/>
          </w:cols>
          <w:pgMar w:left="240" w:top="725" w:right="1440" w:bottom="1440" w:gutter="0" w:footer="0" w:header="0"/>
        </w:sectPr>
      </w:pPr>
    </w:p>
    <w:bookmarkStart w:id="53" w:name="page54"/>
    <w:bookmarkEnd w:id="53"/>
    <w:p>
      <w:pPr>
        <w:ind w:left="3080" w:right="1119" w:hanging="463"/>
        <w:spacing w:after="0" w:line="264" w:lineRule="auto"/>
        <w:rPr>
          <w:sz w:val="20"/>
          <w:szCs w:val="20"/>
          <w:color w:val="auto"/>
        </w:rPr>
      </w:pPr>
      <w:r>
        <w:rPr>
          <w:rFonts w:ascii="Arial" w:cs="Arial" w:eastAsia="Arial" w:hAnsi="Arial"/>
          <w:sz w:val="16"/>
          <w:szCs w:val="16"/>
          <w:color w:val="auto"/>
        </w:rPr>
        <w:t>10.44 Nuclear Facilities Non-Qualified CPUC Decommissioning Master Trust Agreement for San Onofre Nuclear Generating Station, approved November 25, 1987 (1992 SDG&amp;E Form 10-K, Exhibit 10.8).</w:t>
      </w:r>
    </w:p>
    <w:p>
      <w:pPr>
        <w:spacing w:after="0" w:line="210" w:lineRule="exact"/>
        <w:rPr>
          <w:sz w:val="20"/>
          <w:szCs w:val="20"/>
          <w:color w:val="auto"/>
        </w:rPr>
      </w:pPr>
    </w:p>
    <w:p>
      <w:pPr>
        <w:jc w:val="both"/>
        <w:ind w:left="3080" w:right="1119" w:hanging="463"/>
        <w:spacing w:after="0" w:line="289" w:lineRule="auto"/>
        <w:rPr>
          <w:sz w:val="20"/>
          <w:szCs w:val="20"/>
          <w:color w:val="auto"/>
        </w:rPr>
      </w:pPr>
      <w:r>
        <w:rPr>
          <w:rFonts w:ascii="Arial" w:cs="Arial" w:eastAsia="Arial" w:hAnsi="Arial"/>
          <w:sz w:val="15"/>
          <w:szCs w:val="15"/>
          <w:color w:val="auto"/>
        </w:rPr>
        <w:t>10.45 First Amendment to the San Diego Gas &amp; Electric Company Nuclear Facilities Non-Qualified CPUC Decommissioning Master Trust Agreement for San Onofre Nuclear Generating Station (see Exhibit 10.44 above)(1996 SDG&amp;E Form 10-K, Exhibit 10.62).</w:t>
      </w:r>
    </w:p>
    <w:p>
      <w:pPr>
        <w:spacing w:after="0" w:line="194" w:lineRule="exact"/>
        <w:rPr>
          <w:sz w:val="20"/>
          <w:szCs w:val="20"/>
          <w:color w:val="auto"/>
        </w:rPr>
      </w:pPr>
    </w:p>
    <w:p>
      <w:pPr>
        <w:ind w:left="3080" w:right="1499" w:hanging="463"/>
        <w:spacing w:after="0" w:line="319" w:lineRule="auto"/>
        <w:rPr>
          <w:sz w:val="20"/>
          <w:szCs w:val="20"/>
          <w:color w:val="auto"/>
        </w:rPr>
      </w:pPr>
      <w:r>
        <w:rPr>
          <w:rFonts w:ascii="Arial" w:cs="Arial" w:eastAsia="Arial" w:hAnsi="Arial"/>
          <w:sz w:val="14"/>
          <w:szCs w:val="14"/>
          <w:color w:val="auto"/>
        </w:rPr>
        <w:t>10.46 Second Amendment to the San Diego Gas &amp; Electric Company Nuclear Facilities Non-Qualified CPUC Decommissioning Master Trust Agreement for San Onofre Nuclear Generating Station (see Exhibit 10.44 above)(1996 SDG&amp;E Form 10-K, Exhibit 10.63).</w:t>
      </w:r>
    </w:p>
    <w:p>
      <w:pPr>
        <w:spacing w:after="0" w:line="175" w:lineRule="exact"/>
        <w:rPr>
          <w:sz w:val="20"/>
          <w:szCs w:val="20"/>
          <w:color w:val="auto"/>
        </w:rPr>
      </w:pPr>
    </w:p>
    <w:p>
      <w:pPr>
        <w:jc w:val="both"/>
        <w:ind w:left="3080" w:right="1039" w:hanging="463"/>
        <w:spacing w:after="0" w:line="289" w:lineRule="auto"/>
        <w:rPr>
          <w:sz w:val="20"/>
          <w:szCs w:val="20"/>
          <w:color w:val="auto"/>
        </w:rPr>
      </w:pPr>
      <w:r>
        <w:rPr>
          <w:rFonts w:ascii="Arial" w:cs="Arial" w:eastAsia="Arial" w:hAnsi="Arial"/>
          <w:sz w:val="15"/>
          <w:szCs w:val="15"/>
          <w:color w:val="auto"/>
        </w:rPr>
        <w:t>10.47 Third Amendment to the San Diego Gas &amp; Electric Company Nuclear Facilities Non-Qualified CPUC Decommissioning Master Trust Agreement for San Onofre Nuclear Generating Station (see Exhibit 10.44 above)(1999 SDG&amp;E Form 10-K, Exhibit 10.31).</w:t>
      </w:r>
    </w:p>
    <w:p>
      <w:pPr>
        <w:spacing w:after="0" w:line="194" w:lineRule="exact"/>
        <w:rPr>
          <w:sz w:val="20"/>
          <w:szCs w:val="20"/>
          <w:color w:val="auto"/>
        </w:rPr>
      </w:pPr>
    </w:p>
    <w:p>
      <w:pPr>
        <w:ind w:left="3080" w:right="1499" w:hanging="463"/>
        <w:spacing w:after="0" w:line="319" w:lineRule="auto"/>
        <w:rPr>
          <w:sz w:val="20"/>
          <w:szCs w:val="20"/>
          <w:color w:val="auto"/>
        </w:rPr>
      </w:pPr>
      <w:r>
        <w:rPr>
          <w:rFonts w:ascii="Arial" w:cs="Arial" w:eastAsia="Arial" w:hAnsi="Arial"/>
          <w:sz w:val="14"/>
          <w:szCs w:val="14"/>
          <w:color w:val="auto"/>
        </w:rPr>
        <w:t>10.48 Fourth Amendment to the San Diego Gas &amp; Electric Company Nuclear Facilities Non-Qualified CPUC Decommissioning Master Trust Agreement for San Onofre Nuclear Generating Station (see Exhibit 10.44 above)(1999 SDG&amp;E Form 10-K, Exhibit 10.32).</w:t>
      </w:r>
    </w:p>
    <w:p>
      <w:pPr>
        <w:spacing w:after="0" w:line="175" w:lineRule="exact"/>
        <w:rPr>
          <w:sz w:val="20"/>
          <w:szCs w:val="20"/>
          <w:color w:val="auto"/>
        </w:rPr>
      </w:pPr>
    </w:p>
    <w:p>
      <w:pPr>
        <w:jc w:val="both"/>
        <w:ind w:left="3080" w:right="1099" w:hanging="463"/>
        <w:spacing w:after="0" w:line="259" w:lineRule="auto"/>
        <w:rPr>
          <w:sz w:val="20"/>
          <w:szCs w:val="20"/>
          <w:color w:val="auto"/>
        </w:rPr>
      </w:pPr>
      <w:r>
        <w:rPr>
          <w:rFonts w:ascii="Arial" w:cs="Arial" w:eastAsia="Arial" w:hAnsi="Arial"/>
          <w:sz w:val="16"/>
          <w:szCs w:val="16"/>
          <w:color w:val="auto"/>
        </w:rPr>
        <w:t>10.49 Fifth Amendment to the San Diego Gas &amp; Electric Company Nuclear Facilities Non-Qualified CPUC Decommissioning Master Trust Agreement for San Onofre Nuclear Generating Station dated December 24, 2003 (see Exhibit 10.44 above)(2003 Sempra Energy Form 10-K, Exhibit 10.48).</w:t>
      </w:r>
    </w:p>
    <w:p>
      <w:pPr>
        <w:spacing w:after="0" w:line="215" w:lineRule="exact"/>
        <w:rPr>
          <w:sz w:val="20"/>
          <w:szCs w:val="20"/>
          <w:color w:val="auto"/>
        </w:rPr>
      </w:pPr>
    </w:p>
    <w:p>
      <w:pPr>
        <w:ind w:left="3080" w:right="1219" w:hanging="463"/>
        <w:spacing w:after="0" w:line="264" w:lineRule="auto"/>
        <w:rPr>
          <w:sz w:val="20"/>
          <w:szCs w:val="20"/>
          <w:color w:val="auto"/>
        </w:rPr>
      </w:pPr>
      <w:r>
        <w:rPr>
          <w:rFonts w:ascii="Arial" w:cs="Arial" w:eastAsia="Arial" w:hAnsi="Arial"/>
          <w:sz w:val="16"/>
          <w:szCs w:val="16"/>
          <w:color w:val="auto"/>
        </w:rPr>
        <w:t>10.50 Second Amended San Onofre Operating Agreement among Southern California Edison Company, SDG&amp;E, the City of Anaheim and the City of Riverside, dated February 26, 1987 (1990 SDG&amp;E Form 10-K, Exhibit 10.6).</w:t>
      </w:r>
    </w:p>
    <w:p>
      <w:pPr>
        <w:spacing w:after="0" w:line="210" w:lineRule="exact"/>
        <w:rPr>
          <w:sz w:val="20"/>
          <w:szCs w:val="20"/>
          <w:color w:val="auto"/>
        </w:rPr>
      </w:pPr>
    </w:p>
    <w:p>
      <w:pPr>
        <w:ind w:left="3080" w:right="1079" w:hanging="463"/>
        <w:spacing w:after="0" w:line="259" w:lineRule="auto"/>
        <w:rPr>
          <w:sz w:val="20"/>
          <w:szCs w:val="20"/>
          <w:color w:val="auto"/>
        </w:rPr>
      </w:pPr>
      <w:r>
        <w:rPr>
          <w:rFonts w:ascii="Arial" w:cs="Arial" w:eastAsia="Arial" w:hAnsi="Arial"/>
          <w:sz w:val="16"/>
          <w:szCs w:val="16"/>
          <w:color w:val="auto"/>
        </w:rPr>
        <w:t>10.51 U. S. Department of Energy contract for disposal of spent nuclear fuel and/or high-level radioactive waste, entered into between the DOE and Southern California Edison Company, as agent for SDG&amp;E and others; Contract DE-CR01-83NE44418, dated June 10, 1983 (1988 SDG&amp;E Form 10-K, Exhibit 10N).</w:t>
      </w:r>
    </w:p>
    <w:p>
      <w:pPr>
        <w:spacing w:after="0" w:line="267" w:lineRule="exact"/>
        <w:rPr>
          <w:sz w:val="20"/>
          <w:szCs w:val="20"/>
          <w:color w:val="auto"/>
        </w:rPr>
      </w:pPr>
    </w:p>
    <w:p>
      <w:pPr>
        <w:ind w:left="2240"/>
        <w:spacing w:after="0"/>
        <w:rPr>
          <w:sz w:val="20"/>
          <w:szCs w:val="20"/>
          <w:color w:val="auto"/>
        </w:rPr>
      </w:pPr>
      <w:r>
        <w:rPr>
          <w:rFonts w:ascii="Arial" w:cs="Arial" w:eastAsia="Arial" w:hAnsi="Arial"/>
          <w:sz w:val="16"/>
          <w:szCs w:val="16"/>
          <w:b w:val="1"/>
          <w:bCs w:val="1"/>
          <w:color w:val="auto"/>
        </w:rPr>
        <w:t>EXHIBIT 12 -- STATEMENTS RE: COMPUTATION OF RATIOS</w:t>
      </w:r>
    </w:p>
    <w:p>
      <w:pPr>
        <w:spacing w:after="0" w:line="291" w:lineRule="exact"/>
        <w:rPr>
          <w:sz w:val="20"/>
          <w:szCs w:val="20"/>
          <w:color w:val="auto"/>
        </w:rPr>
      </w:pPr>
    </w:p>
    <w:p>
      <w:pPr>
        <w:ind w:left="2240"/>
        <w:spacing w:after="0"/>
        <w:rPr>
          <w:sz w:val="20"/>
          <w:szCs w:val="20"/>
          <w:color w:val="auto"/>
        </w:rPr>
      </w:pPr>
      <w:r>
        <w:rPr>
          <w:rFonts w:ascii="Arial" w:cs="Arial" w:eastAsia="Arial" w:hAnsi="Arial"/>
          <w:sz w:val="18"/>
          <w:szCs w:val="18"/>
          <w:b w:val="1"/>
          <w:bCs w:val="1"/>
          <w:i w:val="1"/>
          <w:iCs w:val="1"/>
          <w:color w:val="auto"/>
        </w:rPr>
        <w:t>Sempra Energy</w:t>
      </w:r>
    </w:p>
    <w:p>
      <w:pPr>
        <w:spacing w:after="0" w:line="60" w:lineRule="exact"/>
        <w:rPr>
          <w:sz w:val="20"/>
          <w:szCs w:val="20"/>
          <w:color w:val="auto"/>
        </w:rPr>
      </w:pPr>
    </w:p>
    <w:p>
      <w:pPr>
        <w:ind w:left="3080" w:right="1199" w:hanging="383"/>
        <w:spacing w:after="0" w:line="351" w:lineRule="auto"/>
        <w:rPr>
          <w:sz w:val="20"/>
          <w:szCs w:val="20"/>
          <w:color w:val="auto"/>
        </w:rPr>
      </w:pPr>
      <w:r>
        <w:rPr>
          <w:rFonts w:ascii="Arial" w:cs="Arial" w:eastAsia="Arial" w:hAnsi="Arial"/>
          <w:sz w:val="14"/>
          <w:szCs w:val="14"/>
          <w:color w:val="auto"/>
        </w:rPr>
        <w:t>12.1 Sempra Energy Computation of Ratio of Earnings to Combined Fixed Charges and Preferred Stock Dividends for the years ended December 31, 2008, 2007, 2006, 2005 and 2004.</w:t>
      </w:r>
    </w:p>
    <w:p>
      <w:pPr>
        <w:spacing w:after="0" w:line="115" w:lineRule="exact"/>
        <w:rPr>
          <w:sz w:val="20"/>
          <w:szCs w:val="20"/>
          <w:color w:val="auto"/>
        </w:rPr>
      </w:pPr>
    </w:p>
    <w:p>
      <w:pPr>
        <w:ind w:left="2240"/>
        <w:spacing w:after="0"/>
        <w:rPr>
          <w:sz w:val="20"/>
          <w:szCs w:val="20"/>
          <w:color w:val="auto"/>
        </w:rPr>
      </w:pPr>
      <w:r>
        <w:rPr>
          <w:rFonts w:ascii="Arial" w:cs="Arial" w:eastAsia="Arial" w:hAnsi="Arial"/>
          <w:sz w:val="18"/>
          <w:szCs w:val="18"/>
          <w:b w:val="1"/>
          <w:bCs w:val="1"/>
          <w:i w:val="1"/>
          <w:iCs w:val="1"/>
          <w:color w:val="auto"/>
        </w:rPr>
        <w:t>San Diego Gas &amp; Electric Company</w:t>
      </w:r>
    </w:p>
    <w:p>
      <w:pPr>
        <w:spacing w:after="0" w:line="60" w:lineRule="exact"/>
        <w:rPr>
          <w:sz w:val="20"/>
          <w:szCs w:val="20"/>
          <w:color w:val="auto"/>
        </w:rPr>
      </w:pPr>
    </w:p>
    <w:p>
      <w:pPr>
        <w:ind w:left="3080" w:right="1159" w:hanging="383"/>
        <w:spacing w:after="0" w:line="264" w:lineRule="auto"/>
        <w:rPr>
          <w:sz w:val="20"/>
          <w:szCs w:val="20"/>
          <w:color w:val="auto"/>
        </w:rPr>
      </w:pPr>
      <w:r>
        <w:rPr>
          <w:rFonts w:ascii="Arial" w:cs="Arial" w:eastAsia="Arial" w:hAnsi="Arial"/>
          <w:sz w:val="16"/>
          <w:szCs w:val="16"/>
          <w:color w:val="auto"/>
        </w:rPr>
        <w:t>12.2 San Diego Gas &amp; Electric Computation of Ratio of Earnings to Combined Fixed Charges and Preferred Stock Dividends for the years ended December 31, 2008, 2007, 2006, 2005 and 2004.</w:t>
      </w:r>
    </w:p>
    <w:p>
      <w:pPr>
        <w:spacing w:after="0" w:line="171" w:lineRule="exact"/>
        <w:rPr>
          <w:sz w:val="20"/>
          <w:szCs w:val="20"/>
          <w:color w:val="auto"/>
        </w:rPr>
      </w:pPr>
    </w:p>
    <w:p>
      <w:pPr>
        <w:ind w:left="2240"/>
        <w:spacing w:after="0"/>
        <w:rPr>
          <w:sz w:val="20"/>
          <w:szCs w:val="20"/>
          <w:color w:val="auto"/>
        </w:rPr>
      </w:pPr>
      <w:r>
        <w:rPr>
          <w:rFonts w:ascii="Arial" w:cs="Arial" w:eastAsia="Arial" w:hAnsi="Arial"/>
          <w:sz w:val="18"/>
          <w:szCs w:val="18"/>
          <w:b w:val="1"/>
          <w:bCs w:val="1"/>
          <w:i w:val="1"/>
          <w:iCs w:val="1"/>
          <w:color w:val="auto"/>
        </w:rPr>
        <w:t>Pacific Enterprises</w:t>
      </w:r>
    </w:p>
    <w:p>
      <w:pPr>
        <w:spacing w:after="0" w:line="60" w:lineRule="exact"/>
        <w:rPr>
          <w:sz w:val="20"/>
          <w:szCs w:val="20"/>
          <w:color w:val="auto"/>
        </w:rPr>
      </w:pPr>
    </w:p>
    <w:p>
      <w:pPr>
        <w:ind w:left="3080" w:right="1419" w:hanging="383"/>
        <w:spacing w:after="0" w:line="264" w:lineRule="auto"/>
        <w:rPr>
          <w:sz w:val="20"/>
          <w:szCs w:val="20"/>
          <w:color w:val="auto"/>
        </w:rPr>
      </w:pPr>
      <w:r>
        <w:rPr>
          <w:rFonts w:ascii="Arial" w:cs="Arial" w:eastAsia="Arial" w:hAnsi="Arial"/>
          <w:sz w:val="16"/>
          <w:szCs w:val="16"/>
          <w:color w:val="auto"/>
        </w:rPr>
        <w:t>12.3 Pacific Enterprises Computation of Ratio of Earnings to Combined Fixed Charges and Preferred Stock Dividends for the years ended December 31, 2008, 2007, 2006, 2005 and 2004.</w:t>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4"/>
          <w:szCs w:val="14"/>
          <w:color w:val="auto"/>
        </w:rPr>
        <w:t>53</w:t>
      </w:r>
    </w:p>
    <w:p>
      <w:pPr>
        <w:sectPr>
          <w:pgSz w:w="11900" w:h="16838" w:orient="portrait"/>
          <w:cols w:equalWidth="0" w:num="1">
            <w:col w:w="10219"/>
          </w:cols>
          <w:pgMar w:left="240" w:top="956" w:right="1440" w:bottom="1440" w:gutter="0" w:footer="0" w:header="0"/>
        </w:sectPr>
      </w:pPr>
    </w:p>
    <w:bookmarkStart w:id="54" w:name="page55"/>
    <w:bookmarkEnd w:id="54"/>
    <w:p>
      <w:pPr>
        <w:ind w:left="2240"/>
        <w:spacing w:after="0"/>
        <w:rPr>
          <w:sz w:val="20"/>
          <w:szCs w:val="20"/>
          <w:color w:val="auto"/>
        </w:rPr>
      </w:pPr>
      <w:r>
        <w:rPr>
          <w:rFonts w:ascii="Arial" w:cs="Arial" w:eastAsia="Arial" w:hAnsi="Arial"/>
          <w:sz w:val="18"/>
          <w:szCs w:val="18"/>
          <w:b w:val="1"/>
          <w:bCs w:val="1"/>
          <w:i w:val="1"/>
          <w:iCs w:val="1"/>
          <w:color w:val="auto"/>
        </w:rPr>
        <w:t>Southern California Gas Company</w:t>
      </w:r>
    </w:p>
    <w:p>
      <w:pPr>
        <w:spacing w:after="0" w:line="60" w:lineRule="exact"/>
        <w:rPr>
          <w:sz w:val="20"/>
          <w:szCs w:val="20"/>
          <w:color w:val="auto"/>
        </w:rPr>
      </w:pPr>
    </w:p>
    <w:p>
      <w:pPr>
        <w:ind w:left="3080" w:right="1219" w:hanging="383"/>
        <w:spacing w:after="0" w:line="264" w:lineRule="auto"/>
        <w:rPr>
          <w:sz w:val="20"/>
          <w:szCs w:val="20"/>
          <w:color w:val="auto"/>
        </w:rPr>
      </w:pPr>
      <w:r>
        <w:rPr>
          <w:rFonts w:ascii="Arial" w:cs="Arial" w:eastAsia="Arial" w:hAnsi="Arial"/>
          <w:sz w:val="16"/>
          <w:szCs w:val="16"/>
          <w:color w:val="auto"/>
        </w:rPr>
        <w:t>12.4 Southern California Gas Company Computation of Ratio of Earnings to Combined Fixed Charges and Preferred Stock Dividends for the years ended December 31, 2008, 2007, 2006, 2005 and 2004.</w:t>
      </w:r>
    </w:p>
    <w:p>
      <w:pPr>
        <w:spacing w:after="0" w:line="262" w:lineRule="exact"/>
        <w:rPr>
          <w:sz w:val="20"/>
          <w:szCs w:val="20"/>
          <w:color w:val="auto"/>
        </w:rPr>
      </w:pPr>
    </w:p>
    <w:p>
      <w:pPr>
        <w:ind w:left="2240"/>
        <w:spacing w:after="0"/>
        <w:rPr>
          <w:sz w:val="20"/>
          <w:szCs w:val="20"/>
          <w:color w:val="auto"/>
        </w:rPr>
      </w:pPr>
      <w:r>
        <w:rPr>
          <w:rFonts w:ascii="Arial" w:cs="Arial" w:eastAsia="Arial" w:hAnsi="Arial"/>
          <w:sz w:val="16"/>
          <w:szCs w:val="16"/>
          <w:b w:val="1"/>
          <w:bCs w:val="1"/>
          <w:color w:val="auto"/>
        </w:rPr>
        <w:t>EXHIBIT 13 -- ANNUAL REPORT TO SECURITY HOLDERS</w:t>
      </w:r>
    </w:p>
    <w:p>
      <w:pPr>
        <w:spacing w:after="0" w:line="291" w:lineRule="exact"/>
        <w:rPr>
          <w:sz w:val="20"/>
          <w:szCs w:val="20"/>
          <w:color w:val="auto"/>
        </w:rPr>
      </w:pPr>
    </w:p>
    <w:p>
      <w:pPr>
        <w:ind w:left="2240" w:right="1779"/>
        <w:spacing w:after="0" w:line="255" w:lineRule="auto"/>
        <w:rPr>
          <w:sz w:val="20"/>
          <w:szCs w:val="20"/>
          <w:color w:val="auto"/>
        </w:rPr>
      </w:pPr>
      <w:r>
        <w:rPr>
          <w:rFonts w:ascii="Arial" w:cs="Arial" w:eastAsia="Arial" w:hAnsi="Arial"/>
          <w:sz w:val="18"/>
          <w:szCs w:val="18"/>
          <w:b w:val="1"/>
          <w:bCs w:val="1"/>
          <w:i w:val="1"/>
          <w:iCs w:val="1"/>
          <w:color w:val="auto"/>
        </w:rPr>
        <w:t>Sempra Energy / San Diego Gas &amp; Electric Company / Pacific Enterprises / Southern California Gas Company</w:t>
      </w:r>
    </w:p>
    <w:p>
      <w:pPr>
        <w:spacing w:after="0" w:line="31" w:lineRule="exact"/>
        <w:rPr>
          <w:sz w:val="20"/>
          <w:szCs w:val="20"/>
          <w:color w:val="auto"/>
        </w:rPr>
      </w:pPr>
    </w:p>
    <w:p>
      <w:pPr>
        <w:ind w:left="3080" w:right="1099" w:hanging="383"/>
        <w:spacing w:after="0" w:line="259" w:lineRule="auto"/>
        <w:rPr>
          <w:sz w:val="20"/>
          <w:szCs w:val="20"/>
          <w:color w:val="auto"/>
        </w:rPr>
      </w:pPr>
      <w:r>
        <w:rPr>
          <w:rFonts w:ascii="Arial" w:cs="Arial" w:eastAsia="Arial" w:hAnsi="Arial"/>
          <w:sz w:val="16"/>
          <w:szCs w:val="16"/>
          <w:color w:val="auto"/>
        </w:rPr>
        <w:t>13.1 Sempra Energy 2008 Annual Report to Shareholders. (Such report, except for the portions thereof which are expressly incorporated by reference in this Annual Report, is furnished for the information of the Securities and Exchange Commission and is not to be deemed "filed" as part of this Annual Report).</w:t>
      </w:r>
    </w:p>
    <w:p>
      <w:pPr>
        <w:spacing w:after="0" w:line="267" w:lineRule="exact"/>
        <w:rPr>
          <w:sz w:val="20"/>
          <w:szCs w:val="20"/>
          <w:color w:val="auto"/>
        </w:rPr>
      </w:pPr>
    </w:p>
    <w:p>
      <w:pPr>
        <w:ind w:left="2240"/>
        <w:spacing w:after="0"/>
        <w:rPr>
          <w:sz w:val="20"/>
          <w:szCs w:val="20"/>
          <w:color w:val="auto"/>
        </w:rPr>
      </w:pPr>
      <w:r>
        <w:rPr>
          <w:rFonts w:ascii="Arial" w:cs="Arial" w:eastAsia="Arial" w:hAnsi="Arial"/>
          <w:sz w:val="16"/>
          <w:szCs w:val="16"/>
          <w:b w:val="1"/>
          <w:bCs w:val="1"/>
          <w:color w:val="auto"/>
        </w:rPr>
        <w:t>EXHIBIT 14 -- CODE OF ETHICS</w:t>
      </w:r>
    </w:p>
    <w:p>
      <w:pPr>
        <w:spacing w:after="0" w:line="291" w:lineRule="exact"/>
        <w:rPr>
          <w:sz w:val="20"/>
          <w:szCs w:val="20"/>
          <w:color w:val="auto"/>
        </w:rPr>
      </w:pPr>
    </w:p>
    <w:p>
      <w:pPr>
        <w:ind w:left="2240"/>
        <w:spacing w:after="0"/>
        <w:rPr>
          <w:sz w:val="20"/>
          <w:szCs w:val="20"/>
          <w:color w:val="auto"/>
        </w:rPr>
      </w:pPr>
      <w:r>
        <w:rPr>
          <w:rFonts w:ascii="Arial" w:cs="Arial" w:eastAsia="Arial" w:hAnsi="Arial"/>
          <w:sz w:val="18"/>
          <w:szCs w:val="18"/>
          <w:b w:val="1"/>
          <w:bCs w:val="1"/>
          <w:i w:val="1"/>
          <w:iCs w:val="1"/>
          <w:color w:val="auto"/>
        </w:rPr>
        <w:t>San Diego Gas &amp; Electric Company / Southern California Gas Company</w:t>
      </w:r>
    </w:p>
    <w:p>
      <w:pPr>
        <w:spacing w:after="0" w:line="60" w:lineRule="exact"/>
        <w:rPr>
          <w:sz w:val="20"/>
          <w:szCs w:val="20"/>
          <w:color w:val="auto"/>
        </w:rPr>
      </w:pPr>
    </w:p>
    <w:p>
      <w:pPr>
        <w:ind w:left="3080" w:right="1059" w:hanging="383"/>
        <w:spacing w:after="0" w:line="319" w:lineRule="auto"/>
        <w:rPr>
          <w:sz w:val="20"/>
          <w:szCs w:val="20"/>
          <w:color w:val="auto"/>
        </w:rPr>
      </w:pPr>
      <w:r>
        <w:rPr>
          <w:rFonts w:ascii="Arial" w:cs="Arial" w:eastAsia="Arial" w:hAnsi="Arial"/>
          <w:sz w:val="14"/>
          <w:szCs w:val="14"/>
          <w:color w:val="auto"/>
        </w:rPr>
        <w:t>14.1 Sempra Energy Code of Business Conduct and Ethics for Board of Directors and Senior Officers (also applies to directors and officers of San Diego Gas &amp; Electric Company and Southern California Gas Company) (2006 SDG&amp;E and SoCalGas Forms 10-K, Exhibit 14.01).</w:t>
      </w:r>
    </w:p>
    <w:p>
      <w:pPr>
        <w:spacing w:after="0" w:line="227" w:lineRule="exact"/>
        <w:rPr>
          <w:sz w:val="20"/>
          <w:szCs w:val="20"/>
          <w:color w:val="auto"/>
        </w:rPr>
      </w:pPr>
    </w:p>
    <w:p>
      <w:pPr>
        <w:ind w:left="2240"/>
        <w:spacing w:after="0"/>
        <w:rPr>
          <w:sz w:val="20"/>
          <w:szCs w:val="20"/>
          <w:color w:val="auto"/>
        </w:rPr>
      </w:pPr>
      <w:r>
        <w:rPr>
          <w:rFonts w:ascii="Arial" w:cs="Arial" w:eastAsia="Arial" w:hAnsi="Arial"/>
          <w:sz w:val="16"/>
          <w:szCs w:val="16"/>
          <w:b w:val="1"/>
          <w:bCs w:val="1"/>
          <w:color w:val="auto"/>
        </w:rPr>
        <w:t>EXHIBIT 21 -- SUBSIDIARIES</w:t>
      </w:r>
    </w:p>
    <w:p>
      <w:pPr>
        <w:spacing w:after="0" w:line="291" w:lineRule="exact"/>
        <w:rPr>
          <w:sz w:val="20"/>
          <w:szCs w:val="20"/>
          <w:color w:val="auto"/>
        </w:rPr>
      </w:pPr>
    </w:p>
    <w:p>
      <w:pPr>
        <w:ind w:left="2240"/>
        <w:spacing w:after="0"/>
        <w:rPr>
          <w:sz w:val="20"/>
          <w:szCs w:val="20"/>
          <w:color w:val="auto"/>
        </w:rPr>
      </w:pPr>
      <w:r>
        <w:rPr>
          <w:rFonts w:ascii="Arial" w:cs="Arial" w:eastAsia="Arial" w:hAnsi="Arial"/>
          <w:sz w:val="18"/>
          <w:szCs w:val="18"/>
          <w:b w:val="1"/>
          <w:bCs w:val="1"/>
          <w:i w:val="1"/>
          <w:iCs w:val="1"/>
          <w:color w:val="auto"/>
        </w:rPr>
        <w:t>Sempra Energy</w:t>
      </w:r>
    </w:p>
    <w:p>
      <w:pPr>
        <w:spacing w:after="0" w:line="60" w:lineRule="exact"/>
        <w:rPr>
          <w:sz w:val="20"/>
          <w:szCs w:val="20"/>
          <w:color w:val="auto"/>
        </w:rPr>
      </w:pPr>
    </w:p>
    <w:p>
      <w:pPr>
        <w:ind w:left="2680"/>
        <w:spacing w:after="0"/>
        <w:rPr>
          <w:sz w:val="20"/>
          <w:szCs w:val="20"/>
          <w:color w:val="auto"/>
        </w:rPr>
      </w:pPr>
      <w:r>
        <w:rPr>
          <w:rFonts w:ascii="Arial" w:cs="Arial" w:eastAsia="Arial" w:hAnsi="Arial"/>
          <w:sz w:val="16"/>
          <w:szCs w:val="16"/>
          <w:color w:val="auto"/>
        </w:rPr>
        <w:t>21.1  Sempra Energy Schedule of Significant Subsidiaries at December 31, 2008.</w:t>
      </w:r>
    </w:p>
    <w:p>
      <w:pPr>
        <w:spacing w:after="0" w:line="210" w:lineRule="exact"/>
        <w:rPr>
          <w:sz w:val="20"/>
          <w:szCs w:val="20"/>
          <w:color w:val="auto"/>
        </w:rPr>
      </w:pPr>
    </w:p>
    <w:p>
      <w:pPr>
        <w:ind w:left="2240"/>
        <w:spacing w:after="0"/>
        <w:rPr>
          <w:sz w:val="20"/>
          <w:szCs w:val="20"/>
          <w:color w:val="auto"/>
        </w:rPr>
      </w:pPr>
      <w:r>
        <w:rPr>
          <w:rFonts w:ascii="Arial" w:cs="Arial" w:eastAsia="Arial" w:hAnsi="Arial"/>
          <w:sz w:val="18"/>
          <w:szCs w:val="18"/>
          <w:b w:val="1"/>
          <w:bCs w:val="1"/>
          <w:i w:val="1"/>
          <w:iCs w:val="1"/>
          <w:color w:val="auto"/>
        </w:rPr>
        <w:t>Pacific Enterprises</w:t>
      </w:r>
    </w:p>
    <w:p>
      <w:pPr>
        <w:spacing w:after="0" w:line="60" w:lineRule="exact"/>
        <w:rPr>
          <w:sz w:val="20"/>
          <w:szCs w:val="20"/>
          <w:color w:val="auto"/>
        </w:rPr>
      </w:pPr>
    </w:p>
    <w:p>
      <w:pPr>
        <w:ind w:left="2680"/>
        <w:spacing w:after="0"/>
        <w:rPr>
          <w:sz w:val="20"/>
          <w:szCs w:val="20"/>
          <w:color w:val="auto"/>
        </w:rPr>
      </w:pPr>
      <w:r>
        <w:rPr>
          <w:rFonts w:ascii="Arial" w:cs="Arial" w:eastAsia="Arial" w:hAnsi="Arial"/>
          <w:sz w:val="16"/>
          <w:szCs w:val="16"/>
          <w:color w:val="auto"/>
        </w:rPr>
        <w:t>21.2  Pacific Enterprises Schedule of Significant Subsidiaries at December 31, 2008.</w:t>
      </w:r>
    </w:p>
    <w:p>
      <w:pPr>
        <w:spacing w:after="0" w:line="300" w:lineRule="exact"/>
        <w:rPr>
          <w:sz w:val="20"/>
          <w:szCs w:val="20"/>
          <w:color w:val="auto"/>
        </w:rPr>
      </w:pPr>
    </w:p>
    <w:p>
      <w:pPr>
        <w:ind w:left="2240" w:right="1739"/>
        <w:spacing w:after="0" w:line="272" w:lineRule="auto"/>
        <w:rPr>
          <w:sz w:val="20"/>
          <w:szCs w:val="20"/>
          <w:color w:val="auto"/>
        </w:rPr>
      </w:pPr>
      <w:r>
        <w:rPr>
          <w:rFonts w:ascii="Arial" w:cs="Arial" w:eastAsia="Arial" w:hAnsi="Arial"/>
          <w:sz w:val="16"/>
          <w:szCs w:val="16"/>
          <w:b w:val="1"/>
          <w:bCs w:val="1"/>
          <w:color w:val="auto"/>
        </w:rPr>
        <w:t>EXHIBIT 23 -- CONSENTS OF INDEPENDENT REGISTERED PUBLIC ACCOUNTING FIRM AND REPORT ON SCHEDULE, PAGES 36 AND 37.</w:t>
      </w:r>
    </w:p>
    <w:p>
      <w:pPr>
        <w:spacing w:after="0" w:line="328" w:lineRule="exact"/>
        <w:rPr>
          <w:sz w:val="20"/>
          <w:szCs w:val="20"/>
          <w:color w:val="auto"/>
        </w:rPr>
      </w:pPr>
    </w:p>
    <w:p>
      <w:pPr>
        <w:ind w:left="2240"/>
        <w:spacing w:after="0"/>
        <w:rPr>
          <w:sz w:val="20"/>
          <w:szCs w:val="20"/>
          <w:color w:val="auto"/>
        </w:rPr>
      </w:pPr>
      <w:r>
        <w:rPr>
          <w:rFonts w:ascii="Arial" w:cs="Arial" w:eastAsia="Arial" w:hAnsi="Arial"/>
          <w:sz w:val="16"/>
          <w:szCs w:val="16"/>
          <w:b w:val="1"/>
          <w:bCs w:val="1"/>
          <w:color w:val="auto"/>
        </w:rPr>
        <w:t>EXHIBIT 31 -- SECTION 302 CERTIFICATIONS</w:t>
      </w:r>
    </w:p>
    <w:p>
      <w:pPr>
        <w:spacing w:after="0" w:line="291" w:lineRule="exact"/>
        <w:rPr>
          <w:sz w:val="20"/>
          <w:szCs w:val="20"/>
          <w:color w:val="auto"/>
        </w:rPr>
      </w:pPr>
    </w:p>
    <w:p>
      <w:pPr>
        <w:ind w:left="2240"/>
        <w:spacing w:after="0"/>
        <w:rPr>
          <w:sz w:val="20"/>
          <w:szCs w:val="20"/>
          <w:color w:val="auto"/>
        </w:rPr>
      </w:pPr>
      <w:r>
        <w:rPr>
          <w:rFonts w:ascii="Arial" w:cs="Arial" w:eastAsia="Arial" w:hAnsi="Arial"/>
          <w:sz w:val="18"/>
          <w:szCs w:val="18"/>
          <w:b w:val="1"/>
          <w:bCs w:val="1"/>
          <w:i w:val="1"/>
          <w:iCs w:val="1"/>
          <w:color w:val="auto"/>
        </w:rPr>
        <w:t>Sempra Energy</w:t>
      </w:r>
    </w:p>
    <w:p>
      <w:pPr>
        <w:spacing w:after="0" w:line="60" w:lineRule="exact"/>
        <w:rPr>
          <w:sz w:val="20"/>
          <w:szCs w:val="20"/>
          <w:color w:val="auto"/>
        </w:rPr>
      </w:pPr>
    </w:p>
    <w:p>
      <w:pPr>
        <w:ind w:left="3080" w:right="1059" w:hanging="383"/>
        <w:spacing w:after="0" w:line="277" w:lineRule="auto"/>
        <w:rPr>
          <w:sz w:val="20"/>
          <w:szCs w:val="20"/>
          <w:color w:val="auto"/>
        </w:rPr>
      </w:pPr>
      <w:r>
        <w:rPr>
          <w:rFonts w:ascii="Arial" w:cs="Arial" w:eastAsia="Arial" w:hAnsi="Arial"/>
          <w:sz w:val="16"/>
          <w:szCs w:val="16"/>
          <w:color w:val="auto"/>
        </w:rPr>
        <w:t>31.1 Statement of Sempra Energy's Chief Executive Officer pursuant to Rules 13a-14 and 15d-14 of the Securities Exchange Act of 1934.</w:t>
      </w:r>
    </w:p>
    <w:p>
      <w:pPr>
        <w:spacing w:after="0" w:line="200" w:lineRule="exact"/>
        <w:rPr>
          <w:sz w:val="20"/>
          <w:szCs w:val="20"/>
          <w:color w:val="auto"/>
        </w:rPr>
      </w:pPr>
    </w:p>
    <w:p>
      <w:pPr>
        <w:ind w:left="3080" w:right="1099" w:hanging="383"/>
        <w:spacing w:after="0" w:line="277" w:lineRule="auto"/>
        <w:rPr>
          <w:sz w:val="20"/>
          <w:szCs w:val="20"/>
          <w:color w:val="auto"/>
        </w:rPr>
      </w:pPr>
      <w:r>
        <w:rPr>
          <w:rFonts w:ascii="Arial" w:cs="Arial" w:eastAsia="Arial" w:hAnsi="Arial"/>
          <w:sz w:val="16"/>
          <w:szCs w:val="16"/>
          <w:color w:val="auto"/>
        </w:rPr>
        <w:t>31.2 Statement of Sempra Energy's Chief Financial Officer pursuant to Rules 13a-14 and 15d-14 of the Securities Exchange Act of 1934.</w:t>
      </w:r>
    </w:p>
    <w:p>
      <w:pPr>
        <w:spacing w:after="0" w:line="162" w:lineRule="exact"/>
        <w:rPr>
          <w:sz w:val="20"/>
          <w:szCs w:val="20"/>
          <w:color w:val="auto"/>
        </w:rPr>
      </w:pPr>
    </w:p>
    <w:p>
      <w:pPr>
        <w:ind w:left="2240"/>
        <w:spacing w:after="0"/>
        <w:rPr>
          <w:sz w:val="20"/>
          <w:szCs w:val="20"/>
          <w:color w:val="auto"/>
        </w:rPr>
      </w:pPr>
      <w:r>
        <w:rPr>
          <w:rFonts w:ascii="Arial" w:cs="Arial" w:eastAsia="Arial" w:hAnsi="Arial"/>
          <w:sz w:val="18"/>
          <w:szCs w:val="18"/>
          <w:b w:val="1"/>
          <w:bCs w:val="1"/>
          <w:i w:val="1"/>
          <w:iCs w:val="1"/>
          <w:color w:val="auto"/>
        </w:rPr>
        <w:t>San Diego Gas &amp; Electric Company</w:t>
      </w:r>
    </w:p>
    <w:p>
      <w:pPr>
        <w:spacing w:after="0" w:line="60" w:lineRule="exact"/>
        <w:rPr>
          <w:sz w:val="20"/>
          <w:szCs w:val="20"/>
          <w:color w:val="auto"/>
        </w:rPr>
      </w:pPr>
    </w:p>
    <w:p>
      <w:pPr>
        <w:ind w:left="2680"/>
        <w:spacing w:after="0"/>
        <w:rPr>
          <w:sz w:val="20"/>
          <w:szCs w:val="20"/>
          <w:color w:val="auto"/>
        </w:rPr>
      </w:pPr>
      <w:r>
        <w:rPr>
          <w:rFonts w:ascii="Arial" w:cs="Arial" w:eastAsia="Arial" w:hAnsi="Arial"/>
          <w:sz w:val="14"/>
          <w:szCs w:val="14"/>
          <w:color w:val="auto"/>
        </w:rPr>
        <w:t>31.3  Statement of San Diego Gas &amp; Electric's Chief Executive Officer pursuant to Rules 13a-14 and</w:t>
      </w:r>
    </w:p>
    <w:p>
      <w:pPr>
        <w:spacing w:after="0" w:line="44" w:lineRule="exact"/>
        <w:rPr>
          <w:sz w:val="20"/>
          <w:szCs w:val="20"/>
          <w:color w:val="auto"/>
        </w:rPr>
      </w:pPr>
    </w:p>
    <w:p>
      <w:pPr>
        <w:ind w:left="3080"/>
        <w:spacing w:after="0"/>
        <w:rPr>
          <w:sz w:val="20"/>
          <w:szCs w:val="20"/>
          <w:color w:val="auto"/>
        </w:rPr>
      </w:pPr>
      <w:r>
        <w:rPr>
          <w:rFonts w:ascii="Arial" w:cs="Arial" w:eastAsia="Arial" w:hAnsi="Arial"/>
          <w:sz w:val="16"/>
          <w:szCs w:val="16"/>
          <w:color w:val="auto"/>
        </w:rPr>
        <w:t>15d-14 of the Securities Exchange Act of 1934.</w:t>
      </w:r>
    </w:p>
    <w:p>
      <w:pPr>
        <w:spacing w:after="0" w:line="396" w:lineRule="exact"/>
        <w:rPr>
          <w:sz w:val="20"/>
          <w:szCs w:val="20"/>
          <w:color w:val="auto"/>
        </w:rPr>
      </w:pPr>
    </w:p>
    <w:p>
      <w:pPr>
        <w:spacing w:after="0"/>
        <w:rPr>
          <w:sz w:val="20"/>
          <w:szCs w:val="20"/>
          <w:color w:val="auto"/>
        </w:rPr>
      </w:pPr>
      <w:r>
        <w:rPr>
          <w:rFonts w:ascii="Arial" w:cs="Arial" w:eastAsia="Arial" w:hAnsi="Arial"/>
          <w:sz w:val="14"/>
          <w:szCs w:val="14"/>
          <w:color w:val="auto"/>
        </w:rPr>
        <w:t>54</w:t>
      </w:r>
    </w:p>
    <w:p>
      <w:pPr>
        <w:sectPr>
          <w:pgSz w:w="11900" w:h="16838" w:orient="portrait"/>
          <w:cols w:equalWidth="0" w:num="1">
            <w:col w:w="10219"/>
          </w:cols>
          <w:pgMar w:left="240" w:top="725" w:right="1440" w:bottom="1440" w:gutter="0" w:footer="0" w:header="0"/>
        </w:sectPr>
      </w:pPr>
    </w:p>
    <w:bookmarkStart w:id="55" w:name="page56"/>
    <w:bookmarkEnd w:id="55"/>
    <w:p>
      <w:pPr>
        <w:ind w:left="2680"/>
        <w:spacing w:after="0"/>
        <w:rPr>
          <w:sz w:val="20"/>
          <w:szCs w:val="20"/>
          <w:color w:val="auto"/>
        </w:rPr>
      </w:pPr>
      <w:r>
        <w:rPr>
          <w:rFonts w:ascii="Arial" w:cs="Arial" w:eastAsia="Arial" w:hAnsi="Arial"/>
          <w:sz w:val="14"/>
          <w:szCs w:val="14"/>
          <w:color w:val="auto"/>
        </w:rPr>
        <w:t>31.4  Statement of San Diego Gas &amp; Electric's Chief Financial Officer pursuant to Rules 13a-14 and</w:t>
      </w:r>
    </w:p>
    <w:p>
      <w:pPr>
        <w:spacing w:after="0" w:line="44" w:lineRule="exact"/>
        <w:rPr>
          <w:sz w:val="20"/>
          <w:szCs w:val="20"/>
          <w:color w:val="auto"/>
        </w:rPr>
      </w:pPr>
    </w:p>
    <w:p>
      <w:pPr>
        <w:ind w:left="3080"/>
        <w:spacing w:after="0"/>
        <w:rPr>
          <w:sz w:val="20"/>
          <w:szCs w:val="20"/>
          <w:color w:val="auto"/>
        </w:rPr>
      </w:pPr>
      <w:r>
        <w:rPr>
          <w:rFonts w:ascii="Arial" w:cs="Arial" w:eastAsia="Arial" w:hAnsi="Arial"/>
          <w:sz w:val="16"/>
          <w:szCs w:val="16"/>
          <w:color w:val="auto"/>
        </w:rPr>
        <w:t>15d-14 of the Securities Exchange Act of 1934.</w:t>
      </w:r>
    </w:p>
    <w:p>
      <w:pPr>
        <w:spacing w:after="0" w:line="198" w:lineRule="exact"/>
        <w:rPr>
          <w:sz w:val="20"/>
          <w:szCs w:val="20"/>
          <w:color w:val="auto"/>
        </w:rPr>
      </w:pPr>
    </w:p>
    <w:p>
      <w:pPr>
        <w:ind w:left="2240"/>
        <w:spacing w:after="0"/>
        <w:rPr>
          <w:sz w:val="20"/>
          <w:szCs w:val="20"/>
          <w:color w:val="auto"/>
        </w:rPr>
      </w:pPr>
      <w:r>
        <w:rPr>
          <w:rFonts w:ascii="Arial" w:cs="Arial" w:eastAsia="Arial" w:hAnsi="Arial"/>
          <w:sz w:val="18"/>
          <w:szCs w:val="18"/>
          <w:b w:val="1"/>
          <w:bCs w:val="1"/>
          <w:i w:val="1"/>
          <w:iCs w:val="1"/>
          <w:color w:val="auto"/>
        </w:rPr>
        <w:t>Pacific Enterprises</w:t>
      </w:r>
    </w:p>
    <w:p>
      <w:pPr>
        <w:spacing w:after="0" w:line="60" w:lineRule="exact"/>
        <w:rPr>
          <w:sz w:val="20"/>
          <w:szCs w:val="20"/>
          <w:color w:val="auto"/>
        </w:rPr>
      </w:pPr>
    </w:p>
    <w:p>
      <w:pPr>
        <w:ind w:left="3080" w:right="1619" w:hanging="383"/>
        <w:spacing w:after="0" w:line="277" w:lineRule="auto"/>
        <w:rPr>
          <w:sz w:val="20"/>
          <w:szCs w:val="20"/>
          <w:color w:val="auto"/>
        </w:rPr>
      </w:pPr>
      <w:r>
        <w:rPr>
          <w:rFonts w:ascii="Arial" w:cs="Arial" w:eastAsia="Arial" w:hAnsi="Arial"/>
          <w:sz w:val="16"/>
          <w:szCs w:val="16"/>
          <w:color w:val="auto"/>
        </w:rPr>
        <w:t>31.5 Statement of PE's Chief Executive Officer pursuant to Rules 13a-14 and 15d-14 of the Securities Exchange Act of 1934.</w:t>
      </w:r>
    </w:p>
    <w:p>
      <w:pPr>
        <w:spacing w:after="0" w:line="200" w:lineRule="exact"/>
        <w:rPr>
          <w:sz w:val="20"/>
          <w:szCs w:val="20"/>
          <w:color w:val="auto"/>
        </w:rPr>
      </w:pPr>
    </w:p>
    <w:p>
      <w:pPr>
        <w:ind w:left="3080" w:right="1659" w:hanging="383"/>
        <w:spacing w:after="0" w:line="277" w:lineRule="auto"/>
        <w:rPr>
          <w:sz w:val="20"/>
          <w:szCs w:val="20"/>
          <w:color w:val="auto"/>
        </w:rPr>
      </w:pPr>
      <w:r>
        <w:rPr>
          <w:rFonts w:ascii="Arial" w:cs="Arial" w:eastAsia="Arial" w:hAnsi="Arial"/>
          <w:sz w:val="16"/>
          <w:szCs w:val="16"/>
          <w:color w:val="auto"/>
        </w:rPr>
        <w:t>31.6 Statement of PE's Chief Financial Officer pursuant to Rules 13a-14 and 15d-14 of the Securities Exchange Act of 1934.</w:t>
      </w:r>
    </w:p>
    <w:p>
      <w:pPr>
        <w:spacing w:after="0" w:line="162" w:lineRule="exact"/>
        <w:rPr>
          <w:sz w:val="20"/>
          <w:szCs w:val="20"/>
          <w:color w:val="auto"/>
        </w:rPr>
      </w:pPr>
    </w:p>
    <w:p>
      <w:pPr>
        <w:ind w:left="2240"/>
        <w:spacing w:after="0"/>
        <w:rPr>
          <w:sz w:val="20"/>
          <w:szCs w:val="20"/>
          <w:color w:val="auto"/>
        </w:rPr>
      </w:pPr>
      <w:r>
        <w:rPr>
          <w:rFonts w:ascii="Arial" w:cs="Arial" w:eastAsia="Arial" w:hAnsi="Arial"/>
          <w:sz w:val="18"/>
          <w:szCs w:val="18"/>
          <w:b w:val="1"/>
          <w:bCs w:val="1"/>
          <w:i w:val="1"/>
          <w:iCs w:val="1"/>
          <w:color w:val="auto"/>
        </w:rPr>
        <w:t>Southern California Gas Company</w:t>
      </w:r>
    </w:p>
    <w:p>
      <w:pPr>
        <w:spacing w:after="0" w:line="60" w:lineRule="exact"/>
        <w:rPr>
          <w:sz w:val="20"/>
          <w:szCs w:val="20"/>
          <w:color w:val="auto"/>
        </w:rPr>
      </w:pPr>
    </w:p>
    <w:p>
      <w:pPr>
        <w:ind w:left="3080" w:right="1239" w:hanging="383"/>
        <w:spacing w:after="0" w:line="277" w:lineRule="auto"/>
        <w:rPr>
          <w:sz w:val="20"/>
          <w:szCs w:val="20"/>
          <w:color w:val="auto"/>
        </w:rPr>
      </w:pPr>
      <w:r>
        <w:rPr>
          <w:rFonts w:ascii="Arial" w:cs="Arial" w:eastAsia="Arial" w:hAnsi="Arial"/>
          <w:sz w:val="16"/>
          <w:szCs w:val="16"/>
          <w:color w:val="auto"/>
        </w:rPr>
        <w:t>31.7 Statement of SoCalGas' Chief Executive Officer pursuant to Rules 13a-14 and 15d-14 of the Securities Exchange Act of 1934.</w:t>
      </w:r>
    </w:p>
    <w:p>
      <w:pPr>
        <w:spacing w:after="0" w:line="200" w:lineRule="exact"/>
        <w:rPr>
          <w:sz w:val="20"/>
          <w:szCs w:val="20"/>
          <w:color w:val="auto"/>
        </w:rPr>
      </w:pPr>
    </w:p>
    <w:p>
      <w:pPr>
        <w:ind w:left="3080" w:right="1279" w:hanging="383"/>
        <w:spacing w:after="0" w:line="277" w:lineRule="auto"/>
        <w:rPr>
          <w:sz w:val="20"/>
          <w:szCs w:val="20"/>
          <w:color w:val="auto"/>
        </w:rPr>
      </w:pPr>
      <w:r>
        <w:rPr>
          <w:rFonts w:ascii="Arial" w:cs="Arial" w:eastAsia="Arial" w:hAnsi="Arial"/>
          <w:sz w:val="16"/>
          <w:szCs w:val="16"/>
          <w:color w:val="auto"/>
        </w:rPr>
        <w:t>31.8 Statement of SoCalGas' Chief Financial Officer pursuant to Rules 13a-14 and 15d-14 of the Securities Exchange Act of 1934.</w:t>
      </w:r>
    </w:p>
    <w:p>
      <w:pPr>
        <w:spacing w:after="0" w:line="252" w:lineRule="exact"/>
        <w:rPr>
          <w:sz w:val="20"/>
          <w:szCs w:val="20"/>
          <w:color w:val="auto"/>
        </w:rPr>
      </w:pPr>
    </w:p>
    <w:p>
      <w:pPr>
        <w:ind w:left="2240"/>
        <w:spacing w:after="0"/>
        <w:rPr>
          <w:sz w:val="20"/>
          <w:szCs w:val="20"/>
          <w:color w:val="auto"/>
        </w:rPr>
      </w:pPr>
      <w:r>
        <w:rPr>
          <w:rFonts w:ascii="Arial" w:cs="Arial" w:eastAsia="Arial" w:hAnsi="Arial"/>
          <w:sz w:val="16"/>
          <w:szCs w:val="16"/>
          <w:b w:val="1"/>
          <w:bCs w:val="1"/>
          <w:color w:val="auto"/>
        </w:rPr>
        <w:t>EXHIBIT 32 -- SECTION 906 CERTIFICATIONS</w:t>
      </w:r>
    </w:p>
    <w:p>
      <w:pPr>
        <w:spacing w:after="0" w:line="291" w:lineRule="exact"/>
        <w:rPr>
          <w:sz w:val="20"/>
          <w:szCs w:val="20"/>
          <w:color w:val="auto"/>
        </w:rPr>
      </w:pPr>
    </w:p>
    <w:p>
      <w:pPr>
        <w:ind w:left="2240"/>
        <w:spacing w:after="0"/>
        <w:rPr>
          <w:sz w:val="20"/>
          <w:szCs w:val="20"/>
          <w:color w:val="auto"/>
        </w:rPr>
      </w:pPr>
      <w:r>
        <w:rPr>
          <w:rFonts w:ascii="Arial" w:cs="Arial" w:eastAsia="Arial" w:hAnsi="Arial"/>
          <w:sz w:val="18"/>
          <w:szCs w:val="18"/>
          <w:b w:val="1"/>
          <w:bCs w:val="1"/>
          <w:i w:val="1"/>
          <w:iCs w:val="1"/>
          <w:color w:val="auto"/>
        </w:rPr>
        <w:t>Sempra Energy</w:t>
      </w:r>
    </w:p>
    <w:p>
      <w:pPr>
        <w:spacing w:after="0" w:line="60" w:lineRule="exact"/>
        <w:rPr>
          <w:sz w:val="20"/>
          <w:szCs w:val="20"/>
          <w:color w:val="auto"/>
        </w:rPr>
      </w:pPr>
    </w:p>
    <w:p>
      <w:pPr>
        <w:ind w:left="2680"/>
        <w:spacing w:after="0"/>
        <w:rPr>
          <w:sz w:val="20"/>
          <w:szCs w:val="20"/>
          <w:color w:val="auto"/>
        </w:rPr>
      </w:pPr>
      <w:r>
        <w:rPr>
          <w:rFonts w:ascii="Arial" w:cs="Arial" w:eastAsia="Arial" w:hAnsi="Arial"/>
          <w:sz w:val="15"/>
          <w:szCs w:val="15"/>
          <w:color w:val="auto"/>
        </w:rPr>
        <w:t>32.1  Statement of Sempra Energy's Chief Executive Officer pursuant to 18 U.S.C. Sec. 1350.</w:t>
      </w:r>
    </w:p>
    <w:p>
      <w:pPr>
        <w:spacing w:after="0" w:line="260" w:lineRule="exact"/>
        <w:rPr>
          <w:sz w:val="20"/>
          <w:szCs w:val="20"/>
          <w:color w:val="auto"/>
        </w:rPr>
      </w:pPr>
    </w:p>
    <w:p>
      <w:pPr>
        <w:ind w:left="2680"/>
        <w:spacing w:after="0"/>
        <w:rPr>
          <w:sz w:val="20"/>
          <w:szCs w:val="20"/>
          <w:color w:val="auto"/>
        </w:rPr>
      </w:pPr>
      <w:r>
        <w:rPr>
          <w:rFonts w:ascii="Arial" w:cs="Arial" w:eastAsia="Arial" w:hAnsi="Arial"/>
          <w:sz w:val="15"/>
          <w:szCs w:val="15"/>
          <w:color w:val="auto"/>
        </w:rPr>
        <w:t>32.2  Statement of Sempra Energy's Chief Financial Officer pursuant to 18 U.S.C. Sec. 1350.</w:t>
      </w:r>
    </w:p>
    <w:p>
      <w:pPr>
        <w:spacing w:after="0" w:line="222" w:lineRule="exact"/>
        <w:rPr>
          <w:sz w:val="20"/>
          <w:szCs w:val="20"/>
          <w:color w:val="auto"/>
        </w:rPr>
      </w:pPr>
    </w:p>
    <w:p>
      <w:pPr>
        <w:ind w:left="2240"/>
        <w:spacing w:after="0"/>
        <w:rPr>
          <w:sz w:val="20"/>
          <w:szCs w:val="20"/>
          <w:color w:val="auto"/>
        </w:rPr>
      </w:pPr>
      <w:r>
        <w:rPr>
          <w:rFonts w:ascii="Arial" w:cs="Arial" w:eastAsia="Arial" w:hAnsi="Arial"/>
          <w:sz w:val="18"/>
          <w:szCs w:val="18"/>
          <w:b w:val="1"/>
          <w:bCs w:val="1"/>
          <w:i w:val="1"/>
          <w:iCs w:val="1"/>
          <w:color w:val="auto"/>
        </w:rPr>
        <w:t>San Diego Gas &amp; Electric Company</w:t>
      </w:r>
    </w:p>
    <w:p>
      <w:pPr>
        <w:spacing w:after="0" w:line="60" w:lineRule="exact"/>
        <w:rPr>
          <w:sz w:val="20"/>
          <w:szCs w:val="20"/>
          <w:color w:val="auto"/>
        </w:rPr>
      </w:pPr>
    </w:p>
    <w:p>
      <w:pPr>
        <w:ind w:left="2680"/>
        <w:spacing w:after="0"/>
        <w:rPr>
          <w:sz w:val="20"/>
          <w:szCs w:val="20"/>
          <w:color w:val="auto"/>
        </w:rPr>
      </w:pPr>
      <w:r>
        <w:rPr>
          <w:rFonts w:ascii="Arial" w:cs="Arial" w:eastAsia="Arial" w:hAnsi="Arial"/>
          <w:sz w:val="14"/>
          <w:szCs w:val="14"/>
          <w:color w:val="auto"/>
        </w:rPr>
        <w:t>32.3  Statement of San Diego Gas &amp; Electric's Chief Executive Officer pursuant to 18 U.S.C. Sec.</w:t>
      </w:r>
    </w:p>
    <w:p>
      <w:pPr>
        <w:spacing w:after="0" w:line="44" w:lineRule="exact"/>
        <w:rPr>
          <w:sz w:val="20"/>
          <w:szCs w:val="20"/>
          <w:color w:val="auto"/>
        </w:rPr>
      </w:pPr>
    </w:p>
    <w:p>
      <w:pPr>
        <w:ind w:left="3080"/>
        <w:spacing w:after="0"/>
        <w:rPr>
          <w:sz w:val="20"/>
          <w:szCs w:val="20"/>
          <w:color w:val="auto"/>
        </w:rPr>
      </w:pPr>
      <w:r>
        <w:rPr>
          <w:rFonts w:ascii="Arial" w:cs="Arial" w:eastAsia="Arial" w:hAnsi="Arial"/>
          <w:sz w:val="16"/>
          <w:szCs w:val="16"/>
          <w:color w:val="auto"/>
        </w:rPr>
        <w:t>1350.</w:t>
      </w:r>
    </w:p>
    <w:p>
      <w:pPr>
        <w:spacing w:after="0" w:line="236" w:lineRule="exact"/>
        <w:rPr>
          <w:sz w:val="20"/>
          <w:szCs w:val="20"/>
          <w:color w:val="auto"/>
        </w:rPr>
      </w:pPr>
    </w:p>
    <w:p>
      <w:pPr>
        <w:ind w:left="2680"/>
        <w:spacing w:after="0"/>
        <w:rPr>
          <w:sz w:val="20"/>
          <w:szCs w:val="20"/>
          <w:color w:val="auto"/>
        </w:rPr>
      </w:pPr>
      <w:r>
        <w:rPr>
          <w:rFonts w:ascii="Arial" w:cs="Arial" w:eastAsia="Arial" w:hAnsi="Arial"/>
          <w:sz w:val="15"/>
          <w:szCs w:val="15"/>
          <w:color w:val="auto"/>
        </w:rPr>
        <w:t>32.4  Statement of San Diego Gas &amp; Electric's Chief Financial Officer pursuant to 18 U.S.C. Sec.</w:t>
      </w:r>
    </w:p>
    <w:p>
      <w:pPr>
        <w:spacing w:after="0" w:line="32" w:lineRule="exact"/>
        <w:rPr>
          <w:sz w:val="20"/>
          <w:szCs w:val="20"/>
          <w:color w:val="auto"/>
        </w:rPr>
      </w:pPr>
    </w:p>
    <w:p>
      <w:pPr>
        <w:ind w:left="3080"/>
        <w:spacing w:after="0"/>
        <w:rPr>
          <w:sz w:val="20"/>
          <w:szCs w:val="20"/>
          <w:color w:val="auto"/>
        </w:rPr>
      </w:pPr>
      <w:r>
        <w:rPr>
          <w:rFonts w:ascii="Arial" w:cs="Arial" w:eastAsia="Arial" w:hAnsi="Arial"/>
          <w:sz w:val="16"/>
          <w:szCs w:val="16"/>
          <w:color w:val="auto"/>
        </w:rPr>
        <w:t>1350.</w:t>
      </w:r>
    </w:p>
    <w:p>
      <w:pPr>
        <w:spacing w:after="0" w:line="198" w:lineRule="exact"/>
        <w:rPr>
          <w:sz w:val="20"/>
          <w:szCs w:val="20"/>
          <w:color w:val="auto"/>
        </w:rPr>
      </w:pPr>
    </w:p>
    <w:p>
      <w:pPr>
        <w:ind w:left="2240"/>
        <w:spacing w:after="0"/>
        <w:rPr>
          <w:sz w:val="20"/>
          <w:szCs w:val="20"/>
          <w:color w:val="auto"/>
        </w:rPr>
      </w:pPr>
      <w:r>
        <w:rPr>
          <w:rFonts w:ascii="Arial" w:cs="Arial" w:eastAsia="Arial" w:hAnsi="Arial"/>
          <w:sz w:val="18"/>
          <w:szCs w:val="18"/>
          <w:b w:val="1"/>
          <w:bCs w:val="1"/>
          <w:i w:val="1"/>
          <w:iCs w:val="1"/>
          <w:color w:val="auto"/>
        </w:rPr>
        <w:t>Pacific Enterprises</w:t>
      </w:r>
    </w:p>
    <w:p>
      <w:pPr>
        <w:spacing w:after="0" w:line="60" w:lineRule="exact"/>
        <w:rPr>
          <w:sz w:val="20"/>
          <w:szCs w:val="20"/>
          <w:color w:val="auto"/>
        </w:rPr>
      </w:pPr>
    </w:p>
    <w:p>
      <w:pPr>
        <w:ind w:left="2680"/>
        <w:spacing w:after="0"/>
        <w:rPr>
          <w:sz w:val="20"/>
          <w:szCs w:val="20"/>
          <w:color w:val="auto"/>
        </w:rPr>
      </w:pPr>
      <w:r>
        <w:rPr>
          <w:rFonts w:ascii="Arial" w:cs="Arial" w:eastAsia="Arial" w:hAnsi="Arial"/>
          <w:sz w:val="16"/>
          <w:szCs w:val="16"/>
          <w:color w:val="auto"/>
        </w:rPr>
        <w:t>32.5  Statement of PE's Chief Executive Officer pursuant to 18 U.S.C. Sec. 1350.</w:t>
      </w:r>
    </w:p>
    <w:p>
      <w:pPr>
        <w:spacing w:after="0" w:line="248" w:lineRule="exact"/>
        <w:rPr>
          <w:sz w:val="20"/>
          <w:szCs w:val="20"/>
          <w:color w:val="auto"/>
        </w:rPr>
      </w:pPr>
    </w:p>
    <w:p>
      <w:pPr>
        <w:ind w:left="2680"/>
        <w:spacing w:after="0"/>
        <w:rPr>
          <w:sz w:val="20"/>
          <w:szCs w:val="20"/>
          <w:color w:val="auto"/>
        </w:rPr>
      </w:pPr>
      <w:r>
        <w:rPr>
          <w:rFonts w:ascii="Arial" w:cs="Arial" w:eastAsia="Arial" w:hAnsi="Arial"/>
          <w:sz w:val="16"/>
          <w:szCs w:val="16"/>
          <w:color w:val="auto"/>
        </w:rPr>
        <w:t>32.6  Statement of PE's Chief Financial Officer pursuant to 18 U.S.C. Sec. 1350.</w:t>
      </w:r>
    </w:p>
    <w:p>
      <w:pPr>
        <w:spacing w:after="0" w:line="210" w:lineRule="exact"/>
        <w:rPr>
          <w:sz w:val="20"/>
          <w:szCs w:val="20"/>
          <w:color w:val="auto"/>
        </w:rPr>
      </w:pPr>
    </w:p>
    <w:p>
      <w:pPr>
        <w:ind w:left="2240"/>
        <w:spacing w:after="0"/>
        <w:rPr>
          <w:sz w:val="20"/>
          <w:szCs w:val="20"/>
          <w:color w:val="auto"/>
        </w:rPr>
      </w:pPr>
      <w:r>
        <w:rPr>
          <w:rFonts w:ascii="Arial" w:cs="Arial" w:eastAsia="Arial" w:hAnsi="Arial"/>
          <w:sz w:val="18"/>
          <w:szCs w:val="18"/>
          <w:b w:val="1"/>
          <w:bCs w:val="1"/>
          <w:i w:val="1"/>
          <w:iCs w:val="1"/>
          <w:color w:val="auto"/>
        </w:rPr>
        <w:t>Southern California Gas Company</w:t>
      </w:r>
    </w:p>
    <w:p>
      <w:pPr>
        <w:spacing w:after="0" w:line="60" w:lineRule="exact"/>
        <w:rPr>
          <w:sz w:val="20"/>
          <w:szCs w:val="20"/>
          <w:color w:val="auto"/>
        </w:rPr>
      </w:pPr>
    </w:p>
    <w:p>
      <w:pPr>
        <w:ind w:left="2680"/>
        <w:spacing w:after="0"/>
        <w:rPr>
          <w:sz w:val="20"/>
          <w:szCs w:val="20"/>
          <w:color w:val="auto"/>
        </w:rPr>
      </w:pPr>
      <w:r>
        <w:rPr>
          <w:rFonts w:ascii="Arial" w:cs="Arial" w:eastAsia="Arial" w:hAnsi="Arial"/>
          <w:sz w:val="16"/>
          <w:szCs w:val="16"/>
          <w:color w:val="auto"/>
        </w:rPr>
        <w:t>32.7  Statement of SoCalGas' Chief Executive Officer pursuant to 18 U.S.C. Sec. 1350.</w:t>
      </w:r>
    </w:p>
    <w:p>
      <w:pPr>
        <w:spacing w:after="0" w:line="248" w:lineRule="exact"/>
        <w:rPr>
          <w:sz w:val="20"/>
          <w:szCs w:val="20"/>
          <w:color w:val="auto"/>
        </w:rPr>
      </w:pPr>
    </w:p>
    <w:p>
      <w:pPr>
        <w:ind w:left="2680"/>
        <w:spacing w:after="0"/>
        <w:rPr>
          <w:sz w:val="20"/>
          <w:szCs w:val="20"/>
          <w:color w:val="auto"/>
        </w:rPr>
      </w:pPr>
      <w:r>
        <w:rPr>
          <w:rFonts w:ascii="Arial" w:cs="Arial" w:eastAsia="Arial" w:hAnsi="Arial"/>
          <w:sz w:val="16"/>
          <w:szCs w:val="16"/>
          <w:color w:val="auto"/>
        </w:rPr>
        <w:t>32.8  Statement of SoCalGas' Chief Financial Officer pursuant to 18 U.S.C. Sec. 1350.</w:t>
      </w:r>
    </w:p>
    <w:p>
      <w:pPr>
        <w:spacing w:after="0" w:line="300" w:lineRule="exact"/>
        <w:rPr>
          <w:sz w:val="20"/>
          <w:szCs w:val="20"/>
          <w:color w:val="auto"/>
        </w:rPr>
      </w:pPr>
    </w:p>
    <w:p>
      <w:pPr>
        <w:ind w:left="2240"/>
        <w:spacing w:after="0"/>
        <w:rPr>
          <w:sz w:val="20"/>
          <w:szCs w:val="20"/>
          <w:color w:val="auto"/>
        </w:rPr>
      </w:pPr>
      <w:r>
        <w:rPr>
          <w:rFonts w:ascii="Arial" w:cs="Arial" w:eastAsia="Arial" w:hAnsi="Arial"/>
          <w:sz w:val="16"/>
          <w:szCs w:val="16"/>
          <w:b w:val="1"/>
          <w:bCs w:val="1"/>
          <w:color w:val="auto"/>
        </w:rPr>
        <w:t>EXHIBIT 99 -- ADDITIONAL EXHIBITS</w:t>
      </w:r>
    </w:p>
    <w:p>
      <w:pPr>
        <w:spacing w:after="0" w:line="291" w:lineRule="exact"/>
        <w:rPr>
          <w:sz w:val="20"/>
          <w:szCs w:val="20"/>
          <w:color w:val="auto"/>
        </w:rPr>
      </w:pPr>
    </w:p>
    <w:p>
      <w:pPr>
        <w:ind w:left="2240"/>
        <w:spacing w:after="0"/>
        <w:rPr>
          <w:sz w:val="20"/>
          <w:szCs w:val="20"/>
          <w:color w:val="auto"/>
        </w:rPr>
      </w:pPr>
      <w:r>
        <w:rPr>
          <w:rFonts w:ascii="Arial" w:cs="Arial" w:eastAsia="Arial" w:hAnsi="Arial"/>
          <w:sz w:val="18"/>
          <w:szCs w:val="18"/>
          <w:b w:val="1"/>
          <w:bCs w:val="1"/>
          <w:i w:val="1"/>
          <w:iCs w:val="1"/>
          <w:color w:val="auto"/>
        </w:rPr>
        <w:t>Sempra Energy</w:t>
      </w:r>
    </w:p>
    <w:p>
      <w:pPr>
        <w:spacing w:after="0" w:line="60" w:lineRule="exact"/>
        <w:rPr>
          <w:sz w:val="20"/>
          <w:szCs w:val="20"/>
          <w:color w:val="auto"/>
        </w:rPr>
      </w:pPr>
    </w:p>
    <w:p>
      <w:pPr>
        <w:ind w:left="3080" w:right="1259" w:hanging="383"/>
        <w:spacing w:after="0" w:line="319" w:lineRule="auto"/>
        <w:rPr>
          <w:sz w:val="20"/>
          <w:szCs w:val="20"/>
          <w:color w:val="auto"/>
        </w:rPr>
      </w:pPr>
      <w:r>
        <w:rPr>
          <w:rFonts w:ascii="Arial" w:cs="Arial" w:eastAsia="Arial" w:hAnsi="Arial"/>
          <w:sz w:val="14"/>
          <w:szCs w:val="14"/>
          <w:color w:val="auto"/>
        </w:rPr>
        <w:t>99.1 RBS Sempra Commodities LLP and Subsidiaries – Consolidated Financial Statements as of December 31, 2008 and for the Period From April 1, 2008 (Date of Commencement) to December 31, 2008, and Report of Independent Registered Public Accounting Firm.</w:t>
      </w:r>
    </w:p>
    <w:p>
      <w:pPr>
        <w:spacing w:after="0" w:line="175" w:lineRule="exact"/>
        <w:rPr>
          <w:sz w:val="20"/>
          <w:szCs w:val="20"/>
          <w:color w:val="auto"/>
        </w:rPr>
      </w:pPr>
    </w:p>
    <w:p>
      <w:pPr>
        <w:ind w:left="3080" w:right="1259" w:hanging="383"/>
        <w:spacing w:after="0" w:line="277" w:lineRule="auto"/>
        <w:rPr>
          <w:sz w:val="20"/>
          <w:szCs w:val="20"/>
          <w:color w:val="auto"/>
        </w:rPr>
      </w:pPr>
      <w:r>
        <w:rPr>
          <w:rFonts w:ascii="Arial" w:cs="Arial" w:eastAsia="Arial" w:hAnsi="Arial"/>
          <w:sz w:val="16"/>
          <w:szCs w:val="16"/>
          <w:color w:val="auto"/>
        </w:rPr>
        <w:t>99.2 Sempra Energy Unaudited Pro Forma Condensed Statement of Consolidated Income for the Year Ended December 31, 2008.</w:t>
      </w:r>
    </w:p>
    <w:p>
      <w:pPr>
        <w:spacing w:after="0" w:line="360" w:lineRule="exact"/>
        <w:rPr>
          <w:sz w:val="20"/>
          <w:szCs w:val="20"/>
          <w:color w:val="auto"/>
        </w:rPr>
      </w:pPr>
    </w:p>
    <w:p>
      <w:pPr>
        <w:spacing w:after="0"/>
        <w:rPr>
          <w:sz w:val="20"/>
          <w:szCs w:val="20"/>
          <w:color w:val="auto"/>
        </w:rPr>
      </w:pPr>
      <w:r>
        <w:rPr>
          <w:rFonts w:ascii="Arial" w:cs="Arial" w:eastAsia="Arial" w:hAnsi="Arial"/>
          <w:sz w:val="14"/>
          <w:szCs w:val="14"/>
          <w:color w:val="auto"/>
        </w:rPr>
        <w:t>55</w:t>
      </w:r>
    </w:p>
    <w:p>
      <w:pPr>
        <w:sectPr>
          <w:pgSz w:w="11900" w:h="16838" w:orient="portrait"/>
          <w:cols w:equalWidth="0" w:num="1">
            <w:col w:w="10219"/>
          </w:cols>
          <w:pgMar w:left="240" w:top="956" w:right="1440" w:bottom="1440" w:gutter="0" w:footer="0" w:header="0"/>
        </w:sectPr>
      </w:pPr>
    </w:p>
    <w:bookmarkStart w:id="56" w:name="page57"/>
    <w:bookmarkEnd w:id="56"/>
    <w:p>
      <w:pPr>
        <w:ind w:left="1920"/>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1347470</wp:posOffset>
            </wp:positionH>
            <wp:positionV relativeFrom="page">
              <wp:posOffset>607695</wp:posOffset>
            </wp:positionV>
            <wp:extent cx="4874260" cy="2667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4874260" cy="266700"/>
                    </a:xfrm>
                    <a:prstGeom prst="rect">
                      <a:avLst/>
                    </a:prstGeom>
                    <a:noFill/>
                  </pic:spPr>
                </pic:pic>
              </a:graphicData>
            </a:graphic>
          </wp:anchor>
        </w:drawing>
        <w:t>GLOSSARY</w:t>
      </w:r>
    </w:p>
    <w:p>
      <w:pPr>
        <w:spacing w:after="0" w:line="200" w:lineRule="exact"/>
        <w:rPr>
          <w:sz w:val="20"/>
          <w:szCs w:val="20"/>
          <w:color w:val="auto"/>
        </w:rPr>
      </w:pPr>
    </w:p>
    <w:p>
      <w:pPr>
        <w:spacing w:after="0" w:line="284" w:lineRule="exact"/>
        <w:rPr>
          <w:sz w:val="20"/>
          <w:szCs w:val="20"/>
          <w:color w:val="auto"/>
        </w:rPr>
      </w:pPr>
    </w:p>
    <w:tbl>
      <w:tblPr>
        <w:tblLayout w:type="fixed"/>
        <w:tblInd w:w="1880" w:type="dxa"/>
        <w:tblCellMar>
          <w:top w:w="0" w:type="dxa"/>
          <w:left w:w="0" w:type="dxa"/>
          <w:bottom w:w="0" w:type="dxa"/>
          <w:right w:w="0" w:type="dxa"/>
        </w:tblCellMar>
      </w:tblPr>
      <w:tr>
        <w:trPr>
          <w:trHeight w:val="154"/>
        </w:trPr>
        <w:tc>
          <w:tcPr>
            <w:tcW w:w="1080" w:type="dxa"/>
            <w:vAlign w:val="bottom"/>
          </w:tcPr>
          <w:p>
            <w:pPr>
              <w:spacing w:after="0"/>
              <w:rPr>
                <w:sz w:val="20"/>
                <w:szCs w:val="20"/>
                <w:color w:val="auto"/>
              </w:rPr>
            </w:pPr>
            <w:r>
              <w:rPr>
                <w:rFonts w:ascii="Arial" w:cs="Arial" w:eastAsia="Arial" w:hAnsi="Arial"/>
                <w:sz w:val="13"/>
                <w:szCs w:val="13"/>
                <w:color w:val="auto"/>
              </w:rPr>
              <w:t>APSC</w:t>
            </w:r>
          </w:p>
        </w:tc>
        <w:tc>
          <w:tcPr>
            <w:tcW w:w="2600" w:type="dxa"/>
            <w:vAlign w:val="bottom"/>
          </w:tcPr>
          <w:p>
            <w:pPr>
              <w:ind w:left="260"/>
              <w:spacing w:after="0"/>
              <w:rPr>
                <w:sz w:val="20"/>
                <w:szCs w:val="20"/>
                <w:color w:val="auto"/>
              </w:rPr>
            </w:pPr>
            <w:r>
              <w:rPr>
                <w:rFonts w:ascii="Arial" w:cs="Arial" w:eastAsia="Arial" w:hAnsi="Arial"/>
                <w:sz w:val="13"/>
                <w:szCs w:val="13"/>
                <w:color w:val="auto"/>
              </w:rPr>
              <w:t>Alabama Public Service Commission</w:t>
            </w:r>
          </w:p>
        </w:tc>
        <w:tc>
          <w:tcPr>
            <w:tcW w:w="1300" w:type="dxa"/>
            <w:vAlign w:val="bottom"/>
          </w:tcPr>
          <w:p>
            <w:pPr>
              <w:ind w:left="200"/>
              <w:spacing w:after="0"/>
              <w:rPr>
                <w:sz w:val="20"/>
                <w:szCs w:val="20"/>
                <w:color w:val="auto"/>
              </w:rPr>
            </w:pPr>
            <w:r>
              <w:rPr>
                <w:rFonts w:ascii="Arial" w:cs="Arial" w:eastAsia="Arial" w:hAnsi="Arial"/>
                <w:sz w:val="13"/>
                <w:szCs w:val="13"/>
                <w:color w:val="auto"/>
              </w:rPr>
              <w:t>LNG</w:t>
            </w:r>
          </w:p>
        </w:tc>
        <w:tc>
          <w:tcPr>
            <w:tcW w:w="2700" w:type="dxa"/>
            <w:vAlign w:val="bottom"/>
          </w:tcPr>
          <w:p>
            <w:pPr>
              <w:ind w:left="120"/>
              <w:spacing w:after="0"/>
              <w:rPr>
                <w:sz w:val="20"/>
                <w:szCs w:val="20"/>
                <w:color w:val="auto"/>
              </w:rPr>
            </w:pPr>
            <w:r>
              <w:rPr>
                <w:rFonts w:ascii="Arial" w:cs="Arial" w:eastAsia="Arial" w:hAnsi="Arial"/>
                <w:sz w:val="13"/>
                <w:szCs w:val="13"/>
                <w:color w:val="auto"/>
              </w:rPr>
              <w:t>Liquefied Natural Gas</w:t>
            </w:r>
          </w:p>
        </w:tc>
      </w:tr>
      <w:tr>
        <w:trPr>
          <w:trHeight w:val="432"/>
        </w:trPr>
        <w:tc>
          <w:tcPr>
            <w:tcW w:w="1080" w:type="dxa"/>
            <w:vAlign w:val="bottom"/>
          </w:tcPr>
          <w:p>
            <w:pPr>
              <w:spacing w:after="0"/>
              <w:rPr>
                <w:sz w:val="20"/>
                <w:szCs w:val="20"/>
                <w:color w:val="auto"/>
              </w:rPr>
            </w:pPr>
            <w:r>
              <w:rPr>
                <w:rFonts w:ascii="Arial" w:cs="Arial" w:eastAsia="Arial" w:hAnsi="Arial"/>
                <w:sz w:val="13"/>
                <w:szCs w:val="13"/>
                <w:color w:val="auto"/>
              </w:rPr>
              <w:t>Annual Report</w:t>
            </w:r>
          </w:p>
        </w:tc>
        <w:tc>
          <w:tcPr>
            <w:tcW w:w="2600" w:type="dxa"/>
            <w:vAlign w:val="bottom"/>
          </w:tcPr>
          <w:p>
            <w:pPr>
              <w:ind w:left="260"/>
              <w:spacing w:after="0"/>
              <w:rPr>
                <w:sz w:val="20"/>
                <w:szCs w:val="20"/>
                <w:color w:val="auto"/>
              </w:rPr>
            </w:pPr>
            <w:r>
              <w:rPr>
                <w:rFonts w:ascii="Arial" w:cs="Arial" w:eastAsia="Arial" w:hAnsi="Arial"/>
                <w:sz w:val="13"/>
                <w:szCs w:val="13"/>
                <w:color w:val="auto"/>
              </w:rPr>
              <w:t>2008 Annual Report to Shareholders</w:t>
            </w:r>
          </w:p>
        </w:tc>
        <w:tc>
          <w:tcPr>
            <w:tcW w:w="1300" w:type="dxa"/>
            <w:vAlign w:val="bottom"/>
          </w:tcPr>
          <w:p>
            <w:pPr>
              <w:ind w:left="200"/>
              <w:spacing w:after="0"/>
              <w:rPr>
                <w:sz w:val="20"/>
                <w:szCs w:val="20"/>
                <w:color w:val="auto"/>
              </w:rPr>
            </w:pPr>
            <w:r>
              <w:rPr>
                <w:rFonts w:ascii="Arial" w:cs="Arial" w:eastAsia="Arial" w:hAnsi="Arial"/>
                <w:sz w:val="13"/>
                <w:szCs w:val="13"/>
                <w:color w:val="auto"/>
              </w:rPr>
              <w:t>Mobile Gas</w:t>
            </w:r>
          </w:p>
        </w:tc>
        <w:tc>
          <w:tcPr>
            <w:tcW w:w="2700" w:type="dxa"/>
            <w:vAlign w:val="bottom"/>
          </w:tcPr>
          <w:p>
            <w:pPr>
              <w:ind w:left="120"/>
              <w:spacing w:after="0"/>
              <w:rPr>
                <w:sz w:val="20"/>
                <w:szCs w:val="20"/>
                <w:color w:val="auto"/>
              </w:rPr>
            </w:pPr>
            <w:r>
              <w:rPr>
                <w:rFonts w:ascii="Arial" w:cs="Arial" w:eastAsia="Arial" w:hAnsi="Arial"/>
                <w:sz w:val="13"/>
                <w:szCs w:val="13"/>
                <w:color w:val="auto"/>
              </w:rPr>
              <w:t>Mobile Gas Service Corporation</w:t>
            </w:r>
          </w:p>
        </w:tc>
      </w:tr>
      <w:tr>
        <w:trPr>
          <w:trHeight w:val="432"/>
        </w:trPr>
        <w:tc>
          <w:tcPr>
            <w:tcW w:w="1080" w:type="dxa"/>
            <w:vAlign w:val="bottom"/>
          </w:tcPr>
          <w:p>
            <w:pPr>
              <w:spacing w:after="0"/>
              <w:rPr>
                <w:sz w:val="20"/>
                <w:szCs w:val="20"/>
                <w:color w:val="auto"/>
              </w:rPr>
            </w:pPr>
            <w:r>
              <w:rPr>
                <w:rFonts w:ascii="Arial" w:cs="Arial" w:eastAsia="Arial" w:hAnsi="Arial"/>
                <w:sz w:val="13"/>
                <w:szCs w:val="13"/>
                <w:color w:val="auto"/>
              </w:rPr>
              <w:t>Bay Gas</w:t>
            </w:r>
          </w:p>
        </w:tc>
        <w:tc>
          <w:tcPr>
            <w:tcW w:w="2600" w:type="dxa"/>
            <w:vAlign w:val="bottom"/>
          </w:tcPr>
          <w:p>
            <w:pPr>
              <w:ind w:left="260"/>
              <w:spacing w:after="0"/>
              <w:rPr>
                <w:sz w:val="20"/>
                <w:szCs w:val="20"/>
                <w:color w:val="auto"/>
              </w:rPr>
            </w:pPr>
            <w:r>
              <w:rPr>
                <w:rFonts w:ascii="Arial" w:cs="Arial" w:eastAsia="Arial" w:hAnsi="Arial"/>
                <w:sz w:val="13"/>
                <w:szCs w:val="13"/>
                <w:color w:val="auto"/>
              </w:rPr>
              <w:t>Bay Gas Storage Company</w:t>
            </w:r>
          </w:p>
        </w:tc>
        <w:tc>
          <w:tcPr>
            <w:tcW w:w="1300" w:type="dxa"/>
            <w:vAlign w:val="bottom"/>
          </w:tcPr>
          <w:p>
            <w:pPr>
              <w:ind w:left="200"/>
              <w:spacing w:after="0"/>
              <w:rPr>
                <w:sz w:val="20"/>
                <w:szCs w:val="20"/>
                <w:color w:val="auto"/>
              </w:rPr>
            </w:pPr>
            <w:r>
              <w:rPr>
                <w:rFonts w:ascii="Arial" w:cs="Arial" w:eastAsia="Arial" w:hAnsi="Arial"/>
                <w:sz w:val="13"/>
                <w:szCs w:val="13"/>
                <w:color w:val="auto"/>
              </w:rPr>
              <w:t>MW</w:t>
            </w:r>
          </w:p>
        </w:tc>
        <w:tc>
          <w:tcPr>
            <w:tcW w:w="2700" w:type="dxa"/>
            <w:vAlign w:val="bottom"/>
          </w:tcPr>
          <w:p>
            <w:pPr>
              <w:ind w:left="120"/>
              <w:spacing w:after="0"/>
              <w:rPr>
                <w:sz w:val="20"/>
                <w:szCs w:val="20"/>
                <w:color w:val="auto"/>
              </w:rPr>
            </w:pPr>
            <w:r>
              <w:rPr>
                <w:rFonts w:ascii="Arial" w:cs="Arial" w:eastAsia="Arial" w:hAnsi="Arial"/>
                <w:sz w:val="13"/>
                <w:szCs w:val="13"/>
                <w:color w:val="auto"/>
              </w:rPr>
              <w:t>Megawatt</w:t>
            </w:r>
          </w:p>
        </w:tc>
      </w:tr>
      <w:tr>
        <w:trPr>
          <w:trHeight w:val="432"/>
        </w:trPr>
        <w:tc>
          <w:tcPr>
            <w:tcW w:w="1080" w:type="dxa"/>
            <w:vAlign w:val="bottom"/>
          </w:tcPr>
          <w:p>
            <w:pPr>
              <w:spacing w:after="0"/>
              <w:rPr>
                <w:sz w:val="20"/>
                <w:szCs w:val="20"/>
                <w:color w:val="auto"/>
              </w:rPr>
            </w:pPr>
            <w:r>
              <w:rPr>
                <w:rFonts w:ascii="Arial" w:cs="Arial" w:eastAsia="Arial" w:hAnsi="Arial"/>
                <w:sz w:val="13"/>
                <w:szCs w:val="13"/>
                <w:color w:val="auto"/>
              </w:rPr>
              <w:t>Bcf</w:t>
            </w:r>
          </w:p>
        </w:tc>
        <w:tc>
          <w:tcPr>
            <w:tcW w:w="2600" w:type="dxa"/>
            <w:vAlign w:val="bottom"/>
          </w:tcPr>
          <w:p>
            <w:pPr>
              <w:ind w:left="260"/>
              <w:spacing w:after="0"/>
              <w:rPr>
                <w:sz w:val="20"/>
                <w:szCs w:val="20"/>
                <w:color w:val="auto"/>
              </w:rPr>
            </w:pPr>
            <w:r>
              <w:rPr>
                <w:rFonts w:ascii="Arial" w:cs="Arial" w:eastAsia="Arial" w:hAnsi="Arial"/>
                <w:sz w:val="13"/>
                <w:szCs w:val="13"/>
                <w:color w:val="auto"/>
              </w:rPr>
              <w:t>Billion Cubic Feet (of natural gas)</w:t>
            </w:r>
          </w:p>
        </w:tc>
        <w:tc>
          <w:tcPr>
            <w:tcW w:w="1300" w:type="dxa"/>
            <w:vAlign w:val="bottom"/>
          </w:tcPr>
          <w:p>
            <w:pPr>
              <w:ind w:left="200"/>
              <w:spacing w:after="0"/>
              <w:rPr>
                <w:sz w:val="20"/>
                <w:szCs w:val="20"/>
                <w:color w:val="auto"/>
              </w:rPr>
            </w:pPr>
            <w:r>
              <w:rPr>
                <w:rFonts w:ascii="Arial" w:cs="Arial" w:eastAsia="Arial" w:hAnsi="Arial"/>
                <w:sz w:val="13"/>
                <w:szCs w:val="13"/>
                <w:color w:val="auto"/>
              </w:rPr>
              <w:t>NRC</w:t>
            </w:r>
          </w:p>
        </w:tc>
        <w:tc>
          <w:tcPr>
            <w:tcW w:w="2700" w:type="dxa"/>
            <w:vAlign w:val="bottom"/>
          </w:tcPr>
          <w:p>
            <w:pPr>
              <w:ind w:left="120"/>
              <w:spacing w:after="0"/>
              <w:rPr>
                <w:sz w:val="20"/>
                <w:szCs w:val="20"/>
                <w:color w:val="auto"/>
              </w:rPr>
            </w:pPr>
            <w:r>
              <w:rPr>
                <w:rFonts w:ascii="Arial" w:cs="Arial" w:eastAsia="Arial" w:hAnsi="Arial"/>
                <w:sz w:val="13"/>
                <w:szCs w:val="13"/>
                <w:color w:val="auto"/>
              </w:rPr>
              <w:t>Nuclear Regulatory Commission</w:t>
            </w:r>
          </w:p>
        </w:tc>
      </w:tr>
      <w:tr>
        <w:trPr>
          <w:trHeight w:val="432"/>
        </w:trPr>
        <w:tc>
          <w:tcPr>
            <w:tcW w:w="1080" w:type="dxa"/>
            <w:vAlign w:val="bottom"/>
          </w:tcPr>
          <w:p>
            <w:pPr>
              <w:spacing w:after="0"/>
              <w:rPr>
                <w:sz w:val="20"/>
                <w:szCs w:val="20"/>
                <w:color w:val="auto"/>
              </w:rPr>
            </w:pPr>
            <w:r>
              <w:rPr>
                <w:rFonts w:ascii="Arial" w:cs="Arial" w:eastAsia="Arial" w:hAnsi="Arial"/>
                <w:sz w:val="13"/>
                <w:szCs w:val="13"/>
                <w:color w:val="auto"/>
              </w:rPr>
              <w:t>CARB</w:t>
            </w:r>
          </w:p>
        </w:tc>
        <w:tc>
          <w:tcPr>
            <w:tcW w:w="2600" w:type="dxa"/>
            <w:vAlign w:val="bottom"/>
          </w:tcPr>
          <w:p>
            <w:pPr>
              <w:ind w:left="260"/>
              <w:spacing w:after="0"/>
              <w:rPr>
                <w:sz w:val="20"/>
                <w:szCs w:val="20"/>
                <w:color w:val="auto"/>
              </w:rPr>
            </w:pPr>
            <w:r>
              <w:rPr>
                <w:rFonts w:ascii="Arial" w:cs="Arial" w:eastAsia="Arial" w:hAnsi="Arial"/>
                <w:sz w:val="13"/>
                <w:szCs w:val="13"/>
                <w:color w:val="auto"/>
              </w:rPr>
              <w:t>California Air Resources Board</w:t>
            </w:r>
          </w:p>
        </w:tc>
        <w:tc>
          <w:tcPr>
            <w:tcW w:w="1300" w:type="dxa"/>
            <w:vAlign w:val="bottom"/>
          </w:tcPr>
          <w:p>
            <w:pPr>
              <w:ind w:left="200"/>
              <w:spacing w:after="0"/>
              <w:rPr>
                <w:sz w:val="20"/>
                <w:szCs w:val="20"/>
                <w:color w:val="auto"/>
              </w:rPr>
            </w:pPr>
            <w:r>
              <w:rPr>
                <w:rFonts w:ascii="Arial" w:cs="Arial" w:eastAsia="Arial" w:hAnsi="Arial"/>
                <w:sz w:val="13"/>
                <w:szCs w:val="13"/>
                <w:color w:val="auto"/>
              </w:rPr>
              <w:t>PE</w:t>
            </w:r>
          </w:p>
        </w:tc>
        <w:tc>
          <w:tcPr>
            <w:tcW w:w="2700" w:type="dxa"/>
            <w:vAlign w:val="bottom"/>
          </w:tcPr>
          <w:p>
            <w:pPr>
              <w:ind w:left="120"/>
              <w:spacing w:after="0"/>
              <w:rPr>
                <w:sz w:val="20"/>
                <w:szCs w:val="20"/>
                <w:color w:val="auto"/>
              </w:rPr>
            </w:pPr>
            <w:r>
              <w:rPr>
                <w:rFonts w:ascii="Arial" w:cs="Arial" w:eastAsia="Arial" w:hAnsi="Arial"/>
                <w:sz w:val="13"/>
                <w:szCs w:val="13"/>
                <w:color w:val="auto"/>
              </w:rPr>
              <w:t>Pacific Enterprises</w:t>
            </w:r>
          </w:p>
        </w:tc>
      </w:tr>
      <w:tr>
        <w:trPr>
          <w:trHeight w:val="432"/>
        </w:trPr>
        <w:tc>
          <w:tcPr>
            <w:tcW w:w="1080" w:type="dxa"/>
            <w:vAlign w:val="bottom"/>
          </w:tcPr>
          <w:p>
            <w:pPr>
              <w:spacing w:after="0"/>
              <w:rPr>
                <w:sz w:val="20"/>
                <w:szCs w:val="20"/>
                <w:color w:val="auto"/>
              </w:rPr>
            </w:pPr>
            <w:r>
              <w:rPr>
                <w:rFonts w:ascii="Arial" w:cs="Arial" w:eastAsia="Arial" w:hAnsi="Arial"/>
                <w:sz w:val="13"/>
                <w:szCs w:val="13"/>
                <w:color w:val="auto"/>
              </w:rPr>
              <w:t>CEC</w:t>
            </w:r>
          </w:p>
        </w:tc>
        <w:tc>
          <w:tcPr>
            <w:tcW w:w="2600" w:type="dxa"/>
            <w:vAlign w:val="bottom"/>
          </w:tcPr>
          <w:p>
            <w:pPr>
              <w:ind w:left="260"/>
              <w:spacing w:after="0"/>
              <w:rPr>
                <w:sz w:val="20"/>
                <w:szCs w:val="20"/>
                <w:color w:val="auto"/>
              </w:rPr>
            </w:pPr>
            <w:r>
              <w:rPr>
                <w:rFonts w:ascii="Arial" w:cs="Arial" w:eastAsia="Arial" w:hAnsi="Arial"/>
                <w:sz w:val="13"/>
                <w:szCs w:val="13"/>
                <w:color w:val="auto"/>
              </w:rPr>
              <w:t>California Energy Commission</w:t>
            </w:r>
          </w:p>
        </w:tc>
        <w:tc>
          <w:tcPr>
            <w:tcW w:w="1300" w:type="dxa"/>
            <w:vAlign w:val="bottom"/>
          </w:tcPr>
          <w:p>
            <w:pPr>
              <w:ind w:left="200"/>
              <w:spacing w:after="0"/>
              <w:rPr>
                <w:sz w:val="20"/>
                <w:szCs w:val="20"/>
                <w:color w:val="auto"/>
              </w:rPr>
            </w:pPr>
            <w:r>
              <w:rPr>
                <w:rFonts w:ascii="Arial" w:cs="Arial" w:eastAsia="Arial" w:hAnsi="Arial"/>
                <w:sz w:val="13"/>
                <w:szCs w:val="13"/>
                <w:color w:val="auto"/>
              </w:rPr>
              <w:t>PGE</w:t>
            </w:r>
          </w:p>
        </w:tc>
        <w:tc>
          <w:tcPr>
            <w:tcW w:w="2700" w:type="dxa"/>
            <w:vAlign w:val="bottom"/>
          </w:tcPr>
          <w:p>
            <w:pPr>
              <w:ind w:left="120"/>
              <w:spacing w:after="0"/>
              <w:rPr>
                <w:sz w:val="20"/>
                <w:szCs w:val="20"/>
                <w:color w:val="auto"/>
              </w:rPr>
            </w:pPr>
            <w:r>
              <w:rPr>
                <w:rFonts w:ascii="Arial" w:cs="Arial" w:eastAsia="Arial" w:hAnsi="Arial"/>
                <w:sz w:val="13"/>
                <w:szCs w:val="13"/>
                <w:color w:val="auto"/>
              </w:rPr>
              <w:t>Portland General Electric Company</w:t>
            </w:r>
          </w:p>
        </w:tc>
      </w:tr>
      <w:tr>
        <w:trPr>
          <w:trHeight w:val="432"/>
        </w:trPr>
        <w:tc>
          <w:tcPr>
            <w:tcW w:w="1080" w:type="dxa"/>
            <w:vAlign w:val="bottom"/>
          </w:tcPr>
          <w:p>
            <w:pPr>
              <w:spacing w:after="0"/>
              <w:rPr>
                <w:sz w:val="20"/>
                <w:szCs w:val="20"/>
                <w:color w:val="auto"/>
              </w:rPr>
            </w:pPr>
            <w:r>
              <w:rPr>
                <w:rFonts w:ascii="Arial" w:cs="Arial" w:eastAsia="Arial" w:hAnsi="Arial"/>
                <w:sz w:val="13"/>
                <w:szCs w:val="13"/>
                <w:color w:val="auto"/>
              </w:rPr>
              <w:t>CEQA</w:t>
            </w:r>
          </w:p>
        </w:tc>
        <w:tc>
          <w:tcPr>
            <w:tcW w:w="2600" w:type="dxa"/>
            <w:vAlign w:val="bottom"/>
          </w:tcPr>
          <w:p>
            <w:pPr>
              <w:ind w:left="260"/>
              <w:spacing w:after="0"/>
              <w:rPr>
                <w:sz w:val="20"/>
                <w:szCs w:val="20"/>
                <w:color w:val="auto"/>
              </w:rPr>
            </w:pPr>
            <w:r>
              <w:rPr>
                <w:rFonts w:ascii="Arial" w:cs="Arial" w:eastAsia="Arial" w:hAnsi="Arial"/>
                <w:sz w:val="13"/>
                <w:szCs w:val="13"/>
                <w:color w:val="auto"/>
              </w:rPr>
              <w:t>California Environmental Quality Act</w:t>
            </w:r>
          </w:p>
        </w:tc>
        <w:tc>
          <w:tcPr>
            <w:tcW w:w="1300" w:type="dxa"/>
            <w:vAlign w:val="bottom"/>
          </w:tcPr>
          <w:p>
            <w:pPr>
              <w:ind w:left="200"/>
              <w:spacing w:after="0"/>
              <w:rPr>
                <w:sz w:val="20"/>
                <w:szCs w:val="20"/>
                <w:color w:val="auto"/>
              </w:rPr>
            </w:pPr>
            <w:r>
              <w:rPr>
                <w:rFonts w:ascii="Arial" w:cs="Arial" w:eastAsia="Arial" w:hAnsi="Arial"/>
                <w:sz w:val="13"/>
                <w:szCs w:val="13"/>
                <w:color w:val="auto"/>
              </w:rPr>
              <w:t>QFs</w:t>
            </w:r>
          </w:p>
        </w:tc>
        <w:tc>
          <w:tcPr>
            <w:tcW w:w="2700" w:type="dxa"/>
            <w:vAlign w:val="bottom"/>
          </w:tcPr>
          <w:p>
            <w:pPr>
              <w:ind w:left="120"/>
              <w:spacing w:after="0"/>
              <w:rPr>
                <w:sz w:val="20"/>
                <w:szCs w:val="20"/>
                <w:color w:val="auto"/>
              </w:rPr>
            </w:pPr>
            <w:r>
              <w:rPr>
                <w:rFonts w:ascii="Arial" w:cs="Arial" w:eastAsia="Arial" w:hAnsi="Arial"/>
                <w:sz w:val="13"/>
                <w:szCs w:val="13"/>
                <w:color w:val="auto"/>
              </w:rPr>
              <w:t>Qualifying Facilities</w:t>
            </w:r>
          </w:p>
        </w:tc>
      </w:tr>
      <w:tr>
        <w:trPr>
          <w:trHeight w:val="432"/>
        </w:trPr>
        <w:tc>
          <w:tcPr>
            <w:tcW w:w="1080" w:type="dxa"/>
            <w:vAlign w:val="bottom"/>
          </w:tcPr>
          <w:p>
            <w:pPr>
              <w:spacing w:after="0"/>
              <w:rPr>
                <w:sz w:val="20"/>
                <w:szCs w:val="20"/>
                <w:color w:val="auto"/>
              </w:rPr>
            </w:pPr>
            <w:r>
              <w:rPr>
                <w:rFonts w:ascii="Arial" w:cs="Arial" w:eastAsia="Arial" w:hAnsi="Arial"/>
                <w:sz w:val="13"/>
                <w:szCs w:val="13"/>
                <w:color w:val="auto"/>
              </w:rPr>
              <w:t>CPUC</w:t>
            </w:r>
          </w:p>
        </w:tc>
        <w:tc>
          <w:tcPr>
            <w:tcW w:w="2600" w:type="dxa"/>
            <w:vAlign w:val="bottom"/>
          </w:tcPr>
          <w:p>
            <w:pPr>
              <w:ind w:left="260"/>
              <w:spacing w:after="0"/>
              <w:rPr>
                <w:sz w:val="20"/>
                <w:szCs w:val="20"/>
                <w:color w:val="auto"/>
              </w:rPr>
            </w:pPr>
            <w:r>
              <w:rPr>
                <w:rFonts w:ascii="Arial" w:cs="Arial" w:eastAsia="Arial" w:hAnsi="Arial"/>
                <w:sz w:val="13"/>
                <w:szCs w:val="13"/>
                <w:color w:val="auto"/>
              </w:rPr>
              <w:t>California Public Utilities Commission</w:t>
            </w:r>
          </w:p>
        </w:tc>
        <w:tc>
          <w:tcPr>
            <w:tcW w:w="1300" w:type="dxa"/>
            <w:vAlign w:val="bottom"/>
          </w:tcPr>
          <w:p>
            <w:pPr>
              <w:ind w:left="200"/>
              <w:spacing w:after="0"/>
              <w:rPr>
                <w:sz w:val="20"/>
                <w:szCs w:val="20"/>
                <w:color w:val="auto"/>
              </w:rPr>
            </w:pPr>
            <w:r>
              <w:rPr>
                <w:rFonts w:ascii="Arial" w:cs="Arial" w:eastAsia="Arial" w:hAnsi="Arial"/>
                <w:sz w:val="13"/>
                <w:szCs w:val="13"/>
                <w:color w:val="auto"/>
              </w:rPr>
              <w:t>RBS</w:t>
            </w:r>
          </w:p>
        </w:tc>
        <w:tc>
          <w:tcPr>
            <w:tcW w:w="2700" w:type="dxa"/>
            <w:vAlign w:val="bottom"/>
          </w:tcPr>
          <w:p>
            <w:pPr>
              <w:ind w:left="120"/>
              <w:spacing w:after="0"/>
              <w:rPr>
                <w:sz w:val="20"/>
                <w:szCs w:val="20"/>
                <w:color w:val="auto"/>
              </w:rPr>
            </w:pPr>
            <w:r>
              <w:rPr>
                <w:rFonts w:ascii="Arial" w:cs="Arial" w:eastAsia="Arial" w:hAnsi="Arial"/>
                <w:sz w:val="13"/>
                <w:szCs w:val="13"/>
                <w:color w:val="auto"/>
              </w:rPr>
              <w:t>The Royal Bank of Scotland plc</w:t>
            </w:r>
          </w:p>
        </w:tc>
      </w:tr>
      <w:tr>
        <w:trPr>
          <w:trHeight w:val="432"/>
        </w:trPr>
        <w:tc>
          <w:tcPr>
            <w:tcW w:w="1080" w:type="dxa"/>
            <w:vAlign w:val="bottom"/>
          </w:tcPr>
          <w:p>
            <w:pPr>
              <w:spacing w:after="0"/>
              <w:rPr>
                <w:sz w:val="20"/>
                <w:szCs w:val="20"/>
                <w:color w:val="auto"/>
              </w:rPr>
            </w:pPr>
            <w:r>
              <w:rPr>
                <w:rFonts w:ascii="Arial" w:cs="Arial" w:eastAsia="Arial" w:hAnsi="Arial"/>
                <w:sz w:val="13"/>
                <w:szCs w:val="13"/>
                <w:color w:val="auto"/>
              </w:rPr>
              <w:t>DOE</w:t>
            </w:r>
          </w:p>
        </w:tc>
        <w:tc>
          <w:tcPr>
            <w:tcW w:w="2600" w:type="dxa"/>
            <w:vAlign w:val="bottom"/>
          </w:tcPr>
          <w:p>
            <w:pPr>
              <w:ind w:left="260"/>
              <w:spacing w:after="0"/>
              <w:rPr>
                <w:sz w:val="20"/>
                <w:szCs w:val="20"/>
                <w:color w:val="auto"/>
              </w:rPr>
            </w:pPr>
            <w:r>
              <w:rPr>
                <w:rFonts w:ascii="Arial" w:cs="Arial" w:eastAsia="Arial" w:hAnsi="Arial"/>
                <w:sz w:val="13"/>
                <w:szCs w:val="13"/>
                <w:color w:val="auto"/>
              </w:rPr>
              <w:t>Department of Energy</w:t>
            </w:r>
          </w:p>
        </w:tc>
        <w:tc>
          <w:tcPr>
            <w:tcW w:w="1300" w:type="dxa"/>
            <w:vAlign w:val="bottom"/>
          </w:tcPr>
          <w:p>
            <w:pPr>
              <w:ind w:left="200"/>
              <w:spacing w:after="0"/>
              <w:rPr>
                <w:sz w:val="20"/>
                <w:szCs w:val="20"/>
                <w:color w:val="auto"/>
              </w:rPr>
            </w:pPr>
            <w:r>
              <w:rPr>
                <w:rFonts w:ascii="Arial" w:cs="Arial" w:eastAsia="Arial" w:hAnsi="Arial"/>
                <w:sz w:val="13"/>
                <w:szCs w:val="13"/>
                <w:color w:val="auto"/>
              </w:rPr>
              <w:t>RBS Sempra</w:t>
            </w:r>
          </w:p>
        </w:tc>
        <w:tc>
          <w:tcPr>
            <w:tcW w:w="2700" w:type="dxa"/>
            <w:vAlign w:val="bottom"/>
          </w:tcPr>
          <w:p>
            <w:pPr>
              <w:ind w:left="120"/>
              <w:spacing w:after="0"/>
              <w:rPr>
                <w:sz w:val="20"/>
                <w:szCs w:val="20"/>
                <w:color w:val="auto"/>
              </w:rPr>
            </w:pPr>
            <w:r>
              <w:rPr>
                <w:rFonts w:ascii="Arial" w:cs="Arial" w:eastAsia="Arial" w:hAnsi="Arial"/>
                <w:sz w:val="13"/>
                <w:szCs w:val="13"/>
                <w:color w:val="auto"/>
              </w:rPr>
              <w:t>RBS Sempra Commodities LLP</w:t>
            </w:r>
          </w:p>
        </w:tc>
      </w:tr>
      <w:tr>
        <w:trPr>
          <w:trHeight w:val="156"/>
        </w:trPr>
        <w:tc>
          <w:tcPr>
            <w:tcW w:w="1080" w:type="dxa"/>
            <w:vAlign w:val="bottom"/>
          </w:tcPr>
          <w:p>
            <w:pPr>
              <w:spacing w:after="0"/>
              <w:rPr>
                <w:sz w:val="13"/>
                <w:szCs w:val="13"/>
                <w:color w:val="auto"/>
              </w:rPr>
            </w:pPr>
          </w:p>
        </w:tc>
        <w:tc>
          <w:tcPr>
            <w:tcW w:w="2600" w:type="dxa"/>
            <w:vAlign w:val="bottom"/>
          </w:tcPr>
          <w:p>
            <w:pPr>
              <w:spacing w:after="0"/>
              <w:rPr>
                <w:sz w:val="13"/>
                <w:szCs w:val="13"/>
                <w:color w:val="auto"/>
              </w:rPr>
            </w:pPr>
          </w:p>
        </w:tc>
        <w:tc>
          <w:tcPr>
            <w:tcW w:w="1300" w:type="dxa"/>
            <w:vAlign w:val="bottom"/>
          </w:tcPr>
          <w:p>
            <w:pPr>
              <w:ind w:left="200"/>
              <w:spacing w:after="0"/>
              <w:rPr>
                <w:sz w:val="20"/>
                <w:szCs w:val="20"/>
                <w:color w:val="auto"/>
              </w:rPr>
            </w:pPr>
            <w:r>
              <w:rPr>
                <w:rFonts w:ascii="Arial" w:cs="Arial" w:eastAsia="Arial" w:hAnsi="Arial"/>
                <w:sz w:val="13"/>
                <w:szCs w:val="13"/>
                <w:color w:val="auto"/>
              </w:rPr>
              <w:t>Commodities</w:t>
            </w:r>
          </w:p>
        </w:tc>
        <w:tc>
          <w:tcPr>
            <w:tcW w:w="2700" w:type="dxa"/>
            <w:vAlign w:val="bottom"/>
          </w:tcPr>
          <w:p>
            <w:pPr>
              <w:spacing w:after="0"/>
              <w:rPr>
                <w:sz w:val="13"/>
                <w:szCs w:val="13"/>
                <w:color w:val="auto"/>
              </w:rPr>
            </w:pPr>
          </w:p>
        </w:tc>
      </w:tr>
      <w:tr>
        <w:trPr>
          <w:trHeight w:val="396"/>
        </w:trPr>
        <w:tc>
          <w:tcPr>
            <w:tcW w:w="1080" w:type="dxa"/>
            <w:vAlign w:val="bottom"/>
          </w:tcPr>
          <w:p>
            <w:pPr>
              <w:spacing w:after="0"/>
              <w:rPr>
                <w:sz w:val="20"/>
                <w:szCs w:val="20"/>
                <w:color w:val="auto"/>
              </w:rPr>
            </w:pPr>
            <w:r>
              <w:rPr>
                <w:rFonts w:ascii="Arial" w:cs="Arial" w:eastAsia="Arial" w:hAnsi="Arial"/>
                <w:sz w:val="13"/>
                <w:szCs w:val="13"/>
                <w:color w:val="auto"/>
              </w:rPr>
              <w:t>DWR</w:t>
            </w:r>
          </w:p>
        </w:tc>
        <w:tc>
          <w:tcPr>
            <w:tcW w:w="2600" w:type="dxa"/>
            <w:vAlign w:val="bottom"/>
          </w:tcPr>
          <w:p>
            <w:pPr>
              <w:ind w:left="260"/>
              <w:spacing w:after="0"/>
              <w:rPr>
                <w:sz w:val="20"/>
                <w:szCs w:val="20"/>
                <w:color w:val="auto"/>
              </w:rPr>
            </w:pPr>
            <w:r>
              <w:rPr>
                <w:rFonts w:ascii="Arial" w:cs="Arial" w:eastAsia="Arial" w:hAnsi="Arial"/>
                <w:sz w:val="13"/>
                <w:szCs w:val="13"/>
                <w:color w:val="auto"/>
              </w:rPr>
              <w:t>Department of Water Resources</w:t>
            </w:r>
          </w:p>
        </w:tc>
        <w:tc>
          <w:tcPr>
            <w:tcW w:w="1300" w:type="dxa"/>
            <w:vAlign w:val="bottom"/>
          </w:tcPr>
          <w:p>
            <w:pPr>
              <w:ind w:left="200"/>
              <w:spacing w:after="0"/>
              <w:rPr>
                <w:sz w:val="20"/>
                <w:szCs w:val="20"/>
                <w:color w:val="auto"/>
              </w:rPr>
            </w:pPr>
            <w:r>
              <w:rPr>
                <w:rFonts w:ascii="Arial" w:cs="Arial" w:eastAsia="Arial" w:hAnsi="Arial"/>
                <w:sz w:val="13"/>
                <w:szCs w:val="13"/>
                <w:color w:val="auto"/>
              </w:rPr>
              <w:t>Rockies Express</w:t>
            </w:r>
          </w:p>
        </w:tc>
        <w:tc>
          <w:tcPr>
            <w:tcW w:w="2700" w:type="dxa"/>
            <w:vAlign w:val="bottom"/>
          </w:tcPr>
          <w:p>
            <w:pPr>
              <w:ind w:left="120"/>
              <w:spacing w:after="0"/>
              <w:rPr>
                <w:sz w:val="20"/>
                <w:szCs w:val="20"/>
                <w:color w:val="auto"/>
              </w:rPr>
            </w:pPr>
            <w:r>
              <w:rPr>
                <w:rFonts w:ascii="Arial" w:cs="Arial" w:eastAsia="Arial" w:hAnsi="Arial"/>
                <w:sz w:val="13"/>
                <w:szCs w:val="13"/>
                <w:color w:val="auto"/>
              </w:rPr>
              <w:t>Rockies Express Pipeline LLC</w:t>
            </w:r>
          </w:p>
        </w:tc>
      </w:tr>
      <w:tr>
        <w:trPr>
          <w:trHeight w:val="432"/>
        </w:trPr>
        <w:tc>
          <w:tcPr>
            <w:tcW w:w="1080" w:type="dxa"/>
            <w:vAlign w:val="bottom"/>
          </w:tcPr>
          <w:p>
            <w:pPr>
              <w:spacing w:after="0"/>
              <w:rPr>
                <w:sz w:val="20"/>
                <w:szCs w:val="20"/>
                <w:color w:val="auto"/>
              </w:rPr>
            </w:pPr>
            <w:r>
              <w:rPr>
                <w:rFonts w:ascii="Arial" w:cs="Arial" w:eastAsia="Arial" w:hAnsi="Arial"/>
                <w:sz w:val="13"/>
                <w:szCs w:val="13"/>
                <w:color w:val="auto"/>
              </w:rPr>
              <w:t>Edison</w:t>
            </w:r>
          </w:p>
        </w:tc>
        <w:tc>
          <w:tcPr>
            <w:tcW w:w="2600" w:type="dxa"/>
            <w:vAlign w:val="bottom"/>
          </w:tcPr>
          <w:p>
            <w:pPr>
              <w:ind w:left="260"/>
              <w:spacing w:after="0"/>
              <w:rPr>
                <w:sz w:val="20"/>
                <w:szCs w:val="20"/>
                <w:color w:val="auto"/>
              </w:rPr>
            </w:pPr>
            <w:r>
              <w:rPr>
                <w:rFonts w:ascii="Arial" w:cs="Arial" w:eastAsia="Arial" w:hAnsi="Arial"/>
                <w:sz w:val="13"/>
                <w:szCs w:val="13"/>
                <w:color w:val="auto"/>
              </w:rPr>
              <w:t>Southern California Edison Company</w:t>
            </w:r>
          </w:p>
        </w:tc>
        <w:tc>
          <w:tcPr>
            <w:tcW w:w="1300" w:type="dxa"/>
            <w:vAlign w:val="bottom"/>
          </w:tcPr>
          <w:p>
            <w:pPr>
              <w:ind w:left="200"/>
              <w:spacing w:after="0"/>
              <w:rPr>
                <w:sz w:val="20"/>
                <w:szCs w:val="20"/>
                <w:color w:val="auto"/>
              </w:rPr>
            </w:pPr>
            <w:r>
              <w:rPr>
                <w:rFonts w:ascii="Arial" w:cs="Arial" w:eastAsia="Arial" w:hAnsi="Arial"/>
                <w:sz w:val="13"/>
                <w:szCs w:val="13"/>
                <w:color w:val="auto"/>
              </w:rPr>
              <w:t>RPS</w:t>
            </w:r>
          </w:p>
        </w:tc>
        <w:tc>
          <w:tcPr>
            <w:tcW w:w="2700" w:type="dxa"/>
            <w:vAlign w:val="bottom"/>
          </w:tcPr>
          <w:p>
            <w:pPr>
              <w:ind w:left="120"/>
              <w:spacing w:after="0"/>
              <w:rPr>
                <w:sz w:val="20"/>
                <w:szCs w:val="20"/>
                <w:color w:val="auto"/>
              </w:rPr>
            </w:pPr>
            <w:r>
              <w:rPr>
                <w:rFonts w:ascii="Arial" w:cs="Arial" w:eastAsia="Arial" w:hAnsi="Arial"/>
                <w:sz w:val="13"/>
                <w:szCs w:val="13"/>
                <w:color w:val="auto"/>
              </w:rPr>
              <w:t>Renewables Portfolio Standard</w:t>
            </w:r>
          </w:p>
        </w:tc>
      </w:tr>
      <w:tr>
        <w:trPr>
          <w:trHeight w:val="432"/>
        </w:trPr>
        <w:tc>
          <w:tcPr>
            <w:tcW w:w="1080" w:type="dxa"/>
            <w:vAlign w:val="bottom"/>
          </w:tcPr>
          <w:p>
            <w:pPr>
              <w:spacing w:after="0"/>
              <w:rPr>
                <w:sz w:val="20"/>
                <w:szCs w:val="20"/>
                <w:color w:val="auto"/>
              </w:rPr>
            </w:pPr>
            <w:r>
              <w:rPr>
                <w:rFonts w:ascii="Arial" w:cs="Arial" w:eastAsia="Arial" w:hAnsi="Arial"/>
                <w:sz w:val="13"/>
                <w:szCs w:val="13"/>
                <w:color w:val="auto"/>
              </w:rPr>
              <w:t>Elk Hills</w:t>
            </w:r>
          </w:p>
        </w:tc>
        <w:tc>
          <w:tcPr>
            <w:tcW w:w="2600" w:type="dxa"/>
            <w:vAlign w:val="bottom"/>
          </w:tcPr>
          <w:p>
            <w:pPr>
              <w:ind w:left="260"/>
              <w:spacing w:after="0"/>
              <w:rPr>
                <w:sz w:val="20"/>
                <w:szCs w:val="20"/>
                <w:color w:val="auto"/>
              </w:rPr>
            </w:pPr>
            <w:r>
              <w:rPr>
                <w:rFonts w:ascii="Arial" w:cs="Arial" w:eastAsia="Arial" w:hAnsi="Arial"/>
                <w:sz w:val="13"/>
                <w:szCs w:val="13"/>
                <w:color w:val="auto"/>
              </w:rPr>
              <w:t>Elk Hills Power</w:t>
            </w:r>
          </w:p>
        </w:tc>
        <w:tc>
          <w:tcPr>
            <w:tcW w:w="1300" w:type="dxa"/>
            <w:vAlign w:val="bottom"/>
          </w:tcPr>
          <w:p>
            <w:pPr>
              <w:ind w:left="200"/>
              <w:spacing w:after="0"/>
              <w:rPr>
                <w:sz w:val="20"/>
                <w:szCs w:val="20"/>
                <w:color w:val="auto"/>
              </w:rPr>
            </w:pPr>
            <w:r>
              <w:rPr>
                <w:rFonts w:ascii="Arial" w:cs="Arial" w:eastAsia="Arial" w:hAnsi="Arial"/>
                <w:sz w:val="13"/>
                <w:szCs w:val="13"/>
                <w:color w:val="auto"/>
              </w:rPr>
              <w:t>SDG&amp;E</w:t>
            </w:r>
          </w:p>
        </w:tc>
        <w:tc>
          <w:tcPr>
            <w:tcW w:w="2700" w:type="dxa"/>
            <w:vAlign w:val="bottom"/>
          </w:tcPr>
          <w:p>
            <w:pPr>
              <w:ind w:left="120"/>
              <w:spacing w:after="0"/>
              <w:rPr>
                <w:sz w:val="20"/>
                <w:szCs w:val="20"/>
                <w:color w:val="auto"/>
              </w:rPr>
            </w:pPr>
            <w:r>
              <w:rPr>
                <w:rFonts w:ascii="Arial" w:cs="Arial" w:eastAsia="Arial" w:hAnsi="Arial"/>
                <w:sz w:val="13"/>
                <w:szCs w:val="13"/>
                <w:color w:val="auto"/>
              </w:rPr>
              <w:t>San Diego Gas &amp; Electric Company</w:t>
            </w:r>
          </w:p>
        </w:tc>
      </w:tr>
      <w:tr>
        <w:trPr>
          <w:trHeight w:val="432"/>
        </w:trPr>
        <w:tc>
          <w:tcPr>
            <w:tcW w:w="1080" w:type="dxa"/>
            <w:vAlign w:val="bottom"/>
          </w:tcPr>
          <w:p>
            <w:pPr>
              <w:spacing w:after="0"/>
              <w:rPr>
                <w:sz w:val="20"/>
                <w:szCs w:val="20"/>
                <w:color w:val="auto"/>
              </w:rPr>
            </w:pPr>
            <w:r>
              <w:rPr>
                <w:rFonts w:ascii="Arial" w:cs="Arial" w:eastAsia="Arial" w:hAnsi="Arial"/>
                <w:sz w:val="13"/>
                <w:szCs w:val="13"/>
                <w:color w:val="auto"/>
              </w:rPr>
              <w:t>ERR</w:t>
            </w:r>
          </w:p>
        </w:tc>
        <w:tc>
          <w:tcPr>
            <w:tcW w:w="2600" w:type="dxa"/>
            <w:vAlign w:val="bottom"/>
          </w:tcPr>
          <w:p>
            <w:pPr>
              <w:ind w:left="260"/>
              <w:spacing w:after="0"/>
              <w:rPr>
                <w:sz w:val="20"/>
                <w:szCs w:val="20"/>
                <w:color w:val="auto"/>
              </w:rPr>
            </w:pPr>
            <w:r>
              <w:rPr>
                <w:rFonts w:ascii="Arial" w:cs="Arial" w:eastAsia="Arial" w:hAnsi="Arial"/>
                <w:sz w:val="13"/>
                <w:szCs w:val="13"/>
                <w:color w:val="auto"/>
              </w:rPr>
              <w:t>Eligible Renewable Energy Resource</w:t>
            </w:r>
          </w:p>
        </w:tc>
        <w:tc>
          <w:tcPr>
            <w:tcW w:w="1300" w:type="dxa"/>
            <w:vAlign w:val="bottom"/>
          </w:tcPr>
          <w:p>
            <w:pPr>
              <w:ind w:left="200"/>
              <w:spacing w:after="0"/>
              <w:rPr>
                <w:sz w:val="20"/>
                <w:szCs w:val="20"/>
                <w:color w:val="auto"/>
              </w:rPr>
            </w:pPr>
            <w:r>
              <w:rPr>
                <w:rFonts w:ascii="Arial" w:cs="Arial" w:eastAsia="Arial" w:hAnsi="Arial"/>
                <w:sz w:val="13"/>
                <w:szCs w:val="13"/>
                <w:color w:val="auto"/>
              </w:rPr>
              <w:t>Sempra Utilities</w:t>
            </w:r>
          </w:p>
        </w:tc>
        <w:tc>
          <w:tcPr>
            <w:tcW w:w="2700" w:type="dxa"/>
            <w:vAlign w:val="bottom"/>
          </w:tcPr>
          <w:p>
            <w:pPr>
              <w:ind w:left="120"/>
              <w:spacing w:after="0"/>
              <w:rPr>
                <w:sz w:val="20"/>
                <w:szCs w:val="20"/>
                <w:color w:val="auto"/>
              </w:rPr>
            </w:pPr>
            <w:r>
              <w:rPr>
                <w:rFonts w:ascii="Arial" w:cs="Arial" w:eastAsia="Arial" w:hAnsi="Arial"/>
                <w:sz w:val="13"/>
                <w:szCs w:val="13"/>
                <w:color w:val="auto"/>
              </w:rPr>
              <w:t>San Diego Gas &amp; Electric Company and</w:t>
            </w:r>
          </w:p>
        </w:tc>
      </w:tr>
      <w:tr>
        <w:trPr>
          <w:trHeight w:val="156"/>
        </w:trPr>
        <w:tc>
          <w:tcPr>
            <w:tcW w:w="1080" w:type="dxa"/>
            <w:vAlign w:val="bottom"/>
          </w:tcPr>
          <w:p>
            <w:pPr>
              <w:spacing w:after="0"/>
              <w:rPr>
                <w:sz w:val="13"/>
                <w:szCs w:val="13"/>
                <w:color w:val="auto"/>
              </w:rPr>
            </w:pPr>
          </w:p>
        </w:tc>
        <w:tc>
          <w:tcPr>
            <w:tcW w:w="26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2700" w:type="dxa"/>
            <w:vAlign w:val="bottom"/>
          </w:tcPr>
          <w:p>
            <w:pPr>
              <w:ind w:left="120"/>
              <w:spacing w:after="0"/>
              <w:rPr>
                <w:sz w:val="20"/>
                <w:szCs w:val="20"/>
                <w:color w:val="auto"/>
              </w:rPr>
            </w:pPr>
            <w:r>
              <w:rPr>
                <w:rFonts w:ascii="Arial" w:cs="Arial" w:eastAsia="Arial" w:hAnsi="Arial"/>
                <w:sz w:val="13"/>
                <w:szCs w:val="13"/>
                <w:color w:val="auto"/>
              </w:rPr>
              <w:t>Southern California Gas Company</w:t>
            </w:r>
          </w:p>
        </w:tc>
      </w:tr>
      <w:tr>
        <w:trPr>
          <w:trHeight w:val="396"/>
        </w:trPr>
        <w:tc>
          <w:tcPr>
            <w:tcW w:w="1080" w:type="dxa"/>
            <w:vAlign w:val="bottom"/>
          </w:tcPr>
          <w:p>
            <w:pPr>
              <w:spacing w:after="0"/>
              <w:rPr>
                <w:sz w:val="20"/>
                <w:szCs w:val="20"/>
                <w:color w:val="auto"/>
              </w:rPr>
            </w:pPr>
            <w:r>
              <w:rPr>
                <w:rFonts w:ascii="Arial" w:cs="Arial" w:eastAsia="Arial" w:hAnsi="Arial"/>
                <w:sz w:val="13"/>
                <w:szCs w:val="13"/>
                <w:color w:val="auto"/>
              </w:rPr>
              <w:t>FERC</w:t>
            </w:r>
          </w:p>
        </w:tc>
        <w:tc>
          <w:tcPr>
            <w:tcW w:w="2600" w:type="dxa"/>
            <w:vAlign w:val="bottom"/>
          </w:tcPr>
          <w:p>
            <w:pPr>
              <w:ind w:left="260"/>
              <w:spacing w:after="0"/>
              <w:rPr>
                <w:sz w:val="20"/>
                <w:szCs w:val="20"/>
                <w:color w:val="auto"/>
              </w:rPr>
            </w:pPr>
            <w:r>
              <w:rPr>
                <w:rFonts w:ascii="Arial" w:cs="Arial" w:eastAsia="Arial" w:hAnsi="Arial"/>
                <w:sz w:val="13"/>
                <w:szCs w:val="13"/>
                <w:color w:val="auto"/>
              </w:rPr>
              <w:t>Federal Energy Regulatory</w:t>
            </w:r>
          </w:p>
        </w:tc>
        <w:tc>
          <w:tcPr>
            <w:tcW w:w="1300" w:type="dxa"/>
            <w:vAlign w:val="bottom"/>
          </w:tcPr>
          <w:p>
            <w:pPr>
              <w:ind w:left="200"/>
              <w:spacing w:after="0"/>
              <w:rPr>
                <w:sz w:val="20"/>
                <w:szCs w:val="20"/>
                <w:color w:val="auto"/>
              </w:rPr>
            </w:pPr>
            <w:r>
              <w:rPr>
                <w:rFonts w:ascii="Arial" w:cs="Arial" w:eastAsia="Arial" w:hAnsi="Arial"/>
                <w:sz w:val="13"/>
                <w:szCs w:val="13"/>
                <w:color w:val="auto"/>
              </w:rPr>
              <w:t>SoCalGas</w:t>
            </w:r>
          </w:p>
        </w:tc>
        <w:tc>
          <w:tcPr>
            <w:tcW w:w="2700" w:type="dxa"/>
            <w:vAlign w:val="bottom"/>
          </w:tcPr>
          <w:p>
            <w:pPr>
              <w:ind w:left="120"/>
              <w:spacing w:after="0"/>
              <w:rPr>
                <w:sz w:val="20"/>
                <w:szCs w:val="20"/>
                <w:color w:val="auto"/>
              </w:rPr>
            </w:pPr>
            <w:r>
              <w:rPr>
                <w:rFonts w:ascii="Arial" w:cs="Arial" w:eastAsia="Arial" w:hAnsi="Arial"/>
                <w:sz w:val="13"/>
                <w:szCs w:val="13"/>
                <w:color w:val="auto"/>
              </w:rPr>
              <w:t>Southern California Gas Company</w:t>
            </w:r>
          </w:p>
        </w:tc>
      </w:tr>
      <w:tr>
        <w:trPr>
          <w:trHeight w:val="156"/>
        </w:trPr>
        <w:tc>
          <w:tcPr>
            <w:tcW w:w="1080" w:type="dxa"/>
            <w:vAlign w:val="bottom"/>
          </w:tcPr>
          <w:p>
            <w:pPr>
              <w:spacing w:after="0"/>
              <w:rPr>
                <w:sz w:val="13"/>
                <w:szCs w:val="13"/>
                <w:color w:val="auto"/>
              </w:rPr>
            </w:pPr>
          </w:p>
        </w:tc>
        <w:tc>
          <w:tcPr>
            <w:tcW w:w="2600" w:type="dxa"/>
            <w:vAlign w:val="bottom"/>
          </w:tcPr>
          <w:p>
            <w:pPr>
              <w:ind w:left="260"/>
              <w:spacing w:after="0"/>
              <w:rPr>
                <w:sz w:val="20"/>
                <w:szCs w:val="20"/>
                <w:color w:val="auto"/>
              </w:rPr>
            </w:pPr>
            <w:r>
              <w:rPr>
                <w:rFonts w:ascii="Arial" w:cs="Arial" w:eastAsia="Arial" w:hAnsi="Arial"/>
                <w:sz w:val="13"/>
                <w:szCs w:val="13"/>
                <w:color w:val="auto"/>
              </w:rPr>
              <w:t>Commission</w:t>
            </w:r>
          </w:p>
        </w:tc>
        <w:tc>
          <w:tcPr>
            <w:tcW w:w="1300" w:type="dxa"/>
            <w:vAlign w:val="bottom"/>
          </w:tcPr>
          <w:p>
            <w:pPr>
              <w:spacing w:after="0"/>
              <w:rPr>
                <w:sz w:val="13"/>
                <w:szCs w:val="13"/>
                <w:color w:val="auto"/>
              </w:rPr>
            </w:pPr>
          </w:p>
        </w:tc>
        <w:tc>
          <w:tcPr>
            <w:tcW w:w="2700" w:type="dxa"/>
            <w:vAlign w:val="bottom"/>
          </w:tcPr>
          <w:p>
            <w:pPr>
              <w:spacing w:after="0"/>
              <w:rPr>
                <w:sz w:val="13"/>
                <w:szCs w:val="13"/>
                <w:color w:val="auto"/>
              </w:rPr>
            </w:pPr>
          </w:p>
        </w:tc>
      </w:tr>
      <w:tr>
        <w:trPr>
          <w:trHeight w:val="396"/>
        </w:trPr>
        <w:tc>
          <w:tcPr>
            <w:tcW w:w="1080" w:type="dxa"/>
            <w:vAlign w:val="bottom"/>
          </w:tcPr>
          <w:p>
            <w:pPr>
              <w:spacing w:after="0"/>
              <w:rPr>
                <w:sz w:val="20"/>
                <w:szCs w:val="20"/>
                <w:color w:val="auto"/>
              </w:rPr>
            </w:pPr>
            <w:r>
              <w:rPr>
                <w:rFonts w:ascii="Arial" w:cs="Arial" w:eastAsia="Arial" w:hAnsi="Arial"/>
                <w:sz w:val="13"/>
                <w:szCs w:val="13"/>
                <w:color w:val="auto"/>
              </w:rPr>
              <w:t>FSA</w:t>
            </w:r>
          </w:p>
        </w:tc>
        <w:tc>
          <w:tcPr>
            <w:tcW w:w="2600" w:type="dxa"/>
            <w:vAlign w:val="bottom"/>
          </w:tcPr>
          <w:p>
            <w:pPr>
              <w:ind w:left="260"/>
              <w:spacing w:after="0"/>
              <w:rPr>
                <w:sz w:val="20"/>
                <w:szCs w:val="20"/>
                <w:color w:val="auto"/>
              </w:rPr>
            </w:pPr>
            <w:r>
              <w:rPr>
                <w:rFonts w:ascii="Arial" w:cs="Arial" w:eastAsia="Arial" w:hAnsi="Arial"/>
                <w:sz w:val="13"/>
                <w:szCs w:val="13"/>
                <w:color w:val="auto"/>
              </w:rPr>
              <w:t>U.K. Financial Services Authority</w:t>
            </w:r>
          </w:p>
        </w:tc>
        <w:tc>
          <w:tcPr>
            <w:tcW w:w="1300" w:type="dxa"/>
            <w:vAlign w:val="bottom"/>
          </w:tcPr>
          <w:p>
            <w:pPr>
              <w:ind w:left="200"/>
              <w:spacing w:after="0"/>
              <w:rPr>
                <w:sz w:val="20"/>
                <w:szCs w:val="20"/>
                <w:color w:val="auto"/>
              </w:rPr>
            </w:pPr>
            <w:r>
              <w:rPr>
                <w:rFonts w:ascii="Arial" w:cs="Arial" w:eastAsia="Arial" w:hAnsi="Arial"/>
                <w:sz w:val="13"/>
                <w:szCs w:val="13"/>
                <w:color w:val="auto"/>
              </w:rPr>
              <w:t>SONGS</w:t>
            </w:r>
          </w:p>
        </w:tc>
        <w:tc>
          <w:tcPr>
            <w:tcW w:w="2700" w:type="dxa"/>
            <w:vAlign w:val="bottom"/>
          </w:tcPr>
          <w:p>
            <w:pPr>
              <w:ind w:left="120"/>
              <w:spacing w:after="0"/>
              <w:rPr>
                <w:sz w:val="20"/>
                <w:szCs w:val="20"/>
                <w:color w:val="auto"/>
              </w:rPr>
            </w:pPr>
            <w:r>
              <w:rPr>
                <w:rFonts w:ascii="Arial" w:cs="Arial" w:eastAsia="Arial" w:hAnsi="Arial"/>
                <w:sz w:val="13"/>
                <w:szCs w:val="13"/>
                <w:color w:val="auto"/>
              </w:rPr>
              <w:t>San Onofre Nuclear Generating Station</w:t>
            </w:r>
          </w:p>
        </w:tc>
      </w:tr>
      <w:tr>
        <w:trPr>
          <w:trHeight w:val="432"/>
        </w:trPr>
        <w:tc>
          <w:tcPr>
            <w:tcW w:w="1080" w:type="dxa"/>
            <w:vAlign w:val="bottom"/>
          </w:tcPr>
          <w:p>
            <w:pPr>
              <w:spacing w:after="0"/>
              <w:rPr>
                <w:sz w:val="20"/>
                <w:szCs w:val="20"/>
                <w:color w:val="auto"/>
              </w:rPr>
            </w:pPr>
            <w:r>
              <w:rPr>
                <w:rFonts w:ascii="Arial" w:cs="Arial" w:eastAsia="Arial" w:hAnsi="Arial"/>
                <w:sz w:val="13"/>
                <w:szCs w:val="13"/>
                <w:color w:val="auto"/>
              </w:rPr>
              <w:t>GHG</w:t>
            </w:r>
          </w:p>
        </w:tc>
        <w:tc>
          <w:tcPr>
            <w:tcW w:w="2600" w:type="dxa"/>
            <w:vAlign w:val="bottom"/>
          </w:tcPr>
          <w:p>
            <w:pPr>
              <w:ind w:left="260"/>
              <w:spacing w:after="0"/>
              <w:rPr>
                <w:sz w:val="20"/>
                <w:szCs w:val="20"/>
                <w:color w:val="auto"/>
              </w:rPr>
            </w:pPr>
            <w:r>
              <w:rPr>
                <w:rFonts w:ascii="Arial" w:cs="Arial" w:eastAsia="Arial" w:hAnsi="Arial"/>
                <w:sz w:val="13"/>
                <w:szCs w:val="13"/>
                <w:color w:val="auto"/>
              </w:rPr>
              <w:t>Greenhouse Gas</w:t>
            </w:r>
          </w:p>
        </w:tc>
        <w:tc>
          <w:tcPr>
            <w:tcW w:w="1300" w:type="dxa"/>
            <w:vAlign w:val="bottom"/>
          </w:tcPr>
          <w:p>
            <w:pPr>
              <w:ind w:left="200"/>
              <w:spacing w:after="0"/>
              <w:rPr>
                <w:sz w:val="20"/>
                <w:szCs w:val="20"/>
                <w:color w:val="auto"/>
              </w:rPr>
            </w:pPr>
            <w:r>
              <w:rPr>
                <w:rFonts w:ascii="Arial" w:cs="Arial" w:eastAsia="Arial" w:hAnsi="Arial"/>
                <w:sz w:val="13"/>
                <w:szCs w:val="13"/>
                <w:color w:val="auto"/>
              </w:rPr>
              <w:t>The Board</w:t>
            </w:r>
          </w:p>
        </w:tc>
        <w:tc>
          <w:tcPr>
            <w:tcW w:w="2700" w:type="dxa"/>
            <w:vAlign w:val="bottom"/>
          </w:tcPr>
          <w:p>
            <w:pPr>
              <w:ind w:left="120"/>
              <w:spacing w:after="0"/>
              <w:rPr>
                <w:sz w:val="20"/>
                <w:szCs w:val="20"/>
                <w:color w:val="auto"/>
              </w:rPr>
            </w:pPr>
            <w:r>
              <w:rPr>
                <w:rFonts w:ascii="Arial" w:cs="Arial" w:eastAsia="Arial" w:hAnsi="Arial"/>
                <w:sz w:val="13"/>
                <w:szCs w:val="13"/>
                <w:color w:val="auto"/>
              </w:rPr>
              <w:t>Sempra Energy’s board of directors</w:t>
            </w:r>
          </w:p>
        </w:tc>
      </w:tr>
      <w:tr>
        <w:trPr>
          <w:trHeight w:val="432"/>
        </w:trPr>
        <w:tc>
          <w:tcPr>
            <w:tcW w:w="1080" w:type="dxa"/>
            <w:vAlign w:val="bottom"/>
          </w:tcPr>
          <w:p>
            <w:pPr>
              <w:spacing w:after="0"/>
              <w:rPr>
                <w:sz w:val="20"/>
                <w:szCs w:val="20"/>
                <w:color w:val="auto"/>
              </w:rPr>
            </w:pPr>
            <w:r>
              <w:rPr>
                <w:rFonts w:ascii="Arial" w:cs="Arial" w:eastAsia="Arial" w:hAnsi="Arial"/>
                <w:sz w:val="13"/>
                <w:szCs w:val="13"/>
                <w:color w:val="auto"/>
              </w:rPr>
              <w:t>IOUs</w:t>
            </w:r>
          </w:p>
        </w:tc>
        <w:tc>
          <w:tcPr>
            <w:tcW w:w="2600" w:type="dxa"/>
            <w:vAlign w:val="bottom"/>
          </w:tcPr>
          <w:p>
            <w:pPr>
              <w:ind w:left="260"/>
              <w:spacing w:after="0"/>
              <w:rPr>
                <w:sz w:val="20"/>
                <w:szCs w:val="20"/>
                <w:color w:val="auto"/>
              </w:rPr>
            </w:pPr>
            <w:r>
              <w:rPr>
                <w:rFonts w:ascii="Arial" w:cs="Arial" w:eastAsia="Arial" w:hAnsi="Arial"/>
                <w:sz w:val="13"/>
                <w:szCs w:val="13"/>
                <w:color w:val="auto"/>
              </w:rPr>
              <w:t>Investor-Owned Utilities</w:t>
            </w:r>
          </w:p>
        </w:tc>
        <w:tc>
          <w:tcPr>
            <w:tcW w:w="1300" w:type="dxa"/>
            <w:vAlign w:val="bottom"/>
          </w:tcPr>
          <w:p>
            <w:pPr>
              <w:ind w:left="200"/>
              <w:spacing w:after="0"/>
              <w:rPr>
                <w:sz w:val="20"/>
                <w:szCs w:val="20"/>
                <w:color w:val="auto"/>
              </w:rPr>
            </w:pPr>
            <w:r>
              <w:rPr>
                <w:rFonts w:ascii="Arial" w:cs="Arial" w:eastAsia="Arial" w:hAnsi="Arial"/>
                <w:sz w:val="13"/>
                <w:szCs w:val="13"/>
                <w:color w:val="auto"/>
              </w:rPr>
              <w:t>The Plan</w:t>
            </w:r>
          </w:p>
        </w:tc>
        <w:tc>
          <w:tcPr>
            <w:tcW w:w="2700" w:type="dxa"/>
            <w:vAlign w:val="bottom"/>
          </w:tcPr>
          <w:p>
            <w:pPr>
              <w:ind w:left="120"/>
              <w:spacing w:after="0"/>
              <w:rPr>
                <w:sz w:val="20"/>
                <w:szCs w:val="20"/>
                <w:color w:val="auto"/>
              </w:rPr>
            </w:pPr>
            <w:r>
              <w:rPr>
                <w:rFonts w:ascii="Arial" w:cs="Arial" w:eastAsia="Arial" w:hAnsi="Arial"/>
                <w:sz w:val="13"/>
                <w:szCs w:val="13"/>
                <w:color w:val="auto"/>
              </w:rPr>
              <w:t>The Sempra Energy 2008 Long Term</w:t>
            </w:r>
          </w:p>
        </w:tc>
      </w:tr>
      <w:tr>
        <w:trPr>
          <w:trHeight w:val="156"/>
        </w:trPr>
        <w:tc>
          <w:tcPr>
            <w:tcW w:w="1080" w:type="dxa"/>
            <w:vAlign w:val="bottom"/>
          </w:tcPr>
          <w:p>
            <w:pPr>
              <w:spacing w:after="0"/>
              <w:rPr>
                <w:sz w:val="13"/>
                <w:szCs w:val="13"/>
                <w:color w:val="auto"/>
              </w:rPr>
            </w:pPr>
          </w:p>
        </w:tc>
        <w:tc>
          <w:tcPr>
            <w:tcW w:w="26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2700" w:type="dxa"/>
            <w:vAlign w:val="bottom"/>
          </w:tcPr>
          <w:p>
            <w:pPr>
              <w:ind w:left="120"/>
              <w:spacing w:after="0"/>
              <w:rPr>
                <w:sz w:val="20"/>
                <w:szCs w:val="20"/>
                <w:color w:val="auto"/>
              </w:rPr>
            </w:pPr>
            <w:r>
              <w:rPr>
                <w:rFonts w:ascii="Arial" w:cs="Arial" w:eastAsia="Arial" w:hAnsi="Arial"/>
                <w:sz w:val="13"/>
                <w:szCs w:val="13"/>
                <w:color w:val="auto"/>
              </w:rPr>
              <w:t>Incentive Plan for EnergySouth, Inc.</w:t>
            </w:r>
          </w:p>
        </w:tc>
      </w:tr>
      <w:tr>
        <w:trPr>
          <w:trHeight w:val="156"/>
        </w:trPr>
        <w:tc>
          <w:tcPr>
            <w:tcW w:w="1080" w:type="dxa"/>
            <w:vAlign w:val="bottom"/>
          </w:tcPr>
          <w:p>
            <w:pPr>
              <w:spacing w:after="0"/>
              <w:rPr>
                <w:sz w:val="13"/>
                <w:szCs w:val="13"/>
                <w:color w:val="auto"/>
              </w:rPr>
            </w:pPr>
          </w:p>
        </w:tc>
        <w:tc>
          <w:tcPr>
            <w:tcW w:w="26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2700" w:type="dxa"/>
            <w:vAlign w:val="bottom"/>
          </w:tcPr>
          <w:p>
            <w:pPr>
              <w:ind w:left="120"/>
              <w:spacing w:after="0"/>
              <w:rPr>
                <w:sz w:val="20"/>
                <w:szCs w:val="20"/>
                <w:color w:val="auto"/>
              </w:rPr>
            </w:pPr>
            <w:r>
              <w:rPr>
                <w:rFonts w:ascii="Arial" w:cs="Arial" w:eastAsia="Arial" w:hAnsi="Arial"/>
                <w:sz w:val="13"/>
                <w:szCs w:val="13"/>
                <w:color w:val="auto"/>
              </w:rPr>
              <w:t>Employees and Other Eligible Individuals</w:t>
            </w:r>
          </w:p>
        </w:tc>
      </w:tr>
      <w:tr>
        <w:trPr>
          <w:trHeight w:val="396"/>
        </w:trPr>
        <w:tc>
          <w:tcPr>
            <w:tcW w:w="1080" w:type="dxa"/>
            <w:vAlign w:val="bottom"/>
          </w:tcPr>
          <w:p>
            <w:pPr>
              <w:spacing w:after="0"/>
              <w:rPr>
                <w:sz w:val="20"/>
                <w:szCs w:val="20"/>
                <w:color w:val="auto"/>
              </w:rPr>
            </w:pPr>
            <w:r>
              <w:rPr>
                <w:rFonts w:ascii="Arial" w:cs="Arial" w:eastAsia="Arial" w:hAnsi="Arial"/>
                <w:sz w:val="13"/>
                <w:szCs w:val="13"/>
                <w:color w:val="auto"/>
              </w:rPr>
              <w:t>ISFSI</w:t>
            </w:r>
          </w:p>
        </w:tc>
        <w:tc>
          <w:tcPr>
            <w:tcW w:w="2600" w:type="dxa"/>
            <w:vAlign w:val="bottom"/>
          </w:tcPr>
          <w:p>
            <w:pPr>
              <w:ind w:left="260"/>
              <w:spacing w:after="0"/>
              <w:rPr>
                <w:sz w:val="20"/>
                <w:szCs w:val="20"/>
                <w:color w:val="auto"/>
              </w:rPr>
            </w:pPr>
            <w:r>
              <w:rPr>
                <w:rFonts w:ascii="Arial" w:cs="Arial" w:eastAsia="Arial" w:hAnsi="Arial"/>
                <w:sz w:val="13"/>
                <w:szCs w:val="13"/>
                <w:color w:val="auto"/>
              </w:rPr>
              <w:t>Independent Spent Fuel Storage</w:t>
            </w:r>
          </w:p>
        </w:tc>
        <w:tc>
          <w:tcPr>
            <w:tcW w:w="1300" w:type="dxa"/>
            <w:vAlign w:val="bottom"/>
          </w:tcPr>
          <w:p>
            <w:pPr>
              <w:ind w:left="200"/>
              <w:spacing w:after="0"/>
              <w:rPr>
                <w:sz w:val="20"/>
                <w:szCs w:val="20"/>
                <w:color w:val="auto"/>
              </w:rPr>
            </w:pPr>
            <w:r>
              <w:rPr>
                <w:rFonts w:ascii="Arial" w:cs="Arial" w:eastAsia="Arial" w:hAnsi="Arial"/>
                <w:sz w:val="13"/>
                <w:szCs w:val="13"/>
                <w:color w:val="auto"/>
              </w:rPr>
              <w:t>The Prior Plan</w:t>
            </w:r>
          </w:p>
        </w:tc>
        <w:tc>
          <w:tcPr>
            <w:tcW w:w="2700" w:type="dxa"/>
            <w:vAlign w:val="bottom"/>
          </w:tcPr>
          <w:p>
            <w:pPr>
              <w:ind w:left="120"/>
              <w:spacing w:after="0"/>
              <w:rPr>
                <w:sz w:val="20"/>
                <w:szCs w:val="20"/>
                <w:color w:val="auto"/>
              </w:rPr>
            </w:pPr>
            <w:r>
              <w:rPr>
                <w:rFonts w:ascii="Arial" w:cs="Arial" w:eastAsia="Arial" w:hAnsi="Arial"/>
                <w:sz w:val="13"/>
                <w:szCs w:val="13"/>
                <w:color w:val="auto"/>
              </w:rPr>
              <w:t>2008 Incentive Plan of EnergySouth, Inc.</w:t>
            </w:r>
          </w:p>
        </w:tc>
      </w:tr>
      <w:tr>
        <w:trPr>
          <w:trHeight w:val="156"/>
        </w:trPr>
        <w:tc>
          <w:tcPr>
            <w:tcW w:w="1080" w:type="dxa"/>
            <w:vAlign w:val="bottom"/>
          </w:tcPr>
          <w:p>
            <w:pPr>
              <w:spacing w:after="0"/>
              <w:rPr>
                <w:sz w:val="13"/>
                <w:szCs w:val="13"/>
                <w:color w:val="auto"/>
              </w:rPr>
            </w:pPr>
          </w:p>
        </w:tc>
        <w:tc>
          <w:tcPr>
            <w:tcW w:w="2600" w:type="dxa"/>
            <w:vAlign w:val="bottom"/>
          </w:tcPr>
          <w:p>
            <w:pPr>
              <w:ind w:left="260"/>
              <w:spacing w:after="0"/>
              <w:rPr>
                <w:sz w:val="20"/>
                <w:szCs w:val="20"/>
                <w:color w:val="auto"/>
              </w:rPr>
            </w:pPr>
            <w:r>
              <w:rPr>
                <w:rFonts w:ascii="Arial" w:cs="Arial" w:eastAsia="Arial" w:hAnsi="Arial"/>
                <w:sz w:val="13"/>
                <w:szCs w:val="13"/>
                <w:color w:val="auto"/>
              </w:rPr>
              <w:t>Installation</w:t>
            </w:r>
          </w:p>
        </w:tc>
        <w:tc>
          <w:tcPr>
            <w:tcW w:w="1300" w:type="dxa"/>
            <w:vAlign w:val="bottom"/>
          </w:tcPr>
          <w:p>
            <w:pPr>
              <w:spacing w:after="0"/>
              <w:rPr>
                <w:sz w:val="13"/>
                <w:szCs w:val="13"/>
                <w:color w:val="auto"/>
              </w:rPr>
            </w:pPr>
          </w:p>
        </w:tc>
        <w:tc>
          <w:tcPr>
            <w:tcW w:w="2700" w:type="dxa"/>
            <w:vAlign w:val="bottom"/>
          </w:tcPr>
          <w:p>
            <w:pPr>
              <w:spacing w:after="0"/>
              <w:rPr>
                <w:sz w:val="13"/>
                <w:szCs w:val="13"/>
                <w:color w:val="auto"/>
              </w:rPr>
            </w:pPr>
          </w:p>
        </w:tc>
      </w:tr>
      <w:tr>
        <w:trPr>
          <w:trHeight w:val="396"/>
        </w:trPr>
        <w:tc>
          <w:tcPr>
            <w:tcW w:w="1080" w:type="dxa"/>
            <w:vAlign w:val="bottom"/>
          </w:tcPr>
          <w:p>
            <w:pPr>
              <w:spacing w:after="0"/>
              <w:rPr>
                <w:sz w:val="20"/>
                <w:szCs w:val="20"/>
                <w:color w:val="auto"/>
              </w:rPr>
            </w:pPr>
            <w:r>
              <w:rPr>
                <w:rFonts w:ascii="Arial" w:cs="Arial" w:eastAsia="Arial" w:hAnsi="Arial"/>
                <w:sz w:val="13"/>
                <w:szCs w:val="13"/>
                <w:color w:val="auto"/>
              </w:rPr>
              <w:t>ISO</w:t>
            </w:r>
          </w:p>
        </w:tc>
        <w:tc>
          <w:tcPr>
            <w:tcW w:w="2600" w:type="dxa"/>
            <w:vAlign w:val="bottom"/>
          </w:tcPr>
          <w:p>
            <w:pPr>
              <w:ind w:left="260"/>
              <w:spacing w:after="0"/>
              <w:rPr>
                <w:sz w:val="20"/>
                <w:szCs w:val="20"/>
                <w:color w:val="auto"/>
              </w:rPr>
            </w:pPr>
            <w:r>
              <w:rPr>
                <w:rFonts w:ascii="Arial" w:cs="Arial" w:eastAsia="Arial" w:hAnsi="Arial"/>
                <w:sz w:val="13"/>
                <w:szCs w:val="13"/>
                <w:color w:val="auto"/>
              </w:rPr>
              <w:t>Independent System Operator</w:t>
            </w:r>
          </w:p>
        </w:tc>
        <w:tc>
          <w:tcPr>
            <w:tcW w:w="1300" w:type="dxa"/>
            <w:vAlign w:val="bottom"/>
          </w:tcPr>
          <w:p>
            <w:pPr>
              <w:spacing w:after="0"/>
              <w:rPr>
                <w:sz w:val="24"/>
                <w:szCs w:val="24"/>
                <w:color w:val="auto"/>
              </w:rPr>
            </w:pPr>
          </w:p>
        </w:tc>
        <w:tc>
          <w:tcPr>
            <w:tcW w:w="2700" w:type="dxa"/>
            <w:vAlign w:val="bottom"/>
          </w:tcPr>
          <w:p>
            <w:pPr>
              <w:spacing w:after="0"/>
              <w:rPr>
                <w:sz w:val="24"/>
                <w:szCs w:val="24"/>
                <w:color w:val="auto"/>
              </w:rPr>
            </w:pPr>
          </w:p>
        </w:tc>
      </w:tr>
      <w:tr>
        <w:trPr>
          <w:trHeight w:val="74"/>
        </w:trPr>
        <w:tc>
          <w:tcPr>
            <w:tcW w:w="1080" w:type="dxa"/>
            <w:vAlign w:val="bottom"/>
            <w:tcBorders>
              <w:bottom w:val="single" w:sz="8" w:color="DFDFDF"/>
            </w:tcBorders>
          </w:tcPr>
          <w:p>
            <w:pPr>
              <w:spacing w:after="0"/>
              <w:rPr>
                <w:sz w:val="6"/>
                <w:szCs w:val="6"/>
                <w:color w:val="auto"/>
              </w:rPr>
            </w:pPr>
          </w:p>
        </w:tc>
        <w:tc>
          <w:tcPr>
            <w:tcW w:w="2600" w:type="dxa"/>
            <w:vAlign w:val="bottom"/>
            <w:tcBorders>
              <w:bottom w:val="single" w:sz="8" w:color="DFDFDF"/>
            </w:tcBorders>
          </w:tcPr>
          <w:p>
            <w:pPr>
              <w:spacing w:after="0"/>
              <w:rPr>
                <w:sz w:val="6"/>
                <w:szCs w:val="6"/>
                <w:color w:val="auto"/>
              </w:rPr>
            </w:pPr>
          </w:p>
        </w:tc>
        <w:tc>
          <w:tcPr>
            <w:tcW w:w="1300" w:type="dxa"/>
            <w:vAlign w:val="bottom"/>
            <w:tcBorders>
              <w:bottom w:val="single" w:sz="8" w:color="DFDFDF"/>
            </w:tcBorders>
          </w:tcPr>
          <w:p>
            <w:pPr>
              <w:spacing w:after="0"/>
              <w:rPr>
                <w:sz w:val="6"/>
                <w:szCs w:val="6"/>
                <w:color w:val="auto"/>
              </w:rPr>
            </w:pPr>
          </w:p>
        </w:tc>
        <w:tc>
          <w:tcPr>
            <w:tcW w:w="2700" w:type="dxa"/>
            <w:vAlign w:val="bottom"/>
            <w:tcBorders>
              <w:bottom w:val="single" w:sz="8" w:color="DFDFDF"/>
            </w:tcBorders>
          </w:tcPr>
          <w:p>
            <w:pPr>
              <w:spacing w:after="0"/>
              <w:rPr>
                <w:sz w:val="6"/>
                <w:szCs w:val="6"/>
                <w:color w:val="auto"/>
              </w:rPr>
            </w:pPr>
          </w:p>
        </w:tc>
      </w:tr>
    </w:tbl>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14"/>
          <w:szCs w:val="14"/>
          <w:color w:val="auto"/>
        </w:rPr>
        <w:t>56</w:t>
      </w:r>
    </w:p>
    <w:p>
      <w:pPr>
        <w:sectPr>
          <w:pgSz w:w="11900" w:h="16838" w:orient="portrait"/>
          <w:cols w:equalWidth="0" w:num="1">
            <w:col w:w="10219"/>
          </w:cols>
          <w:pgMar w:left="240" w:top="964" w:right="1440" w:bottom="1440" w:gutter="0" w:footer="0" w:header="0"/>
        </w:sectPr>
      </w:pPr>
    </w:p>
    <w:bookmarkStart w:id="57" w:name="page58"/>
    <w:bookmarkEnd w:id="57"/>
    <w:p>
      <w:pPr>
        <w:jc w:val="right"/>
        <w:spacing w:after="0"/>
        <w:rPr>
          <w:sz w:val="20"/>
          <w:szCs w:val="20"/>
          <w:color w:val="auto"/>
        </w:rPr>
      </w:pPr>
      <w:r>
        <w:rPr>
          <w:rFonts w:ascii="Arial" w:cs="Arial" w:eastAsia="Arial" w:hAnsi="Arial"/>
          <w:sz w:val="19"/>
          <w:szCs w:val="19"/>
          <w:b w:val="1"/>
          <w:bCs w:val="1"/>
          <w:color w:val="auto"/>
        </w:rPr>
        <w:t>Exhibit 10.15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1220"/>
        <w:spacing w:after="0"/>
        <w:rPr>
          <w:sz w:val="20"/>
          <w:szCs w:val="20"/>
          <w:color w:val="auto"/>
        </w:rPr>
      </w:pPr>
      <w:r>
        <w:rPr>
          <w:rFonts w:ascii="Arial" w:cs="Arial" w:eastAsia="Arial" w:hAnsi="Arial"/>
          <w:sz w:val="29"/>
          <w:szCs w:val="29"/>
          <w:b w:val="1"/>
          <w:bCs w:val="1"/>
          <w:color w:val="auto"/>
        </w:rPr>
        <w:t>SEMPRA ENERGY</w:t>
      </w:r>
    </w:p>
    <w:p>
      <w:pPr>
        <w:jc w:val="center"/>
        <w:ind w:right="1220"/>
        <w:spacing w:after="0" w:line="232" w:lineRule="auto"/>
        <w:rPr>
          <w:sz w:val="20"/>
          <w:szCs w:val="20"/>
          <w:color w:val="auto"/>
        </w:rPr>
      </w:pPr>
      <w:r>
        <w:rPr>
          <w:rFonts w:ascii="Arial" w:cs="Arial" w:eastAsia="Arial" w:hAnsi="Arial"/>
          <w:sz w:val="29"/>
          <w:szCs w:val="29"/>
          <w:b w:val="1"/>
          <w:bCs w:val="1"/>
          <w:color w:val="auto"/>
        </w:rPr>
        <w:t>AMENDED AND RESTATED</w:t>
      </w:r>
    </w:p>
    <w:p>
      <w:pPr>
        <w:spacing w:after="0" w:line="1" w:lineRule="exact"/>
        <w:rPr>
          <w:sz w:val="20"/>
          <w:szCs w:val="20"/>
          <w:color w:val="auto"/>
        </w:rPr>
      </w:pPr>
    </w:p>
    <w:p>
      <w:pPr>
        <w:jc w:val="center"/>
        <w:ind w:right="1220"/>
        <w:spacing w:after="0"/>
        <w:rPr>
          <w:sz w:val="20"/>
          <w:szCs w:val="20"/>
          <w:color w:val="auto"/>
        </w:rPr>
      </w:pPr>
      <w:r>
        <w:rPr>
          <w:rFonts w:ascii="Arial" w:cs="Arial" w:eastAsia="Arial" w:hAnsi="Arial"/>
          <w:sz w:val="29"/>
          <w:szCs w:val="29"/>
          <w:b w:val="1"/>
          <w:bCs w:val="1"/>
          <w:color w:val="auto"/>
        </w:rPr>
        <w:t>EXECUTIVE LIFE INSURANCE PLAN</w:t>
      </w:r>
    </w:p>
    <w:p>
      <w:pPr>
        <w:sectPr>
          <w:pgSz w:w="11900" w:h="16838" w:orient="portrait"/>
          <w:cols w:equalWidth="0" w:num="1">
            <w:col w:w="10240"/>
          </w:cols>
          <w:pgMar w:left="1440" w:top="499" w:right="219" w:bottom="1440" w:gutter="0" w:footer="0" w:header="0"/>
        </w:sectPr>
      </w:pPr>
    </w:p>
    <w:bookmarkStart w:id="58" w:name="page59"/>
    <w:bookmarkEnd w:id="58"/>
    <w:p>
      <w:pPr>
        <w:ind w:right="260"/>
        <w:spacing w:after="0" w:line="266" w:lineRule="auto"/>
        <w:rPr>
          <w:sz w:val="20"/>
          <w:szCs w:val="20"/>
          <w:color w:val="auto"/>
        </w:rPr>
      </w:pPr>
      <w:r>
        <w:rPr>
          <w:rFonts w:ascii="Arial" w:cs="Arial" w:eastAsia="Arial" w:hAnsi="Arial"/>
          <w:sz w:val="19"/>
          <w:szCs w:val="19"/>
          <w:color w:val="auto"/>
        </w:rPr>
        <w:t>Sempra Energy, a California corporation (“Sempra”), hereby amends and restates the Sempra Energy Executive Life Insurance Plan (the “Plan”), which was originally effective June 1, 1998. The Plan was amended and restated effective as of July 1, 2003.</w:t>
      </w:r>
    </w:p>
    <w:p>
      <w:pPr>
        <w:spacing w:after="0" w:line="140" w:lineRule="exact"/>
        <w:rPr>
          <w:sz w:val="20"/>
          <w:szCs w:val="20"/>
          <w:color w:val="auto"/>
        </w:rPr>
      </w:pPr>
    </w:p>
    <w:p>
      <w:pPr>
        <w:ind w:right="460"/>
        <w:spacing w:after="0" w:line="296" w:lineRule="auto"/>
        <w:rPr>
          <w:sz w:val="20"/>
          <w:szCs w:val="20"/>
          <w:color w:val="auto"/>
        </w:rPr>
      </w:pPr>
      <w:r>
        <w:rPr>
          <w:rFonts w:ascii="Arial" w:cs="Arial" w:eastAsia="Arial" w:hAnsi="Arial"/>
          <w:sz w:val="17"/>
          <w:szCs w:val="17"/>
          <w:color w:val="auto"/>
        </w:rPr>
        <w:t>Sempra hereby amends and restates the Plan effective as of December 12, 2008, except as otherwise provided herein. This amendment and restatement of the Plan is intended to comply with the requirements of Sections 409A(a)(2), (3) and (4) of the Code (as defined below) and the Treasury Regulations thereunder. Also, the name of the Plan is hereby amended to be “The Sempra Energy Executive Life Insurance Plan.”</w:t>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PURPOSE OF PLAN</w:t>
      </w:r>
    </w:p>
    <w:p>
      <w:pPr>
        <w:spacing w:after="0" w:line="196" w:lineRule="exact"/>
        <w:rPr>
          <w:sz w:val="20"/>
          <w:szCs w:val="20"/>
          <w:color w:val="auto"/>
        </w:rPr>
      </w:pPr>
    </w:p>
    <w:p>
      <w:pPr>
        <w:jc w:val="both"/>
        <w:ind w:right="120"/>
        <w:spacing w:after="0" w:line="272" w:lineRule="auto"/>
        <w:rPr>
          <w:sz w:val="20"/>
          <w:szCs w:val="20"/>
          <w:color w:val="auto"/>
        </w:rPr>
      </w:pPr>
      <w:r>
        <w:rPr>
          <w:rFonts w:ascii="Arial" w:cs="Arial" w:eastAsia="Arial" w:hAnsi="Arial"/>
          <w:sz w:val="18"/>
          <w:szCs w:val="18"/>
          <w:color w:val="auto"/>
        </w:rPr>
        <w:t>The purpose of this Plan is to assist certain of Sempra’s senior executives to obtain additional life insurance coverage. In connection with this, the Plan provides that the Company will make certain life insurance premium payments on the policies obtained under the terms and conditions of this Plan. In addition, the Plan provides for a tax gross-up to offset the income taxes associated with those premium payments.</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ARTICLE I</w:t>
      </w:r>
    </w:p>
    <w:p>
      <w:pPr>
        <w:spacing w:after="0" w:line="70"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DEFINITIONS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Whenever capitalized in this Plan document, the following terms shall have the meanings set forth below unless otherwise expressly provided:</w:t>
      </w:r>
    </w:p>
    <w:p>
      <w:pPr>
        <w:spacing w:after="0" w:line="183" w:lineRule="exact"/>
        <w:rPr>
          <w:sz w:val="20"/>
          <w:szCs w:val="20"/>
          <w:color w:val="auto"/>
        </w:rPr>
      </w:pPr>
    </w:p>
    <w:p>
      <w:pPr>
        <w:spacing w:after="0"/>
        <w:tabs>
          <w:tab w:leader="none" w:pos="600" w:val="left"/>
        </w:tabs>
        <w:rPr>
          <w:sz w:val="20"/>
          <w:szCs w:val="20"/>
          <w:color w:val="auto"/>
        </w:rPr>
      </w:pPr>
      <w:r>
        <w:rPr>
          <w:rFonts w:ascii="Arial" w:cs="Arial" w:eastAsia="Arial" w:hAnsi="Arial"/>
          <w:sz w:val="19"/>
          <w:szCs w:val="19"/>
          <w:color w:val="auto"/>
        </w:rPr>
        <w:t>1.1</w:t>
      </w:r>
      <w:r>
        <w:rPr>
          <w:sz w:val="20"/>
          <w:szCs w:val="20"/>
          <w:color w:val="auto"/>
        </w:rPr>
        <w:tab/>
      </w:r>
      <w:r>
        <w:rPr>
          <w:rFonts w:ascii="Arial" w:cs="Arial" w:eastAsia="Arial" w:hAnsi="Arial"/>
          <w:sz w:val="17"/>
          <w:szCs w:val="17"/>
          <w:b w:val="1"/>
          <w:bCs w:val="1"/>
          <w:color w:val="auto"/>
        </w:rPr>
        <w:t xml:space="preserve">“Board” </w:t>
      </w:r>
      <w:r>
        <w:rPr>
          <w:rFonts w:ascii="Arial" w:cs="Arial" w:eastAsia="Arial" w:hAnsi="Arial"/>
          <w:sz w:val="17"/>
          <w:szCs w:val="17"/>
          <w:color w:val="auto"/>
        </w:rPr>
        <w:t>shall mean the Board of Directors of the Company.</w:t>
      </w:r>
    </w:p>
    <w:p>
      <w:pPr>
        <w:spacing w:after="0" w:line="178" w:lineRule="exact"/>
        <w:rPr>
          <w:sz w:val="20"/>
          <w:szCs w:val="20"/>
          <w:color w:val="auto"/>
        </w:rPr>
      </w:pPr>
    </w:p>
    <w:p>
      <w:pPr>
        <w:spacing w:after="0"/>
        <w:tabs>
          <w:tab w:leader="none" w:pos="560" w:val="left"/>
        </w:tabs>
        <w:rPr>
          <w:sz w:val="20"/>
          <w:szCs w:val="20"/>
          <w:color w:val="auto"/>
        </w:rPr>
      </w:pPr>
      <w:r>
        <w:rPr>
          <w:rFonts w:ascii="Arial" w:cs="Arial" w:eastAsia="Arial" w:hAnsi="Arial"/>
          <w:sz w:val="19"/>
          <w:szCs w:val="19"/>
          <w:color w:val="auto"/>
        </w:rPr>
        <w:t>1.2</w:t>
      </w:r>
      <w:r>
        <w:rPr>
          <w:sz w:val="20"/>
          <w:szCs w:val="20"/>
          <w:color w:val="auto"/>
        </w:rPr>
        <w:tab/>
      </w:r>
      <w:r>
        <w:rPr>
          <w:rFonts w:ascii="Arial" w:cs="Arial" w:eastAsia="Arial" w:hAnsi="Arial"/>
          <w:sz w:val="17"/>
          <w:szCs w:val="17"/>
          <w:b w:val="1"/>
          <w:bCs w:val="1"/>
          <w:color w:val="auto"/>
        </w:rPr>
        <w:t xml:space="preserve">“Code” </w:t>
      </w:r>
      <w:r>
        <w:rPr>
          <w:rFonts w:ascii="Arial" w:cs="Arial" w:eastAsia="Arial" w:hAnsi="Arial"/>
          <w:sz w:val="17"/>
          <w:szCs w:val="17"/>
          <w:color w:val="auto"/>
        </w:rPr>
        <w:t>means the Internal Revenue Code of 1986, as amended.</w:t>
      </w:r>
    </w:p>
    <w:p>
      <w:pPr>
        <w:spacing w:after="0" w:line="190" w:lineRule="exact"/>
        <w:rPr>
          <w:sz w:val="20"/>
          <w:szCs w:val="20"/>
          <w:color w:val="auto"/>
        </w:rPr>
      </w:pPr>
    </w:p>
    <w:p>
      <w:pPr>
        <w:ind w:right="600"/>
        <w:spacing w:after="0" w:line="273" w:lineRule="auto"/>
        <w:rPr>
          <w:sz w:val="20"/>
          <w:szCs w:val="20"/>
          <w:color w:val="auto"/>
        </w:rPr>
      </w:pPr>
      <w:r>
        <w:rPr>
          <w:rFonts w:ascii="Arial" w:cs="Arial" w:eastAsia="Arial" w:hAnsi="Arial"/>
          <w:sz w:val="19"/>
          <w:szCs w:val="19"/>
          <w:color w:val="auto"/>
        </w:rPr>
        <w:t xml:space="preserve">1.3 </w:t>
      </w:r>
      <w:r>
        <w:rPr>
          <w:rFonts w:ascii="Arial" w:cs="Arial" w:eastAsia="Arial" w:hAnsi="Arial"/>
          <w:sz w:val="19"/>
          <w:szCs w:val="19"/>
          <w:b w:val="1"/>
          <w:bCs w:val="1"/>
          <w:color w:val="auto"/>
        </w:rPr>
        <w:t>“Committee”</w:t>
      </w:r>
      <w:r>
        <w:rPr>
          <w:rFonts w:ascii="Arial" w:cs="Arial" w:eastAsia="Arial" w:hAnsi="Arial"/>
          <w:sz w:val="19"/>
          <w:szCs w:val="19"/>
          <w:color w:val="auto"/>
        </w:rPr>
        <w:t xml:space="preserve"> shall mean the Compensation Committee of the Board, or such other committee as the Compensation Committee shall appoint from time to time to administer the Plan.</w:t>
      </w:r>
    </w:p>
    <w:p>
      <w:pPr>
        <w:spacing w:after="0" w:line="116" w:lineRule="exact"/>
        <w:rPr>
          <w:sz w:val="20"/>
          <w:szCs w:val="20"/>
          <w:color w:val="auto"/>
        </w:rPr>
      </w:pPr>
    </w:p>
    <w:p>
      <w:pPr>
        <w:ind w:right="40"/>
        <w:spacing w:after="0" w:line="255" w:lineRule="auto"/>
        <w:rPr>
          <w:sz w:val="20"/>
          <w:szCs w:val="20"/>
          <w:color w:val="auto"/>
        </w:rPr>
      </w:pPr>
      <w:r>
        <w:rPr>
          <w:rFonts w:ascii="Arial" w:cs="Arial" w:eastAsia="Arial" w:hAnsi="Arial"/>
          <w:sz w:val="19"/>
          <w:szCs w:val="19"/>
          <w:color w:val="auto"/>
        </w:rPr>
        <w:t xml:space="preserve">1.4 </w:t>
      </w:r>
      <w:r>
        <w:rPr>
          <w:rFonts w:ascii="Arial" w:cs="Arial" w:eastAsia="Arial" w:hAnsi="Arial"/>
          <w:sz w:val="19"/>
          <w:szCs w:val="19"/>
          <w:b w:val="1"/>
          <w:bCs w:val="1"/>
          <w:color w:val="auto"/>
        </w:rPr>
        <w:t>“Company”</w:t>
      </w:r>
      <w:r>
        <w:rPr>
          <w:rFonts w:ascii="Arial" w:cs="Arial" w:eastAsia="Arial" w:hAnsi="Arial"/>
          <w:sz w:val="19"/>
          <w:szCs w:val="19"/>
          <w:color w:val="auto"/>
        </w:rPr>
        <w:t xml:space="preserve"> shall mean Sempra Energy, a California corporation, and any successor thereto, including any corporation that is a successor to all or substantially all of the Company’s assets or business. “Company” shall also include any corporation or other entity a majority of whose outstanding voting stock or voting power is owned, directly or indirectly, by Sempra Energy, Inc.</w:t>
      </w:r>
    </w:p>
    <w:p>
      <w:pPr>
        <w:spacing w:after="0" w:line="132" w:lineRule="exact"/>
        <w:rPr>
          <w:sz w:val="20"/>
          <w:szCs w:val="20"/>
          <w:color w:val="auto"/>
        </w:rPr>
      </w:pPr>
    </w:p>
    <w:p>
      <w:pPr>
        <w:ind w:right="760"/>
        <w:spacing w:after="0" w:line="273" w:lineRule="auto"/>
        <w:rPr>
          <w:sz w:val="20"/>
          <w:szCs w:val="20"/>
          <w:color w:val="auto"/>
        </w:rPr>
      </w:pPr>
      <w:r>
        <w:rPr>
          <w:rFonts w:ascii="Arial" w:cs="Arial" w:eastAsia="Arial" w:hAnsi="Arial"/>
          <w:sz w:val="19"/>
          <w:szCs w:val="19"/>
          <w:color w:val="auto"/>
        </w:rPr>
        <w:t xml:space="preserve">1.5 </w:t>
      </w:r>
      <w:r>
        <w:rPr>
          <w:rFonts w:ascii="Arial" w:cs="Arial" w:eastAsia="Arial" w:hAnsi="Arial"/>
          <w:sz w:val="19"/>
          <w:szCs w:val="19"/>
          <w:b w:val="1"/>
          <w:bCs w:val="1"/>
          <w:color w:val="auto"/>
        </w:rPr>
        <w:t>“Participant”</w:t>
      </w:r>
      <w:r>
        <w:rPr>
          <w:rFonts w:ascii="Arial" w:cs="Arial" w:eastAsia="Arial" w:hAnsi="Arial"/>
          <w:sz w:val="19"/>
          <w:szCs w:val="19"/>
          <w:color w:val="auto"/>
        </w:rPr>
        <w:t xml:space="preserve"> shall mean any senior executive of the Company who is selected to participate in the Plan and who has satisfied the conditions for Plan participation as set forth in Section 2.1.</w:t>
      </w:r>
    </w:p>
    <w:p>
      <w:pPr>
        <w:spacing w:after="0" w:line="128" w:lineRule="exact"/>
        <w:rPr>
          <w:sz w:val="20"/>
          <w:szCs w:val="20"/>
          <w:color w:val="auto"/>
        </w:rPr>
      </w:pPr>
    </w:p>
    <w:p>
      <w:pPr>
        <w:spacing w:after="0"/>
        <w:tabs>
          <w:tab w:leader="none" w:pos="560" w:val="left"/>
        </w:tabs>
        <w:rPr>
          <w:sz w:val="20"/>
          <w:szCs w:val="20"/>
          <w:color w:val="auto"/>
        </w:rPr>
      </w:pPr>
      <w:r>
        <w:rPr>
          <w:rFonts w:ascii="Arial" w:cs="Arial" w:eastAsia="Arial" w:hAnsi="Arial"/>
          <w:sz w:val="19"/>
          <w:szCs w:val="19"/>
          <w:color w:val="auto"/>
        </w:rPr>
        <w:t>1.6</w:t>
      </w:r>
      <w:r>
        <w:rPr>
          <w:sz w:val="20"/>
          <w:szCs w:val="20"/>
          <w:color w:val="auto"/>
        </w:rPr>
        <w:tab/>
      </w:r>
      <w:r>
        <w:rPr>
          <w:rFonts w:ascii="Arial" w:cs="Arial" w:eastAsia="Arial" w:hAnsi="Arial"/>
          <w:sz w:val="17"/>
          <w:szCs w:val="17"/>
          <w:b w:val="1"/>
          <w:bCs w:val="1"/>
          <w:color w:val="auto"/>
        </w:rPr>
        <w:t xml:space="preserve">“Plan” </w:t>
      </w:r>
      <w:r>
        <w:rPr>
          <w:rFonts w:ascii="Arial" w:cs="Arial" w:eastAsia="Arial" w:hAnsi="Arial"/>
          <w:sz w:val="17"/>
          <w:szCs w:val="17"/>
          <w:color w:val="auto"/>
        </w:rPr>
        <w:t>shall mean this Sempra Energy Executive Life Insurance Plan, as it may be amended from time to time.</w:t>
      </w:r>
    </w:p>
    <w:p>
      <w:pPr>
        <w:spacing w:after="0" w:line="178" w:lineRule="exact"/>
        <w:rPr>
          <w:sz w:val="20"/>
          <w:szCs w:val="20"/>
          <w:color w:val="auto"/>
        </w:rPr>
      </w:pPr>
    </w:p>
    <w:p>
      <w:pPr>
        <w:spacing w:after="0"/>
        <w:tabs>
          <w:tab w:leader="none" w:pos="560" w:val="left"/>
        </w:tabs>
        <w:rPr>
          <w:sz w:val="20"/>
          <w:szCs w:val="20"/>
          <w:color w:val="auto"/>
        </w:rPr>
      </w:pPr>
      <w:r>
        <w:rPr>
          <w:rFonts w:ascii="Arial" w:cs="Arial" w:eastAsia="Arial" w:hAnsi="Arial"/>
          <w:sz w:val="19"/>
          <w:szCs w:val="19"/>
          <w:color w:val="auto"/>
        </w:rPr>
        <w:t>1.7</w:t>
      </w:r>
      <w:r>
        <w:rPr>
          <w:sz w:val="20"/>
          <w:szCs w:val="20"/>
          <w:color w:val="auto"/>
        </w:rPr>
        <w:tab/>
      </w:r>
      <w:r>
        <w:rPr>
          <w:rFonts w:ascii="Arial" w:cs="Arial" w:eastAsia="Arial" w:hAnsi="Arial"/>
          <w:sz w:val="17"/>
          <w:szCs w:val="17"/>
          <w:b w:val="1"/>
          <w:bCs w:val="1"/>
          <w:color w:val="auto"/>
        </w:rPr>
        <w:t xml:space="preserve">“Plan Year” </w:t>
      </w:r>
      <w:r>
        <w:rPr>
          <w:rFonts w:ascii="Arial" w:cs="Arial" w:eastAsia="Arial" w:hAnsi="Arial"/>
          <w:sz w:val="17"/>
          <w:szCs w:val="17"/>
          <w:color w:val="auto"/>
        </w:rPr>
        <w:t>shall mean the calendar year.</w:t>
      </w:r>
    </w:p>
    <w:p>
      <w:pPr>
        <w:spacing w:after="0" w:line="178" w:lineRule="exact"/>
        <w:rPr>
          <w:sz w:val="20"/>
          <w:szCs w:val="20"/>
          <w:color w:val="auto"/>
        </w:rPr>
      </w:pPr>
    </w:p>
    <w:p>
      <w:pPr>
        <w:ind w:right="380"/>
        <w:spacing w:after="0" w:line="273" w:lineRule="auto"/>
        <w:rPr>
          <w:sz w:val="20"/>
          <w:szCs w:val="20"/>
          <w:color w:val="auto"/>
        </w:rPr>
      </w:pPr>
      <w:r>
        <w:rPr>
          <w:rFonts w:ascii="Arial" w:cs="Arial" w:eastAsia="Arial" w:hAnsi="Arial"/>
          <w:sz w:val="19"/>
          <w:szCs w:val="19"/>
          <w:color w:val="auto"/>
        </w:rPr>
        <w:t xml:space="preserve">1.8 </w:t>
      </w:r>
      <w:r>
        <w:rPr>
          <w:rFonts w:ascii="Arial" w:cs="Arial" w:eastAsia="Arial" w:hAnsi="Arial"/>
          <w:sz w:val="19"/>
          <w:szCs w:val="19"/>
          <w:b w:val="1"/>
          <w:bCs w:val="1"/>
          <w:color w:val="auto"/>
        </w:rPr>
        <w:t>“Policy”</w:t>
      </w:r>
      <w:r>
        <w:rPr>
          <w:rFonts w:ascii="Arial" w:cs="Arial" w:eastAsia="Arial" w:hAnsi="Arial"/>
          <w:sz w:val="19"/>
          <w:szCs w:val="19"/>
          <w:color w:val="auto"/>
        </w:rPr>
        <w:t xml:space="preserve"> shall mean the life insurance policy (or life insurance policies if more than one is required because of death benefit amounts or otherwise) purchased on a Participant’s life that is subject to the terms and conditions of this Plan.</w:t>
      </w:r>
    </w:p>
    <w:p>
      <w:pPr>
        <w:spacing w:after="0" w:line="128" w:lineRule="exact"/>
        <w:rPr>
          <w:sz w:val="20"/>
          <w:szCs w:val="20"/>
          <w:color w:val="auto"/>
        </w:rPr>
      </w:pPr>
    </w:p>
    <w:p>
      <w:pPr>
        <w:ind w:right="120"/>
        <w:spacing w:after="0" w:line="273" w:lineRule="auto"/>
        <w:rPr>
          <w:sz w:val="20"/>
          <w:szCs w:val="20"/>
          <w:color w:val="auto"/>
        </w:rPr>
      </w:pPr>
      <w:r>
        <w:rPr>
          <w:rFonts w:ascii="Arial" w:cs="Arial" w:eastAsia="Arial" w:hAnsi="Arial"/>
          <w:sz w:val="19"/>
          <w:szCs w:val="19"/>
          <w:color w:val="auto"/>
        </w:rPr>
        <w:t>1.9 “</w:t>
      </w:r>
      <w:r>
        <w:rPr>
          <w:rFonts w:ascii="Arial" w:cs="Arial" w:eastAsia="Arial" w:hAnsi="Arial"/>
          <w:sz w:val="19"/>
          <w:szCs w:val="19"/>
          <w:b w:val="1"/>
          <w:bCs w:val="1"/>
          <w:color w:val="auto"/>
        </w:rPr>
        <w:t>Separation from Service</w:t>
      </w:r>
      <w:r>
        <w:rPr>
          <w:rFonts w:ascii="Arial" w:cs="Arial" w:eastAsia="Arial" w:hAnsi="Arial"/>
          <w:sz w:val="19"/>
          <w:szCs w:val="19"/>
          <w:color w:val="auto"/>
        </w:rPr>
        <w:t>”, with respect to a Participant (or another Service Provider) means the Participant’s (or such Service Provider’s) “separation from service,” as defined in Treasury Regulation Section 1.409A-1(h).</w:t>
      </w:r>
    </w:p>
    <w:p>
      <w:pPr>
        <w:spacing w:after="0" w:line="116" w:lineRule="exact"/>
        <w:rPr>
          <w:sz w:val="20"/>
          <w:szCs w:val="20"/>
          <w:color w:val="auto"/>
        </w:rPr>
      </w:pPr>
    </w:p>
    <w:p>
      <w:pPr>
        <w:spacing w:after="0"/>
        <w:tabs>
          <w:tab w:leader="none" w:pos="600" w:val="left"/>
        </w:tabs>
        <w:rPr>
          <w:sz w:val="20"/>
          <w:szCs w:val="20"/>
          <w:color w:val="auto"/>
        </w:rPr>
      </w:pPr>
      <w:r>
        <w:rPr>
          <w:rFonts w:ascii="Arial" w:cs="Arial" w:eastAsia="Arial" w:hAnsi="Arial"/>
          <w:sz w:val="19"/>
          <w:szCs w:val="19"/>
          <w:color w:val="auto"/>
        </w:rPr>
        <w:t>1.10</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color w:val="auto"/>
        </w:rPr>
        <w:t>Service Provider</w:t>
      </w:r>
      <w:r>
        <w:rPr>
          <w:rFonts w:ascii="Arial" w:cs="Arial" w:eastAsia="Arial" w:hAnsi="Arial"/>
          <w:sz w:val="17"/>
          <w:szCs w:val="17"/>
          <w:color w:val="auto"/>
        </w:rPr>
        <w:t>” means a Participant or any other “service provider,” as defined in Treasury Regulation Section 1.409A-1(f).</w:t>
      </w:r>
    </w:p>
    <w:p>
      <w:pPr>
        <w:spacing w:after="0" w:line="178" w:lineRule="exact"/>
        <w:rPr>
          <w:sz w:val="20"/>
          <w:szCs w:val="20"/>
          <w:color w:val="auto"/>
        </w:rPr>
      </w:pPr>
    </w:p>
    <w:p>
      <w:pPr>
        <w:ind w:right="40"/>
        <w:spacing w:after="0" w:line="288" w:lineRule="auto"/>
        <w:rPr>
          <w:sz w:val="20"/>
          <w:szCs w:val="20"/>
          <w:color w:val="auto"/>
        </w:rPr>
      </w:pPr>
      <w:r>
        <w:rPr>
          <w:rFonts w:ascii="Arial" w:cs="Arial" w:eastAsia="Arial" w:hAnsi="Arial"/>
          <w:sz w:val="17"/>
          <w:szCs w:val="17"/>
          <w:color w:val="auto"/>
        </w:rPr>
        <w:t>1.11 “</w:t>
      </w:r>
      <w:r>
        <w:rPr>
          <w:rFonts w:ascii="Arial" w:cs="Arial" w:eastAsia="Arial" w:hAnsi="Arial"/>
          <w:sz w:val="17"/>
          <w:szCs w:val="17"/>
          <w:b w:val="1"/>
          <w:bCs w:val="1"/>
          <w:color w:val="auto"/>
        </w:rPr>
        <w:t>Service Recipient</w:t>
      </w:r>
      <w:r>
        <w:rPr>
          <w:rFonts w:ascii="Arial" w:cs="Arial" w:eastAsia="Arial" w:hAnsi="Arial"/>
          <w:sz w:val="17"/>
          <w:szCs w:val="17"/>
          <w:color w:val="auto"/>
        </w:rPr>
        <w:t>,” with respect to a Participant, means the Company and all persons considered part of the “service recipient,” as defined in Treasury Regulation Section 1.409A-1(g), as determined from time to time. As provided in Treasury Regulation Section 1.409A-1(g), the “Service Recipient” shall mean the person for whom the services are performed and with respect to whom the legally binding right to compensation arises, and all persons with whom such person would be considered a single employer under Section 414(b) or 414(c) of the Code.</w:t>
      </w:r>
    </w:p>
    <w:p>
      <w:pPr>
        <w:spacing w:after="0" w:line="119"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1.12 “</w:t>
      </w:r>
      <w:r>
        <w:rPr>
          <w:rFonts w:ascii="Arial" w:cs="Arial" w:eastAsia="Arial" w:hAnsi="Arial"/>
          <w:sz w:val="17"/>
          <w:szCs w:val="17"/>
          <w:b w:val="1"/>
          <w:bCs w:val="1"/>
          <w:color w:val="auto"/>
        </w:rPr>
        <w:t>Specified Employee</w:t>
      </w:r>
      <w:r>
        <w:rPr>
          <w:rFonts w:ascii="Arial" w:cs="Arial" w:eastAsia="Arial" w:hAnsi="Arial"/>
          <w:sz w:val="17"/>
          <w:szCs w:val="17"/>
          <w:color w:val="auto"/>
        </w:rPr>
        <w:t>” means a Service Provider who, as of the date of the Service Provider’s Separation from Service, is a “</w:t>
      </w:r>
      <w:r>
        <w:rPr>
          <w:rFonts w:ascii="Arial" w:cs="Arial" w:eastAsia="Arial" w:hAnsi="Arial"/>
          <w:sz w:val="17"/>
          <w:szCs w:val="17"/>
          <w:u w:val="single" w:color="auto"/>
          <w:color w:val="auto"/>
        </w:rPr>
        <w:t>Key</w:t>
      </w:r>
      <w:r>
        <w:rPr>
          <w:rFonts w:ascii="Arial" w:cs="Arial" w:eastAsia="Arial" w:hAnsi="Arial"/>
          <w:sz w:val="17"/>
          <w:szCs w:val="17"/>
          <w:color w:val="auto"/>
        </w:rPr>
        <w:t xml:space="preserve"> </w:t>
      </w:r>
      <w:r>
        <w:rPr>
          <w:rFonts w:ascii="Arial" w:cs="Arial" w:eastAsia="Arial" w:hAnsi="Arial"/>
          <w:sz w:val="17"/>
          <w:szCs w:val="17"/>
          <w:u w:val="single" w:color="auto"/>
          <w:color w:val="auto"/>
        </w:rPr>
        <w:t>Employee</w:t>
      </w:r>
      <w:r>
        <w:rPr>
          <w:rFonts w:ascii="Arial" w:cs="Arial" w:eastAsia="Arial" w:hAnsi="Arial"/>
          <w:sz w:val="17"/>
          <w:szCs w:val="17"/>
          <w:color w:val="auto"/>
        </w:rPr>
        <w:t>” of the Service Recipient any stock of which is publicly traded on an established securities market or otherwise. For purposes of this definition, a Service Provider is a “</w:t>
      </w:r>
      <w:r>
        <w:rPr>
          <w:rFonts w:ascii="Arial" w:cs="Arial" w:eastAsia="Arial" w:hAnsi="Arial"/>
          <w:sz w:val="17"/>
          <w:szCs w:val="17"/>
          <w:u w:val="single" w:color="auto"/>
          <w:color w:val="auto"/>
        </w:rPr>
        <w:t>Key Employee</w:t>
      </w:r>
      <w:r>
        <w:rPr>
          <w:rFonts w:ascii="Arial" w:cs="Arial" w:eastAsia="Arial" w:hAnsi="Arial"/>
          <w:sz w:val="17"/>
          <w:szCs w:val="17"/>
          <w:color w:val="auto"/>
        </w:rPr>
        <w:t>” if the Service Provider meets the requirements of Section 416(i)(1)(A)(i), (ii) or (iii) of the Code (applied in accordance with the Treasury Regulations thereunder and disregarding Section 416(i)(5) of the Code) at any time during the Testing Year. If a Service Provider is a “</w:t>
      </w:r>
      <w:r>
        <w:rPr>
          <w:rFonts w:ascii="Arial" w:cs="Arial" w:eastAsia="Arial" w:hAnsi="Arial"/>
          <w:sz w:val="17"/>
          <w:szCs w:val="17"/>
          <w:u w:val="single" w:color="auto"/>
          <w:color w:val="auto"/>
        </w:rPr>
        <w:t>Key Employee</w:t>
      </w:r>
      <w:r>
        <w:rPr>
          <w:rFonts w:ascii="Arial" w:cs="Arial" w:eastAsia="Arial" w:hAnsi="Arial"/>
          <w:sz w:val="17"/>
          <w:szCs w:val="17"/>
          <w:color w:val="auto"/>
        </w:rPr>
        <w:t>” (as defined above) as of a Specified Employee Identification Date, the Service Provider shall be treated as “</w:t>
      </w:r>
      <w:r>
        <w:rPr>
          <w:rFonts w:ascii="Arial" w:cs="Arial" w:eastAsia="Arial" w:hAnsi="Arial"/>
          <w:sz w:val="17"/>
          <w:szCs w:val="17"/>
          <w:u w:val="single" w:color="auto"/>
          <w:color w:val="auto"/>
        </w:rPr>
        <w:t>Key Employee</w:t>
      </w:r>
      <w:r>
        <w:rPr>
          <w:rFonts w:ascii="Arial" w:cs="Arial" w:eastAsia="Arial" w:hAnsi="Arial"/>
          <w:sz w:val="17"/>
          <w:szCs w:val="17"/>
          <w:color w:val="auto"/>
        </w:rPr>
        <w:t>” for the entire twelve (12) month period beginning on the Specified Employee Effecti ve Date. For purposes of this definition, a Service Provider’s compensation for a Testing Year shall mean such Service Provider’s compensation, as determined under Treasury Regulation Section 1.415(c)-2(a) (and applied as if the Service Recipient were not using any safe harbor provided in Treasury Regulation Section</w:t>
      </w:r>
    </w:p>
    <w:p>
      <w:pPr>
        <w:spacing w:after="0" w:line="6" w:lineRule="exact"/>
        <w:rPr>
          <w:sz w:val="20"/>
          <w:szCs w:val="20"/>
          <w:color w:val="auto"/>
        </w:rPr>
      </w:pPr>
    </w:p>
    <w:p>
      <w:pPr>
        <w:jc w:val="both"/>
        <w:ind w:right="40"/>
        <w:spacing w:after="0" w:line="243" w:lineRule="auto"/>
        <w:rPr>
          <w:sz w:val="20"/>
          <w:szCs w:val="20"/>
          <w:color w:val="auto"/>
        </w:rPr>
      </w:pPr>
      <w:r>
        <w:rPr>
          <w:rFonts w:ascii="Arial" w:cs="Arial" w:eastAsia="Arial" w:hAnsi="Arial"/>
          <w:sz w:val="19"/>
          <w:szCs w:val="19"/>
          <w:color w:val="auto"/>
        </w:rPr>
        <w:t>1.415(c)-2(d), were not using any of the elective special timing rules provided in Treasury Regulation Section 1.415(c)-2(e), and were not using any of the elective special rules provided in Treasury Regulation Section 1.415(c)-2(g)). The “Specified Employees” shall be determined in accordance with Section 409A(a)(2)(B)(i) of the Code and Treasury Regulation Section 1.409A-1(i).</w:t>
      </w:r>
    </w:p>
    <w:p>
      <w:pPr>
        <w:spacing w:after="0" w:line="143" w:lineRule="exact"/>
        <w:rPr>
          <w:sz w:val="20"/>
          <w:szCs w:val="20"/>
          <w:color w:val="auto"/>
        </w:rPr>
      </w:pPr>
    </w:p>
    <w:p>
      <w:pPr>
        <w:ind w:right="80"/>
        <w:spacing w:after="0" w:line="278" w:lineRule="auto"/>
        <w:rPr>
          <w:sz w:val="20"/>
          <w:szCs w:val="20"/>
          <w:color w:val="auto"/>
        </w:rPr>
      </w:pPr>
      <w:r>
        <w:rPr>
          <w:rFonts w:ascii="Arial" w:cs="Arial" w:eastAsia="Arial" w:hAnsi="Arial"/>
          <w:sz w:val="17"/>
          <w:szCs w:val="17"/>
          <w:color w:val="auto"/>
        </w:rPr>
        <w:t>1.13 “</w:t>
      </w:r>
      <w:r>
        <w:rPr>
          <w:rFonts w:ascii="Arial" w:cs="Arial" w:eastAsia="Arial" w:hAnsi="Arial"/>
          <w:sz w:val="17"/>
          <w:szCs w:val="17"/>
          <w:b w:val="1"/>
          <w:bCs w:val="1"/>
          <w:color w:val="auto"/>
        </w:rPr>
        <w:t>Specified Employee Effective Date</w:t>
      </w:r>
      <w:r>
        <w:rPr>
          <w:rFonts w:ascii="Arial" w:cs="Arial" w:eastAsia="Arial" w:hAnsi="Arial"/>
          <w:sz w:val="17"/>
          <w:szCs w:val="17"/>
          <w:color w:val="auto"/>
        </w:rPr>
        <w:t>” means the first day of the fourth month following the Specified Employee Identification Date. The Specified Employee Effective Date may be changed by the Company, in its discretion, in accordance with Treasury Regulation Section 1.409A-1(i)</w:t>
      </w:r>
    </w:p>
    <w:p>
      <w:pPr>
        <w:spacing w:after="0" w:line="2" w:lineRule="exact"/>
        <w:rPr>
          <w:sz w:val="20"/>
          <w:szCs w:val="20"/>
          <w:color w:val="auto"/>
        </w:rPr>
      </w:pPr>
    </w:p>
    <w:p>
      <w:pPr>
        <w:spacing w:after="0"/>
        <w:rPr>
          <w:sz w:val="20"/>
          <w:szCs w:val="20"/>
          <w:color w:val="auto"/>
        </w:rPr>
      </w:pPr>
      <w:r>
        <w:rPr>
          <w:rFonts w:ascii="Arial" w:cs="Arial" w:eastAsia="Arial" w:hAnsi="Arial"/>
          <w:sz w:val="19"/>
          <w:szCs w:val="19"/>
          <w:color w:val="auto"/>
        </w:rPr>
        <w:t>(4).</w:t>
      </w:r>
    </w:p>
    <w:p>
      <w:pPr>
        <w:spacing w:after="0" w:line="156" w:lineRule="exact"/>
        <w:rPr>
          <w:sz w:val="20"/>
          <w:szCs w:val="20"/>
          <w:color w:val="auto"/>
        </w:rPr>
      </w:pPr>
    </w:p>
    <w:p>
      <w:pPr>
        <w:spacing w:after="0"/>
        <w:tabs>
          <w:tab w:leader="none" w:pos="560" w:val="left"/>
        </w:tabs>
        <w:rPr>
          <w:sz w:val="20"/>
          <w:szCs w:val="20"/>
          <w:color w:val="auto"/>
        </w:rPr>
      </w:pPr>
      <w:r>
        <w:rPr>
          <w:rFonts w:ascii="Arial" w:cs="Arial" w:eastAsia="Arial" w:hAnsi="Arial"/>
          <w:sz w:val="19"/>
          <w:szCs w:val="19"/>
          <w:color w:val="auto"/>
        </w:rPr>
        <w:t>1.14</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color w:val="auto"/>
        </w:rPr>
        <w:t>Specified Employee Identification Date</w:t>
      </w:r>
      <w:r>
        <w:rPr>
          <w:rFonts w:ascii="Arial" w:cs="Arial" w:eastAsia="Arial" w:hAnsi="Arial"/>
          <w:sz w:val="17"/>
          <w:szCs w:val="17"/>
          <w:color w:val="auto"/>
        </w:rPr>
        <w:t>”, for purposes of Treasury Regulation Section 1.409A-1(i)(3), means December 31. The</w:t>
      </w:r>
    </w:p>
    <w:p>
      <w:pPr>
        <w:spacing w:after="0" w:line="20" w:lineRule="exact"/>
        <w:rPr>
          <w:sz w:val="20"/>
          <w:szCs w:val="20"/>
          <w:color w:val="auto"/>
        </w:rPr>
      </w:pPr>
    </w:p>
    <w:p>
      <w:pPr>
        <w:spacing w:after="0" w:line="24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Specified Employee Identification Date</w:t>
      </w:r>
      <w:r>
        <w:rPr>
          <w:rFonts w:ascii="Arial" w:cs="Arial" w:eastAsia="Arial" w:hAnsi="Arial"/>
          <w:sz w:val="19"/>
          <w:szCs w:val="19"/>
          <w:color w:val="auto"/>
        </w:rPr>
        <w:t>” shall apply to all “nonqualified deferred compensation plans” (as defined in Treasury Regulation Section 1.409A-1(a)) of the Service Recipient and all affected Service Providers. The “</w:t>
      </w:r>
      <w:r>
        <w:rPr>
          <w:rFonts w:ascii="Arial" w:cs="Arial" w:eastAsia="Arial" w:hAnsi="Arial"/>
          <w:sz w:val="19"/>
          <w:szCs w:val="19"/>
          <w:u w:val="single" w:color="auto"/>
          <w:color w:val="auto"/>
        </w:rPr>
        <w:t>Specified Employee Identification Date</w:t>
      </w:r>
      <w:r>
        <w:rPr>
          <w:rFonts w:ascii="Arial" w:cs="Arial" w:eastAsia="Arial" w:hAnsi="Arial"/>
          <w:sz w:val="19"/>
          <w:szCs w:val="19"/>
          <w:color w:val="auto"/>
        </w:rPr>
        <w:t>” may be changed by Sempra Energy, in its discretion, in accordance with Treasury Regulation Section 1.409A-1(i)(3).</w:t>
      </w:r>
    </w:p>
    <w:p>
      <w:pPr>
        <w:spacing w:after="0" w:line="155" w:lineRule="exact"/>
        <w:rPr>
          <w:sz w:val="20"/>
          <w:szCs w:val="20"/>
          <w:color w:val="auto"/>
        </w:rPr>
      </w:pPr>
    </w:p>
    <w:p>
      <w:pPr>
        <w:spacing w:after="0"/>
        <w:tabs>
          <w:tab w:leader="none" w:pos="560" w:val="left"/>
        </w:tabs>
        <w:rPr>
          <w:sz w:val="20"/>
          <w:szCs w:val="20"/>
          <w:color w:val="auto"/>
        </w:rPr>
      </w:pPr>
      <w:r>
        <w:rPr>
          <w:rFonts w:ascii="Arial" w:cs="Arial" w:eastAsia="Arial" w:hAnsi="Arial"/>
          <w:sz w:val="19"/>
          <w:szCs w:val="19"/>
          <w:color w:val="auto"/>
        </w:rPr>
        <w:t>1.15</w:t>
      </w:r>
      <w:r>
        <w:rPr>
          <w:sz w:val="20"/>
          <w:szCs w:val="20"/>
          <w:color w:val="auto"/>
        </w:rPr>
        <w:tab/>
      </w:r>
      <w:r>
        <w:rPr>
          <w:rFonts w:ascii="Arial" w:cs="Arial" w:eastAsia="Arial" w:hAnsi="Arial"/>
          <w:sz w:val="17"/>
          <w:szCs w:val="17"/>
          <w:b w:val="1"/>
          <w:bCs w:val="1"/>
          <w:color w:val="auto"/>
        </w:rPr>
        <w:t xml:space="preserve">“Tax Gross-Up” </w:t>
      </w:r>
      <w:r>
        <w:rPr>
          <w:rFonts w:ascii="Arial" w:cs="Arial" w:eastAsia="Arial" w:hAnsi="Arial"/>
          <w:sz w:val="17"/>
          <w:szCs w:val="17"/>
          <w:color w:val="auto"/>
        </w:rPr>
        <w:t>shall mean the tax gross-up amount set forth in Section 3.4 below.</w:t>
      </w:r>
    </w:p>
    <w:p>
      <w:pPr>
        <w:spacing w:after="0" w:line="178" w:lineRule="exact"/>
        <w:rPr>
          <w:sz w:val="20"/>
          <w:szCs w:val="20"/>
          <w:color w:val="auto"/>
        </w:rPr>
      </w:pPr>
    </w:p>
    <w:p>
      <w:pPr>
        <w:spacing w:after="0"/>
        <w:tabs>
          <w:tab w:leader="none" w:pos="560" w:val="left"/>
        </w:tabs>
        <w:rPr>
          <w:sz w:val="20"/>
          <w:szCs w:val="20"/>
          <w:color w:val="auto"/>
        </w:rPr>
      </w:pPr>
      <w:r>
        <w:rPr>
          <w:rFonts w:ascii="Arial" w:cs="Arial" w:eastAsia="Arial" w:hAnsi="Arial"/>
          <w:sz w:val="19"/>
          <w:szCs w:val="19"/>
          <w:color w:val="auto"/>
        </w:rPr>
        <w:t>1.16</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color w:val="auto"/>
        </w:rPr>
        <w:t>Testing Year</w:t>
      </w:r>
      <w:r>
        <w:rPr>
          <w:rFonts w:ascii="Arial" w:cs="Arial" w:eastAsia="Arial" w:hAnsi="Arial"/>
          <w:sz w:val="17"/>
          <w:szCs w:val="17"/>
          <w:color w:val="auto"/>
        </w:rPr>
        <w:t>” means the twelve (12) month period ending on the Specified Employee Identification Date, as determined from time to time.</w:t>
      </w:r>
    </w:p>
    <w:p>
      <w:pPr>
        <w:sectPr>
          <w:pgSz w:w="11900" w:h="16838" w:orient="portrait"/>
          <w:cols w:equalWidth="0" w:num="1">
            <w:col w:w="11420"/>
          </w:cols>
          <w:pgMar w:left="240" w:top="505" w:right="239" w:bottom="0" w:gutter="0" w:footer="0" w:header="0"/>
        </w:sectPr>
      </w:pPr>
    </w:p>
    <w:bookmarkStart w:id="59" w:name="page60"/>
    <w:bookmarkEnd w:id="59"/>
    <w:p>
      <w:pPr>
        <w:spacing w:after="0" w:line="61" w:lineRule="exact"/>
        <w:rPr>
          <w:sz w:val="20"/>
          <w:szCs w:val="20"/>
          <w:color w:val="auto"/>
        </w:rPr>
      </w:pPr>
    </w:p>
    <w:p>
      <w:pPr>
        <w:ind w:left="4"/>
        <w:spacing w:after="0" w:line="249" w:lineRule="auto"/>
        <w:rPr>
          <w:sz w:val="20"/>
          <w:szCs w:val="20"/>
          <w:color w:val="auto"/>
        </w:rPr>
      </w:pPr>
      <w:r>
        <w:rPr>
          <w:rFonts w:ascii="Arial" w:cs="Arial" w:eastAsia="Arial" w:hAnsi="Arial"/>
          <w:sz w:val="19"/>
          <w:szCs w:val="19"/>
          <w:color w:val="auto"/>
        </w:rPr>
        <w:t xml:space="preserve">1.17 </w:t>
      </w:r>
      <w:r>
        <w:rPr>
          <w:rFonts w:ascii="Arial" w:cs="Arial" w:eastAsia="Arial" w:hAnsi="Arial"/>
          <w:sz w:val="19"/>
          <w:szCs w:val="19"/>
          <w:b w:val="1"/>
          <w:bCs w:val="1"/>
          <w:color w:val="auto"/>
        </w:rPr>
        <w:t>“Years of Service”</w:t>
      </w:r>
      <w:r>
        <w:rPr>
          <w:rFonts w:ascii="Arial" w:cs="Arial" w:eastAsia="Arial" w:hAnsi="Arial"/>
          <w:sz w:val="19"/>
          <w:szCs w:val="19"/>
          <w:color w:val="auto"/>
        </w:rPr>
        <w:t xml:space="preserve"> shall mean the total number of full years of employment in which a Participant has been employed by the Company. For purposes of this definition, a year of employment shall be a 365 day period (or 366 day period in the case of a leap year) that, for the first year of employment, commences on the Participant’s date of hiring and that, for any subsequent year, commences on an anniversary of that hiring date. Any partial year of employment shall not be counted.</w:t>
      </w:r>
    </w:p>
    <w:p>
      <w:pPr>
        <w:spacing w:after="0" w:line="209" w:lineRule="exact"/>
        <w:rPr>
          <w:sz w:val="20"/>
          <w:szCs w:val="20"/>
          <w:color w:val="auto"/>
        </w:rPr>
      </w:pPr>
    </w:p>
    <w:p>
      <w:pPr>
        <w:jc w:val="center"/>
        <w:ind w:right="-3"/>
        <w:spacing w:after="0"/>
        <w:rPr>
          <w:sz w:val="20"/>
          <w:szCs w:val="20"/>
          <w:color w:val="auto"/>
        </w:rPr>
      </w:pPr>
      <w:r>
        <w:rPr>
          <w:rFonts w:ascii="Arial" w:cs="Arial" w:eastAsia="Arial" w:hAnsi="Arial"/>
          <w:sz w:val="19"/>
          <w:szCs w:val="19"/>
          <w:b w:val="1"/>
          <w:bCs w:val="1"/>
          <w:color w:val="auto"/>
        </w:rPr>
        <w:t>ARTICLE II</w:t>
      </w:r>
    </w:p>
    <w:p>
      <w:pPr>
        <w:spacing w:after="0" w:line="70" w:lineRule="exact"/>
        <w:rPr>
          <w:sz w:val="20"/>
          <w:szCs w:val="20"/>
          <w:color w:val="auto"/>
        </w:rPr>
      </w:pPr>
    </w:p>
    <w:p>
      <w:pPr>
        <w:jc w:val="center"/>
        <w:ind w:right="-3"/>
        <w:spacing w:after="0"/>
        <w:rPr>
          <w:sz w:val="20"/>
          <w:szCs w:val="20"/>
          <w:color w:val="auto"/>
        </w:rPr>
      </w:pPr>
      <w:r>
        <w:rPr>
          <w:rFonts w:ascii="Arial" w:cs="Arial" w:eastAsia="Arial" w:hAnsi="Arial"/>
          <w:sz w:val="19"/>
          <w:szCs w:val="19"/>
          <w:b w:val="1"/>
          <w:bCs w:val="1"/>
          <w:color w:val="auto"/>
        </w:rPr>
        <w:t>ELIGIBILITY</w:t>
      </w:r>
    </w:p>
    <w:p>
      <w:pPr>
        <w:spacing w:after="0" w:line="184" w:lineRule="exact"/>
        <w:rPr>
          <w:sz w:val="20"/>
          <w:szCs w:val="20"/>
          <w:color w:val="auto"/>
        </w:rPr>
      </w:pPr>
    </w:p>
    <w:p>
      <w:pPr>
        <w:ind w:left="4" w:right="860"/>
        <w:spacing w:after="0" w:line="295" w:lineRule="auto"/>
        <w:rPr>
          <w:sz w:val="20"/>
          <w:szCs w:val="20"/>
          <w:color w:val="auto"/>
        </w:rPr>
      </w:pPr>
      <w:r>
        <w:rPr>
          <w:rFonts w:ascii="Arial" w:cs="Arial" w:eastAsia="Arial" w:hAnsi="Arial"/>
          <w:sz w:val="18"/>
          <w:szCs w:val="18"/>
          <w:color w:val="auto"/>
        </w:rPr>
        <w:t xml:space="preserve">2.1 </w:t>
      </w:r>
      <w:r>
        <w:rPr>
          <w:rFonts w:ascii="Arial" w:cs="Arial" w:eastAsia="Arial" w:hAnsi="Arial"/>
          <w:sz w:val="18"/>
          <w:szCs w:val="18"/>
          <w:b w:val="1"/>
          <w:bCs w:val="1"/>
          <w:i w:val="1"/>
          <w:iCs w:val="1"/>
          <w:color w:val="auto"/>
        </w:rPr>
        <w:t>Eligibility for Participation.</w:t>
      </w:r>
      <w:r>
        <w:rPr>
          <w:rFonts w:ascii="Arial" w:cs="Arial" w:eastAsia="Arial" w:hAnsi="Arial"/>
          <w:sz w:val="18"/>
          <w:szCs w:val="18"/>
          <w:color w:val="auto"/>
        </w:rPr>
        <w:t xml:space="preserve"> A senior executive of the Company shall participate in this Plan as a Participant if either he or she is participating in the Plan as of the effective date of this amendment and restatement or meets all of the following requirements:</w:t>
      </w:r>
    </w:p>
    <w:p>
      <w:pPr>
        <w:spacing w:after="0" w:line="104" w:lineRule="exact"/>
        <w:rPr>
          <w:sz w:val="20"/>
          <w:szCs w:val="20"/>
          <w:color w:val="auto"/>
        </w:rPr>
      </w:pPr>
    </w:p>
    <w:p>
      <w:pPr>
        <w:ind w:left="864" w:hanging="287"/>
        <w:spacing w:after="0"/>
        <w:tabs>
          <w:tab w:leader="none" w:pos="864" w:val="left"/>
        </w:tabs>
        <w:numPr>
          <w:ilvl w:val="0"/>
          <w:numId w:val="24"/>
        </w:numPr>
        <w:rPr>
          <w:rFonts w:ascii="Arial" w:cs="Arial" w:eastAsia="Arial" w:hAnsi="Arial"/>
          <w:sz w:val="19"/>
          <w:szCs w:val="19"/>
          <w:color w:val="auto"/>
        </w:rPr>
      </w:pPr>
      <w:r>
        <w:rPr>
          <w:rFonts w:ascii="Arial" w:cs="Arial" w:eastAsia="Arial" w:hAnsi="Arial"/>
          <w:sz w:val="19"/>
          <w:szCs w:val="19"/>
          <w:color w:val="auto"/>
        </w:rPr>
        <w:t>Has been designated in writing by the Committee, in its sole and absolute discretion, as a Participant;</w:t>
      </w:r>
    </w:p>
    <w:p>
      <w:pPr>
        <w:spacing w:after="0" w:line="189" w:lineRule="exact"/>
        <w:rPr>
          <w:rFonts w:ascii="Arial" w:cs="Arial" w:eastAsia="Arial" w:hAnsi="Arial"/>
          <w:sz w:val="19"/>
          <w:szCs w:val="19"/>
          <w:color w:val="auto"/>
        </w:rPr>
      </w:pPr>
    </w:p>
    <w:p>
      <w:pPr>
        <w:ind w:left="4" w:right="240" w:firstLine="573"/>
        <w:spacing w:after="0" w:line="266" w:lineRule="auto"/>
        <w:tabs>
          <w:tab w:leader="none" w:pos="869" w:val="left"/>
        </w:tabs>
        <w:numPr>
          <w:ilvl w:val="0"/>
          <w:numId w:val="24"/>
        </w:numPr>
        <w:rPr>
          <w:rFonts w:ascii="Arial" w:cs="Arial" w:eastAsia="Arial" w:hAnsi="Arial"/>
          <w:sz w:val="19"/>
          <w:szCs w:val="19"/>
          <w:color w:val="auto"/>
        </w:rPr>
      </w:pPr>
      <w:r>
        <w:rPr>
          <w:rFonts w:ascii="Arial" w:cs="Arial" w:eastAsia="Arial" w:hAnsi="Arial"/>
          <w:sz w:val="19"/>
          <w:szCs w:val="19"/>
          <w:color w:val="auto"/>
        </w:rPr>
        <w:t>Completes and returns to the Committee, no later than thirty (30) days after he or she receives written notice of such designation, such administrative and other forms as the Committee may require for participation;</w:t>
      </w:r>
    </w:p>
    <w:p>
      <w:pPr>
        <w:spacing w:after="0" w:line="128" w:lineRule="exact"/>
        <w:rPr>
          <w:rFonts w:ascii="Arial" w:cs="Arial" w:eastAsia="Arial" w:hAnsi="Arial"/>
          <w:sz w:val="19"/>
          <w:szCs w:val="19"/>
          <w:color w:val="auto"/>
        </w:rPr>
      </w:pPr>
    </w:p>
    <w:p>
      <w:pPr>
        <w:ind w:left="864" w:hanging="287"/>
        <w:spacing w:after="0"/>
        <w:tabs>
          <w:tab w:leader="none" w:pos="864" w:val="left"/>
        </w:tabs>
        <w:numPr>
          <w:ilvl w:val="0"/>
          <w:numId w:val="24"/>
        </w:numPr>
        <w:rPr>
          <w:rFonts w:ascii="Arial" w:cs="Arial" w:eastAsia="Arial" w:hAnsi="Arial"/>
          <w:sz w:val="19"/>
          <w:szCs w:val="19"/>
          <w:color w:val="auto"/>
        </w:rPr>
      </w:pPr>
      <w:r>
        <w:rPr>
          <w:rFonts w:ascii="Arial" w:cs="Arial" w:eastAsia="Arial" w:hAnsi="Arial"/>
          <w:sz w:val="19"/>
          <w:szCs w:val="19"/>
          <w:color w:val="auto"/>
        </w:rPr>
        <w:t>Completes such insurance forms, exams, and questions as the Committee may designate from time to time;</w:t>
      </w:r>
    </w:p>
    <w:p>
      <w:pPr>
        <w:spacing w:after="0" w:line="177" w:lineRule="exact"/>
        <w:rPr>
          <w:rFonts w:ascii="Arial" w:cs="Arial" w:eastAsia="Arial" w:hAnsi="Arial"/>
          <w:sz w:val="19"/>
          <w:szCs w:val="19"/>
          <w:color w:val="auto"/>
        </w:rPr>
      </w:pPr>
    </w:p>
    <w:p>
      <w:pPr>
        <w:ind w:left="864" w:hanging="287"/>
        <w:spacing w:after="0"/>
        <w:tabs>
          <w:tab w:leader="none" w:pos="864" w:val="left"/>
        </w:tabs>
        <w:numPr>
          <w:ilvl w:val="0"/>
          <w:numId w:val="24"/>
        </w:numPr>
        <w:rPr>
          <w:rFonts w:ascii="Arial" w:cs="Arial" w:eastAsia="Arial" w:hAnsi="Arial"/>
          <w:sz w:val="19"/>
          <w:szCs w:val="19"/>
          <w:color w:val="auto"/>
        </w:rPr>
      </w:pPr>
      <w:r>
        <w:rPr>
          <w:rFonts w:ascii="Arial" w:cs="Arial" w:eastAsia="Arial" w:hAnsi="Arial"/>
          <w:sz w:val="19"/>
          <w:szCs w:val="19"/>
          <w:color w:val="auto"/>
        </w:rPr>
        <w:t>Timely completes any other participation conditions as may be prescribed by the Committee from time to time; and</w:t>
      </w:r>
    </w:p>
    <w:p>
      <w:pPr>
        <w:spacing w:after="0" w:line="190" w:lineRule="exact"/>
        <w:rPr>
          <w:sz w:val="20"/>
          <w:szCs w:val="20"/>
          <w:color w:val="auto"/>
        </w:rPr>
      </w:pPr>
    </w:p>
    <w:p>
      <w:pPr>
        <w:ind w:left="4" w:right="80"/>
        <w:spacing w:after="0" w:line="252" w:lineRule="auto"/>
        <w:rPr>
          <w:sz w:val="20"/>
          <w:szCs w:val="20"/>
          <w:color w:val="auto"/>
        </w:rPr>
      </w:pPr>
      <w:r>
        <w:rPr>
          <w:rFonts w:ascii="Arial" w:cs="Arial" w:eastAsia="Arial" w:hAnsi="Arial"/>
          <w:sz w:val="19"/>
          <w:szCs w:val="19"/>
          <w:color w:val="auto"/>
        </w:rPr>
        <w:t>If a senior executive fails to meet all of the above-listed requirements within a reasonable time, as determined by the Committee in its sole discretion, the Committee shall provide that executive with written notice within thirty (30) days of such failure, and that person shall not become a Participant under this Plan.</w:t>
      </w:r>
    </w:p>
    <w:p>
      <w:pPr>
        <w:spacing w:after="0" w:line="153" w:lineRule="exact"/>
        <w:rPr>
          <w:sz w:val="20"/>
          <w:szCs w:val="20"/>
          <w:color w:val="auto"/>
        </w:rPr>
      </w:pPr>
    </w:p>
    <w:p>
      <w:pPr>
        <w:ind w:left="4" w:right="100"/>
        <w:spacing w:after="0" w:line="244" w:lineRule="auto"/>
        <w:rPr>
          <w:sz w:val="20"/>
          <w:szCs w:val="20"/>
          <w:color w:val="auto"/>
        </w:rPr>
      </w:pPr>
      <w:r>
        <w:rPr>
          <w:rFonts w:ascii="Arial" w:cs="Arial" w:eastAsia="Arial" w:hAnsi="Arial"/>
          <w:sz w:val="19"/>
          <w:szCs w:val="19"/>
          <w:color w:val="auto"/>
        </w:rPr>
        <w:t xml:space="preserve">2.2 </w:t>
      </w:r>
      <w:r>
        <w:rPr>
          <w:rFonts w:ascii="Arial" w:cs="Arial" w:eastAsia="Arial" w:hAnsi="Arial"/>
          <w:sz w:val="19"/>
          <w:szCs w:val="19"/>
          <w:b w:val="1"/>
          <w:bCs w:val="1"/>
          <w:i w:val="1"/>
          <w:iCs w:val="1"/>
          <w:color w:val="auto"/>
        </w:rPr>
        <w:t>Acquisition of Insurance.</w:t>
      </w:r>
      <w:r>
        <w:rPr>
          <w:rFonts w:ascii="Arial" w:cs="Arial" w:eastAsia="Arial" w:hAnsi="Arial"/>
          <w:sz w:val="19"/>
          <w:szCs w:val="19"/>
          <w:color w:val="auto"/>
        </w:rPr>
        <w:t xml:space="preserve"> As a condition of participation in this Plan, the Participant shall be required to cooperate in applying for and obtaining a Policy on his or her life. The selection of the Policy shall be at the sole discretion of the Company. The Policy shall be issued in the name of the Participant as the sole and exclusive owner of the Policy, subject to the rights and interests granted to the Company, as provided in this Plan. At the sole discretion of the Committee, the Participant may designate a person or entity other than the Participant as the owner of the Policy, provided that such owner agrees to be bound to the terms and conditions of this Plan.</w:t>
      </w:r>
    </w:p>
    <w:p>
      <w:pPr>
        <w:spacing w:after="0" w:line="151" w:lineRule="exact"/>
        <w:rPr>
          <w:sz w:val="20"/>
          <w:szCs w:val="20"/>
          <w:color w:val="auto"/>
        </w:rPr>
      </w:pPr>
    </w:p>
    <w:p>
      <w:pPr>
        <w:ind w:left="4" w:right="80"/>
        <w:spacing w:after="0" w:line="274" w:lineRule="auto"/>
        <w:rPr>
          <w:sz w:val="20"/>
          <w:szCs w:val="20"/>
          <w:color w:val="auto"/>
        </w:rPr>
      </w:pPr>
      <w:r>
        <w:rPr>
          <w:rFonts w:ascii="Arial" w:cs="Arial" w:eastAsia="Arial" w:hAnsi="Arial"/>
          <w:sz w:val="17"/>
          <w:szCs w:val="17"/>
          <w:color w:val="auto"/>
        </w:rPr>
        <w:t xml:space="preserve">2.3 </w:t>
      </w:r>
      <w:r>
        <w:rPr>
          <w:rFonts w:ascii="Arial" w:cs="Arial" w:eastAsia="Arial" w:hAnsi="Arial"/>
          <w:sz w:val="17"/>
          <w:szCs w:val="17"/>
          <w:b w:val="1"/>
          <w:bCs w:val="1"/>
          <w:i w:val="1"/>
          <w:iCs w:val="1"/>
          <w:color w:val="auto"/>
        </w:rPr>
        <w:t>Additional Life Insurance Coverage.</w:t>
      </w:r>
      <w:r>
        <w:rPr>
          <w:rFonts w:ascii="Arial" w:cs="Arial" w:eastAsia="Arial" w:hAnsi="Arial"/>
          <w:sz w:val="17"/>
          <w:szCs w:val="17"/>
          <w:color w:val="auto"/>
        </w:rPr>
        <w:t xml:space="preserve"> During the term of this Plan, the death benefit coverage under the Policy may be increased from time to time, to reflect increases in the Participant’s compensation pursuant to the provisions of Sections 3.1 and 3.2. As a condition of receiving the benefits of any such increase, the Participant shall be required to cooperate in applying for and obtaining such additional coverage. If the Participant does not so cooperate, and such coverage cannot be obtained because of the Participant’s failure to cooperate, the Company shall have no obligation under this Plan to provide such additional coverage. Further, if the Participant is not insurable at the time such additional coverage is sought on a guaranteed issue basis, or if simplified or full medical underwriting is required, on a rated basis that is no lower than standard, smoker, then the Compan y shall have no obligation under this Plan to provide such additional coverage. The Committee, in its sole discretion, may reduce the minimum standard referred to in the previous sentence, in its sole discretion, based on the cost of insurance or otherwise.</w:t>
      </w:r>
    </w:p>
    <w:p>
      <w:pPr>
        <w:spacing w:after="0" w:line="383" w:lineRule="exact"/>
        <w:rPr>
          <w:sz w:val="20"/>
          <w:szCs w:val="20"/>
          <w:color w:val="auto"/>
        </w:rPr>
      </w:pPr>
    </w:p>
    <w:p>
      <w:pPr>
        <w:jc w:val="center"/>
        <w:ind w:right="-3"/>
        <w:spacing w:after="0"/>
        <w:rPr>
          <w:sz w:val="20"/>
          <w:szCs w:val="20"/>
          <w:color w:val="auto"/>
        </w:rPr>
      </w:pPr>
      <w:r>
        <w:rPr>
          <w:rFonts w:ascii="Arial" w:cs="Arial" w:eastAsia="Arial" w:hAnsi="Arial"/>
          <w:sz w:val="19"/>
          <w:szCs w:val="19"/>
          <w:b w:val="1"/>
          <w:bCs w:val="1"/>
          <w:color w:val="auto"/>
        </w:rPr>
        <w:t>ARTICLE III</w:t>
      </w:r>
    </w:p>
    <w:p>
      <w:pPr>
        <w:spacing w:after="0" w:line="70" w:lineRule="exact"/>
        <w:rPr>
          <w:sz w:val="20"/>
          <w:szCs w:val="20"/>
          <w:color w:val="auto"/>
        </w:rPr>
      </w:pPr>
    </w:p>
    <w:p>
      <w:pPr>
        <w:jc w:val="center"/>
        <w:ind w:right="-3"/>
        <w:spacing w:after="0"/>
        <w:rPr>
          <w:sz w:val="20"/>
          <w:szCs w:val="20"/>
          <w:color w:val="auto"/>
        </w:rPr>
      </w:pPr>
      <w:r>
        <w:rPr>
          <w:rFonts w:ascii="Arial" w:cs="Arial" w:eastAsia="Arial" w:hAnsi="Arial"/>
          <w:sz w:val="19"/>
          <w:szCs w:val="19"/>
          <w:b w:val="1"/>
          <w:bCs w:val="1"/>
          <w:color w:val="auto"/>
        </w:rPr>
        <w:t>BONUS AMOUNTS</w:t>
      </w:r>
    </w:p>
    <w:p>
      <w:pPr>
        <w:spacing w:after="0" w:line="184" w:lineRule="exact"/>
        <w:rPr>
          <w:sz w:val="20"/>
          <w:szCs w:val="20"/>
          <w:color w:val="auto"/>
        </w:rPr>
      </w:pPr>
    </w:p>
    <w:p>
      <w:pPr>
        <w:ind w:left="4"/>
        <w:spacing w:after="0" w:line="270" w:lineRule="auto"/>
        <w:rPr>
          <w:sz w:val="20"/>
          <w:szCs w:val="20"/>
          <w:color w:val="auto"/>
        </w:rPr>
      </w:pPr>
      <w:r>
        <w:rPr>
          <w:rFonts w:ascii="Arial" w:cs="Arial" w:eastAsia="Arial" w:hAnsi="Arial"/>
          <w:sz w:val="17"/>
          <w:szCs w:val="17"/>
          <w:color w:val="auto"/>
        </w:rPr>
        <w:t xml:space="preserve">3.1 </w:t>
      </w:r>
      <w:r>
        <w:rPr>
          <w:rFonts w:ascii="Arial" w:cs="Arial" w:eastAsia="Arial" w:hAnsi="Arial"/>
          <w:sz w:val="17"/>
          <w:szCs w:val="17"/>
          <w:b w:val="1"/>
          <w:bCs w:val="1"/>
          <w:i w:val="1"/>
          <w:iCs w:val="1"/>
          <w:color w:val="auto"/>
        </w:rPr>
        <w:t>Life Insurance Coverage Prior to Separation from Service.</w:t>
      </w:r>
      <w:r>
        <w:rPr>
          <w:rFonts w:ascii="Arial" w:cs="Arial" w:eastAsia="Arial" w:hAnsi="Arial"/>
          <w:sz w:val="17"/>
          <w:szCs w:val="17"/>
          <w:color w:val="auto"/>
        </w:rPr>
        <w:t xml:space="preserve"> Subject to Article II above, for each Plan Year of the Participant’s participation in the Plan and prior to the Participant’s Separation from Service, the Company shall pay to the life insurance carrier the premiums on the Policy in accordance with this Section 3.1, as determined by the Company in its sole discretion, which Policy shall provide a death benefit equal to the sum of the following amounts, as those amounts are determined as of the last day of each Plan Year, as determined by the Committee in its sole discretion:</w:t>
      </w:r>
    </w:p>
    <w:p>
      <w:pPr>
        <w:spacing w:after="0" w:line="1" w:lineRule="exact"/>
        <w:rPr>
          <w:sz w:val="20"/>
          <w:szCs w:val="20"/>
          <w:color w:val="auto"/>
        </w:rPr>
      </w:pPr>
    </w:p>
    <w:p>
      <w:pPr>
        <w:ind w:left="4" w:right="40" w:hanging="4"/>
        <w:spacing w:after="0" w:line="253" w:lineRule="auto"/>
        <w:tabs>
          <w:tab w:leader="none" w:pos="234" w:val="left"/>
        </w:tabs>
        <w:numPr>
          <w:ilvl w:val="0"/>
          <w:numId w:val="25"/>
        </w:numPr>
        <w:rPr>
          <w:rFonts w:ascii="Arial" w:cs="Arial" w:eastAsia="Arial" w:hAnsi="Arial"/>
          <w:sz w:val="18"/>
          <w:szCs w:val="18"/>
          <w:color w:val="auto"/>
        </w:rPr>
      </w:pPr>
      <w:r>
        <w:rPr>
          <w:rFonts w:ascii="Arial" w:cs="Arial" w:eastAsia="Arial" w:hAnsi="Arial"/>
          <w:sz w:val="18"/>
          <w:szCs w:val="18"/>
          <w:color w:val="auto"/>
        </w:rPr>
        <w:t>two (2) times the Participant’s annual base salary, plus (ii) two (2) times the Participant’s average annual bonus under the 2003 Executive Incentive Plan, or any successor thereto (the “Bonus Plan”), including any amount deferred, in the three (3) highest years in t he ten (10) previous years, or during the Participant’s actual years of employment with the Company, if less. In determining the amounts described in the previous sentence for any Plan Year, the Committee shall substitute the Participant’s target bonus under the Bonus Plan for a Participant who is in his or her first Plan Year of participation and has not received any bonus under the Bonus Plan. The premium for any Plan Year shall be paid by the Company not later than March 15 of the next following Plan Year; provided, however, that such premium shall not be paid if the Participant has a Separation from Service prior to the payment of such premium. If a Participant’s compensation increases after the Committee has determined the Participant’s death benefit as of the last day of the Plan Year, the Participant’s death benefit under the Policy shall not be adjusted until the last day of the next following Plan Year and then it will be based on the Participant’s com pensation at that time. These premium payments shall be treated as a bonus payments to the Participant.</w:t>
      </w:r>
    </w:p>
    <w:p>
      <w:pPr>
        <w:spacing w:after="0" w:line="144" w:lineRule="exact"/>
        <w:rPr>
          <w:sz w:val="20"/>
          <w:szCs w:val="20"/>
          <w:color w:val="auto"/>
        </w:rPr>
      </w:pPr>
    </w:p>
    <w:p>
      <w:pPr>
        <w:ind w:left="4" w:right="100"/>
        <w:spacing w:after="0" w:line="271" w:lineRule="auto"/>
        <w:rPr>
          <w:sz w:val="20"/>
          <w:szCs w:val="20"/>
          <w:color w:val="auto"/>
        </w:rPr>
      </w:pPr>
      <w:r>
        <w:rPr>
          <w:rFonts w:ascii="Arial" w:cs="Arial" w:eastAsia="Arial" w:hAnsi="Arial"/>
          <w:sz w:val="17"/>
          <w:szCs w:val="17"/>
          <w:color w:val="auto"/>
        </w:rPr>
        <w:t xml:space="preserve">3.2 </w:t>
      </w:r>
      <w:r>
        <w:rPr>
          <w:rFonts w:ascii="Arial" w:cs="Arial" w:eastAsia="Arial" w:hAnsi="Arial"/>
          <w:sz w:val="17"/>
          <w:szCs w:val="17"/>
          <w:b w:val="1"/>
          <w:bCs w:val="1"/>
          <w:i w:val="1"/>
          <w:iCs w:val="1"/>
          <w:color w:val="auto"/>
        </w:rPr>
        <w:t>Life Insurance Coverage after Separation from Service with Age and Service.</w:t>
      </w:r>
      <w:r>
        <w:rPr>
          <w:rFonts w:ascii="Arial" w:cs="Arial" w:eastAsia="Arial" w:hAnsi="Arial"/>
          <w:sz w:val="17"/>
          <w:szCs w:val="17"/>
          <w:color w:val="auto"/>
        </w:rPr>
        <w:t xml:space="preserve"> If at the time of the Participant’s Separation from Service (other than by reason of the Participant’s death), the Participant has attained age 62 and has completed at least five Years of Service, then the Participant shall be entitled to the benefit, if any, specified in this Section 3.2. Upon such Separation from Service, the Committee shall have the life insurance carrier which issued the Policy prepare a life insurance projection for the Policy, determined as of the January 1 of the Plan Year next following such Separation from Service (the “</w:t>
      </w:r>
      <w:r>
        <w:rPr>
          <w:rFonts w:ascii="Arial" w:cs="Arial" w:eastAsia="Arial" w:hAnsi="Arial"/>
          <w:sz w:val="17"/>
          <w:szCs w:val="17"/>
          <w:u w:val="single" w:color="auto"/>
          <w:color w:val="auto"/>
        </w:rPr>
        <w:t>Projection Date</w:t>
      </w:r>
      <w:r>
        <w:rPr>
          <w:rFonts w:ascii="Arial" w:cs="Arial" w:eastAsia="Arial" w:hAnsi="Arial"/>
          <w:sz w:val="17"/>
          <w:szCs w:val="17"/>
          <w:color w:val="auto"/>
        </w:rPr>
        <w:t>”), based on the following assumptions: (i) the then current policy charges, (ii) a crediting rate of 6.5% net of investment management fees (but before mortality and expense charges), (iii) death benef it coverage until the</w:t>
      </w:r>
    </w:p>
    <w:p>
      <w:pPr>
        <w:spacing w:after="0" w:line="2" w:lineRule="exact"/>
        <w:rPr>
          <w:sz w:val="20"/>
          <w:szCs w:val="20"/>
          <w:color w:val="auto"/>
        </w:rPr>
      </w:pPr>
    </w:p>
    <w:p>
      <w:pPr>
        <w:ind w:left="4"/>
        <w:spacing w:after="0" w:line="254" w:lineRule="auto"/>
        <w:rPr>
          <w:sz w:val="20"/>
          <w:szCs w:val="20"/>
          <w:color w:val="auto"/>
        </w:rPr>
      </w:pPr>
      <w:r>
        <w:rPr>
          <w:rFonts w:ascii="Arial" w:cs="Arial" w:eastAsia="Arial" w:hAnsi="Arial"/>
          <w:sz w:val="17"/>
          <w:szCs w:val="17"/>
          <w:color w:val="auto"/>
        </w:rPr>
        <w:t>Participant’s 100</w:t>
      </w:r>
      <w:r>
        <w:rPr>
          <w:rFonts w:ascii="Arial" w:cs="Arial" w:eastAsia="Arial" w:hAnsi="Arial"/>
          <w:sz w:val="28"/>
          <w:szCs w:val="28"/>
          <w:color w:val="auto"/>
          <w:vertAlign w:val="superscript"/>
        </w:rPr>
        <w:t>th</w:t>
      </w:r>
      <w:r>
        <w:rPr>
          <w:rFonts w:ascii="Arial" w:cs="Arial" w:eastAsia="Arial" w:hAnsi="Arial"/>
          <w:sz w:val="17"/>
          <w:szCs w:val="17"/>
          <w:color w:val="auto"/>
        </w:rPr>
        <w:t xml:space="preserve"> birthday equal to (x) one (1) times the Participant’s annual base salary (determined as of the date of the Participant’s Separation from Service), plus (y) one (1) times the Participant’s average annual bonus under the Bonus Plan, including any amount deferred, in the three (3) highest years in the ten (10) previous years, or during the Participant’s actual years of employment with the Company, if less (determined as of the date of the Participant’s Separation from Service), (iv) except in the case of a Participant whose name is listed on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the Company shall be assumed to have paid only the minimum premiums under the Policy necessary to maintain the death benefit coverage, as required under Section 3.1, for each Plan Year of the Participant’s participation in the Plan prior to the Projection Date, (v) in the case of a Participant whose name is listed on Exhibit A, the cash value of the Policy f or such Participant, determined as December 31, 2008, shall be the amount set forth on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and the Company shall be assumed to have paid no premium payments under the Policy after December 31, 2008 and prior to the Projection Date. If the</w:t>
      </w:r>
    </w:p>
    <w:p>
      <w:pPr>
        <w:spacing w:after="0" w:line="1" w:lineRule="exact"/>
        <w:rPr>
          <w:sz w:val="20"/>
          <w:szCs w:val="20"/>
          <w:color w:val="auto"/>
        </w:rPr>
      </w:pPr>
    </w:p>
    <w:p>
      <w:pPr>
        <w:jc w:val="both"/>
        <w:ind w:left="4"/>
        <w:spacing w:after="0" w:line="238" w:lineRule="auto"/>
        <w:rPr>
          <w:sz w:val="20"/>
          <w:szCs w:val="20"/>
          <w:color w:val="auto"/>
        </w:rPr>
      </w:pPr>
      <w:r>
        <w:rPr>
          <w:rFonts w:ascii="Arial" w:cs="Arial" w:eastAsia="Arial" w:hAnsi="Arial"/>
          <w:sz w:val="17"/>
          <w:szCs w:val="17"/>
          <w:color w:val="auto"/>
        </w:rPr>
        <w:t>illustration shows that the Policy will sustain itself until at least the Participant’s 100</w:t>
      </w:r>
      <w:r>
        <w:rPr>
          <w:rFonts w:ascii="Arial" w:cs="Arial" w:eastAsia="Arial" w:hAnsi="Arial"/>
          <w:sz w:val="28"/>
          <w:szCs w:val="28"/>
          <w:color w:val="auto"/>
          <w:vertAlign w:val="superscript"/>
        </w:rPr>
        <w:t>th</w:t>
      </w:r>
      <w:r>
        <w:rPr>
          <w:rFonts w:ascii="Arial" w:cs="Arial" w:eastAsia="Arial" w:hAnsi="Arial"/>
          <w:sz w:val="17"/>
          <w:szCs w:val="17"/>
          <w:color w:val="auto"/>
        </w:rPr>
        <w:t xml:space="preserve"> birthday without lapsing based on these assumptions, then the Company shall have no further obligations under the Plan. If the illustration provides that the Policy will not so sustain itself until that time without lapsing, the Company shall have the life insurance carrier determine the minimum premium, determined as of the January 1 of the Plan Year next</w:t>
      </w:r>
    </w:p>
    <w:p>
      <w:pPr>
        <w:spacing w:after="0" w:line="2" w:lineRule="exact"/>
        <w:rPr>
          <w:sz w:val="20"/>
          <w:szCs w:val="20"/>
          <w:color w:val="auto"/>
        </w:rPr>
      </w:pPr>
    </w:p>
    <w:p>
      <w:pPr>
        <w:ind w:left="4"/>
        <w:spacing w:after="0"/>
        <w:rPr>
          <w:sz w:val="20"/>
          <w:szCs w:val="20"/>
          <w:color w:val="auto"/>
        </w:rPr>
      </w:pPr>
      <w:r>
        <w:rPr>
          <w:rFonts w:ascii="Arial" w:cs="Arial" w:eastAsia="Arial" w:hAnsi="Arial"/>
          <w:sz w:val="18"/>
          <w:szCs w:val="18"/>
          <w:color w:val="auto"/>
        </w:rPr>
        <w:t>following such Separation from Service, required to be paid into the Policy to sustain the Policy until the Participant’s 100</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birthday without</w:t>
      </w:r>
    </w:p>
    <w:p>
      <w:pPr>
        <w:sectPr>
          <w:pgSz w:w="11900" w:h="16900" w:orient="portrait"/>
          <w:cols w:equalWidth="0" w:num="1">
            <w:col w:w="11424"/>
          </w:cols>
          <w:pgMar w:left="236" w:top="116" w:right="239" w:bottom="0" w:gutter="0" w:footer="0" w:header="0"/>
        </w:sectPr>
      </w:pPr>
    </w:p>
    <w:bookmarkStart w:id="60" w:name="page61"/>
    <w:bookmarkEnd w:id="60"/>
    <w:p>
      <w:pPr>
        <w:spacing w:after="0" w:line="22" w:lineRule="exact"/>
        <w:rPr>
          <w:sz w:val="20"/>
          <w:szCs w:val="20"/>
          <w:color w:val="auto"/>
        </w:rPr>
      </w:pPr>
    </w:p>
    <w:p>
      <w:pPr>
        <w:ind w:right="260"/>
        <w:spacing w:after="0" w:line="247" w:lineRule="auto"/>
        <w:rPr>
          <w:sz w:val="20"/>
          <w:szCs w:val="20"/>
          <w:color w:val="auto"/>
        </w:rPr>
      </w:pPr>
      <w:r>
        <w:rPr>
          <w:rFonts w:ascii="Arial" w:cs="Arial" w:eastAsia="Arial" w:hAnsi="Arial"/>
          <w:sz w:val="19"/>
          <w:szCs w:val="19"/>
          <w:color w:val="auto"/>
        </w:rPr>
        <w:t>lapsing, based on these assumptions. Except as provided in Section 5.1(2), the Company will then pay such premium to the life insurance carrier during the Plan Year next following the Plan Year in which such Participant’s Separation from Service occurs and the Company shall have no further obligation to the Participant under this Plan. The Company shall not make a premium payment under this Section 3.2 in the event of the Participant’s Separation from Service by reason of death.</w:t>
      </w:r>
    </w:p>
    <w:p>
      <w:pPr>
        <w:spacing w:after="0" w:line="147" w:lineRule="exact"/>
        <w:rPr>
          <w:sz w:val="20"/>
          <w:szCs w:val="20"/>
          <w:color w:val="auto"/>
        </w:rPr>
      </w:pPr>
    </w:p>
    <w:p>
      <w:pPr>
        <w:ind w:right="280"/>
        <w:spacing w:after="0" w:line="247" w:lineRule="auto"/>
        <w:rPr>
          <w:sz w:val="20"/>
          <w:szCs w:val="20"/>
          <w:color w:val="auto"/>
        </w:rPr>
      </w:pPr>
      <w:r>
        <w:rPr>
          <w:rFonts w:ascii="Arial" w:cs="Arial" w:eastAsia="Arial" w:hAnsi="Arial"/>
          <w:sz w:val="19"/>
          <w:szCs w:val="19"/>
          <w:color w:val="auto"/>
        </w:rPr>
        <w:t xml:space="preserve">3.3 </w:t>
      </w:r>
      <w:r>
        <w:rPr>
          <w:rFonts w:ascii="Arial" w:cs="Arial" w:eastAsia="Arial" w:hAnsi="Arial"/>
          <w:sz w:val="19"/>
          <w:szCs w:val="19"/>
          <w:b w:val="1"/>
          <w:bCs w:val="1"/>
          <w:i w:val="1"/>
          <w:iCs w:val="1"/>
          <w:color w:val="auto"/>
        </w:rPr>
        <w:t>Life Insurance Coverage after Separation from Service without Age and Service.</w:t>
      </w:r>
      <w:r>
        <w:rPr>
          <w:rFonts w:ascii="Arial" w:cs="Arial" w:eastAsia="Arial" w:hAnsi="Arial"/>
          <w:sz w:val="19"/>
          <w:szCs w:val="19"/>
          <w:color w:val="auto"/>
        </w:rPr>
        <w:t xml:space="preserve"> If at the time of the Participant’s Separation from Service, the Participant has not attained age 62, or has not completed at least five Years of Service, the Company’s obligations under this Plan to pay any future premiums on the Policy or any Tax Gross-Up shall cease immediately upon the Participant’s Separation from Service and the Company shall have no further obligation to the Participant under the Plan.</w:t>
      </w:r>
    </w:p>
    <w:p>
      <w:pPr>
        <w:spacing w:after="0" w:line="158"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 xml:space="preserve">3.4 </w:t>
      </w:r>
      <w:r>
        <w:rPr>
          <w:rFonts w:ascii="Arial" w:cs="Arial" w:eastAsia="Arial" w:hAnsi="Arial"/>
          <w:sz w:val="18"/>
          <w:szCs w:val="18"/>
          <w:b w:val="1"/>
          <w:bCs w:val="1"/>
          <w:i w:val="1"/>
          <w:iCs w:val="1"/>
          <w:color w:val="auto"/>
        </w:rPr>
        <w:t>Tax Gross-Up.</w:t>
      </w:r>
      <w:r>
        <w:rPr>
          <w:rFonts w:ascii="Arial" w:cs="Arial" w:eastAsia="Arial" w:hAnsi="Arial"/>
          <w:sz w:val="18"/>
          <w:szCs w:val="18"/>
          <w:color w:val="auto"/>
        </w:rPr>
        <w:t xml:space="preserve"> To offset the federal and state income tax liability incurred by the Participant as a result of premiums paid on behalf of the Participant, as provided for in Sections 3.1 and 3.2 above, the Company shall pay a tax gross-up (the “Tax Gross-Up”) directly to the Participant concurrent with each premium payment under Section 3.1 or 3.2. The Committee shall determine the amount of each Participant’s Tax Gross-Up each time a premium is paid. The amount of the Tax Gross-Up shall be calculated in the following manner. The Committee shall determine the Participant’s actual federal and state (for the state in which the Participant resides at the time of the premium payment) income tax rates at the time of premium payment. Using those rates, the amount of the Tax Gross-Up will be determined using the following formula. Assuming that the applicable federal income tax rate is X and the applicable state income tax rate is Y, the Tax Gross-Up equals the applicable premium divided by Z, minus the premium amount, where Z equals (1-X) times (1-Y). For example, if the applicable premium is $1,000, X is 0.4 (i.e. the actual marginal federal tax rate is 40%), and Y is 0.1 (i.e. the actual marginal state tax rate is 10%), the Tax Gross-Up would be $851.85. In no event shall the Company pay any Tax Gross-Up later than the taxable year of the Participant next following the Participant’s taxable year in which the Participant remits the related taxes. All Tax Gross-Up payments shall be paid in a manner that complies with Treasury Regulation Section 1.409A-3(i)(1)(v). Notwithstanding anything to the contrary in this Section 3.4, in no event shall any Tax Gross-Up payment exceed the amount of the “tax gross-up payment” permitted under Treasury Regulation Section 1.409A-3(i)(1)(v).</w:t>
      </w:r>
    </w:p>
    <w:p>
      <w:pPr>
        <w:spacing w:after="0" w:line="143" w:lineRule="exact"/>
        <w:rPr>
          <w:sz w:val="20"/>
          <w:szCs w:val="20"/>
          <w:color w:val="auto"/>
        </w:rPr>
      </w:pPr>
    </w:p>
    <w:p>
      <w:pPr>
        <w:ind w:right="160"/>
        <w:spacing w:after="0" w:line="252" w:lineRule="auto"/>
        <w:rPr>
          <w:sz w:val="20"/>
          <w:szCs w:val="20"/>
          <w:color w:val="auto"/>
        </w:rPr>
      </w:pPr>
      <w:r>
        <w:rPr>
          <w:rFonts w:ascii="Arial" w:cs="Arial" w:eastAsia="Arial" w:hAnsi="Arial"/>
          <w:sz w:val="19"/>
          <w:szCs w:val="19"/>
          <w:color w:val="auto"/>
        </w:rPr>
        <w:t xml:space="preserve">3.5 </w:t>
      </w:r>
      <w:r>
        <w:rPr>
          <w:rFonts w:ascii="Arial" w:cs="Arial" w:eastAsia="Arial" w:hAnsi="Arial"/>
          <w:sz w:val="19"/>
          <w:szCs w:val="19"/>
          <w:b w:val="1"/>
          <w:bCs w:val="1"/>
          <w:i w:val="1"/>
          <w:iCs w:val="1"/>
          <w:color w:val="auto"/>
        </w:rPr>
        <w:t>Tax Withholding.</w:t>
      </w:r>
      <w:r>
        <w:rPr>
          <w:rFonts w:ascii="Arial" w:cs="Arial" w:eastAsia="Arial" w:hAnsi="Arial"/>
          <w:sz w:val="19"/>
          <w:szCs w:val="19"/>
          <w:color w:val="auto"/>
        </w:rPr>
        <w:t xml:space="preserve"> The Company shall withhold from the Participant’s compensation all federal, state and local income, employment and other taxes required to be withheld by the Company in connection with the premium or Tax Gross-Up payments, in amounts and in a manner to be determined in the sole discretion of the Company.</w:t>
      </w:r>
    </w:p>
    <w:p>
      <w:pPr>
        <w:spacing w:after="0" w:line="141"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 xml:space="preserve">3.6 </w:t>
      </w:r>
      <w:r>
        <w:rPr>
          <w:rFonts w:ascii="Arial" w:cs="Arial" w:eastAsia="Arial" w:hAnsi="Arial"/>
          <w:sz w:val="18"/>
          <w:szCs w:val="18"/>
          <w:b w:val="1"/>
          <w:bCs w:val="1"/>
          <w:i w:val="1"/>
          <w:iCs w:val="1"/>
          <w:color w:val="auto"/>
        </w:rPr>
        <w:t>Right to Invest Cash Surrender Value.</w:t>
      </w:r>
      <w:r>
        <w:rPr>
          <w:rFonts w:ascii="Arial" w:cs="Arial" w:eastAsia="Arial" w:hAnsi="Arial"/>
          <w:sz w:val="18"/>
          <w:szCs w:val="18"/>
          <w:color w:val="auto"/>
        </w:rPr>
        <w:t xml:space="preserve"> Until the earlier of the Participant’s Separation from Service or the termination of the Plan, the Company shall have the sole and absolute right to invest and reallocate the Participant’s Policy’s cash surrender value as the Company determines in its sole discretion. The Participant shall cooperate with the Company with respect to any actions required by the life insurance carrier issuing the Policy to grant to the Company such power. The Company shall not have any liability associated with such investment authority and discretion, provided that the Company makes all premium and Tax Gross-Up payments required under this Plan.</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ARTICLE IV</w:t>
      </w:r>
    </w:p>
    <w:p>
      <w:pPr>
        <w:spacing w:after="0" w:line="70"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ADMINISTRATION</w:t>
      </w:r>
    </w:p>
    <w:p>
      <w:pPr>
        <w:spacing w:after="0" w:line="184"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b w:val="1"/>
          <w:bCs w:val="1"/>
          <w:i w:val="1"/>
          <w:iCs w:val="1"/>
          <w:color w:val="auto"/>
        </w:rPr>
        <w:t>Administration.</w:t>
      </w:r>
      <w:r>
        <w:rPr>
          <w:rFonts w:ascii="Arial" w:cs="Arial" w:eastAsia="Arial" w:hAnsi="Arial"/>
          <w:sz w:val="18"/>
          <w:szCs w:val="18"/>
          <w:color w:val="auto"/>
        </w:rPr>
        <w:t xml:space="preserve"> This Plan shall be administered by the Committee. The Committee shall be authorized to construe and interpret all of the provisions of this Plan, to adopt procedures and practices concerning the administration of this Plan, and to make any determinations necessary hereunder, which shall, subject to Section 4.8 below, be binding and conclusive on all parties. The Committee may appoint one or more individuals and delegate such of its power and duties as it deems desirable to any such individual, in which case every reference herein made to the Committee shall be deemed to mean or include the individuals as to matters within their jurisdiction.</w:t>
      </w:r>
    </w:p>
    <w:p>
      <w:pPr>
        <w:spacing w:after="0" w:line="136" w:lineRule="exact"/>
        <w:rPr>
          <w:sz w:val="20"/>
          <w:szCs w:val="20"/>
          <w:color w:val="auto"/>
        </w:rPr>
      </w:pPr>
    </w:p>
    <w:p>
      <w:pPr>
        <w:ind w:right="200"/>
        <w:spacing w:after="0" w:line="266" w:lineRule="auto"/>
        <w:rPr>
          <w:sz w:val="20"/>
          <w:szCs w:val="20"/>
          <w:color w:val="auto"/>
        </w:rPr>
      </w:pPr>
      <w:r>
        <w:rPr>
          <w:rFonts w:ascii="Arial" w:cs="Arial" w:eastAsia="Arial" w:hAnsi="Arial"/>
          <w:sz w:val="19"/>
          <w:szCs w:val="19"/>
          <w:color w:val="auto"/>
        </w:rPr>
        <w:t xml:space="preserve">4.2 </w:t>
      </w:r>
      <w:r>
        <w:rPr>
          <w:rFonts w:ascii="Arial" w:cs="Arial" w:eastAsia="Arial" w:hAnsi="Arial"/>
          <w:sz w:val="19"/>
          <w:szCs w:val="19"/>
          <w:b w:val="1"/>
          <w:bCs w:val="1"/>
          <w:i w:val="1"/>
          <w:iCs w:val="1"/>
          <w:color w:val="auto"/>
        </w:rPr>
        <w:t>Decisions and Actions of the Committee.</w:t>
      </w:r>
      <w:r>
        <w:rPr>
          <w:rFonts w:ascii="Arial" w:cs="Arial" w:eastAsia="Arial" w:hAnsi="Arial"/>
          <w:sz w:val="19"/>
          <w:szCs w:val="19"/>
          <w:color w:val="auto"/>
        </w:rPr>
        <w:t xml:space="preserve"> The Committee may act at a meeting or in writing without a meeting. All decisions and actions of the Committee shall be made by vote of the majority, including actions in writing taken without a meeting.</w:t>
      </w:r>
    </w:p>
    <w:p>
      <w:pPr>
        <w:spacing w:after="0" w:line="140" w:lineRule="exact"/>
        <w:rPr>
          <w:sz w:val="20"/>
          <w:szCs w:val="20"/>
          <w:color w:val="auto"/>
        </w:rPr>
      </w:pPr>
    </w:p>
    <w:p>
      <w:pPr>
        <w:ind w:right="40"/>
        <w:spacing w:after="0" w:line="252" w:lineRule="auto"/>
        <w:rPr>
          <w:sz w:val="20"/>
          <w:szCs w:val="20"/>
          <w:color w:val="auto"/>
        </w:rPr>
      </w:pPr>
      <w:r>
        <w:rPr>
          <w:rFonts w:ascii="Arial" w:cs="Arial" w:eastAsia="Arial" w:hAnsi="Arial"/>
          <w:sz w:val="19"/>
          <w:szCs w:val="19"/>
          <w:color w:val="auto"/>
        </w:rPr>
        <w:t xml:space="preserve">4.3 </w:t>
      </w:r>
      <w:r>
        <w:rPr>
          <w:rFonts w:ascii="Arial" w:cs="Arial" w:eastAsia="Arial" w:hAnsi="Arial"/>
          <w:sz w:val="19"/>
          <w:szCs w:val="19"/>
          <w:b w:val="1"/>
          <w:bCs w:val="1"/>
          <w:i w:val="1"/>
          <w:iCs w:val="1"/>
          <w:color w:val="auto"/>
        </w:rPr>
        <w:t>Rules and Records of the Committee.</w:t>
      </w:r>
      <w:r>
        <w:rPr>
          <w:rFonts w:ascii="Arial" w:cs="Arial" w:eastAsia="Arial" w:hAnsi="Arial"/>
          <w:sz w:val="19"/>
          <w:szCs w:val="19"/>
          <w:color w:val="auto"/>
        </w:rPr>
        <w:t xml:space="preserve"> The Committee shall make such rules and regulations in connection with its administration of the Plan as are consistent with the terms and provisions hereof. The Committee shall keep a records of each Participant’s name, address, social security number, benefit commencement date, and the amount of benefit.</w:t>
      </w:r>
    </w:p>
    <w:p>
      <w:pPr>
        <w:spacing w:after="0" w:line="141" w:lineRule="exact"/>
        <w:rPr>
          <w:sz w:val="20"/>
          <w:szCs w:val="20"/>
          <w:color w:val="auto"/>
        </w:rPr>
      </w:pPr>
    </w:p>
    <w:p>
      <w:pPr>
        <w:jc w:val="both"/>
        <w:ind w:right="100"/>
        <w:spacing w:after="0" w:line="296" w:lineRule="auto"/>
        <w:rPr>
          <w:sz w:val="20"/>
          <w:szCs w:val="20"/>
          <w:color w:val="auto"/>
        </w:rPr>
      </w:pPr>
      <w:r>
        <w:rPr>
          <w:rFonts w:ascii="Arial" w:cs="Arial" w:eastAsia="Arial" w:hAnsi="Arial"/>
          <w:sz w:val="17"/>
          <w:szCs w:val="17"/>
          <w:color w:val="auto"/>
        </w:rPr>
        <w:t xml:space="preserve">4.4 </w:t>
      </w:r>
      <w:r>
        <w:rPr>
          <w:rFonts w:ascii="Arial" w:cs="Arial" w:eastAsia="Arial" w:hAnsi="Arial"/>
          <w:sz w:val="17"/>
          <w:szCs w:val="17"/>
          <w:b w:val="1"/>
          <w:bCs w:val="1"/>
          <w:i w:val="1"/>
          <w:iCs w:val="1"/>
          <w:color w:val="auto"/>
        </w:rPr>
        <w:t>Employment of Agents.</w:t>
      </w:r>
      <w:r>
        <w:rPr>
          <w:rFonts w:ascii="Arial" w:cs="Arial" w:eastAsia="Arial" w:hAnsi="Arial"/>
          <w:sz w:val="17"/>
          <w:szCs w:val="17"/>
          <w:color w:val="auto"/>
        </w:rPr>
        <w:t xml:space="preserve"> The Committee may employ agents, including without limitation, accountants, actuaries, consultants, or attorneys, to exercise and perform the powers and duties of the Committee as the Committee delegates to them, and to render such services to the Committee as the Committee may determine, and the Committee may enter into agreements setting forth the terms and conditions of such service.</w:t>
      </w:r>
    </w:p>
    <w:p>
      <w:pPr>
        <w:spacing w:after="0" w:line="106" w:lineRule="exact"/>
        <w:rPr>
          <w:sz w:val="20"/>
          <w:szCs w:val="20"/>
          <w:color w:val="auto"/>
        </w:rPr>
      </w:pPr>
    </w:p>
    <w:p>
      <w:pPr>
        <w:spacing w:after="0"/>
        <w:tabs>
          <w:tab w:leader="none" w:pos="600" w:val="left"/>
        </w:tabs>
        <w:rPr>
          <w:sz w:val="20"/>
          <w:szCs w:val="20"/>
          <w:color w:val="auto"/>
        </w:rPr>
      </w:pPr>
      <w:r>
        <w:rPr>
          <w:rFonts w:ascii="Arial" w:cs="Arial" w:eastAsia="Arial" w:hAnsi="Arial"/>
          <w:sz w:val="19"/>
          <w:szCs w:val="19"/>
          <w:color w:val="auto"/>
        </w:rPr>
        <w:t>4.5</w:t>
      </w:r>
      <w:r>
        <w:rPr>
          <w:sz w:val="20"/>
          <w:szCs w:val="20"/>
          <w:color w:val="auto"/>
        </w:rPr>
        <w:tab/>
      </w:r>
      <w:r>
        <w:rPr>
          <w:rFonts w:ascii="Arial" w:cs="Arial" w:eastAsia="Arial" w:hAnsi="Arial"/>
          <w:sz w:val="17"/>
          <w:szCs w:val="17"/>
          <w:b w:val="1"/>
          <w:bCs w:val="1"/>
          <w:i w:val="1"/>
          <w:iCs w:val="1"/>
          <w:color w:val="auto"/>
        </w:rPr>
        <w:t xml:space="preserve">Agents for Service of Legal Process. </w:t>
      </w:r>
      <w:r>
        <w:rPr>
          <w:rFonts w:ascii="Arial" w:cs="Arial" w:eastAsia="Arial" w:hAnsi="Arial"/>
          <w:sz w:val="17"/>
          <w:szCs w:val="17"/>
          <w:color w:val="auto"/>
        </w:rPr>
        <w:t>The Chairman of the Committee shall serve as agent for service of legal process.</w:t>
      </w:r>
    </w:p>
    <w:p>
      <w:pPr>
        <w:spacing w:after="0" w:line="190" w:lineRule="exact"/>
        <w:rPr>
          <w:sz w:val="20"/>
          <w:szCs w:val="20"/>
          <w:color w:val="auto"/>
        </w:rPr>
      </w:pPr>
    </w:p>
    <w:p>
      <w:pPr>
        <w:spacing w:after="0" w:line="252" w:lineRule="auto"/>
        <w:rPr>
          <w:sz w:val="20"/>
          <w:szCs w:val="20"/>
          <w:color w:val="auto"/>
        </w:rPr>
      </w:pPr>
      <w:r>
        <w:rPr>
          <w:rFonts w:ascii="Arial" w:cs="Arial" w:eastAsia="Arial" w:hAnsi="Arial"/>
          <w:sz w:val="19"/>
          <w:szCs w:val="19"/>
          <w:color w:val="auto"/>
        </w:rPr>
        <w:t xml:space="preserve">4.6 </w:t>
      </w:r>
      <w:r>
        <w:rPr>
          <w:rFonts w:ascii="Arial" w:cs="Arial" w:eastAsia="Arial" w:hAnsi="Arial"/>
          <w:sz w:val="19"/>
          <w:szCs w:val="19"/>
          <w:b w:val="1"/>
          <w:bCs w:val="1"/>
          <w:i w:val="1"/>
          <w:iCs w:val="1"/>
          <w:color w:val="auto"/>
        </w:rPr>
        <w:t>Plan Expenses.</w:t>
      </w:r>
      <w:r>
        <w:rPr>
          <w:rFonts w:ascii="Arial" w:cs="Arial" w:eastAsia="Arial" w:hAnsi="Arial"/>
          <w:sz w:val="19"/>
          <w:szCs w:val="19"/>
          <w:color w:val="auto"/>
        </w:rPr>
        <w:t xml:space="preserve"> The Company shall pay all expenses reasonably incurred in the administration of this Plan. The members of the Committee shall serve without compensation for their services as such, but all expenses of the Committee shall be paid by the Company. No employee of the Company shall receive compensation from this Plan regardless of the nature of his services to this Plan.</w:t>
      </w:r>
    </w:p>
    <w:p>
      <w:pPr>
        <w:spacing w:after="0" w:line="141" w:lineRule="exact"/>
        <w:rPr>
          <w:sz w:val="20"/>
          <w:szCs w:val="20"/>
          <w:color w:val="auto"/>
        </w:rPr>
      </w:pPr>
    </w:p>
    <w:p>
      <w:pPr>
        <w:jc w:val="both"/>
        <w:ind w:right="200"/>
        <w:spacing w:after="0" w:line="272" w:lineRule="auto"/>
        <w:rPr>
          <w:sz w:val="20"/>
          <w:szCs w:val="20"/>
          <w:color w:val="auto"/>
        </w:rPr>
      </w:pPr>
      <w:r>
        <w:rPr>
          <w:rFonts w:ascii="Arial" w:cs="Arial" w:eastAsia="Arial" w:hAnsi="Arial"/>
          <w:sz w:val="18"/>
          <w:szCs w:val="18"/>
          <w:color w:val="auto"/>
        </w:rPr>
        <w:t xml:space="preserve">4.7 </w:t>
      </w:r>
      <w:r>
        <w:rPr>
          <w:rFonts w:ascii="Arial" w:cs="Arial" w:eastAsia="Arial" w:hAnsi="Arial"/>
          <w:sz w:val="18"/>
          <w:szCs w:val="18"/>
          <w:b w:val="1"/>
          <w:bCs w:val="1"/>
          <w:i w:val="1"/>
          <w:iCs w:val="1"/>
          <w:color w:val="auto"/>
        </w:rPr>
        <w:t>Indemnification.</w:t>
      </w:r>
      <w:r>
        <w:rPr>
          <w:rFonts w:ascii="Arial" w:cs="Arial" w:eastAsia="Arial" w:hAnsi="Arial"/>
          <w:sz w:val="18"/>
          <w:szCs w:val="18"/>
          <w:color w:val="auto"/>
        </w:rPr>
        <w:t xml:space="preserve"> To the extent permitted by law, the Committee and all agents and representatives of the Committee shall be indemnified by the Company and saved harmless against any claims, and the expenses of defending against such claims, resulting from any action or conduct relating to the administration of this Plan except claims arising from gross negligence, willful neglect, or willful misconduct.</w:t>
      </w:r>
    </w:p>
    <w:p>
      <w:pPr>
        <w:spacing w:after="0" w:line="125" w:lineRule="exact"/>
        <w:rPr>
          <w:sz w:val="20"/>
          <w:szCs w:val="20"/>
          <w:color w:val="auto"/>
        </w:rPr>
      </w:pPr>
    </w:p>
    <w:p>
      <w:pPr>
        <w:spacing w:after="0"/>
        <w:tabs>
          <w:tab w:leader="none" w:pos="560" w:val="left"/>
        </w:tabs>
        <w:rPr>
          <w:sz w:val="20"/>
          <w:szCs w:val="20"/>
          <w:color w:val="auto"/>
        </w:rPr>
      </w:pPr>
      <w:r>
        <w:rPr>
          <w:rFonts w:ascii="Arial" w:cs="Arial" w:eastAsia="Arial" w:hAnsi="Arial"/>
          <w:sz w:val="19"/>
          <w:szCs w:val="19"/>
          <w:color w:val="auto"/>
        </w:rPr>
        <w:t>4.8</w:t>
      </w:r>
      <w:r>
        <w:rPr>
          <w:sz w:val="20"/>
          <w:szCs w:val="20"/>
          <w:color w:val="auto"/>
        </w:rPr>
        <w:tab/>
      </w:r>
      <w:r>
        <w:rPr>
          <w:rFonts w:ascii="Arial" w:cs="Arial" w:eastAsia="Arial" w:hAnsi="Arial"/>
          <w:sz w:val="16"/>
          <w:szCs w:val="16"/>
          <w:b w:val="1"/>
          <w:bCs w:val="1"/>
          <w:i w:val="1"/>
          <w:iCs w:val="1"/>
          <w:color w:val="auto"/>
        </w:rPr>
        <w:t>Claims Procedure.</w:t>
      </w:r>
    </w:p>
    <w:p>
      <w:pPr>
        <w:spacing w:after="0" w:line="184" w:lineRule="exact"/>
        <w:rPr>
          <w:sz w:val="20"/>
          <w:szCs w:val="20"/>
          <w:color w:val="auto"/>
        </w:rPr>
      </w:pPr>
    </w:p>
    <w:p>
      <w:pPr>
        <w:ind w:right="160" w:firstLine="573"/>
        <w:spacing w:after="0" w:line="279" w:lineRule="auto"/>
        <w:tabs>
          <w:tab w:leader="none" w:pos="865" w:val="left"/>
        </w:tabs>
        <w:numPr>
          <w:ilvl w:val="0"/>
          <w:numId w:val="26"/>
        </w:numPr>
        <w:rPr>
          <w:rFonts w:ascii="Arial" w:cs="Arial" w:eastAsia="Arial" w:hAnsi="Arial"/>
          <w:sz w:val="17"/>
          <w:szCs w:val="17"/>
          <w:color w:val="auto"/>
        </w:rPr>
      </w:pPr>
      <w:r>
        <w:rPr>
          <w:rFonts w:ascii="Arial" w:cs="Arial" w:eastAsia="Arial" w:hAnsi="Arial"/>
          <w:sz w:val="17"/>
          <w:szCs w:val="17"/>
          <w:b w:val="1"/>
          <w:bCs w:val="1"/>
          <w:color w:val="auto"/>
        </w:rPr>
        <w:t xml:space="preserve">Claim. </w:t>
      </w:r>
      <w:r>
        <w:rPr>
          <w:rFonts w:ascii="Arial" w:cs="Arial" w:eastAsia="Arial" w:hAnsi="Arial"/>
          <w:sz w:val="17"/>
          <w:szCs w:val="17"/>
          <w:color w:val="auto"/>
        </w:rPr>
        <w:t>A Participant, beneficiary or other person who believes that he is being denied a benefit to which he is entitled under this Plan</w:t>
      </w:r>
      <w:r>
        <w:rPr>
          <w:rFonts w:ascii="Arial" w:cs="Arial" w:eastAsia="Arial" w:hAnsi="Arial"/>
          <w:sz w:val="17"/>
          <w:szCs w:val="17"/>
          <w:b w:val="1"/>
          <w:bCs w:val="1"/>
          <w:color w:val="auto"/>
        </w:rPr>
        <w:t xml:space="preserve"> </w:t>
      </w:r>
      <w:r>
        <w:rPr>
          <w:rFonts w:ascii="Arial" w:cs="Arial" w:eastAsia="Arial" w:hAnsi="Arial"/>
          <w:sz w:val="17"/>
          <w:szCs w:val="17"/>
          <w:color w:val="auto"/>
        </w:rPr>
        <w:t>(hereinafter referred to as “Claimant”) may file a written request for such benefit with the Committee, setting forth his claim. The request must be addressed to the Committee at Sempra Energy at its then principal place of business. The claims procedure of this Section shall be applied in accordance with Section 503 of ERISA and Department of Labor Regulation Section 2560.503-1. A Participant, beneficiary or other person may assert a claim, or request review of the denial of a claim, through such Participant’s, beneficiary’s or person’s authorized representative, provided that such Participant, beneficiary or person has submitted a written notice evidencing the authority of such representative to the Committee. &lt; /P&gt;</w:t>
      </w:r>
    </w:p>
    <w:p>
      <w:pPr>
        <w:spacing w:after="0" w:line="132" w:lineRule="exact"/>
        <w:rPr>
          <w:sz w:val="20"/>
          <w:szCs w:val="20"/>
          <w:color w:val="auto"/>
        </w:rPr>
      </w:pPr>
    </w:p>
    <w:p>
      <w:pPr>
        <w:ind w:right="160" w:firstLine="865"/>
        <w:spacing w:after="0" w:line="295" w:lineRule="auto"/>
        <w:rPr>
          <w:sz w:val="20"/>
          <w:szCs w:val="20"/>
          <w:color w:val="auto"/>
        </w:rPr>
      </w:pPr>
      <w:r>
        <w:rPr>
          <w:rFonts w:ascii="Arial" w:cs="Arial" w:eastAsia="Arial" w:hAnsi="Arial"/>
          <w:sz w:val="18"/>
          <w:szCs w:val="18"/>
          <w:color w:val="auto"/>
        </w:rPr>
        <w:t>A Claimant or his duly authorized representative shall submit his claim under the Plan in writing to the Committee. The Claimant may include documents, records or other information relating to the claim for review by the Committee in connection with such claim.</w:t>
      </w:r>
    </w:p>
    <w:p>
      <w:pPr>
        <w:spacing w:after="0" w:line="98" w:lineRule="exact"/>
        <w:rPr>
          <w:sz w:val="20"/>
          <w:szCs w:val="20"/>
          <w:color w:val="auto"/>
        </w:rPr>
      </w:pPr>
    </w:p>
    <w:p>
      <w:pPr>
        <w:ind w:right="220" w:firstLine="573"/>
        <w:spacing w:after="0" w:line="273" w:lineRule="auto"/>
        <w:tabs>
          <w:tab w:leader="none" w:pos="865" w:val="left"/>
        </w:tabs>
        <w:numPr>
          <w:ilvl w:val="0"/>
          <w:numId w:val="27"/>
        </w:numPr>
        <w:rPr>
          <w:rFonts w:ascii="Arial" w:cs="Arial" w:eastAsia="Arial" w:hAnsi="Arial"/>
          <w:sz w:val="19"/>
          <w:szCs w:val="19"/>
          <w:color w:val="auto"/>
        </w:rPr>
      </w:pPr>
      <w:r>
        <w:rPr>
          <w:rFonts w:ascii="Arial" w:cs="Arial" w:eastAsia="Arial" w:hAnsi="Arial"/>
          <w:sz w:val="19"/>
          <w:szCs w:val="19"/>
          <w:b w:val="1"/>
          <w:bCs w:val="1"/>
          <w:color w:val="auto"/>
        </w:rPr>
        <w:t xml:space="preserve">Claim Decision. </w:t>
      </w:r>
      <w:r>
        <w:rPr>
          <w:rFonts w:ascii="Arial" w:cs="Arial" w:eastAsia="Arial" w:hAnsi="Arial"/>
          <w:sz w:val="19"/>
          <w:szCs w:val="19"/>
          <w:color w:val="auto"/>
        </w:rPr>
        <w:t>The Committee shall review the Claimant’s claim (including any documents, records or other information submitted</w:t>
      </w:r>
      <w:r>
        <w:rPr>
          <w:rFonts w:ascii="Arial" w:cs="Arial" w:eastAsia="Arial" w:hAnsi="Arial"/>
          <w:sz w:val="19"/>
          <w:szCs w:val="19"/>
          <w:b w:val="1"/>
          <w:bCs w:val="1"/>
          <w:color w:val="auto"/>
        </w:rPr>
        <w:t xml:space="preserve"> </w:t>
      </w:r>
      <w:r>
        <w:rPr>
          <w:rFonts w:ascii="Arial" w:cs="Arial" w:eastAsia="Arial" w:hAnsi="Arial"/>
          <w:sz w:val="19"/>
          <w:szCs w:val="19"/>
          <w:color w:val="auto"/>
        </w:rPr>
        <w:t>with such claim) and determine whether such claim shall be approved or denied in accordance with the Plan.</w:t>
      </w:r>
    </w:p>
    <w:p>
      <w:pPr>
        <w:sectPr>
          <w:pgSz w:w="11900" w:h="16861" w:orient="portrait"/>
          <w:cols w:equalWidth="0" w:num="1">
            <w:col w:w="11420"/>
          </w:cols>
          <w:pgMar w:left="240" w:top="120" w:right="239" w:bottom="0" w:gutter="0" w:footer="0" w:header="0"/>
        </w:sectPr>
      </w:pPr>
    </w:p>
    <w:bookmarkStart w:id="61" w:name="page62"/>
    <w:bookmarkEnd w:id="61"/>
    <w:p>
      <w:pPr>
        <w:ind w:left="4" w:right="100" w:firstLine="865"/>
        <w:spacing w:after="0" w:line="262" w:lineRule="auto"/>
        <w:rPr>
          <w:sz w:val="20"/>
          <w:szCs w:val="20"/>
          <w:color w:val="auto"/>
        </w:rPr>
      </w:pPr>
      <w:r>
        <w:rPr>
          <w:rFonts w:ascii="Arial" w:cs="Arial" w:eastAsia="Arial" w:hAnsi="Arial"/>
          <w:sz w:val="18"/>
          <w:szCs w:val="18"/>
          <w:color w:val="auto"/>
        </w:rPr>
        <w:t>Upon receipt of a claim, the Committee shall advise the Claimant that a claim decision shall be forthcoming within ninety (90) days and shall, in fact, deliver such claim decision within such period. The Committee may, however, extend the claim decision period for an additional ninety (90) days for special circumstances. If the Committee extends the claim decision period, the Committee shall provide the Claimant with written notice of such extension prior to the end of the initial ninety (90) day period. The extension notice shall indicate the special circumstances requiring the extension of time and the date by which the Committee expects to render a claim decision.</w:t>
      </w:r>
    </w:p>
    <w:p>
      <w:pPr>
        <w:spacing w:after="0" w:line="144" w:lineRule="exact"/>
        <w:rPr>
          <w:sz w:val="20"/>
          <w:szCs w:val="20"/>
          <w:color w:val="auto"/>
        </w:rPr>
      </w:pPr>
    </w:p>
    <w:p>
      <w:pPr>
        <w:ind w:left="4" w:firstLine="865"/>
        <w:spacing w:after="0" w:line="243" w:lineRule="auto"/>
        <w:rPr>
          <w:sz w:val="20"/>
          <w:szCs w:val="20"/>
          <w:color w:val="auto"/>
        </w:rPr>
      </w:pPr>
      <w:r>
        <w:rPr>
          <w:rFonts w:ascii="Arial" w:cs="Arial" w:eastAsia="Arial" w:hAnsi="Arial"/>
          <w:sz w:val="19"/>
          <w:szCs w:val="19"/>
          <w:color w:val="auto"/>
        </w:rPr>
        <w:t>If the claim is denied in whole or in part, the Committee shall inform the Claimant in writing, using language calculated to be understood by the Claimant, setting forth: (i) the specified reason or reasons for such denial; (ii) references to the specific provisions of this Plan on which such denial is based; (iii) a description of any additional material or information necessary for the Claimant to perfect his claim and an explanation of why such material or such information is necessary; and (iv) a description of the Plan’s procedures for review and the time limits applicable to such procedures, including a statement of the Claimant’s right to bring a civil action under Section 502(a) of ERISA following a denial of the review of the denial of the claim.</w:t>
      </w:r>
    </w:p>
    <w:p>
      <w:pPr>
        <w:spacing w:after="0" w:line="162" w:lineRule="exact"/>
        <w:rPr>
          <w:sz w:val="20"/>
          <w:szCs w:val="20"/>
          <w:color w:val="auto"/>
        </w:rPr>
      </w:pPr>
    </w:p>
    <w:p>
      <w:pPr>
        <w:ind w:left="4" w:right="300" w:firstLine="865"/>
        <w:spacing w:after="0" w:line="252" w:lineRule="auto"/>
        <w:rPr>
          <w:sz w:val="20"/>
          <w:szCs w:val="20"/>
          <w:color w:val="auto"/>
        </w:rPr>
      </w:pPr>
      <w:r>
        <w:rPr>
          <w:rFonts w:ascii="Arial" w:cs="Arial" w:eastAsia="Arial" w:hAnsi="Arial"/>
          <w:sz w:val="19"/>
          <w:szCs w:val="19"/>
          <w:color w:val="auto"/>
        </w:rPr>
        <w:t>The Claimant may request a review of any denial of the claim in writing to the Committee within sixty (60) days after receipt of the Committee’s notice of denial of claim. The Claimant’s failure to appeal the denial of the claim by the Committee in writing within the sixty (60) day period shall render the Committee’s determination final, binding, and conclusive.</w:t>
      </w:r>
    </w:p>
    <w:p>
      <w:pPr>
        <w:spacing w:after="0" w:line="135" w:lineRule="exact"/>
        <w:rPr>
          <w:sz w:val="20"/>
          <w:szCs w:val="20"/>
          <w:color w:val="auto"/>
        </w:rPr>
      </w:pPr>
    </w:p>
    <w:p>
      <w:pPr>
        <w:ind w:left="4" w:firstLine="573"/>
        <w:spacing w:after="0" w:line="255" w:lineRule="auto"/>
        <w:tabs>
          <w:tab w:leader="none" w:pos="869" w:val="left"/>
        </w:tabs>
        <w:numPr>
          <w:ilvl w:val="0"/>
          <w:numId w:val="28"/>
        </w:numPr>
        <w:rPr>
          <w:rFonts w:ascii="Arial" w:cs="Arial" w:eastAsia="Arial" w:hAnsi="Arial"/>
          <w:sz w:val="19"/>
          <w:szCs w:val="19"/>
          <w:color w:val="auto"/>
        </w:rPr>
      </w:pPr>
      <w:r>
        <w:rPr>
          <w:rFonts w:ascii="Arial" w:cs="Arial" w:eastAsia="Arial" w:hAnsi="Arial"/>
          <w:sz w:val="19"/>
          <w:szCs w:val="19"/>
          <w:b w:val="1"/>
          <w:bCs w:val="1"/>
          <w:color w:val="auto"/>
        </w:rPr>
        <w:t xml:space="preserve">Request for Review. </w:t>
      </w:r>
      <w:r>
        <w:rPr>
          <w:rFonts w:ascii="Arial" w:cs="Arial" w:eastAsia="Arial" w:hAnsi="Arial"/>
          <w:sz w:val="19"/>
          <w:szCs w:val="19"/>
          <w:color w:val="auto"/>
        </w:rPr>
        <w:t>With sixty (60) days after the receipt by the Claimant of the denial of the claim described above, the Claimant may</w:t>
      </w:r>
      <w:r>
        <w:rPr>
          <w:rFonts w:ascii="Arial" w:cs="Arial" w:eastAsia="Arial" w:hAnsi="Arial"/>
          <w:sz w:val="19"/>
          <w:szCs w:val="19"/>
          <w:b w:val="1"/>
          <w:bCs w:val="1"/>
          <w:color w:val="auto"/>
        </w:rPr>
        <w:t xml:space="preserve"> </w:t>
      </w:r>
      <w:r>
        <w:rPr>
          <w:rFonts w:ascii="Arial" w:cs="Arial" w:eastAsia="Arial" w:hAnsi="Arial"/>
          <w:sz w:val="19"/>
          <w:szCs w:val="19"/>
          <w:color w:val="auto"/>
        </w:rPr>
        <w:t>request in writing a review the determination of the Compensation Committee. Such review shall be completed by the Compensation Committee. Such request must be addressed to the Committee, at Sempra Energy’s then principal place of business.</w:t>
      </w:r>
    </w:p>
    <w:p>
      <w:pPr>
        <w:spacing w:after="0" w:line="150" w:lineRule="exact"/>
        <w:rPr>
          <w:sz w:val="20"/>
          <w:szCs w:val="20"/>
          <w:color w:val="auto"/>
        </w:rPr>
      </w:pPr>
    </w:p>
    <w:p>
      <w:pPr>
        <w:ind w:left="4" w:right="40" w:firstLine="865"/>
        <w:spacing w:after="0" w:line="243" w:lineRule="auto"/>
        <w:rPr>
          <w:sz w:val="20"/>
          <w:szCs w:val="20"/>
          <w:color w:val="auto"/>
        </w:rPr>
      </w:pPr>
      <w:r>
        <w:rPr>
          <w:rFonts w:ascii="Arial" w:cs="Arial" w:eastAsia="Arial" w:hAnsi="Arial"/>
          <w:sz w:val="19"/>
          <w:szCs w:val="19"/>
          <w:color w:val="auto"/>
        </w:rPr>
        <w:t>The Claimant shall be afforded the opportunity to submit written comments, documents, records, and other information relating to the claim, and the Claimant shall be provided, upon request and free of charge, reasonable access to all documents, records, and other information relevant to the Claimant’s claim. A document, record or other information shall be considered “relevant” to the claim, as provided in Department of Labor Regulation Section 2560.503-1(m)(8). The review by the Committee shall take into account all comments, documents, records, and other information submitted by the Claimant, without regard to whether such information was submitted or considered in the Committee’s initial determination with respect to the claim.</w:t>
      </w:r>
    </w:p>
    <w:p>
      <w:pPr>
        <w:spacing w:after="0" w:line="162" w:lineRule="exact"/>
        <w:rPr>
          <w:sz w:val="20"/>
          <w:szCs w:val="20"/>
          <w:color w:val="auto"/>
        </w:rPr>
      </w:pPr>
    </w:p>
    <w:p>
      <w:pPr>
        <w:ind w:left="4" w:right="20" w:firstLine="865"/>
        <w:spacing w:after="0" w:line="275" w:lineRule="auto"/>
        <w:rPr>
          <w:sz w:val="20"/>
          <w:szCs w:val="20"/>
          <w:color w:val="auto"/>
        </w:rPr>
      </w:pPr>
      <w:r>
        <w:rPr>
          <w:rFonts w:ascii="Arial" w:cs="Arial" w:eastAsia="Arial" w:hAnsi="Arial"/>
          <w:sz w:val="17"/>
          <w:szCs w:val="17"/>
          <w:color w:val="auto"/>
        </w:rPr>
        <w:t>The Committee shall advise the Claimant in writing of the Committee’s determination of the review within sixty (60) days of the Claimant’s written request for review, unless special circumstances (such as a hearing) would make the rendering of a determination within the sixty</w:t>
      </w:r>
    </w:p>
    <w:p>
      <w:pPr>
        <w:ind w:left="364" w:hanging="364"/>
        <w:spacing w:after="0"/>
        <w:tabs>
          <w:tab w:leader="none" w:pos="364" w:val="left"/>
        </w:tabs>
        <w:numPr>
          <w:ilvl w:val="0"/>
          <w:numId w:val="29"/>
        </w:numPr>
        <w:rPr>
          <w:rFonts w:ascii="Arial" w:cs="Arial" w:eastAsia="Arial" w:hAnsi="Arial"/>
          <w:sz w:val="17"/>
          <w:szCs w:val="17"/>
          <w:color w:val="auto"/>
        </w:rPr>
      </w:pPr>
      <w:r>
        <w:rPr>
          <w:rFonts w:ascii="Arial" w:cs="Arial" w:eastAsia="Arial" w:hAnsi="Arial"/>
          <w:sz w:val="17"/>
          <w:szCs w:val="17"/>
          <w:color w:val="auto"/>
        </w:rPr>
        <w:t>day period infeasible, but in no event shall the Committee render a determination regarding the denial of a claim later than one hundred twenty</w:t>
      </w:r>
    </w:p>
    <w:p>
      <w:pPr>
        <w:spacing w:after="0" w:line="20" w:lineRule="exact"/>
        <w:rPr>
          <w:rFonts w:ascii="Arial" w:cs="Arial" w:eastAsia="Arial" w:hAnsi="Arial"/>
          <w:sz w:val="17"/>
          <w:szCs w:val="17"/>
          <w:color w:val="auto"/>
        </w:rPr>
      </w:pPr>
    </w:p>
    <w:p>
      <w:pPr>
        <w:ind w:left="4" w:right="80" w:hanging="4"/>
        <w:spacing w:after="0" w:line="263" w:lineRule="auto"/>
        <w:tabs>
          <w:tab w:leader="none" w:pos="468" w:val="left"/>
        </w:tabs>
        <w:numPr>
          <w:ilvl w:val="0"/>
          <w:numId w:val="30"/>
        </w:numPr>
        <w:rPr>
          <w:rFonts w:ascii="Arial" w:cs="Arial" w:eastAsia="Arial" w:hAnsi="Arial"/>
          <w:sz w:val="18"/>
          <w:szCs w:val="18"/>
          <w:color w:val="auto"/>
        </w:rPr>
      </w:pPr>
      <w:r>
        <w:rPr>
          <w:rFonts w:ascii="Arial" w:cs="Arial" w:eastAsia="Arial" w:hAnsi="Arial"/>
          <w:sz w:val="18"/>
          <w:szCs w:val="18"/>
          <w:color w:val="auto"/>
        </w:rPr>
        <w:t>days after its receipt of a request for review. If an extension of time for review is required because of special circumstances, written notice of the extension shall be furnished to the Claimant prior to the date the extension period commences. The extension notice shall indicate the special circumstances requiring the extension of time and the date by which the Committee expects to render a review decision.</w:t>
      </w:r>
    </w:p>
    <w:p>
      <w:pPr>
        <w:spacing w:after="0" w:line="138" w:lineRule="exact"/>
        <w:rPr>
          <w:rFonts w:ascii="Arial" w:cs="Arial" w:eastAsia="Arial" w:hAnsi="Arial"/>
          <w:sz w:val="18"/>
          <w:szCs w:val="18"/>
          <w:color w:val="auto"/>
        </w:rPr>
      </w:pPr>
    </w:p>
    <w:p>
      <w:pPr>
        <w:ind w:left="4" w:right="80" w:firstLine="573"/>
        <w:spacing w:after="0" w:line="270" w:lineRule="auto"/>
        <w:tabs>
          <w:tab w:leader="none" w:pos="869" w:val="left"/>
        </w:tabs>
        <w:numPr>
          <w:ilvl w:val="1"/>
          <w:numId w:val="30"/>
        </w:numPr>
        <w:rPr>
          <w:rFonts w:ascii="Arial" w:cs="Arial" w:eastAsia="Arial" w:hAnsi="Arial"/>
          <w:sz w:val="17"/>
          <w:szCs w:val="17"/>
          <w:color w:val="auto"/>
        </w:rPr>
      </w:pPr>
      <w:r>
        <w:rPr>
          <w:rFonts w:ascii="Arial" w:cs="Arial" w:eastAsia="Arial" w:hAnsi="Arial"/>
          <w:sz w:val="17"/>
          <w:szCs w:val="17"/>
          <w:b w:val="1"/>
          <w:bCs w:val="1"/>
          <w:color w:val="auto"/>
        </w:rPr>
        <w:t xml:space="preserve">Review of Decision. </w:t>
      </w:r>
      <w:r>
        <w:rPr>
          <w:rFonts w:ascii="Arial" w:cs="Arial" w:eastAsia="Arial" w:hAnsi="Arial"/>
          <w:sz w:val="17"/>
          <w:szCs w:val="17"/>
          <w:color w:val="auto"/>
        </w:rPr>
        <w:t>The Committee shall inform the Claimant in writing, in a manner calculated to be understood by the Claimant, the</w:t>
      </w:r>
      <w:r>
        <w:rPr>
          <w:rFonts w:ascii="Arial" w:cs="Arial" w:eastAsia="Arial" w:hAnsi="Arial"/>
          <w:sz w:val="17"/>
          <w:szCs w:val="17"/>
          <w:b w:val="1"/>
          <w:bCs w:val="1"/>
          <w:color w:val="auto"/>
        </w:rPr>
        <w:t xml:space="preserve"> </w:t>
      </w:r>
      <w:r>
        <w:rPr>
          <w:rFonts w:ascii="Arial" w:cs="Arial" w:eastAsia="Arial" w:hAnsi="Arial"/>
          <w:sz w:val="17"/>
          <w:szCs w:val="17"/>
          <w:color w:val="auto"/>
        </w:rPr>
        <w:t>decision on the review of the denial of the claim, setting forth: (i) the specific reasons for the decision, (ii) if the claim is denied, reference to the specific Plan provisions on which the denial of the claim is based; (iii) a statement that the Claimant is entitled to receive, upon request and free of charge, reasonable access to, and copies of, all documents, records and other information relevant to the Claimant’s claim (and a document, record or other information shall be considered “relevant” to the benefits claim, as provided in Department of Labor Regulation Section 2560.503-1(m)</w:t>
      </w:r>
    </w:p>
    <w:p>
      <w:pPr>
        <w:spacing w:after="0" w:line="3" w:lineRule="exact"/>
        <w:rPr>
          <w:rFonts w:ascii="Arial" w:cs="Arial" w:eastAsia="Arial" w:hAnsi="Arial"/>
          <w:sz w:val="17"/>
          <w:szCs w:val="17"/>
          <w:color w:val="auto"/>
        </w:rPr>
      </w:pPr>
    </w:p>
    <w:p>
      <w:pPr>
        <w:ind w:left="4"/>
        <w:spacing w:after="0"/>
        <w:rPr>
          <w:rFonts w:ascii="Arial" w:cs="Arial" w:eastAsia="Arial" w:hAnsi="Arial"/>
          <w:sz w:val="17"/>
          <w:szCs w:val="17"/>
          <w:color w:val="auto"/>
        </w:rPr>
      </w:pPr>
      <w:r>
        <w:rPr>
          <w:rFonts w:ascii="Arial" w:cs="Arial" w:eastAsia="Arial" w:hAnsi="Arial"/>
          <w:sz w:val="19"/>
          <w:szCs w:val="19"/>
          <w:color w:val="auto"/>
        </w:rPr>
        <w:t>(8)); and (iv) a statement describing Claimant’s right to bring an action under Section 502(a) of ERISA.</w:t>
      </w:r>
    </w:p>
    <w:p>
      <w:pPr>
        <w:spacing w:after="0" w:line="168" w:lineRule="exact"/>
        <w:rPr>
          <w:sz w:val="20"/>
          <w:szCs w:val="20"/>
          <w:color w:val="auto"/>
        </w:rPr>
      </w:pPr>
    </w:p>
    <w:p>
      <w:pPr>
        <w:jc w:val="center"/>
        <w:ind w:right="-3"/>
        <w:spacing w:after="0"/>
        <w:rPr>
          <w:sz w:val="20"/>
          <w:szCs w:val="20"/>
          <w:color w:val="auto"/>
        </w:rPr>
      </w:pPr>
      <w:r>
        <w:rPr>
          <w:rFonts w:ascii="Arial" w:cs="Arial" w:eastAsia="Arial" w:hAnsi="Arial"/>
          <w:sz w:val="19"/>
          <w:szCs w:val="19"/>
          <w:b w:val="1"/>
          <w:bCs w:val="1"/>
          <w:color w:val="auto"/>
        </w:rPr>
        <w:t>ARTICLE V</w:t>
      </w:r>
    </w:p>
    <w:p>
      <w:pPr>
        <w:spacing w:after="0" w:line="20" w:lineRule="exact"/>
        <w:rPr>
          <w:sz w:val="20"/>
          <w:szCs w:val="20"/>
          <w:color w:val="auto"/>
        </w:rPr>
      </w:pPr>
    </w:p>
    <w:p>
      <w:pPr>
        <w:jc w:val="center"/>
        <w:ind w:right="-3"/>
        <w:spacing w:after="0"/>
        <w:rPr>
          <w:sz w:val="20"/>
          <w:szCs w:val="20"/>
          <w:color w:val="auto"/>
        </w:rPr>
      </w:pPr>
      <w:r>
        <w:rPr>
          <w:rFonts w:ascii="Arial" w:cs="Arial" w:eastAsia="Arial" w:hAnsi="Arial"/>
          <w:sz w:val="19"/>
          <w:szCs w:val="19"/>
          <w:b w:val="1"/>
          <w:bCs w:val="1"/>
          <w:color w:val="auto"/>
        </w:rPr>
        <w:t>SECTION 409A OF THE CODE</w:t>
      </w:r>
    </w:p>
    <w:p>
      <w:pPr>
        <w:spacing w:after="0" w:line="162" w:lineRule="exact"/>
        <w:rPr>
          <w:sz w:val="20"/>
          <w:szCs w:val="20"/>
          <w:color w:val="auto"/>
        </w:rPr>
      </w:pPr>
    </w:p>
    <w:p>
      <w:pPr>
        <w:ind w:left="4"/>
        <w:spacing w:after="0"/>
        <w:tabs>
          <w:tab w:leader="none" w:pos="564" w:val="left"/>
        </w:tabs>
        <w:rPr>
          <w:sz w:val="20"/>
          <w:szCs w:val="20"/>
          <w:color w:val="auto"/>
        </w:rPr>
      </w:pPr>
      <w:r>
        <w:rPr>
          <w:rFonts w:ascii="Arial" w:cs="Arial" w:eastAsia="Arial" w:hAnsi="Arial"/>
          <w:sz w:val="19"/>
          <w:szCs w:val="19"/>
          <w:color w:val="auto"/>
        </w:rPr>
        <w:t>5.1</w:t>
      </w:r>
      <w:r>
        <w:rPr>
          <w:sz w:val="20"/>
          <w:szCs w:val="20"/>
          <w:color w:val="auto"/>
        </w:rPr>
        <w:tab/>
      </w:r>
      <w:r>
        <w:rPr>
          <w:rFonts w:ascii="Arial" w:cs="Arial" w:eastAsia="Arial" w:hAnsi="Arial"/>
          <w:sz w:val="16"/>
          <w:szCs w:val="16"/>
          <w:b w:val="1"/>
          <w:bCs w:val="1"/>
          <w:i w:val="1"/>
          <w:iCs w:val="1"/>
          <w:color w:val="auto"/>
        </w:rPr>
        <w:t>Compliance with Section 409A of the Code</w:t>
      </w:r>
      <w:r>
        <w:rPr>
          <w:rFonts w:ascii="Arial" w:cs="Arial" w:eastAsia="Arial" w:hAnsi="Arial"/>
          <w:sz w:val="16"/>
          <w:szCs w:val="16"/>
          <w:color w:val="auto"/>
        </w:rPr>
        <w:t>.</w:t>
      </w:r>
    </w:p>
    <w:p>
      <w:pPr>
        <w:spacing w:after="0" w:line="172" w:lineRule="exact"/>
        <w:rPr>
          <w:sz w:val="20"/>
          <w:szCs w:val="20"/>
          <w:color w:val="auto"/>
        </w:rPr>
      </w:pPr>
    </w:p>
    <w:p>
      <w:pPr>
        <w:ind w:left="4" w:right="180" w:firstLine="573"/>
        <w:spacing w:after="0" w:line="242" w:lineRule="auto"/>
        <w:tabs>
          <w:tab w:leader="none" w:pos="869" w:val="left"/>
        </w:tabs>
        <w:numPr>
          <w:ilvl w:val="0"/>
          <w:numId w:val="31"/>
        </w:numPr>
        <w:rPr>
          <w:rFonts w:ascii="Arial" w:cs="Arial" w:eastAsia="Arial" w:hAnsi="Arial"/>
          <w:sz w:val="19"/>
          <w:szCs w:val="19"/>
          <w:color w:val="auto"/>
        </w:rPr>
      </w:pPr>
      <w:r>
        <w:rPr>
          <w:rFonts w:ascii="Arial" w:cs="Arial" w:eastAsia="Arial" w:hAnsi="Arial"/>
          <w:sz w:val="19"/>
          <w:szCs w:val="19"/>
          <w:b w:val="1"/>
          <w:bCs w:val="1"/>
          <w:color w:val="auto"/>
        </w:rPr>
        <w:t>Plan Interpretation and Administration</w:t>
      </w:r>
      <w:r>
        <w:rPr>
          <w:rFonts w:ascii="Arial" w:cs="Arial" w:eastAsia="Arial" w:hAnsi="Arial"/>
          <w:sz w:val="19"/>
          <w:szCs w:val="19"/>
          <w:color w:val="auto"/>
        </w:rPr>
        <w:t>. This Plan shall be interpreted, construed and administered in a manner that satisfies the</w:t>
      </w:r>
      <w:r>
        <w:rPr>
          <w:rFonts w:ascii="Arial" w:cs="Arial" w:eastAsia="Arial" w:hAnsi="Arial"/>
          <w:sz w:val="19"/>
          <w:szCs w:val="19"/>
          <w:b w:val="1"/>
          <w:bCs w:val="1"/>
          <w:color w:val="auto"/>
        </w:rPr>
        <w:t xml:space="preserve"> </w:t>
      </w:r>
      <w:r>
        <w:rPr>
          <w:rFonts w:ascii="Arial" w:cs="Arial" w:eastAsia="Arial" w:hAnsi="Arial"/>
          <w:sz w:val="19"/>
          <w:szCs w:val="19"/>
          <w:color w:val="auto"/>
        </w:rPr>
        <w:t>requirements of Sections 409A(a)(2), (3) and (4) of the Code and the Treasury Regulations thereunder (subject to the transitional relief under Internal Revenue Service Notice 2005-1, the Proposed Regulations under Section 409A of the Code, Internal Revenue Service Notice 2006-79, Internal Revenue Service Notice 2007-78, Internal Revenue Service Notice 2007-86 and other applicable authority issued by the Internal Revenue Service). As provided in Internal Revenue Notice 2007-86, notwithstanding any other provision of this Plan, with respect to an election or amendment to change a time and form of payment under the Plan made on or after January 1, 2008 and on or before December 31, 2008, the election or amendment shall apply only to amounts that would not otherwise be payable in 2008 and shall not cause an amount to be paid in 2008 that would not otherwise be payable in 2008.</w:t>
      </w:r>
    </w:p>
    <w:p>
      <w:pPr>
        <w:spacing w:after="0" w:line="159" w:lineRule="exact"/>
        <w:rPr>
          <w:rFonts w:ascii="Arial" w:cs="Arial" w:eastAsia="Arial" w:hAnsi="Arial"/>
          <w:sz w:val="19"/>
          <w:szCs w:val="19"/>
          <w:color w:val="auto"/>
        </w:rPr>
      </w:pPr>
    </w:p>
    <w:p>
      <w:pPr>
        <w:ind w:left="4" w:right="20" w:firstLine="573"/>
        <w:spacing w:after="0" w:line="242" w:lineRule="auto"/>
        <w:tabs>
          <w:tab w:leader="none" w:pos="869" w:val="left"/>
        </w:tabs>
        <w:numPr>
          <w:ilvl w:val="0"/>
          <w:numId w:val="31"/>
        </w:numPr>
        <w:rPr>
          <w:rFonts w:ascii="Arial" w:cs="Arial" w:eastAsia="Arial" w:hAnsi="Arial"/>
          <w:sz w:val="19"/>
          <w:szCs w:val="19"/>
          <w:color w:val="auto"/>
        </w:rPr>
      </w:pPr>
      <w:r>
        <w:rPr>
          <w:rFonts w:ascii="Arial" w:cs="Arial" w:eastAsia="Arial" w:hAnsi="Arial"/>
          <w:sz w:val="19"/>
          <w:szCs w:val="19"/>
          <w:b w:val="1"/>
          <w:bCs w:val="1"/>
          <w:color w:val="auto"/>
        </w:rPr>
        <w:t>Premium Payment for Specified Employees</w:t>
      </w:r>
      <w:r>
        <w:rPr>
          <w:rFonts w:ascii="Arial" w:cs="Arial" w:eastAsia="Arial" w:hAnsi="Arial"/>
          <w:sz w:val="19"/>
          <w:szCs w:val="19"/>
          <w:color w:val="auto"/>
        </w:rPr>
        <w:t>. In the case of a Participant who is a Specified Employee on the date of such Participant’s</w:t>
      </w:r>
      <w:r>
        <w:rPr>
          <w:rFonts w:ascii="Arial" w:cs="Arial" w:eastAsia="Arial" w:hAnsi="Arial"/>
          <w:sz w:val="19"/>
          <w:szCs w:val="19"/>
          <w:b w:val="1"/>
          <w:bCs w:val="1"/>
          <w:color w:val="auto"/>
        </w:rPr>
        <w:t xml:space="preserve"> </w:t>
      </w:r>
      <w:r>
        <w:rPr>
          <w:rFonts w:ascii="Arial" w:cs="Arial" w:eastAsia="Arial" w:hAnsi="Arial"/>
          <w:sz w:val="19"/>
          <w:szCs w:val="19"/>
          <w:color w:val="auto"/>
        </w:rPr>
        <w:t>Separation from Service, the premium payment under Section 3.2 with respect to such Participant (if any) shall not be made before the date which is six months after the date of such Participant’s Separation from Service in accordance with Section 409A(a)(2)(B)(i) of the Code and the Treasury Regulations thereunder. Any premium payment under Section 3.2 with respect to such Participant that otherwise would have been made during the first six months following the date of such Participant’s Separation from Service shall be accumulated (without interest) and paid on the first day of the seventh month following the date of such Participant’s Separation from Service; provided, however, that such premium shall not be paid in the event of such Parti cipant’s death prior to the first day of the seventh month following the date of such Participant’s Separation from Service. The Tax Gross-Up payment with respect to any such premium payment under Section 3.2 shall be paid concurrent with such premium payment in accordance with Section 3.4.</w:t>
      </w:r>
    </w:p>
    <w:p>
      <w:pPr>
        <w:spacing w:after="0" w:line="143" w:lineRule="exact"/>
        <w:rPr>
          <w:rFonts w:ascii="Arial" w:cs="Arial" w:eastAsia="Arial" w:hAnsi="Arial"/>
          <w:sz w:val="19"/>
          <w:szCs w:val="19"/>
          <w:color w:val="auto"/>
        </w:rPr>
      </w:pPr>
    </w:p>
    <w:p>
      <w:pPr>
        <w:ind w:left="4" w:right="340" w:firstLine="573"/>
        <w:spacing w:after="0" w:line="255" w:lineRule="auto"/>
        <w:tabs>
          <w:tab w:leader="none" w:pos="869" w:val="left"/>
        </w:tabs>
        <w:numPr>
          <w:ilvl w:val="0"/>
          <w:numId w:val="31"/>
        </w:numPr>
        <w:rPr>
          <w:rFonts w:ascii="Arial" w:cs="Arial" w:eastAsia="Arial" w:hAnsi="Arial"/>
          <w:sz w:val="19"/>
          <w:szCs w:val="19"/>
          <w:color w:val="auto"/>
        </w:rPr>
      </w:pPr>
      <w:r>
        <w:rPr>
          <w:rFonts w:ascii="Arial" w:cs="Arial" w:eastAsia="Arial" w:hAnsi="Arial"/>
          <w:sz w:val="19"/>
          <w:szCs w:val="19"/>
          <w:b w:val="1"/>
          <w:bCs w:val="1"/>
          <w:color w:val="auto"/>
        </w:rPr>
        <w:t>Prohibition of Acceleration of Premiums</w:t>
      </w:r>
      <w:r>
        <w:rPr>
          <w:rFonts w:ascii="Arial" w:cs="Arial" w:eastAsia="Arial" w:hAnsi="Arial"/>
          <w:sz w:val="19"/>
          <w:szCs w:val="19"/>
          <w:color w:val="auto"/>
        </w:rPr>
        <w:t>. The time of payment of any payment of the premium with respect to a Participant under</w:t>
      </w:r>
      <w:r>
        <w:rPr>
          <w:rFonts w:ascii="Arial" w:cs="Arial" w:eastAsia="Arial" w:hAnsi="Arial"/>
          <w:sz w:val="19"/>
          <w:szCs w:val="19"/>
          <w:b w:val="1"/>
          <w:bCs w:val="1"/>
          <w:color w:val="auto"/>
        </w:rPr>
        <w:t xml:space="preserve"> </w:t>
      </w:r>
      <w:r>
        <w:rPr>
          <w:rFonts w:ascii="Arial" w:cs="Arial" w:eastAsia="Arial" w:hAnsi="Arial"/>
          <w:sz w:val="19"/>
          <w:szCs w:val="19"/>
          <w:color w:val="auto"/>
        </w:rPr>
        <w:t>Section 3.2 (and any Tax Gross-Up with respect to any such premium) shall not be subject to acceleration, except as provided under Treasury Regulations promulgated in accordance with Section 409A(a)(3) of the Code.</w:t>
      </w:r>
    </w:p>
    <w:p>
      <w:pPr>
        <w:spacing w:after="0" w:line="138" w:lineRule="exact"/>
        <w:rPr>
          <w:sz w:val="20"/>
          <w:szCs w:val="20"/>
          <w:color w:val="auto"/>
        </w:rPr>
      </w:pPr>
    </w:p>
    <w:p>
      <w:pPr>
        <w:ind w:left="4" w:right="220"/>
        <w:spacing w:after="0" w:line="285" w:lineRule="auto"/>
        <w:rPr>
          <w:sz w:val="20"/>
          <w:szCs w:val="20"/>
          <w:color w:val="auto"/>
        </w:rPr>
      </w:pPr>
      <w:r>
        <w:rPr>
          <w:rFonts w:ascii="Arial" w:cs="Arial" w:eastAsia="Arial" w:hAnsi="Arial"/>
          <w:sz w:val="17"/>
          <w:szCs w:val="17"/>
          <w:color w:val="auto"/>
        </w:rPr>
        <w:t xml:space="preserve">5.2 </w:t>
      </w:r>
      <w:r>
        <w:rPr>
          <w:rFonts w:ascii="Arial" w:cs="Arial" w:eastAsia="Arial" w:hAnsi="Arial"/>
          <w:sz w:val="17"/>
          <w:szCs w:val="17"/>
          <w:b w:val="1"/>
          <w:bCs w:val="1"/>
          <w:i w:val="1"/>
          <w:iCs w:val="1"/>
          <w:color w:val="auto"/>
        </w:rPr>
        <w:t>Short-Term Deferral Exemption</w:t>
      </w:r>
      <w:r>
        <w:rPr>
          <w:rFonts w:ascii="Arial" w:cs="Arial" w:eastAsia="Arial" w:hAnsi="Arial"/>
          <w:sz w:val="17"/>
          <w:szCs w:val="17"/>
          <w:color w:val="auto"/>
        </w:rPr>
        <w:t>. The premium payments under Section 3.1 with respect to a Participant (and any Tax Gross-Up with respect to any such premium) are intended to be short-term deferrals under Treasury Regulation Section 1.409A-1(b)(4) and exempt from Section 409A of the Code. The premium payments under Section 3.1 with respect to a Participant (and any Tax Gross-Up with respect to any such premium) shall be made on or before the last day of the applicable 2 ½ month period, as defined in Treasury Regulation Section 1.409A-1(b)(4).</w:t>
      </w:r>
    </w:p>
    <w:p>
      <w:pPr>
        <w:spacing w:after="0" w:line="123" w:lineRule="exact"/>
        <w:rPr>
          <w:sz w:val="20"/>
          <w:szCs w:val="20"/>
          <w:color w:val="auto"/>
        </w:rPr>
      </w:pPr>
    </w:p>
    <w:p>
      <w:pPr>
        <w:jc w:val="center"/>
        <w:ind w:right="-3"/>
        <w:spacing w:after="0"/>
        <w:rPr>
          <w:sz w:val="20"/>
          <w:szCs w:val="20"/>
          <w:color w:val="auto"/>
        </w:rPr>
      </w:pPr>
      <w:r>
        <w:rPr>
          <w:rFonts w:ascii="Arial" w:cs="Arial" w:eastAsia="Arial" w:hAnsi="Arial"/>
          <w:sz w:val="19"/>
          <w:szCs w:val="19"/>
          <w:b w:val="1"/>
          <w:bCs w:val="1"/>
          <w:color w:val="auto"/>
        </w:rPr>
        <w:t>ARTICLE VI</w:t>
      </w:r>
    </w:p>
    <w:p>
      <w:pPr>
        <w:spacing w:after="0" w:line="20" w:lineRule="exact"/>
        <w:rPr>
          <w:sz w:val="20"/>
          <w:szCs w:val="20"/>
          <w:color w:val="auto"/>
        </w:rPr>
      </w:pPr>
    </w:p>
    <w:p>
      <w:pPr>
        <w:jc w:val="center"/>
        <w:ind w:right="-3"/>
        <w:spacing w:after="0"/>
        <w:rPr>
          <w:sz w:val="20"/>
          <w:szCs w:val="20"/>
          <w:color w:val="auto"/>
        </w:rPr>
      </w:pPr>
      <w:r>
        <w:rPr>
          <w:rFonts w:ascii="Arial" w:cs="Arial" w:eastAsia="Arial" w:hAnsi="Arial"/>
          <w:sz w:val="19"/>
          <w:szCs w:val="19"/>
          <w:b w:val="1"/>
          <w:bCs w:val="1"/>
          <w:color w:val="auto"/>
        </w:rPr>
        <w:t>MISCELLANEOUS</w:t>
      </w:r>
    </w:p>
    <w:p>
      <w:pPr>
        <w:sectPr>
          <w:pgSz w:w="11900" w:h="16838" w:orient="portrait"/>
          <w:cols w:equalWidth="0" w:num="1">
            <w:col w:w="11424"/>
          </w:cols>
          <w:pgMar w:left="236" w:top="120" w:right="239" w:bottom="0" w:gutter="0" w:footer="0" w:header="0"/>
        </w:sectPr>
      </w:pPr>
    </w:p>
    <w:bookmarkStart w:id="62" w:name="page63"/>
    <w:bookmarkEnd w:id="62"/>
    <w:p>
      <w:pPr>
        <w:spacing w:after="0" w:line="274" w:lineRule="auto"/>
        <w:rPr>
          <w:sz w:val="20"/>
          <w:szCs w:val="20"/>
          <w:color w:val="auto"/>
        </w:rPr>
      </w:pPr>
      <w:r>
        <w:rPr>
          <w:rFonts w:ascii="Arial" w:cs="Arial" w:eastAsia="Arial" w:hAnsi="Arial"/>
          <w:sz w:val="17"/>
          <w:szCs w:val="17"/>
          <w:color w:val="auto"/>
        </w:rPr>
        <w:t xml:space="preserve">6.1 </w:t>
      </w:r>
      <w:r>
        <w:rPr>
          <w:rFonts w:ascii="Arial" w:cs="Arial" w:eastAsia="Arial" w:hAnsi="Arial"/>
          <w:sz w:val="17"/>
          <w:szCs w:val="17"/>
          <w:b w:val="1"/>
          <w:bCs w:val="1"/>
          <w:i w:val="1"/>
          <w:iCs w:val="1"/>
          <w:color w:val="auto"/>
        </w:rPr>
        <w:t>Amendment and Termination.</w:t>
      </w:r>
      <w:r>
        <w:rPr>
          <w:rFonts w:ascii="Arial" w:cs="Arial" w:eastAsia="Arial" w:hAnsi="Arial"/>
          <w:sz w:val="17"/>
          <w:szCs w:val="17"/>
          <w:color w:val="auto"/>
        </w:rPr>
        <w:t xml:space="preserve"> This Plan may be amended or terminated, in whole or in part, at any time by written action of the Board, or the Compensation Committee of the Board, in its discretion; provided that any amendment or termination that materially and adversely affects any payments under Article III at the time of such amendment or termination must be consented to in writing by any Participant so affected before it shall have any effect as to that Participant. Notwithstanding the foregoing, the Board, or the Compensation Committee of the Board, may terminate the Plan without the Participants’ consent, provided that (i) such Plan termination is treated for purposes of this Plan as a Separation from Service of all Participants (assuming that each had obtained age 62 with five Years of Service, regardless of whether such requirements were actually met), (ii) the Company pays the premium and Tax Gross-Up, if any, required by Sections 3.2 and 3.4, and (iii) such termination of the Plan and the payment of such premiums and Tax Gross-Up comply with Section 409A of the Code and the Treasury Regulations thereunder.</w:t>
      </w:r>
    </w:p>
    <w:p>
      <w:pPr>
        <w:spacing w:after="0" w:line="126" w:lineRule="exact"/>
        <w:rPr>
          <w:sz w:val="20"/>
          <w:szCs w:val="20"/>
          <w:color w:val="auto"/>
        </w:rPr>
      </w:pPr>
    </w:p>
    <w:p>
      <w:pPr>
        <w:ind w:right="440"/>
        <w:spacing w:after="0" w:line="266" w:lineRule="auto"/>
        <w:rPr>
          <w:sz w:val="20"/>
          <w:szCs w:val="20"/>
          <w:color w:val="auto"/>
        </w:rPr>
      </w:pPr>
      <w:r>
        <w:rPr>
          <w:rFonts w:ascii="Arial" w:cs="Arial" w:eastAsia="Arial" w:hAnsi="Arial"/>
          <w:sz w:val="19"/>
          <w:szCs w:val="19"/>
          <w:color w:val="auto"/>
        </w:rPr>
        <w:t xml:space="preserve">6.2 </w:t>
      </w:r>
      <w:r>
        <w:rPr>
          <w:rFonts w:ascii="Arial" w:cs="Arial" w:eastAsia="Arial" w:hAnsi="Arial"/>
          <w:sz w:val="19"/>
          <w:szCs w:val="19"/>
          <w:b w:val="1"/>
          <w:bCs w:val="1"/>
          <w:i w:val="1"/>
          <w:iCs w:val="1"/>
          <w:color w:val="auto"/>
        </w:rPr>
        <w:t>Binding Effect.</w:t>
      </w:r>
      <w:r>
        <w:rPr>
          <w:rFonts w:ascii="Arial" w:cs="Arial" w:eastAsia="Arial" w:hAnsi="Arial"/>
          <w:sz w:val="19"/>
          <w:szCs w:val="19"/>
          <w:color w:val="auto"/>
        </w:rPr>
        <w:t xml:space="preserve"> This Plan shall bind the Participant and the Company and their beneficiaries, survivors, executors, administrators, and transferees.</w:t>
      </w:r>
    </w:p>
    <w:p>
      <w:pPr>
        <w:spacing w:after="0" w:line="140" w:lineRule="exact"/>
        <w:rPr>
          <w:sz w:val="20"/>
          <w:szCs w:val="20"/>
          <w:color w:val="auto"/>
        </w:rPr>
      </w:pPr>
    </w:p>
    <w:p>
      <w:pPr>
        <w:ind w:right="260"/>
        <w:spacing w:after="0" w:line="272" w:lineRule="auto"/>
        <w:rPr>
          <w:sz w:val="20"/>
          <w:szCs w:val="20"/>
          <w:color w:val="auto"/>
        </w:rPr>
      </w:pPr>
      <w:r>
        <w:rPr>
          <w:rFonts w:ascii="Arial" w:cs="Arial" w:eastAsia="Arial" w:hAnsi="Arial"/>
          <w:sz w:val="18"/>
          <w:szCs w:val="18"/>
          <w:color w:val="auto"/>
        </w:rPr>
        <w:t xml:space="preserve">6.3 </w:t>
      </w:r>
      <w:r>
        <w:rPr>
          <w:rFonts w:ascii="Arial" w:cs="Arial" w:eastAsia="Arial" w:hAnsi="Arial"/>
          <w:sz w:val="18"/>
          <w:szCs w:val="18"/>
          <w:b w:val="1"/>
          <w:bCs w:val="1"/>
          <w:i w:val="1"/>
          <w:iCs w:val="1"/>
          <w:color w:val="auto"/>
        </w:rPr>
        <w:t>No Guarantee of Employment.</w:t>
      </w:r>
      <w:r>
        <w:rPr>
          <w:rFonts w:ascii="Arial" w:cs="Arial" w:eastAsia="Arial" w:hAnsi="Arial"/>
          <w:sz w:val="18"/>
          <w:szCs w:val="18"/>
          <w:color w:val="auto"/>
        </w:rPr>
        <w:t xml:space="preserve"> This Plan is not an employment policy or contract. It does not give the Participant the right to remain an employee of the Company, nor does it interfere with the Company’s right to discharge the Participant, with or without cause. If also does not require the Participant to remain an employee nor interfere with the Participant’s right to terminate employment at any time.</w:t>
      </w:r>
    </w:p>
    <w:p>
      <w:pPr>
        <w:spacing w:after="0" w:line="125" w:lineRule="exact"/>
        <w:rPr>
          <w:sz w:val="20"/>
          <w:szCs w:val="20"/>
          <w:color w:val="auto"/>
        </w:rPr>
      </w:pPr>
    </w:p>
    <w:p>
      <w:pPr>
        <w:ind w:right="340"/>
        <w:spacing w:after="0" w:line="266" w:lineRule="auto"/>
        <w:rPr>
          <w:sz w:val="20"/>
          <w:szCs w:val="20"/>
          <w:color w:val="auto"/>
        </w:rPr>
      </w:pPr>
      <w:r>
        <w:rPr>
          <w:rFonts w:ascii="Arial" w:cs="Arial" w:eastAsia="Arial" w:hAnsi="Arial"/>
          <w:sz w:val="19"/>
          <w:szCs w:val="19"/>
          <w:color w:val="auto"/>
        </w:rPr>
        <w:t xml:space="preserve">6.4 </w:t>
      </w:r>
      <w:r>
        <w:rPr>
          <w:rFonts w:ascii="Arial" w:cs="Arial" w:eastAsia="Arial" w:hAnsi="Arial"/>
          <w:sz w:val="19"/>
          <w:szCs w:val="19"/>
          <w:b w:val="1"/>
          <w:bCs w:val="1"/>
          <w:i w:val="1"/>
          <w:iCs w:val="1"/>
          <w:color w:val="auto"/>
        </w:rPr>
        <w:t>Applicable Law.</w:t>
      </w:r>
      <w:r>
        <w:rPr>
          <w:rFonts w:ascii="Arial" w:cs="Arial" w:eastAsia="Arial" w:hAnsi="Arial"/>
          <w:sz w:val="19"/>
          <w:szCs w:val="19"/>
          <w:color w:val="auto"/>
        </w:rPr>
        <w:t xml:space="preserve"> This Plan and all rights hereunder shall be governed by the internal laws of the State of California without regard to its conflict of laws provisions, except to the extent preempted by the laws of the United States of America.</w:t>
      </w:r>
    </w:p>
    <w:p>
      <w:pPr>
        <w:spacing w:after="0" w:line="128" w:lineRule="exact"/>
        <w:rPr>
          <w:sz w:val="20"/>
          <w:szCs w:val="20"/>
          <w:color w:val="auto"/>
        </w:rPr>
      </w:pPr>
    </w:p>
    <w:p>
      <w:pPr>
        <w:spacing w:after="0"/>
        <w:tabs>
          <w:tab w:leader="none" w:pos="560" w:val="left"/>
        </w:tabs>
        <w:rPr>
          <w:sz w:val="20"/>
          <w:szCs w:val="20"/>
          <w:color w:val="auto"/>
        </w:rPr>
      </w:pPr>
      <w:r>
        <w:rPr>
          <w:rFonts w:ascii="Arial" w:cs="Arial" w:eastAsia="Arial" w:hAnsi="Arial"/>
          <w:sz w:val="19"/>
          <w:szCs w:val="19"/>
          <w:color w:val="auto"/>
        </w:rPr>
        <w:t>6.5</w:t>
      </w:r>
      <w:r>
        <w:rPr>
          <w:sz w:val="20"/>
          <w:szCs w:val="20"/>
          <w:color w:val="auto"/>
        </w:rPr>
        <w:tab/>
      </w:r>
      <w:r>
        <w:rPr>
          <w:rFonts w:ascii="Arial" w:cs="Arial" w:eastAsia="Arial" w:hAnsi="Arial"/>
          <w:sz w:val="17"/>
          <w:szCs w:val="17"/>
          <w:b w:val="1"/>
          <w:bCs w:val="1"/>
          <w:i w:val="1"/>
          <w:iCs w:val="1"/>
          <w:color w:val="auto"/>
        </w:rPr>
        <w:t>Non-Transferability.</w:t>
      </w:r>
    </w:p>
    <w:p>
      <w:pPr>
        <w:spacing w:after="0" w:line="190" w:lineRule="exact"/>
        <w:rPr>
          <w:sz w:val="20"/>
          <w:szCs w:val="20"/>
          <w:color w:val="auto"/>
        </w:rPr>
      </w:pPr>
    </w:p>
    <w:p>
      <w:pPr>
        <w:ind w:right="60" w:firstLine="573"/>
        <w:spacing w:after="0" w:line="266" w:lineRule="auto"/>
        <w:tabs>
          <w:tab w:leader="none" w:pos="865" w:val="left"/>
        </w:tabs>
        <w:numPr>
          <w:ilvl w:val="0"/>
          <w:numId w:val="32"/>
        </w:numPr>
        <w:rPr>
          <w:rFonts w:ascii="Arial" w:cs="Arial" w:eastAsia="Arial" w:hAnsi="Arial"/>
          <w:sz w:val="19"/>
          <w:szCs w:val="19"/>
          <w:color w:val="auto"/>
        </w:rPr>
      </w:pPr>
      <w:r>
        <w:rPr>
          <w:rFonts w:ascii="Arial" w:cs="Arial" w:eastAsia="Arial" w:hAnsi="Arial"/>
          <w:sz w:val="19"/>
          <w:szCs w:val="19"/>
          <w:color w:val="auto"/>
        </w:rPr>
        <w:t>Prior to the Participant’s termination of employment, benefits under this Plan cannot be sold, transferred, or assigned and the Participant cannot withdraw the cash surrender value of the policy.</w:t>
      </w:r>
    </w:p>
    <w:p>
      <w:pPr>
        <w:spacing w:after="0" w:line="128" w:lineRule="exact"/>
        <w:rPr>
          <w:rFonts w:ascii="Arial" w:cs="Arial" w:eastAsia="Arial" w:hAnsi="Arial"/>
          <w:sz w:val="19"/>
          <w:szCs w:val="19"/>
          <w:color w:val="auto"/>
        </w:rPr>
      </w:pPr>
    </w:p>
    <w:p>
      <w:pPr>
        <w:ind w:right="240" w:firstLine="573"/>
        <w:spacing w:after="0" w:line="266" w:lineRule="auto"/>
        <w:tabs>
          <w:tab w:leader="none" w:pos="865" w:val="left"/>
        </w:tabs>
        <w:numPr>
          <w:ilvl w:val="0"/>
          <w:numId w:val="32"/>
        </w:numPr>
        <w:rPr>
          <w:rFonts w:ascii="Arial" w:cs="Arial" w:eastAsia="Arial" w:hAnsi="Arial"/>
          <w:sz w:val="19"/>
          <w:szCs w:val="19"/>
          <w:color w:val="auto"/>
        </w:rPr>
      </w:pPr>
      <w:r>
        <w:rPr>
          <w:rFonts w:ascii="Arial" w:cs="Arial" w:eastAsia="Arial" w:hAnsi="Arial"/>
          <w:sz w:val="19"/>
          <w:szCs w:val="19"/>
          <w:color w:val="auto"/>
        </w:rPr>
        <w:t>The previous sentence shall not in any way limit or prohibit the right of a Participant to transfer ownership of the life insurance policy described in this Plan to a trust for which the Participant is the grantor.</w:t>
      </w:r>
    </w:p>
    <w:p>
      <w:pPr>
        <w:spacing w:after="0" w:line="128" w:lineRule="exact"/>
        <w:rPr>
          <w:sz w:val="20"/>
          <w:szCs w:val="20"/>
          <w:color w:val="auto"/>
        </w:rPr>
      </w:pPr>
    </w:p>
    <w:p>
      <w:pPr>
        <w:spacing w:after="0" w:line="252" w:lineRule="auto"/>
        <w:rPr>
          <w:sz w:val="20"/>
          <w:szCs w:val="20"/>
          <w:color w:val="auto"/>
        </w:rPr>
      </w:pPr>
      <w:r>
        <w:rPr>
          <w:rFonts w:ascii="Arial" w:cs="Arial" w:eastAsia="Arial" w:hAnsi="Arial"/>
          <w:sz w:val="19"/>
          <w:szCs w:val="19"/>
          <w:color w:val="auto"/>
        </w:rPr>
        <w:t xml:space="preserve">6.6 </w:t>
      </w:r>
      <w:r>
        <w:rPr>
          <w:rFonts w:ascii="Arial" w:cs="Arial" w:eastAsia="Arial" w:hAnsi="Arial"/>
          <w:sz w:val="19"/>
          <w:szCs w:val="19"/>
          <w:b w:val="1"/>
          <w:bCs w:val="1"/>
          <w:i w:val="1"/>
          <w:iCs w:val="1"/>
          <w:color w:val="auto"/>
        </w:rPr>
        <w:t>Named Fiduciary.</w:t>
      </w:r>
      <w:r>
        <w:rPr>
          <w:rFonts w:ascii="Arial" w:cs="Arial" w:eastAsia="Arial" w:hAnsi="Arial"/>
          <w:sz w:val="19"/>
          <w:szCs w:val="19"/>
          <w:color w:val="auto"/>
        </w:rPr>
        <w:t xml:space="preserve"> The Company shall be the named fiduciary and plan administrator under this Plan. The named fiduciary may delegate to others certain aspects of the management and operation responsibilities of the plan including the employment of advisors and the delegation of ministerial duties to qualified individuals.</w:t>
      </w:r>
    </w:p>
    <w:p>
      <w:pPr>
        <w:spacing w:after="0" w:line="219" w:lineRule="exact"/>
        <w:rPr>
          <w:sz w:val="20"/>
          <w:szCs w:val="20"/>
          <w:color w:val="auto"/>
        </w:rPr>
      </w:pPr>
    </w:p>
    <w:p>
      <w:pPr>
        <w:spacing w:after="0"/>
        <w:rPr>
          <w:sz w:val="20"/>
          <w:szCs w:val="20"/>
          <w:color w:val="auto"/>
        </w:rPr>
      </w:pPr>
      <w:r>
        <w:rPr>
          <w:rFonts w:ascii="Arial" w:cs="Arial" w:eastAsia="Arial" w:hAnsi="Arial"/>
          <w:sz w:val="19"/>
          <w:szCs w:val="19"/>
          <w:color w:val="auto"/>
        </w:rPr>
        <w:t>IN WITNESS WHEREOF, the Company has executed this amendment and restatement of the Plan as of December 12</w:t>
      </w:r>
      <w:r>
        <w:rPr>
          <w:rFonts w:ascii="Arial" w:cs="Arial" w:eastAsia="Arial" w:hAnsi="Arial"/>
          <w:sz w:val="32"/>
          <w:szCs w:val="32"/>
          <w:color w:val="auto"/>
          <w:vertAlign w:val="superscript"/>
        </w:rPr>
        <w:t>th</w:t>
      </w:r>
      <w:r>
        <w:rPr>
          <w:rFonts w:ascii="Arial" w:cs="Arial" w:eastAsia="Arial" w:hAnsi="Arial"/>
          <w:sz w:val="19"/>
          <w:szCs w:val="19"/>
          <w:color w:val="auto"/>
        </w:rPr>
        <w:t>, 2008.</w:t>
      </w:r>
    </w:p>
    <w:p>
      <w:pPr>
        <w:spacing w:after="0" w:line="76" w:lineRule="exact"/>
        <w:rPr>
          <w:sz w:val="20"/>
          <w:szCs w:val="20"/>
          <w:color w:val="auto"/>
        </w:rPr>
      </w:pPr>
    </w:p>
    <w:p>
      <w:pPr>
        <w:ind w:left="3460"/>
        <w:spacing w:after="0"/>
        <w:rPr>
          <w:sz w:val="20"/>
          <w:szCs w:val="20"/>
          <w:color w:val="auto"/>
        </w:rPr>
      </w:pPr>
      <w:r>
        <w:rPr>
          <w:rFonts w:ascii="Arial" w:cs="Arial" w:eastAsia="Arial" w:hAnsi="Arial"/>
          <w:sz w:val="19"/>
          <w:szCs w:val="19"/>
          <w:b w:val="1"/>
          <w:bCs w:val="1"/>
          <w:color w:val="auto"/>
        </w:rPr>
        <w:t>SEMPRA ENERGY</w:t>
      </w:r>
    </w:p>
    <w:p>
      <w:pPr>
        <w:spacing w:after="0" w:line="388" w:lineRule="exact"/>
        <w:rPr>
          <w:sz w:val="20"/>
          <w:szCs w:val="20"/>
          <w:color w:val="auto"/>
        </w:rPr>
      </w:pPr>
    </w:p>
    <w:p>
      <w:pPr>
        <w:ind w:left="3460"/>
        <w:spacing w:after="0"/>
        <w:rPr>
          <w:sz w:val="20"/>
          <w:szCs w:val="20"/>
          <w:color w:val="auto"/>
        </w:rPr>
      </w:pPr>
      <w:r>
        <w:rPr>
          <w:rFonts w:ascii="Arial" w:cs="Arial" w:eastAsia="Arial" w:hAnsi="Arial"/>
          <w:sz w:val="19"/>
          <w:szCs w:val="19"/>
          <w:color w:val="auto"/>
        </w:rPr>
        <w:t>By:</w:t>
      </w:r>
    </w:p>
    <w:p>
      <w:pPr>
        <w:spacing w:after="0" w:line="52" w:lineRule="exact"/>
        <w:rPr>
          <w:sz w:val="20"/>
          <w:szCs w:val="20"/>
          <w:color w:val="auto"/>
        </w:rPr>
      </w:pPr>
    </w:p>
    <w:p>
      <w:pPr>
        <w:ind w:left="3780"/>
        <w:spacing w:after="0"/>
        <w:rPr>
          <w:sz w:val="20"/>
          <w:szCs w:val="20"/>
          <w:color w:val="auto"/>
        </w:rPr>
      </w:pPr>
      <w:r>
        <w:rPr>
          <w:rFonts w:ascii="Arial" w:cs="Arial" w:eastAsia="Arial" w:hAnsi="Arial"/>
          <w:sz w:val="16"/>
          <w:szCs w:val="16"/>
          <w:color w:val="auto"/>
        </w:rPr>
        <w:t>G. Joyce Rowland</w:t>
      </w:r>
    </w:p>
    <w:p>
      <w:pPr>
        <w:spacing w:after="0" w:line="18" w:lineRule="exact"/>
        <w:rPr>
          <w:sz w:val="20"/>
          <w:szCs w:val="20"/>
          <w:color w:val="auto"/>
        </w:rPr>
      </w:pPr>
    </w:p>
    <w:p>
      <w:pPr>
        <w:ind w:left="3800"/>
        <w:spacing w:after="0"/>
        <w:rPr>
          <w:sz w:val="20"/>
          <w:szCs w:val="20"/>
          <w:color w:val="auto"/>
        </w:rPr>
      </w:pPr>
      <w:r>
        <w:rPr>
          <w:rFonts w:ascii="Arial" w:cs="Arial" w:eastAsia="Arial" w:hAnsi="Arial"/>
          <w:sz w:val="19"/>
          <w:szCs w:val="19"/>
          <w:color w:val="auto"/>
        </w:rPr>
        <w:t>Sr. Vice President, Human Resources</w:t>
      </w:r>
    </w:p>
    <w:p>
      <w:pPr>
        <w:sectPr>
          <w:pgSz w:w="11900" w:h="16838" w:orient="portrait"/>
          <w:cols w:equalWidth="0" w:num="1">
            <w:col w:w="11400"/>
          </w:cols>
          <w:pgMar w:left="240" w:top="120" w:right="259" w:bottom="1440" w:gutter="0" w:footer="0" w:header="0"/>
        </w:sectPr>
      </w:pPr>
    </w:p>
    <w:bookmarkStart w:id="63" w:name="page64"/>
    <w:bookmarkEnd w:id="63"/>
    <w:tbl>
      <w:tblPr>
        <w:tblLayout w:type="fixed"/>
        <w:tblInd w:w="650" w:type="dxa"/>
        <w:tblCellMar>
          <w:top w:w="0" w:type="dxa"/>
          <w:left w:w="0" w:type="dxa"/>
          <w:bottom w:w="0" w:type="dxa"/>
          <w:right w:w="0" w:type="dxa"/>
        </w:tblCellMar>
      </w:tblPr>
      <w:tr>
        <w:trPr>
          <w:trHeight w:val="218"/>
        </w:trPr>
        <w:tc>
          <w:tcPr>
            <w:tcW w:w="15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860" w:type="dxa"/>
            <w:vAlign w:val="bottom"/>
            <w:gridSpan w:val="6"/>
          </w:tcPr>
          <w:p>
            <w:pPr>
              <w:ind w:left="560"/>
              <w:spacing w:after="0"/>
              <w:rPr>
                <w:sz w:val="20"/>
                <w:szCs w:val="20"/>
                <w:color w:val="auto"/>
              </w:rPr>
            </w:pPr>
            <w:r>
              <w:rPr>
                <w:rFonts w:ascii="Arial" w:cs="Arial" w:eastAsia="Arial" w:hAnsi="Arial"/>
                <w:sz w:val="19"/>
                <w:szCs w:val="19"/>
                <w:b w:val="1"/>
                <w:bCs w:val="1"/>
                <w:color w:val="auto"/>
              </w:rPr>
              <w:t>Exhibit A</w:t>
            </w:r>
          </w:p>
        </w:tc>
      </w:tr>
      <w:tr>
        <w:trPr>
          <w:trHeight w:val="440"/>
        </w:trPr>
        <w:tc>
          <w:tcPr>
            <w:tcW w:w="15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420" w:type="dxa"/>
            <w:vAlign w:val="bottom"/>
            <w:tcBorders>
              <w:top w:val="single" w:sz="8" w:color="auto"/>
              <w:bottom w:val="single" w:sz="8" w:color="auto"/>
            </w:tcBorders>
          </w:tcPr>
          <w:p>
            <w:pPr>
              <w:spacing w:after="0"/>
              <w:rPr>
                <w:sz w:val="24"/>
                <w:szCs w:val="24"/>
                <w:color w:val="auto"/>
              </w:rPr>
            </w:pPr>
          </w:p>
        </w:tc>
        <w:tc>
          <w:tcPr>
            <w:tcW w:w="380" w:type="dxa"/>
            <w:vAlign w:val="bottom"/>
            <w:tcBorders>
              <w:top w:val="single" w:sz="8" w:color="auto"/>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r>
      <w:tr>
        <w:trPr>
          <w:trHeight w:val="281"/>
        </w:trPr>
        <w:tc>
          <w:tcPr>
            <w:tcW w:w="1520" w:type="dxa"/>
            <w:vAlign w:val="bottom"/>
            <w:tcBorders>
              <w:left w:val="single" w:sz="8" w:color="auto"/>
            </w:tcBorders>
          </w:tcPr>
          <w:p>
            <w:pPr>
              <w:spacing w:after="0"/>
              <w:rPr>
                <w:sz w:val="24"/>
                <w:szCs w:val="24"/>
                <w:color w:val="auto"/>
              </w:rPr>
            </w:pPr>
          </w:p>
        </w:tc>
        <w:tc>
          <w:tcPr>
            <w:tcW w:w="8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20" w:type="dxa"/>
            <w:vAlign w:val="bottom"/>
            <w:tcBorders>
              <w:right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3500" w:type="dxa"/>
            <w:vAlign w:val="bottom"/>
            <w:tcBorders>
              <w:right w:val="single" w:sz="8" w:color="auto"/>
            </w:tcBorders>
            <w:gridSpan w:val="3"/>
          </w:tcPr>
          <w:p>
            <w:pPr>
              <w:jc w:val="center"/>
              <w:ind w:right="480"/>
              <w:spacing w:after="0"/>
              <w:rPr>
                <w:sz w:val="20"/>
                <w:szCs w:val="20"/>
                <w:color w:val="auto"/>
              </w:rPr>
            </w:pPr>
            <w:r>
              <w:rPr>
                <w:rFonts w:ascii="Arial" w:cs="Arial" w:eastAsia="Arial" w:hAnsi="Arial"/>
                <w:sz w:val="19"/>
                <w:szCs w:val="19"/>
                <w:color w:val="auto"/>
                <w:w w:val="89"/>
              </w:rPr>
              <w:t>December 31, 2008</w:t>
            </w:r>
          </w:p>
        </w:tc>
      </w:tr>
      <w:tr>
        <w:trPr>
          <w:trHeight w:val="199"/>
        </w:trPr>
        <w:tc>
          <w:tcPr>
            <w:tcW w:w="2920" w:type="dxa"/>
            <w:vAlign w:val="bottom"/>
            <w:tcBorders>
              <w:left w:val="single" w:sz="8" w:color="auto"/>
            </w:tcBorders>
            <w:gridSpan w:val="3"/>
          </w:tcPr>
          <w:p>
            <w:pPr>
              <w:ind w:left="1520"/>
              <w:spacing w:after="0" w:line="199" w:lineRule="exact"/>
              <w:rPr>
                <w:sz w:val="20"/>
                <w:szCs w:val="20"/>
                <w:color w:val="auto"/>
              </w:rPr>
            </w:pPr>
            <w:r>
              <w:rPr>
                <w:rFonts w:ascii="Arial" w:cs="Arial" w:eastAsia="Arial" w:hAnsi="Arial"/>
                <w:sz w:val="19"/>
                <w:szCs w:val="19"/>
                <w:color w:val="auto"/>
              </w:rPr>
              <w:t>Participant</w:t>
            </w:r>
          </w:p>
        </w:tc>
        <w:tc>
          <w:tcPr>
            <w:tcW w:w="560" w:type="dxa"/>
            <w:vAlign w:val="bottom"/>
          </w:tcPr>
          <w:p>
            <w:pPr>
              <w:spacing w:after="0"/>
              <w:rPr>
                <w:sz w:val="17"/>
                <w:szCs w:val="17"/>
                <w:color w:val="auto"/>
              </w:rPr>
            </w:pPr>
          </w:p>
        </w:tc>
        <w:tc>
          <w:tcPr>
            <w:tcW w:w="420" w:type="dxa"/>
            <w:vAlign w:val="bottom"/>
            <w:tcBorders>
              <w:right w:val="single" w:sz="8" w:color="auto"/>
            </w:tcBorders>
          </w:tcPr>
          <w:p>
            <w:pPr>
              <w:spacing w:after="0"/>
              <w:rPr>
                <w:sz w:val="17"/>
                <w:szCs w:val="17"/>
                <w:color w:val="auto"/>
              </w:rPr>
            </w:pPr>
          </w:p>
        </w:tc>
        <w:tc>
          <w:tcPr>
            <w:tcW w:w="3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680" w:type="dxa"/>
            <w:vAlign w:val="bottom"/>
            <w:tcBorders>
              <w:right w:val="single" w:sz="8" w:color="auto"/>
            </w:tcBorders>
            <w:gridSpan w:val="2"/>
          </w:tcPr>
          <w:p>
            <w:pPr>
              <w:jc w:val="center"/>
              <w:ind w:right="1260"/>
              <w:spacing w:after="0" w:line="199" w:lineRule="exact"/>
              <w:rPr>
                <w:sz w:val="20"/>
                <w:szCs w:val="20"/>
                <w:color w:val="auto"/>
              </w:rPr>
            </w:pPr>
            <w:r>
              <w:rPr>
                <w:rFonts w:ascii="Arial" w:cs="Arial" w:eastAsia="Arial" w:hAnsi="Arial"/>
                <w:sz w:val="19"/>
                <w:szCs w:val="19"/>
                <w:color w:val="auto"/>
                <w:w w:val="92"/>
              </w:rPr>
              <w:t>Policy Cash Value</w:t>
            </w:r>
          </w:p>
        </w:tc>
      </w:tr>
      <w:tr>
        <w:trPr>
          <w:trHeight w:val="120"/>
        </w:trPr>
        <w:tc>
          <w:tcPr>
            <w:tcW w:w="1520" w:type="dxa"/>
            <w:vAlign w:val="bottom"/>
            <w:tcBorders>
              <w:left w:val="single" w:sz="8" w:color="auto"/>
              <w:bottom w:val="single" w:sz="8" w:color="auto"/>
            </w:tcBorders>
          </w:tcPr>
          <w:p>
            <w:pPr>
              <w:spacing w:after="0"/>
              <w:rPr>
                <w:sz w:val="10"/>
                <w:szCs w:val="10"/>
                <w:color w:val="auto"/>
              </w:rPr>
            </w:pPr>
          </w:p>
        </w:tc>
        <w:tc>
          <w:tcPr>
            <w:tcW w:w="840" w:type="dxa"/>
            <w:vAlign w:val="bottom"/>
            <w:tcBorders>
              <w:top w:val="single" w:sz="8" w:color="auto"/>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420" w:type="dxa"/>
            <w:vAlign w:val="bottom"/>
            <w:tcBorders>
              <w:bottom w:val="single" w:sz="8" w:color="auto"/>
              <w:right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spacing w:after="0"/>
              <w:rPr>
                <w:sz w:val="10"/>
                <w:szCs w:val="10"/>
                <w:color w:val="auto"/>
              </w:rPr>
            </w:pPr>
          </w:p>
        </w:tc>
        <w:tc>
          <w:tcPr>
            <w:tcW w:w="1420" w:type="dxa"/>
            <w:vAlign w:val="bottom"/>
            <w:tcBorders>
              <w:top w:val="single" w:sz="8" w:color="auto"/>
              <w:bottom w:val="single" w:sz="8" w:color="auto"/>
            </w:tcBorders>
          </w:tcPr>
          <w:p>
            <w:pPr>
              <w:spacing w:after="0"/>
              <w:rPr>
                <w:sz w:val="10"/>
                <w:szCs w:val="10"/>
                <w:color w:val="auto"/>
              </w:rPr>
            </w:pPr>
          </w:p>
        </w:tc>
        <w:tc>
          <w:tcPr>
            <w:tcW w:w="1260" w:type="dxa"/>
            <w:vAlign w:val="bottom"/>
            <w:tcBorders>
              <w:bottom w:val="single" w:sz="8" w:color="auto"/>
              <w:right w:val="single" w:sz="8" w:color="auto"/>
            </w:tcBorders>
          </w:tcPr>
          <w:p>
            <w:pPr>
              <w:spacing w:after="0"/>
              <w:rPr>
                <w:sz w:val="10"/>
                <w:szCs w:val="10"/>
                <w:color w:val="auto"/>
              </w:rPr>
            </w:pPr>
          </w:p>
        </w:tc>
      </w:tr>
      <w:tr>
        <w:trPr>
          <w:trHeight w:val="56"/>
        </w:trPr>
        <w:tc>
          <w:tcPr>
            <w:tcW w:w="1520" w:type="dxa"/>
            <w:vAlign w:val="bottom"/>
            <w:tcBorders>
              <w:left w:val="single" w:sz="8" w:color="auto"/>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420" w:type="dxa"/>
            <w:vAlign w:val="bottom"/>
            <w:tcBorders>
              <w:bottom w:val="single" w:sz="8" w:color="auto"/>
              <w:right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420" w:type="dxa"/>
            <w:vAlign w:val="bottom"/>
            <w:tcBorders>
              <w:bottom w:val="single" w:sz="8" w:color="auto"/>
            </w:tcBorders>
          </w:tcPr>
          <w:p>
            <w:pPr>
              <w:spacing w:after="0"/>
              <w:rPr>
                <w:sz w:val="4"/>
                <w:szCs w:val="4"/>
                <w:color w:val="auto"/>
              </w:rPr>
            </w:pPr>
          </w:p>
        </w:tc>
        <w:tc>
          <w:tcPr>
            <w:tcW w:w="1260" w:type="dxa"/>
            <w:vAlign w:val="bottom"/>
            <w:tcBorders>
              <w:bottom w:val="single" w:sz="8" w:color="auto"/>
              <w:right w:val="single" w:sz="8" w:color="auto"/>
            </w:tcBorders>
          </w:tcPr>
          <w:p>
            <w:pPr>
              <w:spacing w:after="0"/>
              <w:rPr>
                <w:sz w:val="4"/>
                <w:szCs w:val="4"/>
                <w:color w:val="auto"/>
              </w:rPr>
            </w:pPr>
          </w:p>
        </w:tc>
      </w:tr>
      <w:tr>
        <w:trPr>
          <w:trHeight w:val="52"/>
        </w:trPr>
        <w:tc>
          <w:tcPr>
            <w:tcW w:w="1520" w:type="dxa"/>
            <w:vAlign w:val="bottom"/>
            <w:tcBorders>
              <w:left w:val="single" w:sz="8" w:color="auto"/>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420" w:type="dxa"/>
            <w:vAlign w:val="bottom"/>
            <w:tcBorders>
              <w:bottom w:val="single" w:sz="8" w:color="auto"/>
              <w:right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420" w:type="dxa"/>
            <w:vAlign w:val="bottom"/>
            <w:tcBorders>
              <w:bottom w:val="single" w:sz="8" w:color="auto"/>
            </w:tcBorders>
          </w:tcPr>
          <w:p>
            <w:pPr>
              <w:spacing w:after="0"/>
              <w:rPr>
                <w:sz w:val="4"/>
                <w:szCs w:val="4"/>
                <w:color w:val="auto"/>
              </w:rPr>
            </w:pPr>
          </w:p>
        </w:tc>
        <w:tc>
          <w:tcPr>
            <w:tcW w:w="1260" w:type="dxa"/>
            <w:vAlign w:val="bottom"/>
            <w:tcBorders>
              <w:bottom w:val="single" w:sz="8" w:color="auto"/>
              <w:right w:val="single" w:sz="8" w:color="auto"/>
            </w:tcBorders>
          </w:tcPr>
          <w:p>
            <w:pPr>
              <w:spacing w:after="0"/>
              <w:rPr>
                <w:sz w:val="4"/>
                <w:szCs w:val="4"/>
                <w:color w:val="auto"/>
              </w:rPr>
            </w:pPr>
          </w:p>
        </w:tc>
      </w:tr>
      <w:tr>
        <w:trPr>
          <w:trHeight w:val="52"/>
        </w:trPr>
        <w:tc>
          <w:tcPr>
            <w:tcW w:w="1520" w:type="dxa"/>
            <w:vAlign w:val="bottom"/>
            <w:tcBorders>
              <w:left w:val="single" w:sz="8" w:color="auto"/>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420" w:type="dxa"/>
            <w:vAlign w:val="bottom"/>
            <w:tcBorders>
              <w:bottom w:val="single" w:sz="8" w:color="auto"/>
              <w:right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420" w:type="dxa"/>
            <w:vAlign w:val="bottom"/>
            <w:tcBorders>
              <w:bottom w:val="single" w:sz="8" w:color="auto"/>
            </w:tcBorders>
          </w:tcPr>
          <w:p>
            <w:pPr>
              <w:spacing w:after="0"/>
              <w:rPr>
                <w:sz w:val="4"/>
                <w:szCs w:val="4"/>
                <w:color w:val="auto"/>
              </w:rPr>
            </w:pPr>
          </w:p>
        </w:tc>
        <w:tc>
          <w:tcPr>
            <w:tcW w:w="1260" w:type="dxa"/>
            <w:vAlign w:val="bottom"/>
            <w:tcBorders>
              <w:bottom w:val="single" w:sz="8" w:color="auto"/>
              <w:right w:val="single" w:sz="8" w:color="auto"/>
            </w:tcBorders>
          </w:tcPr>
          <w:p>
            <w:pPr>
              <w:spacing w:after="0"/>
              <w:rPr>
                <w:sz w:val="4"/>
                <w:szCs w:val="4"/>
                <w:color w:val="auto"/>
              </w:rPr>
            </w:pPr>
          </w:p>
        </w:tc>
      </w:tr>
      <w:tr>
        <w:trPr>
          <w:trHeight w:val="52"/>
        </w:trPr>
        <w:tc>
          <w:tcPr>
            <w:tcW w:w="1520" w:type="dxa"/>
            <w:vAlign w:val="bottom"/>
            <w:tcBorders>
              <w:left w:val="single" w:sz="8" w:color="auto"/>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420" w:type="dxa"/>
            <w:vAlign w:val="bottom"/>
            <w:tcBorders>
              <w:bottom w:val="single" w:sz="8" w:color="auto"/>
              <w:right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420" w:type="dxa"/>
            <w:vAlign w:val="bottom"/>
            <w:tcBorders>
              <w:bottom w:val="single" w:sz="8" w:color="auto"/>
            </w:tcBorders>
          </w:tcPr>
          <w:p>
            <w:pPr>
              <w:spacing w:after="0"/>
              <w:rPr>
                <w:sz w:val="4"/>
                <w:szCs w:val="4"/>
                <w:color w:val="auto"/>
              </w:rPr>
            </w:pPr>
          </w:p>
        </w:tc>
        <w:tc>
          <w:tcPr>
            <w:tcW w:w="1260" w:type="dxa"/>
            <w:vAlign w:val="bottom"/>
            <w:tcBorders>
              <w:bottom w:val="single" w:sz="8" w:color="auto"/>
              <w:right w:val="single" w:sz="8" w:color="auto"/>
            </w:tcBorders>
          </w:tcPr>
          <w:p>
            <w:pPr>
              <w:spacing w:after="0"/>
              <w:rPr>
                <w:sz w:val="4"/>
                <w:szCs w:val="4"/>
                <w:color w:val="auto"/>
              </w:rPr>
            </w:pPr>
          </w:p>
        </w:tc>
      </w:tr>
    </w:tbl>
    <w:p>
      <w:pPr>
        <w:sectPr>
          <w:pgSz w:w="11900" w:h="16838" w:orient="portrait"/>
          <w:cols w:equalWidth="0" w:num="1">
            <w:col w:w="9019"/>
          </w:cols>
          <w:pgMar w:left="1440" w:top="486" w:right="1440" w:bottom="1440" w:gutter="0" w:footer="0" w:header="0"/>
        </w:sectPr>
      </w:pPr>
    </w:p>
    <w:bookmarkStart w:id="64" w:name="page65"/>
    <w:bookmarkEnd w:id="64"/>
    <w:p>
      <w:pPr>
        <w:jc w:val="right"/>
        <w:spacing w:after="0"/>
        <w:rPr>
          <w:sz w:val="20"/>
          <w:szCs w:val="20"/>
          <w:color w:val="auto"/>
        </w:rPr>
      </w:pPr>
      <w:r>
        <w:rPr>
          <w:rFonts w:ascii="Arial" w:cs="Arial" w:eastAsia="Arial" w:hAnsi="Arial"/>
          <w:sz w:val="19"/>
          <w:szCs w:val="19"/>
          <w:b w:val="1"/>
          <w:bCs w:val="1"/>
          <w:color w:val="auto"/>
        </w:rPr>
        <w:t>Exhibit 10.16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200"/>
        <w:spacing w:after="0"/>
        <w:rPr>
          <w:sz w:val="20"/>
          <w:szCs w:val="20"/>
          <w:color w:val="auto"/>
        </w:rPr>
      </w:pPr>
      <w:r>
        <w:rPr>
          <w:rFonts w:ascii="Arial" w:cs="Arial" w:eastAsia="Arial" w:hAnsi="Arial"/>
          <w:sz w:val="29"/>
          <w:szCs w:val="29"/>
          <w:b w:val="1"/>
          <w:bCs w:val="1"/>
          <w:color w:val="auto"/>
        </w:rPr>
        <w:t>AMENDMENT AND RESTATEMENT OF THE</w:t>
      </w:r>
    </w:p>
    <w:p>
      <w:pPr>
        <w:jc w:val="center"/>
        <w:ind w:right="1200"/>
        <w:spacing w:after="0" w:line="232" w:lineRule="auto"/>
        <w:rPr>
          <w:sz w:val="20"/>
          <w:szCs w:val="20"/>
          <w:color w:val="auto"/>
        </w:rPr>
      </w:pPr>
      <w:r>
        <w:rPr>
          <w:rFonts w:ascii="Arial" w:cs="Arial" w:eastAsia="Arial" w:hAnsi="Arial"/>
          <w:sz w:val="29"/>
          <w:szCs w:val="29"/>
          <w:b w:val="1"/>
          <w:bCs w:val="1"/>
          <w:color w:val="auto"/>
        </w:rPr>
        <w:t>SEMPRA ENERGY</w:t>
      </w:r>
    </w:p>
    <w:p>
      <w:pPr>
        <w:spacing w:after="0" w:line="1" w:lineRule="exact"/>
        <w:rPr>
          <w:sz w:val="20"/>
          <w:szCs w:val="20"/>
          <w:color w:val="auto"/>
        </w:rPr>
      </w:pPr>
    </w:p>
    <w:p>
      <w:pPr>
        <w:jc w:val="center"/>
        <w:ind w:right="1200"/>
        <w:spacing w:after="0"/>
        <w:rPr>
          <w:sz w:val="20"/>
          <w:szCs w:val="20"/>
          <w:color w:val="auto"/>
        </w:rPr>
      </w:pPr>
      <w:r>
        <w:rPr>
          <w:rFonts w:ascii="Arial" w:cs="Arial" w:eastAsia="Arial" w:hAnsi="Arial"/>
          <w:sz w:val="29"/>
          <w:szCs w:val="29"/>
          <w:b w:val="1"/>
          <w:bCs w:val="1"/>
          <w:color w:val="auto"/>
        </w:rPr>
        <w:t>CASH BALANCE RESTORATION PLAN</w:t>
      </w:r>
    </w:p>
    <w:p>
      <w:pPr>
        <w:sectPr>
          <w:pgSz w:w="11900" w:h="16838" w:orient="portrait"/>
          <w:cols w:equalWidth="0" w:num="1">
            <w:col w:w="10240"/>
          </w:cols>
          <w:pgMar w:left="1440" w:top="499" w:right="219" w:bottom="1440" w:gutter="0" w:footer="0" w:header="0"/>
        </w:sectPr>
      </w:pPr>
    </w:p>
    <w:bookmarkStart w:id="65" w:name="page66"/>
    <w:bookmarkEnd w:id="65"/>
    <w:p>
      <w:pPr>
        <w:jc w:val="right"/>
        <w:ind w:right="3659"/>
        <w:spacing w:after="0"/>
        <w:rPr>
          <w:sz w:val="20"/>
          <w:szCs w:val="20"/>
          <w:color w:val="auto"/>
        </w:rPr>
      </w:pPr>
      <w:r>
        <w:rPr>
          <w:rFonts w:ascii="Arial" w:cs="Arial" w:eastAsia="Arial" w:hAnsi="Arial"/>
          <w:sz w:val="22"/>
          <w:szCs w:val="22"/>
          <w:b w:val="1"/>
          <w:bCs w:val="1"/>
          <w:color w:val="auto"/>
        </w:rPr>
        <w:t>Table of Contents</w:t>
      </w:r>
    </w:p>
    <w:p>
      <w:pPr>
        <w:spacing w:after="0" w:line="398" w:lineRule="exact"/>
        <w:rPr>
          <w:sz w:val="20"/>
          <w:szCs w:val="20"/>
          <w:color w:val="auto"/>
        </w:rPr>
      </w:pPr>
    </w:p>
    <w:p>
      <w:pPr>
        <w:ind w:left="364" w:hanging="364"/>
        <w:spacing w:after="0"/>
        <w:tabs>
          <w:tab w:leader="none" w:pos="364" w:val="left"/>
        </w:tabs>
        <w:numPr>
          <w:ilvl w:val="0"/>
          <w:numId w:val="33"/>
        </w:numPr>
        <w:rPr>
          <w:rFonts w:ascii="Arial" w:cs="Arial" w:eastAsia="Arial" w:hAnsi="Arial"/>
          <w:sz w:val="19"/>
          <w:szCs w:val="19"/>
          <w:u w:val="single" w:color="auto"/>
          <w:color w:val="0000EE"/>
        </w:rPr>
      </w:pPr>
      <w:hyperlink w:anchor="page66">
        <w:r>
          <w:rPr>
            <w:rFonts w:ascii="Arial" w:cs="Arial" w:eastAsia="Arial" w:hAnsi="Arial"/>
            <w:sz w:val="19"/>
            <w:szCs w:val="19"/>
            <w:u w:val="single" w:color="auto"/>
            <w:color w:val="0000EE"/>
          </w:rPr>
          <w:t>EFFECTIVE DATE</w:t>
        </w:r>
      </w:hyperlink>
    </w:p>
    <w:p>
      <w:pPr>
        <w:spacing w:after="0" w:line="93" w:lineRule="exact"/>
        <w:rPr>
          <w:rFonts w:ascii="Arial" w:cs="Arial" w:eastAsia="Arial" w:hAnsi="Arial"/>
          <w:sz w:val="19"/>
          <w:szCs w:val="19"/>
          <w:u w:val="single" w:color="auto"/>
          <w:color w:val="0000EE"/>
        </w:rPr>
      </w:pPr>
    </w:p>
    <w:p>
      <w:pPr>
        <w:ind w:left="364" w:hanging="364"/>
        <w:spacing w:after="0"/>
        <w:tabs>
          <w:tab w:leader="none" w:pos="364" w:val="left"/>
        </w:tabs>
        <w:numPr>
          <w:ilvl w:val="0"/>
          <w:numId w:val="33"/>
        </w:numPr>
        <w:rPr>
          <w:rFonts w:ascii="Arial" w:cs="Arial" w:eastAsia="Arial" w:hAnsi="Arial"/>
          <w:sz w:val="19"/>
          <w:szCs w:val="19"/>
          <w:u w:val="single" w:color="auto"/>
          <w:color w:val="0000EE"/>
        </w:rPr>
      </w:pPr>
      <w:hyperlink w:anchor="page67">
        <w:r>
          <w:rPr>
            <w:rFonts w:ascii="Arial" w:cs="Arial" w:eastAsia="Arial" w:hAnsi="Arial"/>
            <w:sz w:val="19"/>
            <w:szCs w:val="19"/>
            <w:u w:val="single" w:color="auto"/>
            <w:color w:val="0000EE"/>
          </w:rPr>
          <w:t>PURPOSE</w:t>
        </w:r>
      </w:hyperlink>
    </w:p>
    <w:p>
      <w:pPr>
        <w:spacing w:after="0" w:line="81" w:lineRule="exact"/>
        <w:rPr>
          <w:rFonts w:ascii="Arial" w:cs="Arial" w:eastAsia="Arial" w:hAnsi="Arial"/>
          <w:sz w:val="19"/>
          <w:szCs w:val="19"/>
          <w:u w:val="single" w:color="auto"/>
          <w:color w:val="0000EE"/>
        </w:rPr>
      </w:pPr>
    </w:p>
    <w:p>
      <w:pPr>
        <w:ind w:left="364" w:hanging="364"/>
        <w:spacing w:after="0"/>
        <w:tabs>
          <w:tab w:leader="none" w:pos="364" w:val="left"/>
        </w:tabs>
        <w:numPr>
          <w:ilvl w:val="0"/>
          <w:numId w:val="33"/>
        </w:numPr>
        <w:rPr>
          <w:rFonts w:ascii="Arial" w:cs="Arial" w:eastAsia="Arial" w:hAnsi="Arial"/>
          <w:sz w:val="19"/>
          <w:szCs w:val="19"/>
          <w:u w:val="single" w:color="auto"/>
          <w:color w:val="0000EE"/>
        </w:rPr>
      </w:pPr>
      <w:hyperlink w:anchor="page67">
        <w:r>
          <w:rPr>
            <w:rFonts w:ascii="Arial" w:cs="Arial" w:eastAsia="Arial" w:hAnsi="Arial"/>
            <w:sz w:val="19"/>
            <w:szCs w:val="19"/>
            <w:u w:val="single" w:color="auto"/>
            <w:color w:val="0000EE"/>
          </w:rPr>
          <w:t>ADMINISTRATION</w:t>
        </w:r>
      </w:hyperlink>
    </w:p>
    <w:p>
      <w:pPr>
        <w:spacing w:after="0" w:line="81" w:lineRule="exact"/>
        <w:rPr>
          <w:rFonts w:ascii="Arial" w:cs="Arial" w:eastAsia="Arial" w:hAnsi="Arial"/>
          <w:sz w:val="19"/>
          <w:szCs w:val="19"/>
          <w:u w:val="single" w:color="auto"/>
          <w:color w:val="0000EE"/>
        </w:rPr>
      </w:pPr>
    </w:p>
    <w:p>
      <w:pPr>
        <w:ind w:left="364" w:hanging="364"/>
        <w:spacing w:after="0"/>
        <w:tabs>
          <w:tab w:leader="none" w:pos="364" w:val="left"/>
        </w:tabs>
        <w:numPr>
          <w:ilvl w:val="0"/>
          <w:numId w:val="33"/>
        </w:numPr>
        <w:rPr>
          <w:rFonts w:ascii="Arial" w:cs="Arial" w:eastAsia="Arial" w:hAnsi="Arial"/>
          <w:sz w:val="19"/>
          <w:szCs w:val="19"/>
          <w:u w:val="single" w:color="auto"/>
          <w:color w:val="0000EE"/>
        </w:rPr>
      </w:pPr>
      <w:hyperlink w:anchor="page67">
        <w:r>
          <w:rPr>
            <w:rFonts w:ascii="Arial" w:cs="Arial" w:eastAsia="Arial" w:hAnsi="Arial"/>
            <w:sz w:val="19"/>
            <w:szCs w:val="19"/>
            <w:u w:val="single" w:color="auto"/>
            <w:color w:val="0000EE"/>
          </w:rPr>
          <w:t>ELIGIBILITY; PARTICIPATION</w:t>
        </w:r>
      </w:hyperlink>
    </w:p>
    <w:p>
      <w:pPr>
        <w:spacing w:after="0" w:line="93" w:lineRule="exact"/>
        <w:rPr>
          <w:rFonts w:ascii="Arial" w:cs="Arial" w:eastAsia="Arial" w:hAnsi="Arial"/>
          <w:sz w:val="19"/>
          <w:szCs w:val="19"/>
          <w:u w:val="single" w:color="auto"/>
          <w:color w:val="0000EE"/>
        </w:rPr>
      </w:pPr>
    </w:p>
    <w:p>
      <w:pPr>
        <w:ind w:left="364" w:hanging="364"/>
        <w:spacing w:after="0"/>
        <w:tabs>
          <w:tab w:leader="none" w:pos="364" w:val="left"/>
        </w:tabs>
        <w:numPr>
          <w:ilvl w:val="0"/>
          <w:numId w:val="33"/>
        </w:numPr>
        <w:rPr>
          <w:rFonts w:ascii="Arial" w:cs="Arial" w:eastAsia="Arial" w:hAnsi="Arial"/>
          <w:sz w:val="19"/>
          <w:szCs w:val="19"/>
          <w:u w:val="single" w:color="auto"/>
          <w:color w:val="0000EE"/>
        </w:rPr>
      </w:pPr>
      <w:hyperlink w:anchor="page67">
        <w:r>
          <w:rPr>
            <w:rFonts w:ascii="Arial" w:cs="Arial" w:eastAsia="Arial" w:hAnsi="Arial"/>
            <w:sz w:val="19"/>
            <w:szCs w:val="19"/>
            <w:u w:val="single" w:color="auto"/>
            <w:color w:val="0000EE"/>
          </w:rPr>
          <w:t>AMOUNT OF BENEFITS</w:t>
        </w:r>
      </w:hyperlink>
    </w:p>
    <w:p>
      <w:pPr>
        <w:spacing w:after="0" w:line="81" w:lineRule="exact"/>
        <w:rPr>
          <w:rFonts w:ascii="Arial" w:cs="Arial" w:eastAsia="Arial" w:hAnsi="Arial"/>
          <w:sz w:val="19"/>
          <w:szCs w:val="19"/>
          <w:u w:val="single" w:color="auto"/>
          <w:color w:val="0000EE"/>
        </w:rPr>
      </w:pPr>
    </w:p>
    <w:p>
      <w:pPr>
        <w:ind w:left="364" w:hanging="364"/>
        <w:spacing w:after="0"/>
        <w:tabs>
          <w:tab w:leader="none" w:pos="364" w:val="left"/>
        </w:tabs>
        <w:numPr>
          <w:ilvl w:val="0"/>
          <w:numId w:val="33"/>
        </w:numPr>
        <w:rPr>
          <w:rFonts w:ascii="Arial" w:cs="Arial" w:eastAsia="Arial" w:hAnsi="Arial"/>
          <w:sz w:val="19"/>
          <w:szCs w:val="19"/>
          <w:u w:val="single" w:color="auto"/>
          <w:color w:val="0000EE"/>
        </w:rPr>
      </w:pPr>
      <w:hyperlink w:anchor="page68">
        <w:r>
          <w:rPr>
            <w:rFonts w:ascii="Arial" w:cs="Arial" w:eastAsia="Arial" w:hAnsi="Arial"/>
            <w:sz w:val="19"/>
            <w:szCs w:val="19"/>
            <w:u w:val="single" w:color="auto"/>
            <w:color w:val="0000EE"/>
          </w:rPr>
          <w:t>PAYMENT OF BENEFITS</w:t>
        </w:r>
      </w:hyperlink>
    </w:p>
    <w:p>
      <w:pPr>
        <w:spacing w:after="0" w:line="81" w:lineRule="exact"/>
        <w:rPr>
          <w:rFonts w:ascii="Arial" w:cs="Arial" w:eastAsia="Arial" w:hAnsi="Arial"/>
          <w:sz w:val="19"/>
          <w:szCs w:val="19"/>
          <w:u w:val="single" w:color="auto"/>
          <w:color w:val="0000EE"/>
        </w:rPr>
      </w:pPr>
    </w:p>
    <w:p>
      <w:pPr>
        <w:ind w:left="364" w:hanging="364"/>
        <w:spacing w:after="0"/>
        <w:tabs>
          <w:tab w:leader="none" w:pos="364" w:val="left"/>
        </w:tabs>
        <w:numPr>
          <w:ilvl w:val="0"/>
          <w:numId w:val="33"/>
        </w:numPr>
        <w:rPr>
          <w:rFonts w:ascii="Arial" w:cs="Arial" w:eastAsia="Arial" w:hAnsi="Arial"/>
          <w:sz w:val="19"/>
          <w:szCs w:val="19"/>
          <w:u w:val="single" w:color="auto"/>
          <w:color w:val="0000EE"/>
        </w:rPr>
      </w:pPr>
      <w:hyperlink w:anchor="page72">
        <w:r>
          <w:rPr>
            <w:rFonts w:ascii="Arial" w:cs="Arial" w:eastAsia="Arial" w:hAnsi="Arial"/>
            <w:sz w:val="19"/>
            <w:szCs w:val="19"/>
            <w:u w:val="single" w:color="auto"/>
            <w:color w:val="0000EE"/>
          </w:rPr>
          <w:t>EMPLOYEE’S RIGHTS</w:t>
        </w:r>
      </w:hyperlink>
    </w:p>
    <w:p>
      <w:pPr>
        <w:spacing w:after="0" w:line="93" w:lineRule="exact"/>
        <w:rPr>
          <w:rFonts w:ascii="Arial" w:cs="Arial" w:eastAsia="Arial" w:hAnsi="Arial"/>
          <w:sz w:val="19"/>
          <w:szCs w:val="19"/>
          <w:u w:val="single" w:color="auto"/>
          <w:color w:val="0000EE"/>
        </w:rPr>
      </w:pPr>
    </w:p>
    <w:p>
      <w:pPr>
        <w:ind w:left="364" w:hanging="364"/>
        <w:spacing w:after="0"/>
        <w:tabs>
          <w:tab w:leader="none" w:pos="364" w:val="left"/>
        </w:tabs>
        <w:numPr>
          <w:ilvl w:val="0"/>
          <w:numId w:val="33"/>
        </w:numPr>
        <w:rPr>
          <w:rFonts w:ascii="Arial" w:cs="Arial" w:eastAsia="Arial" w:hAnsi="Arial"/>
          <w:sz w:val="19"/>
          <w:szCs w:val="19"/>
          <w:u w:val="single" w:color="auto"/>
          <w:color w:val="0000EE"/>
        </w:rPr>
      </w:pPr>
      <w:hyperlink w:anchor="page72">
        <w:r>
          <w:rPr>
            <w:rFonts w:ascii="Arial" w:cs="Arial" w:eastAsia="Arial" w:hAnsi="Arial"/>
            <w:sz w:val="19"/>
            <w:szCs w:val="19"/>
            <w:u w:val="single" w:color="auto"/>
            <w:color w:val="0000EE"/>
          </w:rPr>
          <w:t>AMENDMENT AND DISCONTINUANCE</w:t>
        </w:r>
      </w:hyperlink>
    </w:p>
    <w:p>
      <w:pPr>
        <w:spacing w:after="0" w:line="81" w:lineRule="exact"/>
        <w:rPr>
          <w:rFonts w:ascii="Arial" w:cs="Arial" w:eastAsia="Arial" w:hAnsi="Arial"/>
          <w:sz w:val="19"/>
          <w:szCs w:val="19"/>
          <w:u w:val="single" w:color="auto"/>
          <w:color w:val="0000EE"/>
        </w:rPr>
      </w:pPr>
    </w:p>
    <w:p>
      <w:pPr>
        <w:ind w:left="364" w:hanging="364"/>
        <w:spacing w:after="0"/>
        <w:tabs>
          <w:tab w:leader="none" w:pos="364" w:val="left"/>
        </w:tabs>
        <w:numPr>
          <w:ilvl w:val="0"/>
          <w:numId w:val="33"/>
        </w:numPr>
        <w:rPr>
          <w:rFonts w:ascii="Arial" w:cs="Arial" w:eastAsia="Arial" w:hAnsi="Arial"/>
          <w:sz w:val="19"/>
          <w:szCs w:val="19"/>
          <w:u w:val="single" w:color="auto"/>
          <w:color w:val="0000EE"/>
        </w:rPr>
      </w:pPr>
      <w:hyperlink w:anchor="page72">
        <w:r>
          <w:rPr>
            <w:rFonts w:ascii="Arial" w:cs="Arial" w:eastAsia="Arial" w:hAnsi="Arial"/>
            <w:sz w:val="19"/>
            <w:szCs w:val="19"/>
            <w:u w:val="single" w:color="auto"/>
            <w:color w:val="0000EE"/>
          </w:rPr>
          <w:t>DEFINITIONS</w:t>
        </w:r>
      </w:hyperlink>
    </w:p>
    <w:p>
      <w:pPr>
        <w:spacing w:after="0" w:line="81" w:lineRule="exact"/>
        <w:rPr>
          <w:rFonts w:ascii="Arial" w:cs="Arial" w:eastAsia="Arial" w:hAnsi="Arial"/>
          <w:sz w:val="19"/>
          <w:szCs w:val="19"/>
          <w:u w:val="single" w:color="auto"/>
          <w:color w:val="0000EE"/>
        </w:rPr>
      </w:pPr>
    </w:p>
    <w:p>
      <w:pPr>
        <w:ind w:left="364" w:right="4479" w:hanging="364"/>
        <w:spacing w:after="0" w:line="266" w:lineRule="auto"/>
        <w:tabs>
          <w:tab w:leader="none" w:pos="364" w:val="left"/>
        </w:tabs>
        <w:numPr>
          <w:ilvl w:val="0"/>
          <w:numId w:val="33"/>
        </w:numPr>
        <w:rPr>
          <w:rFonts w:ascii="Arial" w:cs="Arial" w:eastAsia="Arial" w:hAnsi="Arial"/>
          <w:sz w:val="19"/>
          <w:szCs w:val="19"/>
          <w:u w:val="single" w:color="auto"/>
          <w:color w:val="0000EE"/>
        </w:rPr>
      </w:pPr>
      <w:hyperlink w:anchor="page73">
        <w:r>
          <w:rPr>
            <w:rFonts w:ascii="Arial" w:cs="Arial" w:eastAsia="Arial" w:hAnsi="Arial"/>
            <w:sz w:val="19"/>
            <w:szCs w:val="19"/>
            <w:u w:val="single" w:color="auto"/>
            <w:color w:val="0000EE"/>
          </w:rPr>
          <w:t>EMPLOYEES OF SEMPRA ENERGY TRADING CORPORATION</w:t>
        </w:r>
      </w:hyperlink>
      <w:r>
        <w:rPr>
          <w:rFonts w:ascii="Arial" w:cs="Arial" w:eastAsia="Arial" w:hAnsi="Arial"/>
          <w:sz w:val="19"/>
          <w:szCs w:val="19"/>
          <w:u w:val="single" w:color="auto"/>
          <w:color w:val="0000EE"/>
        </w:rPr>
        <w:t xml:space="preserve"> </w:t>
      </w:r>
      <w:hyperlink w:anchor="page73">
        <w:r>
          <w:rPr>
            <w:rFonts w:ascii="Arial" w:cs="Arial" w:eastAsia="Arial" w:hAnsi="Arial"/>
            <w:sz w:val="19"/>
            <w:szCs w:val="19"/>
            <w:u w:val="single" w:color="auto"/>
            <w:color w:val="0000EE"/>
          </w:rPr>
          <w:t>AND SEMPRA ENERGY SOLUTIONS LLC</w:t>
        </w:r>
      </w:hyperlink>
    </w:p>
    <w:p>
      <w:pPr>
        <w:spacing w:after="0" w:line="44" w:lineRule="exact"/>
        <w:rPr>
          <w:rFonts w:ascii="Arial" w:cs="Arial" w:eastAsia="Arial" w:hAnsi="Arial"/>
          <w:sz w:val="19"/>
          <w:szCs w:val="19"/>
          <w:u w:val="single" w:color="auto"/>
          <w:color w:val="0000EE"/>
        </w:rPr>
      </w:pPr>
    </w:p>
    <w:p>
      <w:pPr>
        <w:ind w:left="364" w:hanging="364"/>
        <w:spacing w:after="0"/>
        <w:tabs>
          <w:tab w:leader="none" w:pos="364" w:val="left"/>
        </w:tabs>
        <w:numPr>
          <w:ilvl w:val="0"/>
          <w:numId w:val="33"/>
        </w:numPr>
        <w:rPr>
          <w:rFonts w:ascii="Arial" w:cs="Arial" w:eastAsia="Arial" w:hAnsi="Arial"/>
          <w:sz w:val="19"/>
          <w:szCs w:val="19"/>
          <w:u w:val="single" w:color="auto"/>
          <w:color w:val="0000EE"/>
        </w:rPr>
      </w:pPr>
      <w:hyperlink w:anchor="page74">
        <w:r>
          <w:rPr>
            <w:rFonts w:ascii="Arial" w:cs="Arial" w:eastAsia="Arial" w:hAnsi="Arial"/>
            <w:sz w:val="19"/>
            <w:szCs w:val="19"/>
            <w:u w:val="single" w:color="auto"/>
            <w:color w:val="0000EE"/>
          </w:rPr>
          <w:t>SECTION 409A OF THE CODE</w:t>
        </w:r>
      </w:hyperlink>
    </w:p>
    <w:p>
      <w:pPr>
        <w:spacing w:after="0" w:line="81" w:lineRule="exact"/>
        <w:rPr>
          <w:rFonts w:ascii="Arial" w:cs="Arial" w:eastAsia="Arial" w:hAnsi="Arial"/>
          <w:sz w:val="19"/>
          <w:szCs w:val="19"/>
          <w:u w:val="single" w:color="auto"/>
          <w:color w:val="0000EE"/>
        </w:rPr>
      </w:pPr>
    </w:p>
    <w:p>
      <w:pPr>
        <w:ind w:left="364" w:hanging="364"/>
        <w:spacing w:after="0"/>
        <w:tabs>
          <w:tab w:leader="none" w:pos="364" w:val="left"/>
        </w:tabs>
        <w:numPr>
          <w:ilvl w:val="0"/>
          <w:numId w:val="33"/>
        </w:numPr>
        <w:rPr>
          <w:rFonts w:ascii="Arial" w:cs="Arial" w:eastAsia="Arial" w:hAnsi="Arial"/>
          <w:sz w:val="19"/>
          <w:szCs w:val="19"/>
          <w:u w:val="single" w:color="auto"/>
          <w:color w:val="0000EE"/>
        </w:rPr>
      </w:pPr>
      <w:hyperlink w:anchor="page75">
        <w:r>
          <w:rPr>
            <w:rFonts w:ascii="Arial" w:cs="Arial" w:eastAsia="Arial" w:hAnsi="Arial"/>
            <w:sz w:val="19"/>
            <w:szCs w:val="19"/>
            <w:u w:val="single" w:color="auto"/>
            <w:color w:val="0000EE"/>
          </w:rPr>
          <w:t>CLAIMS PROCEDURE</w:t>
        </w:r>
      </w:hyperlink>
    </w:p>
    <w:p>
      <w:pPr>
        <w:spacing w:after="0" w:line="81" w:lineRule="exact"/>
        <w:rPr>
          <w:rFonts w:ascii="Arial" w:cs="Arial" w:eastAsia="Arial" w:hAnsi="Arial"/>
          <w:sz w:val="19"/>
          <w:szCs w:val="19"/>
          <w:u w:val="single" w:color="auto"/>
          <w:color w:val="0000EE"/>
        </w:rPr>
      </w:pPr>
    </w:p>
    <w:p>
      <w:pPr>
        <w:ind w:left="364" w:hanging="364"/>
        <w:spacing w:after="0"/>
        <w:tabs>
          <w:tab w:leader="none" w:pos="364" w:val="left"/>
        </w:tabs>
        <w:numPr>
          <w:ilvl w:val="0"/>
          <w:numId w:val="33"/>
        </w:numPr>
        <w:rPr>
          <w:rFonts w:ascii="Arial" w:cs="Arial" w:eastAsia="Arial" w:hAnsi="Arial"/>
          <w:sz w:val="19"/>
          <w:szCs w:val="19"/>
          <w:u w:val="single" w:color="auto"/>
          <w:color w:val="0000EE"/>
        </w:rPr>
      </w:pPr>
      <w:hyperlink w:anchor="page76">
        <w:r>
          <w:rPr>
            <w:rFonts w:ascii="Arial" w:cs="Arial" w:eastAsia="Arial" w:hAnsi="Arial"/>
            <w:sz w:val="19"/>
            <w:szCs w:val="19"/>
            <w:u w:val="single" w:color="auto"/>
            <w:color w:val="0000EE"/>
          </w:rPr>
          <w:t>MISCELLANEOUS</w:t>
        </w:r>
      </w:hyperlink>
    </w:p>
    <w:p>
      <w:pPr>
        <w:sectPr>
          <w:pgSz w:w="11900" w:h="16838" w:orient="portrait"/>
          <w:cols w:equalWidth="0" w:num="1">
            <w:col w:w="10223"/>
          </w:cols>
          <w:pgMar w:left="236" w:top="611" w:right="1440" w:bottom="1440" w:gutter="0" w:footer="0" w:header="0"/>
        </w:sectPr>
      </w:pPr>
    </w:p>
    <w:bookmarkStart w:id="66" w:name="page67"/>
    <w:bookmarkEnd w:id="66"/>
    <w:p>
      <w:pPr>
        <w:ind w:left="284" w:hanging="284"/>
        <w:spacing w:after="0"/>
        <w:tabs>
          <w:tab w:leader="none" w:pos="284" w:val="left"/>
        </w:tabs>
        <w:numPr>
          <w:ilvl w:val="0"/>
          <w:numId w:val="34"/>
        </w:numPr>
        <w:rPr>
          <w:rFonts w:ascii="Arial" w:cs="Arial" w:eastAsia="Arial" w:hAnsi="Arial"/>
          <w:sz w:val="19"/>
          <w:szCs w:val="19"/>
          <w:b w:val="1"/>
          <w:bCs w:val="1"/>
          <w:color w:val="auto"/>
        </w:rPr>
      </w:pPr>
      <w:r>
        <w:rPr>
          <w:rFonts w:ascii="Arial" w:cs="Arial" w:eastAsia="Arial" w:hAnsi="Arial"/>
          <w:sz w:val="19"/>
          <w:szCs w:val="19"/>
          <w:b w:val="1"/>
          <w:bCs w:val="1"/>
          <w:color w:val="auto"/>
        </w:rPr>
        <w:t>EFFECTIVE DATE</w:t>
      </w:r>
    </w:p>
    <w:p>
      <w:pPr>
        <w:spacing w:after="0" w:line="195" w:lineRule="exact"/>
        <w:rPr>
          <w:rFonts w:ascii="Arial" w:cs="Arial" w:eastAsia="Arial" w:hAnsi="Arial"/>
          <w:sz w:val="19"/>
          <w:szCs w:val="19"/>
          <w:b w:val="1"/>
          <w:bCs w:val="1"/>
          <w:color w:val="auto"/>
        </w:rPr>
      </w:pPr>
    </w:p>
    <w:p>
      <w:pPr>
        <w:ind w:left="284"/>
        <w:spacing w:after="0"/>
        <w:rPr>
          <w:rFonts w:ascii="Arial" w:cs="Arial" w:eastAsia="Arial" w:hAnsi="Arial"/>
          <w:sz w:val="19"/>
          <w:szCs w:val="19"/>
          <w:b w:val="1"/>
          <w:bCs w:val="1"/>
          <w:color w:val="auto"/>
        </w:rPr>
      </w:pPr>
      <w:r>
        <w:rPr>
          <w:rFonts w:ascii="Arial" w:cs="Arial" w:eastAsia="Arial" w:hAnsi="Arial"/>
          <w:sz w:val="19"/>
          <w:szCs w:val="19"/>
          <w:color w:val="auto"/>
        </w:rPr>
        <w:t>The Sempra Energy Excess Cash Balance Plan (the “</w:t>
      </w:r>
      <w:r>
        <w:rPr>
          <w:rFonts w:ascii="Arial" w:cs="Arial" w:eastAsia="Arial" w:hAnsi="Arial"/>
          <w:sz w:val="19"/>
          <w:szCs w:val="19"/>
          <w:u w:val="single" w:color="auto"/>
          <w:color w:val="auto"/>
        </w:rPr>
        <w:t>Plan</w:t>
      </w:r>
      <w:r>
        <w:rPr>
          <w:rFonts w:ascii="Arial" w:cs="Arial" w:eastAsia="Arial" w:hAnsi="Arial"/>
          <w:sz w:val="19"/>
          <w:szCs w:val="19"/>
          <w:color w:val="auto"/>
        </w:rPr>
        <w:t>”) was effective as of July 1, 1998.</w:t>
      </w:r>
    </w:p>
    <w:p>
      <w:pPr>
        <w:spacing w:after="0" w:line="189" w:lineRule="exact"/>
        <w:rPr>
          <w:rFonts w:ascii="Arial" w:cs="Arial" w:eastAsia="Arial" w:hAnsi="Arial"/>
          <w:sz w:val="19"/>
          <w:szCs w:val="19"/>
          <w:b w:val="1"/>
          <w:bCs w:val="1"/>
          <w:color w:val="auto"/>
        </w:rPr>
      </w:pPr>
    </w:p>
    <w:p>
      <w:pPr>
        <w:ind w:left="284" w:right="140"/>
        <w:spacing w:after="0" w:line="266" w:lineRule="auto"/>
        <w:rPr>
          <w:rFonts w:ascii="Arial" w:cs="Arial" w:eastAsia="Arial" w:hAnsi="Arial"/>
          <w:sz w:val="19"/>
          <w:szCs w:val="19"/>
          <w:b w:val="1"/>
          <w:bCs w:val="1"/>
          <w:color w:val="auto"/>
        </w:rPr>
      </w:pPr>
      <w:r>
        <w:rPr>
          <w:rFonts w:ascii="Arial" w:cs="Arial" w:eastAsia="Arial" w:hAnsi="Arial"/>
          <w:sz w:val="19"/>
          <w:szCs w:val="19"/>
          <w:color w:val="auto"/>
        </w:rPr>
        <w:t>The Plan was amended and restated effective as of November 5, 2007. The name of the Plan was changed to the Sempra Energy Cash Balance Restoration Plan effective June 16, 2008.</w:t>
      </w:r>
    </w:p>
    <w:p>
      <w:pPr>
        <w:spacing w:after="0" w:line="140" w:lineRule="exact"/>
        <w:rPr>
          <w:rFonts w:ascii="Arial" w:cs="Arial" w:eastAsia="Arial" w:hAnsi="Arial"/>
          <w:sz w:val="19"/>
          <w:szCs w:val="19"/>
          <w:b w:val="1"/>
          <w:bCs w:val="1"/>
          <w:color w:val="auto"/>
        </w:rPr>
      </w:pPr>
    </w:p>
    <w:p>
      <w:pPr>
        <w:ind w:left="284"/>
        <w:spacing w:after="0" w:line="261" w:lineRule="auto"/>
        <w:rPr>
          <w:rFonts w:ascii="Arial" w:cs="Arial" w:eastAsia="Arial" w:hAnsi="Arial"/>
          <w:sz w:val="19"/>
          <w:szCs w:val="19"/>
          <w:b w:val="1"/>
          <w:bCs w:val="1"/>
          <w:color w:val="auto"/>
        </w:rPr>
      </w:pPr>
      <w:r>
        <w:rPr>
          <w:rFonts w:ascii="Arial" w:cs="Arial" w:eastAsia="Arial" w:hAnsi="Arial"/>
          <w:sz w:val="18"/>
          <w:szCs w:val="18"/>
          <w:color w:val="auto"/>
        </w:rPr>
        <w:t>Sempra Energy hereby amends and restates this Plan in its entirety effective as of December 31, 2008, except as otherwise provided herein. This amendment and restatement of the Plan is intended to comply with the requirements of Sections 409A(a)(2), (3) and (4) of the Code (as defined below) and the Treasury Regulations thereunder. The elections and amendments made in accordance with the transitional relief under Internal Revenue Service Notice 2005-1, the Proposed Regulations under Section 409A of the Code and Internal Revenue Service Notices 2006-79 and 2007-86 shall be effective for the relevant periods on or before December 31, 2008.</w:t>
      </w:r>
    </w:p>
    <w:p>
      <w:pPr>
        <w:spacing w:after="0" w:line="141" w:lineRule="exact"/>
        <w:rPr>
          <w:rFonts w:ascii="Arial" w:cs="Arial" w:eastAsia="Arial" w:hAnsi="Arial"/>
          <w:sz w:val="19"/>
          <w:szCs w:val="19"/>
          <w:b w:val="1"/>
          <w:bCs w:val="1"/>
          <w:color w:val="auto"/>
        </w:rPr>
      </w:pPr>
    </w:p>
    <w:p>
      <w:pPr>
        <w:ind w:left="284" w:hanging="284"/>
        <w:spacing w:after="0"/>
        <w:tabs>
          <w:tab w:leader="none" w:pos="284" w:val="left"/>
        </w:tabs>
        <w:numPr>
          <w:ilvl w:val="0"/>
          <w:numId w:val="34"/>
        </w:numPr>
        <w:rPr>
          <w:rFonts w:ascii="Arial" w:cs="Arial" w:eastAsia="Arial" w:hAnsi="Arial"/>
          <w:sz w:val="19"/>
          <w:szCs w:val="19"/>
          <w:b w:val="1"/>
          <w:bCs w:val="1"/>
          <w:color w:val="auto"/>
        </w:rPr>
      </w:pPr>
      <w:r>
        <w:rPr>
          <w:rFonts w:ascii="Arial" w:cs="Arial" w:eastAsia="Arial" w:hAnsi="Arial"/>
          <w:sz w:val="19"/>
          <w:szCs w:val="19"/>
          <w:b w:val="1"/>
          <w:bCs w:val="1"/>
          <w:color w:val="auto"/>
        </w:rPr>
        <w:t>PURPOSE</w:t>
      </w:r>
    </w:p>
    <w:p>
      <w:pPr>
        <w:spacing w:after="0" w:line="195" w:lineRule="exact"/>
        <w:rPr>
          <w:rFonts w:ascii="Arial" w:cs="Arial" w:eastAsia="Arial" w:hAnsi="Arial"/>
          <w:sz w:val="19"/>
          <w:szCs w:val="19"/>
          <w:b w:val="1"/>
          <w:bCs w:val="1"/>
          <w:color w:val="auto"/>
        </w:rPr>
      </w:pPr>
    </w:p>
    <w:p>
      <w:pPr>
        <w:ind w:left="284" w:right="140"/>
        <w:spacing w:after="0" w:line="265" w:lineRule="auto"/>
        <w:rPr>
          <w:rFonts w:ascii="Arial" w:cs="Arial" w:eastAsia="Arial" w:hAnsi="Arial"/>
          <w:sz w:val="19"/>
          <w:szCs w:val="19"/>
          <w:b w:val="1"/>
          <w:bCs w:val="1"/>
          <w:color w:val="auto"/>
        </w:rPr>
      </w:pPr>
      <w:r>
        <w:rPr>
          <w:rFonts w:ascii="Arial" w:cs="Arial" w:eastAsia="Arial" w:hAnsi="Arial"/>
          <w:sz w:val="18"/>
          <w:szCs w:val="18"/>
          <w:color w:val="auto"/>
        </w:rPr>
        <w:t>This Plan serves two purposes. First, it provides benefits for certain Employees in excess of the limitations on benefits under the Basic Plan (as defined below) imposed by Section 415 of the Code (as defined below). The portion of the Plan providing these benefits is intended to be an "excess benefit plan" as defined in Section 3(36) of ERISA (as defined below). Second, it provides benefits for certain Employees in excess of the limitations on benefits under the Basic Plan imposed by Section 401(a) (17) of the Code.</w:t>
      </w:r>
    </w:p>
    <w:p>
      <w:pPr>
        <w:spacing w:after="0" w:line="124" w:lineRule="exact"/>
        <w:rPr>
          <w:rFonts w:ascii="Arial" w:cs="Arial" w:eastAsia="Arial" w:hAnsi="Arial"/>
          <w:sz w:val="19"/>
          <w:szCs w:val="19"/>
          <w:b w:val="1"/>
          <w:bCs w:val="1"/>
          <w:color w:val="auto"/>
        </w:rPr>
      </w:pPr>
    </w:p>
    <w:p>
      <w:pPr>
        <w:ind w:left="284" w:hanging="284"/>
        <w:spacing w:after="0"/>
        <w:tabs>
          <w:tab w:leader="none" w:pos="284" w:val="left"/>
        </w:tabs>
        <w:numPr>
          <w:ilvl w:val="0"/>
          <w:numId w:val="34"/>
        </w:numPr>
        <w:rPr>
          <w:rFonts w:ascii="Arial" w:cs="Arial" w:eastAsia="Arial" w:hAnsi="Arial"/>
          <w:sz w:val="19"/>
          <w:szCs w:val="19"/>
          <w:b w:val="1"/>
          <w:bCs w:val="1"/>
          <w:color w:val="auto"/>
        </w:rPr>
      </w:pPr>
      <w:r>
        <w:rPr>
          <w:rFonts w:ascii="Arial" w:cs="Arial" w:eastAsia="Arial" w:hAnsi="Arial"/>
          <w:sz w:val="19"/>
          <w:szCs w:val="19"/>
          <w:b w:val="1"/>
          <w:bCs w:val="1"/>
          <w:color w:val="auto"/>
        </w:rPr>
        <w:t>ADMINISTRATION</w:t>
      </w:r>
    </w:p>
    <w:p>
      <w:pPr>
        <w:spacing w:after="0" w:line="195" w:lineRule="exact"/>
        <w:rPr>
          <w:rFonts w:ascii="Arial" w:cs="Arial" w:eastAsia="Arial" w:hAnsi="Arial"/>
          <w:sz w:val="19"/>
          <w:szCs w:val="19"/>
          <w:b w:val="1"/>
          <w:bCs w:val="1"/>
          <w:color w:val="auto"/>
        </w:rPr>
      </w:pPr>
    </w:p>
    <w:p>
      <w:pPr>
        <w:ind w:left="284"/>
        <w:spacing w:after="0" w:line="241" w:lineRule="auto"/>
        <w:rPr>
          <w:rFonts w:ascii="Arial" w:cs="Arial" w:eastAsia="Arial" w:hAnsi="Arial"/>
          <w:sz w:val="19"/>
          <w:szCs w:val="19"/>
          <w:b w:val="1"/>
          <w:bCs w:val="1"/>
          <w:color w:val="auto"/>
        </w:rPr>
      </w:pPr>
      <w:r>
        <w:rPr>
          <w:rFonts w:ascii="Arial" w:cs="Arial" w:eastAsia="Arial" w:hAnsi="Arial"/>
          <w:sz w:val="19"/>
          <w:szCs w:val="19"/>
          <w:color w:val="auto"/>
        </w:rPr>
        <w:t>This Plan shall be administered by the Compensation Committee of Sempra Energy ("</w:t>
      </w:r>
      <w:r>
        <w:rPr>
          <w:rFonts w:ascii="Arial" w:cs="Arial" w:eastAsia="Arial" w:hAnsi="Arial"/>
          <w:sz w:val="19"/>
          <w:szCs w:val="19"/>
          <w:u w:val="single" w:color="auto"/>
          <w:color w:val="auto"/>
        </w:rPr>
        <w:t>Compensation Committee</w:t>
      </w:r>
      <w:r>
        <w:rPr>
          <w:rFonts w:ascii="Arial" w:cs="Arial" w:eastAsia="Arial" w:hAnsi="Arial"/>
          <w:sz w:val="19"/>
          <w:szCs w:val="19"/>
          <w:color w:val="auto"/>
        </w:rPr>
        <w:t>") in a manner consistent with the administration of the Basic Plan. However, the portion of this Plan which is an unfunded "excess benefit plan" as defined in Section 3(36) of ERISA shall be administered as such and is exempt from the provisions of Title I of ERISA pursuant to Section 4(b) (5) of ERISA, and the rest of this Plan shall be administered as an unfunded plan maintained primarily for the purpose of providing deferred compensation for a select group of management or highly compensated employees. The Compensation Committee's decisions in all matters involving the interpretation and application of this Plan shall be final. Sempra Energy’s Senior Human Resources Officer shall have discretionary authority with respect to adm inistrative matters relating to this Plan, except when exercise of such authority would materially affect the cost of the Plan to the Company, materially increase benefits to Participants, or affect such Senior Human Resources Officer in a manner materially different from other Participants.</w:t>
      </w:r>
    </w:p>
    <w:p>
      <w:pPr>
        <w:spacing w:after="0" w:line="145" w:lineRule="exact"/>
        <w:rPr>
          <w:rFonts w:ascii="Arial" w:cs="Arial" w:eastAsia="Arial" w:hAnsi="Arial"/>
          <w:sz w:val="19"/>
          <w:szCs w:val="19"/>
          <w:b w:val="1"/>
          <w:bCs w:val="1"/>
          <w:color w:val="auto"/>
        </w:rPr>
      </w:pPr>
    </w:p>
    <w:p>
      <w:pPr>
        <w:ind w:left="284" w:hanging="284"/>
        <w:spacing w:after="0"/>
        <w:tabs>
          <w:tab w:leader="none" w:pos="284" w:val="left"/>
        </w:tabs>
        <w:numPr>
          <w:ilvl w:val="0"/>
          <w:numId w:val="34"/>
        </w:numPr>
        <w:rPr>
          <w:rFonts w:ascii="Arial" w:cs="Arial" w:eastAsia="Arial" w:hAnsi="Arial"/>
          <w:sz w:val="19"/>
          <w:szCs w:val="19"/>
          <w:b w:val="1"/>
          <w:bCs w:val="1"/>
          <w:color w:val="auto"/>
        </w:rPr>
      </w:pPr>
      <w:r>
        <w:rPr>
          <w:rFonts w:ascii="Arial" w:cs="Arial" w:eastAsia="Arial" w:hAnsi="Arial"/>
          <w:sz w:val="19"/>
          <w:szCs w:val="19"/>
          <w:b w:val="1"/>
          <w:bCs w:val="1"/>
          <w:color w:val="auto"/>
        </w:rPr>
        <w:t>ELIGIBILITY; PARTICIPATION</w:t>
      </w:r>
    </w:p>
    <w:p>
      <w:pPr>
        <w:spacing w:after="0" w:line="195" w:lineRule="exact"/>
        <w:rPr>
          <w:rFonts w:ascii="Arial" w:cs="Arial" w:eastAsia="Arial" w:hAnsi="Arial"/>
          <w:sz w:val="19"/>
          <w:szCs w:val="19"/>
          <w:b w:val="1"/>
          <w:bCs w:val="1"/>
          <w:color w:val="auto"/>
        </w:rPr>
      </w:pPr>
    </w:p>
    <w:p>
      <w:pPr>
        <w:ind w:left="584" w:right="20" w:hanging="288"/>
        <w:spacing w:after="0" w:line="243" w:lineRule="auto"/>
        <w:rPr>
          <w:rFonts w:ascii="Arial" w:cs="Arial" w:eastAsia="Arial" w:hAnsi="Arial"/>
          <w:sz w:val="19"/>
          <w:szCs w:val="19"/>
          <w:b w:val="1"/>
          <w:bCs w:val="1"/>
          <w:color w:val="auto"/>
        </w:rPr>
      </w:pPr>
      <w:r>
        <w:rPr>
          <w:rFonts w:ascii="Arial" w:cs="Arial" w:eastAsia="Arial" w:hAnsi="Arial"/>
          <w:sz w:val="19"/>
          <w:szCs w:val="19"/>
          <w:color w:val="auto"/>
        </w:rPr>
        <w:t>(A)All Employees whose pension benefits under the Basic Plan are limited by the compensation and benefits limitations imposed by Sections 401(a)(17) and 415 of the Code shall be eligible for benefits under this Plan. In no event shall an Employee who is not entitled to benefits under the Basic Plan be eligible for a benefit under this Plan. An Employee who is a participant in the Basic Plan shall first become an Eligible Employee on the first date on which such Employee’s benefits under the Basic Plan are limited by the provisions of Section 415 of the Code, or such Employee’s benefits under the Basic Plan are limited by the covered compensation limitations of Section 401(a)(17) of the Code.</w:t>
      </w:r>
    </w:p>
    <w:p>
      <w:pPr>
        <w:spacing w:after="0" w:line="150" w:lineRule="exact"/>
        <w:rPr>
          <w:rFonts w:ascii="Arial" w:cs="Arial" w:eastAsia="Arial" w:hAnsi="Arial"/>
          <w:sz w:val="19"/>
          <w:szCs w:val="19"/>
          <w:b w:val="1"/>
          <w:bCs w:val="1"/>
          <w:color w:val="auto"/>
        </w:rPr>
      </w:pPr>
    </w:p>
    <w:p>
      <w:pPr>
        <w:ind w:left="584" w:hanging="296"/>
        <w:spacing w:after="0"/>
        <w:tabs>
          <w:tab w:leader="none" w:pos="584" w:val="left"/>
        </w:tabs>
        <w:numPr>
          <w:ilvl w:val="1"/>
          <w:numId w:val="34"/>
        </w:numPr>
        <w:rPr>
          <w:rFonts w:ascii="Arial" w:cs="Arial" w:eastAsia="Arial" w:hAnsi="Arial"/>
          <w:sz w:val="19"/>
          <w:szCs w:val="19"/>
          <w:color w:val="auto"/>
        </w:rPr>
      </w:pPr>
      <w:r>
        <w:rPr>
          <w:rFonts w:ascii="Arial" w:cs="Arial" w:eastAsia="Arial" w:hAnsi="Arial"/>
          <w:sz w:val="19"/>
          <w:szCs w:val="19"/>
          <w:color w:val="auto"/>
        </w:rPr>
        <w:t>An Eligible Employee shall be a Participant and shall be entitled to benefits in accordance with Section 5.</w:t>
      </w:r>
    </w:p>
    <w:p>
      <w:pPr>
        <w:spacing w:after="0" w:line="171" w:lineRule="exact"/>
        <w:rPr>
          <w:rFonts w:ascii="Arial" w:cs="Arial" w:eastAsia="Arial" w:hAnsi="Arial"/>
          <w:sz w:val="19"/>
          <w:szCs w:val="19"/>
          <w:color w:val="auto"/>
        </w:rPr>
      </w:pPr>
    </w:p>
    <w:p>
      <w:pPr>
        <w:ind w:left="284" w:hanging="284"/>
        <w:spacing w:after="0"/>
        <w:tabs>
          <w:tab w:leader="none" w:pos="284" w:val="left"/>
        </w:tabs>
        <w:numPr>
          <w:ilvl w:val="0"/>
          <w:numId w:val="34"/>
        </w:numPr>
        <w:rPr>
          <w:rFonts w:ascii="Arial" w:cs="Arial" w:eastAsia="Arial" w:hAnsi="Arial"/>
          <w:sz w:val="19"/>
          <w:szCs w:val="19"/>
          <w:b w:val="1"/>
          <w:bCs w:val="1"/>
          <w:color w:val="auto"/>
        </w:rPr>
      </w:pPr>
      <w:r>
        <w:rPr>
          <w:rFonts w:ascii="Arial" w:cs="Arial" w:eastAsia="Arial" w:hAnsi="Arial"/>
          <w:sz w:val="19"/>
          <w:szCs w:val="19"/>
          <w:b w:val="1"/>
          <w:bCs w:val="1"/>
          <w:color w:val="auto"/>
        </w:rPr>
        <w:t>AMOUNT OF BENEFITS</w:t>
      </w:r>
    </w:p>
    <w:p>
      <w:pPr>
        <w:spacing w:after="0" w:line="189" w:lineRule="exact"/>
        <w:rPr>
          <w:rFonts w:ascii="Arial" w:cs="Arial" w:eastAsia="Arial" w:hAnsi="Arial"/>
          <w:sz w:val="19"/>
          <w:szCs w:val="19"/>
          <w:b w:val="1"/>
          <w:bCs w:val="1"/>
          <w:color w:val="auto"/>
        </w:rPr>
      </w:pPr>
    </w:p>
    <w:p>
      <w:pPr>
        <w:ind w:left="584" w:hanging="296"/>
        <w:spacing w:after="0"/>
        <w:tabs>
          <w:tab w:leader="none" w:pos="584" w:val="left"/>
        </w:tabs>
        <w:numPr>
          <w:ilvl w:val="1"/>
          <w:numId w:val="35"/>
        </w:numPr>
        <w:rPr>
          <w:rFonts w:ascii="Arial" w:cs="Arial" w:eastAsia="Arial" w:hAnsi="Arial"/>
          <w:sz w:val="19"/>
          <w:szCs w:val="19"/>
          <w:color w:val="auto"/>
        </w:rPr>
      </w:pPr>
      <w:r>
        <w:rPr>
          <w:rFonts w:ascii="Arial" w:cs="Arial" w:eastAsia="Arial" w:hAnsi="Arial"/>
          <w:sz w:val="19"/>
          <w:szCs w:val="19"/>
          <w:b w:val="1"/>
          <w:bCs w:val="1"/>
          <w:color w:val="auto"/>
        </w:rPr>
        <w:t>415 Make-Up</w:t>
      </w:r>
    </w:p>
    <w:p>
      <w:pPr>
        <w:spacing w:after="0" w:line="196" w:lineRule="exact"/>
        <w:rPr>
          <w:sz w:val="20"/>
          <w:szCs w:val="20"/>
          <w:color w:val="auto"/>
        </w:rPr>
      </w:pPr>
    </w:p>
    <w:p>
      <w:pPr>
        <w:ind w:left="584" w:right="140"/>
        <w:spacing w:after="0" w:line="295" w:lineRule="auto"/>
        <w:rPr>
          <w:sz w:val="20"/>
          <w:szCs w:val="20"/>
          <w:color w:val="auto"/>
        </w:rPr>
      </w:pPr>
      <w:r>
        <w:rPr>
          <w:rFonts w:ascii="Arial" w:cs="Arial" w:eastAsia="Arial" w:hAnsi="Arial"/>
          <w:sz w:val="18"/>
          <w:szCs w:val="18"/>
          <w:color w:val="auto"/>
        </w:rPr>
        <w:t>The benefits payable under this subsection (A) to a Participant whose benefits under the Basic Plan are limited by the provisions of Section 415 of the Code incorporated in the Basic Plan, or to his beneficiary(ies), shall equal the excess, if any, of:</w:t>
      </w:r>
    </w:p>
    <w:p>
      <w:pPr>
        <w:spacing w:after="0" w:line="104" w:lineRule="exact"/>
        <w:rPr>
          <w:sz w:val="20"/>
          <w:szCs w:val="20"/>
          <w:color w:val="auto"/>
        </w:rPr>
      </w:pPr>
    </w:p>
    <w:p>
      <w:pPr>
        <w:ind w:left="864" w:right="260" w:hanging="576"/>
        <w:spacing w:after="0" w:line="326" w:lineRule="auto"/>
        <w:tabs>
          <w:tab w:leader="none" w:pos="576" w:val="left"/>
        </w:tabs>
        <w:numPr>
          <w:ilvl w:val="1"/>
          <w:numId w:val="36"/>
        </w:numPr>
        <w:rPr>
          <w:rFonts w:ascii="Arial" w:cs="Arial" w:eastAsia="Arial" w:hAnsi="Arial"/>
          <w:sz w:val="17"/>
          <w:szCs w:val="17"/>
          <w:color w:val="auto"/>
        </w:rPr>
      </w:pPr>
      <w:r>
        <w:rPr>
          <w:rFonts w:ascii="Arial" w:cs="Arial" w:eastAsia="Arial" w:hAnsi="Arial"/>
          <w:sz w:val="17"/>
          <w:szCs w:val="17"/>
          <w:color w:val="auto"/>
        </w:rPr>
        <w:t>the benefits which would be paid to such Participant or on his behalf to his beneficiary(ies) under the Basic Plan, if the provisions of such Plan were administered without regard to the benefit limitations under Section 415 of the Code set forth in the Basic Plan, over</w:t>
      </w:r>
    </w:p>
    <w:p>
      <w:pPr>
        <w:spacing w:after="0" w:line="81" w:lineRule="exact"/>
        <w:rPr>
          <w:rFonts w:ascii="Arial" w:cs="Arial" w:eastAsia="Arial" w:hAnsi="Arial"/>
          <w:sz w:val="17"/>
          <w:szCs w:val="17"/>
          <w:color w:val="auto"/>
        </w:rPr>
      </w:pPr>
    </w:p>
    <w:p>
      <w:pPr>
        <w:ind w:left="584" w:hanging="296"/>
        <w:spacing w:after="0"/>
        <w:tabs>
          <w:tab w:leader="none" w:pos="584" w:val="left"/>
        </w:tabs>
        <w:numPr>
          <w:ilvl w:val="1"/>
          <w:numId w:val="36"/>
        </w:numPr>
        <w:rPr>
          <w:rFonts w:ascii="Arial" w:cs="Arial" w:eastAsia="Arial" w:hAnsi="Arial"/>
          <w:sz w:val="19"/>
          <w:szCs w:val="19"/>
          <w:color w:val="auto"/>
        </w:rPr>
      </w:pPr>
      <w:r>
        <w:rPr>
          <w:rFonts w:ascii="Arial" w:cs="Arial" w:eastAsia="Arial" w:hAnsi="Arial"/>
          <w:sz w:val="19"/>
          <w:szCs w:val="19"/>
          <w:color w:val="auto"/>
        </w:rPr>
        <w:t>the benefits which are paid to such Participant or on his behalf to his beneficiary(ies) under the Basic Plan.</w:t>
      </w:r>
    </w:p>
    <w:p>
      <w:pPr>
        <w:spacing w:after="0" w:line="183" w:lineRule="exact"/>
        <w:rPr>
          <w:rFonts w:ascii="Arial" w:cs="Arial" w:eastAsia="Arial" w:hAnsi="Arial"/>
          <w:sz w:val="19"/>
          <w:szCs w:val="19"/>
          <w:color w:val="auto"/>
        </w:rPr>
      </w:pPr>
    </w:p>
    <w:p>
      <w:pPr>
        <w:ind w:left="284" w:hanging="284"/>
        <w:spacing w:after="0"/>
        <w:tabs>
          <w:tab w:leader="none" w:pos="284" w:val="left"/>
        </w:tabs>
        <w:numPr>
          <w:ilvl w:val="0"/>
          <w:numId w:val="37"/>
        </w:numPr>
        <w:rPr>
          <w:rFonts w:ascii="Arial" w:cs="Arial" w:eastAsia="Arial" w:hAnsi="Arial"/>
          <w:sz w:val="19"/>
          <w:szCs w:val="19"/>
          <w:color w:val="auto"/>
        </w:rPr>
      </w:pPr>
      <w:r>
        <w:rPr>
          <w:rFonts w:ascii="Arial" w:cs="Arial" w:eastAsia="Arial" w:hAnsi="Arial"/>
          <w:sz w:val="19"/>
          <w:szCs w:val="19"/>
          <w:b w:val="1"/>
          <w:bCs w:val="1"/>
          <w:color w:val="auto"/>
        </w:rPr>
        <w:t>401(a) (17) Make-Up</w:t>
      </w:r>
    </w:p>
    <w:p>
      <w:pPr>
        <w:spacing w:after="0" w:line="196" w:lineRule="exact"/>
        <w:rPr>
          <w:sz w:val="20"/>
          <w:szCs w:val="20"/>
          <w:color w:val="auto"/>
        </w:rPr>
      </w:pPr>
    </w:p>
    <w:p>
      <w:pPr>
        <w:ind w:left="584" w:right="20"/>
        <w:spacing w:after="0" w:line="326" w:lineRule="auto"/>
        <w:rPr>
          <w:sz w:val="20"/>
          <w:szCs w:val="20"/>
          <w:color w:val="auto"/>
        </w:rPr>
      </w:pPr>
      <w:r>
        <w:rPr>
          <w:rFonts w:ascii="Arial" w:cs="Arial" w:eastAsia="Arial" w:hAnsi="Arial"/>
          <w:sz w:val="17"/>
          <w:szCs w:val="17"/>
          <w:color w:val="auto"/>
        </w:rPr>
        <w:t>The benefits payable under this subsection (B) to a Participant whose benefits under the Basic Plan are limited by the covered compensation limitations of Section 401(a)(17) of the Code incorporated in the Basic Plan, or to his beneficiary(ies), shall equal the excess, if any, of:</w:t>
      </w:r>
    </w:p>
    <w:p>
      <w:pPr>
        <w:spacing w:after="0" w:line="82" w:lineRule="exact"/>
        <w:rPr>
          <w:sz w:val="20"/>
          <w:szCs w:val="20"/>
          <w:color w:val="auto"/>
        </w:rPr>
      </w:pPr>
    </w:p>
    <w:p>
      <w:pPr>
        <w:ind w:left="864" w:right="160" w:hanging="576"/>
        <w:spacing w:after="0" w:line="244" w:lineRule="auto"/>
        <w:tabs>
          <w:tab w:leader="none" w:pos="576" w:val="left"/>
        </w:tabs>
        <w:numPr>
          <w:ilvl w:val="0"/>
          <w:numId w:val="38"/>
        </w:numPr>
        <w:rPr>
          <w:rFonts w:ascii="Arial" w:cs="Arial" w:eastAsia="Arial" w:hAnsi="Arial"/>
          <w:sz w:val="19"/>
          <w:szCs w:val="19"/>
          <w:color w:val="auto"/>
        </w:rPr>
      </w:pPr>
      <w:r>
        <w:rPr>
          <w:rFonts w:ascii="Arial" w:cs="Arial" w:eastAsia="Arial" w:hAnsi="Arial"/>
          <w:sz w:val="19"/>
          <w:szCs w:val="19"/>
          <w:color w:val="auto"/>
        </w:rPr>
        <w:t>the benefits which would be paid to such Participant or on his behalf to his beneficiary(ies) under the Basic Plan, and, if applicable, to the Participant, under subsection (A), if the provisions of such Plan were administered without regard to the covered compensation limitations under Section 401(a)(17) of the Code set forth in the Basic Plan (and, with respect to covered compensation paid or payable in plan years beginning on or after January 1, 2007, with a maximum compensation limit for each plan year of Two Million Dollars ($2,000,000)), over</w:t>
      </w:r>
    </w:p>
    <w:p>
      <w:pPr>
        <w:spacing w:after="0" w:line="150" w:lineRule="exact"/>
        <w:rPr>
          <w:rFonts w:ascii="Arial" w:cs="Arial" w:eastAsia="Arial" w:hAnsi="Arial"/>
          <w:sz w:val="19"/>
          <w:szCs w:val="19"/>
          <w:color w:val="auto"/>
        </w:rPr>
      </w:pPr>
    </w:p>
    <w:p>
      <w:pPr>
        <w:ind w:left="864" w:right="840" w:hanging="576"/>
        <w:spacing w:after="0" w:line="266" w:lineRule="auto"/>
        <w:tabs>
          <w:tab w:leader="none" w:pos="576" w:val="left"/>
        </w:tabs>
        <w:numPr>
          <w:ilvl w:val="0"/>
          <w:numId w:val="38"/>
        </w:numPr>
        <w:rPr>
          <w:rFonts w:ascii="Arial" w:cs="Arial" w:eastAsia="Arial" w:hAnsi="Arial"/>
          <w:sz w:val="19"/>
          <w:szCs w:val="19"/>
          <w:color w:val="auto"/>
        </w:rPr>
      </w:pPr>
      <w:r>
        <w:rPr>
          <w:rFonts w:ascii="Arial" w:cs="Arial" w:eastAsia="Arial" w:hAnsi="Arial"/>
          <w:sz w:val="19"/>
          <w:szCs w:val="19"/>
          <w:color w:val="auto"/>
        </w:rPr>
        <w:t>the benefits which are paid to such Participant or on his behalf to his beneficiary(ies) under the Basic Plan and, if applicable to the Participant, under subsection (A).</w:t>
      </w:r>
    </w:p>
    <w:p>
      <w:pPr>
        <w:spacing w:after="0" w:line="134" w:lineRule="exact"/>
        <w:rPr>
          <w:sz w:val="20"/>
          <w:szCs w:val="20"/>
          <w:color w:val="auto"/>
        </w:rPr>
      </w:pPr>
    </w:p>
    <w:p>
      <w:pPr>
        <w:ind w:left="584" w:hanging="296"/>
        <w:spacing w:after="0"/>
        <w:tabs>
          <w:tab w:leader="none" w:pos="584" w:val="left"/>
        </w:tabs>
        <w:numPr>
          <w:ilvl w:val="0"/>
          <w:numId w:val="39"/>
        </w:numPr>
        <w:rPr>
          <w:rFonts w:ascii="Arial" w:cs="Arial" w:eastAsia="Arial" w:hAnsi="Arial"/>
          <w:sz w:val="19"/>
          <w:szCs w:val="19"/>
          <w:color w:val="auto"/>
        </w:rPr>
      </w:pPr>
      <w:r>
        <w:rPr>
          <w:rFonts w:ascii="Arial" w:cs="Arial" w:eastAsia="Arial" w:hAnsi="Arial"/>
          <w:sz w:val="19"/>
          <w:szCs w:val="19"/>
          <w:b w:val="1"/>
          <w:bCs w:val="1"/>
          <w:color w:val="auto"/>
        </w:rPr>
        <w:t>Conformance with Treasury Regulations</w:t>
      </w:r>
    </w:p>
    <w:p>
      <w:pPr>
        <w:spacing w:after="0" w:line="195" w:lineRule="exact"/>
        <w:rPr>
          <w:rFonts w:ascii="Arial" w:cs="Arial" w:eastAsia="Arial" w:hAnsi="Arial"/>
          <w:sz w:val="19"/>
          <w:szCs w:val="19"/>
          <w:color w:val="auto"/>
        </w:rPr>
      </w:pPr>
    </w:p>
    <w:p>
      <w:pPr>
        <w:ind w:left="584" w:right="20"/>
        <w:spacing w:after="0" w:line="277" w:lineRule="auto"/>
        <w:rPr>
          <w:rFonts w:ascii="Arial" w:cs="Arial" w:eastAsia="Arial" w:hAnsi="Arial"/>
          <w:sz w:val="19"/>
          <w:szCs w:val="19"/>
          <w:color w:val="auto"/>
        </w:rPr>
      </w:pPr>
      <w:r>
        <w:rPr>
          <w:rFonts w:ascii="Arial" w:cs="Arial" w:eastAsia="Arial" w:hAnsi="Arial"/>
          <w:sz w:val="17"/>
          <w:szCs w:val="17"/>
          <w:color w:val="auto"/>
        </w:rPr>
        <w:t>The benefits payable under subsections (A) and (B) are determined under the formula determining benefits under the Basic Plan, and the benefits payable under subsections (A) and (B) are determined as an amount offset by the benefits provided under the Basic Plan. The benefits payable under this Plan shall be determined in a manner consistent with Treasury Regulation Sections 1.409A-2(a)(9) and 1.409A-3(j)(5) (relating to nonqualified deferred compensation plans linked to qualified employer plans). Any amendment of the Basic Plan shall be taken into account under this Plan only to the extent permitted under Treasury Regulation Sections 1.409A-2(a)(9) and 1.409A-3(j)(5). Any reference to the interest and mortality factors (or actuarial methods and assumptions) specified in the Basic Plan shall mean the applicable</w:t>
      </w:r>
    </w:p>
    <w:p>
      <w:pPr>
        <w:sectPr>
          <w:pgSz w:w="11900" w:h="16838" w:orient="portrait"/>
          <w:cols w:equalWidth="0" w:num="1">
            <w:col w:w="11424"/>
          </w:cols>
          <w:pgMar w:left="236" w:top="487" w:right="239" w:bottom="0" w:gutter="0" w:footer="0" w:header="0"/>
        </w:sectPr>
      </w:pPr>
    </w:p>
    <w:bookmarkStart w:id="67" w:name="page68"/>
    <w:bookmarkEnd w:id="67"/>
    <w:p>
      <w:pPr>
        <w:ind w:left="584" w:right="80"/>
        <w:spacing w:after="0" w:line="267" w:lineRule="auto"/>
        <w:rPr>
          <w:sz w:val="20"/>
          <w:szCs w:val="20"/>
          <w:color w:val="auto"/>
        </w:rPr>
      </w:pPr>
      <w:r>
        <w:rPr>
          <w:rFonts w:ascii="Arial" w:cs="Arial" w:eastAsia="Arial" w:hAnsi="Arial"/>
          <w:sz w:val="19"/>
          <w:szCs w:val="19"/>
          <w:color w:val="auto"/>
        </w:rPr>
        <w:t>interest and mortality factors (or actuarial methods or assumptions) specified under the terms of the Basic Plan as in effect on December 31, 2008.</w:t>
      </w:r>
    </w:p>
    <w:p>
      <w:pPr>
        <w:spacing w:after="0" w:line="121" w:lineRule="exact"/>
        <w:rPr>
          <w:sz w:val="20"/>
          <w:szCs w:val="20"/>
          <w:color w:val="auto"/>
        </w:rPr>
      </w:pPr>
    </w:p>
    <w:p>
      <w:pPr>
        <w:ind w:left="284" w:hanging="284"/>
        <w:spacing w:after="0"/>
        <w:tabs>
          <w:tab w:leader="none" w:pos="284" w:val="left"/>
        </w:tabs>
        <w:numPr>
          <w:ilvl w:val="0"/>
          <w:numId w:val="40"/>
        </w:numPr>
        <w:rPr>
          <w:rFonts w:ascii="Arial" w:cs="Arial" w:eastAsia="Arial" w:hAnsi="Arial"/>
          <w:sz w:val="19"/>
          <w:szCs w:val="19"/>
          <w:b w:val="1"/>
          <w:bCs w:val="1"/>
          <w:color w:val="auto"/>
        </w:rPr>
      </w:pPr>
      <w:r>
        <w:rPr>
          <w:rFonts w:ascii="Arial" w:cs="Arial" w:eastAsia="Arial" w:hAnsi="Arial"/>
          <w:sz w:val="19"/>
          <w:szCs w:val="19"/>
          <w:b w:val="1"/>
          <w:bCs w:val="1"/>
          <w:color w:val="auto"/>
        </w:rPr>
        <w:t>PAYMENT OF BENEFITS</w:t>
      </w:r>
    </w:p>
    <w:p>
      <w:pPr>
        <w:spacing w:after="0" w:line="189" w:lineRule="exact"/>
        <w:rPr>
          <w:rFonts w:ascii="Arial" w:cs="Arial" w:eastAsia="Arial" w:hAnsi="Arial"/>
          <w:sz w:val="19"/>
          <w:szCs w:val="19"/>
          <w:b w:val="1"/>
          <w:bCs w:val="1"/>
          <w:color w:val="auto"/>
        </w:rPr>
      </w:pPr>
    </w:p>
    <w:p>
      <w:pPr>
        <w:ind w:left="584" w:hanging="296"/>
        <w:spacing w:after="0"/>
        <w:tabs>
          <w:tab w:leader="none" w:pos="584" w:val="left"/>
        </w:tabs>
        <w:numPr>
          <w:ilvl w:val="1"/>
          <w:numId w:val="40"/>
        </w:numPr>
        <w:rPr>
          <w:rFonts w:ascii="Arial" w:cs="Arial" w:eastAsia="Arial" w:hAnsi="Arial"/>
          <w:sz w:val="19"/>
          <w:szCs w:val="19"/>
          <w:color w:val="auto"/>
        </w:rPr>
      </w:pPr>
      <w:r>
        <w:rPr>
          <w:rFonts w:ascii="Arial" w:cs="Arial" w:eastAsia="Arial" w:hAnsi="Arial"/>
          <w:sz w:val="19"/>
          <w:szCs w:val="19"/>
          <w:b w:val="1"/>
          <w:bCs w:val="1"/>
          <w:color w:val="auto"/>
        </w:rPr>
        <w:t>Distribution Options for Certain SERP Participants</w:t>
      </w:r>
    </w:p>
    <w:p>
      <w:pPr>
        <w:spacing w:after="0" w:line="183" w:lineRule="exact"/>
        <w:rPr>
          <w:rFonts w:ascii="Arial" w:cs="Arial" w:eastAsia="Arial" w:hAnsi="Arial"/>
          <w:sz w:val="19"/>
          <w:szCs w:val="19"/>
          <w:color w:val="auto"/>
        </w:rPr>
      </w:pPr>
    </w:p>
    <w:p>
      <w:pPr>
        <w:ind w:left="864" w:right="400" w:hanging="287"/>
        <w:spacing w:after="0" w:line="326" w:lineRule="auto"/>
        <w:tabs>
          <w:tab w:leader="none" w:pos="864" w:val="left"/>
        </w:tabs>
        <w:numPr>
          <w:ilvl w:val="2"/>
          <w:numId w:val="40"/>
        </w:numPr>
        <w:rPr>
          <w:rFonts w:ascii="Arial" w:cs="Arial" w:eastAsia="Arial" w:hAnsi="Arial"/>
          <w:sz w:val="17"/>
          <w:szCs w:val="17"/>
          <w:color w:val="auto"/>
        </w:rPr>
      </w:pPr>
      <w:r>
        <w:rPr>
          <w:rFonts w:ascii="Arial" w:cs="Arial" w:eastAsia="Arial" w:hAnsi="Arial"/>
          <w:sz w:val="17"/>
          <w:szCs w:val="17"/>
          <w:color w:val="auto"/>
        </w:rPr>
        <w:t>In the case of a Participant who is an Eligible Employee, and is a participant under the SERP (as defined below) as of December 31, 2005, the payment of benefits to such Participant under this Plan shall be made in accordance with this subsection (A).</w:t>
      </w:r>
    </w:p>
    <w:p>
      <w:pPr>
        <w:spacing w:after="0" w:line="81" w:lineRule="exact"/>
        <w:rPr>
          <w:rFonts w:ascii="Arial" w:cs="Arial" w:eastAsia="Arial" w:hAnsi="Arial"/>
          <w:sz w:val="17"/>
          <w:szCs w:val="17"/>
          <w:color w:val="auto"/>
        </w:rPr>
      </w:pPr>
    </w:p>
    <w:p>
      <w:pPr>
        <w:ind w:left="864" w:right="20" w:hanging="287"/>
        <w:spacing w:after="0" w:line="242" w:lineRule="auto"/>
        <w:tabs>
          <w:tab w:leader="none" w:pos="864" w:val="left"/>
        </w:tabs>
        <w:numPr>
          <w:ilvl w:val="2"/>
          <w:numId w:val="40"/>
        </w:numPr>
        <w:rPr>
          <w:rFonts w:ascii="Arial" w:cs="Arial" w:eastAsia="Arial" w:hAnsi="Arial"/>
          <w:sz w:val="19"/>
          <w:szCs w:val="19"/>
          <w:color w:val="auto"/>
        </w:rPr>
      </w:pPr>
      <w:r>
        <w:rPr>
          <w:rFonts w:ascii="Arial" w:cs="Arial" w:eastAsia="Arial" w:hAnsi="Arial"/>
          <w:sz w:val="19"/>
          <w:szCs w:val="19"/>
          <w:color w:val="auto"/>
        </w:rPr>
        <w:t>Unless the Participant exercises the Lump Sump Option and receives a lump sum distribution from the Basic Plan, the payment of such Participant’s Pre-Section 409A Benefit under this Plan shall be in the same payment form and at the same time as the payment of benefits to the Participant or on his behalf to his beneficiary(ies) under the Basic Plan. In the event a Participant receives a lump sum distribution from the Basic Plan, payment of such Participant’s Pre-Section 409A Benefit under this Plan will be made in the form of a straight life annuity. However, the Participant may request, in writing, payment of such Participant’s Pre-Section 409A Benefit under one of the following alternatives provided such request is filed with Sempra Energy at least three months prior to his Retirement Date or Termination under the Basic Plan:</w:t>
      </w:r>
    </w:p>
    <w:p>
      <w:pPr>
        <w:spacing w:after="0" w:line="163" w:lineRule="exact"/>
        <w:rPr>
          <w:rFonts w:ascii="Arial" w:cs="Arial" w:eastAsia="Arial" w:hAnsi="Arial"/>
          <w:sz w:val="19"/>
          <w:szCs w:val="19"/>
          <w:color w:val="auto"/>
        </w:rPr>
      </w:pPr>
    </w:p>
    <w:p>
      <w:pPr>
        <w:ind w:left="1144" w:right="160" w:hanging="279"/>
        <w:spacing w:after="0" w:line="261" w:lineRule="auto"/>
        <w:tabs>
          <w:tab w:leader="none" w:pos="1144" w:val="left"/>
        </w:tabs>
        <w:numPr>
          <w:ilvl w:val="3"/>
          <w:numId w:val="40"/>
        </w:numPr>
        <w:rPr>
          <w:rFonts w:ascii="Arial" w:cs="Arial" w:eastAsia="Arial" w:hAnsi="Arial"/>
          <w:sz w:val="18"/>
          <w:szCs w:val="18"/>
          <w:color w:val="auto"/>
        </w:rPr>
      </w:pPr>
      <w:r>
        <w:rPr>
          <w:rFonts w:ascii="Arial" w:cs="Arial" w:eastAsia="Arial" w:hAnsi="Arial"/>
          <w:sz w:val="18"/>
          <w:szCs w:val="18"/>
          <w:color w:val="auto"/>
        </w:rPr>
        <w:t>The Participant may request payment of such Participant’s Pre-Section 409A Benefit under any of the other annuity options for which he is eligible under the Basic Plan. The amount of such optional annuity benefit with respect to his or her Pre-Section 409A Benefit under this Plan shall be computed as specified in Section 5 of this Plan using the interest and mortality factors specified in the Basic Plan. The request will be subject to approval of the Company's Senior Human Resources Officer and, if approved, will be irrevocable as long as the Participant receives a lump sum distribution from the Basic Plan.</w:t>
      </w:r>
    </w:p>
    <w:p>
      <w:pPr>
        <w:spacing w:after="0" w:line="135" w:lineRule="exact"/>
        <w:rPr>
          <w:rFonts w:ascii="Arial" w:cs="Arial" w:eastAsia="Arial" w:hAnsi="Arial"/>
          <w:sz w:val="18"/>
          <w:szCs w:val="18"/>
          <w:color w:val="auto"/>
        </w:rPr>
      </w:pPr>
    </w:p>
    <w:p>
      <w:pPr>
        <w:ind w:left="1144" w:hanging="279"/>
        <w:spacing w:after="0" w:line="257" w:lineRule="auto"/>
        <w:tabs>
          <w:tab w:leader="none" w:pos="1144" w:val="left"/>
        </w:tabs>
        <w:numPr>
          <w:ilvl w:val="3"/>
          <w:numId w:val="40"/>
        </w:numPr>
        <w:rPr>
          <w:rFonts w:ascii="Arial" w:cs="Arial" w:eastAsia="Arial" w:hAnsi="Arial"/>
          <w:sz w:val="18"/>
          <w:szCs w:val="18"/>
          <w:color w:val="auto"/>
        </w:rPr>
      </w:pPr>
      <w:r>
        <w:rPr>
          <w:rFonts w:ascii="Arial" w:cs="Arial" w:eastAsia="Arial" w:hAnsi="Arial"/>
          <w:sz w:val="18"/>
          <w:szCs w:val="18"/>
          <w:color w:val="auto"/>
        </w:rPr>
        <w:t>The Participant may request payment of such Participant’s Pre-Section 409A Benefit in a lump sum. The amount of the distribution with respect to his or her Pre-Section 409A Benefit under this Plan shall be computed as specified in Section 5 of this Plan using the actuarial factors specified in the Basic Plan. In the event such a request is timely filed, the request shall be considered by the Senior Human Resources Officer who shall have the sole discretion, considering the best interests of the Company, to allow a lump sum distribution. The decision of the Senior Human Resources Officer shall be final. The Participant will be required to show good reason for receiving a lump sum distribution and, file the request at least three months prior to separation from service as a condition of having the request approved. If the lump sum pay out is approved, the lump sum form of pay ou t shall be irrevocable even if the Participant changes his election under the Basic Plan.</w:t>
      </w:r>
    </w:p>
    <w:p>
      <w:pPr>
        <w:spacing w:after="0" w:line="149" w:lineRule="exact"/>
        <w:rPr>
          <w:sz w:val="20"/>
          <w:szCs w:val="20"/>
          <w:color w:val="auto"/>
        </w:rPr>
      </w:pPr>
    </w:p>
    <w:p>
      <w:pPr>
        <w:ind w:left="864" w:right="120"/>
        <w:spacing w:after="0" w:line="247" w:lineRule="auto"/>
        <w:rPr>
          <w:sz w:val="20"/>
          <w:szCs w:val="20"/>
          <w:color w:val="auto"/>
        </w:rPr>
      </w:pPr>
      <w:r>
        <w:rPr>
          <w:rFonts w:ascii="Arial" w:cs="Arial" w:eastAsia="Arial" w:hAnsi="Arial"/>
          <w:sz w:val="19"/>
          <w:szCs w:val="19"/>
          <w:color w:val="auto"/>
        </w:rPr>
        <w:t>The Participant’s beneficiary(ies) with respect to his or her Pre-Section 409A Benefit under this Plan shall be exactly the same as his beneficiary(ies) under the Basic Plan unless he elects and receives a lump sum distribution from the Basic Plan. In this event, the following provisions will apply if such Participant’s Pre-Section 409A Benefit under this Plan is paid in the form of a joint and survivor annuity.</w:t>
      </w:r>
    </w:p>
    <w:p>
      <w:pPr>
        <w:spacing w:after="0" w:line="158" w:lineRule="exact"/>
        <w:rPr>
          <w:sz w:val="20"/>
          <w:szCs w:val="20"/>
          <w:color w:val="auto"/>
        </w:rPr>
      </w:pPr>
    </w:p>
    <w:p>
      <w:pPr>
        <w:ind w:left="864"/>
        <w:spacing w:after="0" w:line="285" w:lineRule="auto"/>
        <w:rPr>
          <w:sz w:val="20"/>
          <w:szCs w:val="20"/>
          <w:color w:val="auto"/>
        </w:rPr>
      </w:pPr>
      <w:r>
        <w:rPr>
          <w:rFonts w:ascii="Arial" w:cs="Arial" w:eastAsia="Arial" w:hAnsi="Arial"/>
          <w:sz w:val="17"/>
          <w:szCs w:val="17"/>
          <w:color w:val="auto"/>
        </w:rPr>
        <w:t>The joint and survivor annuity is only available with respect to such Participant’s Pre-Section 409A Benefit if the Participant designates his or her spouse as beneficiary or obtains spousal consent to the designation of another beneficiary in the same manner as under the Basic Plan. If the spouse, or beneficiary dies before the Participant’s Retirement Date under the Basic Plan, the joint and survivor annuity with respect to such Participant’s Pre-Section 409A Benefit is canceled and the benefit is paid in the form of a straight life annuity.</w:t>
      </w:r>
    </w:p>
    <w:p>
      <w:pPr>
        <w:spacing w:after="0" w:line="117" w:lineRule="exact"/>
        <w:rPr>
          <w:sz w:val="20"/>
          <w:szCs w:val="20"/>
          <w:color w:val="auto"/>
        </w:rPr>
      </w:pPr>
    </w:p>
    <w:p>
      <w:pPr>
        <w:ind w:left="864" w:right="320" w:hanging="287"/>
        <w:spacing w:after="0" w:line="265" w:lineRule="auto"/>
        <w:tabs>
          <w:tab w:leader="none" w:pos="1152"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payment of such Participant’s Post-Section 409A Benefit under this Plan shall be in a lump sum upon the Participant’s Separation from Service, unless the Participant elects to receive an optional annuity form of payment under subparagraph (a). The amount of the Participant’s lump sum distribution with respect to his Post-Section 409A Benefit under this Plan shall be computed as specified in Section 5 of this Plan using the actuarial factors specified in the Basic Plan.</w:t>
      </w:r>
    </w:p>
    <w:p>
      <w:pPr>
        <w:spacing w:after="0" w:line="142" w:lineRule="exact"/>
        <w:rPr>
          <w:rFonts w:ascii="Arial" w:cs="Arial" w:eastAsia="Arial" w:hAnsi="Arial"/>
          <w:sz w:val="18"/>
          <w:szCs w:val="18"/>
          <w:color w:val="auto"/>
        </w:rPr>
      </w:pPr>
    </w:p>
    <w:p>
      <w:pPr>
        <w:ind w:left="1144" w:right="20" w:hanging="279"/>
        <w:spacing w:after="0" w:line="258" w:lineRule="auto"/>
        <w:tabs>
          <w:tab w:leader="none" w:pos="1144" w:val="left"/>
        </w:tabs>
        <w:numPr>
          <w:ilvl w:val="1"/>
          <w:numId w:val="41"/>
        </w:numPr>
        <w:rPr>
          <w:rFonts w:ascii="Arial" w:cs="Arial" w:eastAsia="Arial" w:hAnsi="Arial"/>
          <w:sz w:val="18"/>
          <w:szCs w:val="18"/>
          <w:color w:val="auto"/>
        </w:rPr>
      </w:pPr>
      <w:r>
        <w:rPr>
          <w:rFonts w:ascii="Arial" w:cs="Arial" w:eastAsia="Arial" w:hAnsi="Arial"/>
          <w:sz w:val="18"/>
          <w:szCs w:val="18"/>
          <w:color w:val="auto"/>
        </w:rPr>
        <w:t>The Participant may elect, in writing, payment commencing upon the Participant’s Separation from Service under any of the following annuity options: (I) a straight life annuity, (II) a joint and 50% survivor annuity, and (III) a joint and 100% survivor annuity. The amount of such optional annuity benefit with respect to such Participant’s Post-Section 409A Benefit under this Plan shall be computed as specified in Section 5 of this Plan using the interest and mortality factors specified in the Basic Plan. The election will be subject to approval of the Company's Senior Human Resources Officer, in his or her discretion, and, if approved, will become effective and irrevocable on the date of such approval (except as provided in subsection (B)). The payment of such Participant’s Post-Section 409A Benefit in an annuity form shall commence upon the P articipant’s Separation from Service.</w:t>
      </w:r>
    </w:p>
    <w:p>
      <w:pPr>
        <w:spacing w:after="0" w:line="136" w:lineRule="exact"/>
        <w:rPr>
          <w:rFonts w:ascii="Arial" w:cs="Arial" w:eastAsia="Arial" w:hAnsi="Arial"/>
          <w:sz w:val="18"/>
          <w:szCs w:val="18"/>
          <w:color w:val="auto"/>
        </w:rPr>
      </w:pPr>
    </w:p>
    <w:p>
      <w:pPr>
        <w:ind w:left="1144" w:right="100" w:hanging="279"/>
        <w:spacing w:after="0" w:line="255" w:lineRule="auto"/>
        <w:tabs>
          <w:tab w:leader="none" w:pos="1144" w:val="left"/>
        </w:tabs>
        <w:numPr>
          <w:ilvl w:val="1"/>
          <w:numId w:val="41"/>
        </w:numPr>
        <w:rPr>
          <w:rFonts w:ascii="Arial" w:cs="Arial" w:eastAsia="Arial" w:hAnsi="Arial"/>
          <w:sz w:val="18"/>
          <w:szCs w:val="18"/>
          <w:color w:val="auto"/>
        </w:rPr>
      </w:pPr>
      <w:r>
        <w:rPr>
          <w:rFonts w:ascii="Arial" w:cs="Arial" w:eastAsia="Arial" w:hAnsi="Arial"/>
          <w:sz w:val="18"/>
          <w:szCs w:val="18"/>
          <w:color w:val="auto"/>
        </w:rPr>
        <w:t>A Participant’s election under subparagraph (a) may be made with respect to a Participant’s Post-Section 409A Benefit on or after January 1, 2006 and on or before December 31, 2008 in accordance with the transitional relief under Section 409A of the Internal Revenue Code and Internal Revenue Service Notices 2006-79 and 2007-86; provided, however, that a Participant’s election made in 2006 shall only apply with respect to payments that would not otherwise be payable in 2006, and shall not cause payments to be made in 2006 that would not otherwise be payable in 2006; and, provided, further, that a Participant’s election made in 2007 shall apply only with respect to payments that would not otherwise be payable in 2007 and shall not cause payments to be made in 2007 that would not otherwise be payable in 2007; and provided, further, that a Participant’s electio n made in 2008 shall apply only with respect to payments that would not otherwise be payable in 2008, and shall not cause payments to be made in 2008 that would not otherwise be payable in 2008. A Participant’s election under subparagraph (a) shall be considered made when the election becomes irrevocable. No election under subparagraph (a) may be made by a Participant unless such election becomes irrevocable on or prior to December 31, 2008.</w:t>
      </w:r>
    </w:p>
    <w:p>
      <w:pPr>
        <w:spacing w:after="0" w:line="139" w:lineRule="exact"/>
        <w:rPr>
          <w:rFonts w:ascii="Arial" w:cs="Arial" w:eastAsia="Arial" w:hAnsi="Arial"/>
          <w:sz w:val="18"/>
          <w:szCs w:val="18"/>
          <w:color w:val="auto"/>
        </w:rPr>
      </w:pPr>
    </w:p>
    <w:p>
      <w:pPr>
        <w:ind w:left="1144" w:right="20" w:hanging="279"/>
        <w:spacing w:after="0" w:line="259" w:lineRule="auto"/>
        <w:tabs>
          <w:tab w:leader="none" w:pos="1144" w:val="left"/>
        </w:tabs>
        <w:numPr>
          <w:ilvl w:val="1"/>
          <w:numId w:val="41"/>
        </w:numPr>
        <w:rPr>
          <w:rFonts w:ascii="Arial" w:cs="Arial" w:eastAsia="Arial" w:hAnsi="Arial"/>
          <w:sz w:val="18"/>
          <w:szCs w:val="18"/>
          <w:color w:val="auto"/>
        </w:rPr>
      </w:pPr>
      <w:r>
        <w:rPr>
          <w:rFonts w:ascii="Arial" w:cs="Arial" w:eastAsia="Arial" w:hAnsi="Arial"/>
          <w:sz w:val="18"/>
          <w:szCs w:val="18"/>
          <w:color w:val="auto"/>
        </w:rPr>
        <w:t>The joint and survivor annuity is only available under clause (a)(II) or (III) if the Participant designates his or her spouse as beneficiary or obtains spousal consent to the designation of another beneficiary in the same manner as under the Basic Plan as part of the Participant’s election. If the spouse, or beneficiary dies before the Participant’s Separation from Service, the joint and survivor annuity is canceled and the benefit is paid in the form of a straight life annuity; provided, that the straight life annuity is actuarially equivalent, applying reasonable actuarial methods and assumptions, to the joint and survivor annuity in effect prior to such cancellation, as determined under Treasury Regulation Section 1.409A-2(b)(2)(ii).</w:t>
      </w:r>
    </w:p>
    <w:p>
      <w:pPr>
        <w:spacing w:after="0" w:line="149" w:lineRule="exact"/>
        <w:rPr>
          <w:rFonts w:ascii="Arial" w:cs="Arial" w:eastAsia="Arial" w:hAnsi="Arial"/>
          <w:sz w:val="18"/>
          <w:szCs w:val="18"/>
          <w:color w:val="auto"/>
        </w:rPr>
      </w:pPr>
    </w:p>
    <w:p>
      <w:pPr>
        <w:ind w:left="1144" w:right="440" w:hanging="279"/>
        <w:spacing w:after="0" w:line="266" w:lineRule="auto"/>
        <w:tabs>
          <w:tab w:leader="none" w:pos="1144" w:val="left"/>
        </w:tabs>
        <w:numPr>
          <w:ilvl w:val="1"/>
          <w:numId w:val="41"/>
        </w:numPr>
        <w:rPr>
          <w:rFonts w:ascii="Arial" w:cs="Arial" w:eastAsia="Arial" w:hAnsi="Arial"/>
          <w:sz w:val="19"/>
          <w:szCs w:val="19"/>
          <w:color w:val="auto"/>
        </w:rPr>
      </w:pPr>
      <w:r>
        <w:rPr>
          <w:rFonts w:ascii="Arial" w:cs="Arial" w:eastAsia="Arial" w:hAnsi="Arial"/>
          <w:sz w:val="19"/>
          <w:szCs w:val="19"/>
          <w:color w:val="auto"/>
        </w:rPr>
        <w:t>Except as provided in subsection (B), such Participant may not change the form and time of payment of such Participant’s Post-Section 409A Benefit under this Plan after December 31, 2008.</w:t>
      </w:r>
    </w:p>
    <w:p>
      <w:pPr>
        <w:sectPr>
          <w:pgSz w:w="11900" w:h="16838" w:orient="portrait"/>
          <w:cols w:equalWidth="0" w:num="1">
            <w:col w:w="11424"/>
          </w:cols>
          <w:pgMar w:left="236" w:top="120" w:right="239" w:bottom="0" w:gutter="0" w:footer="0" w:header="0"/>
        </w:sectPr>
      </w:pPr>
    </w:p>
    <w:bookmarkStart w:id="68" w:name="page69"/>
    <w:bookmarkEnd w:id="68"/>
    <w:p>
      <w:pPr>
        <w:ind w:left="576" w:hanging="287"/>
        <w:spacing w:after="0" w:line="252" w:lineRule="auto"/>
        <w:tabs>
          <w:tab w:leader="none" w:pos="613" w:val="left"/>
        </w:tabs>
        <w:numPr>
          <w:ilvl w:val="1"/>
          <w:numId w:val="42"/>
        </w:numPr>
        <w:rPr>
          <w:rFonts w:ascii="Arial" w:cs="Arial" w:eastAsia="Arial" w:hAnsi="Arial"/>
          <w:sz w:val="19"/>
          <w:szCs w:val="19"/>
          <w:color w:val="auto"/>
        </w:rPr>
      </w:pPr>
      <w:r>
        <w:rPr>
          <w:rFonts w:ascii="Arial" w:cs="Arial" w:eastAsia="Arial" w:hAnsi="Arial"/>
          <w:sz w:val="19"/>
          <w:szCs w:val="19"/>
          <w:color w:val="auto"/>
        </w:rPr>
        <w:t>Notwithstanding the foregoing, in no event shall a distribution option be available or apply to a Participant’s Pre-Section 409A Benefit if such distribution option would result in a material modification of the Participant’s Pre-Section 409A Benefit, as determined under Section 409A of the Code and Treasury Regulation Section 1.409A-6.</w:t>
      </w:r>
    </w:p>
    <w:p>
      <w:pPr>
        <w:spacing w:after="0" w:line="141" w:lineRule="exact"/>
        <w:rPr>
          <w:rFonts w:ascii="Arial" w:cs="Arial" w:eastAsia="Arial" w:hAnsi="Arial"/>
          <w:sz w:val="19"/>
          <w:szCs w:val="19"/>
          <w:color w:val="auto"/>
        </w:rPr>
      </w:pPr>
    </w:p>
    <w:p>
      <w:pPr>
        <w:ind w:left="576" w:hanging="287"/>
        <w:spacing w:after="0" w:line="259" w:lineRule="auto"/>
        <w:tabs>
          <w:tab w:leader="none" w:pos="576" w:val="left"/>
        </w:tabs>
        <w:numPr>
          <w:ilvl w:val="1"/>
          <w:numId w:val="42"/>
        </w:numPr>
        <w:rPr>
          <w:rFonts w:ascii="Arial" w:cs="Arial" w:eastAsia="Arial" w:hAnsi="Arial"/>
          <w:sz w:val="18"/>
          <w:szCs w:val="18"/>
          <w:color w:val="auto"/>
        </w:rPr>
      </w:pPr>
      <w:r>
        <w:rPr>
          <w:rFonts w:ascii="Arial" w:cs="Arial" w:eastAsia="Arial" w:hAnsi="Arial"/>
          <w:sz w:val="18"/>
          <w:szCs w:val="18"/>
          <w:color w:val="auto"/>
        </w:rPr>
        <w:t>A lump sum payment of a Participant’s Post-Section 409A Benefit under this subsection (A) shall be paid on such date as is determined by Sempra Energy within thirty (30) days following the Participant’s Separation from Service. If an annuity payment is elected for purposes of the payment of such Participant’s Post-Section 409A Benefit under this subsection (A), such Post-Section 409A Benefit shall be paid monthly, beginning on the last day of the month of the Participant’s Separation from Service and shall continue to be paid monthly during the life of the Participant and the life of the Participant’s designated beneficiary, if any (if such beneficiary survives the Participant). In all cases, the monthly benefit shall equal the annual benefit divided by 12.</w:t>
      </w:r>
    </w:p>
    <w:p>
      <w:pPr>
        <w:spacing w:after="0" w:line="143" w:lineRule="exact"/>
        <w:rPr>
          <w:rFonts w:ascii="Arial" w:cs="Arial" w:eastAsia="Arial" w:hAnsi="Arial"/>
          <w:sz w:val="18"/>
          <w:szCs w:val="18"/>
          <w:color w:val="auto"/>
        </w:rPr>
      </w:pPr>
    </w:p>
    <w:p>
      <w:pPr>
        <w:ind w:left="296" w:hanging="296"/>
        <w:spacing w:after="0"/>
        <w:tabs>
          <w:tab w:leader="none" w:pos="296" w:val="left"/>
        </w:tabs>
        <w:numPr>
          <w:ilvl w:val="0"/>
          <w:numId w:val="43"/>
        </w:numPr>
        <w:rPr>
          <w:rFonts w:ascii="Arial" w:cs="Arial" w:eastAsia="Arial" w:hAnsi="Arial"/>
          <w:sz w:val="19"/>
          <w:szCs w:val="19"/>
          <w:color w:val="auto"/>
        </w:rPr>
      </w:pPr>
      <w:r>
        <w:rPr>
          <w:rFonts w:ascii="Arial" w:cs="Arial" w:eastAsia="Arial" w:hAnsi="Arial"/>
          <w:sz w:val="19"/>
          <w:szCs w:val="19"/>
          <w:b w:val="1"/>
          <w:bCs w:val="1"/>
          <w:color w:val="auto"/>
        </w:rPr>
        <w:t>Changes in Distribution Option for Certain SERP Participants</w:t>
      </w:r>
    </w:p>
    <w:p>
      <w:pPr>
        <w:spacing w:after="0" w:line="195" w:lineRule="exact"/>
        <w:rPr>
          <w:rFonts w:ascii="Arial" w:cs="Arial" w:eastAsia="Arial" w:hAnsi="Arial"/>
          <w:sz w:val="19"/>
          <w:szCs w:val="19"/>
          <w:color w:val="auto"/>
        </w:rPr>
      </w:pPr>
    </w:p>
    <w:p>
      <w:pPr>
        <w:ind w:left="296" w:right="420"/>
        <w:spacing w:after="0" w:line="266" w:lineRule="auto"/>
        <w:rPr>
          <w:rFonts w:ascii="Arial" w:cs="Arial" w:eastAsia="Arial" w:hAnsi="Arial"/>
          <w:sz w:val="19"/>
          <w:szCs w:val="19"/>
          <w:color w:val="auto"/>
        </w:rPr>
      </w:pPr>
      <w:r>
        <w:rPr>
          <w:rFonts w:ascii="Arial" w:cs="Arial" w:eastAsia="Arial" w:hAnsi="Arial"/>
          <w:sz w:val="19"/>
          <w:szCs w:val="19"/>
          <w:color w:val="auto"/>
        </w:rPr>
        <w:t>A Participant described in subsection (A) may elect to change the form of the payment of such Participant’s Post-Section 409A Benefit under this Plan, as follows:</w:t>
      </w:r>
    </w:p>
    <w:p>
      <w:pPr>
        <w:spacing w:after="0" w:line="128" w:lineRule="exact"/>
        <w:rPr>
          <w:rFonts w:ascii="Arial" w:cs="Arial" w:eastAsia="Arial" w:hAnsi="Arial"/>
          <w:sz w:val="19"/>
          <w:szCs w:val="19"/>
          <w:color w:val="auto"/>
        </w:rPr>
      </w:pPr>
    </w:p>
    <w:p>
      <w:pPr>
        <w:ind w:left="576" w:right="220" w:hanging="287"/>
        <w:spacing w:after="0" w:line="270" w:lineRule="auto"/>
        <w:tabs>
          <w:tab w:leader="none" w:pos="576" w:val="left"/>
        </w:tabs>
        <w:numPr>
          <w:ilvl w:val="1"/>
          <w:numId w:val="43"/>
        </w:numPr>
        <w:rPr>
          <w:rFonts w:ascii="Arial" w:cs="Arial" w:eastAsia="Arial" w:hAnsi="Arial"/>
          <w:sz w:val="17"/>
          <w:szCs w:val="17"/>
          <w:color w:val="auto"/>
        </w:rPr>
      </w:pPr>
      <w:r>
        <w:rPr>
          <w:rFonts w:ascii="Arial" w:cs="Arial" w:eastAsia="Arial" w:hAnsi="Arial"/>
          <w:sz w:val="17"/>
          <w:szCs w:val="17"/>
          <w:color w:val="auto"/>
        </w:rPr>
        <w:t>The Participant may elect, in writing, to change the form of payment of such Participant’s Post-Section 409A Benefit to any of the following options: (a) a lump sum, (b) a straight life annuity, (c) a joint and 50% survivor annuity, and (d) a joint and 100% survivor annuity. The amount of such optional benefit under this Plan shall be computed as specified in Section 5 of this Plan using the interest and mortality factors specified in the Basic Plan. The Participant’s election shall be subject to paragraphs (ii), (iii), (iv), (v), (vi) and</w:t>
      </w:r>
    </w:p>
    <w:p>
      <w:pPr>
        <w:spacing w:after="0" w:line="1" w:lineRule="exact"/>
        <w:rPr>
          <w:rFonts w:ascii="Arial" w:cs="Arial" w:eastAsia="Arial" w:hAnsi="Arial"/>
          <w:sz w:val="17"/>
          <w:szCs w:val="17"/>
          <w:color w:val="auto"/>
        </w:rPr>
      </w:pPr>
    </w:p>
    <w:p>
      <w:pPr>
        <w:ind w:left="576" w:right="20" w:firstLine="1"/>
        <w:spacing w:after="0" w:line="265" w:lineRule="auto"/>
        <w:tabs>
          <w:tab w:leader="none" w:pos="1051" w:val="left"/>
        </w:tabs>
        <w:numPr>
          <w:ilvl w:val="2"/>
          <w:numId w:val="43"/>
        </w:numPr>
        <w:rPr>
          <w:rFonts w:ascii="Arial" w:cs="Arial" w:eastAsia="Arial" w:hAnsi="Arial"/>
          <w:sz w:val="17"/>
          <w:szCs w:val="17"/>
          <w:color w:val="auto"/>
        </w:rPr>
      </w:pPr>
      <w:r>
        <w:rPr>
          <w:rFonts w:ascii="Arial" w:cs="Arial" w:eastAsia="Arial" w:hAnsi="Arial"/>
          <w:sz w:val="17"/>
          <w:szCs w:val="17"/>
          <w:color w:val="auto"/>
        </w:rPr>
        <w:t>Except as provided in paragraph (vi), the Participant’s election under this paragraph (i) shall be irrevocable. The joint and survivor annuity is only available under subparagraph (c) or (d) if the Participant designates his or her spouse as beneficiary or obtains spousal consent to the de signation of another beneficiary in the same manner as under the Basic Plan as part of the Participant’s election. If the spouse, or beneficiary dies before the Participant’s Separation from Service, the joint and survivor annuity elected under this paragraph</w:t>
      </w:r>
    </w:p>
    <w:p>
      <w:pPr>
        <w:spacing w:after="0" w:line="1" w:lineRule="exact"/>
        <w:rPr>
          <w:rFonts w:ascii="Arial" w:cs="Arial" w:eastAsia="Arial" w:hAnsi="Arial"/>
          <w:sz w:val="17"/>
          <w:szCs w:val="17"/>
          <w:color w:val="auto"/>
        </w:rPr>
      </w:pPr>
    </w:p>
    <w:p>
      <w:pPr>
        <w:ind w:left="576" w:firstLine="1"/>
        <w:spacing w:after="0" w:line="243" w:lineRule="auto"/>
        <w:tabs>
          <w:tab w:leader="none" w:pos="805" w:val="left"/>
        </w:tabs>
        <w:numPr>
          <w:ilvl w:val="2"/>
          <w:numId w:val="44"/>
        </w:numPr>
        <w:rPr>
          <w:rFonts w:ascii="Arial" w:cs="Arial" w:eastAsia="Arial" w:hAnsi="Arial"/>
          <w:sz w:val="19"/>
          <w:szCs w:val="19"/>
          <w:color w:val="auto"/>
        </w:rPr>
      </w:pPr>
      <w:r>
        <w:rPr>
          <w:rFonts w:ascii="Arial" w:cs="Arial" w:eastAsia="Arial" w:hAnsi="Arial"/>
          <w:sz w:val="19"/>
          <w:szCs w:val="19"/>
          <w:color w:val="auto"/>
        </w:rPr>
        <w:t>is canceled and the benefit is paid in the form of a straight life annuity; provided, that the straight life annuity is actuarially equivalent, applying reasonable actuarial methods and assumptions, to the joint and survivor annuity in effect prior to such cancellation, as determined under Treasury Regulation Section 1.409A-2(a)(2)(ii).</w:t>
      </w:r>
    </w:p>
    <w:p>
      <w:pPr>
        <w:spacing w:after="0" w:line="149" w:lineRule="exact"/>
        <w:rPr>
          <w:rFonts w:ascii="Arial" w:cs="Arial" w:eastAsia="Arial" w:hAnsi="Arial"/>
          <w:sz w:val="19"/>
          <w:szCs w:val="19"/>
          <w:color w:val="auto"/>
        </w:rPr>
      </w:pPr>
    </w:p>
    <w:p>
      <w:pPr>
        <w:ind w:left="576" w:hanging="287"/>
        <w:spacing w:after="0"/>
        <w:tabs>
          <w:tab w:leader="none" w:pos="576" w:val="left"/>
        </w:tabs>
        <w:numPr>
          <w:ilvl w:val="1"/>
          <w:numId w:val="45"/>
        </w:numPr>
        <w:rPr>
          <w:rFonts w:ascii="Arial" w:cs="Arial" w:eastAsia="Arial" w:hAnsi="Arial"/>
          <w:sz w:val="19"/>
          <w:szCs w:val="19"/>
          <w:color w:val="auto"/>
        </w:rPr>
      </w:pPr>
      <w:r>
        <w:rPr>
          <w:rFonts w:ascii="Arial" w:cs="Arial" w:eastAsia="Arial" w:hAnsi="Arial"/>
          <w:sz w:val="19"/>
          <w:szCs w:val="19"/>
          <w:color w:val="auto"/>
        </w:rPr>
        <w:t>The Participant’s election under paragraph (i) must be made prior to the Participant’s Separation from Service.</w:t>
      </w:r>
    </w:p>
    <w:p>
      <w:pPr>
        <w:spacing w:after="0" w:line="189" w:lineRule="exact"/>
        <w:rPr>
          <w:rFonts w:ascii="Arial" w:cs="Arial" w:eastAsia="Arial" w:hAnsi="Arial"/>
          <w:sz w:val="19"/>
          <w:szCs w:val="19"/>
          <w:color w:val="auto"/>
        </w:rPr>
      </w:pPr>
    </w:p>
    <w:p>
      <w:pPr>
        <w:ind w:left="576" w:hanging="287"/>
        <w:spacing w:after="0" w:line="244" w:lineRule="auto"/>
        <w:tabs>
          <w:tab w:leader="none" w:pos="864" w:val="left"/>
        </w:tabs>
        <w:numPr>
          <w:ilvl w:val="1"/>
          <w:numId w:val="45"/>
        </w:numPr>
        <w:rPr>
          <w:rFonts w:ascii="Arial" w:cs="Arial" w:eastAsia="Arial" w:hAnsi="Arial"/>
          <w:sz w:val="19"/>
          <w:szCs w:val="19"/>
          <w:color w:val="auto"/>
        </w:rPr>
      </w:pPr>
      <w:r>
        <w:rPr>
          <w:rFonts w:ascii="Arial" w:cs="Arial" w:eastAsia="Arial" w:hAnsi="Arial"/>
          <w:sz w:val="19"/>
          <w:szCs w:val="19"/>
          <w:color w:val="auto"/>
        </w:rPr>
        <w:t>If the Participant’s form of payment, as in effect at the time of election under paragraph (i), is an annuity, such Participant’s election under paragraph (i)(b), (c) or (d) (an election of an alternative annuity form of payment) shall be effective immediately and paragraph (v) shall not apply to such Participant’s election; provided, that the alternative annuity form of payment elected by the Participant is actuarially equivalent applying reasonable actuarial methods and assumptions to the annuity form of payment, as in effect at the time of the election, as determined under Treasury Regulation Section 1.409A-2(b)(2)(ii).</w:t>
      </w:r>
    </w:p>
    <w:p>
      <w:pPr>
        <w:spacing w:after="0" w:line="150" w:lineRule="exact"/>
        <w:rPr>
          <w:rFonts w:ascii="Arial" w:cs="Arial" w:eastAsia="Arial" w:hAnsi="Arial"/>
          <w:sz w:val="19"/>
          <w:szCs w:val="19"/>
          <w:color w:val="auto"/>
        </w:rPr>
      </w:pPr>
    </w:p>
    <w:p>
      <w:pPr>
        <w:ind w:left="576" w:right="60" w:hanging="287"/>
        <w:spacing w:after="0" w:line="265" w:lineRule="auto"/>
        <w:tabs>
          <w:tab w:leader="none" w:pos="576" w:val="left"/>
        </w:tabs>
        <w:numPr>
          <w:ilvl w:val="1"/>
          <w:numId w:val="45"/>
        </w:numPr>
        <w:rPr>
          <w:rFonts w:ascii="Arial" w:cs="Arial" w:eastAsia="Arial" w:hAnsi="Arial"/>
          <w:sz w:val="18"/>
          <w:szCs w:val="18"/>
          <w:color w:val="auto"/>
        </w:rPr>
      </w:pPr>
      <w:r>
        <w:rPr>
          <w:rFonts w:ascii="Arial" w:cs="Arial" w:eastAsia="Arial" w:hAnsi="Arial"/>
          <w:sz w:val="18"/>
          <w:szCs w:val="18"/>
          <w:color w:val="auto"/>
        </w:rPr>
        <w:t>Except as provided in paragraph (iii), the Participant’s election under paragraph (i) shall not take effect until 12 months after his election is made, in accordance with Treasury Regulation Section 1.409A-2(b)(1)(i). If the Participant has a Separation from Service before the election under paragraph (i) becomes effective, the election under paragraph (i) shall terminate and the Participant’s Post-Section 409A Benefit shall be paid in the form of payment as in effect at the time of the election under paragraph (i).</w:t>
      </w:r>
    </w:p>
    <w:p>
      <w:pPr>
        <w:spacing w:after="0" w:line="130" w:lineRule="exact"/>
        <w:rPr>
          <w:rFonts w:ascii="Arial" w:cs="Arial" w:eastAsia="Arial" w:hAnsi="Arial"/>
          <w:sz w:val="18"/>
          <w:szCs w:val="18"/>
          <w:color w:val="auto"/>
        </w:rPr>
      </w:pPr>
    </w:p>
    <w:p>
      <w:pPr>
        <w:ind w:left="576" w:right="180" w:hanging="287"/>
        <w:spacing w:after="0" w:line="265" w:lineRule="auto"/>
        <w:tabs>
          <w:tab w:leader="none" w:pos="576" w:val="left"/>
        </w:tabs>
        <w:numPr>
          <w:ilvl w:val="1"/>
          <w:numId w:val="45"/>
        </w:numPr>
        <w:rPr>
          <w:rFonts w:ascii="Arial" w:cs="Arial" w:eastAsia="Arial" w:hAnsi="Arial"/>
          <w:sz w:val="18"/>
          <w:szCs w:val="18"/>
          <w:color w:val="auto"/>
        </w:rPr>
      </w:pPr>
      <w:r>
        <w:rPr>
          <w:rFonts w:ascii="Arial" w:cs="Arial" w:eastAsia="Arial" w:hAnsi="Arial"/>
          <w:sz w:val="18"/>
          <w:szCs w:val="18"/>
          <w:color w:val="auto"/>
        </w:rPr>
        <w:t>Except as provided in paragraph (iii), in the event the Participant’s election under paragraph (i) becomes effective, the payment of such Participant’s Post-Section 409A Benefit under the option shall be deferred for a period of five years from the date such payment would otherwise have been paid (or, in the case of a life annuity treated as a single payment, five years from the date the first amount was scheduled to be paid), in accordance with Treasury Regulation Section 1.409A-2(b)(1)(ii).</w:t>
      </w:r>
    </w:p>
    <w:p>
      <w:pPr>
        <w:spacing w:after="0" w:line="143" w:lineRule="exact"/>
        <w:rPr>
          <w:sz w:val="20"/>
          <w:szCs w:val="20"/>
          <w:color w:val="auto"/>
        </w:rPr>
      </w:pPr>
    </w:p>
    <w:p>
      <w:pPr>
        <w:ind w:left="296"/>
        <w:spacing w:after="0"/>
        <w:rPr>
          <w:sz w:val="20"/>
          <w:szCs w:val="20"/>
          <w:color w:val="auto"/>
        </w:rPr>
      </w:pPr>
      <w:r>
        <w:rPr>
          <w:rFonts w:ascii="Arial" w:cs="Arial" w:eastAsia="Arial" w:hAnsi="Arial"/>
          <w:sz w:val="17"/>
          <w:szCs w:val="17"/>
          <w:color w:val="auto"/>
        </w:rPr>
        <w:t>(vi)The Participant may elect to change the annuity option elected under paragraph (i) to another annuity option specified under paragraph</w:t>
      </w:r>
    </w:p>
    <w:p>
      <w:pPr>
        <w:spacing w:after="0" w:line="37" w:lineRule="exact"/>
        <w:rPr>
          <w:sz w:val="20"/>
          <w:szCs w:val="20"/>
          <w:color w:val="auto"/>
        </w:rPr>
      </w:pPr>
    </w:p>
    <w:p>
      <w:pPr>
        <w:ind w:left="576" w:right="60"/>
        <w:spacing w:after="0" w:line="241" w:lineRule="auto"/>
        <w:rPr>
          <w:sz w:val="20"/>
          <w:szCs w:val="20"/>
          <w:color w:val="auto"/>
        </w:rPr>
      </w:pPr>
      <w:r>
        <w:rPr>
          <w:rFonts w:ascii="Arial" w:cs="Arial" w:eastAsia="Arial" w:hAnsi="Arial"/>
          <w:sz w:val="19"/>
          <w:szCs w:val="19"/>
          <w:color w:val="auto"/>
        </w:rPr>
        <w:t>(i) and such election shall become effective immediately, provided, that such change is made prior to the commencement of the payment of such Participant’s Post-Section 409A Benefit under this Plan; and, provided, further, that the annuity form of payment is actuarially equivalent, applying reasonable actuarial methods and assumptions, to the annuity form of payment, as in effect at the time of the election, as determined under Treasury Regulation Section 1.409A-2(b)(2)(ii).</w:t>
      </w:r>
    </w:p>
    <w:p>
      <w:pPr>
        <w:spacing w:after="0" w:line="151" w:lineRule="exact"/>
        <w:rPr>
          <w:sz w:val="20"/>
          <w:szCs w:val="20"/>
          <w:color w:val="auto"/>
        </w:rPr>
      </w:pPr>
    </w:p>
    <w:p>
      <w:pPr>
        <w:ind w:left="576" w:right="480" w:hanging="287"/>
        <w:spacing w:after="0" w:line="266" w:lineRule="auto"/>
        <w:tabs>
          <w:tab w:leader="none" w:pos="864" w:val="left"/>
        </w:tabs>
        <w:numPr>
          <w:ilvl w:val="1"/>
          <w:numId w:val="46"/>
        </w:numPr>
        <w:rPr>
          <w:rFonts w:ascii="Arial" w:cs="Arial" w:eastAsia="Arial" w:hAnsi="Arial"/>
          <w:sz w:val="19"/>
          <w:szCs w:val="19"/>
          <w:color w:val="auto"/>
        </w:rPr>
      </w:pPr>
      <w:r>
        <w:rPr>
          <w:rFonts w:ascii="Arial" w:cs="Arial" w:eastAsia="Arial" w:hAnsi="Arial"/>
          <w:sz w:val="19"/>
          <w:szCs w:val="19"/>
          <w:color w:val="auto"/>
        </w:rPr>
        <w:t>Any change in a Participant’s form of payment under this subsection (B) shall be made in accordance with Treasury Regulation Section 1.409A-2(b).</w:t>
      </w:r>
    </w:p>
    <w:p>
      <w:pPr>
        <w:spacing w:after="0" w:line="122" w:lineRule="exact"/>
        <w:rPr>
          <w:rFonts w:ascii="Arial" w:cs="Arial" w:eastAsia="Arial" w:hAnsi="Arial"/>
          <w:sz w:val="19"/>
          <w:szCs w:val="19"/>
          <w:color w:val="auto"/>
        </w:rPr>
      </w:pPr>
    </w:p>
    <w:p>
      <w:pPr>
        <w:ind w:left="296" w:hanging="296"/>
        <w:spacing w:after="0"/>
        <w:tabs>
          <w:tab w:leader="none" w:pos="296" w:val="left"/>
        </w:tabs>
        <w:numPr>
          <w:ilvl w:val="0"/>
          <w:numId w:val="47"/>
        </w:numPr>
        <w:rPr>
          <w:rFonts w:ascii="Arial" w:cs="Arial" w:eastAsia="Arial" w:hAnsi="Arial"/>
          <w:sz w:val="19"/>
          <w:szCs w:val="19"/>
          <w:color w:val="auto"/>
        </w:rPr>
      </w:pPr>
      <w:r>
        <w:rPr>
          <w:rFonts w:ascii="Arial" w:cs="Arial" w:eastAsia="Arial" w:hAnsi="Arial"/>
          <w:sz w:val="19"/>
          <w:szCs w:val="19"/>
          <w:b w:val="1"/>
          <w:bCs w:val="1"/>
          <w:color w:val="auto"/>
        </w:rPr>
        <w:t>Distribution Options for other Participants</w:t>
      </w:r>
    </w:p>
    <w:p>
      <w:pPr>
        <w:spacing w:after="0" w:line="195" w:lineRule="exact"/>
        <w:rPr>
          <w:rFonts w:ascii="Arial" w:cs="Arial" w:eastAsia="Arial" w:hAnsi="Arial"/>
          <w:sz w:val="19"/>
          <w:szCs w:val="19"/>
          <w:color w:val="auto"/>
        </w:rPr>
      </w:pPr>
    </w:p>
    <w:p>
      <w:pPr>
        <w:ind w:left="296" w:right="40"/>
        <w:spacing w:after="0" w:line="275" w:lineRule="auto"/>
        <w:rPr>
          <w:rFonts w:ascii="Arial" w:cs="Arial" w:eastAsia="Arial" w:hAnsi="Arial"/>
          <w:sz w:val="19"/>
          <w:szCs w:val="19"/>
          <w:color w:val="auto"/>
        </w:rPr>
      </w:pPr>
      <w:r>
        <w:rPr>
          <w:rFonts w:ascii="Arial" w:cs="Arial" w:eastAsia="Arial" w:hAnsi="Arial"/>
          <w:sz w:val="17"/>
          <w:szCs w:val="17"/>
          <w:color w:val="auto"/>
        </w:rPr>
        <w:t>Except as provided in subsection (A), in the case of a Participant who first became an Eligible Employee (as determined under Section 4) on or before December 31, 2005, the payment of benefits under this Plan shall be made in a lump sum in accordance with this subsection</w:t>
      </w:r>
    </w:p>
    <w:p>
      <w:pPr>
        <w:ind w:left="296" w:right="60"/>
        <w:spacing w:after="0" w:line="243" w:lineRule="auto"/>
        <w:rPr>
          <w:rFonts w:ascii="Arial" w:cs="Arial" w:eastAsia="Arial" w:hAnsi="Arial"/>
          <w:sz w:val="19"/>
          <w:szCs w:val="19"/>
          <w:color w:val="auto"/>
        </w:rPr>
      </w:pPr>
      <w:r>
        <w:rPr>
          <w:rFonts w:ascii="Arial" w:cs="Arial" w:eastAsia="Arial" w:hAnsi="Arial"/>
          <w:sz w:val="19"/>
          <w:szCs w:val="19"/>
          <w:color w:val="auto"/>
        </w:rPr>
        <w:t>(C) upon the Participant’s Separation from Service, unless the Participant elects to receive an optional annuity form of payment under paragraph (i). The amount of the Participant’s lump sum distribution under this Plan shall be computed as specified in Section 5 of this Plan using the actuarial factors specified in the Basic Plan.</w:t>
      </w:r>
    </w:p>
    <w:p>
      <w:pPr>
        <w:spacing w:after="0" w:line="161" w:lineRule="exact"/>
        <w:rPr>
          <w:sz w:val="20"/>
          <w:szCs w:val="20"/>
          <w:color w:val="auto"/>
        </w:rPr>
      </w:pPr>
    </w:p>
    <w:p>
      <w:pPr>
        <w:ind w:left="576" w:right="40" w:hanging="576"/>
        <w:spacing w:after="0" w:line="242" w:lineRule="auto"/>
        <w:tabs>
          <w:tab w:leader="none" w:pos="287" w:val="left"/>
        </w:tabs>
        <w:numPr>
          <w:ilvl w:val="0"/>
          <w:numId w:val="48"/>
        </w:numPr>
        <w:rPr>
          <w:rFonts w:ascii="Arial" w:cs="Arial" w:eastAsia="Arial" w:hAnsi="Arial"/>
          <w:sz w:val="19"/>
          <w:szCs w:val="19"/>
          <w:color w:val="auto"/>
        </w:rPr>
      </w:pPr>
      <w:r>
        <w:rPr>
          <w:rFonts w:ascii="Arial" w:cs="Arial" w:eastAsia="Arial" w:hAnsi="Arial"/>
          <w:sz w:val="19"/>
          <w:szCs w:val="19"/>
          <w:color w:val="auto"/>
        </w:rPr>
        <w:t>Such a Participant may elect, in writing, payment commencing upon the Participant’s Separation from Service under any of the following annuity options: (a) a straight life annuity, (b) a joint and 50% survivor annuity, and (c) a joint and 100% survivor annuity. The amount of such optional annuity benefit under this Plan shall be computed as specified in Section 5 of this Plan using the interest and mortality factors specified in the Basic Plan. The election will be subject to approval of the Senior Human Resources Officer of Sempra Energy, in his or her discretion, and, if approved, will become effective and irrevocable on the date of such approval (except as provided in subsection (D)). The payment of such Participant’s benefits under this Plan in an annuity form shall commence upon the Participant’s Separation from Service.</w:t>
      </w:r>
    </w:p>
    <w:p>
      <w:pPr>
        <w:spacing w:after="0" w:line="151" w:lineRule="exact"/>
        <w:rPr>
          <w:rFonts w:ascii="Arial" w:cs="Arial" w:eastAsia="Arial" w:hAnsi="Arial"/>
          <w:sz w:val="19"/>
          <w:szCs w:val="19"/>
          <w:color w:val="auto"/>
        </w:rPr>
      </w:pPr>
    </w:p>
    <w:p>
      <w:pPr>
        <w:ind w:left="576" w:right="60" w:hanging="576"/>
        <w:spacing w:after="0" w:line="275" w:lineRule="auto"/>
        <w:tabs>
          <w:tab w:leader="none" w:pos="287" w:val="left"/>
        </w:tabs>
        <w:numPr>
          <w:ilvl w:val="0"/>
          <w:numId w:val="48"/>
        </w:numPr>
        <w:rPr>
          <w:rFonts w:ascii="Arial" w:cs="Arial" w:eastAsia="Arial" w:hAnsi="Arial"/>
          <w:sz w:val="17"/>
          <w:szCs w:val="17"/>
          <w:color w:val="auto"/>
        </w:rPr>
      </w:pPr>
      <w:r>
        <w:rPr>
          <w:rFonts w:ascii="Arial" w:cs="Arial" w:eastAsia="Arial" w:hAnsi="Arial"/>
          <w:sz w:val="17"/>
          <w:szCs w:val="17"/>
          <w:color w:val="auto"/>
        </w:rPr>
        <w:t>A Participant’s election under paragraph (i) may be made with respect to such Participant’s benefit under this Plan on or after January 1, 2006 and on or before December 31, 2008 in accordance with the transitional relief under Section 409A of the Internal Revenue Code and Internal Revenue Service Notices 2006-79 and 2007-86; provided, however, that a Participant’s election made in 2006 shall apply only with respect to payments that would not otherwise be payable in 2006, and shall not cause payments to be made in 2006 that would not otherwise be payable in 2006; and, provided, further, that a Participant’s election made in 2007 shall apply only with respect to payments that would not otherwise be payable in 2007, and shall not cause payments to be made in 2007 that would not otherwise be payable in 2007; and provided, further, that a Particip ant’s election made in 2008 shall apply only with respect to payments that would</w:t>
      </w:r>
    </w:p>
    <w:p>
      <w:pPr>
        <w:sectPr>
          <w:pgSz w:w="11900" w:h="16838" w:orient="portrait"/>
          <w:cols w:equalWidth="0" w:num="1">
            <w:col w:w="11136"/>
          </w:cols>
          <w:pgMar w:left="524" w:top="120" w:right="239" w:bottom="0" w:gutter="0" w:footer="0" w:header="0"/>
        </w:sectPr>
      </w:pPr>
    </w:p>
    <w:bookmarkStart w:id="69" w:name="page70"/>
    <w:bookmarkEnd w:id="69"/>
    <w:p>
      <w:pPr>
        <w:ind w:left="576" w:right="60"/>
        <w:spacing w:after="0" w:line="275" w:lineRule="auto"/>
        <w:rPr>
          <w:sz w:val="20"/>
          <w:szCs w:val="20"/>
          <w:color w:val="auto"/>
        </w:rPr>
      </w:pPr>
      <w:r>
        <w:rPr>
          <w:rFonts w:ascii="Arial" w:cs="Arial" w:eastAsia="Arial" w:hAnsi="Arial"/>
          <w:sz w:val="17"/>
          <w:szCs w:val="17"/>
          <w:color w:val="auto"/>
        </w:rPr>
        <w:t>not otherwise be payable in 2008, and shall not cause payments to be made in 2008 that would not otherwise be payable in 2008. A Participant’s election under paragraph (i) shall be considered made when the election becomes irrevocable. No election under paragraph</w:t>
      </w:r>
    </w:p>
    <w:p>
      <w:pPr>
        <w:spacing w:after="0" w:line="1" w:lineRule="exact"/>
        <w:rPr>
          <w:sz w:val="20"/>
          <w:szCs w:val="20"/>
          <w:color w:val="auto"/>
        </w:rPr>
      </w:pPr>
    </w:p>
    <w:p>
      <w:pPr>
        <w:ind w:left="576"/>
        <w:spacing w:after="0"/>
        <w:rPr>
          <w:sz w:val="20"/>
          <w:szCs w:val="20"/>
          <w:color w:val="auto"/>
        </w:rPr>
      </w:pPr>
      <w:r>
        <w:rPr>
          <w:rFonts w:ascii="Arial" w:cs="Arial" w:eastAsia="Arial" w:hAnsi="Arial"/>
          <w:sz w:val="19"/>
          <w:szCs w:val="19"/>
          <w:color w:val="auto"/>
        </w:rPr>
        <w:t>(i) may be made by a Participant unless such election becomes irrevocable on or prior to December 31, 2008.</w:t>
      </w:r>
    </w:p>
    <w:p>
      <w:pPr>
        <w:spacing w:after="0" w:line="161" w:lineRule="exact"/>
        <w:rPr>
          <w:sz w:val="20"/>
          <w:szCs w:val="20"/>
          <w:color w:val="auto"/>
        </w:rPr>
      </w:pPr>
    </w:p>
    <w:p>
      <w:pPr>
        <w:ind w:left="576" w:right="40" w:hanging="576"/>
        <w:spacing w:after="0" w:line="243" w:lineRule="auto"/>
        <w:tabs>
          <w:tab w:leader="none" w:pos="576" w:val="left"/>
        </w:tabs>
        <w:numPr>
          <w:ilvl w:val="0"/>
          <w:numId w:val="49"/>
        </w:numPr>
        <w:rPr>
          <w:rFonts w:ascii="Arial" w:cs="Arial" w:eastAsia="Arial" w:hAnsi="Arial"/>
          <w:sz w:val="19"/>
          <w:szCs w:val="19"/>
          <w:color w:val="auto"/>
        </w:rPr>
      </w:pPr>
      <w:r>
        <w:rPr>
          <w:rFonts w:ascii="Arial" w:cs="Arial" w:eastAsia="Arial" w:hAnsi="Arial"/>
          <w:sz w:val="19"/>
          <w:szCs w:val="19"/>
          <w:color w:val="auto"/>
        </w:rPr>
        <w:t>The joint and survivor annuity is only available under subparagraphs (i)(b) or (c) if the Participant designates his or her spouse as beneficiary or obtains spousal consent to the designation of another beneficiary in the same manner as under the Basic Plan as part of the Participant’s election. If the spouse, or beneficiary dies before the Participant’s Separation from Service, the joint and survivor annuity is canceled and the benefit is paid in the form of a straight life annuity; provided, that the straight life annuity is actuarially equivalent, applying reasonable actuarial methods and assumptions, to the joint and survivor annuity in effect prior to such cancellation, as determined under Treasury Regulation Section 1.409A-2(b)(2)(ii).</w:t>
      </w:r>
    </w:p>
    <w:p>
      <w:pPr>
        <w:spacing w:after="0" w:line="162" w:lineRule="exact"/>
        <w:rPr>
          <w:sz w:val="20"/>
          <w:szCs w:val="20"/>
          <w:color w:val="auto"/>
        </w:rPr>
      </w:pPr>
    </w:p>
    <w:p>
      <w:pPr>
        <w:ind w:left="576" w:right="620" w:hanging="576"/>
        <w:spacing w:after="0" w:line="266" w:lineRule="auto"/>
        <w:rPr>
          <w:sz w:val="20"/>
          <w:szCs w:val="20"/>
          <w:color w:val="auto"/>
        </w:rPr>
      </w:pPr>
      <w:r>
        <w:rPr>
          <w:rFonts w:ascii="Arial" w:cs="Arial" w:eastAsia="Arial" w:hAnsi="Arial"/>
          <w:sz w:val="19"/>
          <w:szCs w:val="19"/>
          <w:color w:val="auto"/>
        </w:rPr>
        <w:t>(iv)Except as provided in subsection (D), such Participant may not change the form and time of payment of benefits under this Plan after December 31, 2008.</w:t>
      </w:r>
    </w:p>
    <w:p>
      <w:pPr>
        <w:spacing w:after="0" w:line="128" w:lineRule="exact"/>
        <w:rPr>
          <w:sz w:val="20"/>
          <w:szCs w:val="20"/>
          <w:color w:val="auto"/>
        </w:rPr>
      </w:pPr>
    </w:p>
    <w:p>
      <w:pPr>
        <w:ind w:left="576" w:right="80" w:hanging="576"/>
        <w:spacing w:after="0" w:line="244" w:lineRule="auto"/>
        <w:tabs>
          <w:tab w:leader="none" w:pos="287" w:val="left"/>
        </w:tabs>
        <w:numPr>
          <w:ilvl w:val="0"/>
          <w:numId w:val="50"/>
        </w:numPr>
        <w:rPr>
          <w:rFonts w:ascii="Arial" w:cs="Arial" w:eastAsia="Arial" w:hAnsi="Arial"/>
          <w:sz w:val="19"/>
          <w:szCs w:val="19"/>
          <w:color w:val="auto"/>
        </w:rPr>
      </w:pPr>
      <w:r>
        <w:rPr>
          <w:rFonts w:ascii="Arial" w:cs="Arial" w:eastAsia="Arial" w:hAnsi="Arial"/>
          <w:sz w:val="19"/>
          <w:szCs w:val="19"/>
          <w:color w:val="auto"/>
        </w:rPr>
        <w:t>A lump sum payment under this subsection (C) shall be paid on such date as is determined by Sempra Energy within thirty (30) days following the Participant’s Separation from Service. An annuity under this subsection (C) shall be paid monthly, beginning on the last day of the month of the Participant’s Separation from Service and shall continue to be paid monthly during the life of the Participant and the life of the Participant’s designated beneficiary, if any (if such beneficiary survives the Participant). In all cases, the monthly benefit shall equal the annual benefit divided by 12.</w:t>
      </w:r>
    </w:p>
    <w:p>
      <w:pPr>
        <w:spacing w:after="0" w:line="145" w:lineRule="exact"/>
        <w:rPr>
          <w:sz w:val="20"/>
          <w:szCs w:val="20"/>
          <w:color w:val="auto"/>
        </w:rPr>
      </w:pPr>
    </w:p>
    <w:p>
      <w:pPr>
        <w:ind w:left="296" w:hanging="296"/>
        <w:spacing w:after="0"/>
        <w:tabs>
          <w:tab w:leader="none" w:pos="296" w:val="left"/>
        </w:tabs>
        <w:numPr>
          <w:ilvl w:val="0"/>
          <w:numId w:val="51"/>
        </w:numPr>
        <w:rPr>
          <w:rFonts w:ascii="Arial" w:cs="Arial" w:eastAsia="Arial" w:hAnsi="Arial"/>
          <w:sz w:val="19"/>
          <w:szCs w:val="19"/>
          <w:color w:val="auto"/>
        </w:rPr>
      </w:pPr>
      <w:r>
        <w:rPr>
          <w:rFonts w:ascii="Arial" w:cs="Arial" w:eastAsia="Arial" w:hAnsi="Arial"/>
          <w:sz w:val="19"/>
          <w:szCs w:val="19"/>
          <w:b w:val="1"/>
          <w:bCs w:val="1"/>
          <w:color w:val="auto"/>
        </w:rPr>
        <w:t>Changes in Distribution Option for other Participants</w:t>
      </w:r>
    </w:p>
    <w:p>
      <w:pPr>
        <w:spacing w:after="0" w:line="195" w:lineRule="exact"/>
        <w:rPr>
          <w:rFonts w:ascii="Arial" w:cs="Arial" w:eastAsia="Arial" w:hAnsi="Arial"/>
          <w:sz w:val="19"/>
          <w:szCs w:val="19"/>
          <w:color w:val="auto"/>
        </w:rPr>
      </w:pPr>
    </w:p>
    <w:p>
      <w:pPr>
        <w:ind w:left="296" w:right="560"/>
        <w:spacing w:after="0" w:line="266" w:lineRule="auto"/>
        <w:rPr>
          <w:rFonts w:ascii="Arial" w:cs="Arial" w:eastAsia="Arial" w:hAnsi="Arial"/>
          <w:sz w:val="19"/>
          <w:szCs w:val="19"/>
          <w:color w:val="auto"/>
        </w:rPr>
      </w:pPr>
      <w:r>
        <w:rPr>
          <w:rFonts w:ascii="Arial" w:cs="Arial" w:eastAsia="Arial" w:hAnsi="Arial"/>
          <w:sz w:val="19"/>
          <w:szCs w:val="19"/>
          <w:color w:val="auto"/>
        </w:rPr>
        <w:t>A Participant described in subsection (C) may elect to change the form of the payment of such Participant’s benefit under this Plan, as follows:</w:t>
      </w:r>
    </w:p>
    <w:p>
      <w:pPr>
        <w:spacing w:after="0" w:line="140" w:lineRule="exact"/>
        <w:rPr>
          <w:rFonts w:ascii="Arial" w:cs="Arial" w:eastAsia="Arial" w:hAnsi="Arial"/>
          <w:sz w:val="19"/>
          <w:szCs w:val="19"/>
          <w:color w:val="auto"/>
        </w:rPr>
      </w:pPr>
    </w:p>
    <w:p>
      <w:pPr>
        <w:ind w:left="576" w:right="60" w:hanging="287"/>
        <w:spacing w:after="0"/>
        <w:tabs>
          <w:tab w:leader="none" w:pos="576" w:val="left"/>
        </w:tabs>
        <w:numPr>
          <w:ilvl w:val="1"/>
          <w:numId w:val="51"/>
        </w:numPr>
        <w:rPr>
          <w:rFonts w:ascii="Arial" w:cs="Arial" w:eastAsia="Arial" w:hAnsi="Arial"/>
          <w:sz w:val="19"/>
          <w:szCs w:val="19"/>
          <w:color w:val="auto"/>
        </w:rPr>
      </w:pPr>
      <w:r>
        <w:rPr>
          <w:rFonts w:ascii="Arial" w:cs="Arial" w:eastAsia="Arial" w:hAnsi="Arial"/>
          <w:sz w:val="19"/>
          <w:szCs w:val="19"/>
          <w:color w:val="auto"/>
        </w:rPr>
        <w:t>The Participant may elect, in writing, to change the form of payment of such Participant’s benefit to any of the following options: (a) a lump sum, (b) a straight life annuity, (c) a joint and 50% survivor annuity, and (d) a joint and 100% survivor annuity. The amount of such optional benefit under this Plan shall be computed as specified in Section 5 of this Plan using the interest and mortality factors specified in the Basic Plan. The Participant’s election shall be subject to paragraphs (ii), (iii), (iv), (v), (vi) and (vii). Except as provided in paragraph (vi), the Participant’s election under this paragraph (i) shall be irrevocable. The joint and survivor annuity is only available under subparagraph (c) or (d) if the Participant designates his or her spouse as beneficiary or obtains spousal consent to the designation of anoth er beneficiary in the same manner as under the Basic Plan as part of the Participant’s election. If the spouse, or beneficiary dies before the Participant’s Separation from Service, the joint and survivor annuity is canceled and the benefit is paid in the form of a straight life annuity; provided, that the straight life annuity is actuarially equivalent, applying reasonable actuarial methods and assumptions, to the joint and survivor annuity in effect prior to such cancellation, as determined under Treasury Regulation Section 1.409A-2(b)(2)(ii).</w:t>
      </w:r>
    </w:p>
    <w:p>
      <w:pPr>
        <w:spacing w:after="0" w:line="155" w:lineRule="exact"/>
        <w:rPr>
          <w:rFonts w:ascii="Arial" w:cs="Arial" w:eastAsia="Arial" w:hAnsi="Arial"/>
          <w:sz w:val="19"/>
          <w:szCs w:val="19"/>
          <w:color w:val="auto"/>
        </w:rPr>
      </w:pPr>
    </w:p>
    <w:p>
      <w:pPr>
        <w:ind w:left="576" w:hanging="287"/>
        <w:spacing w:after="0"/>
        <w:tabs>
          <w:tab w:leader="none" w:pos="576" w:val="left"/>
        </w:tabs>
        <w:numPr>
          <w:ilvl w:val="1"/>
          <w:numId w:val="51"/>
        </w:numPr>
        <w:rPr>
          <w:rFonts w:ascii="Arial" w:cs="Arial" w:eastAsia="Arial" w:hAnsi="Arial"/>
          <w:sz w:val="19"/>
          <w:szCs w:val="19"/>
          <w:color w:val="auto"/>
        </w:rPr>
      </w:pPr>
      <w:r>
        <w:rPr>
          <w:rFonts w:ascii="Arial" w:cs="Arial" w:eastAsia="Arial" w:hAnsi="Arial"/>
          <w:sz w:val="19"/>
          <w:szCs w:val="19"/>
          <w:color w:val="auto"/>
        </w:rPr>
        <w:t>The Participant’s election under paragraph (i) must be made prior to the Participant’s Separation from Service.</w:t>
      </w:r>
    </w:p>
    <w:p>
      <w:pPr>
        <w:spacing w:after="0" w:line="177" w:lineRule="exact"/>
        <w:rPr>
          <w:rFonts w:ascii="Arial" w:cs="Arial" w:eastAsia="Arial" w:hAnsi="Arial"/>
          <w:sz w:val="19"/>
          <w:szCs w:val="19"/>
          <w:color w:val="auto"/>
        </w:rPr>
      </w:pPr>
    </w:p>
    <w:p>
      <w:pPr>
        <w:ind w:left="576" w:right="160" w:hanging="287"/>
        <w:spacing w:after="0" w:line="261" w:lineRule="auto"/>
        <w:tabs>
          <w:tab w:leader="none" w:pos="864" w:val="left"/>
        </w:tabs>
        <w:numPr>
          <w:ilvl w:val="1"/>
          <w:numId w:val="51"/>
        </w:numPr>
        <w:rPr>
          <w:rFonts w:ascii="Arial" w:cs="Arial" w:eastAsia="Arial" w:hAnsi="Arial"/>
          <w:sz w:val="18"/>
          <w:szCs w:val="18"/>
          <w:color w:val="auto"/>
        </w:rPr>
      </w:pPr>
      <w:r>
        <w:rPr>
          <w:rFonts w:ascii="Arial" w:cs="Arial" w:eastAsia="Arial" w:hAnsi="Arial"/>
          <w:sz w:val="18"/>
          <w:szCs w:val="18"/>
          <w:color w:val="auto"/>
        </w:rPr>
        <w:t>If the Participant’s form of payment, as in effect at the time of the election under paragraph (i), is an annuity, such Participant’s election under paragraph (i)(b), (c) or (d) (an election of an alternative annuity form of payment) shall be effective immediately and paragraph (v) shall not apply to such Participant’s election; provided, that the alternative annuity form of payment elected by the Participant is actuarially equivalent applying reasonable actuarial methods and assumptions to the annuity form of payment, as in effect at the time of the election, as determined under Treasury Regulation Section 1.409A-2(b)(2)(ii).</w:t>
      </w:r>
    </w:p>
    <w:p>
      <w:pPr>
        <w:spacing w:after="0" w:line="148" w:lineRule="exact"/>
        <w:rPr>
          <w:sz w:val="20"/>
          <w:szCs w:val="20"/>
          <w:color w:val="auto"/>
        </w:rPr>
      </w:pPr>
    </w:p>
    <w:p>
      <w:pPr>
        <w:ind w:left="576" w:right="100" w:hanging="287"/>
        <w:spacing w:after="0" w:line="265" w:lineRule="auto"/>
        <w:rPr>
          <w:sz w:val="20"/>
          <w:szCs w:val="20"/>
          <w:color w:val="auto"/>
        </w:rPr>
      </w:pPr>
      <w:r>
        <w:rPr>
          <w:rFonts w:ascii="Arial" w:cs="Arial" w:eastAsia="Arial" w:hAnsi="Arial"/>
          <w:sz w:val="18"/>
          <w:szCs w:val="18"/>
          <w:color w:val="auto"/>
        </w:rPr>
        <w:t>(iv)Except as provided in paragraph (iii), the Participant’s election under paragraph (i) shall not take effect until 12 months after the date his or her election is made in accordance with Treasury Regulation Section 1.409A-2(b)(1)(i). If the Participant has a Separation from Service before the election under paragraph (i) becomes effective, the election under paragraph (i) shall terminate and the Participant’s benefit shall be paid in the form of payment as in effect at the time of the election under paragraph (i).</w:t>
      </w:r>
    </w:p>
    <w:p>
      <w:pPr>
        <w:spacing w:after="0" w:line="131" w:lineRule="exact"/>
        <w:rPr>
          <w:sz w:val="20"/>
          <w:szCs w:val="20"/>
          <w:color w:val="auto"/>
        </w:rPr>
      </w:pPr>
    </w:p>
    <w:p>
      <w:pPr>
        <w:ind w:left="576" w:right="140" w:hanging="287"/>
        <w:spacing w:after="0" w:line="247" w:lineRule="auto"/>
        <w:tabs>
          <w:tab w:leader="none" w:pos="576" w:val="left"/>
        </w:tabs>
        <w:numPr>
          <w:ilvl w:val="1"/>
          <w:numId w:val="52"/>
        </w:numPr>
        <w:rPr>
          <w:rFonts w:ascii="Arial" w:cs="Arial" w:eastAsia="Arial" w:hAnsi="Arial"/>
          <w:sz w:val="19"/>
          <w:szCs w:val="19"/>
          <w:color w:val="auto"/>
        </w:rPr>
      </w:pPr>
      <w:r>
        <w:rPr>
          <w:rFonts w:ascii="Arial" w:cs="Arial" w:eastAsia="Arial" w:hAnsi="Arial"/>
          <w:sz w:val="19"/>
          <w:szCs w:val="19"/>
          <w:color w:val="auto"/>
        </w:rPr>
        <w:t>Except as provided in paragraph (iii), in the event the Participant’s election under paragraph (i) becomes effective, the payment of such Participant’s benefit under the option be deferred for a period of five years from the date such payment would otherwise have been paid (or, in the case of a life annuity treated as a single payment, five years from the date the first amount was scheduled to be paid), in accordance with Treasury Regulation Section 1.409A-2(b)(1)(ii).</w:t>
      </w:r>
    </w:p>
    <w:p>
      <w:pPr>
        <w:spacing w:after="0" w:line="145" w:lineRule="exact"/>
        <w:rPr>
          <w:rFonts w:ascii="Arial" w:cs="Arial" w:eastAsia="Arial" w:hAnsi="Arial"/>
          <w:sz w:val="19"/>
          <w:szCs w:val="19"/>
          <w:color w:val="auto"/>
        </w:rPr>
      </w:pPr>
    </w:p>
    <w:p>
      <w:pPr>
        <w:ind w:left="576" w:hanging="287"/>
        <w:spacing w:after="0" w:line="244" w:lineRule="auto"/>
        <w:tabs>
          <w:tab w:leader="none" w:pos="576" w:val="left"/>
        </w:tabs>
        <w:numPr>
          <w:ilvl w:val="1"/>
          <w:numId w:val="52"/>
        </w:numPr>
        <w:rPr>
          <w:rFonts w:ascii="Arial" w:cs="Arial" w:eastAsia="Arial" w:hAnsi="Arial"/>
          <w:sz w:val="19"/>
          <w:szCs w:val="19"/>
          <w:color w:val="auto"/>
        </w:rPr>
      </w:pPr>
      <w:r>
        <w:rPr>
          <w:rFonts w:ascii="Arial" w:cs="Arial" w:eastAsia="Arial" w:hAnsi="Arial"/>
          <w:sz w:val="19"/>
          <w:szCs w:val="19"/>
          <w:color w:val="auto"/>
        </w:rPr>
        <w:t>The Participant may elect to change an annuity form of payment elected under paragraph (i) to another annuity form of payment specified under paragraph (i)(b), (c) or (d), and such election shall be effective immediately; provided, that such change is made prior to the commencement date of the payment of benefits under this Plan; and, provided, further, that the annuity form of payment is actuarially equivalent applying reasonable actuarial methods and assumptions to the annuity form of payment, as in effect at the time of the election, as determined under Treasury Regulation Section 1.409A-2(b)(2)(ii).</w:t>
      </w:r>
    </w:p>
    <w:p>
      <w:pPr>
        <w:spacing w:after="0" w:line="162" w:lineRule="exact"/>
        <w:rPr>
          <w:rFonts w:ascii="Arial" w:cs="Arial" w:eastAsia="Arial" w:hAnsi="Arial"/>
          <w:sz w:val="19"/>
          <w:szCs w:val="19"/>
          <w:color w:val="auto"/>
        </w:rPr>
      </w:pPr>
    </w:p>
    <w:p>
      <w:pPr>
        <w:ind w:left="576" w:right="480" w:hanging="287"/>
        <w:spacing w:after="0" w:line="266" w:lineRule="auto"/>
        <w:tabs>
          <w:tab w:leader="none" w:pos="864" w:val="left"/>
        </w:tabs>
        <w:numPr>
          <w:ilvl w:val="1"/>
          <w:numId w:val="52"/>
        </w:numPr>
        <w:rPr>
          <w:rFonts w:ascii="Arial" w:cs="Arial" w:eastAsia="Arial" w:hAnsi="Arial"/>
          <w:sz w:val="19"/>
          <w:szCs w:val="19"/>
          <w:color w:val="auto"/>
        </w:rPr>
      </w:pPr>
      <w:r>
        <w:rPr>
          <w:rFonts w:ascii="Arial" w:cs="Arial" w:eastAsia="Arial" w:hAnsi="Arial"/>
          <w:sz w:val="19"/>
          <w:szCs w:val="19"/>
          <w:color w:val="auto"/>
        </w:rPr>
        <w:t>Any change in a Participant’s form of payment under this subsection (D) shall be made in accordance with Treasury Regulation Section 1.409A-2(b).</w:t>
      </w:r>
    </w:p>
    <w:p>
      <w:pPr>
        <w:spacing w:after="0" w:line="122" w:lineRule="exact"/>
        <w:rPr>
          <w:rFonts w:ascii="Arial" w:cs="Arial" w:eastAsia="Arial" w:hAnsi="Arial"/>
          <w:sz w:val="19"/>
          <w:szCs w:val="19"/>
          <w:color w:val="auto"/>
        </w:rPr>
      </w:pPr>
    </w:p>
    <w:p>
      <w:pPr>
        <w:ind w:left="296" w:hanging="296"/>
        <w:spacing w:after="0"/>
        <w:tabs>
          <w:tab w:leader="none" w:pos="296" w:val="left"/>
        </w:tabs>
        <w:numPr>
          <w:ilvl w:val="0"/>
          <w:numId w:val="53"/>
        </w:numPr>
        <w:rPr>
          <w:rFonts w:ascii="Arial" w:cs="Arial" w:eastAsia="Arial" w:hAnsi="Arial"/>
          <w:sz w:val="19"/>
          <w:szCs w:val="19"/>
          <w:color w:val="auto"/>
        </w:rPr>
      </w:pPr>
      <w:r>
        <w:rPr>
          <w:rFonts w:ascii="Arial" w:cs="Arial" w:eastAsia="Arial" w:hAnsi="Arial"/>
          <w:sz w:val="19"/>
          <w:szCs w:val="19"/>
          <w:b w:val="1"/>
          <w:bCs w:val="1"/>
          <w:color w:val="auto"/>
        </w:rPr>
        <w:t>Pre-Section 409A Benefit; Post-Section 409A Benefit</w:t>
      </w:r>
      <w:r>
        <w:rPr>
          <w:rFonts w:ascii="Arial" w:cs="Arial" w:eastAsia="Arial" w:hAnsi="Arial"/>
          <w:sz w:val="19"/>
          <w:szCs w:val="19"/>
          <w:color w:val="auto"/>
        </w:rPr>
        <w:t>.</w:t>
      </w:r>
    </w:p>
    <w:p>
      <w:pPr>
        <w:spacing w:after="0" w:line="183" w:lineRule="exact"/>
        <w:rPr>
          <w:rFonts w:ascii="Arial" w:cs="Arial" w:eastAsia="Arial" w:hAnsi="Arial"/>
          <w:sz w:val="19"/>
          <w:szCs w:val="19"/>
          <w:color w:val="auto"/>
        </w:rPr>
      </w:pPr>
    </w:p>
    <w:p>
      <w:pPr>
        <w:ind w:left="576" w:right="260" w:hanging="287"/>
        <w:spacing w:after="0" w:line="244" w:lineRule="auto"/>
        <w:tabs>
          <w:tab w:leader="none" w:pos="576" w:val="left"/>
        </w:tabs>
        <w:numPr>
          <w:ilvl w:val="1"/>
          <w:numId w:val="53"/>
        </w:numPr>
        <w:rPr>
          <w:rFonts w:ascii="Arial" w:cs="Arial" w:eastAsia="Arial" w:hAnsi="Arial"/>
          <w:sz w:val="19"/>
          <w:szCs w:val="19"/>
          <w:color w:val="auto"/>
        </w:rPr>
      </w:pPr>
      <w:r>
        <w:rPr>
          <w:rFonts w:ascii="Arial" w:cs="Arial" w:eastAsia="Arial" w:hAnsi="Arial"/>
          <w:sz w:val="19"/>
          <w:szCs w:val="19"/>
          <w:color w:val="auto"/>
        </w:rPr>
        <w:t>In the case of a Participant described in subsection (A), such Participant’s “</w:t>
      </w:r>
      <w:r>
        <w:rPr>
          <w:rFonts w:ascii="Arial" w:cs="Arial" w:eastAsia="Arial" w:hAnsi="Arial"/>
          <w:sz w:val="19"/>
          <w:szCs w:val="19"/>
          <w:u w:val="single" w:color="auto"/>
          <w:color w:val="auto"/>
        </w:rPr>
        <w:t>Pre-Section 409A Benefit</w:t>
      </w:r>
      <w:r>
        <w:rPr>
          <w:rFonts w:ascii="Arial" w:cs="Arial" w:eastAsia="Arial" w:hAnsi="Arial"/>
          <w:sz w:val="19"/>
          <w:szCs w:val="19"/>
          <w:color w:val="auto"/>
        </w:rPr>
        <w:t>” means the portion of such Participant’s benefit under the Plan, if any, to which such Participant had a legal binding right, and which was earned and vested, as of December 31, 2004, determined in accordance with Section 409A of the Code and Treasury Regulation Section 1.409A-6. Such Participant’s “</w:t>
      </w:r>
      <w:r>
        <w:rPr>
          <w:rFonts w:ascii="Arial" w:cs="Arial" w:eastAsia="Arial" w:hAnsi="Arial"/>
          <w:sz w:val="19"/>
          <w:szCs w:val="19"/>
          <w:u w:val="single" w:color="auto"/>
          <w:color w:val="auto"/>
        </w:rPr>
        <w:t>Pre-Section 409A Benefit</w:t>
      </w:r>
      <w:r>
        <w:rPr>
          <w:rFonts w:ascii="Arial" w:cs="Arial" w:eastAsia="Arial" w:hAnsi="Arial"/>
          <w:sz w:val="19"/>
          <w:szCs w:val="19"/>
          <w:color w:val="auto"/>
        </w:rPr>
        <w:t>” shall be determined by the terms of the Plan and the Basic Plan, as in effect as of October 3, 2004.</w:t>
      </w:r>
    </w:p>
    <w:p>
      <w:pPr>
        <w:spacing w:after="0" w:line="162" w:lineRule="exact"/>
        <w:rPr>
          <w:rFonts w:ascii="Arial" w:cs="Arial" w:eastAsia="Arial" w:hAnsi="Arial"/>
          <w:sz w:val="19"/>
          <w:szCs w:val="19"/>
          <w:color w:val="auto"/>
        </w:rPr>
      </w:pPr>
    </w:p>
    <w:p>
      <w:pPr>
        <w:ind w:left="576"/>
        <w:spacing w:after="0" w:line="277" w:lineRule="auto"/>
        <w:rPr>
          <w:rFonts w:ascii="Arial" w:cs="Arial" w:eastAsia="Arial" w:hAnsi="Arial"/>
          <w:sz w:val="19"/>
          <w:szCs w:val="19"/>
          <w:color w:val="auto"/>
        </w:rPr>
      </w:pPr>
      <w:r>
        <w:rPr>
          <w:rFonts w:ascii="Arial" w:cs="Arial" w:eastAsia="Arial" w:hAnsi="Arial"/>
          <w:sz w:val="17"/>
          <w:szCs w:val="17"/>
          <w:color w:val="auto"/>
        </w:rPr>
        <w:t>Such Participant’s “</w:t>
      </w:r>
      <w:r>
        <w:rPr>
          <w:rFonts w:ascii="Arial" w:cs="Arial" w:eastAsia="Arial" w:hAnsi="Arial"/>
          <w:sz w:val="17"/>
          <w:szCs w:val="17"/>
          <w:u w:val="single" w:color="auto"/>
          <w:color w:val="auto"/>
        </w:rPr>
        <w:t>Pre-Section 409A Benefit</w:t>
      </w:r>
      <w:r>
        <w:rPr>
          <w:rFonts w:ascii="Arial" w:cs="Arial" w:eastAsia="Arial" w:hAnsi="Arial"/>
          <w:sz w:val="17"/>
          <w:szCs w:val="17"/>
          <w:color w:val="auto"/>
        </w:rPr>
        <w:t>” shall equal the present value of the amount to which such Participant would have been entitled under the Plan if such Participant voluntarily terminated services without cause on December 31, 2004, and received a payment of the benefits available from the Plan on the earliest possible date allowed under the Plan to receive a payment of benefits following the termination of services, and received the benefits in the form with maximum value. Notwithstanding the foregoing, for any subsequent taxable year of such Participant, the “</w:t>
      </w:r>
      <w:r>
        <w:rPr>
          <w:rFonts w:ascii="Arial" w:cs="Arial" w:eastAsia="Arial" w:hAnsi="Arial"/>
          <w:sz w:val="17"/>
          <w:szCs w:val="17"/>
          <w:u w:val="single" w:color="auto"/>
          <w:color w:val="auto"/>
        </w:rPr>
        <w:t>Pre-Section 409A Benefit</w:t>
      </w:r>
      <w:r>
        <w:rPr>
          <w:rFonts w:ascii="Arial" w:cs="Arial" w:eastAsia="Arial" w:hAnsi="Arial"/>
          <w:sz w:val="17"/>
          <w:szCs w:val="17"/>
          <w:color w:val="auto"/>
        </w:rPr>
        <w:t>” shall increase to equal the present value of the benefit such Participant actually becomes entitled to, in the form and at the time actually paid, determined under the terms of the Plan (including applicable limits</w:t>
      </w:r>
    </w:p>
    <w:p>
      <w:pPr>
        <w:sectPr>
          <w:pgSz w:w="11900" w:h="16838" w:orient="portrait"/>
          <w:cols w:equalWidth="0" w:num="1">
            <w:col w:w="11156"/>
          </w:cols>
          <w:pgMar w:left="524" w:top="120" w:right="219" w:bottom="0" w:gutter="0" w:footer="0" w:header="0"/>
        </w:sectPr>
      </w:pPr>
    </w:p>
    <w:bookmarkStart w:id="70" w:name="page71"/>
    <w:bookmarkEnd w:id="70"/>
    <w:p>
      <w:pPr>
        <w:ind w:left="576" w:right="120"/>
        <w:spacing w:after="0" w:line="281" w:lineRule="auto"/>
        <w:rPr>
          <w:sz w:val="20"/>
          <w:szCs w:val="20"/>
          <w:color w:val="auto"/>
        </w:rPr>
      </w:pPr>
      <w:r>
        <w:rPr>
          <w:rFonts w:ascii="Arial" w:cs="Arial" w:eastAsia="Arial" w:hAnsi="Arial"/>
          <w:sz w:val="17"/>
          <w:szCs w:val="17"/>
          <w:color w:val="auto"/>
        </w:rPr>
        <w:t>under the Code), as in effect on October 3, 2004, without regard to any further services rendered by such Participant after December 31, 2004, or any other events affecting the amount of or the entitlement to benefits (other than such Participant’s election with respect to the time or form of an available benefit). Such present value shall be computed using the applicable actuarial assumptions and methods under the Basic Plan to the extent in accordance with Treasury Regulation Section 1.409A-6(a)(3)(i), or such other reasonable actuarial assumptions and methods as are permitted under Treasury Regulation Section 1.409A-6(a)(3)(i).</w:t>
      </w:r>
    </w:p>
    <w:p>
      <w:pPr>
        <w:spacing w:after="0" w:line="118" w:lineRule="exact"/>
        <w:rPr>
          <w:sz w:val="20"/>
          <w:szCs w:val="20"/>
          <w:color w:val="auto"/>
        </w:rPr>
      </w:pPr>
    </w:p>
    <w:p>
      <w:pPr>
        <w:jc w:val="both"/>
        <w:ind w:left="576" w:right="120" w:hanging="287"/>
        <w:spacing w:after="0" w:line="252" w:lineRule="auto"/>
        <w:tabs>
          <w:tab w:leader="none" w:pos="576" w:val="left"/>
        </w:tabs>
        <w:numPr>
          <w:ilvl w:val="1"/>
          <w:numId w:val="54"/>
        </w:numPr>
        <w:rPr>
          <w:rFonts w:ascii="Arial" w:cs="Arial" w:eastAsia="Arial" w:hAnsi="Arial"/>
          <w:sz w:val="19"/>
          <w:szCs w:val="19"/>
          <w:color w:val="auto"/>
        </w:rPr>
      </w:pPr>
      <w:r>
        <w:rPr>
          <w:rFonts w:ascii="Arial" w:cs="Arial" w:eastAsia="Arial" w:hAnsi="Arial"/>
          <w:sz w:val="19"/>
          <w:szCs w:val="19"/>
          <w:color w:val="auto"/>
        </w:rPr>
        <w:t>In the case of a Participant described in subsection (A), such Participant’s “</w:t>
      </w:r>
      <w:r>
        <w:rPr>
          <w:rFonts w:ascii="Arial" w:cs="Arial" w:eastAsia="Arial" w:hAnsi="Arial"/>
          <w:sz w:val="19"/>
          <w:szCs w:val="19"/>
          <w:u w:val="single" w:color="auto"/>
          <w:color w:val="auto"/>
        </w:rPr>
        <w:t>Post-Section 409A Benefit</w:t>
      </w:r>
      <w:r>
        <w:rPr>
          <w:rFonts w:ascii="Arial" w:cs="Arial" w:eastAsia="Arial" w:hAnsi="Arial"/>
          <w:sz w:val="19"/>
          <w:szCs w:val="19"/>
          <w:color w:val="auto"/>
        </w:rPr>
        <w:t>” means such Participant’s benefit under this Plan, less such Participant’s Pre-Section 409A Benefit (if any). In the case of any other Participant, such Participant’s “</w:t>
      </w:r>
      <w:r>
        <w:rPr>
          <w:rFonts w:ascii="Arial" w:cs="Arial" w:eastAsia="Arial" w:hAnsi="Arial"/>
          <w:sz w:val="19"/>
          <w:szCs w:val="19"/>
          <w:u w:val="single" w:color="auto"/>
          <w:color w:val="auto"/>
        </w:rPr>
        <w:t>Post-Section 409A Benefit</w:t>
      </w:r>
      <w:r>
        <w:rPr>
          <w:rFonts w:ascii="Arial" w:cs="Arial" w:eastAsia="Arial" w:hAnsi="Arial"/>
          <w:sz w:val="19"/>
          <w:szCs w:val="19"/>
          <w:color w:val="auto"/>
        </w:rPr>
        <w:t>” means such Participant’s benefit under this Plan.</w:t>
      </w:r>
    </w:p>
    <w:p>
      <w:pPr>
        <w:spacing w:after="0" w:line="146" w:lineRule="exact"/>
        <w:rPr>
          <w:rFonts w:ascii="Arial" w:cs="Arial" w:eastAsia="Arial" w:hAnsi="Arial"/>
          <w:sz w:val="19"/>
          <w:szCs w:val="19"/>
          <w:color w:val="auto"/>
        </w:rPr>
      </w:pPr>
    </w:p>
    <w:p>
      <w:pPr>
        <w:ind w:left="296" w:hanging="296"/>
        <w:spacing w:after="0"/>
        <w:tabs>
          <w:tab w:leader="none" w:pos="296" w:val="left"/>
        </w:tabs>
        <w:numPr>
          <w:ilvl w:val="0"/>
          <w:numId w:val="55"/>
        </w:numPr>
        <w:rPr>
          <w:rFonts w:ascii="Arial" w:cs="Arial" w:eastAsia="Arial" w:hAnsi="Arial"/>
          <w:sz w:val="19"/>
          <w:szCs w:val="19"/>
          <w:color w:val="auto"/>
        </w:rPr>
      </w:pPr>
      <w:r>
        <w:rPr>
          <w:rFonts w:ascii="Arial" w:cs="Arial" w:eastAsia="Arial" w:hAnsi="Arial"/>
          <w:sz w:val="19"/>
          <w:szCs w:val="19"/>
          <w:b w:val="1"/>
          <w:bCs w:val="1"/>
          <w:color w:val="auto"/>
        </w:rPr>
        <w:t>Distributions to Newly Eligible Employees</w:t>
      </w:r>
    </w:p>
    <w:p>
      <w:pPr>
        <w:spacing w:after="0" w:line="183" w:lineRule="exact"/>
        <w:rPr>
          <w:rFonts w:ascii="Arial" w:cs="Arial" w:eastAsia="Arial" w:hAnsi="Arial"/>
          <w:sz w:val="19"/>
          <w:szCs w:val="19"/>
          <w:color w:val="auto"/>
        </w:rPr>
      </w:pPr>
    </w:p>
    <w:p>
      <w:pPr>
        <w:jc w:val="both"/>
        <w:ind w:left="576" w:right="140" w:hanging="287"/>
        <w:spacing w:after="0" w:line="252" w:lineRule="auto"/>
        <w:tabs>
          <w:tab w:leader="none" w:pos="576" w:val="left"/>
        </w:tabs>
        <w:numPr>
          <w:ilvl w:val="1"/>
          <w:numId w:val="55"/>
        </w:numPr>
        <w:rPr>
          <w:rFonts w:ascii="Arial" w:cs="Arial" w:eastAsia="Arial" w:hAnsi="Arial"/>
          <w:sz w:val="19"/>
          <w:szCs w:val="19"/>
          <w:color w:val="auto"/>
        </w:rPr>
      </w:pPr>
      <w:r>
        <w:rPr>
          <w:rFonts w:ascii="Arial" w:cs="Arial" w:eastAsia="Arial" w:hAnsi="Arial"/>
          <w:sz w:val="19"/>
          <w:szCs w:val="19"/>
          <w:color w:val="auto"/>
        </w:rPr>
        <w:t>In the case of a Participant who first becomes an Eligible Employee under this Plan (as determined under Section 4) after December 31, 2005, the payment of benefits under this Plan shall be made in a lump sum in accordance with this subsection (F) upon the Participant’s Separation from Service, except as provided in paragraph (ii).</w:t>
      </w:r>
    </w:p>
    <w:p>
      <w:pPr>
        <w:spacing w:after="0" w:line="140" w:lineRule="exact"/>
        <w:rPr>
          <w:rFonts w:ascii="Arial" w:cs="Arial" w:eastAsia="Arial" w:hAnsi="Arial"/>
          <w:sz w:val="19"/>
          <w:szCs w:val="19"/>
          <w:color w:val="auto"/>
        </w:rPr>
      </w:pPr>
    </w:p>
    <w:p>
      <w:pPr>
        <w:ind w:left="576" w:hanging="287"/>
        <w:spacing w:after="0"/>
        <w:tabs>
          <w:tab w:leader="none" w:pos="576" w:val="left"/>
        </w:tabs>
        <w:numPr>
          <w:ilvl w:val="1"/>
          <w:numId w:val="55"/>
        </w:numPr>
        <w:rPr>
          <w:rFonts w:ascii="Arial" w:cs="Arial" w:eastAsia="Arial" w:hAnsi="Arial"/>
          <w:sz w:val="19"/>
          <w:szCs w:val="19"/>
          <w:color w:val="auto"/>
        </w:rPr>
      </w:pPr>
      <w:r>
        <w:rPr>
          <w:rFonts w:ascii="Arial" w:cs="Arial" w:eastAsia="Arial" w:hAnsi="Arial"/>
          <w:sz w:val="19"/>
          <w:szCs w:val="19"/>
          <w:color w:val="auto"/>
        </w:rPr>
        <w:t>The Participant may elect to change the form of the payment of benefits under this Plan, as follows:</w:t>
      </w:r>
    </w:p>
    <w:p>
      <w:pPr>
        <w:spacing w:after="0" w:line="189" w:lineRule="exact"/>
        <w:rPr>
          <w:rFonts w:ascii="Arial" w:cs="Arial" w:eastAsia="Arial" w:hAnsi="Arial"/>
          <w:sz w:val="19"/>
          <w:szCs w:val="19"/>
          <w:color w:val="auto"/>
        </w:rPr>
      </w:pPr>
    </w:p>
    <w:p>
      <w:pPr>
        <w:ind w:left="1156" w:hanging="291"/>
        <w:spacing w:after="0" w:line="255" w:lineRule="auto"/>
        <w:tabs>
          <w:tab w:leader="none" w:pos="1156" w:val="left"/>
        </w:tabs>
        <w:numPr>
          <w:ilvl w:val="3"/>
          <w:numId w:val="55"/>
        </w:numPr>
        <w:rPr>
          <w:rFonts w:ascii="Arial" w:cs="Arial" w:eastAsia="Arial" w:hAnsi="Arial"/>
          <w:sz w:val="18"/>
          <w:szCs w:val="18"/>
          <w:color w:val="auto"/>
        </w:rPr>
      </w:pPr>
      <w:r>
        <w:rPr>
          <w:rFonts w:ascii="Arial" w:cs="Arial" w:eastAsia="Arial" w:hAnsi="Arial"/>
          <w:sz w:val="18"/>
          <w:szCs w:val="18"/>
          <w:color w:val="auto"/>
        </w:rPr>
        <w:t>The Participant may elect, in writing, to change the form of payment of such benefit to any of the following annuity options: (I) a straight life annuity, (II) a joint and 50% survivor annuity, and (III) a joint and 100% survivor annuity. The amount of such optional annuity benefit under this Plan shall be computed as specified in Section 5 of this Plan using the interest and mortality factors specified in the Basic Plan. The Participant’s election shall be subject to subparagraphs (b), (c), (d), (e) and (f). Except as provided in subparagraph (e), the Participant’s election under this subparagraph (a) shall be irrevocable. The joint and survivor annuity is only available under clause (II) or (III) if the Participant designates his or her spouse as beneficiary or obtains spousal consent to the designation of another beneficiary in the same manner as under the Basic Plan as part of the Participant’s election. If the spouse, or beneficiary dies before the Participant’s Separation from Service, the joint and survivor annuity is canceled and the benefit is paid in the form of a straight life annuity; provided, that the straight life annuity is actuarially equivalent, applying reasonable actuarial methods and assumptions, to the joint and survivor annuity in effect prior to such cancellation, as determined under Treasury Regulation Section 1.409A-2(b)(2)(ii).</w:t>
      </w:r>
    </w:p>
    <w:p>
      <w:pPr>
        <w:spacing w:after="0" w:line="139" w:lineRule="exact"/>
        <w:rPr>
          <w:rFonts w:ascii="Arial" w:cs="Arial" w:eastAsia="Arial" w:hAnsi="Arial"/>
          <w:sz w:val="18"/>
          <w:szCs w:val="18"/>
          <w:color w:val="auto"/>
        </w:rPr>
      </w:pPr>
    </w:p>
    <w:p>
      <w:pPr>
        <w:ind w:left="1156" w:hanging="291"/>
        <w:spacing w:after="0"/>
        <w:tabs>
          <w:tab w:leader="none" w:pos="1156" w:val="left"/>
        </w:tabs>
        <w:numPr>
          <w:ilvl w:val="3"/>
          <w:numId w:val="55"/>
        </w:numPr>
        <w:rPr>
          <w:rFonts w:ascii="Arial" w:cs="Arial" w:eastAsia="Arial" w:hAnsi="Arial"/>
          <w:sz w:val="19"/>
          <w:szCs w:val="19"/>
          <w:color w:val="auto"/>
        </w:rPr>
      </w:pPr>
      <w:r>
        <w:rPr>
          <w:rFonts w:ascii="Arial" w:cs="Arial" w:eastAsia="Arial" w:hAnsi="Arial"/>
          <w:sz w:val="19"/>
          <w:szCs w:val="19"/>
          <w:color w:val="auto"/>
        </w:rPr>
        <w:t>The Participant’s election under subparagraph (a) must be made prior to the Participant’s Separation from Service.</w:t>
      </w:r>
    </w:p>
    <w:p>
      <w:pPr>
        <w:spacing w:after="0" w:line="177" w:lineRule="exact"/>
        <w:rPr>
          <w:rFonts w:ascii="Arial" w:cs="Arial" w:eastAsia="Arial" w:hAnsi="Arial"/>
          <w:sz w:val="19"/>
          <w:szCs w:val="19"/>
          <w:color w:val="auto"/>
        </w:rPr>
      </w:pPr>
    </w:p>
    <w:p>
      <w:pPr>
        <w:ind w:left="1156" w:right="40" w:hanging="291"/>
        <w:spacing w:after="0" w:line="247" w:lineRule="auto"/>
        <w:tabs>
          <w:tab w:leader="none" w:pos="1156" w:val="left"/>
        </w:tabs>
        <w:numPr>
          <w:ilvl w:val="3"/>
          <w:numId w:val="55"/>
        </w:numPr>
        <w:rPr>
          <w:rFonts w:ascii="Arial" w:cs="Arial" w:eastAsia="Arial" w:hAnsi="Arial"/>
          <w:sz w:val="19"/>
          <w:szCs w:val="19"/>
          <w:color w:val="auto"/>
        </w:rPr>
      </w:pPr>
      <w:r>
        <w:rPr>
          <w:rFonts w:ascii="Arial" w:cs="Arial" w:eastAsia="Arial" w:hAnsi="Arial"/>
          <w:sz w:val="19"/>
          <w:szCs w:val="19"/>
          <w:color w:val="auto"/>
        </w:rPr>
        <w:t>The Participant’s election under subparagraph (a) shall not take effect until 12 months after his election is made in accordance with Treasury Regulation Section 1.409A-2(b)(1)(i). If the Participant has a Separation from Service before the election under subparagraph (a) becomes effective, the election under subparagraph (a) shall terminate and the Participant’s benefit shall be paid in a lump sum payment under paragraph (i).</w:t>
      </w:r>
    </w:p>
    <w:p>
      <w:pPr>
        <w:spacing w:after="0" w:line="157" w:lineRule="exact"/>
        <w:rPr>
          <w:rFonts w:ascii="Arial" w:cs="Arial" w:eastAsia="Arial" w:hAnsi="Arial"/>
          <w:sz w:val="19"/>
          <w:szCs w:val="19"/>
          <w:color w:val="auto"/>
        </w:rPr>
      </w:pPr>
    </w:p>
    <w:p>
      <w:pPr>
        <w:ind w:left="1156" w:right="40" w:hanging="291"/>
        <w:spacing w:after="0" w:line="247" w:lineRule="auto"/>
        <w:tabs>
          <w:tab w:leader="none" w:pos="1156" w:val="left"/>
        </w:tabs>
        <w:numPr>
          <w:ilvl w:val="3"/>
          <w:numId w:val="55"/>
        </w:numPr>
        <w:rPr>
          <w:rFonts w:ascii="Arial" w:cs="Arial" w:eastAsia="Arial" w:hAnsi="Arial"/>
          <w:sz w:val="19"/>
          <w:szCs w:val="19"/>
          <w:color w:val="auto"/>
        </w:rPr>
      </w:pPr>
      <w:r>
        <w:rPr>
          <w:rFonts w:ascii="Arial" w:cs="Arial" w:eastAsia="Arial" w:hAnsi="Arial"/>
          <w:sz w:val="19"/>
          <w:szCs w:val="19"/>
          <w:color w:val="auto"/>
        </w:rPr>
        <w:t>In the event the Participant’s election under subparagraph (a) becomes effective, the payment of benefits under the annuity option shall be deferred for a period of five years from the date such payment would otherwise have been paid (or, in the case of a life annuity treated as a single payment, five years from the date the first amount was scheduled to be paid), in accordance with Treasury Regulation Section 1.409A-2(b)(1)(ii).</w:t>
      </w:r>
    </w:p>
    <w:p>
      <w:pPr>
        <w:spacing w:after="0" w:line="145" w:lineRule="exact"/>
        <w:rPr>
          <w:rFonts w:ascii="Arial" w:cs="Arial" w:eastAsia="Arial" w:hAnsi="Arial"/>
          <w:sz w:val="19"/>
          <w:szCs w:val="19"/>
          <w:color w:val="auto"/>
        </w:rPr>
      </w:pPr>
    </w:p>
    <w:p>
      <w:pPr>
        <w:ind w:left="1156" w:right="40" w:hanging="291"/>
        <w:spacing w:after="0" w:line="261" w:lineRule="auto"/>
        <w:tabs>
          <w:tab w:leader="none" w:pos="1156" w:val="left"/>
        </w:tabs>
        <w:numPr>
          <w:ilvl w:val="3"/>
          <w:numId w:val="55"/>
        </w:numPr>
        <w:rPr>
          <w:rFonts w:ascii="Arial" w:cs="Arial" w:eastAsia="Arial" w:hAnsi="Arial"/>
          <w:sz w:val="18"/>
          <w:szCs w:val="18"/>
          <w:color w:val="auto"/>
        </w:rPr>
      </w:pPr>
      <w:r>
        <w:rPr>
          <w:rFonts w:ascii="Arial" w:cs="Arial" w:eastAsia="Arial" w:hAnsi="Arial"/>
          <w:sz w:val="18"/>
          <w:szCs w:val="18"/>
          <w:color w:val="auto"/>
        </w:rPr>
        <w:t>The Participant may elect to change the annuity form of payment elected under subparagraph (a) to another annuity form of payment specified under subparagraph (a) and such election shall be effective immediately; provided, that such change is made prior to the commencement of the payment of benefits under this Plan; and, provided, further, that the annuity form of payment is actuarially equivalent applying reasonable actuarial methods and assumptions to the annuity form of payment, as in effect at the time of the election, as determined under Treasury Regulation Section 1.409A-2(b)(2)(ii).</w:t>
      </w:r>
    </w:p>
    <w:p>
      <w:pPr>
        <w:spacing w:after="0" w:line="135" w:lineRule="exact"/>
        <w:rPr>
          <w:rFonts w:ascii="Arial" w:cs="Arial" w:eastAsia="Arial" w:hAnsi="Arial"/>
          <w:sz w:val="18"/>
          <w:szCs w:val="18"/>
          <w:color w:val="auto"/>
        </w:rPr>
      </w:pPr>
    </w:p>
    <w:p>
      <w:pPr>
        <w:ind w:left="1156" w:right="100" w:hanging="291"/>
        <w:spacing w:after="0" w:line="266" w:lineRule="auto"/>
        <w:tabs>
          <w:tab w:leader="none" w:pos="1156" w:val="left"/>
        </w:tabs>
        <w:numPr>
          <w:ilvl w:val="3"/>
          <w:numId w:val="55"/>
        </w:numPr>
        <w:rPr>
          <w:rFonts w:ascii="Arial" w:cs="Arial" w:eastAsia="Arial" w:hAnsi="Arial"/>
          <w:sz w:val="19"/>
          <w:szCs w:val="19"/>
          <w:color w:val="auto"/>
        </w:rPr>
      </w:pPr>
      <w:r>
        <w:rPr>
          <w:rFonts w:ascii="Arial" w:cs="Arial" w:eastAsia="Arial" w:hAnsi="Arial"/>
          <w:sz w:val="19"/>
          <w:szCs w:val="19"/>
          <w:color w:val="auto"/>
        </w:rPr>
        <w:t>Any change in a Participant’s form of payment under this paragraph (ii) shall be in accordance with Treasury Regulation Section 1.409A-2(b).</w:t>
      </w:r>
    </w:p>
    <w:p>
      <w:pPr>
        <w:spacing w:after="0" w:line="140" w:lineRule="exact"/>
        <w:rPr>
          <w:rFonts w:ascii="Arial" w:cs="Arial" w:eastAsia="Arial" w:hAnsi="Arial"/>
          <w:sz w:val="19"/>
          <w:szCs w:val="19"/>
          <w:color w:val="auto"/>
        </w:rPr>
      </w:pPr>
    </w:p>
    <w:p>
      <w:pPr>
        <w:ind w:left="576" w:right="20" w:hanging="287"/>
        <w:spacing w:after="0" w:line="244" w:lineRule="auto"/>
        <w:tabs>
          <w:tab w:leader="none" w:pos="864" w:val="left"/>
        </w:tabs>
        <w:numPr>
          <w:ilvl w:val="1"/>
          <w:numId w:val="55"/>
        </w:numPr>
        <w:rPr>
          <w:rFonts w:ascii="Arial" w:cs="Arial" w:eastAsia="Arial" w:hAnsi="Arial"/>
          <w:sz w:val="19"/>
          <w:szCs w:val="19"/>
          <w:color w:val="auto"/>
        </w:rPr>
      </w:pPr>
      <w:r>
        <w:rPr>
          <w:rFonts w:ascii="Arial" w:cs="Arial" w:eastAsia="Arial" w:hAnsi="Arial"/>
          <w:sz w:val="19"/>
          <w:szCs w:val="19"/>
          <w:color w:val="auto"/>
        </w:rPr>
        <w:t>A lump sum payment under paragraph (F)(i) shall be paid on such date as is determined by Sempra Energy within thirty (30) days following the Participant’s Separation from Service. An annuity under this subsection (F) shall be paid monthly, beginning on the last day of the month in which the date determined under subparagraph (F)(i)(d) occurs and shall continue to be paid monthly during the life of the Participant and the life of the Participant’s designated beneficiary, if any (if such beneficiary survives the Participant). In all cases, the monthly benefit shall equal the annual benefit divided by 12.</w:t>
      </w:r>
    </w:p>
    <w:p>
      <w:pPr>
        <w:spacing w:after="0" w:line="144" w:lineRule="exact"/>
        <w:rPr>
          <w:rFonts w:ascii="Arial" w:cs="Arial" w:eastAsia="Arial" w:hAnsi="Arial"/>
          <w:sz w:val="19"/>
          <w:szCs w:val="19"/>
          <w:color w:val="auto"/>
        </w:rPr>
      </w:pPr>
    </w:p>
    <w:p>
      <w:pPr>
        <w:ind w:left="856" w:hanging="519"/>
        <w:spacing w:after="0"/>
        <w:tabs>
          <w:tab w:leader="none" w:pos="856" w:val="left"/>
        </w:tabs>
        <w:numPr>
          <w:ilvl w:val="2"/>
          <w:numId w:val="55"/>
        </w:numPr>
        <w:rPr>
          <w:rFonts w:ascii="Arial" w:cs="Arial" w:eastAsia="Arial" w:hAnsi="Arial"/>
          <w:sz w:val="19"/>
          <w:szCs w:val="19"/>
          <w:b w:val="1"/>
          <w:bCs w:val="1"/>
          <w:color w:val="auto"/>
        </w:rPr>
      </w:pPr>
      <w:r>
        <w:rPr>
          <w:rFonts w:ascii="Arial" w:cs="Arial" w:eastAsia="Arial" w:hAnsi="Arial"/>
          <w:sz w:val="19"/>
          <w:szCs w:val="19"/>
          <w:b w:val="1"/>
          <w:bCs w:val="1"/>
          <w:color w:val="auto"/>
        </w:rPr>
        <w:t>Death Benefits</w:t>
      </w:r>
    </w:p>
    <w:p>
      <w:pPr>
        <w:spacing w:after="0" w:line="196" w:lineRule="exact"/>
        <w:rPr>
          <w:sz w:val="20"/>
          <w:szCs w:val="20"/>
          <w:color w:val="auto"/>
        </w:rPr>
      </w:pPr>
    </w:p>
    <w:p>
      <w:pPr>
        <w:ind w:left="296" w:right="80"/>
        <w:spacing w:after="0" w:line="247" w:lineRule="auto"/>
        <w:rPr>
          <w:sz w:val="20"/>
          <w:szCs w:val="20"/>
          <w:color w:val="auto"/>
        </w:rPr>
      </w:pPr>
      <w:r>
        <w:rPr>
          <w:rFonts w:ascii="Arial" w:cs="Arial" w:eastAsia="Arial" w:hAnsi="Arial"/>
          <w:sz w:val="19"/>
          <w:szCs w:val="19"/>
          <w:color w:val="auto"/>
        </w:rPr>
        <w:t>If a Participant dies prior to the commencement of benefits under this Plan on or after his or her Separation from Service (or, in the case of a Participant described in subsection (A), such Participant’s Pre-Section 409A Death Benefit (if any), prior to the commencement of benefits under this Plan on or after such Participant’s Retirement Date or Termination), the payment of death benefits to such Participant’s beneficiary(ies) shall be made in accordance with this subsection (G).</w:t>
      </w:r>
    </w:p>
    <w:p>
      <w:pPr>
        <w:spacing w:after="0" w:line="146" w:lineRule="exact"/>
        <w:rPr>
          <w:sz w:val="20"/>
          <w:szCs w:val="20"/>
          <w:color w:val="auto"/>
        </w:rPr>
      </w:pPr>
    </w:p>
    <w:p>
      <w:pPr>
        <w:ind w:left="576" w:right="100" w:hanging="287"/>
        <w:spacing w:after="0" w:line="266" w:lineRule="auto"/>
        <w:tabs>
          <w:tab w:leader="none" w:pos="576" w:val="left"/>
        </w:tabs>
        <w:numPr>
          <w:ilvl w:val="0"/>
          <w:numId w:val="56"/>
        </w:numPr>
        <w:rPr>
          <w:rFonts w:ascii="Arial" w:cs="Arial" w:eastAsia="Arial" w:hAnsi="Arial"/>
          <w:sz w:val="19"/>
          <w:szCs w:val="19"/>
          <w:color w:val="auto"/>
        </w:rPr>
      </w:pPr>
      <w:r>
        <w:rPr>
          <w:rFonts w:ascii="Arial" w:cs="Arial" w:eastAsia="Arial" w:hAnsi="Arial"/>
          <w:sz w:val="19"/>
          <w:szCs w:val="19"/>
          <w:color w:val="auto"/>
        </w:rPr>
        <w:t>The death benefits payable to such Participant’s beneficiary(ies) under this subsection (G) shall be computed as specified in Section 5 of this Plan using the actuarial factors specified in the Basic Plan.</w:t>
      </w:r>
    </w:p>
    <w:p>
      <w:pPr>
        <w:spacing w:after="0" w:line="140" w:lineRule="exact"/>
        <w:rPr>
          <w:rFonts w:ascii="Arial" w:cs="Arial" w:eastAsia="Arial" w:hAnsi="Arial"/>
          <w:sz w:val="19"/>
          <w:szCs w:val="19"/>
          <w:color w:val="auto"/>
        </w:rPr>
      </w:pPr>
    </w:p>
    <w:p>
      <w:pPr>
        <w:ind w:left="576" w:right="20" w:hanging="287"/>
        <w:spacing w:after="0" w:line="326" w:lineRule="auto"/>
        <w:tabs>
          <w:tab w:leader="none" w:pos="576" w:val="left"/>
        </w:tabs>
        <w:numPr>
          <w:ilvl w:val="0"/>
          <w:numId w:val="56"/>
        </w:numPr>
        <w:rPr>
          <w:rFonts w:ascii="Arial" w:cs="Arial" w:eastAsia="Arial" w:hAnsi="Arial"/>
          <w:sz w:val="17"/>
          <w:szCs w:val="17"/>
          <w:color w:val="auto"/>
        </w:rPr>
      </w:pPr>
      <w:r>
        <w:rPr>
          <w:rFonts w:ascii="Arial" w:cs="Arial" w:eastAsia="Arial" w:hAnsi="Arial"/>
          <w:sz w:val="17"/>
          <w:szCs w:val="17"/>
          <w:color w:val="auto"/>
        </w:rPr>
        <w:t>The death benefits payable to such Participant’s beneficiary(ies) under this subsection (G) shall be in lieu of any benefits that would have been payable under the other provisions of this Section 6, if such Participant had survived until the date of commencement of benefits.</w:t>
      </w:r>
    </w:p>
    <w:p>
      <w:pPr>
        <w:spacing w:after="0" w:line="81" w:lineRule="exact"/>
        <w:rPr>
          <w:rFonts w:ascii="Arial" w:cs="Arial" w:eastAsia="Arial" w:hAnsi="Arial"/>
          <w:sz w:val="17"/>
          <w:szCs w:val="17"/>
          <w:color w:val="auto"/>
        </w:rPr>
      </w:pPr>
    </w:p>
    <w:p>
      <w:pPr>
        <w:ind w:left="576" w:right="120" w:hanging="287"/>
        <w:spacing w:after="0" w:line="277" w:lineRule="auto"/>
        <w:tabs>
          <w:tab w:leader="none" w:pos="864" w:val="left"/>
        </w:tabs>
        <w:numPr>
          <w:ilvl w:val="0"/>
          <w:numId w:val="56"/>
        </w:numPr>
        <w:rPr>
          <w:rFonts w:ascii="Arial" w:cs="Arial" w:eastAsia="Arial" w:hAnsi="Arial"/>
          <w:sz w:val="17"/>
          <w:szCs w:val="17"/>
          <w:color w:val="auto"/>
        </w:rPr>
      </w:pPr>
      <w:r>
        <w:rPr>
          <w:rFonts w:ascii="Arial" w:cs="Arial" w:eastAsia="Arial" w:hAnsi="Arial"/>
          <w:sz w:val="17"/>
          <w:szCs w:val="17"/>
          <w:color w:val="auto"/>
        </w:rPr>
        <w:t>The death benefits payable to such Participant’s beneficiary(ies) under this subsection (G) shall be payable in a lump sum payment on such date as is determined by Sempra Energy during the thirty (30) day period commencing upon such Participant’s death; provided, however, that, in the case of a Participant described in subsection (A), such Participant’s Pre-Section 409A Death Benefit (if any) shall be paid in the same payment form and at the same time as the payment of pre-commencement death benefits on behalf of such Participant under the Basic Plan and such Participant’s Post-Section 409A Death Benefit shall be payable in a lump sum on such date as is determined by Sempra Energy during the thirty (30) day period commencing upon such Participant’s death.</w:t>
      </w:r>
    </w:p>
    <w:p>
      <w:pPr>
        <w:spacing w:after="0" w:line="135" w:lineRule="exact"/>
        <w:rPr>
          <w:rFonts w:ascii="Arial" w:cs="Arial" w:eastAsia="Arial" w:hAnsi="Arial"/>
          <w:sz w:val="17"/>
          <w:szCs w:val="17"/>
          <w:color w:val="auto"/>
        </w:rPr>
      </w:pPr>
    </w:p>
    <w:p>
      <w:pPr>
        <w:ind w:left="856" w:hanging="519"/>
        <w:spacing w:after="0"/>
        <w:tabs>
          <w:tab w:leader="none" w:pos="856" w:val="left"/>
        </w:tabs>
        <w:numPr>
          <w:ilvl w:val="1"/>
          <w:numId w:val="56"/>
        </w:numPr>
        <w:rPr>
          <w:rFonts w:ascii="Arial" w:cs="Arial" w:eastAsia="Arial" w:hAnsi="Arial"/>
          <w:sz w:val="19"/>
          <w:szCs w:val="19"/>
          <w:color w:val="auto"/>
        </w:rPr>
      </w:pPr>
      <w:r>
        <w:rPr>
          <w:rFonts w:ascii="Arial" w:cs="Arial" w:eastAsia="Arial" w:hAnsi="Arial"/>
          <w:sz w:val="19"/>
          <w:szCs w:val="19"/>
          <w:color w:val="auto"/>
        </w:rPr>
        <w:t>For purposes of this subsection (G) and Section 9,</w:t>
      </w:r>
    </w:p>
    <w:p>
      <w:pPr>
        <w:sectPr>
          <w:pgSz w:w="11900" w:h="16838" w:orient="portrait"/>
          <w:cols w:equalWidth="0" w:num="1">
            <w:col w:w="11156"/>
          </w:cols>
          <w:pgMar w:left="524" w:top="120" w:right="219" w:bottom="0" w:gutter="0" w:footer="0" w:header="0"/>
        </w:sectPr>
      </w:pPr>
    </w:p>
    <w:bookmarkStart w:id="71" w:name="page72"/>
    <w:bookmarkEnd w:id="71"/>
    <w:p>
      <w:pPr>
        <w:ind w:left="1444" w:hanging="291"/>
        <w:spacing w:after="0" w:line="259" w:lineRule="auto"/>
        <w:tabs>
          <w:tab w:leader="none" w:pos="1444" w:val="left"/>
        </w:tabs>
        <w:numPr>
          <w:ilvl w:val="3"/>
          <w:numId w:val="57"/>
        </w:numPr>
        <w:rPr>
          <w:rFonts w:ascii="Arial" w:cs="Arial" w:eastAsia="Arial" w:hAnsi="Arial"/>
          <w:sz w:val="18"/>
          <w:szCs w:val="18"/>
          <w:color w:val="auto"/>
        </w:rPr>
      </w:pPr>
      <w:r>
        <w:rPr>
          <w:rFonts w:ascii="Arial" w:cs="Arial" w:eastAsia="Arial" w:hAnsi="Arial"/>
          <w:sz w:val="18"/>
          <w:szCs w:val="18"/>
          <w:color w:val="auto"/>
        </w:rPr>
        <w:t>in the case of a Participant described in subsection (A), such Participant’s “</w:t>
      </w:r>
      <w:r>
        <w:rPr>
          <w:rFonts w:ascii="Arial" w:cs="Arial" w:eastAsia="Arial" w:hAnsi="Arial"/>
          <w:sz w:val="18"/>
          <w:szCs w:val="18"/>
          <w:u w:val="single" w:color="auto"/>
          <w:color w:val="auto"/>
        </w:rPr>
        <w:t>Pre-Section 409A Death Benefit</w:t>
      </w:r>
      <w:r>
        <w:rPr>
          <w:rFonts w:ascii="Arial" w:cs="Arial" w:eastAsia="Arial" w:hAnsi="Arial"/>
          <w:sz w:val="18"/>
          <w:szCs w:val="18"/>
          <w:color w:val="auto"/>
        </w:rPr>
        <w:t>” means the portion of the death benefits payable to such Participant’s beneficiary(ies) under this subsection (G), if any, to which such Participant had a legal binding right, and which was earned and vested, as of December 31, 2004, determined in accordance with Section 409A of the Code and Treasury Regulation Section 1.409A-6. Such Participant’s “</w:t>
      </w:r>
      <w:r>
        <w:rPr>
          <w:rFonts w:ascii="Arial" w:cs="Arial" w:eastAsia="Arial" w:hAnsi="Arial"/>
          <w:sz w:val="18"/>
          <w:szCs w:val="18"/>
          <w:u w:val="single" w:color="auto"/>
          <w:color w:val="auto"/>
        </w:rPr>
        <w:t>Pre-Section 409A Death Benefit</w:t>
      </w:r>
      <w:r>
        <w:rPr>
          <w:rFonts w:ascii="Arial" w:cs="Arial" w:eastAsia="Arial" w:hAnsi="Arial"/>
          <w:sz w:val="18"/>
          <w:szCs w:val="18"/>
          <w:color w:val="auto"/>
        </w:rPr>
        <w:t>” shall be determined by the terms of the Plan and the Basic Plan, as in effect as of October 3, 2004 and in a manner consistent with paragraph (E)(i) and Treasury Regulation Section 1.409A-6(a)(3)(i), and</w:t>
      </w:r>
    </w:p>
    <w:p>
      <w:pPr>
        <w:spacing w:after="0" w:line="138" w:lineRule="exact"/>
        <w:rPr>
          <w:rFonts w:ascii="Arial" w:cs="Arial" w:eastAsia="Arial" w:hAnsi="Arial"/>
          <w:sz w:val="18"/>
          <w:szCs w:val="18"/>
          <w:color w:val="auto"/>
        </w:rPr>
      </w:pPr>
    </w:p>
    <w:p>
      <w:pPr>
        <w:jc w:val="both"/>
        <w:ind w:left="1444" w:right="240" w:hanging="291"/>
        <w:spacing w:after="0" w:line="252" w:lineRule="auto"/>
        <w:tabs>
          <w:tab w:leader="none" w:pos="1444" w:val="left"/>
        </w:tabs>
        <w:numPr>
          <w:ilvl w:val="3"/>
          <w:numId w:val="57"/>
        </w:numPr>
        <w:rPr>
          <w:rFonts w:ascii="Arial" w:cs="Arial" w:eastAsia="Arial" w:hAnsi="Arial"/>
          <w:sz w:val="19"/>
          <w:szCs w:val="19"/>
          <w:color w:val="auto"/>
        </w:rPr>
      </w:pPr>
      <w:r>
        <w:rPr>
          <w:rFonts w:ascii="Arial" w:cs="Arial" w:eastAsia="Arial" w:hAnsi="Arial"/>
          <w:sz w:val="19"/>
          <w:szCs w:val="19"/>
          <w:color w:val="auto"/>
        </w:rPr>
        <w:t>in the case of a Participant described in subsection (A), such Participant’s “</w:t>
      </w:r>
      <w:r>
        <w:rPr>
          <w:rFonts w:ascii="Arial" w:cs="Arial" w:eastAsia="Arial" w:hAnsi="Arial"/>
          <w:sz w:val="19"/>
          <w:szCs w:val="19"/>
          <w:u w:val="single" w:color="auto"/>
          <w:color w:val="auto"/>
        </w:rPr>
        <w:t>Post-Section 409A Death Benefit</w:t>
      </w:r>
      <w:r>
        <w:rPr>
          <w:rFonts w:ascii="Arial" w:cs="Arial" w:eastAsia="Arial" w:hAnsi="Arial"/>
          <w:sz w:val="19"/>
          <w:szCs w:val="19"/>
          <w:color w:val="auto"/>
        </w:rPr>
        <w:t>” means the death benefit payable to such Participant’s beneficiary(ies) under this subsection (G), less such Participant’s Pre-Section 409A Death Benefit.</w:t>
      </w:r>
    </w:p>
    <w:p>
      <w:pPr>
        <w:spacing w:after="0" w:line="146" w:lineRule="exact"/>
        <w:rPr>
          <w:rFonts w:ascii="Arial" w:cs="Arial" w:eastAsia="Arial" w:hAnsi="Arial"/>
          <w:sz w:val="19"/>
          <w:szCs w:val="19"/>
          <w:color w:val="auto"/>
        </w:rPr>
      </w:pPr>
    </w:p>
    <w:p>
      <w:pPr>
        <w:ind w:left="584" w:hanging="296"/>
        <w:spacing w:after="0"/>
        <w:tabs>
          <w:tab w:leader="none" w:pos="584" w:val="left"/>
        </w:tabs>
        <w:numPr>
          <w:ilvl w:val="1"/>
          <w:numId w:val="58"/>
        </w:numPr>
        <w:rPr>
          <w:rFonts w:ascii="Arial" w:cs="Arial" w:eastAsia="Arial" w:hAnsi="Arial"/>
          <w:sz w:val="19"/>
          <w:szCs w:val="19"/>
          <w:color w:val="auto"/>
        </w:rPr>
      </w:pPr>
      <w:r>
        <w:rPr>
          <w:rFonts w:ascii="Arial" w:cs="Arial" w:eastAsia="Arial" w:hAnsi="Arial"/>
          <w:sz w:val="19"/>
          <w:szCs w:val="19"/>
          <w:b w:val="1"/>
          <w:bCs w:val="1"/>
          <w:color w:val="auto"/>
        </w:rPr>
        <w:t>Mandatory Distribution</w:t>
      </w:r>
    </w:p>
    <w:p>
      <w:pPr>
        <w:spacing w:after="0" w:line="195" w:lineRule="exact"/>
        <w:rPr>
          <w:rFonts w:ascii="Arial" w:cs="Arial" w:eastAsia="Arial" w:hAnsi="Arial"/>
          <w:sz w:val="19"/>
          <w:szCs w:val="19"/>
          <w:color w:val="auto"/>
        </w:rPr>
      </w:pPr>
    </w:p>
    <w:p>
      <w:pPr>
        <w:ind w:left="584" w:right="40"/>
        <w:spacing w:after="0" w:line="261" w:lineRule="auto"/>
        <w:rPr>
          <w:rFonts w:ascii="Arial" w:cs="Arial" w:eastAsia="Arial" w:hAnsi="Arial"/>
          <w:sz w:val="19"/>
          <w:szCs w:val="19"/>
          <w:color w:val="auto"/>
        </w:rPr>
      </w:pPr>
      <w:r>
        <w:rPr>
          <w:rFonts w:ascii="Arial" w:cs="Arial" w:eastAsia="Arial" w:hAnsi="Arial"/>
          <w:sz w:val="18"/>
          <w:szCs w:val="18"/>
          <w:color w:val="auto"/>
        </w:rPr>
        <w:t>Notwithstanding subsections (A), (B), (C), (D) and (F), if actuarial value of a Participant’s benefit hereunder as of the date of the Participant’s Separation from Service is less than $10,000, the benefit shall be distributed in a lump sum upon the Participant’s Separation from Service in accordance with Treasury Regulation Section 1.409A-3(j)(4)(v). Such lump sum payment shall be paid on such date as is determined by Sempra Energy within thirty (30) days following the Participant’s Separation from Service. Such lump sum payment shall be made only if such payment satisfies the requirement of Treasury Regulation Section 1.409A-3(j)(4)(v)(A).</w:t>
      </w:r>
    </w:p>
    <w:p>
      <w:pPr>
        <w:spacing w:after="0" w:line="129" w:lineRule="exact"/>
        <w:rPr>
          <w:rFonts w:ascii="Arial" w:cs="Arial" w:eastAsia="Arial" w:hAnsi="Arial"/>
          <w:sz w:val="19"/>
          <w:szCs w:val="19"/>
          <w:color w:val="auto"/>
        </w:rPr>
      </w:pPr>
    </w:p>
    <w:p>
      <w:pPr>
        <w:ind w:left="584" w:hanging="296"/>
        <w:spacing w:after="0"/>
        <w:tabs>
          <w:tab w:leader="none" w:pos="584" w:val="left"/>
        </w:tabs>
        <w:numPr>
          <w:ilvl w:val="1"/>
          <w:numId w:val="58"/>
        </w:numPr>
        <w:rPr>
          <w:rFonts w:ascii="Arial" w:cs="Arial" w:eastAsia="Arial" w:hAnsi="Arial"/>
          <w:sz w:val="19"/>
          <w:szCs w:val="19"/>
          <w:color w:val="auto"/>
        </w:rPr>
      </w:pPr>
      <w:r>
        <w:rPr>
          <w:rFonts w:ascii="Arial" w:cs="Arial" w:eastAsia="Arial" w:hAnsi="Arial"/>
          <w:sz w:val="19"/>
          <w:szCs w:val="19"/>
          <w:b w:val="1"/>
          <w:bCs w:val="1"/>
          <w:color w:val="auto"/>
        </w:rPr>
        <w:t>Distributions to Specified Employees</w:t>
      </w:r>
    </w:p>
    <w:p>
      <w:pPr>
        <w:spacing w:after="0" w:line="195" w:lineRule="exact"/>
        <w:rPr>
          <w:rFonts w:ascii="Arial" w:cs="Arial" w:eastAsia="Arial" w:hAnsi="Arial"/>
          <w:sz w:val="19"/>
          <w:szCs w:val="19"/>
          <w:color w:val="auto"/>
        </w:rPr>
      </w:pPr>
    </w:p>
    <w:p>
      <w:pPr>
        <w:ind w:left="584" w:right="80"/>
        <w:spacing w:after="0" w:line="256" w:lineRule="auto"/>
        <w:rPr>
          <w:rFonts w:ascii="Arial" w:cs="Arial" w:eastAsia="Arial" w:hAnsi="Arial"/>
          <w:sz w:val="19"/>
          <w:szCs w:val="19"/>
          <w:color w:val="auto"/>
        </w:rPr>
      </w:pPr>
      <w:r>
        <w:rPr>
          <w:rFonts w:ascii="Arial" w:cs="Arial" w:eastAsia="Arial" w:hAnsi="Arial"/>
          <w:sz w:val="18"/>
          <w:szCs w:val="18"/>
          <w:color w:val="auto"/>
        </w:rPr>
        <w:t>Notwithstanding the foregoing, in the case of a Participant who is a Specified Employee on the date of such Participant’s Separation from Service, the payment of such Participant’s Post-Section 409A Benefit to such Participant shall not be made before the date which is six months after the date of such Participant’s Separation from Service (or, if earlier, the date such Participant’s death) in accordance with Section 409A(a)(2)(B)(i) of the Code and the Treasury Regulations thereunder. Any payment of such Participant’s Post-Section 409A Benefit to which such Participant otherwise would have been entitled during the first six months following the date of such Participant’s Separation from Service shall be accumulated (with interest at the annual rate of interest on 30-year Treasury securities for the November next preceding the first day of the ca lendar year in which such Participant’s Separation from Service occurs) and paid on the first day of the seventh month following the date of such Participant’s Separation from Service (or, if earlier, the date of such Participant’s death) in accordance with Section 409A(a)(2)(B)(i) and the Treasury Regulations thereunder.</w:t>
      </w:r>
    </w:p>
    <w:p>
      <w:pPr>
        <w:spacing w:after="0" w:line="133" w:lineRule="exact"/>
        <w:rPr>
          <w:rFonts w:ascii="Arial" w:cs="Arial" w:eastAsia="Arial" w:hAnsi="Arial"/>
          <w:sz w:val="19"/>
          <w:szCs w:val="19"/>
          <w:color w:val="auto"/>
        </w:rPr>
      </w:pPr>
    </w:p>
    <w:p>
      <w:pPr>
        <w:ind w:left="584" w:hanging="296"/>
        <w:spacing w:after="0"/>
        <w:tabs>
          <w:tab w:leader="none" w:pos="584" w:val="left"/>
        </w:tabs>
        <w:numPr>
          <w:ilvl w:val="1"/>
          <w:numId w:val="58"/>
        </w:numPr>
        <w:rPr>
          <w:rFonts w:ascii="Arial" w:cs="Arial" w:eastAsia="Arial" w:hAnsi="Arial"/>
          <w:sz w:val="19"/>
          <w:szCs w:val="19"/>
          <w:color w:val="auto"/>
        </w:rPr>
      </w:pPr>
      <w:r>
        <w:rPr>
          <w:rFonts w:ascii="Arial" w:cs="Arial" w:eastAsia="Arial" w:hAnsi="Arial"/>
          <w:sz w:val="19"/>
          <w:szCs w:val="19"/>
          <w:b w:val="1"/>
          <w:bCs w:val="1"/>
          <w:color w:val="auto"/>
        </w:rPr>
        <w:t>Prohibition on Acceleration of Distributions</w:t>
      </w:r>
    </w:p>
    <w:p>
      <w:pPr>
        <w:spacing w:after="0" w:line="195" w:lineRule="exact"/>
        <w:rPr>
          <w:rFonts w:ascii="Arial" w:cs="Arial" w:eastAsia="Arial" w:hAnsi="Arial"/>
          <w:sz w:val="19"/>
          <w:szCs w:val="19"/>
          <w:color w:val="auto"/>
        </w:rPr>
      </w:pPr>
    </w:p>
    <w:p>
      <w:pPr>
        <w:ind w:left="584" w:right="720"/>
        <w:spacing w:after="0" w:line="326" w:lineRule="auto"/>
        <w:rPr>
          <w:rFonts w:ascii="Arial" w:cs="Arial" w:eastAsia="Arial" w:hAnsi="Arial"/>
          <w:sz w:val="19"/>
          <w:szCs w:val="19"/>
          <w:color w:val="auto"/>
        </w:rPr>
      </w:pPr>
      <w:r>
        <w:rPr>
          <w:rFonts w:ascii="Arial" w:cs="Arial" w:eastAsia="Arial" w:hAnsi="Arial"/>
          <w:sz w:val="17"/>
          <w:szCs w:val="17"/>
          <w:color w:val="auto"/>
        </w:rPr>
        <w:t>The time or schedule of payment of any payment of a Participant’s Post-Section 409A Benefit under the Plan shall not be subject to acceleration, except as provided under Treasury Regulations promulgated in accordance with Section 409A(a)(3) of the Code.</w:t>
      </w:r>
    </w:p>
    <w:p>
      <w:pPr>
        <w:spacing w:after="0" w:line="87" w:lineRule="exact"/>
        <w:rPr>
          <w:rFonts w:ascii="Arial" w:cs="Arial" w:eastAsia="Arial" w:hAnsi="Arial"/>
          <w:sz w:val="19"/>
          <w:szCs w:val="19"/>
          <w:color w:val="auto"/>
        </w:rPr>
      </w:pPr>
    </w:p>
    <w:p>
      <w:pPr>
        <w:ind w:left="584" w:hanging="296"/>
        <w:spacing w:after="0"/>
        <w:tabs>
          <w:tab w:leader="none" w:pos="584" w:val="left"/>
        </w:tabs>
        <w:numPr>
          <w:ilvl w:val="1"/>
          <w:numId w:val="58"/>
        </w:numPr>
        <w:rPr>
          <w:rFonts w:ascii="Arial" w:cs="Arial" w:eastAsia="Arial" w:hAnsi="Arial"/>
          <w:sz w:val="19"/>
          <w:szCs w:val="19"/>
          <w:color w:val="auto"/>
        </w:rPr>
      </w:pPr>
      <w:r>
        <w:rPr>
          <w:rFonts w:ascii="Arial" w:cs="Arial" w:eastAsia="Arial" w:hAnsi="Arial"/>
          <w:sz w:val="19"/>
          <w:szCs w:val="19"/>
          <w:b w:val="1"/>
          <w:bCs w:val="1"/>
          <w:color w:val="auto"/>
        </w:rPr>
        <w:t>Conformance of Time and Form of Payment under the SERP</w:t>
      </w:r>
    </w:p>
    <w:p>
      <w:pPr>
        <w:spacing w:after="0" w:line="183" w:lineRule="exact"/>
        <w:rPr>
          <w:rFonts w:ascii="Arial" w:cs="Arial" w:eastAsia="Arial" w:hAnsi="Arial"/>
          <w:sz w:val="19"/>
          <w:szCs w:val="19"/>
          <w:color w:val="auto"/>
        </w:rPr>
      </w:pPr>
    </w:p>
    <w:p>
      <w:pPr>
        <w:ind w:left="864" w:right="100" w:hanging="287"/>
        <w:spacing w:after="0" w:line="244" w:lineRule="auto"/>
        <w:tabs>
          <w:tab w:leader="none" w:pos="864" w:val="left"/>
        </w:tabs>
        <w:numPr>
          <w:ilvl w:val="2"/>
          <w:numId w:val="58"/>
        </w:numPr>
        <w:rPr>
          <w:rFonts w:ascii="Arial" w:cs="Arial" w:eastAsia="Arial" w:hAnsi="Arial"/>
          <w:sz w:val="19"/>
          <w:szCs w:val="19"/>
          <w:color w:val="auto"/>
        </w:rPr>
      </w:pPr>
      <w:r>
        <w:rPr>
          <w:rFonts w:ascii="Arial" w:cs="Arial" w:eastAsia="Arial" w:hAnsi="Arial"/>
          <w:sz w:val="19"/>
          <w:szCs w:val="19"/>
          <w:color w:val="auto"/>
        </w:rPr>
        <w:t>If a Participant is or becomes a participant in the SERP, the payment of such Participant’s “Post-Section 409A Supplemental Retirement Benefit” (as defined in the SERP) to such Participant under the SERP shall be made or commence on the date of the payment or commencement of such Participant’s Post-Section 409A Benefit under this Plan, and the form of payment of such Participant’s “Post-Section 409A Supplemental Retirement Benefit” (as defined in the SERP) under the SERP shall be the same as the form of payment of such Participant’s Post-Section 409A Benefit under this Plan.</w:t>
      </w:r>
    </w:p>
    <w:p>
      <w:pPr>
        <w:spacing w:after="0" w:line="150" w:lineRule="exact"/>
        <w:rPr>
          <w:rFonts w:ascii="Arial" w:cs="Arial" w:eastAsia="Arial" w:hAnsi="Arial"/>
          <w:sz w:val="19"/>
          <w:szCs w:val="19"/>
          <w:color w:val="auto"/>
        </w:rPr>
      </w:pPr>
    </w:p>
    <w:p>
      <w:pPr>
        <w:ind w:left="864" w:right="100" w:hanging="287"/>
        <w:spacing w:after="0" w:line="242" w:lineRule="auto"/>
        <w:tabs>
          <w:tab w:leader="none" w:pos="864" w:val="left"/>
        </w:tabs>
        <w:numPr>
          <w:ilvl w:val="2"/>
          <w:numId w:val="58"/>
        </w:numPr>
        <w:rPr>
          <w:rFonts w:ascii="Arial" w:cs="Arial" w:eastAsia="Arial" w:hAnsi="Arial"/>
          <w:sz w:val="19"/>
          <w:szCs w:val="19"/>
          <w:color w:val="auto"/>
        </w:rPr>
      </w:pPr>
      <w:r>
        <w:rPr>
          <w:rFonts w:ascii="Arial" w:cs="Arial" w:eastAsia="Arial" w:hAnsi="Arial"/>
          <w:sz w:val="19"/>
          <w:szCs w:val="19"/>
          <w:color w:val="auto"/>
        </w:rPr>
        <w:t>In the event that a Participant elects to change the form of the payment of such Participant’s Post-Section 409A Benefit under this Plan, such Participant shall be deemed to have elected to change the form of the payment of such Participant’s “Post-Section 409A Supplemental Retirement Benefit” (as defined in the SERP) under the SERP to the form of the payment of such Participant’s Post-Section 409A Benefit under this Plan. Any such election shall be subject to the provisions of subsection (B), (D) or (F), as applicable, and the provisions of the SERP and, in any event, the time and form of payment of such Participant’s “Post-Section 409A Supplemental Retirement Benefit” under the SERP shall be the same as the time and form of payment of such Participant’s Post-Section 409A Benefit under this Plan.</w:t>
      </w:r>
    </w:p>
    <w:p>
      <w:pPr>
        <w:spacing w:after="0" w:line="157" w:lineRule="exact"/>
        <w:rPr>
          <w:rFonts w:ascii="Arial" w:cs="Arial" w:eastAsia="Arial" w:hAnsi="Arial"/>
          <w:sz w:val="19"/>
          <w:szCs w:val="19"/>
          <w:color w:val="auto"/>
        </w:rPr>
      </w:pPr>
    </w:p>
    <w:p>
      <w:pPr>
        <w:ind w:left="284" w:hanging="284"/>
        <w:spacing w:after="0"/>
        <w:tabs>
          <w:tab w:leader="none" w:pos="284" w:val="left"/>
        </w:tabs>
        <w:numPr>
          <w:ilvl w:val="0"/>
          <w:numId w:val="59"/>
        </w:numPr>
        <w:rPr>
          <w:rFonts w:ascii="Arial" w:cs="Arial" w:eastAsia="Arial" w:hAnsi="Arial"/>
          <w:sz w:val="19"/>
          <w:szCs w:val="19"/>
          <w:b w:val="1"/>
          <w:bCs w:val="1"/>
          <w:color w:val="auto"/>
        </w:rPr>
      </w:pPr>
      <w:r>
        <w:rPr>
          <w:rFonts w:ascii="Arial" w:cs="Arial" w:eastAsia="Arial" w:hAnsi="Arial"/>
          <w:sz w:val="19"/>
          <w:szCs w:val="19"/>
          <w:b w:val="1"/>
          <w:bCs w:val="1"/>
          <w:color w:val="auto"/>
        </w:rPr>
        <w:t>EMPLOYEE’S RIGHTS</w:t>
      </w:r>
    </w:p>
    <w:p>
      <w:pPr>
        <w:spacing w:after="0" w:line="195" w:lineRule="exact"/>
        <w:rPr>
          <w:rFonts w:ascii="Arial" w:cs="Arial" w:eastAsia="Arial" w:hAnsi="Arial"/>
          <w:sz w:val="19"/>
          <w:szCs w:val="19"/>
          <w:b w:val="1"/>
          <w:bCs w:val="1"/>
          <w:color w:val="auto"/>
        </w:rPr>
      </w:pPr>
    </w:p>
    <w:p>
      <w:pPr>
        <w:ind w:left="284" w:right="60"/>
        <w:spacing w:after="0" w:line="266" w:lineRule="auto"/>
        <w:rPr>
          <w:rFonts w:ascii="Arial" w:cs="Arial" w:eastAsia="Arial" w:hAnsi="Arial"/>
          <w:sz w:val="19"/>
          <w:szCs w:val="19"/>
          <w:b w:val="1"/>
          <w:bCs w:val="1"/>
          <w:color w:val="auto"/>
        </w:rPr>
      </w:pPr>
      <w:r>
        <w:rPr>
          <w:rFonts w:ascii="Arial" w:cs="Arial" w:eastAsia="Arial" w:hAnsi="Arial"/>
          <w:sz w:val="19"/>
          <w:szCs w:val="19"/>
          <w:color w:val="auto"/>
        </w:rPr>
        <w:t>An Employee shall not be entitled to any payments from the Basic Plan on the basis of any benefits to which he may be entitled under this Plan. Benefits under this Plan shall be payable only from the general assets of the Company.</w:t>
      </w:r>
    </w:p>
    <w:p>
      <w:pPr>
        <w:spacing w:after="0" w:line="122" w:lineRule="exact"/>
        <w:rPr>
          <w:rFonts w:ascii="Arial" w:cs="Arial" w:eastAsia="Arial" w:hAnsi="Arial"/>
          <w:sz w:val="19"/>
          <w:szCs w:val="19"/>
          <w:b w:val="1"/>
          <w:bCs w:val="1"/>
          <w:color w:val="auto"/>
        </w:rPr>
      </w:pPr>
    </w:p>
    <w:p>
      <w:pPr>
        <w:ind w:left="284" w:hanging="284"/>
        <w:spacing w:after="0"/>
        <w:tabs>
          <w:tab w:leader="none" w:pos="284" w:val="left"/>
        </w:tabs>
        <w:numPr>
          <w:ilvl w:val="0"/>
          <w:numId w:val="59"/>
        </w:numPr>
        <w:rPr>
          <w:rFonts w:ascii="Arial" w:cs="Arial" w:eastAsia="Arial" w:hAnsi="Arial"/>
          <w:sz w:val="19"/>
          <w:szCs w:val="19"/>
          <w:b w:val="1"/>
          <w:bCs w:val="1"/>
          <w:color w:val="auto"/>
        </w:rPr>
      </w:pPr>
      <w:r>
        <w:rPr>
          <w:rFonts w:ascii="Arial" w:cs="Arial" w:eastAsia="Arial" w:hAnsi="Arial"/>
          <w:sz w:val="19"/>
          <w:szCs w:val="19"/>
          <w:b w:val="1"/>
          <w:bCs w:val="1"/>
          <w:color w:val="auto"/>
        </w:rPr>
        <w:t>AMENDMENT AND DISCONTINUANCE</w:t>
      </w:r>
    </w:p>
    <w:p>
      <w:pPr>
        <w:spacing w:after="0" w:line="195" w:lineRule="exact"/>
        <w:rPr>
          <w:rFonts w:ascii="Arial" w:cs="Arial" w:eastAsia="Arial" w:hAnsi="Arial"/>
          <w:sz w:val="19"/>
          <w:szCs w:val="19"/>
          <w:b w:val="1"/>
          <w:bCs w:val="1"/>
          <w:color w:val="auto"/>
        </w:rPr>
      </w:pPr>
    </w:p>
    <w:p>
      <w:pPr>
        <w:ind w:left="284" w:right="40"/>
        <w:spacing w:after="0" w:line="273" w:lineRule="auto"/>
        <w:rPr>
          <w:rFonts w:ascii="Arial" w:cs="Arial" w:eastAsia="Arial" w:hAnsi="Arial"/>
          <w:sz w:val="19"/>
          <w:szCs w:val="19"/>
          <w:b w:val="1"/>
          <w:bCs w:val="1"/>
          <w:color w:val="auto"/>
        </w:rPr>
      </w:pPr>
      <w:r>
        <w:rPr>
          <w:rFonts w:ascii="Arial" w:cs="Arial" w:eastAsia="Arial" w:hAnsi="Arial"/>
          <w:sz w:val="17"/>
          <w:szCs w:val="17"/>
          <w:color w:val="auto"/>
        </w:rPr>
        <w:t>The Company expects to continue this Plan indefinitely, but reserves to the Compensation Committee the right to amend or discontinue the Plan if, in the Compensation Committee's sole judgment, such a change is deemed necessary or desirable. However, if the Compensation Committee shall amend or discontinue this Plan, the Company shall be liable for any benefits accrued under this Plan as of the date of such amendment or termination determined on the basis of each employee's presumed termination of employment as of such date. Provided further, that if the Department of Labor determines, or issues regulations under which, the Plan would be subject to Parts 2 and/or 3 of Title I of ERISA, the Compensation Committee may taken such action or actions as it deems appropriate. Such actions may include, but are not limited to, modification, termination or partial termination of the Plan. In the event of such modification, termination, or partial termination, the Compensation Committee may make immediate distribution of the benefits of some or all of the Participant’s benefits, as it deems necessary or appropriate, to the extent such distribution is in accordance with Section 409A of the Code and the Treasury Regulations thereunder.</w:t>
      </w:r>
    </w:p>
    <w:p>
      <w:pPr>
        <w:spacing w:after="0" w:line="119" w:lineRule="exact"/>
        <w:rPr>
          <w:rFonts w:ascii="Arial" w:cs="Arial" w:eastAsia="Arial" w:hAnsi="Arial"/>
          <w:sz w:val="19"/>
          <w:szCs w:val="19"/>
          <w:b w:val="1"/>
          <w:bCs w:val="1"/>
          <w:color w:val="auto"/>
        </w:rPr>
      </w:pPr>
    </w:p>
    <w:p>
      <w:pPr>
        <w:ind w:left="284" w:hanging="284"/>
        <w:spacing w:after="0"/>
        <w:tabs>
          <w:tab w:leader="none" w:pos="284" w:val="left"/>
        </w:tabs>
        <w:numPr>
          <w:ilvl w:val="0"/>
          <w:numId w:val="59"/>
        </w:numPr>
        <w:rPr>
          <w:rFonts w:ascii="Arial" w:cs="Arial" w:eastAsia="Arial" w:hAnsi="Arial"/>
          <w:sz w:val="19"/>
          <w:szCs w:val="19"/>
          <w:b w:val="1"/>
          <w:bCs w:val="1"/>
          <w:color w:val="auto"/>
        </w:rPr>
      </w:pPr>
      <w:r>
        <w:rPr>
          <w:rFonts w:ascii="Arial" w:cs="Arial" w:eastAsia="Arial" w:hAnsi="Arial"/>
          <w:sz w:val="19"/>
          <w:szCs w:val="19"/>
          <w:b w:val="1"/>
          <w:bCs w:val="1"/>
          <w:color w:val="auto"/>
        </w:rPr>
        <w:t>DEFINITIONS</w:t>
      </w:r>
    </w:p>
    <w:p>
      <w:pPr>
        <w:spacing w:after="0" w:line="195" w:lineRule="exact"/>
        <w:rPr>
          <w:rFonts w:ascii="Arial" w:cs="Arial" w:eastAsia="Arial" w:hAnsi="Arial"/>
          <w:sz w:val="19"/>
          <w:szCs w:val="19"/>
          <w:b w:val="1"/>
          <w:bCs w:val="1"/>
          <w:color w:val="auto"/>
        </w:rPr>
      </w:pPr>
    </w:p>
    <w:p>
      <w:pPr>
        <w:ind w:left="284" w:right="4160"/>
        <w:spacing w:after="0" w:line="473" w:lineRule="auto"/>
        <w:rPr>
          <w:rFonts w:ascii="Arial" w:cs="Arial" w:eastAsia="Arial" w:hAnsi="Arial"/>
          <w:sz w:val="19"/>
          <w:szCs w:val="19"/>
          <w:b w:val="1"/>
          <w:bCs w:val="1"/>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Basic Plan</w:t>
      </w:r>
      <w:r>
        <w:rPr>
          <w:rFonts w:ascii="Arial" w:cs="Arial" w:eastAsia="Arial" w:hAnsi="Arial"/>
          <w:sz w:val="18"/>
          <w:szCs w:val="18"/>
          <w:color w:val="auto"/>
        </w:rPr>
        <w:t>” means the Sempra Energy Cash Balance Plan, as amended from time to time. “</w:t>
      </w:r>
      <w:r>
        <w:rPr>
          <w:rFonts w:ascii="Arial" w:cs="Arial" w:eastAsia="Arial" w:hAnsi="Arial"/>
          <w:sz w:val="18"/>
          <w:szCs w:val="18"/>
          <w:u w:val="single" w:color="auto"/>
          <w:color w:val="auto"/>
        </w:rPr>
        <w:t>Code</w:t>
      </w:r>
      <w:r>
        <w:rPr>
          <w:rFonts w:ascii="Arial" w:cs="Arial" w:eastAsia="Arial" w:hAnsi="Arial"/>
          <w:sz w:val="18"/>
          <w:szCs w:val="18"/>
          <w:color w:val="auto"/>
        </w:rPr>
        <w:t>” means the Internal Revenue Code of 1986, as amended from time to time.</w:t>
      </w:r>
    </w:p>
    <w:p>
      <w:pPr>
        <w:ind w:left="284" w:right="160"/>
        <w:spacing w:after="0" w:line="252" w:lineRule="auto"/>
        <w:rPr>
          <w:rFonts w:ascii="Arial" w:cs="Arial" w:eastAsia="Arial" w:hAnsi="Arial"/>
          <w:sz w:val="19"/>
          <w:szCs w:val="19"/>
          <w:b w:val="1"/>
          <w:bCs w:val="1"/>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Company</w:t>
      </w:r>
      <w:r>
        <w:rPr>
          <w:rFonts w:ascii="Arial" w:cs="Arial" w:eastAsia="Arial" w:hAnsi="Arial"/>
          <w:sz w:val="19"/>
          <w:szCs w:val="19"/>
          <w:color w:val="auto"/>
        </w:rPr>
        <w:t>” means Sempra Energy and any successor corporation. “</w:t>
      </w:r>
      <w:r>
        <w:rPr>
          <w:rFonts w:ascii="Arial" w:cs="Arial" w:eastAsia="Arial" w:hAnsi="Arial"/>
          <w:sz w:val="19"/>
          <w:szCs w:val="19"/>
          <w:u w:val="single" w:color="auto"/>
          <w:color w:val="auto"/>
        </w:rPr>
        <w:t>Company</w:t>
      </w:r>
      <w:r>
        <w:rPr>
          <w:rFonts w:ascii="Arial" w:cs="Arial" w:eastAsia="Arial" w:hAnsi="Arial"/>
          <w:sz w:val="19"/>
          <w:szCs w:val="19"/>
          <w:color w:val="auto"/>
        </w:rPr>
        <w:t>” shall also include each corporation which is a member of a controlled group of corporations (within the meaning of Section 414(b) of the Code) of which Sempra Energy is a member, if such corporation maintains the Basic Plan for the benefit of its employees.</w:t>
      </w:r>
    </w:p>
    <w:p>
      <w:pPr>
        <w:sectPr>
          <w:pgSz w:w="11900" w:h="16838" w:orient="portrait"/>
          <w:cols w:equalWidth="0" w:num="1">
            <w:col w:w="11424"/>
          </w:cols>
          <w:pgMar w:left="236" w:top="120" w:right="239" w:bottom="0" w:gutter="0" w:footer="0" w:header="0"/>
        </w:sectPr>
      </w:pPr>
    </w:p>
    <w:bookmarkStart w:id="72" w:name="page73"/>
    <w:bookmarkEnd w:id="72"/>
    <w:p>
      <w:pP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Eligible Employee</w:t>
      </w:r>
      <w:r>
        <w:rPr>
          <w:rFonts w:ascii="Arial" w:cs="Arial" w:eastAsia="Arial" w:hAnsi="Arial"/>
          <w:sz w:val="19"/>
          <w:szCs w:val="19"/>
          <w:color w:val="auto"/>
        </w:rPr>
        <w:t>” means an Employee who has become eligible for benefits under the Plan, as determined in Section 4.</w:t>
      </w:r>
    </w:p>
    <w:p>
      <w:pPr>
        <w:spacing w:after="0" w:line="191" w:lineRule="exact"/>
        <w:rPr>
          <w:sz w:val="20"/>
          <w:szCs w:val="20"/>
          <w:color w:val="auto"/>
        </w:rPr>
      </w:pPr>
    </w:p>
    <w:p>
      <w:pP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Employee</w:t>
      </w:r>
      <w:r>
        <w:rPr>
          <w:rFonts w:ascii="Arial" w:cs="Arial" w:eastAsia="Arial" w:hAnsi="Arial"/>
          <w:sz w:val="19"/>
          <w:szCs w:val="19"/>
          <w:color w:val="auto"/>
        </w:rPr>
        <w:t>” means an individual who is an employee of the Company.</w:t>
      </w:r>
    </w:p>
    <w:p>
      <w:pPr>
        <w:spacing w:after="0" w:line="190" w:lineRule="exact"/>
        <w:rPr>
          <w:sz w:val="20"/>
          <w:szCs w:val="20"/>
          <w:color w:val="auto"/>
        </w:rPr>
      </w:pPr>
    </w:p>
    <w:p>
      <w:pP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ERISA</w:t>
      </w:r>
      <w:r>
        <w:rPr>
          <w:rFonts w:ascii="Arial" w:cs="Arial" w:eastAsia="Arial" w:hAnsi="Arial"/>
          <w:sz w:val="19"/>
          <w:szCs w:val="19"/>
          <w:color w:val="auto"/>
        </w:rPr>
        <w:t>” means the Employee Retirement Income Security Act of 1974, as amended from time to time.</w:t>
      </w:r>
    </w:p>
    <w:p>
      <w:pPr>
        <w:spacing w:after="0" w:line="190" w:lineRule="exact"/>
        <w:rPr>
          <w:sz w:val="20"/>
          <w:szCs w:val="20"/>
          <w:color w:val="auto"/>
        </w:rPr>
      </w:pPr>
    </w:p>
    <w:p>
      <w:pP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Lump Sum Option</w:t>
      </w:r>
      <w:r>
        <w:rPr>
          <w:rFonts w:ascii="Arial" w:cs="Arial" w:eastAsia="Arial" w:hAnsi="Arial"/>
          <w:sz w:val="19"/>
          <w:szCs w:val="19"/>
          <w:color w:val="auto"/>
        </w:rPr>
        <w:t>” shall have the meaning set forth in the Basic Plan.</w:t>
      </w:r>
    </w:p>
    <w:p>
      <w:pPr>
        <w:spacing w:after="0" w:line="190" w:lineRule="exact"/>
        <w:rPr>
          <w:sz w:val="20"/>
          <w:szCs w:val="20"/>
          <w:color w:val="auto"/>
        </w:rPr>
      </w:pPr>
    </w:p>
    <w:p>
      <w:pP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Retirement Date</w:t>
      </w:r>
      <w:r>
        <w:rPr>
          <w:rFonts w:ascii="Arial" w:cs="Arial" w:eastAsia="Arial" w:hAnsi="Arial"/>
          <w:sz w:val="19"/>
          <w:szCs w:val="19"/>
          <w:color w:val="auto"/>
        </w:rPr>
        <w:t>” shall have the meaning set forth in the Basic Plan.</w:t>
      </w:r>
    </w:p>
    <w:p>
      <w:pPr>
        <w:spacing w:after="0" w:line="190" w:lineRule="exact"/>
        <w:rPr>
          <w:sz w:val="20"/>
          <w:szCs w:val="20"/>
          <w:color w:val="auto"/>
        </w:rPr>
      </w:pPr>
    </w:p>
    <w:p>
      <w:pPr>
        <w:ind w:right="540"/>
        <w:spacing w:after="0" w:line="266"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Separation from Service</w:t>
      </w:r>
      <w:r>
        <w:rPr>
          <w:rFonts w:ascii="Arial" w:cs="Arial" w:eastAsia="Arial" w:hAnsi="Arial"/>
          <w:sz w:val="19"/>
          <w:szCs w:val="19"/>
          <w:color w:val="auto"/>
        </w:rPr>
        <w:t>”, with respect to a Participant (or another Service Provider) means the Participant’s (or such Service Provider’s) “separation from service,” as defined in Treasury Regulation Section 1.409A-1(h).</w:t>
      </w:r>
    </w:p>
    <w:p>
      <w:pPr>
        <w:spacing w:after="0" w:line="140"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Effective as of January 1, 2008, and in accordance with Treasury Regulation Section 1.409A-1(h)(3) (and the transitional relief under Internal Revenue Service Notice 2005-1, the proposed regulations under Section 409A of the Code and Internal Revenue Service Notice 2006-79), and in connection with the formation of RBS Sempra Commodities (as defined in Section 10), with respect to the benefits payable under this Plan to a Participant who is an employee of SET LLC or SES (each, as defined in Section 11), and who is a Transferred Employee (as defined in Section 10), the foregoing definition of “Separation from Service” shall be applied by determining the “service recipient,” as defined in Treasury Regulation Section 1.409A-1(g), by substituting the language “at least 20%” for the language “at least 80%” and applying Sections 1563(a)(1),</w:t>
      </w:r>
    </w:p>
    <w:p>
      <w:pPr>
        <w:spacing w:after="0" w:line="4" w:lineRule="exact"/>
        <w:rPr>
          <w:sz w:val="20"/>
          <w:szCs w:val="20"/>
          <w:color w:val="auto"/>
        </w:rPr>
      </w:pPr>
    </w:p>
    <w:p>
      <w:pPr>
        <w:ind w:right="60" w:firstLine="4"/>
        <w:spacing w:after="0" w:line="241" w:lineRule="auto"/>
        <w:tabs>
          <w:tab w:leader="none" w:pos="272" w:val="left"/>
        </w:tabs>
        <w:numPr>
          <w:ilvl w:val="0"/>
          <w:numId w:val="60"/>
        </w:numPr>
        <w:rPr>
          <w:rFonts w:ascii="Arial" w:cs="Arial" w:eastAsia="Arial" w:hAnsi="Arial"/>
          <w:sz w:val="19"/>
          <w:szCs w:val="19"/>
          <w:color w:val="auto"/>
        </w:rPr>
      </w:pPr>
      <w:r>
        <w:rPr>
          <w:rFonts w:ascii="Arial" w:cs="Arial" w:eastAsia="Arial" w:hAnsi="Arial"/>
          <w:sz w:val="19"/>
          <w:szCs w:val="19"/>
          <w:color w:val="auto"/>
        </w:rPr>
        <w:t>and (3) for purposes of determining a controlled group of corporations under Section 414(b) of the Code and in applying Treasury Regulation Section 1.414(c)-2 for purposes of determining trades or businesses (whether or not incorporated) that are under common control for purposes of Section 414(c) of the Code. This paragraph shall not apply with respect to the benefits payable under this Plan to any other Participant.</w:t>
      </w:r>
    </w:p>
    <w:p>
      <w:pPr>
        <w:spacing w:after="0" w:line="164" w:lineRule="exact"/>
        <w:rPr>
          <w:sz w:val="20"/>
          <w:szCs w:val="20"/>
          <w:color w:val="auto"/>
        </w:rPr>
      </w:pPr>
    </w:p>
    <w:p>
      <w:pP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SERP</w:t>
      </w:r>
      <w:r>
        <w:rPr>
          <w:rFonts w:ascii="Arial" w:cs="Arial" w:eastAsia="Arial" w:hAnsi="Arial"/>
          <w:sz w:val="19"/>
          <w:szCs w:val="19"/>
          <w:color w:val="auto"/>
        </w:rPr>
        <w:t>” means the Sempra Energy Supplemental Executive Retirement Plan, as amended from time to time.</w:t>
      </w:r>
    </w:p>
    <w:p>
      <w:pPr>
        <w:spacing w:after="0" w:line="190" w:lineRule="exact"/>
        <w:rPr>
          <w:sz w:val="20"/>
          <w:szCs w:val="20"/>
          <w:color w:val="auto"/>
        </w:rPr>
      </w:pPr>
    </w:p>
    <w:p>
      <w:pP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Service Provider</w:t>
      </w:r>
      <w:r>
        <w:rPr>
          <w:rFonts w:ascii="Arial" w:cs="Arial" w:eastAsia="Arial" w:hAnsi="Arial"/>
          <w:sz w:val="19"/>
          <w:szCs w:val="19"/>
          <w:color w:val="auto"/>
        </w:rPr>
        <w:t>” means a Participant or any other “service provider,” as defined in Treasury Regulation Section 1.409A-1(f).</w:t>
      </w:r>
    </w:p>
    <w:p>
      <w:pPr>
        <w:spacing w:after="0" w:line="190" w:lineRule="exact"/>
        <w:rPr>
          <w:sz w:val="20"/>
          <w:szCs w:val="20"/>
          <w:color w:val="auto"/>
        </w:rPr>
      </w:pPr>
    </w:p>
    <w:p>
      <w:pPr>
        <w:ind w:right="240"/>
        <w:spacing w:after="0" w:line="24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Service Recipient</w:t>
      </w:r>
      <w:r>
        <w:rPr>
          <w:rFonts w:ascii="Arial" w:cs="Arial" w:eastAsia="Arial" w:hAnsi="Arial"/>
          <w:sz w:val="19"/>
          <w:szCs w:val="19"/>
          <w:color w:val="auto"/>
        </w:rPr>
        <w:t>,” with respect to a Participant, means the Company and all persons considered part of the “service recipient,” as defined in Treasury Regulation Section 1.409A-1(g), as determined from time to time. As provided in Treasury Regulation Section 1.409A-1(g), the “Service Recipient” shall mean the person for whom the services are performed and with respect to whom the legally binding right to compensation arises, and all persons with whom such person would be considered a single employer under Section 414(b) or 414(c) of the Code.</w:t>
      </w:r>
    </w:p>
    <w:p>
      <w:pPr>
        <w:spacing w:after="0" w:line="163"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Specified Employee</w:t>
      </w:r>
      <w:r>
        <w:rPr>
          <w:rFonts w:ascii="Arial" w:cs="Arial" w:eastAsia="Arial" w:hAnsi="Arial"/>
          <w:sz w:val="18"/>
          <w:szCs w:val="18"/>
          <w:color w:val="auto"/>
        </w:rPr>
        <w:t>” means a Service Provider who, as of the date of the Service Provider’s Separation from Service, is a “</w:t>
      </w:r>
      <w:r>
        <w:rPr>
          <w:rFonts w:ascii="Arial" w:cs="Arial" w:eastAsia="Arial" w:hAnsi="Arial"/>
          <w:sz w:val="18"/>
          <w:szCs w:val="18"/>
          <w:u w:val="single" w:color="auto"/>
          <w:color w:val="auto"/>
        </w:rPr>
        <w:t>Key Employee</w:t>
      </w:r>
      <w:r>
        <w:rPr>
          <w:rFonts w:ascii="Arial" w:cs="Arial" w:eastAsia="Arial" w:hAnsi="Arial"/>
          <w:sz w:val="18"/>
          <w:szCs w:val="18"/>
          <w:color w:val="auto"/>
        </w:rPr>
        <w:t>” of the Service Recipient any stock of which is publicly traded on an established securities market or otherwise. For purposes of this definition, a Service Provider is a “</w:t>
      </w:r>
      <w:r>
        <w:rPr>
          <w:rFonts w:ascii="Arial" w:cs="Arial" w:eastAsia="Arial" w:hAnsi="Arial"/>
          <w:sz w:val="18"/>
          <w:szCs w:val="18"/>
          <w:u w:val="single" w:color="auto"/>
          <w:color w:val="auto"/>
        </w:rPr>
        <w:t>Key Employee</w:t>
      </w:r>
      <w:r>
        <w:rPr>
          <w:rFonts w:ascii="Arial" w:cs="Arial" w:eastAsia="Arial" w:hAnsi="Arial"/>
          <w:sz w:val="18"/>
          <w:szCs w:val="18"/>
          <w:color w:val="auto"/>
        </w:rPr>
        <w:t>” if the Service Provider meets the requirements of Section 416(i)(1)(A)(i), (ii) or (iii) of the Code (applied in accordance with the Treasury Regulations thereunder and disregarding Section 416(i)(5) of the Code) at any time during the Testing Year. If a Service Provider is a “</w:t>
      </w:r>
      <w:r>
        <w:rPr>
          <w:rFonts w:ascii="Arial" w:cs="Arial" w:eastAsia="Arial" w:hAnsi="Arial"/>
          <w:sz w:val="18"/>
          <w:szCs w:val="18"/>
          <w:u w:val="single" w:color="auto"/>
          <w:color w:val="auto"/>
        </w:rPr>
        <w:t>Key Employee</w:t>
      </w:r>
      <w:r>
        <w:rPr>
          <w:rFonts w:ascii="Arial" w:cs="Arial" w:eastAsia="Arial" w:hAnsi="Arial"/>
          <w:sz w:val="18"/>
          <w:szCs w:val="18"/>
          <w:color w:val="auto"/>
        </w:rPr>
        <w:t>” (as defined above) as of a Specified Employee Identification Date, the Service Provider shall be treated as “</w:t>
      </w:r>
      <w:r>
        <w:rPr>
          <w:rFonts w:ascii="Arial" w:cs="Arial" w:eastAsia="Arial" w:hAnsi="Arial"/>
          <w:sz w:val="18"/>
          <w:szCs w:val="18"/>
          <w:u w:val="single" w:color="auto"/>
          <w:color w:val="auto"/>
        </w:rPr>
        <w:t>Key Employee</w:t>
      </w:r>
      <w:r>
        <w:rPr>
          <w:rFonts w:ascii="Arial" w:cs="Arial" w:eastAsia="Arial" w:hAnsi="Arial"/>
          <w:sz w:val="18"/>
          <w:szCs w:val="18"/>
          <w:color w:val="auto"/>
        </w:rPr>
        <w:t>” for the entire twelve (12) month period beginning on the Specified Employee Effective Date. For purposes of this definition, a Service Provider’s compensation for a Testing Year shall mean such Service Provider’s compensation, as determined under Treasury Regulation Section 1.415(c)-2(a) (and applied as if the Service Recipient were not using any safe harbor provided in Treasury Regulation Section 1.415(c)-2(d), were not using any of the elective special timing rules provided in Treasury Regulation Section 1.415(c)-2(e), and were not using any of the elective special rules provided in Treasury Regulation Section 1.415(c)-2(g)), from the Service Recipient for such Testing Year. The “Specified Employees” shall be determined in accordance with Section 409A(a)(2)(B)(i) of the Code and Treasury Regulation Section 1.409A-1(i).</w:t>
      </w:r>
    </w:p>
    <w:p>
      <w:pPr>
        <w:spacing w:after="0" w:line="158" w:lineRule="exact"/>
        <w:rPr>
          <w:sz w:val="20"/>
          <w:szCs w:val="20"/>
          <w:color w:val="auto"/>
        </w:rPr>
      </w:pPr>
    </w:p>
    <w:p>
      <w:pPr>
        <w:ind w:right="80"/>
        <w:spacing w:after="0" w:line="25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Specified Employee Effective Date</w:t>
      </w:r>
      <w:r>
        <w:rPr>
          <w:rFonts w:ascii="Arial" w:cs="Arial" w:eastAsia="Arial" w:hAnsi="Arial"/>
          <w:sz w:val="19"/>
          <w:szCs w:val="19"/>
          <w:color w:val="auto"/>
        </w:rPr>
        <w:t>” means the first day of the fourth month following the Specified Employee Identification Date. The Specified Employee Effective Date may be changed by the Company, in its discretion, in accordance with Treasury Regulation Section 1.409A-1(i)(4).</w:t>
      </w:r>
    </w:p>
    <w:p>
      <w:pPr>
        <w:spacing w:after="0" w:line="153" w:lineRule="exact"/>
        <w:rPr>
          <w:sz w:val="20"/>
          <w:szCs w:val="20"/>
          <w:color w:val="auto"/>
        </w:rPr>
      </w:pPr>
    </w:p>
    <w:p>
      <w:pPr>
        <w:ind w:right="280"/>
        <w:spacing w:after="0" w:line="27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Specified Employee Identification Date</w:t>
      </w:r>
      <w:r>
        <w:rPr>
          <w:rFonts w:ascii="Arial" w:cs="Arial" w:eastAsia="Arial" w:hAnsi="Arial"/>
          <w:sz w:val="17"/>
          <w:szCs w:val="17"/>
          <w:color w:val="auto"/>
        </w:rPr>
        <w:t>”, for purposes of Treasury Regulation Section 1.409A-1(i)(3), means December 31. The “</w:t>
      </w:r>
      <w:r>
        <w:rPr>
          <w:rFonts w:ascii="Arial" w:cs="Arial" w:eastAsia="Arial" w:hAnsi="Arial"/>
          <w:sz w:val="17"/>
          <w:szCs w:val="17"/>
          <w:u w:val="single" w:color="auto"/>
          <w:color w:val="auto"/>
        </w:rPr>
        <w:t>Specified</w:t>
      </w:r>
      <w:r>
        <w:rPr>
          <w:rFonts w:ascii="Arial" w:cs="Arial" w:eastAsia="Arial" w:hAnsi="Arial"/>
          <w:sz w:val="17"/>
          <w:szCs w:val="17"/>
          <w:color w:val="auto"/>
        </w:rPr>
        <w:t xml:space="preserve"> </w:t>
      </w:r>
      <w:r>
        <w:rPr>
          <w:rFonts w:ascii="Arial" w:cs="Arial" w:eastAsia="Arial" w:hAnsi="Arial"/>
          <w:sz w:val="17"/>
          <w:szCs w:val="17"/>
          <w:u w:val="single" w:color="auto"/>
          <w:color w:val="auto"/>
        </w:rPr>
        <w:t>Employee Identification Date</w:t>
      </w:r>
      <w:r>
        <w:rPr>
          <w:rFonts w:ascii="Arial" w:cs="Arial" w:eastAsia="Arial" w:hAnsi="Arial"/>
          <w:sz w:val="17"/>
          <w:szCs w:val="17"/>
          <w:color w:val="auto"/>
        </w:rPr>
        <w:t>” shall apply to all “nonqualified deferred compensation plans” (as defined in Treasury Regulation Section</w:t>
      </w:r>
    </w:p>
    <w:p>
      <w:pPr>
        <w:ind w:right="360"/>
        <w:spacing w:after="0" w:line="249" w:lineRule="auto"/>
        <w:rPr>
          <w:sz w:val="20"/>
          <w:szCs w:val="20"/>
          <w:color w:val="auto"/>
        </w:rPr>
      </w:pPr>
      <w:r>
        <w:rPr>
          <w:rFonts w:ascii="Arial" w:cs="Arial" w:eastAsia="Arial" w:hAnsi="Arial"/>
          <w:sz w:val="19"/>
          <w:szCs w:val="19"/>
          <w:color w:val="auto"/>
        </w:rPr>
        <w:t>1.409A-1(a)) of the Service Recipient and all affected Service Providers. The “</w:t>
      </w:r>
      <w:r>
        <w:rPr>
          <w:rFonts w:ascii="Arial" w:cs="Arial" w:eastAsia="Arial" w:hAnsi="Arial"/>
          <w:sz w:val="19"/>
          <w:szCs w:val="19"/>
          <w:u w:val="single" w:color="auto"/>
          <w:color w:val="auto"/>
        </w:rPr>
        <w:t>Specified Employee Identification Date</w:t>
      </w:r>
      <w:r>
        <w:rPr>
          <w:rFonts w:ascii="Arial" w:cs="Arial" w:eastAsia="Arial" w:hAnsi="Arial"/>
          <w:sz w:val="19"/>
          <w:szCs w:val="19"/>
          <w:color w:val="auto"/>
        </w:rPr>
        <w:t>” may be changed by Sempra Energy, in its discretion, in accordance with Treasury Regulation Section 1.409A-1(i)(3).</w:t>
      </w:r>
    </w:p>
    <w:p>
      <w:pPr>
        <w:spacing w:after="0" w:line="155" w:lineRule="exact"/>
        <w:rPr>
          <w:sz w:val="20"/>
          <w:szCs w:val="20"/>
          <w:color w:val="auto"/>
        </w:rPr>
      </w:pPr>
    </w:p>
    <w:p>
      <w:pP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Termination</w:t>
      </w:r>
      <w:r>
        <w:rPr>
          <w:rFonts w:ascii="Arial" w:cs="Arial" w:eastAsia="Arial" w:hAnsi="Arial"/>
          <w:sz w:val="19"/>
          <w:szCs w:val="19"/>
          <w:color w:val="auto"/>
        </w:rPr>
        <w:t>” shall have the meaning set forth in the Basic Plan.</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Testing Year</w:t>
      </w:r>
      <w:r>
        <w:rPr>
          <w:rFonts w:ascii="Arial" w:cs="Arial" w:eastAsia="Arial" w:hAnsi="Arial"/>
          <w:sz w:val="18"/>
          <w:szCs w:val="18"/>
          <w:color w:val="auto"/>
        </w:rPr>
        <w:t>” means the twelve (12) month period ending on the Specified Employee Identification Date, as determined from time to time.</w:t>
      </w:r>
    </w:p>
    <w:p>
      <w:pPr>
        <w:spacing w:after="0" w:line="183"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10. EMPLOYEES OF SEMPRA ENERGY TRADING CORPORATION AND SEMPRA ENERGY SOLUTIONS LLC</w:t>
      </w:r>
    </w:p>
    <w:p>
      <w:pPr>
        <w:spacing w:after="0" w:line="196" w:lineRule="exact"/>
        <w:rPr>
          <w:sz w:val="20"/>
          <w:szCs w:val="20"/>
          <w:color w:val="auto"/>
        </w:rPr>
      </w:pPr>
    </w:p>
    <w:p>
      <w:pPr>
        <w:ind w:right="40"/>
        <w:spacing w:after="0" w:line="266" w:lineRule="auto"/>
        <w:rPr>
          <w:sz w:val="20"/>
          <w:szCs w:val="20"/>
          <w:color w:val="auto"/>
        </w:rPr>
      </w:pPr>
      <w:r>
        <w:rPr>
          <w:rFonts w:ascii="Arial" w:cs="Arial" w:eastAsia="Arial" w:hAnsi="Arial"/>
          <w:sz w:val="19"/>
          <w:szCs w:val="19"/>
          <w:color w:val="auto"/>
        </w:rPr>
        <w:t>This Section 10 includes special provisions relating to the benefits of the Participants who are employed by Sempra Energy Trading Corporation (“</w:t>
      </w:r>
      <w:r>
        <w:rPr>
          <w:rFonts w:ascii="Arial" w:cs="Arial" w:eastAsia="Arial" w:hAnsi="Arial"/>
          <w:sz w:val="19"/>
          <w:szCs w:val="19"/>
          <w:u w:val="single" w:color="auto"/>
          <w:color w:val="auto"/>
        </w:rPr>
        <w:t>SET</w:t>
      </w:r>
      <w:r>
        <w:rPr>
          <w:rFonts w:ascii="Arial" w:cs="Arial" w:eastAsia="Arial" w:hAnsi="Arial"/>
          <w:sz w:val="19"/>
          <w:szCs w:val="19"/>
          <w:color w:val="auto"/>
        </w:rPr>
        <w:t>”) and Sempra Energy Solutions LLC (“</w:t>
      </w:r>
      <w:r>
        <w:rPr>
          <w:rFonts w:ascii="Arial" w:cs="Arial" w:eastAsia="Arial" w:hAnsi="Arial"/>
          <w:sz w:val="19"/>
          <w:szCs w:val="19"/>
          <w:u w:val="single" w:color="auto"/>
          <w:color w:val="auto"/>
        </w:rPr>
        <w:t>SES</w:t>
      </w:r>
      <w:r>
        <w:rPr>
          <w:rFonts w:ascii="Arial" w:cs="Arial" w:eastAsia="Arial" w:hAnsi="Arial"/>
          <w:sz w:val="19"/>
          <w:szCs w:val="19"/>
          <w:color w:val="auto"/>
        </w:rPr>
        <w:t>”).</w:t>
      </w:r>
    </w:p>
    <w:p>
      <w:pPr>
        <w:spacing w:after="0" w:line="134" w:lineRule="exact"/>
        <w:rPr>
          <w:sz w:val="20"/>
          <w:szCs w:val="20"/>
          <w:color w:val="auto"/>
        </w:rPr>
      </w:pPr>
    </w:p>
    <w:p>
      <w:pPr>
        <w:ind w:left="300" w:hanging="296"/>
        <w:spacing w:after="0"/>
        <w:tabs>
          <w:tab w:leader="none" w:pos="300" w:val="left"/>
        </w:tabs>
        <w:numPr>
          <w:ilvl w:val="0"/>
          <w:numId w:val="61"/>
        </w:numPr>
        <w:rPr>
          <w:rFonts w:ascii="Arial" w:cs="Arial" w:eastAsia="Arial" w:hAnsi="Arial"/>
          <w:sz w:val="19"/>
          <w:szCs w:val="19"/>
          <w:color w:val="auto"/>
        </w:rPr>
      </w:pPr>
      <w:r>
        <w:rPr>
          <w:rFonts w:ascii="Arial" w:cs="Arial" w:eastAsia="Arial" w:hAnsi="Arial"/>
          <w:sz w:val="19"/>
          <w:szCs w:val="19"/>
          <w:b w:val="1"/>
          <w:bCs w:val="1"/>
          <w:color w:val="auto"/>
        </w:rPr>
        <w:t>Background</w:t>
      </w:r>
    </w:p>
    <w:p>
      <w:pPr>
        <w:spacing w:after="0" w:line="195" w:lineRule="exact"/>
        <w:rPr>
          <w:rFonts w:ascii="Arial" w:cs="Arial" w:eastAsia="Arial" w:hAnsi="Arial"/>
          <w:sz w:val="19"/>
          <w:szCs w:val="19"/>
          <w:color w:val="auto"/>
        </w:rPr>
      </w:pPr>
    </w:p>
    <w:p>
      <w:pPr>
        <w:ind w:left="300" w:right="920"/>
        <w:spacing w:after="0" w:line="266" w:lineRule="auto"/>
        <w:rPr>
          <w:rFonts w:ascii="Arial" w:cs="Arial" w:eastAsia="Arial" w:hAnsi="Arial"/>
          <w:sz w:val="19"/>
          <w:szCs w:val="19"/>
          <w:color w:val="auto"/>
        </w:rPr>
      </w:pPr>
      <w:r>
        <w:rPr>
          <w:rFonts w:ascii="Arial" w:cs="Arial" w:eastAsia="Arial" w:hAnsi="Arial"/>
          <w:sz w:val="19"/>
          <w:szCs w:val="19"/>
          <w:color w:val="auto"/>
        </w:rPr>
        <w:t>SET and SES maintain the Basic Plan for the benefit of their respective eligible employees. Certain SET and SES employees are Participants in this Plan.</w:t>
      </w:r>
    </w:p>
    <w:p>
      <w:pPr>
        <w:spacing w:after="0" w:line="140" w:lineRule="exact"/>
        <w:rPr>
          <w:rFonts w:ascii="Arial" w:cs="Arial" w:eastAsia="Arial" w:hAnsi="Arial"/>
          <w:sz w:val="19"/>
          <w:szCs w:val="19"/>
          <w:color w:val="auto"/>
        </w:rPr>
      </w:pPr>
    </w:p>
    <w:p>
      <w:pPr>
        <w:ind w:left="300" w:right="120"/>
        <w:spacing w:after="0" w:line="243" w:lineRule="auto"/>
        <w:rPr>
          <w:rFonts w:ascii="Arial" w:cs="Arial" w:eastAsia="Arial" w:hAnsi="Arial"/>
          <w:sz w:val="19"/>
          <w:szCs w:val="19"/>
          <w:color w:val="auto"/>
        </w:rPr>
      </w:pPr>
      <w:r>
        <w:rPr>
          <w:rFonts w:ascii="Arial" w:cs="Arial" w:eastAsia="Arial" w:hAnsi="Arial"/>
          <w:sz w:val="19"/>
          <w:szCs w:val="19"/>
          <w:color w:val="auto"/>
        </w:rPr>
        <w:t>On July 9, 2007, Sempra Energy, Sempra Global, Sempra Energy Trading International, B.V. (“</w:t>
      </w:r>
      <w:r>
        <w:rPr>
          <w:rFonts w:ascii="Arial" w:cs="Arial" w:eastAsia="Arial" w:hAnsi="Arial"/>
          <w:sz w:val="19"/>
          <w:szCs w:val="19"/>
          <w:u w:val="single" w:color="auto"/>
          <w:color w:val="auto"/>
        </w:rPr>
        <w:t>SETI</w:t>
      </w:r>
      <w:r>
        <w:rPr>
          <w:rFonts w:ascii="Arial" w:cs="Arial" w:eastAsia="Arial" w:hAnsi="Arial"/>
          <w:sz w:val="19"/>
          <w:szCs w:val="19"/>
          <w:color w:val="auto"/>
        </w:rPr>
        <w:t>”) and The Royal Bank of Scotland plc (“</w:t>
      </w:r>
      <w:r>
        <w:rPr>
          <w:rFonts w:ascii="Arial" w:cs="Arial" w:eastAsia="Arial" w:hAnsi="Arial"/>
          <w:sz w:val="19"/>
          <w:szCs w:val="19"/>
          <w:u w:val="single" w:color="auto"/>
          <w:color w:val="auto"/>
        </w:rPr>
        <w:t>RBS</w:t>
      </w:r>
      <w:r>
        <w:rPr>
          <w:rFonts w:ascii="Arial" w:cs="Arial" w:eastAsia="Arial" w:hAnsi="Arial"/>
          <w:sz w:val="19"/>
          <w:szCs w:val="19"/>
          <w:color w:val="auto"/>
        </w:rPr>
        <w:t>”) entered into the Master Formation and Equity Interest Purchase Agreement, dated as of July 9, 2007 (the “</w:t>
      </w:r>
      <w:r>
        <w:rPr>
          <w:rFonts w:ascii="Arial" w:cs="Arial" w:eastAsia="Arial" w:hAnsi="Arial"/>
          <w:sz w:val="19"/>
          <w:szCs w:val="19"/>
          <w:u w:val="single" w:color="auto"/>
          <w:color w:val="auto"/>
        </w:rPr>
        <w:t>Master Formation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Agreement</w:t>
      </w:r>
      <w:r>
        <w:rPr>
          <w:rFonts w:ascii="Arial" w:cs="Arial" w:eastAsia="Arial" w:hAnsi="Arial"/>
          <w:sz w:val="19"/>
          <w:szCs w:val="19"/>
          <w:color w:val="auto"/>
        </w:rPr>
        <w:t>”), which provides for the formation of a partnership, RBS Sempra Commodities LLP (“</w:t>
      </w:r>
      <w:r>
        <w:rPr>
          <w:rFonts w:ascii="Arial" w:cs="Arial" w:eastAsia="Arial" w:hAnsi="Arial"/>
          <w:sz w:val="19"/>
          <w:szCs w:val="19"/>
          <w:u w:val="single" w:color="auto"/>
          <w:color w:val="auto"/>
        </w:rPr>
        <w:t>RBS Sempra Commodities</w:t>
      </w:r>
      <w:r>
        <w:rPr>
          <w:rFonts w:ascii="Arial" w:cs="Arial" w:eastAsia="Arial" w:hAnsi="Arial"/>
          <w:sz w:val="19"/>
          <w:szCs w:val="19"/>
          <w:color w:val="auto"/>
        </w:rPr>
        <w:t>”), to purchase and operate Sempra Energy’s commodity-marketing businesses. Pursuant to a Master Formation Agreement, RBS Sempra Commodities will be formed as a United Kingdom limited liability partnership and RBS Sempra Commodities will purchase Sempra Energy’s commodity-marketing subsidiaries.</w:t>
      </w:r>
    </w:p>
    <w:p>
      <w:pPr>
        <w:sectPr>
          <w:pgSz w:w="11900" w:h="16838" w:orient="portrait"/>
          <w:cols w:equalWidth="0" w:num="1">
            <w:col w:w="11160"/>
          </w:cols>
          <w:pgMar w:left="520" w:top="120" w:right="219" w:bottom="158" w:gutter="0" w:footer="0" w:header="0"/>
        </w:sectPr>
      </w:pPr>
    </w:p>
    <w:bookmarkStart w:id="73" w:name="page74"/>
    <w:bookmarkEnd w:id="73"/>
    <w:p>
      <w:pPr>
        <w:spacing w:after="0" w:line="51" w:lineRule="exact"/>
        <w:rPr>
          <w:sz w:val="20"/>
          <w:szCs w:val="20"/>
          <w:color w:val="auto"/>
        </w:rPr>
      </w:pPr>
    </w:p>
    <w:p>
      <w:pPr>
        <w:ind w:left="584" w:right="60"/>
        <w:spacing w:after="0" w:line="267" w:lineRule="auto"/>
        <w:rPr>
          <w:sz w:val="20"/>
          <w:szCs w:val="20"/>
          <w:color w:val="auto"/>
        </w:rPr>
      </w:pPr>
      <w:r>
        <w:rPr>
          <w:rFonts w:ascii="Arial" w:cs="Arial" w:eastAsia="Arial" w:hAnsi="Arial"/>
          <w:sz w:val="19"/>
          <w:szCs w:val="19"/>
          <w:color w:val="auto"/>
        </w:rPr>
        <w:t>Prior to the Closing, SET will be converted into a limited liability company (“</w:t>
      </w:r>
      <w:r>
        <w:rPr>
          <w:rFonts w:ascii="Arial" w:cs="Arial" w:eastAsia="Arial" w:hAnsi="Arial"/>
          <w:sz w:val="19"/>
          <w:szCs w:val="19"/>
          <w:u w:val="single" w:color="auto"/>
          <w:color w:val="auto"/>
        </w:rPr>
        <w:t>SET LLC</w:t>
      </w:r>
      <w:r>
        <w:rPr>
          <w:rFonts w:ascii="Arial" w:cs="Arial" w:eastAsia="Arial" w:hAnsi="Arial"/>
          <w:sz w:val="19"/>
          <w:szCs w:val="19"/>
          <w:color w:val="auto"/>
        </w:rPr>
        <w:t>”). Following such conversion, SET employees will be employed by SET LLC. Prior to the Closing, SES will become a wholly-owned subsidiary of SET LLC.</w:t>
      </w:r>
    </w:p>
    <w:p>
      <w:pPr>
        <w:spacing w:after="0" w:line="139" w:lineRule="exact"/>
        <w:rPr>
          <w:sz w:val="20"/>
          <w:szCs w:val="20"/>
          <w:color w:val="auto"/>
        </w:rPr>
      </w:pPr>
    </w:p>
    <w:p>
      <w:pPr>
        <w:ind w:left="584" w:right="400"/>
        <w:spacing w:after="0" w:line="326" w:lineRule="auto"/>
        <w:rPr>
          <w:sz w:val="20"/>
          <w:szCs w:val="20"/>
          <w:color w:val="auto"/>
        </w:rPr>
      </w:pPr>
      <w:r>
        <w:rPr>
          <w:rFonts w:ascii="Arial" w:cs="Arial" w:eastAsia="Arial" w:hAnsi="Arial"/>
          <w:sz w:val="17"/>
          <w:szCs w:val="17"/>
          <w:color w:val="auto"/>
        </w:rPr>
        <w:t>Also, prior to the Closing, Sempra Energy will own, directly or indirectly through wholly-owned subsidiaries, 100% of the membership interests in SET LLC and SES. Prior to the Closing, SET LLC and SES will be disregarded entities for federal income tax purposes.</w:t>
      </w:r>
    </w:p>
    <w:p>
      <w:pPr>
        <w:spacing w:after="0" w:line="94" w:lineRule="exact"/>
        <w:rPr>
          <w:sz w:val="20"/>
          <w:szCs w:val="20"/>
          <w:color w:val="auto"/>
        </w:rPr>
      </w:pPr>
    </w:p>
    <w:p>
      <w:pPr>
        <w:ind w:left="584"/>
        <w:spacing w:after="0"/>
        <w:rPr>
          <w:sz w:val="20"/>
          <w:szCs w:val="20"/>
          <w:color w:val="auto"/>
        </w:rPr>
      </w:pPr>
      <w:r>
        <w:rPr>
          <w:rFonts w:ascii="Arial" w:cs="Arial" w:eastAsia="Arial" w:hAnsi="Arial"/>
          <w:sz w:val="19"/>
          <w:szCs w:val="19"/>
          <w:color w:val="auto"/>
        </w:rPr>
        <w:t>Effective as of the Closing, RBS Sempra Commodities will purchase 100% of the membership interests in SET LLC</w:t>
      </w:r>
      <w:r>
        <w:rPr>
          <w:rFonts w:ascii="Arial" w:cs="Arial" w:eastAsia="Arial" w:hAnsi="Arial"/>
          <w:sz w:val="19"/>
          <w:szCs w:val="19"/>
          <w:i w:val="1"/>
          <w:iCs w:val="1"/>
          <w:color w:val="auto"/>
        </w:rPr>
        <w:t>.</w:t>
      </w:r>
    </w:p>
    <w:p>
      <w:pPr>
        <w:spacing w:after="0" w:line="190" w:lineRule="exact"/>
        <w:rPr>
          <w:sz w:val="20"/>
          <w:szCs w:val="20"/>
          <w:color w:val="auto"/>
        </w:rPr>
      </w:pPr>
    </w:p>
    <w:p>
      <w:pPr>
        <w:ind w:left="584" w:right="100"/>
        <w:spacing w:after="0" w:line="252" w:lineRule="auto"/>
        <w:rPr>
          <w:sz w:val="20"/>
          <w:szCs w:val="20"/>
          <w:color w:val="auto"/>
        </w:rPr>
      </w:pPr>
      <w:r>
        <w:rPr>
          <w:rFonts w:ascii="Arial" w:cs="Arial" w:eastAsia="Arial" w:hAnsi="Arial"/>
          <w:sz w:val="19"/>
          <w:szCs w:val="19"/>
          <w:color w:val="auto"/>
        </w:rPr>
        <w:t>As provided in the Master Formation Agreement, an employee of SET LLC who is actively at work on the Closing Date will continue to be employed by SET LLC immediately after the Closing Date, and an employee of SES who is actively at work on the Closing Date will continue to be employed by SES (each such employee is referred to as a Transferred Employee).</w:t>
      </w:r>
    </w:p>
    <w:p>
      <w:pPr>
        <w:spacing w:after="0" w:line="153" w:lineRule="exact"/>
        <w:rPr>
          <w:sz w:val="20"/>
          <w:szCs w:val="20"/>
          <w:color w:val="auto"/>
        </w:rPr>
      </w:pPr>
    </w:p>
    <w:p>
      <w:pPr>
        <w:ind w:left="584"/>
        <w:spacing w:after="0" w:line="243" w:lineRule="auto"/>
        <w:rPr>
          <w:sz w:val="20"/>
          <w:szCs w:val="20"/>
          <w:color w:val="auto"/>
        </w:rPr>
      </w:pPr>
      <w:r>
        <w:rPr>
          <w:rFonts w:ascii="Arial" w:cs="Arial" w:eastAsia="Arial" w:hAnsi="Arial"/>
          <w:sz w:val="19"/>
          <w:szCs w:val="19"/>
          <w:color w:val="auto"/>
        </w:rPr>
        <w:t>Also, as provided in the Master Formation Agreement, with respect to an employee of SET LLC or SES who is not actively at work on the Closing Date because such employee is on approved short-term disability or long-term disability leave in accordance with the Sempra Plans (such employee is referred to as an Inactive Employee), if such Inactive Employee returns to active work at the conclusion of such leave, and in any case within six months following the Closing Date (or such longer period as is required by applicable law), such Inactive Employee shall become a Transferred Employee as of the date of such person’s return to active employment with the SET LLC or SES (such date is referred to as the Transfer Date).</w:t>
      </w:r>
    </w:p>
    <w:p>
      <w:pPr>
        <w:spacing w:after="0" w:line="162" w:lineRule="exact"/>
        <w:rPr>
          <w:sz w:val="20"/>
          <w:szCs w:val="20"/>
          <w:color w:val="auto"/>
        </w:rPr>
      </w:pPr>
    </w:p>
    <w:p>
      <w:pPr>
        <w:ind w:left="584" w:right="240"/>
        <w:spacing w:after="0" w:line="272" w:lineRule="auto"/>
        <w:rPr>
          <w:sz w:val="20"/>
          <w:szCs w:val="20"/>
          <w:color w:val="auto"/>
        </w:rPr>
      </w:pPr>
      <w:r>
        <w:rPr>
          <w:rFonts w:ascii="Arial" w:cs="Arial" w:eastAsia="Arial" w:hAnsi="Arial"/>
          <w:sz w:val="18"/>
          <w:szCs w:val="18"/>
          <w:color w:val="auto"/>
        </w:rPr>
        <w:t>Effective as of the Closing, SET LLC will be a wholly-owned subsidiary of RBS Sempra Commodities, SES will be an indirect, wholly-owned subsidiary of RBS Commodities, Sempra Global and SETI will be partners in RBS Sempra Commodities, and Sempra Energy will own, indirectly through wholly-owned subsidiaries, at least a 50% profits interest in RBS Sempra Commodities.</w:t>
      </w:r>
    </w:p>
    <w:p>
      <w:pPr>
        <w:spacing w:after="0" w:line="119" w:lineRule="exact"/>
        <w:rPr>
          <w:sz w:val="20"/>
          <w:szCs w:val="20"/>
          <w:color w:val="auto"/>
        </w:rPr>
      </w:pPr>
    </w:p>
    <w:p>
      <w:pPr>
        <w:ind w:left="584" w:hanging="296"/>
        <w:spacing w:after="0"/>
        <w:tabs>
          <w:tab w:leader="none" w:pos="584" w:val="left"/>
        </w:tabs>
        <w:numPr>
          <w:ilvl w:val="0"/>
          <w:numId w:val="62"/>
        </w:numPr>
        <w:rPr>
          <w:rFonts w:ascii="Arial" w:cs="Arial" w:eastAsia="Arial" w:hAnsi="Arial"/>
          <w:sz w:val="19"/>
          <w:szCs w:val="19"/>
          <w:color w:val="auto"/>
        </w:rPr>
      </w:pPr>
      <w:r>
        <w:rPr>
          <w:rFonts w:ascii="Arial" w:cs="Arial" w:eastAsia="Arial" w:hAnsi="Arial"/>
          <w:sz w:val="19"/>
          <w:szCs w:val="19"/>
          <w:b w:val="1"/>
          <w:bCs w:val="1"/>
          <w:color w:val="auto"/>
        </w:rPr>
        <w:t>Cessation of Participation by SET LLC and SES; Cessation of Benefit Accruals</w:t>
      </w:r>
    </w:p>
    <w:p>
      <w:pPr>
        <w:spacing w:after="0" w:line="195" w:lineRule="exact"/>
        <w:rPr>
          <w:rFonts w:ascii="Arial" w:cs="Arial" w:eastAsia="Arial" w:hAnsi="Arial"/>
          <w:sz w:val="19"/>
          <w:szCs w:val="19"/>
          <w:color w:val="auto"/>
        </w:rPr>
      </w:pPr>
    </w:p>
    <w:p>
      <w:pPr>
        <w:ind w:left="864" w:right="40" w:hanging="287"/>
        <w:spacing w:after="0" w:line="266" w:lineRule="auto"/>
        <w:tabs>
          <w:tab w:leader="none" w:pos="864" w:val="left"/>
        </w:tabs>
        <w:numPr>
          <w:ilvl w:val="1"/>
          <w:numId w:val="62"/>
        </w:numPr>
        <w:rPr>
          <w:rFonts w:ascii="Arial" w:cs="Arial" w:eastAsia="Arial" w:hAnsi="Arial"/>
          <w:sz w:val="19"/>
          <w:szCs w:val="19"/>
          <w:color w:val="auto"/>
        </w:rPr>
      </w:pPr>
      <w:r>
        <w:rPr>
          <w:rFonts w:ascii="Arial" w:cs="Arial" w:eastAsia="Arial" w:hAnsi="Arial"/>
          <w:sz w:val="19"/>
          <w:szCs w:val="19"/>
          <w:color w:val="auto"/>
        </w:rPr>
        <w:t>Prior to the Closing, SET LLC shall be a participating employer in this Plan. Effective as of the Closing Date, SET LLC will cease to be a participating employer in this Plan.</w:t>
      </w:r>
    </w:p>
    <w:p>
      <w:pPr>
        <w:spacing w:after="0" w:line="128" w:lineRule="exact"/>
        <w:rPr>
          <w:rFonts w:ascii="Arial" w:cs="Arial" w:eastAsia="Arial" w:hAnsi="Arial"/>
          <w:sz w:val="19"/>
          <w:szCs w:val="19"/>
          <w:color w:val="auto"/>
        </w:rPr>
      </w:pPr>
    </w:p>
    <w:p>
      <w:pPr>
        <w:ind w:left="864" w:right="740" w:hanging="287"/>
        <w:spacing w:after="0" w:line="266" w:lineRule="auto"/>
        <w:tabs>
          <w:tab w:leader="none" w:pos="864" w:val="left"/>
        </w:tabs>
        <w:numPr>
          <w:ilvl w:val="1"/>
          <w:numId w:val="62"/>
        </w:numPr>
        <w:rPr>
          <w:rFonts w:ascii="Arial" w:cs="Arial" w:eastAsia="Arial" w:hAnsi="Arial"/>
          <w:sz w:val="19"/>
          <w:szCs w:val="19"/>
          <w:color w:val="auto"/>
        </w:rPr>
      </w:pPr>
      <w:r>
        <w:rPr>
          <w:rFonts w:ascii="Arial" w:cs="Arial" w:eastAsia="Arial" w:hAnsi="Arial"/>
          <w:sz w:val="19"/>
          <w:szCs w:val="19"/>
          <w:color w:val="auto"/>
        </w:rPr>
        <w:t>Prior to the Closing, SES shall be a participating employer in this Plan. Effective as of the Closing Date, SES will cease to be a participating employer in this Plan.</w:t>
      </w:r>
    </w:p>
    <w:p>
      <w:pPr>
        <w:spacing w:after="0" w:line="128" w:lineRule="exact"/>
        <w:rPr>
          <w:rFonts w:ascii="Arial" w:cs="Arial" w:eastAsia="Arial" w:hAnsi="Arial"/>
          <w:sz w:val="19"/>
          <w:szCs w:val="19"/>
          <w:color w:val="auto"/>
        </w:rPr>
      </w:pPr>
    </w:p>
    <w:p>
      <w:pPr>
        <w:ind w:left="864" w:right="360" w:hanging="287"/>
        <w:spacing w:after="0" w:line="296" w:lineRule="auto"/>
        <w:tabs>
          <w:tab w:leader="none" w:pos="1152" w:val="left"/>
        </w:tabs>
        <w:numPr>
          <w:ilvl w:val="1"/>
          <w:numId w:val="62"/>
        </w:numPr>
        <w:rPr>
          <w:rFonts w:ascii="Arial" w:cs="Arial" w:eastAsia="Arial" w:hAnsi="Arial"/>
          <w:sz w:val="17"/>
          <w:szCs w:val="17"/>
          <w:color w:val="auto"/>
        </w:rPr>
      </w:pPr>
      <w:r>
        <w:rPr>
          <w:rFonts w:ascii="Arial" w:cs="Arial" w:eastAsia="Arial" w:hAnsi="Arial"/>
          <w:sz w:val="17"/>
          <w:szCs w:val="17"/>
          <w:color w:val="auto"/>
        </w:rPr>
        <w:t>Effective as of the Closing Date (or the Transfer Date, if applicable), a Transferred Employee who is a Participant shall cease to accrue any further benefits as an active participant in this Plan and shall have no rights to continue as an active participant under this Plan (without derogation of the rights of such Transferred Employee as a vested, terminated Participant in this Plan).</w:t>
      </w:r>
    </w:p>
    <w:p>
      <w:pPr>
        <w:spacing w:after="0" w:line="118" w:lineRule="exact"/>
        <w:rPr>
          <w:sz w:val="20"/>
          <w:szCs w:val="20"/>
          <w:color w:val="auto"/>
        </w:rPr>
      </w:pPr>
    </w:p>
    <w:p>
      <w:pPr>
        <w:ind w:left="584"/>
        <w:spacing w:after="0"/>
        <w:rPr>
          <w:sz w:val="20"/>
          <w:szCs w:val="20"/>
          <w:color w:val="auto"/>
        </w:rPr>
      </w:pPr>
      <w:r>
        <w:rPr>
          <w:rFonts w:ascii="Arial" w:cs="Arial" w:eastAsia="Arial" w:hAnsi="Arial"/>
          <w:sz w:val="19"/>
          <w:szCs w:val="19"/>
          <w:color w:val="auto"/>
        </w:rPr>
        <w:t>(iv)No Transferred Employee shall become a Participant on or after the Closing Date.</w:t>
      </w:r>
    </w:p>
    <w:p>
      <w:pPr>
        <w:spacing w:after="0" w:line="172" w:lineRule="exact"/>
        <w:rPr>
          <w:sz w:val="20"/>
          <w:szCs w:val="20"/>
          <w:color w:val="auto"/>
        </w:rPr>
      </w:pPr>
    </w:p>
    <w:p>
      <w:pPr>
        <w:ind w:left="584" w:hanging="296"/>
        <w:spacing w:after="0"/>
        <w:tabs>
          <w:tab w:leader="none" w:pos="584" w:val="left"/>
        </w:tabs>
        <w:numPr>
          <w:ilvl w:val="1"/>
          <w:numId w:val="63"/>
        </w:numPr>
        <w:rPr>
          <w:rFonts w:ascii="Arial" w:cs="Arial" w:eastAsia="Arial" w:hAnsi="Arial"/>
          <w:sz w:val="19"/>
          <w:szCs w:val="19"/>
          <w:color w:val="auto"/>
        </w:rPr>
      </w:pPr>
      <w:r>
        <w:rPr>
          <w:rFonts w:ascii="Arial" w:cs="Arial" w:eastAsia="Arial" w:hAnsi="Arial"/>
          <w:sz w:val="19"/>
          <w:szCs w:val="19"/>
          <w:b w:val="1"/>
          <w:bCs w:val="1"/>
          <w:color w:val="auto"/>
        </w:rPr>
        <w:t>Separation from Service</w:t>
      </w:r>
    </w:p>
    <w:p>
      <w:pPr>
        <w:spacing w:after="0" w:line="183" w:lineRule="exact"/>
        <w:rPr>
          <w:rFonts w:ascii="Arial" w:cs="Arial" w:eastAsia="Arial" w:hAnsi="Arial"/>
          <w:sz w:val="19"/>
          <w:szCs w:val="19"/>
          <w:color w:val="auto"/>
        </w:rPr>
      </w:pPr>
    </w:p>
    <w:p>
      <w:pPr>
        <w:ind w:left="864" w:hanging="287"/>
        <w:spacing w:after="0" w:line="261" w:lineRule="auto"/>
        <w:tabs>
          <w:tab w:leader="none" w:pos="864" w:val="left"/>
        </w:tabs>
        <w:numPr>
          <w:ilvl w:val="2"/>
          <w:numId w:val="63"/>
        </w:numPr>
        <w:rPr>
          <w:rFonts w:ascii="Arial" w:cs="Arial" w:eastAsia="Arial" w:hAnsi="Arial"/>
          <w:sz w:val="18"/>
          <w:szCs w:val="18"/>
          <w:color w:val="auto"/>
        </w:rPr>
      </w:pPr>
      <w:r>
        <w:rPr>
          <w:rFonts w:ascii="Arial" w:cs="Arial" w:eastAsia="Arial" w:hAnsi="Arial"/>
          <w:sz w:val="18"/>
          <w:szCs w:val="18"/>
          <w:color w:val="auto"/>
        </w:rPr>
        <w:t>Effective as of the Closing, RBS Sempra Commodities will be a member of a group of trades or businesses (whether or not incorporated) under common control for purposes of Section 414(c) of the Code and Treasury Regulation Section 1.414(c)-2, as determined under Treasury Regulation Section 1.409A-1(h)(3), that includes Sempra Energy and its wholly-owned subsidiaries. Consequently, effective as of the Closing, RBS Sempra Commodities will be included in the “service recipient” that includes Sempra Energy and its wholly-owned subsidiaries, as defined under Treasury Regulation Section 1.409A-1(h)(3).</w:t>
      </w:r>
    </w:p>
    <w:p>
      <w:pPr>
        <w:spacing w:after="0" w:line="147" w:lineRule="exact"/>
        <w:rPr>
          <w:rFonts w:ascii="Arial" w:cs="Arial" w:eastAsia="Arial" w:hAnsi="Arial"/>
          <w:sz w:val="18"/>
          <w:szCs w:val="18"/>
          <w:color w:val="auto"/>
        </w:rPr>
      </w:pPr>
    </w:p>
    <w:p>
      <w:pPr>
        <w:ind w:left="864" w:right="40" w:hanging="287"/>
        <w:spacing w:after="0" w:line="252" w:lineRule="auto"/>
        <w:tabs>
          <w:tab w:leader="none" w:pos="864" w:val="left"/>
        </w:tabs>
        <w:numPr>
          <w:ilvl w:val="2"/>
          <w:numId w:val="63"/>
        </w:numPr>
        <w:rPr>
          <w:rFonts w:ascii="Arial" w:cs="Arial" w:eastAsia="Arial" w:hAnsi="Arial"/>
          <w:sz w:val="19"/>
          <w:szCs w:val="19"/>
          <w:color w:val="auto"/>
        </w:rPr>
      </w:pPr>
      <w:r>
        <w:rPr>
          <w:rFonts w:ascii="Arial" w:cs="Arial" w:eastAsia="Arial" w:hAnsi="Arial"/>
          <w:sz w:val="19"/>
          <w:szCs w:val="19"/>
          <w:color w:val="auto"/>
        </w:rPr>
        <w:t>A Participant who is an employee of SET LLC or SES, and who is a Transferred Employee effective as of the Closing Date, will not have a Separation from Service solely as a result of the purchase of the membership interests of SET LLC by RBS Sempra Commodities effective as of the Closing.</w:t>
      </w:r>
    </w:p>
    <w:p>
      <w:pPr>
        <w:spacing w:after="0" w:line="140" w:lineRule="exact"/>
        <w:rPr>
          <w:rFonts w:ascii="Arial" w:cs="Arial" w:eastAsia="Arial" w:hAnsi="Arial"/>
          <w:sz w:val="19"/>
          <w:szCs w:val="19"/>
          <w:color w:val="auto"/>
        </w:rPr>
      </w:pPr>
    </w:p>
    <w:p>
      <w:pPr>
        <w:ind w:left="864" w:right="380" w:hanging="287"/>
        <w:spacing w:after="0" w:line="247" w:lineRule="auto"/>
        <w:tabs>
          <w:tab w:leader="none" w:pos="1152" w:val="left"/>
        </w:tabs>
        <w:numPr>
          <w:ilvl w:val="2"/>
          <w:numId w:val="63"/>
        </w:numPr>
        <w:rPr>
          <w:rFonts w:ascii="Arial" w:cs="Arial" w:eastAsia="Arial" w:hAnsi="Arial"/>
          <w:sz w:val="19"/>
          <w:szCs w:val="19"/>
          <w:color w:val="auto"/>
        </w:rPr>
      </w:pPr>
      <w:r>
        <w:rPr>
          <w:rFonts w:ascii="Arial" w:cs="Arial" w:eastAsia="Arial" w:hAnsi="Arial"/>
          <w:sz w:val="19"/>
          <w:szCs w:val="19"/>
          <w:color w:val="auto"/>
        </w:rPr>
        <w:t>A Participant who is an employee of SET LLC or SES, who is an Inactive Employee, and who becomes a Transferred Employee effective on a Transfer Date after the Closing Date, will not have a Separation from Service solely as a result of the purchase of the membership interests of SET LLC by RBS Sempra Commodities or becoming a Transferred Employee on a Transfer Date after the Closing Date.</w:t>
      </w:r>
    </w:p>
    <w:p>
      <w:pPr>
        <w:spacing w:after="0" w:line="145" w:lineRule="exact"/>
        <w:rPr>
          <w:rFonts w:ascii="Arial" w:cs="Arial" w:eastAsia="Arial" w:hAnsi="Arial"/>
          <w:sz w:val="19"/>
          <w:szCs w:val="19"/>
          <w:color w:val="auto"/>
        </w:rPr>
      </w:pPr>
    </w:p>
    <w:p>
      <w:pPr>
        <w:jc w:val="both"/>
        <w:ind w:left="864" w:right="300" w:hanging="287"/>
        <w:spacing w:after="0" w:line="252" w:lineRule="auto"/>
        <w:tabs>
          <w:tab w:leader="none" w:pos="864" w:val="left"/>
        </w:tabs>
        <w:numPr>
          <w:ilvl w:val="2"/>
          <w:numId w:val="63"/>
        </w:numPr>
        <w:rPr>
          <w:rFonts w:ascii="Arial" w:cs="Arial" w:eastAsia="Arial" w:hAnsi="Arial"/>
          <w:sz w:val="19"/>
          <w:szCs w:val="19"/>
          <w:color w:val="auto"/>
        </w:rPr>
      </w:pPr>
      <w:r>
        <w:rPr>
          <w:rFonts w:ascii="Arial" w:cs="Arial" w:eastAsia="Arial" w:hAnsi="Arial"/>
          <w:sz w:val="19"/>
          <w:szCs w:val="19"/>
          <w:color w:val="auto"/>
        </w:rPr>
        <w:t>For purposes of the Plan, a Participant who is an employee of SET LLC or SES, and who is or becomes a Transferred Employee, will have a Separation from Service on or after the Closing Date (or the Transfer Date, if applicable), as determined under Section 10 and Treasury Regulation Section 1.409A-1(h).</w:t>
      </w:r>
    </w:p>
    <w:p>
      <w:pPr>
        <w:spacing w:after="0" w:line="146" w:lineRule="exact"/>
        <w:rPr>
          <w:rFonts w:ascii="Arial" w:cs="Arial" w:eastAsia="Arial" w:hAnsi="Arial"/>
          <w:sz w:val="19"/>
          <w:szCs w:val="19"/>
          <w:color w:val="auto"/>
        </w:rPr>
      </w:pPr>
    </w:p>
    <w:p>
      <w:pPr>
        <w:ind w:left="584" w:hanging="296"/>
        <w:spacing w:after="0"/>
        <w:tabs>
          <w:tab w:leader="none" w:pos="584" w:val="left"/>
        </w:tabs>
        <w:numPr>
          <w:ilvl w:val="1"/>
          <w:numId w:val="63"/>
        </w:numPr>
        <w:rPr>
          <w:rFonts w:ascii="Arial" w:cs="Arial" w:eastAsia="Arial" w:hAnsi="Arial"/>
          <w:sz w:val="19"/>
          <w:szCs w:val="19"/>
          <w:color w:val="auto"/>
        </w:rPr>
      </w:pPr>
      <w:r>
        <w:rPr>
          <w:rFonts w:ascii="Arial" w:cs="Arial" w:eastAsia="Arial" w:hAnsi="Arial"/>
          <w:sz w:val="19"/>
          <w:szCs w:val="19"/>
          <w:b w:val="1"/>
          <w:bCs w:val="1"/>
          <w:color w:val="auto"/>
        </w:rPr>
        <w:t>Certain Defined Terms</w:t>
      </w:r>
    </w:p>
    <w:p>
      <w:pPr>
        <w:spacing w:after="0" w:line="195" w:lineRule="exact"/>
        <w:rPr>
          <w:rFonts w:ascii="Arial" w:cs="Arial" w:eastAsia="Arial" w:hAnsi="Arial"/>
          <w:sz w:val="19"/>
          <w:szCs w:val="19"/>
          <w:color w:val="auto"/>
        </w:rPr>
      </w:pPr>
    </w:p>
    <w:p>
      <w:pPr>
        <w:ind w:left="584" w:right="140"/>
        <w:spacing w:after="0" w:line="266" w:lineRule="auto"/>
        <w:rPr>
          <w:rFonts w:ascii="Arial" w:cs="Arial" w:eastAsia="Arial" w:hAnsi="Arial"/>
          <w:sz w:val="19"/>
          <w:szCs w:val="19"/>
          <w:color w:val="auto"/>
        </w:rPr>
      </w:pPr>
      <w:r>
        <w:rPr>
          <w:rFonts w:ascii="Arial" w:cs="Arial" w:eastAsia="Arial" w:hAnsi="Arial"/>
          <w:sz w:val="19"/>
          <w:szCs w:val="19"/>
          <w:color w:val="auto"/>
        </w:rPr>
        <w:t>For purposes of this Section 11, the terms “Closing,” “Closing Date,” “Inactive Employee,” “Sempra Plans,” “Transferred Employees” and “Transfer Date” shall have the meanings ascribed to such terms under the Master Formation Agreement.</w:t>
      </w:r>
    </w:p>
    <w:p>
      <w:pPr>
        <w:spacing w:after="0" w:line="122" w:lineRule="exact"/>
        <w:rPr>
          <w:rFonts w:ascii="Arial" w:cs="Arial" w:eastAsia="Arial" w:hAnsi="Arial"/>
          <w:sz w:val="19"/>
          <w:szCs w:val="19"/>
          <w:color w:val="auto"/>
        </w:rPr>
      </w:pPr>
    </w:p>
    <w:p>
      <w:pPr>
        <w:ind w:left="284" w:hanging="284"/>
        <w:spacing w:after="0"/>
        <w:tabs>
          <w:tab w:leader="none" w:pos="284" w:val="left"/>
        </w:tabs>
        <w:numPr>
          <w:ilvl w:val="0"/>
          <w:numId w:val="64"/>
        </w:numPr>
        <w:rPr>
          <w:rFonts w:ascii="Arial" w:cs="Arial" w:eastAsia="Arial" w:hAnsi="Arial"/>
          <w:sz w:val="19"/>
          <w:szCs w:val="19"/>
          <w:b w:val="1"/>
          <w:bCs w:val="1"/>
          <w:color w:val="auto"/>
        </w:rPr>
      </w:pPr>
      <w:r>
        <w:rPr>
          <w:rFonts w:ascii="Arial" w:cs="Arial" w:eastAsia="Arial" w:hAnsi="Arial"/>
          <w:sz w:val="19"/>
          <w:szCs w:val="19"/>
          <w:b w:val="1"/>
          <w:bCs w:val="1"/>
          <w:color w:val="auto"/>
        </w:rPr>
        <w:t>SECTION 409A OF THE CODE</w:t>
      </w:r>
    </w:p>
    <w:p>
      <w:pPr>
        <w:spacing w:after="0" w:line="183" w:lineRule="exact"/>
        <w:rPr>
          <w:rFonts w:ascii="Arial" w:cs="Arial" w:eastAsia="Arial" w:hAnsi="Arial"/>
          <w:sz w:val="19"/>
          <w:szCs w:val="19"/>
          <w:b w:val="1"/>
          <w:bCs w:val="1"/>
          <w:color w:val="auto"/>
        </w:rPr>
      </w:pPr>
    </w:p>
    <w:p>
      <w:pPr>
        <w:ind w:left="584" w:right="20" w:hanging="296"/>
        <w:spacing w:after="0" w:line="270" w:lineRule="auto"/>
        <w:tabs>
          <w:tab w:leader="none" w:pos="584" w:val="left"/>
        </w:tabs>
        <w:numPr>
          <w:ilvl w:val="1"/>
          <w:numId w:val="64"/>
        </w:numPr>
        <w:rPr>
          <w:rFonts w:ascii="Arial" w:cs="Arial" w:eastAsia="Arial" w:hAnsi="Arial"/>
          <w:sz w:val="17"/>
          <w:szCs w:val="17"/>
          <w:color w:val="auto"/>
        </w:rPr>
      </w:pPr>
      <w:r>
        <w:rPr>
          <w:rFonts w:ascii="Arial" w:cs="Arial" w:eastAsia="Arial" w:hAnsi="Arial"/>
          <w:sz w:val="17"/>
          <w:szCs w:val="17"/>
          <w:color w:val="auto"/>
        </w:rPr>
        <w:t>This Plan shall be interpreted, construed and administered in a manner that satisfies the requirements of Sections 409A(a)(2), (3) and (4) of the Code and the Treasury Regulations thereunder (subject to the transitional relief under Internal Revenue Service Notice 2005-1, the Proposed Regulations under Section 409A of the Code, Internal Revenue Service Notices 2006-79 and 2007-86 and other applicable authority issued by the Internal Revenue Service). As provided in Internal Revenue Service Notices 2006-79 and 2007-86, notwithstanding any other provision of this Plan, with respect to an election or amendment to change a time and form of payment under the Plan made on or after January 1, 2006 and on or before December 31, 2006, the election or amendment shall apply only to amounts that would not otherwise be payable in 2006 and shall not cause an amount to be paid in 2006 that would not otherwise be payable in 2006; and, with respect to an election or amendment to change a time and form of payment under this Plan made on or after January 1, 2007 and on or before December 31, 2007, the election or amendment may apply only to amounts that would not otherwise be payable in 2007 and may not cause an amount to be paid in 2007 that would not otherwise be payable in 2007; and, with respect to an election or amendment to change a time and form of payment under this Plan made on or after January 1, 2008 and on or before December 31, 2008, the election or amendment may apply only to amounts that would not otherwise be payable in 2008 and may not cause an amount to be paid in 2008 that would not otherwise be payable in 2008. If Sempra Energy determines that any deferred compensation amounts under this Plan subject to Section 409A of the Code do not comply with Sections 409A(a)(2), (3) and (4) of the Code, the Treasury Regulations thereunder and other applicable authority issued</w:t>
      </w:r>
    </w:p>
    <w:p>
      <w:pPr>
        <w:sectPr>
          <w:pgSz w:w="11900" w:h="16890" w:orient="portrait"/>
          <w:cols w:equalWidth="0" w:num="1">
            <w:col w:w="11424"/>
          </w:cols>
          <w:pgMar w:left="236" w:top="120" w:right="239" w:bottom="0" w:gutter="0" w:footer="0" w:header="0"/>
        </w:sectPr>
      </w:pPr>
    </w:p>
    <w:bookmarkStart w:id="74" w:name="page75"/>
    <w:bookmarkEnd w:id="74"/>
    <w:p>
      <w:pPr>
        <w:spacing w:after="0" w:line="14" w:lineRule="exact"/>
        <w:rPr>
          <w:sz w:val="20"/>
          <w:szCs w:val="20"/>
          <w:color w:val="auto"/>
        </w:rPr>
      </w:pPr>
    </w:p>
    <w:p>
      <w:pPr>
        <w:ind w:left="584" w:right="120"/>
        <w:spacing w:after="0" w:line="242" w:lineRule="auto"/>
        <w:rPr>
          <w:sz w:val="20"/>
          <w:szCs w:val="20"/>
          <w:color w:val="auto"/>
        </w:rPr>
      </w:pPr>
      <w:r>
        <w:rPr>
          <w:rFonts w:ascii="Arial" w:cs="Arial" w:eastAsia="Arial" w:hAnsi="Arial"/>
          <w:sz w:val="19"/>
          <w:szCs w:val="19"/>
          <w:color w:val="auto"/>
        </w:rPr>
        <w:t>by the Internal Revenue Service, Sempra Energy may amend this Plan, or take such other actions as Sempra Energy deems reasonably necessary or appropriate, to ensure that such amounts comply with the requirements of Section 409A of the Code, the Treasury Regulations thereunder and other applicable authority issued by the Internal Revenue Service. In the case of any deferred compensation amounts under this Plan that are subject to Section 409A of the Code, if any provision of the Plan would cause such amounts to fail to so comply, such provision shall be deemed amended, or shall not be effective and shall be null and void, to the extent necessary to cause such amounts to comply with Section 409A(a)(2), (3) and (4) of the Code, the Treasury Regulations thereunder and other applicable authority issued by the Internal Revenue Service.</w:t>
      </w:r>
    </w:p>
    <w:p>
      <w:pPr>
        <w:spacing w:after="0" w:line="153" w:lineRule="exact"/>
        <w:rPr>
          <w:sz w:val="20"/>
          <w:szCs w:val="20"/>
          <w:color w:val="auto"/>
        </w:rPr>
      </w:pPr>
    </w:p>
    <w:p>
      <w:pPr>
        <w:jc w:val="both"/>
        <w:ind w:left="584" w:right="180" w:hanging="296"/>
        <w:spacing w:after="0" w:line="272" w:lineRule="auto"/>
        <w:tabs>
          <w:tab w:leader="none" w:pos="584" w:val="left"/>
        </w:tabs>
        <w:numPr>
          <w:ilvl w:val="1"/>
          <w:numId w:val="65"/>
        </w:numPr>
        <w:rPr>
          <w:rFonts w:ascii="Arial" w:cs="Arial" w:eastAsia="Arial" w:hAnsi="Arial"/>
          <w:sz w:val="17"/>
          <w:szCs w:val="17"/>
          <w:color w:val="auto"/>
        </w:rPr>
      </w:pPr>
      <w:r>
        <w:rPr>
          <w:rFonts w:ascii="Arial" w:cs="Arial" w:eastAsia="Arial" w:hAnsi="Arial"/>
          <w:sz w:val="17"/>
          <w:szCs w:val="17"/>
          <w:color w:val="auto"/>
        </w:rPr>
        <w:t>The Plan provides that benefits under the Plan are determined under the formula for determining benefits under the Basic Plan (which is a qualified employer plan, as defined in Treasury Regulation Section 1.409A-1(a)(2)), applied without regard to the limitations applicable to the Basic Plan under Sections 401(a)(17) and 415 of the Code, and after an offset of the benefits provided under the Basic Plan.</w:t>
      </w:r>
    </w:p>
    <w:p>
      <w:pPr>
        <w:ind w:left="584" w:right="180" w:firstLine="38"/>
        <w:spacing w:after="0" w:line="249" w:lineRule="auto"/>
        <w:rPr>
          <w:rFonts w:ascii="Arial" w:cs="Arial" w:eastAsia="Arial" w:hAnsi="Arial"/>
          <w:sz w:val="17"/>
          <w:szCs w:val="17"/>
          <w:color w:val="auto"/>
        </w:rPr>
      </w:pPr>
      <w:r>
        <w:rPr>
          <w:rFonts w:ascii="Arial" w:cs="Arial" w:eastAsia="Arial" w:hAnsi="Arial"/>
          <w:sz w:val="19"/>
          <w:szCs w:val="19"/>
          <w:color w:val="auto"/>
        </w:rPr>
        <w:t>Accordingly, the Plan is intended to be a nonqualified deferred compensation plan subject to Treasury Regulation Sections 1.409A-2(a)(9) and 1.409A-3(j)(5).</w:t>
      </w:r>
    </w:p>
    <w:p>
      <w:pPr>
        <w:spacing w:after="0" w:line="149" w:lineRule="exact"/>
        <w:rPr>
          <w:rFonts w:ascii="Arial" w:cs="Arial" w:eastAsia="Arial" w:hAnsi="Arial"/>
          <w:sz w:val="17"/>
          <w:szCs w:val="17"/>
          <w:color w:val="auto"/>
        </w:rPr>
      </w:pPr>
    </w:p>
    <w:p>
      <w:pPr>
        <w:ind w:left="284" w:hanging="284"/>
        <w:spacing w:after="0"/>
        <w:tabs>
          <w:tab w:leader="none" w:pos="284" w:val="left"/>
        </w:tabs>
        <w:numPr>
          <w:ilvl w:val="0"/>
          <w:numId w:val="66"/>
        </w:numPr>
        <w:rPr>
          <w:rFonts w:ascii="Arial" w:cs="Arial" w:eastAsia="Arial" w:hAnsi="Arial"/>
          <w:sz w:val="19"/>
          <w:szCs w:val="19"/>
          <w:b w:val="1"/>
          <w:bCs w:val="1"/>
          <w:color w:val="auto"/>
        </w:rPr>
      </w:pPr>
      <w:r>
        <w:rPr>
          <w:rFonts w:ascii="Arial" w:cs="Arial" w:eastAsia="Arial" w:hAnsi="Arial"/>
          <w:sz w:val="19"/>
          <w:szCs w:val="19"/>
          <w:b w:val="1"/>
          <w:bCs w:val="1"/>
          <w:color w:val="auto"/>
        </w:rPr>
        <w:t>CLAIMS PROCEDURE</w:t>
      </w:r>
    </w:p>
    <w:p>
      <w:pPr>
        <w:spacing w:after="0" w:line="177" w:lineRule="exact"/>
        <w:rPr>
          <w:rFonts w:ascii="Arial" w:cs="Arial" w:eastAsia="Arial" w:hAnsi="Arial"/>
          <w:sz w:val="19"/>
          <w:szCs w:val="19"/>
          <w:b w:val="1"/>
          <w:bCs w:val="1"/>
          <w:color w:val="auto"/>
        </w:rPr>
      </w:pPr>
    </w:p>
    <w:p>
      <w:pPr>
        <w:ind w:left="584" w:hanging="296"/>
        <w:spacing w:after="0"/>
        <w:tabs>
          <w:tab w:leader="none" w:pos="584" w:val="left"/>
        </w:tabs>
        <w:numPr>
          <w:ilvl w:val="1"/>
          <w:numId w:val="66"/>
        </w:numPr>
        <w:rPr>
          <w:rFonts w:ascii="Arial" w:cs="Arial" w:eastAsia="Arial" w:hAnsi="Arial"/>
          <w:sz w:val="19"/>
          <w:szCs w:val="19"/>
          <w:color w:val="auto"/>
        </w:rPr>
      </w:pPr>
      <w:r>
        <w:rPr>
          <w:rFonts w:ascii="Arial" w:cs="Arial" w:eastAsia="Arial" w:hAnsi="Arial"/>
          <w:sz w:val="19"/>
          <w:szCs w:val="19"/>
          <w:b w:val="1"/>
          <w:bCs w:val="1"/>
          <w:color w:val="auto"/>
        </w:rPr>
        <w:t>Claim</w:t>
      </w:r>
    </w:p>
    <w:p>
      <w:pPr>
        <w:spacing w:after="0" w:line="195" w:lineRule="exact"/>
        <w:rPr>
          <w:rFonts w:ascii="Arial" w:cs="Arial" w:eastAsia="Arial" w:hAnsi="Arial"/>
          <w:sz w:val="19"/>
          <w:szCs w:val="19"/>
          <w:color w:val="auto"/>
        </w:rPr>
      </w:pPr>
    </w:p>
    <w:p>
      <w:pPr>
        <w:ind w:left="584" w:right="20"/>
        <w:spacing w:after="0" w:line="258" w:lineRule="auto"/>
        <w:rPr>
          <w:rFonts w:ascii="Arial" w:cs="Arial" w:eastAsia="Arial" w:hAnsi="Arial"/>
          <w:sz w:val="19"/>
          <w:szCs w:val="19"/>
          <w:color w:val="auto"/>
        </w:rPr>
      </w:pPr>
      <w:r>
        <w:rPr>
          <w:rFonts w:ascii="Arial" w:cs="Arial" w:eastAsia="Arial" w:hAnsi="Arial"/>
          <w:sz w:val="18"/>
          <w:szCs w:val="18"/>
          <w:color w:val="auto"/>
        </w:rPr>
        <w:t>A Participant, beneficiary or other person who believes that he is being denied a benefit to which he is entitled under this Plan (hereinafter referred to as “</w:t>
      </w:r>
      <w:r>
        <w:rPr>
          <w:rFonts w:ascii="Arial" w:cs="Arial" w:eastAsia="Arial" w:hAnsi="Arial"/>
          <w:sz w:val="18"/>
          <w:szCs w:val="18"/>
          <w:u w:val="single" w:color="auto"/>
          <w:color w:val="auto"/>
        </w:rPr>
        <w:t>Claimant</w:t>
      </w:r>
      <w:r>
        <w:rPr>
          <w:rFonts w:ascii="Arial" w:cs="Arial" w:eastAsia="Arial" w:hAnsi="Arial"/>
          <w:sz w:val="18"/>
          <w:szCs w:val="18"/>
          <w:color w:val="auto"/>
        </w:rPr>
        <w:t>”) may file a written request for such benefit with the Compensation Committee, setting forth his claim. The request must be addressed to the Compensation Committee at Sempra Energy at its then principal place of business. The claims procedure of this Section shall be applied in accordance with Section 503 of ERISA and Department of Labor Regulation Section 2560.503-1. A Participant, beneficiary or other person may assert a claim, or request review of the denial of a claim, through such Participant’s, beneficiary’s or person’s authorized representative, provided that such Participant, beneficiary or person has submitted a written notice evidencing the authority of such representative to the C ompensation Committee.</w:t>
      </w:r>
    </w:p>
    <w:p>
      <w:pPr>
        <w:spacing w:after="0" w:line="148" w:lineRule="exact"/>
        <w:rPr>
          <w:rFonts w:ascii="Arial" w:cs="Arial" w:eastAsia="Arial" w:hAnsi="Arial"/>
          <w:sz w:val="19"/>
          <w:szCs w:val="19"/>
          <w:color w:val="auto"/>
        </w:rPr>
      </w:pPr>
    </w:p>
    <w:p>
      <w:pPr>
        <w:ind w:left="584" w:right="440"/>
        <w:spacing w:after="0" w:line="252" w:lineRule="auto"/>
        <w:rPr>
          <w:rFonts w:ascii="Arial" w:cs="Arial" w:eastAsia="Arial" w:hAnsi="Arial"/>
          <w:sz w:val="19"/>
          <w:szCs w:val="19"/>
          <w:color w:val="auto"/>
        </w:rPr>
      </w:pPr>
      <w:r>
        <w:rPr>
          <w:rFonts w:ascii="Arial" w:cs="Arial" w:eastAsia="Arial" w:hAnsi="Arial"/>
          <w:sz w:val="19"/>
          <w:szCs w:val="19"/>
          <w:color w:val="auto"/>
        </w:rPr>
        <w:t>A Claimant or his duly authorized representative shall submit his claim under the Plan in writing to the Compensation Committee. The Claimant may include documents, records or other information relating to the claim for review by the Compensation Committee in connection with such claim.</w:t>
      </w:r>
    </w:p>
    <w:p>
      <w:pPr>
        <w:spacing w:after="0" w:line="134" w:lineRule="exact"/>
        <w:rPr>
          <w:rFonts w:ascii="Arial" w:cs="Arial" w:eastAsia="Arial" w:hAnsi="Arial"/>
          <w:sz w:val="19"/>
          <w:szCs w:val="19"/>
          <w:color w:val="auto"/>
        </w:rPr>
      </w:pPr>
    </w:p>
    <w:p>
      <w:pPr>
        <w:ind w:left="584" w:hanging="296"/>
        <w:spacing w:after="0"/>
        <w:tabs>
          <w:tab w:leader="none" w:pos="584" w:val="left"/>
        </w:tabs>
        <w:numPr>
          <w:ilvl w:val="1"/>
          <w:numId w:val="66"/>
        </w:numPr>
        <w:rPr>
          <w:rFonts w:ascii="Arial" w:cs="Arial" w:eastAsia="Arial" w:hAnsi="Arial"/>
          <w:sz w:val="19"/>
          <w:szCs w:val="19"/>
          <w:color w:val="auto"/>
        </w:rPr>
      </w:pPr>
      <w:r>
        <w:rPr>
          <w:rFonts w:ascii="Arial" w:cs="Arial" w:eastAsia="Arial" w:hAnsi="Arial"/>
          <w:sz w:val="19"/>
          <w:szCs w:val="19"/>
          <w:b w:val="1"/>
          <w:bCs w:val="1"/>
          <w:color w:val="auto"/>
        </w:rPr>
        <w:t>Claim Decision</w:t>
      </w:r>
    </w:p>
    <w:p>
      <w:pPr>
        <w:spacing w:after="0" w:line="195" w:lineRule="exact"/>
        <w:rPr>
          <w:rFonts w:ascii="Arial" w:cs="Arial" w:eastAsia="Arial" w:hAnsi="Arial"/>
          <w:sz w:val="19"/>
          <w:szCs w:val="19"/>
          <w:color w:val="auto"/>
        </w:rPr>
      </w:pPr>
    </w:p>
    <w:p>
      <w:pPr>
        <w:ind w:left="584" w:right="360"/>
        <w:spacing w:after="0" w:line="266" w:lineRule="auto"/>
        <w:rPr>
          <w:rFonts w:ascii="Arial" w:cs="Arial" w:eastAsia="Arial" w:hAnsi="Arial"/>
          <w:sz w:val="19"/>
          <w:szCs w:val="19"/>
          <w:color w:val="auto"/>
        </w:rPr>
      </w:pPr>
      <w:r>
        <w:rPr>
          <w:rFonts w:ascii="Arial" w:cs="Arial" w:eastAsia="Arial" w:hAnsi="Arial"/>
          <w:sz w:val="19"/>
          <w:szCs w:val="19"/>
          <w:color w:val="auto"/>
        </w:rPr>
        <w:t>The Compensation Committee shall review the Claimant’s claim (including any documents, records or other information submitted with such claim) and determine whether such claim shall be approved or denied in accordance with the Plan.</w:t>
      </w:r>
    </w:p>
    <w:p>
      <w:pPr>
        <w:spacing w:after="0" w:line="140" w:lineRule="exact"/>
        <w:rPr>
          <w:rFonts w:ascii="Arial" w:cs="Arial" w:eastAsia="Arial" w:hAnsi="Arial"/>
          <w:sz w:val="19"/>
          <w:szCs w:val="19"/>
          <w:color w:val="auto"/>
        </w:rPr>
      </w:pPr>
    </w:p>
    <w:p>
      <w:pPr>
        <w:ind w:left="584" w:right="20"/>
        <w:spacing w:after="0" w:line="243" w:lineRule="auto"/>
        <w:rPr>
          <w:rFonts w:ascii="Arial" w:cs="Arial" w:eastAsia="Arial" w:hAnsi="Arial"/>
          <w:sz w:val="19"/>
          <w:szCs w:val="19"/>
          <w:color w:val="auto"/>
        </w:rPr>
      </w:pPr>
      <w:r>
        <w:rPr>
          <w:rFonts w:ascii="Arial" w:cs="Arial" w:eastAsia="Arial" w:hAnsi="Arial"/>
          <w:sz w:val="19"/>
          <w:szCs w:val="19"/>
          <w:color w:val="auto"/>
        </w:rPr>
        <w:t>Upon receipt of a claim, the Compensation Committee shall advise the Claimant that a claim decision shall be forthcoming within 90 days and shall, in fact, deliver such claim decision within such period. The Compensation Committee may, however, extend the claim decision period for an additional 90 days for special circumstances. If the Compensation Committee extends the claim decision period, the Compensation Committee shall provide the Claimant with written notice of such extension prior to the end of the initial 90 day period. The extension notice shall indicate the special circumstances requiring the extension of time and the date by which the Compensation Committee expects to render a claim decision.</w:t>
      </w:r>
    </w:p>
    <w:p>
      <w:pPr>
        <w:spacing w:after="0" w:line="162" w:lineRule="exact"/>
        <w:rPr>
          <w:rFonts w:ascii="Arial" w:cs="Arial" w:eastAsia="Arial" w:hAnsi="Arial"/>
          <w:sz w:val="19"/>
          <w:szCs w:val="19"/>
          <w:color w:val="auto"/>
        </w:rPr>
      </w:pPr>
    </w:p>
    <w:p>
      <w:pPr>
        <w:ind w:left="584"/>
        <w:spacing w:after="0" w:line="259" w:lineRule="auto"/>
        <w:rPr>
          <w:rFonts w:ascii="Arial" w:cs="Arial" w:eastAsia="Arial" w:hAnsi="Arial"/>
          <w:sz w:val="19"/>
          <w:szCs w:val="19"/>
          <w:color w:val="auto"/>
        </w:rPr>
      </w:pPr>
      <w:r>
        <w:rPr>
          <w:rFonts w:ascii="Arial" w:cs="Arial" w:eastAsia="Arial" w:hAnsi="Arial"/>
          <w:sz w:val="18"/>
          <w:szCs w:val="18"/>
          <w:color w:val="auto"/>
        </w:rPr>
        <w:t>If the claim is denied in whole or in part, the Compensation Committee shall inform the Claimant in writing, using language calculated to be understood by the Claimant, setting forth: (i) the specified reason or reasons for such denial; (ii) references to the specific provisions of this Plan on which such denial is based; (iii) a description of any additional material or information necessary for the Claimant to perfect his claim and an explanation of why such material or such information is necessary; and (iv) a description of the Plan’s procedures for review and the time limits applicable to such procedures, including a statement of the Claimant’s right to bring a civil action under Section 502(a) of ERISA following a denial of the review of the denial of the claim.</w:t>
      </w:r>
    </w:p>
    <w:p>
      <w:pPr>
        <w:spacing w:after="0" w:line="149" w:lineRule="exact"/>
        <w:rPr>
          <w:rFonts w:ascii="Arial" w:cs="Arial" w:eastAsia="Arial" w:hAnsi="Arial"/>
          <w:sz w:val="19"/>
          <w:szCs w:val="19"/>
          <w:color w:val="auto"/>
        </w:rPr>
      </w:pPr>
    </w:p>
    <w:p>
      <w:pPr>
        <w:ind w:left="584" w:right="100"/>
        <w:spacing w:after="0" w:line="272" w:lineRule="auto"/>
        <w:rPr>
          <w:rFonts w:ascii="Arial" w:cs="Arial" w:eastAsia="Arial" w:hAnsi="Arial"/>
          <w:sz w:val="19"/>
          <w:szCs w:val="19"/>
          <w:color w:val="auto"/>
        </w:rPr>
      </w:pPr>
      <w:r>
        <w:rPr>
          <w:rFonts w:ascii="Arial" w:cs="Arial" w:eastAsia="Arial" w:hAnsi="Arial"/>
          <w:sz w:val="18"/>
          <w:szCs w:val="18"/>
          <w:color w:val="auto"/>
        </w:rPr>
        <w:t>The Claimant may request a review of any denial of the claim in writing to the Compensation Committee within 60 days after receipt of the Compensation Committee’s notice of denial of claim. The Claimant’s failure to appeal the denial of the claim by the Compensation Committee in writing within the 60 day period shall render the Compensation Committee’s determination final, binding, and conclusive.</w:t>
      </w:r>
    </w:p>
    <w:p>
      <w:pPr>
        <w:spacing w:after="0" w:line="131" w:lineRule="exact"/>
        <w:rPr>
          <w:rFonts w:ascii="Arial" w:cs="Arial" w:eastAsia="Arial" w:hAnsi="Arial"/>
          <w:sz w:val="19"/>
          <w:szCs w:val="19"/>
          <w:color w:val="auto"/>
        </w:rPr>
      </w:pPr>
    </w:p>
    <w:p>
      <w:pPr>
        <w:ind w:left="584" w:hanging="296"/>
        <w:spacing w:after="0"/>
        <w:tabs>
          <w:tab w:leader="none" w:pos="584" w:val="left"/>
        </w:tabs>
        <w:numPr>
          <w:ilvl w:val="1"/>
          <w:numId w:val="66"/>
        </w:numPr>
        <w:rPr>
          <w:rFonts w:ascii="Arial" w:cs="Arial" w:eastAsia="Arial" w:hAnsi="Arial"/>
          <w:sz w:val="19"/>
          <w:szCs w:val="19"/>
          <w:color w:val="auto"/>
        </w:rPr>
      </w:pPr>
      <w:r>
        <w:rPr>
          <w:rFonts w:ascii="Arial" w:cs="Arial" w:eastAsia="Arial" w:hAnsi="Arial"/>
          <w:sz w:val="19"/>
          <w:szCs w:val="19"/>
          <w:b w:val="1"/>
          <w:bCs w:val="1"/>
          <w:color w:val="auto"/>
        </w:rPr>
        <w:t>Request for Review</w:t>
      </w:r>
    </w:p>
    <w:p>
      <w:pPr>
        <w:spacing w:after="0" w:line="195" w:lineRule="exact"/>
        <w:rPr>
          <w:rFonts w:ascii="Arial" w:cs="Arial" w:eastAsia="Arial" w:hAnsi="Arial"/>
          <w:sz w:val="19"/>
          <w:szCs w:val="19"/>
          <w:color w:val="auto"/>
        </w:rPr>
      </w:pPr>
    </w:p>
    <w:p>
      <w:pPr>
        <w:ind w:left="584" w:right="180"/>
        <w:spacing w:after="0" w:line="252" w:lineRule="auto"/>
        <w:rPr>
          <w:rFonts w:ascii="Arial" w:cs="Arial" w:eastAsia="Arial" w:hAnsi="Arial"/>
          <w:sz w:val="19"/>
          <w:szCs w:val="19"/>
          <w:color w:val="auto"/>
        </w:rPr>
      </w:pPr>
      <w:r>
        <w:rPr>
          <w:rFonts w:ascii="Arial" w:cs="Arial" w:eastAsia="Arial" w:hAnsi="Arial"/>
          <w:sz w:val="19"/>
          <w:szCs w:val="19"/>
          <w:color w:val="auto"/>
        </w:rPr>
        <w:t>With 60 days after the receipt by the Claimant of the denial of the claim described above, the Claimant may request in writing a review the determination of the Compensation Committee. Such review shall be completed by the Compensation Committee. Such request must be addressed to the Compensation Committee of Sempra Energy, at its then principal place of business.</w:t>
      </w:r>
    </w:p>
    <w:p>
      <w:pPr>
        <w:spacing w:after="0" w:line="152" w:lineRule="exact"/>
        <w:rPr>
          <w:rFonts w:ascii="Arial" w:cs="Arial" w:eastAsia="Arial" w:hAnsi="Arial"/>
          <w:sz w:val="19"/>
          <w:szCs w:val="19"/>
          <w:color w:val="auto"/>
        </w:rPr>
      </w:pPr>
    </w:p>
    <w:p>
      <w:pPr>
        <w:ind w:left="584" w:right="20"/>
        <w:spacing w:after="0" w:line="259" w:lineRule="auto"/>
        <w:rPr>
          <w:rFonts w:ascii="Arial" w:cs="Arial" w:eastAsia="Arial" w:hAnsi="Arial"/>
          <w:sz w:val="19"/>
          <w:szCs w:val="19"/>
          <w:color w:val="auto"/>
        </w:rPr>
      </w:pPr>
      <w:r>
        <w:rPr>
          <w:rFonts w:ascii="Arial" w:cs="Arial" w:eastAsia="Arial" w:hAnsi="Arial"/>
          <w:sz w:val="18"/>
          <w:szCs w:val="18"/>
          <w:color w:val="auto"/>
        </w:rPr>
        <w:t>The Claimant shall be afforded the opportunity to submit written comments, documents, records, and other information relating to the claim, and the Claimant shall be provided, upon request and free of charge, reasonable access to all documents, records, and other information relevant to the Claimant’s claim. A document, record or other information shall be considered “relevant” to the claim, as provided in Department of Labor Regulation Section 2560.503-1(m)(8). The review by the Compensation Committee shall take into account all comments, documents, records, and other information submitted by the Claimant, without regard to whether such information was submitted or considered in the Compensation Committee’s initial determination with respect to the claim.</w:t>
      </w:r>
    </w:p>
    <w:p>
      <w:pPr>
        <w:spacing w:after="0" w:line="149" w:lineRule="exact"/>
        <w:rPr>
          <w:rFonts w:ascii="Arial" w:cs="Arial" w:eastAsia="Arial" w:hAnsi="Arial"/>
          <w:sz w:val="19"/>
          <w:szCs w:val="19"/>
          <w:color w:val="auto"/>
        </w:rPr>
      </w:pPr>
    </w:p>
    <w:p>
      <w:pPr>
        <w:ind w:left="584" w:right="20"/>
        <w:spacing w:after="0" w:line="242" w:lineRule="auto"/>
        <w:rPr>
          <w:rFonts w:ascii="Arial" w:cs="Arial" w:eastAsia="Arial" w:hAnsi="Arial"/>
          <w:sz w:val="19"/>
          <w:szCs w:val="19"/>
          <w:color w:val="auto"/>
        </w:rPr>
      </w:pPr>
      <w:r>
        <w:rPr>
          <w:rFonts w:ascii="Arial" w:cs="Arial" w:eastAsia="Arial" w:hAnsi="Arial"/>
          <w:sz w:val="19"/>
          <w:szCs w:val="19"/>
          <w:color w:val="auto"/>
        </w:rPr>
        <w:t>The Compensation Committee shall advise the Claimant in writing of the Compensation Committee’s determination of the review within 60 days of the Claimant’s written request for review, unless special circumstances (such as a hearing) would make the rendering of a determination within the 60 day period infeasible, but in no event shall the Compensation Committee render a determination regarding the denial of a claim later than 120 days after its receipt of a request for review. If an extension of time for review is required because of special circumstances, written notice of the extension shall be furnished to the Claimant prior to the date the extension period commences. The extension notice shall indicate the special circumstances requiring the extension of time and the date by which the Compensation Committee expects to render a review decision.</w:t>
      </w:r>
    </w:p>
    <w:p>
      <w:pPr>
        <w:spacing w:after="0" w:line="145" w:lineRule="exact"/>
        <w:rPr>
          <w:rFonts w:ascii="Arial" w:cs="Arial" w:eastAsia="Arial" w:hAnsi="Arial"/>
          <w:sz w:val="19"/>
          <w:szCs w:val="19"/>
          <w:color w:val="auto"/>
        </w:rPr>
      </w:pPr>
    </w:p>
    <w:p>
      <w:pPr>
        <w:ind w:left="584" w:hanging="296"/>
        <w:spacing w:after="0"/>
        <w:tabs>
          <w:tab w:leader="none" w:pos="584" w:val="left"/>
        </w:tabs>
        <w:numPr>
          <w:ilvl w:val="1"/>
          <w:numId w:val="66"/>
        </w:numPr>
        <w:rPr>
          <w:rFonts w:ascii="Arial" w:cs="Arial" w:eastAsia="Arial" w:hAnsi="Arial"/>
          <w:sz w:val="19"/>
          <w:szCs w:val="19"/>
          <w:color w:val="auto"/>
        </w:rPr>
      </w:pPr>
      <w:r>
        <w:rPr>
          <w:rFonts w:ascii="Arial" w:cs="Arial" w:eastAsia="Arial" w:hAnsi="Arial"/>
          <w:sz w:val="19"/>
          <w:szCs w:val="19"/>
          <w:b w:val="1"/>
          <w:bCs w:val="1"/>
          <w:color w:val="auto"/>
        </w:rPr>
        <w:t>Review of Decision</w:t>
      </w:r>
    </w:p>
    <w:p>
      <w:pPr>
        <w:spacing w:after="0" w:line="195" w:lineRule="exact"/>
        <w:rPr>
          <w:rFonts w:ascii="Arial" w:cs="Arial" w:eastAsia="Arial" w:hAnsi="Arial"/>
          <w:sz w:val="19"/>
          <w:szCs w:val="19"/>
          <w:color w:val="auto"/>
        </w:rPr>
      </w:pPr>
    </w:p>
    <w:p>
      <w:pPr>
        <w:ind w:left="584" w:right="220"/>
        <w:spacing w:after="0" w:line="326" w:lineRule="auto"/>
        <w:rPr>
          <w:rFonts w:ascii="Arial" w:cs="Arial" w:eastAsia="Arial" w:hAnsi="Arial"/>
          <w:sz w:val="19"/>
          <w:szCs w:val="19"/>
          <w:color w:val="auto"/>
        </w:rPr>
      </w:pPr>
      <w:r>
        <w:rPr>
          <w:rFonts w:ascii="Arial" w:cs="Arial" w:eastAsia="Arial" w:hAnsi="Arial"/>
          <w:sz w:val="17"/>
          <w:szCs w:val="17"/>
          <w:color w:val="auto"/>
        </w:rPr>
        <w:t>The Compensation Committee shall inform the Claimant in writing, in a manner calculated to be understood by the Claimant, the decision on the review of the denial of the claim, setting forth: (i) the specific reasons for the decision, (ii) if the claim is denied, reference to the</w:t>
      </w:r>
    </w:p>
    <w:p>
      <w:pPr>
        <w:sectPr>
          <w:pgSz w:w="11900" w:h="16853" w:orient="portrait"/>
          <w:cols w:equalWidth="0" w:num="1">
            <w:col w:w="11424"/>
          </w:cols>
          <w:pgMar w:left="236" w:top="120" w:right="239" w:bottom="0" w:gutter="0" w:footer="0" w:header="0"/>
        </w:sectPr>
      </w:pPr>
    </w:p>
    <w:bookmarkStart w:id="75" w:name="page76"/>
    <w:bookmarkEnd w:id="75"/>
    <w:p>
      <w:pPr>
        <w:ind w:left="584" w:right="140"/>
        <w:spacing w:after="0" w:line="286" w:lineRule="auto"/>
        <w:rPr>
          <w:sz w:val="20"/>
          <w:szCs w:val="20"/>
          <w:color w:val="auto"/>
        </w:rPr>
      </w:pPr>
      <w:r>
        <w:rPr>
          <w:rFonts w:ascii="Arial" w:cs="Arial" w:eastAsia="Arial" w:hAnsi="Arial"/>
          <w:sz w:val="17"/>
          <w:szCs w:val="17"/>
          <w:color w:val="auto"/>
        </w:rPr>
        <w:t>specific Plan provisions on which the denial of the claim is based; (iii) a statement that the Claimant is entitled to receive, upon request and free of charge, reasonable access to, and copies of, all documents, records and other information relevant to the Claimant’s claim (and a document, record or other information shall be considered “relevant” to the benefits claim, as provided in Department of Labor Regulation Section 2560.503-1(m)(8)); and (iv) a statement describing Claimant’s right to bring an action under Section 502(a) of ERISA.</w:t>
      </w:r>
    </w:p>
    <w:p>
      <w:pPr>
        <w:spacing w:after="0" w:line="108" w:lineRule="exact"/>
        <w:rPr>
          <w:sz w:val="20"/>
          <w:szCs w:val="20"/>
          <w:color w:val="auto"/>
        </w:rPr>
      </w:pPr>
    </w:p>
    <w:p>
      <w:pPr>
        <w:ind w:left="284" w:hanging="284"/>
        <w:spacing w:after="0"/>
        <w:tabs>
          <w:tab w:leader="none" w:pos="284" w:val="left"/>
        </w:tabs>
        <w:numPr>
          <w:ilvl w:val="0"/>
          <w:numId w:val="67"/>
        </w:numPr>
        <w:rPr>
          <w:rFonts w:ascii="Arial" w:cs="Arial" w:eastAsia="Arial" w:hAnsi="Arial"/>
          <w:sz w:val="19"/>
          <w:szCs w:val="19"/>
          <w:b w:val="1"/>
          <w:bCs w:val="1"/>
          <w:color w:val="auto"/>
        </w:rPr>
      </w:pPr>
      <w:r>
        <w:rPr>
          <w:rFonts w:ascii="Arial" w:cs="Arial" w:eastAsia="Arial" w:hAnsi="Arial"/>
          <w:sz w:val="19"/>
          <w:szCs w:val="19"/>
          <w:b w:val="1"/>
          <w:bCs w:val="1"/>
          <w:color w:val="auto"/>
        </w:rPr>
        <w:t>MISCELLANEOUS</w:t>
      </w:r>
    </w:p>
    <w:p>
      <w:pPr>
        <w:spacing w:after="0" w:line="189" w:lineRule="exact"/>
        <w:rPr>
          <w:rFonts w:ascii="Arial" w:cs="Arial" w:eastAsia="Arial" w:hAnsi="Arial"/>
          <w:sz w:val="19"/>
          <w:szCs w:val="19"/>
          <w:b w:val="1"/>
          <w:bCs w:val="1"/>
          <w:color w:val="auto"/>
        </w:rPr>
      </w:pPr>
    </w:p>
    <w:p>
      <w:pPr>
        <w:ind w:left="584" w:hanging="296"/>
        <w:spacing w:after="0"/>
        <w:tabs>
          <w:tab w:leader="none" w:pos="584" w:val="left"/>
        </w:tabs>
        <w:numPr>
          <w:ilvl w:val="1"/>
          <w:numId w:val="67"/>
        </w:numPr>
        <w:rPr>
          <w:rFonts w:ascii="Arial" w:cs="Arial" w:eastAsia="Arial" w:hAnsi="Arial"/>
          <w:sz w:val="19"/>
          <w:szCs w:val="19"/>
          <w:color w:val="auto"/>
        </w:rPr>
      </w:pPr>
      <w:r>
        <w:rPr>
          <w:rFonts w:ascii="Arial" w:cs="Arial" w:eastAsia="Arial" w:hAnsi="Arial"/>
          <w:sz w:val="19"/>
          <w:szCs w:val="19"/>
          <w:b w:val="1"/>
          <w:bCs w:val="1"/>
          <w:color w:val="auto"/>
        </w:rPr>
        <w:t>Unsecured General Creditor</w:t>
      </w:r>
    </w:p>
    <w:p>
      <w:pPr>
        <w:spacing w:after="0" w:line="195" w:lineRule="exact"/>
        <w:rPr>
          <w:rFonts w:ascii="Arial" w:cs="Arial" w:eastAsia="Arial" w:hAnsi="Arial"/>
          <w:sz w:val="19"/>
          <w:szCs w:val="19"/>
          <w:color w:val="auto"/>
        </w:rPr>
      </w:pPr>
    </w:p>
    <w:p>
      <w:pPr>
        <w:ind w:left="584" w:right="100"/>
        <w:spacing w:after="0" w:line="277" w:lineRule="auto"/>
        <w:rPr>
          <w:rFonts w:ascii="Arial" w:cs="Arial" w:eastAsia="Arial" w:hAnsi="Arial"/>
          <w:sz w:val="19"/>
          <w:szCs w:val="19"/>
          <w:color w:val="auto"/>
        </w:rPr>
      </w:pPr>
      <w:r>
        <w:rPr>
          <w:rFonts w:ascii="Arial" w:cs="Arial" w:eastAsia="Arial" w:hAnsi="Arial"/>
          <w:sz w:val="17"/>
          <w:szCs w:val="17"/>
          <w:color w:val="auto"/>
        </w:rPr>
        <w:t>Participants and their beneficiaries, heirs, successors, and assigns shall have no legal or equitable rights, claims, or interest in any specific property or assets of the Company. No assets of the Company shall be held in any way as collateral security for the fulfilling of the obligations of the Company under this Plan. Any and all of the Company’s assets shall be, and remain, the general unpledged, unrestricted assets of the Company. The Company’s obligation under the Plan shall be merely that of an unfunded and unsecured promise of the Company to pay money in the future, and the rights of the Participants and Beneficiaries shall be no greater than those of unsecured general creditors. It is the intention of the Company that this Plan be unfunded for purposes of the Code and Title I of ERISA.</w:t>
      </w:r>
    </w:p>
    <w:p>
      <w:pPr>
        <w:spacing w:after="0" w:line="117" w:lineRule="exact"/>
        <w:rPr>
          <w:rFonts w:ascii="Arial" w:cs="Arial" w:eastAsia="Arial" w:hAnsi="Arial"/>
          <w:sz w:val="19"/>
          <w:szCs w:val="19"/>
          <w:color w:val="auto"/>
        </w:rPr>
      </w:pPr>
    </w:p>
    <w:p>
      <w:pPr>
        <w:ind w:left="584" w:hanging="296"/>
        <w:spacing w:after="0"/>
        <w:tabs>
          <w:tab w:leader="none" w:pos="584" w:val="left"/>
        </w:tabs>
        <w:numPr>
          <w:ilvl w:val="1"/>
          <w:numId w:val="67"/>
        </w:numPr>
        <w:rPr>
          <w:rFonts w:ascii="Arial" w:cs="Arial" w:eastAsia="Arial" w:hAnsi="Arial"/>
          <w:sz w:val="19"/>
          <w:szCs w:val="19"/>
          <w:color w:val="auto"/>
        </w:rPr>
      </w:pPr>
      <w:r>
        <w:rPr>
          <w:rFonts w:ascii="Arial" w:cs="Arial" w:eastAsia="Arial" w:hAnsi="Arial"/>
          <w:sz w:val="19"/>
          <w:szCs w:val="19"/>
          <w:b w:val="1"/>
          <w:bCs w:val="1"/>
          <w:color w:val="auto"/>
        </w:rPr>
        <w:t>Restriction Against Assignment</w:t>
      </w:r>
    </w:p>
    <w:p>
      <w:pPr>
        <w:spacing w:after="0" w:line="195" w:lineRule="exact"/>
        <w:rPr>
          <w:rFonts w:ascii="Arial" w:cs="Arial" w:eastAsia="Arial" w:hAnsi="Arial"/>
          <w:sz w:val="19"/>
          <w:szCs w:val="19"/>
          <w:color w:val="auto"/>
        </w:rPr>
      </w:pPr>
    </w:p>
    <w:p>
      <w:pPr>
        <w:ind w:left="584" w:right="60"/>
        <w:spacing w:after="0" w:line="275" w:lineRule="auto"/>
        <w:rPr>
          <w:rFonts w:ascii="Arial" w:cs="Arial" w:eastAsia="Arial" w:hAnsi="Arial"/>
          <w:sz w:val="19"/>
          <w:szCs w:val="19"/>
          <w:color w:val="auto"/>
        </w:rPr>
      </w:pPr>
      <w:r>
        <w:rPr>
          <w:rFonts w:ascii="Arial" w:cs="Arial" w:eastAsia="Arial" w:hAnsi="Arial"/>
          <w:sz w:val="17"/>
          <w:szCs w:val="17"/>
          <w:color w:val="auto"/>
        </w:rPr>
        <w:t>The Company shall pay all amounts payable hereunder only to the person or persons designated by the Plan and not to any other person or entity. No right, title or interest in the Plan or in any account may be sold, pledged, assigned or transferred in any manner other than by will or the laws of descent and distribution. No right, title or interest in the Plan or in any benefit under the Plan shall be liable for the debts, contracts or engagements of the Participant or his successors in interest or shall be subject to disposition by transfer, alienation, anticipation, pledge, encumbrance, assignment or any other means whether such disposition be voluntary or involuntary or by operation of law by judgment, levy, attachment, garnishment or any other legal or equitable proceedings (including bankruptcy), and any attempted disposition thereof shall be null and void and of no effect, except to the extent that such disposition is permitted by the preceding sentence.</w:t>
      </w:r>
    </w:p>
    <w:p>
      <w:pPr>
        <w:spacing w:after="0" w:line="137" w:lineRule="exact"/>
        <w:rPr>
          <w:rFonts w:ascii="Arial" w:cs="Arial" w:eastAsia="Arial" w:hAnsi="Arial"/>
          <w:sz w:val="19"/>
          <w:szCs w:val="19"/>
          <w:color w:val="auto"/>
        </w:rPr>
      </w:pPr>
    </w:p>
    <w:p>
      <w:pPr>
        <w:ind w:left="584" w:right="200"/>
        <w:spacing w:after="0" w:line="266" w:lineRule="auto"/>
        <w:rPr>
          <w:rFonts w:ascii="Arial" w:cs="Arial" w:eastAsia="Arial" w:hAnsi="Arial"/>
          <w:sz w:val="19"/>
          <w:szCs w:val="19"/>
          <w:color w:val="auto"/>
        </w:rPr>
      </w:pPr>
      <w:r>
        <w:rPr>
          <w:rFonts w:ascii="Arial" w:cs="Arial" w:eastAsia="Arial" w:hAnsi="Arial"/>
          <w:sz w:val="19"/>
          <w:szCs w:val="19"/>
          <w:color w:val="auto"/>
        </w:rPr>
        <w:t>Notwithstanding the provisions of this subsection (B), a Participant’s benefit may be transferred pursuant to a domestic relations order that constitutes a “qualified domestic relations order” as defined by the Code or Title I of ERISA.</w:t>
      </w:r>
    </w:p>
    <w:p>
      <w:pPr>
        <w:spacing w:after="0" w:line="122" w:lineRule="exact"/>
        <w:rPr>
          <w:rFonts w:ascii="Arial" w:cs="Arial" w:eastAsia="Arial" w:hAnsi="Arial"/>
          <w:sz w:val="19"/>
          <w:szCs w:val="19"/>
          <w:color w:val="auto"/>
        </w:rPr>
      </w:pPr>
    </w:p>
    <w:p>
      <w:pPr>
        <w:ind w:left="584" w:hanging="296"/>
        <w:spacing w:after="0"/>
        <w:tabs>
          <w:tab w:leader="none" w:pos="584" w:val="left"/>
        </w:tabs>
        <w:numPr>
          <w:ilvl w:val="1"/>
          <w:numId w:val="67"/>
        </w:numPr>
        <w:rPr>
          <w:rFonts w:ascii="Arial" w:cs="Arial" w:eastAsia="Arial" w:hAnsi="Arial"/>
          <w:sz w:val="19"/>
          <w:szCs w:val="19"/>
          <w:color w:val="auto"/>
        </w:rPr>
      </w:pPr>
      <w:r>
        <w:rPr>
          <w:rFonts w:ascii="Arial" w:cs="Arial" w:eastAsia="Arial" w:hAnsi="Arial"/>
          <w:sz w:val="19"/>
          <w:szCs w:val="19"/>
          <w:b w:val="1"/>
          <w:bCs w:val="1"/>
          <w:color w:val="auto"/>
        </w:rPr>
        <w:t>Withholding</w:t>
      </w:r>
    </w:p>
    <w:p>
      <w:pPr>
        <w:spacing w:after="0" w:line="195" w:lineRule="exact"/>
        <w:rPr>
          <w:rFonts w:ascii="Arial" w:cs="Arial" w:eastAsia="Arial" w:hAnsi="Arial"/>
          <w:sz w:val="19"/>
          <w:szCs w:val="19"/>
          <w:color w:val="auto"/>
        </w:rPr>
      </w:pPr>
    </w:p>
    <w:p>
      <w:pPr>
        <w:ind w:left="584"/>
        <w:spacing w:after="0" w:line="252" w:lineRule="auto"/>
        <w:rPr>
          <w:rFonts w:ascii="Arial" w:cs="Arial" w:eastAsia="Arial" w:hAnsi="Arial"/>
          <w:sz w:val="19"/>
          <w:szCs w:val="19"/>
          <w:color w:val="auto"/>
        </w:rPr>
      </w:pPr>
      <w:r>
        <w:rPr>
          <w:rFonts w:ascii="Arial" w:cs="Arial" w:eastAsia="Arial" w:hAnsi="Arial"/>
          <w:sz w:val="19"/>
          <w:szCs w:val="19"/>
          <w:color w:val="auto"/>
        </w:rPr>
        <w:t>There shall be deducted from each payment made under the Plan payable to the Participant (or beneficiary) all taxes which are required to be withheld by the Company in respect to such payment or this Plan. The Company shall have the right to reduce any payment (or compensation) by the amount of such of cash sufficient to provide the amount of said taxes.</w:t>
      </w:r>
    </w:p>
    <w:p>
      <w:pPr>
        <w:spacing w:after="0" w:line="146" w:lineRule="exact"/>
        <w:rPr>
          <w:rFonts w:ascii="Arial" w:cs="Arial" w:eastAsia="Arial" w:hAnsi="Arial"/>
          <w:sz w:val="19"/>
          <w:szCs w:val="19"/>
          <w:color w:val="auto"/>
        </w:rPr>
      </w:pPr>
    </w:p>
    <w:p>
      <w:pPr>
        <w:ind w:left="584" w:hanging="296"/>
        <w:spacing w:after="0"/>
        <w:tabs>
          <w:tab w:leader="none" w:pos="584" w:val="left"/>
        </w:tabs>
        <w:numPr>
          <w:ilvl w:val="1"/>
          <w:numId w:val="67"/>
        </w:numPr>
        <w:rPr>
          <w:rFonts w:ascii="Arial" w:cs="Arial" w:eastAsia="Arial" w:hAnsi="Arial"/>
          <w:sz w:val="19"/>
          <w:szCs w:val="19"/>
          <w:color w:val="auto"/>
        </w:rPr>
      </w:pPr>
      <w:r>
        <w:rPr>
          <w:rFonts w:ascii="Arial" w:cs="Arial" w:eastAsia="Arial" w:hAnsi="Arial"/>
          <w:sz w:val="19"/>
          <w:szCs w:val="19"/>
          <w:b w:val="1"/>
          <w:bCs w:val="1"/>
          <w:color w:val="auto"/>
        </w:rPr>
        <w:t>Governing Law</w:t>
      </w:r>
    </w:p>
    <w:p>
      <w:pPr>
        <w:spacing w:after="0" w:line="195" w:lineRule="exact"/>
        <w:rPr>
          <w:rFonts w:ascii="Arial" w:cs="Arial" w:eastAsia="Arial" w:hAnsi="Arial"/>
          <w:sz w:val="19"/>
          <w:szCs w:val="19"/>
          <w:color w:val="auto"/>
        </w:rPr>
      </w:pPr>
    </w:p>
    <w:p>
      <w:pPr>
        <w:ind w:left="584" w:right="20"/>
        <w:spacing w:after="0" w:line="266" w:lineRule="auto"/>
        <w:rPr>
          <w:rFonts w:ascii="Arial" w:cs="Arial" w:eastAsia="Arial" w:hAnsi="Arial"/>
          <w:sz w:val="19"/>
          <w:szCs w:val="19"/>
          <w:color w:val="auto"/>
        </w:rPr>
      </w:pPr>
      <w:r>
        <w:rPr>
          <w:rFonts w:ascii="Arial" w:cs="Arial" w:eastAsia="Arial" w:hAnsi="Arial"/>
          <w:sz w:val="19"/>
          <w:szCs w:val="19"/>
          <w:color w:val="auto"/>
        </w:rPr>
        <w:t>This Plan shall be construed, governed and administered in accordance with the ERISA and, to the extent not preempted by ERISA, the laws of the State of California (without regard to the conflicts of laws principles thereof).</w:t>
      </w:r>
    </w:p>
    <w:p>
      <w:pPr>
        <w:spacing w:after="0" w:line="122" w:lineRule="exact"/>
        <w:rPr>
          <w:rFonts w:ascii="Arial" w:cs="Arial" w:eastAsia="Arial" w:hAnsi="Arial"/>
          <w:sz w:val="19"/>
          <w:szCs w:val="19"/>
          <w:color w:val="auto"/>
        </w:rPr>
      </w:pPr>
    </w:p>
    <w:p>
      <w:pPr>
        <w:ind w:left="584" w:hanging="296"/>
        <w:spacing w:after="0"/>
        <w:tabs>
          <w:tab w:leader="none" w:pos="584" w:val="left"/>
        </w:tabs>
        <w:numPr>
          <w:ilvl w:val="1"/>
          <w:numId w:val="67"/>
        </w:numPr>
        <w:rPr>
          <w:rFonts w:ascii="Arial" w:cs="Arial" w:eastAsia="Arial" w:hAnsi="Arial"/>
          <w:sz w:val="19"/>
          <w:szCs w:val="19"/>
          <w:color w:val="auto"/>
        </w:rPr>
      </w:pPr>
      <w:r>
        <w:rPr>
          <w:rFonts w:ascii="Arial" w:cs="Arial" w:eastAsia="Arial" w:hAnsi="Arial"/>
          <w:sz w:val="19"/>
          <w:szCs w:val="19"/>
          <w:b w:val="1"/>
          <w:bCs w:val="1"/>
          <w:color w:val="auto"/>
        </w:rPr>
        <w:t>Receipt of Release</w:t>
      </w:r>
    </w:p>
    <w:p>
      <w:pPr>
        <w:spacing w:after="0" w:line="195" w:lineRule="exact"/>
        <w:rPr>
          <w:rFonts w:ascii="Arial" w:cs="Arial" w:eastAsia="Arial" w:hAnsi="Arial"/>
          <w:sz w:val="19"/>
          <w:szCs w:val="19"/>
          <w:color w:val="auto"/>
        </w:rPr>
      </w:pPr>
    </w:p>
    <w:p>
      <w:pPr>
        <w:ind w:left="584" w:right="140"/>
        <w:spacing w:after="0" w:line="247" w:lineRule="auto"/>
        <w:rPr>
          <w:rFonts w:ascii="Arial" w:cs="Arial" w:eastAsia="Arial" w:hAnsi="Arial"/>
          <w:sz w:val="19"/>
          <w:szCs w:val="19"/>
          <w:color w:val="auto"/>
        </w:rPr>
      </w:pPr>
      <w:r>
        <w:rPr>
          <w:rFonts w:ascii="Arial" w:cs="Arial" w:eastAsia="Arial" w:hAnsi="Arial"/>
          <w:sz w:val="19"/>
          <w:szCs w:val="19"/>
          <w:color w:val="auto"/>
        </w:rPr>
        <w:t>Any payment to a Participant or the Participant’s beneficiary in accordance with the provisions of the Plan shall, to the extent thereof, be in full satisfaction of all claims against the Compensation Committee and the Company. The Committee may require such Participant or Beneficiary, as a condition precedent to such payment, to execute a receipt and release to such effect prior to the payment date specified under the Plan.</w:t>
      </w:r>
    </w:p>
    <w:p>
      <w:pPr>
        <w:spacing w:after="0" w:line="139" w:lineRule="exact"/>
        <w:rPr>
          <w:rFonts w:ascii="Arial" w:cs="Arial" w:eastAsia="Arial" w:hAnsi="Arial"/>
          <w:sz w:val="19"/>
          <w:szCs w:val="19"/>
          <w:color w:val="auto"/>
        </w:rPr>
      </w:pPr>
    </w:p>
    <w:p>
      <w:pPr>
        <w:ind w:left="584" w:hanging="296"/>
        <w:spacing w:after="0"/>
        <w:tabs>
          <w:tab w:leader="none" w:pos="584" w:val="left"/>
        </w:tabs>
        <w:numPr>
          <w:ilvl w:val="1"/>
          <w:numId w:val="67"/>
        </w:numPr>
        <w:rPr>
          <w:rFonts w:ascii="Arial" w:cs="Arial" w:eastAsia="Arial" w:hAnsi="Arial"/>
          <w:sz w:val="19"/>
          <w:szCs w:val="19"/>
          <w:color w:val="auto"/>
        </w:rPr>
      </w:pPr>
      <w:r>
        <w:rPr>
          <w:rFonts w:ascii="Arial" w:cs="Arial" w:eastAsia="Arial" w:hAnsi="Arial"/>
          <w:sz w:val="19"/>
          <w:szCs w:val="19"/>
          <w:b w:val="1"/>
          <w:bCs w:val="1"/>
          <w:color w:val="auto"/>
        </w:rPr>
        <w:t>Payments on Behalf of Persons Under Incapacity</w:t>
      </w:r>
    </w:p>
    <w:p>
      <w:pPr>
        <w:spacing w:after="0" w:line="195" w:lineRule="exact"/>
        <w:rPr>
          <w:rFonts w:ascii="Arial" w:cs="Arial" w:eastAsia="Arial" w:hAnsi="Arial"/>
          <w:sz w:val="19"/>
          <w:szCs w:val="19"/>
          <w:color w:val="auto"/>
        </w:rPr>
      </w:pPr>
    </w:p>
    <w:p>
      <w:pPr>
        <w:ind w:left="584" w:right="80"/>
        <w:spacing w:after="0" w:line="244" w:lineRule="auto"/>
        <w:rPr>
          <w:rFonts w:ascii="Arial" w:cs="Arial" w:eastAsia="Arial" w:hAnsi="Arial"/>
          <w:sz w:val="19"/>
          <w:szCs w:val="19"/>
          <w:color w:val="auto"/>
        </w:rPr>
      </w:pPr>
      <w:r>
        <w:rPr>
          <w:rFonts w:ascii="Arial" w:cs="Arial" w:eastAsia="Arial" w:hAnsi="Arial"/>
          <w:sz w:val="19"/>
          <w:szCs w:val="19"/>
          <w:color w:val="auto"/>
        </w:rPr>
        <w:t>In the event that any amount becomes payable under the Plan to a person who, in the sole judgment of the Compensation Committee, is considered by reason of physical or mental condition to be unable to give a valid receipt therefore, the Compensation Committee may direct that such payment be made to any person found by the Compensation Committee, in its sole judgment, to have assumed the care of such person. Any payment made pursuant to such termination shall constitute a full release and discharge of the Compensation Committee and the Company.</w:t>
      </w:r>
    </w:p>
    <w:p>
      <w:pPr>
        <w:spacing w:after="0" w:line="156" w:lineRule="exact"/>
        <w:rPr>
          <w:rFonts w:ascii="Arial" w:cs="Arial" w:eastAsia="Arial" w:hAnsi="Arial"/>
          <w:sz w:val="19"/>
          <w:szCs w:val="19"/>
          <w:color w:val="auto"/>
        </w:rPr>
      </w:pPr>
    </w:p>
    <w:p>
      <w:pPr>
        <w:ind w:left="584" w:hanging="296"/>
        <w:spacing w:after="0"/>
        <w:tabs>
          <w:tab w:leader="none" w:pos="584" w:val="left"/>
        </w:tabs>
        <w:numPr>
          <w:ilvl w:val="1"/>
          <w:numId w:val="67"/>
        </w:numPr>
        <w:rPr>
          <w:rFonts w:ascii="Arial" w:cs="Arial" w:eastAsia="Arial" w:hAnsi="Arial"/>
          <w:sz w:val="19"/>
          <w:szCs w:val="19"/>
          <w:color w:val="auto"/>
        </w:rPr>
      </w:pPr>
      <w:r>
        <w:rPr>
          <w:rFonts w:ascii="Arial" w:cs="Arial" w:eastAsia="Arial" w:hAnsi="Arial"/>
          <w:sz w:val="19"/>
          <w:szCs w:val="19"/>
          <w:b w:val="1"/>
          <w:bCs w:val="1"/>
          <w:color w:val="auto"/>
        </w:rPr>
        <w:t>Limitation of Rights</w:t>
      </w:r>
    </w:p>
    <w:p>
      <w:pPr>
        <w:spacing w:after="0" w:line="195" w:lineRule="exact"/>
        <w:rPr>
          <w:rFonts w:ascii="Arial" w:cs="Arial" w:eastAsia="Arial" w:hAnsi="Arial"/>
          <w:sz w:val="19"/>
          <w:szCs w:val="19"/>
          <w:color w:val="auto"/>
        </w:rPr>
      </w:pPr>
    </w:p>
    <w:p>
      <w:pPr>
        <w:ind w:left="584" w:right="120"/>
        <w:spacing w:after="0" w:line="296" w:lineRule="auto"/>
        <w:rPr>
          <w:rFonts w:ascii="Arial" w:cs="Arial" w:eastAsia="Arial" w:hAnsi="Arial"/>
          <w:sz w:val="19"/>
          <w:szCs w:val="19"/>
          <w:color w:val="auto"/>
        </w:rPr>
      </w:pPr>
      <w:r>
        <w:rPr>
          <w:rFonts w:ascii="Arial" w:cs="Arial" w:eastAsia="Arial" w:hAnsi="Arial"/>
          <w:sz w:val="17"/>
          <w:szCs w:val="17"/>
          <w:color w:val="auto"/>
        </w:rPr>
        <w:t>Neither the establishment of the Plan nor any modification thereof, nor the creating of any fund or account, nor the payment of any benefits shall be construed as giving to any Participant or other person any legal or equitable right against the Company except as provided in the Plan. In no event shall the terms of employment of any Participant be modified or in any be effected by the provisions of the Plan.</w:t>
      </w:r>
    </w:p>
    <w:p>
      <w:pPr>
        <w:spacing w:after="0" w:line="99" w:lineRule="exact"/>
        <w:rPr>
          <w:rFonts w:ascii="Arial" w:cs="Arial" w:eastAsia="Arial" w:hAnsi="Arial"/>
          <w:sz w:val="19"/>
          <w:szCs w:val="19"/>
          <w:color w:val="auto"/>
        </w:rPr>
      </w:pPr>
    </w:p>
    <w:p>
      <w:pPr>
        <w:ind w:left="584" w:hanging="296"/>
        <w:spacing w:after="0"/>
        <w:tabs>
          <w:tab w:leader="none" w:pos="584" w:val="left"/>
        </w:tabs>
        <w:numPr>
          <w:ilvl w:val="1"/>
          <w:numId w:val="67"/>
        </w:numPr>
        <w:rPr>
          <w:rFonts w:ascii="Arial" w:cs="Arial" w:eastAsia="Arial" w:hAnsi="Arial"/>
          <w:sz w:val="19"/>
          <w:szCs w:val="19"/>
          <w:color w:val="auto"/>
        </w:rPr>
      </w:pPr>
      <w:r>
        <w:rPr>
          <w:rFonts w:ascii="Arial" w:cs="Arial" w:eastAsia="Arial" w:hAnsi="Arial"/>
          <w:sz w:val="19"/>
          <w:szCs w:val="19"/>
          <w:b w:val="1"/>
          <w:bCs w:val="1"/>
          <w:color w:val="auto"/>
        </w:rPr>
        <w:t>Notice</w:t>
      </w:r>
    </w:p>
    <w:p>
      <w:pPr>
        <w:spacing w:after="0" w:line="195" w:lineRule="exact"/>
        <w:rPr>
          <w:rFonts w:ascii="Arial" w:cs="Arial" w:eastAsia="Arial" w:hAnsi="Arial"/>
          <w:sz w:val="19"/>
          <w:szCs w:val="19"/>
          <w:color w:val="auto"/>
        </w:rPr>
      </w:pPr>
    </w:p>
    <w:p>
      <w:pPr>
        <w:ind w:left="584"/>
        <w:spacing w:after="0" w:line="247" w:lineRule="auto"/>
        <w:rPr>
          <w:rFonts w:ascii="Arial" w:cs="Arial" w:eastAsia="Arial" w:hAnsi="Arial"/>
          <w:sz w:val="19"/>
          <w:szCs w:val="19"/>
          <w:color w:val="auto"/>
        </w:rPr>
      </w:pPr>
      <w:r>
        <w:rPr>
          <w:rFonts w:ascii="Arial" w:cs="Arial" w:eastAsia="Arial" w:hAnsi="Arial"/>
          <w:sz w:val="19"/>
          <w:szCs w:val="19"/>
          <w:color w:val="auto"/>
        </w:rPr>
        <w:t>Any notice or filing required or permitted to be given to the Compensation Committee under the Plan shall be sufficient if in writing and hand delivered, or sent by registered or certified mail, to the principal office of the Company, directed to the attention of the General Counsel and Secretary of Sempra Energy. Such notice shall be deemed given as of the date of delivery or, if delivery is made by mail, as of the date shown on the postmark on the receipt for registration or certification.</w:t>
      </w:r>
    </w:p>
    <w:p>
      <w:pPr>
        <w:spacing w:after="0" w:line="139" w:lineRule="exact"/>
        <w:rPr>
          <w:rFonts w:ascii="Arial" w:cs="Arial" w:eastAsia="Arial" w:hAnsi="Arial"/>
          <w:sz w:val="19"/>
          <w:szCs w:val="19"/>
          <w:color w:val="auto"/>
        </w:rPr>
      </w:pPr>
    </w:p>
    <w:p>
      <w:pPr>
        <w:ind w:left="584" w:hanging="296"/>
        <w:spacing w:after="0"/>
        <w:tabs>
          <w:tab w:leader="none" w:pos="584" w:val="left"/>
        </w:tabs>
        <w:numPr>
          <w:ilvl w:val="1"/>
          <w:numId w:val="67"/>
        </w:numPr>
        <w:rPr>
          <w:rFonts w:ascii="Arial" w:cs="Arial" w:eastAsia="Arial" w:hAnsi="Arial"/>
          <w:sz w:val="19"/>
          <w:szCs w:val="19"/>
          <w:color w:val="auto"/>
        </w:rPr>
      </w:pPr>
      <w:r>
        <w:rPr>
          <w:rFonts w:ascii="Arial" w:cs="Arial" w:eastAsia="Arial" w:hAnsi="Arial"/>
          <w:sz w:val="19"/>
          <w:szCs w:val="19"/>
          <w:b w:val="1"/>
          <w:bCs w:val="1"/>
          <w:color w:val="auto"/>
        </w:rPr>
        <w:t>Errors and Misstatements</w:t>
      </w:r>
    </w:p>
    <w:p>
      <w:pPr>
        <w:spacing w:after="0" w:line="195" w:lineRule="exact"/>
        <w:rPr>
          <w:rFonts w:ascii="Arial" w:cs="Arial" w:eastAsia="Arial" w:hAnsi="Arial"/>
          <w:sz w:val="19"/>
          <w:szCs w:val="19"/>
          <w:color w:val="auto"/>
        </w:rPr>
      </w:pPr>
    </w:p>
    <w:p>
      <w:pPr>
        <w:ind w:left="584"/>
        <w:spacing w:after="0" w:line="259" w:lineRule="auto"/>
        <w:rPr>
          <w:rFonts w:ascii="Arial" w:cs="Arial" w:eastAsia="Arial" w:hAnsi="Arial"/>
          <w:sz w:val="19"/>
          <w:szCs w:val="19"/>
          <w:color w:val="auto"/>
        </w:rPr>
      </w:pPr>
      <w:r>
        <w:rPr>
          <w:rFonts w:ascii="Arial" w:cs="Arial" w:eastAsia="Arial" w:hAnsi="Arial"/>
          <w:sz w:val="18"/>
          <w:szCs w:val="18"/>
          <w:color w:val="auto"/>
        </w:rPr>
        <w:t>In the event of any misstatement or omission of fact by a Participant to the Compensation Committee or any clerical error resulting in payment of benefits in an incorrect amount, the Compensation Committee shall promptly cause the amount of future payments to be corrected upon discovery of the facts and shall pay or, if applicable, cause the Plan to pay, the Participant or any other person entitled to payment under the Plan any underpayment in a lump sum or to recoup any overpayment from future payments to the Participant or any other person entitled to payment under the Plan in such amounts as the Compensation Committee shall direct or to proceed against the Participant or any other person entitled to payment under the Plan for recovery of any such overpayment</w:t>
      </w:r>
    </w:p>
    <w:p>
      <w:pPr>
        <w:spacing w:after="0" w:line="143" w:lineRule="exact"/>
        <w:rPr>
          <w:rFonts w:ascii="Arial" w:cs="Arial" w:eastAsia="Arial" w:hAnsi="Arial"/>
          <w:sz w:val="19"/>
          <w:szCs w:val="19"/>
          <w:color w:val="auto"/>
        </w:rPr>
      </w:pPr>
    </w:p>
    <w:p>
      <w:pPr>
        <w:ind w:left="584" w:hanging="296"/>
        <w:spacing w:after="0"/>
        <w:tabs>
          <w:tab w:leader="none" w:pos="584" w:val="left"/>
        </w:tabs>
        <w:numPr>
          <w:ilvl w:val="1"/>
          <w:numId w:val="67"/>
        </w:numPr>
        <w:rPr>
          <w:rFonts w:ascii="Arial" w:cs="Arial" w:eastAsia="Arial" w:hAnsi="Arial"/>
          <w:sz w:val="19"/>
          <w:szCs w:val="19"/>
          <w:color w:val="auto"/>
        </w:rPr>
      </w:pPr>
      <w:r>
        <w:rPr>
          <w:rFonts w:ascii="Arial" w:cs="Arial" w:eastAsia="Arial" w:hAnsi="Arial"/>
          <w:sz w:val="19"/>
          <w:szCs w:val="19"/>
          <w:b w:val="1"/>
          <w:bCs w:val="1"/>
          <w:color w:val="auto"/>
        </w:rPr>
        <w:t>Pronouns and Plurality</w:t>
      </w:r>
    </w:p>
    <w:p>
      <w:pPr>
        <w:sectPr>
          <w:pgSz w:w="11900" w:h="16838" w:orient="portrait"/>
          <w:cols w:equalWidth="0" w:num="1">
            <w:col w:w="11424"/>
          </w:cols>
          <w:pgMar w:left="236" w:top="120" w:right="239" w:bottom="0" w:gutter="0" w:footer="0" w:header="0"/>
        </w:sectPr>
      </w:pPr>
    </w:p>
    <w:bookmarkStart w:id="76" w:name="page77"/>
    <w:bookmarkEnd w:id="76"/>
    <w:p>
      <w:pPr>
        <w:ind w:left="580"/>
        <w:spacing w:after="0"/>
        <w:rPr>
          <w:sz w:val="20"/>
          <w:szCs w:val="20"/>
          <w:color w:val="auto"/>
        </w:rPr>
      </w:pPr>
      <w:r>
        <w:rPr>
          <w:rFonts w:ascii="Arial" w:cs="Arial" w:eastAsia="Arial" w:hAnsi="Arial"/>
          <w:sz w:val="19"/>
          <w:szCs w:val="19"/>
          <w:color w:val="auto"/>
        </w:rPr>
        <w:t>The masculine pronoun shall include the feminine pronoun, and the singular the plural where the context so indicates.</w:t>
      </w:r>
    </w:p>
    <w:p>
      <w:pPr>
        <w:spacing w:after="0" w:line="173" w:lineRule="exact"/>
        <w:rPr>
          <w:sz w:val="20"/>
          <w:szCs w:val="20"/>
          <w:color w:val="auto"/>
        </w:rPr>
      </w:pPr>
    </w:p>
    <w:p>
      <w:pPr>
        <w:ind w:left="580" w:hanging="296"/>
        <w:spacing w:after="0"/>
        <w:tabs>
          <w:tab w:leader="none" w:pos="580" w:val="left"/>
        </w:tabs>
        <w:numPr>
          <w:ilvl w:val="0"/>
          <w:numId w:val="68"/>
        </w:numPr>
        <w:rPr>
          <w:rFonts w:ascii="Arial" w:cs="Arial" w:eastAsia="Arial" w:hAnsi="Arial"/>
          <w:sz w:val="19"/>
          <w:szCs w:val="19"/>
          <w:color w:val="auto"/>
        </w:rPr>
      </w:pPr>
      <w:r>
        <w:rPr>
          <w:rFonts w:ascii="Arial" w:cs="Arial" w:eastAsia="Arial" w:hAnsi="Arial"/>
          <w:sz w:val="19"/>
          <w:szCs w:val="19"/>
          <w:b w:val="1"/>
          <w:bCs w:val="1"/>
          <w:color w:val="auto"/>
        </w:rPr>
        <w:t>Severability</w:t>
      </w:r>
    </w:p>
    <w:p>
      <w:pPr>
        <w:spacing w:after="0" w:line="195" w:lineRule="exact"/>
        <w:rPr>
          <w:rFonts w:ascii="Arial" w:cs="Arial" w:eastAsia="Arial" w:hAnsi="Arial"/>
          <w:sz w:val="19"/>
          <w:szCs w:val="19"/>
          <w:color w:val="auto"/>
        </w:rPr>
      </w:pPr>
    </w:p>
    <w:p>
      <w:pPr>
        <w:ind w:left="580"/>
        <w:spacing w:after="0" w:line="252" w:lineRule="auto"/>
        <w:rPr>
          <w:rFonts w:ascii="Arial" w:cs="Arial" w:eastAsia="Arial" w:hAnsi="Arial"/>
          <w:sz w:val="19"/>
          <w:szCs w:val="19"/>
          <w:color w:val="auto"/>
        </w:rPr>
      </w:pPr>
      <w:r>
        <w:rPr>
          <w:rFonts w:ascii="Arial" w:cs="Arial" w:eastAsia="Arial" w:hAnsi="Arial"/>
          <w:sz w:val="19"/>
          <w:szCs w:val="19"/>
          <w:color w:val="auto"/>
        </w:rPr>
        <w:t>In the event that any provision of the Plan shall be declared unenforceable or invalid for any reason, such unenforceability or invalidity shall not affect the remaining provisions of the Plan but shall be fully severable, and the Plan shall be construed and enforced as if such unenforceable or invalid provision had never been included herein.</w:t>
      </w:r>
    </w:p>
    <w:p>
      <w:pPr>
        <w:spacing w:after="0" w:line="146" w:lineRule="exact"/>
        <w:rPr>
          <w:rFonts w:ascii="Arial" w:cs="Arial" w:eastAsia="Arial" w:hAnsi="Arial"/>
          <w:sz w:val="19"/>
          <w:szCs w:val="19"/>
          <w:color w:val="auto"/>
        </w:rPr>
      </w:pPr>
    </w:p>
    <w:p>
      <w:pPr>
        <w:ind w:left="580" w:hanging="296"/>
        <w:spacing w:after="0"/>
        <w:tabs>
          <w:tab w:leader="none" w:pos="580" w:val="left"/>
        </w:tabs>
        <w:numPr>
          <w:ilvl w:val="0"/>
          <w:numId w:val="68"/>
        </w:numPr>
        <w:rPr>
          <w:rFonts w:ascii="Arial" w:cs="Arial" w:eastAsia="Arial" w:hAnsi="Arial"/>
          <w:sz w:val="19"/>
          <w:szCs w:val="19"/>
          <w:color w:val="auto"/>
        </w:rPr>
      </w:pPr>
      <w:r>
        <w:rPr>
          <w:rFonts w:ascii="Arial" w:cs="Arial" w:eastAsia="Arial" w:hAnsi="Arial"/>
          <w:sz w:val="19"/>
          <w:szCs w:val="19"/>
          <w:b w:val="1"/>
          <w:bCs w:val="1"/>
          <w:color w:val="auto"/>
        </w:rPr>
        <w:t>Headings</w:t>
      </w:r>
    </w:p>
    <w:p>
      <w:pPr>
        <w:spacing w:after="0" w:line="195" w:lineRule="exact"/>
        <w:rPr>
          <w:rFonts w:ascii="Arial" w:cs="Arial" w:eastAsia="Arial" w:hAnsi="Arial"/>
          <w:sz w:val="19"/>
          <w:szCs w:val="19"/>
          <w:color w:val="auto"/>
        </w:rPr>
      </w:pPr>
    </w:p>
    <w:p>
      <w:pPr>
        <w:ind w:left="580" w:right="80"/>
        <w:spacing w:after="0" w:line="266" w:lineRule="auto"/>
        <w:rPr>
          <w:rFonts w:ascii="Arial" w:cs="Arial" w:eastAsia="Arial" w:hAnsi="Arial"/>
          <w:sz w:val="19"/>
          <w:szCs w:val="19"/>
          <w:color w:val="auto"/>
        </w:rPr>
      </w:pPr>
      <w:r>
        <w:rPr>
          <w:rFonts w:ascii="Arial" w:cs="Arial" w:eastAsia="Arial" w:hAnsi="Arial"/>
          <w:sz w:val="19"/>
          <w:szCs w:val="19"/>
          <w:color w:val="auto"/>
        </w:rPr>
        <w:t>Headings and subheadings in this Plan are inserted for convenience of reference only and are not to be considered in the construction of the provisions hereof.</w:t>
      </w:r>
    </w:p>
    <w:p>
      <w:pPr>
        <w:spacing w:after="0" w:line="159" w:lineRule="exact"/>
        <w:rPr>
          <w:sz w:val="20"/>
          <w:szCs w:val="20"/>
          <w:color w:val="auto"/>
        </w:rPr>
      </w:pPr>
    </w:p>
    <w:p>
      <w:pPr>
        <w:spacing w:after="0"/>
        <w:rPr>
          <w:sz w:val="20"/>
          <w:szCs w:val="20"/>
          <w:color w:val="auto"/>
        </w:rPr>
      </w:pPr>
      <w:r>
        <w:rPr>
          <w:rFonts w:ascii="Arial" w:cs="Arial" w:eastAsia="Arial" w:hAnsi="Arial"/>
          <w:sz w:val="19"/>
          <w:szCs w:val="19"/>
          <w:color w:val="auto"/>
        </w:rPr>
        <w:t>Executed at San Diego, California this 11</w:t>
      </w:r>
      <w:r>
        <w:rPr>
          <w:rFonts w:ascii="Arial" w:cs="Arial" w:eastAsia="Arial" w:hAnsi="Arial"/>
          <w:sz w:val="32"/>
          <w:szCs w:val="32"/>
          <w:color w:val="auto"/>
          <w:vertAlign w:val="superscript"/>
        </w:rPr>
        <w:t>th</w:t>
      </w:r>
      <w:r>
        <w:rPr>
          <w:rFonts w:ascii="Arial" w:cs="Arial" w:eastAsia="Arial" w:hAnsi="Arial"/>
          <w:sz w:val="19"/>
          <w:szCs w:val="19"/>
          <w:color w:val="auto"/>
        </w:rPr>
        <w:t xml:space="preserve"> day of December, 2008.</w:t>
      </w:r>
    </w:p>
    <w:p>
      <w:pPr>
        <w:spacing w:after="0" w:line="274" w:lineRule="exact"/>
        <w:rPr>
          <w:sz w:val="20"/>
          <w:szCs w:val="20"/>
          <w:color w:val="auto"/>
        </w:rPr>
      </w:pPr>
    </w:p>
    <w:p>
      <w:pPr>
        <w:ind w:left="4040"/>
        <w:spacing w:after="0"/>
        <w:rPr>
          <w:sz w:val="20"/>
          <w:szCs w:val="20"/>
          <w:color w:val="auto"/>
        </w:rPr>
      </w:pPr>
      <w:r>
        <w:rPr>
          <w:rFonts w:ascii="Arial" w:cs="Arial" w:eastAsia="Arial" w:hAnsi="Arial"/>
          <w:sz w:val="19"/>
          <w:szCs w:val="19"/>
          <w:color w:val="auto"/>
        </w:rPr>
        <w:t>SEMPRA ENERGY</w:t>
      </w:r>
    </w:p>
    <w:p>
      <w:pPr>
        <w:spacing w:after="0" w:line="200" w:lineRule="exact"/>
        <w:rPr>
          <w:sz w:val="20"/>
          <w:szCs w:val="20"/>
          <w:color w:val="auto"/>
        </w:rPr>
      </w:pPr>
    </w:p>
    <w:p>
      <w:pPr>
        <w:spacing w:after="0" w:line="362" w:lineRule="exact"/>
        <w:rPr>
          <w:sz w:val="20"/>
          <w:szCs w:val="20"/>
          <w:color w:val="auto"/>
        </w:rPr>
      </w:pPr>
    </w:p>
    <w:p>
      <w:pPr>
        <w:ind w:left="4040"/>
        <w:spacing w:after="0"/>
        <w:tabs>
          <w:tab w:leader="none" w:pos="4580" w:val="left"/>
        </w:tabs>
        <w:rPr>
          <w:sz w:val="20"/>
          <w:szCs w:val="20"/>
          <w:color w:val="auto"/>
        </w:rPr>
      </w:pPr>
      <w:r>
        <w:rPr>
          <w:rFonts w:ascii="Arial" w:cs="Arial" w:eastAsia="Arial" w:hAnsi="Arial"/>
          <w:sz w:val="19"/>
          <w:szCs w:val="19"/>
          <w:color w:val="auto"/>
        </w:rPr>
        <w:t>By:</w:t>
        <w:tab/>
        <w:t>______________________________</w:t>
      </w:r>
    </w:p>
    <w:p>
      <w:pPr>
        <w:spacing w:after="0" w:line="11" w:lineRule="exact"/>
        <w:rPr>
          <w:sz w:val="20"/>
          <w:szCs w:val="20"/>
          <w:color w:val="auto"/>
        </w:rPr>
      </w:pPr>
    </w:p>
    <w:p>
      <w:pPr>
        <w:ind w:left="4600"/>
        <w:spacing w:after="0"/>
        <w:rPr>
          <w:sz w:val="20"/>
          <w:szCs w:val="20"/>
          <w:color w:val="auto"/>
        </w:rPr>
      </w:pPr>
      <w:r>
        <w:rPr>
          <w:rFonts w:ascii="Arial" w:cs="Arial" w:eastAsia="Arial" w:hAnsi="Arial"/>
          <w:sz w:val="19"/>
          <w:szCs w:val="19"/>
          <w:color w:val="auto"/>
        </w:rPr>
        <w:t>G. Joyce Rowland</w:t>
      </w:r>
    </w:p>
    <w:p>
      <w:pPr>
        <w:ind w:left="4600"/>
        <w:spacing w:after="0"/>
        <w:rPr>
          <w:sz w:val="20"/>
          <w:szCs w:val="20"/>
          <w:color w:val="auto"/>
        </w:rPr>
      </w:pPr>
      <w:r>
        <w:rPr>
          <w:rFonts w:ascii="Arial" w:cs="Arial" w:eastAsia="Arial" w:hAnsi="Arial"/>
          <w:sz w:val="19"/>
          <w:szCs w:val="19"/>
          <w:color w:val="auto"/>
        </w:rPr>
        <w:t>Sr. Vice President, Human Resources</w:t>
      </w:r>
    </w:p>
    <w:p>
      <w:pPr>
        <w:sectPr>
          <w:pgSz w:w="11900" w:h="16838" w:orient="portrait"/>
          <w:cols w:equalWidth="0" w:num="1">
            <w:col w:w="11380"/>
          </w:cols>
          <w:pgMar w:left="240" w:top="120" w:right="279" w:bottom="1440" w:gutter="0" w:footer="0" w:header="0"/>
        </w:sectPr>
      </w:pPr>
    </w:p>
    <w:bookmarkStart w:id="77" w:name="page78"/>
    <w:bookmarkEnd w:id="77"/>
    <w:p>
      <w:pPr>
        <w:jc w:val="right"/>
        <w:spacing w:after="0"/>
        <w:rPr>
          <w:sz w:val="20"/>
          <w:szCs w:val="20"/>
          <w:color w:val="auto"/>
        </w:rPr>
      </w:pPr>
      <w:r>
        <w:rPr>
          <w:rFonts w:ascii="Arial" w:cs="Arial" w:eastAsia="Arial" w:hAnsi="Arial"/>
          <w:sz w:val="19"/>
          <w:szCs w:val="19"/>
          <w:b w:val="1"/>
          <w:bCs w:val="1"/>
          <w:color w:val="auto"/>
        </w:rPr>
        <w:t>Exhibit 10.17</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AMENDED AND RESTATED</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SEMPRA ENERGY</w:t>
      </w:r>
    </w:p>
    <w:p>
      <w:pPr>
        <w:jc w:val="center"/>
        <w:spacing w:after="0"/>
        <w:rPr>
          <w:sz w:val="20"/>
          <w:szCs w:val="20"/>
          <w:color w:val="auto"/>
        </w:rPr>
      </w:pPr>
      <w:r>
        <w:rPr>
          <w:rFonts w:ascii="Arial" w:cs="Arial" w:eastAsia="Arial" w:hAnsi="Arial"/>
          <w:sz w:val="19"/>
          <w:szCs w:val="19"/>
          <w:b w:val="1"/>
          <w:bCs w:val="1"/>
          <w:color w:val="auto"/>
        </w:rPr>
        <w:t>SEVERANCE PAY AGREEMENT</w:t>
      </w:r>
    </w:p>
    <w:p>
      <w:pPr>
        <w:spacing w:after="0" w:line="168" w:lineRule="exact"/>
        <w:rPr>
          <w:sz w:val="20"/>
          <w:szCs w:val="20"/>
          <w:color w:val="auto"/>
        </w:rPr>
      </w:pPr>
    </w:p>
    <w:p>
      <w:pPr>
        <w:ind w:right="20" w:firstLine="1153"/>
        <w:spacing w:after="0" w:line="273" w:lineRule="auto"/>
        <w:rPr>
          <w:sz w:val="20"/>
          <w:szCs w:val="20"/>
          <w:color w:val="auto"/>
        </w:rPr>
      </w:pPr>
      <w:r>
        <w:rPr>
          <w:rFonts w:ascii="Arial" w:cs="Arial" w:eastAsia="Arial" w:hAnsi="Arial"/>
          <w:sz w:val="19"/>
          <w:szCs w:val="19"/>
          <w:b w:val="1"/>
          <w:bCs w:val="1"/>
          <w:color w:val="auto"/>
        </w:rPr>
        <w:t xml:space="preserve">THIS AGREEMENT </w:t>
      </w:r>
      <w:r>
        <w:rPr>
          <w:rFonts w:ascii="Arial" w:cs="Arial" w:eastAsia="Arial" w:hAnsi="Arial"/>
          <w:sz w:val="19"/>
          <w:szCs w:val="19"/>
          <w:color w:val="auto"/>
        </w:rPr>
        <w:t>(this “</w:t>
      </w:r>
      <w:r>
        <w:rPr>
          <w:rFonts w:ascii="Arial" w:cs="Arial" w:eastAsia="Arial" w:hAnsi="Arial"/>
          <w:sz w:val="19"/>
          <w:szCs w:val="19"/>
          <w:u w:val="single" w:color="auto"/>
          <w:color w:val="auto"/>
        </w:rPr>
        <w:t>Agreement</w:t>
      </w:r>
      <w:r>
        <w:rPr>
          <w:rFonts w:ascii="Arial" w:cs="Arial" w:eastAsia="Arial" w:hAnsi="Arial"/>
          <w:sz w:val="19"/>
          <w:szCs w:val="19"/>
          <w:color w:val="auto"/>
        </w:rPr>
        <w:t>”), dated as of November 4, 2008, is made by and between SEMPRA ENERGY, a California</w:t>
      </w:r>
      <w:r>
        <w:rPr>
          <w:rFonts w:ascii="Arial" w:cs="Arial" w:eastAsia="Arial" w:hAnsi="Arial"/>
          <w:sz w:val="19"/>
          <w:szCs w:val="19"/>
          <w:b w:val="1"/>
          <w:bCs w:val="1"/>
          <w:color w:val="auto"/>
        </w:rPr>
        <w:t xml:space="preserve"> </w:t>
      </w:r>
      <w:r>
        <w:rPr>
          <w:rFonts w:ascii="Arial" w:cs="Arial" w:eastAsia="Arial" w:hAnsi="Arial"/>
          <w:sz w:val="19"/>
          <w:szCs w:val="19"/>
          <w:color w:val="auto"/>
        </w:rPr>
        <w:t>corporation (“</w:t>
      </w:r>
      <w:r>
        <w:rPr>
          <w:rFonts w:ascii="Arial" w:cs="Arial" w:eastAsia="Arial" w:hAnsi="Arial"/>
          <w:sz w:val="19"/>
          <w:szCs w:val="19"/>
          <w:u w:val="single" w:color="auto"/>
          <w:color w:val="auto"/>
        </w:rPr>
        <w:t>Sempra Energy</w:t>
      </w:r>
      <w:r>
        <w:rPr>
          <w:rFonts w:ascii="Arial" w:cs="Arial" w:eastAsia="Arial" w:hAnsi="Arial"/>
          <w:sz w:val="19"/>
          <w:szCs w:val="19"/>
          <w:color w:val="auto"/>
        </w:rPr>
        <w:t>”), and _____________ (the “</w:t>
      </w:r>
      <w:r>
        <w:rPr>
          <w:rFonts w:ascii="Arial" w:cs="Arial" w:eastAsia="Arial" w:hAnsi="Arial"/>
          <w:sz w:val="19"/>
          <w:szCs w:val="19"/>
          <w:u w:val="single" w:color="auto"/>
          <w:color w:val="auto"/>
        </w:rPr>
        <w:t>Executive</w:t>
      </w:r>
      <w:r>
        <w:rPr>
          <w:rFonts w:ascii="Arial" w:cs="Arial" w:eastAsia="Arial" w:hAnsi="Arial"/>
          <w:sz w:val="19"/>
          <w:szCs w:val="19"/>
          <w:color w:val="auto"/>
        </w:rPr>
        <w:t>”).</w:t>
      </w:r>
    </w:p>
    <w:p>
      <w:pPr>
        <w:spacing w:after="0" w:line="128" w:lineRule="exact"/>
        <w:rPr>
          <w:sz w:val="20"/>
          <w:szCs w:val="20"/>
          <w:color w:val="auto"/>
        </w:rPr>
      </w:pPr>
    </w:p>
    <w:p>
      <w:pPr>
        <w:ind w:left="1140"/>
        <w:spacing w:after="0"/>
        <w:rPr>
          <w:sz w:val="20"/>
          <w:szCs w:val="20"/>
          <w:color w:val="auto"/>
        </w:rPr>
      </w:pPr>
      <w:r>
        <w:rPr>
          <w:rFonts w:ascii="Arial" w:cs="Arial" w:eastAsia="Arial" w:hAnsi="Arial"/>
          <w:sz w:val="19"/>
          <w:szCs w:val="19"/>
          <w:b w:val="1"/>
          <w:bCs w:val="1"/>
          <w:color w:val="auto"/>
        </w:rPr>
        <w:t>WHEREAS</w:t>
      </w:r>
      <w:r>
        <w:rPr>
          <w:rFonts w:ascii="Arial" w:cs="Arial" w:eastAsia="Arial" w:hAnsi="Arial"/>
          <w:sz w:val="19"/>
          <w:szCs w:val="19"/>
          <w:color w:val="auto"/>
        </w:rPr>
        <w:t>, Sempra Energy and the Executive entered into the Sempra Energy Severance Pay Agreement, dated as of</w:t>
      </w:r>
    </w:p>
    <w:p>
      <w:pPr>
        <w:spacing w:after="0" w:line="20" w:lineRule="exact"/>
        <w:rPr>
          <w:sz w:val="20"/>
          <w:szCs w:val="20"/>
          <w:color w:val="auto"/>
        </w:rPr>
      </w:pPr>
    </w:p>
    <w:p>
      <w:pPr>
        <w:spacing w:after="0"/>
        <w:rPr>
          <w:sz w:val="20"/>
          <w:szCs w:val="20"/>
          <w:color w:val="auto"/>
        </w:rPr>
      </w:pPr>
      <w:r>
        <w:rPr>
          <w:rFonts w:ascii="Arial" w:cs="Arial" w:eastAsia="Arial" w:hAnsi="Arial"/>
          <w:sz w:val="19"/>
          <w:szCs w:val="19"/>
          <w:color w:val="auto"/>
        </w:rPr>
        <w:t>____________ (the “</w:t>
      </w:r>
      <w:r>
        <w:rPr>
          <w:rFonts w:ascii="Arial" w:cs="Arial" w:eastAsia="Arial" w:hAnsi="Arial"/>
          <w:sz w:val="19"/>
          <w:szCs w:val="19"/>
          <w:u w:val="single" w:color="auto"/>
          <w:color w:val="auto"/>
        </w:rPr>
        <w:t>Prior Agreement</w:t>
      </w:r>
      <w:r>
        <w:rPr>
          <w:rFonts w:ascii="Arial" w:cs="Arial" w:eastAsia="Arial" w:hAnsi="Arial"/>
          <w:sz w:val="19"/>
          <w:szCs w:val="19"/>
          <w:color w:val="auto"/>
        </w:rPr>
        <w:t>”); and</w:t>
      </w:r>
    </w:p>
    <w:p>
      <w:pPr>
        <w:spacing w:after="0" w:line="168" w:lineRule="exact"/>
        <w:rPr>
          <w:sz w:val="20"/>
          <w:szCs w:val="20"/>
          <w:color w:val="auto"/>
        </w:rPr>
      </w:pPr>
    </w:p>
    <w:p>
      <w:pPr>
        <w:ind w:right="160" w:firstLine="1153"/>
        <w:spacing w:after="0" w:line="333" w:lineRule="auto"/>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Sempra Energy and the Executive desire to amend and restate the Prior Agreement to conform to the requirements of</w:t>
      </w:r>
      <w:r>
        <w:rPr>
          <w:rFonts w:ascii="Arial" w:cs="Arial" w:eastAsia="Arial" w:hAnsi="Arial"/>
          <w:sz w:val="17"/>
          <w:szCs w:val="17"/>
          <w:b w:val="1"/>
          <w:bCs w:val="1"/>
          <w:color w:val="auto"/>
        </w:rPr>
        <w:t xml:space="preserve"> </w:t>
      </w:r>
      <w:r>
        <w:rPr>
          <w:rFonts w:ascii="Arial" w:cs="Arial" w:eastAsia="Arial" w:hAnsi="Arial"/>
          <w:sz w:val="17"/>
          <w:szCs w:val="17"/>
          <w:color w:val="auto"/>
        </w:rPr>
        <w:t>Section 409A of the Code (as defined below) and the Treasury Regulations thereunder, or certain exemptions from Section 409A of the Code; and</w:t>
      </w:r>
    </w:p>
    <w:p>
      <w:pPr>
        <w:spacing w:after="0" w:line="82" w:lineRule="exact"/>
        <w:rPr>
          <w:sz w:val="20"/>
          <w:szCs w:val="20"/>
          <w:color w:val="auto"/>
        </w:rPr>
      </w:pPr>
    </w:p>
    <w:p>
      <w:pPr>
        <w:ind w:right="260" w:firstLine="1153"/>
        <w:spacing w:after="0" w:line="273" w:lineRule="auto"/>
        <w:rPr>
          <w:sz w:val="20"/>
          <w:szCs w:val="20"/>
          <w:color w:val="auto"/>
        </w:rPr>
      </w:pPr>
      <w:r>
        <w:rPr>
          <w:rFonts w:ascii="Arial" w:cs="Arial" w:eastAsia="Arial" w:hAnsi="Arial"/>
          <w:sz w:val="19"/>
          <w:szCs w:val="19"/>
          <w:b w:val="1"/>
          <w:bCs w:val="1"/>
          <w:color w:val="auto"/>
        </w:rPr>
        <w:t>WHEREAS</w:t>
      </w:r>
      <w:r>
        <w:rPr>
          <w:rFonts w:ascii="Arial" w:cs="Arial" w:eastAsia="Arial" w:hAnsi="Arial"/>
          <w:sz w:val="19"/>
          <w:szCs w:val="19"/>
          <w:color w:val="auto"/>
        </w:rPr>
        <w:t>, the Executive is currently employed by Sempra Energy or a direct or indirect subsidiary of Sempra Energy (Sempra</w:t>
      </w:r>
      <w:r>
        <w:rPr>
          <w:rFonts w:ascii="Arial" w:cs="Arial" w:eastAsia="Arial" w:hAnsi="Arial"/>
          <w:sz w:val="19"/>
          <w:szCs w:val="19"/>
          <w:b w:val="1"/>
          <w:bCs w:val="1"/>
          <w:color w:val="auto"/>
        </w:rPr>
        <w:t xml:space="preserve"> </w:t>
      </w:r>
      <w:r>
        <w:rPr>
          <w:rFonts w:ascii="Arial" w:cs="Arial" w:eastAsia="Arial" w:hAnsi="Arial"/>
          <w:sz w:val="19"/>
          <w:szCs w:val="19"/>
          <w:color w:val="auto"/>
        </w:rPr>
        <w:t>Energy and its subsidiaries are hereinafter collectively referred to as the “</w:t>
      </w:r>
      <w:r>
        <w:rPr>
          <w:rFonts w:ascii="Arial" w:cs="Arial" w:eastAsia="Arial" w:hAnsi="Arial"/>
          <w:sz w:val="19"/>
          <w:szCs w:val="19"/>
          <w:u w:val="single" w:color="auto"/>
          <w:color w:val="auto"/>
        </w:rPr>
        <w:t>Company</w:t>
      </w:r>
      <w:r>
        <w:rPr>
          <w:rFonts w:ascii="Arial" w:cs="Arial" w:eastAsia="Arial" w:hAnsi="Arial"/>
          <w:sz w:val="19"/>
          <w:szCs w:val="19"/>
          <w:color w:val="auto"/>
        </w:rPr>
        <w:t>”) as _____________________; and</w:t>
      </w:r>
    </w:p>
    <w:p>
      <w:pPr>
        <w:spacing w:after="0" w:line="128" w:lineRule="exact"/>
        <w:rPr>
          <w:sz w:val="20"/>
          <w:szCs w:val="20"/>
          <w:color w:val="auto"/>
        </w:rPr>
      </w:pPr>
    </w:p>
    <w:p>
      <w:pPr>
        <w:ind w:left="1140"/>
        <w:spacing w:after="0"/>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Board of Directors of Sempra Energy (the “</w:t>
      </w:r>
      <w:r>
        <w:rPr>
          <w:rFonts w:ascii="Arial" w:cs="Arial" w:eastAsia="Arial" w:hAnsi="Arial"/>
          <w:sz w:val="18"/>
          <w:szCs w:val="18"/>
          <w:u w:val="single" w:color="auto"/>
          <w:color w:val="auto"/>
        </w:rPr>
        <w:t>Board</w:t>
      </w:r>
      <w:r>
        <w:rPr>
          <w:rFonts w:ascii="Arial" w:cs="Arial" w:eastAsia="Arial" w:hAnsi="Arial"/>
          <w:sz w:val="18"/>
          <w:szCs w:val="18"/>
          <w:color w:val="auto"/>
        </w:rPr>
        <w:t>”) has authorized this amendment and restatement of the Prior</w:t>
      </w:r>
    </w:p>
    <w:p>
      <w:pPr>
        <w:spacing w:after="0" w:line="31" w:lineRule="exact"/>
        <w:rPr>
          <w:sz w:val="20"/>
          <w:szCs w:val="20"/>
          <w:color w:val="auto"/>
        </w:rPr>
      </w:pPr>
    </w:p>
    <w:p>
      <w:pPr>
        <w:spacing w:after="0"/>
        <w:rPr>
          <w:sz w:val="20"/>
          <w:szCs w:val="20"/>
          <w:color w:val="auto"/>
        </w:rPr>
      </w:pPr>
      <w:r>
        <w:rPr>
          <w:rFonts w:ascii="Arial" w:cs="Arial" w:eastAsia="Arial" w:hAnsi="Arial"/>
          <w:sz w:val="19"/>
          <w:szCs w:val="19"/>
          <w:color w:val="auto"/>
        </w:rPr>
        <w:t>Agreement.</w:t>
      </w:r>
    </w:p>
    <w:p>
      <w:pPr>
        <w:spacing w:after="0" w:line="168" w:lineRule="exact"/>
        <w:rPr>
          <w:sz w:val="20"/>
          <w:szCs w:val="20"/>
          <w:color w:val="auto"/>
        </w:rPr>
      </w:pPr>
    </w:p>
    <w:p>
      <w:pPr>
        <w:ind w:right="320" w:firstLine="1153"/>
        <w:spacing w:after="0" w:line="273" w:lineRule="auto"/>
        <w:rPr>
          <w:sz w:val="20"/>
          <w:szCs w:val="20"/>
          <w:color w:val="auto"/>
        </w:rPr>
      </w:pPr>
      <w:r>
        <w:rPr>
          <w:rFonts w:ascii="Arial" w:cs="Arial" w:eastAsia="Arial" w:hAnsi="Arial"/>
          <w:sz w:val="19"/>
          <w:szCs w:val="19"/>
          <w:b w:val="1"/>
          <w:bCs w:val="1"/>
          <w:color w:val="auto"/>
        </w:rPr>
        <w:t>NOW, THEREFORE</w:t>
      </w:r>
      <w:r>
        <w:rPr>
          <w:rFonts w:ascii="Arial" w:cs="Arial" w:eastAsia="Arial" w:hAnsi="Arial"/>
          <w:sz w:val="19"/>
          <w:szCs w:val="19"/>
          <w:color w:val="auto"/>
        </w:rPr>
        <w:t>, in consideration of the premises and mutual covenants herein contained, the Company and the Executive</w:t>
      </w:r>
      <w:r>
        <w:rPr>
          <w:rFonts w:ascii="Arial" w:cs="Arial" w:eastAsia="Arial" w:hAnsi="Arial"/>
          <w:sz w:val="19"/>
          <w:szCs w:val="19"/>
          <w:b w:val="1"/>
          <w:bCs w:val="1"/>
          <w:color w:val="auto"/>
        </w:rPr>
        <w:t xml:space="preserve"> </w:t>
      </w:r>
      <w:r>
        <w:rPr>
          <w:rFonts w:ascii="Arial" w:cs="Arial" w:eastAsia="Arial" w:hAnsi="Arial"/>
          <w:sz w:val="19"/>
          <w:szCs w:val="19"/>
          <w:color w:val="auto"/>
        </w:rPr>
        <w:t>hereby agree as follows:</w:t>
      </w:r>
    </w:p>
    <w:p>
      <w:pPr>
        <w:spacing w:after="0" w:line="122" w:lineRule="exact"/>
        <w:rPr>
          <w:sz w:val="20"/>
          <w:szCs w:val="20"/>
          <w:color w:val="auto"/>
        </w:rPr>
      </w:pPr>
    </w:p>
    <w:p>
      <w:pPr>
        <w:ind w:left="1140"/>
        <w:spacing w:after="0"/>
        <w:tabs>
          <w:tab w:leader="none" w:pos="2280" w:val="left"/>
        </w:tabs>
        <w:rPr>
          <w:sz w:val="20"/>
          <w:szCs w:val="20"/>
          <w:color w:val="auto"/>
        </w:rPr>
      </w:pPr>
      <w:r>
        <w:rPr>
          <w:rFonts w:ascii="Arial" w:cs="Arial" w:eastAsia="Arial" w:hAnsi="Arial"/>
          <w:sz w:val="19"/>
          <w:szCs w:val="19"/>
          <w:b w:val="1"/>
          <w:bCs w:val="1"/>
          <w:color w:val="auto"/>
        </w:rPr>
        <w:t>Section 1.</w:t>
      </w:r>
      <w:r>
        <w:rPr>
          <w:sz w:val="20"/>
          <w:szCs w:val="20"/>
          <w:color w:val="auto"/>
        </w:rPr>
        <w:tab/>
      </w:r>
      <w:r>
        <w:rPr>
          <w:rFonts w:ascii="Arial" w:cs="Arial" w:eastAsia="Arial" w:hAnsi="Arial"/>
          <w:sz w:val="18"/>
          <w:szCs w:val="18"/>
          <w:u w:val="single" w:color="auto"/>
          <w:color w:val="auto"/>
        </w:rPr>
        <w:t>Definitions</w:t>
      </w:r>
    </w:p>
    <w:p>
      <w:pPr>
        <w:spacing w:after="0" w:line="190" w:lineRule="exact"/>
        <w:rPr>
          <w:sz w:val="20"/>
          <w:szCs w:val="20"/>
          <w:color w:val="auto"/>
        </w:rPr>
      </w:pPr>
    </w:p>
    <w:p>
      <w:pPr>
        <w:ind w:left="1140" w:right="2500" w:firstLine="9"/>
        <w:spacing w:after="0" w:line="448" w:lineRule="auto"/>
        <w:tabs>
          <w:tab w:leader="none" w:pos="1284" w:val="left"/>
        </w:tabs>
        <w:numPr>
          <w:ilvl w:val="0"/>
          <w:numId w:val="69"/>
        </w:numPr>
        <w:rPr>
          <w:rFonts w:ascii="Arial" w:cs="Arial" w:eastAsia="Arial" w:hAnsi="Arial"/>
          <w:sz w:val="19"/>
          <w:szCs w:val="19"/>
          <w:color w:val="auto"/>
        </w:rPr>
      </w:pPr>
      <w:r>
        <w:rPr>
          <w:rFonts w:ascii="Arial" w:cs="Arial" w:eastAsia="Arial" w:hAnsi="Arial"/>
          <w:sz w:val="19"/>
          <w:szCs w:val="19"/>
          <w:color w:val="auto"/>
        </w:rPr>
        <w:t>For purposes of this Agreement, the following capitalized terms have the meanings set forth below: “</w:t>
      </w:r>
      <w:r>
        <w:rPr>
          <w:rFonts w:ascii="Arial" w:cs="Arial" w:eastAsia="Arial" w:hAnsi="Arial"/>
          <w:sz w:val="19"/>
          <w:szCs w:val="19"/>
          <w:u w:val="single" w:color="auto"/>
          <w:color w:val="auto"/>
        </w:rPr>
        <w:t>Accounting Firm</w:t>
      </w:r>
      <w:r>
        <w:rPr>
          <w:rFonts w:ascii="Arial" w:cs="Arial" w:eastAsia="Arial" w:hAnsi="Arial"/>
          <w:sz w:val="19"/>
          <w:szCs w:val="19"/>
          <w:color w:val="auto"/>
        </w:rPr>
        <w:t>” has the meaning assigned thereto in Section 9(b) hereof.</w:t>
      </w:r>
    </w:p>
    <w:p>
      <w:pPr>
        <w:spacing w:after="0" w:line="1" w:lineRule="exact"/>
        <w:rPr>
          <w:rFonts w:ascii="Arial" w:cs="Arial" w:eastAsia="Arial" w:hAnsi="Arial"/>
          <w:sz w:val="19"/>
          <w:szCs w:val="19"/>
          <w:color w:val="auto"/>
        </w:rPr>
      </w:pPr>
    </w:p>
    <w:p>
      <w:pPr>
        <w:ind w:left="1140"/>
        <w:spacing w:after="0"/>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Act</w:t>
      </w:r>
      <w:r>
        <w:rPr>
          <w:rFonts w:ascii="Arial" w:cs="Arial" w:eastAsia="Arial" w:hAnsi="Arial"/>
          <w:sz w:val="19"/>
          <w:szCs w:val="19"/>
          <w:color w:val="auto"/>
        </w:rPr>
        <w:t>” has the meaning assigned thereto in Section 2 hereof.</w:t>
      </w:r>
    </w:p>
    <w:p>
      <w:pPr>
        <w:spacing w:after="0" w:line="189" w:lineRule="exact"/>
        <w:rPr>
          <w:rFonts w:ascii="Arial" w:cs="Arial" w:eastAsia="Arial" w:hAnsi="Arial"/>
          <w:sz w:val="19"/>
          <w:szCs w:val="19"/>
          <w:color w:val="auto"/>
        </w:rPr>
      </w:pPr>
    </w:p>
    <w:p>
      <w:pPr>
        <w:ind w:left="1140" w:right="1520"/>
        <w:spacing w:after="0" w:line="448" w:lineRule="auto"/>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Additional Post-Change in Control Severance Payment</w:t>
      </w:r>
      <w:r>
        <w:rPr>
          <w:rFonts w:ascii="Arial" w:cs="Arial" w:eastAsia="Arial" w:hAnsi="Arial"/>
          <w:sz w:val="19"/>
          <w:szCs w:val="19"/>
          <w:color w:val="auto"/>
        </w:rPr>
        <w:t>” has the meaning assigned thereto in Section 6(a) hereof. “</w:t>
      </w:r>
      <w:r>
        <w:rPr>
          <w:rFonts w:ascii="Arial" w:cs="Arial" w:eastAsia="Arial" w:hAnsi="Arial"/>
          <w:sz w:val="19"/>
          <w:szCs w:val="19"/>
          <w:u w:val="single" w:color="auto"/>
          <w:color w:val="auto"/>
        </w:rPr>
        <w:t>Affiliate</w:t>
      </w:r>
      <w:r>
        <w:rPr>
          <w:rFonts w:ascii="Arial" w:cs="Arial" w:eastAsia="Arial" w:hAnsi="Arial"/>
          <w:sz w:val="19"/>
          <w:szCs w:val="19"/>
          <w:color w:val="auto"/>
        </w:rPr>
        <w:t>” has the meaning set forth in Rule 12b-2 promulgated under the Exchange Act.</w:t>
      </w:r>
    </w:p>
    <w:p>
      <w:pPr>
        <w:spacing w:after="0" w:line="1" w:lineRule="exact"/>
        <w:rPr>
          <w:rFonts w:ascii="Arial" w:cs="Arial" w:eastAsia="Arial" w:hAnsi="Arial"/>
          <w:sz w:val="19"/>
          <w:szCs w:val="19"/>
          <w:color w:val="auto"/>
        </w:rPr>
      </w:pPr>
    </w:p>
    <w:p>
      <w:pPr>
        <w:ind w:left="1140" w:right="3780"/>
        <w:spacing w:after="0" w:line="473" w:lineRule="auto"/>
        <w:rPr>
          <w:rFonts w:ascii="Arial" w:cs="Arial" w:eastAsia="Arial" w:hAnsi="Arial"/>
          <w:sz w:val="19"/>
          <w:szCs w:val="19"/>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Annual Base Salary</w:t>
      </w:r>
      <w:r>
        <w:rPr>
          <w:rFonts w:ascii="Arial" w:cs="Arial" w:eastAsia="Arial" w:hAnsi="Arial"/>
          <w:sz w:val="18"/>
          <w:szCs w:val="18"/>
          <w:color w:val="auto"/>
        </w:rPr>
        <w:t>” means the Executive’s annual base salary from the Company. “</w:t>
      </w:r>
      <w:r>
        <w:rPr>
          <w:rFonts w:ascii="Arial" w:cs="Arial" w:eastAsia="Arial" w:hAnsi="Arial"/>
          <w:sz w:val="18"/>
          <w:szCs w:val="18"/>
          <w:u w:val="single" w:color="auto"/>
          <w:color w:val="auto"/>
        </w:rPr>
        <w:t>Asset Purchaser</w:t>
      </w:r>
      <w:r>
        <w:rPr>
          <w:rFonts w:ascii="Arial" w:cs="Arial" w:eastAsia="Arial" w:hAnsi="Arial"/>
          <w:sz w:val="18"/>
          <w:szCs w:val="18"/>
          <w:color w:val="auto"/>
        </w:rPr>
        <w:t>” has the meaning assigned thereto in Section 16(e).</w:t>
      </w:r>
    </w:p>
    <w:p>
      <w:pPr>
        <w:ind w:left="1140"/>
        <w:spacing w:after="0"/>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Asset Sale</w:t>
      </w:r>
      <w:r>
        <w:rPr>
          <w:rFonts w:ascii="Arial" w:cs="Arial" w:eastAsia="Arial" w:hAnsi="Arial"/>
          <w:sz w:val="19"/>
          <w:szCs w:val="19"/>
          <w:color w:val="auto"/>
        </w:rPr>
        <w:t>” has the meaning assigned thereto in Section 16(e).</w:t>
      </w:r>
    </w:p>
    <w:p>
      <w:pPr>
        <w:spacing w:after="0" w:line="190" w:lineRule="exact"/>
        <w:rPr>
          <w:sz w:val="20"/>
          <w:szCs w:val="20"/>
          <w:color w:val="auto"/>
        </w:rPr>
      </w:pPr>
    </w:p>
    <w:p>
      <w:pPr>
        <w:ind w:right="220" w:firstLine="1153"/>
        <w:spacing w:after="0" w:line="277"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Average Annual Bonus</w:t>
      </w:r>
      <w:r>
        <w:rPr>
          <w:rFonts w:ascii="Arial" w:cs="Arial" w:eastAsia="Arial" w:hAnsi="Arial"/>
          <w:sz w:val="17"/>
          <w:szCs w:val="17"/>
          <w:color w:val="auto"/>
        </w:rPr>
        <w:t>” means the average of the annual bonuses from the Company earned by the Executive with respect to the three (3) fiscal years of the Company immediately preceding the Date of Termination (the “</w:t>
      </w:r>
      <w:r>
        <w:rPr>
          <w:rFonts w:ascii="Arial" w:cs="Arial" w:eastAsia="Arial" w:hAnsi="Arial"/>
          <w:sz w:val="17"/>
          <w:szCs w:val="17"/>
          <w:u w:val="single" w:color="auto"/>
          <w:color w:val="auto"/>
        </w:rPr>
        <w:t>Bonus Fiscal Years</w:t>
      </w:r>
      <w:r>
        <w:rPr>
          <w:rFonts w:ascii="Arial" w:cs="Arial" w:eastAsia="Arial" w:hAnsi="Arial"/>
          <w:sz w:val="17"/>
          <w:szCs w:val="17"/>
          <w:color w:val="auto"/>
        </w:rPr>
        <w:t xml:space="preserv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if the Executive was employed by the Company during all or any portion of one or two of the Bonus Fiscal Years (but not three of the Bonus Fiscal Years), “</w:t>
      </w:r>
      <w:r>
        <w:rPr>
          <w:rFonts w:ascii="Arial" w:cs="Arial" w:eastAsia="Arial" w:hAnsi="Arial"/>
          <w:sz w:val="17"/>
          <w:szCs w:val="17"/>
          <w:u w:val="single" w:color="auto"/>
          <w:color w:val="auto"/>
        </w:rPr>
        <w:t>Average Annual Bonus</w:t>
      </w:r>
      <w:r>
        <w:rPr>
          <w:rFonts w:ascii="Arial" w:cs="Arial" w:eastAsia="Arial" w:hAnsi="Arial"/>
          <w:sz w:val="17"/>
          <w:szCs w:val="17"/>
          <w:color w:val="auto"/>
        </w:rPr>
        <w:t xml:space="preserve">” means the average of the annual bonuses (if any) from the Company earned by the Executive with respect to the Bonus Fiscal Years during all or any portion of which the Executive was employed by the Company; and, </w:t>
      </w:r>
      <w:r>
        <w:rPr>
          <w:rFonts w:ascii="Arial" w:cs="Arial" w:eastAsia="Arial" w:hAnsi="Arial"/>
          <w:sz w:val="17"/>
          <w:szCs w:val="17"/>
          <w:i w:val="1"/>
          <w:iCs w:val="1"/>
          <w:color w:val="auto"/>
        </w:rPr>
        <w:t>provided, further</w:t>
      </w:r>
      <w:r>
        <w:rPr>
          <w:rFonts w:ascii="Arial" w:cs="Arial" w:eastAsia="Arial" w:hAnsi="Arial"/>
          <w:sz w:val="17"/>
          <w:szCs w:val="17"/>
          <w:color w:val="auto"/>
        </w:rPr>
        <w:t>, that, if the Executive was not employed by the Company during all or any portion of any of the Bonus Fiscal Years, “</w:t>
      </w:r>
      <w:r>
        <w:rPr>
          <w:rFonts w:ascii="Arial" w:cs="Arial" w:eastAsia="Arial" w:hAnsi="Arial"/>
          <w:sz w:val="17"/>
          <w:szCs w:val="17"/>
          <w:u w:val="single" w:color="auto"/>
          <w:color w:val="auto"/>
        </w:rPr>
        <w:t>Average Annual Bonus</w:t>
      </w:r>
      <w:r>
        <w:rPr>
          <w:rFonts w:ascii="Arial" w:cs="Arial" w:eastAsia="Arial" w:hAnsi="Arial"/>
          <w:sz w:val="17"/>
          <w:szCs w:val="17"/>
          <w:color w:val="auto"/>
        </w:rPr>
        <w:t>” means zero.</w:t>
      </w:r>
    </w:p>
    <w:p>
      <w:pPr>
        <w:spacing w:after="0" w:line="136" w:lineRule="exact"/>
        <w:rPr>
          <w:sz w:val="20"/>
          <w:szCs w:val="20"/>
          <w:color w:val="auto"/>
        </w:rPr>
      </w:pPr>
    </w:p>
    <w:p>
      <w:pPr>
        <w:ind w:left="11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Beneficial Owner</w:t>
      </w:r>
      <w:r>
        <w:rPr>
          <w:rFonts w:ascii="Arial" w:cs="Arial" w:eastAsia="Arial" w:hAnsi="Arial"/>
          <w:sz w:val="19"/>
          <w:szCs w:val="19"/>
          <w:color w:val="auto"/>
        </w:rPr>
        <w:t>” has the meaning set forth in Rule 13d-3 promulgated under the Exchange Act.</w:t>
      </w:r>
    </w:p>
    <w:p>
      <w:pPr>
        <w:spacing w:after="0" w:line="190" w:lineRule="exact"/>
        <w:rPr>
          <w:sz w:val="20"/>
          <w:szCs w:val="20"/>
          <w:color w:val="auto"/>
        </w:rPr>
      </w:pPr>
    </w:p>
    <w:p>
      <w:pPr>
        <w:ind w:left="11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Cause</w:t>
      </w:r>
      <w:r>
        <w:rPr>
          <w:rFonts w:ascii="Arial" w:cs="Arial" w:eastAsia="Arial" w:hAnsi="Arial"/>
          <w:sz w:val="19"/>
          <w:szCs w:val="19"/>
          <w:color w:val="auto"/>
        </w:rPr>
        <w:t>” means:</w:t>
      </w:r>
    </w:p>
    <w:p>
      <w:pPr>
        <w:spacing w:after="0" w:line="190" w:lineRule="exact"/>
        <w:rPr>
          <w:sz w:val="20"/>
          <w:szCs w:val="20"/>
          <w:color w:val="auto"/>
        </w:rPr>
      </w:pPr>
    </w:p>
    <w:p>
      <w:pPr>
        <w:ind w:right="80" w:firstLine="1149"/>
        <w:spacing w:after="0" w:line="258" w:lineRule="auto"/>
        <w:tabs>
          <w:tab w:leader="none" w:pos="1730" w:val="left"/>
        </w:tabs>
        <w:numPr>
          <w:ilvl w:val="0"/>
          <w:numId w:val="70"/>
        </w:numPr>
        <w:rPr>
          <w:rFonts w:ascii="Arial" w:cs="Arial" w:eastAsia="Arial" w:hAnsi="Arial"/>
          <w:sz w:val="18"/>
          <w:szCs w:val="18"/>
          <w:color w:val="auto"/>
        </w:rPr>
      </w:pPr>
      <w:r>
        <w:rPr>
          <w:rFonts w:ascii="Arial" w:cs="Arial" w:eastAsia="Arial" w:hAnsi="Arial"/>
          <w:sz w:val="18"/>
          <w:szCs w:val="18"/>
          <w:color w:val="auto"/>
        </w:rPr>
        <w:t>Prior to a Change in Control, (i) the willful failure by the Executive to substantially perform the Executive’s duties with the Company (other than any such failure resulting from the Executive’s incapacity due to physical or mental illness, (ii) the grossly negligent performance of such obligations referenced in clause (i) of this definition, (iii) the Executive’s gross insubordination; and/or (iv) the Executive’s commission of one or more acts of moral turpitude that constitute a violation of applicable law (including but not limited to a felony) which have or result in an adverse effect on the Company, monetarily or otherwise, or one or more significant acts of dishonesty. For purposes of clause (i) of this subsection (a), no act, or failure to act, on the Executive’s part shall be deemed “</w:t>
      </w:r>
      <w:r>
        <w:rPr>
          <w:rFonts w:ascii="Arial" w:cs="Arial" w:eastAsia="Arial" w:hAnsi="Arial"/>
          <w:sz w:val="18"/>
          <w:szCs w:val="18"/>
          <w:u w:val="single" w:color="auto"/>
          <w:color w:val="auto"/>
        </w:rPr>
        <w:t>willful</w:t>
      </w:r>
      <w:r>
        <w:rPr>
          <w:rFonts w:ascii="Arial" w:cs="Arial" w:eastAsia="Arial" w:hAnsi="Arial"/>
          <w:sz w:val="18"/>
          <w:szCs w:val="18"/>
          <w:color w:val="auto"/>
        </w:rPr>
        <w:t>” unless done, or omitted to be done, by the Executive not in good faith and without reasonable belief that the Executive’s act, or failure to act, was in the best interests of the Company.</w:t>
      </w:r>
    </w:p>
    <w:p>
      <w:pPr>
        <w:spacing w:after="0" w:line="136" w:lineRule="exact"/>
        <w:rPr>
          <w:rFonts w:ascii="Arial" w:cs="Arial" w:eastAsia="Arial" w:hAnsi="Arial"/>
          <w:sz w:val="18"/>
          <w:szCs w:val="18"/>
          <w:color w:val="auto"/>
        </w:rPr>
      </w:pPr>
    </w:p>
    <w:p>
      <w:pPr>
        <w:ind w:right="40" w:firstLine="1149"/>
        <w:spacing w:after="0" w:line="255" w:lineRule="auto"/>
        <w:tabs>
          <w:tab w:leader="none" w:pos="1730" w:val="left"/>
        </w:tabs>
        <w:numPr>
          <w:ilvl w:val="0"/>
          <w:numId w:val="70"/>
        </w:numPr>
        <w:rPr>
          <w:rFonts w:ascii="Arial" w:cs="Arial" w:eastAsia="Arial" w:hAnsi="Arial"/>
          <w:sz w:val="18"/>
          <w:szCs w:val="18"/>
          <w:color w:val="auto"/>
        </w:rPr>
      </w:pPr>
      <w:r>
        <w:rPr>
          <w:rFonts w:ascii="Arial" w:cs="Arial" w:eastAsia="Arial" w:hAnsi="Arial"/>
          <w:sz w:val="18"/>
          <w:szCs w:val="18"/>
          <w:color w:val="auto"/>
        </w:rPr>
        <w:t>From and after a Change in Control, (i) the willful and continued failure by the Executive to substantially perform the Executive’s duties with the Company (other than any such failure resulting from the Executive’s incapacity due to physical or mental illness or any such actual or anticipated failure after the issuance of a Notice of Termination for Good Reason by the Executive pursuant to Section 3 hereof) and/or (ii) the Executive’s commission of one or more acts of moral turpitude that constitute a violation of applicable law (including but not limited to a felony) which have or result in an adverse effect on the Company, monetarily or otherwise, or one or more significant acts of dishonesty. For purposes of clause (i) of this subsection (b), no act, or failure to act, on the Executive’s part shall be deemed “</w:t>
      </w:r>
      <w:r>
        <w:rPr>
          <w:rFonts w:ascii="Arial" w:cs="Arial" w:eastAsia="Arial" w:hAnsi="Arial"/>
          <w:sz w:val="18"/>
          <w:szCs w:val="18"/>
          <w:u w:val="single" w:color="auto"/>
          <w:color w:val="auto"/>
        </w:rPr>
        <w:t>willful</w:t>
      </w:r>
      <w:r>
        <w:rPr>
          <w:rFonts w:ascii="Arial" w:cs="Arial" w:eastAsia="Arial" w:hAnsi="Arial"/>
          <w:sz w:val="18"/>
          <w:szCs w:val="18"/>
          <w:color w:val="auto"/>
        </w:rPr>
        <w:t>” unless done, or omitted to be done, by the Executive not in good faith and without reasonable belief that the Executive’s act, or failure to act, was in the best interests of the Company. Notwithstanding the foregoing, the Executive shall not be deemed terminated for Cause pursuant to clause (i) of this subsection (b) unless and until the Executive shall have been provided with reasonable notice of and, if possible, a reasonable opportunity to cure the facts and circumstances claimed to provide a basis for termination of the Executive’s employment for Cause.</w:t>
      </w:r>
    </w:p>
    <w:p>
      <w:pPr>
        <w:spacing w:after="0" w:line="155" w:lineRule="exact"/>
        <w:rPr>
          <w:sz w:val="20"/>
          <w:szCs w:val="20"/>
          <w:color w:val="auto"/>
        </w:rPr>
      </w:pPr>
    </w:p>
    <w:p>
      <w:pPr>
        <w:ind w:right="120" w:firstLine="1153"/>
        <w:spacing w:after="0" w:line="25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Change in Control</w:t>
      </w:r>
      <w:r>
        <w:rPr>
          <w:rFonts w:ascii="Arial" w:cs="Arial" w:eastAsia="Arial" w:hAnsi="Arial"/>
          <w:sz w:val="19"/>
          <w:szCs w:val="19"/>
          <w:color w:val="auto"/>
        </w:rPr>
        <w:t>” shall be deemed to have occurred on the date that a change in the ownership of Sempra Energy, a change in the effective control of Sempra Energy, or a change in the ownership of a substantial portion of assets of Sempra Energy occurs (each, as defined in subsection (a) below), except as otherwise provided in subsections (b), (c) and (d) below:</w:t>
      </w:r>
    </w:p>
    <w:p>
      <w:pPr>
        <w:sectPr>
          <w:pgSz w:w="11900" w:h="16838" w:orient="portrait"/>
          <w:cols w:equalWidth="0" w:num="1">
            <w:col w:w="11440"/>
          </w:cols>
          <w:pgMar w:left="240" w:top="115" w:right="219" w:bottom="0" w:gutter="0" w:footer="0" w:header="0"/>
        </w:sectPr>
      </w:pPr>
    </w:p>
    <w:bookmarkStart w:id="78" w:name="page79"/>
    <w:bookmarkEnd w:id="78"/>
    <w:p>
      <w:pPr>
        <w:jc w:val="both"/>
        <w:ind w:left="4" w:right="20" w:firstLine="1149"/>
        <w:spacing w:after="0" w:line="252" w:lineRule="auto"/>
        <w:tabs>
          <w:tab w:leader="none" w:pos="1734" w:val="left"/>
        </w:tabs>
        <w:numPr>
          <w:ilvl w:val="1"/>
          <w:numId w:val="71"/>
        </w:numPr>
        <w:rPr>
          <w:rFonts w:ascii="Arial" w:cs="Arial" w:eastAsia="Arial" w:hAnsi="Arial"/>
          <w:sz w:val="19"/>
          <w:szCs w:val="19"/>
          <w:color w:val="auto"/>
        </w:rPr>
      </w:pPr>
      <w:r>
        <w:rPr>
          <w:rFonts w:ascii="Arial" w:cs="Arial" w:eastAsia="Arial" w:hAnsi="Arial"/>
          <w:sz w:val="19"/>
          <w:szCs w:val="19"/>
          <w:color w:val="auto"/>
        </w:rPr>
        <w:t>(i) a “</w:t>
      </w:r>
      <w:r>
        <w:rPr>
          <w:rFonts w:ascii="Arial" w:cs="Arial" w:eastAsia="Arial" w:hAnsi="Arial"/>
          <w:sz w:val="19"/>
          <w:szCs w:val="19"/>
          <w:u w:val="single" w:color="auto"/>
          <w:color w:val="auto"/>
        </w:rPr>
        <w:t>change in the ownership of Sempra Energy</w:t>
      </w:r>
      <w:r>
        <w:rPr>
          <w:rFonts w:ascii="Arial" w:cs="Arial" w:eastAsia="Arial" w:hAnsi="Arial"/>
          <w:sz w:val="19"/>
          <w:szCs w:val="19"/>
          <w:color w:val="auto"/>
        </w:rPr>
        <w:t>” occurs on the date that any one person, or more than one person acting as a group, acquires ownership of stock of Sempra Energy that, together with stock held by such person or group, constitutes more than fifty percent (50%) of the total fair market value or total voting power of the stock of Sempra Energy,</w:t>
      </w:r>
    </w:p>
    <w:p>
      <w:pPr>
        <w:spacing w:after="0" w:line="141" w:lineRule="exact"/>
        <w:rPr>
          <w:rFonts w:ascii="Arial" w:cs="Arial" w:eastAsia="Arial" w:hAnsi="Arial"/>
          <w:sz w:val="19"/>
          <w:szCs w:val="19"/>
          <w:color w:val="auto"/>
        </w:rPr>
      </w:pPr>
    </w:p>
    <w:p>
      <w:pPr>
        <w:ind w:left="2304" w:hanging="574"/>
        <w:spacing w:after="0"/>
        <w:tabs>
          <w:tab w:leader="none" w:pos="2304" w:val="left"/>
        </w:tabs>
        <w:numPr>
          <w:ilvl w:val="2"/>
          <w:numId w:val="71"/>
        </w:numPr>
        <w:rPr>
          <w:rFonts w:ascii="Arial" w:cs="Arial" w:eastAsia="Arial" w:hAnsi="Arial"/>
          <w:sz w:val="19"/>
          <w:szCs w:val="19"/>
          <w:color w:val="auto"/>
        </w:rPr>
      </w:pPr>
      <w:r>
        <w:rPr>
          <w:rFonts w:ascii="Arial" w:cs="Arial" w:eastAsia="Arial" w:hAnsi="Arial"/>
          <w:sz w:val="19"/>
          <w:szCs w:val="19"/>
          <w:color w:val="auto"/>
        </w:rPr>
        <w:t>a “</w:t>
      </w:r>
      <w:r>
        <w:rPr>
          <w:rFonts w:ascii="Arial" w:cs="Arial" w:eastAsia="Arial" w:hAnsi="Arial"/>
          <w:sz w:val="19"/>
          <w:szCs w:val="19"/>
          <w:u w:val="single" w:color="auto"/>
          <w:color w:val="auto"/>
        </w:rPr>
        <w:t>change in the effective control of Sempra Energy</w:t>
      </w:r>
      <w:r>
        <w:rPr>
          <w:rFonts w:ascii="Arial" w:cs="Arial" w:eastAsia="Arial" w:hAnsi="Arial"/>
          <w:sz w:val="19"/>
          <w:szCs w:val="19"/>
          <w:color w:val="auto"/>
        </w:rPr>
        <w:t>” occurs only on either of the following dates:</w:t>
      </w:r>
    </w:p>
    <w:p>
      <w:pPr>
        <w:spacing w:after="0" w:line="189" w:lineRule="exact"/>
        <w:rPr>
          <w:rFonts w:ascii="Arial" w:cs="Arial" w:eastAsia="Arial" w:hAnsi="Arial"/>
          <w:sz w:val="19"/>
          <w:szCs w:val="19"/>
          <w:color w:val="auto"/>
        </w:rPr>
      </w:pPr>
    </w:p>
    <w:p>
      <w:pPr>
        <w:ind w:left="2884" w:hanging="578"/>
        <w:spacing w:after="0"/>
        <w:tabs>
          <w:tab w:leader="none" w:pos="2884" w:val="left"/>
        </w:tabs>
        <w:numPr>
          <w:ilvl w:val="3"/>
          <w:numId w:val="71"/>
        </w:numPr>
        <w:rPr>
          <w:rFonts w:ascii="Arial" w:cs="Arial" w:eastAsia="Arial" w:hAnsi="Arial"/>
          <w:sz w:val="17"/>
          <w:szCs w:val="17"/>
          <w:color w:val="auto"/>
        </w:rPr>
      </w:pPr>
      <w:r>
        <w:rPr>
          <w:rFonts w:ascii="Arial" w:cs="Arial" w:eastAsia="Arial" w:hAnsi="Arial"/>
          <w:sz w:val="17"/>
          <w:szCs w:val="17"/>
          <w:color w:val="auto"/>
        </w:rPr>
        <w:t>the date any one person, or more than one person acting as a group, acquires (or has acquired during the twelve</w:t>
      </w:r>
    </w:p>
    <w:p>
      <w:pPr>
        <w:spacing w:after="0" w:line="36" w:lineRule="exact"/>
        <w:rPr>
          <w:rFonts w:ascii="Arial" w:cs="Arial" w:eastAsia="Arial" w:hAnsi="Arial"/>
          <w:sz w:val="17"/>
          <w:szCs w:val="17"/>
          <w:color w:val="auto"/>
        </w:rPr>
      </w:pPr>
    </w:p>
    <w:p>
      <w:pPr>
        <w:ind w:left="4" w:right="300" w:hanging="4"/>
        <w:spacing w:after="0" w:line="249" w:lineRule="auto"/>
        <w:tabs>
          <w:tab w:leader="none" w:pos="372" w:val="left"/>
        </w:tabs>
        <w:numPr>
          <w:ilvl w:val="0"/>
          <w:numId w:val="72"/>
        </w:numPr>
        <w:rPr>
          <w:rFonts w:ascii="Arial" w:cs="Arial" w:eastAsia="Arial" w:hAnsi="Arial"/>
          <w:sz w:val="19"/>
          <w:szCs w:val="19"/>
          <w:color w:val="auto"/>
        </w:rPr>
      </w:pPr>
      <w:r>
        <w:rPr>
          <w:rFonts w:ascii="Arial" w:cs="Arial" w:eastAsia="Arial" w:hAnsi="Arial"/>
          <w:sz w:val="19"/>
          <w:szCs w:val="19"/>
          <w:color w:val="auto"/>
        </w:rPr>
        <w:t>month period ending on the date of the most recent acquisition by such person or persons) ownership of stock of Sempra Energy possessing thirty percent (30%) or more of the total voting power of the stock of Sempra Energy, or</w:t>
      </w:r>
    </w:p>
    <w:p>
      <w:pPr>
        <w:spacing w:after="0" w:line="143" w:lineRule="exact"/>
        <w:rPr>
          <w:rFonts w:ascii="Arial" w:cs="Arial" w:eastAsia="Arial" w:hAnsi="Arial"/>
          <w:sz w:val="19"/>
          <w:szCs w:val="19"/>
          <w:color w:val="auto"/>
        </w:rPr>
      </w:pPr>
    </w:p>
    <w:p>
      <w:pPr>
        <w:ind w:left="4" w:right="140" w:firstLine="2302"/>
        <w:spacing w:after="0" w:line="326" w:lineRule="auto"/>
        <w:tabs>
          <w:tab w:leader="none" w:pos="2887" w:val="left"/>
        </w:tabs>
        <w:numPr>
          <w:ilvl w:val="3"/>
          <w:numId w:val="72"/>
        </w:numPr>
        <w:rPr>
          <w:rFonts w:ascii="Arial" w:cs="Arial" w:eastAsia="Arial" w:hAnsi="Arial"/>
          <w:sz w:val="17"/>
          <w:szCs w:val="17"/>
          <w:color w:val="auto"/>
        </w:rPr>
      </w:pPr>
      <w:r>
        <w:rPr>
          <w:rFonts w:ascii="Arial" w:cs="Arial" w:eastAsia="Arial" w:hAnsi="Arial"/>
          <w:sz w:val="17"/>
          <w:szCs w:val="17"/>
          <w:color w:val="auto"/>
        </w:rPr>
        <w:t>the date a majority of the members of the Board is replaced during any twelve (12) month period by directors whose appointment or election is not endorsed by a majority of the members of the Board before the date of appointment or election, and</w:t>
      </w:r>
    </w:p>
    <w:p>
      <w:pPr>
        <w:spacing w:after="0" w:line="81" w:lineRule="exact"/>
        <w:rPr>
          <w:rFonts w:ascii="Arial" w:cs="Arial" w:eastAsia="Arial" w:hAnsi="Arial"/>
          <w:sz w:val="17"/>
          <w:szCs w:val="17"/>
          <w:color w:val="auto"/>
        </w:rPr>
      </w:pPr>
    </w:p>
    <w:p>
      <w:pPr>
        <w:ind w:left="4" w:right="40" w:firstLine="1726"/>
        <w:spacing w:after="0" w:line="285" w:lineRule="auto"/>
        <w:tabs>
          <w:tab w:leader="none" w:pos="2310" w:val="left"/>
        </w:tabs>
        <w:numPr>
          <w:ilvl w:val="2"/>
          <w:numId w:val="72"/>
        </w:numPr>
        <w:rPr>
          <w:rFonts w:ascii="Arial" w:cs="Arial" w:eastAsia="Arial" w:hAnsi="Arial"/>
          <w:sz w:val="17"/>
          <w:szCs w:val="17"/>
          <w:color w:val="auto"/>
        </w:rPr>
      </w:pPr>
      <w:r>
        <w:rPr>
          <w:rFonts w:ascii="Arial" w:cs="Arial" w:eastAsia="Arial" w:hAnsi="Arial"/>
          <w:sz w:val="17"/>
          <w:szCs w:val="17"/>
          <w:color w:val="auto"/>
        </w:rPr>
        <w:t>a “</w:t>
      </w:r>
      <w:r>
        <w:rPr>
          <w:rFonts w:ascii="Arial" w:cs="Arial" w:eastAsia="Arial" w:hAnsi="Arial"/>
          <w:sz w:val="17"/>
          <w:szCs w:val="17"/>
          <w:u w:val="single" w:color="auto"/>
          <w:color w:val="auto"/>
        </w:rPr>
        <w:t>change in the ownership of a substantial portion of assets of Sempra Energy</w:t>
      </w:r>
      <w:r>
        <w:rPr>
          <w:rFonts w:ascii="Arial" w:cs="Arial" w:eastAsia="Arial" w:hAnsi="Arial"/>
          <w:sz w:val="17"/>
          <w:szCs w:val="17"/>
          <w:color w:val="auto"/>
        </w:rPr>
        <w:t>” occurs on the date any one person, or more than one person acting as a group, acquires (or has acquired during the twelve (12) month period ending on the date of the most recent acquisition by such person or persons) assets from Sempra Energy that have a total gross fair market value equal to or more than eighty-five percent (85%) of the total gross fair market value of all of the assets of Sempra Energy immediately before such acquisition or acquisitions.</w:t>
      </w:r>
    </w:p>
    <w:p>
      <w:pPr>
        <w:spacing w:after="0" w:line="128" w:lineRule="exact"/>
        <w:rPr>
          <w:rFonts w:ascii="Arial" w:cs="Arial" w:eastAsia="Arial" w:hAnsi="Arial"/>
          <w:sz w:val="17"/>
          <w:szCs w:val="17"/>
          <w:color w:val="auto"/>
        </w:rPr>
      </w:pPr>
    </w:p>
    <w:p>
      <w:pPr>
        <w:ind w:left="4" w:right="20" w:firstLine="1149"/>
        <w:spacing w:after="0" w:line="266" w:lineRule="auto"/>
        <w:tabs>
          <w:tab w:leader="none" w:pos="1734" w:val="left"/>
        </w:tabs>
        <w:numPr>
          <w:ilvl w:val="1"/>
          <w:numId w:val="72"/>
        </w:numPr>
        <w:rPr>
          <w:rFonts w:ascii="Arial" w:cs="Arial" w:eastAsia="Arial" w:hAnsi="Arial"/>
          <w:sz w:val="19"/>
          <w:szCs w:val="19"/>
          <w:color w:val="auto"/>
        </w:rPr>
      </w:pPr>
      <w:r>
        <w:rPr>
          <w:rFonts w:ascii="Arial" w:cs="Arial" w:eastAsia="Arial" w:hAnsi="Arial"/>
          <w:sz w:val="19"/>
          <w:szCs w:val="19"/>
          <w:color w:val="auto"/>
        </w:rPr>
        <w:t>A “</w:t>
      </w:r>
      <w:r>
        <w:rPr>
          <w:rFonts w:ascii="Arial" w:cs="Arial" w:eastAsia="Arial" w:hAnsi="Arial"/>
          <w:sz w:val="19"/>
          <w:szCs w:val="19"/>
          <w:u w:val="single" w:color="auto"/>
          <w:color w:val="auto"/>
        </w:rPr>
        <w:t>change in the ownership of Sempra Energy</w:t>
      </w:r>
      <w:r>
        <w:rPr>
          <w:rFonts w:ascii="Arial" w:cs="Arial" w:eastAsia="Arial" w:hAnsi="Arial"/>
          <w:sz w:val="19"/>
          <w:szCs w:val="19"/>
          <w:color w:val="auto"/>
        </w:rPr>
        <w:t>” or “</w:t>
      </w:r>
      <w:r>
        <w:rPr>
          <w:rFonts w:ascii="Arial" w:cs="Arial" w:eastAsia="Arial" w:hAnsi="Arial"/>
          <w:sz w:val="19"/>
          <w:szCs w:val="19"/>
          <w:u w:val="single" w:color="auto"/>
          <w:color w:val="auto"/>
        </w:rPr>
        <w:t>a change in the effective control of Sempra Energy</w:t>
      </w:r>
      <w:r>
        <w:rPr>
          <w:rFonts w:ascii="Arial" w:cs="Arial" w:eastAsia="Arial" w:hAnsi="Arial"/>
          <w:sz w:val="19"/>
          <w:szCs w:val="19"/>
          <w:color w:val="auto"/>
        </w:rPr>
        <w:t>” shall not occur under clause (a)(i) or (a)(ii) by reason of any of the following:</w:t>
      </w:r>
    </w:p>
    <w:p>
      <w:pPr>
        <w:spacing w:after="0" w:line="128" w:lineRule="exact"/>
        <w:rPr>
          <w:rFonts w:ascii="Arial" w:cs="Arial" w:eastAsia="Arial" w:hAnsi="Arial"/>
          <w:sz w:val="19"/>
          <w:szCs w:val="19"/>
          <w:color w:val="auto"/>
        </w:rPr>
      </w:pPr>
    </w:p>
    <w:p>
      <w:pPr>
        <w:ind w:left="4" w:right="360" w:firstLine="1726"/>
        <w:spacing w:after="0" w:line="266" w:lineRule="auto"/>
        <w:tabs>
          <w:tab w:leader="none" w:pos="2310" w:val="left"/>
        </w:tabs>
        <w:numPr>
          <w:ilvl w:val="2"/>
          <w:numId w:val="73"/>
        </w:numPr>
        <w:rPr>
          <w:rFonts w:ascii="Arial" w:cs="Arial" w:eastAsia="Arial" w:hAnsi="Arial"/>
          <w:sz w:val="19"/>
          <w:szCs w:val="19"/>
          <w:color w:val="auto"/>
        </w:rPr>
      </w:pPr>
      <w:r>
        <w:rPr>
          <w:rFonts w:ascii="Arial" w:cs="Arial" w:eastAsia="Arial" w:hAnsi="Arial"/>
          <w:sz w:val="19"/>
          <w:szCs w:val="19"/>
          <w:color w:val="auto"/>
        </w:rPr>
        <w:t>an acquisition of ownership of stock of Sempra Energy directly from Sempra Energy or its Affiliates other than in connection with the acquisition by Sempra Energy or its Affiliates of a business,</w:t>
      </w:r>
    </w:p>
    <w:p>
      <w:pPr>
        <w:spacing w:after="0" w:line="128" w:lineRule="exact"/>
        <w:rPr>
          <w:rFonts w:ascii="Arial" w:cs="Arial" w:eastAsia="Arial" w:hAnsi="Arial"/>
          <w:sz w:val="19"/>
          <w:szCs w:val="19"/>
          <w:color w:val="auto"/>
        </w:rPr>
      </w:pPr>
    </w:p>
    <w:p>
      <w:pPr>
        <w:ind w:left="4" w:right="20" w:firstLine="1726"/>
        <w:spacing w:after="0" w:line="244" w:lineRule="auto"/>
        <w:tabs>
          <w:tab w:leader="none" w:pos="2310" w:val="left"/>
        </w:tabs>
        <w:numPr>
          <w:ilvl w:val="2"/>
          <w:numId w:val="73"/>
        </w:numPr>
        <w:rPr>
          <w:rFonts w:ascii="Arial" w:cs="Arial" w:eastAsia="Arial" w:hAnsi="Arial"/>
          <w:sz w:val="19"/>
          <w:szCs w:val="19"/>
          <w:color w:val="auto"/>
        </w:rPr>
      </w:pPr>
      <w:r>
        <w:rPr>
          <w:rFonts w:ascii="Arial" w:cs="Arial" w:eastAsia="Arial" w:hAnsi="Arial"/>
          <w:sz w:val="19"/>
          <w:szCs w:val="19"/>
          <w:color w:val="auto"/>
        </w:rPr>
        <w:t>a merger or consolidation which would result in the voting securities of Sempra Energy outstanding immediately prior to such merger or consolidation continuing to represent (either by remaining outstanding or by being converted into voting securities of the surviving entity or any parent thereof), in combination with the ownership of any trustee or other fiduciary holding securities under an employee benefit plan of the Company, at least sixty percent (60%) of the combined voting power of the securities of Sempra Energy or such surviving entity or any parent thereof outstanding immediately after such merger or consolidation, or</w:t>
      </w:r>
    </w:p>
    <w:p>
      <w:pPr>
        <w:spacing w:after="0" w:line="162" w:lineRule="exact"/>
        <w:rPr>
          <w:rFonts w:ascii="Arial" w:cs="Arial" w:eastAsia="Arial" w:hAnsi="Arial"/>
          <w:sz w:val="19"/>
          <w:szCs w:val="19"/>
          <w:color w:val="auto"/>
        </w:rPr>
      </w:pPr>
    </w:p>
    <w:p>
      <w:pPr>
        <w:ind w:left="4" w:firstLine="1726"/>
        <w:spacing w:after="0" w:line="244" w:lineRule="auto"/>
        <w:tabs>
          <w:tab w:leader="none" w:pos="2310" w:val="left"/>
        </w:tabs>
        <w:numPr>
          <w:ilvl w:val="2"/>
          <w:numId w:val="73"/>
        </w:numPr>
        <w:rPr>
          <w:rFonts w:ascii="Arial" w:cs="Arial" w:eastAsia="Arial" w:hAnsi="Arial"/>
          <w:sz w:val="19"/>
          <w:szCs w:val="19"/>
          <w:color w:val="auto"/>
        </w:rPr>
      </w:pPr>
      <w:r>
        <w:rPr>
          <w:rFonts w:ascii="Arial" w:cs="Arial" w:eastAsia="Arial" w:hAnsi="Arial"/>
          <w:sz w:val="19"/>
          <w:szCs w:val="19"/>
          <w:color w:val="auto"/>
        </w:rPr>
        <w:t>a merger or consolidation effected to implement a recapitalization of Sempra Energy (or similar transaction) in which no Person is or becomes the Beneficial Owner, directly or indirectly, of securities of Sempra Energy (not including the securities beneficially owned by such Person any securities acquired directly from Sempra Energy or its Affiliates other than in connection with the acquisition by Sempra Energy or its Affiliates of a business) representing twenty percent (20%) or more of the combined voting power of Sempra Energy’s then outstanding securities.</w:t>
      </w:r>
    </w:p>
    <w:p>
      <w:pPr>
        <w:spacing w:after="0" w:line="150" w:lineRule="exact"/>
        <w:rPr>
          <w:rFonts w:ascii="Arial" w:cs="Arial" w:eastAsia="Arial" w:hAnsi="Arial"/>
          <w:sz w:val="19"/>
          <w:szCs w:val="19"/>
          <w:color w:val="auto"/>
        </w:rPr>
      </w:pPr>
    </w:p>
    <w:p>
      <w:pPr>
        <w:ind w:left="4" w:right="300" w:firstLine="1149"/>
        <w:spacing w:after="0" w:line="247" w:lineRule="auto"/>
        <w:tabs>
          <w:tab w:leader="none" w:pos="1734" w:val="left"/>
        </w:tabs>
        <w:numPr>
          <w:ilvl w:val="1"/>
          <w:numId w:val="74"/>
        </w:numPr>
        <w:rPr>
          <w:rFonts w:ascii="Arial" w:cs="Arial" w:eastAsia="Arial" w:hAnsi="Arial"/>
          <w:sz w:val="19"/>
          <w:szCs w:val="19"/>
          <w:color w:val="auto"/>
        </w:rPr>
      </w:pPr>
      <w:r>
        <w:rPr>
          <w:rFonts w:ascii="Arial" w:cs="Arial" w:eastAsia="Arial" w:hAnsi="Arial"/>
          <w:sz w:val="19"/>
          <w:szCs w:val="19"/>
          <w:color w:val="auto"/>
        </w:rPr>
        <w:t>A “</w:t>
      </w:r>
      <w:r>
        <w:rPr>
          <w:rFonts w:ascii="Arial" w:cs="Arial" w:eastAsia="Arial" w:hAnsi="Arial"/>
          <w:sz w:val="19"/>
          <w:szCs w:val="19"/>
          <w:u w:val="single" w:color="auto"/>
          <w:color w:val="auto"/>
        </w:rPr>
        <w:t>change in the ownership of a substantial portion of assets of Sempra Energy</w:t>
      </w:r>
      <w:r>
        <w:rPr>
          <w:rFonts w:ascii="Arial" w:cs="Arial" w:eastAsia="Arial" w:hAnsi="Arial"/>
          <w:sz w:val="19"/>
          <w:szCs w:val="19"/>
          <w:color w:val="auto"/>
        </w:rPr>
        <w:t>” shall not occur under clause (a)(iii) by reason of a sale or disposition by Sempra Energy of the assets of Sempra Energy to an entity, at least sixty percent (60%) of the combined voting power of the voting securities of which are owned by shareholders of Sempra Energy in substantially the same proportions as their ownership of Sempra Energy immediately prior to such sale.</w:t>
      </w:r>
    </w:p>
    <w:p>
      <w:pPr>
        <w:spacing w:after="0" w:line="145" w:lineRule="exact"/>
        <w:rPr>
          <w:rFonts w:ascii="Arial" w:cs="Arial" w:eastAsia="Arial" w:hAnsi="Arial"/>
          <w:sz w:val="19"/>
          <w:szCs w:val="19"/>
          <w:color w:val="auto"/>
        </w:rPr>
      </w:pPr>
    </w:p>
    <w:p>
      <w:pPr>
        <w:ind w:left="4" w:right="20" w:firstLine="1149"/>
        <w:spacing w:after="0" w:line="252" w:lineRule="auto"/>
        <w:tabs>
          <w:tab w:leader="none" w:pos="1734" w:val="left"/>
        </w:tabs>
        <w:numPr>
          <w:ilvl w:val="1"/>
          <w:numId w:val="74"/>
        </w:numPr>
        <w:rPr>
          <w:rFonts w:ascii="Arial" w:cs="Arial" w:eastAsia="Arial" w:hAnsi="Arial"/>
          <w:sz w:val="19"/>
          <w:szCs w:val="19"/>
          <w:color w:val="auto"/>
        </w:rPr>
      </w:pPr>
      <w:r>
        <w:rPr>
          <w:rFonts w:ascii="Arial" w:cs="Arial" w:eastAsia="Arial" w:hAnsi="Arial"/>
          <w:sz w:val="19"/>
          <w:szCs w:val="19"/>
          <w:color w:val="auto"/>
        </w:rPr>
        <w:t>This definition of “</w:t>
      </w:r>
      <w:r>
        <w:rPr>
          <w:rFonts w:ascii="Arial" w:cs="Arial" w:eastAsia="Arial" w:hAnsi="Arial"/>
          <w:sz w:val="19"/>
          <w:szCs w:val="19"/>
          <w:u w:val="single" w:color="auto"/>
          <w:color w:val="auto"/>
        </w:rPr>
        <w:t>Change in Control</w:t>
      </w:r>
      <w:r>
        <w:rPr>
          <w:rFonts w:ascii="Arial" w:cs="Arial" w:eastAsia="Arial" w:hAnsi="Arial"/>
          <w:sz w:val="19"/>
          <w:szCs w:val="19"/>
          <w:color w:val="auto"/>
        </w:rPr>
        <w:t>” shall be limited to the definition of a “change in control event” relating to Sempra Energy under Treasury Regulation Section 1.409A-3(i)(5). A “</w:t>
      </w:r>
      <w:r>
        <w:rPr>
          <w:rFonts w:ascii="Arial" w:cs="Arial" w:eastAsia="Arial" w:hAnsi="Arial"/>
          <w:sz w:val="19"/>
          <w:szCs w:val="19"/>
          <w:u w:val="single" w:color="auto"/>
          <w:color w:val="auto"/>
        </w:rPr>
        <w:t>Change in Control</w:t>
      </w:r>
      <w:r>
        <w:rPr>
          <w:rFonts w:ascii="Arial" w:cs="Arial" w:eastAsia="Arial" w:hAnsi="Arial"/>
          <w:sz w:val="19"/>
          <w:szCs w:val="19"/>
          <w:color w:val="auto"/>
        </w:rPr>
        <w:t>” shall only occur if there is a “change in control event” relating to Sempra Energy under Treasury Regulation Section 1.409A-3(i)(5) with respect to the Executive.</w:t>
      </w:r>
    </w:p>
    <w:p>
      <w:pPr>
        <w:spacing w:after="0" w:line="153" w:lineRule="exact"/>
        <w:rPr>
          <w:sz w:val="20"/>
          <w:szCs w:val="20"/>
          <w:color w:val="auto"/>
        </w:rPr>
      </w:pPr>
    </w:p>
    <w:p>
      <w:pPr>
        <w:ind w:left="1144"/>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Change in Control Date</w:t>
      </w:r>
      <w:r>
        <w:rPr>
          <w:rFonts w:ascii="Arial" w:cs="Arial" w:eastAsia="Arial" w:hAnsi="Arial"/>
          <w:sz w:val="19"/>
          <w:szCs w:val="19"/>
          <w:color w:val="auto"/>
        </w:rPr>
        <w:t>” means the date on which a Change in Control occurs.</w:t>
      </w:r>
    </w:p>
    <w:p>
      <w:pPr>
        <w:spacing w:after="0" w:line="190" w:lineRule="exact"/>
        <w:rPr>
          <w:sz w:val="20"/>
          <w:szCs w:val="20"/>
          <w:color w:val="auto"/>
        </w:rPr>
      </w:pPr>
    </w:p>
    <w:p>
      <w:pPr>
        <w:ind w:left="1144"/>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Code</w:t>
      </w:r>
      <w:r>
        <w:rPr>
          <w:rFonts w:ascii="Arial" w:cs="Arial" w:eastAsia="Arial" w:hAnsi="Arial"/>
          <w:sz w:val="19"/>
          <w:szCs w:val="19"/>
          <w:color w:val="auto"/>
        </w:rPr>
        <w:t>” means the Internal Revenue Code of 1986, as amended.</w:t>
      </w:r>
    </w:p>
    <w:p>
      <w:pPr>
        <w:spacing w:after="0" w:line="190" w:lineRule="exact"/>
        <w:rPr>
          <w:sz w:val="20"/>
          <w:szCs w:val="20"/>
          <w:color w:val="auto"/>
        </w:rPr>
      </w:pPr>
    </w:p>
    <w:p>
      <w:pPr>
        <w:ind w:left="1144"/>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Compensation Committee</w:t>
      </w:r>
      <w:r>
        <w:rPr>
          <w:rFonts w:ascii="Arial" w:cs="Arial" w:eastAsia="Arial" w:hAnsi="Arial"/>
          <w:sz w:val="19"/>
          <w:szCs w:val="19"/>
          <w:color w:val="auto"/>
        </w:rPr>
        <w:t>” means the compensation committee of the Board.</w:t>
      </w:r>
    </w:p>
    <w:p>
      <w:pPr>
        <w:spacing w:after="0" w:line="190" w:lineRule="exact"/>
        <w:rPr>
          <w:sz w:val="20"/>
          <w:szCs w:val="20"/>
          <w:color w:val="auto"/>
        </w:rPr>
      </w:pPr>
    </w:p>
    <w:p>
      <w:pPr>
        <w:ind w:left="1144"/>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Consulting Period</w:t>
      </w:r>
      <w:r>
        <w:rPr>
          <w:rFonts w:ascii="Arial" w:cs="Arial" w:eastAsia="Arial" w:hAnsi="Arial"/>
          <w:sz w:val="19"/>
          <w:szCs w:val="19"/>
          <w:color w:val="auto"/>
        </w:rPr>
        <w:t>” has the meaning assigned thereto in Section 14(e) hereof.</w:t>
      </w:r>
    </w:p>
    <w:p>
      <w:pPr>
        <w:spacing w:after="0" w:line="190" w:lineRule="exact"/>
        <w:rPr>
          <w:sz w:val="20"/>
          <w:szCs w:val="20"/>
          <w:color w:val="auto"/>
        </w:rPr>
      </w:pPr>
    </w:p>
    <w:p>
      <w:pPr>
        <w:ind w:left="1144"/>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Date of Termination</w:t>
      </w:r>
      <w:r>
        <w:rPr>
          <w:rFonts w:ascii="Arial" w:cs="Arial" w:eastAsia="Arial" w:hAnsi="Arial"/>
          <w:sz w:val="19"/>
          <w:szCs w:val="19"/>
          <w:color w:val="auto"/>
        </w:rPr>
        <w:t>” has the meaning assigned thereto in Section 3(b) hereof.</w:t>
      </w:r>
    </w:p>
    <w:p>
      <w:pPr>
        <w:spacing w:after="0" w:line="190" w:lineRule="exact"/>
        <w:rPr>
          <w:sz w:val="20"/>
          <w:szCs w:val="20"/>
          <w:color w:val="auto"/>
        </w:rPr>
      </w:pPr>
    </w:p>
    <w:p>
      <w:pPr>
        <w:ind w:left="1144"/>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Deferred Compensation Plan</w:t>
      </w:r>
      <w:r>
        <w:rPr>
          <w:rFonts w:ascii="Arial" w:cs="Arial" w:eastAsia="Arial" w:hAnsi="Arial"/>
          <w:sz w:val="19"/>
          <w:szCs w:val="19"/>
          <w:color w:val="auto"/>
        </w:rPr>
        <w:t>” has the meaning assigned thereto in Section 5(f) hereof.</w:t>
      </w:r>
    </w:p>
    <w:p>
      <w:pPr>
        <w:spacing w:after="0" w:line="190" w:lineRule="exact"/>
        <w:rPr>
          <w:sz w:val="20"/>
          <w:szCs w:val="20"/>
          <w:color w:val="auto"/>
        </w:rPr>
      </w:pPr>
    </w:p>
    <w:p>
      <w:pPr>
        <w:ind w:left="4" w:right="80" w:firstLine="1153"/>
        <w:spacing w:after="0" w:line="24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Disability</w:t>
      </w:r>
      <w:r>
        <w:rPr>
          <w:rFonts w:ascii="Arial" w:cs="Arial" w:eastAsia="Arial" w:hAnsi="Arial"/>
          <w:sz w:val="19"/>
          <w:szCs w:val="19"/>
          <w:color w:val="auto"/>
        </w:rPr>
        <w:t xml:space="preserve">” has the meaning set forth in the Company’s long-term disability plan or its successor;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the Board may not terminate the Executive’s employment hereunder by reason of Disability unless (i) at the time of such termination there is no reasonable expectation that the Executive will return to work within the next ninety (90) day period and (ii) such termination is permitted by all applicable disability laws.</w:t>
      </w:r>
    </w:p>
    <w:p>
      <w:pPr>
        <w:spacing w:after="0" w:line="158" w:lineRule="exact"/>
        <w:rPr>
          <w:sz w:val="20"/>
          <w:szCs w:val="20"/>
          <w:color w:val="auto"/>
        </w:rPr>
      </w:pPr>
    </w:p>
    <w:p>
      <w:pPr>
        <w:ind w:left="11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Act</w:t>
      </w:r>
      <w:r>
        <w:rPr>
          <w:rFonts w:ascii="Arial" w:cs="Arial" w:eastAsia="Arial" w:hAnsi="Arial"/>
          <w:sz w:val="18"/>
          <w:szCs w:val="18"/>
          <w:color w:val="auto"/>
        </w:rPr>
        <w:t>” means the Securities Exchange Act of 1934, as amended, and the applicable rulings and regulations thereunder.</w:t>
      </w:r>
    </w:p>
    <w:p>
      <w:pPr>
        <w:spacing w:after="0" w:line="201" w:lineRule="exact"/>
        <w:rPr>
          <w:sz w:val="20"/>
          <w:szCs w:val="20"/>
          <w:color w:val="auto"/>
        </w:rPr>
      </w:pPr>
    </w:p>
    <w:p>
      <w:pPr>
        <w:ind w:left="1144"/>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Effective Date</w:t>
      </w:r>
      <w:r>
        <w:rPr>
          <w:rFonts w:ascii="Arial" w:cs="Arial" w:eastAsia="Arial" w:hAnsi="Arial"/>
          <w:sz w:val="19"/>
          <w:szCs w:val="19"/>
          <w:color w:val="auto"/>
        </w:rPr>
        <w:t>” means _________________.</w:t>
      </w:r>
    </w:p>
    <w:p>
      <w:pPr>
        <w:spacing w:after="0" w:line="190" w:lineRule="exact"/>
        <w:rPr>
          <w:sz w:val="20"/>
          <w:szCs w:val="20"/>
          <w:color w:val="auto"/>
        </w:rPr>
      </w:pPr>
    </w:p>
    <w:p>
      <w:pPr>
        <w:ind w:left="1144"/>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Excise Tax</w:t>
      </w:r>
      <w:r>
        <w:rPr>
          <w:rFonts w:ascii="Arial" w:cs="Arial" w:eastAsia="Arial" w:hAnsi="Arial"/>
          <w:sz w:val="19"/>
          <w:szCs w:val="19"/>
          <w:color w:val="auto"/>
        </w:rPr>
        <w:t>” has the meaning assigned thereto in Section 9(a) hereof.</w:t>
      </w:r>
    </w:p>
    <w:p>
      <w:pPr>
        <w:spacing w:after="0" w:line="190" w:lineRule="exact"/>
        <w:rPr>
          <w:sz w:val="20"/>
          <w:szCs w:val="20"/>
          <w:color w:val="auto"/>
        </w:rPr>
      </w:pPr>
    </w:p>
    <w:p>
      <w:pPr>
        <w:ind w:left="1144"/>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Good Reason</w:t>
      </w:r>
      <w:r>
        <w:rPr>
          <w:rFonts w:ascii="Arial" w:cs="Arial" w:eastAsia="Arial" w:hAnsi="Arial"/>
          <w:sz w:val="19"/>
          <w:szCs w:val="19"/>
          <w:color w:val="auto"/>
        </w:rPr>
        <w:t>” means:</w:t>
      </w:r>
    </w:p>
    <w:p>
      <w:pPr>
        <w:spacing w:after="0" w:line="190" w:lineRule="exact"/>
        <w:rPr>
          <w:sz w:val="20"/>
          <w:szCs w:val="20"/>
          <w:color w:val="auto"/>
        </w:rPr>
      </w:pPr>
    </w:p>
    <w:p>
      <w:pPr>
        <w:ind w:left="4" w:right="340" w:firstLine="1149"/>
        <w:spacing w:after="0" w:line="252" w:lineRule="auto"/>
        <w:tabs>
          <w:tab w:leader="none" w:pos="1734" w:val="left"/>
        </w:tabs>
        <w:numPr>
          <w:ilvl w:val="0"/>
          <w:numId w:val="75"/>
        </w:numPr>
        <w:rPr>
          <w:rFonts w:ascii="Arial" w:cs="Arial" w:eastAsia="Arial" w:hAnsi="Arial"/>
          <w:sz w:val="19"/>
          <w:szCs w:val="19"/>
          <w:color w:val="auto"/>
        </w:rPr>
      </w:pPr>
      <w:r>
        <w:rPr>
          <w:rFonts w:ascii="Arial" w:cs="Arial" w:eastAsia="Arial" w:hAnsi="Arial"/>
          <w:sz w:val="19"/>
          <w:szCs w:val="19"/>
          <w:color w:val="auto"/>
        </w:rPr>
        <w:t>Prior to a Change in Control, the occurrence of any of the following without the prior written consent of the Executive, unless such act or failure to act is corrected by the Company prior to the Date of Termination specified in the Notice of Termination (as required under Section 3 hereof):</w:t>
      </w:r>
    </w:p>
    <w:p>
      <w:pPr>
        <w:spacing w:after="0" w:line="140" w:lineRule="exact"/>
        <w:rPr>
          <w:rFonts w:ascii="Arial" w:cs="Arial" w:eastAsia="Arial" w:hAnsi="Arial"/>
          <w:sz w:val="19"/>
          <w:szCs w:val="19"/>
          <w:color w:val="auto"/>
        </w:rPr>
      </w:pPr>
    </w:p>
    <w:p>
      <w:pPr>
        <w:ind w:left="4" w:right="380" w:firstLine="1726"/>
        <w:spacing w:after="0" w:line="252" w:lineRule="auto"/>
        <w:tabs>
          <w:tab w:leader="none" w:pos="2310" w:val="left"/>
        </w:tabs>
        <w:numPr>
          <w:ilvl w:val="1"/>
          <w:numId w:val="75"/>
        </w:numPr>
        <w:rPr>
          <w:rFonts w:ascii="Arial" w:cs="Arial" w:eastAsia="Arial" w:hAnsi="Arial"/>
          <w:sz w:val="19"/>
          <w:szCs w:val="19"/>
          <w:color w:val="auto"/>
        </w:rPr>
      </w:pPr>
      <w:r>
        <w:rPr>
          <w:rFonts w:ascii="Arial" w:cs="Arial" w:eastAsia="Arial" w:hAnsi="Arial"/>
          <w:sz w:val="19"/>
          <w:szCs w:val="19"/>
          <w:color w:val="auto"/>
        </w:rPr>
        <w:t>the assignment to the Executive of any duties materially inconsistent with the range of duties and responsibilities appropriate to a senior Executive within the Company (such range determined by reference to past, current and reasonable practices within the Company);</w:t>
      </w:r>
    </w:p>
    <w:p>
      <w:pPr>
        <w:spacing w:after="0" w:line="153" w:lineRule="exact"/>
        <w:rPr>
          <w:sz w:val="20"/>
          <w:szCs w:val="20"/>
          <w:color w:val="auto"/>
        </w:rPr>
      </w:pPr>
    </w:p>
    <w:p>
      <w:pPr>
        <w:ind w:left="1724"/>
        <w:spacing w:after="0"/>
        <w:rPr>
          <w:sz w:val="20"/>
          <w:szCs w:val="20"/>
          <w:color w:val="auto"/>
        </w:rPr>
      </w:pPr>
      <w:r>
        <w:rPr>
          <w:rFonts w:ascii="Arial" w:cs="Arial" w:eastAsia="Arial" w:hAnsi="Arial"/>
          <w:sz w:val="19"/>
          <w:szCs w:val="19"/>
          <w:color w:val="auto"/>
        </w:rPr>
        <w:t>(ii)</w:t>
      </w:r>
    </w:p>
    <w:p>
      <w:pPr>
        <w:sectPr>
          <w:pgSz w:w="11900" w:h="16838" w:orient="portrait"/>
          <w:cols w:equalWidth="0" w:num="1">
            <w:col w:w="11424"/>
          </w:cols>
          <w:pgMar w:left="236" w:top="120" w:right="239" w:bottom="0" w:gutter="0" w:footer="0" w:header="0"/>
        </w:sectPr>
      </w:pPr>
    </w:p>
    <w:bookmarkStart w:id="79" w:name="page80"/>
    <w:bookmarkEnd w:id="79"/>
    <w:p>
      <w:pPr>
        <w:ind w:left="2304"/>
        <w:spacing w:after="0"/>
        <w:rPr>
          <w:sz w:val="20"/>
          <w:szCs w:val="20"/>
          <w:color w:val="auto"/>
        </w:rPr>
      </w:pPr>
      <w:r>
        <w:rPr>
          <w:rFonts w:ascii="Arial" w:cs="Arial" w:eastAsia="Arial" w:hAnsi="Arial"/>
          <w:sz w:val="18"/>
          <w:szCs w:val="18"/>
          <w:color w:val="auto"/>
        </w:rPr>
        <w:t>a material reduction in the Executive’s overall standing and responsibilities within the Company, but not including</w:t>
      </w:r>
    </w:p>
    <w:p>
      <w:pPr>
        <w:spacing w:after="0" w:line="26" w:lineRule="exact"/>
        <w:rPr>
          <w:sz w:val="20"/>
          <w:szCs w:val="20"/>
          <w:color w:val="auto"/>
        </w:rPr>
      </w:pPr>
    </w:p>
    <w:p>
      <w:pPr>
        <w:ind w:left="4" w:right="260" w:hanging="4"/>
        <w:spacing w:after="0" w:line="249" w:lineRule="auto"/>
        <w:tabs>
          <w:tab w:leader="none" w:pos="319" w:val="left"/>
        </w:tabs>
        <w:numPr>
          <w:ilvl w:val="0"/>
          <w:numId w:val="76"/>
        </w:numPr>
        <w:rPr>
          <w:rFonts w:ascii="Arial" w:cs="Arial" w:eastAsia="Arial" w:hAnsi="Arial"/>
          <w:sz w:val="19"/>
          <w:szCs w:val="19"/>
          <w:color w:val="auto"/>
        </w:rPr>
      </w:pPr>
      <w:r>
        <w:rPr>
          <w:rFonts w:ascii="Arial" w:cs="Arial" w:eastAsia="Arial" w:hAnsi="Arial"/>
          <w:sz w:val="19"/>
          <w:szCs w:val="19"/>
          <w:color w:val="auto"/>
        </w:rPr>
        <w:t>a mere change in title or (B) a transfer within the Company, which, in the case of both (A) and (B), does not adversely affect the Executive’s overall status within the Company;</w:t>
      </w:r>
    </w:p>
    <w:p>
      <w:pPr>
        <w:spacing w:after="0" w:line="143" w:lineRule="exact"/>
        <w:rPr>
          <w:rFonts w:ascii="Arial" w:cs="Arial" w:eastAsia="Arial" w:hAnsi="Arial"/>
          <w:sz w:val="19"/>
          <w:szCs w:val="19"/>
          <w:color w:val="auto"/>
        </w:rPr>
      </w:pPr>
    </w:p>
    <w:p>
      <w:pPr>
        <w:ind w:left="4" w:right="80" w:firstLine="1726"/>
        <w:spacing w:after="0" w:line="252" w:lineRule="auto"/>
        <w:tabs>
          <w:tab w:leader="none" w:pos="2310" w:val="left"/>
        </w:tabs>
        <w:numPr>
          <w:ilvl w:val="2"/>
          <w:numId w:val="76"/>
        </w:numPr>
        <w:rPr>
          <w:rFonts w:ascii="Arial" w:cs="Arial" w:eastAsia="Arial" w:hAnsi="Arial"/>
          <w:sz w:val="19"/>
          <w:szCs w:val="19"/>
          <w:color w:val="auto"/>
        </w:rPr>
      </w:pPr>
      <w:r>
        <w:rPr>
          <w:rFonts w:ascii="Arial" w:cs="Arial" w:eastAsia="Arial" w:hAnsi="Arial"/>
          <w:sz w:val="19"/>
          <w:szCs w:val="19"/>
          <w:color w:val="auto"/>
        </w:rPr>
        <w:t>a material reduction by the Company in the Executive’s aggregate annualized compensation and benefits opportunities, except for across-the-board reductions (or modifications of benefit plans) similarly affecting all similarly situated executives (both of the Company and of any Person then in control of the Company) of comparable rank with the Executive;</w:t>
      </w:r>
    </w:p>
    <w:p>
      <w:pPr>
        <w:spacing w:after="0" w:line="152" w:lineRule="exact"/>
        <w:rPr>
          <w:rFonts w:ascii="Arial" w:cs="Arial" w:eastAsia="Arial" w:hAnsi="Arial"/>
          <w:sz w:val="19"/>
          <w:szCs w:val="19"/>
          <w:color w:val="auto"/>
        </w:rPr>
      </w:pPr>
    </w:p>
    <w:p>
      <w:pPr>
        <w:ind w:left="4" w:right="40" w:firstLine="1726"/>
        <w:spacing w:after="0" w:line="252" w:lineRule="auto"/>
        <w:tabs>
          <w:tab w:leader="none" w:pos="2310" w:val="left"/>
        </w:tabs>
        <w:numPr>
          <w:ilvl w:val="2"/>
          <w:numId w:val="76"/>
        </w:numPr>
        <w:rPr>
          <w:rFonts w:ascii="Arial" w:cs="Arial" w:eastAsia="Arial" w:hAnsi="Arial"/>
          <w:sz w:val="19"/>
          <w:szCs w:val="19"/>
          <w:color w:val="auto"/>
        </w:rPr>
      </w:pPr>
      <w:r>
        <w:rPr>
          <w:rFonts w:ascii="Arial" w:cs="Arial" w:eastAsia="Arial" w:hAnsi="Arial"/>
          <w:sz w:val="19"/>
          <w:szCs w:val="19"/>
          <w:color w:val="auto"/>
        </w:rPr>
        <w:t>the failure by the Company to pay to the Executive any portion of the Executive’s current compensation and benefits or any portion of an installment of deferred compensation under any deferred compensation program of the Company within thirty (30) days of the date such compensation is due;</w:t>
      </w:r>
    </w:p>
    <w:p>
      <w:pPr>
        <w:spacing w:after="0" w:line="140" w:lineRule="exact"/>
        <w:rPr>
          <w:rFonts w:ascii="Arial" w:cs="Arial" w:eastAsia="Arial" w:hAnsi="Arial"/>
          <w:sz w:val="19"/>
          <w:szCs w:val="19"/>
          <w:color w:val="auto"/>
        </w:rPr>
      </w:pPr>
    </w:p>
    <w:p>
      <w:pPr>
        <w:ind w:left="4" w:right="360" w:firstLine="1726"/>
        <w:spacing w:after="0" w:line="326" w:lineRule="auto"/>
        <w:tabs>
          <w:tab w:leader="none" w:pos="2310" w:val="left"/>
        </w:tabs>
        <w:numPr>
          <w:ilvl w:val="2"/>
          <w:numId w:val="76"/>
        </w:numPr>
        <w:rPr>
          <w:rFonts w:ascii="Arial" w:cs="Arial" w:eastAsia="Arial" w:hAnsi="Arial"/>
          <w:sz w:val="17"/>
          <w:szCs w:val="17"/>
          <w:color w:val="auto"/>
        </w:rPr>
      </w:pPr>
      <w:r>
        <w:rPr>
          <w:rFonts w:ascii="Arial" w:cs="Arial" w:eastAsia="Arial" w:hAnsi="Arial"/>
          <w:sz w:val="17"/>
          <w:szCs w:val="17"/>
          <w:color w:val="auto"/>
        </w:rPr>
        <w:t>any purported termination of the Executive’s employment that is not effected pursuant to a Notice of Termination satisfying the requirements of Section 3 hereof; for purposes of this Agreement, no such purported termination shall be effective;</w:t>
      </w:r>
    </w:p>
    <w:p>
      <w:pPr>
        <w:spacing w:after="0" w:line="81" w:lineRule="exact"/>
        <w:rPr>
          <w:rFonts w:ascii="Arial" w:cs="Arial" w:eastAsia="Arial" w:hAnsi="Arial"/>
          <w:sz w:val="17"/>
          <w:szCs w:val="17"/>
          <w:color w:val="auto"/>
        </w:rPr>
      </w:pPr>
    </w:p>
    <w:p>
      <w:pPr>
        <w:ind w:left="2304" w:hanging="574"/>
        <w:spacing w:after="0"/>
        <w:tabs>
          <w:tab w:leader="none" w:pos="2304" w:val="left"/>
        </w:tabs>
        <w:numPr>
          <w:ilvl w:val="2"/>
          <w:numId w:val="76"/>
        </w:numPr>
        <w:rPr>
          <w:rFonts w:ascii="Arial" w:cs="Arial" w:eastAsia="Arial" w:hAnsi="Arial"/>
          <w:sz w:val="19"/>
          <w:szCs w:val="19"/>
          <w:color w:val="auto"/>
        </w:rPr>
      </w:pPr>
      <w:r>
        <w:rPr>
          <w:rFonts w:ascii="Arial" w:cs="Arial" w:eastAsia="Arial" w:hAnsi="Arial"/>
          <w:sz w:val="19"/>
          <w:szCs w:val="19"/>
          <w:color w:val="auto"/>
        </w:rPr>
        <w:t>the failure by Sempra Energy to perform its obligations under Section 16(c), (d) or (e) hereof;</w:t>
      </w:r>
    </w:p>
    <w:p>
      <w:pPr>
        <w:spacing w:after="0" w:line="189" w:lineRule="exact"/>
        <w:rPr>
          <w:rFonts w:ascii="Arial" w:cs="Arial" w:eastAsia="Arial" w:hAnsi="Arial"/>
          <w:sz w:val="19"/>
          <w:szCs w:val="19"/>
          <w:color w:val="auto"/>
        </w:rPr>
      </w:pPr>
    </w:p>
    <w:p>
      <w:pPr>
        <w:ind w:left="4" w:right="820" w:firstLine="1726"/>
        <w:spacing w:after="0" w:line="266" w:lineRule="auto"/>
        <w:tabs>
          <w:tab w:leader="none" w:pos="2310" w:val="left"/>
        </w:tabs>
        <w:numPr>
          <w:ilvl w:val="2"/>
          <w:numId w:val="76"/>
        </w:numPr>
        <w:rPr>
          <w:rFonts w:ascii="Arial" w:cs="Arial" w:eastAsia="Arial" w:hAnsi="Arial"/>
          <w:sz w:val="19"/>
          <w:szCs w:val="19"/>
          <w:color w:val="auto"/>
        </w:rPr>
      </w:pPr>
      <w:r>
        <w:rPr>
          <w:rFonts w:ascii="Arial" w:cs="Arial" w:eastAsia="Arial" w:hAnsi="Arial"/>
          <w:sz w:val="19"/>
          <w:szCs w:val="19"/>
          <w:color w:val="auto"/>
        </w:rPr>
        <w:t>the failure by the Company to provide the indemnification and D&amp;O insurance protection Section 11 of this Agreement requires it to provide; or</w:t>
      </w:r>
    </w:p>
    <w:p>
      <w:pPr>
        <w:spacing w:after="0" w:line="128" w:lineRule="exact"/>
        <w:rPr>
          <w:rFonts w:ascii="Arial" w:cs="Arial" w:eastAsia="Arial" w:hAnsi="Arial"/>
          <w:sz w:val="19"/>
          <w:szCs w:val="19"/>
          <w:color w:val="auto"/>
        </w:rPr>
      </w:pPr>
    </w:p>
    <w:p>
      <w:pPr>
        <w:ind w:left="2304" w:hanging="574"/>
        <w:spacing w:after="0"/>
        <w:tabs>
          <w:tab w:leader="none" w:pos="2304" w:val="left"/>
        </w:tabs>
        <w:numPr>
          <w:ilvl w:val="2"/>
          <w:numId w:val="76"/>
        </w:numPr>
        <w:rPr>
          <w:rFonts w:ascii="Arial" w:cs="Arial" w:eastAsia="Arial" w:hAnsi="Arial"/>
          <w:sz w:val="19"/>
          <w:szCs w:val="19"/>
          <w:color w:val="auto"/>
        </w:rPr>
      </w:pPr>
      <w:r>
        <w:rPr>
          <w:rFonts w:ascii="Arial" w:cs="Arial" w:eastAsia="Arial" w:hAnsi="Arial"/>
          <w:sz w:val="19"/>
          <w:szCs w:val="19"/>
          <w:color w:val="auto"/>
        </w:rPr>
        <w:t>the failure by Sempra Energy to comply with any material provision of this Agreement.</w:t>
      </w:r>
    </w:p>
    <w:p>
      <w:pPr>
        <w:spacing w:after="0" w:line="177" w:lineRule="exact"/>
        <w:rPr>
          <w:rFonts w:ascii="Arial" w:cs="Arial" w:eastAsia="Arial" w:hAnsi="Arial"/>
          <w:sz w:val="19"/>
          <w:szCs w:val="19"/>
          <w:color w:val="auto"/>
        </w:rPr>
      </w:pPr>
    </w:p>
    <w:p>
      <w:pPr>
        <w:ind w:left="4" w:right="120" w:firstLine="1149"/>
        <w:spacing w:after="0" w:line="252" w:lineRule="auto"/>
        <w:tabs>
          <w:tab w:leader="none" w:pos="1734" w:val="left"/>
        </w:tabs>
        <w:numPr>
          <w:ilvl w:val="1"/>
          <w:numId w:val="76"/>
        </w:numPr>
        <w:rPr>
          <w:rFonts w:ascii="Arial" w:cs="Arial" w:eastAsia="Arial" w:hAnsi="Arial"/>
          <w:sz w:val="19"/>
          <w:szCs w:val="19"/>
          <w:color w:val="auto"/>
        </w:rPr>
      </w:pPr>
      <w:r>
        <w:rPr>
          <w:rFonts w:ascii="Arial" w:cs="Arial" w:eastAsia="Arial" w:hAnsi="Arial"/>
          <w:sz w:val="19"/>
          <w:szCs w:val="19"/>
          <w:color w:val="auto"/>
        </w:rPr>
        <w:t>From and after a Change in Control, the occurrence of any of the following without the prior written consent of the Executive, unless such act or failure to act is corrected by the Company prior to the Date of Termination specified in the Notice of Termination (as required under Section 3 hereof):</w:t>
      </w:r>
    </w:p>
    <w:p>
      <w:pPr>
        <w:spacing w:after="0" w:line="152" w:lineRule="exact"/>
        <w:rPr>
          <w:rFonts w:ascii="Arial" w:cs="Arial" w:eastAsia="Arial" w:hAnsi="Arial"/>
          <w:sz w:val="19"/>
          <w:szCs w:val="19"/>
          <w:color w:val="auto"/>
        </w:rPr>
      </w:pPr>
    </w:p>
    <w:p>
      <w:pPr>
        <w:ind w:left="4" w:right="20" w:firstLine="1726"/>
        <w:spacing w:after="0" w:line="266" w:lineRule="auto"/>
        <w:tabs>
          <w:tab w:leader="none" w:pos="2310" w:val="left"/>
        </w:tabs>
        <w:numPr>
          <w:ilvl w:val="2"/>
          <w:numId w:val="77"/>
        </w:numPr>
        <w:rPr>
          <w:rFonts w:ascii="Arial" w:cs="Arial" w:eastAsia="Arial" w:hAnsi="Arial"/>
          <w:sz w:val="19"/>
          <w:szCs w:val="19"/>
          <w:color w:val="auto"/>
        </w:rPr>
      </w:pPr>
      <w:r>
        <w:rPr>
          <w:rFonts w:ascii="Arial" w:cs="Arial" w:eastAsia="Arial" w:hAnsi="Arial"/>
          <w:sz w:val="19"/>
          <w:szCs w:val="19"/>
          <w:color w:val="auto"/>
        </w:rPr>
        <w:t>an adverse change in the Executive’s title, authority, duties, responsibilities or reporting lines as in effect immediately prior to the Change in Control;</w:t>
      </w:r>
    </w:p>
    <w:p>
      <w:pPr>
        <w:spacing w:after="0" w:line="128" w:lineRule="exact"/>
        <w:rPr>
          <w:rFonts w:ascii="Arial" w:cs="Arial" w:eastAsia="Arial" w:hAnsi="Arial"/>
          <w:sz w:val="19"/>
          <w:szCs w:val="19"/>
          <w:color w:val="auto"/>
        </w:rPr>
      </w:pPr>
    </w:p>
    <w:p>
      <w:pPr>
        <w:ind w:left="4" w:right="60" w:firstLine="1726"/>
        <w:spacing w:after="0" w:line="257" w:lineRule="auto"/>
        <w:tabs>
          <w:tab w:leader="none" w:pos="2310" w:val="left"/>
        </w:tabs>
        <w:numPr>
          <w:ilvl w:val="2"/>
          <w:numId w:val="77"/>
        </w:numPr>
        <w:rPr>
          <w:rFonts w:ascii="Arial" w:cs="Arial" w:eastAsia="Arial" w:hAnsi="Arial"/>
          <w:sz w:val="18"/>
          <w:szCs w:val="18"/>
          <w:color w:val="auto"/>
        </w:rPr>
      </w:pPr>
      <w:r>
        <w:rPr>
          <w:rFonts w:ascii="Arial" w:cs="Arial" w:eastAsia="Arial" w:hAnsi="Arial"/>
          <w:sz w:val="18"/>
          <w:szCs w:val="18"/>
          <w:color w:val="auto"/>
        </w:rPr>
        <w:t>a reduction by the Company in the Executive’s aggregate annualized compensation opportunities, except for across-the-board reductions in base salaries, annual bonus opportunities or long-term incentive compensation opportunities of less than ten percent (10%) similarly affecting all similarly situated executives (both of the Company and of any Person then in control of the Company) of comparable rank with the Executive; or the failure by the Company to continue in effect any material benefit plan in which the Executive participates immediately prior to the Change in Control, unless an equitable arrangement (embodied in an ongoing substitute or alternative plan) has been made with respect to such plan, or the failure by the Company to continue the Executive's participation therein (or in such substitute or alternative plan) on a basis not materially less favorable, both in terms of the amount of benefits provided and the level of the Executive's participation relative to other participants, as existed at the time of the Change in Control;</w:t>
      </w:r>
    </w:p>
    <w:p>
      <w:pPr>
        <w:spacing w:after="0" w:line="136" w:lineRule="exact"/>
        <w:rPr>
          <w:rFonts w:ascii="Arial" w:cs="Arial" w:eastAsia="Arial" w:hAnsi="Arial"/>
          <w:sz w:val="18"/>
          <w:szCs w:val="18"/>
          <w:color w:val="auto"/>
        </w:rPr>
      </w:pPr>
    </w:p>
    <w:p>
      <w:pPr>
        <w:ind w:left="4" w:right="40" w:firstLine="1726"/>
        <w:spacing w:after="0" w:line="243" w:lineRule="auto"/>
        <w:tabs>
          <w:tab w:leader="none" w:pos="2310" w:val="left"/>
        </w:tabs>
        <w:numPr>
          <w:ilvl w:val="2"/>
          <w:numId w:val="77"/>
        </w:numPr>
        <w:rPr>
          <w:rFonts w:ascii="Arial" w:cs="Arial" w:eastAsia="Arial" w:hAnsi="Arial"/>
          <w:sz w:val="19"/>
          <w:szCs w:val="19"/>
          <w:color w:val="auto"/>
        </w:rPr>
      </w:pPr>
      <w:r>
        <w:rPr>
          <w:rFonts w:ascii="Arial" w:cs="Arial" w:eastAsia="Arial" w:hAnsi="Arial"/>
          <w:sz w:val="19"/>
          <w:szCs w:val="19"/>
          <w:color w:val="auto"/>
        </w:rPr>
        <w:t>the relocation of the Executive’s principal place of employment immediately prior to the Change in Control Date (the “</w:t>
      </w:r>
      <w:r>
        <w:rPr>
          <w:rFonts w:ascii="Arial" w:cs="Arial" w:eastAsia="Arial" w:hAnsi="Arial"/>
          <w:sz w:val="19"/>
          <w:szCs w:val="19"/>
          <w:u w:val="single" w:color="auto"/>
          <w:color w:val="auto"/>
        </w:rPr>
        <w:t>Principal Location</w:t>
      </w:r>
      <w:r>
        <w:rPr>
          <w:rFonts w:ascii="Arial" w:cs="Arial" w:eastAsia="Arial" w:hAnsi="Arial"/>
          <w:sz w:val="19"/>
          <w:szCs w:val="19"/>
          <w:color w:val="auto"/>
        </w:rPr>
        <w:t>”) to a location which is both further away from the Executive’s residence and more than thirty (30) miles from such Principal Location, or the Company’s requiring the Executive to be based anywhere other than such Principal Location (or permitted relocation thereof), or a substantial increase in the Executive’s business travel obligations outside of the Southern California area as of the Effective Date other than any such increase that (A) arises in connection with extraordinary business activities of the Company of limited duration and (B) is understood not to be part of the Executive’s regular duties with the Company;</w:t>
      </w:r>
    </w:p>
    <w:p>
      <w:pPr>
        <w:spacing w:after="0" w:line="162" w:lineRule="exact"/>
        <w:rPr>
          <w:rFonts w:ascii="Arial" w:cs="Arial" w:eastAsia="Arial" w:hAnsi="Arial"/>
          <w:sz w:val="19"/>
          <w:szCs w:val="19"/>
          <w:color w:val="auto"/>
        </w:rPr>
      </w:pPr>
    </w:p>
    <w:p>
      <w:pPr>
        <w:ind w:left="4" w:right="40" w:firstLine="1726"/>
        <w:spacing w:after="0" w:line="252" w:lineRule="auto"/>
        <w:tabs>
          <w:tab w:leader="none" w:pos="2310" w:val="left"/>
        </w:tabs>
        <w:numPr>
          <w:ilvl w:val="2"/>
          <w:numId w:val="77"/>
        </w:numPr>
        <w:rPr>
          <w:rFonts w:ascii="Arial" w:cs="Arial" w:eastAsia="Arial" w:hAnsi="Arial"/>
          <w:sz w:val="19"/>
          <w:szCs w:val="19"/>
          <w:color w:val="auto"/>
        </w:rPr>
      </w:pPr>
      <w:r>
        <w:rPr>
          <w:rFonts w:ascii="Arial" w:cs="Arial" w:eastAsia="Arial" w:hAnsi="Arial"/>
          <w:sz w:val="19"/>
          <w:szCs w:val="19"/>
          <w:color w:val="auto"/>
        </w:rPr>
        <w:t>the failure by the Company to pay to the Executive any portion of the Executive’s current compensation and benefits or any portion of an installment of deferred compensation under any deferred compensation program of the Company within thirty (30) days of the date such compensation is due;</w:t>
      </w:r>
    </w:p>
    <w:p>
      <w:pPr>
        <w:spacing w:after="0" w:line="140" w:lineRule="exact"/>
        <w:rPr>
          <w:rFonts w:ascii="Arial" w:cs="Arial" w:eastAsia="Arial" w:hAnsi="Arial"/>
          <w:sz w:val="19"/>
          <w:szCs w:val="19"/>
          <w:color w:val="auto"/>
        </w:rPr>
      </w:pPr>
    </w:p>
    <w:p>
      <w:pPr>
        <w:ind w:left="4" w:right="360" w:firstLine="1726"/>
        <w:spacing w:after="0" w:line="326" w:lineRule="auto"/>
        <w:tabs>
          <w:tab w:leader="none" w:pos="2310" w:val="left"/>
        </w:tabs>
        <w:numPr>
          <w:ilvl w:val="2"/>
          <w:numId w:val="77"/>
        </w:numPr>
        <w:rPr>
          <w:rFonts w:ascii="Arial" w:cs="Arial" w:eastAsia="Arial" w:hAnsi="Arial"/>
          <w:sz w:val="17"/>
          <w:szCs w:val="17"/>
          <w:color w:val="auto"/>
        </w:rPr>
      </w:pPr>
      <w:r>
        <w:rPr>
          <w:rFonts w:ascii="Arial" w:cs="Arial" w:eastAsia="Arial" w:hAnsi="Arial"/>
          <w:sz w:val="17"/>
          <w:szCs w:val="17"/>
          <w:color w:val="auto"/>
        </w:rPr>
        <w:t>any purported termination of the Executive’s employment that is not effected pursuant to a Notice of Termination satisfying the requirements of Section 3 hereof; for purposes of this Agreement, no such purported termination shall be effective;</w:t>
      </w:r>
    </w:p>
    <w:p>
      <w:pPr>
        <w:spacing w:after="0" w:line="81" w:lineRule="exact"/>
        <w:rPr>
          <w:rFonts w:ascii="Arial" w:cs="Arial" w:eastAsia="Arial" w:hAnsi="Arial"/>
          <w:sz w:val="17"/>
          <w:szCs w:val="17"/>
          <w:color w:val="auto"/>
        </w:rPr>
      </w:pPr>
    </w:p>
    <w:p>
      <w:pPr>
        <w:ind w:left="2304" w:hanging="574"/>
        <w:spacing w:after="0"/>
        <w:tabs>
          <w:tab w:leader="none" w:pos="2304" w:val="left"/>
        </w:tabs>
        <w:numPr>
          <w:ilvl w:val="2"/>
          <w:numId w:val="77"/>
        </w:numPr>
        <w:rPr>
          <w:rFonts w:ascii="Arial" w:cs="Arial" w:eastAsia="Arial" w:hAnsi="Arial"/>
          <w:sz w:val="19"/>
          <w:szCs w:val="19"/>
          <w:color w:val="auto"/>
        </w:rPr>
      </w:pPr>
      <w:r>
        <w:rPr>
          <w:rFonts w:ascii="Arial" w:cs="Arial" w:eastAsia="Arial" w:hAnsi="Arial"/>
          <w:sz w:val="19"/>
          <w:szCs w:val="19"/>
          <w:color w:val="auto"/>
        </w:rPr>
        <w:t>the failure by Sempra Energy to perform its obligations under Section 16(c), (d) or (e) hereof;</w:t>
      </w:r>
    </w:p>
    <w:p>
      <w:pPr>
        <w:spacing w:after="0" w:line="189" w:lineRule="exact"/>
        <w:rPr>
          <w:rFonts w:ascii="Arial" w:cs="Arial" w:eastAsia="Arial" w:hAnsi="Arial"/>
          <w:sz w:val="19"/>
          <w:szCs w:val="19"/>
          <w:color w:val="auto"/>
        </w:rPr>
      </w:pPr>
    </w:p>
    <w:p>
      <w:pPr>
        <w:ind w:left="4" w:right="820" w:firstLine="1726"/>
        <w:spacing w:after="0" w:line="266" w:lineRule="auto"/>
        <w:tabs>
          <w:tab w:leader="none" w:pos="2310" w:val="left"/>
        </w:tabs>
        <w:numPr>
          <w:ilvl w:val="2"/>
          <w:numId w:val="77"/>
        </w:numPr>
        <w:rPr>
          <w:rFonts w:ascii="Arial" w:cs="Arial" w:eastAsia="Arial" w:hAnsi="Arial"/>
          <w:sz w:val="19"/>
          <w:szCs w:val="19"/>
          <w:color w:val="auto"/>
        </w:rPr>
      </w:pPr>
      <w:r>
        <w:rPr>
          <w:rFonts w:ascii="Arial" w:cs="Arial" w:eastAsia="Arial" w:hAnsi="Arial"/>
          <w:sz w:val="19"/>
          <w:szCs w:val="19"/>
          <w:color w:val="auto"/>
        </w:rPr>
        <w:t>the failure by the Company to provide the indemnification and D&amp;O insurance protection Section 11 of this Agreement requires it to provide; or</w:t>
      </w:r>
    </w:p>
    <w:p>
      <w:pPr>
        <w:spacing w:after="0" w:line="128" w:lineRule="exact"/>
        <w:rPr>
          <w:rFonts w:ascii="Arial" w:cs="Arial" w:eastAsia="Arial" w:hAnsi="Arial"/>
          <w:sz w:val="19"/>
          <w:szCs w:val="19"/>
          <w:color w:val="auto"/>
        </w:rPr>
      </w:pPr>
    </w:p>
    <w:p>
      <w:pPr>
        <w:ind w:left="2304" w:hanging="574"/>
        <w:spacing w:after="0"/>
        <w:tabs>
          <w:tab w:leader="none" w:pos="2304" w:val="left"/>
        </w:tabs>
        <w:numPr>
          <w:ilvl w:val="2"/>
          <w:numId w:val="77"/>
        </w:numPr>
        <w:rPr>
          <w:rFonts w:ascii="Arial" w:cs="Arial" w:eastAsia="Arial" w:hAnsi="Arial"/>
          <w:sz w:val="19"/>
          <w:szCs w:val="19"/>
          <w:color w:val="auto"/>
        </w:rPr>
      </w:pPr>
      <w:r>
        <w:rPr>
          <w:rFonts w:ascii="Arial" w:cs="Arial" w:eastAsia="Arial" w:hAnsi="Arial"/>
          <w:sz w:val="19"/>
          <w:szCs w:val="19"/>
          <w:color w:val="auto"/>
        </w:rPr>
        <w:t>the failure by Sempra Energy to comply with any material provision of this Agreement.</w:t>
      </w:r>
    </w:p>
    <w:p>
      <w:pPr>
        <w:spacing w:after="0" w:line="190" w:lineRule="exact"/>
        <w:rPr>
          <w:sz w:val="20"/>
          <w:szCs w:val="20"/>
          <w:color w:val="auto"/>
        </w:rPr>
      </w:pPr>
    </w:p>
    <w:p>
      <w:pPr>
        <w:ind w:left="4" w:firstLine="1153"/>
        <w:spacing w:after="0" w:line="244" w:lineRule="auto"/>
        <w:rPr>
          <w:sz w:val="20"/>
          <w:szCs w:val="20"/>
          <w:color w:val="auto"/>
        </w:rPr>
      </w:pPr>
      <w:r>
        <w:rPr>
          <w:rFonts w:ascii="Arial" w:cs="Arial" w:eastAsia="Arial" w:hAnsi="Arial"/>
          <w:sz w:val="19"/>
          <w:szCs w:val="19"/>
          <w:color w:val="auto"/>
        </w:rPr>
        <w:t>Following a Change in Control, the Executive’s determination that an act or failure to act constitutes Good Reason shall be presumed to be valid unless such determination is deemed to be unreasonable by an arbitrator pursuant to the procedure described in Section 13 hereof. The Executive’s right to terminate the Executive’s employment for Good Reason shall not be affected by the Executive’s incapacity due to physical or mental illness. The Executive’s continued employment shall not constitute consent to, or a waiver of rights with respect to, any act or failure to act constituting Good Reason hereunder.</w:t>
      </w:r>
    </w:p>
    <w:p>
      <w:pPr>
        <w:spacing w:after="0" w:line="163" w:lineRule="exact"/>
        <w:rPr>
          <w:sz w:val="20"/>
          <w:szCs w:val="20"/>
          <w:color w:val="auto"/>
        </w:rPr>
      </w:pPr>
    </w:p>
    <w:p>
      <w:pPr>
        <w:ind w:left="1144"/>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Gross-Up Payment</w:t>
      </w:r>
      <w:r>
        <w:rPr>
          <w:rFonts w:ascii="Arial" w:cs="Arial" w:eastAsia="Arial" w:hAnsi="Arial"/>
          <w:sz w:val="19"/>
          <w:szCs w:val="19"/>
          <w:color w:val="auto"/>
        </w:rPr>
        <w:t>” has the meaning assigned thereto in Section 9(a) hereof.</w:t>
      </w:r>
    </w:p>
    <w:p>
      <w:pPr>
        <w:spacing w:after="0" w:line="190" w:lineRule="exact"/>
        <w:rPr>
          <w:sz w:val="20"/>
          <w:szCs w:val="20"/>
          <w:color w:val="auto"/>
        </w:rPr>
      </w:pPr>
    </w:p>
    <w:p>
      <w:pPr>
        <w:ind w:left="4" w:right="360" w:firstLine="1153"/>
        <w:spacing w:after="0" w:line="266"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Incentive Compensation Awards</w:t>
      </w:r>
      <w:r>
        <w:rPr>
          <w:rFonts w:ascii="Arial" w:cs="Arial" w:eastAsia="Arial" w:hAnsi="Arial"/>
          <w:sz w:val="19"/>
          <w:szCs w:val="19"/>
          <w:color w:val="auto"/>
        </w:rPr>
        <w:t>” means awards granted under Incentive Compensation Plans providing the Executive with the opportunity to earn, on a year-by-year basis, annual and long-term incentive compensation.</w:t>
      </w:r>
    </w:p>
    <w:p>
      <w:pPr>
        <w:spacing w:after="0" w:line="140" w:lineRule="exact"/>
        <w:rPr>
          <w:sz w:val="20"/>
          <w:szCs w:val="20"/>
          <w:color w:val="auto"/>
        </w:rPr>
      </w:pPr>
    </w:p>
    <w:p>
      <w:pPr>
        <w:ind w:left="4" w:right="220" w:firstLine="1153"/>
        <w:spacing w:after="0" w:line="25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Incentive Compensation Plans</w:t>
      </w:r>
      <w:r>
        <w:rPr>
          <w:rFonts w:ascii="Arial" w:cs="Arial" w:eastAsia="Arial" w:hAnsi="Arial"/>
          <w:sz w:val="19"/>
          <w:szCs w:val="19"/>
          <w:color w:val="auto"/>
        </w:rPr>
        <w:t>” means annual incentive compensation plans and long-term incentive compensation plans of the Company, which long-term incentive compensation plans may include plans offering stock options, restricted stock and other long-term incentive compensation.</w:t>
      </w:r>
    </w:p>
    <w:p>
      <w:pPr>
        <w:spacing w:after="0" w:line="153" w:lineRule="exact"/>
        <w:rPr>
          <w:sz w:val="20"/>
          <w:szCs w:val="20"/>
          <w:color w:val="auto"/>
        </w:rPr>
      </w:pPr>
    </w:p>
    <w:p>
      <w:pPr>
        <w:ind w:left="4" w:firstLine="1153"/>
        <w:spacing w:after="0" w:line="25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Involuntary Termination</w:t>
      </w:r>
      <w:r>
        <w:rPr>
          <w:rFonts w:ascii="Arial" w:cs="Arial" w:eastAsia="Arial" w:hAnsi="Arial"/>
          <w:sz w:val="19"/>
          <w:szCs w:val="19"/>
          <w:color w:val="auto"/>
        </w:rPr>
        <w:t>” means (a) the Executive’s Separation from Service by reason of a termination of employment by the Company other than for Cause, death, or Disability, or (b) the Executive’s Separation from Service by reason of resignation of employment with the Company for Good Reason.</w:t>
      </w:r>
    </w:p>
    <w:p>
      <w:pPr>
        <w:spacing w:after="0" w:line="153" w:lineRule="exact"/>
        <w:rPr>
          <w:sz w:val="20"/>
          <w:szCs w:val="20"/>
          <w:color w:val="auto"/>
        </w:rPr>
      </w:pPr>
    </w:p>
    <w:p>
      <w:pPr>
        <w:ind w:left="1144"/>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JAMS Rules</w:t>
      </w:r>
      <w:r>
        <w:rPr>
          <w:rFonts w:ascii="Arial" w:cs="Arial" w:eastAsia="Arial" w:hAnsi="Arial"/>
          <w:sz w:val="19"/>
          <w:szCs w:val="19"/>
          <w:color w:val="auto"/>
        </w:rPr>
        <w:t>” has the meaning assigned thereto in Section 13 hereof.</w:t>
      </w:r>
    </w:p>
    <w:p>
      <w:pPr>
        <w:sectPr>
          <w:pgSz w:w="11900" w:h="16838" w:orient="portrait"/>
          <w:cols w:equalWidth="0" w:num="1">
            <w:col w:w="11424"/>
          </w:cols>
          <w:pgMar w:left="236" w:top="120" w:right="239" w:bottom="0" w:gutter="0" w:footer="0" w:header="0"/>
        </w:sectPr>
      </w:pPr>
    </w:p>
    <w:bookmarkStart w:id="80" w:name="page81"/>
    <w:bookmarkEnd w:id="80"/>
    <w:p>
      <w:pPr>
        <w:spacing w:after="0" w:line="8" w:lineRule="exact"/>
        <w:rPr>
          <w:sz w:val="20"/>
          <w:szCs w:val="20"/>
          <w:color w:val="auto"/>
        </w:rPr>
      </w:pPr>
    </w:p>
    <w:p>
      <w:pPr>
        <w:ind w:left="11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Notice of Termination</w:t>
      </w:r>
      <w:r>
        <w:rPr>
          <w:rFonts w:ascii="Arial" w:cs="Arial" w:eastAsia="Arial" w:hAnsi="Arial"/>
          <w:sz w:val="19"/>
          <w:szCs w:val="19"/>
          <w:color w:val="auto"/>
        </w:rPr>
        <w:t>” has the meaning assigned thereto in Section 3(a) hereof.</w:t>
      </w:r>
    </w:p>
    <w:p>
      <w:pPr>
        <w:spacing w:after="0" w:line="191" w:lineRule="exact"/>
        <w:rPr>
          <w:sz w:val="20"/>
          <w:szCs w:val="20"/>
          <w:color w:val="auto"/>
        </w:rPr>
      </w:pPr>
    </w:p>
    <w:p>
      <w:pPr>
        <w:ind w:left="11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Payment</w:t>
      </w:r>
      <w:r>
        <w:rPr>
          <w:rFonts w:ascii="Arial" w:cs="Arial" w:eastAsia="Arial" w:hAnsi="Arial"/>
          <w:sz w:val="19"/>
          <w:szCs w:val="19"/>
          <w:color w:val="auto"/>
        </w:rPr>
        <w:t>” has the meaning assigned thereto in Section 9(a) hereof.</w:t>
      </w:r>
    </w:p>
    <w:p>
      <w:pPr>
        <w:spacing w:after="0" w:line="190" w:lineRule="exact"/>
        <w:rPr>
          <w:sz w:val="20"/>
          <w:szCs w:val="20"/>
          <w:color w:val="auto"/>
        </w:rPr>
      </w:pPr>
    </w:p>
    <w:p>
      <w:pPr>
        <w:ind w:left="11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Payment in Lieu of Notice</w:t>
      </w:r>
      <w:r>
        <w:rPr>
          <w:rFonts w:ascii="Arial" w:cs="Arial" w:eastAsia="Arial" w:hAnsi="Arial"/>
          <w:sz w:val="19"/>
          <w:szCs w:val="19"/>
          <w:color w:val="auto"/>
        </w:rPr>
        <w:t>” has the meaning assigned thereto in Section 3(b) hereof.</w:t>
      </w:r>
    </w:p>
    <w:p>
      <w:pPr>
        <w:spacing w:after="0" w:line="190" w:lineRule="exact"/>
        <w:rPr>
          <w:sz w:val="20"/>
          <w:szCs w:val="20"/>
          <w:color w:val="auto"/>
        </w:rPr>
      </w:pPr>
    </w:p>
    <w:p>
      <w:pPr>
        <w:jc w:val="both"/>
        <w:ind w:right="40" w:firstLine="1153"/>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has the meaning set forth in section 3(a)(9) of the Exchange Act, as modified and used in sections 13(d) and 14(d) thereof, except that such term shall not include (i) the Company or any of its Affiliates, (ii) a trustee or other fiduciary holding securities under an employee benefit plan of the Company or any of its Affiliates, (iii) an underwriter temporarily holding securities pursuant to an offering of such securities, (iv) a corporation owned, directly or indirectly, by the shareholders of the Company in substantially the same proportions as their ownership of stock of the Company, or (v) a person or group as used in Rule 13d-1(b) promulgated under the Exchange Act.</w:t>
      </w:r>
    </w:p>
    <w:p>
      <w:pPr>
        <w:spacing w:after="0" w:line="148" w:lineRule="exact"/>
        <w:rPr>
          <w:sz w:val="20"/>
          <w:szCs w:val="20"/>
          <w:color w:val="auto"/>
        </w:rPr>
      </w:pPr>
    </w:p>
    <w:p>
      <w:pPr>
        <w:ind w:left="11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Post-Change in Control Accrued Obligations</w:t>
      </w:r>
      <w:r>
        <w:rPr>
          <w:rFonts w:ascii="Arial" w:cs="Arial" w:eastAsia="Arial" w:hAnsi="Arial"/>
          <w:sz w:val="19"/>
          <w:szCs w:val="19"/>
          <w:color w:val="auto"/>
        </w:rPr>
        <w:t>” has the meaning assigned thereto in Section 6(a) hereof.</w:t>
      </w:r>
    </w:p>
    <w:p>
      <w:pPr>
        <w:spacing w:after="0" w:line="190" w:lineRule="exact"/>
        <w:rPr>
          <w:sz w:val="20"/>
          <w:szCs w:val="20"/>
          <w:color w:val="auto"/>
        </w:rPr>
      </w:pPr>
    </w:p>
    <w:p>
      <w:pPr>
        <w:ind w:left="11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Post-Change in Control Severance Payment</w:t>
      </w:r>
      <w:r>
        <w:rPr>
          <w:rFonts w:ascii="Arial" w:cs="Arial" w:eastAsia="Arial" w:hAnsi="Arial"/>
          <w:sz w:val="19"/>
          <w:szCs w:val="19"/>
          <w:color w:val="auto"/>
        </w:rPr>
        <w:t>” has the meaning assigned thereto in Section 6 hereof.</w:t>
      </w:r>
    </w:p>
    <w:p>
      <w:pPr>
        <w:spacing w:after="0" w:line="190" w:lineRule="exact"/>
        <w:rPr>
          <w:sz w:val="20"/>
          <w:szCs w:val="20"/>
          <w:color w:val="auto"/>
        </w:rPr>
      </w:pPr>
    </w:p>
    <w:p>
      <w:pPr>
        <w:ind w:left="11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Pre-Change in Control Accrued Obligations</w:t>
      </w:r>
      <w:r>
        <w:rPr>
          <w:rFonts w:ascii="Arial" w:cs="Arial" w:eastAsia="Arial" w:hAnsi="Arial"/>
          <w:sz w:val="19"/>
          <w:szCs w:val="19"/>
          <w:color w:val="auto"/>
        </w:rPr>
        <w:t>” has the meaning assigned thereto in Section 5(a) hereof.</w:t>
      </w:r>
    </w:p>
    <w:p>
      <w:pPr>
        <w:spacing w:after="0" w:line="190" w:lineRule="exact"/>
        <w:rPr>
          <w:sz w:val="20"/>
          <w:szCs w:val="20"/>
          <w:color w:val="auto"/>
        </w:rPr>
      </w:pPr>
    </w:p>
    <w:p>
      <w:pPr>
        <w:ind w:left="11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Pre-Change in Control Severance Payment</w:t>
      </w:r>
      <w:r>
        <w:rPr>
          <w:rFonts w:ascii="Arial" w:cs="Arial" w:eastAsia="Arial" w:hAnsi="Arial"/>
          <w:sz w:val="19"/>
          <w:szCs w:val="19"/>
          <w:color w:val="auto"/>
        </w:rPr>
        <w:t>” has the meaning assigned thereto in Section 5 hereof.</w:t>
      </w:r>
    </w:p>
    <w:p>
      <w:pPr>
        <w:spacing w:after="0" w:line="190" w:lineRule="exact"/>
        <w:rPr>
          <w:sz w:val="20"/>
          <w:szCs w:val="20"/>
          <w:color w:val="auto"/>
        </w:rPr>
      </w:pPr>
    </w:p>
    <w:p>
      <w:pPr>
        <w:ind w:left="11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Principal Location</w:t>
      </w:r>
      <w:r>
        <w:rPr>
          <w:rFonts w:ascii="Arial" w:cs="Arial" w:eastAsia="Arial" w:hAnsi="Arial"/>
          <w:sz w:val="19"/>
          <w:szCs w:val="19"/>
          <w:color w:val="auto"/>
        </w:rPr>
        <w:t>” has the meaning assigned thereto in clause (b)(iii) of the definition of Good Reason, above.</w:t>
      </w:r>
    </w:p>
    <w:p>
      <w:pPr>
        <w:spacing w:after="0" w:line="190" w:lineRule="exact"/>
        <w:rPr>
          <w:sz w:val="20"/>
          <w:szCs w:val="20"/>
          <w:color w:val="auto"/>
        </w:rPr>
      </w:pPr>
    </w:p>
    <w:p>
      <w:pPr>
        <w:ind w:left="11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Proprietary Information</w:t>
      </w:r>
      <w:r>
        <w:rPr>
          <w:rFonts w:ascii="Arial" w:cs="Arial" w:eastAsia="Arial" w:hAnsi="Arial"/>
          <w:sz w:val="19"/>
          <w:szCs w:val="19"/>
          <w:color w:val="auto"/>
        </w:rPr>
        <w:t>” has the meaning assigned thereto in Section 14(a) hereof.</w:t>
      </w:r>
    </w:p>
    <w:p>
      <w:pPr>
        <w:spacing w:after="0" w:line="190" w:lineRule="exact"/>
        <w:rPr>
          <w:sz w:val="20"/>
          <w:szCs w:val="20"/>
          <w:color w:val="auto"/>
        </w:rPr>
      </w:pPr>
    </w:p>
    <w:p>
      <w:pPr>
        <w:ind w:left="11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Release</w:t>
      </w:r>
      <w:r>
        <w:rPr>
          <w:rFonts w:ascii="Arial" w:cs="Arial" w:eastAsia="Arial" w:hAnsi="Arial"/>
          <w:sz w:val="19"/>
          <w:szCs w:val="19"/>
          <w:color w:val="auto"/>
        </w:rPr>
        <w:t>” has the meaning assigned thereto in Section 14(d) hereof.</w:t>
      </w:r>
    </w:p>
    <w:p>
      <w:pPr>
        <w:spacing w:after="0" w:line="190" w:lineRule="exact"/>
        <w:rPr>
          <w:sz w:val="20"/>
          <w:szCs w:val="20"/>
          <w:color w:val="auto"/>
        </w:rPr>
      </w:pPr>
    </w:p>
    <w:p>
      <w:pPr>
        <w:ind w:right="20" w:firstLine="1153"/>
        <w:spacing w:after="0" w:line="24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Section 409A Payments</w:t>
      </w:r>
      <w:r>
        <w:rPr>
          <w:rFonts w:ascii="Arial" w:cs="Arial" w:eastAsia="Arial" w:hAnsi="Arial"/>
          <w:sz w:val="19"/>
          <w:szCs w:val="19"/>
          <w:color w:val="auto"/>
        </w:rPr>
        <w:t>” means any of the following: (a) the Payment in Lieu of Notice, (b) the Pre-Change in Control Severance Payment, (c) the Post-Change in Control Severance Payment, (d) the Additional Post-Change in Control Severance Payment, (e) the Consulting Payment, (f) the payment under Section 6(b) (but only to the extent such payment or portion thereof is subject to Section 409A of the Code), (g) the financial planning services and the related tax gross up payments provided under Sections 5(e) and 6(f), (h) the Gross-Up Payments under Section 9, and (i) the legal fees and expenses reimbursed under Section 15.</w:t>
      </w:r>
    </w:p>
    <w:p>
      <w:pPr>
        <w:spacing w:after="0" w:line="163" w:lineRule="exact"/>
        <w:rPr>
          <w:sz w:val="20"/>
          <w:szCs w:val="20"/>
          <w:color w:val="auto"/>
        </w:rPr>
      </w:pPr>
    </w:p>
    <w:p>
      <w:pPr>
        <w:ind w:right="360" w:firstLine="1153"/>
        <w:spacing w:after="0" w:line="266"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Sempra Energy Control Group</w:t>
      </w:r>
      <w:r>
        <w:rPr>
          <w:rFonts w:ascii="Arial" w:cs="Arial" w:eastAsia="Arial" w:hAnsi="Arial"/>
          <w:sz w:val="19"/>
          <w:szCs w:val="19"/>
          <w:color w:val="auto"/>
        </w:rPr>
        <w:t>” means Sempra Energy and all persons with whom Sempra Energy would be considered a single employer under Section 414(b) or 414(c) of the Code, as determined from time to time.</w:t>
      </w:r>
    </w:p>
    <w:p>
      <w:pPr>
        <w:spacing w:after="0" w:line="140" w:lineRule="exact"/>
        <w:rPr>
          <w:sz w:val="20"/>
          <w:szCs w:val="20"/>
          <w:color w:val="auto"/>
        </w:rPr>
      </w:pPr>
    </w:p>
    <w:p>
      <w:pPr>
        <w:ind w:right="40" w:firstLine="1153"/>
        <w:spacing w:after="0" w:line="27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Separation from Service</w:t>
      </w:r>
      <w:r>
        <w:rPr>
          <w:rFonts w:ascii="Arial" w:cs="Arial" w:eastAsia="Arial" w:hAnsi="Arial"/>
          <w:sz w:val="18"/>
          <w:szCs w:val="18"/>
          <w:color w:val="auto"/>
        </w:rPr>
        <w:t>”, with respect to the Executive (or another Service Provider), means the Executive’s (or such Service Provider’s) (a) termination of employment or (b) other termination or reduction in services, provided that such termination or reduction in clause (a) or (b) constitutes a “separation from service,” as defined in Treasury Regulation Section 1.409A-1(h), with respect to the Service Recipient.</w:t>
      </w:r>
    </w:p>
    <w:p>
      <w:pPr>
        <w:spacing w:after="0" w:line="137" w:lineRule="exact"/>
        <w:rPr>
          <w:sz w:val="20"/>
          <w:szCs w:val="20"/>
          <w:color w:val="auto"/>
        </w:rPr>
      </w:pPr>
    </w:p>
    <w:p>
      <w:pPr>
        <w:ind w:left="11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SERP</w:t>
      </w:r>
      <w:r>
        <w:rPr>
          <w:rFonts w:ascii="Arial" w:cs="Arial" w:eastAsia="Arial" w:hAnsi="Arial"/>
          <w:sz w:val="19"/>
          <w:szCs w:val="19"/>
          <w:color w:val="auto"/>
        </w:rPr>
        <w:t>” has the meaning assigned thereto in Section 6(b) hereof.</w:t>
      </w:r>
    </w:p>
    <w:p>
      <w:pPr>
        <w:spacing w:after="0" w:line="190"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Service Provider</w:t>
      </w:r>
      <w:r>
        <w:rPr>
          <w:rFonts w:ascii="Arial" w:cs="Arial" w:eastAsia="Arial" w:hAnsi="Arial"/>
          <w:sz w:val="18"/>
          <w:szCs w:val="18"/>
          <w:color w:val="auto"/>
        </w:rPr>
        <w:t>” means the Executive or any other “service provider,” as defined in Treasury Regulation Section 1.409A-1(f).</w:t>
      </w:r>
    </w:p>
    <w:p>
      <w:pPr>
        <w:spacing w:after="0" w:line="201" w:lineRule="exact"/>
        <w:rPr>
          <w:sz w:val="20"/>
          <w:szCs w:val="20"/>
          <w:color w:val="auto"/>
        </w:rPr>
      </w:pPr>
    </w:p>
    <w:p>
      <w:pPr>
        <w:ind w:firstLine="1153"/>
        <w:spacing w:after="0" w:line="28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Service Recipient</w:t>
      </w:r>
      <w:r>
        <w:rPr>
          <w:rFonts w:ascii="Arial" w:cs="Arial" w:eastAsia="Arial" w:hAnsi="Arial"/>
          <w:sz w:val="17"/>
          <w:szCs w:val="17"/>
          <w:color w:val="auto"/>
        </w:rPr>
        <w:t>,” with respect to the Executive, means Sempra Energy (if the Executive is employed by Sempra Energy), or the subsidiary of Sempra Energy employing the Executive, whichever is applicable, and all persons considered part of the “service recipient,” as defined in Treasury Regulation Section 1.409A-1(g), as determined from time to time. As provided in Treasury Regulation Section 1.409A-1(g), the “</w:t>
      </w:r>
      <w:r>
        <w:rPr>
          <w:rFonts w:ascii="Arial" w:cs="Arial" w:eastAsia="Arial" w:hAnsi="Arial"/>
          <w:sz w:val="17"/>
          <w:szCs w:val="17"/>
          <w:u w:val="single" w:color="auto"/>
          <w:color w:val="auto"/>
        </w:rPr>
        <w:t>Service Recipient</w:t>
      </w:r>
      <w:r>
        <w:rPr>
          <w:rFonts w:ascii="Arial" w:cs="Arial" w:eastAsia="Arial" w:hAnsi="Arial"/>
          <w:sz w:val="17"/>
          <w:szCs w:val="17"/>
          <w:color w:val="auto"/>
        </w:rPr>
        <w:t>” shall mean the person for whom the services are performed and with respect to whom the legally binding right to compensation arises, and all persons with whom such person would be considered a single employer under Section 414(b) or 414(c) of the Code.</w:t>
      </w:r>
    </w:p>
    <w:p>
      <w:pPr>
        <w:spacing w:after="0" w:line="133" w:lineRule="exact"/>
        <w:rPr>
          <w:sz w:val="20"/>
          <w:szCs w:val="20"/>
          <w:color w:val="auto"/>
        </w:rPr>
      </w:pPr>
    </w:p>
    <w:p>
      <w:pPr>
        <w:ind w:right="40" w:firstLine="1153"/>
        <w:spacing w:after="0" w:line="267"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Specified Employee</w:t>
      </w:r>
      <w:r>
        <w:rPr>
          <w:rFonts w:ascii="Arial" w:cs="Arial" w:eastAsia="Arial" w:hAnsi="Arial"/>
          <w:sz w:val="17"/>
          <w:szCs w:val="17"/>
          <w:color w:val="auto"/>
        </w:rPr>
        <w:t>” means a Service Provider who, as of the date of the Service Provider’s Separation from Service is a “</w:t>
      </w:r>
      <w:r>
        <w:rPr>
          <w:rFonts w:ascii="Arial" w:cs="Arial" w:eastAsia="Arial" w:hAnsi="Arial"/>
          <w:sz w:val="17"/>
          <w:szCs w:val="17"/>
          <w:u w:val="single" w:color="auto"/>
          <w:color w:val="auto"/>
        </w:rPr>
        <w:t>Key</w:t>
      </w:r>
      <w:r>
        <w:rPr>
          <w:rFonts w:ascii="Arial" w:cs="Arial" w:eastAsia="Arial" w:hAnsi="Arial"/>
          <w:sz w:val="17"/>
          <w:szCs w:val="17"/>
          <w:color w:val="auto"/>
        </w:rPr>
        <w:t xml:space="preserve"> </w:t>
      </w:r>
      <w:r>
        <w:rPr>
          <w:rFonts w:ascii="Arial" w:cs="Arial" w:eastAsia="Arial" w:hAnsi="Arial"/>
          <w:sz w:val="17"/>
          <w:szCs w:val="17"/>
          <w:u w:val="single" w:color="auto"/>
          <w:color w:val="auto"/>
        </w:rPr>
        <w:t>Employee</w:t>
      </w:r>
      <w:r>
        <w:rPr>
          <w:rFonts w:ascii="Arial" w:cs="Arial" w:eastAsia="Arial" w:hAnsi="Arial"/>
          <w:sz w:val="17"/>
          <w:szCs w:val="17"/>
          <w:color w:val="auto"/>
        </w:rPr>
        <w:t>” of the Service Recipient any stock of which is publicly traded on an established securities market or otherwise. For purposes of this definition, a Service Provider is a “</w:t>
      </w:r>
      <w:r>
        <w:rPr>
          <w:rFonts w:ascii="Arial" w:cs="Arial" w:eastAsia="Arial" w:hAnsi="Arial"/>
          <w:sz w:val="17"/>
          <w:szCs w:val="17"/>
          <w:u w:val="single" w:color="auto"/>
          <w:color w:val="auto"/>
        </w:rPr>
        <w:t>Key Employee</w:t>
      </w:r>
      <w:r>
        <w:rPr>
          <w:rFonts w:ascii="Arial" w:cs="Arial" w:eastAsia="Arial" w:hAnsi="Arial"/>
          <w:sz w:val="17"/>
          <w:szCs w:val="17"/>
          <w:color w:val="auto"/>
        </w:rPr>
        <w:t>” if the Service Provider meets the requirements of Section 416(i)(1)(A)(i), (ii) or (iii) of the Code (applied in accordance with the Treasury Regulations thereunder and disregarding Section 416(i)(5) of the Code) at any time during the Testing Year. If a Service Provider is a “</w:t>
      </w:r>
      <w:r>
        <w:rPr>
          <w:rFonts w:ascii="Arial" w:cs="Arial" w:eastAsia="Arial" w:hAnsi="Arial"/>
          <w:sz w:val="17"/>
          <w:szCs w:val="17"/>
          <w:u w:val="single" w:color="auto"/>
          <w:color w:val="auto"/>
        </w:rPr>
        <w:t>Key Employee</w:t>
      </w:r>
      <w:r>
        <w:rPr>
          <w:rFonts w:ascii="Arial" w:cs="Arial" w:eastAsia="Arial" w:hAnsi="Arial"/>
          <w:sz w:val="17"/>
          <w:szCs w:val="17"/>
          <w:color w:val="auto"/>
        </w:rPr>
        <w:t>” (as defined above) as of a Specified Employee Identification Date, the Service Provider shall be treated as “</w:t>
      </w:r>
      <w:r>
        <w:rPr>
          <w:rFonts w:ascii="Arial" w:cs="Arial" w:eastAsia="Arial" w:hAnsi="Arial"/>
          <w:sz w:val="17"/>
          <w:szCs w:val="17"/>
          <w:u w:val="single" w:color="auto"/>
          <w:color w:val="auto"/>
        </w:rPr>
        <w:t>Key Employee</w:t>
      </w:r>
      <w:r>
        <w:rPr>
          <w:rFonts w:ascii="Arial" w:cs="Arial" w:eastAsia="Arial" w:hAnsi="Arial"/>
          <w:sz w:val="17"/>
          <w:szCs w:val="17"/>
          <w:color w:val="auto"/>
        </w:rPr>
        <w:t>” for the entire twelve (12) month period beginning on th e Specified Employee Effective Date. For purposes of this definition, a Service Provider’s compensation for a Testing Year shall mean such Service Provider’s compensation, as determined under Treasury Regulation Section 1.415(c)-2(a) (and applied as if the Service Recipient were not using any safe harbor provided in Treasury Regulation Section</w:t>
      </w:r>
    </w:p>
    <w:p>
      <w:pPr>
        <w:spacing w:after="0" w:line="6"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1.415(c)-2(d), were not using any of the elective special timing rules provided in Treasury Regulation Section 1.415(c)-2(e), and were not using any of the elective special rules provided in Treasury Regulation Section 1.415(c)-2(g)), from the Service Recipient for such Testing Year. The “Specified Employees” shall be determined in accordance with Section 409A(a)(2)(B)(i) of the Code and Treasury Regulation Section 1.409A-1(i).</w:t>
      </w:r>
    </w:p>
    <w:p>
      <w:pPr>
        <w:spacing w:after="0" w:line="126" w:lineRule="exact"/>
        <w:rPr>
          <w:sz w:val="20"/>
          <w:szCs w:val="20"/>
          <w:color w:val="auto"/>
        </w:rPr>
      </w:pPr>
    </w:p>
    <w:p>
      <w:pPr>
        <w:ind w:right="140" w:firstLine="1153"/>
        <w:spacing w:after="0" w:line="25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Specified Employee Effective Date</w:t>
      </w:r>
      <w:r>
        <w:rPr>
          <w:rFonts w:ascii="Arial" w:cs="Arial" w:eastAsia="Arial" w:hAnsi="Arial"/>
          <w:sz w:val="19"/>
          <w:szCs w:val="19"/>
          <w:color w:val="auto"/>
        </w:rPr>
        <w:t>” means the first day of the fourth month following the Specified Employee Identification Date. The Specified Employee Effective Date may be changed by Sempra Energy, in its discretion, in accordance with Treasury Regulation Section 1.409A-1(i)(4).</w:t>
      </w:r>
    </w:p>
    <w:p>
      <w:pPr>
        <w:spacing w:after="0" w:line="153" w:lineRule="exact"/>
        <w:rPr>
          <w:sz w:val="20"/>
          <w:szCs w:val="20"/>
          <w:color w:val="auto"/>
        </w:rPr>
      </w:pPr>
    </w:p>
    <w:p>
      <w:pPr>
        <w:ind w:right="40" w:firstLine="1153"/>
        <w:spacing w:after="0" w:line="26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Specified Employee Identification Date</w:t>
      </w:r>
      <w:r>
        <w:rPr>
          <w:rFonts w:ascii="Arial" w:cs="Arial" w:eastAsia="Arial" w:hAnsi="Arial"/>
          <w:sz w:val="18"/>
          <w:szCs w:val="18"/>
          <w:color w:val="auto"/>
        </w:rPr>
        <w:t>”, for purposes of Treasury Regulation Section 1.409A-1(i)(3), shall mean December 31. The “</w:t>
      </w:r>
      <w:r>
        <w:rPr>
          <w:rFonts w:ascii="Arial" w:cs="Arial" w:eastAsia="Arial" w:hAnsi="Arial"/>
          <w:sz w:val="18"/>
          <w:szCs w:val="18"/>
          <w:u w:val="single" w:color="auto"/>
          <w:color w:val="auto"/>
        </w:rPr>
        <w:t>Specified Employee Identification Date</w:t>
      </w:r>
      <w:r>
        <w:rPr>
          <w:rFonts w:ascii="Arial" w:cs="Arial" w:eastAsia="Arial" w:hAnsi="Arial"/>
          <w:sz w:val="18"/>
          <w:szCs w:val="18"/>
          <w:color w:val="auto"/>
        </w:rPr>
        <w:t>” shall apply to all “nonqualified deferred compensation plans” (as defined in Treasury Regulation Section 1.409A-1(a)) of the Service Recipient and all affected Service Providers. The “</w:t>
      </w:r>
      <w:r>
        <w:rPr>
          <w:rFonts w:ascii="Arial" w:cs="Arial" w:eastAsia="Arial" w:hAnsi="Arial"/>
          <w:sz w:val="18"/>
          <w:szCs w:val="18"/>
          <w:u w:val="single" w:color="auto"/>
          <w:color w:val="auto"/>
        </w:rPr>
        <w:t>Specified Employee Identification Date</w:t>
      </w:r>
      <w:r>
        <w:rPr>
          <w:rFonts w:ascii="Arial" w:cs="Arial" w:eastAsia="Arial" w:hAnsi="Arial"/>
          <w:sz w:val="18"/>
          <w:szCs w:val="18"/>
          <w:color w:val="auto"/>
        </w:rPr>
        <w:t>” may be changed by Sempra Energy, in its discretion, in accordance with Treasury Regulation Section 1.409A-1(i)(3).</w:t>
      </w:r>
    </w:p>
    <w:p>
      <w:pPr>
        <w:spacing w:after="0" w:line="143" w:lineRule="exact"/>
        <w:rPr>
          <w:sz w:val="20"/>
          <w:szCs w:val="20"/>
          <w:color w:val="auto"/>
        </w:rPr>
      </w:pPr>
    </w:p>
    <w:p>
      <w:pPr>
        <w:ind w:left="11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Testing Year</w:t>
      </w:r>
      <w:r>
        <w:rPr>
          <w:rFonts w:ascii="Arial" w:cs="Arial" w:eastAsia="Arial" w:hAnsi="Arial"/>
          <w:sz w:val="17"/>
          <w:szCs w:val="17"/>
          <w:color w:val="auto"/>
        </w:rPr>
        <w:t>” shall mean the twelve (12) month period ending on the Specified Employee Identification Date, as determined from</w:t>
      </w:r>
    </w:p>
    <w:p>
      <w:pPr>
        <w:spacing w:after="0" w:line="37" w:lineRule="exact"/>
        <w:rPr>
          <w:sz w:val="20"/>
          <w:szCs w:val="20"/>
          <w:color w:val="auto"/>
        </w:rPr>
      </w:pPr>
    </w:p>
    <w:p>
      <w:pPr>
        <w:spacing w:after="0"/>
        <w:rPr>
          <w:sz w:val="20"/>
          <w:szCs w:val="20"/>
          <w:color w:val="auto"/>
        </w:rPr>
      </w:pPr>
      <w:r>
        <w:rPr>
          <w:rFonts w:ascii="Arial" w:cs="Arial" w:eastAsia="Arial" w:hAnsi="Arial"/>
          <w:sz w:val="19"/>
          <w:szCs w:val="19"/>
          <w:color w:val="auto"/>
        </w:rPr>
        <w:t>time to time.</w:t>
      </w:r>
    </w:p>
    <w:p>
      <w:pPr>
        <w:spacing w:after="0" w:line="174" w:lineRule="exact"/>
        <w:rPr>
          <w:sz w:val="20"/>
          <w:szCs w:val="20"/>
          <w:color w:val="auto"/>
        </w:rPr>
      </w:pPr>
    </w:p>
    <w:p>
      <w:pPr>
        <w:ind w:left="11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Underpayment</w:t>
      </w:r>
      <w:r>
        <w:rPr>
          <w:rFonts w:ascii="Arial" w:cs="Arial" w:eastAsia="Arial" w:hAnsi="Arial"/>
          <w:sz w:val="19"/>
          <w:szCs w:val="19"/>
          <w:color w:val="auto"/>
        </w:rPr>
        <w:t>” has the meaning assigned thereto in Section 9(b) hereof.</w:t>
      </w:r>
    </w:p>
    <w:p>
      <w:pPr>
        <w:spacing w:after="0" w:line="190"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For purposes of this Agreement, references to any “</w:t>
      </w:r>
      <w:r>
        <w:rPr>
          <w:rFonts w:ascii="Arial" w:cs="Arial" w:eastAsia="Arial" w:hAnsi="Arial"/>
          <w:sz w:val="18"/>
          <w:szCs w:val="18"/>
          <w:u w:val="single" w:color="auto"/>
          <w:color w:val="auto"/>
        </w:rPr>
        <w:t>Treasury Regulation</w:t>
      </w:r>
      <w:r>
        <w:rPr>
          <w:rFonts w:ascii="Arial" w:cs="Arial" w:eastAsia="Arial" w:hAnsi="Arial"/>
          <w:sz w:val="18"/>
          <w:szCs w:val="18"/>
          <w:color w:val="auto"/>
        </w:rPr>
        <w:t>” shall mean such Treasury Regulation as in effect on the</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date hereof.</w:t>
      </w:r>
    </w:p>
    <w:p>
      <w:pPr>
        <w:spacing w:after="0" w:line="168" w:lineRule="exact"/>
        <w:rPr>
          <w:sz w:val="20"/>
          <w:szCs w:val="20"/>
          <w:color w:val="auto"/>
        </w:rPr>
      </w:pPr>
    </w:p>
    <w:p>
      <w:pPr>
        <w:ind w:left="1140"/>
        <w:spacing w:after="0"/>
        <w:rPr>
          <w:sz w:val="20"/>
          <w:szCs w:val="20"/>
          <w:color w:val="auto"/>
        </w:rPr>
      </w:pPr>
      <w:r>
        <w:rPr>
          <w:rFonts w:ascii="Arial" w:cs="Arial" w:eastAsia="Arial" w:hAnsi="Arial"/>
          <w:sz w:val="19"/>
          <w:szCs w:val="19"/>
          <w:b w:val="1"/>
          <w:bCs w:val="1"/>
          <w:color w:val="auto"/>
        </w:rPr>
        <w:t>Section 2.</w:t>
      </w:r>
    </w:p>
    <w:p>
      <w:pPr>
        <w:sectPr>
          <w:pgSz w:w="11900" w:h="16846" w:orient="portrait"/>
          <w:cols w:equalWidth="0" w:num="1">
            <w:col w:w="11440"/>
          </w:cols>
          <w:pgMar w:left="240" w:top="120" w:right="219" w:bottom="0" w:gutter="0" w:footer="0" w:header="0"/>
        </w:sectPr>
      </w:pPr>
    </w:p>
    <w:bookmarkStart w:id="81" w:name="page82"/>
    <w:bookmarkEnd w:id="81"/>
    <w:p>
      <w:pPr>
        <w:spacing w:after="0" w:line="30" w:lineRule="exact"/>
        <w:rPr>
          <w:sz w:val="20"/>
          <w:szCs w:val="20"/>
          <w:color w:val="auto"/>
        </w:rPr>
      </w:pPr>
    </w:p>
    <w:p>
      <w:pPr>
        <w:ind w:firstLine="2306"/>
        <w:spacing w:after="0" w:line="258" w:lineRule="auto"/>
        <w:rPr>
          <w:sz w:val="20"/>
          <w:szCs w:val="20"/>
          <w:color w:val="auto"/>
        </w:rPr>
      </w:pPr>
      <w:r>
        <w:rPr>
          <w:rFonts w:ascii="Arial" w:cs="Arial" w:eastAsia="Arial" w:hAnsi="Arial"/>
          <w:sz w:val="18"/>
          <w:szCs w:val="18"/>
          <w:u w:val="single" w:color="auto"/>
          <w:color w:val="auto"/>
        </w:rPr>
        <w:t>Sarbanes-Oxley Act of 2002</w:t>
      </w:r>
      <w:r>
        <w:rPr>
          <w:rFonts w:ascii="Arial" w:cs="Arial" w:eastAsia="Arial" w:hAnsi="Arial"/>
          <w:sz w:val="18"/>
          <w:szCs w:val="18"/>
          <w:color w:val="auto"/>
        </w:rPr>
        <w:t>. Notwithstanding anything herein to the contrary, if the Company determines, in its good faith judgment, that any provision of this Agreement is likely to be interpreted as a personal loan prohibited by the Sarbanes-Oxley Act of 2002 and the rules and regulations promulgated thereunder (the “</w:t>
      </w:r>
      <w:r>
        <w:rPr>
          <w:rFonts w:ascii="Arial" w:cs="Arial" w:eastAsia="Arial" w:hAnsi="Arial"/>
          <w:sz w:val="18"/>
          <w:szCs w:val="18"/>
          <w:u w:val="single" w:color="auto"/>
          <w:color w:val="auto"/>
        </w:rPr>
        <w:t>Act</w:t>
      </w:r>
      <w:r>
        <w:rPr>
          <w:rFonts w:ascii="Arial" w:cs="Arial" w:eastAsia="Arial" w:hAnsi="Arial"/>
          <w:sz w:val="18"/>
          <w:szCs w:val="18"/>
          <w:color w:val="auto"/>
        </w:rPr>
        <w:t>”), then such provision shall be modified as necessary or appropriate so as to not violate the Act; and if this cannot be accomplished, then the Company shall use its reasonable efforts to provide the Executive with similar, but lawful, substitute benefit(s) at a cost to the Company not to significantly exceed the amount the Company would have otherwise paid to provide such benefit(s) to the Executive. In addition, if the Executive is required to forfeit or to make any repayment of any compensation or benefit(s) to the Company under the Act or any other law, such forfeiture or repayment shall not constitute Good Reason.</w:t>
      </w:r>
    </w:p>
    <w:p>
      <w:pPr>
        <w:spacing w:after="0" w:line="137" w:lineRule="exact"/>
        <w:rPr>
          <w:sz w:val="20"/>
          <w:szCs w:val="20"/>
          <w:color w:val="auto"/>
        </w:rPr>
      </w:pPr>
    </w:p>
    <w:p>
      <w:pPr>
        <w:ind w:left="1140"/>
        <w:spacing w:after="0"/>
        <w:tabs>
          <w:tab w:leader="none" w:pos="2280" w:val="left"/>
        </w:tabs>
        <w:rPr>
          <w:sz w:val="20"/>
          <w:szCs w:val="20"/>
          <w:color w:val="auto"/>
        </w:rPr>
      </w:pPr>
      <w:r>
        <w:rPr>
          <w:rFonts w:ascii="Arial" w:cs="Arial" w:eastAsia="Arial" w:hAnsi="Arial"/>
          <w:sz w:val="19"/>
          <w:szCs w:val="19"/>
          <w:b w:val="1"/>
          <w:bCs w:val="1"/>
          <w:color w:val="auto"/>
        </w:rPr>
        <w:t>Section 3.</w:t>
      </w:r>
      <w:r>
        <w:rPr>
          <w:sz w:val="20"/>
          <w:szCs w:val="20"/>
          <w:color w:val="auto"/>
        </w:rPr>
        <w:tab/>
      </w:r>
      <w:r>
        <w:rPr>
          <w:rFonts w:ascii="Arial" w:cs="Arial" w:eastAsia="Arial" w:hAnsi="Arial"/>
          <w:sz w:val="17"/>
          <w:szCs w:val="17"/>
          <w:u w:val="single" w:color="auto"/>
          <w:color w:val="auto"/>
        </w:rPr>
        <w:t>Notice and Date of Termination</w:t>
      </w:r>
    </w:p>
    <w:p>
      <w:pPr>
        <w:spacing w:after="0" w:line="190" w:lineRule="exact"/>
        <w:rPr>
          <w:sz w:val="20"/>
          <w:szCs w:val="20"/>
          <w:color w:val="auto"/>
        </w:rPr>
      </w:pPr>
    </w:p>
    <w:p>
      <w:pPr>
        <w:ind w:left="1140"/>
        <w:spacing w:after="0"/>
        <w:rPr>
          <w:sz w:val="20"/>
          <w:szCs w:val="20"/>
          <w:color w:val="auto"/>
        </w:rPr>
      </w:pPr>
      <w:r>
        <w:rPr>
          <w:rFonts w:ascii="Arial" w:cs="Arial" w:eastAsia="Arial" w:hAnsi="Arial"/>
          <w:sz w:val="19"/>
          <w:szCs w:val="19"/>
          <w:color w:val="auto"/>
        </w:rPr>
        <w:t>.</w:t>
      </w:r>
    </w:p>
    <w:p>
      <w:pPr>
        <w:spacing w:after="0" w:line="190" w:lineRule="exact"/>
        <w:rPr>
          <w:sz w:val="20"/>
          <w:szCs w:val="20"/>
          <w:color w:val="auto"/>
        </w:rPr>
      </w:pPr>
    </w:p>
    <w:p>
      <w:pPr>
        <w:ind w:right="160" w:firstLine="1149"/>
        <w:spacing w:after="0" w:line="243" w:lineRule="auto"/>
        <w:tabs>
          <w:tab w:leader="none" w:pos="1730" w:val="left"/>
        </w:tabs>
        <w:numPr>
          <w:ilvl w:val="0"/>
          <w:numId w:val="78"/>
        </w:numPr>
        <w:rPr>
          <w:rFonts w:ascii="Arial" w:cs="Arial" w:eastAsia="Arial" w:hAnsi="Arial"/>
          <w:sz w:val="19"/>
          <w:szCs w:val="19"/>
          <w:color w:val="auto"/>
        </w:rPr>
      </w:pPr>
      <w:r>
        <w:rPr>
          <w:rFonts w:ascii="Arial" w:cs="Arial" w:eastAsia="Arial" w:hAnsi="Arial"/>
          <w:sz w:val="19"/>
          <w:szCs w:val="19"/>
          <w:color w:val="auto"/>
        </w:rPr>
        <w:t>Any termination of the Executive’s employment by the Company or by the Executive shall be communicated by a written notice of termination to the other party (the “</w:t>
      </w:r>
      <w:r>
        <w:rPr>
          <w:rFonts w:ascii="Arial" w:cs="Arial" w:eastAsia="Arial" w:hAnsi="Arial"/>
          <w:sz w:val="19"/>
          <w:szCs w:val="19"/>
          <w:u w:val="single" w:color="auto"/>
          <w:color w:val="auto"/>
        </w:rPr>
        <w:t>Notice of Termination</w:t>
      </w:r>
      <w:r>
        <w:rPr>
          <w:rFonts w:ascii="Arial" w:cs="Arial" w:eastAsia="Arial" w:hAnsi="Arial"/>
          <w:sz w:val="19"/>
          <w:szCs w:val="19"/>
          <w:color w:val="auto"/>
        </w:rPr>
        <w:t>”). Where applicable, the Notice of Termination shall indicate the specific termination provision in this Agreement relied upon and shall set forth in reasonable detail the facts and circumstances claimed to provide a basis for termination of the Executive’s employment under the provision so indicated. Unless the Board determines otherwise, a Notice of Termination by the Executive alleging a termination for Good Reason must be made within 180 days of the act or failure to act that the Executive alleges to constitute Good Reason.</w:t>
      </w:r>
    </w:p>
    <w:p>
      <w:pPr>
        <w:spacing w:after="0" w:line="150" w:lineRule="exact"/>
        <w:rPr>
          <w:rFonts w:ascii="Arial" w:cs="Arial" w:eastAsia="Arial" w:hAnsi="Arial"/>
          <w:sz w:val="19"/>
          <w:szCs w:val="19"/>
          <w:color w:val="auto"/>
        </w:rPr>
      </w:pPr>
    </w:p>
    <w:p>
      <w:pPr>
        <w:ind w:left="1720" w:hanging="571"/>
        <w:spacing w:after="0"/>
        <w:tabs>
          <w:tab w:leader="none" w:pos="172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date of the Executive’s termination of employment with the Company (the “</w:t>
      </w:r>
      <w:r>
        <w:rPr>
          <w:rFonts w:ascii="Arial" w:cs="Arial" w:eastAsia="Arial" w:hAnsi="Arial"/>
          <w:sz w:val="18"/>
          <w:szCs w:val="18"/>
          <w:u w:val="single" w:color="auto"/>
          <w:color w:val="auto"/>
        </w:rPr>
        <w:t>Date of Termination</w:t>
      </w:r>
      <w:r>
        <w:rPr>
          <w:rFonts w:ascii="Arial" w:cs="Arial" w:eastAsia="Arial" w:hAnsi="Arial"/>
          <w:sz w:val="18"/>
          <w:szCs w:val="18"/>
          <w:color w:val="auto"/>
        </w:rPr>
        <w:t>”) shall be determined</w:t>
      </w:r>
    </w:p>
    <w:p>
      <w:pPr>
        <w:spacing w:after="0" w:line="25" w:lineRule="exact"/>
        <w:rPr>
          <w:rFonts w:ascii="Arial" w:cs="Arial" w:eastAsia="Arial" w:hAnsi="Arial"/>
          <w:sz w:val="18"/>
          <w:szCs w:val="18"/>
          <w:color w:val="auto"/>
        </w:rPr>
      </w:pPr>
    </w:p>
    <w:p>
      <w:pPr>
        <w:spacing w:after="0" w:line="253" w:lineRule="auto"/>
        <w:rPr>
          <w:rFonts w:ascii="Arial" w:cs="Arial" w:eastAsia="Arial" w:hAnsi="Arial"/>
          <w:sz w:val="18"/>
          <w:szCs w:val="18"/>
          <w:color w:val="auto"/>
        </w:rPr>
      </w:pPr>
      <w:r>
        <w:rPr>
          <w:rFonts w:ascii="Arial" w:cs="Arial" w:eastAsia="Arial" w:hAnsi="Arial"/>
          <w:sz w:val="18"/>
          <w:szCs w:val="18"/>
          <w:color w:val="auto"/>
        </w:rPr>
        <w:t>as follows: (i) if the Executive has a Separation from Service by reason of the Company terminating his or her employment, either with or without Cause, the Date of Termination shall be the date specified in the Notice of Termination (which, in the case of a termination by the Company other than for Cause, shall not be less than two (2) weeks from the date such Notice of Termination is given unless the Company elects to pay the Executive, in addition to any other amounts payable hereunder, an amount (the “</w:t>
      </w:r>
      <w:r>
        <w:rPr>
          <w:rFonts w:ascii="Arial" w:cs="Arial" w:eastAsia="Arial" w:hAnsi="Arial"/>
          <w:sz w:val="18"/>
          <w:szCs w:val="18"/>
          <w:u w:val="single" w:color="auto"/>
          <w:color w:val="auto"/>
        </w:rPr>
        <w:t>Payment in Lieu of Notice</w:t>
      </w:r>
      <w:r>
        <w:rPr>
          <w:rFonts w:ascii="Arial" w:cs="Arial" w:eastAsia="Arial" w:hAnsi="Arial"/>
          <w:sz w:val="18"/>
          <w:szCs w:val="18"/>
          <w:color w:val="auto"/>
        </w:rPr>
        <w:t xml:space="preserve">”) equal to two (2) weeks of the Executive’s Annual Base Salary in effect on the Date of Termination), and (ii) if the basis for the Executive’s Involuntary Termination is his resignation for Good Reason, the Date of Termination shall be determined by the Executive and specified in the Notice of Termination, but shall not in any event be less than fifteen (15) days nor more than sixty (60) days after the date such Notice of Termination is given. The Payment in Lieu of Notice shall be paid on such date as is determined by the Company within thirty (30) days after the date of the Executive’s Separation from Service; </w:t>
      </w:r>
      <w:r>
        <w:rPr>
          <w:rFonts w:ascii="Arial" w:cs="Arial" w:eastAsia="Arial" w:hAnsi="Arial"/>
          <w:sz w:val="18"/>
          <w:szCs w:val="18"/>
          <w:i w:val="1"/>
          <w:iCs w:val="1"/>
          <w:color w:val="auto"/>
        </w:rPr>
        <w:t>provided, however</w:t>
      </w:r>
      <w:r>
        <w:rPr>
          <w:rFonts w:ascii="Arial" w:cs="Arial" w:eastAsia="Arial" w:hAnsi="Arial"/>
          <w:sz w:val="18"/>
          <w:szCs w:val="18"/>
          <w:color w:val="auto"/>
        </w:rPr>
        <w:t>, that if the Executive is a Specified Employee on the date of his or her Separation from Service, such Payment in Lieu of Notice shall be paid as provided in Section 10 hereof.</w:t>
      </w:r>
    </w:p>
    <w:p>
      <w:pPr>
        <w:spacing w:after="0" w:line="144" w:lineRule="exact"/>
        <w:rPr>
          <w:sz w:val="20"/>
          <w:szCs w:val="20"/>
          <w:color w:val="auto"/>
        </w:rPr>
      </w:pPr>
    </w:p>
    <w:p>
      <w:pPr>
        <w:ind w:right="80" w:firstLine="1153"/>
        <w:spacing w:after="0" w:line="252" w:lineRule="auto"/>
        <w:rPr>
          <w:sz w:val="20"/>
          <w:szCs w:val="20"/>
          <w:color w:val="auto"/>
        </w:rPr>
      </w:pPr>
      <w:r>
        <w:rPr>
          <w:rFonts w:ascii="Arial" w:cs="Arial" w:eastAsia="Arial" w:hAnsi="Arial"/>
          <w:sz w:val="19"/>
          <w:szCs w:val="19"/>
          <w:b w:val="1"/>
          <w:bCs w:val="1"/>
          <w:color w:val="auto"/>
        </w:rPr>
        <w:t xml:space="preserve">Section 4. </w:t>
      </w:r>
      <w:r>
        <w:rPr>
          <w:rFonts w:ascii="Arial" w:cs="Arial" w:eastAsia="Arial" w:hAnsi="Arial"/>
          <w:sz w:val="19"/>
          <w:szCs w:val="19"/>
          <w:u w:val="single" w:color="auto"/>
          <w:color w:val="auto"/>
        </w:rPr>
        <w:t>Termination from the Board</w:t>
      </w:r>
      <w:r>
        <w:rPr>
          <w:rFonts w:ascii="Arial" w:cs="Arial" w:eastAsia="Arial" w:hAnsi="Arial"/>
          <w:sz w:val="19"/>
          <w:szCs w:val="19"/>
          <w:color w:val="auto"/>
        </w:rPr>
        <w:t>. Upon the termination of the Executive’s employment for any reason, the Executive’s</w:t>
      </w:r>
      <w:r>
        <w:rPr>
          <w:rFonts w:ascii="Arial" w:cs="Arial" w:eastAsia="Arial" w:hAnsi="Arial"/>
          <w:sz w:val="19"/>
          <w:szCs w:val="19"/>
          <w:b w:val="1"/>
          <w:bCs w:val="1"/>
          <w:color w:val="auto"/>
        </w:rPr>
        <w:t xml:space="preserve"> </w:t>
      </w:r>
      <w:r>
        <w:rPr>
          <w:rFonts w:ascii="Arial" w:cs="Arial" w:eastAsia="Arial" w:hAnsi="Arial"/>
          <w:sz w:val="19"/>
          <w:szCs w:val="19"/>
          <w:color w:val="auto"/>
        </w:rPr>
        <w:t>membership on the Board, the board of directors of any of the Company’s Affiliates, any committees of the Board and any committees of the board of directors of any of the Company’s Affiliates, if applicable, shall be automatically terminated.</w:t>
      </w:r>
    </w:p>
    <w:p>
      <w:pPr>
        <w:spacing w:after="0" w:line="147" w:lineRule="exact"/>
        <w:rPr>
          <w:sz w:val="20"/>
          <w:szCs w:val="20"/>
          <w:color w:val="auto"/>
        </w:rPr>
      </w:pPr>
    </w:p>
    <w:p>
      <w:pPr>
        <w:ind w:left="1140"/>
        <w:spacing w:after="0"/>
        <w:tabs>
          <w:tab w:leader="none" w:pos="2280" w:val="left"/>
        </w:tabs>
        <w:rPr>
          <w:sz w:val="20"/>
          <w:szCs w:val="20"/>
          <w:color w:val="auto"/>
        </w:rPr>
      </w:pPr>
      <w:r>
        <w:rPr>
          <w:rFonts w:ascii="Arial" w:cs="Arial" w:eastAsia="Arial" w:hAnsi="Arial"/>
          <w:sz w:val="19"/>
          <w:szCs w:val="19"/>
          <w:b w:val="1"/>
          <w:bCs w:val="1"/>
          <w:color w:val="auto"/>
        </w:rPr>
        <w:t>Section 5.</w:t>
      </w:r>
      <w:r>
        <w:rPr>
          <w:sz w:val="20"/>
          <w:szCs w:val="20"/>
          <w:color w:val="auto"/>
        </w:rPr>
        <w:tab/>
      </w:r>
      <w:r>
        <w:rPr>
          <w:rFonts w:ascii="Arial" w:cs="Arial" w:eastAsia="Arial" w:hAnsi="Arial"/>
          <w:sz w:val="17"/>
          <w:szCs w:val="17"/>
          <w:u w:val="single" w:color="auto"/>
          <w:color w:val="auto"/>
        </w:rPr>
        <w:t>Severance Benefits upon Involuntary Termination Prior to Change in Control</w:t>
      </w:r>
    </w:p>
    <w:p>
      <w:pPr>
        <w:spacing w:after="0" w:line="196" w:lineRule="exact"/>
        <w:rPr>
          <w:sz w:val="20"/>
          <w:szCs w:val="20"/>
          <w:color w:val="auto"/>
        </w:rPr>
      </w:pPr>
    </w:p>
    <w:p>
      <w:pPr>
        <w:ind w:right="40" w:firstLine="1149"/>
        <w:spacing w:after="0" w:line="273" w:lineRule="auto"/>
        <w:tabs>
          <w:tab w:leader="none" w:pos="1297" w:val="left"/>
        </w:tabs>
        <w:numPr>
          <w:ilvl w:val="0"/>
          <w:numId w:val="79"/>
        </w:numPr>
        <w:rPr>
          <w:rFonts w:ascii="Arial" w:cs="Arial" w:eastAsia="Arial" w:hAnsi="Arial"/>
          <w:sz w:val="17"/>
          <w:szCs w:val="17"/>
          <w:color w:val="auto"/>
        </w:rPr>
      </w:pPr>
      <w:r>
        <w:rPr>
          <w:rFonts w:ascii="Arial" w:cs="Arial" w:eastAsia="Arial" w:hAnsi="Arial"/>
          <w:sz w:val="17"/>
          <w:szCs w:val="17"/>
          <w:color w:val="auto"/>
        </w:rPr>
        <w:t>Except as provided in Section 6 and Section 19(i) hereof, in the event of the Involuntary Termination of the Executive prior to a Change in Control, the Company shall pay the Executive, in one lump sum cash payment, an amount (the “</w:t>
      </w:r>
      <w:r>
        <w:rPr>
          <w:rFonts w:ascii="Arial" w:cs="Arial" w:eastAsia="Arial" w:hAnsi="Arial"/>
          <w:sz w:val="17"/>
          <w:szCs w:val="17"/>
          <w:u w:val="single" w:color="auto"/>
          <w:color w:val="auto"/>
        </w:rPr>
        <w:t>Pre-Change in Control Severance</w:t>
      </w:r>
      <w:r>
        <w:rPr>
          <w:rFonts w:ascii="Arial" w:cs="Arial" w:eastAsia="Arial" w:hAnsi="Arial"/>
          <w:sz w:val="17"/>
          <w:szCs w:val="17"/>
          <w:color w:val="auto"/>
        </w:rPr>
        <w:t xml:space="preserve"> </w:t>
      </w:r>
      <w:r>
        <w:rPr>
          <w:rFonts w:ascii="Arial" w:cs="Arial" w:eastAsia="Arial" w:hAnsi="Arial"/>
          <w:sz w:val="17"/>
          <w:szCs w:val="17"/>
          <w:u w:val="single" w:color="auto"/>
          <w:color w:val="auto"/>
        </w:rPr>
        <w:t>Payment</w:t>
      </w:r>
      <w:r>
        <w:rPr>
          <w:rFonts w:ascii="Arial" w:cs="Arial" w:eastAsia="Arial" w:hAnsi="Arial"/>
          <w:sz w:val="17"/>
          <w:szCs w:val="17"/>
          <w:color w:val="auto"/>
        </w:rPr>
        <w:t xml:space="preserve">”) equal to the greater of: (X) ____% of the Executive’s Annual Base Salary as in effect on the Date of Termination, and (Y) the Executive’s Annual Base Salary as in effect on the Date of Termination, plus the Executive’s Average Annual Bonus. In addition to the Pre-Change in Control Severance Payment, the Executive shall be entitled to the following additional benefits specified in subsections (a) through (e). Except as provided in Section 5(f), the Pre-Change in Control Severance Payment and the payment under Section 5(a) shall be paid on such date as is determined by the Company within thirty (30) days after the date of the Involuntary Termination; </w:t>
      </w:r>
      <w:r>
        <w:rPr>
          <w:rFonts w:ascii="Arial" w:cs="Arial" w:eastAsia="Arial" w:hAnsi="Arial"/>
          <w:sz w:val="17"/>
          <w:szCs w:val="17"/>
          <w:i w:val="1"/>
          <w:iCs w:val="1"/>
          <w:color w:val="auto"/>
        </w:rPr>
        <w:t>provided, however</w:t>
      </w:r>
      <w:r>
        <w:rPr>
          <w:rFonts w:ascii="Arial" w:cs="Arial" w:eastAsia="Arial" w:hAnsi="Arial"/>
          <w:sz w:val="17"/>
          <w:szCs w:val="17"/>
          <w:color w:val="auto"/>
        </w:rPr>
        <w:t>, that, if the Executive is a Specified Employee on the date of the Executive’s Involuntary Termination, the Pre-Change in Control Severance Payment and the financial planning services and the related tax gross up payments provided under Section 5(e) shall be paid as provided in Section 10 hereof.</w:t>
      </w:r>
    </w:p>
    <w:p>
      <w:pPr>
        <w:spacing w:after="0" w:line="125" w:lineRule="exact"/>
        <w:rPr>
          <w:sz w:val="20"/>
          <w:szCs w:val="20"/>
          <w:color w:val="auto"/>
        </w:rPr>
      </w:pPr>
    </w:p>
    <w:p>
      <w:pPr>
        <w:ind w:right="140" w:firstLine="1149"/>
        <w:spacing w:after="0" w:line="242" w:lineRule="auto"/>
        <w:tabs>
          <w:tab w:leader="none" w:pos="1730" w:val="left"/>
        </w:tabs>
        <w:numPr>
          <w:ilvl w:val="0"/>
          <w:numId w:val="80"/>
        </w:numPr>
        <w:rPr>
          <w:rFonts w:ascii="Arial" w:cs="Arial" w:eastAsia="Arial" w:hAnsi="Arial"/>
          <w:sz w:val="19"/>
          <w:szCs w:val="19"/>
          <w:color w:val="auto"/>
        </w:rPr>
      </w:pPr>
      <w:r>
        <w:rPr>
          <w:rFonts w:ascii="Arial" w:cs="Arial" w:eastAsia="Arial" w:hAnsi="Arial"/>
          <w:sz w:val="19"/>
          <w:szCs w:val="19"/>
          <w:u w:val="single" w:color="auto"/>
          <w:color w:val="auto"/>
        </w:rPr>
        <w:t>Accrued Obligations</w:t>
      </w:r>
      <w:r>
        <w:rPr>
          <w:rFonts w:ascii="Arial" w:cs="Arial" w:eastAsia="Arial" w:hAnsi="Arial"/>
          <w:sz w:val="19"/>
          <w:szCs w:val="19"/>
          <w:color w:val="auto"/>
        </w:rPr>
        <w:t>. The Company shall pay the Executive a lump sum amount in cash equal to the sum of (A) the Executive’s Annual Base Salary through the Date of Termination to the extent not theretofore paid, (B) an amount equal to any annual Incentive Compensation Awards earned with respect to fiscal years ended prior to the year that includes the Date of Termination to the extent not theretofore paid, (C) any accrued and unpaid vacation, if any, and (D) reimbursement for unreimbursed business expenses, if any, properly incurred by the Executive in the performance of his duties in accordance with policies established from time to time by the Board, in each case to the extent not theretofore paid. (The amounts specified in clauses (A), (B), (C) and (D) shall be hereinafter referred to as the “</w:t>
      </w:r>
      <w:r>
        <w:rPr>
          <w:rFonts w:ascii="Arial" w:cs="Arial" w:eastAsia="Arial" w:hAnsi="Arial"/>
          <w:sz w:val="19"/>
          <w:szCs w:val="19"/>
          <w:u w:val="single" w:color="auto"/>
          <w:color w:val="auto"/>
        </w:rPr>
        <w:t>Pre-Change in Control Accrued</w:t>
      </w:r>
      <w:r>
        <w:rPr>
          <w:rFonts w:ascii="Arial" w:cs="Arial" w:eastAsia="Arial" w:hAnsi="Arial"/>
          <w:sz w:val="19"/>
          <w:szCs w:val="19"/>
          <w:color w:val="auto"/>
        </w:rPr>
        <w:t xml:space="preserve"> </w:t>
      </w:r>
      <w:r>
        <w:rPr>
          <w:rFonts w:ascii="Arial" w:cs="Arial" w:eastAsia="Arial" w:hAnsi="Arial"/>
          <w:sz w:val="19"/>
          <w:szCs w:val="19"/>
          <w:u w:val="single" w:color="auto"/>
          <w:color w:val="auto"/>
        </w:rPr>
        <w:t>Obligations</w:t>
      </w:r>
      <w:r>
        <w:rPr>
          <w:rFonts w:ascii="Arial" w:cs="Arial" w:eastAsia="Arial" w:hAnsi="Arial"/>
          <w:sz w:val="19"/>
          <w:szCs w:val="19"/>
          <w:color w:val="auto"/>
        </w:rPr>
        <w:t>”).</w:t>
      </w:r>
    </w:p>
    <w:p>
      <w:pPr>
        <w:spacing w:after="0" w:line="151" w:lineRule="exact"/>
        <w:rPr>
          <w:rFonts w:ascii="Arial" w:cs="Arial" w:eastAsia="Arial" w:hAnsi="Arial"/>
          <w:sz w:val="19"/>
          <w:szCs w:val="19"/>
          <w:color w:val="auto"/>
        </w:rPr>
      </w:pPr>
    </w:p>
    <w:p>
      <w:pPr>
        <w:ind w:right="60" w:firstLine="1149"/>
        <w:spacing w:after="0" w:line="266" w:lineRule="auto"/>
        <w:tabs>
          <w:tab w:leader="none" w:pos="1730" w:val="left"/>
        </w:tabs>
        <w:numPr>
          <w:ilvl w:val="0"/>
          <w:numId w:val="80"/>
        </w:numPr>
        <w:rPr>
          <w:rFonts w:ascii="Arial" w:cs="Arial" w:eastAsia="Arial" w:hAnsi="Arial"/>
          <w:sz w:val="19"/>
          <w:szCs w:val="19"/>
          <w:color w:val="auto"/>
        </w:rPr>
      </w:pPr>
      <w:r>
        <w:rPr>
          <w:rFonts w:ascii="Arial" w:cs="Arial" w:eastAsia="Arial" w:hAnsi="Arial"/>
          <w:sz w:val="19"/>
          <w:szCs w:val="19"/>
          <w:u w:val="single" w:color="auto"/>
          <w:color w:val="auto"/>
        </w:rPr>
        <w:t>Equity Based Compensation</w:t>
      </w:r>
      <w:r>
        <w:rPr>
          <w:rFonts w:ascii="Arial" w:cs="Arial" w:eastAsia="Arial" w:hAnsi="Arial"/>
          <w:sz w:val="19"/>
          <w:szCs w:val="19"/>
          <w:color w:val="auto"/>
        </w:rPr>
        <w:t>. The Executive shall retain all rights to any equity-based compensation awards to the extent set forth in the applicable plan and/or award agreement.</w:t>
      </w:r>
    </w:p>
    <w:p>
      <w:pPr>
        <w:spacing w:after="0" w:line="140" w:lineRule="exact"/>
        <w:rPr>
          <w:rFonts w:ascii="Arial" w:cs="Arial" w:eastAsia="Arial" w:hAnsi="Arial"/>
          <w:sz w:val="19"/>
          <w:szCs w:val="19"/>
          <w:color w:val="auto"/>
        </w:rPr>
      </w:pPr>
    </w:p>
    <w:p>
      <w:pPr>
        <w:ind w:firstLine="1149"/>
        <w:spacing w:after="0" w:line="242" w:lineRule="auto"/>
        <w:tabs>
          <w:tab w:leader="none" w:pos="1730" w:val="left"/>
        </w:tabs>
        <w:numPr>
          <w:ilvl w:val="0"/>
          <w:numId w:val="80"/>
        </w:numPr>
        <w:rPr>
          <w:rFonts w:ascii="Arial" w:cs="Arial" w:eastAsia="Arial" w:hAnsi="Arial"/>
          <w:sz w:val="19"/>
          <w:szCs w:val="19"/>
          <w:color w:val="auto"/>
        </w:rPr>
      </w:pPr>
      <w:r>
        <w:rPr>
          <w:rFonts w:ascii="Arial" w:cs="Arial" w:eastAsia="Arial" w:hAnsi="Arial"/>
          <w:sz w:val="19"/>
          <w:szCs w:val="19"/>
          <w:u w:val="single" w:color="auto"/>
          <w:color w:val="auto"/>
        </w:rPr>
        <w:t>Welfare Benefits</w:t>
      </w:r>
      <w:r>
        <w:rPr>
          <w:rFonts w:ascii="Arial" w:cs="Arial" w:eastAsia="Arial" w:hAnsi="Arial"/>
          <w:sz w:val="19"/>
          <w:szCs w:val="19"/>
          <w:color w:val="auto"/>
        </w:rPr>
        <w:t xml:space="preserve">. Subject to Section 12 below, for a period of ____ months following the date of the Involuntary Termination (and an additional ____ months if the Executive provides consulting services under Section 14(e) hereof), the Executive and his dependents shall be provided with health insurance benefits substantially similar to those provided to the Executive and his dependents immediately prior to the date of the Involuntary Termination;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such benefits shall be provided on substantially the same terms and conditions and at the same cost to the Executive as in effect immediately prior to the date of the Involuntary Termination. Such benefits shall be provided through insurance maintained by the Company under the Company’s benefit plans. Such benefits shall be provided in a manner that complies with Treasury Re gulation Section 1.409A-1(a)(5).</w:t>
      </w:r>
    </w:p>
    <w:p>
      <w:pPr>
        <w:spacing w:after="0" w:line="151" w:lineRule="exact"/>
        <w:rPr>
          <w:rFonts w:ascii="Arial" w:cs="Arial" w:eastAsia="Arial" w:hAnsi="Arial"/>
          <w:sz w:val="19"/>
          <w:szCs w:val="19"/>
          <w:color w:val="auto"/>
        </w:rPr>
      </w:pPr>
    </w:p>
    <w:p>
      <w:pPr>
        <w:ind w:right="240" w:firstLine="1149"/>
        <w:spacing w:after="0" w:line="261" w:lineRule="auto"/>
        <w:tabs>
          <w:tab w:leader="none" w:pos="1730" w:val="left"/>
        </w:tabs>
        <w:numPr>
          <w:ilvl w:val="0"/>
          <w:numId w:val="80"/>
        </w:numPr>
        <w:rPr>
          <w:rFonts w:ascii="Arial" w:cs="Arial" w:eastAsia="Arial" w:hAnsi="Arial"/>
          <w:sz w:val="18"/>
          <w:szCs w:val="18"/>
          <w:color w:val="auto"/>
        </w:rPr>
      </w:pPr>
      <w:r>
        <w:rPr>
          <w:rFonts w:ascii="Arial" w:cs="Arial" w:eastAsia="Arial" w:hAnsi="Arial"/>
          <w:sz w:val="18"/>
          <w:szCs w:val="18"/>
          <w:u w:val="single" w:color="auto"/>
          <w:color w:val="auto"/>
        </w:rPr>
        <w:t>Outplacement Services</w:t>
      </w:r>
      <w:r>
        <w:rPr>
          <w:rFonts w:ascii="Arial" w:cs="Arial" w:eastAsia="Arial" w:hAnsi="Arial"/>
          <w:sz w:val="18"/>
          <w:szCs w:val="18"/>
          <w:color w:val="auto"/>
        </w:rPr>
        <w:t>. The Executive shall receive reasonable outplacement services, on an in-kind basis, suitable to his position and directly related to the Executive’s Involuntary Termination, for a period of ____ months following the date of the Involuntary Termination, in an aggregate amount of cost to the Company not to exceed $50,000. Notwithstanding the foregoing, the Executive shall cease to receive outplacement services on the date the Executive accepts employment with a subsequent employer. Such outplacement services shall be provided in a manner that complies with Treasury Regulation Section 1.409A-1(b)(9)(v)(A).</w:t>
      </w:r>
    </w:p>
    <w:p>
      <w:pPr>
        <w:spacing w:after="0" w:line="135" w:lineRule="exact"/>
        <w:rPr>
          <w:rFonts w:ascii="Arial" w:cs="Arial" w:eastAsia="Arial" w:hAnsi="Arial"/>
          <w:sz w:val="18"/>
          <w:szCs w:val="18"/>
          <w:color w:val="auto"/>
        </w:rPr>
      </w:pPr>
    </w:p>
    <w:p>
      <w:pPr>
        <w:ind w:left="1720" w:hanging="571"/>
        <w:spacing w:after="0"/>
        <w:tabs>
          <w:tab w:leader="none" w:pos="1720" w:val="left"/>
        </w:tabs>
        <w:numPr>
          <w:ilvl w:val="0"/>
          <w:numId w:val="80"/>
        </w:numPr>
        <w:rPr>
          <w:rFonts w:ascii="Arial" w:cs="Arial" w:eastAsia="Arial" w:hAnsi="Arial"/>
          <w:sz w:val="18"/>
          <w:szCs w:val="18"/>
          <w:color w:val="auto"/>
        </w:rPr>
      </w:pPr>
      <w:r>
        <w:rPr>
          <w:rFonts w:ascii="Arial" w:cs="Arial" w:eastAsia="Arial" w:hAnsi="Arial"/>
          <w:sz w:val="18"/>
          <w:szCs w:val="18"/>
          <w:u w:val="single" w:color="auto"/>
          <w:color w:val="auto"/>
        </w:rPr>
        <w:t>Financial Planning Services</w:t>
      </w:r>
      <w:r>
        <w:rPr>
          <w:rFonts w:ascii="Arial" w:cs="Arial" w:eastAsia="Arial" w:hAnsi="Arial"/>
          <w:sz w:val="18"/>
          <w:szCs w:val="18"/>
          <w:color w:val="auto"/>
        </w:rPr>
        <w:t>. The Executive shall receive financial planning services, on an in-kind basis, for a period of</w:t>
      </w:r>
    </w:p>
    <w:p>
      <w:pPr>
        <w:spacing w:after="0" w:line="25" w:lineRule="exact"/>
        <w:rPr>
          <w:rFonts w:ascii="Arial" w:cs="Arial" w:eastAsia="Arial" w:hAnsi="Arial"/>
          <w:sz w:val="18"/>
          <w:szCs w:val="18"/>
          <w:color w:val="auto"/>
        </w:rPr>
      </w:pPr>
    </w:p>
    <w:p>
      <w:pPr>
        <w:ind w:right="200"/>
        <w:spacing w:after="0" w:line="275" w:lineRule="auto"/>
        <w:rPr>
          <w:rFonts w:ascii="Arial" w:cs="Arial" w:eastAsia="Arial" w:hAnsi="Arial"/>
          <w:sz w:val="18"/>
          <w:szCs w:val="18"/>
          <w:color w:val="auto"/>
        </w:rPr>
      </w:pPr>
      <w:r>
        <w:rPr>
          <w:rFonts w:ascii="Arial" w:cs="Arial" w:eastAsia="Arial" w:hAnsi="Arial"/>
          <w:sz w:val="17"/>
          <w:szCs w:val="17"/>
          <w:color w:val="auto"/>
        </w:rPr>
        <w:t xml:space="preserve">____ months following the Date of Termination. Such financial planning services shall include expert financial and legal resources to assist the Executive with financial planning needs and shall be limited to (i) current investment portfolio management, (ii) tax planning, (iii) tax return preparation, and (iv) estate planning advice and document preparation (including wills and trusts);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the Company shall provide such financial planning services during any taxable year of the Executive only to the extent the cost to the Company for such taxable year does not exceed $25,000. The Company shall provide such financial planning services through a financial planner selected by the Company, and</w:t>
      </w:r>
    </w:p>
    <w:p>
      <w:pPr>
        <w:sectPr>
          <w:pgSz w:w="11900" w:h="16869" w:orient="portrait"/>
          <w:cols w:equalWidth="0" w:num="1">
            <w:col w:w="11420"/>
          </w:cols>
          <w:pgMar w:left="240" w:top="120" w:right="239" w:bottom="0" w:gutter="0" w:footer="0" w:header="0"/>
        </w:sectPr>
      </w:pPr>
    </w:p>
    <w:bookmarkStart w:id="82" w:name="page83"/>
    <w:bookmarkEnd w:id="82"/>
    <w:p>
      <w:pPr>
        <w:ind w:left="4" w:right="20"/>
        <w:spacing w:after="0" w:line="247" w:lineRule="auto"/>
        <w:rPr>
          <w:sz w:val="20"/>
          <w:szCs w:val="20"/>
          <w:color w:val="auto"/>
        </w:rPr>
      </w:pPr>
      <w:r>
        <w:rPr>
          <w:rFonts w:ascii="Arial" w:cs="Arial" w:eastAsia="Arial" w:hAnsi="Arial"/>
          <w:sz w:val="19"/>
          <w:szCs w:val="19"/>
          <w:color w:val="auto"/>
        </w:rPr>
        <w:t>shall pay the fees for su ch financial planning services. The financial planning services provided during any taxable year of the Executive shall not affect the financial planning services provided in any other taxable year of the Executive. The Executive’s right to financial planning services shall not be subject to liquidation or exchange for any other benefit. Such financial planning services shall be provided in a manner that complies with Treasury Regulation Section 1.409A-3(i)(1)(iv).</w:t>
      </w:r>
    </w:p>
    <w:p>
      <w:pPr>
        <w:spacing w:after="0" w:line="147" w:lineRule="exact"/>
        <w:rPr>
          <w:sz w:val="20"/>
          <w:szCs w:val="20"/>
          <w:color w:val="auto"/>
        </w:rPr>
      </w:pPr>
    </w:p>
    <w:p>
      <w:pPr>
        <w:ind w:left="4" w:right="180" w:firstLine="1149"/>
        <w:spacing w:after="0" w:line="272" w:lineRule="auto"/>
        <w:tabs>
          <w:tab w:leader="none" w:pos="1734" w:val="left"/>
        </w:tabs>
        <w:numPr>
          <w:ilvl w:val="0"/>
          <w:numId w:val="81"/>
        </w:numPr>
        <w:rPr>
          <w:rFonts w:ascii="Arial" w:cs="Arial" w:eastAsia="Arial" w:hAnsi="Arial"/>
          <w:sz w:val="18"/>
          <w:szCs w:val="18"/>
          <w:color w:val="auto"/>
        </w:rPr>
      </w:pPr>
      <w:r>
        <w:rPr>
          <w:rFonts w:ascii="Arial" w:cs="Arial" w:eastAsia="Arial" w:hAnsi="Arial"/>
          <w:sz w:val="18"/>
          <w:szCs w:val="18"/>
          <w:u w:val="single" w:color="auto"/>
          <w:color w:val="auto"/>
        </w:rPr>
        <w:t>Deferral of Payments</w:t>
      </w:r>
      <w:r>
        <w:rPr>
          <w:rFonts w:ascii="Arial" w:cs="Arial" w:eastAsia="Arial" w:hAnsi="Arial"/>
          <w:sz w:val="18"/>
          <w:szCs w:val="18"/>
          <w:color w:val="auto"/>
        </w:rPr>
        <w:t>. The Executive shall have the right to elect to defer the Pre-Change in Control Severance Payment to be received by the Executive pursuant to this Section 5 under the terms and conditions of the Sempra Energy 2005 Deferred Compensation Plan (the “</w:t>
      </w:r>
      <w:r>
        <w:rPr>
          <w:rFonts w:ascii="Arial" w:cs="Arial" w:eastAsia="Arial" w:hAnsi="Arial"/>
          <w:sz w:val="18"/>
          <w:szCs w:val="18"/>
          <w:u w:val="single" w:color="auto"/>
          <w:color w:val="auto"/>
        </w:rPr>
        <w:t>Deferred Compensation Plan</w:t>
      </w:r>
      <w:r>
        <w:rPr>
          <w:rFonts w:ascii="Arial" w:cs="Arial" w:eastAsia="Arial" w:hAnsi="Arial"/>
          <w:sz w:val="18"/>
          <w:szCs w:val="18"/>
          <w:color w:val="auto"/>
        </w:rPr>
        <w:t>”). Any such deferral election shall be made in accordance with Section 18(b) hereof.</w:t>
      </w:r>
    </w:p>
    <w:p>
      <w:pPr>
        <w:spacing w:after="0" w:line="131" w:lineRule="exact"/>
        <w:rPr>
          <w:sz w:val="20"/>
          <w:szCs w:val="20"/>
          <w:color w:val="auto"/>
        </w:rPr>
      </w:pPr>
    </w:p>
    <w:p>
      <w:pPr>
        <w:ind w:left="1144"/>
        <w:spacing w:after="0"/>
        <w:tabs>
          <w:tab w:leader="none" w:pos="2284" w:val="left"/>
        </w:tabs>
        <w:rPr>
          <w:sz w:val="20"/>
          <w:szCs w:val="20"/>
          <w:color w:val="auto"/>
        </w:rPr>
      </w:pPr>
      <w:r>
        <w:rPr>
          <w:rFonts w:ascii="Arial" w:cs="Arial" w:eastAsia="Arial" w:hAnsi="Arial"/>
          <w:sz w:val="19"/>
          <w:szCs w:val="19"/>
          <w:b w:val="1"/>
          <w:bCs w:val="1"/>
          <w:color w:val="auto"/>
        </w:rPr>
        <w:t>Section 6.</w:t>
      </w:r>
      <w:r>
        <w:rPr>
          <w:sz w:val="20"/>
          <w:szCs w:val="20"/>
          <w:color w:val="auto"/>
        </w:rPr>
        <w:tab/>
      </w:r>
      <w:r>
        <w:rPr>
          <w:rFonts w:ascii="Arial" w:cs="Arial" w:eastAsia="Arial" w:hAnsi="Arial"/>
          <w:sz w:val="17"/>
          <w:szCs w:val="17"/>
          <w:u w:val="single" w:color="auto"/>
          <w:color w:val="auto"/>
        </w:rPr>
        <w:t>Severance Benefits upon Involuntary Termination in Connection with and after Change in Control</w:t>
      </w:r>
    </w:p>
    <w:p>
      <w:pPr>
        <w:spacing w:after="0" w:line="196" w:lineRule="exact"/>
        <w:rPr>
          <w:sz w:val="20"/>
          <w:szCs w:val="20"/>
          <w:color w:val="auto"/>
        </w:rPr>
      </w:pPr>
    </w:p>
    <w:p>
      <w:pPr>
        <w:ind w:left="4" w:right="180" w:firstLine="1149"/>
        <w:spacing w:after="0" w:line="272" w:lineRule="auto"/>
        <w:tabs>
          <w:tab w:leader="none" w:pos="1301" w:val="left"/>
        </w:tabs>
        <w:numPr>
          <w:ilvl w:val="0"/>
          <w:numId w:val="82"/>
        </w:numPr>
        <w:rPr>
          <w:rFonts w:ascii="Arial" w:cs="Arial" w:eastAsia="Arial" w:hAnsi="Arial"/>
          <w:sz w:val="17"/>
          <w:szCs w:val="17"/>
          <w:color w:val="auto"/>
        </w:rPr>
      </w:pPr>
      <w:r>
        <w:rPr>
          <w:rFonts w:ascii="Arial" w:cs="Arial" w:eastAsia="Arial" w:hAnsi="Arial"/>
          <w:sz w:val="17"/>
          <w:szCs w:val="17"/>
          <w:color w:val="auto"/>
        </w:rPr>
        <w:t>Notwithstanding the provisions of Section 5 above, and except as provided in Section 19(i) hereof</w:t>
      </w:r>
      <w:r>
        <w:rPr>
          <w:rFonts w:ascii="Arial" w:cs="Arial" w:eastAsia="Arial" w:hAnsi="Arial"/>
          <w:sz w:val="17"/>
          <w:szCs w:val="17"/>
          <w:i w:val="1"/>
          <w:iCs w:val="1"/>
          <w:color w:val="auto"/>
        </w:rPr>
        <w:t>,</w:t>
      </w:r>
      <w:r>
        <w:rPr>
          <w:rFonts w:ascii="Arial" w:cs="Arial" w:eastAsia="Arial" w:hAnsi="Arial"/>
          <w:sz w:val="17"/>
          <w:szCs w:val="17"/>
          <w:color w:val="auto"/>
        </w:rPr>
        <w:t xml:space="preserve"> in the event of the Involuntary Termination of the Executive on or within two (2) years following a Change in Control, in lieu of the payments described in Section 5 above, the Company shall pay the Executive, in one lump sum cash payment, an amount (the “</w:t>
      </w:r>
      <w:r>
        <w:rPr>
          <w:rFonts w:ascii="Arial" w:cs="Arial" w:eastAsia="Arial" w:hAnsi="Arial"/>
          <w:sz w:val="17"/>
          <w:szCs w:val="17"/>
          <w:u w:val="single" w:color="auto"/>
          <w:color w:val="auto"/>
        </w:rPr>
        <w:t>Post-Change in Control Severance Payment</w:t>
      </w:r>
      <w:r>
        <w:rPr>
          <w:rFonts w:ascii="Arial" w:cs="Arial" w:eastAsia="Arial" w:hAnsi="Arial"/>
          <w:sz w:val="17"/>
          <w:szCs w:val="17"/>
          <w:color w:val="auto"/>
        </w:rPr>
        <w:t>”) equal to ___</w:t>
      </w:r>
    </w:p>
    <w:p>
      <w:pPr>
        <w:ind w:left="4" w:right="40"/>
        <w:spacing w:after="0" w:line="253" w:lineRule="auto"/>
        <w:rPr>
          <w:rFonts w:ascii="Arial" w:cs="Arial" w:eastAsia="Arial" w:hAnsi="Arial"/>
          <w:sz w:val="17"/>
          <w:szCs w:val="17"/>
          <w:color w:val="auto"/>
        </w:rPr>
      </w:pPr>
      <w:r>
        <w:rPr>
          <w:rFonts w:ascii="Arial" w:cs="Arial" w:eastAsia="Arial" w:hAnsi="Arial"/>
          <w:sz w:val="18"/>
          <w:szCs w:val="18"/>
          <w:color w:val="auto"/>
        </w:rPr>
        <w:t xml:space="preserve">times the greater of: (X) ____% of the Executive’s Annual Base Salary as in effect immediately prior to the Change in Control or the Date of Termination, whichever is greater, and (Y) the Executive’s Annual Base Salary as in effect immediately prior to the Change in Control or on the Date of Termination, whichever is greater, plus the Executive’s Average Annual Bonus. In addition to the Post-Change in Control Severance Payment, t he Executive shall be entitled to the following additional benefits specified in subsections (a) through (f). Except as provided in Sections 6(g) and 6(h), the Post-Change in Control Severance Payment and the payments under Sections 6(a) and (b) shall be paid on such date as is determined by the Company within thirty (30) days after the date of the Involuntary Termination; </w:t>
      </w:r>
      <w:r>
        <w:rPr>
          <w:rFonts w:ascii="Arial" w:cs="Arial" w:eastAsia="Arial" w:hAnsi="Arial"/>
          <w:sz w:val="18"/>
          <w:szCs w:val="18"/>
          <w:i w:val="1"/>
          <w:iCs w:val="1"/>
          <w:color w:val="auto"/>
        </w:rPr>
        <w:t>provided, however</w:t>
      </w:r>
      <w:r>
        <w:rPr>
          <w:rFonts w:ascii="Arial" w:cs="Arial" w:eastAsia="Arial" w:hAnsi="Arial"/>
          <w:sz w:val="18"/>
          <w:szCs w:val="18"/>
          <w:color w:val="auto"/>
        </w:rPr>
        <w:t>, that, if the Executive is a Specified Employee on the date of the Executive’s Involuntary Termination, the Post-Change in Control Severance Payment, the Additional Post-Change in Control Severance Payment under Section 6(a)(E), the payment under Section 6(b) (but only to the extent such payment or portion thereof is subject to Section 409A of the Code), and the financial planning services and the related tax gross up payments provided under Section 6(f) shall be paid as provided in Section 10 hereof.</w:t>
      </w:r>
    </w:p>
    <w:p>
      <w:pPr>
        <w:spacing w:after="0" w:line="144" w:lineRule="exact"/>
        <w:rPr>
          <w:sz w:val="20"/>
          <w:szCs w:val="20"/>
          <w:color w:val="auto"/>
        </w:rPr>
      </w:pPr>
    </w:p>
    <w:p>
      <w:pPr>
        <w:ind w:left="4" w:right="80" w:firstLine="1149"/>
        <w:spacing w:after="0"/>
        <w:tabs>
          <w:tab w:leader="none" w:pos="1734" w:val="left"/>
        </w:tabs>
        <w:numPr>
          <w:ilvl w:val="1"/>
          <w:numId w:val="83"/>
        </w:numPr>
        <w:rPr>
          <w:rFonts w:ascii="Arial" w:cs="Arial" w:eastAsia="Arial" w:hAnsi="Arial"/>
          <w:sz w:val="19"/>
          <w:szCs w:val="19"/>
          <w:color w:val="auto"/>
        </w:rPr>
      </w:pPr>
      <w:r>
        <w:rPr>
          <w:rFonts w:ascii="Arial" w:cs="Arial" w:eastAsia="Arial" w:hAnsi="Arial"/>
          <w:sz w:val="19"/>
          <w:szCs w:val="19"/>
          <w:u w:val="single" w:color="auto"/>
          <w:color w:val="auto"/>
        </w:rPr>
        <w:t>Accrued Obligations</w:t>
      </w:r>
      <w:r>
        <w:rPr>
          <w:rFonts w:ascii="Arial" w:cs="Arial" w:eastAsia="Arial" w:hAnsi="Arial"/>
          <w:sz w:val="19"/>
          <w:szCs w:val="19"/>
          <w:color w:val="auto"/>
        </w:rPr>
        <w:t>. The Company shall pay the Executive a lump sum amount in cash equal to the sum of (A) the Executive’s Annual Base Salary through the Date of Termination to the extent not theretofore paid, (B) an amount equal to any annual Incentive Compensation Awards earned with respect to fiscal years ended prior to the year that includes the Date of Termination to the extent not theretofore paid, (C) any accrued and unpaid vacation, if any, (D) reimbursement for unreimbursed business expenses, if any, properly incurred by the Executive in the performance of his duties in accordance with policies established from time to time by the Board, and (E) an amount (the “</w:t>
      </w:r>
      <w:r>
        <w:rPr>
          <w:rFonts w:ascii="Arial" w:cs="Arial" w:eastAsia="Arial" w:hAnsi="Arial"/>
          <w:sz w:val="19"/>
          <w:szCs w:val="19"/>
          <w:u w:val="single" w:color="auto"/>
          <w:color w:val="auto"/>
        </w:rPr>
        <w:t>Additional Post-Change in Control Severance Payment</w:t>
      </w:r>
      <w:r>
        <w:rPr>
          <w:rFonts w:ascii="Arial" w:cs="Arial" w:eastAsia="Arial" w:hAnsi="Arial"/>
          <w:sz w:val="19"/>
          <w:szCs w:val="19"/>
          <w:color w:val="auto"/>
        </w:rPr>
        <w:t>”) equal to: (i) the greater of: (X) ____% of the Executive’s Annual Base Salary as in effect immediately prior to the C hange in Control or on the Date of Termination, whichever is greater, or (Y) the Executive’s Average Annual Bonus, multiplied by (ii) a fraction, the numerator of which shall be the number of days from the beginning of such fiscal year to and including the Date of Termination and the denominator of which shall be 365, in the case of each amount described in clause (A), (B), (C) or (D) to the extent not theretofore paid. (The amounts specified in clauses (A), (B), (C), (D) and (E) shall be hereinafter referred to as the “</w:t>
      </w:r>
      <w:r>
        <w:rPr>
          <w:rFonts w:ascii="Arial" w:cs="Arial" w:eastAsia="Arial" w:hAnsi="Arial"/>
          <w:sz w:val="19"/>
          <w:szCs w:val="19"/>
          <w:u w:val="single" w:color="auto"/>
          <w:color w:val="auto"/>
        </w:rPr>
        <w:t>Post-Change in Control</w:t>
      </w:r>
      <w:r>
        <w:rPr>
          <w:rFonts w:ascii="Arial" w:cs="Arial" w:eastAsia="Arial" w:hAnsi="Arial"/>
          <w:sz w:val="19"/>
          <w:szCs w:val="19"/>
          <w:color w:val="auto"/>
        </w:rPr>
        <w:t xml:space="preserve"> </w:t>
      </w:r>
      <w:r>
        <w:rPr>
          <w:rFonts w:ascii="Arial" w:cs="Arial" w:eastAsia="Arial" w:hAnsi="Arial"/>
          <w:sz w:val="19"/>
          <w:szCs w:val="19"/>
          <w:u w:val="single" w:color="auto"/>
          <w:color w:val="auto"/>
        </w:rPr>
        <w:t>Accrued Obligations</w:t>
      </w:r>
      <w:r>
        <w:rPr>
          <w:rFonts w:ascii="Arial" w:cs="Arial" w:eastAsia="Arial" w:hAnsi="Arial"/>
          <w:sz w:val="19"/>
          <w:szCs w:val="19"/>
          <w:color w:val="auto"/>
        </w:rPr>
        <w:t>”).</w:t>
      </w:r>
    </w:p>
    <w:p>
      <w:pPr>
        <w:spacing w:after="0" w:line="155" w:lineRule="exact"/>
        <w:rPr>
          <w:rFonts w:ascii="Arial" w:cs="Arial" w:eastAsia="Arial" w:hAnsi="Arial"/>
          <w:sz w:val="19"/>
          <w:szCs w:val="19"/>
          <w:color w:val="auto"/>
        </w:rPr>
      </w:pPr>
    </w:p>
    <w:p>
      <w:pPr>
        <w:ind w:left="4" w:firstLine="1149"/>
        <w:spacing w:after="0" w:line="266" w:lineRule="auto"/>
        <w:tabs>
          <w:tab w:leader="none" w:pos="1734" w:val="left"/>
        </w:tabs>
        <w:numPr>
          <w:ilvl w:val="1"/>
          <w:numId w:val="83"/>
        </w:numPr>
        <w:rPr>
          <w:rFonts w:ascii="Arial" w:cs="Arial" w:eastAsia="Arial" w:hAnsi="Arial"/>
          <w:sz w:val="17"/>
          <w:szCs w:val="17"/>
          <w:color w:val="auto"/>
        </w:rPr>
      </w:pPr>
      <w:r>
        <w:rPr>
          <w:rFonts w:ascii="Arial" w:cs="Arial" w:eastAsia="Arial" w:hAnsi="Arial"/>
          <w:sz w:val="17"/>
          <w:szCs w:val="17"/>
          <w:u w:val="single" w:color="auto"/>
          <w:color w:val="auto"/>
        </w:rPr>
        <w:t>Pension Supplement</w:t>
      </w:r>
      <w:r>
        <w:rPr>
          <w:rFonts w:ascii="Arial" w:cs="Arial" w:eastAsia="Arial" w:hAnsi="Arial"/>
          <w:sz w:val="17"/>
          <w:szCs w:val="17"/>
          <w:color w:val="auto"/>
        </w:rPr>
        <w:t>. The Executive shall be entitled to receive a Supplemental Retirement Benefit under the Sempra Energy Supplemental Executive Retirement Plan, as in effect from time to time (“</w:t>
      </w:r>
      <w:r>
        <w:rPr>
          <w:rFonts w:ascii="Arial" w:cs="Arial" w:eastAsia="Arial" w:hAnsi="Arial"/>
          <w:sz w:val="17"/>
          <w:szCs w:val="17"/>
          <w:u w:val="single" w:color="auto"/>
          <w:color w:val="auto"/>
        </w:rPr>
        <w:t>SERP</w:t>
      </w:r>
      <w:r>
        <w:rPr>
          <w:rFonts w:ascii="Arial" w:cs="Arial" w:eastAsia="Arial" w:hAnsi="Arial"/>
          <w:sz w:val="17"/>
          <w:szCs w:val="17"/>
          <w:color w:val="auto"/>
        </w:rPr>
        <w:t>”), determined in accordance with this Section 6(b), in the event that the Executive is a “Participant” (as defined in the SERP) as of the Date of Termination. Such Supplemental Retirement Benefit shall be determined by crediting the Executive with additional months of Service (if any) equal to the number of full calendar months from the Date of Termination to the date on which the Executive would have attained age 62. The Executive shall be entitled to receive such Supplemental Retirement Benefit without regard to whether the Executive has attained age 55 or completed five years of “Service” (as defined in the SERP) as of the Date of Termination . The Executive shall be treated as qualified for “Retirement” (as defined in the SERP) as of the Date of Termination, and the Executive’s Vesting Factor with respect to the Supplemental Retirement Benefit shall be 100%. The Executive’s Supplemental Retirement Benefit shall be calculated based on the Executive’s actual age as of the date of commencement of payment of such Supplemental Retirement Benefit (the “</w:t>
      </w:r>
      <w:r>
        <w:rPr>
          <w:rFonts w:ascii="Arial" w:cs="Arial" w:eastAsia="Arial" w:hAnsi="Arial"/>
          <w:sz w:val="17"/>
          <w:szCs w:val="17"/>
          <w:u w:val="single" w:color="auto"/>
          <w:color w:val="auto"/>
        </w:rPr>
        <w:t>SERP Distribution Date</w:t>
      </w:r>
      <w:r>
        <w:rPr>
          <w:rFonts w:ascii="Arial" w:cs="Arial" w:eastAsia="Arial" w:hAnsi="Arial"/>
          <w:sz w:val="17"/>
          <w:szCs w:val="17"/>
          <w:color w:val="auto"/>
        </w:rPr>
        <w:t>”), and by applying the applicable early retirement factors under the SERP, if the Executive has not attained age 62 but has attained age 55 as of the SERP Distribution Date. If the Executive has not attained age 55 as of the SERP Distribution Date, the Executive’s Supplemental Retirement Benefit shall be calculated by applying the applicable early retirement factor under the SERP for age 55, and the Supplemental Retirement Benefit otherwise payable at age 55 shall be actuarially adjusted to the Executive’s actua l age as of the SERP Distribution Date using the following actuarial assumptions: (i) the applicable mortality table promulgated by the Internal Revenue Service under Section 417(e)</w:t>
      </w:r>
    </w:p>
    <w:p>
      <w:pPr>
        <w:spacing w:after="0" w:line="10" w:lineRule="exact"/>
        <w:rPr>
          <w:rFonts w:ascii="Arial" w:cs="Arial" w:eastAsia="Arial" w:hAnsi="Arial"/>
          <w:sz w:val="17"/>
          <w:szCs w:val="17"/>
          <w:color w:val="auto"/>
        </w:rPr>
      </w:pPr>
    </w:p>
    <w:p>
      <w:pPr>
        <w:ind w:left="4" w:right="80" w:hanging="4"/>
        <w:spacing w:after="0" w:line="273" w:lineRule="auto"/>
        <w:tabs>
          <w:tab w:leader="none" w:pos="276" w:val="left"/>
        </w:tabs>
        <w:numPr>
          <w:ilvl w:val="0"/>
          <w:numId w:val="84"/>
        </w:numPr>
        <w:rPr>
          <w:rFonts w:ascii="Arial" w:cs="Arial" w:eastAsia="Arial" w:hAnsi="Arial"/>
          <w:sz w:val="17"/>
          <w:szCs w:val="17"/>
          <w:color w:val="auto"/>
        </w:rPr>
      </w:pPr>
      <w:r>
        <w:rPr>
          <w:rFonts w:ascii="Arial" w:cs="Arial" w:eastAsia="Arial" w:hAnsi="Arial"/>
          <w:sz w:val="17"/>
          <w:szCs w:val="17"/>
          <w:color w:val="auto"/>
        </w:rPr>
        <w:t>of the Code, as in effect on the first day of the calendar year in which the SERP Distribution Date occurs, and (ii) the applicable interest rate promulgated by the Internal Revenue Service under Section 417(a)(3) of the Code for the November next preceding the first day of the calendar year in which the SERP Distribution Date occurs. The Executive’s Supplemental Retirement Benefit shall be determined in accordance with this Section 6(b), notwithstanding any contrary provisions of the SERP and, to the extent subject to Section 409A of the Code, shall be paid in accordance with Treasury Regulation Section 1.409A-3(c)(1). The Supplemental Retirement Benefit paid to or on behalf of the Executive in accordance with this Section 6(b) shall be in full satisfaction of any and all of the benefits payable to or o n behalf of the Executive under the SERP.</w:t>
      </w:r>
    </w:p>
    <w:p>
      <w:pPr>
        <w:spacing w:after="0" w:line="355" w:lineRule="exact"/>
        <w:rPr>
          <w:rFonts w:ascii="Arial" w:cs="Arial" w:eastAsia="Arial" w:hAnsi="Arial"/>
          <w:sz w:val="17"/>
          <w:szCs w:val="17"/>
          <w:color w:val="auto"/>
        </w:rPr>
      </w:pPr>
    </w:p>
    <w:p>
      <w:pPr>
        <w:ind w:left="4" w:right="100" w:firstLine="1149"/>
        <w:spacing w:after="0" w:line="271" w:lineRule="auto"/>
        <w:tabs>
          <w:tab w:leader="none" w:pos="1734" w:val="left"/>
        </w:tabs>
        <w:numPr>
          <w:ilvl w:val="1"/>
          <w:numId w:val="84"/>
        </w:numPr>
        <w:rPr>
          <w:rFonts w:ascii="Arial" w:cs="Arial" w:eastAsia="Arial" w:hAnsi="Arial"/>
          <w:sz w:val="17"/>
          <w:szCs w:val="17"/>
          <w:color w:val="auto"/>
        </w:rPr>
      </w:pPr>
      <w:r>
        <w:rPr>
          <w:rFonts w:ascii="Arial" w:cs="Arial" w:eastAsia="Arial" w:hAnsi="Arial"/>
          <w:sz w:val="17"/>
          <w:szCs w:val="17"/>
          <w:u w:val="single" w:color="auto"/>
          <w:color w:val="auto"/>
        </w:rPr>
        <w:t>Equity-Based Compensation</w:t>
      </w:r>
      <w:r>
        <w:rPr>
          <w:rFonts w:ascii="Arial" w:cs="Arial" w:eastAsia="Arial" w:hAnsi="Arial"/>
          <w:sz w:val="17"/>
          <w:szCs w:val="17"/>
          <w:color w:val="auto"/>
        </w:rPr>
        <w:t xml:space="preserve">. Notwithstanding the provisions of any applicable equity-compensation plan or award agreement to the contrary, all equity-based Incentive Compensation Awards (including, without limitation, stock options, stock appreciation rights, restricted stock awards, restricted stock units, performance share awards, awards covered under Section 162(m) of the Code, and dividend equivalents) held by the Executive shall immediately vest and become exercisable or payable, as the case may be, as of the Date of Termination, to be exercised or paid, as the case may be, in accordance with the terms of the applicable Incentive Compensation Plan and Incentive Compensation Award agreement, and any restrictions on any such Incentive Compensation Awards shall automatically lapse; </w:t>
      </w:r>
      <w:r>
        <w:rPr>
          <w:rFonts w:ascii="Arial" w:cs="Arial" w:eastAsia="Arial" w:hAnsi="Arial"/>
          <w:sz w:val="17"/>
          <w:szCs w:val="17"/>
          <w:i w:val="1"/>
          <w:iCs w:val="1"/>
          <w:color w:val="auto"/>
        </w:rPr>
        <w:t>provided, however</w:t>
      </w:r>
      <w:r>
        <w:rPr>
          <w:rFonts w:ascii="Arial" w:cs="Arial" w:eastAsia="Arial" w:hAnsi="Arial"/>
          <w:sz w:val="17"/>
          <w:szCs w:val="17"/>
          <w:color w:val="auto"/>
        </w:rPr>
        <w:t>, that any such stock option or stock appreciation rights awards granted on o r after June 26, 1998 shall remain outstanding and exercisable until the earlier of (A) the later of eighteen (18) months following the Date of Termination or the period specified in the applicable Incentive Compensation Award agreements or (B) the expiration of the original term of such Incentive Compensation Award (or, if earlier, the tenth anniversary of the original date of grant) (it being understood that all Incentive Compensation Awards granted prior to or after June 26, 1998 shall remain outstanding and exercisable for a period that is no less than that provided for in the applicable agreement in effect as of the date of grant).</w:t>
      </w:r>
    </w:p>
    <w:p>
      <w:pPr>
        <w:spacing w:after="0" w:line="130" w:lineRule="exact"/>
        <w:rPr>
          <w:rFonts w:ascii="Arial" w:cs="Arial" w:eastAsia="Arial" w:hAnsi="Arial"/>
          <w:sz w:val="17"/>
          <w:szCs w:val="17"/>
          <w:color w:val="auto"/>
        </w:rPr>
      </w:pPr>
    </w:p>
    <w:p>
      <w:pPr>
        <w:ind w:left="4" w:right="180" w:firstLine="1149"/>
        <w:spacing w:after="0" w:line="277" w:lineRule="auto"/>
        <w:tabs>
          <w:tab w:leader="none" w:pos="1734" w:val="left"/>
        </w:tabs>
        <w:numPr>
          <w:ilvl w:val="1"/>
          <w:numId w:val="84"/>
        </w:numPr>
        <w:rPr>
          <w:rFonts w:ascii="Arial" w:cs="Arial" w:eastAsia="Arial" w:hAnsi="Arial"/>
          <w:sz w:val="17"/>
          <w:szCs w:val="17"/>
          <w:color w:val="auto"/>
        </w:rPr>
      </w:pPr>
      <w:r>
        <w:rPr>
          <w:rFonts w:ascii="Arial" w:cs="Arial" w:eastAsia="Arial" w:hAnsi="Arial"/>
          <w:sz w:val="17"/>
          <w:szCs w:val="17"/>
          <w:u w:val="single" w:color="auto"/>
          <w:color w:val="auto"/>
        </w:rPr>
        <w:t>Welfare Benefits</w:t>
      </w:r>
      <w:r>
        <w:rPr>
          <w:rFonts w:ascii="Arial" w:cs="Arial" w:eastAsia="Arial" w:hAnsi="Arial"/>
          <w:sz w:val="17"/>
          <w:szCs w:val="17"/>
          <w:color w:val="auto"/>
        </w:rPr>
        <w:t xml:space="preserve">. Subject to Section 12 below, for a period of ____ months following the date of Involuntary Termination (and an additional ____ months if the Executive provides consulting services under Section 14(e) hereof), the Executive and his dependents shall be provided with life, disability, accident and health insurance benefits substantially similar to those provided to the Executive and his dependents immediately prior to the date of Involuntary Termination or the Change in Control Date, whichever is more favorable to the Executive;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such benefits shall be provided on substantially the same terms and conditions and at the same cost to the Executive as in effect</w:t>
      </w:r>
      <w:r>
        <w:rPr>
          <w:rFonts w:ascii="Arial" w:cs="Arial" w:eastAsia="Arial" w:hAnsi="Arial"/>
          <w:sz w:val="17"/>
          <w:szCs w:val="17"/>
          <w:i w:val="1"/>
          <w:iCs w:val="1"/>
          <w:color w:val="auto"/>
        </w:rPr>
        <w:t xml:space="preserve"> </w:t>
      </w:r>
      <w:r>
        <w:rPr>
          <w:rFonts w:ascii="Arial" w:cs="Arial" w:eastAsia="Arial" w:hAnsi="Arial"/>
          <w:sz w:val="17"/>
          <w:szCs w:val="17"/>
          <w:color w:val="auto"/>
        </w:rPr>
        <w:t>immediately prior to the date of Involuntary Termination or the Change in Control Date, whichever is more favorable to the Executive. Such</w:t>
      </w:r>
    </w:p>
    <w:p>
      <w:pPr>
        <w:sectPr>
          <w:pgSz w:w="11900" w:h="16838" w:orient="portrait"/>
          <w:cols w:equalWidth="0" w:num="1">
            <w:col w:w="11444"/>
          </w:cols>
          <w:pgMar w:left="236" w:top="120" w:right="219" w:bottom="0" w:gutter="0" w:footer="0" w:header="0"/>
        </w:sectPr>
      </w:pPr>
    </w:p>
    <w:bookmarkStart w:id="83" w:name="page84"/>
    <w:bookmarkEnd w:id="83"/>
    <w:p>
      <w:pPr>
        <w:ind w:right="320"/>
        <w:spacing w:after="0" w:line="267" w:lineRule="auto"/>
        <w:rPr>
          <w:sz w:val="20"/>
          <w:szCs w:val="20"/>
          <w:color w:val="auto"/>
        </w:rPr>
      </w:pPr>
      <w:r>
        <w:rPr>
          <w:rFonts w:ascii="Arial" w:cs="Arial" w:eastAsia="Arial" w:hAnsi="Arial"/>
          <w:sz w:val="19"/>
          <w:szCs w:val="19"/>
          <w:color w:val="auto"/>
        </w:rPr>
        <w:t>benefits shall be provided through insurance maintained by the Company under the Company benefit plans. Such benefits shall be provided in a manner that complies with Treasury Regulation Section 1.409A-1(a)(5).</w:t>
      </w:r>
    </w:p>
    <w:p>
      <w:pPr>
        <w:spacing w:after="0" w:line="127" w:lineRule="exact"/>
        <w:rPr>
          <w:sz w:val="20"/>
          <w:szCs w:val="20"/>
          <w:color w:val="auto"/>
        </w:rPr>
      </w:pPr>
    </w:p>
    <w:p>
      <w:pPr>
        <w:ind w:right="60" w:firstLine="1149"/>
        <w:spacing w:after="0" w:line="259" w:lineRule="auto"/>
        <w:tabs>
          <w:tab w:leader="none" w:pos="1730" w:val="left"/>
        </w:tabs>
        <w:numPr>
          <w:ilvl w:val="0"/>
          <w:numId w:val="85"/>
        </w:numPr>
        <w:rPr>
          <w:rFonts w:ascii="Arial" w:cs="Arial" w:eastAsia="Arial" w:hAnsi="Arial"/>
          <w:sz w:val="18"/>
          <w:szCs w:val="18"/>
          <w:color w:val="auto"/>
        </w:rPr>
      </w:pPr>
      <w:r>
        <w:rPr>
          <w:rFonts w:ascii="Arial" w:cs="Arial" w:eastAsia="Arial" w:hAnsi="Arial"/>
          <w:sz w:val="18"/>
          <w:szCs w:val="18"/>
          <w:u w:val="single" w:color="auto"/>
          <w:color w:val="auto"/>
        </w:rPr>
        <w:t>Outplacement Services</w:t>
      </w:r>
      <w:r>
        <w:rPr>
          <w:rFonts w:ascii="Arial" w:cs="Arial" w:eastAsia="Arial" w:hAnsi="Arial"/>
          <w:sz w:val="18"/>
          <w:szCs w:val="18"/>
          <w:color w:val="auto"/>
        </w:rPr>
        <w:t>. The Executive shall receive reasonable outplacement services, on an in-kind basis, suitable to his position and directly related to the Executive’s Involuntary Termination, for a period of ____ months following the date of Involuntary Termination (but in no event beyond the last day of the Executive’s second taxable year following the Executive’s taxable year in which the Involuntary Termination occurs), in the aggregate amount of cost to the Company not to exceed $50,000. Notwithstanding the foregoing, the Executive shall cease to receive outplacement services on the date the Executive accepts employment with a subsequent employer. Such outplacement services shall be provided in a manner that complies with Treasury Regulation Section 1.409A-1(b)(9)(v)(A).</w:t>
      </w:r>
    </w:p>
    <w:p>
      <w:pPr>
        <w:spacing w:after="0" w:line="149" w:lineRule="exact"/>
        <w:rPr>
          <w:rFonts w:ascii="Arial" w:cs="Arial" w:eastAsia="Arial" w:hAnsi="Arial"/>
          <w:sz w:val="18"/>
          <w:szCs w:val="18"/>
          <w:color w:val="auto"/>
        </w:rPr>
      </w:pPr>
    </w:p>
    <w:p>
      <w:pPr>
        <w:ind w:left="1720" w:hanging="571"/>
        <w:spacing w:after="0"/>
        <w:tabs>
          <w:tab w:leader="none" w:pos="1720" w:val="left"/>
        </w:tabs>
        <w:numPr>
          <w:ilvl w:val="0"/>
          <w:numId w:val="85"/>
        </w:numPr>
        <w:rPr>
          <w:rFonts w:ascii="Arial" w:cs="Arial" w:eastAsia="Arial" w:hAnsi="Arial"/>
          <w:sz w:val="18"/>
          <w:szCs w:val="18"/>
          <w:color w:val="auto"/>
        </w:rPr>
      </w:pPr>
      <w:r>
        <w:rPr>
          <w:rFonts w:ascii="Arial" w:cs="Arial" w:eastAsia="Arial" w:hAnsi="Arial"/>
          <w:sz w:val="18"/>
          <w:szCs w:val="18"/>
          <w:u w:val="single" w:color="auto"/>
          <w:color w:val="auto"/>
        </w:rPr>
        <w:t>Financial Planning Services</w:t>
      </w:r>
      <w:r>
        <w:rPr>
          <w:rFonts w:ascii="Arial" w:cs="Arial" w:eastAsia="Arial" w:hAnsi="Arial"/>
          <w:sz w:val="18"/>
          <w:szCs w:val="18"/>
          <w:color w:val="auto"/>
        </w:rPr>
        <w:t>. The Executive shall receive financial planning services, on an in-kind basis, for a period of</w:t>
      </w:r>
    </w:p>
    <w:p>
      <w:pPr>
        <w:spacing w:after="0" w:line="25" w:lineRule="exact"/>
        <w:rPr>
          <w:rFonts w:ascii="Arial" w:cs="Arial" w:eastAsia="Arial" w:hAnsi="Arial"/>
          <w:sz w:val="18"/>
          <w:szCs w:val="18"/>
          <w:color w:val="auto"/>
        </w:rPr>
      </w:pPr>
    </w:p>
    <w:p>
      <w:pPr>
        <w:ind w:right="40"/>
        <w:spacing w:after="0" w:line="239" w:lineRule="auto"/>
        <w:rPr>
          <w:rFonts w:ascii="Arial" w:cs="Arial" w:eastAsia="Arial" w:hAnsi="Arial"/>
          <w:sz w:val="18"/>
          <w:szCs w:val="18"/>
          <w:color w:val="auto"/>
        </w:rPr>
      </w:pPr>
      <w:r>
        <w:rPr>
          <w:rFonts w:ascii="Arial" w:cs="Arial" w:eastAsia="Arial" w:hAnsi="Arial"/>
          <w:sz w:val="19"/>
          <w:szCs w:val="19"/>
          <w:color w:val="auto"/>
        </w:rPr>
        <w:t xml:space="preserve">____ months following the date of Involuntary Termination. Such financial planning services shall include expert financial and legal resources to assist the Executive with financial planning needs and shall be limited to (i) current investment portfolio management, (ii) tax planning, (iii) tax return preparation, and (iv) estate planning advice and document preparation (including wills and trusts);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the Company shall provide such financial services during any taxable year of the Executive only to the extent the cost to the Company for such taxable year does not exceed $25,000. The Company shall provide such financial planning services through a financial planner selected by the Company, and shall pay the fees for such f inancial planning services. The financial planning services provided during any taxable year of the Executive shall not affect the financial planning services provided in any other taxable year of the Executive. The Executive’s right to financial planning services shall not be subject to liquidation or exchange for any other benefit. Such financial planning services shall be provided in a manner that complies with Section 1.409A-3(i)(1)(iv).</w:t>
      </w:r>
    </w:p>
    <w:p>
      <w:pPr>
        <w:spacing w:after="0" w:line="152" w:lineRule="exact"/>
        <w:rPr>
          <w:rFonts w:ascii="Arial" w:cs="Arial" w:eastAsia="Arial" w:hAnsi="Arial"/>
          <w:sz w:val="18"/>
          <w:szCs w:val="18"/>
          <w:color w:val="auto"/>
        </w:rPr>
      </w:pPr>
    </w:p>
    <w:p>
      <w:pPr>
        <w:ind w:right="40" w:firstLine="1149"/>
        <w:spacing w:after="0" w:line="241" w:lineRule="auto"/>
        <w:tabs>
          <w:tab w:leader="none" w:pos="1730" w:val="left"/>
        </w:tabs>
        <w:numPr>
          <w:ilvl w:val="0"/>
          <w:numId w:val="85"/>
        </w:numPr>
        <w:rPr>
          <w:rFonts w:ascii="Arial" w:cs="Arial" w:eastAsia="Arial" w:hAnsi="Arial"/>
          <w:sz w:val="19"/>
          <w:szCs w:val="19"/>
          <w:color w:val="auto"/>
        </w:rPr>
      </w:pPr>
      <w:r>
        <w:rPr>
          <w:rFonts w:ascii="Arial" w:cs="Arial" w:eastAsia="Arial" w:hAnsi="Arial"/>
          <w:sz w:val="19"/>
          <w:szCs w:val="19"/>
          <w:u w:val="single" w:color="auto"/>
          <w:color w:val="auto"/>
        </w:rPr>
        <w:t>Involuntary Termination in Connection with a Change in Control</w:t>
      </w:r>
      <w:r>
        <w:rPr>
          <w:rFonts w:ascii="Arial" w:cs="Arial" w:eastAsia="Arial" w:hAnsi="Arial"/>
          <w:sz w:val="19"/>
          <w:szCs w:val="19"/>
          <w:color w:val="auto"/>
        </w:rPr>
        <w:t>. Notwithstanding anything contained herein, in the event of an Involuntary Termination prior to a Change in Control, if the Involuntary Termination (1) was at the request of a third party who has taken steps reasonably calculated to effect such Change in Control or (2) otherwise arose in connection with or in anticipation of such Change in Control, then the Executive shall, in lieu of the payments described in Section 5 hereof, be entitled to the Post-Change in Control Severance Payment and the additional benefits described in this Section 6 as if such Involuntary Termination had occurred within two (2) years following the Change in Control. The amounts specified in Section 6 that are to be paid under this Section 6(g) shall be reduced by any amount previously paid under Section 5. The amounts to be paid under this Section 6(g) shall be paid within thirty (30) days after the Change in Control Date of such Change in Control.</w:t>
      </w:r>
    </w:p>
    <w:p>
      <w:pPr>
        <w:spacing w:after="0" w:line="154" w:lineRule="exact"/>
        <w:rPr>
          <w:rFonts w:ascii="Arial" w:cs="Arial" w:eastAsia="Arial" w:hAnsi="Arial"/>
          <w:sz w:val="19"/>
          <w:szCs w:val="19"/>
          <w:color w:val="auto"/>
        </w:rPr>
      </w:pPr>
    </w:p>
    <w:p>
      <w:pPr>
        <w:ind w:right="100" w:firstLine="1149"/>
        <w:spacing w:after="0" w:line="252" w:lineRule="auto"/>
        <w:tabs>
          <w:tab w:leader="none" w:pos="1730" w:val="left"/>
        </w:tabs>
        <w:numPr>
          <w:ilvl w:val="0"/>
          <w:numId w:val="85"/>
        </w:numPr>
        <w:rPr>
          <w:rFonts w:ascii="Arial" w:cs="Arial" w:eastAsia="Arial" w:hAnsi="Arial"/>
          <w:sz w:val="19"/>
          <w:szCs w:val="19"/>
          <w:color w:val="auto"/>
        </w:rPr>
      </w:pPr>
      <w:r>
        <w:rPr>
          <w:rFonts w:ascii="Arial" w:cs="Arial" w:eastAsia="Arial" w:hAnsi="Arial"/>
          <w:sz w:val="19"/>
          <w:szCs w:val="19"/>
          <w:u w:val="single" w:color="auto"/>
          <w:color w:val="auto"/>
        </w:rPr>
        <w:t>Deferral of Payments</w:t>
      </w:r>
      <w:r>
        <w:rPr>
          <w:rFonts w:ascii="Arial" w:cs="Arial" w:eastAsia="Arial" w:hAnsi="Arial"/>
          <w:sz w:val="19"/>
          <w:szCs w:val="19"/>
          <w:color w:val="auto"/>
        </w:rPr>
        <w:t>. The Executive shall have the right to elect to defer the Post-Change in Control Severance Payment to be received by the Executive pursuant to this Section 6 under the terms and conditions of the Deferred Compensation Plan. Any such deferral election shall be made in accordance with Section 18(b) hereof.</w:t>
      </w:r>
    </w:p>
    <w:p>
      <w:pPr>
        <w:spacing w:after="0" w:line="147" w:lineRule="exact"/>
        <w:rPr>
          <w:sz w:val="20"/>
          <w:szCs w:val="20"/>
          <w:color w:val="auto"/>
        </w:rPr>
      </w:pPr>
    </w:p>
    <w:p>
      <w:pPr>
        <w:ind w:firstLine="1153"/>
        <w:spacing w:after="0" w:line="249" w:lineRule="auto"/>
        <w:rPr>
          <w:sz w:val="20"/>
          <w:szCs w:val="20"/>
          <w:color w:val="auto"/>
        </w:rPr>
      </w:pPr>
      <w:r>
        <w:rPr>
          <w:rFonts w:ascii="Arial" w:cs="Arial" w:eastAsia="Arial" w:hAnsi="Arial"/>
          <w:sz w:val="19"/>
          <w:szCs w:val="19"/>
          <w:b w:val="1"/>
          <w:bCs w:val="1"/>
          <w:color w:val="auto"/>
        </w:rPr>
        <w:t xml:space="preserve">Section 7. </w:t>
      </w:r>
      <w:r>
        <w:rPr>
          <w:rFonts w:ascii="Arial" w:cs="Arial" w:eastAsia="Arial" w:hAnsi="Arial"/>
          <w:sz w:val="19"/>
          <w:szCs w:val="19"/>
          <w:u w:val="single" w:color="auto"/>
          <w:color w:val="auto"/>
        </w:rPr>
        <w:t>Severance Benefits upon Termination by the Company for Cause or by the Executive Other than for Good Reason</w:t>
      </w:r>
      <w:r>
        <w:rPr>
          <w:rFonts w:ascii="Arial" w:cs="Arial" w:eastAsia="Arial" w:hAnsi="Arial"/>
          <w:sz w:val="19"/>
          <w:szCs w:val="19"/>
          <w:color w:val="auto"/>
        </w:rPr>
        <w:t>. If</w:t>
      </w:r>
      <w:r>
        <w:rPr>
          <w:rFonts w:ascii="Arial" w:cs="Arial" w:eastAsia="Arial" w:hAnsi="Arial"/>
          <w:sz w:val="19"/>
          <w:szCs w:val="19"/>
          <w:b w:val="1"/>
          <w:bCs w:val="1"/>
          <w:color w:val="auto"/>
        </w:rPr>
        <w:t xml:space="preserve"> </w:t>
      </w:r>
      <w:r>
        <w:rPr>
          <w:rFonts w:ascii="Arial" w:cs="Arial" w:eastAsia="Arial" w:hAnsi="Arial"/>
          <w:sz w:val="19"/>
          <w:szCs w:val="19"/>
          <w:color w:val="auto"/>
        </w:rPr>
        <w:t>the Executive’s employment shall be terminated for Cause, or if the Executive terminates employment other than for Good Reason, the Company shall have no further obligations to the Executive under this Agreement other than the Pre-Change in Control Accrued Obligations and any amounts or benefits described in Section 11 hereof.</w:t>
      </w:r>
    </w:p>
    <w:p>
      <w:pPr>
        <w:spacing w:after="0" w:line="144" w:lineRule="exact"/>
        <w:rPr>
          <w:sz w:val="20"/>
          <w:szCs w:val="20"/>
          <w:color w:val="auto"/>
        </w:rPr>
      </w:pPr>
    </w:p>
    <w:p>
      <w:pPr>
        <w:ind w:right="120" w:firstLine="1153"/>
        <w:spacing w:after="0" w:line="275" w:lineRule="auto"/>
        <w:rPr>
          <w:sz w:val="20"/>
          <w:szCs w:val="20"/>
          <w:color w:val="auto"/>
        </w:rPr>
      </w:pPr>
      <w:r>
        <w:rPr>
          <w:rFonts w:ascii="Arial" w:cs="Arial" w:eastAsia="Arial" w:hAnsi="Arial"/>
          <w:sz w:val="17"/>
          <w:szCs w:val="17"/>
          <w:b w:val="1"/>
          <w:bCs w:val="1"/>
          <w:color w:val="auto"/>
        </w:rPr>
        <w:t xml:space="preserve">Section 8. </w:t>
      </w:r>
      <w:r>
        <w:rPr>
          <w:rFonts w:ascii="Arial" w:cs="Arial" w:eastAsia="Arial" w:hAnsi="Arial"/>
          <w:sz w:val="17"/>
          <w:szCs w:val="17"/>
          <w:u w:val="single" w:color="auto"/>
          <w:color w:val="auto"/>
        </w:rPr>
        <w:t>Severance Benefits upon Termination due to Death or Disability</w:t>
      </w:r>
      <w:r>
        <w:rPr>
          <w:rFonts w:ascii="Arial" w:cs="Arial" w:eastAsia="Arial" w:hAnsi="Arial"/>
          <w:sz w:val="17"/>
          <w:szCs w:val="17"/>
          <w:color w:val="auto"/>
        </w:rPr>
        <w:t>. If the Executive has a Separation from Service by</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reason of death or Disability, the Company shall pay the Executive or his estate, as the case may be, the Post-Change in Control Accrued Obligations (without regard to whether a Change in Control has occurred) and any amounts or benefits described in Section 11 hereof. Such payments shall be in addition to those rights and benefits to which the Executive or his estate may be entitled under the relevant Company plans or programs. Such payments shall be paid on such date as determined by the Company within thirty (30) days after the date of the Separation from Service; </w:t>
      </w:r>
      <w:r>
        <w:rPr>
          <w:rFonts w:ascii="Arial" w:cs="Arial" w:eastAsia="Arial" w:hAnsi="Arial"/>
          <w:sz w:val="17"/>
          <w:szCs w:val="17"/>
          <w:i w:val="1"/>
          <w:iCs w:val="1"/>
          <w:color w:val="auto"/>
        </w:rPr>
        <w:t>provided, however</w:t>
      </w:r>
      <w:r>
        <w:rPr>
          <w:rFonts w:ascii="Arial" w:cs="Arial" w:eastAsia="Arial" w:hAnsi="Arial"/>
          <w:sz w:val="17"/>
          <w:szCs w:val="17"/>
          <w:color w:val="auto"/>
        </w:rPr>
        <w:t>, that if the Executive is a Specified Employee on the date of the Executive’s Separation from Service by reason of Disability, the Additional Post- Change in Control Severance Payment under Section 6(a)(E) shall be paid as provided in Section 10 hereof.</w:t>
      </w:r>
    </w:p>
    <w:p>
      <w:pPr>
        <w:spacing w:after="0" w:line="126" w:lineRule="exact"/>
        <w:rPr>
          <w:sz w:val="20"/>
          <w:szCs w:val="20"/>
          <w:color w:val="auto"/>
        </w:rPr>
      </w:pPr>
    </w:p>
    <w:p>
      <w:pPr>
        <w:ind w:left="1140"/>
        <w:spacing w:after="0"/>
        <w:tabs>
          <w:tab w:leader="none" w:pos="2280" w:val="left"/>
        </w:tabs>
        <w:rPr>
          <w:sz w:val="20"/>
          <w:szCs w:val="20"/>
          <w:color w:val="auto"/>
        </w:rPr>
      </w:pPr>
      <w:r>
        <w:rPr>
          <w:rFonts w:ascii="Arial" w:cs="Arial" w:eastAsia="Arial" w:hAnsi="Arial"/>
          <w:sz w:val="19"/>
          <w:szCs w:val="19"/>
          <w:b w:val="1"/>
          <w:bCs w:val="1"/>
          <w:color w:val="auto"/>
        </w:rPr>
        <w:t>Section 9.</w:t>
      </w:r>
      <w:r>
        <w:rPr>
          <w:sz w:val="20"/>
          <w:szCs w:val="20"/>
          <w:color w:val="auto"/>
        </w:rPr>
        <w:tab/>
      </w:r>
      <w:r>
        <w:rPr>
          <w:rFonts w:ascii="Arial" w:cs="Arial" w:eastAsia="Arial" w:hAnsi="Arial"/>
          <w:sz w:val="17"/>
          <w:szCs w:val="17"/>
          <w:u w:val="single" w:color="auto"/>
          <w:color w:val="auto"/>
        </w:rPr>
        <w:t>Certain Additional Payments by the Company</w:t>
      </w:r>
      <w:r>
        <w:rPr>
          <w:rFonts w:ascii="Arial" w:cs="Arial" w:eastAsia="Arial" w:hAnsi="Arial"/>
          <w:sz w:val="17"/>
          <w:szCs w:val="17"/>
          <w:color w:val="auto"/>
        </w:rPr>
        <w:t>.</w:t>
      </w:r>
    </w:p>
    <w:p>
      <w:pPr>
        <w:spacing w:after="0" w:line="190" w:lineRule="exact"/>
        <w:rPr>
          <w:sz w:val="20"/>
          <w:szCs w:val="20"/>
          <w:color w:val="auto"/>
        </w:rPr>
      </w:pPr>
    </w:p>
    <w:p>
      <w:pPr>
        <w:ind w:firstLine="1149"/>
        <w:spacing w:after="0" w:line="270" w:lineRule="auto"/>
        <w:tabs>
          <w:tab w:leader="none" w:pos="1730" w:val="left"/>
        </w:tabs>
        <w:numPr>
          <w:ilvl w:val="0"/>
          <w:numId w:val="86"/>
        </w:numPr>
        <w:rPr>
          <w:rFonts w:ascii="Arial" w:cs="Arial" w:eastAsia="Arial" w:hAnsi="Arial"/>
          <w:sz w:val="17"/>
          <w:szCs w:val="17"/>
          <w:color w:val="auto"/>
        </w:rPr>
      </w:pPr>
      <w:r>
        <w:rPr>
          <w:rFonts w:ascii="Arial" w:cs="Arial" w:eastAsia="Arial" w:hAnsi="Arial"/>
          <w:sz w:val="17"/>
          <w:szCs w:val="17"/>
          <w:color w:val="auto"/>
        </w:rPr>
        <w:t>Anything in this Agreement to the contrary notwithstanding and except as set forth below, in the event it shall be determined that any payment or distribution in the nature of compensation (within the meaning of Section 280G(b)(2) of the Code) to or for the benefit of the Executive, whether paid or payable pursuant to this Agreement or otherwise (the “</w:t>
      </w:r>
      <w:r>
        <w:rPr>
          <w:rFonts w:ascii="Arial" w:cs="Arial" w:eastAsia="Arial" w:hAnsi="Arial"/>
          <w:sz w:val="17"/>
          <w:szCs w:val="17"/>
          <w:u w:val="single" w:color="auto"/>
          <w:color w:val="auto"/>
        </w:rPr>
        <w:t>Payment</w:t>
      </w:r>
      <w:r>
        <w:rPr>
          <w:rFonts w:ascii="Arial" w:cs="Arial" w:eastAsia="Arial" w:hAnsi="Arial"/>
          <w:sz w:val="17"/>
          <w:szCs w:val="17"/>
          <w:color w:val="auto"/>
        </w:rPr>
        <w:t>”) would be subject (in whole or in part) to the excise tax imposed by Section 4999 of the Code, together with any interest or penalties imposed with respect to such excise tax (collectively, the “</w:t>
      </w:r>
      <w:r>
        <w:rPr>
          <w:rFonts w:ascii="Arial" w:cs="Arial" w:eastAsia="Arial" w:hAnsi="Arial"/>
          <w:sz w:val="17"/>
          <w:szCs w:val="17"/>
          <w:u w:val="single" w:color="auto"/>
          <w:color w:val="auto"/>
        </w:rPr>
        <w:t>Excise</w:t>
      </w:r>
      <w:r>
        <w:rPr>
          <w:rFonts w:ascii="Arial" w:cs="Arial" w:eastAsia="Arial" w:hAnsi="Arial"/>
          <w:sz w:val="17"/>
          <w:szCs w:val="17"/>
          <w:color w:val="auto"/>
        </w:rPr>
        <w:t xml:space="preserve"> </w:t>
      </w:r>
      <w:r>
        <w:rPr>
          <w:rFonts w:ascii="Arial" w:cs="Arial" w:eastAsia="Arial" w:hAnsi="Arial"/>
          <w:sz w:val="17"/>
          <w:szCs w:val="17"/>
          <w:u w:val="single" w:color="auto"/>
          <w:color w:val="auto"/>
        </w:rPr>
        <w:t>Tax</w:t>
      </w:r>
      <w:r>
        <w:rPr>
          <w:rFonts w:ascii="Arial" w:cs="Arial" w:eastAsia="Arial" w:hAnsi="Arial"/>
          <w:sz w:val="17"/>
          <w:szCs w:val="17"/>
          <w:color w:val="auto"/>
        </w:rPr>
        <w:t>”), then the Executive shall be entitled to receive an additional payment (the “</w:t>
      </w:r>
      <w:r>
        <w:rPr>
          <w:rFonts w:ascii="Arial" w:cs="Arial" w:eastAsia="Arial" w:hAnsi="Arial"/>
          <w:sz w:val="17"/>
          <w:szCs w:val="17"/>
          <w:u w:val="single" w:color="auto"/>
          <w:color w:val="auto"/>
        </w:rPr>
        <w:t>Gross-Up Payment</w:t>
      </w:r>
      <w:r>
        <w:rPr>
          <w:rFonts w:ascii="Arial" w:cs="Arial" w:eastAsia="Arial" w:hAnsi="Arial"/>
          <w:sz w:val="17"/>
          <w:szCs w:val="17"/>
          <w:color w:val="auto"/>
        </w:rPr>
        <w:t>”) in an amount such that, after payment by the Executive of all taxes (and any interest or penalties imposed with respect to such taxes), including, without limitation, any income taxes (and any interest and penalties imposed with respect thereto) and Excise Tax imposed upon the Gross-Up Payment, the Executive retains an amount of the Gross-Up Payment equal to the Excise Tax imposed upon the Payment. Unless otherwise provided herein, the Company’s obligation to make Gross-Up Payments under this Section 9 shall not be conditioned upon the Executive’s Separation from Service. For purposes of determining the amount of any Gross-Up Payment, the Executive shall be considered to pay federal income tax at the Executive’s actual marginal rate of federal income taxation in the calendar year in which the Gross-Up Payment is to be made and state and local income taxes at the Executive’s actual marginal rate of taxation in the state and locality of the Executive’s residence on the date on which the Gross-Up Payment is calculated for purposes of this Section 9, net of the Executive’s actual reduction in federal income taxes wh ich could be obtained from deduction of such state and local taxes, and taking into consideration the phase-out of the Executive’s itemized deductions under federal income tax law.</w:t>
      </w:r>
    </w:p>
    <w:p>
      <w:pPr>
        <w:spacing w:after="0" w:line="128" w:lineRule="exact"/>
        <w:rPr>
          <w:rFonts w:ascii="Arial" w:cs="Arial" w:eastAsia="Arial" w:hAnsi="Arial"/>
          <w:sz w:val="17"/>
          <w:szCs w:val="17"/>
          <w:color w:val="auto"/>
        </w:rPr>
      </w:pPr>
    </w:p>
    <w:p>
      <w:pPr>
        <w:ind w:right="60" w:firstLine="1149"/>
        <w:spacing w:after="0" w:line="271" w:lineRule="auto"/>
        <w:tabs>
          <w:tab w:leader="none" w:pos="1730" w:val="left"/>
        </w:tabs>
        <w:numPr>
          <w:ilvl w:val="0"/>
          <w:numId w:val="86"/>
        </w:numPr>
        <w:rPr>
          <w:rFonts w:ascii="Arial" w:cs="Arial" w:eastAsia="Arial" w:hAnsi="Arial"/>
          <w:sz w:val="17"/>
          <w:szCs w:val="17"/>
          <w:color w:val="auto"/>
        </w:rPr>
      </w:pPr>
      <w:r>
        <w:rPr>
          <w:rFonts w:ascii="Arial" w:cs="Arial" w:eastAsia="Arial" w:hAnsi="Arial"/>
          <w:sz w:val="17"/>
          <w:szCs w:val="17"/>
          <w:color w:val="auto"/>
        </w:rPr>
        <w:t>Subject to the provisions of Section 9(c) below, all determinations required to be made under this Section 9, including whether and when a Gross-Up Payment is required, the amount of such Gross-Up Payment and the assumptions to be utilized in arriving at such determination, shall be made by a nationally recognized accounting firm as may be agreed by the Company and the Executive (the “</w:t>
      </w:r>
      <w:r>
        <w:rPr>
          <w:rFonts w:ascii="Arial" w:cs="Arial" w:eastAsia="Arial" w:hAnsi="Arial"/>
          <w:sz w:val="17"/>
          <w:szCs w:val="17"/>
          <w:u w:val="single" w:color="auto"/>
          <w:color w:val="auto"/>
        </w:rPr>
        <w:t>Accounting</w:t>
      </w:r>
      <w:r>
        <w:rPr>
          <w:rFonts w:ascii="Arial" w:cs="Arial" w:eastAsia="Arial" w:hAnsi="Arial"/>
          <w:sz w:val="17"/>
          <w:szCs w:val="17"/>
          <w:color w:val="auto"/>
        </w:rPr>
        <w:t xml:space="preserve"> </w:t>
      </w:r>
      <w:r>
        <w:rPr>
          <w:rFonts w:ascii="Arial" w:cs="Arial" w:eastAsia="Arial" w:hAnsi="Arial"/>
          <w:sz w:val="17"/>
          <w:szCs w:val="17"/>
          <w:u w:val="single" w:color="auto"/>
          <w:color w:val="auto"/>
        </w:rPr>
        <w:t>Firm</w:t>
      </w:r>
      <w:r>
        <w:rPr>
          <w:rFonts w:ascii="Arial" w:cs="Arial" w:eastAsia="Arial" w:hAnsi="Arial"/>
          <w:sz w:val="17"/>
          <w:szCs w:val="17"/>
          <w:color w:val="auto"/>
        </w:rPr>
        <w:t xml:space="preserve">”); </w:t>
      </w:r>
      <w:r>
        <w:rPr>
          <w:rFonts w:ascii="Arial" w:cs="Arial" w:eastAsia="Arial" w:hAnsi="Arial"/>
          <w:sz w:val="17"/>
          <w:szCs w:val="17"/>
          <w:i w:val="1"/>
          <w:iCs w:val="1"/>
          <w:color w:val="auto"/>
        </w:rPr>
        <w:t>provided</w:t>
      </w:r>
      <w:r>
        <w:rPr>
          <w:rFonts w:ascii="Arial" w:cs="Arial" w:eastAsia="Arial" w:hAnsi="Arial"/>
          <w:sz w:val="17"/>
          <w:szCs w:val="17"/>
          <w:color w:val="auto"/>
        </w:rPr>
        <w:t>, that the Accounting Firm’s determination shall be made based upon “substantial authority” within the meaning of Section 6662 of the Code. The Accounting Firm shall provide detailed supporting calculations to both the Company and the Executive within fifteen (15) business days of the receipt of notice from the Executive that there has been a Payment or such earlier time as is requested by the Company. All fees and expenses of the Accounting Firm shall be borne solely by the Company. Any Gross-Up Payment, as determined pursuant to this Section 9, shall be paid by the Company to the Executive within five (5) days of the receipt of the Accounting Firm’s determination. Any determination by the Accounting Firm shall be binding upon the Company and the Executive. As a result of the uncertainty in the application of Section 4999 of the Code at the time of the initial determination by the Accounting Firm hereunder, it is possible that Gross-Up Payments that will not have been made by the Company should have been made (the “</w:t>
      </w:r>
      <w:r>
        <w:rPr>
          <w:rFonts w:ascii="Arial" w:cs="Arial" w:eastAsia="Arial" w:hAnsi="Arial"/>
          <w:sz w:val="17"/>
          <w:szCs w:val="17"/>
          <w:u w:val="single" w:color="auto"/>
          <w:color w:val="auto"/>
        </w:rPr>
        <w:t>Underpayment</w:t>
      </w:r>
      <w:r>
        <w:rPr>
          <w:rFonts w:ascii="Arial" w:cs="Arial" w:eastAsia="Arial" w:hAnsi="Arial"/>
          <w:sz w:val="17"/>
          <w:szCs w:val="17"/>
          <w:color w:val="auto"/>
        </w:rPr>
        <w:t>”), consistent with the calculations required to be made hereunder. In the event the Company exhausts its remedies pursuant to Section 9(c) below and the Executive thereafter is required to make a payment of any Excise Tax, the</w:t>
      </w:r>
    </w:p>
    <w:p>
      <w:pPr>
        <w:sectPr>
          <w:pgSz w:w="11900" w:h="16838" w:orient="portrait"/>
          <w:cols w:equalWidth="0" w:num="1">
            <w:col w:w="11440"/>
          </w:cols>
          <w:pgMar w:left="240" w:top="120" w:right="219" w:bottom="0" w:gutter="0" w:footer="0" w:header="0"/>
        </w:sectPr>
      </w:pPr>
    </w:p>
    <w:bookmarkStart w:id="84" w:name="page85"/>
    <w:bookmarkEnd w:id="84"/>
    <w:p>
      <w:pPr>
        <w:spacing w:after="0" w:line="53" w:lineRule="exact"/>
        <w:rPr>
          <w:sz w:val="20"/>
          <w:szCs w:val="20"/>
          <w:color w:val="auto"/>
        </w:rPr>
      </w:pPr>
    </w:p>
    <w:p>
      <w:pPr>
        <w:ind w:right="280"/>
        <w:spacing w:after="0" w:line="267" w:lineRule="auto"/>
        <w:rPr>
          <w:sz w:val="20"/>
          <w:szCs w:val="20"/>
          <w:color w:val="auto"/>
        </w:rPr>
      </w:pPr>
      <w:r>
        <w:rPr>
          <w:rFonts w:ascii="Arial" w:cs="Arial" w:eastAsia="Arial" w:hAnsi="Arial"/>
          <w:sz w:val="19"/>
          <w:szCs w:val="19"/>
          <w:color w:val="auto"/>
        </w:rPr>
        <w:t>Accounting Firm shall determine the amount of the Underpayment that has occurred, and any such Underpayment shall be p romptly paid by the Company to or for the benefit of the Executive.</w:t>
      </w:r>
    </w:p>
    <w:p>
      <w:pPr>
        <w:spacing w:after="0" w:line="127" w:lineRule="exact"/>
        <w:rPr>
          <w:sz w:val="20"/>
          <w:szCs w:val="20"/>
          <w:color w:val="auto"/>
        </w:rPr>
      </w:pPr>
    </w:p>
    <w:p>
      <w:pPr>
        <w:ind w:right="40" w:firstLine="1149"/>
        <w:spacing w:after="0" w:line="242" w:lineRule="auto"/>
        <w:tabs>
          <w:tab w:leader="none" w:pos="1730" w:val="left"/>
        </w:tabs>
        <w:numPr>
          <w:ilvl w:val="0"/>
          <w:numId w:val="87"/>
        </w:numPr>
        <w:rPr>
          <w:rFonts w:ascii="Arial" w:cs="Arial" w:eastAsia="Arial" w:hAnsi="Arial"/>
          <w:sz w:val="19"/>
          <w:szCs w:val="19"/>
          <w:color w:val="auto"/>
        </w:rPr>
      </w:pPr>
      <w:r>
        <w:rPr>
          <w:rFonts w:ascii="Arial" w:cs="Arial" w:eastAsia="Arial" w:hAnsi="Arial"/>
          <w:sz w:val="19"/>
          <w:szCs w:val="19"/>
          <w:color w:val="auto"/>
        </w:rPr>
        <w:t>The Executive shall notify the Company in writing of any claim by the Internal Revenue Service that, if successful, would require the payment by the Company of the Gross-Up Payment. Such notification shall be given as soon as practicable, but no later than ten (10) business days after the Executive is informed in writing of such claim. The Executive shall apprise the Company of the nature of such claim and the date on which such claim is requested to be paid. The Executive shall not pay such claim prior to the expiration of the thirty (30) day period following the date on which the Executive gives such notice to the Company (or such shorter period ending on the date that any payment of taxes with respect to such claim is due). If the Company notifies the Executive in writing prior to the expiration of such period that the Company desires to contest such claim, the Executive shall:</w:t>
      </w:r>
    </w:p>
    <w:p>
      <w:pPr>
        <w:spacing w:after="0" w:line="163" w:lineRule="exact"/>
        <w:rPr>
          <w:rFonts w:ascii="Arial" w:cs="Arial" w:eastAsia="Arial" w:hAnsi="Arial"/>
          <w:sz w:val="19"/>
          <w:szCs w:val="19"/>
          <w:color w:val="auto"/>
        </w:rPr>
      </w:pPr>
    </w:p>
    <w:p>
      <w:pPr>
        <w:ind w:left="2300" w:hanging="574"/>
        <w:spacing w:after="0"/>
        <w:tabs>
          <w:tab w:leader="none" w:pos="2300" w:val="left"/>
        </w:tabs>
        <w:numPr>
          <w:ilvl w:val="1"/>
          <w:numId w:val="87"/>
        </w:numPr>
        <w:rPr>
          <w:rFonts w:ascii="Arial" w:cs="Arial" w:eastAsia="Arial" w:hAnsi="Arial"/>
          <w:sz w:val="19"/>
          <w:szCs w:val="19"/>
          <w:color w:val="auto"/>
        </w:rPr>
      </w:pPr>
      <w:r>
        <w:rPr>
          <w:rFonts w:ascii="Arial" w:cs="Arial" w:eastAsia="Arial" w:hAnsi="Arial"/>
          <w:sz w:val="19"/>
          <w:szCs w:val="19"/>
          <w:color w:val="auto"/>
        </w:rPr>
        <w:t>give the Company any information reasonably requested by the Company relating to such claim,</w:t>
      </w:r>
    </w:p>
    <w:p>
      <w:pPr>
        <w:spacing w:after="0" w:line="177" w:lineRule="exact"/>
        <w:rPr>
          <w:rFonts w:ascii="Arial" w:cs="Arial" w:eastAsia="Arial" w:hAnsi="Arial"/>
          <w:sz w:val="19"/>
          <w:szCs w:val="19"/>
          <w:color w:val="auto"/>
        </w:rPr>
      </w:pPr>
    </w:p>
    <w:p>
      <w:pPr>
        <w:ind w:right="260" w:firstLine="1726"/>
        <w:spacing w:after="0" w:line="252" w:lineRule="auto"/>
        <w:tabs>
          <w:tab w:leader="none" w:pos="2306" w:val="left"/>
        </w:tabs>
        <w:numPr>
          <w:ilvl w:val="1"/>
          <w:numId w:val="87"/>
        </w:numPr>
        <w:rPr>
          <w:rFonts w:ascii="Arial" w:cs="Arial" w:eastAsia="Arial" w:hAnsi="Arial"/>
          <w:sz w:val="19"/>
          <w:szCs w:val="19"/>
          <w:color w:val="auto"/>
        </w:rPr>
      </w:pPr>
      <w:r>
        <w:rPr>
          <w:rFonts w:ascii="Arial" w:cs="Arial" w:eastAsia="Arial" w:hAnsi="Arial"/>
          <w:sz w:val="19"/>
          <w:szCs w:val="19"/>
          <w:color w:val="auto"/>
        </w:rPr>
        <w:t>take such action in connection with contesting such claim as the Company shall reasonably request in writing from time to time, including, without limitation, accepting legal representation with respect to such claim by an attorney reasonably selected by the Company,</w:t>
      </w:r>
    </w:p>
    <w:p>
      <w:pPr>
        <w:spacing w:after="0" w:line="140" w:lineRule="exact"/>
        <w:rPr>
          <w:rFonts w:ascii="Arial" w:cs="Arial" w:eastAsia="Arial" w:hAnsi="Arial"/>
          <w:sz w:val="19"/>
          <w:szCs w:val="19"/>
          <w:color w:val="auto"/>
        </w:rPr>
      </w:pPr>
    </w:p>
    <w:p>
      <w:pPr>
        <w:ind w:left="2300" w:hanging="574"/>
        <w:spacing w:after="0"/>
        <w:tabs>
          <w:tab w:leader="none" w:pos="2300" w:val="left"/>
        </w:tabs>
        <w:numPr>
          <w:ilvl w:val="1"/>
          <w:numId w:val="87"/>
        </w:numPr>
        <w:rPr>
          <w:rFonts w:ascii="Arial" w:cs="Arial" w:eastAsia="Arial" w:hAnsi="Arial"/>
          <w:sz w:val="19"/>
          <w:szCs w:val="19"/>
          <w:color w:val="auto"/>
        </w:rPr>
      </w:pPr>
      <w:r>
        <w:rPr>
          <w:rFonts w:ascii="Arial" w:cs="Arial" w:eastAsia="Arial" w:hAnsi="Arial"/>
          <w:sz w:val="19"/>
          <w:szCs w:val="19"/>
          <w:color w:val="auto"/>
        </w:rPr>
        <w:t>cooperate with the Company in good faith in order effectively to contest such claim, and</w:t>
      </w:r>
    </w:p>
    <w:p>
      <w:pPr>
        <w:spacing w:after="0" w:line="189" w:lineRule="exact"/>
        <w:rPr>
          <w:rFonts w:ascii="Arial" w:cs="Arial" w:eastAsia="Arial" w:hAnsi="Arial"/>
          <w:sz w:val="19"/>
          <w:szCs w:val="19"/>
          <w:color w:val="auto"/>
        </w:rPr>
      </w:pPr>
    </w:p>
    <w:p>
      <w:pPr>
        <w:ind w:left="2300" w:hanging="574"/>
        <w:spacing w:after="0"/>
        <w:tabs>
          <w:tab w:leader="none" w:pos="2300" w:val="left"/>
        </w:tabs>
        <w:numPr>
          <w:ilvl w:val="1"/>
          <w:numId w:val="87"/>
        </w:numPr>
        <w:rPr>
          <w:rFonts w:ascii="Arial" w:cs="Arial" w:eastAsia="Arial" w:hAnsi="Arial"/>
          <w:sz w:val="19"/>
          <w:szCs w:val="19"/>
          <w:color w:val="auto"/>
        </w:rPr>
      </w:pPr>
      <w:r>
        <w:rPr>
          <w:rFonts w:ascii="Arial" w:cs="Arial" w:eastAsia="Arial" w:hAnsi="Arial"/>
          <w:sz w:val="19"/>
          <w:szCs w:val="19"/>
          <w:color w:val="auto"/>
        </w:rPr>
        <w:t>permit the Company to participate in any proceedings relating to such claim;</w:t>
      </w:r>
    </w:p>
    <w:p>
      <w:pPr>
        <w:spacing w:after="0" w:line="190"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i w:val="1"/>
          <w:iCs w:val="1"/>
          <w:color w:val="auto"/>
        </w:rPr>
        <w:t>provided, however</w:t>
      </w:r>
      <w:r>
        <w:rPr>
          <w:rFonts w:ascii="Arial" w:cs="Arial" w:eastAsia="Arial" w:hAnsi="Arial"/>
          <w:sz w:val="17"/>
          <w:szCs w:val="17"/>
          <w:color w:val="auto"/>
        </w:rPr>
        <w:t>, that the Company shall bear and pay directly all costs and expenses (including additional interest and penalties) incurred in</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connection with such contest, and shall indemnify and hold the Executive harmless, on an after-tax basis, for any Excise Tax, income tax or any other taxes (including interest and penalties) imposed as a result of such representation and payment of costs and expenses. Without limitation on the foregoing provisions of this Section 9(c), the Company shall control all proceedings taken in connection with such contest, and, at its sole discretion, may pursue or forgo any and all administrative appeals, proceedings, hearings and conferences with the applicable taxing authority in respect of such claim and may, at its sole discretion, either direct the Executive to pay the tax claimed and sue for a refund or contest the claim in any permissible manner, and the &amp;nbs p;Executive agrees to prosecute such contest to a determination before any administrative tribunal, in a court of initial jurisdiction and in one or more appellate courts, as the Company shall determine;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if the Company directs the Executive to pay such claim and sue for a refund, the Company shall advance the amount of such payment to the Executive, on an interest-free basis, and shall indemnify and hold the Executive harmless, on an after-tax basis, from any Excise Tax, income tax or any other taxes (including interest or penalties) imposed with respect to such advance or with respect to any imputed income in connection with such advance; and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further</w:t>
      </w:r>
      <w:r>
        <w:rPr>
          <w:rFonts w:ascii="Arial" w:cs="Arial" w:eastAsia="Arial" w:hAnsi="Arial"/>
          <w:sz w:val="17"/>
          <w:szCs w:val="17"/>
          <w:color w:val="auto"/>
        </w:rPr>
        <w:t>, that any extension of the statute of limitations relating to payment of taxes for the taxable year of the Executive with respect to which such</w:t>
      </w:r>
      <w:r>
        <w:rPr>
          <w:rFonts w:ascii="Arial" w:cs="Arial" w:eastAsia="Arial" w:hAnsi="Arial"/>
          <w:sz w:val="17"/>
          <w:szCs w:val="17"/>
          <w:i w:val="1"/>
          <w:iCs w:val="1"/>
          <w:color w:val="auto"/>
        </w:rPr>
        <w:t xml:space="preserve"> </w:t>
      </w:r>
      <w:r>
        <w:rPr>
          <w:rFonts w:ascii="Arial" w:cs="Arial" w:eastAsia="Arial" w:hAnsi="Arial"/>
          <w:sz w:val="17"/>
          <w:szCs w:val="17"/>
          <w:color w:val="auto"/>
        </w:rPr>
        <w:t>contested amount is claimed to be due is limited solely to such contested amount. Furthermore, the Company’s control of the contest shal l be limited to issues with respect to which the Gross-Up Payment would be payable hereunder, and the Executive shall be entitled to settle or contest, as the case may be, any other issue raised by the Internal Revenue Service or any other taxing authority.</w:t>
      </w:r>
    </w:p>
    <w:p>
      <w:pPr>
        <w:spacing w:after="0" w:line="137" w:lineRule="exact"/>
        <w:rPr>
          <w:sz w:val="20"/>
          <w:szCs w:val="20"/>
          <w:color w:val="auto"/>
        </w:rPr>
      </w:pPr>
    </w:p>
    <w:p>
      <w:pPr>
        <w:ind w:left="1720" w:hanging="571"/>
        <w:spacing w:after="0"/>
        <w:tabs>
          <w:tab w:leader="none" w:pos="1720" w:val="left"/>
        </w:tabs>
        <w:numPr>
          <w:ilvl w:val="0"/>
          <w:numId w:val="88"/>
        </w:numPr>
        <w:rPr>
          <w:rFonts w:ascii="Arial" w:cs="Arial" w:eastAsia="Arial" w:hAnsi="Arial"/>
          <w:sz w:val="19"/>
          <w:szCs w:val="19"/>
          <w:color w:val="auto"/>
        </w:rPr>
      </w:pPr>
      <w:r>
        <w:rPr>
          <w:rFonts w:ascii="Arial" w:cs="Arial" w:eastAsia="Arial" w:hAnsi="Arial"/>
          <w:sz w:val="19"/>
          <w:szCs w:val="19"/>
          <w:color w:val="auto"/>
        </w:rPr>
        <w:t>If, after the receipt by the Executive of a Gross-Up Payment or an amount advanced by the Company pursuant to</w:t>
      </w:r>
    </w:p>
    <w:p>
      <w:pPr>
        <w:spacing w:after="0" w:line="14"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Section 9(c) above, the Executive becomes entitled to receive any refund with respect to the Excise Tax to which such Gross-Up Payment relates or with respect to such claim, the Executive shall (subject to the Company’s complying with the requirements of Section 9(c) above, if applicable) promptly pay to the Company the amount of such refund (together with any interest paid or credited thereon after taxes applicable thereto). If, after the receipt by the Executive of an amount advanced by the Company pursuant to Section 9(c) above, a determination is made that the Executive shall not be entitled to any refund with respect to such claim and the Company does not notify the Executive in writing of its intent to contest such denial of refund prior to the expiration of thirty (30) days after such determination, then such advance shall be forgiven and shall not be required to be repaid, and the amount of such advance shall offset, to the extent thereof, the amount of Gross-Up Payment required to be paid.</w:t>
      </w:r>
    </w:p>
    <w:p>
      <w:pPr>
        <w:spacing w:after="0" w:line="127" w:lineRule="exact"/>
        <w:rPr>
          <w:sz w:val="20"/>
          <w:szCs w:val="20"/>
          <w:color w:val="auto"/>
        </w:rPr>
      </w:pPr>
    </w:p>
    <w:p>
      <w:pPr>
        <w:ind w:firstLine="1149"/>
        <w:spacing w:after="0" w:line="265" w:lineRule="auto"/>
        <w:tabs>
          <w:tab w:leader="none" w:pos="1730" w:val="left"/>
        </w:tabs>
        <w:numPr>
          <w:ilvl w:val="0"/>
          <w:numId w:val="89"/>
        </w:numPr>
        <w:rPr>
          <w:rFonts w:ascii="Arial" w:cs="Arial" w:eastAsia="Arial" w:hAnsi="Arial"/>
          <w:sz w:val="18"/>
          <w:szCs w:val="18"/>
          <w:color w:val="auto"/>
        </w:rPr>
      </w:pPr>
      <w:r>
        <w:rPr>
          <w:rFonts w:ascii="Arial" w:cs="Arial" w:eastAsia="Arial" w:hAnsi="Arial"/>
          <w:sz w:val="18"/>
          <w:szCs w:val="18"/>
          <w:color w:val="auto"/>
        </w:rPr>
        <w:t>Notwithstanding any other provision of this Section 9, the Company may, in its sole discretion, withhold and pay over to the Internal Revenue Service or any other applicable taxing authority, for the benefit of the Executive, all or any portion of any Gross-Up Payment, and the Executive hereby consents to such withholding. If such payment is made by the Company to the Internal Revenue Service or other applicable taxing authority, then the Executive shall not be entitled to payment pursuant to Section 9(b) above.</w:t>
      </w:r>
    </w:p>
    <w:p>
      <w:pPr>
        <w:spacing w:after="0" w:line="142" w:lineRule="exact"/>
        <w:rPr>
          <w:rFonts w:ascii="Arial" w:cs="Arial" w:eastAsia="Arial" w:hAnsi="Arial"/>
          <w:sz w:val="18"/>
          <w:szCs w:val="18"/>
          <w:color w:val="auto"/>
        </w:rPr>
      </w:pPr>
    </w:p>
    <w:p>
      <w:pPr>
        <w:jc w:val="both"/>
        <w:ind w:right="340" w:firstLine="1149"/>
        <w:spacing w:after="0" w:line="326" w:lineRule="auto"/>
        <w:tabs>
          <w:tab w:leader="none" w:pos="1730" w:val="left"/>
        </w:tabs>
        <w:numPr>
          <w:ilvl w:val="0"/>
          <w:numId w:val="89"/>
        </w:numPr>
        <w:rPr>
          <w:rFonts w:ascii="Arial" w:cs="Arial" w:eastAsia="Arial" w:hAnsi="Arial"/>
          <w:sz w:val="17"/>
          <w:szCs w:val="17"/>
          <w:color w:val="auto"/>
        </w:rPr>
      </w:pPr>
      <w:r>
        <w:rPr>
          <w:rFonts w:ascii="Arial" w:cs="Arial" w:eastAsia="Arial" w:hAnsi="Arial"/>
          <w:sz w:val="17"/>
          <w:szCs w:val="17"/>
          <w:color w:val="auto"/>
        </w:rPr>
        <w:t>Any other liability for unpaid or unwithheld Excise Taxes shall be borne exclusively by the Company, in accordance with Section 3403 of the Code. The foregoing sentence shall not in any manner relieve the Company of any of its obligations under this Agreement.</w:t>
      </w:r>
    </w:p>
    <w:p>
      <w:pPr>
        <w:spacing w:after="0" w:line="81" w:lineRule="exact"/>
        <w:rPr>
          <w:rFonts w:ascii="Arial" w:cs="Arial" w:eastAsia="Arial" w:hAnsi="Arial"/>
          <w:sz w:val="17"/>
          <w:szCs w:val="17"/>
          <w:color w:val="auto"/>
        </w:rPr>
      </w:pPr>
    </w:p>
    <w:p>
      <w:pPr>
        <w:ind w:firstLine="1149"/>
        <w:spacing w:after="0" w:line="267" w:lineRule="auto"/>
        <w:tabs>
          <w:tab w:leader="none" w:pos="1730" w:val="left"/>
        </w:tabs>
        <w:numPr>
          <w:ilvl w:val="0"/>
          <w:numId w:val="89"/>
        </w:numPr>
        <w:rPr>
          <w:rFonts w:ascii="Arial" w:cs="Arial" w:eastAsia="Arial" w:hAnsi="Arial"/>
          <w:sz w:val="17"/>
          <w:szCs w:val="17"/>
          <w:color w:val="auto"/>
        </w:rPr>
      </w:pPr>
      <w:r>
        <w:rPr>
          <w:rFonts w:ascii="Arial" w:cs="Arial" w:eastAsia="Arial" w:hAnsi="Arial"/>
          <w:sz w:val="17"/>
          <w:szCs w:val="17"/>
          <w:color w:val="auto"/>
        </w:rPr>
        <w:t>Any Gross-Up Payment and any payment of any income or other taxes and any related interest and penalties to be paid by the Company under this Section 9 shall be made by the end of the Executive’s taxable year next following the Executive’s taxable year in which the Executive remits the related taxes. Any costs and expenses incurred by the Company on behalf of the Executive under this Section 9 due to any tax contest, audit or litigation will be paid by the Company by the end of the Executive’s taxable year following the Executive’s taxable year in which the taxes that are the subject of the tax contest, audit or litigation are remitted to the taxing authority, or where as a result of such tax contest, audit or litigation no taxes are remitted, the end of the Executive’s taxable year following the Executive’s taxable year in which the audit is completed or there is a final and nonappealable settlement or other resolution of the contest or litigation. All Gross-Up Payments shall be paid in a manner that complies with Treasury Regulation Section 1.409A-(3)(i)(1)(v). Notwithstanding anything to the contrary in this Section 9, in no event shall any Gross-Up Payment exceed the amount of the “tax gross-up payment” on any Payment permitted under Treasury Regulation Section</w:t>
      </w:r>
    </w:p>
    <w:p>
      <w:pPr>
        <w:spacing w:after="0" w:line="4" w:lineRule="exact"/>
        <w:rPr>
          <w:rFonts w:ascii="Arial" w:cs="Arial" w:eastAsia="Arial" w:hAnsi="Arial"/>
          <w:sz w:val="17"/>
          <w:szCs w:val="17"/>
          <w:color w:val="auto"/>
        </w:rPr>
      </w:pPr>
    </w:p>
    <w:p>
      <w:pPr>
        <w:ind w:right="60"/>
        <w:spacing w:after="0" w:line="279" w:lineRule="auto"/>
        <w:rPr>
          <w:rFonts w:ascii="Arial" w:cs="Arial" w:eastAsia="Arial" w:hAnsi="Arial"/>
          <w:sz w:val="17"/>
          <w:szCs w:val="17"/>
          <w:color w:val="auto"/>
        </w:rPr>
      </w:pPr>
      <w:r>
        <w:rPr>
          <w:rFonts w:ascii="Arial" w:cs="Arial" w:eastAsia="Arial" w:hAnsi="Arial"/>
          <w:sz w:val="17"/>
          <w:szCs w:val="17"/>
          <w:color w:val="auto"/>
        </w:rPr>
        <w:t>1.409A-3(i)(1)(v), and interest and penalties with respect to the Gross-Up Payment or that are incurred by the Company on the Executive’s behalf under this Section 9 shall be paid to the Executive only to the extent permitted under Treasury Regulation Section 1.409A-3(i)(1)(v). To the extent required by Section 409A of the Code or the Treasury Regulations thereunder, any Gross-Up Payment is made with respect to any Section 409A Payment, such Gross-Up Payment shall be payable only upon the Executive’s Separation from Service and subject to Section 10.</w:t>
      </w:r>
    </w:p>
    <w:p>
      <w:pPr>
        <w:spacing w:after="0" w:line="120" w:lineRule="exact"/>
        <w:rPr>
          <w:sz w:val="20"/>
          <w:szCs w:val="20"/>
          <w:color w:val="auto"/>
        </w:rPr>
      </w:pPr>
    </w:p>
    <w:p>
      <w:pPr>
        <w:ind w:right="20" w:firstLine="1153"/>
        <w:spacing w:after="0" w:line="272" w:lineRule="auto"/>
        <w:rPr>
          <w:sz w:val="20"/>
          <w:szCs w:val="20"/>
          <w:color w:val="auto"/>
        </w:rPr>
      </w:pPr>
      <w:r>
        <w:rPr>
          <w:rFonts w:ascii="Arial" w:cs="Arial" w:eastAsia="Arial" w:hAnsi="Arial"/>
          <w:sz w:val="17"/>
          <w:szCs w:val="17"/>
          <w:b w:val="1"/>
          <w:bCs w:val="1"/>
          <w:color w:val="auto"/>
        </w:rPr>
        <w:t xml:space="preserve">Section 10. </w:t>
      </w:r>
      <w:r>
        <w:rPr>
          <w:rFonts w:ascii="Arial" w:cs="Arial" w:eastAsia="Arial" w:hAnsi="Arial"/>
          <w:sz w:val="17"/>
          <w:szCs w:val="17"/>
          <w:u w:val="single" w:color="auto"/>
          <w:color w:val="auto"/>
        </w:rPr>
        <w:t>Delayed Distribution under Section 409A of the Code</w:t>
      </w:r>
      <w:r>
        <w:rPr>
          <w:rFonts w:ascii="Arial" w:cs="Arial" w:eastAsia="Arial" w:hAnsi="Arial"/>
          <w:sz w:val="17"/>
          <w:szCs w:val="17"/>
          <w:color w:val="auto"/>
        </w:rPr>
        <w:t>. If the Executive is a Specified Employee on the date of the</w:t>
      </w:r>
      <w:r>
        <w:rPr>
          <w:rFonts w:ascii="Arial" w:cs="Arial" w:eastAsia="Arial" w:hAnsi="Arial"/>
          <w:sz w:val="17"/>
          <w:szCs w:val="17"/>
          <w:b w:val="1"/>
          <w:bCs w:val="1"/>
          <w:color w:val="auto"/>
        </w:rPr>
        <w:t xml:space="preserve"> </w:t>
      </w:r>
      <w:r>
        <w:rPr>
          <w:rFonts w:ascii="Arial" w:cs="Arial" w:eastAsia="Arial" w:hAnsi="Arial"/>
          <w:sz w:val="17"/>
          <w:szCs w:val="17"/>
          <w:color w:val="auto"/>
        </w:rPr>
        <w:t>Executive’s Involuntary Termination (or on the date of the Executive’s Separation from Service by reason of Disability), the Section 409A Payments, and to the extent required by Section 409A of the Code and the Treasury Regulations thereunder, any Gross-Up Payments made with respect to such Section 409A Payments, and any other payments or benefits under this Agreement subject to Section 409A of the Code, shall be delayed in order to avoid a prohibited distribution under Section 409A(a)(2)(B)(i) of the Code, and such payments or benefits shall be paid or distributed to the Executive during the thirty (30) day period commencing on the earlier of (a) the expiration of the six-month period measured from the date of the Executive’s Separation from Se rvice or (b) the date of the Executive’s death. Upon the expiration of the applicable six-month period under Section 409A(a)(2)(B)(i) of the Code, all payments deferred pursuant to this Section 10 (excluding in-kind benefits) shall be paid in a lump sum payment to the Executive, plus interest thereon from the date of the Executive’s Involuntary Termination through the payment date at an annual rate equal to Moody’s Rate. The “</w:t>
      </w:r>
      <w:r>
        <w:rPr>
          <w:rFonts w:ascii="Arial" w:cs="Arial" w:eastAsia="Arial" w:hAnsi="Arial"/>
          <w:sz w:val="17"/>
          <w:szCs w:val="17"/>
          <w:u w:val="single" w:color="auto"/>
          <w:color w:val="auto"/>
        </w:rPr>
        <w:t>Moody’s Rate</w:t>
      </w:r>
      <w:r>
        <w:rPr>
          <w:rFonts w:ascii="Arial" w:cs="Arial" w:eastAsia="Arial" w:hAnsi="Arial"/>
          <w:sz w:val="17"/>
          <w:szCs w:val="17"/>
          <w:color w:val="auto"/>
        </w:rPr>
        <w:t>” shall mean the average of the daily Moody’s Corporate Bond Yield Average – Monthly</w:t>
      </w:r>
    </w:p>
    <w:p>
      <w:pPr>
        <w:sectPr>
          <w:pgSz w:w="11900" w:h="16891" w:orient="portrait"/>
          <w:cols w:equalWidth="0" w:num="1">
            <w:col w:w="11400"/>
          </w:cols>
          <w:pgMar w:left="240" w:top="120" w:right="259" w:bottom="0" w:gutter="0" w:footer="0" w:header="0"/>
        </w:sectPr>
      </w:pPr>
    </w:p>
    <w:bookmarkStart w:id="85" w:name="page86"/>
    <w:bookmarkEnd w:id="85"/>
    <w:p>
      <w:pPr>
        <w:ind w:right="80"/>
        <w:spacing w:after="0" w:line="267" w:lineRule="auto"/>
        <w:rPr>
          <w:sz w:val="20"/>
          <w:szCs w:val="20"/>
          <w:color w:val="auto"/>
        </w:rPr>
      </w:pPr>
      <w:r>
        <w:rPr>
          <w:rFonts w:ascii="Arial" w:cs="Arial" w:eastAsia="Arial" w:hAnsi="Arial"/>
          <w:sz w:val="19"/>
          <w:szCs w:val="19"/>
          <w:color w:val="auto"/>
        </w:rPr>
        <w:t>Average Corporates as published by Moody’s Investors Service, Inc. (or any successor) for the month next preceding the Date of Termination. Any remaining payments due under the Agreement shall be paid as otherwise provided herein.</w:t>
      </w:r>
    </w:p>
    <w:p>
      <w:pPr>
        <w:spacing w:after="0" w:line="127" w:lineRule="exact"/>
        <w:rPr>
          <w:sz w:val="20"/>
          <w:szCs w:val="20"/>
          <w:color w:val="auto"/>
        </w:rPr>
      </w:pPr>
    </w:p>
    <w:p>
      <w:pPr>
        <w:ind w:firstLine="1153"/>
        <w:spacing w:after="0" w:line="254" w:lineRule="auto"/>
        <w:rPr>
          <w:sz w:val="20"/>
          <w:szCs w:val="20"/>
          <w:color w:val="auto"/>
        </w:rPr>
      </w:pPr>
      <w:r>
        <w:rPr>
          <w:rFonts w:ascii="Arial" w:cs="Arial" w:eastAsia="Arial" w:hAnsi="Arial"/>
          <w:sz w:val="18"/>
          <w:szCs w:val="18"/>
          <w:b w:val="1"/>
          <w:bCs w:val="1"/>
          <w:color w:val="auto"/>
        </w:rPr>
        <w:t xml:space="preserve">Section 11. </w:t>
      </w:r>
      <w:r>
        <w:rPr>
          <w:rFonts w:ascii="Arial" w:cs="Arial" w:eastAsia="Arial" w:hAnsi="Arial"/>
          <w:sz w:val="18"/>
          <w:szCs w:val="18"/>
          <w:u w:val="single" w:color="auto"/>
          <w:color w:val="auto"/>
        </w:rPr>
        <w:t>Nonexclusivity of Rights</w:t>
      </w:r>
      <w:r>
        <w:rPr>
          <w:rFonts w:ascii="Arial" w:cs="Arial" w:eastAsia="Arial" w:hAnsi="Arial"/>
          <w:sz w:val="18"/>
          <w:szCs w:val="18"/>
          <w:color w:val="auto"/>
        </w:rPr>
        <w:t>. Nothing in this Agreement shall prevent or limit the Executive’s continuing or future</w:t>
      </w:r>
      <w:r>
        <w:rPr>
          <w:rFonts w:ascii="Arial" w:cs="Arial" w:eastAsia="Arial" w:hAnsi="Arial"/>
          <w:sz w:val="18"/>
          <w:szCs w:val="18"/>
          <w:b w:val="1"/>
          <w:bCs w:val="1"/>
          <w:color w:val="auto"/>
        </w:rPr>
        <w:t xml:space="preserve"> </w:t>
      </w:r>
      <w:r>
        <w:rPr>
          <w:rFonts w:ascii="Arial" w:cs="Arial" w:eastAsia="Arial" w:hAnsi="Arial"/>
          <w:sz w:val="18"/>
          <w:szCs w:val="18"/>
          <w:color w:val="auto"/>
        </w:rPr>
        <w:t>participation in any benefit, plan, program, policy or practice provided by the Company and for which the Executive may qualify (except with respect to any benefit to which the Executive has waived his rights in writing), including, without limitation, any and all indemnification arrangements in favor of the Executive (whether under agreements or under the Company’s charter documents or otherwise), and insurance policies covering the Executive, nor shall anything herein limit or otherwise affect such rights as the Executive may have under any other contract or agreement entered into after the Effective Date with the Company. Amounts which are vested benefits or which the Executive is otherwise entitled to receive under any bene fit, plan, policy, practice or program of, or any contract or agreement entered into with, the Company shall be payable in accordance with such benefit, plan, policy, practice or program or contract or agreement except as explicitly modified by this Agreement. At all times during the Executive’s employment with the Company and thereafter, the Company shall provide (to the extent permissible under applicable law) the Executive with indemnification and D&amp;O insurance insuring the Executive against insurable events which occur or have occurred while the Executive was a director or the Executive officer of the Company, on terms and conditions that are at least as generous as that then provided to any other current or former director or the Executive officer of the Company or any Affiliate. Such indemnification and D&amp;O insurance shall be provided in a manner that complies with Treasury Regulation Section 1.409A-1(b)(10).</w:t>
      </w:r>
    </w:p>
    <w:p>
      <w:pPr>
        <w:spacing w:after="0" w:line="149" w:lineRule="exact"/>
        <w:rPr>
          <w:sz w:val="20"/>
          <w:szCs w:val="20"/>
          <w:color w:val="auto"/>
        </w:rPr>
      </w:pPr>
    </w:p>
    <w:p>
      <w:pPr>
        <w:ind w:firstLine="1153"/>
        <w:spacing w:after="0" w:line="260" w:lineRule="auto"/>
        <w:rPr>
          <w:sz w:val="20"/>
          <w:szCs w:val="20"/>
          <w:color w:val="auto"/>
        </w:rPr>
      </w:pPr>
      <w:r>
        <w:rPr>
          <w:rFonts w:ascii="Arial" w:cs="Arial" w:eastAsia="Arial" w:hAnsi="Arial"/>
          <w:sz w:val="18"/>
          <w:szCs w:val="18"/>
          <w:b w:val="1"/>
          <w:bCs w:val="1"/>
          <w:color w:val="auto"/>
        </w:rPr>
        <w:t xml:space="preserve">Section 12. </w:t>
      </w:r>
      <w:r>
        <w:rPr>
          <w:rFonts w:ascii="Arial" w:cs="Arial" w:eastAsia="Arial" w:hAnsi="Arial"/>
          <w:sz w:val="18"/>
          <w:szCs w:val="18"/>
          <w:u w:val="single" w:color="auto"/>
          <w:color w:val="auto"/>
        </w:rPr>
        <w:t>Full Settlement; Mitigation</w:t>
      </w:r>
      <w:r>
        <w:rPr>
          <w:rFonts w:ascii="Arial" w:cs="Arial" w:eastAsia="Arial" w:hAnsi="Arial"/>
          <w:sz w:val="18"/>
          <w:szCs w:val="18"/>
          <w:color w:val="auto"/>
        </w:rPr>
        <w:t>. The Company’s obligation to make the payments provided for in this Agreement and</w:t>
      </w:r>
      <w:r>
        <w:rPr>
          <w:rFonts w:ascii="Arial" w:cs="Arial" w:eastAsia="Arial" w:hAnsi="Arial"/>
          <w:sz w:val="18"/>
          <w:szCs w:val="18"/>
          <w:b w:val="1"/>
          <w:bCs w:val="1"/>
          <w:color w:val="auto"/>
        </w:rPr>
        <w:t xml:space="preserve"> </w:t>
      </w:r>
      <w:r>
        <w:rPr>
          <w:rFonts w:ascii="Arial" w:cs="Arial" w:eastAsia="Arial" w:hAnsi="Arial"/>
          <w:sz w:val="18"/>
          <w:szCs w:val="18"/>
          <w:color w:val="auto"/>
        </w:rPr>
        <w:t>otherwise to perform its obligations hereunder shall not be affected by any set-off, counterclaim, recoupment, defense or other claim, right or action which the Company may have against the Executive or others, provided that nothing herein shall preclude the Company from separately pursuing recovery from the Executive based on any such claim. In no event shall the Executive be obligated to seek other employment or take any other action by way of mitigation of the amounts (including amounts for damages for breach) payable to the Executive under any of the provisions of this Agreement, and such amounts shall not be reduced whether or not the Executive obtains other employment.</w:t>
      </w:r>
    </w:p>
    <w:p>
      <w:pPr>
        <w:spacing w:after="0" w:line="138" w:lineRule="exact"/>
        <w:rPr>
          <w:sz w:val="20"/>
          <w:szCs w:val="20"/>
          <w:color w:val="auto"/>
        </w:rPr>
      </w:pPr>
    </w:p>
    <w:p>
      <w:pPr>
        <w:ind w:left="1140"/>
        <w:spacing w:after="0"/>
        <w:tabs>
          <w:tab w:leader="none" w:pos="2280" w:val="left"/>
        </w:tabs>
        <w:rPr>
          <w:sz w:val="20"/>
          <w:szCs w:val="20"/>
          <w:color w:val="auto"/>
        </w:rPr>
      </w:pPr>
      <w:r>
        <w:rPr>
          <w:rFonts w:ascii="Arial" w:cs="Arial" w:eastAsia="Arial" w:hAnsi="Arial"/>
          <w:sz w:val="19"/>
          <w:szCs w:val="19"/>
          <w:b w:val="1"/>
          <w:bCs w:val="1"/>
          <w:color w:val="auto"/>
        </w:rPr>
        <w:t>Section 13.</w:t>
      </w:r>
      <w:r>
        <w:rPr>
          <w:sz w:val="20"/>
          <w:szCs w:val="20"/>
          <w:color w:val="auto"/>
        </w:rPr>
        <w:tab/>
      </w:r>
      <w:r>
        <w:rPr>
          <w:rFonts w:ascii="Arial" w:cs="Arial" w:eastAsia="Arial" w:hAnsi="Arial"/>
          <w:sz w:val="17"/>
          <w:szCs w:val="17"/>
          <w:u w:val="single" w:color="auto"/>
          <w:color w:val="auto"/>
        </w:rPr>
        <w:t>Dispute Resolution</w:t>
      </w:r>
      <w:r>
        <w:rPr>
          <w:rFonts w:ascii="Arial" w:cs="Arial" w:eastAsia="Arial" w:hAnsi="Arial"/>
          <w:sz w:val="17"/>
          <w:szCs w:val="17"/>
          <w:color w:val="auto"/>
        </w:rPr>
        <w:t>.</w:t>
      </w:r>
    </w:p>
    <w:p>
      <w:pPr>
        <w:spacing w:after="0" w:line="190" w:lineRule="exact"/>
        <w:rPr>
          <w:sz w:val="20"/>
          <w:szCs w:val="20"/>
          <w:color w:val="auto"/>
        </w:rPr>
      </w:pPr>
    </w:p>
    <w:p>
      <w:pPr>
        <w:ind w:right="20" w:firstLine="1153"/>
        <w:spacing w:after="0" w:line="253" w:lineRule="auto"/>
        <w:rPr>
          <w:sz w:val="20"/>
          <w:szCs w:val="20"/>
          <w:color w:val="auto"/>
        </w:rPr>
      </w:pPr>
      <w:r>
        <w:rPr>
          <w:rFonts w:ascii="Arial" w:cs="Arial" w:eastAsia="Arial" w:hAnsi="Arial"/>
          <w:sz w:val="18"/>
          <w:szCs w:val="18"/>
          <w:color w:val="auto"/>
        </w:rPr>
        <w:t>Any disagreement, dispute, controversy or claim arising out of or relating to this Agreement or the interpretation of this Agreement or any arrangements relating to this Agreement or contemplated in this Agreement or the breach, termination or invalidity thereof shall be settled by final and binding arbitration administered by JAMS in San Diego, California in accordance with the then existing JAMS arbitration rules applicable to employment disputes (the “</w:t>
      </w:r>
      <w:r>
        <w:rPr>
          <w:rFonts w:ascii="Arial" w:cs="Arial" w:eastAsia="Arial" w:hAnsi="Arial"/>
          <w:sz w:val="18"/>
          <w:szCs w:val="18"/>
          <w:u w:val="single" w:color="auto"/>
          <w:color w:val="auto"/>
        </w:rPr>
        <w:t>JAMS Rules</w:t>
      </w:r>
      <w:r>
        <w:rPr>
          <w:rFonts w:ascii="Arial" w:cs="Arial" w:eastAsia="Arial" w:hAnsi="Arial"/>
          <w:sz w:val="18"/>
          <w:szCs w:val="18"/>
          <w:color w:val="auto"/>
        </w:rPr>
        <w:t xml:space="preserve">”); </w:t>
      </w:r>
      <w:r>
        <w:rPr>
          <w:rFonts w:ascii="Arial" w:cs="Arial" w:eastAsia="Arial" w:hAnsi="Arial"/>
          <w:sz w:val="18"/>
          <w:szCs w:val="18"/>
          <w:i w:val="1"/>
          <w:iCs w:val="1"/>
          <w:color w:val="auto"/>
        </w:rPr>
        <w:t>provided that</w:t>
      </w:r>
      <w:r>
        <w:rPr>
          <w:rFonts w:ascii="Arial" w:cs="Arial" w:eastAsia="Arial" w:hAnsi="Arial"/>
          <w:sz w:val="18"/>
          <w:szCs w:val="18"/>
          <w:color w:val="auto"/>
        </w:rPr>
        <w:t>, notwithstanding any provision in such rules to the contrary, in all cases the parties shall be entitled to reasonable discovery. In the event of such an arbitration proceeding, the Executive and the Company shall select a mutually acceptable neutral arbitrator from among the JAMS panel of arbitrators. In the event the Executive and the Company cannot agree on an arbitrator, the arbi trator shall be selected in accordance with the then existing JAMS Rules. Neither the Executive nor the Company nor the arbitrator shall disclose the existence, content or results of any arbitration hereunder without the prior written consent of all parties, except to the extent necessary to enforce any arbitration award in a court of competent jurisdiction. Except as provided herein, the Federal Arbitration Act shall govern the interpretation of, enforcement of and all proceedings under this agreement to arbitrate. The arbitrator shall apply the substantive law (and the law of remedies, if applicable) of the state of California, or federal law, or both, as applicable, and the arbitrator is without jurisdiction to apply any different substantive law. The arbitrator shall have the authority to entertain a motion to dismiss and/or a motion for summary judgment by any party and shall apply the standards governing such motions under the Federal Rules of Civil Procedure. The ar bitrator shall render an award and a written, reasoned opinion in support thereof. Judgment upon the award may be entered in any court having jurisdiction thereof. The Executive shall not be required to pay any arbitration fee or cost that is unique to arbitration or greater than any amount he would be required to pay to pursue his claims in a court of competent jurisdiction.</w:t>
      </w:r>
    </w:p>
    <w:p>
      <w:pPr>
        <w:spacing w:after="0" w:line="149" w:lineRule="exact"/>
        <w:rPr>
          <w:sz w:val="20"/>
          <w:szCs w:val="20"/>
          <w:color w:val="auto"/>
        </w:rPr>
      </w:pPr>
    </w:p>
    <w:p>
      <w:pPr>
        <w:ind w:left="1140"/>
        <w:spacing w:after="0"/>
        <w:tabs>
          <w:tab w:leader="none" w:pos="2280" w:val="left"/>
        </w:tabs>
        <w:rPr>
          <w:sz w:val="20"/>
          <w:szCs w:val="20"/>
          <w:color w:val="auto"/>
        </w:rPr>
      </w:pPr>
      <w:r>
        <w:rPr>
          <w:rFonts w:ascii="Arial" w:cs="Arial" w:eastAsia="Arial" w:hAnsi="Arial"/>
          <w:sz w:val="19"/>
          <w:szCs w:val="19"/>
          <w:b w:val="1"/>
          <w:bCs w:val="1"/>
          <w:color w:val="auto"/>
        </w:rPr>
        <w:t>Section 14.</w:t>
      </w:r>
      <w:r>
        <w:rPr>
          <w:sz w:val="20"/>
          <w:szCs w:val="20"/>
          <w:color w:val="auto"/>
        </w:rPr>
        <w:tab/>
      </w:r>
      <w:r>
        <w:rPr>
          <w:rFonts w:ascii="Arial" w:cs="Arial" w:eastAsia="Arial" w:hAnsi="Arial"/>
          <w:sz w:val="17"/>
          <w:szCs w:val="17"/>
          <w:u w:val="single" w:color="auto"/>
          <w:color w:val="auto"/>
        </w:rPr>
        <w:t>Executive’s Covenants</w:t>
      </w:r>
      <w:r>
        <w:rPr>
          <w:rFonts w:ascii="Arial" w:cs="Arial" w:eastAsia="Arial" w:hAnsi="Arial"/>
          <w:sz w:val="17"/>
          <w:szCs w:val="17"/>
          <w:color w:val="auto"/>
        </w:rPr>
        <w:t>.</w:t>
      </w:r>
    </w:p>
    <w:p>
      <w:pPr>
        <w:spacing w:after="0" w:line="190" w:lineRule="exact"/>
        <w:rPr>
          <w:sz w:val="20"/>
          <w:szCs w:val="20"/>
          <w:color w:val="auto"/>
        </w:rPr>
      </w:pPr>
    </w:p>
    <w:p>
      <w:pPr>
        <w:ind w:firstLine="1149"/>
        <w:spacing w:after="0" w:line="270" w:lineRule="auto"/>
        <w:tabs>
          <w:tab w:leader="none" w:pos="1730" w:val="left"/>
        </w:tabs>
        <w:numPr>
          <w:ilvl w:val="0"/>
          <w:numId w:val="90"/>
        </w:numPr>
        <w:rPr>
          <w:rFonts w:ascii="Arial" w:cs="Arial" w:eastAsia="Arial" w:hAnsi="Arial"/>
          <w:sz w:val="17"/>
          <w:szCs w:val="17"/>
          <w:color w:val="auto"/>
        </w:rPr>
      </w:pPr>
      <w:r>
        <w:rPr>
          <w:rFonts w:ascii="Arial" w:cs="Arial" w:eastAsia="Arial" w:hAnsi="Arial"/>
          <w:sz w:val="17"/>
          <w:szCs w:val="17"/>
          <w:u w:val="single" w:color="auto"/>
          <w:color w:val="auto"/>
        </w:rPr>
        <w:t>Confidentiality</w:t>
      </w:r>
      <w:r>
        <w:rPr>
          <w:rFonts w:ascii="Arial" w:cs="Arial" w:eastAsia="Arial" w:hAnsi="Arial"/>
          <w:sz w:val="17"/>
          <w:szCs w:val="17"/>
          <w:color w:val="auto"/>
        </w:rPr>
        <w:t>. The Executive acknowledges that in the course of his employment with the Company, he has acquired non-public privileged or confidential information and trade secrets concerning the operations, future plans and methods of doing business (“</w:t>
      </w:r>
      <w:r>
        <w:rPr>
          <w:rFonts w:ascii="Arial" w:cs="Arial" w:eastAsia="Arial" w:hAnsi="Arial"/>
          <w:sz w:val="17"/>
          <w:szCs w:val="17"/>
          <w:u w:val="single" w:color="auto"/>
          <w:color w:val="auto"/>
        </w:rPr>
        <w:t>Proprietary</w:t>
      </w:r>
      <w:r>
        <w:rPr>
          <w:rFonts w:ascii="Arial" w:cs="Arial" w:eastAsia="Arial" w:hAnsi="Arial"/>
          <w:sz w:val="17"/>
          <w:szCs w:val="17"/>
          <w:color w:val="auto"/>
        </w:rPr>
        <w:t xml:space="preserve"> </w:t>
      </w:r>
      <w:r>
        <w:rPr>
          <w:rFonts w:ascii="Arial" w:cs="Arial" w:eastAsia="Arial" w:hAnsi="Arial"/>
          <w:sz w:val="17"/>
          <w:szCs w:val="17"/>
          <w:u w:val="single" w:color="auto"/>
          <w:color w:val="auto"/>
        </w:rPr>
        <w:t>Information</w:t>
      </w:r>
      <w:r>
        <w:rPr>
          <w:rFonts w:ascii="Arial" w:cs="Arial" w:eastAsia="Arial" w:hAnsi="Arial"/>
          <w:sz w:val="17"/>
          <w:szCs w:val="17"/>
          <w:color w:val="auto"/>
        </w:rPr>
        <w:t xml:space="preserve">”) of the Company and its Affiliates; and the Executive agrees that it would be extremely damaging to the Company and its Affiliates if such Proprietary Information were disclosed to a competitor of the Company and its Affiliates or to any other person or corporation. The Executive understands and agrees that all Proprietary Information has been divulged to the Executive in confidence and further understands and agrees to keep all Proprietary Information secret and confidential (except for such information which is or becomes publicly available other than as a result of a bre ach by the Executive of this provision or information the Executive is required by any governmental, administrative or court order to disclose) without limitation in time. In view of the nature of the Executive’s employment and the Proprietary Information the Executive has acquired during the course of such employment, the Executive likewise agrees that the Company and its Affiliates would be irreparably harmed by any disclosure of Proprietary Information in violation of the terms of this paragraph and that the Company and its Affiliates shall therefore be entitled to preliminary and/or permanent injunctive relief prohibiting the Executive from engaging in any activity or threatened activity in violation of the terms of this paragraph and to any other relief available to them. Inquiries regarding whether specific information constitutes Proprietary Information shall be directed to the Company’s Senior Vice President, Public Policy (or, if such positio n is vacant, the Company’s then Chief Executive Officer); </w:t>
      </w:r>
      <w:r>
        <w:rPr>
          <w:rFonts w:ascii="Arial" w:cs="Arial" w:eastAsia="Arial" w:hAnsi="Arial"/>
          <w:sz w:val="17"/>
          <w:szCs w:val="17"/>
          <w:i w:val="1"/>
          <w:iCs w:val="1"/>
          <w:color w:val="auto"/>
        </w:rPr>
        <w:t>provided</w:t>
      </w:r>
      <w:r>
        <w:rPr>
          <w:rFonts w:ascii="Arial" w:cs="Arial" w:eastAsia="Arial" w:hAnsi="Arial"/>
          <w:sz w:val="17"/>
          <w:szCs w:val="17"/>
          <w:color w:val="auto"/>
        </w:rPr>
        <w:t>, that the Company shall not unreasonably classify information as Proprietary Information.</w:t>
      </w:r>
    </w:p>
    <w:p>
      <w:pPr>
        <w:spacing w:after="0" w:line="128" w:lineRule="exact"/>
        <w:rPr>
          <w:rFonts w:ascii="Arial" w:cs="Arial" w:eastAsia="Arial" w:hAnsi="Arial"/>
          <w:sz w:val="17"/>
          <w:szCs w:val="17"/>
          <w:color w:val="auto"/>
        </w:rPr>
      </w:pPr>
    </w:p>
    <w:p>
      <w:pPr>
        <w:ind w:firstLine="1149"/>
        <w:spacing w:after="0" w:line="253" w:lineRule="auto"/>
        <w:tabs>
          <w:tab w:leader="none" w:pos="1730" w:val="left"/>
        </w:tabs>
        <w:numPr>
          <w:ilvl w:val="0"/>
          <w:numId w:val="90"/>
        </w:numPr>
        <w:rPr>
          <w:rFonts w:ascii="Arial" w:cs="Arial" w:eastAsia="Arial" w:hAnsi="Arial"/>
          <w:sz w:val="18"/>
          <w:szCs w:val="18"/>
          <w:color w:val="auto"/>
        </w:rPr>
      </w:pPr>
      <w:r>
        <w:rPr>
          <w:rFonts w:ascii="Arial" w:cs="Arial" w:eastAsia="Arial" w:hAnsi="Arial"/>
          <w:sz w:val="18"/>
          <w:szCs w:val="18"/>
          <w:u w:val="single" w:color="auto"/>
          <w:color w:val="auto"/>
        </w:rPr>
        <w:t>Non-Solicitation of Employees</w:t>
      </w:r>
      <w:r>
        <w:rPr>
          <w:rFonts w:ascii="Arial" w:cs="Arial" w:eastAsia="Arial" w:hAnsi="Arial"/>
          <w:sz w:val="18"/>
          <w:szCs w:val="18"/>
          <w:color w:val="auto"/>
        </w:rPr>
        <w:t xml:space="preserve">. The Executive recognizes that he possesses and will possess confidential information about other employees of the Company and its Affiliates relating to their education, experience, skills, abilities, compensation and benefits, and inter-personal relationships with customers of the Company and its Affiliates. The Executive recognizes that the information he possesses and will possess about these other employees is not generally known, is of substantial value to the Company and its Affiliates in developing their business and in securing and retaining customers, and has been and will be acquired by him because of his business position with the Company and its Affiliates. The Executive agrees that at all times during the Executive’s employment with the Company and for a period of one (1) year thereafter, he will not, directly or indirectly, solicit or recruit any employee of the Company or its Affiliates for the purpose of being employed by him or by any competitor of the Company or its Affiliates on whose behalf he is acting as an agent, representative or employee and that he will not convey any such confidential information or trade secrets about other employees of the Company and its Affiliates to any other person; </w:t>
      </w:r>
      <w:r>
        <w:rPr>
          <w:rFonts w:ascii="Arial" w:cs="Arial" w:eastAsia="Arial" w:hAnsi="Arial"/>
          <w:sz w:val="18"/>
          <w:szCs w:val="18"/>
          <w:i w:val="1"/>
          <w:iCs w:val="1"/>
          <w:color w:val="auto"/>
        </w:rPr>
        <w:t>provided, however</w:t>
      </w:r>
      <w:r>
        <w:rPr>
          <w:rFonts w:ascii="Arial" w:cs="Arial" w:eastAsia="Arial" w:hAnsi="Arial"/>
          <w:sz w:val="18"/>
          <w:szCs w:val="18"/>
          <w:color w:val="auto"/>
        </w:rPr>
        <w:t>, that it shall not constitute a solicitation or recruitment of employment in violation of this paragraph to discuss employment opportunities with any employee of the Company or its Affiliates who has either first contacted the Executive or regarding whose employment the Executive has discussed with and received the written approval of the Company’s Vice President, Human Resources (or, if such position is vacant, the Company’s then Chief Executive Officer), prior to making such solicitation or recruitment. In view of the nature of the Executive’s employm ent with the Company, the Executive likewise agrees that the Company and its Affiliates would be irreparably harmed by any solicitation or recruitment in violation of the terms of this paragraph and that the Company and its Affiliates shall therefore be entitled to preliminary and/or permanent injunctive relief prohibiting the Executive from engaging in any activity or threatened activity in violation of the terms of this paragraph and to any other relief available to them.</w:t>
      </w:r>
    </w:p>
    <w:p>
      <w:pPr>
        <w:sectPr>
          <w:pgSz w:w="11900" w:h="16838" w:orient="portrait"/>
          <w:cols w:equalWidth="0" w:num="1">
            <w:col w:w="11420"/>
          </w:cols>
          <w:pgMar w:left="240" w:top="120" w:right="239" w:bottom="0" w:gutter="0" w:footer="0" w:header="0"/>
        </w:sectPr>
      </w:pPr>
    </w:p>
    <w:bookmarkStart w:id="86" w:name="page87"/>
    <w:bookmarkEnd w:id="86"/>
    <w:p>
      <w:pPr>
        <w:ind w:left="4" w:right="160" w:firstLine="1149"/>
        <w:spacing w:after="0" w:line="245" w:lineRule="auto"/>
        <w:tabs>
          <w:tab w:leader="none" w:pos="1734" w:val="left"/>
        </w:tabs>
        <w:numPr>
          <w:ilvl w:val="0"/>
          <w:numId w:val="91"/>
        </w:numPr>
        <w:rPr>
          <w:rFonts w:ascii="Arial" w:cs="Arial" w:eastAsia="Arial" w:hAnsi="Arial"/>
          <w:sz w:val="19"/>
          <w:szCs w:val="19"/>
          <w:color w:val="auto"/>
        </w:rPr>
      </w:pPr>
      <w:r>
        <w:rPr>
          <w:rFonts w:ascii="Arial" w:cs="Arial" w:eastAsia="Arial" w:hAnsi="Arial"/>
          <w:sz w:val="19"/>
          <w:szCs w:val="19"/>
          <w:u w:val="single" w:color="auto"/>
          <w:color w:val="auto"/>
        </w:rPr>
        <w:t>Survival of Provisions</w:t>
      </w:r>
      <w:r>
        <w:rPr>
          <w:rFonts w:ascii="Arial" w:cs="Arial" w:eastAsia="Arial" w:hAnsi="Arial"/>
          <w:sz w:val="19"/>
          <w:szCs w:val="19"/>
          <w:color w:val="auto"/>
        </w:rPr>
        <w:t>. The obligations contained in Section 14(a) and Section 14(b) above shall survive the termination of the Executive’s employment within the Company and shall be fully enforceable thereafter. If it is determined by a court of competent jurisdiction in any state that any restriction in Section 14(a) or Section 14(b) above is excessive in duration or scope or is unreasonable or unenforceable under the laws of that state, it is the intention of the parties that such restriction may be modified or amended by the court to render it enforceable to the maximum extent permitted by the law of that state.</w:t>
      </w:r>
    </w:p>
    <w:p>
      <w:pPr>
        <w:spacing w:after="0" w:line="147" w:lineRule="exact"/>
        <w:rPr>
          <w:rFonts w:ascii="Arial" w:cs="Arial" w:eastAsia="Arial" w:hAnsi="Arial"/>
          <w:sz w:val="19"/>
          <w:szCs w:val="19"/>
          <w:color w:val="auto"/>
        </w:rPr>
      </w:pPr>
    </w:p>
    <w:p>
      <w:pPr>
        <w:ind w:left="4" w:right="40" w:firstLine="1149"/>
        <w:spacing w:after="0" w:line="270" w:lineRule="auto"/>
        <w:tabs>
          <w:tab w:leader="none" w:pos="1734" w:val="left"/>
        </w:tabs>
        <w:numPr>
          <w:ilvl w:val="0"/>
          <w:numId w:val="91"/>
        </w:numPr>
        <w:rPr>
          <w:rFonts w:ascii="Arial" w:cs="Arial" w:eastAsia="Arial" w:hAnsi="Arial"/>
          <w:sz w:val="17"/>
          <w:szCs w:val="17"/>
          <w:color w:val="auto"/>
        </w:rPr>
      </w:pPr>
      <w:r>
        <w:rPr>
          <w:rFonts w:ascii="Arial" w:cs="Arial" w:eastAsia="Arial" w:hAnsi="Arial"/>
          <w:sz w:val="17"/>
          <w:szCs w:val="17"/>
          <w:u w:val="single" w:color="auto"/>
          <w:color w:val="auto"/>
        </w:rPr>
        <w:t>Release; Lump Sum Payment</w:t>
      </w:r>
      <w:r>
        <w:rPr>
          <w:rFonts w:ascii="Arial" w:cs="Arial" w:eastAsia="Arial" w:hAnsi="Arial"/>
          <w:sz w:val="17"/>
          <w:szCs w:val="17"/>
          <w:color w:val="auto"/>
        </w:rPr>
        <w:t>. In the event of the Executive’s Involuntary Termination, if the Executive (i) agrees to the covenants described in Section 14(a) and Section 14(b) above, (ii) executes a release (the “</w:t>
      </w:r>
      <w:r>
        <w:rPr>
          <w:rFonts w:ascii="Arial" w:cs="Arial" w:eastAsia="Arial" w:hAnsi="Arial"/>
          <w:sz w:val="17"/>
          <w:szCs w:val="17"/>
          <w:u w:val="single" w:color="auto"/>
          <w:color w:val="auto"/>
        </w:rPr>
        <w:t>Release</w:t>
      </w:r>
      <w:r>
        <w:rPr>
          <w:rFonts w:ascii="Arial" w:cs="Arial" w:eastAsia="Arial" w:hAnsi="Arial"/>
          <w:sz w:val="17"/>
          <w:szCs w:val="17"/>
          <w:color w:val="auto"/>
        </w:rPr>
        <w:t xml:space="preserve">”) of all claims substantially in the form attached hereto as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within fifty (50) days after the date of Involuntary Termination and does not revoke such Release in accordance with the terms thereof, and (iii) agrees to provide the consulting services described in Section 14(e) below, then in consideration for such covenants, the Company shall pay the Executive, in one cash lump sum, an amount (the “</w:t>
      </w:r>
      <w:r>
        <w:rPr>
          <w:rFonts w:ascii="Arial" w:cs="Arial" w:eastAsia="Arial" w:hAnsi="Arial"/>
          <w:sz w:val="17"/>
          <w:szCs w:val="17"/>
          <w:u w:val="single" w:color="auto"/>
          <w:color w:val="auto"/>
        </w:rPr>
        <w:t>Consulting Payment</w:t>
      </w:r>
      <w:r>
        <w:rPr>
          <w:rFonts w:ascii="Arial" w:cs="Arial" w:eastAsia="Arial" w:hAnsi="Arial"/>
          <w:sz w:val="17"/>
          <w:szCs w:val="17"/>
          <w:color w:val="auto"/>
        </w:rPr>
        <w:t>”) in cash equal to the greater of: (X) ____% of the Executive’s Annual Base Salary as in effect on the Date of Termination, and (Y) the Executive’s Annual Base Salary as in effect on the Date of Termination, plus the Executive’s Average Annual Bonus. Except as provided in this subsection, the Consulting Payment shall be paid on such date</w:t>
      </w:r>
    </w:p>
    <w:p>
      <w:pPr>
        <w:spacing w:after="0" w:line="3" w:lineRule="exact"/>
        <w:rPr>
          <w:sz w:val="20"/>
          <w:szCs w:val="20"/>
          <w:color w:val="auto"/>
        </w:rPr>
      </w:pPr>
    </w:p>
    <w:p>
      <w:pPr>
        <w:ind w:left="4" w:right="340"/>
        <w:spacing w:after="0" w:line="220" w:lineRule="auto"/>
        <w:rPr>
          <w:sz w:val="20"/>
          <w:szCs w:val="20"/>
          <w:color w:val="auto"/>
        </w:rPr>
      </w:pPr>
      <w:r>
        <w:rPr>
          <w:rFonts w:ascii="Arial" w:cs="Arial" w:eastAsia="Arial" w:hAnsi="Arial"/>
          <w:sz w:val="19"/>
          <w:szCs w:val="19"/>
          <w:color w:val="auto"/>
        </w:rPr>
        <w:t>as is determined by the Company within the ten (10) day period commencing on the 60</w:t>
      </w:r>
      <w:r>
        <w:rPr>
          <w:rFonts w:ascii="Arial" w:cs="Arial" w:eastAsia="Arial" w:hAnsi="Arial"/>
          <w:sz w:val="32"/>
          <w:szCs w:val="32"/>
          <w:color w:val="auto"/>
          <w:vertAlign w:val="superscript"/>
        </w:rPr>
        <w:t>th</w:t>
      </w:r>
      <w:r>
        <w:rPr>
          <w:rFonts w:ascii="Arial" w:cs="Arial" w:eastAsia="Arial" w:hAnsi="Arial"/>
          <w:sz w:val="19"/>
          <w:szCs w:val="19"/>
          <w:color w:val="auto"/>
        </w:rPr>
        <w:t xml:space="preserve"> day after the date of the Executive’s Involuntary Termination; </w:t>
      </w:r>
      <w:r>
        <w:rPr>
          <w:rFonts w:ascii="Arial" w:cs="Arial" w:eastAsia="Arial" w:hAnsi="Arial"/>
          <w:sz w:val="19"/>
          <w:szCs w:val="19"/>
          <w:i w:val="1"/>
          <w:iCs w:val="1"/>
          <w:color w:val="auto"/>
        </w:rPr>
        <w:t>provided, however</w:t>
      </w:r>
      <w:r>
        <w:rPr>
          <w:rFonts w:ascii="Arial" w:cs="Arial" w:eastAsia="Arial" w:hAnsi="Arial"/>
          <w:sz w:val="19"/>
          <w:szCs w:val="19"/>
          <w:color w:val="auto"/>
        </w:rPr>
        <w:t>, that if the Executive is a Specified Employee on the date of the Executive’s Involuntary Termination, the Consulting Payment shall be paid as provided in Section 10 hereof. The Executive shall have the right to elect to defer the Consulting Payment under the terms and conditions of the Company’s Deferred Compensation Plan. Any such deferral election shall be made in accordance with Section 18(b) hereof.</w:t>
      </w:r>
    </w:p>
    <w:p>
      <w:pPr>
        <w:spacing w:after="0" w:line="166" w:lineRule="exact"/>
        <w:rPr>
          <w:sz w:val="20"/>
          <w:szCs w:val="20"/>
          <w:color w:val="auto"/>
        </w:rPr>
      </w:pPr>
    </w:p>
    <w:p>
      <w:pPr>
        <w:ind w:left="4" w:firstLine="1149"/>
        <w:spacing w:after="0" w:line="254" w:lineRule="auto"/>
        <w:tabs>
          <w:tab w:leader="none" w:pos="1734" w:val="left"/>
        </w:tabs>
        <w:numPr>
          <w:ilvl w:val="0"/>
          <w:numId w:val="92"/>
        </w:numPr>
        <w:rPr>
          <w:rFonts w:ascii="Arial" w:cs="Arial" w:eastAsia="Arial" w:hAnsi="Arial"/>
          <w:sz w:val="18"/>
          <w:szCs w:val="18"/>
          <w:color w:val="auto"/>
        </w:rPr>
      </w:pPr>
      <w:r>
        <w:rPr>
          <w:rFonts w:ascii="Arial" w:cs="Arial" w:eastAsia="Arial" w:hAnsi="Arial"/>
          <w:sz w:val="18"/>
          <w:szCs w:val="18"/>
          <w:u w:val="single" w:color="auto"/>
          <w:color w:val="auto"/>
        </w:rPr>
        <w:t>Consulting</w:t>
      </w:r>
      <w:r>
        <w:rPr>
          <w:rFonts w:ascii="Arial" w:cs="Arial" w:eastAsia="Arial" w:hAnsi="Arial"/>
          <w:sz w:val="18"/>
          <w:szCs w:val="18"/>
          <w:color w:val="auto"/>
        </w:rPr>
        <w:t>. If the Executive agrees to the covenants described in Section 14(d) above, then the Executive shall have the obligation to provide consulting services to the Company as an independent contractor, commencing on the Date of Termination and ending on the second anniversary of the Date of Termination (the “</w:t>
      </w:r>
      <w:r>
        <w:rPr>
          <w:rFonts w:ascii="Arial" w:cs="Arial" w:eastAsia="Arial" w:hAnsi="Arial"/>
          <w:sz w:val="18"/>
          <w:szCs w:val="18"/>
          <w:u w:val="single" w:color="auto"/>
          <w:color w:val="auto"/>
        </w:rPr>
        <w:t>Consulting Period</w:t>
      </w:r>
      <w:r>
        <w:rPr>
          <w:rFonts w:ascii="Arial" w:cs="Arial" w:eastAsia="Arial" w:hAnsi="Arial"/>
          <w:sz w:val="18"/>
          <w:szCs w:val="18"/>
          <w:color w:val="auto"/>
        </w:rPr>
        <w:t xml:space="preserve">”). The Executive shall hold himself available at reasonable times and on reasonable notice to render such consulting services as may be so assigned to him by the Board or the Company’s then Chief Executive Officer; </w:t>
      </w:r>
      <w:r>
        <w:rPr>
          <w:rFonts w:ascii="Arial" w:cs="Arial" w:eastAsia="Arial" w:hAnsi="Arial"/>
          <w:sz w:val="18"/>
          <w:szCs w:val="18"/>
          <w:i w:val="1"/>
          <w:iCs w:val="1"/>
          <w:color w:val="auto"/>
        </w:rPr>
        <w:t>provided, however</w:t>
      </w:r>
      <w:r>
        <w:rPr>
          <w:rFonts w:ascii="Arial" w:cs="Arial" w:eastAsia="Arial" w:hAnsi="Arial"/>
          <w:sz w:val="18"/>
          <w:szCs w:val="18"/>
          <w:color w:val="auto"/>
        </w:rPr>
        <w:t>, that unless the parties otherwise agree, the consulting services rendered by the Executive during the Consulting Period shall not</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exceed twenty (20) hours each month; and, </w:t>
      </w:r>
      <w:r>
        <w:rPr>
          <w:rFonts w:ascii="Arial" w:cs="Arial" w:eastAsia="Arial" w:hAnsi="Arial"/>
          <w:sz w:val="18"/>
          <w:szCs w:val="18"/>
          <w:i w:val="1"/>
          <w:iCs w:val="1"/>
          <w:color w:val="auto"/>
        </w:rPr>
        <w:t>provided, further</w:t>
      </w:r>
      <w:r>
        <w:rPr>
          <w:rFonts w:ascii="Arial" w:cs="Arial" w:eastAsia="Arial" w:hAnsi="Arial"/>
          <w:sz w:val="18"/>
          <w:szCs w:val="18"/>
          <w:color w:val="auto"/>
        </w:rPr>
        <w:t>, that the consulting services rendered by the Executive during the Cons ulting Period shall in no event exceed twenty percent (20%) of the average level of services performed by the Executive for the Company over the thirty-six (36) month period immediately preceding the Executive’s Separation from Service (or the full period of services to the Company, if the Executive has been providing services to the Company for less than thirty-six (36) months). The Company agrees to use its best efforts during the Consulting Period to secure the benefit of the Executive’s consulting services so as to minimize the interference with the Executive’s other activities, including requiring the performance of consulting services at the Company’s offices only when such services may not be reasonably performed off-site by the Executive.</w:t>
      </w:r>
    </w:p>
    <w:p>
      <w:pPr>
        <w:spacing w:after="0" w:line="146" w:lineRule="exact"/>
        <w:rPr>
          <w:sz w:val="20"/>
          <w:szCs w:val="20"/>
          <w:color w:val="auto"/>
        </w:rPr>
      </w:pPr>
    </w:p>
    <w:p>
      <w:pPr>
        <w:ind w:left="1144"/>
        <w:spacing w:after="0"/>
        <w:tabs>
          <w:tab w:leader="none" w:pos="2284" w:val="left"/>
        </w:tabs>
        <w:rPr>
          <w:sz w:val="20"/>
          <w:szCs w:val="20"/>
          <w:color w:val="auto"/>
        </w:rPr>
      </w:pPr>
      <w:r>
        <w:rPr>
          <w:rFonts w:ascii="Arial" w:cs="Arial" w:eastAsia="Arial" w:hAnsi="Arial"/>
          <w:sz w:val="19"/>
          <w:szCs w:val="19"/>
          <w:b w:val="1"/>
          <w:bCs w:val="1"/>
          <w:color w:val="auto"/>
        </w:rPr>
        <w:t>Section 15.</w:t>
      </w:r>
      <w:r>
        <w:rPr>
          <w:sz w:val="20"/>
          <w:szCs w:val="20"/>
          <w:color w:val="auto"/>
        </w:rPr>
        <w:tab/>
      </w:r>
      <w:r>
        <w:rPr>
          <w:rFonts w:ascii="Arial" w:cs="Arial" w:eastAsia="Arial" w:hAnsi="Arial"/>
          <w:sz w:val="16"/>
          <w:szCs w:val="16"/>
          <w:u w:val="single" w:color="auto"/>
          <w:color w:val="auto"/>
        </w:rPr>
        <w:t>Legal Fees</w:t>
      </w:r>
      <w:r>
        <w:rPr>
          <w:rFonts w:ascii="Arial" w:cs="Arial" w:eastAsia="Arial" w:hAnsi="Arial"/>
          <w:sz w:val="16"/>
          <w:szCs w:val="16"/>
          <w:color w:val="auto"/>
        </w:rPr>
        <w:t>.</w:t>
      </w:r>
    </w:p>
    <w:p>
      <w:pPr>
        <w:spacing w:after="0" w:line="178" w:lineRule="exact"/>
        <w:rPr>
          <w:sz w:val="20"/>
          <w:szCs w:val="20"/>
          <w:color w:val="auto"/>
        </w:rPr>
      </w:pPr>
    </w:p>
    <w:p>
      <w:pPr>
        <w:jc w:val="both"/>
        <w:ind w:left="4" w:right="220" w:firstLine="1149"/>
        <w:spacing w:after="0" w:line="244" w:lineRule="auto"/>
        <w:tabs>
          <w:tab w:leader="none" w:pos="1734" w:val="left"/>
        </w:tabs>
        <w:numPr>
          <w:ilvl w:val="0"/>
          <w:numId w:val="93"/>
        </w:numPr>
        <w:rPr>
          <w:rFonts w:ascii="Arial" w:cs="Arial" w:eastAsia="Arial" w:hAnsi="Arial"/>
          <w:sz w:val="19"/>
          <w:szCs w:val="19"/>
          <w:color w:val="auto"/>
        </w:rPr>
      </w:pPr>
      <w:r>
        <w:rPr>
          <w:rFonts w:ascii="Arial" w:cs="Arial" w:eastAsia="Arial" w:hAnsi="Arial"/>
          <w:sz w:val="19"/>
          <w:szCs w:val="19"/>
          <w:u w:val="single" w:color="auto"/>
          <w:color w:val="auto"/>
        </w:rPr>
        <w:t>Reimbursement of Legal Fees</w:t>
      </w:r>
      <w:r>
        <w:rPr>
          <w:rFonts w:ascii="Arial" w:cs="Arial" w:eastAsia="Arial" w:hAnsi="Arial"/>
          <w:sz w:val="19"/>
          <w:szCs w:val="19"/>
          <w:color w:val="auto"/>
        </w:rPr>
        <w:t>. Subject to subsection (b), in the event of the Executive’s Separation from Service either (1) prior to a Change in Control, or (2) on or within two (2) years following a Change in Control, the Company shall reimburse the Executive for all legal fees and expenses (including but not limited to fees and expenses in connection with any arbitration) incurred by the Executive in disputing any issue arising under this Agreement relating to the Executive’s Separation from Service or in seeking to obtain or enforce any benefit or right provided by this Agreement.</w:t>
      </w:r>
    </w:p>
    <w:p>
      <w:pPr>
        <w:spacing w:after="0" w:line="162" w:lineRule="exact"/>
        <w:rPr>
          <w:rFonts w:ascii="Arial" w:cs="Arial" w:eastAsia="Arial" w:hAnsi="Arial"/>
          <w:sz w:val="19"/>
          <w:szCs w:val="19"/>
          <w:color w:val="auto"/>
        </w:rPr>
      </w:pPr>
    </w:p>
    <w:p>
      <w:pPr>
        <w:ind w:left="4" w:right="20" w:firstLine="1149"/>
        <w:spacing w:after="0" w:line="271" w:lineRule="auto"/>
        <w:tabs>
          <w:tab w:leader="none" w:pos="1734" w:val="left"/>
        </w:tabs>
        <w:numPr>
          <w:ilvl w:val="0"/>
          <w:numId w:val="93"/>
        </w:numPr>
        <w:rPr>
          <w:rFonts w:ascii="Arial" w:cs="Arial" w:eastAsia="Arial" w:hAnsi="Arial"/>
          <w:sz w:val="17"/>
          <w:szCs w:val="17"/>
          <w:color w:val="auto"/>
        </w:rPr>
      </w:pPr>
      <w:r>
        <w:rPr>
          <w:rFonts w:ascii="Arial" w:cs="Arial" w:eastAsia="Arial" w:hAnsi="Arial"/>
          <w:sz w:val="17"/>
          <w:szCs w:val="17"/>
          <w:u w:val="single" w:color="auto"/>
          <w:color w:val="auto"/>
        </w:rPr>
        <w:t>Requirements for Reimbursement</w:t>
      </w:r>
      <w:r>
        <w:rPr>
          <w:rFonts w:ascii="Arial" w:cs="Arial" w:eastAsia="Arial" w:hAnsi="Arial"/>
          <w:sz w:val="17"/>
          <w:szCs w:val="17"/>
          <w:color w:val="auto"/>
        </w:rPr>
        <w:t>. The Company shall reimburse the Executive’s legal fees and expenses pursuant to subsection (a) above only to the extent the arbitrator or court determines the following: (i) the Executive disputed such issue, or sought to obtain or enforce such benefit or right, in good faith, (ii) the Executive had a reasonable basis for such claim, and (iii) in the case of subsection (a)(1) above, the Executive is the prevailing party. In addition, the Company shall reimburse such legal fees and expenses, only if such legal fees and expenses are incurred during the twenty (20) year period beginning on the date of the Executive’s Separation from Service. The legal fees and expenses paid to the Executive for any taxable year of the Executive shall not affect the legal fees and expenses paid to the Executi ve for any other taxable year of the Executive. The legal fees and expenses shall be paid to the Executive on or before the last day of the Executive’s taxable year following the taxable year in which the fees or expenses are incurred. The Executive’s right to reimbursement of legal fees and expenses shall not be subject to liquidation or exchange for any other benefit. Such right to reimbursement of legal fees and expenses shall be provided in a manner that complies with Treasury Regulation Section 1.409A-3(i)(1)(iv). If the Executive is a Specified Employee on the date of the Executive’s Separation from Service, such right to reimbursement of legal fees and expenses shall be paid as provided in Section 10 hereof.</w:t>
      </w:r>
    </w:p>
    <w:p>
      <w:pPr>
        <w:spacing w:after="0" w:line="131" w:lineRule="exact"/>
        <w:rPr>
          <w:sz w:val="20"/>
          <w:szCs w:val="20"/>
          <w:color w:val="auto"/>
        </w:rPr>
      </w:pPr>
    </w:p>
    <w:p>
      <w:pPr>
        <w:ind w:left="1144"/>
        <w:spacing w:after="0"/>
        <w:tabs>
          <w:tab w:leader="none" w:pos="2284" w:val="left"/>
        </w:tabs>
        <w:rPr>
          <w:sz w:val="20"/>
          <w:szCs w:val="20"/>
          <w:color w:val="auto"/>
        </w:rPr>
      </w:pPr>
      <w:r>
        <w:rPr>
          <w:rFonts w:ascii="Arial" w:cs="Arial" w:eastAsia="Arial" w:hAnsi="Arial"/>
          <w:sz w:val="19"/>
          <w:szCs w:val="19"/>
          <w:b w:val="1"/>
          <w:bCs w:val="1"/>
          <w:color w:val="auto"/>
        </w:rPr>
        <w:t>Section 16.</w:t>
      </w:r>
      <w:r>
        <w:rPr>
          <w:sz w:val="20"/>
          <w:szCs w:val="20"/>
          <w:color w:val="auto"/>
        </w:rPr>
        <w:tab/>
      </w:r>
      <w:r>
        <w:rPr>
          <w:rFonts w:ascii="Arial" w:cs="Arial" w:eastAsia="Arial" w:hAnsi="Arial"/>
          <w:sz w:val="16"/>
          <w:szCs w:val="16"/>
          <w:u w:val="single" w:color="auto"/>
          <w:color w:val="auto"/>
        </w:rPr>
        <w:t>Successors</w:t>
      </w:r>
      <w:r>
        <w:rPr>
          <w:rFonts w:ascii="Arial" w:cs="Arial" w:eastAsia="Arial" w:hAnsi="Arial"/>
          <w:sz w:val="16"/>
          <w:szCs w:val="16"/>
          <w:color w:val="auto"/>
        </w:rPr>
        <w:t>.</w:t>
      </w:r>
    </w:p>
    <w:p>
      <w:pPr>
        <w:spacing w:after="0" w:line="178" w:lineRule="exact"/>
        <w:rPr>
          <w:sz w:val="20"/>
          <w:szCs w:val="20"/>
          <w:color w:val="auto"/>
        </w:rPr>
      </w:pPr>
    </w:p>
    <w:p>
      <w:pPr>
        <w:ind w:left="4" w:right="100" w:firstLine="1149"/>
        <w:spacing w:after="0" w:line="252" w:lineRule="auto"/>
        <w:tabs>
          <w:tab w:leader="none" w:pos="1734" w:val="left"/>
        </w:tabs>
        <w:numPr>
          <w:ilvl w:val="1"/>
          <w:numId w:val="94"/>
        </w:numPr>
        <w:rPr>
          <w:rFonts w:ascii="Arial" w:cs="Arial" w:eastAsia="Arial" w:hAnsi="Arial"/>
          <w:sz w:val="19"/>
          <w:szCs w:val="19"/>
          <w:color w:val="auto"/>
        </w:rPr>
      </w:pPr>
      <w:r>
        <w:rPr>
          <w:rFonts w:ascii="Arial" w:cs="Arial" w:eastAsia="Arial" w:hAnsi="Arial"/>
          <w:sz w:val="19"/>
          <w:szCs w:val="19"/>
          <w:u w:val="single" w:color="auto"/>
          <w:color w:val="auto"/>
        </w:rPr>
        <w:t>Assignment by the Executive</w:t>
      </w:r>
      <w:r>
        <w:rPr>
          <w:rFonts w:ascii="Arial" w:cs="Arial" w:eastAsia="Arial" w:hAnsi="Arial"/>
          <w:sz w:val="19"/>
          <w:szCs w:val="19"/>
          <w:color w:val="auto"/>
        </w:rPr>
        <w:t>. This Agreement is personal to the Executive and without the prior written consent of Sempra Energy shall not be assignable by the Executive otherwise than by will or the laws of descent and distribution. This Agreement shall inure to the benefit of and be enforceable by the Executive’s legal representatives.</w:t>
      </w:r>
    </w:p>
    <w:p>
      <w:pPr>
        <w:spacing w:after="0" w:line="152" w:lineRule="exact"/>
        <w:rPr>
          <w:rFonts w:ascii="Arial" w:cs="Arial" w:eastAsia="Arial" w:hAnsi="Arial"/>
          <w:sz w:val="19"/>
          <w:szCs w:val="19"/>
          <w:color w:val="auto"/>
        </w:rPr>
      </w:pPr>
    </w:p>
    <w:p>
      <w:pPr>
        <w:jc w:val="both"/>
        <w:ind w:left="4" w:firstLine="1149"/>
        <w:spacing w:after="0" w:line="275" w:lineRule="auto"/>
        <w:tabs>
          <w:tab w:leader="none" w:pos="1734" w:val="left"/>
        </w:tabs>
        <w:numPr>
          <w:ilvl w:val="1"/>
          <w:numId w:val="94"/>
        </w:numPr>
        <w:rPr>
          <w:rFonts w:ascii="Arial" w:cs="Arial" w:eastAsia="Arial" w:hAnsi="Arial"/>
          <w:sz w:val="17"/>
          <w:szCs w:val="17"/>
          <w:color w:val="auto"/>
        </w:rPr>
      </w:pPr>
      <w:r>
        <w:rPr>
          <w:rFonts w:ascii="Arial" w:cs="Arial" w:eastAsia="Arial" w:hAnsi="Arial"/>
          <w:sz w:val="17"/>
          <w:szCs w:val="17"/>
          <w:u w:val="single" w:color="auto"/>
          <w:color w:val="auto"/>
        </w:rPr>
        <w:t>Successors and Assigns of Sempra Energy</w:t>
      </w:r>
      <w:r>
        <w:rPr>
          <w:rFonts w:ascii="Arial" w:cs="Arial" w:eastAsia="Arial" w:hAnsi="Arial"/>
          <w:sz w:val="17"/>
          <w:szCs w:val="17"/>
          <w:color w:val="auto"/>
        </w:rPr>
        <w:t>. This Agreement shall inure to the benefit of and be binding upon Sempra Energy, its successors and assigns. Sempra Energy may not assign this Agreement to any person or entity (except for a successor described in Section 16(c),</w:t>
      </w:r>
    </w:p>
    <w:p>
      <w:pPr>
        <w:ind w:left="264" w:hanging="264"/>
        <w:spacing w:after="0"/>
        <w:tabs>
          <w:tab w:leader="none" w:pos="264" w:val="left"/>
        </w:tabs>
        <w:numPr>
          <w:ilvl w:val="0"/>
          <w:numId w:val="95"/>
        </w:numPr>
        <w:rPr>
          <w:rFonts w:ascii="Arial" w:cs="Arial" w:eastAsia="Arial" w:hAnsi="Arial"/>
          <w:sz w:val="19"/>
          <w:szCs w:val="19"/>
          <w:color w:val="auto"/>
        </w:rPr>
      </w:pPr>
      <w:r>
        <w:rPr>
          <w:rFonts w:ascii="Arial" w:cs="Arial" w:eastAsia="Arial" w:hAnsi="Arial"/>
          <w:sz w:val="19"/>
          <w:szCs w:val="19"/>
          <w:color w:val="auto"/>
        </w:rPr>
        <w:t>or (e) below) without the Executive’s written consent.</w:t>
      </w:r>
    </w:p>
    <w:p>
      <w:pPr>
        <w:spacing w:after="0" w:line="161" w:lineRule="exact"/>
        <w:rPr>
          <w:rFonts w:ascii="Arial" w:cs="Arial" w:eastAsia="Arial" w:hAnsi="Arial"/>
          <w:sz w:val="19"/>
          <w:szCs w:val="19"/>
          <w:color w:val="auto"/>
        </w:rPr>
      </w:pPr>
    </w:p>
    <w:p>
      <w:pPr>
        <w:ind w:left="4" w:right="80" w:firstLine="1149"/>
        <w:spacing w:after="0" w:line="243" w:lineRule="auto"/>
        <w:tabs>
          <w:tab w:leader="none" w:pos="1734" w:val="left"/>
        </w:tabs>
        <w:numPr>
          <w:ilvl w:val="1"/>
          <w:numId w:val="95"/>
        </w:numPr>
        <w:rPr>
          <w:rFonts w:ascii="Arial" w:cs="Arial" w:eastAsia="Arial" w:hAnsi="Arial"/>
          <w:sz w:val="19"/>
          <w:szCs w:val="19"/>
          <w:color w:val="auto"/>
        </w:rPr>
      </w:pPr>
      <w:r>
        <w:rPr>
          <w:rFonts w:ascii="Arial" w:cs="Arial" w:eastAsia="Arial" w:hAnsi="Arial"/>
          <w:sz w:val="19"/>
          <w:szCs w:val="19"/>
          <w:u w:val="single" w:color="auto"/>
          <w:color w:val="auto"/>
        </w:rPr>
        <w:t>Assumption</w:t>
      </w:r>
      <w:r>
        <w:rPr>
          <w:rFonts w:ascii="Arial" w:cs="Arial" w:eastAsia="Arial" w:hAnsi="Arial"/>
          <w:sz w:val="19"/>
          <w:szCs w:val="19"/>
          <w:color w:val="auto"/>
        </w:rPr>
        <w:t>. Sempra Energy shall require any successor (whether direct or indirect, by purchase, merger, consolidation or otherwise) to all or substantially all of the business and/or assets of Sempra Energy to assume expressly and agree to perform the obligations and satisfy and discharge the liabilities of this Agreement in the same manner and to the same extent that Sempra Energy would have been required to perform the obligations and satisfy and discharge the liabilities under this Agreement if no such succession had taken place, and Sempra Energy shall have no further obligations and liabilities under this Agreement. Upon such assumption, references to Sempra Energy in this Agreement shall be replaced with references to such successor.</w:t>
      </w:r>
    </w:p>
    <w:p>
      <w:pPr>
        <w:spacing w:after="0" w:line="150" w:lineRule="exact"/>
        <w:rPr>
          <w:rFonts w:ascii="Arial" w:cs="Arial" w:eastAsia="Arial" w:hAnsi="Arial"/>
          <w:sz w:val="19"/>
          <w:szCs w:val="19"/>
          <w:color w:val="auto"/>
        </w:rPr>
      </w:pPr>
    </w:p>
    <w:p>
      <w:pPr>
        <w:ind w:left="4" w:right="80" w:firstLine="1149"/>
        <w:spacing w:after="0" w:line="274" w:lineRule="auto"/>
        <w:tabs>
          <w:tab w:leader="none" w:pos="1734" w:val="left"/>
        </w:tabs>
        <w:numPr>
          <w:ilvl w:val="1"/>
          <w:numId w:val="95"/>
        </w:numPr>
        <w:rPr>
          <w:rFonts w:ascii="Arial" w:cs="Arial" w:eastAsia="Arial" w:hAnsi="Arial"/>
          <w:sz w:val="17"/>
          <w:szCs w:val="17"/>
          <w:color w:val="auto"/>
        </w:rPr>
      </w:pPr>
      <w:r>
        <w:rPr>
          <w:rFonts w:ascii="Arial" w:cs="Arial" w:eastAsia="Arial" w:hAnsi="Arial"/>
          <w:sz w:val="17"/>
          <w:szCs w:val="17"/>
          <w:u w:val="single" w:color="auto"/>
          <w:color w:val="auto"/>
        </w:rPr>
        <w:t>Sale of Subsidiary</w:t>
      </w:r>
      <w:r>
        <w:rPr>
          <w:rFonts w:ascii="Arial" w:cs="Arial" w:eastAsia="Arial" w:hAnsi="Arial"/>
          <w:sz w:val="17"/>
          <w:szCs w:val="17"/>
          <w:color w:val="auto"/>
        </w:rPr>
        <w:t>. In the event that (i) the Executive is employed by a direct or indirect subsidiary of Sempra Energy that is a member of the Sempra Energy Control Group, (ii) Sempra Energy, directly or indirectly through one or more intermediaries, sells or otherwise disposes of such subsidiary, and (iii) such subsidiary ceases to be a member of the Sempra Energy Control Group, then if, on the date such subsidiary ceases to be a member of the Sempra Energy Control Group, the Executive continues in employment with such subsidiary and the Executive does not have a Separation from Service, Sempra Energy shall require such subsidiary or any successor (whether direct or indirect, by purchase merger, consolidation or otherwise) to such subsidiary, or the parent thereof, to assume expressly and agree to perform the obligations and satisfy and discharge the liabilities under this Agreement in the sa me manner and to the same extent that Sempra Energy would have been required to perform the obligations and satisfy and discharge the liabilities under this Agreement, if such subsidiary had not ceased to be part of the Sempra</w:t>
      </w:r>
    </w:p>
    <w:p>
      <w:pPr>
        <w:sectPr>
          <w:pgSz w:w="11900" w:h="16838" w:orient="portrait"/>
          <w:cols w:equalWidth="0" w:num="1">
            <w:col w:w="11424"/>
          </w:cols>
          <w:pgMar w:left="236" w:top="120" w:right="239" w:bottom="0" w:gutter="0" w:footer="0" w:header="0"/>
        </w:sectPr>
      </w:pPr>
    </w:p>
    <w:bookmarkStart w:id="87" w:name="page88"/>
    <w:bookmarkEnd w:id="87"/>
    <w:p>
      <w:pPr>
        <w:spacing w:after="0" w:line="265" w:lineRule="auto"/>
        <w:rPr>
          <w:sz w:val="20"/>
          <w:szCs w:val="20"/>
          <w:color w:val="auto"/>
        </w:rPr>
      </w:pPr>
      <w:r>
        <w:rPr>
          <w:rFonts w:ascii="Arial" w:cs="Arial" w:eastAsia="Arial" w:hAnsi="Arial"/>
          <w:sz w:val="18"/>
          <w:szCs w:val="18"/>
          <w:color w:val="auto"/>
        </w:rPr>
        <w:t>Energy Control Group, and, upon such assumption, Sempra Energy shall have no further obligations and liabilities under the Agreement. Upon such assumption, (i) references to Sempra Energy in this Agreement shall be replaced with references to such subsidiary, or such successor or parent thereof, assuming this Agreement, and (ii) subsection (b) of the definition of “Cause” and subsection (b) of the definition of “Good Reason” shall apply thereafter, as if a Change in Control had occurred on the date of such cessation.</w:t>
      </w:r>
    </w:p>
    <w:p>
      <w:pPr>
        <w:spacing w:after="0" w:line="132" w:lineRule="exact"/>
        <w:rPr>
          <w:sz w:val="20"/>
          <w:szCs w:val="20"/>
          <w:color w:val="auto"/>
        </w:rPr>
      </w:pPr>
    </w:p>
    <w:p>
      <w:pPr>
        <w:ind w:right="40" w:firstLine="1149"/>
        <w:spacing w:after="0" w:line="254" w:lineRule="auto"/>
        <w:tabs>
          <w:tab w:leader="none" w:pos="1730" w:val="left"/>
        </w:tabs>
        <w:numPr>
          <w:ilvl w:val="0"/>
          <w:numId w:val="96"/>
        </w:numPr>
        <w:rPr>
          <w:rFonts w:ascii="Arial" w:cs="Arial" w:eastAsia="Arial" w:hAnsi="Arial"/>
          <w:sz w:val="18"/>
          <w:szCs w:val="18"/>
          <w:color w:val="auto"/>
        </w:rPr>
      </w:pPr>
      <w:r>
        <w:rPr>
          <w:rFonts w:ascii="Arial" w:cs="Arial" w:eastAsia="Arial" w:hAnsi="Arial"/>
          <w:sz w:val="18"/>
          <w:szCs w:val="18"/>
          <w:u w:val="single" w:color="auto"/>
          <w:color w:val="auto"/>
        </w:rPr>
        <w:t>Sale of Assets of Subsidiary</w:t>
      </w:r>
      <w:r>
        <w:rPr>
          <w:rFonts w:ascii="Arial" w:cs="Arial" w:eastAsia="Arial" w:hAnsi="Arial"/>
          <w:sz w:val="18"/>
          <w:szCs w:val="18"/>
          <w:color w:val="auto"/>
        </w:rPr>
        <w:t>. In the event that (i) the Executive is employed by a direct or indirect subsidiary of Sempra Energy, and (ii) such subsidiary sells or otherwise disposes of substantial assets of such subsidiary to an unrelated service recipient, as determined under Treasury Regulation Section 1.409A-1(f)(2)(ii) (the “</w:t>
      </w:r>
      <w:r>
        <w:rPr>
          <w:rFonts w:ascii="Arial" w:cs="Arial" w:eastAsia="Arial" w:hAnsi="Arial"/>
          <w:sz w:val="18"/>
          <w:szCs w:val="18"/>
          <w:u w:val="single" w:color="auto"/>
          <w:color w:val="auto"/>
        </w:rPr>
        <w:t>Asset Purchaser</w:t>
      </w:r>
      <w:r>
        <w:rPr>
          <w:rFonts w:ascii="Arial" w:cs="Arial" w:eastAsia="Arial" w:hAnsi="Arial"/>
          <w:sz w:val="18"/>
          <w:szCs w:val="18"/>
          <w:color w:val="auto"/>
        </w:rPr>
        <w:t>”), in a transaction described in Treasury Regulation Section 1.409A-1(h)(4) (an “</w:t>
      </w:r>
      <w:r>
        <w:rPr>
          <w:rFonts w:ascii="Arial" w:cs="Arial" w:eastAsia="Arial" w:hAnsi="Arial"/>
          <w:sz w:val="18"/>
          <w:szCs w:val="18"/>
          <w:u w:val="single" w:color="auto"/>
          <w:color w:val="auto"/>
        </w:rPr>
        <w:t>Asset Sale</w:t>
      </w:r>
      <w:r>
        <w:rPr>
          <w:rFonts w:ascii="Arial" w:cs="Arial" w:eastAsia="Arial" w:hAnsi="Arial"/>
          <w:sz w:val="18"/>
          <w:szCs w:val="18"/>
          <w:color w:val="auto"/>
        </w:rPr>
        <w:t>”), then if, on the date of such Asset Sale, the Executive becomes employed by the Asset Purchaser, Sempra Energy and the Asset Purchaser shall specify, in accordance with Treasury Regulation Section 1.409A-1(h)(4), that the Executive shall not be treated as having a Separation from Service, and Sempra Energy shall require such Asset Purchaser, or the parent thereof, to assume expressly and agree to perform the obligations and sa tisfy and discharge the liabilities under this Agreement in the same manner and to the same extent that Sempra Energy would have been required to perform the obligations and satisfy and discharge the liabilities under this Agreement, if the Asset Sale had not taken place, and, upon such assumption, Sempra Energy shall have no further obligations and liabilities under the Agreement. Upon such assumption, (i) references to Sempra Energy in this Agreement shall be replaced with references to the Asset Purchaser or the parent thereof, as applicable, and (ii) subsection (b) of the definition of “Cause” and subsection (b) of the definition of “Good Reason” shall apply thereafter, as if a Change in Control had occurred on the date of the Asset Sale.</w:t>
      </w:r>
    </w:p>
    <w:p>
      <w:pPr>
        <w:spacing w:after="0" w:line="152" w:lineRule="exact"/>
        <w:rPr>
          <w:sz w:val="20"/>
          <w:szCs w:val="20"/>
          <w:color w:val="auto"/>
        </w:rPr>
      </w:pPr>
    </w:p>
    <w:p>
      <w:pPr>
        <w:ind w:firstLine="1153"/>
        <w:spacing w:after="0" w:line="258" w:lineRule="auto"/>
        <w:rPr>
          <w:sz w:val="20"/>
          <w:szCs w:val="20"/>
          <w:color w:val="auto"/>
        </w:rPr>
      </w:pPr>
      <w:r>
        <w:rPr>
          <w:rFonts w:ascii="Arial" w:cs="Arial" w:eastAsia="Arial" w:hAnsi="Arial"/>
          <w:sz w:val="18"/>
          <w:szCs w:val="18"/>
          <w:b w:val="1"/>
          <w:bCs w:val="1"/>
          <w:color w:val="auto"/>
        </w:rPr>
        <w:t xml:space="preserve">Section 17. </w:t>
      </w:r>
      <w:r>
        <w:rPr>
          <w:rFonts w:ascii="Arial" w:cs="Arial" w:eastAsia="Arial" w:hAnsi="Arial"/>
          <w:sz w:val="18"/>
          <w:szCs w:val="18"/>
          <w:u w:val="single" w:color="auto"/>
          <w:color w:val="auto"/>
        </w:rPr>
        <w:t>Administration Prior to Change in Control</w:t>
      </w:r>
      <w:r>
        <w:rPr>
          <w:rFonts w:ascii="Arial" w:cs="Arial" w:eastAsia="Arial" w:hAnsi="Arial"/>
          <w:sz w:val="18"/>
          <w:szCs w:val="18"/>
          <w:color w:val="auto"/>
        </w:rPr>
        <w:t>. Prior to a Change in Control, the Compensation Committee shall have full</w:t>
      </w:r>
      <w:r>
        <w:rPr>
          <w:rFonts w:ascii="Arial" w:cs="Arial" w:eastAsia="Arial" w:hAnsi="Arial"/>
          <w:sz w:val="18"/>
          <w:szCs w:val="18"/>
          <w:b w:val="1"/>
          <w:bCs w:val="1"/>
          <w:color w:val="auto"/>
        </w:rPr>
        <w:t xml:space="preserve"> </w:t>
      </w:r>
      <w:r>
        <w:rPr>
          <w:rFonts w:ascii="Arial" w:cs="Arial" w:eastAsia="Arial" w:hAnsi="Arial"/>
          <w:sz w:val="18"/>
          <w:szCs w:val="18"/>
          <w:color w:val="auto"/>
        </w:rPr>
        <w:t>and complete authority to construe and interpret the provisions of this Agreement, to determine an individual’s entitlement to benefits under this Agreement, to make in its sole and absolute discretion all determinations contemplated under this Agreement, to investigate and make factual determinations necessary or advisable to administer or implement this Agreement, and to adopt such rules and procedures as it deems necessary or advisable for the administration or implementation of this Agreement. All determinations made under this Agreement by the Compensation Committee shall be final and binding on all interested persons. Prior to a Change in Control, the Compensation Committee may delegate responsibilities for the operation and administration of this Agreement to one or more officers or employees of the Company. The provisions of this Section 17 shall terminate and be of no further force and effect upon the occurrence of a Change in Control.</w:t>
      </w:r>
    </w:p>
    <w:p>
      <w:pPr>
        <w:spacing w:after="0" w:line="136" w:lineRule="exact"/>
        <w:rPr>
          <w:sz w:val="20"/>
          <w:szCs w:val="20"/>
          <w:color w:val="auto"/>
        </w:rPr>
      </w:pPr>
    </w:p>
    <w:p>
      <w:pPr>
        <w:ind w:left="1140"/>
        <w:spacing w:after="0"/>
        <w:tabs>
          <w:tab w:leader="none" w:pos="2280" w:val="left"/>
        </w:tabs>
        <w:rPr>
          <w:sz w:val="20"/>
          <w:szCs w:val="20"/>
          <w:color w:val="auto"/>
        </w:rPr>
      </w:pPr>
      <w:r>
        <w:rPr>
          <w:rFonts w:ascii="Arial" w:cs="Arial" w:eastAsia="Arial" w:hAnsi="Arial"/>
          <w:sz w:val="19"/>
          <w:szCs w:val="19"/>
          <w:b w:val="1"/>
          <w:bCs w:val="1"/>
          <w:color w:val="auto"/>
        </w:rPr>
        <w:t>Section 18.</w:t>
      </w:r>
      <w:r>
        <w:rPr>
          <w:sz w:val="20"/>
          <w:szCs w:val="20"/>
          <w:color w:val="auto"/>
        </w:rPr>
        <w:tab/>
      </w:r>
      <w:r>
        <w:rPr>
          <w:rFonts w:ascii="Arial" w:cs="Arial" w:eastAsia="Arial" w:hAnsi="Arial"/>
          <w:sz w:val="17"/>
          <w:szCs w:val="17"/>
          <w:u w:val="single" w:color="auto"/>
          <w:color w:val="auto"/>
        </w:rPr>
        <w:t>Section 409A of the Code.</w:t>
      </w:r>
    </w:p>
    <w:p>
      <w:pPr>
        <w:spacing w:after="0" w:line="178" w:lineRule="exact"/>
        <w:rPr>
          <w:sz w:val="20"/>
          <w:szCs w:val="20"/>
          <w:color w:val="auto"/>
        </w:rPr>
      </w:pPr>
    </w:p>
    <w:p>
      <w:pPr>
        <w:ind w:firstLine="1149"/>
        <w:spacing w:after="0" w:line="268" w:lineRule="auto"/>
        <w:tabs>
          <w:tab w:leader="none" w:pos="1730" w:val="left"/>
        </w:tabs>
        <w:numPr>
          <w:ilvl w:val="0"/>
          <w:numId w:val="97"/>
        </w:numPr>
        <w:rPr>
          <w:rFonts w:ascii="Arial" w:cs="Arial" w:eastAsia="Arial" w:hAnsi="Arial"/>
          <w:sz w:val="17"/>
          <w:szCs w:val="17"/>
          <w:color w:val="auto"/>
        </w:rPr>
      </w:pPr>
      <w:r>
        <w:rPr>
          <w:rFonts w:ascii="Arial" w:cs="Arial" w:eastAsia="Arial" w:hAnsi="Arial"/>
          <w:sz w:val="17"/>
          <w:szCs w:val="17"/>
          <w:u w:val="single" w:color="auto"/>
          <w:color w:val="auto"/>
        </w:rPr>
        <w:t>Compliance with and Exemption from Section 409A of the Code</w:t>
      </w:r>
      <w:r>
        <w:rPr>
          <w:rFonts w:ascii="Arial" w:cs="Arial" w:eastAsia="Arial" w:hAnsi="Arial"/>
          <w:sz w:val="17"/>
          <w:szCs w:val="17"/>
          <w:color w:val="auto"/>
        </w:rPr>
        <w:t>. Certain payments and benefits payable under this Agreement (including, without limitation, the Section 409A Payments) are intended to comply with the requirements of Section 409A of the Code. Certain payments and benefits payable under this Agreement are intended to be exempt from the requirements of Section 409A of the Code. This Agreement shall be interpreted in accordance with the applicable requirements of, and exemptions from, Section 409A of the Code and the Treasury Regulations thereunder. To the extent the payments and benefits under this Agreement are subject to Section 409A of the Code, this Agreement shall be interpreted, construed and administered in a manner that satisfies the requirements of Sections 409A(a)(2), (3) and (4) of the Code and the Treasury Regulations thereunder (subject to the transitional relief under Internal Revenue Service Notice 2005-1, the Proposed Regulations under Section 409A of the Code, Internal Revenue Service Notice 2006-79, Internal Revenue Service Notice 2007-78, Internal Revenue Service Notice 2007-86 and other applicable authority issued by the Internal Revenue Service). As provided in Internal Revenue Notice 2007-86, notwithstanding any other provision of this Agreement, with respect to an election or amendment to change a time or form of payment under this Agreement made on or after January 1, 2008 and on or before December 31, 2008, the election or amendment shall apply only with respect to payments that would not otherwise be payable in 2008, and shall not cause payments to be made in 2008 that would not otherwise be payable in 2008. If the Company and the Executive determine that any compensation, benefits or other payments that are payable under this Agreement and intended to comply with Sections 409A(a)(2), (3) and (4) of the Code do not comply with S ection 409A of the Code, the Treasury Regulations thereunder and other applicable authority issued by the Internal Revenue Service, to the extent permitted under Section 409A of the Code, the Treasury Regulations thereunder and any applicable authority issued by the Internal Revenue Service, the Company and the Executive agree to amend this Agreement, or take such other actions as the Company and the Executive deem reasonably necessary or appropriate, to cause such compensation, benefits and other payments to comply with the requirements of Section 409A of the Code, the Treasury Regulations thereunder and other applicable authority issued by the Internal Revenue Service, while providing compensation, benefits and other payments that are, in the aggregate, no less favorable than the compensation, benefits and other payments provided under this Agreement. In the case of any compensation, benefits or other payments that are payable under this Agreement and intended to comply with Sections 409A (a)(2), (3) and (4) of the Code, if any provision of the Agreement would cause such compensation, benefits or other payments to fail to so comply, such provision shall not be effective and shall be null and void with respect to such compensation, benefits or other payments to the extent such provision would cause a failure to comply, and such provision shall otherwise remain in full force and effect.</w:t>
      </w:r>
    </w:p>
    <w:p>
      <w:pPr>
        <w:spacing w:after="0" w:line="361" w:lineRule="exact"/>
        <w:rPr>
          <w:rFonts w:ascii="Arial" w:cs="Arial" w:eastAsia="Arial" w:hAnsi="Arial"/>
          <w:sz w:val="17"/>
          <w:szCs w:val="17"/>
          <w:color w:val="auto"/>
        </w:rPr>
      </w:pPr>
    </w:p>
    <w:p>
      <w:pPr>
        <w:ind w:firstLine="1149"/>
        <w:spacing w:after="0" w:line="241" w:lineRule="auto"/>
        <w:tabs>
          <w:tab w:leader="none" w:pos="1730" w:val="left"/>
        </w:tabs>
        <w:numPr>
          <w:ilvl w:val="0"/>
          <w:numId w:val="97"/>
        </w:numPr>
        <w:rPr>
          <w:rFonts w:ascii="Arial" w:cs="Arial" w:eastAsia="Arial" w:hAnsi="Arial"/>
          <w:sz w:val="19"/>
          <w:szCs w:val="19"/>
          <w:color w:val="auto"/>
        </w:rPr>
      </w:pPr>
      <w:r>
        <w:rPr>
          <w:rFonts w:ascii="Arial" w:cs="Arial" w:eastAsia="Arial" w:hAnsi="Arial"/>
          <w:sz w:val="19"/>
          <w:szCs w:val="19"/>
          <w:u w:val="single" w:color="auto"/>
          <w:color w:val="auto"/>
        </w:rPr>
        <w:t>Deferral Elections</w:t>
      </w:r>
      <w:r>
        <w:rPr>
          <w:rFonts w:ascii="Arial" w:cs="Arial" w:eastAsia="Arial" w:hAnsi="Arial"/>
          <w:sz w:val="19"/>
          <w:szCs w:val="19"/>
          <w:color w:val="auto"/>
        </w:rPr>
        <w:t>. As provided in Sections 5(f), 6(h) and 14(d), the Executive may elect to defer the Pre-Change in Control Severance Payment, the Post-Change in Control Severance Payment and the Consulting Payment as follows. The Executive’s deferral election shall satisfy the requirements of Treasury Regulation Section 1.409A-2(b) and the terms and conditions of the Deferred Compensation Plan. Such deferral election shall designate the whole percentage (up to a maximum of 100%) of the Pre-Change in Control Severance Payment, the Post-Change in Control Severance Payment and the Consulting Payment to be deferred, shall be irrevocable when made, and shall not take effect until at least twelve (12) months after the date on which the election is made. Such deferral election shall provide that the amount deferred shall be deferred for a period of not less than five (5) years from the date the payment of the amount deferred would otherwise have been made, in accordance with Treasury Regulation Section 1.409A-2(b)(1)(ii).</w:t>
      </w:r>
    </w:p>
    <w:p>
      <w:pPr>
        <w:spacing w:after="0" w:line="155" w:lineRule="exact"/>
        <w:rPr>
          <w:sz w:val="20"/>
          <w:szCs w:val="20"/>
          <w:color w:val="auto"/>
        </w:rPr>
      </w:pPr>
    </w:p>
    <w:p>
      <w:pPr>
        <w:ind w:left="1140"/>
        <w:spacing w:after="0"/>
        <w:tabs>
          <w:tab w:leader="none" w:pos="2280" w:val="left"/>
        </w:tabs>
        <w:rPr>
          <w:sz w:val="20"/>
          <w:szCs w:val="20"/>
          <w:color w:val="auto"/>
        </w:rPr>
      </w:pPr>
      <w:r>
        <w:rPr>
          <w:rFonts w:ascii="Arial" w:cs="Arial" w:eastAsia="Arial" w:hAnsi="Arial"/>
          <w:sz w:val="19"/>
          <w:szCs w:val="19"/>
          <w:b w:val="1"/>
          <w:bCs w:val="1"/>
          <w:color w:val="auto"/>
        </w:rPr>
        <w:t>Section 19.</w:t>
      </w:r>
      <w:r>
        <w:rPr>
          <w:sz w:val="20"/>
          <w:szCs w:val="20"/>
          <w:color w:val="auto"/>
        </w:rPr>
        <w:tab/>
      </w:r>
      <w:r>
        <w:rPr>
          <w:rFonts w:ascii="Arial" w:cs="Arial" w:eastAsia="Arial" w:hAnsi="Arial"/>
          <w:sz w:val="17"/>
          <w:szCs w:val="17"/>
          <w:u w:val="single" w:color="auto"/>
          <w:color w:val="auto"/>
        </w:rPr>
        <w:t>Miscellaneous</w:t>
      </w:r>
      <w:r>
        <w:rPr>
          <w:rFonts w:ascii="Arial" w:cs="Arial" w:eastAsia="Arial" w:hAnsi="Arial"/>
          <w:sz w:val="17"/>
          <w:szCs w:val="17"/>
          <w:color w:val="auto"/>
        </w:rPr>
        <w:t>.</w:t>
      </w:r>
    </w:p>
    <w:p>
      <w:pPr>
        <w:spacing w:after="0" w:line="178" w:lineRule="exact"/>
        <w:rPr>
          <w:sz w:val="20"/>
          <w:szCs w:val="20"/>
          <w:color w:val="auto"/>
        </w:rPr>
      </w:pPr>
    </w:p>
    <w:p>
      <w:pPr>
        <w:ind w:right="140" w:firstLine="1149"/>
        <w:spacing w:after="0" w:line="259" w:lineRule="auto"/>
        <w:tabs>
          <w:tab w:leader="none" w:pos="1730" w:val="left"/>
        </w:tabs>
        <w:numPr>
          <w:ilvl w:val="0"/>
          <w:numId w:val="98"/>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shall be governed by and construed in accordance with the laws of the State of California, without reference to its principles of conflict of laws. The captions of this Agreement are not part of the provisions hereof and shall have no force or effect. This Agreement may not be amended, modified, repealed, waived, extended or discharged except by an agreement in writing signed by the party against whom enforcement of such amendment, modification, repeal, waiver, extension or discharge is sought. No person, other than pursuant to a resolution of the Board or a committee thereof, shall have authority on behalf of the Company to agree to amend, modify, repeal, waive, extend or discharge any provision of this Agreement or anything in reference thereto.</w:t>
      </w:r>
    </w:p>
    <w:p>
      <w:pPr>
        <w:spacing w:after="0" w:line="149" w:lineRule="exact"/>
        <w:rPr>
          <w:rFonts w:ascii="Arial" w:cs="Arial" w:eastAsia="Arial" w:hAnsi="Arial"/>
          <w:sz w:val="18"/>
          <w:szCs w:val="18"/>
          <w:color w:val="auto"/>
        </w:rPr>
      </w:pPr>
    </w:p>
    <w:p>
      <w:pPr>
        <w:ind w:right="20" w:firstLine="1149"/>
        <w:spacing w:after="0" w:line="247" w:lineRule="auto"/>
        <w:tabs>
          <w:tab w:leader="none" w:pos="1730" w:val="left"/>
        </w:tabs>
        <w:numPr>
          <w:ilvl w:val="0"/>
          <w:numId w:val="98"/>
        </w:numPr>
        <w:rPr>
          <w:rFonts w:ascii="Arial" w:cs="Arial" w:eastAsia="Arial" w:hAnsi="Arial"/>
          <w:sz w:val="19"/>
          <w:szCs w:val="19"/>
          <w:color w:val="auto"/>
        </w:rPr>
      </w:pPr>
      <w:r>
        <w:rPr>
          <w:rFonts w:ascii="Arial" w:cs="Arial" w:eastAsia="Arial" w:hAnsi="Arial"/>
          <w:sz w:val="19"/>
          <w:szCs w:val="19"/>
          <w:u w:val="single" w:color="auto"/>
          <w:color w:val="auto"/>
        </w:rPr>
        <w:t>Notices</w:t>
      </w:r>
      <w:r>
        <w:rPr>
          <w:rFonts w:ascii="Arial" w:cs="Arial" w:eastAsia="Arial" w:hAnsi="Arial"/>
          <w:sz w:val="19"/>
          <w:szCs w:val="19"/>
          <w:color w:val="auto"/>
        </w:rPr>
        <w:t>. All notices and other communications hereunder shall be in writing and shall be given by hand delivery to the other party or by registered or certified mail, return receipt requested, postage prepaid, addressed, in either case, to the Company’s headquarters or to such other address as either party shall have furnished to the other in writing in accordance herewith. Notices and communications shall be effective when actually received by the addressee.</w:t>
      </w:r>
    </w:p>
    <w:p>
      <w:pPr>
        <w:sectPr>
          <w:pgSz w:w="11900" w:h="16838" w:orient="portrait"/>
          <w:cols w:equalWidth="0" w:num="1">
            <w:col w:w="11420"/>
          </w:cols>
          <w:pgMar w:left="240" w:top="120" w:right="239" w:bottom="0" w:gutter="0" w:footer="0" w:header="0"/>
        </w:sectPr>
      </w:pPr>
    </w:p>
    <w:bookmarkStart w:id="88" w:name="page89"/>
    <w:bookmarkEnd w:id="88"/>
    <w:p>
      <w:pPr>
        <w:ind w:right="960" w:firstLine="1149"/>
        <w:spacing w:after="0" w:line="267" w:lineRule="auto"/>
        <w:tabs>
          <w:tab w:leader="none" w:pos="1730" w:val="left"/>
        </w:tabs>
        <w:numPr>
          <w:ilvl w:val="0"/>
          <w:numId w:val="99"/>
        </w:numPr>
        <w:rPr>
          <w:rFonts w:ascii="Arial" w:cs="Arial" w:eastAsia="Arial" w:hAnsi="Arial"/>
          <w:sz w:val="19"/>
          <w:szCs w:val="19"/>
          <w:color w:val="auto"/>
        </w:rPr>
      </w:pPr>
      <w:r>
        <w:rPr>
          <w:rFonts w:ascii="Arial" w:cs="Arial" w:eastAsia="Arial" w:hAnsi="Arial"/>
          <w:sz w:val="19"/>
          <w:szCs w:val="19"/>
          <w:u w:val="single" w:color="auto"/>
          <w:color w:val="auto"/>
        </w:rPr>
        <w:t>Severability</w:t>
      </w:r>
      <w:r>
        <w:rPr>
          <w:rFonts w:ascii="Arial" w:cs="Arial" w:eastAsia="Arial" w:hAnsi="Arial"/>
          <w:sz w:val="19"/>
          <w:szCs w:val="19"/>
          <w:color w:val="auto"/>
        </w:rPr>
        <w:t>. The invalidity or unenforceability of any provision of this Agreement shall not affect the validity or enforceability of any other provision of this Agreement.</w:t>
      </w:r>
    </w:p>
    <w:p>
      <w:pPr>
        <w:spacing w:after="0" w:line="127" w:lineRule="exact"/>
        <w:rPr>
          <w:rFonts w:ascii="Arial" w:cs="Arial" w:eastAsia="Arial" w:hAnsi="Arial"/>
          <w:sz w:val="19"/>
          <w:szCs w:val="19"/>
          <w:color w:val="auto"/>
        </w:rPr>
      </w:pPr>
    </w:p>
    <w:p>
      <w:pPr>
        <w:ind w:right="380" w:firstLine="1149"/>
        <w:spacing w:after="0" w:line="266" w:lineRule="auto"/>
        <w:tabs>
          <w:tab w:leader="none" w:pos="1730" w:val="left"/>
        </w:tabs>
        <w:numPr>
          <w:ilvl w:val="0"/>
          <w:numId w:val="99"/>
        </w:numPr>
        <w:rPr>
          <w:rFonts w:ascii="Arial" w:cs="Arial" w:eastAsia="Arial" w:hAnsi="Arial"/>
          <w:sz w:val="19"/>
          <w:szCs w:val="19"/>
          <w:color w:val="auto"/>
        </w:rPr>
      </w:pPr>
      <w:r>
        <w:rPr>
          <w:rFonts w:ascii="Arial" w:cs="Arial" w:eastAsia="Arial" w:hAnsi="Arial"/>
          <w:sz w:val="19"/>
          <w:szCs w:val="19"/>
          <w:u w:val="single" w:color="auto"/>
          <w:color w:val="auto"/>
        </w:rPr>
        <w:t>Taxes</w:t>
      </w:r>
      <w:r>
        <w:rPr>
          <w:rFonts w:ascii="Arial" w:cs="Arial" w:eastAsia="Arial" w:hAnsi="Arial"/>
          <w:sz w:val="19"/>
          <w:szCs w:val="19"/>
          <w:color w:val="auto"/>
        </w:rPr>
        <w:t>. The Company may withhold from any amounts payable under this Agreement such federal, state or local taxes as shall be required to be withheld pursuant to any applicable law or regulation.</w:t>
      </w:r>
    </w:p>
    <w:p>
      <w:pPr>
        <w:spacing w:after="0" w:line="140" w:lineRule="exact"/>
        <w:rPr>
          <w:rFonts w:ascii="Arial" w:cs="Arial" w:eastAsia="Arial" w:hAnsi="Arial"/>
          <w:sz w:val="19"/>
          <w:szCs w:val="19"/>
          <w:color w:val="auto"/>
        </w:rPr>
      </w:pPr>
    </w:p>
    <w:p>
      <w:pPr>
        <w:ind w:firstLine="1149"/>
        <w:spacing w:after="0" w:line="244" w:lineRule="auto"/>
        <w:tabs>
          <w:tab w:leader="none" w:pos="1730" w:val="left"/>
        </w:tabs>
        <w:numPr>
          <w:ilvl w:val="0"/>
          <w:numId w:val="99"/>
        </w:numPr>
        <w:rPr>
          <w:rFonts w:ascii="Arial" w:cs="Arial" w:eastAsia="Arial" w:hAnsi="Arial"/>
          <w:sz w:val="19"/>
          <w:szCs w:val="19"/>
          <w:color w:val="auto"/>
        </w:rPr>
      </w:pPr>
      <w:r>
        <w:rPr>
          <w:rFonts w:ascii="Arial" w:cs="Arial" w:eastAsia="Arial" w:hAnsi="Arial"/>
          <w:sz w:val="19"/>
          <w:szCs w:val="19"/>
          <w:u w:val="single" w:color="auto"/>
          <w:color w:val="auto"/>
        </w:rPr>
        <w:t>No Waiver</w:t>
      </w:r>
      <w:r>
        <w:rPr>
          <w:rFonts w:ascii="Arial" w:cs="Arial" w:eastAsia="Arial" w:hAnsi="Arial"/>
          <w:sz w:val="19"/>
          <w:szCs w:val="19"/>
          <w:color w:val="auto"/>
        </w:rPr>
        <w:t>. The Executive’s or the Company’s failure to insist upon strict compliance with any provision hereof or any other provision of this Agreement or the failure to assert any right the Executive or the Company may have hereunder, including, without limitation, the right of the Executive to terminate employment for Good Reason pursuant to Section 1 hereof, or the right of the Company to terminate the Executive’s employment for Cause pursuant to Section 1 hereof shall not be deemed to be a waiver of such provision or right or any other provision or right of this Agreement.</w:t>
      </w:r>
    </w:p>
    <w:p>
      <w:pPr>
        <w:spacing w:after="0" w:line="150" w:lineRule="exact"/>
        <w:rPr>
          <w:rFonts w:ascii="Arial" w:cs="Arial" w:eastAsia="Arial" w:hAnsi="Arial"/>
          <w:sz w:val="19"/>
          <w:szCs w:val="19"/>
          <w:color w:val="auto"/>
        </w:rPr>
      </w:pPr>
    </w:p>
    <w:p>
      <w:pPr>
        <w:ind w:firstLine="1149"/>
        <w:spacing w:after="0" w:line="241" w:lineRule="auto"/>
        <w:tabs>
          <w:tab w:leader="none" w:pos="1730" w:val="left"/>
        </w:tabs>
        <w:numPr>
          <w:ilvl w:val="0"/>
          <w:numId w:val="99"/>
        </w:numPr>
        <w:rPr>
          <w:rFonts w:ascii="Arial" w:cs="Arial" w:eastAsia="Arial" w:hAnsi="Arial"/>
          <w:sz w:val="19"/>
          <w:szCs w:val="19"/>
          <w:color w:val="auto"/>
        </w:rPr>
      </w:pPr>
      <w:r>
        <w:rPr>
          <w:rFonts w:ascii="Arial" w:cs="Arial" w:eastAsia="Arial" w:hAnsi="Arial"/>
          <w:sz w:val="19"/>
          <w:szCs w:val="19"/>
          <w:u w:val="single" w:color="auto"/>
          <w:color w:val="auto"/>
        </w:rPr>
        <w:t>Entire Agreement; Exclusive Benefit; Supersession of Prior Agreement</w:t>
      </w:r>
      <w:r>
        <w:rPr>
          <w:rFonts w:ascii="Arial" w:cs="Arial" w:eastAsia="Arial" w:hAnsi="Arial"/>
          <w:sz w:val="19"/>
          <w:szCs w:val="19"/>
          <w:color w:val="auto"/>
        </w:rPr>
        <w:t>. This instrument contains the entire agreement of the Executive, the Company or any predecessor or subsidiary thereof with respect to any severance or termination pay. The Pre-Change in Control Severance Payment, the Post-Change in Control Severance Payment and all other benefits provided hereunder shall be in lieu of any other severance payments to which the Executive is entitled under any other severance plan or program or arrangement sponsored by the Company, as well as pursuant to any individual employment or severance agreement that was entered into by the Executive and the Company, and, upon the Effective Date of this Agreement, all such plans, programs, arrangements and agreements are hereby automatically superseded and terminated. This Agreement supersedes the Prior Agreement in its entire ty, effective as of the date hereof, and the Prior Agreement shall have no further force and effect.</w:t>
      </w:r>
    </w:p>
    <w:p>
      <w:pPr>
        <w:spacing w:after="0" w:line="154" w:lineRule="exact"/>
        <w:rPr>
          <w:rFonts w:ascii="Arial" w:cs="Arial" w:eastAsia="Arial" w:hAnsi="Arial"/>
          <w:sz w:val="19"/>
          <w:szCs w:val="19"/>
          <w:color w:val="auto"/>
        </w:rPr>
      </w:pPr>
    </w:p>
    <w:p>
      <w:pPr>
        <w:ind w:right="100" w:firstLine="1149"/>
        <w:spacing w:after="0" w:line="252" w:lineRule="auto"/>
        <w:tabs>
          <w:tab w:leader="none" w:pos="1730" w:val="left"/>
        </w:tabs>
        <w:numPr>
          <w:ilvl w:val="0"/>
          <w:numId w:val="99"/>
        </w:numPr>
        <w:rPr>
          <w:rFonts w:ascii="Arial" w:cs="Arial" w:eastAsia="Arial" w:hAnsi="Arial"/>
          <w:sz w:val="19"/>
          <w:szCs w:val="19"/>
          <w:color w:val="auto"/>
        </w:rPr>
      </w:pPr>
      <w:r>
        <w:rPr>
          <w:rFonts w:ascii="Arial" w:cs="Arial" w:eastAsia="Arial" w:hAnsi="Arial"/>
          <w:sz w:val="19"/>
          <w:szCs w:val="19"/>
          <w:u w:val="single" w:color="auto"/>
          <w:color w:val="auto"/>
        </w:rPr>
        <w:t>No Right of Employment</w:t>
      </w:r>
      <w:r>
        <w:rPr>
          <w:rFonts w:ascii="Arial" w:cs="Arial" w:eastAsia="Arial" w:hAnsi="Arial"/>
          <w:sz w:val="19"/>
          <w:szCs w:val="19"/>
          <w:color w:val="auto"/>
        </w:rPr>
        <w:t>. Nothing in this Agreement shall be construed as giving the Executive any right to be retained in the employ of the Company or shall interfere in any way with the right of the Company to terminate the Executive’s employment at any time, with or without Cause.</w:t>
      </w:r>
    </w:p>
    <w:p>
      <w:pPr>
        <w:spacing w:after="0" w:line="152" w:lineRule="exact"/>
        <w:rPr>
          <w:rFonts w:ascii="Arial" w:cs="Arial" w:eastAsia="Arial" w:hAnsi="Arial"/>
          <w:sz w:val="19"/>
          <w:szCs w:val="19"/>
          <w:color w:val="auto"/>
        </w:rPr>
      </w:pPr>
    </w:p>
    <w:p>
      <w:pPr>
        <w:ind w:right="40" w:firstLine="1149"/>
        <w:spacing w:after="0" w:line="252" w:lineRule="auto"/>
        <w:tabs>
          <w:tab w:leader="none" w:pos="1730" w:val="left"/>
        </w:tabs>
        <w:numPr>
          <w:ilvl w:val="0"/>
          <w:numId w:val="99"/>
        </w:numPr>
        <w:rPr>
          <w:rFonts w:ascii="Arial" w:cs="Arial" w:eastAsia="Arial" w:hAnsi="Arial"/>
          <w:sz w:val="19"/>
          <w:szCs w:val="19"/>
          <w:color w:val="auto"/>
        </w:rPr>
      </w:pPr>
      <w:r>
        <w:rPr>
          <w:rFonts w:ascii="Arial" w:cs="Arial" w:eastAsia="Arial" w:hAnsi="Arial"/>
          <w:sz w:val="19"/>
          <w:szCs w:val="19"/>
          <w:u w:val="single" w:color="auto"/>
          <w:color w:val="auto"/>
        </w:rPr>
        <w:t>Unfunded Obligation</w:t>
      </w:r>
      <w:r>
        <w:rPr>
          <w:rFonts w:ascii="Arial" w:cs="Arial" w:eastAsia="Arial" w:hAnsi="Arial"/>
          <w:sz w:val="19"/>
          <w:szCs w:val="19"/>
          <w:color w:val="auto"/>
        </w:rPr>
        <w:t>. The obligations under this Agreement shall be unfunded. Benefits payable under this Agreement shall be paid from the general assets of the Company. The Company shall have no obligation to establish any fund or to set aside any assets to provide benefits under this Agreement.</w:t>
      </w:r>
    </w:p>
    <w:p>
      <w:pPr>
        <w:spacing w:after="0" w:line="140" w:lineRule="exact"/>
        <w:rPr>
          <w:rFonts w:ascii="Arial" w:cs="Arial" w:eastAsia="Arial" w:hAnsi="Arial"/>
          <w:sz w:val="19"/>
          <w:szCs w:val="19"/>
          <w:color w:val="auto"/>
        </w:rPr>
      </w:pPr>
    </w:p>
    <w:p>
      <w:pPr>
        <w:ind w:right="20" w:firstLine="1149"/>
        <w:spacing w:after="0" w:line="241" w:lineRule="auto"/>
        <w:tabs>
          <w:tab w:leader="none" w:pos="1730" w:val="left"/>
        </w:tabs>
        <w:numPr>
          <w:ilvl w:val="0"/>
          <w:numId w:val="99"/>
        </w:numPr>
        <w:rPr>
          <w:rFonts w:ascii="Arial" w:cs="Arial" w:eastAsia="Arial" w:hAnsi="Arial"/>
          <w:sz w:val="19"/>
          <w:szCs w:val="19"/>
          <w:color w:val="auto"/>
        </w:rPr>
      </w:pPr>
      <w:r>
        <w:rPr>
          <w:rFonts w:ascii="Arial" w:cs="Arial" w:eastAsia="Arial" w:hAnsi="Arial"/>
          <w:sz w:val="19"/>
          <w:szCs w:val="19"/>
          <w:u w:val="single" w:color="auto"/>
          <w:color w:val="auto"/>
        </w:rPr>
        <w:t>Termination upon Sale of Assets of Subsidiary</w:t>
      </w:r>
      <w:r>
        <w:rPr>
          <w:rFonts w:ascii="Arial" w:cs="Arial" w:eastAsia="Arial" w:hAnsi="Arial"/>
          <w:sz w:val="19"/>
          <w:szCs w:val="19"/>
          <w:color w:val="auto"/>
        </w:rPr>
        <w:t>. Notwithstanding anything contained herein, this Agreement shall automatically terminate and be of no further force and effect and no benefits shall be payable hereunder in the event that (i) the Executive is employed by a direct or indirect subsidiary of Sempra Energy, and (ii) an Asset Sale (as defined in Section 16(e)) occurs (other than such a sale or disposition which is part of a transaction or series of transactions which would result in a Change in Control), and (iii) as a result of such Asset Sale, the Executive is offered employment by the Asset Purchaser in an executive position with reasonably comparable status, compensation, benefits and severance agreement (including the assumption of this Agreement in accordance with Section 16(e)) and which is consistent with the Executive’s experience and education, but the Ex ecutive declines to accept such offer and the Executive fails to become employed by the Asset Purchaser on the date of the Asset Sale.</w:t>
      </w:r>
    </w:p>
    <w:p>
      <w:pPr>
        <w:spacing w:after="0" w:line="154" w:lineRule="exact"/>
        <w:rPr>
          <w:rFonts w:ascii="Arial" w:cs="Arial" w:eastAsia="Arial" w:hAnsi="Arial"/>
          <w:sz w:val="19"/>
          <w:szCs w:val="19"/>
          <w:color w:val="auto"/>
        </w:rPr>
      </w:pPr>
    </w:p>
    <w:p>
      <w:pPr>
        <w:ind w:firstLine="1149"/>
        <w:spacing w:after="0" w:line="275" w:lineRule="auto"/>
        <w:tabs>
          <w:tab w:leader="none" w:pos="1730" w:val="left"/>
        </w:tabs>
        <w:numPr>
          <w:ilvl w:val="0"/>
          <w:numId w:val="99"/>
        </w:numPr>
        <w:rPr>
          <w:rFonts w:ascii="Arial" w:cs="Arial" w:eastAsia="Arial" w:hAnsi="Arial"/>
          <w:sz w:val="17"/>
          <w:szCs w:val="17"/>
          <w:color w:val="auto"/>
        </w:rPr>
      </w:pPr>
      <w:r>
        <w:rPr>
          <w:rFonts w:ascii="Arial" w:cs="Arial" w:eastAsia="Arial" w:hAnsi="Arial"/>
          <w:sz w:val="17"/>
          <w:szCs w:val="17"/>
          <w:u w:val="single" w:color="auto"/>
          <w:color w:val="auto"/>
        </w:rPr>
        <w:t>Term</w:t>
      </w:r>
      <w:r>
        <w:rPr>
          <w:rFonts w:ascii="Arial" w:cs="Arial" w:eastAsia="Arial" w:hAnsi="Arial"/>
          <w:sz w:val="17"/>
          <w:szCs w:val="17"/>
          <w:color w:val="auto"/>
        </w:rPr>
        <w:t>. The term of this Agreement shall commence on the Effective Date and shall continue until the third (3rd) anniversary of the Effective Date; provided, however, that commencing on the second (2nd) anniversary of the Effective Date (and each anniversary of the Effective Date thereafter), the term of this Agreement shall automatically be extended for one (1) additional year, unless at least ninety (90) days prior to such date, the Company or the Executive shall give written notice to the other party that it or he, as the case may be, does not wish to so extend this Agreement. Notwithstanding the foregoing, if the Company gives such written notice to the Executive less than two (2) years after a Change in Control, the term of this Agreement shall be automatically extended until the later of (A) the date that is one (1) year after the anniversary of the Effective Date that fol lows such written notice or (B) the second (2nd) anniversary of the Change in Control Date.</w:t>
      </w:r>
    </w:p>
    <w:p>
      <w:pPr>
        <w:spacing w:after="0" w:line="137" w:lineRule="exact"/>
        <w:rPr>
          <w:rFonts w:ascii="Arial" w:cs="Arial" w:eastAsia="Arial" w:hAnsi="Arial"/>
          <w:sz w:val="17"/>
          <w:szCs w:val="17"/>
          <w:color w:val="auto"/>
        </w:rPr>
      </w:pPr>
    </w:p>
    <w:p>
      <w:pPr>
        <w:ind w:right="140" w:firstLine="1149"/>
        <w:spacing w:after="0" w:line="266" w:lineRule="auto"/>
        <w:tabs>
          <w:tab w:leader="none" w:pos="1730" w:val="left"/>
        </w:tabs>
        <w:numPr>
          <w:ilvl w:val="0"/>
          <w:numId w:val="99"/>
        </w:numPr>
        <w:rPr>
          <w:rFonts w:ascii="Arial" w:cs="Arial" w:eastAsia="Arial" w:hAnsi="Arial"/>
          <w:sz w:val="19"/>
          <w:szCs w:val="19"/>
          <w:color w:val="auto"/>
        </w:rPr>
      </w:pPr>
      <w:r>
        <w:rPr>
          <w:rFonts w:ascii="Arial" w:cs="Arial" w:eastAsia="Arial" w:hAnsi="Arial"/>
          <w:sz w:val="19"/>
          <w:szCs w:val="19"/>
          <w:u w:val="single" w:color="auto"/>
          <w:color w:val="auto"/>
        </w:rPr>
        <w:t>Counterparts</w:t>
      </w:r>
      <w:r>
        <w:rPr>
          <w:rFonts w:ascii="Arial" w:cs="Arial" w:eastAsia="Arial" w:hAnsi="Arial"/>
          <w:sz w:val="19"/>
          <w:szCs w:val="19"/>
          <w:color w:val="auto"/>
        </w:rPr>
        <w:t>. This Agreement may be executed in several counterparts, each of which shall be deemed to be an original but all of which together shall constitute one and the same instrument.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remainder of page intentionally left blank</w:t>
      </w:r>
      <w:r>
        <w:rPr>
          <w:rFonts w:ascii="Arial" w:cs="Arial" w:eastAsia="Arial" w:hAnsi="Arial"/>
          <w:sz w:val="19"/>
          <w:szCs w:val="19"/>
          <w:color w:val="auto"/>
        </w:rPr>
        <w:t>]</w:t>
      </w:r>
    </w:p>
    <w:p>
      <w:pPr>
        <w:sectPr>
          <w:pgSz w:w="11900" w:h="16838" w:orient="portrait"/>
          <w:cols w:equalWidth="0" w:num="1">
            <w:col w:w="11420"/>
          </w:cols>
          <w:pgMar w:left="240" w:top="120" w:right="239" w:bottom="1440" w:gutter="0" w:footer="0" w:header="0"/>
        </w:sectPr>
      </w:pPr>
    </w:p>
    <w:bookmarkStart w:id="89" w:name="page90"/>
    <w:bookmarkEnd w:id="89"/>
    <w:p>
      <w:pPr>
        <w:jc w:val="center"/>
        <w:spacing w:after="0" w:line="267" w:lineRule="auto"/>
        <w:rPr>
          <w:sz w:val="20"/>
          <w:szCs w:val="20"/>
          <w:color w:val="auto"/>
        </w:rPr>
      </w:pPr>
      <w:r>
        <w:rPr>
          <w:rFonts w:ascii="Arial" w:cs="Arial" w:eastAsia="Arial" w:hAnsi="Arial"/>
          <w:sz w:val="19"/>
          <w:szCs w:val="19"/>
          <w:color w:val="auto"/>
        </w:rPr>
        <w:t>IN WITNESS WHEREOF, the Executive and, pursuant to due authorization from its Board of Directors, the Company have caused this Agreement to be executed as of the day and year first above written.</w:t>
      </w:r>
    </w:p>
    <w:p>
      <w:pPr>
        <w:spacing w:after="0" w:line="139" w:lineRule="exact"/>
        <w:rPr>
          <w:sz w:val="20"/>
          <w:szCs w:val="20"/>
          <w:color w:val="auto"/>
        </w:rPr>
      </w:pPr>
    </w:p>
    <w:p>
      <w:pPr>
        <w:ind w:left="3420"/>
        <w:spacing w:after="0"/>
        <w:rPr>
          <w:sz w:val="20"/>
          <w:szCs w:val="20"/>
          <w:color w:val="auto"/>
        </w:rPr>
      </w:pPr>
      <w:r>
        <w:rPr>
          <w:rFonts w:ascii="Arial" w:cs="Arial" w:eastAsia="Arial" w:hAnsi="Arial"/>
          <w:sz w:val="19"/>
          <w:szCs w:val="19"/>
          <w:color w:val="auto"/>
        </w:rPr>
        <w:t>SEMPRA ENERGY</w:t>
      </w:r>
    </w:p>
    <w:p>
      <w:pPr>
        <w:spacing w:after="0" w:line="200" w:lineRule="exact"/>
        <w:rPr>
          <w:sz w:val="20"/>
          <w:szCs w:val="20"/>
          <w:color w:val="auto"/>
        </w:rPr>
      </w:pPr>
    </w:p>
    <w:p>
      <w:pPr>
        <w:spacing w:after="0" w:line="230" w:lineRule="exact"/>
        <w:rPr>
          <w:sz w:val="20"/>
          <w:szCs w:val="20"/>
          <w:color w:val="auto"/>
        </w:rPr>
      </w:pPr>
    </w:p>
    <w:p>
      <w:pPr>
        <w:ind w:left="3420"/>
        <w:spacing w:after="0"/>
        <w:rPr>
          <w:sz w:val="20"/>
          <w:szCs w:val="20"/>
          <w:color w:val="auto"/>
        </w:rPr>
      </w:pPr>
      <w:r>
        <w:rPr>
          <w:rFonts w:ascii="Arial" w:cs="Arial" w:eastAsia="Arial" w:hAnsi="Arial"/>
          <w:sz w:val="19"/>
          <w:szCs w:val="19"/>
          <w:color w:val="auto"/>
        </w:rPr>
        <w:t>G. Joyce Rowland</w:t>
      </w:r>
    </w:p>
    <w:p>
      <w:pPr>
        <w:spacing w:after="0" w:line="14" w:lineRule="exact"/>
        <w:rPr>
          <w:sz w:val="20"/>
          <w:szCs w:val="20"/>
          <w:color w:val="auto"/>
        </w:rPr>
      </w:pPr>
    </w:p>
    <w:p>
      <w:pPr>
        <w:ind w:left="3420"/>
        <w:spacing w:after="0"/>
        <w:rPr>
          <w:sz w:val="20"/>
          <w:szCs w:val="20"/>
          <w:color w:val="auto"/>
        </w:rPr>
      </w:pPr>
      <w:r>
        <w:rPr>
          <w:rFonts w:ascii="Arial" w:cs="Arial" w:eastAsia="Arial" w:hAnsi="Arial"/>
          <w:sz w:val="19"/>
          <w:szCs w:val="19"/>
          <w:color w:val="auto"/>
        </w:rPr>
        <w:t>Senior Vice President, Human Resources</w:t>
      </w:r>
    </w:p>
    <w:p>
      <w:pPr>
        <w:spacing w:after="0" w:line="174" w:lineRule="exact"/>
        <w:rPr>
          <w:sz w:val="20"/>
          <w:szCs w:val="20"/>
          <w:color w:val="auto"/>
        </w:rPr>
      </w:pPr>
    </w:p>
    <w:p>
      <w:pPr>
        <w:ind w:left="3420"/>
        <w:spacing w:after="0"/>
        <w:rPr>
          <w:sz w:val="20"/>
          <w:szCs w:val="20"/>
          <w:color w:val="auto"/>
        </w:rPr>
      </w:pPr>
      <w:r>
        <w:rPr>
          <w:rFonts w:ascii="Arial" w:cs="Arial" w:eastAsia="Arial" w:hAnsi="Arial"/>
          <w:sz w:val="19"/>
          <w:szCs w:val="19"/>
          <w:color w:val="auto"/>
        </w:rPr>
        <w:t>_____________________________________</w:t>
      </w:r>
    </w:p>
    <w:p>
      <w:pPr>
        <w:spacing w:after="0" w:line="14" w:lineRule="exact"/>
        <w:rPr>
          <w:sz w:val="20"/>
          <w:szCs w:val="20"/>
          <w:color w:val="auto"/>
        </w:rPr>
      </w:pPr>
    </w:p>
    <w:p>
      <w:pPr>
        <w:ind w:left="3420"/>
        <w:spacing w:after="0"/>
        <w:rPr>
          <w:sz w:val="20"/>
          <w:szCs w:val="20"/>
          <w:color w:val="auto"/>
        </w:rPr>
      </w:pPr>
      <w:r>
        <w:rPr>
          <w:rFonts w:ascii="Arial" w:cs="Arial" w:eastAsia="Arial" w:hAnsi="Arial"/>
          <w:sz w:val="19"/>
          <w:szCs w:val="19"/>
          <w:color w:val="auto"/>
        </w:rPr>
        <w:t>Date</w:t>
      </w:r>
    </w:p>
    <w:p>
      <w:pPr>
        <w:spacing w:after="0" w:line="174" w:lineRule="exact"/>
        <w:rPr>
          <w:sz w:val="20"/>
          <w:szCs w:val="20"/>
          <w:color w:val="auto"/>
        </w:rPr>
      </w:pPr>
    </w:p>
    <w:p>
      <w:pPr>
        <w:ind w:left="3420"/>
        <w:spacing w:after="0"/>
        <w:rPr>
          <w:sz w:val="20"/>
          <w:szCs w:val="20"/>
          <w:color w:val="auto"/>
        </w:rPr>
      </w:pPr>
      <w:r>
        <w:rPr>
          <w:rFonts w:ascii="Arial" w:cs="Arial" w:eastAsia="Arial" w:hAnsi="Arial"/>
          <w:sz w:val="19"/>
          <w:szCs w:val="19"/>
          <w:color w:val="auto"/>
        </w:rPr>
        <w:t>EXECUTIVE</w:t>
      </w:r>
    </w:p>
    <w:p>
      <w:pPr>
        <w:spacing w:after="0" w:line="200" w:lineRule="exact"/>
        <w:rPr>
          <w:sz w:val="20"/>
          <w:szCs w:val="20"/>
          <w:color w:val="auto"/>
        </w:rPr>
      </w:pPr>
    </w:p>
    <w:p>
      <w:pPr>
        <w:spacing w:after="0" w:line="374" w:lineRule="exact"/>
        <w:rPr>
          <w:sz w:val="20"/>
          <w:szCs w:val="20"/>
          <w:color w:val="auto"/>
        </w:rPr>
      </w:pPr>
    </w:p>
    <w:p>
      <w:pPr>
        <w:ind w:left="3420"/>
        <w:spacing w:after="0"/>
        <w:rPr>
          <w:sz w:val="20"/>
          <w:szCs w:val="20"/>
          <w:color w:val="auto"/>
        </w:rPr>
      </w:pPr>
      <w:r>
        <w:rPr>
          <w:rFonts w:ascii="Arial" w:cs="Arial" w:eastAsia="Arial" w:hAnsi="Arial"/>
          <w:sz w:val="19"/>
          <w:szCs w:val="19"/>
          <w:color w:val="auto"/>
        </w:rPr>
        <w:t>NAME</w:t>
      </w:r>
    </w:p>
    <w:p>
      <w:pPr>
        <w:spacing w:after="0" w:line="190" w:lineRule="exact"/>
        <w:rPr>
          <w:sz w:val="20"/>
          <w:szCs w:val="20"/>
          <w:color w:val="auto"/>
        </w:rPr>
      </w:pPr>
    </w:p>
    <w:p>
      <w:pPr>
        <w:ind w:left="3420"/>
        <w:spacing w:after="0"/>
        <w:rPr>
          <w:sz w:val="20"/>
          <w:szCs w:val="20"/>
          <w:color w:val="auto"/>
        </w:rPr>
      </w:pPr>
      <w:r>
        <w:rPr>
          <w:rFonts w:ascii="Arial" w:cs="Arial" w:eastAsia="Arial" w:hAnsi="Arial"/>
          <w:sz w:val="19"/>
          <w:szCs w:val="19"/>
          <w:color w:val="auto"/>
        </w:rPr>
        <w:t>_____________________________________</w:t>
      </w:r>
    </w:p>
    <w:p>
      <w:pPr>
        <w:spacing w:after="0" w:line="14" w:lineRule="exact"/>
        <w:rPr>
          <w:sz w:val="20"/>
          <w:szCs w:val="20"/>
          <w:color w:val="auto"/>
        </w:rPr>
      </w:pPr>
    </w:p>
    <w:p>
      <w:pPr>
        <w:ind w:left="3420"/>
        <w:spacing w:after="0"/>
        <w:rPr>
          <w:sz w:val="20"/>
          <w:szCs w:val="20"/>
          <w:color w:val="auto"/>
        </w:rPr>
      </w:pPr>
      <w:r>
        <w:rPr>
          <w:rFonts w:ascii="Arial" w:cs="Arial" w:eastAsia="Arial" w:hAnsi="Arial"/>
          <w:sz w:val="19"/>
          <w:szCs w:val="19"/>
          <w:color w:val="auto"/>
        </w:rPr>
        <w:t>Date</w:t>
      </w:r>
    </w:p>
    <w:p>
      <w:pPr>
        <w:sectPr>
          <w:pgSz w:w="11900" w:h="16838" w:orient="portrait"/>
          <w:cols w:equalWidth="0" w:num="1">
            <w:col w:w="11400"/>
          </w:cols>
          <w:pgMar w:left="280" w:top="120" w:right="219" w:bottom="1440" w:gutter="0" w:footer="0" w:header="0"/>
        </w:sectPr>
      </w:pPr>
    </w:p>
    <w:bookmarkStart w:id="90" w:name="page91"/>
    <w:bookmarkEnd w:id="90"/>
    <w:p>
      <w:pPr>
        <w:jc w:val="right"/>
        <w:spacing w:after="0"/>
        <w:rPr>
          <w:sz w:val="20"/>
          <w:szCs w:val="20"/>
          <w:color w:val="auto"/>
        </w:rPr>
      </w:pPr>
      <w:r>
        <w:rPr>
          <w:rFonts w:ascii="Arial" w:cs="Arial" w:eastAsia="Arial" w:hAnsi="Arial"/>
          <w:sz w:val="19"/>
          <w:szCs w:val="19"/>
          <w:u w:val="single" w:color="auto"/>
          <w:color w:val="auto"/>
        </w:rPr>
        <w:t>EXHIBIT A</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GENERAL RELEASE</w:t>
      </w:r>
    </w:p>
    <w:p>
      <w:pPr>
        <w:spacing w:after="0" w:line="196" w:lineRule="exact"/>
        <w:rPr>
          <w:sz w:val="20"/>
          <w:szCs w:val="20"/>
          <w:color w:val="auto"/>
        </w:rPr>
      </w:pPr>
    </w:p>
    <w:p>
      <w:pPr>
        <w:ind w:left="1140"/>
        <w:spacing w:after="0"/>
        <w:rPr>
          <w:sz w:val="20"/>
          <w:szCs w:val="20"/>
          <w:color w:val="auto"/>
        </w:rPr>
      </w:pPr>
      <w:r>
        <w:rPr>
          <w:rFonts w:ascii="Arial" w:cs="Arial" w:eastAsia="Arial" w:hAnsi="Arial"/>
          <w:sz w:val="17"/>
          <w:szCs w:val="17"/>
          <w:color w:val="auto"/>
        </w:rPr>
        <w:t>This GENERAL RELEASE (the “</w:t>
      </w:r>
      <w:r>
        <w:rPr>
          <w:rFonts w:ascii="Arial" w:cs="Arial" w:eastAsia="Arial" w:hAnsi="Arial"/>
          <w:sz w:val="17"/>
          <w:szCs w:val="17"/>
          <w:u w:val="single" w:color="auto"/>
          <w:color w:val="auto"/>
        </w:rPr>
        <w:t>Agreement</w:t>
      </w:r>
      <w:r>
        <w:rPr>
          <w:rFonts w:ascii="Arial" w:cs="Arial" w:eastAsia="Arial" w:hAnsi="Arial"/>
          <w:sz w:val="17"/>
          <w:szCs w:val="17"/>
          <w:color w:val="auto"/>
        </w:rPr>
        <w:t>”), dated ___________, is made by and between ______________________________,</w:t>
      </w:r>
    </w:p>
    <w:p>
      <w:pPr>
        <w:spacing w:after="0" w:line="37" w:lineRule="exact"/>
        <w:rPr>
          <w:sz w:val="20"/>
          <w:szCs w:val="20"/>
          <w:color w:val="auto"/>
        </w:rPr>
      </w:pPr>
    </w:p>
    <w:p>
      <w:pPr>
        <w:spacing w:after="0"/>
        <w:rPr>
          <w:sz w:val="20"/>
          <w:szCs w:val="20"/>
          <w:color w:val="auto"/>
        </w:rPr>
      </w:pPr>
      <w:r>
        <w:rPr>
          <w:rFonts w:ascii="Arial" w:cs="Arial" w:eastAsia="Arial" w:hAnsi="Arial"/>
          <w:sz w:val="19"/>
          <w:szCs w:val="19"/>
          <w:color w:val="auto"/>
        </w:rPr>
        <w:t>a California corporation (the “</w:t>
      </w:r>
      <w:r>
        <w:rPr>
          <w:rFonts w:ascii="Arial" w:cs="Arial" w:eastAsia="Arial" w:hAnsi="Arial"/>
          <w:sz w:val="19"/>
          <w:szCs w:val="19"/>
          <w:u w:val="single" w:color="auto"/>
          <w:color w:val="auto"/>
        </w:rPr>
        <w:t>Company</w:t>
      </w:r>
      <w:r>
        <w:rPr>
          <w:rFonts w:ascii="Arial" w:cs="Arial" w:eastAsia="Arial" w:hAnsi="Arial"/>
          <w:sz w:val="19"/>
          <w:szCs w:val="19"/>
          <w:color w:val="auto"/>
        </w:rPr>
        <w:t>”) and ___________________________ (“</w:t>
      </w:r>
      <w:r>
        <w:rPr>
          <w:rFonts w:ascii="Arial" w:cs="Arial" w:eastAsia="Arial" w:hAnsi="Arial"/>
          <w:sz w:val="19"/>
          <w:szCs w:val="19"/>
          <w:u w:val="single" w:color="auto"/>
          <w:color w:val="auto"/>
        </w:rPr>
        <w:t>you</w:t>
      </w:r>
      <w:r>
        <w:rPr>
          <w:rFonts w:ascii="Arial" w:cs="Arial" w:eastAsia="Arial" w:hAnsi="Arial"/>
          <w:sz w:val="19"/>
          <w:szCs w:val="19"/>
          <w:color w:val="auto"/>
        </w:rPr>
        <w:t>” or “</w:t>
      </w:r>
      <w:r>
        <w:rPr>
          <w:rFonts w:ascii="Arial" w:cs="Arial" w:eastAsia="Arial" w:hAnsi="Arial"/>
          <w:sz w:val="19"/>
          <w:szCs w:val="19"/>
          <w:u w:val="single" w:color="auto"/>
          <w:color w:val="auto"/>
        </w:rPr>
        <w:t>your</w:t>
      </w:r>
      <w:r>
        <w:rPr>
          <w:rFonts w:ascii="Arial" w:cs="Arial" w:eastAsia="Arial" w:hAnsi="Arial"/>
          <w:sz w:val="19"/>
          <w:szCs w:val="19"/>
          <w:color w:val="auto"/>
        </w:rPr>
        <w:t>”).</w:t>
      </w:r>
    </w:p>
    <w:p>
      <w:pPr>
        <w:spacing w:after="0" w:line="174" w:lineRule="exact"/>
        <w:rPr>
          <w:sz w:val="20"/>
          <w:szCs w:val="20"/>
          <w:color w:val="auto"/>
        </w:rPr>
      </w:pPr>
    </w:p>
    <w:p>
      <w:pPr>
        <w:ind w:left="1140"/>
        <w:spacing w:after="0"/>
        <w:rPr>
          <w:sz w:val="20"/>
          <w:szCs w:val="20"/>
          <w:color w:val="auto"/>
        </w:rPr>
      </w:pPr>
      <w:r>
        <w:rPr>
          <w:rFonts w:ascii="Arial" w:cs="Arial" w:eastAsia="Arial" w:hAnsi="Arial"/>
          <w:sz w:val="17"/>
          <w:szCs w:val="17"/>
          <w:color w:val="auto"/>
        </w:rPr>
        <w:t>WHEREAS, you and the Company have previously entered into that certain Amended and Restated Severance Pay Agreement dated</w:t>
      </w:r>
    </w:p>
    <w:p>
      <w:pPr>
        <w:spacing w:after="0" w:line="37" w:lineRule="exact"/>
        <w:rPr>
          <w:sz w:val="20"/>
          <w:szCs w:val="20"/>
          <w:color w:val="auto"/>
        </w:rPr>
      </w:pPr>
    </w:p>
    <w:p>
      <w:pPr>
        <w:spacing w:after="0"/>
        <w:rPr>
          <w:sz w:val="20"/>
          <w:szCs w:val="20"/>
          <w:color w:val="auto"/>
        </w:rPr>
      </w:pPr>
      <w:r>
        <w:rPr>
          <w:rFonts w:ascii="Arial" w:cs="Arial" w:eastAsia="Arial" w:hAnsi="Arial"/>
          <w:sz w:val="19"/>
          <w:szCs w:val="19"/>
          <w:color w:val="auto"/>
        </w:rPr>
        <w:t>____________, 200__ (the “</w:t>
      </w:r>
      <w:r>
        <w:rPr>
          <w:rFonts w:ascii="Arial" w:cs="Arial" w:eastAsia="Arial" w:hAnsi="Arial"/>
          <w:sz w:val="19"/>
          <w:szCs w:val="19"/>
          <w:u w:val="single" w:color="auto"/>
          <w:color w:val="auto"/>
        </w:rPr>
        <w:t>Severance Pay Agreement</w:t>
      </w:r>
      <w:r>
        <w:rPr>
          <w:rFonts w:ascii="Arial" w:cs="Arial" w:eastAsia="Arial" w:hAnsi="Arial"/>
          <w:sz w:val="19"/>
          <w:szCs w:val="19"/>
          <w:color w:val="auto"/>
        </w:rPr>
        <w:t>”); and</w:t>
      </w:r>
    </w:p>
    <w:p>
      <w:pPr>
        <w:spacing w:after="0" w:line="174" w:lineRule="exact"/>
        <w:rPr>
          <w:sz w:val="20"/>
          <w:szCs w:val="20"/>
          <w:color w:val="auto"/>
        </w:rPr>
      </w:pPr>
    </w:p>
    <w:p>
      <w:pPr>
        <w:ind w:right="100" w:firstLine="1153"/>
        <w:spacing w:after="0" w:line="252" w:lineRule="auto"/>
        <w:rPr>
          <w:sz w:val="20"/>
          <w:szCs w:val="20"/>
          <w:color w:val="auto"/>
        </w:rPr>
      </w:pPr>
      <w:r>
        <w:rPr>
          <w:rFonts w:ascii="Arial" w:cs="Arial" w:eastAsia="Arial" w:hAnsi="Arial"/>
          <w:sz w:val="19"/>
          <w:szCs w:val="19"/>
          <w:color w:val="auto"/>
        </w:rPr>
        <w:t>WHEREAS, Section 14(d) of the Severance Pay Agreement provides for the payment of a benefit to you by the Company in consideration for certain covenants, including your execution and non-revocation of a general release of claims by you against the Company and its subsidiaries and affiliates.</w:t>
      </w:r>
    </w:p>
    <w:p>
      <w:pPr>
        <w:spacing w:after="0" w:line="153" w:lineRule="exact"/>
        <w:rPr>
          <w:sz w:val="20"/>
          <w:szCs w:val="20"/>
          <w:color w:val="auto"/>
        </w:rPr>
      </w:pPr>
    </w:p>
    <w:p>
      <w:pPr>
        <w:ind w:right="400" w:firstLine="1153"/>
        <w:spacing w:after="0" w:line="266" w:lineRule="auto"/>
        <w:rPr>
          <w:sz w:val="20"/>
          <w:szCs w:val="20"/>
          <w:color w:val="auto"/>
        </w:rPr>
      </w:pPr>
      <w:r>
        <w:rPr>
          <w:rFonts w:ascii="Arial" w:cs="Arial" w:eastAsia="Arial" w:hAnsi="Arial"/>
          <w:sz w:val="19"/>
          <w:szCs w:val="19"/>
          <w:color w:val="auto"/>
        </w:rPr>
        <w:t>NOW, THEREFORE, in consideration of the premises and the mutual covenants herein contained, you and the Company hereby agree as follows:</w:t>
      </w:r>
    </w:p>
    <w:p>
      <w:pPr>
        <w:spacing w:after="0" w:line="140" w:lineRule="exact"/>
        <w:rPr>
          <w:sz w:val="20"/>
          <w:szCs w:val="20"/>
          <w:color w:val="auto"/>
        </w:rPr>
      </w:pPr>
    </w:p>
    <w:p>
      <w:pPr>
        <w:ind w:left="1140"/>
        <w:spacing w:after="0"/>
        <w:rPr>
          <w:sz w:val="20"/>
          <w:szCs w:val="20"/>
          <w:color w:val="auto"/>
        </w:rPr>
      </w:pPr>
      <w:r>
        <w:rPr>
          <w:rFonts w:ascii="Arial" w:cs="Arial" w:eastAsia="Arial" w:hAnsi="Arial"/>
          <w:sz w:val="17"/>
          <w:szCs w:val="17"/>
          <w:color w:val="auto"/>
        </w:rPr>
        <w:t>ONE: Your signing of this Agreement confirms that your employment with the Company shall terminate at the close of business on</w:t>
      </w:r>
    </w:p>
    <w:p>
      <w:pPr>
        <w:spacing w:after="0" w:line="37" w:lineRule="exact"/>
        <w:rPr>
          <w:sz w:val="20"/>
          <w:szCs w:val="20"/>
          <w:color w:val="auto"/>
        </w:rPr>
      </w:pPr>
    </w:p>
    <w:p>
      <w:pPr>
        <w:spacing w:after="0"/>
        <w:rPr>
          <w:sz w:val="20"/>
          <w:szCs w:val="20"/>
          <w:color w:val="auto"/>
        </w:rPr>
      </w:pPr>
      <w:r>
        <w:rPr>
          <w:rFonts w:ascii="Arial" w:cs="Arial" w:eastAsia="Arial" w:hAnsi="Arial"/>
          <w:sz w:val="19"/>
          <w:szCs w:val="19"/>
          <w:color w:val="auto"/>
        </w:rPr>
        <w:t>____________, or earlier upon our mutual agreement.</w:t>
      </w:r>
    </w:p>
    <w:p>
      <w:pPr>
        <w:spacing w:after="0" w:line="174" w:lineRule="exact"/>
        <w:rPr>
          <w:sz w:val="20"/>
          <w:szCs w:val="20"/>
          <w:color w:val="auto"/>
        </w:rPr>
      </w:pPr>
    </w:p>
    <w:p>
      <w:pPr>
        <w:ind w:right="100" w:firstLine="1153"/>
        <w:spacing w:after="0" w:line="247" w:lineRule="auto"/>
        <w:rPr>
          <w:sz w:val="20"/>
          <w:szCs w:val="20"/>
          <w:color w:val="auto"/>
        </w:rPr>
      </w:pPr>
      <w:r>
        <w:rPr>
          <w:rFonts w:ascii="Arial" w:cs="Arial" w:eastAsia="Arial" w:hAnsi="Arial"/>
          <w:sz w:val="19"/>
          <w:szCs w:val="19"/>
          <w:color w:val="auto"/>
        </w:rPr>
        <w:t>TWO: As a material inducement for the payment of the benefit under Section 14(d) of the Severance Pay Agreement, and except as otherwise provided in this Agreement, you and the Company hereby irrevocably and unconditionally release, acquit and forever discharge the other from any and all Claims either may have against the other. For purposes of this Agreement and the preceding sentence, the words “Releasee” or “Releasees” and “Claim” or “Claims” shall have the meanings set forth below:</w:t>
      </w:r>
    </w:p>
    <w:p>
      <w:pPr>
        <w:spacing w:after="0" w:line="146" w:lineRule="exact"/>
        <w:rPr>
          <w:sz w:val="20"/>
          <w:szCs w:val="20"/>
          <w:color w:val="auto"/>
        </w:rPr>
      </w:pPr>
    </w:p>
    <w:p>
      <w:pPr>
        <w:ind w:right="560" w:firstLine="1149"/>
        <w:spacing w:after="0" w:line="265" w:lineRule="auto"/>
        <w:tabs>
          <w:tab w:leader="none" w:pos="173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The words “</w:t>
      </w:r>
      <w:r>
        <w:rPr>
          <w:rFonts w:ascii="Arial" w:cs="Arial" w:eastAsia="Arial" w:hAnsi="Arial"/>
          <w:sz w:val="18"/>
          <w:szCs w:val="18"/>
          <w:u w:val="single" w:color="auto"/>
          <w:color w:val="auto"/>
        </w:rPr>
        <w:t>Releasee</w:t>
      </w:r>
      <w:r>
        <w:rPr>
          <w:rFonts w:ascii="Arial" w:cs="Arial" w:eastAsia="Arial" w:hAnsi="Arial"/>
          <w:sz w:val="18"/>
          <w:szCs w:val="18"/>
          <w:color w:val="auto"/>
        </w:rPr>
        <w:t>” or “</w:t>
      </w:r>
      <w:r>
        <w:rPr>
          <w:rFonts w:ascii="Arial" w:cs="Arial" w:eastAsia="Arial" w:hAnsi="Arial"/>
          <w:sz w:val="18"/>
          <w:szCs w:val="18"/>
          <w:u w:val="single" w:color="auto"/>
          <w:color w:val="auto"/>
        </w:rPr>
        <w:t>Releasees</w:t>
      </w:r>
      <w:r>
        <w:rPr>
          <w:rFonts w:ascii="Arial" w:cs="Arial" w:eastAsia="Arial" w:hAnsi="Arial"/>
          <w:sz w:val="18"/>
          <w:szCs w:val="18"/>
          <w:color w:val="auto"/>
        </w:rPr>
        <w:t>” shall refer to you and to the Company and each of the Company’s owners, stockholders, predecessors, successors, assigns, agents, directors, officers, employees, representatives, attorneys, advisors, parent companies, divisions, subsidiaries, affiliates (and agents, directors, officers, employees, representatives, attorneys and advisors of such parent companies, divisions, subsidiaries and affiliates) and all persons acting by, through, under or in concert with any of them.</w:t>
      </w:r>
    </w:p>
    <w:p>
      <w:pPr>
        <w:spacing w:after="0" w:line="142" w:lineRule="exact"/>
        <w:rPr>
          <w:rFonts w:ascii="Arial" w:cs="Arial" w:eastAsia="Arial" w:hAnsi="Arial"/>
          <w:sz w:val="18"/>
          <w:szCs w:val="18"/>
          <w:color w:val="auto"/>
        </w:rPr>
      </w:pPr>
    </w:p>
    <w:p>
      <w:pPr>
        <w:ind w:right="20" w:firstLine="1149"/>
        <w:spacing w:after="0" w:line="268" w:lineRule="auto"/>
        <w:tabs>
          <w:tab w:leader="none" w:pos="1730" w:val="left"/>
        </w:tabs>
        <w:numPr>
          <w:ilvl w:val="0"/>
          <w:numId w:val="100"/>
        </w:numPr>
        <w:rPr>
          <w:rFonts w:ascii="Arial" w:cs="Arial" w:eastAsia="Arial" w:hAnsi="Arial"/>
          <w:sz w:val="17"/>
          <w:szCs w:val="17"/>
          <w:color w:val="auto"/>
        </w:rPr>
      </w:pPr>
      <w:r>
        <w:rPr>
          <w:rFonts w:ascii="Arial" w:cs="Arial" w:eastAsia="Arial" w:hAnsi="Arial"/>
          <w:sz w:val="17"/>
          <w:szCs w:val="17"/>
          <w:color w:val="auto"/>
        </w:rPr>
        <w:t>The words “</w:t>
      </w:r>
      <w:r>
        <w:rPr>
          <w:rFonts w:ascii="Arial" w:cs="Arial" w:eastAsia="Arial" w:hAnsi="Arial"/>
          <w:sz w:val="17"/>
          <w:szCs w:val="17"/>
          <w:u w:val="single" w:color="auto"/>
          <w:color w:val="auto"/>
        </w:rPr>
        <w:t>Claim</w:t>
      </w:r>
      <w:r>
        <w:rPr>
          <w:rFonts w:ascii="Arial" w:cs="Arial" w:eastAsia="Arial" w:hAnsi="Arial"/>
          <w:sz w:val="17"/>
          <w:szCs w:val="17"/>
          <w:color w:val="auto"/>
        </w:rPr>
        <w:t>” or “</w:t>
      </w:r>
      <w:r>
        <w:rPr>
          <w:rFonts w:ascii="Arial" w:cs="Arial" w:eastAsia="Arial" w:hAnsi="Arial"/>
          <w:sz w:val="17"/>
          <w:szCs w:val="17"/>
          <w:u w:val="single" w:color="auto"/>
          <w:color w:val="auto"/>
        </w:rPr>
        <w:t>Claims</w:t>
      </w:r>
      <w:r>
        <w:rPr>
          <w:rFonts w:ascii="Arial" w:cs="Arial" w:eastAsia="Arial" w:hAnsi="Arial"/>
          <w:sz w:val="17"/>
          <w:szCs w:val="17"/>
          <w:color w:val="auto"/>
        </w:rPr>
        <w:t xml:space="preserve">” shall refer to any charges, complaints, claims, liabilities, obligations, promises, agreements, controversies, damages, actions, causes of action, suits, rights, demands, costs, losses, debts and expenses (including attorneys’ fees and costs actually incurred) of any nature whatsoever, known or unknown, suspected or unsuspected, which you or the Company now, in the past or, except as limited by law or regulation such as the Age Discrimination in Employment Act (ADEA), in the future may have, own or hold against any of the Releasees; </w:t>
      </w:r>
      <w:r>
        <w:rPr>
          <w:rFonts w:ascii="Arial" w:cs="Arial" w:eastAsia="Arial" w:hAnsi="Arial"/>
          <w:sz w:val="17"/>
          <w:szCs w:val="17"/>
          <w:i w:val="1"/>
          <w:iCs w:val="1"/>
          <w:color w:val="auto"/>
        </w:rPr>
        <w:t>provided, however</w:t>
      </w:r>
      <w:r>
        <w:rPr>
          <w:rFonts w:ascii="Arial" w:cs="Arial" w:eastAsia="Arial" w:hAnsi="Arial"/>
          <w:sz w:val="17"/>
          <w:szCs w:val="17"/>
          <w:color w:val="auto"/>
        </w:rPr>
        <w:t>, that the word “Claim” or “Claims” shall not refer to any charges, complaints, claims, liabilities, obligations, promises, agreements, controversies, damages, actions, causes of action, suits, rights, demands, costs, losses, debts and expenses (including</w:t>
      </w:r>
    </w:p>
    <w:p>
      <w:pPr>
        <w:spacing w:after="0" w:line="4" w:lineRule="exact"/>
        <w:rPr>
          <w:sz w:val="20"/>
          <w:szCs w:val="20"/>
          <w:color w:val="auto"/>
        </w:rPr>
      </w:pPr>
    </w:p>
    <w:p>
      <w:pPr>
        <w:ind w:right="40"/>
        <w:spacing w:after="0" w:line="265" w:lineRule="auto"/>
        <w:rPr>
          <w:sz w:val="20"/>
          <w:szCs w:val="20"/>
          <w:color w:val="auto"/>
        </w:rPr>
      </w:pPr>
      <w:r>
        <w:rPr>
          <w:rFonts w:ascii="Arial" w:cs="Arial" w:eastAsia="Arial" w:hAnsi="Arial"/>
          <w:sz w:val="17"/>
          <w:szCs w:val="17"/>
          <w:color w:val="auto"/>
        </w:rPr>
        <w:t>attorneys 46; fees and costs actually incurred) arising under [</w:t>
      </w:r>
      <w:r>
        <w:rPr>
          <w:rFonts w:ascii="Arial" w:cs="Arial" w:eastAsia="Arial" w:hAnsi="Arial"/>
          <w:sz w:val="17"/>
          <w:szCs w:val="17"/>
          <w:i w:val="1"/>
          <w:iCs w:val="1"/>
          <w:color w:val="auto"/>
        </w:rPr>
        <w:t>identify severance, employee benefits, stock option, indemnification and D&amp;O and</w:t>
      </w:r>
      <w:r>
        <w:rPr>
          <w:rFonts w:ascii="Arial" w:cs="Arial" w:eastAsia="Arial" w:hAnsi="Arial"/>
          <w:sz w:val="17"/>
          <w:szCs w:val="17"/>
          <w:color w:val="auto"/>
        </w:rPr>
        <w:t xml:space="preserve"> </w:t>
      </w:r>
      <w:r>
        <w:rPr>
          <w:rFonts w:ascii="Arial" w:cs="Arial" w:eastAsia="Arial" w:hAnsi="Arial"/>
          <w:sz w:val="17"/>
          <w:szCs w:val="17"/>
          <w:i w:val="1"/>
          <w:iCs w:val="1"/>
          <w:color w:val="auto"/>
        </w:rPr>
        <w:t>other agreements containing duties, rights obligations etc. of either party that are to remain operative</w:t>
      </w:r>
      <w:r>
        <w:rPr>
          <w:rFonts w:ascii="Arial" w:cs="Arial" w:eastAsia="Arial" w:hAnsi="Arial"/>
          <w:sz w:val="17"/>
          <w:szCs w:val="17"/>
          <w:color w:val="auto"/>
        </w:rPr>
        <w:t>]. Claims released pursuant to this Agreement</w:t>
      </w:r>
      <w:r>
        <w:rPr>
          <w:rFonts w:ascii="Arial" w:cs="Arial" w:eastAsia="Arial" w:hAnsi="Arial"/>
          <w:sz w:val="17"/>
          <w:szCs w:val="17"/>
          <w:i w:val="1"/>
          <w:iCs w:val="1"/>
          <w:color w:val="auto"/>
        </w:rPr>
        <w:t xml:space="preserve"> </w:t>
      </w:r>
      <w:r>
        <w:rPr>
          <w:rFonts w:ascii="Arial" w:cs="Arial" w:eastAsia="Arial" w:hAnsi="Arial"/>
          <w:sz w:val="17"/>
          <w:szCs w:val="17"/>
          <w:color w:val="auto"/>
        </w:rPr>
        <w:t>by you and the Company include, but are not limited to, rights arising out of alleged violations of any contracts, express or implied, any tort, any claim that you failed to perform or negligently performed or breached your duties during employment at the Company, any legal restrictions on the Company’s right to terminate employees or any federal, state or other governmental statute, regulation, or ordinance, including, without limitation:</w:t>
      </w:r>
    </w:p>
    <w:p>
      <w:pPr>
        <w:spacing w:after="0" w:line="2" w:lineRule="exact"/>
        <w:rPr>
          <w:sz w:val="20"/>
          <w:szCs w:val="20"/>
          <w:color w:val="auto"/>
        </w:rPr>
      </w:pPr>
    </w:p>
    <w:p>
      <w:pPr>
        <w:ind w:firstLine="44"/>
        <w:spacing w:after="0" w:line="253" w:lineRule="auto"/>
        <w:tabs>
          <w:tab w:leader="none" w:pos="32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Title VII of the Civil Rights Act of 1964 (race, color, religion, sex and national origin discrimination); (2) 42 U.S.C. § 1981 (discrimination); (3) 29 U.S.C. §§ 621–634 (age discrimination); (4) 29 U.S.C. § 206(d)(l) (equal p ay); (5) 42 U.S.C. §§ 12101, et seq. (disability); (6) the California Constitution, Article I, Section 8 (discrimination); (7) the California Fair Employment and Housing Act (discrimination, including race, color, national origin, ancestry, physical handicap, medical condition, marital status, religion, sex or age); (8) California Labor Code Section 1102.1 (sexual orientation discrimination); (9) the Executive Order 11246 (race, color, religion, sex and national origin discrimination); (10) the Executive Order 11141 (age discrimination); (11) §§ 503 and 504 of the Rehabilitation Act of 1973 (handicap discrimination); (12) The Worker Adjustment and Retraining Act (WARN Act); (13) the California Labor Code (wages, hours, working conditions, benefits and other matters); (14) the Fair Labor Standards Act (wages, hours, working conditions and other matters); the Federal Employee Polygraph Protection Act (prohibits employer from requiring employee to take polygraph test as condition of employme nt); and (15) any federal, state or other governmental statute, regulation or ordinance which is similar to any of the statutes described in clauses (1) through (14).</w:t>
      </w:r>
    </w:p>
    <w:p>
      <w:pPr>
        <w:spacing w:after="0" w:line="156" w:lineRule="exact"/>
        <w:rPr>
          <w:sz w:val="20"/>
          <w:szCs w:val="20"/>
          <w:color w:val="auto"/>
        </w:rPr>
      </w:pPr>
    </w:p>
    <w:p>
      <w:pPr>
        <w:ind w:right="160" w:firstLine="1153"/>
        <w:spacing w:after="0" w:line="244" w:lineRule="auto"/>
        <w:rPr>
          <w:sz w:val="20"/>
          <w:szCs w:val="20"/>
          <w:color w:val="auto"/>
        </w:rPr>
      </w:pPr>
      <w:r>
        <w:rPr>
          <w:rFonts w:ascii="Arial" w:cs="Arial" w:eastAsia="Arial" w:hAnsi="Arial"/>
          <w:sz w:val="19"/>
          <w:szCs w:val="19"/>
          <w:color w:val="auto"/>
        </w:rPr>
        <w:t>THREE: You and the Company expressly waive and relinquish all rights and benefits afforded by any statute (including but not limited to Section 1542 of the Civil Code of the State of California) which limits the effect of a release with respect to unknown claims. You and the Company do so understanding and acknowledging the significance of the release of unknown claims and the waiver of statutory protection against a release of unknown claims (including but not limited to Section 1542). Section 1542 of the Civil Code of the State of California states as follows:</w:t>
      </w:r>
    </w:p>
    <w:p>
      <w:pPr>
        <w:spacing w:after="0" w:line="163" w:lineRule="exact"/>
        <w:rPr>
          <w:sz w:val="20"/>
          <w:szCs w:val="20"/>
          <w:color w:val="auto"/>
        </w:rPr>
      </w:pPr>
    </w:p>
    <w:p>
      <w:pPr>
        <w:jc w:val="both"/>
        <w:ind w:left="1140" w:right="1260"/>
        <w:spacing w:after="0" w:line="252" w:lineRule="auto"/>
        <w:rPr>
          <w:sz w:val="20"/>
          <w:szCs w:val="20"/>
          <w:color w:val="auto"/>
        </w:rPr>
      </w:pPr>
      <w:r>
        <w:rPr>
          <w:rFonts w:ascii="Arial" w:cs="Arial" w:eastAsia="Arial" w:hAnsi="Arial"/>
          <w:sz w:val="19"/>
          <w:szCs w:val="19"/>
          <w:color w:val="auto"/>
        </w:rPr>
        <w:t>“A GENERAL RELEASE DOES NOT EXTEND TO CLAIMS WHICH THE CREDITOR DOES NOT KNOW OR SUSPECT TO EXIST IN HIS FAVOR AT THE TIME OF EXECUTING THE RELEASE, WHICH IF KNOWN BY HIM MUST HAVE MATERIALLY AFFECTED HIS SETTLEMENT WITH THE DEBTOR.”</w:t>
      </w:r>
    </w:p>
    <w:p>
      <w:pPr>
        <w:spacing w:after="0" w:line="153" w:lineRule="exact"/>
        <w:rPr>
          <w:sz w:val="20"/>
          <w:szCs w:val="20"/>
          <w:color w:val="auto"/>
        </w:rPr>
      </w:pPr>
    </w:p>
    <w:p>
      <w:pPr>
        <w:jc w:val="both"/>
        <w:ind w:right="20"/>
        <w:spacing w:after="0" w:line="265" w:lineRule="auto"/>
        <w:rPr>
          <w:sz w:val="20"/>
          <w:szCs w:val="20"/>
          <w:color w:val="auto"/>
        </w:rPr>
      </w:pPr>
      <w:r>
        <w:rPr>
          <w:rFonts w:ascii="Arial" w:cs="Arial" w:eastAsia="Arial" w:hAnsi="Arial"/>
          <w:sz w:val="18"/>
          <w:szCs w:val="18"/>
          <w:color w:val="auto"/>
        </w:rPr>
        <w:t>Thus, notwithstanding the provisions of Section 1542 or of any similar statute, and for the purpose of implementing a full and complete release and discharge of the Releasees, you and the Company expressly acknowledge that this Agreement is intended to include in its effect, without limitation, all Claims which are known and all Claims which you or the Company do not know or suspect to exist in your or the Company’s favor at the time of execution of this Agreement and that this Agreement contemplates the extinguishment of all such Claims.</w:t>
      </w:r>
    </w:p>
    <w:p>
      <w:pPr>
        <w:spacing w:after="0" w:line="143" w:lineRule="exact"/>
        <w:rPr>
          <w:sz w:val="20"/>
          <w:szCs w:val="20"/>
          <w:color w:val="auto"/>
        </w:rPr>
      </w:pPr>
    </w:p>
    <w:p>
      <w:pPr>
        <w:ind w:right="140" w:firstLine="1153"/>
        <w:spacing w:after="0" w:line="247" w:lineRule="auto"/>
        <w:rPr>
          <w:sz w:val="20"/>
          <w:szCs w:val="20"/>
          <w:color w:val="auto"/>
        </w:rPr>
      </w:pPr>
      <w:r>
        <w:rPr>
          <w:rFonts w:ascii="Arial" w:cs="Arial" w:eastAsia="Arial" w:hAnsi="Arial"/>
          <w:sz w:val="19"/>
          <w:szCs w:val="19"/>
          <w:color w:val="auto"/>
        </w:rPr>
        <w:t>FOUR: The parties acknowledge that they might hereafter discover facts different from, or in addition to, those they now know or believe to be true with respect to a Claim or Claims released herein, and they expressly agree to assume the risk of possible discovery of additional or different facts, and agree that this Agreement shall be and remain effective, in all respects, regardless of such additional or different discovered facts.</w:t>
      </w:r>
    </w:p>
    <w:p>
      <w:pPr>
        <w:spacing w:after="0" w:line="158" w:lineRule="exact"/>
        <w:rPr>
          <w:sz w:val="20"/>
          <w:szCs w:val="20"/>
          <w:color w:val="auto"/>
        </w:rPr>
      </w:pPr>
    </w:p>
    <w:p>
      <w:pPr>
        <w:jc w:val="both"/>
        <w:ind w:firstLine="1153"/>
        <w:spacing w:after="0" w:line="296" w:lineRule="auto"/>
        <w:rPr>
          <w:sz w:val="20"/>
          <w:szCs w:val="20"/>
          <w:color w:val="auto"/>
        </w:rPr>
      </w:pPr>
      <w:r>
        <w:rPr>
          <w:rFonts w:ascii="Arial" w:cs="Arial" w:eastAsia="Arial" w:hAnsi="Arial"/>
          <w:sz w:val="17"/>
          <w:szCs w:val="17"/>
          <w:color w:val="auto"/>
        </w:rPr>
        <w:t>FIVE: You hereby represent and acknowledge that you have not filed any Claim of any kind against the Company or others released in this Agreement. You further hereby expressly agree never to initiate against the Company or others released in this Agreement any administrative proceeding, lawsuit or any other legal or equitable proceeding of any kind asserting any Claims that are released in this Agreement.</w:t>
      </w:r>
    </w:p>
    <w:p>
      <w:pPr>
        <w:sectPr>
          <w:pgSz w:w="11900" w:h="16838" w:orient="portrait"/>
          <w:cols w:equalWidth="0" w:num="1">
            <w:col w:w="11440"/>
          </w:cols>
          <w:pgMar w:left="240" w:top="505" w:right="219" w:bottom="0" w:gutter="0" w:footer="0" w:header="0"/>
        </w:sectPr>
      </w:pPr>
    </w:p>
    <w:bookmarkStart w:id="91" w:name="page92"/>
    <w:bookmarkEnd w:id="91"/>
    <w:p>
      <w:pPr>
        <w:ind w:right="220" w:firstLine="1153"/>
        <w:spacing w:after="0" w:line="296" w:lineRule="auto"/>
        <w:rPr>
          <w:sz w:val="20"/>
          <w:szCs w:val="20"/>
          <w:color w:val="auto"/>
        </w:rPr>
      </w:pPr>
      <w:r>
        <w:rPr>
          <w:rFonts w:ascii="Arial" w:cs="Arial" w:eastAsia="Arial" w:hAnsi="Arial"/>
          <w:sz w:val="17"/>
          <w:szCs w:val="17"/>
          <w:color w:val="auto"/>
        </w:rPr>
        <w:t>The Company hereby represents and acknowledges that it has not filed any Claim of any kind against you or others released in this Agreement. The Company further hereby expressly agrees never to initiate against you or others released in this Agreement any administrative proceeding, lawsuit or any other legal or equitable proceeding of any kind asserting any Claims that are released in this Agreement.</w:t>
      </w:r>
    </w:p>
    <w:p>
      <w:pPr>
        <w:spacing w:after="0" w:line="119" w:lineRule="exact"/>
        <w:rPr>
          <w:sz w:val="20"/>
          <w:szCs w:val="20"/>
          <w:color w:val="auto"/>
        </w:rPr>
      </w:pPr>
    </w:p>
    <w:p>
      <w:pPr>
        <w:ind w:right="460" w:firstLine="1153"/>
        <w:spacing w:after="0" w:line="266" w:lineRule="auto"/>
        <w:rPr>
          <w:sz w:val="20"/>
          <w:szCs w:val="20"/>
          <w:color w:val="auto"/>
        </w:rPr>
      </w:pPr>
      <w:r>
        <w:rPr>
          <w:rFonts w:ascii="Arial" w:cs="Arial" w:eastAsia="Arial" w:hAnsi="Arial"/>
          <w:sz w:val="19"/>
          <w:szCs w:val="19"/>
          <w:color w:val="auto"/>
        </w:rPr>
        <w:t>SIX: You hereby represent and agree that you have not assigned or transferred, or attempted to have assigned or transfer, to any person or entity, any of the Claims that you are releasing in this Agreement.</w:t>
      </w:r>
    </w:p>
    <w:p>
      <w:pPr>
        <w:spacing w:after="0" w:line="140" w:lineRule="exact"/>
        <w:rPr>
          <w:sz w:val="20"/>
          <w:szCs w:val="20"/>
          <w:color w:val="auto"/>
        </w:rPr>
      </w:pPr>
    </w:p>
    <w:p>
      <w:pPr>
        <w:jc w:val="both"/>
        <w:ind w:right="260" w:firstLine="1153"/>
        <w:spacing w:after="0" w:line="266" w:lineRule="auto"/>
        <w:rPr>
          <w:sz w:val="20"/>
          <w:szCs w:val="20"/>
          <w:color w:val="auto"/>
        </w:rPr>
      </w:pPr>
      <w:r>
        <w:rPr>
          <w:rFonts w:ascii="Arial" w:cs="Arial" w:eastAsia="Arial" w:hAnsi="Arial"/>
          <w:sz w:val="19"/>
          <w:szCs w:val="19"/>
          <w:color w:val="auto"/>
        </w:rPr>
        <w:t>The Company hereby represents and agrees that it has not assigned or transferred, or attempted to have assigned or transfer, to any person or entity, any of the Claims that it is releasing in this Agreement.</w:t>
      </w:r>
    </w:p>
    <w:p>
      <w:pPr>
        <w:spacing w:after="0" w:line="140" w:lineRule="exact"/>
        <w:rPr>
          <w:sz w:val="20"/>
          <w:szCs w:val="20"/>
          <w:color w:val="auto"/>
        </w:rPr>
      </w:pPr>
    </w:p>
    <w:p>
      <w:pPr>
        <w:jc w:val="both"/>
        <w:ind w:right="260" w:firstLine="1153"/>
        <w:spacing w:after="0" w:line="296" w:lineRule="auto"/>
        <w:rPr>
          <w:sz w:val="20"/>
          <w:szCs w:val="20"/>
          <w:color w:val="auto"/>
        </w:rPr>
      </w:pPr>
      <w:r>
        <w:rPr>
          <w:rFonts w:ascii="Arial" w:cs="Arial" w:eastAsia="Arial" w:hAnsi="Arial"/>
          <w:sz w:val="17"/>
          <w:szCs w:val="17"/>
          <w:color w:val="auto"/>
        </w:rPr>
        <w:t>SEVEN: As a further material inducement to the Company to enter into this Agreement, you hereby agree to indemnify and hold each of the Releasees harmless from all loss, costs, damages, or expenses, including without limitation, attorneys’ fees incurred by the Releasees, arising out of any breach of this Agreement by you or the fact that any representation made in this Agreement by you was false when made.</w:t>
      </w:r>
    </w:p>
    <w:p>
      <w:pPr>
        <w:spacing w:after="0" w:line="118" w:lineRule="exact"/>
        <w:rPr>
          <w:sz w:val="20"/>
          <w:szCs w:val="20"/>
          <w:color w:val="auto"/>
        </w:rPr>
      </w:pPr>
    </w:p>
    <w:p>
      <w:pPr>
        <w:jc w:val="both"/>
        <w:ind w:right="80" w:firstLine="1153"/>
        <w:spacing w:after="0" w:line="296" w:lineRule="auto"/>
        <w:rPr>
          <w:sz w:val="20"/>
          <w:szCs w:val="20"/>
          <w:color w:val="auto"/>
        </w:rPr>
      </w:pPr>
      <w:r>
        <w:rPr>
          <w:rFonts w:ascii="Arial" w:cs="Arial" w:eastAsia="Arial" w:hAnsi="Arial"/>
          <w:sz w:val="17"/>
          <w:szCs w:val="17"/>
          <w:color w:val="auto"/>
        </w:rPr>
        <w:t>As a further material inducement to you to enter into this Agreement, the Company hereby agrees to indemnify and hold each of the Releasees harmless from all loss, costs, damages, or expenses, including without limitation, attorneys’ fees incurred by the Releasees, arising out of any breach of this Agreement by it or the fact that any representation made in this Agreement by it was knowingly false when made.</w:t>
      </w:r>
    </w:p>
    <w:p>
      <w:pPr>
        <w:spacing w:after="0" w:line="118" w:lineRule="exact"/>
        <w:rPr>
          <w:sz w:val="20"/>
          <w:szCs w:val="20"/>
          <w:color w:val="auto"/>
        </w:rPr>
      </w:pPr>
    </w:p>
    <w:p>
      <w:pPr>
        <w:ind w:right="1020" w:firstLine="1153"/>
        <w:spacing w:after="0" w:line="266" w:lineRule="auto"/>
        <w:rPr>
          <w:sz w:val="20"/>
          <w:szCs w:val="20"/>
          <w:color w:val="auto"/>
        </w:rPr>
      </w:pPr>
      <w:r>
        <w:rPr>
          <w:rFonts w:ascii="Arial" w:cs="Arial" w:eastAsia="Arial" w:hAnsi="Arial"/>
          <w:sz w:val="19"/>
          <w:szCs w:val="19"/>
          <w:color w:val="auto"/>
        </w:rPr>
        <w:t>EIGHT: You and the Company represent and acknowledge that in executing this Agreement, neither is relying upon any representation or statement not set forth in this Agreement or the Severance Agreement.</w:t>
      </w:r>
    </w:p>
    <w:p>
      <w:pPr>
        <w:spacing w:after="0" w:line="140" w:lineRule="exact"/>
        <w:rPr>
          <w:sz w:val="20"/>
          <w:szCs w:val="20"/>
          <w:color w:val="auto"/>
        </w:rPr>
      </w:pPr>
    </w:p>
    <w:p>
      <w:pPr>
        <w:ind w:left="1140"/>
        <w:spacing w:after="0"/>
        <w:rPr>
          <w:sz w:val="20"/>
          <w:szCs w:val="20"/>
          <w:color w:val="auto"/>
        </w:rPr>
      </w:pPr>
      <w:r>
        <w:rPr>
          <w:rFonts w:ascii="Arial" w:cs="Arial" w:eastAsia="Arial" w:hAnsi="Arial"/>
          <w:sz w:val="19"/>
          <w:szCs w:val="19"/>
          <w:color w:val="auto"/>
        </w:rPr>
        <w:t>NINE:</w:t>
      </w:r>
    </w:p>
    <w:p>
      <w:pPr>
        <w:spacing w:after="0" w:line="178" w:lineRule="exact"/>
        <w:rPr>
          <w:sz w:val="20"/>
          <w:szCs w:val="20"/>
          <w:color w:val="auto"/>
        </w:rPr>
      </w:pPr>
    </w:p>
    <w:p>
      <w:pPr>
        <w:ind w:right="140" w:firstLine="1726"/>
        <w:spacing w:after="0" w:line="261" w:lineRule="auto"/>
        <w:tabs>
          <w:tab w:leader="none" w:pos="2306" w:val="left"/>
        </w:tabs>
        <w:numPr>
          <w:ilvl w:val="0"/>
          <w:numId w:val="102"/>
        </w:numPr>
        <w:rPr>
          <w:rFonts w:ascii="Arial" w:cs="Arial" w:eastAsia="Arial" w:hAnsi="Arial"/>
          <w:sz w:val="18"/>
          <w:szCs w:val="18"/>
          <w:color w:val="auto"/>
        </w:rPr>
      </w:pPr>
      <w:r>
        <w:rPr>
          <w:rFonts w:ascii="Arial" w:cs="Arial" w:eastAsia="Arial" w:hAnsi="Arial"/>
          <w:sz w:val="18"/>
          <w:szCs w:val="18"/>
          <w:color w:val="auto"/>
        </w:rPr>
        <w:t>This Agreement shall not in any way be construed as an admission by the Company that it has acted wrongfully with respect to you or any other person, or that you have any rights whatsoever against the Company, and the Company specifically disclaims any liability to or wrongful acts against you or any other person, on the part of itself, its employees or its agents. This Agreement shall not in any way be construed as an admission by you that you have acted wrongfully with respect to the Company, or that you failed to perform your duties or negligently performed or breached your duties, or that the Company had good cause to terminate your employment.</w:t>
      </w:r>
    </w:p>
    <w:p>
      <w:pPr>
        <w:spacing w:after="0" w:line="147" w:lineRule="exact"/>
        <w:rPr>
          <w:rFonts w:ascii="Arial" w:cs="Arial" w:eastAsia="Arial" w:hAnsi="Arial"/>
          <w:sz w:val="18"/>
          <w:szCs w:val="18"/>
          <w:color w:val="auto"/>
        </w:rPr>
      </w:pPr>
    </w:p>
    <w:p>
      <w:pPr>
        <w:ind w:firstLine="1726"/>
        <w:spacing w:after="0" w:line="243" w:lineRule="auto"/>
        <w:tabs>
          <w:tab w:leader="none" w:pos="2306" w:val="left"/>
        </w:tabs>
        <w:numPr>
          <w:ilvl w:val="0"/>
          <w:numId w:val="102"/>
        </w:numPr>
        <w:rPr>
          <w:rFonts w:ascii="Arial" w:cs="Arial" w:eastAsia="Arial" w:hAnsi="Arial"/>
          <w:sz w:val="19"/>
          <w:szCs w:val="19"/>
          <w:color w:val="auto"/>
        </w:rPr>
      </w:pPr>
      <w:r>
        <w:rPr>
          <w:rFonts w:ascii="Arial" w:cs="Arial" w:eastAsia="Arial" w:hAnsi="Arial"/>
          <w:sz w:val="19"/>
          <w:szCs w:val="19"/>
          <w:color w:val="auto"/>
        </w:rPr>
        <w:t xml:space="preserve">If you are a party or are threatened to be made a party to any proceeding by reason of the fact that you were an officer or director of the Company, the Company shall indemnify you against any expenses (including reasonable attorneys’ fees;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counsel has been approved by the Company prior to retention, which approval shall not be unreasonably withheld), judgments, fines, settlements and other amounts actually or reasonably incurred by you in connection with that proceeding; </w:t>
      </w:r>
      <w:r>
        <w:rPr>
          <w:rFonts w:ascii="Arial" w:cs="Arial" w:eastAsia="Arial" w:hAnsi="Arial"/>
          <w:sz w:val="19"/>
          <w:szCs w:val="19"/>
          <w:i w:val="1"/>
          <w:iCs w:val="1"/>
          <w:color w:val="auto"/>
        </w:rPr>
        <w:t>provided</w:t>
      </w:r>
      <w:r>
        <w:rPr>
          <w:rFonts w:ascii="Arial" w:cs="Arial" w:eastAsia="Arial" w:hAnsi="Arial"/>
          <w:sz w:val="19"/>
          <w:szCs w:val="19"/>
          <w:color w:val="auto"/>
        </w:rPr>
        <w:t>, that you acted in good faith and in a manner you reasonably believed to be in the best interest of the Company. The limitations of California Corporations Code Section 317 shall apply to this assurance of indemnification.</w:t>
      </w:r>
    </w:p>
    <w:p>
      <w:pPr>
        <w:spacing w:after="0" w:line="150" w:lineRule="exact"/>
        <w:rPr>
          <w:rFonts w:ascii="Arial" w:cs="Arial" w:eastAsia="Arial" w:hAnsi="Arial"/>
          <w:sz w:val="19"/>
          <w:szCs w:val="19"/>
          <w:color w:val="auto"/>
        </w:rPr>
      </w:pPr>
    </w:p>
    <w:p>
      <w:pPr>
        <w:ind w:right="140" w:firstLine="1726"/>
        <w:spacing w:after="0" w:line="244" w:lineRule="auto"/>
        <w:tabs>
          <w:tab w:leader="none" w:pos="2306" w:val="left"/>
        </w:tabs>
        <w:numPr>
          <w:ilvl w:val="0"/>
          <w:numId w:val="102"/>
        </w:numPr>
        <w:rPr>
          <w:rFonts w:ascii="Arial" w:cs="Arial" w:eastAsia="Arial" w:hAnsi="Arial"/>
          <w:sz w:val="19"/>
          <w:szCs w:val="19"/>
          <w:color w:val="auto"/>
        </w:rPr>
      </w:pPr>
      <w:r>
        <w:rPr>
          <w:rFonts w:ascii="Arial" w:cs="Arial" w:eastAsia="Arial" w:hAnsi="Arial"/>
          <w:sz w:val="19"/>
          <w:szCs w:val="19"/>
          <w:color w:val="auto"/>
        </w:rPr>
        <w:t>You agree to cooperate with the Company and its designated attorneys, representatives and agents in connection with any actual or threatened judicial, administrative or other legal or equitable proceeding in which the Company is or may become involved. Upon reasonable notice, you agree to meet with and provide to the Company or its designated attorneys, representatives or agents all information and knowledge you have relating to the subject matter of any such proceeding. The Company agrees to reimburse you for any reasonable costs you incur in providing such cooperation.</w:t>
      </w:r>
    </w:p>
    <w:p>
      <w:pPr>
        <w:spacing w:after="0" w:line="163" w:lineRule="exact"/>
        <w:rPr>
          <w:sz w:val="20"/>
          <w:szCs w:val="20"/>
          <w:color w:val="auto"/>
        </w:rPr>
      </w:pPr>
    </w:p>
    <w:p>
      <w:pPr>
        <w:ind w:right="20" w:firstLine="1153"/>
        <w:spacing w:after="0" w:line="254" w:lineRule="auto"/>
        <w:rPr>
          <w:sz w:val="20"/>
          <w:szCs w:val="20"/>
          <w:color w:val="auto"/>
        </w:rPr>
      </w:pPr>
      <w:r>
        <w:rPr>
          <w:rFonts w:ascii="Arial" w:cs="Arial" w:eastAsia="Arial" w:hAnsi="Arial"/>
          <w:sz w:val="18"/>
          <w:szCs w:val="18"/>
          <w:color w:val="auto"/>
        </w:rPr>
        <w:t>TEN: This Agreement is made and entered into in California. This Agreement shall in all respects be interpreted, enforced and governed by and under the laws of the State of California and applicable Federal law. Any dispute about the validity, interpretation, effect or alleged violation of this Agreement (an “</w:t>
      </w:r>
      <w:r>
        <w:rPr>
          <w:rFonts w:ascii="Arial" w:cs="Arial" w:eastAsia="Arial" w:hAnsi="Arial"/>
          <w:sz w:val="18"/>
          <w:szCs w:val="18"/>
          <w:u w:val="single" w:color="auto"/>
          <w:color w:val="auto"/>
        </w:rPr>
        <w:t>arbitrable dispute</w:t>
      </w:r>
      <w:r>
        <w:rPr>
          <w:rFonts w:ascii="Arial" w:cs="Arial" w:eastAsia="Arial" w:hAnsi="Arial"/>
          <w:sz w:val="18"/>
          <w:szCs w:val="18"/>
          <w:color w:val="auto"/>
        </w:rPr>
        <w:t xml:space="preserve">”) must be submitted to arbitration in San Diego, California. Arbitration shall take place before an experienced employment arbitrator licensed to practice law in such state and selected in accordance with the then existing JAMS arbitration rules applicable to employment disputes;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in any event, the arbitrator shall allow reasonable discovery. Arbitration shall be the exclusive remedy for any arbitrable dispute. The arbitrator in any arbitrable dispute shall not have authority to modify or change the Agr eement in any respect. You and the Company shall each be responsible for payment of one-half (1/2) the amount of the arbitrator’s fee(s);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in no event shall you be required to pay any fee or cost of arbitration that is unique to arbitration or exceeds the costs you would have incurred had any arbitrable dispute been pursued in a court of competent jurisdiction. The Company shall make up any shortfall. Should any party to this Agreement institute any legal action or administrative proceeding against the other with respect to any Claim waived by this Agreement or pursue any arbitrable dispute by any method other than arbitration, the prevailing party shall be entitled to recover from the non-prevailing party all damages, costs, expenses and attorneys’ fees incurred as a result of that action. The arbitrator’s decision and/or award shall be rendered in writing and will be fully enforceable and subject to an entry of judgment by the Superior Co urt of the State of California for the County of San Diego, or any other court of competent jurisdiction.</w:t>
      </w:r>
    </w:p>
    <w:p>
      <w:pPr>
        <w:spacing w:after="0" w:line="153" w:lineRule="exact"/>
        <w:rPr>
          <w:sz w:val="20"/>
          <w:szCs w:val="20"/>
          <w:color w:val="auto"/>
        </w:rPr>
      </w:pPr>
    </w:p>
    <w:p>
      <w:pPr>
        <w:ind w:right="300" w:firstLine="1153"/>
        <w:spacing w:after="0" w:line="271" w:lineRule="auto"/>
        <w:rPr>
          <w:sz w:val="20"/>
          <w:szCs w:val="20"/>
          <w:color w:val="auto"/>
        </w:rPr>
      </w:pPr>
      <w:r>
        <w:rPr>
          <w:rFonts w:ascii="Arial" w:cs="Arial" w:eastAsia="Arial" w:hAnsi="Arial"/>
          <w:sz w:val="17"/>
          <w:szCs w:val="17"/>
          <w:color w:val="auto"/>
        </w:rPr>
        <w:t>ELEVEN: Both you and the Company understand that this Agreement is final and binding eight (8) days after its execution and return. Should you nevertheless attempt to challenge the enforceability of this Agreement as provided in Paragraph TEN or, in violation of that Paragraph, through litigation, as a further limitation on any right to make such a challenge, you shall initially tender to the Company, by certified check delivered to the Company, all monies received pursuant to Section 14(d) of the Severance Pay Agreement, plus interest, and invite the Company to retain such monies and agree with you to cancel this Agreement and void the Company’s obligations under Section 14(d) of the Severance Pay Agreement. In the event the Company accepts this offer, the Company shall retain such monies and this Agreement shall be canceled and the Company shall have no obligation under Section 14(d) of the Severance Pay Agreement. In the event the Company does not accept such offer, the Company shall so notify you and shall place such monies in an interest-bearing escrow account pending resolution of the dispute between you and the Company as to whether or not this Agreement and the Company’s obligations under Section 14(d) of the Severance Pay Agreement shall be set aside and/or otherwise rendered voidable or unenforceable. Additionally, any consulting agreement then in effect between you and the Company shall be immediately rescinded with no requirement of notice.</w:t>
      </w:r>
    </w:p>
    <w:p>
      <w:pPr>
        <w:spacing w:after="0" w:line="143" w:lineRule="exact"/>
        <w:rPr>
          <w:sz w:val="20"/>
          <w:szCs w:val="20"/>
          <w:color w:val="auto"/>
        </w:rPr>
      </w:pPr>
    </w:p>
    <w:p>
      <w:pPr>
        <w:ind w:right="100" w:firstLine="1153"/>
        <w:spacing w:after="0" w:line="266" w:lineRule="auto"/>
        <w:rPr>
          <w:sz w:val="20"/>
          <w:szCs w:val="20"/>
          <w:color w:val="auto"/>
        </w:rPr>
      </w:pPr>
      <w:r>
        <w:rPr>
          <w:rFonts w:ascii="Arial" w:cs="Arial" w:eastAsia="Arial" w:hAnsi="Arial"/>
          <w:sz w:val="19"/>
          <w:szCs w:val="19"/>
          <w:color w:val="auto"/>
        </w:rPr>
        <w:t>TWELVE: Any notices required to be given under this Agreement shall be delivered either personally or by first class United States mail, postage prepaid, addressed to the respective parties as follows:</w:t>
      </w:r>
    </w:p>
    <w:p>
      <w:pPr>
        <w:spacing w:after="0" w:line="128" w:lineRule="exact"/>
        <w:rPr>
          <w:sz w:val="20"/>
          <w:szCs w:val="20"/>
          <w:color w:val="auto"/>
        </w:rPr>
      </w:pPr>
    </w:p>
    <w:p>
      <w:pPr>
        <w:ind w:left="580"/>
        <w:spacing w:after="0"/>
        <w:tabs>
          <w:tab w:leader="none" w:pos="1860" w:val="left"/>
        </w:tabs>
        <w:rPr>
          <w:sz w:val="20"/>
          <w:szCs w:val="20"/>
          <w:color w:val="auto"/>
        </w:rPr>
      </w:pPr>
      <w:r>
        <w:rPr>
          <w:rFonts w:ascii="Arial" w:cs="Arial" w:eastAsia="Arial" w:hAnsi="Arial"/>
          <w:sz w:val="19"/>
          <w:szCs w:val="19"/>
          <w:color w:val="auto"/>
        </w:rPr>
        <w:t>To Company:</w:t>
      </w:r>
      <w:r>
        <w:rPr>
          <w:sz w:val="20"/>
          <w:szCs w:val="20"/>
          <w:color w:val="auto"/>
        </w:rPr>
        <w:tab/>
      </w:r>
      <w:r>
        <w:rPr>
          <w:rFonts w:ascii="Arial" w:cs="Arial" w:eastAsia="Arial" w:hAnsi="Arial"/>
          <w:sz w:val="18"/>
          <w:szCs w:val="18"/>
          <w:color w:val="auto"/>
        </w:rPr>
        <w:t>[TO COME]</w:t>
      </w:r>
    </w:p>
    <w:p>
      <w:pPr>
        <w:spacing w:after="0" w:line="190" w:lineRule="exact"/>
        <w:rPr>
          <w:sz w:val="20"/>
          <w:szCs w:val="20"/>
          <w:color w:val="auto"/>
        </w:rPr>
      </w:pPr>
    </w:p>
    <w:p>
      <w:pPr>
        <w:ind w:left="1880"/>
        <w:spacing w:after="0"/>
        <w:rPr>
          <w:sz w:val="20"/>
          <w:szCs w:val="20"/>
          <w:color w:val="auto"/>
        </w:rPr>
      </w:pPr>
      <w:r>
        <w:rPr>
          <w:rFonts w:ascii="Arial" w:cs="Arial" w:eastAsia="Arial" w:hAnsi="Arial"/>
          <w:sz w:val="19"/>
          <w:szCs w:val="19"/>
          <w:color w:val="auto"/>
        </w:rPr>
        <w:t>Attn: [TO COME]</w:t>
      </w:r>
    </w:p>
    <w:p>
      <w:pPr>
        <w:spacing w:after="0" w:line="166" w:lineRule="exact"/>
        <w:rPr>
          <w:sz w:val="20"/>
          <w:szCs w:val="20"/>
          <w:color w:val="auto"/>
        </w:rPr>
      </w:pPr>
    </w:p>
    <w:p>
      <w:pPr>
        <w:ind w:left="580"/>
        <w:spacing w:after="0"/>
        <w:tabs>
          <w:tab w:leader="none" w:pos="1860" w:val="left"/>
        </w:tabs>
        <w:rPr>
          <w:sz w:val="20"/>
          <w:szCs w:val="20"/>
          <w:color w:val="auto"/>
        </w:rPr>
      </w:pPr>
      <w:r>
        <w:rPr>
          <w:rFonts w:ascii="Arial" w:cs="Arial" w:eastAsia="Arial" w:hAnsi="Arial"/>
          <w:sz w:val="19"/>
          <w:szCs w:val="19"/>
          <w:color w:val="auto"/>
        </w:rPr>
        <w:t>To You:</w:t>
      </w:r>
      <w:r>
        <w:rPr>
          <w:sz w:val="20"/>
          <w:szCs w:val="20"/>
          <w:color w:val="auto"/>
        </w:rPr>
        <w:tab/>
      </w:r>
      <w:r>
        <w:rPr>
          <w:rFonts w:ascii="Arial" w:cs="Arial" w:eastAsia="Arial" w:hAnsi="Arial"/>
          <w:sz w:val="17"/>
          <w:szCs w:val="17"/>
          <w:b w:val="1"/>
          <w:bCs w:val="1"/>
          <w:color w:val="auto"/>
        </w:rPr>
        <w:t>______________________</w:t>
      </w:r>
    </w:p>
    <w:p>
      <w:pPr>
        <w:sectPr>
          <w:pgSz w:w="11900" w:h="16838" w:orient="portrait"/>
          <w:cols w:equalWidth="0" w:num="1">
            <w:col w:w="11440"/>
          </w:cols>
          <w:pgMar w:left="240" w:top="120" w:right="219" w:bottom="0" w:gutter="0" w:footer="0" w:header="0"/>
        </w:sectPr>
      </w:pPr>
    </w:p>
    <w:bookmarkStart w:id="92" w:name="page93"/>
    <w:bookmarkEnd w:id="92"/>
    <w:p>
      <w:pPr>
        <w:ind w:right="60" w:firstLine="1153"/>
        <w:spacing w:after="0" w:line="258" w:lineRule="auto"/>
        <w:rPr>
          <w:sz w:val="20"/>
          <w:szCs w:val="20"/>
          <w:color w:val="auto"/>
        </w:rPr>
      </w:pPr>
      <w:r>
        <w:rPr>
          <w:rFonts w:ascii="Arial" w:cs="Arial" w:eastAsia="Arial" w:hAnsi="Arial"/>
          <w:sz w:val="18"/>
          <w:szCs w:val="18"/>
          <w:color w:val="auto"/>
        </w:rPr>
        <w:t>THIRTEEN: You understand and acknowledge that you have been given a period of forty-five (45) days to review and consider this Agreement (as well as statistical data on the persons eligible for similar benefits) before signing it and may use as much of this forty-five (45) day period as you wish prior to signing. You are encouraged, at your personal expense, to consult with an attorney before signing this Agreement. You understand and acknowledge that whether or not you do so is your decision. You may revoke this Agreement within seven (7) days of signing it. If you wish to revoke, the Company’s Vice President, Human Resources must receive written notice from you no later than the close of business on the seventh (7th) day after you have signed the Agreement. If revoked, this Agreement shall not be effective and enforceable, and you will not receive payments or benefi ts under Section 14(d) of the Severance Pay Agreement.</w:t>
      </w:r>
    </w:p>
    <w:p>
      <w:pPr>
        <w:spacing w:after="0" w:line="149" w:lineRule="exact"/>
        <w:rPr>
          <w:sz w:val="20"/>
          <w:szCs w:val="20"/>
          <w:color w:val="auto"/>
        </w:rPr>
      </w:pPr>
    </w:p>
    <w:p>
      <w:pPr>
        <w:ind w:right="40" w:firstLine="1153"/>
        <w:spacing w:after="0" w:line="252" w:lineRule="auto"/>
        <w:rPr>
          <w:sz w:val="20"/>
          <w:szCs w:val="20"/>
          <w:color w:val="auto"/>
        </w:rPr>
      </w:pPr>
      <w:r>
        <w:rPr>
          <w:rFonts w:ascii="Arial" w:cs="Arial" w:eastAsia="Arial" w:hAnsi="Arial"/>
          <w:sz w:val="19"/>
          <w:szCs w:val="19"/>
          <w:color w:val="auto"/>
        </w:rPr>
        <w:t>FOURTEEN: This Agreement constitutes the entire agreement of the parties hereto and supersedes any and all other agreements (except the Severance Pay Agreement) with respect to the subject matter of this Agreement, whether written or oral, between you and the Company. All modifications and amendments to this Agreement must be in writing and signed by the parties.</w:t>
      </w:r>
    </w:p>
    <w:p>
      <w:pPr>
        <w:spacing w:after="0" w:line="153" w:lineRule="exact"/>
        <w:rPr>
          <w:sz w:val="20"/>
          <w:szCs w:val="20"/>
          <w:color w:val="auto"/>
        </w:rPr>
      </w:pPr>
    </w:p>
    <w:p>
      <w:pPr>
        <w:ind w:right="60" w:firstLine="1153"/>
        <w:spacing w:after="0" w:line="266" w:lineRule="auto"/>
        <w:rPr>
          <w:sz w:val="20"/>
          <w:szCs w:val="20"/>
          <w:color w:val="auto"/>
        </w:rPr>
      </w:pPr>
      <w:r>
        <w:rPr>
          <w:rFonts w:ascii="Arial" w:cs="Arial" w:eastAsia="Arial" w:hAnsi="Arial"/>
          <w:sz w:val="19"/>
          <w:szCs w:val="19"/>
          <w:color w:val="auto"/>
        </w:rPr>
        <w:t>FIFTEEN: Each party agrees, without further consideration, to sign or cause to be signed, and to deliver to the other party, any other documents and to take any other action as may be necessary to fulfill the obligations under this Agreement.</w:t>
      </w:r>
    </w:p>
    <w:p>
      <w:pPr>
        <w:spacing w:after="0" w:line="140" w:lineRule="exact"/>
        <w:rPr>
          <w:sz w:val="20"/>
          <w:szCs w:val="20"/>
          <w:color w:val="auto"/>
        </w:rPr>
      </w:pPr>
    </w:p>
    <w:p>
      <w:pPr>
        <w:ind w:firstLine="1153"/>
        <w:spacing w:after="0" w:line="252" w:lineRule="auto"/>
        <w:rPr>
          <w:sz w:val="20"/>
          <w:szCs w:val="20"/>
          <w:color w:val="auto"/>
        </w:rPr>
      </w:pPr>
      <w:r>
        <w:rPr>
          <w:rFonts w:ascii="Arial" w:cs="Arial" w:eastAsia="Arial" w:hAnsi="Arial"/>
          <w:sz w:val="19"/>
          <w:szCs w:val="19"/>
          <w:color w:val="auto"/>
        </w:rPr>
        <w:t>SIXTEEN: If any provision of this Agreement or the application thereof is held invalid, the invalidity shall not affect other provisions or applications of the Agreement which can be given effect without the invalid provisions or application; and to this end the provisions of this Agreement are declared to be severable.</w:t>
      </w:r>
    </w:p>
    <w:p>
      <w:pPr>
        <w:spacing w:after="0" w:line="153" w:lineRule="exact"/>
        <w:rPr>
          <w:sz w:val="20"/>
          <w:szCs w:val="20"/>
          <w:color w:val="auto"/>
        </w:rPr>
      </w:pPr>
    </w:p>
    <w:p>
      <w:pPr>
        <w:ind w:left="1140"/>
        <w:spacing w:after="0"/>
        <w:rPr>
          <w:sz w:val="20"/>
          <w:szCs w:val="20"/>
          <w:color w:val="auto"/>
        </w:rPr>
      </w:pPr>
      <w:r>
        <w:rPr>
          <w:rFonts w:ascii="Arial" w:cs="Arial" w:eastAsia="Arial" w:hAnsi="Arial"/>
          <w:sz w:val="19"/>
          <w:szCs w:val="19"/>
          <w:color w:val="auto"/>
        </w:rPr>
        <w:t>SEVENTEEN: This Agreement may be executed in counterparts.</w:t>
      </w:r>
    </w:p>
    <w:p>
      <w:pPr>
        <w:spacing w:after="0" w:line="190" w:lineRule="exact"/>
        <w:rPr>
          <w:sz w:val="20"/>
          <w:szCs w:val="20"/>
          <w:color w:val="auto"/>
        </w:rPr>
      </w:pPr>
    </w:p>
    <w:p>
      <w:pPr>
        <w:ind w:right="140" w:firstLine="1153"/>
        <w:spacing w:after="0" w:line="266" w:lineRule="auto"/>
        <w:rPr>
          <w:sz w:val="20"/>
          <w:szCs w:val="20"/>
          <w:color w:val="auto"/>
        </w:rPr>
      </w:pPr>
      <w:r>
        <w:rPr>
          <w:rFonts w:ascii="Arial" w:cs="Arial" w:eastAsia="Arial" w:hAnsi="Arial"/>
          <w:sz w:val="19"/>
          <w:szCs w:val="19"/>
          <w:color w:val="auto"/>
        </w:rPr>
        <w:t>I have read the foregoing General Release, and I accept and agree to the provisions it contains and hereby execute it voluntarily and with full understanding of its consequences. I am aware it includes a release of all known or unknown claims.</w:t>
      </w:r>
    </w:p>
    <w:p>
      <w:pPr>
        <w:spacing w:after="0" w:line="140" w:lineRule="exact"/>
        <w:rPr>
          <w:sz w:val="20"/>
          <w:szCs w:val="20"/>
          <w:color w:val="auto"/>
        </w:rPr>
      </w:pPr>
    </w:p>
    <w:p>
      <w:pPr>
        <w:spacing w:after="0"/>
        <w:rPr>
          <w:sz w:val="20"/>
          <w:szCs w:val="20"/>
          <w:color w:val="auto"/>
        </w:rPr>
      </w:pPr>
      <w:r>
        <w:rPr>
          <w:rFonts w:ascii="Arial" w:cs="Arial" w:eastAsia="Arial" w:hAnsi="Arial"/>
          <w:sz w:val="19"/>
          <w:szCs w:val="19"/>
          <w:color w:val="auto"/>
        </w:rPr>
        <w:t>DATED: __________</w:t>
      </w:r>
    </w:p>
    <w:p>
      <w:pPr>
        <w:spacing w:after="0" w:line="190" w:lineRule="exact"/>
        <w:rPr>
          <w:sz w:val="20"/>
          <w:szCs w:val="20"/>
          <w:color w:val="auto"/>
        </w:rPr>
      </w:pPr>
    </w:p>
    <w:p>
      <w:pPr>
        <w:ind w:left="3460"/>
        <w:spacing w:after="0"/>
        <w:rPr>
          <w:sz w:val="20"/>
          <w:szCs w:val="20"/>
          <w:color w:val="auto"/>
        </w:rPr>
      </w:pPr>
      <w:r>
        <w:rPr>
          <w:rFonts w:ascii="Arial" w:cs="Arial" w:eastAsia="Arial" w:hAnsi="Arial"/>
          <w:sz w:val="19"/>
          <w:szCs w:val="19"/>
          <w:color w:val="auto"/>
        </w:rPr>
        <w:t>__________________________________________</w:t>
      </w:r>
    </w:p>
    <w:p>
      <w:pPr>
        <w:spacing w:after="0" w:line="190" w:lineRule="exact"/>
        <w:rPr>
          <w:sz w:val="20"/>
          <w:szCs w:val="20"/>
          <w:color w:val="auto"/>
        </w:rPr>
      </w:pPr>
    </w:p>
    <w:p>
      <w:pPr>
        <w:spacing w:after="0"/>
        <w:rPr>
          <w:sz w:val="20"/>
          <w:szCs w:val="20"/>
          <w:color w:val="auto"/>
        </w:rPr>
      </w:pPr>
      <w:r>
        <w:rPr>
          <w:rFonts w:ascii="Arial" w:cs="Arial" w:eastAsia="Arial" w:hAnsi="Arial"/>
          <w:sz w:val="19"/>
          <w:szCs w:val="19"/>
          <w:color w:val="auto"/>
        </w:rPr>
        <w:t>DATED: __________</w:t>
      </w:r>
    </w:p>
    <w:p>
      <w:pPr>
        <w:spacing w:after="0" w:line="190" w:lineRule="exact"/>
        <w:rPr>
          <w:sz w:val="20"/>
          <w:szCs w:val="20"/>
          <w:color w:val="auto"/>
        </w:rPr>
      </w:pPr>
    </w:p>
    <w:p>
      <w:pPr>
        <w:ind w:left="3460"/>
        <w:spacing w:after="0"/>
        <w:rPr>
          <w:sz w:val="20"/>
          <w:szCs w:val="20"/>
          <w:color w:val="auto"/>
        </w:rPr>
      </w:pPr>
      <w:r>
        <w:rPr>
          <w:rFonts w:ascii="Arial" w:cs="Arial" w:eastAsia="Arial" w:hAnsi="Arial"/>
          <w:sz w:val="19"/>
          <w:szCs w:val="19"/>
          <w:color w:val="auto"/>
        </w:rPr>
        <w:t>__________________________________________</w:t>
      </w:r>
    </w:p>
    <w:p>
      <w:pPr>
        <w:spacing w:after="0" w:line="190" w:lineRule="exact"/>
        <w:rPr>
          <w:sz w:val="20"/>
          <w:szCs w:val="20"/>
          <w:color w:val="auto"/>
        </w:rPr>
      </w:pPr>
    </w:p>
    <w:p>
      <w:pPr>
        <w:ind w:left="1720"/>
        <w:spacing w:after="0"/>
        <w:rPr>
          <w:sz w:val="20"/>
          <w:szCs w:val="20"/>
          <w:color w:val="auto"/>
        </w:rPr>
      </w:pPr>
      <w:r>
        <w:rPr>
          <w:rFonts w:ascii="Arial" w:cs="Arial" w:eastAsia="Arial" w:hAnsi="Arial"/>
          <w:sz w:val="19"/>
          <w:szCs w:val="19"/>
          <w:color w:val="auto"/>
        </w:rPr>
        <w:t>You acknowledge that you first received this Agreement on [date].</w:t>
      </w:r>
    </w:p>
    <w:p>
      <w:pPr>
        <w:spacing w:after="0" w:line="190" w:lineRule="exact"/>
        <w:rPr>
          <w:sz w:val="20"/>
          <w:szCs w:val="20"/>
          <w:color w:val="auto"/>
        </w:rPr>
      </w:pPr>
    </w:p>
    <w:p>
      <w:pPr>
        <w:ind w:left="4040"/>
        <w:spacing w:after="0"/>
        <w:rPr>
          <w:sz w:val="20"/>
          <w:szCs w:val="20"/>
          <w:color w:val="auto"/>
        </w:rPr>
      </w:pPr>
      <w:r>
        <w:rPr>
          <w:rFonts w:ascii="Arial" w:cs="Arial" w:eastAsia="Arial" w:hAnsi="Arial"/>
          <w:sz w:val="19"/>
          <w:szCs w:val="19"/>
          <w:color w:val="auto"/>
        </w:rPr>
        <w:t>_________________________</w:t>
      </w:r>
    </w:p>
    <w:p>
      <w:pPr>
        <w:sectPr>
          <w:pgSz w:w="11900" w:h="16838" w:orient="portrait"/>
          <w:cols w:equalWidth="0" w:num="1">
            <w:col w:w="11420"/>
          </w:cols>
          <w:pgMar w:left="240" w:top="120" w:right="239" w:bottom="1440" w:gutter="0" w:footer="0" w:header="0"/>
        </w:sectPr>
      </w:pPr>
    </w:p>
    <w:bookmarkStart w:id="93" w:name="page94"/>
    <w:bookmarkEnd w:id="93"/>
    <w:p>
      <w:pPr>
        <w:jc w:val="right"/>
        <w:spacing w:after="0"/>
        <w:rPr>
          <w:sz w:val="20"/>
          <w:szCs w:val="20"/>
          <w:color w:val="auto"/>
        </w:rPr>
      </w:pPr>
      <w:r>
        <w:rPr>
          <w:rFonts w:ascii="Arial" w:cs="Arial" w:eastAsia="Arial" w:hAnsi="Arial"/>
          <w:sz w:val="19"/>
          <w:szCs w:val="19"/>
          <w:b w:val="1"/>
          <w:bCs w:val="1"/>
          <w:color w:val="auto"/>
        </w:rPr>
        <w:t>Exhibit 10.18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left="1840" w:right="3040"/>
        <w:spacing w:after="0" w:line="239" w:lineRule="auto"/>
        <w:rPr>
          <w:sz w:val="20"/>
          <w:szCs w:val="20"/>
          <w:color w:val="auto"/>
        </w:rPr>
      </w:pPr>
      <w:r>
        <w:rPr>
          <w:rFonts w:ascii="Arial" w:cs="Arial" w:eastAsia="Arial" w:hAnsi="Arial"/>
          <w:sz w:val="29"/>
          <w:szCs w:val="29"/>
          <w:b w:val="1"/>
          <w:bCs w:val="1"/>
          <w:color w:val="auto"/>
        </w:rPr>
        <w:t>AMENDMENT AND RESTATEMENT OF THE SEMPRA ENERGY 2005 DEFERRED COMPENSATION PLAN</w:t>
      </w:r>
    </w:p>
    <w:p>
      <w:pPr>
        <w:sectPr>
          <w:pgSz w:w="11900" w:h="16838" w:orient="portrait"/>
          <w:cols w:equalWidth="0" w:num="1">
            <w:col w:w="10240"/>
          </w:cols>
          <w:pgMar w:left="1440" w:top="115" w:right="219" w:bottom="1440" w:gutter="0" w:footer="0" w:header="0"/>
        </w:sectPr>
      </w:pPr>
    </w:p>
    <w:bookmarkStart w:id="94" w:name="page95"/>
    <w:bookmarkEnd w:id="94"/>
    <w:p>
      <w:pPr>
        <w:jc w:val="right"/>
        <w:ind w:right="3539"/>
        <w:spacing w:after="0"/>
        <w:rPr>
          <w:sz w:val="20"/>
          <w:szCs w:val="20"/>
          <w:color w:val="auto"/>
        </w:rPr>
      </w:pPr>
      <w:r>
        <w:rPr>
          <w:rFonts w:ascii="Arial" w:cs="Arial" w:eastAsia="Arial" w:hAnsi="Arial"/>
          <w:sz w:val="19"/>
          <w:szCs w:val="19"/>
          <w:u w:val="single" w:color="auto"/>
          <w:color w:val="auto"/>
        </w:rPr>
        <w:t>TABLE OF CONTENTS</w:t>
      </w:r>
    </w:p>
    <w:p>
      <w:pPr>
        <w:spacing w:after="0" w:line="190" w:lineRule="exact"/>
        <w:rPr>
          <w:sz w:val="20"/>
          <w:szCs w:val="20"/>
          <w:color w:val="auto"/>
        </w:rPr>
      </w:pPr>
    </w:p>
    <w:p>
      <w:pPr>
        <w:spacing w:after="0"/>
        <w:rPr>
          <w:sz w:val="20"/>
          <w:szCs w:val="20"/>
          <w:color w:val="auto"/>
        </w:rPr>
      </w:pPr>
      <w:r>
        <w:rPr>
          <w:rFonts w:ascii="Arial" w:cs="Arial" w:eastAsia="Arial" w:hAnsi="Arial"/>
          <w:sz w:val="19"/>
          <w:szCs w:val="19"/>
          <w:color w:val="auto"/>
        </w:rPr>
        <w:t>ARTICLE I. TITLE AND DEFINITIONS</w:t>
      </w:r>
    </w:p>
    <w:p>
      <w:pPr>
        <w:spacing w:after="0" w:line="176" w:lineRule="exact"/>
        <w:rPr>
          <w:sz w:val="20"/>
          <w:szCs w:val="20"/>
          <w:color w:val="auto"/>
        </w:rPr>
      </w:pPr>
    </w:p>
    <w:tbl>
      <w:tblPr>
        <w:tblLayout w:type="fixed"/>
        <w:tblInd w:w="580" w:type="dxa"/>
        <w:tblCellMar>
          <w:top w:w="0" w:type="dxa"/>
          <w:left w:w="0" w:type="dxa"/>
          <w:bottom w:w="0" w:type="dxa"/>
          <w:right w:w="0" w:type="dxa"/>
        </w:tblCellMar>
      </w:tblPr>
      <w:tr>
        <w:trPr>
          <w:trHeight w:val="218"/>
        </w:trPr>
        <w:tc>
          <w:tcPr>
            <w:tcW w:w="400" w:type="dxa"/>
            <w:vAlign w:val="bottom"/>
          </w:tcPr>
          <w:p>
            <w:pPr>
              <w:jc w:val="right"/>
              <w:ind w:right="64"/>
              <w:spacing w:after="0"/>
              <w:rPr>
                <w:sz w:val="20"/>
                <w:szCs w:val="20"/>
                <w:color w:val="auto"/>
              </w:rPr>
            </w:pPr>
            <w:r>
              <w:rPr>
                <w:rFonts w:ascii="Arial" w:cs="Arial" w:eastAsia="Arial" w:hAnsi="Arial"/>
                <w:sz w:val="19"/>
                <w:szCs w:val="19"/>
                <w:color w:val="auto"/>
                <w:w w:val="83"/>
              </w:rPr>
              <w:t>1.1</w:t>
            </w:r>
          </w:p>
        </w:tc>
        <w:tc>
          <w:tcPr>
            <w:tcW w:w="1080" w:type="dxa"/>
            <w:vAlign w:val="bottom"/>
          </w:tcPr>
          <w:p>
            <w:pPr>
              <w:ind w:left="160"/>
              <w:spacing w:after="0"/>
              <w:rPr>
                <w:sz w:val="20"/>
                <w:szCs w:val="20"/>
                <w:color w:val="auto"/>
              </w:rPr>
            </w:pPr>
            <w:r>
              <w:rPr>
                <w:rFonts w:ascii="Arial" w:cs="Arial" w:eastAsia="Arial" w:hAnsi="Arial"/>
                <w:sz w:val="19"/>
                <w:szCs w:val="19"/>
                <w:color w:val="auto"/>
              </w:rPr>
              <w:t>Title.</w:t>
            </w:r>
          </w:p>
        </w:tc>
      </w:tr>
      <w:tr>
        <w:trPr>
          <w:trHeight w:val="245"/>
        </w:trPr>
        <w:tc>
          <w:tcPr>
            <w:tcW w:w="400" w:type="dxa"/>
            <w:vAlign w:val="bottom"/>
          </w:tcPr>
          <w:p>
            <w:pPr>
              <w:jc w:val="right"/>
              <w:ind w:right="64"/>
              <w:spacing w:after="0"/>
              <w:rPr>
                <w:sz w:val="20"/>
                <w:szCs w:val="20"/>
                <w:color w:val="auto"/>
              </w:rPr>
            </w:pPr>
            <w:r>
              <w:rPr>
                <w:rFonts w:ascii="Arial" w:cs="Arial" w:eastAsia="Arial" w:hAnsi="Arial"/>
                <w:sz w:val="19"/>
                <w:szCs w:val="19"/>
                <w:color w:val="auto"/>
                <w:w w:val="83"/>
              </w:rPr>
              <w:t>1.2</w:t>
            </w:r>
          </w:p>
        </w:tc>
        <w:tc>
          <w:tcPr>
            <w:tcW w:w="1080" w:type="dxa"/>
            <w:vAlign w:val="bottom"/>
          </w:tcPr>
          <w:p>
            <w:pPr>
              <w:ind w:left="160"/>
              <w:spacing w:after="0"/>
              <w:rPr>
                <w:sz w:val="20"/>
                <w:szCs w:val="20"/>
                <w:color w:val="auto"/>
              </w:rPr>
            </w:pPr>
            <w:r>
              <w:rPr>
                <w:rFonts w:ascii="Arial" w:cs="Arial" w:eastAsia="Arial" w:hAnsi="Arial"/>
                <w:sz w:val="19"/>
                <w:szCs w:val="19"/>
                <w:color w:val="auto"/>
                <w:w w:val="95"/>
              </w:rPr>
              <w:t>Definitions.</w:t>
            </w:r>
          </w:p>
        </w:tc>
      </w:tr>
    </w:tbl>
    <w:p>
      <w:pPr>
        <w:spacing w:after="0" w:line="163" w:lineRule="exact"/>
        <w:rPr>
          <w:sz w:val="20"/>
          <w:szCs w:val="20"/>
          <w:color w:val="auto"/>
        </w:rPr>
      </w:pPr>
    </w:p>
    <w:p>
      <w:pPr>
        <w:spacing w:after="0"/>
        <w:rPr>
          <w:sz w:val="20"/>
          <w:szCs w:val="20"/>
          <w:color w:val="auto"/>
        </w:rPr>
      </w:pPr>
      <w:r>
        <w:rPr>
          <w:rFonts w:ascii="Arial" w:cs="Arial" w:eastAsia="Arial" w:hAnsi="Arial"/>
          <w:sz w:val="19"/>
          <w:szCs w:val="19"/>
          <w:color w:val="auto"/>
        </w:rPr>
        <w:t>ARTICLE II. PARTICIPATION</w:t>
      </w:r>
    </w:p>
    <w:p>
      <w:pPr>
        <w:spacing w:after="0" w:line="190" w:lineRule="exact"/>
        <w:rPr>
          <w:sz w:val="20"/>
          <w:szCs w:val="20"/>
          <w:color w:val="auto"/>
        </w:rPr>
      </w:pPr>
    </w:p>
    <w:p>
      <w:pPr>
        <w:spacing w:after="0"/>
        <w:rPr>
          <w:sz w:val="20"/>
          <w:szCs w:val="20"/>
          <w:color w:val="auto"/>
        </w:rPr>
      </w:pPr>
      <w:r>
        <w:rPr>
          <w:rFonts w:ascii="Arial" w:cs="Arial" w:eastAsia="Arial" w:hAnsi="Arial"/>
          <w:sz w:val="19"/>
          <w:szCs w:val="19"/>
          <w:color w:val="auto"/>
        </w:rPr>
        <w:t>ARTICLE III. CONTRIBUTIONS</w:t>
      </w:r>
    </w:p>
    <w:p>
      <w:pPr>
        <w:spacing w:after="0" w:line="168" w:lineRule="exact"/>
        <w:rPr>
          <w:sz w:val="20"/>
          <w:szCs w:val="20"/>
          <w:color w:val="auto"/>
        </w:rPr>
      </w:pPr>
    </w:p>
    <w:p>
      <w:pPr>
        <w:ind w:left="580"/>
        <w:spacing w:after="0"/>
        <w:tabs>
          <w:tab w:leader="none" w:pos="1120" w:val="left"/>
        </w:tabs>
        <w:rPr>
          <w:sz w:val="20"/>
          <w:szCs w:val="20"/>
          <w:color w:val="auto"/>
        </w:rPr>
      </w:pPr>
      <w:r>
        <w:rPr>
          <w:rFonts w:ascii="Arial" w:cs="Arial" w:eastAsia="Arial" w:hAnsi="Arial"/>
          <w:sz w:val="19"/>
          <w:szCs w:val="19"/>
          <w:color w:val="auto"/>
        </w:rPr>
        <w:t>3.1</w:t>
      </w:r>
      <w:r>
        <w:rPr>
          <w:sz w:val="20"/>
          <w:szCs w:val="20"/>
          <w:color w:val="auto"/>
        </w:rPr>
        <w:tab/>
      </w:r>
      <w:r>
        <w:rPr>
          <w:rFonts w:ascii="Arial" w:cs="Arial" w:eastAsia="Arial" w:hAnsi="Arial"/>
          <w:sz w:val="17"/>
          <w:szCs w:val="17"/>
          <w:color w:val="auto"/>
        </w:rPr>
        <w:t>Elections to Defer Compensation</w:t>
      </w:r>
    </w:p>
    <w:p>
      <w:pPr>
        <w:spacing w:after="0" w:line="10" w:lineRule="exact"/>
        <w:rPr>
          <w:sz w:val="20"/>
          <w:szCs w:val="20"/>
          <w:color w:val="auto"/>
        </w:rPr>
      </w:pPr>
    </w:p>
    <w:p>
      <w:pPr>
        <w:ind w:left="580"/>
        <w:spacing w:after="0"/>
        <w:tabs>
          <w:tab w:leader="none" w:pos="1120" w:val="left"/>
        </w:tabs>
        <w:rPr>
          <w:sz w:val="20"/>
          <w:szCs w:val="20"/>
          <w:color w:val="auto"/>
        </w:rPr>
      </w:pPr>
      <w:r>
        <w:rPr>
          <w:rFonts w:ascii="Arial" w:cs="Arial" w:eastAsia="Arial" w:hAnsi="Arial"/>
          <w:sz w:val="19"/>
          <w:szCs w:val="19"/>
          <w:color w:val="auto"/>
        </w:rPr>
        <w:t>3.2</w:t>
      </w:r>
      <w:r>
        <w:rPr>
          <w:sz w:val="20"/>
          <w:szCs w:val="20"/>
          <w:color w:val="auto"/>
        </w:rPr>
        <w:tab/>
      </w:r>
      <w:r>
        <w:rPr>
          <w:rFonts w:ascii="Arial" w:cs="Arial" w:eastAsia="Arial" w:hAnsi="Arial"/>
          <w:sz w:val="18"/>
          <w:szCs w:val="18"/>
          <w:color w:val="auto"/>
        </w:rPr>
        <w:t>Distribution Elections.</w:t>
      </w:r>
    </w:p>
    <w:p>
      <w:pPr>
        <w:ind w:left="580"/>
        <w:spacing w:after="0"/>
        <w:tabs>
          <w:tab w:leader="none" w:pos="1120" w:val="left"/>
        </w:tabs>
        <w:rPr>
          <w:sz w:val="20"/>
          <w:szCs w:val="20"/>
          <w:color w:val="auto"/>
        </w:rPr>
      </w:pPr>
      <w:r>
        <w:rPr>
          <w:rFonts w:ascii="Arial" w:cs="Arial" w:eastAsia="Arial" w:hAnsi="Arial"/>
          <w:sz w:val="19"/>
          <w:szCs w:val="19"/>
          <w:color w:val="auto"/>
        </w:rPr>
        <w:t>3.3</w:t>
      </w:r>
      <w:r>
        <w:rPr>
          <w:sz w:val="20"/>
          <w:szCs w:val="20"/>
          <w:color w:val="auto"/>
        </w:rPr>
        <w:tab/>
      </w:r>
      <w:r>
        <w:rPr>
          <w:rFonts w:ascii="Arial" w:cs="Arial" w:eastAsia="Arial" w:hAnsi="Arial"/>
          <w:sz w:val="17"/>
          <w:szCs w:val="17"/>
          <w:color w:val="auto"/>
        </w:rPr>
        <w:t>Company Matching Contributions</w:t>
      </w:r>
    </w:p>
    <w:p>
      <w:pPr>
        <w:ind w:left="580"/>
        <w:spacing w:after="0"/>
        <w:tabs>
          <w:tab w:leader="none" w:pos="1120" w:val="left"/>
        </w:tabs>
        <w:rPr>
          <w:sz w:val="20"/>
          <w:szCs w:val="20"/>
          <w:color w:val="auto"/>
        </w:rPr>
      </w:pPr>
      <w:r>
        <w:rPr>
          <w:rFonts w:ascii="Arial" w:cs="Arial" w:eastAsia="Arial" w:hAnsi="Arial"/>
          <w:sz w:val="19"/>
          <w:szCs w:val="19"/>
          <w:color w:val="auto"/>
        </w:rPr>
        <w:t>3.4</w:t>
      </w:r>
      <w:r>
        <w:rPr>
          <w:sz w:val="20"/>
          <w:szCs w:val="20"/>
          <w:color w:val="auto"/>
        </w:rPr>
        <w:tab/>
      </w:r>
      <w:r>
        <w:rPr>
          <w:rFonts w:ascii="Arial" w:cs="Arial" w:eastAsia="Arial" w:hAnsi="Arial"/>
          <w:sz w:val="17"/>
          <w:szCs w:val="17"/>
          <w:color w:val="auto"/>
        </w:rPr>
        <w:t>FICA and Other Taxes.</w:t>
      </w:r>
    </w:p>
    <w:p>
      <w:pPr>
        <w:spacing w:after="0" w:line="174" w:lineRule="exact"/>
        <w:rPr>
          <w:sz w:val="20"/>
          <w:szCs w:val="20"/>
          <w:color w:val="auto"/>
        </w:rPr>
      </w:pPr>
    </w:p>
    <w:p>
      <w:pPr>
        <w:spacing w:after="0"/>
        <w:rPr>
          <w:sz w:val="20"/>
          <w:szCs w:val="20"/>
          <w:color w:val="auto"/>
        </w:rPr>
      </w:pPr>
      <w:r>
        <w:rPr>
          <w:rFonts w:ascii="Arial" w:cs="Arial" w:eastAsia="Arial" w:hAnsi="Arial"/>
          <w:sz w:val="19"/>
          <w:szCs w:val="19"/>
          <w:color w:val="auto"/>
        </w:rPr>
        <w:t>ARTICLE IV. INVESTMENTS</w:t>
      </w:r>
    </w:p>
    <w:p>
      <w:pPr>
        <w:spacing w:after="0" w:line="178" w:lineRule="exact"/>
        <w:rPr>
          <w:sz w:val="20"/>
          <w:szCs w:val="20"/>
          <w:color w:val="auto"/>
        </w:rPr>
      </w:pPr>
    </w:p>
    <w:p>
      <w:pPr>
        <w:ind w:left="580"/>
        <w:spacing w:after="0"/>
        <w:tabs>
          <w:tab w:leader="none" w:pos="1120" w:val="left"/>
        </w:tabs>
        <w:rPr>
          <w:sz w:val="20"/>
          <w:szCs w:val="20"/>
          <w:color w:val="auto"/>
        </w:rPr>
      </w:pPr>
      <w:r>
        <w:rPr>
          <w:rFonts w:ascii="Arial" w:cs="Arial" w:eastAsia="Arial" w:hAnsi="Arial"/>
          <w:sz w:val="19"/>
          <w:szCs w:val="19"/>
          <w:color w:val="auto"/>
        </w:rPr>
        <w:t>4.1</w:t>
      </w:r>
      <w:r>
        <w:rPr>
          <w:sz w:val="20"/>
          <w:szCs w:val="20"/>
          <w:color w:val="auto"/>
        </w:rPr>
        <w:tab/>
      </w:r>
      <w:r>
        <w:rPr>
          <w:rFonts w:ascii="Arial" w:cs="Arial" w:eastAsia="Arial" w:hAnsi="Arial"/>
          <w:sz w:val="17"/>
          <w:szCs w:val="17"/>
          <w:color w:val="auto"/>
        </w:rPr>
        <w:t>Measurement Funds.</w:t>
      </w:r>
    </w:p>
    <w:p>
      <w:pPr>
        <w:ind w:left="580"/>
        <w:spacing w:after="0"/>
        <w:tabs>
          <w:tab w:leader="none" w:pos="1120" w:val="left"/>
        </w:tabs>
        <w:rPr>
          <w:sz w:val="20"/>
          <w:szCs w:val="20"/>
          <w:color w:val="auto"/>
        </w:rPr>
      </w:pPr>
      <w:r>
        <w:rPr>
          <w:rFonts w:ascii="Arial" w:cs="Arial" w:eastAsia="Arial" w:hAnsi="Arial"/>
          <w:sz w:val="19"/>
          <w:szCs w:val="19"/>
          <w:color w:val="auto"/>
        </w:rPr>
        <w:t>4.2</w:t>
      </w:r>
      <w:r>
        <w:rPr>
          <w:sz w:val="20"/>
          <w:szCs w:val="20"/>
          <w:color w:val="auto"/>
        </w:rPr>
        <w:tab/>
      </w:r>
      <w:r>
        <w:rPr>
          <w:rFonts w:ascii="Arial" w:cs="Arial" w:eastAsia="Arial" w:hAnsi="Arial"/>
          <w:sz w:val="17"/>
          <w:szCs w:val="17"/>
          <w:color w:val="auto"/>
        </w:rPr>
        <w:t>Investment Elections.</w:t>
      </w:r>
    </w:p>
    <w:p>
      <w:pPr>
        <w:ind w:left="580"/>
        <w:spacing w:after="0"/>
        <w:tabs>
          <w:tab w:leader="none" w:pos="1120" w:val="left"/>
        </w:tabs>
        <w:rPr>
          <w:sz w:val="20"/>
          <w:szCs w:val="20"/>
          <w:color w:val="auto"/>
        </w:rPr>
      </w:pPr>
      <w:r>
        <w:rPr>
          <w:rFonts w:ascii="Arial" w:cs="Arial" w:eastAsia="Arial" w:hAnsi="Arial"/>
          <w:sz w:val="19"/>
          <w:szCs w:val="19"/>
          <w:color w:val="auto"/>
        </w:rPr>
        <w:t>4.3</w:t>
      </w:r>
      <w:r>
        <w:rPr>
          <w:sz w:val="20"/>
          <w:szCs w:val="20"/>
          <w:color w:val="auto"/>
        </w:rPr>
        <w:tab/>
      </w:r>
      <w:r>
        <w:rPr>
          <w:rFonts w:ascii="Arial" w:cs="Arial" w:eastAsia="Arial" w:hAnsi="Arial"/>
          <w:sz w:val="17"/>
          <w:szCs w:val="17"/>
          <w:color w:val="auto"/>
        </w:rPr>
        <w:t>Compliance with Section 16 of the Exchange Act.</w:t>
      </w:r>
    </w:p>
    <w:p>
      <w:pPr>
        <w:spacing w:after="0" w:line="174" w:lineRule="exact"/>
        <w:rPr>
          <w:sz w:val="20"/>
          <w:szCs w:val="20"/>
          <w:color w:val="auto"/>
        </w:rPr>
      </w:pPr>
    </w:p>
    <w:p>
      <w:pPr>
        <w:spacing w:after="0"/>
        <w:rPr>
          <w:sz w:val="20"/>
          <w:szCs w:val="20"/>
          <w:color w:val="auto"/>
        </w:rPr>
      </w:pPr>
      <w:r>
        <w:rPr>
          <w:rFonts w:ascii="Arial" w:cs="Arial" w:eastAsia="Arial" w:hAnsi="Arial"/>
          <w:sz w:val="19"/>
          <w:szCs w:val="19"/>
          <w:color w:val="auto"/>
        </w:rPr>
        <w:t>ARTICLE V. ACCOUNTS</w:t>
      </w:r>
    </w:p>
    <w:p>
      <w:pPr>
        <w:spacing w:after="0" w:line="176" w:lineRule="exact"/>
        <w:rPr>
          <w:sz w:val="20"/>
          <w:szCs w:val="20"/>
          <w:color w:val="auto"/>
        </w:rPr>
      </w:pPr>
    </w:p>
    <w:tbl>
      <w:tblPr>
        <w:tblLayout w:type="fixed"/>
        <w:tblInd w:w="580" w:type="dxa"/>
        <w:tblCellMar>
          <w:top w:w="0" w:type="dxa"/>
          <w:left w:w="0" w:type="dxa"/>
          <w:bottom w:w="0" w:type="dxa"/>
          <w:right w:w="0" w:type="dxa"/>
        </w:tblCellMar>
      </w:tblPr>
      <w:tr>
        <w:trPr>
          <w:trHeight w:val="218"/>
        </w:trPr>
        <w:tc>
          <w:tcPr>
            <w:tcW w:w="400" w:type="dxa"/>
            <w:vAlign w:val="bottom"/>
          </w:tcPr>
          <w:p>
            <w:pPr>
              <w:jc w:val="right"/>
              <w:ind w:right="64"/>
              <w:spacing w:after="0"/>
              <w:rPr>
                <w:sz w:val="20"/>
                <w:szCs w:val="20"/>
                <w:color w:val="auto"/>
              </w:rPr>
            </w:pPr>
            <w:r>
              <w:rPr>
                <w:rFonts w:ascii="Arial" w:cs="Arial" w:eastAsia="Arial" w:hAnsi="Arial"/>
                <w:sz w:val="19"/>
                <w:szCs w:val="19"/>
                <w:color w:val="auto"/>
                <w:w w:val="83"/>
              </w:rPr>
              <w:t>5.1</w:t>
            </w:r>
          </w:p>
        </w:tc>
        <w:tc>
          <w:tcPr>
            <w:tcW w:w="1180" w:type="dxa"/>
            <w:vAlign w:val="bottom"/>
          </w:tcPr>
          <w:p>
            <w:pPr>
              <w:ind w:left="160"/>
              <w:spacing w:after="0"/>
              <w:rPr>
                <w:sz w:val="20"/>
                <w:szCs w:val="20"/>
                <w:color w:val="auto"/>
              </w:rPr>
            </w:pPr>
            <w:r>
              <w:rPr>
                <w:rFonts w:ascii="Arial" w:cs="Arial" w:eastAsia="Arial" w:hAnsi="Arial"/>
                <w:sz w:val="19"/>
                <w:szCs w:val="19"/>
                <w:color w:val="auto"/>
              </w:rPr>
              <w:t>Accounts.</w:t>
            </w:r>
          </w:p>
        </w:tc>
      </w:tr>
      <w:tr>
        <w:trPr>
          <w:trHeight w:val="245"/>
        </w:trPr>
        <w:tc>
          <w:tcPr>
            <w:tcW w:w="400" w:type="dxa"/>
            <w:vAlign w:val="bottom"/>
          </w:tcPr>
          <w:p>
            <w:pPr>
              <w:jc w:val="right"/>
              <w:ind w:right="64"/>
              <w:spacing w:after="0"/>
              <w:rPr>
                <w:sz w:val="20"/>
                <w:szCs w:val="20"/>
                <w:color w:val="auto"/>
              </w:rPr>
            </w:pPr>
            <w:r>
              <w:rPr>
                <w:rFonts w:ascii="Arial" w:cs="Arial" w:eastAsia="Arial" w:hAnsi="Arial"/>
                <w:sz w:val="19"/>
                <w:szCs w:val="19"/>
                <w:color w:val="auto"/>
                <w:w w:val="83"/>
              </w:rPr>
              <w:t>5.2</w:t>
            </w:r>
          </w:p>
        </w:tc>
        <w:tc>
          <w:tcPr>
            <w:tcW w:w="1180" w:type="dxa"/>
            <w:vAlign w:val="bottom"/>
          </w:tcPr>
          <w:p>
            <w:pPr>
              <w:ind w:left="160"/>
              <w:spacing w:after="0"/>
              <w:rPr>
                <w:sz w:val="20"/>
                <w:szCs w:val="20"/>
                <w:color w:val="auto"/>
              </w:rPr>
            </w:pPr>
            <w:r>
              <w:rPr>
                <w:rFonts w:ascii="Arial" w:cs="Arial" w:eastAsia="Arial" w:hAnsi="Arial"/>
                <w:sz w:val="19"/>
                <w:szCs w:val="19"/>
                <w:color w:val="auto"/>
                <w:w w:val="86"/>
              </w:rPr>
              <w:t>Subaccounts.</w:t>
            </w:r>
          </w:p>
        </w:tc>
      </w:tr>
    </w:tbl>
    <w:p>
      <w:pPr>
        <w:spacing w:after="0" w:line="163" w:lineRule="exact"/>
        <w:rPr>
          <w:sz w:val="20"/>
          <w:szCs w:val="20"/>
          <w:color w:val="auto"/>
        </w:rPr>
      </w:pPr>
    </w:p>
    <w:p>
      <w:pPr>
        <w:spacing w:after="0"/>
        <w:rPr>
          <w:sz w:val="20"/>
          <w:szCs w:val="20"/>
          <w:color w:val="auto"/>
        </w:rPr>
      </w:pPr>
      <w:r>
        <w:rPr>
          <w:rFonts w:ascii="Arial" w:cs="Arial" w:eastAsia="Arial" w:hAnsi="Arial"/>
          <w:sz w:val="19"/>
          <w:szCs w:val="19"/>
          <w:color w:val="auto"/>
        </w:rPr>
        <w:t>ARTICLE VI. VESTING</w:t>
      </w:r>
    </w:p>
    <w:p>
      <w:pPr>
        <w:spacing w:after="0" w:line="190" w:lineRule="exact"/>
        <w:rPr>
          <w:sz w:val="20"/>
          <w:szCs w:val="20"/>
          <w:color w:val="auto"/>
        </w:rPr>
      </w:pPr>
    </w:p>
    <w:p>
      <w:pPr>
        <w:spacing w:after="0"/>
        <w:rPr>
          <w:sz w:val="20"/>
          <w:szCs w:val="20"/>
          <w:color w:val="auto"/>
        </w:rPr>
      </w:pPr>
      <w:r>
        <w:rPr>
          <w:rFonts w:ascii="Arial" w:cs="Arial" w:eastAsia="Arial" w:hAnsi="Arial"/>
          <w:sz w:val="19"/>
          <w:szCs w:val="19"/>
          <w:color w:val="auto"/>
        </w:rPr>
        <w:t>ARTICLE VII. DISTRIBUTIONS</w:t>
      </w:r>
    </w:p>
    <w:p>
      <w:pPr>
        <w:spacing w:after="0" w:line="168" w:lineRule="exact"/>
        <w:rPr>
          <w:sz w:val="20"/>
          <w:szCs w:val="20"/>
          <w:color w:val="auto"/>
        </w:rPr>
      </w:pPr>
    </w:p>
    <w:p>
      <w:pPr>
        <w:ind w:left="580"/>
        <w:spacing w:after="0"/>
        <w:tabs>
          <w:tab w:leader="none" w:pos="1120" w:val="left"/>
        </w:tabs>
        <w:rPr>
          <w:sz w:val="20"/>
          <w:szCs w:val="20"/>
          <w:color w:val="auto"/>
        </w:rPr>
      </w:pPr>
      <w:r>
        <w:rPr>
          <w:rFonts w:ascii="Arial" w:cs="Arial" w:eastAsia="Arial" w:hAnsi="Arial"/>
          <w:sz w:val="19"/>
          <w:szCs w:val="19"/>
          <w:color w:val="auto"/>
        </w:rPr>
        <w:t>7.1</w:t>
      </w:r>
      <w:r>
        <w:rPr>
          <w:sz w:val="20"/>
          <w:szCs w:val="20"/>
          <w:color w:val="auto"/>
        </w:rPr>
        <w:tab/>
      </w:r>
      <w:r>
        <w:rPr>
          <w:rFonts w:ascii="Arial" w:cs="Arial" w:eastAsia="Arial" w:hAnsi="Arial"/>
          <w:sz w:val="18"/>
          <w:szCs w:val="18"/>
          <w:color w:val="auto"/>
        </w:rPr>
        <w:t>Distribution of Accounts.</w:t>
      </w:r>
    </w:p>
    <w:p>
      <w:pPr>
        <w:spacing w:after="0" w:line="10" w:lineRule="exact"/>
        <w:rPr>
          <w:sz w:val="20"/>
          <w:szCs w:val="20"/>
          <w:color w:val="auto"/>
        </w:rPr>
      </w:pPr>
    </w:p>
    <w:p>
      <w:pPr>
        <w:ind w:left="580"/>
        <w:spacing w:after="0"/>
        <w:tabs>
          <w:tab w:leader="none" w:pos="1120" w:val="left"/>
        </w:tabs>
        <w:rPr>
          <w:sz w:val="20"/>
          <w:szCs w:val="20"/>
          <w:color w:val="auto"/>
        </w:rPr>
      </w:pPr>
      <w:r>
        <w:rPr>
          <w:rFonts w:ascii="Arial" w:cs="Arial" w:eastAsia="Arial" w:hAnsi="Arial"/>
          <w:sz w:val="19"/>
          <w:szCs w:val="19"/>
          <w:color w:val="auto"/>
        </w:rPr>
        <w:t>7.2</w:t>
      </w:r>
      <w:r>
        <w:rPr>
          <w:sz w:val="20"/>
          <w:szCs w:val="20"/>
          <w:color w:val="auto"/>
        </w:rPr>
        <w:tab/>
      </w:r>
      <w:r>
        <w:rPr>
          <w:rFonts w:ascii="Arial" w:cs="Arial" w:eastAsia="Arial" w:hAnsi="Arial"/>
          <w:sz w:val="18"/>
          <w:szCs w:val="18"/>
          <w:color w:val="auto"/>
        </w:rPr>
        <w:t>Hardship Distribution.</w:t>
      </w:r>
    </w:p>
    <w:p>
      <w:pPr>
        <w:ind w:left="580"/>
        <w:spacing w:after="0"/>
        <w:tabs>
          <w:tab w:leader="none" w:pos="1120" w:val="left"/>
        </w:tabs>
        <w:rPr>
          <w:sz w:val="20"/>
          <w:szCs w:val="20"/>
          <w:color w:val="auto"/>
        </w:rPr>
      </w:pPr>
      <w:r>
        <w:rPr>
          <w:rFonts w:ascii="Arial" w:cs="Arial" w:eastAsia="Arial" w:hAnsi="Arial"/>
          <w:sz w:val="19"/>
          <w:szCs w:val="19"/>
          <w:color w:val="auto"/>
        </w:rPr>
        <w:t>7.3</w:t>
      </w:r>
      <w:r>
        <w:rPr>
          <w:sz w:val="20"/>
          <w:szCs w:val="20"/>
          <w:color w:val="auto"/>
        </w:rPr>
        <w:tab/>
      </w:r>
      <w:r>
        <w:rPr>
          <w:rFonts w:ascii="Arial" w:cs="Arial" w:eastAsia="Arial" w:hAnsi="Arial"/>
          <w:sz w:val="17"/>
          <w:szCs w:val="17"/>
          <w:color w:val="auto"/>
        </w:rPr>
        <w:t>Effect of a Change in Control.</w:t>
      </w:r>
    </w:p>
    <w:p>
      <w:pPr>
        <w:ind w:left="580"/>
        <w:spacing w:after="0"/>
        <w:tabs>
          <w:tab w:leader="none" w:pos="1120" w:val="left"/>
        </w:tabs>
        <w:rPr>
          <w:sz w:val="20"/>
          <w:szCs w:val="20"/>
          <w:color w:val="auto"/>
        </w:rPr>
      </w:pPr>
      <w:r>
        <w:rPr>
          <w:rFonts w:ascii="Arial" w:cs="Arial" w:eastAsia="Arial" w:hAnsi="Arial"/>
          <w:sz w:val="19"/>
          <w:szCs w:val="19"/>
          <w:color w:val="auto"/>
        </w:rPr>
        <w:t>7.4</w:t>
      </w:r>
      <w:r>
        <w:rPr>
          <w:sz w:val="20"/>
          <w:szCs w:val="20"/>
          <w:color w:val="auto"/>
        </w:rPr>
        <w:tab/>
      </w:r>
      <w:r>
        <w:rPr>
          <w:rFonts w:ascii="Arial" w:cs="Arial" w:eastAsia="Arial" w:hAnsi="Arial"/>
          <w:sz w:val="18"/>
          <w:szCs w:val="18"/>
          <w:color w:val="auto"/>
        </w:rPr>
        <w:t>Inability to Locate Participant.</w:t>
      </w:r>
    </w:p>
    <w:p>
      <w:pPr>
        <w:spacing w:after="0" w:line="1" w:lineRule="exact"/>
        <w:rPr>
          <w:sz w:val="20"/>
          <w:szCs w:val="20"/>
          <w:color w:val="auto"/>
        </w:rPr>
      </w:pPr>
    </w:p>
    <w:p>
      <w:pPr>
        <w:ind w:left="580"/>
        <w:spacing w:after="0"/>
        <w:tabs>
          <w:tab w:leader="none" w:pos="1120" w:val="left"/>
        </w:tabs>
        <w:rPr>
          <w:sz w:val="20"/>
          <w:szCs w:val="20"/>
          <w:color w:val="auto"/>
        </w:rPr>
      </w:pPr>
      <w:r>
        <w:rPr>
          <w:rFonts w:ascii="Arial" w:cs="Arial" w:eastAsia="Arial" w:hAnsi="Arial"/>
          <w:sz w:val="19"/>
          <w:szCs w:val="19"/>
          <w:color w:val="auto"/>
        </w:rPr>
        <w:t>7.5</w:t>
      </w:r>
      <w:r>
        <w:rPr>
          <w:sz w:val="20"/>
          <w:szCs w:val="20"/>
          <w:color w:val="auto"/>
        </w:rPr>
        <w:tab/>
      </w:r>
      <w:r>
        <w:rPr>
          <w:rFonts w:ascii="Arial" w:cs="Arial" w:eastAsia="Arial" w:hAnsi="Arial"/>
          <w:sz w:val="18"/>
          <w:szCs w:val="18"/>
          <w:color w:val="auto"/>
        </w:rPr>
        <w:t>Prohibition on Acceleration of Distributions.</w:t>
      </w:r>
    </w:p>
    <w:p>
      <w:pPr>
        <w:spacing w:after="0" w:line="174" w:lineRule="exact"/>
        <w:rPr>
          <w:sz w:val="20"/>
          <w:szCs w:val="20"/>
          <w:color w:val="auto"/>
        </w:rPr>
      </w:pPr>
    </w:p>
    <w:p>
      <w:pPr>
        <w:spacing w:after="0"/>
        <w:rPr>
          <w:sz w:val="20"/>
          <w:szCs w:val="20"/>
          <w:color w:val="auto"/>
        </w:rPr>
      </w:pPr>
      <w:r>
        <w:rPr>
          <w:rFonts w:ascii="Arial" w:cs="Arial" w:eastAsia="Arial" w:hAnsi="Arial"/>
          <w:sz w:val="19"/>
          <w:szCs w:val="19"/>
          <w:color w:val="auto"/>
        </w:rPr>
        <w:t>ARTICLE VIII. ADMINISTRATION</w:t>
      </w:r>
    </w:p>
    <w:p>
      <w:pPr>
        <w:spacing w:after="0" w:line="168" w:lineRule="exact"/>
        <w:rPr>
          <w:sz w:val="20"/>
          <w:szCs w:val="20"/>
          <w:color w:val="auto"/>
        </w:rPr>
      </w:pPr>
    </w:p>
    <w:p>
      <w:pPr>
        <w:ind w:left="580"/>
        <w:spacing w:after="0"/>
        <w:tabs>
          <w:tab w:leader="none" w:pos="1120" w:val="left"/>
        </w:tabs>
        <w:rPr>
          <w:sz w:val="20"/>
          <w:szCs w:val="20"/>
          <w:color w:val="auto"/>
        </w:rPr>
      </w:pPr>
      <w:r>
        <w:rPr>
          <w:rFonts w:ascii="Arial" w:cs="Arial" w:eastAsia="Arial" w:hAnsi="Arial"/>
          <w:sz w:val="19"/>
          <w:szCs w:val="19"/>
          <w:color w:val="auto"/>
        </w:rPr>
        <w:t>8.1</w:t>
      </w:r>
      <w:r>
        <w:rPr>
          <w:sz w:val="20"/>
          <w:szCs w:val="20"/>
          <w:color w:val="auto"/>
        </w:rPr>
        <w:tab/>
      </w:r>
      <w:r>
        <w:rPr>
          <w:rFonts w:ascii="Arial" w:cs="Arial" w:eastAsia="Arial" w:hAnsi="Arial"/>
          <w:sz w:val="17"/>
          <w:szCs w:val="17"/>
          <w:color w:val="auto"/>
        </w:rPr>
        <w:t>Committee.</w:t>
      </w:r>
    </w:p>
    <w:p>
      <w:pPr>
        <w:spacing w:after="0" w:line="10" w:lineRule="exact"/>
        <w:rPr>
          <w:sz w:val="20"/>
          <w:szCs w:val="20"/>
          <w:color w:val="auto"/>
        </w:rPr>
      </w:pPr>
    </w:p>
    <w:p>
      <w:pPr>
        <w:ind w:left="580"/>
        <w:spacing w:after="0"/>
        <w:tabs>
          <w:tab w:leader="none" w:pos="1120" w:val="left"/>
        </w:tabs>
        <w:rPr>
          <w:sz w:val="20"/>
          <w:szCs w:val="20"/>
          <w:color w:val="auto"/>
        </w:rPr>
      </w:pPr>
      <w:r>
        <w:rPr>
          <w:rFonts w:ascii="Arial" w:cs="Arial" w:eastAsia="Arial" w:hAnsi="Arial"/>
          <w:sz w:val="19"/>
          <w:szCs w:val="19"/>
          <w:color w:val="auto"/>
        </w:rPr>
        <w:t>8.2</w:t>
      </w:r>
      <w:r>
        <w:rPr>
          <w:sz w:val="20"/>
          <w:szCs w:val="20"/>
          <w:color w:val="auto"/>
        </w:rPr>
        <w:tab/>
      </w:r>
      <w:r>
        <w:rPr>
          <w:rFonts w:ascii="Arial" w:cs="Arial" w:eastAsia="Arial" w:hAnsi="Arial"/>
          <w:sz w:val="18"/>
          <w:szCs w:val="18"/>
          <w:color w:val="auto"/>
        </w:rPr>
        <w:t>Administrator.</w:t>
      </w:r>
    </w:p>
    <w:p>
      <w:pPr>
        <w:ind w:left="580"/>
        <w:spacing w:after="0" w:line="236" w:lineRule="auto"/>
        <w:tabs>
          <w:tab w:leader="none" w:pos="1120" w:val="left"/>
        </w:tabs>
        <w:rPr>
          <w:sz w:val="20"/>
          <w:szCs w:val="20"/>
          <w:color w:val="auto"/>
        </w:rPr>
      </w:pPr>
      <w:r>
        <w:rPr>
          <w:rFonts w:ascii="Arial" w:cs="Arial" w:eastAsia="Arial" w:hAnsi="Arial"/>
          <w:sz w:val="19"/>
          <w:szCs w:val="19"/>
          <w:color w:val="auto"/>
        </w:rPr>
        <w:t>8.3</w:t>
      </w:r>
      <w:r>
        <w:rPr>
          <w:sz w:val="20"/>
          <w:szCs w:val="20"/>
          <w:color w:val="auto"/>
        </w:rPr>
        <w:tab/>
      </w:r>
      <w:r>
        <w:rPr>
          <w:rFonts w:ascii="Arial" w:cs="Arial" w:eastAsia="Arial" w:hAnsi="Arial"/>
          <w:sz w:val="18"/>
          <w:szCs w:val="18"/>
          <w:color w:val="auto"/>
        </w:rPr>
        <w:t>Committee Action.</w:t>
      </w:r>
    </w:p>
    <w:p>
      <w:pPr>
        <w:ind w:left="580"/>
        <w:spacing w:after="0"/>
        <w:tabs>
          <w:tab w:leader="none" w:pos="1120" w:val="left"/>
        </w:tabs>
        <w:rPr>
          <w:sz w:val="20"/>
          <w:szCs w:val="20"/>
          <w:color w:val="auto"/>
        </w:rPr>
      </w:pPr>
      <w:r>
        <w:rPr>
          <w:rFonts w:ascii="Arial" w:cs="Arial" w:eastAsia="Arial" w:hAnsi="Arial"/>
          <w:sz w:val="19"/>
          <w:szCs w:val="19"/>
          <w:color w:val="auto"/>
        </w:rPr>
        <w:t>8.4</w:t>
      </w:r>
      <w:r>
        <w:rPr>
          <w:sz w:val="20"/>
          <w:szCs w:val="20"/>
          <w:color w:val="auto"/>
        </w:rPr>
        <w:tab/>
      </w:r>
      <w:r>
        <w:rPr>
          <w:rFonts w:ascii="Arial" w:cs="Arial" w:eastAsia="Arial" w:hAnsi="Arial"/>
          <w:sz w:val="17"/>
          <w:szCs w:val="17"/>
          <w:color w:val="auto"/>
        </w:rPr>
        <w:t>Powers and Duties of the Committee.</w:t>
      </w:r>
    </w:p>
    <w:p>
      <w:pPr>
        <w:ind w:left="580"/>
        <w:spacing w:after="0"/>
        <w:tabs>
          <w:tab w:leader="none" w:pos="1120" w:val="left"/>
        </w:tabs>
        <w:rPr>
          <w:sz w:val="20"/>
          <w:szCs w:val="20"/>
          <w:color w:val="auto"/>
        </w:rPr>
      </w:pPr>
      <w:r>
        <w:rPr>
          <w:rFonts w:ascii="Arial" w:cs="Arial" w:eastAsia="Arial" w:hAnsi="Arial"/>
          <w:sz w:val="19"/>
          <w:szCs w:val="19"/>
          <w:color w:val="auto"/>
        </w:rPr>
        <w:t>8.5</w:t>
      </w:r>
      <w:r>
        <w:rPr>
          <w:sz w:val="20"/>
          <w:szCs w:val="20"/>
          <w:color w:val="auto"/>
        </w:rPr>
        <w:tab/>
      </w:r>
      <w:r>
        <w:rPr>
          <w:rFonts w:ascii="Arial" w:cs="Arial" w:eastAsia="Arial" w:hAnsi="Arial"/>
          <w:sz w:val="17"/>
          <w:szCs w:val="17"/>
          <w:color w:val="auto"/>
        </w:rPr>
        <w:t>Construction and Interpretation.</w:t>
      </w:r>
    </w:p>
    <w:p>
      <w:pPr>
        <w:ind w:left="580"/>
        <w:spacing w:after="0" w:line="236" w:lineRule="auto"/>
        <w:tabs>
          <w:tab w:leader="none" w:pos="1120" w:val="left"/>
        </w:tabs>
        <w:rPr>
          <w:sz w:val="20"/>
          <w:szCs w:val="20"/>
          <w:color w:val="auto"/>
        </w:rPr>
      </w:pPr>
      <w:r>
        <w:rPr>
          <w:rFonts w:ascii="Arial" w:cs="Arial" w:eastAsia="Arial" w:hAnsi="Arial"/>
          <w:sz w:val="19"/>
          <w:szCs w:val="19"/>
          <w:color w:val="auto"/>
        </w:rPr>
        <w:t>8.6</w:t>
      </w:r>
      <w:r>
        <w:rPr>
          <w:sz w:val="20"/>
          <w:szCs w:val="20"/>
          <w:color w:val="auto"/>
        </w:rPr>
        <w:tab/>
      </w:r>
      <w:r>
        <w:rPr>
          <w:rFonts w:ascii="Arial" w:cs="Arial" w:eastAsia="Arial" w:hAnsi="Arial"/>
          <w:sz w:val="18"/>
          <w:szCs w:val="18"/>
          <w:color w:val="auto"/>
        </w:rPr>
        <w:t>Information.</w:t>
      </w:r>
    </w:p>
    <w:p>
      <w:pPr>
        <w:ind w:left="580"/>
        <w:spacing w:after="0"/>
        <w:tabs>
          <w:tab w:leader="none" w:pos="1120" w:val="left"/>
        </w:tabs>
        <w:rPr>
          <w:sz w:val="20"/>
          <w:szCs w:val="20"/>
          <w:color w:val="auto"/>
        </w:rPr>
      </w:pPr>
      <w:r>
        <w:rPr>
          <w:rFonts w:ascii="Arial" w:cs="Arial" w:eastAsia="Arial" w:hAnsi="Arial"/>
          <w:sz w:val="19"/>
          <w:szCs w:val="19"/>
          <w:color w:val="auto"/>
        </w:rPr>
        <w:t>8.7</w:t>
      </w:r>
      <w:r>
        <w:rPr>
          <w:sz w:val="20"/>
          <w:szCs w:val="20"/>
          <w:color w:val="auto"/>
        </w:rPr>
        <w:tab/>
      </w:r>
      <w:r>
        <w:rPr>
          <w:rFonts w:ascii="Arial" w:cs="Arial" w:eastAsia="Arial" w:hAnsi="Arial"/>
          <w:sz w:val="17"/>
          <w:szCs w:val="17"/>
          <w:color w:val="auto"/>
        </w:rPr>
        <w:t>Compensation, Expenses and Indemnity.</w:t>
      </w:r>
    </w:p>
    <w:p>
      <w:pPr>
        <w:ind w:left="580"/>
        <w:spacing w:after="0"/>
        <w:tabs>
          <w:tab w:leader="none" w:pos="1120" w:val="left"/>
        </w:tabs>
        <w:rPr>
          <w:sz w:val="20"/>
          <w:szCs w:val="20"/>
          <w:color w:val="auto"/>
        </w:rPr>
      </w:pPr>
      <w:r>
        <w:rPr>
          <w:rFonts w:ascii="Arial" w:cs="Arial" w:eastAsia="Arial" w:hAnsi="Arial"/>
          <w:sz w:val="19"/>
          <w:szCs w:val="19"/>
          <w:color w:val="auto"/>
        </w:rPr>
        <w:t>8.8</w:t>
      </w:r>
      <w:r>
        <w:rPr>
          <w:sz w:val="20"/>
          <w:szCs w:val="20"/>
          <w:color w:val="auto"/>
        </w:rPr>
        <w:tab/>
      </w:r>
      <w:r>
        <w:rPr>
          <w:rFonts w:ascii="Arial" w:cs="Arial" w:eastAsia="Arial" w:hAnsi="Arial"/>
          <w:sz w:val="17"/>
          <w:szCs w:val="17"/>
          <w:color w:val="auto"/>
        </w:rPr>
        <w:t>Quarterly Statements.</w:t>
      </w:r>
    </w:p>
    <w:p>
      <w:pPr>
        <w:ind w:left="580"/>
        <w:spacing w:after="0"/>
        <w:tabs>
          <w:tab w:leader="none" w:pos="1120" w:val="left"/>
        </w:tabs>
        <w:rPr>
          <w:sz w:val="20"/>
          <w:szCs w:val="20"/>
          <w:color w:val="auto"/>
        </w:rPr>
      </w:pPr>
      <w:r>
        <w:rPr>
          <w:rFonts w:ascii="Arial" w:cs="Arial" w:eastAsia="Arial" w:hAnsi="Arial"/>
          <w:sz w:val="19"/>
          <w:szCs w:val="19"/>
          <w:color w:val="auto"/>
        </w:rPr>
        <w:t>8.9</w:t>
      </w:r>
      <w:r>
        <w:rPr>
          <w:sz w:val="20"/>
          <w:szCs w:val="20"/>
          <w:color w:val="auto"/>
        </w:rPr>
        <w:tab/>
      </w:r>
      <w:r>
        <w:rPr>
          <w:rFonts w:ascii="Arial" w:cs="Arial" w:eastAsia="Arial" w:hAnsi="Arial"/>
          <w:sz w:val="17"/>
          <w:szCs w:val="17"/>
          <w:color w:val="auto"/>
        </w:rPr>
        <w:t>Disputes.</w:t>
      </w:r>
    </w:p>
    <w:p>
      <w:pPr>
        <w:spacing w:after="0" w:line="1" w:lineRule="exact"/>
        <w:rPr>
          <w:sz w:val="20"/>
          <w:szCs w:val="20"/>
          <w:color w:val="auto"/>
        </w:rPr>
      </w:pPr>
    </w:p>
    <w:p>
      <w:pPr>
        <w:ind w:left="580"/>
        <w:spacing w:after="0"/>
        <w:tabs>
          <w:tab w:leader="none" w:pos="1120" w:val="left"/>
        </w:tabs>
        <w:rPr>
          <w:sz w:val="20"/>
          <w:szCs w:val="20"/>
          <w:color w:val="auto"/>
        </w:rPr>
      </w:pPr>
      <w:r>
        <w:rPr>
          <w:rFonts w:ascii="Arial" w:cs="Arial" w:eastAsia="Arial" w:hAnsi="Arial"/>
          <w:sz w:val="19"/>
          <w:szCs w:val="19"/>
          <w:color w:val="auto"/>
        </w:rPr>
        <w:t>8.10</w:t>
      </w:r>
      <w:r>
        <w:rPr>
          <w:sz w:val="20"/>
          <w:szCs w:val="20"/>
          <w:color w:val="auto"/>
        </w:rPr>
        <w:tab/>
      </w:r>
      <w:r>
        <w:rPr>
          <w:rFonts w:ascii="Arial" w:cs="Arial" w:eastAsia="Arial" w:hAnsi="Arial"/>
          <w:sz w:val="17"/>
          <w:szCs w:val="17"/>
          <w:color w:val="auto"/>
        </w:rPr>
        <w:t>Compliance with Section 409A of the Code</w:t>
      </w:r>
    </w:p>
    <w:p>
      <w:pPr>
        <w:spacing w:after="0" w:line="174" w:lineRule="exact"/>
        <w:rPr>
          <w:sz w:val="20"/>
          <w:szCs w:val="20"/>
          <w:color w:val="auto"/>
        </w:rPr>
      </w:pPr>
    </w:p>
    <w:p>
      <w:pPr>
        <w:spacing w:after="0"/>
        <w:rPr>
          <w:sz w:val="20"/>
          <w:szCs w:val="20"/>
          <w:color w:val="auto"/>
        </w:rPr>
      </w:pPr>
      <w:r>
        <w:rPr>
          <w:rFonts w:ascii="Arial" w:cs="Arial" w:eastAsia="Arial" w:hAnsi="Arial"/>
          <w:sz w:val="19"/>
          <w:szCs w:val="19"/>
          <w:color w:val="auto"/>
        </w:rPr>
        <w:t>ARTICLE IX. MISCELLANEOUS</w:t>
      </w:r>
    </w:p>
    <w:p>
      <w:pPr>
        <w:spacing w:after="0" w:line="178" w:lineRule="exact"/>
        <w:rPr>
          <w:sz w:val="20"/>
          <w:szCs w:val="20"/>
          <w:color w:val="auto"/>
        </w:rPr>
      </w:pPr>
    </w:p>
    <w:p>
      <w:pPr>
        <w:ind w:left="580"/>
        <w:spacing w:after="0"/>
        <w:tabs>
          <w:tab w:leader="none" w:pos="1120" w:val="left"/>
        </w:tabs>
        <w:rPr>
          <w:sz w:val="20"/>
          <w:szCs w:val="20"/>
          <w:color w:val="auto"/>
        </w:rPr>
      </w:pPr>
      <w:r>
        <w:rPr>
          <w:rFonts w:ascii="Arial" w:cs="Arial" w:eastAsia="Arial" w:hAnsi="Arial"/>
          <w:sz w:val="19"/>
          <w:szCs w:val="19"/>
          <w:color w:val="auto"/>
        </w:rPr>
        <w:t>9.1</w:t>
      </w:r>
      <w:r>
        <w:rPr>
          <w:sz w:val="20"/>
          <w:szCs w:val="20"/>
          <w:color w:val="auto"/>
        </w:rPr>
        <w:tab/>
      </w:r>
      <w:r>
        <w:rPr>
          <w:rFonts w:ascii="Arial" w:cs="Arial" w:eastAsia="Arial" w:hAnsi="Arial"/>
          <w:sz w:val="17"/>
          <w:szCs w:val="17"/>
          <w:color w:val="auto"/>
        </w:rPr>
        <w:t>Unsecured General Creditor.</w:t>
      </w:r>
    </w:p>
    <w:p>
      <w:pPr>
        <w:ind w:left="580"/>
        <w:spacing w:after="0"/>
        <w:tabs>
          <w:tab w:leader="none" w:pos="1120" w:val="left"/>
        </w:tabs>
        <w:rPr>
          <w:sz w:val="20"/>
          <w:szCs w:val="20"/>
          <w:color w:val="auto"/>
        </w:rPr>
      </w:pPr>
      <w:r>
        <w:rPr>
          <w:rFonts w:ascii="Arial" w:cs="Arial" w:eastAsia="Arial" w:hAnsi="Arial"/>
          <w:sz w:val="19"/>
          <w:szCs w:val="19"/>
          <w:color w:val="auto"/>
        </w:rPr>
        <w:t>9.2</w:t>
      </w:r>
      <w:r>
        <w:rPr>
          <w:sz w:val="20"/>
          <w:szCs w:val="20"/>
          <w:color w:val="auto"/>
        </w:rPr>
        <w:tab/>
      </w:r>
      <w:r>
        <w:rPr>
          <w:rFonts w:ascii="Arial" w:cs="Arial" w:eastAsia="Arial" w:hAnsi="Arial"/>
          <w:sz w:val="17"/>
          <w:szCs w:val="17"/>
          <w:color w:val="auto"/>
        </w:rPr>
        <w:t>Restriction Against Assignment.</w:t>
      </w:r>
    </w:p>
    <w:p>
      <w:pPr>
        <w:ind w:left="580"/>
        <w:spacing w:after="0" w:line="236" w:lineRule="auto"/>
        <w:tabs>
          <w:tab w:leader="none" w:pos="1120" w:val="left"/>
        </w:tabs>
        <w:rPr>
          <w:sz w:val="20"/>
          <w:szCs w:val="20"/>
          <w:color w:val="auto"/>
        </w:rPr>
      </w:pPr>
      <w:r>
        <w:rPr>
          <w:rFonts w:ascii="Arial" w:cs="Arial" w:eastAsia="Arial" w:hAnsi="Arial"/>
          <w:sz w:val="19"/>
          <w:szCs w:val="19"/>
          <w:color w:val="auto"/>
        </w:rPr>
        <w:t>9.3</w:t>
      </w:r>
      <w:r>
        <w:rPr>
          <w:sz w:val="20"/>
          <w:szCs w:val="20"/>
          <w:color w:val="auto"/>
        </w:rPr>
        <w:tab/>
      </w:r>
      <w:r>
        <w:rPr>
          <w:rFonts w:ascii="Arial" w:cs="Arial" w:eastAsia="Arial" w:hAnsi="Arial"/>
          <w:sz w:val="18"/>
          <w:szCs w:val="18"/>
          <w:color w:val="auto"/>
        </w:rPr>
        <w:t>Withholding.</w:t>
      </w:r>
    </w:p>
    <w:p>
      <w:pPr>
        <w:ind w:left="580"/>
        <w:spacing w:after="0"/>
        <w:tabs>
          <w:tab w:leader="none" w:pos="1120" w:val="left"/>
        </w:tabs>
        <w:rPr>
          <w:sz w:val="20"/>
          <w:szCs w:val="20"/>
          <w:color w:val="auto"/>
        </w:rPr>
      </w:pPr>
      <w:r>
        <w:rPr>
          <w:rFonts w:ascii="Arial" w:cs="Arial" w:eastAsia="Arial" w:hAnsi="Arial"/>
          <w:sz w:val="19"/>
          <w:szCs w:val="19"/>
          <w:color w:val="auto"/>
        </w:rPr>
        <w:t>9.4</w:t>
      </w:r>
      <w:r>
        <w:rPr>
          <w:sz w:val="20"/>
          <w:szCs w:val="20"/>
          <w:color w:val="auto"/>
        </w:rPr>
        <w:tab/>
      </w:r>
      <w:r>
        <w:rPr>
          <w:rFonts w:ascii="Arial" w:cs="Arial" w:eastAsia="Arial" w:hAnsi="Arial"/>
          <w:sz w:val="17"/>
          <w:szCs w:val="17"/>
          <w:color w:val="auto"/>
        </w:rPr>
        <w:t>Amendment, Modification, Suspension or Termination.</w:t>
      </w:r>
    </w:p>
    <w:p>
      <w:pPr>
        <w:ind w:left="580"/>
        <w:spacing w:after="0"/>
        <w:tabs>
          <w:tab w:leader="none" w:pos="1120" w:val="left"/>
        </w:tabs>
        <w:rPr>
          <w:sz w:val="20"/>
          <w:szCs w:val="20"/>
          <w:color w:val="auto"/>
        </w:rPr>
      </w:pPr>
      <w:r>
        <w:rPr>
          <w:rFonts w:ascii="Arial" w:cs="Arial" w:eastAsia="Arial" w:hAnsi="Arial"/>
          <w:sz w:val="19"/>
          <w:szCs w:val="19"/>
          <w:color w:val="auto"/>
        </w:rPr>
        <w:t>9.5</w:t>
      </w:r>
      <w:r>
        <w:rPr>
          <w:sz w:val="20"/>
          <w:szCs w:val="20"/>
          <w:color w:val="auto"/>
        </w:rPr>
        <w:tab/>
      </w:r>
      <w:r>
        <w:rPr>
          <w:rFonts w:ascii="Arial" w:cs="Arial" w:eastAsia="Arial" w:hAnsi="Arial"/>
          <w:sz w:val="17"/>
          <w:szCs w:val="17"/>
          <w:color w:val="auto"/>
        </w:rPr>
        <w:t>Designation of Beneficiary.</w:t>
      </w:r>
    </w:p>
    <w:p>
      <w:pPr>
        <w:ind w:left="580"/>
        <w:spacing w:after="0"/>
        <w:tabs>
          <w:tab w:leader="none" w:pos="1120" w:val="left"/>
        </w:tabs>
        <w:rPr>
          <w:sz w:val="20"/>
          <w:szCs w:val="20"/>
          <w:color w:val="auto"/>
        </w:rPr>
      </w:pPr>
      <w:r>
        <w:rPr>
          <w:rFonts w:ascii="Arial" w:cs="Arial" w:eastAsia="Arial" w:hAnsi="Arial"/>
          <w:sz w:val="19"/>
          <w:szCs w:val="19"/>
          <w:color w:val="auto"/>
        </w:rPr>
        <w:t>9.6</w:t>
      </w:r>
      <w:r>
        <w:rPr>
          <w:sz w:val="20"/>
          <w:szCs w:val="20"/>
          <w:color w:val="auto"/>
        </w:rPr>
        <w:tab/>
      </w:r>
      <w:r>
        <w:rPr>
          <w:rFonts w:ascii="Arial" w:cs="Arial" w:eastAsia="Arial" w:hAnsi="Arial"/>
          <w:sz w:val="17"/>
          <w:szCs w:val="17"/>
          <w:color w:val="auto"/>
        </w:rPr>
        <w:t>Insurance.</w:t>
      </w:r>
    </w:p>
    <w:p>
      <w:pPr>
        <w:ind w:left="580"/>
        <w:spacing w:after="0"/>
        <w:tabs>
          <w:tab w:leader="none" w:pos="1120" w:val="left"/>
        </w:tabs>
        <w:rPr>
          <w:sz w:val="20"/>
          <w:szCs w:val="20"/>
          <w:color w:val="auto"/>
        </w:rPr>
      </w:pPr>
      <w:r>
        <w:rPr>
          <w:rFonts w:ascii="Arial" w:cs="Arial" w:eastAsia="Arial" w:hAnsi="Arial"/>
          <w:sz w:val="19"/>
          <w:szCs w:val="19"/>
          <w:color w:val="auto"/>
        </w:rPr>
        <w:t>9.7</w:t>
      </w:r>
      <w:r>
        <w:rPr>
          <w:sz w:val="20"/>
          <w:szCs w:val="20"/>
          <w:color w:val="auto"/>
        </w:rPr>
        <w:tab/>
      </w:r>
      <w:r>
        <w:rPr>
          <w:rFonts w:ascii="Arial" w:cs="Arial" w:eastAsia="Arial" w:hAnsi="Arial"/>
          <w:sz w:val="17"/>
          <w:szCs w:val="17"/>
          <w:color w:val="auto"/>
        </w:rPr>
        <w:t>Governing Law.</w:t>
      </w:r>
    </w:p>
    <w:p>
      <w:pPr>
        <w:ind w:left="580"/>
        <w:spacing w:after="0"/>
        <w:tabs>
          <w:tab w:leader="none" w:pos="1120" w:val="left"/>
        </w:tabs>
        <w:rPr>
          <w:sz w:val="20"/>
          <w:szCs w:val="20"/>
          <w:color w:val="auto"/>
        </w:rPr>
      </w:pPr>
      <w:r>
        <w:rPr>
          <w:rFonts w:ascii="Arial" w:cs="Arial" w:eastAsia="Arial" w:hAnsi="Arial"/>
          <w:sz w:val="19"/>
          <w:szCs w:val="19"/>
          <w:color w:val="auto"/>
        </w:rPr>
        <w:t>9.8</w:t>
      </w:r>
      <w:r>
        <w:rPr>
          <w:sz w:val="20"/>
          <w:szCs w:val="20"/>
          <w:color w:val="auto"/>
        </w:rPr>
        <w:tab/>
      </w:r>
      <w:r>
        <w:rPr>
          <w:rFonts w:ascii="Arial" w:cs="Arial" w:eastAsia="Arial" w:hAnsi="Arial"/>
          <w:sz w:val="17"/>
          <w:szCs w:val="17"/>
          <w:color w:val="auto"/>
        </w:rPr>
        <w:t>Receipt of Release.</w:t>
      </w:r>
    </w:p>
    <w:p>
      <w:pPr>
        <w:ind w:left="580"/>
        <w:spacing w:after="0"/>
        <w:tabs>
          <w:tab w:leader="none" w:pos="1120" w:val="left"/>
        </w:tabs>
        <w:rPr>
          <w:sz w:val="20"/>
          <w:szCs w:val="20"/>
          <w:color w:val="auto"/>
        </w:rPr>
      </w:pPr>
      <w:r>
        <w:rPr>
          <w:rFonts w:ascii="Arial" w:cs="Arial" w:eastAsia="Arial" w:hAnsi="Arial"/>
          <w:sz w:val="19"/>
          <w:szCs w:val="19"/>
          <w:color w:val="auto"/>
        </w:rPr>
        <w:t>9.9</w:t>
      </w:r>
      <w:r>
        <w:rPr>
          <w:sz w:val="20"/>
          <w:szCs w:val="20"/>
          <w:color w:val="auto"/>
        </w:rPr>
        <w:tab/>
      </w:r>
      <w:r>
        <w:rPr>
          <w:rFonts w:ascii="Arial" w:cs="Arial" w:eastAsia="Arial" w:hAnsi="Arial"/>
          <w:sz w:val="17"/>
          <w:szCs w:val="17"/>
          <w:color w:val="auto"/>
        </w:rPr>
        <w:t>Compliance with Code Section 162(m)</w:t>
      </w:r>
    </w:p>
    <w:p>
      <w:pPr>
        <w:ind w:left="580"/>
        <w:spacing w:after="0"/>
        <w:tabs>
          <w:tab w:leader="none" w:pos="1120" w:val="left"/>
        </w:tabs>
        <w:rPr>
          <w:sz w:val="20"/>
          <w:szCs w:val="20"/>
          <w:color w:val="auto"/>
        </w:rPr>
      </w:pPr>
      <w:r>
        <w:rPr>
          <w:rFonts w:ascii="Arial" w:cs="Arial" w:eastAsia="Arial" w:hAnsi="Arial"/>
          <w:sz w:val="19"/>
          <w:szCs w:val="19"/>
          <w:color w:val="auto"/>
        </w:rPr>
        <w:t>9.10</w:t>
      </w:r>
      <w:r>
        <w:rPr>
          <w:sz w:val="20"/>
          <w:szCs w:val="20"/>
          <w:color w:val="auto"/>
        </w:rPr>
        <w:tab/>
      </w:r>
      <w:r>
        <w:rPr>
          <w:rFonts w:ascii="Arial" w:cs="Arial" w:eastAsia="Arial" w:hAnsi="Arial"/>
          <w:sz w:val="17"/>
          <w:szCs w:val="17"/>
          <w:color w:val="auto"/>
        </w:rPr>
        <w:t>Payments on Behalf of Persons Under Incapacity.</w:t>
      </w:r>
    </w:p>
    <w:p>
      <w:pPr>
        <w:ind w:left="580"/>
        <w:spacing w:after="0" w:line="236" w:lineRule="auto"/>
        <w:tabs>
          <w:tab w:leader="none" w:pos="1120" w:val="left"/>
        </w:tabs>
        <w:rPr>
          <w:sz w:val="20"/>
          <w:szCs w:val="20"/>
          <w:color w:val="auto"/>
        </w:rPr>
      </w:pPr>
      <w:r>
        <w:rPr>
          <w:rFonts w:ascii="Arial" w:cs="Arial" w:eastAsia="Arial" w:hAnsi="Arial"/>
          <w:sz w:val="19"/>
          <w:szCs w:val="19"/>
          <w:color w:val="auto"/>
        </w:rPr>
        <w:t>9.11</w:t>
      </w:r>
      <w:r>
        <w:rPr>
          <w:sz w:val="20"/>
          <w:szCs w:val="20"/>
          <w:color w:val="auto"/>
        </w:rPr>
        <w:tab/>
      </w:r>
      <w:r>
        <w:rPr>
          <w:rFonts w:ascii="Arial" w:cs="Arial" w:eastAsia="Arial" w:hAnsi="Arial"/>
          <w:sz w:val="18"/>
          <w:szCs w:val="18"/>
          <w:color w:val="auto"/>
        </w:rPr>
        <w:t>Limitation of Rights</w:t>
      </w:r>
    </w:p>
    <w:p>
      <w:pPr>
        <w:ind w:left="580"/>
        <w:spacing w:after="0"/>
        <w:tabs>
          <w:tab w:leader="none" w:pos="1120" w:val="left"/>
        </w:tabs>
        <w:rPr>
          <w:sz w:val="20"/>
          <w:szCs w:val="20"/>
          <w:color w:val="auto"/>
        </w:rPr>
      </w:pPr>
      <w:r>
        <w:rPr>
          <w:rFonts w:ascii="Arial" w:cs="Arial" w:eastAsia="Arial" w:hAnsi="Arial"/>
          <w:sz w:val="19"/>
          <w:szCs w:val="19"/>
          <w:color w:val="auto"/>
        </w:rPr>
        <w:t>9.12</w:t>
      </w:r>
      <w:r>
        <w:rPr>
          <w:sz w:val="20"/>
          <w:szCs w:val="20"/>
          <w:color w:val="auto"/>
        </w:rPr>
        <w:tab/>
      </w:r>
      <w:r>
        <w:rPr>
          <w:rFonts w:ascii="Arial" w:cs="Arial" w:eastAsia="Arial" w:hAnsi="Arial"/>
          <w:sz w:val="17"/>
          <w:szCs w:val="17"/>
          <w:color w:val="auto"/>
        </w:rPr>
        <w:t>Exempt ERISA Plan</w:t>
      </w:r>
    </w:p>
    <w:p>
      <w:pPr>
        <w:ind w:left="580"/>
        <w:spacing w:after="0"/>
        <w:tabs>
          <w:tab w:leader="none" w:pos="1120" w:val="left"/>
        </w:tabs>
        <w:rPr>
          <w:sz w:val="20"/>
          <w:szCs w:val="20"/>
          <w:color w:val="auto"/>
        </w:rPr>
      </w:pPr>
      <w:r>
        <w:rPr>
          <w:rFonts w:ascii="Arial" w:cs="Arial" w:eastAsia="Arial" w:hAnsi="Arial"/>
          <w:sz w:val="19"/>
          <w:szCs w:val="19"/>
          <w:color w:val="auto"/>
        </w:rPr>
        <w:t>9.13</w:t>
      </w:r>
      <w:r>
        <w:rPr>
          <w:sz w:val="20"/>
          <w:szCs w:val="20"/>
          <w:color w:val="auto"/>
        </w:rPr>
        <w:tab/>
      </w:r>
      <w:r>
        <w:rPr>
          <w:rFonts w:ascii="Arial" w:cs="Arial" w:eastAsia="Arial" w:hAnsi="Arial"/>
          <w:sz w:val="18"/>
          <w:szCs w:val="18"/>
          <w:color w:val="auto"/>
        </w:rPr>
        <w:t>Notice</w:t>
      </w:r>
    </w:p>
    <w:p>
      <w:pPr>
        <w:ind w:left="580"/>
        <w:spacing w:after="0"/>
        <w:tabs>
          <w:tab w:leader="none" w:pos="1120" w:val="left"/>
        </w:tabs>
        <w:rPr>
          <w:sz w:val="20"/>
          <w:szCs w:val="20"/>
          <w:color w:val="auto"/>
        </w:rPr>
      </w:pPr>
      <w:r>
        <w:rPr>
          <w:rFonts w:ascii="Arial" w:cs="Arial" w:eastAsia="Arial" w:hAnsi="Arial"/>
          <w:sz w:val="19"/>
          <w:szCs w:val="19"/>
          <w:color w:val="auto"/>
        </w:rPr>
        <w:t>9.14</w:t>
      </w:r>
      <w:r>
        <w:rPr>
          <w:sz w:val="20"/>
          <w:szCs w:val="20"/>
          <w:color w:val="auto"/>
        </w:rPr>
        <w:tab/>
      </w:r>
      <w:r>
        <w:rPr>
          <w:rFonts w:ascii="Arial" w:cs="Arial" w:eastAsia="Arial" w:hAnsi="Arial"/>
          <w:sz w:val="17"/>
          <w:szCs w:val="17"/>
          <w:color w:val="auto"/>
        </w:rPr>
        <w:t>Errors and Misstatements</w:t>
      </w:r>
    </w:p>
    <w:p>
      <w:pPr>
        <w:ind w:left="580"/>
        <w:spacing w:after="0"/>
        <w:tabs>
          <w:tab w:leader="none" w:pos="1120" w:val="left"/>
        </w:tabs>
        <w:rPr>
          <w:sz w:val="20"/>
          <w:szCs w:val="20"/>
          <w:color w:val="auto"/>
        </w:rPr>
      </w:pPr>
      <w:r>
        <w:rPr>
          <w:rFonts w:ascii="Arial" w:cs="Arial" w:eastAsia="Arial" w:hAnsi="Arial"/>
          <w:sz w:val="19"/>
          <w:szCs w:val="19"/>
          <w:color w:val="auto"/>
        </w:rPr>
        <w:t>9.15</w:t>
      </w:r>
      <w:r>
        <w:rPr>
          <w:sz w:val="20"/>
          <w:szCs w:val="20"/>
          <w:color w:val="auto"/>
        </w:rPr>
        <w:tab/>
      </w:r>
      <w:r>
        <w:rPr>
          <w:rFonts w:ascii="Arial" w:cs="Arial" w:eastAsia="Arial" w:hAnsi="Arial"/>
          <w:sz w:val="17"/>
          <w:szCs w:val="17"/>
          <w:color w:val="auto"/>
        </w:rPr>
        <w:t>Pronouns and Plurality</w:t>
      </w:r>
    </w:p>
    <w:p>
      <w:pPr>
        <w:ind w:left="580"/>
        <w:spacing w:after="0"/>
        <w:tabs>
          <w:tab w:leader="none" w:pos="1120" w:val="left"/>
        </w:tabs>
        <w:rPr>
          <w:sz w:val="20"/>
          <w:szCs w:val="20"/>
          <w:color w:val="auto"/>
        </w:rPr>
      </w:pPr>
      <w:r>
        <w:rPr>
          <w:rFonts w:ascii="Arial" w:cs="Arial" w:eastAsia="Arial" w:hAnsi="Arial"/>
          <w:sz w:val="19"/>
          <w:szCs w:val="19"/>
          <w:color w:val="auto"/>
        </w:rPr>
        <w:t>9.16</w:t>
      </w:r>
      <w:r>
        <w:rPr>
          <w:sz w:val="20"/>
          <w:szCs w:val="20"/>
          <w:color w:val="auto"/>
        </w:rPr>
        <w:tab/>
      </w:r>
      <w:r>
        <w:rPr>
          <w:rFonts w:ascii="Arial" w:cs="Arial" w:eastAsia="Arial" w:hAnsi="Arial"/>
          <w:sz w:val="18"/>
          <w:szCs w:val="18"/>
          <w:color w:val="auto"/>
        </w:rPr>
        <w:t>Severability</w:t>
      </w:r>
    </w:p>
    <w:p>
      <w:pPr>
        <w:ind w:left="580"/>
        <w:spacing w:after="0"/>
        <w:tabs>
          <w:tab w:leader="none" w:pos="1120" w:val="left"/>
        </w:tabs>
        <w:rPr>
          <w:sz w:val="20"/>
          <w:szCs w:val="20"/>
          <w:color w:val="auto"/>
        </w:rPr>
      </w:pPr>
      <w:r>
        <w:rPr>
          <w:rFonts w:ascii="Arial" w:cs="Arial" w:eastAsia="Arial" w:hAnsi="Arial"/>
          <w:sz w:val="19"/>
          <w:szCs w:val="19"/>
          <w:color w:val="auto"/>
        </w:rPr>
        <w:t>9.17</w:t>
      </w:r>
      <w:r>
        <w:rPr>
          <w:sz w:val="20"/>
          <w:szCs w:val="20"/>
          <w:color w:val="auto"/>
        </w:rPr>
        <w:tab/>
      </w:r>
      <w:r>
        <w:rPr>
          <w:rFonts w:ascii="Arial" w:cs="Arial" w:eastAsia="Arial" w:hAnsi="Arial"/>
          <w:sz w:val="16"/>
          <w:szCs w:val="16"/>
          <w:color w:val="auto"/>
        </w:rPr>
        <w:t>Status</w:t>
      </w:r>
    </w:p>
    <w:p>
      <w:pPr>
        <w:spacing w:after="0" w:line="1" w:lineRule="exact"/>
        <w:rPr>
          <w:sz w:val="20"/>
          <w:szCs w:val="20"/>
          <w:color w:val="auto"/>
        </w:rPr>
      </w:pPr>
    </w:p>
    <w:p>
      <w:pPr>
        <w:ind w:left="580"/>
        <w:spacing w:after="0"/>
        <w:tabs>
          <w:tab w:leader="none" w:pos="1120" w:val="left"/>
        </w:tabs>
        <w:rPr>
          <w:sz w:val="20"/>
          <w:szCs w:val="20"/>
          <w:color w:val="auto"/>
        </w:rPr>
      </w:pPr>
      <w:r>
        <w:rPr>
          <w:rFonts w:ascii="Arial" w:cs="Arial" w:eastAsia="Arial" w:hAnsi="Arial"/>
          <w:sz w:val="19"/>
          <w:szCs w:val="19"/>
          <w:color w:val="auto"/>
        </w:rPr>
        <w:t>9.18</w:t>
      </w:r>
      <w:r>
        <w:rPr>
          <w:sz w:val="20"/>
          <w:szCs w:val="20"/>
          <w:color w:val="auto"/>
        </w:rPr>
        <w:tab/>
      </w:r>
      <w:r>
        <w:rPr>
          <w:rFonts w:ascii="Arial" w:cs="Arial" w:eastAsia="Arial" w:hAnsi="Arial"/>
          <w:sz w:val="17"/>
          <w:szCs w:val="17"/>
          <w:color w:val="auto"/>
        </w:rPr>
        <w:t>Headings.</w:t>
      </w:r>
    </w:p>
    <w:p>
      <w:pPr>
        <w:spacing w:after="0" w:line="174" w:lineRule="exact"/>
        <w:rPr>
          <w:sz w:val="20"/>
          <w:szCs w:val="20"/>
          <w:color w:val="auto"/>
        </w:rPr>
      </w:pPr>
    </w:p>
    <w:p>
      <w:pPr>
        <w:spacing w:after="0"/>
        <w:rPr>
          <w:sz w:val="20"/>
          <w:szCs w:val="20"/>
          <w:color w:val="auto"/>
        </w:rPr>
      </w:pPr>
      <w:r>
        <w:rPr>
          <w:rFonts w:ascii="Arial" w:cs="Arial" w:eastAsia="Arial" w:hAnsi="Arial"/>
          <w:sz w:val="19"/>
          <w:szCs w:val="19"/>
          <w:color w:val="auto"/>
        </w:rPr>
        <w:t>ARTICLE X.  Employees of Sempra Energy Trading Corporation</w:t>
      </w:r>
    </w:p>
    <w:p>
      <w:pPr>
        <w:spacing w:after="0" w:line="14" w:lineRule="exact"/>
        <w:rPr>
          <w:sz w:val="20"/>
          <w:szCs w:val="20"/>
          <w:color w:val="auto"/>
        </w:rPr>
      </w:pPr>
    </w:p>
    <w:p>
      <w:pPr>
        <w:ind w:left="1060"/>
        <w:spacing w:after="0"/>
        <w:rPr>
          <w:sz w:val="20"/>
          <w:szCs w:val="20"/>
          <w:color w:val="auto"/>
        </w:rPr>
      </w:pPr>
      <w:r>
        <w:rPr>
          <w:rFonts w:ascii="Arial" w:cs="Arial" w:eastAsia="Arial" w:hAnsi="Arial"/>
          <w:sz w:val="19"/>
          <w:szCs w:val="19"/>
          <w:color w:val="auto"/>
        </w:rPr>
        <w:t>and Sempra Energy Solutions LLC</w:t>
      </w:r>
    </w:p>
    <w:p>
      <w:pPr>
        <w:spacing w:after="0" w:line="174" w:lineRule="exact"/>
        <w:rPr>
          <w:sz w:val="20"/>
          <w:szCs w:val="20"/>
          <w:color w:val="auto"/>
        </w:rPr>
      </w:pPr>
    </w:p>
    <w:p>
      <w:pPr>
        <w:spacing w:after="0"/>
        <w:rPr>
          <w:sz w:val="20"/>
          <w:szCs w:val="20"/>
          <w:color w:val="auto"/>
        </w:rPr>
      </w:pPr>
      <w:r>
        <w:rPr>
          <w:rFonts w:ascii="Arial" w:cs="Arial" w:eastAsia="Arial" w:hAnsi="Arial"/>
          <w:sz w:val="19"/>
          <w:szCs w:val="19"/>
          <w:color w:val="auto"/>
        </w:rPr>
        <w:t>ARTICLE XI. SECTION 409A OF THE CODE</w:t>
      </w:r>
    </w:p>
    <w:p>
      <w:pPr>
        <w:sectPr>
          <w:pgSz w:w="11900" w:h="16838" w:orient="portrait"/>
          <w:cols w:equalWidth="0" w:num="1">
            <w:col w:w="10219"/>
          </w:cols>
          <w:pgMar w:left="240" w:top="505" w:right="1440" w:bottom="330" w:gutter="0" w:footer="0" w:header="0"/>
        </w:sectPr>
      </w:pPr>
    </w:p>
    <w:bookmarkStart w:id="95" w:name="page96"/>
    <w:bookmarkEnd w:id="95"/>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96" w:name="page97"/>
    <w:bookmarkEnd w:id="96"/>
    <w:p>
      <w:pPr>
        <w:ind w:right="100" w:firstLine="1153"/>
        <w:spacing w:after="0" w:line="247" w:lineRule="auto"/>
        <w:rPr>
          <w:sz w:val="20"/>
          <w:szCs w:val="20"/>
          <w:color w:val="auto"/>
        </w:rPr>
      </w:pPr>
      <w:r>
        <w:rPr>
          <w:rFonts w:ascii="Arial" w:cs="Arial" w:eastAsia="Arial" w:hAnsi="Arial"/>
          <w:sz w:val="19"/>
          <w:szCs w:val="19"/>
          <w:color w:val="auto"/>
        </w:rPr>
        <w:t>Sempra Energy, a California corporation (the “Company”), and its direct and indirect subsidiaries hereby establish and maintain this Sempra Energy 2005 Deferred Compensation Plan (the “Plan”) which is designed to provide supplemental retirement income benefits for certain directors and for a select group of management and highly compensated employees through deferrals of salary and incentive compensation and Company matching contributions. This Plan shall be effective as of January 1, 2005.</w:t>
      </w:r>
    </w:p>
    <w:p>
      <w:pPr>
        <w:spacing w:after="0" w:line="158" w:lineRule="exact"/>
        <w:rPr>
          <w:sz w:val="20"/>
          <w:szCs w:val="20"/>
          <w:color w:val="auto"/>
        </w:rPr>
      </w:pPr>
    </w:p>
    <w:p>
      <w:pPr>
        <w:ind w:right="100" w:firstLine="1153"/>
        <w:spacing w:after="0" w:line="247" w:lineRule="auto"/>
        <w:rPr>
          <w:sz w:val="20"/>
          <w:szCs w:val="20"/>
          <w:color w:val="auto"/>
        </w:rPr>
      </w:pPr>
      <w:r>
        <w:rPr>
          <w:rFonts w:ascii="Arial" w:cs="Arial" w:eastAsia="Arial" w:hAnsi="Arial"/>
          <w:sz w:val="19"/>
          <w:szCs w:val="19"/>
          <w:color w:val="auto"/>
        </w:rPr>
        <w:t>The Company hereby amends and restates the Plan, effective as of the date of adoption, except as otherwise provided herein. The elections and amendments made in accordance with the transitional relief under Internal Revenue Service Notice 2005-1, the Proposed Regulations under Section 409A of the Code, Internal Revenue Service Notice 2006-79 and Internal Revenue Service Notice 2007-86 shall be effective for the relevant periods on or before December 31, 2008.</w:t>
      </w:r>
    </w:p>
    <w:p>
      <w:pPr>
        <w:spacing w:after="0" w:line="158" w:lineRule="exact"/>
        <w:rPr>
          <w:sz w:val="20"/>
          <w:szCs w:val="20"/>
          <w:color w:val="auto"/>
        </w:rPr>
      </w:pPr>
    </w:p>
    <w:p>
      <w:pPr>
        <w:jc w:val="both"/>
        <w:ind w:right="80" w:firstLine="1153"/>
        <w:spacing w:after="0" w:line="252" w:lineRule="auto"/>
        <w:rPr>
          <w:sz w:val="20"/>
          <w:szCs w:val="20"/>
          <w:color w:val="auto"/>
        </w:rPr>
      </w:pPr>
      <w:r>
        <w:rPr>
          <w:rFonts w:ascii="Arial" w:cs="Arial" w:eastAsia="Arial" w:hAnsi="Arial"/>
          <w:sz w:val="19"/>
          <w:szCs w:val="19"/>
          <w:color w:val="auto"/>
        </w:rPr>
        <w:t>The Plan is intended to comply with the requirements of Sections 409A(a)(2), (3) and (4) of the Code and the Treasury Regulations and other guidance issued by the Secretary of the Treasury thereunder. To the extent permitted by such Treasury Regulations or other guidance, the Plan may be amended to conform to the requirements of Section 409A of the Code.</w:t>
      </w:r>
    </w:p>
    <w:p>
      <w:pPr>
        <w:spacing w:after="0" w:line="147" w:lineRule="exact"/>
        <w:rPr>
          <w:sz w:val="20"/>
          <w:szCs w:val="20"/>
          <w:color w:val="auto"/>
        </w:rPr>
      </w:pPr>
    </w:p>
    <w:p>
      <w:pPr>
        <w:ind w:left="5200"/>
        <w:spacing w:after="0"/>
        <w:rPr>
          <w:sz w:val="20"/>
          <w:szCs w:val="20"/>
          <w:color w:val="auto"/>
        </w:rPr>
      </w:pPr>
      <w:r>
        <w:rPr>
          <w:rFonts w:ascii="Arial" w:cs="Arial" w:eastAsia="Arial" w:hAnsi="Arial"/>
          <w:sz w:val="19"/>
          <w:szCs w:val="19"/>
          <w:b w:val="1"/>
          <w:bCs w:val="1"/>
          <w:color w:val="auto"/>
        </w:rPr>
        <w:t>ARTICLE I.</w:t>
      </w:r>
    </w:p>
    <w:p>
      <w:pPr>
        <w:spacing w:after="0" w:line="20" w:lineRule="exact"/>
        <w:rPr>
          <w:sz w:val="20"/>
          <w:szCs w:val="20"/>
          <w:color w:val="auto"/>
        </w:rPr>
      </w:pPr>
    </w:p>
    <w:p>
      <w:pPr>
        <w:ind w:left="4820"/>
        <w:spacing w:after="0"/>
        <w:rPr>
          <w:sz w:val="20"/>
          <w:szCs w:val="20"/>
          <w:color w:val="auto"/>
        </w:rPr>
      </w:pPr>
      <w:r>
        <w:rPr>
          <w:rFonts w:ascii="Arial" w:cs="Arial" w:eastAsia="Arial" w:hAnsi="Arial"/>
          <w:sz w:val="19"/>
          <w:szCs w:val="19"/>
          <w:b w:val="1"/>
          <w:bCs w:val="1"/>
          <w:color w:val="auto"/>
        </w:rPr>
        <w:t>TITLE AND DEFINITIONS</w:t>
      </w:r>
    </w:p>
    <w:p>
      <w:pPr>
        <w:spacing w:after="0" w:line="156" w:lineRule="exact"/>
        <w:rPr>
          <w:sz w:val="20"/>
          <w:szCs w:val="20"/>
          <w:color w:val="auto"/>
        </w:rPr>
      </w:pPr>
    </w:p>
    <w:p>
      <w:pPr>
        <w:ind w:left="140"/>
        <w:spacing w:after="0"/>
        <w:tabs>
          <w:tab w:leader="none" w:pos="700" w:val="left"/>
        </w:tabs>
        <w:rPr>
          <w:sz w:val="20"/>
          <w:szCs w:val="20"/>
          <w:color w:val="auto"/>
        </w:rPr>
      </w:pPr>
      <w:r>
        <w:rPr>
          <w:rFonts w:ascii="Arial" w:cs="Arial" w:eastAsia="Arial" w:hAnsi="Arial"/>
          <w:sz w:val="19"/>
          <w:szCs w:val="19"/>
          <w:b w:val="1"/>
          <w:bCs w:val="1"/>
          <w:color w:val="auto"/>
        </w:rPr>
        <w:t>1.1</w:t>
      </w:r>
      <w:r>
        <w:rPr>
          <w:sz w:val="20"/>
          <w:szCs w:val="20"/>
          <w:color w:val="auto"/>
        </w:rPr>
        <w:tab/>
      </w:r>
      <w:r>
        <w:rPr>
          <w:rFonts w:ascii="Arial" w:cs="Arial" w:eastAsia="Arial" w:hAnsi="Arial"/>
          <w:sz w:val="17"/>
          <w:szCs w:val="17"/>
          <w:b w:val="1"/>
          <w:bCs w:val="1"/>
          <w:color w:val="auto"/>
        </w:rPr>
        <w:t>Title</w:t>
      </w:r>
      <w:r>
        <w:rPr>
          <w:rFonts w:ascii="Arial" w:cs="Arial" w:eastAsia="Arial" w:hAnsi="Arial"/>
          <w:sz w:val="17"/>
          <w:szCs w:val="17"/>
          <w:color w:val="auto"/>
        </w:rPr>
        <w:t>.</w:t>
      </w:r>
    </w:p>
    <w:p>
      <w:pPr>
        <w:spacing w:after="0" w:line="196" w:lineRule="exact"/>
        <w:rPr>
          <w:sz w:val="20"/>
          <w:szCs w:val="20"/>
          <w:color w:val="auto"/>
        </w:rPr>
      </w:pPr>
    </w:p>
    <w:p>
      <w:pPr>
        <w:ind w:left="580"/>
        <w:spacing w:after="0"/>
        <w:rPr>
          <w:sz w:val="20"/>
          <w:szCs w:val="20"/>
          <w:color w:val="auto"/>
        </w:rPr>
      </w:pPr>
      <w:r>
        <w:rPr>
          <w:rFonts w:ascii="Arial" w:cs="Arial" w:eastAsia="Arial" w:hAnsi="Arial"/>
          <w:sz w:val="19"/>
          <w:szCs w:val="19"/>
          <w:color w:val="auto"/>
        </w:rPr>
        <w:t>This Plan shall be known as the Sempra Energy 2005 Deferred Compensation Plan.</w:t>
      </w:r>
    </w:p>
    <w:p>
      <w:pPr>
        <w:spacing w:after="0" w:line="184" w:lineRule="exact"/>
        <w:rPr>
          <w:sz w:val="20"/>
          <w:szCs w:val="20"/>
          <w:color w:val="auto"/>
        </w:rPr>
      </w:pPr>
    </w:p>
    <w:p>
      <w:pPr>
        <w:ind w:left="140"/>
        <w:spacing w:after="0"/>
        <w:tabs>
          <w:tab w:leader="none" w:pos="700" w:val="left"/>
        </w:tabs>
        <w:rPr>
          <w:sz w:val="20"/>
          <w:szCs w:val="20"/>
          <w:color w:val="auto"/>
        </w:rPr>
      </w:pPr>
      <w:r>
        <w:rPr>
          <w:rFonts w:ascii="Arial" w:cs="Arial" w:eastAsia="Arial" w:hAnsi="Arial"/>
          <w:sz w:val="19"/>
          <w:szCs w:val="19"/>
          <w:b w:val="1"/>
          <w:bCs w:val="1"/>
          <w:color w:val="auto"/>
        </w:rPr>
        <w:t>1.2</w:t>
      </w:r>
      <w:r>
        <w:rPr>
          <w:sz w:val="20"/>
          <w:szCs w:val="20"/>
          <w:color w:val="auto"/>
        </w:rPr>
        <w:tab/>
      </w:r>
      <w:r>
        <w:rPr>
          <w:rFonts w:ascii="Arial" w:cs="Arial" w:eastAsia="Arial" w:hAnsi="Arial"/>
          <w:sz w:val="17"/>
          <w:szCs w:val="17"/>
          <w:b w:val="1"/>
          <w:bCs w:val="1"/>
          <w:color w:val="auto"/>
        </w:rPr>
        <w:t>Definitions</w:t>
      </w:r>
      <w:r>
        <w:rPr>
          <w:rFonts w:ascii="Arial" w:cs="Arial" w:eastAsia="Arial" w:hAnsi="Arial"/>
          <w:sz w:val="17"/>
          <w:szCs w:val="17"/>
          <w:color w:val="auto"/>
        </w:rPr>
        <w:t>.</w:t>
      </w:r>
    </w:p>
    <w:p>
      <w:pPr>
        <w:spacing w:after="0" w:line="19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Whenever the following words and phrases are used in this Plan, with the first letter capitalized, they shall have the meanings specified</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below.</w:t>
      </w:r>
    </w:p>
    <w:p>
      <w:pPr>
        <w:spacing w:after="0" w:line="156" w:lineRule="exact"/>
        <w:rPr>
          <w:sz w:val="20"/>
          <w:szCs w:val="20"/>
          <w:color w:val="auto"/>
        </w:rPr>
      </w:pPr>
    </w:p>
    <w:p>
      <w:pPr>
        <w:ind w:left="1720" w:hanging="571"/>
        <w:spacing w:after="0"/>
        <w:tabs>
          <w:tab w:leader="none" w:pos="1720" w:val="left"/>
        </w:tabs>
        <w:numPr>
          <w:ilvl w:val="0"/>
          <w:numId w:val="103"/>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Account” or “Accounts</w:t>
      </w:r>
      <w:r>
        <w:rPr>
          <w:rFonts w:ascii="Arial" w:cs="Arial" w:eastAsia="Arial" w:hAnsi="Arial"/>
          <w:sz w:val="19"/>
          <w:szCs w:val="19"/>
          <w:color w:val="auto"/>
        </w:rPr>
        <w:t>” shall mean a Participant’s Deferral Account and/or Company Matching Account.</w:t>
      </w:r>
    </w:p>
    <w:p>
      <w:pPr>
        <w:spacing w:after="0" w:line="177" w:lineRule="exact"/>
        <w:rPr>
          <w:rFonts w:ascii="Arial" w:cs="Arial" w:eastAsia="Arial" w:hAnsi="Arial"/>
          <w:sz w:val="19"/>
          <w:szCs w:val="19"/>
          <w:color w:val="auto"/>
        </w:rPr>
      </w:pPr>
    </w:p>
    <w:p>
      <w:pPr>
        <w:ind w:left="1720" w:hanging="571"/>
        <w:spacing w:after="0" w:line="255" w:lineRule="auto"/>
        <w:tabs>
          <w:tab w:leader="none" w:pos="1720" w:val="left"/>
        </w:tabs>
        <w:numPr>
          <w:ilvl w:val="0"/>
          <w:numId w:val="103"/>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Administrator</w:t>
      </w:r>
      <w:r>
        <w:rPr>
          <w:rFonts w:ascii="Arial" w:cs="Arial" w:eastAsia="Arial" w:hAnsi="Arial"/>
          <w:sz w:val="19"/>
          <w:szCs w:val="19"/>
          <w:color w:val="auto"/>
        </w:rPr>
        <w:t>” shall mean the individuals designated by the Committee (who need not be a member of the Committee) to handle the day-to-day Plan administration. If the Committee does not make such a designation, the Administrator shall be the Senior Vice-President of Human Resources of the Company.</w:t>
      </w:r>
    </w:p>
    <w:p>
      <w:pPr>
        <w:spacing w:after="0" w:line="144" w:lineRule="exact"/>
        <w:rPr>
          <w:rFonts w:ascii="Arial" w:cs="Arial" w:eastAsia="Arial" w:hAnsi="Arial"/>
          <w:sz w:val="19"/>
          <w:szCs w:val="19"/>
          <w:color w:val="auto"/>
        </w:rPr>
      </w:pPr>
    </w:p>
    <w:p>
      <w:pPr>
        <w:ind w:left="1780" w:hanging="631"/>
        <w:spacing w:after="0"/>
        <w:tabs>
          <w:tab w:leader="none" w:pos="1780" w:val="left"/>
        </w:tabs>
        <w:numPr>
          <w:ilvl w:val="0"/>
          <w:numId w:val="103"/>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Affiliate</w:t>
      </w:r>
      <w:r>
        <w:rPr>
          <w:rFonts w:ascii="Arial" w:cs="Arial" w:eastAsia="Arial" w:hAnsi="Arial"/>
          <w:sz w:val="19"/>
          <w:szCs w:val="19"/>
          <w:color w:val="auto"/>
        </w:rPr>
        <w:t>” has the meaning ascribed to such term in Rule 12b-2 promulgated under the Exchange Act.</w:t>
      </w:r>
    </w:p>
    <w:p>
      <w:pPr>
        <w:spacing w:after="0" w:line="177" w:lineRule="exact"/>
        <w:rPr>
          <w:rFonts w:ascii="Arial" w:cs="Arial" w:eastAsia="Arial" w:hAnsi="Arial"/>
          <w:sz w:val="19"/>
          <w:szCs w:val="19"/>
          <w:color w:val="auto"/>
        </w:rPr>
      </w:pPr>
    </w:p>
    <w:p>
      <w:pPr>
        <w:ind w:left="1720" w:hanging="571"/>
        <w:spacing w:after="0" w:line="299" w:lineRule="auto"/>
        <w:tabs>
          <w:tab w:leader="none" w:pos="1768" w:val="left"/>
        </w:tabs>
        <w:numPr>
          <w:ilvl w:val="0"/>
          <w:numId w:val="103"/>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Base Salary</w:t>
      </w:r>
      <w:r>
        <w:rPr>
          <w:rFonts w:ascii="Arial" w:cs="Arial" w:eastAsia="Arial" w:hAnsi="Arial"/>
          <w:sz w:val="17"/>
          <w:szCs w:val="17"/>
          <w:color w:val="auto"/>
        </w:rPr>
        <w:t>” shall mean a Participant’s annual base salary, excluding bonus, incentive and all other remuneration for services rendered to the Company, prior to reduction for any salary contributions to a plan established pursuant to Section 125 of the Code or qualified pursuant to Section 401(k) of the Code and prior to reduction for deferrals under this Plan.</w:t>
      </w:r>
    </w:p>
    <w:p>
      <w:pPr>
        <w:spacing w:after="0" w:line="98" w:lineRule="exact"/>
        <w:rPr>
          <w:rFonts w:ascii="Arial" w:cs="Arial" w:eastAsia="Arial" w:hAnsi="Arial"/>
          <w:sz w:val="17"/>
          <w:szCs w:val="17"/>
          <w:color w:val="auto"/>
        </w:rPr>
      </w:pPr>
    </w:p>
    <w:p>
      <w:pPr>
        <w:ind w:left="1720" w:hanging="571"/>
        <w:spacing w:after="0"/>
        <w:tabs>
          <w:tab w:leader="none" w:pos="1720" w:val="left"/>
        </w:tabs>
        <w:numPr>
          <w:ilvl w:val="0"/>
          <w:numId w:val="103"/>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Beneficial Owner</w:t>
      </w:r>
      <w:r>
        <w:rPr>
          <w:rFonts w:ascii="Arial" w:cs="Arial" w:eastAsia="Arial" w:hAnsi="Arial"/>
          <w:sz w:val="19"/>
          <w:szCs w:val="19"/>
          <w:color w:val="auto"/>
        </w:rPr>
        <w:t>” has the meaning set forth in Rule 13d-3 under the Exchange Act.</w:t>
      </w:r>
    </w:p>
    <w:p>
      <w:pPr>
        <w:spacing w:after="0" w:line="189" w:lineRule="exact"/>
        <w:rPr>
          <w:rFonts w:ascii="Arial" w:cs="Arial" w:eastAsia="Arial" w:hAnsi="Arial"/>
          <w:sz w:val="19"/>
          <w:szCs w:val="19"/>
          <w:color w:val="auto"/>
        </w:rPr>
      </w:pPr>
    </w:p>
    <w:p>
      <w:pPr>
        <w:ind w:left="1720" w:right="500" w:hanging="571"/>
        <w:spacing w:after="0" w:line="255" w:lineRule="auto"/>
        <w:tabs>
          <w:tab w:leader="none" w:pos="1720" w:val="left"/>
        </w:tabs>
        <w:numPr>
          <w:ilvl w:val="0"/>
          <w:numId w:val="103"/>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Beneficiary</w:t>
      </w:r>
      <w:r>
        <w:rPr>
          <w:rFonts w:ascii="Arial" w:cs="Arial" w:eastAsia="Arial" w:hAnsi="Arial"/>
          <w:sz w:val="19"/>
          <w:szCs w:val="19"/>
          <w:color w:val="auto"/>
        </w:rPr>
        <w:t>” or “</w:t>
      </w:r>
      <w:r>
        <w:rPr>
          <w:rFonts w:ascii="Arial" w:cs="Arial" w:eastAsia="Arial" w:hAnsi="Arial"/>
          <w:sz w:val="19"/>
          <w:szCs w:val="19"/>
          <w:b w:val="1"/>
          <w:bCs w:val="1"/>
          <w:color w:val="auto"/>
        </w:rPr>
        <w:t>Beneficiaries</w:t>
      </w:r>
      <w:r>
        <w:rPr>
          <w:rFonts w:ascii="Arial" w:cs="Arial" w:eastAsia="Arial" w:hAnsi="Arial"/>
          <w:sz w:val="19"/>
          <w:szCs w:val="19"/>
          <w:color w:val="auto"/>
        </w:rPr>
        <w:t>” shall mean the person or persons, including a trustee, personal representative or other fiduciary, last designated in writing by a Participant to receive the benefits specified hereunder in the event of the Participant’s death in accordance with Section 9.5.</w:t>
      </w:r>
    </w:p>
    <w:p>
      <w:pPr>
        <w:spacing w:after="0" w:line="132" w:lineRule="exact"/>
        <w:rPr>
          <w:rFonts w:ascii="Arial" w:cs="Arial" w:eastAsia="Arial" w:hAnsi="Arial"/>
          <w:sz w:val="19"/>
          <w:szCs w:val="19"/>
          <w:color w:val="auto"/>
        </w:rPr>
      </w:pPr>
    </w:p>
    <w:p>
      <w:pPr>
        <w:ind w:left="1720" w:hanging="571"/>
        <w:spacing w:after="0"/>
        <w:tabs>
          <w:tab w:leader="none" w:pos="1720" w:val="left"/>
        </w:tabs>
        <w:numPr>
          <w:ilvl w:val="0"/>
          <w:numId w:val="103"/>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Board of Directors</w:t>
      </w:r>
      <w:r>
        <w:rPr>
          <w:rFonts w:ascii="Arial" w:cs="Arial" w:eastAsia="Arial" w:hAnsi="Arial"/>
          <w:sz w:val="19"/>
          <w:szCs w:val="19"/>
          <w:color w:val="auto"/>
        </w:rPr>
        <w:t>” or “</w:t>
      </w:r>
      <w:r>
        <w:rPr>
          <w:rFonts w:ascii="Arial" w:cs="Arial" w:eastAsia="Arial" w:hAnsi="Arial"/>
          <w:sz w:val="19"/>
          <w:szCs w:val="19"/>
          <w:b w:val="1"/>
          <w:bCs w:val="1"/>
          <w:color w:val="auto"/>
        </w:rPr>
        <w:t>Board</w:t>
      </w:r>
      <w:r>
        <w:rPr>
          <w:rFonts w:ascii="Arial" w:cs="Arial" w:eastAsia="Arial" w:hAnsi="Arial"/>
          <w:sz w:val="19"/>
          <w:szCs w:val="19"/>
          <w:color w:val="auto"/>
        </w:rPr>
        <w:t>” shall mean the Board of Directors of the Company.</w:t>
      </w:r>
    </w:p>
    <w:p>
      <w:pPr>
        <w:spacing w:after="0" w:line="177" w:lineRule="exact"/>
        <w:rPr>
          <w:rFonts w:ascii="Arial" w:cs="Arial" w:eastAsia="Arial" w:hAnsi="Arial"/>
          <w:sz w:val="19"/>
          <w:szCs w:val="19"/>
          <w:color w:val="auto"/>
        </w:rPr>
      </w:pPr>
    </w:p>
    <w:p>
      <w:pPr>
        <w:ind w:left="1720" w:right="200" w:hanging="571"/>
        <w:spacing w:after="0" w:line="273" w:lineRule="auto"/>
        <w:tabs>
          <w:tab w:leader="none" w:pos="1720" w:val="left"/>
        </w:tabs>
        <w:numPr>
          <w:ilvl w:val="0"/>
          <w:numId w:val="103"/>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Bonus</w:t>
      </w:r>
      <w:r>
        <w:rPr>
          <w:rFonts w:ascii="Arial" w:cs="Arial" w:eastAsia="Arial" w:hAnsi="Arial"/>
          <w:sz w:val="19"/>
          <w:szCs w:val="19"/>
          <w:color w:val="auto"/>
        </w:rPr>
        <w:t>” shall mean the annual incentive award earned by a Participant under the Company’s short-term incentive plan and other special payments or awards that may be granted by the Company from time to time.</w:t>
      </w:r>
    </w:p>
    <w:p>
      <w:pPr>
        <w:spacing w:after="0" w:line="127" w:lineRule="exact"/>
        <w:rPr>
          <w:rFonts w:ascii="Arial" w:cs="Arial" w:eastAsia="Arial" w:hAnsi="Arial"/>
          <w:sz w:val="19"/>
          <w:szCs w:val="19"/>
          <w:color w:val="auto"/>
        </w:rPr>
      </w:pPr>
    </w:p>
    <w:p>
      <w:pPr>
        <w:ind w:left="1720" w:hanging="571"/>
        <w:spacing w:after="0"/>
        <w:tabs>
          <w:tab w:leader="none" w:pos="1720" w:val="left"/>
        </w:tabs>
        <w:numPr>
          <w:ilvl w:val="0"/>
          <w:numId w:val="103"/>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Change in Control</w:t>
      </w:r>
      <w:r>
        <w:rPr>
          <w:rFonts w:ascii="Arial" w:cs="Arial" w:eastAsia="Arial" w:hAnsi="Arial"/>
          <w:sz w:val="17"/>
          <w:szCs w:val="17"/>
          <w:color w:val="auto"/>
        </w:rPr>
        <w:t>” shall be deemed to have occurred when any event or transaction described in paragraph (1), (2), (3) or</w:t>
      </w:r>
    </w:p>
    <w:p>
      <w:pPr>
        <w:spacing w:after="0" w:line="42" w:lineRule="exact"/>
        <w:rPr>
          <w:rFonts w:ascii="Arial" w:cs="Arial" w:eastAsia="Arial" w:hAnsi="Arial"/>
          <w:sz w:val="17"/>
          <w:szCs w:val="17"/>
          <w:color w:val="auto"/>
        </w:rPr>
      </w:pPr>
    </w:p>
    <w:p>
      <w:pPr>
        <w:ind w:left="1720"/>
        <w:spacing w:after="0"/>
        <w:rPr>
          <w:rFonts w:ascii="Arial" w:cs="Arial" w:eastAsia="Arial" w:hAnsi="Arial"/>
          <w:sz w:val="17"/>
          <w:szCs w:val="17"/>
          <w:color w:val="auto"/>
        </w:rPr>
      </w:pPr>
      <w:r>
        <w:rPr>
          <w:rFonts w:ascii="Arial" w:cs="Arial" w:eastAsia="Arial" w:hAnsi="Arial"/>
          <w:sz w:val="19"/>
          <w:szCs w:val="19"/>
          <w:color w:val="auto"/>
        </w:rPr>
        <w:t>(4) occurs, subject to paragraph (5):</w:t>
      </w:r>
    </w:p>
    <w:p>
      <w:pPr>
        <w:spacing w:after="0" w:line="162" w:lineRule="exact"/>
        <w:rPr>
          <w:sz w:val="20"/>
          <w:szCs w:val="20"/>
          <w:color w:val="auto"/>
        </w:rPr>
      </w:pPr>
    </w:p>
    <w:p>
      <w:pPr>
        <w:ind w:right="300" w:firstLine="1149"/>
        <w:spacing w:after="0" w:line="266" w:lineRule="auto"/>
        <w:tabs>
          <w:tab w:leader="none" w:pos="1730" w:val="left"/>
        </w:tabs>
        <w:numPr>
          <w:ilvl w:val="0"/>
          <w:numId w:val="104"/>
        </w:numPr>
        <w:rPr>
          <w:rFonts w:ascii="Arial" w:cs="Arial" w:eastAsia="Arial" w:hAnsi="Arial"/>
          <w:sz w:val="19"/>
          <w:szCs w:val="19"/>
          <w:color w:val="auto"/>
        </w:rPr>
      </w:pPr>
      <w:r>
        <w:rPr>
          <w:rFonts w:ascii="Arial" w:cs="Arial" w:eastAsia="Arial" w:hAnsi="Arial"/>
          <w:sz w:val="19"/>
          <w:szCs w:val="19"/>
          <w:color w:val="auto"/>
        </w:rPr>
        <w:t>Any Person is or becomes the Beneficial Owner, directly or indirectly, of securities of Sempra Energy representing twenty percent (20%) or more of the combined voting power of Sempra Energy’s then outstanding securities; or</w:t>
      </w:r>
    </w:p>
    <w:p>
      <w:pPr>
        <w:spacing w:after="0" w:line="128" w:lineRule="exact"/>
        <w:rPr>
          <w:rFonts w:ascii="Arial" w:cs="Arial" w:eastAsia="Arial" w:hAnsi="Arial"/>
          <w:sz w:val="19"/>
          <w:szCs w:val="19"/>
          <w:color w:val="auto"/>
        </w:rPr>
      </w:pPr>
    </w:p>
    <w:p>
      <w:pPr>
        <w:ind w:right="80" w:firstLine="1149"/>
        <w:spacing w:after="0" w:line="259" w:lineRule="auto"/>
        <w:tabs>
          <w:tab w:leader="none" w:pos="173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The following individuals cease for any reason to constitute a majority of the number of directors then serving: individuals who, on the Effective Date, constitute the Board and any new director (other than a director whose initial assumption of office is in connection with an actual or threatened election contest, including, but not limited to, a consent solicitation, relating to the election of directors of Sempra Energy) whose appointment or election by the Board or nomination for election by Sempra Energy’s shareholders was approved or recommended by a vote of at least two-thirds (2/3) of the directors then still in office who either were directors on the date hereof or whose appointment, election or nomination for election was previously so approved or recommended; or</w:t>
      </w:r>
    </w:p>
    <w:p>
      <w:pPr>
        <w:spacing w:after="0" w:line="149" w:lineRule="exact"/>
        <w:rPr>
          <w:rFonts w:ascii="Arial" w:cs="Arial" w:eastAsia="Arial" w:hAnsi="Arial"/>
          <w:sz w:val="18"/>
          <w:szCs w:val="18"/>
          <w:color w:val="auto"/>
        </w:rPr>
      </w:pPr>
    </w:p>
    <w:p>
      <w:pPr>
        <w:ind w:right="60" w:firstLine="1149"/>
        <w:spacing w:after="0" w:line="272" w:lineRule="auto"/>
        <w:tabs>
          <w:tab w:leader="none" w:pos="1730" w:val="left"/>
        </w:tabs>
        <w:numPr>
          <w:ilvl w:val="0"/>
          <w:numId w:val="104"/>
        </w:numPr>
        <w:rPr>
          <w:rFonts w:ascii="Arial" w:cs="Arial" w:eastAsia="Arial" w:hAnsi="Arial"/>
          <w:sz w:val="17"/>
          <w:szCs w:val="17"/>
          <w:color w:val="auto"/>
        </w:rPr>
      </w:pPr>
      <w:r>
        <w:rPr>
          <w:rFonts w:ascii="Arial" w:cs="Arial" w:eastAsia="Arial" w:hAnsi="Arial"/>
          <w:sz w:val="17"/>
          <w:szCs w:val="17"/>
          <w:color w:val="auto"/>
        </w:rPr>
        <w:t>There is consummated a merger or consolidation of Sempra Energy or any direct or indirect subsidiary of Sempra Energy with any other corporation, other than (A) a merger or consolidation which would result in the voting securities of Sempra Energy outstanding immediately prior to such merger or consolidation continuing to represent (either by remaining outstanding or by being converted into voting securities of the surviving entity or any parent thereof), in combination with the ownership of any trustee or other fiduciary holding securities under an employee benefit plan of Sempra Energy or any subsidiary of Sempra Energy, at least sixty percent (60%) of the combined voting power of the securities of Sempra Energy or such surviving entity or any parent thereof outstanding immediately after such merger or consolidation, or (B) a merger or consolidation effected to implement a recapi talization of Sempra Energy (or similar transaction) in which no Person is or becomes the Beneficial Owner, directly or indirectly, of securities of Sempra Energy (not including in the securities beneficially owned by such Person any securities acquired directly from Sempra Energy or its affiliates other than in connection with the acquisition by Sempra Energy or its affiliates of a business) representing twenty percent (20%) or more of the combined voting power of Sempra Energy’s then outstanding securities; or</w:t>
      </w:r>
    </w:p>
    <w:p>
      <w:pPr>
        <w:spacing w:after="0" w:line="127" w:lineRule="exact"/>
        <w:rPr>
          <w:rFonts w:ascii="Arial" w:cs="Arial" w:eastAsia="Arial" w:hAnsi="Arial"/>
          <w:sz w:val="17"/>
          <w:szCs w:val="17"/>
          <w:color w:val="auto"/>
        </w:rPr>
      </w:pPr>
    </w:p>
    <w:p>
      <w:pPr>
        <w:ind w:right="180" w:firstLine="1149"/>
        <w:spacing w:after="0" w:line="296" w:lineRule="auto"/>
        <w:tabs>
          <w:tab w:leader="none" w:pos="1730" w:val="left"/>
        </w:tabs>
        <w:numPr>
          <w:ilvl w:val="0"/>
          <w:numId w:val="104"/>
        </w:numPr>
        <w:rPr>
          <w:rFonts w:ascii="Arial" w:cs="Arial" w:eastAsia="Arial" w:hAnsi="Arial"/>
          <w:sz w:val="17"/>
          <w:szCs w:val="17"/>
          <w:color w:val="auto"/>
        </w:rPr>
      </w:pPr>
      <w:r>
        <w:rPr>
          <w:rFonts w:ascii="Arial" w:cs="Arial" w:eastAsia="Arial" w:hAnsi="Arial"/>
          <w:sz w:val="17"/>
          <w:szCs w:val="17"/>
          <w:color w:val="auto"/>
        </w:rPr>
        <w:t>The shareholders of Sempra Energy approve a plan of complete liquidation or dissolution of Sempra Energy or there is consummated an agreement for the sale or disposition by Sempra Energy of all or substantially all of Sempra Energy’s assets, other than a sale or disposition by Sempra Energy of all or substantially all of Sempra Energy’s assets to an entity, at least sixty percent (60%) of the combined voting</w:t>
      </w:r>
    </w:p>
    <w:p>
      <w:pPr>
        <w:sectPr>
          <w:pgSz w:w="11900" w:h="16838" w:orient="portrait"/>
          <w:cols w:equalWidth="0" w:num="1">
            <w:col w:w="11420"/>
          </w:cols>
          <w:pgMar w:left="240" w:top="505" w:right="239" w:bottom="0" w:gutter="0" w:footer="0" w:header="0"/>
        </w:sectPr>
      </w:pPr>
    </w:p>
    <w:bookmarkStart w:id="97" w:name="page98"/>
    <w:bookmarkEnd w:id="97"/>
    <w:p>
      <w:pPr>
        <w:spacing w:after="0" w:line="8" w:lineRule="exact"/>
        <w:rPr>
          <w:sz w:val="20"/>
          <w:szCs w:val="20"/>
          <w:color w:val="auto"/>
        </w:rPr>
      </w:pPr>
    </w:p>
    <w:p>
      <w:pPr>
        <w:ind w:right="340"/>
        <w:spacing w:after="0" w:line="267" w:lineRule="auto"/>
        <w:rPr>
          <w:sz w:val="20"/>
          <w:szCs w:val="20"/>
          <w:color w:val="auto"/>
        </w:rPr>
      </w:pPr>
      <w:r>
        <w:rPr>
          <w:rFonts w:ascii="Arial" w:cs="Arial" w:eastAsia="Arial" w:hAnsi="Arial"/>
          <w:sz w:val="19"/>
          <w:szCs w:val="19"/>
          <w:color w:val="auto"/>
        </w:rPr>
        <w:t>power of the voting securities of which are owned by shareholders of Sempra Energy in substantially the same proportions as their ownership of Sempra Energy immediately prior to such sale.</w:t>
      </w:r>
    </w:p>
    <w:p>
      <w:pPr>
        <w:spacing w:after="0" w:line="127" w:lineRule="exact"/>
        <w:rPr>
          <w:sz w:val="20"/>
          <w:szCs w:val="20"/>
          <w:color w:val="auto"/>
        </w:rPr>
      </w:pPr>
    </w:p>
    <w:p>
      <w:pPr>
        <w:ind w:right="460" w:firstLine="1149"/>
        <w:spacing w:after="0" w:line="296" w:lineRule="auto"/>
        <w:tabs>
          <w:tab w:leader="none" w:pos="1730" w:val="left"/>
        </w:tabs>
        <w:numPr>
          <w:ilvl w:val="0"/>
          <w:numId w:val="105"/>
        </w:numPr>
        <w:rPr>
          <w:rFonts w:ascii="Arial" w:cs="Arial" w:eastAsia="Arial" w:hAnsi="Arial"/>
          <w:sz w:val="17"/>
          <w:szCs w:val="17"/>
          <w:color w:val="auto"/>
        </w:rPr>
      </w:pPr>
      <w:r>
        <w:rPr>
          <w:rFonts w:ascii="Arial" w:cs="Arial" w:eastAsia="Arial" w:hAnsi="Arial"/>
          <w:sz w:val="17"/>
          <w:szCs w:val="17"/>
          <w:color w:val="auto"/>
        </w:rPr>
        <w:t>An event or transaction described in paragraph (1), (2), (3), or (4) shall be a “Change in Control” only if such event or transaction is a “change in the ownership or effective control of the corporation, or in the ownership of a substantial portion of the assets of the corporation,” within the meaning of Section 409A(a)(2)(A)(v) of the Code, to the extent provided by the Secretary of the Treasury.</w:t>
      </w:r>
    </w:p>
    <w:p>
      <w:pPr>
        <w:spacing w:after="0" w:line="112" w:lineRule="exact"/>
        <w:rPr>
          <w:sz w:val="20"/>
          <w:szCs w:val="20"/>
          <w:color w:val="auto"/>
        </w:rPr>
      </w:pPr>
    </w:p>
    <w:p>
      <w:pPr>
        <w:ind w:left="1780" w:hanging="631"/>
        <w:spacing w:after="0"/>
        <w:tabs>
          <w:tab w:leader="none" w:pos="1780" w:val="left"/>
        </w:tabs>
        <w:numPr>
          <w:ilvl w:val="0"/>
          <w:numId w:val="106"/>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Code</w:t>
      </w:r>
      <w:r>
        <w:rPr>
          <w:rFonts w:ascii="Arial" w:cs="Arial" w:eastAsia="Arial" w:hAnsi="Arial"/>
          <w:sz w:val="19"/>
          <w:szCs w:val="19"/>
          <w:color w:val="auto"/>
        </w:rPr>
        <w:t>” shall mean the Internal Revenue Code of 1986, as amended.</w:t>
      </w:r>
    </w:p>
    <w:p>
      <w:pPr>
        <w:spacing w:after="0" w:line="177" w:lineRule="exact"/>
        <w:rPr>
          <w:rFonts w:ascii="Arial" w:cs="Arial" w:eastAsia="Arial" w:hAnsi="Arial"/>
          <w:sz w:val="19"/>
          <w:szCs w:val="19"/>
          <w:color w:val="auto"/>
        </w:rPr>
      </w:pPr>
    </w:p>
    <w:p>
      <w:pPr>
        <w:ind w:left="1720" w:hanging="571"/>
        <w:spacing w:after="0"/>
        <w:tabs>
          <w:tab w:leader="none" w:pos="1720" w:val="left"/>
        </w:tabs>
        <w:numPr>
          <w:ilvl w:val="0"/>
          <w:numId w:val="106"/>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Committee</w:t>
      </w:r>
      <w:r>
        <w:rPr>
          <w:rFonts w:ascii="Arial" w:cs="Arial" w:eastAsia="Arial" w:hAnsi="Arial"/>
          <w:sz w:val="19"/>
          <w:szCs w:val="19"/>
          <w:color w:val="auto"/>
        </w:rPr>
        <w:t>” shall mean the compensation committee of the Board of Directors.</w:t>
      </w:r>
    </w:p>
    <w:p>
      <w:pPr>
        <w:spacing w:after="0" w:line="177" w:lineRule="exact"/>
        <w:rPr>
          <w:rFonts w:ascii="Arial" w:cs="Arial" w:eastAsia="Arial" w:hAnsi="Arial"/>
          <w:sz w:val="19"/>
          <w:szCs w:val="19"/>
          <w:color w:val="auto"/>
        </w:rPr>
      </w:pPr>
    </w:p>
    <w:p>
      <w:pPr>
        <w:ind w:left="1720" w:right="60" w:hanging="571"/>
        <w:spacing w:after="0" w:line="249" w:lineRule="auto"/>
        <w:tabs>
          <w:tab w:leader="none" w:pos="1720" w:val="left"/>
        </w:tabs>
        <w:numPr>
          <w:ilvl w:val="0"/>
          <w:numId w:val="106"/>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Company</w:t>
      </w:r>
      <w:r>
        <w:rPr>
          <w:rFonts w:ascii="Arial" w:cs="Arial" w:eastAsia="Arial" w:hAnsi="Arial"/>
          <w:sz w:val="19"/>
          <w:szCs w:val="19"/>
          <w:color w:val="auto"/>
        </w:rPr>
        <w:t>” shall mean Sempra Energy and any successor corporations. Company shall also include each corporation which is a member of a controlled group of corporations (within the meaning of Section 414(b) of the Code) of which Sempra Energy is a component member, if the Board provides that such corporation shall participate in the Plan and such corporation’s governing board of directors adopts this Plan.</w:t>
      </w:r>
    </w:p>
    <w:p>
      <w:pPr>
        <w:spacing w:after="0" w:line="150" w:lineRule="exact"/>
        <w:rPr>
          <w:rFonts w:ascii="Arial" w:cs="Arial" w:eastAsia="Arial" w:hAnsi="Arial"/>
          <w:sz w:val="19"/>
          <w:szCs w:val="19"/>
          <w:color w:val="auto"/>
        </w:rPr>
      </w:pPr>
    </w:p>
    <w:p>
      <w:pPr>
        <w:ind w:left="1720" w:hanging="571"/>
        <w:spacing w:after="0" w:line="249" w:lineRule="auto"/>
        <w:tabs>
          <w:tab w:leader="none" w:pos="1768" w:val="left"/>
        </w:tabs>
        <w:numPr>
          <w:ilvl w:val="0"/>
          <w:numId w:val="106"/>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Company Matching Account</w:t>
      </w:r>
      <w:r>
        <w:rPr>
          <w:rFonts w:ascii="Arial" w:cs="Arial" w:eastAsia="Arial" w:hAnsi="Arial"/>
          <w:sz w:val="19"/>
          <w:szCs w:val="19"/>
          <w:color w:val="auto"/>
        </w:rPr>
        <w:t>” shall mean the bookkeeping account maintained by the Company for each Participant that is credited with an amount equal to the Company Matching Contribution, if any, debited by amounts equal to all distributions to and withdrawals made by the Participant and/or his Beneficiary and adjusted for investment earnings and losses pursuant to Article V.</w:t>
      </w:r>
    </w:p>
    <w:p>
      <w:pPr>
        <w:spacing w:after="0" w:line="138" w:lineRule="exact"/>
        <w:rPr>
          <w:rFonts w:ascii="Arial" w:cs="Arial" w:eastAsia="Arial" w:hAnsi="Arial"/>
          <w:sz w:val="19"/>
          <w:szCs w:val="19"/>
          <w:color w:val="auto"/>
        </w:rPr>
      </w:pPr>
    </w:p>
    <w:p>
      <w:pPr>
        <w:ind w:left="1720" w:right="700" w:hanging="571"/>
        <w:spacing w:after="0" w:line="273" w:lineRule="auto"/>
        <w:tabs>
          <w:tab w:leader="none" w:pos="1720" w:val="left"/>
        </w:tabs>
        <w:numPr>
          <w:ilvl w:val="0"/>
          <w:numId w:val="106"/>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Company Matching Contributions</w:t>
      </w:r>
      <w:r>
        <w:rPr>
          <w:rFonts w:ascii="Arial" w:cs="Arial" w:eastAsia="Arial" w:hAnsi="Arial"/>
          <w:sz w:val="19"/>
          <w:szCs w:val="19"/>
          <w:color w:val="auto"/>
        </w:rPr>
        <w:t>” shall mean the employer matching contribution made to the Plan on behalf of Participants who make deferrals under Article III.</w:t>
      </w:r>
    </w:p>
    <w:p>
      <w:pPr>
        <w:spacing w:after="0" w:line="115" w:lineRule="exact"/>
        <w:rPr>
          <w:rFonts w:ascii="Arial" w:cs="Arial" w:eastAsia="Arial" w:hAnsi="Arial"/>
          <w:sz w:val="19"/>
          <w:szCs w:val="19"/>
          <w:color w:val="auto"/>
        </w:rPr>
      </w:pPr>
    </w:p>
    <w:p>
      <w:pPr>
        <w:ind w:left="1720" w:right="40" w:hanging="571"/>
        <w:spacing w:after="0" w:line="267" w:lineRule="auto"/>
        <w:tabs>
          <w:tab w:leader="none" w:pos="172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Compensation</w:t>
      </w:r>
      <w:r>
        <w:rPr>
          <w:rFonts w:ascii="Arial" w:cs="Arial" w:eastAsia="Arial" w:hAnsi="Arial"/>
          <w:sz w:val="18"/>
          <w:szCs w:val="18"/>
          <w:color w:val="auto"/>
        </w:rPr>
        <w:t>” shall mean Base Salary and Bonus that the Participant who is an employee is entitled to receive for services rendered to the Company. In addition, for any Participant who is an Executive Officer, Compensation includes (i) SERP Lump Sum, (ii) Restricted Stock Units, and (iii) Severance Payments. Compensation shall mean retainer payments and/or meeting and other fees, received from the Company for services performed by any Participant as a Director.</w:t>
      </w:r>
    </w:p>
    <w:p>
      <w:pPr>
        <w:spacing w:after="0" w:line="136" w:lineRule="exact"/>
        <w:rPr>
          <w:rFonts w:ascii="Arial" w:cs="Arial" w:eastAsia="Arial" w:hAnsi="Arial"/>
          <w:sz w:val="18"/>
          <w:szCs w:val="18"/>
          <w:color w:val="auto"/>
        </w:rPr>
      </w:pPr>
    </w:p>
    <w:p>
      <w:pPr>
        <w:ind w:left="1720" w:right="60" w:hanging="571"/>
        <w:spacing w:after="0" w:line="246" w:lineRule="auto"/>
        <w:tabs>
          <w:tab w:leader="none" w:pos="1720" w:val="left"/>
        </w:tabs>
        <w:numPr>
          <w:ilvl w:val="0"/>
          <w:numId w:val="106"/>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Deferral Account</w:t>
      </w:r>
      <w:r>
        <w:rPr>
          <w:rFonts w:ascii="Arial" w:cs="Arial" w:eastAsia="Arial" w:hAnsi="Arial"/>
          <w:sz w:val="19"/>
          <w:szCs w:val="19"/>
          <w:color w:val="auto"/>
        </w:rPr>
        <w:t>” shall mean the bookkeeping account maintained by the Company for each Participant that is credited with amounts equal to the portion of the Participant’s Compensation that he elects to defer pursuant to Section 3.1, debited by amounts equal to all distributions to and withdrawals made by the Participant and/or his Beneficiary and adjusted for investment earnings and losses pursuant to Article V. The Deferral Account may be further subdivided into subaccounts as determined by the Committee.</w:t>
      </w:r>
    </w:p>
    <w:p>
      <w:pPr>
        <w:spacing w:after="0" w:line="141" w:lineRule="exact"/>
        <w:rPr>
          <w:rFonts w:ascii="Arial" w:cs="Arial" w:eastAsia="Arial" w:hAnsi="Arial"/>
          <w:sz w:val="19"/>
          <w:szCs w:val="19"/>
          <w:color w:val="auto"/>
        </w:rPr>
      </w:pPr>
    </w:p>
    <w:p>
      <w:pPr>
        <w:ind w:left="1720" w:right="80" w:hanging="571"/>
        <w:spacing w:after="0" w:line="273" w:lineRule="auto"/>
        <w:tabs>
          <w:tab w:leader="none" w:pos="1720" w:val="left"/>
        </w:tabs>
        <w:numPr>
          <w:ilvl w:val="0"/>
          <w:numId w:val="106"/>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Deferral Election Form</w:t>
      </w:r>
      <w:r>
        <w:rPr>
          <w:rFonts w:ascii="Arial" w:cs="Arial" w:eastAsia="Arial" w:hAnsi="Arial"/>
          <w:sz w:val="19"/>
          <w:szCs w:val="19"/>
          <w:color w:val="auto"/>
        </w:rPr>
        <w:t>” shall mean the form designated by the Committee for purposes of making deferrals under Section 3.1.</w:t>
      </w:r>
    </w:p>
    <w:p>
      <w:pPr>
        <w:spacing w:after="0" w:line="115" w:lineRule="exact"/>
        <w:rPr>
          <w:rFonts w:ascii="Arial" w:cs="Arial" w:eastAsia="Arial" w:hAnsi="Arial"/>
          <w:sz w:val="19"/>
          <w:szCs w:val="19"/>
          <w:color w:val="auto"/>
        </w:rPr>
      </w:pPr>
    </w:p>
    <w:p>
      <w:pPr>
        <w:ind w:left="1720" w:hanging="571"/>
        <w:spacing w:after="0"/>
        <w:tabs>
          <w:tab w:leader="none" w:pos="1720" w:val="left"/>
        </w:tabs>
        <w:numPr>
          <w:ilvl w:val="0"/>
          <w:numId w:val="106"/>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Director</w:t>
      </w:r>
      <w:r>
        <w:rPr>
          <w:rFonts w:ascii="Arial" w:cs="Arial" w:eastAsia="Arial" w:hAnsi="Arial"/>
          <w:sz w:val="19"/>
          <w:szCs w:val="19"/>
          <w:color w:val="auto"/>
        </w:rPr>
        <w:t>” shall mean an individual who is a non-employee member of the Board.</w:t>
      </w:r>
    </w:p>
    <w:p>
      <w:pPr>
        <w:spacing w:after="0" w:line="189" w:lineRule="exact"/>
        <w:rPr>
          <w:rFonts w:ascii="Arial" w:cs="Arial" w:eastAsia="Arial" w:hAnsi="Arial"/>
          <w:sz w:val="19"/>
          <w:szCs w:val="19"/>
          <w:color w:val="auto"/>
        </w:rPr>
      </w:pPr>
    </w:p>
    <w:p>
      <w:pPr>
        <w:ind w:left="1720" w:hanging="571"/>
        <w:spacing w:after="0"/>
        <w:tabs>
          <w:tab w:leader="none" w:pos="1720" w:val="left"/>
        </w:tabs>
        <w:numPr>
          <w:ilvl w:val="0"/>
          <w:numId w:val="106"/>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Disability</w:t>
      </w:r>
      <w:r>
        <w:rPr>
          <w:rFonts w:ascii="Arial" w:cs="Arial" w:eastAsia="Arial" w:hAnsi="Arial"/>
          <w:sz w:val="19"/>
          <w:szCs w:val="19"/>
          <w:color w:val="auto"/>
        </w:rPr>
        <w:t xml:space="preserve">” </w:t>
      </w:r>
      <w:r>
        <w:rPr>
          <w:rFonts w:ascii="Arial" w:cs="Arial" w:eastAsia="Arial" w:hAnsi="Arial"/>
          <w:sz w:val="19"/>
          <w:szCs w:val="19"/>
          <w:b w:val="1"/>
          <w:bCs w:val="1"/>
          <w:color w:val="auto"/>
        </w:rPr>
        <w:t>or</w:t>
      </w:r>
      <w:r>
        <w:rPr>
          <w:rFonts w:ascii="Arial" w:cs="Arial" w:eastAsia="Arial" w:hAnsi="Arial"/>
          <w:sz w:val="19"/>
          <w:szCs w:val="19"/>
          <w:color w:val="auto"/>
        </w:rPr>
        <w:t xml:space="preserve"> “</w:t>
      </w:r>
      <w:r>
        <w:rPr>
          <w:rFonts w:ascii="Arial" w:cs="Arial" w:eastAsia="Arial" w:hAnsi="Arial"/>
          <w:sz w:val="19"/>
          <w:szCs w:val="19"/>
          <w:b w:val="1"/>
          <w:bCs w:val="1"/>
          <w:color w:val="auto"/>
        </w:rPr>
        <w:t>Disabled</w:t>
      </w:r>
      <w:r>
        <w:rPr>
          <w:rFonts w:ascii="Arial" w:cs="Arial" w:eastAsia="Arial" w:hAnsi="Arial"/>
          <w:sz w:val="19"/>
          <w:szCs w:val="19"/>
          <w:color w:val="auto"/>
        </w:rPr>
        <w:t>” means, with respect to a Participant, that the Participant:</w:t>
      </w:r>
    </w:p>
    <w:p>
      <w:pPr>
        <w:spacing w:after="0" w:line="184" w:lineRule="exact"/>
        <w:rPr>
          <w:sz w:val="20"/>
          <w:szCs w:val="20"/>
          <w:color w:val="auto"/>
        </w:rPr>
      </w:pPr>
    </w:p>
    <w:p>
      <w:pPr>
        <w:ind w:right="20" w:firstLine="1149"/>
        <w:spacing w:after="0" w:line="295" w:lineRule="auto"/>
        <w:tabs>
          <w:tab w:leader="none" w:pos="173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is unable to engage in any substantial gainful activity by reason of any medically determinable physical or mental impairment which can be expected to result in death or can be expected to last for a continuous period of not less than twelve (12) months, or</w:t>
      </w:r>
    </w:p>
    <w:p>
      <w:pPr>
        <w:spacing w:after="0" w:line="103" w:lineRule="exact"/>
        <w:rPr>
          <w:rFonts w:ascii="Arial" w:cs="Arial" w:eastAsia="Arial" w:hAnsi="Arial"/>
          <w:sz w:val="18"/>
          <w:szCs w:val="18"/>
          <w:color w:val="auto"/>
        </w:rPr>
      </w:pPr>
    </w:p>
    <w:p>
      <w:pPr>
        <w:ind w:right="80" w:firstLine="1149"/>
        <w:spacing w:after="0" w:line="252" w:lineRule="auto"/>
        <w:tabs>
          <w:tab w:leader="none" w:pos="1730" w:val="left"/>
        </w:tabs>
        <w:numPr>
          <w:ilvl w:val="0"/>
          <w:numId w:val="107"/>
        </w:numPr>
        <w:rPr>
          <w:rFonts w:ascii="Arial" w:cs="Arial" w:eastAsia="Arial" w:hAnsi="Arial"/>
          <w:sz w:val="19"/>
          <w:szCs w:val="19"/>
          <w:color w:val="auto"/>
        </w:rPr>
      </w:pPr>
      <w:r>
        <w:rPr>
          <w:rFonts w:ascii="Arial" w:cs="Arial" w:eastAsia="Arial" w:hAnsi="Arial"/>
          <w:sz w:val="19"/>
          <w:szCs w:val="19"/>
          <w:color w:val="auto"/>
        </w:rPr>
        <w:t>is, by reason of any medically determinable physical or mental impairment which can be expected to result in death or can be expected to last for a continuous period of not less than twelve (12) months, receiving income replacement benefits for a period of not less than three months under an accident or health plan covering employees of such Participant’s employer,</w:t>
      </w:r>
    </w:p>
    <w:p>
      <w:pPr>
        <w:spacing w:after="0" w:line="153" w:lineRule="exact"/>
        <w:rPr>
          <w:sz w:val="20"/>
          <w:szCs w:val="20"/>
          <w:color w:val="auto"/>
        </w:rPr>
      </w:pPr>
    </w:p>
    <w:p>
      <w:pPr>
        <w:spacing w:after="0"/>
        <w:rPr>
          <w:sz w:val="20"/>
          <w:szCs w:val="20"/>
          <w:color w:val="auto"/>
        </w:rPr>
      </w:pPr>
      <w:r>
        <w:rPr>
          <w:rFonts w:ascii="Arial" w:cs="Arial" w:eastAsia="Arial" w:hAnsi="Arial"/>
          <w:sz w:val="19"/>
          <w:szCs w:val="19"/>
          <w:color w:val="auto"/>
        </w:rPr>
        <w:t>as determined in accordance with Section 409A(a)(2)(C) of the Code and the Treasury Regulations thereunder.</w:t>
      </w:r>
    </w:p>
    <w:p>
      <w:pPr>
        <w:spacing w:after="0" w:line="184" w:lineRule="exact"/>
        <w:rPr>
          <w:sz w:val="20"/>
          <w:szCs w:val="20"/>
          <w:color w:val="auto"/>
        </w:rPr>
      </w:pPr>
    </w:p>
    <w:p>
      <w:pPr>
        <w:ind w:left="1720" w:right="60" w:hanging="571"/>
        <w:spacing w:after="0" w:line="333" w:lineRule="auto"/>
        <w:tabs>
          <w:tab w:leader="none" w:pos="1768" w:val="left"/>
        </w:tabs>
        <w:numPr>
          <w:ilvl w:val="0"/>
          <w:numId w:val="108"/>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Distributable Amount</w:t>
      </w:r>
      <w:r>
        <w:rPr>
          <w:rFonts w:ascii="Arial" w:cs="Arial" w:eastAsia="Arial" w:hAnsi="Arial"/>
          <w:sz w:val="17"/>
          <w:szCs w:val="17"/>
          <w:color w:val="auto"/>
        </w:rPr>
        <w:t>” of a Participant’s subaccounts with respect to a Plan Year shall mean the sum of the vested balance of the subaccount in a Participant’s Deferral Account and Company Matching Account with respect to such Plan Year.</w:t>
      </w:r>
    </w:p>
    <w:p>
      <w:pPr>
        <w:spacing w:after="0" w:line="70" w:lineRule="exact"/>
        <w:rPr>
          <w:rFonts w:ascii="Arial" w:cs="Arial" w:eastAsia="Arial" w:hAnsi="Arial"/>
          <w:sz w:val="17"/>
          <w:szCs w:val="17"/>
          <w:color w:val="auto"/>
        </w:rPr>
      </w:pPr>
    </w:p>
    <w:p>
      <w:pPr>
        <w:ind w:left="1720" w:hanging="571"/>
        <w:spacing w:after="0"/>
        <w:tabs>
          <w:tab w:leader="none" w:pos="1720" w:val="left"/>
        </w:tabs>
        <w:numPr>
          <w:ilvl w:val="0"/>
          <w:numId w:val="108"/>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Effective Date</w:t>
      </w:r>
      <w:r>
        <w:rPr>
          <w:rFonts w:ascii="Arial" w:cs="Arial" w:eastAsia="Arial" w:hAnsi="Arial"/>
          <w:sz w:val="19"/>
          <w:szCs w:val="19"/>
          <w:color w:val="auto"/>
        </w:rPr>
        <w:t>” shall mean January 1, 2005.</w:t>
      </w:r>
    </w:p>
    <w:p>
      <w:pPr>
        <w:spacing w:after="0" w:line="189" w:lineRule="exact"/>
        <w:rPr>
          <w:rFonts w:ascii="Arial" w:cs="Arial" w:eastAsia="Arial" w:hAnsi="Arial"/>
          <w:sz w:val="19"/>
          <w:szCs w:val="19"/>
          <w:color w:val="auto"/>
        </w:rPr>
      </w:pPr>
    </w:p>
    <w:p>
      <w:pPr>
        <w:ind w:left="1720" w:right="40" w:hanging="571"/>
        <w:spacing w:after="0" w:line="256" w:lineRule="auto"/>
        <w:tabs>
          <w:tab w:leader="none" w:pos="172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Election Period</w:t>
      </w:r>
      <w:r>
        <w:rPr>
          <w:rFonts w:ascii="Arial" w:cs="Arial" w:eastAsia="Arial" w:hAnsi="Arial"/>
          <w:sz w:val="18"/>
          <w:szCs w:val="18"/>
          <w:color w:val="auto"/>
        </w:rPr>
        <w:t xml:space="preserve">” with respect to a Plan Year shall mean the period designated by the Committee; provided, however, that such period shall be no less than ten business days. The Election Period with respect to a Plan Year shall end not later than the last day of the prior Plan Year; </w:t>
      </w:r>
      <w:r>
        <w:rPr>
          <w:rFonts w:ascii="Arial" w:cs="Arial" w:eastAsia="Arial" w:hAnsi="Arial"/>
          <w:sz w:val="18"/>
          <w:szCs w:val="18"/>
          <w:i w:val="1"/>
          <w:iCs w:val="1"/>
          <w:color w:val="auto"/>
        </w:rPr>
        <w:t>provided, however</w:t>
      </w:r>
      <w:r>
        <w:rPr>
          <w:rFonts w:ascii="Arial" w:cs="Arial" w:eastAsia="Arial" w:hAnsi="Arial"/>
          <w:sz w:val="18"/>
          <w:szCs w:val="18"/>
          <w:color w:val="auto"/>
        </w:rPr>
        <w:t>, that, in the case of an Eligible Individual who first becomes eligible to participate in the Plan during a Plan Year, the Election Period may be the thirty (30) day period commencing on the date such Eligible Individual first becomes eligible to participate in accordance with Section 409A(a)(4)(B)(ii) of the Code and the Treasury Regulations thereunder; and provided, further, in the case of an Eligible Individual’s election to defer a Bonus (or portion thereof) for a Plan Year that is performance-based compensation b ased on services over a period of at least twelve (12) months, within the meaning of Section 409A(a)(4)(B)(iii) of the Code and the Treasury Regulations thereunder, the Election Period may be a period designated by the Committee during such Plan Year that satisfies the requirements of Section 409A(a)(4)(B)(iii) of the Code and the Treasury Regulations thereunder.</w:t>
      </w:r>
    </w:p>
    <w:p>
      <w:pPr>
        <w:spacing w:after="0" w:line="134" w:lineRule="exact"/>
        <w:rPr>
          <w:rFonts w:ascii="Arial" w:cs="Arial" w:eastAsia="Arial" w:hAnsi="Arial"/>
          <w:sz w:val="18"/>
          <w:szCs w:val="18"/>
          <w:color w:val="auto"/>
        </w:rPr>
      </w:pPr>
    </w:p>
    <w:p>
      <w:pPr>
        <w:ind w:left="1720" w:right="40" w:hanging="571"/>
        <w:spacing w:after="0" w:line="288" w:lineRule="auto"/>
        <w:tabs>
          <w:tab w:leader="none" w:pos="1720" w:val="left"/>
        </w:tabs>
        <w:numPr>
          <w:ilvl w:val="0"/>
          <w:numId w:val="108"/>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Eligible Individual</w:t>
      </w:r>
      <w:r>
        <w:rPr>
          <w:rFonts w:ascii="Arial" w:cs="Arial" w:eastAsia="Arial" w:hAnsi="Arial"/>
          <w:sz w:val="17"/>
          <w:szCs w:val="17"/>
          <w:color w:val="auto"/>
        </w:rPr>
        <w:t>” shall mean those individuals selected by the Committee from (1) those employees of the Company who either (A) are Executive Officers or (B) have Base Salary for a Calendar Year that is at least $140,000, as adjusted by the Committee from time to time and (2) those Directors who are not employees of the Company. The Committee may, in its sole discretion, select such other individuals to participate in the Plan who do not otherwise meet the foregoing criteria.</w:t>
      </w:r>
    </w:p>
    <w:p>
      <w:pPr>
        <w:spacing w:after="0" w:line="106" w:lineRule="exact"/>
        <w:rPr>
          <w:rFonts w:ascii="Arial" w:cs="Arial" w:eastAsia="Arial" w:hAnsi="Arial"/>
          <w:sz w:val="17"/>
          <w:szCs w:val="17"/>
          <w:color w:val="auto"/>
        </w:rPr>
      </w:pPr>
    </w:p>
    <w:p>
      <w:pPr>
        <w:ind w:left="1720" w:hanging="571"/>
        <w:spacing w:after="0"/>
        <w:tabs>
          <w:tab w:leader="none" w:pos="1720" w:val="left"/>
        </w:tabs>
        <w:numPr>
          <w:ilvl w:val="0"/>
          <w:numId w:val="108"/>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ERISA</w:t>
      </w:r>
      <w:r>
        <w:rPr>
          <w:rFonts w:ascii="Arial" w:cs="Arial" w:eastAsia="Arial" w:hAnsi="Arial"/>
          <w:sz w:val="19"/>
          <w:szCs w:val="19"/>
          <w:color w:val="auto"/>
        </w:rPr>
        <w:t>” shall mean the Employee Retirement Income Security Act of 1974, as amended.</w:t>
      </w:r>
    </w:p>
    <w:p>
      <w:pPr>
        <w:spacing w:after="0" w:line="189" w:lineRule="exact"/>
        <w:rPr>
          <w:rFonts w:ascii="Arial" w:cs="Arial" w:eastAsia="Arial" w:hAnsi="Arial"/>
          <w:sz w:val="19"/>
          <w:szCs w:val="19"/>
          <w:color w:val="auto"/>
        </w:rPr>
      </w:pPr>
    </w:p>
    <w:p>
      <w:pPr>
        <w:ind w:left="1720" w:right="520" w:hanging="571"/>
        <w:spacing w:after="0" w:line="273" w:lineRule="auto"/>
        <w:tabs>
          <w:tab w:leader="none" w:pos="1720" w:val="left"/>
        </w:tabs>
        <w:numPr>
          <w:ilvl w:val="0"/>
          <w:numId w:val="108"/>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Exchange Act</w:t>
      </w:r>
      <w:r>
        <w:rPr>
          <w:rFonts w:ascii="Arial" w:cs="Arial" w:eastAsia="Arial" w:hAnsi="Arial"/>
          <w:sz w:val="19"/>
          <w:szCs w:val="19"/>
          <w:color w:val="auto"/>
        </w:rPr>
        <w:t>” shall mean the Securities Exchange Act of 1934, as amended, and the applicable rules and regulations thereunder.</w:t>
      </w:r>
    </w:p>
    <w:p>
      <w:pPr>
        <w:spacing w:after="0" w:line="115" w:lineRule="exact"/>
        <w:rPr>
          <w:rFonts w:ascii="Arial" w:cs="Arial" w:eastAsia="Arial" w:hAnsi="Arial"/>
          <w:sz w:val="19"/>
          <w:szCs w:val="19"/>
          <w:color w:val="auto"/>
        </w:rPr>
      </w:pPr>
    </w:p>
    <w:p>
      <w:pPr>
        <w:ind w:left="1720" w:right="220" w:hanging="571"/>
        <w:spacing w:after="0" w:line="333" w:lineRule="auto"/>
        <w:tabs>
          <w:tab w:leader="none" w:pos="1720" w:val="left"/>
        </w:tabs>
        <w:numPr>
          <w:ilvl w:val="0"/>
          <w:numId w:val="108"/>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Executive Officer</w:t>
      </w:r>
      <w:r>
        <w:rPr>
          <w:rFonts w:ascii="Arial" w:cs="Arial" w:eastAsia="Arial" w:hAnsi="Arial"/>
          <w:sz w:val="17"/>
          <w:szCs w:val="17"/>
          <w:color w:val="auto"/>
        </w:rPr>
        <w:t>” shall mean an employee of the Company who holds a position as an executive officer in the Company and is eligible to participate in the Sempra Energy Supplemental Executive Retirement Plan or is so designated by the</w:t>
      </w:r>
    </w:p>
    <w:p>
      <w:pPr>
        <w:sectPr>
          <w:pgSz w:w="11900" w:h="16846" w:orient="portrait"/>
          <w:cols w:equalWidth="0" w:num="1">
            <w:col w:w="11440"/>
          </w:cols>
          <w:pgMar w:left="240" w:top="120" w:right="219" w:bottom="0" w:gutter="0" w:footer="0" w:header="0"/>
        </w:sectPr>
      </w:pPr>
    </w:p>
    <w:bookmarkStart w:id="98" w:name="page99"/>
    <w:bookmarkEnd w:id="98"/>
    <w:p>
      <w:pPr>
        <w:ind w:left="1720"/>
        <w:spacing w:after="0"/>
        <w:rPr>
          <w:sz w:val="20"/>
          <w:szCs w:val="20"/>
          <w:color w:val="auto"/>
        </w:rPr>
      </w:pPr>
      <w:r>
        <w:rPr>
          <w:rFonts w:ascii="Arial" w:cs="Arial" w:eastAsia="Arial" w:hAnsi="Arial"/>
          <w:sz w:val="19"/>
          <w:szCs w:val="19"/>
          <w:color w:val="auto"/>
        </w:rPr>
        <w:t>Committee.</w:t>
      </w:r>
    </w:p>
    <w:p>
      <w:pPr>
        <w:spacing w:after="0" w:line="173" w:lineRule="exact"/>
        <w:rPr>
          <w:sz w:val="20"/>
          <w:szCs w:val="20"/>
          <w:color w:val="auto"/>
        </w:rPr>
      </w:pPr>
    </w:p>
    <w:p>
      <w:pPr>
        <w:ind w:left="1720" w:right="360" w:hanging="571"/>
        <w:spacing w:after="0" w:line="255" w:lineRule="auto"/>
        <w:tabs>
          <w:tab w:leader="none" w:pos="1720" w:val="left"/>
        </w:tabs>
        <w:numPr>
          <w:ilvl w:val="0"/>
          <w:numId w:val="109"/>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401(k) Plan</w:t>
      </w:r>
      <w:r>
        <w:rPr>
          <w:rFonts w:ascii="Arial" w:cs="Arial" w:eastAsia="Arial" w:hAnsi="Arial"/>
          <w:sz w:val="19"/>
          <w:szCs w:val="19"/>
          <w:color w:val="auto"/>
        </w:rPr>
        <w:t>” shall mean the Sempra Energy Savings Plan maintained by the Company under Code Section 401(k), as in effect from time to time or as applicable for any Participant, a plan maintained by a direct or indirect subsidiary of the Company under Code Section 401(k).</w:t>
      </w:r>
    </w:p>
    <w:p>
      <w:pPr>
        <w:spacing w:after="0" w:line="144" w:lineRule="exact"/>
        <w:rPr>
          <w:rFonts w:ascii="Arial" w:cs="Arial" w:eastAsia="Arial" w:hAnsi="Arial"/>
          <w:sz w:val="19"/>
          <w:szCs w:val="19"/>
          <w:color w:val="auto"/>
        </w:rPr>
      </w:pPr>
    </w:p>
    <w:p>
      <w:pPr>
        <w:ind w:left="1720" w:right="480" w:hanging="571"/>
        <w:spacing w:after="0" w:line="273" w:lineRule="auto"/>
        <w:tabs>
          <w:tab w:leader="none" w:pos="1720" w:val="left"/>
        </w:tabs>
        <w:numPr>
          <w:ilvl w:val="0"/>
          <w:numId w:val="109"/>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Manager</w:t>
      </w:r>
      <w:r>
        <w:rPr>
          <w:rFonts w:ascii="Arial" w:cs="Arial" w:eastAsia="Arial" w:hAnsi="Arial"/>
          <w:sz w:val="19"/>
          <w:szCs w:val="19"/>
          <w:color w:val="auto"/>
        </w:rPr>
        <w:t>” shall mean an employee of the Company who is an Eligible Individual, other than an Executive Officer or a Director.</w:t>
      </w:r>
    </w:p>
    <w:p>
      <w:pPr>
        <w:spacing w:after="0" w:line="115" w:lineRule="exact"/>
        <w:rPr>
          <w:rFonts w:ascii="Arial" w:cs="Arial" w:eastAsia="Arial" w:hAnsi="Arial"/>
          <w:sz w:val="19"/>
          <w:szCs w:val="19"/>
          <w:color w:val="auto"/>
        </w:rPr>
      </w:pPr>
    </w:p>
    <w:p>
      <w:pPr>
        <w:ind w:left="1720" w:hanging="571"/>
        <w:spacing w:after="0"/>
        <w:tabs>
          <w:tab w:leader="none" w:pos="1720" w:val="left"/>
        </w:tabs>
        <w:numPr>
          <w:ilvl w:val="0"/>
          <w:numId w:val="109"/>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Measurement Fund</w:t>
      </w:r>
      <w:r>
        <w:rPr>
          <w:rFonts w:ascii="Arial" w:cs="Arial" w:eastAsia="Arial" w:hAnsi="Arial"/>
          <w:sz w:val="17"/>
          <w:szCs w:val="17"/>
          <w:color w:val="auto"/>
        </w:rPr>
        <w:t>” shall mean one or more of the investment funds selected by the Committee pursuant to Section 4.1.</w:t>
      </w:r>
    </w:p>
    <w:p>
      <w:pPr>
        <w:spacing w:after="0" w:line="200" w:lineRule="exact"/>
        <w:rPr>
          <w:rFonts w:ascii="Arial" w:cs="Arial" w:eastAsia="Arial" w:hAnsi="Arial"/>
          <w:sz w:val="17"/>
          <w:szCs w:val="17"/>
          <w:color w:val="auto"/>
        </w:rPr>
      </w:pPr>
    </w:p>
    <w:p>
      <w:pPr>
        <w:jc w:val="both"/>
        <w:ind w:left="1720" w:right="40" w:hanging="571"/>
        <w:spacing w:after="0" w:line="249" w:lineRule="auto"/>
        <w:tabs>
          <w:tab w:leader="none" w:pos="1720" w:val="left"/>
        </w:tabs>
        <w:numPr>
          <w:ilvl w:val="0"/>
          <w:numId w:val="109"/>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Moody’s Plus Rate</w:t>
      </w:r>
      <w:r>
        <w:rPr>
          <w:rFonts w:ascii="Arial" w:cs="Arial" w:eastAsia="Arial" w:hAnsi="Arial"/>
          <w:sz w:val="19"/>
          <w:szCs w:val="19"/>
          <w:color w:val="auto"/>
        </w:rPr>
        <w:t>” shall mean the Moody’s Rate (as defined below) plus the greater of (1) 10% of the Moody’s Corporate Bond Yield Average – Monthly Average Corporates as published by Moody’s Investors Service, Inc. (or any successor) or (2) one percentage point per annum. The Moody’s Rate for the month of June means the average of the daily Moody’s Corporate Bond Yield Average – Monthly Average Corporates for the month of June.</w:t>
      </w:r>
    </w:p>
    <w:p>
      <w:pPr>
        <w:spacing w:after="0" w:line="150" w:lineRule="exact"/>
        <w:rPr>
          <w:rFonts w:ascii="Arial" w:cs="Arial" w:eastAsia="Arial" w:hAnsi="Arial"/>
          <w:sz w:val="19"/>
          <w:szCs w:val="19"/>
          <w:color w:val="auto"/>
        </w:rPr>
      </w:pPr>
    </w:p>
    <w:p>
      <w:pPr>
        <w:ind w:left="1720" w:right="240" w:hanging="571"/>
        <w:spacing w:after="0" w:line="273" w:lineRule="auto"/>
        <w:tabs>
          <w:tab w:leader="none" w:pos="1720" w:val="left"/>
        </w:tabs>
        <w:numPr>
          <w:ilvl w:val="0"/>
          <w:numId w:val="109"/>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Participant</w:t>
      </w:r>
      <w:r>
        <w:rPr>
          <w:rFonts w:ascii="Arial" w:cs="Arial" w:eastAsia="Arial" w:hAnsi="Arial"/>
          <w:sz w:val="19"/>
          <w:szCs w:val="19"/>
          <w:color w:val="auto"/>
        </w:rPr>
        <w:t>” shall mean any Eligible Individual who becomes a Participant in accordance with Article II and who has not received a complete distribution of the amounts credited to his Accounts.</w:t>
      </w:r>
    </w:p>
    <w:p>
      <w:pPr>
        <w:spacing w:after="0" w:line="115" w:lineRule="exact"/>
        <w:rPr>
          <w:rFonts w:ascii="Arial" w:cs="Arial" w:eastAsia="Arial" w:hAnsi="Arial"/>
          <w:sz w:val="19"/>
          <w:szCs w:val="19"/>
          <w:color w:val="auto"/>
        </w:rPr>
      </w:pPr>
    </w:p>
    <w:p>
      <w:pPr>
        <w:ind w:left="1720" w:hanging="571"/>
        <w:spacing w:after="0"/>
        <w:tabs>
          <w:tab w:leader="none" w:pos="172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Payroll Date</w:t>
      </w:r>
      <w:r>
        <w:rPr>
          <w:rFonts w:ascii="Arial" w:cs="Arial" w:eastAsia="Arial" w:hAnsi="Arial"/>
          <w:sz w:val="18"/>
          <w:szCs w:val="18"/>
          <w:color w:val="auto"/>
        </w:rPr>
        <w:t>” shall mean, with respect to any Participant, the date on which he would otherwise be paid Compensation.</w:t>
      </w:r>
    </w:p>
    <w:p>
      <w:pPr>
        <w:spacing w:after="0" w:line="189" w:lineRule="exact"/>
        <w:rPr>
          <w:rFonts w:ascii="Arial" w:cs="Arial" w:eastAsia="Arial" w:hAnsi="Arial"/>
          <w:sz w:val="18"/>
          <w:szCs w:val="18"/>
          <w:color w:val="auto"/>
        </w:rPr>
      </w:pPr>
    </w:p>
    <w:p>
      <w:pPr>
        <w:ind w:left="1720" w:right="340" w:hanging="571"/>
        <w:spacing w:after="0" w:line="302" w:lineRule="auto"/>
        <w:tabs>
          <w:tab w:leader="none" w:pos="172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Payment Date</w:t>
      </w:r>
      <w:r>
        <w:rPr>
          <w:rFonts w:ascii="Arial" w:cs="Arial" w:eastAsia="Arial" w:hAnsi="Arial"/>
          <w:sz w:val="18"/>
          <w:szCs w:val="18"/>
          <w:color w:val="auto"/>
        </w:rPr>
        <w:t>” shall mean the date determined by the Administrator that is on or within thirty (30) days after one of the following dates as designated by the Participant in his distribution form election with respect to a Plan Year:</w:t>
      </w:r>
    </w:p>
    <w:p>
      <w:pPr>
        <w:spacing w:after="0" w:line="110" w:lineRule="exact"/>
        <w:rPr>
          <w:sz w:val="20"/>
          <w:szCs w:val="20"/>
          <w:color w:val="auto"/>
        </w:rPr>
      </w:pPr>
    </w:p>
    <w:p>
      <w:pPr>
        <w:ind w:right="20" w:firstLine="1149"/>
        <w:spacing w:after="0" w:line="266" w:lineRule="auto"/>
        <w:tabs>
          <w:tab w:leader="none" w:pos="1730" w:val="left"/>
        </w:tabs>
        <w:numPr>
          <w:ilvl w:val="0"/>
          <w:numId w:val="110"/>
        </w:numPr>
        <w:rPr>
          <w:rFonts w:ascii="Arial" w:cs="Arial" w:eastAsia="Arial" w:hAnsi="Arial"/>
          <w:sz w:val="19"/>
          <w:szCs w:val="19"/>
          <w:color w:val="auto"/>
        </w:rPr>
      </w:pPr>
      <w:r>
        <w:rPr>
          <w:rFonts w:ascii="Arial" w:cs="Arial" w:eastAsia="Arial" w:hAnsi="Arial"/>
          <w:sz w:val="19"/>
          <w:szCs w:val="19"/>
          <w:color w:val="auto"/>
        </w:rPr>
        <w:t>the first day of the first calendar month on or next following thirty (30) days after the date of the Participant's Separation from Service or Disability, or</w:t>
      </w:r>
    </w:p>
    <w:p>
      <w:pPr>
        <w:spacing w:after="0" w:line="128" w:lineRule="exact"/>
        <w:rPr>
          <w:rFonts w:ascii="Arial" w:cs="Arial" w:eastAsia="Arial" w:hAnsi="Arial"/>
          <w:sz w:val="19"/>
          <w:szCs w:val="19"/>
          <w:color w:val="auto"/>
        </w:rPr>
      </w:pPr>
    </w:p>
    <w:p>
      <w:pPr>
        <w:ind w:left="1720" w:hanging="571"/>
        <w:spacing w:after="0"/>
        <w:tabs>
          <w:tab w:leader="none" w:pos="1720" w:val="left"/>
        </w:tabs>
        <w:numPr>
          <w:ilvl w:val="0"/>
          <w:numId w:val="110"/>
        </w:numPr>
        <w:rPr>
          <w:rFonts w:ascii="Arial" w:cs="Arial" w:eastAsia="Arial" w:hAnsi="Arial"/>
          <w:sz w:val="17"/>
          <w:szCs w:val="17"/>
          <w:color w:val="auto"/>
        </w:rPr>
      </w:pPr>
      <w:r>
        <w:rPr>
          <w:rFonts w:ascii="Arial" w:cs="Arial" w:eastAsia="Arial" w:hAnsi="Arial"/>
          <w:sz w:val="17"/>
          <w:szCs w:val="17"/>
          <w:color w:val="auto"/>
        </w:rPr>
        <w:t>the first day of the first, second, third, fourth or fifth calendar year next following the date of the Participant’s Separation from</w:t>
      </w:r>
    </w:p>
    <w:p>
      <w:pPr>
        <w:spacing w:after="0" w:line="36"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9"/>
          <w:szCs w:val="19"/>
          <w:color w:val="auto"/>
        </w:rPr>
        <w:t>Service or Disability.</w:t>
      </w:r>
    </w:p>
    <w:p>
      <w:pPr>
        <w:spacing w:after="0" w:line="174" w:lineRule="exact"/>
        <w:rPr>
          <w:sz w:val="20"/>
          <w:szCs w:val="20"/>
          <w:color w:val="auto"/>
        </w:rPr>
      </w:pPr>
    </w:p>
    <w:p>
      <w:pPr>
        <w:spacing w:after="0"/>
        <w:rPr>
          <w:sz w:val="20"/>
          <w:szCs w:val="20"/>
          <w:color w:val="auto"/>
        </w:rPr>
      </w:pPr>
      <w:r>
        <w:rPr>
          <w:rFonts w:ascii="Arial" w:cs="Arial" w:eastAsia="Arial" w:hAnsi="Arial"/>
          <w:sz w:val="19"/>
          <w:szCs w:val="19"/>
          <w:color w:val="auto"/>
        </w:rPr>
        <w:t>“Payment Date” shall also mean the Scheduled Withdrawal Date elected in accordance with the provisions of Section 7.1(b).</w:t>
      </w:r>
    </w:p>
    <w:p>
      <w:pPr>
        <w:spacing w:after="0" w:line="172" w:lineRule="exact"/>
        <w:rPr>
          <w:sz w:val="20"/>
          <w:szCs w:val="20"/>
          <w:color w:val="auto"/>
        </w:rPr>
      </w:pPr>
    </w:p>
    <w:p>
      <w:pPr>
        <w:ind w:left="1720" w:right="180" w:hanging="571"/>
        <w:spacing w:after="0" w:line="244" w:lineRule="auto"/>
        <w:tabs>
          <w:tab w:leader="none" w:pos="1768" w:val="left"/>
        </w:tabs>
        <w:numPr>
          <w:ilvl w:val="0"/>
          <w:numId w:val="111"/>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Person</w:t>
      </w:r>
      <w:r>
        <w:rPr>
          <w:rFonts w:ascii="Arial" w:cs="Arial" w:eastAsia="Arial" w:hAnsi="Arial"/>
          <w:sz w:val="19"/>
          <w:szCs w:val="19"/>
          <w:color w:val="auto"/>
        </w:rPr>
        <w:t>” means any person, entity or “group” within the meaning of Section 13(d)(3) or Section 14(d)(2) of the Exchange Act, except that such term shall not include (1) the Company or any of its Affiliates, (2) a trustee or other fiduciary holding securities under an employee benefit plan of the Company or any of its Affiliates, (3) an underwriter temporarily holding securities pursuant to an offering of such securities, (4) a corporation owned, directly or indirectly, by the shareholders of Sempra Energy in substantially the same proportions as their ownership of stock of Sempra Energy, or (5) a person or group as used in Rule 13d-1(b) under the Exchange Act.</w:t>
      </w:r>
    </w:p>
    <w:p>
      <w:pPr>
        <w:spacing w:after="0" w:line="156" w:lineRule="exact"/>
        <w:rPr>
          <w:rFonts w:ascii="Arial" w:cs="Arial" w:eastAsia="Arial" w:hAnsi="Arial"/>
          <w:sz w:val="19"/>
          <w:szCs w:val="19"/>
          <w:color w:val="auto"/>
        </w:rPr>
      </w:pPr>
    </w:p>
    <w:p>
      <w:pPr>
        <w:ind w:left="1720" w:hanging="571"/>
        <w:spacing w:after="0"/>
        <w:tabs>
          <w:tab w:leader="none" w:pos="172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Plan</w:t>
      </w:r>
      <w:r>
        <w:rPr>
          <w:rFonts w:ascii="Arial" w:cs="Arial" w:eastAsia="Arial" w:hAnsi="Arial"/>
          <w:sz w:val="18"/>
          <w:szCs w:val="18"/>
          <w:color w:val="auto"/>
        </w:rPr>
        <w:t>” shall mean the Sempra Energy 2005 Deferred Compensation Plan set forth herein, as amended from time to time.</w:t>
      </w:r>
    </w:p>
    <w:p>
      <w:pPr>
        <w:spacing w:after="0" w:line="189" w:lineRule="exact"/>
        <w:rPr>
          <w:rFonts w:ascii="Arial" w:cs="Arial" w:eastAsia="Arial" w:hAnsi="Arial"/>
          <w:sz w:val="18"/>
          <w:szCs w:val="18"/>
          <w:color w:val="auto"/>
        </w:rPr>
      </w:pPr>
    </w:p>
    <w:p>
      <w:pPr>
        <w:ind w:left="1720" w:right="840" w:hanging="571"/>
        <w:spacing w:after="0" w:line="273" w:lineRule="auto"/>
        <w:tabs>
          <w:tab w:leader="none" w:pos="1720" w:val="left"/>
        </w:tabs>
        <w:numPr>
          <w:ilvl w:val="0"/>
          <w:numId w:val="111"/>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Plan Year</w:t>
      </w:r>
      <w:r>
        <w:rPr>
          <w:rFonts w:ascii="Arial" w:cs="Arial" w:eastAsia="Arial" w:hAnsi="Arial"/>
          <w:sz w:val="19"/>
          <w:szCs w:val="19"/>
          <w:color w:val="auto"/>
        </w:rPr>
        <w:t>” shall mean the twelve (12) consecutive month period beginning on each January 1 and ending on each December 31.</w:t>
      </w:r>
    </w:p>
    <w:p>
      <w:pPr>
        <w:spacing w:after="0" w:line="115" w:lineRule="exact"/>
        <w:rPr>
          <w:rFonts w:ascii="Arial" w:cs="Arial" w:eastAsia="Arial" w:hAnsi="Arial"/>
          <w:sz w:val="19"/>
          <w:szCs w:val="19"/>
          <w:color w:val="auto"/>
        </w:rPr>
      </w:pPr>
    </w:p>
    <w:p>
      <w:pPr>
        <w:ind w:left="1720" w:right="440" w:hanging="571"/>
        <w:spacing w:after="0" w:line="273" w:lineRule="auto"/>
        <w:tabs>
          <w:tab w:leader="none" w:pos="1720" w:val="left"/>
        </w:tabs>
        <w:numPr>
          <w:ilvl w:val="0"/>
          <w:numId w:val="111"/>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Restricted Stock Units</w:t>
      </w:r>
      <w:r>
        <w:rPr>
          <w:rFonts w:ascii="Arial" w:cs="Arial" w:eastAsia="Arial" w:hAnsi="Arial"/>
          <w:sz w:val="19"/>
          <w:szCs w:val="19"/>
          <w:color w:val="auto"/>
        </w:rPr>
        <w:t>” shall mean restricted stock units granted to Executive Officers under the Sempra Energy 1998 Long Term Incentive Plan or the Sempra Energy 2008 Long Term Incentive Plan</w:t>
      </w:r>
      <w:r>
        <w:rPr>
          <w:rFonts w:ascii="Arial" w:cs="Arial" w:eastAsia="Arial" w:hAnsi="Arial"/>
          <w:sz w:val="19"/>
          <w:szCs w:val="19"/>
          <w:i w:val="1"/>
          <w:iCs w:val="1"/>
          <w:color w:val="auto"/>
        </w:rPr>
        <w:t>.</w:t>
      </w:r>
    </w:p>
    <w:p>
      <w:pPr>
        <w:spacing w:after="0" w:line="127" w:lineRule="exact"/>
        <w:rPr>
          <w:rFonts w:ascii="Arial" w:cs="Arial" w:eastAsia="Arial" w:hAnsi="Arial"/>
          <w:sz w:val="19"/>
          <w:szCs w:val="19"/>
          <w:color w:val="auto"/>
        </w:rPr>
      </w:pPr>
    </w:p>
    <w:p>
      <w:pPr>
        <w:ind w:left="1720" w:hanging="571"/>
        <w:spacing w:after="0"/>
        <w:tabs>
          <w:tab w:leader="none" w:pos="1720" w:val="left"/>
        </w:tabs>
        <w:numPr>
          <w:ilvl w:val="0"/>
          <w:numId w:val="111"/>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Rule 16b-3</w:t>
      </w:r>
      <w:r>
        <w:rPr>
          <w:rFonts w:ascii="Arial" w:cs="Arial" w:eastAsia="Arial" w:hAnsi="Arial"/>
          <w:sz w:val="17"/>
          <w:szCs w:val="17"/>
          <w:color w:val="auto"/>
        </w:rPr>
        <w:t>” shall mean that certain Rule 16b-3 under the Exchange Act, as such Rule may be amended from time to time.</w:t>
      </w:r>
    </w:p>
    <w:p>
      <w:pPr>
        <w:spacing w:after="0" w:line="200" w:lineRule="exact"/>
        <w:rPr>
          <w:rFonts w:ascii="Arial" w:cs="Arial" w:eastAsia="Arial" w:hAnsi="Arial"/>
          <w:sz w:val="17"/>
          <w:szCs w:val="17"/>
          <w:color w:val="auto"/>
        </w:rPr>
      </w:pPr>
    </w:p>
    <w:p>
      <w:pPr>
        <w:ind w:left="1720" w:right="60" w:hanging="571"/>
        <w:spacing w:after="0" w:line="255" w:lineRule="auto"/>
        <w:tabs>
          <w:tab w:leader="none" w:pos="1720" w:val="left"/>
        </w:tabs>
        <w:numPr>
          <w:ilvl w:val="0"/>
          <w:numId w:val="111"/>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Scheduled Withdrawal Date</w:t>
      </w:r>
      <w:r>
        <w:rPr>
          <w:rFonts w:ascii="Arial" w:cs="Arial" w:eastAsia="Arial" w:hAnsi="Arial"/>
          <w:sz w:val="19"/>
          <w:szCs w:val="19"/>
          <w:color w:val="auto"/>
        </w:rPr>
        <w:t>” shall be in January in the year elected by the Participant for an in-service withdrawal of all amounts of Compensation deferred in a given Plan Year, but excluding earnings and losses attributable thereto, as set forth on the election forms for such Plan Year.</w:t>
      </w:r>
    </w:p>
    <w:p>
      <w:pPr>
        <w:spacing w:after="0" w:line="144" w:lineRule="exact"/>
        <w:rPr>
          <w:rFonts w:ascii="Arial" w:cs="Arial" w:eastAsia="Arial" w:hAnsi="Arial"/>
          <w:sz w:val="19"/>
          <w:szCs w:val="19"/>
          <w:color w:val="auto"/>
        </w:rPr>
      </w:pPr>
    </w:p>
    <w:p>
      <w:pPr>
        <w:ind w:left="1720" w:right="520" w:hanging="571"/>
        <w:spacing w:after="0" w:line="273" w:lineRule="auto"/>
        <w:tabs>
          <w:tab w:leader="none" w:pos="1720" w:val="left"/>
        </w:tabs>
        <w:numPr>
          <w:ilvl w:val="0"/>
          <w:numId w:val="111"/>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Sempra Energy Stock Fund</w:t>
      </w:r>
      <w:r>
        <w:rPr>
          <w:rFonts w:ascii="Arial" w:cs="Arial" w:eastAsia="Arial" w:hAnsi="Arial"/>
          <w:sz w:val="19"/>
          <w:szCs w:val="19"/>
          <w:color w:val="auto"/>
        </w:rPr>
        <w:t>” shall mean the Measurement Fund in which investment earnings and losses parallel the investment return on the common stock of the Company.</w:t>
      </w:r>
    </w:p>
    <w:p>
      <w:pPr>
        <w:spacing w:after="0" w:line="115" w:lineRule="exact"/>
        <w:rPr>
          <w:rFonts w:ascii="Arial" w:cs="Arial" w:eastAsia="Arial" w:hAnsi="Arial"/>
          <w:sz w:val="19"/>
          <w:szCs w:val="19"/>
          <w:color w:val="auto"/>
        </w:rPr>
      </w:pPr>
    </w:p>
    <w:p>
      <w:pPr>
        <w:ind w:left="1720" w:right="380" w:hanging="571"/>
        <w:spacing w:after="0" w:line="255" w:lineRule="auto"/>
        <w:tabs>
          <w:tab w:leader="none" w:pos="1720" w:val="left"/>
        </w:tabs>
        <w:numPr>
          <w:ilvl w:val="0"/>
          <w:numId w:val="111"/>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Separation from Service</w:t>
      </w:r>
      <w:r>
        <w:rPr>
          <w:rFonts w:ascii="Arial" w:cs="Arial" w:eastAsia="Arial" w:hAnsi="Arial"/>
          <w:sz w:val="19"/>
          <w:szCs w:val="19"/>
          <w:color w:val="auto"/>
        </w:rPr>
        <w:t>”, with respect to a Participant (or another Service Provider), means the Participant’s (or such Service Provider’s) “separation from service,” as defined in Treasury Regulation Section 1.409A-1(h), with respect to the Service Recipient.</w:t>
      </w:r>
    </w:p>
    <w:p>
      <w:pPr>
        <w:spacing w:after="0" w:line="150" w:lineRule="exact"/>
        <w:rPr>
          <w:sz w:val="20"/>
          <w:szCs w:val="20"/>
          <w:color w:val="auto"/>
        </w:rPr>
      </w:pPr>
    </w:p>
    <w:p>
      <w:pPr>
        <w:ind w:right="40" w:firstLine="1153"/>
        <w:spacing w:after="0"/>
        <w:rPr>
          <w:sz w:val="20"/>
          <w:szCs w:val="20"/>
          <w:color w:val="auto"/>
        </w:rPr>
      </w:pPr>
      <w:r>
        <w:rPr>
          <w:rFonts w:ascii="Arial" w:cs="Arial" w:eastAsia="Arial" w:hAnsi="Arial"/>
          <w:sz w:val="19"/>
          <w:szCs w:val="19"/>
          <w:color w:val="auto"/>
        </w:rPr>
        <w:t>Effective as of January 1, 2008, and in accordance with Treasury Regulation Section 1.409A-1(h)(3) (and the transitional relief under Internal Revenue Service Notice 2005-1, the proposed regulations under Section 409A of the Code, Internal Revenue Service Notice 2006-79 and Internal Revenue Notice 2007-86), and in connection with the formation of RBS Sempra Commodities (as defined in Section 10), with respect to the benefits payable under this Plan to a Participant who is an employee of SET LLC or SES (each, as defined in Section 10), and who is a Transferred Employee (as defined in Section 10), the foregoing definition of “Separation from Service” shall be applied by determining the “service recipient,” as defined in Treasury Regulation Section 1.409A-1(g), by substituting the language “at least 20%” for the language “at least 80%” and applyi ng Sections 1563(a)(1), (2) and (3) for purposes of determining a controlled group of corporations under Section 414(b) of the Code and in applying Treasury Regulation Section 1.414(c)-2 for purposes of determining trades or businesses (whether or not incorporated) that are under common control for purposes of Section 414(c) of the Code. This subsection shall not apply with respect to the benefits payable under this Plan to any other Participant.</w:t>
      </w:r>
    </w:p>
    <w:p>
      <w:pPr>
        <w:spacing w:after="0" w:line="152" w:lineRule="exact"/>
        <w:rPr>
          <w:sz w:val="20"/>
          <w:szCs w:val="20"/>
          <w:color w:val="auto"/>
        </w:rPr>
      </w:pPr>
    </w:p>
    <w:p>
      <w:pPr>
        <w:ind w:left="1720" w:hanging="571"/>
        <w:spacing w:after="0" w:line="255" w:lineRule="auto"/>
        <w:tabs>
          <w:tab w:leader="none" w:pos="1720" w:val="left"/>
        </w:tabs>
        <w:numPr>
          <w:ilvl w:val="0"/>
          <w:numId w:val="112"/>
        </w:numPr>
        <w:rPr>
          <w:rFonts w:ascii="Arial" w:cs="Arial" w:eastAsia="Arial" w:hAnsi="Arial"/>
          <w:sz w:val="19"/>
          <w:szCs w:val="19"/>
          <w:i w:val="1"/>
          <w:iCs w:val="1"/>
          <w:color w:val="auto"/>
        </w:rPr>
      </w:pPr>
      <w:r>
        <w:rPr>
          <w:rFonts w:ascii="Arial" w:cs="Arial" w:eastAsia="Arial" w:hAnsi="Arial"/>
          <w:sz w:val="19"/>
          <w:szCs w:val="19"/>
          <w:i w:val="1"/>
          <w:iCs w:val="1"/>
          <w:color w:val="auto"/>
        </w:rPr>
        <w:t>“</w:t>
      </w:r>
      <w:r>
        <w:rPr>
          <w:rFonts w:ascii="Arial" w:cs="Arial" w:eastAsia="Arial" w:hAnsi="Arial"/>
          <w:sz w:val="19"/>
          <w:szCs w:val="19"/>
          <w:b w:val="1"/>
          <w:bCs w:val="1"/>
          <w:color w:val="auto"/>
        </w:rPr>
        <w:t>SERP Lump Sum</w:t>
      </w:r>
      <w:r>
        <w:rPr>
          <w:rFonts w:ascii="Arial" w:cs="Arial" w:eastAsia="Arial" w:hAnsi="Arial"/>
          <w:sz w:val="19"/>
          <w:szCs w:val="19"/>
          <w:color w:val="auto"/>
        </w:rPr>
        <w:t>” shall mean the lump sum retirement benefit that would be payable to an Executive Officer who is a Plan</w:t>
      </w:r>
      <w:r>
        <w:rPr>
          <w:rFonts w:ascii="Arial" w:cs="Arial" w:eastAsia="Arial" w:hAnsi="Arial"/>
          <w:sz w:val="19"/>
          <w:szCs w:val="19"/>
          <w:i w:val="1"/>
          <w:iCs w:val="1"/>
          <w:color w:val="auto"/>
        </w:rPr>
        <w:t xml:space="preserve"> </w:t>
      </w:r>
      <w:r>
        <w:rPr>
          <w:rFonts w:ascii="Arial" w:cs="Arial" w:eastAsia="Arial" w:hAnsi="Arial"/>
          <w:sz w:val="19"/>
          <w:szCs w:val="19"/>
          <w:color w:val="auto"/>
        </w:rPr>
        <w:t>Participant under either the Sempra Energy Supplemental Executive Retirement Plan or the Sempra Energy Excess Cash Balance Plan.</w:t>
      </w:r>
    </w:p>
    <w:p>
      <w:pPr>
        <w:spacing w:after="0" w:line="144" w:lineRule="exact"/>
        <w:rPr>
          <w:rFonts w:ascii="Arial" w:cs="Arial" w:eastAsia="Arial" w:hAnsi="Arial"/>
          <w:sz w:val="19"/>
          <w:szCs w:val="19"/>
          <w:i w:val="1"/>
          <w:iCs w:val="1"/>
          <w:color w:val="auto"/>
        </w:rPr>
      </w:pPr>
    </w:p>
    <w:p>
      <w:pPr>
        <w:ind w:left="1720" w:right="180" w:hanging="571"/>
        <w:spacing w:after="0" w:line="273" w:lineRule="auto"/>
        <w:tabs>
          <w:tab w:leader="none" w:pos="1720" w:val="left"/>
        </w:tabs>
        <w:numPr>
          <w:ilvl w:val="0"/>
          <w:numId w:val="112"/>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Service Provider</w:t>
      </w:r>
      <w:r>
        <w:rPr>
          <w:rFonts w:ascii="Arial" w:cs="Arial" w:eastAsia="Arial" w:hAnsi="Arial"/>
          <w:sz w:val="19"/>
          <w:szCs w:val="19"/>
          <w:color w:val="auto"/>
        </w:rPr>
        <w:t>” means a Participant or any other “service provider,” as defined in Treasury Regulation Section 1.409A-1(f), with respect to the Service Recipient.</w:t>
      </w:r>
    </w:p>
    <w:p>
      <w:pPr>
        <w:spacing w:after="0" w:line="134" w:lineRule="exact"/>
        <w:rPr>
          <w:sz w:val="20"/>
          <w:szCs w:val="20"/>
          <w:color w:val="auto"/>
        </w:rPr>
      </w:pPr>
    </w:p>
    <w:p>
      <w:pPr>
        <w:ind w:left="1140"/>
        <w:spacing w:after="0"/>
        <w:rPr>
          <w:sz w:val="20"/>
          <w:szCs w:val="20"/>
          <w:color w:val="auto"/>
        </w:rPr>
      </w:pPr>
      <w:r>
        <w:rPr>
          <w:rFonts w:ascii="Arial" w:cs="Arial" w:eastAsia="Arial" w:hAnsi="Arial"/>
          <w:sz w:val="19"/>
          <w:szCs w:val="19"/>
          <w:color w:val="auto"/>
        </w:rPr>
        <w:t>(rr)</w:t>
      </w:r>
    </w:p>
    <w:p>
      <w:pPr>
        <w:sectPr>
          <w:pgSz w:w="11900" w:h="16838" w:orient="portrait"/>
          <w:cols w:equalWidth="0" w:num="1">
            <w:col w:w="11440"/>
          </w:cols>
          <w:pgMar w:left="240" w:top="120" w:right="219" w:bottom="0" w:gutter="0" w:footer="0" w:header="0"/>
        </w:sectPr>
      </w:pPr>
    </w:p>
    <w:bookmarkStart w:id="99" w:name="page100"/>
    <w:bookmarkEnd w:id="99"/>
    <w:p>
      <w:pPr>
        <w:ind w:left="1580" w:right="20"/>
        <w:spacing w:after="0" w:line="278"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Service Recipient</w:t>
      </w:r>
      <w:r>
        <w:rPr>
          <w:rFonts w:ascii="Arial" w:cs="Arial" w:eastAsia="Arial" w:hAnsi="Arial"/>
          <w:sz w:val="17"/>
          <w:szCs w:val="17"/>
          <w:color w:val="auto"/>
        </w:rPr>
        <w:t>”, with respect to the Participant, means Sempra Energy (if the Participant is employed by Sempra Energy or is a Director), or the subsidiary of Sempra Energy employing the Participant, whichever is applicable, and all persons considered part of the “service recipient,” as defined in Treasury Regulation Section 1.409A-1(g), as determined from time to time. As provided in Treasury Regulation Section 1.409A-1(g), the “</w:t>
      </w:r>
      <w:r>
        <w:rPr>
          <w:rFonts w:ascii="Arial" w:cs="Arial" w:eastAsia="Arial" w:hAnsi="Arial"/>
          <w:sz w:val="17"/>
          <w:szCs w:val="17"/>
          <w:b w:val="1"/>
          <w:bCs w:val="1"/>
          <w:color w:val="auto"/>
        </w:rPr>
        <w:t>Service Recipient</w:t>
      </w:r>
      <w:r>
        <w:rPr>
          <w:rFonts w:ascii="Arial" w:cs="Arial" w:eastAsia="Arial" w:hAnsi="Arial"/>
          <w:sz w:val="17"/>
          <w:szCs w:val="17"/>
          <w:color w:val="auto"/>
        </w:rPr>
        <w:t>” shall mean the person for whom the services are performed and with respect to whom the legally binding right to compensation arises, and all persons with whom such person would be considered a single employer under Section 414(b) or 414(c) of the Code.</w:t>
      </w:r>
    </w:p>
    <w:p>
      <w:pPr>
        <w:spacing w:after="0" w:line="118" w:lineRule="exact"/>
        <w:rPr>
          <w:sz w:val="20"/>
          <w:szCs w:val="20"/>
          <w:color w:val="auto"/>
        </w:rPr>
      </w:pPr>
    </w:p>
    <w:p>
      <w:pPr>
        <w:ind w:left="1580" w:right="740" w:hanging="571"/>
        <w:spacing w:after="0" w:line="273" w:lineRule="auto"/>
        <w:tabs>
          <w:tab w:leader="none" w:pos="1580" w:val="left"/>
        </w:tabs>
        <w:numPr>
          <w:ilvl w:val="0"/>
          <w:numId w:val="113"/>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Severance Payment</w:t>
      </w:r>
      <w:r>
        <w:rPr>
          <w:rFonts w:ascii="Arial" w:cs="Arial" w:eastAsia="Arial" w:hAnsi="Arial"/>
          <w:sz w:val="19"/>
          <w:szCs w:val="19"/>
          <w:color w:val="auto"/>
        </w:rPr>
        <w:t>” shall mean any severance payments payable to a Participant under an executive employment agreement or severance agreement with the Company.</w:t>
      </w:r>
    </w:p>
    <w:p>
      <w:pPr>
        <w:spacing w:after="0" w:line="127" w:lineRule="exact"/>
        <w:rPr>
          <w:rFonts w:ascii="Arial" w:cs="Arial" w:eastAsia="Arial" w:hAnsi="Arial"/>
          <w:sz w:val="19"/>
          <w:szCs w:val="19"/>
          <w:color w:val="auto"/>
        </w:rPr>
      </w:pPr>
    </w:p>
    <w:p>
      <w:pPr>
        <w:ind w:left="1580" w:right="20" w:hanging="571"/>
        <w:spacing w:after="0" w:line="271" w:lineRule="auto"/>
        <w:tabs>
          <w:tab w:leader="none" w:pos="1580" w:val="left"/>
        </w:tabs>
        <w:numPr>
          <w:ilvl w:val="0"/>
          <w:numId w:val="113"/>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Specified Employee</w:t>
      </w:r>
      <w:r>
        <w:rPr>
          <w:rFonts w:ascii="Arial" w:cs="Arial" w:eastAsia="Arial" w:hAnsi="Arial"/>
          <w:sz w:val="17"/>
          <w:szCs w:val="17"/>
          <w:color w:val="auto"/>
        </w:rPr>
        <w:t>” means a Service Provider who, as of the date of the Service Provider’s Separation from Service is a “</w:t>
      </w:r>
      <w:r>
        <w:rPr>
          <w:rFonts w:ascii="Arial" w:cs="Arial" w:eastAsia="Arial" w:hAnsi="Arial"/>
          <w:sz w:val="17"/>
          <w:szCs w:val="17"/>
          <w:b w:val="1"/>
          <w:bCs w:val="1"/>
          <w:color w:val="auto"/>
        </w:rPr>
        <w:t>Key Employee</w:t>
      </w:r>
      <w:r>
        <w:rPr>
          <w:rFonts w:ascii="Arial" w:cs="Arial" w:eastAsia="Arial" w:hAnsi="Arial"/>
          <w:sz w:val="17"/>
          <w:szCs w:val="17"/>
          <w:color w:val="auto"/>
        </w:rPr>
        <w:t>” of the Service Recipient any stock of which is publicly traded on an established securities market or otherwise. For purposes of this definition, a Service Provider is a “</w:t>
      </w:r>
      <w:r>
        <w:rPr>
          <w:rFonts w:ascii="Arial" w:cs="Arial" w:eastAsia="Arial" w:hAnsi="Arial"/>
          <w:sz w:val="17"/>
          <w:szCs w:val="17"/>
          <w:b w:val="1"/>
          <w:bCs w:val="1"/>
          <w:color w:val="auto"/>
        </w:rPr>
        <w:t>Key Employee</w:t>
      </w:r>
      <w:r>
        <w:rPr>
          <w:rFonts w:ascii="Arial" w:cs="Arial" w:eastAsia="Arial" w:hAnsi="Arial"/>
          <w:sz w:val="17"/>
          <w:szCs w:val="17"/>
          <w:color w:val="auto"/>
        </w:rPr>
        <w:t>” if the Service Provider meets the requirements of Section 416(i)(1)(A)(i), (ii) or (iii) of the Code (applied in accordance with the Treasury Regulations thereunder and disregarding Section 416(i)(5) of the Code) at any time during the Testing Year. If a Service Provider is a “</w:t>
      </w:r>
      <w:r>
        <w:rPr>
          <w:rFonts w:ascii="Arial" w:cs="Arial" w:eastAsia="Arial" w:hAnsi="Arial"/>
          <w:sz w:val="17"/>
          <w:szCs w:val="17"/>
          <w:b w:val="1"/>
          <w:bCs w:val="1"/>
          <w:color w:val="auto"/>
        </w:rPr>
        <w:t>Key Employee</w:t>
      </w:r>
      <w:r>
        <w:rPr>
          <w:rFonts w:ascii="Arial" w:cs="Arial" w:eastAsia="Arial" w:hAnsi="Arial"/>
          <w:sz w:val="17"/>
          <w:szCs w:val="17"/>
          <w:color w:val="auto"/>
        </w:rPr>
        <w:t>” (as defined above) as of a Specified Employee Identification Date, the Service Provider shall be treated as “</w:t>
      </w:r>
      <w:r>
        <w:rPr>
          <w:rFonts w:ascii="Arial" w:cs="Arial" w:eastAsia="Arial" w:hAnsi="Arial"/>
          <w:sz w:val="17"/>
          <w:szCs w:val="17"/>
          <w:b w:val="1"/>
          <w:bCs w:val="1"/>
          <w:color w:val="auto"/>
        </w:rPr>
        <w:t>Key Employee</w:t>
      </w:r>
      <w:r>
        <w:rPr>
          <w:rFonts w:ascii="Arial" w:cs="Arial" w:eastAsia="Arial" w:hAnsi="Arial"/>
          <w:sz w:val="17"/>
          <w:szCs w:val="17"/>
          <w:color w:val="auto"/>
        </w:rPr>
        <w:t>” for the entire twelve (12) month period beginning on the Specified Employee Effective Date. For purposes of this definition, a Service Provider’s compensation for a Testing Year shall mean such Service Provider’s compensation, as determined under Treasury Regulation Section 1.415(c)-2(a) (and applied as if the Service Recipient were not using any safe harbor provided in Treasury Regulation Section 1.415(c)-2(d), were not using any of the elective special timing rules provided in Treasury Regulation Section 1.415(c)-2(e), and were not using any of the elective special rules provided in Treasury Regulation Section 1.415(c)-2(g)), from the Service Recipient for such Testing Year. The “Specified Employees” shall be determined in accordance with Section 409A(a)(2)(B)(i) of the Code and Treasury Regulation Section 1.409A-1(i).</w:t>
      </w:r>
    </w:p>
    <w:p>
      <w:pPr>
        <w:spacing w:after="0" w:line="121" w:lineRule="exact"/>
        <w:rPr>
          <w:rFonts w:ascii="Arial" w:cs="Arial" w:eastAsia="Arial" w:hAnsi="Arial"/>
          <w:sz w:val="17"/>
          <w:szCs w:val="17"/>
          <w:color w:val="auto"/>
        </w:rPr>
      </w:pPr>
    </w:p>
    <w:p>
      <w:pPr>
        <w:ind w:left="1580" w:right="740" w:hanging="571"/>
        <w:spacing w:after="0" w:line="255" w:lineRule="auto"/>
        <w:tabs>
          <w:tab w:leader="none" w:pos="1580" w:val="left"/>
        </w:tabs>
        <w:numPr>
          <w:ilvl w:val="0"/>
          <w:numId w:val="113"/>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Specified Employee Effective Date</w:t>
      </w:r>
      <w:r>
        <w:rPr>
          <w:rFonts w:ascii="Arial" w:cs="Arial" w:eastAsia="Arial" w:hAnsi="Arial"/>
          <w:sz w:val="19"/>
          <w:szCs w:val="19"/>
          <w:color w:val="auto"/>
        </w:rPr>
        <w:t>” means the first day of the fourth month following the Specified Employee Identification Date. The Specified Employee Effective Date may be changed by Sempra Energy, in its discretion, in accordance with Treasury Regulation Section 1.409A-1(i)(4).</w:t>
      </w:r>
    </w:p>
    <w:p>
      <w:pPr>
        <w:spacing w:after="0" w:line="132" w:lineRule="exact"/>
        <w:rPr>
          <w:rFonts w:ascii="Arial" w:cs="Arial" w:eastAsia="Arial" w:hAnsi="Arial"/>
          <w:sz w:val="19"/>
          <w:szCs w:val="19"/>
          <w:color w:val="auto"/>
        </w:rPr>
      </w:pPr>
    </w:p>
    <w:p>
      <w:pPr>
        <w:ind w:left="1580" w:hanging="571"/>
        <w:spacing w:after="0" w:line="246" w:lineRule="auto"/>
        <w:tabs>
          <w:tab w:leader="none" w:pos="1580" w:val="left"/>
        </w:tabs>
        <w:numPr>
          <w:ilvl w:val="0"/>
          <w:numId w:val="113"/>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Specified Employee Identification Date</w:t>
      </w:r>
      <w:r>
        <w:rPr>
          <w:rFonts w:ascii="Arial" w:cs="Arial" w:eastAsia="Arial" w:hAnsi="Arial"/>
          <w:sz w:val="19"/>
          <w:szCs w:val="19"/>
          <w:color w:val="auto"/>
        </w:rPr>
        <w:t>” ”, for purposes of Treasury Regulation Section 1.409A-1(i)(3), shall mean December 31. The “</w:t>
      </w:r>
      <w:r>
        <w:rPr>
          <w:rFonts w:ascii="Arial" w:cs="Arial" w:eastAsia="Arial" w:hAnsi="Arial"/>
          <w:sz w:val="19"/>
          <w:szCs w:val="19"/>
          <w:b w:val="1"/>
          <w:bCs w:val="1"/>
          <w:color w:val="auto"/>
        </w:rPr>
        <w:t>Specified Employee Identification Date</w:t>
      </w:r>
      <w:r>
        <w:rPr>
          <w:rFonts w:ascii="Arial" w:cs="Arial" w:eastAsia="Arial" w:hAnsi="Arial"/>
          <w:sz w:val="19"/>
          <w:szCs w:val="19"/>
          <w:color w:val="auto"/>
        </w:rPr>
        <w:t>” shall apply to all “nonqualified deferred compensation plans” (as defined in Treasury Regulation Section 1.409A-1(a)) of the Service Recipient and all affected Service Providers. The “</w:t>
      </w:r>
      <w:r>
        <w:rPr>
          <w:rFonts w:ascii="Arial" w:cs="Arial" w:eastAsia="Arial" w:hAnsi="Arial"/>
          <w:sz w:val="19"/>
          <w:szCs w:val="19"/>
          <w:b w:val="1"/>
          <w:bCs w:val="1"/>
          <w:color w:val="auto"/>
        </w:rPr>
        <w:t>Specified Employee Identification Date</w:t>
      </w:r>
      <w:r>
        <w:rPr>
          <w:rFonts w:ascii="Arial" w:cs="Arial" w:eastAsia="Arial" w:hAnsi="Arial"/>
          <w:sz w:val="19"/>
          <w:szCs w:val="19"/>
          <w:color w:val="auto"/>
        </w:rPr>
        <w:t>” may be changed by Sempra Energy, in its discretion, in accordance with Treasury Regulation Section 1.409A-1(i)(3).</w:t>
      </w:r>
    </w:p>
    <w:p>
      <w:pPr>
        <w:spacing w:after="0" w:line="153" w:lineRule="exact"/>
        <w:rPr>
          <w:rFonts w:ascii="Arial" w:cs="Arial" w:eastAsia="Arial" w:hAnsi="Arial"/>
          <w:sz w:val="19"/>
          <w:szCs w:val="19"/>
          <w:color w:val="auto"/>
        </w:rPr>
      </w:pPr>
    </w:p>
    <w:p>
      <w:pPr>
        <w:ind w:left="1580" w:right="580" w:hanging="571"/>
        <w:spacing w:after="0" w:line="273" w:lineRule="auto"/>
        <w:tabs>
          <w:tab w:leader="none" w:pos="1580" w:val="left"/>
        </w:tabs>
        <w:numPr>
          <w:ilvl w:val="0"/>
          <w:numId w:val="113"/>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Subaccount</w:t>
      </w:r>
      <w:r>
        <w:rPr>
          <w:rFonts w:ascii="Arial" w:cs="Arial" w:eastAsia="Arial" w:hAnsi="Arial"/>
          <w:sz w:val="19"/>
          <w:szCs w:val="19"/>
          <w:color w:val="auto"/>
        </w:rPr>
        <w:t>” or “</w:t>
      </w:r>
      <w:r>
        <w:rPr>
          <w:rFonts w:ascii="Arial" w:cs="Arial" w:eastAsia="Arial" w:hAnsi="Arial"/>
          <w:sz w:val="19"/>
          <w:szCs w:val="19"/>
          <w:b w:val="1"/>
          <w:bCs w:val="1"/>
          <w:color w:val="auto"/>
        </w:rPr>
        <w:t>Subaccounts</w:t>
      </w:r>
      <w:r>
        <w:rPr>
          <w:rFonts w:ascii="Arial" w:cs="Arial" w:eastAsia="Arial" w:hAnsi="Arial"/>
          <w:sz w:val="19"/>
          <w:szCs w:val="19"/>
          <w:color w:val="auto"/>
        </w:rPr>
        <w:t>” shall mean the subaccount or subaccounts maintained with respect to a Participant’s Deferral Account or Company Matching Account.</w:t>
      </w:r>
    </w:p>
    <w:p>
      <w:pPr>
        <w:spacing w:after="0" w:line="115" w:lineRule="exact"/>
        <w:rPr>
          <w:rFonts w:ascii="Arial" w:cs="Arial" w:eastAsia="Arial" w:hAnsi="Arial"/>
          <w:sz w:val="19"/>
          <w:szCs w:val="19"/>
          <w:color w:val="auto"/>
        </w:rPr>
      </w:pPr>
    </w:p>
    <w:p>
      <w:pPr>
        <w:ind w:left="1580" w:right="860" w:hanging="571"/>
        <w:spacing w:after="0" w:line="273" w:lineRule="auto"/>
        <w:tabs>
          <w:tab w:leader="none" w:pos="1580" w:val="left"/>
        </w:tabs>
        <w:numPr>
          <w:ilvl w:val="0"/>
          <w:numId w:val="113"/>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Testing Year</w:t>
      </w:r>
      <w:r>
        <w:rPr>
          <w:rFonts w:ascii="Arial" w:cs="Arial" w:eastAsia="Arial" w:hAnsi="Arial"/>
          <w:sz w:val="19"/>
          <w:szCs w:val="19"/>
          <w:color w:val="auto"/>
        </w:rPr>
        <w:t>” shall mean the twelve (12) month period ending on the Specified Employee Identification Date, as determined from time to time.</w:t>
      </w:r>
    </w:p>
    <w:p>
      <w:pPr>
        <w:spacing w:after="0" w:line="115" w:lineRule="exact"/>
        <w:rPr>
          <w:rFonts w:ascii="Arial" w:cs="Arial" w:eastAsia="Arial" w:hAnsi="Arial"/>
          <w:sz w:val="19"/>
          <w:szCs w:val="19"/>
          <w:color w:val="auto"/>
        </w:rPr>
      </w:pPr>
    </w:p>
    <w:p>
      <w:pPr>
        <w:ind w:left="1580" w:right="240" w:hanging="571"/>
        <w:spacing w:after="0" w:line="255" w:lineRule="auto"/>
        <w:tabs>
          <w:tab w:leader="none" w:pos="1628" w:val="left"/>
        </w:tabs>
        <w:numPr>
          <w:ilvl w:val="0"/>
          <w:numId w:val="113"/>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Valuation Date</w:t>
      </w:r>
      <w:r>
        <w:rPr>
          <w:rFonts w:ascii="Arial" w:cs="Arial" w:eastAsia="Arial" w:hAnsi="Arial"/>
          <w:sz w:val="19"/>
          <w:szCs w:val="19"/>
          <w:color w:val="auto"/>
        </w:rPr>
        <w:t>”, with respect to the Measurement Funds that are available under the 401(k) Plan, shall have the same meaning as under the 401(k) Plan. For purposes of the Moody’s Plus Rate, “Valuation Date” shall mean the last day of the calendar month.</w:t>
      </w:r>
    </w:p>
    <w:p>
      <w:pPr>
        <w:spacing w:after="0" w:line="144" w:lineRule="exact"/>
        <w:rPr>
          <w:sz w:val="20"/>
          <w:szCs w:val="20"/>
          <w:color w:val="auto"/>
        </w:rPr>
      </w:pPr>
    </w:p>
    <w:p>
      <w:pPr>
        <w:ind w:left="5020"/>
        <w:spacing w:after="0"/>
        <w:rPr>
          <w:sz w:val="20"/>
          <w:szCs w:val="20"/>
          <w:color w:val="auto"/>
        </w:rPr>
      </w:pPr>
      <w:r>
        <w:rPr>
          <w:rFonts w:ascii="Arial" w:cs="Arial" w:eastAsia="Arial" w:hAnsi="Arial"/>
          <w:sz w:val="19"/>
          <w:szCs w:val="19"/>
          <w:b w:val="1"/>
          <w:bCs w:val="1"/>
          <w:color w:val="auto"/>
        </w:rPr>
        <w:t>ARTICLE II.</w:t>
      </w:r>
    </w:p>
    <w:p>
      <w:pPr>
        <w:spacing w:after="0" w:line="20" w:lineRule="exact"/>
        <w:rPr>
          <w:sz w:val="20"/>
          <w:szCs w:val="20"/>
          <w:color w:val="auto"/>
        </w:rPr>
      </w:pPr>
    </w:p>
    <w:p>
      <w:pPr>
        <w:ind w:left="5100"/>
        <w:spacing w:after="0"/>
        <w:rPr>
          <w:sz w:val="20"/>
          <w:szCs w:val="20"/>
          <w:color w:val="auto"/>
        </w:rPr>
      </w:pPr>
      <w:r>
        <w:rPr>
          <w:rFonts w:ascii="Arial" w:cs="Arial" w:eastAsia="Arial" w:hAnsi="Arial"/>
          <w:sz w:val="19"/>
          <w:szCs w:val="19"/>
          <w:b w:val="1"/>
          <w:bCs w:val="1"/>
          <w:u w:val="single" w:color="auto"/>
          <w:color w:val="auto"/>
        </w:rPr>
        <w:t>PARTICIPATION</w:t>
      </w:r>
    </w:p>
    <w:p>
      <w:pPr>
        <w:spacing w:after="0" w:line="174" w:lineRule="exact"/>
        <w:rPr>
          <w:sz w:val="20"/>
          <w:szCs w:val="20"/>
          <w:color w:val="auto"/>
        </w:rPr>
      </w:pPr>
    </w:p>
    <w:p>
      <w:pPr>
        <w:ind w:left="1580" w:right="40" w:hanging="571"/>
        <w:spacing w:after="0" w:line="266" w:lineRule="auto"/>
        <w:tabs>
          <w:tab w:leader="none" w:pos="1580" w:val="left"/>
        </w:tabs>
        <w:numPr>
          <w:ilvl w:val="0"/>
          <w:numId w:val="114"/>
        </w:numPr>
        <w:rPr>
          <w:rFonts w:ascii="Arial" w:cs="Arial" w:eastAsia="Arial" w:hAnsi="Arial"/>
          <w:sz w:val="19"/>
          <w:szCs w:val="19"/>
          <w:color w:val="auto"/>
        </w:rPr>
      </w:pPr>
      <w:r>
        <w:rPr>
          <w:rFonts w:ascii="Arial" w:cs="Arial" w:eastAsia="Arial" w:hAnsi="Arial"/>
          <w:sz w:val="19"/>
          <w:szCs w:val="19"/>
          <w:color w:val="auto"/>
        </w:rPr>
        <w:t>An Eligible Individual shall become a Participant in the Plan by (1) electing to make deferrals in accordance with Section 3.1 and (2) filing such other forms as the Committee may reasonably require for participation hereunder.</w:t>
      </w:r>
    </w:p>
    <w:p>
      <w:pPr>
        <w:spacing w:after="0" w:line="128" w:lineRule="exact"/>
        <w:rPr>
          <w:rFonts w:ascii="Arial" w:cs="Arial" w:eastAsia="Arial" w:hAnsi="Arial"/>
          <w:sz w:val="19"/>
          <w:szCs w:val="19"/>
          <w:color w:val="auto"/>
        </w:rPr>
      </w:pPr>
    </w:p>
    <w:p>
      <w:pPr>
        <w:ind w:left="1580" w:right="20" w:hanging="571"/>
        <w:spacing w:after="0" w:line="266" w:lineRule="auto"/>
        <w:tabs>
          <w:tab w:leader="none" w:pos="1580" w:val="left"/>
        </w:tabs>
        <w:numPr>
          <w:ilvl w:val="0"/>
          <w:numId w:val="114"/>
        </w:numPr>
        <w:rPr>
          <w:rFonts w:ascii="Arial" w:cs="Arial" w:eastAsia="Arial" w:hAnsi="Arial"/>
          <w:sz w:val="19"/>
          <w:szCs w:val="19"/>
          <w:color w:val="auto"/>
        </w:rPr>
      </w:pPr>
      <w:r>
        <w:rPr>
          <w:rFonts w:ascii="Arial" w:cs="Arial" w:eastAsia="Arial" w:hAnsi="Arial"/>
          <w:sz w:val="19"/>
          <w:szCs w:val="19"/>
          <w:color w:val="auto"/>
        </w:rPr>
        <w:t>An Eligible Individual who completes the requirements of the preceding subsection shall commence participation in this Plan as of the first day of the Plan Year with respect to which Compensation is deferred.</w:t>
      </w:r>
    </w:p>
    <w:p>
      <w:pPr>
        <w:spacing w:after="0" w:line="134" w:lineRule="exact"/>
        <w:rPr>
          <w:sz w:val="20"/>
          <w:szCs w:val="20"/>
          <w:color w:val="auto"/>
        </w:rPr>
      </w:pPr>
    </w:p>
    <w:p>
      <w:pPr>
        <w:ind w:left="4980"/>
        <w:spacing w:after="0"/>
        <w:rPr>
          <w:sz w:val="20"/>
          <w:szCs w:val="20"/>
          <w:color w:val="auto"/>
        </w:rPr>
      </w:pPr>
      <w:r>
        <w:rPr>
          <w:rFonts w:ascii="Arial" w:cs="Arial" w:eastAsia="Arial" w:hAnsi="Arial"/>
          <w:sz w:val="19"/>
          <w:szCs w:val="19"/>
          <w:b w:val="1"/>
          <w:bCs w:val="1"/>
          <w:color w:val="auto"/>
        </w:rPr>
        <w:t>ARTICLE III.</w:t>
      </w:r>
    </w:p>
    <w:p>
      <w:pPr>
        <w:spacing w:after="0" w:line="20" w:lineRule="exact"/>
        <w:rPr>
          <w:sz w:val="20"/>
          <w:szCs w:val="20"/>
          <w:color w:val="auto"/>
        </w:rPr>
      </w:pPr>
    </w:p>
    <w:p>
      <w:pPr>
        <w:ind w:left="5040"/>
        <w:spacing w:after="0"/>
        <w:rPr>
          <w:sz w:val="20"/>
          <w:szCs w:val="20"/>
          <w:color w:val="auto"/>
        </w:rPr>
      </w:pPr>
      <w:r>
        <w:rPr>
          <w:rFonts w:ascii="Arial" w:cs="Arial" w:eastAsia="Arial" w:hAnsi="Arial"/>
          <w:sz w:val="19"/>
          <w:szCs w:val="19"/>
          <w:b w:val="1"/>
          <w:bCs w:val="1"/>
          <w:u w:val="single" w:color="auto"/>
          <w:color w:val="auto"/>
        </w:rPr>
        <w:t>CONTRIBUTIONS</w:t>
      </w:r>
    </w:p>
    <w:p>
      <w:pPr>
        <w:spacing w:after="0" w:line="162" w:lineRule="exact"/>
        <w:rPr>
          <w:sz w:val="20"/>
          <w:szCs w:val="20"/>
          <w:color w:val="auto"/>
        </w:rPr>
      </w:pPr>
    </w:p>
    <w:p>
      <w:pPr>
        <w:spacing w:after="0"/>
        <w:tabs>
          <w:tab w:leader="none" w:pos="560" w:val="left"/>
        </w:tabs>
        <w:rPr>
          <w:sz w:val="20"/>
          <w:szCs w:val="20"/>
          <w:color w:val="auto"/>
        </w:rPr>
      </w:pPr>
      <w:r>
        <w:rPr>
          <w:rFonts w:ascii="Arial" w:cs="Arial" w:eastAsia="Arial" w:hAnsi="Arial"/>
          <w:sz w:val="19"/>
          <w:szCs w:val="19"/>
          <w:u w:val="single" w:color="auto"/>
          <w:color w:val="auto"/>
        </w:rPr>
        <w:t>3.1</w:t>
      </w:r>
      <w:r>
        <w:rPr>
          <w:sz w:val="20"/>
          <w:szCs w:val="20"/>
          <w:color w:val="auto"/>
        </w:rPr>
        <w:tab/>
      </w:r>
      <w:r>
        <w:rPr>
          <w:rFonts w:ascii="Arial" w:cs="Arial" w:eastAsia="Arial" w:hAnsi="Arial"/>
          <w:sz w:val="17"/>
          <w:szCs w:val="17"/>
          <w:u w:val="single" w:color="auto"/>
          <w:color w:val="auto"/>
        </w:rPr>
        <w:t>Elections to Defer Compensation</w:t>
      </w:r>
    </w:p>
    <w:p>
      <w:pPr>
        <w:spacing w:after="0" w:line="190" w:lineRule="exact"/>
        <w:rPr>
          <w:sz w:val="20"/>
          <w:szCs w:val="20"/>
          <w:color w:val="auto"/>
        </w:rPr>
      </w:pPr>
    </w:p>
    <w:p>
      <w:pPr>
        <w:ind w:left="1580" w:right="20" w:hanging="571"/>
        <w:spacing w:after="0" w:line="269" w:lineRule="auto"/>
        <w:tabs>
          <w:tab w:leader="none" w:pos="1580" w:val="left"/>
        </w:tabs>
        <w:numPr>
          <w:ilvl w:val="0"/>
          <w:numId w:val="115"/>
        </w:numPr>
        <w:rPr>
          <w:rFonts w:ascii="Arial" w:cs="Arial" w:eastAsia="Arial" w:hAnsi="Arial"/>
          <w:sz w:val="17"/>
          <w:szCs w:val="17"/>
          <w:u w:val="single" w:color="auto"/>
          <w:color w:val="auto"/>
        </w:rPr>
      </w:pPr>
      <w:r>
        <w:rPr>
          <w:rFonts w:ascii="Arial" w:cs="Arial" w:eastAsia="Arial" w:hAnsi="Arial"/>
          <w:sz w:val="17"/>
          <w:szCs w:val="17"/>
          <w:u w:val="single" w:color="auto"/>
          <w:color w:val="auto"/>
        </w:rPr>
        <w:t>General Rule</w:t>
      </w:r>
      <w:r>
        <w:rPr>
          <w:rFonts w:ascii="Arial" w:cs="Arial" w:eastAsia="Arial" w:hAnsi="Arial"/>
          <w:sz w:val="17"/>
          <w:szCs w:val="17"/>
          <w:color w:val="auto"/>
        </w:rPr>
        <w:t>. Each Eligible Individual may defer Compensation for a Plan Year by filing with the Administrator a Deferral Election Form for such Plan Year that conforms to the requirements of this Section 3.1, no later than the last day of the applicable Election Period for such Plan Year, and such deferral election shall become irrevocable on the last day of the applicable Election Period for such Plan Year. The Committee may permit an Eligible Individual who first becomes eligible to participate in the Plan during a Plan Year to have his first Election Period during such Plan Year. An election to defer Compensation for a Plan Year must be filed during the Election Period prior to the effective date of such election and shall be irrevocable when made and shall be effective only for Compensation that constitutes compensatio n for services performed during periods during the Plan Year beginning after the effective date of such election. Notwithstanding the previous sentence, if an Eligible Individual’s Bonus (or portion thereof) is a performance-based compensation based on services performed over a period of at least twelve (12) months, within the meaning of Section 409A(a)(4)(B)(iii) and the Treasury Regulations thereunder, the Committee may permit such Eligible Individual to file an election to defer such Bonus (or such portion thereof), or change such Eligible Individual’s prior election to defer such Bonus (or such portion thereof), no later than the date that is six months before the end of the performance period over which such services are to be performed, under the terms and conditions specified by the Committee, in accordance with Section 409A(a)(4)(B)(iii) of the Code and the Treasury Regulations thereunder, and such deferral election shall become irrevocable on the date that is six months before the end of the performance period. A Participant shall make a separate election to defer Compensation for each Plan Year.</w:t>
      </w:r>
    </w:p>
    <w:p>
      <w:pPr>
        <w:spacing w:after="0" w:line="134" w:lineRule="exact"/>
        <w:rPr>
          <w:rFonts w:ascii="Arial" w:cs="Arial" w:eastAsia="Arial" w:hAnsi="Arial"/>
          <w:sz w:val="17"/>
          <w:szCs w:val="17"/>
          <w:u w:val="single" w:color="auto"/>
          <w:color w:val="auto"/>
        </w:rPr>
      </w:pPr>
    </w:p>
    <w:p>
      <w:pPr>
        <w:ind w:left="1580" w:hanging="571"/>
        <w:spacing w:after="0"/>
        <w:tabs>
          <w:tab w:leader="none" w:pos="1580" w:val="left"/>
        </w:tabs>
        <w:numPr>
          <w:ilvl w:val="0"/>
          <w:numId w:val="115"/>
        </w:numPr>
        <w:rPr>
          <w:rFonts w:ascii="Arial" w:cs="Arial" w:eastAsia="Arial" w:hAnsi="Arial"/>
          <w:sz w:val="17"/>
          <w:szCs w:val="17"/>
          <w:u w:val="single" w:color="auto"/>
          <w:color w:val="auto"/>
        </w:rPr>
      </w:pPr>
      <w:r>
        <w:rPr>
          <w:rFonts w:ascii="Arial" w:cs="Arial" w:eastAsia="Arial" w:hAnsi="Arial"/>
          <w:sz w:val="17"/>
          <w:szCs w:val="17"/>
          <w:u w:val="single" w:color="auto"/>
          <w:color w:val="auto"/>
        </w:rPr>
        <w:t>Special Rules</w:t>
      </w:r>
      <w:r>
        <w:rPr>
          <w:rFonts w:ascii="Arial" w:cs="Arial" w:eastAsia="Arial" w:hAnsi="Arial"/>
          <w:sz w:val="17"/>
          <w:szCs w:val="17"/>
          <w:color w:val="auto"/>
        </w:rPr>
        <w:t>. Notwithstanding the above, the following restrictions apply to deferrals of certain elements of Compensation.</w:t>
      </w:r>
    </w:p>
    <w:p>
      <w:pPr>
        <w:spacing w:after="0" w:line="212" w:lineRule="exact"/>
        <w:rPr>
          <w:rFonts w:ascii="Arial" w:cs="Arial" w:eastAsia="Arial" w:hAnsi="Arial"/>
          <w:sz w:val="17"/>
          <w:szCs w:val="17"/>
          <w:u w:val="single" w:color="auto"/>
          <w:color w:val="auto"/>
        </w:rPr>
      </w:pPr>
    </w:p>
    <w:p>
      <w:pPr>
        <w:ind w:left="1000"/>
        <w:spacing w:after="0"/>
        <w:rPr>
          <w:rFonts w:ascii="Arial" w:cs="Arial" w:eastAsia="Arial" w:hAnsi="Arial"/>
          <w:sz w:val="17"/>
          <w:szCs w:val="17"/>
          <w:u w:val="single" w:color="auto"/>
          <w:color w:val="auto"/>
        </w:rPr>
      </w:pPr>
      <w:r>
        <w:rPr>
          <w:rFonts w:ascii="Arial" w:cs="Arial" w:eastAsia="Arial" w:hAnsi="Arial"/>
          <w:sz w:val="19"/>
          <w:szCs w:val="19"/>
          <w:color w:val="auto"/>
        </w:rPr>
        <w:t>(1)</w:t>
      </w:r>
    </w:p>
    <w:p>
      <w:pPr>
        <w:sectPr>
          <w:pgSz w:w="11900" w:h="16838" w:orient="portrait"/>
          <w:cols w:equalWidth="0" w:num="1">
            <w:col w:w="11260"/>
          </w:cols>
          <w:pgMar w:left="380" w:top="115" w:right="259" w:bottom="0" w:gutter="0" w:footer="0" w:header="0"/>
        </w:sectPr>
      </w:pPr>
    </w:p>
    <w:bookmarkStart w:id="100" w:name="page101"/>
    <w:bookmarkEnd w:id="100"/>
    <w:p>
      <w:pPr>
        <w:spacing w:after="0" w:line="52" w:lineRule="exact"/>
        <w:rPr>
          <w:sz w:val="20"/>
          <w:szCs w:val="20"/>
          <w:color w:val="auto"/>
        </w:rPr>
      </w:pPr>
    </w:p>
    <w:p>
      <w:pPr>
        <w:ind w:right="60" w:firstLine="1730"/>
        <w:spacing w:after="0" w:line="274" w:lineRule="auto"/>
        <w:rPr>
          <w:sz w:val="20"/>
          <w:szCs w:val="20"/>
          <w:color w:val="auto"/>
        </w:rPr>
      </w:pPr>
      <w:r>
        <w:rPr>
          <w:rFonts w:ascii="Arial" w:cs="Arial" w:eastAsia="Arial" w:hAnsi="Arial"/>
          <w:sz w:val="17"/>
          <w:szCs w:val="17"/>
          <w:u w:val="single" w:color="auto"/>
          <w:color w:val="auto"/>
        </w:rPr>
        <w:t>Severance Payments</w:t>
      </w:r>
      <w:r>
        <w:rPr>
          <w:rFonts w:ascii="Arial" w:cs="Arial" w:eastAsia="Arial" w:hAnsi="Arial"/>
          <w:sz w:val="17"/>
          <w:szCs w:val="17"/>
          <w:color w:val="auto"/>
        </w:rPr>
        <w:t>. A Participant may elect to defer Severance Payments (or a portion thereof), to the extent permitted by the Committee. In order to defer Severance Payments (or a portion thereof), an eligible Participant must file the appropriate Deferral Election Form no later than the election date required under Section 409A of the Code and the Treasury Regulations thereunder. The Participant’s election to defer Severance Payments (or a portion thereof) shall satisfy the requirements of Treasury Regulation Section 1.409A-2(b). Such deferral election shall be irrevocable when made, and shall not take effect until at least twelve (12) months after the date on which the election is made. Such deferral election shall provide that the amount deferred shall be deferred for a period of not less than five (5) years from the date the paym ent of the amount deferred would otherwise have been made (or, in the case of a life annuity or installment payments treated as a single payment, five years from the date the first amount was scheduled to be paid), in accordance with Treasury Regulation Section 1.409A-2(b)(1)(ii).</w:t>
      </w:r>
    </w:p>
    <w:p>
      <w:pPr>
        <w:spacing w:after="0" w:line="126" w:lineRule="exact"/>
        <w:rPr>
          <w:sz w:val="20"/>
          <w:szCs w:val="20"/>
          <w:color w:val="auto"/>
        </w:rPr>
      </w:pPr>
    </w:p>
    <w:p>
      <w:pPr>
        <w:ind w:right="20" w:firstLine="1149"/>
        <w:spacing w:after="0" w:line="268" w:lineRule="auto"/>
        <w:tabs>
          <w:tab w:leader="none" w:pos="1730" w:val="left"/>
        </w:tabs>
        <w:numPr>
          <w:ilvl w:val="0"/>
          <w:numId w:val="116"/>
        </w:numPr>
        <w:rPr>
          <w:rFonts w:ascii="Arial" w:cs="Arial" w:eastAsia="Arial" w:hAnsi="Arial"/>
          <w:sz w:val="17"/>
          <w:szCs w:val="17"/>
          <w:color w:val="auto"/>
        </w:rPr>
      </w:pPr>
      <w:r>
        <w:rPr>
          <w:rFonts w:ascii="Arial" w:cs="Arial" w:eastAsia="Arial" w:hAnsi="Arial"/>
          <w:sz w:val="17"/>
          <w:szCs w:val="17"/>
          <w:u w:val="single" w:color="auto"/>
          <w:color w:val="auto"/>
        </w:rPr>
        <w:t>Restricted Stock Units</w:t>
      </w:r>
      <w:r>
        <w:rPr>
          <w:rFonts w:ascii="Arial" w:cs="Arial" w:eastAsia="Arial" w:hAnsi="Arial"/>
          <w:sz w:val="17"/>
          <w:szCs w:val="17"/>
          <w:color w:val="auto"/>
        </w:rPr>
        <w:t>. A Participant may elect to defer Restricted Stock Units (or a portion thereof), to the extent permitted by the Committee. In order to defer Restricted Stock Units (or a portion thereof), an eligible Participant must file the appropriate Deferral Election Form no later than the election date required under Section 409A of the Code and the Treasury Regulations thereunder. The Participant’s election to defer Restricted Stock Units (or a portion thereof) shall apply only if the Restricted Stock Units (or portion thereof) constitute a legally binding right to a payment of compensation in a subsequent taxable year and, absent a deferral election, would be treated as a short-term deferral, within the meaning of Treasury Regulation Section 1.409A-1(b)(4), and such deferral election shall satisfy the requirements of Treasury Regulation S ection</w:t>
      </w:r>
    </w:p>
    <w:p>
      <w:pPr>
        <w:spacing w:after="0" w:line="3" w:lineRule="exact"/>
        <w:rPr>
          <w:rFonts w:ascii="Arial" w:cs="Arial" w:eastAsia="Arial" w:hAnsi="Arial"/>
          <w:sz w:val="17"/>
          <w:szCs w:val="17"/>
          <w:color w:val="auto"/>
        </w:rPr>
      </w:pPr>
    </w:p>
    <w:p>
      <w:pPr>
        <w:spacing w:after="0" w:line="253" w:lineRule="auto"/>
        <w:rPr>
          <w:rFonts w:ascii="Arial" w:cs="Arial" w:eastAsia="Arial" w:hAnsi="Arial"/>
          <w:sz w:val="17"/>
          <w:szCs w:val="17"/>
          <w:color w:val="auto"/>
        </w:rPr>
      </w:pPr>
      <w:r>
        <w:rPr>
          <w:rFonts w:ascii="Arial" w:cs="Arial" w:eastAsia="Arial" w:hAnsi="Arial"/>
          <w:sz w:val="18"/>
          <w:szCs w:val="18"/>
          <w:color w:val="auto"/>
        </w:rPr>
        <w:t>1.409A-2(a)(4). Such deferral election shall be irrevocable when made and shall be in accordance with Treasury Regulation Section 1.409A-2(b), applied as if the amount were a deferral of compensation and the scheduled payment date for the amount were the date the substantial risk of forfeiture lapses. Such deferral election shall become effective only if made at least twelve (12) months before the date on which the substantial risk of forfeiture, within the meaning of Treasury Regulation Section 1.409A-1(d), with respect to the Restricted Stock Units (or portion thereof) lapses. Such deferral election shall provide that the amount deferred shall be deferred for a period of not less than five (5) years from the date on which the substantial risk of forfeiture, within the meaning of Treasury Regulation Section 1.409A-1(b)(4), lapses, in accordance with Treasury Regulation Sections 1.409A-2(a)(4) and 1.409A-2(b)(1)(ii); provided, however, that such deferral election may provide that the deferred amounts will be payable upon a change in control event (as defined in Treasury Regulation Section 1.409A-3(i)(5)) without regard to the five year additional deferral requirement in Treasury Regulation Section 1.409A-2(b)(1)(ii).</w:t>
      </w:r>
    </w:p>
    <w:p>
      <w:pPr>
        <w:spacing w:after="0" w:line="158" w:lineRule="exact"/>
        <w:rPr>
          <w:rFonts w:ascii="Arial" w:cs="Arial" w:eastAsia="Arial" w:hAnsi="Arial"/>
          <w:sz w:val="17"/>
          <w:szCs w:val="17"/>
          <w:color w:val="auto"/>
        </w:rPr>
      </w:pPr>
    </w:p>
    <w:p>
      <w:pPr>
        <w:ind w:right="40" w:firstLine="1149"/>
        <w:spacing w:after="0" w:line="274" w:lineRule="auto"/>
        <w:tabs>
          <w:tab w:leader="none" w:pos="1730" w:val="left"/>
        </w:tabs>
        <w:numPr>
          <w:ilvl w:val="0"/>
          <w:numId w:val="116"/>
        </w:numPr>
        <w:rPr>
          <w:rFonts w:ascii="Arial" w:cs="Arial" w:eastAsia="Arial" w:hAnsi="Arial"/>
          <w:sz w:val="17"/>
          <w:szCs w:val="17"/>
          <w:color w:val="auto"/>
        </w:rPr>
      </w:pPr>
      <w:r>
        <w:rPr>
          <w:rFonts w:ascii="Arial" w:cs="Arial" w:eastAsia="Arial" w:hAnsi="Arial"/>
          <w:sz w:val="17"/>
          <w:szCs w:val="17"/>
          <w:u w:val="single" w:color="auto"/>
          <w:color w:val="auto"/>
        </w:rPr>
        <w:t>SERP Lump Sum</w:t>
      </w:r>
      <w:r>
        <w:rPr>
          <w:rFonts w:ascii="Arial" w:cs="Arial" w:eastAsia="Arial" w:hAnsi="Arial"/>
          <w:sz w:val="17"/>
          <w:szCs w:val="17"/>
          <w:color w:val="auto"/>
        </w:rPr>
        <w:t>. A Participant may elect to defer a SERP Lump Sum (or a portion thereof), to the extent permitted by the Committee. In order to defer a SERP Lump Sum (or a portion thereof), an eligible Participant must file the appropriate Deferral Election Form no later than the election date required under Section 409A of the Code and the Treasury Regulations thereunder. The Participant’s election to defer SERP Lump Sum Payments (or a portion thereof) shall satisfy the requirements of Treasury Regulation Section 1.409A-2(b). Such deferral election shall be irrevocable when made, and shall not take effect until at least twelve (12) months after the date on which the election is made. Such deferral election shall provide that the amount deferred shall be deferred for a period of not less than five (5) years from the date the payment of the am ount deferred would otherwise have been made (or, in the case of a life annuity or installment payments treated as a single payment, five years from the date the first amount was scheduled to be paid) in accordance with Treasury Regulation Section 1.409A-2(b)(1)(ii).</w:t>
      </w:r>
    </w:p>
    <w:p>
      <w:pPr>
        <w:spacing w:after="0" w:line="124" w:lineRule="exact"/>
        <w:rPr>
          <w:rFonts w:ascii="Arial" w:cs="Arial" w:eastAsia="Arial" w:hAnsi="Arial"/>
          <w:sz w:val="17"/>
          <w:szCs w:val="17"/>
          <w:color w:val="auto"/>
        </w:rPr>
      </w:pPr>
    </w:p>
    <w:p>
      <w:pPr>
        <w:ind w:right="60" w:firstLine="1149"/>
        <w:spacing w:after="0" w:line="247" w:lineRule="auto"/>
        <w:tabs>
          <w:tab w:leader="none" w:pos="1730" w:val="left"/>
        </w:tabs>
        <w:numPr>
          <w:ilvl w:val="0"/>
          <w:numId w:val="116"/>
        </w:numPr>
        <w:rPr>
          <w:rFonts w:ascii="Arial" w:cs="Arial" w:eastAsia="Arial" w:hAnsi="Arial"/>
          <w:sz w:val="19"/>
          <w:szCs w:val="19"/>
          <w:color w:val="auto"/>
        </w:rPr>
      </w:pPr>
      <w:r>
        <w:rPr>
          <w:rFonts w:ascii="Arial" w:cs="Arial" w:eastAsia="Arial" w:hAnsi="Arial"/>
          <w:sz w:val="19"/>
          <w:szCs w:val="19"/>
          <w:u w:val="single" w:color="auto"/>
          <w:color w:val="auto"/>
        </w:rPr>
        <w:t>Limitation on Deferrals</w:t>
      </w:r>
      <w:r>
        <w:rPr>
          <w:rFonts w:ascii="Arial" w:cs="Arial" w:eastAsia="Arial" w:hAnsi="Arial"/>
          <w:sz w:val="19"/>
          <w:szCs w:val="19"/>
          <w:color w:val="auto"/>
        </w:rPr>
        <w:t>. A Participant may elect to defer Severance Payments, Restricted Stock Units or a SERP Lump Sum, or any portion thereof, only to the extent such deferral satisfies the requirements of Section 409A of the Code and the Treasury Regulations thereunder. For purposes of this subsection (b), payment shall have the meaning set forth in Treasury Regulation Section 1.409A-2(b) to the extent applicable.</w:t>
      </w:r>
    </w:p>
    <w:p>
      <w:pPr>
        <w:spacing w:after="0" w:line="145" w:lineRule="exact"/>
        <w:rPr>
          <w:rFonts w:ascii="Arial" w:cs="Arial" w:eastAsia="Arial" w:hAnsi="Arial"/>
          <w:sz w:val="19"/>
          <w:szCs w:val="19"/>
          <w:color w:val="auto"/>
        </w:rPr>
      </w:pPr>
    </w:p>
    <w:p>
      <w:pPr>
        <w:ind w:right="80" w:firstLine="1149"/>
        <w:spacing w:after="0"/>
        <w:tabs>
          <w:tab w:leader="none" w:pos="1730" w:val="left"/>
        </w:tabs>
        <w:numPr>
          <w:ilvl w:val="0"/>
          <w:numId w:val="116"/>
        </w:numPr>
        <w:rPr>
          <w:rFonts w:ascii="Arial" w:cs="Arial" w:eastAsia="Arial" w:hAnsi="Arial"/>
          <w:sz w:val="19"/>
          <w:szCs w:val="19"/>
          <w:color w:val="auto"/>
        </w:rPr>
      </w:pPr>
      <w:r>
        <w:rPr>
          <w:rFonts w:ascii="Arial" w:cs="Arial" w:eastAsia="Arial" w:hAnsi="Arial"/>
          <w:sz w:val="19"/>
          <w:szCs w:val="19"/>
          <w:u w:val="single" w:color="auto"/>
          <w:color w:val="auto"/>
        </w:rPr>
        <w:t>Special SERP Lump Sum Deferral Elections</w:t>
      </w:r>
      <w:r>
        <w:rPr>
          <w:rFonts w:ascii="Arial" w:cs="Arial" w:eastAsia="Arial" w:hAnsi="Arial"/>
          <w:sz w:val="19"/>
          <w:szCs w:val="19"/>
          <w:color w:val="auto"/>
        </w:rPr>
        <w:t>. Notwithstanding paragraphs (3) and (4), a Participant may elect to defer a SERP Lump Sum (or a portion thereof), to the extent permitted by the Committee, in accordance with this paragraph (5). Such deferral election shall be irrevocable when made and shall be made on or after January 1, 2006 and on or before December 31, 2008 in accordance with the transitional relief under Section 409A of the Code and Internal Revenue Service Notices 2006-79 and 2007-86; provided, however, that a Participant’s deferral election made in 2006 shall apply only with respect to a SERP Lump Sum that would not otherwise be payable in 2006, and shall not cause a SERP Lump Sum to be made in 2006 that would not otherwise be payable in 2006; and, provided, further, that a Participant’s deferral election made in 2007 shall apply only with respect to a SERP Lump Sum that would not otherwise be payable in 2007, and shall not cause a SERP Lump Sum to be made in 2007 that would not otherwise be payable in 2007; and, provided, further, that a Participant’s deferral election made in 2008 shall apply only with respect to a SERP Lump Sum that would not otherwise be payable in 2008, and shall not cause a SERP Lump Sum to be made in 2008 that would not otherwise be payable in 2008. No election under this paragraph (5) may be made by a Participant after December 31, 2008.</w:t>
      </w:r>
    </w:p>
    <w:p>
      <w:pPr>
        <w:spacing w:after="0" w:line="167" w:lineRule="exact"/>
        <w:rPr>
          <w:sz w:val="20"/>
          <w:szCs w:val="20"/>
          <w:color w:val="auto"/>
        </w:rPr>
      </w:pPr>
    </w:p>
    <w:p>
      <w:pPr>
        <w:ind w:left="1720" w:right="220" w:hanging="571"/>
        <w:spacing w:after="0" w:line="285" w:lineRule="auto"/>
        <w:tabs>
          <w:tab w:leader="none" w:pos="1720" w:val="left"/>
        </w:tabs>
        <w:numPr>
          <w:ilvl w:val="0"/>
          <w:numId w:val="117"/>
        </w:numPr>
        <w:rPr>
          <w:rFonts w:ascii="Arial" w:cs="Arial" w:eastAsia="Arial" w:hAnsi="Arial"/>
          <w:sz w:val="17"/>
          <w:szCs w:val="17"/>
          <w:u w:val="single" w:color="auto"/>
          <w:color w:val="auto"/>
        </w:rPr>
      </w:pPr>
      <w:r>
        <w:rPr>
          <w:rFonts w:ascii="Arial" w:cs="Arial" w:eastAsia="Arial" w:hAnsi="Arial"/>
          <w:sz w:val="17"/>
          <w:szCs w:val="17"/>
          <w:u w:val="single" w:color="auto"/>
          <w:color w:val="auto"/>
        </w:rPr>
        <w:t>Deferral Amounts</w:t>
      </w:r>
      <w:r>
        <w:rPr>
          <w:rFonts w:ascii="Arial" w:cs="Arial" w:eastAsia="Arial" w:hAnsi="Arial"/>
          <w:sz w:val="17"/>
          <w:szCs w:val="17"/>
          <w:color w:val="auto"/>
        </w:rPr>
        <w:t>. The amount of Compensation which a Participant may elect to defer for a Plan Year is such Compensation earned on or after the time at which the Participant elects to defer each Plan Year in accordance with Section 3.1(a), and which is earned during such Plan Year. The applicable limitations for any Participant shall be determined based on his classification by the Committee, determined on the first day of the Election Period for such Plan Year.</w:t>
      </w:r>
    </w:p>
    <w:p>
      <w:pPr>
        <w:spacing w:after="0" w:line="117" w:lineRule="exact"/>
        <w:rPr>
          <w:sz w:val="20"/>
          <w:szCs w:val="20"/>
          <w:color w:val="auto"/>
        </w:rPr>
      </w:pPr>
    </w:p>
    <w:p>
      <w:pPr>
        <w:ind w:right="540" w:firstLine="1149"/>
        <w:spacing w:after="0" w:line="266" w:lineRule="auto"/>
        <w:tabs>
          <w:tab w:leader="none" w:pos="1730" w:val="left"/>
        </w:tabs>
        <w:numPr>
          <w:ilvl w:val="0"/>
          <w:numId w:val="118"/>
        </w:numPr>
        <w:rPr>
          <w:rFonts w:ascii="Arial" w:cs="Arial" w:eastAsia="Arial" w:hAnsi="Arial"/>
          <w:sz w:val="19"/>
          <w:szCs w:val="19"/>
          <w:color w:val="auto"/>
        </w:rPr>
      </w:pPr>
      <w:r>
        <w:rPr>
          <w:rFonts w:ascii="Arial" w:cs="Arial" w:eastAsia="Arial" w:hAnsi="Arial"/>
          <w:sz w:val="19"/>
          <w:szCs w:val="19"/>
          <w:color w:val="auto"/>
        </w:rPr>
        <w:t>Each Participant who is a Manager shall be permitted to defer, in any whole percentage: (A) from 6% to 100% of Base Salary and (B) from 6% to 100% of his Bonus.</w:t>
      </w:r>
    </w:p>
    <w:p>
      <w:pPr>
        <w:spacing w:after="0" w:line="128" w:lineRule="exact"/>
        <w:rPr>
          <w:rFonts w:ascii="Arial" w:cs="Arial" w:eastAsia="Arial" w:hAnsi="Arial"/>
          <w:sz w:val="19"/>
          <w:szCs w:val="19"/>
          <w:color w:val="auto"/>
        </w:rPr>
      </w:pPr>
    </w:p>
    <w:p>
      <w:pPr>
        <w:ind w:right="180" w:firstLine="1149"/>
        <w:spacing w:after="0" w:line="252" w:lineRule="auto"/>
        <w:tabs>
          <w:tab w:leader="none" w:pos="1730" w:val="left"/>
        </w:tabs>
        <w:numPr>
          <w:ilvl w:val="0"/>
          <w:numId w:val="118"/>
        </w:numPr>
        <w:rPr>
          <w:rFonts w:ascii="Arial" w:cs="Arial" w:eastAsia="Arial" w:hAnsi="Arial"/>
          <w:sz w:val="19"/>
          <w:szCs w:val="19"/>
          <w:color w:val="auto"/>
        </w:rPr>
      </w:pPr>
      <w:r>
        <w:rPr>
          <w:rFonts w:ascii="Arial" w:cs="Arial" w:eastAsia="Arial" w:hAnsi="Arial"/>
          <w:sz w:val="19"/>
          <w:szCs w:val="19"/>
          <w:color w:val="auto"/>
        </w:rPr>
        <w:t>Each Participant who is an Executive Officer shall be permitted to defer, in any whole percentage: (A) from 6% to 100% of Base Salary, (B) from 6% to 100% of his Bonus and (c) from 10% to 100% of his Restricted Stock Units, Severance Payments and SERP Lump Sum, subject to Section 3.1(b).</w:t>
      </w:r>
    </w:p>
    <w:p>
      <w:pPr>
        <w:spacing w:after="0" w:line="152" w:lineRule="exact"/>
        <w:rPr>
          <w:rFonts w:ascii="Arial" w:cs="Arial" w:eastAsia="Arial" w:hAnsi="Arial"/>
          <w:sz w:val="19"/>
          <w:szCs w:val="19"/>
          <w:color w:val="auto"/>
        </w:rPr>
      </w:pPr>
    </w:p>
    <w:p>
      <w:pPr>
        <w:ind w:left="1720" w:hanging="571"/>
        <w:spacing w:after="0"/>
        <w:tabs>
          <w:tab w:leader="none" w:pos="1720" w:val="left"/>
        </w:tabs>
        <w:numPr>
          <w:ilvl w:val="0"/>
          <w:numId w:val="118"/>
        </w:numPr>
        <w:rPr>
          <w:rFonts w:ascii="Arial" w:cs="Arial" w:eastAsia="Arial" w:hAnsi="Arial"/>
          <w:sz w:val="19"/>
          <w:szCs w:val="19"/>
          <w:color w:val="auto"/>
        </w:rPr>
      </w:pPr>
      <w:r>
        <w:rPr>
          <w:rFonts w:ascii="Arial" w:cs="Arial" w:eastAsia="Arial" w:hAnsi="Arial"/>
          <w:sz w:val="19"/>
          <w:szCs w:val="19"/>
          <w:color w:val="auto"/>
        </w:rPr>
        <w:t>Each Participant who is a Director shall be permitted to defer, in any whole percentage, from 10% to 100% of his</w:t>
      </w:r>
    </w:p>
    <w:p>
      <w:pPr>
        <w:spacing w:after="0" w:line="13"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19"/>
          <w:szCs w:val="19"/>
          <w:color w:val="auto"/>
        </w:rPr>
        <w:t>Compensation.</w:t>
      </w:r>
    </w:p>
    <w:p>
      <w:pPr>
        <w:spacing w:after="0" w:line="174" w:lineRule="exact"/>
        <w:rPr>
          <w:sz w:val="20"/>
          <w:szCs w:val="20"/>
          <w:color w:val="auto"/>
        </w:rPr>
      </w:pPr>
    </w:p>
    <w:p>
      <w:pPr>
        <w:ind w:right="160"/>
        <w:spacing w:after="0" w:line="280" w:lineRule="auto"/>
        <w:rPr>
          <w:sz w:val="20"/>
          <w:szCs w:val="20"/>
          <w:color w:val="auto"/>
        </w:rPr>
      </w:pPr>
      <w:r>
        <w:rPr>
          <w:rFonts w:ascii="Arial" w:cs="Arial" w:eastAsia="Arial" w:hAnsi="Arial"/>
          <w:sz w:val="17"/>
          <w:szCs w:val="17"/>
          <w:color w:val="auto"/>
        </w:rPr>
        <w:t>Notwithstanding the limitations established above, the total amount deferred by a Participant shall be limited in any calendar year, if necessary, to satisfy the Participant’s income and employment tax withholding obligations (including Social Security, unemployment and Medicare), and the Participant’s employee benefit plan contribution requirements, determined on the first day of the Election Period for such Plan Year, as determined by the Committee. If permitted by the Committee, the Participant may make deferrals for a Plan Year with respect to any designated portion of his Compensation (such as meeting fees, for example), to the extent elected by such Participant during the Election Period for such Plan Year.</w:t>
      </w:r>
    </w:p>
    <w:p>
      <w:pPr>
        <w:spacing w:after="0" w:line="121" w:lineRule="exact"/>
        <w:rPr>
          <w:sz w:val="20"/>
          <w:szCs w:val="20"/>
          <w:color w:val="auto"/>
        </w:rPr>
      </w:pPr>
    </w:p>
    <w:p>
      <w:pPr>
        <w:ind w:left="1720" w:hanging="571"/>
        <w:spacing w:after="0"/>
        <w:tabs>
          <w:tab w:leader="none" w:pos="1720" w:val="left"/>
        </w:tabs>
        <w:numPr>
          <w:ilvl w:val="0"/>
          <w:numId w:val="119"/>
        </w:numPr>
        <w:rPr>
          <w:rFonts w:ascii="Arial" w:cs="Arial" w:eastAsia="Arial" w:hAnsi="Arial"/>
          <w:sz w:val="19"/>
          <w:szCs w:val="19"/>
          <w:u w:val="single" w:color="auto"/>
          <w:color w:val="auto"/>
        </w:rPr>
      </w:pPr>
      <w:r>
        <w:rPr>
          <w:rFonts w:ascii="Arial" w:cs="Arial" w:eastAsia="Arial" w:hAnsi="Arial"/>
          <w:sz w:val="19"/>
          <w:szCs w:val="19"/>
          <w:u w:val="single" w:color="auto"/>
          <w:color w:val="auto"/>
        </w:rPr>
        <w:t>Duration of Deferral Election</w:t>
      </w:r>
      <w:r>
        <w:rPr>
          <w:rFonts w:ascii="Arial" w:cs="Arial" w:eastAsia="Arial" w:hAnsi="Arial"/>
          <w:sz w:val="19"/>
          <w:szCs w:val="19"/>
          <w:color w:val="auto"/>
        </w:rPr>
        <w:t>.</w:t>
      </w:r>
    </w:p>
    <w:p>
      <w:pPr>
        <w:spacing w:after="0" w:line="178" w:lineRule="exact"/>
        <w:rPr>
          <w:sz w:val="20"/>
          <w:szCs w:val="20"/>
          <w:color w:val="auto"/>
        </w:rPr>
      </w:pPr>
    </w:p>
    <w:p>
      <w:pPr>
        <w:ind w:left="1720" w:hanging="571"/>
        <w:spacing w:after="0"/>
        <w:tabs>
          <w:tab w:leader="none" w:pos="1720" w:val="left"/>
        </w:tabs>
        <w:numPr>
          <w:ilvl w:val="0"/>
          <w:numId w:val="120"/>
        </w:numPr>
        <w:rPr>
          <w:rFonts w:ascii="Arial" w:cs="Arial" w:eastAsia="Arial" w:hAnsi="Arial"/>
          <w:sz w:val="19"/>
          <w:szCs w:val="19"/>
          <w:color w:val="auto"/>
        </w:rPr>
      </w:pPr>
      <w:r>
        <w:rPr>
          <w:rFonts w:ascii="Arial" w:cs="Arial" w:eastAsia="Arial" w:hAnsi="Arial"/>
          <w:sz w:val="19"/>
          <w:szCs w:val="19"/>
          <w:color w:val="auto"/>
        </w:rPr>
        <w:t>A Participant shall not modify or suspend his election to defer Compensation during a Plan Year.</w:t>
      </w:r>
    </w:p>
    <w:p>
      <w:pPr>
        <w:spacing w:after="0" w:line="189" w:lineRule="exact"/>
        <w:rPr>
          <w:rFonts w:ascii="Arial" w:cs="Arial" w:eastAsia="Arial" w:hAnsi="Arial"/>
          <w:sz w:val="19"/>
          <w:szCs w:val="19"/>
          <w:color w:val="auto"/>
        </w:rPr>
      </w:pPr>
    </w:p>
    <w:p>
      <w:pPr>
        <w:ind w:right="200" w:firstLine="1149"/>
        <w:spacing w:after="0" w:line="295" w:lineRule="auto"/>
        <w:tabs>
          <w:tab w:leader="none" w:pos="173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A Participant must file a new deferral election for each subsequent Plan Year. In the event a Participant fails to file a timely deferral election for the next Plan Year, he shall be deemed to have elected not to defer any Compensation for such Plan Year.</w:t>
      </w:r>
    </w:p>
    <w:p>
      <w:pPr>
        <w:sectPr>
          <w:pgSz w:w="11900" w:h="16890" w:orient="portrait"/>
          <w:cols w:equalWidth="0" w:num="1">
            <w:col w:w="11440"/>
          </w:cols>
          <w:pgMar w:left="240" w:top="120" w:right="219" w:bottom="0" w:gutter="0" w:footer="0" w:header="0"/>
        </w:sectPr>
      </w:pPr>
    </w:p>
    <w:bookmarkStart w:id="101" w:name="page102"/>
    <w:bookmarkEnd w:id="101"/>
    <w:p>
      <w:pPr>
        <w:ind w:right="200" w:firstLine="1149"/>
        <w:spacing w:after="0" w:line="267" w:lineRule="auto"/>
        <w:tabs>
          <w:tab w:leader="none" w:pos="1730" w:val="left"/>
        </w:tabs>
        <w:numPr>
          <w:ilvl w:val="0"/>
          <w:numId w:val="121"/>
        </w:numPr>
        <w:rPr>
          <w:rFonts w:ascii="Arial" w:cs="Arial" w:eastAsia="Arial" w:hAnsi="Arial"/>
          <w:sz w:val="19"/>
          <w:szCs w:val="19"/>
          <w:color w:val="auto"/>
        </w:rPr>
      </w:pPr>
      <w:r>
        <w:rPr>
          <w:rFonts w:ascii="Arial" w:cs="Arial" w:eastAsia="Arial" w:hAnsi="Arial"/>
          <w:sz w:val="19"/>
          <w:szCs w:val="19"/>
          <w:color w:val="auto"/>
        </w:rPr>
        <w:t>A Participant’s election to defer all or any portion of his SERP Lump Sum shall automatically become void in the event the Participant dies or becomes disabled while employed by the Company.</w:t>
      </w:r>
    </w:p>
    <w:p>
      <w:pPr>
        <w:spacing w:after="0" w:line="127" w:lineRule="exact"/>
        <w:rPr>
          <w:sz w:val="20"/>
          <w:szCs w:val="20"/>
          <w:color w:val="auto"/>
        </w:rPr>
      </w:pPr>
    </w:p>
    <w:p>
      <w:pPr>
        <w:ind w:left="1720" w:right="420" w:hanging="571"/>
        <w:spacing w:after="0" w:line="266" w:lineRule="auto"/>
        <w:tabs>
          <w:tab w:leader="none" w:pos="1720" w:val="left"/>
        </w:tabs>
        <w:numPr>
          <w:ilvl w:val="0"/>
          <w:numId w:val="122"/>
        </w:numPr>
        <w:rPr>
          <w:rFonts w:ascii="Arial" w:cs="Arial" w:eastAsia="Arial" w:hAnsi="Arial"/>
          <w:sz w:val="19"/>
          <w:szCs w:val="19"/>
          <w:u w:val="single" w:color="auto"/>
          <w:color w:val="auto"/>
        </w:rPr>
      </w:pPr>
      <w:r>
        <w:rPr>
          <w:rFonts w:ascii="Arial" w:cs="Arial" w:eastAsia="Arial" w:hAnsi="Arial"/>
          <w:sz w:val="19"/>
          <w:szCs w:val="19"/>
          <w:u w:val="single" w:color="auto"/>
          <w:color w:val="auto"/>
        </w:rPr>
        <w:t>Elections</w:t>
      </w:r>
      <w:r>
        <w:rPr>
          <w:rFonts w:ascii="Arial" w:cs="Arial" w:eastAsia="Arial" w:hAnsi="Arial"/>
          <w:sz w:val="19"/>
          <w:szCs w:val="19"/>
          <w:color w:val="auto"/>
        </w:rPr>
        <w:t>. Subject to the limitations of subsection (b), any Eligible Individual who does not elect to defer Compensation during his Election Period for a Plan Year may subsequently become a Participant.</w:t>
      </w:r>
    </w:p>
    <w:p>
      <w:pPr>
        <w:spacing w:after="0" w:line="140" w:lineRule="exact"/>
        <w:rPr>
          <w:rFonts w:ascii="Arial" w:cs="Arial" w:eastAsia="Arial" w:hAnsi="Arial"/>
          <w:sz w:val="19"/>
          <w:szCs w:val="19"/>
          <w:u w:val="single" w:color="auto"/>
          <w:color w:val="auto"/>
        </w:rPr>
      </w:pPr>
    </w:p>
    <w:p>
      <w:pPr>
        <w:ind w:left="1720" w:hanging="571"/>
        <w:spacing w:after="0" w:line="258" w:lineRule="auto"/>
        <w:tabs>
          <w:tab w:leader="none" w:pos="1720" w:val="left"/>
        </w:tabs>
        <w:numPr>
          <w:ilvl w:val="0"/>
          <w:numId w:val="122"/>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Termination of Participation and/or Deferrals</w:t>
      </w:r>
      <w:r>
        <w:rPr>
          <w:rFonts w:ascii="Arial" w:cs="Arial" w:eastAsia="Arial" w:hAnsi="Arial"/>
          <w:sz w:val="18"/>
          <w:szCs w:val="18"/>
          <w:color w:val="auto"/>
        </w:rPr>
        <w:t>. If the Committee determines in good faith that a Participant no longer qualifies as a Director or a member of a select group of management or highly compensated employees, as membership in such group is determined in accordance with Sections 201(2), 301(a)(3) and 401(a)(1) of ERISA, the Committee shall have the right, in its sole discretion and only for purposes of preserving the Plan’s exemption from Title I of ERISA, to (1) terminate any deferral election the Participant has made for the remainder of the Plan Year in which the Participant’s membership status changes, (2) prevent the Participant from making future deferral elections and/or (3) immediately distribute the balance of the Participant’s Accounts and terminate the Participant’s participation in the Plan.</w:t>
      </w:r>
    </w:p>
    <w:p>
      <w:pPr>
        <w:spacing w:after="0" w:line="136" w:lineRule="exact"/>
        <w:rPr>
          <w:sz w:val="20"/>
          <w:szCs w:val="20"/>
          <w:color w:val="auto"/>
        </w:rPr>
      </w:pPr>
    </w:p>
    <w:p>
      <w:pPr>
        <w:ind w:left="140"/>
        <w:spacing w:after="0"/>
        <w:tabs>
          <w:tab w:leader="none" w:pos="700" w:val="left"/>
        </w:tabs>
        <w:rPr>
          <w:sz w:val="20"/>
          <w:szCs w:val="20"/>
          <w:color w:val="auto"/>
        </w:rPr>
      </w:pPr>
      <w:r>
        <w:rPr>
          <w:rFonts w:ascii="Arial" w:cs="Arial" w:eastAsia="Arial" w:hAnsi="Arial"/>
          <w:sz w:val="19"/>
          <w:szCs w:val="19"/>
          <w:u w:val="single" w:color="auto"/>
          <w:color w:val="auto"/>
        </w:rPr>
        <w:t>3.2</w:t>
      </w:r>
      <w:r>
        <w:rPr>
          <w:sz w:val="20"/>
          <w:szCs w:val="20"/>
          <w:color w:val="auto"/>
        </w:rPr>
        <w:tab/>
      </w:r>
      <w:r>
        <w:rPr>
          <w:rFonts w:ascii="Arial" w:cs="Arial" w:eastAsia="Arial" w:hAnsi="Arial"/>
          <w:sz w:val="18"/>
          <w:szCs w:val="18"/>
          <w:u w:val="single" w:color="auto"/>
          <w:color w:val="auto"/>
        </w:rPr>
        <w:t>Distribution Elections</w:t>
      </w:r>
      <w:r>
        <w:rPr>
          <w:rFonts w:ascii="Arial" w:cs="Arial" w:eastAsia="Arial" w:hAnsi="Arial"/>
          <w:sz w:val="18"/>
          <w:szCs w:val="18"/>
          <w:color w:val="auto"/>
        </w:rPr>
        <w:t>.</w:t>
      </w:r>
    </w:p>
    <w:p>
      <w:pPr>
        <w:spacing w:after="0" w:line="178" w:lineRule="exact"/>
        <w:rPr>
          <w:sz w:val="20"/>
          <w:szCs w:val="20"/>
          <w:color w:val="auto"/>
        </w:rPr>
      </w:pPr>
    </w:p>
    <w:p>
      <w:pPr>
        <w:ind w:right="20" w:firstLine="573"/>
        <w:spacing w:after="0" w:line="269" w:lineRule="auto"/>
        <w:tabs>
          <w:tab w:leader="none" w:pos="1153" w:val="left"/>
        </w:tabs>
        <w:numPr>
          <w:ilvl w:val="0"/>
          <w:numId w:val="123"/>
        </w:numPr>
        <w:rPr>
          <w:rFonts w:ascii="Arial" w:cs="Arial" w:eastAsia="Arial" w:hAnsi="Arial"/>
          <w:sz w:val="17"/>
          <w:szCs w:val="17"/>
          <w:color w:val="auto"/>
        </w:rPr>
      </w:pPr>
      <w:r>
        <w:rPr>
          <w:rFonts w:ascii="Arial" w:cs="Arial" w:eastAsia="Arial" w:hAnsi="Arial"/>
          <w:sz w:val="17"/>
          <w:szCs w:val="17"/>
          <w:u w:val="single" w:color="auto"/>
          <w:color w:val="auto"/>
        </w:rPr>
        <w:t>General Rule</w:t>
      </w:r>
      <w:r>
        <w:rPr>
          <w:rFonts w:ascii="Arial" w:cs="Arial" w:eastAsia="Arial" w:hAnsi="Arial"/>
          <w:sz w:val="17"/>
          <w:szCs w:val="17"/>
          <w:color w:val="auto"/>
        </w:rPr>
        <w:t>. Each Participant shall make a separate distribution election with respect to each Plan Year for which such Participant elects to defer Compensation in accordance with Section 3.1. A Participant’s distribution election with respect to a Plan Year shall apply to: (1) the subaccount in his Deferral Account to which shall be credited the amount equal to the portion of his Compensation earned during such Plan Year that he elects to defer pursuant to Section 3.1; and (2) the subaccount in his Company Matching Account to which shall be credited the amount equal to the Company Matching Contribution for such Plan Year. A Participant’s distribution election with respect to a Plan Year shall elect the Payment Date and the form of distribution of his Distributable Amount with respect to such Plan Year for purposes of distributions under subsection 7.1(a) in the ev ent of such Participant’s Separation from Service or Disability. Such Payment Date and distribution form elections shall be made on such Participant’s Deferral Election Form during the Election Period for which such Participant elects to defer Compensation under Section 3.1 for such Plan Year, and such Payment Date and distribution form elections with respect to such Plan Year shall be irrevocable, except as provided in subsection (b). A Participant may elect any Payment Date described in Section 1.2(gg), and may elect distribution in the normal form, as described in paragraph 7.1(a)(1), or an optional form described in subparagraphs 7.1(a)(2)(A), (B) or (C). In the event a Participant fails to elect a Payment Date for his Distributable Amount with respect to a Plan Year, his Payment Date for his Distributable Amount with respect to such Plan Year shall be the date described in Section 1.2(gg)(1). In the event a Participant fails to make a distribution form election for his Distributable Amount with respect to a Plan Year, his Distributable Amount with respect to such Plan Year shall be distributed in the normal form, as described in paragraph 7.1(a)(1) in the event of his Separation from Service or Disability, except as provided in subsection (b). Except as provided in subsection (b), a Participant’s distribution for his Distributable Amount with respect to a Plan Year shall be made or commence on such Participant’s Payment Date.</w:t>
      </w:r>
    </w:p>
    <w:p>
      <w:pPr>
        <w:spacing w:after="0" w:line="146" w:lineRule="exact"/>
        <w:rPr>
          <w:rFonts w:ascii="Arial" w:cs="Arial" w:eastAsia="Arial" w:hAnsi="Arial"/>
          <w:sz w:val="17"/>
          <w:szCs w:val="17"/>
          <w:color w:val="auto"/>
        </w:rPr>
      </w:pPr>
    </w:p>
    <w:p>
      <w:pPr>
        <w:ind w:right="340" w:firstLine="573"/>
        <w:spacing w:after="0" w:line="266" w:lineRule="auto"/>
        <w:tabs>
          <w:tab w:leader="none" w:pos="1153" w:val="left"/>
        </w:tabs>
        <w:numPr>
          <w:ilvl w:val="0"/>
          <w:numId w:val="123"/>
        </w:numPr>
        <w:rPr>
          <w:rFonts w:ascii="Arial" w:cs="Arial" w:eastAsia="Arial" w:hAnsi="Arial"/>
          <w:sz w:val="19"/>
          <w:szCs w:val="19"/>
          <w:color w:val="auto"/>
        </w:rPr>
      </w:pPr>
      <w:r>
        <w:rPr>
          <w:rFonts w:ascii="Arial" w:cs="Arial" w:eastAsia="Arial" w:hAnsi="Arial"/>
          <w:sz w:val="19"/>
          <w:szCs w:val="19"/>
          <w:u w:val="single" w:color="auto"/>
          <w:color w:val="auto"/>
        </w:rPr>
        <w:t>Changes to Distribution Form Election</w:t>
      </w:r>
      <w:r>
        <w:rPr>
          <w:rFonts w:ascii="Arial" w:cs="Arial" w:eastAsia="Arial" w:hAnsi="Arial"/>
          <w:sz w:val="19"/>
          <w:szCs w:val="19"/>
          <w:color w:val="auto"/>
        </w:rPr>
        <w:t>. Subject to subsection (e), a Participant may change his distribution form election for his Distributable Amount with respect to a Plan Year in accordance with this subsection (b) as follows:</w:t>
      </w:r>
    </w:p>
    <w:p>
      <w:pPr>
        <w:spacing w:after="0" w:line="128" w:lineRule="exact"/>
        <w:rPr>
          <w:rFonts w:ascii="Arial" w:cs="Arial" w:eastAsia="Arial" w:hAnsi="Arial"/>
          <w:sz w:val="19"/>
          <w:szCs w:val="19"/>
          <w:color w:val="auto"/>
        </w:rPr>
      </w:pPr>
    </w:p>
    <w:p>
      <w:pPr>
        <w:ind w:right="100" w:firstLine="1149"/>
        <w:spacing w:after="0" w:line="285" w:lineRule="auto"/>
        <w:tabs>
          <w:tab w:leader="none" w:pos="1730" w:val="left"/>
        </w:tabs>
        <w:numPr>
          <w:ilvl w:val="1"/>
          <w:numId w:val="123"/>
        </w:numPr>
        <w:rPr>
          <w:rFonts w:ascii="Arial" w:cs="Arial" w:eastAsia="Arial" w:hAnsi="Arial"/>
          <w:sz w:val="17"/>
          <w:szCs w:val="17"/>
          <w:color w:val="auto"/>
        </w:rPr>
      </w:pPr>
      <w:r>
        <w:rPr>
          <w:rFonts w:ascii="Arial" w:cs="Arial" w:eastAsia="Arial" w:hAnsi="Arial"/>
          <w:sz w:val="17"/>
          <w:szCs w:val="17"/>
          <w:u w:val="single" w:color="auto"/>
          <w:color w:val="auto"/>
        </w:rPr>
        <w:t>Change from Lump Sum</w:t>
      </w:r>
      <w:r>
        <w:rPr>
          <w:rFonts w:ascii="Arial" w:cs="Arial" w:eastAsia="Arial" w:hAnsi="Arial"/>
          <w:sz w:val="17"/>
          <w:szCs w:val="17"/>
          <w:color w:val="auto"/>
        </w:rPr>
        <w:t>. If such Participant elected to receive the distribution of his Distributable Amount with respect to a Plan Year in the event of his Separation from Service or Disability in a lump sum, as provided in subparagraph 7.1(a)(2)(iii), such Participant may change such distribution form election by making a new distribution form election for his Distributable Amount with respect to such Plan Year providing for distribution in one of the following forms, with such distribution made or commencing on the fifth anniversary of his Payment Date:</w:t>
      </w:r>
    </w:p>
    <w:p>
      <w:pPr>
        <w:spacing w:after="0" w:line="116" w:lineRule="exact"/>
        <w:rPr>
          <w:rFonts w:ascii="Arial" w:cs="Arial" w:eastAsia="Arial" w:hAnsi="Arial"/>
          <w:sz w:val="17"/>
          <w:szCs w:val="17"/>
          <w:color w:val="auto"/>
        </w:rPr>
      </w:pPr>
    </w:p>
    <w:p>
      <w:pPr>
        <w:ind w:left="2300" w:hanging="574"/>
        <w:spacing w:after="0"/>
        <w:tabs>
          <w:tab w:leader="none" w:pos="2300" w:val="left"/>
        </w:tabs>
        <w:numPr>
          <w:ilvl w:val="2"/>
          <w:numId w:val="123"/>
        </w:numPr>
        <w:rPr>
          <w:rFonts w:ascii="Arial" w:cs="Arial" w:eastAsia="Arial" w:hAnsi="Arial"/>
          <w:sz w:val="19"/>
          <w:szCs w:val="19"/>
          <w:color w:val="auto"/>
        </w:rPr>
      </w:pPr>
      <w:r>
        <w:rPr>
          <w:rFonts w:ascii="Arial" w:cs="Arial" w:eastAsia="Arial" w:hAnsi="Arial"/>
          <w:sz w:val="19"/>
          <w:szCs w:val="19"/>
          <w:color w:val="auto"/>
        </w:rPr>
        <w:t>a lump sum,</w:t>
      </w:r>
    </w:p>
    <w:p>
      <w:pPr>
        <w:spacing w:after="0" w:line="189" w:lineRule="exact"/>
        <w:rPr>
          <w:rFonts w:ascii="Arial" w:cs="Arial" w:eastAsia="Arial" w:hAnsi="Arial"/>
          <w:sz w:val="19"/>
          <w:szCs w:val="19"/>
          <w:color w:val="auto"/>
        </w:rPr>
      </w:pPr>
    </w:p>
    <w:p>
      <w:pPr>
        <w:ind w:left="2300" w:hanging="574"/>
        <w:spacing w:after="0"/>
        <w:tabs>
          <w:tab w:leader="none" w:pos="2300" w:val="left"/>
        </w:tabs>
        <w:numPr>
          <w:ilvl w:val="2"/>
          <w:numId w:val="123"/>
        </w:numPr>
        <w:rPr>
          <w:rFonts w:ascii="Arial" w:cs="Arial" w:eastAsia="Arial" w:hAnsi="Arial"/>
          <w:sz w:val="19"/>
          <w:szCs w:val="19"/>
          <w:color w:val="auto"/>
        </w:rPr>
      </w:pPr>
      <w:r>
        <w:rPr>
          <w:rFonts w:ascii="Arial" w:cs="Arial" w:eastAsia="Arial" w:hAnsi="Arial"/>
          <w:sz w:val="19"/>
          <w:szCs w:val="19"/>
          <w:color w:val="auto"/>
        </w:rPr>
        <w:t>annual installments (calculated as set forth at Section 7.1(a)(6)) over five years,</w:t>
      </w:r>
    </w:p>
    <w:p>
      <w:pPr>
        <w:spacing w:after="0" w:line="201" w:lineRule="exact"/>
        <w:rPr>
          <w:rFonts w:ascii="Arial" w:cs="Arial" w:eastAsia="Arial" w:hAnsi="Arial"/>
          <w:sz w:val="19"/>
          <w:szCs w:val="19"/>
          <w:color w:val="auto"/>
        </w:rPr>
      </w:pPr>
    </w:p>
    <w:p>
      <w:pPr>
        <w:ind w:left="2300" w:hanging="574"/>
        <w:spacing w:after="0"/>
        <w:tabs>
          <w:tab w:leader="none" w:pos="2300" w:val="left"/>
        </w:tabs>
        <w:numPr>
          <w:ilvl w:val="2"/>
          <w:numId w:val="123"/>
        </w:numPr>
        <w:rPr>
          <w:rFonts w:ascii="Arial" w:cs="Arial" w:eastAsia="Arial" w:hAnsi="Arial"/>
          <w:sz w:val="19"/>
          <w:szCs w:val="19"/>
          <w:color w:val="auto"/>
        </w:rPr>
      </w:pPr>
      <w:r>
        <w:rPr>
          <w:rFonts w:ascii="Arial" w:cs="Arial" w:eastAsia="Arial" w:hAnsi="Arial"/>
          <w:sz w:val="19"/>
          <w:szCs w:val="19"/>
          <w:color w:val="auto"/>
        </w:rPr>
        <w:t>annual installments (calculated as set forth at Section 7.1(a)(6) over ten (10) years, or</w:t>
      </w:r>
    </w:p>
    <w:p>
      <w:pPr>
        <w:spacing w:after="0" w:line="177" w:lineRule="exact"/>
        <w:rPr>
          <w:rFonts w:ascii="Arial" w:cs="Arial" w:eastAsia="Arial" w:hAnsi="Arial"/>
          <w:sz w:val="19"/>
          <w:szCs w:val="19"/>
          <w:color w:val="auto"/>
        </w:rPr>
      </w:pPr>
    </w:p>
    <w:p>
      <w:pPr>
        <w:ind w:left="2300" w:hanging="574"/>
        <w:spacing w:after="0"/>
        <w:tabs>
          <w:tab w:leader="none" w:pos="2300" w:val="left"/>
        </w:tabs>
        <w:numPr>
          <w:ilvl w:val="2"/>
          <w:numId w:val="123"/>
        </w:numPr>
        <w:rPr>
          <w:rFonts w:ascii="Arial" w:cs="Arial" w:eastAsia="Arial" w:hAnsi="Arial"/>
          <w:sz w:val="19"/>
          <w:szCs w:val="19"/>
          <w:color w:val="auto"/>
        </w:rPr>
      </w:pPr>
      <w:r>
        <w:rPr>
          <w:rFonts w:ascii="Arial" w:cs="Arial" w:eastAsia="Arial" w:hAnsi="Arial"/>
          <w:sz w:val="19"/>
          <w:szCs w:val="19"/>
          <w:color w:val="auto"/>
        </w:rPr>
        <w:t>annual installments (calculated as set forth at Section 7.1(a)(6)) over fifteen (15) years.</w:t>
      </w:r>
    </w:p>
    <w:p>
      <w:pPr>
        <w:spacing w:after="0" w:line="189" w:lineRule="exact"/>
        <w:rPr>
          <w:rFonts w:ascii="Arial" w:cs="Arial" w:eastAsia="Arial" w:hAnsi="Arial"/>
          <w:sz w:val="19"/>
          <w:szCs w:val="19"/>
          <w:color w:val="auto"/>
        </w:rPr>
      </w:pPr>
    </w:p>
    <w:p>
      <w:pPr>
        <w:ind w:right="20" w:firstLine="1149"/>
        <w:spacing w:after="0" w:line="243" w:lineRule="auto"/>
        <w:tabs>
          <w:tab w:leader="none" w:pos="1730" w:val="left"/>
        </w:tabs>
        <w:numPr>
          <w:ilvl w:val="1"/>
          <w:numId w:val="123"/>
        </w:numPr>
        <w:rPr>
          <w:rFonts w:ascii="Arial" w:cs="Arial" w:eastAsia="Arial" w:hAnsi="Arial"/>
          <w:sz w:val="19"/>
          <w:szCs w:val="19"/>
          <w:color w:val="auto"/>
        </w:rPr>
      </w:pPr>
      <w:r>
        <w:rPr>
          <w:rFonts w:ascii="Arial" w:cs="Arial" w:eastAsia="Arial" w:hAnsi="Arial"/>
          <w:sz w:val="19"/>
          <w:szCs w:val="19"/>
          <w:u w:val="single" w:color="auto"/>
          <w:color w:val="auto"/>
        </w:rPr>
        <w:t>Change from Installments</w:t>
      </w:r>
      <w:r>
        <w:rPr>
          <w:rFonts w:ascii="Arial" w:cs="Arial" w:eastAsia="Arial" w:hAnsi="Arial"/>
          <w:sz w:val="19"/>
          <w:szCs w:val="19"/>
          <w:color w:val="auto"/>
        </w:rPr>
        <w:t>. If such Participant elected to receive the distribution of his Distributable Amount with respect to a Plan Year in the event of his Separation from Service or Disability in the normal form, as described in paragraph 7.1(a)(1)(A) (annual installments over ten years), or an optional form, as provided in subparagraph 7.1(a)(2)(A) (annual installments over five years) or (B) (annual installments over fifteen years), such Participant may change such distribution form election by making a new distribution form election for his Distributable Amount with respect to such Plan Year providing for distribution in one of the following forms, with such distribution commencing on the fifth anniversary of his Payment Date:</w:t>
      </w:r>
    </w:p>
    <w:p>
      <w:pPr>
        <w:spacing w:after="0" w:line="150" w:lineRule="exact"/>
        <w:rPr>
          <w:sz w:val="20"/>
          <w:szCs w:val="20"/>
          <w:color w:val="auto"/>
        </w:rPr>
      </w:pPr>
    </w:p>
    <w:p>
      <w:pPr>
        <w:ind w:right="20" w:firstLine="1726"/>
        <w:spacing w:after="0" w:line="266" w:lineRule="auto"/>
        <w:tabs>
          <w:tab w:leader="none" w:pos="2306" w:val="left"/>
        </w:tabs>
        <w:numPr>
          <w:ilvl w:val="2"/>
          <w:numId w:val="124"/>
        </w:numPr>
        <w:rPr>
          <w:rFonts w:ascii="Arial" w:cs="Arial" w:eastAsia="Arial" w:hAnsi="Arial"/>
          <w:sz w:val="19"/>
          <w:szCs w:val="19"/>
          <w:color w:val="auto"/>
        </w:rPr>
      </w:pPr>
      <w:r>
        <w:rPr>
          <w:rFonts w:ascii="Arial" w:cs="Arial" w:eastAsia="Arial" w:hAnsi="Arial"/>
          <w:sz w:val="19"/>
          <w:szCs w:val="19"/>
          <w:color w:val="auto"/>
        </w:rPr>
        <w:t>annual installments (calculated as set forth at Section 7.1(a)(6)) over the period of years specified in such Participant’s initial distribution form election, or</w:t>
      </w:r>
    </w:p>
    <w:p>
      <w:pPr>
        <w:spacing w:after="0" w:line="128" w:lineRule="exact"/>
        <w:rPr>
          <w:rFonts w:ascii="Arial" w:cs="Arial" w:eastAsia="Arial" w:hAnsi="Arial"/>
          <w:sz w:val="19"/>
          <w:szCs w:val="19"/>
          <w:color w:val="auto"/>
        </w:rPr>
      </w:pPr>
    </w:p>
    <w:p>
      <w:pPr>
        <w:ind w:right="260" w:firstLine="1726"/>
        <w:spacing w:after="0" w:line="295" w:lineRule="auto"/>
        <w:tabs>
          <w:tab w:leader="none" w:pos="2306" w:val="left"/>
        </w:tabs>
        <w:numPr>
          <w:ilvl w:val="2"/>
          <w:numId w:val="124"/>
        </w:numPr>
        <w:rPr>
          <w:rFonts w:ascii="Arial" w:cs="Arial" w:eastAsia="Arial" w:hAnsi="Arial"/>
          <w:sz w:val="18"/>
          <w:szCs w:val="18"/>
          <w:color w:val="auto"/>
        </w:rPr>
      </w:pPr>
      <w:r>
        <w:rPr>
          <w:rFonts w:ascii="Arial" w:cs="Arial" w:eastAsia="Arial" w:hAnsi="Arial"/>
          <w:sz w:val="18"/>
          <w:szCs w:val="18"/>
          <w:color w:val="auto"/>
        </w:rPr>
        <w:t>annual installments (calculated as set forth at Section 7.1(a)(6)) over a period of either ten (10) years or fifteen (15) years, provided that such period exceeds the period of years specified in such Participant’s initial distribution form election.</w:t>
      </w:r>
    </w:p>
    <w:p>
      <w:pPr>
        <w:spacing w:after="0" w:line="115" w:lineRule="exact"/>
        <w:rPr>
          <w:rFonts w:ascii="Arial" w:cs="Arial" w:eastAsia="Arial" w:hAnsi="Arial"/>
          <w:sz w:val="18"/>
          <w:szCs w:val="18"/>
          <w:color w:val="auto"/>
        </w:rPr>
      </w:pPr>
    </w:p>
    <w:p>
      <w:pPr>
        <w:ind w:left="1720" w:hanging="571"/>
        <w:spacing w:after="0"/>
        <w:tabs>
          <w:tab w:leader="none" w:pos="1720" w:val="left"/>
        </w:tabs>
        <w:numPr>
          <w:ilvl w:val="1"/>
          <w:numId w:val="125"/>
        </w:numPr>
        <w:rPr>
          <w:rFonts w:ascii="Arial" w:cs="Arial" w:eastAsia="Arial" w:hAnsi="Arial"/>
          <w:sz w:val="17"/>
          <w:szCs w:val="17"/>
          <w:color w:val="auto"/>
        </w:rPr>
      </w:pPr>
      <w:r>
        <w:rPr>
          <w:rFonts w:ascii="Arial" w:cs="Arial" w:eastAsia="Arial" w:hAnsi="Arial"/>
          <w:sz w:val="17"/>
          <w:szCs w:val="17"/>
          <w:color w:val="auto"/>
        </w:rPr>
        <w:t>A Participant may make only one change to his distribution form election with respect to a Plan Year under this subsection</w:t>
      </w:r>
    </w:p>
    <w:p>
      <w:pPr>
        <w:spacing w:after="0" w:line="36"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9"/>
          <w:szCs w:val="19"/>
          <w:color w:val="auto"/>
        </w:rPr>
        <w:t>(b).</w:t>
      </w:r>
    </w:p>
    <w:p>
      <w:pPr>
        <w:spacing w:after="0" w:line="161" w:lineRule="exact"/>
        <w:rPr>
          <w:rFonts w:ascii="Arial" w:cs="Arial" w:eastAsia="Arial" w:hAnsi="Arial"/>
          <w:sz w:val="17"/>
          <w:szCs w:val="17"/>
          <w:color w:val="auto"/>
        </w:rPr>
      </w:pPr>
    </w:p>
    <w:p>
      <w:pPr>
        <w:ind w:firstLine="573"/>
        <w:spacing w:after="0" w:line="255" w:lineRule="auto"/>
        <w:tabs>
          <w:tab w:leader="none" w:pos="1153" w:val="left"/>
        </w:tabs>
        <w:numPr>
          <w:ilvl w:val="0"/>
          <w:numId w:val="126"/>
        </w:numPr>
        <w:rPr>
          <w:rFonts w:ascii="Arial" w:cs="Arial" w:eastAsia="Arial" w:hAnsi="Arial"/>
          <w:sz w:val="18"/>
          <w:szCs w:val="18"/>
          <w:color w:val="auto"/>
        </w:rPr>
      </w:pPr>
      <w:r>
        <w:rPr>
          <w:rFonts w:ascii="Arial" w:cs="Arial" w:eastAsia="Arial" w:hAnsi="Arial"/>
          <w:sz w:val="18"/>
          <w:szCs w:val="18"/>
          <w:u w:val="single" w:color="auto"/>
          <w:color w:val="auto"/>
        </w:rPr>
        <w:t>Election of Scheduled Withdrawal Date</w:t>
      </w:r>
      <w:r>
        <w:rPr>
          <w:rFonts w:ascii="Arial" w:cs="Arial" w:eastAsia="Arial" w:hAnsi="Arial"/>
          <w:sz w:val="18"/>
          <w:szCs w:val="18"/>
          <w:color w:val="auto"/>
        </w:rPr>
        <w:t>. A Participant may elect a Scheduled Withdrawal Date with respect to his deferrals of Compensation (but excluding any investment earnings on such amounts) (the “Withdrawal Amount”) with respect to a Plan Year. Such election of a Scheduled Withdrawal Date for such Participant’s Withdrawal Amount with respect to a Plan Year shall be made by such Participant during the Election Period for which such Participant elects to defer Compensation under Section 3.1 for such Plan Year, and such election of a Scheduled Withdrawal Date shall be irrevocable, except as provided in subsection (d). A Participant may make separate Scheduled Withdrawal Date elections for his deferrals of Compensation (excluding any investment earnings on such amounts) with respect to different Plan Years. A Participant’s Withdrawal Amount with respect to a Plan Year shall be credited to subaccounts under such Participant’s Accounts for such Plan Year. A Participant shall not be required to elect a Scheduled Withdrawal Date with respect to his deferrals of Compensation for a Plan Year and, if a Participant fails to make an election of a Scheduled Withdrawal Date for a Plan Year, no Scheduled Withdrawal Date shall apply with respect to his deferrals of Compensation for such Plan Year.</w:t>
      </w:r>
    </w:p>
    <w:p>
      <w:pPr>
        <w:spacing w:after="0" w:line="155" w:lineRule="exact"/>
        <w:rPr>
          <w:rFonts w:ascii="Arial" w:cs="Arial" w:eastAsia="Arial" w:hAnsi="Arial"/>
          <w:sz w:val="18"/>
          <w:szCs w:val="18"/>
          <w:color w:val="auto"/>
        </w:rPr>
      </w:pPr>
    </w:p>
    <w:p>
      <w:pPr>
        <w:ind w:right="80" w:firstLine="573"/>
        <w:spacing w:after="0" w:line="326" w:lineRule="auto"/>
        <w:tabs>
          <w:tab w:leader="none" w:pos="1153" w:val="left"/>
        </w:tabs>
        <w:numPr>
          <w:ilvl w:val="0"/>
          <w:numId w:val="126"/>
        </w:numPr>
        <w:rPr>
          <w:rFonts w:ascii="Arial" w:cs="Arial" w:eastAsia="Arial" w:hAnsi="Arial"/>
          <w:sz w:val="17"/>
          <w:szCs w:val="17"/>
          <w:color w:val="auto"/>
        </w:rPr>
      </w:pPr>
      <w:r>
        <w:rPr>
          <w:rFonts w:ascii="Arial" w:cs="Arial" w:eastAsia="Arial" w:hAnsi="Arial"/>
          <w:sz w:val="17"/>
          <w:szCs w:val="17"/>
          <w:u w:val="single" w:color="auto"/>
          <w:color w:val="auto"/>
        </w:rPr>
        <w:t>Change of Scheduled Withdrawal Date</w:t>
      </w:r>
      <w:r>
        <w:rPr>
          <w:rFonts w:ascii="Arial" w:cs="Arial" w:eastAsia="Arial" w:hAnsi="Arial"/>
          <w:sz w:val="17"/>
          <w:szCs w:val="17"/>
          <w:color w:val="auto"/>
        </w:rPr>
        <w:t>. Subject to subsection (e), if a Participant elected a Scheduled Withdrawal Date with respect to his deferrals of Compensation (excluding any investment earnings on such amounts) with respect to a Plan Year, such Participant may change</w:t>
      </w:r>
    </w:p>
    <w:p>
      <w:pPr>
        <w:sectPr>
          <w:pgSz w:w="11900" w:h="16838" w:orient="portrait"/>
          <w:cols w:equalWidth="0" w:num="1">
            <w:col w:w="11420"/>
          </w:cols>
          <w:pgMar w:left="240" w:top="120" w:right="239" w:bottom="0" w:gutter="0" w:footer="0" w:header="0"/>
        </w:sectPr>
      </w:pPr>
    </w:p>
    <w:bookmarkStart w:id="102" w:name="page103"/>
    <w:bookmarkEnd w:id="102"/>
    <w:p>
      <w:pPr>
        <w:ind w:left="4"/>
        <w:spacing w:after="0" w:line="259" w:lineRule="auto"/>
        <w:rPr>
          <w:sz w:val="20"/>
          <w:szCs w:val="20"/>
          <w:color w:val="auto"/>
        </w:rPr>
      </w:pPr>
      <w:r>
        <w:rPr>
          <w:rFonts w:ascii="Arial" w:cs="Arial" w:eastAsia="Arial" w:hAnsi="Arial"/>
          <w:sz w:val="18"/>
          <w:szCs w:val="18"/>
          <w:color w:val="auto"/>
        </w:rPr>
        <w:t>such Scheduled Withdrawal Date for the Withdrawal Amount with respect to such Plan Year by electing a new Scheduled Withdrawal Date for the Withdrawal Amount with respect to such Plan Year that is not less than five years later than the Scheduled Withdrawal Date previously elected by such Participant for such Plan Year. A Participant who has not elected a Scheduled Withdrawal Date for his deferrals of Compensation (excluding any investment earnings on such amounts) for a Plan Year may not subsequently elect a Scheduled Withdrawal Date for his deferrals of Compensation (excluding any investment earnings on such amou nts) for such Plan Year. A Participant may make only one change to the Scheduled Withdrawal Date with respect to each Plan Year under this subsection (d).</w:t>
      </w:r>
    </w:p>
    <w:p>
      <w:pPr>
        <w:spacing w:after="0" w:line="138" w:lineRule="exact"/>
        <w:rPr>
          <w:sz w:val="20"/>
          <w:szCs w:val="20"/>
          <w:color w:val="auto"/>
        </w:rPr>
      </w:pPr>
    </w:p>
    <w:p>
      <w:pPr>
        <w:jc w:val="both"/>
        <w:ind w:left="4" w:right="200" w:firstLine="573"/>
        <w:spacing w:after="0" w:line="252" w:lineRule="auto"/>
        <w:tabs>
          <w:tab w:leader="none" w:pos="1157" w:val="left"/>
        </w:tabs>
        <w:numPr>
          <w:ilvl w:val="0"/>
          <w:numId w:val="127"/>
        </w:numPr>
        <w:rPr>
          <w:rFonts w:ascii="Arial" w:cs="Arial" w:eastAsia="Arial" w:hAnsi="Arial"/>
          <w:sz w:val="19"/>
          <w:szCs w:val="19"/>
          <w:color w:val="auto"/>
        </w:rPr>
      </w:pPr>
      <w:r>
        <w:rPr>
          <w:rFonts w:ascii="Arial" w:cs="Arial" w:eastAsia="Arial" w:hAnsi="Arial"/>
          <w:sz w:val="19"/>
          <w:szCs w:val="19"/>
          <w:u w:val="single" w:color="auto"/>
          <w:color w:val="auto"/>
        </w:rPr>
        <w:t>Limitation on Distribution Changes</w:t>
      </w:r>
      <w:r>
        <w:rPr>
          <w:rFonts w:ascii="Arial" w:cs="Arial" w:eastAsia="Arial" w:hAnsi="Arial"/>
          <w:sz w:val="19"/>
          <w:szCs w:val="19"/>
          <w:color w:val="auto"/>
        </w:rPr>
        <w:t>. A Participant’s election to change to his distribution form election with respect to a Plan Year under subsection (b), or change of a Scheduled Withdrawal Date with respect to a Plan Year under subsection (d), shall be subject to the following limitations:</w:t>
      </w:r>
    </w:p>
    <w:p>
      <w:pPr>
        <w:spacing w:after="0" w:line="152" w:lineRule="exact"/>
        <w:rPr>
          <w:rFonts w:ascii="Arial" w:cs="Arial" w:eastAsia="Arial" w:hAnsi="Arial"/>
          <w:sz w:val="19"/>
          <w:szCs w:val="19"/>
          <w:color w:val="auto"/>
        </w:rPr>
      </w:pPr>
    </w:p>
    <w:p>
      <w:pPr>
        <w:ind w:left="4" w:right="140" w:firstLine="1149"/>
        <w:spacing w:after="0" w:line="257" w:lineRule="auto"/>
        <w:tabs>
          <w:tab w:leader="none" w:pos="1734" w:val="left"/>
        </w:tabs>
        <w:numPr>
          <w:ilvl w:val="1"/>
          <w:numId w:val="127"/>
        </w:numPr>
        <w:rPr>
          <w:rFonts w:ascii="Arial" w:cs="Arial" w:eastAsia="Arial" w:hAnsi="Arial"/>
          <w:sz w:val="18"/>
          <w:szCs w:val="18"/>
          <w:color w:val="auto"/>
        </w:rPr>
      </w:pPr>
      <w:r>
        <w:rPr>
          <w:rFonts w:ascii="Arial" w:cs="Arial" w:eastAsia="Arial" w:hAnsi="Arial"/>
          <w:sz w:val="18"/>
          <w:szCs w:val="18"/>
          <w:color w:val="auto"/>
        </w:rPr>
        <w:t>The Participant’s election to change his distribution election form with respect to a Plan Year, or change his Scheduled Withdrawal Date with respect to a Plan Year, shall not take effect until at least twelve (12) months after his election to change the distribution form election, or Scheduled Withdrawal Date, is made. If the distribution of such Participant’s Distributable Amount with respect to a Plan Year (in the case of a change in his distribution election form), or the distribution of the Withdrawal Amount with respect to such Plan Year (in the case of a change in his Scheduled Withdrawal Date), is made or commence before the election to change his distribution form election or Scheduled Withdrawal Date, as the case may be, becomes effective, the election to change his distribution form election or Scheduled Withdrawal Date shall not thereafter become effective, and distributions sh all be made in accordance with the distribution form election, and Scheduled Withdrawal Date (if any), as applicable, in effect prior to the Participant’s election to change.</w:t>
      </w:r>
    </w:p>
    <w:p>
      <w:pPr>
        <w:spacing w:after="0" w:line="136" w:lineRule="exact"/>
        <w:rPr>
          <w:rFonts w:ascii="Arial" w:cs="Arial" w:eastAsia="Arial" w:hAnsi="Arial"/>
          <w:sz w:val="18"/>
          <w:szCs w:val="18"/>
          <w:color w:val="auto"/>
        </w:rPr>
      </w:pPr>
    </w:p>
    <w:p>
      <w:pPr>
        <w:ind w:left="4" w:right="60" w:firstLine="1149"/>
        <w:spacing w:after="0" w:line="296" w:lineRule="auto"/>
        <w:tabs>
          <w:tab w:leader="none" w:pos="1734" w:val="left"/>
        </w:tabs>
        <w:numPr>
          <w:ilvl w:val="1"/>
          <w:numId w:val="127"/>
        </w:numPr>
        <w:rPr>
          <w:rFonts w:ascii="Arial" w:cs="Arial" w:eastAsia="Arial" w:hAnsi="Arial"/>
          <w:sz w:val="17"/>
          <w:szCs w:val="17"/>
          <w:color w:val="auto"/>
        </w:rPr>
      </w:pPr>
      <w:r>
        <w:rPr>
          <w:rFonts w:ascii="Arial" w:cs="Arial" w:eastAsia="Arial" w:hAnsi="Arial"/>
          <w:sz w:val="17"/>
          <w:szCs w:val="17"/>
          <w:color w:val="auto"/>
        </w:rPr>
        <w:t>The Participant’s election to change his distribution election form with respect to a Plan Year, or change his Scheduled Withdrawal Date with respect to a Plan Year, shall provide that each payment with respect to such new distribution form election, or new Scheduled Withdrawal Date, shall be deferred for a period of not less than five years from the date such payment would otherwise have been made.</w:t>
      </w:r>
    </w:p>
    <w:p>
      <w:pPr>
        <w:spacing w:after="0" w:line="105" w:lineRule="exact"/>
        <w:rPr>
          <w:rFonts w:ascii="Arial" w:cs="Arial" w:eastAsia="Arial" w:hAnsi="Arial"/>
          <w:sz w:val="17"/>
          <w:szCs w:val="17"/>
          <w:color w:val="auto"/>
        </w:rPr>
      </w:pPr>
    </w:p>
    <w:p>
      <w:pPr>
        <w:jc w:val="both"/>
        <w:ind w:left="4" w:right="260" w:firstLine="1149"/>
        <w:spacing w:after="0" w:line="252" w:lineRule="auto"/>
        <w:tabs>
          <w:tab w:leader="none" w:pos="1734" w:val="left"/>
        </w:tabs>
        <w:numPr>
          <w:ilvl w:val="1"/>
          <w:numId w:val="127"/>
        </w:numPr>
        <w:rPr>
          <w:rFonts w:ascii="Arial" w:cs="Arial" w:eastAsia="Arial" w:hAnsi="Arial"/>
          <w:sz w:val="19"/>
          <w:szCs w:val="19"/>
          <w:color w:val="auto"/>
        </w:rPr>
      </w:pPr>
      <w:r>
        <w:rPr>
          <w:rFonts w:ascii="Arial" w:cs="Arial" w:eastAsia="Arial" w:hAnsi="Arial"/>
          <w:sz w:val="19"/>
          <w:szCs w:val="19"/>
          <w:color w:val="auto"/>
        </w:rPr>
        <w:t>The Participant’s election to change his Scheduled Withdrawal Date with respect to a Plan Year shall not be made less than twelve (12) months prior to the date of the first scheduled payment under the Participant’s initial election of the Scheduled Withdrawal Date with respect to such Plan Year.</w:t>
      </w:r>
    </w:p>
    <w:p>
      <w:pPr>
        <w:spacing w:after="0" w:line="153" w:lineRule="exact"/>
        <w:rPr>
          <w:sz w:val="20"/>
          <w:szCs w:val="20"/>
          <w:color w:val="auto"/>
        </w:rPr>
      </w:pPr>
    </w:p>
    <w:p>
      <w:pPr>
        <w:ind w:left="4" w:right="560"/>
        <w:spacing w:after="0" w:line="266" w:lineRule="auto"/>
        <w:rPr>
          <w:sz w:val="20"/>
          <w:szCs w:val="20"/>
          <w:color w:val="auto"/>
        </w:rPr>
      </w:pPr>
      <w:r>
        <w:rPr>
          <w:rFonts w:ascii="Arial" w:cs="Arial" w:eastAsia="Arial" w:hAnsi="Arial"/>
          <w:sz w:val="19"/>
          <w:szCs w:val="19"/>
          <w:color w:val="auto"/>
        </w:rPr>
        <w:t>The limitations under this subsection (e) shall be applied in accordance with Section 409A(a)(4)(C) of the Code and the Treasury Regulations thereunder.</w:t>
      </w:r>
    </w:p>
    <w:p>
      <w:pPr>
        <w:spacing w:after="0" w:line="140" w:lineRule="exact"/>
        <w:rPr>
          <w:sz w:val="20"/>
          <w:szCs w:val="20"/>
          <w:color w:val="auto"/>
        </w:rPr>
      </w:pPr>
    </w:p>
    <w:p>
      <w:pPr>
        <w:ind w:left="4" w:right="160" w:firstLine="573"/>
        <w:spacing w:after="0" w:line="275" w:lineRule="auto"/>
        <w:tabs>
          <w:tab w:leader="none" w:pos="1157" w:val="left"/>
        </w:tabs>
        <w:numPr>
          <w:ilvl w:val="1"/>
          <w:numId w:val="128"/>
        </w:numPr>
        <w:rPr>
          <w:rFonts w:ascii="Arial" w:cs="Arial" w:eastAsia="Arial" w:hAnsi="Arial"/>
          <w:sz w:val="17"/>
          <w:szCs w:val="17"/>
          <w:color w:val="auto"/>
        </w:rPr>
      </w:pPr>
      <w:r>
        <w:rPr>
          <w:rFonts w:ascii="Arial" w:cs="Arial" w:eastAsia="Arial" w:hAnsi="Arial"/>
          <w:sz w:val="17"/>
          <w:szCs w:val="17"/>
          <w:u w:val="single" w:color="auto"/>
          <w:color w:val="auto"/>
        </w:rPr>
        <w:t>Special Distribution Changes</w:t>
      </w:r>
      <w:r>
        <w:rPr>
          <w:rFonts w:ascii="Arial" w:cs="Arial" w:eastAsia="Arial" w:hAnsi="Arial"/>
          <w:sz w:val="17"/>
          <w:szCs w:val="17"/>
          <w:color w:val="auto"/>
        </w:rPr>
        <w:t>. Notwithstanding the limitations under subsections (b), (d) and (e), a Participant may (1) elect to change his distribution form election with respect to a Plan Year, (2) elect to change his Scheduled Withdrawal Date with respect to a Plan Year, or</w:t>
      </w:r>
    </w:p>
    <w:p>
      <w:pPr>
        <w:ind w:left="264" w:hanging="264"/>
        <w:spacing w:after="0"/>
        <w:tabs>
          <w:tab w:leader="none" w:pos="264" w:val="left"/>
        </w:tabs>
        <w:numPr>
          <w:ilvl w:val="0"/>
          <w:numId w:val="129"/>
        </w:numPr>
        <w:rPr>
          <w:rFonts w:ascii="Arial" w:cs="Arial" w:eastAsia="Arial" w:hAnsi="Arial"/>
          <w:sz w:val="17"/>
          <w:szCs w:val="17"/>
          <w:color w:val="auto"/>
        </w:rPr>
      </w:pPr>
      <w:r>
        <w:rPr>
          <w:rFonts w:ascii="Arial" w:cs="Arial" w:eastAsia="Arial" w:hAnsi="Arial"/>
          <w:sz w:val="17"/>
          <w:szCs w:val="17"/>
          <w:color w:val="auto"/>
        </w:rPr>
        <w:t>elect a Scheduled Withdrawal Date with respect to a Plan Year (if the Participant has not previously made a Scheduled Withdrawal Date with</w:t>
      </w:r>
    </w:p>
    <w:p>
      <w:pPr>
        <w:spacing w:after="0" w:line="20" w:lineRule="exact"/>
        <w:rPr>
          <w:rFonts w:ascii="Arial" w:cs="Arial" w:eastAsia="Arial" w:hAnsi="Arial"/>
          <w:sz w:val="17"/>
          <w:szCs w:val="17"/>
          <w:color w:val="auto"/>
        </w:rPr>
      </w:pPr>
    </w:p>
    <w:p>
      <w:pPr>
        <w:ind w:left="4" w:right="60"/>
        <w:spacing w:after="0" w:line="271" w:lineRule="auto"/>
        <w:rPr>
          <w:rFonts w:ascii="Arial" w:cs="Arial" w:eastAsia="Arial" w:hAnsi="Arial"/>
          <w:sz w:val="17"/>
          <w:szCs w:val="17"/>
          <w:color w:val="auto"/>
        </w:rPr>
      </w:pPr>
      <w:r>
        <w:rPr>
          <w:rFonts w:ascii="Arial" w:cs="Arial" w:eastAsia="Arial" w:hAnsi="Arial"/>
          <w:sz w:val="17"/>
          <w:szCs w:val="17"/>
          <w:color w:val="auto"/>
        </w:rPr>
        <w:t>respect to such Plan Year under subsection (c)). Such election shall be irrevocable when made and shall be made on or after January 1, 2006 and on or before December 31, 2008 in accordance with the transitional relief under Section 409A of the Code and Internal Revenue Service Notices 2006-79 and 2007-86; provided, however, that a Participant’s election made in 2006 shall apply only with respect to payments that would not otherwise be payable in 2006, and shall not cause payments to be made in 2006 that would not otherwise be payable in 2006; and, provided, further, that a Participant’s election made in 2007 shall apply only with respect to payments that would not otherwise be payable in 2007, and shall not cause payments to be made in 2007 that would not otherwise be payable in 2007; and, provided, further, that a Participant’s election made in 2008 shall apply only with respect to payments that would not otherwise be payable in 2008, and shall not cause payments to be made in 2008 that would not otherwise be payable in 2008. No election under this subsection (f) may be made by a Participant after December 31, 2008.</w:t>
      </w:r>
    </w:p>
    <w:p>
      <w:pPr>
        <w:spacing w:after="0" w:line="128" w:lineRule="exact"/>
        <w:rPr>
          <w:sz w:val="20"/>
          <w:szCs w:val="20"/>
          <w:color w:val="auto"/>
        </w:rPr>
      </w:pPr>
    </w:p>
    <w:p>
      <w:pPr>
        <w:ind w:left="144"/>
        <w:spacing w:after="0"/>
        <w:tabs>
          <w:tab w:leader="none" w:pos="564" w:val="left"/>
        </w:tabs>
        <w:rPr>
          <w:sz w:val="20"/>
          <w:szCs w:val="20"/>
          <w:color w:val="auto"/>
        </w:rPr>
      </w:pPr>
      <w:r>
        <w:rPr>
          <w:rFonts w:ascii="Arial" w:cs="Arial" w:eastAsia="Arial" w:hAnsi="Arial"/>
          <w:sz w:val="19"/>
          <w:szCs w:val="19"/>
          <w:u w:val="single" w:color="auto"/>
          <w:color w:val="auto"/>
        </w:rPr>
        <w:t>3.3</w:t>
      </w:r>
      <w:r>
        <w:rPr>
          <w:sz w:val="20"/>
          <w:szCs w:val="20"/>
          <w:color w:val="auto"/>
        </w:rPr>
        <w:tab/>
      </w:r>
      <w:r>
        <w:rPr>
          <w:rFonts w:ascii="Arial" w:cs="Arial" w:eastAsia="Arial" w:hAnsi="Arial"/>
          <w:sz w:val="17"/>
          <w:szCs w:val="17"/>
          <w:u w:val="single" w:color="auto"/>
          <w:color w:val="auto"/>
        </w:rPr>
        <w:t>Company Matching Contributions</w:t>
      </w:r>
    </w:p>
    <w:p>
      <w:pPr>
        <w:spacing w:after="0" w:line="178" w:lineRule="exact"/>
        <w:rPr>
          <w:sz w:val="20"/>
          <w:szCs w:val="20"/>
          <w:color w:val="auto"/>
        </w:rPr>
      </w:pPr>
    </w:p>
    <w:p>
      <w:pPr>
        <w:ind w:left="1724" w:right="40" w:hanging="571"/>
        <w:spacing w:after="0" w:line="252" w:lineRule="auto"/>
        <w:tabs>
          <w:tab w:leader="none" w:pos="1724" w:val="left"/>
        </w:tabs>
        <w:numPr>
          <w:ilvl w:val="0"/>
          <w:numId w:val="130"/>
        </w:numPr>
        <w:rPr>
          <w:rFonts w:ascii="Arial" w:cs="Arial" w:eastAsia="Arial" w:hAnsi="Arial"/>
          <w:sz w:val="19"/>
          <w:szCs w:val="19"/>
          <w:color w:val="auto"/>
        </w:rPr>
      </w:pPr>
      <w:r>
        <w:rPr>
          <w:rFonts w:ascii="Arial" w:cs="Arial" w:eastAsia="Arial" w:hAnsi="Arial"/>
          <w:sz w:val="19"/>
          <w:szCs w:val="19"/>
          <w:color w:val="auto"/>
        </w:rPr>
        <w:t>The Company shall make a Company Matching Contribution for a Plan Year, on behalf of each Participant who is selected by the Company prior to the first day of such Plan Year and makes deferrals of Base Salary and Bonus under Article III, in an amount equal to:</w:t>
      </w:r>
    </w:p>
    <w:p>
      <w:pPr>
        <w:spacing w:after="0" w:line="153" w:lineRule="exact"/>
        <w:rPr>
          <w:sz w:val="20"/>
          <w:szCs w:val="20"/>
          <w:color w:val="auto"/>
        </w:rPr>
      </w:pPr>
    </w:p>
    <w:p>
      <w:pPr>
        <w:ind w:left="1724" w:hanging="571"/>
        <w:spacing w:after="0"/>
        <w:tabs>
          <w:tab w:leader="none" w:pos="1724" w:val="left"/>
        </w:tabs>
        <w:numPr>
          <w:ilvl w:val="0"/>
          <w:numId w:val="131"/>
        </w:numPr>
        <w:rPr>
          <w:rFonts w:ascii="Arial" w:cs="Arial" w:eastAsia="Arial" w:hAnsi="Arial"/>
          <w:sz w:val="17"/>
          <w:szCs w:val="17"/>
          <w:color w:val="auto"/>
        </w:rPr>
      </w:pPr>
      <w:r>
        <w:rPr>
          <w:rFonts w:ascii="Arial" w:cs="Arial" w:eastAsia="Arial" w:hAnsi="Arial"/>
          <w:sz w:val="17"/>
          <w:szCs w:val="17"/>
          <w:color w:val="auto"/>
        </w:rPr>
        <w:t>the product of (A) the rate of the matching contribution under the 401(k) Plan in which the Participant participates and (B) the</w:t>
      </w:r>
    </w:p>
    <w:p>
      <w:pPr>
        <w:spacing w:after="0" w:line="36" w:lineRule="exact"/>
        <w:rPr>
          <w:rFonts w:ascii="Arial" w:cs="Arial" w:eastAsia="Arial" w:hAnsi="Arial"/>
          <w:sz w:val="17"/>
          <w:szCs w:val="17"/>
          <w:color w:val="auto"/>
        </w:rPr>
      </w:pPr>
    </w:p>
    <w:p>
      <w:pPr>
        <w:ind w:left="4" w:right="60"/>
        <w:spacing w:after="0" w:line="243" w:lineRule="auto"/>
        <w:rPr>
          <w:rFonts w:ascii="Arial" w:cs="Arial" w:eastAsia="Arial" w:hAnsi="Arial"/>
          <w:sz w:val="17"/>
          <w:szCs w:val="17"/>
          <w:color w:val="auto"/>
        </w:rPr>
      </w:pPr>
      <w:r>
        <w:rPr>
          <w:rFonts w:ascii="Arial" w:cs="Arial" w:eastAsia="Arial" w:hAnsi="Arial"/>
          <w:sz w:val="19"/>
          <w:szCs w:val="19"/>
          <w:color w:val="auto"/>
        </w:rPr>
        <w:t>sum of: (I) 6% of the Participant’s compensation (as defined in the 401(k) Plan) for the Plan Year, and (II) the Participant’s deferrals of Base Salary and Bonus under the Plan for the Plan Year, to the extent such sum does not exceed 6% of such Participant’s Base Salary and Bonus for such Plan Year, less</w:t>
      </w:r>
    </w:p>
    <w:p>
      <w:pPr>
        <w:spacing w:after="0" w:line="149" w:lineRule="exact"/>
        <w:rPr>
          <w:rFonts w:ascii="Arial" w:cs="Arial" w:eastAsia="Arial" w:hAnsi="Arial"/>
          <w:sz w:val="17"/>
          <w:szCs w:val="17"/>
          <w:color w:val="auto"/>
        </w:rPr>
      </w:pPr>
    </w:p>
    <w:p>
      <w:pPr>
        <w:ind w:left="1724" w:hanging="571"/>
        <w:spacing w:after="0"/>
        <w:tabs>
          <w:tab w:leader="none" w:pos="1724" w:val="left"/>
        </w:tabs>
        <w:numPr>
          <w:ilvl w:val="0"/>
          <w:numId w:val="131"/>
        </w:numPr>
        <w:rPr>
          <w:rFonts w:ascii="Arial" w:cs="Arial" w:eastAsia="Arial" w:hAnsi="Arial"/>
          <w:sz w:val="19"/>
          <w:szCs w:val="19"/>
          <w:color w:val="auto"/>
        </w:rPr>
      </w:pPr>
      <w:r>
        <w:rPr>
          <w:rFonts w:ascii="Arial" w:cs="Arial" w:eastAsia="Arial" w:hAnsi="Arial"/>
          <w:sz w:val="19"/>
          <w:szCs w:val="19"/>
          <w:color w:val="auto"/>
        </w:rPr>
        <w:t>3% of such Participant’s compensation (as defined in the 401(k) Plan) for the Plan Year.</w:t>
      </w:r>
    </w:p>
    <w:p>
      <w:pPr>
        <w:spacing w:after="0" w:line="190" w:lineRule="exact"/>
        <w:rPr>
          <w:sz w:val="20"/>
          <w:szCs w:val="20"/>
          <w:color w:val="auto"/>
        </w:rPr>
      </w:pPr>
    </w:p>
    <w:p>
      <w:pPr>
        <w:ind w:left="4" w:right="100"/>
        <w:spacing w:after="0" w:line="266" w:lineRule="auto"/>
        <w:rPr>
          <w:sz w:val="20"/>
          <w:szCs w:val="20"/>
          <w:color w:val="auto"/>
        </w:rPr>
      </w:pPr>
      <w:r>
        <w:rPr>
          <w:rFonts w:ascii="Arial" w:cs="Arial" w:eastAsia="Arial" w:hAnsi="Arial"/>
          <w:sz w:val="19"/>
          <w:szCs w:val="19"/>
          <w:color w:val="auto"/>
        </w:rPr>
        <w:t>Notwithstanding the above, the Company reserves the right to change the Company Matching Contribution in its sole discretion for any subsequent Plan Year.</w:t>
      </w:r>
    </w:p>
    <w:p>
      <w:pPr>
        <w:spacing w:after="0" w:line="128" w:lineRule="exact"/>
        <w:rPr>
          <w:sz w:val="20"/>
          <w:szCs w:val="20"/>
          <w:color w:val="auto"/>
        </w:rPr>
      </w:pPr>
    </w:p>
    <w:p>
      <w:pPr>
        <w:ind w:left="1724" w:right="200" w:hanging="571"/>
        <w:spacing w:after="0" w:line="266" w:lineRule="auto"/>
        <w:tabs>
          <w:tab w:leader="none" w:pos="1724" w:val="left"/>
        </w:tabs>
        <w:numPr>
          <w:ilvl w:val="0"/>
          <w:numId w:val="132"/>
        </w:numPr>
        <w:rPr>
          <w:rFonts w:ascii="Arial" w:cs="Arial" w:eastAsia="Arial" w:hAnsi="Arial"/>
          <w:sz w:val="19"/>
          <w:szCs w:val="19"/>
          <w:color w:val="auto"/>
        </w:rPr>
      </w:pPr>
      <w:r>
        <w:rPr>
          <w:rFonts w:ascii="Arial" w:cs="Arial" w:eastAsia="Arial" w:hAnsi="Arial"/>
          <w:sz w:val="19"/>
          <w:szCs w:val="19"/>
          <w:color w:val="auto"/>
        </w:rPr>
        <w:t>The Company Matching Contribution for a Plan Year shall be credited to a Participant’s Company Matching Account in the manner determined by the Committee prior to the first day of such Plan Year.</w:t>
      </w:r>
    </w:p>
    <w:p>
      <w:pPr>
        <w:spacing w:after="0" w:line="140" w:lineRule="exact"/>
        <w:rPr>
          <w:sz w:val="20"/>
          <w:szCs w:val="20"/>
          <w:color w:val="auto"/>
        </w:rPr>
      </w:pPr>
    </w:p>
    <w:p>
      <w:pPr>
        <w:ind w:left="144"/>
        <w:spacing w:after="0"/>
        <w:tabs>
          <w:tab w:leader="none" w:pos="564" w:val="left"/>
        </w:tabs>
        <w:rPr>
          <w:sz w:val="20"/>
          <w:szCs w:val="20"/>
          <w:color w:val="auto"/>
        </w:rPr>
      </w:pPr>
      <w:r>
        <w:rPr>
          <w:rFonts w:ascii="Arial" w:cs="Arial" w:eastAsia="Arial" w:hAnsi="Arial"/>
          <w:sz w:val="19"/>
          <w:szCs w:val="19"/>
          <w:u w:val="single" w:color="auto"/>
          <w:color w:val="auto"/>
        </w:rPr>
        <w:t>3.4</w:t>
      </w:r>
      <w:r>
        <w:rPr>
          <w:sz w:val="20"/>
          <w:szCs w:val="20"/>
          <w:color w:val="auto"/>
        </w:rPr>
        <w:tab/>
      </w:r>
      <w:r>
        <w:rPr>
          <w:rFonts w:ascii="Arial" w:cs="Arial" w:eastAsia="Arial" w:hAnsi="Arial"/>
          <w:sz w:val="17"/>
          <w:szCs w:val="17"/>
          <w:u w:val="single" w:color="auto"/>
          <w:color w:val="auto"/>
        </w:rPr>
        <w:t>FICA and Other Taxes</w:t>
      </w:r>
      <w:r>
        <w:rPr>
          <w:rFonts w:ascii="Arial" w:cs="Arial" w:eastAsia="Arial" w:hAnsi="Arial"/>
          <w:sz w:val="17"/>
          <w:szCs w:val="17"/>
          <w:color w:val="auto"/>
        </w:rPr>
        <w:t>.</w:t>
      </w:r>
    </w:p>
    <w:p>
      <w:pPr>
        <w:spacing w:after="0" w:line="178" w:lineRule="exact"/>
        <w:rPr>
          <w:sz w:val="20"/>
          <w:szCs w:val="20"/>
          <w:color w:val="auto"/>
        </w:rPr>
      </w:pPr>
    </w:p>
    <w:p>
      <w:pPr>
        <w:ind w:left="1724" w:right="20" w:hanging="571"/>
        <w:spacing w:after="0" w:line="280" w:lineRule="auto"/>
        <w:tabs>
          <w:tab w:leader="none" w:pos="1724" w:val="left"/>
        </w:tabs>
        <w:numPr>
          <w:ilvl w:val="0"/>
          <w:numId w:val="133"/>
        </w:numPr>
        <w:rPr>
          <w:rFonts w:ascii="Arial" w:cs="Arial" w:eastAsia="Arial" w:hAnsi="Arial"/>
          <w:sz w:val="17"/>
          <w:szCs w:val="17"/>
          <w:u w:val="single" w:color="auto"/>
          <w:color w:val="auto"/>
        </w:rPr>
      </w:pPr>
      <w:r>
        <w:rPr>
          <w:rFonts w:ascii="Arial" w:cs="Arial" w:eastAsia="Arial" w:hAnsi="Arial"/>
          <w:sz w:val="17"/>
          <w:szCs w:val="17"/>
          <w:u w:val="single" w:color="auto"/>
          <w:color w:val="auto"/>
        </w:rPr>
        <w:t>Annual Deferral Amounts</w:t>
      </w:r>
      <w:r>
        <w:rPr>
          <w:rFonts w:ascii="Arial" w:cs="Arial" w:eastAsia="Arial" w:hAnsi="Arial"/>
          <w:sz w:val="17"/>
          <w:szCs w:val="17"/>
          <w:color w:val="auto"/>
        </w:rPr>
        <w:t>. For each Plan Year in which a Participant who is an employee makes a deferral under Section 3.1, the Company shall withhold from that portion of the Participant’s Compensation that is not being deferred, in a manner determined by the Company, the Participant’s share of FICA and other employment taxes on such amount. If necessary, the Committee may reduce the Participant's deferrals under Section 3.1 or make deductions from his Deferral Account in order to comply with this Section, to the extent permitted under Section 409A of the Code and the Treasury Regulations thereunder.</w:t>
      </w:r>
    </w:p>
    <w:p>
      <w:pPr>
        <w:spacing w:after="0" w:line="121" w:lineRule="exact"/>
        <w:rPr>
          <w:rFonts w:ascii="Arial" w:cs="Arial" w:eastAsia="Arial" w:hAnsi="Arial"/>
          <w:sz w:val="17"/>
          <w:szCs w:val="17"/>
          <w:u w:val="single" w:color="auto"/>
          <w:color w:val="auto"/>
        </w:rPr>
      </w:pPr>
    </w:p>
    <w:p>
      <w:pPr>
        <w:ind w:left="1724" w:right="200" w:hanging="571"/>
        <w:spacing w:after="0" w:line="261" w:lineRule="auto"/>
        <w:tabs>
          <w:tab w:leader="none" w:pos="1724" w:val="left"/>
        </w:tabs>
        <w:numPr>
          <w:ilvl w:val="0"/>
          <w:numId w:val="133"/>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Company Matching Amounts</w:t>
      </w:r>
      <w:r>
        <w:rPr>
          <w:rFonts w:ascii="Arial" w:cs="Arial" w:eastAsia="Arial" w:hAnsi="Arial"/>
          <w:sz w:val="18"/>
          <w:szCs w:val="18"/>
          <w:color w:val="auto"/>
        </w:rPr>
        <w:t>. For each Plan Year in which a Participant is credited with a contribution to his Company Matching Account under Section 3.3, the Company shall withhold from the Participant’s Compensation that is not deferred, in a manner determined by the Company, the Participant’s share of FICA and other employment taxes. If necessary, the Committee may reduce the Participant’s Company Matching Account in order to comply with this Section, to the extent permitted under Section 409A of the Code and the Treasury Regulations thereunder.</w:t>
      </w:r>
    </w:p>
    <w:p>
      <w:pPr>
        <w:spacing w:after="0" w:line="142" w:lineRule="exact"/>
        <w:rPr>
          <w:sz w:val="20"/>
          <w:szCs w:val="20"/>
          <w:color w:val="auto"/>
        </w:rPr>
      </w:pPr>
    </w:p>
    <w:p>
      <w:pPr>
        <w:ind w:left="5144"/>
        <w:spacing w:after="0"/>
        <w:rPr>
          <w:sz w:val="20"/>
          <w:szCs w:val="20"/>
          <w:color w:val="auto"/>
        </w:rPr>
      </w:pPr>
      <w:r>
        <w:rPr>
          <w:rFonts w:ascii="Arial" w:cs="Arial" w:eastAsia="Arial" w:hAnsi="Arial"/>
          <w:sz w:val="19"/>
          <w:szCs w:val="19"/>
          <w:b w:val="1"/>
          <w:bCs w:val="1"/>
          <w:color w:val="auto"/>
        </w:rPr>
        <w:t>ARTICLE IV.</w:t>
      </w:r>
    </w:p>
    <w:p>
      <w:pPr>
        <w:spacing w:after="0" w:line="20" w:lineRule="exact"/>
        <w:rPr>
          <w:sz w:val="20"/>
          <w:szCs w:val="20"/>
          <w:color w:val="auto"/>
        </w:rPr>
      </w:pPr>
    </w:p>
    <w:p>
      <w:pPr>
        <w:ind w:left="5304"/>
        <w:spacing w:after="0"/>
        <w:rPr>
          <w:sz w:val="20"/>
          <w:szCs w:val="20"/>
          <w:color w:val="auto"/>
        </w:rPr>
      </w:pPr>
      <w:r>
        <w:rPr>
          <w:rFonts w:ascii="Arial" w:cs="Arial" w:eastAsia="Arial" w:hAnsi="Arial"/>
          <w:sz w:val="19"/>
          <w:szCs w:val="19"/>
          <w:b w:val="1"/>
          <w:bCs w:val="1"/>
          <w:u w:val="single" w:color="auto"/>
          <w:color w:val="auto"/>
        </w:rPr>
        <w:t>INVESTMENTS</w:t>
      </w:r>
    </w:p>
    <w:p>
      <w:pPr>
        <w:sectPr>
          <w:pgSz w:w="11900" w:h="16838" w:orient="portrait"/>
          <w:cols w:equalWidth="0" w:num="1">
            <w:col w:w="11444"/>
          </w:cols>
          <w:pgMar w:left="236" w:top="120" w:right="219" w:bottom="0" w:gutter="0" w:footer="0" w:header="0"/>
        </w:sectPr>
      </w:pPr>
    </w:p>
    <w:bookmarkStart w:id="103" w:name="page104"/>
    <w:bookmarkEnd w:id="103"/>
    <w:p>
      <w:pPr>
        <w:spacing w:after="0" w:line="18" w:lineRule="exact"/>
        <w:rPr>
          <w:sz w:val="20"/>
          <w:szCs w:val="20"/>
          <w:color w:val="auto"/>
        </w:rPr>
      </w:pPr>
    </w:p>
    <w:p>
      <w:pPr>
        <w:spacing w:after="0"/>
        <w:tabs>
          <w:tab w:leader="none" w:pos="420" w:val="left"/>
        </w:tabs>
        <w:rPr>
          <w:sz w:val="20"/>
          <w:szCs w:val="20"/>
          <w:color w:val="auto"/>
        </w:rPr>
      </w:pPr>
      <w:r>
        <w:rPr>
          <w:rFonts w:ascii="Arial" w:cs="Arial" w:eastAsia="Arial" w:hAnsi="Arial"/>
          <w:sz w:val="19"/>
          <w:szCs w:val="19"/>
          <w:u w:val="single" w:color="auto"/>
          <w:color w:val="auto"/>
        </w:rPr>
        <w:t>4.1</w:t>
      </w:r>
      <w:r>
        <w:rPr>
          <w:sz w:val="20"/>
          <w:szCs w:val="20"/>
          <w:color w:val="auto"/>
        </w:rPr>
        <w:tab/>
      </w:r>
      <w:r>
        <w:rPr>
          <w:rFonts w:ascii="Arial" w:cs="Arial" w:eastAsia="Arial" w:hAnsi="Arial"/>
          <w:sz w:val="16"/>
          <w:szCs w:val="16"/>
          <w:u w:val="single" w:color="auto"/>
          <w:color w:val="auto"/>
        </w:rPr>
        <w:t>Measurement Funds</w:t>
      </w:r>
      <w:r>
        <w:rPr>
          <w:rFonts w:ascii="Arial" w:cs="Arial" w:eastAsia="Arial" w:hAnsi="Arial"/>
          <w:sz w:val="16"/>
          <w:szCs w:val="16"/>
          <w:color w:val="auto"/>
        </w:rPr>
        <w:t>.</w:t>
      </w:r>
    </w:p>
    <w:p>
      <w:pPr>
        <w:spacing w:after="0" w:line="179" w:lineRule="exact"/>
        <w:rPr>
          <w:sz w:val="20"/>
          <w:szCs w:val="20"/>
          <w:color w:val="auto"/>
        </w:rPr>
      </w:pPr>
    </w:p>
    <w:p>
      <w:pPr>
        <w:ind w:left="1580" w:right="40" w:hanging="571"/>
        <w:spacing w:after="0" w:line="241" w:lineRule="auto"/>
        <w:tabs>
          <w:tab w:leader="none" w:pos="1580" w:val="left"/>
        </w:tabs>
        <w:numPr>
          <w:ilvl w:val="0"/>
          <w:numId w:val="134"/>
        </w:numPr>
        <w:rPr>
          <w:rFonts w:ascii="Arial" w:cs="Arial" w:eastAsia="Arial" w:hAnsi="Arial"/>
          <w:sz w:val="19"/>
          <w:szCs w:val="19"/>
          <w:color w:val="auto"/>
        </w:rPr>
      </w:pPr>
      <w:r>
        <w:rPr>
          <w:rFonts w:ascii="Arial" w:cs="Arial" w:eastAsia="Arial" w:hAnsi="Arial"/>
          <w:sz w:val="19"/>
          <w:szCs w:val="19"/>
          <w:color w:val="auto"/>
        </w:rPr>
        <w:t>In the manner designated by the Committee, Participants may elect one or more Measurement Funds to be used to determine the additional amounts to be credited to their Accounts. Although the Participant may designate the Measurement Funds, the Committee shall not be bound by such designation; provided, however, that any substitute Measurement Funds designated by the Committee for a Participant must provide the Participant with an investment opportunity comparable to the original Measurement Funds designated by the Participant. The Committee shall select from time to time, in its sole discretion, the Measurement Funds to be available under the Plan; provided, however, that such Measurement Funds shall be the same as the investment funds which are available from time to time under the 401(k) Plan, except to the extent prohibited by law. &amp;nb sp;</w:t>
      </w:r>
    </w:p>
    <w:p>
      <w:pPr>
        <w:spacing w:after="0" w:line="166" w:lineRule="exact"/>
        <w:rPr>
          <w:rFonts w:ascii="Arial" w:cs="Arial" w:eastAsia="Arial" w:hAnsi="Arial"/>
          <w:sz w:val="19"/>
          <w:szCs w:val="19"/>
          <w:color w:val="auto"/>
        </w:rPr>
      </w:pPr>
    </w:p>
    <w:p>
      <w:pPr>
        <w:ind w:left="1580" w:right="80" w:hanging="571"/>
        <w:spacing w:after="0" w:line="241" w:lineRule="auto"/>
        <w:tabs>
          <w:tab w:leader="none" w:pos="1580" w:val="left"/>
        </w:tabs>
        <w:numPr>
          <w:ilvl w:val="0"/>
          <w:numId w:val="134"/>
        </w:numPr>
        <w:rPr>
          <w:rFonts w:ascii="Arial" w:cs="Arial" w:eastAsia="Arial" w:hAnsi="Arial"/>
          <w:sz w:val="19"/>
          <w:szCs w:val="19"/>
          <w:u w:val="single" w:color="auto"/>
          <w:color w:val="auto"/>
        </w:rPr>
      </w:pPr>
      <w:r>
        <w:rPr>
          <w:rFonts w:ascii="Arial" w:cs="Arial" w:eastAsia="Arial" w:hAnsi="Arial"/>
          <w:sz w:val="19"/>
          <w:szCs w:val="19"/>
          <w:u w:val="single" w:color="auto"/>
          <w:color w:val="auto"/>
        </w:rPr>
        <w:t>No Actual Investment</w:t>
      </w:r>
      <w:r>
        <w:rPr>
          <w:rFonts w:ascii="Arial" w:cs="Arial" w:eastAsia="Arial" w:hAnsi="Arial"/>
          <w:sz w:val="19"/>
          <w:szCs w:val="19"/>
          <w:color w:val="auto"/>
        </w:rPr>
        <w:t>. Notwithstanding any other provision of this Plan that may be interpreted to the contrary, the Measurement Funds are to be used for measurement purposes only, and a Participant’s election of any such Measurement Fund, the allocation to his Accounts thereto, the calculation of additional amounts and the crediting or debiting of such amounts to a Participant’s Accounts shall not be considered or construed in any manner as an actual investment of his Accounts in any such Measurement Fund. In the event that the Company or the trustee, in its own discretion, decides to invest funds in any or all of the Measurement Funds, no Participant shall have any rights in or to such investments themselves. Without limiting the foregoing, a Participant’s Accounts shall at all times be a bookkeeping entry o nly and shall not represent any investment made on his behalf by the Company. The Participant shall at all times remain an unsecured creditor of the Company.</w:t>
      </w:r>
    </w:p>
    <w:p>
      <w:pPr>
        <w:spacing w:after="0" w:line="152" w:lineRule="exact"/>
        <w:rPr>
          <w:sz w:val="20"/>
          <w:szCs w:val="20"/>
          <w:color w:val="auto"/>
        </w:rPr>
      </w:pPr>
    </w:p>
    <w:p>
      <w:pPr>
        <w:spacing w:after="0"/>
        <w:tabs>
          <w:tab w:leader="none" w:pos="420" w:val="left"/>
        </w:tabs>
        <w:rPr>
          <w:sz w:val="20"/>
          <w:szCs w:val="20"/>
          <w:color w:val="auto"/>
        </w:rPr>
      </w:pPr>
      <w:r>
        <w:rPr>
          <w:rFonts w:ascii="Arial" w:cs="Arial" w:eastAsia="Arial" w:hAnsi="Arial"/>
          <w:sz w:val="19"/>
          <w:szCs w:val="19"/>
          <w:u w:val="single" w:color="auto"/>
          <w:color w:val="auto"/>
        </w:rPr>
        <w:t>4.2</w:t>
      </w:r>
      <w:r>
        <w:rPr>
          <w:sz w:val="20"/>
          <w:szCs w:val="20"/>
          <w:color w:val="auto"/>
        </w:rPr>
        <w:tab/>
      </w:r>
      <w:r>
        <w:rPr>
          <w:rFonts w:ascii="Arial" w:cs="Arial" w:eastAsia="Arial" w:hAnsi="Arial"/>
          <w:sz w:val="17"/>
          <w:szCs w:val="17"/>
          <w:u w:val="single" w:color="auto"/>
          <w:color w:val="auto"/>
        </w:rPr>
        <w:t>Investment Elections</w:t>
      </w:r>
      <w:r>
        <w:rPr>
          <w:rFonts w:ascii="Arial" w:cs="Arial" w:eastAsia="Arial" w:hAnsi="Arial"/>
          <w:sz w:val="17"/>
          <w:szCs w:val="17"/>
          <w:color w:val="auto"/>
        </w:rPr>
        <w:t>.</w:t>
      </w:r>
    </w:p>
    <w:p>
      <w:pPr>
        <w:spacing w:after="0" w:line="178" w:lineRule="exact"/>
        <w:rPr>
          <w:sz w:val="20"/>
          <w:szCs w:val="20"/>
          <w:color w:val="auto"/>
        </w:rPr>
      </w:pPr>
    </w:p>
    <w:p>
      <w:pPr>
        <w:ind w:left="1580" w:hanging="571"/>
        <w:spacing w:after="0"/>
        <w:tabs>
          <w:tab w:leader="none" w:pos="1580" w:val="left"/>
        </w:tabs>
        <w:numPr>
          <w:ilvl w:val="0"/>
          <w:numId w:val="135"/>
        </w:numPr>
        <w:rPr>
          <w:rFonts w:ascii="Arial" w:cs="Arial" w:eastAsia="Arial" w:hAnsi="Arial"/>
          <w:sz w:val="19"/>
          <w:szCs w:val="19"/>
          <w:u w:val="single" w:color="auto"/>
          <w:color w:val="auto"/>
        </w:rPr>
      </w:pPr>
      <w:r>
        <w:rPr>
          <w:rFonts w:ascii="Arial" w:cs="Arial" w:eastAsia="Arial" w:hAnsi="Arial"/>
          <w:sz w:val="19"/>
          <w:szCs w:val="19"/>
          <w:u w:val="single" w:color="auto"/>
          <w:color w:val="auto"/>
        </w:rPr>
        <w:t>Executive Officers and Director Participants</w:t>
      </w:r>
      <w:r>
        <w:rPr>
          <w:rFonts w:ascii="Arial" w:cs="Arial" w:eastAsia="Arial" w:hAnsi="Arial"/>
          <w:sz w:val="19"/>
          <w:szCs w:val="19"/>
          <w:color w:val="auto"/>
        </w:rPr>
        <w:t>.</w:t>
      </w:r>
    </w:p>
    <w:p>
      <w:pPr>
        <w:spacing w:after="0" w:line="190" w:lineRule="exact"/>
        <w:rPr>
          <w:sz w:val="20"/>
          <w:szCs w:val="20"/>
          <w:color w:val="auto"/>
        </w:rPr>
      </w:pPr>
    </w:p>
    <w:p>
      <w:pPr>
        <w:ind w:left="-140" w:right="600" w:firstLine="1149"/>
        <w:spacing w:after="0" w:line="266" w:lineRule="auto"/>
        <w:tabs>
          <w:tab w:leader="none" w:pos="1590" w:val="left"/>
        </w:tabs>
        <w:numPr>
          <w:ilvl w:val="0"/>
          <w:numId w:val="136"/>
        </w:numPr>
        <w:rPr>
          <w:rFonts w:ascii="Arial" w:cs="Arial" w:eastAsia="Arial" w:hAnsi="Arial"/>
          <w:sz w:val="19"/>
          <w:szCs w:val="19"/>
          <w:color w:val="auto"/>
        </w:rPr>
      </w:pPr>
      <w:r>
        <w:rPr>
          <w:rFonts w:ascii="Arial" w:cs="Arial" w:eastAsia="Arial" w:hAnsi="Arial"/>
          <w:sz w:val="19"/>
          <w:szCs w:val="19"/>
          <w:u w:val="single" w:color="auto"/>
          <w:color w:val="auto"/>
        </w:rPr>
        <w:t>Deferral Accounts</w:t>
      </w:r>
      <w:r>
        <w:rPr>
          <w:rFonts w:ascii="Arial" w:cs="Arial" w:eastAsia="Arial" w:hAnsi="Arial"/>
          <w:sz w:val="19"/>
          <w:szCs w:val="19"/>
          <w:color w:val="auto"/>
        </w:rPr>
        <w:t>. Except as provided in Sections 4.2(a)(2) and 4.3, Participants who are either Executive Officers or Directors may designate how their Deferral Accounts shall be deemed to be invested under the Plan.</w:t>
      </w:r>
    </w:p>
    <w:p>
      <w:pPr>
        <w:spacing w:after="0" w:line="128" w:lineRule="exact"/>
        <w:rPr>
          <w:rFonts w:ascii="Arial" w:cs="Arial" w:eastAsia="Arial" w:hAnsi="Arial"/>
          <w:sz w:val="19"/>
          <w:szCs w:val="19"/>
          <w:color w:val="auto"/>
        </w:rPr>
      </w:pPr>
    </w:p>
    <w:p>
      <w:pPr>
        <w:ind w:left="440" w:right="240" w:firstLine="1146"/>
        <w:spacing w:after="0" w:line="266" w:lineRule="auto"/>
        <w:tabs>
          <w:tab w:leader="none" w:pos="2170" w:val="left"/>
        </w:tabs>
        <w:numPr>
          <w:ilvl w:val="1"/>
          <w:numId w:val="136"/>
        </w:numPr>
        <w:rPr>
          <w:rFonts w:ascii="Arial" w:cs="Arial" w:eastAsia="Arial" w:hAnsi="Arial"/>
          <w:sz w:val="19"/>
          <w:szCs w:val="19"/>
          <w:color w:val="auto"/>
        </w:rPr>
      </w:pPr>
      <w:r>
        <w:rPr>
          <w:rFonts w:ascii="Arial" w:cs="Arial" w:eastAsia="Arial" w:hAnsi="Arial"/>
          <w:sz w:val="19"/>
          <w:szCs w:val="19"/>
          <w:color w:val="auto"/>
        </w:rPr>
        <w:t>Such Participants may make separate investment elections for (I) their future deferrals of Compensation and (II) the existing balances of their Deferral Accounts.</w:t>
      </w:r>
    </w:p>
    <w:p>
      <w:pPr>
        <w:spacing w:after="0" w:line="128" w:lineRule="exact"/>
        <w:rPr>
          <w:rFonts w:ascii="Arial" w:cs="Arial" w:eastAsia="Arial" w:hAnsi="Arial"/>
          <w:sz w:val="19"/>
          <w:szCs w:val="19"/>
          <w:color w:val="auto"/>
        </w:rPr>
      </w:pPr>
    </w:p>
    <w:p>
      <w:pPr>
        <w:ind w:left="440" w:right="720" w:firstLine="1146"/>
        <w:spacing w:after="0" w:line="266" w:lineRule="auto"/>
        <w:tabs>
          <w:tab w:leader="none" w:pos="2170" w:val="left"/>
        </w:tabs>
        <w:numPr>
          <w:ilvl w:val="1"/>
          <w:numId w:val="136"/>
        </w:numPr>
        <w:rPr>
          <w:rFonts w:ascii="Arial" w:cs="Arial" w:eastAsia="Arial" w:hAnsi="Arial"/>
          <w:sz w:val="19"/>
          <w:szCs w:val="19"/>
          <w:color w:val="auto"/>
        </w:rPr>
      </w:pPr>
      <w:r>
        <w:rPr>
          <w:rFonts w:ascii="Arial" w:cs="Arial" w:eastAsia="Arial" w:hAnsi="Arial"/>
          <w:sz w:val="19"/>
          <w:szCs w:val="19"/>
          <w:color w:val="auto"/>
        </w:rPr>
        <w:t>Such Participants may make and change their investment elections by choosing from the Measurement Funds designated by the Committee in accordance with the procedures established by the Committee.</w:t>
      </w:r>
    </w:p>
    <w:p>
      <w:pPr>
        <w:spacing w:after="0" w:line="140" w:lineRule="exact"/>
        <w:rPr>
          <w:rFonts w:ascii="Arial" w:cs="Arial" w:eastAsia="Arial" w:hAnsi="Arial"/>
          <w:sz w:val="19"/>
          <w:szCs w:val="19"/>
          <w:color w:val="auto"/>
        </w:rPr>
      </w:pPr>
    </w:p>
    <w:p>
      <w:pPr>
        <w:ind w:left="440" w:right="40" w:firstLine="1146"/>
        <w:spacing w:after="0" w:line="252" w:lineRule="auto"/>
        <w:tabs>
          <w:tab w:leader="none" w:pos="2170" w:val="left"/>
        </w:tabs>
        <w:numPr>
          <w:ilvl w:val="1"/>
          <w:numId w:val="136"/>
        </w:numPr>
        <w:rPr>
          <w:rFonts w:ascii="Arial" w:cs="Arial" w:eastAsia="Arial" w:hAnsi="Arial"/>
          <w:sz w:val="19"/>
          <w:szCs w:val="19"/>
          <w:color w:val="auto"/>
        </w:rPr>
      </w:pPr>
      <w:r>
        <w:rPr>
          <w:rFonts w:ascii="Arial" w:cs="Arial" w:eastAsia="Arial" w:hAnsi="Arial"/>
          <w:sz w:val="19"/>
          <w:szCs w:val="19"/>
          <w:color w:val="auto"/>
        </w:rPr>
        <w:t>Except as otherwise designated by the Committee, the available Measurement Funds under this Section 4.2(a)(1) shall be the investment funds under the 401(k) Plan (excluding the Stable Value Fund and any brokerage account option). Additionally, for the Deferral Account only, there shall also be a Measurement Fund based on the Moody’s Plus Rate.</w:t>
      </w:r>
    </w:p>
    <w:p>
      <w:pPr>
        <w:spacing w:after="0" w:line="140" w:lineRule="exact"/>
        <w:rPr>
          <w:rFonts w:ascii="Arial" w:cs="Arial" w:eastAsia="Arial" w:hAnsi="Arial"/>
          <w:sz w:val="19"/>
          <w:szCs w:val="19"/>
          <w:color w:val="auto"/>
        </w:rPr>
      </w:pPr>
    </w:p>
    <w:p>
      <w:pPr>
        <w:ind w:left="440" w:right="280" w:firstLine="1146"/>
        <w:spacing w:after="0" w:line="266" w:lineRule="auto"/>
        <w:tabs>
          <w:tab w:leader="none" w:pos="2170" w:val="left"/>
        </w:tabs>
        <w:numPr>
          <w:ilvl w:val="1"/>
          <w:numId w:val="136"/>
        </w:numPr>
        <w:rPr>
          <w:rFonts w:ascii="Arial" w:cs="Arial" w:eastAsia="Arial" w:hAnsi="Arial"/>
          <w:sz w:val="19"/>
          <w:szCs w:val="19"/>
          <w:color w:val="auto"/>
        </w:rPr>
      </w:pPr>
      <w:r>
        <w:rPr>
          <w:rFonts w:ascii="Arial" w:cs="Arial" w:eastAsia="Arial" w:hAnsi="Arial"/>
          <w:sz w:val="19"/>
          <w:szCs w:val="19"/>
          <w:color w:val="auto"/>
        </w:rPr>
        <w:t>If a Participant fails to elect a Measurement Fund under this Section, he shall be deemed to have elected the default Measurement Fund (as designated by the Committee) for all of his Accounts.</w:t>
      </w:r>
    </w:p>
    <w:p>
      <w:pPr>
        <w:spacing w:after="0" w:line="89" w:lineRule="exact"/>
        <w:rPr>
          <w:sz w:val="20"/>
          <w:szCs w:val="20"/>
          <w:color w:val="auto"/>
        </w:rPr>
      </w:pPr>
    </w:p>
    <w:tbl>
      <w:tblPr>
        <w:tblLayout w:type="fixed"/>
        <w:tblInd w:w="1000" w:type="dxa"/>
        <w:tblCellMar>
          <w:top w:w="0" w:type="dxa"/>
          <w:left w:w="0" w:type="dxa"/>
          <w:bottom w:w="0" w:type="dxa"/>
          <w:right w:w="0" w:type="dxa"/>
        </w:tblCellMar>
      </w:tblPr>
      <w:tr>
        <w:trPr>
          <w:trHeight w:val="238"/>
        </w:trPr>
        <w:tc>
          <w:tcPr>
            <w:tcW w:w="980" w:type="dxa"/>
            <w:vAlign w:val="bottom"/>
            <w:gridSpan w:val="2"/>
          </w:tcPr>
          <w:p>
            <w:pPr>
              <w:jc w:val="right"/>
              <w:ind w:right="740"/>
              <w:spacing w:after="0"/>
              <w:rPr>
                <w:sz w:val="20"/>
                <w:szCs w:val="20"/>
                <w:color w:val="auto"/>
              </w:rPr>
            </w:pPr>
            <w:r>
              <w:rPr>
                <w:rFonts w:ascii="Arial" w:cs="Arial" w:eastAsia="Arial" w:hAnsi="Arial"/>
                <w:sz w:val="19"/>
                <w:szCs w:val="19"/>
                <w:color w:val="auto"/>
                <w:w w:val="94"/>
              </w:rPr>
              <w:t>(2)</w:t>
            </w:r>
          </w:p>
        </w:tc>
        <w:tc>
          <w:tcPr>
            <w:tcW w:w="9040" w:type="dxa"/>
            <w:vAlign w:val="bottom"/>
            <w:gridSpan w:val="3"/>
          </w:tcPr>
          <w:p>
            <w:pPr>
              <w:ind w:left="760"/>
              <w:spacing w:after="0"/>
              <w:rPr>
                <w:sz w:val="20"/>
                <w:szCs w:val="20"/>
                <w:color w:val="auto"/>
              </w:rPr>
            </w:pPr>
            <w:r>
              <w:rPr>
                <w:rFonts w:ascii="Arial" w:cs="Arial" w:eastAsia="Arial" w:hAnsi="Arial"/>
                <w:sz w:val="19"/>
                <w:szCs w:val="19"/>
                <w:color w:val="auto"/>
                <w:w w:val="96"/>
              </w:rPr>
              <w:t>Company Matching Account and Certain Deferral Subaccounts. The Company Matching Contributions</w:t>
            </w:r>
          </w:p>
        </w:tc>
      </w:tr>
      <w:tr>
        <w:trPr>
          <w:trHeight w:val="20"/>
        </w:trPr>
        <w:tc>
          <w:tcPr>
            <w:tcW w:w="240" w:type="dxa"/>
            <w:vAlign w:val="bottom"/>
            <w:tcBorders>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880" w:type="dxa"/>
            <w:vAlign w:val="bottom"/>
            <w:shd w:val="clear" w:color="auto" w:fill="000000"/>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r>
      <w:tr>
        <w:trPr>
          <w:trHeight w:val="193"/>
        </w:trPr>
        <w:tc>
          <w:tcPr>
            <w:tcW w:w="2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9040" w:type="dxa"/>
            <w:vAlign w:val="bottom"/>
            <w:gridSpan w:val="3"/>
          </w:tcPr>
          <w:p>
            <w:pPr>
              <w:ind w:left="760"/>
              <w:spacing w:after="0" w:line="193" w:lineRule="exact"/>
              <w:rPr>
                <w:sz w:val="20"/>
                <w:szCs w:val="20"/>
                <w:color w:val="auto"/>
              </w:rPr>
            </w:pPr>
            <w:r>
              <w:rPr>
                <w:rFonts w:ascii="Arial" w:cs="Arial" w:eastAsia="Arial" w:hAnsi="Arial"/>
                <w:sz w:val="19"/>
                <w:szCs w:val="19"/>
                <w:color w:val="auto"/>
                <w:w w:val="91"/>
              </w:rPr>
              <w:t>credited to a Participant’s Company Matching Account, and the deferrals of a Participant’s Restricted Stock</w:t>
            </w:r>
          </w:p>
        </w:tc>
      </w:tr>
      <w:tr>
        <w:trPr>
          <w:trHeight w:val="216"/>
        </w:trPr>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040" w:type="dxa"/>
            <w:vAlign w:val="bottom"/>
            <w:gridSpan w:val="3"/>
          </w:tcPr>
          <w:p>
            <w:pPr>
              <w:ind w:left="760"/>
              <w:spacing w:after="0" w:line="216" w:lineRule="exact"/>
              <w:rPr>
                <w:sz w:val="20"/>
                <w:szCs w:val="20"/>
                <w:color w:val="auto"/>
              </w:rPr>
            </w:pPr>
            <w:r>
              <w:rPr>
                <w:rFonts w:ascii="Arial" w:cs="Arial" w:eastAsia="Arial" w:hAnsi="Arial"/>
                <w:sz w:val="19"/>
                <w:szCs w:val="19"/>
                <w:color w:val="auto"/>
                <w:w w:val="97"/>
              </w:rPr>
              <w:t>Units and Stock Option Gains credited to such Participant’s Deferral Account shall be initially deemed</w:t>
            </w:r>
          </w:p>
        </w:tc>
      </w:tr>
      <w:tr>
        <w:trPr>
          <w:trHeight w:val="216"/>
        </w:trPr>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040" w:type="dxa"/>
            <w:vAlign w:val="bottom"/>
            <w:gridSpan w:val="3"/>
          </w:tcPr>
          <w:p>
            <w:pPr>
              <w:ind w:left="760"/>
              <w:spacing w:after="0" w:line="216" w:lineRule="exact"/>
              <w:rPr>
                <w:sz w:val="20"/>
                <w:szCs w:val="20"/>
                <w:color w:val="auto"/>
              </w:rPr>
            </w:pPr>
            <w:r>
              <w:rPr>
                <w:rFonts w:ascii="Arial" w:cs="Arial" w:eastAsia="Arial" w:hAnsi="Arial"/>
                <w:sz w:val="19"/>
                <w:szCs w:val="19"/>
                <w:color w:val="auto"/>
                <w:w w:val="94"/>
              </w:rPr>
              <w:t>invested in the Sempra Energy Stock Fund. A Participant may direct the investment of the balance of his</w:t>
            </w:r>
          </w:p>
        </w:tc>
      </w:tr>
      <w:tr>
        <w:trPr>
          <w:trHeight w:val="216"/>
        </w:trPr>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040" w:type="dxa"/>
            <w:vAlign w:val="bottom"/>
            <w:gridSpan w:val="3"/>
          </w:tcPr>
          <w:p>
            <w:pPr>
              <w:ind w:left="760"/>
              <w:spacing w:after="0" w:line="216" w:lineRule="exact"/>
              <w:rPr>
                <w:sz w:val="20"/>
                <w:szCs w:val="20"/>
                <w:color w:val="auto"/>
              </w:rPr>
            </w:pPr>
            <w:r>
              <w:rPr>
                <w:rFonts w:ascii="Arial" w:cs="Arial" w:eastAsia="Arial" w:hAnsi="Arial"/>
                <w:sz w:val="19"/>
                <w:szCs w:val="19"/>
                <w:color w:val="auto"/>
                <w:w w:val="95"/>
              </w:rPr>
              <w:t>Company Matching Account or the Restricted Stock Unit and the Stock Option Gain subaccounts of the</w:t>
            </w:r>
          </w:p>
        </w:tc>
      </w:tr>
      <w:tr>
        <w:trPr>
          <w:trHeight w:val="245"/>
        </w:trPr>
        <w:tc>
          <w:tcPr>
            <w:tcW w:w="2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040" w:type="dxa"/>
            <w:vAlign w:val="bottom"/>
            <w:gridSpan w:val="3"/>
          </w:tcPr>
          <w:p>
            <w:pPr>
              <w:ind w:left="760"/>
              <w:spacing w:after="0"/>
              <w:rPr>
                <w:sz w:val="20"/>
                <w:szCs w:val="20"/>
                <w:color w:val="auto"/>
              </w:rPr>
            </w:pPr>
            <w:r>
              <w:rPr>
                <w:rFonts w:ascii="Arial" w:cs="Arial" w:eastAsia="Arial" w:hAnsi="Arial"/>
                <w:sz w:val="19"/>
                <w:szCs w:val="19"/>
                <w:color w:val="auto"/>
              </w:rPr>
              <w:t>Deferral Account into any other Measurement Fund, as permitted by the Committee.</w:t>
            </w:r>
          </w:p>
        </w:tc>
      </w:tr>
    </w:tbl>
    <w:p>
      <w:pPr>
        <w:spacing w:after="0" w:line="163" w:lineRule="exact"/>
        <w:rPr>
          <w:sz w:val="20"/>
          <w:szCs w:val="20"/>
          <w:color w:val="auto"/>
        </w:rPr>
      </w:pPr>
    </w:p>
    <w:p>
      <w:pPr>
        <w:ind w:left="1580" w:hanging="571"/>
        <w:spacing w:after="0"/>
        <w:tabs>
          <w:tab w:leader="none" w:pos="1580" w:val="left"/>
        </w:tabs>
        <w:numPr>
          <w:ilvl w:val="0"/>
          <w:numId w:val="137"/>
        </w:numPr>
        <w:rPr>
          <w:rFonts w:ascii="Arial" w:cs="Arial" w:eastAsia="Arial" w:hAnsi="Arial"/>
          <w:sz w:val="19"/>
          <w:szCs w:val="19"/>
          <w:u w:val="single" w:color="auto"/>
          <w:color w:val="auto"/>
        </w:rPr>
      </w:pPr>
      <w:r>
        <w:rPr>
          <w:rFonts w:ascii="Arial" w:cs="Arial" w:eastAsia="Arial" w:hAnsi="Arial"/>
          <w:sz w:val="19"/>
          <w:szCs w:val="19"/>
          <w:u w:val="single" w:color="auto"/>
          <w:color w:val="auto"/>
        </w:rPr>
        <w:t>Manager Participants</w:t>
      </w:r>
      <w:r>
        <w:rPr>
          <w:rFonts w:ascii="Arial" w:cs="Arial" w:eastAsia="Arial" w:hAnsi="Arial"/>
          <w:sz w:val="19"/>
          <w:szCs w:val="19"/>
          <w:color w:val="auto"/>
        </w:rPr>
        <w:t>.</w:t>
      </w:r>
    </w:p>
    <w:p>
      <w:pPr>
        <w:spacing w:after="0" w:line="178" w:lineRule="exact"/>
        <w:rPr>
          <w:sz w:val="20"/>
          <w:szCs w:val="20"/>
          <w:color w:val="auto"/>
        </w:rPr>
      </w:pPr>
    </w:p>
    <w:p>
      <w:pPr>
        <w:ind w:left="-140" w:right="420" w:firstLine="1149"/>
        <w:spacing w:after="0" w:line="266" w:lineRule="auto"/>
        <w:tabs>
          <w:tab w:leader="none" w:pos="1590" w:val="left"/>
        </w:tabs>
        <w:numPr>
          <w:ilvl w:val="0"/>
          <w:numId w:val="138"/>
        </w:numPr>
        <w:rPr>
          <w:rFonts w:ascii="Arial" w:cs="Arial" w:eastAsia="Arial" w:hAnsi="Arial"/>
          <w:sz w:val="19"/>
          <w:szCs w:val="19"/>
          <w:color w:val="auto"/>
        </w:rPr>
      </w:pPr>
      <w:r>
        <w:rPr>
          <w:rFonts w:ascii="Arial" w:cs="Arial" w:eastAsia="Arial" w:hAnsi="Arial"/>
          <w:sz w:val="19"/>
          <w:szCs w:val="19"/>
          <w:u w:val="single" w:color="auto"/>
          <w:color w:val="auto"/>
        </w:rPr>
        <w:t>Deferral Account</w:t>
      </w:r>
      <w:r>
        <w:rPr>
          <w:rFonts w:ascii="Arial" w:cs="Arial" w:eastAsia="Arial" w:hAnsi="Arial"/>
          <w:sz w:val="19"/>
          <w:szCs w:val="19"/>
          <w:color w:val="auto"/>
        </w:rPr>
        <w:t>. Any Participant who is a Manager shall have his Deferral Account invested in the Measurement Fund based on the Moody’s Plus Rate, except as otherwise permitted by the Committee.</w:t>
      </w:r>
    </w:p>
    <w:p>
      <w:pPr>
        <w:spacing w:after="0" w:line="128" w:lineRule="exact"/>
        <w:rPr>
          <w:rFonts w:ascii="Arial" w:cs="Arial" w:eastAsia="Arial" w:hAnsi="Arial"/>
          <w:sz w:val="19"/>
          <w:szCs w:val="19"/>
          <w:color w:val="auto"/>
        </w:rPr>
      </w:pPr>
    </w:p>
    <w:p>
      <w:pPr>
        <w:ind w:left="-140" w:right="80" w:firstLine="1149"/>
        <w:spacing w:after="0" w:line="252" w:lineRule="auto"/>
        <w:tabs>
          <w:tab w:leader="none" w:pos="1590" w:val="left"/>
        </w:tabs>
        <w:numPr>
          <w:ilvl w:val="0"/>
          <w:numId w:val="138"/>
        </w:numPr>
        <w:rPr>
          <w:rFonts w:ascii="Arial" w:cs="Arial" w:eastAsia="Arial" w:hAnsi="Arial"/>
          <w:sz w:val="19"/>
          <w:szCs w:val="19"/>
          <w:color w:val="auto"/>
        </w:rPr>
      </w:pPr>
      <w:r>
        <w:rPr>
          <w:rFonts w:ascii="Arial" w:cs="Arial" w:eastAsia="Arial" w:hAnsi="Arial"/>
          <w:sz w:val="19"/>
          <w:szCs w:val="19"/>
          <w:u w:val="single" w:color="auto"/>
          <w:color w:val="auto"/>
        </w:rPr>
        <w:t>Company Matching Account</w:t>
      </w:r>
      <w:r>
        <w:rPr>
          <w:rFonts w:ascii="Arial" w:cs="Arial" w:eastAsia="Arial" w:hAnsi="Arial"/>
          <w:sz w:val="19"/>
          <w:szCs w:val="19"/>
          <w:color w:val="auto"/>
        </w:rPr>
        <w:t>. The Company Matching Contributions credited to a Participant’s Company Matching Account shall be initially deemed invested in the Sempra Energy Stock Fund. A Participant may direct the investment of the balance of his Company Matching Account into any other Measurement Fund, as permitted by the Committee.</w:t>
      </w:r>
    </w:p>
    <w:p>
      <w:pPr>
        <w:spacing w:after="0" w:line="153" w:lineRule="exact"/>
        <w:rPr>
          <w:sz w:val="20"/>
          <w:szCs w:val="20"/>
          <w:color w:val="auto"/>
        </w:rPr>
      </w:pPr>
    </w:p>
    <w:p>
      <w:pPr>
        <w:ind w:left="1580" w:right="80" w:hanging="571"/>
        <w:spacing w:after="0" w:line="247" w:lineRule="auto"/>
        <w:tabs>
          <w:tab w:leader="none" w:pos="1580" w:val="left"/>
        </w:tabs>
        <w:numPr>
          <w:ilvl w:val="0"/>
          <w:numId w:val="139"/>
        </w:numPr>
        <w:rPr>
          <w:rFonts w:ascii="Arial" w:cs="Arial" w:eastAsia="Arial" w:hAnsi="Arial"/>
          <w:sz w:val="19"/>
          <w:szCs w:val="19"/>
          <w:u w:val="single" w:color="auto"/>
          <w:color w:val="auto"/>
        </w:rPr>
      </w:pPr>
      <w:r>
        <w:rPr>
          <w:rFonts w:ascii="Arial" w:cs="Arial" w:eastAsia="Arial" w:hAnsi="Arial"/>
          <w:sz w:val="19"/>
          <w:szCs w:val="19"/>
          <w:u w:val="single" w:color="auto"/>
          <w:color w:val="auto"/>
        </w:rPr>
        <w:t>Continuing Investment Elections.</w:t>
      </w:r>
      <w:r>
        <w:rPr>
          <w:rFonts w:ascii="Arial" w:cs="Arial" w:eastAsia="Arial" w:hAnsi="Arial"/>
          <w:sz w:val="19"/>
          <w:szCs w:val="19"/>
          <w:color w:val="auto"/>
        </w:rPr>
        <w:t xml:space="preserve"> Participants who have had a Retirement or Termination but not yet commenced distributions under Article VII or Participants or Beneficiaries who are receiving installment payments may continue to make investment elections pursuant to subsection (a) and (b) above, as applicable, except as otherwise determined by the Committee.</w:t>
      </w:r>
    </w:p>
    <w:p>
      <w:pPr>
        <w:spacing w:after="0" w:line="146" w:lineRule="exact"/>
        <w:rPr>
          <w:sz w:val="20"/>
          <w:szCs w:val="20"/>
          <w:color w:val="auto"/>
        </w:rPr>
      </w:pPr>
    </w:p>
    <w:p>
      <w:pPr>
        <w:spacing w:after="0"/>
        <w:tabs>
          <w:tab w:leader="none" w:pos="560" w:val="left"/>
        </w:tabs>
        <w:rPr>
          <w:sz w:val="20"/>
          <w:szCs w:val="20"/>
          <w:color w:val="auto"/>
        </w:rPr>
      </w:pPr>
      <w:r>
        <w:rPr>
          <w:rFonts w:ascii="Arial" w:cs="Arial" w:eastAsia="Arial" w:hAnsi="Arial"/>
          <w:sz w:val="19"/>
          <w:szCs w:val="19"/>
          <w:color w:val="auto"/>
        </w:rPr>
        <w:t>4.3</w:t>
      </w:r>
      <w:r>
        <w:rPr>
          <w:sz w:val="20"/>
          <w:szCs w:val="20"/>
          <w:color w:val="auto"/>
        </w:rPr>
        <w:tab/>
      </w:r>
      <w:r>
        <w:rPr>
          <w:rFonts w:ascii="Arial" w:cs="Arial" w:eastAsia="Arial" w:hAnsi="Arial"/>
          <w:sz w:val="17"/>
          <w:szCs w:val="17"/>
          <w:color w:val="auto"/>
        </w:rPr>
        <w:t>Compliance with Section 16 of the Exchange Act.</w:t>
      </w:r>
    </w:p>
    <w:p>
      <w:pPr>
        <w:spacing w:after="0" w:line="190" w:lineRule="exact"/>
        <w:rPr>
          <w:sz w:val="20"/>
          <w:szCs w:val="20"/>
          <w:color w:val="auto"/>
        </w:rPr>
      </w:pPr>
    </w:p>
    <w:p>
      <w:pPr>
        <w:ind w:left="1580" w:right="160" w:hanging="571"/>
        <w:spacing w:after="0" w:line="259" w:lineRule="auto"/>
        <w:tabs>
          <w:tab w:leader="none" w:pos="158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Any Participant or Beneficiary who is subject to Section 16 of the Exchange Act shall have his Measurement Fund elections under the Plan subject to the requirements of the Exchange Act, as interpreted by the Committee. Any such Participant or Beneficiary who elects to have any portion of his Deferral Account or his future deferrals (pursuant to Section 3.1) either (i) invested in the Sempra Energy Stock Fund or (ii) transferred from the Sempra Energy Stock Fund to another available Measurement Fund under the Plan may not make an election with the opposite effect under this Plan or any other Company-sponsored plan until six months and one day following the original election.</w:t>
      </w:r>
    </w:p>
    <w:p>
      <w:pPr>
        <w:spacing w:after="0" w:line="137" w:lineRule="exact"/>
        <w:rPr>
          <w:rFonts w:ascii="Arial" w:cs="Arial" w:eastAsia="Arial" w:hAnsi="Arial"/>
          <w:sz w:val="18"/>
          <w:szCs w:val="18"/>
          <w:color w:val="auto"/>
        </w:rPr>
      </w:pPr>
    </w:p>
    <w:p>
      <w:pPr>
        <w:ind w:left="1580" w:hanging="571"/>
        <w:spacing w:after="0" w:line="261" w:lineRule="auto"/>
        <w:tabs>
          <w:tab w:leader="none" w:pos="158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Notwithstanding any other provision of the Plan or any rule, instruction, election form or other form, the Plan and any such rule, instruction or form shall be subject to any additional conditions or limitations set forth in any applicable exemptive rule under Section 16 of the Exchange Act (including any amendment to Rule 16b-3) that are requirements for the application of such exemptive rule. To the extent permitted by applicable law, such Plan provision, rule, instruction or form shall be deemed amended to the extent necessary to conform to such applicable exemptive rule.</w:t>
      </w:r>
    </w:p>
    <w:p>
      <w:pPr>
        <w:spacing w:after="0" w:line="142" w:lineRule="exact"/>
        <w:rPr>
          <w:sz w:val="20"/>
          <w:szCs w:val="20"/>
          <w:color w:val="auto"/>
        </w:rPr>
      </w:pPr>
    </w:p>
    <w:p>
      <w:pPr>
        <w:ind w:left="5040"/>
        <w:spacing w:after="0"/>
        <w:rPr>
          <w:sz w:val="20"/>
          <w:szCs w:val="20"/>
          <w:color w:val="auto"/>
        </w:rPr>
      </w:pPr>
      <w:r>
        <w:rPr>
          <w:rFonts w:ascii="Arial" w:cs="Arial" w:eastAsia="Arial" w:hAnsi="Arial"/>
          <w:sz w:val="19"/>
          <w:szCs w:val="19"/>
          <w:b w:val="1"/>
          <w:bCs w:val="1"/>
          <w:color w:val="auto"/>
        </w:rPr>
        <w:t>ARTICLE V.</w:t>
      </w:r>
    </w:p>
    <w:p>
      <w:pPr>
        <w:spacing w:after="0" w:line="20" w:lineRule="exact"/>
        <w:rPr>
          <w:sz w:val="20"/>
          <w:szCs w:val="20"/>
          <w:color w:val="auto"/>
        </w:rPr>
      </w:pPr>
    </w:p>
    <w:p>
      <w:pPr>
        <w:ind w:left="5320"/>
        <w:spacing w:after="0"/>
        <w:rPr>
          <w:sz w:val="20"/>
          <w:szCs w:val="20"/>
          <w:color w:val="auto"/>
        </w:rPr>
      </w:pPr>
      <w:r>
        <w:rPr>
          <w:rFonts w:ascii="Arial" w:cs="Arial" w:eastAsia="Arial" w:hAnsi="Arial"/>
          <w:sz w:val="19"/>
          <w:szCs w:val="19"/>
          <w:b w:val="1"/>
          <w:bCs w:val="1"/>
          <w:u w:val="single" w:color="auto"/>
          <w:color w:val="auto"/>
        </w:rPr>
        <w:t>ACCOUNTS</w:t>
      </w:r>
    </w:p>
    <w:p>
      <w:pPr>
        <w:sectPr>
          <w:pgSz w:w="11900" w:h="16856" w:orient="portrait"/>
          <w:cols w:equalWidth="0" w:num="1">
            <w:col w:w="11300"/>
          </w:cols>
          <w:pgMar w:left="380" w:top="120" w:right="219" w:bottom="0" w:gutter="0" w:footer="0" w:header="0"/>
        </w:sectPr>
      </w:pPr>
    </w:p>
    <w:bookmarkStart w:id="104" w:name="page105"/>
    <w:bookmarkEnd w:id="104"/>
    <w:p>
      <w:pPr>
        <w:spacing w:after="0" w:line="22" w:lineRule="exact"/>
        <w:rPr>
          <w:sz w:val="20"/>
          <w:szCs w:val="20"/>
          <w:color w:val="auto"/>
        </w:rPr>
      </w:pPr>
    </w:p>
    <w:p>
      <w:pPr>
        <w:ind w:left="140"/>
        <w:spacing w:after="0"/>
        <w:tabs>
          <w:tab w:leader="none" w:pos="560" w:val="left"/>
        </w:tabs>
        <w:rPr>
          <w:sz w:val="20"/>
          <w:szCs w:val="20"/>
          <w:color w:val="auto"/>
        </w:rPr>
      </w:pPr>
      <w:r>
        <w:rPr>
          <w:rFonts w:ascii="Arial" w:cs="Arial" w:eastAsia="Arial" w:hAnsi="Arial"/>
          <w:sz w:val="19"/>
          <w:szCs w:val="19"/>
          <w:u w:val="single" w:color="auto"/>
          <w:color w:val="auto"/>
        </w:rPr>
        <w:t>5.1</w:t>
      </w:r>
      <w:r>
        <w:rPr>
          <w:sz w:val="20"/>
          <w:szCs w:val="20"/>
          <w:color w:val="auto"/>
        </w:rPr>
        <w:tab/>
      </w:r>
      <w:r>
        <w:rPr>
          <w:rFonts w:ascii="Arial" w:cs="Arial" w:eastAsia="Arial" w:hAnsi="Arial"/>
          <w:sz w:val="17"/>
          <w:szCs w:val="17"/>
          <w:u w:val="single" w:color="auto"/>
          <w:color w:val="auto"/>
        </w:rPr>
        <w:t>Accounts</w:t>
      </w:r>
      <w:r>
        <w:rPr>
          <w:rFonts w:ascii="Arial" w:cs="Arial" w:eastAsia="Arial" w:hAnsi="Arial"/>
          <w:sz w:val="17"/>
          <w:szCs w:val="17"/>
          <w:color w:val="auto"/>
        </w:rPr>
        <w:t>.</w:t>
      </w:r>
    </w:p>
    <w:p>
      <w:pPr>
        <w:spacing w:after="0" w:line="179" w:lineRule="exact"/>
        <w:rPr>
          <w:sz w:val="20"/>
          <w:szCs w:val="20"/>
          <w:color w:val="auto"/>
        </w:rPr>
      </w:pPr>
    </w:p>
    <w:p>
      <w:pPr>
        <w:ind w:left="1720" w:right="100" w:hanging="571"/>
        <w:spacing w:after="0" w:line="261" w:lineRule="auto"/>
        <w:tabs>
          <w:tab w:leader="none" w:pos="172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The Committee shall establish and maintain a Deferral Account, and a Company Matching Account for each Participant under the Plan. Each Participant’s Accounts shall be divided into separate subaccounts in accordance with Section 5.2. Each such subaccount shall be further divided into separate investment fund subaccounts, each of which corresponds to a Measurement Fund elected by the Participant pursuant to Section 4.2. In addition, Participants’ Deferral Accounts may be further divided into subaccounts consisting of deferred Restricted Stock Units and deferred Stock Option Gains.</w:t>
      </w:r>
    </w:p>
    <w:p>
      <w:pPr>
        <w:spacing w:after="0" w:line="147" w:lineRule="exact"/>
        <w:rPr>
          <w:rFonts w:ascii="Arial" w:cs="Arial" w:eastAsia="Arial" w:hAnsi="Arial"/>
          <w:sz w:val="18"/>
          <w:szCs w:val="18"/>
          <w:color w:val="auto"/>
        </w:rPr>
      </w:pPr>
    </w:p>
    <w:p>
      <w:pPr>
        <w:ind w:left="1720" w:hanging="571"/>
        <w:spacing w:after="0" w:line="270" w:lineRule="auto"/>
        <w:tabs>
          <w:tab w:leader="none" w:pos="1720" w:val="left"/>
        </w:tabs>
        <w:numPr>
          <w:ilvl w:val="0"/>
          <w:numId w:val="141"/>
        </w:numPr>
        <w:rPr>
          <w:rFonts w:ascii="Arial" w:cs="Arial" w:eastAsia="Arial" w:hAnsi="Arial"/>
          <w:sz w:val="17"/>
          <w:szCs w:val="17"/>
          <w:color w:val="auto"/>
        </w:rPr>
      </w:pPr>
      <w:r>
        <w:rPr>
          <w:rFonts w:ascii="Arial" w:cs="Arial" w:eastAsia="Arial" w:hAnsi="Arial"/>
          <w:sz w:val="17"/>
          <w:szCs w:val="17"/>
          <w:color w:val="auto"/>
        </w:rPr>
        <w:t>The performance of each elected Measurement Fund (either positive or negative) shall be determined by the Committee, in its reasonable discretion, based on the performance of the Measurement Funds themselves. A Participant’s Accounts shall be credited or debited on each Valuation Date based on the performance of each Measurement Fund selected by the Participant, as determined by the Committee in its sole discretion, as though (i) a Participant’s Accounts were invested in the Measurement Fund(s) selected by the Participant, in the percentages applicable to such period, as of the close of business on the first business day of such period, at the closing price on such date; (ii) the portion of the Participant's Compensation that was actually deferred pursuant to Section 3.1 during any period were invested in the Measurement Fund(s) selected b y the Participant, in the percentages applicable to such period, no later than the close of business on the first business day after the day on which such amounts are actually deferred from the Participant’s Compensation, at the closing price on such date; and (iii) any withdrawal or distribution made to a Participant that decreases such Participant’s Accounts ceased being invested in the Measurement Fund(s), in the percentages applicable to such period, no earlier than one business day prior to the distribution, at the closing price on such date. The Participant’s Company Matching Contribution for a Plan Year shall be credited to his Company Matching Account for purposes of this Section, in the manner determined on the first day of the Election Period for such Plan Year, as determined by the Committee.</w:t>
      </w:r>
    </w:p>
    <w:p>
      <w:pPr>
        <w:spacing w:after="0" w:line="129" w:lineRule="exact"/>
        <w:rPr>
          <w:sz w:val="20"/>
          <w:szCs w:val="20"/>
          <w:color w:val="auto"/>
        </w:rPr>
      </w:pPr>
    </w:p>
    <w:p>
      <w:pPr>
        <w:ind w:left="140"/>
        <w:spacing w:after="0"/>
        <w:tabs>
          <w:tab w:leader="none" w:pos="560" w:val="left"/>
        </w:tabs>
        <w:rPr>
          <w:sz w:val="20"/>
          <w:szCs w:val="20"/>
          <w:color w:val="auto"/>
        </w:rPr>
      </w:pPr>
      <w:r>
        <w:rPr>
          <w:rFonts w:ascii="Arial" w:cs="Arial" w:eastAsia="Arial" w:hAnsi="Arial"/>
          <w:sz w:val="19"/>
          <w:szCs w:val="19"/>
          <w:u w:val="single" w:color="auto"/>
          <w:color w:val="auto"/>
        </w:rPr>
        <w:t>5.2</w:t>
      </w:r>
      <w:r>
        <w:rPr>
          <w:sz w:val="20"/>
          <w:szCs w:val="20"/>
          <w:color w:val="auto"/>
        </w:rPr>
        <w:tab/>
      </w:r>
      <w:r>
        <w:rPr>
          <w:rFonts w:ascii="Arial" w:cs="Arial" w:eastAsia="Arial" w:hAnsi="Arial"/>
          <w:sz w:val="16"/>
          <w:szCs w:val="16"/>
          <w:u w:val="single" w:color="auto"/>
          <w:color w:val="auto"/>
        </w:rPr>
        <w:t>Subaccounts</w:t>
      </w:r>
      <w:r>
        <w:rPr>
          <w:rFonts w:ascii="Arial" w:cs="Arial" w:eastAsia="Arial" w:hAnsi="Arial"/>
          <w:sz w:val="16"/>
          <w:szCs w:val="16"/>
          <w:color w:val="auto"/>
        </w:rPr>
        <w:t>.</w:t>
      </w:r>
    </w:p>
    <w:p>
      <w:pPr>
        <w:spacing w:after="0" w:line="178" w:lineRule="exact"/>
        <w:rPr>
          <w:sz w:val="20"/>
          <w:szCs w:val="20"/>
          <w:color w:val="auto"/>
        </w:rPr>
      </w:pPr>
    </w:p>
    <w:p>
      <w:pPr>
        <w:jc w:val="both"/>
        <w:ind w:left="1720" w:right="260" w:hanging="571"/>
        <w:spacing w:after="0" w:line="285" w:lineRule="auto"/>
        <w:tabs>
          <w:tab w:leader="none" w:pos="1720" w:val="left"/>
        </w:tabs>
        <w:numPr>
          <w:ilvl w:val="0"/>
          <w:numId w:val="142"/>
        </w:numPr>
        <w:rPr>
          <w:rFonts w:ascii="Arial" w:cs="Arial" w:eastAsia="Arial" w:hAnsi="Arial"/>
          <w:sz w:val="17"/>
          <w:szCs w:val="17"/>
          <w:color w:val="auto"/>
        </w:rPr>
      </w:pPr>
      <w:r>
        <w:rPr>
          <w:rFonts w:ascii="Arial" w:cs="Arial" w:eastAsia="Arial" w:hAnsi="Arial"/>
          <w:sz w:val="17"/>
          <w:szCs w:val="17"/>
          <w:color w:val="auto"/>
        </w:rPr>
        <w:t>The Committee shall establish and maintain, with respect to a Participant’s Deferral Account, a subaccount with respect to each Plan Year, to which shall be credited the amount equal to the portion of the Participant’s Compensation earned during such Plan Year that he elects to defer pursuant to Section 3.1, debited by amounts equal to distributions to and withdrawals made by the Participant and/or his Beneficiary and adjusted for investment earnings and losses pursuant to Article V.</w:t>
      </w:r>
    </w:p>
    <w:p>
      <w:pPr>
        <w:spacing w:after="0" w:line="128" w:lineRule="exact"/>
        <w:rPr>
          <w:rFonts w:ascii="Arial" w:cs="Arial" w:eastAsia="Arial" w:hAnsi="Arial"/>
          <w:sz w:val="17"/>
          <w:szCs w:val="17"/>
          <w:color w:val="auto"/>
        </w:rPr>
      </w:pPr>
    </w:p>
    <w:p>
      <w:pPr>
        <w:ind w:left="1720" w:right="60" w:hanging="571"/>
        <w:spacing w:after="0" w:line="280" w:lineRule="auto"/>
        <w:tabs>
          <w:tab w:leader="none" w:pos="1720" w:val="left"/>
        </w:tabs>
        <w:numPr>
          <w:ilvl w:val="0"/>
          <w:numId w:val="142"/>
        </w:numPr>
        <w:rPr>
          <w:rFonts w:ascii="Arial" w:cs="Arial" w:eastAsia="Arial" w:hAnsi="Arial"/>
          <w:sz w:val="17"/>
          <w:szCs w:val="17"/>
          <w:color w:val="auto"/>
        </w:rPr>
      </w:pPr>
      <w:r>
        <w:rPr>
          <w:rFonts w:ascii="Arial" w:cs="Arial" w:eastAsia="Arial" w:hAnsi="Arial"/>
          <w:sz w:val="17"/>
          <w:szCs w:val="17"/>
          <w:color w:val="auto"/>
        </w:rPr>
        <w:t>The Committee shall establish and maintain, with respect to a Participant’s Company Matching Account, a subaccount with respect to each Plan Year, to which shall be credited the amount equal to the Company Matching Contributions made pursuant to Section 3.3 on behalf of such Participant in respect of such Participant’s Compensation earned during such Plan Year that he elects to defer pursuant to Section 3.1, debited by amounts equal to distributions to and withdrawals made by the Participant and/or his Beneficiary and adjusted for investment earnings and losses pursuant to Article V.</w:t>
      </w:r>
    </w:p>
    <w:p>
      <w:pPr>
        <w:spacing w:after="0" w:line="127" w:lineRule="exact"/>
        <w:rPr>
          <w:sz w:val="20"/>
          <w:szCs w:val="20"/>
          <w:color w:val="auto"/>
        </w:rPr>
      </w:pPr>
    </w:p>
    <w:p>
      <w:pPr>
        <w:ind w:left="5120"/>
        <w:spacing w:after="0"/>
        <w:rPr>
          <w:sz w:val="20"/>
          <w:szCs w:val="20"/>
          <w:color w:val="auto"/>
        </w:rPr>
      </w:pPr>
      <w:r>
        <w:rPr>
          <w:rFonts w:ascii="Arial" w:cs="Arial" w:eastAsia="Arial" w:hAnsi="Arial"/>
          <w:sz w:val="19"/>
          <w:szCs w:val="19"/>
          <w:b w:val="1"/>
          <w:bCs w:val="1"/>
          <w:color w:val="auto"/>
        </w:rPr>
        <w:t>ARTICLE VI.</w:t>
      </w:r>
    </w:p>
    <w:p>
      <w:pPr>
        <w:spacing w:after="0" w:line="20" w:lineRule="exact"/>
        <w:rPr>
          <w:sz w:val="20"/>
          <w:szCs w:val="20"/>
          <w:color w:val="auto"/>
        </w:rPr>
      </w:pPr>
    </w:p>
    <w:p>
      <w:pPr>
        <w:ind w:left="5560"/>
        <w:spacing w:after="0"/>
        <w:rPr>
          <w:sz w:val="20"/>
          <w:szCs w:val="20"/>
          <w:color w:val="auto"/>
        </w:rPr>
      </w:pPr>
      <w:r>
        <w:rPr>
          <w:rFonts w:ascii="Arial" w:cs="Arial" w:eastAsia="Arial" w:hAnsi="Arial"/>
          <w:sz w:val="19"/>
          <w:szCs w:val="19"/>
          <w:b w:val="1"/>
          <w:bCs w:val="1"/>
          <w:u w:val="single" w:color="auto"/>
          <w:color w:val="auto"/>
        </w:rPr>
        <w:t>VESTING</w:t>
      </w:r>
    </w:p>
    <w:p>
      <w:pPr>
        <w:spacing w:after="0" w:line="174" w:lineRule="exact"/>
        <w:rPr>
          <w:sz w:val="20"/>
          <w:szCs w:val="20"/>
          <w:color w:val="auto"/>
        </w:rPr>
      </w:pPr>
    </w:p>
    <w:p>
      <w:pPr>
        <w:ind w:left="580"/>
        <w:spacing w:after="0"/>
        <w:rPr>
          <w:sz w:val="20"/>
          <w:szCs w:val="20"/>
          <w:color w:val="auto"/>
        </w:rPr>
      </w:pPr>
      <w:r>
        <w:rPr>
          <w:rFonts w:ascii="Arial" w:cs="Arial" w:eastAsia="Arial" w:hAnsi="Arial"/>
          <w:sz w:val="19"/>
          <w:szCs w:val="19"/>
          <w:color w:val="auto"/>
        </w:rPr>
        <w:t>Each Participant shall be 100% vested in his Deferral Account and his Matching Account at all times.</w:t>
      </w:r>
    </w:p>
    <w:p>
      <w:pPr>
        <w:spacing w:after="0" w:line="184" w:lineRule="exact"/>
        <w:rPr>
          <w:sz w:val="20"/>
          <w:szCs w:val="20"/>
          <w:color w:val="auto"/>
        </w:rPr>
      </w:pPr>
    </w:p>
    <w:p>
      <w:pPr>
        <w:ind w:left="5080"/>
        <w:spacing w:after="0"/>
        <w:rPr>
          <w:sz w:val="20"/>
          <w:szCs w:val="20"/>
          <w:color w:val="auto"/>
        </w:rPr>
      </w:pPr>
      <w:r>
        <w:rPr>
          <w:rFonts w:ascii="Arial" w:cs="Arial" w:eastAsia="Arial" w:hAnsi="Arial"/>
          <w:sz w:val="19"/>
          <w:szCs w:val="19"/>
          <w:b w:val="1"/>
          <w:bCs w:val="1"/>
          <w:color w:val="auto"/>
        </w:rPr>
        <w:t>ARTICLE VII.</w:t>
      </w:r>
    </w:p>
    <w:p>
      <w:pPr>
        <w:spacing w:after="0" w:line="20" w:lineRule="exact"/>
        <w:rPr>
          <w:sz w:val="20"/>
          <w:szCs w:val="20"/>
          <w:color w:val="auto"/>
        </w:rPr>
      </w:pPr>
    </w:p>
    <w:p>
      <w:pPr>
        <w:ind w:left="5240"/>
        <w:spacing w:after="0"/>
        <w:rPr>
          <w:sz w:val="20"/>
          <w:szCs w:val="20"/>
          <w:color w:val="auto"/>
        </w:rPr>
      </w:pPr>
      <w:r>
        <w:rPr>
          <w:rFonts w:ascii="Arial" w:cs="Arial" w:eastAsia="Arial" w:hAnsi="Arial"/>
          <w:sz w:val="19"/>
          <w:szCs w:val="19"/>
          <w:b w:val="1"/>
          <w:bCs w:val="1"/>
          <w:u w:val="single" w:color="auto"/>
          <w:color w:val="auto"/>
        </w:rPr>
        <w:t>DISTRIBUTIONS</w:t>
      </w:r>
    </w:p>
    <w:p>
      <w:pPr>
        <w:spacing w:after="0" w:line="162" w:lineRule="exact"/>
        <w:rPr>
          <w:sz w:val="20"/>
          <w:szCs w:val="20"/>
          <w:color w:val="auto"/>
        </w:rPr>
      </w:pPr>
    </w:p>
    <w:p>
      <w:pPr>
        <w:ind w:left="140"/>
        <w:spacing w:after="0"/>
        <w:tabs>
          <w:tab w:leader="none" w:pos="560" w:val="left"/>
        </w:tabs>
        <w:rPr>
          <w:sz w:val="20"/>
          <w:szCs w:val="20"/>
          <w:color w:val="auto"/>
        </w:rPr>
      </w:pPr>
      <w:r>
        <w:rPr>
          <w:rFonts w:ascii="Arial" w:cs="Arial" w:eastAsia="Arial" w:hAnsi="Arial"/>
          <w:sz w:val="19"/>
          <w:szCs w:val="19"/>
          <w:u w:val="single" w:color="auto"/>
          <w:color w:val="auto"/>
        </w:rPr>
        <w:t>7.1</w:t>
      </w:r>
      <w:r>
        <w:rPr>
          <w:sz w:val="20"/>
          <w:szCs w:val="20"/>
          <w:color w:val="auto"/>
        </w:rPr>
        <w:tab/>
      </w:r>
      <w:r>
        <w:rPr>
          <w:rFonts w:ascii="Arial" w:cs="Arial" w:eastAsia="Arial" w:hAnsi="Arial"/>
          <w:sz w:val="18"/>
          <w:szCs w:val="18"/>
          <w:u w:val="single" w:color="auto"/>
          <w:color w:val="auto"/>
        </w:rPr>
        <w:t>Distribution of Accounts</w:t>
      </w:r>
      <w:r>
        <w:rPr>
          <w:rFonts w:ascii="Arial" w:cs="Arial" w:eastAsia="Arial" w:hAnsi="Arial"/>
          <w:sz w:val="18"/>
          <w:szCs w:val="18"/>
          <w:color w:val="auto"/>
        </w:rPr>
        <w:t>.</w:t>
      </w:r>
    </w:p>
    <w:p>
      <w:pPr>
        <w:spacing w:after="0" w:line="178" w:lineRule="exact"/>
        <w:rPr>
          <w:sz w:val="20"/>
          <w:szCs w:val="20"/>
          <w:color w:val="auto"/>
        </w:rPr>
      </w:pPr>
    </w:p>
    <w:p>
      <w:pPr>
        <w:ind w:left="1720" w:hanging="571"/>
        <w:spacing w:after="0"/>
        <w:tabs>
          <w:tab w:leader="none" w:pos="1720" w:val="left"/>
        </w:tabs>
        <w:numPr>
          <w:ilvl w:val="0"/>
          <w:numId w:val="143"/>
        </w:numPr>
        <w:rPr>
          <w:rFonts w:ascii="Arial" w:cs="Arial" w:eastAsia="Arial" w:hAnsi="Arial"/>
          <w:sz w:val="19"/>
          <w:szCs w:val="19"/>
          <w:u w:val="single" w:color="auto"/>
          <w:color w:val="auto"/>
        </w:rPr>
      </w:pPr>
      <w:r>
        <w:rPr>
          <w:rFonts w:ascii="Arial" w:cs="Arial" w:eastAsia="Arial" w:hAnsi="Arial"/>
          <w:sz w:val="19"/>
          <w:szCs w:val="19"/>
          <w:u w:val="single" w:color="auto"/>
          <w:color w:val="auto"/>
        </w:rPr>
        <w:t>Distribution at Separation from Service or Disability</w:t>
      </w:r>
      <w:r>
        <w:rPr>
          <w:rFonts w:ascii="Arial" w:cs="Arial" w:eastAsia="Arial" w:hAnsi="Arial"/>
          <w:sz w:val="19"/>
          <w:szCs w:val="19"/>
          <w:color w:val="auto"/>
        </w:rPr>
        <w:t>.</w:t>
      </w:r>
    </w:p>
    <w:p>
      <w:pPr>
        <w:spacing w:after="0" w:line="190" w:lineRule="exact"/>
        <w:rPr>
          <w:sz w:val="20"/>
          <w:szCs w:val="20"/>
          <w:color w:val="auto"/>
        </w:rPr>
      </w:pPr>
    </w:p>
    <w:p>
      <w:pPr>
        <w:ind w:left="1720" w:hanging="571"/>
        <w:spacing w:after="0"/>
        <w:tabs>
          <w:tab w:leader="none" w:pos="1720" w:val="left"/>
        </w:tabs>
        <w:numPr>
          <w:ilvl w:val="0"/>
          <w:numId w:val="144"/>
        </w:numPr>
        <w:rPr>
          <w:rFonts w:ascii="Arial" w:cs="Arial" w:eastAsia="Arial" w:hAnsi="Arial"/>
          <w:sz w:val="19"/>
          <w:szCs w:val="19"/>
          <w:color w:val="auto"/>
        </w:rPr>
      </w:pPr>
      <w:r>
        <w:rPr>
          <w:rFonts w:ascii="Arial" w:cs="Arial" w:eastAsia="Arial" w:hAnsi="Arial"/>
          <w:sz w:val="19"/>
          <w:szCs w:val="19"/>
          <w:u w:val="single" w:color="auto"/>
          <w:color w:val="auto"/>
        </w:rPr>
        <w:t>Normal Form</w:t>
      </w:r>
      <w:r>
        <w:rPr>
          <w:rFonts w:ascii="Arial" w:cs="Arial" w:eastAsia="Arial" w:hAnsi="Arial"/>
          <w:sz w:val="19"/>
          <w:szCs w:val="19"/>
          <w:color w:val="auto"/>
        </w:rPr>
        <w:t>.</w:t>
      </w:r>
    </w:p>
    <w:p>
      <w:pPr>
        <w:spacing w:after="0" w:line="177" w:lineRule="exact"/>
        <w:rPr>
          <w:rFonts w:ascii="Arial" w:cs="Arial" w:eastAsia="Arial" w:hAnsi="Arial"/>
          <w:sz w:val="19"/>
          <w:szCs w:val="19"/>
          <w:color w:val="auto"/>
        </w:rPr>
      </w:pPr>
    </w:p>
    <w:p>
      <w:pPr>
        <w:ind w:right="440" w:firstLine="1726"/>
        <w:spacing w:after="0" w:line="247" w:lineRule="auto"/>
        <w:tabs>
          <w:tab w:leader="none" w:pos="2306" w:val="left"/>
        </w:tabs>
        <w:numPr>
          <w:ilvl w:val="1"/>
          <w:numId w:val="144"/>
        </w:numPr>
        <w:rPr>
          <w:rFonts w:ascii="Arial" w:cs="Arial" w:eastAsia="Arial" w:hAnsi="Arial"/>
          <w:sz w:val="19"/>
          <w:szCs w:val="19"/>
          <w:color w:val="auto"/>
        </w:rPr>
      </w:pPr>
      <w:r>
        <w:rPr>
          <w:rFonts w:ascii="Arial" w:cs="Arial" w:eastAsia="Arial" w:hAnsi="Arial"/>
          <w:sz w:val="19"/>
          <w:szCs w:val="19"/>
          <w:color w:val="auto"/>
        </w:rPr>
        <w:t>Except as provided in subparagraph (B), paragraph (2), paragraph (3) or Section 7.3, upon the Separation from Service or Disability of a Participant, a Participant’s Distributable Amount with respect to each Plan Year shall be paid to the Participant in substantially equal annual installments in cash (calculated as set forth in paragraph 7.1(a)(6)) over ten (10) years beginning on the Participant’s Payment Date.</w:t>
      </w:r>
    </w:p>
    <w:p>
      <w:pPr>
        <w:spacing w:after="0" w:line="145" w:lineRule="exact"/>
        <w:rPr>
          <w:rFonts w:ascii="Arial" w:cs="Arial" w:eastAsia="Arial" w:hAnsi="Arial"/>
          <w:sz w:val="19"/>
          <w:szCs w:val="19"/>
          <w:color w:val="auto"/>
        </w:rPr>
      </w:pPr>
    </w:p>
    <w:p>
      <w:pPr>
        <w:ind w:right="240" w:firstLine="1726"/>
        <w:spacing w:after="0" w:line="247" w:lineRule="auto"/>
        <w:tabs>
          <w:tab w:leader="none" w:pos="2306" w:val="left"/>
        </w:tabs>
        <w:numPr>
          <w:ilvl w:val="1"/>
          <w:numId w:val="144"/>
        </w:numPr>
        <w:rPr>
          <w:rFonts w:ascii="Arial" w:cs="Arial" w:eastAsia="Arial" w:hAnsi="Arial"/>
          <w:sz w:val="19"/>
          <w:szCs w:val="19"/>
          <w:color w:val="auto"/>
        </w:rPr>
      </w:pPr>
      <w:r>
        <w:rPr>
          <w:rFonts w:ascii="Arial" w:cs="Arial" w:eastAsia="Arial" w:hAnsi="Arial"/>
          <w:sz w:val="19"/>
          <w:szCs w:val="19"/>
          <w:color w:val="auto"/>
        </w:rPr>
        <w:t>Upon the Separation from Service of a Participant who is a Specified Employee (determined as of the date of Separation from Service), the distribution of the Participant’s Distributable Amount with respect each Plan Year shall not be made before the date which is six months after the date of such Participant’s Separation from Service (or, if earlier, the date of such Participant’s death) in accordance with Section 409A(a)(2)(B)(i) of the Code and the Treasury Regulations thereunder.</w:t>
      </w:r>
    </w:p>
    <w:p>
      <w:pPr>
        <w:spacing w:after="0" w:line="157" w:lineRule="exact"/>
        <w:rPr>
          <w:rFonts w:ascii="Arial" w:cs="Arial" w:eastAsia="Arial" w:hAnsi="Arial"/>
          <w:sz w:val="19"/>
          <w:szCs w:val="19"/>
          <w:color w:val="auto"/>
        </w:rPr>
      </w:pPr>
    </w:p>
    <w:p>
      <w:pPr>
        <w:ind w:left="1720" w:hanging="571"/>
        <w:spacing w:after="0"/>
        <w:tabs>
          <w:tab w:leader="none" w:pos="1720" w:val="left"/>
        </w:tabs>
        <w:numPr>
          <w:ilvl w:val="0"/>
          <w:numId w:val="144"/>
        </w:numPr>
        <w:rPr>
          <w:rFonts w:ascii="Arial" w:cs="Arial" w:eastAsia="Arial" w:hAnsi="Arial"/>
          <w:sz w:val="17"/>
          <w:szCs w:val="17"/>
          <w:color w:val="auto"/>
        </w:rPr>
      </w:pPr>
      <w:r>
        <w:rPr>
          <w:rFonts w:ascii="Arial" w:cs="Arial" w:eastAsia="Arial" w:hAnsi="Arial"/>
          <w:sz w:val="17"/>
          <w:szCs w:val="17"/>
          <w:u w:val="single" w:color="auto"/>
          <w:color w:val="auto"/>
        </w:rPr>
        <w:t>Optional Forms</w:t>
      </w:r>
      <w:r>
        <w:rPr>
          <w:rFonts w:ascii="Arial" w:cs="Arial" w:eastAsia="Arial" w:hAnsi="Arial"/>
          <w:sz w:val="17"/>
          <w:szCs w:val="17"/>
          <w:color w:val="auto"/>
        </w:rPr>
        <w:t>. Instead of receiving his Distributable Amount with respect to each Plan Year as described at Section 7.1(a)</w:t>
      </w:r>
    </w:p>
    <w:p>
      <w:pPr>
        <w:spacing w:after="0" w:line="36" w:lineRule="exact"/>
        <w:rPr>
          <w:rFonts w:ascii="Arial" w:cs="Arial" w:eastAsia="Arial" w:hAnsi="Arial"/>
          <w:sz w:val="17"/>
          <w:szCs w:val="17"/>
          <w:color w:val="auto"/>
        </w:rPr>
      </w:pPr>
    </w:p>
    <w:p>
      <w:pPr>
        <w:ind w:right="840"/>
        <w:spacing w:after="0" w:line="249" w:lineRule="auto"/>
        <w:rPr>
          <w:rFonts w:ascii="Arial" w:cs="Arial" w:eastAsia="Arial" w:hAnsi="Arial"/>
          <w:sz w:val="17"/>
          <w:szCs w:val="17"/>
          <w:color w:val="auto"/>
        </w:rPr>
      </w:pPr>
      <w:r>
        <w:rPr>
          <w:rFonts w:ascii="Arial" w:cs="Arial" w:eastAsia="Arial" w:hAnsi="Arial"/>
          <w:sz w:val="19"/>
          <w:szCs w:val="19"/>
          <w:color w:val="auto"/>
        </w:rPr>
        <w:t>(1)(A), the Participant may elect in accordance with Section 3.2 one of the following optional forms of payment (on the form provided by Company) at the time of his deferral election for such Plan Year:</w:t>
      </w:r>
    </w:p>
    <w:p>
      <w:pPr>
        <w:spacing w:after="0" w:line="143" w:lineRule="exact"/>
        <w:rPr>
          <w:sz w:val="20"/>
          <w:szCs w:val="20"/>
          <w:color w:val="auto"/>
        </w:rPr>
      </w:pPr>
    </w:p>
    <w:p>
      <w:pPr>
        <w:ind w:left="2300" w:hanging="574"/>
        <w:spacing w:after="0"/>
        <w:tabs>
          <w:tab w:leader="none" w:pos="230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equal annual installments in cash (calculated as set forth in paragraph 7.1(a)(6)) over five years beginning on the</w:t>
      </w:r>
    </w:p>
    <w:p>
      <w:pPr>
        <w:spacing w:after="0" w:line="25"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9"/>
          <w:szCs w:val="19"/>
          <w:color w:val="auto"/>
        </w:rPr>
        <w:t>Participant’s Payment Date,</w:t>
      </w:r>
    </w:p>
    <w:p>
      <w:pPr>
        <w:spacing w:after="0" w:line="161" w:lineRule="exact"/>
        <w:rPr>
          <w:rFonts w:ascii="Arial" w:cs="Arial" w:eastAsia="Arial" w:hAnsi="Arial"/>
          <w:sz w:val="18"/>
          <w:szCs w:val="18"/>
          <w:color w:val="auto"/>
        </w:rPr>
      </w:pPr>
    </w:p>
    <w:p>
      <w:pPr>
        <w:ind w:right="180" w:firstLine="1726"/>
        <w:spacing w:after="0" w:line="266" w:lineRule="auto"/>
        <w:tabs>
          <w:tab w:leader="none" w:pos="2306" w:val="left"/>
        </w:tabs>
        <w:numPr>
          <w:ilvl w:val="0"/>
          <w:numId w:val="145"/>
        </w:numPr>
        <w:rPr>
          <w:rFonts w:ascii="Arial" w:cs="Arial" w:eastAsia="Arial" w:hAnsi="Arial"/>
          <w:sz w:val="19"/>
          <w:szCs w:val="19"/>
          <w:color w:val="auto"/>
        </w:rPr>
      </w:pPr>
      <w:r>
        <w:rPr>
          <w:rFonts w:ascii="Arial" w:cs="Arial" w:eastAsia="Arial" w:hAnsi="Arial"/>
          <w:sz w:val="19"/>
          <w:szCs w:val="19"/>
          <w:color w:val="auto"/>
        </w:rPr>
        <w:t>equal annual installments in cash (calculated as set forth in paragraph 7.1(a)(6)) over fifteen (15) years beginning on the Participant’s Payment Date, or</w:t>
      </w:r>
    </w:p>
    <w:p>
      <w:pPr>
        <w:spacing w:after="0" w:line="140" w:lineRule="exact"/>
        <w:rPr>
          <w:rFonts w:ascii="Arial" w:cs="Arial" w:eastAsia="Arial" w:hAnsi="Arial"/>
          <w:sz w:val="19"/>
          <w:szCs w:val="19"/>
          <w:color w:val="auto"/>
        </w:rPr>
      </w:pPr>
    </w:p>
    <w:p>
      <w:pPr>
        <w:ind w:left="2300" w:hanging="574"/>
        <w:spacing w:after="0"/>
        <w:tabs>
          <w:tab w:leader="none" w:pos="2300" w:val="left"/>
        </w:tabs>
        <w:numPr>
          <w:ilvl w:val="0"/>
          <w:numId w:val="145"/>
        </w:numPr>
        <w:rPr>
          <w:rFonts w:ascii="Arial" w:cs="Arial" w:eastAsia="Arial" w:hAnsi="Arial"/>
          <w:sz w:val="19"/>
          <w:szCs w:val="19"/>
          <w:color w:val="auto"/>
        </w:rPr>
      </w:pPr>
      <w:r>
        <w:rPr>
          <w:rFonts w:ascii="Arial" w:cs="Arial" w:eastAsia="Arial" w:hAnsi="Arial"/>
          <w:sz w:val="19"/>
          <w:szCs w:val="19"/>
          <w:color w:val="auto"/>
        </w:rPr>
        <w:t>a lump sum in cash.</w:t>
      </w:r>
    </w:p>
    <w:p>
      <w:pPr>
        <w:spacing w:after="0" w:line="190" w:lineRule="exact"/>
        <w:rPr>
          <w:sz w:val="20"/>
          <w:szCs w:val="20"/>
          <w:color w:val="auto"/>
        </w:rPr>
      </w:pPr>
    </w:p>
    <w:p>
      <w:pPr>
        <w:ind w:right="340"/>
        <w:spacing w:after="0" w:line="266" w:lineRule="auto"/>
        <w:rPr>
          <w:sz w:val="20"/>
          <w:szCs w:val="20"/>
          <w:color w:val="auto"/>
        </w:rPr>
      </w:pPr>
      <w:r>
        <w:rPr>
          <w:rFonts w:ascii="Arial" w:cs="Arial" w:eastAsia="Arial" w:hAnsi="Arial"/>
          <w:sz w:val="19"/>
          <w:szCs w:val="19"/>
          <w:color w:val="auto"/>
        </w:rPr>
        <w:t>The payment of such Participant’s Distributable Amount with respect each Plan Year shall be made or commence on such Participant’s Payment Date (or, if applicable, the date determined under subparagraph (a)(1)(B)).</w:t>
      </w:r>
    </w:p>
    <w:p>
      <w:pPr>
        <w:spacing w:after="0" w:line="128" w:lineRule="exact"/>
        <w:rPr>
          <w:sz w:val="20"/>
          <w:szCs w:val="20"/>
          <w:color w:val="auto"/>
        </w:rPr>
      </w:pPr>
    </w:p>
    <w:p>
      <w:pPr>
        <w:ind w:right="140" w:firstLine="1149"/>
        <w:spacing w:after="0" w:line="247" w:lineRule="auto"/>
        <w:tabs>
          <w:tab w:leader="none" w:pos="1730" w:val="left"/>
        </w:tabs>
        <w:numPr>
          <w:ilvl w:val="0"/>
          <w:numId w:val="146"/>
        </w:numPr>
        <w:rPr>
          <w:rFonts w:ascii="Arial" w:cs="Arial" w:eastAsia="Arial" w:hAnsi="Arial"/>
          <w:sz w:val="19"/>
          <w:szCs w:val="19"/>
          <w:color w:val="auto"/>
        </w:rPr>
      </w:pPr>
      <w:r>
        <w:rPr>
          <w:rFonts w:ascii="Arial" w:cs="Arial" w:eastAsia="Arial" w:hAnsi="Arial"/>
          <w:sz w:val="19"/>
          <w:szCs w:val="19"/>
          <w:u w:val="single" w:color="auto"/>
          <w:color w:val="auto"/>
        </w:rPr>
        <w:t>Distribution Election Changes</w:t>
      </w:r>
      <w:r>
        <w:rPr>
          <w:rFonts w:ascii="Arial" w:cs="Arial" w:eastAsia="Arial" w:hAnsi="Arial"/>
          <w:sz w:val="19"/>
          <w:szCs w:val="19"/>
          <w:color w:val="auto"/>
        </w:rPr>
        <w:t>. In the event that a Participant changes his distribution form election with respect to a Plan Year in accordance with Section 3.2(b), and such new distribution form election becomes effective, upon the Separation from Service or Disability of such Participant, the Distributable Amount with respect to such Plan Year shall be paid to the Participant in accordance with such new distribution form election.</w:t>
      </w:r>
    </w:p>
    <w:p>
      <w:pPr>
        <w:sectPr>
          <w:pgSz w:w="11900" w:h="16860" w:orient="portrait"/>
          <w:cols w:equalWidth="0" w:num="1">
            <w:col w:w="11420"/>
          </w:cols>
          <w:pgMar w:left="240" w:top="120" w:right="239" w:bottom="0" w:gutter="0" w:footer="0" w:header="0"/>
        </w:sectPr>
      </w:pPr>
    </w:p>
    <w:bookmarkStart w:id="105" w:name="page106"/>
    <w:bookmarkEnd w:id="105"/>
    <w:p>
      <w:pPr>
        <w:spacing w:after="0" w:line="99" w:lineRule="exact"/>
        <w:rPr>
          <w:sz w:val="20"/>
          <w:szCs w:val="20"/>
          <w:color w:val="auto"/>
        </w:rPr>
      </w:pPr>
    </w:p>
    <w:p>
      <w:pPr>
        <w:ind w:right="120" w:firstLine="1149"/>
        <w:spacing w:after="0" w:line="252" w:lineRule="auto"/>
        <w:tabs>
          <w:tab w:leader="none" w:pos="1730" w:val="left"/>
        </w:tabs>
        <w:numPr>
          <w:ilvl w:val="0"/>
          <w:numId w:val="147"/>
        </w:numPr>
        <w:rPr>
          <w:rFonts w:ascii="Arial" w:cs="Arial" w:eastAsia="Arial" w:hAnsi="Arial"/>
          <w:sz w:val="19"/>
          <w:szCs w:val="19"/>
          <w:color w:val="auto"/>
        </w:rPr>
      </w:pPr>
      <w:r>
        <w:rPr>
          <w:rFonts w:ascii="Arial" w:cs="Arial" w:eastAsia="Arial" w:hAnsi="Arial"/>
          <w:sz w:val="19"/>
          <w:szCs w:val="19"/>
          <w:u w:val="single" w:color="auto"/>
          <w:color w:val="auto"/>
        </w:rPr>
        <w:t>Small Accounts</w:t>
      </w:r>
      <w:r>
        <w:rPr>
          <w:rFonts w:ascii="Arial" w:cs="Arial" w:eastAsia="Arial" w:hAnsi="Arial"/>
          <w:sz w:val="19"/>
          <w:szCs w:val="19"/>
          <w:color w:val="auto"/>
        </w:rPr>
        <w:t>. Notwithstanding provision to the contrary, in the event the total of a Participant’s Distributable Amounts with respect to all Plan Years is equal to or less than $25,000, such Distributable Amounts shall be distributed to the Participant (or his Beneficiary, as applicable) in a lump sum.</w:t>
      </w:r>
    </w:p>
    <w:p>
      <w:pPr>
        <w:spacing w:after="0" w:line="141" w:lineRule="exact"/>
        <w:rPr>
          <w:rFonts w:ascii="Arial" w:cs="Arial" w:eastAsia="Arial" w:hAnsi="Arial"/>
          <w:sz w:val="19"/>
          <w:szCs w:val="19"/>
          <w:color w:val="auto"/>
        </w:rPr>
      </w:pPr>
    </w:p>
    <w:p>
      <w:pPr>
        <w:ind w:right="680" w:firstLine="1149"/>
        <w:spacing w:after="0" w:line="326" w:lineRule="auto"/>
        <w:tabs>
          <w:tab w:leader="none" w:pos="1730" w:val="left"/>
        </w:tabs>
        <w:numPr>
          <w:ilvl w:val="0"/>
          <w:numId w:val="147"/>
        </w:numPr>
        <w:rPr>
          <w:rFonts w:ascii="Arial" w:cs="Arial" w:eastAsia="Arial" w:hAnsi="Arial"/>
          <w:sz w:val="17"/>
          <w:szCs w:val="17"/>
          <w:color w:val="auto"/>
        </w:rPr>
      </w:pPr>
      <w:r>
        <w:rPr>
          <w:rFonts w:ascii="Arial" w:cs="Arial" w:eastAsia="Arial" w:hAnsi="Arial"/>
          <w:sz w:val="17"/>
          <w:szCs w:val="17"/>
          <w:u w:val="single" w:color="auto"/>
          <w:color w:val="auto"/>
        </w:rPr>
        <w:t>Investment Adjustments</w:t>
      </w:r>
      <w:r>
        <w:rPr>
          <w:rFonts w:ascii="Arial" w:cs="Arial" w:eastAsia="Arial" w:hAnsi="Arial"/>
          <w:sz w:val="17"/>
          <w:szCs w:val="17"/>
          <w:color w:val="auto"/>
        </w:rPr>
        <w:t>. The Participant’s Accounts shall continue to be adjusted for investment earnings and losses pursuant to Section 4.2 and Section 4.3 of the Plan until all amounts credited to his Accounts under the Plan have been distributed.</w:t>
      </w:r>
    </w:p>
    <w:p>
      <w:pPr>
        <w:spacing w:after="0" w:line="93" w:lineRule="exact"/>
        <w:rPr>
          <w:rFonts w:ascii="Arial" w:cs="Arial" w:eastAsia="Arial" w:hAnsi="Arial"/>
          <w:sz w:val="17"/>
          <w:szCs w:val="17"/>
          <w:color w:val="auto"/>
        </w:rPr>
      </w:pPr>
    </w:p>
    <w:p>
      <w:pPr>
        <w:ind w:right="120" w:firstLine="1149"/>
        <w:spacing w:after="0" w:line="274" w:lineRule="auto"/>
        <w:tabs>
          <w:tab w:leader="none" w:pos="1730" w:val="left"/>
        </w:tabs>
        <w:numPr>
          <w:ilvl w:val="0"/>
          <w:numId w:val="147"/>
        </w:numPr>
        <w:rPr>
          <w:rFonts w:ascii="Arial" w:cs="Arial" w:eastAsia="Arial" w:hAnsi="Arial"/>
          <w:sz w:val="17"/>
          <w:szCs w:val="17"/>
          <w:color w:val="auto"/>
        </w:rPr>
      </w:pPr>
      <w:r>
        <w:rPr>
          <w:rFonts w:ascii="Arial" w:cs="Arial" w:eastAsia="Arial" w:hAnsi="Arial"/>
          <w:sz w:val="17"/>
          <w:szCs w:val="17"/>
          <w:u w:val="single" w:color="auto"/>
          <w:color w:val="auto"/>
        </w:rPr>
        <w:t>Calculating Installments.</w:t>
      </w:r>
      <w:r>
        <w:rPr>
          <w:rFonts w:ascii="Arial" w:cs="Arial" w:eastAsia="Arial" w:hAnsi="Arial"/>
          <w:sz w:val="17"/>
          <w:szCs w:val="17"/>
          <w:color w:val="auto"/>
        </w:rPr>
        <w:t xml:space="preserve"> All installment payments made under the Plan shall be determined in accordance with the annual fractional payment method, calculated as follows: the balance of subaccounts in the Participant’s Accounts with respect to a Plan Year shall be calculated as of the close of business on the last business day of the year. The annual installment shall be calculated by multiplying this balance by a fraction, the numerator of which is one, and the denominator of which is the remaining number of annual payments due the Participant. By way of example, if the Participant elects 10 year installments for the distribution of the subaccounts in his Accounts with respect to a Plan Year, the first payment shall be 1/10 of the balance of such subaccounts in his Accounts calculated as described in this definition. The following year, th e payment shall be 1/9 of such subaccounts in the balance of the Participant’s Accounts, calculated as described in this definition. Each annual installment shall be paid on or as soon as practicable after the last business day of the applicable year.</w:t>
      </w:r>
    </w:p>
    <w:p>
      <w:pPr>
        <w:spacing w:after="0" w:line="125" w:lineRule="exact"/>
        <w:rPr>
          <w:sz w:val="20"/>
          <w:szCs w:val="20"/>
          <w:color w:val="auto"/>
        </w:rPr>
      </w:pPr>
    </w:p>
    <w:p>
      <w:pPr>
        <w:ind w:left="1720" w:hanging="571"/>
        <w:spacing w:after="0"/>
        <w:tabs>
          <w:tab w:leader="none" w:pos="1720" w:val="left"/>
        </w:tabs>
        <w:numPr>
          <w:ilvl w:val="0"/>
          <w:numId w:val="148"/>
        </w:numPr>
        <w:rPr>
          <w:rFonts w:ascii="Arial" w:cs="Arial" w:eastAsia="Arial" w:hAnsi="Arial"/>
          <w:sz w:val="19"/>
          <w:szCs w:val="19"/>
          <w:u w:val="single" w:color="auto"/>
          <w:color w:val="auto"/>
        </w:rPr>
      </w:pPr>
      <w:r>
        <w:rPr>
          <w:rFonts w:ascii="Arial" w:cs="Arial" w:eastAsia="Arial" w:hAnsi="Arial"/>
          <w:sz w:val="19"/>
          <w:szCs w:val="19"/>
          <w:u w:val="single" w:color="auto"/>
          <w:color w:val="auto"/>
        </w:rPr>
        <w:t>Distribution on a Scheduled Withdrawal Date</w:t>
      </w:r>
      <w:r>
        <w:rPr>
          <w:rFonts w:ascii="Arial" w:cs="Arial" w:eastAsia="Arial" w:hAnsi="Arial"/>
          <w:sz w:val="19"/>
          <w:szCs w:val="19"/>
          <w:color w:val="auto"/>
        </w:rPr>
        <w:t>.</w:t>
      </w:r>
    </w:p>
    <w:p>
      <w:pPr>
        <w:spacing w:after="0" w:line="178" w:lineRule="exact"/>
        <w:rPr>
          <w:sz w:val="20"/>
          <w:szCs w:val="20"/>
          <w:color w:val="auto"/>
        </w:rPr>
      </w:pPr>
    </w:p>
    <w:p>
      <w:pPr>
        <w:ind w:right="400" w:firstLine="1149"/>
        <w:spacing w:after="0" w:line="261" w:lineRule="auto"/>
        <w:tabs>
          <w:tab w:leader="none" w:pos="173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In the case of a Participant who has elected a Scheduled Withdrawal Date for a distribution to be made while still in the employ of the Company or while still a Director, such Participant shall receive his deferrals of Compensation (but excluding any investment earnings on such amounts) (the “Withdrawal Amount”) as shall have been elected by the Participant to be subject to the Scheduled Withdrawal Date. A Participant’s Scheduled Withdrawal Date with respect to amounts of Compensation deferred in a given Plan Year must be at least three years from the last day of the Plan Year for which such deferrals are made.</w:t>
      </w:r>
    </w:p>
    <w:p>
      <w:pPr>
        <w:spacing w:after="0" w:line="147" w:lineRule="exact"/>
        <w:rPr>
          <w:rFonts w:ascii="Arial" w:cs="Arial" w:eastAsia="Arial" w:hAnsi="Arial"/>
          <w:sz w:val="18"/>
          <w:szCs w:val="18"/>
          <w:color w:val="auto"/>
        </w:rPr>
      </w:pPr>
    </w:p>
    <w:p>
      <w:pPr>
        <w:ind w:left="1720" w:hanging="571"/>
        <w:spacing w:after="0"/>
        <w:tabs>
          <w:tab w:leader="none" w:pos="1720" w:val="left"/>
        </w:tabs>
        <w:numPr>
          <w:ilvl w:val="0"/>
          <w:numId w:val="149"/>
        </w:numPr>
        <w:rPr>
          <w:rFonts w:ascii="Arial" w:cs="Arial" w:eastAsia="Arial" w:hAnsi="Arial"/>
          <w:sz w:val="19"/>
          <w:szCs w:val="19"/>
          <w:color w:val="auto"/>
        </w:rPr>
      </w:pPr>
      <w:r>
        <w:rPr>
          <w:rFonts w:ascii="Arial" w:cs="Arial" w:eastAsia="Arial" w:hAnsi="Arial"/>
          <w:sz w:val="19"/>
          <w:szCs w:val="19"/>
          <w:color w:val="auto"/>
        </w:rPr>
        <w:t>The Withdrawal Amount shall be paid in a lump sum in cash.</w:t>
      </w:r>
    </w:p>
    <w:p>
      <w:pPr>
        <w:spacing w:after="0" w:line="177" w:lineRule="exact"/>
        <w:rPr>
          <w:rFonts w:ascii="Arial" w:cs="Arial" w:eastAsia="Arial" w:hAnsi="Arial"/>
          <w:sz w:val="19"/>
          <w:szCs w:val="19"/>
          <w:color w:val="auto"/>
        </w:rPr>
      </w:pPr>
    </w:p>
    <w:p>
      <w:pPr>
        <w:ind w:right="860" w:firstLine="1149"/>
        <w:spacing w:after="0" w:line="266" w:lineRule="auto"/>
        <w:tabs>
          <w:tab w:leader="none" w:pos="1730" w:val="left"/>
        </w:tabs>
        <w:numPr>
          <w:ilvl w:val="0"/>
          <w:numId w:val="149"/>
        </w:numPr>
        <w:rPr>
          <w:rFonts w:ascii="Arial" w:cs="Arial" w:eastAsia="Arial" w:hAnsi="Arial"/>
          <w:sz w:val="19"/>
          <w:szCs w:val="19"/>
          <w:color w:val="auto"/>
        </w:rPr>
      </w:pPr>
      <w:r>
        <w:rPr>
          <w:rFonts w:ascii="Arial" w:cs="Arial" w:eastAsia="Arial" w:hAnsi="Arial"/>
          <w:sz w:val="19"/>
          <w:szCs w:val="19"/>
          <w:color w:val="auto"/>
        </w:rPr>
        <w:t>A Participant may elect to change the Scheduled Withdrawal Date for the Withdrawal Amount for any Plan Year in accordance with Section 3.2(d).</w:t>
      </w:r>
    </w:p>
    <w:p>
      <w:pPr>
        <w:spacing w:after="0" w:line="128" w:lineRule="exact"/>
        <w:rPr>
          <w:rFonts w:ascii="Arial" w:cs="Arial" w:eastAsia="Arial" w:hAnsi="Arial"/>
          <w:sz w:val="19"/>
          <w:szCs w:val="19"/>
          <w:color w:val="auto"/>
        </w:rPr>
      </w:pPr>
    </w:p>
    <w:p>
      <w:pPr>
        <w:jc w:val="both"/>
        <w:ind w:right="60" w:firstLine="1149"/>
        <w:spacing w:after="0" w:line="247" w:lineRule="auto"/>
        <w:tabs>
          <w:tab w:leader="none" w:pos="1730" w:val="left"/>
        </w:tabs>
        <w:numPr>
          <w:ilvl w:val="0"/>
          <w:numId w:val="149"/>
        </w:numPr>
        <w:rPr>
          <w:rFonts w:ascii="Arial" w:cs="Arial" w:eastAsia="Arial" w:hAnsi="Arial"/>
          <w:sz w:val="19"/>
          <w:szCs w:val="19"/>
          <w:color w:val="auto"/>
        </w:rPr>
      </w:pPr>
      <w:r>
        <w:rPr>
          <w:rFonts w:ascii="Arial" w:cs="Arial" w:eastAsia="Arial" w:hAnsi="Arial"/>
          <w:sz w:val="19"/>
          <w:szCs w:val="19"/>
          <w:color w:val="auto"/>
        </w:rPr>
        <w:t>In the event of Participant’s Separation from Service or Disability prior to a Scheduled Withdrawal Date, the Participant’s entire Withdrawal Amount shall be paid in accordance with the Participant’s election with respect to such Plan Year under Section 7.1(a). In the event of a Participant’s death prior to a Scheduled Withdrawal Date, the Participant’s entire Withdrawal Amount shall be paid as soon as practicable after the Participant’s death in a lump sum in cash.</w:t>
      </w:r>
    </w:p>
    <w:p>
      <w:pPr>
        <w:spacing w:after="0" w:line="158" w:lineRule="exact"/>
        <w:rPr>
          <w:sz w:val="20"/>
          <w:szCs w:val="20"/>
          <w:color w:val="auto"/>
        </w:rPr>
      </w:pPr>
    </w:p>
    <w:p>
      <w:pPr>
        <w:ind w:left="1720" w:hanging="571"/>
        <w:spacing w:after="0" w:line="247" w:lineRule="auto"/>
        <w:tabs>
          <w:tab w:leader="none" w:pos="1720" w:val="left"/>
        </w:tabs>
        <w:numPr>
          <w:ilvl w:val="0"/>
          <w:numId w:val="150"/>
        </w:numPr>
        <w:rPr>
          <w:rFonts w:ascii="Arial" w:cs="Arial" w:eastAsia="Arial" w:hAnsi="Arial"/>
          <w:sz w:val="19"/>
          <w:szCs w:val="19"/>
          <w:u w:val="single" w:color="auto"/>
          <w:color w:val="auto"/>
        </w:rPr>
      </w:pPr>
      <w:r>
        <w:rPr>
          <w:rFonts w:ascii="Arial" w:cs="Arial" w:eastAsia="Arial" w:hAnsi="Arial"/>
          <w:sz w:val="19"/>
          <w:szCs w:val="19"/>
          <w:u w:val="single" w:color="auto"/>
          <w:color w:val="auto"/>
        </w:rPr>
        <w:t>Distribution upon Death</w:t>
      </w:r>
      <w:r>
        <w:rPr>
          <w:rFonts w:ascii="Arial" w:cs="Arial" w:eastAsia="Arial" w:hAnsi="Arial"/>
          <w:sz w:val="19"/>
          <w:szCs w:val="19"/>
          <w:color w:val="auto"/>
        </w:rPr>
        <w:t>. In the event a Participant dies before he has begun receiving distributions under Section 7.1(a), his Accounts shall be paid to his Beneficiary in the same manner elected by the Participant. In the event a Participant dies after he has begun receiving distributions under Section 7.1(a) with a remaining balance in his Accounts, the balance shall continue to be paid to his Beneficiary in the same manner.</w:t>
      </w:r>
    </w:p>
    <w:p>
      <w:pPr>
        <w:spacing w:after="0" w:line="146" w:lineRule="exact"/>
        <w:rPr>
          <w:sz w:val="20"/>
          <w:szCs w:val="20"/>
          <w:color w:val="auto"/>
        </w:rPr>
      </w:pPr>
    </w:p>
    <w:p>
      <w:pPr>
        <w:ind w:left="140"/>
        <w:spacing w:after="0"/>
        <w:tabs>
          <w:tab w:leader="none" w:pos="560" w:val="left"/>
        </w:tabs>
        <w:rPr>
          <w:sz w:val="20"/>
          <w:szCs w:val="20"/>
          <w:color w:val="auto"/>
        </w:rPr>
      </w:pPr>
      <w:r>
        <w:rPr>
          <w:rFonts w:ascii="Arial" w:cs="Arial" w:eastAsia="Arial" w:hAnsi="Arial"/>
          <w:sz w:val="19"/>
          <w:szCs w:val="19"/>
          <w:u w:val="single" w:color="auto"/>
          <w:color w:val="auto"/>
        </w:rPr>
        <w:t>7.2</w:t>
      </w:r>
      <w:r>
        <w:rPr>
          <w:sz w:val="20"/>
          <w:szCs w:val="20"/>
          <w:color w:val="auto"/>
        </w:rPr>
        <w:tab/>
      </w:r>
      <w:r>
        <w:rPr>
          <w:rFonts w:ascii="Arial" w:cs="Arial" w:eastAsia="Arial" w:hAnsi="Arial"/>
          <w:sz w:val="17"/>
          <w:szCs w:val="17"/>
          <w:u w:val="single" w:color="auto"/>
          <w:color w:val="auto"/>
        </w:rPr>
        <w:t>Hardship Distribution.</w:t>
      </w:r>
    </w:p>
    <w:p>
      <w:pPr>
        <w:spacing w:after="0" w:line="190" w:lineRule="exact"/>
        <w:rPr>
          <w:sz w:val="20"/>
          <w:szCs w:val="20"/>
          <w:color w:val="auto"/>
        </w:rPr>
      </w:pPr>
    </w:p>
    <w:p>
      <w:pPr>
        <w:ind w:right="60" w:firstLine="577"/>
        <w:spacing w:after="0" w:line="266" w:lineRule="auto"/>
        <w:rPr>
          <w:sz w:val="20"/>
          <w:szCs w:val="20"/>
          <w:color w:val="auto"/>
        </w:rPr>
      </w:pPr>
      <w:r>
        <w:rPr>
          <w:rFonts w:ascii="Arial" w:cs="Arial" w:eastAsia="Arial" w:hAnsi="Arial"/>
          <w:sz w:val="19"/>
          <w:szCs w:val="19"/>
          <w:color w:val="auto"/>
        </w:rPr>
        <w:t>A Participant shall be permitted to elect a Hardship Distribution of all or a portion of his Accounts under the Plan prior to the Payment Date, subject to the following restrictions:</w:t>
      </w:r>
    </w:p>
    <w:p>
      <w:pPr>
        <w:spacing w:after="0" w:line="128" w:lineRule="exact"/>
        <w:rPr>
          <w:sz w:val="20"/>
          <w:szCs w:val="20"/>
          <w:color w:val="auto"/>
        </w:rPr>
      </w:pPr>
    </w:p>
    <w:p>
      <w:pPr>
        <w:ind w:left="1720" w:right="460" w:hanging="571"/>
        <w:spacing w:after="0" w:line="266" w:lineRule="auto"/>
        <w:tabs>
          <w:tab w:leader="none" w:pos="1720" w:val="left"/>
        </w:tabs>
        <w:numPr>
          <w:ilvl w:val="0"/>
          <w:numId w:val="151"/>
        </w:numPr>
        <w:rPr>
          <w:rFonts w:ascii="Arial" w:cs="Arial" w:eastAsia="Arial" w:hAnsi="Arial"/>
          <w:sz w:val="19"/>
          <w:szCs w:val="19"/>
          <w:color w:val="auto"/>
        </w:rPr>
      </w:pPr>
      <w:r>
        <w:rPr>
          <w:rFonts w:ascii="Arial" w:cs="Arial" w:eastAsia="Arial" w:hAnsi="Arial"/>
          <w:sz w:val="19"/>
          <w:szCs w:val="19"/>
          <w:color w:val="auto"/>
        </w:rPr>
        <w:t>The election to take a Hardship Distribution shall be made by filing the form provided by the Committee before the date established by the Committee.</w:t>
      </w:r>
    </w:p>
    <w:p>
      <w:pPr>
        <w:spacing w:after="0" w:line="140" w:lineRule="exact"/>
        <w:rPr>
          <w:rFonts w:ascii="Arial" w:cs="Arial" w:eastAsia="Arial" w:hAnsi="Arial"/>
          <w:sz w:val="19"/>
          <w:szCs w:val="19"/>
          <w:color w:val="auto"/>
        </w:rPr>
      </w:pPr>
    </w:p>
    <w:p>
      <w:pPr>
        <w:ind w:left="1720" w:right="700" w:hanging="571"/>
        <w:spacing w:after="0" w:line="266" w:lineRule="auto"/>
        <w:tabs>
          <w:tab w:leader="none" w:pos="1720" w:val="left"/>
        </w:tabs>
        <w:numPr>
          <w:ilvl w:val="0"/>
          <w:numId w:val="151"/>
        </w:numPr>
        <w:rPr>
          <w:rFonts w:ascii="Arial" w:cs="Arial" w:eastAsia="Arial" w:hAnsi="Arial"/>
          <w:sz w:val="19"/>
          <w:szCs w:val="19"/>
          <w:color w:val="auto"/>
        </w:rPr>
      </w:pPr>
      <w:r>
        <w:rPr>
          <w:rFonts w:ascii="Arial" w:cs="Arial" w:eastAsia="Arial" w:hAnsi="Arial"/>
          <w:sz w:val="19"/>
          <w:szCs w:val="19"/>
          <w:color w:val="auto"/>
        </w:rPr>
        <w:t>The Committee shall have made a determination that the requested distribution constitutes a Hardship Distribution in accordance with subsection (d).</w:t>
      </w:r>
    </w:p>
    <w:p>
      <w:pPr>
        <w:spacing w:after="0" w:line="128" w:lineRule="exact"/>
        <w:rPr>
          <w:rFonts w:ascii="Arial" w:cs="Arial" w:eastAsia="Arial" w:hAnsi="Arial"/>
          <w:sz w:val="19"/>
          <w:szCs w:val="19"/>
          <w:color w:val="auto"/>
        </w:rPr>
      </w:pPr>
    </w:p>
    <w:p>
      <w:pPr>
        <w:ind w:left="1720" w:right="300" w:hanging="571"/>
        <w:spacing w:after="0" w:line="247" w:lineRule="auto"/>
        <w:tabs>
          <w:tab w:leader="none" w:pos="1720" w:val="left"/>
        </w:tabs>
        <w:numPr>
          <w:ilvl w:val="0"/>
          <w:numId w:val="151"/>
        </w:numPr>
        <w:rPr>
          <w:rFonts w:ascii="Arial" w:cs="Arial" w:eastAsia="Arial" w:hAnsi="Arial"/>
          <w:sz w:val="19"/>
          <w:szCs w:val="19"/>
          <w:color w:val="auto"/>
        </w:rPr>
      </w:pPr>
      <w:r>
        <w:rPr>
          <w:rFonts w:ascii="Arial" w:cs="Arial" w:eastAsia="Arial" w:hAnsi="Arial"/>
          <w:sz w:val="19"/>
          <w:szCs w:val="19"/>
          <w:color w:val="auto"/>
        </w:rPr>
        <w:t>The amount determined by the Committee as a Hardship Distribution shall be paid in a single lump sum in cash as soon as practicable after the end of the calendar month in which the Hardship Distribution election is made and approved by the Committee. The Hardship Distribution shall be distributed proportionately from the subaccounts in the Participant’s Accounts.</w:t>
      </w:r>
    </w:p>
    <w:p>
      <w:pPr>
        <w:spacing w:after="0" w:line="145" w:lineRule="exact"/>
        <w:rPr>
          <w:rFonts w:ascii="Arial" w:cs="Arial" w:eastAsia="Arial" w:hAnsi="Arial"/>
          <w:sz w:val="19"/>
          <w:szCs w:val="19"/>
          <w:color w:val="auto"/>
        </w:rPr>
      </w:pPr>
    </w:p>
    <w:p>
      <w:pPr>
        <w:ind w:left="1720" w:right="40" w:hanging="571"/>
        <w:spacing w:after="0"/>
        <w:tabs>
          <w:tab w:leader="none" w:pos="1720" w:val="left"/>
        </w:tabs>
        <w:numPr>
          <w:ilvl w:val="0"/>
          <w:numId w:val="151"/>
        </w:numPr>
        <w:rPr>
          <w:rFonts w:ascii="Arial" w:cs="Arial" w:eastAsia="Arial" w:hAnsi="Arial"/>
          <w:sz w:val="19"/>
          <w:szCs w:val="19"/>
          <w:color w:val="auto"/>
        </w:rPr>
      </w:pPr>
      <w:r>
        <w:rPr>
          <w:rFonts w:ascii="Arial" w:cs="Arial" w:eastAsia="Arial" w:hAnsi="Arial"/>
          <w:sz w:val="19"/>
          <w:szCs w:val="19"/>
          <w:color w:val="auto"/>
        </w:rPr>
        <w:t>If a Participant receives a Hardship Distribution, the Participant shall be ineligible to contribute deferrals to the Plan for the following Plan Year. “Hardship Distribution” shall mean a severe financial hardship to the Participant resulting from (i) an illness or accident of the Participant, the Participant’s spouse or of his dependent (as defined in Section 152(a) of the Code), (ii) loss of a Participant’s property due to casualty, or (iii) other similar extraordinary and unforeseeable circumstances arising as a result of events beyond the control of the Participant, as determined by the Committee in accordance with Section 409A(a)(2)(B)(ii)(I) of the Code and the Treasury Regulations thereunder. The amount of the Hardship Distribution with respect to a severe financial hardship shall not exceed the amounts necess ary to satisfy such hardship, plus amounts necessary to pay taxes reasonably anticipated as a result of the distribution, after taking into account the extent to which such hardship is or may be relieved through reimbursement or compensation by insurance or otherwise or by liquidation of the Participant’s assets (to the extent the liquidation of such assets would not itself cause severe financial hardship), as determined by the Committee in accordance with Section 409A(a)(2)(B)(ii)(II) of the Code and the Treasury Regulations thereunder.</w:t>
      </w:r>
    </w:p>
    <w:p>
      <w:pPr>
        <w:spacing w:after="0" w:line="165" w:lineRule="exact"/>
        <w:rPr>
          <w:sz w:val="20"/>
          <w:szCs w:val="20"/>
          <w:color w:val="auto"/>
        </w:rPr>
      </w:pPr>
    </w:p>
    <w:p>
      <w:pPr>
        <w:ind w:left="140"/>
        <w:spacing w:after="0"/>
        <w:tabs>
          <w:tab w:leader="none" w:pos="560" w:val="left"/>
        </w:tabs>
        <w:rPr>
          <w:sz w:val="20"/>
          <w:szCs w:val="20"/>
          <w:color w:val="auto"/>
        </w:rPr>
      </w:pPr>
      <w:r>
        <w:rPr>
          <w:rFonts w:ascii="Arial" w:cs="Arial" w:eastAsia="Arial" w:hAnsi="Arial"/>
          <w:sz w:val="19"/>
          <w:szCs w:val="19"/>
          <w:u w:val="single" w:color="auto"/>
          <w:color w:val="auto"/>
        </w:rPr>
        <w:t>7.3</w:t>
      </w:r>
      <w:r>
        <w:rPr>
          <w:sz w:val="20"/>
          <w:szCs w:val="20"/>
          <w:color w:val="auto"/>
        </w:rPr>
        <w:tab/>
      </w:r>
      <w:r>
        <w:rPr>
          <w:rFonts w:ascii="Arial" w:cs="Arial" w:eastAsia="Arial" w:hAnsi="Arial"/>
          <w:sz w:val="17"/>
          <w:szCs w:val="17"/>
          <w:u w:val="single" w:color="auto"/>
          <w:color w:val="auto"/>
        </w:rPr>
        <w:t>Effect of a Change in Control</w:t>
      </w:r>
      <w:r>
        <w:rPr>
          <w:rFonts w:ascii="Arial" w:cs="Arial" w:eastAsia="Arial" w:hAnsi="Arial"/>
          <w:sz w:val="17"/>
          <w:szCs w:val="17"/>
          <w:color w:val="auto"/>
        </w:rPr>
        <w:t>.</w:t>
      </w:r>
    </w:p>
    <w:p>
      <w:pPr>
        <w:spacing w:after="0" w:line="178" w:lineRule="exact"/>
        <w:rPr>
          <w:sz w:val="20"/>
          <w:szCs w:val="20"/>
          <w:color w:val="auto"/>
        </w:rPr>
      </w:pPr>
    </w:p>
    <w:p>
      <w:pPr>
        <w:ind w:left="1720" w:right="60" w:hanging="571"/>
        <w:spacing w:after="0" w:line="247" w:lineRule="auto"/>
        <w:tabs>
          <w:tab w:leader="none" w:pos="1720" w:val="left"/>
        </w:tabs>
        <w:numPr>
          <w:ilvl w:val="0"/>
          <w:numId w:val="152"/>
        </w:numPr>
        <w:rPr>
          <w:rFonts w:ascii="Arial" w:cs="Arial" w:eastAsia="Arial" w:hAnsi="Arial"/>
          <w:sz w:val="19"/>
          <w:szCs w:val="19"/>
          <w:color w:val="auto"/>
        </w:rPr>
      </w:pPr>
      <w:r>
        <w:rPr>
          <w:rFonts w:ascii="Arial" w:cs="Arial" w:eastAsia="Arial" w:hAnsi="Arial"/>
          <w:sz w:val="19"/>
          <w:szCs w:val="19"/>
          <w:color w:val="auto"/>
        </w:rPr>
        <w:t>In the event there is a Change in Control, the person who is the chief executive officer (or, if not so identified, the Company’s highest ranking officer) shall name a third-party fiduciary as the sole member of the Committee immediately prior to such Change in Control. The appointed fiduciary, shall provide for the immediate distributions of the accounts under the Plan in lump sum payments and cash.</w:t>
      </w:r>
    </w:p>
    <w:p>
      <w:pPr>
        <w:spacing w:after="0" w:line="157" w:lineRule="exact"/>
        <w:rPr>
          <w:rFonts w:ascii="Arial" w:cs="Arial" w:eastAsia="Arial" w:hAnsi="Arial"/>
          <w:sz w:val="19"/>
          <w:szCs w:val="19"/>
          <w:color w:val="auto"/>
        </w:rPr>
      </w:pPr>
    </w:p>
    <w:p>
      <w:pPr>
        <w:ind w:left="1720" w:right="300" w:hanging="571"/>
        <w:spacing w:after="0" w:line="285" w:lineRule="auto"/>
        <w:tabs>
          <w:tab w:leader="none" w:pos="1720" w:val="left"/>
        </w:tabs>
        <w:numPr>
          <w:ilvl w:val="0"/>
          <w:numId w:val="152"/>
        </w:numPr>
        <w:rPr>
          <w:rFonts w:ascii="Arial" w:cs="Arial" w:eastAsia="Arial" w:hAnsi="Arial"/>
          <w:sz w:val="17"/>
          <w:szCs w:val="17"/>
          <w:color w:val="auto"/>
        </w:rPr>
      </w:pPr>
      <w:r>
        <w:rPr>
          <w:rFonts w:ascii="Arial" w:cs="Arial" w:eastAsia="Arial" w:hAnsi="Arial"/>
          <w:sz w:val="17"/>
          <w:szCs w:val="17"/>
          <w:color w:val="auto"/>
        </w:rPr>
        <w:t>Upon and after the occurrence of a Change in Control, the Company must (i) pay all reasonable administrative fees and expenses of the appointed fiduciary, (ii) indemnify the appointed fiduciary against any costs, expenses and liabilities including, without limitation, attorney’s fees and expenses arising in connection with the appointed fiduciary's duties hereunder, other than with respect to matters resulting from the gross negligence of the appointed fiduciary or its agents or</w:t>
      </w:r>
    </w:p>
    <w:p>
      <w:pPr>
        <w:sectPr>
          <w:pgSz w:w="11900" w:h="16938" w:orient="portrait"/>
          <w:cols w:equalWidth="0" w:num="1">
            <w:col w:w="11440"/>
          </w:cols>
          <w:pgMar w:left="240" w:top="120" w:right="219" w:bottom="0" w:gutter="0" w:footer="0" w:header="0"/>
        </w:sectPr>
      </w:pPr>
    </w:p>
    <w:bookmarkStart w:id="106" w:name="page107"/>
    <w:bookmarkEnd w:id="106"/>
    <w:p>
      <w:pPr>
        <w:ind w:left="1720" w:right="100"/>
        <w:spacing w:after="0" w:line="267" w:lineRule="auto"/>
        <w:rPr>
          <w:sz w:val="20"/>
          <w:szCs w:val="20"/>
          <w:color w:val="auto"/>
        </w:rPr>
      </w:pPr>
      <w:r>
        <w:rPr>
          <w:rFonts w:ascii="Arial" w:cs="Arial" w:eastAsia="Arial" w:hAnsi="Arial"/>
          <w:sz w:val="19"/>
          <w:szCs w:val="19"/>
          <w:color w:val="auto"/>
        </w:rPr>
        <w:t>employees and (iii) timely provide the appointed fiduciary with all necessary information related to the Plan, the Participants and Beneficiaries.</w:t>
      </w:r>
    </w:p>
    <w:p>
      <w:pPr>
        <w:spacing w:after="0" w:line="127" w:lineRule="exact"/>
        <w:rPr>
          <w:sz w:val="20"/>
          <w:szCs w:val="20"/>
          <w:color w:val="auto"/>
        </w:rPr>
      </w:pPr>
    </w:p>
    <w:p>
      <w:pPr>
        <w:ind w:left="1720" w:right="220" w:hanging="571"/>
        <w:spacing w:after="0" w:line="296" w:lineRule="auto"/>
        <w:tabs>
          <w:tab w:leader="none" w:pos="1720" w:val="left"/>
        </w:tabs>
        <w:numPr>
          <w:ilvl w:val="0"/>
          <w:numId w:val="153"/>
        </w:numPr>
        <w:rPr>
          <w:rFonts w:ascii="Arial" w:cs="Arial" w:eastAsia="Arial" w:hAnsi="Arial"/>
          <w:sz w:val="17"/>
          <w:szCs w:val="17"/>
          <w:color w:val="auto"/>
        </w:rPr>
      </w:pPr>
      <w:r>
        <w:rPr>
          <w:rFonts w:ascii="Arial" w:cs="Arial" w:eastAsia="Arial" w:hAnsi="Arial"/>
          <w:sz w:val="17"/>
          <w:szCs w:val="17"/>
          <w:color w:val="auto"/>
        </w:rPr>
        <w:t>Notwithstanding Section 9.4, in the event there is a Change in Control no amendment may be made to this Plan except as approved by the third-party fiduciary. Upon a Change in Control, assets shall be placed in a rabbi trust in an amount which shall equal the full accrued liability under this Plan as determined by Towers Perrin, or a successor actuarial firm.</w:t>
      </w:r>
    </w:p>
    <w:p>
      <w:pPr>
        <w:spacing w:after="0" w:line="118" w:lineRule="exact"/>
        <w:rPr>
          <w:sz w:val="20"/>
          <w:szCs w:val="20"/>
          <w:color w:val="auto"/>
        </w:rPr>
      </w:pPr>
    </w:p>
    <w:p>
      <w:pPr>
        <w:ind w:left="140"/>
        <w:spacing w:after="0"/>
        <w:tabs>
          <w:tab w:leader="none" w:pos="560" w:val="left"/>
        </w:tabs>
        <w:rPr>
          <w:sz w:val="20"/>
          <w:szCs w:val="20"/>
          <w:color w:val="auto"/>
        </w:rPr>
      </w:pPr>
      <w:r>
        <w:rPr>
          <w:rFonts w:ascii="Arial" w:cs="Arial" w:eastAsia="Arial" w:hAnsi="Arial"/>
          <w:sz w:val="19"/>
          <w:szCs w:val="19"/>
          <w:u w:val="single" w:color="auto"/>
          <w:color w:val="auto"/>
        </w:rPr>
        <w:t>7.4</w:t>
      </w:r>
      <w:r>
        <w:rPr>
          <w:sz w:val="20"/>
          <w:szCs w:val="20"/>
          <w:color w:val="auto"/>
        </w:rPr>
        <w:tab/>
      </w:r>
      <w:r>
        <w:rPr>
          <w:rFonts w:ascii="Arial" w:cs="Arial" w:eastAsia="Arial" w:hAnsi="Arial"/>
          <w:sz w:val="17"/>
          <w:szCs w:val="17"/>
          <w:u w:val="single" w:color="auto"/>
          <w:color w:val="auto"/>
        </w:rPr>
        <w:t>Inability to Locate Participant</w:t>
      </w:r>
      <w:r>
        <w:rPr>
          <w:rFonts w:ascii="Arial" w:cs="Arial" w:eastAsia="Arial" w:hAnsi="Arial"/>
          <w:sz w:val="17"/>
          <w:szCs w:val="17"/>
          <w:color w:val="auto"/>
        </w:rPr>
        <w:t>.</w:t>
      </w:r>
    </w:p>
    <w:p>
      <w:pPr>
        <w:spacing w:after="0" w:line="190" w:lineRule="exact"/>
        <w:rPr>
          <w:sz w:val="20"/>
          <w:szCs w:val="20"/>
          <w:color w:val="auto"/>
        </w:rPr>
      </w:pPr>
    </w:p>
    <w:p>
      <w:pPr>
        <w:ind w:right="160" w:firstLine="1153"/>
        <w:spacing w:after="0" w:line="272" w:lineRule="auto"/>
        <w:rPr>
          <w:sz w:val="20"/>
          <w:szCs w:val="20"/>
          <w:color w:val="auto"/>
        </w:rPr>
      </w:pPr>
      <w:r>
        <w:rPr>
          <w:rFonts w:ascii="Arial" w:cs="Arial" w:eastAsia="Arial" w:hAnsi="Arial"/>
          <w:sz w:val="18"/>
          <w:szCs w:val="18"/>
          <w:color w:val="auto"/>
        </w:rPr>
        <w:t>In the event that the Committee is unable to locate a Participant or Beneficiary within two years following the required Payment Date, the amount allocated to the Participant’s Accounts shall be forfeited. If, after such forfeiture, the Participant or Beneficiary later claims such benefit, such benefit shall be reinstated without interest or earnings from the date of forfeiture, subject to applicable escheat laws.</w:t>
      </w:r>
    </w:p>
    <w:p>
      <w:pPr>
        <w:spacing w:after="0" w:line="125" w:lineRule="exact"/>
        <w:rPr>
          <w:sz w:val="20"/>
          <w:szCs w:val="20"/>
          <w:color w:val="auto"/>
        </w:rPr>
      </w:pPr>
    </w:p>
    <w:p>
      <w:pPr>
        <w:spacing w:after="0"/>
        <w:tabs>
          <w:tab w:leader="none" w:pos="560" w:val="left"/>
        </w:tabs>
        <w:rPr>
          <w:sz w:val="20"/>
          <w:szCs w:val="20"/>
          <w:color w:val="auto"/>
        </w:rPr>
      </w:pPr>
      <w:r>
        <w:rPr>
          <w:rFonts w:ascii="Arial" w:cs="Arial" w:eastAsia="Arial" w:hAnsi="Arial"/>
          <w:sz w:val="19"/>
          <w:szCs w:val="19"/>
          <w:color w:val="auto"/>
        </w:rPr>
        <w:t>7.5</w:t>
      </w:r>
      <w:r>
        <w:rPr>
          <w:sz w:val="20"/>
          <w:szCs w:val="20"/>
          <w:color w:val="auto"/>
        </w:rPr>
        <w:tab/>
      </w:r>
      <w:r>
        <w:rPr>
          <w:rFonts w:ascii="Arial" w:cs="Arial" w:eastAsia="Arial" w:hAnsi="Arial"/>
          <w:sz w:val="18"/>
          <w:szCs w:val="18"/>
          <w:u w:val="single" w:color="auto"/>
          <w:color w:val="auto"/>
        </w:rPr>
        <w:t>Prohibition on Acceleration of Distributions</w:t>
      </w:r>
      <w:r>
        <w:rPr>
          <w:rFonts w:ascii="Arial" w:cs="Arial" w:eastAsia="Arial" w:hAnsi="Arial"/>
          <w:sz w:val="18"/>
          <w:szCs w:val="18"/>
          <w:color w:val="auto"/>
        </w:rPr>
        <w:t>.</w:t>
      </w:r>
    </w:p>
    <w:p>
      <w:pPr>
        <w:spacing w:after="0" w:line="190" w:lineRule="exact"/>
        <w:rPr>
          <w:sz w:val="20"/>
          <w:szCs w:val="20"/>
          <w:color w:val="auto"/>
        </w:rPr>
      </w:pPr>
    </w:p>
    <w:p>
      <w:pPr>
        <w:ind w:right="480" w:firstLine="1153"/>
        <w:spacing w:after="0" w:line="266" w:lineRule="auto"/>
        <w:rPr>
          <w:sz w:val="20"/>
          <w:szCs w:val="20"/>
          <w:color w:val="auto"/>
        </w:rPr>
      </w:pPr>
      <w:r>
        <w:rPr>
          <w:rFonts w:ascii="Arial" w:cs="Arial" w:eastAsia="Arial" w:hAnsi="Arial"/>
          <w:sz w:val="19"/>
          <w:szCs w:val="19"/>
          <w:color w:val="auto"/>
        </w:rPr>
        <w:t>The time or schedule of payment of any withdrawal or distribution under the Plan shall not be subject to acceleration, except as provided under Treasury Regulations promulgated in accordance with Section 409A(a)(3) of the Code.</w:t>
      </w:r>
    </w:p>
    <w:p>
      <w:pPr>
        <w:spacing w:after="0" w:line="134" w:lineRule="exact"/>
        <w:rPr>
          <w:sz w:val="20"/>
          <w:szCs w:val="20"/>
          <w:color w:val="auto"/>
        </w:rPr>
      </w:pPr>
    </w:p>
    <w:p>
      <w:pPr>
        <w:ind w:left="5040"/>
        <w:spacing w:after="0"/>
        <w:rPr>
          <w:sz w:val="20"/>
          <w:szCs w:val="20"/>
          <w:color w:val="auto"/>
        </w:rPr>
      </w:pPr>
      <w:r>
        <w:rPr>
          <w:rFonts w:ascii="Arial" w:cs="Arial" w:eastAsia="Arial" w:hAnsi="Arial"/>
          <w:sz w:val="19"/>
          <w:szCs w:val="19"/>
          <w:b w:val="1"/>
          <w:bCs w:val="1"/>
          <w:color w:val="auto"/>
        </w:rPr>
        <w:t>ARTICLE VIII.</w:t>
      </w:r>
    </w:p>
    <w:p>
      <w:pPr>
        <w:spacing w:after="0" w:line="20" w:lineRule="exact"/>
        <w:rPr>
          <w:sz w:val="20"/>
          <w:szCs w:val="20"/>
          <w:color w:val="auto"/>
        </w:rPr>
      </w:pPr>
    </w:p>
    <w:p>
      <w:pPr>
        <w:ind w:left="5140"/>
        <w:spacing w:after="0"/>
        <w:rPr>
          <w:sz w:val="20"/>
          <w:szCs w:val="20"/>
          <w:color w:val="auto"/>
        </w:rPr>
      </w:pPr>
      <w:r>
        <w:rPr>
          <w:rFonts w:ascii="Arial" w:cs="Arial" w:eastAsia="Arial" w:hAnsi="Arial"/>
          <w:sz w:val="19"/>
          <w:szCs w:val="19"/>
          <w:b w:val="1"/>
          <w:bCs w:val="1"/>
          <w:u w:val="single" w:color="auto"/>
          <w:color w:val="auto"/>
        </w:rPr>
        <w:t>ADMINISTRATION</w:t>
      </w:r>
    </w:p>
    <w:p>
      <w:pPr>
        <w:spacing w:after="0" w:line="162" w:lineRule="exact"/>
        <w:rPr>
          <w:sz w:val="20"/>
          <w:szCs w:val="20"/>
          <w:color w:val="auto"/>
        </w:rPr>
      </w:pPr>
    </w:p>
    <w:p>
      <w:pPr>
        <w:ind w:left="140"/>
        <w:spacing w:after="0"/>
        <w:tabs>
          <w:tab w:leader="none" w:pos="560" w:val="left"/>
        </w:tabs>
        <w:rPr>
          <w:sz w:val="20"/>
          <w:szCs w:val="20"/>
          <w:color w:val="auto"/>
        </w:rPr>
      </w:pPr>
      <w:r>
        <w:rPr>
          <w:rFonts w:ascii="Arial" w:cs="Arial" w:eastAsia="Arial" w:hAnsi="Arial"/>
          <w:sz w:val="19"/>
          <w:szCs w:val="19"/>
          <w:u w:val="single" w:color="auto"/>
          <w:color w:val="auto"/>
        </w:rPr>
        <w:t>8.1</w:t>
      </w:r>
      <w:r>
        <w:rPr>
          <w:sz w:val="20"/>
          <w:szCs w:val="20"/>
          <w:color w:val="auto"/>
        </w:rPr>
        <w:tab/>
      </w:r>
      <w:r>
        <w:rPr>
          <w:rFonts w:ascii="Arial" w:cs="Arial" w:eastAsia="Arial" w:hAnsi="Arial"/>
          <w:sz w:val="17"/>
          <w:szCs w:val="17"/>
          <w:u w:val="single" w:color="auto"/>
          <w:color w:val="auto"/>
        </w:rPr>
        <w:t>Committee</w:t>
      </w:r>
      <w:r>
        <w:rPr>
          <w:rFonts w:ascii="Arial" w:cs="Arial" w:eastAsia="Arial" w:hAnsi="Arial"/>
          <w:sz w:val="17"/>
          <w:szCs w:val="17"/>
          <w:color w:val="auto"/>
        </w:rPr>
        <w:t>.</w:t>
      </w:r>
    </w:p>
    <w:p>
      <w:pPr>
        <w:spacing w:after="0" w:line="190" w:lineRule="exact"/>
        <w:rPr>
          <w:sz w:val="20"/>
          <w:szCs w:val="20"/>
          <w:color w:val="auto"/>
        </w:rPr>
      </w:pPr>
    </w:p>
    <w:p>
      <w:pPr>
        <w:ind w:left="1140"/>
        <w:spacing w:after="0"/>
        <w:rPr>
          <w:sz w:val="20"/>
          <w:szCs w:val="20"/>
          <w:color w:val="auto"/>
        </w:rPr>
      </w:pPr>
      <w:r>
        <w:rPr>
          <w:rFonts w:ascii="Arial" w:cs="Arial" w:eastAsia="Arial" w:hAnsi="Arial"/>
          <w:sz w:val="19"/>
          <w:szCs w:val="19"/>
          <w:color w:val="auto"/>
        </w:rPr>
        <w:t>The Committee shall administer the Plan in accordance with this Article.</w:t>
      </w:r>
    </w:p>
    <w:p>
      <w:pPr>
        <w:spacing w:after="0" w:line="190" w:lineRule="exact"/>
        <w:rPr>
          <w:sz w:val="20"/>
          <w:szCs w:val="20"/>
          <w:color w:val="auto"/>
        </w:rPr>
      </w:pPr>
    </w:p>
    <w:p>
      <w:pPr>
        <w:ind w:left="140"/>
        <w:spacing w:after="0"/>
        <w:tabs>
          <w:tab w:leader="none" w:pos="560" w:val="left"/>
        </w:tabs>
        <w:rPr>
          <w:sz w:val="20"/>
          <w:szCs w:val="20"/>
          <w:color w:val="auto"/>
        </w:rPr>
      </w:pPr>
      <w:r>
        <w:rPr>
          <w:rFonts w:ascii="Arial" w:cs="Arial" w:eastAsia="Arial" w:hAnsi="Arial"/>
          <w:sz w:val="19"/>
          <w:szCs w:val="19"/>
          <w:u w:val="single" w:color="auto"/>
          <w:color w:val="auto"/>
        </w:rPr>
        <w:t>8.2</w:t>
      </w:r>
      <w:r>
        <w:rPr>
          <w:sz w:val="20"/>
          <w:szCs w:val="20"/>
          <w:color w:val="auto"/>
        </w:rPr>
        <w:tab/>
      </w:r>
      <w:r>
        <w:rPr>
          <w:rFonts w:ascii="Arial" w:cs="Arial" w:eastAsia="Arial" w:hAnsi="Arial"/>
          <w:sz w:val="18"/>
          <w:szCs w:val="18"/>
          <w:u w:val="single" w:color="auto"/>
          <w:color w:val="auto"/>
        </w:rPr>
        <w:t>Administrator</w:t>
      </w:r>
      <w:r>
        <w:rPr>
          <w:rFonts w:ascii="Arial" w:cs="Arial" w:eastAsia="Arial" w:hAnsi="Arial"/>
          <w:sz w:val="18"/>
          <w:szCs w:val="18"/>
          <w:color w:val="auto"/>
        </w:rPr>
        <w:t>.</w:t>
      </w:r>
    </w:p>
    <w:p>
      <w:pPr>
        <w:spacing w:after="0" w:line="190" w:lineRule="exact"/>
        <w:rPr>
          <w:sz w:val="20"/>
          <w:szCs w:val="20"/>
          <w:color w:val="auto"/>
        </w:rPr>
      </w:pPr>
    </w:p>
    <w:p>
      <w:pPr>
        <w:ind w:firstLine="1153"/>
        <w:spacing w:after="0" w:line="266" w:lineRule="auto"/>
        <w:rPr>
          <w:sz w:val="20"/>
          <w:szCs w:val="20"/>
          <w:color w:val="auto"/>
        </w:rPr>
      </w:pPr>
      <w:r>
        <w:rPr>
          <w:rFonts w:ascii="Arial" w:cs="Arial" w:eastAsia="Arial" w:hAnsi="Arial"/>
          <w:sz w:val="19"/>
          <w:szCs w:val="19"/>
          <w:color w:val="auto"/>
        </w:rPr>
        <w:t>The Administrator, unless restricted by the Committee, shall exercise the powers under Sections 8.4 and 8.5 except when the exercise of such authority would materially affect the cost of the Plan to the Company or materially increase benefits to Participants.</w:t>
      </w:r>
    </w:p>
    <w:p>
      <w:pPr>
        <w:spacing w:after="0" w:line="128" w:lineRule="exact"/>
        <w:rPr>
          <w:sz w:val="20"/>
          <w:szCs w:val="20"/>
          <w:color w:val="auto"/>
        </w:rPr>
      </w:pPr>
    </w:p>
    <w:p>
      <w:pPr>
        <w:ind w:left="140"/>
        <w:spacing w:after="0"/>
        <w:tabs>
          <w:tab w:leader="none" w:pos="560" w:val="left"/>
        </w:tabs>
        <w:rPr>
          <w:sz w:val="20"/>
          <w:szCs w:val="20"/>
          <w:color w:val="auto"/>
        </w:rPr>
      </w:pPr>
      <w:r>
        <w:rPr>
          <w:rFonts w:ascii="Arial" w:cs="Arial" w:eastAsia="Arial" w:hAnsi="Arial"/>
          <w:sz w:val="19"/>
          <w:szCs w:val="19"/>
          <w:u w:val="single" w:color="auto"/>
          <w:color w:val="auto"/>
        </w:rPr>
        <w:t>8.3</w:t>
      </w:r>
      <w:r>
        <w:rPr>
          <w:sz w:val="20"/>
          <w:szCs w:val="20"/>
          <w:color w:val="auto"/>
        </w:rPr>
        <w:tab/>
      </w:r>
      <w:r>
        <w:rPr>
          <w:rFonts w:ascii="Arial" w:cs="Arial" w:eastAsia="Arial" w:hAnsi="Arial"/>
          <w:sz w:val="17"/>
          <w:szCs w:val="17"/>
          <w:u w:val="single" w:color="auto"/>
          <w:color w:val="auto"/>
        </w:rPr>
        <w:t>Committee Action</w:t>
      </w:r>
      <w:r>
        <w:rPr>
          <w:rFonts w:ascii="Arial" w:cs="Arial" w:eastAsia="Arial" w:hAnsi="Arial"/>
          <w:sz w:val="17"/>
          <w:szCs w:val="17"/>
          <w:color w:val="auto"/>
        </w:rPr>
        <w:t>.</w:t>
      </w:r>
    </w:p>
    <w:p>
      <w:pPr>
        <w:spacing w:after="0" w:line="190" w:lineRule="exact"/>
        <w:rPr>
          <w:sz w:val="20"/>
          <w:szCs w:val="20"/>
          <w:color w:val="auto"/>
        </w:rPr>
      </w:pPr>
    </w:p>
    <w:p>
      <w:pPr>
        <w:ind w:firstLine="1153"/>
        <w:spacing w:after="0" w:line="261" w:lineRule="auto"/>
        <w:rPr>
          <w:sz w:val="20"/>
          <w:szCs w:val="20"/>
          <w:color w:val="auto"/>
        </w:rPr>
      </w:pPr>
      <w:r>
        <w:rPr>
          <w:rFonts w:ascii="Arial" w:cs="Arial" w:eastAsia="Arial" w:hAnsi="Arial"/>
          <w:sz w:val="18"/>
          <w:szCs w:val="18"/>
          <w:color w:val="auto"/>
        </w:rPr>
        <w:t>The Committee shall act at meetings by affirmative vote of a majority of the members of the Committee. Any action permitted to be taken at a meeting may be taken without a meeting if, prior to such action, a written consent to the action is signed by all members of the Committee and such written consent is filed with the minutes of the proceedings of the Committee. A member of the Committee shall not vote or act upon any matter which relates solely to himself or herself as a Participant. The chairman or any other member or members of the Committee designated by the chairman may execute any certificate or other written direction of behalf of the Committee.</w:t>
      </w:r>
    </w:p>
    <w:p>
      <w:pPr>
        <w:spacing w:after="0" w:line="136" w:lineRule="exact"/>
        <w:rPr>
          <w:sz w:val="20"/>
          <w:szCs w:val="20"/>
          <w:color w:val="auto"/>
        </w:rPr>
      </w:pPr>
    </w:p>
    <w:p>
      <w:pPr>
        <w:ind w:left="140"/>
        <w:spacing w:after="0"/>
        <w:tabs>
          <w:tab w:leader="none" w:pos="560" w:val="left"/>
        </w:tabs>
        <w:rPr>
          <w:sz w:val="20"/>
          <w:szCs w:val="20"/>
          <w:color w:val="auto"/>
        </w:rPr>
      </w:pPr>
      <w:r>
        <w:rPr>
          <w:rFonts w:ascii="Arial" w:cs="Arial" w:eastAsia="Arial" w:hAnsi="Arial"/>
          <w:sz w:val="19"/>
          <w:szCs w:val="19"/>
          <w:u w:val="single" w:color="auto"/>
          <w:color w:val="auto"/>
        </w:rPr>
        <w:t>8.4</w:t>
      </w:r>
      <w:r>
        <w:rPr>
          <w:sz w:val="20"/>
          <w:szCs w:val="20"/>
          <w:color w:val="auto"/>
        </w:rPr>
        <w:tab/>
      </w:r>
      <w:r>
        <w:rPr>
          <w:rFonts w:ascii="Arial" w:cs="Arial" w:eastAsia="Arial" w:hAnsi="Arial"/>
          <w:sz w:val="17"/>
          <w:szCs w:val="17"/>
          <w:u w:val="single" w:color="auto"/>
          <w:color w:val="auto"/>
        </w:rPr>
        <w:t>Powers and Duties of the Committee</w:t>
      </w:r>
      <w:r>
        <w:rPr>
          <w:rFonts w:ascii="Arial" w:cs="Arial" w:eastAsia="Arial" w:hAnsi="Arial"/>
          <w:sz w:val="17"/>
          <w:szCs w:val="17"/>
          <w:color w:val="auto"/>
        </w:rPr>
        <w:t>.</w:t>
      </w:r>
    </w:p>
    <w:p>
      <w:pPr>
        <w:spacing w:after="0" w:line="190" w:lineRule="exact"/>
        <w:rPr>
          <w:sz w:val="20"/>
          <w:szCs w:val="20"/>
          <w:color w:val="auto"/>
        </w:rPr>
      </w:pPr>
    </w:p>
    <w:p>
      <w:pPr>
        <w:ind w:left="1720" w:right="20" w:hanging="571"/>
        <w:spacing w:after="0" w:line="252" w:lineRule="auto"/>
        <w:tabs>
          <w:tab w:leader="none" w:pos="1720" w:val="left"/>
        </w:tabs>
        <w:numPr>
          <w:ilvl w:val="0"/>
          <w:numId w:val="154"/>
        </w:numPr>
        <w:rPr>
          <w:rFonts w:ascii="Arial" w:cs="Arial" w:eastAsia="Arial" w:hAnsi="Arial"/>
          <w:sz w:val="19"/>
          <w:szCs w:val="19"/>
          <w:color w:val="auto"/>
        </w:rPr>
      </w:pPr>
      <w:r>
        <w:rPr>
          <w:rFonts w:ascii="Arial" w:cs="Arial" w:eastAsia="Arial" w:hAnsi="Arial"/>
          <w:sz w:val="19"/>
          <w:szCs w:val="19"/>
          <w:color w:val="auto"/>
        </w:rPr>
        <w:t>The Committee, on behalf of the Participants and their Beneficiaries, shall enforce the Plan in accordance with its terms, shall be charged with the general administration of the Plan, and shall have all powers necessary to accomplish its purposes as set forth herein, including, but not by way of limitation, the following:</w:t>
      </w:r>
    </w:p>
    <w:p>
      <w:pPr>
        <w:spacing w:after="0" w:line="141" w:lineRule="exact"/>
        <w:rPr>
          <w:sz w:val="20"/>
          <w:szCs w:val="20"/>
          <w:color w:val="auto"/>
        </w:rPr>
      </w:pPr>
    </w:p>
    <w:p>
      <w:pPr>
        <w:ind w:left="1720" w:hanging="571"/>
        <w:spacing w:after="0"/>
        <w:tabs>
          <w:tab w:leader="none" w:pos="1720" w:val="left"/>
        </w:tabs>
        <w:numPr>
          <w:ilvl w:val="0"/>
          <w:numId w:val="155"/>
        </w:numPr>
        <w:rPr>
          <w:rFonts w:ascii="Arial" w:cs="Arial" w:eastAsia="Arial" w:hAnsi="Arial"/>
          <w:sz w:val="19"/>
          <w:szCs w:val="19"/>
          <w:color w:val="auto"/>
        </w:rPr>
      </w:pPr>
      <w:r>
        <w:rPr>
          <w:rFonts w:ascii="Arial" w:cs="Arial" w:eastAsia="Arial" w:hAnsi="Arial"/>
          <w:sz w:val="19"/>
          <w:szCs w:val="19"/>
          <w:color w:val="auto"/>
        </w:rPr>
        <w:t>To select the Measurement Funds in accordance with Section 4.1 hereof;</w:t>
      </w:r>
    </w:p>
    <w:p>
      <w:pPr>
        <w:spacing w:after="0" w:line="177" w:lineRule="exact"/>
        <w:rPr>
          <w:rFonts w:ascii="Arial" w:cs="Arial" w:eastAsia="Arial" w:hAnsi="Arial"/>
          <w:sz w:val="19"/>
          <w:szCs w:val="19"/>
          <w:color w:val="auto"/>
        </w:rPr>
      </w:pPr>
    </w:p>
    <w:p>
      <w:pPr>
        <w:ind w:left="1720" w:hanging="571"/>
        <w:spacing w:after="0"/>
        <w:tabs>
          <w:tab w:leader="none" w:pos="1720" w:val="left"/>
        </w:tabs>
        <w:numPr>
          <w:ilvl w:val="0"/>
          <w:numId w:val="155"/>
        </w:numPr>
        <w:rPr>
          <w:rFonts w:ascii="Arial" w:cs="Arial" w:eastAsia="Arial" w:hAnsi="Arial"/>
          <w:sz w:val="17"/>
          <w:szCs w:val="17"/>
          <w:color w:val="auto"/>
        </w:rPr>
      </w:pPr>
      <w:r>
        <w:rPr>
          <w:rFonts w:ascii="Arial" w:cs="Arial" w:eastAsia="Arial" w:hAnsi="Arial"/>
          <w:sz w:val="17"/>
          <w:szCs w:val="17"/>
          <w:color w:val="auto"/>
        </w:rPr>
        <w:t>To construe and interpret the terms and provisions of the Plan and to remedy any inconsistencies or ambiguities hereunder;</w:t>
      </w:r>
    </w:p>
    <w:p>
      <w:pPr>
        <w:spacing w:after="0" w:line="212" w:lineRule="exact"/>
        <w:rPr>
          <w:rFonts w:ascii="Arial" w:cs="Arial" w:eastAsia="Arial" w:hAnsi="Arial"/>
          <w:sz w:val="17"/>
          <w:szCs w:val="17"/>
          <w:color w:val="auto"/>
        </w:rPr>
      </w:pPr>
    </w:p>
    <w:p>
      <w:pPr>
        <w:ind w:left="1720" w:hanging="571"/>
        <w:spacing w:after="0"/>
        <w:tabs>
          <w:tab w:leader="none" w:pos="1720" w:val="left"/>
        </w:tabs>
        <w:numPr>
          <w:ilvl w:val="0"/>
          <w:numId w:val="155"/>
        </w:numPr>
        <w:rPr>
          <w:rFonts w:ascii="Arial" w:cs="Arial" w:eastAsia="Arial" w:hAnsi="Arial"/>
          <w:sz w:val="19"/>
          <w:szCs w:val="19"/>
          <w:color w:val="auto"/>
        </w:rPr>
      </w:pPr>
      <w:r>
        <w:rPr>
          <w:rFonts w:ascii="Arial" w:cs="Arial" w:eastAsia="Arial" w:hAnsi="Arial"/>
          <w:sz w:val="19"/>
          <w:szCs w:val="19"/>
          <w:color w:val="auto"/>
        </w:rPr>
        <w:t>To select employees eligible to participate in the Plan;</w:t>
      </w:r>
    </w:p>
    <w:p>
      <w:pPr>
        <w:spacing w:after="0" w:line="177" w:lineRule="exact"/>
        <w:rPr>
          <w:rFonts w:ascii="Arial" w:cs="Arial" w:eastAsia="Arial" w:hAnsi="Arial"/>
          <w:sz w:val="19"/>
          <w:szCs w:val="19"/>
          <w:color w:val="auto"/>
        </w:rPr>
      </w:pPr>
    </w:p>
    <w:p>
      <w:pPr>
        <w:ind w:left="1720" w:hanging="571"/>
        <w:spacing w:after="0"/>
        <w:tabs>
          <w:tab w:leader="none" w:pos="1720" w:val="left"/>
        </w:tabs>
        <w:numPr>
          <w:ilvl w:val="0"/>
          <w:numId w:val="155"/>
        </w:numPr>
        <w:rPr>
          <w:rFonts w:ascii="Arial" w:cs="Arial" w:eastAsia="Arial" w:hAnsi="Arial"/>
          <w:sz w:val="19"/>
          <w:szCs w:val="19"/>
          <w:color w:val="auto"/>
        </w:rPr>
      </w:pPr>
      <w:r>
        <w:rPr>
          <w:rFonts w:ascii="Arial" w:cs="Arial" w:eastAsia="Arial" w:hAnsi="Arial"/>
          <w:sz w:val="19"/>
          <w:szCs w:val="19"/>
          <w:color w:val="auto"/>
        </w:rPr>
        <w:t>To compute and certify to the amount and kind of benefits payable to Participants and their Beneficiaries;</w:t>
      </w:r>
    </w:p>
    <w:p>
      <w:pPr>
        <w:spacing w:after="0" w:line="177" w:lineRule="exact"/>
        <w:rPr>
          <w:rFonts w:ascii="Arial" w:cs="Arial" w:eastAsia="Arial" w:hAnsi="Arial"/>
          <w:sz w:val="19"/>
          <w:szCs w:val="19"/>
          <w:color w:val="auto"/>
        </w:rPr>
      </w:pPr>
    </w:p>
    <w:p>
      <w:pPr>
        <w:ind w:left="1720" w:hanging="571"/>
        <w:spacing w:after="0"/>
        <w:tabs>
          <w:tab w:leader="none" w:pos="1720" w:val="left"/>
        </w:tabs>
        <w:numPr>
          <w:ilvl w:val="0"/>
          <w:numId w:val="155"/>
        </w:numPr>
        <w:rPr>
          <w:rFonts w:ascii="Arial" w:cs="Arial" w:eastAsia="Arial" w:hAnsi="Arial"/>
          <w:sz w:val="19"/>
          <w:szCs w:val="19"/>
          <w:color w:val="auto"/>
        </w:rPr>
      </w:pPr>
      <w:r>
        <w:rPr>
          <w:rFonts w:ascii="Arial" w:cs="Arial" w:eastAsia="Arial" w:hAnsi="Arial"/>
          <w:sz w:val="19"/>
          <w:szCs w:val="19"/>
          <w:color w:val="auto"/>
        </w:rPr>
        <w:t>To maintain all records that may be necessary for the administration of the Plan;</w:t>
      </w:r>
    </w:p>
    <w:p>
      <w:pPr>
        <w:spacing w:after="0" w:line="189" w:lineRule="exact"/>
        <w:rPr>
          <w:rFonts w:ascii="Arial" w:cs="Arial" w:eastAsia="Arial" w:hAnsi="Arial"/>
          <w:sz w:val="19"/>
          <w:szCs w:val="19"/>
          <w:color w:val="auto"/>
        </w:rPr>
      </w:pPr>
    </w:p>
    <w:p>
      <w:pPr>
        <w:ind w:right="600" w:firstLine="1149"/>
        <w:spacing w:after="0" w:line="266" w:lineRule="auto"/>
        <w:tabs>
          <w:tab w:leader="none" w:pos="1730" w:val="left"/>
        </w:tabs>
        <w:numPr>
          <w:ilvl w:val="0"/>
          <w:numId w:val="155"/>
        </w:numPr>
        <w:rPr>
          <w:rFonts w:ascii="Arial" w:cs="Arial" w:eastAsia="Arial" w:hAnsi="Arial"/>
          <w:sz w:val="19"/>
          <w:szCs w:val="19"/>
          <w:color w:val="auto"/>
        </w:rPr>
      </w:pPr>
      <w:r>
        <w:rPr>
          <w:rFonts w:ascii="Arial" w:cs="Arial" w:eastAsia="Arial" w:hAnsi="Arial"/>
          <w:sz w:val="19"/>
          <w:szCs w:val="19"/>
          <w:color w:val="auto"/>
        </w:rPr>
        <w:t>To provide for the disclosure of all information and the filing or provision of all reports and statements to Participants, Beneficiaries or governmental agencies as shall be required by law;</w:t>
      </w:r>
    </w:p>
    <w:p>
      <w:pPr>
        <w:spacing w:after="0" w:line="128" w:lineRule="exact"/>
        <w:rPr>
          <w:rFonts w:ascii="Arial" w:cs="Arial" w:eastAsia="Arial" w:hAnsi="Arial"/>
          <w:sz w:val="19"/>
          <w:szCs w:val="19"/>
          <w:color w:val="auto"/>
        </w:rPr>
      </w:pPr>
    </w:p>
    <w:p>
      <w:pPr>
        <w:ind w:right="400" w:firstLine="1149"/>
        <w:spacing w:after="0" w:line="266" w:lineRule="auto"/>
        <w:tabs>
          <w:tab w:leader="none" w:pos="1730" w:val="left"/>
        </w:tabs>
        <w:numPr>
          <w:ilvl w:val="0"/>
          <w:numId w:val="155"/>
        </w:numPr>
        <w:rPr>
          <w:rFonts w:ascii="Arial" w:cs="Arial" w:eastAsia="Arial" w:hAnsi="Arial"/>
          <w:sz w:val="19"/>
          <w:szCs w:val="19"/>
          <w:color w:val="auto"/>
        </w:rPr>
      </w:pPr>
      <w:r>
        <w:rPr>
          <w:rFonts w:ascii="Arial" w:cs="Arial" w:eastAsia="Arial" w:hAnsi="Arial"/>
          <w:sz w:val="19"/>
          <w:szCs w:val="19"/>
          <w:color w:val="auto"/>
        </w:rPr>
        <w:t>To make and publish such rules for the regulation of the Plan and procedures for the administration of the Plan as are not inconsistent with the terms hereof;</w:t>
      </w:r>
    </w:p>
    <w:p>
      <w:pPr>
        <w:spacing w:after="0" w:line="140" w:lineRule="exact"/>
        <w:rPr>
          <w:rFonts w:ascii="Arial" w:cs="Arial" w:eastAsia="Arial" w:hAnsi="Arial"/>
          <w:sz w:val="19"/>
          <w:szCs w:val="19"/>
          <w:color w:val="auto"/>
        </w:rPr>
      </w:pPr>
    </w:p>
    <w:p>
      <w:pPr>
        <w:ind w:right="360" w:firstLine="1149"/>
        <w:spacing w:after="0" w:line="266" w:lineRule="auto"/>
        <w:tabs>
          <w:tab w:leader="none" w:pos="1730" w:val="left"/>
        </w:tabs>
        <w:numPr>
          <w:ilvl w:val="0"/>
          <w:numId w:val="155"/>
        </w:numPr>
        <w:rPr>
          <w:rFonts w:ascii="Arial" w:cs="Arial" w:eastAsia="Arial" w:hAnsi="Arial"/>
          <w:sz w:val="19"/>
          <w:szCs w:val="19"/>
          <w:color w:val="auto"/>
        </w:rPr>
      </w:pPr>
      <w:r>
        <w:rPr>
          <w:rFonts w:ascii="Arial" w:cs="Arial" w:eastAsia="Arial" w:hAnsi="Arial"/>
          <w:sz w:val="19"/>
          <w:szCs w:val="19"/>
          <w:color w:val="auto"/>
        </w:rPr>
        <w:t>To appoint a plan administrator or any other agent, and to delegate to them such powers and duties in connection with the administration of the Plan as the Committee may from time to time prescribe; and</w:t>
      </w:r>
    </w:p>
    <w:p>
      <w:pPr>
        <w:spacing w:after="0" w:line="128" w:lineRule="exact"/>
        <w:rPr>
          <w:rFonts w:ascii="Arial" w:cs="Arial" w:eastAsia="Arial" w:hAnsi="Arial"/>
          <w:sz w:val="19"/>
          <w:szCs w:val="19"/>
          <w:color w:val="auto"/>
        </w:rPr>
      </w:pPr>
    </w:p>
    <w:p>
      <w:pPr>
        <w:ind w:left="1720" w:hanging="571"/>
        <w:spacing w:after="0"/>
        <w:tabs>
          <w:tab w:leader="none" w:pos="1720" w:val="left"/>
        </w:tabs>
        <w:numPr>
          <w:ilvl w:val="0"/>
          <w:numId w:val="155"/>
        </w:numPr>
        <w:rPr>
          <w:rFonts w:ascii="Arial" w:cs="Arial" w:eastAsia="Arial" w:hAnsi="Arial"/>
          <w:sz w:val="19"/>
          <w:szCs w:val="19"/>
          <w:color w:val="auto"/>
        </w:rPr>
      </w:pPr>
      <w:r>
        <w:rPr>
          <w:rFonts w:ascii="Arial" w:cs="Arial" w:eastAsia="Arial" w:hAnsi="Arial"/>
          <w:sz w:val="19"/>
          <w:szCs w:val="19"/>
          <w:color w:val="auto"/>
        </w:rPr>
        <w:t>To take all actions necessary for the administration of the Plan.</w:t>
      </w:r>
    </w:p>
    <w:p>
      <w:pPr>
        <w:spacing w:after="0" w:line="178" w:lineRule="exact"/>
        <w:rPr>
          <w:sz w:val="20"/>
          <w:szCs w:val="20"/>
          <w:color w:val="auto"/>
        </w:rPr>
      </w:pPr>
    </w:p>
    <w:p>
      <w:pPr>
        <w:ind w:left="140"/>
        <w:spacing w:after="0"/>
        <w:tabs>
          <w:tab w:leader="none" w:pos="560" w:val="left"/>
        </w:tabs>
        <w:rPr>
          <w:sz w:val="20"/>
          <w:szCs w:val="20"/>
          <w:color w:val="auto"/>
        </w:rPr>
      </w:pPr>
      <w:r>
        <w:rPr>
          <w:rFonts w:ascii="Arial" w:cs="Arial" w:eastAsia="Arial" w:hAnsi="Arial"/>
          <w:sz w:val="19"/>
          <w:szCs w:val="19"/>
          <w:u w:val="single" w:color="auto"/>
          <w:color w:val="auto"/>
        </w:rPr>
        <w:t>8.5</w:t>
      </w:r>
      <w:r>
        <w:rPr>
          <w:sz w:val="20"/>
          <w:szCs w:val="20"/>
          <w:color w:val="auto"/>
        </w:rPr>
        <w:tab/>
      </w:r>
      <w:r>
        <w:rPr>
          <w:rFonts w:ascii="Arial" w:cs="Arial" w:eastAsia="Arial" w:hAnsi="Arial"/>
          <w:sz w:val="17"/>
          <w:szCs w:val="17"/>
          <w:u w:val="single" w:color="auto"/>
          <w:color w:val="auto"/>
        </w:rPr>
        <w:t>Construction and Interpretation</w:t>
      </w:r>
      <w:r>
        <w:rPr>
          <w:rFonts w:ascii="Arial" w:cs="Arial" w:eastAsia="Arial" w:hAnsi="Arial"/>
          <w:sz w:val="17"/>
          <w:szCs w:val="17"/>
          <w:color w:val="auto"/>
        </w:rPr>
        <w:t>.</w:t>
      </w:r>
    </w:p>
    <w:p>
      <w:pPr>
        <w:spacing w:after="0" w:line="190" w:lineRule="exact"/>
        <w:rPr>
          <w:sz w:val="20"/>
          <w:szCs w:val="20"/>
          <w:color w:val="auto"/>
        </w:rPr>
      </w:pPr>
    </w:p>
    <w:p>
      <w:pPr>
        <w:ind w:firstLine="1153"/>
        <w:spacing w:after="0" w:line="247" w:lineRule="auto"/>
        <w:rPr>
          <w:sz w:val="20"/>
          <w:szCs w:val="20"/>
          <w:color w:val="auto"/>
        </w:rPr>
      </w:pPr>
      <w:r>
        <w:rPr>
          <w:rFonts w:ascii="Arial" w:cs="Arial" w:eastAsia="Arial" w:hAnsi="Arial"/>
          <w:sz w:val="19"/>
          <w:szCs w:val="19"/>
          <w:color w:val="auto"/>
        </w:rPr>
        <w:t>The Committee shall have full discretion to construe and interpret the terms and provisions of this Plan, which interpretations or construction shall be final and binding on all parties, including but not limited to the Company and any Participant or Beneficiary. The Committee shall administer such terms and provisions in a uniform and nondiscriminatory manner and in full accordance with any and all laws applicable to the Plan.</w:t>
      </w:r>
    </w:p>
    <w:p>
      <w:pPr>
        <w:spacing w:after="0" w:line="158" w:lineRule="exact"/>
        <w:rPr>
          <w:sz w:val="20"/>
          <w:szCs w:val="20"/>
          <w:color w:val="auto"/>
        </w:rPr>
      </w:pPr>
    </w:p>
    <w:p>
      <w:pPr>
        <w:ind w:left="140"/>
        <w:spacing w:after="0"/>
        <w:tabs>
          <w:tab w:leader="none" w:pos="560" w:val="left"/>
        </w:tabs>
        <w:rPr>
          <w:sz w:val="20"/>
          <w:szCs w:val="20"/>
          <w:color w:val="auto"/>
        </w:rPr>
      </w:pPr>
      <w:r>
        <w:rPr>
          <w:rFonts w:ascii="Arial" w:cs="Arial" w:eastAsia="Arial" w:hAnsi="Arial"/>
          <w:sz w:val="19"/>
          <w:szCs w:val="19"/>
          <w:u w:val="single" w:color="auto"/>
          <w:color w:val="auto"/>
        </w:rPr>
        <w:t>8.6</w:t>
      </w:r>
      <w:r>
        <w:rPr>
          <w:sz w:val="20"/>
          <w:szCs w:val="20"/>
          <w:color w:val="auto"/>
        </w:rPr>
        <w:tab/>
      </w:r>
      <w:r>
        <w:rPr>
          <w:rFonts w:ascii="Arial" w:cs="Arial" w:eastAsia="Arial" w:hAnsi="Arial"/>
          <w:sz w:val="18"/>
          <w:szCs w:val="18"/>
          <w:u w:val="single" w:color="auto"/>
          <w:color w:val="auto"/>
        </w:rPr>
        <w:t>Information</w:t>
      </w:r>
      <w:r>
        <w:rPr>
          <w:rFonts w:ascii="Arial" w:cs="Arial" w:eastAsia="Arial" w:hAnsi="Arial"/>
          <w:sz w:val="18"/>
          <w:szCs w:val="18"/>
          <w:color w:val="auto"/>
        </w:rPr>
        <w:t>.</w:t>
      </w:r>
    </w:p>
    <w:p>
      <w:pPr>
        <w:spacing w:after="0" w:line="190" w:lineRule="exact"/>
        <w:rPr>
          <w:sz w:val="20"/>
          <w:szCs w:val="20"/>
          <w:color w:val="auto"/>
        </w:rPr>
      </w:pPr>
    </w:p>
    <w:p>
      <w:pPr>
        <w:ind w:right="240" w:firstLine="1153"/>
        <w:spacing w:after="0" w:line="252" w:lineRule="auto"/>
        <w:rPr>
          <w:sz w:val="20"/>
          <w:szCs w:val="20"/>
          <w:color w:val="auto"/>
        </w:rPr>
      </w:pPr>
      <w:r>
        <w:rPr>
          <w:rFonts w:ascii="Arial" w:cs="Arial" w:eastAsia="Arial" w:hAnsi="Arial"/>
          <w:sz w:val="19"/>
          <w:szCs w:val="19"/>
          <w:color w:val="auto"/>
        </w:rPr>
        <w:t>To enable the Committee to perform its functions, the Company shall supply full and timely information to the Committee on all matters relating to the Compensation of all Participants, their death or other events which cause termination of their participation in this Plan, and such other pertinent facts as the Committee may require.</w:t>
      </w:r>
    </w:p>
    <w:p>
      <w:pPr>
        <w:spacing w:after="0" w:line="141" w:lineRule="exact"/>
        <w:rPr>
          <w:sz w:val="20"/>
          <w:szCs w:val="20"/>
          <w:color w:val="auto"/>
        </w:rPr>
      </w:pPr>
    </w:p>
    <w:p>
      <w:pPr>
        <w:ind w:left="140"/>
        <w:spacing w:after="0"/>
        <w:tabs>
          <w:tab w:leader="none" w:pos="560" w:val="left"/>
        </w:tabs>
        <w:rPr>
          <w:sz w:val="20"/>
          <w:szCs w:val="20"/>
          <w:color w:val="auto"/>
        </w:rPr>
      </w:pPr>
      <w:r>
        <w:rPr>
          <w:rFonts w:ascii="Arial" w:cs="Arial" w:eastAsia="Arial" w:hAnsi="Arial"/>
          <w:sz w:val="19"/>
          <w:szCs w:val="19"/>
          <w:u w:val="single" w:color="auto"/>
          <w:color w:val="auto"/>
        </w:rPr>
        <w:t>8.7</w:t>
      </w:r>
      <w:r>
        <w:rPr>
          <w:sz w:val="20"/>
          <w:szCs w:val="20"/>
          <w:color w:val="auto"/>
        </w:rPr>
        <w:tab/>
      </w:r>
      <w:r>
        <w:rPr>
          <w:rFonts w:ascii="Arial" w:cs="Arial" w:eastAsia="Arial" w:hAnsi="Arial"/>
          <w:sz w:val="17"/>
          <w:szCs w:val="17"/>
          <w:u w:val="single" w:color="auto"/>
          <w:color w:val="auto"/>
        </w:rPr>
        <w:t>Compensation, Expenses and Indemnity</w:t>
      </w:r>
      <w:r>
        <w:rPr>
          <w:rFonts w:ascii="Arial" w:cs="Arial" w:eastAsia="Arial" w:hAnsi="Arial"/>
          <w:sz w:val="17"/>
          <w:szCs w:val="17"/>
          <w:color w:val="auto"/>
        </w:rPr>
        <w:t>.</w:t>
      </w:r>
    </w:p>
    <w:p>
      <w:pPr>
        <w:sectPr>
          <w:pgSz w:w="11900" w:h="16838" w:orient="portrait"/>
          <w:cols w:equalWidth="0" w:num="1">
            <w:col w:w="11420"/>
          </w:cols>
          <w:pgMar w:left="240" w:top="120" w:right="239" w:bottom="0" w:gutter="0" w:footer="0" w:header="0"/>
        </w:sectPr>
      </w:pPr>
    </w:p>
    <w:bookmarkStart w:id="107" w:name="page108"/>
    <w:bookmarkEnd w:id="107"/>
    <w:p>
      <w:pPr>
        <w:ind w:left="1720" w:hanging="571"/>
        <w:spacing w:after="0"/>
        <w:tabs>
          <w:tab w:leader="none" w:pos="1720" w:val="left"/>
        </w:tabs>
        <w:numPr>
          <w:ilvl w:val="0"/>
          <w:numId w:val="156"/>
        </w:numPr>
        <w:rPr>
          <w:rFonts w:ascii="Arial" w:cs="Arial" w:eastAsia="Arial" w:hAnsi="Arial"/>
          <w:sz w:val="19"/>
          <w:szCs w:val="19"/>
          <w:color w:val="auto"/>
        </w:rPr>
      </w:pPr>
      <w:r>
        <w:rPr>
          <w:rFonts w:ascii="Arial" w:cs="Arial" w:eastAsia="Arial" w:hAnsi="Arial"/>
          <w:sz w:val="19"/>
          <w:szCs w:val="19"/>
          <w:color w:val="auto"/>
        </w:rPr>
        <w:t>The members of the Committee shall serve without compensation for their services hereunder.</w:t>
      </w:r>
    </w:p>
    <w:p>
      <w:pPr>
        <w:spacing w:after="0" w:line="178" w:lineRule="exact"/>
        <w:rPr>
          <w:rFonts w:ascii="Arial" w:cs="Arial" w:eastAsia="Arial" w:hAnsi="Arial"/>
          <w:sz w:val="19"/>
          <w:szCs w:val="19"/>
          <w:color w:val="auto"/>
        </w:rPr>
      </w:pPr>
    </w:p>
    <w:p>
      <w:pPr>
        <w:jc w:val="both"/>
        <w:ind w:left="1720" w:right="80" w:hanging="571"/>
        <w:spacing w:after="0" w:line="252" w:lineRule="auto"/>
        <w:tabs>
          <w:tab w:leader="none" w:pos="1720" w:val="left"/>
        </w:tabs>
        <w:numPr>
          <w:ilvl w:val="0"/>
          <w:numId w:val="156"/>
        </w:numPr>
        <w:rPr>
          <w:rFonts w:ascii="Arial" w:cs="Arial" w:eastAsia="Arial" w:hAnsi="Arial"/>
          <w:sz w:val="19"/>
          <w:szCs w:val="19"/>
          <w:color w:val="auto"/>
        </w:rPr>
      </w:pPr>
      <w:r>
        <w:rPr>
          <w:rFonts w:ascii="Arial" w:cs="Arial" w:eastAsia="Arial" w:hAnsi="Arial"/>
          <w:sz w:val="19"/>
          <w:szCs w:val="19"/>
          <w:color w:val="auto"/>
        </w:rPr>
        <w:t>The Committee is authorized at the expense of the Company to employ such legal counsel and other advisors as it may deem advisable to assist in the performance of its duties hereunder. Expenses and fees in connection with the administration of the Plan shall be paid by the Company.</w:t>
      </w:r>
    </w:p>
    <w:p>
      <w:pPr>
        <w:spacing w:after="0" w:line="152" w:lineRule="exact"/>
        <w:rPr>
          <w:rFonts w:ascii="Arial" w:cs="Arial" w:eastAsia="Arial" w:hAnsi="Arial"/>
          <w:sz w:val="19"/>
          <w:szCs w:val="19"/>
          <w:color w:val="auto"/>
        </w:rPr>
      </w:pPr>
    </w:p>
    <w:p>
      <w:pPr>
        <w:ind w:left="1720" w:right="120" w:hanging="571"/>
        <w:spacing w:after="0" w:line="242" w:lineRule="auto"/>
        <w:tabs>
          <w:tab w:leader="none" w:pos="1720" w:val="left"/>
        </w:tabs>
        <w:numPr>
          <w:ilvl w:val="0"/>
          <w:numId w:val="156"/>
        </w:numPr>
        <w:rPr>
          <w:rFonts w:ascii="Arial" w:cs="Arial" w:eastAsia="Arial" w:hAnsi="Arial"/>
          <w:sz w:val="19"/>
          <w:szCs w:val="19"/>
          <w:color w:val="auto"/>
        </w:rPr>
      </w:pPr>
      <w:r>
        <w:rPr>
          <w:rFonts w:ascii="Arial" w:cs="Arial" w:eastAsia="Arial" w:hAnsi="Arial"/>
          <w:sz w:val="19"/>
          <w:szCs w:val="19"/>
          <w:color w:val="auto"/>
        </w:rPr>
        <w:t>To the extent permitted by applicable state law, the Company shall indemnify and save harmless the Committee and each member thereof, the Board of Directors and any delegate of the Committee who is an employee of the Company against any and all expenses, liabilities and claims, including legal fees to defend against such liabilities and claims arising out of their discharge in good faith of responsibilities under or incident to the Plan, other than expenses and liabilities arising out of willful misconduct. This indemnity shall not preclude such further indemnities as may be available under insurance purchased by the Company or provided by the Company under any bylaw, agreement or otherwise, as such indemnities are permitted under state law.</w:t>
      </w:r>
    </w:p>
    <w:p>
      <w:pPr>
        <w:spacing w:after="0" w:line="152" w:lineRule="exact"/>
        <w:rPr>
          <w:sz w:val="20"/>
          <w:szCs w:val="20"/>
          <w:color w:val="auto"/>
        </w:rPr>
      </w:pPr>
    </w:p>
    <w:p>
      <w:pPr>
        <w:ind w:left="140"/>
        <w:spacing w:after="0"/>
        <w:tabs>
          <w:tab w:leader="none" w:pos="560" w:val="left"/>
        </w:tabs>
        <w:rPr>
          <w:sz w:val="20"/>
          <w:szCs w:val="20"/>
          <w:color w:val="auto"/>
        </w:rPr>
      </w:pPr>
      <w:r>
        <w:rPr>
          <w:rFonts w:ascii="Arial" w:cs="Arial" w:eastAsia="Arial" w:hAnsi="Arial"/>
          <w:sz w:val="19"/>
          <w:szCs w:val="19"/>
          <w:u w:val="single" w:color="auto"/>
          <w:color w:val="auto"/>
        </w:rPr>
        <w:t>8.8</w:t>
      </w:r>
      <w:r>
        <w:rPr>
          <w:sz w:val="20"/>
          <w:szCs w:val="20"/>
          <w:color w:val="auto"/>
        </w:rPr>
        <w:tab/>
      </w:r>
      <w:r>
        <w:rPr>
          <w:rFonts w:ascii="Arial" w:cs="Arial" w:eastAsia="Arial" w:hAnsi="Arial"/>
          <w:sz w:val="17"/>
          <w:szCs w:val="17"/>
          <w:u w:val="single" w:color="auto"/>
          <w:color w:val="auto"/>
        </w:rPr>
        <w:t>Quarterly Statements</w:t>
      </w:r>
      <w:r>
        <w:rPr>
          <w:rFonts w:ascii="Arial" w:cs="Arial" w:eastAsia="Arial" w:hAnsi="Arial"/>
          <w:sz w:val="17"/>
          <w:szCs w:val="17"/>
          <w:color w:val="auto"/>
        </w:rPr>
        <w:t>.</w:t>
      </w:r>
    </w:p>
    <w:p>
      <w:pPr>
        <w:spacing w:after="0" w:line="190" w:lineRule="exact"/>
        <w:rPr>
          <w:sz w:val="20"/>
          <w:szCs w:val="20"/>
          <w:color w:val="auto"/>
        </w:rPr>
      </w:pPr>
    </w:p>
    <w:p>
      <w:pPr>
        <w:ind w:right="200" w:firstLine="1153"/>
        <w:spacing w:after="0" w:line="266" w:lineRule="auto"/>
        <w:rPr>
          <w:sz w:val="20"/>
          <w:szCs w:val="20"/>
          <w:color w:val="auto"/>
        </w:rPr>
      </w:pPr>
      <w:r>
        <w:rPr>
          <w:rFonts w:ascii="Arial" w:cs="Arial" w:eastAsia="Arial" w:hAnsi="Arial"/>
          <w:sz w:val="19"/>
          <w:szCs w:val="19"/>
          <w:color w:val="auto"/>
        </w:rPr>
        <w:t>Under procedures established by the Committee, a Participant shall receive a statement with respect to such Participant’s Accounts on a quarterly basis as of each March 31, June 30, September 30 and December 31.</w:t>
      </w:r>
    </w:p>
    <w:p>
      <w:pPr>
        <w:spacing w:after="0" w:line="128" w:lineRule="exact"/>
        <w:rPr>
          <w:sz w:val="20"/>
          <w:szCs w:val="20"/>
          <w:color w:val="auto"/>
        </w:rPr>
      </w:pPr>
    </w:p>
    <w:p>
      <w:pPr>
        <w:ind w:left="140"/>
        <w:spacing w:after="0"/>
        <w:tabs>
          <w:tab w:leader="none" w:pos="560" w:val="left"/>
        </w:tabs>
        <w:rPr>
          <w:sz w:val="20"/>
          <w:szCs w:val="20"/>
          <w:color w:val="auto"/>
        </w:rPr>
      </w:pPr>
      <w:r>
        <w:rPr>
          <w:rFonts w:ascii="Arial" w:cs="Arial" w:eastAsia="Arial" w:hAnsi="Arial"/>
          <w:sz w:val="19"/>
          <w:szCs w:val="19"/>
          <w:u w:val="single" w:color="auto"/>
          <w:color w:val="auto"/>
        </w:rPr>
        <w:t>8.9</w:t>
      </w:r>
      <w:r>
        <w:rPr>
          <w:sz w:val="20"/>
          <w:szCs w:val="20"/>
          <w:color w:val="auto"/>
        </w:rPr>
        <w:tab/>
      </w:r>
      <w:r>
        <w:rPr>
          <w:rFonts w:ascii="Arial" w:cs="Arial" w:eastAsia="Arial" w:hAnsi="Arial"/>
          <w:sz w:val="17"/>
          <w:szCs w:val="17"/>
          <w:u w:val="single" w:color="auto"/>
          <w:color w:val="auto"/>
        </w:rPr>
        <w:t>Disputes</w:t>
      </w:r>
      <w:r>
        <w:rPr>
          <w:rFonts w:ascii="Arial" w:cs="Arial" w:eastAsia="Arial" w:hAnsi="Arial"/>
          <w:sz w:val="17"/>
          <w:szCs w:val="17"/>
          <w:color w:val="auto"/>
        </w:rPr>
        <w:t>.</w:t>
      </w:r>
    </w:p>
    <w:p>
      <w:pPr>
        <w:spacing w:after="0" w:line="190" w:lineRule="exact"/>
        <w:rPr>
          <w:sz w:val="20"/>
          <w:szCs w:val="20"/>
          <w:color w:val="auto"/>
        </w:rPr>
      </w:pPr>
    </w:p>
    <w:p>
      <w:pPr>
        <w:ind w:left="1720" w:hanging="571"/>
        <w:spacing w:after="0"/>
        <w:tabs>
          <w:tab w:leader="none" w:pos="1720" w:val="left"/>
        </w:tabs>
        <w:numPr>
          <w:ilvl w:val="0"/>
          <w:numId w:val="157"/>
        </w:numPr>
        <w:rPr>
          <w:rFonts w:ascii="Arial" w:cs="Arial" w:eastAsia="Arial" w:hAnsi="Arial"/>
          <w:sz w:val="19"/>
          <w:szCs w:val="19"/>
          <w:u w:val="single" w:color="auto"/>
          <w:color w:val="auto"/>
        </w:rPr>
      </w:pPr>
      <w:r>
        <w:rPr>
          <w:rFonts w:ascii="Arial" w:cs="Arial" w:eastAsia="Arial" w:hAnsi="Arial"/>
          <w:sz w:val="19"/>
          <w:szCs w:val="19"/>
          <w:u w:val="single" w:color="auto"/>
          <w:color w:val="auto"/>
        </w:rPr>
        <w:t>Claim</w:t>
      </w:r>
      <w:r>
        <w:rPr>
          <w:rFonts w:ascii="Arial" w:cs="Arial" w:eastAsia="Arial" w:hAnsi="Arial"/>
          <w:sz w:val="19"/>
          <w:szCs w:val="19"/>
          <w:color w:val="auto"/>
        </w:rPr>
        <w:t>.</w:t>
      </w:r>
    </w:p>
    <w:p>
      <w:pPr>
        <w:spacing w:after="0" w:line="190" w:lineRule="exact"/>
        <w:rPr>
          <w:sz w:val="20"/>
          <w:szCs w:val="20"/>
          <w:color w:val="auto"/>
        </w:rPr>
      </w:pPr>
    </w:p>
    <w:p>
      <w:pPr>
        <w:jc w:val="both"/>
        <w:ind w:right="40" w:firstLine="1153"/>
        <w:spacing w:after="0" w:line="252" w:lineRule="auto"/>
        <w:rPr>
          <w:sz w:val="20"/>
          <w:szCs w:val="20"/>
          <w:color w:val="auto"/>
        </w:rPr>
      </w:pPr>
      <w:r>
        <w:rPr>
          <w:rFonts w:ascii="Arial" w:cs="Arial" w:eastAsia="Arial" w:hAnsi="Arial"/>
          <w:sz w:val="19"/>
          <w:szCs w:val="19"/>
          <w:color w:val="auto"/>
        </w:rPr>
        <w:t>A person who believes that he is being denied a benefit to which he is entitled under the Plan (hereinafter referred to as “Claimant”) may file a written request for such benefit with the Administrator, setting forth his claim. The request must be addressed to the Administrator at the Company at its then principal place of business.</w:t>
      </w:r>
    </w:p>
    <w:p>
      <w:pPr>
        <w:spacing w:after="0" w:line="141" w:lineRule="exact"/>
        <w:rPr>
          <w:sz w:val="20"/>
          <w:szCs w:val="20"/>
          <w:color w:val="auto"/>
        </w:rPr>
      </w:pPr>
    </w:p>
    <w:p>
      <w:pPr>
        <w:ind w:left="1720" w:hanging="571"/>
        <w:spacing w:after="0"/>
        <w:tabs>
          <w:tab w:leader="none" w:pos="1720" w:val="left"/>
        </w:tabs>
        <w:numPr>
          <w:ilvl w:val="0"/>
          <w:numId w:val="158"/>
        </w:numPr>
        <w:rPr>
          <w:rFonts w:ascii="Arial" w:cs="Arial" w:eastAsia="Arial" w:hAnsi="Arial"/>
          <w:sz w:val="19"/>
          <w:szCs w:val="19"/>
          <w:u w:val="single" w:color="auto"/>
          <w:color w:val="auto"/>
        </w:rPr>
      </w:pPr>
      <w:r>
        <w:rPr>
          <w:rFonts w:ascii="Arial" w:cs="Arial" w:eastAsia="Arial" w:hAnsi="Arial"/>
          <w:sz w:val="19"/>
          <w:szCs w:val="19"/>
          <w:u w:val="single" w:color="auto"/>
          <w:color w:val="auto"/>
        </w:rPr>
        <w:t>Claim Decision</w:t>
      </w:r>
      <w:r>
        <w:rPr>
          <w:rFonts w:ascii="Arial" w:cs="Arial" w:eastAsia="Arial" w:hAnsi="Arial"/>
          <w:sz w:val="19"/>
          <w:szCs w:val="19"/>
          <w:color w:val="auto"/>
        </w:rPr>
        <w:t>.</w:t>
      </w:r>
    </w:p>
    <w:p>
      <w:pPr>
        <w:spacing w:after="0" w:line="190" w:lineRule="exact"/>
        <w:rPr>
          <w:sz w:val="20"/>
          <w:szCs w:val="20"/>
          <w:color w:val="auto"/>
        </w:rPr>
      </w:pPr>
    </w:p>
    <w:p>
      <w:pPr>
        <w:ind w:right="280" w:firstLine="1153"/>
        <w:spacing w:after="0" w:line="252" w:lineRule="auto"/>
        <w:rPr>
          <w:sz w:val="20"/>
          <w:szCs w:val="20"/>
          <w:color w:val="auto"/>
        </w:rPr>
      </w:pPr>
      <w:r>
        <w:rPr>
          <w:rFonts w:ascii="Arial" w:cs="Arial" w:eastAsia="Arial" w:hAnsi="Arial"/>
          <w:sz w:val="19"/>
          <w:szCs w:val="19"/>
          <w:color w:val="auto"/>
        </w:rPr>
        <w:t>Upon receipt of a claim, the Administrator shall advise the Claimant that a reply shall be forthcoming within 90 days and shall, in fact, deliver such reply within such period. The Administrator may, however, extend the reply period for an additional 90 days for special circumstances.</w:t>
      </w:r>
    </w:p>
    <w:p>
      <w:pPr>
        <w:spacing w:after="0" w:line="153" w:lineRule="exact"/>
        <w:rPr>
          <w:sz w:val="20"/>
          <w:szCs w:val="20"/>
          <w:color w:val="auto"/>
        </w:rPr>
      </w:pPr>
    </w:p>
    <w:p>
      <w:pPr>
        <w:ind w:right="20" w:firstLine="1153"/>
        <w:spacing w:after="0" w:line="261" w:lineRule="auto"/>
        <w:rPr>
          <w:sz w:val="20"/>
          <w:szCs w:val="20"/>
          <w:color w:val="auto"/>
        </w:rPr>
      </w:pPr>
      <w:r>
        <w:rPr>
          <w:rFonts w:ascii="Arial" w:cs="Arial" w:eastAsia="Arial" w:hAnsi="Arial"/>
          <w:sz w:val="18"/>
          <w:szCs w:val="18"/>
          <w:color w:val="auto"/>
        </w:rPr>
        <w:t>If the claim is denied in whole or in part, the Administrator shall inform the Claimant in writing, using language calculated to be understood by the Claimant, setting forth: (i) the specified reason or reasons for such denial; (ii) the specific reference to pertinent provisions of this Agreement on which such denial is based; (iii) a description of any additional material or information necessary for the Claimant to perfect his claim and an explanation of why such material or such information is necessary; (iv) appropriate information as to the steps to be taken if the Claimant wishes to submit the claim for review; and (v) the time limits for requesting a review under subsection (c).</w:t>
      </w:r>
    </w:p>
    <w:p>
      <w:pPr>
        <w:spacing w:after="0" w:line="136" w:lineRule="exact"/>
        <w:rPr>
          <w:sz w:val="20"/>
          <w:szCs w:val="20"/>
          <w:color w:val="auto"/>
        </w:rPr>
      </w:pPr>
    </w:p>
    <w:p>
      <w:pPr>
        <w:ind w:left="1720" w:hanging="571"/>
        <w:spacing w:after="0"/>
        <w:tabs>
          <w:tab w:leader="none" w:pos="1720" w:val="left"/>
        </w:tabs>
        <w:numPr>
          <w:ilvl w:val="0"/>
          <w:numId w:val="159"/>
        </w:numPr>
        <w:rPr>
          <w:rFonts w:ascii="Arial" w:cs="Arial" w:eastAsia="Arial" w:hAnsi="Arial"/>
          <w:sz w:val="19"/>
          <w:szCs w:val="19"/>
          <w:u w:val="single" w:color="auto"/>
          <w:color w:val="auto"/>
        </w:rPr>
      </w:pPr>
      <w:r>
        <w:rPr>
          <w:rFonts w:ascii="Arial" w:cs="Arial" w:eastAsia="Arial" w:hAnsi="Arial"/>
          <w:sz w:val="19"/>
          <w:szCs w:val="19"/>
          <w:u w:val="single" w:color="auto"/>
          <w:color w:val="auto"/>
        </w:rPr>
        <w:t>Request For Review.</w:t>
      </w:r>
    </w:p>
    <w:p>
      <w:pPr>
        <w:spacing w:after="0" w:line="190" w:lineRule="exact"/>
        <w:rPr>
          <w:sz w:val="20"/>
          <w:szCs w:val="20"/>
          <w:color w:val="auto"/>
        </w:rPr>
      </w:pPr>
    </w:p>
    <w:p>
      <w:pPr>
        <w:ind w:right="100" w:firstLine="1153"/>
        <w:spacing w:after="0" w:line="242" w:lineRule="auto"/>
        <w:rPr>
          <w:sz w:val="20"/>
          <w:szCs w:val="20"/>
          <w:color w:val="auto"/>
        </w:rPr>
      </w:pPr>
      <w:r>
        <w:rPr>
          <w:rFonts w:ascii="Arial" w:cs="Arial" w:eastAsia="Arial" w:hAnsi="Arial"/>
          <w:sz w:val="19"/>
          <w:szCs w:val="19"/>
          <w:color w:val="auto"/>
        </w:rPr>
        <w:t>With 60 days after the receipt by the Claimant of the written opinion described above, the Claimant may request in writing a review the determination of the Administrator. Such review shall be completed by the Senior Vice-President of Human Resources of the Company for Participants who are Managers and by the Committee for Participants who are Executive Officers or Directors. Such request must be addressed to the Secretary of the Company, at its then principal place of business. The Claimant or his duly authorized representative may, but need not, review the pertinent documents and submit issues and comments in writing for consideration by the Senior Vice-President of Human Resources or the Committee, as applicable. If the Claimant does not request a review within such 60-day period, he shall be barred and estopped from challenging the Administrator’s de termination.</w:t>
      </w:r>
    </w:p>
    <w:p>
      <w:pPr>
        <w:spacing w:after="0" w:line="164" w:lineRule="exact"/>
        <w:rPr>
          <w:sz w:val="20"/>
          <w:szCs w:val="20"/>
          <w:color w:val="auto"/>
        </w:rPr>
      </w:pPr>
    </w:p>
    <w:p>
      <w:pPr>
        <w:ind w:left="1720" w:hanging="571"/>
        <w:spacing w:after="0"/>
        <w:tabs>
          <w:tab w:leader="none" w:pos="1720" w:val="left"/>
        </w:tabs>
        <w:numPr>
          <w:ilvl w:val="0"/>
          <w:numId w:val="160"/>
        </w:numPr>
        <w:rPr>
          <w:rFonts w:ascii="Arial" w:cs="Arial" w:eastAsia="Arial" w:hAnsi="Arial"/>
          <w:sz w:val="19"/>
          <w:szCs w:val="19"/>
          <w:u w:val="single" w:color="auto"/>
          <w:color w:val="auto"/>
        </w:rPr>
      </w:pPr>
      <w:r>
        <w:rPr>
          <w:rFonts w:ascii="Arial" w:cs="Arial" w:eastAsia="Arial" w:hAnsi="Arial"/>
          <w:sz w:val="19"/>
          <w:szCs w:val="19"/>
          <w:u w:val="single" w:color="auto"/>
          <w:color w:val="auto"/>
        </w:rPr>
        <w:t>Review of Decision</w:t>
      </w:r>
      <w:r>
        <w:rPr>
          <w:rFonts w:ascii="Arial" w:cs="Arial" w:eastAsia="Arial" w:hAnsi="Arial"/>
          <w:sz w:val="19"/>
          <w:szCs w:val="19"/>
          <w:color w:val="auto"/>
        </w:rPr>
        <w:t>.</w:t>
      </w:r>
    </w:p>
    <w:p>
      <w:pPr>
        <w:spacing w:after="0" w:line="190" w:lineRule="exact"/>
        <w:rPr>
          <w:sz w:val="20"/>
          <w:szCs w:val="20"/>
          <w:color w:val="auto"/>
        </w:rPr>
      </w:pPr>
    </w:p>
    <w:p>
      <w:pPr>
        <w:ind w:firstLine="1153"/>
        <w:spacing w:after="0" w:line="242" w:lineRule="auto"/>
        <w:rPr>
          <w:sz w:val="20"/>
          <w:szCs w:val="20"/>
          <w:color w:val="auto"/>
        </w:rPr>
      </w:pPr>
      <w:r>
        <w:rPr>
          <w:rFonts w:ascii="Arial" w:cs="Arial" w:eastAsia="Arial" w:hAnsi="Arial"/>
          <w:sz w:val="19"/>
          <w:szCs w:val="19"/>
          <w:color w:val="auto"/>
        </w:rPr>
        <w:t>Within 60 days after the receipt of a request for review by the Senior Vice-President of Human Resources or the Compensation Committee, as applicable, after considering all materials presented by the Claimant, the Senior Vice-President of Human Resources or the Compensation Committee, as applicable, shall inform the Participant in writing, in a manner calculated to be understood by the Claimant, the decision setting forth the specific reasons for the decision contained specific references to the pertinent provisions of this Plan on which the decision is based. If special circumstances require that the 60 day time period be extended, the Senior Vice-President of Human Resources or the Compensation Committee, as applicable, shall so notify the Claimant and shall render the decision as soon as possible, but no later than 120 days after receipt of the request for review.</w:t>
      </w:r>
    </w:p>
    <w:p>
      <w:pPr>
        <w:spacing w:after="0" w:line="152" w:lineRule="exact"/>
        <w:rPr>
          <w:sz w:val="20"/>
          <w:szCs w:val="20"/>
          <w:color w:val="auto"/>
        </w:rPr>
      </w:pPr>
    </w:p>
    <w:p>
      <w:pPr>
        <w:ind w:left="140"/>
        <w:spacing w:after="0"/>
        <w:tabs>
          <w:tab w:leader="none" w:pos="700" w:val="left"/>
        </w:tabs>
        <w:rPr>
          <w:sz w:val="20"/>
          <w:szCs w:val="20"/>
          <w:color w:val="auto"/>
        </w:rPr>
      </w:pPr>
      <w:r>
        <w:rPr>
          <w:rFonts w:ascii="Arial" w:cs="Arial" w:eastAsia="Arial" w:hAnsi="Arial"/>
          <w:sz w:val="19"/>
          <w:szCs w:val="19"/>
          <w:u w:val="single" w:color="auto"/>
          <w:color w:val="auto"/>
        </w:rPr>
        <w:t>8.10</w:t>
      </w:r>
      <w:r>
        <w:rPr>
          <w:sz w:val="20"/>
          <w:szCs w:val="20"/>
          <w:color w:val="auto"/>
        </w:rPr>
        <w:tab/>
      </w:r>
      <w:r>
        <w:rPr>
          <w:rFonts w:ascii="Arial" w:cs="Arial" w:eastAsia="Arial" w:hAnsi="Arial"/>
          <w:sz w:val="17"/>
          <w:szCs w:val="17"/>
          <w:u w:val="single" w:color="auto"/>
          <w:color w:val="auto"/>
        </w:rPr>
        <w:t>Compliance with Section 409A of the Code</w:t>
      </w:r>
    </w:p>
    <w:p>
      <w:pPr>
        <w:spacing w:after="0" w:line="190" w:lineRule="exact"/>
        <w:rPr>
          <w:sz w:val="20"/>
          <w:szCs w:val="20"/>
          <w:color w:val="auto"/>
        </w:rPr>
      </w:pPr>
    </w:p>
    <w:p>
      <w:pPr>
        <w:ind w:left="1140"/>
        <w:spacing w:after="0"/>
        <w:rPr>
          <w:sz w:val="20"/>
          <w:szCs w:val="20"/>
          <w:color w:val="auto"/>
        </w:rPr>
      </w:pPr>
      <w:r>
        <w:rPr>
          <w:rFonts w:ascii="Arial" w:cs="Arial" w:eastAsia="Arial" w:hAnsi="Arial"/>
          <w:sz w:val="17"/>
          <w:szCs w:val="17"/>
          <w:color w:val="auto"/>
        </w:rPr>
        <w:t>The Plan shall be interpreted, construed and administered in a manner that satisfies the requirements of Sections 409A(a)(2), (3) and</w:t>
      </w:r>
    </w:p>
    <w:p>
      <w:pPr>
        <w:spacing w:after="0" w:line="37" w:lineRule="exact"/>
        <w:rPr>
          <w:sz w:val="20"/>
          <w:szCs w:val="20"/>
          <w:color w:val="auto"/>
        </w:rPr>
      </w:pPr>
    </w:p>
    <w:p>
      <w:pPr>
        <w:spacing w:after="0"/>
        <w:rPr>
          <w:sz w:val="20"/>
          <w:szCs w:val="20"/>
          <w:color w:val="auto"/>
        </w:rPr>
      </w:pPr>
      <w:r>
        <w:rPr>
          <w:rFonts w:ascii="Arial" w:cs="Arial" w:eastAsia="Arial" w:hAnsi="Arial"/>
          <w:sz w:val="19"/>
          <w:szCs w:val="19"/>
          <w:color w:val="auto"/>
        </w:rPr>
        <w:t>(4) of the Code and the Treasury Regulations thereunder.</w:t>
      </w:r>
    </w:p>
    <w:p>
      <w:pPr>
        <w:spacing w:after="0" w:line="168" w:lineRule="exact"/>
        <w:rPr>
          <w:sz w:val="20"/>
          <w:szCs w:val="20"/>
          <w:color w:val="auto"/>
        </w:rPr>
      </w:pPr>
    </w:p>
    <w:p>
      <w:pPr>
        <w:ind w:left="5120"/>
        <w:spacing w:after="0"/>
        <w:rPr>
          <w:sz w:val="20"/>
          <w:szCs w:val="20"/>
          <w:color w:val="auto"/>
        </w:rPr>
      </w:pPr>
      <w:r>
        <w:rPr>
          <w:rFonts w:ascii="Arial" w:cs="Arial" w:eastAsia="Arial" w:hAnsi="Arial"/>
          <w:sz w:val="19"/>
          <w:szCs w:val="19"/>
          <w:b w:val="1"/>
          <w:bCs w:val="1"/>
          <w:color w:val="auto"/>
        </w:rPr>
        <w:t>ARTICLE IX.</w:t>
      </w:r>
    </w:p>
    <w:p>
      <w:pPr>
        <w:spacing w:after="0" w:line="20" w:lineRule="exact"/>
        <w:rPr>
          <w:sz w:val="20"/>
          <w:szCs w:val="20"/>
          <w:color w:val="auto"/>
        </w:rPr>
      </w:pPr>
    </w:p>
    <w:p>
      <w:pPr>
        <w:ind w:left="5160"/>
        <w:spacing w:after="0"/>
        <w:rPr>
          <w:sz w:val="20"/>
          <w:szCs w:val="20"/>
          <w:color w:val="auto"/>
        </w:rPr>
      </w:pPr>
      <w:r>
        <w:rPr>
          <w:rFonts w:ascii="Arial" w:cs="Arial" w:eastAsia="Arial" w:hAnsi="Arial"/>
          <w:sz w:val="19"/>
          <w:szCs w:val="19"/>
          <w:b w:val="1"/>
          <w:bCs w:val="1"/>
          <w:u w:val="single" w:color="auto"/>
          <w:color w:val="auto"/>
        </w:rPr>
        <w:t>MISCELLANEOUS</w:t>
      </w:r>
    </w:p>
    <w:p>
      <w:pPr>
        <w:spacing w:after="0" w:line="162" w:lineRule="exact"/>
        <w:rPr>
          <w:sz w:val="20"/>
          <w:szCs w:val="20"/>
          <w:color w:val="auto"/>
        </w:rPr>
      </w:pPr>
    </w:p>
    <w:p>
      <w:pPr>
        <w:ind w:left="140"/>
        <w:spacing w:after="0"/>
        <w:tabs>
          <w:tab w:leader="none" w:pos="560" w:val="left"/>
        </w:tabs>
        <w:rPr>
          <w:sz w:val="20"/>
          <w:szCs w:val="20"/>
          <w:color w:val="auto"/>
        </w:rPr>
      </w:pPr>
      <w:r>
        <w:rPr>
          <w:rFonts w:ascii="Arial" w:cs="Arial" w:eastAsia="Arial" w:hAnsi="Arial"/>
          <w:sz w:val="19"/>
          <w:szCs w:val="19"/>
          <w:u w:val="single" w:color="auto"/>
          <w:color w:val="auto"/>
        </w:rPr>
        <w:t>9.1</w:t>
      </w:r>
      <w:r>
        <w:rPr>
          <w:sz w:val="20"/>
          <w:szCs w:val="20"/>
          <w:color w:val="auto"/>
        </w:rPr>
        <w:tab/>
      </w:r>
      <w:r>
        <w:rPr>
          <w:rFonts w:ascii="Arial" w:cs="Arial" w:eastAsia="Arial" w:hAnsi="Arial"/>
          <w:sz w:val="17"/>
          <w:szCs w:val="17"/>
          <w:u w:val="single" w:color="auto"/>
          <w:color w:val="auto"/>
        </w:rPr>
        <w:t>Unsecured General Creditor</w:t>
      </w:r>
      <w:r>
        <w:rPr>
          <w:rFonts w:ascii="Arial" w:cs="Arial" w:eastAsia="Arial" w:hAnsi="Arial"/>
          <w:sz w:val="17"/>
          <w:szCs w:val="17"/>
          <w:color w:val="auto"/>
        </w:rPr>
        <w:t>.</w:t>
      </w:r>
    </w:p>
    <w:p>
      <w:pPr>
        <w:spacing w:after="0" w:line="190" w:lineRule="exact"/>
        <w:rPr>
          <w:sz w:val="20"/>
          <w:szCs w:val="20"/>
          <w:color w:val="auto"/>
        </w:rPr>
      </w:pPr>
    </w:p>
    <w:p>
      <w:pPr>
        <w:ind w:right="20" w:firstLine="1153"/>
        <w:spacing w:after="0" w:line="259" w:lineRule="auto"/>
        <w:rPr>
          <w:sz w:val="20"/>
          <w:szCs w:val="20"/>
          <w:color w:val="auto"/>
        </w:rPr>
      </w:pPr>
      <w:r>
        <w:rPr>
          <w:rFonts w:ascii="Arial" w:cs="Arial" w:eastAsia="Arial" w:hAnsi="Arial"/>
          <w:sz w:val="18"/>
          <w:szCs w:val="18"/>
          <w:color w:val="auto"/>
        </w:rPr>
        <w:t>Participants and their Beneficiaries, heirs, successors, and assigns shall have no legal or equitable rights, claims, or interest in any specific property or assets of the Company. No assets of the Company shall be held in any way as collateral security for the fulfilling of the obligations of the Company under this Plan. Any and all of the Company’s assets shall be, and remain, the general unpledged, unrestricted assets of the Company. The Company’s obligation under the Plan shall be merely that of an unfunded and unsecured promise of the Company to pay money in the future, and the rights of the Participants and Beneficiaries shall be no greater than those of unsecured general creditors. It is the intention of the Company that this Plan be unfunded for purposes of the Code and Title I of ERISA.</w:t>
      </w:r>
    </w:p>
    <w:p>
      <w:pPr>
        <w:spacing w:after="0" w:line="149" w:lineRule="exact"/>
        <w:rPr>
          <w:sz w:val="20"/>
          <w:szCs w:val="20"/>
          <w:color w:val="auto"/>
        </w:rPr>
      </w:pPr>
    </w:p>
    <w:p>
      <w:pPr>
        <w:ind w:left="140"/>
        <w:spacing w:after="0"/>
        <w:tabs>
          <w:tab w:leader="none" w:pos="560" w:val="left"/>
        </w:tabs>
        <w:rPr>
          <w:sz w:val="20"/>
          <w:szCs w:val="20"/>
          <w:color w:val="auto"/>
        </w:rPr>
      </w:pPr>
      <w:r>
        <w:rPr>
          <w:rFonts w:ascii="Arial" w:cs="Arial" w:eastAsia="Arial" w:hAnsi="Arial"/>
          <w:sz w:val="19"/>
          <w:szCs w:val="19"/>
          <w:u w:val="single" w:color="auto"/>
          <w:color w:val="auto"/>
        </w:rPr>
        <w:t>9.2</w:t>
      </w:r>
      <w:r>
        <w:rPr>
          <w:sz w:val="20"/>
          <w:szCs w:val="20"/>
          <w:color w:val="auto"/>
        </w:rPr>
        <w:tab/>
      </w:r>
      <w:r>
        <w:rPr>
          <w:rFonts w:ascii="Arial" w:cs="Arial" w:eastAsia="Arial" w:hAnsi="Arial"/>
          <w:sz w:val="17"/>
          <w:szCs w:val="17"/>
          <w:u w:val="single" w:color="auto"/>
          <w:color w:val="auto"/>
        </w:rPr>
        <w:t>Restriction Against Assignment</w:t>
      </w:r>
      <w:r>
        <w:rPr>
          <w:rFonts w:ascii="Arial" w:cs="Arial" w:eastAsia="Arial" w:hAnsi="Arial"/>
          <w:sz w:val="17"/>
          <w:szCs w:val="17"/>
          <w:color w:val="auto"/>
        </w:rPr>
        <w:t>.</w:t>
      </w:r>
    </w:p>
    <w:p>
      <w:pPr>
        <w:spacing w:after="0" w:line="190" w:lineRule="exact"/>
        <w:rPr>
          <w:sz w:val="20"/>
          <w:szCs w:val="20"/>
          <w:color w:val="auto"/>
        </w:rPr>
      </w:pPr>
    </w:p>
    <w:p>
      <w:pPr>
        <w:ind w:left="1140"/>
        <w:spacing w:after="0"/>
        <w:rPr>
          <w:sz w:val="20"/>
          <w:szCs w:val="20"/>
          <w:color w:val="auto"/>
        </w:rPr>
      </w:pPr>
      <w:r>
        <w:rPr>
          <w:rFonts w:ascii="Arial" w:cs="Arial" w:eastAsia="Arial" w:hAnsi="Arial"/>
          <w:sz w:val="19"/>
          <w:szCs w:val="19"/>
          <w:color w:val="auto"/>
        </w:rPr>
        <w:t>(a)</w:t>
      </w:r>
    </w:p>
    <w:p>
      <w:pPr>
        <w:sectPr>
          <w:pgSz w:w="11900" w:h="16838" w:orient="portrait"/>
          <w:cols w:equalWidth="0" w:num="1">
            <w:col w:w="11400"/>
          </w:cols>
          <w:pgMar w:left="240" w:top="120" w:right="259" w:bottom="0" w:gutter="0" w:footer="0" w:header="0"/>
        </w:sectPr>
      </w:pPr>
    </w:p>
    <w:bookmarkStart w:id="108" w:name="page109"/>
    <w:bookmarkEnd w:id="108"/>
    <w:p>
      <w:pPr>
        <w:ind w:left="1720" w:right="100"/>
        <w:spacing w:after="0" w:line="257" w:lineRule="auto"/>
        <w:rPr>
          <w:sz w:val="20"/>
          <w:szCs w:val="20"/>
          <w:color w:val="auto"/>
        </w:rPr>
      </w:pPr>
      <w:r>
        <w:rPr>
          <w:rFonts w:ascii="Arial" w:cs="Arial" w:eastAsia="Arial" w:hAnsi="Arial"/>
          <w:sz w:val="18"/>
          <w:szCs w:val="18"/>
          <w:color w:val="auto"/>
        </w:rPr>
        <w:t>The Company shall pay all amounts payable hereunder only to the person or persons designated by the Plan and not to any other person or entity. No right, title or interest in the Plan or in any account may be sold, pledged, assigned or transferred in any manner other than by will or the laws of descent and distribution. No right, title or interest in the Plan or in any Account shall be liable for the debts, contracts or engagements of the Participant or his successors in interest or shall be subject to disposition by transfer, alienation, anticipation, pledge, encumbrance, assignment or any other means whether such disposition be voluntary or involuntary or by operation of law by judgment, levy, attachment, garnishment or any other legal or equitable proceedings (including bankruptcy), and any attempted disposition thereof shall be null and vo id and of no effect, except to the extent that such disposition is permitted by the preceding sentence.</w:t>
      </w:r>
    </w:p>
    <w:p>
      <w:pPr>
        <w:spacing w:after="0" w:line="138" w:lineRule="exact"/>
        <w:rPr>
          <w:sz w:val="20"/>
          <w:szCs w:val="20"/>
          <w:color w:val="auto"/>
        </w:rPr>
      </w:pPr>
    </w:p>
    <w:p>
      <w:pPr>
        <w:jc w:val="both"/>
        <w:ind w:left="1720" w:right="100" w:hanging="571"/>
        <w:spacing w:after="0" w:line="252" w:lineRule="auto"/>
        <w:tabs>
          <w:tab w:leader="none" w:pos="1720" w:val="left"/>
        </w:tabs>
        <w:numPr>
          <w:ilvl w:val="0"/>
          <w:numId w:val="161"/>
        </w:numPr>
        <w:rPr>
          <w:rFonts w:ascii="Arial" w:cs="Arial" w:eastAsia="Arial" w:hAnsi="Arial"/>
          <w:sz w:val="19"/>
          <w:szCs w:val="19"/>
          <w:color w:val="auto"/>
        </w:rPr>
      </w:pPr>
      <w:r>
        <w:rPr>
          <w:rFonts w:ascii="Arial" w:cs="Arial" w:eastAsia="Arial" w:hAnsi="Arial"/>
          <w:sz w:val="19"/>
          <w:szCs w:val="19"/>
          <w:color w:val="auto"/>
        </w:rPr>
        <w:t>Notwithstanding the provisions of subsection (a), a Participant’s interest in his Account may be transferred by the Participant pursuant to a domestic relations order that constitutes a “qualified domestic relations order” as defined by the Code or Title I of ERISA.</w:t>
      </w:r>
    </w:p>
    <w:p>
      <w:pPr>
        <w:spacing w:after="0" w:line="153" w:lineRule="exact"/>
        <w:rPr>
          <w:sz w:val="20"/>
          <w:szCs w:val="20"/>
          <w:color w:val="auto"/>
        </w:rPr>
      </w:pPr>
    </w:p>
    <w:p>
      <w:pPr>
        <w:ind w:left="140"/>
        <w:spacing w:after="0"/>
        <w:tabs>
          <w:tab w:leader="none" w:pos="560" w:val="left"/>
        </w:tabs>
        <w:rPr>
          <w:sz w:val="20"/>
          <w:szCs w:val="20"/>
          <w:color w:val="auto"/>
        </w:rPr>
      </w:pPr>
      <w:r>
        <w:rPr>
          <w:rFonts w:ascii="Arial" w:cs="Arial" w:eastAsia="Arial" w:hAnsi="Arial"/>
          <w:sz w:val="19"/>
          <w:szCs w:val="19"/>
          <w:u w:val="single" w:color="auto"/>
          <w:color w:val="auto"/>
        </w:rPr>
        <w:t>9.3</w:t>
      </w:r>
      <w:r>
        <w:rPr>
          <w:sz w:val="20"/>
          <w:szCs w:val="20"/>
          <w:color w:val="auto"/>
        </w:rPr>
        <w:tab/>
      </w:r>
      <w:r>
        <w:rPr>
          <w:rFonts w:ascii="Arial" w:cs="Arial" w:eastAsia="Arial" w:hAnsi="Arial"/>
          <w:sz w:val="18"/>
          <w:szCs w:val="18"/>
          <w:u w:val="single" w:color="auto"/>
          <w:color w:val="auto"/>
        </w:rPr>
        <w:t>Withholding</w:t>
      </w:r>
      <w:r>
        <w:rPr>
          <w:rFonts w:ascii="Arial" w:cs="Arial" w:eastAsia="Arial" w:hAnsi="Arial"/>
          <w:sz w:val="18"/>
          <w:szCs w:val="18"/>
          <w:color w:val="auto"/>
        </w:rPr>
        <w:t>.</w:t>
      </w:r>
    </w:p>
    <w:p>
      <w:pPr>
        <w:spacing w:after="0" w:line="190" w:lineRule="exact"/>
        <w:rPr>
          <w:sz w:val="20"/>
          <w:szCs w:val="20"/>
          <w:color w:val="auto"/>
        </w:rPr>
      </w:pPr>
    </w:p>
    <w:p>
      <w:pPr>
        <w:ind w:right="80" w:firstLine="1153"/>
        <w:spacing w:after="0" w:line="272" w:lineRule="auto"/>
        <w:rPr>
          <w:sz w:val="20"/>
          <w:szCs w:val="20"/>
          <w:color w:val="auto"/>
        </w:rPr>
      </w:pPr>
      <w:r>
        <w:rPr>
          <w:rFonts w:ascii="Arial" w:cs="Arial" w:eastAsia="Arial" w:hAnsi="Arial"/>
          <w:sz w:val="18"/>
          <w:szCs w:val="18"/>
          <w:color w:val="auto"/>
        </w:rPr>
        <w:t>There shall be deducted from each payment made under the Plan or any other Compensation payable to the Participant (or Beneficiary) all taxes which are required to be withheld by the Company in respect to such payment or this Plan. The Company shall have the right to reduce any payment (or compensation) by the amount of such of cash sufficient to provide the amount of said taxes.</w:t>
      </w:r>
    </w:p>
    <w:p>
      <w:pPr>
        <w:spacing w:after="0" w:line="125" w:lineRule="exact"/>
        <w:rPr>
          <w:sz w:val="20"/>
          <w:szCs w:val="20"/>
          <w:color w:val="auto"/>
        </w:rPr>
      </w:pPr>
    </w:p>
    <w:p>
      <w:pPr>
        <w:ind w:left="140"/>
        <w:spacing w:after="0"/>
        <w:tabs>
          <w:tab w:leader="none" w:pos="560" w:val="left"/>
        </w:tabs>
        <w:rPr>
          <w:sz w:val="20"/>
          <w:szCs w:val="20"/>
          <w:color w:val="auto"/>
        </w:rPr>
      </w:pPr>
      <w:r>
        <w:rPr>
          <w:rFonts w:ascii="Arial" w:cs="Arial" w:eastAsia="Arial" w:hAnsi="Arial"/>
          <w:sz w:val="19"/>
          <w:szCs w:val="19"/>
          <w:u w:val="single" w:color="auto"/>
          <w:color w:val="auto"/>
        </w:rPr>
        <w:t>9.4</w:t>
      </w:r>
      <w:r>
        <w:rPr>
          <w:sz w:val="20"/>
          <w:szCs w:val="20"/>
          <w:color w:val="auto"/>
        </w:rPr>
        <w:tab/>
      </w:r>
      <w:r>
        <w:rPr>
          <w:rFonts w:ascii="Arial" w:cs="Arial" w:eastAsia="Arial" w:hAnsi="Arial"/>
          <w:sz w:val="17"/>
          <w:szCs w:val="17"/>
          <w:u w:val="single" w:color="auto"/>
          <w:color w:val="auto"/>
        </w:rPr>
        <w:t>Amendment, Modification, Suspension or Termination</w:t>
      </w:r>
      <w:r>
        <w:rPr>
          <w:rFonts w:ascii="Arial" w:cs="Arial" w:eastAsia="Arial" w:hAnsi="Arial"/>
          <w:sz w:val="17"/>
          <w:szCs w:val="17"/>
          <w:color w:val="auto"/>
        </w:rPr>
        <w:t>.</w:t>
      </w:r>
    </w:p>
    <w:p>
      <w:pPr>
        <w:spacing w:after="0" w:line="178" w:lineRule="exact"/>
        <w:rPr>
          <w:sz w:val="20"/>
          <w:szCs w:val="20"/>
          <w:color w:val="auto"/>
        </w:rPr>
      </w:pPr>
    </w:p>
    <w:p>
      <w:pPr>
        <w:ind w:right="480" w:firstLine="573"/>
        <w:spacing w:after="0" w:line="272" w:lineRule="auto"/>
        <w:tabs>
          <w:tab w:leader="none" w:pos="1153" w:val="left"/>
        </w:tabs>
        <w:numPr>
          <w:ilvl w:val="0"/>
          <w:numId w:val="162"/>
        </w:numPr>
        <w:rPr>
          <w:rFonts w:ascii="Arial" w:cs="Arial" w:eastAsia="Arial" w:hAnsi="Arial"/>
          <w:sz w:val="18"/>
          <w:szCs w:val="18"/>
          <w:color w:val="auto"/>
        </w:rPr>
      </w:pPr>
      <w:r>
        <w:rPr>
          <w:rFonts w:ascii="Arial" w:cs="Arial" w:eastAsia="Arial" w:hAnsi="Arial"/>
          <w:sz w:val="18"/>
          <w:szCs w:val="18"/>
          <w:color w:val="auto"/>
        </w:rPr>
        <w:t>Subject to Section 7.3, the Committee may amend, modify, suspend or terminate the Plan in whole or in part, except that no amendment, modification, suspension or termination shall have any retroactive effect to reduce any vested amounts allocated to a Participant’s Accounts. In the event of Plan termination, distributions shall continue to be made in accordance with the terms of the Plan.</w:t>
      </w:r>
    </w:p>
    <w:p>
      <w:pPr>
        <w:spacing w:after="0" w:line="137" w:lineRule="exact"/>
        <w:rPr>
          <w:rFonts w:ascii="Arial" w:cs="Arial" w:eastAsia="Arial" w:hAnsi="Arial"/>
          <w:sz w:val="18"/>
          <w:szCs w:val="18"/>
          <w:color w:val="auto"/>
        </w:rPr>
      </w:pPr>
    </w:p>
    <w:p>
      <w:pPr>
        <w:jc w:val="both"/>
        <w:ind w:firstLine="573"/>
        <w:spacing w:after="0" w:line="244" w:lineRule="auto"/>
        <w:tabs>
          <w:tab w:leader="none" w:pos="1153" w:val="left"/>
        </w:tabs>
        <w:numPr>
          <w:ilvl w:val="0"/>
          <w:numId w:val="162"/>
        </w:numPr>
        <w:rPr>
          <w:rFonts w:ascii="Arial" w:cs="Arial" w:eastAsia="Arial" w:hAnsi="Arial"/>
          <w:sz w:val="19"/>
          <w:szCs w:val="19"/>
          <w:color w:val="auto"/>
        </w:rPr>
      </w:pPr>
      <w:r>
        <w:rPr>
          <w:rFonts w:ascii="Arial" w:cs="Arial" w:eastAsia="Arial" w:hAnsi="Arial"/>
          <w:sz w:val="19"/>
          <w:szCs w:val="19"/>
          <w:color w:val="auto"/>
        </w:rPr>
        <w:t>Notwithstanding anything to the contrary in the Plan, if and to the extent the Company shall determine that the terms of the Plan may result in the failure of the Plan, or amounts deferred by or for any Participant under the Plan, to comply with the requirements of Section 409A of the Code, or any applicable regulations or guidance promulgated by the Secretary of the Treasury in connection therewith, the Company shall have authority to take such action to amend, modify, cancel or terminate the Plan or distribute any or all of the amounts deferred by or for a Participate, as it deems necessary or advisable, including without limitation:</w:t>
      </w:r>
    </w:p>
    <w:p>
      <w:pPr>
        <w:spacing w:after="0" w:line="150" w:lineRule="exact"/>
        <w:rPr>
          <w:rFonts w:ascii="Arial" w:cs="Arial" w:eastAsia="Arial" w:hAnsi="Arial"/>
          <w:sz w:val="19"/>
          <w:szCs w:val="19"/>
          <w:color w:val="auto"/>
        </w:rPr>
      </w:pPr>
    </w:p>
    <w:p>
      <w:pPr>
        <w:ind w:right="440" w:firstLine="1149"/>
        <w:spacing w:after="0" w:line="252" w:lineRule="auto"/>
        <w:tabs>
          <w:tab w:leader="none" w:pos="1730" w:val="left"/>
        </w:tabs>
        <w:numPr>
          <w:ilvl w:val="1"/>
          <w:numId w:val="162"/>
        </w:numPr>
        <w:rPr>
          <w:rFonts w:ascii="Arial" w:cs="Arial" w:eastAsia="Arial" w:hAnsi="Arial"/>
          <w:sz w:val="19"/>
          <w:szCs w:val="19"/>
          <w:color w:val="auto"/>
        </w:rPr>
      </w:pPr>
      <w:r>
        <w:rPr>
          <w:rFonts w:ascii="Arial" w:cs="Arial" w:eastAsia="Arial" w:hAnsi="Arial"/>
          <w:sz w:val="19"/>
          <w:szCs w:val="19"/>
          <w:color w:val="auto"/>
        </w:rPr>
        <w:t>Any amendment or modification of the Plan to conform the Plan to the requirements of Section 409A of the Code or any regulations or other guidance thereunder (including, without limitation, any amendment or modification of the terms of any applicable to any Participant’s Accounts regarding the timing or form of payment).</w:t>
      </w:r>
    </w:p>
    <w:p>
      <w:pPr>
        <w:spacing w:after="0" w:line="140" w:lineRule="exact"/>
        <w:rPr>
          <w:rFonts w:ascii="Arial" w:cs="Arial" w:eastAsia="Arial" w:hAnsi="Arial"/>
          <w:sz w:val="19"/>
          <w:szCs w:val="19"/>
          <w:color w:val="auto"/>
        </w:rPr>
      </w:pPr>
    </w:p>
    <w:p>
      <w:pPr>
        <w:ind w:left="1720" w:hanging="571"/>
        <w:spacing w:after="0"/>
        <w:tabs>
          <w:tab w:leader="none" w:pos="1720" w:val="left"/>
        </w:tabs>
        <w:numPr>
          <w:ilvl w:val="1"/>
          <w:numId w:val="162"/>
        </w:numPr>
        <w:rPr>
          <w:rFonts w:ascii="Arial" w:cs="Arial" w:eastAsia="Arial" w:hAnsi="Arial"/>
          <w:sz w:val="17"/>
          <w:szCs w:val="17"/>
          <w:color w:val="auto"/>
        </w:rPr>
      </w:pPr>
      <w:r>
        <w:rPr>
          <w:rFonts w:ascii="Arial" w:cs="Arial" w:eastAsia="Arial" w:hAnsi="Arial"/>
          <w:sz w:val="17"/>
          <w:szCs w:val="17"/>
          <w:color w:val="auto"/>
        </w:rPr>
        <w:t>Any cancellation or termination of any unvested interest in a Participant’s Accounts without any payment to the Participant.</w:t>
      </w:r>
    </w:p>
    <w:p>
      <w:pPr>
        <w:spacing w:after="0" w:line="212" w:lineRule="exact"/>
        <w:rPr>
          <w:rFonts w:ascii="Arial" w:cs="Arial" w:eastAsia="Arial" w:hAnsi="Arial"/>
          <w:sz w:val="17"/>
          <w:szCs w:val="17"/>
          <w:color w:val="auto"/>
        </w:rPr>
      </w:pPr>
    </w:p>
    <w:p>
      <w:pPr>
        <w:ind w:right="780" w:firstLine="1149"/>
        <w:spacing w:after="0" w:line="266" w:lineRule="auto"/>
        <w:tabs>
          <w:tab w:leader="none" w:pos="1730" w:val="left"/>
        </w:tabs>
        <w:numPr>
          <w:ilvl w:val="1"/>
          <w:numId w:val="162"/>
        </w:numPr>
        <w:rPr>
          <w:rFonts w:ascii="Arial" w:cs="Arial" w:eastAsia="Arial" w:hAnsi="Arial"/>
          <w:sz w:val="19"/>
          <w:szCs w:val="19"/>
          <w:color w:val="auto"/>
        </w:rPr>
      </w:pPr>
      <w:r>
        <w:rPr>
          <w:rFonts w:ascii="Arial" w:cs="Arial" w:eastAsia="Arial" w:hAnsi="Arial"/>
          <w:sz w:val="19"/>
          <w:szCs w:val="19"/>
          <w:color w:val="auto"/>
        </w:rPr>
        <w:t>Any cancellation or termination of any vested interest in any Participant’s Accounts, with immediate payment to the Participant of the amount otherwise payable to such Participant.</w:t>
      </w:r>
    </w:p>
    <w:p>
      <w:pPr>
        <w:spacing w:after="0" w:line="140" w:lineRule="exact"/>
        <w:rPr>
          <w:sz w:val="20"/>
          <w:szCs w:val="20"/>
          <w:color w:val="auto"/>
        </w:rPr>
      </w:pPr>
    </w:p>
    <w:p>
      <w:pPr>
        <w:ind w:right="160" w:firstLine="1153"/>
        <w:spacing w:after="0" w:line="266" w:lineRule="auto"/>
        <w:rPr>
          <w:sz w:val="20"/>
          <w:szCs w:val="20"/>
          <w:color w:val="auto"/>
        </w:rPr>
      </w:pPr>
      <w:r>
        <w:rPr>
          <w:rFonts w:ascii="Arial" w:cs="Arial" w:eastAsia="Arial" w:hAnsi="Arial"/>
          <w:sz w:val="19"/>
          <w:szCs w:val="19"/>
          <w:color w:val="auto"/>
        </w:rPr>
        <w:t>Any such amendment, modification, cancellation, or termination of the Plan may adversely affect the rights of a Participant without the Participant’s consent.</w:t>
      </w:r>
    </w:p>
    <w:p>
      <w:pPr>
        <w:spacing w:after="0" w:line="128" w:lineRule="exact"/>
        <w:rPr>
          <w:sz w:val="20"/>
          <w:szCs w:val="20"/>
          <w:color w:val="auto"/>
        </w:rPr>
      </w:pPr>
    </w:p>
    <w:p>
      <w:pPr>
        <w:ind w:left="140"/>
        <w:spacing w:after="0"/>
        <w:tabs>
          <w:tab w:leader="none" w:pos="560" w:val="left"/>
        </w:tabs>
        <w:rPr>
          <w:sz w:val="20"/>
          <w:szCs w:val="20"/>
          <w:color w:val="auto"/>
        </w:rPr>
      </w:pPr>
      <w:r>
        <w:rPr>
          <w:rFonts w:ascii="Arial" w:cs="Arial" w:eastAsia="Arial" w:hAnsi="Arial"/>
          <w:sz w:val="19"/>
          <w:szCs w:val="19"/>
          <w:u w:val="single" w:color="auto"/>
          <w:color w:val="auto"/>
        </w:rPr>
        <w:t>9.5</w:t>
      </w:r>
      <w:r>
        <w:rPr>
          <w:sz w:val="20"/>
          <w:szCs w:val="20"/>
          <w:color w:val="auto"/>
        </w:rPr>
        <w:tab/>
      </w:r>
      <w:r>
        <w:rPr>
          <w:rFonts w:ascii="Arial" w:cs="Arial" w:eastAsia="Arial" w:hAnsi="Arial"/>
          <w:sz w:val="17"/>
          <w:szCs w:val="17"/>
          <w:u w:val="single" w:color="auto"/>
          <w:color w:val="auto"/>
        </w:rPr>
        <w:t>Designation of Beneficiary</w:t>
      </w:r>
      <w:r>
        <w:rPr>
          <w:rFonts w:ascii="Arial" w:cs="Arial" w:eastAsia="Arial" w:hAnsi="Arial"/>
          <w:sz w:val="17"/>
          <w:szCs w:val="17"/>
          <w:color w:val="auto"/>
        </w:rPr>
        <w:t>.</w:t>
      </w:r>
    </w:p>
    <w:p>
      <w:pPr>
        <w:spacing w:after="0" w:line="178" w:lineRule="exact"/>
        <w:rPr>
          <w:sz w:val="20"/>
          <w:szCs w:val="20"/>
          <w:color w:val="auto"/>
        </w:rPr>
      </w:pPr>
    </w:p>
    <w:p>
      <w:pPr>
        <w:ind w:left="1720" w:right="20" w:hanging="571"/>
        <w:spacing w:after="0" w:line="266" w:lineRule="auto"/>
        <w:tabs>
          <w:tab w:leader="none" w:pos="1720" w:val="left"/>
        </w:tabs>
        <w:numPr>
          <w:ilvl w:val="0"/>
          <w:numId w:val="163"/>
        </w:numPr>
        <w:rPr>
          <w:rFonts w:ascii="Arial" w:cs="Arial" w:eastAsia="Arial" w:hAnsi="Arial"/>
          <w:sz w:val="19"/>
          <w:szCs w:val="19"/>
          <w:color w:val="auto"/>
        </w:rPr>
      </w:pPr>
      <w:r>
        <w:rPr>
          <w:rFonts w:ascii="Arial" w:cs="Arial" w:eastAsia="Arial" w:hAnsi="Arial"/>
          <w:sz w:val="19"/>
          <w:szCs w:val="19"/>
          <w:color w:val="auto"/>
        </w:rPr>
        <w:t>Each Participant shall have the right to designate, revoke and redesignate Beneficiaries hereunder and to direct payment of his Distributable Amount to such Beneficiaries upon his death.</w:t>
      </w:r>
    </w:p>
    <w:p>
      <w:pPr>
        <w:spacing w:after="0" w:line="140" w:lineRule="exact"/>
        <w:rPr>
          <w:rFonts w:ascii="Arial" w:cs="Arial" w:eastAsia="Arial" w:hAnsi="Arial"/>
          <w:sz w:val="19"/>
          <w:szCs w:val="19"/>
          <w:color w:val="auto"/>
        </w:rPr>
      </w:pPr>
    </w:p>
    <w:p>
      <w:pPr>
        <w:ind w:left="1720" w:right="600" w:hanging="571"/>
        <w:spacing w:after="0" w:line="266" w:lineRule="auto"/>
        <w:tabs>
          <w:tab w:leader="none" w:pos="1720" w:val="left"/>
        </w:tabs>
        <w:numPr>
          <w:ilvl w:val="0"/>
          <w:numId w:val="163"/>
        </w:numPr>
        <w:rPr>
          <w:rFonts w:ascii="Arial" w:cs="Arial" w:eastAsia="Arial" w:hAnsi="Arial"/>
          <w:sz w:val="19"/>
          <w:szCs w:val="19"/>
          <w:color w:val="auto"/>
        </w:rPr>
      </w:pPr>
      <w:r>
        <w:rPr>
          <w:rFonts w:ascii="Arial" w:cs="Arial" w:eastAsia="Arial" w:hAnsi="Arial"/>
          <w:sz w:val="19"/>
          <w:szCs w:val="19"/>
          <w:color w:val="auto"/>
        </w:rPr>
        <w:t>Designation, revocation and redesignation of Beneficiaries must be made in writing in accordance with the procedures established by the Committee and shall be effective upon delivery to the Committee.</w:t>
      </w:r>
    </w:p>
    <w:p>
      <w:pPr>
        <w:spacing w:after="0" w:line="128" w:lineRule="exact"/>
        <w:rPr>
          <w:rFonts w:ascii="Arial" w:cs="Arial" w:eastAsia="Arial" w:hAnsi="Arial"/>
          <w:sz w:val="19"/>
          <w:szCs w:val="19"/>
          <w:color w:val="auto"/>
        </w:rPr>
      </w:pPr>
    </w:p>
    <w:p>
      <w:pPr>
        <w:ind w:left="1720" w:right="40" w:hanging="571"/>
        <w:spacing w:after="0" w:line="244" w:lineRule="auto"/>
        <w:tabs>
          <w:tab w:leader="none" w:pos="1720" w:val="left"/>
        </w:tabs>
        <w:numPr>
          <w:ilvl w:val="0"/>
          <w:numId w:val="163"/>
        </w:numPr>
        <w:rPr>
          <w:rFonts w:ascii="Arial" w:cs="Arial" w:eastAsia="Arial" w:hAnsi="Arial"/>
          <w:sz w:val="19"/>
          <w:szCs w:val="19"/>
          <w:color w:val="auto"/>
        </w:rPr>
      </w:pPr>
      <w:r>
        <w:rPr>
          <w:rFonts w:ascii="Arial" w:cs="Arial" w:eastAsia="Arial" w:hAnsi="Arial"/>
          <w:sz w:val="19"/>
          <w:szCs w:val="19"/>
          <w:color w:val="auto"/>
        </w:rPr>
        <w:t>No designation of a Beneficiary other than the Participant’s spouse shall be valid unless consented in writing by such spouse. If there is no Beneficiary designation in effect, or the designated beneficiary does not survive the Participant, then the Participant’s spouse shall be the Beneficiary. If there is no surviving spouse, the duly appointed and currently acting personal representative of the Participant’s estate (which shall include either the Participant’s probate estate or living trust) shall be the Beneficiary.</w:t>
      </w:r>
    </w:p>
    <w:p>
      <w:pPr>
        <w:spacing w:after="0" w:line="150" w:lineRule="exact"/>
        <w:rPr>
          <w:rFonts w:ascii="Arial" w:cs="Arial" w:eastAsia="Arial" w:hAnsi="Arial"/>
          <w:sz w:val="19"/>
          <w:szCs w:val="19"/>
          <w:color w:val="auto"/>
        </w:rPr>
      </w:pPr>
    </w:p>
    <w:p>
      <w:pPr>
        <w:ind w:left="1720" w:right="80" w:hanging="571"/>
        <w:spacing w:after="0" w:line="247" w:lineRule="auto"/>
        <w:tabs>
          <w:tab w:leader="none" w:pos="1720" w:val="left"/>
        </w:tabs>
        <w:numPr>
          <w:ilvl w:val="0"/>
          <w:numId w:val="163"/>
        </w:numPr>
        <w:rPr>
          <w:rFonts w:ascii="Arial" w:cs="Arial" w:eastAsia="Arial" w:hAnsi="Arial"/>
          <w:sz w:val="19"/>
          <w:szCs w:val="19"/>
          <w:color w:val="auto"/>
        </w:rPr>
      </w:pPr>
      <w:r>
        <w:rPr>
          <w:rFonts w:ascii="Arial" w:cs="Arial" w:eastAsia="Arial" w:hAnsi="Arial"/>
          <w:sz w:val="19"/>
          <w:szCs w:val="19"/>
          <w:color w:val="auto"/>
        </w:rPr>
        <w:t>After the Participant’s death, any Beneficiary (other than the Participant’s estate) who is to receive installment payments may designate a secondary beneficiary to receive amounts due under this Plan to the Beneficiary in the event of the Beneficiary’s death prior to receiving full payment from the Plan. If no secondary beneficiary is designated, it shall be the Beneficiary’s estate.</w:t>
      </w:r>
    </w:p>
    <w:p>
      <w:pPr>
        <w:spacing w:after="0" w:line="158" w:lineRule="exact"/>
        <w:rPr>
          <w:sz w:val="20"/>
          <w:szCs w:val="20"/>
          <w:color w:val="auto"/>
        </w:rPr>
      </w:pPr>
    </w:p>
    <w:p>
      <w:pPr>
        <w:ind w:left="140"/>
        <w:spacing w:after="0"/>
        <w:tabs>
          <w:tab w:leader="none" w:pos="560" w:val="left"/>
        </w:tabs>
        <w:rPr>
          <w:sz w:val="20"/>
          <w:szCs w:val="20"/>
          <w:color w:val="auto"/>
        </w:rPr>
      </w:pPr>
      <w:r>
        <w:rPr>
          <w:rFonts w:ascii="Arial" w:cs="Arial" w:eastAsia="Arial" w:hAnsi="Arial"/>
          <w:sz w:val="19"/>
          <w:szCs w:val="19"/>
          <w:u w:val="single" w:color="auto"/>
          <w:color w:val="auto"/>
        </w:rPr>
        <w:t>9.6</w:t>
      </w:r>
      <w:r>
        <w:rPr>
          <w:sz w:val="20"/>
          <w:szCs w:val="20"/>
          <w:color w:val="auto"/>
        </w:rPr>
        <w:tab/>
      </w:r>
      <w:r>
        <w:rPr>
          <w:rFonts w:ascii="Arial" w:cs="Arial" w:eastAsia="Arial" w:hAnsi="Arial"/>
          <w:sz w:val="16"/>
          <w:szCs w:val="16"/>
          <w:u w:val="single" w:color="auto"/>
          <w:color w:val="auto"/>
        </w:rPr>
        <w:t>Insurance</w:t>
      </w:r>
      <w:r>
        <w:rPr>
          <w:rFonts w:ascii="Arial" w:cs="Arial" w:eastAsia="Arial" w:hAnsi="Arial"/>
          <w:sz w:val="16"/>
          <w:szCs w:val="16"/>
          <w:color w:val="auto"/>
        </w:rPr>
        <w:t>.</w:t>
      </w:r>
    </w:p>
    <w:p>
      <w:pPr>
        <w:spacing w:after="0" w:line="178" w:lineRule="exact"/>
        <w:rPr>
          <w:sz w:val="20"/>
          <w:szCs w:val="20"/>
          <w:color w:val="auto"/>
        </w:rPr>
      </w:pPr>
    </w:p>
    <w:p>
      <w:pPr>
        <w:ind w:left="1720" w:right="200" w:hanging="571"/>
        <w:spacing w:after="0" w:line="296" w:lineRule="auto"/>
        <w:tabs>
          <w:tab w:leader="none" w:pos="1720" w:val="left"/>
        </w:tabs>
        <w:numPr>
          <w:ilvl w:val="0"/>
          <w:numId w:val="164"/>
        </w:numPr>
        <w:rPr>
          <w:rFonts w:ascii="Arial" w:cs="Arial" w:eastAsia="Arial" w:hAnsi="Arial"/>
          <w:sz w:val="17"/>
          <w:szCs w:val="17"/>
          <w:color w:val="auto"/>
        </w:rPr>
      </w:pPr>
      <w:r>
        <w:rPr>
          <w:rFonts w:ascii="Arial" w:cs="Arial" w:eastAsia="Arial" w:hAnsi="Arial"/>
          <w:sz w:val="17"/>
          <w:szCs w:val="17"/>
          <w:color w:val="auto"/>
        </w:rPr>
        <w:t>As a condition of participation in this Plan, each Participant shall, if requested by the Committee or the Company, undergo such examination and provide such information as may be required by the Company with respect to any insurance contracts on the Participant’s life and shall authorize the Company to purchase life insurance on his life, payable to the Company.</w:t>
      </w:r>
    </w:p>
    <w:p>
      <w:pPr>
        <w:spacing w:after="0" w:line="117" w:lineRule="exact"/>
        <w:rPr>
          <w:rFonts w:ascii="Arial" w:cs="Arial" w:eastAsia="Arial" w:hAnsi="Arial"/>
          <w:sz w:val="17"/>
          <w:szCs w:val="17"/>
          <w:color w:val="auto"/>
        </w:rPr>
      </w:pPr>
    </w:p>
    <w:p>
      <w:pPr>
        <w:ind w:left="1720" w:right="40" w:hanging="571"/>
        <w:spacing w:after="0" w:line="259" w:lineRule="auto"/>
        <w:tabs>
          <w:tab w:leader="none" w:pos="172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If the Company maintains an insurance policy on a Participant’s life to fund benefits under the Plan and such insurance policy is invalidated because (i) the Participant commits suicide during the two-year period beginning on the first day of the first Plan Year of such Participant’s participation in the Plan or because (ii) the Participant makes any material misstatement of information or nondisclosure of medical history, then the only benefits that shall be payable hereunder to such Participant, his Beneficiary or his surviving spouse, are the payment of the amount of deferrals of Compensation then credited to the Participant’s Accounts but without any interest including interest theretofore credited under this Plan.</w:t>
      </w:r>
    </w:p>
    <w:p>
      <w:pPr>
        <w:spacing w:after="0" w:line="137" w:lineRule="exact"/>
        <w:rPr>
          <w:sz w:val="20"/>
          <w:szCs w:val="20"/>
          <w:color w:val="auto"/>
        </w:rPr>
      </w:pPr>
    </w:p>
    <w:p>
      <w:pPr>
        <w:ind w:left="140"/>
        <w:spacing w:after="0"/>
        <w:tabs>
          <w:tab w:leader="none" w:pos="560" w:val="left"/>
        </w:tabs>
        <w:rPr>
          <w:sz w:val="20"/>
          <w:szCs w:val="20"/>
          <w:color w:val="auto"/>
        </w:rPr>
      </w:pPr>
      <w:r>
        <w:rPr>
          <w:rFonts w:ascii="Arial" w:cs="Arial" w:eastAsia="Arial" w:hAnsi="Arial"/>
          <w:sz w:val="19"/>
          <w:szCs w:val="19"/>
          <w:u w:val="single" w:color="auto"/>
          <w:color w:val="auto"/>
        </w:rPr>
        <w:t>9.7</w:t>
      </w:r>
      <w:r>
        <w:rPr>
          <w:sz w:val="20"/>
          <w:szCs w:val="20"/>
          <w:color w:val="auto"/>
        </w:rPr>
        <w:tab/>
      </w:r>
      <w:r>
        <w:rPr>
          <w:rFonts w:ascii="Arial" w:cs="Arial" w:eastAsia="Arial" w:hAnsi="Arial"/>
          <w:sz w:val="17"/>
          <w:szCs w:val="17"/>
          <w:u w:val="single" w:color="auto"/>
          <w:color w:val="auto"/>
        </w:rPr>
        <w:t>Governing Law</w:t>
      </w:r>
      <w:r>
        <w:rPr>
          <w:rFonts w:ascii="Arial" w:cs="Arial" w:eastAsia="Arial" w:hAnsi="Arial"/>
          <w:sz w:val="17"/>
          <w:szCs w:val="17"/>
          <w:color w:val="auto"/>
        </w:rPr>
        <w:t>.</w:t>
      </w:r>
    </w:p>
    <w:p>
      <w:pPr>
        <w:spacing w:after="0" w:line="190"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Subject to ERISA, this Plan shall be construed, governed and administered in accordance with the laws of the State of California.</w:t>
      </w:r>
    </w:p>
    <w:p>
      <w:pPr>
        <w:sectPr>
          <w:pgSz w:w="11900" w:h="16838" w:orient="portrait"/>
          <w:cols w:equalWidth="0" w:num="1">
            <w:col w:w="11440"/>
          </w:cols>
          <w:pgMar w:left="240" w:top="120" w:right="219" w:bottom="0" w:gutter="0" w:footer="0" w:header="0"/>
        </w:sectPr>
      </w:pPr>
    </w:p>
    <w:bookmarkStart w:id="109" w:name="page110"/>
    <w:bookmarkEnd w:id="109"/>
    <w:p>
      <w:pPr>
        <w:spacing w:after="0" w:line="28" w:lineRule="exact"/>
        <w:rPr>
          <w:sz w:val="20"/>
          <w:szCs w:val="20"/>
          <w:color w:val="auto"/>
        </w:rPr>
      </w:pPr>
    </w:p>
    <w:p>
      <w:pPr>
        <w:ind w:left="140"/>
        <w:spacing w:after="0"/>
        <w:tabs>
          <w:tab w:leader="none" w:pos="560" w:val="left"/>
        </w:tabs>
        <w:rPr>
          <w:sz w:val="20"/>
          <w:szCs w:val="20"/>
          <w:color w:val="auto"/>
        </w:rPr>
      </w:pPr>
      <w:r>
        <w:rPr>
          <w:rFonts w:ascii="Arial" w:cs="Arial" w:eastAsia="Arial" w:hAnsi="Arial"/>
          <w:sz w:val="19"/>
          <w:szCs w:val="19"/>
          <w:u w:val="single" w:color="auto"/>
          <w:color w:val="auto"/>
        </w:rPr>
        <w:t>9.8</w:t>
      </w:r>
      <w:r>
        <w:rPr>
          <w:sz w:val="20"/>
          <w:szCs w:val="20"/>
          <w:color w:val="auto"/>
        </w:rPr>
        <w:tab/>
      </w:r>
      <w:r>
        <w:rPr>
          <w:rFonts w:ascii="Arial" w:cs="Arial" w:eastAsia="Arial" w:hAnsi="Arial"/>
          <w:sz w:val="16"/>
          <w:szCs w:val="16"/>
          <w:u w:val="single" w:color="auto"/>
          <w:color w:val="auto"/>
        </w:rPr>
        <w:t>Receipt of Release</w:t>
      </w:r>
      <w:r>
        <w:rPr>
          <w:rFonts w:ascii="Arial" w:cs="Arial" w:eastAsia="Arial" w:hAnsi="Arial"/>
          <w:sz w:val="16"/>
          <w:szCs w:val="16"/>
          <w:color w:val="auto"/>
        </w:rPr>
        <w:t>.</w:t>
      </w:r>
    </w:p>
    <w:p>
      <w:pPr>
        <w:spacing w:after="0" w:line="191" w:lineRule="exact"/>
        <w:rPr>
          <w:sz w:val="20"/>
          <w:szCs w:val="20"/>
          <w:color w:val="auto"/>
        </w:rPr>
      </w:pPr>
    </w:p>
    <w:p>
      <w:pPr>
        <w:ind w:right="20" w:firstLine="1153"/>
        <w:spacing w:after="0" w:line="296" w:lineRule="auto"/>
        <w:rPr>
          <w:sz w:val="20"/>
          <w:szCs w:val="20"/>
          <w:color w:val="auto"/>
        </w:rPr>
      </w:pPr>
      <w:r>
        <w:rPr>
          <w:rFonts w:ascii="Arial" w:cs="Arial" w:eastAsia="Arial" w:hAnsi="Arial"/>
          <w:sz w:val="17"/>
          <w:szCs w:val="17"/>
          <w:color w:val="auto"/>
        </w:rPr>
        <w:t>Any payment to a Participant or the Participant’s Beneficiary in accordance with the provisions of the Plan shall, to the extent thereof, be in full satisfaction of all claims against the Committee and the Company. The Committee may require such Participant or Beneficiary, as a condition precedent to such payment, to execute a receipt and release to such effect prior to the payment date specified under the Plan.</w:t>
      </w:r>
    </w:p>
    <w:p>
      <w:pPr>
        <w:spacing w:after="0" w:line="106" w:lineRule="exact"/>
        <w:rPr>
          <w:sz w:val="20"/>
          <w:szCs w:val="20"/>
          <w:color w:val="auto"/>
        </w:rPr>
      </w:pPr>
    </w:p>
    <w:p>
      <w:pPr>
        <w:ind w:left="140"/>
        <w:spacing w:after="0"/>
        <w:tabs>
          <w:tab w:leader="none" w:pos="560" w:val="left"/>
        </w:tabs>
        <w:rPr>
          <w:sz w:val="20"/>
          <w:szCs w:val="20"/>
          <w:color w:val="auto"/>
        </w:rPr>
      </w:pPr>
      <w:r>
        <w:rPr>
          <w:rFonts w:ascii="Arial" w:cs="Arial" w:eastAsia="Arial" w:hAnsi="Arial"/>
          <w:sz w:val="19"/>
          <w:szCs w:val="19"/>
          <w:u w:val="single" w:color="auto"/>
          <w:color w:val="auto"/>
        </w:rPr>
        <w:t>9.9</w:t>
      </w:r>
      <w:r>
        <w:rPr>
          <w:sz w:val="20"/>
          <w:szCs w:val="20"/>
          <w:color w:val="auto"/>
        </w:rPr>
        <w:tab/>
      </w:r>
      <w:r>
        <w:rPr>
          <w:rFonts w:ascii="Arial" w:cs="Arial" w:eastAsia="Arial" w:hAnsi="Arial"/>
          <w:sz w:val="17"/>
          <w:szCs w:val="17"/>
          <w:u w:val="single" w:color="auto"/>
          <w:color w:val="auto"/>
        </w:rPr>
        <w:t>Compliance with Code Section 162(m)</w:t>
      </w:r>
    </w:p>
    <w:p>
      <w:pPr>
        <w:spacing w:after="0" w:line="190" w:lineRule="exact"/>
        <w:rPr>
          <w:sz w:val="20"/>
          <w:szCs w:val="20"/>
          <w:color w:val="auto"/>
        </w:rPr>
      </w:pPr>
    </w:p>
    <w:p>
      <w:pPr>
        <w:ind w:right="20" w:firstLine="577"/>
        <w:spacing w:after="0" w:line="254" w:lineRule="auto"/>
        <w:rPr>
          <w:sz w:val="20"/>
          <w:szCs w:val="20"/>
          <w:color w:val="auto"/>
        </w:rPr>
      </w:pPr>
      <w:r>
        <w:rPr>
          <w:rFonts w:ascii="Arial" w:cs="Arial" w:eastAsia="Arial" w:hAnsi="Arial"/>
          <w:sz w:val="18"/>
          <w:szCs w:val="18"/>
          <w:color w:val="auto"/>
        </w:rPr>
        <w:t>It is the intent of the Company that any Compensation which is deferred under the Plan by a person who is, with respect to the year of distribution, deemed by the Committee to be a “covered employee” within the meaning of Code Section 162(m) and regulations thereunder, which Compensation constitutes either “qualified performance-based compensation” within the meaning of Code Section 162(m) and regulations thereunder or compensation not otherwise subject to the limitation on deductibility under Section 162(m) and regulations thereunder, shall not, as a result of deferral hereunder, become compensation with respect to which the Company in fact would not be entitled to a tax deduction under Code Section 162(m). If the Company determines in good faith prior to a Change in Control that there is a reasonable likelihood that any compensation paid to a Partic ipant for a taxable year of the Company would not be deductible by the Company solely by reason of the limitation under Code Section 162(m), then to the extent deemed necessary by the Company to ensure that the entire amount of any distribution to the Participant pursuant to this Plan prior to the Change in Control is deductible, the Company may defer all or any portion of a distribution under this Plan. Any amounts deferred pursuant to this limitation shall continue to be credited/debited with additional amounts in accordance with Article IV, even if such amount is being paid out in installments. The amounts so deferred and amounts credited thereon shall be distributed to the Participant or his Beneficiary (in the event of the Participant’s death) commencing on the January 1 following the Plan Year in which such Participant’s Separation from Service, Disability or death occurs, or if earlier, the effective date of a Change in Control. Notwithstanding anything to the contrary in t his Plan, this Section shall not apply to any distributions made after a Change in Control.</w:t>
      </w:r>
    </w:p>
    <w:p>
      <w:pPr>
        <w:spacing w:after="0" w:line="153" w:lineRule="exact"/>
        <w:rPr>
          <w:sz w:val="20"/>
          <w:szCs w:val="20"/>
          <w:color w:val="auto"/>
        </w:rPr>
      </w:pPr>
    </w:p>
    <w:p>
      <w:pPr>
        <w:ind w:left="140"/>
        <w:spacing w:after="0"/>
        <w:rPr>
          <w:sz w:val="20"/>
          <w:szCs w:val="20"/>
          <w:color w:val="auto"/>
        </w:rPr>
      </w:pPr>
      <w:r>
        <w:rPr>
          <w:rFonts w:ascii="Arial" w:cs="Arial" w:eastAsia="Arial" w:hAnsi="Arial"/>
          <w:sz w:val="19"/>
          <w:szCs w:val="19"/>
          <w:u w:val="single" w:color="auto"/>
          <w:color w:val="auto"/>
        </w:rPr>
        <w:t>9.10 Payments on Behalf of Persons Under Incapacity</w:t>
      </w:r>
      <w:r>
        <w:rPr>
          <w:rFonts w:ascii="Arial" w:cs="Arial" w:eastAsia="Arial" w:hAnsi="Arial"/>
          <w:sz w:val="19"/>
          <w:szCs w:val="19"/>
          <w:color w:val="auto"/>
        </w:rPr>
        <w:t>.</w:t>
      </w:r>
    </w:p>
    <w:p>
      <w:pPr>
        <w:spacing w:after="0" w:line="190" w:lineRule="exact"/>
        <w:rPr>
          <w:sz w:val="20"/>
          <w:szCs w:val="20"/>
          <w:color w:val="auto"/>
        </w:rPr>
      </w:pPr>
    </w:p>
    <w:p>
      <w:pPr>
        <w:ind w:right="40" w:firstLine="1153"/>
        <w:spacing w:after="0" w:line="247" w:lineRule="auto"/>
        <w:rPr>
          <w:sz w:val="20"/>
          <w:szCs w:val="20"/>
          <w:color w:val="auto"/>
        </w:rPr>
      </w:pPr>
      <w:r>
        <w:rPr>
          <w:rFonts w:ascii="Arial" w:cs="Arial" w:eastAsia="Arial" w:hAnsi="Arial"/>
          <w:sz w:val="19"/>
          <w:szCs w:val="19"/>
          <w:color w:val="auto"/>
        </w:rPr>
        <w:t>In the event that any amount becomes payable under the Plan to a person who, in the sole judgment of the Committee, is considered by reason of physical or mental condition to be unable to give a valid receipt therefore, the Committee may direct that such payment be made to any person found by the Committee, in its sole judgment, to have assumed the care of such person. Any payment made pursuant to such termination shall constitute a full release and discharge of the Committee and the Company.</w:t>
      </w:r>
    </w:p>
    <w:p>
      <w:pPr>
        <w:spacing w:after="0" w:line="146" w:lineRule="exact"/>
        <w:rPr>
          <w:sz w:val="20"/>
          <w:szCs w:val="20"/>
          <w:color w:val="auto"/>
        </w:rPr>
      </w:pPr>
    </w:p>
    <w:p>
      <w:pPr>
        <w:ind w:left="140"/>
        <w:spacing w:after="0"/>
        <w:rPr>
          <w:sz w:val="20"/>
          <w:szCs w:val="20"/>
          <w:color w:val="auto"/>
        </w:rPr>
      </w:pPr>
      <w:r>
        <w:rPr>
          <w:rFonts w:ascii="Arial" w:cs="Arial" w:eastAsia="Arial" w:hAnsi="Arial"/>
          <w:sz w:val="19"/>
          <w:szCs w:val="19"/>
          <w:u w:val="single" w:color="auto"/>
          <w:color w:val="auto"/>
        </w:rPr>
        <w:t>9.11 Limitation of Rights</w:t>
      </w:r>
    </w:p>
    <w:p>
      <w:pPr>
        <w:spacing w:after="0" w:line="190" w:lineRule="exact"/>
        <w:rPr>
          <w:sz w:val="20"/>
          <w:szCs w:val="20"/>
          <w:color w:val="auto"/>
        </w:rPr>
      </w:pPr>
    </w:p>
    <w:p>
      <w:pPr>
        <w:ind w:right="220" w:firstLine="1153"/>
        <w:spacing w:after="0" w:line="247" w:lineRule="auto"/>
        <w:rPr>
          <w:sz w:val="20"/>
          <w:szCs w:val="20"/>
          <w:color w:val="auto"/>
        </w:rPr>
      </w:pPr>
      <w:r>
        <w:rPr>
          <w:rFonts w:ascii="Arial" w:cs="Arial" w:eastAsia="Arial" w:hAnsi="Arial"/>
          <w:sz w:val="19"/>
          <w:szCs w:val="19"/>
          <w:color w:val="auto"/>
        </w:rPr>
        <w:t>Neither the establishment of the Plan nor any modification thereof, nor the creating of any fund or account, nor the payment of any benefits shall be construed as giving to any Participant or other person any legal or equitable right against the Company except as provided in the Plan. In no event shall the terms of employment of, or membership on the Board by, any Participant be modified or in any be effected by the provisions of the Plan.</w:t>
      </w:r>
    </w:p>
    <w:p>
      <w:pPr>
        <w:spacing w:after="0" w:line="146" w:lineRule="exact"/>
        <w:rPr>
          <w:sz w:val="20"/>
          <w:szCs w:val="20"/>
          <w:color w:val="auto"/>
        </w:rPr>
      </w:pPr>
    </w:p>
    <w:p>
      <w:pPr>
        <w:ind w:left="140"/>
        <w:spacing w:after="0"/>
        <w:rPr>
          <w:sz w:val="20"/>
          <w:szCs w:val="20"/>
          <w:color w:val="auto"/>
        </w:rPr>
      </w:pPr>
      <w:r>
        <w:rPr>
          <w:rFonts w:ascii="Arial" w:cs="Arial" w:eastAsia="Arial" w:hAnsi="Arial"/>
          <w:sz w:val="19"/>
          <w:szCs w:val="19"/>
          <w:u w:val="single" w:color="auto"/>
          <w:color w:val="auto"/>
        </w:rPr>
        <w:t>9.12 Exempt ERISA Plan</w:t>
      </w:r>
    </w:p>
    <w:p>
      <w:pPr>
        <w:spacing w:after="0" w:line="190" w:lineRule="exact"/>
        <w:rPr>
          <w:sz w:val="20"/>
          <w:szCs w:val="20"/>
          <w:color w:val="auto"/>
        </w:rPr>
      </w:pPr>
    </w:p>
    <w:p>
      <w:pPr>
        <w:ind w:firstLine="1153"/>
        <w:spacing w:after="0" w:line="252" w:lineRule="auto"/>
        <w:rPr>
          <w:sz w:val="20"/>
          <w:szCs w:val="20"/>
          <w:color w:val="auto"/>
        </w:rPr>
      </w:pPr>
      <w:r>
        <w:rPr>
          <w:rFonts w:ascii="Arial" w:cs="Arial" w:eastAsia="Arial" w:hAnsi="Arial"/>
          <w:sz w:val="19"/>
          <w:szCs w:val="19"/>
          <w:color w:val="auto"/>
        </w:rPr>
        <w:t>The Plan is intended to be an unfunded plan maintained primarily to provide deferred compensation benefits for directors and a select group of management or highly compensated employees within the meaning of Sections 201, 301 and 401 of ERISA and therefore to be exempt from Parts 2, 3 and 4 of Title I of ERISA.</w:t>
      </w:r>
    </w:p>
    <w:p>
      <w:pPr>
        <w:spacing w:after="0" w:line="153" w:lineRule="exact"/>
        <w:rPr>
          <w:sz w:val="20"/>
          <w:szCs w:val="20"/>
          <w:color w:val="auto"/>
        </w:rPr>
      </w:pPr>
    </w:p>
    <w:p>
      <w:pPr>
        <w:ind w:left="140"/>
        <w:spacing w:after="0"/>
        <w:rPr>
          <w:sz w:val="20"/>
          <w:szCs w:val="20"/>
          <w:color w:val="auto"/>
        </w:rPr>
      </w:pPr>
      <w:r>
        <w:rPr>
          <w:rFonts w:ascii="Arial" w:cs="Arial" w:eastAsia="Arial" w:hAnsi="Arial"/>
          <w:sz w:val="19"/>
          <w:szCs w:val="19"/>
          <w:u w:val="single" w:color="auto"/>
          <w:color w:val="auto"/>
        </w:rPr>
        <w:t>9.13 Notice</w:t>
      </w:r>
    </w:p>
    <w:p>
      <w:pPr>
        <w:spacing w:after="0" w:line="190" w:lineRule="exact"/>
        <w:rPr>
          <w:sz w:val="20"/>
          <w:szCs w:val="20"/>
          <w:color w:val="auto"/>
        </w:rPr>
      </w:pPr>
    </w:p>
    <w:p>
      <w:pPr>
        <w:ind w:right="140" w:firstLine="1153"/>
        <w:spacing w:after="0" w:line="247" w:lineRule="auto"/>
        <w:rPr>
          <w:sz w:val="20"/>
          <w:szCs w:val="20"/>
          <w:color w:val="auto"/>
        </w:rPr>
      </w:pPr>
      <w:r>
        <w:rPr>
          <w:rFonts w:ascii="Arial" w:cs="Arial" w:eastAsia="Arial" w:hAnsi="Arial"/>
          <w:sz w:val="19"/>
          <w:szCs w:val="19"/>
          <w:color w:val="auto"/>
        </w:rPr>
        <w:t>Any notice or filing required or permitted to be given to the Committee under the Plan shall be sufficient if in writing and hand delivered, or sent by registered or certified mail, to the principal office of the Company, directed to the attention of the General Counsel and Secretary of the Company. Such notice shall be deemed given as of the date of delivery or, if delivery is made by mail, as of the date shown on the postmark on the receipt for registration or certification.</w:t>
      </w:r>
    </w:p>
    <w:p>
      <w:pPr>
        <w:spacing w:after="0" w:line="146" w:lineRule="exact"/>
        <w:rPr>
          <w:sz w:val="20"/>
          <w:szCs w:val="20"/>
          <w:color w:val="auto"/>
        </w:rPr>
      </w:pPr>
    </w:p>
    <w:p>
      <w:pPr>
        <w:ind w:left="140"/>
        <w:spacing w:after="0"/>
        <w:rPr>
          <w:sz w:val="20"/>
          <w:szCs w:val="20"/>
          <w:color w:val="auto"/>
        </w:rPr>
      </w:pPr>
      <w:r>
        <w:rPr>
          <w:rFonts w:ascii="Arial" w:cs="Arial" w:eastAsia="Arial" w:hAnsi="Arial"/>
          <w:sz w:val="19"/>
          <w:szCs w:val="19"/>
          <w:u w:val="single" w:color="auto"/>
          <w:color w:val="auto"/>
        </w:rPr>
        <w:t>9.14 Errors and Misstatements</w:t>
      </w:r>
    </w:p>
    <w:p>
      <w:pPr>
        <w:spacing w:after="0" w:line="190" w:lineRule="exact"/>
        <w:rPr>
          <w:sz w:val="20"/>
          <w:szCs w:val="20"/>
          <w:color w:val="auto"/>
        </w:rPr>
      </w:pPr>
    </w:p>
    <w:p>
      <w:pPr>
        <w:ind w:right="120" w:firstLine="1153"/>
        <w:spacing w:after="0" w:line="243" w:lineRule="auto"/>
        <w:rPr>
          <w:sz w:val="20"/>
          <w:szCs w:val="20"/>
          <w:color w:val="auto"/>
        </w:rPr>
      </w:pPr>
      <w:r>
        <w:rPr>
          <w:rFonts w:ascii="Arial" w:cs="Arial" w:eastAsia="Arial" w:hAnsi="Arial"/>
          <w:sz w:val="19"/>
          <w:szCs w:val="19"/>
          <w:color w:val="auto"/>
        </w:rPr>
        <w:t>In the event of any misstatement or omission of fact by a Participant to the Committee or any clerical error resulting in payment of benefits in an incorrect amount, the Committee shall promptly cause the amount of future payments to be corrected upon discovery of the facts and shall pay or, if applicable, cause the Plan to pay, the Participant or any other person entitled to payment under the Plan any underpayment in a lump sum or to recoup any overpayment from future payments to the Participant or any other person entitled to payment under the Plan in such amounts as the Committee shall direct or to proceed against the Participant or any other person entitled to payment under the Plan for recovery of any such overpayment.</w:t>
      </w:r>
    </w:p>
    <w:p>
      <w:pPr>
        <w:spacing w:after="0" w:line="150" w:lineRule="exact"/>
        <w:rPr>
          <w:sz w:val="20"/>
          <w:szCs w:val="20"/>
          <w:color w:val="auto"/>
        </w:rPr>
      </w:pPr>
    </w:p>
    <w:p>
      <w:pPr>
        <w:ind w:left="140"/>
        <w:spacing w:after="0"/>
        <w:rPr>
          <w:sz w:val="20"/>
          <w:szCs w:val="20"/>
          <w:color w:val="auto"/>
        </w:rPr>
      </w:pPr>
      <w:r>
        <w:rPr>
          <w:rFonts w:ascii="Arial" w:cs="Arial" w:eastAsia="Arial" w:hAnsi="Arial"/>
          <w:sz w:val="19"/>
          <w:szCs w:val="19"/>
          <w:u w:val="single" w:color="auto"/>
          <w:color w:val="auto"/>
        </w:rPr>
        <w:t>9.15 Pronouns and Plurality</w:t>
      </w:r>
    </w:p>
    <w:p>
      <w:pPr>
        <w:spacing w:after="0" w:line="190" w:lineRule="exact"/>
        <w:rPr>
          <w:sz w:val="20"/>
          <w:szCs w:val="20"/>
          <w:color w:val="auto"/>
        </w:rPr>
      </w:pPr>
    </w:p>
    <w:p>
      <w:pPr>
        <w:ind w:left="1140"/>
        <w:spacing w:after="0"/>
        <w:rPr>
          <w:sz w:val="20"/>
          <w:szCs w:val="20"/>
          <w:color w:val="auto"/>
        </w:rPr>
      </w:pPr>
      <w:r>
        <w:rPr>
          <w:rFonts w:ascii="Arial" w:cs="Arial" w:eastAsia="Arial" w:hAnsi="Arial"/>
          <w:sz w:val="19"/>
          <w:szCs w:val="19"/>
          <w:color w:val="auto"/>
        </w:rPr>
        <w:t>The masculine pronoun shall include the feminine pronoun, and the singular the plural where the context so indicates.</w:t>
      </w:r>
    </w:p>
    <w:p>
      <w:pPr>
        <w:spacing w:after="0" w:line="190" w:lineRule="exact"/>
        <w:rPr>
          <w:sz w:val="20"/>
          <w:szCs w:val="20"/>
          <w:color w:val="auto"/>
        </w:rPr>
      </w:pPr>
    </w:p>
    <w:p>
      <w:pPr>
        <w:ind w:left="140"/>
        <w:spacing w:after="0"/>
        <w:rPr>
          <w:sz w:val="20"/>
          <w:szCs w:val="20"/>
          <w:color w:val="auto"/>
        </w:rPr>
      </w:pPr>
      <w:r>
        <w:rPr>
          <w:rFonts w:ascii="Arial" w:cs="Arial" w:eastAsia="Arial" w:hAnsi="Arial"/>
          <w:sz w:val="19"/>
          <w:szCs w:val="19"/>
          <w:u w:val="single" w:color="auto"/>
          <w:color w:val="auto"/>
        </w:rPr>
        <w:t>9.16 Severability</w:t>
      </w:r>
    </w:p>
    <w:p>
      <w:pPr>
        <w:spacing w:after="0" w:line="190" w:lineRule="exact"/>
        <w:rPr>
          <w:sz w:val="20"/>
          <w:szCs w:val="20"/>
          <w:color w:val="auto"/>
        </w:rPr>
      </w:pPr>
    </w:p>
    <w:p>
      <w:pPr>
        <w:ind w:right="260" w:firstLine="1153"/>
        <w:spacing w:after="0" w:line="252" w:lineRule="auto"/>
        <w:rPr>
          <w:sz w:val="20"/>
          <w:szCs w:val="20"/>
          <w:color w:val="auto"/>
        </w:rPr>
      </w:pPr>
      <w:r>
        <w:rPr>
          <w:rFonts w:ascii="Arial" w:cs="Arial" w:eastAsia="Arial" w:hAnsi="Arial"/>
          <w:sz w:val="19"/>
          <w:szCs w:val="19"/>
          <w:color w:val="auto"/>
        </w:rPr>
        <w:t>In the event that any provision of the Plan shall be declared unenforceable or invalid for any reason, such unenforceability or invalidity shall not affect the remaining provisions of the Plan but shall be fully severable, and the Plan shall be construed and enforced as if such unenforceable or invalid provision had never been included herein.</w:t>
      </w:r>
    </w:p>
    <w:p>
      <w:pPr>
        <w:spacing w:after="0" w:line="141" w:lineRule="exact"/>
        <w:rPr>
          <w:sz w:val="20"/>
          <w:szCs w:val="20"/>
          <w:color w:val="auto"/>
        </w:rPr>
      </w:pPr>
    </w:p>
    <w:p>
      <w:pPr>
        <w:ind w:left="140"/>
        <w:spacing w:after="0"/>
        <w:rPr>
          <w:sz w:val="20"/>
          <w:szCs w:val="20"/>
          <w:color w:val="auto"/>
        </w:rPr>
      </w:pPr>
      <w:r>
        <w:rPr>
          <w:rFonts w:ascii="Arial" w:cs="Arial" w:eastAsia="Arial" w:hAnsi="Arial"/>
          <w:sz w:val="19"/>
          <w:szCs w:val="19"/>
          <w:u w:val="single" w:color="auto"/>
          <w:color w:val="auto"/>
        </w:rPr>
        <w:t>9.17 Status</w:t>
      </w:r>
    </w:p>
    <w:p>
      <w:pPr>
        <w:spacing w:after="0" w:line="190" w:lineRule="exact"/>
        <w:rPr>
          <w:sz w:val="20"/>
          <w:szCs w:val="20"/>
          <w:color w:val="auto"/>
        </w:rPr>
      </w:pPr>
    </w:p>
    <w:p>
      <w:pPr>
        <w:ind w:right="120" w:firstLine="1153"/>
        <w:spacing w:after="0" w:line="252" w:lineRule="auto"/>
        <w:rPr>
          <w:sz w:val="20"/>
          <w:szCs w:val="20"/>
          <w:color w:val="auto"/>
        </w:rPr>
      </w:pPr>
      <w:r>
        <w:rPr>
          <w:rFonts w:ascii="Arial" w:cs="Arial" w:eastAsia="Arial" w:hAnsi="Arial"/>
          <w:sz w:val="19"/>
          <w:szCs w:val="19"/>
          <w:color w:val="auto"/>
        </w:rPr>
        <w:t>The establishment and maintenance of, or allocations and credits to, the Accounts of any Participant shall not vest in any Participant any right, title or interest in and to any Plan assets or benefits except at the time or times and upon the terms and conditions and to the extent expressly set forth in the Plan.</w:t>
      </w:r>
    </w:p>
    <w:p>
      <w:pPr>
        <w:spacing w:after="0" w:line="141" w:lineRule="exact"/>
        <w:rPr>
          <w:sz w:val="20"/>
          <w:szCs w:val="20"/>
          <w:color w:val="auto"/>
        </w:rPr>
      </w:pPr>
    </w:p>
    <w:p>
      <w:pPr>
        <w:ind w:left="140"/>
        <w:spacing w:after="0"/>
        <w:rPr>
          <w:sz w:val="20"/>
          <w:szCs w:val="20"/>
          <w:color w:val="auto"/>
        </w:rPr>
      </w:pPr>
      <w:r>
        <w:rPr>
          <w:rFonts w:ascii="Arial" w:cs="Arial" w:eastAsia="Arial" w:hAnsi="Arial"/>
          <w:sz w:val="19"/>
          <w:szCs w:val="19"/>
          <w:u w:val="single" w:color="auto"/>
          <w:color w:val="auto"/>
        </w:rPr>
        <w:t>9.18 Headings.</w:t>
      </w:r>
    </w:p>
    <w:p>
      <w:pPr>
        <w:spacing w:after="0" w:line="190" w:lineRule="exact"/>
        <w:rPr>
          <w:sz w:val="20"/>
          <w:szCs w:val="20"/>
          <w:color w:val="auto"/>
        </w:rPr>
      </w:pPr>
    </w:p>
    <w:p>
      <w:pPr>
        <w:ind w:right="60" w:firstLine="1153"/>
        <w:spacing w:after="0" w:line="266" w:lineRule="auto"/>
        <w:rPr>
          <w:sz w:val="20"/>
          <w:szCs w:val="20"/>
          <w:color w:val="auto"/>
        </w:rPr>
      </w:pPr>
      <w:r>
        <w:rPr>
          <w:rFonts w:ascii="Arial" w:cs="Arial" w:eastAsia="Arial" w:hAnsi="Arial"/>
          <w:sz w:val="19"/>
          <w:szCs w:val="19"/>
          <w:color w:val="auto"/>
        </w:rPr>
        <w:t>Headings and subheadings in this Plan are inserted for convenience of reference only and are not to be considered in the construction of the provisions hereof.</w:t>
      </w:r>
    </w:p>
    <w:p>
      <w:pPr>
        <w:sectPr>
          <w:pgSz w:w="11900" w:h="16866" w:orient="portrait"/>
          <w:cols w:equalWidth="0" w:num="1">
            <w:col w:w="11440"/>
          </w:cols>
          <w:pgMar w:left="240" w:top="120" w:right="219" w:bottom="0" w:gutter="0" w:footer="0" w:header="0"/>
        </w:sectPr>
      </w:pPr>
    </w:p>
    <w:bookmarkStart w:id="110" w:name="page111"/>
    <w:bookmarkEnd w:id="110"/>
    <w:p>
      <w:pPr>
        <w:ind w:left="5164"/>
        <w:spacing w:after="0"/>
        <w:rPr>
          <w:sz w:val="20"/>
          <w:szCs w:val="20"/>
          <w:color w:val="auto"/>
        </w:rPr>
      </w:pPr>
      <w:r>
        <w:rPr>
          <w:rFonts w:ascii="Arial" w:cs="Arial" w:eastAsia="Arial" w:hAnsi="Arial"/>
          <w:sz w:val="19"/>
          <w:szCs w:val="19"/>
          <w:b w:val="1"/>
          <w:bCs w:val="1"/>
          <w:color w:val="auto"/>
        </w:rPr>
        <w:t>ARTICLE X.</w:t>
      </w:r>
    </w:p>
    <w:p>
      <w:pPr>
        <w:spacing w:after="0" w:line="189" w:lineRule="exact"/>
        <w:rPr>
          <w:sz w:val="20"/>
          <w:szCs w:val="20"/>
          <w:color w:val="auto"/>
        </w:rPr>
      </w:pPr>
    </w:p>
    <w:p>
      <w:pPr>
        <w:ind w:left="2844"/>
        <w:spacing w:after="0"/>
        <w:rPr>
          <w:sz w:val="20"/>
          <w:szCs w:val="20"/>
          <w:color w:val="auto"/>
        </w:rPr>
      </w:pPr>
      <w:r>
        <w:rPr>
          <w:rFonts w:ascii="Arial" w:cs="Arial" w:eastAsia="Arial" w:hAnsi="Arial"/>
          <w:sz w:val="19"/>
          <w:szCs w:val="19"/>
          <w:b w:val="1"/>
          <w:bCs w:val="1"/>
          <w:color w:val="auto"/>
        </w:rPr>
        <w:t>EMPLOYEES OF SEMPRA ENERGY TRADING CORPORATION</w:t>
      </w:r>
    </w:p>
    <w:p>
      <w:pPr>
        <w:spacing w:after="0" w:line="20" w:lineRule="exact"/>
        <w:rPr>
          <w:sz w:val="20"/>
          <w:szCs w:val="20"/>
          <w:color w:val="auto"/>
        </w:rPr>
      </w:pPr>
    </w:p>
    <w:p>
      <w:pPr>
        <w:jc w:val="center"/>
        <w:ind w:right="-23"/>
        <w:spacing w:after="0"/>
        <w:rPr>
          <w:sz w:val="20"/>
          <w:szCs w:val="20"/>
          <w:color w:val="auto"/>
        </w:rPr>
      </w:pPr>
      <w:r>
        <w:rPr>
          <w:rFonts w:ascii="Arial" w:cs="Arial" w:eastAsia="Arial" w:hAnsi="Arial"/>
          <w:sz w:val="19"/>
          <w:szCs w:val="19"/>
          <w:b w:val="1"/>
          <w:bCs w:val="1"/>
          <w:color w:val="auto"/>
        </w:rPr>
        <w:t>AND SEMPRA ENERGY SOLUTIONS LLC</w:t>
      </w:r>
    </w:p>
    <w:p>
      <w:pPr>
        <w:spacing w:after="0" w:line="174" w:lineRule="exact"/>
        <w:rPr>
          <w:sz w:val="20"/>
          <w:szCs w:val="20"/>
          <w:color w:val="auto"/>
        </w:rPr>
      </w:pPr>
    </w:p>
    <w:p>
      <w:pPr>
        <w:ind w:left="4" w:right="500" w:firstLine="1153"/>
        <w:spacing w:after="0" w:line="266" w:lineRule="auto"/>
        <w:rPr>
          <w:sz w:val="20"/>
          <w:szCs w:val="20"/>
          <w:color w:val="auto"/>
        </w:rPr>
      </w:pPr>
      <w:r>
        <w:rPr>
          <w:rFonts w:ascii="Arial" w:cs="Arial" w:eastAsia="Arial" w:hAnsi="Arial"/>
          <w:sz w:val="19"/>
          <w:szCs w:val="19"/>
          <w:color w:val="auto"/>
        </w:rPr>
        <w:t>This Section 10 includes special provisions relating to the benefits of the Participants in the Plan who are employed by Sempra Energy Trading Corporation (“SET”) and Sempra Energy Solutions LLC (“SES”).</w:t>
      </w:r>
    </w:p>
    <w:p>
      <w:pPr>
        <w:spacing w:after="0" w:line="128" w:lineRule="exact"/>
        <w:rPr>
          <w:sz w:val="20"/>
          <w:szCs w:val="20"/>
          <w:color w:val="auto"/>
        </w:rPr>
      </w:pPr>
    </w:p>
    <w:p>
      <w:pPr>
        <w:ind w:left="1724" w:hanging="571"/>
        <w:spacing w:after="0"/>
        <w:tabs>
          <w:tab w:leader="none" w:pos="1724" w:val="left"/>
        </w:tabs>
        <w:numPr>
          <w:ilvl w:val="0"/>
          <w:numId w:val="165"/>
        </w:numPr>
        <w:rPr>
          <w:rFonts w:ascii="Arial" w:cs="Arial" w:eastAsia="Arial" w:hAnsi="Arial"/>
          <w:sz w:val="19"/>
          <w:szCs w:val="19"/>
          <w:u w:val="single" w:color="auto"/>
          <w:color w:val="auto"/>
        </w:rPr>
      </w:pPr>
      <w:r>
        <w:rPr>
          <w:rFonts w:ascii="Arial" w:cs="Arial" w:eastAsia="Arial" w:hAnsi="Arial"/>
          <w:sz w:val="19"/>
          <w:szCs w:val="19"/>
          <w:u w:val="single" w:color="auto"/>
          <w:color w:val="auto"/>
        </w:rPr>
        <w:t>Background.</w:t>
      </w:r>
      <w:r>
        <w:rPr>
          <w:rFonts w:ascii="Arial" w:cs="Arial" w:eastAsia="Arial" w:hAnsi="Arial"/>
          <w:sz w:val="19"/>
          <w:szCs w:val="19"/>
          <w:color w:val="auto"/>
        </w:rPr>
        <w:t xml:space="preserve"> Certain SET and SES employees are Participants in this Plan.</w:t>
      </w:r>
    </w:p>
    <w:p>
      <w:pPr>
        <w:spacing w:after="0" w:line="190" w:lineRule="exact"/>
        <w:rPr>
          <w:sz w:val="20"/>
          <w:szCs w:val="20"/>
          <w:color w:val="auto"/>
        </w:rPr>
      </w:pPr>
    </w:p>
    <w:p>
      <w:pPr>
        <w:ind w:left="4" w:firstLine="1153"/>
        <w:spacing w:after="0" w:line="243" w:lineRule="auto"/>
        <w:rPr>
          <w:sz w:val="20"/>
          <w:szCs w:val="20"/>
          <w:color w:val="auto"/>
        </w:rPr>
      </w:pPr>
      <w:r>
        <w:rPr>
          <w:rFonts w:ascii="Arial" w:cs="Arial" w:eastAsia="Arial" w:hAnsi="Arial"/>
          <w:sz w:val="19"/>
          <w:szCs w:val="19"/>
          <w:color w:val="auto"/>
        </w:rPr>
        <w:t>On July 9, 2007, Sempra Energy, Sempra Global, Sempra Energy Trading International, B.V. (“SETI”) and The Royal Bank of Scotland plc (“RBS”) entered into the Master Formation and Equity Interest Purchase Agreement, dated as of July 9, 2007 (the “Master Formation Agreement”), which provides for the formation of a partnership, RBS Sempra Commodities LLP (“RBS Sempra Commodities”), to purchase and operate Sempra Energy’s commodity-marketing businesses. Pursuant to a Master Formation Agreement, RBS Sempra Commodities will be formed as a United Kingdom limited liability partnership and RBS Sempra Commodities will purchase Sempra Energy’s commodity-marketing subsidiaries.</w:t>
      </w:r>
    </w:p>
    <w:p>
      <w:pPr>
        <w:spacing w:after="0" w:line="162" w:lineRule="exact"/>
        <w:rPr>
          <w:sz w:val="20"/>
          <w:szCs w:val="20"/>
          <w:color w:val="auto"/>
        </w:rPr>
      </w:pPr>
    </w:p>
    <w:p>
      <w:pPr>
        <w:ind w:left="4" w:right="680" w:firstLine="1153"/>
        <w:spacing w:after="0" w:line="295" w:lineRule="auto"/>
        <w:rPr>
          <w:sz w:val="20"/>
          <w:szCs w:val="20"/>
          <w:color w:val="auto"/>
        </w:rPr>
      </w:pPr>
      <w:r>
        <w:rPr>
          <w:rFonts w:ascii="Arial" w:cs="Arial" w:eastAsia="Arial" w:hAnsi="Arial"/>
          <w:sz w:val="18"/>
          <w:szCs w:val="18"/>
          <w:color w:val="auto"/>
        </w:rPr>
        <w:t>Prior to the Closing, SET will be converted into a limited liability company (“SET LLC”). Following such conversion, SET employees will be employed by SET LLC. Prior to the Closing, SES will become a wholly-owned subsidiary of SET LLC.</w:t>
      </w:r>
    </w:p>
    <w:p>
      <w:pPr>
        <w:spacing w:after="0" w:line="116" w:lineRule="exact"/>
        <w:rPr>
          <w:sz w:val="20"/>
          <w:szCs w:val="20"/>
          <w:color w:val="auto"/>
        </w:rPr>
      </w:pPr>
    </w:p>
    <w:p>
      <w:pPr>
        <w:ind w:left="4" w:right="200" w:firstLine="1153"/>
        <w:spacing w:after="0" w:line="326" w:lineRule="auto"/>
        <w:rPr>
          <w:sz w:val="20"/>
          <w:szCs w:val="20"/>
          <w:color w:val="auto"/>
        </w:rPr>
      </w:pPr>
      <w:r>
        <w:rPr>
          <w:rFonts w:ascii="Arial" w:cs="Arial" w:eastAsia="Arial" w:hAnsi="Arial"/>
          <w:sz w:val="17"/>
          <w:szCs w:val="17"/>
          <w:color w:val="auto"/>
        </w:rPr>
        <w:t>Also, prior to the Closing, Sempra Energy will own, directly or indirectly through wholly-owned subsidiaries, 100% of the membership interests in SET LLC and SES. Prior to the Closing, SET LLC and SES will be disregarded entities for federal income tax purposes.</w:t>
      </w:r>
    </w:p>
    <w:p>
      <w:pPr>
        <w:spacing w:after="0" w:line="94" w:lineRule="exact"/>
        <w:rPr>
          <w:sz w:val="20"/>
          <w:szCs w:val="20"/>
          <w:color w:val="auto"/>
        </w:rPr>
      </w:pPr>
    </w:p>
    <w:p>
      <w:pPr>
        <w:ind w:left="1144"/>
        <w:spacing w:after="0"/>
        <w:rPr>
          <w:sz w:val="20"/>
          <w:szCs w:val="20"/>
          <w:color w:val="auto"/>
        </w:rPr>
      </w:pPr>
      <w:r>
        <w:rPr>
          <w:rFonts w:ascii="Arial" w:cs="Arial" w:eastAsia="Arial" w:hAnsi="Arial"/>
          <w:sz w:val="19"/>
          <w:szCs w:val="19"/>
          <w:color w:val="auto"/>
        </w:rPr>
        <w:t>Effective as of the Closing, RBS Sempra Commodities will purchase 100% of the membership interests in SET LLC</w:t>
      </w:r>
      <w:r>
        <w:rPr>
          <w:rFonts w:ascii="Arial" w:cs="Arial" w:eastAsia="Arial" w:hAnsi="Arial"/>
          <w:sz w:val="19"/>
          <w:szCs w:val="19"/>
          <w:i w:val="1"/>
          <w:iCs w:val="1"/>
          <w:color w:val="auto"/>
        </w:rPr>
        <w:t>.</w:t>
      </w:r>
    </w:p>
    <w:p>
      <w:pPr>
        <w:spacing w:after="0" w:line="190" w:lineRule="exact"/>
        <w:rPr>
          <w:sz w:val="20"/>
          <w:szCs w:val="20"/>
          <w:color w:val="auto"/>
        </w:rPr>
      </w:pPr>
    </w:p>
    <w:p>
      <w:pPr>
        <w:ind w:left="4" w:right="320" w:firstLine="1153"/>
        <w:spacing w:after="0" w:line="252" w:lineRule="auto"/>
        <w:rPr>
          <w:sz w:val="20"/>
          <w:szCs w:val="20"/>
          <w:color w:val="auto"/>
        </w:rPr>
      </w:pPr>
      <w:r>
        <w:rPr>
          <w:rFonts w:ascii="Arial" w:cs="Arial" w:eastAsia="Arial" w:hAnsi="Arial"/>
          <w:sz w:val="19"/>
          <w:szCs w:val="19"/>
          <w:color w:val="auto"/>
        </w:rPr>
        <w:t>As provided in the Master Formation Agreement, an employee of SET LLC who is actively at work on the Closing Date will continue to be employed by SET LLC immediately after the Closing Date, and an employee of SES who is actively at work on the Closing Date will continue to be employed by SES (each such employee is referred to as a Transferred Employee).</w:t>
      </w:r>
    </w:p>
    <w:p>
      <w:pPr>
        <w:spacing w:after="0" w:line="153" w:lineRule="exact"/>
        <w:rPr>
          <w:sz w:val="20"/>
          <w:szCs w:val="20"/>
          <w:color w:val="auto"/>
        </w:rPr>
      </w:pPr>
    </w:p>
    <w:p>
      <w:pPr>
        <w:jc w:val="both"/>
        <w:ind w:left="4" w:firstLine="1153"/>
        <w:spacing w:after="0" w:line="243" w:lineRule="auto"/>
        <w:rPr>
          <w:sz w:val="20"/>
          <w:szCs w:val="20"/>
          <w:color w:val="auto"/>
        </w:rPr>
      </w:pPr>
      <w:r>
        <w:rPr>
          <w:rFonts w:ascii="Arial" w:cs="Arial" w:eastAsia="Arial" w:hAnsi="Arial"/>
          <w:sz w:val="19"/>
          <w:szCs w:val="19"/>
          <w:color w:val="auto"/>
        </w:rPr>
        <w:t>Also, as provided in the Master Formation Agreement, with respect to an employee of SET LLC or SES who is not actively at work on the Closing Date because such employee is on approved short-term disability or long-term disability leave in accordance with the Sempra Plans (such employee is referred to as an Inactive Employee), if such Inactive Employee returns to active work at the conclusion of such leave, and in any case within six months following the Closing Date (or such longer period as is required by applicable law), such Inactive Employee shall become a Transferred Employee as of the date of such person’s return to active employment with the SET LLC or SES (such date is referred to as the Transfer Date).</w:t>
      </w:r>
    </w:p>
    <w:p>
      <w:pPr>
        <w:spacing w:after="0" w:line="162" w:lineRule="exact"/>
        <w:rPr>
          <w:sz w:val="20"/>
          <w:szCs w:val="20"/>
          <w:color w:val="auto"/>
        </w:rPr>
      </w:pPr>
    </w:p>
    <w:p>
      <w:pPr>
        <w:ind w:left="4" w:right="200" w:firstLine="1153"/>
        <w:spacing w:after="0" w:line="252" w:lineRule="auto"/>
        <w:rPr>
          <w:sz w:val="20"/>
          <w:szCs w:val="20"/>
          <w:color w:val="auto"/>
        </w:rPr>
      </w:pPr>
      <w:r>
        <w:rPr>
          <w:rFonts w:ascii="Arial" w:cs="Arial" w:eastAsia="Arial" w:hAnsi="Arial"/>
          <w:sz w:val="19"/>
          <w:szCs w:val="19"/>
          <w:color w:val="auto"/>
        </w:rPr>
        <w:t>Effective as of the Closing, SET LLC will be a wholly-owned subsidiary of RBS Sempra Commodities, SES will be an indirect, wholly-owned subsidiary of RBS Commodities, Sempra Global and SETI will be partners in RBS Sempra Commodities, and Sempra Energy will own, indirectly through wholly-owned subsidiaries, at least a 50% profits interest in RBS Sempra Commodities.</w:t>
      </w:r>
    </w:p>
    <w:p>
      <w:pPr>
        <w:spacing w:after="0" w:line="153" w:lineRule="exact"/>
        <w:rPr>
          <w:sz w:val="20"/>
          <w:szCs w:val="20"/>
          <w:color w:val="auto"/>
        </w:rPr>
      </w:pPr>
    </w:p>
    <w:p>
      <w:pPr>
        <w:ind w:left="1724" w:hanging="571"/>
        <w:spacing w:after="0"/>
        <w:tabs>
          <w:tab w:leader="none" w:pos="1724" w:val="left"/>
        </w:tabs>
        <w:numPr>
          <w:ilvl w:val="0"/>
          <w:numId w:val="166"/>
        </w:numPr>
        <w:rPr>
          <w:rFonts w:ascii="Arial" w:cs="Arial" w:eastAsia="Arial" w:hAnsi="Arial"/>
          <w:sz w:val="19"/>
          <w:szCs w:val="19"/>
          <w:u w:val="single" w:color="auto"/>
          <w:color w:val="auto"/>
        </w:rPr>
      </w:pPr>
      <w:r>
        <w:rPr>
          <w:rFonts w:ascii="Arial" w:cs="Arial" w:eastAsia="Arial" w:hAnsi="Arial"/>
          <w:sz w:val="19"/>
          <w:szCs w:val="19"/>
          <w:u w:val="single" w:color="auto"/>
          <w:color w:val="auto"/>
        </w:rPr>
        <w:t>Separation from Service</w:t>
      </w:r>
    </w:p>
    <w:p>
      <w:pPr>
        <w:spacing w:after="0" w:line="178" w:lineRule="exact"/>
        <w:rPr>
          <w:sz w:val="20"/>
          <w:szCs w:val="20"/>
          <w:color w:val="auto"/>
        </w:rPr>
      </w:pPr>
    </w:p>
    <w:p>
      <w:pPr>
        <w:ind w:left="4" w:right="160" w:firstLine="1149"/>
        <w:spacing w:after="0" w:line="244" w:lineRule="auto"/>
        <w:tabs>
          <w:tab w:leader="none" w:pos="1734" w:val="left"/>
        </w:tabs>
        <w:numPr>
          <w:ilvl w:val="0"/>
          <w:numId w:val="167"/>
        </w:numPr>
        <w:rPr>
          <w:rFonts w:ascii="Arial" w:cs="Arial" w:eastAsia="Arial" w:hAnsi="Arial"/>
          <w:sz w:val="19"/>
          <w:szCs w:val="19"/>
          <w:color w:val="auto"/>
        </w:rPr>
      </w:pPr>
      <w:r>
        <w:rPr>
          <w:rFonts w:ascii="Arial" w:cs="Arial" w:eastAsia="Arial" w:hAnsi="Arial"/>
          <w:sz w:val="19"/>
          <w:szCs w:val="19"/>
          <w:color w:val="auto"/>
        </w:rPr>
        <w:t>Effective as of the Closing, RBS Sempra Commodities will be a member of a group of trades or businesses (whether or not incorporated) under common control for purposes of Section 414(c) of the Code and Treasury Regulation Section 1.414(c)-2, as determined under Treasury Regulation Section 1.409A-1(h)(3), that includes Sempra Energy and its wholly-owned subsidiaries. Consequently, effective as of the Closing, RBS Sempra Commodities will be included in the “service recipient” that includes Sempra Energy and its wholly-owned subsidiaries, as defined under Treasury Regulation Section 1.409A-1(h)(3).</w:t>
      </w:r>
    </w:p>
    <w:p>
      <w:pPr>
        <w:spacing w:after="0" w:line="150" w:lineRule="exact"/>
        <w:rPr>
          <w:rFonts w:ascii="Arial" w:cs="Arial" w:eastAsia="Arial" w:hAnsi="Arial"/>
          <w:sz w:val="19"/>
          <w:szCs w:val="19"/>
          <w:color w:val="auto"/>
        </w:rPr>
      </w:pPr>
    </w:p>
    <w:p>
      <w:pPr>
        <w:ind w:left="4" w:right="120" w:firstLine="1149"/>
        <w:spacing w:after="0" w:line="252" w:lineRule="auto"/>
        <w:tabs>
          <w:tab w:leader="none" w:pos="1734" w:val="left"/>
        </w:tabs>
        <w:numPr>
          <w:ilvl w:val="0"/>
          <w:numId w:val="167"/>
        </w:numPr>
        <w:rPr>
          <w:rFonts w:ascii="Arial" w:cs="Arial" w:eastAsia="Arial" w:hAnsi="Arial"/>
          <w:sz w:val="19"/>
          <w:szCs w:val="19"/>
          <w:color w:val="auto"/>
        </w:rPr>
      </w:pPr>
      <w:r>
        <w:rPr>
          <w:rFonts w:ascii="Arial" w:cs="Arial" w:eastAsia="Arial" w:hAnsi="Arial"/>
          <w:sz w:val="19"/>
          <w:szCs w:val="19"/>
          <w:color w:val="auto"/>
        </w:rPr>
        <w:t>A Participant who is an employee of SET LLC or SES, and who is a Transferred Employee effective as of the Closing Date, will not have a Separation from Service solely as a result of the purchase of the membership interests of SET LLC by RBS Sempra Commodities effective as of the Closing.</w:t>
      </w:r>
    </w:p>
    <w:p>
      <w:pPr>
        <w:spacing w:after="0" w:line="152" w:lineRule="exact"/>
        <w:rPr>
          <w:rFonts w:ascii="Arial" w:cs="Arial" w:eastAsia="Arial" w:hAnsi="Arial"/>
          <w:sz w:val="19"/>
          <w:szCs w:val="19"/>
          <w:color w:val="auto"/>
        </w:rPr>
      </w:pPr>
    </w:p>
    <w:p>
      <w:pPr>
        <w:ind w:left="4" w:right="160" w:firstLine="1149"/>
        <w:spacing w:after="0" w:line="296" w:lineRule="auto"/>
        <w:tabs>
          <w:tab w:leader="none" w:pos="1734" w:val="left"/>
        </w:tabs>
        <w:numPr>
          <w:ilvl w:val="0"/>
          <w:numId w:val="167"/>
        </w:numPr>
        <w:rPr>
          <w:rFonts w:ascii="Arial" w:cs="Arial" w:eastAsia="Arial" w:hAnsi="Arial"/>
          <w:sz w:val="17"/>
          <w:szCs w:val="17"/>
          <w:color w:val="auto"/>
        </w:rPr>
      </w:pPr>
      <w:r>
        <w:rPr>
          <w:rFonts w:ascii="Arial" w:cs="Arial" w:eastAsia="Arial" w:hAnsi="Arial"/>
          <w:sz w:val="17"/>
          <w:szCs w:val="17"/>
          <w:color w:val="auto"/>
        </w:rPr>
        <w:t>A Participant who is an employee of SET LLC or SES, who is an Inactive Employee, and who becomes a Transferred Employee effective on a Transfer Date after the Closing Date, will not have a Separation from Service solely as a result of the purchase of the membership interests of SET LLC by RBS Sempra Commodities or becoming a Transferred Employee on a Transfer Date after the Closing Date.</w:t>
      </w:r>
    </w:p>
    <w:p>
      <w:pPr>
        <w:spacing w:after="0" w:line="105" w:lineRule="exact"/>
        <w:rPr>
          <w:rFonts w:ascii="Arial" w:cs="Arial" w:eastAsia="Arial" w:hAnsi="Arial"/>
          <w:sz w:val="17"/>
          <w:szCs w:val="17"/>
          <w:color w:val="auto"/>
        </w:rPr>
      </w:pPr>
    </w:p>
    <w:p>
      <w:pPr>
        <w:ind w:left="4" w:right="220" w:firstLine="1149"/>
        <w:spacing w:after="0" w:line="252" w:lineRule="auto"/>
        <w:tabs>
          <w:tab w:leader="none" w:pos="1734" w:val="left"/>
        </w:tabs>
        <w:numPr>
          <w:ilvl w:val="0"/>
          <w:numId w:val="167"/>
        </w:numPr>
        <w:rPr>
          <w:rFonts w:ascii="Arial" w:cs="Arial" w:eastAsia="Arial" w:hAnsi="Arial"/>
          <w:sz w:val="19"/>
          <w:szCs w:val="19"/>
          <w:color w:val="auto"/>
        </w:rPr>
      </w:pPr>
      <w:r>
        <w:rPr>
          <w:rFonts w:ascii="Arial" w:cs="Arial" w:eastAsia="Arial" w:hAnsi="Arial"/>
          <w:sz w:val="19"/>
          <w:szCs w:val="19"/>
          <w:color w:val="auto"/>
        </w:rPr>
        <w:t>For purposes of the Plan, a participant in the Plan who is an employee of SET LLC or SES, and who is or becomes a Transferred Employee, will have a Separation from Service on or after the Closing Date (or the Transfer Date, if applicable), as determined under Section 1.2(pp) and Treasury Regulation Section 1.409A-1(h).</w:t>
      </w:r>
    </w:p>
    <w:p>
      <w:pPr>
        <w:spacing w:after="0" w:line="141" w:lineRule="exact"/>
        <w:rPr>
          <w:sz w:val="20"/>
          <w:szCs w:val="20"/>
          <w:color w:val="auto"/>
        </w:rPr>
      </w:pPr>
    </w:p>
    <w:p>
      <w:pPr>
        <w:ind w:left="1724" w:hanging="571"/>
        <w:spacing w:after="0"/>
        <w:tabs>
          <w:tab w:leader="none" w:pos="1724" w:val="left"/>
        </w:tabs>
        <w:numPr>
          <w:ilvl w:val="0"/>
          <w:numId w:val="168"/>
        </w:numPr>
        <w:rPr>
          <w:rFonts w:ascii="Arial" w:cs="Arial" w:eastAsia="Arial" w:hAnsi="Arial"/>
          <w:sz w:val="19"/>
          <w:szCs w:val="19"/>
          <w:u w:val="single" w:color="auto"/>
          <w:color w:val="auto"/>
        </w:rPr>
      </w:pPr>
      <w:r>
        <w:rPr>
          <w:rFonts w:ascii="Arial" w:cs="Arial" w:eastAsia="Arial" w:hAnsi="Arial"/>
          <w:sz w:val="19"/>
          <w:szCs w:val="19"/>
          <w:u w:val="single" w:color="auto"/>
          <w:color w:val="auto"/>
        </w:rPr>
        <w:t>Certain Defined Terms</w:t>
      </w:r>
      <w:r>
        <w:rPr>
          <w:rFonts w:ascii="Arial" w:cs="Arial" w:eastAsia="Arial" w:hAnsi="Arial"/>
          <w:sz w:val="19"/>
          <w:szCs w:val="19"/>
          <w:color w:val="auto"/>
        </w:rPr>
        <w:t>.</w:t>
      </w:r>
    </w:p>
    <w:p>
      <w:pPr>
        <w:spacing w:after="0" w:line="190" w:lineRule="exact"/>
        <w:rPr>
          <w:sz w:val="20"/>
          <w:szCs w:val="20"/>
          <w:color w:val="auto"/>
        </w:rPr>
      </w:pPr>
    </w:p>
    <w:p>
      <w:pPr>
        <w:ind w:left="4" w:right="280" w:firstLine="1730"/>
        <w:spacing w:after="0" w:line="295" w:lineRule="auto"/>
        <w:rPr>
          <w:sz w:val="20"/>
          <w:szCs w:val="20"/>
          <w:color w:val="auto"/>
        </w:rPr>
      </w:pPr>
      <w:r>
        <w:rPr>
          <w:rFonts w:ascii="Arial" w:cs="Arial" w:eastAsia="Arial" w:hAnsi="Arial"/>
          <w:sz w:val="18"/>
          <w:szCs w:val="18"/>
          <w:color w:val="auto"/>
        </w:rPr>
        <w:t>For purposes of this Section 10, the terms “Closing,” “Closing Date,” “Inactive Employee,” “Sempra Plans,” “Transferred Employees” and “Transfer Date” shall have the meanings ascribed to such terms under the Master Formation Agreement.</w:t>
      </w:r>
    </w:p>
    <w:p>
      <w:pPr>
        <w:spacing w:after="0" w:line="110" w:lineRule="exact"/>
        <w:rPr>
          <w:sz w:val="20"/>
          <w:szCs w:val="20"/>
          <w:color w:val="auto"/>
        </w:rPr>
      </w:pPr>
    </w:p>
    <w:p>
      <w:pPr>
        <w:ind w:left="5124"/>
        <w:spacing w:after="0"/>
        <w:rPr>
          <w:sz w:val="20"/>
          <w:szCs w:val="20"/>
          <w:color w:val="auto"/>
        </w:rPr>
      </w:pPr>
      <w:r>
        <w:rPr>
          <w:rFonts w:ascii="Arial" w:cs="Arial" w:eastAsia="Arial" w:hAnsi="Arial"/>
          <w:sz w:val="19"/>
          <w:szCs w:val="19"/>
          <w:b w:val="1"/>
          <w:bCs w:val="1"/>
          <w:color w:val="auto"/>
        </w:rPr>
        <w:t>ARTICLE XI.</w:t>
      </w:r>
    </w:p>
    <w:p>
      <w:pPr>
        <w:spacing w:after="0" w:line="190" w:lineRule="exact"/>
        <w:rPr>
          <w:sz w:val="20"/>
          <w:szCs w:val="20"/>
          <w:color w:val="auto"/>
        </w:rPr>
      </w:pPr>
    </w:p>
    <w:p>
      <w:pPr>
        <w:ind w:left="4364"/>
        <w:spacing w:after="0"/>
        <w:rPr>
          <w:sz w:val="20"/>
          <w:szCs w:val="20"/>
          <w:color w:val="auto"/>
        </w:rPr>
      </w:pPr>
      <w:r>
        <w:rPr>
          <w:rFonts w:ascii="Arial" w:cs="Arial" w:eastAsia="Arial" w:hAnsi="Arial"/>
          <w:sz w:val="19"/>
          <w:szCs w:val="19"/>
          <w:b w:val="1"/>
          <w:bCs w:val="1"/>
          <w:color w:val="auto"/>
        </w:rPr>
        <w:t>SECTION 409A OF THE CODE</w:t>
      </w:r>
    </w:p>
    <w:p>
      <w:pPr>
        <w:spacing w:after="0" w:line="196" w:lineRule="exact"/>
        <w:rPr>
          <w:sz w:val="20"/>
          <w:szCs w:val="20"/>
          <w:color w:val="auto"/>
        </w:rPr>
      </w:pPr>
    </w:p>
    <w:p>
      <w:pPr>
        <w:ind w:left="1144"/>
        <w:spacing w:after="0"/>
        <w:rPr>
          <w:sz w:val="20"/>
          <w:szCs w:val="20"/>
          <w:color w:val="auto"/>
        </w:rPr>
      </w:pPr>
      <w:r>
        <w:rPr>
          <w:rFonts w:ascii="Arial" w:cs="Arial" w:eastAsia="Arial" w:hAnsi="Arial"/>
          <w:sz w:val="17"/>
          <w:szCs w:val="17"/>
          <w:color w:val="auto"/>
        </w:rPr>
        <w:t>This Plan shall be interpreted, construed and administered in a manner that satisfies the requirements of Sections 409A(a)(2), (3) and</w:t>
      </w:r>
    </w:p>
    <w:p>
      <w:pPr>
        <w:spacing w:after="0" w:line="37" w:lineRule="exact"/>
        <w:rPr>
          <w:sz w:val="20"/>
          <w:szCs w:val="20"/>
          <w:color w:val="auto"/>
        </w:rPr>
      </w:pPr>
    </w:p>
    <w:p>
      <w:pPr>
        <w:ind w:left="4" w:right="300" w:hanging="4"/>
        <w:spacing w:after="0" w:line="243" w:lineRule="auto"/>
        <w:tabs>
          <w:tab w:leader="none" w:pos="276" w:val="left"/>
        </w:tabs>
        <w:numPr>
          <w:ilvl w:val="0"/>
          <w:numId w:val="169"/>
        </w:numPr>
        <w:rPr>
          <w:rFonts w:ascii="Arial" w:cs="Arial" w:eastAsia="Arial" w:hAnsi="Arial"/>
          <w:sz w:val="19"/>
          <w:szCs w:val="19"/>
          <w:color w:val="auto"/>
        </w:rPr>
      </w:pPr>
      <w:r>
        <w:rPr>
          <w:rFonts w:ascii="Arial" w:cs="Arial" w:eastAsia="Arial" w:hAnsi="Arial"/>
          <w:sz w:val="19"/>
          <w:szCs w:val="19"/>
          <w:color w:val="auto"/>
        </w:rPr>
        <w:t>of the Code and the Treasury Regulations thereunder (subject to the transitional relief under Internal Revenue Service Notice 2005-1, the Proposed Regulations under Section 409A of the Code, Internal Revenue Service Notice 2006-79, Internal Revenue Service Notice 2007-86 and other applicable authority issued by the Internal Revenue Service).</w:t>
      </w:r>
    </w:p>
    <w:p>
      <w:pPr>
        <w:spacing w:after="0" w:line="180" w:lineRule="exact"/>
        <w:rPr>
          <w:sz w:val="20"/>
          <w:szCs w:val="20"/>
          <w:color w:val="auto"/>
        </w:rPr>
      </w:pPr>
    </w:p>
    <w:p>
      <w:pPr>
        <w:ind w:left="1144"/>
        <w:spacing w:after="0"/>
        <w:rPr>
          <w:sz w:val="20"/>
          <w:szCs w:val="20"/>
          <w:color w:val="auto"/>
        </w:rPr>
      </w:pPr>
      <w:r>
        <w:rPr>
          <w:rFonts w:ascii="Arial" w:cs="Arial" w:eastAsia="Arial" w:hAnsi="Arial"/>
          <w:sz w:val="19"/>
          <w:szCs w:val="19"/>
          <w:color w:val="auto"/>
        </w:rPr>
        <w:t>Executed at San Diego, California this 11</w:t>
      </w:r>
      <w:r>
        <w:rPr>
          <w:rFonts w:ascii="Arial" w:cs="Arial" w:eastAsia="Arial" w:hAnsi="Arial"/>
          <w:sz w:val="32"/>
          <w:szCs w:val="32"/>
          <w:color w:val="auto"/>
          <w:vertAlign w:val="superscript"/>
        </w:rPr>
        <w:t>th</w:t>
      </w:r>
      <w:r>
        <w:rPr>
          <w:rFonts w:ascii="Arial" w:cs="Arial" w:eastAsia="Arial" w:hAnsi="Arial"/>
          <w:sz w:val="19"/>
          <w:szCs w:val="19"/>
          <w:color w:val="auto"/>
        </w:rPr>
        <w:t xml:space="preserve"> day of December, 2008.</w:t>
      </w:r>
    </w:p>
    <w:p>
      <w:pPr>
        <w:spacing w:after="0" w:line="82" w:lineRule="exact"/>
        <w:rPr>
          <w:sz w:val="20"/>
          <w:szCs w:val="20"/>
          <w:color w:val="auto"/>
        </w:rPr>
      </w:pPr>
    </w:p>
    <w:p>
      <w:pPr>
        <w:ind w:left="4044"/>
        <w:spacing w:after="0"/>
        <w:rPr>
          <w:sz w:val="20"/>
          <w:szCs w:val="20"/>
          <w:color w:val="auto"/>
        </w:rPr>
      </w:pPr>
      <w:r>
        <w:rPr>
          <w:rFonts w:ascii="Arial" w:cs="Arial" w:eastAsia="Arial" w:hAnsi="Arial"/>
          <w:sz w:val="19"/>
          <w:szCs w:val="19"/>
          <w:color w:val="auto"/>
        </w:rPr>
        <w:t>SEMPRA ENERGY</w:t>
      </w:r>
    </w:p>
    <w:p>
      <w:pPr>
        <w:sectPr>
          <w:pgSz w:w="11900" w:h="16838" w:orient="portrait"/>
          <w:cols w:equalWidth="0" w:num="1">
            <w:col w:w="11404"/>
          </w:cols>
          <w:pgMar w:left="236" w:top="115" w:right="259" w:bottom="30" w:gutter="0" w:footer="0" w:header="0"/>
        </w:sectPr>
      </w:pPr>
    </w:p>
    <w:bookmarkStart w:id="111" w:name="page112"/>
    <w:bookmarkEnd w:id="111"/>
    <w:p>
      <w:pPr>
        <w:ind w:left="2840"/>
        <w:spacing w:after="0"/>
        <w:tabs>
          <w:tab w:leader="none" w:pos="3380" w:val="left"/>
        </w:tabs>
        <w:rPr>
          <w:sz w:val="20"/>
          <w:szCs w:val="20"/>
          <w:color w:val="auto"/>
        </w:rPr>
      </w:pPr>
      <w:r>
        <w:rPr>
          <w:rFonts w:ascii="Arial" w:cs="Arial" w:eastAsia="Arial" w:hAnsi="Arial"/>
          <w:sz w:val="17"/>
          <w:szCs w:val="17"/>
          <w:color w:val="auto"/>
        </w:rPr>
        <w:t>By:</w:t>
      </w:r>
      <w:r>
        <w:rPr>
          <w:sz w:val="20"/>
          <w:szCs w:val="20"/>
          <w:color w:val="auto"/>
        </w:rPr>
        <w:tab/>
      </w:r>
      <w:r>
        <w:rPr>
          <w:rFonts w:ascii="Arial" w:cs="Arial" w:eastAsia="Arial" w:hAnsi="Arial"/>
          <w:sz w:val="17"/>
          <w:szCs w:val="17"/>
          <w:color w:val="auto"/>
        </w:rPr>
        <w:t>______________________________</w:t>
      </w:r>
    </w:p>
    <w:p>
      <w:pPr>
        <w:spacing w:after="0" w:line="35" w:lineRule="exact"/>
        <w:rPr>
          <w:sz w:val="20"/>
          <w:szCs w:val="20"/>
          <w:color w:val="auto"/>
        </w:rPr>
      </w:pPr>
    </w:p>
    <w:p>
      <w:pPr>
        <w:ind w:left="3400"/>
        <w:spacing w:after="0"/>
        <w:rPr>
          <w:sz w:val="20"/>
          <w:szCs w:val="20"/>
          <w:color w:val="auto"/>
        </w:rPr>
      </w:pPr>
      <w:r>
        <w:rPr>
          <w:rFonts w:ascii="Arial" w:cs="Arial" w:eastAsia="Arial" w:hAnsi="Arial"/>
          <w:sz w:val="19"/>
          <w:szCs w:val="19"/>
          <w:color w:val="auto"/>
        </w:rPr>
        <w:t>G. Joyce Rowland</w:t>
      </w:r>
    </w:p>
    <w:p>
      <w:pPr>
        <w:ind w:left="3400"/>
        <w:spacing w:after="0"/>
        <w:rPr>
          <w:sz w:val="20"/>
          <w:szCs w:val="20"/>
          <w:color w:val="auto"/>
        </w:rPr>
      </w:pPr>
      <w:r>
        <w:rPr>
          <w:rFonts w:ascii="Arial" w:cs="Arial" w:eastAsia="Arial" w:hAnsi="Arial"/>
          <w:sz w:val="17"/>
          <w:szCs w:val="17"/>
          <w:color w:val="auto"/>
        </w:rPr>
        <w:t>Sr. Vice President, Human Resources</w:t>
      </w:r>
    </w:p>
    <w:p>
      <w:pPr>
        <w:spacing w:after="0" w:line="377" w:lineRule="exact"/>
        <w:rPr>
          <w:sz w:val="20"/>
          <w:szCs w:val="20"/>
          <w:color w:val="auto"/>
        </w:rPr>
      </w:pPr>
    </w:p>
    <w:p>
      <w:pPr>
        <w:ind w:left="2840"/>
        <w:spacing w:after="0"/>
        <w:tabs>
          <w:tab w:leader="none" w:pos="3380" w:val="left"/>
        </w:tabs>
        <w:rPr>
          <w:sz w:val="20"/>
          <w:szCs w:val="20"/>
          <w:color w:val="auto"/>
        </w:rPr>
      </w:pPr>
      <w:r>
        <w:rPr>
          <w:rFonts w:ascii="Arial" w:cs="Arial" w:eastAsia="Arial" w:hAnsi="Arial"/>
          <w:sz w:val="19"/>
          <w:szCs w:val="19"/>
          <w:color w:val="auto"/>
        </w:rPr>
        <w:t>Date:</w:t>
      </w:r>
      <w:r>
        <w:rPr>
          <w:sz w:val="20"/>
          <w:szCs w:val="20"/>
          <w:color w:val="auto"/>
        </w:rPr>
        <w:tab/>
      </w:r>
      <w:r>
        <w:rPr>
          <w:rFonts w:ascii="Arial" w:cs="Arial" w:eastAsia="Arial" w:hAnsi="Arial"/>
          <w:sz w:val="17"/>
          <w:szCs w:val="17"/>
          <w:color w:val="auto"/>
        </w:rPr>
        <w:t>______________________________</w:t>
      </w:r>
    </w:p>
    <w:p>
      <w:pPr>
        <w:sectPr>
          <w:pgSz w:w="11900" w:h="16838" w:orient="portrait"/>
          <w:cols w:equalWidth="0" w:num="1">
            <w:col w:w="9019"/>
          </w:cols>
          <w:pgMar w:left="1440" w:top="120" w:right="1440" w:bottom="1440" w:gutter="0" w:footer="0" w:header="0"/>
        </w:sectPr>
      </w:pPr>
    </w:p>
    <w:bookmarkStart w:id="112" w:name="page113"/>
    <w:bookmarkEnd w:id="112"/>
    <w:p>
      <w:pPr>
        <w:jc w:val="right"/>
        <w:spacing w:after="0"/>
        <w:rPr>
          <w:sz w:val="20"/>
          <w:szCs w:val="20"/>
          <w:color w:val="auto"/>
        </w:rPr>
      </w:pPr>
      <w:r>
        <w:rPr>
          <w:rFonts w:ascii="Arial" w:cs="Arial" w:eastAsia="Arial" w:hAnsi="Arial"/>
          <w:sz w:val="19"/>
          <w:szCs w:val="19"/>
          <w:b w:val="1"/>
          <w:bCs w:val="1"/>
          <w:color w:val="auto"/>
        </w:rPr>
        <w:t>Exhibit 10.19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200"/>
        <w:spacing w:after="0"/>
        <w:rPr>
          <w:sz w:val="20"/>
          <w:szCs w:val="20"/>
          <w:color w:val="auto"/>
        </w:rPr>
      </w:pPr>
      <w:r>
        <w:rPr>
          <w:rFonts w:ascii="Arial" w:cs="Arial" w:eastAsia="Arial" w:hAnsi="Arial"/>
          <w:sz w:val="29"/>
          <w:szCs w:val="29"/>
          <w:b w:val="1"/>
          <w:bCs w:val="1"/>
          <w:color w:val="auto"/>
        </w:rPr>
        <w:t>AMENDMENT AND RESTATEMENT OF THE</w:t>
      </w:r>
    </w:p>
    <w:p>
      <w:pPr>
        <w:jc w:val="center"/>
        <w:ind w:right="1200"/>
        <w:spacing w:after="0" w:line="232" w:lineRule="auto"/>
        <w:rPr>
          <w:sz w:val="20"/>
          <w:szCs w:val="20"/>
          <w:color w:val="auto"/>
        </w:rPr>
      </w:pPr>
      <w:r>
        <w:rPr>
          <w:rFonts w:ascii="Arial" w:cs="Arial" w:eastAsia="Arial" w:hAnsi="Arial"/>
          <w:sz w:val="29"/>
          <w:szCs w:val="29"/>
          <w:b w:val="1"/>
          <w:bCs w:val="1"/>
          <w:color w:val="auto"/>
        </w:rPr>
        <w:t>SEMPRA ENERGY</w:t>
      </w:r>
    </w:p>
    <w:p>
      <w:pPr>
        <w:spacing w:after="0" w:line="1" w:lineRule="exact"/>
        <w:rPr>
          <w:sz w:val="20"/>
          <w:szCs w:val="20"/>
          <w:color w:val="auto"/>
        </w:rPr>
      </w:pPr>
    </w:p>
    <w:p>
      <w:pPr>
        <w:jc w:val="center"/>
        <w:ind w:right="1200"/>
        <w:spacing w:after="0"/>
        <w:rPr>
          <w:sz w:val="20"/>
          <w:szCs w:val="20"/>
          <w:color w:val="auto"/>
        </w:rPr>
      </w:pPr>
      <w:r>
        <w:rPr>
          <w:rFonts w:ascii="Arial" w:cs="Arial" w:eastAsia="Arial" w:hAnsi="Arial"/>
          <w:sz w:val="29"/>
          <w:szCs w:val="29"/>
          <w:b w:val="1"/>
          <w:bCs w:val="1"/>
          <w:color w:val="auto"/>
        </w:rPr>
        <w:t>SUPPLEMENTAL EXECUTIVE RETIREMENT PLAN</w:t>
      </w:r>
    </w:p>
    <w:p>
      <w:pPr>
        <w:sectPr>
          <w:pgSz w:w="11900" w:h="16838" w:orient="portrait"/>
          <w:cols w:equalWidth="0" w:num="1">
            <w:col w:w="10240"/>
          </w:cols>
          <w:pgMar w:left="1440" w:top="115" w:right="219" w:bottom="1440" w:gutter="0" w:footer="0" w:header="0"/>
        </w:sectPr>
      </w:pPr>
    </w:p>
    <w:bookmarkStart w:id="113" w:name="page114"/>
    <w:bookmarkEnd w:id="113"/>
    <w:tbl>
      <w:tblPr>
        <w:tblLayout w:type="fixed"/>
        <w:tblInd w:w="0" w:type="dxa"/>
        <w:tblCellMar>
          <w:top w:w="0" w:type="dxa"/>
          <w:left w:w="0" w:type="dxa"/>
          <w:bottom w:w="0" w:type="dxa"/>
          <w:right w:w="0" w:type="dxa"/>
        </w:tblCellMar>
      </w:tblPr>
      <w:tr>
        <w:trPr>
          <w:trHeight w:val="245"/>
        </w:trPr>
        <w:tc>
          <w:tcPr>
            <w:tcW w:w="820" w:type="dxa"/>
            <w:vAlign w:val="bottom"/>
          </w:tcPr>
          <w:p>
            <w:pPr>
              <w:spacing w:after="0"/>
              <w:rPr>
                <w:sz w:val="21"/>
                <w:szCs w:val="21"/>
                <w:color w:val="auto"/>
              </w:rPr>
            </w:pPr>
          </w:p>
        </w:tc>
        <w:tc>
          <w:tcPr>
            <w:tcW w:w="6700" w:type="dxa"/>
            <w:vAlign w:val="bottom"/>
          </w:tcPr>
          <w:p>
            <w:pPr>
              <w:ind w:left="4220"/>
              <w:spacing w:after="0"/>
              <w:rPr>
                <w:sz w:val="20"/>
                <w:szCs w:val="20"/>
                <w:color w:val="auto"/>
              </w:rPr>
            </w:pPr>
            <w:r>
              <w:rPr>
                <w:rFonts w:ascii="Arial" w:cs="Arial" w:eastAsia="Arial" w:hAnsi="Arial"/>
                <w:sz w:val="19"/>
                <w:szCs w:val="19"/>
                <w:color w:val="auto"/>
              </w:rPr>
              <w:t>Table of Contents</w:t>
            </w:r>
          </w:p>
        </w:tc>
      </w:tr>
      <w:tr>
        <w:trPr>
          <w:trHeight w:val="456"/>
        </w:trPr>
        <w:tc>
          <w:tcPr>
            <w:tcW w:w="820" w:type="dxa"/>
            <w:vAlign w:val="bottom"/>
          </w:tcPr>
          <w:p>
            <w:pPr>
              <w:spacing w:after="0"/>
              <w:rPr>
                <w:sz w:val="20"/>
                <w:szCs w:val="20"/>
                <w:color w:val="auto"/>
              </w:rPr>
            </w:pPr>
            <w:r>
              <w:rPr>
                <w:rFonts w:ascii="Arial" w:cs="Arial" w:eastAsia="Arial" w:hAnsi="Arial"/>
                <w:sz w:val="19"/>
                <w:szCs w:val="19"/>
                <w:color w:val="auto"/>
              </w:rPr>
              <w:t>Section 1</w:t>
            </w:r>
          </w:p>
        </w:tc>
        <w:tc>
          <w:tcPr>
            <w:tcW w:w="6700" w:type="dxa"/>
            <w:vAlign w:val="bottom"/>
          </w:tcPr>
          <w:p>
            <w:pPr>
              <w:spacing w:after="0"/>
              <w:rPr>
                <w:sz w:val="20"/>
                <w:szCs w:val="20"/>
                <w:color w:val="auto"/>
              </w:rPr>
            </w:pPr>
            <w:r>
              <w:rPr>
                <w:rFonts w:ascii="Arial" w:cs="Arial" w:eastAsia="Arial" w:hAnsi="Arial"/>
                <w:sz w:val="19"/>
                <w:szCs w:val="19"/>
                <w:color w:val="auto"/>
              </w:rPr>
              <w:t>Definitions</w:t>
            </w:r>
          </w:p>
        </w:tc>
      </w:tr>
      <w:tr>
        <w:trPr>
          <w:trHeight w:val="312"/>
        </w:trPr>
        <w:tc>
          <w:tcPr>
            <w:tcW w:w="820" w:type="dxa"/>
            <w:vAlign w:val="bottom"/>
          </w:tcPr>
          <w:p>
            <w:pPr>
              <w:spacing w:after="0"/>
              <w:rPr>
                <w:sz w:val="20"/>
                <w:szCs w:val="20"/>
                <w:color w:val="auto"/>
              </w:rPr>
            </w:pPr>
            <w:r>
              <w:rPr>
                <w:rFonts w:ascii="Arial" w:cs="Arial" w:eastAsia="Arial" w:hAnsi="Arial"/>
                <w:sz w:val="19"/>
                <w:szCs w:val="19"/>
                <w:color w:val="auto"/>
              </w:rPr>
              <w:t>Section 2</w:t>
            </w:r>
          </w:p>
        </w:tc>
        <w:tc>
          <w:tcPr>
            <w:tcW w:w="6700" w:type="dxa"/>
            <w:vAlign w:val="bottom"/>
          </w:tcPr>
          <w:p>
            <w:pPr>
              <w:spacing w:after="0"/>
              <w:rPr>
                <w:sz w:val="20"/>
                <w:szCs w:val="20"/>
                <w:color w:val="auto"/>
              </w:rPr>
            </w:pPr>
            <w:r>
              <w:rPr>
                <w:rFonts w:ascii="Arial" w:cs="Arial" w:eastAsia="Arial" w:hAnsi="Arial"/>
                <w:sz w:val="19"/>
                <w:szCs w:val="19"/>
                <w:color w:val="auto"/>
              </w:rPr>
              <w:t>Eligibility For Benefits</w:t>
            </w:r>
          </w:p>
        </w:tc>
      </w:tr>
      <w:tr>
        <w:trPr>
          <w:trHeight w:val="312"/>
        </w:trPr>
        <w:tc>
          <w:tcPr>
            <w:tcW w:w="820" w:type="dxa"/>
            <w:vAlign w:val="bottom"/>
          </w:tcPr>
          <w:p>
            <w:pPr>
              <w:jc w:val="right"/>
              <w:spacing w:after="0"/>
              <w:rPr>
                <w:sz w:val="20"/>
                <w:szCs w:val="20"/>
                <w:color w:val="auto"/>
              </w:rPr>
            </w:pPr>
            <w:r>
              <w:rPr>
                <w:rFonts w:ascii="Arial" w:cs="Arial" w:eastAsia="Arial" w:hAnsi="Arial"/>
                <w:sz w:val="19"/>
                <w:szCs w:val="19"/>
                <w:color w:val="auto"/>
              </w:rPr>
              <w:t>2.1</w:t>
            </w:r>
          </w:p>
        </w:tc>
        <w:tc>
          <w:tcPr>
            <w:tcW w:w="6700" w:type="dxa"/>
            <w:vAlign w:val="bottom"/>
          </w:tcPr>
          <w:p>
            <w:pPr>
              <w:ind w:left="80"/>
              <w:spacing w:after="0"/>
              <w:rPr>
                <w:sz w:val="20"/>
                <w:szCs w:val="20"/>
                <w:color w:val="auto"/>
              </w:rPr>
            </w:pPr>
            <w:r>
              <w:rPr>
                <w:rFonts w:ascii="Arial" w:cs="Arial" w:eastAsia="Arial" w:hAnsi="Arial"/>
                <w:sz w:val="19"/>
                <w:szCs w:val="19"/>
                <w:color w:val="auto"/>
              </w:rPr>
              <w:t>Participation</w:t>
            </w:r>
          </w:p>
        </w:tc>
      </w:tr>
      <w:tr>
        <w:trPr>
          <w:trHeight w:val="312"/>
        </w:trPr>
        <w:tc>
          <w:tcPr>
            <w:tcW w:w="820" w:type="dxa"/>
            <w:vAlign w:val="bottom"/>
          </w:tcPr>
          <w:p>
            <w:pPr>
              <w:jc w:val="right"/>
              <w:spacing w:after="0"/>
              <w:rPr>
                <w:sz w:val="20"/>
                <w:szCs w:val="20"/>
                <w:color w:val="auto"/>
              </w:rPr>
            </w:pPr>
            <w:r>
              <w:rPr>
                <w:rFonts w:ascii="Arial" w:cs="Arial" w:eastAsia="Arial" w:hAnsi="Arial"/>
                <w:sz w:val="19"/>
                <w:szCs w:val="19"/>
                <w:color w:val="auto"/>
              </w:rPr>
              <w:t>2.2</w:t>
            </w:r>
          </w:p>
        </w:tc>
        <w:tc>
          <w:tcPr>
            <w:tcW w:w="6700" w:type="dxa"/>
            <w:vAlign w:val="bottom"/>
          </w:tcPr>
          <w:p>
            <w:pPr>
              <w:ind w:left="80"/>
              <w:spacing w:after="0"/>
              <w:rPr>
                <w:sz w:val="20"/>
                <w:szCs w:val="20"/>
                <w:color w:val="auto"/>
              </w:rPr>
            </w:pPr>
            <w:r>
              <w:rPr>
                <w:rFonts w:ascii="Arial" w:cs="Arial" w:eastAsia="Arial" w:hAnsi="Arial"/>
                <w:sz w:val="19"/>
                <w:szCs w:val="19"/>
                <w:color w:val="auto"/>
              </w:rPr>
              <w:t>Supplemental Retirement Benefit</w:t>
            </w:r>
          </w:p>
        </w:tc>
      </w:tr>
      <w:tr>
        <w:trPr>
          <w:trHeight w:val="312"/>
        </w:trPr>
        <w:tc>
          <w:tcPr>
            <w:tcW w:w="820" w:type="dxa"/>
            <w:vAlign w:val="bottom"/>
          </w:tcPr>
          <w:p>
            <w:pPr>
              <w:jc w:val="right"/>
              <w:spacing w:after="0"/>
              <w:rPr>
                <w:sz w:val="20"/>
                <w:szCs w:val="20"/>
                <w:color w:val="auto"/>
              </w:rPr>
            </w:pPr>
            <w:r>
              <w:rPr>
                <w:rFonts w:ascii="Arial" w:cs="Arial" w:eastAsia="Arial" w:hAnsi="Arial"/>
                <w:sz w:val="19"/>
                <w:szCs w:val="19"/>
                <w:color w:val="auto"/>
              </w:rPr>
              <w:t>2.3</w:t>
            </w:r>
          </w:p>
        </w:tc>
        <w:tc>
          <w:tcPr>
            <w:tcW w:w="6700" w:type="dxa"/>
            <w:vAlign w:val="bottom"/>
          </w:tcPr>
          <w:p>
            <w:pPr>
              <w:ind w:left="80"/>
              <w:spacing w:after="0"/>
              <w:rPr>
                <w:sz w:val="20"/>
                <w:szCs w:val="20"/>
                <w:color w:val="auto"/>
              </w:rPr>
            </w:pPr>
            <w:r>
              <w:rPr>
                <w:rFonts w:ascii="Arial" w:cs="Arial" w:eastAsia="Arial" w:hAnsi="Arial"/>
                <w:sz w:val="19"/>
                <w:szCs w:val="19"/>
                <w:color w:val="auto"/>
              </w:rPr>
              <w:t>Spouse’s Supplemental Retirement Benefit</w:t>
            </w:r>
          </w:p>
        </w:tc>
      </w:tr>
      <w:tr>
        <w:trPr>
          <w:trHeight w:val="312"/>
        </w:trPr>
        <w:tc>
          <w:tcPr>
            <w:tcW w:w="820" w:type="dxa"/>
            <w:vAlign w:val="bottom"/>
          </w:tcPr>
          <w:p>
            <w:pPr>
              <w:jc w:val="right"/>
              <w:spacing w:after="0"/>
              <w:rPr>
                <w:sz w:val="20"/>
                <w:szCs w:val="20"/>
                <w:color w:val="auto"/>
              </w:rPr>
            </w:pPr>
            <w:r>
              <w:rPr>
                <w:rFonts w:ascii="Arial" w:cs="Arial" w:eastAsia="Arial" w:hAnsi="Arial"/>
                <w:sz w:val="19"/>
                <w:szCs w:val="19"/>
                <w:color w:val="auto"/>
              </w:rPr>
              <w:t>2.4</w:t>
            </w:r>
          </w:p>
        </w:tc>
        <w:tc>
          <w:tcPr>
            <w:tcW w:w="6700" w:type="dxa"/>
            <w:vAlign w:val="bottom"/>
          </w:tcPr>
          <w:p>
            <w:pPr>
              <w:ind w:left="80"/>
              <w:spacing w:after="0"/>
              <w:rPr>
                <w:sz w:val="20"/>
                <w:szCs w:val="20"/>
                <w:color w:val="auto"/>
              </w:rPr>
            </w:pPr>
            <w:r>
              <w:rPr>
                <w:rFonts w:ascii="Arial" w:cs="Arial" w:eastAsia="Arial" w:hAnsi="Arial"/>
                <w:sz w:val="19"/>
                <w:szCs w:val="19"/>
                <w:color w:val="auto"/>
              </w:rPr>
              <w:t>Spouse’s Death Benefit</w:t>
            </w:r>
          </w:p>
        </w:tc>
      </w:tr>
      <w:tr>
        <w:trPr>
          <w:trHeight w:val="312"/>
        </w:trPr>
        <w:tc>
          <w:tcPr>
            <w:tcW w:w="820" w:type="dxa"/>
            <w:vAlign w:val="bottom"/>
          </w:tcPr>
          <w:p>
            <w:pPr>
              <w:jc w:val="right"/>
              <w:spacing w:after="0"/>
              <w:rPr>
                <w:sz w:val="20"/>
                <w:szCs w:val="20"/>
                <w:color w:val="auto"/>
              </w:rPr>
            </w:pPr>
            <w:r>
              <w:rPr>
                <w:rFonts w:ascii="Arial" w:cs="Arial" w:eastAsia="Arial" w:hAnsi="Arial"/>
                <w:sz w:val="19"/>
                <w:szCs w:val="19"/>
                <w:color w:val="auto"/>
              </w:rPr>
              <w:t>2.5</w:t>
            </w:r>
          </w:p>
        </w:tc>
        <w:tc>
          <w:tcPr>
            <w:tcW w:w="6700" w:type="dxa"/>
            <w:vAlign w:val="bottom"/>
          </w:tcPr>
          <w:p>
            <w:pPr>
              <w:ind w:left="80"/>
              <w:spacing w:after="0"/>
              <w:rPr>
                <w:sz w:val="20"/>
                <w:szCs w:val="20"/>
                <w:color w:val="auto"/>
              </w:rPr>
            </w:pPr>
            <w:r>
              <w:rPr>
                <w:rFonts w:ascii="Arial" w:cs="Arial" w:eastAsia="Arial" w:hAnsi="Arial"/>
                <w:sz w:val="19"/>
                <w:szCs w:val="19"/>
                <w:color w:val="auto"/>
              </w:rPr>
              <w:t>Supplemental Disability Benefit</w:t>
            </w:r>
          </w:p>
        </w:tc>
      </w:tr>
      <w:tr>
        <w:trPr>
          <w:trHeight w:val="312"/>
        </w:trPr>
        <w:tc>
          <w:tcPr>
            <w:tcW w:w="820" w:type="dxa"/>
            <w:vAlign w:val="bottom"/>
          </w:tcPr>
          <w:p>
            <w:pPr>
              <w:spacing w:after="0"/>
              <w:rPr>
                <w:sz w:val="20"/>
                <w:szCs w:val="20"/>
                <w:color w:val="auto"/>
              </w:rPr>
            </w:pPr>
            <w:r>
              <w:rPr>
                <w:rFonts w:ascii="Arial" w:cs="Arial" w:eastAsia="Arial" w:hAnsi="Arial"/>
                <w:sz w:val="19"/>
                <w:szCs w:val="19"/>
                <w:color w:val="auto"/>
              </w:rPr>
              <w:t>Section 3</w:t>
            </w:r>
          </w:p>
        </w:tc>
        <w:tc>
          <w:tcPr>
            <w:tcW w:w="6700" w:type="dxa"/>
            <w:vAlign w:val="bottom"/>
          </w:tcPr>
          <w:p>
            <w:pPr>
              <w:spacing w:after="0"/>
              <w:rPr>
                <w:sz w:val="20"/>
                <w:szCs w:val="20"/>
                <w:color w:val="auto"/>
              </w:rPr>
            </w:pPr>
            <w:r>
              <w:rPr>
                <w:rFonts w:ascii="Arial" w:cs="Arial" w:eastAsia="Arial" w:hAnsi="Arial"/>
                <w:sz w:val="19"/>
                <w:szCs w:val="19"/>
                <w:color w:val="auto"/>
              </w:rPr>
              <w:t>Retirement Benefits</w:t>
            </w:r>
          </w:p>
        </w:tc>
      </w:tr>
      <w:tr>
        <w:trPr>
          <w:trHeight w:val="312"/>
        </w:trPr>
        <w:tc>
          <w:tcPr>
            <w:tcW w:w="820" w:type="dxa"/>
            <w:vAlign w:val="bottom"/>
          </w:tcPr>
          <w:p>
            <w:pPr>
              <w:jc w:val="right"/>
              <w:spacing w:after="0"/>
              <w:rPr>
                <w:sz w:val="20"/>
                <w:szCs w:val="20"/>
                <w:color w:val="auto"/>
              </w:rPr>
            </w:pPr>
            <w:r>
              <w:rPr>
                <w:rFonts w:ascii="Arial" w:cs="Arial" w:eastAsia="Arial" w:hAnsi="Arial"/>
                <w:sz w:val="19"/>
                <w:szCs w:val="19"/>
                <w:color w:val="auto"/>
              </w:rPr>
              <w:t>3.1</w:t>
            </w:r>
          </w:p>
        </w:tc>
        <w:tc>
          <w:tcPr>
            <w:tcW w:w="6700" w:type="dxa"/>
            <w:vAlign w:val="bottom"/>
          </w:tcPr>
          <w:p>
            <w:pPr>
              <w:ind w:left="80"/>
              <w:spacing w:after="0"/>
              <w:rPr>
                <w:sz w:val="20"/>
                <w:szCs w:val="20"/>
                <w:color w:val="auto"/>
              </w:rPr>
            </w:pPr>
            <w:r>
              <w:rPr>
                <w:rFonts w:ascii="Arial" w:cs="Arial" w:eastAsia="Arial" w:hAnsi="Arial"/>
                <w:sz w:val="19"/>
                <w:szCs w:val="19"/>
                <w:color w:val="auto"/>
              </w:rPr>
              <w:t>Amount of Supplemental Retirement Benefit</w:t>
            </w:r>
          </w:p>
        </w:tc>
      </w:tr>
      <w:tr>
        <w:trPr>
          <w:trHeight w:val="312"/>
        </w:trPr>
        <w:tc>
          <w:tcPr>
            <w:tcW w:w="820" w:type="dxa"/>
            <w:vAlign w:val="bottom"/>
          </w:tcPr>
          <w:p>
            <w:pPr>
              <w:jc w:val="right"/>
              <w:spacing w:after="0"/>
              <w:rPr>
                <w:sz w:val="20"/>
                <w:szCs w:val="20"/>
                <w:color w:val="auto"/>
              </w:rPr>
            </w:pPr>
            <w:r>
              <w:rPr>
                <w:rFonts w:ascii="Arial" w:cs="Arial" w:eastAsia="Arial" w:hAnsi="Arial"/>
                <w:sz w:val="19"/>
                <w:szCs w:val="19"/>
                <w:color w:val="auto"/>
              </w:rPr>
              <w:t>3.2</w:t>
            </w:r>
          </w:p>
        </w:tc>
        <w:tc>
          <w:tcPr>
            <w:tcW w:w="6700" w:type="dxa"/>
            <w:vAlign w:val="bottom"/>
          </w:tcPr>
          <w:p>
            <w:pPr>
              <w:ind w:left="80"/>
              <w:spacing w:after="0"/>
              <w:rPr>
                <w:sz w:val="20"/>
                <w:szCs w:val="20"/>
                <w:color w:val="auto"/>
              </w:rPr>
            </w:pPr>
            <w:r>
              <w:rPr>
                <w:rFonts w:ascii="Arial" w:cs="Arial" w:eastAsia="Arial" w:hAnsi="Arial"/>
                <w:sz w:val="19"/>
                <w:szCs w:val="19"/>
                <w:color w:val="auto"/>
              </w:rPr>
              <w:t>Amount of Spouse’s Supplemental Retirement Benefit</w:t>
            </w:r>
          </w:p>
        </w:tc>
      </w:tr>
      <w:tr>
        <w:trPr>
          <w:trHeight w:val="312"/>
        </w:trPr>
        <w:tc>
          <w:tcPr>
            <w:tcW w:w="820" w:type="dxa"/>
            <w:vAlign w:val="bottom"/>
          </w:tcPr>
          <w:p>
            <w:pPr>
              <w:jc w:val="right"/>
              <w:spacing w:after="0"/>
              <w:rPr>
                <w:sz w:val="20"/>
                <w:szCs w:val="20"/>
                <w:color w:val="auto"/>
              </w:rPr>
            </w:pPr>
            <w:r>
              <w:rPr>
                <w:rFonts w:ascii="Arial" w:cs="Arial" w:eastAsia="Arial" w:hAnsi="Arial"/>
                <w:sz w:val="19"/>
                <w:szCs w:val="19"/>
                <w:color w:val="auto"/>
              </w:rPr>
              <w:t>3.3</w:t>
            </w:r>
          </w:p>
        </w:tc>
        <w:tc>
          <w:tcPr>
            <w:tcW w:w="6700" w:type="dxa"/>
            <w:vAlign w:val="bottom"/>
          </w:tcPr>
          <w:p>
            <w:pPr>
              <w:ind w:left="80"/>
              <w:spacing w:after="0"/>
              <w:rPr>
                <w:sz w:val="20"/>
                <w:szCs w:val="20"/>
                <w:color w:val="auto"/>
              </w:rPr>
            </w:pPr>
            <w:r>
              <w:rPr>
                <w:rFonts w:ascii="Arial" w:cs="Arial" w:eastAsia="Arial" w:hAnsi="Arial"/>
                <w:sz w:val="19"/>
                <w:szCs w:val="19"/>
                <w:color w:val="auto"/>
              </w:rPr>
              <w:t>Adjustments</w:t>
            </w:r>
          </w:p>
        </w:tc>
      </w:tr>
      <w:tr>
        <w:trPr>
          <w:trHeight w:val="312"/>
        </w:trPr>
        <w:tc>
          <w:tcPr>
            <w:tcW w:w="820" w:type="dxa"/>
            <w:vAlign w:val="bottom"/>
          </w:tcPr>
          <w:p>
            <w:pPr>
              <w:jc w:val="right"/>
              <w:spacing w:after="0"/>
              <w:rPr>
                <w:sz w:val="20"/>
                <w:szCs w:val="20"/>
                <w:color w:val="auto"/>
              </w:rPr>
            </w:pPr>
            <w:r>
              <w:rPr>
                <w:rFonts w:ascii="Arial" w:cs="Arial" w:eastAsia="Arial" w:hAnsi="Arial"/>
                <w:sz w:val="19"/>
                <w:szCs w:val="19"/>
                <w:color w:val="auto"/>
              </w:rPr>
              <w:t>3.4</w:t>
            </w:r>
          </w:p>
        </w:tc>
        <w:tc>
          <w:tcPr>
            <w:tcW w:w="6700" w:type="dxa"/>
            <w:vAlign w:val="bottom"/>
          </w:tcPr>
          <w:p>
            <w:pPr>
              <w:ind w:left="80"/>
              <w:spacing w:after="0"/>
              <w:rPr>
                <w:sz w:val="20"/>
                <w:szCs w:val="20"/>
                <w:color w:val="auto"/>
              </w:rPr>
            </w:pPr>
            <w:r>
              <w:rPr>
                <w:rFonts w:ascii="Arial" w:cs="Arial" w:eastAsia="Arial" w:hAnsi="Arial"/>
                <w:sz w:val="19"/>
                <w:szCs w:val="19"/>
                <w:color w:val="auto"/>
              </w:rPr>
              <w:t>Payment</w:t>
            </w:r>
          </w:p>
        </w:tc>
      </w:tr>
      <w:tr>
        <w:trPr>
          <w:trHeight w:val="264"/>
        </w:trPr>
        <w:tc>
          <w:tcPr>
            <w:tcW w:w="820" w:type="dxa"/>
            <w:vAlign w:val="bottom"/>
          </w:tcPr>
          <w:p>
            <w:pPr>
              <w:jc w:val="right"/>
              <w:spacing w:after="0"/>
              <w:rPr>
                <w:sz w:val="20"/>
                <w:szCs w:val="20"/>
                <w:color w:val="auto"/>
              </w:rPr>
            </w:pPr>
            <w:r>
              <w:rPr>
                <w:rFonts w:ascii="Arial" w:cs="Arial" w:eastAsia="Arial" w:hAnsi="Arial"/>
                <w:sz w:val="19"/>
                <w:szCs w:val="19"/>
                <w:color w:val="auto"/>
              </w:rPr>
              <w:t>3.5</w:t>
            </w:r>
          </w:p>
        </w:tc>
        <w:tc>
          <w:tcPr>
            <w:tcW w:w="6700" w:type="dxa"/>
            <w:vAlign w:val="bottom"/>
          </w:tcPr>
          <w:p>
            <w:pPr>
              <w:ind w:left="80"/>
              <w:spacing w:after="0"/>
              <w:rPr>
                <w:sz w:val="20"/>
                <w:szCs w:val="20"/>
                <w:color w:val="auto"/>
              </w:rPr>
            </w:pPr>
            <w:r>
              <w:rPr>
                <w:rFonts w:ascii="Arial" w:cs="Arial" w:eastAsia="Arial" w:hAnsi="Arial"/>
                <w:sz w:val="19"/>
                <w:szCs w:val="19"/>
                <w:color w:val="auto"/>
                <w:w w:val="90"/>
              </w:rPr>
              <w:t>Conformance of Time and Form of Payment under the Cash Balance Restoration Plan</w:t>
            </w:r>
          </w:p>
        </w:tc>
      </w:tr>
      <w:tr>
        <w:trPr>
          <w:trHeight w:val="408"/>
        </w:trPr>
        <w:tc>
          <w:tcPr>
            <w:tcW w:w="820" w:type="dxa"/>
            <w:vAlign w:val="bottom"/>
          </w:tcPr>
          <w:p>
            <w:pPr>
              <w:spacing w:after="0"/>
              <w:rPr>
                <w:sz w:val="20"/>
                <w:szCs w:val="20"/>
                <w:color w:val="auto"/>
              </w:rPr>
            </w:pPr>
            <w:r>
              <w:rPr>
                <w:rFonts w:ascii="Arial" w:cs="Arial" w:eastAsia="Arial" w:hAnsi="Arial"/>
                <w:sz w:val="19"/>
                <w:szCs w:val="19"/>
                <w:color w:val="auto"/>
              </w:rPr>
              <w:t>Section 4</w:t>
            </w:r>
          </w:p>
        </w:tc>
        <w:tc>
          <w:tcPr>
            <w:tcW w:w="6700" w:type="dxa"/>
            <w:vAlign w:val="bottom"/>
          </w:tcPr>
          <w:p>
            <w:pPr>
              <w:spacing w:after="0"/>
              <w:rPr>
                <w:sz w:val="20"/>
                <w:szCs w:val="20"/>
                <w:color w:val="auto"/>
              </w:rPr>
            </w:pPr>
            <w:r>
              <w:rPr>
                <w:rFonts w:ascii="Arial" w:cs="Arial" w:eastAsia="Arial" w:hAnsi="Arial"/>
                <w:sz w:val="19"/>
                <w:szCs w:val="19"/>
                <w:color w:val="auto"/>
              </w:rPr>
              <w:t>Supplemental Preretirement Spouse’s Death Benefits</w:t>
            </w:r>
          </w:p>
        </w:tc>
      </w:tr>
      <w:tr>
        <w:trPr>
          <w:trHeight w:val="312"/>
        </w:trPr>
        <w:tc>
          <w:tcPr>
            <w:tcW w:w="820" w:type="dxa"/>
            <w:vAlign w:val="bottom"/>
          </w:tcPr>
          <w:p>
            <w:pPr>
              <w:jc w:val="right"/>
              <w:spacing w:after="0"/>
              <w:rPr>
                <w:sz w:val="20"/>
                <w:szCs w:val="20"/>
                <w:color w:val="auto"/>
              </w:rPr>
            </w:pPr>
            <w:r>
              <w:rPr>
                <w:rFonts w:ascii="Arial" w:cs="Arial" w:eastAsia="Arial" w:hAnsi="Arial"/>
                <w:sz w:val="19"/>
                <w:szCs w:val="19"/>
                <w:color w:val="auto"/>
              </w:rPr>
              <w:t>4.1</w:t>
            </w:r>
          </w:p>
        </w:tc>
        <w:tc>
          <w:tcPr>
            <w:tcW w:w="6700" w:type="dxa"/>
            <w:vAlign w:val="bottom"/>
          </w:tcPr>
          <w:p>
            <w:pPr>
              <w:ind w:left="80"/>
              <w:spacing w:after="0"/>
              <w:rPr>
                <w:sz w:val="20"/>
                <w:szCs w:val="20"/>
                <w:color w:val="auto"/>
              </w:rPr>
            </w:pPr>
            <w:r>
              <w:rPr>
                <w:rFonts w:ascii="Arial" w:cs="Arial" w:eastAsia="Arial" w:hAnsi="Arial"/>
                <w:sz w:val="19"/>
                <w:szCs w:val="19"/>
                <w:color w:val="auto"/>
              </w:rPr>
              <w:t>Benefit</w:t>
            </w:r>
          </w:p>
        </w:tc>
      </w:tr>
      <w:tr>
        <w:trPr>
          <w:trHeight w:val="312"/>
        </w:trPr>
        <w:tc>
          <w:tcPr>
            <w:tcW w:w="820" w:type="dxa"/>
            <w:vAlign w:val="bottom"/>
          </w:tcPr>
          <w:p>
            <w:pPr>
              <w:jc w:val="right"/>
              <w:spacing w:after="0"/>
              <w:rPr>
                <w:sz w:val="20"/>
                <w:szCs w:val="20"/>
                <w:color w:val="auto"/>
              </w:rPr>
            </w:pPr>
            <w:r>
              <w:rPr>
                <w:rFonts w:ascii="Arial" w:cs="Arial" w:eastAsia="Arial" w:hAnsi="Arial"/>
                <w:sz w:val="19"/>
                <w:szCs w:val="19"/>
                <w:color w:val="auto"/>
              </w:rPr>
              <w:t>4.2</w:t>
            </w:r>
          </w:p>
        </w:tc>
        <w:tc>
          <w:tcPr>
            <w:tcW w:w="6700" w:type="dxa"/>
            <w:vAlign w:val="bottom"/>
          </w:tcPr>
          <w:p>
            <w:pPr>
              <w:ind w:left="80"/>
              <w:spacing w:after="0"/>
              <w:rPr>
                <w:sz w:val="20"/>
                <w:szCs w:val="20"/>
                <w:color w:val="auto"/>
              </w:rPr>
            </w:pPr>
            <w:r>
              <w:rPr>
                <w:rFonts w:ascii="Arial" w:cs="Arial" w:eastAsia="Arial" w:hAnsi="Arial"/>
                <w:sz w:val="19"/>
                <w:szCs w:val="19"/>
                <w:color w:val="auto"/>
              </w:rPr>
              <w:t>Form of Benefit</w:t>
            </w:r>
          </w:p>
        </w:tc>
      </w:tr>
      <w:tr>
        <w:trPr>
          <w:trHeight w:val="312"/>
        </w:trPr>
        <w:tc>
          <w:tcPr>
            <w:tcW w:w="820" w:type="dxa"/>
            <w:vAlign w:val="bottom"/>
          </w:tcPr>
          <w:p>
            <w:pPr>
              <w:spacing w:after="0"/>
              <w:rPr>
                <w:sz w:val="20"/>
                <w:szCs w:val="20"/>
                <w:color w:val="auto"/>
              </w:rPr>
            </w:pPr>
            <w:r>
              <w:rPr>
                <w:rFonts w:ascii="Arial" w:cs="Arial" w:eastAsia="Arial" w:hAnsi="Arial"/>
                <w:sz w:val="19"/>
                <w:szCs w:val="19"/>
                <w:color w:val="auto"/>
              </w:rPr>
              <w:t>Section 5</w:t>
            </w:r>
          </w:p>
        </w:tc>
        <w:tc>
          <w:tcPr>
            <w:tcW w:w="6700" w:type="dxa"/>
            <w:vAlign w:val="bottom"/>
          </w:tcPr>
          <w:p>
            <w:pPr>
              <w:spacing w:after="0"/>
              <w:rPr>
                <w:sz w:val="20"/>
                <w:szCs w:val="20"/>
                <w:color w:val="auto"/>
              </w:rPr>
            </w:pPr>
            <w:r>
              <w:rPr>
                <w:rFonts w:ascii="Arial" w:cs="Arial" w:eastAsia="Arial" w:hAnsi="Arial"/>
                <w:sz w:val="19"/>
                <w:szCs w:val="19"/>
                <w:color w:val="auto"/>
              </w:rPr>
              <w:t>Supplemental Disability Benefits</w:t>
            </w:r>
          </w:p>
        </w:tc>
      </w:tr>
      <w:tr>
        <w:trPr>
          <w:trHeight w:val="312"/>
        </w:trPr>
        <w:tc>
          <w:tcPr>
            <w:tcW w:w="820" w:type="dxa"/>
            <w:vAlign w:val="bottom"/>
          </w:tcPr>
          <w:p>
            <w:pPr>
              <w:jc w:val="right"/>
              <w:spacing w:after="0"/>
              <w:rPr>
                <w:sz w:val="20"/>
                <w:szCs w:val="20"/>
                <w:color w:val="auto"/>
              </w:rPr>
            </w:pPr>
            <w:r>
              <w:rPr>
                <w:rFonts w:ascii="Arial" w:cs="Arial" w:eastAsia="Arial" w:hAnsi="Arial"/>
                <w:sz w:val="19"/>
                <w:szCs w:val="19"/>
                <w:color w:val="auto"/>
              </w:rPr>
              <w:t>5.1</w:t>
            </w:r>
          </w:p>
        </w:tc>
        <w:tc>
          <w:tcPr>
            <w:tcW w:w="6700" w:type="dxa"/>
            <w:vAlign w:val="bottom"/>
          </w:tcPr>
          <w:p>
            <w:pPr>
              <w:ind w:left="80"/>
              <w:spacing w:after="0"/>
              <w:rPr>
                <w:sz w:val="20"/>
                <w:szCs w:val="20"/>
                <w:color w:val="auto"/>
              </w:rPr>
            </w:pPr>
            <w:r>
              <w:rPr>
                <w:rFonts w:ascii="Arial" w:cs="Arial" w:eastAsia="Arial" w:hAnsi="Arial"/>
                <w:sz w:val="19"/>
                <w:szCs w:val="19"/>
                <w:color w:val="auto"/>
              </w:rPr>
              <w:t>Amount</w:t>
            </w:r>
          </w:p>
        </w:tc>
      </w:tr>
      <w:tr>
        <w:trPr>
          <w:trHeight w:val="312"/>
        </w:trPr>
        <w:tc>
          <w:tcPr>
            <w:tcW w:w="820" w:type="dxa"/>
            <w:vAlign w:val="bottom"/>
          </w:tcPr>
          <w:p>
            <w:pPr>
              <w:jc w:val="right"/>
              <w:spacing w:after="0"/>
              <w:rPr>
                <w:sz w:val="20"/>
                <w:szCs w:val="20"/>
                <w:color w:val="auto"/>
              </w:rPr>
            </w:pPr>
            <w:r>
              <w:rPr>
                <w:rFonts w:ascii="Arial" w:cs="Arial" w:eastAsia="Arial" w:hAnsi="Arial"/>
                <w:sz w:val="19"/>
                <w:szCs w:val="19"/>
                <w:color w:val="auto"/>
              </w:rPr>
              <w:t>5.2</w:t>
            </w:r>
          </w:p>
        </w:tc>
        <w:tc>
          <w:tcPr>
            <w:tcW w:w="6700" w:type="dxa"/>
            <w:vAlign w:val="bottom"/>
          </w:tcPr>
          <w:p>
            <w:pPr>
              <w:ind w:left="80"/>
              <w:spacing w:after="0"/>
              <w:rPr>
                <w:sz w:val="20"/>
                <w:szCs w:val="20"/>
                <w:color w:val="auto"/>
              </w:rPr>
            </w:pPr>
            <w:r>
              <w:rPr>
                <w:rFonts w:ascii="Arial" w:cs="Arial" w:eastAsia="Arial" w:hAnsi="Arial"/>
                <w:sz w:val="19"/>
                <w:szCs w:val="19"/>
                <w:color w:val="auto"/>
              </w:rPr>
              <w:t>Payment</w:t>
            </w:r>
          </w:p>
        </w:tc>
      </w:tr>
      <w:tr>
        <w:trPr>
          <w:trHeight w:val="312"/>
        </w:trPr>
        <w:tc>
          <w:tcPr>
            <w:tcW w:w="7520" w:type="dxa"/>
            <w:vAlign w:val="bottom"/>
            <w:gridSpan w:val="2"/>
          </w:tcPr>
          <w:p>
            <w:pPr>
              <w:spacing w:after="0"/>
              <w:rPr>
                <w:sz w:val="20"/>
                <w:szCs w:val="20"/>
                <w:color w:val="auto"/>
              </w:rPr>
            </w:pPr>
            <w:r>
              <w:rPr>
                <w:rFonts w:ascii="Arial" w:cs="Arial" w:eastAsia="Arial" w:hAnsi="Arial"/>
                <w:sz w:val="19"/>
                <w:szCs w:val="19"/>
                <w:color w:val="auto"/>
              </w:rPr>
              <w:t>Section 6 Administration</w:t>
            </w:r>
          </w:p>
        </w:tc>
      </w:tr>
      <w:tr>
        <w:trPr>
          <w:trHeight w:val="312"/>
        </w:trPr>
        <w:tc>
          <w:tcPr>
            <w:tcW w:w="820" w:type="dxa"/>
            <w:vAlign w:val="bottom"/>
          </w:tcPr>
          <w:p>
            <w:pPr>
              <w:jc w:val="right"/>
              <w:spacing w:after="0"/>
              <w:rPr>
                <w:sz w:val="20"/>
                <w:szCs w:val="20"/>
                <w:color w:val="auto"/>
              </w:rPr>
            </w:pPr>
            <w:r>
              <w:rPr>
                <w:rFonts w:ascii="Arial" w:cs="Arial" w:eastAsia="Arial" w:hAnsi="Arial"/>
                <w:sz w:val="19"/>
                <w:szCs w:val="19"/>
                <w:color w:val="auto"/>
              </w:rPr>
              <w:t>6.1</w:t>
            </w:r>
          </w:p>
        </w:tc>
        <w:tc>
          <w:tcPr>
            <w:tcW w:w="6700" w:type="dxa"/>
            <w:vAlign w:val="bottom"/>
          </w:tcPr>
          <w:p>
            <w:pPr>
              <w:ind w:left="80"/>
              <w:spacing w:after="0"/>
              <w:rPr>
                <w:sz w:val="20"/>
                <w:szCs w:val="20"/>
                <w:color w:val="auto"/>
              </w:rPr>
            </w:pPr>
            <w:r>
              <w:rPr>
                <w:rFonts w:ascii="Arial" w:cs="Arial" w:eastAsia="Arial" w:hAnsi="Arial"/>
                <w:sz w:val="19"/>
                <w:szCs w:val="19"/>
                <w:color w:val="auto"/>
              </w:rPr>
              <w:t>Authority of Committee</w:t>
            </w:r>
          </w:p>
        </w:tc>
      </w:tr>
      <w:tr>
        <w:trPr>
          <w:trHeight w:val="312"/>
        </w:trPr>
        <w:tc>
          <w:tcPr>
            <w:tcW w:w="820" w:type="dxa"/>
            <w:vAlign w:val="bottom"/>
          </w:tcPr>
          <w:p>
            <w:pPr>
              <w:jc w:val="right"/>
              <w:spacing w:after="0"/>
              <w:rPr>
                <w:sz w:val="20"/>
                <w:szCs w:val="20"/>
                <w:color w:val="auto"/>
              </w:rPr>
            </w:pPr>
            <w:r>
              <w:rPr>
                <w:rFonts w:ascii="Arial" w:cs="Arial" w:eastAsia="Arial" w:hAnsi="Arial"/>
                <w:sz w:val="19"/>
                <w:szCs w:val="19"/>
                <w:color w:val="auto"/>
              </w:rPr>
              <w:t>6.2</w:t>
            </w:r>
          </w:p>
        </w:tc>
        <w:tc>
          <w:tcPr>
            <w:tcW w:w="6700" w:type="dxa"/>
            <w:vAlign w:val="bottom"/>
          </w:tcPr>
          <w:p>
            <w:pPr>
              <w:ind w:left="80"/>
              <w:spacing w:after="0"/>
              <w:rPr>
                <w:sz w:val="20"/>
                <w:szCs w:val="20"/>
                <w:color w:val="auto"/>
              </w:rPr>
            </w:pPr>
            <w:r>
              <w:rPr>
                <w:rFonts w:ascii="Arial" w:cs="Arial" w:eastAsia="Arial" w:hAnsi="Arial"/>
                <w:sz w:val="19"/>
                <w:szCs w:val="19"/>
                <w:color w:val="auto"/>
              </w:rPr>
              <w:t>Calculation of Benefits</w:t>
            </w:r>
          </w:p>
        </w:tc>
      </w:tr>
    </w:tbl>
    <w:p>
      <w:pPr>
        <w:sectPr>
          <w:pgSz w:w="11900" w:h="16838" w:orient="portrait"/>
          <w:cols w:equalWidth="0" w:num="1">
            <w:col w:w="10219"/>
          </w:cols>
          <w:pgMar w:left="240" w:top="697" w:right="1440" w:bottom="1440" w:gutter="0" w:footer="0" w:header="0"/>
        </w:sectPr>
      </w:pPr>
    </w:p>
    <w:bookmarkStart w:id="114" w:name="page115"/>
    <w:bookmarkEnd w:id="114"/>
    <w:p>
      <w:pPr>
        <w:spacing w:after="0"/>
        <w:rPr>
          <w:sz w:val="20"/>
          <w:szCs w:val="20"/>
          <w:color w:val="auto"/>
        </w:rPr>
      </w:pPr>
      <w:r>
        <w:rPr>
          <w:rFonts w:ascii="Arial" w:cs="Arial" w:eastAsia="Arial" w:hAnsi="Arial"/>
          <w:sz w:val="19"/>
          <w:szCs w:val="19"/>
          <w:color w:val="auto"/>
        </w:rPr>
        <w:t>Section 7 Miscellaneous</w:t>
      </w:r>
    </w:p>
    <w:p>
      <w:pPr>
        <w:spacing w:after="0" w:line="94" w:lineRule="exact"/>
        <w:rPr>
          <w:sz w:val="20"/>
          <w:szCs w:val="20"/>
          <w:color w:val="auto"/>
        </w:rPr>
      </w:pPr>
    </w:p>
    <w:p>
      <w:pPr>
        <w:jc w:val="right"/>
        <w:ind w:right="5299"/>
        <w:spacing w:after="0"/>
        <w:rPr>
          <w:sz w:val="20"/>
          <w:szCs w:val="20"/>
          <w:color w:val="auto"/>
        </w:rPr>
      </w:pPr>
      <w:r>
        <w:rPr>
          <w:rFonts w:ascii="Arial" w:cs="Arial" w:eastAsia="Arial" w:hAnsi="Arial"/>
          <w:sz w:val="19"/>
          <w:szCs w:val="19"/>
          <w:color w:val="auto"/>
        </w:rPr>
        <w:t>7.1 Amendment, Termination or Removal of Participant</w:t>
      </w:r>
    </w:p>
    <w:p>
      <w:pPr>
        <w:spacing w:after="0" w:line="94" w:lineRule="exact"/>
        <w:rPr>
          <w:sz w:val="20"/>
          <w:szCs w:val="20"/>
          <w:color w:val="auto"/>
        </w:rPr>
      </w:pPr>
    </w:p>
    <w:p>
      <w:pPr>
        <w:ind w:left="580"/>
        <w:spacing w:after="0"/>
        <w:rPr>
          <w:sz w:val="20"/>
          <w:szCs w:val="20"/>
          <w:color w:val="auto"/>
        </w:rPr>
      </w:pPr>
      <w:r>
        <w:rPr>
          <w:rFonts w:ascii="Arial" w:cs="Arial" w:eastAsia="Arial" w:hAnsi="Arial"/>
          <w:sz w:val="19"/>
          <w:szCs w:val="19"/>
          <w:color w:val="auto"/>
        </w:rPr>
        <w:t>7.2 No Employment Right</w:t>
      </w:r>
    </w:p>
    <w:p>
      <w:pPr>
        <w:spacing w:after="0" w:line="94" w:lineRule="exact"/>
        <w:rPr>
          <w:sz w:val="20"/>
          <w:szCs w:val="20"/>
          <w:color w:val="auto"/>
        </w:rPr>
      </w:pPr>
    </w:p>
    <w:p>
      <w:pPr>
        <w:ind w:left="580"/>
        <w:spacing w:after="0"/>
        <w:rPr>
          <w:sz w:val="20"/>
          <w:szCs w:val="20"/>
          <w:color w:val="auto"/>
        </w:rPr>
      </w:pPr>
      <w:r>
        <w:rPr>
          <w:rFonts w:ascii="Arial" w:cs="Arial" w:eastAsia="Arial" w:hAnsi="Arial"/>
          <w:sz w:val="19"/>
          <w:szCs w:val="19"/>
          <w:color w:val="auto"/>
        </w:rPr>
        <w:t>7.3 Funding</w:t>
      </w:r>
    </w:p>
    <w:p>
      <w:pPr>
        <w:spacing w:after="0" w:line="94" w:lineRule="exact"/>
        <w:rPr>
          <w:sz w:val="20"/>
          <w:szCs w:val="20"/>
          <w:color w:val="auto"/>
        </w:rPr>
      </w:pPr>
    </w:p>
    <w:p>
      <w:pPr>
        <w:ind w:left="580"/>
        <w:spacing w:after="0"/>
        <w:rPr>
          <w:sz w:val="20"/>
          <w:szCs w:val="20"/>
          <w:color w:val="auto"/>
        </w:rPr>
      </w:pPr>
      <w:r>
        <w:rPr>
          <w:rFonts w:ascii="Arial" w:cs="Arial" w:eastAsia="Arial" w:hAnsi="Arial"/>
          <w:sz w:val="19"/>
          <w:szCs w:val="19"/>
          <w:color w:val="auto"/>
        </w:rPr>
        <w:t>7.4 Allocation of Costs</w:t>
      </w:r>
    </w:p>
    <w:p>
      <w:pPr>
        <w:spacing w:after="0" w:line="94" w:lineRule="exact"/>
        <w:rPr>
          <w:sz w:val="20"/>
          <w:szCs w:val="20"/>
          <w:color w:val="auto"/>
        </w:rPr>
      </w:pPr>
    </w:p>
    <w:p>
      <w:pPr>
        <w:spacing w:after="0"/>
        <w:rPr>
          <w:sz w:val="20"/>
          <w:szCs w:val="20"/>
          <w:color w:val="auto"/>
        </w:rPr>
      </w:pPr>
      <w:r>
        <w:rPr>
          <w:rFonts w:ascii="Arial" w:cs="Arial" w:eastAsia="Arial" w:hAnsi="Arial"/>
          <w:sz w:val="17"/>
          <w:szCs w:val="17"/>
          <w:color w:val="auto"/>
        </w:rPr>
        <w:t>Section 8 Benefits Deferred under Deferred Compensation Plan</w:t>
      </w:r>
    </w:p>
    <w:p>
      <w:pPr>
        <w:spacing w:after="0" w:line="117" w:lineRule="exact"/>
        <w:rPr>
          <w:sz w:val="20"/>
          <w:szCs w:val="20"/>
          <w:color w:val="auto"/>
        </w:rPr>
      </w:pPr>
    </w:p>
    <w:p>
      <w:pPr>
        <w:spacing w:after="0"/>
        <w:rPr>
          <w:sz w:val="20"/>
          <w:szCs w:val="20"/>
          <w:color w:val="auto"/>
        </w:rPr>
      </w:pPr>
      <w:r>
        <w:rPr>
          <w:rFonts w:ascii="Arial" w:cs="Arial" w:eastAsia="Arial" w:hAnsi="Arial"/>
          <w:sz w:val="19"/>
          <w:szCs w:val="19"/>
          <w:color w:val="auto"/>
        </w:rPr>
        <w:t>Section 9 Section 409A of the Code</w:t>
      </w:r>
    </w:p>
    <w:p>
      <w:pPr>
        <w:spacing w:after="0" w:line="94" w:lineRule="exact"/>
        <w:rPr>
          <w:sz w:val="20"/>
          <w:szCs w:val="20"/>
          <w:color w:val="auto"/>
        </w:rPr>
      </w:pPr>
    </w:p>
    <w:p>
      <w:pPr>
        <w:spacing w:after="0"/>
        <w:rPr>
          <w:sz w:val="20"/>
          <w:szCs w:val="20"/>
          <w:color w:val="auto"/>
        </w:rPr>
      </w:pPr>
      <w:r>
        <w:rPr>
          <w:rFonts w:ascii="Arial" w:cs="Arial" w:eastAsia="Arial" w:hAnsi="Arial"/>
          <w:sz w:val="19"/>
          <w:szCs w:val="19"/>
          <w:color w:val="auto"/>
        </w:rPr>
        <w:t>Section 10 Claims Procedure</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1080" w:type="dxa"/>
            <w:vAlign w:val="bottom"/>
          </w:tcPr>
          <w:p>
            <w:pPr>
              <w:ind w:left="580"/>
              <w:spacing w:after="0"/>
              <w:rPr>
                <w:sz w:val="20"/>
                <w:szCs w:val="20"/>
                <w:color w:val="auto"/>
              </w:rPr>
            </w:pPr>
            <w:r>
              <w:rPr>
                <w:rFonts w:ascii="Arial" w:cs="Arial" w:eastAsia="Arial" w:hAnsi="Arial"/>
                <w:sz w:val="19"/>
                <w:szCs w:val="19"/>
                <w:color w:val="auto"/>
              </w:rPr>
              <w:t>10.1</w:t>
            </w:r>
          </w:p>
        </w:tc>
        <w:tc>
          <w:tcPr>
            <w:tcW w:w="3780" w:type="dxa"/>
            <w:vAlign w:val="bottom"/>
          </w:tcPr>
          <w:p>
            <w:pPr>
              <w:ind w:left="60"/>
              <w:spacing w:after="0"/>
              <w:rPr>
                <w:sz w:val="20"/>
                <w:szCs w:val="20"/>
                <w:color w:val="auto"/>
              </w:rPr>
            </w:pPr>
            <w:r>
              <w:rPr>
                <w:rFonts w:ascii="Arial" w:cs="Arial" w:eastAsia="Arial" w:hAnsi="Arial"/>
                <w:sz w:val="19"/>
                <w:szCs w:val="19"/>
                <w:color w:val="auto"/>
              </w:rPr>
              <w:t>Claim</w:t>
            </w:r>
          </w:p>
        </w:tc>
      </w:tr>
      <w:tr>
        <w:trPr>
          <w:trHeight w:val="312"/>
        </w:trPr>
        <w:tc>
          <w:tcPr>
            <w:tcW w:w="1080" w:type="dxa"/>
            <w:vAlign w:val="bottom"/>
          </w:tcPr>
          <w:p>
            <w:pPr>
              <w:ind w:left="580"/>
              <w:spacing w:after="0"/>
              <w:rPr>
                <w:sz w:val="20"/>
                <w:szCs w:val="20"/>
                <w:color w:val="auto"/>
              </w:rPr>
            </w:pPr>
            <w:r>
              <w:rPr>
                <w:rFonts w:ascii="Arial" w:cs="Arial" w:eastAsia="Arial" w:hAnsi="Arial"/>
                <w:sz w:val="19"/>
                <w:szCs w:val="19"/>
                <w:color w:val="auto"/>
              </w:rPr>
              <w:t>10.2</w:t>
            </w:r>
          </w:p>
        </w:tc>
        <w:tc>
          <w:tcPr>
            <w:tcW w:w="3780" w:type="dxa"/>
            <w:vAlign w:val="bottom"/>
          </w:tcPr>
          <w:p>
            <w:pPr>
              <w:ind w:left="60"/>
              <w:spacing w:after="0"/>
              <w:rPr>
                <w:sz w:val="20"/>
                <w:szCs w:val="20"/>
                <w:color w:val="auto"/>
              </w:rPr>
            </w:pPr>
            <w:r>
              <w:rPr>
                <w:rFonts w:ascii="Arial" w:cs="Arial" w:eastAsia="Arial" w:hAnsi="Arial"/>
                <w:sz w:val="19"/>
                <w:szCs w:val="19"/>
                <w:color w:val="auto"/>
              </w:rPr>
              <w:t>Claim Decision</w:t>
            </w:r>
          </w:p>
        </w:tc>
      </w:tr>
      <w:tr>
        <w:trPr>
          <w:trHeight w:val="300"/>
        </w:trPr>
        <w:tc>
          <w:tcPr>
            <w:tcW w:w="1080" w:type="dxa"/>
            <w:vAlign w:val="bottom"/>
          </w:tcPr>
          <w:p>
            <w:pPr>
              <w:ind w:left="580"/>
              <w:spacing w:after="0"/>
              <w:rPr>
                <w:sz w:val="20"/>
                <w:szCs w:val="20"/>
                <w:color w:val="auto"/>
              </w:rPr>
            </w:pPr>
            <w:r>
              <w:rPr>
                <w:rFonts w:ascii="Arial" w:cs="Arial" w:eastAsia="Arial" w:hAnsi="Arial"/>
                <w:sz w:val="19"/>
                <w:szCs w:val="19"/>
                <w:color w:val="auto"/>
              </w:rPr>
              <w:t>10.3</w:t>
            </w:r>
          </w:p>
        </w:tc>
        <w:tc>
          <w:tcPr>
            <w:tcW w:w="3780" w:type="dxa"/>
            <w:vAlign w:val="bottom"/>
          </w:tcPr>
          <w:p>
            <w:pPr>
              <w:ind w:left="60"/>
              <w:spacing w:after="0"/>
              <w:rPr>
                <w:sz w:val="20"/>
                <w:szCs w:val="20"/>
                <w:color w:val="auto"/>
              </w:rPr>
            </w:pPr>
            <w:r>
              <w:rPr>
                <w:rFonts w:ascii="Arial" w:cs="Arial" w:eastAsia="Arial" w:hAnsi="Arial"/>
                <w:sz w:val="19"/>
                <w:szCs w:val="19"/>
                <w:color w:val="auto"/>
              </w:rPr>
              <w:t>Request for Review</w:t>
            </w:r>
          </w:p>
        </w:tc>
      </w:tr>
      <w:tr>
        <w:trPr>
          <w:trHeight w:val="300"/>
        </w:trPr>
        <w:tc>
          <w:tcPr>
            <w:tcW w:w="1080" w:type="dxa"/>
            <w:vAlign w:val="bottom"/>
          </w:tcPr>
          <w:p>
            <w:pPr>
              <w:ind w:left="580"/>
              <w:spacing w:after="0"/>
              <w:rPr>
                <w:sz w:val="20"/>
                <w:szCs w:val="20"/>
                <w:color w:val="auto"/>
              </w:rPr>
            </w:pPr>
            <w:r>
              <w:rPr>
                <w:rFonts w:ascii="Arial" w:cs="Arial" w:eastAsia="Arial" w:hAnsi="Arial"/>
                <w:sz w:val="19"/>
                <w:szCs w:val="19"/>
                <w:color w:val="auto"/>
              </w:rPr>
              <w:t>10.4</w:t>
            </w:r>
          </w:p>
        </w:tc>
        <w:tc>
          <w:tcPr>
            <w:tcW w:w="3780" w:type="dxa"/>
            <w:vAlign w:val="bottom"/>
          </w:tcPr>
          <w:p>
            <w:pPr>
              <w:ind w:left="60"/>
              <w:spacing w:after="0"/>
              <w:rPr>
                <w:sz w:val="20"/>
                <w:szCs w:val="20"/>
                <w:color w:val="auto"/>
              </w:rPr>
            </w:pPr>
            <w:r>
              <w:rPr>
                <w:rFonts w:ascii="Arial" w:cs="Arial" w:eastAsia="Arial" w:hAnsi="Arial"/>
                <w:sz w:val="19"/>
                <w:szCs w:val="19"/>
                <w:color w:val="auto"/>
              </w:rPr>
              <w:t>Review of Decision</w:t>
            </w:r>
          </w:p>
        </w:tc>
      </w:tr>
      <w:tr>
        <w:trPr>
          <w:trHeight w:val="312"/>
        </w:trPr>
        <w:tc>
          <w:tcPr>
            <w:tcW w:w="4860" w:type="dxa"/>
            <w:vAlign w:val="bottom"/>
            <w:gridSpan w:val="2"/>
          </w:tcPr>
          <w:p>
            <w:pPr>
              <w:spacing w:after="0"/>
              <w:rPr>
                <w:sz w:val="20"/>
                <w:szCs w:val="20"/>
                <w:color w:val="auto"/>
              </w:rPr>
            </w:pPr>
            <w:r>
              <w:rPr>
                <w:rFonts w:ascii="Arial" w:cs="Arial" w:eastAsia="Arial" w:hAnsi="Arial"/>
                <w:sz w:val="19"/>
                <w:szCs w:val="19"/>
                <w:color w:val="auto"/>
              </w:rPr>
              <w:t>Section 11 Miscellaneous</w:t>
            </w:r>
          </w:p>
        </w:tc>
      </w:tr>
      <w:tr>
        <w:trPr>
          <w:trHeight w:val="312"/>
        </w:trPr>
        <w:tc>
          <w:tcPr>
            <w:tcW w:w="1080" w:type="dxa"/>
            <w:vAlign w:val="bottom"/>
          </w:tcPr>
          <w:p>
            <w:pPr>
              <w:ind w:left="580"/>
              <w:spacing w:after="0"/>
              <w:rPr>
                <w:sz w:val="20"/>
                <w:szCs w:val="20"/>
                <w:color w:val="auto"/>
              </w:rPr>
            </w:pPr>
            <w:r>
              <w:rPr>
                <w:rFonts w:ascii="Arial" w:cs="Arial" w:eastAsia="Arial" w:hAnsi="Arial"/>
                <w:sz w:val="19"/>
                <w:szCs w:val="19"/>
                <w:color w:val="auto"/>
              </w:rPr>
              <w:t>11.1</w:t>
            </w:r>
          </w:p>
        </w:tc>
        <w:tc>
          <w:tcPr>
            <w:tcW w:w="3780" w:type="dxa"/>
            <w:vAlign w:val="bottom"/>
          </w:tcPr>
          <w:p>
            <w:pPr>
              <w:ind w:left="60"/>
              <w:spacing w:after="0"/>
              <w:rPr>
                <w:sz w:val="20"/>
                <w:szCs w:val="20"/>
                <w:color w:val="auto"/>
              </w:rPr>
            </w:pPr>
            <w:r>
              <w:rPr>
                <w:rFonts w:ascii="Arial" w:cs="Arial" w:eastAsia="Arial" w:hAnsi="Arial"/>
                <w:sz w:val="19"/>
                <w:szCs w:val="19"/>
                <w:color w:val="auto"/>
              </w:rPr>
              <w:t>Unsecured General Creditor</w:t>
            </w:r>
          </w:p>
        </w:tc>
      </w:tr>
      <w:tr>
        <w:trPr>
          <w:trHeight w:val="300"/>
        </w:trPr>
        <w:tc>
          <w:tcPr>
            <w:tcW w:w="1080" w:type="dxa"/>
            <w:vAlign w:val="bottom"/>
          </w:tcPr>
          <w:p>
            <w:pPr>
              <w:ind w:left="580"/>
              <w:spacing w:after="0"/>
              <w:rPr>
                <w:sz w:val="20"/>
                <w:szCs w:val="20"/>
                <w:color w:val="auto"/>
              </w:rPr>
            </w:pPr>
            <w:r>
              <w:rPr>
                <w:rFonts w:ascii="Arial" w:cs="Arial" w:eastAsia="Arial" w:hAnsi="Arial"/>
                <w:sz w:val="19"/>
                <w:szCs w:val="19"/>
                <w:color w:val="auto"/>
              </w:rPr>
              <w:t>11.2</w:t>
            </w:r>
          </w:p>
        </w:tc>
        <w:tc>
          <w:tcPr>
            <w:tcW w:w="3780" w:type="dxa"/>
            <w:vAlign w:val="bottom"/>
          </w:tcPr>
          <w:p>
            <w:pPr>
              <w:ind w:left="60"/>
              <w:spacing w:after="0"/>
              <w:rPr>
                <w:sz w:val="20"/>
                <w:szCs w:val="20"/>
                <w:color w:val="auto"/>
              </w:rPr>
            </w:pPr>
            <w:r>
              <w:rPr>
                <w:rFonts w:ascii="Arial" w:cs="Arial" w:eastAsia="Arial" w:hAnsi="Arial"/>
                <w:sz w:val="19"/>
                <w:szCs w:val="19"/>
                <w:color w:val="auto"/>
              </w:rPr>
              <w:t>Restriction Against Assignment</w:t>
            </w:r>
          </w:p>
        </w:tc>
      </w:tr>
      <w:tr>
        <w:trPr>
          <w:trHeight w:val="300"/>
        </w:trPr>
        <w:tc>
          <w:tcPr>
            <w:tcW w:w="1080" w:type="dxa"/>
            <w:vAlign w:val="bottom"/>
          </w:tcPr>
          <w:p>
            <w:pPr>
              <w:ind w:left="580"/>
              <w:spacing w:after="0"/>
              <w:rPr>
                <w:sz w:val="20"/>
                <w:szCs w:val="20"/>
                <w:color w:val="auto"/>
              </w:rPr>
            </w:pPr>
            <w:r>
              <w:rPr>
                <w:rFonts w:ascii="Arial" w:cs="Arial" w:eastAsia="Arial" w:hAnsi="Arial"/>
                <w:sz w:val="19"/>
                <w:szCs w:val="19"/>
                <w:color w:val="auto"/>
              </w:rPr>
              <w:t>11.3</w:t>
            </w:r>
          </w:p>
        </w:tc>
        <w:tc>
          <w:tcPr>
            <w:tcW w:w="3780" w:type="dxa"/>
            <w:vAlign w:val="bottom"/>
          </w:tcPr>
          <w:p>
            <w:pPr>
              <w:ind w:left="60"/>
              <w:spacing w:after="0"/>
              <w:rPr>
                <w:sz w:val="20"/>
                <w:szCs w:val="20"/>
                <w:color w:val="auto"/>
              </w:rPr>
            </w:pPr>
            <w:r>
              <w:rPr>
                <w:rFonts w:ascii="Arial" w:cs="Arial" w:eastAsia="Arial" w:hAnsi="Arial"/>
                <w:sz w:val="19"/>
                <w:szCs w:val="19"/>
                <w:color w:val="auto"/>
              </w:rPr>
              <w:t>Withholding</w:t>
            </w:r>
          </w:p>
        </w:tc>
      </w:tr>
      <w:tr>
        <w:trPr>
          <w:trHeight w:val="312"/>
        </w:trPr>
        <w:tc>
          <w:tcPr>
            <w:tcW w:w="1080" w:type="dxa"/>
            <w:vAlign w:val="bottom"/>
          </w:tcPr>
          <w:p>
            <w:pPr>
              <w:ind w:left="580"/>
              <w:spacing w:after="0"/>
              <w:rPr>
                <w:sz w:val="20"/>
                <w:szCs w:val="20"/>
                <w:color w:val="auto"/>
              </w:rPr>
            </w:pPr>
            <w:r>
              <w:rPr>
                <w:rFonts w:ascii="Arial" w:cs="Arial" w:eastAsia="Arial" w:hAnsi="Arial"/>
                <w:sz w:val="19"/>
                <w:szCs w:val="19"/>
                <w:color w:val="auto"/>
              </w:rPr>
              <w:t>11.4</w:t>
            </w:r>
          </w:p>
        </w:tc>
        <w:tc>
          <w:tcPr>
            <w:tcW w:w="3780" w:type="dxa"/>
            <w:vAlign w:val="bottom"/>
          </w:tcPr>
          <w:p>
            <w:pPr>
              <w:ind w:left="60"/>
              <w:spacing w:after="0"/>
              <w:rPr>
                <w:sz w:val="20"/>
                <w:szCs w:val="20"/>
                <w:color w:val="auto"/>
              </w:rPr>
            </w:pPr>
            <w:r>
              <w:rPr>
                <w:rFonts w:ascii="Arial" w:cs="Arial" w:eastAsia="Arial" w:hAnsi="Arial"/>
                <w:sz w:val="19"/>
                <w:szCs w:val="19"/>
                <w:color w:val="auto"/>
              </w:rPr>
              <w:t>Governing Law</w:t>
            </w:r>
          </w:p>
        </w:tc>
      </w:tr>
      <w:tr>
        <w:trPr>
          <w:trHeight w:val="300"/>
        </w:trPr>
        <w:tc>
          <w:tcPr>
            <w:tcW w:w="1080" w:type="dxa"/>
            <w:vAlign w:val="bottom"/>
          </w:tcPr>
          <w:p>
            <w:pPr>
              <w:ind w:left="580"/>
              <w:spacing w:after="0"/>
              <w:rPr>
                <w:sz w:val="20"/>
                <w:szCs w:val="20"/>
                <w:color w:val="auto"/>
              </w:rPr>
            </w:pPr>
            <w:r>
              <w:rPr>
                <w:rFonts w:ascii="Arial" w:cs="Arial" w:eastAsia="Arial" w:hAnsi="Arial"/>
                <w:sz w:val="19"/>
                <w:szCs w:val="19"/>
                <w:color w:val="auto"/>
              </w:rPr>
              <w:t>11.5</w:t>
            </w:r>
          </w:p>
        </w:tc>
        <w:tc>
          <w:tcPr>
            <w:tcW w:w="3780" w:type="dxa"/>
            <w:vAlign w:val="bottom"/>
          </w:tcPr>
          <w:p>
            <w:pPr>
              <w:ind w:left="60"/>
              <w:spacing w:after="0"/>
              <w:rPr>
                <w:sz w:val="20"/>
                <w:szCs w:val="20"/>
                <w:color w:val="auto"/>
              </w:rPr>
            </w:pPr>
            <w:r>
              <w:rPr>
                <w:rFonts w:ascii="Arial" w:cs="Arial" w:eastAsia="Arial" w:hAnsi="Arial"/>
                <w:sz w:val="19"/>
                <w:szCs w:val="19"/>
                <w:color w:val="auto"/>
              </w:rPr>
              <w:t>Receipt of Release</w:t>
            </w:r>
          </w:p>
        </w:tc>
      </w:tr>
      <w:tr>
        <w:trPr>
          <w:trHeight w:val="300"/>
        </w:trPr>
        <w:tc>
          <w:tcPr>
            <w:tcW w:w="1080" w:type="dxa"/>
            <w:vAlign w:val="bottom"/>
          </w:tcPr>
          <w:p>
            <w:pPr>
              <w:ind w:left="580"/>
              <w:spacing w:after="0"/>
              <w:rPr>
                <w:sz w:val="20"/>
                <w:szCs w:val="20"/>
                <w:color w:val="auto"/>
              </w:rPr>
            </w:pPr>
            <w:r>
              <w:rPr>
                <w:rFonts w:ascii="Arial" w:cs="Arial" w:eastAsia="Arial" w:hAnsi="Arial"/>
                <w:sz w:val="19"/>
                <w:szCs w:val="19"/>
                <w:color w:val="auto"/>
              </w:rPr>
              <w:t>11.6</w:t>
            </w:r>
          </w:p>
        </w:tc>
        <w:tc>
          <w:tcPr>
            <w:tcW w:w="3780" w:type="dxa"/>
            <w:vAlign w:val="bottom"/>
          </w:tcPr>
          <w:p>
            <w:pPr>
              <w:ind w:left="60"/>
              <w:spacing w:after="0"/>
              <w:rPr>
                <w:sz w:val="20"/>
                <w:szCs w:val="20"/>
                <w:color w:val="auto"/>
              </w:rPr>
            </w:pPr>
            <w:r>
              <w:rPr>
                <w:rFonts w:ascii="Arial" w:cs="Arial" w:eastAsia="Arial" w:hAnsi="Arial"/>
                <w:sz w:val="19"/>
                <w:szCs w:val="19"/>
                <w:color w:val="auto"/>
                <w:w w:val="91"/>
              </w:rPr>
              <w:t>Payment on Behalf of Persons Under Incapacity</w:t>
            </w:r>
          </w:p>
        </w:tc>
      </w:tr>
      <w:tr>
        <w:trPr>
          <w:trHeight w:val="312"/>
        </w:trPr>
        <w:tc>
          <w:tcPr>
            <w:tcW w:w="1080" w:type="dxa"/>
            <w:vAlign w:val="bottom"/>
          </w:tcPr>
          <w:p>
            <w:pPr>
              <w:ind w:left="580"/>
              <w:spacing w:after="0"/>
              <w:rPr>
                <w:sz w:val="20"/>
                <w:szCs w:val="20"/>
                <w:color w:val="auto"/>
              </w:rPr>
            </w:pPr>
            <w:r>
              <w:rPr>
                <w:rFonts w:ascii="Arial" w:cs="Arial" w:eastAsia="Arial" w:hAnsi="Arial"/>
                <w:sz w:val="19"/>
                <w:szCs w:val="19"/>
                <w:color w:val="auto"/>
              </w:rPr>
              <w:t>11.7</w:t>
            </w:r>
          </w:p>
        </w:tc>
        <w:tc>
          <w:tcPr>
            <w:tcW w:w="3780" w:type="dxa"/>
            <w:vAlign w:val="bottom"/>
          </w:tcPr>
          <w:p>
            <w:pPr>
              <w:ind w:left="60"/>
              <w:spacing w:after="0"/>
              <w:rPr>
                <w:sz w:val="20"/>
                <w:szCs w:val="20"/>
                <w:color w:val="auto"/>
              </w:rPr>
            </w:pPr>
            <w:r>
              <w:rPr>
                <w:rFonts w:ascii="Arial" w:cs="Arial" w:eastAsia="Arial" w:hAnsi="Arial"/>
                <w:sz w:val="19"/>
                <w:szCs w:val="19"/>
                <w:color w:val="auto"/>
              </w:rPr>
              <w:t>Notice</w:t>
            </w:r>
          </w:p>
        </w:tc>
      </w:tr>
      <w:tr>
        <w:trPr>
          <w:trHeight w:val="300"/>
        </w:trPr>
        <w:tc>
          <w:tcPr>
            <w:tcW w:w="1080" w:type="dxa"/>
            <w:vAlign w:val="bottom"/>
          </w:tcPr>
          <w:p>
            <w:pPr>
              <w:ind w:left="580"/>
              <w:spacing w:after="0"/>
              <w:rPr>
                <w:sz w:val="20"/>
                <w:szCs w:val="20"/>
                <w:color w:val="auto"/>
              </w:rPr>
            </w:pPr>
            <w:r>
              <w:rPr>
                <w:rFonts w:ascii="Arial" w:cs="Arial" w:eastAsia="Arial" w:hAnsi="Arial"/>
                <w:sz w:val="19"/>
                <w:szCs w:val="19"/>
                <w:color w:val="auto"/>
              </w:rPr>
              <w:t>11.8</w:t>
            </w:r>
          </w:p>
        </w:tc>
        <w:tc>
          <w:tcPr>
            <w:tcW w:w="3780" w:type="dxa"/>
            <w:vAlign w:val="bottom"/>
          </w:tcPr>
          <w:p>
            <w:pPr>
              <w:ind w:left="60"/>
              <w:spacing w:after="0"/>
              <w:rPr>
                <w:sz w:val="20"/>
                <w:szCs w:val="20"/>
                <w:color w:val="auto"/>
              </w:rPr>
            </w:pPr>
            <w:r>
              <w:rPr>
                <w:rFonts w:ascii="Arial" w:cs="Arial" w:eastAsia="Arial" w:hAnsi="Arial"/>
                <w:sz w:val="19"/>
                <w:szCs w:val="19"/>
                <w:color w:val="auto"/>
              </w:rPr>
              <w:t>Errors and Misstatements</w:t>
            </w:r>
          </w:p>
        </w:tc>
      </w:tr>
      <w:tr>
        <w:trPr>
          <w:trHeight w:val="300"/>
        </w:trPr>
        <w:tc>
          <w:tcPr>
            <w:tcW w:w="1080" w:type="dxa"/>
            <w:vAlign w:val="bottom"/>
          </w:tcPr>
          <w:p>
            <w:pPr>
              <w:ind w:left="580"/>
              <w:spacing w:after="0"/>
              <w:rPr>
                <w:sz w:val="20"/>
                <w:szCs w:val="20"/>
                <w:color w:val="auto"/>
              </w:rPr>
            </w:pPr>
            <w:r>
              <w:rPr>
                <w:rFonts w:ascii="Arial" w:cs="Arial" w:eastAsia="Arial" w:hAnsi="Arial"/>
                <w:sz w:val="19"/>
                <w:szCs w:val="19"/>
                <w:color w:val="auto"/>
              </w:rPr>
              <w:t>11.9</w:t>
            </w:r>
          </w:p>
        </w:tc>
        <w:tc>
          <w:tcPr>
            <w:tcW w:w="3780" w:type="dxa"/>
            <w:vAlign w:val="bottom"/>
          </w:tcPr>
          <w:p>
            <w:pPr>
              <w:ind w:left="60"/>
              <w:spacing w:after="0"/>
              <w:rPr>
                <w:sz w:val="20"/>
                <w:szCs w:val="20"/>
                <w:color w:val="auto"/>
              </w:rPr>
            </w:pPr>
            <w:r>
              <w:rPr>
                <w:rFonts w:ascii="Arial" w:cs="Arial" w:eastAsia="Arial" w:hAnsi="Arial"/>
                <w:sz w:val="19"/>
                <w:szCs w:val="19"/>
                <w:color w:val="auto"/>
              </w:rPr>
              <w:t>Pronouns and Plurality</w:t>
            </w:r>
          </w:p>
        </w:tc>
      </w:tr>
      <w:tr>
        <w:trPr>
          <w:trHeight w:val="312"/>
        </w:trPr>
        <w:tc>
          <w:tcPr>
            <w:tcW w:w="1080" w:type="dxa"/>
            <w:vAlign w:val="bottom"/>
          </w:tcPr>
          <w:p>
            <w:pPr>
              <w:ind w:left="580"/>
              <w:spacing w:after="0"/>
              <w:rPr>
                <w:sz w:val="20"/>
                <w:szCs w:val="20"/>
                <w:color w:val="auto"/>
              </w:rPr>
            </w:pPr>
            <w:r>
              <w:rPr>
                <w:rFonts w:ascii="Arial" w:cs="Arial" w:eastAsia="Arial" w:hAnsi="Arial"/>
                <w:sz w:val="19"/>
                <w:szCs w:val="19"/>
                <w:color w:val="auto"/>
              </w:rPr>
              <w:t>11.10</w:t>
            </w:r>
          </w:p>
        </w:tc>
        <w:tc>
          <w:tcPr>
            <w:tcW w:w="3780" w:type="dxa"/>
            <w:vAlign w:val="bottom"/>
          </w:tcPr>
          <w:p>
            <w:pPr>
              <w:ind w:left="60"/>
              <w:spacing w:after="0"/>
              <w:rPr>
                <w:sz w:val="20"/>
                <w:szCs w:val="20"/>
                <w:color w:val="auto"/>
              </w:rPr>
            </w:pPr>
            <w:r>
              <w:rPr>
                <w:rFonts w:ascii="Arial" w:cs="Arial" w:eastAsia="Arial" w:hAnsi="Arial"/>
                <w:sz w:val="19"/>
                <w:szCs w:val="19"/>
                <w:color w:val="auto"/>
              </w:rPr>
              <w:t>Severability</w:t>
            </w:r>
          </w:p>
        </w:tc>
      </w:tr>
      <w:tr>
        <w:trPr>
          <w:trHeight w:val="300"/>
        </w:trPr>
        <w:tc>
          <w:tcPr>
            <w:tcW w:w="1080" w:type="dxa"/>
            <w:vAlign w:val="bottom"/>
          </w:tcPr>
          <w:p>
            <w:pPr>
              <w:ind w:left="580"/>
              <w:spacing w:after="0"/>
              <w:rPr>
                <w:sz w:val="20"/>
                <w:szCs w:val="20"/>
                <w:color w:val="auto"/>
              </w:rPr>
            </w:pPr>
            <w:r>
              <w:rPr>
                <w:rFonts w:ascii="Arial" w:cs="Arial" w:eastAsia="Arial" w:hAnsi="Arial"/>
                <w:sz w:val="19"/>
                <w:szCs w:val="19"/>
                <w:color w:val="auto"/>
              </w:rPr>
              <w:t>11.11</w:t>
            </w:r>
          </w:p>
        </w:tc>
        <w:tc>
          <w:tcPr>
            <w:tcW w:w="3780" w:type="dxa"/>
            <w:vAlign w:val="bottom"/>
          </w:tcPr>
          <w:p>
            <w:pPr>
              <w:ind w:left="60"/>
              <w:spacing w:after="0"/>
              <w:rPr>
                <w:sz w:val="20"/>
                <w:szCs w:val="20"/>
                <w:color w:val="auto"/>
              </w:rPr>
            </w:pPr>
            <w:r>
              <w:rPr>
                <w:rFonts w:ascii="Arial" w:cs="Arial" w:eastAsia="Arial" w:hAnsi="Arial"/>
                <w:sz w:val="19"/>
                <w:szCs w:val="19"/>
                <w:color w:val="auto"/>
              </w:rPr>
              <w:t>Headings</w:t>
            </w:r>
          </w:p>
        </w:tc>
      </w:tr>
      <w:tr>
        <w:trPr>
          <w:trHeight w:val="211"/>
        </w:trPr>
        <w:tc>
          <w:tcPr>
            <w:tcW w:w="1080" w:type="dxa"/>
            <w:vAlign w:val="bottom"/>
          </w:tcPr>
          <w:p>
            <w:pPr>
              <w:spacing w:after="0" w:line="212" w:lineRule="exact"/>
              <w:rPr>
                <w:sz w:val="20"/>
                <w:szCs w:val="20"/>
                <w:color w:val="auto"/>
              </w:rPr>
            </w:pPr>
            <w:r>
              <w:rPr>
                <w:rFonts w:ascii="Arial" w:cs="Arial" w:eastAsia="Arial" w:hAnsi="Arial"/>
                <w:sz w:val="19"/>
                <w:szCs w:val="19"/>
                <w:color w:val="auto"/>
              </w:rPr>
              <w:t>Appendix A</w:t>
            </w:r>
          </w:p>
        </w:tc>
        <w:tc>
          <w:tcPr>
            <w:tcW w:w="3780" w:type="dxa"/>
            <w:vAlign w:val="bottom"/>
          </w:tcPr>
          <w:p>
            <w:pPr>
              <w:spacing w:after="0"/>
              <w:rPr>
                <w:sz w:val="18"/>
                <w:szCs w:val="18"/>
                <w:color w:val="auto"/>
              </w:rPr>
            </w:pPr>
          </w:p>
        </w:tc>
      </w:tr>
      <w:tr>
        <w:trPr>
          <w:trHeight w:val="245"/>
        </w:trPr>
        <w:tc>
          <w:tcPr>
            <w:tcW w:w="1080" w:type="dxa"/>
            <w:vAlign w:val="bottom"/>
          </w:tcPr>
          <w:p>
            <w:pPr>
              <w:spacing w:after="0"/>
              <w:rPr>
                <w:sz w:val="20"/>
                <w:szCs w:val="20"/>
                <w:color w:val="auto"/>
              </w:rPr>
            </w:pPr>
            <w:r>
              <w:rPr>
                <w:rFonts w:ascii="Arial" w:cs="Arial" w:eastAsia="Arial" w:hAnsi="Arial"/>
                <w:sz w:val="19"/>
                <w:szCs w:val="19"/>
                <w:color w:val="auto"/>
              </w:rPr>
              <w:t>Appendix B</w:t>
            </w:r>
          </w:p>
        </w:tc>
        <w:tc>
          <w:tcPr>
            <w:tcW w:w="3780" w:type="dxa"/>
            <w:vAlign w:val="bottom"/>
          </w:tcPr>
          <w:p>
            <w:pPr>
              <w:spacing w:after="0"/>
              <w:rPr>
                <w:sz w:val="21"/>
                <w:szCs w:val="21"/>
                <w:color w:val="auto"/>
              </w:rPr>
            </w:pPr>
          </w:p>
        </w:tc>
      </w:tr>
    </w:tbl>
    <w:p>
      <w:pPr>
        <w:sectPr>
          <w:pgSz w:w="11900" w:h="16838" w:orient="portrait"/>
          <w:cols w:equalWidth="0" w:num="1">
            <w:col w:w="10219"/>
          </w:cols>
          <w:pgMar w:left="240" w:top="937" w:right="1440" w:bottom="1440" w:gutter="0" w:footer="0" w:header="0"/>
        </w:sectPr>
      </w:pPr>
    </w:p>
    <w:bookmarkStart w:id="115" w:name="page116"/>
    <w:bookmarkEnd w:id="115"/>
    <w:p>
      <w:pPr>
        <w:ind w:right="140" w:firstLine="577"/>
        <w:spacing w:after="0" w:line="266" w:lineRule="auto"/>
        <w:rPr>
          <w:sz w:val="20"/>
          <w:szCs w:val="20"/>
          <w:color w:val="auto"/>
        </w:rPr>
      </w:pPr>
      <w:r>
        <w:rPr>
          <w:rFonts w:ascii="Arial" w:cs="Arial" w:eastAsia="Arial" w:hAnsi="Arial"/>
          <w:sz w:val="19"/>
          <w:szCs w:val="19"/>
          <w:color w:val="auto"/>
        </w:rPr>
        <w:t>This Supplemental Executive Retirement Plan provides retirement income, disability income and death benefits to key executives and their spouses under specified circumstances.</w:t>
      </w:r>
    </w:p>
    <w:p>
      <w:pPr>
        <w:spacing w:after="0" w:line="140" w:lineRule="exact"/>
        <w:rPr>
          <w:sz w:val="20"/>
          <w:szCs w:val="20"/>
          <w:color w:val="auto"/>
        </w:rPr>
      </w:pPr>
    </w:p>
    <w:p>
      <w:pPr>
        <w:ind w:right="560" w:firstLine="577"/>
        <w:spacing w:after="0" w:line="266" w:lineRule="auto"/>
        <w:rPr>
          <w:sz w:val="20"/>
          <w:szCs w:val="20"/>
          <w:color w:val="auto"/>
        </w:rPr>
      </w:pPr>
      <w:r>
        <w:rPr>
          <w:rFonts w:ascii="Arial" w:cs="Arial" w:eastAsia="Arial" w:hAnsi="Arial"/>
          <w:sz w:val="19"/>
          <w:szCs w:val="19"/>
          <w:color w:val="auto"/>
        </w:rPr>
        <w:t>Except as provided in Appendix B, and except as to key executives who retired before July 1, 1998, this Plan shall amend, restate and supercede the Prior Plan.</w:t>
      </w:r>
    </w:p>
    <w:p>
      <w:pPr>
        <w:spacing w:after="0" w:line="140" w:lineRule="exact"/>
        <w:rPr>
          <w:sz w:val="20"/>
          <w:szCs w:val="20"/>
          <w:color w:val="auto"/>
        </w:rPr>
      </w:pPr>
    </w:p>
    <w:p>
      <w:pPr>
        <w:ind w:left="580"/>
        <w:spacing w:after="0"/>
        <w:rPr>
          <w:sz w:val="20"/>
          <w:szCs w:val="20"/>
          <w:color w:val="auto"/>
        </w:rPr>
      </w:pPr>
      <w:r>
        <w:rPr>
          <w:rFonts w:ascii="Arial" w:cs="Arial" w:eastAsia="Arial" w:hAnsi="Arial"/>
          <w:sz w:val="19"/>
          <w:szCs w:val="19"/>
          <w:color w:val="auto"/>
        </w:rPr>
        <w:t>The Plan was amended and restated effective as of December 5, 2005.</w:t>
      </w:r>
    </w:p>
    <w:p>
      <w:pPr>
        <w:spacing w:after="0" w:line="190" w:lineRule="exact"/>
        <w:rPr>
          <w:sz w:val="20"/>
          <w:szCs w:val="20"/>
          <w:color w:val="auto"/>
        </w:rPr>
      </w:pPr>
    </w:p>
    <w:p>
      <w:pPr>
        <w:ind w:right="100" w:firstLine="577"/>
        <w:spacing w:after="0" w:line="261" w:lineRule="auto"/>
        <w:rPr>
          <w:sz w:val="20"/>
          <w:szCs w:val="20"/>
          <w:color w:val="auto"/>
        </w:rPr>
      </w:pPr>
      <w:r>
        <w:rPr>
          <w:rFonts w:ascii="Arial" w:cs="Arial" w:eastAsia="Arial" w:hAnsi="Arial"/>
          <w:sz w:val="18"/>
          <w:szCs w:val="18"/>
          <w:color w:val="auto"/>
        </w:rPr>
        <w:t>Sempra Energy hereby amends and restates this Plan in its entirety effective as of December 31, 2008, except as otherwise provided herein. This amendment and restatement of the Plan is intended to comply with the requirements of Sections 409A(a)(2), (3) and (4) of the Code (as defined below) and the Treasury Regulations thereunder. The elections and amendments made in accordance with the transitional relief under Internal Revenue Service Notice 2005-1, the Proposed Regulations under Section 409A of the Code and Internal Revenue Service Notices 2006-79 and 2007-86 shall be effective for the relevant periods on or before December 31, 2008.</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SECTION 1</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DEFINITIONS</w:t>
      </w:r>
    </w:p>
    <w:p>
      <w:pPr>
        <w:spacing w:after="0" w:line="178" w:lineRule="exact"/>
        <w:rPr>
          <w:sz w:val="20"/>
          <w:szCs w:val="20"/>
          <w:color w:val="auto"/>
        </w:rPr>
      </w:pPr>
    </w:p>
    <w:p>
      <w:pPr>
        <w:jc w:val="both"/>
        <w:ind w:left="580" w:right="240" w:hanging="576"/>
        <w:spacing w:after="0" w:line="255" w:lineRule="auto"/>
        <w:tabs>
          <w:tab w:leader="none" w:pos="560" w:val="left"/>
        </w:tabs>
        <w:rPr>
          <w:sz w:val="20"/>
          <w:szCs w:val="20"/>
          <w:color w:val="auto"/>
        </w:rPr>
      </w:pPr>
      <w:r>
        <w:rPr>
          <w:rFonts w:ascii="Arial" w:cs="Arial" w:eastAsia="Arial" w:hAnsi="Arial"/>
          <w:sz w:val="19"/>
          <w:szCs w:val="19"/>
          <w:color w:val="auto"/>
        </w:rPr>
        <w:t>1.1</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Actuarial Equivalent</w:t>
      </w:r>
      <w:r>
        <w:rPr>
          <w:rFonts w:ascii="Arial" w:cs="Arial" w:eastAsia="Arial" w:hAnsi="Arial"/>
          <w:sz w:val="19"/>
          <w:szCs w:val="19"/>
          <w:color w:val="auto"/>
        </w:rPr>
        <w:t>” means equivalent value when computed using the applicable mortality table promulgated by the IRS under Code Section 417(e)(3) as in effect on the first day of the Plan Year and the applicable interest rate promulgated by the IRS under Code Section 417(e)(3) for the November preceding the first day of the Plan Year.</w:t>
      </w:r>
    </w:p>
    <w:p>
      <w:pPr>
        <w:spacing w:after="0" w:line="144" w:lineRule="exact"/>
        <w:rPr>
          <w:sz w:val="20"/>
          <w:szCs w:val="20"/>
          <w:color w:val="auto"/>
        </w:rPr>
      </w:pPr>
    </w:p>
    <w:p>
      <w:pPr>
        <w:ind w:left="580" w:hanging="576"/>
        <w:spacing w:after="0" w:line="273" w:lineRule="auto"/>
        <w:tabs>
          <w:tab w:leader="none" w:pos="560" w:val="left"/>
        </w:tabs>
        <w:rPr>
          <w:sz w:val="20"/>
          <w:szCs w:val="20"/>
          <w:color w:val="auto"/>
        </w:rPr>
      </w:pPr>
      <w:r>
        <w:rPr>
          <w:rFonts w:ascii="Arial" w:cs="Arial" w:eastAsia="Arial" w:hAnsi="Arial"/>
          <w:sz w:val="19"/>
          <w:szCs w:val="19"/>
          <w:color w:val="auto"/>
        </w:rPr>
        <w:t>1.2</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Average Bonus</w:t>
      </w:r>
      <w:r>
        <w:rPr>
          <w:rFonts w:ascii="Arial" w:cs="Arial" w:eastAsia="Arial" w:hAnsi="Arial"/>
          <w:sz w:val="19"/>
          <w:szCs w:val="19"/>
          <w:color w:val="auto"/>
        </w:rPr>
        <w:t>” means the average of the three highest annual incentive awards earned by a Participant under the Executive Incentive Plan during the Participant's last ten years of Service, determined an follows:</w:t>
      </w:r>
    </w:p>
    <w:p>
      <w:pPr>
        <w:spacing w:after="0" w:line="122" w:lineRule="exact"/>
        <w:rPr>
          <w:sz w:val="20"/>
          <w:szCs w:val="20"/>
          <w:color w:val="auto"/>
        </w:rPr>
      </w:pPr>
    </w:p>
    <w:p>
      <w:pPr>
        <w:ind w:left="1140" w:hanging="567"/>
        <w:spacing w:after="0"/>
        <w:tabs>
          <w:tab w:leader="none" w:pos="1140" w:val="left"/>
        </w:tabs>
        <w:numPr>
          <w:ilvl w:val="0"/>
          <w:numId w:val="170"/>
        </w:numPr>
        <w:rPr>
          <w:rFonts w:ascii="Arial" w:cs="Arial" w:eastAsia="Arial" w:hAnsi="Arial"/>
          <w:sz w:val="19"/>
          <w:szCs w:val="19"/>
          <w:color w:val="auto"/>
        </w:rPr>
      </w:pPr>
      <w:r>
        <w:rPr>
          <w:rFonts w:ascii="Arial" w:cs="Arial" w:eastAsia="Arial" w:hAnsi="Arial"/>
          <w:sz w:val="19"/>
          <w:szCs w:val="19"/>
          <w:color w:val="auto"/>
        </w:rPr>
        <w:t>Annual incentive awards shall be counted whether or not deferred under the Deferred Compensation Plan.</w:t>
      </w:r>
    </w:p>
    <w:p>
      <w:pPr>
        <w:spacing w:after="0" w:line="177" w:lineRule="exact"/>
        <w:rPr>
          <w:rFonts w:ascii="Arial" w:cs="Arial" w:eastAsia="Arial" w:hAnsi="Arial"/>
          <w:sz w:val="19"/>
          <w:szCs w:val="19"/>
          <w:color w:val="auto"/>
        </w:rPr>
      </w:pPr>
    </w:p>
    <w:p>
      <w:pPr>
        <w:ind w:left="1140" w:right="120" w:hanging="567"/>
        <w:spacing w:after="0" w:line="247" w:lineRule="auto"/>
        <w:tabs>
          <w:tab w:leader="none" w:pos="1140" w:val="left"/>
        </w:tabs>
        <w:numPr>
          <w:ilvl w:val="0"/>
          <w:numId w:val="170"/>
        </w:numPr>
        <w:rPr>
          <w:rFonts w:ascii="Arial" w:cs="Arial" w:eastAsia="Arial" w:hAnsi="Arial"/>
          <w:sz w:val="19"/>
          <w:szCs w:val="19"/>
          <w:color w:val="auto"/>
        </w:rPr>
      </w:pPr>
      <w:r>
        <w:rPr>
          <w:rFonts w:ascii="Arial" w:cs="Arial" w:eastAsia="Arial" w:hAnsi="Arial"/>
          <w:sz w:val="19"/>
          <w:szCs w:val="19"/>
          <w:color w:val="auto"/>
        </w:rPr>
        <w:t>If a Participant was designated as a participant in the Executive Incentive Plan for a year, but earned no annual incentive award during that year, the award will be counted as zero, and if the Participant did not earn three annual incentive awards during the other years during the last ten years of Service, the zero amount will be used to attain the average of the three highest annual incentive awards.</w:t>
      </w:r>
    </w:p>
    <w:p>
      <w:pPr>
        <w:spacing w:after="0" w:line="157" w:lineRule="exact"/>
        <w:rPr>
          <w:rFonts w:ascii="Arial" w:cs="Arial" w:eastAsia="Arial" w:hAnsi="Arial"/>
          <w:sz w:val="19"/>
          <w:szCs w:val="19"/>
          <w:color w:val="auto"/>
        </w:rPr>
      </w:pPr>
    </w:p>
    <w:p>
      <w:pPr>
        <w:jc w:val="both"/>
        <w:ind w:left="1140" w:right="560" w:hanging="567"/>
        <w:spacing w:after="0" w:line="252" w:lineRule="auto"/>
        <w:tabs>
          <w:tab w:leader="none" w:pos="1140" w:val="left"/>
        </w:tabs>
        <w:numPr>
          <w:ilvl w:val="0"/>
          <w:numId w:val="170"/>
        </w:numPr>
        <w:rPr>
          <w:rFonts w:ascii="Arial" w:cs="Arial" w:eastAsia="Arial" w:hAnsi="Arial"/>
          <w:sz w:val="19"/>
          <w:szCs w:val="19"/>
          <w:color w:val="auto"/>
        </w:rPr>
      </w:pPr>
      <w:r>
        <w:rPr>
          <w:rFonts w:ascii="Arial" w:cs="Arial" w:eastAsia="Arial" w:hAnsi="Arial"/>
          <w:sz w:val="19"/>
          <w:szCs w:val="19"/>
          <w:color w:val="auto"/>
        </w:rPr>
        <w:t>If the Participant was not designated as a participant in the Executive Incentive Plan for three full years of the last ten years of Service, the average shall be based on the number of full years the Participant was designated as a participant in the Executive Incentive Plan during the last ten years of Service.</w:t>
      </w:r>
    </w:p>
    <w:p>
      <w:pPr>
        <w:spacing w:after="0" w:line="140" w:lineRule="exact"/>
        <w:rPr>
          <w:rFonts w:ascii="Arial" w:cs="Arial" w:eastAsia="Arial" w:hAnsi="Arial"/>
          <w:sz w:val="19"/>
          <w:szCs w:val="19"/>
          <w:color w:val="auto"/>
        </w:rPr>
      </w:pPr>
    </w:p>
    <w:p>
      <w:pPr>
        <w:jc w:val="both"/>
        <w:ind w:left="1140" w:right="420" w:hanging="567"/>
        <w:spacing w:after="0" w:line="252" w:lineRule="auto"/>
        <w:tabs>
          <w:tab w:leader="none" w:pos="1140" w:val="left"/>
        </w:tabs>
        <w:numPr>
          <w:ilvl w:val="0"/>
          <w:numId w:val="170"/>
        </w:numPr>
        <w:rPr>
          <w:rFonts w:ascii="Arial" w:cs="Arial" w:eastAsia="Arial" w:hAnsi="Arial"/>
          <w:sz w:val="19"/>
          <w:szCs w:val="19"/>
          <w:color w:val="auto"/>
        </w:rPr>
      </w:pPr>
      <w:r>
        <w:rPr>
          <w:rFonts w:ascii="Arial" w:cs="Arial" w:eastAsia="Arial" w:hAnsi="Arial"/>
          <w:sz w:val="19"/>
          <w:szCs w:val="19"/>
          <w:color w:val="auto"/>
        </w:rPr>
        <w:t>As to a Participant in the Executive Incentive Plan who did not earn annual incentive awards during the last ten years of Service solely due to a disability which qualified him for a Basic Disability Plan Benefit, a Supplemental Disability Benefit or both, the applicable ten year period will be extended backwards for each year of such occurrence.</w:t>
      </w:r>
    </w:p>
    <w:p>
      <w:pPr>
        <w:spacing w:after="0" w:line="140" w:lineRule="exact"/>
        <w:rPr>
          <w:rFonts w:ascii="Arial" w:cs="Arial" w:eastAsia="Arial" w:hAnsi="Arial"/>
          <w:sz w:val="19"/>
          <w:szCs w:val="19"/>
          <w:color w:val="auto"/>
        </w:rPr>
      </w:pPr>
    </w:p>
    <w:p>
      <w:pPr>
        <w:ind w:left="1140" w:hanging="567"/>
        <w:spacing w:after="0"/>
        <w:tabs>
          <w:tab w:leader="none" w:pos="1140" w:val="left"/>
        </w:tabs>
        <w:numPr>
          <w:ilvl w:val="0"/>
          <w:numId w:val="170"/>
        </w:numPr>
        <w:rPr>
          <w:rFonts w:ascii="Arial" w:cs="Arial" w:eastAsia="Arial" w:hAnsi="Arial"/>
          <w:sz w:val="19"/>
          <w:szCs w:val="19"/>
          <w:color w:val="auto"/>
        </w:rPr>
      </w:pPr>
      <w:r>
        <w:rPr>
          <w:rFonts w:ascii="Arial" w:cs="Arial" w:eastAsia="Arial" w:hAnsi="Arial"/>
          <w:sz w:val="19"/>
          <w:szCs w:val="19"/>
          <w:color w:val="auto"/>
        </w:rPr>
        <w:t>Prorated annual incentive awards earned under the Executive Incentive Plan will not be used in determining the average.</w:t>
      </w:r>
    </w:p>
    <w:p>
      <w:pPr>
        <w:spacing w:after="0" w:line="184" w:lineRule="exact"/>
        <w:rPr>
          <w:sz w:val="20"/>
          <w:szCs w:val="20"/>
          <w:color w:val="auto"/>
        </w:rPr>
      </w:pPr>
    </w:p>
    <w:p>
      <w:pPr>
        <w:ind w:left="580" w:right="640" w:hanging="576"/>
        <w:spacing w:after="0" w:line="273" w:lineRule="auto"/>
        <w:tabs>
          <w:tab w:leader="none" w:pos="560" w:val="left"/>
        </w:tabs>
        <w:rPr>
          <w:sz w:val="20"/>
          <w:szCs w:val="20"/>
          <w:color w:val="auto"/>
        </w:rPr>
      </w:pPr>
      <w:r>
        <w:rPr>
          <w:rFonts w:ascii="Arial" w:cs="Arial" w:eastAsia="Arial" w:hAnsi="Arial"/>
          <w:sz w:val="19"/>
          <w:szCs w:val="19"/>
          <w:color w:val="auto"/>
        </w:rPr>
        <w:t>1.3</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Average Earnings</w:t>
      </w:r>
      <w:r>
        <w:rPr>
          <w:rFonts w:ascii="Arial" w:cs="Arial" w:eastAsia="Arial" w:hAnsi="Arial"/>
          <w:sz w:val="19"/>
          <w:szCs w:val="19"/>
          <w:color w:val="auto"/>
        </w:rPr>
        <w:t>” means the average Earnings of the highest two years of Service in the last ten years while a Participant was not receiving a Basic Disability Plan Benefit, a Supplemental Disability Benefit or both.</w:t>
      </w:r>
    </w:p>
    <w:p>
      <w:pPr>
        <w:spacing w:after="0" w:line="116" w:lineRule="exact"/>
        <w:rPr>
          <w:sz w:val="20"/>
          <w:szCs w:val="20"/>
          <w:color w:val="auto"/>
        </w:rPr>
      </w:pPr>
    </w:p>
    <w:p>
      <w:pPr>
        <w:ind w:left="580" w:right="240" w:hanging="576"/>
        <w:spacing w:after="0" w:line="273" w:lineRule="auto"/>
        <w:tabs>
          <w:tab w:leader="none" w:pos="560" w:val="left"/>
        </w:tabs>
        <w:rPr>
          <w:sz w:val="20"/>
          <w:szCs w:val="20"/>
          <w:color w:val="auto"/>
        </w:rPr>
      </w:pPr>
      <w:r>
        <w:rPr>
          <w:rFonts w:ascii="Arial" w:cs="Arial" w:eastAsia="Arial" w:hAnsi="Arial"/>
          <w:sz w:val="19"/>
          <w:szCs w:val="19"/>
          <w:color w:val="auto"/>
        </w:rPr>
        <w:t>1.4</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Basic Disability Plan</w:t>
      </w:r>
      <w:r>
        <w:rPr>
          <w:rFonts w:ascii="Arial" w:cs="Arial" w:eastAsia="Arial" w:hAnsi="Arial"/>
          <w:sz w:val="19"/>
          <w:szCs w:val="19"/>
          <w:color w:val="auto"/>
        </w:rPr>
        <w:t>” means a disability plan maintained by Sempra Energy or a subsidiary which provides coverage for most full time employees of the plan sponsor.</w:t>
      </w:r>
    </w:p>
    <w:p>
      <w:pPr>
        <w:spacing w:after="0" w:line="116" w:lineRule="exact"/>
        <w:rPr>
          <w:sz w:val="20"/>
          <w:szCs w:val="20"/>
          <w:color w:val="auto"/>
        </w:rPr>
      </w:pPr>
    </w:p>
    <w:p>
      <w:pPr>
        <w:spacing w:after="0"/>
        <w:tabs>
          <w:tab w:leader="none" w:pos="560" w:val="left"/>
        </w:tabs>
        <w:rPr>
          <w:sz w:val="20"/>
          <w:szCs w:val="20"/>
          <w:color w:val="auto"/>
        </w:rPr>
      </w:pPr>
      <w:r>
        <w:rPr>
          <w:rFonts w:ascii="Arial" w:cs="Arial" w:eastAsia="Arial" w:hAnsi="Arial"/>
          <w:sz w:val="19"/>
          <w:szCs w:val="19"/>
          <w:color w:val="auto"/>
        </w:rPr>
        <w:t>1.5</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color w:val="auto"/>
        </w:rPr>
        <w:t>Basic Disability Plan Benefit</w:t>
      </w:r>
      <w:r>
        <w:rPr>
          <w:rFonts w:ascii="Arial" w:cs="Arial" w:eastAsia="Arial" w:hAnsi="Arial"/>
          <w:sz w:val="17"/>
          <w:szCs w:val="17"/>
          <w:color w:val="auto"/>
        </w:rPr>
        <w:t>” means the annual amount of benefit payable from the Basic Disability Plan to a Participant.</w:t>
      </w:r>
    </w:p>
    <w:p>
      <w:pPr>
        <w:spacing w:after="0" w:line="190" w:lineRule="exact"/>
        <w:rPr>
          <w:sz w:val="20"/>
          <w:szCs w:val="20"/>
          <w:color w:val="auto"/>
        </w:rPr>
      </w:pPr>
    </w:p>
    <w:p>
      <w:pPr>
        <w:ind w:left="580" w:right="160" w:hanging="576"/>
        <w:spacing w:after="0" w:line="273" w:lineRule="auto"/>
        <w:tabs>
          <w:tab w:leader="none" w:pos="560" w:val="left"/>
        </w:tabs>
        <w:rPr>
          <w:sz w:val="20"/>
          <w:szCs w:val="20"/>
          <w:color w:val="auto"/>
        </w:rPr>
      </w:pPr>
      <w:r>
        <w:rPr>
          <w:rFonts w:ascii="Arial" w:cs="Arial" w:eastAsia="Arial" w:hAnsi="Arial"/>
          <w:sz w:val="19"/>
          <w:szCs w:val="19"/>
          <w:color w:val="auto"/>
        </w:rPr>
        <w:t>1.6</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Basic Pension Plan”</w:t>
      </w:r>
      <w:r>
        <w:rPr>
          <w:rFonts w:ascii="Arial" w:cs="Arial" w:eastAsia="Arial" w:hAnsi="Arial"/>
          <w:sz w:val="19"/>
          <w:szCs w:val="19"/>
          <w:color w:val="auto"/>
        </w:rPr>
        <w:t xml:space="preserve"> means the Sempra Energy Cash Balance Plan, and where applicable by the context, the pension plan of a subsidiary of Sempra Energy.</w:t>
      </w:r>
    </w:p>
    <w:p>
      <w:pPr>
        <w:spacing w:after="0" w:line="116" w:lineRule="exact"/>
        <w:rPr>
          <w:sz w:val="20"/>
          <w:szCs w:val="20"/>
          <w:color w:val="auto"/>
        </w:rPr>
      </w:pPr>
    </w:p>
    <w:p>
      <w:pPr>
        <w:ind w:left="580" w:right="180" w:hanging="576"/>
        <w:spacing w:after="0" w:line="333" w:lineRule="auto"/>
        <w:tabs>
          <w:tab w:leader="none" w:pos="560" w:val="left"/>
        </w:tabs>
        <w:rPr>
          <w:sz w:val="20"/>
          <w:szCs w:val="20"/>
          <w:color w:val="auto"/>
        </w:rPr>
      </w:pPr>
      <w:r>
        <w:rPr>
          <w:rFonts w:ascii="Arial" w:cs="Arial" w:eastAsia="Arial" w:hAnsi="Arial"/>
          <w:sz w:val="19"/>
          <w:szCs w:val="19"/>
          <w:color w:val="auto"/>
        </w:rPr>
        <w:t>1.7</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color w:val="auto"/>
        </w:rPr>
        <w:t>Basic Pension Plan Benefit”</w:t>
      </w:r>
      <w:r>
        <w:rPr>
          <w:rFonts w:ascii="Arial" w:cs="Arial" w:eastAsia="Arial" w:hAnsi="Arial"/>
          <w:sz w:val="17"/>
          <w:szCs w:val="17"/>
          <w:color w:val="auto"/>
        </w:rPr>
        <w:t xml:space="preserve"> means the annual amount of benefit payable from the Basic Pension Plan to a Participant on his Retirement Date in the form of a straight life annuity without a cost-of-living feature unless one is provided under the Basic Pension Plan.</w:t>
      </w:r>
    </w:p>
    <w:p>
      <w:pPr>
        <w:spacing w:after="0" w:line="70" w:lineRule="exact"/>
        <w:rPr>
          <w:sz w:val="20"/>
          <w:szCs w:val="20"/>
          <w:color w:val="auto"/>
        </w:rPr>
      </w:pPr>
    </w:p>
    <w:p>
      <w:pPr>
        <w:ind w:left="580" w:hanging="576"/>
        <w:spacing w:after="0" w:line="273" w:lineRule="auto"/>
        <w:tabs>
          <w:tab w:leader="none" w:pos="560" w:val="left"/>
        </w:tabs>
        <w:rPr>
          <w:sz w:val="20"/>
          <w:szCs w:val="20"/>
          <w:color w:val="auto"/>
        </w:rPr>
      </w:pPr>
      <w:r>
        <w:rPr>
          <w:rFonts w:ascii="Arial" w:cs="Arial" w:eastAsia="Arial" w:hAnsi="Arial"/>
          <w:sz w:val="19"/>
          <w:szCs w:val="19"/>
          <w:color w:val="auto"/>
        </w:rPr>
        <w:t>1.8</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Cash Balance Restoration Plan</w:t>
      </w:r>
      <w:r>
        <w:rPr>
          <w:rFonts w:ascii="Arial" w:cs="Arial" w:eastAsia="Arial" w:hAnsi="Arial"/>
          <w:sz w:val="19"/>
          <w:szCs w:val="19"/>
          <w:color w:val="auto"/>
        </w:rPr>
        <w:t>” means the Sempra Energy Cash Balance Restoration Plan, or any other supplemental pension plan of any Employer providing essentially the same benefits for one or more Participants.</w:t>
      </w:r>
    </w:p>
    <w:p>
      <w:pPr>
        <w:spacing w:after="0" w:line="128" w:lineRule="exact"/>
        <w:rPr>
          <w:sz w:val="20"/>
          <w:szCs w:val="20"/>
          <w:color w:val="auto"/>
        </w:rPr>
      </w:pPr>
    </w:p>
    <w:p>
      <w:pPr>
        <w:ind w:left="580" w:hanging="576"/>
        <w:spacing w:after="0" w:line="244" w:lineRule="auto"/>
        <w:tabs>
          <w:tab w:leader="none" w:pos="560" w:val="left"/>
        </w:tabs>
        <w:rPr>
          <w:sz w:val="20"/>
          <w:szCs w:val="20"/>
          <w:color w:val="auto"/>
        </w:rPr>
      </w:pPr>
      <w:r>
        <w:rPr>
          <w:rFonts w:ascii="Arial" w:cs="Arial" w:eastAsia="Arial" w:hAnsi="Arial"/>
          <w:sz w:val="19"/>
          <w:szCs w:val="19"/>
          <w:color w:val="auto"/>
        </w:rPr>
        <w:t>1.9</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Cash Balance Restoration Plan Benefit</w:t>
      </w:r>
      <w:r>
        <w:rPr>
          <w:rFonts w:ascii="Arial" w:cs="Arial" w:eastAsia="Arial" w:hAnsi="Arial"/>
          <w:sz w:val="19"/>
          <w:szCs w:val="19"/>
          <w:color w:val="auto"/>
        </w:rPr>
        <w:t>” means the annual amount of benefit payable from the Cash Balance Restoration Plan to a Participant on his Retirement Date or the date of his Separation from Service, as applicable, in the form of a straight life annuity without a cost-of-living adjustment feature unless one is provided under the Cash Balance Restoration Plan, or the annual amount of benefit that would have been payable from the Cash Balance Restoration Plan to a Participant on his Retirement Date or the date of his Separation from Service, as applicable, at such time and in such form, if the Cash Balance Restoration Plan provided for such time and form of payment to the Participant.</w:t>
      </w:r>
    </w:p>
    <w:p>
      <w:pPr>
        <w:spacing w:after="0" w:line="145" w:lineRule="exact"/>
        <w:rPr>
          <w:sz w:val="20"/>
          <w:szCs w:val="20"/>
          <w:color w:val="auto"/>
        </w:rPr>
      </w:pPr>
    </w:p>
    <w:p>
      <w:pPr>
        <w:spacing w:after="0"/>
        <w:tabs>
          <w:tab w:leader="none" w:pos="560" w:val="left"/>
        </w:tabs>
        <w:rPr>
          <w:sz w:val="20"/>
          <w:szCs w:val="20"/>
          <w:color w:val="auto"/>
        </w:rPr>
      </w:pPr>
      <w:r>
        <w:rPr>
          <w:rFonts w:ascii="Arial" w:cs="Arial" w:eastAsia="Arial" w:hAnsi="Arial"/>
          <w:sz w:val="19"/>
          <w:szCs w:val="19"/>
          <w:color w:val="auto"/>
        </w:rPr>
        <w:t>1.10</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color w:val="auto"/>
        </w:rPr>
        <w:t>Committee</w:t>
      </w:r>
      <w:r>
        <w:rPr>
          <w:rFonts w:ascii="Arial" w:cs="Arial" w:eastAsia="Arial" w:hAnsi="Arial"/>
          <w:sz w:val="17"/>
          <w:szCs w:val="17"/>
          <w:color w:val="auto"/>
        </w:rPr>
        <w:t>” means the Compensation Committee of the Company's Board of Directors.</w:t>
      </w:r>
    </w:p>
    <w:p>
      <w:pPr>
        <w:spacing w:after="0" w:line="190" w:lineRule="exact"/>
        <w:rPr>
          <w:sz w:val="20"/>
          <w:szCs w:val="20"/>
          <w:color w:val="auto"/>
        </w:rPr>
      </w:pPr>
    </w:p>
    <w:p>
      <w:pPr>
        <w:spacing w:after="0"/>
        <w:tabs>
          <w:tab w:leader="none" w:pos="560" w:val="left"/>
        </w:tabs>
        <w:rPr>
          <w:sz w:val="20"/>
          <w:szCs w:val="20"/>
          <w:color w:val="auto"/>
        </w:rPr>
      </w:pPr>
      <w:r>
        <w:rPr>
          <w:rFonts w:ascii="Arial" w:cs="Arial" w:eastAsia="Arial" w:hAnsi="Arial"/>
          <w:sz w:val="19"/>
          <w:szCs w:val="19"/>
          <w:color w:val="auto"/>
        </w:rPr>
        <w:t>1.11</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color w:val="auto"/>
        </w:rPr>
        <w:t>Company</w:t>
      </w:r>
      <w:r>
        <w:rPr>
          <w:rFonts w:ascii="Arial" w:cs="Arial" w:eastAsia="Arial" w:hAnsi="Arial"/>
          <w:sz w:val="17"/>
          <w:szCs w:val="17"/>
          <w:color w:val="auto"/>
        </w:rPr>
        <w:t>” means Sempra Energy.</w:t>
      </w:r>
    </w:p>
    <w:p>
      <w:pPr>
        <w:spacing w:after="0" w:line="178" w:lineRule="exact"/>
        <w:rPr>
          <w:sz w:val="20"/>
          <w:szCs w:val="20"/>
          <w:color w:val="auto"/>
        </w:rPr>
      </w:pPr>
    </w:p>
    <w:p>
      <w:pPr>
        <w:ind w:left="580" w:right="240" w:hanging="576"/>
        <w:spacing w:after="0" w:line="255" w:lineRule="auto"/>
        <w:tabs>
          <w:tab w:leader="none" w:pos="560" w:val="left"/>
        </w:tabs>
        <w:rPr>
          <w:sz w:val="20"/>
          <w:szCs w:val="20"/>
          <w:color w:val="auto"/>
        </w:rPr>
      </w:pPr>
      <w:r>
        <w:rPr>
          <w:rFonts w:ascii="Arial" w:cs="Arial" w:eastAsia="Arial" w:hAnsi="Arial"/>
          <w:sz w:val="19"/>
          <w:szCs w:val="19"/>
          <w:color w:val="auto"/>
        </w:rPr>
        <w:t>1.12</w:t>
        <w:tab/>
        <w:t>“</w:t>
      </w:r>
      <w:r>
        <w:rPr>
          <w:rFonts w:ascii="Arial" w:cs="Arial" w:eastAsia="Arial" w:hAnsi="Arial"/>
          <w:sz w:val="19"/>
          <w:szCs w:val="19"/>
          <w:b w:val="1"/>
          <w:bCs w:val="1"/>
          <w:color w:val="auto"/>
        </w:rPr>
        <w:t>Deferred Compensation Plan</w:t>
      </w:r>
      <w:r>
        <w:rPr>
          <w:rFonts w:ascii="Arial" w:cs="Arial" w:eastAsia="Arial" w:hAnsi="Arial"/>
          <w:sz w:val="19"/>
          <w:szCs w:val="19"/>
          <w:color w:val="auto"/>
        </w:rPr>
        <w:t>” means the Sempra Energy 2005 Deferred Compensation Plan (with respect to deferrals of compensation earned on or after January 1, 2005), and the Sempra Energy Deferred Compensation &amp; Excess Savings Plan (with respect to deferrals of compensation earned on or before December 31, 2004).</w:t>
      </w:r>
    </w:p>
    <w:p>
      <w:pPr>
        <w:spacing w:after="0" w:line="132" w:lineRule="exact"/>
        <w:rPr>
          <w:sz w:val="20"/>
          <w:szCs w:val="20"/>
          <w:color w:val="auto"/>
        </w:rPr>
      </w:pPr>
    </w:p>
    <w:p>
      <w:pPr>
        <w:ind w:left="580" w:right="200" w:hanging="576"/>
        <w:spacing w:after="0" w:line="273" w:lineRule="auto"/>
        <w:tabs>
          <w:tab w:leader="none" w:pos="560" w:val="left"/>
        </w:tabs>
        <w:rPr>
          <w:sz w:val="20"/>
          <w:szCs w:val="20"/>
          <w:color w:val="auto"/>
        </w:rPr>
      </w:pPr>
      <w:r>
        <w:rPr>
          <w:rFonts w:ascii="Arial" w:cs="Arial" w:eastAsia="Arial" w:hAnsi="Arial"/>
          <w:sz w:val="19"/>
          <w:szCs w:val="19"/>
          <w:color w:val="auto"/>
        </w:rPr>
        <w:t>1.13</w:t>
        <w:tab/>
        <w:t>“</w:t>
      </w:r>
      <w:r>
        <w:rPr>
          <w:rFonts w:ascii="Arial" w:cs="Arial" w:eastAsia="Arial" w:hAnsi="Arial"/>
          <w:sz w:val="19"/>
          <w:szCs w:val="19"/>
          <w:b w:val="1"/>
          <w:bCs w:val="1"/>
          <w:color w:val="auto"/>
        </w:rPr>
        <w:t>Earnings</w:t>
      </w:r>
      <w:r>
        <w:rPr>
          <w:rFonts w:ascii="Arial" w:cs="Arial" w:eastAsia="Arial" w:hAnsi="Arial"/>
          <w:sz w:val="19"/>
          <w:szCs w:val="19"/>
          <w:color w:val="auto"/>
        </w:rPr>
        <w:t>” means base compensation only including any deferral under the Sempra Energy Savings Plan and the Deferred Compensation Plan.</w:t>
      </w:r>
    </w:p>
    <w:p>
      <w:pPr>
        <w:sectPr>
          <w:pgSz w:w="11900" w:h="16838" w:orient="portrait"/>
          <w:cols w:equalWidth="0" w:num="1">
            <w:col w:w="11420"/>
          </w:cols>
          <w:pgMar w:left="240" w:top="697" w:right="239" w:bottom="0" w:gutter="0" w:footer="0" w:header="0"/>
        </w:sectPr>
      </w:pPr>
    </w:p>
    <w:bookmarkStart w:id="116" w:name="page117"/>
    <w:bookmarkEnd w:id="116"/>
    <w:p>
      <w:pPr>
        <w:spacing w:after="0" w:line="42" w:lineRule="exact"/>
        <w:rPr>
          <w:sz w:val="20"/>
          <w:szCs w:val="20"/>
          <w:color w:val="auto"/>
        </w:rPr>
      </w:pPr>
    </w:p>
    <w:p>
      <w:pPr>
        <w:jc w:val="both"/>
        <w:ind w:left="580" w:right="320" w:hanging="576"/>
        <w:spacing w:after="0" w:line="254" w:lineRule="auto"/>
        <w:tabs>
          <w:tab w:leader="none" w:pos="560" w:val="left"/>
        </w:tabs>
        <w:rPr>
          <w:sz w:val="20"/>
          <w:szCs w:val="20"/>
          <w:color w:val="auto"/>
        </w:rPr>
      </w:pPr>
      <w:r>
        <w:rPr>
          <w:rFonts w:ascii="Arial" w:cs="Arial" w:eastAsia="Arial" w:hAnsi="Arial"/>
          <w:sz w:val="19"/>
          <w:szCs w:val="19"/>
          <w:color w:val="auto"/>
        </w:rPr>
        <w:t>1.14</w:t>
        <w:tab/>
        <w:t>“</w:t>
      </w:r>
      <w:r>
        <w:rPr>
          <w:rFonts w:ascii="Arial" w:cs="Arial" w:eastAsia="Arial" w:hAnsi="Arial"/>
          <w:sz w:val="19"/>
          <w:szCs w:val="19"/>
          <w:b w:val="1"/>
          <w:bCs w:val="1"/>
          <w:color w:val="auto"/>
        </w:rPr>
        <w:t>Employer</w:t>
      </w:r>
      <w:r>
        <w:rPr>
          <w:rFonts w:ascii="Arial" w:cs="Arial" w:eastAsia="Arial" w:hAnsi="Arial"/>
          <w:sz w:val="19"/>
          <w:szCs w:val="19"/>
          <w:color w:val="auto"/>
        </w:rPr>
        <w:t>” means the Company and any of its subsidiaries (any corporation of which 50% or more of the issued and outstanding stock having ordinary voting rights is owned directly or indirectly by the Company or any other business entity or association of which 50% or more of the outstanding equity interest is so owned) which adopt this Plan.</w:t>
      </w:r>
    </w:p>
    <w:p>
      <w:pPr>
        <w:spacing w:after="0" w:line="134" w:lineRule="exact"/>
        <w:rPr>
          <w:sz w:val="20"/>
          <w:szCs w:val="20"/>
          <w:color w:val="auto"/>
        </w:rPr>
      </w:pPr>
    </w:p>
    <w:p>
      <w:pPr>
        <w:ind w:left="580" w:right="300" w:hanging="576"/>
        <w:spacing w:after="0" w:line="302" w:lineRule="auto"/>
        <w:tabs>
          <w:tab w:leader="none" w:pos="560" w:val="left"/>
        </w:tabs>
        <w:rPr>
          <w:sz w:val="20"/>
          <w:szCs w:val="20"/>
          <w:color w:val="auto"/>
        </w:rPr>
      </w:pPr>
      <w:r>
        <w:rPr>
          <w:rFonts w:ascii="Arial" w:cs="Arial" w:eastAsia="Arial" w:hAnsi="Arial"/>
          <w:sz w:val="19"/>
          <w:szCs w:val="19"/>
          <w:color w:val="auto"/>
        </w:rPr>
        <w:t>1.15</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Employment</w:t>
      </w:r>
      <w:r>
        <w:rPr>
          <w:rFonts w:ascii="Arial" w:cs="Arial" w:eastAsia="Arial" w:hAnsi="Arial"/>
          <w:sz w:val="18"/>
          <w:szCs w:val="18"/>
          <w:color w:val="auto"/>
        </w:rPr>
        <w:t>” means employment by the Employer, including the period during which a Participant is receiving a Basic Disability Plan Benefit, and any additional period during which a Participant is receiving a Supplemental Disability Benefit under this Plan.</w:t>
      </w:r>
    </w:p>
    <w:p>
      <w:pPr>
        <w:spacing w:after="0" w:line="104" w:lineRule="exact"/>
        <w:rPr>
          <w:sz w:val="20"/>
          <w:szCs w:val="20"/>
          <w:color w:val="auto"/>
        </w:rPr>
      </w:pPr>
    </w:p>
    <w:p>
      <w:pPr>
        <w:ind w:left="580" w:right="280" w:hanging="576"/>
        <w:spacing w:after="0" w:line="273" w:lineRule="auto"/>
        <w:tabs>
          <w:tab w:leader="none" w:pos="560" w:val="left"/>
        </w:tabs>
        <w:rPr>
          <w:sz w:val="20"/>
          <w:szCs w:val="20"/>
          <w:color w:val="auto"/>
        </w:rPr>
      </w:pPr>
      <w:r>
        <w:rPr>
          <w:rFonts w:ascii="Arial" w:cs="Arial" w:eastAsia="Arial" w:hAnsi="Arial"/>
          <w:sz w:val="19"/>
          <w:szCs w:val="19"/>
          <w:color w:val="auto"/>
        </w:rPr>
        <w:t>1.16</w:t>
        <w:tab/>
        <w:t>“</w:t>
      </w:r>
      <w:r>
        <w:rPr>
          <w:rFonts w:ascii="Arial" w:cs="Arial" w:eastAsia="Arial" w:hAnsi="Arial"/>
          <w:sz w:val="19"/>
          <w:szCs w:val="19"/>
          <w:b w:val="1"/>
          <w:bCs w:val="1"/>
          <w:color w:val="auto"/>
        </w:rPr>
        <w:t>Executive Incentive Plan</w:t>
      </w:r>
      <w:r>
        <w:rPr>
          <w:rFonts w:ascii="Arial" w:cs="Arial" w:eastAsia="Arial" w:hAnsi="Arial"/>
          <w:sz w:val="19"/>
          <w:szCs w:val="19"/>
          <w:color w:val="auto"/>
        </w:rPr>
        <w:t>” means the Sempra Energy Executive Incentive Plan, or such other Plan or Plans as may be designated by the Committee from time to time.</w:t>
      </w:r>
    </w:p>
    <w:p>
      <w:pPr>
        <w:spacing w:after="0" w:line="116" w:lineRule="exact"/>
        <w:rPr>
          <w:sz w:val="20"/>
          <w:szCs w:val="20"/>
          <w:color w:val="auto"/>
        </w:rPr>
      </w:pPr>
    </w:p>
    <w:p>
      <w:pPr>
        <w:spacing w:after="0"/>
        <w:tabs>
          <w:tab w:leader="none" w:pos="560" w:val="left"/>
        </w:tabs>
        <w:rPr>
          <w:sz w:val="20"/>
          <w:szCs w:val="20"/>
          <w:color w:val="auto"/>
        </w:rPr>
      </w:pPr>
      <w:r>
        <w:rPr>
          <w:rFonts w:ascii="Arial" w:cs="Arial" w:eastAsia="Arial" w:hAnsi="Arial"/>
          <w:sz w:val="19"/>
          <w:szCs w:val="19"/>
          <w:color w:val="auto"/>
        </w:rPr>
        <w:t>1.17</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color w:val="auto"/>
        </w:rPr>
        <w:t>Participant</w:t>
      </w:r>
      <w:r>
        <w:rPr>
          <w:rFonts w:ascii="Arial" w:cs="Arial" w:eastAsia="Arial" w:hAnsi="Arial"/>
          <w:sz w:val="17"/>
          <w:szCs w:val="17"/>
          <w:color w:val="auto"/>
        </w:rPr>
        <w:t>” means an employee of the Employer designated to participate in this Plan as specified in Section 2.1.</w:t>
      </w:r>
    </w:p>
    <w:p>
      <w:pPr>
        <w:spacing w:after="0" w:line="178" w:lineRule="exact"/>
        <w:rPr>
          <w:sz w:val="20"/>
          <w:szCs w:val="20"/>
          <w:color w:val="auto"/>
        </w:rPr>
      </w:pPr>
    </w:p>
    <w:p>
      <w:pPr>
        <w:spacing w:after="0"/>
        <w:tabs>
          <w:tab w:leader="none" w:pos="560" w:val="left"/>
        </w:tabs>
        <w:rPr>
          <w:sz w:val="20"/>
          <w:szCs w:val="20"/>
          <w:color w:val="auto"/>
        </w:rPr>
      </w:pPr>
      <w:r>
        <w:rPr>
          <w:rFonts w:ascii="Arial" w:cs="Arial" w:eastAsia="Arial" w:hAnsi="Arial"/>
          <w:sz w:val="19"/>
          <w:szCs w:val="19"/>
          <w:color w:val="auto"/>
        </w:rPr>
        <w:t>1.18</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color w:val="auto"/>
        </w:rPr>
        <w:t>Plan</w:t>
      </w:r>
      <w:r>
        <w:rPr>
          <w:rFonts w:ascii="Arial" w:cs="Arial" w:eastAsia="Arial" w:hAnsi="Arial"/>
          <w:sz w:val="17"/>
          <w:szCs w:val="17"/>
          <w:color w:val="auto"/>
        </w:rPr>
        <w:t>” means this Supplemental Executive Retirement Plan.</w:t>
      </w:r>
    </w:p>
    <w:p>
      <w:pPr>
        <w:spacing w:after="0" w:line="190" w:lineRule="exact"/>
        <w:rPr>
          <w:sz w:val="20"/>
          <w:szCs w:val="20"/>
          <w:color w:val="auto"/>
        </w:rPr>
      </w:pPr>
    </w:p>
    <w:p>
      <w:pPr>
        <w:ind w:left="580" w:right="20" w:hanging="576"/>
        <w:spacing w:after="0" w:line="246" w:lineRule="auto"/>
        <w:tabs>
          <w:tab w:leader="none" w:pos="560" w:val="left"/>
        </w:tabs>
        <w:rPr>
          <w:sz w:val="20"/>
          <w:szCs w:val="20"/>
          <w:color w:val="auto"/>
        </w:rPr>
      </w:pPr>
      <w:r>
        <w:rPr>
          <w:rFonts w:ascii="Arial" w:cs="Arial" w:eastAsia="Arial" w:hAnsi="Arial"/>
          <w:sz w:val="19"/>
          <w:szCs w:val="19"/>
          <w:color w:val="auto"/>
        </w:rPr>
        <w:t>1.19</w:t>
        <w:tab/>
        <w:t>“</w:t>
      </w:r>
      <w:r>
        <w:rPr>
          <w:rFonts w:ascii="Arial" w:cs="Arial" w:eastAsia="Arial" w:hAnsi="Arial"/>
          <w:sz w:val="19"/>
          <w:szCs w:val="19"/>
          <w:b w:val="1"/>
          <w:bCs w:val="1"/>
          <w:color w:val="auto"/>
        </w:rPr>
        <w:t>Pre-Section 409A Supplemental Retirement Benefit</w:t>
      </w:r>
      <w:r>
        <w:rPr>
          <w:rFonts w:ascii="Arial" w:cs="Arial" w:eastAsia="Arial" w:hAnsi="Arial"/>
          <w:sz w:val="19"/>
          <w:szCs w:val="19"/>
          <w:color w:val="auto"/>
        </w:rPr>
        <w:t>” means the portion of a Participant’s Supplemental Retirement Benefit, if any, to which the Participant had a legally binding right, and which was earned and vested, as of December 31, 2004, determined in accordance with Section 409A of the Internal Revenue Code and Treasury Regulation Section 1.409A-6. Such Participant’s “Pre-Section 409A Supplemental Retirement Benefit” shall be determined by the terms of the Plan, the Cash Balance Restoration Plan and the Basic Pension Plan, as in effect as of October 3, 2004.</w:t>
      </w:r>
    </w:p>
    <w:p>
      <w:pPr>
        <w:spacing w:after="0" w:line="154" w:lineRule="exact"/>
        <w:rPr>
          <w:sz w:val="20"/>
          <w:szCs w:val="20"/>
          <w:color w:val="auto"/>
        </w:rPr>
      </w:pPr>
    </w:p>
    <w:p>
      <w:pPr>
        <w:ind w:left="580" w:right="60"/>
        <w:spacing w:after="0" w:line="255" w:lineRule="auto"/>
        <w:rPr>
          <w:sz w:val="20"/>
          <w:szCs w:val="20"/>
          <w:color w:val="auto"/>
        </w:rPr>
      </w:pPr>
      <w:r>
        <w:rPr>
          <w:rFonts w:ascii="Arial" w:cs="Arial" w:eastAsia="Arial" w:hAnsi="Arial"/>
          <w:sz w:val="18"/>
          <w:szCs w:val="18"/>
          <w:color w:val="auto"/>
        </w:rPr>
        <w:t>Such Participant’s “</w:t>
      </w:r>
      <w:r>
        <w:rPr>
          <w:rFonts w:ascii="Arial" w:cs="Arial" w:eastAsia="Arial" w:hAnsi="Arial"/>
          <w:sz w:val="18"/>
          <w:szCs w:val="18"/>
          <w:b w:val="1"/>
          <w:bCs w:val="1"/>
          <w:color w:val="auto"/>
        </w:rPr>
        <w:t>Pre-Section 409A Supplemental Retirement Benefit</w:t>
      </w:r>
      <w:r>
        <w:rPr>
          <w:rFonts w:ascii="Arial" w:cs="Arial" w:eastAsia="Arial" w:hAnsi="Arial"/>
          <w:sz w:val="18"/>
          <w:szCs w:val="18"/>
          <w:color w:val="auto"/>
        </w:rPr>
        <w:t>” shall equal the present value of the amount to which such Participant would have been entitled under the Plan if such Participant voluntarily terminated services without cause on December 31, 2004, and received a payment of the benefits available from the Plan on the earliest possible date allowed under the Plan to receive a payment of benefits following the termination of services, and received the benefits in the form with maximum value. Notwithstanding the foregoing, for any subsequent taxable year of such Participant, the “</w:t>
      </w:r>
      <w:r>
        <w:rPr>
          <w:rFonts w:ascii="Arial" w:cs="Arial" w:eastAsia="Arial" w:hAnsi="Arial"/>
          <w:sz w:val="18"/>
          <w:szCs w:val="18"/>
          <w:b w:val="1"/>
          <w:bCs w:val="1"/>
          <w:color w:val="auto"/>
        </w:rPr>
        <w:t>Pre-Section 409A Supplemental Retirement Benefit</w:t>
      </w:r>
      <w:r>
        <w:rPr>
          <w:rFonts w:ascii="Arial" w:cs="Arial" w:eastAsia="Arial" w:hAnsi="Arial"/>
          <w:sz w:val="18"/>
          <w:szCs w:val="18"/>
          <w:color w:val="auto"/>
        </w:rPr>
        <w:t>” shall increase to equal the present value of the benefit such Participant actually becomes entitled to, in the form and at the time actually paid, determined under the terms of the Plan (including applicable limits under the Code), as in effect on October 3, 2004, without regard to any further services rendered by such Participant after December 31, 2004, or any other events affecting the amount of or the entitlement to benefits (other than such Participant’s election with respect to the time or form of an available benefit). Such present value shall be computed using the applicable actuarial assumptions and methods under the Basic Plan to the extent in accordance with Treasury Regulation Section 1.409A-6(a)(3)(i), or such other reasonable actuarial assumptions and methods as are permitted under Treasury Regulation Section 1.409A-6(a)(3) (i).</w:t>
      </w:r>
    </w:p>
    <w:p>
      <w:pPr>
        <w:spacing w:after="0" w:line="136" w:lineRule="exact"/>
        <w:rPr>
          <w:sz w:val="20"/>
          <w:szCs w:val="20"/>
          <w:color w:val="auto"/>
        </w:rPr>
      </w:pPr>
    </w:p>
    <w:p>
      <w:pPr>
        <w:ind w:left="580" w:right="140" w:hanging="576"/>
        <w:spacing w:after="0" w:line="273" w:lineRule="auto"/>
        <w:tabs>
          <w:tab w:leader="none" w:pos="560" w:val="left"/>
        </w:tabs>
        <w:rPr>
          <w:sz w:val="20"/>
          <w:szCs w:val="20"/>
          <w:color w:val="auto"/>
        </w:rPr>
      </w:pPr>
      <w:r>
        <w:rPr>
          <w:rFonts w:ascii="Arial" w:cs="Arial" w:eastAsia="Arial" w:hAnsi="Arial"/>
          <w:sz w:val="19"/>
          <w:szCs w:val="19"/>
          <w:color w:val="auto"/>
        </w:rPr>
        <w:t>1.20</w:t>
        <w:tab/>
        <w:t>“</w:t>
      </w:r>
      <w:r>
        <w:rPr>
          <w:rFonts w:ascii="Arial" w:cs="Arial" w:eastAsia="Arial" w:hAnsi="Arial"/>
          <w:sz w:val="19"/>
          <w:szCs w:val="19"/>
          <w:b w:val="1"/>
          <w:bCs w:val="1"/>
          <w:color w:val="auto"/>
        </w:rPr>
        <w:t>Preretirement Spouse's Benefit</w:t>
      </w:r>
      <w:r>
        <w:rPr>
          <w:rFonts w:ascii="Arial" w:cs="Arial" w:eastAsia="Arial" w:hAnsi="Arial"/>
          <w:sz w:val="19"/>
          <w:szCs w:val="19"/>
          <w:color w:val="auto"/>
        </w:rPr>
        <w:t>” means the benefit payable or paid under the Basic Pension Plan and Cash Balance Restoration Plan to a Surviving Spouse of a Participant who dies prior to Separation from Service.</w:t>
      </w:r>
    </w:p>
    <w:p>
      <w:pPr>
        <w:spacing w:after="0" w:line="116" w:lineRule="exact"/>
        <w:rPr>
          <w:sz w:val="20"/>
          <w:szCs w:val="20"/>
          <w:color w:val="auto"/>
        </w:rPr>
      </w:pPr>
    </w:p>
    <w:p>
      <w:pPr>
        <w:ind w:left="580" w:right="320" w:hanging="576"/>
        <w:spacing w:after="0" w:line="273" w:lineRule="auto"/>
        <w:tabs>
          <w:tab w:leader="none" w:pos="560" w:val="left"/>
        </w:tabs>
        <w:rPr>
          <w:sz w:val="20"/>
          <w:szCs w:val="20"/>
          <w:color w:val="auto"/>
        </w:rPr>
      </w:pPr>
      <w:r>
        <w:rPr>
          <w:rFonts w:ascii="Arial" w:cs="Arial" w:eastAsia="Arial" w:hAnsi="Arial"/>
          <w:sz w:val="19"/>
          <w:szCs w:val="19"/>
          <w:color w:val="auto"/>
        </w:rPr>
        <w:t>1.21</w:t>
        <w:tab/>
        <w:t>“</w:t>
      </w:r>
      <w:r>
        <w:rPr>
          <w:rFonts w:ascii="Arial" w:cs="Arial" w:eastAsia="Arial" w:hAnsi="Arial"/>
          <w:sz w:val="19"/>
          <w:szCs w:val="19"/>
          <w:b w:val="1"/>
          <w:bCs w:val="1"/>
          <w:color w:val="auto"/>
        </w:rPr>
        <w:t>Post-Section 409A Supplemental Retirement Benefit</w:t>
      </w:r>
      <w:r>
        <w:rPr>
          <w:rFonts w:ascii="Arial" w:cs="Arial" w:eastAsia="Arial" w:hAnsi="Arial"/>
          <w:sz w:val="19"/>
          <w:szCs w:val="19"/>
          <w:color w:val="auto"/>
        </w:rPr>
        <w:t>” means a Participant’s Supplemental Retirement Benefit, less such Participant’s Pre-Section 409A Supplemental Retirement Benefit (if any).</w:t>
      </w:r>
    </w:p>
    <w:p>
      <w:pPr>
        <w:spacing w:after="0" w:line="128" w:lineRule="exact"/>
        <w:rPr>
          <w:sz w:val="20"/>
          <w:szCs w:val="20"/>
          <w:color w:val="auto"/>
        </w:rPr>
      </w:pPr>
    </w:p>
    <w:p>
      <w:pPr>
        <w:ind w:left="580" w:right="960" w:hanging="576"/>
        <w:spacing w:after="0" w:line="273" w:lineRule="auto"/>
        <w:tabs>
          <w:tab w:leader="none" w:pos="560" w:val="left"/>
        </w:tabs>
        <w:rPr>
          <w:sz w:val="20"/>
          <w:szCs w:val="20"/>
          <w:color w:val="auto"/>
        </w:rPr>
      </w:pPr>
      <w:r>
        <w:rPr>
          <w:rFonts w:ascii="Arial" w:cs="Arial" w:eastAsia="Arial" w:hAnsi="Arial"/>
          <w:sz w:val="19"/>
          <w:szCs w:val="19"/>
          <w:color w:val="auto"/>
        </w:rPr>
        <w:t>1.22</w:t>
        <w:tab/>
        <w:t>“</w:t>
      </w:r>
      <w:r>
        <w:rPr>
          <w:rFonts w:ascii="Arial" w:cs="Arial" w:eastAsia="Arial" w:hAnsi="Arial"/>
          <w:sz w:val="19"/>
          <w:szCs w:val="19"/>
          <w:b w:val="1"/>
          <w:bCs w:val="1"/>
          <w:color w:val="auto"/>
        </w:rPr>
        <w:t>Prior Plan</w:t>
      </w:r>
      <w:r>
        <w:rPr>
          <w:rFonts w:ascii="Arial" w:cs="Arial" w:eastAsia="Arial" w:hAnsi="Arial"/>
          <w:sz w:val="19"/>
          <w:szCs w:val="19"/>
          <w:color w:val="auto"/>
        </w:rPr>
        <w:t>” shall mean the Pacific Enterprises Supplemental Retirement and Survivor Plan and the San Diego Gas and Electric Supplemental Executive Retirement Plan.</w:t>
      </w:r>
    </w:p>
    <w:p>
      <w:pPr>
        <w:spacing w:after="0" w:line="116" w:lineRule="exact"/>
        <w:rPr>
          <w:sz w:val="20"/>
          <w:szCs w:val="20"/>
          <w:color w:val="auto"/>
        </w:rPr>
      </w:pPr>
    </w:p>
    <w:p>
      <w:pPr>
        <w:ind w:left="580" w:right="740" w:hanging="576"/>
        <w:spacing w:after="0" w:line="273" w:lineRule="auto"/>
        <w:tabs>
          <w:tab w:leader="none" w:pos="560" w:val="left"/>
        </w:tabs>
        <w:rPr>
          <w:sz w:val="20"/>
          <w:szCs w:val="20"/>
          <w:color w:val="auto"/>
        </w:rPr>
      </w:pPr>
      <w:r>
        <w:rPr>
          <w:rFonts w:ascii="Arial" w:cs="Arial" w:eastAsia="Arial" w:hAnsi="Arial"/>
          <w:sz w:val="19"/>
          <w:szCs w:val="19"/>
          <w:color w:val="auto"/>
        </w:rPr>
        <w:t>1.23</w:t>
        <w:tab/>
        <w:t>“</w:t>
      </w:r>
      <w:r>
        <w:rPr>
          <w:rFonts w:ascii="Arial" w:cs="Arial" w:eastAsia="Arial" w:hAnsi="Arial"/>
          <w:sz w:val="19"/>
          <w:szCs w:val="19"/>
          <w:b w:val="1"/>
          <w:bCs w:val="1"/>
          <w:color w:val="auto"/>
        </w:rPr>
        <w:t>Retirement</w:t>
      </w:r>
      <w:r>
        <w:rPr>
          <w:rFonts w:ascii="Arial" w:cs="Arial" w:eastAsia="Arial" w:hAnsi="Arial"/>
          <w:sz w:val="19"/>
          <w:szCs w:val="19"/>
          <w:color w:val="auto"/>
        </w:rPr>
        <w:t>” means the termination of such Participant's Employment with the Employer after five years of Service on or after the Participant attains age 55.</w:t>
      </w:r>
    </w:p>
    <w:p>
      <w:pPr>
        <w:spacing w:after="0" w:line="116" w:lineRule="exact"/>
        <w:rPr>
          <w:sz w:val="20"/>
          <w:szCs w:val="20"/>
          <w:color w:val="auto"/>
        </w:rPr>
      </w:pPr>
    </w:p>
    <w:p>
      <w:pPr>
        <w:spacing w:after="0"/>
        <w:tabs>
          <w:tab w:leader="none" w:pos="560" w:val="left"/>
        </w:tabs>
        <w:rPr>
          <w:sz w:val="20"/>
          <w:szCs w:val="20"/>
          <w:color w:val="auto"/>
        </w:rPr>
      </w:pPr>
      <w:r>
        <w:rPr>
          <w:rFonts w:ascii="Arial" w:cs="Arial" w:eastAsia="Arial" w:hAnsi="Arial"/>
          <w:sz w:val="19"/>
          <w:szCs w:val="19"/>
          <w:color w:val="auto"/>
        </w:rPr>
        <w:t>1.24</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color w:val="auto"/>
        </w:rPr>
        <w:t>Retirement Date</w:t>
      </w:r>
      <w:r>
        <w:rPr>
          <w:rFonts w:ascii="Arial" w:cs="Arial" w:eastAsia="Arial" w:hAnsi="Arial"/>
          <w:sz w:val="17"/>
          <w:szCs w:val="17"/>
          <w:color w:val="auto"/>
        </w:rPr>
        <w:t>” means the first day of the month following a Participant's Retirement.</w:t>
      </w:r>
    </w:p>
    <w:p>
      <w:pPr>
        <w:spacing w:after="0" w:line="190" w:lineRule="exact"/>
        <w:rPr>
          <w:sz w:val="20"/>
          <w:szCs w:val="20"/>
          <w:color w:val="auto"/>
        </w:rPr>
      </w:pPr>
    </w:p>
    <w:p>
      <w:pPr>
        <w:ind w:left="580" w:right="180" w:hanging="576"/>
        <w:spacing w:after="0" w:line="273" w:lineRule="auto"/>
        <w:tabs>
          <w:tab w:leader="none" w:pos="560" w:val="left"/>
        </w:tabs>
        <w:rPr>
          <w:sz w:val="20"/>
          <w:szCs w:val="20"/>
          <w:color w:val="auto"/>
        </w:rPr>
      </w:pPr>
      <w:r>
        <w:rPr>
          <w:rFonts w:ascii="Arial" w:cs="Arial" w:eastAsia="Arial" w:hAnsi="Arial"/>
          <w:sz w:val="19"/>
          <w:szCs w:val="19"/>
          <w:color w:val="auto"/>
        </w:rPr>
        <w:t>1.25</w:t>
        <w:tab/>
        <w:t>“</w:t>
      </w:r>
      <w:r>
        <w:rPr>
          <w:rFonts w:ascii="Arial" w:cs="Arial" w:eastAsia="Arial" w:hAnsi="Arial"/>
          <w:sz w:val="19"/>
          <w:szCs w:val="19"/>
          <w:b w:val="1"/>
          <w:bCs w:val="1"/>
          <w:color w:val="auto"/>
        </w:rPr>
        <w:t>Separation from Service</w:t>
      </w:r>
      <w:r>
        <w:rPr>
          <w:rFonts w:ascii="Arial" w:cs="Arial" w:eastAsia="Arial" w:hAnsi="Arial"/>
          <w:sz w:val="19"/>
          <w:szCs w:val="19"/>
          <w:color w:val="auto"/>
        </w:rPr>
        <w:t>” with respect to a Participant (or another Service Provider) means the Participant’s (or such Service Provider’s) “separation from service,” as defined in Treasury Regulation Section 1.409A-1(h).</w:t>
      </w:r>
    </w:p>
    <w:p>
      <w:pPr>
        <w:spacing w:after="0" w:line="116" w:lineRule="exact"/>
        <w:rPr>
          <w:sz w:val="20"/>
          <w:szCs w:val="20"/>
          <w:color w:val="auto"/>
        </w:rPr>
      </w:pPr>
    </w:p>
    <w:p>
      <w:pPr>
        <w:spacing w:after="0"/>
        <w:tabs>
          <w:tab w:leader="none" w:pos="560" w:val="left"/>
        </w:tabs>
        <w:rPr>
          <w:sz w:val="20"/>
          <w:szCs w:val="20"/>
          <w:color w:val="auto"/>
        </w:rPr>
      </w:pPr>
      <w:r>
        <w:rPr>
          <w:rFonts w:ascii="Arial" w:cs="Arial" w:eastAsia="Arial" w:hAnsi="Arial"/>
          <w:sz w:val="19"/>
          <w:szCs w:val="19"/>
          <w:color w:val="auto"/>
        </w:rPr>
        <w:t>1.26</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color w:val="auto"/>
        </w:rPr>
        <w:t>Service</w:t>
      </w:r>
      <w:r>
        <w:rPr>
          <w:rFonts w:ascii="Arial" w:cs="Arial" w:eastAsia="Arial" w:hAnsi="Arial"/>
          <w:sz w:val="17"/>
          <w:szCs w:val="17"/>
          <w:color w:val="auto"/>
        </w:rPr>
        <w:t>” means a Participant's credited service which would be used to compute retirement benefits under the Basic Pension Plan.</w:t>
      </w:r>
    </w:p>
    <w:p>
      <w:pPr>
        <w:spacing w:after="0" w:line="178" w:lineRule="exact"/>
        <w:rPr>
          <w:sz w:val="20"/>
          <w:szCs w:val="20"/>
          <w:color w:val="auto"/>
        </w:rPr>
      </w:pPr>
    </w:p>
    <w:p>
      <w:pPr>
        <w:spacing w:after="0"/>
        <w:tabs>
          <w:tab w:leader="none" w:pos="560" w:val="left"/>
        </w:tabs>
        <w:rPr>
          <w:sz w:val="20"/>
          <w:szCs w:val="20"/>
          <w:color w:val="auto"/>
        </w:rPr>
      </w:pPr>
      <w:r>
        <w:rPr>
          <w:rFonts w:ascii="Arial" w:cs="Arial" w:eastAsia="Arial" w:hAnsi="Arial"/>
          <w:sz w:val="19"/>
          <w:szCs w:val="19"/>
          <w:color w:val="auto"/>
        </w:rPr>
        <w:t>1.27</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color w:val="auto"/>
        </w:rPr>
        <w:t>Service Provider</w:t>
      </w:r>
      <w:r>
        <w:rPr>
          <w:rFonts w:ascii="Arial" w:cs="Arial" w:eastAsia="Arial" w:hAnsi="Arial"/>
          <w:sz w:val="17"/>
          <w:szCs w:val="17"/>
          <w:color w:val="auto"/>
        </w:rPr>
        <w:t>” means a Participant or any other “service provider,” as defined in Treasury Regulation Section 1.409A-1(f).</w:t>
      </w:r>
    </w:p>
    <w:p>
      <w:pPr>
        <w:spacing w:after="0" w:line="190" w:lineRule="exact"/>
        <w:rPr>
          <w:sz w:val="20"/>
          <w:szCs w:val="20"/>
          <w:color w:val="auto"/>
        </w:rPr>
      </w:pPr>
    </w:p>
    <w:p>
      <w:pPr>
        <w:ind w:left="580" w:right="60" w:hanging="576"/>
        <w:spacing w:after="0" w:line="246" w:lineRule="auto"/>
        <w:tabs>
          <w:tab w:leader="none" w:pos="560" w:val="left"/>
        </w:tabs>
        <w:rPr>
          <w:sz w:val="20"/>
          <w:szCs w:val="20"/>
          <w:color w:val="auto"/>
        </w:rPr>
      </w:pPr>
      <w:r>
        <w:rPr>
          <w:rFonts w:ascii="Arial" w:cs="Arial" w:eastAsia="Arial" w:hAnsi="Arial"/>
          <w:sz w:val="19"/>
          <w:szCs w:val="19"/>
          <w:color w:val="auto"/>
        </w:rPr>
        <w:t>1.28</w:t>
        <w:tab/>
        <w:t>“</w:t>
      </w:r>
      <w:r>
        <w:rPr>
          <w:rFonts w:ascii="Arial" w:cs="Arial" w:eastAsia="Arial" w:hAnsi="Arial"/>
          <w:sz w:val="19"/>
          <w:szCs w:val="19"/>
          <w:b w:val="1"/>
          <w:bCs w:val="1"/>
          <w:color w:val="auto"/>
        </w:rPr>
        <w:t>Service Recipient,</w:t>
      </w:r>
      <w:r>
        <w:rPr>
          <w:rFonts w:ascii="Arial" w:cs="Arial" w:eastAsia="Arial" w:hAnsi="Arial"/>
          <w:sz w:val="19"/>
          <w:szCs w:val="19"/>
          <w:color w:val="auto"/>
        </w:rPr>
        <w:t>” with respect to a Participant, means the Company and all persons considered part of the “service recipient,” as defined in Treasury Regulation Section 1.409A-1(g), as determined from time to time. As provided in Treasury Regulation Section 1.409A-1(g), the “Service Recipient” shall mean the person for whom the services are performed and with respect to whom the legally binding right to compensation arises, and all persons with whom such person would be considered a single employer under Section 414(b) or 414(c) of the Code.</w:t>
      </w:r>
    </w:p>
    <w:p>
      <w:pPr>
        <w:spacing w:after="0" w:line="142" w:lineRule="exact"/>
        <w:rPr>
          <w:sz w:val="20"/>
          <w:szCs w:val="20"/>
          <w:color w:val="auto"/>
        </w:rPr>
      </w:pPr>
    </w:p>
    <w:p>
      <w:pPr>
        <w:ind w:left="580" w:right="580" w:hanging="576"/>
        <w:spacing w:after="0" w:line="273" w:lineRule="auto"/>
        <w:tabs>
          <w:tab w:leader="none" w:pos="560" w:val="left"/>
        </w:tabs>
        <w:rPr>
          <w:sz w:val="20"/>
          <w:szCs w:val="20"/>
          <w:color w:val="auto"/>
        </w:rPr>
      </w:pPr>
      <w:r>
        <w:rPr>
          <w:rFonts w:ascii="Arial" w:cs="Arial" w:eastAsia="Arial" w:hAnsi="Arial"/>
          <w:sz w:val="19"/>
          <w:szCs w:val="19"/>
          <w:color w:val="auto"/>
        </w:rPr>
        <w:t>1.29</w:t>
        <w:tab/>
        <w:t>“</w:t>
      </w:r>
      <w:r>
        <w:rPr>
          <w:rFonts w:ascii="Arial" w:cs="Arial" w:eastAsia="Arial" w:hAnsi="Arial"/>
          <w:sz w:val="19"/>
          <w:szCs w:val="19"/>
          <w:b w:val="1"/>
          <w:bCs w:val="1"/>
          <w:color w:val="auto"/>
        </w:rPr>
        <w:t>Social Security Benefit</w:t>
      </w:r>
      <w:r>
        <w:rPr>
          <w:rFonts w:ascii="Arial" w:cs="Arial" w:eastAsia="Arial" w:hAnsi="Arial"/>
          <w:sz w:val="19"/>
          <w:szCs w:val="19"/>
          <w:color w:val="auto"/>
        </w:rPr>
        <w:t>” means the annual Primary Insurance Amount estimated to be payable to the Participant at age 65 under the Federal Social Security Act in effect at the time of the event.</w:t>
      </w:r>
    </w:p>
    <w:p>
      <w:pPr>
        <w:spacing w:after="0" w:line="128" w:lineRule="exact"/>
        <w:rPr>
          <w:sz w:val="20"/>
          <w:szCs w:val="20"/>
          <w:color w:val="auto"/>
        </w:rPr>
      </w:pPr>
    </w:p>
    <w:p>
      <w:pPr>
        <w:ind w:left="580" w:hanging="576"/>
        <w:spacing w:after="0" w:line="255" w:lineRule="auto"/>
        <w:tabs>
          <w:tab w:leader="none" w:pos="560" w:val="left"/>
        </w:tabs>
        <w:rPr>
          <w:sz w:val="20"/>
          <w:szCs w:val="20"/>
          <w:color w:val="auto"/>
        </w:rPr>
      </w:pPr>
      <w:r>
        <w:rPr>
          <w:rFonts w:ascii="Arial" w:cs="Arial" w:eastAsia="Arial" w:hAnsi="Arial"/>
          <w:sz w:val="19"/>
          <w:szCs w:val="19"/>
          <w:color w:val="auto"/>
        </w:rPr>
        <w:t>1.30</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Specified Employee</w:t>
      </w:r>
      <w:r>
        <w:rPr>
          <w:rFonts w:ascii="Arial" w:cs="Arial" w:eastAsia="Arial" w:hAnsi="Arial"/>
          <w:sz w:val="18"/>
          <w:szCs w:val="18"/>
          <w:color w:val="auto"/>
        </w:rPr>
        <w:t>” means a Service Provider who, as of the date of the Service Provider’s Separation from Service, is a “Key Employee” of the Service Recipient any stock of which is publicly traded on an established securities market or otherwise. For purposes of this definition, a Service Provider is a “Key Employee” if the Service Provider meets the requirements of Section 416(i)(1)(A)(i), (ii) or (iii) of the Code (applied in accordance with the Treasury Regulations thereunder and disregarding Section 416(i)(5) of the Code) at any time during the Testing Year. If a Service Provider is a “Key Employee” (as defined above) as of a Specified Employee Identification Date, the Service Provider shall be treated as “Key Employee” for the entire twelve (12) month period beginning on the Specified Employee Effecti ve Date. For purposes of this definition, a Service Provider’s compensation for a Testing Year shall mean such Service Provider’s compensation, as determined under Treasury Regulation Section 1.415(c)-2(a) (and applied as if the Service Recipient were not using any safe harbor provided in Treasury Regulation Section 1.415(c)-2(d), were not using any of the elective special timing rules provided in Treasury Regulation Section 1.415(c)-2(e), and were not using any of the elective special rules provided in Treasury Regulation Section 1.415(c)-2(g)), from the Service Recipient for such Testing Year. The “</w:t>
      </w:r>
      <w:r>
        <w:rPr>
          <w:rFonts w:ascii="Arial" w:cs="Arial" w:eastAsia="Arial" w:hAnsi="Arial"/>
          <w:sz w:val="18"/>
          <w:szCs w:val="18"/>
          <w:b w:val="1"/>
          <w:bCs w:val="1"/>
          <w:color w:val="auto"/>
        </w:rPr>
        <w:t>Specified Employees</w:t>
      </w:r>
      <w:r>
        <w:rPr>
          <w:rFonts w:ascii="Arial" w:cs="Arial" w:eastAsia="Arial" w:hAnsi="Arial"/>
          <w:sz w:val="18"/>
          <w:szCs w:val="18"/>
          <w:color w:val="auto"/>
        </w:rPr>
        <w:t>” shall be determined in accordance with Section 409A(a)(2)(B)(i) of the Code and Treasury Regulation Section 1.409A-1(i).</w:t>
      </w:r>
    </w:p>
    <w:p>
      <w:pPr>
        <w:spacing w:after="0" w:line="136" w:lineRule="exact"/>
        <w:rPr>
          <w:sz w:val="20"/>
          <w:szCs w:val="20"/>
          <w:color w:val="auto"/>
        </w:rPr>
      </w:pPr>
    </w:p>
    <w:p>
      <w:pPr>
        <w:ind w:left="580" w:right="220" w:hanging="576"/>
        <w:spacing w:after="0" w:line="255" w:lineRule="auto"/>
        <w:tabs>
          <w:tab w:leader="none" w:pos="560" w:val="left"/>
        </w:tabs>
        <w:rPr>
          <w:sz w:val="20"/>
          <w:szCs w:val="20"/>
          <w:color w:val="auto"/>
        </w:rPr>
      </w:pPr>
      <w:r>
        <w:rPr>
          <w:rFonts w:ascii="Arial" w:cs="Arial" w:eastAsia="Arial" w:hAnsi="Arial"/>
          <w:sz w:val="19"/>
          <w:szCs w:val="19"/>
          <w:color w:val="auto"/>
        </w:rPr>
        <w:t>1.31</w:t>
        <w:tab/>
        <w:t>“</w:t>
      </w:r>
      <w:r>
        <w:rPr>
          <w:rFonts w:ascii="Arial" w:cs="Arial" w:eastAsia="Arial" w:hAnsi="Arial"/>
          <w:sz w:val="19"/>
          <w:szCs w:val="19"/>
          <w:b w:val="1"/>
          <w:bCs w:val="1"/>
          <w:color w:val="auto"/>
        </w:rPr>
        <w:t>Specified Employee Effective Date</w:t>
      </w:r>
      <w:r>
        <w:rPr>
          <w:rFonts w:ascii="Arial" w:cs="Arial" w:eastAsia="Arial" w:hAnsi="Arial"/>
          <w:sz w:val="19"/>
          <w:szCs w:val="19"/>
          <w:color w:val="auto"/>
        </w:rPr>
        <w:t>” means the first day of the fourth month following the Specified Employee Identification Date. The Specified Employee Effective Date may be changed by the Company, in its discretion, in accordance with Treasury Regulation Section 1.409A-1(i)(4).</w:t>
      </w:r>
    </w:p>
    <w:p>
      <w:pPr>
        <w:sectPr>
          <w:pgSz w:w="11900" w:h="16880" w:orient="portrait"/>
          <w:cols w:equalWidth="0" w:num="1">
            <w:col w:w="11440"/>
          </w:cols>
          <w:pgMar w:left="240" w:top="116" w:right="219" w:bottom="0" w:gutter="0" w:footer="0" w:header="0"/>
        </w:sectPr>
      </w:pPr>
    </w:p>
    <w:bookmarkStart w:id="117" w:name="page118"/>
    <w:bookmarkEnd w:id="117"/>
    <w:p>
      <w:pPr>
        <w:spacing w:after="0"/>
        <w:tabs>
          <w:tab w:leader="none" w:pos="560" w:val="left"/>
        </w:tabs>
        <w:rPr>
          <w:sz w:val="20"/>
          <w:szCs w:val="20"/>
          <w:color w:val="auto"/>
        </w:rPr>
      </w:pPr>
      <w:r>
        <w:rPr>
          <w:rFonts w:ascii="Arial" w:cs="Arial" w:eastAsia="Arial" w:hAnsi="Arial"/>
          <w:sz w:val="19"/>
          <w:szCs w:val="19"/>
          <w:color w:val="auto"/>
        </w:rPr>
        <w:t>1.32</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color w:val="auto"/>
        </w:rPr>
        <w:t>Specified Employee Identification Date</w:t>
      </w:r>
      <w:r>
        <w:rPr>
          <w:rFonts w:ascii="Arial" w:cs="Arial" w:eastAsia="Arial" w:hAnsi="Arial"/>
          <w:sz w:val="17"/>
          <w:szCs w:val="17"/>
          <w:color w:val="auto"/>
        </w:rPr>
        <w:t>”, for purposes of Treasury Regulation Section 1.409A-1(i)(3), means December 31. The</w:t>
      </w:r>
    </w:p>
    <w:p>
      <w:pPr>
        <w:spacing w:after="0" w:line="19" w:lineRule="exact"/>
        <w:rPr>
          <w:sz w:val="20"/>
          <w:szCs w:val="20"/>
          <w:color w:val="auto"/>
        </w:rPr>
      </w:pPr>
    </w:p>
    <w:p>
      <w:pPr>
        <w:ind w:left="58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Specified Employee Identification Date</w:t>
      </w:r>
      <w:r>
        <w:rPr>
          <w:rFonts w:ascii="Arial" w:cs="Arial" w:eastAsia="Arial" w:hAnsi="Arial"/>
          <w:sz w:val="17"/>
          <w:szCs w:val="17"/>
          <w:color w:val="auto"/>
        </w:rPr>
        <w:t>” shall apply to all “nonqualified deferred compensation plans” (as defined in Treasury Regulation</w:t>
      </w:r>
    </w:p>
    <w:p>
      <w:pPr>
        <w:spacing w:after="0" w:line="21" w:lineRule="exact"/>
        <w:rPr>
          <w:sz w:val="20"/>
          <w:szCs w:val="20"/>
          <w:color w:val="auto"/>
        </w:rPr>
      </w:pPr>
    </w:p>
    <w:p>
      <w:pPr>
        <w:ind w:left="580"/>
        <w:spacing w:after="0"/>
        <w:rPr>
          <w:sz w:val="20"/>
          <w:szCs w:val="20"/>
          <w:color w:val="auto"/>
        </w:rPr>
      </w:pPr>
      <w:r>
        <w:rPr>
          <w:rFonts w:ascii="Arial" w:cs="Arial" w:eastAsia="Arial" w:hAnsi="Arial"/>
          <w:sz w:val="17"/>
          <w:szCs w:val="17"/>
          <w:color w:val="auto"/>
        </w:rPr>
        <w:t>Section 1.409A-1(a)) of the Service Recipient and all affected Service Providers. The “</w:t>
      </w:r>
      <w:r>
        <w:rPr>
          <w:rFonts w:ascii="Arial" w:cs="Arial" w:eastAsia="Arial" w:hAnsi="Arial"/>
          <w:sz w:val="17"/>
          <w:szCs w:val="17"/>
          <w:b w:val="1"/>
          <w:bCs w:val="1"/>
          <w:color w:val="auto"/>
        </w:rPr>
        <w:t>Specified Employee Identification Date</w:t>
      </w:r>
      <w:r>
        <w:rPr>
          <w:rFonts w:ascii="Arial" w:cs="Arial" w:eastAsia="Arial" w:hAnsi="Arial"/>
          <w:sz w:val="17"/>
          <w:szCs w:val="17"/>
          <w:color w:val="auto"/>
        </w:rPr>
        <w:t>” may be</w:t>
      </w:r>
    </w:p>
    <w:p>
      <w:pPr>
        <w:spacing w:after="0" w:line="21" w:lineRule="exact"/>
        <w:rPr>
          <w:sz w:val="20"/>
          <w:szCs w:val="20"/>
          <w:color w:val="auto"/>
        </w:rPr>
      </w:pPr>
    </w:p>
    <w:p>
      <w:pPr>
        <w:ind w:left="580"/>
        <w:spacing w:after="0"/>
        <w:rPr>
          <w:sz w:val="20"/>
          <w:szCs w:val="20"/>
          <w:color w:val="auto"/>
        </w:rPr>
      </w:pPr>
      <w:r>
        <w:rPr>
          <w:rFonts w:ascii="Arial" w:cs="Arial" w:eastAsia="Arial" w:hAnsi="Arial"/>
          <w:sz w:val="19"/>
          <w:szCs w:val="19"/>
          <w:color w:val="auto"/>
        </w:rPr>
        <w:t>changed by Sempra Energy, in its discretion, in accordance with Treasury Regulation Section 1.409A-1(i)(3).</w:t>
      </w:r>
    </w:p>
    <w:p>
      <w:pPr>
        <w:spacing w:after="0" w:line="156" w:lineRule="exact"/>
        <w:rPr>
          <w:sz w:val="20"/>
          <w:szCs w:val="20"/>
          <w:color w:val="auto"/>
        </w:rPr>
      </w:pPr>
    </w:p>
    <w:p>
      <w:pPr>
        <w:spacing w:after="0"/>
        <w:tabs>
          <w:tab w:leader="none" w:pos="560" w:val="left"/>
        </w:tabs>
        <w:rPr>
          <w:sz w:val="20"/>
          <w:szCs w:val="20"/>
          <w:color w:val="auto"/>
        </w:rPr>
      </w:pPr>
      <w:r>
        <w:rPr>
          <w:rFonts w:ascii="Arial" w:cs="Arial" w:eastAsia="Arial" w:hAnsi="Arial"/>
          <w:sz w:val="19"/>
          <w:szCs w:val="19"/>
          <w:color w:val="auto"/>
        </w:rPr>
        <w:t>1.33</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color w:val="auto"/>
        </w:rPr>
        <w:t>Spouse’s Death Benefit</w:t>
      </w:r>
      <w:r>
        <w:rPr>
          <w:rFonts w:ascii="Arial" w:cs="Arial" w:eastAsia="Arial" w:hAnsi="Arial"/>
          <w:sz w:val="17"/>
          <w:szCs w:val="17"/>
          <w:color w:val="auto"/>
        </w:rPr>
        <w:t>” means the benefit payable to the Surviving Spouse of a Participant under Section 4 of this Plan.</w:t>
      </w:r>
    </w:p>
    <w:p>
      <w:pPr>
        <w:spacing w:after="0" w:line="190" w:lineRule="exact"/>
        <w:rPr>
          <w:sz w:val="20"/>
          <w:szCs w:val="20"/>
          <w:color w:val="auto"/>
        </w:rPr>
      </w:pPr>
    </w:p>
    <w:p>
      <w:pPr>
        <w:ind w:left="580" w:right="80" w:hanging="576"/>
        <w:spacing w:after="0" w:line="273" w:lineRule="auto"/>
        <w:tabs>
          <w:tab w:leader="none" w:pos="560" w:val="left"/>
        </w:tabs>
        <w:rPr>
          <w:sz w:val="20"/>
          <w:szCs w:val="20"/>
          <w:color w:val="auto"/>
        </w:rPr>
      </w:pPr>
      <w:r>
        <w:rPr>
          <w:rFonts w:ascii="Arial" w:cs="Arial" w:eastAsia="Arial" w:hAnsi="Arial"/>
          <w:sz w:val="19"/>
          <w:szCs w:val="19"/>
          <w:color w:val="auto"/>
        </w:rPr>
        <w:t>1.34</w:t>
        <w:tab/>
        <w:t>“</w:t>
      </w:r>
      <w:r>
        <w:rPr>
          <w:rFonts w:ascii="Arial" w:cs="Arial" w:eastAsia="Arial" w:hAnsi="Arial"/>
          <w:sz w:val="19"/>
          <w:szCs w:val="19"/>
          <w:b w:val="1"/>
          <w:bCs w:val="1"/>
          <w:color w:val="auto"/>
        </w:rPr>
        <w:t>Spouse's Supplemental Retirement Benefit</w:t>
      </w:r>
      <w:r>
        <w:rPr>
          <w:rFonts w:ascii="Arial" w:cs="Arial" w:eastAsia="Arial" w:hAnsi="Arial"/>
          <w:sz w:val="19"/>
          <w:szCs w:val="19"/>
          <w:color w:val="auto"/>
        </w:rPr>
        <w:t>” means the benefit payable to the Surviving Spouse of a Participant under Section 2.3 of this Plan after the Participant has died on or after his Retirement Date.</w:t>
      </w:r>
    </w:p>
    <w:p>
      <w:pPr>
        <w:spacing w:after="0" w:line="116" w:lineRule="exact"/>
        <w:rPr>
          <w:sz w:val="20"/>
          <w:szCs w:val="20"/>
          <w:color w:val="auto"/>
        </w:rPr>
      </w:pPr>
    </w:p>
    <w:p>
      <w:pPr>
        <w:spacing w:after="0"/>
        <w:tabs>
          <w:tab w:leader="none" w:pos="560" w:val="left"/>
        </w:tabs>
        <w:rPr>
          <w:sz w:val="20"/>
          <w:szCs w:val="20"/>
          <w:color w:val="auto"/>
        </w:rPr>
      </w:pPr>
      <w:r>
        <w:rPr>
          <w:rFonts w:ascii="Arial" w:cs="Arial" w:eastAsia="Arial" w:hAnsi="Arial"/>
          <w:sz w:val="19"/>
          <w:szCs w:val="19"/>
          <w:color w:val="auto"/>
        </w:rPr>
        <w:t>1.35</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color w:val="auto"/>
        </w:rPr>
        <w:t>Supplemental Disability Benefit</w:t>
      </w:r>
      <w:r>
        <w:rPr>
          <w:rFonts w:ascii="Arial" w:cs="Arial" w:eastAsia="Arial" w:hAnsi="Arial"/>
          <w:sz w:val="17"/>
          <w:szCs w:val="17"/>
          <w:color w:val="auto"/>
        </w:rPr>
        <w:t>” means the benefit payable to a disabled Participant under Section 2.5 of this Plan.</w:t>
      </w:r>
    </w:p>
    <w:p>
      <w:pPr>
        <w:spacing w:after="0" w:line="178" w:lineRule="exact"/>
        <w:rPr>
          <w:sz w:val="20"/>
          <w:szCs w:val="20"/>
          <w:color w:val="auto"/>
        </w:rPr>
      </w:pPr>
    </w:p>
    <w:p>
      <w:pPr>
        <w:ind w:left="580" w:right="120" w:hanging="576"/>
        <w:spacing w:after="0" w:line="255" w:lineRule="auto"/>
        <w:tabs>
          <w:tab w:leader="none" w:pos="560" w:val="left"/>
        </w:tabs>
        <w:rPr>
          <w:sz w:val="20"/>
          <w:szCs w:val="20"/>
          <w:color w:val="auto"/>
        </w:rPr>
      </w:pPr>
      <w:r>
        <w:rPr>
          <w:rFonts w:ascii="Arial" w:cs="Arial" w:eastAsia="Arial" w:hAnsi="Arial"/>
          <w:sz w:val="19"/>
          <w:szCs w:val="19"/>
          <w:color w:val="auto"/>
        </w:rPr>
        <w:t>1.36</w:t>
        <w:tab/>
        <w:t>“</w:t>
      </w:r>
      <w:r>
        <w:rPr>
          <w:rFonts w:ascii="Arial" w:cs="Arial" w:eastAsia="Arial" w:hAnsi="Arial"/>
          <w:sz w:val="19"/>
          <w:szCs w:val="19"/>
          <w:b w:val="1"/>
          <w:bCs w:val="1"/>
          <w:color w:val="auto"/>
        </w:rPr>
        <w:t>Supplemental Retirement Benefit</w:t>
      </w:r>
      <w:r>
        <w:rPr>
          <w:rFonts w:ascii="Arial" w:cs="Arial" w:eastAsia="Arial" w:hAnsi="Arial"/>
          <w:sz w:val="19"/>
          <w:szCs w:val="19"/>
          <w:color w:val="auto"/>
        </w:rPr>
        <w:t>” means the benefit payable to a Participant under Section 2.2 of this Plan on his Retirement Date. A Participant’s Supplemental Retirement Benefit shall be comprised of such Participant’s Pre-Section 409A Supplemental Retirement Benefit (if any) and such Participant’s Post-Section 409A Supplemental Retirement Benefit (if any).</w:t>
      </w:r>
    </w:p>
    <w:p>
      <w:pPr>
        <w:spacing w:after="0" w:line="144" w:lineRule="exact"/>
        <w:rPr>
          <w:sz w:val="20"/>
          <w:szCs w:val="20"/>
          <w:color w:val="auto"/>
        </w:rPr>
      </w:pPr>
    </w:p>
    <w:p>
      <w:pPr>
        <w:ind w:left="580" w:right="180" w:hanging="576"/>
        <w:spacing w:after="0" w:line="246" w:lineRule="auto"/>
        <w:tabs>
          <w:tab w:leader="none" w:pos="560" w:val="left"/>
        </w:tabs>
        <w:rPr>
          <w:sz w:val="20"/>
          <w:szCs w:val="20"/>
          <w:color w:val="auto"/>
        </w:rPr>
      </w:pPr>
      <w:r>
        <w:rPr>
          <w:rFonts w:ascii="Arial" w:cs="Arial" w:eastAsia="Arial" w:hAnsi="Arial"/>
          <w:sz w:val="19"/>
          <w:szCs w:val="19"/>
          <w:color w:val="auto"/>
        </w:rPr>
        <w:t>1.37</w:t>
        <w:tab/>
        <w:t>“</w:t>
      </w:r>
      <w:r>
        <w:rPr>
          <w:rFonts w:ascii="Arial" w:cs="Arial" w:eastAsia="Arial" w:hAnsi="Arial"/>
          <w:sz w:val="19"/>
          <w:szCs w:val="19"/>
          <w:b w:val="1"/>
          <w:bCs w:val="1"/>
          <w:color w:val="auto"/>
        </w:rPr>
        <w:t>Surviving Spouse</w:t>
      </w:r>
      <w:r>
        <w:rPr>
          <w:rFonts w:ascii="Arial" w:cs="Arial" w:eastAsia="Arial" w:hAnsi="Arial"/>
          <w:sz w:val="19"/>
          <w:szCs w:val="19"/>
          <w:color w:val="auto"/>
        </w:rPr>
        <w:t>” means in the case of a Spouse's Death Benefit, a spouse married to the Participant for at least the one-year period ending on the Participant's date of death, and means in the case of a Spouse's Supplemental Retirement Benefit, a spouse who is married to the Participant for at least the one-year period ending on the Participant's Retirement Date and who is still married to the Participant on the date of the Participant's death. Surviving Spouse also means a Spousal Equivalent as defined by the Company (subject to the one-year requirements) under the Company Medical Plan.</w:t>
      </w:r>
    </w:p>
    <w:p>
      <w:pPr>
        <w:spacing w:after="0" w:line="142" w:lineRule="exact"/>
        <w:rPr>
          <w:sz w:val="20"/>
          <w:szCs w:val="20"/>
          <w:color w:val="auto"/>
        </w:rPr>
      </w:pPr>
    </w:p>
    <w:p>
      <w:pPr>
        <w:spacing w:after="0"/>
        <w:tabs>
          <w:tab w:leader="none" w:pos="560" w:val="left"/>
        </w:tabs>
        <w:rPr>
          <w:sz w:val="20"/>
          <w:szCs w:val="20"/>
          <w:color w:val="auto"/>
        </w:rPr>
      </w:pPr>
      <w:r>
        <w:rPr>
          <w:rFonts w:ascii="Arial" w:cs="Arial" w:eastAsia="Arial" w:hAnsi="Arial"/>
          <w:sz w:val="19"/>
          <w:szCs w:val="19"/>
          <w:color w:val="auto"/>
        </w:rPr>
        <w:t>1.38</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color w:val="auto"/>
        </w:rPr>
        <w:t>Testing Year</w:t>
      </w:r>
      <w:r>
        <w:rPr>
          <w:rFonts w:ascii="Arial" w:cs="Arial" w:eastAsia="Arial" w:hAnsi="Arial"/>
          <w:sz w:val="17"/>
          <w:szCs w:val="17"/>
          <w:color w:val="auto"/>
        </w:rPr>
        <w:t>” means the twelve (12) month period ending on the Specified Employee Identification Date, as determined from time to time.</w:t>
      </w:r>
    </w:p>
    <w:p>
      <w:pPr>
        <w:spacing w:after="0" w:line="178" w:lineRule="exact"/>
        <w:rPr>
          <w:sz w:val="20"/>
          <w:szCs w:val="20"/>
          <w:color w:val="auto"/>
        </w:rPr>
      </w:pPr>
    </w:p>
    <w:p>
      <w:pPr>
        <w:spacing w:after="0"/>
        <w:tabs>
          <w:tab w:leader="none" w:pos="560" w:val="left"/>
        </w:tabs>
        <w:rPr>
          <w:sz w:val="20"/>
          <w:szCs w:val="20"/>
          <w:color w:val="auto"/>
        </w:rPr>
      </w:pPr>
      <w:r>
        <w:rPr>
          <w:rFonts w:ascii="Arial" w:cs="Arial" w:eastAsia="Arial" w:hAnsi="Arial"/>
          <w:sz w:val="19"/>
          <w:szCs w:val="19"/>
          <w:color w:val="auto"/>
        </w:rPr>
        <w:t>1.39</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color w:val="auto"/>
        </w:rPr>
        <w:t>Vesting Factor</w:t>
      </w:r>
      <w:r>
        <w:rPr>
          <w:rFonts w:ascii="Arial" w:cs="Arial" w:eastAsia="Arial" w:hAnsi="Arial"/>
          <w:sz w:val="17"/>
          <w:szCs w:val="17"/>
          <w:color w:val="auto"/>
        </w:rPr>
        <w:t>” means the following for a Participant who qualifies for Retirement under paragraph 1.23.</w:t>
      </w:r>
    </w:p>
    <w:p>
      <w:pPr>
        <w:spacing w:after="0" w:line="190" w:lineRule="exact"/>
        <w:rPr>
          <w:sz w:val="20"/>
          <w:szCs w:val="20"/>
          <w:color w:val="auto"/>
        </w:rPr>
      </w:pPr>
    </w:p>
    <w:p>
      <w:pPr>
        <w:ind w:left="5020"/>
        <w:spacing w:after="0"/>
        <w:rPr>
          <w:sz w:val="20"/>
          <w:szCs w:val="20"/>
          <w:color w:val="auto"/>
        </w:rPr>
      </w:pPr>
      <w:r>
        <w:rPr>
          <w:rFonts w:ascii="Arial" w:cs="Arial" w:eastAsia="Arial" w:hAnsi="Arial"/>
          <w:sz w:val="19"/>
          <w:szCs w:val="19"/>
          <w:b w:val="1"/>
          <w:bCs w:val="1"/>
          <w:color w:val="auto"/>
        </w:rPr>
        <w:t>Vesting Schedule</w:t>
      </w:r>
    </w:p>
    <w:p>
      <w:pPr>
        <w:spacing w:after="0" w:line="221" w:lineRule="exact"/>
        <w:rPr>
          <w:sz w:val="20"/>
          <w:szCs w:val="20"/>
          <w:color w:val="auto"/>
        </w:rPr>
      </w:pPr>
    </w:p>
    <w:tbl>
      <w:tblPr>
        <w:tblLayout w:type="fixed"/>
        <w:tblInd w:w="2320" w:type="dxa"/>
        <w:tblCellMar>
          <w:top w:w="0" w:type="dxa"/>
          <w:left w:w="0" w:type="dxa"/>
          <w:bottom w:w="0" w:type="dxa"/>
          <w:right w:w="0" w:type="dxa"/>
        </w:tblCellMar>
      </w:tblPr>
      <w:tr>
        <w:trPr>
          <w:trHeight w:val="256"/>
        </w:trPr>
        <w:tc>
          <w:tcPr>
            <w:tcW w:w="9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080" w:type="dxa"/>
            <w:vAlign w:val="bottom"/>
            <w:gridSpan w:val="2"/>
          </w:tcPr>
          <w:p>
            <w:pPr>
              <w:ind w:left="20"/>
              <w:spacing w:after="0"/>
              <w:rPr>
                <w:sz w:val="20"/>
                <w:szCs w:val="20"/>
                <w:color w:val="auto"/>
              </w:rPr>
            </w:pPr>
            <w:r>
              <w:rPr>
                <w:rFonts w:ascii="Arial" w:cs="Arial" w:eastAsia="Arial" w:hAnsi="Arial"/>
                <w:sz w:val="19"/>
                <w:szCs w:val="19"/>
                <w:b w:val="1"/>
                <w:bCs w:val="1"/>
                <w:color w:val="auto"/>
              </w:rPr>
              <w:t>AGE</w:t>
            </w:r>
          </w:p>
        </w:tc>
        <w:tc>
          <w:tcPr>
            <w:tcW w:w="820" w:type="dxa"/>
            <w:vAlign w:val="bottom"/>
          </w:tcPr>
          <w:p>
            <w:pPr>
              <w:spacing w:after="0"/>
              <w:rPr>
                <w:sz w:val="22"/>
                <w:szCs w:val="22"/>
                <w:color w:val="auto"/>
              </w:rPr>
            </w:pPr>
          </w:p>
        </w:tc>
        <w:tc>
          <w:tcPr>
            <w:tcW w:w="86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60</w:t>
            </w:r>
          </w:p>
        </w:tc>
        <w:tc>
          <w:tcPr>
            <w:tcW w:w="0" w:type="dxa"/>
            <w:vAlign w:val="bottom"/>
          </w:tcPr>
          <w:p>
            <w:pPr>
              <w:spacing w:after="0"/>
              <w:rPr>
                <w:sz w:val="1"/>
                <w:szCs w:val="1"/>
                <w:color w:val="auto"/>
              </w:rPr>
            </w:pPr>
          </w:p>
        </w:tc>
      </w:tr>
      <w:tr>
        <w:trPr>
          <w:trHeight w:val="173"/>
        </w:trPr>
        <w:tc>
          <w:tcPr>
            <w:tcW w:w="9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900" w:type="dxa"/>
            <w:vAlign w:val="bottom"/>
            <w:vMerge w:val="restart"/>
          </w:tcPr>
          <w:p>
            <w:pPr>
              <w:jc w:val="center"/>
              <w:spacing w:after="0"/>
              <w:rPr>
                <w:sz w:val="20"/>
                <w:szCs w:val="20"/>
                <w:color w:val="auto"/>
              </w:rPr>
            </w:pPr>
            <w:r>
              <w:rPr>
                <w:rFonts w:ascii="Arial" w:cs="Arial" w:eastAsia="Arial" w:hAnsi="Arial"/>
                <w:sz w:val="19"/>
                <w:szCs w:val="19"/>
                <w:b w:val="1"/>
                <w:bCs w:val="1"/>
                <w:color w:val="auto"/>
              </w:rPr>
              <w:t>YEARS</w:t>
            </w:r>
          </w:p>
        </w:tc>
        <w:tc>
          <w:tcPr>
            <w:tcW w:w="980" w:type="dxa"/>
            <w:vAlign w:val="bottom"/>
            <w:vMerge w:val="restart"/>
          </w:tcPr>
          <w:p>
            <w:pPr>
              <w:ind w:left="60"/>
              <w:spacing w:after="0"/>
              <w:rPr>
                <w:sz w:val="20"/>
                <w:szCs w:val="20"/>
                <w:color w:val="auto"/>
              </w:rPr>
            </w:pPr>
            <w:r>
              <w:rPr>
                <w:rFonts w:ascii="Arial" w:cs="Arial" w:eastAsia="Arial" w:hAnsi="Arial"/>
                <w:sz w:val="16"/>
                <w:szCs w:val="16"/>
                <w:b w:val="1"/>
                <w:bCs w:val="1"/>
                <w:color w:val="auto"/>
              </w:rPr>
              <w:t>5</w:t>
            </w: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55</w:t>
            </w: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56</w:t>
            </w:r>
          </w:p>
        </w:tc>
        <w:tc>
          <w:tcPr>
            <w:tcW w:w="580" w:type="dxa"/>
            <w:vAlign w:val="bottom"/>
            <w:tcBorders>
              <w:bottom w:val="single" w:sz="8" w:color="auto"/>
            </w:tcBorders>
          </w:tcPr>
          <w:p>
            <w:pPr>
              <w:jc w:val="center"/>
              <w:ind w:left="167"/>
              <w:spacing w:after="0"/>
              <w:rPr>
                <w:sz w:val="20"/>
                <w:szCs w:val="20"/>
                <w:color w:val="auto"/>
              </w:rPr>
            </w:pPr>
            <w:r>
              <w:rPr>
                <w:rFonts w:ascii="Arial" w:cs="Arial" w:eastAsia="Arial" w:hAnsi="Arial"/>
                <w:sz w:val="16"/>
                <w:szCs w:val="16"/>
                <w:b w:val="1"/>
                <w:bCs w:val="1"/>
                <w:color w:val="auto"/>
              </w:rPr>
              <w:t>57</w:t>
            </w:r>
          </w:p>
        </w:tc>
        <w:tc>
          <w:tcPr>
            <w:tcW w:w="1080" w:type="dxa"/>
            <w:vAlign w:val="bottom"/>
            <w:tcBorders>
              <w:bottom w:val="single" w:sz="8" w:color="auto"/>
            </w:tcBorders>
            <w:gridSpan w:val="2"/>
          </w:tcPr>
          <w:p>
            <w:pPr>
              <w:jc w:val="center"/>
              <w:ind w:left="132"/>
              <w:spacing w:after="0"/>
              <w:rPr>
                <w:sz w:val="20"/>
                <w:szCs w:val="20"/>
                <w:color w:val="auto"/>
              </w:rPr>
            </w:pPr>
            <w:r>
              <w:rPr>
                <w:rFonts w:ascii="Arial" w:cs="Arial" w:eastAsia="Arial" w:hAnsi="Arial"/>
                <w:sz w:val="16"/>
                <w:szCs w:val="16"/>
                <w:b w:val="1"/>
                <w:bCs w:val="1"/>
                <w:color w:val="auto"/>
              </w:rPr>
              <w:t>58</w:t>
            </w: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59</w:t>
            </w: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7"/>
              </w:rPr>
              <w:t>or older</w:t>
            </w:r>
          </w:p>
        </w:tc>
        <w:tc>
          <w:tcPr>
            <w:tcW w:w="0" w:type="dxa"/>
            <w:vAlign w:val="bottom"/>
          </w:tcPr>
          <w:p>
            <w:pPr>
              <w:spacing w:after="0"/>
              <w:rPr>
                <w:sz w:val="1"/>
                <w:szCs w:val="1"/>
                <w:color w:val="auto"/>
              </w:rPr>
            </w:pPr>
          </w:p>
        </w:tc>
      </w:tr>
      <w:tr>
        <w:trPr>
          <w:trHeight w:val="184"/>
        </w:trPr>
        <w:tc>
          <w:tcPr>
            <w:tcW w:w="900" w:type="dxa"/>
            <w:vAlign w:val="bottom"/>
            <w:vMerge w:val="continue"/>
          </w:tcPr>
          <w:p>
            <w:pPr>
              <w:spacing w:after="0"/>
              <w:rPr>
                <w:sz w:val="16"/>
                <w:szCs w:val="16"/>
                <w:color w:val="auto"/>
              </w:rPr>
            </w:pPr>
          </w:p>
        </w:tc>
        <w:tc>
          <w:tcPr>
            <w:tcW w:w="980" w:type="dxa"/>
            <w:vAlign w:val="bottom"/>
            <w:vMerge w:val="continue"/>
          </w:tcPr>
          <w:p>
            <w:pPr>
              <w:spacing w:after="0"/>
              <w:rPr>
                <w:sz w:val="16"/>
                <w:szCs w:val="16"/>
                <w:color w:val="auto"/>
              </w:rPr>
            </w:pPr>
          </w:p>
        </w:tc>
        <w:tc>
          <w:tcPr>
            <w:tcW w:w="8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50%</w:t>
            </w:r>
          </w:p>
        </w:tc>
        <w:tc>
          <w:tcPr>
            <w:tcW w:w="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60%</w:t>
            </w:r>
          </w:p>
        </w:tc>
        <w:tc>
          <w:tcPr>
            <w:tcW w:w="580" w:type="dxa"/>
            <w:vAlign w:val="bottom"/>
            <w:tcBorders>
              <w:bottom w:val="single" w:sz="8" w:color="auto"/>
            </w:tcBorders>
          </w:tcPr>
          <w:p>
            <w:pPr>
              <w:jc w:val="center"/>
              <w:ind w:left="147"/>
              <w:spacing w:after="0"/>
              <w:rPr>
                <w:sz w:val="20"/>
                <w:szCs w:val="20"/>
                <w:color w:val="auto"/>
              </w:rPr>
            </w:pPr>
            <w:r>
              <w:rPr>
                <w:rFonts w:ascii="Arial" w:cs="Arial" w:eastAsia="Arial" w:hAnsi="Arial"/>
                <w:sz w:val="14"/>
                <w:szCs w:val="14"/>
                <w:color w:val="auto"/>
                <w:w w:val="99"/>
              </w:rPr>
              <w:t>70%</w:t>
            </w:r>
          </w:p>
        </w:tc>
        <w:tc>
          <w:tcPr>
            <w:tcW w:w="240" w:type="dxa"/>
            <w:vAlign w:val="bottom"/>
            <w:tcBorders>
              <w:bottom w:val="single" w:sz="8" w:color="auto"/>
              <w:right w:val="single" w:sz="8" w:color="auto"/>
            </w:tcBorders>
          </w:tcPr>
          <w:p>
            <w:pPr>
              <w:spacing w:after="0"/>
              <w:rPr>
                <w:sz w:val="16"/>
                <w:szCs w:val="16"/>
                <w:color w:val="auto"/>
              </w:rPr>
            </w:pPr>
          </w:p>
        </w:tc>
        <w:tc>
          <w:tcPr>
            <w:tcW w:w="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80%</w:t>
            </w:r>
          </w:p>
        </w:tc>
        <w:tc>
          <w:tcPr>
            <w:tcW w:w="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90%</w:t>
            </w:r>
          </w:p>
        </w:tc>
        <w:tc>
          <w:tcPr>
            <w:tcW w:w="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r>
        <w:trPr>
          <w:trHeight w:val="188"/>
        </w:trPr>
        <w:tc>
          <w:tcPr>
            <w:tcW w:w="900" w:type="dxa"/>
            <w:vAlign w:val="bottom"/>
          </w:tcPr>
          <w:p>
            <w:pPr>
              <w:jc w:val="center"/>
              <w:spacing w:after="0" w:line="188" w:lineRule="exact"/>
              <w:rPr>
                <w:sz w:val="20"/>
                <w:szCs w:val="20"/>
                <w:color w:val="auto"/>
              </w:rPr>
            </w:pPr>
            <w:r>
              <w:rPr>
                <w:rFonts w:ascii="Arial" w:cs="Arial" w:eastAsia="Arial" w:hAnsi="Arial"/>
                <w:sz w:val="19"/>
                <w:szCs w:val="19"/>
                <w:b w:val="1"/>
                <w:bCs w:val="1"/>
                <w:color w:val="auto"/>
                <w:w w:val="98"/>
              </w:rPr>
              <w:t>OF</w:t>
            </w:r>
          </w:p>
        </w:tc>
        <w:tc>
          <w:tcPr>
            <w:tcW w:w="980" w:type="dxa"/>
            <w:vAlign w:val="bottom"/>
          </w:tcPr>
          <w:p>
            <w:pPr>
              <w:ind w:left="60"/>
              <w:spacing w:after="0"/>
              <w:rPr>
                <w:sz w:val="20"/>
                <w:szCs w:val="20"/>
                <w:color w:val="auto"/>
              </w:rPr>
            </w:pPr>
            <w:r>
              <w:rPr>
                <w:rFonts w:ascii="Arial" w:cs="Arial" w:eastAsia="Arial" w:hAnsi="Arial"/>
                <w:sz w:val="16"/>
                <w:szCs w:val="16"/>
                <w:b w:val="1"/>
                <w:bCs w:val="1"/>
                <w:color w:val="auto"/>
              </w:rPr>
              <w:t>6</w:t>
            </w:r>
          </w:p>
        </w:tc>
        <w:tc>
          <w:tcPr>
            <w:tcW w:w="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55%</w:t>
            </w:r>
          </w:p>
        </w:tc>
        <w:tc>
          <w:tcPr>
            <w:tcW w:w="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60%</w:t>
            </w:r>
          </w:p>
        </w:tc>
        <w:tc>
          <w:tcPr>
            <w:tcW w:w="580" w:type="dxa"/>
            <w:vAlign w:val="bottom"/>
            <w:tcBorders>
              <w:bottom w:val="single" w:sz="8" w:color="auto"/>
            </w:tcBorders>
          </w:tcPr>
          <w:p>
            <w:pPr>
              <w:jc w:val="center"/>
              <w:ind w:left="147"/>
              <w:spacing w:after="0"/>
              <w:rPr>
                <w:sz w:val="20"/>
                <w:szCs w:val="20"/>
                <w:color w:val="auto"/>
              </w:rPr>
            </w:pPr>
            <w:r>
              <w:rPr>
                <w:rFonts w:ascii="Arial" w:cs="Arial" w:eastAsia="Arial" w:hAnsi="Arial"/>
                <w:sz w:val="14"/>
                <w:szCs w:val="14"/>
                <w:color w:val="auto"/>
                <w:w w:val="99"/>
              </w:rPr>
              <w:t>70%</w:t>
            </w:r>
          </w:p>
        </w:tc>
        <w:tc>
          <w:tcPr>
            <w:tcW w:w="240" w:type="dxa"/>
            <w:vAlign w:val="bottom"/>
            <w:tcBorders>
              <w:bottom w:val="single" w:sz="8" w:color="auto"/>
              <w:right w:val="single" w:sz="8" w:color="auto"/>
            </w:tcBorders>
          </w:tcPr>
          <w:p>
            <w:pPr>
              <w:spacing w:after="0"/>
              <w:rPr>
                <w:sz w:val="16"/>
                <w:szCs w:val="16"/>
                <w:color w:val="auto"/>
              </w:rPr>
            </w:pPr>
          </w:p>
        </w:tc>
        <w:tc>
          <w:tcPr>
            <w:tcW w:w="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80%</w:t>
            </w:r>
          </w:p>
        </w:tc>
        <w:tc>
          <w:tcPr>
            <w:tcW w:w="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90%</w:t>
            </w:r>
          </w:p>
        </w:tc>
        <w:tc>
          <w:tcPr>
            <w:tcW w:w="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r>
        <w:trPr>
          <w:trHeight w:val="184"/>
        </w:trPr>
        <w:tc>
          <w:tcPr>
            <w:tcW w:w="900" w:type="dxa"/>
            <w:vAlign w:val="bottom"/>
          </w:tcPr>
          <w:p>
            <w:pPr>
              <w:jc w:val="center"/>
              <w:spacing w:after="0" w:line="164" w:lineRule="exact"/>
              <w:rPr>
                <w:sz w:val="20"/>
                <w:szCs w:val="20"/>
                <w:color w:val="auto"/>
              </w:rPr>
            </w:pPr>
            <w:r>
              <w:rPr>
                <w:rFonts w:ascii="Arial" w:cs="Arial" w:eastAsia="Arial" w:hAnsi="Arial"/>
                <w:sz w:val="19"/>
                <w:szCs w:val="19"/>
                <w:b w:val="1"/>
                <w:bCs w:val="1"/>
                <w:color w:val="auto"/>
              </w:rPr>
              <w:t>SERVICE</w:t>
            </w:r>
          </w:p>
        </w:tc>
        <w:tc>
          <w:tcPr>
            <w:tcW w:w="980" w:type="dxa"/>
            <w:vAlign w:val="bottom"/>
          </w:tcPr>
          <w:p>
            <w:pPr>
              <w:ind w:left="60"/>
              <w:spacing w:after="0" w:line="165" w:lineRule="exact"/>
              <w:rPr>
                <w:sz w:val="20"/>
                <w:szCs w:val="20"/>
                <w:color w:val="auto"/>
              </w:rPr>
            </w:pPr>
            <w:r>
              <w:rPr>
                <w:rFonts w:ascii="Arial" w:cs="Arial" w:eastAsia="Arial" w:hAnsi="Arial"/>
                <w:sz w:val="16"/>
                <w:szCs w:val="16"/>
                <w:b w:val="1"/>
                <w:bCs w:val="1"/>
                <w:color w:val="auto"/>
              </w:rPr>
              <w:t>7</w:t>
            </w:r>
          </w:p>
        </w:tc>
        <w:tc>
          <w:tcPr>
            <w:tcW w:w="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60%</w:t>
            </w:r>
          </w:p>
        </w:tc>
        <w:tc>
          <w:tcPr>
            <w:tcW w:w="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65%</w:t>
            </w:r>
          </w:p>
        </w:tc>
        <w:tc>
          <w:tcPr>
            <w:tcW w:w="580" w:type="dxa"/>
            <w:vAlign w:val="bottom"/>
            <w:tcBorders>
              <w:bottom w:val="single" w:sz="8" w:color="auto"/>
            </w:tcBorders>
          </w:tcPr>
          <w:p>
            <w:pPr>
              <w:jc w:val="center"/>
              <w:ind w:left="147"/>
              <w:spacing w:after="0"/>
              <w:rPr>
                <w:sz w:val="20"/>
                <w:szCs w:val="20"/>
                <w:color w:val="auto"/>
              </w:rPr>
            </w:pPr>
            <w:r>
              <w:rPr>
                <w:rFonts w:ascii="Arial" w:cs="Arial" w:eastAsia="Arial" w:hAnsi="Arial"/>
                <w:sz w:val="14"/>
                <w:szCs w:val="14"/>
                <w:color w:val="auto"/>
                <w:w w:val="99"/>
              </w:rPr>
              <w:t>70%</w:t>
            </w:r>
          </w:p>
        </w:tc>
        <w:tc>
          <w:tcPr>
            <w:tcW w:w="240" w:type="dxa"/>
            <w:vAlign w:val="bottom"/>
            <w:tcBorders>
              <w:bottom w:val="single" w:sz="8" w:color="auto"/>
              <w:right w:val="single" w:sz="8" w:color="auto"/>
            </w:tcBorders>
          </w:tcPr>
          <w:p>
            <w:pPr>
              <w:spacing w:after="0"/>
              <w:rPr>
                <w:sz w:val="16"/>
                <w:szCs w:val="16"/>
                <w:color w:val="auto"/>
              </w:rPr>
            </w:pPr>
          </w:p>
        </w:tc>
        <w:tc>
          <w:tcPr>
            <w:tcW w:w="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80%</w:t>
            </w:r>
          </w:p>
        </w:tc>
        <w:tc>
          <w:tcPr>
            <w:tcW w:w="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90%</w:t>
            </w:r>
          </w:p>
        </w:tc>
        <w:tc>
          <w:tcPr>
            <w:tcW w:w="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r>
        <w:trPr>
          <w:trHeight w:val="184"/>
        </w:trPr>
        <w:tc>
          <w:tcPr>
            <w:tcW w:w="900" w:type="dxa"/>
            <w:vAlign w:val="bottom"/>
          </w:tcPr>
          <w:p>
            <w:pPr>
              <w:spacing w:after="0"/>
              <w:rPr>
                <w:sz w:val="16"/>
                <w:szCs w:val="16"/>
                <w:color w:val="auto"/>
              </w:rPr>
            </w:pPr>
          </w:p>
        </w:tc>
        <w:tc>
          <w:tcPr>
            <w:tcW w:w="980" w:type="dxa"/>
            <w:vAlign w:val="bottom"/>
          </w:tcPr>
          <w:p>
            <w:pPr>
              <w:ind w:left="60"/>
              <w:spacing w:after="0"/>
              <w:rPr>
                <w:sz w:val="20"/>
                <w:szCs w:val="20"/>
                <w:color w:val="auto"/>
              </w:rPr>
            </w:pPr>
            <w:r>
              <w:rPr>
                <w:rFonts w:ascii="Arial" w:cs="Arial" w:eastAsia="Arial" w:hAnsi="Arial"/>
                <w:sz w:val="16"/>
                <w:szCs w:val="16"/>
                <w:b w:val="1"/>
                <w:bCs w:val="1"/>
                <w:color w:val="auto"/>
              </w:rPr>
              <w:t>8</w:t>
            </w:r>
          </w:p>
        </w:tc>
        <w:tc>
          <w:tcPr>
            <w:tcW w:w="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65%</w:t>
            </w:r>
          </w:p>
        </w:tc>
        <w:tc>
          <w:tcPr>
            <w:tcW w:w="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70%</w:t>
            </w:r>
          </w:p>
        </w:tc>
        <w:tc>
          <w:tcPr>
            <w:tcW w:w="580" w:type="dxa"/>
            <w:vAlign w:val="bottom"/>
            <w:tcBorders>
              <w:bottom w:val="single" w:sz="8" w:color="auto"/>
            </w:tcBorders>
          </w:tcPr>
          <w:p>
            <w:pPr>
              <w:jc w:val="center"/>
              <w:ind w:left="147"/>
              <w:spacing w:after="0"/>
              <w:rPr>
                <w:sz w:val="20"/>
                <w:szCs w:val="20"/>
                <w:color w:val="auto"/>
              </w:rPr>
            </w:pPr>
            <w:r>
              <w:rPr>
                <w:rFonts w:ascii="Arial" w:cs="Arial" w:eastAsia="Arial" w:hAnsi="Arial"/>
                <w:sz w:val="14"/>
                <w:szCs w:val="14"/>
                <w:color w:val="auto"/>
                <w:w w:val="99"/>
              </w:rPr>
              <w:t>75%</w:t>
            </w:r>
          </w:p>
        </w:tc>
        <w:tc>
          <w:tcPr>
            <w:tcW w:w="240" w:type="dxa"/>
            <w:vAlign w:val="bottom"/>
            <w:tcBorders>
              <w:bottom w:val="single" w:sz="8" w:color="auto"/>
              <w:right w:val="single" w:sz="8" w:color="auto"/>
            </w:tcBorders>
          </w:tcPr>
          <w:p>
            <w:pPr>
              <w:spacing w:after="0"/>
              <w:rPr>
                <w:sz w:val="16"/>
                <w:szCs w:val="16"/>
                <w:color w:val="auto"/>
              </w:rPr>
            </w:pPr>
          </w:p>
        </w:tc>
        <w:tc>
          <w:tcPr>
            <w:tcW w:w="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80%</w:t>
            </w:r>
          </w:p>
        </w:tc>
        <w:tc>
          <w:tcPr>
            <w:tcW w:w="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90%</w:t>
            </w:r>
          </w:p>
        </w:tc>
        <w:tc>
          <w:tcPr>
            <w:tcW w:w="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r>
        <w:trPr>
          <w:trHeight w:val="184"/>
        </w:trPr>
        <w:tc>
          <w:tcPr>
            <w:tcW w:w="900" w:type="dxa"/>
            <w:vAlign w:val="bottom"/>
          </w:tcPr>
          <w:p>
            <w:pPr>
              <w:spacing w:after="0"/>
              <w:rPr>
                <w:sz w:val="16"/>
                <w:szCs w:val="16"/>
                <w:color w:val="auto"/>
              </w:rPr>
            </w:pPr>
          </w:p>
        </w:tc>
        <w:tc>
          <w:tcPr>
            <w:tcW w:w="980" w:type="dxa"/>
            <w:vAlign w:val="bottom"/>
          </w:tcPr>
          <w:p>
            <w:pPr>
              <w:ind w:left="60"/>
              <w:spacing w:after="0"/>
              <w:rPr>
                <w:sz w:val="20"/>
                <w:szCs w:val="20"/>
                <w:color w:val="auto"/>
              </w:rPr>
            </w:pPr>
            <w:r>
              <w:rPr>
                <w:rFonts w:ascii="Arial" w:cs="Arial" w:eastAsia="Arial" w:hAnsi="Arial"/>
                <w:sz w:val="16"/>
                <w:szCs w:val="16"/>
                <w:b w:val="1"/>
                <w:bCs w:val="1"/>
                <w:color w:val="auto"/>
              </w:rPr>
              <w:t>9</w:t>
            </w:r>
          </w:p>
        </w:tc>
        <w:tc>
          <w:tcPr>
            <w:tcW w:w="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70%</w:t>
            </w:r>
          </w:p>
        </w:tc>
        <w:tc>
          <w:tcPr>
            <w:tcW w:w="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75%</w:t>
            </w:r>
          </w:p>
        </w:tc>
        <w:tc>
          <w:tcPr>
            <w:tcW w:w="580" w:type="dxa"/>
            <w:vAlign w:val="bottom"/>
            <w:tcBorders>
              <w:bottom w:val="single" w:sz="8" w:color="auto"/>
            </w:tcBorders>
          </w:tcPr>
          <w:p>
            <w:pPr>
              <w:jc w:val="center"/>
              <w:ind w:left="147"/>
              <w:spacing w:after="0"/>
              <w:rPr>
                <w:sz w:val="20"/>
                <w:szCs w:val="20"/>
                <w:color w:val="auto"/>
              </w:rPr>
            </w:pPr>
            <w:r>
              <w:rPr>
                <w:rFonts w:ascii="Arial" w:cs="Arial" w:eastAsia="Arial" w:hAnsi="Arial"/>
                <w:sz w:val="14"/>
                <w:szCs w:val="14"/>
                <w:color w:val="auto"/>
                <w:w w:val="99"/>
              </w:rPr>
              <w:t>80%</w:t>
            </w:r>
          </w:p>
        </w:tc>
        <w:tc>
          <w:tcPr>
            <w:tcW w:w="240" w:type="dxa"/>
            <w:vAlign w:val="bottom"/>
            <w:tcBorders>
              <w:bottom w:val="single" w:sz="8" w:color="auto"/>
              <w:right w:val="single" w:sz="8" w:color="auto"/>
            </w:tcBorders>
          </w:tcPr>
          <w:p>
            <w:pPr>
              <w:spacing w:after="0"/>
              <w:rPr>
                <w:sz w:val="16"/>
                <w:szCs w:val="16"/>
                <w:color w:val="auto"/>
              </w:rPr>
            </w:pPr>
          </w:p>
        </w:tc>
        <w:tc>
          <w:tcPr>
            <w:tcW w:w="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85%</w:t>
            </w:r>
          </w:p>
        </w:tc>
        <w:tc>
          <w:tcPr>
            <w:tcW w:w="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90%</w:t>
            </w:r>
          </w:p>
        </w:tc>
        <w:tc>
          <w:tcPr>
            <w:tcW w:w="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r>
        <w:trPr>
          <w:trHeight w:val="184"/>
        </w:trPr>
        <w:tc>
          <w:tcPr>
            <w:tcW w:w="900" w:type="dxa"/>
            <w:vAlign w:val="bottom"/>
          </w:tcPr>
          <w:p>
            <w:pPr>
              <w:spacing w:after="0"/>
              <w:rPr>
                <w:sz w:val="16"/>
                <w:szCs w:val="16"/>
                <w:color w:val="auto"/>
              </w:rPr>
            </w:pPr>
          </w:p>
        </w:tc>
        <w:tc>
          <w:tcPr>
            <w:tcW w:w="980" w:type="dxa"/>
            <w:vAlign w:val="bottom"/>
          </w:tcPr>
          <w:p>
            <w:pPr>
              <w:ind w:left="60"/>
              <w:spacing w:after="0"/>
              <w:rPr>
                <w:sz w:val="20"/>
                <w:szCs w:val="20"/>
                <w:color w:val="auto"/>
              </w:rPr>
            </w:pPr>
            <w:r>
              <w:rPr>
                <w:rFonts w:ascii="Arial" w:cs="Arial" w:eastAsia="Arial" w:hAnsi="Arial"/>
                <w:sz w:val="16"/>
                <w:szCs w:val="16"/>
                <w:b w:val="1"/>
                <w:bCs w:val="1"/>
                <w:color w:val="auto"/>
              </w:rPr>
              <w:t>10</w:t>
            </w:r>
          </w:p>
        </w:tc>
        <w:tc>
          <w:tcPr>
            <w:tcW w:w="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75%</w:t>
            </w:r>
          </w:p>
        </w:tc>
        <w:tc>
          <w:tcPr>
            <w:tcW w:w="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80%</w:t>
            </w:r>
          </w:p>
        </w:tc>
        <w:tc>
          <w:tcPr>
            <w:tcW w:w="580" w:type="dxa"/>
            <w:vAlign w:val="bottom"/>
            <w:tcBorders>
              <w:bottom w:val="single" w:sz="8" w:color="auto"/>
            </w:tcBorders>
          </w:tcPr>
          <w:p>
            <w:pPr>
              <w:jc w:val="center"/>
              <w:ind w:left="147"/>
              <w:spacing w:after="0"/>
              <w:rPr>
                <w:sz w:val="20"/>
                <w:szCs w:val="20"/>
                <w:color w:val="auto"/>
              </w:rPr>
            </w:pPr>
            <w:r>
              <w:rPr>
                <w:rFonts w:ascii="Arial" w:cs="Arial" w:eastAsia="Arial" w:hAnsi="Arial"/>
                <w:sz w:val="14"/>
                <w:szCs w:val="14"/>
                <w:color w:val="auto"/>
                <w:w w:val="99"/>
              </w:rPr>
              <w:t>85%</w:t>
            </w:r>
          </w:p>
        </w:tc>
        <w:tc>
          <w:tcPr>
            <w:tcW w:w="240" w:type="dxa"/>
            <w:vAlign w:val="bottom"/>
            <w:tcBorders>
              <w:bottom w:val="single" w:sz="8" w:color="auto"/>
              <w:right w:val="single" w:sz="8" w:color="auto"/>
            </w:tcBorders>
          </w:tcPr>
          <w:p>
            <w:pPr>
              <w:spacing w:after="0"/>
              <w:rPr>
                <w:sz w:val="16"/>
                <w:szCs w:val="16"/>
                <w:color w:val="auto"/>
              </w:rPr>
            </w:pPr>
          </w:p>
        </w:tc>
        <w:tc>
          <w:tcPr>
            <w:tcW w:w="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90%</w:t>
            </w:r>
          </w:p>
        </w:tc>
        <w:tc>
          <w:tcPr>
            <w:tcW w:w="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95%</w:t>
            </w:r>
          </w:p>
        </w:tc>
        <w:tc>
          <w:tcPr>
            <w:tcW w:w="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r>
        <w:trPr>
          <w:trHeight w:val="184"/>
        </w:trPr>
        <w:tc>
          <w:tcPr>
            <w:tcW w:w="900" w:type="dxa"/>
            <w:vAlign w:val="bottom"/>
          </w:tcPr>
          <w:p>
            <w:pPr>
              <w:spacing w:after="0"/>
              <w:rPr>
                <w:sz w:val="16"/>
                <w:szCs w:val="16"/>
                <w:color w:val="auto"/>
              </w:rPr>
            </w:pPr>
          </w:p>
        </w:tc>
        <w:tc>
          <w:tcPr>
            <w:tcW w:w="980" w:type="dxa"/>
            <w:vAlign w:val="bottom"/>
          </w:tcPr>
          <w:p>
            <w:pPr>
              <w:ind w:left="60"/>
              <w:spacing w:after="0"/>
              <w:rPr>
                <w:sz w:val="20"/>
                <w:szCs w:val="20"/>
                <w:color w:val="auto"/>
              </w:rPr>
            </w:pPr>
            <w:r>
              <w:rPr>
                <w:rFonts w:ascii="Arial" w:cs="Arial" w:eastAsia="Arial" w:hAnsi="Arial"/>
                <w:sz w:val="16"/>
                <w:szCs w:val="16"/>
                <w:b w:val="1"/>
                <w:bCs w:val="1"/>
                <w:color w:val="auto"/>
              </w:rPr>
              <w:t>11</w:t>
            </w:r>
          </w:p>
        </w:tc>
        <w:tc>
          <w:tcPr>
            <w:tcW w:w="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80%</w:t>
            </w:r>
          </w:p>
        </w:tc>
        <w:tc>
          <w:tcPr>
            <w:tcW w:w="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85%</w:t>
            </w:r>
          </w:p>
        </w:tc>
        <w:tc>
          <w:tcPr>
            <w:tcW w:w="580" w:type="dxa"/>
            <w:vAlign w:val="bottom"/>
            <w:tcBorders>
              <w:bottom w:val="single" w:sz="8" w:color="auto"/>
            </w:tcBorders>
          </w:tcPr>
          <w:p>
            <w:pPr>
              <w:jc w:val="center"/>
              <w:ind w:left="147"/>
              <w:spacing w:after="0"/>
              <w:rPr>
                <w:sz w:val="20"/>
                <w:szCs w:val="20"/>
                <w:color w:val="auto"/>
              </w:rPr>
            </w:pPr>
            <w:r>
              <w:rPr>
                <w:rFonts w:ascii="Arial" w:cs="Arial" w:eastAsia="Arial" w:hAnsi="Arial"/>
                <w:sz w:val="14"/>
                <w:szCs w:val="14"/>
                <w:color w:val="auto"/>
                <w:w w:val="99"/>
              </w:rPr>
              <w:t>90%</w:t>
            </w:r>
          </w:p>
        </w:tc>
        <w:tc>
          <w:tcPr>
            <w:tcW w:w="240" w:type="dxa"/>
            <w:vAlign w:val="bottom"/>
            <w:tcBorders>
              <w:bottom w:val="single" w:sz="8" w:color="auto"/>
              <w:right w:val="single" w:sz="8" w:color="auto"/>
            </w:tcBorders>
          </w:tcPr>
          <w:p>
            <w:pPr>
              <w:spacing w:after="0"/>
              <w:rPr>
                <w:sz w:val="16"/>
                <w:szCs w:val="16"/>
                <w:color w:val="auto"/>
              </w:rPr>
            </w:pPr>
          </w:p>
        </w:tc>
        <w:tc>
          <w:tcPr>
            <w:tcW w:w="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95%</w:t>
            </w:r>
          </w:p>
        </w:tc>
        <w:tc>
          <w:tcPr>
            <w:tcW w:w="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100%</w:t>
            </w:r>
          </w:p>
        </w:tc>
        <w:tc>
          <w:tcPr>
            <w:tcW w:w="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r>
        <w:trPr>
          <w:trHeight w:val="184"/>
        </w:trPr>
        <w:tc>
          <w:tcPr>
            <w:tcW w:w="900" w:type="dxa"/>
            <w:vAlign w:val="bottom"/>
          </w:tcPr>
          <w:p>
            <w:pPr>
              <w:spacing w:after="0"/>
              <w:rPr>
                <w:sz w:val="16"/>
                <w:szCs w:val="16"/>
                <w:color w:val="auto"/>
              </w:rPr>
            </w:pPr>
          </w:p>
        </w:tc>
        <w:tc>
          <w:tcPr>
            <w:tcW w:w="980" w:type="dxa"/>
            <w:vAlign w:val="bottom"/>
          </w:tcPr>
          <w:p>
            <w:pPr>
              <w:ind w:left="60"/>
              <w:spacing w:after="0"/>
              <w:rPr>
                <w:sz w:val="20"/>
                <w:szCs w:val="20"/>
                <w:color w:val="auto"/>
              </w:rPr>
            </w:pPr>
            <w:r>
              <w:rPr>
                <w:rFonts w:ascii="Arial" w:cs="Arial" w:eastAsia="Arial" w:hAnsi="Arial"/>
                <w:sz w:val="16"/>
                <w:szCs w:val="16"/>
                <w:b w:val="1"/>
                <w:bCs w:val="1"/>
                <w:color w:val="auto"/>
              </w:rPr>
              <w:t>12</w:t>
            </w:r>
          </w:p>
        </w:tc>
        <w:tc>
          <w:tcPr>
            <w:tcW w:w="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85%</w:t>
            </w:r>
          </w:p>
        </w:tc>
        <w:tc>
          <w:tcPr>
            <w:tcW w:w="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90%</w:t>
            </w:r>
          </w:p>
        </w:tc>
        <w:tc>
          <w:tcPr>
            <w:tcW w:w="580" w:type="dxa"/>
            <w:vAlign w:val="bottom"/>
            <w:tcBorders>
              <w:bottom w:val="single" w:sz="8" w:color="auto"/>
            </w:tcBorders>
          </w:tcPr>
          <w:p>
            <w:pPr>
              <w:jc w:val="center"/>
              <w:ind w:left="147"/>
              <w:spacing w:after="0"/>
              <w:rPr>
                <w:sz w:val="20"/>
                <w:szCs w:val="20"/>
                <w:color w:val="auto"/>
              </w:rPr>
            </w:pPr>
            <w:r>
              <w:rPr>
                <w:rFonts w:ascii="Arial" w:cs="Arial" w:eastAsia="Arial" w:hAnsi="Arial"/>
                <w:sz w:val="14"/>
                <w:szCs w:val="14"/>
                <w:color w:val="auto"/>
                <w:w w:val="99"/>
              </w:rPr>
              <w:t>95%</w:t>
            </w:r>
          </w:p>
        </w:tc>
        <w:tc>
          <w:tcPr>
            <w:tcW w:w="240" w:type="dxa"/>
            <w:vAlign w:val="bottom"/>
            <w:tcBorders>
              <w:bottom w:val="single" w:sz="8" w:color="auto"/>
              <w:right w:val="single" w:sz="8" w:color="auto"/>
            </w:tcBorders>
          </w:tcPr>
          <w:p>
            <w:pPr>
              <w:spacing w:after="0"/>
              <w:rPr>
                <w:sz w:val="16"/>
                <w:szCs w:val="16"/>
                <w:color w:val="auto"/>
              </w:rPr>
            </w:pPr>
          </w:p>
        </w:tc>
        <w:tc>
          <w:tcPr>
            <w:tcW w:w="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100%</w:t>
            </w:r>
          </w:p>
        </w:tc>
        <w:tc>
          <w:tcPr>
            <w:tcW w:w="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100%</w:t>
            </w:r>
          </w:p>
        </w:tc>
        <w:tc>
          <w:tcPr>
            <w:tcW w:w="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r>
        <w:trPr>
          <w:trHeight w:val="184"/>
        </w:trPr>
        <w:tc>
          <w:tcPr>
            <w:tcW w:w="900" w:type="dxa"/>
            <w:vAlign w:val="bottom"/>
          </w:tcPr>
          <w:p>
            <w:pPr>
              <w:spacing w:after="0"/>
              <w:rPr>
                <w:sz w:val="16"/>
                <w:szCs w:val="16"/>
                <w:color w:val="auto"/>
              </w:rPr>
            </w:pPr>
          </w:p>
        </w:tc>
        <w:tc>
          <w:tcPr>
            <w:tcW w:w="980" w:type="dxa"/>
            <w:vAlign w:val="bottom"/>
          </w:tcPr>
          <w:p>
            <w:pPr>
              <w:ind w:left="60"/>
              <w:spacing w:after="0"/>
              <w:rPr>
                <w:sz w:val="20"/>
                <w:szCs w:val="20"/>
                <w:color w:val="auto"/>
              </w:rPr>
            </w:pPr>
            <w:r>
              <w:rPr>
                <w:rFonts w:ascii="Arial" w:cs="Arial" w:eastAsia="Arial" w:hAnsi="Arial"/>
                <w:sz w:val="16"/>
                <w:szCs w:val="16"/>
                <w:b w:val="1"/>
                <w:bCs w:val="1"/>
                <w:color w:val="auto"/>
              </w:rPr>
              <w:t>13</w:t>
            </w:r>
          </w:p>
        </w:tc>
        <w:tc>
          <w:tcPr>
            <w:tcW w:w="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90%</w:t>
            </w:r>
          </w:p>
        </w:tc>
        <w:tc>
          <w:tcPr>
            <w:tcW w:w="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95%</w:t>
            </w:r>
          </w:p>
        </w:tc>
        <w:tc>
          <w:tcPr>
            <w:tcW w:w="580" w:type="dxa"/>
            <w:vAlign w:val="bottom"/>
            <w:tcBorders>
              <w:bottom w:val="single" w:sz="8" w:color="auto"/>
            </w:tcBorders>
          </w:tcPr>
          <w:p>
            <w:pPr>
              <w:jc w:val="center"/>
              <w:ind w:left="147"/>
              <w:spacing w:after="0"/>
              <w:rPr>
                <w:sz w:val="20"/>
                <w:szCs w:val="20"/>
                <w:color w:val="auto"/>
              </w:rPr>
            </w:pPr>
            <w:r>
              <w:rPr>
                <w:rFonts w:ascii="Arial" w:cs="Arial" w:eastAsia="Arial" w:hAnsi="Arial"/>
                <w:sz w:val="14"/>
                <w:szCs w:val="14"/>
                <w:color w:val="auto"/>
              </w:rPr>
              <w:t>100%</w:t>
            </w:r>
          </w:p>
        </w:tc>
        <w:tc>
          <w:tcPr>
            <w:tcW w:w="240" w:type="dxa"/>
            <w:vAlign w:val="bottom"/>
            <w:tcBorders>
              <w:bottom w:val="single" w:sz="8" w:color="auto"/>
              <w:right w:val="single" w:sz="8" w:color="auto"/>
            </w:tcBorders>
          </w:tcPr>
          <w:p>
            <w:pPr>
              <w:spacing w:after="0"/>
              <w:rPr>
                <w:sz w:val="16"/>
                <w:szCs w:val="16"/>
                <w:color w:val="auto"/>
              </w:rPr>
            </w:pPr>
          </w:p>
        </w:tc>
        <w:tc>
          <w:tcPr>
            <w:tcW w:w="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100%</w:t>
            </w:r>
          </w:p>
        </w:tc>
        <w:tc>
          <w:tcPr>
            <w:tcW w:w="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100%</w:t>
            </w:r>
          </w:p>
        </w:tc>
        <w:tc>
          <w:tcPr>
            <w:tcW w:w="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r>
        <w:trPr>
          <w:trHeight w:val="184"/>
        </w:trPr>
        <w:tc>
          <w:tcPr>
            <w:tcW w:w="900" w:type="dxa"/>
            <w:vAlign w:val="bottom"/>
          </w:tcPr>
          <w:p>
            <w:pPr>
              <w:spacing w:after="0"/>
              <w:rPr>
                <w:sz w:val="16"/>
                <w:szCs w:val="16"/>
                <w:color w:val="auto"/>
              </w:rPr>
            </w:pPr>
          </w:p>
        </w:tc>
        <w:tc>
          <w:tcPr>
            <w:tcW w:w="980" w:type="dxa"/>
            <w:vAlign w:val="bottom"/>
          </w:tcPr>
          <w:p>
            <w:pPr>
              <w:ind w:left="60"/>
              <w:spacing w:after="0"/>
              <w:rPr>
                <w:sz w:val="20"/>
                <w:szCs w:val="20"/>
                <w:color w:val="auto"/>
              </w:rPr>
            </w:pPr>
            <w:r>
              <w:rPr>
                <w:rFonts w:ascii="Arial" w:cs="Arial" w:eastAsia="Arial" w:hAnsi="Arial"/>
                <w:sz w:val="16"/>
                <w:szCs w:val="16"/>
                <w:b w:val="1"/>
                <w:bCs w:val="1"/>
                <w:color w:val="auto"/>
              </w:rPr>
              <w:t>14</w:t>
            </w:r>
          </w:p>
        </w:tc>
        <w:tc>
          <w:tcPr>
            <w:tcW w:w="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95%</w:t>
            </w:r>
          </w:p>
        </w:tc>
        <w:tc>
          <w:tcPr>
            <w:tcW w:w="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100%</w:t>
            </w:r>
          </w:p>
        </w:tc>
        <w:tc>
          <w:tcPr>
            <w:tcW w:w="580" w:type="dxa"/>
            <w:vAlign w:val="bottom"/>
            <w:tcBorders>
              <w:bottom w:val="single" w:sz="8" w:color="auto"/>
            </w:tcBorders>
          </w:tcPr>
          <w:p>
            <w:pPr>
              <w:jc w:val="center"/>
              <w:ind w:left="147"/>
              <w:spacing w:after="0"/>
              <w:rPr>
                <w:sz w:val="20"/>
                <w:szCs w:val="20"/>
                <w:color w:val="auto"/>
              </w:rPr>
            </w:pPr>
            <w:r>
              <w:rPr>
                <w:rFonts w:ascii="Arial" w:cs="Arial" w:eastAsia="Arial" w:hAnsi="Arial"/>
                <w:sz w:val="14"/>
                <w:szCs w:val="14"/>
                <w:color w:val="auto"/>
              </w:rPr>
              <w:t>100%</w:t>
            </w:r>
          </w:p>
        </w:tc>
        <w:tc>
          <w:tcPr>
            <w:tcW w:w="240" w:type="dxa"/>
            <w:vAlign w:val="bottom"/>
            <w:tcBorders>
              <w:bottom w:val="single" w:sz="8" w:color="auto"/>
              <w:right w:val="single" w:sz="8" w:color="auto"/>
            </w:tcBorders>
          </w:tcPr>
          <w:p>
            <w:pPr>
              <w:spacing w:after="0"/>
              <w:rPr>
                <w:sz w:val="16"/>
                <w:szCs w:val="16"/>
                <w:color w:val="auto"/>
              </w:rPr>
            </w:pPr>
          </w:p>
        </w:tc>
        <w:tc>
          <w:tcPr>
            <w:tcW w:w="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100%</w:t>
            </w:r>
          </w:p>
        </w:tc>
        <w:tc>
          <w:tcPr>
            <w:tcW w:w="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100%</w:t>
            </w:r>
          </w:p>
        </w:tc>
        <w:tc>
          <w:tcPr>
            <w:tcW w:w="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r>
        <w:trPr>
          <w:trHeight w:val="163"/>
        </w:trPr>
        <w:tc>
          <w:tcPr>
            <w:tcW w:w="900" w:type="dxa"/>
            <w:vAlign w:val="bottom"/>
          </w:tcPr>
          <w:p>
            <w:pPr>
              <w:spacing w:after="0"/>
              <w:rPr>
                <w:sz w:val="14"/>
                <w:szCs w:val="14"/>
                <w:color w:val="auto"/>
              </w:rPr>
            </w:pPr>
          </w:p>
        </w:tc>
        <w:tc>
          <w:tcPr>
            <w:tcW w:w="980" w:type="dxa"/>
            <w:vAlign w:val="bottom"/>
          </w:tcPr>
          <w:p>
            <w:pPr>
              <w:ind w:left="60"/>
              <w:spacing w:after="0" w:line="164" w:lineRule="exact"/>
              <w:rPr>
                <w:sz w:val="20"/>
                <w:szCs w:val="20"/>
                <w:color w:val="auto"/>
              </w:rPr>
            </w:pPr>
            <w:r>
              <w:rPr>
                <w:rFonts w:ascii="Arial" w:cs="Arial" w:eastAsia="Arial" w:hAnsi="Arial"/>
                <w:sz w:val="16"/>
                <w:szCs w:val="16"/>
                <w:b w:val="1"/>
                <w:bCs w:val="1"/>
                <w:color w:val="auto"/>
              </w:rPr>
              <w:t>15</w:t>
            </w:r>
          </w:p>
        </w:tc>
        <w:tc>
          <w:tcPr>
            <w:tcW w:w="8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rPr>
              <w:t>100%</w:t>
            </w:r>
          </w:p>
        </w:tc>
        <w:tc>
          <w:tcPr>
            <w:tcW w:w="8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rPr>
              <w:t>100%</w:t>
            </w:r>
          </w:p>
        </w:tc>
        <w:tc>
          <w:tcPr>
            <w:tcW w:w="580" w:type="dxa"/>
            <w:vAlign w:val="bottom"/>
            <w:vMerge w:val="restart"/>
          </w:tcPr>
          <w:p>
            <w:pPr>
              <w:jc w:val="center"/>
              <w:ind w:left="147"/>
              <w:spacing w:after="0"/>
              <w:rPr>
                <w:sz w:val="20"/>
                <w:szCs w:val="20"/>
                <w:color w:val="auto"/>
              </w:rPr>
            </w:pPr>
            <w:r>
              <w:rPr>
                <w:rFonts w:ascii="Arial" w:cs="Arial" w:eastAsia="Arial" w:hAnsi="Arial"/>
                <w:sz w:val="14"/>
                <w:szCs w:val="14"/>
                <w:color w:val="auto"/>
              </w:rPr>
              <w:t>100%</w:t>
            </w:r>
          </w:p>
        </w:tc>
        <w:tc>
          <w:tcPr>
            <w:tcW w:w="240" w:type="dxa"/>
            <w:vAlign w:val="bottom"/>
            <w:tcBorders>
              <w:right w:val="single" w:sz="8" w:color="auto"/>
            </w:tcBorders>
          </w:tcPr>
          <w:p>
            <w:pPr>
              <w:spacing w:after="0"/>
              <w:rPr>
                <w:sz w:val="14"/>
                <w:szCs w:val="14"/>
                <w:color w:val="auto"/>
              </w:rPr>
            </w:pPr>
          </w:p>
        </w:tc>
        <w:tc>
          <w:tcPr>
            <w:tcW w:w="8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rPr>
              <w:t>100%</w:t>
            </w:r>
          </w:p>
        </w:tc>
        <w:tc>
          <w:tcPr>
            <w:tcW w:w="8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rPr>
              <w:t>100%</w:t>
            </w:r>
          </w:p>
        </w:tc>
        <w:tc>
          <w:tcPr>
            <w:tcW w:w="8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r>
        <w:trPr>
          <w:trHeight w:val="99"/>
        </w:trPr>
        <w:tc>
          <w:tcPr>
            <w:tcW w:w="900" w:type="dxa"/>
            <w:vAlign w:val="bottom"/>
          </w:tcPr>
          <w:p>
            <w:pPr>
              <w:spacing w:after="0"/>
              <w:rPr>
                <w:sz w:val="8"/>
                <w:szCs w:val="8"/>
                <w:color w:val="auto"/>
              </w:rPr>
            </w:pPr>
          </w:p>
        </w:tc>
        <w:tc>
          <w:tcPr>
            <w:tcW w:w="980" w:type="dxa"/>
            <w:vAlign w:val="bottom"/>
            <w:vMerge w:val="restart"/>
          </w:tcPr>
          <w:p>
            <w:pPr>
              <w:ind w:left="60"/>
              <w:spacing w:after="0"/>
              <w:rPr>
                <w:sz w:val="20"/>
                <w:szCs w:val="20"/>
                <w:color w:val="auto"/>
              </w:rPr>
            </w:pPr>
            <w:r>
              <w:rPr>
                <w:rFonts w:ascii="Arial" w:cs="Arial" w:eastAsia="Arial" w:hAnsi="Arial"/>
                <w:sz w:val="16"/>
                <w:szCs w:val="16"/>
                <w:b w:val="1"/>
                <w:bCs w:val="1"/>
                <w:color w:val="auto"/>
              </w:rPr>
              <w:t>or more</w:t>
            </w:r>
          </w:p>
        </w:tc>
        <w:tc>
          <w:tcPr>
            <w:tcW w:w="840" w:type="dxa"/>
            <w:vAlign w:val="bottom"/>
            <w:tcBorders>
              <w:right w:val="single" w:sz="8" w:color="auto"/>
            </w:tcBorders>
            <w:vMerge w:val="continue"/>
          </w:tcPr>
          <w:p>
            <w:pPr>
              <w:spacing w:after="0"/>
              <w:rPr>
                <w:sz w:val="8"/>
                <w:szCs w:val="8"/>
                <w:color w:val="auto"/>
              </w:rPr>
            </w:pPr>
          </w:p>
        </w:tc>
        <w:tc>
          <w:tcPr>
            <w:tcW w:w="840" w:type="dxa"/>
            <w:vAlign w:val="bottom"/>
            <w:tcBorders>
              <w:right w:val="single" w:sz="8" w:color="auto"/>
            </w:tcBorders>
            <w:vMerge w:val="continue"/>
          </w:tcPr>
          <w:p>
            <w:pPr>
              <w:spacing w:after="0"/>
              <w:rPr>
                <w:sz w:val="8"/>
                <w:szCs w:val="8"/>
                <w:color w:val="auto"/>
              </w:rPr>
            </w:pPr>
          </w:p>
        </w:tc>
        <w:tc>
          <w:tcPr>
            <w:tcW w:w="580" w:type="dxa"/>
            <w:vAlign w:val="bottom"/>
            <w:vMerge w:val="continue"/>
          </w:tcPr>
          <w:p>
            <w:pPr>
              <w:spacing w:after="0"/>
              <w:rPr>
                <w:sz w:val="8"/>
                <w:szCs w:val="8"/>
                <w:color w:val="auto"/>
              </w:rPr>
            </w:pPr>
          </w:p>
        </w:tc>
        <w:tc>
          <w:tcPr>
            <w:tcW w:w="240" w:type="dxa"/>
            <w:vAlign w:val="bottom"/>
            <w:tcBorders>
              <w:right w:val="single" w:sz="8" w:color="auto"/>
            </w:tcBorders>
          </w:tcPr>
          <w:p>
            <w:pPr>
              <w:spacing w:after="0"/>
              <w:rPr>
                <w:sz w:val="8"/>
                <w:szCs w:val="8"/>
                <w:color w:val="auto"/>
              </w:rPr>
            </w:pPr>
          </w:p>
        </w:tc>
        <w:tc>
          <w:tcPr>
            <w:tcW w:w="840" w:type="dxa"/>
            <w:vAlign w:val="bottom"/>
            <w:tcBorders>
              <w:right w:val="single" w:sz="8" w:color="auto"/>
            </w:tcBorders>
            <w:vMerge w:val="continue"/>
          </w:tcPr>
          <w:p>
            <w:pPr>
              <w:spacing w:after="0"/>
              <w:rPr>
                <w:sz w:val="8"/>
                <w:szCs w:val="8"/>
                <w:color w:val="auto"/>
              </w:rPr>
            </w:pPr>
          </w:p>
        </w:tc>
        <w:tc>
          <w:tcPr>
            <w:tcW w:w="820" w:type="dxa"/>
            <w:vAlign w:val="bottom"/>
            <w:tcBorders>
              <w:right w:val="single" w:sz="8" w:color="auto"/>
            </w:tcBorders>
            <w:vMerge w:val="continue"/>
          </w:tcPr>
          <w:p>
            <w:pPr>
              <w:spacing w:after="0"/>
              <w:rPr>
                <w:sz w:val="8"/>
                <w:szCs w:val="8"/>
                <w:color w:val="auto"/>
              </w:rPr>
            </w:pPr>
          </w:p>
        </w:tc>
        <w:tc>
          <w:tcPr>
            <w:tcW w:w="86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900" w:type="dxa"/>
            <w:vAlign w:val="bottom"/>
          </w:tcPr>
          <w:p>
            <w:pPr>
              <w:spacing w:after="0"/>
              <w:rPr>
                <w:sz w:val="8"/>
                <w:szCs w:val="8"/>
                <w:color w:val="auto"/>
              </w:rPr>
            </w:pPr>
          </w:p>
        </w:tc>
        <w:tc>
          <w:tcPr>
            <w:tcW w:w="980" w:type="dxa"/>
            <w:vAlign w:val="bottom"/>
            <w:vMerge w:val="continue"/>
          </w:tcPr>
          <w:p>
            <w:pPr>
              <w:spacing w:after="0"/>
              <w:rPr>
                <w:sz w:val="8"/>
                <w:szCs w:val="8"/>
                <w:color w:val="auto"/>
              </w:rPr>
            </w:pPr>
          </w:p>
        </w:tc>
        <w:tc>
          <w:tcPr>
            <w:tcW w:w="840" w:type="dxa"/>
            <w:vAlign w:val="bottom"/>
            <w:tcBorders>
              <w:bottom w:val="single" w:sz="8" w:color="auto"/>
              <w:right w:val="single" w:sz="8" w:color="auto"/>
            </w:tcBorders>
          </w:tcPr>
          <w:p>
            <w:pPr>
              <w:spacing w:after="0"/>
              <w:rPr>
                <w:sz w:val="8"/>
                <w:szCs w:val="8"/>
                <w:color w:val="auto"/>
              </w:rPr>
            </w:pPr>
          </w:p>
        </w:tc>
        <w:tc>
          <w:tcPr>
            <w:tcW w:w="840" w:type="dxa"/>
            <w:vAlign w:val="bottom"/>
            <w:tcBorders>
              <w:bottom w:val="single" w:sz="8" w:color="auto"/>
              <w:right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40" w:type="dxa"/>
            <w:vAlign w:val="bottom"/>
            <w:tcBorders>
              <w:bottom w:val="single" w:sz="8" w:color="auto"/>
              <w:right w:val="single" w:sz="8" w:color="auto"/>
            </w:tcBorders>
          </w:tcPr>
          <w:p>
            <w:pPr>
              <w:spacing w:after="0"/>
              <w:rPr>
                <w:sz w:val="8"/>
                <w:szCs w:val="8"/>
                <w:color w:val="auto"/>
              </w:rPr>
            </w:pPr>
          </w:p>
        </w:tc>
        <w:tc>
          <w:tcPr>
            <w:tcW w:w="840" w:type="dxa"/>
            <w:vAlign w:val="bottom"/>
            <w:tcBorders>
              <w:bottom w:val="single" w:sz="8" w:color="auto"/>
              <w:right w:val="single" w:sz="8" w:color="auto"/>
            </w:tcBorders>
          </w:tcPr>
          <w:p>
            <w:pPr>
              <w:spacing w:after="0"/>
              <w:rPr>
                <w:sz w:val="8"/>
                <w:szCs w:val="8"/>
                <w:color w:val="auto"/>
              </w:rPr>
            </w:pPr>
          </w:p>
        </w:tc>
        <w:tc>
          <w:tcPr>
            <w:tcW w:w="820" w:type="dxa"/>
            <w:vAlign w:val="bottom"/>
            <w:tcBorders>
              <w:bottom w:val="single" w:sz="8" w:color="auto"/>
              <w:right w:val="single" w:sz="8" w:color="auto"/>
            </w:tcBorders>
          </w:tcPr>
          <w:p>
            <w:pPr>
              <w:spacing w:after="0"/>
              <w:rPr>
                <w:sz w:val="8"/>
                <w:szCs w:val="8"/>
                <w:color w:val="auto"/>
              </w:rPr>
            </w:pPr>
          </w:p>
        </w:tc>
        <w:tc>
          <w:tcPr>
            <w:tcW w:w="86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63" w:lineRule="exact"/>
        <w:rPr>
          <w:sz w:val="20"/>
          <w:szCs w:val="20"/>
          <w:color w:val="auto"/>
        </w:rPr>
      </w:pPr>
    </w:p>
    <w:p>
      <w:pPr>
        <w:ind w:left="580"/>
        <w:spacing w:after="0"/>
        <w:rPr>
          <w:sz w:val="20"/>
          <w:szCs w:val="20"/>
          <w:color w:val="auto"/>
        </w:rPr>
      </w:pPr>
      <w:r>
        <w:rPr>
          <w:rFonts w:ascii="Arial" w:cs="Arial" w:eastAsia="Arial" w:hAnsi="Arial"/>
          <w:sz w:val="19"/>
          <w:szCs w:val="19"/>
          <w:b w:val="1"/>
          <w:bCs w:val="1"/>
          <w:color w:val="auto"/>
        </w:rPr>
        <w:t>Based on attained age and completed years of service.</w:t>
      </w:r>
    </w:p>
    <w:p>
      <w:pPr>
        <w:spacing w:after="0" w:line="190" w:lineRule="exact"/>
        <w:rPr>
          <w:sz w:val="20"/>
          <w:szCs w:val="20"/>
          <w:color w:val="auto"/>
        </w:rPr>
      </w:pPr>
    </w:p>
    <w:p>
      <w:pPr>
        <w:ind w:left="580" w:right="160" w:hanging="576"/>
        <w:spacing w:after="0" w:line="255" w:lineRule="auto"/>
        <w:tabs>
          <w:tab w:leader="none" w:pos="560" w:val="left"/>
        </w:tabs>
        <w:rPr>
          <w:sz w:val="20"/>
          <w:szCs w:val="20"/>
          <w:color w:val="auto"/>
        </w:rPr>
      </w:pPr>
      <w:r>
        <w:rPr>
          <w:rFonts w:ascii="Arial" w:cs="Arial" w:eastAsia="Arial" w:hAnsi="Arial"/>
          <w:sz w:val="19"/>
          <w:szCs w:val="19"/>
          <w:color w:val="auto"/>
        </w:rPr>
        <w:t>1.40</w:t>
        <w:tab/>
        <w:t>“</w:t>
      </w:r>
      <w:r>
        <w:rPr>
          <w:rFonts w:ascii="Arial" w:cs="Arial" w:eastAsia="Arial" w:hAnsi="Arial"/>
          <w:sz w:val="19"/>
          <w:szCs w:val="19"/>
          <w:b w:val="1"/>
          <w:bCs w:val="1"/>
          <w:color w:val="auto"/>
        </w:rPr>
        <w:t>Voluntary Disability Insurance Program</w:t>
      </w:r>
      <w:r>
        <w:rPr>
          <w:rFonts w:ascii="Arial" w:cs="Arial" w:eastAsia="Arial" w:hAnsi="Arial"/>
          <w:sz w:val="19"/>
          <w:szCs w:val="19"/>
          <w:color w:val="auto"/>
        </w:rPr>
        <w:t>” means the program offered by Sempra Energy under which certain employees of Sempra Energy or a subsidiary may purchase supplemental long term disability insurance coverage, such supplemental coverage shall be voluntary and the cost of such coverage shall be paid by the employee.</w:t>
      </w:r>
    </w:p>
    <w:p>
      <w:pPr>
        <w:spacing w:after="0" w:line="132" w:lineRule="exact"/>
        <w:rPr>
          <w:sz w:val="20"/>
          <w:szCs w:val="20"/>
          <w:color w:val="auto"/>
        </w:rPr>
      </w:pPr>
    </w:p>
    <w:p>
      <w:pPr>
        <w:ind w:left="580" w:right="80" w:hanging="576"/>
        <w:spacing w:after="0" w:line="302" w:lineRule="auto"/>
        <w:tabs>
          <w:tab w:leader="none" w:pos="560" w:val="left"/>
        </w:tabs>
        <w:rPr>
          <w:sz w:val="20"/>
          <w:szCs w:val="20"/>
          <w:color w:val="auto"/>
        </w:rPr>
      </w:pPr>
      <w:r>
        <w:rPr>
          <w:rFonts w:ascii="Arial" w:cs="Arial" w:eastAsia="Arial" w:hAnsi="Arial"/>
          <w:sz w:val="19"/>
          <w:szCs w:val="19"/>
          <w:color w:val="auto"/>
        </w:rPr>
        <w:t>1.41</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Voluntary Disability Benefit</w:t>
      </w:r>
      <w:r>
        <w:rPr>
          <w:rFonts w:ascii="Arial" w:cs="Arial" w:eastAsia="Arial" w:hAnsi="Arial"/>
          <w:sz w:val="18"/>
          <w:szCs w:val="18"/>
          <w:color w:val="auto"/>
        </w:rPr>
        <w:t>” means the annual amount of benefit payable from the supplemental long term disability insurance coverage (if any) purchased by a Participant under the Voluntary Disability Insurance Program and maintained by such Participant.</w:t>
      </w:r>
    </w:p>
    <w:p>
      <w:pPr>
        <w:spacing w:after="0" w:line="110" w:lineRule="exact"/>
        <w:rPr>
          <w:sz w:val="20"/>
          <w:szCs w:val="20"/>
          <w:color w:val="auto"/>
        </w:rPr>
      </w:pPr>
    </w:p>
    <w:p>
      <w:pPr>
        <w:jc w:val="center"/>
        <w:ind w:right="280"/>
        <w:spacing w:after="0"/>
        <w:rPr>
          <w:sz w:val="20"/>
          <w:szCs w:val="20"/>
          <w:color w:val="auto"/>
        </w:rPr>
      </w:pPr>
      <w:r>
        <w:rPr>
          <w:rFonts w:ascii="Arial" w:cs="Arial" w:eastAsia="Arial" w:hAnsi="Arial"/>
          <w:sz w:val="17"/>
          <w:szCs w:val="17"/>
          <w:color w:val="auto"/>
        </w:rPr>
        <w:t>The masculine pronoun whenever used shall include the feminine pronoun, and the singular shall include the plural where the context requires it.</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SECTION 2</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ELIGIBILITY FOR BENEFITS</w:t>
      </w:r>
    </w:p>
    <w:p>
      <w:pPr>
        <w:spacing w:after="0" w:line="178" w:lineRule="exact"/>
        <w:rPr>
          <w:sz w:val="20"/>
          <w:szCs w:val="20"/>
          <w:color w:val="auto"/>
        </w:rPr>
      </w:pPr>
    </w:p>
    <w:p>
      <w:pPr>
        <w:spacing w:after="0"/>
        <w:tabs>
          <w:tab w:leader="none" w:pos="560" w:val="left"/>
        </w:tabs>
        <w:rPr>
          <w:sz w:val="20"/>
          <w:szCs w:val="20"/>
          <w:color w:val="auto"/>
        </w:rPr>
      </w:pPr>
      <w:r>
        <w:rPr>
          <w:rFonts w:ascii="Arial" w:cs="Arial" w:eastAsia="Arial" w:hAnsi="Arial"/>
          <w:sz w:val="19"/>
          <w:szCs w:val="19"/>
          <w:color w:val="auto"/>
        </w:rPr>
        <w:t>2.1</w:t>
      </w:r>
      <w:r>
        <w:rPr>
          <w:sz w:val="20"/>
          <w:szCs w:val="20"/>
          <w:color w:val="auto"/>
        </w:rPr>
        <w:tab/>
      </w:r>
      <w:r>
        <w:rPr>
          <w:rFonts w:ascii="Arial" w:cs="Arial" w:eastAsia="Arial" w:hAnsi="Arial"/>
          <w:sz w:val="17"/>
          <w:szCs w:val="17"/>
          <w:b w:val="1"/>
          <w:bCs w:val="1"/>
          <w:color w:val="auto"/>
        </w:rPr>
        <w:t>Participation</w:t>
      </w:r>
    </w:p>
    <w:p>
      <w:pPr>
        <w:spacing w:after="0" w:line="196" w:lineRule="exact"/>
        <w:rPr>
          <w:sz w:val="20"/>
          <w:szCs w:val="20"/>
          <w:color w:val="auto"/>
        </w:rPr>
      </w:pPr>
    </w:p>
    <w:p>
      <w:pPr>
        <w:ind w:left="580" w:right="500"/>
        <w:spacing w:after="0" w:line="247" w:lineRule="auto"/>
        <w:rPr>
          <w:sz w:val="20"/>
          <w:szCs w:val="20"/>
          <w:color w:val="auto"/>
        </w:rPr>
      </w:pPr>
      <w:r>
        <w:rPr>
          <w:rFonts w:ascii="Arial" w:cs="Arial" w:eastAsia="Arial" w:hAnsi="Arial"/>
          <w:sz w:val="19"/>
          <w:szCs w:val="19"/>
          <w:color w:val="auto"/>
        </w:rPr>
        <w:t>Executive Officers of the Company as designated shall be eligible to participate in this Plan. The Committee may designate additional officers and key employees of the Employer who shall participate in this Plan and the effective date of such participation, subject to agreement by the Board of Directors of the executive's Employer (if not the Company) that such executive participate and that such Employer pay the costs of this Plan for the executive and his Surviving Spouse.</w:t>
      </w:r>
    </w:p>
    <w:p>
      <w:pPr>
        <w:spacing w:after="0" w:line="152" w:lineRule="exact"/>
        <w:rPr>
          <w:sz w:val="20"/>
          <w:szCs w:val="20"/>
          <w:color w:val="auto"/>
        </w:rPr>
      </w:pPr>
    </w:p>
    <w:p>
      <w:pPr>
        <w:spacing w:after="0"/>
        <w:tabs>
          <w:tab w:leader="none" w:pos="560" w:val="left"/>
        </w:tabs>
        <w:rPr>
          <w:sz w:val="20"/>
          <w:szCs w:val="20"/>
          <w:color w:val="auto"/>
        </w:rPr>
      </w:pPr>
      <w:r>
        <w:rPr>
          <w:rFonts w:ascii="Arial" w:cs="Arial" w:eastAsia="Arial" w:hAnsi="Arial"/>
          <w:sz w:val="19"/>
          <w:szCs w:val="19"/>
          <w:color w:val="auto"/>
        </w:rPr>
        <w:t>2.2</w:t>
      </w:r>
      <w:r>
        <w:rPr>
          <w:sz w:val="20"/>
          <w:szCs w:val="20"/>
          <w:color w:val="auto"/>
        </w:rPr>
        <w:tab/>
      </w:r>
      <w:r>
        <w:rPr>
          <w:rFonts w:ascii="Arial" w:cs="Arial" w:eastAsia="Arial" w:hAnsi="Arial"/>
          <w:sz w:val="17"/>
          <w:szCs w:val="17"/>
          <w:b w:val="1"/>
          <w:bCs w:val="1"/>
          <w:color w:val="auto"/>
        </w:rPr>
        <w:t>Supplemental Retirement Benefit</w:t>
      </w:r>
    </w:p>
    <w:p>
      <w:pPr>
        <w:spacing w:after="0" w:line="196" w:lineRule="exact"/>
        <w:rPr>
          <w:sz w:val="20"/>
          <w:szCs w:val="20"/>
          <w:color w:val="auto"/>
        </w:rPr>
      </w:pPr>
    </w:p>
    <w:p>
      <w:pPr>
        <w:ind w:left="580"/>
        <w:spacing w:after="0" w:line="252" w:lineRule="auto"/>
        <w:rPr>
          <w:sz w:val="20"/>
          <w:szCs w:val="20"/>
          <w:color w:val="auto"/>
        </w:rPr>
      </w:pPr>
      <w:r>
        <w:rPr>
          <w:rFonts w:ascii="Arial" w:cs="Arial" w:eastAsia="Arial" w:hAnsi="Arial"/>
          <w:sz w:val="19"/>
          <w:szCs w:val="19"/>
          <w:color w:val="auto"/>
        </w:rPr>
        <w:t>Each Participant is eligible to retire and receive a benefit under this Plan as specified in Sections 3.1 and 3.4 beginning on his Retirement Date. No Supplemental Retirement Benefit will be paid to a Participant who leaves Employment prior to attaining age 55 or completing five years of Service, except as provided under other agreements.</w:t>
      </w:r>
    </w:p>
    <w:p>
      <w:pPr>
        <w:spacing w:after="0" w:line="135" w:lineRule="exact"/>
        <w:rPr>
          <w:sz w:val="20"/>
          <w:szCs w:val="20"/>
          <w:color w:val="auto"/>
        </w:rPr>
      </w:pPr>
    </w:p>
    <w:p>
      <w:pPr>
        <w:spacing w:after="0"/>
        <w:tabs>
          <w:tab w:leader="none" w:pos="560" w:val="left"/>
        </w:tabs>
        <w:rPr>
          <w:sz w:val="20"/>
          <w:szCs w:val="20"/>
          <w:color w:val="auto"/>
        </w:rPr>
      </w:pPr>
      <w:r>
        <w:rPr>
          <w:rFonts w:ascii="Arial" w:cs="Arial" w:eastAsia="Arial" w:hAnsi="Arial"/>
          <w:sz w:val="19"/>
          <w:szCs w:val="19"/>
          <w:color w:val="auto"/>
        </w:rPr>
        <w:t>2.3</w:t>
      </w:r>
      <w:r>
        <w:rPr>
          <w:sz w:val="20"/>
          <w:szCs w:val="20"/>
          <w:color w:val="auto"/>
        </w:rPr>
        <w:tab/>
      </w:r>
      <w:r>
        <w:rPr>
          <w:rFonts w:ascii="Arial" w:cs="Arial" w:eastAsia="Arial" w:hAnsi="Arial"/>
          <w:sz w:val="17"/>
          <w:szCs w:val="17"/>
          <w:b w:val="1"/>
          <w:bCs w:val="1"/>
          <w:color w:val="auto"/>
        </w:rPr>
        <w:t>Spouse's Supplemental Retirement Benefit</w:t>
      </w:r>
    </w:p>
    <w:p>
      <w:pPr>
        <w:spacing w:after="0" w:line="196" w:lineRule="exact"/>
        <w:rPr>
          <w:sz w:val="20"/>
          <w:szCs w:val="20"/>
          <w:color w:val="auto"/>
        </w:rPr>
      </w:pPr>
    </w:p>
    <w:p>
      <w:pPr>
        <w:ind w:left="580" w:right="320"/>
        <w:spacing w:after="0" w:line="266" w:lineRule="auto"/>
        <w:rPr>
          <w:sz w:val="20"/>
          <w:szCs w:val="20"/>
          <w:color w:val="auto"/>
        </w:rPr>
      </w:pPr>
      <w:r>
        <w:rPr>
          <w:rFonts w:ascii="Arial" w:cs="Arial" w:eastAsia="Arial" w:hAnsi="Arial"/>
          <w:sz w:val="19"/>
          <w:szCs w:val="19"/>
          <w:color w:val="auto"/>
        </w:rPr>
        <w:t>The Surviving Spouse of a Participant who dies on or after his Retirement Date who did not receive a lump sum payment is eligible for a Spouse's Supplemental Retirement Benefit in accordance with Sections 3.2 and 3.4.</w:t>
      </w:r>
    </w:p>
    <w:p>
      <w:pPr>
        <w:spacing w:after="0" w:line="122" w:lineRule="exact"/>
        <w:rPr>
          <w:sz w:val="20"/>
          <w:szCs w:val="20"/>
          <w:color w:val="auto"/>
        </w:rPr>
      </w:pPr>
    </w:p>
    <w:p>
      <w:pPr>
        <w:spacing w:after="0"/>
        <w:tabs>
          <w:tab w:leader="none" w:pos="560" w:val="left"/>
        </w:tabs>
        <w:rPr>
          <w:sz w:val="20"/>
          <w:szCs w:val="20"/>
          <w:color w:val="auto"/>
        </w:rPr>
      </w:pPr>
      <w:r>
        <w:rPr>
          <w:rFonts w:ascii="Arial" w:cs="Arial" w:eastAsia="Arial" w:hAnsi="Arial"/>
          <w:sz w:val="19"/>
          <w:szCs w:val="19"/>
          <w:color w:val="auto"/>
        </w:rPr>
        <w:t>2.4</w:t>
      </w:r>
      <w:r>
        <w:rPr>
          <w:sz w:val="20"/>
          <w:szCs w:val="20"/>
          <w:color w:val="auto"/>
        </w:rPr>
        <w:tab/>
      </w:r>
      <w:r>
        <w:rPr>
          <w:rFonts w:ascii="Arial" w:cs="Arial" w:eastAsia="Arial" w:hAnsi="Arial"/>
          <w:sz w:val="16"/>
          <w:szCs w:val="16"/>
          <w:b w:val="1"/>
          <w:bCs w:val="1"/>
          <w:color w:val="auto"/>
        </w:rPr>
        <w:t>Spouse's Death Benefit</w:t>
      </w:r>
    </w:p>
    <w:p>
      <w:pPr>
        <w:sectPr>
          <w:pgSz w:w="11900" w:h="16838" w:orient="portrait"/>
          <w:cols w:equalWidth="0" w:num="1">
            <w:col w:w="11420"/>
          </w:cols>
          <w:pgMar w:left="240" w:top="115" w:right="239" w:bottom="0" w:gutter="0" w:footer="0" w:header="0"/>
        </w:sectPr>
      </w:pPr>
    </w:p>
    <w:bookmarkStart w:id="118" w:name="page119"/>
    <w:bookmarkEnd w:id="118"/>
    <w:p>
      <w:pPr>
        <w:ind w:left="580" w:right="160"/>
        <w:spacing w:after="0" w:line="252" w:lineRule="auto"/>
        <w:rPr>
          <w:sz w:val="20"/>
          <w:szCs w:val="20"/>
          <w:color w:val="auto"/>
        </w:rPr>
      </w:pPr>
      <w:r>
        <w:rPr>
          <w:rFonts w:ascii="Arial" w:cs="Arial" w:eastAsia="Arial" w:hAnsi="Arial"/>
          <w:sz w:val="19"/>
          <w:szCs w:val="19"/>
          <w:color w:val="auto"/>
        </w:rPr>
        <w:t>The Surviving Spouse of a Participant who dies in Employment is eligible for a Spouse's Death Benefit as specified in Sections 4.1 and 4.2 in the form of a lump sum benefit. There is no cost to the Participant for this benefit. If a Participant dies during Employment without an eligible Surviving Spouse, no Spouse's Death Benefit is payable under this Plan.</w:t>
      </w:r>
    </w:p>
    <w:p>
      <w:pPr>
        <w:spacing w:after="0" w:line="136" w:lineRule="exact"/>
        <w:rPr>
          <w:sz w:val="20"/>
          <w:szCs w:val="20"/>
          <w:color w:val="auto"/>
        </w:rPr>
      </w:pPr>
    </w:p>
    <w:p>
      <w:pPr>
        <w:spacing w:after="0"/>
        <w:tabs>
          <w:tab w:leader="none" w:pos="560" w:val="left"/>
        </w:tabs>
        <w:rPr>
          <w:sz w:val="20"/>
          <w:szCs w:val="20"/>
          <w:color w:val="auto"/>
        </w:rPr>
      </w:pPr>
      <w:r>
        <w:rPr>
          <w:rFonts w:ascii="Arial" w:cs="Arial" w:eastAsia="Arial" w:hAnsi="Arial"/>
          <w:sz w:val="19"/>
          <w:szCs w:val="19"/>
          <w:color w:val="auto"/>
        </w:rPr>
        <w:t>2.5</w:t>
      </w:r>
      <w:r>
        <w:rPr>
          <w:sz w:val="20"/>
          <w:szCs w:val="20"/>
          <w:color w:val="auto"/>
        </w:rPr>
        <w:tab/>
      </w:r>
      <w:r>
        <w:rPr>
          <w:rFonts w:ascii="Arial" w:cs="Arial" w:eastAsia="Arial" w:hAnsi="Arial"/>
          <w:sz w:val="17"/>
          <w:szCs w:val="17"/>
          <w:b w:val="1"/>
          <w:bCs w:val="1"/>
          <w:color w:val="auto"/>
        </w:rPr>
        <w:t>Supplemental Disability Benefit</w:t>
      </w:r>
    </w:p>
    <w:p>
      <w:pPr>
        <w:spacing w:after="0" w:line="196" w:lineRule="exact"/>
        <w:rPr>
          <w:sz w:val="20"/>
          <w:szCs w:val="20"/>
          <w:color w:val="auto"/>
        </w:rPr>
      </w:pPr>
    </w:p>
    <w:p>
      <w:pPr>
        <w:ind w:left="580"/>
        <w:spacing w:after="0"/>
        <w:rPr>
          <w:sz w:val="20"/>
          <w:szCs w:val="20"/>
          <w:color w:val="auto"/>
        </w:rPr>
      </w:pPr>
      <w:r>
        <w:rPr>
          <w:rFonts w:ascii="Arial" w:cs="Arial" w:eastAsia="Arial" w:hAnsi="Arial"/>
          <w:sz w:val="19"/>
          <w:szCs w:val="19"/>
          <w:color w:val="auto"/>
        </w:rPr>
        <w:t>A Participant who becomes disabled may be eligible to receive a Supplemental Disability Benefit as specified in Section 5.</w:t>
      </w:r>
    </w:p>
    <w:p>
      <w:pPr>
        <w:spacing w:after="0" w:line="184" w:lineRule="exact"/>
        <w:rPr>
          <w:sz w:val="20"/>
          <w:szCs w:val="20"/>
          <w:color w:val="auto"/>
        </w:rPr>
      </w:pPr>
    </w:p>
    <w:p>
      <w:pPr>
        <w:ind w:left="5200"/>
        <w:spacing w:after="0"/>
        <w:rPr>
          <w:sz w:val="20"/>
          <w:szCs w:val="20"/>
          <w:color w:val="auto"/>
        </w:rPr>
      </w:pPr>
      <w:r>
        <w:rPr>
          <w:rFonts w:ascii="Arial" w:cs="Arial" w:eastAsia="Arial" w:hAnsi="Arial"/>
          <w:sz w:val="19"/>
          <w:szCs w:val="19"/>
          <w:b w:val="1"/>
          <w:bCs w:val="1"/>
          <w:color w:val="auto"/>
        </w:rPr>
        <w:t>SECTION 3</w:t>
      </w:r>
    </w:p>
    <w:p>
      <w:pPr>
        <w:spacing w:after="0" w:line="190" w:lineRule="exact"/>
        <w:rPr>
          <w:sz w:val="20"/>
          <w:szCs w:val="20"/>
          <w:color w:val="auto"/>
        </w:rPr>
      </w:pPr>
    </w:p>
    <w:p>
      <w:pPr>
        <w:ind w:left="4560"/>
        <w:spacing w:after="0"/>
        <w:rPr>
          <w:sz w:val="20"/>
          <w:szCs w:val="20"/>
          <w:color w:val="auto"/>
        </w:rPr>
      </w:pPr>
      <w:r>
        <w:rPr>
          <w:rFonts w:ascii="Arial" w:cs="Arial" w:eastAsia="Arial" w:hAnsi="Arial"/>
          <w:sz w:val="19"/>
          <w:szCs w:val="19"/>
          <w:b w:val="1"/>
          <w:bCs w:val="1"/>
          <w:color w:val="auto"/>
        </w:rPr>
        <w:t>RETIREMENT BENEFITS</w:t>
      </w:r>
    </w:p>
    <w:p>
      <w:pPr>
        <w:spacing w:after="0" w:line="190" w:lineRule="exact"/>
        <w:rPr>
          <w:sz w:val="20"/>
          <w:szCs w:val="20"/>
          <w:color w:val="auto"/>
        </w:rPr>
      </w:pPr>
    </w:p>
    <w:p>
      <w:pPr>
        <w:spacing w:after="0"/>
        <w:tabs>
          <w:tab w:leader="none" w:pos="560" w:val="left"/>
        </w:tabs>
        <w:rPr>
          <w:sz w:val="20"/>
          <w:szCs w:val="20"/>
          <w:color w:val="auto"/>
        </w:rPr>
      </w:pPr>
      <w:r>
        <w:rPr>
          <w:rFonts w:ascii="Arial" w:cs="Arial" w:eastAsia="Arial" w:hAnsi="Arial"/>
          <w:sz w:val="19"/>
          <w:szCs w:val="19"/>
          <w:color w:val="auto"/>
        </w:rPr>
        <w:t>3.1</w:t>
      </w:r>
      <w:r>
        <w:rPr>
          <w:sz w:val="20"/>
          <w:szCs w:val="20"/>
          <w:color w:val="auto"/>
        </w:rPr>
        <w:tab/>
      </w:r>
      <w:r>
        <w:rPr>
          <w:rFonts w:ascii="Arial" w:cs="Arial" w:eastAsia="Arial" w:hAnsi="Arial"/>
          <w:sz w:val="17"/>
          <w:szCs w:val="17"/>
          <w:b w:val="1"/>
          <w:bCs w:val="1"/>
          <w:color w:val="auto"/>
        </w:rPr>
        <w:t>Amount of Supplemental Retirement Benefit</w:t>
      </w:r>
    </w:p>
    <w:p>
      <w:pPr>
        <w:spacing w:after="0" w:line="196" w:lineRule="exact"/>
        <w:rPr>
          <w:sz w:val="20"/>
          <w:szCs w:val="20"/>
          <w:color w:val="auto"/>
        </w:rPr>
      </w:pPr>
    </w:p>
    <w:p>
      <w:pPr>
        <w:ind w:left="580" w:right="60"/>
        <w:spacing w:after="0" w:line="252" w:lineRule="auto"/>
        <w:rPr>
          <w:sz w:val="20"/>
          <w:szCs w:val="20"/>
          <w:color w:val="auto"/>
        </w:rPr>
      </w:pPr>
      <w:r>
        <w:rPr>
          <w:rFonts w:ascii="Arial" w:cs="Arial" w:eastAsia="Arial" w:hAnsi="Arial"/>
          <w:sz w:val="19"/>
          <w:szCs w:val="19"/>
          <w:color w:val="auto"/>
        </w:rPr>
        <w:t>The Supplemental Retirement Benefit payable to a Participant shall be determined as of his Retirement Date and shall equal to (a) minus (b) with the resultant product multiplied by the Participant’s Vesting Factor and then the resultant product multiplied by the early retirement reduction (pursuant to Appendix A) for Retirement Dates which precede attainment of 62 years of age.</w:t>
      </w:r>
    </w:p>
    <w:p>
      <w:pPr>
        <w:spacing w:after="0" w:line="141" w:lineRule="exact"/>
        <w:rPr>
          <w:sz w:val="20"/>
          <w:szCs w:val="20"/>
          <w:color w:val="auto"/>
        </w:rPr>
      </w:pPr>
    </w:p>
    <w:p>
      <w:pPr>
        <w:ind w:left="1140" w:right="380" w:hanging="567"/>
        <w:spacing w:after="0" w:line="252" w:lineRule="auto"/>
        <w:tabs>
          <w:tab w:leader="none" w:pos="1140" w:val="left"/>
        </w:tabs>
        <w:numPr>
          <w:ilvl w:val="0"/>
          <w:numId w:val="171"/>
        </w:numPr>
        <w:rPr>
          <w:rFonts w:ascii="Arial" w:cs="Arial" w:eastAsia="Arial" w:hAnsi="Arial"/>
          <w:sz w:val="19"/>
          <w:szCs w:val="19"/>
          <w:color w:val="auto"/>
        </w:rPr>
      </w:pPr>
      <w:r>
        <w:rPr>
          <w:rFonts w:ascii="Arial" w:cs="Arial" w:eastAsia="Arial" w:hAnsi="Arial"/>
          <w:sz w:val="19"/>
          <w:szCs w:val="19"/>
          <w:color w:val="auto"/>
        </w:rPr>
        <w:t>is a lump sum using the actuarial and mortality assumptions in the Basic Pension Plan based upon the single annuity value of the annual annuity with the annual annuity determined as follows: the sum of the following percent of the total of the Participant's Average Earnings and Average Bonus</w:t>
      </w:r>
    </w:p>
    <w:p>
      <w:pPr>
        <w:spacing w:after="0" w:line="140" w:lineRule="exact"/>
        <w:rPr>
          <w:rFonts w:ascii="Arial" w:cs="Arial" w:eastAsia="Arial" w:hAnsi="Arial"/>
          <w:sz w:val="19"/>
          <w:szCs w:val="19"/>
          <w:color w:val="auto"/>
        </w:rPr>
      </w:pPr>
    </w:p>
    <w:p>
      <w:pPr>
        <w:ind w:left="1720" w:hanging="571"/>
        <w:spacing w:after="0"/>
        <w:tabs>
          <w:tab w:leader="none" w:pos="1720" w:val="left"/>
        </w:tabs>
        <w:numPr>
          <w:ilvl w:val="1"/>
          <w:numId w:val="171"/>
        </w:numPr>
        <w:rPr>
          <w:rFonts w:ascii="Arial" w:cs="Arial" w:eastAsia="Arial" w:hAnsi="Arial"/>
          <w:sz w:val="19"/>
          <w:szCs w:val="19"/>
          <w:color w:val="auto"/>
        </w:rPr>
      </w:pPr>
      <w:r>
        <w:rPr>
          <w:rFonts w:ascii="Arial" w:cs="Arial" w:eastAsia="Arial" w:hAnsi="Arial"/>
          <w:sz w:val="19"/>
          <w:szCs w:val="19"/>
          <w:color w:val="auto"/>
        </w:rPr>
        <w:t>1/3% for each month of Service through 120 (40% for 10 years of Service), plus</w:t>
      </w:r>
    </w:p>
    <w:p>
      <w:pPr>
        <w:spacing w:after="0" w:line="189" w:lineRule="exact"/>
        <w:rPr>
          <w:rFonts w:ascii="Arial" w:cs="Arial" w:eastAsia="Arial" w:hAnsi="Arial"/>
          <w:sz w:val="19"/>
          <w:szCs w:val="19"/>
          <w:color w:val="auto"/>
        </w:rPr>
      </w:pPr>
    </w:p>
    <w:p>
      <w:pPr>
        <w:ind w:left="1720" w:right="3500" w:hanging="571"/>
        <w:spacing w:after="0" w:line="266" w:lineRule="auto"/>
        <w:tabs>
          <w:tab w:leader="none" w:pos="1720" w:val="left"/>
        </w:tabs>
        <w:numPr>
          <w:ilvl w:val="1"/>
          <w:numId w:val="171"/>
        </w:numPr>
        <w:rPr>
          <w:rFonts w:ascii="Arial" w:cs="Arial" w:eastAsia="Arial" w:hAnsi="Arial"/>
          <w:sz w:val="19"/>
          <w:szCs w:val="19"/>
          <w:color w:val="auto"/>
        </w:rPr>
      </w:pPr>
      <w:r>
        <w:rPr>
          <w:rFonts w:ascii="Arial" w:cs="Arial" w:eastAsia="Arial" w:hAnsi="Arial"/>
          <w:sz w:val="19"/>
          <w:szCs w:val="19"/>
          <w:color w:val="auto"/>
        </w:rPr>
        <w:t>1/6% for each month of Service in excess of 120, through 240 (60% for 20 years of Service), plus</w:t>
      </w:r>
    </w:p>
    <w:p>
      <w:pPr>
        <w:spacing w:after="0" w:line="128" w:lineRule="exact"/>
        <w:rPr>
          <w:rFonts w:ascii="Arial" w:cs="Arial" w:eastAsia="Arial" w:hAnsi="Arial"/>
          <w:sz w:val="19"/>
          <w:szCs w:val="19"/>
          <w:color w:val="auto"/>
        </w:rPr>
      </w:pPr>
    </w:p>
    <w:p>
      <w:pPr>
        <w:ind w:left="1720" w:hanging="571"/>
        <w:spacing w:after="0"/>
        <w:tabs>
          <w:tab w:leader="none" w:pos="1720" w:val="left"/>
        </w:tabs>
        <w:numPr>
          <w:ilvl w:val="1"/>
          <w:numId w:val="171"/>
        </w:numPr>
        <w:rPr>
          <w:rFonts w:ascii="Arial" w:cs="Arial" w:eastAsia="Arial" w:hAnsi="Arial"/>
          <w:sz w:val="19"/>
          <w:szCs w:val="19"/>
          <w:color w:val="auto"/>
        </w:rPr>
      </w:pPr>
      <w:r>
        <w:rPr>
          <w:rFonts w:ascii="Arial" w:cs="Arial" w:eastAsia="Arial" w:hAnsi="Arial"/>
          <w:sz w:val="19"/>
          <w:szCs w:val="19"/>
          <w:color w:val="auto"/>
        </w:rPr>
        <w:t>1/48% for each month of Service in excess of 240 (65% for 40 years of Service).</w:t>
      </w:r>
    </w:p>
    <w:p>
      <w:pPr>
        <w:spacing w:after="0" w:line="177" w:lineRule="exact"/>
        <w:rPr>
          <w:rFonts w:ascii="Arial" w:cs="Arial" w:eastAsia="Arial" w:hAnsi="Arial"/>
          <w:sz w:val="19"/>
          <w:szCs w:val="19"/>
          <w:color w:val="auto"/>
        </w:rPr>
      </w:pPr>
    </w:p>
    <w:p>
      <w:pPr>
        <w:ind w:left="1140" w:hanging="567"/>
        <w:spacing w:after="0" w:line="266" w:lineRule="auto"/>
        <w:tabs>
          <w:tab w:leader="none" w:pos="1140" w:val="left"/>
        </w:tabs>
        <w:numPr>
          <w:ilvl w:val="0"/>
          <w:numId w:val="171"/>
        </w:numPr>
        <w:rPr>
          <w:rFonts w:ascii="Arial" w:cs="Arial" w:eastAsia="Arial" w:hAnsi="Arial"/>
          <w:sz w:val="19"/>
          <w:szCs w:val="19"/>
          <w:color w:val="auto"/>
        </w:rPr>
      </w:pPr>
      <w:r>
        <w:rPr>
          <w:rFonts w:ascii="Arial" w:cs="Arial" w:eastAsia="Arial" w:hAnsi="Arial"/>
          <w:sz w:val="19"/>
          <w:szCs w:val="19"/>
          <w:color w:val="auto"/>
        </w:rPr>
        <w:t>is a lump sum using the actuarial and mortality assumptions in the Basic Pension Plan based on the single annuity value of the annual annuity with the annual annuity determined as the sum of his</w:t>
      </w:r>
    </w:p>
    <w:p>
      <w:pPr>
        <w:spacing w:after="0" w:line="140" w:lineRule="exact"/>
        <w:rPr>
          <w:rFonts w:ascii="Arial" w:cs="Arial" w:eastAsia="Arial" w:hAnsi="Arial"/>
          <w:sz w:val="19"/>
          <w:szCs w:val="19"/>
          <w:color w:val="auto"/>
        </w:rPr>
      </w:pPr>
    </w:p>
    <w:p>
      <w:pPr>
        <w:ind w:left="1720" w:hanging="571"/>
        <w:spacing w:after="0"/>
        <w:tabs>
          <w:tab w:leader="none" w:pos="1720" w:val="left"/>
        </w:tabs>
        <w:numPr>
          <w:ilvl w:val="1"/>
          <w:numId w:val="171"/>
        </w:numPr>
        <w:rPr>
          <w:rFonts w:ascii="Arial" w:cs="Arial" w:eastAsia="Arial" w:hAnsi="Arial"/>
          <w:sz w:val="19"/>
          <w:szCs w:val="19"/>
          <w:color w:val="auto"/>
        </w:rPr>
      </w:pPr>
      <w:r>
        <w:rPr>
          <w:rFonts w:ascii="Arial" w:cs="Arial" w:eastAsia="Arial" w:hAnsi="Arial"/>
          <w:sz w:val="19"/>
          <w:szCs w:val="19"/>
          <w:color w:val="auto"/>
        </w:rPr>
        <w:t>Basic Pension Plan Benefit, plus</w:t>
      </w:r>
    </w:p>
    <w:p>
      <w:pPr>
        <w:spacing w:after="0" w:line="177" w:lineRule="exact"/>
        <w:rPr>
          <w:rFonts w:ascii="Arial" w:cs="Arial" w:eastAsia="Arial" w:hAnsi="Arial"/>
          <w:sz w:val="19"/>
          <w:szCs w:val="19"/>
          <w:color w:val="auto"/>
        </w:rPr>
      </w:pPr>
    </w:p>
    <w:p>
      <w:pPr>
        <w:ind w:left="1720" w:hanging="571"/>
        <w:spacing w:after="0"/>
        <w:tabs>
          <w:tab w:leader="none" w:pos="1720" w:val="left"/>
        </w:tabs>
        <w:numPr>
          <w:ilvl w:val="1"/>
          <w:numId w:val="171"/>
        </w:numPr>
        <w:rPr>
          <w:rFonts w:ascii="Arial" w:cs="Arial" w:eastAsia="Arial" w:hAnsi="Arial"/>
          <w:sz w:val="19"/>
          <w:szCs w:val="19"/>
          <w:color w:val="auto"/>
        </w:rPr>
      </w:pPr>
      <w:r>
        <w:rPr>
          <w:rFonts w:ascii="Arial" w:cs="Arial" w:eastAsia="Arial" w:hAnsi="Arial"/>
          <w:sz w:val="19"/>
          <w:szCs w:val="19"/>
          <w:color w:val="auto"/>
        </w:rPr>
        <w:t>Cash Balance Restoration Plan Benefit;</w:t>
      </w:r>
    </w:p>
    <w:p>
      <w:pPr>
        <w:spacing w:after="0" w:line="190" w:lineRule="exact"/>
        <w:rPr>
          <w:sz w:val="20"/>
          <w:szCs w:val="20"/>
          <w:color w:val="auto"/>
        </w:rPr>
      </w:pPr>
    </w:p>
    <w:p>
      <w:pPr>
        <w:jc w:val="both"/>
        <w:ind w:left="1140" w:right="60"/>
        <w:spacing w:after="0" w:line="296" w:lineRule="auto"/>
        <w:rPr>
          <w:sz w:val="20"/>
          <w:szCs w:val="20"/>
          <w:color w:val="auto"/>
        </w:rPr>
      </w:pPr>
      <w:r>
        <w:rPr>
          <w:rFonts w:ascii="Arial" w:cs="Arial" w:eastAsia="Arial" w:hAnsi="Arial"/>
          <w:sz w:val="17"/>
          <w:szCs w:val="17"/>
          <w:color w:val="auto"/>
        </w:rPr>
        <w:t>provided, however, that, if a Participant’s Retirement Date occurs on a different date than the date the Participant commences receipt of benefits under the Basic Pension Plan, paragraph (i) shall be calculated based on the benefits the Participant would have received if the Participant had commenced receipt of benefits under the Basic Pension Plan on the Participant’s Retirement Date.</w:t>
      </w:r>
    </w:p>
    <w:p>
      <w:pPr>
        <w:spacing w:after="0" w:line="118" w:lineRule="exact"/>
        <w:rPr>
          <w:sz w:val="20"/>
          <w:szCs w:val="20"/>
          <w:color w:val="auto"/>
        </w:rPr>
      </w:pPr>
    </w:p>
    <w:p>
      <w:pPr>
        <w:ind w:left="1140"/>
        <w:spacing w:after="0"/>
        <w:rPr>
          <w:sz w:val="20"/>
          <w:szCs w:val="20"/>
          <w:color w:val="auto"/>
        </w:rPr>
      </w:pPr>
      <w:r>
        <w:rPr>
          <w:rFonts w:ascii="Arial" w:cs="Arial" w:eastAsia="Arial" w:hAnsi="Arial"/>
          <w:sz w:val="19"/>
          <w:szCs w:val="19"/>
          <w:color w:val="auto"/>
        </w:rPr>
        <w:t>If (a) minus (b) results in zero or less, then no Supplemental Retirement Benefit is payable.</w:t>
      </w:r>
    </w:p>
    <w:p>
      <w:pPr>
        <w:spacing w:after="0" w:line="178" w:lineRule="exact"/>
        <w:rPr>
          <w:sz w:val="20"/>
          <w:szCs w:val="20"/>
          <w:color w:val="auto"/>
        </w:rPr>
      </w:pPr>
    </w:p>
    <w:p>
      <w:pPr>
        <w:ind w:left="1140" w:right="120" w:hanging="567"/>
        <w:spacing w:after="0" w:line="247" w:lineRule="auto"/>
        <w:tabs>
          <w:tab w:leader="none" w:pos="1140" w:val="left"/>
        </w:tabs>
        <w:numPr>
          <w:ilvl w:val="0"/>
          <w:numId w:val="172"/>
        </w:numPr>
        <w:rPr>
          <w:rFonts w:ascii="Arial" w:cs="Arial" w:eastAsia="Arial" w:hAnsi="Arial"/>
          <w:sz w:val="19"/>
          <w:szCs w:val="19"/>
          <w:color w:val="auto"/>
        </w:rPr>
      </w:pPr>
      <w:r>
        <w:rPr>
          <w:rFonts w:ascii="Arial" w:cs="Arial" w:eastAsia="Arial" w:hAnsi="Arial"/>
          <w:sz w:val="19"/>
          <w:szCs w:val="19"/>
          <w:color w:val="auto"/>
        </w:rPr>
        <w:t>The Participant’s Pre-Section 409A Supplemental Retirement Benefit (if any) shall be payable as of such Participant’s Retirement Date, and the Participant’s Post-Section 409A Supplemental Retirement Benefit shall be payable upon such Participant’s Separation from Service, in accordance with Section 3.4. Except as provided in paragraph (i) or (ii) below, the Participant’s Supplemental Retirement Benefit shall be paid in a lump sum.</w:t>
      </w:r>
    </w:p>
    <w:p>
      <w:pPr>
        <w:spacing w:after="0" w:line="145" w:lineRule="exact"/>
        <w:rPr>
          <w:rFonts w:ascii="Arial" w:cs="Arial" w:eastAsia="Arial" w:hAnsi="Arial"/>
          <w:sz w:val="19"/>
          <w:szCs w:val="19"/>
          <w:color w:val="auto"/>
        </w:rPr>
      </w:pPr>
    </w:p>
    <w:p>
      <w:pPr>
        <w:jc w:val="both"/>
        <w:ind w:left="2300" w:right="40" w:hanging="1151"/>
        <w:spacing w:after="0" w:line="247" w:lineRule="auto"/>
        <w:tabs>
          <w:tab w:leader="none" w:pos="1723" w:val="left"/>
        </w:tabs>
        <w:numPr>
          <w:ilvl w:val="1"/>
          <w:numId w:val="172"/>
        </w:numPr>
        <w:rPr>
          <w:rFonts w:ascii="Arial" w:cs="Arial" w:eastAsia="Arial" w:hAnsi="Arial"/>
          <w:sz w:val="19"/>
          <w:szCs w:val="19"/>
          <w:color w:val="auto"/>
        </w:rPr>
      </w:pPr>
      <w:r>
        <w:rPr>
          <w:rFonts w:ascii="Arial" w:cs="Arial" w:eastAsia="Arial" w:hAnsi="Arial"/>
          <w:sz w:val="19"/>
          <w:szCs w:val="19"/>
          <w:color w:val="auto"/>
        </w:rPr>
        <w:t>(A) The Participant may elect to receive the Pre-Section 409A Supplemental Retirement Benefit, payable on his behalf, paid in an actuarially equivalent annuity, provided the Participant elects the annuity one year prior to Retirement. The initial election of benefit form shall be made at the time of commencement of participation, or as soon thereafter as is reasonably practicable.</w:t>
      </w:r>
    </w:p>
    <w:p>
      <w:pPr>
        <w:spacing w:after="0" w:line="145" w:lineRule="exact"/>
        <w:rPr>
          <w:rFonts w:ascii="Arial" w:cs="Arial" w:eastAsia="Arial" w:hAnsi="Arial"/>
          <w:sz w:val="19"/>
          <w:szCs w:val="19"/>
          <w:color w:val="auto"/>
        </w:rPr>
      </w:pPr>
    </w:p>
    <w:p>
      <w:pPr>
        <w:ind w:left="2300" w:right="140" w:hanging="574"/>
        <w:spacing w:after="0" w:line="247" w:lineRule="auto"/>
        <w:tabs>
          <w:tab w:leader="none" w:pos="2300" w:val="left"/>
        </w:tabs>
        <w:numPr>
          <w:ilvl w:val="2"/>
          <w:numId w:val="172"/>
        </w:numPr>
        <w:rPr>
          <w:rFonts w:ascii="Arial" w:cs="Arial" w:eastAsia="Arial" w:hAnsi="Arial"/>
          <w:sz w:val="19"/>
          <w:szCs w:val="19"/>
          <w:color w:val="auto"/>
        </w:rPr>
      </w:pPr>
      <w:r>
        <w:rPr>
          <w:rFonts w:ascii="Arial" w:cs="Arial" w:eastAsia="Arial" w:hAnsi="Arial"/>
          <w:sz w:val="19"/>
          <w:szCs w:val="19"/>
          <w:color w:val="auto"/>
        </w:rPr>
        <w:t>Notwithstanding the foregoing, in no event shall a distribution option be available or apply to a Participant’s Pre-Section 409A Supplemental Retirement Benefit if such distribution option would result in a material modification of the Participant’s Pre-Section 409A Supplemental Retirement Benefit, as determined under Section 409A of the Code and Treasury Regulation Section 1.409A-6.</w:t>
      </w:r>
    </w:p>
    <w:p>
      <w:pPr>
        <w:spacing w:after="0" w:line="145" w:lineRule="exact"/>
        <w:rPr>
          <w:rFonts w:ascii="Arial" w:cs="Arial" w:eastAsia="Arial" w:hAnsi="Arial"/>
          <w:sz w:val="19"/>
          <w:szCs w:val="19"/>
          <w:color w:val="auto"/>
        </w:rPr>
      </w:pPr>
    </w:p>
    <w:p>
      <w:pPr>
        <w:ind w:left="2300" w:right="60" w:hanging="1151"/>
        <w:spacing w:after="0" w:line="241" w:lineRule="auto"/>
        <w:tabs>
          <w:tab w:leader="none" w:pos="1723" w:val="left"/>
        </w:tabs>
        <w:numPr>
          <w:ilvl w:val="1"/>
          <w:numId w:val="172"/>
        </w:numPr>
        <w:rPr>
          <w:rFonts w:ascii="Arial" w:cs="Arial" w:eastAsia="Arial" w:hAnsi="Arial"/>
          <w:sz w:val="19"/>
          <w:szCs w:val="19"/>
          <w:color w:val="auto"/>
        </w:rPr>
      </w:pPr>
      <w:r>
        <w:rPr>
          <w:rFonts w:ascii="Arial" w:cs="Arial" w:eastAsia="Arial" w:hAnsi="Arial"/>
          <w:sz w:val="19"/>
          <w:szCs w:val="19"/>
          <w:color w:val="auto"/>
        </w:rPr>
        <w:t>(A) The payment of the Participant’s Post-Section 409A Supplemental Retirement Benefit shall be made or commence on the date of the payment or commencement of such Participant’s “Post-Section 409A Benefit” (as defined in the Cash Balance Restoration Plan) under the Cash Balance Restoration Plan, and the form of payment of the Participant’s Post-Section 409A Supplemental Retirement Benefit shall be the same as the form of payment of such Participant’s “Post-Section 409A Benefit” under the Cash Balance Restoration Plan, as determined in subparagraph (B). In the event that the payment of the Participant’s Post-Section 409A Supplemental Retirement Benefit is in the form of an annuity, such annuity shall be actuarially equivalent to the Participant’s Post-Section 409A Supplemental Retirement Benefit.</w:t>
      </w:r>
    </w:p>
    <w:p>
      <w:pPr>
        <w:spacing w:after="0" w:line="166" w:lineRule="exact"/>
        <w:rPr>
          <w:rFonts w:ascii="Arial" w:cs="Arial" w:eastAsia="Arial" w:hAnsi="Arial"/>
          <w:sz w:val="19"/>
          <w:szCs w:val="19"/>
          <w:color w:val="auto"/>
        </w:rPr>
      </w:pPr>
    </w:p>
    <w:p>
      <w:pPr>
        <w:ind w:left="2300" w:right="40" w:hanging="574"/>
        <w:spacing w:after="0" w:line="252" w:lineRule="auto"/>
        <w:tabs>
          <w:tab w:leader="none" w:pos="2300" w:val="left"/>
        </w:tabs>
        <w:numPr>
          <w:ilvl w:val="2"/>
          <w:numId w:val="172"/>
        </w:numPr>
        <w:rPr>
          <w:rFonts w:ascii="Arial" w:cs="Arial" w:eastAsia="Arial" w:hAnsi="Arial"/>
          <w:sz w:val="19"/>
          <w:szCs w:val="19"/>
          <w:color w:val="auto"/>
        </w:rPr>
      </w:pPr>
      <w:r>
        <w:rPr>
          <w:rFonts w:ascii="Arial" w:cs="Arial" w:eastAsia="Arial" w:hAnsi="Arial"/>
          <w:sz w:val="19"/>
          <w:szCs w:val="19"/>
          <w:color w:val="auto"/>
        </w:rPr>
        <w:t>The payment of such Participant’s “Post-Section 409A Benefit” under the Cash Balance Restoration Plan shall be in a lump sum upon the Participant’s Separation from Service, unless the Participant elects to receive an optional annuity form of payment under the Cash Balance Restoration Plan.</w:t>
      </w:r>
    </w:p>
    <w:p>
      <w:pPr>
        <w:spacing w:after="0" w:line="140" w:lineRule="exact"/>
        <w:rPr>
          <w:rFonts w:ascii="Arial" w:cs="Arial" w:eastAsia="Arial" w:hAnsi="Arial"/>
          <w:sz w:val="19"/>
          <w:szCs w:val="19"/>
          <w:color w:val="auto"/>
        </w:rPr>
      </w:pPr>
    </w:p>
    <w:p>
      <w:pPr>
        <w:ind w:left="2880" w:right="100" w:hanging="578"/>
        <w:spacing w:after="0" w:line="241" w:lineRule="auto"/>
        <w:tabs>
          <w:tab w:leader="none" w:pos="2880" w:val="left"/>
        </w:tabs>
        <w:numPr>
          <w:ilvl w:val="3"/>
          <w:numId w:val="172"/>
        </w:numPr>
        <w:rPr>
          <w:rFonts w:ascii="Arial" w:cs="Arial" w:eastAsia="Arial" w:hAnsi="Arial"/>
          <w:sz w:val="19"/>
          <w:szCs w:val="19"/>
          <w:color w:val="auto"/>
        </w:rPr>
      </w:pPr>
      <w:r>
        <w:rPr>
          <w:rFonts w:ascii="Arial" w:cs="Arial" w:eastAsia="Arial" w:hAnsi="Arial"/>
          <w:sz w:val="19"/>
          <w:szCs w:val="19"/>
          <w:color w:val="auto"/>
        </w:rPr>
        <w:t>In the case of a Participant who first became an “Eligible Employee” in the Cash Balance Restoration Plan on or before December 31, 2005, the Participant may elect, in writing, payment of such Participant’s “Post-Section 409A Benefit” under the Cash Balance Restoration Plan commencing upon the Participant’s Separation from Service under any of the following annuity options: (x) a straight life annuity, (y) a joint and 50% survivor annuity, and (z) a joint and 100% survivor annuity. The election will be subject to approval of the Company's Senior Human Resources Officer, in his or her discretion, and, if approved, will become effective and irrevocable on the date of such approval (except as provided in the Cash Balance Restoration Plan).</w:t>
      </w:r>
    </w:p>
    <w:p>
      <w:pPr>
        <w:sectPr>
          <w:pgSz w:w="11900" w:h="16838" w:orient="portrait"/>
          <w:cols w:equalWidth="0" w:num="1">
            <w:col w:w="11420"/>
          </w:cols>
          <w:pgMar w:left="240" w:top="120" w:right="239" w:bottom="0" w:gutter="0" w:footer="0" w:header="0"/>
        </w:sectPr>
      </w:pPr>
    </w:p>
    <w:bookmarkStart w:id="119" w:name="page120"/>
    <w:bookmarkEnd w:id="119"/>
    <w:p>
      <w:pPr>
        <w:ind w:left="2307" w:hanging="578"/>
        <w:spacing w:after="0" w:line="270" w:lineRule="auto"/>
        <w:tabs>
          <w:tab w:leader="none" w:pos="2307" w:val="left"/>
        </w:tabs>
        <w:numPr>
          <w:ilvl w:val="0"/>
          <w:numId w:val="173"/>
        </w:numPr>
        <w:rPr>
          <w:rFonts w:ascii="Arial" w:cs="Arial" w:eastAsia="Arial" w:hAnsi="Arial"/>
          <w:sz w:val="17"/>
          <w:szCs w:val="17"/>
          <w:color w:val="auto"/>
        </w:rPr>
      </w:pPr>
      <w:r>
        <w:rPr>
          <w:rFonts w:ascii="Arial" w:cs="Arial" w:eastAsia="Arial" w:hAnsi="Arial"/>
          <w:sz w:val="17"/>
          <w:szCs w:val="17"/>
          <w:color w:val="auto"/>
        </w:rPr>
        <w:t>Such a Participant’s election under the Cash Balance Restoration Plan may be made with respect to such Participant’s “Post-Section 409A Benefit” on or after January 1, 2006 and on or before December 31, 2008 in accordance with the transitional relief under Section 409A of the Internal Revenue Code and Internal Revenue Service Notices 2006-79 and 2007-86; provided, however, that such Participant’s election made in 2006 shall only apply with respect to payments that would not otherwise be payable in 2006, and shall not cause payments to be made in 2006 that would not otherwise be payable in 2006; and, provided, further, that such Participant’s election made in 2007 shall apply only with respect to payments that would not otherwise be payable in 2007 and shall not cause payments to be made in 2007 that would not otherwise be payable in 2007; and, provide d, further, that such Participant’s election made in 2008 shall apply only with respect to payments that would not otherwise be payable in 2008 and shall not cause payments to be made in 2008 that would not otherwise be payable in 2008. A Participant’s election under this clause (II) shall be considered made when the election becomes irrevocable. No such payment election may be made by such Participant unless such election becomes irrevocable on or prior to December 31, 2008.</w:t>
      </w:r>
    </w:p>
    <w:p>
      <w:pPr>
        <w:spacing w:after="0" w:line="133" w:lineRule="exact"/>
        <w:rPr>
          <w:sz w:val="20"/>
          <w:szCs w:val="20"/>
          <w:color w:val="auto"/>
        </w:rPr>
      </w:pPr>
    </w:p>
    <w:p>
      <w:pPr>
        <w:ind w:left="2307" w:right="20" w:hanging="578"/>
        <w:spacing w:after="0" w:line="258" w:lineRule="auto"/>
        <w:tabs>
          <w:tab w:leader="none" w:pos="2307" w:val="left"/>
        </w:tabs>
        <w:numPr>
          <w:ilvl w:val="0"/>
          <w:numId w:val="174"/>
        </w:numPr>
        <w:rPr>
          <w:rFonts w:ascii="Arial" w:cs="Arial" w:eastAsia="Arial" w:hAnsi="Arial"/>
          <w:sz w:val="18"/>
          <w:szCs w:val="18"/>
          <w:color w:val="auto"/>
        </w:rPr>
      </w:pPr>
      <w:r>
        <w:rPr>
          <w:rFonts w:ascii="Arial" w:cs="Arial" w:eastAsia="Arial" w:hAnsi="Arial"/>
          <w:sz w:val="18"/>
          <w:szCs w:val="18"/>
          <w:color w:val="auto"/>
        </w:rPr>
        <w:t>The joint and survivor annuity is only available under clause (I)(y) or (z) if the Participant designates his or her spouse as beneficiary or obtains spousal consent to the designation of another beneficiary in the same manner as under the Basic Pension Plan as part of the Participant’s election. If the spouse, or beneficiary dies before the Participant’s Separation from Service, the joint and survivor annuity is canceled and the benefit is paid in the form of a straight life annuity; provided, that the straight life annuity is actuarially equivalent, applying reasonable actuarial methods and assumptions, to the joint and survivor annuity in effect prior to such cancellation, as determined under Treasury Regulation Section 1.409A-2(b)(2)(ii).</w:t>
      </w:r>
    </w:p>
    <w:p>
      <w:pPr>
        <w:spacing w:after="0" w:line="148" w:lineRule="exact"/>
        <w:rPr>
          <w:sz w:val="20"/>
          <w:szCs w:val="20"/>
          <w:color w:val="auto"/>
        </w:rPr>
      </w:pPr>
    </w:p>
    <w:p>
      <w:pPr>
        <w:jc w:val="both"/>
        <w:ind w:left="2307" w:right="120" w:hanging="579"/>
        <w:spacing w:after="0" w:line="326" w:lineRule="auto"/>
        <w:tabs>
          <w:tab w:leader="none" w:pos="2287" w:val="left"/>
        </w:tabs>
        <w:rPr>
          <w:sz w:val="20"/>
          <w:szCs w:val="20"/>
          <w:color w:val="auto"/>
        </w:rPr>
      </w:pPr>
      <w:r>
        <w:rPr>
          <w:rFonts w:ascii="Arial" w:cs="Arial" w:eastAsia="Arial" w:hAnsi="Arial"/>
          <w:sz w:val="17"/>
          <w:szCs w:val="17"/>
          <w:color w:val="auto"/>
        </w:rPr>
        <w:t>(IV)</w:t>
        <w:tab/>
        <w:t>Except as provided in subsection (C), such Participant may not change the form and time of payment of such Participant’s “Post-Section 409A Benefit” under the Cash Balance Restoration Plan after December 31, 2008.</w:t>
      </w:r>
    </w:p>
    <w:p>
      <w:pPr>
        <w:spacing w:after="0" w:line="82" w:lineRule="exact"/>
        <w:rPr>
          <w:sz w:val="20"/>
          <w:szCs w:val="20"/>
          <w:color w:val="auto"/>
        </w:rPr>
      </w:pPr>
    </w:p>
    <w:p>
      <w:pPr>
        <w:ind w:left="2307" w:right="120" w:hanging="578"/>
        <w:spacing w:after="0" w:line="274" w:lineRule="auto"/>
        <w:tabs>
          <w:tab w:leader="none" w:pos="2307" w:val="left"/>
        </w:tabs>
        <w:numPr>
          <w:ilvl w:val="1"/>
          <w:numId w:val="175"/>
        </w:numPr>
        <w:rPr>
          <w:rFonts w:ascii="Arial" w:cs="Arial" w:eastAsia="Arial" w:hAnsi="Arial"/>
          <w:sz w:val="17"/>
          <w:szCs w:val="17"/>
          <w:color w:val="auto"/>
        </w:rPr>
      </w:pPr>
      <w:r>
        <w:rPr>
          <w:rFonts w:ascii="Arial" w:cs="Arial" w:eastAsia="Arial" w:hAnsi="Arial"/>
          <w:sz w:val="17"/>
          <w:szCs w:val="17"/>
          <w:color w:val="auto"/>
        </w:rPr>
        <w:t>A lump sum payment of a Participant’s Post-Section 409A Supplemental Retirement Benefit under this subparagraph (A) shall be paid on such date as is determined by Sempra Energy within thirty (30) days following the Participant’s Separation from Service. If an annuity payment is elected, for purposes of the payment of such Participant’s Post-Section 409A Supplemental Retirement Benefit under this subparagraph (A), such Post-Section 409A Supplemental Retirement Benefit shall be paid monthly, beginning on the last day of the month of the Participant’s Separation from Service and will continue to be paid monthly during the life of the Participant and the life of the Participant’s beneficiary, if any (if such beneficiary survives the Participant). In all cases, the monthly benefit shall equal the annual benefit divided by 12.</w:t>
      </w:r>
    </w:p>
    <w:p>
      <w:pPr>
        <w:spacing w:after="0" w:line="124" w:lineRule="exact"/>
        <w:rPr>
          <w:rFonts w:ascii="Arial" w:cs="Arial" w:eastAsia="Arial" w:hAnsi="Arial"/>
          <w:sz w:val="17"/>
          <w:szCs w:val="17"/>
          <w:color w:val="auto"/>
        </w:rPr>
      </w:pPr>
    </w:p>
    <w:p>
      <w:pPr>
        <w:ind w:left="2307" w:right="60" w:hanging="1154"/>
        <w:spacing w:after="0" w:line="242" w:lineRule="auto"/>
        <w:tabs>
          <w:tab w:leader="none" w:pos="1731" w:val="left"/>
        </w:tabs>
        <w:numPr>
          <w:ilvl w:val="0"/>
          <w:numId w:val="176"/>
        </w:numPr>
        <w:rPr>
          <w:rFonts w:ascii="Arial" w:cs="Arial" w:eastAsia="Arial" w:hAnsi="Arial"/>
          <w:sz w:val="19"/>
          <w:szCs w:val="19"/>
          <w:color w:val="auto"/>
        </w:rPr>
      </w:pPr>
      <w:r>
        <w:rPr>
          <w:rFonts w:ascii="Arial" w:cs="Arial" w:eastAsia="Arial" w:hAnsi="Arial"/>
          <w:sz w:val="19"/>
          <w:szCs w:val="19"/>
          <w:color w:val="auto"/>
        </w:rPr>
        <w:t>(I)In the event that such Participant elects to change the form of the payment of such Participant’s “Post-Section 409A Benefit” (as defined in the Cash Balance Restoration Plan) under the Cash Balance Restoration Plan, such Participant shall be deemed to have elected to change the form of the payment of such Participant’s Post-Section 409A Supplemental Retirement Benefit to the form of the payment of such Participant’s “Post-Section 409A Benefit” under the Cash Balance Restoration Plan. The Participant’s election shall be subject to clauses (II), (III), (IV), (V), (VI) and (VII). Except as provided in clauses (VI), the Participant’s election under this clause (I) shall be irrevocable.</w:t>
      </w:r>
    </w:p>
    <w:p>
      <w:pPr>
        <w:spacing w:after="0" w:line="152" w:lineRule="exact"/>
        <w:rPr>
          <w:sz w:val="20"/>
          <w:szCs w:val="20"/>
          <w:color w:val="auto"/>
        </w:rPr>
      </w:pPr>
    </w:p>
    <w:p>
      <w:pPr>
        <w:ind w:left="2307" w:hanging="578"/>
        <w:spacing w:after="0"/>
        <w:tabs>
          <w:tab w:leader="none" w:pos="2307" w:val="left"/>
        </w:tabs>
        <w:numPr>
          <w:ilvl w:val="0"/>
          <w:numId w:val="177"/>
        </w:numPr>
        <w:rPr>
          <w:rFonts w:ascii="Arial" w:cs="Arial" w:eastAsia="Arial" w:hAnsi="Arial"/>
          <w:sz w:val="18"/>
          <w:szCs w:val="18"/>
          <w:color w:val="auto"/>
        </w:rPr>
      </w:pPr>
      <w:r>
        <w:rPr>
          <w:rFonts w:ascii="Arial" w:cs="Arial" w:eastAsia="Arial" w:hAnsi="Arial"/>
          <w:sz w:val="18"/>
          <w:szCs w:val="18"/>
          <w:color w:val="auto"/>
        </w:rPr>
        <w:t>The Participant’s election under clause (I) must be made prior to the Participant’s Separation from Service.</w:t>
      </w:r>
    </w:p>
    <w:p>
      <w:pPr>
        <w:spacing w:after="0" w:line="189" w:lineRule="exact"/>
        <w:rPr>
          <w:sz w:val="20"/>
          <w:szCs w:val="20"/>
          <w:color w:val="auto"/>
        </w:rPr>
      </w:pPr>
    </w:p>
    <w:p>
      <w:pPr>
        <w:ind w:left="2307" w:right="60" w:hanging="578"/>
        <w:spacing w:after="0" w:line="243" w:lineRule="auto"/>
        <w:tabs>
          <w:tab w:leader="none" w:pos="2307" w:val="left"/>
        </w:tabs>
        <w:numPr>
          <w:ilvl w:val="0"/>
          <w:numId w:val="178"/>
        </w:numPr>
        <w:rPr>
          <w:rFonts w:ascii="Arial" w:cs="Arial" w:eastAsia="Arial" w:hAnsi="Arial"/>
          <w:sz w:val="19"/>
          <w:szCs w:val="19"/>
          <w:color w:val="auto"/>
        </w:rPr>
      </w:pPr>
      <w:r>
        <w:rPr>
          <w:rFonts w:ascii="Arial" w:cs="Arial" w:eastAsia="Arial" w:hAnsi="Arial"/>
          <w:sz w:val="19"/>
          <w:szCs w:val="19"/>
          <w:color w:val="auto"/>
        </w:rPr>
        <w:t>If the Participant’s form of payment, as in effect at the time of election under clause (I), is an annuity, such Participant’s election of an alternative annuity form of payment shall be effective immediately and clause (V) shall not apply to such Participant’s election; provided, that the alternative annuity form of payment elected by the Participant is actuarially equivalent applying reasonable actuarial methods and assumptions to the annuity form of payment, as in effect at the time of the election, as determined under Treasury Regulation Section 1.409A-2(b)(2)(ii).</w:t>
      </w:r>
    </w:p>
    <w:p>
      <w:pPr>
        <w:spacing w:after="0" w:line="162" w:lineRule="exact"/>
        <w:rPr>
          <w:sz w:val="20"/>
          <w:szCs w:val="20"/>
          <w:color w:val="auto"/>
        </w:rPr>
      </w:pPr>
    </w:p>
    <w:p>
      <w:pPr>
        <w:ind w:left="2307" w:right="20" w:hanging="579"/>
        <w:spacing w:after="0" w:line="261" w:lineRule="auto"/>
        <w:tabs>
          <w:tab w:leader="none" w:pos="2287" w:val="left"/>
        </w:tabs>
        <w:rPr>
          <w:sz w:val="20"/>
          <w:szCs w:val="20"/>
          <w:color w:val="auto"/>
        </w:rPr>
      </w:pPr>
      <w:r>
        <w:rPr>
          <w:rFonts w:ascii="Arial" w:cs="Arial" w:eastAsia="Arial" w:hAnsi="Arial"/>
          <w:sz w:val="18"/>
          <w:szCs w:val="18"/>
          <w:color w:val="auto"/>
        </w:rPr>
        <w:t>(IV)</w:t>
        <w:tab/>
        <w:t>Except as provided in clause (III), the Participant’s election under clause (I) shall not take effect until 12 months after his election is made in accordance with Treasury Regulation Section 1.409A-2(b)(1)(i). If the Participant has a Separation from Service before the election under clause (I) becomes effective, the election under clause (I) shall terminate and the Participant’s Post-Section 409A Supplemental Retirement Benefit shall be paid in the form of payment as in effect at the time of the election under clause (I).</w:t>
      </w:r>
    </w:p>
    <w:p>
      <w:pPr>
        <w:spacing w:after="0" w:line="136" w:lineRule="exact"/>
        <w:rPr>
          <w:sz w:val="20"/>
          <w:szCs w:val="20"/>
          <w:color w:val="auto"/>
        </w:rPr>
      </w:pPr>
    </w:p>
    <w:p>
      <w:pPr>
        <w:ind w:left="2307" w:right="40" w:hanging="578"/>
        <w:spacing w:after="0" w:line="261" w:lineRule="auto"/>
        <w:tabs>
          <w:tab w:leader="none" w:pos="2307" w:val="left"/>
        </w:tabs>
        <w:numPr>
          <w:ilvl w:val="0"/>
          <w:numId w:val="179"/>
        </w:numPr>
        <w:rPr>
          <w:rFonts w:ascii="Arial" w:cs="Arial" w:eastAsia="Arial" w:hAnsi="Arial"/>
          <w:sz w:val="18"/>
          <w:szCs w:val="18"/>
          <w:color w:val="auto"/>
        </w:rPr>
      </w:pPr>
      <w:r>
        <w:rPr>
          <w:rFonts w:ascii="Arial" w:cs="Arial" w:eastAsia="Arial" w:hAnsi="Arial"/>
          <w:sz w:val="18"/>
          <w:szCs w:val="18"/>
          <w:color w:val="auto"/>
        </w:rPr>
        <w:t>Except as provided in clause (III), in the event the Participant’s election under clause (I) becomes effective, the payment of such Participant’s Post-Section 409A Supplemental Retirement Benefit under the option shall be deferred for a period of five years from the date such payment would otherwise have been paid (or, in the case of a life annuity treated as a single payment, five years from the date the first amount was scheduled to be paid), in accordance with Treasury Regulation Section 1.409A-2(b)(1)(ii).</w:t>
      </w:r>
    </w:p>
    <w:p>
      <w:pPr>
        <w:sectPr>
          <w:pgSz w:w="11900" w:h="16838" w:orient="portrait"/>
          <w:cols w:equalWidth="0" w:num="1">
            <w:col w:w="10867"/>
          </w:cols>
          <w:pgMar w:left="813" w:top="120" w:right="219" w:bottom="0" w:gutter="0" w:footer="0" w:header="0"/>
        </w:sectPr>
      </w:pPr>
    </w:p>
    <w:p>
      <w:pPr>
        <w:spacing w:after="0" w:line="148" w:lineRule="exact"/>
        <w:rPr>
          <w:sz w:val="20"/>
          <w:szCs w:val="20"/>
          <w:color w:val="auto"/>
        </w:rPr>
      </w:pPr>
    </w:p>
    <w:p>
      <w:pPr>
        <w:ind w:left="1727"/>
        <w:spacing w:after="0"/>
        <w:rPr>
          <w:sz w:val="20"/>
          <w:szCs w:val="20"/>
          <w:color w:val="auto"/>
        </w:rPr>
      </w:pPr>
      <w:r>
        <w:rPr>
          <w:rFonts w:ascii="Arial" w:cs="Arial" w:eastAsia="Arial" w:hAnsi="Arial"/>
          <w:sz w:val="19"/>
          <w:szCs w:val="19"/>
          <w:color w:val="auto"/>
        </w:rPr>
        <w:t>(VI)</w:t>
      </w:r>
    </w:p>
    <w:p>
      <w:pPr>
        <w:spacing w:after="0" w:line="20" w:lineRule="exact"/>
        <w:rPr>
          <w:sz w:val="20"/>
          <w:szCs w:val="20"/>
          <w:color w:val="auto"/>
        </w:rPr>
      </w:pPr>
      <w:r>
        <w:rPr>
          <w:sz w:val="20"/>
          <w:szCs w:val="20"/>
          <w:color w:val="auto"/>
        </w:rPr>
        <w:br w:type="column"/>
      </w:r>
    </w:p>
    <w:p>
      <w:pPr>
        <w:spacing w:after="0" w:line="116"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In the event that the form of payment of such Participant’s “Post-Section 409A Benefit” (as defined in the Cash Balance Restoration Plan) under the Cash Balance Restoration Plan is an annuity, and such Participant elects to change the form of payment of such Participant’s “Post-Section 409A Benefit” to another annuity option, the Participant shall be deemed to have elected to change the annuity option elected under clause (I) to the annuity option of the payment of such Participant’s “Post-Section 409A Benefit” and such election shall become effective immediately, provided, that such change is made prior to the commencement of the payment of such Participant’s Post-Section 409A Supplemental Retirement Benefit under this Plan; and, provided, further, that the annuity form of payment is actuarially equivalent to the annuity form of p ayment, as in effect at the time of the election, as determined under Treasury Regulation Section 1.409A-2(b)(2)(ii).</w:t>
      </w:r>
    </w:p>
    <w:p>
      <w:pPr>
        <w:spacing w:after="0" w:line="137" w:lineRule="exact"/>
        <w:rPr>
          <w:sz w:val="20"/>
          <w:szCs w:val="20"/>
          <w:color w:val="auto"/>
        </w:rPr>
      </w:pPr>
    </w:p>
    <w:p>
      <w:pPr>
        <w:sectPr>
          <w:pgSz w:w="11900" w:h="16838" w:orient="portrait"/>
          <w:cols w:equalWidth="0" w:num="2">
            <w:col w:w="2067" w:space="240"/>
            <w:col w:w="8560"/>
          </w:cols>
          <w:pgMar w:left="813" w:top="120" w:right="219" w:bottom="0" w:gutter="0" w:footer="0" w:header="0"/>
          <w:type w:val="continuous"/>
        </w:sectPr>
      </w:pPr>
    </w:p>
    <w:p>
      <w:pPr>
        <w:ind w:left="1727"/>
        <w:spacing w:after="0"/>
        <w:rPr>
          <w:sz w:val="20"/>
          <w:szCs w:val="20"/>
          <w:color w:val="auto"/>
        </w:rPr>
      </w:pPr>
      <w:r>
        <w:rPr>
          <w:rFonts w:ascii="Arial" w:cs="Arial" w:eastAsia="Arial" w:hAnsi="Arial"/>
          <w:sz w:val="19"/>
          <w:szCs w:val="19"/>
          <w:color w:val="auto"/>
        </w:rPr>
        <w:t>(VII)</w:t>
      </w:r>
    </w:p>
    <w:p>
      <w:pPr>
        <w:spacing w:after="0" w:line="20" w:lineRule="exact"/>
        <w:rPr>
          <w:sz w:val="20"/>
          <w:szCs w:val="20"/>
          <w:color w:val="auto"/>
        </w:rPr>
      </w:pPr>
      <w:r>
        <w:rPr>
          <w:sz w:val="20"/>
          <w:szCs w:val="20"/>
          <w:color w:val="auto"/>
        </w:rPr>
        <w:br w:type="column"/>
      </w:r>
    </w:p>
    <w:p>
      <w:pPr>
        <w:ind w:right="160"/>
        <w:spacing w:after="0" w:line="266" w:lineRule="auto"/>
        <w:rPr>
          <w:sz w:val="20"/>
          <w:szCs w:val="20"/>
          <w:color w:val="auto"/>
        </w:rPr>
      </w:pPr>
      <w:r>
        <w:rPr>
          <w:rFonts w:ascii="Arial" w:cs="Arial" w:eastAsia="Arial" w:hAnsi="Arial"/>
          <w:sz w:val="19"/>
          <w:szCs w:val="19"/>
          <w:color w:val="auto"/>
        </w:rPr>
        <w:t>Any change in a Participant’s form of payment under this subparagraph (B) shall be made in accordance with Treasury Regulation Section 1.409A-2(b).</w:t>
      </w:r>
    </w:p>
    <w:p>
      <w:pPr>
        <w:spacing w:after="0" w:line="122" w:lineRule="exact"/>
        <w:rPr>
          <w:sz w:val="20"/>
          <w:szCs w:val="20"/>
          <w:color w:val="auto"/>
        </w:rPr>
      </w:pPr>
    </w:p>
    <w:p>
      <w:pPr>
        <w:sectPr>
          <w:pgSz w:w="11900" w:h="16838" w:orient="portrait"/>
          <w:cols w:equalWidth="0" w:num="2">
            <w:col w:w="2127" w:space="180"/>
            <w:col w:w="8560"/>
          </w:cols>
          <w:pgMar w:left="813" w:top="120" w:right="219" w:bottom="0" w:gutter="0" w:footer="0" w:header="0"/>
          <w:type w:val="continuous"/>
        </w:sectPr>
      </w:pPr>
    </w:p>
    <w:p>
      <w:pPr>
        <w:ind w:left="567" w:hanging="567"/>
        <w:spacing w:after="0"/>
        <w:tabs>
          <w:tab w:leader="none" w:pos="567" w:val="left"/>
        </w:tabs>
        <w:numPr>
          <w:ilvl w:val="0"/>
          <w:numId w:val="180"/>
        </w:numPr>
        <w:rPr>
          <w:rFonts w:ascii="Arial" w:cs="Arial" w:eastAsia="Arial" w:hAnsi="Arial"/>
          <w:sz w:val="17"/>
          <w:szCs w:val="17"/>
          <w:color w:val="auto"/>
        </w:rPr>
      </w:pPr>
      <w:r>
        <w:rPr>
          <w:rFonts w:ascii="Arial" w:cs="Arial" w:eastAsia="Arial" w:hAnsi="Arial"/>
          <w:sz w:val="17"/>
          <w:szCs w:val="17"/>
          <w:b w:val="1"/>
          <w:bCs w:val="1"/>
          <w:color w:val="auto"/>
        </w:rPr>
        <w:t>Conformance with Treasury Regulations</w:t>
      </w:r>
    </w:p>
    <w:p>
      <w:pPr>
        <w:sectPr>
          <w:pgSz w:w="11900" w:h="16838" w:orient="portrait"/>
          <w:cols w:equalWidth="0" w:num="1">
            <w:col w:w="10867"/>
          </w:cols>
          <w:pgMar w:left="813" w:top="120" w:right="219" w:bottom="0" w:gutter="0" w:footer="0" w:header="0"/>
          <w:type w:val="continuous"/>
        </w:sectPr>
      </w:pPr>
    </w:p>
    <w:bookmarkStart w:id="120" w:name="page121"/>
    <w:bookmarkEnd w:id="120"/>
    <w:p>
      <w:pPr>
        <w:ind w:left="1140" w:right="200"/>
        <w:spacing w:after="0" w:line="270" w:lineRule="auto"/>
        <w:rPr>
          <w:sz w:val="20"/>
          <w:szCs w:val="20"/>
          <w:color w:val="auto"/>
        </w:rPr>
      </w:pPr>
      <w:r>
        <w:rPr>
          <w:rFonts w:ascii="Arial" w:cs="Arial" w:eastAsia="Arial" w:hAnsi="Arial"/>
          <w:sz w:val="17"/>
          <w:szCs w:val="17"/>
          <w:color w:val="auto"/>
        </w:rPr>
        <w:t>The benefits payable under this Section 3.1 are determined as an amount offset by the benefits provided under the Basic Plan. The benefits payable under this Plan shall be determined in a manner consistent with Treasury Regulation Sections 1.409A-2(a)(9) and 1.409A-3(j)(5) (relating to nonqualified deferred compensation plans linked to qualified employer plans). Any amendment of the Basic Plan shall be taken into account under this Plan only to the extent permitted under Treasury Regulation Sections 1.409A-2(a)</w:t>
      </w:r>
    </w:p>
    <w:p>
      <w:pPr>
        <w:spacing w:after="0" w:line="2" w:lineRule="exact"/>
        <w:rPr>
          <w:sz w:val="20"/>
          <w:szCs w:val="20"/>
          <w:color w:val="auto"/>
        </w:rPr>
      </w:pPr>
    </w:p>
    <w:p>
      <w:pPr>
        <w:ind w:left="1140" w:right="60" w:firstLine="9"/>
        <w:spacing w:after="0" w:line="243" w:lineRule="auto"/>
        <w:tabs>
          <w:tab w:leader="none" w:pos="1412" w:val="left"/>
        </w:tabs>
        <w:numPr>
          <w:ilvl w:val="0"/>
          <w:numId w:val="181"/>
        </w:numPr>
        <w:rPr>
          <w:rFonts w:ascii="Arial" w:cs="Arial" w:eastAsia="Arial" w:hAnsi="Arial"/>
          <w:sz w:val="19"/>
          <w:szCs w:val="19"/>
          <w:color w:val="auto"/>
        </w:rPr>
      </w:pPr>
      <w:r>
        <w:rPr>
          <w:rFonts w:ascii="Arial" w:cs="Arial" w:eastAsia="Arial" w:hAnsi="Arial"/>
          <w:sz w:val="19"/>
          <w:szCs w:val="19"/>
          <w:color w:val="auto"/>
        </w:rPr>
        <w:t>and 1.409A-3(j)(5). Any reference to the interest and mortality factors (or actuarial methods and assumptions) specified in the Basic Plan shall mean the applicable interest and mortality factors (or actuarial methods or assumptions) specified under the terms of the Basic Plan as in effect on December 31, 2008.</w:t>
      </w:r>
    </w:p>
    <w:p>
      <w:pPr>
        <w:spacing w:after="0" w:line="143" w:lineRule="exact"/>
        <w:rPr>
          <w:sz w:val="20"/>
          <w:szCs w:val="20"/>
          <w:color w:val="auto"/>
        </w:rPr>
      </w:pPr>
    </w:p>
    <w:p>
      <w:pPr>
        <w:spacing w:after="0"/>
        <w:tabs>
          <w:tab w:leader="none" w:pos="560" w:val="left"/>
        </w:tabs>
        <w:rPr>
          <w:sz w:val="20"/>
          <w:szCs w:val="20"/>
          <w:color w:val="auto"/>
        </w:rPr>
      </w:pPr>
      <w:r>
        <w:rPr>
          <w:rFonts w:ascii="Arial" w:cs="Arial" w:eastAsia="Arial" w:hAnsi="Arial"/>
          <w:sz w:val="19"/>
          <w:szCs w:val="19"/>
          <w:color w:val="auto"/>
        </w:rPr>
        <w:t>3.2</w:t>
      </w:r>
      <w:r>
        <w:rPr>
          <w:sz w:val="20"/>
          <w:szCs w:val="20"/>
          <w:color w:val="auto"/>
        </w:rPr>
        <w:tab/>
      </w:r>
      <w:r>
        <w:rPr>
          <w:rFonts w:ascii="Arial" w:cs="Arial" w:eastAsia="Arial" w:hAnsi="Arial"/>
          <w:sz w:val="17"/>
          <w:szCs w:val="17"/>
          <w:b w:val="1"/>
          <w:bCs w:val="1"/>
          <w:color w:val="auto"/>
        </w:rPr>
        <w:t>Amount of Spouse's Supplemental Retirement Benefit</w:t>
      </w:r>
    </w:p>
    <w:p>
      <w:pPr>
        <w:spacing w:after="0" w:line="196" w:lineRule="exact"/>
        <w:rPr>
          <w:sz w:val="20"/>
          <w:szCs w:val="20"/>
          <w:color w:val="auto"/>
        </w:rPr>
      </w:pPr>
    </w:p>
    <w:p>
      <w:pPr>
        <w:ind w:left="580" w:right="80"/>
        <w:spacing w:after="0" w:line="261" w:lineRule="auto"/>
        <w:rPr>
          <w:sz w:val="20"/>
          <w:szCs w:val="20"/>
          <w:color w:val="auto"/>
        </w:rPr>
      </w:pPr>
      <w:r>
        <w:rPr>
          <w:rFonts w:ascii="Arial" w:cs="Arial" w:eastAsia="Arial" w:hAnsi="Arial"/>
          <w:sz w:val="18"/>
          <w:szCs w:val="18"/>
          <w:color w:val="auto"/>
        </w:rPr>
        <w:t>The annual Spouse's Supplemental Retirement Benefit payable to a Surviving Spouse of a Participant who did not receive a lump sum payment is equal to 50% of the Participant's Supplemental Retirement Benefit as determined in accordance with in Section 3.1(a) without the reduction in 3.1(b) but adjusted by the Vesting Factor and the early retirement reduction pursuant to appendix A. The Spouse’s Supplemental Retirement Benefit shall be paid monthly, beginning on the last day of the month next following the month in which the death of the Participant occurs and will continue to be paid monthly during the life of the Surviving Spouse.</w:t>
      </w:r>
    </w:p>
    <w:p>
      <w:pPr>
        <w:spacing w:after="0" w:line="142" w:lineRule="exact"/>
        <w:rPr>
          <w:sz w:val="20"/>
          <w:szCs w:val="20"/>
          <w:color w:val="auto"/>
        </w:rPr>
      </w:pPr>
    </w:p>
    <w:p>
      <w:pPr>
        <w:spacing w:after="0"/>
        <w:tabs>
          <w:tab w:leader="none" w:pos="560" w:val="left"/>
        </w:tabs>
        <w:rPr>
          <w:sz w:val="20"/>
          <w:szCs w:val="20"/>
          <w:color w:val="auto"/>
        </w:rPr>
      </w:pPr>
      <w:r>
        <w:rPr>
          <w:rFonts w:ascii="Arial" w:cs="Arial" w:eastAsia="Arial" w:hAnsi="Arial"/>
          <w:sz w:val="19"/>
          <w:szCs w:val="19"/>
          <w:color w:val="auto"/>
        </w:rPr>
        <w:t>3.3</w:t>
      </w:r>
      <w:r>
        <w:rPr>
          <w:sz w:val="20"/>
          <w:szCs w:val="20"/>
          <w:color w:val="auto"/>
        </w:rPr>
        <w:tab/>
      </w:r>
      <w:r>
        <w:rPr>
          <w:rFonts w:ascii="Arial" w:cs="Arial" w:eastAsia="Arial" w:hAnsi="Arial"/>
          <w:sz w:val="17"/>
          <w:szCs w:val="17"/>
          <w:b w:val="1"/>
          <w:bCs w:val="1"/>
          <w:color w:val="auto"/>
        </w:rPr>
        <w:t>Adjustments</w:t>
      </w:r>
    </w:p>
    <w:p>
      <w:pPr>
        <w:spacing w:after="0" w:line="196" w:lineRule="exact"/>
        <w:rPr>
          <w:sz w:val="20"/>
          <w:szCs w:val="20"/>
          <w:color w:val="auto"/>
        </w:rPr>
      </w:pPr>
    </w:p>
    <w:p>
      <w:pPr>
        <w:ind w:left="580" w:right="100"/>
        <w:spacing w:after="0" w:line="252" w:lineRule="auto"/>
        <w:rPr>
          <w:sz w:val="20"/>
          <w:szCs w:val="20"/>
          <w:color w:val="auto"/>
        </w:rPr>
      </w:pPr>
      <w:r>
        <w:rPr>
          <w:rFonts w:ascii="Arial" w:cs="Arial" w:eastAsia="Arial" w:hAnsi="Arial"/>
          <w:sz w:val="19"/>
          <w:szCs w:val="19"/>
          <w:color w:val="auto"/>
        </w:rPr>
        <w:t>The annual Supplemental Retirement Benefit or the annual Spouse's Supplemental Retirement Benefit will not be decreased or increased on account of any increase or decrease in the Basic Pension Plan Benefit, Cash Balance Restoration Plan Benefit, or Social Security Benefit occurring after a Participant's Retirement Date or death.</w:t>
      </w:r>
    </w:p>
    <w:p>
      <w:pPr>
        <w:spacing w:after="0" w:line="135" w:lineRule="exact"/>
        <w:rPr>
          <w:sz w:val="20"/>
          <w:szCs w:val="20"/>
          <w:color w:val="auto"/>
        </w:rPr>
      </w:pPr>
    </w:p>
    <w:p>
      <w:pPr>
        <w:spacing w:after="0"/>
        <w:tabs>
          <w:tab w:leader="none" w:pos="560" w:val="left"/>
        </w:tabs>
        <w:rPr>
          <w:sz w:val="20"/>
          <w:szCs w:val="20"/>
          <w:color w:val="auto"/>
        </w:rPr>
      </w:pPr>
      <w:r>
        <w:rPr>
          <w:rFonts w:ascii="Arial" w:cs="Arial" w:eastAsia="Arial" w:hAnsi="Arial"/>
          <w:sz w:val="19"/>
          <w:szCs w:val="19"/>
          <w:color w:val="auto"/>
        </w:rPr>
        <w:t>3.4</w:t>
      </w:r>
      <w:r>
        <w:rPr>
          <w:sz w:val="20"/>
          <w:szCs w:val="20"/>
          <w:color w:val="auto"/>
        </w:rPr>
        <w:tab/>
      </w:r>
      <w:r>
        <w:rPr>
          <w:rFonts w:ascii="Arial" w:cs="Arial" w:eastAsia="Arial" w:hAnsi="Arial"/>
          <w:sz w:val="17"/>
          <w:szCs w:val="17"/>
          <w:b w:val="1"/>
          <w:bCs w:val="1"/>
          <w:color w:val="auto"/>
        </w:rPr>
        <w:t>Payment</w:t>
      </w:r>
    </w:p>
    <w:p>
      <w:pPr>
        <w:spacing w:after="0" w:line="184" w:lineRule="exact"/>
        <w:rPr>
          <w:sz w:val="20"/>
          <w:szCs w:val="20"/>
          <w:color w:val="auto"/>
        </w:rPr>
      </w:pPr>
    </w:p>
    <w:p>
      <w:pPr>
        <w:ind w:left="860" w:hanging="287"/>
        <w:spacing w:after="0" w:line="253" w:lineRule="auto"/>
        <w:tabs>
          <w:tab w:leader="none" w:pos="86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Subject to subsections (b), (c) and (d), a Participant’s Pre-Section 409A Supplemental Retirement Benefit will be paid as soon after the Participant's Retirement Date as is reasonably practicable, and a Participant’s Post-Section 409A Supplemental Retirement Benefit will be paid or commence upon such Participant’s Separation from Service (or such other commencement date as is determined under Section 3.1). If an annuity payment is elected pursuant to Section 3.1, for purposes of the payment of such Participant’s Pre-Section 409A Supplemental Retirement Benefit, such Pre-Section 409A Supplemental Retirement Benefit will be paid monthly, beginning on the last day of the month of the Participant's Retirement Date and will continue to be paid monthly during the life of the Participant, the last payment to be made to the Participant’s spouse or, if none, t o the Participant’s estate, on the last day of the month in which the death of the Participant occurs. If an annuity payment is elected pursuant to Section 3.1, for purposes of the payment of such Participant’s Post-Section 409A Supplemental Retirement Benefit, such Post-Section 409A Supplemental Retirement Benefit will be paid monthly, beginning on the last day of the month of the Participant's Separation from Service (or such other commencement date as is determined under Section 3.1) and will continue to be paid monthly during the life of the Participant, the last payment to be made to the Participant’s spouse or, if none, to the Participant’s estate, on the last day of the month in which the death of the Participant occurs. If the Participant’s designated beneficiary is the Participant’s Surviving Spouse, the Surviving Spouse will receive the Spouse's Supplemental Retirement Benefit, which will be paid monthly, and will commence on the last day of the month follo wing the month in which the Participant dies and will continue during the life of the Surviving Spouse. If the Participant’s designated beneficiary is not the Participant’s Surviving Spouse, and the designated beneficiary survives the Participant, the designated beneficiary will receive the survivor benefit under the annuity elected by the Participant, which will be paid monthly, and will commence on the last day of the month following the month in which the Participant does and will continue during the life of the designated beneficiary. In all cases, the monthly benefit shall equal the annual benefit divided by 12.</w:t>
      </w:r>
    </w:p>
    <w:p>
      <w:pPr>
        <w:spacing w:after="0" w:line="154" w:lineRule="exact"/>
        <w:rPr>
          <w:rFonts w:ascii="Arial" w:cs="Arial" w:eastAsia="Arial" w:hAnsi="Arial"/>
          <w:sz w:val="18"/>
          <w:szCs w:val="18"/>
          <w:color w:val="auto"/>
        </w:rPr>
      </w:pPr>
    </w:p>
    <w:p>
      <w:pPr>
        <w:ind w:left="860" w:right="100" w:hanging="287"/>
        <w:spacing w:after="0" w:line="266" w:lineRule="auto"/>
        <w:tabs>
          <w:tab w:leader="none" w:pos="860" w:val="left"/>
        </w:tabs>
        <w:numPr>
          <w:ilvl w:val="0"/>
          <w:numId w:val="182"/>
        </w:numPr>
        <w:rPr>
          <w:rFonts w:ascii="Arial" w:cs="Arial" w:eastAsia="Arial" w:hAnsi="Arial"/>
          <w:sz w:val="19"/>
          <w:szCs w:val="19"/>
          <w:color w:val="auto"/>
        </w:rPr>
      </w:pPr>
      <w:r>
        <w:rPr>
          <w:rFonts w:ascii="Arial" w:cs="Arial" w:eastAsia="Arial" w:hAnsi="Arial"/>
          <w:sz w:val="19"/>
          <w:szCs w:val="19"/>
          <w:color w:val="auto"/>
        </w:rPr>
        <w:t>A Participant’s Pre-Section 409A Supplemental Retirement Benefit shall be paid in accordance with Section 3.1(c)(i) and a Participant’s Post-Section 409A Supplemental Retirement Benefit shall be paid in accordance with Section 3.1(c)(ii).</w:t>
      </w:r>
    </w:p>
    <w:p>
      <w:pPr>
        <w:spacing w:after="0" w:line="128" w:lineRule="exact"/>
        <w:rPr>
          <w:rFonts w:ascii="Arial" w:cs="Arial" w:eastAsia="Arial" w:hAnsi="Arial"/>
          <w:sz w:val="19"/>
          <w:szCs w:val="19"/>
          <w:color w:val="auto"/>
        </w:rPr>
      </w:pPr>
    </w:p>
    <w:p>
      <w:pPr>
        <w:ind w:left="860" w:right="60" w:hanging="287"/>
        <w:spacing w:after="0"/>
        <w:tabs>
          <w:tab w:leader="none" w:pos="860" w:val="left"/>
        </w:tabs>
        <w:numPr>
          <w:ilvl w:val="0"/>
          <w:numId w:val="182"/>
        </w:numPr>
        <w:rPr>
          <w:rFonts w:ascii="Arial" w:cs="Arial" w:eastAsia="Arial" w:hAnsi="Arial"/>
          <w:sz w:val="19"/>
          <w:szCs w:val="19"/>
          <w:color w:val="auto"/>
        </w:rPr>
      </w:pPr>
      <w:r>
        <w:rPr>
          <w:rFonts w:ascii="Arial" w:cs="Arial" w:eastAsia="Arial" w:hAnsi="Arial"/>
          <w:sz w:val="19"/>
          <w:szCs w:val="19"/>
          <w:color w:val="auto"/>
        </w:rPr>
        <w:t>Notwithstanding the foregoing, in the case of a Participant who is a Specified Employee on the date of such Participant’s Separation from Service, the payment of such Participant’s Post-Section 409A Supplemental Retirement Benefit to such Participant shall not be made before the date which is six months after the date of such Participant’s Separation from Service (or, if earlier, the date such Participant’s death) in accordance with Section 409A(a)(2)(B)(i) of the Code and the Treasury Regulations thereunder. Any payment of such Participant’s Post-Section 409A Supplemental Retirement Benefit to which such Participant otherwise would have been entitled during the first six months following the date of such Participant’s Separation from Service shall be accumulated (with interest at the annual rate of interest on 30-year Treasury securities for the November next preceding the first day of the calendar year in which such Participant’s Separation from Service occurs) and paid on the first day of the seventh month following the date of such Participant’s Separation from Service (or, if earlier, the date of such Participant’s death) in accordance with Section 409A(a)(2)(B)(i) and the Treasury Regulations thereunder.</w:t>
      </w:r>
    </w:p>
    <w:p>
      <w:pPr>
        <w:spacing w:after="0" w:line="157" w:lineRule="exact"/>
        <w:rPr>
          <w:rFonts w:ascii="Arial" w:cs="Arial" w:eastAsia="Arial" w:hAnsi="Arial"/>
          <w:sz w:val="19"/>
          <w:szCs w:val="19"/>
          <w:color w:val="auto"/>
        </w:rPr>
      </w:pPr>
    </w:p>
    <w:p>
      <w:pPr>
        <w:jc w:val="both"/>
        <w:ind w:left="860" w:right="160" w:hanging="287"/>
        <w:spacing w:after="0" w:line="252" w:lineRule="auto"/>
        <w:tabs>
          <w:tab w:leader="none" w:pos="860" w:val="left"/>
        </w:tabs>
        <w:numPr>
          <w:ilvl w:val="0"/>
          <w:numId w:val="182"/>
        </w:numPr>
        <w:rPr>
          <w:rFonts w:ascii="Arial" w:cs="Arial" w:eastAsia="Arial" w:hAnsi="Arial"/>
          <w:sz w:val="19"/>
          <w:szCs w:val="19"/>
          <w:color w:val="auto"/>
        </w:rPr>
      </w:pPr>
      <w:r>
        <w:rPr>
          <w:rFonts w:ascii="Arial" w:cs="Arial" w:eastAsia="Arial" w:hAnsi="Arial"/>
          <w:sz w:val="19"/>
          <w:szCs w:val="19"/>
          <w:color w:val="auto"/>
        </w:rPr>
        <w:t>The time or schedule of payment of any payment of a Participant’s Post-Section 409A Supplemental Retirement Benefit under the Plan shall not be subject to acceleration, except as provided under Treasury Regulations promulgated in accordance with Section 409A(a)(3) of the Code.</w:t>
      </w:r>
    </w:p>
    <w:p>
      <w:pPr>
        <w:spacing w:after="0" w:line="147" w:lineRule="exact"/>
        <w:rPr>
          <w:sz w:val="20"/>
          <w:szCs w:val="20"/>
          <w:color w:val="auto"/>
        </w:rPr>
      </w:pPr>
    </w:p>
    <w:p>
      <w:pPr>
        <w:spacing w:after="0"/>
        <w:tabs>
          <w:tab w:leader="none" w:pos="560" w:val="left"/>
        </w:tabs>
        <w:rPr>
          <w:sz w:val="20"/>
          <w:szCs w:val="20"/>
          <w:color w:val="auto"/>
        </w:rPr>
      </w:pPr>
      <w:r>
        <w:rPr>
          <w:rFonts w:ascii="Arial" w:cs="Arial" w:eastAsia="Arial" w:hAnsi="Arial"/>
          <w:sz w:val="19"/>
          <w:szCs w:val="19"/>
          <w:color w:val="auto"/>
        </w:rPr>
        <w:t>3.5</w:t>
      </w:r>
      <w:r>
        <w:rPr>
          <w:sz w:val="20"/>
          <w:szCs w:val="20"/>
          <w:color w:val="auto"/>
        </w:rPr>
        <w:tab/>
      </w:r>
      <w:r>
        <w:rPr>
          <w:rFonts w:ascii="Arial" w:cs="Arial" w:eastAsia="Arial" w:hAnsi="Arial"/>
          <w:sz w:val="17"/>
          <w:szCs w:val="17"/>
          <w:b w:val="1"/>
          <w:bCs w:val="1"/>
          <w:color w:val="auto"/>
        </w:rPr>
        <w:t>Conformance of Time and Form of Payment under the Cash Balance Restoration Plan</w:t>
      </w:r>
    </w:p>
    <w:p>
      <w:pPr>
        <w:spacing w:after="0" w:line="184" w:lineRule="exact"/>
        <w:rPr>
          <w:sz w:val="20"/>
          <w:szCs w:val="20"/>
          <w:color w:val="auto"/>
        </w:rPr>
      </w:pPr>
    </w:p>
    <w:p>
      <w:pPr>
        <w:ind w:left="860" w:right="60" w:hanging="287"/>
        <w:spacing w:after="0" w:line="244" w:lineRule="auto"/>
        <w:tabs>
          <w:tab w:leader="none" w:pos="860" w:val="left"/>
        </w:tabs>
        <w:numPr>
          <w:ilvl w:val="0"/>
          <w:numId w:val="183"/>
        </w:numPr>
        <w:rPr>
          <w:rFonts w:ascii="Arial" w:cs="Arial" w:eastAsia="Arial" w:hAnsi="Arial"/>
          <w:sz w:val="19"/>
          <w:szCs w:val="19"/>
          <w:color w:val="auto"/>
        </w:rPr>
      </w:pPr>
      <w:r>
        <w:rPr>
          <w:rFonts w:ascii="Arial" w:cs="Arial" w:eastAsia="Arial" w:hAnsi="Arial"/>
          <w:sz w:val="19"/>
          <w:szCs w:val="19"/>
          <w:color w:val="auto"/>
        </w:rPr>
        <w:t>The payment of such Participant’s Post-Section 409A Supplemental Retirement Benefit to such Participant under this Plan shall be made or commence on the date of the payment or commencement of such Participant’s “Post-Section 409A Benefit” (as defined in the Cash Balance Restoration Plan) under the Cash Balance Restoration Plan, and the form of payment of such Participant’s Post-Section 409A Supplemental Retirement Benefit under this Plan shall be the same as the form of payment of such Participant’s “Post-Section 409A Benefit” under the Cash Balance Restoration Plan.</w:t>
      </w:r>
    </w:p>
    <w:p>
      <w:pPr>
        <w:spacing w:after="0" w:line="150" w:lineRule="exact"/>
        <w:rPr>
          <w:rFonts w:ascii="Arial" w:cs="Arial" w:eastAsia="Arial" w:hAnsi="Arial"/>
          <w:sz w:val="19"/>
          <w:szCs w:val="19"/>
          <w:color w:val="auto"/>
        </w:rPr>
      </w:pPr>
    </w:p>
    <w:p>
      <w:pPr>
        <w:ind w:left="860" w:right="60" w:hanging="287"/>
        <w:spacing w:after="0" w:line="258" w:lineRule="auto"/>
        <w:tabs>
          <w:tab w:leader="none" w:pos="860" w:val="left"/>
        </w:tabs>
        <w:numPr>
          <w:ilvl w:val="0"/>
          <w:numId w:val="183"/>
        </w:numPr>
        <w:rPr>
          <w:rFonts w:ascii="Arial" w:cs="Arial" w:eastAsia="Arial" w:hAnsi="Arial"/>
          <w:sz w:val="18"/>
          <w:szCs w:val="18"/>
          <w:color w:val="auto"/>
        </w:rPr>
      </w:pPr>
      <w:r>
        <w:rPr>
          <w:rFonts w:ascii="Arial" w:cs="Arial" w:eastAsia="Arial" w:hAnsi="Arial"/>
          <w:sz w:val="18"/>
          <w:szCs w:val="18"/>
          <w:color w:val="auto"/>
        </w:rPr>
        <w:t>In the event that a Participant elects to change the form of the payment of such Participant’s “Post-Section 409A Benefit” (as defined in the Cash Balance Restoration Plan) under the Cash Balance Restoration Plan, such Participant shall be deemed to have elected to change the form of the payment of such Participant’s Post-Section 409A Supplemental Retirement Benefit under this Plan to the form of the payment of such Participant’s “Post-Section 409A Benefit” under the Cash Balance Restoration Plan. Any such election shall be subject to Section 3.1(c)(ii)(C) and the provisions of the Cash Balance Restoration Plan and, in any event, the time and form of payment of such Participant’s Post-Section 409A Supplemental Retirement Benefit under this Plan shall be the same as the time and form of payment of such Participant’s “Post-Secti on 409A Benefit” under the Cash Balance Restoration Plan.</w:t>
      </w:r>
    </w:p>
    <w:p>
      <w:pPr>
        <w:sectPr>
          <w:pgSz w:w="11900" w:h="16838" w:orient="portrait"/>
          <w:cols w:equalWidth="0" w:num="1">
            <w:col w:w="11440"/>
          </w:cols>
          <w:pgMar w:left="240" w:top="120" w:right="219" w:bottom="0" w:gutter="0" w:footer="0" w:header="0"/>
        </w:sectPr>
      </w:pPr>
    </w:p>
    <w:bookmarkStart w:id="121" w:name="page122"/>
    <w:bookmarkEnd w:id="121"/>
    <w:p>
      <w:pPr>
        <w:jc w:val="center"/>
        <w:ind w:right="-19"/>
        <w:spacing w:after="0"/>
        <w:rPr>
          <w:sz w:val="20"/>
          <w:szCs w:val="20"/>
          <w:color w:val="auto"/>
        </w:rPr>
      </w:pPr>
      <w:r>
        <w:rPr>
          <w:rFonts w:ascii="Arial" w:cs="Arial" w:eastAsia="Arial" w:hAnsi="Arial"/>
          <w:sz w:val="19"/>
          <w:szCs w:val="19"/>
          <w:b w:val="1"/>
          <w:bCs w:val="1"/>
          <w:color w:val="auto"/>
        </w:rPr>
        <w:t>SECTION 4</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color w:val="auto"/>
        </w:rPr>
        <w:t>SUPPLEMENTAL PRERETIREMENT SPOUSE'S DEATH BENEFITS</w:t>
      </w:r>
    </w:p>
    <w:p>
      <w:pPr>
        <w:spacing w:after="0" w:line="178" w:lineRule="exact"/>
        <w:rPr>
          <w:sz w:val="20"/>
          <w:szCs w:val="20"/>
          <w:color w:val="auto"/>
        </w:rPr>
      </w:pPr>
    </w:p>
    <w:p>
      <w:pPr>
        <w:spacing w:after="0"/>
        <w:tabs>
          <w:tab w:leader="none" w:pos="560" w:val="left"/>
        </w:tabs>
        <w:rPr>
          <w:sz w:val="20"/>
          <w:szCs w:val="20"/>
          <w:color w:val="auto"/>
        </w:rPr>
      </w:pPr>
      <w:r>
        <w:rPr>
          <w:rFonts w:ascii="Arial" w:cs="Arial" w:eastAsia="Arial" w:hAnsi="Arial"/>
          <w:sz w:val="19"/>
          <w:szCs w:val="19"/>
          <w:color w:val="auto"/>
        </w:rPr>
        <w:t>4.1</w:t>
      </w:r>
      <w:r>
        <w:rPr>
          <w:sz w:val="20"/>
          <w:szCs w:val="20"/>
          <w:color w:val="auto"/>
        </w:rPr>
        <w:tab/>
      </w:r>
      <w:r>
        <w:rPr>
          <w:rFonts w:ascii="Arial" w:cs="Arial" w:eastAsia="Arial" w:hAnsi="Arial"/>
          <w:sz w:val="17"/>
          <w:szCs w:val="17"/>
          <w:b w:val="1"/>
          <w:bCs w:val="1"/>
          <w:color w:val="auto"/>
        </w:rPr>
        <w:t>Benefit</w:t>
      </w:r>
    </w:p>
    <w:p>
      <w:pPr>
        <w:spacing w:after="0" w:line="196" w:lineRule="exact"/>
        <w:rPr>
          <w:sz w:val="20"/>
          <w:szCs w:val="20"/>
          <w:color w:val="auto"/>
        </w:rPr>
      </w:pPr>
    </w:p>
    <w:p>
      <w:pPr>
        <w:ind w:left="580" w:right="40"/>
        <w:spacing w:after="0" w:line="295" w:lineRule="auto"/>
        <w:rPr>
          <w:sz w:val="20"/>
          <w:szCs w:val="20"/>
          <w:color w:val="auto"/>
        </w:rPr>
      </w:pPr>
      <w:r>
        <w:rPr>
          <w:rFonts w:ascii="Arial" w:cs="Arial" w:eastAsia="Arial" w:hAnsi="Arial"/>
          <w:sz w:val="18"/>
          <w:szCs w:val="18"/>
          <w:color w:val="auto"/>
        </w:rPr>
        <w:t>The Spouse's Death Benefit that will be paid to a Surviving Spouse of a Participant who dies prior to having a Separation from Service prior to his Retirement Date is a lump sum payment based on the Actuarial Value of an annuity equal to (a) minus (b) when:</w:t>
      </w:r>
    </w:p>
    <w:p>
      <w:pPr>
        <w:spacing w:after="0" w:line="80" w:lineRule="exact"/>
        <w:rPr>
          <w:sz w:val="20"/>
          <w:szCs w:val="20"/>
          <w:color w:val="auto"/>
        </w:rPr>
      </w:pPr>
    </w:p>
    <w:p>
      <w:pPr>
        <w:ind w:left="860" w:right="120" w:hanging="287"/>
        <w:spacing w:after="0" w:line="266" w:lineRule="auto"/>
        <w:tabs>
          <w:tab w:leader="none" w:pos="860" w:val="left"/>
        </w:tabs>
        <w:numPr>
          <w:ilvl w:val="0"/>
          <w:numId w:val="184"/>
        </w:numPr>
        <w:rPr>
          <w:rFonts w:ascii="Arial" w:cs="Arial" w:eastAsia="Arial" w:hAnsi="Arial"/>
          <w:sz w:val="19"/>
          <w:szCs w:val="19"/>
          <w:color w:val="auto"/>
        </w:rPr>
      </w:pPr>
      <w:r>
        <w:rPr>
          <w:rFonts w:ascii="Arial" w:cs="Arial" w:eastAsia="Arial" w:hAnsi="Arial"/>
          <w:sz w:val="19"/>
          <w:szCs w:val="19"/>
          <w:color w:val="auto"/>
        </w:rPr>
        <w:t>is 100% of the Participant’s accrued benefit calculated in accordance with 3.1(a). If the Participant is under age 55 at the time of death, the age 55 early retirement factor shall be used, and</w:t>
      </w:r>
    </w:p>
    <w:p>
      <w:pPr>
        <w:spacing w:after="0" w:line="104" w:lineRule="exact"/>
        <w:rPr>
          <w:rFonts w:ascii="Arial" w:cs="Arial" w:eastAsia="Arial" w:hAnsi="Arial"/>
          <w:sz w:val="19"/>
          <w:szCs w:val="19"/>
          <w:color w:val="auto"/>
        </w:rPr>
      </w:pPr>
    </w:p>
    <w:p>
      <w:pPr>
        <w:ind w:left="860" w:hanging="287"/>
        <w:spacing w:after="0"/>
        <w:tabs>
          <w:tab w:leader="none" w:pos="860" w:val="left"/>
        </w:tabs>
        <w:numPr>
          <w:ilvl w:val="0"/>
          <w:numId w:val="184"/>
        </w:numPr>
        <w:rPr>
          <w:rFonts w:ascii="Arial" w:cs="Arial" w:eastAsia="Arial" w:hAnsi="Arial"/>
          <w:sz w:val="19"/>
          <w:szCs w:val="19"/>
          <w:color w:val="auto"/>
        </w:rPr>
      </w:pPr>
      <w:r>
        <w:rPr>
          <w:rFonts w:ascii="Arial" w:cs="Arial" w:eastAsia="Arial" w:hAnsi="Arial"/>
          <w:sz w:val="19"/>
          <w:szCs w:val="19"/>
          <w:color w:val="auto"/>
        </w:rPr>
        <w:t>is the Surviving Spouse's Preretirement Spouse's Benefit.</w:t>
      </w:r>
    </w:p>
    <w:p>
      <w:pPr>
        <w:spacing w:after="0" w:line="172" w:lineRule="exact"/>
        <w:rPr>
          <w:sz w:val="20"/>
          <w:szCs w:val="20"/>
          <w:color w:val="auto"/>
        </w:rPr>
      </w:pPr>
    </w:p>
    <w:p>
      <w:pPr>
        <w:spacing w:after="0"/>
        <w:tabs>
          <w:tab w:leader="none" w:pos="560" w:val="left"/>
        </w:tabs>
        <w:rPr>
          <w:sz w:val="20"/>
          <w:szCs w:val="20"/>
          <w:color w:val="auto"/>
        </w:rPr>
      </w:pPr>
      <w:r>
        <w:rPr>
          <w:rFonts w:ascii="Arial" w:cs="Arial" w:eastAsia="Arial" w:hAnsi="Arial"/>
          <w:sz w:val="19"/>
          <w:szCs w:val="19"/>
          <w:color w:val="auto"/>
        </w:rPr>
        <w:t>4.2</w:t>
      </w:r>
      <w:r>
        <w:rPr>
          <w:sz w:val="20"/>
          <w:szCs w:val="20"/>
          <w:color w:val="auto"/>
        </w:rPr>
        <w:tab/>
      </w:r>
      <w:r>
        <w:rPr>
          <w:rFonts w:ascii="Arial" w:cs="Arial" w:eastAsia="Arial" w:hAnsi="Arial"/>
          <w:sz w:val="17"/>
          <w:szCs w:val="17"/>
          <w:b w:val="1"/>
          <w:bCs w:val="1"/>
          <w:color w:val="auto"/>
        </w:rPr>
        <w:t>Form of Benefit</w:t>
      </w:r>
    </w:p>
    <w:p>
      <w:pPr>
        <w:spacing w:after="0" w:line="196" w:lineRule="exact"/>
        <w:rPr>
          <w:sz w:val="20"/>
          <w:szCs w:val="20"/>
          <w:color w:val="auto"/>
        </w:rPr>
      </w:pPr>
    </w:p>
    <w:p>
      <w:pPr>
        <w:ind w:left="580" w:right="100"/>
        <w:spacing w:after="0" w:line="266" w:lineRule="auto"/>
        <w:rPr>
          <w:sz w:val="20"/>
          <w:szCs w:val="20"/>
          <w:color w:val="auto"/>
        </w:rPr>
      </w:pPr>
      <w:r>
        <w:rPr>
          <w:rFonts w:ascii="Arial" w:cs="Arial" w:eastAsia="Arial" w:hAnsi="Arial"/>
          <w:sz w:val="19"/>
          <w:szCs w:val="19"/>
          <w:color w:val="auto"/>
        </w:rPr>
        <w:t>The Spouse’s Death Benefit shall be paid in the form of a lump sum payment on such date as is determined by Sempra Energy within thirty (30) days following the Participant’s death.</w:t>
      </w: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color w:val="auto"/>
        </w:rPr>
        <w:t>SECTION 5</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color w:val="auto"/>
        </w:rPr>
        <w:t>SUPPLEMENTAL DISABILITY BENEFITS</w:t>
      </w:r>
    </w:p>
    <w:p>
      <w:pPr>
        <w:spacing w:after="0" w:line="178" w:lineRule="exact"/>
        <w:rPr>
          <w:sz w:val="20"/>
          <w:szCs w:val="20"/>
          <w:color w:val="auto"/>
        </w:rPr>
      </w:pPr>
    </w:p>
    <w:p>
      <w:pPr>
        <w:spacing w:after="0"/>
        <w:tabs>
          <w:tab w:leader="none" w:pos="560" w:val="left"/>
        </w:tabs>
        <w:rPr>
          <w:sz w:val="20"/>
          <w:szCs w:val="20"/>
          <w:color w:val="auto"/>
        </w:rPr>
      </w:pPr>
      <w:r>
        <w:rPr>
          <w:rFonts w:ascii="Arial" w:cs="Arial" w:eastAsia="Arial" w:hAnsi="Arial"/>
          <w:sz w:val="19"/>
          <w:szCs w:val="19"/>
          <w:color w:val="auto"/>
        </w:rPr>
        <w:t>5.1</w:t>
      </w:r>
      <w:r>
        <w:rPr>
          <w:sz w:val="20"/>
          <w:szCs w:val="20"/>
          <w:color w:val="auto"/>
        </w:rPr>
        <w:tab/>
      </w:r>
      <w:r>
        <w:rPr>
          <w:rFonts w:ascii="Arial" w:cs="Arial" w:eastAsia="Arial" w:hAnsi="Arial"/>
          <w:sz w:val="17"/>
          <w:szCs w:val="17"/>
          <w:b w:val="1"/>
          <w:bCs w:val="1"/>
          <w:color w:val="auto"/>
        </w:rPr>
        <w:t>Amount</w:t>
      </w:r>
    </w:p>
    <w:p>
      <w:pPr>
        <w:spacing w:after="0" w:line="196" w:lineRule="exact"/>
        <w:rPr>
          <w:sz w:val="20"/>
          <w:szCs w:val="20"/>
          <w:color w:val="auto"/>
        </w:rPr>
      </w:pPr>
    </w:p>
    <w:p>
      <w:pPr>
        <w:ind w:left="580"/>
        <w:spacing w:after="0" w:line="252" w:lineRule="auto"/>
        <w:rPr>
          <w:sz w:val="20"/>
          <w:szCs w:val="20"/>
          <w:color w:val="auto"/>
        </w:rPr>
      </w:pPr>
      <w:r>
        <w:rPr>
          <w:rFonts w:ascii="Arial" w:cs="Arial" w:eastAsia="Arial" w:hAnsi="Arial"/>
          <w:sz w:val="19"/>
          <w:szCs w:val="19"/>
          <w:color w:val="auto"/>
        </w:rPr>
        <w:t>The annual Supplemental Disability Benefit payable to a Participant is equal to (a) minus (b) when (a) is 60% multiplied by the total of the Participant's Average Bonus and annual rate of Earnings in effect on the day immediately preceding the day the Participant becomes eligible, and (b) is the sum of</w:t>
      </w:r>
    </w:p>
    <w:p>
      <w:pPr>
        <w:spacing w:after="0" w:line="153" w:lineRule="exact"/>
        <w:rPr>
          <w:sz w:val="20"/>
          <w:szCs w:val="20"/>
          <w:color w:val="auto"/>
        </w:rPr>
      </w:pPr>
    </w:p>
    <w:p>
      <w:pPr>
        <w:ind w:left="1720" w:hanging="571"/>
        <w:spacing w:after="0"/>
        <w:tabs>
          <w:tab w:leader="none" w:pos="1720" w:val="left"/>
        </w:tabs>
        <w:numPr>
          <w:ilvl w:val="0"/>
          <w:numId w:val="185"/>
        </w:numPr>
        <w:rPr>
          <w:rFonts w:ascii="Arial" w:cs="Arial" w:eastAsia="Arial" w:hAnsi="Arial"/>
          <w:sz w:val="19"/>
          <w:szCs w:val="19"/>
          <w:color w:val="auto"/>
        </w:rPr>
      </w:pPr>
      <w:r>
        <w:rPr>
          <w:rFonts w:ascii="Arial" w:cs="Arial" w:eastAsia="Arial" w:hAnsi="Arial"/>
          <w:sz w:val="19"/>
          <w:szCs w:val="19"/>
          <w:color w:val="auto"/>
        </w:rPr>
        <w:t>the Participant's Basic Disability Plan Benefit, and any other Company provided disability plan, plus</w:t>
      </w:r>
    </w:p>
    <w:p>
      <w:pPr>
        <w:spacing w:after="0" w:line="177" w:lineRule="exact"/>
        <w:rPr>
          <w:rFonts w:ascii="Arial" w:cs="Arial" w:eastAsia="Arial" w:hAnsi="Arial"/>
          <w:sz w:val="19"/>
          <w:szCs w:val="19"/>
          <w:color w:val="auto"/>
        </w:rPr>
      </w:pPr>
    </w:p>
    <w:p>
      <w:pPr>
        <w:ind w:left="1720" w:hanging="571"/>
        <w:spacing w:after="0"/>
        <w:tabs>
          <w:tab w:leader="none" w:pos="1720" w:val="left"/>
        </w:tabs>
        <w:numPr>
          <w:ilvl w:val="0"/>
          <w:numId w:val="185"/>
        </w:numPr>
        <w:rPr>
          <w:rFonts w:ascii="Arial" w:cs="Arial" w:eastAsia="Arial" w:hAnsi="Arial"/>
          <w:sz w:val="19"/>
          <w:szCs w:val="19"/>
          <w:color w:val="auto"/>
        </w:rPr>
      </w:pPr>
      <w:r>
        <w:rPr>
          <w:rFonts w:ascii="Arial" w:cs="Arial" w:eastAsia="Arial" w:hAnsi="Arial"/>
          <w:sz w:val="19"/>
          <w:szCs w:val="19"/>
          <w:color w:val="auto"/>
        </w:rPr>
        <w:t>the Participant’s Voluntary Disability Benefit, plus</w:t>
      </w:r>
    </w:p>
    <w:p>
      <w:pPr>
        <w:spacing w:after="0" w:line="177" w:lineRule="exact"/>
        <w:rPr>
          <w:rFonts w:ascii="Arial" w:cs="Arial" w:eastAsia="Arial" w:hAnsi="Arial"/>
          <w:sz w:val="19"/>
          <w:szCs w:val="19"/>
          <w:color w:val="auto"/>
        </w:rPr>
      </w:pPr>
    </w:p>
    <w:p>
      <w:pPr>
        <w:ind w:left="1720" w:right="120" w:hanging="571"/>
        <w:spacing w:after="0" w:line="261" w:lineRule="auto"/>
        <w:tabs>
          <w:tab w:leader="none" w:pos="172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the amount of benefits for which the Participant is eligible under the provisions of any federal or state law providing payments on account of disability, as these payments are defined in the Basic Disability Plan, during the period of eligibility for a Supplemental Disability Benefit. If (a) minus (b) results in zero or less, then no Supplemental Disability Benefit is payable. If the Basic Disability Plan Benefit increases under the Basic Disability Plan, or the Voluntary Disability Benefit increases, the Supplemental Disability Benefit will be decreased by the same amount.</w:t>
      </w:r>
    </w:p>
    <w:p>
      <w:pPr>
        <w:spacing w:after="0" w:line="148" w:lineRule="exact"/>
        <w:rPr>
          <w:sz w:val="20"/>
          <w:szCs w:val="20"/>
          <w:color w:val="auto"/>
        </w:rPr>
      </w:pPr>
    </w:p>
    <w:p>
      <w:pPr>
        <w:ind w:left="580" w:right="20"/>
        <w:spacing w:after="0" w:line="266" w:lineRule="auto"/>
        <w:rPr>
          <w:sz w:val="20"/>
          <w:szCs w:val="20"/>
          <w:color w:val="auto"/>
        </w:rPr>
      </w:pPr>
      <w:r>
        <w:rPr>
          <w:rFonts w:ascii="Arial" w:cs="Arial" w:eastAsia="Arial" w:hAnsi="Arial"/>
          <w:sz w:val="19"/>
          <w:szCs w:val="19"/>
          <w:color w:val="auto"/>
        </w:rPr>
        <w:t>The Supplemental Disability Benefit is intended to constitute a disability pay benefit that is exempt from Section 409A of the Code pursuant to Treasury Regulation Section 1.409A-1(a)(5).</w:t>
      </w:r>
    </w:p>
    <w:p>
      <w:pPr>
        <w:spacing w:after="0" w:line="134" w:lineRule="exact"/>
        <w:rPr>
          <w:sz w:val="20"/>
          <w:szCs w:val="20"/>
          <w:color w:val="auto"/>
        </w:rPr>
      </w:pPr>
    </w:p>
    <w:p>
      <w:pPr>
        <w:spacing w:after="0"/>
        <w:tabs>
          <w:tab w:leader="none" w:pos="560" w:val="left"/>
        </w:tabs>
        <w:rPr>
          <w:sz w:val="20"/>
          <w:szCs w:val="20"/>
          <w:color w:val="auto"/>
        </w:rPr>
      </w:pPr>
      <w:r>
        <w:rPr>
          <w:rFonts w:ascii="Arial" w:cs="Arial" w:eastAsia="Arial" w:hAnsi="Arial"/>
          <w:sz w:val="19"/>
          <w:szCs w:val="19"/>
          <w:color w:val="auto"/>
        </w:rPr>
        <w:t>5.2</w:t>
      </w:r>
      <w:r>
        <w:rPr>
          <w:sz w:val="20"/>
          <w:szCs w:val="20"/>
          <w:color w:val="auto"/>
        </w:rPr>
        <w:tab/>
      </w:r>
      <w:r>
        <w:rPr>
          <w:rFonts w:ascii="Arial" w:cs="Arial" w:eastAsia="Arial" w:hAnsi="Arial"/>
          <w:sz w:val="17"/>
          <w:szCs w:val="17"/>
          <w:b w:val="1"/>
          <w:bCs w:val="1"/>
          <w:color w:val="auto"/>
        </w:rPr>
        <w:t>Payment</w:t>
      </w:r>
    </w:p>
    <w:p>
      <w:pPr>
        <w:spacing w:after="0" w:line="196" w:lineRule="exact"/>
        <w:rPr>
          <w:sz w:val="20"/>
          <w:szCs w:val="20"/>
          <w:color w:val="auto"/>
        </w:rPr>
      </w:pPr>
    </w:p>
    <w:p>
      <w:pPr>
        <w:ind w:left="580" w:right="320"/>
        <w:spacing w:after="0" w:line="247" w:lineRule="auto"/>
        <w:rPr>
          <w:sz w:val="20"/>
          <w:szCs w:val="20"/>
          <w:color w:val="auto"/>
        </w:rPr>
      </w:pPr>
      <w:r>
        <w:rPr>
          <w:rFonts w:ascii="Arial" w:cs="Arial" w:eastAsia="Arial" w:hAnsi="Arial"/>
          <w:sz w:val="19"/>
          <w:szCs w:val="19"/>
          <w:color w:val="auto"/>
        </w:rPr>
        <w:t>Eligibility for a Supplemental Disability Benefit is determined by the Committee. The Supplemental Disability Benefit will be paid monthly. The last Supplemental Disability Benefit will be paid to the Participant at the earliest of (i) when the Committee deems that the Participant is no longer disabled, (ii) when Participant starts receiving a Supplemental Retirement Benefit, or (iii) when the Participant attains age 65.</w:t>
      </w:r>
    </w:p>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color w:val="auto"/>
        </w:rPr>
        <w:t>SECTION 6</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color w:val="auto"/>
        </w:rPr>
        <w:t>ADMINISTRATION</w:t>
      </w:r>
    </w:p>
    <w:p>
      <w:pPr>
        <w:spacing w:after="0" w:line="178" w:lineRule="exact"/>
        <w:rPr>
          <w:sz w:val="20"/>
          <w:szCs w:val="20"/>
          <w:color w:val="auto"/>
        </w:rPr>
      </w:pPr>
    </w:p>
    <w:p>
      <w:pPr>
        <w:spacing w:after="0"/>
        <w:tabs>
          <w:tab w:leader="none" w:pos="560" w:val="left"/>
        </w:tabs>
        <w:rPr>
          <w:sz w:val="20"/>
          <w:szCs w:val="20"/>
          <w:color w:val="auto"/>
        </w:rPr>
      </w:pPr>
      <w:r>
        <w:rPr>
          <w:rFonts w:ascii="Arial" w:cs="Arial" w:eastAsia="Arial" w:hAnsi="Arial"/>
          <w:sz w:val="19"/>
          <w:szCs w:val="19"/>
          <w:color w:val="auto"/>
        </w:rPr>
        <w:t>6.1</w:t>
      </w:r>
      <w:r>
        <w:rPr>
          <w:sz w:val="20"/>
          <w:szCs w:val="20"/>
          <w:color w:val="auto"/>
        </w:rPr>
        <w:tab/>
      </w:r>
      <w:r>
        <w:rPr>
          <w:rFonts w:ascii="Arial" w:cs="Arial" w:eastAsia="Arial" w:hAnsi="Arial"/>
          <w:sz w:val="17"/>
          <w:szCs w:val="17"/>
          <w:b w:val="1"/>
          <w:bCs w:val="1"/>
          <w:color w:val="auto"/>
        </w:rPr>
        <w:t>Authority of Committee</w:t>
      </w:r>
    </w:p>
    <w:p>
      <w:pPr>
        <w:spacing w:after="0" w:line="196" w:lineRule="exact"/>
        <w:rPr>
          <w:sz w:val="20"/>
          <w:szCs w:val="20"/>
          <w:color w:val="auto"/>
        </w:rPr>
      </w:pPr>
    </w:p>
    <w:p>
      <w:pPr>
        <w:ind w:left="580" w:right="340"/>
        <w:spacing w:after="0" w:line="244" w:lineRule="auto"/>
        <w:rPr>
          <w:sz w:val="20"/>
          <w:szCs w:val="20"/>
          <w:color w:val="auto"/>
        </w:rPr>
      </w:pPr>
      <w:r>
        <w:rPr>
          <w:rFonts w:ascii="Arial" w:cs="Arial" w:eastAsia="Arial" w:hAnsi="Arial"/>
          <w:sz w:val="19"/>
          <w:szCs w:val="19"/>
          <w:color w:val="auto"/>
        </w:rPr>
        <w:t>This Plan shall be administered by the Committee. Subject to the express provisions of this Plan, the Committee shall have full and final authority to interpret this Plan, to prescribe, amend and rescind rules, regulations and guides relating to the Plan, and to make any other determinations that it believes necessary or advisable for the administration of the Plan. The Committee may delegate certain responsibilities in the administration of the Plan. All decisions and determinations by the Committee shall be final and binding upon all parties.</w:t>
      </w:r>
    </w:p>
    <w:p>
      <w:pPr>
        <w:spacing w:after="0" w:line="145" w:lineRule="exact"/>
        <w:rPr>
          <w:sz w:val="20"/>
          <w:szCs w:val="20"/>
          <w:color w:val="auto"/>
        </w:rPr>
      </w:pPr>
    </w:p>
    <w:p>
      <w:pPr>
        <w:spacing w:after="0"/>
        <w:tabs>
          <w:tab w:leader="none" w:pos="560" w:val="left"/>
        </w:tabs>
        <w:rPr>
          <w:sz w:val="20"/>
          <w:szCs w:val="20"/>
          <w:color w:val="auto"/>
        </w:rPr>
      </w:pPr>
      <w:r>
        <w:rPr>
          <w:rFonts w:ascii="Arial" w:cs="Arial" w:eastAsia="Arial" w:hAnsi="Arial"/>
          <w:sz w:val="19"/>
          <w:szCs w:val="19"/>
          <w:color w:val="auto"/>
        </w:rPr>
        <w:t>6.2</w:t>
      </w:r>
      <w:r>
        <w:rPr>
          <w:sz w:val="20"/>
          <w:szCs w:val="20"/>
          <w:color w:val="auto"/>
        </w:rPr>
        <w:tab/>
      </w:r>
      <w:r>
        <w:rPr>
          <w:rFonts w:ascii="Arial" w:cs="Arial" w:eastAsia="Arial" w:hAnsi="Arial"/>
          <w:sz w:val="17"/>
          <w:szCs w:val="17"/>
          <w:b w:val="1"/>
          <w:bCs w:val="1"/>
          <w:color w:val="auto"/>
        </w:rPr>
        <w:t>Calculation of Benefits</w:t>
      </w:r>
    </w:p>
    <w:p>
      <w:pPr>
        <w:spacing w:after="0" w:line="196" w:lineRule="exact"/>
        <w:rPr>
          <w:sz w:val="20"/>
          <w:szCs w:val="20"/>
          <w:color w:val="auto"/>
        </w:rPr>
      </w:pPr>
    </w:p>
    <w:p>
      <w:pPr>
        <w:ind w:left="580" w:right="320"/>
        <w:spacing w:after="0" w:line="266" w:lineRule="auto"/>
        <w:rPr>
          <w:sz w:val="20"/>
          <w:szCs w:val="20"/>
          <w:color w:val="auto"/>
        </w:rPr>
      </w:pPr>
      <w:r>
        <w:rPr>
          <w:rFonts w:ascii="Arial" w:cs="Arial" w:eastAsia="Arial" w:hAnsi="Arial"/>
          <w:sz w:val="19"/>
          <w:szCs w:val="19"/>
          <w:color w:val="auto"/>
        </w:rPr>
        <w:t>Any and all payments to be made under this Plan and all Actuarial Equivalents shall be calculated by the Company's regularly employed independent actuaries, and their determinations shall be final and binding on all parties.</w:t>
      </w:r>
    </w:p>
    <w:p>
      <w:pPr>
        <w:spacing w:after="0" w:line="134" w:lineRule="exact"/>
        <w:rPr>
          <w:sz w:val="20"/>
          <w:szCs w:val="20"/>
          <w:color w:val="auto"/>
        </w:rPr>
      </w:pPr>
    </w:p>
    <w:p>
      <w:pPr>
        <w:ind w:left="5200"/>
        <w:spacing w:after="0"/>
        <w:rPr>
          <w:sz w:val="20"/>
          <w:szCs w:val="20"/>
          <w:color w:val="auto"/>
        </w:rPr>
      </w:pPr>
      <w:r>
        <w:rPr>
          <w:rFonts w:ascii="Arial" w:cs="Arial" w:eastAsia="Arial" w:hAnsi="Arial"/>
          <w:sz w:val="19"/>
          <w:szCs w:val="19"/>
          <w:b w:val="1"/>
          <w:bCs w:val="1"/>
          <w:color w:val="auto"/>
        </w:rPr>
        <w:t>SECTION 7</w:t>
      </w:r>
    </w:p>
    <w:p>
      <w:pPr>
        <w:spacing w:after="0" w:line="190" w:lineRule="exact"/>
        <w:rPr>
          <w:sz w:val="20"/>
          <w:szCs w:val="20"/>
          <w:color w:val="auto"/>
        </w:rPr>
      </w:pPr>
    </w:p>
    <w:p>
      <w:pPr>
        <w:ind w:left="4880"/>
        <w:spacing w:after="0"/>
        <w:rPr>
          <w:sz w:val="20"/>
          <w:szCs w:val="20"/>
          <w:color w:val="auto"/>
        </w:rPr>
      </w:pPr>
      <w:r>
        <w:rPr>
          <w:rFonts w:ascii="Arial" w:cs="Arial" w:eastAsia="Arial" w:hAnsi="Arial"/>
          <w:sz w:val="19"/>
          <w:szCs w:val="19"/>
          <w:b w:val="1"/>
          <w:bCs w:val="1"/>
          <w:color w:val="auto"/>
        </w:rPr>
        <w:t>MISCELLANEOUS</w:t>
      </w:r>
    </w:p>
    <w:p>
      <w:pPr>
        <w:spacing w:after="0" w:line="190" w:lineRule="exact"/>
        <w:rPr>
          <w:sz w:val="20"/>
          <w:szCs w:val="20"/>
          <w:color w:val="auto"/>
        </w:rPr>
      </w:pPr>
    </w:p>
    <w:p>
      <w:pPr>
        <w:spacing w:after="0"/>
        <w:tabs>
          <w:tab w:leader="none" w:pos="560" w:val="left"/>
        </w:tabs>
        <w:rPr>
          <w:sz w:val="20"/>
          <w:szCs w:val="20"/>
          <w:color w:val="auto"/>
        </w:rPr>
      </w:pPr>
      <w:r>
        <w:rPr>
          <w:rFonts w:ascii="Arial" w:cs="Arial" w:eastAsia="Arial" w:hAnsi="Arial"/>
          <w:sz w:val="19"/>
          <w:szCs w:val="19"/>
          <w:color w:val="auto"/>
        </w:rPr>
        <w:t>7.1</w:t>
      </w:r>
      <w:r>
        <w:rPr>
          <w:sz w:val="20"/>
          <w:szCs w:val="20"/>
          <w:color w:val="auto"/>
        </w:rPr>
        <w:tab/>
      </w:r>
      <w:r>
        <w:rPr>
          <w:rFonts w:ascii="Arial" w:cs="Arial" w:eastAsia="Arial" w:hAnsi="Arial"/>
          <w:sz w:val="17"/>
          <w:szCs w:val="17"/>
          <w:b w:val="1"/>
          <w:bCs w:val="1"/>
          <w:color w:val="auto"/>
        </w:rPr>
        <w:t>Amendment, Termination or Removal of Participant</w:t>
      </w:r>
    </w:p>
    <w:p>
      <w:pPr>
        <w:spacing w:after="0" w:line="184" w:lineRule="exact"/>
        <w:rPr>
          <w:sz w:val="20"/>
          <w:szCs w:val="20"/>
          <w:color w:val="auto"/>
        </w:rPr>
      </w:pPr>
    </w:p>
    <w:p>
      <w:pPr>
        <w:ind w:left="1140" w:right="120" w:hanging="567"/>
        <w:spacing w:after="0" w:line="277" w:lineRule="auto"/>
        <w:tabs>
          <w:tab w:leader="none" w:pos="1140" w:val="left"/>
        </w:tabs>
        <w:numPr>
          <w:ilvl w:val="0"/>
          <w:numId w:val="186"/>
        </w:numPr>
        <w:rPr>
          <w:rFonts w:ascii="Arial" w:cs="Arial" w:eastAsia="Arial" w:hAnsi="Arial"/>
          <w:sz w:val="17"/>
          <w:szCs w:val="17"/>
          <w:color w:val="auto"/>
        </w:rPr>
      </w:pPr>
      <w:r>
        <w:rPr>
          <w:rFonts w:ascii="Arial" w:cs="Arial" w:eastAsia="Arial" w:hAnsi="Arial"/>
          <w:sz w:val="17"/>
          <w:szCs w:val="17"/>
          <w:color w:val="auto"/>
        </w:rPr>
        <w:t>The Committee may, in its sole discretion, terminate, suspend, or amend this Plan at any time, in whole or in part. However, no termination, amendment or suspension of the Plan will affect a retired or disabled Participant's right or the right of a Surviving Spouse to continue receiving a benefit in accordance with this Plan as in effect on the date such Participant or Surviving Spouse began to receive a benefit under this Plan. Furthermore, if a Participant then qualifies for Retirement under Section 1.19, such termination, amendment or suspension of the Plan will not affect such Participant’s right or the right of such Participant’s Surviving Spouse to receive the Supplemental Retirement Benefit or the Spouse’s Supplemental Retirement Benefit to which he or she would</w:t>
      </w:r>
    </w:p>
    <w:p>
      <w:pPr>
        <w:sectPr>
          <w:pgSz w:w="11900" w:h="16838" w:orient="portrait"/>
          <w:cols w:equalWidth="0" w:num="1">
            <w:col w:w="11400"/>
          </w:cols>
          <w:pgMar w:left="240" w:top="115" w:right="259" w:bottom="0" w:gutter="0" w:footer="0" w:header="0"/>
        </w:sectPr>
      </w:pPr>
    </w:p>
    <w:bookmarkStart w:id="122" w:name="page123"/>
    <w:bookmarkEnd w:id="122"/>
    <w:p>
      <w:pPr>
        <w:ind w:left="1140" w:right="80"/>
        <w:spacing w:after="0" w:line="327" w:lineRule="auto"/>
        <w:rPr>
          <w:sz w:val="20"/>
          <w:szCs w:val="20"/>
          <w:color w:val="auto"/>
        </w:rPr>
      </w:pPr>
      <w:r>
        <w:rPr>
          <w:rFonts w:ascii="Arial" w:cs="Arial" w:eastAsia="Arial" w:hAnsi="Arial"/>
          <w:sz w:val="17"/>
          <w:szCs w:val="17"/>
          <w:color w:val="auto"/>
        </w:rPr>
        <w:t>have been entitled if such Participant’s Retirement Date had occurred immediately prior to such termination, amendment or suspension, as determined in accordance with this Plan as in effect immediately prior to such termination, amendment or suspension.</w:t>
      </w:r>
    </w:p>
    <w:p>
      <w:pPr>
        <w:spacing w:after="0" w:line="81" w:lineRule="exact"/>
        <w:rPr>
          <w:sz w:val="20"/>
          <w:szCs w:val="20"/>
          <w:color w:val="auto"/>
        </w:rPr>
      </w:pPr>
    </w:p>
    <w:p>
      <w:pPr>
        <w:ind w:left="1140" w:right="40" w:hanging="567"/>
        <w:spacing w:after="0" w:line="259" w:lineRule="auto"/>
        <w:tabs>
          <w:tab w:leader="none" w:pos="1140" w:val="left"/>
        </w:tabs>
        <w:numPr>
          <w:ilvl w:val="0"/>
          <w:numId w:val="187"/>
        </w:numPr>
        <w:rPr>
          <w:rFonts w:ascii="Arial" w:cs="Arial" w:eastAsia="Arial" w:hAnsi="Arial"/>
          <w:sz w:val="18"/>
          <w:szCs w:val="18"/>
          <w:color w:val="auto"/>
        </w:rPr>
      </w:pPr>
      <w:r>
        <w:rPr>
          <w:rFonts w:ascii="Arial" w:cs="Arial" w:eastAsia="Arial" w:hAnsi="Arial"/>
          <w:sz w:val="18"/>
          <w:szCs w:val="18"/>
          <w:color w:val="auto"/>
        </w:rPr>
        <w:t>The Committee may, in its sole discretion, remove an executive as a Participant in this Plan due to changed job responsibilities or other changed circumstances as long as no benefits are then being paid to the Participant under this Plan. However, if a Participant then qualifies for Retirement under Section 1.19, such removal will not affect such Participant’s right or the right of such Participant’s Surviving Spouse to receive the Supplemental Retirement Benefit or the Spouse’s Supplemental Retirement to which he or she would have been entitled if such Participant’s Retirement Date had occurred immediately prior to such removal, as determined in accordance with this Plan as in effect immediately prior to such removal.</w:t>
      </w:r>
    </w:p>
    <w:p>
      <w:pPr>
        <w:spacing w:after="0" w:line="143" w:lineRule="exact"/>
        <w:rPr>
          <w:sz w:val="20"/>
          <w:szCs w:val="20"/>
          <w:color w:val="auto"/>
        </w:rPr>
      </w:pPr>
    </w:p>
    <w:p>
      <w:pPr>
        <w:spacing w:after="0"/>
        <w:tabs>
          <w:tab w:leader="none" w:pos="560" w:val="left"/>
        </w:tabs>
        <w:rPr>
          <w:sz w:val="20"/>
          <w:szCs w:val="20"/>
          <w:color w:val="auto"/>
        </w:rPr>
      </w:pPr>
      <w:r>
        <w:rPr>
          <w:rFonts w:ascii="Arial" w:cs="Arial" w:eastAsia="Arial" w:hAnsi="Arial"/>
          <w:sz w:val="19"/>
          <w:szCs w:val="19"/>
          <w:color w:val="auto"/>
        </w:rPr>
        <w:t>7.2</w:t>
      </w:r>
      <w:r>
        <w:rPr>
          <w:sz w:val="20"/>
          <w:szCs w:val="20"/>
          <w:color w:val="auto"/>
        </w:rPr>
        <w:tab/>
      </w:r>
      <w:r>
        <w:rPr>
          <w:rFonts w:ascii="Arial" w:cs="Arial" w:eastAsia="Arial" w:hAnsi="Arial"/>
          <w:sz w:val="17"/>
          <w:szCs w:val="17"/>
          <w:b w:val="1"/>
          <w:bCs w:val="1"/>
          <w:color w:val="auto"/>
        </w:rPr>
        <w:t>No Employment Right</w:t>
      </w:r>
    </w:p>
    <w:p>
      <w:pPr>
        <w:spacing w:after="0" w:line="196" w:lineRule="exact"/>
        <w:rPr>
          <w:sz w:val="20"/>
          <w:szCs w:val="20"/>
          <w:color w:val="auto"/>
        </w:rPr>
      </w:pPr>
    </w:p>
    <w:p>
      <w:pPr>
        <w:ind w:left="580" w:right="240"/>
        <w:spacing w:after="0" w:line="266" w:lineRule="auto"/>
        <w:rPr>
          <w:sz w:val="20"/>
          <w:szCs w:val="20"/>
          <w:color w:val="auto"/>
        </w:rPr>
      </w:pPr>
      <w:r>
        <w:rPr>
          <w:rFonts w:ascii="Arial" w:cs="Arial" w:eastAsia="Arial" w:hAnsi="Arial"/>
          <w:sz w:val="19"/>
          <w:szCs w:val="19"/>
          <w:color w:val="auto"/>
        </w:rPr>
        <w:t>Nothing contained herein will confer upon any Participant the right to be retained in Employment, nor will it interfere with the right of his Employer to discharge or otherwise deal with the Participant without regard to the existence of this Plan.</w:t>
      </w:r>
    </w:p>
    <w:p>
      <w:pPr>
        <w:spacing w:after="0" w:line="122" w:lineRule="exact"/>
        <w:rPr>
          <w:sz w:val="20"/>
          <w:szCs w:val="20"/>
          <w:color w:val="auto"/>
        </w:rPr>
      </w:pPr>
    </w:p>
    <w:p>
      <w:pPr>
        <w:spacing w:after="0"/>
        <w:tabs>
          <w:tab w:leader="none" w:pos="560" w:val="left"/>
        </w:tabs>
        <w:rPr>
          <w:sz w:val="20"/>
          <w:szCs w:val="20"/>
          <w:color w:val="auto"/>
        </w:rPr>
      </w:pPr>
      <w:r>
        <w:rPr>
          <w:rFonts w:ascii="Arial" w:cs="Arial" w:eastAsia="Arial" w:hAnsi="Arial"/>
          <w:sz w:val="19"/>
          <w:szCs w:val="19"/>
          <w:color w:val="auto"/>
        </w:rPr>
        <w:t>7.3</w:t>
      </w:r>
      <w:r>
        <w:rPr>
          <w:sz w:val="20"/>
          <w:szCs w:val="20"/>
          <w:color w:val="auto"/>
        </w:rPr>
        <w:tab/>
      </w:r>
      <w:r>
        <w:rPr>
          <w:rFonts w:ascii="Arial" w:cs="Arial" w:eastAsia="Arial" w:hAnsi="Arial"/>
          <w:sz w:val="17"/>
          <w:szCs w:val="17"/>
          <w:b w:val="1"/>
          <w:bCs w:val="1"/>
          <w:color w:val="auto"/>
        </w:rPr>
        <w:t>Funding</w:t>
      </w:r>
    </w:p>
    <w:p>
      <w:pPr>
        <w:spacing w:after="0" w:line="196" w:lineRule="exact"/>
        <w:rPr>
          <w:sz w:val="20"/>
          <w:szCs w:val="20"/>
          <w:color w:val="auto"/>
        </w:rPr>
      </w:pPr>
    </w:p>
    <w:p>
      <w:pPr>
        <w:ind w:left="580" w:right="240"/>
        <w:spacing w:after="0" w:line="272" w:lineRule="auto"/>
        <w:rPr>
          <w:sz w:val="20"/>
          <w:szCs w:val="20"/>
          <w:color w:val="auto"/>
        </w:rPr>
      </w:pPr>
      <w:r>
        <w:rPr>
          <w:rFonts w:ascii="Arial" w:cs="Arial" w:eastAsia="Arial" w:hAnsi="Arial"/>
          <w:sz w:val="18"/>
          <w:szCs w:val="18"/>
          <w:color w:val="auto"/>
        </w:rPr>
        <w:t>This Plan is unfunded, and the Employer will make Plan Benefit Payments solely on a current disbursement basis. Participants and their Beneficiaries shall have no legal or equitable rights, claims, or interest in any specific property or assets of the Employer, and the rights of the Participants and Beneficiaries shall be no greater than those of unsecured general creditors.</w:t>
      </w:r>
    </w:p>
    <w:p>
      <w:pPr>
        <w:spacing w:after="0" w:line="119" w:lineRule="exact"/>
        <w:rPr>
          <w:sz w:val="20"/>
          <w:szCs w:val="20"/>
          <w:color w:val="auto"/>
        </w:rPr>
      </w:pPr>
    </w:p>
    <w:p>
      <w:pPr>
        <w:spacing w:after="0"/>
        <w:tabs>
          <w:tab w:leader="none" w:pos="560" w:val="left"/>
        </w:tabs>
        <w:rPr>
          <w:sz w:val="20"/>
          <w:szCs w:val="20"/>
          <w:color w:val="auto"/>
        </w:rPr>
      </w:pPr>
      <w:r>
        <w:rPr>
          <w:rFonts w:ascii="Arial" w:cs="Arial" w:eastAsia="Arial" w:hAnsi="Arial"/>
          <w:sz w:val="19"/>
          <w:szCs w:val="19"/>
          <w:color w:val="auto"/>
        </w:rPr>
        <w:t>7.4</w:t>
      </w:r>
      <w:r>
        <w:rPr>
          <w:sz w:val="20"/>
          <w:szCs w:val="20"/>
          <w:color w:val="auto"/>
        </w:rPr>
        <w:tab/>
      </w:r>
      <w:r>
        <w:rPr>
          <w:rFonts w:ascii="Arial" w:cs="Arial" w:eastAsia="Arial" w:hAnsi="Arial"/>
          <w:sz w:val="16"/>
          <w:szCs w:val="16"/>
          <w:b w:val="1"/>
          <w:bCs w:val="1"/>
          <w:color w:val="auto"/>
        </w:rPr>
        <w:t>Allocation of Costs</w:t>
      </w:r>
    </w:p>
    <w:p>
      <w:pPr>
        <w:spacing w:after="0" w:line="196" w:lineRule="exact"/>
        <w:rPr>
          <w:sz w:val="20"/>
          <w:szCs w:val="20"/>
          <w:color w:val="auto"/>
        </w:rPr>
      </w:pPr>
    </w:p>
    <w:p>
      <w:pPr>
        <w:ind w:left="580" w:right="280"/>
        <w:spacing w:after="0" w:line="266" w:lineRule="auto"/>
        <w:rPr>
          <w:sz w:val="20"/>
          <w:szCs w:val="20"/>
          <w:color w:val="auto"/>
        </w:rPr>
      </w:pPr>
      <w:r>
        <w:rPr>
          <w:rFonts w:ascii="Arial" w:cs="Arial" w:eastAsia="Arial" w:hAnsi="Arial"/>
          <w:sz w:val="19"/>
          <w:szCs w:val="19"/>
          <w:color w:val="auto"/>
        </w:rPr>
        <w:t>Amounts accrued as expenses under this Plan, and the cost of any life insurance policies purchased to fund for benefits payable under this Plan, shall be allocated to Employers whose employees are Participants in this Plan.</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SECTION 8</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BENEFITS DEFERRED UNDER DEFERRED COMPENSATION PLAN</w:t>
      </w:r>
    </w:p>
    <w:p>
      <w:pPr>
        <w:spacing w:after="0" w:line="196" w:lineRule="exact"/>
        <w:rPr>
          <w:sz w:val="20"/>
          <w:szCs w:val="20"/>
          <w:color w:val="auto"/>
        </w:rPr>
      </w:pPr>
    </w:p>
    <w:p>
      <w:pPr>
        <w:spacing w:after="0" w:line="247" w:lineRule="auto"/>
        <w:rPr>
          <w:sz w:val="20"/>
          <w:szCs w:val="20"/>
          <w:color w:val="auto"/>
        </w:rPr>
      </w:pPr>
      <w:r>
        <w:rPr>
          <w:rFonts w:ascii="Arial" w:cs="Arial" w:eastAsia="Arial" w:hAnsi="Arial"/>
          <w:sz w:val="19"/>
          <w:szCs w:val="19"/>
          <w:color w:val="auto"/>
        </w:rPr>
        <w:t>Notwithstanding any other provision of the Plan, if a Participant has elected to defer the Participant’s “SERP Lump Sum” as defined in the Deferred Compensation Plan, pursuant to the terms of the Sempra Energy Deferred Compensation Plan, no retirement benefits shall be payable under this Plan to the Participant, to the Participant’s Surviving Spouse or to any other person effective immediately at and after the SERP Lump Sum has been credited to the Participant’s account under the Sempra Energy Deferred Compensation Plan.</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SECTION 9</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SECTION 409A OF THE CODE</w:t>
      </w:r>
    </w:p>
    <w:p>
      <w:pPr>
        <w:spacing w:after="0" w:line="196" w:lineRule="exact"/>
        <w:rPr>
          <w:sz w:val="20"/>
          <w:szCs w:val="20"/>
          <w:color w:val="auto"/>
        </w:rPr>
      </w:pPr>
    </w:p>
    <w:p>
      <w:pPr>
        <w:ind w:left="580" w:right="40" w:hanging="576"/>
        <w:spacing w:after="0" w:line="268" w:lineRule="auto"/>
        <w:tabs>
          <w:tab w:leader="none" w:pos="560" w:val="left"/>
        </w:tabs>
        <w:rPr>
          <w:sz w:val="20"/>
          <w:szCs w:val="20"/>
          <w:color w:val="auto"/>
        </w:rPr>
      </w:pPr>
      <w:r>
        <w:rPr>
          <w:rFonts w:ascii="Arial" w:cs="Arial" w:eastAsia="Arial" w:hAnsi="Arial"/>
          <w:sz w:val="19"/>
          <w:szCs w:val="19"/>
          <w:color w:val="auto"/>
        </w:rPr>
        <w:t>9.1</w:t>
      </w:r>
      <w:r>
        <w:rPr>
          <w:sz w:val="20"/>
          <w:szCs w:val="20"/>
          <w:color w:val="auto"/>
        </w:rPr>
        <w:tab/>
      </w:r>
      <w:r>
        <w:rPr>
          <w:rFonts w:ascii="Arial" w:cs="Arial" w:eastAsia="Arial" w:hAnsi="Arial"/>
          <w:sz w:val="17"/>
          <w:szCs w:val="17"/>
          <w:color w:val="auto"/>
        </w:rPr>
        <w:t>This Plan shall be interpreted, construed and administered in a manner that satisfies the requirements of Sections 409A(a)(2), (3) and (4) of the Code and the Treasury Regulations thereunder (subject to the transitional relief under Internal Revenue Service Notice 2005-1, the Proposed Regulations under Section 409A of the Code, Internal Revenue Service Notices 2006-79 and 2007-86 and other applicable authority issued by the Internal Revenue Service). As provided in Internal Revenue Service Notices 2006-79 and 2007-86, notwithstanding any other provision of this Plan, with respect to an election or amendment to change a time and form of payment under the Plan made on or after January 1, 2006 and on or before December 31, 2006, the election or amendment shall apply only to amounts that would not otherwise be payable in 2006 and shall not cause an amount to be paid in 2006 that would not otherwis e be payable in 2006; and, with respect to an election or amendment to change a time and form of payment under this Plan made on or after January 1, 2007 and on or before December 31, 2007, the election or amendment may apply only to amounts that would not otherwise be payable in 2007 and may not cause an amount to be paid in 2007 that would not otherwise be payable in 2007; and, with respect to an election or amendment to change a time and form of payment under this Plan made on or after January 1, 2008 and on or before December 31, 2008, the election or amendment may apply only to amounts that would not otherwise be payable in 2008 and may not cause an amount to be paid in 2008 that would not otherwise be payable in 2008. If Sempra Energy determines that any deferred compensation amounts under this Plan subject to Section 409A of the Code do not comply with Sections 409A(a)(2), (3) and (4) of the Code, the Treasury Regulations thereunder and other applicable authority issued by the Internal Revenue S ervice, Sempra Energy may amend this Plan, or take such other actions as Sempra Energy deems reasonably necessary or appropriate, to ensure that such amounts comply with the requirements of Section 409A of the Code, the Treasury Regulations thereunder and other applicable authority issued by the Internal Revenue Service. In the case of any deferred compensation amounts under this Plan that are subject to Section 409A of the Code, if any provision of the Plan would cause such amounts to fail to so comply, such provision shall be deemed amended, or shall not be effective and shall be null and void, to the extent necessary to cause such amounts to comply with Section 409A(a)(2), (3) and (4) of the Code, the Treasury Regulations thereunder and other applicable authority issued by the Internal Revenue Service.</w:t>
      </w:r>
    </w:p>
    <w:p>
      <w:pPr>
        <w:spacing w:after="0" w:line="355" w:lineRule="exact"/>
        <w:rPr>
          <w:sz w:val="20"/>
          <w:szCs w:val="20"/>
          <w:color w:val="auto"/>
        </w:rPr>
      </w:pPr>
    </w:p>
    <w:p>
      <w:pPr>
        <w:ind w:left="580" w:right="20" w:hanging="576"/>
        <w:spacing w:after="0" w:line="242" w:lineRule="auto"/>
        <w:tabs>
          <w:tab w:leader="none" w:pos="560" w:val="left"/>
        </w:tabs>
        <w:rPr>
          <w:sz w:val="20"/>
          <w:szCs w:val="20"/>
          <w:color w:val="auto"/>
        </w:rPr>
      </w:pPr>
      <w:r>
        <w:rPr>
          <w:rFonts w:ascii="Arial" w:cs="Arial" w:eastAsia="Arial" w:hAnsi="Arial"/>
          <w:sz w:val="19"/>
          <w:szCs w:val="19"/>
          <w:color w:val="auto"/>
        </w:rPr>
        <w:t>9.2</w:t>
      </w:r>
      <w:r>
        <w:rPr>
          <w:sz w:val="20"/>
          <w:szCs w:val="20"/>
          <w:color w:val="auto"/>
        </w:rPr>
        <w:tab/>
      </w:r>
      <w:r>
        <w:rPr>
          <w:rFonts w:ascii="Arial" w:cs="Arial" w:eastAsia="Arial" w:hAnsi="Arial"/>
          <w:sz w:val="19"/>
          <w:szCs w:val="19"/>
          <w:color w:val="auto"/>
        </w:rPr>
        <w:t>The Plan provides that benefits under the Plan are determined after an offset of the benefits provided under the Basic Pension Plan (which is a qualified employer plan, as defined in Treasury Regulation Section 1.409A-1(a)(2)). Accordingly, the Plan is intended to be a nonqualified deferred compensation plan subject to Treasury Regulation Sections 1.409A-2(a)(9) and 1.409A-3(j)(5). Any amendment of the Basic Pension Plan shall be taken into account under this Plan only to the extent permitted under Treasury Regulation Sections 1.409A-2(a)(9) and 1.409A-3(j)(5). Any reference to the interest and mortality factors (or actuarial methods and assumptions) specified in the Basic Pension Plan shall mean the applicable interest and mortality factors (or actuarial methods or assumptions) specified under the terms of the Basic Plan as in effect on December 31, 2008.</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SECTION 10</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CLAIMS PROCEDURE</w:t>
      </w:r>
    </w:p>
    <w:p>
      <w:pPr>
        <w:spacing w:after="0" w:line="178" w:lineRule="exact"/>
        <w:rPr>
          <w:sz w:val="20"/>
          <w:szCs w:val="20"/>
          <w:color w:val="auto"/>
        </w:rPr>
      </w:pPr>
    </w:p>
    <w:p>
      <w:pPr>
        <w:spacing w:after="0"/>
        <w:tabs>
          <w:tab w:leader="none" w:pos="560" w:val="left"/>
        </w:tabs>
        <w:rPr>
          <w:sz w:val="20"/>
          <w:szCs w:val="20"/>
          <w:color w:val="auto"/>
        </w:rPr>
      </w:pPr>
      <w:r>
        <w:rPr>
          <w:rFonts w:ascii="Arial" w:cs="Arial" w:eastAsia="Arial" w:hAnsi="Arial"/>
          <w:sz w:val="19"/>
          <w:szCs w:val="19"/>
          <w:color w:val="auto"/>
        </w:rPr>
        <w:t>10.1</w:t>
      </w:r>
      <w:r>
        <w:rPr>
          <w:sz w:val="20"/>
          <w:szCs w:val="20"/>
          <w:color w:val="auto"/>
        </w:rPr>
        <w:tab/>
      </w:r>
      <w:r>
        <w:rPr>
          <w:rFonts w:ascii="Arial" w:cs="Arial" w:eastAsia="Arial" w:hAnsi="Arial"/>
          <w:sz w:val="18"/>
          <w:szCs w:val="18"/>
          <w:b w:val="1"/>
          <w:bCs w:val="1"/>
          <w:color w:val="auto"/>
        </w:rPr>
        <w:t>Claim</w:t>
      </w:r>
    </w:p>
    <w:p>
      <w:pPr>
        <w:spacing w:after="0" w:line="196" w:lineRule="exact"/>
        <w:rPr>
          <w:sz w:val="20"/>
          <w:szCs w:val="20"/>
          <w:color w:val="auto"/>
        </w:rPr>
      </w:pPr>
    </w:p>
    <w:p>
      <w:pPr>
        <w:ind w:left="580" w:right="40"/>
        <w:spacing w:after="0" w:line="296" w:lineRule="auto"/>
        <w:rPr>
          <w:sz w:val="20"/>
          <w:szCs w:val="20"/>
          <w:color w:val="auto"/>
        </w:rPr>
      </w:pPr>
      <w:r>
        <w:rPr>
          <w:rFonts w:ascii="Arial" w:cs="Arial" w:eastAsia="Arial" w:hAnsi="Arial"/>
          <w:sz w:val="17"/>
          <w:szCs w:val="17"/>
          <w:color w:val="auto"/>
        </w:rPr>
        <w:t>A Participant, beneficiary or other person who believes that he is being denied a benefit to which he is entitled under this Plan (hereinafter referred to as “Claimant”) may file a written request for such benefit with the Compensation Committee, setting forth his claim. The request must be addressed to the Compensation Committee at Sempra Energy at its then principal place of business. The claims procedure of this</w:t>
      </w:r>
    </w:p>
    <w:p>
      <w:pPr>
        <w:sectPr>
          <w:pgSz w:w="11900" w:h="16838" w:orient="portrait"/>
          <w:cols w:equalWidth="0" w:num="1">
            <w:col w:w="11440"/>
          </w:cols>
          <w:pgMar w:left="240" w:top="120" w:right="219" w:bottom="0" w:gutter="0" w:footer="0" w:header="0"/>
        </w:sectPr>
      </w:pPr>
    </w:p>
    <w:bookmarkStart w:id="123" w:name="page124"/>
    <w:bookmarkEnd w:id="123"/>
    <w:p>
      <w:pPr>
        <w:ind w:left="580" w:right="100"/>
        <w:spacing w:after="0" w:line="247" w:lineRule="auto"/>
        <w:rPr>
          <w:sz w:val="20"/>
          <w:szCs w:val="20"/>
          <w:color w:val="auto"/>
        </w:rPr>
      </w:pPr>
      <w:r>
        <w:rPr>
          <w:rFonts w:ascii="Arial" w:cs="Arial" w:eastAsia="Arial" w:hAnsi="Arial"/>
          <w:sz w:val="19"/>
          <w:szCs w:val="19"/>
          <w:color w:val="auto"/>
        </w:rPr>
        <w:t>Section shall be applied in accordance with Section 503 of ERISA and Department of Labor Regulation Section 2560.503-1. A Participant, beneficiary or other person may assert a claim, or request review of the denial of a claim, through such Participant’s, beneficiary’s or person’s authorized representative, provided that such Participant, beneficiary or person has submitted a written notice evidencing the authority of such repres entative to the Compensation Committee.</w:t>
      </w:r>
    </w:p>
    <w:p>
      <w:pPr>
        <w:spacing w:after="0" w:line="159" w:lineRule="exact"/>
        <w:rPr>
          <w:sz w:val="20"/>
          <w:szCs w:val="20"/>
          <w:color w:val="auto"/>
        </w:rPr>
      </w:pPr>
    </w:p>
    <w:p>
      <w:pPr>
        <w:ind w:left="580" w:right="440"/>
        <w:spacing w:after="0" w:line="252" w:lineRule="auto"/>
        <w:rPr>
          <w:sz w:val="20"/>
          <w:szCs w:val="20"/>
          <w:color w:val="auto"/>
        </w:rPr>
      </w:pPr>
      <w:r>
        <w:rPr>
          <w:rFonts w:ascii="Arial" w:cs="Arial" w:eastAsia="Arial" w:hAnsi="Arial"/>
          <w:sz w:val="19"/>
          <w:szCs w:val="19"/>
          <w:color w:val="auto"/>
        </w:rPr>
        <w:t>A Claimant or his duly authorized representative shall submit his claim under the Plan in writing to the Compensation Committee. The Claimant may include documents, records or other information relating to the claim for review by the Compensation Committee in connection with such claim.</w:t>
      </w:r>
    </w:p>
    <w:p>
      <w:pPr>
        <w:spacing w:after="0" w:line="135" w:lineRule="exact"/>
        <w:rPr>
          <w:sz w:val="20"/>
          <w:szCs w:val="20"/>
          <w:color w:val="auto"/>
        </w:rPr>
      </w:pPr>
    </w:p>
    <w:p>
      <w:pPr>
        <w:spacing w:after="0"/>
        <w:tabs>
          <w:tab w:leader="none" w:pos="560" w:val="left"/>
        </w:tabs>
        <w:rPr>
          <w:sz w:val="20"/>
          <w:szCs w:val="20"/>
          <w:color w:val="auto"/>
        </w:rPr>
      </w:pPr>
      <w:r>
        <w:rPr>
          <w:rFonts w:ascii="Arial" w:cs="Arial" w:eastAsia="Arial" w:hAnsi="Arial"/>
          <w:sz w:val="19"/>
          <w:szCs w:val="19"/>
          <w:color w:val="auto"/>
        </w:rPr>
        <w:t>10.2</w:t>
      </w:r>
      <w:r>
        <w:rPr>
          <w:sz w:val="20"/>
          <w:szCs w:val="20"/>
          <w:color w:val="auto"/>
        </w:rPr>
        <w:tab/>
      </w:r>
      <w:r>
        <w:rPr>
          <w:rFonts w:ascii="Arial" w:cs="Arial" w:eastAsia="Arial" w:hAnsi="Arial"/>
          <w:sz w:val="17"/>
          <w:szCs w:val="17"/>
          <w:b w:val="1"/>
          <w:bCs w:val="1"/>
          <w:color w:val="auto"/>
        </w:rPr>
        <w:t>Claim Decision</w:t>
      </w:r>
    </w:p>
    <w:p>
      <w:pPr>
        <w:spacing w:after="0" w:line="196" w:lineRule="exact"/>
        <w:rPr>
          <w:sz w:val="20"/>
          <w:szCs w:val="20"/>
          <w:color w:val="auto"/>
        </w:rPr>
      </w:pPr>
    </w:p>
    <w:p>
      <w:pPr>
        <w:ind w:left="580" w:right="360"/>
        <w:spacing w:after="0" w:line="266" w:lineRule="auto"/>
        <w:rPr>
          <w:sz w:val="20"/>
          <w:szCs w:val="20"/>
          <w:color w:val="auto"/>
        </w:rPr>
      </w:pPr>
      <w:r>
        <w:rPr>
          <w:rFonts w:ascii="Arial" w:cs="Arial" w:eastAsia="Arial" w:hAnsi="Arial"/>
          <w:sz w:val="19"/>
          <w:szCs w:val="19"/>
          <w:color w:val="auto"/>
        </w:rPr>
        <w:t>The Compensation Committee shall review the Claimant’s claim (including any documents, records or other information submitted with such claim) and determine whether such claim shall be approved or denied in accordance with the Plan.</w:t>
      </w:r>
    </w:p>
    <w:p>
      <w:pPr>
        <w:spacing w:after="0" w:line="140" w:lineRule="exact"/>
        <w:rPr>
          <w:sz w:val="20"/>
          <w:szCs w:val="20"/>
          <w:color w:val="auto"/>
        </w:rPr>
      </w:pPr>
    </w:p>
    <w:p>
      <w:pPr>
        <w:ind w:left="580" w:right="20"/>
        <w:spacing w:after="0" w:line="243" w:lineRule="auto"/>
        <w:rPr>
          <w:sz w:val="20"/>
          <w:szCs w:val="20"/>
          <w:color w:val="auto"/>
        </w:rPr>
      </w:pPr>
      <w:r>
        <w:rPr>
          <w:rFonts w:ascii="Arial" w:cs="Arial" w:eastAsia="Arial" w:hAnsi="Arial"/>
          <w:sz w:val="19"/>
          <w:szCs w:val="19"/>
          <w:color w:val="auto"/>
        </w:rPr>
        <w:t>Upon receipt of a claim, the Compensation Committee shall advise the Claimant that a claim decision shall be forthcoming within 90 days and shall, in fact, deliver such claim decision within such period. The Compensation Committee may, however, extend the claim decision period for an additional 90 days for special circumstances. If the Compensation Committee extends the claim decision period, the Compensation Committee shall provide the Claimant with written notice of such extension prior to the end of the initial 90 day period. The extension notice shall indicate the special circumstances requiring the extension of time and the date by which the Compensation Committee expects to render a claim decision.</w:t>
      </w:r>
    </w:p>
    <w:p>
      <w:pPr>
        <w:spacing w:after="0" w:line="162" w:lineRule="exact"/>
        <w:rPr>
          <w:sz w:val="20"/>
          <w:szCs w:val="20"/>
          <w:color w:val="auto"/>
        </w:rPr>
      </w:pPr>
    </w:p>
    <w:p>
      <w:pPr>
        <w:ind w:left="580"/>
        <w:spacing w:after="0" w:line="259" w:lineRule="auto"/>
        <w:rPr>
          <w:sz w:val="20"/>
          <w:szCs w:val="20"/>
          <w:color w:val="auto"/>
        </w:rPr>
      </w:pPr>
      <w:r>
        <w:rPr>
          <w:rFonts w:ascii="Arial" w:cs="Arial" w:eastAsia="Arial" w:hAnsi="Arial"/>
          <w:sz w:val="18"/>
          <w:szCs w:val="18"/>
          <w:color w:val="auto"/>
        </w:rPr>
        <w:t>If the claim is denied in whole or in part, the Compensation Committee shall inform the Claimant in writing, using language calculated to be understood by the Claimant, setting forth: (i) the specified reason or reasons for such denial; (ii) references to the specific provisions of this Plan on which such denial is based; (iii) a description of any additional material or information necessary for the Claimant to perfect his claim and an explanation of why such material or such information is necessary; and (iv) a description of the Plan’s procedures for review and the time limits applicable to such procedures, including a statement of the Claimant’s right to bring a civil action under Section 502(a) of ERISA following a denial of the review of the denial of the claim.</w:t>
      </w:r>
    </w:p>
    <w:p>
      <w:pPr>
        <w:spacing w:after="0" w:line="149" w:lineRule="exact"/>
        <w:rPr>
          <w:sz w:val="20"/>
          <w:szCs w:val="20"/>
          <w:color w:val="auto"/>
        </w:rPr>
      </w:pPr>
    </w:p>
    <w:p>
      <w:pPr>
        <w:ind w:left="580" w:right="100"/>
        <w:spacing w:after="0" w:line="272" w:lineRule="auto"/>
        <w:rPr>
          <w:sz w:val="20"/>
          <w:szCs w:val="20"/>
          <w:color w:val="auto"/>
        </w:rPr>
      </w:pPr>
      <w:r>
        <w:rPr>
          <w:rFonts w:ascii="Arial" w:cs="Arial" w:eastAsia="Arial" w:hAnsi="Arial"/>
          <w:sz w:val="18"/>
          <w:szCs w:val="18"/>
          <w:color w:val="auto"/>
        </w:rPr>
        <w:t>The Claimant may request a review of any denial of the claim in writing to the Compensation Committee within 60 days after receipt of the Compensation Committee’s notice of denial of claim. The Claimant’s failure to appeal the denial of the claim by the Compensation Committee in writing within the 60 day period shall render the Compensation Committee’s determination final, binding, and conclusive.</w:t>
      </w:r>
    </w:p>
    <w:p>
      <w:pPr>
        <w:spacing w:after="0" w:line="131" w:lineRule="exact"/>
        <w:rPr>
          <w:sz w:val="20"/>
          <w:szCs w:val="20"/>
          <w:color w:val="auto"/>
        </w:rPr>
      </w:pPr>
    </w:p>
    <w:p>
      <w:pPr>
        <w:spacing w:after="0"/>
        <w:tabs>
          <w:tab w:leader="none" w:pos="560" w:val="left"/>
        </w:tabs>
        <w:rPr>
          <w:sz w:val="20"/>
          <w:szCs w:val="20"/>
          <w:color w:val="auto"/>
        </w:rPr>
      </w:pPr>
      <w:r>
        <w:rPr>
          <w:rFonts w:ascii="Arial" w:cs="Arial" w:eastAsia="Arial" w:hAnsi="Arial"/>
          <w:sz w:val="19"/>
          <w:szCs w:val="19"/>
          <w:color w:val="auto"/>
        </w:rPr>
        <w:t>10.3</w:t>
      </w:r>
      <w:r>
        <w:rPr>
          <w:sz w:val="20"/>
          <w:szCs w:val="20"/>
          <w:color w:val="auto"/>
        </w:rPr>
        <w:tab/>
      </w:r>
      <w:r>
        <w:rPr>
          <w:rFonts w:ascii="Arial" w:cs="Arial" w:eastAsia="Arial" w:hAnsi="Arial"/>
          <w:sz w:val="17"/>
          <w:szCs w:val="17"/>
          <w:b w:val="1"/>
          <w:bCs w:val="1"/>
          <w:color w:val="auto"/>
        </w:rPr>
        <w:t>Request for Review</w:t>
      </w:r>
    </w:p>
    <w:p>
      <w:pPr>
        <w:spacing w:after="0" w:line="196" w:lineRule="exact"/>
        <w:rPr>
          <w:sz w:val="20"/>
          <w:szCs w:val="20"/>
          <w:color w:val="auto"/>
        </w:rPr>
      </w:pPr>
    </w:p>
    <w:p>
      <w:pPr>
        <w:jc w:val="both"/>
        <w:ind w:left="580" w:right="180"/>
        <w:spacing w:after="0" w:line="252" w:lineRule="auto"/>
        <w:rPr>
          <w:sz w:val="20"/>
          <w:szCs w:val="20"/>
          <w:color w:val="auto"/>
        </w:rPr>
      </w:pPr>
      <w:r>
        <w:rPr>
          <w:rFonts w:ascii="Arial" w:cs="Arial" w:eastAsia="Arial" w:hAnsi="Arial"/>
          <w:sz w:val="19"/>
          <w:szCs w:val="19"/>
          <w:color w:val="auto"/>
        </w:rPr>
        <w:t>With 60 days after the receipt by the Claimant of the denial of the claim described above, the Claimant may request in writing a review the determination of the Compensation Committee. Such review shall be completed by the Compensation Committee. Such request must be addressed to the Compensation Committee of Sempra Energy, at its then principal place of business.</w:t>
      </w:r>
    </w:p>
    <w:p>
      <w:pPr>
        <w:spacing w:after="0" w:line="153" w:lineRule="exact"/>
        <w:rPr>
          <w:sz w:val="20"/>
          <w:szCs w:val="20"/>
          <w:color w:val="auto"/>
        </w:rPr>
      </w:pPr>
    </w:p>
    <w:p>
      <w:pPr>
        <w:ind w:left="580" w:right="20"/>
        <w:spacing w:after="0" w:line="259" w:lineRule="auto"/>
        <w:rPr>
          <w:sz w:val="20"/>
          <w:szCs w:val="20"/>
          <w:color w:val="auto"/>
        </w:rPr>
      </w:pPr>
      <w:r>
        <w:rPr>
          <w:rFonts w:ascii="Arial" w:cs="Arial" w:eastAsia="Arial" w:hAnsi="Arial"/>
          <w:sz w:val="18"/>
          <w:szCs w:val="18"/>
          <w:color w:val="auto"/>
        </w:rPr>
        <w:t>The Claimant shall be afforded the opportunity to submit written comments, documents, records, and other information relating to the claim, and the Claimant shall be provided, upon request and free of charge, reasonable access to all documents, records, and other information relevant to the Claimant’s claim. A document, record or other information shall be considered “relevant” to the claim, as provided in Department of Labor Regulation Section 2560.503-1(m)(8). The review by the Compensation Committee shall take into account all comments, documents, records, and other information submitted by the Claimant, without regard to whether such information was submitted or considered in the Compensation Committee’s initial determination with respect to the claim.</w:t>
      </w:r>
    </w:p>
    <w:p>
      <w:pPr>
        <w:spacing w:after="0" w:line="149" w:lineRule="exact"/>
        <w:rPr>
          <w:sz w:val="20"/>
          <w:szCs w:val="20"/>
          <w:color w:val="auto"/>
        </w:rPr>
      </w:pPr>
    </w:p>
    <w:p>
      <w:pPr>
        <w:ind w:left="580" w:right="20"/>
        <w:spacing w:after="0" w:line="242" w:lineRule="auto"/>
        <w:rPr>
          <w:sz w:val="20"/>
          <w:szCs w:val="20"/>
          <w:color w:val="auto"/>
        </w:rPr>
      </w:pPr>
      <w:r>
        <w:rPr>
          <w:rFonts w:ascii="Arial" w:cs="Arial" w:eastAsia="Arial" w:hAnsi="Arial"/>
          <w:sz w:val="19"/>
          <w:szCs w:val="19"/>
          <w:color w:val="auto"/>
        </w:rPr>
        <w:t>The Compensation Committee shall advise the Claimant in writing of the Compensation Committee’s determination of the review within 60 days of the Claimant’s written request for review, unless special circumstances (such as a hearing) would make the rendering of a determination within the 60 day period infeasible, but in no event shall the Compensation Committee render a determination regarding the denial of a claim later than 120 days after its receipt of a request for review. If an extension of time for review is required because of special circumstances, written notice of the extension shall be furnished to the Claimant prior to the date the extension period commences. The extension notice shall indicate the special circumstances requiring the extension of time and the date by which the Compensation Committee expects to render a review decision.</w:t>
      </w:r>
    </w:p>
    <w:p>
      <w:pPr>
        <w:spacing w:after="0" w:line="146" w:lineRule="exact"/>
        <w:rPr>
          <w:sz w:val="20"/>
          <w:szCs w:val="20"/>
          <w:color w:val="auto"/>
        </w:rPr>
      </w:pPr>
    </w:p>
    <w:p>
      <w:pPr>
        <w:spacing w:after="0"/>
        <w:tabs>
          <w:tab w:leader="none" w:pos="560" w:val="left"/>
        </w:tabs>
        <w:rPr>
          <w:sz w:val="20"/>
          <w:szCs w:val="20"/>
          <w:color w:val="auto"/>
        </w:rPr>
      </w:pPr>
      <w:r>
        <w:rPr>
          <w:rFonts w:ascii="Arial" w:cs="Arial" w:eastAsia="Arial" w:hAnsi="Arial"/>
          <w:sz w:val="19"/>
          <w:szCs w:val="19"/>
          <w:color w:val="auto"/>
        </w:rPr>
        <w:t>10.4</w:t>
      </w:r>
      <w:r>
        <w:rPr>
          <w:sz w:val="20"/>
          <w:szCs w:val="20"/>
          <w:color w:val="auto"/>
        </w:rPr>
        <w:tab/>
      </w:r>
      <w:r>
        <w:rPr>
          <w:rFonts w:ascii="Arial" w:cs="Arial" w:eastAsia="Arial" w:hAnsi="Arial"/>
          <w:sz w:val="16"/>
          <w:szCs w:val="16"/>
          <w:b w:val="1"/>
          <w:bCs w:val="1"/>
          <w:color w:val="auto"/>
        </w:rPr>
        <w:t>Review of Decision</w:t>
      </w:r>
    </w:p>
    <w:p>
      <w:pPr>
        <w:spacing w:after="0" w:line="196" w:lineRule="exact"/>
        <w:rPr>
          <w:sz w:val="20"/>
          <w:szCs w:val="20"/>
          <w:color w:val="auto"/>
        </w:rPr>
      </w:pPr>
    </w:p>
    <w:p>
      <w:pPr>
        <w:ind w:left="580" w:right="140"/>
        <w:spacing w:after="0" w:line="277" w:lineRule="auto"/>
        <w:rPr>
          <w:sz w:val="20"/>
          <w:szCs w:val="20"/>
          <w:color w:val="auto"/>
        </w:rPr>
      </w:pPr>
      <w:r>
        <w:rPr>
          <w:rFonts w:ascii="Arial" w:cs="Arial" w:eastAsia="Arial" w:hAnsi="Arial"/>
          <w:sz w:val="17"/>
          <w:szCs w:val="17"/>
          <w:color w:val="auto"/>
        </w:rPr>
        <w:t>The Compensation Committee shall inform the Claimant in writing, in a manner calculated to be understood by the Claimant, the decision on the review of the denial of the claim, setting forth: (i) the specific reasons for the decision, (ii) if the claim is denied, reference to the specific Plan provisions on which the denial of the claim is based; (iii) a statement that the Claimant is entitled to receive, upon request and free of charge, reasonable access to, and copies of, all documents, records and other information relevant to the Claimant’s claim (and a document, record or other information shall be considered “relevant” to the benefits claim, as provided in Department of Labor Regulation Section 2560.503-1(m)(8)); and (iv) a statement describing Claimant’s right to bring an action under Section 502(a) of ERISA.</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SECTION 11</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MISCELLANEOUS</w:t>
      </w:r>
    </w:p>
    <w:p>
      <w:pPr>
        <w:spacing w:after="0" w:line="178" w:lineRule="exact"/>
        <w:rPr>
          <w:sz w:val="20"/>
          <w:szCs w:val="20"/>
          <w:color w:val="auto"/>
        </w:rPr>
      </w:pPr>
    </w:p>
    <w:p>
      <w:pPr>
        <w:spacing w:after="0"/>
        <w:tabs>
          <w:tab w:leader="none" w:pos="560" w:val="left"/>
        </w:tabs>
        <w:rPr>
          <w:sz w:val="20"/>
          <w:szCs w:val="20"/>
          <w:color w:val="auto"/>
        </w:rPr>
      </w:pPr>
      <w:r>
        <w:rPr>
          <w:rFonts w:ascii="Arial" w:cs="Arial" w:eastAsia="Arial" w:hAnsi="Arial"/>
          <w:sz w:val="19"/>
          <w:szCs w:val="19"/>
          <w:color w:val="auto"/>
        </w:rPr>
        <w:t>11.1</w:t>
      </w:r>
      <w:r>
        <w:rPr>
          <w:sz w:val="20"/>
          <w:szCs w:val="20"/>
          <w:color w:val="auto"/>
        </w:rPr>
        <w:tab/>
      </w:r>
      <w:r>
        <w:rPr>
          <w:rFonts w:ascii="Arial" w:cs="Arial" w:eastAsia="Arial" w:hAnsi="Arial"/>
          <w:sz w:val="17"/>
          <w:szCs w:val="17"/>
          <w:b w:val="1"/>
          <w:bCs w:val="1"/>
          <w:color w:val="auto"/>
        </w:rPr>
        <w:t>Unsecured General Creditor</w:t>
      </w:r>
    </w:p>
    <w:p>
      <w:pPr>
        <w:spacing w:after="0" w:line="196" w:lineRule="exact"/>
        <w:rPr>
          <w:sz w:val="20"/>
          <w:szCs w:val="20"/>
          <w:color w:val="auto"/>
        </w:rPr>
      </w:pPr>
    </w:p>
    <w:p>
      <w:pPr>
        <w:ind w:left="580" w:right="100"/>
        <w:spacing w:after="0" w:line="277" w:lineRule="auto"/>
        <w:rPr>
          <w:sz w:val="20"/>
          <w:szCs w:val="20"/>
          <w:color w:val="auto"/>
        </w:rPr>
      </w:pPr>
      <w:r>
        <w:rPr>
          <w:rFonts w:ascii="Arial" w:cs="Arial" w:eastAsia="Arial" w:hAnsi="Arial"/>
          <w:sz w:val="17"/>
          <w:szCs w:val="17"/>
          <w:color w:val="auto"/>
        </w:rPr>
        <w:t>Participants and their beneficiaries, heirs, successors, and assigns shall have no legal or equitable rights, claims, or interest in any specific property or assets of the Company. No assets of the Company shall be held in any way as collateral security for the fulfilling of the obligations of the Company under this Plan. Any and all of the Company’s assets shall be, and remain, the general unpledged, unrestricted assets of the Company. The Company’s obligation under the Plan shall be merely that of an unfunded and unsecured promise of the Company to pay money in the future, and the rights of the Participants and Beneficiaries shall be no greater than those of unsecured general creditors. It is the intention of the Company that this Plan be unfunded for purposes of the Code and Title I of ERISA.</w:t>
      </w:r>
    </w:p>
    <w:p>
      <w:pPr>
        <w:spacing w:after="0" w:line="130" w:lineRule="exact"/>
        <w:rPr>
          <w:sz w:val="20"/>
          <w:szCs w:val="20"/>
          <w:color w:val="auto"/>
        </w:rPr>
      </w:pPr>
    </w:p>
    <w:p>
      <w:pPr>
        <w:spacing w:after="0"/>
        <w:tabs>
          <w:tab w:leader="none" w:pos="560" w:val="left"/>
        </w:tabs>
        <w:rPr>
          <w:sz w:val="20"/>
          <w:szCs w:val="20"/>
          <w:color w:val="auto"/>
        </w:rPr>
      </w:pPr>
      <w:r>
        <w:rPr>
          <w:rFonts w:ascii="Arial" w:cs="Arial" w:eastAsia="Arial" w:hAnsi="Arial"/>
          <w:sz w:val="19"/>
          <w:szCs w:val="19"/>
          <w:color w:val="auto"/>
        </w:rPr>
        <w:t>11.2</w:t>
      </w:r>
      <w:r>
        <w:rPr>
          <w:sz w:val="20"/>
          <w:szCs w:val="20"/>
          <w:color w:val="auto"/>
        </w:rPr>
        <w:tab/>
      </w:r>
      <w:r>
        <w:rPr>
          <w:rFonts w:ascii="Arial" w:cs="Arial" w:eastAsia="Arial" w:hAnsi="Arial"/>
          <w:sz w:val="17"/>
          <w:szCs w:val="17"/>
          <w:b w:val="1"/>
          <w:bCs w:val="1"/>
          <w:color w:val="auto"/>
        </w:rPr>
        <w:t>Restriction Against Assignment</w:t>
      </w:r>
    </w:p>
    <w:p>
      <w:pPr>
        <w:sectPr>
          <w:pgSz w:w="11900" w:h="16838" w:orient="portrait"/>
          <w:cols w:equalWidth="0" w:num="1">
            <w:col w:w="11420"/>
          </w:cols>
          <w:pgMar w:left="240" w:top="120" w:right="239" w:bottom="168" w:gutter="0" w:footer="0" w:header="0"/>
        </w:sectPr>
      </w:pPr>
    </w:p>
    <w:bookmarkStart w:id="124" w:name="page125"/>
    <w:bookmarkEnd w:id="124"/>
    <w:p>
      <w:pPr>
        <w:ind w:left="580" w:right="60"/>
        <w:spacing w:after="0" w:line="275" w:lineRule="auto"/>
        <w:rPr>
          <w:sz w:val="20"/>
          <w:szCs w:val="20"/>
          <w:color w:val="auto"/>
        </w:rPr>
      </w:pPr>
      <w:r>
        <w:rPr>
          <w:rFonts w:ascii="Arial" w:cs="Arial" w:eastAsia="Arial" w:hAnsi="Arial"/>
          <w:sz w:val="17"/>
          <w:szCs w:val="17"/>
          <w:color w:val="auto"/>
        </w:rPr>
        <w:t>The Company shall pay all amounts payable hereunder only to the person or persons designated by the Plan and not to any other person or entity. No right, title or interest in the Plan or in any account may be sold, pledged, assigned or transferred in any manner other than by will or the laws of descent and distribution. No right, title or interest in the Plan or in any benefit under the Plan shall be liable for the debts, contracts or engagements of the Participant or his successors in interest or shall be subject to disposition by transfer, alienation, anticipation, pledge, encumbrance, assignment or any other means whether such disposition be voluntary or involuntary or by operation of law by judgment, levy, attachment, garnishment or any other legal or equitable proceedings (including bankruptcy), and any attempted disposition thereof shall be null and void and of no effect, except to the extent that such disposition is permitted by the preceding sentence.</w:t>
      </w:r>
    </w:p>
    <w:p>
      <w:pPr>
        <w:spacing w:after="0" w:line="139" w:lineRule="exact"/>
        <w:rPr>
          <w:sz w:val="20"/>
          <w:szCs w:val="20"/>
          <w:color w:val="auto"/>
        </w:rPr>
      </w:pPr>
    </w:p>
    <w:p>
      <w:pPr>
        <w:ind w:left="580" w:right="200"/>
        <w:spacing w:after="0" w:line="266" w:lineRule="auto"/>
        <w:rPr>
          <w:sz w:val="20"/>
          <w:szCs w:val="20"/>
          <w:color w:val="auto"/>
        </w:rPr>
      </w:pPr>
      <w:r>
        <w:rPr>
          <w:rFonts w:ascii="Arial" w:cs="Arial" w:eastAsia="Arial" w:hAnsi="Arial"/>
          <w:sz w:val="19"/>
          <w:szCs w:val="19"/>
          <w:color w:val="auto"/>
        </w:rPr>
        <w:t>Notwithstanding the provisions of this subsection (B), a Participant’s benefit may be transferred pursuant to a domestic relations order that constitutes a “qualified domestic relations order” as defined by the Code or Title I of ERISA.</w:t>
      </w:r>
    </w:p>
    <w:p>
      <w:pPr>
        <w:spacing w:after="0" w:line="122" w:lineRule="exact"/>
        <w:rPr>
          <w:sz w:val="20"/>
          <w:szCs w:val="20"/>
          <w:color w:val="auto"/>
        </w:rPr>
      </w:pPr>
    </w:p>
    <w:p>
      <w:pPr>
        <w:spacing w:after="0"/>
        <w:tabs>
          <w:tab w:leader="none" w:pos="560" w:val="left"/>
        </w:tabs>
        <w:rPr>
          <w:sz w:val="20"/>
          <w:szCs w:val="20"/>
          <w:color w:val="auto"/>
        </w:rPr>
      </w:pPr>
      <w:r>
        <w:rPr>
          <w:rFonts w:ascii="Arial" w:cs="Arial" w:eastAsia="Arial" w:hAnsi="Arial"/>
          <w:sz w:val="19"/>
          <w:szCs w:val="19"/>
          <w:color w:val="auto"/>
        </w:rPr>
        <w:t>11.3</w:t>
      </w:r>
      <w:r>
        <w:rPr>
          <w:sz w:val="20"/>
          <w:szCs w:val="20"/>
          <w:color w:val="auto"/>
        </w:rPr>
        <w:tab/>
      </w:r>
      <w:r>
        <w:rPr>
          <w:rFonts w:ascii="Arial" w:cs="Arial" w:eastAsia="Arial" w:hAnsi="Arial"/>
          <w:sz w:val="17"/>
          <w:szCs w:val="17"/>
          <w:b w:val="1"/>
          <w:bCs w:val="1"/>
          <w:color w:val="auto"/>
        </w:rPr>
        <w:t>Withholding</w:t>
      </w:r>
    </w:p>
    <w:p>
      <w:pPr>
        <w:spacing w:after="0" w:line="196" w:lineRule="exact"/>
        <w:rPr>
          <w:sz w:val="20"/>
          <w:szCs w:val="20"/>
          <w:color w:val="auto"/>
        </w:rPr>
      </w:pPr>
    </w:p>
    <w:p>
      <w:pPr>
        <w:ind w:left="580"/>
        <w:spacing w:after="0" w:line="252" w:lineRule="auto"/>
        <w:rPr>
          <w:sz w:val="20"/>
          <w:szCs w:val="20"/>
          <w:color w:val="auto"/>
        </w:rPr>
      </w:pPr>
      <w:r>
        <w:rPr>
          <w:rFonts w:ascii="Arial" w:cs="Arial" w:eastAsia="Arial" w:hAnsi="Arial"/>
          <w:sz w:val="19"/>
          <w:szCs w:val="19"/>
          <w:color w:val="auto"/>
        </w:rPr>
        <w:t>There shall be deducted from each payment made under the Plan payable to the Participant (or beneficiary) all taxes which are required to be withheld by the Company in respect to such payment or this Plan. The Company shall have the right to reduce any payment (or compensation) by the amount of such of cash sufficient to provide the amount of said taxes.</w:t>
      </w:r>
    </w:p>
    <w:p>
      <w:pPr>
        <w:spacing w:after="0" w:line="147" w:lineRule="exact"/>
        <w:rPr>
          <w:sz w:val="20"/>
          <w:szCs w:val="20"/>
          <w:color w:val="auto"/>
        </w:rPr>
      </w:pPr>
    </w:p>
    <w:p>
      <w:pPr>
        <w:spacing w:after="0"/>
        <w:tabs>
          <w:tab w:leader="none" w:pos="560" w:val="left"/>
        </w:tabs>
        <w:rPr>
          <w:sz w:val="20"/>
          <w:szCs w:val="20"/>
          <w:color w:val="auto"/>
        </w:rPr>
      </w:pPr>
      <w:r>
        <w:rPr>
          <w:rFonts w:ascii="Arial" w:cs="Arial" w:eastAsia="Arial" w:hAnsi="Arial"/>
          <w:sz w:val="19"/>
          <w:szCs w:val="19"/>
          <w:color w:val="auto"/>
        </w:rPr>
        <w:t>11.4</w:t>
      </w:r>
      <w:r>
        <w:rPr>
          <w:sz w:val="20"/>
          <w:szCs w:val="20"/>
          <w:color w:val="auto"/>
        </w:rPr>
        <w:tab/>
      </w:r>
      <w:r>
        <w:rPr>
          <w:rFonts w:ascii="Arial" w:cs="Arial" w:eastAsia="Arial" w:hAnsi="Arial"/>
          <w:sz w:val="17"/>
          <w:szCs w:val="17"/>
          <w:b w:val="1"/>
          <w:bCs w:val="1"/>
          <w:color w:val="auto"/>
        </w:rPr>
        <w:t>Governing Law</w:t>
      </w:r>
    </w:p>
    <w:p>
      <w:pPr>
        <w:spacing w:after="0" w:line="196" w:lineRule="exact"/>
        <w:rPr>
          <w:sz w:val="20"/>
          <w:szCs w:val="20"/>
          <w:color w:val="auto"/>
        </w:rPr>
      </w:pPr>
    </w:p>
    <w:p>
      <w:pPr>
        <w:ind w:left="580"/>
        <w:spacing w:after="0"/>
        <w:rPr>
          <w:sz w:val="20"/>
          <w:szCs w:val="20"/>
          <w:color w:val="auto"/>
        </w:rPr>
      </w:pPr>
      <w:r>
        <w:rPr>
          <w:rFonts w:ascii="Arial" w:cs="Arial" w:eastAsia="Arial" w:hAnsi="Arial"/>
          <w:sz w:val="19"/>
          <w:szCs w:val="19"/>
          <w:color w:val="auto"/>
        </w:rPr>
        <w:t>This Plan shall be construed, governed and administered in accordance with the ERISA.</w:t>
      </w:r>
    </w:p>
    <w:p>
      <w:pPr>
        <w:spacing w:after="0" w:line="172" w:lineRule="exact"/>
        <w:rPr>
          <w:sz w:val="20"/>
          <w:szCs w:val="20"/>
          <w:color w:val="auto"/>
        </w:rPr>
      </w:pPr>
    </w:p>
    <w:p>
      <w:pPr>
        <w:spacing w:after="0"/>
        <w:tabs>
          <w:tab w:leader="none" w:pos="560" w:val="left"/>
        </w:tabs>
        <w:rPr>
          <w:sz w:val="20"/>
          <w:szCs w:val="20"/>
          <w:color w:val="auto"/>
        </w:rPr>
      </w:pPr>
      <w:r>
        <w:rPr>
          <w:rFonts w:ascii="Arial" w:cs="Arial" w:eastAsia="Arial" w:hAnsi="Arial"/>
          <w:sz w:val="19"/>
          <w:szCs w:val="19"/>
          <w:color w:val="auto"/>
        </w:rPr>
        <w:t>11.5</w:t>
      </w:r>
      <w:r>
        <w:rPr>
          <w:sz w:val="20"/>
          <w:szCs w:val="20"/>
          <w:color w:val="auto"/>
        </w:rPr>
        <w:tab/>
      </w:r>
      <w:r>
        <w:rPr>
          <w:rFonts w:ascii="Arial" w:cs="Arial" w:eastAsia="Arial" w:hAnsi="Arial"/>
          <w:sz w:val="16"/>
          <w:szCs w:val="16"/>
          <w:b w:val="1"/>
          <w:bCs w:val="1"/>
          <w:color w:val="auto"/>
        </w:rPr>
        <w:t>Receipt of Release</w:t>
      </w:r>
    </w:p>
    <w:p>
      <w:pPr>
        <w:spacing w:after="0" w:line="196" w:lineRule="exact"/>
        <w:rPr>
          <w:sz w:val="20"/>
          <w:szCs w:val="20"/>
          <w:color w:val="auto"/>
        </w:rPr>
      </w:pPr>
    </w:p>
    <w:p>
      <w:pPr>
        <w:ind w:left="580" w:right="140"/>
        <w:spacing w:after="0" w:line="247" w:lineRule="auto"/>
        <w:rPr>
          <w:sz w:val="20"/>
          <w:szCs w:val="20"/>
          <w:color w:val="auto"/>
        </w:rPr>
      </w:pPr>
      <w:r>
        <w:rPr>
          <w:rFonts w:ascii="Arial" w:cs="Arial" w:eastAsia="Arial" w:hAnsi="Arial"/>
          <w:sz w:val="19"/>
          <w:szCs w:val="19"/>
          <w:color w:val="auto"/>
        </w:rPr>
        <w:t>Any payment to a Participant or the Participant’s beneficiary in accordance with the provisions of the Plan shall, to the extent thereof, be in full satisfaction of all claims against the Compensation Committee and the Company. The Committee may require such Participant or Beneficiary, as a condition precedent to such payment, to execute a receipt and release to such effect prior to the payment date specified under the Plan.</w:t>
      </w:r>
    </w:p>
    <w:p>
      <w:pPr>
        <w:spacing w:after="0" w:line="140" w:lineRule="exact"/>
        <w:rPr>
          <w:sz w:val="20"/>
          <w:szCs w:val="20"/>
          <w:color w:val="auto"/>
        </w:rPr>
      </w:pPr>
    </w:p>
    <w:p>
      <w:pPr>
        <w:spacing w:after="0"/>
        <w:tabs>
          <w:tab w:leader="none" w:pos="560" w:val="left"/>
        </w:tabs>
        <w:rPr>
          <w:sz w:val="20"/>
          <w:szCs w:val="20"/>
          <w:color w:val="auto"/>
        </w:rPr>
      </w:pPr>
      <w:r>
        <w:rPr>
          <w:rFonts w:ascii="Arial" w:cs="Arial" w:eastAsia="Arial" w:hAnsi="Arial"/>
          <w:sz w:val="19"/>
          <w:szCs w:val="19"/>
          <w:color w:val="auto"/>
        </w:rPr>
        <w:t>11.6</w:t>
      </w:r>
      <w:r>
        <w:rPr>
          <w:sz w:val="20"/>
          <w:szCs w:val="20"/>
          <w:color w:val="auto"/>
        </w:rPr>
        <w:tab/>
      </w:r>
      <w:r>
        <w:rPr>
          <w:rFonts w:ascii="Arial" w:cs="Arial" w:eastAsia="Arial" w:hAnsi="Arial"/>
          <w:sz w:val="17"/>
          <w:szCs w:val="17"/>
          <w:b w:val="1"/>
          <w:bCs w:val="1"/>
          <w:color w:val="auto"/>
        </w:rPr>
        <w:t>Payments on Behalf of Persons Under Incapacity</w:t>
      </w:r>
    </w:p>
    <w:p>
      <w:pPr>
        <w:spacing w:after="0" w:line="196" w:lineRule="exact"/>
        <w:rPr>
          <w:sz w:val="20"/>
          <w:szCs w:val="20"/>
          <w:color w:val="auto"/>
        </w:rPr>
      </w:pPr>
    </w:p>
    <w:p>
      <w:pPr>
        <w:ind w:left="580" w:right="80"/>
        <w:spacing w:after="0" w:line="244" w:lineRule="auto"/>
        <w:rPr>
          <w:sz w:val="20"/>
          <w:szCs w:val="20"/>
          <w:color w:val="auto"/>
        </w:rPr>
      </w:pPr>
      <w:r>
        <w:rPr>
          <w:rFonts w:ascii="Arial" w:cs="Arial" w:eastAsia="Arial" w:hAnsi="Arial"/>
          <w:sz w:val="19"/>
          <w:szCs w:val="19"/>
          <w:color w:val="auto"/>
        </w:rPr>
        <w:t>In the event that any amount becomes payable under the Plan to a person who, in the sole judgment of the Compensation Committee, is considered by reason of physical or mental condition to be unable to give a valid receipt therefore, the Compensation Committee may direct that such payment be made to any person found by the Compensation Committee, in its sole judgment, to have assumed the care of such person. Any payment made pursuant to such termination shall constitute a full release and discharge of the Compensation Committee and the Company.</w:t>
      </w:r>
    </w:p>
    <w:p>
      <w:pPr>
        <w:spacing w:after="0" w:line="157" w:lineRule="exact"/>
        <w:rPr>
          <w:sz w:val="20"/>
          <w:szCs w:val="20"/>
          <w:color w:val="auto"/>
        </w:rPr>
      </w:pPr>
    </w:p>
    <w:p>
      <w:pPr>
        <w:spacing w:after="0"/>
        <w:tabs>
          <w:tab w:leader="none" w:pos="560" w:val="left"/>
        </w:tabs>
        <w:rPr>
          <w:sz w:val="20"/>
          <w:szCs w:val="20"/>
          <w:color w:val="auto"/>
        </w:rPr>
      </w:pPr>
      <w:r>
        <w:rPr>
          <w:rFonts w:ascii="Arial" w:cs="Arial" w:eastAsia="Arial" w:hAnsi="Arial"/>
          <w:sz w:val="19"/>
          <w:szCs w:val="19"/>
          <w:color w:val="auto"/>
        </w:rPr>
        <w:t>11.7</w:t>
      </w:r>
      <w:r>
        <w:rPr>
          <w:sz w:val="20"/>
          <w:szCs w:val="20"/>
          <w:color w:val="auto"/>
        </w:rPr>
        <w:tab/>
      </w:r>
      <w:r>
        <w:rPr>
          <w:rFonts w:ascii="Arial" w:cs="Arial" w:eastAsia="Arial" w:hAnsi="Arial"/>
          <w:sz w:val="17"/>
          <w:szCs w:val="17"/>
          <w:b w:val="1"/>
          <w:bCs w:val="1"/>
          <w:color w:val="auto"/>
        </w:rPr>
        <w:t>Notice</w:t>
      </w:r>
    </w:p>
    <w:p>
      <w:pPr>
        <w:spacing w:after="0" w:line="196" w:lineRule="exact"/>
        <w:rPr>
          <w:sz w:val="20"/>
          <w:szCs w:val="20"/>
          <w:color w:val="auto"/>
        </w:rPr>
      </w:pPr>
    </w:p>
    <w:p>
      <w:pPr>
        <w:ind w:left="580"/>
        <w:spacing w:after="0" w:line="247" w:lineRule="auto"/>
        <w:rPr>
          <w:sz w:val="20"/>
          <w:szCs w:val="20"/>
          <w:color w:val="auto"/>
        </w:rPr>
      </w:pPr>
      <w:r>
        <w:rPr>
          <w:rFonts w:ascii="Arial" w:cs="Arial" w:eastAsia="Arial" w:hAnsi="Arial"/>
          <w:sz w:val="19"/>
          <w:szCs w:val="19"/>
          <w:color w:val="auto"/>
        </w:rPr>
        <w:t>Any notice or filing required or permitted to be given to the Compensation Committee under the Plan shall be sufficient if in writing and hand delivered, or sent by registered or certified mail, to the principal office of the Company, directed to the attention of the General Counsel and Secretary of Sempra Energy. Such notice shall be deemed given as of the date of delivery or, if delivery is made by mail, as of the date shown on the postmark on the receipt for registration or certification.</w:t>
      </w:r>
    </w:p>
    <w:p>
      <w:pPr>
        <w:spacing w:after="0" w:line="140" w:lineRule="exact"/>
        <w:rPr>
          <w:sz w:val="20"/>
          <w:szCs w:val="20"/>
          <w:color w:val="auto"/>
        </w:rPr>
      </w:pPr>
    </w:p>
    <w:p>
      <w:pPr>
        <w:spacing w:after="0"/>
        <w:tabs>
          <w:tab w:leader="none" w:pos="560" w:val="left"/>
        </w:tabs>
        <w:rPr>
          <w:sz w:val="20"/>
          <w:szCs w:val="20"/>
          <w:color w:val="auto"/>
        </w:rPr>
      </w:pPr>
      <w:r>
        <w:rPr>
          <w:rFonts w:ascii="Arial" w:cs="Arial" w:eastAsia="Arial" w:hAnsi="Arial"/>
          <w:sz w:val="19"/>
          <w:szCs w:val="19"/>
          <w:color w:val="auto"/>
        </w:rPr>
        <w:t>11.8</w:t>
      </w:r>
      <w:r>
        <w:rPr>
          <w:sz w:val="20"/>
          <w:szCs w:val="20"/>
          <w:color w:val="auto"/>
        </w:rPr>
        <w:tab/>
      </w:r>
      <w:r>
        <w:rPr>
          <w:rFonts w:ascii="Arial" w:cs="Arial" w:eastAsia="Arial" w:hAnsi="Arial"/>
          <w:sz w:val="17"/>
          <w:szCs w:val="17"/>
          <w:b w:val="1"/>
          <w:bCs w:val="1"/>
          <w:color w:val="auto"/>
        </w:rPr>
        <w:t>Errors and Misstatements</w:t>
      </w:r>
    </w:p>
    <w:p>
      <w:pPr>
        <w:spacing w:after="0" w:line="196" w:lineRule="exact"/>
        <w:rPr>
          <w:sz w:val="20"/>
          <w:szCs w:val="20"/>
          <w:color w:val="auto"/>
        </w:rPr>
      </w:pPr>
    </w:p>
    <w:p>
      <w:pPr>
        <w:ind w:left="580"/>
        <w:spacing w:after="0" w:line="259" w:lineRule="auto"/>
        <w:rPr>
          <w:sz w:val="20"/>
          <w:szCs w:val="20"/>
          <w:color w:val="auto"/>
        </w:rPr>
      </w:pPr>
      <w:r>
        <w:rPr>
          <w:rFonts w:ascii="Arial" w:cs="Arial" w:eastAsia="Arial" w:hAnsi="Arial"/>
          <w:sz w:val="18"/>
          <w:szCs w:val="18"/>
          <w:color w:val="auto"/>
        </w:rPr>
        <w:t>In the event of any misstatement or omission of fact by a Participant to the Compensation Committee or any clerical error resulting in payment of benefits in an incorrect amount, the Compensation Committee shall promptly cause the amount of future payments to be corrected upon discovery of the facts and shall pay or, if applicable, cause the Plan to pay, the Participant or any other person entitled to payment under the Plan any underpayment in a lump sum or to recoup any overpayment from future payments to the Participant or any other person entitled to payment under the Plan in such amounts as the Compensation Committee shall direct or to proceed against the Participant or any other person entitled to payment under the Plan for recovery of any such overpayment</w:t>
      </w:r>
    </w:p>
    <w:p>
      <w:pPr>
        <w:spacing w:after="0" w:line="131" w:lineRule="exact"/>
        <w:rPr>
          <w:sz w:val="20"/>
          <w:szCs w:val="20"/>
          <w:color w:val="auto"/>
        </w:rPr>
      </w:pPr>
    </w:p>
    <w:p>
      <w:pPr>
        <w:spacing w:after="0"/>
        <w:tabs>
          <w:tab w:leader="none" w:pos="560" w:val="left"/>
        </w:tabs>
        <w:rPr>
          <w:sz w:val="20"/>
          <w:szCs w:val="20"/>
          <w:color w:val="auto"/>
        </w:rPr>
      </w:pPr>
      <w:r>
        <w:rPr>
          <w:rFonts w:ascii="Arial" w:cs="Arial" w:eastAsia="Arial" w:hAnsi="Arial"/>
          <w:sz w:val="19"/>
          <w:szCs w:val="19"/>
          <w:color w:val="auto"/>
        </w:rPr>
        <w:t>11.9</w:t>
      </w:r>
      <w:r>
        <w:rPr>
          <w:sz w:val="20"/>
          <w:szCs w:val="20"/>
          <w:color w:val="auto"/>
        </w:rPr>
        <w:tab/>
      </w:r>
      <w:r>
        <w:rPr>
          <w:rFonts w:ascii="Arial" w:cs="Arial" w:eastAsia="Arial" w:hAnsi="Arial"/>
          <w:sz w:val="17"/>
          <w:szCs w:val="17"/>
          <w:b w:val="1"/>
          <w:bCs w:val="1"/>
          <w:color w:val="auto"/>
        </w:rPr>
        <w:t>Pronouns and Plurality</w:t>
      </w:r>
    </w:p>
    <w:p>
      <w:pPr>
        <w:spacing w:after="0" w:line="196" w:lineRule="exact"/>
        <w:rPr>
          <w:sz w:val="20"/>
          <w:szCs w:val="20"/>
          <w:color w:val="auto"/>
        </w:rPr>
      </w:pPr>
    </w:p>
    <w:p>
      <w:pPr>
        <w:ind w:left="580"/>
        <w:spacing w:after="0"/>
        <w:rPr>
          <w:sz w:val="20"/>
          <w:szCs w:val="20"/>
          <w:color w:val="auto"/>
        </w:rPr>
      </w:pPr>
      <w:r>
        <w:rPr>
          <w:rFonts w:ascii="Arial" w:cs="Arial" w:eastAsia="Arial" w:hAnsi="Arial"/>
          <w:sz w:val="19"/>
          <w:szCs w:val="19"/>
          <w:color w:val="auto"/>
        </w:rPr>
        <w:t>The masculine pronoun shall include the feminine pronoun, and the singular the plural where the context so indicates.</w:t>
      </w:r>
    </w:p>
    <w:p>
      <w:pPr>
        <w:spacing w:after="0" w:line="184" w:lineRule="exact"/>
        <w:rPr>
          <w:sz w:val="20"/>
          <w:szCs w:val="20"/>
          <w:color w:val="auto"/>
        </w:rPr>
      </w:pPr>
    </w:p>
    <w:p>
      <w:pPr>
        <w:spacing w:after="0"/>
        <w:tabs>
          <w:tab w:leader="none" w:pos="560" w:val="left"/>
        </w:tabs>
        <w:rPr>
          <w:sz w:val="20"/>
          <w:szCs w:val="20"/>
          <w:color w:val="auto"/>
        </w:rPr>
      </w:pPr>
      <w:r>
        <w:rPr>
          <w:rFonts w:ascii="Arial" w:cs="Arial" w:eastAsia="Arial" w:hAnsi="Arial"/>
          <w:sz w:val="19"/>
          <w:szCs w:val="19"/>
          <w:color w:val="auto"/>
        </w:rPr>
        <w:t>11.10</w:t>
      </w:r>
      <w:r>
        <w:rPr>
          <w:sz w:val="20"/>
          <w:szCs w:val="20"/>
          <w:color w:val="auto"/>
        </w:rPr>
        <w:tab/>
      </w:r>
      <w:r>
        <w:rPr>
          <w:rFonts w:ascii="Arial" w:cs="Arial" w:eastAsia="Arial" w:hAnsi="Arial"/>
          <w:sz w:val="17"/>
          <w:szCs w:val="17"/>
          <w:b w:val="1"/>
          <w:bCs w:val="1"/>
          <w:color w:val="auto"/>
        </w:rPr>
        <w:t>Severability</w:t>
      </w:r>
    </w:p>
    <w:p>
      <w:pPr>
        <w:spacing w:after="0" w:line="196" w:lineRule="exact"/>
        <w:rPr>
          <w:sz w:val="20"/>
          <w:szCs w:val="20"/>
          <w:color w:val="auto"/>
        </w:rPr>
      </w:pPr>
    </w:p>
    <w:p>
      <w:pPr>
        <w:ind w:left="580" w:right="40"/>
        <w:spacing w:after="0" w:line="252" w:lineRule="auto"/>
        <w:rPr>
          <w:sz w:val="20"/>
          <w:szCs w:val="20"/>
          <w:color w:val="auto"/>
        </w:rPr>
      </w:pPr>
      <w:r>
        <w:rPr>
          <w:rFonts w:ascii="Arial" w:cs="Arial" w:eastAsia="Arial" w:hAnsi="Arial"/>
          <w:sz w:val="19"/>
          <w:szCs w:val="19"/>
          <w:color w:val="auto"/>
        </w:rPr>
        <w:t>In the event that any provision of the Plan shall be declared unenforceable or invalid for any reason, such unenforceability or invalidity shall not affect the remaining provisions of the Plan but shall be fully severable, and the Plan shall be construed and enforced as if such unenforceable or invalid provision had never been included herein.</w:t>
      </w:r>
    </w:p>
    <w:p>
      <w:pPr>
        <w:sectPr>
          <w:pgSz w:w="11900" w:h="16838" w:orient="portrait"/>
          <w:cols w:equalWidth="0" w:num="1">
            <w:col w:w="11420"/>
          </w:cols>
          <w:pgMar w:left="240" w:top="120" w:right="239" w:bottom="1440" w:gutter="0" w:footer="0" w:header="0"/>
        </w:sectPr>
      </w:pPr>
    </w:p>
    <w:bookmarkStart w:id="125" w:name="page126"/>
    <w:bookmarkEnd w:id="125"/>
    <w:p>
      <w:pPr>
        <w:spacing w:after="0"/>
        <w:tabs>
          <w:tab w:leader="none" w:pos="560" w:val="left"/>
        </w:tabs>
        <w:rPr>
          <w:sz w:val="20"/>
          <w:szCs w:val="20"/>
          <w:color w:val="auto"/>
        </w:rPr>
      </w:pPr>
      <w:r>
        <w:rPr>
          <w:rFonts w:ascii="Arial" w:cs="Arial" w:eastAsia="Arial" w:hAnsi="Arial"/>
          <w:sz w:val="19"/>
          <w:szCs w:val="19"/>
          <w:color w:val="auto"/>
        </w:rPr>
        <w:t>11.11</w:t>
      </w:r>
      <w:r>
        <w:rPr>
          <w:sz w:val="20"/>
          <w:szCs w:val="20"/>
          <w:color w:val="auto"/>
        </w:rPr>
        <w:tab/>
      </w:r>
      <w:r>
        <w:rPr>
          <w:rFonts w:ascii="Arial" w:cs="Arial" w:eastAsia="Arial" w:hAnsi="Arial"/>
          <w:sz w:val="16"/>
          <w:szCs w:val="16"/>
          <w:b w:val="1"/>
          <w:bCs w:val="1"/>
          <w:color w:val="auto"/>
        </w:rPr>
        <w:t>Headings</w:t>
      </w:r>
    </w:p>
    <w:p>
      <w:pPr>
        <w:spacing w:after="0" w:line="196" w:lineRule="exact"/>
        <w:rPr>
          <w:sz w:val="20"/>
          <w:szCs w:val="20"/>
          <w:color w:val="auto"/>
        </w:rPr>
      </w:pPr>
    </w:p>
    <w:p>
      <w:pPr>
        <w:ind w:left="580"/>
        <w:spacing w:after="0" w:line="266" w:lineRule="auto"/>
        <w:rPr>
          <w:sz w:val="20"/>
          <w:szCs w:val="20"/>
          <w:color w:val="auto"/>
        </w:rPr>
      </w:pPr>
      <w:r>
        <w:rPr>
          <w:rFonts w:ascii="Arial" w:cs="Arial" w:eastAsia="Arial" w:hAnsi="Arial"/>
          <w:sz w:val="19"/>
          <w:szCs w:val="19"/>
          <w:color w:val="auto"/>
        </w:rPr>
        <w:t>Headings and subheadings in this Plan are inserted for convenience of reference only and are not to be considered in the construction of the provisions hereof.</w:t>
      </w:r>
    </w:p>
    <w:p>
      <w:pPr>
        <w:spacing w:after="0" w:line="159" w:lineRule="exact"/>
        <w:rPr>
          <w:sz w:val="20"/>
          <w:szCs w:val="20"/>
          <w:color w:val="auto"/>
        </w:rPr>
      </w:pPr>
    </w:p>
    <w:p>
      <w:pPr>
        <w:spacing w:after="0"/>
        <w:rPr>
          <w:sz w:val="20"/>
          <w:szCs w:val="20"/>
          <w:color w:val="auto"/>
        </w:rPr>
      </w:pPr>
      <w:r>
        <w:rPr>
          <w:rFonts w:ascii="Arial" w:cs="Arial" w:eastAsia="Arial" w:hAnsi="Arial"/>
          <w:sz w:val="19"/>
          <w:szCs w:val="19"/>
          <w:color w:val="auto"/>
        </w:rPr>
        <w:t>Executed at San Diego, California this 11</w:t>
      </w:r>
      <w:r>
        <w:rPr>
          <w:rFonts w:ascii="Arial" w:cs="Arial" w:eastAsia="Arial" w:hAnsi="Arial"/>
          <w:sz w:val="32"/>
          <w:szCs w:val="32"/>
          <w:color w:val="auto"/>
          <w:vertAlign w:val="superscript"/>
        </w:rPr>
        <w:t>th</w:t>
      </w:r>
      <w:r>
        <w:rPr>
          <w:rFonts w:ascii="Arial" w:cs="Arial" w:eastAsia="Arial" w:hAnsi="Arial"/>
          <w:sz w:val="19"/>
          <w:szCs w:val="19"/>
          <w:color w:val="auto"/>
        </w:rPr>
        <w:t xml:space="preserve"> day of December, 2008.</w:t>
      </w:r>
    </w:p>
    <w:p>
      <w:pPr>
        <w:spacing w:after="0" w:line="200" w:lineRule="exact"/>
        <w:rPr>
          <w:sz w:val="20"/>
          <w:szCs w:val="20"/>
          <w:color w:val="auto"/>
        </w:rPr>
      </w:pPr>
    </w:p>
    <w:p>
      <w:pPr>
        <w:spacing w:after="0" w:line="266" w:lineRule="exact"/>
        <w:rPr>
          <w:sz w:val="20"/>
          <w:szCs w:val="20"/>
          <w:color w:val="auto"/>
        </w:rPr>
      </w:pPr>
    </w:p>
    <w:p>
      <w:pPr>
        <w:ind w:left="3460"/>
        <w:spacing w:after="0"/>
        <w:rPr>
          <w:sz w:val="20"/>
          <w:szCs w:val="20"/>
          <w:color w:val="auto"/>
        </w:rPr>
      </w:pPr>
      <w:r>
        <w:rPr>
          <w:rFonts w:ascii="Arial" w:cs="Arial" w:eastAsia="Arial" w:hAnsi="Arial"/>
          <w:sz w:val="19"/>
          <w:szCs w:val="19"/>
          <w:color w:val="auto"/>
        </w:rPr>
        <w:t>SEMPRA ENERGY</w:t>
      </w:r>
    </w:p>
    <w:p>
      <w:pPr>
        <w:spacing w:after="0" w:line="382" w:lineRule="exact"/>
        <w:rPr>
          <w:sz w:val="20"/>
          <w:szCs w:val="20"/>
          <w:color w:val="auto"/>
        </w:rPr>
      </w:pPr>
    </w:p>
    <w:p>
      <w:pPr>
        <w:ind w:left="3460"/>
        <w:spacing w:after="0"/>
        <w:rPr>
          <w:sz w:val="20"/>
          <w:szCs w:val="20"/>
          <w:color w:val="auto"/>
        </w:rPr>
      </w:pPr>
      <w:r>
        <w:rPr>
          <w:rFonts w:ascii="Arial" w:cs="Arial" w:eastAsia="Arial" w:hAnsi="Arial"/>
          <w:sz w:val="19"/>
          <w:szCs w:val="19"/>
          <w:color w:val="auto"/>
        </w:rPr>
        <w:t>By:</w:t>
      </w:r>
    </w:p>
    <w:p>
      <w:pPr>
        <w:spacing w:after="0" w:line="11" w:lineRule="exact"/>
        <w:rPr>
          <w:sz w:val="20"/>
          <w:szCs w:val="20"/>
          <w:color w:val="auto"/>
        </w:rPr>
      </w:pPr>
    </w:p>
    <w:p>
      <w:pPr>
        <w:ind w:left="4040"/>
        <w:spacing w:after="0"/>
        <w:rPr>
          <w:sz w:val="20"/>
          <w:szCs w:val="20"/>
          <w:color w:val="auto"/>
        </w:rPr>
      </w:pPr>
      <w:r>
        <w:rPr>
          <w:rFonts w:ascii="Arial" w:cs="Arial" w:eastAsia="Arial" w:hAnsi="Arial"/>
          <w:sz w:val="19"/>
          <w:szCs w:val="19"/>
          <w:color w:val="auto"/>
        </w:rPr>
        <w:t>G. Joyce Rowland</w:t>
      </w:r>
    </w:p>
    <w:p>
      <w:pPr>
        <w:ind w:left="4040"/>
        <w:spacing w:after="0"/>
        <w:rPr>
          <w:sz w:val="20"/>
          <w:szCs w:val="20"/>
          <w:color w:val="auto"/>
        </w:rPr>
      </w:pPr>
      <w:r>
        <w:rPr>
          <w:rFonts w:ascii="Arial" w:cs="Arial" w:eastAsia="Arial" w:hAnsi="Arial"/>
          <w:sz w:val="19"/>
          <w:szCs w:val="19"/>
          <w:color w:val="auto"/>
        </w:rPr>
        <w:t>Sr. Vice President, Human Resources</w:t>
      </w:r>
    </w:p>
    <w:p>
      <w:pPr>
        <w:sectPr>
          <w:pgSz w:w="11900" w:h="16838" w:orient="portrait"/>
          <w:cols w:equalWidth="0" w:num="1">
            <w:col w:w="11300"/>
          </w:cols>
          <w:pgMar w:left="240" w:top="679" w:right="359" w:bottom="1440" w:gutter="0" w:footer="0" w:header="0"/>
        </w:sectPr>
      </w:pPr>
    </w:p>
    <w:bookmarkStart w:id="126" w:name="page127"/>
    <w:bookmarkEnd w:id="126"/>
    <w:tbl>
      <w:tblPr>
        <w:tblLayout w:type="fixed"/>
        <w:tblInd w:w="1720" w:type="dxa"/>
        <w:tblCellMar>
          <w:top w:w="0" w:type="dxa"/>
          <w:left w:w="0" w:type="dxa"/>
          <w:bottom w:w="0" w:type="dxa"/>
          <w:right w:w="0" w:type="dxa"/>
        </w:tblCellMar>
      </w:tblPr>
      <w:tr>
        <w:trPr>
          <w:trHeight w:val="251"/>
        </w:trPr>
        <w:tc>
          <w:tcPr>
            <w:tcW w:w="1440" w:type="dxa"/>
            <w:vAlign w:val="bottom"/>
          </w:tcPr>
          <w:p>
            <w:pPr>
              <w:spacing w:after="0"/>
              <w:rPr>
                <w:sz w:val="21"/>
                <w:szCs w:val="21"/>
                <w:color w:val="auto"/>
              </w:rPr>
            </w:pPr>
          </w:p>
        </w:tc>
        <w:tc>
          <w:tcPr>
            <w:tcW w:w="4600" w:type="dxa"/>
            <w:vAlign w:val="bottom"/>
          </w:tcPr>
          <w:p>
            <w:pPr>
              <w:ind w:left="880"/>
              <w:spacing w:after="0"/>
              <w:rPr>
                <w:sz w:val="20"/>
                <w:szCs w:val="20"/>
                <w:color w:val="auto"/>
              </w:rPr>
            </w:pPr>
            <w:r>
              <w:rPr>
                <w:rFonts w:ascii="Arial" w:cs="Arial" w:eastAsia="Arial" w:hAnsi="Arial"/>
                <w:sz w:val="19"/>
                <w:szCs w:val="19"/>
                <w:b w:val="1"/>
                <w:bCs w:val="1"/>
                <w:color w:val="auto"/>
              </w:rPr>
              <w:t>APPENDIX A</w:t>
            </w:r>
          </w:p>
        </w:tc>
      </w:tr>
      <w:tr>
        <w:trPr>
          <w:trHeight w:val="408"/>
        </w:trPr>
        <w:tc>
          <w:tcPr>
            <w:tcW w:w="1440" w:type="dxa"/>
            <w:vAlign w:val="bottom"/>
          </w:tcPr>
          <w:p>
            <w:pPr>
              <w:spacing w:after="0"/>
              <w:rPr>
                <w:sz w:val="24"/>
                <w:szCs w:val="24"/>
                <w:color w:val="auto"/>
              </w:rPr>
            </w:pPr>
          </w:p>
        </w:tc>
        <w:tc>
          <w:tcPr>
            <w:tcW w:w="4600" w:type="dxa"/>
            <w:vAlign w:val="bottom"/>
          </w:tcPr>
          <w:p>
            <w:pPr>
              <w:ind w:left="520"/>
              <w:spacing w:after="0"/>
              <w:rPr>
                <w:sz w:val="20"/>
                <w:szCs w:val="20"/>
                <w:color w:val="auto"/>
              </w:rPr>
            </w:pPr>
            <w:r>
              <w:rPr>
                <w:rFonts w:ascii="Arial" w:cs="Arial" w:eastAsia="Arial" w:hAnsi="Arial"/>
                <w:sz w:val="19"/>
                <w:szCs w:val="19"/>
                <w:b w:val="1"/>
                <w:bCs w:val="1"/>
                <w:color w:val="auto"/>
              </w:rPr>
              <w:t>EARLY RETIREMENT REDUCTION FACTOR</w:t>
            </w:r>
          </w:p>
        </w:tc>
      </w:tr>
      <w:tr>
        <w:trPr>
          <w:trHeight w:val="408"/>
        </w:trPr>
        <w:tc>
          <w:tcPr>
            <w:tcW w:w="1440" w:type="dxa"/>
            <w:vAlign w:val="bottom"/>
          </w:tcPr>
          <w:p>
            <w:pPr>
              <w:spacing w:after="0"/>
              <w:rPr>
                <w:sz w:val="20"/>
                <w:szCs w:val="20"/>
                <w:color w:val="auto"/>
              </w:rPr>
            </w:pPr>
            <w:r>
              <w:rPr>
                <w:rFonts w:ascii="Arial" w:cs="Arial" w:eastAsia="Arial" w:hAnsi="Arial"/>
                <w:sz w:val="19"/>
                <w:szCs w:val="19"/>
                <w:b w:val="1"/>
                <w:bCs w:val="1"/>
                <w:color w:val="auto"/>
              </w:rPr>
              <w:t>Age</w:t>
            </w:r>
          </w:p>
        </w:tc>
        <w:tc>
          <w:tcPr>
            <w:tcW w:w="4600" w:type="dxa"/>
            <w:vAlign w:val="bottom"/>
          </w:tcPr>
          <w:p>
            <w:pPr>
              <w:ind w:left="880"/>
              <w:spacing w:after="0"/>
              <w:rPr>
                <w:sz w:val="20"/>
                <w:szCs w:val="20"/>
                <w:color w:val="auto"/>
              </w:rPr>
            </w:pPr>
            <w:r>
              <w:rPr>
                <w:rFonts w:ascii="Arial" w:cs="Arial" w:eastAsia="Arial" w:hAnsi="Arial"/>
                <w:sz w:val="19"/>
                <w:szCs w:val="19"/>
                <w:b w:val="1"/>
                <w:bCs w:val="1"/>
                <w:color w:val="auto"/>
              </w:rPr>
              <w:t>Early Retirement Factor*</w:t>
            </w:r>
          </w:p>
        </w:tc>
      </w:tr>
      <w:tr>
        <w:trPr>
          <w:trHeight w:val="396"/>
        </w:trPr>
        <w:tc>
          <w:tcPr>
            <w:tcW w:w="1440" w:type="dxa"/>
            <w:vAlign w:val="bottom"/>
          </w:tcPr>
          <w:p>
            <w:pPr>
              <w:spacing w:after="0"/>
              <w:rPr>
                <w:sz w:val="20"/>
                <w:szCs w:val="20"/>
                <w:color w:val="auto"/>
              </w:rPr>
            </w:pPr>
            <w:r>
              <w:rPr>
                <w:rFonts w:ascii="Arial" w:cs="Arial" w:eastAsia="Arial" w:hAnsi="Arial"/>
                <w:sz w:val="19"/>
                <w:szCs w:val="19"/>
                <w:color w:val="auto"/>
              </w:rPr>
              <w:t>62 and later</w:t>
            </w:r>
          </w:p>
        </w:tc>
        <w:tc>
          <w:tcPr>
            <w:tcW w:w="4600" w:type="dxa"/>
            <w:vAlign w:val="bottom"/>
          </w:tcPr>
          <w:p>
            <w:pPr>
              <w:ind w:left="1440"/>
              <w:spacing w:after="0"/>
              <w:rPr>
                <w:sz w:val="20"/>
                <w:szCs w:val="20"/>
                <w:color w:val="auto"/>
              </w:rPr>
            </w:pPr>
            <w:r>
              <w:rPr>
                <w:rFonts w:ascii="Arial" w:cs="Arial" w:eastAsia="Arial" w:hAnsi="Arial"/>
                <w:sz w:val="19"/>
                <w:szCs w:val="19"/>
                <w:color w:val="auto"/>
              </w:rPr>
              <w:t>100%</w:t>
            </w:r>
          </w:p>
        </w:tc>
      </w:tr>
      <w:tr>
        <w:trPr>
          <w:trHeight w:val="408"/>
        </w:trPr>
        <w:tc>
          <w:tcPr>
            <w:tcW w:w="1440" w:type="dxa"/>
            <w:vAlign w:val="bottom"/>
          </w:tcPr>
          <w:p>
            <w:pPr>
              <w:spacing w:after="0"/>
              <w:rPr>
                <w:sz w:val="20"/>
                <w:szCs w:val="20"/>
                <w:color w:val="auto"/>
              </w:rPr>
            </w:pPr>
            <w:r>
              <w:rPr>
                <w:rFonts w:ascii="Arial" w:cs="Arial" w:eastAsia="Arial" w:hAnsi="Arial"/>
                <w:sz w:val="19"/>
                <w:szCs w:val="19"/>
                <w:color w:val="auto"/>
              </w:rPr>
              <w:t>61</w:t>
            </w:r>
          </w:p>
        </w:tc>
        <w:tc>
          <w:tcPr>
            <w:tcW w:w="4600" w:type="dxa"/>
            <w:vAlign w:val="bottom"/>
          </w:tcPr>
          <w:p>
            <w:pPr>
              <w:ind w:left="1440"/>
              <w:spacing w:after="0"/>
              <w:rPr>
                <w:sz w:val="20"/>
                <w:szCs w:val="20"/>
                <w:color w:val="auto"/>
              </w:rPr>
            </w:pPr>
            <w:r>
              <w:rPr>
                <w:rFonts w:ascii="Arial" w:cs="Arial" w:eastAsia="Arial" w:hAnsi="Arial"/>
                <w:sz w:val="19"/>
                <w:szCs w:val="19"/>
                <w:color w:val="auto"/>
              </w:rPr>
              <w:t>97</w:t>
            </w:r>
          </w:p>
        </w:tc>
      </w:tr>
      <w:tr>
        <w:trPr>
          <w:trHeight w:val="396"/>
        </w:trPr>
        <w:tc>
          <w:tcPr>
            <w:tcW w:w="1440" w:type="dxa"/>
            <w:vAlign w:val="bottom"/>
          </w:tcPr>
          <w:p>
            <w:pPr>
              <w:spacing w:after="0"/>
              <w:rPr>
                <w:sz w:val="20"/>
                <w:szCs w:val="20"/>
                <w:color w:val="auto"/>
              </w:rPr>
            </w:pPr>
            <w:r>
              <w:rPr>
                <w:rFonts w:ascii="Arial" w:cs="Arial" w:eastAsia="Arial" w:hAnsi="Arial"/>
                <w:sz w:val="19"/>
                <w:szCs w:val="19"/>
                <w:color w:val="auto"/>
              </w:rPr>
              <w:t>60</w:t>
            </w:r>
          </w:p>
        </w:tc>
        <w:tc>
          <w:tcPr>
            <w:tcW w:w="4600" w:type="dxa"/>
            <w:vAlign w:val="bottom"/>
          </w:tcPr>
          <w:p>
            <w:pPr>
              <w:ind w:left="1440"/>
              <w:spacing w:after="0"/>
              <w:rPr>
                <w:sz w:val="20"/>
                <w:szCs w:val="20"/>
                <w:color w:val="auto"/>
              </w:rPr>
            </w:pPr>
            <w:r>
              <w:rPr>
                <w:rFonts w:ascii="Arial" w:cs="Arial" w:eastAsia="Arial" w:hAnsi="Arial"/>
                <w:sz w:val="19"/>
                <w:szCs w:val="19"/>
                <w:color w:val="auto"/>
              </w:rPr>
              <w:t>94</w:t>
            </w:r>
          </w:p>
        </w:tc>
      </w:tr>
      <w:tr>
        <w:trPr>
          <w:trHeight w:val="396"/>
        </w:trPr>
        <w:tc>
          <w:tcPr>
            <w:tcW w:w="1440" w:type="dxa"/>
            <w:vAlign w:val="bottom"/>
          </w:tcPr>
          <w:p>
            <w:pPr>
              <w:spacing w:after="0"/>
              <w:rPr>
                <w:sz w:val="20"/>
                <w:szCs w:val="20"/>
                <w:color w:val="auto"/>
              </w:rPr>
            </w:pPr>
            <w:r>
              <w:rPr>
                <w:rFonts w:ascii="Arial" w:cs="Arial" w:eastAsia="Arial" w:hAnsi="Arial"/>
                <w:sz w:val="19"/>
                <w:szCs w:val="19"/>
                <w:color w:val="auto"/>
              </w:rPr>
              <w:t>59</w:t>
            </w:r>
          </w:p>
        </w:tc>
        <w:tc>
          <w:tcPr>
            <w:tcW w:w="4600" w:type="dxa"/>
            <w:vAlign w:val="bottom"/>
          </w:tcPr>
          <w:p>
            <w:pPr>
              <w:ind w:left="1440"/>
              <w:spacing w:after="0"/>
              <w:rPr>
                <w:sz w:val="20"/>
                <w:szCs w:val="20"/>
                <w:color w:val="auto"/>
              </w:rPr>
            </w:pPr>
            <w:r>
              <w:rPr>
                <w:rFonts w:ascii="Arial" w:cs="Arial" w:eastAsia="Arial" w:hAnsi="Arial"/>
                <w:sz w:val="19"/>
                <w:szCs w:val="19"/>
                <w:color w:val="auto"/>
              </w:rPr>
              <w:t>90</w:t>
            </w:r>
          </w:p>
        </w:tc>
      </w:tr>
      <w:tr>
        <w:trPr>
          <w:trHeight w:val="408"/>
        </w:trPr>
        <w:tc>
          <w:tcPr>
            <w:tcW w:w="1440" w:type="dxa"/>
            <w:vAlign w:val="bottom"/>
          </w:tcPr>
          <w:p>
            <w:pPr>
              <w:spacing w:after="0"/>
              <w:rPr>
                <w:sz w:val="20"/>
                <w:szCs w:val="20"/>
                <w:color w:val="auto"/>
              </w:rPr>
            </w:pPr>
            <w:r>
              <w:rPr>
                <w:rFonts w:ascii="Arial" w:cs="Arial" w:eastAsia="Arial" w:hAnsi="Arial"/>
                <w:sz w:val="19"/>
                <w:szCs w:val="19"/>
                <w:color w:val="auto"/>
              </w:rPr>
              <w:t>58</w:t>
            </w:r>
          </w:p>
        </w:tc>
        <w:tc>
          <w:tcPr>
            <w:tcW w:w="4600" w:type="dxa"/>
            <w:vAlign w:val="bottom"/>
          </w:tcPr>
          <w:p>
            <w:pPr>
              <w:ind w:left="1440"/>
              <w:spacing w:after="0"/>
              <w:rPr>
                <w:sz w:val="20"/>
                <w:szCs w:val="20"/>
                <w:color w:val="auto"/>
              </w:rPr>
            </w:pPr>
            <w:r>
              <w:rPr>
                <w:rFonts w:ascii="Arial" w:cs="Arial" w:eastAsia="Arial" w:hAnsi="Arial"/>
                <w:sz w:val="19"/>
                <w:szCs w:val="19"/>
                <w:color w:val="auto"/>
              </w:rPr>
              <w:t>86</w:t>
            </w:r>
          </w:p>
        </w:tc>
      </w:tr>
      <w:tr>
        <w:trPr>
          <w:trHeight w:val="396"/>
        </w:trPr>
        <w:tc>
          <w:tcPr>
            <w:tcW w:w="1440" w:type="dxa"/>
            <w:vAlign w:val="bottom"/>
          </w:tcPr>
          <w:p>
            <w:pPr>
              <w:spacing w:after="0"/>
              <w:rPr>
                <w:sz w:val="20"/>
                <w:szCs w:val="20"/>
                <w:color w:val="auto"/>
              </w:rPr>
            </w:pPr>
            <w:r>
              <w:rPr>
                <w:rFonts w:ascii="Arial" w:cs="Arial" w:eastAsia="Arial" w:hAnsi="Arial"/>
                <w:sz w:val="19"/>
                <w:szCs w:val="19"/>
                <w:color w:val="auto"/>
              </w:rPr>
              <w:t>57</w:t>
            </w:r>
          </w:p>
        </w:tc>
        <w:tc>
          <w:tcPr>
            <w:tcW w:w="4600" w:type="dxa"/>
            <w:vAlign w:val="bottom"/>
          </w:tcPr>
          <w:p>
            <w:pPr>
              <w:ind w:left="1440"/>
              <w:spacing w:after="0"/>
              <w:rPr>
                <w:sz w:val="20"/>
                <w:szCs w:val="20"/>
                <w:color w:val="auto"/>
              </w:rPr>
            </w:pPr>
            <w:r>
              <w:rPr>
                <w:rFonts w:ascii="Arial" w:cs="Arial" w:eastAsia="Arial" w:hAnsi="Arial"/>
                <w:sz w:val="19"/>
                <w:szCs w:val="19"/>
                <w:color w:val="auto"/>
              </w:rPr>
              <w:t>82</w:t>
            </w:r>
          </w:p>
        </w:tc>
      </w:tr>
      <w:tr>
        <w:trPr>
          <w:trHeight w:val="396"/>
        </w:trPr>
        <w:tc>
          <w:tcPr>
            <w:tcW w:w="1440" w:type="dxa"/>
            <w:vAlign w:val="bottom"/>
          </w:tcPr>
          <w:p>
            <w:pPr>
              <w:spacing w:after="0"/>
              <w:rPr>
                <w:sz w:val="20"/>
                <w:szCs w:val="20"/>
                <w:color w:val="auto"/>
              </w:rPr>
            </w:pPr>
            <w:r>
              <w:rPr>
                <w:rFonts w:ascii="Arial" w:cs="Arial" w:eastAsia="Arial" w:hAnsi="Arial"/>
                <w:sz w:val="19"/>
                <w:szCs w:val="19"/>
                <w:color w:val="auto"/>
              </w:rPr>
              <w:t>56</w:t>
            </w:r>
          </w:p>
        </w:tc>
        <w:tc>
          <w:tcPr>
            <w:tcW w:w="4600" w:type="dxa"/>
            <w:vAlign w:val="bottom"/>
          </w:tcPr>
          <w:p>
            <w:pPr>
              <w:ind w:left="1440"/>
              <w:spacing w:after="0"/>
              <w:rPr>
                <w:sz w:val="20"/>
                <w:szCs w:val="20"/>
                <w:color w:val="auto"/>
              </w:rPr>
            </w:pPr>
            <w:r>
              <w:rPr>
                <w:rFonts w:ascii="Arial" w:cs="Arial" w:eastAsia="Arial" w:hAnsi="Arial"/>
                <w:sz w:val="19"/>
                <w:szCs w:val="19"/>
                <w:color w:val="auto"/>
              </w:rPr>
              <w:t>78</w:t>
            </w:r>
          </w:p>
        </w:tc>
      </w:tr>
      <w:tr>
        <w:trPr>
          <w:trHeight w:val="408"/>
        </w:trPr>
        <w:tc>
          <w:tcPr>
            <w:tcW w:w="1440" w:type="dxa"/>
            <w:vAlign w:val="bottom"/>
          </w:tcPr>
          <w:p>
            <w:pPr>
              <w:spacing w:after="0"/>
              <w:rPr>
                <w:sz w:val="20"/>
                <w:szCs w:val="20"/>
                <w:color w:val="auto"/>
              </w:rPr>
            </w:pPr>
            <w:r>
              <w:rPr>
                <w:rFonts w:ascii="Arial" w:cs="Arial" w:eastAsia="Arial" w:hAnsi="Arial"/>
                <w:sz w:val="19"/>
                <w:szCs w:val="19"/>
                <w:color w:val="auto"/>
              </w:rPr>
              <w:t>55</w:t>
            </w:r>
          </w:p>
        </w:tc>
        <w:tc>
          <w:tcPr>
            <w:tcW w:w="4600" w:type="dxa"/>
            <w:vAlign w:val="bottom"/>
          </w:tcPr>
          <w:p>
            <w:pPr>
              <w:ind w:left="1440"/>
              <w:spacing w:after="0"/>
              <w:rPr>
                <w:sz w:val="20"/>
                <w:szCs w:val="20"/>
                <w:color w:val="auto"/>
              </w:rPr>
            </w:pPr>
            <w:r>
              <w:rPr>
                <w:rFonts w:ascii="Arial" w:cs="Arial" w:eastAsia="Arial" w:hAnsi="Arial"/>
                <w:sz w:val="19"/>
                <w:szCs w:val="19"/>
                <w:color w:val="auto"/>
              </w:rPr>
              <w:t>74</w:t>
            </w:r>
          </w:p>
        </w:tc>
      </w:tr>
    </w:tbl>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19"/>
          <w:szCs w:val="19"/>
          <w:color w:val="auto"/>
        </w:rPr>
        <w:t>*Reduction factors vary by age and months.</w:t>
      </w:r>
    </w:p>
    <w:p>
      <w:pPr>
        <w:sectPr>
          <w:pgSz w:w="11900" w:h="16838" w:orient="portrait"/>
          <w:cols w:equalWidth="0" w:num="1">
            <w:col w:w="10219"/>
          </w:cols>
          <w:pgMar w:left="240" w:top="499" w:right="1440" w:bottom="1440" w:gutter="0" w:footer="0" w:header="0"/>
        </w:sectPr>
      </w:pPr>
    </w:p>
    <w:bookmarkStart w:id="127" w:name="page128"/>
    <w:bookmarkEnd w:id="127"/>
    <w:p>
      <w:pPr>
        <w:ind w:left="5120"/>
        <w:spacing w:after="0"/>
        <w:rPr>
          <w:sz w:val="20"/>
          <w:szCs w:val="20"/>
          <w:color w:val="auto"/>
        </w:rPr>
      </w:pPr>
      <w:r>
        <w:rPr>
          <w:rFonts w:ascii="Arial" w:cs="Arial" w:eastAsia="Arial" w:hAnsi="Arial"/>
          <w:sz w:val="19"/>
          <w:szCs w:val="19"/>
          <w:b w:val="1"/>
          <w:bCs w:val="1"/>
          <w:color w:val="auto"/>
        </w:rPr>
        <w:t>APPENDIX B</w:t>
      </w:r>
    </w:p>
    <w:p>
      <w:pPr>
        <w:spacing w:after="0" w:line="190" w:lineRule="exact"/>
        <w:rPr>
          <w:sz w:val="20"/>
          <w:szCs w:val="20"/>
          <w:color w:val="auto"/>
        </w:rPr>
      </w:pPr>
    </w:p>
    <w:p>
      <w:pPr>
        <w:ind w:left="4520"/>
        <w:spacing w:after="0"/>
        <w:rPr>
          <w:sz w:val="20"/>
          <w:szCs w:val="20"/>
          <w:color w:val="auto"/>
        </w:rPr>
      </w:pPr>
      <w:r>
        <w:rPr>
          <w:rFonts w:ascii="Arial" w:cs="Arial" w:eastAsia="Arial" w:hAnsi="Arial"/>
          <w:sz w:val="19"/>
          <w:szCs w:val="19"/>
          <w:b w:val="1"/>
          <w:bCs w:val="1"/>
          <w:color w:val="auto"/>
        </w:rPr>
        <w:t>GRANDFATHER BENEFIT</w:t>
      </w:r>
    </w:p>
    <w:p>
      <w:pPr>
        <w:spacing w:after="0" w:line="209" w:lineRule="exact"/>
        <w:rPr>
          <w:sz w:val="20"/>
          <w:szCs w:val="20"/>
          <w:color w:val="auto"/>
        </w:rPr>
      </w:pPr>
    </w:p>
    <w:p>
      <w:pPr>
        <w:spacing w:after="0"/>
        <w:rPr>
          <w:sz w:val="20"/>
          <w:szCs w:val="20"/>
          <w:color w:val="auto"/>
        </w:rPr>
      </w:pPr>
      <w:r>
        <w:rPr>
          <w:rFonts w:ascii="Arial" w:cs="Arial" w:eastAsia="Arial" w:hAnsi="Arial"/>
          <w:sz w:val="19"/>
          <w:szCs w:val="19"/>
          <w:color w:val="auto"/>
        </w:rPr>
        <w:t>Current Participants in the Prior Plans are permanently grandfathered under the Prior Plan provisions if the benefit is greater.</w:t>
      </w:r>
    </w:p>
    <w:p>
      <w:pPr>
        <w:sectPr>
          <w:pgSz w:w="11900" w:h="16838" w:orient="portrait"/>
          <w:cols w:equalWidth="0" w:num="1">
            <w:col w:w="10580"/>
          </w:cols>
          <w:pgMar w:left="240" w:top="499" w:right="1079" w:bottom="1440" w:gutter="0" w:footer="0" w:header="0"/>
        </w:sectPr>
      </w:pPr>
    </w:p>
    <w:bookmarkStart w:id="128" w:name="page129"/>
    <w:bookmarkEnd w:id="128"/>
    <w:p>
      <w:pPr>
        <w:jc w:val="right"/>
        <w:spacing w:after="0"/>
        <w:rPr>
          <w:sz w:val="20"/>
          <w:szCs w:val="20"/>
          <w:color w:val="auto"/>
        </w:rPr>
      </w:pPr>
      <w:r>
        <w:rPr>
          <w:rFonts w:ascii="Arial" w:cs="Arial" w:eastAsia="Arial" w:hAnsi="Arial"/>
          <w:sz w:val="19"/>
          <w:szCs w:val="19"/>
          <w:b w:val="1"/>
          <w:bCs w:val="1"/>
          <w:color w:val="auto"/>
        </w:rPr>
        <w:t>Exhibit 10.25</w:t>
      </w: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AMENDMENT TO THE</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SEMPRA ENERGY DEFERRED COMPENSATION</w:t>
      </w:r>
    </w:p>
    <w:p>
      <w:pPr>
        <w:jc w:val="center"/>
        <w:spacing w:after="0"/>
        <w:rPr>
          <w:sz w:val="20"/>
          <w:szCs w:val="20"/>
          <w:color w:val="auto"/>
        </w:rPr>
      </w:pPr>
      <w:r>
        <w:rPr>
          <w:rFonts w:ascii="Arial" w:cs="Arial" w:eastAsia="Arial" w:hAnsi="Arial"/>
          <w:sz w:val="19"/>
          <w:szCs w:val="19"/>
          <w:b w:val="1"/>
          <w:bCs w:val="1"/>
          <w:color w:val="auto"/>
        </w:rPr>
        <w:t>AND EXCESS SAVINGS PLAN</w:t>
      </w:r>
    </w:p>
    <w:p>
      <w:pPr>
        <w:spacing w:after="0" w:line="174" w:lineRule="exact"/>
        <w:rPr>
          <w:sz w:val="20"/>
          <w:szCs w:val="20"/>
          <w:color w:val="auto"/>
        </w:rPr>
      </w:pPr>
    </w:p>
    <w:p>
      <w:pPr>
        <w:ind w:right="320" w:firstLine="577"/>
        <w:spacing w:after="0" w:line="266" w:lineRule="auto"/>
        <w:rPr>
          <w:sz w:val="20"/>
          <w:szCs w:val="20"/>
          <w:color w:val="auto"/>
        </w:rPr>
      </w:pPr>
      <w:r>
        <w:rPr>
          <w:rFonts w:ascii="Arial" w:cs="Arial" w:eastAsia="Arial" w:hAnsi="Arial"/>
          <w:sz w:val="19"/>
          <w:szCs w:val="19"/>
          <w:color w:val="auto"/>
        </w:rPr>
        <w:t>This Amendment (this “</w:t>
      </w:r>
      <w:r>
        <w:rPr>
          <w:rFonts w:ascii="Arial" w:cs="Arial" w:eastAsia="Arial" w:hAnsi="Arial"/>
          <w:sz w:val="19"/>
          <w:szCs w:val="19"/>
          <w:u w:val="single" w:color="auto"/>
          <w:color w:val="auto"/>
        </w:rPr>
        <w:t>Amendment</w:t>
      </w:r>
      <w:r>
        <w:rPr>
          <w:rFonts w:ascii="Arial" w:cs="Arial" w:eastAsia="Arial" w:hAnsi="Arial"/>
          <w:sz w:val="19"/>
          <w:szCs w:val="19"/>
          <w:color w:val="auto"/>
        </w:rPr>
        <w:t>”) to the Sempra Energy Deferred Compensation and Excess Savings Plan, as amended (the “</w:t>
      </w:r>
      <w:r>
        <w:rPr>
          <w:rFonts w:ascii="Arial" w:cs="Arial" w:eastAsia="Arial" w:hAnsi="Arial"/>
          <w:sz w:val="19"/>
          <w:szCs w:val="19"/>
          <w:u w:val="single" w:color="auto"/>
          <w:color w:val="auto"/>
        </w:rPr>
        <w:t>Plan</w:t>
      </w:r>
      <w:r>
        <w:rPr>
          <w:rFonts w:ascii="Arial" w:cs="Arial" w:eastAsia="Arial" w:hAnsi="Arial"/>
          <w:sz w:val="19"/>
          <w:szCs w:val="19"/>
          <w:color w:val="auto"/>
        </w:rPr>
        <w:t>”), was adopted by Sempra Energy, a California corporation (the “</w:t>
      </w:r>
      <w:r>
        <w:rPr>
          <w:rFonts w:ascii="Arial" w:cs="Arial" w:eastAsia="Arial" w:hAnsi="Arial"/>
          <w:sz w:val="19"/>
          <w:szCs w:val="19"/>
          <w:u w:val="single" w:color="auto"/>
          <w:color w:val="auto"/>
        </w:rPr>
        <w:t>Company</w:t>
      </w:r>
      <w:r>
        <w:rPr>
          <w:rFonts w:ascii="Arial" w:cs="Arial" w:eastAsia="Arial" w:hAnsi="Arial"/>
          <w:sz w:val="19"/>
          <w:szCs w:val="19"/>
          <w:color w:val="auto"/>
        </w:rPr>
        <w:t>”), on December 11, 2008.</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9"/>
          <w:szCs w:val="19"/>
          <w:u w:val="single" w:color="auto"/>
          <w:color w:val="auto"/>
        </w:rPr>
        <w:t>RECITALS</w:t>
      </w:r>
    </w:p>
    <w:p>
      <w:pPr>
        <w:spacing w:after="0" w:line="178" w:lineRule="exact"/>
        <w:rPr>
          <w:sz w:val="20"/>
          <w:szCs w:val="20"/>
          <w:color w:val="auto"/>
        </w:rPr>
      </w:pPr>
    </w:p>
    <w:p>
      <w:pPr>
        <w:ind w:right="200" w:firstLine="573"/>
        <w:spacing w:after="0" w:line="326" w:lineRule="auto"/>
        <w:tabs>
          <w:tab w:leader="none" w:pos="1153" w:val="left"/>
        </w:tabs>
        <w:numPr>
          <w:ilvl w:val="0"/>
          <w:numId w:val="188"/>
        </w:numPr>
        <w:rPr>
          <w:rFonts w:ascii="Arial" w:cs="Arial" w:eastAsia="Arial" w:hAnsi="Arial"/>
          <w:sz w:val="17"/>
          <w:szCs w:val="17"/>
          <w:color w:val="auto"/>
        </w:rPr>
      </w:pPr>
      <w:r>
        <w:rPr>
          <w:rFonts w:ascii="Arial" w:cs="Arial" w:eastAsia="Arial" w:hAnsi="Arial"/>
          <w:sz w:val="17"/>
          <w:szCs w:val="17"/>
          <w:color w:val="auto"/>
        </w:rPr>
        <w:t>The Compensation Committee of the Board of Directors of the Company deemed it advisable to amend the Plan, effective as of the date hereof in order to comply with Section 409A of the Internal Revenue Code of 1986, as amended, and the Treasury Regulations thereunder.</w:t>
      </w:r>
    </w:p>
    <w:p>
      <w:pPr>
        <w:spacing w:after="0" w:line="93" w:lineRule="exact"/>
        <w:rPr>
          <w:rFonts w:ascii="Arial" w:cs="Arial" w:eastAsia="Arial" w:hAnsi="Arial"/>
          <w:sz w:val="17"/>
          <w:szCs w:val="17"/>
          <w:color w:val="auto"/>
        </w:rPr>
      </w:pPr>
    </w:p>
    <w:p>
      <w:pPr>
        <w:ind w:right="440" w:firstLine="573"/>
        <w:spacing w:after="0" w:line="266" w:lineRule="auto"/>
        <w:tabs>
          <w:tab w:leader="none" w:pos="1153" w:val="left"/>
        </w:tabs>
        <w:numPr>
          <w:ilvl w:val="0"/>
          <w:numId w:val="188"/>
        </w:numPr>
        <w:rPr>
          <w:rFonts w:ascii="Arial" w:cs="Arial" w:eastAsia="Arial" w:hAnsi="Arial"/>
          <w:sz w:val="19"/>
          <w:szCs w:val="19"/>
          <w:color w:val="auto"/>
        </w:rPr>
      </w:pPr>
      <w:r>
        <w:rPr>
          <w:rFonts w:ascii="Arial" w:cs="Arial" w:eastAsia="Arial" w:hAnsi="Arial"/>
          <w:sz w:val="19"/>
          <w:szCs w:val="19"/>
          <w:color w:val="auto"/>
        </w:rPr>
        <w:t>Pursuant to Section 9.4 of the Plan, the Compensation Committee of the Board of Directors of the Company has the authority to amend the Plan, subject to certain limitations.</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9"/>
          <w:szCs w:val="19"/>
          <w:u w:val="single" w:color="auto"/>
          <w:color w:val="auto"/>
        </w:rPr>
        <w:t>AMENDMENT</w:t>
      </w:r>
    </w:p>
    <w:p>
      <w:pPr>
        <w:spacing w:after="0" w:line="178" w:lineRule="exact"/>
        <w:rPr>
          <w:sz w:val="20"/>
          <w:szCs w:val="20"/>
          <w:color w:val="auto"/>
        </w:rPr>
      </w:pPr>
    </w:p>
    <w:p>
      <w:pPr>
        <w:ind w:left="580" w:right="2740" w:hanging="7"/>
        <w:spacing w:after="0" w:line="442" w:lineRule="auto"/>
        <w:tabs>
          <w:tab w:leader="none" w:pos="1157" w:val="left"/>
        </w:tabs>
        <w:numPr>
          <w:ilvl w:val="0"/>
          <w:numId w:val="189"/>
        </w:numPr>
        <w:rPr>
          <w:rFonts w:ascii="Arial" w:cs="Arial" w:eastAsia="Arial" w:hAnsi="Arial"/>
          <w:sz w:val="19"/>
          <w:szCs w:val="19"/>
          <w:color w:val="auto"/>
        </w:rPr>
      </w:pPr>
      <w:r>
        <w:rPr>
          <w:rFonts w:ascii="Arial" w:cs="Arial" w:eastAsia="Arial" w:hAnsi="Arial"/>
          <w:sz w:val="19"/>
          <w:szCs w:val="19"/>
          <w:color w:val="auto"/>
        </w:rPr>
        <w:t xml:space="preserve">Effective as of the date hereof, the Plan is hereby amended to add the following new Section 9.19: “9.19. </w:t>
      </w:r>
      <w:r>
        <w:rPr>
          <w:rFonts w:ascii="Arial" w:cs="Arial" w:eastAsia="Arial" w:hAnsi="Arial"/>
          <w:sz w:val="19"/>
          <w:szCs w:val="19"/>
          <w:u w:val="single" w:color="auto"/>
          <w:color w:val="auto"/>
        </w:rPr>
        <w:t>Appendices</w:t>
      </w:r>
      <w:r>
        <w:rPr>
          <w:rFonts w:ascii="Arial" w:cs="Arial" w:eastAsia="Arial" w:hAnsi="Arial"/>
          <w:sz w:val="19"/>
          <w:szCs w:val="19"/>
          <w:color w:val="auto"/>
        </w:rPr>
        <w:t>.</w:t>
      </w:r>
    </w:p>
    <w:p>
      <w:pPr>
        <w:jc w:val="both"/>
        <w:ind w:left="580" w:right="640" w:firstLine="577"/>
        <w:spacing w:after="0" w:line="252" w:lineRule="auto"/>
        <w:rPr>
          <w:sz w:val="20"/>
          <w:szCs w:val="20"/>
          <w:color w:val="auto"/>
        </w:rPr>
      </w:pPr>
      <w:r>
        <w:rPr>
          <w:rFonts w:ascii="Arial" w:cs="Arial" w:eastAsia="Arial" w:hAnsi="Arial"/>
          <w:sz w:val="19"/>
          <w:szCs w:val="19"/>
          <w:color w:val="auto"/>
        </w:rPr>
        <w:t>The Committee may approve such supplements to, or amendments, or appendices to, the Plan as it may consider necessary or appropriate for purposes of compliance with applicable laws or otherwise and such supplements, amendments or appendices shall be considered a part of the Plan.”</w:t>
      </w:r>
    </w:p>
    <w:p>
      <w:pPr>
        <w:spacing w:after="0" w:line="153" w:lineRule="exact"/>
        <w:rPr>
          <w:sz w:val="20"/>
          <w:szCs w:val="20"/>
          <w:color w:val="auto"/>
        </w:rPr>
      </w:pPr>
    </w:p>
    <w:p>
      <w:pPr>
        <w:ind w:left="1140" w:hanging="567"/>
        <w:spacing w:after="0"/>
        <w:tabs>
          <w:tab w:leader="none" w:pos="1140" w:val="left"/>
        </w:tabs>
        <w:numPr>
          <w:ilvl w:val="0"/>
          <w:numId w:val="190"/>
        </w:numPr>
        <w:rPr>
          <w:rFonts w:ascii="Arial" w:cs="Arial" w:eastAsia="Arial" w:hAnsi="Arial"/>
          <w:sz w:val="18"/>
          <w:szCs w:val="18"/>
          <w:color w:val="auto"/>
        </w:rPr>
      </w:pPr>
      <w:r>
        <w:rPr>
          <w:rFonts w:ascii="Arial" w:cs="Arial" w:eastAsia="Arial" w:hAnsi="Arial"/>
          <w:sz w:val="18"/>
          <w:szCs w:val="18"/>
          <w:color w:val="auto"/>
        </w:rPr>
        <w:t xml:space="preserve">Effective as of the date hereof, the Plan is hereby amended to add a new appendix in the form attached hereto as </w:t>
      </w:r>
      <w:r>
        <w:rPr>
          <w:rFonts w:ascii="Arial" w:cs="Arial" w:eastAsia="Arial" w:hAnsi="Arial"/>
          <w:sz w:val="18"/>
          <w:szCs w:val="18"/>
          <w:u w:val="single" w:color="auto"/>
          <w:color w:val="auto"/>
        </w:rPr>
        <w:t>Exhibit A</w:t>
      </w:r>
      <w:r>
        <w:rPr>
          <w:rFonts w:ascii="Arial" w:cs="Arial" w:eastAsia="Arial" w:hAnsi="Arial"/>
          <w:sz w:val="18"/>
          <w:szCs w:val="18"/>
          <w:color w:val="auto"/>
        </w:rPr>
        <w:t>.</w:t>
      </w:r>
    </w:p>
    <w:p>
      <w:pPr>
        <w:spacing w:after="0" w:line="189" w:lineRule="exact"/>
        <w:rPr>
          <w:rFonts w:ascii="Arial" w:cs="Arial" w:eastAsia="Arial" w:hAnsi="Arial"/>
          <w:sz w:val="18"/>
          <w:szCs w:val="18"/>
          <w:color w:val="auto"/>
        </w:rPr>
      </w:pPr>
    </w:p>
    <w:p>
      <w:pPr>
        <w:ind w:left="1140" w:hanging="567"/>
        <w:spacing w:after="0"/>
        <w:tabs>
          <w:tab w:leader="none" w:pos="1140" w:val="left"/>
        </w:tabs>
        <w:numPr>
          <w:ilvl w:val="0"/>
          <w:numId w:val="190"/>
        </w:numPr>
        <w:rPr>
          <w:rFonts w:ascii="Arial" w:cs="Arial" w:eastAsia="Arial" w:hAnsi="Arial"/>
          <w:sz w:val="18"/>
          <w:szCs w:val="18"/>
          <w:color w:val="auto"/>
        </w:rPr>
      </w:pPr>
      <w:r>
        <w:rPr>
          <w:rFonts w:ascii="Arial" w:cs="Arial" w:eastAsia="Arial" w:hAnsi="Arial"/>
          <w:sz w:val="18"/>
          <w:szCs w:val="18"/>
          <w:color w:val="auto"/>
        </w:rPr>
        <w:t>Capitalized terms used in this Amendment without definition shall have the respective meanings ascribed thereto in the Plan.</w:t>
      </w:r>
    </w:p>
    <w:p>
      <w:pPr>
        <w:spacing w:after="0" w:line="189" w:lineRule="exact"/>
        <w:rPr>
          <w:rFonts w:ascii="Arial" w:cs="Arial" w:eastAsia="Arial" w:hAnsi="Arial"/>
          <w:sz w:val="18"/>
          <w:szCs w:val="18"/>
          <w:color w:val="auto"/>
        </w:rPr>
      </w:pPr>
    </w:p>
    <w:p>
      <w:pPr>
        <w:ind w:left="1140" w:hanging="567"/>
        <w:spacing w:after="0"/>
        <w:tabs>
          <w:tab w:leader="none" w:pos="1140" w:val="left"/>
        </w:tabs>
        <w:numPr>
          <w:ilvl w:val="0"/>
          <w:numId w:val="190"/>
        </w:numPr>
        <w:rPr>
          <w:rFonts w:ascii="Arial" w:cs="Arial" w:eastAsia="Arial" w:hAnsi="Arial"/>
          <w:sz w:val="17"/>
          <w:szCs w:val="17"/>
          <w:color w:val="auto"/>
        </w:rPr>
      </w:pPr>
      <w:r>
        <w:rPr>
          <w:rFonts w:ascii="Arial" w:cs="Arial" w:eastAsia="Arial" w:hAnsi="Arial"/>
          <w:sz w:val="17"/>
          <w:szCs w:val="17"/>
          <w:color w:val="auto"/>
        </w:rPr>
        <w:t>Except as otherwise expressly set forth in this Amendment, the Plan shall remain in full force and effect in accordance with its terms.</w:t>
      </w:r>
    </w:p>
    <w:p>
      <w:pPr>
        <w:spacing w:after="0" w:line="213" w:lineRule="exact"/>
        <w:rPr>
          <w:sz w:val="20"/>
          <w:szCs w:val="20"/>
          <w:color w:val="auto"/>
        </w:rPr>
      </w:pPr>
    </w:p>
    <w:p>
      <w:pPr>
        <w:ind w:right="380" w:firstLine="577"/>
        <w:spacing w:after="0" w:line="266" w:lineRule="auto"/>
        <w:rPr>
          <w:sz w:val="20"/>
          <w:szCs w:val="20"/>
          <w:color w:val="auto"/>
        </w:rPr>
      </w:pPr>
      <w:r>
        <w:rPr>
          <w:rFonts w:ascii="Arial" w:cs="Arial" w:eastAsia="Arial" w:hAnsi="Arial"/>
          <w:sz w:val="19"/>
          <w:szCs w:val="19"/>
          <w:color w:val="auto"/>
        </w:rPr>
        <w:t>I hereby certify that this Amendment was duly adopted by the Compensation Committee of the Board of Directors of Sempra Energy on December 11, 2008.</w:t>
      </w:r>
    </w:p>
    <w:p>
      <w:pPr>
        <w:spacing w:after="0" w:line="159" w:lineRule="exact"/>
        <w:rPr>
          <w:sz w:val="20"/>
          <w:szCs w:val="20"/>
          <w:color w:val="auto"/>
        </w:rPr>
      </w:pPr>
    </w:p>
    <w:p>
      <w:pPr>
        <w:ind w:left="580"/>
        <w:spacing w:after="0"/>
        <w:rPr>
          <w:sz w:val="20"/>
          <w:szCs w:val="20"/>
          <w:color w:val="auto"/>
        </w:rPr>
      </w:pPr>
      <w:r>
        <w:rPr>
          <w:rFonts w:ascii="Arial" w:cs="Arial" w:eastAsia="Arial" w:hAnsi="Arial"/>
          <w:sz w:val="19"/>
          <w:szCs w:val="19"/>
          <w:color w:val="auto"/>
        </w:rPr>
        <w:t>Executed this 11</w:t>
      </w:r>
      <w:r>
        <w:rPr>
          <w:rFonts w:ascii="Arial" w:cs="Arial" w:eastAsia="Arial" w:hAnsi="Arial"/>
          <w:sz w:val="32"/>
          <w:szCs w:val="32"/>
          <w:color w:val="auto"/>
          <w:vertAlign w:val="superscript"/>
        </w:rPr>
        <w:t>th</w:t>
      </w:r>
      <w:r>
        <w:rPr>
          <w:rFonts w:ascii="Arial" w:cs="Arial" w:eastAsia="Arial" w:hAnsi="Arial"/>
          <w:sz w:val="19"/>
          <w:szCs w:val="19"/>
          <w:color w:val="auto"/>
        </w:rPr>
        <w:t xml:space="preserve"> day of December, 2008.</w:t>
      </w:r>
    </w:p>
    <w:p>
      <w:pPr>
        <w:spacing w:after="0" w:line="82" w:lineRule="exact"/>
        <w:rPr>
          <w:sz w:val="20"/>
          <w:szCs w:val="20"/>
          <w:color w:val="auto"/>
        </w:rPr>
      </w:pPr>
    </w:p>
    <w:p>
      <w:pPr>
        <w:ind w:left="3460"/>
        <w:spacing w:after="0"/>
        <w:rPr>
          <w:sz w:val="20"/>
          <w:szCs w:val="20"/>
          <w:color w:val="auto"/>
        </w:rPr>
      </w:pPr>
      <w:r>
        <w:rPr>
          <w:rFonts w:ascii="Arial" w:cs="Arial" w:eastAsia="Arial" w:hAnsi="Arial"/>
          <w:sz w:val="19"/>
          <w:szCs w:val="19"/>
          <w:color w:val="auto"/>
        </w:rPr>
        <w:t>SEMPRA ENERGY,</w:t>
      </w:r>
    </w:p>
    <w:p>
      <w:pPr>
        <w:spacing w:after="0" w:line="14" w:lineRule="exact"/>
        <w:rPr>
          <w:sz w:val="20"/>
          <w:szCs w:val="20"/>
          <w:color w:val="auto"/>
        </w:rPr>
      </w:pPr>
    </w:p>
    <w:p>
      <w:pPr>
        <w:ind w:left="3460"/>
        <w:spacing w:after="0"/>
        <w:rPr>
          <w:sz w:val="20"/>
          <w:szCs w:val="20"/>
          <w:color w:val="auto"/>
        </w:rPr>
      </w:pPr>
      <w:r>
        <w:rPr>
          <w:rFonts w:ascii="Arial" w:cs="Arial" w:eastAsia="Arial" w:hAnsi="Arial"/>
          <w:sz w:val="19"/>
          <w:szCs w:val="19"/>
          <w:color w:val="auto"/>
        </w:rPr>
        <w:t>a California corporation</w:t>
      </w:r>
    </w:p>
    <w:p>
      <w:pPr>
        <w:spacing w:after="0" w:line="366" w:lineRule="exact"/>
        <w:rPr>
          <w:sz w:val="20"/>
          <w:szCs w:val="20"/>
          <w:color w:val="auto"/>
        </w:rPr>
      </w:pPr>
    </w:p>
    <w:p>
      <w:pPr>
        <w:ind w:left="3460"/>
        <w:spacing w:after="0"/>
        <w:rPr>
          <w:sz w:val="20"/>
          <w:szCs w:val="20"/>
          <w:color w:val="auto"/>
        </w:rPr>
      </w:pPr>
      <w:r>
        <w:rPr>
          <w:rFonts w:ascii="Arial" w:cs="Arial" w:eastAsia="Arial" w:hAnsi="Arial"/>
          <w:sz w:val="19"/>
          <w:szCs w:val="19"/>
          <w:color w:val="auto"/>
        </w:rPr>
        <w:t>G. Joyce Rowland</w:t>
      </w:r>
    </w:p>
    <w:p>
      <w:pPr>
        <w:spacing w:after="0" w:line="14" w:lineRule="exact"/>
        <w:rPr>
          <w:sz w:val="20"/>
          <w:szCs w:val="20"/>
          <w:color w:val="auto"/>
        </w:rPr>
      </w:pPr>
    </w:p>
    <w:p>
      <w:pPr>
        <w:ind w:left="3460"/>
        <w:spacing w:after="0"/>
        <w:rPr>
          <w:sz w:val="20"/>
          <w:szCs w:val="20"/>
          <w:color w:val="auto"/>
        </w:rPr>
      </w:pPr>
      <w:r>
        <w:rPr>
          <w:rFonts w:ascii="Arial" w:cs="Arial" w:eastAsia="Arial" w:hAnsi="Arial"/>
          <w:sz w:val="19"/>
          <w:szCs w:val="19"/>
          <w:color w:val="auto"/>
        </w:rPr>
        <w:t>Sr. Vice President, Human Resources</w:t>
      </w:r>
    </w:p>
    <w:p>
      <w:pPr>
        <w:sectPr>
          <w:pgSz w:w="11900" w:h="16838" w:orient="portrait"/>
          <w:cols w:equalWidth="0" w:num="1">
            <w:col w:w="11440"/>
          </w:cols>
          <w:pgMar w:left="240" w:top="116" w:right="219" w:bottom="1440" w:gutter="0" w:footer="0" w:header="0"/>
        </w:sectPr>
      </w:pPr>
    </w:p>
    <w:bookmarkStart w:id="129" w:name="page130"/>
    <w:bookmarkEnd w:id="129"/>
    <w:p>
      <w:pPr>
        <w:jc w:val="right"/>
        <w:spacing w:after="0"/>
        <w:rPr>
          <w:sz w:val="20"/>
          <w:szCs w:val="20"/>
          <w:color w:val="auto"/>
        </w:rPr>
      </w:pPr>
      <w:r>
        <w:rPr>
          <w:rFonts w:ascii="Arial" w:cs="Arial" w:eastAsia="Arial" w:hAnsi="Arial"/>
          <w:sz w:val="19"/>
          <w:szCs w:val="19"/>
          <w:u w:val="single" w:color="auto"/>
          <w:color w:val="auto"/>
        </w:rPr>
        <w:t>Exhibit A</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APPENDIX</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TO THE</w:t>
      </w:r>
    </w:p>
    <w:p>
      <w:pPr>
        <w:jc w:val="center"/>
        <w:ind w:right="60"/>
        <w:spacing w:after="0" w:line="237" w:lineRule="auto"/>
        <w:rPr>
          <w:sz w:val="20"/>
          <w:szCs w:val="20"/>
          <w:color w:val="auto"/>
        </w:rPr>
      </w:pPr>
      <w:r>
        <w:rPr>
          <w:rFonts w:ascii="Arial" w:cs="Arial" w:eastAsia="Arial" w:hAnsi="Arial"/>
          <w:sz w:val="19"/>
          <w:szCs w:val="19"/>
          <w:b w:val="1"/>
          <w:bCs w:val="1"/>
          <w:color w:val="auto"/>
        </w:rPr>
        <w:t>SEMPRA ENERGY DEFERRED COMPENSATION</w:t>
      </w:r>
    </w:p>
    <w:p>
      <w:pPr>
        <w:jc w:val="center"/>
        <w:spacing w:after="0"/>
        <w:rPr>
          <w:sz w:val="20"/>
          <w:szCs w:val="20"/>
          <w:color w:val="auto"/>
        </w:rPr>
      </w:pPr>
      <w:r>
        <w:rPr>
          <w:rFonts w:ascii="Arial" w:cs="Arial" w:eastAsia="Arial" w:hAnsi="Arial"/>
          <w:sz w:val="19"/>
          <w:szCs w:val="19"/>
          <w:b w:val="1"/>
          <w:bCs w:val="1"/>
          <w:color w:val="auto"/>
        </w:rPr>
        <w:t>AND EXCESS SAVINGS PLAN</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Internal Revenue Section 409A Compliance</w:t>
      </w:r>
    </w:p>
    <w:p>
      <w:pPr>
        <w:spacing w:after="0" w:line="196" w:lineRule="exact"/>
        <w:rPr>
          <w:sz w:val="20"/>
          <w:szCs w:val="20"/>
          <w:color w:val="auto"/>
        </w:rPr>
      </w:pPr>
    </w:p>
    <w:p>
      <w:pPr>
        <w:ind w:right="160" w:firstLine="577"/>
        <w:spacing w:after="0" w:line="266" w:lineRule="auto"/>
        <w:rPr>
          <w:sz w:val="20"/>
          <w:szCs w:val="20"/>
          <w:color w:val="auto"/>
        </w:rPr>
      </w:pPr>
      <w:r>
        <w:rPr>
          <w:rFonts w:ascii="Arial" w:cs="Arial" w:eastAsia="Arial" w:hAnsi="Arial"/>
          <w:sz w:val="19"/>
          <w:szCs w:val="19"/>
          <w:color w:val="auto"/>
        </w:rPr>
        <w:t>Notwithstanding anything to the contrary contained in the Sempra Energy Deferred Compensation and Excess Savings Plan, the provisions set forth in this Appendix shall apply to all “Section 409A Deferred Compensation” (as defined below).</w:t>
      </w:r>
    </w:p>
    <w:p>
      <w:pPr>
        <w:spacing w:after="0" w:line="140" w:lineRule="exact"/>
        <w:rPr>
          <w:sz w:val="20"/>
          <w:szCs w:val="20"/>
          <w:color w:val="auto"/>
        </w:rPr>
      </w:pPr>
    </w:p>
    <w:p>
      <w:pPr>
        <w:ind w:right="140" w:firstLine="577"/>
        <w:spacing w:after="0" w:line="285" w:lineRule="auto"/>
        <w:rPr>
          <w:sz w:val="20"/>
          <w:szCs w:val="20"/>
          <w:color w:val="auto"/>
        </w:rPr>
      </w:pPr>
      <w:r>
        <w:rPr>
          <w:rFonts w:ascii="Arial" w:cs="Arial" w:eastAsia="Arial" w:hAnsi="Arial"/>
          <w:sz w:val="17"/>
          <w:szCs w:val="17"/>
          <w:color w:val="auto"/>
        </w:rPr>
        <w:t>The purpose of this Appendix is to set forth provisions necessary to comply with Section 409A of the Internal Revenue Code of 1986, as amended. If any of the provisions contained in this Appendix are inconsistent with such requirements, such provisions shall be deemed null and void. The invalidity of any provision of this Appendix shall not affect the validity or enforceability of any other provision of this Appendix, which shall remain in full force and effect. This Appendix, together with the Plan, as amended from time to time, shall constitute the Plan in its entirety.</w:t>
      </w:r>
    </w:p>
    <w:p>
      <w:pPr>
        <w:spacing w:after="0" w:line="129" w:lineRule="exact"/>
        <w:rPr>
          <w:sz w:val="20"/>
          <w:szCs w:val="20"/>
          <w:color w:val="auto"/>
        </w:rPr>
      </w:pPr>
    </w:p>
    <w:p>
      <w:pPr>
        <w:jc w:val="center"/>
        <w:ind w:right="2000"/>
        <w:spacing w:after="0"/>
        <w:rPr>
          <w:sz w:val="20"/>
          <w:szCs w:val="20"/>
          <w:color w:val="auto"/>
        </w:rPr>
      </w:pPr>
      <w:r>
        <w:rPr>
          <w:rFonts w:ascii="Arial" w:cs="Arial" w:eastAsia="Arial" w:hAnsi="Arial"/>
          <w:sz w:val="19"/>
          <w:szCs w:val="19"/>
          <w:color w:val="auto"/>
        </w:rPr>
        <w:t>References to Articles and Sections set forth in this Appendix are to those Articles and Sections of the Plan.</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ARTICLE I.</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DEFINITIONS</w:t>
      </w:r>
    </w:p>
    <w:p>
      <w:pPr>
        <w:spacing w:after="0" w:line="178" w:lineRule="exact"/>
        <w:rPr>
          <w:sz w:val="20"/>
          <w:szCs w:val="20"/>
          <w:color w:val="auto"/>
        </w:rPr>
      </w:pPr>
    </w:p>
    <w:p>
      <w:pPr>
        <w:spacing w:after="0"/>
        <w:tabs>
          <w:tab w:leader="none" w:pos="560" w:val="left"/>
        </w:tabs>
        <w:rPr>
          <w:sz w:val="20"/>
          <w:szCs w:val="20"/>
          <w:color w:val="auto"/>
        </w:rPr>
      </w:pPr>
      <w:r>
        <w:rPr>
          <w:rFonts w:ascii="Arial" w:cs="Arial" w:eastAsia="Arial" w:hAnsi="Arial"/>
          <w:sz w:val="19"/>
          <w:szCs w:val="19"/>
          <w:color w:val="auto"/>
        </w:rPr>
        <w:t>1.1</w:t>
      </w:r>
      <w:r>
        <w:rPr>
          <w:sz w:val="20"/>
          <w:szCs w:val="20"/>
          <w:color w:val="auto"/>
        </w:rPr>
        <w:tab/>
      </w:r>
      <w:r>
        <w:rPr>
          <w:rFonts w:ascii="Arial" w:cs="Arial" w:eastAsia="Arial" w:hAnsi="Arial"/>
          <w:sz w:val="17"/>
          <w:szCs w:val="17"/>
          <w:b w:val="1"/>
          <w:bCs w:val="1"/>
          <w:color w:val="auto"/>
        </w:rPr>
        <w:t>Definitions</w:t>
      </w:r>
      <w:r>
        <w:rPr>
          <w:rFonts w:ascii="Arial" w:cs="Arial" w:eastAsia="Arial" w:hAnsi="Arial"/>
          <w:sz w:val="17"/>
          <w:szCs w:val="17"/>
          <w:color w:val="auto"/>
        </w:rPr>
        <w:t>.</w:t>
      </w:r>
    </w:p>
    <w:p>
      <w:pPr>
        <w:spacing w:after="0" w:line="196" w:lineRule="exact"/>
        <w:rPr>
          <w:sz w:val="20"/>
          <w:szCs w:val="20"/>
          <w:color w:val="auto"/>
        </w:rPr>
      </w:pPr>
    </w:p>
    <w:p>
      <w:pPr>
        <w:ind w:right="60" w:firstLine="577"/>
        <w:spacing w:after="0" w:line="266" w:lineRule="auto"/>
        <w:rPr>
          <w:sz w:val="20"/>
          <w:szCs w:val="20"/>
          <w:color w:val="auto"/>
        </w:rPr>
      </w:pPr>
      <w:r>
        <w:rPr>
          <w:rFonts w:ascii="Arial" w:cs="Arial" w:eastAsia="Arial" w:hAnsi="Arial"/>
          <w:sz w:val="19"/>
          <w:szCs w:val="19"/>
          <w:color w:val="auto"/>
        </w:rPr>
        <w:t>Whenever the following words and phrases are used in this Appendix, with the first letter capitalized, they shall have the meanings specified below or, if not defined herein, the Plan.</w:t>
      </w:r>
    </w:p>
    <w:p>
      <w:pPr>
        <w:spacing w:after="0" w:line="134" w:lineRule="exact"/>
        <w:rPr>
          <w:sz w:val="20"/>
          <w:szCs w:val="20"/>
          <w:color w:val="auto"/>
        </w:rPr>
      </w:pPr>
    </w:p>
    <w:p>
      <w:pPr>
        <w:ind w:left="1140" w:hanging="567"/>
        <w:spacing w:after="0"/>
        <w:tabs>
          <w:tab w:leader="none" w:pos="1140" w:val="left"/>
        </w:tabs>
        <w:numPr>
          <w:ilvl w:val="0"/>
          <w:numId w:val="191"/>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Excess Moody’s Earnings</w:t>
      </w:r>
      <w:r>
        <w:rPr>
          <w:rFonts w:ascii="Arial" w:cs="Arial" w:eastAsia="Arial" w:hAnsi="Arial"/>
          <w:sz w:val="19"/>
          <w:szCs w:val="19"/>
          <w:color w:val="auto"/>
        </w:rPr>
        <w:t>” shall mean an amount equal to:</w:t>
      </w:r>
    </w:p>
    <w:p>
      <w:pPr>
        <w:spacing w:after="0" w:line="183" w:lineRule="exact"/>
        <w:rPr>
          <w:rFonts w:ascii="Arial" w:cs="Arial" w:eastAsia="Arial" w:hAnsi="Arial"/>
          <w:sz w:val="19"/>
          <w:szCs w:val="19"/>
          <w:color w:val="auto"/>
        </w:rPr>
      </w:pPr>
    </w:p>
    <w:p>
      <w:pPr>
        <w:jc w:val="both"/>
        <w:ind w:right="180" w:firstLine="1149"/>
        <w:spacing w:after="0" w:line="247" w:lineRule="auto"/>
        <w:tabs>
          <w:tab w:leader="none" w:pos="1730" w:val="left"/>
        </w:tabs>
        <w:numPr>
          <w:ilvl w:val="1"/>
          <w:numId w:val="191"/>
        </w:numPr>
        <w:rPr>
          <w:rFonts w:ascii="Arial" w:cs="Arial" w:eastAsia="Arial" w:hAnsi="Arial"/>
          <w:sz w:val="19"/>
          <w:szCs w:val="19"/>
          <w:color w:val="auto"/>
        </w:rPr>
      </w:pPr>
      <w:r>
        <w:rPr>
          <w:rFonts w:ascii="Arial" w:cs="Arial" w:eastAsia="Arial" w:hAnsi="Arial"/>
          <w:sz w:val="19"/>
          <w:szCs w:val="19"/>
          <w:color w:val="auto"/>
        </w:rPr>
        <w:t xml:space="preserve">the hypothetical earnings credited to a Participant’s Deferral Account on or after January 1, 2009 pursuant to Section 5.1(b) using a hypothetical rate of investment return equal to the Moody’s Plus Rate, </w:t>
      </w:r>
      <w:r>
        <w:rPr>
          <w:rFonts w:ascii="Arial" w:cs="Arial" w:eastAsia="Arial" w:hAnsi="Arial"/>
          <w:sz w:val="19"/>
          <w:szCs w:val="19"/>
          <w:i w:val="1"/>
          <w:iCs w:val="1"/>
          <w:color w:val="auto"/>
        </w:rPr>
        <w:t>less</w:t>
      </w:r>
      <w:r>
        <w:rPr>
          <w:rFonts w:ascii="Arial" w:cs="Arial" w:eastAsia="Arial" w:hAnsi="Arial"/>
          <w:sz w:val="19"/>
          <w:szCs w:val="19"/>
          <w:color w:val="auto"/>
        </w:rPr>
        <w:t xml:space="preserve"> the hypothetical earnings that would have been credited to such Participant’s Deferral Account on or after January 1, 2009 pursuant to Section 5.1(b) using a hypothetical rate of investment return equal to the Moody’s Rate in lieu of the Moody’s Plus Rate (the “</w:t>
      </w:r>
      <w:r>
        <w:rPr>
          <w:rFonts w:ascii="Arial" w:cs="Arial" w:eastAsia="Arial" w:hAnsi="Arial"/>
          <w:sz w:val="19"/>
          <w:szCs w:val="19"/>
          <w:b w:val="1"/>
          <w:bCs w:val="1"/>
          <w:color w:val="auto"/>
        </w:rPr>
        <w:t>Original Excess Moody’s Earnings</w:t>
      </w:r>
      <w:r>
        <w:rPr>
          <w:rFonts w:ascii="Arial" w:cs="Arial" w:eastAsia="Arial" w:hAnsi="Arial"/>
          <w:sz w:val="19"/>
          <w:szCs w:val="19"/>
          <w:color w:val="auto"/>
        </w:rPr>
        <w:t xml:space="preserve">”); </w:t>
      </w:r>
      <w:r>
        <w:rPr>
          <w:rFonts w:ascii="Arial" w:cs="Arial" w:eastAsia="Arial" w:hAnsi="Arial"/>
          <w:sz w:val="19"/>
          <w:szCs w:val="19"/>
          <w:i w:val="1"/>
          <w:iCs w:val="1"/>
          <w:color w:val="auto"/>
        </w:rPr>
        <w:t>plus</w:t>
      </w:r>
    </w:p>
    <w:p>
      <w:pPr>
        <w:spacing w:after="0" w:line="145" w:lineRule="exact"/>
        <w:rPr>
          <w:rFonts w:ascii="Arial" w:cs="Arial" w:eastAsia="Arial" w:hAnsi="Arial"/>
          <w:sz w:val="19"/>
          <w:szCs w:val="19"/>
          <w:color w:val="auto"/>
        </w:rPr>
      </w:pPr>
    </w:p>
    <w:p>
      <w:pPr>
        <w:ind w:right="380" w:firstLine="1149"/>
        <w:spacing w:after="0" w:line="295" w:lineRule="auto"/>
        <w:tabs>
          <w:tab w:leader="none" w:pos="1730" w:val="left"/>
        </w:tabs>
        <w:numPr>
          <w:ilvl w:val="1"/>
          <w:numId w:val="191"/>
        </w:numPr>
        <w:rPr>
          <w:rFonts w:ascii="Arial" w:cs="Arial" w:eastAsia="Arial" w:hAnsi="Arial"/>
          <w:sz w:val="18"/>
          <w:szCs w:val="18"/>
          <w:color w:val="auto"/>
        </w:rPr>
      </w:pPr>
      <w:r>
        <w:rPr>
          <w:rFonts w:ascii="Arial" w:cs="Arial" w:eastAsia="Arial" w:hAnsi="Arial"/>
          <w:sz w:val="18"/>
          <w:szCs w:val="18"/>
          <w:color w:val="auto"/>
        </w:rPr>
        <w:t>all hypothetical earnings credited or debited to a Participant’s Deferral Account, 401(k) Excess Account and/or Company Matching Account on or after January 1, 2009 pursuant to Section 5.1(b) with respect to the Original Excess Moody’s Earnings.</w:t>
      </w:r>
    </w:p>
    <w:p>
      <w:pPr>
        <w:spacing w:after="0" w:line="109" w:lineRule="exact"/>
        <w:rPr>
          <w:rFonts w:ascii="Arial" w:cs="Arial" w:eastAsia="Arial" w:hAnsi="Arial"/>
          <w:sz w:val="18"/>
          <w:szCs w:val="18"/>
          <w:color w:val="auto"/>
        </w:rPr>
      </w:pPr>
    </w:p>
    <w:p>
      <w:pPr>
        <w:ind w:left="1140" w:hanging="567"/>
        <w:spacing w:after="0"/>
        <w:tabs>
          <w:tab w:leader="none" w:pos="1140" w:val="left"/>
        </w:tabs>
        <w:numPr>
          <w:ilvl w:val="0"/>
          <w:numId w:val="191"/>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Excess Prior Rate Earnings</w:t>
      </w:r>
      <w:r>
        <w:rPr>
          <w:rFonts w:ascii="Arial" w:cs="Arial" w:eastAsia="Arial" w:hAnsi="Arial"/>
          <w:sz w:val="19"/>
          <w:szCs w:val="19"/>
          <w:color w:val="auto"/>
        </w:rPr>
        <w:t>” shall mean an amount equal to:</w:t>
      </w:r>
    </w:p>
    <w:p>
      <w:pPr>
        <w:spacing w:after="0" w:line="183" w:lineRule="exact"/>
        <w:rPr>
          <w:rFonts w:ascii="Arial" w:cs="Arial" w:eastAsia="Arial" w:hAnsi="Arial"/>
          <w:sz w:val="19"/>
          <w:szCs w:val="19"/>
          <w:color w:val="auto"/>
        </w:rPr>
      </w:pPr>
    </w:p>
    <w:p>
      <w:pPr>
        <w:ind w:left="1720" w:hanging="571"/>
        <w:spacing w:after="0"/>
        <w:tabs>
          <w:tab w:leader="none" w:pos="1720" w:val="left"/>
        </w:tabs>
        <w:numPr>
          <w:ilvl w:val="1"/>
          <w:numId w:val="191"/>
        </w:numPr>
        <w:rPr>
          <w:rFonts w:ascii="Arial" w:cs="Arial" w:eastAsia="Arial" w:hAnsi="Arial"/>
          <w:sz w:val="18"/>
          <w:szCs w:val="18"/>
          <w:color w:val="auto"/>
        </w:rPr>
      </w:pPr>
      <w:r>
        <w:rPr>
          <w:rFonts w:ascii="Arial" w:cs="Arial" w:eastAsia="Arial" w:hAnsi="Arial"/>
          <w:sz w:val="18"/>
          <w:szCs w:val="18"/>
          <w:color w:val="auto"/>
        </w:rPr>
        <w:t>the hypothetical earnings credited to a Participant’s Transferred Account on or after January 1, 2009 pursuant to Section</w:t>
      </w:r>
    </w:p>
    <w:p>
      <w:pPr>
        <w:spacing w:after="0" w:line="25" w:lineRule="exact"/>
        <w:rPr>
          <w:sz w:val="20"/>
          <w:szCs w:val="20"/>
          <w:color w:val="auto"/>
        </w:rPr>
      </w:pPr>
    </w:p>
    <w:p>
      <w:pPr>
        <w:ind w:right="200"/>
        <w:spacing w:after="0" w:line="243" w:lineRule="auto"/>
        <w:rPr>
          <w:sz w:val="20"/>
          <w:szCs w:val="20"/>
          <w:color w:val="auto"/>
        </w:rPr>
      </w:pPr>
      <w:r>
        <w:rPr>
          <w:rFonts w:ascii="Arial" w:cs="Arial" w:eastAsia="Arial" w:hAnsi="Arial"/>
          <w:sz w:val="19"/>
          <w:szCs w:val="19"/>
          <w:color w:val="auto"/>
        </w:rPr>
        <w:t xml:space="preserve">5.1(b) using a hypothetical rate of investment return equal to the Prior Rate, </w:t>
      </w:r>
      <w:r>
        <w:rPr>
          <w:rFonts w:ascii="Arial" w:cs="Arial" w:eastAsia="Arial" w:hAnsi="Arial"/>
          <w:sz w:val="19"/>
          <w:szCs w:val="19"/>
          <w:i w:val="1"/>
          <w:iCs w:val="1"/>
          <w:color w:val="auto"/>
        </w:rPr>
        <w:t>less</w:t>
      </w:r>
      <w:r>
        <w:rPr>
          <w:rFonts w:ascii="Arial" w:cs="Arial" w:eastAsia="Arial" w:hAnsi="Arial"/>
          <w:sz w:val="19"/>
          <w:szCs w:val="19"/>
          <w:color w:val="auto"/>
        </w:rPr>
        <w:t xml:space="preserve"> the hypothetical earnings that would have been credited to such Participant’s Transferred Account on or after January 1, 2009 pursuant to Section 5.1(b) using a hypothetical rate of investment return equal to the Moody’s Rate in lieu of the Prior Rate (the “</w:t>
      </w:r>
      <w:r>
        <w:rPr>
          <w:rFonts w:ascii="Arial" w:cs="Arial" w:eastAsia="Arial" w:hAnsi="Arial"/>
          <w:sz w:val="19"/>
          <w:szCs w:val="19"/>
          <w:b w:val="1"/>
          <w:bCs w:val="1"/>
          <w:color w:val="auto"/>
        </w:rPr>
        <w:t>Original Excess Prior Rate Earnings</w:t>
      </w:r>
      <w:r>
        <w:rPr>
          <w:rFonts w:ascii="Arial" w:cs="Arial" w:eastAsia="Arial" w:hAnsi="Arial"/>
          <w:sz w:val="19"/>
          <w:szCs w:val="19"/>
          <w:color w:val="auto"/>
        </w:rPr>
        <w:t xml:space="preserve">”); </w:t>
      </w:r>
      <w:r>
        <w:rPr>
          <w:rFonts w:ascii="Arial" w:cs="Arial" w:eastAsia="Arial" w:hAnsi="Arial"/>
          <w:sz w:val="19"/>
          <w:szCs w:val="19"/>
          <w:i w:val="1"/>
          <w:iCs w:val="1"/>
          <w:color w:val="auto"/>
        </w:rPr>
        <w:t>plus</w:t>
      </w:r>
    </w:p>
    <w:p>
      <w:pPr>
        <w:spacing w:after="0" w:line="149" w:lineRule="exact"/>
        <w:rPr>
          <w:sz w:val="20"/>
          <w:szCs w:val="20"/>
          <w:color w:val="auto"/>
        </w:rPr>
      </w:pPr>
    </w:p>
    <w:p>
      <w:pPr>
        <w:jc w:val="both"/>
        <w:ind w:right="100" w:firstLine="1149"/>
        <w:spacing w:after="0" w:line="326" w:lineRule="auto"/>
        <w:tabs>
          <w:tab w:leader="none" w:pos="1730" w:val="left"/>
        </w:tabs>
        <w:numPr>
          <w:ilvl w:val="1"/>
          <w:numId w:val="192"/>
        </w:numPr>
        <w:rPr>
          <w:rFonts w:ascii="Arial" w:cs="Arial" w:eastAsia="Arial" w:hAnsi="Arial"/>
          <w:sz w:val="17"/>
          <w:szCs w:val="17"/>
          <w:color w:val="auto"/>
        </w:rPr>
      </w:pPr>
      <w:r>
        <w:rPr>
          <w:rFonts w:ascii="Arial" w:cs="Arial" w:eastAsia="Arial" w:hAnsi="Arial"/>
          <w:sz w:val="17"/>
          <w:szCs w:val="17"/>
          <w:color w:val="auto"/>
        </w:rPr>
        <w:t>all hypothetical earnings credited or debited to a Participant’s Deferral Account, 401(k) Excess Account, Company Matching Account and/or Transferred Account on or after January 1, 2009 pursuant to Section 5.1(b) with respect to the Original Excess Prior Rate Earnings.</w:t>
      </w:r>
    </w:p>
    <w:p>
      <w:pPr>
        <w:spacing w:after="0" w:line="87" w:lineRule="exact"/>
        <w:rPr>
          <w:rFonts w:ascii="Arial" w:cs="Arial" w:eastAsia="Arial" w:hAnsi="Arial"/>
          <w:sz w:val="17"/>
          <w:szCs w:val="17"/>
          <w:color w:val="auto"/>
        </w:rPr>
      </w:pPr>
    </w:p>
    <w:p>
      <w:pPr>
        <w:ind w:right="700" w:firstLine="573"/>
        <w:spacing w:after="0" w:line="273" w:lineRule="auto"/>
        <w:tabs>
          <w:tab w:leader="none" w:pos="1153" w:val="left"/>
        </w:tabs>
        <w:numPr>
          <w:ilvl w:val="0"/>
          <w:numId w:val="193"/>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Moody’s Rate</w:t>
      </w:r>
      <w:r>
        <w:rPr>
          <w:rFonts w:ascii="Arial" w:cs="Arial" w:eastAsia="Arial" w:hAnsi="Arial"/>
          <w:sz w:val="19"/>
          <w:szCs w:val="19"/>
          <w:color w:val="auto"/>
        </w:rPr>
        <w:t>”, for any given calendar year, shall mean the average of the daily Moody’s Corporate Bond Yield Average – Monthly Average Corporates for the month of June in the preceding year.</w:t>
      </w:r>
    </w:p>
    <w:p>
      <w:pPr>
        <w:spacing w:after="0" w:line="115" w:lineRule="exact"/>
        <w:rPr>
          <w:rFonts w:ascii="Arial" w:cs="Arial" w:eastAsia="Arial" w:hAnsi="Arial"/>
          <w:sz w:val="19"/>
          <w:szCs w:val="19"/>
          <w:color w:val="auto"/>
        </w:rPr>
      </w:pPr>
    </w:p>
    <w:p>
      <w:pPr>
        <w:ind w:left="1140" w:hanging="567"/>
        <w:spacing w:after="0"/>
        <w:tabs>
          <w:tab w:leader="none" w:pos="1140" w:val="left"/>
        </w:tabs>
        <w:numPr>
          <w:ilvl w:val="0"/>
          <w:numId w:val="19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Section 409A Deferred Compensation</w:t>
      </w:r>
      <w:r>
        <w:rPr>
          <w:rFonts w:ascii="Arial" w:cs="Arial" w:eastAsia="Arial" w:hAnsi="Arial"/>
          <w:sz w:val="18"/>
          <w:szCs w:val="18"/>
          <w:color w:val="auto"/>
        </w:rPr>
        <w:t>” shall mean a Participant’s Excess Moody’s Earnings and Excess Prior Rate Earnings.</w:t>
      </w:r>
    </w:p>
    <w:p>
      <w:pPr>
        <w:spacing w:after="0" w:line="189" w:lineRule="exact"/>
        <w:rPr>
          <w:rFonts w:ascii="Arial" w:cs="Arial" w:eastAsia="Arial" w:hAnsi="Arial"/>
          <w:sz w:val="18"/>
          <w:szCs w:val="18"/>
          <w:color w:val="auto"/>
        </w:rPr>
      </w:pPr>
    </w:p>
    <w:p>
      <w:pPr>
        <w:ind w:firstLine="573"/>
        <w:spacing w:after="0" w:line="255" w:lineRule="auto"/>
        <w:tabs>
          <w:tab w:leader="none" w:pos="1153" w:val="left"/>
        </w:tabs>
        <w:numPr>
          <w:ilvl w:val="0"/>
          <w:numId w:val="193"/>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Section 409A Deferred Compensation Payment Date</w:t>
      </w:r>
      <w:r>
        <w:rPr>
          <w:rFonts w:ascii="Arial" w:cs="Arial" w:eastAsia="Arial" w:hAnsi="Arial"/>
          <w:sz w:val="19"/>
          <w:szCs w:val="19"/>
          <w:color w:val="auto"/>
        </w:rPr>
        <w:t>” shall mean the date chosen by the Company, in its discretion, during the 30 day period commencing with the first day of the first calendar month that begins at least 30 days after the date of Participant’s Separation from Service.</w:t>
      </w:r>
    </w:p>
    <w:p>
      <w:pPr>
        <w:spacing w:after="0" w:line="144" w:lineRule="exact"/>
        <w:rPr>
          <w:rFonts w:ascii="Arial" w:cs="Arial" w:eastAsia="Arial" w:hAnsi="Arial"/>
          <w:sz w:val="19"/>
          <w:szCs w:val="19"/>
          <w:color w:val="auto"/>
        </w:rPr>
      </w:pPr>
    </w:p>
    <w:p>
      <w:pPr>
        <w:ind w:right="80" w:firstLine="573"/>
        <w:spacing w:after="0" w:line="273" w:lineRule="auto"/>
        <w:tabs>
          <w:tab w:leader="none" w:pos="1153" w:val="left"/>
        </w:tabs>
        <w:numPr>
          <w:ilvl w:val="0"/>
          <w:numId w:val="193"/>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Separation from Service</w:t>
      </w:r>
      <w:r>
        <w:rPr>
          <w:rFonts w:ascii="Arial" w:cs="Arial" w:eastAsia="Arial" w:hAnsi="Arial"/>
          <w:sz w:val="19"/>
          <w:szCs w:val="19"/>
          <w:color w:val="auto"/>
        </w:rPr>
        <w:t>” shall mean a Participant’s “separation from service,” as defined in Treasury Regulation Section 1.409A-1(h), with respect to the Service Recipient.</w:t>
      </w:r>
    </w:p>
    <w:p>
      <w:pPr>
        <w:spacing w:after="0" w:line="115" w:lineRule="exact"/>
        <w:rPr>
          <w:rFonts w:ascii="Arial" w:cs="Arial" w:eastAsia="Arial" w:hAnsi="Arial"/>
          <w:sz w:val="19"/>
          <w:szCs w:val="19"/>
          <w:color w:val="auto"/>
        </w:rPr>
      </w:pPr>
    </w:p>
    <w:p>
      <w:pPr>
        <w:ind w:right="100" w:firstLine="573"/>
        <w:spacing w:after="0" w:line="273" w:lineRule="auto"/>
        <w:tabs>
          <w:tab w:leader="none" w:pos="1153" w:val="left"/>
        </w:tabs>
        <w:numPr>
          <w:ilvl w:val="0"/>
          <w:numId w:val="193"/>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Service Provider</w:t>
      </w:r>
      <w:r>
        <w:rPr>
          <w:rFonts w:ascii="Arial" w:cs="Arial" w:eastAsia="Arial" w:hAnsi="Arial"/>
          <w:sz w:val="19"/>
          <w:szCs w:val="19"/>
          <w:color w:val="auto"/>
        </w:rPr>
        <w:t>” shall mean a Participant or any other “service provider,” as defined in Treasury Regulation Section 1.409A-1(f), with respect to the Service Recipient.</w:t>
      </w:r>
    </w:p>
    <w:p>
      <w:pPr>
        <w:spacing w:after="0" w:line="115" w:lineRule="exact"/>
        <w:rPr>
          <w:rFonts w:ascii="Arial" w:cs="Arial" w:eastAsia="Arial" w:hAnsi="Arial"/>
          <w:sz w:val="19"/>
          <w:szCs w:val="19"/>
          <w:color w:val="auto"/>
        </w:rPr>
      </w:pPr>
    </w:p>
    <w:p>
      <w:pPr>
        <w:ind w:right="60" w:firstLine="573"/>
        <w:spacing w:after="0" w:line="282" w:lineRule="auto"/>
        <w:tabs>
          <w:tab w:leader="none" w:pos="1153" w:val="left"/>
        </w:tabs>
        <w:numPr>
          <w:ilvl w:val="0"/>
          <w:numId w:val="193"/>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Service Recipient</w:t>
      </w:r>
      <w:r>
        <w:rPr>
          <w:rFonts w:ascii="Arial" w:cs="Arial" w:eastAsia="Arial" w:hAnsi="Arial"/>
          <w:sz w:val="17"/>
          <w:szCs w:val="17"/>
          <w:color w:val="auto"/>
        </w:rPr>
        <w:t>”, with respect to a Participant, shall mean Sempra Energy (if the Participant is employed by Sempra Energy or is a Director), or the subsidiary of Sempra Energy employing the Participant, whichever is applicable, and all persons considered part of the “service recipient,” as defined in Treasury Regulation Section 1.409A-1(g), as determined from time to time. As provided in Treasury Regulation Section 1.409A-1(g), the “</w:t>
      </w:r>
      <w:r>
        <w:rPr>
          <w:rFonts w:ascii="Arial" w:cs="Arial" w:eastAsia="Arial" w:hAnsi="Arial"/>
          <w:sz w:val="17"/>
          <w:szCs w:val="17"/>
          <w:b w:val="1"/>
          <w:bCs w:val="1"/>
          <w:color w:val="auto"/>
        </w:rPr>
        <w:t>Service Recipient</w:t>
      </w:r>
      <w:r>
        <w:rPr>
          <w:rFonts w:ascii="Arial" w:cs="Arial" w:eastAsia="Arial" w:hAnsi="Arial"/>
          <w:sz w:val="17"/>
          <w:szCs w:val="17"/>
          <w:color w:val="auto"/>
        </w:rPr>
        <w:t>” shall mean the person for whom the services are performed and with respect to whom the legally binding right to compensation arises, and all persons with whom such person would be considered a single employer under Code Section 414(b) or 414(c).</w:t>
      </w:r>
    </w:p>
    <w:p>
      <w:pPr>
        <w:spacing w:after="0" w:line="124" w:lineRule="exact"/>
        <w:rPr>
          <w:rFonts w:ascii="Arial" w:cs="Arial" w:eastAsia="Arial" w:hAnsi="Arial"/>
          <w:sz w:val="17"/>
          <w:szCs w:val="17"/>
          <w:color w:val="auto"/>
        </w:rPr>
      </w:pPr>
    </w:p>
    <w:p>
      <w:pPr>
        <w:jc w:val="both"/>
        <w:ind w:right="360" w:firstLine="573"/>
        <w:spacing w:after="0" w:line="274" w:lineRule="auto"/>
        <w:tabs>
          <w:tab w:leader="none" w:pos="1153" w:val="left"/>
        </w:tabs>
        <w:numPr>
          <w:ilvl w:val="0"/>
          <w:numId w:val="193"/>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Specified Employee</w:t>
      </w:r>
      <w:r>
        <w:rPr>
          <w:rFonts w:ascii="Arial" w:cs="Arial" w:eastAsia="Arial" w:hAnsi="Arial"/>
          <w:sz w:val="17"/>
          <w:szCs w:val="17"/>
          <w:color w:val="auto"/>
        </w:rPr>
        <w:t>” means a Service Provider who, as of the date of the Service Provider’s Separation from Service is a “</w:t>
      </w:r>
      <w:r>
        <w:rPr>
          <w:rFonts w:ascii="Arial" w:cs="Arial" w:eastAsia="Arial" w:hAnsi="Arial"/>
          <w:sz w:val="17"/>
          <w:szCs w:val="17"/>
          <w:b w:val="1"/>
          <w:bCs w:val="1"/>
          <w:color w:val="auto"/>
        </w:rPr>
        <w:t>Key</w:t>
      </w:r>
      <w:r>
        <w:rPr>
          <w:rFonts w:ascii="Arial" w:cs="Arial" w:eastAsia="Arial" w:hAnsi="Arial"/>
          <w:sz w:val="17"/>
          <w:szCs w:val="17"/>
          <w:color w:val="auto"/>
        </w:rPr>
        <w:t xml:space="preserve"> </w:t>
      </w:r>
      <w:r>
        <w:rPr>
          <w:rFonts w:ascii="Arial" w:cs="Arial" w:eastAsia="Arial" w:hAnsi="Arial"/>
          <w:sz w:val="17"/>
          <w:szCs w:val="17"/>
          <w:b w:val="1"/>
          <w:bCs w:val="1"/>
          <w:color w:val="auto"/>
        </w:rPr>
        <w:t>Employee</w:t>
      </w:r>
      <w:r>
        <w:rPr>
          <w:rFonts w:ascii="Arial" w:cs="Arial" w:eastAsia="Arial" w:hAnsi="Arial"/>
          <w:sz w:val="17"/>
          <w:szCs w:val="17"/>
          <w:color w:val="auto"/>
        </w:rPr>
        <w:t>” of the Service Recipient any stock of which is publicly traded on an established securities market or otherwise. For purposes of this</w:t>
      </w:r>
      <w:r>
        <w:rPr>
          <w:rFonts w:ascii="Arial" w:cs="Arial" w:eastAsia="Arial" w:hAnsi="Arial"/>
          <w:sz w:val="17"/>
          <w:szCs w:val="17"/>
          <w:b w:val="1"/>
          <w:bCs w:val="1"/>
          <w:color w:val="auto"/>
        </w:rPr>
        <w:t xml:space="preserve"> </w:t>
      </w:r>
      <w:r>
        <w:rPr>
          <w:rFonts w:ascii="Arial" w:cs="Arial" w:eastAsia="Arial" w:hAnsi="Arial"/>
          <w:sz w:val="17"/>
          <w:szCs w:val="17"/>
          <w:color w:val="auto"/>
        </w:rPr>
        <w:t>definition, a Service Provider is a “</w:t>
      </w:r>
      <w:r>
        <w:rPr>
          <w:rFonts w:ascii="Arial" w:cs="Arial" w:eastAsia="Arial" w:hAnsi="Arial"/>
          <w:sz w:val="17"/>
          <w:szCs w:val="17"/>
          <w:b w:val="1"/>
          <w:bCs w:val="1"/>
          <w:color w:val="auto"/>
        </w:rPr>
        <w:t>Key Employee</w:t>
      </w:r>
      <w:r>
        <w:rPr>
          <w:rFonts w:ascii="Arial" w:cs="Arial" w:eastAsia="Arial" w:hAnsi="Arial"/>
          <w:sz w:val="17"/>
          <w:szCs w:val="17"/>
          <w:color w:val="auto"/>
        </w:rPr>
        <w:t>” if the Service Provider meets the requirements of Code Section 416(i)(1)(A)(i), (ii) or (iii)</w:t>
      </w:r>
    </w:p>
    <w:p>
      <w:pPr>
        <w:spacing w:after="0" w:line="1" w:lineRule="exact"/>
        <w:rPr>
          <w:rFonts w:ascii="Arial" w:cs="Arial" w:eastAsia="Arial" w:hAnsi="Arial"/>
          <w:sz w:val="17"/>
          <w:szCs w:val="17"/>
          <w:color w:val="auto"/>
        </w:rPr>
      </w:pPr>
    </w:p>
    <w:p>
      <w:pPr>
        <w:ind w:right="20"/>
        <w:spacing w:after="0" w:line="273" w:lineRule="auto"/>
        <w:rPr>
          <w:rFonts w:ascii="Arial" w:cs="Arial" w:eastAsia="Arial" w:hAnsi="Arial"/>
          <w:sz w:val="17"/>
          <w:szCs w:val="17"/>
          <w:color w:val="auto"/>
        </w:rPr>
      </w:pPr>
      <w:r>
        <w:rPr>
          <w:rFonts w:ascii="Arial" w:cs="Arial" w:eastAsia="Arial" w:hAnsi="Arial"/>
          <w:sz w:val="17"/>
          <w:szCs w:val="17"/>
          <w:color w:val="auto"/>
        </w:rPr>
        <w:t>(applied in accordance with the Treasury Regulations thereunder and disregarding Code Section 416(i)(5)) at any time during the Testing Year. If a Service Provider is a “</w:t>
      </w:r>
      <w:r>
        <w:rPr>
          <w:rFonts w:ascii="Arial" w:cs="Arial" w:eastAsia="Arial" w:hAnsi="Arial"/>
          <w:sz w:val="17"/>
          <w:szCs w:val="17"/>
          <w:b w:val="1"/>
          <w:bCs w:val="1"/>
          <w:color w:val="auto"/>
        </w:rPr>
        <w:t>Key Employee</w:t>
      </w:r>
      <w:r>
        <w:rPr>
          <w:rFonts w:ascii="Arial" w:cs="Arial" w:eastAsia="Arial" w:hAnsi="Arial"/>
          <w:sz w:val="17"/>
          <w:szCs w:val="17"/>
          <w:color w:val="auto"/>
        </w:rPr>
        <w:t>” (as defined above) as of a Specified Employee Identification Date, the Service Provider shall be treated as “</w:t>
      </w:r>
      <w:r>
        <w:rPr>
          <w:rFonts w:ascii="Arial" w:cs="Arial" w:eastAsia="Arial" w:hAnsi="Arial"/>
          <w:sz w:val="17"/>
          <w:szCs w:val="17"/>
          <w:b w:val="1"/>
          <w:bCs w:val="1"/>
          <w:color w:val="auto"/>
        </w:rPr>
        <w:t>Key Employee</w:t>
      </w:r>
      <w:r>
        <w:rPr>
          <w:rFonts w:ascii="Arial" w:cs="Arial" w:eastAsia="Arial" w:hAnsi="Arial"/>
          <w:sz w:val="17"/>
          <w:szCs w:val="17"/>
          <w:color w:val="auto"/>
        </w:rPr>
        <w:t>” for the entire twelve (12) month period beginning on the Specified Empl oyee Effective Date. For purposes of this definition, a Service Provider’s compensation for a Testing Year shall mean such Service Provider’s compensation, as determined under Treasury Regulation Section 1.415(c)-2(a) (and applied as if the Service Recipient were not using any safe harbor provided in Treasury Regulation Section 1.415(c)-2(d), were not using any of the elective special timing rules provided in Treasury Regulation Section 1.415(c)-2(e), and were not using any of the elective</w:t>
      </w:r>
    </w:p>
    <w:p>
      <w:pPr>
        <w:sectPr>
          <w:pgSz w:w="11900" w:h="16838" w:orient="portrait"/>
          <w:cols w:equalWidth="0" w:num="1">
            <w:col w:w="11440"/>
          </w:cols>
          <w:pgMar w:left="240" w:top="120" w:right="219" w:bottom="0" w:gutter="0" w:footer="0" w:header="0"/>
        </w:sectPr>
      </w:pPr>
    </w:p>
    <w:bookmarkStart w:id="130" w:name="page131"/>
    <w:bookmarkEnd w:id="130"/>
    <w:p>
      <w:pPr>
        <w:ind w:right="20"/>
        <w:spacing w:after="0" w:line="267" w:lineRule="auto"/>
        <w:rPr>
          <w:sz w:val="20"/>
          <w:szCs w:val="20"/>
          <w:color w:val="auto"/>
        </w:rPr>
      </w:pPr>
      <w:r>
        <w:rPr>
          <w:rFonts w:ascii="Arial" w:cs="Arial" w:eastAsia="Arial" w:hAnsi="Arial"/>
          <w:sz w:val="19"/>
          <w:szCs w:val="19"/>
          <w:color w:val="auto"/>
        </w:rPr>
        <w:t>special rules provided in Treasury Regulation Section 1.415(c)-2(g)), from the Service Recipient for such Testing Year. The “Specified Employees” shall be determined in accordance with Code Section 409A(a)(2)(B)(i) and Treasury Regulation Section 1.409A-1(i).</w:t>
      </w:r>
    </w:p>
    <w:p>
      <w:pPr>
        <w:spacing w:after="0" w:line="121" w:lineRule="exact"/>
        <w:rPr>
          <w:sz w:val="20"/>
          <w:szCs w:val="20"/>
          <w:color w:val="auto"/>
        </w:rPr>
      </w:pPr>
    </w:p>
    <w:p>
      <w:pPr>
        <w:ind w:firstLine="573"/>
        <w:spacing w:after="0" w:line="255" w:lineRule="auto"/>
        <w:tabs>
          <w:tab w:leader="none" w:pos="1153" w:val="left"/>
        </w:tabs>
        <w:numPr>
          <w:ilvl w:val="0"/>
          <w:numId w:val="194"/>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Specified Employee Effective Date</w:t>
      </w:r>
      <w:r>
        <w:rPr>
          <w:rFonts w:ascii="Arial" w:cs="Arial" w:eastAsia="Arial" w:hAnsi="Arial"/>
          <w:sz w:val="19"/>
          <w:szCs w:val="19"/>
          <w:color w:val="auto"/>
        </w:rPr>
        <w:t>” means the first day of the fourth month following the Specified Employee Identification Date. The Specified Employee Effective Date may be changed by Sempra Energy, in its discretion, in accordance with Treasury Regulation Section 1.409A-1(i)(4).</w:t>
      </w:r>
    </w:p>
    <w:p>
      <w:pPr>
        <w:spacing w:after="0" w:line="144" w:lineRule="exact"/>
        <w:rPr>
          <w:rFonts w:ascii="Arial" w:cs="Arial" w:eastAsia="Arial" w:hAnsi="Arial"/>
          <w:sz w:val="19"/>
          <w:szCs w:val="19"/>
          <w:color w:val="auto"/>
        </w:rPr>
      </w:pPr>
    </w:p>
    <w:p>
      <w:pPr>
        <w:jc w:val="both"/>
        <w:ind w:right="80" w:firstLine="573"/>
        <w:spacing w:after="0" w:line="267" w:lineRule="auto"/>
        <w:tabs>
          <w:tab w:leader="none" w:pos="1153" w:val="left"/>
        </w:tabs>
        <w:numPr>
          <w:ilvl w:val="0"/>
          <w:numId w:val="19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Specified Employee Identification Date</w:t>
      </w:r>
      <w:r>
        <w:rPr>
          <w:rFonts w:ascii="Arial" w:cs="Arial" w:eastAsia="Arial" w:hAnsi="Arial"/>
          <w:sz w:val="18"/>
          <w:szCs w:val="18"/>
          <w:color w:val="auto"/>
        </w:rPr>
        <w:t>”, for purposes of Treasury Regulation Section 1.409A-1(i)(3), shall mean December 31. The “</w:t>
      </w:r>
      <w:r>
        <w:rPr>
          <w:rFonts w:ascii="Arial" w:cs="Arial" w:eastAsia="Arial" w:hAnsi="Arial"/>
          <w:sz w:val="18"/>
          <w:szCs w:val="18"/>
          <w:b w:val="1"/>
          <w:bCs w:val="1"/>
          <w:color w:val="auto"/>
        </w:rPr>
        <w:t>Specified Employee Identification Date</w:t>
      </w:r>
      <w:r>
        <w:rPr>
          <w:rFonts w:ascii="Arial" w:cs="Arial" w:eastAsia="Arial" w:hAnsi="Arial"/>
          <w:sz w:val="18"/>
          <w:szCs w:val="18"/>
          <w:color w:val="auto"/>
        </w:rPr>
        <w:t>” shall apply to all “nonqualified deferred compensation plans” (as defined in Treasury Regulation Section 1.409A-1(a)) of the Service Recipient and all affected Service Providers. The “</w:t>
      </w:r>
      <w:r>
        <w:rPr>
          <w:rFonts w:ascii="Arial" w:cs="Arial" w:eastAsia="Arial" w:hAnsi="Arial"/>
          <w:sz w:val="18"/>
          <w:szCs w:val="18"/>
          <w:b w:val="1"/>
          <w:bCs w:val="1"/>
          <w:color w:val="auto"/>
        </w:rPr>
        <w:t>Specified Employee Identification Date</w:t>
      </w:r>
      <w:r>
        <w:rPr>
          <w:rFonts w:ascii="Arial" w:cs="Arial" w:eastAsia="Arial" w:hAnsi="Arial"/>
          <w:sz w:val="18"/>
          <w:szCs w:val="18"/>
          <w:color w:val="auto"/>
        </w:rPr>
        <w:t>” may be changed by Sempra Energy, in its discretion, in accordance with Treasury Regulation Section 1.409A-1(i)(3).</w:t>
      </w:r>
    </w:p>
    <w:p>
      <w:pPr>
        <w:spacing w:after="0" w:line="123" w:lineRule="exact"/>
        <w:rPr>
          <w:rFonts w:ascii="Arial" w:cs="Arial" w:eastAsia="Arial" w:hAnsi="Arial"/>
          <w:sz w:val="18"/>
          <w:szCs w:val="18"/>
          <w:color w:val="auto"/>
        </w:rPr>
      </w:pPr>
    </w:p>
    <w:p>
      <w:pPr>
        <w:ind w:left="1140" w:hanging="567"/>
        <w:spacing w:after="0"/>
        <w:tabs>
          <w:tab w:leader="none" w:pos="1140" w:val="left"/>
        </w:tabs>
        <w:numPr>
          <w:ilvl w:val="0"/>
          <w:numId w:val="194"/>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Testing Year</w:t>
      </w:r>
      <w:r>
        <w:rPr>
          <w:rFonts w:ascii="Arial" w:cs="Arial" w:eastAsia="Arial" w:hAnsi="Arial"/>
          <w:sz w:val="17"/>
          <w:szCs w:val="17"/>
          <w:color w:val="auto"/>
        </w:rPr>
        <w:t>” shall mean the twelve (12) month period ending on the Specified Employee Identification Date, as determined from</w:t>
      </w:r>
    </w:p>
    <w:p>
      <w:pPr>
        <w:spacing w:after="0" w:line="42"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9"/>
          <w:szCs w:val="19"/>
          <w:color w:val="auto"/>
        </w:rPr>
        <w:t>time to time.</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color w:val="auto"/>
        </w:rPr>
        <w:t>ARTICLE II.</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color w:val="auto"/>
        </w:rPr>
        <w:t>SECTION 409A DEFERRED COMPENSATION; DISTRIBUTIONS</w:t>
      </w:r>
    </w:p>
    <w:p>
      <w:pPr>
        <w:spacing w:after="0" w:line="178" w:lineRule="exact"/>
        <w:rPr>
          <w:sz w:val="20"/>
          <w:szCs w:val="20"/>
          <w:color w:val="auto"/>
        </w:rPr>
      </w:pPr>
    </w:p>
    <w:p>
      <w:pPr>
        <w:ind w:right="200"/>
        <w:spacing w:after="0" w:line="255" w:lineRule="auto"/>
        <w:rPr>
          <w:sz w:val="20"/>
          <w:szCs w:val="20"/>
          <w:color w:val="auto"/>
        </w:rPr>
      </w:pPr>
      <w:r>
        <w:rPr>
          <w:rFonts w:ascii="Arial" w:cs="Arial" w:eastAsia="Arial" w:hAnsi="Arial"/>
          <w:sz w:val="19"/>
          <w:szCs w:val="19"/>
          <w:color w:val="auto"/>
        </w:rPr>
        <w:t xml:space="preserve">2.1 </w:t>
      </w:r>
      <w:r>
        <w:rPr>
          <w:rFonts w:ascii="Arial" w:cs="Arial" w:eastAsia="Arial" w:hAnsi="Arial"/>
          <w:sz w:val="19"/>
          <w:szCs w:val="19"/>
          <w:b w:val="1"/>
          <w:bCs w:val="1"/>
          <w:color w:val="auto"/>
        </w:rPr>
        <w:t>Section 409A Deferred Compensation Subaccounts</w:t>
      </w:r>
      <w:r>
        <w:rPr>
          <w:rFonts w:ascii="Arial" w:cs="Arial" w:eastAsia="Arial" w:hAnsi="Arial"/>
          <w:sz w:val="19"/>
          <w:szCs w:val="19"/>
          <w:color w:val="auto"/>
        </w:rPr>
        <w:t>. The Committee shall establish and maintain a separate subaccount under each Participant’s Deferral Account, 401(k) Excess Account, Company Matching Account and/or Transferred Account for purposes of determining the portion of such account comprised of Excess Moody’s Earnings and Excess Prior Rate Earnings.</w:t>
      </w:r>
    </w:p>
    <w:p>
      <w:pPr>
        <w:spacing w:after="0" w:line="144"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b w:val="1"/>
          <w:bCs w:val="1"/>
          <w:color w:val="auto"/>
        </w:rPr>
        <w:t>Distribution of Section 409A Deferred Compensation – Accounts Not in Pay Status</w:t>
      </w:r>
      <w:r>
        <w:rPr>
          <w:rFonts w:ascii="Arial" w:cs="Arial" w:eastAsia="Arial" w:hAnsi="Arial"/>
          <w:sz w:val="18"/>
          <w:szCs w:val="18"/>
          <w:color w:val="auto"/>
        </w:rPr>
        <w:t xml:space="preserve">. Notwithstanding anything to the contrary in Article VII or any existing deferral election, in the case of a Participant with a Deferral Account, 401(k) Excess Account, Company Matching Account and/or Transferred Account who has not had a Separation from Service, such Participant’s Section 409A Deferred Compensation shall be paid commencing on the Section 409A Deferred Compensation Payment Date in accordance with the distribution schedule set forth next to his or her name in the table below; </w:t>
      </w:r>
      <w:r>
        <w:rPr>
          <w:rFonts w:ascii="Arial" w:cs="Arial" w:eastAsia="Arial" w:hAnsi="Arial"/>
          <w:sz w:val="18"/>
          <w:szCs w:val="18"/>
          <w:i w:val="1"/>
          <w:iCs w:val="1"/>
          <w:color w:val="auto"/>
        </w:rPr>
        <w:t>provided, however</w:t>
      </w:r>
      <w:r>
        <w:rPr>
          <w:rFonts w:ascii="Arial" w:cs="Arial" w:eastAsia="Arial" w:hAnsi="Arial"/>
          <w:sz w:val="18"/>
          <w:szCs w:val="18"/>
          <w:color w:val="auto"/>
        </w:rPr>
        <w:t>, the distribution of all or a portion of a Participant’s Section 409A Deferred Compensation otherwise payable upon the Separation from Service of a Participant who is a Specified Employee (determined as of the date of Separation from Service), shall not be made bef ore the date which is six months after the date of such Participant’s Separation from Service (or, if earlier, the date of such Participant’s death) in accordance with Code Section 409A(a)(2)(B)(i) and the Treasury Regulations thereunder, and such payments shall instead be made during the 30-day period following such date.</w:t>
      </w:r>
    </w:p>
    <w:p>
      <w:pPr>
        <w:spacing w:after="0" w:line="185" w:lineRule="exact"/>
        <w:rPr>
          <w:sz w:val="20"/>
          <w:szCs w:val="20"/>
          <w:color w:val="auto"/>
        </w:rPr>
      </w:pPr>
    </w:p>
    <w:p>
      <w:pPr>
        <w:ind w:left="360"/>
        <w:spacing w:after="0"/>
        <w:tabs>
          <w:tab w:leader="none" w:pos="4100" w:val="left"/>
        </w:tabs>
        <w:rPr>
          <w:sz w:val="20"/>
          <w:szCs w:val="20"/>
          <w:color w:val="auto"/>
        </w:rPr>
      </w:pPr>
      <w:r>
        <w:rPr>
          <w:rFonts w:ascii="Arial" w:cs="Arial" w:eastAsia="Arial" w:hAnsi="Arial"/>
          <w:sz w:val="19"/>
          <w:szCs w:val="19"/>
          <w:color w:val="auto"/>
        </w:rPr>
        <w:t>Participant’s Name</w:t>
      </w:r>
      <w:r>
        <w:rPr>
          <w:sz w:val="20"/>
          <w:szCs w:val="20"/>
          <w:color w:val="auto"/>
        </w:rPr>
        <w:tab/>
      </w:r>
      <w:r>
        <w:rPr>
          <w:rFonts w:ascii="Arial" w:cs="Arial" w:eastAsia="Arial" w:hAnsi="Arial"/>
          <w:sz w:val="17"/>
          <w:szCs w:val="17"/>
          <w:color w:val="auto"/>
        </w:rPr>
        <w:t>Distribution Schedule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4897120" cy="762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489712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line="249" w:lineRule="auto"/>
        <w:rPr>
          <w:sz w:val="20"/>
          <w:szCs w:val="20"/>
          <w:color w:val="auto"/>
        </w:rPr>
      </w:pPr>
      <w:r>
        <w:rPr>
          <w:rFonts w:ascii="Arial" w:cs="Arial" w:eastAsia="Arial" w:hAnsi="Arial"/>
          <w:sz w:val="19"/>
          <w:szCs w:val="19"/>
          <w:color w:val="auto"/>
        </w:rPr>
        <w:t xml:space="preserve">2.3 </w:t>
      </w:r>
      <w:r>
        <w:rPr>
          <w:rFonts w:ascii="Arial" w:cs="Arial" w:eastAsia="Arial" w:hAnsi="Arial"/>
          <w:sz w:val="19"/>
          <w:szCs w:val="19"/>
          <w:b w:val="1"/>
          <w:bCs w:val="1"/>
          <w:color w:val="auto"/>
        </w:rPr>
        <w:t>Distribution of Section 409A Deferred Compensation – Accounts in Pay Status</w:t>
      </w:r>
      <w:r>
        <w:rPr>
          <w:rFonts w:ascii="Arial" w:cs="Arial" w:eastAsia="Arial" w:hAnsi="Arial"/>
          <w:sz w:val="19"/>
          <w:szCs w:val="19"/>
          <w:color w:val="auto"/>
        </w:rPr>
        <w:t>. Notwithstanding anything to the contrary in Article VII or any existing deferral election, in the case of a Participant with a Transferred Account who has had a Separation from Service, such Participant’s Section 409A Deferred Compensation shall continue to be paid in accordance with the distribution schedule set forth next to his or her name in the table below.</w:t>
      </w:r>
    </w:p>
    <w:p>
      <w:pPr>
        <w:spacing w:after="0" w:line="192" w:lineRule="exact"/>
        <w:rPr>
          <w:sz w:val="20"/>
          <w:szCs w:val="20"/>
          <w:color w:val="auto"/>
        </w:rPr>
      </w:pPr>
    </w:p>
    <w:p>
      <w:pPr>
        <w:ind w:left="60"/>
        <w:spacing w:after="0"/>
        <w:tabs>
          <w:tab w:leader="none" w:pos="2400" w:val="left"/>
          <w:tab w:leader="none" w:pos="5180" w:val="left"/>
        </w:tabs>
        <w:rPr>
          <w:sz w:val="20"/>
          <w:szCs w:val="20"/>
          <w:color w:val="auto"/>
        </w:rPr>
      </w:pPr>
      <w:r>
        <w:rPr>
          <w:rFonts w:ascii="Arial" w:cs="Arial" w:eastAsia="Arial" w:hAnsi="Arial"/>
          <w:sz w:val="19"/>
          <w:szCs w:val="19"/>
          <w:color w:val="auto"/>
        </w:rPr>
        <w:t>Participant’s Name</w:t>
      </w:r>
      <w:r>
        <w:rPr>
          <w:sz w:val="20"/>
          <w:szCs w:val="20"/>
          <w:color w:val="auto"/>
        </w:rPr>
        <w:tab/>
      </w:r>
      <w:r>
        <w:rPr>
          <w:rFonts w:ascii="Arial" w:cs="Arial" w:eastAsia="Arial" w:hAnsi="Arial"/>
          <w:sz w:val="19"/>
          <w:szCs w:val="19"/>
          <w:color w:val="auto"/>
        </w:rPr>
        <w:t>Distribution Schedule</w:t>
      </w:r>
      <w:r>
        <w:rPr>
          <w:sz w:val="20"/>
          <w:szCs w:val="20"/>
          <w:color w:val="auto"/>
        </w:rPr>
        <w:tab/>
      </w:r>
      <w:r>
        <w:rPr>
          <w:rFonts w:ascii="Arial" w:cs="Arial" w:eastAsia="Arial" w:hAnsi="Arial"/>
          <w:sz w:val="17"/>
          <w:szCs w:val="17"/>
          <w:color w:val="auto"/>
        </w:rPr>
        <w:t>Separation from Service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4912360" cy="762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4912360" cy="7620"/>
                    </a:xfrm>
                    <a:prstGeom prst="rect">
                      <a:avLst/>
                    </a:prstGeom>
                    <a:noFill/>
                  </pic:spPr>
                </pic:pic>
              </a:graphicData>
            </a:graphic>
          </wp:anchor>
        </w:drawing>
      </w:r>
    </w:p>
    <w:p>
      <w:pPr>
        <w:spacing w:after="0" w:line="392"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 xml:space="preserve">2.4 </w:t>
      </w:r>
      <w:r>
        <w:rPr>
          <w:rFonts w:ascii="Arial" w:cs="Arial" w:eastAsia="Arial" w:hAnsi="Arial"/>
          <w:sz w:val="17"/>
          <w:szCs w:val="17"/>
          <w:b w:val="1"/>
          <w:bCs w:val="1"/>
          <w:color w:val="auto"/>
        </w:rPr>
        <w:t>Distribution of Section 409A Deferred Compensation – Other Participants</w:t>
      </w:r>
      <w:r>
        <w:rPr>
          <w:rFonts w:ascii="Arial" w:cs="Arial" w:eastAsia="Arial" w:hAnsi="Arial"/>
          <w:sz w:val="17"/>
          <w:szCs w:val="17"/>
          <w:color w:val="auto"/>
        </w:rPr>
        <w:t xml:space="preserve">. Notwithstanding anything to the contrary in Article VII or any existing deferral election, in the case of a Participant (other than a Participant identified in Section 2.2 or 2.3) with a Deferral Account, 401(k) Excess Account, Company Matching Account and/or Transferred Account who has not had a Separation from Service, such Participant’s Section 409A Deferred Compensation in such Accounts shall be paid commencing on the Section 409A Deferred Compensation Payment Date in accordance with the distribution schedule determined pursuant to Section 7.1(a) of the Plan based on the Participant’s deferral election in effect on December 31, 2008; </w:t>
      </w:r>
      <w:r>
        <w:rPr>
          <w:rFonts w:ascii="Arial" w:cs="Arial" w:eastAsia="Arial" w:hAnsi="Arial"/>
          <w:sz w:val="17"/>
          <w:szCs w:val="17"/>
          <w:i w:val="1"/>
          <w:iCs w:val="1"/>
          <w:color w:val="auto"/>
        </w:rPr>
        <w:t>provided, however</w:t>
      </w:r>
      <w:r>
        <w:rPr>
          <w:rFonts w:ascii="Arial" w:cs="Arial" w:eastAsia="Arial" w:hAnsi="Arial"/>
          <w:sz w:val="17"/>
          <w:szCs w:val="17"/>
          <w:color w:val="auto"/>
        </w:rPr>
        <w:t>, that the references to Participant’s “Termination” or “Retirement” shall instead be deemed to be references to Participant’s “Separation from Service (as defined in the Appendix)”. Notwithstanding the foregoing, the distribution of all or a portion of a Participant’s Section 409A Deferred Compensation otherwise payable upon the Separation from Service of a Participant who is a Specified Employee (determined as of the date of Separation from Service), shall not be made before the date which is six months after the date of such Participant’s Separation from Service (or, if earlier, the date of such Participant’s death) in accordance with Code Section 409A(a)(2)(B)(i) and the Treasury Regulations thereunder, and such payments shall instead be made during the 30-day period following such date.</w:t>
      </w:r>
    </w:p>
    <w:p>
      <w:pPr>
        <w:spacing w:after="0" w:line="134" w:lineRule="exact"/>
        <w:rPr>
          <w:sz w:val="20"/>
          <w:szCs w:val="20"/>
          <w:color w:val="auto"/>
        </w:rPr>
      </w:pPr>
    </w:p>
    <w:p>
      <w:pPr>
        <w:ind w:right="220"/>
        <w:spacing w:after="0" w:line="333" w:lineRule="auto"/>
        <w:rPr>
          <w:sz w:val="20"/>
          <w:szCs w:val="20"/>
          <w:color w:val="auto"/>
        </w:rPr>
      </w:pPr>
      <w:r>
        <w:rPr>
          <w:rFonts w:ascii="Arial" w:cs="Arial" w:eastAsia="Arial" w:hAnsi="Arial"/>
          <w:sz w:val="17"/>
          <w:szCs w:val="17"/>
          <w:color w:val="auto"/>
        </w:rPr>
        <w:t xml:space="preserve">2.5 </w:t>
      </w:r>
      <w:r>
        <w:rPr>
          <w:rFonts w:ascii="Arial" w:cs="Arial" w:eastAsia="Arial" w:hAnsi="Arial"/>
          <w:sz w:val="17"/>
          <w:szCs w:val="17"/>
          <w:b w:val="1"/>
          <w:bCs w:val="1"/>
          <w:color w:val="auto"/>
        </w:rPr>
        <w:t>Distribution at Death</w:t>
      </w:r>
      <w:r>
        <w:rPr>
          <w:rFonts w:ascii="Arial" w:cs="Arial" w:eastAsia="Arial" w:hAnsi="Arial"/>
          <w:sz w:val="17"/>
          <w:szCs w:val="17"/>
          <w:color w:val="auto"/>
        </w:rPr>
        <w:t>. In the event a Participant dies, whether before or after he has begun receiving distributions of Section 409A Deferred Compensation, his Section 409A Deferred Compensation shall be paid to his Beneficiary in the same manner elected by the Participant.</w:t>
      </w:r>
    </w:p>
    <w:p>
      <w:pPr>
        <w:spacing w:after="0" w:line="70" w:lineRule="exact"/>
        <w:rPr>
          <w:sz w:val="20"/>
          <w:szCs w:val="20"/>
          <w:color w:val="auto"/>
        </w:rPr>
      </w:pPr>
    </w:p>
    <w:p>
      <w:pPr>
        <w:ind w:right="480"/>
        <w:spacing w:after="0" w:line="302" w:lineRule="auto"/>
        <w:rPr>
          <w:sz w:val="20"/>
          <w:szCs w:val="20"/>
          <w:color w:val="auto"/>
        </w:rPr>
      </w:pPr>
      <w:r>
        <w:rPr>
          <w:rFonts w:ascii="Arial" w:cs="Arial" w:eastAsia="Arial" w:hAnsi="Arial"/>
          <w:sz w:val="18"/>
          <w:szCs w:val="18"/>
          <w:color w:val="auto"/>
        </w:rPr>
        <w:t xml:space="preserve">2.6 </w:t>
      </w:r>
      <w:r>
        <w:rPr>
          <w:rFonts w:ascii="Arial" w:cs="Arial" w:eastAsia="Arial" w:hAnsi="Arial"/>
          <w:sz w:val="18"/>
          <w:szCs w:val="18"/>
          <w:b w:val="1"/>
          <w:bCs w:val="1"/>
          <w:color w:val="auto"/>
        </w:rPr>
        <w:t>Calculating Installments</w:t>
      </w:r>
      <w:r>
        <w:rPr>
          <w:rFonts w:ascii="Arial" w:cs="Arial" w:eastAsia="Arial" w:hAnsi="Arial"/>
          <w:sz w:val="18"/>
          <w:szCs w:val="18"/>
          <w:color w:val="auto"/>
        </w:rPr>
        <w:t>. In the event that a Participant elects to have all or any portion of his Section 409A Deferred Compensation distributed in a series of installments, the amount of each installment shall be determined in accordance with Section 7.1(a)(6).</w:t>
      </w:r>
    </w:p>
    <w:p>
      <w:pPr>
        <w:spacing w:after="0" w:line="92" w:lineRule="exact"/>
        <w:rPr>
          <w:sz w:val="20"/>
          <w:szCs w:val="20"/>
          <w:color w:val="auto"/>
        </w:rPr>
      </w:pPr>
    </w:p>
    <w:p>
      <w:pPr>
        <w:ind w:right="60"/>
        <w:spacing w:after="0" w:line="255" w:lineRule="auto"/>
        <w:rPr>
          <w:sz w:val="20"/>
          <w:szCs w:val="20"/>
          <w:color w:val="auto"/>
        </w:rPr>
      </w:pPr>
      <w:r>
        <w:rPr>
          <w:rFonts w:ascii="Arial" w:cs="Arial" w:eastAsia="Arial" w:hAnsi="Arial"/>
          <w:sz w:val="19"/>
          <w:szCs w:val="19"/>
          <w:color w:val="auto"/>
        </w:rPr>
        <w:t xml:space="preserve">2.7 </w:t>
      </w:r>
      <w:r>
        <w:rPr>
          <w:rFonts w:ascii="Arial" w:cs="Arial" w:eastAsia="Arial" w:hAnsi="Arial"/>
          <w:sz w:val="19"/>
          <w:szCs w:val="19"/>
          <w:b w:val="1"/>
          <w:bCs w:val="1"/>
          <w:color w:val="auto"/>
        </w:rPr>
        <w:t>Small Accounts</w:t>
      </w:r>
      <w:r>
        <w:rPr>
          <w:rFonts w:ascii="Arial" w:cs="Arial" w:eastAsia="Arial" w:hAnsi="Arial"/>
          <w:sz w:val="19"/>
          <w:szCs w:val="19"/>
          <w:color w:val="auto"/>
        </w:rPr>
        <w:t>. Notwithstanding anything to the contrary in the Plan, in no event shall all or any portion of a Participant’s Section 409A Deferred Compensation be distributable pursuant to Section 7.1(a)(3), except as permitted in accordance with Treasury Regulation Section 1.409A-3(j)(4)(v).</w:t>
      </w:r>
    </w:p>
    <w:p>
      <w:pPr>
        <w:spacing w:after="0" w:line="144" w:lineRule="exact"/>
        <w:rPr>
          <w:sz w:val="20"/>
          <w:szCs w:val="20"/>
          <w:color w:val="auto"/>
        </w:rPr>
      </w:pPr>
    </w:p>
    <w:p>
      <w:pPr>
        <w:ind w:right="120"/>
        <w:spacing w:after="0" w:line="246" w:lineRule="auto"/>
        <w:rPr>
          <w:sz w:val="20"/>
          <w:szCs w:val="20"/>
          <w:color w:val="auto"/>
        </w:rPr>
      </w:pPr>
      <w:r>
        <w:rPr>
          <w:rFonts w:ascii="Arial" w:cs="Arial" w:eastAsia="Arial" w:hAnsi="Arial"/>
          <w:sz w:val="19"/>
          <w:szCs w:val="19"/>
          <w:color w:val="auto"/>
        </w:rPr>
        <w:t xml:space="preserve">2.8 </w:t>
      </w:r>
      <w:r>
        <w:rPr>
          <w:rFonts w:ascii="Arial" w:cs="Arial" w:eastAsia="Arial" w:hAnsi="Arial"/>
          <w:sz w:val="19"/>
          <w:szCs w:val="19"/>
          <w:b w:val="1"/>
          <w:bCs w:val="1"/>
          <w:color w:val="auto"/>
        </w:rPr>
        <w:t>Inapplicability of Certain Provisions to Section 409A Deferred Compensation</w:t>
      </w:r>
      <w:r>
        <w:rPr>
          <w:rFonts w:ascii="Arial" w:cs="Arial" w:eastAsia="Arial" w:hAnsi="Arial"/>
          <w:sz w:val="19"/>
          <w:szCs w:val="19"/>
          <w:color w:val="auto"/>
        </w:rPr>
        <w:t>. Except as expressly provided in Section 2.7 of this Appendix, in no event shall the provisions of Section 7.1(a)(3) (Small Accounts), Section 7.1(b) (Distribution on a Scheduled Withdrawal Date), Section 7.1(c) (Distribution upon Death), Section 7.2 (Early Distributions), Section 7.3 (Hardship Distribution), Section 7.4(a) (Effect of a Change in Control) or Section 9.9 (Compliance with Code Section 162(m)) be applicable with respect to a Participant’s Section 409A Deferred Compensation.</w:t>
      </w:r>
    </w:p>
    <w:p>
      <w:pPr>
        <w:spacing w:after="0" w:line="154" w:lineRule="exact"/>
        <w:rPr>
          <w:sz w:val="20"/>
          <w:szCs w:val="20"/>
          <w:color w:val="auto"/>
        </w:rPr>
      </w:pPr>
    </w:p>
    <w:p>
      <w:pPr>
        <w:ind w:left="5400"/>
        <w:spacing w:after="0"/>
        <w:rPr>
          <w:sz w:val="20"/>
          <w:szCs w:val="20"/>
          <w:color w:val="auto"/>
        </w:rPr>
      </w:pPr>
      <w:r>
        <w:rPr>
          <w:rFonts w:ascii="Arial" w:cs="Arial" w:eastAsia="Arial" w:hAnsi="Arial"/>
          <w:sz w:val="19"/>
          <w:szCs w:val="19"/>
          <w:b w:val="1"/>
          <w:bCs w:val="1"/>
          <w:color w:val="auto"/>
        </w:rPr>
        <w:t>ARTICLE III.</w:t>
      </w:r>
    </w:p>
    <w:p>
      <w:pPr>
        <w:spacing w:after="0" w:line="190" w:lineRule="exact"/>
        <w:rPr>
          <w:sz w:val="20"/>
          <w:szCs w:val="20"/>
          <w:color w:val="auto"/>
        </w:rPr>
      </w:pPr>
    </w:p>
    <w:p>
      <w:pPr>
        <w:ind w:left="4740"/>
        <w:spacing w:after="0"/>
        <w:rPr>
          <w:sz w:val="20"/>
          <w:szCs w:val="20"/>
          <w:color w:val="auto"/>
        </w:rPr>
      </w:pPr>
      <w:r>
        <w:rPr>
          <w:rFonts w:ascii="Arial" w:cs="Arial" w:eastAsia="Arial" w:hAnsi="Arial"/>
          <w:sz w:val="19"/>
          <w:szCs w:val="19"/>
          <w:b w:val="1"/>
          <w:bCs w:val="1"/>
          <w:color w:val="auto"/>
        </w:rPr>
        <w:t>CODE SECTION 409A</w:t>
      </w:r>
    </w:p>
    <w:p>
      <w:pPr>
        <w:sectPr>
          <w:pgSz w:w="11900" w:h="16838" w:orient="portrait"/>
          <w:cols w:equalWidth="0" w:num="1">
            <w:col w:w="11400"/>
          </w:cols>
          <w:pgMar w:left="240" w:top="120" w:right="259" w:bottom="0" w:gutter="0" w:footer="0" w:header="0"/>
        </w:sectPr>
      </w:pPr>
    </w:p>
    <w:bookmarkStart w:id="131" w:name="page132"/>
    <w:bookmarkEnd w:id="131"/>
    <w:p>
      <w:pPr>
        <w:ind w:right="120" w:firstLine="1153"/>
        <w:spacing w:after="0" w:line="296" w:lineRule="auto"/>
        <w:rPr>
          <w:sz w:val="20"/>
          <w:szCs w:val="20"/>
          <w:color w:val="auto"/>
        </w:rPr>
      </w:pPr>
      <w:r>
        <w:rPr>
          <w:rFonts w:ascii="Arial" w:cs="Arial" w:eastAsia="Arial" w:hAnsi="Arial"/>
          <w:sz w:val="17"/>
          <w:szCs w:val="17"/>
          <w:color w:val="auto"/>
        </w:rPr>
        <w:t>With respect to the Section 409A Deferred Compensation, the Plan and this Appendix shall be interpreted, construed and administered in a manner that satisfies the requirements of Code Sections 409A(a)(2), (3) and (4) and the Treasury Regulations thereunder (subject to the transitional relief under Internal Revenue Service Notice 2005-1 and other applicable authority issued by the Internal Revenue Service).</w:t>
      </w:r>
    </w:p>
    <w:p>
      <w:pPr>
        <w:spacing w:after="0" w:line="119" w:lineRule="exact"/>
        <w:rPr>
          <w:sz w:val="20"/>
          <w:szCs w:val="20"/>
          <w:color w:val="auto"/>
        </w:rPr>
      </w:pPr>
    </w:p>
    <w:p>
      <w:pPr>
        <w:ind w:firstLine="1153"/>
        <w:spacing w:after="0" w:line="285" w:lineRule="auto"/>
        <w:rPr>
          <w:sz w:val="20"/>
          <w:szCs w:val="20"/>
          <w:color w:val="auto"/>
        </w:rPr>
      </w:pPr>
      <w:r>
        <w:rPr>
          <w:rFonts w:ascii="Arial" w:cs="Arial" w:eastAsia="Arial" w:hAnsi="Arial"/>
          <w:sz w:val="17"/>
          <w:szCs w:val="17"/>
          <w:color w:val="auto"/>
        </w:rPr>
        <w:t>As required by Internal Revenue Notice 2007-86, notwithstanding any provision to the contrary in this Appendix (including, without limitation, any provision in Article II), nothing contained herein shall cause an amount to be paid in 2009 or later that would otherwise be payable in 2008 pursuant to the terms of the Plan, as in effect prior to the adoption of this Appendix, and nothing herein shall cause an amount to be paid in 2008 that would not otherwise be payable in 2008 pursuant to the terms of the Plan, as in effect prior to the adoption of this Appendix.</w:t>
      </w:r>
    </w:p>
    <w:p>
      <w:pPr>
        <w:sectPr>
          <w:pgSz w:w="11900" w:h="16838" w:orient="portrait"/>
          <w:cols w:equalWidth="0" w:num="1">
            <w:col w:w="11420"/>
          </w:cols>
          <w:pgMar w:left="240" w:top="120" w:right="239" w:bottom="1440" w:gutter="0" w:footer="0" w:header="0"/>
        </w:sectPr>
      </w:pPr>
    </w:p>
    <w:bookmarkStart w:id="132" w:name="page133"/>
    <w:bookmarkEnd w:id="132"/>
    <w:p>
      <w:pPr>
        <w:jc w:val="right"/>
        <w:spacing w:after="0"/>
        <w:rPr>
          <w:sz w:val="20"/>
          <w:szCs w:val="20"/>
          <w:color w:val="auto"/>
        </w:rPr>
      </w:pPr>
      <w:r>
        <w:rPr>
          <w:rFonts w:ascii="Arial" w:cs="Arial" w:eastAsia="Arial" w:hAnsi="Arial"/>
          <w:sz w:val="19"/>
          <w:szCs w:val="19"/>
          <w:b w:val="1"/>
          <w:bCs w:val="1"/>
          <w:color w:val="auto"/>
        </w:rPr>
        <w:t>Exhibit 10.26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200"/>
        <w:spacing w:after="0"/>
        <w:rPr>
          <w:sz w:val="20"/>
          <w:szCs w:val="20"/>
          <w:color w:val="auto"/>
        </w:rPr>
      </w:pPr>
      <w:r>
        <w:rPr>
          <w:rFonts w:ascii="Arial" w:cs="Arial" w:eastAsia="Arial" w:hAnsi="Arial"/>
          <w:sz w:val="29"/>
          <w:szCs w:val="29"/>
          <w:b w:val="1"/>
          <w:bCs w:val="1"/>
          <w:color w:val="auto"/>
        </w:rPr>
        <w:t>SEMPRA ENERGY</w:t>
      </w:r>
    </w:p>
    <w:p>
      <w:pPr>
        <w:jc w:val="center"/>
        <w:ind w:right="1200"/>
        <w:spacing w:after="0" w:line="232" w:lineRule="auto"/>
        <w:rPr>
          <w:sz w:val="20"/>
          <w:szCs w:val="20"/>
          <w:color w:val="auto"/>
        </w:rPr>
      </w:pPr>
      <w:r>
        <w:rPr>
          <w:rFonts w:ascii="Arial" w:cs="Arial" w:eastAsia="Arial" w:hAnsi="Arial"/>
          <w:sz w:val="29"/>
          <w:szCs w:val="29"/>
          <w:b w:val="1"/>
          <w:bCs w:val="1"/>
          <w:color w:val="auto"/>
        </w:rPr>
        <w:t>AMENDED AND RESTATED</w:t>
      </w:r>
    </w:p>
    <w:p>
      <w:pPr>
        <w:spacing w:after="0" w:line="1" w:lineRule="exact"/>
        <w:rPr>
          <w:sz w:val="20"/>
          <w:szCs w:val="20"/>
          <w:color w:val="auto"/>
        </w:rPr>
      </w:pPr>
    </w:p>
    <w:p>
      <w:pPr>
        <w:jc w:val="center"/>
        <w:ind w:right="1200"/>
        <w:spacing w:after="0"/>
        <w:rPr>
          <w:sz w:val="20"/>
          <w:szCs w:val="20"/>
          <w:color w:val="auto"/>
        </w:rPr>
      </w:pPr>
      <w:r>
        <w:rPr>
          <w:rFonts w:ascii="Arial" w:cs="Arial" w:eastAsia="Arial" w:hAnsi="Arial"/>
          <w:sz w:val="29"/>
          <w:szCs w:val="29"/>
          <w:b w:val="1"/>
          <w:bCs w:val="1"/>
          <w:color w:val="auto"/>
        </w:rPr>
        <w:t>EXECUTIVE MEDICAL PLAN</w:t>
      </w:r>
    </w:p>
    <w:p>
      <w:pPr>
        <w:sectPr>
          <w:pgSz w:w="11900" w:h="16838" w:orient="portrait"/>
          <w:cols w:equalWidth="0" w:num="1">
            <w:col w:w="10240"/>
          </w:cols>
          <w:pgMar w:left="1440" w:top="116" w:right="219" w:bottom="1440" w:gutter="0" w:footer="0" w:header="0"/>
        </w:sectPr>
      </w:pPr>
    </w:p>
    <w:bookmarkStart w:id="133" w:name="page134"/>
    <w:bookmarkEnd w:id="133"/>
    <w:p>
      <w:pPr>
        <w:ind w:left="4"/>
        <w:spacing w:after="0"/>
        <w:rPr>
          <w:sz w:val="20"/>
          <w:szCs w:val="20"/>
          <w:color w:val="auto"/>
        </w:rPr>
      </w:pPr>
      <w:r>
        <w:rPr>
          <w:rFonts w:ascii="Arial" w:cs="Arial" w:eastAsia="Arial" w:hAnsi="Arial"/>
          <w:sz w:val="19"/>
          <w:szCs w:val="19"/>
          <w:color w:val="auto"/>
        </w:rPr>
        <w:t>Sempra Energy, a California corporation (the “Company”), maintains the Sempra Energy Executive Medical Plan (the “Plan”).</w:t>
      </w:r>
    </w:p>
    <w:p>
      <w:pPr>
        <w:spacing w:after="0" w:line="190" w:lineRule="exact"/>
        <w:rPr>
          <w:sz w:val="20"/>
          <w:szCs w:val="20"/>
          <w:color w:val="auto"/>
        </w:rPr>
      </w:pPr>
    </w:p>
    <w:p>
      <w:pPr>
        <w:ind w:left="4" w:right="280"/>
        <w:spacing w:after="0" w:line="280" w:lineRule="auto"/>
        <w:rPr>
          <w:sz w:val="20"/>
          <w:szCs w:val="20"/>
          <w:color w:val="auto"/>
        </w:rPr>
      </w:pPr>
      <w:r>
        <w:rPr>
          <w:rFonts w:ascii="Arial" w:cs="Arial" w:eastAsia="Arial" w:hAnsi="Arial"/>
          <w:sz w:val="17"/>
          <w:szCs w:val="17"/>
          <w:color w:val="auto"/>
        </w:rPr>
        <w:t>Sempra Energy hereby amends and restates the Plan, effective as of June 16, 2008. The medical expense reimbursement benefits under this Plan shall be provided through insurance maintained by the Company and such benefits are intended to be exempt from Section 409A of the Internal Revenue Code of 1986, as amended (the “Code”). This amendment and restatement of the Plan is intended to comply with the requirements of Sections 409A(a)(2), (3) and (4) of the Code (as defined below) and the Treasury Regulations thereunder with respect to any benefits under paragraph 6. Also, the name of the Plan is hereby amended to be “Sempra Energy Amended and Restated Executive Medical Plan.”</w:t>
      </w:r>
    </w:p>
    <w:p>
      <w:pPr>
        <w:spacing w:after="0" w:line="121" w:lineRule="exact"/>
        <w:rPr>
          <w:sz w:val="20"/>
          <w:szCs w:val="20"/>
          <w:color w:val="auto"/>
        </w:rPr>
      </w:pPr>
    </w:p>
    <w:p>
      <w:pPr>
        <w:ind w:left="284" w:right="40" w:hanging="284"/>
        <w:spacing w:after="0" w:line="244" w:lineRule="auto"/>
        <w:tabs>
          <w:tab w:leader="none" w:pos="284" w:val="left"/>
        </w:tabs>
        <w:numPr>
          <w:ilvl w:val="0"/>
          <w:numId w:val="195"/>
        </w:numPr>
        <w:rPr>
          <w:rFonts w:ascii="Arial" w:cs="Arial" w:eastAsia="Arial" w:hAnsi="Arial"/>
          <w:sz w:val="19"/>
          <w:szCs w:val="19"/>
          <w:color w:val="auto"/>
        </w:rPr>
      </w:pPr>
      <w:r>
        <w:rPr>
          <w:rFonts w:ascii="Arial" w:cs="Arial" w:eastAsia="Arial" w:hAnsi="Arial"/>
          <w:sz w:val="19"/>
          <w:szCs w:val="19"/>
          <w:color w:val="auto"/>
        </w:rPr>
        <w:t xml:space="preserve">The Plan shall provide, through insurance maintained by the Company, reimbursement at least quarterly to any officer of the Company or of Pacific Enterprises, Southern California Gas Company, Enova or San Diego Gas &amp; Electric Company, for expenses incurred by such officer and the eligible dependents of such officer for medical care, as defined with the limits set forth in the </w:t>
      </w:r>
      <w:r>
        <w:rPr>
          <w:rFonts w:ascii="Arial" w:cs="Arial" w:eastAsia="Arial" w:hAnsi="Arial"/>
          <w:sz w:val="19"/>
          <w:szCs w:val="19"/>
          <w:u w:val="single" w:color="auto"/>
          <w:color w:val="auto"/>
        </w:rPr>
        <w:t>Schedule of Benefits</w:t>
      </w:r>
      <w:r>
        <w:rPr>
          <w:rFonts w:ascii="Arial" w:cs="Arial" w:eastAsia="Arial" w:hAnsi="Arial"/>
          <w:sz w:val="19"/>
          <w:szCs w:val="19"/>
          <w:color w:val="auto"/>
        </w:rPr>
        <w:t xml:space="preserve"> which is attached to and made a part of this Plan. The Compensation Committee of the Company’s Board of Directors shall designate from time to time which officers shall participate in the Plan.</w:t>
      </w:r>
    </w:p>
    <w:p>
      <w:pPr>
        <w:spacing w:after="0" w:line="162" w:lineRule="exact"/>
        <w:rPr>
          <w:rFonts w:ascii="Arial" w:cs="Arial" w:eastAsia="Arial" w:hAnsi="Arial"/>
          <w:sz w:val="19"/>
          <w:szCs w:val="19"/>
          <w:color w:val="auto"/>
        </w:rPr>
      </w:pPr>
    </w:p>
    <w:p>
      <w:pPr>
        <w:ind w:left="284"/>
        <w:spacing w:after="0" w:line="295" w:lineRule="auto"/>
        <w:rPr>
          <w:rFonts w:ascii="Arial" w:cs="Arial" w:eastAsia="Arial" w:hAnsi="Arial"/>
          <w:sz w:val="19"/>
          <w:szCs w:val="19"/>
          <w:color w:val="auto"/>
        </w:rPr>
      </w:pPr>
      <w:r>
        <w:rPr>
          <w:rFonts w:ascii="Arial" w:cs="Arial" w:eastAsia="Arial" w:hAnsi="Arial"/>
          <w:sz w:val="18"/>
          <w:szCs w:val="18"/>
          <w:color w:val="auto"/>
        </w:rPr>
        <w:t>The medical care expenses reimbursed under the Plan shall be limited to those described in the Schedule of Benefits include all amounts paid for hospital bills, doctor and dentist bills, vision care and prescription drugs. Dependents are as defined in the medical plan.</w:t>
      </w:r>
    </w:p>
    <w:p>
      <w:pPr>
        <w:spacing w:after="0" w:line="115" w:lineRule="exact"/>
        <w:rPr>
          <w:rFonts w:ascii="Arial" w:cs="Arial" w:eastAsia="Arial" w:hAnsi="Arial"/>
          <w:sz w:val="19"/>
          <w:szCs w:val="19"/>
          <w:color w:val="auto"/>
        </w:rPr>
      </w:pPr>
    </w:p>
    <w:p>
      <w:pPr>
        <w:ind w:left="284" w:right="40" w:hanging="284"/>
        <w:spacing w:after="0" w:line="266" w:lineRule="auto"/>
        <w:tabs>
          <w:tab w:leader="none" w:pos="284" w:val="left"/>
        </w:tabs>
        <w:numPr>
          <w:ilvl w:val="0"/>
          <w:numId w:val="195"/>
        </w:numPr>
        <w:rPr>
          <w:rFonts w:ascii="Arial" w:cs="Arial" w:eastAsia="Arial" w:hAnsi="Arial"/>
          <w:sz w:val="19"/>
          <w:szCs w:val="19"/>
          <w:color w:val="auto"/>
        </w:rPr>
      </w:pPr>
      <w:r>
        <w:rPr>
          <w:rFonts w:ascii="Arial" w:cs="Arial" w:eastAsia="Arial" w:hAnsi="Arial"/>
          <w:sz w:val="19"/>
          <w:szCs w:val="19"/>
          <w:color w:val="auto"/>
        </w:rPr>
        <w:t>The Plan may arrange for payment of any or all of the above-defined expenses in lieu of making reimbursement thereof. In such event, the Plan shall be relieved of all further responsibility with respect to that particular medical expense.</w:t>
      </w:r>
    </w:p>
    <w:p>
      <w:pPr>
        <w:spacing w:after="0" w:line="128" w:lineRule="exact"/>
        <w:rPr>
          <w:rFonts w:ascii="Arial" w:cs="Arial" w:eastAsia="Arial" w:hAnsi="Arial"/>
          <w:sz w:val="19"/>
          <w:szCs w:val="19"/>
          <w:color w:val="auto"/>
        </w:rPr>
      </w:pPr>
    </w:p>
    <w:p>
      <w:pPr>
        <w:ind w:left="284" w:right="220" w:hanging="284"/>
        <w:spacing w:after="0" w:line="266" w:lineRule="auto"/>
        <w:tabs>
          <w:tab w:leader="none" w:pos="284" w:val="left"/>
        </w:tabs>
        <w:numPr>
          <w:ilvl w:val="0"/>
          <w:numId w:val="195"/>
        </w:numPr>
        <w:rPr>
          <w:rFonts w:ascii="Arial" w:cs="Arial" w:eastAsia="Arial" w:hAnsi="Arial"/>
          <w:sz w:val="19"/>
          <w:szCs w:val="19"/>
          <w:color w:val="auto"/>
        </w:rPr>
      </w:pPr>
      <w:r>
        <w:rPr>
          <w:rFonts w:ascii="Arial" w:cs="Arial" w:eastAsia="Arial" w:hAnsi="Arial"/>
          <w:sz w:val="19"/>
          <w:szCs w:val="19"/>
          <w:color w:val="auto"/>
        </w:rPr>
        <w:t>Reimbursement or payment of medical and dental expenses as defined above under this Plan to, or on behalf of, a participating officer and his spouse and dependents shall not exceed an aggregate total of $20,000 per calendar year.</w:t>
      </w:r>
    </w:p>
    <w:p>
      <w:pPr>
        <w:spacing w:after="0" w:line="128" w:lineRule="exact"/>
        <w:rPr>
          <w:rFonts w:ascii="Arial" w:cs="Arial" w:eastAsia="Arial" w:hAnsi="Arial"/>
          <w:sz w:val="19"/>
          <w:szCs w:val="19"/>
          <w:color w:val="auto"/>
        </w:rPr>
      </w:pPr>
    </w:p>
    <w:p>
      <w:pPr>
        <w:ind w:left="284" w:right="220" w:hanging="284"/>
        <w:spacing w:after="0" w:line="247" w:lineRule="auto"/>
        <w:tabs>
          <w:tab w:leader="none" w:pos="284" w:val="left"/>
        </w:tabs>
        <w:numPr>
          <w:ilvl w:val="0"/>
          <w:numId w:val="195"/>
        </w:numPr>
        <w:rPr>
          <w:rFonts w:ascii="Arial" w:cs="Arial" w:eastAsia="Arial" w:hAnsi="Arial"/>
          <w:sz w:val="19"/>
          <w:szCs w:val="19"/>
          <w:color w:val="auto"/>
        </w:rPr>
      </w:pPr>
      <w:r>
        <w:rPr>
          <w:rFonts w:ascii="Arial" w:cs="Arial" w:eastAsia="Arial" w:hAnsi="Arial"/>
          <w:sz w:val="19"/>
          <w:szCs w:val="19"/>
          <w:color w:val="auto"/>
        </w:rPr>
        <w:t>Any participating officer applying for reimbursement under this Plan shall submit to the Company or the insurance company insuring benefits under the Plan, at least quarterly, all hospitalization, doctor, dental or other medical bills for verification by the Company or such insurance company prior to payment. A failure to comply herewith may, at the discretion of the Company, terminate such officer’s right to said reimbursement.</w:t>
      </w:r>
    </w:p>
    <w:p>
      <w:pPr>
        <w:spacing w:after="0" w:line="157" w:lineRule="exact"/>
        <w:rPr>
          <w:rFonts w:ascii="Arial" w:cs="Arial" w:eastAsia="Arial" w:hAnsi="Arial"/>
          <w:sz w:val="19"/>
          <w:szCs w:val="19"/>
          <w:color w:val="auto"/>
        </w:rPr>
      </w:pPr>
    </w:p>
    <w:p>
      <w:pPr>
        <w:ind w:left="284" w:right="40" w:hanging="284"/>
        <w:spacing w:after="0" w:line="265" w:lineRule="auto"/>
        <w:tabs>
          <w:tab w:leader="none" w:pos="284" w:val="left"/>
        </w:tabs>
        <w:numPr>
          <w:ilvl w:val="0"/>
          <w:numId w:val="195"/>
        </w:numPr>
        <w:rPr>
          <w:rFonts w:ascii="Arial" w:cs="Arial" w:eastAsia="Arial" w:hAnsi="Arial"/>
          <w:sz w:val="18"/>
          <w:szCs w:val="18"/>
          <w:color w:val="auto"/>
        </w:rPr>
      </w:pPr>
      <w:r>
        <w:rPr>
          <w:rFonts w:ascii="Arial" w:cs="Arial" w:eastAsia="Arial" w:hAnsi="Arial"/>
          <w:sz w:val="18"/>
          <w:szCs w:val="18"/>
          <w:color w:val="auto"/>
        </w:rPr>
        <w:t>Reimbursement or payment provided under this Plan shall be made only in the event and to the extent that such reimbursement or payment is not provided for under any insurance policy or policies (other than the insurance policy maintained in connection with the Plan), whether owned by the Company or the covered officers, or under any other health and accident plan. In the event that there is such a policy, then to the extent of the coverage under such policy or plan, the Plan shall be relieved of any and all liability hereunder.</w:t>
      </w:r>
    </w:p>
    <w:p>
      <w:pPr>
        <w:spacing w:after="0" w:line="130" w:lineRule="exact"/>
        <w:rPr>
          <w:rFonts w:ascii="Arial" w:cs="Arial" w:eastAsia="Arial" w:hAnsi="Arial"/>
          <w:sz w:val="18"/>
          <w:szCs w:val="18"/>
          <w:color w:val="auto"/>
        </w:rPr>
      </w:pPr>
    </w:p>
    <w:p>
      <w:pPr>
        <w:ind w:left="284" w:right="80" w:hanging="284"/>
        <w:spacing w:after="0" w:line="269" w:lineRule="auto"/>
        <w:tabs>
          <w:tab w:leader="none" w:pos="284" w:val="left"/>
        </w:tabs>
        <w:numPr>
          <w:ilvl w:val="0"/>
          <w:numId w:val="195"/>
        </w:numPr>
        <w:rPr>
          <w:rFonts w:ascii="Arial" w:cs="Arial" w:eastAsia="Arial" w:hAnsi="Arial"/>
          <w:sz w:val="17"/>
          <w:szCs w:val="17"/>
          <w:color w:val="auto"/>
        </w:rPr>
      </w:pPr>
      <w:r>
        <w:rPr>
          <w:rFonts w:ascii="Arial" w:cs="Arial" w:eastAsia="Arial" w:hAnsi="Arial"/>
          <w:sz w:val="17"/>
          <w:szCs w:val="17"/>
          <w:color w:val="auto"/>
        </w:rPr>
        <w:t>It is the intention of the Company that benefits payable under this Plan shall be eligible for exclusion from the gross income of the officers covered by this Plan, as provided by Section 105 of the Internal Revenue Code of 1986, as hereafter amended. If such benefits are not excludable, additional benefits will be paid so that each officer will be in the same financial position after payment as he would have been if the benefits had been excludable; provided, however, that such additional benefits shall be made by the end of the officer’s taxable year next following the officer’s taxable year in which the officer remits the related taxes, in accordance with Treasury Regulation Section 1.409A-3(i)(1)</w:t>
      </w:r>
    </w:p>
    <w:p>
      <w:pPr>
        <w:spacing w:after="0" w:line="1" w:lineRule="exact"/>
        <w:rPr>
          <w:rFonts w:ascii="Arial" w:cs="Arial" w:eastAsia="Arial" w:hAnsi="Arial"/>
          <w:sz w:val="17"/>
          <w:szCs w:val="17"/>
          <w:color w:val="auto"/>
        </w:rPr>
      </w:pPr>
    </w:p>
    <w:p>
      <w:pPr>
        <w:ind w:left="284"/>
        <w:spacing w:after="0"/>
        <w:rPr>
          <w:rFonts w:ascii="Arial" w:cs="Arial" w:eastAsia="Arial" w:hAnsi="Arial"/>
          <w:sz w:val="17"/>
          <w:szCs w:val="17"/>
          <w:color w:val="auto"/>
        </w:rPr>
      </w:pPr>
      <w:r>
        <w:rPr>
          <w:rFonts w:ascii="Arial" w:cs="Arial" w:eastAsia="Arial" w:hAnsi="Arial"/>
          <w:sz w:val="19"/>
          <w:szCs w:val="19"/>
          <w:color w:val="auto"/>
        </w:rPr>
        <w:t>(v).</w:t>
      </w:r>
    </w:p>
    <w:p>
      <w:pPr>
        <w:spacing w:after="0" w:line="161" w:lineRule="exact"/>
        <w:rPr>
          <w:rFonts w:ascii="Arial" w:cs="Arial" w:eastAsia="Arial" w:hAnsi="Arial"/>
          <w:sz w:val="17"/>
          <w:szCs w:val="17"/>
          <w:color w:val="auto"/>
        </w:rPr>
      </w:pPr>
    </w:p>
    <w:p>
      <w:pPr>
        <w:ind w:left="284" w:hanging="284"/>
        <w:spacing w:after="0"/>
        <w:tabs>
          <w:tab w:leader="none" w:pos="284" w:val="left"/>
        </w:tabs>
        <w:numPr>
          <w:ilvl w:val="0"/>
          <w:numId w:val="195"/>
        </w:numPr>
        <w:rPr>
          <w:rFonts w:ascii="Arial" w:cs="Arial" w:eastAsia="Arial" w:hAnsi="Arial"/>
          <w:sz w:val="19"/>
          <w:szCs w:val="19"/>
          <w:color w:val="auto"/>
        </w:rPr>
      </w:pPr>
      <w:r>
        <w:rPr>
          <w:rFonts w:ascii="Arial" w:cs="Arial" w:eastAsia="Arial" w:hAnsi="Arial"/>
          <w:sz w:val="19"/>
          <w:szCs w:val="19"/>
          <w:color w:val="auto"/>
        </w:rPr>
        <w:t>A copy of this Plan shall be given to all officers of the Company who are or become participants in this Plan.</w:t>
      </w:r>
    </w:p>
    <w:p>
      <w:pPr>
        <w:spacing w:after="0" w:line="189" w:lineRule="exact"/>
        <w:rPr>
          <w:rFonts w:ascii="Arial" w:cs="Arial" w:eastAsia="Arial" w:hAnsi="Arial"/>
          <w:sz w:val="19"/>
          <w:szCs w:val="19"/>
          <w:color w:val="auto"/>
        </w:rPr>
      </w:pPr>
    </w:p>
    <w:p>
      <w:pPr>
        <w:ind w:left="284" w:right="340" w:hanging="284"/>
        <w:spacing w:after="0" w:line="252" w:lineRule="auto"/>
        <w:tabs>
          <w:tab w:leader="none" w:pos="284" w:val="left"/>
        </w:tabs>
        <w:numPr>
          <w:ilvl w:val="0"/>
          <w:numId w:val="195"/>
        </w:numPr>
        <w:rPr>
          <w:rFonts w:ascii="Arial" w:cs="Arial" w:eastAsia="Arial" w:hAnsi="Arial"/>
          <w:sz w:val="19"/>
          <w:szCs w:val="19"/>
          <w:color w:val="auto"/>
        </w:rPr>
      </w:pPr>
      <w:r>
        <w:rPr>
          <w:rFonts w:ascii="Arial" w:cs="Arial" w:eastAsia="Arial" w:hAnsi="Arial"/>
          <w:sz w:val="19"/>
          <w:szCs w:val="19"/>
          <w:color w:val="auto"/>
        </w:rPr>
        <w:t xml:space="preserve">This Plan shall be subject to amendment or termination at any time hereafter by affirmative vote of the Board of Directors of the Company, </w:t>
      </w:r>
      <w:r>
        <w:rPr>
          <w:rFonts w:ascii="Arial" w:cs="Arial" w:eastAsia="Arial" w:hAnsi="Arial"/>
          <w:sz w:val="19"/>
          <w:szCs w:val="19"/>
          <w:i w:val="1"/>
          <w:iCs w:val="1"/>
          <w:color w:val="auto"/>
        </w:rPr>
        <w:t>provided, however</w:t>
      </w:r>
      <w:r>
        <w:rPr>
          <w:rFonts w:ascii="Arial" w:cs="Arial" w:eastAsia="Arial" w:hAnsi="Arial"/>
          <w:sz w:val="19"/>
          <w:szCs w:val="19"/>
          <w:color w:val="auto"/>
        </w:rPr>
        <w:t>, that such termination shall not affect any right to claim reimbursement for medical expenses arising prior to the effective</w:t>
      </w:r>
      <w:r>
        <w:rPr>
          <w:rFonts w:ascii="Arial" w:cs="Arial" w:eastAsia="Arial" w:hAnsi="Arial"/>
          <w:sz w:val="19"/>
          <w:szCs w:val="19"/>
          <w:i w:val="1"/>
          <w:iCs w:val="1"/>
          <w:color w:val="auto"/>
        </w:rPr>
        <w:t xml:space="preserve"> </w:t>
      </w:r>
      <w:r>
        <w:rPr>
          <w:rFonts w:ascii="Arial" w:cs="Arial" w:eastAsia="Arial" w:hAnsi="Arial"/>
          <w:sz w:val="19"/>
          <w:szCs w:val="19"/>
          <w:color w:val="auto"/>
        </w:rPr>
        <w:t>date of said termination.</w:t>
      </w:r>
    </w:p>
    <w:p>
      <w:pPr>
        <w:spacing w:after="0" w:line="140" w:lineRule="exact"/>
        <w:rPr>
          <w:rFonts w:ascii="Arial" w:cs="Arial" w:eastAsia="Arial" w:hAnsi="Arial"/>
          <w:sz w:val="19"/>
          <w:szCs w:val="19"/>
          <w:color w:val="auto"/>
        </w:rPr>
      </w:pPr>
    </w:p>
    <w:p>
      <w:pPr>
        <w:ind w:left="284" w:hanging="284"/>
        <w:spacing w:after="0"/>
        <w:tabs>
          <w:tab w:leader="none" w:pos="284" w:val="left"/>
        </w:tabs>
        <w:numPr>
          <w:ilvl w:val="0"/>
          <w:numId w:val="195"/>
        </w:numPr>
        <w:rPr>
          <w:rFonts w:ascii="Arial" w:cs="Arial" w:eastAsia="Arial" w:hAnsi="Arial"/>
          <w:sz w:val="19"/>
          <w:szCs w:val="19"/>
          <w:color w:val="auto"/>
        </w:rPr>
      </w:pPr>
      <w:r>
        <w:rPr>
          <w:rFonts w:ascii="Arial" w:cs="Arial" w:eastAsia="Arial" w:hAnsi="Arial"/>
          <w:sz w:val="19"/>
          <w:szCs w:val="19"/>
          <w:color w:val="auto"/>
        </w:rPr>
        <w:t>The Company shall be the named fiduciary for purposes of Section 402(a) of the Employee Retirement Income Security Act of 1974.</w:t>
      </w:r>
    </w:p>
    <w:p>
      <w:pPr>
        <w:spacing w:after="0" w:line="177" w:lineRule="exact"/>
        <w:rPr>
          <w:rFonts w:ascii="Arial" w:cs="Arial" w:eastAsia="Arial" w:hAnsi="Arial"/>
          <w:sz w:val="19"/>
          <w:szCs w:val="19"/>
          <w:color w:val="auto"/>
        </w:rPr>
      </w:pPr>
    </w:p>
    <w:p>
      <w:pPr>
        <w:ind w:left="284" w:right="120" w:hanging="284"/>
        <w:spacing w:after="0" w:line="296" w:lineRule="auto"/>
        <w:tabs>
          <w:tab w:leader="none" w:pos="284" w:val="left"/>
        </w:tabs>
        <w:numPr>
          <w:ilvl w:val="0"/>
          <w:numId w:val="195"/>
        </w:numPr>
        <w:rPr>
          <w:rFonts w:ascii="Arial" w:cs="Arial" w:eastAsia="Arial" w:hAnsi="Arial"/>
          <w:sz w:val="17"/>
          <w:szCs w:val="17"/>
          <w:color w:val="auto"/>
        </w:rPr>
      </w:pPr>
      <w:r>
        <w:rPr>
          <w:rFonts w:ascii="Arial" w:cs="Arial" w:eastAsia="Arial" w:hAnsi="Arial"/>
          <w:sz w:val="17"/>
          <w:szCs w:val="17"/>
          <w:color w:val="auto"/>
        </w:rPr>
        <w:t>The Company’s Senior Vice President of Human Resources Officer shall have discretionary authority with respect to administrative matters relating to this Plan, except when exercise of such authority would materially affect the cost of the Plan to the Employer, materially increase benefits to Participants, or affect such Senior Vice President Human Resources Officer in a manner materially different from other participants.</w:t>
      </w:r>
    </w:p>
    <w:p>
      <w:pPr>
        <w:sectPr>
          <w:pgSz w:w="11900" w:h="16838" w:orient="portrait"/>
          <w:cols w:equalWidth="0" w:num="1">
            <w:col w:w="11424"/>
          </w:cols>
          <w:pgMar w:left="236" w:top="505" w:right="239" w:bottom="1440" w:gutter="0" w:footer="0" w:header="0"/>
        </w:sectPr>
      </w:pPr>
    </w:p>
    <w:bookmarkStart w:id="134" w:name="page135"/>
    <w:bookmarkEnd w:id="134"/>
    <w:p>
      <w:pPr>
        <w:ind w:left="4524"/>
        <w:spacing w:after="0"/>
        <w:rPr>
          <w:sz w:val="20"/>
          <w:szCs w:val="20"/>
          <w:color w:val="auto"/>
        </w:rPr>
      </w:pPr>
      <w:r>
        <w:rPr>
          <w:rFonts w:ascii="Arial" w:cs="Arial" w:eastAsia="Arial" w:hAnsi="Arial"/>
          <w:sz w:val="19"/>
          <w:szCs w:val="19"/>
          <w:b w:val="1"/>
          <w:bCs w:val="1"/>
          <w:color w:val="auto"/>
        </w:rPr>
        <w:t>SCHEDULE OF BENEFITS</w:t>
      </w:r>
    </w:p>
    <w:p>
      <w:pPr>
        <w:spacing w:after="0" w:line="190" w:lineRule="exact"/>
        <w:rPr>
          <w:sz w:val="20"/>
          <w:szCs w:val="20"/>
          <w:color w:val="auto"/>
        </w:rPr>
      </w:pPr>
    </w:p>
    <w:p>
      <w:pPr>
        <w:ind w:left="4364"/>
        <w:spacing w:after="0"/>
        <w:rPr>
          <w:sz w:val="20"/>
          <w:szCs w:val="20"/>
          <w:color w:val="auto"/>
        </w:rPr>
      </w:pPr>
      <w:r>
        <w:rPr>
          <w:rFonts w:ascii="Arial" w:cs="Arial" w:eastAsia="Arial" w:hAnsi="Arial"/>
          <w:sz w:val="19"/>
          <w:szCs w:val="19"/>
          <w:b w:val="1"/>
          <w:bCs w:val="1"/>
          <w:color w:val="auto"/>
        </w:rPr>
        <w:t>EXECUTIVE MEDICAL PLAN</w:t>
      </w:r>
    </w:p>
    <w:p>
      <w:pPr>
        <w:spacing w:after="0" w:line="190" w:lineRule="exact"/>
        <w:rPr>
          <w:sz w:val="20"/>
          <w:szCs w:val="20"/>
          <w:color w:val="auto"/>
        </w:rPr>
      </w:pPr>
    </w:p>
    <w:p>
      <w:pPr>
        <w:ind w:left="4"/>
        <w:spacing w:after="0"/>
        <w:rPr>
          <w:sz w:val="20"/>
          <w:szCs w:val="20"/>
          <w:color w:val="auto"/>
        </w:rPr>
      </w:pPr>
      <w:r>
        <w:rPr>
          <w:rFonts w:ascii="Arial" w:cs="Arial" w:eastAsia="Arial" w:hAnsi="Arial"/>
          <w:sz w:val="19"/>
          <w:szCs w:val="19"/>
          <w:b w:val="1"/>
          <w:bCs w:val="1"/>
          <w:u w:val="single" w:color="auto"/>
          <w:color w:val="auto"/>
        </w:rPr>
        <w:t>MEDICAL CARE EXPENSES SUBJECT TO REIMBURSEMENT</w:t>
      </w:r>
    </w:p>
    <w:p>
      <w:pPr>
        <w:spacing w:after="0" w:line="184" w:lineRule="exact"/>
        <w:rPr>
          <w:sz w:val="20"/>
          <w:szCs w:val="20"/>
          <w:color w:val="auto"/>
        </w:rPr>
      </w:pPr>
    </w:p>
    <w:p>
      <w:pPr>
        <w:ind w:left="284" w:right="60" w:hanging="284"/>
        <w:spacing w:after="0" w:line="266" w:lineRule="auto"/>
        <w:tabs>
          <w:tab w:leader="none" w:pos="284" w:val="left"/>
        </w:tabs>
        <w:numPr>
          <w:ilvl w:val="0"/>
          <w:numId w:val="196"/>
        </w:numPr>
        <w:rPr>
          <w:rFonts w:ascii="Arial" w:cs="Arial" w:eastAsia="Arial" w:hAnsi="Arial"/>
          <w:sz w:val="19"/>
          <w:szCs w:val="19"/>
          <w:color w:val="auto"/>
        </w:rPr>
      </w:pPr>
      <w:r>
        <w:rPr>
          <w:rFonts w:ascii="Arial" w:cs="Arial" w:eastAsia="Arial" w:hAnsi="Arial"/>
          <w:sz w:val="19"/>
          <w:szCs w:val="19"/>
          <w:color w:val="auto"/>
        </w:rPr>
        <w:t>Employee’s and employee’s dependents’ deductible under the Health and/or Dental Plans sponsored by the Company and/or a subsidiary of the Company (“Health and Dental Plans”).</w:t>
      </w:r>
    </w:p>
    <w:p>
      <w:pPr>
        <w:spacing w:after="0" w:line="140" w:lineRule="exact"/>
        <w:rPr>
          <w:rFonts w:ascii="Arial" w:cs="Arial" w:eastAsia="Arial" w:hAnsi="Arial"/>
          <w:sz w:val="19"/>
          <w:szCs w:val="19"/>
          <w:color w:val="auto"/>
        </w:rPr>
      </w:pPr>
    </w:p>
    <w:p>
      <w:pPr>
        <w:ind w:left="284" w:hanging="284"/>
        <w:spacing w:after="0"/>
        <w:tabs>
          <w:tab w:leader="none" w:pos="284" w:val="left"/>
        </w:tabs>
        <w:numPr>
          <w:ilvl w:val="0"/>
          <w:numId w:val="196"/>
        </w:numPr>
        <w:rPr>
          <w:rFonts w:ascii="Arial" w:cs="Arial" w:eastAsia="Arial" w:hAnsi="Arial"/>
          <w:sz w:val="18"/>
          <w:szCs w:val="18"/>
          <w:color w:val="auto"/>
        </w:rPr>
      </w:pPr>
      <w:r>
        <w:rPr>
          <w:rFonts w:ascii="Arial" w:cs="Arial" w:eastAsia="Arial" w:hAnsi="Arial"/>
          <w:sz w:val="18"/>
          <w:szCs w:val="18"/>
          <w:color w:val="auto"/>
        </w:rPr>
        <w:t>Employee’s and employee’s dependents’ copayment obligation for dental and major medical liability under the Health and Dental Plans.</w:t>
      </w:r>
    </w:p>
    <w:p>
      <w:pPr>
        <w:spacing w:after="0" w:line="189" w:lineRule="exact"/>
        <w:rPr>
          <w:rFonts w:ascii="Arial" w:cs="Arial" w:eastAsia="Arial" w:hAnsi="Arial"/>
          <w:sz w:val="18"/>
          <w:szCs w:val="18"/>
          <w:color w:val="auto"/>
        </w:rPr>
      </w:pPr>
    </w:p>
    <w:p>
      <w:pPr>
        <w:ind w:left="284" w:hanging="284"/>
        <w:spacing w:after="0"/>
        <w:tabs>
          <w:tab w:leader="none" w:pos="284" w:val="left"/>
        </w:tabs>
        <w:numPr>
          <w:ilvl w:val="0"/>
          <w:numId w:val="196"/>
        </w:numPr>
        <w:rPr>
          <w:rFonts w:ascii="Arial" w:cs="Arial" w:eastAsia="Arial" w:hAnsi="Arial"/>
          <w:sz w:val="18"/>
          <w:szCs w:val="18"/>
          <w:color w:val="auto"/>
        </w:rPr>
      </w:pPr>
      <w:r>
        <w:rPr>
          <w:rFonts w:ascii="Arial" w:cs="Arial" w:eastAsia="Arial" w:hAnsi="Arial"/>
          <w:sz w:val="18"/>
          <w:szCs w:val="18"/>
          <w:color w:val="auto"/>
        </w:rPr>
        <w:t>Differential between the amount payable for room and board under the Health Plan and the actual charge for a private hospital room.</w:t>
      </w:r>
    </w:p>
    <w:p>
      <w:pPr>
        <w:spacing w:after="0" w:line="189" w:lineRule="exact"/>
        <w:rPr>
          <w:rFonts w:ascii="Arial" w:cs="Arial" w:eastAsia="Arial" w:hAnsi="Arial"/>
          <w:sz w:val="18"/>
          <w:szCs w:val="18"/>
          <w:color w:val="auto"/>
        </w:rPr>
      </w:pPr>
    </w:p>
    <w:p>
      <w:pPr>
        <w:ind w:left="284" w:hanging="284"/>
        <w:spacing w:after="0"/>
        <w:tabs>
          <w:tab w:leader="none" w:pos="284" w:val="left"/>
        </w:tabs>
        <w:numPr>
          <w:ilvl w:val="0"/>
          <w:numId w:val="196"/>
        </w:numPr>
        <w:rPr>
          <w:rFonts w:ascii="Arial" w:cs="Arial" w:eastAsia="Arial" w:hAnsi="Arial"/>
          <w:sz w:val="17"/>
          <w:szCs w:val="17"/>
          <w:color w:val="auto"/>
        </w:rPr>
      </w:pPr>
      <w:r>
        <w:rPr>
          <w:rFonts w:ascii="Arial" w:cs="Arial" w:eastAsia="Arial" w:hAnsi="Arial"/>
          <w:sz w:val="17"/>
          <w:szCs w:val="17"/>
          <w:color w:val="auto"/>
        </w:rPr>
        <w:t>Differential between the amounts payable for eligible medical and dental expenses under the Health and Dental Plans and the actual charges.</w:t>
      </w:r>
    </w:p>
    <w:p>
      <w:pPr>
        <w:spacing w:after="0" w:line="212" w:lineRule="exact"/>
        <w:rPr>
          <w:rFonts w:ascii="Arial" w:cs="Arial" w:eastAsia="Arial" w:hAnsi="Arial"/>
          <w:sz w:val="17"/>
          <w:szCs w:val="17"/>
          <w:color w:val="auto"/>
        </w:rPr>
      </w:pPr>
    </w:p>
    <w:p>
      <w:pPr>
        <w:ind w:left="284" w:hanging="284"/>
        <w:spacing w:after="0"/>
        <w:tabs>
          <w:tab w:leader="none" w:pos="284" w:val="left"/>
        </w:tabs>
        <w:numPr>
          <w:ilvl w:val="0"/>
          <w:numId w:val="196"/>
        </w:numPr>
        <w:rPr>
          <w:rFonts w:ascii="Arial" w:cs="Arial" w:eastAsia="Arial" w:hAnsi="Arial"/>
          <w:sz w:val="17"/>
          <w:szCs w:val="17"/>
          <w:color w:val="auto"/>
        </w:rPr>
      </w:pPr>
      <w:r>
        <w:rPr>
          <w:rFonts w:ascii="Arial" w:cs="Arial" w:eastAsia="Arial" w:hAnsi="Arial"/>
          <w:sz w:val="17"/>
          <w:szCs w:val="17"/>
          <w:color w:val="auto"/>
        </w:rPr>
        <w:t>Necessary transportation (within the continental USA and Canada) of the patient to or from the nearest facility equipped to furnish treatment.</w:t>
      </w:r>
    </w:p>
    <w:p>
      <w:pPr>
        <w:spacing w:after="0" w:line="200" w:lineRule="exact"/>
        <w:rPr>
          <w:rFonts w:ascii="Arial" w:cs="Arial" w:eastAsia="Arial" w:hAnsi="Arial"/>
          <w:sz w:val="17"/>
          <w:szCs w:val="17"/>
          <w:color w:val="auto"/>
        </w:rPr>
      </w:pPr>
    </w:p>
    <w:p>
      <w:pPr>
        <w:ind w:left="284" w:hanging="284"/>
        <w:spacing w:after="0"/>
        <w:tabs>
          <w:tab w:leader="none" w:pos="284" w:val="left"/>
        </w:tabs>
        <w:numPr>
          <w:ilvl w:val="0"/>
          <w:numId w:val="196"/>
        </w:numPr>
        <w:rPr>
          <w:rFonts w:ascii="Arial" w:cs="Arial" w:eastAsia="Arial" w:hAnsi="Arial"/>
          <w:sz w:val="19"/>
          <w:szCs w:val="19"/>
          <w:color w:val="auto"/>
        </w:rPr>
      </w:pPr>
      <w:r>
        <w:rPr>
          <w:rFonts w:ascii="Arial" w:cs="Arial" w:eastAsia="Arial" w:hAnsi="Arial"/>
          <w:sz w:val="19"/>
          <w:szCs w:val="19"/>
          <w:color w:val="auto"/>
        </w:rPr>
        <w:t>Eye refractions and the purchase or fitting of hearing aids and eyeglasses, including prescription sunglasses and contact lenses.</w:t>
      </w:r>
    </w:p>
    <w:p>
      <w:pPr>
        <w:spacing w:after="0" w:line="177" w:lineRule="exact"/>
        <w:rPr>
          <w:rFonts w:ascii="Arial" w:cs="Arial" w:eastAsia="Arial" w:hAnsi="Arial"/>
          <w:sz w:val="19"/>
          <w:szCs w:val="19"/>
          <w:color w:val="auto"/>
        </w:rPr>
      </w:pPr>
    </w:p>
    <w:p>
      <w:pPr>
        <w:ind w:left="284" w:hanging="284"/>
        <w:spacing w:after="0"/>
        <w:tabs>
          <w:tab w:leader="none" w:pos="284" w:val="left"/>
        </w:tabs>
        <w:numPr>
          <w:ilvl w:val="0"/>
          <w:numId w:val="196"/>
        </w:numPr>
        <w:rPr>
          <w:rFonts w:ascii="Arial" w:cs="Arial" w:eastAsia="Arial" w:hAnsi="Arial"/>
          <w:sz w:val="19"/>
          <w:szCs w:val="19"/>
          <w:color w:val="auto"/>
        </w:rPr>
      </w:pPr>
      <w:r>
        <w:rPr>
          <w:rFonts w:ascii="Arial" w:cs="Arial" w:eastAsia="Arial" w:hAnsi="Arial"/>
          <w:sz w:val="19"/>
          <w:szCs w:val="19"/>
          <w:color w:val="auto"/>
        </w:rPr>
        <w:t>Replacement of lost or stolen dentures, bridges, or dental appliances.</w:t>
      </w:r>
    </w:p>
    <w:p>
      <w:pPr>
        <w:spacing w:after="0" w:line="189" w:lineRule="exact"/>
        <w:rPr>
          <w:rFonts w:ascii="Arial" w:cs="Arial" w:eastAsia="Arial" w:hAnsi="Arial"/>
          <w:sz w:val="19"/>
          <w:szCs w:val="19"/>
          <w:color w:val="auto"/>
        </w:rPr>
      </w:pPr>
    </w:p>
    <w:p>
      <w:pPr>
        <w:ind w:left="284" w:hanging="284"/>
        <w:spacing w:after="0"/>
        <w:tabs>
          <w:tab w:leader="none" w:pos="284" w:val="left"/>
        </w:tabs>
        <w:numPr>
          <w:ilvl w:val="0"/>
          <w:numId w:val="196"/>
        </w:numPr>
        <w:rPr>
          <w:rFonts w:ascii="Arial" w:cs="Arial" w:eastAsia="Arial" w:hAnsi="Arial"/>
          <w:sz w:val="19"/>
          <w:szCs w:val="19"/>
          <w:color w:val="auto"/>
        </w:rPr>
      </w:pPr>
      <w:r>
        <w:rPr>
          <w:rFonts w:ascii="Arial" w:cs="Arial" w:eastAsia="Arial" w:hAnsi="Arial"/>
          <w:sz w:val="19"/>
          <w:szCs w:val="19"/>
          <w:color w:val="auto"/>
        </w:rPr>
        <w:t>HMO copayments.</w:t>
      </w:r>
    </w:p>
    <w:p>
      <w:pPr>
        <w:spacing w:after="0" w:line="177" w:lineRule="exact"/>
        <w:rPr>
          <w:rFonts w:ascii="Arial" w:cs="Arial" w:eastAsia="Arial" w:hAnsi="Arial"/>
          <w:sz w:val="19"/>
          <w:szCs w:val="19"/>
          <w:color w:val="auto"/>
        </w:rPr>
      </w:pPr>
    </w:p>
    <w:p>
      <w:pPr>
        <w:ind w:left="284" w:hanging="284"/>
        <w:spacing w:after="0"/>
        <w:tabs>
          <w:tab w:leader="none" w:pos="284" w:val="left"/>
        </w:tabs>
        <w:numPr>
          <w:ilvl w:val="0"/>
          <w:numId w:val="196"/>
        </w:numPr>
        <w:rPr>
          <w:rFonts w:ascii="Arial" w:cs="Arial" w:eastAsia="Arial" w:hAnsi="Arial"/>
          <w:sz w:val="19"/>
          <w:szCs w:val="19"/>
          <w:color w:val="auto"/>
        </w:rPr>
      </w:pPr>
      <w:r>
        <w:rPr>
          <w:rFonts w:ascii="Arial" w:cs="Arial" w:eastAsia="Arial" w:hAnsi="Arial"/>
          <w:sz w:val="19"/>
          <w:szCs w:val="19"/>
          <w:color w:val="auto"/>
        </w:rPr>
        <w:t>Podiatric treatment and services when medically necessary.</w:t>
      </w:r>
    </w:p>
    <w:p>
      <w:pPr>
        <w:spacing w:after="0" w:line="177" w:lineRule="exact"/>
        <w:rPr>
          <w:rFonts w:ascii="Arial" w:cs="Arial" w:eastAsia="Arial" w:hAnsi="Arial"/>
          <w:sz w:val="19"/>
          <w:szCs w:val="19"/>
          <w:color w:val="auto"/>
        </w:rPr>
      </w:pPr>
    </w:p>
    <w:p>
      <w:pPr>
        <w:ind w:left="284" w:hanging="284"/>
        <w:spacing w:after="0" w:line="266" w:lineRule="auto"/>
        <w:tabs>
          <w:tab w:leader="none" w:pos="284" w:val="left"/>
        </w:tabs>
        <w:numPr>
          <w:ilvl w:val="0"/>
          <w:numId w:val="196"/>
        </w:numPr>
        <w:rPr>
          <w:rFonts w:ascii="Arial" w:cs="Arial" w:eastAsia="Arial" w:hAnsi="Arial"/>
          <w:sz w:val="19"/>
          <w:szCs w:val="19"/>
          <w:color w:val="auto"/>
        </w:rPr>
      </w:pPr>
      <w:r>
        <w:rPr>
          <w:rFonts w:ascii="Arial" w:cs="Arial" w:eastAsia="Arial" w:hAnsi="Arial"/>
          <w:sz w:val="19"/>
          <w:szCs w:val="19"/>
          <w:color w:val="auto"/>
        </w:rPr>
        <w:t>Charges incurred outside of the United States subject to any limits in this plan and the Health and Dental Plans which would be applicable if the charges had been incurred within the United States.</w:t>
      </w:r>
    </w:p>
    <w:p>
      <w:pPr>
        <w:sectPr>
          <w:pgSz w:w="11900" w:h="16838" w:orient="portrait"/>
          <w:cols w:equalWidth="0" w:num="1">
            <w:col w:w="11364"/>
          </w:cols>
          <w:pgMar w:left="236" w:top="499" w:right="299" w:bottom="1440" w:gutter="0" w:footer="0" w:header="0"/>
        </w:sectPr>
      </w:pPr>
    </w:p>
    <w:bookmarkStart w:id="135" w:name="page136"/>
    <w:bookmarkEnd w:id="135"/>
    <w:p>
      <w:pPr>
        <w:ind w:left="4"/>
        <w:spacing w:after="0"/>
        <w:rPr>
          <w:sz w:val="20"/>
          <w:szCs w:val="20"/>
          <w:color w:val="auto"/>
        </w:rPr>
      </w:pPr>
      <w:r>
        <w:rPr>
          <w:rFonts w:ascii="Arial" w:cs="Arial" w:eastAsia="Arial" w:hAnsi="Arial"/>
          <w:sz w:val="19"/>
          <w:szCs w:val="19"/>
          <w:b w:val="1"/>
          <w:bCs w:val="1"/>
          <w:u w:val="single" w:color="auto"/>
          <w:color w:val="auto"/>
        </w:rPr>
        <w:t>MAXIMUM BENEFITS</w:t>
      </w:r>
    </w:p>
    <w:p>
      <w:pPr>
        <w:spacing w:after="0" w:line="184" w:lineRule="exact"/>
        <w:rPr>
          <w:sz w:val="20"/>
          <w:szCs w:val="20"/>
          <w:color w:val="auto"/>
        </w:rPr>
      </w:pPr>
    </w:p>
    <w:p>
      <w:pPr>
        <w:jc w:val="both"/>
        <w:ind w:left="284" w:hanging="284"/>
        <w:spacing w:after="0" w:line="252" w:lineRule="auto"/>
        <w:tabs>
          <w:tab w:leader="none" w:pos="284" w:val="left"/>
        </w:tabs>
        <w:numPr>
          <w:ilvl w:val="0"/>
          <w:numId w:val="197"/>
        </w:numPr>
        <w:rPr>
          <w:rFonts w:ascii="Arial" w:cs="Arial" w:eastAsia="Arial" w:hAnsi="Arial"/>
          <w:sz w:val="19"/>
          <w:szCs w:val="19"/>
          <w:color w:val="auto"/>
        </w:rPr>
      </w:pPr>
      <w:r>
        <w:rPr>
          <w:rFonts w:ascii="Arial" w:cs="Arial" w:eastAsia="Arial" w:hAnsi="Arial"/>
          <w:sz w:val="19"/>
          <w:szCs w:val="19"/>
          <w:color w:val="auto"/>
        </w:rPr>
        <w:t>Maximum payable under this plan: $20,000 maximum annual medical (including dental and treatment for mental illness, nervous disorders, and chemical dependency) benefit per family. Provided that for the first plan year (July 1 – December 31, 1998) the $20,000 shall be reduced by any benefits received in 1998 from the Pacific Enterprises Supplemental Medical Reimbursement Plan.</w:t>
      </w:r>
    </w:p>
    <w:p>
      <w:pPr>
        <w:spacing w:after="0" w:line="152" w:lineRule="exact"/>
        <w:rPr>
          <w:rFonts w:ascii="Arial" w:cs="Arial" w:eastAsia="Arial" w:hAnsi="Arial"/>
          <w:sz w:val="19"/>
          <w:szCs w:val="19"/>
          <w:color w:val="auto"/>
        </w:rPr>
      </w:pPr>
    </w:p>
    <w:p>
      <w:pPr>
        <w:ind w:left="284" w:hanging="284"/>
        <w:spacing w:after="0"/>
        <w:tabs>
          <w:tab w:leader="none" w:pos="284" w:val="left"/>
        </w:tabs>
        <w:numPr>
          <w:ilvl w:val="0"/>
          <w:numId w:val="197"/>
        </w:numPr>
        <w:rPr>
          <w:rFonts w:ascii="Arial" w:cs="Arial" w:eastAsia="Arial" w:hAnsi="Arial"/>
          <w:sz w:val="19"/>
          <w:szCs w:val="19"/>
          <w:color w:val="auto"/>
        </w:rPr>
      </w:pPr>
      <w:r>
        <w:rPr>
          <w:rFonts w:ascii="Arial" w:cs="Arial" w:eastAsia="Arial" w:hAnsi="Arial"/>
          <w:sz w:val="19"/>
          <w:szCs w:val="19"/>
          <w:color w:val="auto"/>
        </w:rPr>
        <w:t>Maximum payable under a combination of all Health and Dental plans in which member is a participant:</w:t>
      </w:r>
    </w:p>
    <w:p>
      <w:pPr>
        <w:sectPr>
          <w:pgSz w:w="11900" w:h="16838" w:orient="portrait"/>
          <w:cols w:equalWidth="0" w:num="1">
            <w:col w:w="11424"/>
          </w:cols>
          <w:pgMar w:left="236" w:top="499" w:right="239" w:bottom="1440" w:gutter="0" w:footer="0" w:header="0"/>
        </w:sectPr>
      </w:pPr>
    </w:p>
    <w:p>
      <w:pPr>
        <w:spacing w:after="0" w:line="187" w:lineRule="exact"/>
        <w:rPr>
          <w:sz w:val="20"/>
          <w:szCs w:val="20"/>
          <w:color w:val="auto"/>
        </w:rPr>
      </w:pPr>
    </w:p>
    <w:p>
      <w:pPr>
        <w:ind w:left="284"/>
        <w:spacing w:after="0"/>
        <w:rPr>
          <w:sz w:val="20"/>
          <w:szCs w:val="20"/>
          <w:color w:val="auto"/>
        </w:rPr>
      </w:pPr>
      <w:r>
        <w:rPr>
          <w:rFonts w:ascii="Arial" w:cs="Arial" w:eastAsia="Arial" w:hAnsi="Arial"/>
          <w:sz w:val="25"/>
          <w:szCs w:val="25"/>
          <w:color w:val="auto"/>
        </w:rPr>
        <w:t>§</w:t>
      </w:r>
    </w:p>
    <w:p>
      <w:pPr>
        <w:spacing w:after="0" w:line="121" w:lineRule="exact"/>
        <w:rPr>
          <w:sz w:val="20"/>
          <w:szCs w:val="20"/>
          <w:color w:val="auto"/>
        </w:rPr>
      </w:pPr>
    </w:p>
    <w:p>
      <w:pPr>
        <w:ind w:left="284"/>
        <w:spacing w:after="0"/>
        <w:rPr>
          <w:sz w:val="20"/>
          <w:szCs w:val="20"/>
          <w:color w:val="auto"/>
        </w:rPr>
      </w:pPr>
      <w:r>
        <w:rPr>
          <w:rFonts w:ascii="Arial" w:cs="Arial" w:eastAsia="Arial" w:hAnsi="Arial"/>
          <w:sz w:val="25"/>
          <w:szCs w:val="25"/>
          <w:color w:val="auto"/>
        </w:rPr>
        <w:t>§</w:t>
      </w:r>
    </w:p>
    <w:p>
      <w:pPr>
        <w:spacing w:after="0" w:line="20" w:lineRule="exact"/>
        <w:rPr>
          <w:sz w:val="20"/>
          <w:szCs w:val="20"/>
          <w:color w:val="auto"/>
        </w:rPr>
      </w:pPr>
      <w:r>
        <w:rPr>
          <w:sz w:val="20"/>
          <w:szCs w:val="20"/>
          <w:color w:val="auto"/>
        </w:rPr>
        <w:br w:type="column"/>
      </w:r>
    </w:p>
    <w:p>
      <w:pPr>
        <w:spacing w:after="0" w:line="170" w:lineRule="exact"/>
        <w:rPr>
          <w:sz w:val="20"/>
          <w:szCs w:val="20"/>
          <w:color w:val="auto"/>
        </w:rPr>
      </w:pPr>
    </w:p>
    <w:p>
      <w:pPr>
        <w:spacing w:after="0"/>
        <w:rPr>
          <w:sz w:val="20"/>
          <w:szCs w:val="20"/>
          <w:color w:val="auto"/>
        </w:rPr>
      </w:pPr>
      <w:r>
        <w:rPr>
          <w:rFonts w:ascii="Arial" w:cs="Arial" w:eastAsia="Arial" w:hAnsi="Arial"/>
          <w:sz w:val="19"/>
          <w:szCs w:val="19"/>
          <w:color w:val="auto"/>
        </w:rPr>
        <w:t>$1,500 lifetime orthodontic treatment maximum per member; and</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color w:val="auto"/>
        </w:rPr>
        <w:t>$1,000,000 lifetime medical and dental maximum for all illnesses per member.</w:t>
      </w:r>
    </w:p>
    <w:p>
      <w:pPr>
        <w:spacing w:after="0" w:line="289" w:lineRule="exact"/>
        <w:rPr>
          <w:sz w:val="20"/>
          <w:szCs w:val="20"/>
          <w:color w:val="auto"/>
        </w:rPr>
      </w:pPr>
    </w:p>
    <w:p>
      <w:pPr>
        <w:sectPr>
          <w:pgSz w:w="11900" w:h="16838" w:orient="portrait"/>
          <w:cols w:equalWidth="0" w:num="2">
            <w:col w:w="424" w:space="160"/>
            <w:col w:w="10840"/>
          </w:cols>
          <w:pgMar w:left="236" w:top="499" w:right="239" w:bottom="1440" w:gutter="0" w:footer="0" w:header="0"/>
          <w:type w:val="continuous"/>
        </w:sectPr>
      </w:pPr>
    </w:p>
    <w:p>
      <w:pPr>
        <w:spacing w:after="0" w:line="302" w:lineRule="exact"/>
        <w:rPr>
          <w:sz w:val="20"/>
          <w:szCs w:val="20"/>
          <w:color w:val="auto"/>
        </w:rPr>
      </w:pPr>
    </w:p>
    <w:p>
      <w:pPr>
        <w:ind w:left="4"/>
        <w:spacing w:after="0"/>
        <w:rPr>
          <w:sz w:val="20"/>
          <w:szCs w:val="20"/>
          <w:color w:val="auto"/>
        </w:rPr>
      </w:pPr>
      <w:r>
        <w:rPr>
          <w:rFonts w:ascii="Arial" w:cs="Arial" w:eastAsia="Arial" w:hAnsi="Arial"/>
          <w:sz w:val="19"/>
          <w:szCs w:val="19"/>
          <w:b w:val="1"/>
          <w:bCs w:val="1"/>
          <w:u w:val="single" w:color="auto"/>
          <w:color w:val="auto"/>
        </w:rPr>
        <w:t>CHARGES NOT COVERED</w:t>
      </w:r>
    </w:p>
    <w:p>
      <w:pPr>
        <w:spacing w:after="0" w:line="184" w:lineRule="exact"/>
        <w:rPr>
          <w:sz w:val="20"/>
          <w:szCs w:val="20"/>
          <w:color w:val="auto"/>
        </w:rPr>
      </w:pPr>
    </w:p>
    <w:p>
      <w:pPr>
        <w:ind w:left="284" w:hanging="284"/>
        <w:spacing w:after="0"/>
        <w:tabs>
          <w:tab w:leader="none" w:pos="284" w:val="left"/>
        </w:tabs>
        <w:numPr>
          <w:ilvl w:val="0"/>
          <w:numId w:val="198"/>
        </w:numPr>
        <w:rPr>
          <w:rFonts w:ascii="Arial" w:cs="Arial" w:eastAsia="Arial" w:hAnsi="Arial"/>
          <w:sz w:val="19"/>
          <w:szCs w:val="19"/>
          <w:color w:val="auto"/>
        </w:rPr>
      </w:pPr>
      <w:r>
        <w:rPr>
          <w:rFonts w:ascii="Arial" w:cs="Arial" w:eastAsia="Arial" w:hAnsi="Arial"/>
          <w:sz w:val="19"/>
          <w:szCs w:val="19"/>
          <w:color w:val="auto"/>
        </w:rPr>
        <w:t>Charges to the extent they would be covered under the Health and Dental Plans.</w:t>
      </w:r>
    </w:p>
    <w:p>
      <w:pPr>
        <w:spacing w:after="0" w:line="177" w:lineRule="exact"/>
        <w:rPr>
          <w:rFonts w:ascii="Arial" w:cs="Arial" w:eastAsia="Arial" w:hAnsi="Arial"/>
          <w:sz w:val="19"/>
          <w:szCs w:val="19"/>
          <w:color w:val="auto"/>
        </w:rPr>
      </w:pPr>
    </w:p>
    <w:p>
      <w:pPr>
        <w:ind w:left="284" w:right="80" w:hanging="284"/>
        <w:spacing w:after="0" w:line="266" w:lineRule="auto"/>
        <w:tabs>
          <w:tab w:leader="none" w:pos="284" w:val="left"/>
        </w:tabs>
        <w:numPr>
          <w:ilvl w:val="0"/>
          <w:numId w:val="198"/>
        </w:numPr>
        <w:rPr>
          <w:rFonts w:ascii="Arial" w:cs="Arial" w:eastAsia="Arial" w:hAnsi="Arial"/>
          <w:sz w:val="19"/>
          <w:szCs w:val="19"/>
          <w:color w:val="auto"/>
        </w:rPr>
      </w:pPr>
      <w:r>
        <w:rPr>
          <w:rFonts w:ascii="Arial" w:cs="Arial" w:eastAsia="Arial" w:hAnsi="Arial"/>
          <w:sz w:val="19"/>
          <w:szCs w:val="19"/>
          <w:color w:val="auto"/>
        </w:rPr>
        <w:t>Care, treatment or operations performed for cosmetic purposes, whether medical or dental, including dental implants, unless incurred as a result of any accident which occurred while insured.</w:t>
      </w:r>
    </w:p>
    <w:p>
      <w:pPr>
        <w:spacing w:after="0" w:line="140" w:lineRule="exact"/>
        <w:rPr>
          <w:rFonts w:ascii="Arial" w:cs="Arial" w:eastAsia="Arial" w:hAnsi="Arial"/>
          <w:sz w:val="19"/>
          <w:szCs w:val="19"/>
          <w:color w:val="auto"/>
        </w:rPr>
      </w:pPr>
    </w:p>
    <w:p>
      <w:pPr>
        <w:ind w:left="284" w:hanging="284"/>
        <w:spacing w:after="0"/>
        <w:tabs>
          <w:tab w:leader="none" w:pos="284" w:val="left"/>
        </w:tabs>
        <w:numPr>
          <w:ilvl w:val="0"/>
          <w:numId w:val="198"/>
        </w:numPr>
        <w:rPr>
          <w:rFonts w:ascii="Arial" w:cs="Arial" w:eastAsia="Arial" w:hAnsi="Arial"/>
          <w:sz w:val="19"/>
          <w:szCs w:val="19"/>
          <w:color w:val="auto"/>
        </w:rPr>
      </w:pPr>
      <w:r>
        <w:rPr>
          <w:rFonts w:ascii="Arial" w:cs="Arial" w:eastAsia="Arial" w:hAnsi="Arial"/>
          <w:sz w:val="19"/>
          <w:szCs w:val="19"/>
          <w:color w:val="auto"/>
        </w:rPr>
        <w:t>Charges for nonprescription drugs and medical supplies.</w:t>
      </w:r>
    </w:p>
    <w:p>
      <w:pPr>
        <w:spacing w:after="0" w:line="177" w:lineRule="exact"/>
        <w:rPr>
          <w:rFonts w:ascii="Arial" w:cs="Arial" w:eastAsia="Arial" w:hAnsi="Arial"/>
          <w:sz w:val="19"/>
          <w:szCs w:val="19"/>
          <w:color w:val="auto"/>
        </w:rPr>
      </w:pPr>
    </w:p>
    <w:p>
      <w:pPr>
        <w:ind w:left="284" w:hanging="284"/>
        <w:spacing w:after="0"/>
        <w:tabs>
          <w:tab w:leader="none" w:pos="284" w:val="left"/>
        </w:tabs>
        <w:numPr>
          <w:ilvl w:val="0"/>
          <w:numId w:val="198"/>
        </w:numPr>
        <w:rPr>
          <w:rFonts w:ascii="Arial" w:cs="Arial" w:eastAsia="Arial" w:hAnsi="Arial"/>
          <w:sz w:val="19"/>
          <w:szCs w:val="19"/>
          <w:color w:val="auto"/>
        </w:rPr>
      </w:pPr>
      <w:r>
        <w:rPr>
          <w:rFonts w:ascii="Arial" w:cs="Arial" w:eastAsia="Arial" w:hAnsi="Arial"/>
          <w:sz w:val="19"/>
          <w:szCs w:val="19"/>
          <w:color w:val="auto"/>
        </w:rPr>
        <w:t>Charges for care or treatment as a result of war, declared or undeclared.</w:t>
      </w:r>
    </w:p>
    <w:p>
      <w:pPr>
        <w:spacing w:after="0" w:line="177" w:lineRule="exact"/>
        <w:rPr>
          <w:rFonts w:ascii="Arial" w:cs="Arial" w:eastAsia="Arial" w:hAnsi="Arial"/>
          <w:sz w:val="19"/>
          <w:szCs w:val="19"/>
          <w:color w:val="auto"/>
        </w:rPr>
      </w:pPr>
    </w:p>
    <w:p>
      <w:pPr>
        <w:ind w:left="284" w:right="260" w:hanging="284"/>
        <w:spacing w:after="0" w:line="266" w:lineRule="auto"/>
        <w:tabs>
          <w:tab w:leader="none" w:pos="284" w:val="left"/>
        </w:tabs>
        <w:numPr>
          <w:ilvl w:val="0"/>
          <w:numId w:val="198"/>
        </w:numPr>
        <w:rPr>
          <w:rFonts w:ascii="Arial" w:cs="Arial" w:eastAsia="Arial" w:hAnsi="Arial"/>
          <w:sz w:val="19"/>
          <w:szCs w:val="19"/>
          <w:color w:val="auto"/>
        </w:rPr>
      </w:pPr>
      <w:r>
        <w:rPr>
          <w:rFonts w:ascii="Arial" w:cs="Arial" w:eastAsia="Arial" w:hAnsi="Arial"/>
          <w:sz w:val="19"/>
          <w:szCs w:val="19"/>
          <w:color w:val="auto"/>
        </w:rPr>
        <w:t>Charges for any sickness or injury which arises out of or in the course of employment, and for which the patient is entitled to benefits under a Workers’ Compensation law.</w:t>
      </w:r>
    </w:p>
    <w:p>
      <w:pPr>
        <w:spacing w:after="0" w:line="140" w:lineRule="exact"/>
        <w:rPr>
          <w:rFonts w:ascii="Arial" w:cs="Arial" w:eastAsia="Arial" w:hAnsi="Arial"/>
          <w:sz w:val="19"/>
          <w:szCs w:val="19"/>
          <w:color w:val="auto"/>
        </w:rPr>
      </w:pPr>
    </w:p>
    <w:p>
      <w:pPr>
        <w:ind w:left="284" w:right="380" w:hanging="284"/>
        <w:spacing w:after="0" w:line="266" w:lineRule="auto"/>
        <w:tabs>
          <w:tab w:leader="none" w:pos="284" w:val="left"/>
        </w:tabs>
        <w:numPr>
          <w:ilvl w:val="0"/>
          <w:numId w:val="198"/>
        </w:numPr>
        <w:rPr>
          <w:rFonts w:ascii="Arial" w:cs="Arial" w:eastAsia="Arial" w:hAnsi="Arial"/>
          <w:sz w:val="19"/>
          <w:szCs w:val="19"/>
          <w:color w:val="auto"/>
        </w:rPr>
      </w:pPr>
      <w:r>
        <w:rPr>
          <w:rFonts w:ascii="Arial" w:cs="Arial" w:eastAsia="Arial" w:hAnsi="Arial"/>
          <w:sz w:val="19"/>
          <w:szCs w:val="19"/>
          <w:color w:val="auto"/>
        </w:rPr>
        <w:t>Charges for medical or dental procedures performed by other than legally-qualified physicians, surgeons, therapists, or licensed dentists and dental hygienists.</w:t>
      </w:r>
    </w:p>
    <w:p>
      <w:pPr>
        <w:spacing w:after="0" w:line="128" w:lineRule="exact"/>
        <w:rPr>
          <w:rFonts w:ascii="Arial" w:cs="Arial" w:eastAsia="Arial" w:hAnsi="Arial"/>
          <w:sz w:val="19"/>
          <w:szCs w:val="19"/>
          <w:color w:val="auto"/>
        </w:rPr>
      </w:pPr>
    </w:p>
    <w:p>
      <w:pPr>
        <w:ind w:left="284" w:hanging="284"/>
        <w:spacing w:after="0"/>
        <w:tabs>
          <w:tab w:leader="none" w:pos="284" w:val="left"/>
        </w:tabs>
        <w:numPr>
          <w:ilvl w:val="0"/>
          <w:numId w:val="198"/>
        </w:numPr>
        <w:rPr>
          <w:rFonts w:ascii="Arial" w:cs="Arial" w:eastAsia="Arial" w:hAnsi="Arial"/>
          <w:sz w:val="19"/>
          <w:szCs w:val="19"/>
          <w:color w:val="auto"/>
        </w:rPr>
      </w:pPr>
      <w:r>
        <w:rPr>
          <w:rFonts w:ascii="Arial" w:cs="Arial" w:eastAsia="Arial" w:hAnsi="Arial"/>
          <w:sz w:val="19"/>
          <w:szCs w:val="19"/>
          <w:color w:val="auto"/>
        </w:rPr>
        <w:t>Charges which the plan participant is not legally obligated to pay, such as U.S. Government hospital confinement and services, etc.</w:t>
      </w:r>
    </w:p>
    <w:p>
      <w:pPr>
        <w:spacing w:after="0" w:line="177" w:lineRule="exact"/>
        <w:rPr>
          <w:rFonts w:ascii="Arial" w:cs="Arial" w:eastAsia="Arial" w:hAnsi="Arial"/>
          <w:sz w:val="19"/>
          <w:szCs w:val="19"/>
          <w:color w:val="auto"/>
        </w:rPr>
      </w:pPr>
    </w:p>
    <w:p>
      <w:pPr>
        <w:ind w:left="284" w:hanging="284"/>
        <w:spacing w:after="0"/>
        <w:tabs>
          <w:tab w:leader="none" w:pos="284" w:val="left"/>
        </w:tabs>
        <w:numPr>
          <w:ilvl w:val="0"/>
          <w:numId w:val="198"/>
        </w:numPr>
        <w:rPr>
          <w:rFonts w:ascii="Arial" w:cs="Arial" w:eastAsia="Arial" w:hAnsi="Arial"/>
          <w:sz w:val="19"/>
          <w:szCs w:val="19"/>
          <w:color w:val="auto"/>
        </w:rPr>
      </w:pPr>
      <w:r>
        <w:rPr>
          <w:rFonts w:ascii="Arial" w:cs="Arial" w:eastAsia="Arial" w:hAnsi="Arial"/>
          <w:sz w:val="19"/>
          <w:szCs w:val="19"/>
          <w:color w:val="auto"/>
        </w:rPr>
        <w:t>Charges excluded under the Health and Dental Plans which are not specifically included in the Schedule of Payments.</w:t>
      </w:r>
    </w:p>
    <w:p>
      <w:pPr>
        <w:sectPr>
          <w:pgSz w:w="11900" w:h="16838" w:orient="portrait"/>
          <w:cols w:equalWidth="0" w:num="1">
            <w:col w:w="11424"/>
          </w:cols>
          <w:pgMar w:left="236" w:top="499" w:right="239" w:bottom="1440" w:gutter="0" w:footer="0" w:header="0"/>
          <w:type w:val="continuous"/>
        </w:sectPr>
      </w:pPr>
    </w:p>
    <w:bookmarkStart w:id="136" w:name="page137"/>
    <w:bookmarkEnd w:id="136"/>
    <w:p>
      <w:pPr>
        <w:jc w:val="right"/>
        <w:spacing w:after="0"/>
        <w:rPr>
          <w:sz w:val="20"/>
          <w:szCs w:val="20"/>
          <w:color w:val="auto"/>
        </w:rPr>
      </w:pPr>
      <w:r>
        <w:rPr>
          <w:rFonts w:ascii="Arial" w:cs="Arial" w:eastAsia="Arial" w:hAnsi="Arial"/>
          <w:sz w:val="19"/>
          <w:szCs w:val="19"/>
          <w:b w:val="1"/>
          <w:bCs w:val="1"/>
          <w:color w:val="auto"/>
        </w:rPr>
        <w:t>Exhibit 12.1</w:t>
      </w:r>
    </w:p>
    <w:p>
      <w:pPr>
        <w:spacing w:after="0" w:line="230" w:lineRule="exact"/>
        <w:rPr>
          <w:sz w:val="20"/>
          <w:szCs w:val="20"/>
          <w:color w:val="auto"/>
        </w:rPr>
      </w:pPr>
    </w:p>
    <w:p>
      <w:pPr>
        <w:jc w:val="center"/>
        <w:ind w:right="340"/>
        <w:spacing w:after="0"/>
        <w:rPr>
          <w:sz w:val="20"/>
          <w:szCs w:val="20"/>
          <w:color w:val="auto"/>
        </w:rPr>
      </w:pPr>
      <w:r>
        <w:rPr>
          <w:rFonts w:ascii="Arial" w:cs="Arial" w:eastAsia="Arial" w:hAnsi="Arial"/>
          <w:sz w:val="16"/>
          <w:szCs w:val="16"/>
          <w:b w:val="1"/>
          <w:bCs w:val="1"/>
          <w:color w:val="auto"/>
        </w:rPr>
        <w:t>EXHIBIT 12.1</w:t>
      </w:r>
    </w:p>
    <w:p>
      <w:pPr>
        <w:spacing w:after="0" w:line="29" w:lineRule="exact"/>
        <w:rPr>
          <w:sz w:val="20"/>
          <w:szCs w:val="20"/>
          <w:color w:val="auto"/>
        </w:rPr>
      </w:pPr>
    </w:p>
    <w:p>
      <w:pPr>
        <w:jc w:val="center"/>
        <w:ind w:right="340"/>
        <w:spacing w:after="0"/>
        <w:rPr>
          <w:sz w:val="20"/>
          <w:szCs w:val="20"/>
          <w:color w:val="auto"/>
        </w:rPr>
      </w:pPr>
      <w:r>
        <w:rPr>
          <w:rFonts w:ascii="Arial" w:cs="Arial" w:eastAsia="Arial" w:hAnsi="Arial"/>
          <w:sz w:val="16"/>
          <w:szCs w:val="16"/>
          <w:b w:val="1"/>
          <w:bCs w:val="1"/>
          <w:color w:val="auto"/>
        </w:rPr>
        <w:t>SEMPRA ENERGY</w:t>
      </w:r>
    </w:p>
    <w:p>
      <w:pPr>
        <w:spacing w:after="0" w:line="20" w:lineRule="exact"/>
        <w:rPr>
          <w:sz w:val="20"/>
          <w:szCs w:val="20"/>
          <w:color w:val="auto"/>
        </w:rPr>
      </w:pPr>
    </w:p>
    <w:p>
      <w:pPr>
        <w:jc w:val="center"/>
        <w:ind w:right="340"/>
        <w:spacing w:after="0"/>
        <w:rPr>
          <w:sz w:val="20"/>
          <w:szCs w:val="20"/>
          <w:color w:val="auto"/>
        </w:rPr>
      </w:pPr>
      <w:r>
        <w:rPr>
          <w:rFonts w:ascii="Arial" w:cs="Arial" w:eastAsia="Arial" w:hAnsi="Arial"/>
          <w:sz w:val="16"/>
          <w:szCs w:val="16"/>
          <w:b w:val="1"/>
          <w:bCs w:val="1"/>
          <w:color w:val="auto"/>
        </w:rPr>
        <w:t>COMPUTATION OF RATIO OF EARNINGS TO COMBINED FIXED CHARGES</w:t>
      </w:r>
    </w:p>
    <w:p>
      <w:pPr>
        <w:spacing w:after="0" w:line="20" w:lineRule="exact"/>
        <w:rPr>
          <w:sz w:val="20"/>
          <w:szCs w:val="20"/>
          <w:color w:val="auto"/>
        </w:rPr>
      </w:pPr>
    </w:p>
    <w:p>
      <w:pPr>
        <w:jc w:val="center"/>
        <w:ind w:right="340"/>
        <w:spacing w:after="0"/>
        <w:rPr>
          <w:sz w:val="20"/>
          <w:szCs w:val="20"/>
          <w:color w:val="auto"/>
        </w:rPr>
      </w:pPr>
      <w:r>
        <w:rPr>
          <w:rFonts w:ascii="Arial" w:cs="Arial" w:eastAsia="Arial" w:hAnsi="Arial"/>
          <w:sz w:val="16"/>
          <w:szCs w:val="16"/>
          <w:b w:val="1"/>
          <w:bCs w:val="1"/>
          <w:color w:val="auto"/>
        </w:rPr>
        <w:t>AND PREFERRED STOCK DIVIDENDS</w:t>
      </w:r>
    </w:p>
    <w:p>
      <w:pPr>
        <w:spacing w:after="0" w:line="20" w:lineRule="exact"/>
        <w:rPr>
          <w:sz w:val="20"/>
          <w:szCs w:val="20"/>
          <w:color w:val="auto"/>
        </w:rPr>
      </w:pPr>
    </w:p>
    <w:p>
      <w:pPr>
        <w:jc w:val="center"/>
        <w:ind w:right="340"/>
        <w:spacing w:after="0"/>
        <w:rPr>
          <w:sz w:val="20"/>
          <w:szCs w:val="20"/>
          <w:color w:val="auto"/>
        </w:rPr>
      </w:pPr>
      <w:r>
        <w:rPr>
          <w:rFonts w:ascii="Arial" w:cs="Arial" w:eastAsia="Arial" w:hAnsi="Arial"/>
          <w:sz w:val="16"/>
          <w:szCs w:val="16"/>
          <w:b w:val="1"/>
          <w:bCs w:val="1"/>
          <w:color w:val="auto"/>
        </w:rPr>
        <w:t>(Dollars in millions)</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2600" w:type="dxa"/>
            <w:vAlign w:val="bottom"/>
          </w:tcPr>
          <w:p>
            <w:pPr>
              <w:spacing w:after="0"/>
              <w:rPr>
                <w:sz w:val="16"/>
                <w:szCs w:val="16"/>
                <w:color w:val="auto"/>
              </w:rPr>
            </w:pPr>
          </w:p>
        </w:tc>
        <w:tc>
          <w:tcPr>
            <w:tcW w:w="1100" w:type="dxa"/>
            <w:vAlign w:val="bottom"/>
          </w:tcPr>
          <w:p>
            <w:pPr>
              <w:jc w:val="right"/>
              <w:ind w:right="40"/>
              <w:spacing w:after="0"/>
              <w:rPr>
                <w:sz w:val="20"/>
                <w:szCs w:val="20"/>
                <w:color w:val="auto"/>
              </w:rPr>
            </w:pPr>
            <w:r>
              <w:rPr>
                <w:rFonts w:ascii="Arial" w:cs="Arial" w:eastAsia="Arial" w:hAnsi="Arial"/>
                <w:sz w:val="16"/>
                <w:szCs w:val="16"/>
                <w:color w:val="auto"/>
              </w:rPr>
              <w:t>2004</w:t>
            </w:r>
          </w:p>
        </w:tc>
        <w:tc>
          <w:tcPr>
            <w:tcW w:w="520" w:type="dxa"/>
            <w:vAlign w:val="bottom"/>
          </w:tcPr>
          <w:p>
            <w:pPr>
              <w:spacing w:after="0"/>
              <w:rPr>
                <w:sz w:val="16"/>
                <w:szCs w:val="16"/>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6"/>
                <w:szCs w:val="16"/>
                <w:color w:val="auto"/>
              </w:rPr>
              <w:t>2005</w:t>
            </w:r>
          </w:p>
        </w:tc>
        <w:tc>
          <w:tcPr>
            <w:tcW w:w="520" w:type="dxa"/>
            <w:vAlign w:val="bottom"/>
          </w:tcPr>
          <w:p>
            <w:pPr>
              <w:spacing w:after="0"/>
              <w:rPr>
                <w:sz w:val="16"/>
                <w:szCs w:val="16"/>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6"/>
                <w:szCs w:val="16"/>
                <w:color w:val="auto"/>
              </w:rPr>
              <w:t>2006</w:t>
            </w:r>
          </w:p>
        </w:tc>
        <w:tc>
          <w:tcPr>
            <w:tcW w:w="520" w:type="dxa"/>
            <w:vAlign w:val="bottom"/>
          </w:tcPr>
          <w:p>
            <w:pPr>
              <w:spacing w:after="0"/>
              <w:rPr>
                <w:sz w:val="16"/>
                <w:szCs w:val="16"/>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6"/>
                <w:szCs w:val="16"/>
                <w:color w:val="auto"/>
              </w:rPr>
              <w:t>2007</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100" w:type="dxa"/>
            <w:vAlign w:val="bottom"/>
          </w:tcPr>
          <w:p>
            <w:pPr>
              <w:jc w:val="right"/>
              <w:ind w:right="520"/>
              <w:spacing w:after="0"/>
              <w:rPr>
                <w:sz w:val="20"/>
                <w:szCs w:val="20"/>
                <w:color w:val="auto"/>
              </w:rPr>
            </w:pPr>
            <w:r>
              <w:rPr>
                <w:rFonts w:ascii="Arial" w:cs="Arial" w:eastAsia="Arial" w:hAnsi="Arial"/>
                <w:sz w:val="16"/>
                <w:szCs w:val="16"/>
                <w:color w:val="auto"/>
              </w:rPr>
              <w:t>2008</w:t>
            </w:r>
          </w:p>
        </w:tc>
        <w:tc>
          <w:tcPr>
            <w:tcW w:w="0" w:type="dxa"/>
            <w:vAlign w:val="bottom"/>
          </w:tcPr>
          <w:p>
            <w:pPr>
              <w:spacing w:after="0"/>
              <w:rPr>
                <w:sz w:val="1"/>
                <w:szCs w:val="1"/>
                <w:color w:val="auto"/>
              </w:rPr>
            </w:pPr>
          </w:p>
        </w:tc>
      </w:tr>
      <w:tr>
        <w:trPr>
          <w:trHeight w:val="183"/>
        </w:trPr>
        <w:tc>
          <w:tcPr>
            <w:tcW w:w="2600" w:type="dxa"/>
            <w:vAlign w:val="bottom"/>
          </w:tcPr>
          <w:p>
            <w:pPr>
              <w:spacing w:after="0"/>
              <w:rPr>
                <w:sz w:val="20"/>
                <w:szCs w:val="20"/>
                <w:color w:val="auto"/>
              </w:rPr>
            </w:pPr>
            <w:r>
              <w:rPr>
                <w:rFonts w:ascii="Arial" w:cs="Arial" w:eastAsia="Arial" w:hAnsi="Arial"/>
                <w:sz w:val="16"/>
                <w:szCs w:val="16"/>
                <w:color w:val="auto"/>
              </w:rPr>
              <w:t>Fixed charges and preferred</w:t>
            </w:r>
          </w:p>
        </w:tc>
        <w:tc>
          <w:tcPr>
            <w:tcW w:w="1100" w:type="dxa"/>
            <w:vAlign w:val="bottom"/>
            <w:tcBorders>
              <w:top w:val="single" w:sz="8" w:color="auto"/>
            </w:tcBorders>
          </w:tcPr>
          <w:p>
            <w:pPr>
              <w:spacing w:after="0"/>
              <w:rPr>
                <w:sz w:val="15"/>
                <w:szCs w:val="15"/>
                <w:color w:val="auto"/>
              </w:rPr>
            </w:pPr>
          </w:p>
        </w:tc>
        <w:tc>
          <w:tcPr>
            <w:tcW w:w="52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52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5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5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600" w:type="dxa"/>
            <w:vAlign w:val="bottom"/>
          </w:tcPr>
          <w:p>
            <w:pPr>
              <w:ind w:left="240"/>
              <w:spacing w:after="0"/>
              <w:rPr>
                <w:sz w:val="20"/>
                <w:szCs w:val="20"/>
                <w:color w:val="auto"/>
              </w:rPr>
            </w:pPr>
            <w:r>
              <w:rPr>
                <w:rFonts w:ascii="Arial" w:cs="Arial" w:eastAsia="Arial" w:hAnsi="Arial"/>
                <w:sz w:val="16"/>
                <w:szCs w:val="16"/>
                <w:color w:val="auto"/>
              </w:rPr>
              <w:t>stock dividends:</w:t>
            </w:r>
          </w:p>
        </w:tc>
        <w:tc>
          <w:tcPr>
            <w:tcW w:w="1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600" w:type="dxa"/>
            <w:vAlign w:val="bottom"/>
          </w:tcPr>
          <w:p>
            <w:pPr>
              <w:spacing w:after="0"/>
              <w:rPr>
                <w:sz w:val="20"/>
                <w:szCs w:val="20"/>
                <w:color w:val="auto"/>
              </w:rPr>
            </w:pPr>
            <w:r>
              <w:rPr>
                <w:rFonts w:ascii="Arial" w:cs="Arial" w:eastAsia="Arial" w:hAnsi="Arial"/>
                <w:sz w:val="16"/>
                <w:szCs w:val="16"/>
                <w:color w:val="auto"/>
              </w:rPr>
              <w:t>Interest</w:t>
            </w:r>
          </w:p>
        </w:tc>
        <w:tc>
          <w:tcPr>
            <w:tcW w:w="1100" w:type="dxa"/>
            <w:vAlign w:val="bottom"/>
          </w:tcPr>
          <w:p>
            <w:pPr>
              <w:jc w:val="right"/>
              <w:ind w:right="700"/>
              <w:spacing w:after="0"/>
              <w:rPr>
                <w:sz w:val="20"/>
                <w:szCs w:val="20"/>
                <w:color w:val="auto"/>
              </w:rPr>
            </w:pPr>
            <w:r>
              <w:rPr>
                <w:rFonts w:ascii="Arial" w:cs="Arial" w:eastAsia="Arial" w:hAnsi="Arial"/>
                <w:sz w:val="16"/>
                <w:szCs w:val="16"/>
                <w:color w:val="auto"/>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332</w:t>
            </w:r>
          </w:p>
        </w:tc>
        <w:tc>
          <w:tcPr>
            <w:tcW w:w="1220" w:type="dxa"/>
            <w:vAlign w:val="bottom"/>
            <w:gridSpan w:val="2"/>
          </w:tcPr>
          <w:p>
            <w:pPr>
              <w:jc w:val="right"/>
              <w:ind w:right="780"/>
              <w:spacing w:after="0"/>
              <w:rPr>
                <w:sz w:val="20"/>
                <w:szCs w:val="20"/>
                <w:color w:val="auto"/>
              </w:rPr>
            </w:pPr>
            <w:r>
              <w:rPr>
                <w:rFonts w:ascii="Arial" w:cs="Arial" w:eastAsia="Arial" w:hAnsi="Arial"/>
                <w:sz w:val="16"/>
                <w:szCs w:val="16"/>
                <w:color w:val="auto"/>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342</w:t>
            </w:r>
          </w:p>
        </w:tc>
        <w:tc>
          <w:tcPr>
            <w:tcW w:w="1240" w:type="dxa"/>
            <w:vAlign w:val="bottom"/>
            <w:gridSpan w:val="2"/>
          </w:tcPr>
          <w:p>
            <w:pPr>
              <w:jc w:val="right"/>
              <w:ind w:right="780"/>
              <w:spacing w:after="0"/>
              <w:rPr>
                <w:sz w:val="20"/>
                <w:szCs w:val="20"/>
                <w:color w:val="auto"/>
              </w:rPr>
            </w:pPr>
            <w:r>
              <w:rPr>
                <w:rFonts w:ascii="Arial" w:cs="Arial" w:eastAsia="Arial" w:hAnsi="Arial"/>
                <w:sz w:val="16"/>
                <w:szCs w:val="16"/>
                <w:color w:val="auto"/>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413</w:t>
            </w:r>
          </w:p>
        </w:tc>
        <w:tc>
          <w:tcPr>
            <w:tcW w:w="1180" w:type="dxa"/>
            <w:vAlign w:val="bottom"/>
            <w:gridSpan w:val="2"/>
          </w:tcPr>
          <w:p>
            <w:pPr>
              <w:jc w:val="right"/>
              <w:ind w:right="740"/>
              <w:spacing w:after="0"/>
              <w:rPr>
                <w:sz w:val="20"/>
                <w:szCs w:val="20"/>
                <w:color w:val="auto"/>
              </w:rPr>
            </w:pPr>
            <w:r>
              <w:rPr>
                <w:rFonts w:ascii="Arial" w:cs="Arial" w:eastAsia="Arial" w:hAnsi="Arial"/>
                <w:sz w:val="16"/>
                <w:szCs w:val="16"/>
                <w:color w:val="auto"/>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379</w:t>
            </w:r>
          </w:p>
        </w:tc>
        <w:tc>
          <w:tcPr>
            <w:tcW w:w="5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353</w:t>
            </w:r>
          </w:p>
        </w:tc>
        <w:tc>
          <w:tcPr>
            <w:tcW w:w="0" w:type="dxa"/>
            <w:vAlign w:val="bottom"/>
          </w:tcPr>
          <w:p>
            <w:pPr>
              <w:spacing w:after="0"/>
              <w:rPr>
                <w:sz w:val="1"/>
                <w:szCs w:val="1"/>
                <w:color w:val="auto"/>
              </w:rPr>
            </w:pPr>
          </w:p>
        </w:tc>
      </w:tr>
      <w:tr>
        <w:trPr>
          <w:trHeight w:val="264"/>
        </w:trPr>
        <w:tc>
          <w:tcPr>
            <w:tcW w:w="2600" w:type="dxa"/>
            <w:vAlign w:val="bottom"/>
          </w:tcPr>
          <w:p>
            <w:pPr>
              <w:spacing w:after="0"/>
              <w:rPr>
                <w:sz w:val="20"/>
                <w:szCs w:val="20"/>
                <w:color w:val="auto"/>
              </w:rPr>
            </w:pPr>
            <w:r>
              <w:rPr>
                <w:rFonts w:ascii="Arial" w:cs="Arial" w:eastAsia="Arial" w:hAnsi="Arial"/>
                <w:sz w:val="16"/>
                <w:szCs w:val="16"/>
                <w:color w:val="auto"/>
              </w:rPr>
              <w:t>Interest portion of annual rentals</w:t>
            </w:r>
          </w:p>
        </w:tc>
        <w:tc>
          <w:tcPr>
            <w:tcW w:w="110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5</w:t>
            </w:r>
          </w:p>
        </w:tc>
        <w:tc>
          <w:tcPr>
            <w:tcW w:w="1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52"/>
        </w:trPr>
        <w:tc>
          <w:tcPr>
            <w:tcW w:w="2600" w:type="dxa"/>
            <w:vAlign w:val="bottom"/>
          </w:tcPr>
          <w:p>
            <w:pPr>
              <w:spacing w:after="0"/>
              <w:rPr>
                <w:sz w:val="20"/>
                <w:szCs w:val="20"/>
                <w:color w:val="auto"/>
              </w:rPr>
            </w:pPr>
            <w:r>
              <w:rPr>
                <w:rFonts w:ascii="Arial" w:cs="Arial" w:eastAsia="Arial" w:hAnsi="Arial"/>
                <w:sz w:val="16"/>
                <w:szCs w:val="16"/>
                <w:color w:val="auto"/>
              </w:rPr>
              <w:t>Preferred dividends of</w:t>
            </w:r>
          </w:p>
        </w:tc>
        <w:tc>
          <w:tcPr>
            <w:tcW w:w="1100" w:type="dxa"/>
            <w:vAlign w:val="bottom"/>
          </w:tcPr>
          <w:p>
            <w:pPr>
              <w:spacing w:after="0"/>
              <w:rPr>
                <w:sz w:val="21"/>
                <w:szCs w:val="21"/>
                <w:color w:val="auto"/>
              </w:rPr>
            </w:pPr>
          </w:p>
        </w:tc>
        <w:tc>
          <w:tcPr>
            <w:tcW w:w="520" w:type="dxa"/>
            <w:vAlign w:val="bottom"/>
            <w:vMerge w:val="restart"/>
          </w:tcPr>
          <w:p>
            <w:pPr>
              <w:jc w:val="right"/>
              <w:spacing w:after="0"/>
              <w:rPr>
                <w:sz w:val="20"/>
                <w:szCs w:val="20"/>
                <w:color w:val="auto"/>
              </w:rPr>
            </w:pPr>
            <w:r>
              <w:rPr>
                <w:rFonts w:ascii="Arial" w:cs="Arial" w:eastAsia="Arial" w:hAnsi="Arial"/>
                <w:sz w:val="16"/>
                <w:szCs w:val="16"/>
                <w:color w:val="auto"/>
              </w:rPr>
              <w:t>12</w:t>
            </w: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520" w:type="dxa"/>
            <w:vAlign w:val="bottom"/>
            <w:vMerge w:val="restart"/>
          </w:tcPr>
          <w:p>
            <w:pPr>
              <w:jc w:val="right"/>
              <w:spacing w:after="0"/>
              <w:rPr>
                <w:sz w:val="20"/>
                <w:szCs w:val="20"/>
                <w:color w:val="auto"/>
              </w:rPr>
            </w:pPr>
            <w:r>
              <w:rPr>
                <w:rFonts w:ascii="Arial" w:cs="Arial" w:eastAsia="Arial" w:hAnsi="Arial"/>
                <w:sz w:val="16"/>
                <w:szCs w:val="16"/>
                <w:color w:val="auto"/>
              </w:rPr>
              <w:t>10</w:t>
            </w: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520" w:type="dxa"/>
            <w:vAlign w:val="bottom"/>
            <w:vMerge w:val="restart"/>
          </w:tcPr>
          <w:p>
            <w:pPr>
              <w:jc w:val="right"/>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520" w:type="dxa"/>
            <w:vAlign w:val="bottom"/>
            <w:vMerge w:val="restart"/>
          </w:tcPr>
          <w:p>
            <w:pPr>
              <w:jc w:val="right"/>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00" w:type="dxa"/>
            <w:vAlign w:val="bottom"/>
            <w:vMerge w:val="restart"/>
          </w:tcPr>
          <w:p>
            <w:pPr>
              <w:jc w:val="right"/>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181"/>
        </w:trPr>
        <w:tc>
          <w:tcPr>
            <w:tcW w:w="2600" w:type="dxa"/>
            <w:vAlign w:val="bottom"/>
          </w:tcPr>
          <w:p>
            <w:pPr>
              <w:ind w:left="240"/>
              <w:spacing w:after="0" w:line="181" w:lineRule="exact"/>
              <w:rPr>
                <w:sz w:val="20"/>
                <w:szCs w:val="20"/>
                <w:color w:val="auto"/>
              </w:rPr>
            </w:pPr>
            <w:r>
              <w:rPr>
                <w:rFonts w:ascii="Arial" w:cs="Arial" w:eastAsia="Arial" w:hAnsi="Arial"/>
                <w:sz w:val="16"/>
                <w:szCs w:val="16"/>
                <w:color w:val="auto"/>
              </w:rPr>
              <w:t>subsidiaries (1)</w:t>
            </w:r>
          </w:p>
        </w:tc>
        <w:tc>
          <w:tcPr>
            <w:tcW w:w="110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56"/>
        </w:trPr>
        <w:tc>
          <w:tcPr>
            <w:tcW w:w="2600" w:type="dxa"/>
            <w:vAlign w:val="bottom"/>
          </w:tcPr>
          <w:p>
            <w:pPr>
              <w:ind w:left="220"/>
              <w:spacing w:after="0"/>
              <w:rPr>
                <w:sz w:val="20"/>
                <w:szCs w:val="20"/>
                <w:color w:val="auto"/>
              </w:rPr>
            </w:pPr>
            <w:r>
              <w:rPr>
                <w:rFonts w:ascii="Arial" w:cs="Arial" w:eastAsia="Arial" w:hAnsi="Arial"/>
                <w:sz w:val="16"/>
                <w:szCs w:val="16"/>
                <w:color w:val="auto"/>
              </w:rPr>
              <w:t>Total fixed charges</w:t>
            </w:r>
          </w:p>
        </w:tc>
        <w:tc>
          <w:tcPr>
            <w:tcW w:w="110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348</w:t>
            </w:r>
          </w:p>
        </w:tc>
        <w:tc>
          <w:tcPr>
            <w:tcW w:w="1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357</w:t>
            </w:r>
          </w:p>
        </w:tc>
        <w:tc>
          <w:tcPr>
            <w:tcW w:w="1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434</w:t>
            </w:r>
          </w:p>
        </w:tc>
        <w:tc>
          <w:tcPr>
            <w:tcW w:w="1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399</w:t>
            </w: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369</w:t>
            </w:r>
          </w:p>
        </w:tc>
        <w:tc>
          <w:tcPr>
            <w:tcW w:w="0" w:type="dxa"/>
            <w:vAlign w:val="bottom"/>
          </w:tcPr>
          <w:p>
            <w:pPr>
              <w:spacing w:after="0"/>
              <w:rPr>
                <w:sz w:val="1"/>
                <w:szCs w:val="1"/>
                <w:color w:val="auto"/>
              </w:rPr>
            </w:pPr>
          </w:p>
        </w:tc>
      </w:tr>
      <w:tr>
        <w:trPr>
          <w:trHeight w:val="252"/>
        </w:trPr>
        <w:tc>
          <w:tcPr>
            <w:tcW w:w="2600" w:type="dxa"/>
            <w:vAlign w:val="bottom"/>
          </w:tcPr>
          <w:p>
            <w:pPr>
              <w:spacing w:after="0"/>
              <w:rPr>
                <w:sz w:val="20"/>
                <w:szCs w:val="20"/>
                <w:color w:val="auto"/>
              </w:rPr>
            </w:pPr>
            <w:r>
              <w:rPr>
                <w:rFonts w:ascii="Arial" w:cs="Arial" w:eastAsia="Arial" w:hAnsi="Arial"/>
                <w:sz w:val="16"/>
                <w:szCs w:val="16"/>
                <w:color w:val="auto"/>
              </w:rPr>
              <w:t>Preferred dividends for purpose</w:t>
            </w:r>
          </w:p>
        </w:tc>
        <w:tc>
          <w:tcPr>
            <w:tcW w:w="1100" w:type="dxa"/>
            <w:vAlign w:val="bottom"/>
          </w:tcPr>
          <w:p>
            <w:pPr>
              <w:spacing w:after="0"/>
              <w:rPr>
                <w:sz w:val="21"/>
                <w:szCs w:val="21"/>
                <w:color w:val="auto"/>
              </w:rPr>
            </w:pPr>
          </w:p>
        </w:tc>
        <w:tc>
          <w:tcPr>
            <w:tcW w:w="5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5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5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5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1"/>
        </w:trPr>
        <w:tc>
          <w:tcPr>
            <w:tcW w:w="2600" w:type="dxa"/>
            <w:vAlign w:val="bottom"/>
          </w:tcPr>
          <w:p>
            <w:pPr>
              <w:ind w:left="240"/>
              <w:spacing w:after="0" w:line="181" w:lineRule="exact"/>
              <w:rPr>
                <w:sz w:val="20"/>
                <w:szCs w:val="20"/>
                <w:color w:val="auto"/>
              </w:rPr>
            </w:pPr>
            <w:r>
              <w:rPr>
                <w:rFonts w:ascii="Arial" w:cs="Arial" w:eastAsia="Arial" w:hAnsi="Arial"/>
                <w:sz w:val="16"/>
                <w:szCs w:val="16"/>
                <w:color w:val="auto"/>
              </w:rPr>
              <w:t>of ratio</w:t>
            </w:r>
          </w:p>
        </w:tc>
        <w:tc>
          <w:tcPr>
            <w:tcW w:w="110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4"/>
        </w:trPr>
        <w:tc>
          <w:tcPr>
            <w:tcW w:w="2600" w:type="dxa"/>
            <w:vAlign w:val="bottom"/>
          </w:tcPr>
          <w:p>
            <w:pPr>
              <w:spacing w:after="0"/>
              <w:rPr>
                <w:sz w:val="20"/>
                <w:szCs w:val="20"/>
                <w:color w:val="auto"/>
              </w:rPr>
            </w:pPr>
            <w:r>
              <w:rPr>
                <w:rFonts w:ascii="Arial" w:cs="Arial" w:eastAsia="Arial" w:hAnsi="Arial"/>
                <w:sz w:val="16"/>
                <w:szCs w:val="16"/>
                <w:color w:val="auto"/>
              </w:rPr>
              <w:t>Total fixed charges and preferred</w:t>
            </w:r>
          </w:p>
        </w:tc>
        <w:tc>
          <w:tcPr>
            <w:tcW w:w="1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3"/>
        </w:trPr>
        <w:tc>
          <w:tcPr>
            <w:tcW w:w="2600" w:type="dxa"/>
            <w:vAlign w:val="bottom"/>
          </w:tcPr>
          <w:p>
            <w:pPr>
              <w:ind w:left="240"/>
              <w:spacing w:after="0"/>
              <w:rPr>
                <w:sz w:val="20"/>
                <w:szCs w:val="20"/>
                <w:color w:val="auto"/>
              </w:rPr>
            </w:pPr>
            <w:r>
              <w:rPr>
                <w:rFonts w:ascii="Arial" w:cs="Arial" w:eastAsia="Arial" w:hAnsi="Arial"/>
                <w:sz w:val="16"/>
                <w:szCs w:val="16"/>
                <w:color w:val="auto"/>
              </w:rPr>
              <w:t>dividends for purpose of ratio</w:t>
            </w:r>
          </w:p>
        </w:tc>
        <w:tc>
          <w:tcPr>
            <w:tcW w:w="1100" w:type="dxa"/>
            <w:vAlign w:val="bottom"/>
            <w:vMerge w:val="restart"/>
          </w:tcPr>
          <w:p>
            <w:pPr>
              <w:jc w:val="right"/>
              <w:ind w:right="700"/>
              <w:spacing w:after="0"/>
              <w:rPr>
                <w:sz w:val="20"/>
                <w:szCs w:val="20"/>
                <w:color w:val="auto"/>
              </w:rPr>
            </w:pPr>
            <w:r>
              <w:rPr>
                <w:rFonts w:ascii="Arial" w:cs="Arial" w:eastAsia="Arial" w:hAnsi="Arial"/>
                <w:sz w:val="16"/>
                <w:szCs w:val="16"/>
                <w:color w:val="auto"/>
              </w:rPr>
              <w:t>$</w:t>
            </w:r>
          </w:p>
        </w:tc>
        <w:tc>
          <w:tcPr>
            <w:tcW w:w="520" w:type="dxa"/>
            <w:vAlign w:val="bottom"/>
            <w:vMerge w:val="restart"/>
          </w:tcPr>
          <w:p>
            <w:pPr>
              <w:jc w:val="right"/>
              <w:spacing w:after="0"/>
              <w:rPr>
                <w:sz w:val="20"/>
                <w:szCs w:val="20"/>
                <w:color w:val="auto"/>
              </w:rPr>
            </w:pPr>
            <w:r>
              <w:rPr>
                <w:rFonts w:ascii="Arial" w:cs="Arial" w:eastAsia="Arial" w:hAnsi="Arial"/>
                <w:sz w:val="16"/>
                <w:szCs w:val="16"/>
                <w:color w:val="auto"/>
              </w:rPr>
              <w:t>348</w:t>
            </w:r>
          </w:p>
        </w:tc>
        <w:tc>
          <w:tcPr>
            <w:tcW w:w="1220" w:type="dxa"/>
            <w:vAlign w:val="bottom"/>
            <w:gridSpan w:val="2"/>
            <w:vMerge w:val="restart"/>
          </w:tcPr>
          <w:p>
            <w:pPr>
              <w:jc w:val="right"/>
              <w:ind w:right="780"/>
              <w:spacing w:after="0"/>
              <w:rPr>
                <w:sz w:val="20"/>
                <w:szCs w:val="20"/>
                <w:color w:val="auto"/>
              </w:rPr>
            </w:pPr>
            <w:r>
              <w:rPr>
                <w:rFonts w:ascii="Arial" w:cs="Arial" w:eastAsia="Arial" w:hAnsi="Arial"/>
                <w:sz w:val="16"/>
                <w:szCs w:val="16"/>
                <w:color w:val="auto"/>
              </w:rPr>
              <w:t>$</w:t>
            </w:r>
          </w:p>
        </w:tc>
        <w:tc>
          <w:tcPr>
            <w:tcW w:w="520" w:type="dxa"/>
            <w:vAlign w:val="bottom"/>
            <w:vMerge w:val="restart"/>
          </w:tcPr>
          <w:p>
            <w:pPr>
              <w:jc w:val="right"/>
              <w:spacing w:after="0"/>
              <w:rPr>
                <w:sz w:val="20"/>
                <w:szCs w:val="20"/>
                <w:color w:val="auto"/>
              </w:rPr>
            </w:pPr>
            <w:r>
              <w:rPr>
                <w:rFonts w:ascii="Arial" w:cs="Arial" w:eastAsia="Arial" w:hAnsi="Arial"/>
                <w:sz w:val="16"/>
                <w:szCs w:val="16"/>
                <w:color w:val="auto"/>
              </w:rPr>
              <w:t>357</w:t>
            </w:r>
          </w:p>
        </w:tc>
        <w:tc>
          <w:tcPr>
            <w:tcW w:w="1240" w:type="dxa"/>
            <w:vAlign w:val="bottom"/>
            <w:gridSpan w:val="2"/>
            <w:vMerge w:val="restart"/>
          </w:tcPr>
          <w:p>
            <w:pPr>
              <w:jc w:val="right"/>
              <w:ind w:right="780"/>
              <w:spacing w:after="0"/>
              <w:rPr>
                <w:sz w:val="20"/>
                <w:szCs w:val="20"/>
                <w:color w:val="auto"/>
              </w:rPr>
            </w:pPr>
            <w:r>
              <w:rPr>
                <w:rFonts w:ascii="Arial" w:cs="Arial" w:eastAsia="Arial" w:hAnsi="Arial"/>
                <w:sz w:val="16"/>
                <w:szCs w:val="16"/>
                <w:color w:val="auto"/>
              </w:rPr>
              <w:t>$</w:t>
            </w:r>
          </w:p>
        </w:tc>
        <w:tc>
          <w:tcPr>
            <w:tcW w:w="520" w:type="dxa"/>
            <w:vAlign w:val="bottom"/>
            <w:vMerge w:val="restart"/>
          </w:tcPr>
          <w:p>
            <w:pPr>
              <w:jc w:val="right"/>
              <w:spacing w:after="0"/>
              <w:rPr>
                <w:sz w:val="20"/>
                <w:szCs w:val="20"/>
                <w:color w:val="auto"/>
              </w:rPr>
            </w:pPr>
            <w:r>
              <w:rPr>
                <w:rFonts w:ascii="Arial" w:cs="Arial" w:eastAsia="Arial" w:hAnsi="Arial"/>
                <w:sz w:val="16"/>
                <w:szCs w:val="16"/>
                <w:color w:val="auto"/>
              </w:rPr>
              <w:t>434</w:t>
            </w:r>
          </w:p>
        </w:tc>
        <w:tc>
          <w:tcPr>
            <w:tcW w:w="1180" w:type="dxa"/>
            <w:vAlign w:val="bottom"/>
            <w:gridSpan w:val="2"/>
            <w:vMerge w:val="restart"/>
          </w:tcPr>
          <w:p>
            <w:pPr>
              <w:jc w:val="right"/>
              <w:ind w:right="740"/>
              <w:spacing w:after="0"/>
              <w:rPr>
                <w:sz w:val="20"/>
                <w:szCs w:val="20"/>
                <w:color w:val="auto"/>
              </w:rPr>
            </w:pPr>
            <w:r>
              <w:rPr>
                <w:rFonts w:ascii="Arial" w:cs="Arial" w:eastAsia="Arial" w:hAnsi="Arial"/>
                <w:sz w:val="16"/>
                <w:szCs w:val="16"/>
                <w:color w:val="auto"/>
              </w:rPr>
              <w:t>$</w:t>
            </w:r>
          </w:p>
        </w:tc>
        <w:tc>
          <w:tcPr>
            <w:tcW w:w="520" w:type="dxa"/>
            <w:vAlign w:val="bottom"/>
            <w:vMerge w:val="restart"/>
          </w:tcPr>
          <w:p>
            <w:pPr>
              <w:jc w:val="right"/>
              <w:spacing w:after="0"/>
              <w:rPr>
                <w:sz w:val="20"/>
                <w:szCs w:val="20"/>
                <w:color w:val="auto"/>
              </w:rPr>
            </w:pPr>
            <w:r>
              <w:rPr>
                <w:rFonts w:ascii="Arial" w:cs="Arial" w:eastAsia="Arial" w:hAnsi="Arial"/>
                <w:sz w:val="16"/>
                <w:szCs w:val="16"/>
                <w:color w:val="auto"/>
              </w:rPr>
              <w:t>399</w:t>
            </w:r>
          </w:p>
        </w:tc>
        <w:tc>
          <w:tcPr>
            <w:tcW w:w="58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100" w:type="dxa"/>
            <w:vAlign w:val="bottom"/>
            <w:vMerge w:val="restart"/>
          </w:tcPr>
          <w:p>
            <w:pPr>
              <w:jc w:val="right"/>
              <w:spacing w:after="0"/>
              <w:rPr>
                <w:sz w:val="20"/>
                <w:szCs w:val="20"/>
                <w:color w:val="auto"/>
              </w:rPr>
            </w:pPr>
            <w:r>
              <w:rPr>
                <w:rFonts w:ascii="Arial" w:cs="Arial" w:eastAsia="Arial" w:hAnsi="Arial"/>
                <w:sz w:val="16"/>
                <w:szCs w:val="16"/>
                <w:color w:val="auto"/>
              </w:rPr>
              <w:t>369</w:t>
            </w:r>
          </w:p>
        </w:tc>
        <w:tc>
          <w:tcPr>
            <w:tcW w:w="0" w:type="dxa"/>
            <w:vAlign w:val="bottom"/>
          </w:tcPr>
          <w:p>
            <w:pPr>
              <w:spacing w:after="0"/>
              <w:rPr>
                <w:sz w:val="1"/>
                <w:szCs w:val="1"/>
                <w:color w:val="auto"/>
              </w:rPr>
            </w:pPr>
          </w:p>
        </w:tc>
      </w:tr>
      <w:tr>
        <w:trPr>
          <w:trHeight w:val="132"/>
        </w:trPr>
        <w:tc>
          <w:tcPr>
            <w:tcW w:w="2600" w:type="dxa"/>
            <w:vAlign w:val="bottom"/>
          </w:tcPr>
          <w:p>
            <w:pPr>
              <w:spacing w:after="0"/>
              <w:rPr>
                <w:sz w:val="11"/>
                <w:szCs w:val="11"/>
                <w:color w:val="auto"/>
              </w:rPr>
            </w:pPr>
          </w:p>
        </w:tc>
        <w:tc>
          <w:tcPr>
            <w:tcW w:w="1100" w:type="dxa"/>
            <w:vAlign w:val="bottom"/>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1220" w:type="dxa"/>
            <w:vAlign w:val="bottom"/>
            <w:gridSpan w:val="2"/>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1240" w:type="dxa"/>
            <w:vAlign w:val="bottom"/>
            <w:gridSpan w:val="2"/>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1180" w:type="dxa"/>
            <w:vAlign w:val="bottom"/>
            <w:gridSpan w:val="2"/>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580" w:type="dxa"/>
            <w:vAlign w:val="bottom"/>
            <w:gridSpan w:val="2"/>
            <w:vMerge w:val="continue"/>
          </w:tcPr>
          <w:p>
            <w:pPr>
              <w:spacing w:after="0"/>
              <w:rPr>
                <w:sz w:val="11"/>
                <w:szCs w:val="11"/>
                <w:color w:val="auto"/>
              </w:rPr>
            </w:pPr>
          </w:p>
        </w:tc>
        <w:tc>
          <w:tcPr>
            <w:tcW w:w="11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600" w:type="dxa"/>
            <w:vAlign w:val="bottom"/>
            <w:vMerge w:val="restart"/>
          </w:tcPr>
          <w:p>
            <w:pPr>
              <w:spacing w:after="0"/>
              <w:rPr>
                <w:sz w:val="20"/>
                <w:szCs w:val="20"/>
                <w:color w:val="auto"/>
              </w:rPr>
            </w:pPr>
            <w:r>
              <w:rPr>
                <w:rFonts w:ascii="Arial" w:cs="Arial" w:eastAsia="Arial" w:hAnsi="Arial"/>
                <w:sz w:val="16"/>
                <w:szCs w:val="16"/>
                <w:color w:val="auto"/>
              </w:rPr>
              <w:t>Earnings:</w:t>
            </w:r>
          </w:p>
        </w:tc>
        <w:tc>
          <w:tcPr>
            <w:tcW w:w="1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2"/>
        </w:trPr>
        <w:tc>
          <w:tcPr>
            <w:tcW w:w="2600" w:type="dxa"/>
            <w:vAlign w:val="bottom"/>
            <w:vMerge w:val="continue"/>
          </w:tcPr>
          <w:p>
            <w:pPr>
              <w:spacing w:after="0"/>
              <w:rPr>
                <w:sz w:val="21"/>
                <w:szCs w:val="21"/>
                <w:color w:val="auto"/>
              </w:rPr>
            </w:pPr>
          </w:p>
        </w:tc>
        <w:tc>
          <w:tcPr>
            <w:tcW w:w="1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2"/>
        </w:trPr>
        <w:tc>
          <w:tcPr>
            <w:tcW w:w="2600" w:type="dxa"/>
            <w:vAlign w:val="bottom"/>
          </w:tcPr>
          <w:p>
            <w:pPr>
              <w:spacing w:after="0"/>
              <w:rPr>
                <w:sz w:val="20"/>
                <w:szCs w:val="20"/>
                <w:color w:val="auto"/>
              </w:rPr>
            </w:pPr>
            <w:r>
              <w:rPr>
                <w:rFonts w:ascii="Arial" w:cs="Arial" w:eastAsia="Arial" w:hAnsi="Arial"/>
                <w:sz w:val="16"/>
                <w:szCs w:val="16"/>
                <w:color w:val="auto"/>
              </w:rPr>
              <w:t>Pretax income from continuing</w:t>
            </w:r>
          </w:p>
        </w:tc>
        <w:tc>
          <w:tcPr>
            <w:tcW w:w="1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3"/>
        </w:trPr>
        <w:tc>
          <w:tcPr>
            <w:tcW w:w="2600" w:type="dxa"/>
            <w:vAlign w:val="bottom"/>
          </w:tcPr>
          <w:p>
            <w:pPr>
              <w:ind w:left="240"/>
              <w:spacing w:after="0"/>
              <w:rPr>
                <w:sz w:val="20"/>
                <w:szCs w:val="20"/>
                <w:color w:val="auto"/>
              </w:rPr>
            </w:pPr>
            <w:r>
              <w:rPr>
                <w:rFonts w:ascii="Arial" w:cs="Arial" w:eastAsia="Arial" w:hAnsi="Arial"/>
                <w:sz w:val="16"/>
                <w:szCs w:val="16"/>
                <w:color w:val="auto"/>
              </w:rPr>
              <w:t>operations</w:t>
            </w:r>
          </w:p>
        </w:tc>
        <w:tc>
          <w:tcPr>
            <w:tcW w:w="1100" w:type="dxa"/>
            <w:vAlign w:val="bottom"/>
          </w:tcPr>
          <w:p>
            <w:pPr>
              <w:jc w:val="right"/>
              <w:ind w:right="740"/>
              <w:spacing w:after="0"/>
              <w:rPr>
                <w:sz w:val="20"/>
                <w:szCs w:val="20"/>
                <w:color w:val="auto"/>
              </w:rPr>
            </w:pPr>
            <w:r>
              <w:rPr>
                <w:rFonts w:ascii="Arial" w:cs="Arial" w:eastAsia="Arial" w:hAnsi="Arial"/>
                <w:sz w:val="16"/>
                <w:szCs w:val="16"/>
                <w:color w:val="auto"/>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1,105</w:t>
            </w:r>
          </w:p>
        </w:tc>
        <w:tc>
          <w:tcPr>
            <w:tcW w:w="1220" w:type="dxa"/>
            <w:vAlign w:val="bottom"/>
            <w:gridSpan w:val="2"/>
          </w:tcPr>
          <w:p>
            <w:pPr>
              <w:jc w:val="right"/>
              <w:ind w:right="780"/>
              <w:spacing w:after="0"/>
              <w:rPr>
                <w:sz w:val="20"/>
                <w:szCs w:val="20"/>
                <w:color w:val="auto"/>
              </w:rPr>
            </w:pPr>
            <w:r>
              <w:rPr>
                <w:rFonts w:ascii="Arial" w:cs="Arial" w:eastAsia="Arial" w:hAnsi="Arial"/>
                <w:sz w:val="16"/>
                <w:szCs w:val="16"/>
                <w:color w:val="auto"/>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947</w:t>
            </w:r>
          </w:p>
        </w:tc>
        <w:tc>
          <w:tcPr>
            <w:tcW w:w="1240" w:type="dxa"/>
            <w:vAlign w:val="bottom"/>
            <w:gridSpan w:val="2"/>
          </w:tcPr>
          <w:p>
            <w:pPr>
              <w:jc w:val="right"/>
              <w:ind w:right="820"/>
              <w:spacing w:after="0"/>
              <w:rPr>
                <w:sz w:val="20"/>
                <w:szCs w:val="20"/>
                <w:color w:val="auto"/>
              </w:rPr>
            </w:pPr>
            <w:r>
              <w:rPr>
                <w:rFonts w:ascii="Arial" w:cs="Arial" w:eastAsia="Arial" w:hAnsi="Arial"/>
                <w:sz w:val="16"/>
                <w:szCs w:val="16"/>
                <w:color w:val="auto"/>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1,732</w:t>
            </w:r>
          </w:p>
        </w:tc>
        <w:tc>
          <w:tcPr>
            <w:tcW w:w="1180" w:type="dxa"/>
            <w:vAlign w:val="bottom"/>
            <w:gridSpan w:val="2"/>
          </w:tcPr>
          <w:p>
            <w:pPr>
              <w:jc w:val="right"/>
              <w:ind w:right="780"/>
              <w:spacing w:after="0"/>
              <w:rPr>
                <w:sz w:val="20"/>
                <w:szCs w:val="20"/>
                <w:color w:val="auto"/>
              </w:rPr>
            </w:pPr>
            <w:r>
              <w:rPr>
                <w:rFonts w:ascii="Arial" w:cs="Arial" w:eastAsia="Arial" w:hAnsi="Arial"/>
                <w:sz w:val="16"/>
                <w:szCs w:val="16"/>
                <w:color w:val="auto"/>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1,649</w:t>
            </w:r>
          </w:p>
        </w:tc>
        <w:tc>
          <w:tcPr>
            <w:tcW w:w="5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1,551</w:t>
            </w:r>
          </w:p>
        </w:tc>
        <w:tc>
          <w:tcPr>
            <w:tcW w:w="0" w:type="dxa"/>
            <w:vAlign w:val="bottom"/>
          </w:tcPr>
          <w:p>
            <w:pPr>
              <w:spacing w:after="0"/>
              <w:rPr>
                <w:sz w:val="1"/>
                <w:szCs w:val="1"/>
                <w:color w:val="auto"/>
              </w:rPr>
            </w:pPr>
          </w:p>
        </w:tc>
      </w:tr>
      <w:tr>
        <w:trPr>
          <w:trHeight w:val="264"/>
        </w:trPr>
        <w:tc>
          <w:tcPr>
            <w:tcW w:w="2600" w:type="dxa"/>
            <w:vAlign w:val="bottom"/>
          </w:tcPr>
          <w:p>
            <w:pPr>
              <w:spacing w:after="0"/>
              <w:rPr>
                <w:sz w:val="20"/>
                <w:szCs w:val="20"/>
                <w:color w:val="auto"/>
              </w:rPr>
            </w:pPr>
            <w:r>
              <w:rPr>
                <w:rFonts w:ascii="Arial" w:cs="Arial" w:eastAsia="Arial" w:hAnsi="Arial"/>
                <w:sz w:val="16"/>
                <w:szCs w:val="16"/>
                <w:color w:val="auto"/>
              </w:rPr>
              <w:t>Add:</w:t>
            </w:r>
          </w:p>
        </w:tc>
        <w:tc>
          <w:tcPr>
            <w:tcW w:w="1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1"/>
        </w:trPr>
        <w:tc>
          <w:tcPr>
            <w:tcW w:w="2600" w:type="dxa"/>
            <w:vAlign w:val="bottom"/>
          </w:tcPr>
          <w:p>
            <w:pPr>
              <w:ind w:left="100"/>
              <w:spacing w:after="0"/>
              <w:rPr>
                <w:sz w:val="20"/>
                <w:szCs w:val="20"/>
                <w:color w:val="auto"/>
              </w:rPr>
            </w:pPr>
            <w:r>
              <w:rPr>
                <w:rFonts w:ascii="Arial" w:cs="Arial" w:eastAsia="Arial" w:hAnsi="Arial"/>
                <w:sz w:val="16"/>
                <w:szCs w:val="16"/>
                <w:color w:val="auto"/>
              </w:rPr>
              <w:t>Total fixed charges (from</w:t>
            </w:r>
          </w:p>
        </w:tc>
        <w:tc>
          <w:tcPr>
            <w:tcW w:w="1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600" w:type="dxa"/>
            <w:vAlign w:val="bottom"/>
          </w:tcPr>
          <w:p>
            <w:pPr>
              <w:ind w:left="240"/>
              <w:spacing w:after="0"/>
              <w:rPr>
                <w:sz w:val="20"/>
                <w:szCs w:val="20"/>
                <w:color w:val="auto"/>
              </w:rPr>
            </w:pPr>
            <w:r>
              <w:rPr>
                <w:rFonts w:ascii="Arial" w:cs="Arial" w:eastAsia="Arial" w:hAnsi="Arial"/>
                <w:sz w:val="16"/>
                <w:szCs w:val="16"/>
                <w:color w:val="auto"/>
              </w:rPr>
              <w:t>above)</w:t>
            </w:r>
          </w:p>
        </w:tc>
        <w:tc>
          <w:tcPr>
            <w:tcW w:w="110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348</w:t>
            </w: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357</w:t>
            </w: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434</w:t>
            </w: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399</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369</w:t>
            </w:r>
          </w:p>
        </w:tc>
        <w:tc>
          <w:tcPr>
            <w:tcW w:w="0" w:type="dxa"/>
            <w:vAlign w:val="bottom"/>
          </w:tcPr>
          <w:p>
            <w:pPr>
              <w:spacing w:after="0"/>
              <w:rPr>
                <w:sz w:val="1"/>
                <w:szCs w:val="1"/>
                <w:color w:val="auto"/>
              </w:rPr>
            </w:pPr>
          </w:p>
        </w:tc>
      </w:tr>
      <w:tr>
        <w:trPr>
          <w:trHeight w:val="252"/>
        </w:trPr>
        <w:tc>
          <w:tcPr>
            <w:tcW w:w="2600" w:type="dxa"/>
            <w:vAlign w:val="bottom"/>
          </w:tcPr>
          <w:p>
            <w:pPr>
              <w:ind w:left="100"/>
              <w:spacing w:after="0"/>
              <w:rPr>
                <w:sz w:val="20"/>
                <w:szCs w:val="20"/>
                <w:color w:val="auto"/>
              </w:rPr>
            </w:pPr>
            <w:r>
              <w:rPr>
                <w:rFonts w:ascii="Arial" w:cs="Arial" w:eastAsia="Arial" w:hAnsi="Arial"/>
                <w:sz w:val="16"/>
                <w:szCs w:val="16"/>
                <w:color w:val="auto"/>
              </w:rPr>
              <w:t>Distributed income of equity</w:t>
            </w:r>
          </w:p>
        </w:tc>
        <w:tc>
          <w:tcPr>
            <w:tcW w:w="1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3"/>
        </w:trPr>
        <w:tc>
          <w:tcPr>
            <w:tcW w:w="2600" w:type="dxa"/>
            <w:vAlign w:val="bottom"/>
          </w:tcPr>
          <w:p>
            <w:pPr>
              <w:ind w:left="240"/>
              <w:spacing w:after="0"/>
              <w:rPr>
                <w:sz w:val="20"/>
                <w:szCs w:val="20"/>
                <w:color w:val="auto"/>
              </w:rPr>
            </w:pPr>
            <w:r>
              <w:rPr>
                <w:rFonts w:ascii="Arial" w:cs="Arial" w:eastAsia="Arial" w:hAnsi="Arial"/>
                <w:sz w:val="16"/>
                <w:szCs w:val="16"/>
                <w:color w:val="auto"/>
              </w:rPr>
              <w:t>investees</w:t>
            </w:r>
          </w:p>
        </w:tc>
        <w:tc>
          <w:tcPr>
            <w:tcW w:w="110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59</w:t>
            </w: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73</w:t>
            </w: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431</w:t>
            </w: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19</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133</w:t>
            </w:r>
          </w:p>
        </w:tc>
        <w:tc>
          <w:tcPr>
            <w:tcW w:w="0" w:type="dxa"/>
            <w:vAlign w:val="bottom"/>
          </w:tcPr>
          <w:p>
            <w:pPr>
              <w:spacing w:after="0"/>
              <w:rPr>
                <w:sz w:val="1"/>
                <w:szCs w:val="1"/>
                <w:color w:val="auto"/>
              </w:rPr>
            </w:pPr>
          </w:p>
        </w:tc>
      </w:tr>
      <w:tr>
        <w:trPr>
          <w:trHeight w:val="264"/>
        </w:trPr>
        <w:tc>
          <w:tcPr>
            <w:tcW w:w="2600" w:type="dxa"/>
            <w:vAlign w:val="bottom"/>
          </w:tcPr>
          <w:p>
            <w:pPr>
              <w:spacing w:after="0"/>
              <w:rPr>
                <w:sz w:val="20"/>
                <w:szCs w:val="20"/>
                <w:color w:val="auto"/>
              </w:rPr>
            </w:pPr>
            <w:r>
              <w:rPr>
                <w:rFonts w:ascii="Arial" w:cs="Arial" w:eastAsia="Arial" w:hAnsi="Arial"/>
                <w:sz w:val="16"/>
                <w:szCs w:val="16"/>
                <w:color w:val="auto"/>
              </w:rPr>
              <w:t>Less:</w:t>
            </w:r>
          </w:p>
        </w:tc>
        <w:tc>
          <w:tcPr>
            <w:tcW w:w="1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4"/>
        </w:trPr>
        <w:tc>
          <w:tcPr>
            <w:tcW w:w="2600" w:type="dxa"/>
            <w:vAlign w:val="bottom"/>
          </w:tcPr>
          <w:p>
            <w:pPr>
              <w:ind w:left="100"/>
              <w:spacing w:after="0"/>
              <w:rPr>
                <w:sz w:val="20"/>
                <w:szCs w:val="20"/>
                <w:color w:val="auto"/>
              </w:rPr>
            </w:pPr>
            <w:r>
              <w:rPr>
                <w:rFonts w:ascii="Arial" w:cs="Arial" w:eastAsia="Arial" w:hAnsi="Arial"/>
                <w:sz w:val="16"/>
                <w:szCs w:val="16"/>
                <w:color w:val="auto"/>
              </w:rPr>
              <w:t>Interest capitalized</w:t>
            </w:r>
          </w:p>
        </w:tc>
        <w:tc>
          <w:tcPr>
            <w:tcW w:w="110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8</w:t>
            </w: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28</w:t>
            </w: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58</w:t>
            </w: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100</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252"/>
        </w:trPr>
        <w:tc>
          <w:tcPr>
            <w:tcW w:w="2600" w:type="dxa"/>
            <w:vAlign w:val="bottom"/>
          </w:tcPr>
          <w:p>
            <w:pPr>
              <w:ind w:left="100"/>
              <w:spacing w:after="0"/>
              <w:rPr>
                <w:sz w:val="20"/>
                <w:szCs w:val="20"/>
                <w:color w:val="auto"/>
              </w:rPr>
            </w:pPr>
            <w:r>
              <w:rPr>
                <w:rFonts w:ascii="Arial" w:cs="Arial" w:eastAsia="Arial" w:hAnsi="Arial"/>
                <w:sz w:val="16"/>
                <w:szCs w:val="16"/>
                <w:color w:val="auto"/>
              </w:rPr>
              <w:t>Equity in income (loss) of</w:t>
            </w:r>
          </w:p>
        </w:tc>
        <w:tc>
          <w:tcPr>
            <w:tcW w:w="1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0"/>
        </w:trPr>
        <w:tc>
          <w:tcPr>
            <w:tcW w:w="2600" w:type="dxa"/>
            <w:vAlign w:val="bottom"/>
          </w:tcPr>
          <w:p>
            <w:pPr>
              <w:ind w:left="240"/>
              <w:spacing w:after="0" w:line="181" w:lineRule="exact"/>
              <w:rPr>
                <w:sz w:val="20"/>
                <w:szCs w:val="20"/>
                <w:color w:val="auto"/>
              </w:rPr>
            </w:pPr>
            <w:r>
              <w:rPr>
                <w:rFonts w:ascii="Arial" w:cs="Arial" w:eastAsia="Arial" w:hAnsi="Arial"/>
                <w:sz w:val="16"/>
                <w:szCs w:val="16"/>
                <w:color w:val="auto"/>
              </w:rPr>
              <w:t>unconsolidated subsidiaries</w:t>
            </w:r>
          </w:p>
        </w:tc>
        <w:tc>
          <w:tcPr>
            <w:tcW w:w="1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600" w:type="dxa"/>
            <w:vAlign w:val="bottom"/>
          </w:tcPr>
          <w:p>
            <w:pPr>
              <w:ind w:left="240"/>
              <w:spacing w:after="0"/>
              <w:rPr>
                <w:sz w:val="20"/>
                <w:szCs w:val="20"/>
                <w:color w:val="auto"/>
              </w:rPr>
            </w:pPr>
            <w:r>
              <w:rPr>
                <w:rFonts w:ascii="Arial" w:cs="Arial" w:eastAsia="Arial" w:hAnsi="Arial"/>
                <w:sz w:val="16"/>
                <w:szCs w:val="16"/>
                <w:color w:val="auto"/>
              </w:rPr>
              <w:t>and joint ventures</w:t>
            </w:r>
          </w:p>
        </w:tc>
        <w:tc>
          <w:tcPr>
            <w:tcW w:w="110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36</w:t>
            </w: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66</w:t>
            </w: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156</w:t>
            </w: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90</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483</w:t>
            </w:r>
          </w:p>
        </w:tc>
        <w:tc>
          <w:tcPr>
            <w:tcW w:w="0" w:type="dxa"/>
            <w:vAlign w:val="bottom"/>
          </w:tcPr>
          <w:p>
            <w:pPr>
              <w:spacing w:after="0"/>
              <w:rPr>
                <w:sz w:val="1"/>
                <w:szCs w:val="1"/>
                <w:color w:val="auto"/>
              </w:rPr>
            </w:pPr>
          </w:p>
        </w:tc>
      </w:tr>
      <w:tr>
        <w:trPr>
          <w:trHeight w:val="396"/>
        </w:trPr>
        <w:tc>
          <w:tcPr>
            <w:tcW w:w="2600" w:type="dxa"/>
            <w:vAlign w:val="bottom"/>
          </w:tcPr>
          <w:p>
            <w:pPr>
              <w:ind w:left="100"/>
              <w:spacing w:after="0"/>
              <w:rPr>
                <w:sz w:val="20"/>
                <w:szCs w:val="20"/>
                <w:color w:val="auto"/>
              </w:rPr>
            </w:pPr>
            <w:r>
              <w:rPr>
                <w:rFonts w:ascii="Arial" w:cs="Arial" w:eastAsia="Arial" w:hAnsi="Arial"/>
                <w:sz w:val="16"/>
                <w:szCs w:val="16"/>
                <w:color w:val="auto"/>
              </w:rPr>
              <w:t>Minority interest in income of</w:t>
            </w:r>
          </w:p>
        </w:tc>
        <w:tc>
          <w:tcPr>
            <w:tcW w:w="1100" w:type="dxa"/>
            <w:vAlign w:val="bottom"/>
          </w:tcPr>
          <w:p>
            <w:pPr>
              <w:spacing w:after="0"/>
              <w:rPr>
                <w:sz w:val="24"/>
                <w:szCs w:val="24"/>
                <w:color w:val="auto"/>
              </w:rPr>
            </w:pPr>
          </w:p>
        </w:tc>
        <w:tc>
          <w:tcPr>
            <w:tcW w:w="520" w:type="dxa"/>
            <w:vAlign w:val="bottom"/>
            <w:vMerge w:val="restart"/>
          </w:tcPr>
          <w:p>
            <w:pPr>
              <w:jc w:val="right"/>
              <w:ind w:right="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20" w:type="dxa"/>
            <w:vAlign w:val="bottom"/>
            <w:vMerge w:val="restart"/>
          </w:tcPr>
          <w:p>
            <w:pPr>
              <w:jc w:val="right"/>
              <w:ind w:right="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520" w:type="dxa"/>
            <w:vAlign w:val="bottom"/>
            <w:vMerge w:val="restart"/>
          </w:tcPr>
          <w:p>
            <w:pPr>
              <w:jc w:val="right"/>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20" w:type="dxa"/>
            <w:vAlign w:val="bottom"/>
            <w:vMerge w:val="restart"/>
          </w:tcPr>
          <w:p>
            <w:pPr>
              <w:jc w:val="right"/>
              <w:spacing w:after="0"/>
              <w:rPr>
                <w:sz w:val="20"/>
                <w:szCs w:val="20"/>
                <w:color w:val="auto"/>
              </w:rPr>
            </w:pPr>
            <w:r>
              <w:rPr>
                <w:rFonts w:ascii="Arial" w:cs="Arial" w:eastAsia="Arial" w:hAnsi="Arial"/>
                <w:sz w:val="16"/>
                <w:szCs w:val="16"/>
                <w:color w:val="auto"/>
              </w:rPr>
              <w:t>31</w:t>
            </w: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00" w:type="dxa"/>
            <w:vAlign w:val="bottom"/>
            <w:vMerge w:val="restart"/>
          </w:tcPr>
          <w:p>
            <w:pPr>
              <w:jc w:val="right"/>
              <w:spacing w:after="0"/>
              <w:rPr>
                <w:sz w:val="20"/>
                <w:szCs w:val="20"/>
                <w:color w:val="auto"/>
              </w:rPr>
            </w:pPr>
            <w:r>
              <w:rPr>
                <w:rFonts w:ascii="Arial" w:cs="Arial" w:eastAsia="Arial" w:hAnsi="Arial"/>
                <w:sz w:val="16"/>
                <w:szCs w:val="16"/>
                <w:color w:val="auto"/>
              </w:rPr>
              <w:t>69</w:t>
            </w:r>
          </w:p>
        </w:tc>
        <w:tc>
          <w:tcPr>
            <w:tcW w:w="0" w:type="dxa"/>
            <w:vAlign w:val="bottom"/>
          </w:tcPr>
          <w:p>
            <w:pPr>
              <w:spacing w:after="0"/>
              <w:rPr>
                <w:sz w:val="1"/>
                <w:szCs w:val="1"/>
                <w:color w:val="auto"/>
              </w:rPr>
            </w:pPr>
          </w:p>
        </w:tc>
      </w:tr>
      <w:tr>
        <w:trPr>
          <w:trHeight w:val="181"/>
        </w:trPr>
        <w:tc>
          <w:tcPr>
            <w:tcW w:w="2600" w:type="dxa"/>
            <w:vAlign w:val="bottom"/>
          </w:tcPr>
          <w:p>
            <w:pPr>
              <w:ind w:left="240"/>
              <w:spacing w:after="0" w:line="181" w:lineRule="exact"/>
              <w:rPr>
                <w:sz w:val="20"/>
                <w:szCs w:val="20"/>
                <w:color w:val="auto"/>
              </w:rPr>
            </w:pPr>
            <w:r>
              <w:rPr>
                <w:rFonts w:ascii="Arial" w:cs="Arial" w:eastAsia="Arial" w:hAnsi="Arial"/>
                <w:sz w:val="16"/>
                <w:szCs w:val="16"/>
                <w:color w:val="auto"/>
              </w:rPr>
              <w:t>consolidated subsidiaries</w:t>
            </w:r>
          </w:p>
        </w:tc>
        <w:tc>
          <w:tcPr>
            <w:tcW w:w="110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4"/>
        </w:trPr>
        <w:tc>
          <w:tcPr>
            <w:tcW w:w="2600" w:type="dxa"/>
            <w:vAlign w:val="bottom"/>
          </w:tcPr>
          <w:p>
            <w:pPr>
              <w:spacing w:after="0"/>
              <w:rPr>
                <w:sz w:val="20"/>
                <w:szCs w:val="20"/>
                <w:color w:val="auto"/>
              </w:rPr>
            </w:pPr>
            <w:r>
              <w:rPr>
                <w:rFonts w:ascii="Arial" w:cs="Arial" w:eastAsia="Arial" w:hAnsi="Arial"/>
                <w:sz w:val="16"/>
                <w:szCs w:val="16"/>
                <w:color w:val="auto"/>
              </w:rPr>
              <w:t>Total earnings for purpose of</w:t>
            </w:r>
          </w:p>
        </w:tc>
        <w:tc>
          <w:tcPr>
            <w:tcW w:w="1100" w:type="dxa"/>
            <w:vAlign w:val="bottom"/>
            <w:vMerge w:val="restart"/>
          </w:tcPr>
          <w:p>
            <w:pPr>
              <w:jc w:val="right"/>
              <w:ind w:right="740"/>
              <w:spacing w:after="0"/>
              <w:rPr>
                <w:sz w:val="20"/>
                <w:szCs w:val="20"/>
                <w:color w:val="auto"/>
              </w:rPr>
            </w:pPr>
            <w:r>
              <w:rPr>
                <w:rFonts w:ascii="Arial" w:cs="Arial" w:eastAsia="Arial" w:hAnsi="Arial"/>
                <w:sz w:val="16"/>
                <w:szCs w:val="16"/>
                <w:color w:val="auto"/>
              </w:rPr>
              <w:t>$</w:t>
            </w:r>
          </w:p>
        </w:tc>
        <w:tc>
          <w:tcPr>
            <w:tcW w:w="520" w:type="dxa"/>
            <w:vAlign w:val="bottom"/>
            <w:vMerge w:val="restart"/>
          </w:tcPr>
          <w:p>
            <w:pPr>
              <w:jc w:val="right"/>
              <w:spacing w:after="0"/>
              <w:rPr>
                <w:sz w:val="20"/>
                <w:szCs w:val="20"/>
                <w:color w:val="auto"/>
              </w:rPr>
            </w:pPr>
            <w:r>
              <w:rPr>
                <w:rFonts w:ascii="Arial" w:cs="Arial" w:eastAsia="Arial" w:hAnsi="Arial"/>
                <w:sz w:val="16"/>
                <w:szCs w:val="16"/>
                <w:color w:val="auto"/>
              </w:rPr>
              <w:t>1,468</w:t>
            </w:r>
          </w:p>
        </w:tc>
        <w:tc>
          <w:tcPr>
            <w:tcW w:w="1220" w:type="dxa"/>
            <w:vAlign w:val="bottom"/>
            <w:gridSpan w:val="2"/>
            <w:vMerge w:val="restart"/>
          </w:tcPr>
          <w:p>
            <w:pPr>
              <w:jc w:val="right"/>
              <w:ind w:right="820"/>
              <w:spacing w:after="0"/>
              <w:rPr>
                <w:sz w:val="20"/>
                <w:szCs w:val="20"/>
                <w:color w:val="auto"/>
              </w:rPr>
            </w:pPr>
            <w:r>
              <w:rPr>
                <w:rFonts w:ascii="Arial" w:cs="Arial" w:eastAsia="Arial" w:hAnsi="Arial"/>
                <w:sz w:val="16"/>
                <w:szCs w:val="16"/>
                <w:color w:val="auto"/>
              </w:rPr>
              <w:t>$</w:t>
            </w:r>
          </w:p>
        </w:tc>
        <w:tc>
          <w:tcPr>
            <w:tcW w:w="520" w:type="dxa"/>
            <w:vAlign w:val="bottom"/>
            <w:vMerge w:val="restart"/>
          </w:tcPr>
          <w:p>
            <w:pPr>
              <w:jc w:val="right"/>
              <w:spacing w:after="0"/>
              <w:rPr>
                <w:sz w:val="20"/>
                <w:szCs w:val="20"/>
                <w:color w:val="auto"/>
              </w:rPr>
            </w:pPr>
            <w:r>
              <w:rPr>
                <w:rFonts w:ascii="Arial" w:cs="Arial" w:eastAsia="Arial" w:hAnsi="Arial"/>
                <w:sz w:val="16"/>
                <w:szCs w:val="16"/>
                <w:color w:val="auto"/>
              </w:rPr>
              <w:t>1,283</w:t>
            </w:r>
          </w:p>
        </w:tc>
        <w:tc>
          <w:tcPr>
            <w:tcW w:w="1240" w:type="dxa"/>
            <w:vAlign w:val="bottom"/>
            <w:gridSpan w:val="2"/>
            <w:vMerge w:val="restart"/>
          </w:tcPr>
          <w:p>
            <w:pPr>
              <w:jc w:val="right"/>
              <w:ind w:right="820"/>
              <w:spacing w:after="0"/>
              <w:rPr>
                <w:sz w:val="20"/>
                <w:szCs w:val="20"/>
                <w:color w:val="auto"/>
              </w:rPr>
            </w:pPr>
            <w:r>
              <w:rPr>
                <w:rFonts w:ascii="Arial" w:cs="Arial" w:eastAsia="Arial" w:hAnsi="Arial"/>
                <w:sz w:val="16"/>
                <w:szCs w:val="16"/>
                <w:color w:val="auto"/>
              </w:rPr>
              <w:t>$</w:t>
            </w:r>
          </w:p>
        </w:tc>
        <w:tc>
          <w:tcPr>
            <w:tcW w:w="520" w:type="dxa"/>
            <w:vAlign w:val="bottom"/>
            <w:vMerge w:val="restart"/>
          </w:tcPr>
          <w:p>
            <w:pPr>
              <w:jc w:val="right"/>
              <w:spacing w:after="0"/>
              <w:rPr>
                <w:sz w:val="20"/>
                <w:szCs w:val="20"/>
                <w:color w:val="auto"/>
              </w:rPr>
            </w:pPr>
            <w:r>
              <w:rPr>
                <w:rFonts w:ascii="Arial" w:cs="Arial" w:eastAsia="Arial" w:hAnsi="Arial"/>
                <w:sz w:val="16"/>
                <w:szCs w:val="16"/>
                <w:color w:val="auto"/>
              </w:rPr>
              <w:t>2,376</w:t>
            </w:r>
          </w:p>
        </w:tc>
        <w:tc>
          <w:tcPr>
            <w:tcW w:w="1180" w:type="dxa"/>
            <w:vAlign w:val="bottom"/>
            <w:gridSpan w:val="2"/>
            <w:vMerge w:val="restart"/>
          </w:tcPr>
          <w:p>
            <w:pPr>
              <w:jc w:val="right"/>
              <w:ind w:right="780"/>
              <w:spacing w:after="0"/>
              <w:rPr>
                <w:sz w:val="20"/>
                <w:szCs w:val="20"/>
                <w:color w:val="auto"/>
              </w:rPr>
            </w:pPr>
            <w:r>
              <w:rPr>
                <w:rFonts w:ascii="Arial" w:cs="Arial" w:eastAsia="Arial" w:hAnsi="Arial"/>
                <w:sz w:val="16"/>
                <w:szCs w:val="16"/>
                <w:color w:val="auto"/>
              </w:rPr>
              <w:t>$</w:t>
            </w:r>
          </w:p>
        </w:tc>
        <w:tc>
          <w:tcPr>
            <w:tcW w:w="520" w:type="dxa"/>
            <w:vAlign w:val="bottom"/>
            <w:vMerge w:val="restart"/>
          </w:tcPr>
          <w:p>
            <w:pPr>
              <w:jc w:val="right"/>
              <w:spacing w:after="0"/>
              <w:rPr>
                <w:sz w:val="20"/>
                <w:szCs w:val="20"/>
                <w:color w:val="auto"/>
              </w:rPr>
            </w:pPr>
            <w:r>
              <w:rPr>
                <w:rFonts w:ascii="Arial" w:cs="Arial" w:eastAsia="Arial" w:hAnsi="Arial"/>
                <w:sz w:val="16"/>
                <w:szCs w:val="16"/>
                <w:color w:val="auto"/>
              </w:rPr>
              <w:t>1,846</w:t>
            </w:r>
          </w:p>
        </w:tc>
        <w:tc>
          <w:tcPr>
            <w:tcW w:w="580" w:type="dxa"/>
            <w:vAlign w:val="bottom"/>
            <w:gridSpan w:val="2"/>
            <w:vMerge w:val="restart"/>
          </w:tcPr>
          <w:p>
            <w:pPr>
              <w:jc w:val="right"/>
              <w:ind w:right="200"/>
              <w:spacing w:after="0"/>
              <w:rPr>
                <w:sz w:val="20"/>
                <w:szCs w:val="20"/>
                <w:color w:val="auto"/>
              </w:rPr>
            </w:pPr>
            <w:r>
              <w:rPr>
                <w:rFonts w:ascii="Arial" w:cs="Arial" w:eastAsia="Arial" w:hAnsi="Arial"/>
                <w:sz w:val="16"/>
                <w:szCs w:val="16"/>
                <w:color w:val="auto"/>
              </w:rPr>
              <w:t>$</w:t>
            </w:r>
          </w:p>
        </w:tc>
        <w:tc>
          <w:tcPr>
            <w:tcW w:w="1100" w:type="dxa"/>
            <w:vAlign w:val="bottom"/>
            <w:vMerge w:val="restart"/>
          </w:tcPr>
          <w:p>
            <w:pPr>
              <w:jc w:val="right"/>
              <w:spacing w:after="0"/>
              <w:rPr>
                <w:sz w:val="20"/>
                <w:szCs w:val="20"/>
                <w:color w:val="auto"/>
              </w:rPr>
            </w:pPr>
            <w:r>
              <w:rPr>
                <w:rFonts w:ascii="Arial" w:cs="Arial" w:eastAsia="Arial" w:hAnsi="Arial"/>
                <w:sz w:val="16"/>
                <w:szCs w:val="16"/>
                <w:color w:val="auto"/>
              </w:rPr>
              <w:t>1,401</w:t>
            </w:r>
          </w:p>
        </w:tc>
        <w:tc>
          <w:tcPr>
            <w:tcW w:w="0" w:type="dxa"/>
            <w:vAlign w:val="bottom"/>
          </w:tcPr>
          <w:p>
            <w:pPr>
              <w:spacing w:after="0"/>
              <w:rPr>
                <w:sz w:val="1"/>
                <w:szCs w:val="1"/>
                <w:color w:val="auto"/>
              </w:rPr>
            </w:pPr>
          </w:p>
        </w:tc>
      </w:tr>
      <w:tr>
        <w:trPr>
          <w:trHeight w:val="145"/>
        </w:trPr>
        <w:tc>
          <w:tcPr>
            <w:tcW w:w="2600" w:type="dxa"/>
            <w:vAlign w:val="bottom"/>
          </w:tcPr>
          <w:p>
            <w:pPr>
              <w:ind w:left="240"/>
              <w:spacing w:after="0" w:line="125" w:lineRule="exact"/>
              <w:rPr>
                <w:sz w:val="20"/>
                <w:szCs w:val="20"/>
                <w:color w:val="auto"/>
              </w:rPr>
            </w:pPr>
            <w:r>
              <w:rPr>
                <w:rFonts w:ascii="Arial" w:cs="Arial" w:eastAsia="Arial" w:hAnsi="Arial"/>
                <w:sz w:val="14"/>
                <w:szCs w:val="14"/>
                <w:color w:val="auto"/>
              </w:rPr>
              <w:t>ratio</w:t>
            </w:r>
          </w:p>
        </w:tc>
        <w:tc>
          <w:tcPr>
            <w:tcW w:w="1100" w:type="dxa"/>
            <w:vAlign w:val="bottom"/>
            <w:vMerge w:val="continue"/>
          </w:tcPr>
          <w:p>
            <w:pPr>
              <w:spacing w:after="0"/>
              <w:rPr>
                <w:sz w:val="12"/>
                <w:szCs w:val="12"/>
                <w:color w:val="auto"/>
              </w:rPr>
            </w:pPr>
          </w:p>
        </w:tc>
        <w:tc>
          <w:tcPr>
            <w:tcW w:w="520" w:type="dxa"/>
            <w:vAlign w:val="bottom"/>
            <w:vMerge w:val="continue"/>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520" w:type="dxa"/>
            <w:vAlign w:val="bottom"/>
            <w:vMerge w:val="continue"/>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520" w:type="dxa"/>
            <w:vAlign w:val="bottom"/>
            <w:vMerge w:val="continue"/>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520" w:type="dxa"/>
            <w:vAlign w:val="bottom"/>
            <w:vMerge w:val="continue"/>
          </w:tcPr>
          <w:p>
            <w:pPr>
              <w:spacing w:after="0"/>
              <w:rPr>
                <w:sz w:val="12"/>
                <w:szCs w:val="12"/>
                <w:color w:val="auto"/>
              </w:rPr>
            </w:pPr>
          </w:p>
        </w:tc>
        <w:tc>
          <w:tcPr>
            <w:tcW w:w="580" w:type="dxa"/>
            <w:vAlign w:val="bottom"/>
            <w:gridSpan w:val="2"/>
            <w:vMerge w:val="continue"/>
          </w:tcPr>
          <w:p>
            <w:pPr>
              <w:spacing w:after="0"/>
              <w:rPr>
                <w:sz w:val="12"/>
                <w:szCs w:val="12"/>
                <w:color w:val="auto"/>
              </w:rPr>
            </w:pPr>
          </w:p>
        </w:tc>
        <w:tc>
          <w:tcPr>
            <w:tcW w:w="11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600" w:type="dxa"/>
            <w:vAlign w:val="bottom"/>
            <w:vMerge w:val="restart"/>
          </w:tcPr>
          <w:p>
            <w:pPr>
              <w:ind w:left="100"/>
              <w:spacing w:after="0"/>
              <w:rPr>
                <w:sz w:val="20"/>
                <w:szCs w:val="20"/>
                <w:color w:val="auto"/>
              </w:rPr>
            </w:pPr>
            <w:r>
              <w:rPr>
                <w:rFonts w:ascii="Arial" w:cs="Arial" w:eastAsia="Arial" w:hAnsi="Arial"/>
                <w:sz w:val="16"/>
                <w:szCs w:val="16"/>
                <w:color w:val="auto"/>
              </w:rPr>
              <w:t>Ratio of earnings to combined</w:t>
            </w:r>
          </w:p>
        </w:tc>
        <w:tc>
          <w:tcPr>
            <w:tcW w:w="1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0"/>
        </w:trPr>
        <w:tc>
          <w:tcPr>
            <w:tcW w:w="2600" w:type="dxa"/>
            <w:vAlign w:val="bottom"/>
            <w:vMerge w:val="continue"/>
          </w:tcPr>
          <w:p>
            <w:pPr>
              <w:spacing w:after="0"/>
              <w:rPr>
                <w:sz w:val="20"/>
                <w:szCs w:val="20"/>
                <w:color w:val="auto"/>
              </w:rPr>
            </w:pPr>
          </w:p>
        </w:tc>
        <w:tc>
          <w:tcPr>
            <w:tcW w:w="1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0"/>
        </w:trPr>
        <w:tc>
          <w:tcPr>
            <w:tcW w:w="2600" w:type="dxa"/>
            <w:vAlign w:val="bottom"/>
          </w:tcPr>
          <w:p>
            <w:pPr>
              <w:ind w:left="240"/>
              <w:spacing w:after="0" w:line="181" w:lineRule="exact"/>
              <w:rPr>
                <w:sz w:val="20"/>
                <w:szCs w:val="20"/>
                <w:color w:val="auto"/>
              </w:rPr>
            </w:pPr>
            <w:r>
              <w:rPr>
                <w:rFonts w:ascii="Arial" w:cs="Arial" w:eastAsia="Arial" w:hAnsi="Arial"/>
                <w:sz w:val="16"/>
                <w:szCs w:val="16"/>
                <w:color w:val="auto"/>
              </w:rPr>
              <w:t>fixed charges and preferred</w:t>
            </w:r>
          </w:p>
        </w:tc>
        <w:tc>
          <w:tcPr>
            <w:tcW w:w="1100" w:type="dxa"/>
            <w:vAlign w:val="bottom"/>
          </w:tcPr>
          <w:p>
            <w:pPr>
              <w:spacing w:after="0"/>
              <w:rPr>
                <w:sz w:val="15"/>
                <w:szCs w:val="15"/>
                <w:color w:val="auto"/>
              </w:rPr>
            </w:pPr>
          </w:p>
        </w:tc>
        <w:tc>
          <w:tcPr>
            <w:tcW w:w="520" w:type="dxa"/>
            <w:vAlign w:val="bottom"/>
            <w:vMerge w:val="restart"/>
          </w:tcPr>
          <w:p>
            <w:pPr>
              <w:jc w:val="right"/>
              <w:spacing w:after="0"/>
              <w:rPr>
                <w:sz w:val="20"/>
                <w:szCs w:val="20"/>
                <w:color w:val="auto"/>
              </w:rPr>
            </w:pPr>
            <w:r>
              <w:rPr>
                <w:rFonts w:ascii="Arial" w:cs="Arial" w:eastAsia="Arial" w:hAnsi="Arial"/>
                <w:sz w:val="16"/>
                <w:szCs w:val="16"/>
                <w:color w:val="auto"/>
              </w:rPr>
              <w:t>4.22</w:t>
            </w: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520" w:type="dxa"/>
            <w:vAlign w:val="bottom"/>
            <w:vMerge w:val="restart"/>
          </w:tcPr>
          <w:p>
            <w:pPr>
              <w:jc w:val="right"/>
              <w:spacing w:after="0"/>
              <w:rPr>
                <w:sz w:val="20"/>
                <w:szCs w:val="20"/>
                <w:color w:val="auto"/>
              </w:rPr>
            </w:pPr>
            <w:r>
              <w:rPr>
                <w:rFonts w:ascii="Arial" w:cs="Arial" w:eastAsia="Arial" w:hAnsi="Arial"/>
                <w:sz w:val="16"/>
                <w:szCs w:val="16"/>
                <w:color w:val="auto"/>
              </w:rPr>
              <w:t>3.59</w:t>
            </w: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520" w:type="dxa"/>
            <w:vAlign w:val="bottom"/>
            <w:vMerge w:val="restart"/>
          </w:tcPr>
          <w:p>
            <w:pPr>
              <w:jc w:val="right"/>
              <w:spacing w:after="0"/>
              <w:rPr>
                <w:sz w:val="20"/>
                <w:szCs w:val="20"/>
                <w:color w:val="auto"/>
              </w:rPr>
            </w:pPr>
            <w:r>
              <w:rPr>
                <w:rFonts w:ascii="Arial" w:cs="Arial" w:eastAsia="Arial" w:hAnsi="Arial"/>
                <w:sz w:val="16"/>
                <w:szCs w:val="16"/>
                <w:color w:val="auto"/>
              </w:rPr>
              <w:t>5.47</w:t>
            </w: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520" w:type="dxa"/>
            <w:vAlign w:val="bottom"/>
            <w:vMerge w:val="restart"/>
          </w:tcPr>
          <w:p>
            <w:pPr>
              <w:jc w:val="right"/>
              <w:spacing w:after="0"/>
              <w:rPr>
                <w:sz w:val="20"/>
                <w:szCs w:val="20"/>
                <w:color w:val="auto"/>
              </w:rPr>
            </w:pPr>
            <w:r>
              <w:rPr>
                <w:rFonts w:ascii="Arial" w:cs="Arial" w:eastAsia="Arial" w:hAnsi="Arial"/>
                <w:sz w:val="16"/>
                <w:szCs w:val="16"/>
                <w:color w:val="auto"/>
              </w:rPr>
              <w:t>4.63</w:t>
            </w: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Arial" w:cs="Arial" w:eastAsia="Arial" w:hAnsi="Arial"/>
                <w:sz w:val="16"/>
                <w:szCs w:val="16"/>
                <w:color w:val="auto"/>
              </w:rPr>
              <w:t>3.80</w:t>
            </w:r>
          </w:p>
        </w:tc>
        <w:tc>
          <w:tcPr>
            <w:tcW w:w="0" w:type="dxa"/>
            <w:vAlign w:val="bottom"/>
          </w:tcPr>
          <w:p>
            <w:pPr>
              <w:spacing w:after="0"/>
              <w:rPr>
                <w:sz w:val="1"/>
                <w:szCs w:val="1"/>
                <w:color w:val="auto"/>
              </w:rPr>
            </w:pPr>
          </w:p>
        </w:tc>
      </w:tr>
      <w:tr>
        <w:trPr>
          <w:trHeight w:val="145"/>
        </w:trPr>
        <w:tc>
          <w:tcPr>
            <w:tcW w:w="2600" w:type="dxa"/>
            <w:vAlign w:val="bottom"/>
          </w:tcPr>
          <w:p>
            <w:pPr>
              <w:ind w:left="240"/>
              <w:spacing w:after="0" w:line="125" w:lineRule="exact"/>
              <w:rPr>
                <w:sz w:val="20"/>
                <w:szCs w:val="20"/>
                <w:color w:val="auto"/>
              </w:rPr>
            </w:pPr>
            <w:r>
              <w:rPr>
                <w:rFonts w:ascii="Arial" w:cs="Arial" w:eastAsia="Arial" w:hAnsi="Arial"/>
                <w:sz w:val="14"/>
                <w:szCs w:val="14"/>
                <w:color w:val="auto"/>
              </w:rPr>
              <w:t>stock dividends</w:t>
            </w:r>
          </w:p>
        </w:tc>
        <w:tc>
          <w:tcPr>
            <w:tcW w:w="110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vMerge w:val="continue"/>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vMerge w:val="continue"/>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vMerge w:val="continue"/>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vMerge w:val="continue"/>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600" w:type="dxa"/>
            <w:vAlign w:val="bottom"/>
            <w:vMerge w:val="restart"/>
          </w:tcPr>
          <w:p>
            <w:pPr>
              <w:spacing w:after="0"/>
              <w:rPr>
                <w:sz w:val="20"/>
                <w:szCs w:val="20"/>
                <w:color w:val="auto"/>
              </w:rPr>
            </w:pPr>
            <w:r>
              <w:rPr>
                <w:rFonts w:ascii="Arial" w:cs="Arial" w:eastAsia="Arial" w:hAnsi="Arial"/>
                <w:sz w:val="16"/>
                <w:szCs w:val="16"/>
                <w:color w:val="auto"/>
              </w:rPr>
              <w:t>Ratio of earnings to fixed</w:t>
            </w:r>
          </w:p>
        </w:tc>
        <w:tc>
          <w:tcPr>
            <w:tcW w:w="1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0"/>
        </w:trPr>
        <w:tc>
          <w:tcPr>
            <w:tcW w:w="2600" w:type="dxa"/>
            <w:vAlign w:val="bottom"/>
            <w:vMerge w:val="continue"/>
          </w:tcPr>
          <w:p>
            <w:pPr>
              <w:spacing w:after="0"/>
              <w:rPr>
                <w:sz w:val="20"/>
                <w:szCs w:val="20"/>
                <w:color w:val="auto"/>
              </w:rPr>
            </w:pPr>
          </w:p>
        </w:tc>
        <w:tc>
          <w:tcPr>
            <w:tcW w:w="1100" w:type="dxa"/>
            <w:vAlign w:val="bottom"/>
          </w:tcPr>
          <w:p>
            <w:pPr>
              <w:spacing w:after="0"/>
              <w:rPr>
                <w:sz w:val="20"/>
                <w:szCs w:val="20"/>
                <w:color w:val="auto"/>
              </w:rPr>
            </w:pPr>
          </w:p>
        </w:tc>
        <w:tc>
          <w:tcPr>
            <w:tcW w:w="520" w:type="dxa"/>
            <w:vAlign w:val="bottom"/>
            <w:vMerge w:val="restart"/>
          </w:tcPr>
          <w:p>
            <w:pPr>
              <w:jc w:val="right"/>
              <w:spacing w:after="0"/>
              <w:rPr>
                <w:sz w:val="20"/>
                <w:szCs w:val="20"/>
                <w:color w:val="auto"/>
              </w:rPr>
            </w:pPr>
            <w:r>
              <w:rPr>
                <w:rFonts w:ascii="Arial" w:cs="Arial" w:eastAsia="Arial" w:hAnsi="Arial"/>
                <w:sz w:val="16"/>
                <w:szCs w:val="16"/>
                <w:color w:val="auto"/>
              </w:rPr>
              <w:t>4.22</w:t>
            </w: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20" w:type="dxa"/>
            <w:vAlign w:val="bottom"/>
            <w:vMerge w:val="restart"/>
          </w:tcPr>
          <w:p>
            <w:pPr>
              <w:jc w:val="right"/>
              <w:spacing w:after="0"/>
              <w:rPr>
                <w:sz w:val="20"/>
                <w:szCs w:val="20"/>
                <w:color w:val="auto"/>
              </w:rPr>
            </w:pPr>
            <w:r>
              <w:rPr>
                <w:rFonts w:ascii="Arial" w:cs="Arial" w:eastAsia="Arial" w:hAnsi="Arial"/>
                <w:sz w:val="16"/>
                <w:szCs w:val="16"/>
                <w:color w:val="auto"/>
              </w:rPr>
              <w:t>3.59</w:t>
            </w: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0" w:type="dxa"/>
            <w:vAlign w:val="bottom"/>
            <w:vMerge w:val="restart"/>
          </w:tcPr>
          <w:p>
            <w:pPr>
              <w:jc w:val="right"/>
              <w:spacing w:after="0"/>
              <w:rPr>
                <w:sz w:val="20"/>
                <w:szCs w:val="20"/>
                <w:color w:val="auto"/>
              </w:rPr>
            </w:pPr>
            <w:r>
              <w:rPr>
                <w:rFonts w:ascii="Arial" w:cs="Arial" w:eastAsia="Arial" w:hAnsi="Arial"/>
                <w:sz w:val="16"/>
                <w:szCs w:val="16"/>
                <w:color w:val="auto"/>
              </w:rPr>
              <w:t>5.47</w:t>
            </w: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20" w:type="dxa"/>
            <w:vAlign w:val="bottom"/>
            <w:vMerge w:val="restart"/>
          </w:tcPr>
          <w:p>
            <w:pPr>
              <w:jc w:val="right"/>
              <w:spacing w:after="0"/>
              <w:rPr>
                <w:sz w:val="20"/>
                <w:szCs w:val="20"/>
                <w:color w:val="auto"/>
              </w:rPr>
            </w:pPr>
            <w:r>
              <w:rPr>
                <w:rFonts w:ascii="Arial" w:cs="Arial" w:eastAsia="Arial" w:hAnsi="Arial"/>
                <w:sz w:val="16"/>
                <w:szCs w:val="16"/>
                <w:color w:val="auto"/>
              </w:rPr>
              <w:t>4.63</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00" w:type="dxa"/>
            <w:vAlign w:val="bottom"/>
            <w:vMerge w:val="restart"/>
          </w:tcPr>
          <w:p>
            <w:pPr>
              <w:jc w:val="right"/>
              <w:spacing w:after="0"/>
              <w:rPr>
                <w:sz w:val="20"/>
                <w:szCs w:val="20"/>
                <w:color w:val="auto"/>
              </w:rPr>
            </w:pPr>
            <w:r>
              <w:rPr>
                <w:rFonts w:ascii="Arial" w:cs="Arial" w:eastAsia="Arial" w:hAnsi="Arial"/>
                <w:sz w:val="16"/>
                <w:szCs w:val="16"/>
                <w:color w:val="auto"/>
              </w:rPr>
              <w:t>3.80</w:t>
            </w:r>
          </w:p>
        </w:tc>
        <w:tc>
          <w:tcPr>
            <w:tcW w:w="0" w:type="dxa"/>
            <w:vAlign w:val="bottom"/>
          </w:tcPr>
          <w:p>
            <w:pPr>
              <w:spacing w:after="0"/>
              <w:rPr>
                <w:sz w:val="1"/>
                <w:szCs w:val="1"/>
                <w:color w:val="auto"/>
              </w:rPr>
            </w:pPr>
          </w:p>
        </w:tc>
      </w:tr>
      <w:tr>
        <w:trPr>
          <w:trHeight w:val="145"/>
        </w:trPr>
        <w:tc>
          <w:tcPr>
            <w:tcW w:w="2600" w:type="dxa"/>
            <w:vAlign w:val="bottom"/>
          </w:tcPr>
          <w:p>
            <w:pPr>
              <w:ind w:left="240"/>
              <w:spacing w:after="0" w:line="125" w:lineRule="exact"/>
              <w:rPr>
                <w:sz w:val="20"/>
                <w:szCs w:val="20"/>
                <w:color w:val="auto"/>
              </w:rPr>
            </w:pPr>
            <w:r>
              <w:rPr>
                <w:rFonts w:ascii="Arial" w:cs="Arial" w:eastAsia="Arial" w:hAnsi="Arial"/>
                <w:sz w:val="14"/>
                <w:szCs w:val="14"/>
                <w:color w:val="auto"/>
              </w:rPr>
              <w:t>charges</w:t>
            </w:r>
          </w:p>
        </w:tc>
        <w:tc>
          <w:tcPr>
            <w:tcW w:w="110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vMerge w:val="continue"/>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vMerge w:val="continue"/>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vMerge w:val="continue"/>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vMerge w:val="continue"/>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6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1" w:lineRule="exact"/>
        <w:rPr>
          <w:sz w:val="20"/>
          <w:szCs w:val="20"/>
          <w:color w:val="auto"/>
        </w:rPr>
      </w:pPr>
    </w:p>
    <w:p>
      <w:pPr>
        <w:ind w:right="840" w:firstLine="8"/>
        <w:spacing w:after="0" w:line="246" w:lineRule="auto"/>
        <w:tabs>
          <w:tab w:leader="none" w:pos="285" w:val="left"/>
        </w:tabs>
        <w:numPr>
          <w:ilvl w:val="0"/>
          <w:numId w:val="199"/>
        </w:numPr>
        <w:rPr>
          <w:rFonts w:ascii="Arial" w:cs="Arial" w:eastAsia="Arial" w:hAnsi="Arial"/>
          <w:sz w:val="16"/>
          <w:szCs w:val="16"/>
          <w:color w:val="auto"/>
        </w:rPr>
      </w:pPr>
      <w:r>
        <w:rPr>
          <w:rFonts w:ascii="Arial" w:cs="Arial" w:eastAsia="Arial" w:hAnsi="Arial"/>
          <w:sz w:val="16"/>
          <w:szCs w:val="16"/>
          <w:color w:val="auto"/>
        </w:rPr>
        <w:t>In computing this ratio, “Preferred dividends of subsidiaries” represents the before-tax earnings necessary to pay such dividends, computed at the effective tax rates for the applicable periods.</w:t>
      </w:r>
    </w:p>
    <w:p>
      <w:pPr>
        <w:sectPr>
          <w:pgSz w:w="11900" w:h="16838" w:orient="portrait"/>
          <w:cols w:equalWidth="0" w:num="1">
            <w:col w:w="11440"/>
          </w:cols>
          <w:pgMar w:left="240" w:top="691" w:right="219" w:bottom="1440" w:gutter="0" w:footer="0" w:header="0"/>
        </w:sectPr>
      </w:pPr>
    </w:p>
    <w:bookmarkStart w:id="137" w:name="page138"/>
    <w:bookmarkEnd w:id="137"/>
    <w:p>
      <w:pPr>
        <w:jc w:val="right"/>
        <w:spacing w:after="0"/>
        <w:rPr>
          <w:sz w:val="20"/>
          <w:szCs w:val="20"/>
          <w:color w:val="auto"/>
        </w:rPr>
      </w:pPr>
      <w:r>
        <w:rPr>
          <w:rFonts w:ascii="Arial" w:cs="Arial" w:eastAsia="Arial" w:hAnsi="Arial"/>
          <w:sz w:val="19"/>
          <w:szCs w:val="19"/>
          <w:b w:val="1"/>
          <w:bCs w:val="1"/>
          <w:color w:val="auto"/>
        </w:rPr>
        <w:t>Exhibit 12.2</w:t>
      </w:r>
    </w:p>
    <w:p>
      <w:pPr>
        <w:spacing w:after="0" w:line="230" w:lineRule="exact"/>
        <w:rPr>
          <w:sz w:val="20"/>
          <w:szCs w:val="20"/>
          <w:color w:val="auto"/>
        </w:rPr>
      </w:pPr>
    </w:p>
    <w:p>
      <w:pPr>
        <w:jc w:val="center"/>
        <w:ind w:right="620"/>
        <w:spacing w:after="0"/>
        <w:rPr>
          <w:sz w:val="20"/>
          <w:szCs w:val="20"/>
          <w:color w:val="auto"/>
        </w:rPr>
      </w:pPr>
      <w:r>
        <w:rPr>
          <w:rFonts w:ascii="Arial" w:cs="Arial" w:eastAsia="Arial" w:hAnsi="Arial"/>
          <w:sz w:val="16"/>
          <w:szCs w:val="16"/>
          <w:b w:val="1"/>
          <w:bCs w:val="1"/>
          <w:color w:val="auto"/>
        </w:rPr>
        <w:t>EXHIBIT 12.2</w:t>
      </w:r>
    </w:p>
    <w:p>
      <w:pPr>
        <w:spacing w:after="0" w:line="29" w:lineRule="exact"/>
        <w:rPr>
          <w:sz w:val="20"/>
          <w:szCs w:val="20"/>
          <w:color w:val="auto"/>
        </w:rPr>
      </w:pPr>
    </w:p>
    <w:p>
      <w:pPr>
        <w:jc w:val="center"/>
        <w:ind w:right="620"/>
        <w:spacing w:after="0"/>
        <w:rPr>
          <w:sz w:val="20"/>
          <w:szCs w:val="20"/>
          <w:color w:val="auto"/>
        </w:rPr>
      </w:pPr>
      <w:r>
        <w:rPr>
          <w:rFonts w:ascii="Arial" w:cs="Arial" w:eastAsia="Arial" w:hAnsi="Arial"/>
          <w:sz w:val="16"/>
          <w:szCs w:val="16"/>
          <w:b w:val="1"/>
          <w:bCs w:val="1"/>
          <w:color w:val="auto"/>
        </w:rPr>
        <w:t>SAN DIEGO GAS &amp; ELECTRIC COMPANY</w:t>
      </w:r>
    </w:p>
    <w:p>
      <w:pPr>
        <w:spacing w:after="0" w:line="20" w:lineRule="exact"/>
        <w:rPr>
          <w:sz w:val="20"/>
          <w:szCs w:val="20"/>
          <w:color w:val="auto"/>
        </w:rPr>
      </w:pPr>
    </w:p>
    <w:p>
      <w:pPr>
        <w:jc w:val="center"/>
        <w:ind w:right="620"/>
        <w:spacing w:after="0"/>
        <w:rPr>
          <w:sz w:val="20"/>
          <w:szCs w:val="20"/>
          <w:color w:val="auto"/>
        </w:rPr>
      </w:pPr>
      <w:r>
        <w:rPr>
          <w:rFonts w:ascii="Arial" w:cs="Arial" w:eastAsia="Arial" w:hAnsi="Arial"/>
          <w:sz w:val="16"/>
          <w:szCs w:val="16"/>
          <w:b w:val="1"/>
          <w:bCs w:val="1"/>
          <w:color w:val="auto"/>
        </w:rPr>
        <w:t>COMPUTATION OF RATIO OF EARNINGS TO COMBINED FIXED CHARGES</w:t>
      </w:r>
    </w:p>
    <w:p>
      <w:pPr>
        <w:spacing w:after="0" w:line="20" w:lineRule="exact"/>
        <w:rPr>
          <w:sz w:val="20"/>
          <w:szCs w:val="20"/>
          <w:color w:val="auto"/>
        </w:rPr>
      </w:pPr>
    </w:p>
    <w:p>
      <w:pPr>
        <w:jc w:val="center"/>
        <w:ind w:right="620"/>
        <w:spacing w:after="0"/>
        <w:rPr>
          <w:sz w:val="20"/>
          <w:szCs w:val="20"/>
          <w:color w:val="auto"/>
        </w:rPr>
      </w:pPr>
      <w:r>
        <w:rPr>
          <w:rFonts w:ascii="Arial" w:cs="Arial" w:eastAsia="Arial" w:hAnsi="Arial"/>
          <w:sz w:val="16"/>
          <w:szCs w:val="16"/>
          <w:b w:val="1"/>
          <w:bCs w:val="1"/>
          <w:color w:val="auto"/>
        </w:rPr>
        <w:t>AND PREFERRED STOCK DIVIDENDS</w:t>
      </w:r>
    </w:p>
    <w:p>
      <w:pPr>
        <w:spacing w:after="0" w:line="20" w:lineRule="exact"/>
        <w:rPr>
          <w:sz w:val="20"/>
          <w:szCs w:val="20"/>
          <w:color w:val="auto"/>
        </w:rPr>
      </w:pPr>
    </w:p>
    <w:p>
      <w:pPr>
        <w:jc w:val="center"/>
        <w:ind w:right="620"/>
        <w:spacing w:after="0"/>
        <w:rPr>
          <w:sz w:val="20"/>
          <w:szCs w:val="20"/>
          <w:color w:val="auto"/>
        </w:rPr>
      </w:pPr>
      <w:r>
        <w:rPr>
          <w:rFonts w:ascii="Arial" w:cs="Arial" w:eastAsia="Arial" w:hAnsi="Arial"/>
          <w:sz w:val="16"/>
          <w:szCs w:val="16"/>
          <w:b w:val="1"/>
          <w:bCs w:val="1"/>
          <w:color w:val="auto"/>
        </w:rPr>
        <w:t>(Dollars in millions)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3100" w:type="dxa"/>
            <w:vAlign w:val="bottom"/>
          </w:tcPr>
          <w:p>
            <w:pPr>
              <w:spacing w:after="0"/>
              <w:rPr>
                <w:sz w:val="16"/>
                <w:szCs w:val="16"/>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2004</w:t>
            </w:r>
          </w:p>
        </w:tc>
        <w:tc>
          <w:tcPr>
            <w:tcW w:w="420" w:type="dxa"/>
            <w:vAlign w:val="bottom"/>
          </w:tcPr>
          <w:p>
            <w:pPr>
              <w:spacing w:after="0"/>
              <w:rPr>
                <w:sz w:val="16"/>
                <w:szCs w:val="16"/>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6"/>
                <w:szCs w:val="16"/>
                <w:color w:val="auto"/>
              </w:rPr>
              <w:t>2005</w:t>
            </w:r>
          </w:p>
        </w:tc>
        <w:tc>
          <w:tcPr>
            <w:tcW w:w="420" w:type="dxa"/>
            <w:vAlign w:val="bottom"/>
          </w:tcPr>
          <w:p>
            <w:pPr>
              <w:spacing w:after="0"/>
              <w:rPr>
                <w:sz w:val="16"/>
                <w:szCs w:val="16"/>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6"/>
                <w:szCs w:val="16"/>
                <w:color w:val="auto"/>
              </w:rPr>
              <w:t>2006</w:t>
            </w:r>
          </w:p>
        </w:tc>
        <w:tc>
          <w:tcPr>
            <w:tcW w:w="420" w:type="dxa"/>
            <w:vAlign w:val="bottom"/>
          </w:tcPr>
          <w:p>
            <w:pPr>
              <w:spacing w:after="0"/>
              <w:rPr>
                <w:sz w:val="16"/>
                <w:szCs w:val="16"/>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6"/>
                <w:szCs w:val="16"/>
                <w:color w:val="auto"/>
              </w:rPr>
              <w:t>2007</w:t>
            </w:r>
          </w:p>
        </w:tc>
        <w:tc>
          <w:tcPr>
            <w:tcW w:w="4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00" w:type="dxa"/>
            <w:vAlign w:val="bottom"/>
          </w:tcPr>
          <w:p>
            <w:pPr>
              <w:jc w:val="right"/>
              <w:ind w:right="440"/>
              <w:spacing w:after="0"/>
              <w:rPr>
                <w:sz w:val="20"/>
                <w:szCs w:val="20"/>
                <w:color w:val="auto"/>
              </w:rPr>
            </w:pPr>
            <w:r>
              <w:rPr>
                <w:rFonts w:ascii="Arial" w:cs="Arial" w:eastAsia="Arial" w:hAnsi="Arial"/>
                <w:sz w:val="16"/>
                <w:szCs w:val="16"/>
                <w:color w:val="auto"/>
              </w:rPr>
              <w:t>2008</w:t>
            </w:r>
          </w:p>
        </w:tc>
        <w:tc>
          <w:tcPr>
            <w:tcW w:w="0" w:type="dxa"/>
            <w:vAlign w:val="bottom"/>
          </w:tcPr>
          <w:p>
            <w:pPr>
              <w:spacing w:after="0"/>
              <w:rPr>
                <w:sz w:val="1"/>
                <w:szCs w:val="1"/>
                <w:color w:val="auto"/>
              </w:rPr>
            </w:pPr>
          </w:p>
        </w:tc>
      </w:tr>
      <w:tr>
        <w:trPr>
          <w:trHeight w:val="183"/>
        </w:trPr>
        <w:tc>
          <w:tcPr>
            <w:tcW w:w="3100" w:type="dxa"/>
            <w:vAlign w:val="bottom"/>
          </w:tcPr>
          <w:p>
            <w:pPr>
              <w:spacing w:after="0"/>
              <w:rPr>
                <w:sz w:val="20"/>
                <w:szCs w:val="20"/>
                <w:color w:val="auto"/>
              </w:rPr>
            </w:pPr>
            <w:r>
              <w:rPr>
                <w:rFonts w:ascii="Arial" w:cs="Arial" w:eastAsia="Arial" w:hAnsi="Arial"/>
                <w:sz w:val="16"/>
                <w:szCs w:val="16"/>
                <w:color w:val="auto"/>
              </w:rPr>
              <w:t>Fixed Charges and Preferred Stock</w:t>
            </w:r>
          </w:p>
        </w:tc>
        <w:tc>
          <w:tcPr>
            <w:tcW w:w="960" w:type="dxa"/>
            <w:vAlign w:val="bottom"/>
            <w:tcBorders>
              <w:top w:val="single" w:sz="8" w:color="auto"/>
            </w:tcBorders>
          </w:tcPr>
          <w:p>
            <w:pPr>
              <w:spacing w:after="0"/>
              <w:rPr>
                <w:sz w:val="15"/>
                <w:szCs w:val="15"/>
                <w:color w:val="auto"/>
              </w:rPr>
            </w:pPr>
          </w:p>
        </w:tc>
        <w:tc>
          <w:tcPr>
            <w:tcW w:w="42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42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42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42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48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3100" w:type="dxa"/>
            <w:vAlign w:val="bottom"/>
          </w:tcPr>
          <w:p>
            <w:pPr>
              <w:ind w:left="240"/>
              <w:spacing w:after="0"/>
              <w:rPr>
                <w:sz w:val="20"/>
                <w:szCs w:val="20"/>
                <w:color w:val="auto"/>
              </w:rPr>
            </w:pPr>
            <w:r>
              <w:rPr>
                <w:rFonts w:ascii="Arial" w:cs="Arial" w:eastAsia="Arial" w:hAnsi="Arial"/>
                <w:sz w:val="16"/>
                <w:szCs w:val="16"/>
                <w:color w:val="auto"/>
              </w:rPr>
              <w:t>Dividends:</w:t>
            </w:r>
          </w:p>
        </w:tc>
        <w:tc>
          <w:tcPr>
            <w:tcW w:w="9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08"/>
        </w:trPr>
        <w:tc>
          <w:tcPr>
            <w:tcW w:w="3100" w:type="dxa"/>
            <w:vAlign w:val="bottom"/>
          </w:tcPr>
          <w:p>
            <w:pPr>
              <w:spacing w:after="0"/>
              <w:rPr>
                <w:sz w:val="20"/>
                <w:szCs w:val="20"/>
                <w:color w:val="auto"/>
              </w:rPr>
            </w:pPr>
            <w:r>
              <w:rPr>
                <w:rFonts w:ascii="Arial" w:cs="Arial" w:eastAsia="Arial" w:hAnsi="Arial"/>
                <w:sz w:val="16"/>
                <w:szCs w:val="16"/>
                <w:color w:val="auto"/>
              </w:rPr>
              <w:t>Interest</w:t>
            </w:r>
          </w:p>
        </w:tc>
        <w:tc>
          <w:tcPr>
            <w:tcW w:w="960" w:type="dxa"/>
            <w:vAlign w:val="bottom"/>
          </w:tcPr>
          <w:p>
            <w:pPr>
              <w:jc w:val="right"/>
              <w:ind w:right="440"/>
              <w:spacing w:after="0"/>
              <w:rPr>
                <w:sz w:val="20"/>
                <w:szCs w:val="20"/>
                <w:color w:val="auto"/>
              </w:rPr>
            </w:pPr>
            <w:r>
              <w:rPr>
                <w:rFonts w:ascii="Arial" w:cs="Arial" w:eastAsia="Arial" w:hAnsi="Arial"/>
                <w:sz w:val="16"/>
                <w:szCs w:val="16"/>
                <w:color w:val="auto"/>
              </w:rPr>
              <w:t>$</w:t>
            </w:r>
          </w:p>
        </w:tc>
        <w:tc>
          <w:tcPr>
            <w:tcW w:w="420" w:type="dxa"/>
            <w:vAlign w:val="bottom"/>
          </w:tcPr>
          <w:p>
            <w:pPr>
              <w:jc w:val="right"/>
              <w:spacing w:after="0"/>
              <w:rPr>
                <w:sz w:val="20"/>
                <w:szCs w:val="20"/>
                <w:color w:val="auto"/>
              </w:rPr>
            </w:pPr>
            <w:r>
              <w:rPr>
                <w:rFonts w:ascii="Arial" w:cs="Arial" w:eastAsia="Arial" w:hAnsi="Arial"/>
                <w:sz w:val="16"/>
                <w:szCs w:val="16"/>
                <w:color w:val="auto"/>
              </w:rPr>
              <w:t>71</w:t>
            </w:r>
          </w:p>
        </w:tc>
        <w:tc>
          <w:tcPr>
            <w:tcW w:w="1160" w:type="dxa"/>
            <w:vAlign w:val="bottom"/>
            <w:gridSpan w:val="2"/>
          </w:tcPr>
          <w:p>
            <w:pPr>
              <w:jc w:val="right"/>
              <w:ind w:right="520"/>
              <w:spacing w:after="0"/>
              <w:rPr>
                <w:sz w:val="20"/>
                <w:szCs w:val="20"/>
                <w:color w:val="auto"/>
              </w:rPr>
            </w:pPr>
            <w:r>
              <w:rPr>
                <w:rFonts w:ascii="Arial" w:cs="Arial" w:eastAsia="Arial" w:hAnsi="Arial"/>
                <w:sz w:val="16"/>
                <w:szCs w:val="16"/>
                <w:color w:val="auto"/>
              </w:rPr>
              <w:t>$</w:t>
            </w:r>
          </w:p>
        </w:tc>
        <w:tc>
          <w:tcPr>
            <w:tcW w:w="420" w:type="dxa"/>
            <w:vAlign w:val="bottom"/>
          </w:tcPr>
          <w:p>
            <w:pPr>
              <w:jc w:val="right"/>
              <w:spacing w:after="0"/>
              <w:rPr>
                <w:sz w:val="20"/>
                <w:szCs w:val="20"/>
                <w:color w:val="auto"/>
              </w:rPr>
            </w:pPr>
            <w:r>
              <w:rPr>
                <w:rFonts w:ascii="Arial" w:cs="Arial" w:eastAsia="Arial" w:hAnsi="Arial"/>
                <w:sz w:val="16"/>
                <w:szCs w:val="16"/>
                <w:color w:val="auto"/>
              </w:rPr>
              <w:t>77</w:t>
            </w:r>
          </w:p>
        </w:tc>
        <w:tc>
          <w:tcPr>
            <w:tcW w:w="1160" w:type="dxa"/>
            <w:vAlign w:val="bottom"/>
            <w:gridSpan w:val="2"/>
          </w:tcPr>
          <w:p>
            <w:pPr>
              <w:jc w:val="right"/>
              <w:ind w:right="520"/>
              <w:spacing w:after="0"/>
              <w:rPr>
                <w:sz w:val="20"/>
                <w:szCs w:val="20"/>
                <w:color w:val="auto"/>
              </w:rPr>
            </w:pPr>
            <w:r>
              <w:rPr>
                <w:rFonts w:ascii="Arial" w:cs="Arial" w:eastAsia="Arial" w:hAnsi="Arial"/>
                <w:sz w:val="16"/>
                <w:szCs w:val="16"/>
                <w:color w:val="auto"/>
              </w:rPr>
              <w:t>$</w:t>
            </w:r>
          </w:p>
        </w:tc>
        <w:tc>
          <w:tcPr>
            <w:tcW w:w="420" w:type="dxa"/>
            <w:vAlign w:val="bottom"/>
          </w:tcPr>
          <w:p>
            <w:pPr>
              <w:jc w:val="right"/>
              <w:spacing w:after="0"/>
              <w:rPr>
                <w:sz w:val="20"/>
                <w:szCs w:val="20"/>
                <w:color w:val="auto"/>
              </w:rPr>
            </w:pPr>
            <w:r>
              <w:rPr>
                <w:rFonts w:ascii="Arial" w:cs="Arial" w:eastAsia="Arial" w:hAnsi="Arial"/>
                <w:sz w:val="16"/>
                <w:szCs w:val="16"/>
                <w:color w:val="auto"/>
              </w:rPr>
              <w:t>102</w:t>
            </w:r>
          </w:p>
        </w:tc>
        <w:tc>
          <w:tcPr>
            <w:tcW w:w="1180" w:type="dxa"/>
            <w:vAlign w:val="bottom"/>
            <w:gridSpan w:val="2"/>
          </w:tcPr>
          <w:p>
            <w:pPr>
              <w:jc w:val="right"/>
              <w:ind w:right="540"/>
              <w:spacing w:after="0"/>
              <w:rPr>
                <w:sz w:val="20"/>
                <w:szCs w:val="20"/>
                <w:color w:val="auto"/>
              </w:rPr>
            </w:pPr>
            <w:r>
              <w:rPr>
                <w:rFonts w:ascii="Arial" w:cs="Arial" w:eastAsia="Arial" w:hAnsi="Arial"/>
                <w:sz w:val="16"/>
                <w:szCs w:val="16"/>
                <w:color w:val="auto"/>
              </w:rPr>
              <w:t>$</w:t>
            </w:r>
          </w:p>
        </w:tc>
        <w:tc>
          <w:tcPr>
            <w:tcW w:w="420" w:type="dxa"/>
            <w:vAlign w:val="bottom"/>
          </w:tcPr>
          <w:p>
            <w:pPr>
              <w:jc w:val="right"/>
              <w:spacing w:after="0"/>
              <w:rPr>
                <w:sz w:val="20"/>
                <w:szCs w:val="20"/>
                <w:color w:val="auto"/>
              </w:rPr>
            </w:pPr>
            <w:r>
              <w:rPr>
                <w:rFonts w:ascii="Arial" w:cs="Arial" w:eastAsia="Arial" w:hAnsi="Arial"/>
                <w:sz w:val="16"/>
                <w:szCs w:val="16"/>
                <w:color w:val="auto"/>
              </w:rPr>
              <w:t>105</w:t>
            </w:r>
          </w:p>
        </w:tc>
        <w:tc>
          <w:tcPr>
            <w:tcW w:w="68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107</w:t>
            </w:r>
          </w:p>
        </w:tc>
        <w:tc>
          <w:tcPr>
            <w:tcW w:w="0" w:type="dxa"/>
            <w:vAlign w:val="bottom"/>
          </w:tcPr>
          <w:p>
            <w:pPr>
              <w:spacing w:after="0"/>
              <w:rPr>
                <w:sz w:val="1"/>
                <w:szCs w:val="1"/>
                <w:color w:val="auto"/>
              </w:rPr>
            </w:pPr>
          </w:p>
        </w:tc>
      </w:tr>
      <w:tr>
        <w:trPr>
          <w:trHeight w:val="408"/>
        </w:trPr>
        <w:tc>
          <w:tcPr>
            <w:tcW w:w="3100" w:type="dxa"/>
            <w:vAlign w:val="bottom"/>
          </w:tcPr>
          <w:p>
            <w:pPr>
              <w:spacing w:after="0"/>
              <w:rPr>
                <w:sz w:val="20"/>
                <w:szCs w:val="20"/>
                <w:color w:val="auto"/>
              </w:rPr>
            </w:pPr>
            <w:r>
              <w:rPr>
                <w:rFonts w:ascii="Arial" w:cs="Arial" w:eastAsia="Arial" w:hAnsi="Arial"/>
                <w:sz w:val="16"/>
                <w:szCs w:val="16"/>
                <w:color w:val="auto"/>
              </w:rPr>
              <w:t>Interest portion of annual rentals</w:t>
            </w:r>
          </w:p>
        </w:tc>
        <w:tc>
          <w:tcPr>
            <w:tcW w:w="96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200" w:type="dxa"/>
            <w:vAlign w:val="bottom"/>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200" w:type="dxa"/>
            <w:vAlign w:val="bottom"/>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220" w:type="dxa"/>
            <w:vAlign w:val="bottom"/>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20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400"/>
        </w:trPr>
        <w:tc>
          <w:tcPr>
            <w:tcW w:w="3100" w:type="dxa"/>
            <w:vAlign w:val="bottom"/>
          </w:tcPr>
          <w:p>
            <w:pPr>
              <w:spacing w:after="0"/>
              <w:rPr>
                <w:sz w:val="20"/>
                <w:szCs w:val="20"/>
                <w:color w:val="auto"/>
              </w:rPr>
            </w:pPr>
            <w:r>
              <w:rPr>
                <w:rFonts w:ascii="Arial" w:cs="Arial" w:eastAsia="Arial" w:hAnsi="Arial"/>
                <w:sz w:val="16"/>
                <w:szCs w:val="16"/>
                <w:color w:val="auto"/>
              </w:rPr>
              <w:t>Total fixed charges</w:t>
            </w:r>
          </w:p>
        </w:tc>
        <w:tc>
          <w:tcPr>
            <w:tcW w:w="96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73</w:t>
            </w: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80</w:t>
            </w: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105</w:t>
            </w: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108</w:t>
            </w: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108</w:t>
            </w:r>
          </w:p>
        </w:tc>
        <w:tc>
          <w:tcPr>
            <w:tcW w:w="0" w:type="dxa"/>
            <w:vAlign w:val="bottom"/>
          </w:tcPr>
          <w:p>
            <w:pPr>
              <w:spacing w:after="0"/>
              <w:rPr>
                <w:sz w:val="1"/>
                <w:szCs w:val="1"/>
                <w:color w:val="auto"/>
              </w:rPr>
            </w:pPr>
          </w:p>
        </w:tc>
      </w:tr>
      <w:tr>
        <w:trPr>
          <w:trHeight w:val="408"/>
        </w:trPr>
        <w:tc>
          <w:tcPr>
            <w:tcW w:w="3100" w:type="dxa"/>
            <w:vAlign w:val="bottom"/>
          </w:tcPr>
          <w:p>
            <w:pPr>
              <w:spacing w:after="0"/>
              <w:rPr>
                <w:sz w:val="20"/>
                <w:szCs w:val="20"/>
                <w:color w:val="auto"/>
              </w:rPr>
            </w:pPr>
            <w:r>
              <w:rPr>
                <w:rFonts w:ascii="Arial" w:cs="Arial" w:eastAsia="Arial" w:hAnsi="Arial"/>
                <w:sz w:val="16"/>
                <w:szCs w:val="16"/>
                <w:color w:val="auto"/>
              </w:rPr>
              <w:t>Preferred stock dividends (1)</w:t>
            </w:r>
          </w:p>
        </w:tc>
        <w:tc>
          <w:tcPr>
            <w:tcW w:w="96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w:t>
            </w:r>
          </w:p>
        </w:tc>
        <w:tc>
          <w:tcPr>
            <w:tcW w:w="200" w:type="dxa"/>
            <w:vAlign w:val="bottom"/>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w:t>
            </w:r>
          </w:p>
        </w:tc>
        <w:tc>
          <w:tcPr>
            <w:tcW w:w="200" w:type="dxa"/>
            <w:vAlign w:val="bottom"/>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w:t>
            </w:r>
          </w:p>
        </w:tc>
        <w:tc>
          <w:tcPr>
            <w:tcW w:w="220" w:type="dxa"/>
            <w:vAlign w:val="bottom"/>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w:t>
            </w:r>
          </w:p>
        </w:tc>
        <w:tc>
          <w:tcPr>
            <w:tcW w:w="20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388"/>
        </w:trPr>
        <w:tc>
          <w:tcPr>
            <w:tcW w:w="3100" w:type="dxa"/>
            <w:vAlign w:val="bottom"/>
          </w:tcPr>
          <w:p>
            <w:pPr>
              <w:spacing w:after="0"/>
              <w:rPr>
                <w:sz w:val="20"/>
                <w:szCs w:val="20"/>
                <w:color w:val="auto"/>
              </w:rPr>
            </w:pPr>
            <w:r>
              <w:rPr>
                <w:rFonts w:ascii="Arial" w:cs="Arial" w:eastAsia="Arial" w:hAnsi="Arial"/>
                <w:sz w:val="16"/>
                <w:szCs w:val="16"/>
                <w:color w:val="auto"/>
              </w:rPr>
              <w:t>Combined fixed charges and preferred</w:t>
            </w:r>
          </w:p>
        </w:tc>
        <w:tc>
          <w:tcPr>
            <w:tcW w:w="960" w:type="dxa"/>
            <w:vAlign w:val="bottom"/>
            <w:vMerge w:val="restart"/>
          </w:tcPr>
          <w:p>
            <w:pPr>
              <w:jc w:val="right"/>
              <w:ind w:right="440"/>
              <w:spacing w:after="0"/>
              <w:rPr>
                <w:sz w:val="20"/>
                <w:szCs w:val="20"/>
                <w:color w:val="auto"/>
              </w:rPr>
            </w:pPr>
            <w:r>
              <w:rPr>
                <w:rFonts w:ascii="Arial" w:cs="Arial" w:eastAsia="Arial" w:hAnsi="Arial"/>
                <w:sz w:val="16"/>
                <w:szCs w:val="16"/>
                <w:color w:val="auto"/>
              </w:rPr>
              <w:t>$</w:t>
            </w:r>
          </w:p>
        </w:tc>
        <w:tc>
          <w:tcPr>
            <w:tcW w:w="420" w:type="dxa"/>
            <w:vAlign w:val="bottom"/>
            <w:vMerge w:val="restart"/>
          </w:tcPr>
          <w:p>
            <w:pPr>
              <w:jc w:val="right"/>
              <w:spacing w:after="0"/>
              <w:rPr>
                <w:sz w:val="20"/>
                <w:szCs w:val="20"/>
                <w:color w:val="auto"/>
              </w:rPr>
            </w:pPr>
            <w:r>
              <w:rPr>
                <w:rFonts w:ascii="Arial" w:cs="Arial" w:eastAsia="Arial" w:hAnsi="Arial"/>
                <w:sz w:val="16"/>
                <w:szCs w:val="16"/>
                <w:color w:val="auto"/>
              </w:rPr>
              <w:t>81</w:t>
            </w:r>
          </w:p>
        </w:tc>
        <w:tc>
          <w:tcPr>
            <w:tcW w:w="1160" w:type="dxa"/>
            <w:vAlign w:val="bottom"/>
            <w:gridSpan w:val="2"/>
            <w:vMerge w:val="restart"/>
          </w:tcPr>
          <w:p>
            <w:pPr>
              <w:jc w:val="right"/>
              <w:ind w:right="520"/>
              <w:spacing w:after="0"/>
              <w:rPr>
                <w:sz w:val="20"/>
                <w:szCs w:val="20"/>
                <w:color w:val="auto"/>
              </w:rPr>
            </w:pPr>
            <w:r>
              <w:rPr>
                <w:rFonts w:ascii="Arial" w:cs="Arial" w:eastAsia="Arial" w:hAnsi="Arial"/>
                <w:sz w:val="16"/>
                <w:szCs w:val="16"/>
                <w:color w:val="auto"/>
              </w:rPr>
              <w:t>$</w:t>
            </w:r>
          </w:p>
        </w:tc>
        <w:tc>
          <w:tcPr>
            <w:tcW w:w="420" w:type="dxa"/>
            <w:vAlign w:val="bottom"/>
            <w:vMerge w:val="restart"/>
          </w:tcPr>
          <w:p>
            <w:pPr>
              <w:jc w:val="right"/>
              <w:spacing w:after="0"/>
              <w:rPr>
                <w:sz w:val="20"/>
                <w:szCs w:val="20"/>
                <w:color w:val="auto"/>
              </w:rPr>
            </w:pPr>
            <w:r>
              <w:rPr>
                <w:rFonts w:ascii="Arial" w:cs="Arial" w:eastAsia="Arial" w:hAnsi="Arial"/>
                <w:sz w:val="16"/>
                <w:szCs w:val="16"/>
                <w:color w:val="auto"/>
              </w:rPr>
              <w:t>86</w:t>
            </w:r>
          </w:p>
        </w:tc>
        <w:tc>
          <w:tcPr>
            <w:tcW w:w="1160" w:type="dxa"/>
            <w:vAlign w:val="bottom"/>
            <w:gridSpan w:val="2"/>
            <w:vMerge w:val="restart"/>
          </w:tcPr>
          <w:p>
            <w:pPr>
              <w:jc w:val="right"/>
              <w:ind w:right="520"/>
              <w:spacing w:after="0"/>
              <w:rPr>
                <w:sz w:val="20"/>
                <w:szCs w:val="20"/>
                <w:color w:val="auto"/>
              </w:rPr>
            </w:pPr>
            <w:r>
              <w:rPr>
                <w:rFonts w:ascii="Arial" w:cs="Arial" w:eastAsia="Arial" w:hAnsi="Arial"/>
                <w:sz w:val="16"/>
                <w:szCs w:val="16"/>
                <w:color w:val="auto"/>
              </w:rPr>
              <w:t>$</w:t>
            </w:r>
          </w:p>
        </w:tc>
        <w:tc>
          <w:tcPr>
            <w:tcW w:w="420" w:type="dxa"/>
            <w:vAlign w:val="bottom"/>
            <w:vMerge w:val="restart"/>
          </w:tcPr>
          <w:p>
            <w:pPr>
              <w:jc w:val="right"/>
              <w:spacing w:after="0"/>
              <w:rPr>
                <w:sz w:val="20"/>
                <w:szCs w:val="20"/>
                <w:color w:val="auto"/>
              </w:rPr>
            </w:pPr>
            <w:r>
              <w:rPr>
                <w:rFonts w:ascii="Arial" w:cs="Arial" w:eastAsia="Arial" w:hAnsi="Arial"/>
                <w:sz w:val="16"/>
                <w:szCs w:val="16"/>
                <w:color w:val="auto"/>
              </w:rPr>
              <w:t>113</w:t>
            </w:r>
          </w:p>
        </w:tc>
        <w:tc>
          <w:tcPr>
            <w:tcW w:w="1180" w:type="dxa"/>
            <w:vAlign w:val="bottom"/>
            <w:gridSpan w:val="2"/>
            <w:vMerge w:val="restart"/>
          </w:tcPr>
          <w:p>
            <w:pPr>
              <w:jc w:val="right"/>
              <w:ind w:right="540"/>
              <w:spacing w:after="0"/>
              <w:rPr>
                <w:sz w:val="20"/>
                <w:szCs w:val="20"/>
                <w:color w:val="auto"/>
              </w:rPr>
            </w:pPr>
            <w:r>
              <w:rPr>
                <w:rFonts w:ascii="Arial" w:cs="Arial" w:eastAsia="Arial" w:hAnsi="Arial"/>
                <w:sz w:val="16"/>
                <w:szCs w:val="16"/>
                <w:color w:val="auto"/>
              </w:rPr>
              <w:t>$</w:t>
            </w:r>
          </w:p>
        </w:tc>
        <w:tc>
          <w:tcPr>
            <w:tcW w:w="420" w:type="dxa"/>
            <w:vAlign w:val="bottom"/>
            <w:vMerge w:val="restart"/>
          </w:tcPr>
          <w:p>
            <w:pPr>
              <w:jc w:val="right"/>
              <w:spacing w:after="0"/>
              <w:rPr>
                <w:sz w:val="20"/>
                <w:szCs w:val="20"/>
                <w:color w:val="auto"/>
              </w:rPr>
            </w:pPr>
            <w:r>
              <w:rPr>
                <w:rFonts w:ascii="Arial" w:cs="Arial" w:eastAsia="Arial" w:hAnsi="Arial"/>
                <w:sz w:val="16"/>
                <w:szCs w:val="16"/>
                <w:color w:val="auto"/>
              </w:rPr>
              <w:t>115</w:t>
            </w:r>
          </w:p>
        </w:tc>
        <w:tc>
          <w:tcPr>
            <w:tcW w:w="680" w:type="dxa"/>
            <w:vAlign w:val="bottom"/>
            <w:gridSpan w:val="2"/>
            <w:vMerge w:val="restart"/>
          </w:tcPr>
          <w:p>
            <w:pPr>
              <w:jc w:val="right"/>
              <w:ind w:right="40"/>
              <w:spacing w:after="0"/>
              <w:rPr>
                <w:sz w:val="20"/>
                <w:szCs w:val="20"/>
                <w:color w:val="auto"/>
              </w:rPr>
            </w:pPr>
            <w:r>
              <w:rPr>
                <w:rFonts w:ascii="Arial" w:cs="Arial" w:eastAsia="Arial" w:hAnsi="Arial"/>
                <w:sz w:val="16"/>
                <w:szCs w:val="16"/>
                <w:color w:val="auto"/>
              </w:rPr>
              <w:t>$</w:t>
            </w:r>
          </w:p>
        </w:tc>
        <w:tc>
          <w:tcPr>
            <w:tcW w:w="900" w:type="dxa"/>
            <w:vAlign w:val="bottom"/>
            <w:vMerge w:val="restart"/>
          </w:tcPr>
          <w:p>
            <w:pPr>
              <w:jc w:val="right"/>
              <w:spacing w:after="0"/>
              <w:rPr>
                <w:sz w:val="20"/>
                <w:szCs w:val="20"/>
                <w:color w:val="auto"/>
              </w:rPr>
            </w:pPr>
            <w:r>
              <w:rPr>
                <w:rFonts w:ascii="Arial" w:cs="Arial" w:eastAsia="Arial" w:hAnsi="Arial"/>
                <w:sz w:val="16"/>
                <w:szCs w:val="16"/>
                <w:color w:val="auto"/>
              </w:rPr>
              <w:t>115</w:t>
            </w:r>
          </w:p>
        </w:tc>
        <w:tc>
          <w:tcPr>
            <w:tcW w:w="0" w:type="dxa"/>
            <w:vAlign w:val="bottom"/>
          </w:tcPr>
          <w:p>
            <w:pPr>
              <w:spacing w:after="0"/>
              <w:rPr>
                <w:sz w:val="1"/>
                <w:szCs w:val="1"/>
                <w:color w:val="auto"/>
              </w:rPr>
            </w:pPr>
          </w:p>
        </w:tc>
      </w:tr>
      <w:tr>
        <w:trPr>
          <w:trHeight w:val="145"/>
        </w:trPr>
        <w:tc>
          <w:tcPr>
            <w:tcW w:w="3100" w:type="dxa"/>
            <w:vAlign w:val="bottom"/>
          </w:tcPr>
          <w:p>
            <w:pPr>
              <w:ind w:left="240"/>
              <w:spacing w:after="0" w:line="125" w:lineRule="exact"/>
              <w:rPr>
                <w:sz w:val="20"/>
                <w:szCs w:val="20"/>
                <w:color w:val="auto"/>
              </w:rPr>
            </w:pPr>
            <w:r>
              <w:rPr>
                <w:rFonts w:ascii="Arial" w:cs="Arial" w:eastAsia="Arial" w:hAnsi="Arial"/>
                <w:sz w:val="14"/>
                <w:szCs w:val="14"/>
                <w:color w:val="auto"/>
              </w:rPr>
              <w:t>stock dividends for purpose of ratio</w:t>
            </w:r>
          </w:p>
        </w:tc>
        <w:tc>
          <w:tcPr>
            <w:tcW w:w="960" w:type="dxa"/>
            <w:vAlign w:val="bottom"/>
            <w:vMerge w:val="continue"/>
          </w:tcPr>
          <w:p>
            <w:pPr>
              <w:spacing w:after="0"/>
              <w:rPr>
                <w:sz w:val="12"/>
                <w:szCs w:val="12"/>
                <w:color w:val="auto"/>
              </w:rPr>
            </w:pPr>
          </w:p>
        </w:tc>
        <w:tc>
          <w:tcPr>
            <w:tcW w:w="420" w:type="dxa"/>
            <w:vAlign w:val="bottom"/>
            <w:vMerge w:val="continue"/>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420" w:type="dxa"/>
            <w:vAlign w:val="bottom"/>
            <w:vMerge w:val="continue"/>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420" w:type="dxa"/>
            <w:vAlign w:val="bottom"/>
            <w:vMerge w:val="continue"/>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420" w:type="dxa"/>
            <w:vAlign w:val="bottom"/>
            <w:vMerge w:val="continue"/>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9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100" w:type="dxa"/>
            <w:vAlign w:val="bottom"/>
            <w:vMerge w:val="restart"/>
          </w:tcPr>
          <w:p>
            <w:pPr>
              <w:spacing w:after="0"/>
              <w:rPr>
                <w:sz w:val="20"/>
                <w:szCs w:val="20"/>
                <w:color w:val="auto"/>
              </w:rPr>
            </w:pPr>
            <w:r>
              <w:rPr>
                <w:rFonts w:ascii="Arial" w:cs="Arial" w:eastAsia="Arial" w:hAnsi="Arial"/>
                <w:sz w:val="16"/>
                <w:szCs w:val="16"/>
                <w:color w:val="auto"/>
              </w:rPr>
              <w:t>Earnings:</w:t>
            </w:r>
          </w:p>
        </w:tc>
        <w:tc>
          <w:tcPr>
            <w:tcW w:w="9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6"/>
        </w:trPr>
        <w:tc>
          <w:tcPr>
            <w:tcW w:w="3100" w:type="dxa"/>
            <w:vAlign w:val="bottom"/>
            <w:vMerge w:val="continue"/>
          </w:tcPr>
          <w:p>
            <w:pPr>
              <w:spacing w:after="0"/>
              <w:rPr>
                <w:sz w:val="24"/>
                <w:szCs w:val="24"/>
                <w:color w:val="auto"/>
              </w:rPr>
            </w:pPr>
          </w:p>
        </w:tc>
        <w:tc>
          <w:tcPr>
            <w:tcW w:w="9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6"/>
        </w:trPr>
        <w:tc>
          <w:tcPr>
            <w:tcW w:w="3100" w:type="dxa"/>
            <w:vAlign w:val="bottom"/>
          </w:tcPr>
          <w:p>
            <w:pPr>
              <w:spacing w:after="0"/>
              <w:rPr>
                <w:sz w:val="20"/>
                <w:szCs w:val="20"/>
                <w:color w:val="auto"/>
              </w:rPr>
            </w:pPr>
            <w:r>
              <w:rPr>
                <w:rFonts w:ascii="Arial" w:cs="Arial" w:eastAsia="Arial" w:hAnsi="Arial"/>
                <w:sz w:val="16"/>
                <w:szCs w:val="16"/>
                <w:color w:val="auto"/>
              </w:rPr>
              <w:t>Pretax income from continuing</w:t>
            </w:r>
          </w:p>
        </w:tc>
        <w:tc>
          <w:tcPr>
            <w:tcW w:w="9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3100" w:type="dxa"/>
            <w:vAlign w:val="bottom"/>
          </w:tcPr>
          <w:p>
            <w:pPr>
              <w:ind w:left="240"/>
              <w:spacing w:after="0"/>
              <w:rPr>
                <w:sz w:val="20"/>
                <w:szCs w:val="20"/>
                <w:color w:val="auto"/>
              </w:rPr>
            </w:pPr>
            <w:r>
              <w:rPr>
                <w:rFonts w:ascii="Arial" w:cs="Arial" w:eastAsia="Arial" w:hAnsi="Arial"/>
                <w:sz w:val="16"/>
                <w:szCs w:val="16"/>
                <w:color w:val="auto"/>
              </w:rPr>
              <w:t>operations</w:t>
            </w:r>
          </w:p>
        </w:tc>
        <w:tc>
          <w:tcPr>
            <w:tcW w:w="960" w:type="dxa"/>
            <w:vAlign w:val="bottom"/>
          </w:tcPr>
          <w:p>
            <w:pPr>
              <w:jc w:val="right"/>
              <w:ind w:right="440"/>
              <w:spacing w:after="0"/>
              <w:rPr>
                <w:sz w:val="20"/>
                <w:szCs w:val="20"/>
                <w:color w:val="auto"/>
              </w:rPr>
            </w:pPr>
            <w:r>
              <w:rPr>
                <w:rFonts w:ascii="Arial" w:cs="Arial" w:eastAsia="Arial" w:hAnsi="Arial"/>
                <w:sz w:val="16"/>
                <w:szCs w:val="16"/>
                <w:color w:val="auto"/>
              </w:rPr>
              <w:t>$</w:t>
            </w:r>
          </w:p>
        </w:tc>
        <w:tc>
          <w:tcPr>
            <w:tcW w:w="420" w:type="dxa"/>
            <w:vAlign w:val="bottom"/>
          </w:tcPr>
          <w:p>
            <w:pPr>
              <w:jc w:val="right"/>
              <w:spacing w:after="0"/>
              <w:rPr>
                <w:sz w:val="20"/>
                <w:szCs w:val="20"/>
                <w:color w:val="auto"/>
              </w:rPr>
            </w:pPr>
            <w:r>
              <w:rPr>
                <w:rFonts w:ascii="Arial" w:cs="Arial" w:eastAsia="Arial" w:hAnsi="Arial"/>
                <w:sz w:val="16"/>
                <w:szCs w:val="16"/>
                <w:color w:val="auto"/>
              </w:rPr>
              <w:t>361</w:t>
            </w:r>
          </w:p>
        </w:tc>
        <w:tc>
          <w:tcPr>
            <w:tcW w:w="1160" w:type="dxa"/>
            <w:vAlign w:val="bottom"/>
            <w:gridSpan w:val="2"/>
          </w:tcPr>
          <w:p>
            <w:pPr>
              <w:jc w:val="right"/>
              <w:ind w:right="520"/>
              <w:spacing w:after="0"/>
              <w:rPr>
                <w:sz w:val="20"/>
                <w:szCs w:val="20"/>
                <w:color w:val="auto"/>
              </w:rPr>
            </w:pPr>
            <w:r>
              <w:rPr>
                <w:rFonts w:ascii="Arial" w:cs="Arial" w:eastAsia="Arial" w:hAnsi="Arial"/>
                <w:sz w:val="16"/>
                <w:szCs w:val="16"/>
                <w:color w:val="auto"/>
              </w:rPr>
              <w:t>$</w:t>
            </w:r>
          </w:p>
        </w:tc>
        <w:tc>
          <w:tcPr>
            <w:tcW w:w="420" w:type="dxa"/>
            <w:vAlign w:val="bottom"/>
          </w:tcPr>
          <w:p>
            <w:pPr>
              <w:jc w:val="right"/>
              <w:spacing w:after="0"/>
              <w:rPr>
                <w:sz w:val="20"/>
                <w:szCs w:val="20"/>
                <w:color w:val="auto"/>
              </w:rPr>
            </w:pPr>
            <w:r>
              <w:rPr>
                <w:rFonts w:ascii="Arial" w:cs="Arial" w:eastAsia="Arial" w:hAnsi="Arial"/>
                <w:sz w:val="16"/>
                <w:szCs w:val="16"/>
                <w:color w:val="auto"/>
              </w:rPr>
              <w:t>356</w:t>
            </w:r>
          </w:p>
        </w:tc>
        <w:tc>
          <w:tcPr>
            <w:tcW w:w="1160" w:type="dxa"/>
            <w:vAlign w:val="bottom"/>
            <w:gridSpan w:val="2"/>
          </w:tcPr>
          <w:p>
            <w:pPr>
              <w:jc w:val="right"/>
              <w:ind w:right="520"/>
              <w:spacing w:after="0"/>
              <w:rPr>
                <w:sz w:val="20"/>
                <w:szCs w:val="20"/>
                <w:color w:val="auto"/>
              </w:rPr>
            </w:pPr>
            <w:r>
              <w:rPr>
                <w:rFonts w:ascii="Arial" w:cs="Arial" w:eastAsia="Arial" w:hAnsi="Arial"/>
                <w:sz w:val="16"/>
                <w:szCs w:val="16"/>
                <w:color w:val="auto"/>
              </w:rPr>
              <w:t>$</w:t>
            </w:r>
          </w:p>
        </w:tc>
        <w:tc>
          <w:tcPr>
            <w:tcW w:w="420" w:type="dxa"/>
            <w:vAlign w:val="bottom"/>
          </w:tcPr>
          <w:p>
            <w:pPr>
              <w:jc w:val="right"/>
              <w:spacing w:after="0"/>
              <w:rPr>
                <w:sz w:val="20"/>
                <w:szCs w:val="20"/>
                <w:color w:val="auto"/>
              </w:rPr>
            </w:pPr>
            <w:r>
              <w:rPr>
                <w:rFonts w:ascii="Arial" w:cs="Arial" w:eastAsia="Arial" w:hAnsi="Arial"/>
                <w:sz w:val="16"/>
                <w:szCs w:val="16"/>
                <w:color w:val="auto"/>
              </w:rPr>
              <w:t>394</w:t>
            </w:r>
          </w:p>
        </w:tc>
        <w:tc>
          <w:tcPr>
            <w:tcW w:w="1180" w:type="dxa"/>
            <w:vAlign w:val="bottom"/>
            <w:gridSpan w:val="2"/>
          </w:tcPr>
          <w:p>
            <w:pPr>
              <w:jc w:val="right"/>
              <w:ind w:right="540"/>
              <w:spacing w:after="0"/>
              <w:rPr>
                <w:sz w:val="20"/>
                <w:szCs w:val="20"/>
                <w:color w:val="auto"/>
              </w:rPr>
            </w:pPr>
            <w:r>
              <w:rPr>
                <w:rFonts w:ascii="Arial" w:cs="Arial" w:eastAsia="Arial" w:hAnsi="Arial"/>
                <w:sz w:val="16"/>
                <w:szCs w:val="16"/>
                <w:color w:val="auto"/>
              </w:rPr>
              <w:t>$</w:t>
            </w:r>
          </w:p>
        </w:tc>
        <w:tc>
          <w:tcPr>
            <w:tcW w:w="420" w:type="dxa"/>
            <w:vAlign w:val="bottom"/>
          </w:tcPr>
          <w:p>
            <w:pPr>
              <w:jc w:val="right"/>
              <w:spacing w:after="0"/>
              <w:rPr>
                <w:sz w:val="20"/>
                <w:szCs w:val="20"/>
                <w:color w:val="auto"/>
              </w:rPr>
            </w:pPr>
            <w:r>
              <w:rPr>
                <w:rFonts w:ascii="Arial" w:cs="Arial" w:eastAsia="Arial" w:hAnsi="Arial"/>
                <w:sz w:val="16"/>
                <w:szCs w:val="16"/>
                <w:color w:val="auto"/>
              </w:rPr>
              <w:t>423</w:t>
            </w:r>
          </w:p>
        </w:tc>
        <w:tc>
          <w:tcPr>
            <w:tcW w:w="68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505</w:t>
            </w:r>
          </w:p>
        </w:tc>
        <w:tc>
          <w:tcPr>
            <w:tcW w:w="0" w:type="dxa"/>
            <w:vAlign w:val="bottom"/>
          </w:tcPr>
          <w:p>
            <w:pPr>
              <w:spacing w:after="0"/>
              <w:rPr>
                <w:sz w:val="1"/>
                <w:szCs w:val="1"/>
                <w:color w:val="auto"/>
              </w:rPr>
            </w:pPr>
          </w:p>
        </w:tc>
      </w:tr>
      <w:tr>
        <w:trPr>
          <w:trHeight w:val="408"/>
        </w:trPr>
        <w:tc>
          <w:tcPr>
            <w:tcW w:w="3100" w:type="dxa"/>
            <w:vAlign w:val="bottom"/>
          </w:tcPr>
          <w:p>
            <w:pPr>
              <w:spacing w:after="0"/>
              <w:rPr>
                <w:sz w:val="20"/>
                <w:szCs w:val="20"/>
                <w:color w:val="auto"/>
              </w:rPr>
            </w:pPr>
            <w:r>
              <w:rPr>
                <w:rFonts w:ascii="Arial" w:cs="Arial" w:eastAsia="Arial" w:hAnsi="Arial"/>
                <w:sz w:val="16"/>
                <w:szCs w:val="16"/>
                <w:color w:val="auto"/>
              </w:rPr>
              <w:t>Total fixed charges (from above)</w:t>
            </w:r>
          </w:p>
        </w:tc>
        <w:tc>
          <w:tcPr>
            <w:tcW w:w="96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73</w:t>
            </w: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80</w:t>
            </w: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105</w:t>
            </w: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108</w:t>
            </w: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108</w:t>
            </w:r>
          </w:p>
        </w:tc>
        <w:tc>
          <w:tcPr>
            <w:tcW w:w="0" w:type="dxa"/>
            <w:vAlign w:val="bottom"/>
          </w:tcPr>
          <w:p>
            <w:pPr>
              <w:spacing w:after="0"/>
              <w:rPr>
                <w:sz w:val="1"/>
                <w:szCs w:val="1"/>
                <w:color w:val="auto"/>
              </w:rPr>
            </w:pPr>
          </w:p>
        </w:tc>
      </w:tr>
      <w:tr>
        <w:trPr>
          <w:trHeight w:val="408"/>
        </w:trPr>
        <w:tc>
          <w:tcPr>
            <w:tcW w:w="3100" w:type="dxa"/>
            <w:vAlign w:val="bottom"/>
          </w:tcPr>
          <w:p>
            <w:pPr>
              <w:spacing w:after="0"/>
              <w:rPr>
                <w:sz w:val="20"/>
                <w:szCs w:val="20"/>
                <w:color w:val="auto"/>
              </w:rPr>
            </w:pPr>
            <w:r>
              <w:rPr>
                <w:rFonts w:ascii="Arial" w:cs="Arial" w:eastAsia="Arial" w:hAnsi="Arial"/>
                <w:sz w:val="16"/>
                <w:szCs w:val="16"/>
                <w:color w:val="auto"/>
              </w:rPr>
              <w:t>Less: Minority interest</w:t>
            </w:r>
          </w:p>
        </w:tc>
        <w:tc>
          <w:tcPr>
            <w:tcW w:w="96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17</w:t>
            </w: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54</w:t>
            </w:r>
          </w:p>
        </w:tc>
        <w:tc>
          <w:tcPr>
            <w:tcW w:w="0" w:type="dxa"/>
            <w:vAlign w:val="bottom"/>
          </w:tcPr>
          <w:p>
            <w:pPr>
              <w:spacing w:after="0"/>
              <w:rPr>
                <w:sz w:val="1"/>
                <w:szCs w:val="1"/>
                <w:color w:val="auto"/>
              </w:rPr>
            </w:pPr>
          </w:p>
        </w:tc>
      </w:tr>
      <w:tr>
        <w:trPr>
          <w:trHeight w:val="408"/>
        </w:trPr>
        <w:tc>
          <w:tcPr>
            <w:tcW w:w="3100" w:type="dxa"/>
            <w:vAlign w:val="bottom"/>
          </w:tcPr>
          <w:p>
            <w:pPr>
              <w:spacing w:after="0"/>
              <w:rPr>
                <w:sz w:val="20"/>
                <w:szCs w:val="20"/>
                <w:color w:val="auto"/>
              </w:rPr>
            </w:pPr>
            <w:r>
              <w:rPr>
                <w:rFonts w:ascii="Arial" w:cs="Arial" w:eastAsia="Arial" w:hAnsi="Arial"/>
                <w:sz w:val="16"/>
                <w:szCs w:val="16"/>
                <w:color w:val="auto"/>
              </w:rPr>
              <w:t>Less: Interest capitalized</w:t>
            </w:r>
          </w:p>
        </w:tc>
        <w:tc>
          <w:tcPr>
            <w:tcW w:w="96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200" w:type="dxa"/>
            <w:vAlign w:val="bottom"/>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200" w:type="dxa"/>
            <w:vAlign w:val="bottom"/>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220" w:type="dxa"/>
            <w:vAlign w:val="bottom"/>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20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400"/>
        </w:trPr>
        <w:tc>
          <w:tcPr>
            <w:tcW w:w="3100" w:type="dxa"/>
            <w:vAlign w:val="bottom"/>
          </w:tcPr>
          <w:p>
            <w:pPr>
              <w:spacing w:after="0"/>
              <w:rPr>
                <w:sz w:val="20"/>
                <w:szCs w:val="20"/>
                <w:color w:val="auto"/>
              </w:rPr>
            </w:pPr>
            <w:r>
              <w:rPr>
                <w:rFonts w:ascii="Arial" w:cs="Arial" w:eastAsia="Arial" w:hAnsi="Arial"/>
                <w:sz w:val="16"/>
                <w:szCs w:val="16"/>
                <w:color w:val="auto"/>
              </w:rPr>
              <w:t>Total earnings for purpose of ratio</w:t>
            </w:r>
          </w:p>
        </w:tc>
        <w:tc>
          <w:tcPr>
            <w:tcW w:w="960" w:type="dxa"/>
            <w:vAlign w:val="bottom"/>
          </w:tcPr>
          <w:p>
            <w:pPr>
              <w:jc w:val="right"/>
              <w:ind w:right="440"/>
              <w:spacing w:after="0"/>
              <w:rPr>
                <w:sz w:val="20"/>
                <w:szCs w:val="20"/>
                <w:color w:val="auto"/>
              </w:rPr>
            </w:pPr>
            <w:r>
              <w:rPr>
                <w:rFonts w:ascii="Arial" w:cs="Arial" w:eastAsia="Arial" w:hAnsi="Arial"/>
                <w:sz w:val="16"/>
                <w:szCs w:val="16"/>
                <w:color w:val="auto"/>
              </w:rPr>
              <w:t>$</w:t>
            </w:r>
          </w:p>
        </w:tc>
        <w:tc>
          <w:tcPr>
            <w:tcW w:w="420" w:type="dxa"/>
            <w:vAlign w:val="bottom"/>
          </w:tcPr>
          <w:p>
            <w:pPr>
              <w:jc w:val="right"/>
              <w:spacing w:after="0"/>
              <w:rPr>
                <w:sz w:val="20"/>
                <w:szCs w:val="20"/>
                <w:color w:val="auto"/>
              </w:rPr>
            </w:pPr>
            <w:r>
              <w:rPr>
                <w:rFonts w:ascii="Arial" w:cs="Arial" w:eastAsia="Arial" w:hAnsi="Arial"/>
                <w:sz w:val="16"/>
                <w:szCs w:val="16"/>
                <w:color w:val="auto"/>
              </w:rPr>
              <w:t>433</w:t>
            </w:r>
          </w:p>
        </w:tc>
        <w:tc>
          <w:tcPr>
            <w:tcW w:w="1160" w:type="dxa"/>
            <w:vAlign w:val="bottom"/>
            <w:gridSpan w:val="2"/>
          </w:tcPr>
          <w:p>
            <w:pPr>
              <w:jc w:val="right"/>
              <w:ind w:right="520"/>
              <w:spacing w:after="0"/>
              <w:rPr>
                <w:sz w:val="20"/>
                <w:szCs w:val="20"/>
                <w:color w:val="auto"/>
              </w:rPr>
            </w:pPr>
            <w:r>
              <w:rPr>
                <w:rFonts w:ascii="Arial" w:cs="Arial" w:eastAsia="Arial" w:hAnsi="Arial"/>
                <w:sz w:val="16"/>
                <w:szCs w:val="16"/>
                <w:color w:val="auto"/>
              </w:rPr>
              <w:t>$</w:t>
            </w:r>
          </w:p>
        </w:tc>
        <w:tc>
          <w:tcPr>
            <w:tcW w:w="420" w:type="dxa"/>
            <w:vAlign w:val="bottom"/>
          </w:tcPr>
          <w:p>
            <w:pPr>
              <w:jc w:val="right"/>
              <w:spacing w:after="0"/>
              <w:rPr>
                <w:sz w:val="20"/>
                <w:szCs w:val="20"/>
                <w:color w:val="auto"/>
              </w:rPr>
            </w:pPr>
            <w:r>
              <w:rPr>
                <w:rFonts w:ascii="Arial" w:cs="Arial" w:eastAsia="Arial" w:hAnsi="Arial"/>
                <w:sz w:val="16"/>
                <w:szCs w:val="16"/>
                <w:color w:val="auto"/>
              </w:rPr>
              <w:t>435</w:t>
            </w:r>
          </w:p>
        </w:tc>
        <w:tc>
          <w:tcPr>
            <w:tcW w:w="1160" w:type="dxa"/>
            <w:vAlign w:val="bottom"/>
            <w:gridSpan w:val="2"/>
          </w:tcPr>
          <w:p>
            <w:pPr>
              <w:jc w:val="right"/>
              <w:ind w:right="520"/>
              <w:spacing w:after="0"/>
              <w:rPr>
                <w:sz w:val="20"/>
                <w:szCs w:val="20"/>
                <w:color w:val="auto"/>
              </w:rPr>
            </w:pPr>
            <w:r>
              <w:rPr>
                <w:rFonts w:ascii="Arial" w:cs="Arial" w:eastAsia="Arial" w:hAnsi="Arial"/>
                <w:sz w:val="16"/>
                <w:szCs w:val="16"/>
                <w:color w:val="auto"/>
              </w:rPr>
              <w:t>$</w:t>
            </w:r>
          </w:p>
        </w:tc>
        <w:tc>
          <w:tcPr>
            <w:tcW w:w="420" w:type="dxa"/>
            <w:vAlign w:val="bottom"/>
          </w:tcPr>
          <w:p>
            <w:pPr>
              <w:jc w:val="right"/>
              <w:spacing w:after="0"/>
              <w:rPr>
                <w:sz w:val="20"/>
                <w:szCs w:val="20"/>
                <w:color w:val="auto"/>
              </w:rPr>
            </w:pPr>
            <w:r>
              <w:rPr>
                <w:rFonts w:ascii="Arial" w:cs="Arial" w:eastAsia="Arial" w:hAnsi="Arial"/>
                <w:sz w:val="16"/>
                <w:szCs w:val="16"/>
                <w:color w:val="auto"/>
              </w:rPr>
              <w:t>498</w:t>
            </w:r>
          </w:p>
        </w:tc>
        <w:tc>
          <w:tcPr>
            <w:tcW w:w="1180" w:type="dxa"/>
            <w:vAlign w:val="bottom"/>
            <w:gridSpan w:val="2"/>
          </w:tcPr>
          <w:p>
            <w:pPr>
              <w:jc w:val="right"/>
              <w:ind w:right="540"/>
              <w:spacing w:after="0"/>
              <w:rPr>
                <w:sz w:val="20"/>
                <w:szCs w:val="20"/>
                <w:color w:val="auto"/>
              </w:rPr>
            </w:pPr>
            <w:r>
              <w:rPr>
                <w:rFonts w:ascii="Arial" w:cs="Arial" w:eastAsia="Arial" w:hAnsi="Arial"/>
                <w:sz w:val="16"/>
                <w:szCs w:val="16"/>
                <w:color w:val="auto"/>
              </w:rPr>
              <w:t>$</w:t>
            </w:r>
          </w:p>
        </w:tc>
        <w:tc>
          <w:tcPr>
            <w:tcW w:w="420" w:type="dxa"/>
            <w:vAlign w:val="bottom"/>
          </w:tcPr>
          <w:p>
            <w:pPr>
              <w:jc w:val="right"/>
              <w:spacing w:after="0"/>
              <w:rPr>
                <w:sz w:val="20"/>
                <w:szCs w:val="20"/>
                <w:color w:val="auto"/>
              </w:rPr>
            </w:pPr>
            <w:r>
              <w:rPr>
                <w:rFonts w:ascii="Arial" w:cs="Arial" w:eastAsia="Arial" w:hAnsi="Arial"/>
                <w:sz w:val="16"/>
                <w:szCs w:val="16"/>
                <w:color w:val="auto"/>
              </w:rPr>
              <w:t>511</w:t>
            </w:r>
          </w:p>
        </w:tc>
        <w:tc>
          <w:tcPr>
            <w:tcW w:w="68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546</w:t>
            </w:r>
          </w:p>
        </w:tc>
        <w:tc>
          <w:tcPr>
            <w:tcW w:w="0" w:type="dxa"/>
            <w:vAlign w:val="bottom"/>
          </w:tcPr>
          <w:p>
            <w:pPr>
              <w:spacing w:after="0"/>
              <w:rPr>
                <w:sz w:val="1"/>
                <w:szCs w:val="1"/>
                <w:color w:val="auto"/>
              </w:rPr>
            </w:pPr>
          </w:p>
        </w:tc>
      </w:tr>
      <w:tr>
        <w:trPr>
          <w:trHeight w:val="20"/>
        </w:trPr>
        <w:tc>
          <w:tcPr>
            <w:tcW w:w="3100" w:type="dxa"/>
            <w:vAlign w:val="bottom"/>
            <w:vMerge w:val="restart"/>
          </w:tcPr>
          <w:p>
            <w:pPr>
              <w:spacing w:after="0"/>
              <w:rPr>
                <w:sz w:val="20"/>
                <w:szCs w:val="20"/>
                <w:color w:val="auto"/>
              </w:rPr>
            </w:pPr>
            <w:r>
              <w:rPr>
                <w:rFonts w:ascii="Arial" w:cs="Arial" w:eastAsia="Arial" w:hAnsi="Arial"/>
                <w:sz w:val="16"/>
                <w:szCs w:val="16"/>
                <w:color w:val="auto"/>
              </w:rPr>
              <w:t>Ratio of earnings to combined fixed</w:t>
            </w:r>
          </w:p>
        </w:tc>
        <w:tc>
          <w:tcPr>
            <w:tcW w:w="9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4"/>
        </w:trPr>
        <w:tc>
          <w:tcPr>
            <w:tcW w:w="3100" w:type="dxa"/>
            <w:vAlign w:val="bottom"/>
            <w:vMerge w:val="continue"/>
          </w:tcPr>
          <w:p>
            <w:pPr>
              <w:spacing w:after="0"/>
              <w:rPr>
                <w:sz w:val="24"/>
                <w:szCs w:val="24"/>
                <w:color w:val="auto"/>
              </w:rPr>
            </w:pPr>
          </w:p>
        </w:tc>
        <w:tc>
          <w:tcPr>
            <w:tcW w:w="9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3100" w:type="dxa"/>
            <w:vAlign w:val="bottom"/>
          </w:tcPr>
          <w:p>
            <w:pPr>
              <w:ind w:left="240"/>
              <w:spacing w:after="0" w:line="181" w:lineRule="exact"/>
              <w:rPr>
                <w:sz w:val="20"/>
                <w:szCs w:val="20"/>
                <w:color w:val="auto"/>
              </w:rPr>
            </w:pPr>
            <w:r>
              <w:rPr>
                <w:rFonts w:ascii="Arial" w:cs="Arial" w:eastAsia="Arial" w:hAnsi="Arial"/>
                <w:sz w:val="16"/>
                <w:szCs w:val="16"/>
                <w:color w:val="auto"/>
              </w:rPr>
              <w:t>charges and preferred stock</w:t>
            </w:r>
          </w:p>
        </w:tc>
        <w:tc>
          <w:tcPr>
            <w:tcW w:w="960" w:type="dxa"/>
            <w:vAlign w:val="bottom"/>
          </w:tcPr>
          <w:p>
            <w:pPr>
              <w:spacing w:after="0"/>
              <w:rPr>
                <w:sz w:val="15"/>
                <w:szCs w:val="15"/>
                <w:color w:val="auto"/>
              </w:rPr>
            </w:pPr>
          </w:p>
        </w:tc>
        <w:tc>
          <w:tcPr>
            <w:tcW w:w="420" w:type="dxa"/>
            <w:vAlign w:val="bottom"/>
            <w:vMerge w:val="restart"/>
          </w:tcPr>
          <w:p>
            <w:pPr>
              <w:jc w:val="right"/>
              <w:spacing w:after="0"/>
              <w:rPr>
                <w:sz w:val="20"/>
                <w:szCs w:val="20"/>
                <w:color w:val="auto"/>
              </w:rPr>
            </w:pPr>
            <w:r>
              <w:rPr>
                <w:rFonts w:ascii="Arial" w:cs="Arial" w:eastAsia="Arial" w:hAnsi="Arial"/>
                <w:sz w:val="16"/>
                <w:szCs w:val="16"/>
                <w:color w:val="auto"/>
              </w:rPr>
              <w:t>5.35</w:t>
            </w:r>
          </w:p>
        </w:tc>
        <w:tc>
          <w:tcPr>
            <w:tcW w:w="2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20" w:type="dxa"/>
            <w:vAlign w:val="bottom"/>
            <w:vMerge w:val="restart"/>
          </w:tcPr>
          <w:p>
            <w:pPr>
              <w:jc w:val="right"/>
              <w:spacing w:after="0"/>
              <w:rPr>
                <w:sz w:val="20"/>
                <w:szCs w:val="20"/>
                <w:color w:val="auto"/>
              </w:rPr>
            </w:pPr>
            <w:r>
              <w:rPr>
                <w:rFonts w:ascii="Arial" w:cs="Arial" w:eastAsia="Arial" w:hAnsi="Arial"/>
                <w:sz w:val="16"/>
                <w:szCs w:val="16"/>
                <w:color w:val="auto"/>
              </w:rPr>
              <w:t>5.06</w:t>
            </w:r>
          </w:p>
        </w:tc>
        <w:tc>
          <w:tcPr>
            <w:tcW w:w="2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20" w:type="dxa"/>
            <w:vAlign w:val="bottom"/>
            <w:vMerge w:val="restart"/>
          </w:tcPr>
          <w:p>
            <w:pPr>
              <w:jc w:val="right"/>
              <w:spacing w:after="0"/>
              <w:rPr>
                <w:sz w:val="20"/>
                <w:szCs w:val="20"/>
                <w:color w:val="auto"/>
              </w:rPr>
            </w:pPr>
            <w:r>
              <w:rPr>
                <w:rFonts w:ascii="Arial" w:cs="Arial" w:eastAsia="Arial" w:hAnsi="Arial"/>
                <w:sz w:val="16"/>
                <w:szCs w:val="16"/>
                <w:color w:val="auto"/>
              </w:rPr>
              <w:t>4.41</w:t>
            </w: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20" w:type="dxa"/>
            <w:vAlign w:val="bottom"/>
            <w:vMerge w:val="restart"/>
          </w:tcPr>
          <w:p>
            <w:pPr>
              <w:jc w:val="right"/>
              <w:spacing w:after="0"/>
              <w:rPr>
                <w:sz w:val="20"/>
                <w:szCs w:val="20"/>
                <w:color w:val="auto"/>
              </w:rPr>
            </w:pPr>
            <w:r>
              <w:rPr>
                <w:rFonts w:ascii="Arial" w:cs="Arial" w:eastAsia="Arial" w:hAnsi="Arial"/>
                <w:sz w:val="16"/>
                <w:szCs w:val="16"/>
                <w:color w:val="auto"/>
              </w:rPr>
              <w:t>4.44</w:t>
            </w:r>
          </w:p>
        </w:tc>
        <w:tc>
          <w:tcPr>
            <w:tcW w:w="2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Arial" w:cs="Arial" w:eastAsia="Arial" w:hAnsi="Arial"/>
                <w:sz w:val="16"/>
                <w:szCs w:val="16"/>
                <w:color w:val="auto"/>
              </w:rPr>
              <w:t>4.75</w:t>
            </w:r>
          </w:p>
        </w:tc>
        <w:tc>
          <w:tcPr>
            <w:tcW w:w="0" w:type="dxa"/>
            <w:vAlign w:val="bottom"/>
          </w:tcPr>
          <w:p>
            <w:pPr>
              <w:spacing w:after="0"/>
              <w:rPr>
                <w:sz w:val="1"/>
                <w:szCs w:val="1"/>
                <w:color w:val="auto"/>
              </w:rPr>
            </w:pPr>
          </w:p>
        </w:tc>
      </w:tr>
      <w:tr>
        <w:trPr>
          <w:trHeight w:val="145"/>
        </w:trPr>
        <w:tc>
          <w:tcPr>
            <w:tcW w:w="3100" w:type="dxa"/>
            <w:vAlign w:val="bottom"/>
          </w:tcPr>
          <w:p>
            <w:pPr>
              <w:ind w:left="240"/>
              <w:spacing w:after="0" w:line="125" w:lineRule="exact"/>
              <w:rPr>
                <w:sz w:val="20"/>
                <w:szCs w:val="20"/>
                <w:color w:val="auto"/>
              </w:rPr>
            </w:pPr>
            <w:r>
              <w:rPr>
                <w:rFonts w:ascii="Arial" w:cs="Arial" w:eastAsia="Arial" w:hAnsi="Arial"/>
                <w:sz w:val="14"/>
                <w:szCs w:val="14"/>
                <w:color w:val="auto"/>
              </w:rPr>
              <w:t>dividends</w:t>
            </w:r>
          </w:p>
        </w:tc>
        <w:tc>
          <w:tcPr>
            <w:tcW w:w="96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vMerge w:val="continue"/>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vMerge w:val="continue"/>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vMerge w:val="continue"/>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vMerge w:val="continue"/>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6"/>
        </w:trPr>
        <w:tc>
          <w:tcPr>
            <w:tcW w:w="3100" w:type="dxa"/>
            <w:vAlign w:val="bottom"/>
          </w:tcPr>
          <w:p>
            <w:pPr>
              <w:spacing w:after="0"/>
              <w:rPr>
                <w:sz w:val="20"/>
                <w:szCs w:val="20"/>
                <w:color w:val="auto"/>
              </w:rPr>
            </w:pPr>
            <w:r>
              <w:rPr>
                <w:rFonts w:ascii="Arial" w:cs="Arial" w:eastAsia="Arial" w:hAnsi="Arial"/>
                <w:sz w:val="16"/>
                <w:szCs w:val="16"/>
                <w:color w:val="auto"/>
              </w:rPr>
              <w:t>Ratio of earnings to fixed charges</w:t>
            </w:r>
          </w:p>
        </w:tc>
        <w:tc>
          <w:tcPr>
            <w:tcW w:w="96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5.93</w:t>
            </w:r>
          </w:p>
        </w:tc>
        <w:tc>
          <w:tcPr>
            <w:tcW w:w="200" w:type="dxa"/>
            <w:vAlign w:val="bottom"/>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5.44</w:t>
            </w:r>
          </w:p>
        </w:tc>
        <w:tc>
          <w:tcPr>
            <w:tcW w:w="200" w:type="dxa"/>
            <w:vAlign w:val="bottom"/>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4.74</w:t>
            </w:r>
          </w:p>
        </w:tc>
        <w:tc>
          <w:tcPr>
            <w:tcW w:w="220" w:type="dxa"/>
            <w:vAlign w:val="bottom"/>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4.73</w:t>
            </w:r>
          </w:p>
        </w:tc>
        <w:tc>
          <w:tcPr>
            <w:tcW w:w="20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5.06</w:t>
            </w:r>
          </w:p>
        </w:tc>
        <w:tc>
          <w:tcPr>
            <w:tcW w:w="0" w:type="dxa"/>
            <w:vAlign w:val="bottom"/>
          </w:tcPr>
          <w:p>
            <w:pPr>
              <w:spacing w:after="0"/>
              <w:rPr>
                <w:sz w:val="1"/>
                <w:szCs w:val="1"/>
                <w:color w:val="auto"/>
              </w:rPr>
            </w:pPr>
          </w:p>
        </w:tc>
      </w:tr>
      <w:tr>
        <w:trPr>
          <w:trHeight w:val="20"/>
        </w:trPr>
        <w:tc>
          <w:tcPr>
            <w:tcW w:w="3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0" w:lineRule="exact"/>
        <w:rPr>
          <w:sz w:val="20"/>
          <w:szCs w:val="20"/>
          <w:color w:val="auto"/>
        </w:rPr>
      </w:pPr>
    </w:p>
    <w:p>
      <w:pPr>
        <w:ind w:right="860" w:firstLine="8"/>
        <w:spacing w:after="0" w:line="246" w:lineRule="auto"/>
        <w:tabs>
          <w:tab w:leader="none" w:pos="285" w:val="left"/>
        </w:tabs>
        <w:numPr>
          <w:ilvl w:val="0"/>
          <w:numId w:val="200"/>
        </w:numPr>
        <w:rPr>
          <w:rFonts w:ascii="Arial" w:cs="Arial" w:eastAsia="Arial" w:hAnsi="Arial"/>
          <w:sz w:val="16"/>
          <w:szCs w:val="16"/>
          <w:color w:val="auto"/>
        </w:rPr>
      </w:pPr>
      <w:r>
        <w:rPr>
          <w:rFonts w:ascii="Arial" w:cs="Arial" w:eastAsia="Arial" w:hAnsi="Arial"/>
          <w:sz w:val="16"/>
          <w:szCs w:val="16"/>
          <w:color w:val="auto"/>
        </w:rPr>
        <w:t>In computing this ratio, “Preferred stock dividends” represents the before-tax earnings necessary to pay such dividends, computed at the effective tax rates for the applicable periods.</w:t>
      </w:r>
    </w:p>
    <w:p>
      <w:pPr>
        <w:sectPr>
          <w:pgSz w:w="11900" w:h="16838" w:orient="portrait"/>
          <w:cols w:equalWidth="0" w:num="1">
            <w:col w:w="11440"/>
          </w:cols>
          <w:pgMar w:left="240" w:top="691" w:right="219" w:bottom="1440" w:gutter="0" w:footer="0" w:header="0"/>
        </w:sectPr>
      </w:pPr>
    </w:p>
    <w:bookmarkStart w:id="138" w:name="page139"/>
    <w:bookmarkEnd w:id="138"/>
    <w:p>
      <w:pPr>
        <w:ind w:left="10440"/>
        <w:spacing w:after="0"/>
        <w:rPr>
          <w:sz w:val="20"/>
          <w:szCs w:val="20"/>
          <w:color w:val="auto"/>
        </w:rPr>
      </w:pPr>
      <w:r>
        <w:rPr>
          <w:rFonts w:ascii="Arial" w:cs="Arial" w:eastAsia="Arial" w:hAnsi="Arial"/>
          <w:sz w:val="17"/>
          <w:szCs w:val="17"/>
          <w:b w:val="1"/>
          <w:bCs w:val="1"/>
          <w:color w:val="auto"/>
        </w:rPr>
        <w:t>Exhibit 12.3</w:t>
      </w:r>
    </w:p>
    <w:p>
      <w:pPr>
        <w:sectPr>
          <w:pgSz w:w="11900" w:h="16838" w:orient="portrait"/>
          <w:cols w:equalWidth="0" w:num="1">
            <w:col w:w="11440"/>
          </w:cols>
          <w:pgMar w:left="240" w:top="499" w:right="2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6"/>
          <w:szCs w:val="16"/>
          <w:color w:val="auto"/>
        </w:rPr>
        <w:t>Fixed Charges:</w:t>
      </w:r>
    </w:p>
    <w:p>
      <w:pPr>
        <w:spacing w:after="0" w:line="80" w:lineRule="exact"/>
        <w:rPr>
          <w:sz w:val="20"/>
          <w:szCs w:val="20"/>
          <w:color w:val="auto"/>
        </w:rPr>
      </w:pPr>
    </w:p>
    <w:p>
      <w:pPr>
        <w:spacing w:after="0"/>
        <w:rPr>
          <w:sz w:val="20"/>
          <w:szCs w:val="20"/>
          <w:color w:val="auto"/>
        </w:rPr>
      </w:pPr>
      <w:r>
        <w:rPr>
          <w:rFonts w:ascii="Arial" w:cs="Arial" w:eastAsia="Arial" w:hAnsi="Arial"/>
          <w:sz w:val="16"/>
          <w:szCs w:val="16"/>
          <w:color w:val="auto"/>
        </w:rPr>
        <w:t>Interest</w:t>
      </w:r>
    </w:p>
    <w:p>
      <w:pPr>
        <w:spacing w:after="0" w:line="80" w:lineRule="exact"/>
        <w:rPr>
          <w:sz w:val="20"/>
          <w:szCs w:val="20"/>
          <w:color w:val="auto"/>
        </w:rPr>
      </w:pPr>
    </w:p>
    <w:p>
      <w:pPr>
        <w:spacing w:after="0"/>
        <w:rPr>
          <w:sz w:val="20"/>
          <w:szCs w:val="20"/>
          <w:color w:val="auto"/>
        </w:rPr>
      </w:pPr>
      <w:r>
        <w:rPr>
          <w:rFonts w:ascii="Arial" w:cs="Arial" w:eastAsia="Arial" w:hAnsi="Arial"/>
          <w:sz w:val="16"/>
          <w:szCs w:val="16"/>
          <w:color w:val="auto"/>
        </w:rPr>
        <w:t>Interest portion of annual rentals</w:t>
      </w:r>
    </w:p>
    <w:p>
      <w:pPr>
        <w:spacing w:after="0" w:line="92" w:lineRule="exact"/>
        <w:rPr>
          <w:sz w:val="20"/>
          <w:szCs w:val="20"/>
          <w:color w:val="auto"/>
        </w:rPr>
      </w:pPr>
    </w:p>
    <w:p>
      <w:pPr>
        <w:spacing w:after="0"/>
        <w:rPr>
          <w:sz w:val="20"/>
          <w:szCs w:val="20"/>
          <w:color w:val="auto"/>
        </w:rPr>
      </w:pPr>
      <w:r>
        <w:rPr>
          <w:rFonts w:ascii="Arial" w:cs="Arial" w:eastAsia="Arial" w:hAnsi="Arial"/>
          <w:sz w:val="16"/>
          <w:szCs w:val="16"/>
          <w:color w:val="auto"/>
        </w:rPr>
        <w:t>Preferred dividends of subsidiary (1)</w:t>
      </w:r>
    </w:p>
    <w:p>
      <w:pPr>
        <w:spacing w:after="0" w:line="80" w:lineRule="exact"/>
        <w:rPr>
          <w:sz w:val="20"/>
          <w:szCs w:val="20"/>
          <w:color w:val="auto"/>
        </w:rPr>
      </w:pPr>
    </w:p>
    <w:p>
      <w:pPr>
        <w:spacing w:after="0"/>
        <w:rPr>
          <w:sz w:val="20"/>
          <w:szCs w:val="20"/>
          <w:color w:val="auto"/>
        </w:rPr>
      </w:pPr>
      <w:r>
        <w:rPr>
          <w:rFonts w:ascii="Arial" w:cs="Arial" w:eastAsia="Arial" w:hAnsi="Arial"/>
          <w:sz w:val="16"/>
          <w:szCs w:val="16"/>
          <w:color w:val="auto"/>
        </w:rPr>
        <w:t>Total fixed charges</w:t>
      </w:r>
    </w:p>
    <w:p>
      <w:pPr>
        <w:spacing w:after="0" w:line="92" w:lineRule="exact"/>
        <w:rPr>
          <w:sz w:val="20"/>
          <w:szCs w:val="20"/>
          <w:color w:val="auto"/>
        </w:rPr>
      </w:pPr>
    </w:p>
    <w:p>
      <w:pPr>
        <w:spacing w:after="0"/>
        <w:rPr>
          <w:sz w:val="20"/>
          <w:szCs w:val="20"/>
          <w:color w:val="auto"/>
        </w:rPr>
      </w:pPr>
      <w:r>
        <w:rPr>
          <w:rFonts w:ascii="Arial" w:cs="Arial" w:eastAsia="Arial" w:hAnsi="Arial"/>
          <w:sz w:val="16"/>
          <w:szCs w:val="16"/>
          <w:color w:val="auto"/>
        </w:rPr>
        <w:t>Preferred stock dividends</w:t>
      </w:r>
    </w:p>
    <w:p>
      <w:pPr>
        <w:spacing w:after="0" w:line="80" w:lineRule="exact"/>
        <w:rPr>
          <w:sz w:val="20"/>
          <w:szCs w:val="20"/>
          <w:color w:val="auto"/>
        </w:rPr>
      </w:pPr>
    </w:p>
    <w:p>
      <w:pPr>
        <w:ind w:left="240" w:right="320" w:hanging="229"/>
        <w:spacing w:after="0"/>
        <w:rPr>
          <w:sz w:val="20"/>
          <w:szCs w:val="20"/>
          <w:color w:val="auto"/>
        </w:rPr>
      </w:pPr>
      <w:r>
        <w:rPr>
          <w:rFonts w:ascii="Arial" w:cs="Arial" w:eastAsia="Arial" w:hAnsi="Arial"/>
          <w:sz w:val="16"/>
          <w:szCs w:val="16"/>
          <w:color w:val="auto"/>
        </w:rPr>
        <w:t>Combined fixed charges and preferred stock dividends for purpose of ratio</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color w:val="auto"/>
        </w:rPr>
        <w:t>Earnings:</w:t>
      </w:r>
    </w:p>
    <w:p>
      <w:pPr>
        <w:spacing w:after="0" w:line="80" w:lineRule="exact"/>
        <w:rPr>
          <w:sz w:val="20"/>
          <w:szCs w:val="20"/>
          <w:color w:val="auto"/>
        </w:rPr>
      </w:pPr>
    </w:p>
    <w:p>
      <w:pPr>
        <w:ind w:left="240" w:right="400" w:hanging="229"/>
        <w:spacing w:after="0" w:line="246" w:lineRule="auto"/>
        <w:rPr>
          <w:sz w:val="20"/>
          <w:szCs w:val="20"/>
          <w:color w:val="auto"/>
        </w:rPr>
      </w:pPr>
      <w:r>
        <w:rPr>
          <w:rFonts w:ascii="Arial" w:cs="Arial" w:eastAsia="Arial" w:hAnsi="Arial"/>
          <w:sz w:val="16"/>
          <w:szCs w:val="16"/>
          <w:color w:val="auto"/>
        </w:rPr>
        <w:t>Pretax income from continuing operations</w:t>
      </w:r>
    </w:p>
    <w:p>
      <w:pPr>
        <w:spacing w:after="0" w:line="67" w:lineRule="exact"/>
        <w:rPr>
          <w:sz w:val="20"/>
          <w:szCs w:val="20"/>
          <w:color w:val="auto"/>
        </w:rPr>
      </w:pPr>
    </w:p>
    <w:p>
      <w:pPr>
        <w:ind w:right="280"/>
        <w:spacing w:after="0" w:line="372" w:lineRule="auto"/>
        <w:rPr>
          <w:sz w:val="20"/>
          <w:szCs w:val="20"/>
          <w:color w:val="auto"/>
        </w:rPr>
      </w:pPr>
      <w:r>
        <w:rPr>
          <w:rFonts w:ascii="Arial" w:cs="Arial" w:eastAsia="Arial" w:hAnsi="Arial"/>
          <w:sz w:val="16"/>
          <w:szCs w:val="16"/>
          <w:color w:val="auto"/>
        </w:rPr>
        <w:t>Total fixed charges (from above) Less: Interest capitalized</w:t>
      </w:r>
    </w:p>
    <w:p>
      <w:pPr>
        <w:spacing w:after="0" w:line="18" w:lineRule="exact"/>
        <w:rPr>
          <w:sz w:val="20"/>
          <w:szCs w:val="20"/>
          <w:color w:val="auto"/>
        </w:rPr>
      </w:pPr>
    </w:p>
    <w:p>
      <w:pPr>
        <w:spacing w:after="0"/>
        <w:rPr>
          <w:sz w:val="20"/>
          <w:szCs w:val="20"/>
          <w:color w:val="auto"/>
        </w:rPr>
      </w:pPr>
      <w:r>
        <w:rPr>
          <w:rFonts w:ascii="Arial" w:cs="Arial" w:eastAsia="Arial" w:hAnsi="Arial"/>
          <w:sz w:val="16"/>
          <w:szCs w:val="16"/>
          <w:color w:val="auto"/>
        </w:rPr>
        <w:t>Total earnings for purpose of ratio</w:t>
      </w:r>
    </w:p>
    <w:p>
      <w:pPr>
        <w:spacing w:after="0" w:line="80" w:lineRule="exact"/>
        <w:rPr>
          <w:sz w:val="20"/>
          <w:szCs w:val="20"/>
          <w:color w:val="auto"/>
        </w:rPr>
      </w:pPr>
    </w:p>
    <w:p>
      <w:pPr>
        <w:ind w:left="240" w:right="60" w:hanging="229"/>
        <w:spacing w:after="0"/>
        <w:rPr>
          <w:sz w:val="20"/>
          <w:szCs w:val="20"/>
          <w:color w:val="auto"/>
        </w:rPr>
      </w:pPr>
      <w:r>
        <w:rPr>
          <w:rFonts w:ascii="Arial" w:cs="Arial" w:eastAsia="Arial" w:hAnsi="Arial"/>
          <w:sz w:val="16"/>
          <w:szCs w:val="16"/>
          <w:color w:val="auto"/>
        </w:rPr>
        <w:t>Ratio of earnings to combined fixed charges and preferred stock dividends</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Ratio of earnings to fixed charges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2" w:lineRule="exact"/>
        <w:rPr>
          <w:sz w:val="20"/>
          <w:szCs w:val="20"/>
          <w:color w:val="auto"/>
        </w:rPr>
      </w:pPr>
    </w:p>
    <w:p>
      <w:pPr>
        <w:jc w:val="center"/>
        <w:ind w:right="3060"/>
        <w:spacing w:after="0"/>
        <w:rPr>
          <w:sz w:val="20"/>
          <w:szCs w:val="20"/>
          <w:color w:val="auto"/>
        </w:rPr>
      </w:pPr>
      <w:r>
        <w:rPr>
          <w:rFonts w:ascii="Arial" w:cs="Arial" w:eastAsia="Arial" w:hAnsi="Arial"/>
          <w:sz w:val="16"/>
          <w:szCs w:val="16"/>
          <w:b w:val="1"/>
          <w:bCs w:val="1"/>
          <w:color w:val="auto"/>
        </w:rPr>
        <w:t>EXHIBIT 12.3</w:t>
      </w:r>
    </w:p>
    <w:p>
      <w:pPr>
        <w:spacing w:after="0" w:line="29" w:lineRule="exact"/>
        <w:rPr>
          <w:sz w:val="20"/>
          <w:szCs w:val="20"/>
          <w:color w:val="auto"/>
        </w:rPr>
      </w:pPr>
    </w:p>
    <w:p>
      <w:pPr>
        <w:jc w:val="center"/>
        <w:ind w:right="3060"/>
        <w:spacing w:after="0"/>
        <w:rPr>
          <w:sz w:val="20"/>
          <w:szCs w:val="20"/>
          <w:color w:val="auto"/>
        </w:rPr>
      </w:pPr>
      <w:r>
        <w:rPr>
          <w:rFonts w:ascii="Arial" w:cs="Arial" w:eastAsia="Arial" w:hAnsi="Arial"/>
          <w:sz w:val="16"/>
          <w:szCs w:val="16"/>
          <w:b w:val="1"/>
          <w:bCs w:val="1"/>
          <w:color w:val="auto"/>
        </w:rPr>
        <w:t>PACIFIC ENTERPRISES</w:t>
      </w:r>
    </w:p>
    <w:p>
      <w:pPr>
        <w:spacing w:after="0" w:line="20" w:lineRule="exact"/>
        <w:rPr>
          <w:sz w:val="20"/>
          <w:szCs w:val="20"/>
          <w:color w:val="auto"/>
        </w:rPr>
      </w:pPr>
    </w:p>
    <w:p>
      <w:pPr>
        <w:jc w:val="center"/>
        <w:ind w:right="3060"/>
        <w:spacing w:after="0"/>
        <w:rPr>
          <w:sz w:val="20"/>
          <w:szCs w:val="20"/>
          <w:color w:val="auto"/>
        </w:rPr>
      </w:pPr>
      <w:r>
        <w:rPr>
          <w:rFonts w:ascii="Arial" w:cs="Arial" w:eastAsia="Arial" w:hAnsi="Arial"/>
          <w:sz w:val="15"/>
          <w:szCs w:val="15"/>
          <w:b w:val="1"/>
          <w:bCs w:val="1"/>
          <w:color w:val="auto"/>
        </w:rPr>
        <w:t>COMPUTATION OF RATIO OF EARNINGS TO COMBINED FIXED CHARGES</w:t>
      </w:r>
    </w:p>
    <w:p>
      <w:pPr>
        <w:spacing w:after="0" w:line="32" w:lineRule="exact"/>
        <w:rPr>
          <w:sz w:val="20"/>
          <w:szCs w:val="20"/>
          <w:color w:val="auto"/>
        </w:rPr>
      </w:pPr>
    </w:p>
    <w:p>
      <w:pPr>
        <w:jc w:val="center"/>
        <w:ind w:right="3060"/>
        <w:spacing w:after="0"/>
        <w:rPr>
          <w:sz w:val="20"/>
          <w:szCs w:val="20"/>
          <w:color w:val="auto"/>
        </w:rPr>
      </w:pPr>
      <w:r>
        <w:rPr>
          <w:rFonts w:ascii="Arial" w:cs="Arial" w:eastAsia="Arial" w:hAnsi="Arial"/>
          <w:sz w:val="16"/>
          <w:szCs w:val="16"/>
          <w:b w:val="1"/>
          <w:bCs w:val="1"/>
          <w:color w:val="auto"/>
        </w:rPr>
        <w:t>AND PREFERRED STOCK DIVIDENDS</w:t>
      </w:r>
    </w:p>
    <w:p>
      <w:pPr>
        <w:spacing w:after="0" w:line="20" w:lineRule="exact"/>
        <w:rPr>
          <w:sz w:val="20"/>
          <w:szCs w:val="20"/>
          <w:color w:val="auto"/>
        </w:rPr>
      </w:pPr>
    </w:p>
    <w:p>
      <w:pPr>
        <w:jc w:val="center"/>
        <w:ind w:right="3060"/>
        <w:spacing w:after="0"/>
        <w:rPr>
          <w:sz w:val="20"/>
          <w:szCs w:val="20"/>
          <w:color w:val="auto"/>
        </w:rPr>
      </w:pPr>
      <w:r>
        <w:rPr>
          <w:rFonts w:ascii="Arial" w:cs="Arial" w:eastAsia="Arial" w:hAnsi="Arial"/>
          <w:sz w:val="16"/>
          <w:szCs w:val="16"/>
          <w:b w:val="1"/>
          <w:bCs w:val="1"/>
          <w:color w:val="auto"/>
        </w:rPr>
        <w:t>(Dollars in millions)</w:t>
      </w:r>
    </w:p>
    <w:p>
      <w:pPr>
        <w:spacing w:after="0" w:line="272" w:lineRule="exact"/>
        <w:rPr>
          <w:sz w:val="20"/>
          <w:szCs w:val="20"/>
          <w:color w:val="auto"/>
        </w:rPr>
      </w:pPr>
    </w:p>
    <w:tbl>
      <w:tblPr>
        <w:tblLayout w:type="fixed"/>
        <w:tblInd w:w="140" w:type="dxa"/>
        <w:tblCellMar>
          <w:top w:w="0" w:type="dxa"/>
          <w:left w:w="0" w:type="dxa"/>
          <w:bottom w:w="0" w:type="dxa"/>
          <w:right w:w="0" w:type="dxa"/>
        </w:tblCellMar>
      </w:tblPr>
      <w:tr>
        <w:trPr>
          <w:trHeight w:val="193"/>
        </w:trPr>
        <w:tc>
          <w:tcPr>
            <w:tcW w:w="5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80"/>
              <w:spacing w:after="0"/>
              <w:rPr>
                <w:sz w:val="20"/>
                <w:szCs w:val="20"/>
                <w:color w:val="auto"/>
              </w:rPr>
            </w:pPr>
            <w:r>
              <w:rPr>
                <w:rFonts w:ascii="Arial" w:cs="Arial" w:eastAsia="Arial" w:hAnsi="Arial"/>
                <w:sz w:val="16"/>
                <w:szCs w:val="16"/>
                <w:color w:val="auto"/>
              </w:rPr>
              <w:t>2004</w:t>
            </w:r>
          </w:p>
        </w:tc>
        <w:tc>
          <w:tcPr>
            <w:tcW w:w="180" w:type="dxa"/>
            <w:vAlign w:val="bottom"/>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500"/>
              <w:spacing w:after="0"/>
              <w:rPr>
                <w:sz w:val="20"/>
                <w:szCs w:val="20"/>
                <w:color w:val="auto"/>
              </w:rPr>
            </w:pPr>
            <w:r>
              <w:rPr>
                <w:rFonts w:ascii="Arial" w:cs="Arial" w:eastAsia="Arial" w:hAnsi="Arial"/>
                <w:sz w:val="16"/>
                <w:szCs w:val="16"/>
                <w:color w:val="auto"/>
              </w:rPr>
              <w:t>2005</w:t>
            </w:r>
          </w:p>
        </w:tc>
        <w:tc>
          <w:tcPr>
            <w:tcW w:w="180" w:type="dxa"/>
            <w:vAlign w:val="bottom"/>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80"/>
              <w:spacing w:after="0"/>
              <w:rPr>
                <w:sz w:val="20"/>
                <w:szCs w:val="20"/>
                <w:color w:val="auto"/>
              </w:rPr>
            </w:pPr>
            <w:r>
              <w:rPr>
                <w:rFonts w:ascii="Arial" w:cs="Arial" w:eastAsia="Arial" w:hAnsi="Arial"/>
                <w:sz w:val="16"/>
                <w:szCs w:val="16"/>
                <w:color w:val="auto"/>
              </w:rPr>
              <w:t>2006</w:t>
            </w:r>
          </w:p>
        </w:tc>
        <w:tc>
          <w:tcPr>
            <w:tcW w:w="220" w:type="dxa"/>
            <w:vAlign w:val="bottom"/>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80"/>
              <w:spacing w:after="0"/>
              <w:rPr>
                <w:sz w:val="20"/>
                <w:szCs w:val="20"/>
                <w:color w:val="auto"/>
              </w:rPr>
            </w:pPr>
            <w:r>
              <w:rPr>
                <w:rFonts w:ascii="Arial" w:cs="Arial" w:eastAsia="Arial" w:hAnsi="Arial"/>
                <w:sz w:val="16"/>
                <w:szCs w:val="16"/>
                <w:color w:val="auto"/>
              </w:rPr>
              <w:t>2007</w:t>
            </w:r>
          </w:p>
        </w:tc>
        <w:tc>
          <w:tcPr>
            <w:tcW w:w="220" w:type="dxa"/>
            <w:vAlign w:val="bottom"/>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500"/>
              <w:spacing w:after="0"/>
              <w:rPr>
                <w:sz w:val="20"/>
                <w:szCs w:val="20"/>
                <w:color w:val="auto"/>
              </w:rPr>
            </w:pPr>
            <w:r>
              <w:rPr>
                <w:rFonts w:ascii="Arial" w:cs="Arial" w:eastAsia="Arial" w:hAnsi="Arial"/>
                <w:sz w:val="16"/>
                <w:szCs w:val="16"/>
                <w:color w:val="auto"/>
              </w:rPr>
              <w:t>2008</w:t>
            </w:r>
          </w:p>
        </w:tc>
      </w:tr>
      <w:tr>
        <w:trPr>
          <w:trHeight w:val="460"/>
        </w:trPr>
        <w:tc>
          <w:tcPr>
            <w:tcW w:w="50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47</w:t>
            </w:r>
          </w:p>
        </w:tc>
        <w:tc>
          <w:tcPr>
            <w:tcW w:w="7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55</w:t>
            </w:r>
          </w:p>
        </w:tc>
        <w:tc>
          <w:tcPr>
            <w:tcW w:w="6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78</w:t>
            </w:r>
          </w:p>
        </w:tc>
        <w:tc>
          <w:tcPr>
            <w:tcW w:w="7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78</w:t>
            </w:r>
          </w:p>
        </w:tc>
        <w:tc>
          <w:tcPr>
            <w:tcW w:w="7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68</w:t>
            </w:r>
          </w:p>
        </w:tc>
      </w:tr>
      <w:tr>
        <w:trPr>
          <w:trHeight w:val="264"/>
        </w:trPr>
        <w:tc>
          <w:tcPr>
            <w:tcW w:w="50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w:t>
            </w:r>
          </w:p>
        </w:tc>
        <w:tc>
          <w:tcPr>
            <w:tcW w:w="1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w:t>
            </w:r>
          </w:p>
        </w:tc>
        <w:tc>
          <w:tcPr>
            <w:tcW w:w="1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w:t>
            </w:r>
          </w:p>
        </w:tc>
        <w:tc>
          <w:tcPr>
            <w:tcW w:w="2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w:t>
            </w:r>
          </w:p>
        </w:tc>
        <w:tc>
          <w:tcPr>
            <w:tcW w:w="2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w:t>
            </w:r>
          </w:p>
        </w:tc>
      </w:tr>
      <w:tr>
        <w:trPr>
          <w:trHeight w:val="264"/>
        </w:trPr>
        <w:tc>
          <w:tcPr>
            <w:tcW w:w="5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180" w:type="dxa"/>
            <w:vAlign w:val="bottom"/>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180" w:type="dxa"/>
            <w:vAlign w:val="bottom"/>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220" w:type="dxa"/>
            <w:vAlign w:val="bottom"/>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220" w:type="dxa"/>
            <w:vAlign w:val="bottom"/>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r>
      <w:tr>
        <w:trPr>
          <w:trHeight w:val="256"/>
        </w:trPr>
        <w:tc>
          <w:tcPr>
            <w:tcW w:w="50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51</w:t>
            </w:r>
          </w:p>
        </w:tc>
        <w:tc>
          <w:tcPr>
            <w:tcW w:w="1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60</w:t>
            </w:r>
          </w:p>
        </w:tc>
        <w:tc>
          <w:tcPr>
            <w:tcW w:w="1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84</w:t>
            </w:r>
          </w:p>
        </w:tc>
        <w:tc>
          <w:tcPr>
            <w:tcW w:w="2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83</w:t>
            </w:r>
          </w:p>
        </w:tc>
        <w:tc>
          <w:tcPr>
            <w:tcW w:w="2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72</w:t>
            </w:r>
          </w:p>
        </w:tc>
      </w:tr>
      <w:tr>
        <w:trPr>
          <w:trHeight w:val="264"/>
        </w:trPr>
        <w:tc>
          <w:tcPr>
            <w:tcW w:w="5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w:t>
            </w:r>
          </w:p>
        </w:tc>
        <w:tc>
          <w:tcPr>
            <w:tcW w:w="180" w:type="dxa"/>
            <w:vAlign w:val="bottom"/>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w:t>
            </w:r>
          </w:p>
        </w:tc>
        <w:tc>
          <w:tcPr>
            <w:tcW w:w="180" w:type="dxa"/>
            <w:vAlign w:val="bottom"/>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w:t>
            </w:r>
          </w:p>
        </w:tc>
        <w:tc>
          <w:tcPr>
            <w:tcW w:w="220" w:type="dxa"/>
            <w:vAlign w:val="bottom"/>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w:t>
            </w:r>
          </w:p>
        </w:tc>
        <w:tc>
          <w:tcPr>
            <w:tcW w:w="220" w:type="dxa"/>
            <w:vAlign w:val="bottom"/>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w:t>
            </w:r>
          </w:p>
        </w:tc>
      </w:tr>
      <w:tr>
        <w:trPr>
          <w:trHeight w:val="569"/>
        </w:trPr>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w:t>
            </w:r>
          </w:p>
        </w:tc>
        <w:tc>
          <w:tcPr>
            <w:tcW w:w="180" w:type="dxa"/>
            <w:vAlign w:val="bottom"/>
          </w:tcPr>
          <w:p>
            <w:pPr>
              <w:spacing w:after="0"/>
              <w:rPr>
                <w:sz w:val="24"/>
                <w:szCs w:val="24"/>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w:t>
            </w:r>
          </w:p>
        </w:tc>
        <w:tc>
          <w:tcPr>
            <w:tcW w:w="180" w:type="dxa"/>
            <w:vAlign w:val="bottom"/>
          </w:tcPr>
          <w:p>
            <w:pPr>
              <w:spacing w:after="0"/>
              <w:rPr>
                <w:sz w:val="24"/>
                <w:szCs w:val="2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w:t>
            </w:r>
          </w:p>
        </w:tc>
        <w:tc>
          <w:tcPr>
            <w:tcW w:w="220" w:type="dxa"/>
            <w:vAlign w:val="bottom"/>
          </w:tcPr>
          <w:p>
            <w:pPr>
              <w:spacing w:after="0"/>
              <w:rPr>
                <w:sz w:val="24"/>
                <w:szCs w:val="24"/>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89</w:t>
            </w:r>
          </w:p>
        </w:tc>
        <w:tc>
          <w:tcPr>
            <w:tcW w:w="220" w:type="dxa"/>
            <w:vAlign w:val="bottom"/>
          </w:tcPr>
          <w:p>
            <w:pPr>
              <w:spacing w:after="0"/>
              <w:rPr>
                <w:sz w:val="24"/>
                <w:szCs w:val="24"/>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78</w:t>
            </w:r>
          </w:p>
        </w:tc>
      </w:tr>
      <w:tr>
        <w:trPr>
          <w:trHeight w:val="20"/>
        </w:trPr>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757"/>
        </w:trPr>
        <w:tc>
          <w:tcPr>
            <w:tcW w:w="50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390</w:t>
            </w:r>
          </w:p>
        </w:tc>
        <w:tc>
          <w:tcPr>
            <w:tcW w:w="7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324</w:t>
            </w:r>
          </w:p>
        </w:tc>
        <w:tc>
          <w:tcPr>
            <w:tcW w:w="6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425</w:t>
            </w:r>
          </w:p>
        </w:tc>
        <w:tc>
          <w:tcPr>
            <w:tcW w:w="7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407</w:t>
            </w:r>
          </w:p>
        </w:tc>
        <w:tc>
          <w:tcPr>
            <w:tcW w:w="7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393</w:t>
            </w:r>
          </w:p>
        </w:tc>
      </w:tr>
      <w:tr>
        <w:trPr>
          <w:trHeight w:val="264"/>
        </w:trPr>
        <w:tc>
          <w:tcPr>
            <w:tcW w:w="50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51</w:t>
            </w:r>
          </w:p>
        </w:tc>
        <w:tc>
          <w:tcPr>
            <w:tcW w:w="1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60</w:t>
            </w:r>
          </w:p>
        </w:tc>
        <w:tc>
          <w:tcPr>
            <w:tcW w:w="1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84</w:t>
            </w:r>
          </w:p>
        </w:tc>
        <w:tc>
          <w:tcPr>
            <w:tcW w:w="2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83</w:t>
            </w:r>
          </w:p>
        </w:tc>
        <w:tc>
          <w:tcPr>
            <w:tcW w:w="2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72</w:t>
            </w:r>
          </w:p>
        </w:tc>
      </w:tr>
      <w:tr>
        <w:trPr>
          <w:trHeight w:val="264"/>
        </w:trPr>
        <w:tc>
          <w:tcPr>
            <w:tcW w:w="5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22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22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56"/>
        </w:trPr>
        <w:tc>
          <w:tcPr>
            <w:tcW w:w="50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441</w:t>
            </w:r>
          </w:p>
        </w:tc>
        <w:tc>
          <w:tcPr>
            <w:tcW w:w="7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384</w:t>
            </w:r>
          </w:p>
        </w:tc>
        <w:tc>
          <w:tcPr>
            <w:tcW w:w="6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508</w:t>
            </w:r>
          </w:p>
        </w:tc>
        <w:tc>
          <w:tcPr>
            <w:tcW w:w="7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489</w:t>
            </w:r>
          </w:p>
        </w:tc>
        <w:tc>
          <w:tcPr>
            <w:tcW w:w="7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465</w:t>
            </w:r>
          </w:p>
        </w:tc>
      </w:tr>
      <w:tr>
        <w:trPr>
          <w:trHeight w:val="20"/>
        </w:trPr>
        <w:tc>
          <w:tcPr>
            <w:tcW w:w="5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r>
        <w:trPr>
          <w:trHeight w:val="565"/>
        </w:trPr>
        <w:tc>
          <w:tcPr>
            <w:tcW w:w="5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7.60</w:t>
            </w:r>
          </w:p>
        </w:tc>
        <w:tc>
          <w:tcPr>
            <w:tcW w:w="180" w:type="dxa"/>
            <w:vAlign w:val="bottom"/>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5.82</w:t>
            </w:r>
          </w:p>
        </w:tc>
        <w:tc>
          <w:tcPr>
            <w:tcW w:w="18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5.64</w:t>
            </w:r>
          </w:p>
        </w:tc>
        <w:tc>
          <w:tcPr>
            <w:tcW w:w="220" w:type="dxa"/>
            <w:vAlign w:val="bottom"/>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5.49</w:t>
            </w:r>
          </w:p>
        </w:tc>
        <w:tc>
          <w:tcPr>
            <w:tcW w:w="220" w:type="dxa"/>
            <w:vAlign w:val="bottom"/>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5.96</w:t>
            </w:r>
          </w:p>
        </w:tc>
      </w:tr>
      <w:tr>
        <w:trPr>
          <w:trHeight w:val="20"/>
        </w:trPr>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252"/>
        </w:trPr>
        <w:tc>
          <w:tcPr>
            <w:tcW w:w="5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8.65</w:t>
            </w:r>
          </w:p>
        </w:tc>
        <w:tc>
          <w:tcPr>
            <w:tcW w:w="180" w:type="dxa"/>
            <w:vAlign w:val="bottom"/>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6.40</w:t>
            </w:r>
          </w:p>
        </w:tc>
        <w:tc>
          <w:tcPr>
            <w:tcW w:w="180" w:type="dxa"/>
            <w:vAlign w:val="bottom"/>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6.05</w:t>
            </w:r>
          </w:p>
        </w:tc>
        <w:tc>
          <w:tcPr>
            <w:tcW w:w="220" w:type="dxa"/>
            <w:vAlign w:val="bottom"/>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5.89</w:t>
            </w:r>
          </w:p>
        </w:tc>
        <w:tc>
          <w:tcPr>
            <w:tcW w:w="220" w:type="dxa"/>
            <w:vAlign w:val="bottom"/>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6.46</w:t>
            </w:r>
          </w:p>
        </w:tc>
      </w:tr>
      <w:tr>
        <w:trPr>
          <w:trHeight w:val="20"/>
        </w:trPr>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91" w:lineRule="exact"/>
        <w:rPr>
          <w:sz w:val="20"/>
          <w:szCs w:val="20"/>
          <w:color w:val="auto"/>
        </w:rPr>
      </w:pPr>
    </w:p>
    <w:p>
      <w:pPr>
        <w:sectPr>
          <w:pgSz w:w="11900" w:h="16838" w:orient="portrait"/>
          <w:cols w:equalWidth="0" w:num="2">
            <w:col w:w="2580" w:space="140"/>
            <w:col w:w="8720"/>
          </w:cols>
          <w:pgMar w:left="240" w:top="499" w:right="219" w:bottom="1440" w:gutter="0" w:footer="0" w:header="0"/>
          <w:type w:val="continuous"/>
        </w:sectPr>
      </w:pPr>
    </w:p>
    <w:p>
      <w:pPr>
        <w:ind w:right="380" w:firstLine="8"/>
        <w:spacing w:after="0" w:line="246" w:lineRule="auto"/>
        <w:tabs>
          <w:tab w:leader="none" w:pos="240" w:val="left"/>
        </w:tabs>
        <w:numPr>
          <w:ilvl w:val="0"/>
          <w:numId w:val="201"/>
        </w:numPr>
        <w:rPr>
          <w:rFonts w:ascii="Arial" w:cs="Arial" w:eastAsia="Arial" w:hAnsi="Arial"/>
          <w:sz w:val="16"/>
          <w:szCs w:val="16"/>
          <w:color w:val="auto"/>
        </w:rPr>
      </w:pPr>
      <w:r>
        <w:rPr>
          <w:rFonts w:ascii="Arial" w:cs="Arial" w:eastAsia="Arial" w:hAnsi="Arial"/>
          <w:sz w:val="16"/>
          <w:szCs w:val="16"/>
          <w:color w:val="auto"/>
        </w:rPr>
        <w:t>In computing this ratio, “Preferred dividends of subsidiary” represents the before-tax earnings necessary to pay such dividends, computed at the effective tax rates for the applicable periods.</w:t>
      </w:r>
    </w:p>
    <w:p>
      <w:pPr>
        <w:sectPr>
          <w:pgSz w:w="11900" w:h="16838" w:orient="portrait"/>
          <w:cols w:equalWidth="0" w:num="1">
            <w:col w:w="11440"/>
          </w:cols>
          <w:pgMar w:left="240" w:top="499" w:right="219" w:bottom="1440" w:gutter="0" w:footer="0" w:header="0"/>
          <w:type w:val="continuous"/>
        </w:sectPr>
      </w:pPr>
    </w:p>
    <w:bookmarkStart w:id="139" w:name="page140"/>
    <w:bookmarkEnd w:id="139"/>
    <w:p>
      <w:pPr>
        <w:jc w:val="right"/>
        <w:spacing w:after="0"/>
        <w:rPr>
          <w:sz w:val="20"/>
          <w:szCs w:val="20"/>
          <w:color w:val="auto"/>
        </w:rPr>
      </w:pPr>
      <w:r>
        <w:rPr>
          <w:rFonts w:ascii="Arial" w:cs="Arial" w:eastAsia="Arial" w:hAnsi="Arial"/>
          <w:sz w:val="19"/>
          <w:szCs w:val="19"/>
          <w:b w:val="1"/>
          <w:bCs w:val="1"/>
          <w:color w:val="auto"/>
        </w:rPr>
        <w:t>Exhibit 12.4</w:t>
      </w:r>
    </w:p>
    <w:p>
      <w:pPr>
        <w:spacing w:after="0" w:line="200" w:lineRule="exact"/>
        <w:rPr>
          <w:sz w:val="20"/>
          <w:szCs w:val="20"/>
          <w:color w:val="auto"/>
        </w:rPr>
      </w:pPr>
    </w:p>
    <w:p>
      <w:pPr>
        <w:spacing w:after="0" w:line="374" w:lineRule="exact"/>
        <w:rPr>
          <w:sz w:val="20"/>
          <w:szCs w:val="20"/>
          <w:color w:val="auto"/>
        </w:rPr>
      </w:pPr>
    </w:p>
    <w:p>
      <w:pPr>
        <w:jc w:val="center"/>
        <w:ind w:right="300"/>
        <w:spacing w:after="0"/>
        <w:rPr>
          <w:sz w:val="20"/>
          <w:szCs w:val="20"/>
          <w:color w:val="auto"/>
        </w:rPr>
      </w:pPr>
      <w:r>
        <w:rPr>
          <w:rFonts w:ascii="Arial" w:cs="Arial" w:eastAsia="Arial" w:hAnsi="Arial"/>
          <w:sz w:val="18"/>
          <w:szCs w:val="18"/>
          <w:b w:val="1"/>
          <w:bCs w:val="1"/>
          <w:color w:val="auto"/>
        </w:rPr>
        <w:t>EXHIBIT 12.4</w:t>
      </w:r>
    </w:p>
    <w:p>
      <w:pPr>
        <w:spacing w:after="0" w:line="26" w:lineRule="exact"/>
        <w:rPr>
          <w:sz w:val="20"/>
          <w:szCs w:val="20"/>
          <w:color w:val="auto"/>
        </w:rPr>
      </w:pPr>
    </w:p>
    <w:p>
      <w:pPr>
        <w:jc w:val="center"/>
        <w:ind w:right="300"/>
        <w:spacing w:after="0"/>
        <w:rPr>
          <w:sz w:val="20"/>
          <w:szCs w:val="20"/>
          <w:color w:val="auto"/>
        </w:rPr>
      </w:pPr>
      <w:r>
        <w:rPr>
          <w:rFonts w:ascii="Arial" w:cs="Arial" w:eastAsia="Arial" w:hAnsi="Arial"/>
          <w:sz w:val="18"/>
          <w:szCs w:val="18"/>
          <w:b w:val="1"/>
          <w:bCs w:val="1"/>
          <w:color w:val="auto"/>
        </w:rPr>
        <w:t>SOUTHERN CALIFORNIA GAS COMPANY</w:t>
      </w:r>
    </w:p>
    <w:p>
      <w:pPr>
        <w:spacing w:after="0" w:line="21" w:lineRule="exact"/>
        <w:rPr>
          <w:sz w:val="20"/>
          <w:szCs w:val="20"/>
          <w:color w:val="auto"/>
        </w:rPr>
      </w:pPr>
    </w:p>
    <w:p>
      <w:pPr>
        <w:jc w:val="center"/>
        <w:ind w:right="300"/>
        <w:spacing w:after="0"/>
        <w:rPr>
          <w:sz w:val="20"/>
          <w:szCs w:val="20"/>
          <w:color w:val="auto"/>
        </w:rPr>
      </w:pPr>
      <w:r>
        <w:rPr>
          <w:rFonts w:ascii="Arial" w:cs="Arial" w:eastAsia="Arial" w:hAnsi="Arial"/>
          <w:sz w:val="18"/>
          <w:szCs w:val="18"/>
          <w:b w:val="1"/>
          <w:bCs w:val="1"/>
          <w:color w:val="auto"/>
        </w:rPr>
        <w:t>COMPUTATION OF RATIO OF EARNINGS TO COMBINED FIXED CHARGES</w:t>
      </w:r>
    </w:p>
    <w:p>
      <w:pPr>
        <w:spacing w:after="0" w:line="21" w:lineRule="exact"/>
        <w:rPr>
          <w:sz w:val="20"/>
          <w:szCs w:val="20"/>
          <w:color w:val="auto"/>
        </w:rPr>
      </w:pPr>
    </w:p>
    <w:p>
      <w:pPr>
        <w:jc w:val="center"/>
        <w:ind w:right="300"/>
        <w:spacing w:after="0"/>
        <w:rPr>
          <w:sz w:val="20"/>
          <w:szCs w:val="20"/>
          <w:color w:val="auto"/>
        </w:rPr>
      </w:pPr>
      <w:r>
        <w:rPr>
          <w:rFonts w:ascii="Arial" w:cs="Arial" w:eastAsia="Arial" w:hAnsi="Arial"/>
          <w:sz w:val="18"/>
          <w:szCs w:val="18"/>
          <w:b w:val="1"/>
          <w:bCs w:val="1"/>
          <w:color w:val="auto"/>
        </w:rPr>
        <w:t>AND PREFERRED STOCK DIVIDENDS</w:t>
      </w:r>
    </w:p>
    <w:p>
      <w:pPr>
        <w:spacing w:after="0" w:line="21" w:lineRule="exact"/>
        <w:rPr>
          <w:sz w:val="20"/>
          <w:szCs w:val="20"/>
          <w:color w:val="auto"/>
        </w:rPr>
      </w:pPr>
    </w:p>
    <w:p>
      <w:pPr>
        <w:jc w:val="center"/>
        <w:ind w:right="300"/>
        <w:spacing w:after="0"/>
        <w:rPr>
          <w:sz w:val="20"/>
          <w:szCs w:val="20"/>
          <w:color w:val="auto"/>
        </w:rPr>
      </w:pPr>
      <w:r>
        <w:rPr>
          <w:rFonts w:ascii="Arial" w:cs="Arial" w:eastAsia="Arial" w:hAnsi="Arial"/>
          <w:sz w:val="18"/>
          <w:szCs w:val="18"/>
          <w:b w:val="1"/>
          <w:bCs w:val="1"/>
          <w:color w:val="auto"/>
        </w:rPr>
        <w:t>(Dollars in millions)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1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2004</w:t>
            </w:r>
          </w:p>
        </w:tc>
        <w:tc>
          <w:tcPr>
            <w:tcW w:w="420" w:type="dxa"/>
            <w:vAlign w:val="bottom"/>
          </w:tcPr>
          <w:p>
            <w:pPr>
              <w:spacing w:after="0"/>
              <w:rPr>
                <w:sz w:val="16"/>
                <w:szCs w:val="16"/>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6"/>
                <w:szCs w:val="16"/>
                <w:color w:val="auto"/>
              </w:rPr>
              <w:t>2005</w:t>
            </w:r>
          </w:p>
        </w:tc>
        <w:tc>
          <w:tcPr>
            <w:tcW w:w="380" w:type="dxa"/>
            <w:vAlign w:val="bottom"/>
          </w:tcPr>
          <w:p>
            <w:pPr>
              <w:spacing w:after="0"/>
              <w:rPr>
                <w:sz w:val="16"/>
                <w:szCs w:val="16"/>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6"/>
                <w:szCs w:val="16"/>
                <w:color w:val="auto"/>
              </w:rPr>
              <w:t>2006</w:t>
            </w:r>
          </w:p>
        </w:tc>
        <w:tc>
          <w:tcPr>
            <w:tcW w:w="380" w:type="dxa"/>
            <w:vAlign w:val="bottom"/>
          </w:tcPr>
          <w:p>
            <w:pPr>
              <w:spacing w:after="0"/>
              <w:rPr>
                <w:sz w:val="16"/>
                <w:szCs w:val="16"/>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6"/>
                <w:szCs w:val="16"/>
                <w:color w:val="auto"/>
              </w:rPr>
              <w:t>2007</w:t>
            </w:r>
          </w:p>
        </w:tc>
        <w:tc>
          <w:tcPr>
            <w:tcW w:w="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20" w:type="dxa"/>
            <w:vAlign w:val="bottom"/>
          </w:tcPr>
          <w:p>
            <w:pPr>
              <w:jc w:val="right"/>
              <w:ind w:right="360"/>
              <w:spacing w:after="0"/>
              <w:rPr>
                <w:sz w:val="20"/>
                <w:szCs w:val="20"/>
                <w:color w:val="auto"/>
              </w:rPr>
            </w:pPr>
            <w:r>
              <w:rPr>
                <w:rFonts w:ascii="Arial" w:cs="Arial" w:eastAsia="Arial" w:hAnsi="Arial"/>
                <w:sz w:val="16"/>
                <w:szCs w:val="16"/>
                <w:color w:val="auto"/>
              </w:rPr>
              <w:t>2008</w:t>
            </w:r>
          </w:p>
        </w:tc>
        <w:tc>
          <w:tcPr>
            <w:tcW w:w="0" w:type="dxa"/>
            <w:vAlign w:val="bottom"/>
          </w:tcPr>
          <w:p>
            <w:pPr>
              <w:spacing w:after="0"/>
              <w:rPr>
                <w:sz w:val="1"/>
                <w:szCs w:val="1"/>
                <w:color w:val="auto"/>
              </w:rPr>
            </w:pPr>
          </w:p>
        </w:tc>
      </w:tr>
      <w:tr>
        <w:trPr>
          <w:trHeight w:val="196"/>
        </w:trPr>
        <w:tc>
          <w:tcPr>
            <w:tcW w:w="4120" w:type="dxa"/>
            <w:vAlign w:val="bottom"/>
          </w:tcPr>
          <w:p>
            <w:pPr>
              <w:spacing w:after="0"/>
              <w:rPr>
                <w:sz w:val="20"/>
                <w:szCs w:val="20"/>
                <w:color w:val="auto"/>
              </w:rPr>
            </w:pPr>
            <w:r>
              <w:rPr>
                <w:rFonts w:ascii="Arial" w:cs="Arial" w:eastAsia="Arial" w:hAnsi="Arial"/>
                <w:sz w:val="16"/>
                <w:szCs w:val="16"/>
                <w:color w:val="auto"/>
              </w:rPr>
              <w:t>Fixed Charges:</w:t>
            </w:r>
          </w:p>
        </w:tc>
        <w:tc>
          <w:tcPr>
            <w:tcW w:w="820" w:type="dxa"/>
            <w:vAlign w:val="bottom"/>
            <w:tcBorders>
              <w:top w:val="single" w:sz="8" w:color="auto"/>
            </w:tcBorders>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4120" w:type="dxa"/>
            <w:vAlign w:val="bottom"/>
          </w:tcPr>
          <w:p>
            <w:pPr>
              <w:spacing w:after="0"/>
              <w:rPr>
                <w:sz w:val="20"/>
                <w:szCs w:val="20"/>
                <w:color w:val="auto"/>
              </w:rPr>
            </w:pPr>
            <w:r>
              <w:rPr>
                <w:rFonts w:ascii="Arial" w:cs="Arial" w:eastAsia="Arial" w:hAnsi="Arial"/>
                <w:sz w:val="16"/>
                <w:szCs w:val="16"/>
                <w:color w:val="auto"/>
              </w:rPr>
              <w:t>Interest</w:t>
            </w:r>
          </w:p>
        </w:tc>
        <w:tc>
          <w:tcPr>
            <w:tcW w:w="820" w:type="dxa"/>
            <w:vAlign w:val="bottom"/>
          </w:tcPr>
          <w:p>
            <w:pPr>
              <w:jc w:val="right"/>
              <w:ind w:right="360"/>
              <w:spacing w:after="0"/>
              <w:rPr>
                <w:sz w:val="20"/>
                <w:szCs w:val="20"/>
                <w:color w:val="auto"/>
              </w:rPr>
            </w:pPr>
            <w:r>
              <w:rPr>
                <w:rFonts w:ascii="Arial" w:cs="Arial" w:eastAsia="Arial" w:hAnsi="Arial"/>
                <w:sz w:val="16"/>
                <w:szCs w:val="16"/>
                <w:color w:val="auto"/>
              </w:rPr>
              <w:t>$</w:t>
            </w:r>
          </w:p>
        </w:tc>
        <w:tc>
          <w:tcPr>
            <w:tcW w:w="420" w:type="dxa"/>
            <w:vAlign w:val="bottom"/>
          </w:tcPr>
          <w:p>
            <w:pPr>
              <w:jc w:val="right"/>
              <w:spacing w:after="0"/>
              <w:rPr>
                <w:sz w:val="20"/>
                <w:szCs w:val="20"/>
                <w:color w:val="auto"/>
              </w:rPr>
            </w:pPr>
            <w:r>
              <w:rPr>
                <w:rFonts w:ascii="Arial" w:cs="Arial" w:eastAsia="Arial" w:hAnsi="Arial"/>
                <w:sz w:val="16"/>
                <w:szCs w:val="16"/>
                <w:color w:val="auto"/>
              </w:rPr>
              <w:t>40</w:t>
            </w:r>
          </w:p>
        </w:tc>
        <w:tc>
          <w:tcPr>
            <w:tcW w:w="1060" w:type="dxa"/>
            <w:vAlign w:val="bottom"/>
            <w:gridSpan w:val="2"/>
          </w:tcPr>
          <w:p>
            <w:pPr>
              <w:jc w:val="right"/>
              <w:ind w:right="480"/>
              <w:spacing w:after="0"/>
              <w:rPr>
                <w:sz w:val="20"/>
                <w:szCs w:val="20"/>
                <w:color w:val="auto"/>
              </w:rPr>
            </w:pPr>
            <w:r>
              <w:rPr>
                <w:rFonts w:ascii="Arial" w:cs="Arial" w:eastAsia="Arial" w:hAnsi="Arial"/>
                <w:sz w:val="16"/>
                <w:szCs w:val="16"/>
                <w:color w:val="auto"/>
              </w:rPr>
              <w:t>$</w:t>
            </w:r>
          </w:p>
        </w:tc>
        <w:tc>
          <w:tcPr>
            <w:tcW w:w="380" w:type="dxa"/>
            <w:vAlign w:val="bottom"/>
          </w:tcPr>
          <w:p>
            <w:pPr>
              <w:jc w:val="right"/>
              <w:spacing w:after="0"/>
              <w:rPr>
                <w:sz w:val="20"/>
                <w:szCs w:val="20"/>
                <w:color w:val="auto"/>
              </w:rPr>
            </w:pPr>
            <w:r>
              <w:rPr>
                <w:rFonts w:ascii="Arial" w:cs="Arial" w:eastAsia="Arial" w:hAnsi="Arial"/>
                <w:sz w:val="16"/>
                <w:szCs w:val="16"/>
                <w:color w:val="auto"/>
              </w:rPr>
              <w:t>50</w:t>
            </w:r>
          </w:p>
        </w:tc>
        <w:tc>
          <w:tcPr>
            <w:tcW w:w="1060" w:type="dxa"/>
            <w:vAlign w:val="bottom"/>
            <w:gridSpan w:val="2"/>
          </w:tcPr>
          <w:p>
            <w:pPr>
              <w:jc w:val="right"/>
              <w:ind w:right="460"/>
              <w:spacing w:after="0"/>
              <w:rPr>
                <w:sz w:val="20"/>
                <w:szCs w:val="20"/>
                <w:color w:val="auto"/>
              </w:rPr>
            </w:pPr>
            <w:r>
              <w:rPr>
                <w:rFonts w:ascii="Arial" w:cs="Arial" w:eastAsia="Arial" w:hAnsi="Arial"/>
                <w:sz w:val="16"/>
                <w:szCs w:val="16"/>
                <w:color w:val="auto"/>
              </w:rPr>
              <w:t>$</w:t>
            </w:r>
          </w:p>
        </w:tc>
        <w:tc>
          <w:tcPr>
            <w:tcW w:w="380" w:type="dxa"/>
            <w:vAlign w:val="bottom"/>
          </w:tcPr>
          <w:p>
            <w:pPr>
              <w:jc w:val="right"/>
              <w:spacing w:after="0"/>
              <w:rPr>
                <w:sz w:val="20"/>
                <w:szCs w:val="20"/>
                <w:color w:val="auto"/>
              </w:rPr>
            </w:pPr>
            <w:r>
              <w:rPr>
                <w:rFonts w:ascii="Arial" w:cs="Arial" w:eastAsia="Arial" w:hAnsi="Arial"/>
                <w:sz w:val="16"/>
                <w:szCs w:val="16"/>
                <w:color w:val="auto"/>
              </w:rPr>
              <w:t>72</w:t>
            </w:r>
          </w:p>
        </w:tc>
        <w:tc>
          <w:tcPr>
            <w:tcW w:w="1060" w:type="dxa"/>
            <w:vAlign w:val="bottom"/>
            <w:gridSpan w:val="2"/>
          </w:tcPr>
          <w:p>
            <w:pPr>
              <w:jc w:val="right"/>
              <w:ind w:right="460"/>
              <w:spacing w:after="0"/>
              <w:rPr>
                <w:sz w:val="20"/>
                <w:szCs w:val="20"/>
                <w:color w:val="auto"/>
              </w:rPr>
            </w:pPr>
            <w:r>
              <w:rPr>
                <w:rFonts w:ascii="Arial" w:cs="Arial" w:eastAsia="Arial" w:hAnsi="Arial"/>
                <w:sz w:val="16"/>
                <w:szCs w:val="16"/>
                <w:color w:val="auto"/>
              </w:rPr>
              <w:t>$</w:t>
            </w:r>
          </w:p>
        </w:tc>
        <w:tc>
          <w:tcPr>
            <w:tcW w:w="400" w:type="dxa"/>
            <w:vAlign w:val="bottom"/>
          </w:tcPr>
          <w:p>
            <w:pPr>
              <w:jc w:val="right"/>
              <w:spacing w:after="0"/>
              <w:rPr>
                <w:sz w:val="20"/>
                <w:szCs w:val="20"/>
                <w:color w:val="auto"/>
              </w:rPr>
            </w:pPr>
            <w:r>
              <w:rPr>
                <w:rFonts w:ascii="Arial" w:cs="Arial" w:eastAsia="Arial" w:hAnsi="Arial"/>
                <w:sz w:val="16"/>
                <w:szCs w:val="16"/>
                <w:color w:val="auto"/>
              </w:rPr>
              <w:t>72</w:t>
            </w:r>
          </w:p>
        </w:tc>
        <w:tc>
          <w:tcPr>
            <w:tcW w:w="62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65</w:t>
            </w:r>
          </w:p>
        </w:tc>
        <w:tc>
          <w:tcPr>
            <w:tcW w:w="0" w:type="dxa"/>
            <w:vAlign w:val="bottom"/>
          </w:tcPr>
          <w:p>
            <w:pPr>
              <w:spacing w:after="0"/>
              <w:rPr>
                <w:sz w:val="1"/>
                <w:szCs w:val="1"/>
                <w:color w:val="auto"/>
              </w:rPr>
            </w:pPr>
          </w:p>
        </w:tc>
      </w:tr>
      <w:tr>
        <w:trPr>
          <w:trHeight w:val="264"/>
        </w:trPr>
        <w:tc>
          <w:tcPr>
            <w:tcW w:w="4120" w:type="dxa"/>
            <w:vAlign w:val="bottom"/>
          </w:tcPr>
          <w:p>
            <w:pPr>
              <w:spacing w:after="0"/>
              <w:rPr>
                <w:sz w:val="20"/>
                <w:szCs w:val="20"/>
                <w:color w:val="auto"/>
              </w:rPr>
            </w:pPr>
            <w:r>
              <w:rPr>
                <w:rFonts w:ascii="Arial" w:cs="Arial" w:eastAsia="Arial" w:hAnsi="Arial"/>
                <w:sz w:val="16"/>
                <w:szCs w:val="16"/>
                <w:color w:val="auto"/>
              </w:rPr>
              <w:t>Interest portion of annual rentals</w:t>
            </w:r>
          </w:p>
        </w:tc>
        <w:tc>
          <w:tcPr>
            <w:tcW w:w="82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200" w:type="dxa"/>
            <w:vAlign w:val="bottom"/>
          </w:tcPr>
          <w:p>
            <w:pPr>
              <w:spacing w:after="0"/>
              <w:rPr>
                <w:sz w:val="22"/>
                <w:szCs w:val="22"/>
                <w:color w:val="auto"/>
              </w:rPr>
            </w:pPr>
          </w:p>
        </w:tc>
        <w:tc>
          <w:tcPr>
            <w:tcW w:w="86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220" w:type="dxa"/>
            <w:vAlign w:val="bottom"/>
          </w:tcPr>
          <w:p>
            <w:pPr>
              <w:spacing w:after="0"/>
              <w:rPr>
                <w:sz w:val="22"/>
                <w:szCs w:val="22"/>
                <w:color w:val="auto"/>
              </w:rPr>
            </w:pPr>
          </w:p>
        </w:tc>
        <w:tc>
          <w:tcPr>
            <w:tcW w:w="84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w:t>
            </w:r>
          </w:p>
        </w:tc>
        <w:tc>
          <w:tcPr>
            <w:tcW w:w="220" w:type="dxa"/>
            <w:vAlign w:val="bottom"/>
          </w:tcPr>
          <w:p>
            <w:pPr>
              <w:spacing w:after="0"/>
              <w:rPr>
                <w:sz w:val="22"/>
                <w:szCs w:val="22"/>
                <w:color w:val="auto"/>
              </w:rPr>
            </w:pPr>
          </w:p>
        </w:tc>
        <w:tc>
          <w:tcPr>
            <w:tcW w:w="84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200" w:type="dxa"/>
            <w:vAlign w:val="bottom"/>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56"/>
        </w:trPr>
        <w:tc>
          <w:tcPr>
            <w:tcW w:w="4120" w:type="dxa"/>
            <w:vAlign w:val="bottom"/>
          </w:tcPr>
          <w:p>
            <w:pPr>
              <w:spacing w:after="0"/>
              <w:rPr>
                <w:sz w:val="20"/>
                <w:szCs w:val="20"/>
                <w:color w:val="auto"/>
              </w:rPr>
            </w:pPr>
            <w:r>
              <w:rPr>
                <w:rFonts w:ascii="Arial" w:cs="Arial" w:eastAsia="Arial" w:hAnsi="Arial"/>
                <w:sz w:val="16"/>
                <w:szCs w:val="16"/>
                <w:color w:val="auto"/>
              </w:rPr>
              <w:t>Total fixed charges</w:t>
            </w:r>
          </w:p>
        </w:tc>
        <w:tc>
          <w:tcPr>
            <w:tcW w:w="820" w:type="dxa"/>
            <w:vAlign w:val="bottom"/>
          </w:tcPr>
          <w:p>
            <w:pPr>
              <w:spacing w:after="0"/>
              <w:rPr>
                <w:sz w:val="22"/>
                <w:szCs w:val="22"/>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42</w:t>
            </w:r>
          </w:p>
        </w:tc>
        <w:tc>
          <w:tcPr>
            <w:tcW w:w="2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53</w:t>
            </w:r>
          </w:p>
        </w:tc>
        <w:tc>
          <w:tcPr>
            <w:tcW w:w="2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76</w:t>
            </w:r>
          </w:p>
        </w:tc>
        <w:tc>
          <w:tcPr>
            <w:tcW w:w="2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75</w:t>
            </w:r>
          </w:p>
        </w:tc>
        <w:tc>
          <w:tcPr>
            <w:tcW w:w="2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67</w:t>
            </w:r>
          </w:p>
        </w:tc>
        <w:tc>
          <w:tcPr>
            <w:tcW w:w="0" w:type="dxa"/>
            <w:vAlign w:val="bottom"/>
          </w:tcPr>
          <w:p>
            <w:pPr>
              <w:spacing w:after="0"/>
              <w:rPr>
                <w:sz w:val="1"/>
                <w:szCs w:val="1"/>
                <w:color w:val="auto"/>
              </w:rPr>
            </w:pPr>
          </w:p>
        </w:tc>
      </w:tr>
      <w:tr>
        <w:trPr>
          <w:trHeight w:val="264"/>
        </w:trPr>
        <w:tc>
          <w:tcPr>
            <w:tcW w:w="4120" w:type="dxa"/>
            <w:vAlign w:val="bottom"/>
          </w:tcPr>
          <w:p>
            <w:pPr>
              <w:spacing w:after="0"/>
              <w:rPr>
                <w:sz w:val="20"/>
                <w:szCs w:val="20"/>
                <w:color w:val="auto"/>
              </w:rPr>
            </w:pPr>
            <w:r>
              <w:rPr>
                <w:rFonts w:ascii="Arial" w:cs="Arial" w:eastAsia="Arial" w:hAnsi="Arial"/>
                <w:sz w:val="16"/>
                <w:szCs w:val="16"/>
                <w:color w:val="auto"/>
              </w:rPr>
              <w:t>Preferred stock dividends (1)</w:t>
            </w:r>
          </w:p>
        </w:tc>
        <w:tc>
          <w:tcPr>
            <w:tcW w:w="82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200" w:type="dxa"/>
            <w:vAlign w:val="bottom"/>
          </w:tcPr>
          <w:p>
            <w:pPr>
              <w:spacing w:after="0"/>
              <w:rPr>
                <w:sz w:val="22"/>
                <w:szCs w:val="22"/>
                <w:color w:val="auto"/>
              </w:rPr>
            </w:pPr>
          </w:p>
        </w:tc>
        <w:tc>
          <w:tcPr>
            <w:tcW w:w="86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220" w:type="dxa"/>
            <w:vAlign w:val="bottom"/>
          </w:tcPr>
          <w:p>
            <w:pPr>
              <w:spacing w:after="0"/>
              <w:rPr>
                <w:sz w:val="22"/>
                <w:szCs w:val="22"/>
                <w:color w:val="auto"/>
              </w:rPr>
            </w:pPr>
          </w:p>
        </w:tc>
        <w:tc>
          <w:tcPr>
            <w:tcW w:w="84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220" w:type="dxa"/>
            <w:vAlign w:val="bottom"/>
          </w:tcPr>
          <w:p>
            <w:pPr>
              <w:spacing w:after="0"/>
              <w:rPr>
                <w:sz w:val="22"/>
                <w:szCs w:val="22"/>
                <w:color w:val="auto"/>
              </w:rPr>
            </w:pPr>
          </w:p>
        </w:tc>
        <w:tc>
          <w:tcPr>
            <w:tcW w:w="84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200" w:type="dxa"/>
            <w:vAlign w:val="bottom"/>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44"/>
        </w:trPr>
        <w:tc>
          <w:tcPr>
            <w:tcW w:w="4120" w:type="dxa"/>
            <w:vAlign w:val="bottom"/>
          </w:tcPr>
          <w:p>
            <w:pPr>
              <w:spacing w:after="0"/>
              <w:rPr>
                <w:sz w:val="20"/>
                <w:szCs w:val="20"/>
                <w:color w:val="auto"/>
              </w:rPr>
            </w:pPr>
            <w:r>
              <w:rPr>
                <w:rFonts w:ascii="Arial" w:cs="Arial" w:eastAsia="Arial" w:hAnsi="Arial"/>
                <w:sz w:val="16"/>
                <w:szCs w:val="16"/>
                <w:color w:val="auto"/>
              </w:rPr>
              <w:t>Combined fixed charges and preferred stock</w:t>
            </w:r>
          </w:p>
        </w:tc>
        <w:tc>
          <w:tcPr>
            <w:tcW w:w="820" w:type="dxa"/>
            <w:vAlign w:val="bottom"/>
            <w:vMerge w:val="restart"/>
          </w:tcPr>
          <w:p>
            <w:pPr>
              <w:jc w:val="right"/>
              <w:ind w:right="360"/>
              <w:spacing w:after="0"/>
              <w:rPr>
                <w:sz w:val="20"/>
                <w:szCs w:val="20"/>
                <w:color w:val="auto"/>
              </w:rPr>
            </w:pPr>
            <w:r>
              <w:rPr>
                <w:rFonts w:ascii="Arial" w:cs="Arial" w:eastAsia="Arial" w:hAnsi="Arial"/>
                <w:sz w:val="16"/>
                <w:szCs w:val="16"/>
                <w:color w:val="auto"/>
              </w:rPr>
              <w:t>$</w:t>
            </w:r>
          </w:p>
        </w:tc>
        <w:tc>
          <w:tcPr>
            <w:tcW w:w="420" w:type="dxa"/>
            <w:vAlign w:val="bottom"/>
            <w:vMerge w:val="restart"/>
          </w:tcPr>
          <w:p>
            <w:pPr>
              <w:jc w:val="right"/>
              <w:spacing w:after="0"/>
              <w:rPr>
                <w:sz w:val="20"/>
                <w:szCs w:val="20"/>
                <w:color w:val="auto"/>
              </w:rPr>
            </w:pPr>
            <w:r>
              <w:rPr>
                <w:rFonts w:ascii="Arial" w:cs="Arial" w:eastAsia="Arial" w:hAnsi="Arial"/>
                <w:sz w:val="16"/>
                <w:szCs w:val="16"/>
                <w:color w:val="auto"/>
              </w:rPr>
              <w:t>44</w:t>
            </w:r>
          </w:p>
        </w:tc>
        <w:tc>
          <w:tcPr>
            <w:tcW w:w="1060" w:type="dxa"/>
            <w:vAlign w:val="bottom"/>
            <w:gridSpan w:val="2"/>
            <w:vMerge w:val="restart"/>
          </w:tcPr>
          <w:p>
            <w:pPr>
              <w:jc w:val="right"/>
              <w:ind w:right="480"/>
              <w:spacing w:after="0"/>
              <w:rPr>
                <w:sz w:val="20"/>
                <w:szCs w:val="20"/>
                <w:color w:val="auto"/>
              </w:rPr>
            </w:pPr>
            <w:r>
              <w:rPr>
                <w:rFonts w:ascii="Arial" w:cs="Arial" w:eastAsia="Arial" w:hAnsi="Arial"/>
                <w:sz w:val="16"/>
                <w:szCs w:val="16"/>
                <w:color w:val="auto"/>
              </w:rPr>
              <w:t>$</w:t>
            </w:r>
          </w:p>
        </w:tc>
        <w:tc>
          <w:tcPr>
            <w:tcW w:w="380" w:type="dxa"/>
            <w:vAlign w:val="bottom"/>
            <w:vMerge w:val="restart"/>
          </w:tcPr>
          <w:p>
            <w:pPr>
              <w:jc w:val="right"/>
              <w:spacing w:after="0"/>
              <w:rPr>
                <w:sz w:val="20"/>
                <w:szCs w:val="20"/>
                <w:color w:val="auto"/>
              </w:rPr>
            </w:pPr>
            <w:r>
              <w:rPr>
                <w:rFonts w:ascii="Arial" w:cs="Arial" w:eastAsia="Arial" w:hAnsi="Arial"/>
                <w:sz w:val="16"/>
                <w:szCs w:val="16"/>
                <w:color w:val="auto"/>
              </w:rPr>
              <w:t>55</w:t>
            </w:r>
          </w:p>
        </w:tc>
        <w:tc>
          <w:tcPr>
            <w:tcW w:w="1060" w:type="dxa"/>
            <w:vAlign w:val="bottom"/>
            <w:gridSpan w:val="2"/>
            <w:vMerge w:val="restart"/>
          </w:tcPr>
          <w:p>
            <w:pPr>
              <w:jc w:val="right"/>
              <w:ind w:right="460"/>
              <w:spacing w:after="0"/>
              <w:rPr>
                <w:sz w:val="20"/>
                <w:szCs w:val="20"/>
                <w:color w:val="auto"/>
              </w:rPr>
            </w:pPr>
            <w:r>
              <w:rPr>
                <w:rFonts w:ascii="Arial" w:cs="Arial" w:eastAsia="Arial" w:hAnsi="Arial"/>
                <w:sz w:val="16"/>
                <w:szCs w:val="16"/>
                <w:color w:val="auto"/>
              </w:rPr>
              <w:t>$</w:t>
            </w:r>
          </w:p>
        </w:tc>
        <w:tc>
          <w:tcPr>
            <w:tcW w:w="380" w:type="dxa"/>
            <w:vAlign w:val="bottom"/>
            <w:vMerge w:val="restart"/>
          </w:tcPr>
          <w:p>
            <w:pPr>
              <w:jc w:val="right"/>
              <w:spacing w:after="0"/>
              <w:rPr>
                <w:sz w:val="20"/>
                <w:szCs w:val="20"/>
                <w:color w:val="auto"/>
              </w:rPr>
            </w:pPr>
            <w:r>
              <w:rPr>
                <w:rFonts w:ascii="Arial" w:cs="Arial" w:eastAsia="Arial" w:hAnsi="Arial"/>
                <w:sz w:val="16"/>
                <w:szCs w:val="16"/>
                <w:color w:val="auto"/>
              </w:rPr>
              <w:t>78</w:t>
            </w:r>
          </w:p>
        </w:tc>
        <w:tc>
          <w:tcPr>
            <w:tcW w:w="1060" w:type="dxa"/>
            <w:vAlign w:val="bottom"/>
            <w:gridSpan w:val="2"/>
            <w:vMerge w:val="restart"/>
          </w:tcPr>
          <w:p>
            <w:pPr>
              <w:jc w:val="right"/>
              <w:ind w:right="460"/>
              <w:spacing w:after="0"/>
              <w:rPr>
                <w:sz w:val="20"/>
                <w:szCs w:val="20"/>
                <w:color w:val="auto"/>
              </w:rPr>
            </w:pPr>
            <w:r>
              <w:rPr>
                <w:rFonts w:ascii="Arial" w:cs="Arial" w:eastAsia="Arial" w:hAnsi="Arial"/>
                <w:sz w:val="16"/>
                <w:szCs w:val="16"/>
                <w:color w:val="auto"/>
              </w:rPr>
              <w:t>$</w:t>
            </w:r>
          </w:p>
        </w:tc>
        <w:tc>
          <w:tcPr>
            <w:tcW w:w="400" w:type="dxa"/>
            <w:vAlign w:val="bottom"/>
            <w:vMerge w:val="restart"/>
          </w:tcPr>
          <w:p>
            <w:pPr>
              <w:jc w:val="right"/>
              <w:spacing w:after="0"/>
              <w:rPr>
                <w:sz w:val="20"/>
                <w:szCs w:val="20"/>
                <w:color w:val="auto"/>
              </w:rPr>
            </w:pPr>
            <w:r>
              <w:rPr>
                <w:rFonts w:ascii="Arial" w:cs="Arial" w:eastAsia="Arial" w:hAnsi="Arial"/>
                <w:sz w:val="16"/>
                <w:szCs w:val="16"/>
                <w:color w:val="auto"/>
              </w:rPr>
              <w:t>77</w:t>
            </w:r>
          </w:p>
        </w:tc>
        <w:tc>
          <w:tcPr>
            <w:tcW w:w="620" w:type="dxa"/>
            <w:vAlign w:val="bottom"/>
            <w:gridSpan w:val="2"/>
            <w:vMerge w:val="restart"/>
          </w:tcPr>
          <w:p>
            <w:pPr>
              <w:jc w:val="right"/>
              <w:ind w:right="40"/>
              <w:spacing w:after="0"/>
              <w:rPr>
                <w:sz w:val="20"/>
                <w:szCs w:val="20"/>
                <w:color w:val="auto"/>
              </w:rPr>
            </w:pPr>
            <w:r>
              <w:rPr>
                <w:rFonts w:ascii="Arial" w:cs="Arial" w:eastAsia="Arial" w:hAnsi="Arial"/>
                <w:sz w:val="16"/>
                <w:szCs w:val="16"/>
                <w:color w:val="auto"/>
              </w:rPr>
              <w:t>$</w:t>
            </w: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69</w:t>
            </w:r>
          </w:p>
        </w:tc>
        <w:tc>
          <w:tcPr>
            <w:tcW w:w="0" w:type="dxa"/>
            <w:vAlign w:val="bottom"/>
          </w:tcPr>
          <w:p>
            <w:pPr>
              <w:spacing w:after="0"/>
              <w:rPr>
                <w:sz w:val="1"/>
                <w:szCs w:val="1"/>
                <w:color w:val="auto"/>
              </w:rPr>
            </w:pPr>
          </w:p>
        </w:tc>
      </w:tr>
      <w:tr>
        <w:trPr>
          <w:trHeight w:val="145"/>
        </w:trPr>
        <w:tc>
          <w:tcPr>
            <w:tcW w:w="4120" w:type="dxa"/>
            <w:vAlign w:val="bottom"/>
          </w:tcPr>
          <w:p>
            <w:pPr>
              <w:ind w:left="240"/>
              <w:spacing w:after="0" w:line="125" w:lineRule="exact"/>
              <w:rPr>
                <w:sz w:val="20"/>
                <w:szCs w:val="20"/>
                <w:color w:val="auto"/>
              </w:rPr>
            </w:pPr>
            <w:r>
              <w:rPr>
                <w:rFonts w:ascii="Arial" w:cs="Arial" w:eastAsia="Arial" w:hAnsi="Arial"/>
                <w:sz w:val="14"/>
                <w:szCs w:val="14"/>
                <w:color w:val="auto"/>
              </w:rPr>
              <w:t>dividends for purpose of ratio</w:t>
            </w:r>
          </w:p>
        </w:tc>
        <w:tc>
          <w:tcPr>
            <w:tcW w:w="820" w:type="dxa"/>
            <w:vAlign w:val="bottom"/>
            <w:vMerge w:val="continue"/>
          </w:tcPr>
          <w:p>
            <w:pPr>
              <w:spacing w:after="0"/>
              <w:rPr>
                <w:sz w:val="12"/>
                <w:szCs w:val="12"/>
                <w:color w:val="auto"/>
              </w:rPr>
            </w:pPr>
          </w:p>
        </w:tc>
        <w:tc>
          <w:tcPr>
            <w:tcW w:w="420" w:type="dxa"/>
            <w:vAlign w:val="bottom"/>
            <w:vMerge w:val="continue"/>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380" w:type="dxa"/>
            <w:vAlign w:val="bottom"/>
            <w:vMerge w:val="continue"/>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380" w:type="dxa"/>
            <w:vAlign w:val="bottom"/>
            <w:vMerge w:val="continue"/>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400" w:type="dxa"/>
            <w:vAlign w:val="bottom"/>
            <w:vMerge w:val="continue"/>
          </w:tcPr>
          <w:p>
            <w:pPr>
              <w:spacing w:after="0"/>
              <w:rPr>
                <w:sz w:val="12"/>
                <w:szCs w:val="12"/>
                <w:color w:val="auto"/>
              </w:rPr>
            </w:pPr>
          </w:p>
        </w:tc>
        <w:tc>
          <w:tcPr>
            <w:tcW w:w="620" w:type="dxa"/>
            <w:vAlign w:val="bottom"/>
            <w:gridSpan w:val="2"/>
            <w:vMerge w:val="continue"/>
          </w:tcPr>
          <w:p>
            <w:pPr>
              <w:spacing w:after="0"/>
              <w:rPr>
                <w:sz w:val="12"/>
                <w:szCs w:val="12"/>
                <w:color w:val="auto"/>
              </w:rPr>
            </w:pPr>
          </w:p>
        </w:tc>
        <w:tc>
          <w:tcPr>
            <w:tcW w:w="8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120" w:type="dxa"/>
            <w:vAlign w:val="bottom"/>
            <w:vMerge w:val="restart"/>
          </w:tcPr>
          <w:p>
            <w:pPr>
              <w:spacing w:after="0"/>
              <w:rPr>
                <w:sz w:val="20"/>
                <w:szCs w:val="20"/>
                <w:color w:val="auto"/>
              </w:rPr>
            </w:pPr>
            <w:r>
              <w:rPr>
                <w:rFonts w:ascii="Arial" w:cs="Arial" w:eastAsia="Arial" w:hAnsi="Arial"/>
                <w:sz w:val="16"/>
                <w:szCs w:val="16"/>
                <w:color w:val="auto"/>
              </w:rPr>
              <w:t>Earnings:</w:t>
            </w:r>
          </w:p>
        </w:tc>
        <w:tc>
          <w:tcPr>
            <w:tcW w:w="8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2"/>
        </w:trPr>
        <w:tc>
          <w:tcPr>
            <w:tcW w:w="4120" w:type="dxa"/>
            <w:vAlign w:val="bottom"/>
            <w:vMerge w:val="continue"/>
          </w:tcPr>
          <w:p>
            <w:pPr>
              <w:spacing w:after="0"/>
              <w:rPr>
                <w:sz w:val="21"/>
                <w:szCs w:val="21"/>
                <w:color w:val="auto"/>
              </w:rPr>
            </w:pPr>
          </w:p>
        </w:tc>
        <w:tc>
          <w:tcPr>
            <w:tcW w:w="8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4120" w:type="dxa"/>
            <w:vAlign w:val="bottom"/>
          </w:tcPr>
          <w:p>
            <w:pPr>
              <w:spacing w:after="0"/>
              <w:rPr>
                <w:sz w:val="20"/>
                <w:szCs w:val="20"/>
                <w:color w:val="auto"/>
              </w:rPr>
            </w:pPr>
            <w:r>
              <w:rPr>
                <w:rFonts w:ascii="Arial" w:cs="Arial" w:eastAsia="Arial" w:hAnsi="Arial"/>
                <w:sz w:val="16"/>
                <w:szCs w:val="16"/>
                <w:color w:val="auto"/>
              </w:rPr>
              <w:t>Pretax income from continuing operations</w:t>
            </w:r>
          </w:p>
        </w:tc>
        <w:tc>
          <w:tcPr>
            <w:tcW w:w="820" w:type="dxa"/>
            <w:vAlign w:val="bottom"/>
          </w:tcPr>
          <w:p>
            <w:pPr>
              <w:jc w:val="right"/>
              <w:ind w:right="360"/>
              <w:spacing w:after="0"/>
              <w:rPr>
                <w:sz w:val="20"/>
                <w:szCs w:val="20"/>
                <w:color w:val="auto"/>
              </w:rPr>
            </w:pPr>
            <w:r>
              <w:rPr>
                <w:rFonts w:ascii="Arial" w:cs="Arial" w:eastAsia="Arial" w:hAnsi="Arial"/>
                <w:sz w:val="16"/>
                <w:szCs w:val="16"/>
                <w:color w:val="auto"/>
              </w:rPr>
              <w:t>$</w:t>
            </w:r>
          </w:p>
        </w:tc>
        <w:tc>
          <w:tcPr>
            <w:tcW w:w="420" w:type="dxa"/>
            <w:vAlign w:val="bottom"/>
          </w:tcPr>
          <w:p>
            <w:pPr>
              <w:jc w:val="right"/>
              <w:spacing w:after="0"/>
              <w:rPr>
                <w:sz w:val="20"/>
                <w:szCs w:val="20"/>
                <w:color w:val="auto"/>
              </w:rPr>
            </w:pPr>
            <w:r>
              <w:rPr>
                <w:rFonts w:ascii="Arial" w:cs="Arial" w:eastAsia="Arial" w:hAnsi="Arial"/>
                <w:sz w:val="16"/>
                <w:szCs w:val="16"/>
                <w:color w:val="auto"/>
              </w:rPr>
              <w:t>387</w:t>
            </w:r>
          </w:p>
        </w:tc>
        <w:tc>
          <w:tcPr>
            <w:tcW w:w="1060" w:type="dxa"/>
            <w:vAlign w:val="bottom"/>
            <w:gridSpan w:val="2"/>
          </w:tcPr>
          <w:p>
            <w:pPr>
              <w:jc w:val="right"/>
              <w:ind w:right="480"/>
              <w:spacing w:after="0"/>
              <w:rPr>
                <w:sz w:val="20"/>
                <w:szCs w:val="20"/>
                <w:color w:val="auto"/>
              </w:rPr>
            </w:pPr>
            <w:r>
              <w:rPr>
                <w:rFonts w:ascii="Arial" w:cs="Arial" w:eastAsia="Arial" w:hAnsi="Arial"/>
                <w:sz w:val="16"/>
                <w:szCs w:val="16"/>
                <w:color w:val="auto"/>
              </w:rPr>
              <w:t>$</w:t>
            </w:r>
          </w:p>
        </w:tc>
        <w:tc>
          <w:tcPr>
            <w:tcW w:w="380" w:type="dxa"/>
            <w:vAlign w:val="bottom"/>
          </w:tcPr>
          <w:p>
            <w:pPr>
              <w:jc w:val="right"/>
              <w:spacing w:after="0"/>
              <w:rPr>
                <w:sz w:val="20"/>
                <w:szCs w:val="20"/>
                <w:color w:val="auto"/>
              </w:rPr>
            </w:pPr>
            <w:r>
              <w:rPr>
                <w:rFonts w:ascii="Arial" w:cs="Arial" w:eastAsia="Arial" w:hAnsi="Arial"/>
                <w:sz w:val="16"/>
                <w:szCs w:val="16"/>
                <w:color w:val="auto"/>
              </w:rPr>
              <w:t>309</w:t>
            </w:r>
          </w:p>
        </w:tc>
        <w:tc>
          <w:tcPr>
            <w:tcW w:w="1060" w:type="dxa"/>
            <w:vAlign w:val="bottom"/>
            <w:gridSpan w:val="2"/>
          </w:tcPr>
          <w:p>
            <w:pPr>
              <w:jc w:val="right"/>
              <w:ind w:right="460"/>
              <w:spacing w:after="0"/>
              <w:rPr>
                <w:sz w:val="20"/>
                <w:szCs w:val="20"/>
                <w:color w:val="auto"/>
              </w:rPr>
            </w:pPr>
            <w:r>
              <w:rPr>
                <w:rFonts w:ascii="Arial" w:cs="Arial" w:eastAsia="Arial" w:hAnsi="Arial"/>
                <w:sz w:val="16"/>
                <w:szCs w:val="16"/>
                <w:color w:val="auto"/>
              </w:rPr>
              <w:t>$</w:t>
            </w:r>
          </w:p>
        </w:tc>
        <w:tc>
          <w:tcPr>
            <w:tcW w:w="380" w:type="dxa"/>
            <w:vAlign w:val="bottom"/>
          </w:tcPr>
          <w:p>
            <w:pPr>
              <w:jc w:val="right"/>
              <w:spacing w:after="0"/>
              <w:rPr>
                <w:sz w:val="20"/>
                <w:szCs w:val="20"/>
                <w:color w:val="auto"/>
              </w:rPr>
            </w:pPr>
            <w:r>
              <w:rPr>
                <w:rFonts w:ascii="Arial" w:cs="Arial" w:eastAsia="Arial" w:hAnsi="Arial"/>
                <w:sz w:val="16"/>
                <w:szCs w:val="16"/>
                <w:color w:val="auto"/>
              </w:rPr>
              <w:t>397</w:t>
            </w:r>
          </w:p>
        </w:tc>
        <w:tc>
          <w:tcPr>
            <w:tcW w:w="1060" w:type="dxa"/>
            <w:vAlign w:val="bottom"/>
            <w:gridSpan w:val="2"/>
          </w:tcPr>
          <w:p>
            <w:pPr>
              <w:jc w:val="right"/>
              <w:ind w:right="460"/>
              <w:spacing w:after="0"/>
              <w:rPr>
                <w:sz w:val="20"/>
                <w:szCs w:val="20"/>
                <w:color w:val="auto"/>
              </w:rPr>
            </w:pPr>
            <w:r>
              <w:rPr>
                <w:rFonts w:ascii="Arial" w:cs="Arial" w:eastAsia="Arial" w:hAnsi="Arial"/>
                <w:sz w:val="16"/>
                <w:szCs w:val="16"/>
                <w:color w:val="auto"/>
              </w:rPr>
              <w:t>$</w:t>
            </w:r>
          </w:p>
        </w:tc>
        <w:tc>
          <w:tcPr>
            <w:tcW w:w="400" w:type="dxa"/>
            <w:vAlign w:val="bottom"/>
          </w:tcPr>
          <w:p>
            <w:pPr>
              <w:jc w:val="right"/>
              <w:spacing w:after="0"/>
              <w:rPr>
                <w:sz w:val="20"/>
                <w:szCs w:val="20"/>
                <w:color w:val="auto"/>
              </w:rPr>
            </w:pPr>
            <w:r>
              <w:rPr>
                <w:rFonts w:ascii="Arial" w:cs="Arial" w:eastAsia="Arial" w:hAnsi="Arial"/>
                <w:sz w:val="16"/>
                <w:szCs w:val="16"/>
                <w:color w:val="auto"/>
              </w:rPr>
              <w:t>391</w:t>
            </w:r>
          </w:p>
        </w:tc>
        <w:tc>
          <w:tcPr>
            <w:tcW w:w="62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385</w:t>
            </w:r>
          </w:p>
        </w:tc>
        <w:tc>
          <w:tcPr>
            <w:tcW w:w="0" w:type="dxa"/>
            <w:vAlign w:val="bottom"/>
          </w:tcPr>
          <w:p>
            <w:pPr>
              <w:spacing w:after="0"/>
              <w:rPr>
                <w:sz w:val="1"/>
                <w:szCs w:val="1"/>
                <w:color w:val="auto"/>
              </w:rPr>
            </w:pPr>
          </w:p>
        </w:tc>
      </w:tr>
      <w:tr>
        <w:trPr>
          <w:trHeight w:val="264"/>
        </w:trPr>
        <w:tc>
          <w:tcPr>
            <w:tcW w:w="4120" w:type="dxa"/>
            <w:vAlign w:val="bottom"/>
          </w:tcPr>
          <w:p>
            <w:pPr>
              <w:spacing w:after="0"/>
              <w:rPr>
                <w:sz w:val="20"/>
                <w:szCs w:val="20"/>
                <w:color w:val="auto"/>
              </w:rPr>
            </w:pPr>
            <w:r>
              <w:rPr>
                <w:rFonts w:ascii="Arial" w:cs="Arial" w:eastAsia="Arial" w:hAnsi="Arial"/>
                <w:sz w:val="16"/>
                <w:szCs w:val="16"/>
                <w:color w:val="auto"/>
              </w:rPr>
              <w:t>Add: Total fixed charges (from above)</w:t>
            </w:r>
          </w:p>
        </w:tc>
        <w:tc>
          <w:tcPr>
            <w:tcW w:w="820" w:type="dxa"/>
            <w:vAlign w:val="bottom"/>
          </w:tcPr>
          <w:p>
            <w:pPr>
              <w:spacing w:after="0"/>
              <w:rPr>
                <w:sz w:val="22"/>
                <w:szCs w:val="22"/>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42</w:t>
            </w:r>
          </w:p>
        </w:tc>
        <w:tc>
          <w:tcPr>
            <w:tcW w:w="2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53</w:t>
            </w:r>
          </w:p>
        </w:tc>
        <w:tc>
          <w:tcPr>
            <w:tcW w:w="2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76</w:t>
            </w:r>
          </w:p>
        </w:tc>
        <w:tc>
          <w:tcPr>
            <w:tcW w:w="2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75</w:t>
            </w:r>
          </w:p>
        </w:tc>
        <w:tc>
          <w:tcPr>
            <w:tcW w:w="2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67</w:t>
            </w:r>
          </w:p>
        </w:tc>
        <w:tc>
          <w:tcPr>
            <w:tcW w:w="0" w:type="dxa"/>
            <w:vAlign w:val="bottom"/>
          </w:tcPr>
          <w:p>
            <w:pPr>
              <w:spacing w:after="0"/>
              <w:rPr>
                <w:sz w:val="1"/>
                <w:szCs w:val="1"/>
                <w:color w:val="auto"/>
              </w:rPr>
            </w:pPr>
          </w:p>
        </w:tc>
      </w:tr>
      <w:tr>
        <w:trPr>
          <w:trHeight w:val="264"/>
        </w:trPr>
        <w:tc>
          <w:tcPr>
            <w:tcW w:w="4120" w:type="dxa"/>
            <w:vAlign w:val="bottom"/>
          </w:tcPr>
          <w:p>
            <w:pPr>
              <w:spacing w:after="0"/>
              <w:rPr>
                <w:sz w:val="20"/>
                <w:szCs w:val="20"/>
                <w:color w:val="auto"/>
              </w:rPr>
            </w:pPr>
            <w:r>
              <w:rPr>
                <w:rFonts w:ascii="Arial" w:cs="Arial" w:eastAsia="Arial" w:hAnsi="Arial"/>
                <w:sz w:val="16"/>
                <w:szCs w:val="16"/>
                <w:color w:val="auto"/>
              </w:rPr>
              <w:t>Less: Interest capitalized</w:t>
            </w:r>
          </w:p>
        </w:tc>
        <w:tc>
          <w:tcPr>
            <w:tcW w:w="82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2"/>
                <w:szCs w:val="22"/>
                <w:color w:val="auto"/>
              </w:rPr>
            </w:pPr>
          </w:p>
        </w:tc>
        <w:tc>
          <w:tcPr>
            <w:tcW w:w="86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2"/>
                <w:szCs w:val="22"/>
                <w:color w:val="auto"/>
              </w:rPr>
            </w:pPr>
          </w:p>
        </w:tc>
        <w:tc>
          <w:tcPr>
            <w:tcW w:w="84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220" w:type="dxa"/>
            <w:vAlign w:val="bottom"/>
          </w:tcPr>
          <w:p>
            <w:pPr>
              <w:spacing w:after="0"/>
              <w:rPr>
                <w:sz w:val="22"/>
                <w:szCs w:val="22"/>
                <w:color w:val="auto"/>
              </w:rPr>
            </w:pPr>
          </w:p>
        </w:tc>
        <w:tc>
          <w:tcPr>
            <w:tcW w:w="84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200" w:type="dxa"/>
            <w:vAlign w:val="bottom"/>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6"/>
        </w:trPr>
        <w:tc>
          <w:tcPr>
            <w:tcW w:w="4120" w:type="dxa"/>
            <w:vAlign w:val="bottom"/>
          </w:tcPr>
          <w:p>
            <w:pPr>
              <w:spacing w:after="0"/>
              <w:rPr>
                <w:sz w:val="20"/>
                <w:szCs w:val="20"/>
                <w:color w:val="auto"/>
              </w:rPr>
            </w:pPr>
            <w:r>
              <w:rPr>
                <w:rFonts w:ascii="Arial" w:cs="Arial" w:eastAsia="Arial" w:hAnsi="Arial"/>
                <w:sz w:val="16"/>
                <w:szCs w:val="16"/>
                <w:color w:val="auto"/>
              </w:rPr>
              <w:t>Total earnings for purpose of ratio</w:t>
            </w:r>
          </w:p>
        </w:tc>
        <w:tc>
          <w:tcPr>
            <w:tcW w:w="820" w:type="dxa"/>
            <w:vAlign w:val="bottom"/>
          </w:tcPr>
          <w:p>
            <w:pPr>
              <w:jc w:val="right"/>
              <w:ind w:right="360"/>
              <w:spacing w:after="0"/>
              <w:rPr>
                <w:sz w:val="20"/>
                <w:szCs w:val="20"/>
                <w:color w:val="auto"/>
              </w:rPr>
            </w:pPr>
            <w:r>
              <w:rPr>
                <w:rFonts w:ascii="Arial" w:cs="Arial" w:eastAsia="Arial" w:hAnsi="Arial"/>
                <w:sz w:val="16"/>
                <w:szCs w:val="16"/>
                <w:color w:val="auto"/>
              </w:rPr>
              <w:t>$</w:t>
            </w:r>
          </w:p>
        </w:tc>
        <w:tc>
          <w:tcPr>
            <w:tcW w:w="420" w:type="dxa"/>
            <w:vAlign w:val="bottom"/>
          </w:tcPr>
          <w:p>
            <w:pPr>
              <w:jc w:val="right"/>
              <w:spacing w:after="0"/>
              <w:rPr>
                <w:sz w:val="20"/>
                <w:szCs w:val="20"/>
                <w:color w:val="auto"/>
              </w:rPr>
            </w:pPr>
            <w:r>
              <w:rPr>
                <w:rFonts w:ascii="Arial" w:cs="Arial" w:eastAsia="Arial" w:hAnsi="Arial"/>
                <w:sz w:val="16"/>
                <w:szCs w:val="16"/>
                <w:color w:val="auto"/>
              </w:rPr>
              <w:t>429</w:t>
            </w:r>
          </w:p>
        </w:tc>
        <w:tc>
          <w:tcPr>
            <w:tcW w:w="1060" w:type="dxa"/>
            <w:vAlign w:val="bottom"/>
            <w:gridSpan w:val="2"/>
          </w:tcPr>
          <w:p>
            <w:pPr>
              <w:jc w:val="right"/>
              <w:ind w:right="480"/>
              <w:spacing w:after="0"/>
              <w:rPr>
                <w:sz w:val="20"/>
                <w:szCs w:val="20"/>
                <w:color w:val="auto"/>
              </w:rPr>
            </w:pPr>
            <w:r>
              <w:rPr>
                <w:rFonts w:ascii="Arial" w:cs="Arial" w:eastAsia="Arial" w:hAnsi="Arial"/>
                <w:sz w:val="16"/>
                <w:szCs w:val="16"/>
                <w:color w:val="auto"/>
              </w:rPr>
              <w:t>$</w:t>
            </w:r>
          </w:p>
        </w:tc>
        <w:tc>
          <w:tcPr>
            <w:tcW w:w="380" w:type="dxa"/>
            <w:vAlign w:val="bottom"/>
          </w:tcPr>
          <w:p>
            <w:pPr>
              <w:jc w:val="right"/>
              <w:spacing w:after="0"/>
              <w:rPr>
                <w:sz w:val="20"/>
                <w:szCs w:val="20"/>
                <w:color w:val="auto"/>
              </w:rPr>
            </w:pPr>
            <w:r>
              <w:rPr>
                <w:rFonts w:ascii="Arial" w:cs="Arial" w:eastAsia="Arial" w:hAnsi="Arial"/>
                <w:sz w:val="16"/>
                <w:szCs w:val="16"/>
                <w:color w:val="auto"/>
              </w:rPr>
              <w:t>362</w:t>
            </w:r>
          </w:p>
        </w:tc>
        <w:tc>
          <w:tcPr>
            <w:tcW w:w="1060" w:type="dxa"/>
            <w:vAlign w:val="bottom"/>
            <w:gridSpan w:val="2"/>
          </w:tcPr>
          <w:p>
            <w:pPr>
              <w:jc w:val="right"/>
              <w:ind w:right="460"/>
              <w:spacing w:after="0"/>
              <w:rPr>
                <w:sz w:val="20"/>
                <w:szCs w:val="20"/>
                <w:color w:val="auto"/>
              </w:rPr>
            </w:pPr>
            <w:r>
              <w:rPr>
                <w:rFonts w:ascii="Arial" w:cs="Arial" w:eastAsia="Arial" w:hAnsi="Arial"/>
                <w:sz w:val="16"/>
                <w:szCs w:val="16"/>
                <w:color w:val="auto"/>
              </w:rPr>
              <w:t>$</w:t>
            </w:r>
          </w:p>
        </w:tc>
        <w:tc>
          <w:tcPr>
            <w:tcW w:w="380" w:type="dxa"/>
            <w:vAlign w:val="bottom"/>
          </w:tcPr>
          <w:p>
            <w:pPr>
              <w:jc w:val="right"/>
              <w:spacing w:after="0"/>
              <w:rPr>
                <w:sz w:val="20"/>
                <w:szCs w:val="20"/>
                <w:color w:val="auto"/>
              </w:rPr>
            </w:pPr>
            <w:r>
              <w:rPr>
                <w:rFonts w:ascii="Arial" w:cs="Arial" w:eastAsia="Arial" w:hAnsi="Arial"/>
                <w:sz w:val="16"/>
                <w:szCs w:val="16"/>
                <w:color w:val="auto"/>
              </w:rPr>
              <w:t>472</w:t>
            </w:r>
          </w:p>
        </w:tc>
        <w:tc>
          <w:tcPr>
            <w:tcW w:w="1060" w:type="dxa"/>
            <w:vAlign w:val="bottom"/>
            <w:gridSpan w:val="2"/>
          </w:tcPr>
          <w:p>
            <w:pPr>
              <w:jc w:val="right"/>
              <w:ind w:right="460"/>
              <w:spacing w:after="0"/>
              <w:rPr>
                <w:sz w:val="20"/>
                <w:szCs w:val="20"/>
                <w:color w:val="auto"/>
              </w:rPr>
            </w:pPr>
            <w:r>
              <w:rPr>
                <w:rFonts w:ascii="Arial" w:cs="Arial" w:eastAsia="Arial" w:hAnsi="Arial"/>
                <w:sz w:val="16"/>
                <w:szCs w:val="16"/>
                <w:color w:val="auto"/>
              </w:rPr>
              <w:t>$</w:t>
            </w:r>
          </w:p>
        </w:tc>
        <w:tc>
          <w:tcPr>
            <w:tcW w:w="400" w:type="dxa"/>
            <w:vAlign w:val="bottom"/>
          </w:tcPr>
          <w:p>
            <w:pPr>
              <w:jc w:val="right"/>
              <w:spacing w:after="0"/>
              <w:rPr>
                <w:sz w:val="20"/>
                <w:szCs w:val="20"/>
                <w:color w:val="auto"/>
              </w:rPr>
            </w:pPr>
            <w:r>
              <w:rPr>
                <w:rFonts w:ascii="Arial" w:cs="Arial" w:eastAsia="Arial" w:hAnsi="Arial"/>
                <w:sz w:val="16"/>
                <w:szCs w:val="16"/>
                <w:color w:val="auto"/>
              </w:rPr>
              <w:t>465</w:t>
            </w:r>
          </w:p>
        </w:tc>
        <w:tc>
          <w:tcPr>
            <w:tcW w:w="62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452</w:t>
            </w:r>
          </w:p>
        </w:tc>
        <w:tc>
          <w:tcPr>
            <w:tcW w:w="0" w:type="dxa"/>
            <w:vAlign w:val="bottom"/>
          </w:tcPr>
          <w:p>
            <w:pPr>
              <w:spacing w:after="0"/>
              <w:rPr>
                <w:sz w:val="1"/>
                <w:szCs w:val="1"/>
                <w:color w:val="auto"/>
              </w:rPr>
            </w:pPr>
          </w:p>
        </w:tc>
      </w:tr>
      <w:tr>
        <w:trPr>
          <w:trHeight w:val="20"/>
        </w:trPr>
        <w:tc>
          <w:tcPr>
            <w:tcW w:w="4120" w:type="dxa"/>
            <w:vAlign w:val="bottom"/>
            <w:vMerge w:val="restart"/>
          </w:tcPr>
          <w:p>
            <w:pPr>
              <w:spacing w:after="0"/>
              <w:rPr>
                <w:sz w:val="20"/>
                <w:szCs w:val="20"/>
                <w:color w:val="auto"/>
              </w:rPr>
            </w:pPr>
            <w:r>
              <w:rPr>
                <w:rFonts w:ascii="Arial" w:cs="Arial" w:eastAsia="Arial" w:hAnsi="Arial"/>
                <w:sz w:val="16"/>
                <w:szCs w:val="16"/>
                <w:color w:val="auto"/>
              </w:rPr>
              <w:t>Ratio of earnings to combined fixed charges and</w:t>
            </w:r>
          </w:p>
        </w:tc>
        <w:tc>
          <w:tcPr>
            <w:tcW w:w="8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0"/>
        </w:trPr>
        <w:tc>
          <w:tcPr>
            <w:tcW w:w="4120" w:type="dxa"/>
            <w:vAlign w:val="bottom"/>
            <w:vMerge w:val="continue"/>
          </w:tcPr>
          <w:p>
            <w:pPr>
              <w:spacing w:after="0"/>
              <w:rPr>
                <w:sz w:val="24"/>
                <w:szCs w:val="24"/>
                <w:color w:val="auto"/>
              </w:rPr>
            </w:pPr>
          </w:p>
        </w:tc>
        <w:tc>
          <w:tcPr>
            <w:tcW w:w="820" w:type="dxa"/>
            <w:vAlign w:val="bottom"/>
          </w:tcPr>
          <w:p>
            <w:pPr>
              <w:spacing w:after="0"/>
              <w:rPr>
                <w:sz w:val="24"/>
                <w:szCs w:val="24"/>
                <w:color w:val="auto"/>
              </w:rPr>
            </w:pPr>
          </w:p>
        </w:tc>
        <w:tc>
          <w:tcPr>
            <w:tcW w:w="420" w:type="dxa"/>
            <w:vAlign w:val="bottom"/>
            <w:vMerge w:val="restart"/>
          </w:tcPr>
          <w:p>
            <w:pPr>
              <w:jc w:val="right"/>
              <w:spacing w:after="0"/>
              <w:rPr>
                <w:sz w:val="20"/>
                <w:szCs w:val="20"/>
                <w:color w:val="auto"/>
              </w:rPr>
            </w:pPr>
            <w:r>
              <w:rPr>
                <w:rFonts w:ascii="Arial" w:cs="Arial" w:eastAsia="Arial" w:hAnsi="Arial"/>
                <w:sz w:val="16"/>
                <w:szCs w:val="16"/>
                <w:color w:val="auto"/>
              </w:rPr>
              <w:t>9.75</w:t>
            </w: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80" w:type="dxa"/>
            <w:vAlign w:val="bottom"/>
            <w:vMerge w:val="restart"/>
          </w:tcPr>
          <w:p>
            <w:pPr>
              <w:jc w:val="right"/>
              <w:spacing w:after="0"/>
              <w:rPr>
                <w:sz w:val="20"/>
                <w:szCs w:val="20"/>
                <w:color w:val="auto"/>
              </w:rPr>
            </w:pPr>
            <w:r>
              <w:rPr>
                <w:rFonts w:ascii="Arial" w:cs="Arial" w:eastAsia="Arial" w:hAnsi="Arial"/>
                <w:sz w:val="16"/>
                <w:szCs w:val="16"/>
                <w:color w:val="auto"/>
              </w:rPr>
              <w:t>6.58</w:t>
            </w: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80" w:type="dxa"/>
            <w:vAlign w:val="bottom"/>
            <w:vMerge w:val="restart"/>
          </w:tcPr>
          <w:p>
            <w:pPr>
              <w:jc w:val="right"/>
              <w:spacing w:after="0"/>
              <w:rPr>
                <w:sz w:val="20"/>
                <w:szCs w:val="20"/>
                <w:color w:val="auto"/>
              </w:rPr>
            </w:pPr>
            <w:r>
              <w:rPr>
                <w:rFonts w:ascii="Arial" w:cs="Arial" w:eastAsia="Arial" w:hAnsi="Arial"/>
                <w:sz w:val="16"/>
                <w:szCs w:val="16"/>
                <w:color w:val="auto"/>
              </w:rPr>
              <w:t>6.05</w:t>
            </w: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0" w:type="dxa"/>
            <w:vAlign w:val="bottom"/>
            <w:vMerge w:val="restart"/>
          </w:tcPr>
          <w:p>
            <w:pPr>
              <w:jc w:val="right"/>
              <w:spacing w:after="0"/>
              <w:rPr>
                <w:sz w:val="20"/>
                <w:szCs w:val="20"/>
                <w:color w:val="auto"/>
              </w:rPr>
            </w:pPr>
            <w:r>
              <w:rPr>
                <w:rFonts w:ascii="Arial" w:cs="Arial" w:eastAsia="Arial" w:hAnsi="Arial"/>
                <w:sz w:val="16"/>
                <w:szCs w:val="16"/>
                <w:color w:val="auto"/>
              </w:rPr>
              <w:t>6.04</w:t>
            </w: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6.55</w:t>
            </w:r>
          </w:p>
        </w:tc>
        <w:tc>
          <w:tcPr>
            <w:tcW w:w="0" w:type="dxa"/>
            <w:vAlign w:val="bottom"/>
          </w:tcPr>
          <w:p>
            <w:pPr>
              <w:spacing w:after="0"/>
              <w:rPr>
                <w:sz w:val="1"/>
                <w:szCs w:val="1"/>
                <w:color w:val="auto"/>
              </w:rPr>
            </w:pPr>
          </w:p>
        </w:tc>
      </w:tr>
      <w:tr>
        <w:trPr>
          <w:trHeight w:val="145"/>
        </w:trPr>
        <w:tc>
          <w:tcPr>
            <w:tcW w:w="4120" w:type="dxa"/>
            <w:vAlign w:val="bottom"/>
          </w:tcPr>
          <w:p>
            <w:pPr>
              <w:ind w:left="240"/>
              <w:spacing w:after="0" w:line="125" w:lineRule="exact"/>
              <w:rPr>
                <w:sz w:val="20"/>
                <w:szCs w:val="20"/>
                <w:color w:val="auto"/>
              </w:rPr>
            </w:pPr>
            <w:r>
              <w:rPr>
                <w:rFonts w:ascii="Arial" w:cs="Arial" w:eastAsia="Arial" w:hAnsi="Arial"/>
                <w:sz w:val="14"/>
                <w:szCs w:val="14"/>
                <w:color w:val="auto"/>
              </w:rPr>
              <w:t>preferred stock dividends</w:t>
            </w:r>
          </w:p>
        </w:tc>
        <w:tc>
          <w:tcPr>
            <w:tcW w:w="82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vMerge w:val="continue"/>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vMerge w:val="continue"/>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vMerge w:val="continue"/>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vMerge w:val="continue"/>
          </w:tcPr>
          <w:p>
            <w:pPr>
              <w:spacing w:after="0"/>
              <w:rPr>
                <w:sz w:val="12"/>
                <w:szCs w:val="12"/>
                <w:color w:val="auto"/>
              </w:rPr>
            </w:pPr>
          </w:p>
        </w:tc>
        <w:tc>
          <w:tcPr>
            <w:tcW w:w="200" w:type="dxa"/>
            <w:vAlign w:val="bottom"/>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2"/>
        </w:trPr>
        <w:tc>
          <w:tcPr>
            <w:tcW w:w="4120" w:type="dxa"/>
            <w:vAlign w:val="bottom"/>
          </w:tcPr>
          <w:p>
            <w:pPr>
              <w:spacing w:after="0"/>
              <w:rPr>
                <w:sz w:val="20"/>
                <w:szCs w:val="20"/>
                <w:color w:val="auto"/>
              </w:rPr>
            </w:pPr>
            <w:r>
              <w:rPr>
                <w:rFonts w:ascii="Arial" w:cs="Arial" w:eastAsia="Arial" w:hAnsi="Arial"/>
                <w:sz w:val="16"/>
                <w:szCs w:val="16"/>
                <w:color w:val="auto"/>
              </w:rPr>
              <w:t>Ratio of earnings to fixed charges</w:t>
            </w:r>
          </w:p>
        </w:tc>
        <w:tc>
          <w:tcPr>
            <w:tcW w:w="82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9"/>
              </w:rPr>
              <w:t>10.21</w:t>
            </w:r>
          </w:p>
        </w:tc>
        <w:tc>
          <w:tcPr>
            <w:tcW w:w="200" w:type="dxa"/>
            <w:vAlign w:val="bottom"/>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6.83</w:t>
            </w:r>
          </w:p>
        </w:tc>
        <w:tc>
          <w:tcPr>
            <w:tcW w:w="220" w:type="dxa"/>
            <w:vAlign w:val="bottom"/>
          </w:tcPr>
          <w:p>
            <w:pPr>
              <w:spacing w:after="0"/>
              <w:rPr>
                <w:sz w:val="21"/>
                <w:szCs w:val="21"/>
                <w:color w:val="auto"/>
              </w:rPr>
            </w:pPr>
          </w:p>
        </w:tc>
        <w:tc>
          <w:tcPr>
            <w:tcW w:w="840" w:type="dxa"/>
            <w:vAlign w:val="bottom"/>
            <w:tcBorders>
              <w:bottom w:val="single" w:sz="8" w:color="auto"/>
            </w:tcBorders>
          </w:tcPr>
          <w:p>
            <w:pPr>
              <w:spacing w:after="0"/>
              <w:rPr>
                <w:sz w:val="21"/>
                <w:szCs w:val="21"/>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6.21</w:t>
            </w:r>
          </w:p>
        </w:tc>
        <w:tc>
          <w:tcPr>
            <w:tcW w:w="220" w:type="dxa"/>
            <w:vAlign w:val="bottom"/>
          </w:tcPr>
          <w:p>
            <w:pPr>
              <w:spacing w:after="0"/>
              <w:rPr>
                <w:sz w:val="21"/>
                <w:szCs w:val="21"/>
                <w:color w:val="auto"/>
              </w:rPr>
            </w:pPr>
          </w:p>
        </w:tc>
        <w:tc>
          <w:tcPr>
            <w:tcW w:w="84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6.20</w:t>
            </w:r>
          </w:p>
        </w:tc>
        <w:tc>
          <w:tcPr>
            <w:tcW w:w="200" w:type="dxa"/>
            <w:vAlign w:val="bottom"/>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6.75</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1" w:lineRule="exact"/>
        <w:rPr>
          <w:sz w:val="20"/>
          <w:szCs w:val="20"/>
          <w:color w:val="auto"/>
        </w:rPr>
      </w:pPr>
    </w:p>
    <w:p>
      <w:pPr>
        <w:ind w:right="600" w:firstLine="8"/>
        <w:spacing w:after="0" w:line="246" w:lineRule="auto"/>
        <w:tabs>
          <w:tab w:leader="none" w:pos="285" w:val="left"/>
        </w:tabs>
        <w:numPr>
          <w:ilvl w:val="0"/>
          <w:numId w:val="202"/>
        </w:numPr>
        <w:rPr>
          <w:rFonts w:ascii="Arial" w:cs="Arial" w:eastAsia="Arial" w:hAnsi="Arial"/>
          <w:sz w:val="16"/>
          <w:szCs w:val="16"/>
          <w:color w:val="auto"/>
        </w:rPr>
      </w:pPr>
      <w:r>
        <w:rPr>
          <w:rFonts w:ascii="Arial" w:cs="Arial" w:eastAsia="Arial" w:hAnsi="Arial"/>
          <w:sz w:val="16"/>
          <w:szCs w:val="16"/>
          <w:color w:val="auto"/>
        </w:rPr>
        <w:t>In computing this ratio, “Preferred stock dividends” represents the before-tax earnings necessary to pay such dividends, computed at the effective tax rates for the applicable periods.</w:t>
      </w:r>
    </w:p>
    <w:p>
      <w:pPr>
        <w:sectPr>
          <w:pgSz w:w="11900" w:h="16838" w:orient="portrait"/>
          <w:cols w:equalWidth="0" w:num="1">
            <w:col w:w="11440"/>
          </w:cols>
          <w:pgMar w:left="240" w:top="307" w:right="219" w:bottom="1440" w:gutter="0" w:footer="0" w:header="0"/>
        </w:sectPr>
      </w:pPr>
    </w:p>
    <w:bookmarkStart w:id="140" w:name="page141"/>
    <w:bookmarkEnd w:id="140"/>
    <w:p>
      <w:pPr>
        <w:jc w:val="right"/>
        <w:spacing w:after="0"/>
        <w:rPr>
          <w:sz w:val="20"/>
          <w:szCs w:val="20"/>
          <w:color w:val="auto"/>
        </w:rPr>
      </w:pPr>
      <w:r>
        <w:rPr>
          <w:rFonts w:ascii="Arial" w:cs="Arial" w:eastAsia="Arial" w:hAnsi="Arial"/>
          <w:sz w:val="16"/>
          <w:szCs w:val="16"/>
          <w:b w:val="1"/>
          <w:bCs w:val="1"/>
          <w:color w:val="auto"/>
        </w:rPr>
        <w:t>Exhibit 13.1</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2260"/>
        <w:spacing w:after="0"/>
        <w:rPr>
          <w:sz w:val="20"/>
          <w:szCs w:val="20"/>
          <w:color w:val="auto"/>
        </w:rPr>
      </w:pPr>
      <w:r>
        <w:rPr>
          <w:rFonts w:ascii="Arial" w:cs="Arial" w:eastAsia="Arial" w:hAnsi="Arial"/>
          <w:sz w:val="22"/>
          <w:szCs w:val="22"/>
          <w:color w:val="auto"/>
        </w:rPr>
        <w:t>SEMPRA ENERGY FINANCIAL REPORT</w:t>
      </w:r>
    </w:p>
    <w:p>
      <w:pPr>
        <w:ind w:left="2260"/>
        <w:spacing w:after="0"/>
        <w:rPr>
          <w:sz w:val="20"/>
          <w:szCs w:val="20"/>
          <w:color w:val="auto"/>
        </w:rPr>
      </w:pPr>
      <w:r>
        <w:rPr>
          <w:rFonts w:ascii="Arial" w:cs="Arial" w:eastAsia="Arial" w:hAnsi="Arial"/>
          <w:sz w:val="22"/>
          <w:szCs w:val="22"/>
          <w:color w:val="auto"/>
        </w:rPr>
        <w:t>TABLE OF CONTENTS</w:t>
      </w:r>
    </w:p>
    <w:p>
      <w:pPr>
        <w:spacing w:after="0" w:line="16" w:lineRule="exact"/>
        <w:rPr>
          <w:sz w:val="20"/>
          <w:szCs w:val="20"/>
          <w:color w:val="auto"/>
        </w:rPr>
      </w:pPr>
    </w:p>
    <w:tbl>
      <w:tblPr>
        <w:tblLayout w:type="fixed"/>
        <w:tblInd w:w="2240" w:type="dxa"/>
        <w:tblCellMar>
          <w:top w:w="0" w:type="dxa"/>
          <w:left w:w="0" w:type="dxa"/>
          <w:bottom w:w="0" w:type="dxa"/>
          <w:right w:w="0" w:type="dxa"/>
        </w:tblCellMar>
      </w:tblPr>
      <w:tr>
        <w:trPr>
          <w:trHeight w:val="210"/>
        </w:trPr>
        <w:tc>
          <w:tcPr>
            <w:tcW w:w="58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ind w:left="360"/>
              <w:spacing w:after="0"/>
              <w:rPr>
                <w:sz w:val="20"/>
                <w:szCs w:val="20"/>
                <w:color w:val="auto"/>
              </w:rPr>
            </w:pPr>
            <w:r>
              <w:rPr>
                <w:rFonts w:ascii="Arial" w:cs="Arial" w:eastAsia="Arial" w:hAnsi="Arial"/>
                <w:sz w:val="16"/>
                <w:szCs w:val="16"/>
                <w:i w:val="1"/>
                <w:iCs w:val="1"/>
                <w:color w:val="auto"/>
              </w:rPr>
              <w:t>Page</w:t>
            </w:r>
          </w:p>
        </w:tc>
      </w:tr>
      <w:tr>
        <w:trPr>
          <w:trHeight w:val="157"/>
        </w:trPr>
        <w:tc>
          <w:tcPr>
            <w:tcW w:w="5820" w:type="dxa"/>
            <w:vAlign w:val="bottom"/>
          </w:tcPr>
          <w:p>
            <w:pPr>
              <w:ind w:left="20"/>
              <w:spacing w:after="0" w:line="157" w:lineRule="exact"/>
              <w:rPr>
                <w:sz w:val="20"/>
                <w:szCs w:val="20"/>
                <w:color w:val="auto"/>
              </w:rPr>
            </w:pPr>
            <w:r>
              <w:rPr>
                <w:rFonts w:ascii="Arial" w:cs="Arial" w:eastAsia="Arial" w:hAnsi="Arial"/>
                <w:sz w:val="14"/>
                <w:szCs w:val="14"/>
                <w:b w:val="1"/>
                <w:bCs w:val="1"/>
                <w:color w:val="auto"/>
              </w:rPr>
              <w:t>Management's Discussion and Analysis of Financial Condition and Results</w:t>
            </w:r>
          </w:p>
        </w:tc>
        <w:tc>
          <w:tcPr>
            <w:tcW w:w="1120" w:type="dxa"/>
            <w:vAlign w:val="bottom"/>
          </w:tcPr>
          <w:p>
            <w:pPr>
              <w:spacing w:after="0"/>
              <w:rPr>
                <w:sz w:val="13"/>
                <w:szCs w:val="13"/>
                <w:color w:val="auto"/>
              </w:rPr>
            </w:pPr>
          </w:p>
        </w:tc>
      </w:tr>
      <w:tr>
        <w:trPr>
          <w:trHeight w:val="190"/>
        </w:trPr>
        <w:tc>
          <w:tcPr>
            <w:tcW w:w="5820" w:type="dxa"/>
            <w:vAlign w:val="bottom"/>
          </w:tcPr>
          <w:p>
            <w:pPr>
              <w:ind w:left="20"/>
              <w:spacing w:after="0"/>
              <w:rPr>
                <w:sz w:val="20"/>
                <w:szCs w:val="20"/>
                <w:color w:val="auto"/>
              </w:rPr>
            </w:pPr>
            <w:r>
              <w:rPr>
                <w:rFonts w:ascii="Arial" w:cs="Arial" w:eastAsia="Arial" w:hAnsi="Arial"/>
                <w:sz w:val="14"/>
                <w:szCs w:val="14"/>
                <w:b w:val="1"/>
                <w:bCs w:val="1"/>
                <w:color w:val="auto"/>
              </w:rPr>
              <w:t>of Operations</w:t>
            </w:r>
          </w:p>
        </w:tc>
        <w:tc>
          <w:tcPr>
            <w:tcW w:w="1120" w:type="dxa"/>
            <w:vAlign w:val="bottom"/>
          </w:tcPr>
          <w:p>
            <w:pPr>
              <w:spacing w:after="0"/>
              <w:rPr>
                <w:sz w:val="16"/>
                <w:szCs w:val="16"/>
                <w:color w:val="auto"/>
              </w:rPr>
            </w:pPr>
          </w:p>
        </w:tc>
      </w:tr>
      <w:tr>
        <w:trPr>
          <w:trHeight w:val="192"/>
        </w:trPr>
        <w:tc>
          <w:tcPr>
            <w:tcW w:w="5820" w:type="dxa"/>
            <w:vAlign w:val="bottom"/>
          </w:tcPr>
          <w:p>
            <w:pPr>
              <w:ind w:left="20"/>
              <w:spacing w:after="0"/>
              <w:rPr>
                <w:sz w:val="20"/>
                <w:szCs w:val="20"/>
                <w:color w:val="auto"/>
              </w:rPr>
            </w:pPr>
            <w:r>
              <w:rPr>
                <w:rFonts w:ascii="Arial" w:cs="Arial" w:eastAsia="Arial" w:hAnsi="Arial"/>
                <w:sz w:val="14"/>
                <w:szCs w:val="14"/>
                <w:color w:val="auto"/>
              </w:rPr>
              <w:t>Our Business</w:t>
            </w:r>
          </w:p>
        </w:tc>
        <w:tc>
          <w:tcPr>
            <w:tcW w:w="1120" w:type="dxa"/>
            <w:vAlign w:val="bottom"/>
          </w:tcPr>
          <w:p>
            <w:pPr>
              <w:jc w:val="center"/>
              <w:spacing w:after="0"/>
              <w:rPr>
                <w:sz w:val="20"/>
                <w:szCs w:val="20"/>
                <w:color w:val="auto"/>
              </w:rPr>
            </w:pPr>
            <w:r>
              <w:rPr>
                <w:rFonts w:ascii="Arial" w:cs="Arial" w:eastAsia="Arial" w:hAnsi="Arial"/>
                <w:sz w:val="14"/>
                <w:szCs w:val="14"/>
                <w:color w:val="auto"/>
              </w:rPr>
              <w:t>2</w:t>
            </w:r>
          </w:p>
        </w:tc>
      </w:tr>
      <w:tr>
        <w:trPr>
          <w:trHeight w:val="192"/>
        </w:trPr>
        <w:tc>
          <w:tcPr>
            <w:tcW w:w="5820" w:type="dxa"/>
            <w:vAlign w:val="bottom"/>
          </w:tcPr>
          <w:p>
            <w:pPr>
              <w:ind w:left="20"/>
              <w:spacing w:after="0"/>
              <w:rPr>
                <w:sz w:val="20"/>
                <w:szCs w:val="20"/>
                <w:color w:val="auto"/>
              </w:rPr>
            </w:pPr>
            <w:r>
              <w:rPr>
                <w:rFonts w:ascii="Arial" w:cs="Arial" w:eastAsia="Arial" w:hAnsi="Arial"/>
                <w:sz w:val="14"/>
                <w:szCs w:val="14"/>
                <w:color w:val="auto"/>
              </w:rPr>
              <w:t>Executive Summary</w:t>
            </w:r>
          </w:p>
        </w:tc>
        <w:tc>
          <w:tcPr>
            <w:tcW w:w="1120" w:type="dxa"/>
            <w:vAlign w:val="bottom"/>
          </w:tcPr>
          <w:p>
            <w:pPr>
              <w:jc w:val="center"/>
              <w:spacing w:after="0"/>
              <w:rPr>
                <w:sz w:val="20"/>
                <w:szCs w:val="20"/>
                <w:color w:val="auto"/>
              </w:rPr>
            </w:pPr>
            <w:r>
              <w:rPr>
                <w:rFonts w:ascii="Arial" w:cs="Arial" w:eastAsia="Arial" w:hAnsi="Arial"/>
                <w:sz w:val="14"/>
                <w:szCs w:val="14"/>
                <w:color w:val="auto"/>
              </w:rPr>
              <w:t>7</w:t>
            </w:r>
          </w:p>
        </w:tc>
      </w:tr>
      <w:tr>
        <w:trPr>
          <w:trHeight w:val="192"/>
        </w:trPr>
        <w:tc>
          <w:tcPr>
            <w:tcW w:w="5820" w:type="dxa"/>
            <w:vAlign w:val="bottom"/>
          </w:tcPr>
          <w:p>
            <w:pPr>
              <w:ind w:left="180"/>
              <w:spacing w:after="0"/>
              <w:rPr>
                <w:sz w:val="20"/>
                <w:szCs w:val="20"/>
                <w:color w:val="auto"/>
              </w:rPr>
            </w:pPr>
            <w:r>
              <w:rPr>
                <w:rFonts w:ascii="Arial" w:cs="Arial" w:eastAsia="Arial" w:hAnsi="Arial"/>
                <w:sz w:val="14"/>
                <w:szCs w:val="14"/>
                <w:color w:val="auto"/>
              </w:rPr>
              <w:t>Business Strategy</w:t>
            </w:r>
          </w:p>
        </w:tc>
        <w:tc>
          <w:tcPr>
            <w:tcW w:w="1120" w:type="dxa"/>
            <w:vAlign w:val="bottom"/>
          </w:tcPr>
          <w:p>
            <w:pPr>
              <w:jc w:val="center"/>
              <w:spacing w:after="0"/>
              <w:rPr>
                <w:sz w:val="20"/>
                <w:szCs w:val="20"/>
                <w:color w:val="auto"/>
              </w:rPr>
            </w:pPr>
            <w:r>
              <w:rPr>
                <w:rFonts w:ascii="Arial" w:cs="Arial" w:eastAsia="Arial" w:hAnsi="Arial"/>
                <w:sz w:val="14"/>
                <w:szCs w:val="14"/>
                <w:color w:val="auto"/>
              </w:rPr>
              <w:t>7</w:t>
            </w:r>
          </w:p>
        </w:tc>
      </w:tr>
      <w:tr>
        <w:trPr>
          <w:trHeight w:val="192"/>
        </w:trPr>
        <w:tc>
          <w:tcPr>
            <w:tcW w:w="5820" w:type="dxa"/>
            <w:vAlign w:val="bottom"/>
          </w:tcPr>
          <w:p>
            <w:pPr>
              <w:ind w:left="180"/>
              <w:spacing w:after="0"/>
              <w:rPr>
                <w:sz w:val="20"/>
                <w:szCs w:val="20"/>
                <w:color w:val="auto"/>
              </w:rPr>
            </w:pPr>
            <w:r>
              <w:rPr>
                <w:rFonts w:ascii="Arial" w:cs="Arial" w:eastAsia="Arial" w:hAnsi="Arial"/>
                <w:sz w:val="14"/>
                <w:szCs w:val="14"/>
                <w:color w:val="auto"/>
              </w:rPr>
              <w:t>Key Issues in 2008</w:t>
            </w:r>
          </w:p>
        </w:tc>
        <w:tc>
          <w:tcPr>
            <w:tcW w:w="1120" w:type="dxa"/>
            <w:vAlign w:val="bottom"/>
          </w:tcPr>
          <w:p>
            <w:pPr>
              <w:jc w:val="center"/>
              <w:spacing w:after="0"/>
              <w:rPr>
                <w:sz w:val="20"/>
                <w:szCs w:val="20"/>
                <w:color w:val="auto"/>
              </w:rPr>
            </w:pPr>
            <w:r>
              <w:rPr>
                <w:rFonts w:ascii="Arial" w:cs="Arial" w:eastAsia="Arial" w:hAnsi="Arial"/>
                <w:sz w:val="14"/>
                <w:szCs w:val="14"/>
                <w:color w:val="auto"/>
              </w:rPr>
              <w:t>7</w:t>
            </w:r>
          </w:p>
        </w:tc>
      </w:tr>
      <w:tr>
        <w:trPr>
          <w:trHeight w:val="192"/>
        </w:trPr>
        <w:tc>
          <w:tcPr>
            <w:tcW w:w="5820" w:type="dxa"/>
            <w:vAlign w:val="bottom"/>
          </w:tcPr>
          <w:p>
            <w:pPr>
              <w:ind w:left="20"/>
              <w:spacing w:after="0"/>
              <w:rPr>
                <w:sz w:val="20"/>
                <w:szCs w:val="20"/>
                <w:color w:val="auto"/>
              </w:rPr>
            </w:pPr>
            <w:r>
              <w:rPr>
                <w:rFonts w:ascii="Arial" w:cs="Arial" w:eastAsia="Arial" w:hAnsi="Arial"/>
                <w:sz w:val="14"/>
                <w:szCs w:val="14"/>
                <w:color w:val="auto"/>
              </w:rPr>
              <w:t>Results of Operations</w:t>
            </w:r>
          </w:p>
        </w:tc>
        <w:tc>
          <w:tcPr>
            <w:tcW w:w="1120" w:type="dxa"/>
            <w:vAlign w:val="bottom"/>
          </w:tcPr>
          <w:p>
            <w:pPr>
              <w:jc w:val="center"/>
              <w:spacing w:after="0"/>
              <w:rPr>
                <w:sz w:val="20"/>
                <w:szCs w:val="20"/>
                <w:color w:val="auto"/>
              </w:rPr>
            </w:pPr>
            <w:r>
              <w:rPr>
                <w:rFonts w:ascii="Arial" w:cs="Arial" w:eastAsia="Arial" w:hAnsi="Arial"/>
                <w:sz w:val="14"/>
                <w:szCs w:val="14"/>
                <w:color w:val="auto"/>
              </w:rPr>
              <w:t>8</w:t>
            </w:r>
          </w:p>
        </w:tc>
      </w:tr>
      <w:tr>
        <w:trPr>
          <w:trHeight w:val="192"/>
        </w:trPr>
        <w:tc>
          <w:tcPr>
            <w:tcW w:w="5820" w:type="dxa"/>
            <w:vAlign w:val="bottom"/>
          </w:tcPr>
          <w:p>
            <w:pPr>
              <w:ind w:left="180"/>
              <w:spacing w:after="0"/>
              <w:rPr>
                <w:sz w:val="20"/>
                <w:szCs w:val="20"/>
                <w:color w:val="auto"/>
              </w:rPr>
            </w:pPr>
            <w:r>
              <w:rPr>
                <w:rFonts w:ascii="Arial" w:cs="Arial" w:eastAsia="Arial" w:hAnsi="Arial"/>
                <w:sz w:val="14"/>
                <w:szCs w:val="14"/>
                <w:color w:val="auto"/>
              </w:rPr>
              <w:t>Overall Results of Operations of Sempra Energy and Factors Affecting the Results</w:t>
            </w:r>
          </w:p>
        </w:tc>
        <w:tc>
          <w:tcPr>
            <w:tcW w:w="1120" w:type="dxa"/>
            <w:vAlign w:val="bottom"/>
          </w:tcPr>
          <w:p>
            <w:pPr>
              <w:jc w:val="center"/>
              <w:spacing w:after="0"/>
              <w:rPr>
                <w:sz w:val="20"/>
                <w:szCs w:val="20"/>
                <w:color w:val="auto"/>
              </w:rPr>
            </w:pPr>
            <w:r>
              <w:rPr>
                <w:rFonts w:ascii="Arial" w:cs="Arial" w:eastAsia="Arial" w:hAnsi="Arial"/>
                <w:sz w:val="14"/>
                <w:szCs w:val="14"/>
                <w:color w:val="auto"/>
              </w:rPr>
              <w:t>8</w:t>
            </w:r>
          </w:p>
        </w:tc>
      </w:tr>
      <w:tr>
        <w:trPr>
          <w:trHeight w:val="192"/>
        </w:trPr>
        <w:tc>
          <w:tcPr>
            <w:tcW w:w="5820" w:type="dxa"/>
            <w:vAlign w:val="bottom"/>
          </w:tcPr>
          <w:p>
            <w:pPr>
              <w:ind w:left="180"/>
              <w:spacing w:after="0"/>
              <w:rPr>
                <w:sz w:val="20"/>
                <w:szCs w:val="20"/>
                <w:color w:val="auto"/>
              </w:rPr>
            </w:pPr>
            <w:r>
              <w:rPr>
                <w:rFonts w:ascii="Arial" w:cs="Arial" w:eastAsia="Arial" w:hAnsi="Arial"/>
                <w:sz w:val="14"/>
                <w:szCs w:val="14"/>
                <w:color w:val="auto"/>
              </w:rPr>
              <w:t>Business Unit Results</w:t>
            </w:r>
          </w:p>
        </w:tc>
        <w:tc>
          <w:tcPr>
            <w:tcW w:w="1120" w:type="dxa"/>
            <w:vAlign w:val="bottom"/>
          </w:tcPr>
          <w:p>
            <w:pPr>
              <w:jc w:val="center"/>
              <w:spacing w:after="0"/>
              <w:rPr>
                <w:sz w:val="20"/>
                <w:szCs w:val="20"/>
                <w:color w:val="auto"/>
              </w:rPr>
            </w:pPr>
            <w:r>
              <w:rPr>
                <w:rFonts w:ascii="Arial" w:cs="Arial" w:eastAsia="Arial" w:hAnsi="Arial"/>
                <w:sz w:val="14"/>
                <w:szCs w:val="14"/>
                <w:color w:val="auto"/>
              </w:rPr>
              <w:t>10</w:t>
            </w:r>
          </w:p>
        </w:tc>
      </w:tr>
      <w:tr>
        <w:trPr>
          <w:trHeight w:val="192"/>
        </w:trPr>
        <w:tc>
          <w:tcPr>
            <w:tcW w:w="5820" w:type="dxa"/>
            <w:vAlign w:val="bottom"/>
          </w:tcPr>
          <w:p>
            <w:pPr>
              <w:ind w:left="180"/>
              <w:spacing w:after="0"/>
              <w:rPr>
                <w:sz w:val="20"/>
                <w:szCs w:val="20"/>
                <w:color w:val="auto"/>
              </w:rPr>
            </w:pPr>
            <w:r>
              <w:rPr>
                <w:rFonts w:ascii="Arial" w:cs="Arial" w:eastAsia="Arial" w:hAnsi="Arial"/>
                <w:sz w:val="14"/>
                <w:szCs w:val="14"/>
                <w:color w:val="auto"/>
              </w:rPr>
              <w:t>Changes in Revenues, Costs and Earnings</w:t>
            </w:r>
          </w:p>
        </w:tc>
        <w:tc>
          <w:tcPr>
            <w:tcW w:w="1120" w:type="dxa"/>
            <w:vAlign w:val="bottom"/>
          </w:tcPr>
          <w:p>
            <w:pPr>
              <w:jc w:val="center"/>
              <w:spacing w:after="0"/>
              <w:rPr>
                <w:sz w:val="20"/>
                <w:szCs w:val="20"/>
                <w:color w:val="auto"/>
              </w:rPr>
            </w:pPr>
            <w:r>
              <w:rPr>
                <w:rFonts w:ascii="Arial" w:cs="Arial" w:eastAsia="Arial" w:hAnsi="Arial"/>
                <w:sz w:val="14"/>
                <w:szCs w:val="14"/>
                <w:color w:val="auto"/>
              </w:rPr>
              <w:t>15</w:t>
            </w:r>
          </w:p>
        </w:tc>
      </w:tr>
      <w:tr>
        <w:trPr>
          <w:trHeight w:val="192"/>
        </w:trPr>
        <w:tc>
          <w:tcPr>
            <w:tcW w:w="5820" w:type="dxa"/>
            <w:vAlign w:val="bottom"/>
          </w:tcPr>
          <w:p>
            <w:pPr>
              <w:ind w:left="180"/>
              <w:spacing w:after="0"/>
              <w:rPr>
                <w:sz w:val="20"/>
                <w:szCs w:val="20"/>
                <w:color w:val="auto"/>
              </w:rPr>
            </w:pPr>
            <w:r>
              <w:rPr>
                <w:rFonts w:ascii="Arial" w:cs="Arial" w:eastAsia="Arial" w:hAnsi="Arial"/>
                <w:sz w:val="14"/>
                <w:szCs w:val="14"/>
                <w:color w:val="auto"/>
              </w:rPr>
              <w:t>Transactions with Affiliates</w:t>
            </w:r>
          </w:p>
        </w:tc>
        <w:tc>
          <w:tcPr>
            <w:tcW w:w="1120" w:type="dxa"/>
            <w:vAlign w:val="bottom"/>
          </w:tcPr>
          <w:p>
            <w:pPr>
              <w:jc w:val="center"/>
              <w:spacing w:after="0"/>
              <w:rPr>
                <w:sz w:val="20"/>
                <w:szCs w:val="20"/>
                <w:color w:val="auto"/>
              </w:rPr>
            </w:pPr>
            <w:r>
              <w:rPr>
                <w:rFonts w:ascii="Arial" w:cs="Arial" w:eastAsia="Arial" w:hAnsi="Arial"/>
                <w:sz w:val="14"/>
                <w:szCs w:val="14"/>
                <w:color w:val="auto"/>
              </w:rPr>
              <w:t>26</w:t>
            </w:r>
          </w:p>
        </w:tc>
      </w:tr>
      <w:tr>
        <w:trPr>
          <w:trHeight w:val="192"/>
        </w:trPr>
        <w:tc>
          <w:tcPr>
            <w:tcW w:w="5820" w:type="dxa"/>
            <w:vAlign w:val="bottom"/>
          </w:tcPr>
          <w:p>
            <w:pPr>
              <w:ind w:left="180"/>
              <w:spacing w:after="0"/>
              <w:rPr>
                <w:sz w:val="20"/>
                <w:szCs w:val="20"/>
                <w:color w:val="auto"/>
              </w:rPr>
            </w:pPr>
            <w:r>
              <w:rPr>
                <w:rFonts w:ascii="Arial" w:cs="Arial" w:eastAsia="Arial" w:hAnsi="Arial"/>
                <w:sz w:val="14"/>
                <w:szCs w:val="14"/>
                <w:color w:val="auto"/>
              </w:rPr>
              <w:t>Book Value Per Share</w:t>
            </w:r>
          </w:p>
        </w:tc>
        <w:tc>
          <w:tcPr>
            <w:tcW w:w="1120" w:type="dxa"/>
            <w:vAlign w:val="bottom"/>
          </w:tcPr>
          <w:p>
            <w:pPr>
              <w:jc w:val="center"/>
              <w:spacing w:after="0"/>
              <w:rPr>
                <w:sz w:val="20"/>
                <w:szCs w:val="20"/>
                <w:color w:val="auto"/>
              </w:rPr>
            </w:pPr>
            <w:r>
              <w:rPr>
                <w:rFonts w:ascii="Arial" w:cs="Arial" w:eastAsia="Arial" w:hAnsi="Arial"/>
                <w:sz w:val="14"/>
                <w:szCs w:val="14"/>
                <w:color w:val="auto"/>
              </w:rPr>
              <w:t>26</w:t>
            </w:r>
          </w:p>
        </w:tc>
      </w:tr>
      <w:tr>
        <w:trPr>
          <w:trHeight w:val="192"/>
        </w:trPr>
        <w:tc>
          <w:tcPr>
            <w:tcW w:w="5820" w:type="dxa"/>
            <w:vAlign w:val="bottom"/>
          </w:tcPr>
          <w:p>
            <w:pPr>
              <w:ind w:left="20"/>
              <w:spacing w:after="0"/>
              <w:rPr>
                <w:sz w:val="20"/>
                <w:szCs w:val="20"/>
                <w:color w:val="auto"/>
              </w:rPr>
            </w:pPr>
            <w:r>
              <w:rPr>
                <w:rFonts w:ascii="Arial" w:cs="Arial" w:eastAsia="Arial" w:hAnsi="Arial"/>
                <w:sz w:val="14"/>
                <w:szCs w:val="14"/>
                <w:color w:val="auto"/>
              </w:rPr>
              <w:t>Capital Resources and Liquidity</w:t>
            </w:r>
          </w:p>
        </w:tc>
        <w:tc>
          <w:tcPr>
            <w:tcW w:w="1120" w:type="dxa"/>
            <w:vAlign w:val="bottom"/>
          </w:tcPr>
          <w:p>
            <w:pPr>
              <w:jc w:val="center"/>
              <w:spacing w:after="0"/>
              <w:rPr>
                <w:sz w:val="20"/>
                <w:szCs w:val="20"/>
                <w:color w:val="auto"/>
              </w:rPr>
            </w:pPr>
            <w:r>
              <w:rPr>
                <w:rFonts w:ascii="Arial" w:cs="Arial" w:eastAsia="Arial" w:hAnsi="Arial"/>
                <w:sz w:val="14"/>
                <w:szCs w:val="14"/>
                <w:color w:val="auto"/>
              </w:rPr>
              <w:t>27</w:t>
            </w:r>
          </w:p>
        </w:tc>
      </w:tr>
      <w:tr>
        <w:trPr>
          <w:trHeight w:val="192"/>
        </w:trPr>
        <w:tc>
          <w:tcPr>
            <w:tcW w:w="5820" w:type="dxa"/>
            <w:vAlign w:val="bottom"/>
          </w:tcPr>
          <w:p>
            <w:pPr>
              <w:ind w:left="180"/>
              <w:spacing w:after="0"/>
              <w:rPr>
                <w:sz w:val="20"/>
                <w:szCs w:val="20"/>
                <w:color w:val="auto"/>
              </w:rPr>
            </w:pPr>
            <w:r>
              <w:rPr>
                <w:rFonts w:ascii="Arial" w:cs="Arial" w:eastAsia="Arial" w:hAnsi="Arial"/>
                <w:sz w:val="14"/>
                <w:szCs w:val="14"/>
                <w:color w:val="auto"/>
              </w:rPr>
              <w:t>Cash Flows from Operating Activities</w:t>
            </w:r>
          </w:p>
        </w:tc>
        <w:tc>
          <w:tcPr>
            <w:tcW w:w="1120" w:type="dxa"/>
            <w:vAlign w:val="bottom"/>
          </w:tcPr>
          <w:p>
            <w:pPr>
              <w:jc w:val="center"/>
              <w:spacing w:after="0"/>
              <w:rPr>
                <w:sz w:val="20"/>
                <w:szCs w:val="20"/>
                <w:color w:val="auto"/>
              </w:rPr>
            </w:pPr>
            <w:r>
              <w:rPr>
                <w:rFonts w:ascii="Arial" w:cs="Arial" w:eastAsia="Arial" w:hAnsi="Arial"/>
                <w:sz w:val="14"/>
                <w:szCs w:val="14"/>
                <w:color w:val="auto"/>
              </w:rPr>
              <w:t>29</w:t>
            </w:r>
          </w:p>
        </w:tc>
      </w:tr>
      <w:tr>
        <w:trPr>
          <w:trHeight w:val="192"/>
        </w:trPr>
        <w:tc>
          <w:tcPr>
            <w:tcW w:w="5820" w:type="dxa"/>
            <w:vAlign w:val="bottom"/>
          </w:tcPr>
          <w:p>
            <w:pPr>
              <w:ind w:left="180"/>
              <w:spacing w:after="0"/>
              <w:rPr>
                <w:sz w:val="20"/>
                <w:szCs w:val="20"/>
                <w:color w:val="auto"/>
              </w:rPr>
            </w:pPr>
            <w:r>
              <w:rPr>
                <w:rFonts w:ascii="Arial" w:cs="Arial" w:eastAsia="Arial" w:hAnsi="Arial"/>
                <w:sz w:val="14"/>
                <w:szCs w:val="14"/>
                <w:color w:val="auto"/>
              </w:rPr>
              <w:t>Cash Flows from Investing Activities</w:t>
            </w:r>
          </w:p>
        </w:tc>
        <w:tc>
          <w:tcPr>
            <w:tcW w:w="1120" w:type="dxa"/>
            <w:vAlign w:val="bottom"/>
          </w:tcPr>
          <w:p>
            <w:pPr>
              <w:jc w:val="center"/>
              <w:spacing w:after="0"/>
              <w:rPr>
                <w:sz w:val="20"/>
                <w:szCs w:val="20"/>
                <w:color w:val="auto"/>
              </w:rPr>
            </w:pPr>
            <w:r>
              <w:rPr>
                <w:rFonts w:ascii="Arial" w:cs="Arial" w:eastAsia="Arial" w:hAnsi="Arial"/>
                <w:sz w:val="14"/>
                <w:szCs w:val="14"/>
                <w:color w:val="auto"/>
              </w:rPr>
              <w:t>30</w:t>
            </w:r>
          </w:p>
        </w:tc>
      </w:tr>
      <w:tr>
        <w:trPr>
          <w:trHeight w:val="192"/>
        </w:trPr>
        <w:tc>
          <w:tcPr>
            <w:tcW w:w="5820" w:type="dxa"/>
            <w:vAlign w:val="bottom"/>
          </w:tcPr>
          <w:p>
            <w:pPr>
              <w:ind w:left="180"/>
              <w:spacing w:after="0"/>
              <w:rPr>
                <w:sz w:val="20"/>
                <w:szCs w:val="20"/>
                <w:color w:val="auto"/>
              </w:rPr>
            </w:pPr>
            <w:r>
              <w:rPr>
                <w:rFonts w:ascii="Arial" w:cs="Arial" w:eastAsia="Arial" w:hAnsi="Arial"/>
                <w:sz w:val="14"/>
                <w:szCs w:val="14"/>
                <w:color w:val="auto"/>
              </w:rPr>
              <w:t>Cash Flows from Financing Activities</w:t>
            </w:r>
          </w:p>
        </w:tc>
        <w:tc>
          <w:tcPr>
            <w:tcW w:w="1120" w:type="dxa"/>
            <w:vAlign w:val="bottom"/>
          </w:tcPr>
          <w:p>
            <w:pPr>
              <w:jc w:val="center"/>
              <w:spacing w:after="0"/>
              <w:rPr>
                <w:sz w:val="20"/>
                <w:szCs w:val="20"/>
                <w:color w:val="auto"/>
              </w:rPr>
            </w:pPr>
            <w:r>
              <w:rPr>
                <w:rFonts w:ascii="Arial" w:cs="Arial" w:eastAsia="Arial" w:hAnsi="Arial"/>
                <w:sz w:val="14"/>
                <w:szCs w:val="14"/>
                <w:color w:val="auto"/>
              </w:rPr>
              <w:t>35</w:t>
            </w:r>
          </w:p>
        </w:tc>
      </w:tr>
      <w:tr>
        <w:trPr>
          <w:trHeight w:val="192"/>
        </w:trPr>
        <w:tc>
          <w:tcPr>
            <w:tcW w:w="5820" w:type="dxa"/>
            <w:vAlign w:val="bottom"/>
          </w:tcPr>
          <w:p>
            <w:pPr>
              <w:ind w:left="20"/>
              <w:spacing w:after="0"/>
              <w:rPr>
                <w:sz w:val="20"/>
                <w:szCs w:val="20"/>
                <w:color w:val="auto"/>
              </w:rPr>
            </w:pPr>
            <w:r>
              <w:rPr>
                <w:rFonts w:ascii="Arial" w:cs="Arial" w:eastAsia="Arial" w:hAnsi="Arial"/>
                <w:sz w:val="14"/>
                <w:szCs w:val="14"/>
                <w:color w:val="auto"/>
              </w:rPr>
              <w:t>Factors Influencing Future Performance</w:t>
            </w:r>
          </w:p>
        </w:tc>
        <w:tc>
          <w:tcPr>
            <w:tcW w:w="1120" w:type="dxa"/>
            <w:vAlign w:val="bottom"/>
          </w:tcPr>
          <w:p>
            <w:pPr>
              <w:jc w:val="center"/>
              <w:spacing w:after="0"/>
              <w:rPr>
                <w:sz w:val="20"/>
                <w:szCs w:val="20"/>
                <w:color w:val="auto"/>
              </w:rPr>
            </w:pPr>
            <w:r>
              <w:rPr>
                <w:rFonts w:ascii="Arial" w:cs="Arial" w:eastAsia="Arial" w:hAnsi="Arial"/>
                <w:sz w:val="14"/>
                <w:szCs w:val="14"/>
                <w:color w:val="auto"/>
              </w:rPr>
              <w:t>43</w:t>
            </w:r>
          </w:p>
        </w:tc>
      </w:tr>
      <w:tr>
        <w:trPr>
          <w:trHeight w:val="192"/>
        </w:trPr>
        <w:tc>
          <w:tcPr>
            <w:tcW w:w="5820" w:type="dxa"/>
            <w:vAlign w:val="bottom"/>
          </w:tcPr>
          <w:p>
            <w:pPr>
              <w:ind w:left="180"/>
              <w:spacing w:after="0"/>
              <w:rPr>
                <w:sz w:val="20"/>
                <w:szCs w:val="20"/>
                <w:color w:val="auto"/>
              </w:rPr>
            </w:pPr>
            <w:r>
              <w:rPr>
                <w:rFonts w:ascii="Arial" w:cs="Arial" w:eastAsia="Arial" w:hAnsi="Arial"/>
                <w:sz w:val="14"/>
                <w:szCs w:val="14"/>
                <w:color w:val="auto"/>
              </w:rPr>
              <w:t>Sempra Energy Overview</w:t>
            </w:r>
          </w:p>
        </w:tc>
        <w:tc>
          <w:tcPr>
            <w:tcW w:w="1120" w:type="dxa"/>
            <w:vAlign w:val="bottom"/>
          </w:tcPr>
          <w:p>
            <w:pPr>
              <w:jc w:val="center"/>
              <w:spacing w:after="0"/>
              <w:rPr>
                <w:sz w:val="20"/>
                <w:szCs w:val="20"/>
                <w:color w:val="auto"/>
              </w:rPr>
            </w:pPr>
            <w:r>
              <w:rPr>
                <w:rFonts w:ascii="Arial" w:cs="Arial" w:eastAsia="Arial" w:hAnsi="Arial"/>
                <w:sz w:val="14"/>
                <w:szCs w:val="14"/>
                <w:color w:val="auto"/>
              </w:rPr>
              <w:t>43</w:t>
            </w:r>
          </w:p>
        </w:tc>
      </w:tr>
      <w:tr>
        <w:trPr>
          <w:trHeight w:val="192"/>
        </w:trPr>
        <w:tc>
          <w:tcPr>
            <w:tcW w:w="5820" w:type="dxa"/>
            <w:vAlign w:val="bottom"/>
          </w:tcPr>
          <w:p>
            <w:pPr>
              <w:ind w:left="180"/>
              <w:spacing w:after="0"/>
              <w:rPr>
                <w:sz w:val="20"/>
                <w:szCs w:val="20"/>
                <w:color w:val="auto"/>
              </w:rPr>
            </w:pPr>
            <w:r>
              <w:rPr>
                <w:rFonts w:ascii="Arial" w:cs="Arial" w:eastAsia="Arial" w:hAnsi="Arial"/>
                <w:sz w:val="14"/>
                <w:szCs w:val="14"/>
                <w:color w:val="auto"/>
              </w:rPr>
              <w:t>Litigation</w:t>
            </w:r>
          </w:p>
        </w:tc>
        <w:tc>
          <w:tcPr>
            <w:tcW w:w="1120" w:type="dxa"/>
            <w:vAlign w:val="bottom"/>
          </w:tcPr>
          <w:p>
            <w:pPr>
              <w:jc w:val="center"/>
              <w:spacing w:after="0"/>
              <w:rPr>
                <w:sz w:val="20"/>
                <w:szCs w:val="20"/>
                <w:color w:val="auto"/>
              </w:rPr>
            </w:pPr>
            <w:r>
              <w:rPr>
                <w:rFonts w:ascii="Arial" w:cs="Arial" w:eastAsia="Arial" w:hAnsi="Arial"/>
                <w:sz w:val="14"/>
                <w:szCs w:val="14"/>
                <w:color w:val="auto"/>
              </w:rPr>
              <w:t>44</w:t>
            </w:r>
          </w:p>
        </w:tc>
      </w:tr>
      <w:tr>
        <w:trPr>
          <w:trHeight w:val="192"/>
        </w:trPr>
        <w:tc>
          <w:tcPr>
            <w:tcW w:w="5820" w:type="dxa"/>
            <w:vAlign w:val="bottom"/>
          </w:tcPr>
          <w:p>
            <w:pPr>
              <w:ind w:left="180"/>
              <w:spacing w:after="0"/>
              <w:rPr>
                <w:sz w:val="20"/>
                <w:szCs w:val="20"/>
                <w:color w:val="auto"/>
              </w:rPr>
            </w:pPr>
            <w:r>
              <w:rPr>
                <w:rFonts w:ascii="Arial" w:cs="Arial" w:eastAsia="Arial" w:hAnsi="Arial"/>
                <w:sz w:val="14"/>
                <w:szCs w:val="14"/>
                <w:color w:val="auto"/>
              </w:rPr>
              <w:t>Sempra Utilities – Industry Developments and Capital Projects</w:t>
            </w:r>
          </w:p>
        </w:tc>
        <w:tc>
          <w:tcPr>
            <w:tcW w:w="1120" w:type="dxa"/>
            <w:vAlign w:val="bottom"/>
          </w:tcPr>
          <w:p>
            <w:pPr>
              <w:jc w:val="center"/>
              <w:spacing w:after="0"/>
              <w:rPr>
                <w:sz w:val="20"/>
                <w:szCs w:val="20"/>
                <w:color w:val="auto"/>
              </w:rPr>
            </w:pPr>
            <w:r>
              <w:rPr>
                <w:rFonts w:ascii="Arial" w:cs="Arial" w:eastAsia="Arial" w:hAnsi="Arial"/>
                <w:sz w:val="14"/>
                <w:szCs w:val="14"/>
                <w:color w:val="auto"/>
              </w:rPr>
              <w:t>44</w:t>
            </w:r>
          </w:p>
        </w:tc>
      </w:tr>
      <w:tr>
        <w:trPr>
          <w:trHeight w:val="192"/>
        </w:trPr>
        <w:tc>
          <w:tcPr>
            <w:tcW w:w="5820" w:type="dxa"/>
            <w:vAlign w:val="bottom"/>
          </w:tcPr>
          <w:p>
            <w:pPr>
              <w:ind w:left="180"/>
              <w:spacing w:after="0"/>
              <w:rPr>
                <w:sz w:val="20"/>
                <w:szCs w:val="20"/>
                <w:color w:val="auto"/>
              </w:rPr>
            </w:pPr>
            <w:r>
              <w:rPr>
                <w:rFonts w:ascii="Arial" w:cs="Arial" w:eastAsia="Arial" w:hAnsi="Arial"/>
                <w:sz w:val="14"/>
                <w:szCs w:val="14"/>
                <w:color w:val="auto"/>
              </w:rPr>
              <w:t>Sempra Global Investments</w:t>
            </w:r>
          </w:p>
        </w:tc>
        <w:tc>
          <w:tcPr>
            <w:tcW w:w="1120" w:type="dxa"/>
            <w:vAlign w:val="bottom"/>
          </w:tcPr>
          <w:p>
            <w:pPr>
              <w:jc w:val="center"/>
              <w:spacing w:after="0"/>
              <w:rPr>
                <w:sz w:val="20"/>
                <w:szCs w:val="20"/>
                <w:color w:val="auto"/>
              </w:rPr>
            </w:pPr>
            <w:r>
              <w:rPr>
                <w:rFonts w:ascii="Arial" w:cs="Arial" w:eastAsia="Arial" w:hAnsi="Arial"/>
                <w:sz w:val="14"/>
                <w:szCs w:val="14"/>
                <w:color w:val="auto"/>
              </w:rPr>
              <w:t>44</w:t>
            </w:r>
          </w:p>
        </w:tc>
      </w:tr>
      <w:tr>
        <w:trPr>
          <w:trHeight w:val="192"/>
        </w:trPr>
        <w:tc>
          <w:tcPr>
            <w:tcW w:w="5820" w:type="dxa"/>
            <w:vAlign w:val="bottom"/>
          </w:tcPr>
          <w:p>
            <w:pPr>
              <w:ind w:left="180"/>
              <w:spacing w:after="0"/>
              <w:rPr>
                <w:sz w:val="20"/>
                <w:szCs w:val="20"/>
                <w:color w:val="auto"/>
              </w:rPr>
            </w:pPr>
            <w:r>
              <w:rPr>
                <w:rFonts w:ascii="Arial" w:cs="Arial" w:eastAsia="Arial" w:hAnsi="Arial"/>
                <w:sz w:val="14"/>
                <w:szCs w:val="14"/>
                <w:color w:val="auto"/>
              </w:rPr>
              <w:t>Market Risk</w:t>
            </w:r>
          </w:p>
        </w:tc>
        <w:tc>
          <w:tcPr>
            <w:tcW w:w="1120" w:type="dxa"/>
            <w:vAlign w:val="bottom"/>
          </w:tcPr>
          <w:p>
            <w:pPr>
              <w:jc w:val="center"/>
              <w:spacing w:after="0"/>
              <w:rPr>
                <w:sz w:val="20"/>
                <w:szCs w:val="20"/>
                <w:color w:val="auto"/>
              </w:rPr>
            </w:pPr>
            <w:r>
              <w:rPr>
                <w:rFonts w:ascii="Arial" w:cs="Arial" w:eastAsia="Arial" w:hAnsi="Arial"/>
                <w:sz w:val="14"/>
                <w:szCs w:val="14"/>
                <w:color w:val="auto"/>
              </w:rPr>
              <w:t>46</w:t>
            </w:r>
          </w:p>
        </w:tc>
      </w:tr>
      <w:tr>
        <w:trPr>
          <w:trHeight w:val="192"/>
        </w:trPr>
        <w:tc>
          <w:tcPr>
            <w:tcW w:w="5820" w:type="dxa"/>
            <w:vAlign w:val="bottom"/>
          </w:tcPr>
          <w:p>
            <w:pPr>
              <w:ind w:left="20"/>
              <w:spacing w:after="0"/>
              <w:rPr>
                <w:sz w:val="20"/>
                <w:szCs w:val="20"/>
                <w:color w:val="auto"/>
              </w:rPr>
            </w:pPr>
            <w:r>
              <w:rPr>
                <w:rFonts w:ascii="Arial" w:cs="Arial" w:eastAsia="Arial" w:hAnsi="Arial"/>
                <w:sz w:val="14"/>
                <w:szCs w:val="14"/>
                <w:color w:val="auto"/>
              </w:rPr>
              <w:t>Critical Accounting Policies and Estimates, and Key Noncash Performance Indicators</w:t>
            </w:r>
          </w:p>
        </w:tc>
        <w:tc>
          <w:tcPr>
            <w:tcW w:w="1120" w:type="dxa"/>
            <w:vAlign w:val="bottom"/>
          </w:tcPr>
          <w:p>
            <w:pPr>
              <w:jc w:val="center"/>
              <w:spacing w:after="0"/>
              <w:rPr>
                <w:sz w:val="20"/>
                <w:szCs w:val="20"/>
                <w:color w:val="auto"/>
              </w:rPr>
            </w:pPr>
            <w:r>
              <w:rPr>
                <w:rFonts w:ascii="Arial" w:cs="Arial" w:eastAsia="Arial" w:hAnsi="Arial"/>
                <w:sz w:val="14"/>
                <w:szCs w:val="14"/>
                <w:color w:val="auto"/>
              </w:rPr>
              <w:t>49</w:t>
            </w:r>
          </w:p>
        </w:tc>
      </w:tr>
      <w:tr>
        <w:trPr>
          <w:trHeight w:val="192"/>
        </w:trPr>
        <w:tc>
          <w:tcPr>
            <w:tcW w:w="5820" w:type="dxa"/>
            <w:vAlign w:val="bottom"/>
          </w:tcPr>
          <w:p>
            <w:pPr>
              <w:ind w:left="180"/>
              <w:spacing w:after="0"/>
              <w:rPr>
                <w:sz w:val="20"/>
                <w:szCs w:val="20"/>
                <w:color w:val="auto"/>
              </w:rPr>
            </w:pPr>
            <w:r>
              <w:rPr>
                <w:rFonts w:ascii="Arial" w:cs="Arial" w:eastAsia="Arial" w:hAnsi="Arial"/>
                <w:sz w:val="14"/>
                <w:szCs w:val="14"/>
                <w:color w:val="auto"/>
              </w:rPr>
              <w:t>New Accounting Standards</w:t>
            </w:r>
          </w:p>
        </w:tc>
        <w:tc>
          <w:tcPr>
            <w:tcW w:w="1120" w:type="dxa"/>
            <w:vAlign w:val="bottom"/>
          </w:tcPr>
          <w:p>
            <w:pPr>
              <w:jc w:val="center"/>
              <w:spacing w:after="0"/>
              <w:rPr>
                <w:sz w:val="20"/>
                <w:szCs w:val="20"/>
                <w:color w:val="auto"/>
              </w:rPr>
            </w:pPr>
            <w:r>
              <w:rPr>
                <w:rFonts w:ascii="Arial" w:cs="Arial" w:eastAsia="Arial" w:hAnsi="Arial"/>
                <w:sz w:val="14"/>
                <w:szCs w:val="14"/>
                <w:color w:val="auto"/>
              </w:rPr>
              <w:t>54</w:t>
            </w:r>
          </w:p>
        </w:tc>
      </w:tr>
      <w:tr>
        <w:trPr>
          <w:trHeight w:val="195"/>
        </w:trPr>
        <w:tc>
          <w:tcPr>
            <w:tcW w:w="58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Information Regarding Forward-Looking Statements</w:t>
            </w: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55</w:t>
            </w:r>
          </w:p>
        </w:tc>
      </w:tr>
      <w:tr>
        <w:trPr>
          <w:trHeight w:val="185"/>
        </w:trPr>
        <w:tc>
          <w:tcPr>
            <w:tcW w:w="5820" w:type="dxa"/>
            <w:vAlign w:val="bottom"/>
          </w:tcPr>
          <w:p>
            <w:pPr>
              <w:ind w:left="20"/>
              <w:spacing w:after="0"/>
              <w:rPr>
                <w:sz w:val="20"/>
                <w:szCs w:val="20"/>
                <w:color w:val="auto"/>
              </w:rPr>
            </w:pPr>
            <w:r>
              <w:rPr>
                <w:rFonts w:ascii="Arial" w:cs="Arial" w:eastAsia="Arial" w:hAnsi="Arial"/>
                <w:sz w:val="14"/>
                <w:szCs w:val="14"/>
                <w:b w:val="1"/>
                <w:bCs w:val="1"/>
                <w:color w:val="auto"/>
              </w:rPr>
              <w:t>Common Stock Data</w:t>
            </w:r>
          </w:p>
        </w:tc>
        <w:tc>
          <w:tcPr>
            <w:tcW w:w="1120" w:type="dxa"/>
            <w:vAlign w:val="bottom"/>
          </w:tcPr>
          <w:p>
            <w:pPr>
              <w:jc w:val="center"/>
              <w:spacing w:after="0"/>
              <w:rPr>
                <w:sz w:val="20"/>
                <w:szCs w:val="20"/>
                <w:color w:val="auto"/>
              </w:rPr>
            </w:pPr>
            <w:r>
              <w:rPr>
                <w:rFonts w:ascii="Arial" w:cs="Arial" w:eastAsia="Arial" w:hAnsi="Arial"/>
                <w:sz w:val="14"/>
                <w:szCs w:val="14"/>
                <w:color w:val="auto"/>
              </w:rPr>
              <w:t>56</w:t>
            </w:r>
          </w:p>
        </w:tc>
      </w:tr>
      <w:tr>
        <w:trPr>
          <w:trHeight w:val="74"/>
        </w:trPr>
        <w:tc>
          <w:tcPr>
            <w:tcW w:w="5820" w:type="dxa"/>
            <w:vAlign w:val="bottom"/>
            <w:tcBorders>
              <w:bottom w:val="single" w:sz="8" w:color="auto"/>
            </w:tcBorders>
          </w:tcPr>
          <w:p>
            <w:pPr>
              <w:spacing w:after="0"/>
              <w:rPr>
                <w:sz w:val="6"/>
                <w:szCs w:val="6"/>
                <w:color w:val="auto"/>
              </w:rPr>
            </w:pPr>
          </w:p>
        </w:tc>
        <w:tc>
          <w:tcPr>
            <w:tcW w:w="1120" w:type="dxa"/>
            <w:vAlign w:val="bottom"/>
            <w:tcBorders>
              <w:bottom w:val="single" w:sz="8" w:color="auto"/>
            </w:tcBorders>
          </w:tcPr>
          <w:p>
            <w:pPr>
              <w:spacing w:after="0"/>
              <w:rPr>
                <w:sz w:val="6"/>
                <w:szCs w:val="6"/>
                <w:color w:val="auto"/>
              </w:rPr>
            </w:pPr>
          </w:p>
        </w:tc>
      </w:tr>
      <w:tr>
        <w:trPr>
          <w:trHeight w:val="182"/>
        </w:trPr>
        <w:tc>
          <w:tcPr>
            <w:tcW w:w="5820" w:type="dxa"/>
            <w:vAlign w:val="bottom"/>
          </w:tcPr>
          <w:p>
            <w:pPr>
              <w:ind w:left="20"/>
              <w:spacing w:after="0"/>
              <w:rPr>
                <w:sz w:val="20"/>
                <w:szCs w:val="20"/>
                <w:color w:val="auto"/>
              </w:rPr>
            </w:pPr>
            <w:r>
              <w:rPr>
                <w:rFonts w:ascii="Arial" w:cs="Arial" w:eastAsia="Arial" w:hAnsi="Arial"/>
                <w:sz w:val="14"/>
                <w:szCs w:val="14"/>
                <w:b w:val="1"/>
                <w:bCs w:val="1"/>
                <w:color w:val="auto"/>
              </w:rPr>
              <w:t>Performance Graph – Comparative Total Shareholder Returns</w:t>
            </w:r>
          </w:p>
        </w:tc>
        <w:tc>
          <w:tcPr>
            <w:tcW w:w="1120" w:type="dxa"/>
            <w:vAlign w:val="bottom"/>
          </w:tcPr>
          <w:p>
            <w:pPr>
              <w:jc w:val="center"/>
              <w:spacing w:after="0"/>
              <w:rPr>
                <w:sz w:val="20"/>
                <w:szCs w:val="20"/>
                <w:color w:val="auto"/>
              </w:rPr>
            </w:pPr>
            <w:r>
              <w:rPr>
                <w:rFonts w:ascii="Arial" w:cs="Arial" w:eastAsia="Arial" w:hAnsi="Arial"/>
                <w:sz w:val="14"/>
                <w:szCs w:val="14"/>
                <w:color w:val="auto"/>
              </w:rPr>
              <w:t>57</w:t>
            </w:r>
          </w:p>
        </w:tc>
      </w:tr>
      <w:tr>
        <w:trPr>
          <w:trHeight w:val="74"/>
        </w:trPr>
        <w:tc>
          <w:tcPr>
            <w:tcW w:w="5820" w:type="dxa"/>
            <w:vAlign w:val="bottom"/>
            <w:tcBorders>
              <w:bottom w:val="single" w:sz="8" w:color="auto"/>
            </w:tcBorders>
          </w:tcPr>
          <w:p>
            <w:pPr>
              <w:spacing w:after="0"/>
              <w:rPr>
                <w:sz w:val="6"/>
                <w:szCs w:val="6"/>
                <w:color w:val="auto"/>
              </w:rPr>
            </w:pPr>
          </w:p>
        </w:tc>
        <w:tc>
          <w:tcPr>
            <w:tcW w:w="1120" w:type="dxa"/>
            <w:vAlign w:val="bottom"/>
            <w:tcBorders>
              <w:bottom w:val="single" w:sz="8" w:color="auto"/>
            </w:tcBorders>
          </w:tcPr>
          <w:p>
            <w:pPr>
              <w:spacing w:after="0"/>
              <w:rPr>
                <w:sz w:val="6"/>
                <w:szCs w:val="6"/>
                <w:color w:val="auto"/>
              </w:rPr>
            </w:pPr>
          </w:p>
        </w:tc>
      </w:tr>
      <w:tr>
        <w:trPr>
          <w:trHeight w:val="182"/>
        </w:trPr>
        <w:tc>
          <w:tcPr>
            <w:tcW w:w="5820" w:type="dxa"/>
            <w:vAlign w:val="bottom"/>
          </w:tcPr>
          <w:p>
            <w:pPr>
              <w:ind w:left="20"/>
              <w:spacing w:after="0"/>
              <w:rPr>
                <w:sz w:val="20"/>
                <w:szCs w:val="20"/>
                <w:color w:val="auto"/>
              </w:rPr>
            </w:pPr>
            <w:r>
              <w:rPr>
                <w:rFonts w:ascii="Arial" w:cs="Arial" w:eastAsia="Arial" w:hAnsi="Arial"/>
                <w:sz w:val="14"/>
                <w:szCs w:val="14"/>
                <w:b w:val="1"/>
                <w:bCs w:val="1"/>
                <w:color w:val="auto"/>
              </w:rPr>
              <w:t>Five-Year Summaries</w:t>
            </w:r>
          </w:p>
        </w:tc>
        <w:tc>
          <w:tcPr>
            <w:tcW w:w="1120" w:type="dxa"/>
            <w:vAlign w:val="bottom"/>
          </w:tcPr>
          <w:p>
            <w:pPr>
              <w:jc w:val="center"/>
              <w:spacing w:after="0"/>
              <w:rPr>
                <w:sz w:val="20"/>
                <w:szCs w:val="20"/>
                <w:color w:val="auto"/>
              </w:rPr>
            </w:pPr>
            <w:r>
              <w:rPr>
                <w:rFonts w:ascii="Arial" w:cs="Arial" w:eastAsia="Arial" w:hAnsi="Arial"/>
                <w:sz w:val="14"/>
                <w:szCs w:val="14"/>
                <w:color w:val="auto"/>
              </w:rPr>
              <w:t>58</w:t>
            </w:r>
          </w:p>
        </w:tc>
      </w:tr>
      <w:tr>
        <w:trPr>
          <w:trHeight w:val="74"/>
        </w:trPr>
        <w:tc>
          <w:tcPr>
            <w:tcW w:w="5820" w:type="dxa"/>
            <w:vAlign w:val="bottom"/>
            <w:tcBorders>
              <w:bottom w:val="single" w:sz="8" w:color="auto"/>
            </w:tcBorders>
          </w:tcPr>
          <w:p>
            <w:pPr>
              <w:spacing w:after="0"/>
              <w:rPr>
                <w:sz w:val="6"/>
                <w:szCs w:val="6"/>
                <w:color w:val="auto"/>
              </w:rPr>
            </w:pPr>
          </w:p>
        </w:tc>
        <w:tc>
          <w:tcPr>
            <w:tcW w:w="1120" w:type="dxa"/>
            <w:vAlign w:val="bottom"/>
            <w:tcBorders>
              <w:bottom w:val="single" w:sz="8" w:color="auto"/>
            </w:tcBorders>
          </w:tcPr>
          <w:p>
            <w:pPr>
              <w:spacing w:after="0"/>
              <w:rPr>
                <w:sz w:val="6"/>
                <w:szCs w:val="6"/>
                <w:color w:val="auto"/>
              </w:rPr>
            </w:pPr>
          </w:p>
        </w:tc>
      </w:tr>
      <w:tr>
        <w:trPr>
          <w:trHeight w:val="182"/>
        </w:trPr>
        <w:tc>
          <w:tcPr>
            <w:tcW w:w="5820" w:type="dxa"/>
            <w:vAlign w:val="bottom"/>
          </w:tcPr>
          <w:p>
            <w:pPr>
              <w:ind w:left="20"/>
              <w:spacing w:after="0"/>
              <w:rPr>
                <w:sz w:val="20"/>
                <w:szCs w:val="20"/>
                <w:color w:val="auto"/>
              </w:rPr>
            </w:pPr>
            <w:r>
              <w:rPr>
                <w:rFonts w:ascii="Arial" w:cs="Arial" w:eastAsia="Arial" w:hAnsi="Arial"/>
                <w:sz w:val="14"/>
                <w:szCs w:val="14"/>
                <w:b w:val="1"/>
                <w:bCs w:val="1"/>
                <w:color w:val="auto"/>
              </w:rPr>
              <w:t>Controls and Procedures</w:t>
            </w:r>
          </w:p>
        </w:tc>
        <w:tc>
          <w:tcPr>
            <w:tcW w:w="1120" w:type="dxa"/>
            <w:vAlign w:val="bottom"/>
          </w:tcPr>
          <w:p>
            <w:pPr>
              <w:spacing w:after="0"/>
              <w:rPr>
                <w:sz w:val="15"/>
                <w:szCs w:val="15"/>
                <w:color w:val="auto"/>
              </w:rPr>
            </w:pPr>
          </w:p>
        </w:tc>
      </w:tr>
      <w:tr>
        <w:trPr>
          <w:trHeight w:val="212"/>
        </w:trPr>
        <w:tc>
          <w:tcPr>
            <w:tcW w:w="5820" w:type="dxa"/>
            <w:vAlign w:val="bottom"/>
          </w:tcPr>
          <w:p>
            <w:pPr>
              <w:ind w:left="20"/>
              <w:spacing w:after="0"/>
              <w:rPr>
                <w:sz w:val="20"/>
                <w:szCs w:val="20"/>
                <w:color w:val="auto"/>
              </w:rPr>
            </w:pPr>
            <w:r>
              <w:rPr>
                <w:rFonts w:ascii="Arial" w:cs="Arial" w:eastAsia="Arial" w:hAnsi="Arial"/>
                <w:sz w:val="14"/>
                <w:szCs w:val="14"/>
                <w:color w:val="auto"/>
              </w:rPr>
              <w:t>Evaluation of Disclosure Controls and Procedures</w:t>
            </w:r>
          </w:p>
        </w:tc>
        <w:tc>
          <w:tcPr>
            <w:tcW w:w="1120" w:type="dxa"/>
            <w:vAlign w:val="bottom"/>
          </w:tcPr>
          <w:p>
            <w:pPr>
              <w:jc w:val="center"/>
              <w:spacing w:after="0"/>
              <w:rPr>
                <w:sz w:val="20"/>
                <w:szCs w:val="20"/>
                <w:color w:val="auto"/>
              </w:rPr>
            </w:pPr>
            <w:r>
              <w:rPr>
                <w:rFonts w:ascii="Arial" w:cs="Arial" w:eastAsia="Arial" w:hAnsi="Arial"/>
                <w:sz w:val="14"/>
                <w:szCs w:val="14"/>
                <w:color w:val="auto"/>
              </w:rPr>
              <w:t>60</w:t>
            </w:r>
          </w:p>
        </w:tc>
      </w:tr>
      <w:tr>
        <w:trPr>
          <w:trHeight w:val="195"/>
        </w:trPr>
        <w:tc>
          <w:tcPr>
            <w:tcW w:w="58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Management's Report on Internal Control over Financial Reporting</w:t>
            </w: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60</w:t>
            </w:r>
          </w:p>
        </w:tc>
      </w:tr>
      <w:tr>
        <w:trPr>
          <w:trHeight w:val="159"/>
        </w:trPr>
        <w:tc>
          <w:tcPr>
            <w:tcW w:w="5820" w:type="dxa"/>
            <w:vAlign w:val="bottom"/>
          </w:tcPr>
          <w:p>
            <w:pPr>
              <w:ind w:left="20"/>
              <w:spacing w:after="0" w:line="159" w:lineRule="exact"/>
              <w:rPr>
                <w:sz w:val="20"/>
                <w:szCs w:val="20"/>
                <w:color w:val="auto"/>
              </w:rPr>
            </w:pPr>
            <w:r>
              <w:rPr>
                <w:rFonts w:ascii="Arial" w:cs="Arial" w:eastAsia="Arial" w:hAnsi="Arial"/>
                <w:sz w:val="14"/>
                <w:szCs w:val="14"/>
                <w:b w:val="1"/>
                <w:bCs w:val="1"/>
                <w:color w:val="auto"/>
              </w:rPr>
              <w:t>Changes In and Disagreements With Accountants on Accounting and Financial</w:t>
            </w:r>
          </w:p>
        </w:tc>
        <w:tc>
          <w:tcPr>
            <w:tcW w:w="1120" w:type="dxa"/>
            <w:vAlign w:val="bottom"/>
          </w:tcPr>
          <w:p>
            <w:pPr>
              <w:jc w:val="center"/>
              <w:spacing w:after="0" w:line="159" w:lineRule="exact"/>
              <w:rPr>
                <w:sz w:val="20"/>
                <w:szCs w:val="20"/>
                <w:color w:val="auto"/>
              </w:rPr>
            </w:pPr>
            <w:r>
              <w:rPr>
                <w:rFonts w:ascii="Arial" w:cs="Arial" w:eastAsia="Arial" w:hAnsi="Arial"/>
                <w:sz w:val="14"/>
                <w:szCs w:val="14"/>
                <w:color w:val="auto"/>
              </w:rPr>
              <w:t>60</w:t>
            </w:r>
          </w:p>
        </w:tc>
      </w:tr>
      <w:tr>
        <w:trPr>
          <w:trHeight w:val="190"/>
        </w:trPr>
        <w:tc>
          <w:tcPr>
            <w:tcW w:w="5820" w:type="dxa"/>
            <w:vAlign w:val="bottom"/>
          </w:tcPr>
          <w:p>
            <w:pPr>
              <w:ind w:left="20"/>
              <w:spacing w:after="0"/>
              <w:rPr>
                <w:sz w:val="20"/>
                <w:szCs w:val="20"/>
                <w:color w:val="auto"/>
              </w:rPr>
            </w:pPr>
            <w:r>
              <w:rPr>
                <w:rFonts w:ascii="Arial" w:cs="Arial" w:eastAsia="Arial" w:hAnsi="Arial"/>
                <w:sz w:val="14"/>
                <w:szCs w:val="14"/>
                <w:b w:val="1"/>
                <w:bCs w:val="1"/>
                <w:color w:val="auto"/>
              </w:rPr>
              <w:t>Disclosure</w:t>
            </w:r>
          </w:p>
        </w:tc>
        <w:tc>
          <w:tcPr>
            <w:tcW w:w="1120" w:type="dxa"/>
            <w:vAlign w:val="bottom"/>
          </w:tcPr>
          <w:p>
            <w:pPr>
              <w:spacing w:after="0"/>
              <w:rPr>
                <w:sz w:val="16"/>
                <w:szCs w:val="16"/>
                <w:color w:val="auto"/>
              </w:rPr>
            </w:pPr>
          </w:p>
        </w:tc>
      </w:tr>
      <w:tr>
        <w:trPr>
          <w:trHeight w:val="78"/>
        </w:trPr>
        <w:tc>
          <w:tcPr>
            <w:tcW w:w="5820" w:type="dxa"/>
            <w:vAlign w:val="bottom"/>
            <w:tcBorders>
              <w:bottom w:val="single" w:sz="8" w:color="auto"/>
            </w:tcBorders>
          </w:tcPr>
          <w:p>
            <w:pPr>
              <w:spacing w:after="0"/>
              <w:rPr>
                <w:sz w:val="6"/>
                <w:szCs w:val="6"/>
                <w:color w:val="auto"/>
              </w:rPr>
            </w:pPr>
          </w:p>
        </w:tc>
        <w:tc>
          <w:tcPr>
            <w:tcW w:w="1120" w:type="dxa"/>
            <w:vAlign w:val="bottom"/>
            <w:tcBorders>
              <w:bottom w:val="single" w:sz="8" w:color="auto"/>
            </w:tcBorders>
          </w:tcPr>
          <w:p>
            <w:pPr>
              <w:spacing w:after="0"/>
              <w:rPr>
                <w:sz w:val="6"/>
                <w:szCs w:val="6"/>
                <w:color w:val="auto"/>
              </w:rPr>
            </w:pPr>
          </w:p>
        </w:tc>
      </w:tr>
      <w:tr>
        <w:trPr>
          <w:trHeight w:val="182"/>
        </w:trPr>
        <w:tc>
          <w:tcPr>
            <w:tcW w:w="5820" w:type="dxa"/>
            <w:vAlign w:val="bottom"/>
          </w:tcPr>
          <w:p>
            <w:pPr>
              <w:ind w:left="20"/>
              <w:spacing w:after="0"/>
              <w:rPr>
                <w:sz w:val="20"/>
                <w:szCs w:val="20"/>
                <w:color w:val="auto"/>
              </w:rPr>
            </w:pPr>
            <w:r>
              <w:rPr>
                <w:rFonts w:ascii="Arial" w:cs="Arial" w:eastAsia="Arial" w:hAnsi="Arial"/>
                <w:sz w:val="14"/>
                <w:szCs w:val="14"/>
                <w:b w:val="1"/>
                <w:bCs w:val="1"/>
                <w:color w:val="auto"/>
              </w:rPr>
              <w:t>Reports of Independent Registered Public Accounting Firm</w:t>
            </w:r>
          </w:p>
        </w:tc>
        <w:tc>
          <w:tcPr>
            <w:tcW w:w="1120" w:type="dxa"/>
            <w:vAlign w:val="bottom"/>
          </w:tcPr>
          <w:p>
            <w:pPr>
              <w:jc w:val="center"/>
              <w:spacing w:after="0"/>
              <w:rPr>
                <w:sz w:val="20"/>
                <w:szCs w:val="20"/>
                <w:color w:val="auto"/>
              </w:rPr>
            </w:pPr>
            <w:r>
              <w:rPr>
                <w:rFonts w:ascii="Arial" w:cs="Arial" w:eastAsia="Arial" w:hAnsi="Arial"/>
                <w:sz w:val="14"/>
                <w:szCs w:val="14"/>
                <w:color w:val="auto"/>
              </w:rPr>
              <w:t>61</w:t>
            </w:r>
          </w:p>
        </w:tc>
      </w:tr>
      <w:tr>
        <w:trPr>
          <w:trHeight w:val="74"/>
        </w:trPr>
        <w:tc>
          <w:tcPr>
            <w:tcW w:w="5820" w:type="dxa"/>
            <w:vAlign w:val="bottom"/>
            <w:tcBorders>
              <w:bottom w:val="single" w:sz="8" w:color="auto"/>
            </w:tcBorders>
          </w:tcPr>
          <w:p>
            <w:pPr>
              <w:spacing w:after="0"/>
              <w:rPr>
                <w:sz w:val="6"/>
                <w:szCs w:val="6"/>
                <w:color w:val="auto"/>
              </w:rPr>
            </w:pPr>
          </w:p>
        </w:tc>
        <w:tc>
          <w:tcPr>
            <w:tcW w:w="1120" w:type="dxa"/>
            <w:vAlign w:val="bottom"/>
            <w:tcBorders>
              <w:bottom w:val="single" w:sz="8" w:color="auto"/>
            </w:tcBorders>
          </w:tcPr>
          <w:p>
            <w:pPr>
              <w:spacing w:after="0"/>
              <w:rPr>
                <w:sz w:val="6"/>
                <w:szCs w:val="6"/>
                <w:color w:val="auto"/>
              </w:rPr>
            </w:pPr>
          </w:p>
        </w:tc>
      </w:tr>
      <w:tr>
        <w:trPr>
          <w:trHeight w:val="182"/>
        </w:trPr>
        <w:tc>
          <w:tcPr>
            <w:tcW w:w="5820" w:type="dxa"/>
            <w:vAlign w:val="bottom"/>
          </w:tcPr>
          <w:p>
            <w:pPr>
              <w:ind w:left="20"/>
              <w:spacing w:after="0"/>
              <w:rPr>
                <w:sz w:val="20"/>
                <w:szCs w:val="20"/>
                <w:color w:val="auto"/>
              </w:rPr>
            </w:pPr>
            <w:r>
              <w:rPr>
                <w:rFonts w:ascii="Arial" w:cs="Arial" w:eastAsia="Arial" w:hAnsi="Arial"/>
                <w:sz w:val="14"/>
                <w:szCs w:val="14"/>
                <w:b w:val="1"/>
                <w:bCs w:val="1"/>
                <w:color w:val="auto"/>
              </w:rPr>
              <w:t>Consolidated Financial Statements</w:t>
            </w:r>
          </w:p>
        </w:tc>
        <w:tc>
          <w:tcPr>
            <w:tcW w:w="1120" w:type="dxa"/>
            <w:vAlign w:val="bottom"/>
          </w:tcPr>
          <w:p>
            <w:pPr>
              <w:spacing w:after="0"/>
              <w:rPr>
                <w:sz w:val="15"/>
                <w:szCs w:val="15"/>
                <w:color w:val="auto"/>
              </w:rPr>
            </w:pPr>
          </w:p>
        </w:tc>
      </w:tr>
      <w:tr>
        <w:trPr>
          <w:trHeight w:val="212"/>
        </w:trPr>
        <w:tc>
          <w:tcPr>
            <w:tcW w:w="5820" w:type="dxa"/>
            <w:vAlign w:val="bottom"/>
          </w:tcPr>
          <w:p>
            <w:pPr>
              <w:ind w:left="20"/>
              <w:spacing w:after="0"/>
              <w:rPr>
                <w:sz w:val="20"/>
                <w:szCs w:val="20"/>
                <w:color w:val="auto"/>
              </w:rPr>
            </w:pPr>
            <w:r>
              <w:rPr>
                <w:rFonts w:ascii="Arial" w:cs="Arial" w:eastAsia="Arial" w:hAnsi="Arial"/>
                <w:sz w:val="14"/>
                <w:szCs w:val="14"/>
                <w:color w:val="auto"/>
              </w:rPr>
              <w:t>Sempra Energy</w:t>
            </w:r>
          </w:p>
        </w:tc>
        <w:tc>
          <w:tcPr>
            <w:tcW w:w="1120" w:type="dxa"/>
            <w:vAlign w:val="bottom"/>
          </w:tcPr>
          <w:p>
            <w:pPr>
              <w:jc w:val="center"/>
              <w:spacing w:after="0"/>
              <w:rPr>
                <w:sz w:val="20"/>
                <w:szCs w:val="20"/>
                <w:color w:val="auto"/>
              </w:rPr>
            </w:pPr>
            <w:r>
              <w:rPr>
                <w:rFonts w:ascii="Arial" w:cs="Arial" w:eastAsia="Arial" w:hAnsi="Arial"/>
                <w:sz w:val="14"/>
                <w:szCs w:val="14"/>
                <w:color w:val="auto"/>
              </w:rPr>
              <w:t>69</w:t>
            </w:r>
          </w:p>
        </w:tc>
      </w:tr>
      <w:tr>
        <w:trPr>
          <w:trHeight w:val="192"/>
        </w:trPr>
        <w:tc>
          <w:tcPr>
            <w:tcW w:w="5820" w:type="dxa"/>
            <w:vAlign w:val="bottom"/>
          </w:tcPr>
          <w:p>
            <w:pPr>
              <w:ind w:left="20"/>
              <w:spacing w:after="0"/>
              <w:rPr>
                <w:sz w:val="20"/>
                <w:szCs w:val="20"/>
                <w:color w:val="auto"/>
              </w:rPr>
            </w:pPr>
            <w:r>
              <w:rPr>
                <w:rFonts w:ascii="Arial" w:cs="Arial" w:eastAsia="Arial" w:hAnsi="Arial"/>
                <w:sz w:val="14"/>
                <w:szCs w:val="14"/>
                <w:color w:val="auto"/>
              </w:rPr>
              <w:t>San Diego Gas &amp; Electric Company</w:t>
            </w:r>
          </w:p>
        </w:tc>
        <w:tc>
          <w:tcPr>
            <w:tcW w:w="1120" w:type="dxa"/>
            <w:vAlign w:val="bottom"/>
          </w:tcPr>
          <w:p>
            <w:pPr>
              <w:jc w:val="center"/>
              <w:spacing w:after="0"/>
              <w:rPr>
                <w:sz w:val="20"/>
                <w:szCs w:val="20"/>
                <w:color w:val="auto"/>
              </w:rPr>
            </w:pPr>
            <w:r>
              <w:rPr>
                <w:rFonts w:ascii="Arial" w:cs="Arial" w:eastAsia="Arial" w:hAnsi="Arial"/>
                <w:sz w:val="14"/>
                <w:szCs w:val="14"/>
                <w:color w:val="auto"/>
              </w:rPr>
              <w:t>75</w:t>
            </w:r>
          </w:p>
        </w:tc>
      </w:tr>
      <w:tr>
        <w:trPr>
          <w:trHeight w:val="192"/>
        </w:trPr>
        <w:tc>
          <w:tcPr>
            <w:tcW w:w="5820" w:type="dxa"/>
            <w:vAlign w:val="bottom"/>
          </w:tcPr>
          <w:p>
            <w:pPr>
              <w:ind w:left="20"/>
              <w:spacing w:after="0"/>
              <w:rPr>
                <w:sz w:val="20"/>
                <w:szCs w:val="20"/>
                <w:color w:val="auto"/>
              </w:rPr>
            </w:pPr>
            <w:r>
              <w:rPr>
                <w:rFonts w:ascii="Arial" w:cs="Arial" w:eastAsia="Arial" w:hAnsi="Arial"/>
                <w:sz w:val="14"/>
                <w:szCs w:val="14"/>
                <w:color w:val="auto"/>
              </w:rPr>
              <w:t>Pacific Enterprises</w:t>
            </w:r>
          </w:p>
        </w:tc>
        <w:tc>
          <w:tcPr>
            <w:tcW w:w="1120" w:type="dxa"/>
            <w:vAlign w:val="bottom"/>
          </w:tcPr>
          <w:p>
            <w:pPr>
              <w:jc w:val="center"/>
              <w:spacing w:after="0"/>
              <w:rPr>
                <w:sz w:val="20"/>
                <w:szCs w:val="20"/>
                <w:color w:val="auto"/>
              </w:rPr>
            </w:pPr>
            <w:r>
              <w:rPr>
                <w:rFonts w:ascii="Arial" w:cs="Arial" w:eastAsia="Arial" w:hAnsi="Arial"/>
                <w:sz w:val="14"/>
                <w:szCs w:val="14"/>
                <w:color w:val="auto"/>
              </w:rPr>
              <w:t>81</w:t>
            </w:r>
          </w:p>
        </w:tc>
      </w:tr>
      <w:tr>
        <w:trPr>
          <w:trHeight w:val="195"/>
        </w:trPr>
        <w:tc>
          <w:tcPr>
            <w:tcW w:w="58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Southern California Gas Company</w:t>
            </w: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87</w:t>
            </w:r>
          </w:p>
        </w:tc>
      </w:tr>
      <w:tr>
        <w:trPr>
          <w:trHeight w:val="185"/>
        </w:trPr>
        <w:tc>
          <w:tcPr>
            <w:tcW w:w="5820" w:type="dxa"/>
            <w:vAlign w:val="bottom"/>
          </w:tcPr>
          <w:p>
            <w:pPr>
              <w:ind w:left="20"/>
              <w:spacing w:after="0"/>
              <w:rPr>
                <w:sz w:val="20"/>
                <w:szCs w:val="20"/>
                <w:color w:val="auto"/>
              </w:rPr>
            </w:pPr>
            <w:r>
              <w:rPr>
                <w:rFonts w:ascii="Arial" w:cs="Arial" w:eastAsia="Arial" w:hAnsi="Arial"/>
                <w:sz w:val="14"/>
                <w:szCs w:val="14"/>
                <w:b w:val="1"/>
                <w:bCs w:val="1"/>
                <w:color w:val="auto"/>
              </w:rPr>
              <w:t>Notes to Consolidated Financial Statements</w:t>
            </w:r>
          </w:p>
        </w:tc>
        <w:tc>
          <w:tcPr>
            <w:tcW w:w="1120" w:type="dxa"/>
            <w:vAlign w:val="bottom"/>
          </w:tcPr>
          <w:p>
            <w:pPr>
              <w:jc w:val="center"/>
              <w:spacing w:after="0"/>
              <w:rPr>
                <w:sz w:val="20"/>
                <w:szCs w:val="20"/>
                <w:color w:val="auto"/>
              </w:rPr>
            </w:pPr>
            <w:r>
              <w:rPr>
                <w:rFonts w:ascii="Arial" w:cs="Arial" w:eastAsia="Arial" w:hAnsi="Arial"/>
                <w:sz w:val="14"/>
                <w:szCs w:val="14"/>
                <w:color w:val="auto"/>
              </w:rPr>
              <w:t>93</w:t>
            </w:r>
          </w:p>
        </w:tc>
      </w:tr>
      <w:tr>
        <w:trPr>
          <w:trHeight w:val="74"/>
        </w:trPr>
        <w:tc>
          <w:tcPr>
            <w:tcW w:w="5820" w:type="dxa"/>
            <w:vAlign w:val="bottom"/>
            <w:tcBorders>
              <w:bottom w:val="single" w:sz="8" w:color="auto"/>
            </w:tcBorders>
          </w:tcPr>
          <w:p>
            <w:pPr>
              <w:spacing w:after="0"/>
              <w:rPr>
                <w:sz w:val="6"/>
                <w:szCs w:val="6"/>
                <w:color w:val="auto"/>
              </w:rPr>
            </w:pPr>
          </w:p>
        </w:tc>
        <w:tc>
          <w:tcPr>
            <w:tcW w:w="1120" w:type="dxa"/>
            <w:vAlign w:val="bottom"/>
            <w:tcBorders>
              <w:bottom w:val="single" w:sz="8" w:color="auto"/>
            </w:tcBorders>
          </w:tcPr>
          <w:p>
            <w:pPr>
              <w:spacing w:after="0"/>
              <w:rPr>
                <w:sz w:val="6"/>
                <w:szCs w:val="6"/>
                <w:color w:val="auto"/>
              </w:rPr>
            </w:pPr>
          </w:p>
        </w:tc>
      </w:tr>
      <w:tr>
        <w:trPr>
          <w:trHeight w:val="182"/>
        </w:trPr>
        <w:tc>
          <w:tcPr>
            <w:tcW w:w="5820" w:type="dxa"/>
            <w:vAlign w:val="bottom"/>
          </w:tcPr>
          <w:p>
            <w:pPr>
              <w:ind w:left="20"/>
              <w:spacing w:after="0"/>
              <w:rPr>
                <w:sz w:val="20"/>
                <w:szCs w:val="20"/>
                <w:color w:val="auto"/>
              </w:rPr>
            </w:pPr>
            <w:r>
              <w:rPr>
                <w:rFonts w:ascii="Arial" w:cs="Arial" w:eastAsia="Arial" w:hAnsi="Arial"/>
                <w:sz w:val="14"/>
                <w:szCs w:val="14"/>
                <w:b w:val="1"/>
                <w:bCs w:val="1"/>
                <w:color w:val="auto"/>
              </w:rPr>
              <w:t>Glossary</w:t>
            </w:r>
          </w:p>
        </w:tc>
        <w:tc>
          <w:tcPr>
            <w:tcW w:w="1120" w:type="dxa"/>
            <w:vAlign w:val="bottom"/>
          </w:tcPr>
          <w:p>
            <w:pPr>
              <w:jc w:val="center"/>
              <w:spacing w:after="0"/>
              <w:rPr>
                <w:sz w:val="20"/>
                <w:szCs w:val="20"/>
                <w:color w:val="auto"/>
              </w:rPr>
            </w:pPr>
            <w:r>
              <w:rPr>
                <w:rFonts w:ascii="Arial" w:cs="Arial" w:eastAsia="Arial" w:hAnsi="Arial"/>
                <w:sz w:val="14"/>
                <w:szCs w:val="14"/>
                <w:color w:val="auto"/>
              </w:rPr>
              <w:t>190</w:t>
            </w:r>
          </w:p>
        </w:tc>
      </w:tr>
      <w:tr>
        <w:trPr>
          <w:trHeight w:val="74"/>
        </w:trPr>
        <w:tc>
          <w:tcPr>
            <w:tcW w:w="5820" w:type="dxa"/>
            <w:vAlign w:val="bottom"/>
            <w:tcBorders>
              <w:bottom w:val="single" w:sz="8" w:color="auto"/>
            </w:tcBorders>
          </w:tcPr>
          <w:p>
            <w:pPr>
              <w:spacing w:after="0"/>
              <w:rPr>
                <w:sz w:val="6"/>
                <w:szCs w:val="6"/>
                <w:color w:val="auto"/>
              </w:rPr>
            </w:pPr>
          </w:p>
        </w:tc>
        <w:tc>
          <w:tcPr>
            <w:tcW w:w="1120" w:type="dxa"/>
            <w:vAlign w:val="bottom"/>
            <w:tcBorders>
              <w:bottom w:val="single" w:sz="8" w:color="auto"/>
            </w:tcBorders>
          </w:tcPr>
          <w:p>
            <w:pPr>
              <w:spacing w:after="0"/>
              <w:rPr>
                <w:sz w:val="6"/>
                <w:szCs w:val="6"/>
                <w:color w:val="auto"/>
              </w:rPr>
            </w:pPr>
          </w:p>
        </w:tc>
      </w:tr>
    </w:tbl>
    <w:p>
      <w:pPr>
        <w:spacing w:after="0" w:line="224" w:lineRule="exact"/>
        <w:rPr>
          <w:sz w:val="20"/>
          <w:szCs w:val="20"/>
          <w:color w:val="auto"/>
        </w:rPr>
      </w:pPr>
    </w:p>
    <w:p>
      <w:pPr>
        <w:ind w:left="2260" w:right="2680"/>
        <w:spacing w:after="0" w:line="270" w:lineRule="auto"/>
        <w:rPr>
          <w:sz w:val="20"/>
          <w:szCs w:val="20"/>
          <w:color w:val="auto"/>
        </w:rPr>
      </w:pPr>
      <w:r>
        <w:rPr>
          <w:rFonts w:ascii="Arial" w:cs="Arial" w:eastAsia="Arial" w:hAnsi="Arial"/>
          <w:sz w:val="13"/>
          <w:szCs w:val="13"/>
          <w:b w:val="1"/>
          <w:bCs w:val="1"/>
          <w:i w:val="1"/>
          <w:iCs w:val="1"/>
          <w:color w:val="auto"/>
        </w:rPr>
        <w:t>This Financial Report is a combined report for the following separate companies (each a separate Securities and Exchange Commission registrant):</w:t>
      </w:r>
    </w:p>
    <w:p>
      <w:pPr>
        <w:sectPr>
          <w:pgSz w:w="11900" w:h="16838" w:orient="portrait"/>
          <w:cols w:equalWidth="0" w:num="1">
            <w:col w:w="11440"/>
          </w:cols>
          <w:pgMar w:left="240" w:top="123" w:right="219" w:bottom="1440" w:gutter="0" w:footer="0" w:header="0"/>
        </w:sectPr>
      </w:pPr>
    </w:p>
    <w:p>
      <w:pPr>
        <w:spacing w:after="0" w:line="216" w:lineRule="exact"/>
        <w:rPr>
          <w:sz w:val="20"/>
          <w:szCs w:val="20"/>
          <w:color w:val="auto"/>
        </w:rPr>
      </w:pPr>
    </w:p>
    <w:p>
      <w:pPr>
        <w:ind w:left="2260"/>
        <w:spacing w:after="0"/>
        <w:rPr>
          <w:sz w:val="20"/>
          <w:szCs w:val="20"/>
          <w:color w:val="auto"/>
        </w:rPr>
      </w:pPr>
      <w:r>
        <w:rPr>
          <w:rFonts w:ascii="Arial" w:cs="Arial" w:eastAsia="Arial" w:hAnsi="Arial"/>
          <w:sz w:val="11"/>
          <w:szCs w:val="11"/>
          <w:b w:val="1"/>
          <w:bCs w:val="1"/>
          <w:i w:val="1"/>
          <w:iCs w:val="1"/>
          <w:color w:val="auto"/>
        </w:rPr>
        <w:t>Sempra Energy</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spacing w:after="0"/>
        <w:rPr>
          <w:sz w:val="20"/>
          <w:szCs w:val="20"/>
          <w:color w:val="auto"/>
        </w:rPr>
      </w:pPr>
      <w:r>
        <w:rPr>
          <w:rFonts w:ascii="Arial" w:cs="Arial" w:eastAsia="Arial" w:hAnsi="Arial"/>
          <w:sz w:val="11"/>
          <w:szCs w:val="11"/>
          <w:b w:val="1"/>
          <w:bCs w:val="1"/>
          <w:i w:val="1"/>
          <w:iCs w:val="1"/>
          <w:color w:val="auto"/>
        </w:rPr>
        <w:t>Pacific Enterprises</w:t>
      </w:r>
    </w:p>
    <w:p>
      <w:pPr>
        <w:spacing w:after="0" w:line="54" w:lineRule="exact"/>
        <w:rPr>
          <w:sz w:val="20"/>
          <w:szCs w:val="20"/>
          <w:color w:val="auto"/>
        </w:rPr>
      </w:pPr>
    </w:p>
    <w:p>
      <w:pPr>
        <w:sectPr>
          <w:pgSz w:w="11900" w:h="16838" w:orient="portrait"/>
          <w:cols w:equalWidth="0" w:num="2">
            <w:col w:w="5000" w:space="720"/>
            <w:col w:w="5720"/>
          </w:cols>
          <w:pgMar w:left="240" w:top="123" w:right="219" w:bottom="1440" w:gutter="0" w:footer="0" w:header="0"/>
          <w:type w:val="continuous"/>
        </w:sectPr>
      </w:pPr>
    </w:p>
    <w:p>
      <w:pPr>
        <w:ind w:left="2260"/>
        <w:spacing w:after="0"/>
        <w:rPr>
          <w:sz w:val="20"/>
          <w:szCs w:val="20"/>
          <w:color w:val="auto"/>
        </w:rPr>
      </w:pPr>
      <w:r>
        <w:rPr>
          <w:rFonts w:ascii="Arial" w:cs="Arial" w:eastAsia="Arial" w:hAnsi="Arial"/>
          <w:sz w:val="11"/>
          <w:szCs w:val="11"/>
          <w:b w:val="1"/>
          <w:bCs w:val="1"/>
          <w:i w:val="1"/>
          <w:iCs w:val="1"/>
          <w:color w:val="auto"/>
        </w:rPr>
        <w:t>San Diego Gas &amp; Electric Company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1"/>
          <w:szCs w:val="11"/>
          <w:b w:val="1"/>
          <w:bCs w:val="1"/>
          <w:i w:val="1"/>
          <w:iCs w:val="1"/>
          <w:color w:val="auto"/>
        </w:rPr>
        <w:t>Southern California Gas Company</w:t>
      </w:r>
    </w:p>
    <w:p>
      <w:pPr>
        <w:spacing w:after="0" w:line="200" w:lineRule="exact"/>
        <w:rPr>
          <w:sz w:val="20"/>
          <w:szCs w:val="20"/>
          <w:color w:val="auto"/>
        </w:rPr>
      </w:pPr>
    </w:p>
    <w:p>
      <w:pPr>
        <w:sectPr>
          <w:pgSz w:w="11900" w:h="16838" w:orient="portrait"/>
          <w:cols w:equalWidth="0" w:num="2">
            <w:col w:w="5000" w:space="720"/>
            <w:col w:w="5720"/>
          </w:cols>
          <w:pgMar w:left="240" w:top="123" w:right="219" w:bottom="1440" w:gutter="0" w:footer="0" w:header="0"/>
          <w:type w:val="continuous"/>
        </w:sectPr>
      </w:pPr>
    </w:p>
    <w:p>
      <w:pPr>
        <w:spacing w:after="0" w:line="222" w:lineRule="exact"/>
        <w:rPr>
          <w:sz w:val="20"/>
          <w:szCs w:val="20"/>
          <w:color w:val="auto"/>
        </w:rPr>
      </w:pPr>
    </w:p>
    <w:p>
      <w:pPr>
        <w:spacing w:after="0"/>
        <w:rPr>
          <w:sz w:val="20"/>
          <w:szCs w:val="20"/>
          <w:color w:val="auto"/>
        </w:rPr>
      </w:pPr>
      <w:r>
        <w:rPr>
          <w:rFonts w:ascii="Arial" w:cs="Arial" w:eastAsia="Arial" w:hAnsi="Arial"/>
          <w:sz w:val="10"/>
          <w:szCs w:val="10"/>
          <w:color w:val="auto"/>
        </w:rPr>
        <w:t>1</w:t>
      </w:r>
    </w:p>
    <w:p>
      <w:pPr>
        <w:sectPr>
          <w:pgSz w:w="11900" w:h="16838" w:orient="portrait"/>
          <w:cols w:equalWidth="0" w:num="1">
            <w:col w:w="11440"/>
          </w:cols>
          <w:pgMar w:left="240" w:top="123" w:right="219" w:bottom="1440" w:gutter="0" w:footer="0" w:header="0"/>
          <w:type w:val="continuous"/>
        </w:sectPr>
      </w:pPr>
    </w:p>
    <w:bookmarkStart w:id="141" w:name="page142"/>
    <w:bookmarkEnd w:id="141"/>
    <w:p>
      <w:pPr>
        <w:ind w:left="4"/>
        <w:spacing w:after="0"/>
        <w:rPr>
          <w:sz w:val="20"/>
          <w:szCs w:val="20"/>
          <w:color w:val="auto"/>
        </w:rPr>
      </w:pPr>
      <w:r>
        <w:rPr>
          <w:rFonts w:ascii="Arial" w:cs="Arial" w:eastAsia="Arial" w:hAnsi="Arial"/>
          <w:sz w:val="21"/>
          <w:szCs w:val="21"/>
          <w:color w:val="auto"/>
        </w:rPr>
        <w:t>MANAGEMENT'S DISCUSSION AND ANALYSIS OF FINANCIAL CONDITION AND RESULTS OF OPERATIONS</w:t>
      </w:r>
    </w:p>
    <w:p>
      <w:pPr>
        <w:spacing w:after="0" w:line="391" w:lineRule="exact"/>
        <w:rPr>
          <w:sz w:val="20"/>
          <w:szCs w:val="20"/>
          <w:color w:val="auto"/>
        </w:rPr>
      </w:pPr>
    </w:p>
    <w:p>
      <w:pPr>
        <w:ind w:left="4"/>
        <w:spacing w:after="0"/>
        <w:rPr>
          <w:sz w:val="20"/>
          <w:szCs w:val="20"/>
          <w:color w:val="auto"/>
        </w:rPr>
      </w:pPr>
      <w:r>
        <w:rPr>
          <w:rFonts w:ascii="Arial" w:cs="Arial" w:eastAsia="Arial" w:hAnsi="Arial"/>
          <w:sz w:val="16"/>
          <w:szCs w:val="16"/>
          <w:color w:val="auto"/>
        </w:rPr>
        <w:t>The following section of the 2008 Annual Report includes</w:t>
      </w:r>
    </w:p>
    <w:p>
      <w:pPr>
        <w:spacing w:after="0" w:line="44" w:lineRule="exact"/>
        <w:rPr>
          <w:sz w:val="20"/>
          <w:szCs w:val="20"/>
          <w:color w:val="auto"/>
        </w:rPr>
      </w:pPr>
    </w:p>
    <w:p>
      <w:pPr>
        <w:ind w:left="144" w:hanging="144"/>
        <w:spacing w:after="0"/>
        <w:tabs>
          <w:tab w:leader="none" w:pos="144" w:val="left"/>
        </w:tabs>
        <w:numPr>
          <w:ilvl w:val="0"/>
          <w:numId w:val="203"/>
        </w:numPr>
        <w:rPr>
          <w:rFonts w:ascii="Arial" w:cs="Arial" w:eastAsia="Arial" w:hAnsi="Arial"/>
          <w:sz w:val="16"/>
          <w:szCs w:val="16"/>
          <w:color w:val="auto"/>
        </w:rPr>
      </w:pPr>
      <w:r>
        <w:rPr>
          <w:rFonts w:ascii="Arial" w:cs="Arial" w:eastAsia="Arial" w:hAnsi="Arial"/>
          <w:sz w:val="16"/>
          <w:szCs w:val="16"/>
          <w:color w:val="auto"/>
        </w:rPr>
        <w:t>A description of our business</w:t>
      </w:r>
    </w:p>
    <w:p>
      <w:pPr>
        <w:spacing w:after="0" w:line="44" w:lineRule="exact"/>
        <w:rPr>
          <w:rFonts w:ascii="Arial" w:cs="Arial" w:eastAsia="Arial" w:hAnsi="Arial"/>
          <w:sz w:val="16"/>
          <w:szCs w:val="16"/>
          <w:color w:val="auto"/>
        </w:rPr>
      </w:pPr>
    </w:p>
    <w:p>
      <w:pPr>
        <w:ind w:left="144" w:hanging="144"/>
        <w:spacing w:after="0"/>
        <w:tabs>
          <w:tab w:leader="none" w:pos="144" w:val="left"/>
        </w:tabs>
        <w:numPr>
          <w:ilvl w:val="0"/>
          <w:numId w:val="203"/>
        </w:numPr>
        <w:rPr>
          <w:rFonts w:ascii="Arial" w:cs="Arial" w:eastAsia="Arial" w:hAnsi="Arial"/>
          <w:sz w:val="16"/>
          <w:szCs w:val="16"/>
          <w:color w:val="auto"/>
        </w:rPr>
      </w:pPr>
      <w:r>
        <w:rPr>
          <w:rFonts w:ascii="Arial" w:cs="Arial" w:eastAsia="Arial" w:hAnsi="Arial"/>
          <w:sz w:val="16"/>
          <w:szCs w:val="16"/>
          <w:color w:val="auto"/>
        </w:rPr>
        <w:t>An executive summary</w:t>
      </w:r>
    </w:p>
    <w:p>
      <w:pPr>
        <w:spacing w:after="0" w:line="44" w:lineRule="exact"/>
        <w:rPr>
          <w:rFonts w:ascii="Arial" w:cs="Arial" w:eastAsia="Arial" w:hAnsi="Arial"/>
          <w:sz w:val="16"/>
          <w:szCs w:val="16"/>
          <w:color w:val="auto"/>
        </w:rPr>
      </w:pPr>
    </w:p>
    <w:p>
      <w:pPr>
        <w:ind w:left="144" w:hanging="144"/>
        <w:spacing w:after="0"/>
        <w:tabs>
          <w:tab w:leader="none" w:pos="144" w:val="left"/>
        </w:tabs>
        <w:numPr>
          <w:ilvl w:val="0"/>
          <w:numId w:val="203"/>
        </w:numPr>
        <w:rPr>
          <w:rFonts w:ascii="Arial" w:cs="Arial" w:eastAsia="Arial" w:hAnsi="Arial"/>
          <w:sz w:val="16"/>
          <w:szCs w:val="16"/>
          <w:color w:val="auto"/>
        </w:rPr>
      </w:pPr>
      <w:r>
        <w:rPr>
          <w:rFonts w:ascii="Arial" w:cs="Arial" w:eastAsia="Arial" w:hAnsi="Arial"/>
          <w:sz w:val="16"/>
          <w:szCs w:val="16"/>
          <w:color w:val="auto"/>
        </w:rPr>
        <w:t>A discussion and analysis of our operating results for 2006 through 2008</w:t>
      </w:r>
    </w:p>
    <w:p>
      <w:pPr>
        <w:spacing w:after="0" w:line="44" w:lineRule="exact"/>
        <w:rPr>
          <w:rFonts w:ascii="Arial" w:cs="Arial" w:eastAsia="Arial" w:hAnsi="Arial"/>
          <w:sz w:val="16"/>
          <w:szCs w:val="16"/>
          <w:color w:val="auto"/>
        </w:rPr>
      </w:pPr>
    </w:p>
    <w:p>
      <w:pPr>
        <w:ind w:left="144" w:hanging="144"/>
        <w:spacing w:after="0"/>
        <w:tabs>
          <w:tab w:leader="none" w:pos="144" w:val="left"/>
        </w:tabs>
        <w:numPr>
          <w:ilvl w:val="0"/>
          <w:numId w:val="203"/>
        </w:numPr>
        <w:rPr>
          <w:rFonts w:ascii="Arial" w:cs="Arial" w:eastAsia="Arial" w:hAnsi="Arial"/>
          <w:sz w:val="16"/>
          <w:szCs w:val="16"/>
          <w:color w:val="auto"/>
        </w:rPr>
      </w:pPr>
      <w:r>
        <w:rPr>
          <w:rFonts w:ascii="Arial" w:cs="Arial" w:eastAsia="Arial" w:hAnsi="Arial"/>
          <w:sz w:val="16"/>
          <w:szCs w:val="16"/>
          <w:color w:val="auto"/>
        </w:rPr>
        <w:t>Information about our capital resources and liquidity</w:t>
      </w:r>
    </w:p>
    <w:p>
      <w:pPr>
        <w:spacing w:after="0" w:line="44" w:lineRule="exact"/>
        <w:rPr>
          <w:rFonts w:ascii="Arial" w:cs="Arial" w:eastAsia="Arial" w:hAnsi="Arial"/>
          <w:sz w:val="16"/>
          <w:szCs w:val="16"/>
          <w:color w:val="auto"/>
        </w:rPr>
      </w:pPr>
    </w:p>
    <w:p>
      <w:pPr>
        <w:ind w:left="144" w:hanging="144"/>
        <w:spacing w:after="0"/>
        <w:tabs>
          <w:tab w:leader="none" w:pos="144" w:val="left"/>
        </w:tabs>
        <w:numPr>
          <w:ilvl w:val="0"/>
          <w:numId w:val="203"/>
        </w:numPr>
        <w:rPr>
          <w:rFonts w:ascii="Arial" w:cs="Arial" w:eastAsia="Arial" w:hAnsi="Arial"/>
          <w:sz w:val="16"/>
          <w:szCs w:val="16"/>
          <w:color w:val="auto"/>
        </w:rPr>
      </w:pPr>
      <w:r>
        <w:rPr>
          <w:rFonts w:ascii="Arial" w:cs="Arial" w:eastAsia="Arial" w:hAnsi="Arial"/>
          <w:sz w:val="16"/>
          <w:szCs w:val="16"/>
          <w:color w:val="auto"/>
        </w:rPr>
        <w:t>Major factors expected to influence our future operating results</w:t>
      </w:r>
    </w:p>
    <w:p>
      <w:pPr>
        <w:spacing w:after="0" w:line="44" w:lineRule="exact"/>
        <w:rPr>
          <w:rFonts w:ascii="Arial" w:cs="Arial" w:eastAsia="Arial" w:hAnsi="Arial"/>
          <w:sz w:val="16"/>
          <w:szCs w:val="16"/>
          <w:color w:val="auto"/>
        </w:rPr>
      </w:pPr>
    </w:p>
    <w:p>
      <w:pPr>
        <w:ind w:left="144" w:hanging="144"/>
        <w:spacing w:after="0"/>
        <w:tabs>
          <w:tab w:leader="none" w:pos="144" w:val="left"/>
        </w:tabs>
        <w:numPr>
          <w:ilvl w:val="0"/>
          <w:numId w:val="203"/>
        </w:numPr>
        <w:rPr>
          <w:rFonts w:ascii="Arial" w:cs="Arial" w:eastAsia="Arial" w:hAnsi="Arial"/>
          <w:sz w:val="16"/>
          <w:szCs w:val="16"/>
          <w:color w:val="auto"/>
        </w:rPr>
      </w:pPr>
      <w:r>
        <w:rPr>
          <w:rFonts w:ascii="Arial" w:cs="Arial" w:eastAsia="Arial" w:hAnsi="Arial"/>
          <w:sz w:val="16"/>
          <w:szCs w:val="16"/>
          <w:color w:val="auto"/>
        </w:rPr>
        <w:t>A discussion of market risk affecting our businesses</w:t>
      </w:r>
    </w:p>
    <w:p>
      <w:pPr>
        <w:spacing w:after="0" w:line="44" w:lineRule="exact"/>
        <w:rPr>
          <w:rFonts w:ascii="Arial" w:cs="Arial" w:eastAsia="Arial" w:hAnsi="Arial"/>
          <w:sz w:val="16"/>
          <w:szCs w:val="16"/>
          <w:color w:val="auto"/>
        </w:rPr>
      </w:pPr>
    </w:p>
    <w:p>
      <w:pPr>
        <w:ind w:left="144" w:hanging="144"/>
        <w:spacing w:after="0"/>
        <w:tabs>
          <w:tab w:leader="none" w:pos="144" w:val="left"/>
        </w:tabs>
        <w:numPr>
          <w:ilvl w:val="0"/>
          <w:numId w:val="203"/>
        </w:numPr>
        <w:rPr>
          <w:rFonts w:ascii="Arial" w:cs="Arial" w:eastAsia="Arial" w:hAnsi="Arial"/>
          <w:sz w:val="16"/>
          <w:szCs w:val="16"/>
          <w:color w:val="auto"/>
        </w:rPr>
      </w:pPr>
      <w:r>
        <w:rPr>
          <w:rFonts w:ascii="Arial" w:cs="Arial" w:eastAsia="Arial" w:hAnsi="Arial"/>
          <w:sz w:val="16"/>
          <w:szCs w:val="16"/>
          <w:color w:val="auto"/>
        </w:rPr>
        <w:t>A table of accounting policies that we consider critical to our financial condition and results of operations</w:t>
      </w:r>
    </w:p>
    <w:p>
      <w:pPr>
        <w:spacing w:after="0" w:line="128" w:lineRule="exact"/>
        <w:rPr>
          <w:sz w:val="20"/>
          <w:szCs w:val="20"/>
          <w:color w:val="auto"/>
        </w:rPr>
      </w:pPr>
    </w:p>
    <w:p>
      <w:pPr>
        <w:ind w:left="4" w:right="20"/>
        <w:spacing w:after="0" w:line="277" w:lineRule="auto"/>
        <w:rPr>
          <w:sz w:val="20"/>
          <w:szCs w:val="20"/>
          <w:color w:val="auto"/>
        </w:rPr>
      </w:pPr>
      <w:r>
        <w:rPr>
          <w:rFonts w:ascii="Arial" w:cs="Arial" w:eastAsia="Arial" w:hAnsi="Arial"/>
          <w:sz w:val="16"/>
          <w:szCs w:val="16"/>
          <w:color w:val="auto"/>
        </w:rPr>
        <w:t>You should read Management's Discussion and Analysis of Financial Condition and Results of Operations in conjunction with the Consolidated Financial Statements included in this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203835</wp:posOffset>
            </wp:positionV>
            <wp:extent cx="7261860" cy="762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pacing w:after="0" w:line="357" w:lineRule="exact"/>
        <w:rPr>
          <w:sz w:val="20"/>
          <w:szCs w:val="20"/>
          <w:color w:val="auto"/>
        </w:rPr>
      </w:pPr>
    </w:p>
    <w:p>
      <w:pPr>
        <w:ind w:left="4"/>
        <w:spacing w:after="0"/>
        <w:rPr>
          <w:sz w:val="20"/>
          <w:szCs w:val="20"/>
          <w:color w:val="auto"/>
        </w:rPr>
      </w:pPr>
      <w:r>
        <w:rPr>
          <w:rFonts w:ascii="Arial" w:cs="Arial" w:eastAsia="Arial" w:hAnsi="Arial"/>
          <w:sz w:val="18"/>
          <w:szCs w:val="18"/>
          <w:color w:val="auto"/>
        </w:rPr>
        <w:t>OUR BUSINESS</w:t>
      </w:r>
    </w:p>
    <w:p>
      <w:pPr>
        <w:spacing w:after="0" w:line="60" w:lineRule="exact"/>
        <w:rPr>
          <w:sz w:val="20"/>
          <w:szCs w:val="20"/>
          <w:color w:val="auto"/>
        </w:rPr>
      </w:pPr>
    </w:p>
    <w:p>
      <w:pPr>
        <w:ind w:left="4"/>
        <w:spacing w:after="0" w:line="259" w:lineRule="auto"/>
        <w:rPr>
          <w:sz w:val="20"/>
          <w:szCs w:val="20"/>
          <w:color w:val="auto"/>
        </w:rPr>
      </w:pPr>
      <w:r>
        <w:rPr>
          <w:rFonts w:ascii="Arial" w:cs="Arial" w:eastAsia="Arial" w:hAnsi="Arial"/>
          <w:sz w:val="16"/>
          <w:szCs w:val="16"/>
          <w:color w:val="auto"/>
        </w:rPr>
        <w:t>Sempra Energy is a Fortune 500 energy services holding company whose business units provide electric, natural gas and other energy products and services to their customers. Our operations are divided principally between the Sempra Utilities and Sempra Global. The Sempra Utilities consist of two California regulated public utility companies, 1) San Diego Gas &amp; Electric Company (SDG&amp;E) and 2) Southern California Gas Company (SoCalGas). Sempra Global consists of businesses engaged in providing energy products and services. (See Figure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37465</wp:posOffset>
            </wp:positionV>
            <wp:extent cx="7317740" cy="549211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317740" cy="54921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3944"/>
        <w:spacing w:after="0"/>
        <w:rPr>
          <w:sz w:val="20"/>
          <w:szCs w:val="20"/>
          <w:color w:val="auto"/>
        </w:rPr>
      </w:pPr>
      <w:r>
        <w:rPr>
          <w:rFonts w:ascii="Arial" w:cs="Arial" w:eastAsia="Arial" w:hAnsi="Arial"/>
          <w:sz w:val="16"/>
          <w:szCs w:val="16"/>
          <w:color w:val="auto"/>
        </w:rPr>
        <w:t>Figure 1: Sempra Energy's Business Units</w:t>
      </w:r>
    </w:p>
    <w:p>
      <w:pPr>
        <w:sectPr>
          <w:pgSz w:w="11900" w:h="16838" w:orient="portrait"/>
          <w:cols w:equalWidth="0" w:num="1">
            <w:col w:w="11364"/>
          </w:cols>
          <w:pgMar w:left="236" w:top="143" w:right="2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4"/>
        <w:spacing w:after="0"/>
        <w:rPr>
          <w:sz w:val="20"/>
          <w:szCs w:val="20"/>
          <w:color w:val="auto"/>
        </w:rPr>
      </w:pPr>
      <w:r>
        <w:rPr>
          <w:rFonts w:ascii="Arial" w:cs="Arial" w:eastAsia="Arial" w:hAnsi="Arial"/>
          <w:sz w:val="10"/>
          <w:szCs w:val="10"/>
          <w:color w:val="auto"/>
        </w:rPr>
        <w:t>2</w:t>
      </w:r>
    </w:p>
    <w:p>
      <w:pPr>
        <w:sectPr>
          <w:pgSz w:w="11900" w:h="16838" w:orient="portrait"/>
          <w:cols w:equalWidth="0" w:num="1">
            <w:col w:w="11364"/>
          </w:cols>
          <w:pgMar w:left="236" w:top="143" w:right="299" w:bottom="1440" w:gutter="0" w:footer="0" w:header="0"/>
          <w:type w:val="continuous"/>
        </w:sectPr>
      </w:pPr>
    </w:p>
    <w:bookmarkStart w:id="142" w:name="page143"/>
    <w:bookmarkEnd w:id="142"/>
    <w:p>
      <w:pPr>
        <w:ind w:left="4"/>
        <w:spacing w:after="0"/>
        <w:rPr>
          <w:sz w:val="20"/>
          <w:szCs w:val="20"/>
          <w:color w:val="auto"/>
        </w:rPr>
      </w:pPr>
      <w:r>
        <w:rPr>
          <w:rFonts w:ascii="Arial" w:cs="Arial" w:eastAsia="Arial" w:hAnsi="Arial"/>
          <w:sz w:val="16"/>
          <w:szCs w:val="16"/>
          <w:color w:val="auto"/>
        </w:rPr>
        <w:t>This report includes information for the following separate registrants:</w:t>
      </w:r>
    </w:p>
    <w:p>
      <w:pPr>
        <w:spacing w:after="0" w:line="44" w:lineRule="exact"/>
        <w:rPr>
          <w:sz w:val="20"/>
          <w:szCs w:val="20"/>
          <w:color w:val="auto"/>
        </w:rPr>
      </w:pPr>
    </w:p>
    <w:p>
      <w:pPr>
        <w:ind w:left="144" w:hanging="144"/>
        <w:spacing w:after="0"/>
        <w:tabs>
          <w:tab w:leader="none" w:pos="144" w:val="left"/>
        </w:tabs>
        <w:numPr>
          <w:ilvl w:val="0"/>
          <w:numId w:val="204"/>
        </w:numPr>
        <w:rPr>
          <w:rFonts w:ascii="Arial" w:cs="Arial" w:eastAsia="Arial" w:hAnsi="Arial"/>
          <w:sz w:val="16"/>
          <w:szCs w:val="16"/>
          <w:color w:val="auto"/>
        </w:rPr>
      </w:pPr>
      <w:r>
        <w:rPr>
          <w:rFonts w:ascii="Arial" w:cs="Arial" w:eastAsia="Arial" w:hAnsi="Arial"/>
          <w:sz w:val="16"/>
          <w:szCs w:val="16"/>
          <w:color w:val="auto"/>
        </w:rPr>
        <w:t>Sempra Energy and its consolidated entities</w:t>
      </w:r>
    </w:p>
    <w:p>
      <w:pPr>
        <w:spacing w:after="0" w:line="44" w:lineRule="exact"/>
        <w:rPr>
          <w:rFonts w:ascii="Arial" w:cs="Arial" w:eastAsia="Arial" w:hAnsi="Arial"/>
          <w:sz w:val="16"/>
          <w:szCs w:val="16"/>
          <w:color w:val="auto"/>
        </w:rPr>
      </w:pPr>
    </w:p>
    <w:p>
      <w:pPr>
        <w:ind w:left="144" w:hanging="144"/>
        <w:spacing w:after="0"/>
        <w:tabs>
          <w:tab w:leader="none" w:pos="144" w:val="left"/>
        </w:tabs>
        <w:numPr>
          <w:ilvl w:val="0"/>
          <w:numId w:val="204"/>
        </w:numPr>
        <w:rPr>
          <w:rFonts w:ascii="Arial" w:cs="Arial" w:eastAsia="Arial" w:hAnsi="Arial"/>
          <w:sz w:val="16"/>
          <w:szCs w:val="16"/>
          <w:color w:val="auto"/>
        </w:rPr>
      </w:pPr>
      <w:r>
        <w:rPr>
          <w:rFonts w:ascii="Arial" w:cs="Arial" w:eastAsia="Arial" w:hAnsi="Arial"/>
          <w:sz w:val="16"/>
          <w:szCs w:val="16"/>
          <w:color w:val="auto"/>
        </w:rPr>
        <w:t>SDG&amp;E</w:t>
      </w:r>
    </w:p>
    <w:p>
      <w:pPr>
        <w:spacing w:after="0" w:line="44" w:lineRule="exact"/>
        <w:rPr>
          <w:rFonts w:ascii="Arial" w:cs="Arial" w:eastAsia="Arial" w:hAnsi="Arial"/>
          <w:sz w:val="16"/>
          <w:szCs w:val="16"/>
          <w:color w:val="auto"/>
        </w:rPr>
      </w:pPr>
    </w:p>
    <w:p>
      <w:pPr>
        <w:ind w:left="144" w:hanging="144"/>
        <w:spacing w:after="0"/>
        <w:tabs>
          <w:tab w:leader="none" w:pos="144" w:val="left"/>
        </w:tabs>
        <w:numPr>
          <w:ilvl w:val="0"/>
          <w:numId w:val="204"/>
        </w:numPr>
        <w:rPr>
          <w:rFonts w:ascii="Arial" w:cs="Arial" w:eastAsia="Arial" w:hAnsi="Arial"/>
          <w:sz w:val="16"/>
          <w:szCs w:val="16"/>
          <w:color w:val="auto"/>
        </w:rPr>
      </w:pPr>
      <w:r>
        <w:rPr>
          <w:rFonts w:ascii="Arial" w:cs="Arial" w:eastAsia="Arial" w:hAnsi="Arial"/>
          <w:sz w:val="16"/>
          <w:szCs w:val="16"/>
          <w:color w:val="auto"/>
        </w:rPr>
        <w:t>Pacific Enterprises (PE), the holding company for SoCalGas</w:t>
      </w:r>
    </w:p>
    <w:p>
      <w:pPr>
        <w:spacing w:after="0" w:line="44" w:lineRule="exact"/>
        <w:rPr>
          <w:rFonts w:ascii="Arial" w:cs="Arial" w:eastAsia="Arial" w:hAnsi="Arial"/>
          <w:sz w:val="16"/>
          <w:szCs w:val="16"/>
          <w:color w:val="auto"/>
        </w:rPr>
      </w:pPr>
    </w:p>
    <w:p>
      <w:pPr>
        <w:ind w:left="144" w:hanging="144"/>
        <w:spacing w:after="0"/>
        <w:tabs>
          <w:tab w:leader="none" w:pos="144" w:val="left"/>
        </w:tabs>
        <w:numPr>
          <w:ilvl w:val="0"/>
          <w:numId w:val="204"/>
        </w:numPr>
        <w:rPr>
          <w:rFonts w:ascii="Arial" w:cs="Arial" w:eastAsia="Arial" w:hAnsi="Arial"/>
          <w:sz w:val="16"/>
          <w:szCs w:val="16"/>
          <w:color w:val="auto"/>
        </w:rPr>
      </w:pPr>
      <w:r>
        <w:rPr>
          <w:rFonts w:ascii="Arial" w:cs="Arial" w:eastAsia="Arial" w:hAnsi="Arial"/>
          <w:sz w:val="16"/>
          <w:szCs w:val="16"/>
          <w:color w:val="auto"/>
        </w:rPr>
        <w:t>SoCalGas</w:t>
      </w:r>
    </w:p>
    <w:p>
      <w:pPr>
        <w:spacing w:after="0" w:line="128" w:lineRule="exact"/>
        <w:rPr>
          <w:sz w:val="20"/>
          <w:szCs w:val="20"/>
          <w:color w:val="auto"/>
        </w:rPr>
      </w:pPr>
    </w:p>
    <w:p>
      <w:pPr>
        <w:ind w:left="4" w:right="320"/>
        <w:spacing w:after="0" w:line="277" w:lineRule="auto"/>
        <w:rPr>
          <w:sz w:val="20"/>
          <w:szCs w:val="20"/>
          <w:color w:val="auto"/>
        </w:rPr>
      </w:pPr>
      <w:r>
        <w:rPr>
          <w:rFonts w:ascii="Arial" w:cs="Arial" w:eastAsia="Arial" w:hAnsi="Arial"/>
          <w:sz w:val="16"/>
          <w:szCs w:val="16"/>
          <w:color w:val="auto"/>
        </w:rPr>
        <w:t>References in this report to "we," "our" and "Sempra Energy Consolidated" are to Sempra Energy and its consolidated entities, collectively, unless otherwise indicated by its context.</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4"/>
          <w:szCs w:val="14"/>
          <w:color w:val="auto"/>
        </w:rPr>
        <w:t>PE's operations consist solely of those of SoCalGas and additional items (e.g., cash, intercompany accounts and equity) attributable to being a holding company for SoCalGas.</w:t>
      </w:r>
    </w:p>
    <w:p>
      <w:pPr>
        <w:spacing w:after="0" w:line="103" w:lineRule="exact"/>
        <w:rPr>
          <w:sz w:val="20"/>
          <w:szCs w:val="20"/>
          <w:color w:val="auto"/>
        </w:rPr>
      </w:pPr>
    </w:p>
    <w:p>
      <w:pPr>
        <w:ind w:left="4"/>
        <w:spacing w:after="0"/>
        <w:rPr>
          <w:sz w:val="20"/>
          <w:szCs w:val="20"/>
          <w:color w:val="auto"/>
        </w:rPr>
      </w:pPr>
      <w:r>
        <w:rPr>
          <w:rFonts w:ascii="Arial" w:cs="Arial" w:eastAsia="Arial" w:hAnsi="Arial"/>
          <w:sz w:val="16"/>
          <w:szCs w:val="16"/>
          <w:color w:val="auto"/>
        </w:rPr>
        <w:t>Below are the summary descriptions of our operating business units.</w:t>
      </w:r>
    </w:p>
    <w:p>
      <w:pPr>
        <w:spacing w:after="0" w:line="276"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auto"/>
        </w:rPr>
        <w:t>SEMPRA BUSINESS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1151890</wp:posOffset>
            </wp:positionH>
            <wp:positionV relativeFrom="paragraph">
              <wp:posOffset>201295</wp:posOffset>
            </wp:positionV>
            <wp:extent cx="4958080" cy="14478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4958080" cy="144780"/>
                    </a:xfrm>
                    <a:prstGeom prst="rect">
                      <a:avLst/>
                    </a:prstGeom>
                    <a:noFill/>
                  </pic:spPr>
                </pic:pic>
              </a:graphicData>
            </a:graphic>
          </wp:anchor>
        </w:drawing>
      </w:r>
    </w:p>
    <w:p>
      <w:pPr>
        <w:spacing w:after="0" w:line="329" w:lineRule="exact"/>
        <w:rPr>
          <w:sz w:val="20"/>
          <w:szCs w:val="20"/>
          <w:color w:val="auto"/>
        </w:rPr>
      </w:pPr>
    </w:p>
    <w:p>
      <w:pPr>
        <w:ind w:left="1824"/>
        <w:spacing w:after="0"/>
        <w:rPr>
          <w:sz w:val="20"/>
          <w:szCs w:val="20"/>
          <w:color w:val="auto"/>
        </w:rPr>
      </w:pPr>
      <w:r>
        <w:rPr>
          <w:rFonts w:ascii="Arial" w:cs="Arial" w:eastAsia="Arial" w:hAnsi="Arial"/>
          <w:sz w:val="14"/>
          <w:szCs w:val="14"/>
          <w:b w:val="1"/>
          <w:bCs w:val="1"/>
          <w:color w:val="auto"/>
        </w:rPr>
        <w:t>SEMPRA UTILITIES</w:t>
      </w:r>
    </w:p>
    <w:p>
      <w:pPr>
        <w:spacing w:after="0" w:line="36" w:lineRule="exact"/>
        <w:rPr>
          <w:sz w:val="20"/>
          <w:szCs w:val="20"/>
          <w:color w:val="auto"/>
        </w:rPr>
      </w:pPr>
    </w:p>
    <w:p>
      <w:pPr>
        <w:ind w:left="5444"/>
        <w:spacing w:after="0"/>
        <w:tabs>
          <w:tab w:leader="none" w:pos="7644" w:val="left"/>
        </w:tabs>
        <w:rPr>
          <w:sz w:val="20"/>
          <w:szCs w:val="20"/>
          <w:color w:val="auto"/>
        </w:rPr>
      </w:pPr>
      <w:r>
        <w:rPr>
          <w:rFonts w:ascii="Arial" w:cs="Arial" w:eastAsia="Arial" w:hAnsi="Arial"/>
          <w:sz w:val="13"/>
          <w:szCs w:val="13"/>
          <w:b w:val="1"/>
          <w:bCs w:val="1"/>
          <w:color w:val="auto"/>
        </w:rPr>
        <w:t>MARKET</w:t>
      </w:r>
      <w:r>
        <w:rPr>
          <w:sz w:val="20"/>
          <w:szCs w:val="20"/>
          <w:color w:val="auto"/>
        </w:rPr>
        <w:tab/>
      </w:r>
      <w:r>
        <w:rPr>
          <w:rFonts w:ascii="Arial" w:cs="Arial" w:eastAsia="Arial" w:hAnsi="Arial"/>
          <w:sz w:val="13"/>
          <w:szCs w:val="13"/>
          <w:b w:val="1"/>
          <w:bCs w:val="1"/>
          <w:color w:val="auto"/>
        </w:rPr>
        <w:t>SERVICE TERRITORY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1151890</wp:posOffset>
            </wp:positionH>
            <wp:positionV relativeFrom="paragraph">
              <wp:posOffset>41910</wp:posOffset>
            </wp:positionV>
            <wp:extent cx="4958080" cy="126365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4958080" cy="1263650"/>
                    </a:xfrm>
                    <a:prstGeom prst="rect">
                      <a:avLst/>
                    </a:prstGeom>
                    <a:noFill/>
                  </pic:spPr>
                </pic:pic>
              </a:graphicData>
            </a:graphic>
          </wp:anchor>
        </w:drawing>
      </w:r>
    </w:p>
    <w:p>
      <w:pPr>
        <w:sectPr>
          <w:pgSz w:w="11900" w:h="16838" w:orient="portrait"/>
          <w:cols w:equalWidth="0" w:num="1">
            <w:col w:w="11364"/>
          </w:cols>
          <w:pgMar w:left="236" w:top="127" w:right="299" w:bottom="1440" w:gutter="0" w:footer="0" w:header="0"/>
        </w:sectPr>
      </w:pPr>
    </w:p>
    <w:p>
      <w:pPr>
        <w:spacing w:after="0" w:line="74" w:lineRule="exact"/>
        <w:rPr>
          <w:sz w:val="20"/>
          <w:szCs w:val="20"/>
          <w:color w:val="auto"/>
        </w:rPr>
      </w:pPr>
    </w:p>
    <w:p>
      <w:pPr>
        <w:ind w:left="1824" w:right="160"/>
        <w:spacing w:after="0" w:line="264" w:lineRule="auto"/>
        <w:rPr>
          <w:sz w:val="20"/>
          <w:szCs w:val="20"/>
          <w:color w:val="auto"/>
        </w:rPr>
      </w:pPr>
      <w:r>
        <w:rPr>
          <w:rFonts w:ascii="Arial" w:cs="Arial" w:eastAsia="Arial" w:hAnsi="Arial"/>
          <w:sz w:val="14"/>
          <w:szCs w:val="14"/>
          <w:b w:val="1"/>
          <w:bCs w:val="1"/>
          <w:color w:val="auto"/>
        </w:rPr>
        <w:t>SAN DIEGO GAS AND ELECTRIC COMPANY (SDG&amp;E)</w:t>
      </w:r>
    </w:p>
    <w:p>
      <w:pPr>
        <w:ind w:left="1824"/>
        <w:spacing w:after="0" w:line="256" w:lineRule="auto"/>
        <w:rPr>
          <w:sz w:val="20"/>
          <w:szCs w:val="20"/>
          <w:color w:val="auto"/>
        </w:rPr>
      </w:pPr>
      <w:r>
        <w:rPr>
          <w:rFonts w:ascii="Arial" w:cs="Arial" w:eastAsia="Arial" w:hAnsi="Arial"/>
          <w:sz w:val="14"/>
          <w:szCs w:val="14"/>
          <w:color w:val="auto"/>
        </w:rPr>
        <w:t>A regulated public utility; infrastructure supports electric distribution and transmission, and natural gas distribution</w:t>
      </w:r>
    </w:p>
    <w:p>
      <w:pPr>
        <w:spacing w:after="0" w:line="20" w:lineRule="exact"/>
        <w:rPr>
          <w:sz w:val="20"/>
          <w:szCs w:val="20"/>
          <w:color w:val="auto"/>
        </w:rPr>
      </w:pPr>
      <w:r>
        <w:rPr>
          <w:sz w:val="20"/>
          <w:szCs w:val="20"/>
          <w:color w:val="auto"/>
        </w:rPr>
        <w:br w:type="column"/>
      </w:r>
    </w:p>
    <w:p>
      <w:pPr>
        <w:spacing w:after="0" w:line="72" w:lineRule="exact"/>
        <w:rPr>
          <w:sz w:val="20"/>
          <w:szCs w:val="20"/>
          <w:color w:val="auto"/>
        </w:rPr>
      </w:pPr>
    </w:p>
    <w:p>
      <w:pPr>
        <w:ind w:left="171" w:right="120" w:hanging="171"/>
        <w:spacing w:after="0" w:line="267" w:lineRule="auto"/>
        <w:tabs>
          <w:tab w:leader="none" w:pos="171" w:val="left"/>
        </w:tabs>
        <w:numPr>
          <w:ilvl w:val="0"/>
          <w:numId w:val="205"/>
        </w:numPr>
        <w:rPr>
          <w:rFonts w:ascii="Arial" w:cs="Arial" w:eastAsia="Arial" w:hAnsi="Arial"/>
          <w:sz w:val="14"/>
          <w:szCs w:val="14"/>
          <w:color w:val="auto"/>
        </w:rPr>
      </w:pPr>
      <w:r>
        <w:rPr>
          <w:rFonts w:ascii="Arial" w:cs="Arial" w:eastAsia="Arial" w:hAnsi="Arial"/>
          <w:sz w:val="14"/>
          <w:szCs w:val="14"/>
          <w:color w:val="auto"/>
        </w:rPr>
        <w:t>Provides electricity to 3.4 million consumers</w:t>
      </w:r>
    </w:p>
    <w:p>
      <w:pPr>
        <w:spacing w:after="0" w:line="14" w:lineRule="exact"/>
        <w:rPr>
          <w:rFonts w:ascii="Arial" w:cs="Arial" w:eastAsia="Arial" w:hAnsi="Arial"/>
          <w:sz w:val="14"/>
          <w:szCs w:val="14"/>
          <w:color w:val="auto"/>
        </w:rPr>
      </w:pPr>
    </w:p>
    <w:p>
      <w:pPr>
        <w:ind w:left="171" w:hanging="171"/>
        <w:spacing w:after="0" w:line="267" w:lineRule="auto"/>
        <w:tabs>
          <w:tab w:leader="none" w:pos="171" w:val="left"/>
        </w:tabs>
        <w:numPr>
          <w:ilvl w:val="0"/>
          <w:numId w:val="205"/>
        </w:numPr>
        <w:rPr>
          <w:rFonts w:ascii="Arial" w:cs="Arial" w:eastAsia="Arial" w:hAnsi="Arial"/>
          <w:sz w:val="14"/>
          <w:szCs w:val="14"/>
          <w:color w:val="auto"/>
        </w:rPr>
      </w:pPr>
      <w:r>
        <w:rPr>
          <w:rFonts w:ascii="Arial" w:cs="Arial" w:eastAsia="Arial" w:hAnsi="Arial"/>
          <w:sz w:val="14"/>
          <w:szCs w:val="14"/>
          <w:color w:val="auto"/>
        </w:rPr>
        <w:t>Provides natural gas to 3.1 million consumers</w:t>
      </w:r>
    </w:p>
    <w:p>
      <w:pPr>
        <w:spacing w:after="0" w:line="20" w:lineRule="exact"/>
        <w:rPr>
          <w:sz w:val="20"/>
          <w:szCs w:val="20"/>
          <w:color w:val="auto"/>
        </w:rPr>
      </w:pPr>
      <w:r>
        <w:rPr>
          <w:sz w:val="20"/>
          <w:szCs w:val="20"/>
          <w:color w:val="auto"/>
        </w:rPr>
        <w:br w:type="column"/>
      </w:r>
    </w:p>
    <w:p>
      <w:pPr>
        <w:spacing w:after="0" w:line="72" w:lineRule="exact"/>
        <w:rPr>
          <w:sz w:val="20"/>
          <w:szCs w:val="20"/>
          <w:color w:val="auto"/>
        </w:rPr>
      </w:pPr>
    </w:p>
    <w:p>
      <w:pPr>
        <w:ind w:right="1880"/>
        <w:spacing w:after="0" w:line="259" w:lineRule="auto"/>
        <w:rPr>
          <w:sz w:val="20"/>
          <w:szCs w:val="20"/>
          <w:color w:val="auto"/>
        </w:rPr>
      </w:pPr>
      <w:r>
        <w:rPr>
          <w:rFonts w:ascii="Arial" w:cs="Arial" w:eastAsia="Arial" w:hAnsi="Arial"/>
          <w:sz w:val="14"/>
          <w:szCs w:val="14"/>
          <w:color w:val="auto"/>
        </w:rPr>
        <w:t>Serves the county of San Diego, CA and southern Orange County covering 4,100 square miles</w:t>
      </w:r>
    </w:p>
    <w:p>
      <w:pPr>
        <w:spacing w:after="0" w:line="506" w:lineRule="exact"/>
        <w:rPr>
          <w:sz w:val="20"/>
          <w:szCs w:val="20"/>
          <w:color w:val="auto"/>
        </w:rPr>
      </w:pPr>
    </w:p>
    <w:p>
      <w:pPr>
        <w:sectPr>
          <w:pgSz w:w="11900" w:h="16838" w:orient="portrait"/>
          <w:cols w:equalWidth="0" w:num="3">
            <w:col w:w="4264" w:space="169"/>
            <w:col w:w="2331" w:space="280"/>
            <w:col w:w="4320"/>
          </w:cols>
          <w:pgMar w:left="236" w:top="127" w:right="299" w:bottom="1440" w:gutter="0" w:footer="0" w:header="0"/>
          <w:type w:val="continuous"/>
        </w:sectPr>
      </w:pPr>
    </w:p>
    <w:p>
      <w:pPr>
        <w:ind w:left="1824"/>
        <w:spacing w:after="0"/>
        <w:rPr>
          <w:sz w:val="20"/>
          <w:szCs w:val="20"/>
          <w:color w:val="auto"/>
        </w:rPr>
      </w:pPr>
      <w:r>
        <w:rPr>
          <w:rFonts w:ascii="Arial" w:cs="Arial" w:eastAsia="Arial" w:hAnsi="Arial"/>
          <w:sz w:val="14"/>
          <w:szCs w:val="14"/>
          <w:b w:val="1"/>
          <w:bCs w:val="1"/>
          <w:color w:val="auto"/>
        </w:rPr>
        <w:t>SOUTHERN CALIFORNIA GAS</w:t>
      </w:r>
    </w:p>
    <w:p>
      <w:pPr>
        <w:spacing w:after="0" w:line="25" w:lineRule="exact"/>
        <w:rPr>
          <w:sz w:val="20"/>
          <w:szCs w:val="20"/>
          <w:color w:val="auto"/>
        </w:rPr>
      </w:pPr>
    </w:p>
    <w:p>
      <w:pPr>
        <w:ind w:left="1824"/>
        <w:spacing w:after="0"/>
        <w:rPr>
          <w:sz w:val="20"/>
          <w:szCs w:val="20"/>
          <w:color w:val="auto"/>
        </w:rPr>
      </w:pPr>
      <w:r>
        <w:rPr>
          <w:rFonts w:ascii="Arial" w:cs="Arial" w:eastAsia="Arial" w:hAnsi="Arial"/>
          <w:sz w:val="14"/>
          <w:szCs w:val="14"/>
          <w:b w:val="1"/>
          <w:bCs w:val="1"/>
          <w:color w:val="auto"/>
        </w:rPr>
        <w:t>COMPANY (SOCALGAS)</w:t>
      </w:r>
    </w:p>
    <w:p>
      <w:pPr>
        <w:spacing w:after="0" w:line="7" w:lineRule="exact"/>
        <w:rPr>
          <w:sz w:val="20"/>
          <w:szCs w:val="20"/>
          <w:color w:val="auto"/>
        </w:rPr>
      </w:pPr>
    </w:p>
    <w:p>
      <w:pPr>
        <w:ind w:left="1824"/>
        <w:spacing w:after="0" w:line="259" w:lineRule="auto"/>
        <w:rPr>
          <w:sz w:val="20"/>
          <w:szCs w:val="20"/>
          <w:color w:val="auto"/>
        </w:rPr>
      </w:pPr>
      <w:r>
        <w:rPr>
          <w:rFonts w:ascii="Arial" w:cs="Arial" w:eastAsia="Arial" w:hAnsi="Arial"/>
          <w:sz w:val="14"/>
          <w:szCs w:val="14"/>
          <w:color w:val="auto"/>
        </w:rPr>
        <w:t>A regulated public utility; infrastructure supports natural gas distribution, transmission and storage</w:t>
      </w:r>
    </w:p>
    <w:p>
      <w:pPr>
        <w:spacing w:after="0" w:line="20" w:lineRule="exact"/>
        <w:rPr>
          <w:sz w:val="20"/>
          <w:szCs w:val="20"/>
          <w:color w:val="auto"/>
        </w:rPr>
      </w:pPr>
      <w:r>
        <w:rPr>
          <w:sz w:val="20"/>
          <w:szCs w:val="20"/>
          <w:color w:val="auto"/>
        </w:rPr>
        <w:br w:type="column"/>
      </w:r>
    </w:p>
    <w:p>
      <w:pPr>
        <w:ind w:left="171" w:hanging="171"/>
        <w:spacing w:after="0" w:line="259" w:lineRule="auto"/>
        <w:tabs>
          <w:tab w:leader="none" w:pos="171" w:val="left"/>
        </w:tabs>
        <w:numPr>
          <w:ilvl w:val="0"/>
          <w:numId w:val="206"/>
        </w:numPr>
        <w:rPr>
          <w:rFonts w:ascii="Arial" w:cs="Arial" w:eastAsia="Arial" w:hAnsi="Arial"/>
          <w:sz w:val="14"/>
          <w:szCs w:val="14"/>
          <w:color w:val="auto"/>
        </w:rPr>
      </w:pPr>
      <w:r>
        <w:rPr>
          <w:rFonts w:ascii="Arial" w:cs="Arial" w:eastAsia="Arial" w:hAnsi="Arial"/>
          <w:sz w:val="14"/>
          <w:szCs w:val="14"/>
          <w:color w:val="auto"/>
        </w:rPr>
        <w:t>Residential, commercial, industrial, utility electric generation and wholesale customers</w:t>
      </w:r>
    </w:p>
    <w:p>
      <w:pPr>
        <w:spacing w:after="0" w:line="19" w:lineRule="exact"/>
        <w:rPr>
          <w:rFonts w:ascii="Arial" w:cs="Arial" w:eastAsia="Arial" w:hAnsi="Arial"/>
          <w:sz w:val="14"/>
          <w:szCs w:val="14"/>
          <w:color w:val="auto"/>
        </w:rPr>
      </w:pPr>
    </w:p>
    <w:p>
      <w:pPr>
        <w:ind w:left="171" w:hanging="171"/>
        <w:spacing w:after="0"/>
        <w:tabs>
          <w:tab w:leader="none" w:pos="171" w:val="left"/>
        </w:tabs>
        <w:numPr>
          <w:ilvl w:val="0"/>
          <w:numId w:val="206"/>
        </w:numPr>
        <w:rPr>
          <w:rFonts w:ascii="Arial" w:cs="Arial" w:eastAsia="Arial" w:hAnsi="Arial"/>
          <w:sz w:val="14"/>
          <w:szCs w:val="14"/>
          <w:color w:val="auto"/>
        </w:rPr>
      </w:pPr>
      <w:r>
        <w:rPr>
          <w:rFonts w:ascii="Arial" w:cs="Arial" w:eastAsia="Arial" w:hAnsi="Arial"/>
          <w:sz w:val="14"/>
          <w:szCs w:val="14"/>
          <w:color w:val="auto"/>
        </w:rPr>
        <w:t>Covers a population of 20.5 million</w:t>
      </w:r>
    </w:p>
    <w:p>
      <w:pPr>
        <w:spacing w:after="0" w:line="20" w:lineRule="exact"/>
        <w:rPr>
          <w:sz w:val="20"/>
          <w:szCs w:val="20"/>
          <w:color w:val="auto"/>
        </w:rPr>
      </w:pPr>
      <w:r>
        <w:rPr>
          <w:sz w:val="20"/>
          <w:szCs w:val="20"/>
          <w:color w:val="auto"/>
        </w:rPr>
        <w:br w:type="column"/>
      </w:r>
    </w:p>
    <w:p>
      <w:pPr>
        <w:ind w:right="1800"/>
        <w:spacing w:after="0" w:line="254" w:lineRule="auto"/>
        <w:rPr>
          <w:sz w:val="20"/>
          <w:szCs w:val="20"/>
          <w:color w:val="auto"/>
        </w:rPr>
      </w:pPr>
      <w:r>
        <w:rPr>
          <w:rFonts w:ascii="Arial" w:cs="Arial" w:eastAsia="Arial" w:hAnsi="Arial"/>
          <w:sz w:val="14"/>
          <w:szCs w:val="14"/>
          <w:color w:val="auto"/>
        </w:rPr>
        <w:t>Southern California and portions of Central California (excluding San Diego County, the city of Long Beach and the desert area of San Bernardino County) covering 20,000 square miles</w:t>
      </w:r>
    </w:p>
    <w:p>
      <w:pPr>
        <w:spacing w:after="0" w:line="205" w:lineRule="exact"/>
        <w:rPr>
          <w:sz w:val="20"/>
          <w:szCs w:val="20"/>
          <w:color w:val="auto"/>
        </w:rPr>
      </w:pPr>
    </w:p>
    <w:p>
      <w:pPr>
        <w:sectPr>
          <w:pgSz w:w="11900" w:h="16838" w:orient="portrait"/>
          <w:cols w:equalWidth="0" w:num="3">
            <w:col w:w="4264" w:space="169"/>
            <w:col w:w="2391" w:space="220"/>
            <w:col w:w="4320"/>
          </w:cols>
          <w:pgMar w:left="236" w:top="127" w:right="299" w:bottom="1440" w:gutter="0" w:footer="0" w:header="0"/>
          <w:type w:val="continuous"/>
        </w:sectPr>
      </w:pPr>
    </w:p>
    <w:p>
      <w:pPr>
        <w:spacing w:after="0" w:line="93" w:lineRule="exact"/>
        <w:rPr>
          <w:sz w:val="20"/>
          <w:szCs w:val="20"/>
          <w:color w:val="auto"/>
        </w:rPr>
      </w:pPr>
    </w:p>
    <w:p>
      <w:pPr>
        <w:ind w:left="4"/>
        <w:spacing w:after="0"/>
        <w:rPr>
          <w:sz w:val="20"/>
          <w:szCs w:val="20"/>
          <w:color w:val="auto"/>
        </w:rPr>
      </w:pPr>
      <w:r>
        <w:rPr>
          <w:rFonts w:ascii="Arial" w:cs="Arial" w:eastAsia="Arial" w:hAnsi="Arial"/>
          <w:sz w:val="16"/>
          <w:szCs w:val="16"/>
          <w:color w:val="auto"/>
        </w:rPr>
        <w:t>The Sempra Utilities consist of SDG&amp;E and SoCalGas.</w:t>
      </w:r>
    </w:p>
    <w:p>
      <w:pPr>
        <w:spacing w:after="0" w:line="80" w:lineRule="exact"/>
        <w:rPr>
          <w:sz w:val="20"/>
          <w:szCs w:val="20"/>
          <w:color w:val="auto"/>
        </w:rPr>
      </w:pPr>
    </w:p>
    <w:p>
      <w:pPr>
        <w:ind w:left="4"/>
        <w:spacing w:after="0"/>
        <w:rPr>
          <w:sz w:val="20"/>
          <w:szCs w:val="20"/>
          <w:color w:val="auto"/>
        </w:rPr>
      </w:pPr>
      <w:r>
        <w:rPr>
          <w:rFonts w:ascii="Arial" w:cs="Arial" w:eastAsia="Arial" w:hAnsi="Arial"/>
          <w:sz w:val="16"/>
          <w:szCs w:val="16"/>
          <w:b w:val="1"/>
          <w:bCs w:val="1"/>
          <w:i w:val="1"/>
          <w:iCs w:val="1"/>
          <w:color w:val="auto"/>
        </w:rPr>
        <w:t>SDG&amp;E</w:t>
      </w:r>
    </w:p>
    <w:p>
      <w:pPr>
        <w:spacing w:after="0" w:line="80" w:lineRule="exact"/>
        <w:rPr>
          <w:sz w:val="20"/>
          <w:szCs w:val="20"/>
          <w:color w:val="auto"/>
        </w:rPr>
      </w:pPr>
    </w:p>
    <w:p>
      <w:pPr>
        <w:ind w:left="4" w:right="40"/>
        <w:spacing w:after="0" w:line="282" w:lineRule="auto"/>
        <w:rPr>
          <w:sz w:val="20"/>
          <w:szCs w:val="20"/>
          <w:color w:val="auto"/>
        </w:rPr>
      </w:pPr>
      <w:r>
        <w:rPr>
          <w:rFonts w:ascii="Arial" w:cs="Arial" w:eastAsia="Arial" w:hAnsi="Arial"/>
          <w:sz w:val="15"/>
          <w:szCs w:val="15"/>
          <w:color w:val="auto"/>
        </w:rPr>
        <w:t>SDG&amp;E provides electricity to 3.4 million consumers and natural gas to 3.1 million consumers. It delivers the electricity through 1.4 million meters in San Diego County and an adjacent portion of southern Orange County, California. SDG&amp;E's electric energy is purchased from others or generated from its Palomar and Miramar electric generation facilities and its 20-percent ownership interest in the San Onofre Nuclear Generating Station (SONGS). SDG&amp;E also delivers natural gas through 840,000 meters in San Diego County and transports electricity and natural gas for others. SDG&amp;E's service territory encompasses 4,100 square miles.</w:t>
      </w:r>
    </w:p>
    <w:p>
      <w:pPr>
        <w:spacing w:after="0" w:line="30" w:lineRule="exact"/>
        <w:rPr>
          <w:sz w:val="20"/>
          <w:szCs w:val="20"/>
          <w:color w:val="auto"/>
        </w:rPr>
      </w:pPr>
    </w:p>
    <w:p>
      <w:pPr>
        <w:ind w:left="4" w:right="400"/>
        <w:spacing w:after="0" w:line="277" w:lineRule="auto"/>
        <w:rPr>
          <w:sz w:val="20"/>
          <w:szCs w:val="20"/>
          <w:color w:val="auto"/>
        </w:rPr>
      </w:pPr>
      <w:r>
        <w:rPr>
          <w:rFonts w:ascii="Arial" w:cs="Arial" w:eastAsia="Arial" w:hAnsi="Arial"/>
          <w:sz w:val="16"/>
          <w:szCs w:val="16"/>
          <w:color w:val="auto"/>
        </w:rPr>
        <w:t>Sempra Energy indirectly owns all of the common stock of SDG&amp;E. SDG&amp;E also has issued publicly held preferred stock. The preferred stock has liquidation preferences totaling $79 million and represents less than 3% of the ordinary voting power of SDG&amp;E shares.</w:t>
      </w:r>
    </w:p>
    <w:p>
      <w:pPr>
        <w:spacing w:after="0" w:line="32" w:lineRule="exact"/>
        <w:rPr>
          <w:sz w:val="20"/>
          <w:szCs w:val="20"/>
          <w:color w:val="auto"/>
        </w:rPr>
      </w:pPr>
    </w:p>
    <w:p>
      <w:pPr>
        <w:ind w:left="4"/>
        <w:spacing w:after="0" w:line="277" w:lineRule="auto"/>
        <w:rPr>
          <w:sz w:val="20"/>
          <w:szCs w:val="20"/>
          <w:color w:val="auto"/>
        </w:rPr>
      </w:pPr>
      <w:r>
        <w:rPr>
          <w:rFonts w:ascii="Arial" w:cs="Arial" w:eastAsia="Arial" w:hAnsi="Arial"/>
          <w:sz w:val="16"/>
          <w:szCs w:val="16"/>
          <w:color w:val="auto"/>
        </w:rPr>
        <w:t>SDG&amp;E's financial statements include a variable interest entity, Otay Mesa Energy Center LLC (Otay Mesa VIE), as we discuss in Note 1 of the Notes to Consolidated Financial Statements.</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6"/>
          <w:szCs w:val="16"/>
          <w:b w:val="1"/>
          <w:bCs w:val="1"/>
          <w:i w:val="1"/>
          <w:iCs w:val="1"/>
          <w:color w:val="auto"/>
        </w:rPr>
        <w:t>SoCalGas</w:t>
      </w:r>
    </w:p>
    <w:p>
      <w:pPr>
        <w:spacing w:after="0" w:line="80" w:lineRule="exact"/>
        <w:rPr>
          <w:sz w:val="20"/>
          <w:szCs w:val="20"/>
          <w:color w:val="auto"/>
        </w:rPr>
      </w:pPr>
    </w:p>
    <w:p>
      <w:pPr>
        <w:ind w:left="4" w:right="40"/>
        <w:spacing w:after="0" w:line="277" w:lineRule="auto"/>
        <w:rPr>
          <w:sz w:val="20"/>
          <w:szCs w:val="20"/>
          <w:color w:val="auto"/>
        </w:rPr>
      </w:pPr>
      <w:r>
        <w:rPr>
          <w:rFonts w:ascii="Arial" w:cs="Arial" w:eastAsia="Arial" w:hAnsi="Arial"/>
          <w:sz w:val="16"/>
          <w:szCs w:val="16"/>
          <w:color w:val="auto"/>
        </w:rPr>
        <w:t>SoCalGas is the nation's largest natural gas distribution utility. SoCalGas owns and operates a natural gas distribution, transmission, and storage system that supplies natural gas to approximately 20,000 square miles of</w:t>
      </w:r>
    </w:p>
    <w:p>
      <w:pPr>
        <w:spacing w:after="0" w:line="200" w:lineRule="exact"/>
        <w:rPr>
          <w:sz w:val="20"/>
          <w:szCs w:val="20"/>
          <w:color w:val="auto"/>
        </w:rPr>
      </w:pPr>
    </w:p>
    <w:p>
      <w:pPr>
        <w:spacing w:after="0" w:line="292" w:lineRule="exact"/>
        <w:rPr>
          <w:sz w:val="20"/>
          <w:szCs w:val="20"/>
          <w:color w:val="auto"/>
        </w:rPr>
      </w:pPr>
    </w:p>
    <w:p>
      <w:pPr>
        <w:ind w:left="4"/>
        <w:spacing w:after="0"/>
        <w:rPr>
          <w:sz w:val="20"/>
          <w:szCs w:val="20"/>
          <w:color w:val="auto"/>
        </w:rPr>
      </w:pPr>
      <w:r>
        <w:rPr>
          <w:rFonts w:ascii="Arial" w:cs="Arial" w:eastAsia="Arial" w:hAnsi="Arial"/>
          <w:sz w:val="14"/>
          <w:szCs w:val="14"/>
          <w:color w:val="auto"/>
        </w:rPr>
        <w:t>3</w:t>
      </w:r>
    </w:p>
    <w:p>
      <w:pPr>
        <w:sectPr>
          <w:pgSz w:w="11900" w:h="16838" w:orient="portrait"/>
          <w:cols w:equalWidth="0" w:num="1">
            <w:col w:w="11364"/>
          </w:cols>
          <w:pgMar w:left="236" w:top="127" w:right="299" w:bottom="1440" w:gutter="0" w:footer="0" w:header="0"/>
          <w:type w:val="continuous"/>
        </w:sectPr>
      </w:pPr>
    </w:p>
    <w:bookmarkStart w:id="143" w:name="page144"/>
    <w:bookmarkEnd w:id="143"/>
    <w:p>
      <w:pPr>
        <w:ind w:left="4" w:right="240"/>
        <w:spacing w:after="0" w:line="264" w:lineRule="auto"/>
        <w:rPr>
          <w:sz w:val="20"/>
          <w:szCs w:val="20"/>
          <w:color w:val="auto"/>
        </w:rPr>
      </w:pPr>
      <w:r>
        <w:rPr>
          <w:rFonts w:ascii="Arial" w:cs="Arial" w:eastAsia="Arial" w:hAnsi="Arial"/>
          <w:sz w:val="16"/>
          <w:szCs w:val="16"/>
          <w:color w:val="auto"/>
        </w:rPr>
        <w:t>service territory. Its service territory extends from San Luis Obispo, California in the north to the Mexican border in the south, excluding San Diego County, the city of Long Beach and the desert area of San Bernardino County. SoCalGas provides natural gas service to residential, commercial, industrial, utility electric generation and wholesale customers through 5.7 million meters, covering a population of 20.5 million.</w:t>
      </w:r>
    </w:p>
    <w:p>
      <w:pPr>
        <w:spacing w:after="0" w:line="42" w:lineRule="exact"/>
        <w:rPr>
          <w:sz w:val="20"/>
          <w:szCs w:val="20"/>
          <w:color w:val="auto"/>
        </w:rPr>
      </w:pPr>
    </w:p>
    <w:p>
      <w:pPr>
        <w:ind w:left="4" w:right="80"/>
        <w:spacing w:after="0" w:line="264" w:lineRule="auto"/>
        <w:rPr>
          <w:sz w:val="20"/>
          <w:szCs w:val="20"/>
          <w:color w:val="auto"/>
        </w:rPr>
      </w:pPr>
      <w:r>
        <w:rPr>
          <w:rFonts w:ascii="Arial" w:cs="Arial" w:eastAsia="Arial" w:hAnsi="Arial"/>
          <w:sz w:val="16"/>
          <w:szCs w:val="16"/>
          <w:color w:val="auto"/>
        </w:rPr>
        <w:t>Sempra Energy owns all of the common stock of PE and PE owns all of the common stock of SoCalGas. PE and SoCalGas also have publicly held preferred stock, which represents less than 1% of the ordinary voting power of each company. The PE and SoCalGas preferred stock have liquidation preferences totaling $80 million and $22 million,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1151890</wp:posOffset>
            </wp:positionH>
            <wp:positionV relativeFrom="paragraph">
              <wp:posOffset>171450</wp:posOffset>
            </wp:positionV>
            <wp:extent cx="4958080" cy="14478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4958080" cy="144780"/>
                    </a:xfrm>
                    <a:prstGeom prst="rect">
                      <a:avLst/>
                    </a:prstGeom>
                    <a:noFill/>
                  </pic:spPr>
                </pic:pic>
              </a:graphicData>
            </a:graphic>
          </wp:anchor>
        </w:drawing>
      </w:r>
    </w:p>
    <w:p>
      <w:pPr>
        <w:spacing w:after="0" w:line="282" w:lineRule="exact"/>
        <w:rPr>
          <w:sz w:val="20"/>
          <w:szCs w:val="20"/>
          <w:color w:val="auto"/>
        </w:rPr>
      </w:pPr>
    </w:p>
    <w:p>
      <w:pPr>
        <w:ind w:left="1824"/>
        <w:spacing w:after="0"/>
        <w:rPr>
          <w:sz w:val="20"/>
          <w:szCs w:val="20"/>
          <w:color w:val="auto"/>
        </w:rPr>
      </w:pPr>
      <w:r>
        <w:rPr>
          <w:rFonts w:ascii="Arial" w:cs="Arial" w:eastAsia="Arial" w:hAnsi="Arial"/>
          <w:sz w:val="14"/>
          <w:szCs w:val="14"/>
          <w:b w:val="1"/>
          <w:bCs w:val="1"/>
          <w:color w:val="auto"/>
        </w:rPr>
        <w:t>SEMPRA GLOBAL</w:t>
      </w:r>
    </w:p>
    <w:p>
      <w:pPr>
        <w:spacing w:after="0" w:line="84" w:lineRule="exact"/>
        <w:rPr>
          <w:sz w:val="20"/>
          <w:szCs w:val="20"/>
          <w:color w:val="auto"/>
        </w:rPr>
      </w:pPr>
    </w:p>
    <w:tbl>
      <w:tblPr>
        <w:tblLayout w:type="fixed"/>
        <w:tblInd w:w="1804" w:type="dxa"/>
        <w:tblCellMar>
          <w:top w:w="0" w:type="dxa"/>
          <w:left w:w="0" w:type="dxa"/>
          <w:bottom w:w="0" w:type="dxa"/>
          <w:right w:w="0" w:type="dxa"/>
        </w:tblCellMar>
      </w:tblPr>
      <w:tr>
        <w:trPr>
          <w:trHeight w:val="168"/>
        </w:trPr>
        <w:tc>
          <w:tcPr>
            <w:tcW w:w="26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500" w:type="dxa"/>
            <w:vAlign w:val="bottom"/>
            <w:tcBorders>
              <w:bottom w:val="single" w:sz="8" w:color="auto"/>
            </w:tcBorders>
          </w:tcPr>
          <w:p>
            <w:pPr>
              <w:ind w:left="900"/>
              <w:spacing w:after="0"/>
              <w:rPr>
                <w:sz w:val="20"/>
                <w:szCs w:val="20"/>
                <w:color w:val="auto"/>
              </w:rPr>
            </w:pPr>
            <w:r>
              <w:rPr>
                <w:rFonts w:ascii="Arial" w:cs="Arial" w:eastAsia="Arial" w:hAnsi="Arial"/>
                <w:sz w:val="13"/>
                <w:szCs w:val="13"/>
                <w:b w:val="1"/>
                <w:bCs w:val="1"/>
                <w:color w:val="auto"/>
              </w:rPr>
              <w:t>MARKET</w:t>
            </w:r>
          </w:p>
        </w:tc>
        <w:tc>
          <w:tcPr>
            <w:tcW w:w="2580" w:type="dxa"/>
            <w:vAlign w:val="bottom"/>
            <w:tcBorders>
              <w:bottom w:val="single" w:sz="8" w:color="auto"/>
            </w:tcBorders>
          </w:tcPr>
          <w:p>
            <w:pPr>
              <w:ind w:left="580"/>
              <w:spacing w:after="0"/>
              <w:rPr>
                <w:sz w:val="20"/>
                <w:szCs w:val="20"/>
                <w:color w:val="auto"/>
              </w:rPr>
            </w:pPr>
            <w:r>
              <w:rPr>
                <w:rFonts w:ascii="Arial" w:cs="Arial" w:eastAsia="Arial" w:hAnsi="Arial"/>
                <w:sz w:val="13"/>
                <w:szCs w:val="13"/>
                <w:b w:val="1"/>
                <w:bCs w:val="1"/>
                <w:color w:val="auto"/>
              </w:rPr>
              <w:t>GEOGRAPHIC REGION</w:t>
            </w:r>
          </w:p>
        </w:tc>
        <w:tc>
          <w:tcPr>
            <w:tcW w:w="0" w:type="dxa"/>
            <w:vAlign w:val="bottom"/>
          </w:tcPr>
          <w:p>
            <w:pPr>
              <w:spacing w:after="0"/>
              <w:rPr>
                <w:sz w:val="1"/>
                <w:szCs w:val="1"/>
                <w:color w:val="auto"/>
              </w:rPr>
            </w:pPr>
          </w:p>
        </w:tc>
      </w:tr>
      <w:tr>
        <w:trPr>
          <w:trHeight w:val="174"/>
        </w:trPr>
        <w:tc>
          <w:tcPr>
            <w:tcW w:w="2620" w:type="dxa"/>
            <w:vAlign w:val="bottom"/>
            <w:tcBorders>
              <w:right w:val="single" w:sz="8" w:color="auto"/>
            </w:tcBorders>
          </w:tcPr>
          <w:p>
            <w:pPr>
              <w:ind w:left="20"/>
              <w:spacing w:after="0"/>
              <w:rPr>
                <w:sz w:val="20"/>
                <w:szCs w:val="20"/>
                <w:color w:val="auto"/>
              </w:rPr>
            </w:pPr>
            <w:r>
              <w:rPr>
                <w:rFonts w:ascii="Arial" w:cs="Arial" w:eastAsia="Arial" w:hAnsi="Arial"/>
                <w:sz w:val="14"/>
                <w:szCs w:val="14"/>
                <w:b w:val="1"/>
                <w:bCs w:val="1"/>
                <w:color w:val="auto"/>
              </w:rPr>
              <w:t>SEMPRA COMMODITIES</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2500" w:type="dxa"/>
            <w:vAlign w:val="bottom"/>
            <w:tcBorders>
              <w:right w:val="single" w:sz="8" w:color="auto"/>
            </w:tcBorders>
          </w:tcPr>
          <w:p>
            <w:pPr>
              <w:ind w:left="60"/>
              <w:spacing w:after="0"/>
              <w:rPr>
                <w:sz w:val="20"/>
                <w:szCs w:val="20"/>
                <w:color w:val="auto"/>
              </w:rPr>
            </w:pPr>
            <w:r>
              <w:rPr>
                <w:rFonts w:ascii="Arial" w:cs="Arial" w:eastAsia="Arial" w:hAnsi="Arial"/>
                <w:sz w:val="14"/>
                <w:szCs w:val="14"/>
                <w:color w:val="auto"/>
              </w:rPr>
              <w:t>Natural gas; natural gas liquids</w:t>
            </w:r>
          </w:p>
        </w:tc>
        <w:tc>
          <w:tcPr>
            <w:tcW w:w="2580" w:type="dxa"/>
            <w:vAlign w:val="bottom"/>
          </w:tcPr>
          <w:p>
            <w:pPr>
              <w:spacing w:after="0"/>
              <w:rPr>
                <w:sz w:val="20"/>
                <w:szCs w:val="20"/>
                <w:color w:val="auto"/>
              </w:rPr>
            </w:pPr>
            <w:r>
              <w:rPr>
                <w:rFonts w:ascii="Arial" w:cs="Arial" w:eastAsia="Arial" w:hAnsi="Arial"/>
                <w:sz w:val="14"/>
                <w:szCs w:val="14"/>
                <w:color w:val="auto"/>
              </w:rPr>
              <w:t>Global</w:t>
            </w:r>
          </w:p>
        </w:tc>
        <w:tc>
          <w:tcPr>
            <w:tcW w:w="0" w:type="dxa"/>
            <w:vAlign w:val="bottom"/>
          </w:tcPr>
          <w:p>
            <w:pPr>
              <w:spacing w:after="0"/>
              <w:rPr>
                <w:sz w:val="1"/>
                <w:szCs w:val="1"/>
                <w:color w:val="auto"/>
              </w:rPr>
            </w:pPr>
          </w:p>
        </w:tc>
      </w:tr>
      <w:tr>
        <w:trPr>
          <w:trHeight w:val="168"/>
        </w:trPr>
        <w:tc>
          <w:tcPr>
            <w:tcW w:w="262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RBS Sempra Commodities, a joint</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2500" w:type="dxa"/>
            <w:vAlign w:val="bottom"/>
            <w:tcBorders>
              <w:right w:val="single" w:sz="8" w:color="auto"/>
            </w:tcBorders>
          </w:tcPr>
          <w:p>
            <w:pPr>
              <w:ind w:left="60"/>
              <w:spacing w:after="0"/>
              <w:rPr>
                <w:sz w:val="20"/>
                <w:szCs w:val="20"/>
                <w:color w:val="auto"/>
              </w:rPr>
            </w:pPr>
            <w:r>
              <w:rPr>
                <w:rFonts w:ascii="Arial" w:cs="Arial" w:eastAsia="Arial" w:hAnsi="Arial"/>
                <w:sz w:val="14"/>
                <w:szCs w:val="14"/>
                <w:color w:val="auto"/>
              </w:rPr>
              <w:t>Power</w:t>
            </w:r>
          </w:p>
        </w:tc>
        <w:tc>
          <w:tcPr>
            <w:tcW w:w="2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62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venture with The Royal Bank of</w:t>
            </w: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w w:val="76"/>
              </w:rPr>
              <w:t>§</w:t>
            </w:r>
          </w:p>
        </w:tc>
        <w:tc>
          <w:tcPr>
            <w:tcW w:w="2500" w:type="dxa"/>
            <w:vAlign w:val="bottom"/>
            <w:tcBorders>
              <w:right w:val="single" w:sz="8" w:color="auto"/>
            </w:tcBorders>
            <w:vMerge w:val="restart"/>
          </w:tcPr>
          <w:p>
            <w:pPr>
              <w:ind w:left="60"/>
              <w:spacing w:after="0"/>
              <w:rPr>
                <w:sz w:val="20"/>
                <w:szCs w:val="20"/>
                <w:color w:val="auto"/>
              </w:rPr>
            </w:pPr>
            <w:r>
              <w:rPr>
                <w:rFonts w:ascii="Arial" w:cs="Arial" w:eastAsia="Arial" w:hAnsi="Arial"/>
                <w:sz w:val="14"/>
                <w:szCs w:val="14"/>
                <w:color w:val="auto"/>
              </w:rPr>
              <w:t>Petroleum and petroleum products</w:t>
            </w:r>
          </w:p>
        </w:tc>
        <w:tc>
          <w:tcPr>
            <w:tcW w:w="2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6"/>
        </w:trPr>
        <w:tc>
          <w:tcPr>
            <w:tcW w:w="262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Scotland (RBS), a commodities-</w:t>
            </w:r>
          </w:p>
        </w:tc>
        <w:tc>
          <w:tcPr>
            <w:tcW w:w="120" w:type="dxa"/>
            <w:vAlign w:val="bottom"/>
            <w:vMerge w:val="continue"/>
          </w:tcPr>
          <w:p>
            <w:pPr>
              <w:spacing w:after="0"/>
              <w:rPr>
                <w:sz w:val="6"/>
                <w:szCs w:val="6"/>
                <w:color w:val="auto"/>
              </w:rPr>
            </w:pPr>
          </w:p>
        </w:tc>
        <w:tc>
          <w:tcPr>
            <w:tcW w:w="2500" w:type="dxa"/>
            <w:vAlign w:val="bottom"/>
            <w:tcBorders>
              <w:right w:val="single" w:sz="8" w:color="auto"/>
            </w:tcBorders>
            <w:vMerge w:val="continue"/>
          </w:tcPr>
          <w:p>
            <w:pPr>
              <w:spacing w:after="0"/>
              <w:rPr>
                <w:sz w:val="6"/>
                <w:szCs w:val="6"/>
                <w:color w:val="auto"/>
              </w:rPr>
            </w:pPr>
          </w:p>
        </w:tc>
        <w:tc>
          <w:tcPr>
            <w:tcW w:w="25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2"/>
        </w:trPr>
        <w:tc>
          <w:tcPr>
            <w:tcW w:w="2620" w:type="dxa"/>
            <w:vAlign w:val="bottom"/>
            <w:tcBorders>
              <w:right w:val="single" w:sz="8" w:color="auto"/>
            </w:tcBorders>
            <w:vMerge w:val="continue"/>
          </w:tcPr>
          <w:p>
            <w:pPr>
              <w:spacing w:after="0"/>
              <w:rPr>
                <w:sz w:val="7"/>
                <w:szCs w:val="7"/>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w w:val="76"/>
              </w:rPr>
              <w:t>§</w:t>
            </w:r>
          </w:p>
        </w:tc>
        <w:tc>
          <w:tcPr>
            <w:tcW w:w="2500" w:type="dxa"/>
            <w:vAlign w:val="bottom"/>
            <w:tcBorders>
              <w:right w:val="single" w:sz="8" w:color="auto"/>
            </w:tcBorders>
            <w:vMerge w:val="restart"/>
          </w:tcPr>
          <w:p>
            <w:pPr>
              <w:ind w:left="60"/>
              <w:spacing w:after="0"/>
              <w:rPr>
                <w:sz w:val="20"/>
                <w:szCs w:val="20"/>
                <w:color w:val="auto"/>
              </w:rPr>
            </w:pPr>
            <w:r>
              <w:rPr>
                <w:rFonts w:ascii="Arial" w:cs="Arial" w:eastAsia="Arial" w:hAnsi="Arial"/>
                <w:sz w:val="14"/>
                <w:szCs w:val="14"/>
                <w:color w:val="auto"/>
              </w:rPr>
              <w:t>Coal</w:t>
            </w:r>
          </w:p>
        </w:tc>
        <w:tc>
          <w:tcPr>
            <w:tcW w:w="2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2"/>
        </w:trPr>
        <w:tc>
          <w:tcPr>
            <w:tcW w:w="262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marketing business</w:t>
            </w:r>
          </w:p>
        </w:tc>
        <w:tc>
          <w:tcPr>
            <w:tcW w:w="120" w:type="dxa"/>
            <w:vAlign w:val="bottom"/>
            <w:vMerge w:val="continue"/>
          </w:tcPr>
          <w:p>
            <w:pPr>
              <w:spacing w:after="0"/>
              <w:rPr>
                <w:sz w:val="9"/>
                <w:szCs w:val="9"/>
                <w:color w:val="auto"/>
              </w:rPr>
            </w:pPr>
          </w:p>
        </w:tc>
        <w:tc>
          <w:tcPr>
            <w:tcW w:w="2500" w:type="dxa"/>
            <w:vAlign w:val="bottom"/>
            <w:tcBorders>
              <w:right w:val="single" w:sz="8" w:color="auto"/>
            </w:tcBorders>
            <w:vMerge w:val="continue"/>
          </w:tcPr>
          <w:p>
            <w:pPr>
              <w:spacing w:after="0"/>
              <w:rPr>
                <w:sz w:val="9"/>
                <w:szCs w:val="9"/>
                <w:color w:val="auto"/>
              </w:rPr>
            </w:pPr>
          </w:p>
        </w:tc>
        <w:tc>
          <w:tcPr>
            <w:tcW w:w="2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0"/>
        </w:trPr>
        <w:tc>
          <w:tcPr>
            <w:tcW w:w="2620" w:type="dxa"/>
            <w:vAlign w:val="bottom"/>
            <w:tcBorders>
              <w:right w:val="single" w:sz="8" w:color="auto"/>
            </w:tcBorders>
            <w:vMerge w:val="continue"/>
          </w:tcPr>
          <w:p>
            <w:pPr>
              <w:spacing w:after="0"/>
              <w:rPr>
                <w:sz w:val="5"/>
                <w:szCs w:val="5"/>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w w:val="76"/>
              </w:rPr>
              <w:t>§</w:t>
            </w:r>
          </w:p>
        </w:tc>
        <w:tc>
          <w:tcPr>
            <w:tcW w:w="2500" w:type="dxa"/>
            <w:vAlign w:val="bottom"/>
            <w:tcBorders>
              <w:right w:val="single" w:sz="8" w:color="auto"/>
            </w:tcBorders>
            <w:vMerge w:val="restart"/>
          </w:tcPr>
          <w:p>
            <w:pPr>
              <w:ind w:left="60"/>
              <w:spacing w:after="0"/>
              <w:rPr>
                <w:sz w:val="20"/>
                <w:szCs w:val="20"/>
                <w:color w:val="auto"/>
              </w:rPr>
            </w:pPr>
            <w:r>
              <w:rPr>
                <w:rFonts w:ascii="Arial" w:cs="Arial" w:eastAsia="Arial" w:hAnsi="Arial"/>
                <w:sz w:val="14"/>
                <w:szCs w:val="14"/>
                <w:color w:val="auto"/>
              </w:rPr>
              <w:t>Emissions</w:t>
            </w:r>
          </w:p>
        </w:tc>
        <w:tc>
          <w:tcPr>
            <w:tcW w:w="25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4"/>
        </w:trPr>
        <w:tc>
          <w:tcPr>
            <w:tcW w:w="2620" w:type="dxa"/>
            <w:vAlign w:val="bottom"/>
            <w:tcBorders>
              <w:right w:val="single" w:sz="8" w:color="auto"/>
            </w:tcBorders>
          </w:tcPr>
          <w:p>
            <w:pPr>
              <w:spacing w:after="0"/>
              <w:rPr>
                <w:sz w:val="12"/>
                <w:szCs w:val="12"/>
                <w:color w:val="auto"/>
              </w:rPr>
            </w:pPr>
          </w:p>
        </w:tc>
        <w:tc>
          <w:tcPr>
            <w:tcW w:w="120" w:type="dxa"/>
            <w:vAlign w:val="bottom"/>
            <w:vMerge w:val="continue"/>
          </w:tcPr>
          <w:p>
            <w:pPr>
              <w:spacing w:after="0"/>
              <w:rPr>
                <w:sz w:val="12"/>
                <w:szCs w:val="12"/>
                <w:color w:val="auto"/>
              </w:rPr>
            </w:pPr>
          </w:p>
        </w:tc>
        <w:tc>
          <w:tcPr>
            <w:tcW w:w="2500" w:type="dxa"/>
            <w:vAlign w:val="bottom"/>
            <w:tcBorders>
              <w:right w:val="single" w:sz="8" w:color="auto"/>
            </w:tcBorders>
            <w:vMerge w:val="continue"/>
          </w:tcPr>
          <w:p>
            <w:pPr>
              <w:spacing w:after="0"/>
              <w:rPr>
                <w:sz w:val="12"/>
                <w:szCs w:val="12"/>
                <w:color w:val="auto"/>
              </w:rPr>
            </w:pPr>
          </w:p>
        </w:tc>
        <w:tc>
          <w:tcPr>
            <w:tcW w:w="2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4"/>
        </w:trPr>
        <w:tc>
          <w:tcPr>
            <w:tcW w:w="2620" w:type="dxa"/>
            <w:vAlign w:val="bottom"/>
            <w:tcBorders>
              <w:right w:val="single" w:sz="8" w:color="auto"/>
            </w:tcBorders>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2500" w:type="dxa"/>
            <w:vAlign w:val="bottom"/>
            <w:tcBorders>
              <w:right w:val="single" w:sz="8" w:color="auto"/>
            </w:tcBorders>
          </w:tcPr>
          <w:p>
            <w:pPr>
              <w:ind w:left="60"/>
              <w:spacing w:after="0"/>
              <w:rPr>
                <w:sz w:val="20"/>
                <w:szCs w:val="20"/>
                <w:color w:val="auto"/>
              </w:rPr>
            </w:pPr>
            <w:r>
              <w:rPr>
                <w:rFonts w:ascii="Arial" w:cs="Arial" w:eastAsia="Arial" w:hAnsi="Arial"/>
                <w:sz w:val="14"/>
                <w:szCs w:val="14"/>
                <w:color w:val="auto"/>
              </w:rPr>
              <w:t>Ethanol</w:t>
            </w:r>
          </w:p>
        </w:tc>
        <w:tc>
          <w:tcPr>
            <w:tcW w:w="2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620" w:type="dxa"/>
            <w:vAlign w:val="bottom"/>
            <w:tcBorders>
              <w:right w:val="single" w:sz="8" w:color="auto"/>
            </w:tcBorders>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2500" w:type="dxa"/>
            <w:vAlign w:val="bottom"/>
            <w:tcBorders>
              <w:right w:val="single" w:sz="8" w:color="auto"/>
            </w:tcBorders>
          </w:tcPr>
          <w:p>
            <w:pPr>
              <w:ind w:left="60"/>
              <w:spacing w:after="0"/>
              <w:rPr>
                <w:sz w:val="20"/>
                <w:szCs w:val="20"/>
                <w:color w:val="auto"/>
              </w:rPr>
            </w:pPr>
            <w:r>
              <w:rPr>
                <w:rFonts w:ascii="Arial" w:cs="Arial" w:eastAsia="Arial" w:hAnsi="Arial"/>
                <w:sz w:val="14"/>
                <w:szCs w:val="14"/>
                <w:color w:val="auto"/>
              </w:rPr>
              <w:t>Base metals</w:t>
            </w:r>
          </w:p>
        </w:tc>
        <w:tc>
          <w:tcPr>
            <w:tcW w:w="2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2"/>
        </w:trPr>
        <w:tc>
          <w:tcPr>
            <w:tcW w:w="2620" w:type="dxa"/>
            <w:vAlign w:val="bottom"/>
            <w:tcBorders>
              <w:bottom w:val="single" w:sz="8" w:color="auto"/>
              <w:right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500" w:type="dxa"/>
            <w:vAlign w:val="bottom"/>
            <w:tcBorders>
              <w:bottom w:val="single" w:sz="8" w:color="auto"/>
              <w:right w:val="single" w:sz="8" w:color="auto"/>
            </w:tcBorders>
          </w:tcPr>
          <w:p>
            <w:pPr>
              <w:spacing w:after="0"/>
              <w:rPr>
                <w:sz w:val="3"/>
                <w:szCs w:val="3"/>
                <w:color w:val="auto"/>
              </w:rPr>
            </w:pPr>
          </w:p>
        </w:tc>
        <w:tc>
          <w:tcPr>
            <w:tcW w:w="25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4"/>
        </w:trPr>
        <w:tc>
          <w:tcPr>
            <w:tcW w:w="2620" w:type="dxa"/>
            <w:vAlign w:val="bottom"/>
            <w:tcBorders>
              <w:right w:val="single" w:sz="8" w:color="auto"/>
            </w:tcBorders>
          </w:tcPr>
          <w:p>
            <w:pPr>
              <w:ind w:left="20"/>
              <w:spacing w:after="0"/>
              <w:rPr>
                <w:sz w:val="20"/>
                <w:szCs w:val="20"/>
                <w:color w:val="auto"/>
              </w:rPr>
            </w:pPr>
            <w:r>
              <w:rPr>
                <w:rFonts w:ascii="Arial" w:cs="Arial" w:eastAsia="Arial" w:hAnsi="Arial"/>
                <w:sz w:val="14"/>
                <w:szCs w:val="14"/>
                <w:b w:val="1"/>
                <w:bCs w:val="1"/>
                <w:color w:val="auto"/>
              </w:rPr>
              <w:t>SEMPRA GENERATION</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2500" w:type="dxa"/>
            <w:vAlign w:val="bottom"/>
            <w:tcBorders>
              <w:right w:val="single" w:sz="8" w:color="auto"/>
            </w:tcBorders>
          </w:tcPr>
          <w:p>
            <w:pPr>
              <w:ind w:left="60"/>
              <w:spacing w:after="0"/>
              <w:rPr>
                <w:sz w:val="20"/>
                <w:szCs w:val="20"/>
                <w:color w:val="auto"/>
              </w:rPr>
            </w:pPr>
            <w:r>
              <w:rPr>
                <w:rFonts w:ascii="Arial" w:cs="Arial" w:eastAsia="Arial" w:hAnsi="Arial"/>
                <w:sz w:val="14"/>
                <w:szCs w:val="14"/>
                <w:color w:val="auto"/>
              </w:rPr>
              <w:t>Wholesale electricity</w:t>
            </w:r>
          </w:p>
        </w:tc>
        <w:tc>
          <w:tcPr>
            <w:tcW w:w="2580" w:type="dxa"/>
            <w:vAlign w:val="bottom"/>
          </w:tcPr>
          <w:p>
            <w:pPr>
              <w:spacing w:after="0"/>
              <w:rPr>
                <w:sz w:val="20"/>
                <w:szCs w:val="20"/>
                <w:color w:val="auto"/>
              </w:rPr>
            </w:pPr>
            <w:r>
              <w:rPr>
                <w:rFonts w:ascii="Arial" w:cs="Arial" w:eastAsia="Arial" w:hAnsi="Arial"/>
                <w:sz w:val="14"/>
                <w:szCs w:val="14"/>
                <w:color w:val="auto"/>
              </w:rPr>
              <w:t>U.S.A.</w:t>
            </w:r>
          </w:p>
        </w:tc>
        <w:tc>
          <w:tcPr>
            <w:tcW w:w="0" w:type="dxa"/>
            <w:vAlign w:val="bottom"/>
          </w:tcPr>
          <w:p>
            <w:pPr>
              <w:spacing w:after="0"/>
              <w:rPr>
                <w:sz w:val="1"/>
                <w:szCs w:val="1"/>
                <w:color w:val="auto"/>
              </w:rPr>
            </w:pPr>
          </w:p>
        </w:tc>
      </w:tr>
      <w:tr>
        <w:trPr>
          <w:trHeight w:val="168"/>
        </w:trPr>
        <w:tc>
          <w:tcPr>
            <w:tcW w:w="262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Develops, owns and operates electric</w:t>
            </w:r>
          </w:p>
        </w:tc>
        <w:tc>
          <w:tcPr>
            <w:tcW w:w="120" w:type="dxa"/>
            <w:vAlign w:val="bottom"/>
          </w:tcPr>
          <w:p>
            <w:pPr>
              <w:spacing w:after="0"/>
              <w:rPr>
                <w:sz w:val="14"/>
                <w:szCs w:val="14"/>
                <w:color w:val="auto"/>
              </w:rPr>
            </w:pPr>
          </w:p>
        </w:tc>
        <w:tc>
          <w:tcPr>
            <w:tcW w:w="2500" w:type="dxa"/>
            <w:vAlign w:val="bottom"/>
            <w:tcBorders>
              <w:right w:val="single" w:sz="8" w:color="auto"/>
            </w:tcBorders>
          </w:tcPr>
          <w:p>
            <w:pPr>
              <w:spacing w:after="0"/>
              <w:rPr>
                <w:sz w:val="14"/>
                <w:szCs w:val="14"/>
                <w:color w:val="auto"/>
              </w:rPr>
            </w:pPr>
          </w:p>
        </w:tc>
        <w:tc>
          <w:tcPr>
            <w:tcW w:w="2580" w:type="dxa"/>
            <w:vAlign w:val="bottom"/>
          </w:tcPr>
          <w:p>
            <w:pPr>
              <w:spacing w:after="0"/>
              <w:rPr>
                <w:sz w:val="20"/>
                <w:szCs w:val="20"/>
                <w:color w:val="auto"/>
              </w:rPr>
            </w:pPr>
            <w:r>
              <w:rPr>
                <w:rFonts w:ascii="Arial" w:cs="Arial" w:eastAsia="Arial" w:hAnsi="Arial"/>
                <w:sz w:val="14"/>
                <w:szCs w:val="14"/>
                <w:color w:val="auto"/>
              </w:rPr>
              <w:t>Mexico</w:t>
            </w:r>
          </w:p>
        </w:tc>
        <w:tc>
          <w:tcPr>
            <w:tcW w:w="0" w:type="dxa"/>
            <w:vAlign w:val="bottom"/>
          </w:tcPr>
          <w:p>
            <w:pPr>
              <w:spacing w:after="0"/>
              <w:rPr>
                <w:sz w:val="1"/>
                <w:szCs w:val="1"/>
                <w:color w:val="auto"/>
              </w:rPr>
            </w:pPr>
          </w:p>
        </w:tc>
      </w:tr>
      <w:tr>
        <w:trPr>
          <w:trHeight w:val="175"/>
        </w:trPr>
        <w:tc>
          <w:tcPr>
            <w:tcW w:w="26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power plants</w:t>
            </w:r>
          </w:p>
        </w:tc>
        <w:tc>
          <w:tcPr>
            <w:tcW w:w="120" w:type="dxa"/>
            <w:vAlign w:val="bottom"/>
            <w:tcBorders>
              <w:bottom w:val="single" w:sz="8" w:color="auto"/>
            </w:tcBorders>
          </w:tcPr>
          <w:p>
            <w:pPr>
              <w:spacing w:after="0"/>
              <w:rPr>
                <w:sz w:val="15"/>
                <w:szCs w:val="15"/>
                <w:color w:val="auto"/>
              </w:rPr>
            </w:pPr>
          </w:p>
        </w:tc>
        <w:tc>
          <w:tcPr>
            <w:tcW w:w="2500" w:type="dxa"/>
            <w:vAlign w:val="bottom"/>
            <w:tcBorders>
              <w:bottom w:val="single" w:sz="8" w:color="auto"/>
              <w:right w:val="single" w:sz="8" w:color="auto"/>
            </w:tcBorders>
          </w:tcPr>
          <w:p>
            <w:pPr>
              <w:spacing w:after="0"/>
              <w:rPr>
                <w:sz w:val="15"/>
                <w:szCs w:val="15"/>
                <w:color w:val="auto"/>
              </w:rPr>
            </w:pPr>
          </w:p>
        </w:tc>
        <w:tc>
          <w:tcPr>
            <w:tcW w:w="25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2620" w:type="dxa"/>
            <w:vAlign w:val="bottom"/>
            <w:tcBorders>
              <w:right w:val="single" w:sz="8" w:color="auto"/>
            </w:tcBorders>
          </w:tcPr>
          <w:p>
            <w:pPr>
              <w:ind w:left="20"/>
              <w:spacing w:after="0"/>
              <w:rPr>
                <w:sz w:val="20"/>
                <w:szCs w:val="20"/>
                <w:color w:val="auto"/>
              </w:rPr>
            </w:pPr>
            <w:r>
              <w:rPr>
                <w:rFonts w:ascii="Arial" w:cs="Arial" w:eastAsia="Arial" w:hAnsi="Arial"/>
                <w:sz w:val="14"/>
                <w:szCs w:val="14"/>
                <w:b w:val="1"/>
                <w:bCs w:val="1"/>
                <w:color w:val="auto"/>
              </w:rPr>
              <w:t>SEMPRA PIPELINES &amp; STORAGE</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2500" w:type="dxa"/>
            <w:vAlign w:val="bottom"/>
            <w:tcBorders>
              <w:right w:val="single" w:sz="8" w:color="auto"/>
            </w:tcBorders>
          </w:tcPr>
          <w:p>
            <w:pPr>
              <w:ind w:left="60"/>
              <w:spacing w:after="0"/>
              <w:rPr>
                <w:sz w:val="20"/>
                <w:szCs w:val="20"/>
                <w:color w:val="auto"/>
              </w:rPr>
            </w:pPr>
            <w:r>
              <w:rPr>
                <w:rFonts w:ascii="Arial" w:cs="Arial" w:eastAsia="Arial" w:hAnsi="Arial"/>
                <w:sz w:val="14"/>
                <w:szCs w:val="14"/>
                <w:color w:val="auto"/>
              </w:rPr>
              <w:t>Natural gas</w:t>
            </w:r>
          </w:p>
        </w:tc>
        <w:tc>
          <w:tcPr>
            <w:tcW w:w="2580" w:type="dxa"/>
            <w:vAlign w:val="bottom"/>
          </w:tcPr>
          <w:p>
            <w:pPr>
              <w:spacing w:after="0"/>
              <w:rPr>
                <w:sz w:val="20"/>
                <w:szCs w:val="20"/>
                <w:color w:val="auto"/>
              </w:rPr>
            </w:pPr>
            <w:r>
              <w:rPr>
                <w:rFonts w:ascii="Arial" w:cs="Arial" w:eastAsia="Arial" w:hAnsi="Arial"/>
                <w:sz w:val="14"/>
                <w:szCs w:val="14"/>
                <w:color w:val="auto"/>
              </w:rPr>
              <w:t>U.S.A.</w:t>
            </w:r>
          </w:p>
        </w:tc>
        <w:tc>
          <w:tcPr>
            <w:tcW w:w="0" w:type="dxa"/>
            <w:vAlign w:val="bottom"/>
          </w:tcPr>
          <w:p>
            <w:pPr>
              <w:spacing w:after="0"/>
              <w:rPr>
                <w:sz w:val="1"/>
                <w:szCs w:val="1"/>
                <w:color w:val="auto"/>
              </w:rPr>
            </w:pPr>
          </w:p>
        </w:tc>
      </w:tr>
      <w:tr>
        <w:trPr>
          <w:trHeight w:val="168"/>
        </w:trPr>
        <w:tc>
          <w:tcPr>
            <w:tcW w:w="262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Develops, owns and operates, or holds</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2500" w:type="dxa"/>
            <w:vAlign w:val="bottom"/>
            <w:tcBorders>
              <w:right w:val="single" w:sz="8" w:color="auto"/>
            </w:tcBorders>
          </w:tcPr>
          <w:p>
            <w:pPr>
              <w:ind w:left="60"/>
              <w:spacing w:after="0"/>
              <w:rPr>
                <w:sz w:val="20"/>
                <w:szCs w:val="20"/>
                <w:color w:val="auto"/>
              </w:rPr>
            </w:pPr>
            <w:r>
              <w:rPr>
                <w:rFonts w:ascii="Arial" w:cs="Arial" w:eastAsia="Arial" w:hAnsi="Arial"/>
                <w:sz w:val="14"/>
                <w:szCs w:val="14"/>
                <w:color w:val="auto"/>
              </w:rPr>
              <w:t>Electricity</w:t>
            </w:r>
          </w:p>
        </w:tc>
        <w:tc>
          <w:tcPr>
            <w:tcW w:w="2580" w:type="dxa"/>
            <w:vAlign w:val="bottom"/>
          </w:tcPr>
          <w:p>
            <w:pPr>
              <w:spacing w:after="0"/>
              <w:rPr>
                <w:sz w:val="20"/>
                <w:szCs w:val="20"/>
                <w:color w:val="auto"/>
              </w:rPr>
            </w:pPr>
            <w:r>
              <w:rPr>
                <w:rFonts w:ascii="Arial" w:cs="Arial" w:eastAsia="Arial" w:hAnsi="Arial"/>
                <w:sz w:val="14"/>
                <w:szCs w:val="14"/>
                <w:color w:val="auto"/>
              </w:rPr>
              <w:t>Mexico</w:t>
            </w:r>
          </w:p>
        </w:tc>
        <w:tc>
          <w:tcPr>
            <w:tcW w:w="0" w:type="dxa"/>
            <w:vAlign w:val="bottom"/>
          </w:tcPr>
          <w:p>
            <w:pPr>
              <w:spacing w:after="0"/>
              <w:rPr>
                <w:sz w:val="1"/>
                <w:szCs w:val="1"/>
                <w:color w:val="auto"/>
              </w:rPr>
            </w:pPr>
          </w:p>
        </w:tc>
      </w:tr>
      <w:tr>
        <w:trPr>
          <w:trHeight w:val="168"/>
        </w:trPr>
        <w:tc>
          <w:tcPr>
            <w:tcW w:w="262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interests in, natural gas pipelines and</w:t>
            </w:r>
          </w:p>
        </w:tc>
        <w:tc>
          <w:tcPr>
            <w:tcW w:w="120" w:type="dxa"/>
            <w:vAlign w:val="bottom"/>
          </w:tcPr>
          <w:p>
            <w:pPr>
              <w:spacing w:after="0"/>
              <w:rPr>
                <w:sz w:val="14"/>
                <w:szCs w:val="14"/>
                <w:color w:val="auto"/>
              </w:rPr>
            </w:pPr>
          </w:p>
        </w:tc>
        <w:tc>
          <w:tcPr>
            <w:tcW w:w="2500" w:type="dxa"/>
            <w:vAlign w:val="bottom"/>
            <w:tcBorders>
              <w:right w:val="single" w:sz="8" w:color="auto"/>
            </w:tcBorders>
          </w:tcPr>
          <w:p>
            <w:pPr>
              <w:spacing w:after="0"/>
              <w:rPr>
                <w:sz w:val="14"/>
                <w:szCs w:val="14"/>
                <w:color w:val="auto"/>
              </w:rPr>
            </w:pPr>
          </w:p>
        </w:tc>
        <w:tc>
          <w:tcPr>
            <w:tcW w:w="2580" w:type="dxa"/>
            <w:vAlign w:val="bottom"/>
          </w:tcPr>
          <w:p>
            <w:pPr>
              <w:spacing w:after="0"/>
              <w:rPr>
                <w:sz w:val="20"/>
                <w:szCs w:val="20"/>
                <w:color w:val="auto"/>
              </w:rPr>
            </w:pPr>
            <w:r>
              <w:rPr>
                <w:rFonts w:ascii="Arial" w:cs="Arial" w:eastAsia="Arial" w:hAnsi="Arial"/>
                <w:sz w:val="14"/>
                <w:szCs w:val="14"/>
                <w:color w:val="auto"/>
              </w:rPr>
              <w:t>Argentina</w:t>
            </w:r>
          </w:p>
        </w:tc>
        <w:tc>
          <w:tcPr>
            <w:tcW w:w="0" w:type="dxa"/>
            <w:vAlign w:val="bottom"/>
          </w:tcPr>
          <w:p>
            <w:pPr>
              <w:spacing w:after="0"/>
              <w:rPr>
                <w:sz w:val="1"/>
                <w:szCs w:val="1"/>
                <w:color w:val="auto"/>
              </w:rPr>
            </w:pPr>
          </w:p>
        </w:tc>
      </w:tr>
      <w:tr>
        <w:trPr>
          <w:trHeight w:val="168"/>
        </w:trPr>
        <w:tc>
          <w:tcPr>
            <w:tcW w:w="262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storage facilities, and natural gas and</w:t>
            </w:r>
          </w:p>
        </w:tc>
        <w:tc>
          <w:tcPr>
            <w:tcW w:w="120" w:type="dxa"/>
            <w:vAlign w:val="bottom"/>
          </w:tcPr>
          <w:p>
            <w:pPr>
              <w:spacing w:after="0"/>
              <w:rPr>
                <w:sz w:val="14"/>
                <w:szCs w:val="14"/>
                <w:color w:val="auto"/>
              </w:rPr>
            </w:pPr>
          </w:p>
        </w:tc>
        <w:tc>
          <w:tcPr>
            <w:tcW w:w="2500" w:type="dxa"/>
            <w:vAlign w:val="bottom"/>
            <w:tcBorders>
              <w:right w:val="single" w:sz="8" w:color="auto"/>
            </w:tcBorders>
          </w:tcPr>
          <w:p>
            <w:pPr>
              <w:spacing w:after="0"/>
              <w:rPr>
                <w:sz w:val="14"/>
                <w:szCs w:val="14"/>
                <w:color w:val="auto"/>
              </w:rPr>
            </w:pPr>
          </w:p>
        </w:tc>
        <w:tc>
          <w:tcPr>
            <w:tcW w:w="2580" w:type="dxa"/>
            <w:vAlign w:val="bottom"/>
          </w:tcPr>
          <w:p>
            <w:pPr>
              <w:spacing w:after="0"/>
              <w:rPr>
                <w:sz w:val="20"/>
                <w:szCs w:val="20"/>
                <w:color w:val="auto"/>
              </w:rPr>
            </w:pPr>
            <w:r>
              <w:rPr>
                <w:rFonts w:ascii="Arial" w:cs="Arial" w:eastAsia="Arial" w:hAnsi="Arial"/>
                <w:sz w:val="14"/>
                <w:szCs w:val="14"/>
                <w:color w:val="auto"/>
              </w:rPr>
              <w:t>Chile</w:t>
            </w:r>
          </w:p>
        </w:tc>
        <w:tc>
          <w:tcPr>
            <w:tcW w:w="0" w:type="dxa"/>
            <w:vAlign w:val="bottom"/>
          </w:tcPr>
          <w:p>
            <w:pPr>
              <w:spacing w:after="0"/>
              <w:rPr>
                <w:sz w:val="1"/>
                <w:szCs w:val="1"/>
                <w:color w:val="auto"/>
              </w:rPr>
            </w:pPr>
          </w:p>
        </w:tc>
      </w:tr>
      <w:tr>
        <w:trPr>
          <w:trHeight w:val="175"/>
        </w:trPr>
        <w:tc>
          <w:tcPr>
            <w:tcW w:w="26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electric service providers</w:t>
            </w:r>
          </w:p>
        </w:tc>
        <w:tc>
          <w:tcPr>
            <w:tcW w:w="120" w:type="dxa"/>
            <w:vAlign w:val="bottom"/>
            <w:tcBorders>
              <w:bottom w:val="single" w:sz="8" w:color="auto"/>
            </w:tcBorders>
          </w:tcPr>
          <w:p>
            <w:pPr>
              <w:spacing w:after="0"/>
              <w:rPr>
                <w:sz w:val="15"/>
                <w:szCs w:val="15"/>
                <w:color w:val="auto"/>
              </w:rPr>
            </w:pPr>
          </w:p>
        </w:tc>
        <w:tc>
          <w:tcPr>
            <w:tcW w:w="2500" w:type="dxa"/>
            <w:vAlign w:val="bottom"/>
            <w:tcBorders>
              <w:bottom w:val="single" w:sz="8" w:color="auto"/>
              <w:right w:val="single" w:sz="8" w:color="auto"/>
            </w:tcBorders>
          </w:tcPr>
          <w:p>
            <w:pPr>
              <w:spacing w:after="0"/>
              <w:rPr>
                <w:sz w:val="15"/>
                <w:szCs w:val="15"/>
                <w:color w:val="auto"/>
              </w:rPr>
            </w:pPr>
          </w:p>
        </w:tc>
        <w:tc>
          <w:tcPr>
            <w:tcW w:w="25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Peru</w:t>
            </w:r>
          </w:p>
        </w:tc>
        <w:tc>
          <w:tcPr>
            <w:tcW w:w="0" w:type="dxa"/>
            <w:vAlign w:val="bottom"/>
          </w:tcPr>
          <w:p>
            <w:pPr>
              <w:spacing w:after="0"/>
              <w:rPr>
                <w:sz w:val="1"/>
                <w:szCs w:val="1"/>
                <w:color w:val="auto"/>
              </w:rPr>
            </w:pPr>
          </w:p>
        </w:tc>
      </w:tr>
      <w:tr>
        <w:trPr>
          <w:trHeight w:val="177"/>
        </w:trPr>
        <w:tc>
          <w:tcPr>
            <w:tcW w:w="2620" w:type="dxa"/>
            <w:vAlign w:val="bottom"/>
          </w:tcPr>
          <w:p>
            <w:pPr>
              <w:ind w:left="20"/>
              <w:spacing w:after="0"/>
              <w:rPr>
                <w:sz w:val="20"/>
                <w:szCs w:val="20"/>
                <w:color w:val="auto"/>
              </w:rPr>
            </w:pPr>
            <w:r>
              <w:rPr>
                <w:rFonts w:ascii="Arial" w:cs="Arial" w:eastAsia="Arial" w:hAnsi="Arial"/>
                <w:sz w:val="14"/>
                <w:szCs w:val="14"/>
                <w:b w:val="1"/>
                <w:bCs w:val="1"/>
                <w:color w:val="auto"/>
              </w:rPr>
              <w:t>SEMPRA LNG</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2500" w:type="dxa"/>
            <w:vAlign w:val="bottom"/>
          </w:tcPr>
          <w:p>
            <w:pPr>
              <w:ind w:left="60"/>
              <w:spacing w:after="0"/>
              <w:rPr>
                <w:sz w:val="20"/>
                <w:szCs w:val="20"/>
                <w:color w:val="auto"/>
              </w:rPr>
            </w:pPr>
            <w:r>
              <w:rPr>
                <w:rFonts w:ascii="Arial" w:cs="Arial" w:eastAsia="Arial" w:hAnsi="Arial"/>
                <w:sz w:val="14"/>
                <w:szCs w:val="14"/>
                <w:color w:val="auto"/>
              </w:rPr>
              <w:t>Natural gas</w:t>
            </w:r>
          </w:p>
        </w:tc>
        <w:tc>
          <w:tcPr>
            <w:tcW w:w="2580" w:type="dxa"/>
            <w:vAlign w:val="bottom"/>
          </w:tcPr>
          <w:p>
            <w:pPr>
              <w:spacing w:after="0"/>
              <w:rPr>
                <w:sz w:val="20"/>
                <w:szCs w:val="20"/>
                <w:color w:val="auto"/>
              </w:rPr>
            </w:pPr>
            <w:r>
              <w:rPr>
                <w:rFonts w:ascii="Arial" w:cs="Arial" w:eastAsia="Arial" w:hAnsi="Arial"/>
                <w:sz w:val="14"/>
                <w:szCs w:val="14"/>
                <w:color w:val="auto"/>
              </w:rPr>
              <w:t>U.S.A.</w:t>
            </w:r>
          </w:p>
        </w:tc>
        <w:tc>
          <w:tcPr>
            <w:tcW w:w="0" w:type="dxa"/>
            <w:vAlign w:val="bottom"/>
          </w:tcPr>
          <w:p>
            <w:pPr>
              <w:spacing w:after="0"/>
              <w:rPr>
                <w:sz w:val="1"/>
                <w:szCs w:val="1"/>
                <w:color w:val="auto"/>
              </w:rPr>
            </w:pPr>
          </w:p>
        </w:tc>
      </w:tr>
      <w:tr>
        <w:trPr>
          <w:trHeight w:val="168"/>
        </w:trPr>
        <w:tc>
          <w:tcPr>
            <w:tcW w:w="2620" w:type="dxa"/>
            <w:vAlign w:val="bottom"/>
          </w:tcPr>
          <w:p>
            <w:pPr>
              <w:ind w:left="20"/>
              <w:spacing w:after="0"/>
              <w:rPr>
                <w:sz w:val="20"/>
                <w:szCs w:val="20"/>
                <w:color w:val="auto"/>
              </w:rPr>
            </w:pPr>
            <w:r>
              <w:rPr>
                <w:rFonts w:ascii="Arial" w:cs="Arial" w:eastAsia="Arial" w:hAnsi="Arial"/>
                <w:sz w:val="14"/>
                <w:szCs w:val="14"/>
                <w:color w:val="auto"/>
              </w:rPr>
              <w:t>Develops, owns and operates receipt</w:t>
            </w:r>
          </w:p>
        </w:tc>
        <w:tc>
          <w:tcPr>
            <w:tcW w:w="1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2580" w:type="dxa"/>
            <w:vAlign w:val="bottom"/>
          </w:tcPr>
          <w:p>
            <w:pPr>
              <w:spacing w:after="0"/>
              <w:rPr>
                <w:sz w:val="20"/>
                <w:szCs w:val="20"/>
                <w:color w:val="auto"/>
              </w:rPr>
            </w:pPr>
            <w:r>
              <w:rPr>
                <w:rFonts w:ascii="Arial" w:cs="Arial" w:eastAsia="Arial" w:hAnsi="Arial"/>
                <w:sz w:val="14"/>
                <w:szCs w:val="14"/>
                <w:color w:val="auto"/>
              </w:rPr>
              <w:t>Mexico</w:t>
            </w:r>
          </w:p>
        </w:tc>
        <w:tc>
          <w:tcPr>
            <w:tcW w:w="0" w:type="dxa"/>
            <w:vAlign w:val="bottom"/>
          </w:tcPr>
          <w:p>
            <w:pPr>
              <w:spacing w:after="0"/>
              <w:rPr>
                <w:sz w:val="1"/>
                <w:szCs w:val="1"/>
                <w:color w:val="auto"/>
              </w:rPr>
            </w:pPr>
          </w:p>
        </w:tc>
      </w:tr>
      <w:tr>
        <w:trPr>
          <w:trHeight w:val="168"/>
        </w:trPr>
        <w:tc>
          <w:tcPr>
            <w:tcW w:w="2620" w:type="dxa"/>
            <w:vAlign w:val="bottom"/>
          </w:tcPr>
          <w:p>
            <w:pPr>
              <w:ind w:left="20"/>
              <w:spacing w:after="0"/>
              <w:rPr>
                <w:sz w:val="20"/>
                <w:szCs w:val="20"/>
                <w:color w:val="auto"/>
              </w:rPr>
            </w:pPr>
            <w:r>
              <w:rPr>
                <w:rFonts w:ascii="Arial" w:cs="Arial" w:eastAsia="Arial" w:hAnsi="Arial"/>
                <w:sz w:val="14"/>
                <w:szCs w:val="14"/>
                <w:color w:val="auto"/>
              </w:rPr>
              <w:t>terminals for importing liquefied natural</w:t>
            </w:r>
          </w:p>
        </w:tc>
        <w:tc>
          <w:tcPr>
            <w:tcW w:w="1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2620" w:type="dxa"/>
            <w:vAlign w:val="bottom"/>
            <w:tcBorders>
              <w:bottom w:val="single" w:sz="8" w:color="DFDFDF"/>
            </w:tcBorders>
          </w:tcPr>
          <w:p>
            <w:pPr>
              <w:ind w:left="20"/>
              <w:spacing w:after="0"/>
              <w:rPr>
                <w:sz w:val="20"/>
                <w:szCs w:val="20"/>
                <w:color w:val="auto"/>
              </w:rPr>
            </w:pPr>
            <w:r>
              <w:rPr>
                <w:rFonts w:ascii="Arial" w:cs="Arial" w:eastAsia="Arial" w:hAnsi="Arial"/>
                <w:sz w:val="14"/>
                <w:szCs w:val="14"/>
                <w:color w:val="auto"/>
              </w:rPr>
              <w:t>gas (LNG)</w:t>
            </w:r>
          </w:p>
        </w:tc>
        <w:tc>
          <w:tcPr>
            <w:tcW w:w="120" w:type="dxa"/>
            <w:vAlign w:val="bottom"/>
            <w:tcBorders>
              <w:bottom w:val="single" w:sz="8" w:color="DFDFDF"/>
            </w:tcBorders>
          </w:tcPr>
          <w:p>
            <w:pPr>
              <w:spacing w:after="0"/>
              <w:rPr>
                <w:sz w:val="17"/>
                <w:szCs w:val="17"/>
                <w:color w:val="auto"/>
              </w:rPr>
            </w:pPr>
          </w:p>
        </w:tc>
        <w:tc>
          <w:tcPr>
            <w:tcW w:w="2500" w:type="dxa"/>
            <w:vAlign w:val="bottom"/>
            <w:tcBorders>
              <w:bottom w:val="single" w:sz="8" w:color="DFDFDF"/>
            </w:tcBorders>
          </w:tcPr>
          <w:p>
            <w:pPr>
              <w:spacing w:after="0"/>
              <w:rPr>
                <w:sz w:val="17"/>
                <w:szCs w:val="17"/>
                <w:color w:val="auto"/>
              </w:rPr>
            </w:pPr>
          </w:p>
        </w:tc>
        <w:tc>
          <w:tcPr>
            <w:tcW w:w="2580" w:type="dxa"/>
            <w:vAlign w:val="bottom"/>
            <w:tcBorders>
              <w:bottom w:val="single" w:sz="8" w:color="DFDFDF"/>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2787015</wp:posOffset>
            </wp:positionH>
            <wp:positionV relativeFrom="paragraph">
              <wp:posOffset>-485140</wp:posOffset>
            </wp:positionV>
            <wp:extent cx="33020" cy="49847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3020" cy="498475"/>
                    </a:xfrm>
                    <a:prstGeom prst="rect">
                      <a:avLst/>
                    </a:prstGeom>
                    <a:noFill/>
                  </pic:spPr>
                </pic:pic>
              </a:graphicData>
            </a:graphic>
          </wp:anchor>
        </w:drawing>
        <w:drawing>
          <wp:anchor simplePos="0" relativeHeight="251657728" behindDoc="1" locked="0" layoutInCell="0" allowOverlap="1">
            <wp:simplePos x="0" y="0"/>
            <wp:positionH relativeFrom="column">
              <wp:posOffset>4441825</wp:posOffset>
            </wp:positionH>
            <wp:positionV relativeFrom="paragraph">
              <wp:posOffset>-485140</wp:posOffset>
            </wp:positionV>
            <wp:extent cx="33020" cy="49847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3020" cy="498475"/>
                    </a:xfrm>
                    <a:prstGeom prst="rect">
                      <a:avLst/>
                    </a:prstGeom>
                    <a:noFill/>
                  </pic:spPr>
                </pic:pic>
              </a:graphicData>
            </a:graphic>
          </wp:anchor>
        </w:drawing>
      </w:r>
    </w:p>
    <w:p>
      <w:pPr>
        <w:spacing w:after="0" w:line="232" w:lineRule="exact"/>
        <w:rPr>
          <w:sz w:val="20"/>
          <w:szCs w:val="20"/>
          <w:color w:val="auto"/>
        </w:rPr>
      </w:pPr>
    </w:p>
    <w:p>
      <w:pPr>
        <w:ind w:left="4" w:right="280"/>
        <w:spacing w:after="0" w:line="274" w:lineRule="auto"/>
        <w:rPr>
          <w:sz w:val="20"/>
          <w:szCs w:val="20"/>
          <w:color w:val="auto"/>
        </w:rPr>
      </w:pPr>
      <w:r>
        <w:rPr>
          <w:rFonts w:ascii="Arial" w:cs="Arial" w:eastAsia="Arial" w:hAnsi="Arial"/>
          <w:sz w:val="16"/>
          <w:szCs w:val="16"/>
          <w:color w:val="auto"/>
        </w:rPr>
        <w:t>Sempra Global is a holding company for most of our subsidiaries that are not subject to California utility regulation. Sempra Global's principal business units, which provide energy-related products and services, are</w:t>
      </w:r>
    </w:p>
    <w:p>
      <w:pPr>
        <w:ind w:left="144" w:hanging="144"/>
        <w:spacing w:after="0"/>
        <w:tabs>
          <w:tab w:leader="none" w:pos="144" w:val="left"/>
        </w:tabs>
        <w:numPr>
          <w:ilvl w:val="0"/>
          <w:numId w:val="207"/>
        </w:numPr>
        <w:rPr>
          <w:rFonts w:ascii="Arial" w:cs="Arial" w:eastAsia="Arial" w:hAnsi="Arial"/>
          <w:sz w:val="16"/>
          <w:szCs w:val="16"/>
          <w:color w:val="auto"/>
        </w:rPr>
      </w:pPr>
      <w:r>
        <w:rPr>
          <w:rFonts w:ascii="Arial" w:cs="Arial" w:eastAsia="Arial" w:hAnsi="Arial"/>
          <w:sz w:val="16"/>
          <w:szCs w:val="16"/>
          <w:color w:val="auto"/>
        </w:rPr>
        <w:t>Sempra Commodities</w:t>
      </w:r>
    </w:p>
    <w:p>
      <w:pPr>
        <w:spacing w:after="0" w:line="44" w:lineRule="exact"/>
        <w:rPr>
          <w:rFonts w:ascii="Arial" w:cs="Arial" w:eastAsia="Arial" w:hAnsi="Arial"/>
          <w:sz w:val="16"/>
          <w:szCs w:val="16"/>
          <w:color w:val="auto"/>
        </w:rPr>
      </w:pPr>
    </w:p>
    <w:p>
      <w:pPr>
        <w:ind w:left="144" w:hanging="144"/>
        <w:spacing w:after="0"/>
        <w:tabs>
          <w:tab w:leader="none" w:pos="144" w:val="left"/>
        </w:tabs>
        <w:numPr>
          <w:ilvl w:val="0"/>
          <w:numId w:val="207"/>
        </w:numPr>
        <w:rPr>
          <w:rFonts w:ascii="Arial" w:cs="Arial" w:eastAsia="Arial" w:hAnsi="Arial"/>
          <w:sz w:val="16"/>
          <w:szCs w:val="16"/>
          <w:color w:val="auto"/>
        </w:rPr>
      </w:pPr>
      <w:r>
        <w:rPr>
          <w:rFonts w:ascii="Arial" w:cs="Arial" w:eastAsia="Arial" w:hAnsi="Arial"/>
          <w:sz w:val="16"/>
          <w:szCs w:val="16"/>
          <w:color w:val="auto"/>
        </w:rPr>
        <w:t>Sempra Generation</w:t>
      </w:r>
    </w:p>
    <w:p>
      <w:pPr>
        <w:spacing w:after="0" w:line="44" w:lineRule="exact"/>
        <w:rPr>
          <w:rFonts w:ascii="Arial" w:cs="Arial" w:eastAsia="Arial" w:hAnsi="Arial"/>
          <w:sz w:val="16"/>
          <w:szCs w:val="16"/>
          <w:color w:val="auto"/>
        </w:rPr>
      </w:pPr>
    </w:p>
    <w:p>
      <w:pPr>
        <w:ind w:left="144" w:hanging="144"/>
        <w:spacing w:after="0"/>
        <w:tabs>
          <w:tab w:leader="none" w:pos="144" w:val="left"/>
        </w:tabs>
        <w:numPr>
          <w:ilvl w:val="0"/>
          <w:numId w:val="207"/>
        </w:numPr>
        <w:rPr>
          <w:rFonts w:ascii="Arial" w:cs="Arial" w:eastAsia="Arial" w:hAnsi="Arial"/>
          <w:sz w:val="16"/>
          <w:szCs w:val="16"/>
          <w:color w:val="auto"/>
        </w:rPr>
      </w:pPr>
      <w:r>
        <w:rPr>
          <w:rFonts w:ascii="Arial" w:cs="Arial" w:eastAsia="Arial" w:hAnsi="Arial"/>
          <w:sz w:val="16"/>
          <w:szCs w:val="16"/>
          <w:color w:val="auto"/>
        </w:rPr>
        <w:t>Sempra Pipelines &amp; Storage</w:t>
      </w:r>
    </w:p>
    <w:p>
      <w:pPr>
        <w:spacing w:after="0" w:line="44" w:lineRule="exact"/>
        <w:rPr>
          <w:rFonts w:ascii="Arial" w:cs="Arial" w:eastAsia="Arial" w:hAnsi="Arial"/>
          <w:sz w:val="16"/>
          <w:szCs w:val="16"/>
          <w:color w:val="auto"/>
        </w:rPr>
      </w:pPr>
    </w:p>
    <w:p>
      <w:pPr>
        <w:ind w:left="144" w:hanging="144"/>
        <w:spacing w:after="0"/>
        <w:tabs>
          <w:tab w:leader="none" w:pos="144" w:val="left"/>
        </w:tabs>
        <w:numPr>
          <w:ilvl w:val="0"/>
          <w:numId w:val="207"/>
        </w:numPr>
        <w:rPr>
          <w:rFonts w:ascii="Arial" w:cs="Arial" w:eastAsia="Arial" w:hAnsi="Arial"/>
          <w:sz w:val="16"/>
          <w:szCs w:val="16"/>
          <w:color w:val="auto"/>
        </w:rPr>
      </w:pPr>
      <w:r>
        <w:rPr>
          <w:rFonts w:ascii="Arial" w:cs="Arial" w:eastAsia="Arial" w:hAnsi="Arial"/>
          <w:sz w:val="16"/>
          <w:szCs w:val="16"/>
          <w:color w:val="auto"/>
        </w:rPr>
        <w:t>Sempra LNG</w:t>
      </w:r>
    </w:p>
    <w:p>
      <w:pPr>
        <w:spacing w:after="0" w:line="128" w:lineRule="exact"/>
        <w:rPr>
          <w:sz w:val="20"/>
          <w:szCs w:val="20"/>
          <w:color w:val="auto"/>
        </w:rPr>
      </w:pPr>
    </w:p>
    <w:p>
      <w:pPr>
        <w:ind w:left="4"/>
        <w:spacing w:after="0"/>
        <w:rPr>
          <w:sz w:val="20"/>
          <w:szCs w:val="20"/>
          <w:color w:val="auto"/>
        </w:rPr>
      </w:pPr>
      <w:r>
        <w:rPr>
          <w:rFonts w:ascii="Arial" w:cs="Arial" w:eastAsia="Arial" w:hAnsi="Arial"/>
          <w:sz w:val="16"/>
          <w:szCs w:val="16"/>
          <w:color w:val="auto"/>
        </w:rPr>
        <w:t>A description of each business unit follows.</w:t>
      </w:r>
    </w:p>
    <w:p>
      <w:pPr>
        <w:spacing w:after="0" w:line="80" w:lineRule="exact"/>
        <w:rPr>
          <w:sz w:val="20"/>
          <w:szCs w:val="20"/>
          <w:color w:val="auto"/>
        </w:rPr>
      </w:pPr>
    </w:p>
    <w:p>
      <w:pPr>
        <w:ind w:left="4"/>
        <w:spacing w:after="0"/>
        <w:rPr>
          <w:sz w:val="20"/>
          <w:szCs w:val="20"/>
          <w:color w:val="auto"/>
        </w:rPr>
      </w:pPr>
      <w:r>
        <w:rPr>
          <w:rFonts w:ascii="Arial" w:cs="Arial" w:eastAsia="Arial" w:hAnsi="Arial"/>
          <w:sz w:val="16"/>
          <w:szCs w:val="16"/>
          <w:b w:val="1"/>
          <w:bCs w:val="1"/>
          <w:i w:val="1"/>
          <w:iCs w:val="1"/>
          <w:color w:val="auto"/>
        </w:rPr>
        <w:t>Sempra Commodities</w:t>
      </w:r>
    </w:p>
    <w:p>
      <w:pPr>
        <w:spacing w:after="0" w:line="80" w:lineRule="exact"/>
        <w:rPr>
          <w:sz w:val="20"/>
          <w:szCs w:val="20"/>
          <w:color w:val="auto"/>
        </w:rPr>
      </w:pPr>
    </w:p>
    <w:p>
      <w:pPr>
        <w:ind w:left="4"/>
        <w:spacing w:after="0" w:line="264" w:lineRule="auto"/>
        <w:rPr>
          <w:sz w:val="20"/>
          <w:szCs w:val="20"/>
          <w:color w:val="auto"/>
        </w:rPr>
      </w:pPr>
      <w:r>
        <w:rPr>
          <w:rFonts w:ascii="Arial" w:cs="Arial" w:eastAsia="Arial" w:hAnsi="Arial"/>
          <w:sz w:val="16"/>
          <w:szCs w:val="16"/>
          <w:color w:val="auto"/>
        </w:rPr>
        <w:t>Sempra Commodities holds our investment in RBS Sempra Commodities LLP (RBS Sempra Commodities), a joint venture with The Royal Bank of Scotland (RBS). The partnership was formed on April 1, 2008 from our commodities-marketing businesses previously reported in this business unit. The partnership's commodities-trading businesses serve customers in the global markets for natural gas, natural gas liquids, power, petroleum and</w:t>
      </w:r>
    </w:p>
    <w:p>
      <w:pPr>
        <w:spacing w:after="0" w:line="200" w:lineRule="exact"/>
        <w:rPr>
          <w:sz w:val="20"/>
          <w:szCs w:val="20"/>
          <w:color w:val="auto"/>
        </w:rPr>
      </w:pPr>
    </w:p>
    <w:p>
      <w:pPr>
        <w:spacing w:after="0" w:line="302" w:lineRule="exact"/>
        <w:rPr>
          <w:sz w:val="20"/>
          <w:szCs w:val="20"/>
          <w:color w:val="auto"/>
        </w:rPr>
      </w:pPr>
    </w:p>
    <w:p>
      <w:pPr>
        <w:ind w:left="4"/>
        <w:spacing w:after="0"/>
        <w:rPr>
          <w:sz w:val="20"/>
          <w:szCs w:val="20"/>
          <w:color w:val="auto"/>
        </w:rPr>
      </w:pPr>
      <w:r>
        <w:rPr>
          <w:rFonts w:ascii="Arial" w:cs="Arial" w:eastAsia="Arial" w:hAnsi="Arial"/>
          <w:sz w:val="14"/>
          <w:szCs w:val="14"/>
          <w:color w:val="auto"/>
        </w:rPr>
        <w:t>4</w:t>
      </w:r>
    </w:p>
    <w:p>
      <w:pPr>
        <w:sectPr>
          <w:pgSz w:w="11900" w:h="16838" w:orient="portrait"/>
          <w:cols w:equalWidth="0" w:num="1">
            <w:col w:w="11364"/>
          </w:cols>
          <w:pgMar w:left="236" w:top="127" w:right="299" w:bottom="1440" w:gutter="0" w:footer="0" w:header="0"/>
        </w:sectPr>
      </w:pPr>
    </w:p>
    <w:bookmarkStart w:id="144" w:name="page145"/>
    <w:bookmarkEnd w:id="144"/>
    <w:p>
      <w:pPr>
        <w:ind w:right="240"/>
        <w:spacing w:after="0" w:line="340" w:lineRule="auto"/>
        <w:rPr>
          <w:sz w:val="20"/>
          <w:szCs w:val="20"/>
          <w:color w:val="auto"/>
        </w:rPr>
      </w:pPr>
      <w:r>
        <w:rPr>
          <w:rFonts w:ascii="Arial" w:cs="Arial" w:eastAsia="Arial" w:hAnsi="Arial"/>
          <w:sz w:val="14"/>
          <w:szCs w:val="14"/>
          <w:color w:val="auto"/>
        </w:rPr>
        <w:t>petroleum products, coal, emissions, ethanol and base metals. We provide further discussion about the joint venture in Notes 3, 4 and 6 of the Notes to Consolidated Financial Statements. Sempra Commodities also includes the operating results of Sempra Rockies Marketing, which holds firm service capacity on the Rockies Express Pipeline.</w:t>
      </w:r>
    </w:p>
    <w:p>
      <w:pPr>
        <w:spacing w:after="0"/>
        <w:rPr>
          <w:sz w:val="20"/>
          <w:szCs w:val="20"/>
          <w:color w:val="auto"/>
        </w:rPr>
      </w:pPr>
      <w:r>
        <w:rPr>
          <w:rFonts w:ascii="Arial" w:cs="Arial" w:eastAsia="Arial" w:hAnsi="Arial"/>
          <w:sz w:val="16"/>
          <w:szCs w:val="16"/>
          <w:b w:val="1"/>
          <w:bCs w:val="1"/>
          <w:i w:val="1"/>
          <w:iCs w:val="1"/>
          <w:color w:val="auto"/>
        </w:rPr>
        <w:t>Sempra Generation</w:t>
      </w:r>
    </w:p>
    <w:p>
      <w:pPr>
        <w:spacing w:after="0" w:line="80" w:lineRule="exact"/>
        <w:rPr>
          <w:sz w:val="20"/>
          <w:szCs w:val="20"/>
          <w:color w:val="auto"/>
        </w:rPr>
      </w:pPr>
    </w:p>
    <w:p>
      <w:pPr>
        <w:jc w:val="both"/>
        <w:ind w:right="160"/>
        <w:spacing w:after="0" w:line="264" w:lineRule="auto"/>
        <w:rPr>
          <w:sz w:val="20"/>
          <w:szCs w:val="20"/>
          <w:color w:val="auto"/>
        </w:rPr>
      </w:pPr>
      <w:r>
        <w:rPr>
          <w:rFonts w:ascii="Arial" w:cs="Arial" w:eastAsia="Arial" w:hAnsi="Arial"/>
          <w:sz w:val="16"/>
          <w:szCs w:val="16"/>
          <w:color w:val="auto"/>
        </w:rPr>
        <w:t>Sempra Generation develops, owns and operates electric power plants serving wholesale electricity markets in North America. It sells electricity under long-term contracts and into the spot market and other competitive markets. Sempra Generation purchases natural gas to fuel its natural gas-fired power plants and may also purchase electricity in the open market to satisfy its contractual obligations. Sempra Generation also develops renewable energy generation projects.</w:t>
      </w:r>
    </w:p>
    <w:p>
      <w:pPr>
        <w:spacing w:after="0" w:line="42" w:lineRule="exact"/>
        <w:rPr>
          <w:sz w:val="20"/>
          <w:szCs w:val="20"/>
          <w:color w:val="auto"/>
        </w:rPr>
      </w:pPr>
    </w:p>
    <w:p>
      <w:pPr>
        <w:ind w:right="40"/>
        <w:spacing w:after="0" w:line="277" w:lineRule="auto"/>
        <w:rPr>
          <w:sz w:val="20"/>
          <w:szCs w:val="20"/>
          <w:color w:val="auto"/>
        </w:rPr>
      </w:pPr>
      <w:r>
        <w:rPr>
          <w:rFonts w:ascii="Arial" w:cs="Arial" w:eastAsia="Arial" w:hAnsi="Arial"/>
          <w:sz w:val="16"/>
          <w:szCs w:val="16"/>
          <w:color w:val="auto"/>
        </w:rPr>
        <w:t>The following table provides information about each of Sempra Generation's power plants. Approximately 75% and 60% of this generating capacity is under long-term contracts with the California Department of Water Resources (DWR) and other parties through 2010 and 2011,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1202690</wp:posOffset>
            </wp:positionH>
            <wp:positionV relativeFrom="paragraph">
              <wp:posOffset>165735</wp:posOffset>
            </wp:positionV>
            <wp:extent cx="4859020" cy="24384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4859020" cy="243840"/>
                    </a:xfrm>
                    <a:prstGeom prst="rect">
                      <a:avLst/>
                    </a:prstGeom>
                    <a:noFill/>
                  </pic:spPr>
                </pic:pic>
              </a:graphicData>
            </a:graphic>
          </wp:anchor>
        </w:drawing>
      </w:r>
    </w:p>
    <w:p>
      <w:pPr>
        <w:spacing w:after="0" w:line="248" w:lineRule="exact"/>
        <w:rPr>
          <w:sz w:val="20"/>
          <w:szCs w:val="20"/>
          <w:color w:val="auto"/>
        </w:rPr>
      </w:pPr>
    </w:p>
    <w:p>
      <w:pPr>
        <w:ind w:left="1900"/>
        <w:spacing w:after="0"/>
        <w:rPr>
          <w:sz w:val="20"/>
          <w:szCs w:val="20"/>
          <w:color w:val="auto"/>
        </w:rPr>
      </w:pPr>
      <w:r>
        <w:rPr>
          <w:rFonts w:ascii="Arial" w:cs="Arial" w:eastAsia="Arial" w:hAnsi="Arial"/>
          <w:sz w:val="14"/>
          <w:szCs w:val="14"/>
          <w:b w:val="1"/>
          <w:bCs w:val="1"/>
          <w:color w:val="auto"/>
        </w:rPr>
        <w:t>SEMPRA GENERATION POWER PLANTS</w:t>
      </w:r>
    </w:p>
    <w:p>
      <w:pPr>
        <w:spacing w:after="0" w:line="40" w:lineRule="exact"/>
        <w:rPr>
          <w:sz w:val="20"/>
          <w:szCs w:val="20"/>
          <w:color w:val="auto"/>
        </w:rPr>
      </w:pPr>
    </w:p>
    <w:tbl>
      <w:tblPr>
        <w:tblLayout w:type="fixed"/>
        <w:tblInd w:w="1900" w:type="dxa"/>
        <w:tblCellMar>
          <w:top w:w="0" w:type="dxa"/>
          <w:left w:w="0" w:type="dxa"/>
          <w:bottom w:w="0" w:type="dxa"/>
          <w:right w:w="0" w:type="dxa"/>
        </w:tblCellMar>
      </w:tblPr>
      <w:tr>
        <w:trPr>
          <w:trHeight w:val="166"/>
        </w:trPr>
        <w:tc>
          <w:tcPr>
            <w:tcW w:w="2140" w:type="dxa"/>
            <w:vAlign w:val="bottom"/>
          </w:tcPr>
          <w:p>
            <w:pPr>
              <w:spacing w:after="0"/>
              <w:rPr>
                <w:sz w:val="20"/>
                <w:szCs w:val="20"/>
                <w:color w:val="auto"/>
              </w:rPr>
            </w:pPr>
            <w:r>
              <w:rPr>
                <w:rFonts w:ascii="Arial" w:cs="Arial" w:eastAsia="Arial" w:hAnsi="Arial"/>
                <w:sz w:val="13"/>
                <w:szCs w:val="13"/>
                <w:i w:val="1"/>
                <w:iCs w:val="1"/>
                <w:color w:val="auto"/>
              </w:rPr>
              <w:t>Capacity in Megawatts (MW)</w:t>
            </w:r>
          </w:p>
        </w:tc>
        <w:tc>
          <w:tcPr>
            <w:tcW w:w="1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700" w:type="dxa"/>
            <w:vAlign w:val="bottom"/>
          </w:tcPr>
          <w:p>
            <w:pPr>
              <w:spacing w:after="0"/>
              <w:rPr>
                <w:sz w:val="14"/>
                <w:szCs w:val="14"/>
                <w:color w:val="auto"/>
              </w:rPr>
            </w:pPr>
          </w:p>
        </w:tc>
      </w:tr>
      <w:tr>
        <w:trPr>
          <w:trHeight w:val="180"/>
        </w:trPr>
        <w:tc>
          <w:tcPr>
            <w:tcW w:w="214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Arial" w:cs="Arial" w:eastAsia="Arial" w:hAnsi="Arial"/>
                <w:sz w:val="13"/>
                <w:szCs w:val="13"/>
                <w:color w:val="auto"/>
              </w:rPr>
              <w:t>Maximum Generating</w:t>
            </w:r>
          </w:p>
        </w:tc>
        <w:tc>
          <w:tcPr>
            <w:tcW w:w="340" w:type="dxa"/>
            <w:vAlign w:val="bottom"/>
          </w:tcPr>
          <w:p>
            <w:pPr>
              <w:spacing w:after="0"/>
              <w:rPr>
                <w:sz w:val="15"/>
                <w:szCs w:val="15"/>
                <w:color w:val="auto"/>
              </w:rPr>
            </w:pPr>
          </w:p>
        </w:tc>
        <w:tc>
          <w:tcPr>
            <w:tcW w:w="980" w:type="dxa"/>
            <w:vAlign w:val="bottom"/>
          </w:tcPr>
          <w:p>
            <w:pPr>
              <w:jc w:val="center"/>
              <w:spacing w:after="0"/>
              <w:rPr>
                <w:sz w:val="20"/>
                <w:szCs w:val="20"/>
                <w:color w:val="auto"/>
              </w:rPr>
            </w:pPr>
            <w:r>
              <w:rPr>
                <w:rFonts w:ascii="Arial" w:cs="Arial" w:eastAsia="Arial" w:hAnsi="Arial"/>
                <w:sz w:val="13"/>
                <w:szCs w:val="13"/>
                <w:color w:val="auto"/>
              </w:rPr>
              <w:t>First</w:t>
            </w:r>
          </w:p>
        </w:tc>
        <w:tc>
          <w:tcPr>
            <w:tcW w:w="2700" w:type="dxa"/>
            <w:vAlign w:val="bottom"/>
          </w:tcPr>
          <w:p>
            <w:pPr>
              <w:spacing w:after="0"/>
              <w:rPr>
                <w:sz w:val="15"/>
                <w:szCs w:val="15"/>
                <w:color w:val="auto"/>
              </w:rPr>
            </w:pPr>
          </w:p>
        </w:tc>
      </w:tr>
      <w:tr>
        <w:trPr>
          <w:trHeight w:val="161"/>
        </w:trPr>
        <w:tc>
          <w:tcPr>
            <w:tcW w:w="214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Power Plant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Capacity</w:t>
            </w:r>
          </w:p>
        </w:tc>
        <w:tc>
          <w:tcPr>
            <w:tcW w:w="3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rPr>
              <w:t>In Service</w:t>
            </w:r>
          </w:p>
        </w:tc>
        <w:tc>
          <w:tcPr>
            <w:tcW w:w="2700" w:type="dxa"/>
            <w:vAlign w:val="bottom"/>
            <w:tcBorders>
              <w:bottom w:val="single" w:sz="8" w:color="auto"/>
            </w:tcBorders>
          </w:tcPr>
          <w:p>
            <w:pPr>
              <w:ind w:left="200"/>
              <w:spacing w:after="0"/>
              <w:rPr>
                <w:sz w:val="20"/>
                <w:szCs w:val="20"/>
                <w:color w:val="auto"/>
              </w:rPr>
            </w:pPr>
            <w:r>
              <w:rPr>
                <w:rFonts w:ascii="Arial" w:cs="Arial" w:eastAsia="Arial" w:hAnsi="Arial"/>
                <w:sz w:val="13"/>
                <w:szCs w:val="13"/>
                <w:color w:val="auto"/>
              </w:rPr>
              <w:t>Location</w:t>
            </w:r>
          </w:p>
        </w:tc>
      </w:tr>
      <w:tr>
        <w:trPr>
          <w:trHeight w:val="207"/>
        </w:trPr>
        <w:tc>
          <w:tcPr>
            <w:tcW w:w="2140" w:type="dxa"/>
            <w:vAlign w:val="bottom"/>
          </w:tcPr>
          <w:p>
            <w:pPr>
              <w:spacing w:after="0"/>
              <w:rPr>
                <w:sz w:val="20"/>
                <w:szCs w:val="20"/>
                <w:color w:val="auto"/>
              </w:rPr>
            </w:pPr>
            <w:r>
              <w:rPr>
                <w:rFonts w:ascii="Arial" w:cs="Arial" w:eastAsia="Arial" w:hAnsi="Arial"/>
                <w:sz w:val="14"/>
                <w:szCs w:val="14"/>
                <w:color w:val="auto"/>
              </w:rPr>
              <w:t>Mesquite Power</w:t>
            </w:r>
          </w:p>
        </w:tc>
        <w:tc>
          <w:tcPr>
            <w:tcW w:w="1480" w:type="dxa"/>
            <w:vAlign w:val="bottom"/>
          </w:tcPr>
          <w:p>
            <w:pPr>
              <w:jc w:val="right"/>
              <w:spacing w:after="0"/>
              <w:rPr>
                <w:sz w:val="20"/>
                <w:szCs w:val="20"/>
                <w:color w:val="auto"/>
              </w:rPr>
            </w:pPr>
            <w:r>
              <w:rPr>
                <w:rFonts w:ascii="Arial" w:cs="Arial" w:eastAsia="Arial" w:hAnsi="Arial"/>
                <w:sz w:val="14"/>
                <w:szCs w:val="14"/>
                <w:color w:val="auto"/>
              </w:rPr>
              <w:t>1,250</w:t>
            </w:r>
          </w:p>
        </w:tc>
        <w:tc>
          <w:tcPr>
            <w:tcW w:w="34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4"/>
                <w:szCs w:val="14"/>
                <w:color w:val="auto"/>
              </w:rPr>
              <w:t>2003</w:t>
            </w:r>
          </w:p>
        </w:tc>
        <w:tc>
          <w:tcPr>
            <w:tcW w:w="2700" w:type="dxa"/>
            <w:vAlign w:val="bottom"/>
          </w:tcPr>
          <w:p>
            <w:pPr>
              <w:ind w:left="200"/>
              <w:spacing w:after="0"/>
              <w:rPr>
                <w:sz w:val="20"/>
                <w:szCs w:val="20"/>
                <w:color w:val="auto"/>
              </w:rPr>
            </w:pPr>
            <w:r>
              <w:rPr>
                <w:rFonts w:ascii="Arial" w:cs="Arial" w:eastAsia="Arial" w:hAnsi="Arial"/>
                <w:sz w:val="14"/>
                <w:szCs w:val="14"/>
                <w:color w:val="auto"/>
              </w:rPr>
              <w:t>Arlington, AZ</w:t>
            </w:r>
          </w:p>
        </w:tc>
      </w:tr>
      <w:tr>
        <w:trPr>
          <w:trHeight w:val="216"/>
        </w:trPr>
        <w:tc>
          <w:tcPr>
            <w:tcW w:w="2140" w:type="dxa"/>
            <w:vAlign w:val="bottom"/>
          </w:tcPr>
          <w:p>
            <w:pPr>
              <w:spacing w:after="0"/>
              <w:rPr>
                <w:sz w:val="20"/>
                <w:szCs w:val="20"/>
                <w:color w:val="auto"/>
              </w:rPr>
            </w:pPr>
            <w:r>
              <w:rPr>
                <w:rFonts w:ascii="Arial" w:cs="Arial" w:eastAsia="Arial" w:hAnsi="Arial"/>
                <w:sz w:val="14"/>
                <w:szCs w:val="14"/>
                <w:color w:val="auto"/>
              </w:rPr>
              <w:t>Termoeléctrica de Mexicali</w:t>
            </w:r>
          </w:p>
        </w:tc>
        <w:tc>
          <w:tcPr>
            <w:tcW w:w="1480" w:type="dxa"/>
            <w:vAlign w:val="bottom"/>
          </w:tcPr>
          <w:p>
            <w:pPr>
              <w:jc w:val="right"/>
              <w:spacing w:after="0"/>
              <w:rPr>
                <w:sz w:val="20"/>
                <w:szCs w:val="20"/>
                <w:color w:val="auto"/>
              </w:rPr>
            </w:pPr>
            <w:r>
              <w:rPr>
                <w:rFonts w:ascii="Arial" w:cs="Arial" w:eastAsia="Arial" w:hAnsi="Arial"/>
                <w:sz w:val="14"/>
                <w:szCs w:val="14"/>
                <w:color w:val="auto"/>
              </w:rPr>
              <w:t>625</w:t>
            </w:r>
          </w:p>
        </w:tc>
        <w:tc>
          <w:tcPr>
            <w:tcW w:w="34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4"/>
                <w:szCs w:val="14"/>
                <w:color w:val="auto"/>
              </w:rPr>
              <w:t>2003</w:t>
            </w:r>
          </w:p>
        </w:tc>
        <w:tc>
          <w:tcPr>
            <w:tcW w:w="2700" w:type="dxa"/>
            <w:vAlign w:val="bottom"/>
          </w:tcPr>
          <w:p>
            <w:pPr>
              <w:ind w:left="200"/>
              <w:spacing w:after="0"/>
              <w:rPr>
                <w:sz w:val="20"/>
                <w:szCs w:val="20"/>
                <w:color w:val="auto"/>
              </w:rPr>
            </w:pPr>
            <w:r>
              <w:rPr>
                <w:rFonts w:ascii="Arial" w:cs="Arial" w:eastAsia="Arial" w:hAnsi="Arial"/>
                <w:sz w:val="14"/>
                <w:szCs w:val="14"/>
                <w:color w:val="auto"/>
              </w:rPr>
              <w:t>Mexicali, Baja California, Mexico</w:t>
            </w:r>
          </w:p>
        </w:tc>
      </w:tr>
      <w:tr>
        <w:trPr>
          <w:trHeight w:val="216"/>
        </w:trPr>
        <w:tc>
          <w:tcPr>
            <w:tcW w:w="2140" w:type="dxa"/>
            <w:vAlign w:val="bottom"/>
          </w:tcPr>
          <w:p>
            <w:pPr>
              <w:spacing w:after="0"/>
              <w:rPr>
                <w:sz w:val="20"/>
                <w:szCs w:val="20"/>
                <w:color w:val="auto"/>
              </w:rPr>
            </w:pPr>
            <w:r>
              <w:rPr>
                <w:rFonts w:ascii="Arial" w:cs="Arial" w:eastAsia="Arial" w:hAnsi="Arial"/>
                <w:sz w:val="14"/>
                <w:szCs w:val="14"/>
                <w:color w:val="auto"/>
              </w:rPr>
              <w:t>El Dorado</w:t>
            </w:r>
          </w:p>
        </w:tc>
        <w:tc>
          <w:tcPr>
            <w:tcW w:w="1480" w:type="dxa"/>
            <w:vAlign w:val="bottom"/>
          </w:tcPr>
          <w:p>
            <w:pPr>
              <w:jc w:val="right"/>
              <w:spacing w:after="0"/>
              <w:rPr>
                <w:sz w:val="20"/>
                <w:szCs w:val="20"/>
                <w:color w:val="auto"/>
              </w:rPr>
            </w:pPr>
            <w:r>
              <w:rPr>
                <w:rFonts w:ascii="Arial" w:cs="Arial" w:eastAsia="Arial" w:hAnsi="Arial"/>
                <w:sz w:val="14"/>
                <w:szCs w:val="14"/>
                <w:color w:val="auto"/>
              </w:rPr>
              <w:t>490</w:t>
            </w:r>
          </w:p>
        </w:tc>
        <w:tc>
          <w:tcPr>
            <w:tcW w:w="340" w:type="dxa"/>
            <w:vAlign w:val="bottom"/>
          </w:tcPr>
          <w:p>
            <w:pPr>
              <w:spacing w:after="0"/>
              <w:rPr>
                <w:sz w:val="20"/>
                <w:szCs w:val="20"/>
                <w:color w:val="auto"/>
              </w:rPr>
            </w:pPr>
            <w:r>
              <w:rPr>
                <w:rFonts w:ascii="Arial" w:cs="Arial" w:eastAsia="Arial" w:hAnsi="Arial"/>
                <w:sz w:val="14"/>
                <w:szCs w:val="14"/>
                <w:color w:val="auto"/>
              </w:rPr>
              <w:t>*</w:t>
            </w:r>
          </w:p>
        </w:tc>
        <w:tc>
          <w:tcPr>
            <w:tcW w:w="980" w:type="dxa"/>
            <w:vAlign w:val="bottom"/>
          </w:tcPr>
          <w:p>
            <w:pPr>
              <w:jc w:val="center"/>
              <w:spacing w:after="0"/>
              <w:rPr>
                <w:sz w:val="20"/>
                <w:szCs w:val="20"/>
                <w:color w:val="auto"/>
              </w:rPr>
            </w:pPr>
            <w:r>
              <w:rPr>
                <w:rFonts w:ascii="Arial" w:cs="Arial" w:eastAsia="Arial" w:hAnsi="Arial"/>
                <w:sz w:val="14"/>
                <w:szCs w:val="14"/>
                <w:color w:val="auto"/>
              </w:rPr>
              <w:t>2000</w:t>
            </w:r>
          </w:p>
        </w:tc>
        <w:tc>
          <w:tcPr>
            <w:tcW w:w="2700" w:type="dxa"/>
            <w:vAlign w:val="bottom"/>
          </w:tcPr>
          <w:p>
            <w:pPr>
              <w:ind w:left="200"/>
              <w:spacing w:after="0"/>
              <w:rPr>
                <w:sz w:val="20"/>
                <w:szCs w:val="20"/>
                <w:color w:val="auto"/>
              </w:rPr>
            </w:pPr>
            <w:r>
              <w:rPr>
                <w:rFonts w:ascii="Arial" w:cs="Arial" w:eastAsia="Arial" w:hAnsi="Arial"/>
                <w:sz w:val="14"/>
                <w:szCs w:val="14"/>
                <w:color w:val="auto"/>
              </w:rPr>
              <w:t>Boulder City, NV</w:t>
            </w:r>
          </w:p>
        </w:tc>
      </w:tr>
      <w:tr>
        <w:trPr>
          <w:trHeight w:val="210"/>
        </w:trPr>
        <w:tc>
          <w:tcPr>
            <w:tcW w:w="2140" w:type="dxa"/>
            <w:vAlign w:val="bottom"/>
          </w:tcPr>
          <w:p>
            <w:pPr>
              <w:spacing w:after="0"/>
              <w:rPr>
                <w:sz w:val="20"/>
                <w:szCs w:val="20"/>
                <w:color w:val="auto"/>
              </w:rPr>
            </w:pPr>
            <w:r>
              <w:rPr>
                <w:rFonts w:ascii="Arial" w:cs="Arial" w:eastAsia="Arial" w:hAnsi="Arial"/>
                <w:sz w:val="14"/>
                <w:szCs w:val="14"/>
                <w:color w:val="auto"/>
              </w:rPr>
              <w:t>Elk Hills (50% owned)</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275</w:t>
            </w:r>
          </w:p>
        </w:tc>
        <w:tc>
          <w:tcPr>
            <w:tcW w:w="340" w:type="dxa"/>
            <w:vAlign w:val="bottom"/>
          </w:tcPr>
          <w:p>
            <w:pPr>
              <w:spacing w:after="0"/>
              <w:rPr>
                <w:sz w:val="20"/>
                <w:szCs w:val="20"/>
                <w:color w:val="auto"/>
              </w:rPr>
            </w:pPr>
            <w:r>
              <w:rPr>
                <w:rFonts w:ascii="Arial" w:cs="Arial" w:eastAsia="Arial" w:hAnsi="Arial"/>
                <w:sz w:val="14"/>
                <w:szCs w:val="14"/>
                <w:color w:val="auto"/>
              </w:rPr>
              <w:t>**</w:t>
            </w:r>
          </w:p>
        </w:tc>
        <w:tc>
          <w:tcPr>
            <w:tcW w:w="980" w:type="dxa"/>
            <w:vAlign w:val="bottom"/>
          </w:tcPr>
          <w:p>
            <w:pPr>
              <w:jc w:val="center"/>
              <w:spacing w:after="0"/>
              <w:rPr>
                <w:sz w:val="20"/>
                <w:szCs w:val="20"/>
                <w:color w:val="auto"/>
              </w:rPr>
            </w:pPr>
            <w:r>
              <w:rPr>
                <w:rFonts w:ascii="Arial" w:cs="Arial" w:eastAsia="Arial" w:hAnsi="Arial"/>
                <w:sz w:val="14"/>
                <w:szCs w:val="14"/>
                <w:color w:val="auto"/>
              </w:rPr>
              <w:t>2003</w:t>
            </w:r>
          </w:p>
        </w:tc>
        <w:tc>
          <w:tcPr>
            <w:tcW w:w="2700" w:type="dxa"/>
            <w:vAlign w:val="bottom"/>
          </w:tcPr>
          <w:p>
            <w:pPr>
              <w:ind w:left="200"/>
              <w:spacing w:after="0"/>
              <w:rPr>
                <w:sz w:val="20"/>
                <w:szCs w:val="20"/>
                <w:color w:val="auto"/>
              </w:rPr>
            </w:pPr>
            <w:r>
              <w:rPr>
                <w:rFonts w:ascii="Arial" w:cs="Arial" w:eastAsia="Arial" w:hAnsi="Arial"/>
                <w:sz w:val="14"/>
                <w:szCs w:val="14"/>
                <w:color w:val="auto"/>
              </w:rPr>
              <w:t>Bakersfield, CA</w:t>
            </w:r>
          </w:p>
        </w:tc>
      </w:tr>
      <w:tr>
        <w:trPr>
          <w:trHeight w:val="224"/>
        </w:trPr>
        <w:tc>
          <w:tcPr>
            <w:tcW w:w="2140" w:type="dxa"/>
            <w:vAlign w:val="bottom"/>
            <w:tcBorders>
              <w:bottom w:val="single" w:sz="8" w:color="auto"/>
            </w:tcBorders>
          </w:tcPr>
          <w:p>
            <w:pPr>
              <w:ind w:left="440"/>
              <w:spacing w:after="0"/>
              <w:rPr>
                <w:sz w:val="20"/>
                <w:szCs w:val="20"/>
                <w:color w:val="auto"/>
              </w:rPr>
            </w:pPr>
            <w:r>
              <w:rPr>
                <w:rFonts w:ascii="Arial" w:cs="Arial" w:eastAsia="Arial" w:hAnsi="Arial"/>
                <w:sz w:val="14"/>
                <w:szCs w:val="14"/>
                <w:color w:val="auto"/>
              </w:rPr>
              <w:t>Total MW in operation</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2,640</w:t>
            </w:r>
          </w:p>
        </w:tc>
        <w:tc>
          <w:tcPr>
            <w:tcW w:w="3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2700" w:type="dxa"/>
            <w:vAlign w:val="bottom"/>
            <w:tcBorders>
              <w:bottom w:val="single" w:sz="8" w:color="auto"/>
            </w:tcBorders>
          </w:tcPr>
          <w:p>
            <w:pPr>
              <w:spacing w:after="0"/>
              <w:rPr>
                <w:sz w:val="19"/>
                <w:szCs w:val="19"/>
                <w:color w:val="auto"/>
              </w:rPr>
            </w:pPr>
          </w:p>
        </w:tc>
      </w:tr>
    </w:tbl>
    <w:p>
      <w:pPr>
        <w:spacing w:after="0" w:line="16" w:lineRule="exact"/>
        <w:rPr>
          <w:sz w:val="20"/>
          <w:szCs w:val="20"/>
          <w:color w:val="auto"/>
        </w:rPr>
      </w:pPr>
    </w:p>
    <w:p>
      <w:pPr>
        <w:ind w:left="2340" w:hanging="440"/>
        <w:spacing w:after="0"/>
        <w:tabs>
          <w:tab w:leader="none" w:pos="2340" w:val="left"/>
        </w:tabs>
        <w:numPr>
          <w:ilvl w:val="0"/>
          <w:numId w:val="208"/>
        </w:numPr>
        <w:rPr>
          <w:rFonts w:ascii="Arial" w:cs="Arial" w:eastAsia="Arial" w:hAnsi="Arial"/>
          <w:sz w:val="13"/>
          <w:szCs w:val="13"/>
          <w:i w:val="1"/>
          <w:iCs w:val="1"/>
          <w:color w:val="auto"/>
        </w:rPr>
      </w:pPr>
      <w:r>
        <w:rPr>
          <w:rFonts w:ascii="Arial" w:cs="Arial" w:eastAsia="Arial" w:hAnsi="Arial"/>
          <w:sz w:val="13"/>
          <w:szCs w:val="13"/>
          <w:i w:val="1"/>
          <w:iCs w:val="1"/>
          <w:color w:val="auto"/>
        </w:rPr>
        <w:t>Includes 10 MW of solar generating capacity</w:t>
      </w:r>
    </w:p>
    <w:p>
      <w:pPr>
        <w:spacing w:after="0" w:line="42" w:lineRule="exact"/>
        <w:rPr>
          <w:rFonts w:ascii="Arial" w:cs="Arial" w:eastAsia="Arial" w:hAnsi="Arial"/>
          <w:sz w:val="13"/>
          <w:szCs w:val="13"/>
          <w:i w:val="1"/>
          <w:iCs w:val="1"/>
          <w:color w:val="auto"/>
        </w:rPr>
      </w:pPr>
    </w:p>
    <w:p>
      <w:pPr>
        <w:ind w:left="1900"/>
        <w:spacing w:after="0"/>
        <w:rPr>
          <w:rFonts w:ascii="Arial" w:cs="Arial" w:eastAsia="Arial" w:hAnsi="Arial"/>
          <w:sz w:val="13"/>
          <w:szCs w:val="13"/>
          <w:i w:val="1"/>
          <w:iCs w:val="1"/>
          <w:color w:val="auto"/>
        </w:rPr>
      </w:pPr>
      <w:r>
        <w:rPr>
          <w:rFonts w:ascii="Arial" w:cs="Arial" w:eastAsia="Arial" w:hAnsi="Arial"/>
          <w:sz w:val="13"/>
          <w:szCs w:val="13"/>
          <w:i w:val="1"/>
          <w:iCs w:val="1"/>
          <w:color w:val="auto"/>
        </w:rPr>
        <w:t>**</w:t>
      </w:r>
      <w:r>
        <w:rPr>
          <w:rFonts w:ascii="Arial" w:cs="Arial" w:eastAsia="Arial" w:hAnsi="Arial"/>
          <w:sz w:val="12"/>
          <w:szCs w:val="12"/>
          <w:i w:val="1"/>
          <w:iCs w:val="1"/>
          <w:color w:val="auto"/>
        </w:rPr>
        <w:t>Sempra Generation's share</w:t>
      </w:r>
    </w:p>
    <w:p>
      <w:pPr>
        <w:spacing w:after="0" w:line="206" w:lineRule="exact"/>
        <w:rPr>
          <w:sz w:val="20"/>
          <w:szCs w:val="20"/>
          <w:color w:val="auto"/>
        </w:rPr>
      </w:pPr>
    </w:p>
    <w:p>
      <w:pPr>
        <w:ind w:right="40"/>
        <w:spacing w:after="0" w:line="299" w:lineRule="auto"/>
        <w:rPr>
          <w:sz w:val="20"/>
          <w:szCs w:val="20"/>
          <w:color w:val="auto"/>
        </w:rPr>
      </w:pPr>
      <w:r>
        <w:rPr>
          <w:rFonts w:ascii="Arial" w:cs="Arial" w:eastAsia="Arial" w:hAnsi="Arial"/>
          <w:sz w:val="14"/>
          <w:szCs w:val="14"/>
          <w:color w:val="auto"/>
        </w:rPr>
        <w:t>Sempra Generation’s three 100%-owned facilities, Mesquite Power, Termoeléctrica de Mexicali, and El Dorado, sell the majority of their output under long-term contracts and a purchased-power contract. The largest contract is with the DWR and provides for 1,200 MW to be supplied during all hours and an additional 400 MW during peak hours. This contract ends September 30, 2011. Sempra Generation also has other purchased-power contracts, primarily with RBS Sempra Commodities, to sell varying amounts of power through 2012. In addition to these contracts, Sempra Generation has a purchased-power contract expiring in 2010 that permits the call for delivery of up to 300 MW of power, both peak and off peak hours, at a predetermined price. Combined, including the DWR contract, these contracts are expected to utilize approximately 85% to 90% of the Sempra Generation 100%-owned fleet capacity output through September 30, 2011; the remaining output is expected to be sold into the California market on a daily basis.</w:t>
      </w:r>
    </w:p>
    <w:p>
      <w:pPr>
        <w:spacing w:after="0" w:line="22" w:lineRule="exact"/>
        <w:rPr>
          <w:sz w:val="20"/>
          <w:szCs w:val="20"/>
          <w:color w:val="auto"/>
        </w:rPr>
      </w:pPr>
    </w:p>
    <w:p>
      <w:pPr>
        <w:ind w:right="120"/>
        <w:spacing w:after="0" w:line="277" w:lineRule="auto"/>
        <w:rPr>
          <w:sz w:val="20"/>
          <w:szCs w:val="20"/>
          <w:color w:val="auto"/>
        </w:rPr>
      </w:pPr>
      <w:r>
        <w:rPr>
          <w:rFonts w:ascii="Arial" w:cs="Arial" w:eastAsia="Arial" w:hAnsi="Arial"/>
          <w:sz w:val="16"/>
          <w:szCs w:val="16"/>
          <w:color w:val="auto"/>
        </w:rPr>
        <w:t>The El Dorado facility (excluding the solar facility) is expected to be transferred to SDG&amp;E on October 1, 2011, which coincides with the end of the DWR contract. Note 14 of the Notes to Consolidated Financial Statements provides information on this transfer.</w:t>
      </w:r>
    </w:p>
    <w:p>
      <w:pPr>
        <w:spacing w:after="0" w:line="32" w:lineRule="exact"/>
        <w:rPr>
          <w:sz w:val="20"/>
          <w:szCs w:val="20"/>
          <w:color w:val="auto"/>
        </w:rPr>
      </w:pPr>
    </w:p>
    <w:p>
      <w:pPr>
        <w:ind w:right="100"/>
        <w:spacing w:after="0" w:line="277" w:lineRule="auto"/>
        <w:rPr>
          <w:sz w:val="20"/>
          <w:szCs w:val="20"/>
          <w:color w:val="auto"/>
        </w:rPr>
      </w:pPr>
      <w:r>
        <w:rPr>
          <w:rFonts w:ascii="Arial" w:cs="Arial" w:eastAsia="Arial" w:hAnsi="Arial"/>
          <w:sz w:val="16"/>
          <w:szCs w:val="16"/>
          <w:color w:val="auto"/>
        </w:rPr>
        <w:t>Sempra Generation also has a 50% equity interest in Elk Hills, a merchant plant located in Bakersfield, California. Elk Hills sells its output into the California market on a daily basis.</w:t>
      </w:r>
    </w:p>
    <w:p>
      <w:pPr>
        <w:spacing w:after="0" w:line="32" w:lineRule="exact"/>
        <w:rPr>
          <w:sz w:val="20"/>
          <w:szCs w:val="20"/>
          <w:color w:val="auto"/>
        </w:rPr>
      </w:pPr>
    </w:p>
    <w:p>
      <w:pPr>
        <w:spacing w:after="0" w:line="277" w:lineRule="auto"/>
        <w:rPr>
          <w:sz w:val="20"/>
          <w:szCs w:val="20"/>
          <w:color w:val="auto"/>
        </w:rPr>
      </w:pPr>
      <w:r>
        <w:rPr>
          <w:rFonts w:ascii="Arial" w:cs="Arial" w:eastAsia="Arial" w:hAnsi="Arial"/>
          <w:sz w:val="16"/>
          <w:szCs w:val="16"/>
          <w:color w:val="auto"/>
        </w:rPr>
        <w:t>Subject to approval by the California Public Utilities Commission, Sempra Generation has a 20-year power purchase agreement with Pacific Gas and Electric for all of the output of its 10-MW solar facility.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Sempra Pipelines &amp; Storage</w:t>
      </w:r>
    </w:p>
    <w:p>
      <w:pPr>
        <w:spacing w:after="0" w:line="80" w:lineRule="exact"/>
        <w:rPr>
          <w:sz w:val="20"/>
          <w:szCs w:val="20"/>
          <w:color w:val="auto"/>
        </w:rPr>
      </w:pPr>
    </w:p>
    <w:p>
      <w:pPr>
        <w:ind w:right="20"/>
        <w:spacing w:after="0" w:line="264" w:lineRule="auto"/>
        <w:rPr>
          <w:sz w:val="20"/>
          <w:szCs w:val="20"/>
          <w:color w:val="auto"/>
        </w:rPr>
      </w:pPr>
      <w:r>
        <w:rPr>
          <w:rFonts w:ascii="Arial" w:cs="Arial" w:eastAsia="Arial" w:hAnsi="Arial"/>
          <w:sz w:val="16"/>
          <w:szCs w:val="16"/>
          <w:color w:val="auto"/>
        </w:rPr>
        <w:t>Sempra Pipelines &amp; Storage develops, owns and operates, or holds interests in, natural gas pipelines and storage facilities in the United States and Mexico, and in companies that provide natural gas or electric services in Argentina, Chile, Mexico and Peru. Sempra Pipelines &amp; Storage is currently pursuing the sale of its interests in the Argentine utilities, which we discuss further in Note 4 of the Notes to Consolidated Financial Statements.</w:t>
      </w:r>
    </w:p>
    <w:p>
      <w:pPr>
        <w:spacing w:after="0" w:line="42" w:lineRule="exact"/>
        <w:rPr>
          <w:sz w:val="20"/>
          <w:szCs w:val="20"/>
          <w:color w:val="auto"/>
        </w:rPr>
      </w:pPr>
    </w:p>
    <w:p>
      <w:pPr>
        <w:ind w:right="360"/>
        <w:spacing w:after="0" w:line="277" w:lineRule="auto"/>
        <w:rPr>
          <w:sz w:val="20"/>
          <w:szCs w:val="20"/>
          <w:color w:val="auto"/>
        </w:rPr>
      </w:pPr>
      <w:r>
        <w:rPr>
          <w:rFonts w:ascii="Arial" w:cs="Arial" w:eastAsia="Arial" w:hAnsi="Arial"/>
          <w:sz w:val="16"/>
          <w:szCs w:val="16"/>
          <w:color w:val="auto"/>
        </w:rPr>
        <w:t>The natural gas distribution utility that operates in three separate areas in Mexico had a customer count of 94,650 and sales volume of 52 million cubic feet per day in 2008, which is comparable to amounts in 2007. The pipeline</w:t>
      </w: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14"/>
          <w:szCs w:val="14"/>
          <w:color w:val="auto"/>
        </w:rPr>
        <w:t>5</w:t>
      </w:r>
    </w:p>
    <w:p>
      <w:pPr>
        <w:sectPr>
          <w:pgSz w:w="11900" w:h="16838" w:orient="portrait"/>
          <w:cols w:equalWidth="0" w:num="1">
            <w:col w:w="11380"/>
          </w:cols>
          <w:pgMar w:left="240" w:top="127" w:right="279" w:bottom="1440" w:gutter="0" w:footer="0" w:header="0"/>
        </w:sectPr>
      </w:pPr>
    </w:p>
    <w:bookmarkStart w:id="145" w:name="page146"/>
    <w:bookmarkEnd w:id="145"/>
    <w:p>
      <w:pPr>
        <w:spacing w:after="0" w:line="264" w:lineRule="auto"/>
        <w:rPr>
          <w:sz w:val="20"/>
          <w:szCs w:val="20"/>
          <w:color w:val="auto"/>
        </w:rPr>
      </w:pPr>
      <w:r>
        <w:rPr>
          <w:rFonts w:ascii="Arial" w:cs="Arial" w:eastAsia="Arial" w:hAnsi="Arial"/>
          <w:sz w:val="16"/>
          <w:szCs w:val="16"/>
          <w:color w:val="auto"/>
        </w:rPr>
        <w:t>system in Mexico was recently expanded and had a contracted capacity for up to 2,600 million cubic feet per day in 2008 and 450 million cubic feet per day in 2007. The increase in 2008 was due to the start of commercial operations of the pipeline expansion in connection with Sempra LNG's Energía Costa Azul LNG receipt terminal, which uses these pipelines to transport its regasified natural gas and began operations in May 2008.</w:t>
      </w:r>
    </w:p>
    <w:p>
      <w:pPr>
        <w:spacing w:after="0" w:line="42" w:lineRule="exact"/>
        <w:rPr>
          <w:sz w:val="20"/>
          <w:szCs w:val="20"/>
          <w:color w:val="auto"/>
        </w:rPr>
      </w:pPr>
    </w:p>
    <w:p>
      <w:pPr>
        <w:ind w:right="220"/>
        <w:spacing w:after="0" w:line="264" w:lineRule="auto"/>
        <w:rPr>
          <w:sz w:val="20"/>
          <w:szCs w:val="20"/>
          <w:color w:val="auto"/>
        </w:rPr>
      </w:pPr>
      <w:r>
        <w:rPr>
          <w:rFonts w:ascii="Arial" w:cs="Arial" w:eastAsia="Arial" w:hAnsi="Arial"/>
          <w:sz w:val="16"/>
          <w:szCs w:val="16"/>
          <w:color w:val="auto"/>
        </w:rPr>
        <w:t>Sempra Pipelines &amp; Storage also includes the operations of EnergySouth, which it acquired in October 2008. EnergySouth owns and operates, or holds interests in, natural gas underground storage and related pipeline facilities in Alabama and Mississippi (now Sempra Midstream), and owns Mobile Gas Service Corporation (Mobile Gas), a small regulated natural gas distribution utility in Southwest Alabama.</w:t>
      </w:r>
    </w:p>
    <w:p>
      <w:pPr>
        <w:spacing w:after="0" w:line="42" w:lineRule="exact"/>
        <w:rPr>
          <w:sz w:val="20"/>
          <w:szCs w:val="20"/>
          <w:color w:val="auto"/>
        </w:rPr>
      </w:pPr>
    </w:p>
    <w:p>
      <w:pPr>
        <w:ind w:right="20"/>
        <w:spacing w:after="0" w:line="278" w:lineRule="auto"/>
        <w:rPr>
          <w:sz w:val="20"/>
          <w:szCs w:val="20"/>
          <w:color w:val="auto"/>
        </w:rPr>
      </w:pPr>
      <w:r>
        <w:rPr>
          <w:rFonts w:ascii="Arial" w:cs="Arial" w:eastAsia="Arial" w:hAnsi="Arial"/>
          <w:sz w:val="15"/>
          <w:szCs w:val="15"/>
          <w:color w:val="auto"/>
        </w:rPr>
        <w:t>Sempra Pipelines &amp; Storage, Kinder Morgan Energy Partners, L.P. (KMP) and ConocoPhillips are, through Rockies Express, jointly developing a natural gas pipeline, the Rockies Express Pipeline (REX), that will link producing areas in the Rocky Mountain region to the upper Midwest and the eastern United States. Our participation in the project is 25%. Sempra Rockies Marketing, part of the Sempra Commodities segment, has an agreement with Rockies Express for 200 million cubic feet per day of capacity on the REX, which will have capacity of 1.8 billion cubic feet (Bcf) per day. Sempra Rockies Marketing has released a portion of this capacity to RBS Sempra Commodities, and RBS Sempra Commodities has assisted Sempra Rockies Marketing with marketing remaining capacity.</w:t>
      </w:r>
    </w:p>
    <w:p>
      <w:pPr>
        <w:spacing w:after="0" w:line="34" w:lineRule="exact"/>
        <w:rPr>
          <w:sz w:val="20"/>
          <w:szCs w:val="20"/>
          <w:color w:val="auto"/>
        </w:rPr>
      </w:pPr>
    </w:p>
    <w:p>
      <w:pPr>
        <w:jc w:val="both"/>
        <w:spacing w:after="0" w:line="264" w:lineRule="auto"/>
        <w:rPr>
          <w:sz w:val="20"/>
          <w:szCs w:val="20"/>
          <w:color w:val="auto"/>
        </w:rPr>
      </w:pPr>
      <w:r>
        <w:rPr>
          <w:rFonts w:ascii="Arial" w:cs="Arial" w:eastAsia="Arial" w:hAnsi="Arial"/>
          <w:sz w:val="16"/>
          <w:szCs w:val="16"/>
          <w:color w:val="auto"/>
        </w:rPr>
        <w:t>REX-West, the segment of the pipeline which extends 713 miles from the Cheyenne Hub to Audrain County in Missouri, began interim service in January and full service in May 2008. Construction began in July 2008 on REX-East, which will extend the pipeline from Audrain County to Clarington in Ohio. Subject to receipt of regulatory approvals, REX-East is expected to be fully operational in late 2009, with service to delivering points in Illinois, Indiana and Ohio during 2009.</w:t>
      </w:r>
    </w:p>
    <w:p>
      <w:pPr>
        <w:spacing w:after="0" w:line="4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Sempra LNG</w:t>
      </w:r>
    </w:p>
    <w:p>
      <w:pPr>
        <w:spacing w:after="0" w:line="80" w:lineRule="exact"/>
        <w:rPr>
          <w:sz w:val="20"/>
          <w:szCs w:val="20"/>
          <w:color w:val="auto"/>
        </w:rPr>
      </w:pPr>
    </w:p>
    <w:p>
      <w:pPr>
        <w:ind w:right="100"/>
        <w:spacing w:after="0" w:line="282" w:lineRule="auto"/>
        <w:rPr>
          <w:sz w:val="20"/>
          <w:szCs w:val="20"/>
          <w:color w:val="auto"/>
        </w:rPr>
      </w:pPr>
      <w:r>
        <w:rPr>
          <w:rFonts w:ascii="Arial" w:cs="Arial" w:eastAsia="Arial" w:hAnsi="Arial"/>
          <w:sz w:val="15"/>
          <w:szCs w:val="15"/>
          <w:color w:val="auto"/>
        </w:rPr>
        <w:t>Sempra LNG develops, owns and operates receipt terminals for importing liquefied natural gas (LNG), and has supply and marketing agreements to provide natural gas. Sempra LNG utilizes its regasification terminals by entering into long-term firm capacity service agreements when able to do so. Under these agreements, customers pay Sempra LNG fees to use its facilities to regasify the customer's LNG. Sempra LNG also may enter into long-term supply agreements to purchase LNG, which is regasified at its terminals for sale to other parties. Sempra LNG may also fill capacity and purchase LNG supplies under short-term contracts.</w:t>
      </w:r>
    </w:p>
    <w:p>
      <w:pPr>
        <w:spacing w:after="0" w:line="30" w:lineRule="exact"/>
        <w:rPr>
          <w:sz w:val="20"/>
          <w:szCs w:val="20"/>
          <w:color w:val="auto"/>
        </w:rPr>
      </w:pPr>
    </w:p>
    <w:p>
      <w:pPr>
        <w:ind w:right="80"/>
        <w:spacing w:after="0" w:line="255" w:lineRule="auto"/>
        <w:rPr>
          <w:sz w:val="20"/>
          <w:szCs w:val="20"/>
          <w:color w:val="auto"/>
        </w:rPr>
      </w:pPr>
      <w:r>
        <w:rPr>
          <w:rFonts w:ascii="Arial" w:cs="Arial" w:eastAsia="Arial" w:hAnsi="Arial"/>
          <w:sz w:val="16"/>
          <w:szCs w:val="16"/>
          <w:color w:val="auto"/>
        </w:rPr>
        <w:t>Sempra LNG’s Energía Costa Azul LNG receipt terminal in Baja California, Mexico began commercial operations in May 2008 and has a sendout capacity of 1 Bcf of natural gas per day. The Energía Costa Azul facility currently generates revenue under an agreement with Shell México Gas Natural, using one-half of the terminal’s capacity. Sempra LNG has a purchase agreement with Tangguh PSC Contractors (Tangguh PSC) for the supply of 500 million cubic feet of natural gas per day from Indonesia’s Tangguh liquefaction facility to Sempra LNG’s Energía Costa Azul regasification terminal at a price based on the Southern California border index price for natural gas. Sempra LNG has a contract to sell a portion of the volumes purchased from Tangguh PSC to Mexico’s national electric company, Comisión Federal de Electricidad (CFE) at prices that are based on the Southern California border index price. Sempra LNG also has an agreement with RBS Sempra Commodities for RBS Sempra Commodities to market any volumes purchased from Tangguh PSC that are not sold to the CFE.</w:t>
      </w:r>
    </w:p>
    <w:p>
      <w:pPr>
        <w:spacing w:after="0" w:line="49" w:lineRule="exact"/>
        <w:rPr>
          <w:sz w:val="20"/>
          <w:szCs w:val="20"/>
          <w:color w:val="auto"/>
        </w:rPr>
      </w:pPr>
    </w:p>
    <w:p>
      <w:pPr>
        <w:ind w:right="340"/>
        <w:spacing w:after="0" w:line="277" w:lineRule="auto"/>
        <w:rPr>
          <w:sz w:val="20"/>
          <w:szCs w:val="20"/>
          <w:color w:val="auto"/>
        </w:rPr>
      </w:pPr>
      <w:r>
        <w:rPr>
          <w:rFonts w:ascii="Arial" w:cs="Arial" w:eastAsia="Arial" w:hAnsi="Arial"/>
          <w:sz w:val="16"/>
          <w:szCs w:val="16"/>
          <w:color w:val="auto"/>
        </w:rPr>
        <w:t>A nitrogen-injection facility currently under construction will allow the terminal to process LNG cargoes from a wider variety of sources and will provide additional revenue from payments for the injection service.</w:t>
      </w:r>
    </w:p>
    <w:p>
      <w:pPr>
        <w:spacing w:after="0" w:line="32" w:lineRule="exact"/>
        <w:rPr>
          <w:sz w:val="20"/>
          <w:szCs w:val="20"/>
          <w:color w:val="auto"/>
        </w:rPr>
      </w:pPr>
    </w:p>
    <w:p>
      <w:pPr>
        <w:jc w:val="both"/>
        <w:ind w:right="60"/>
        <w:spacing w:after="0" w:line="340" w:lineRule="auto"/>
        <w:rPr>
          <w:sz w:val="20"/>
          <w:szCs w:val="20"/>
          <w:color w:val="auto"/>
        </w:rPr>
      </w:pPr>
      <w:r>
        <w:rPr>
          <w:rFonts w:ascii="Arial" w:cs="Arial" w:eastAsia="Arial" w:hAnsi="Arial"/>
          <w:sz w:val="14"/>
          <w:szCs w:val="14"/>
          <w:color w:val="auto"/>
        </w:rPr>
        <w:t>Sempra LNG’s Cameron LNG receipt terminal is currently under construction in Hackberry, Louisiana. In the second half of 2009, we expect to complete construction and begin receiving capacity revenues. The facility will have a capacity of 1.5 Bcf per day, and 40% of the capacity is contracted for twenty years following the start of facility operations.</w:t>
      </w:r>
    </w:p>
    <w:p>
      <w:pPr>
        <w:spacing w:after="0"/>
        <w:rPr>
          <w:sz w:val="20"/>
          <w:szCs w:val="20"/>
          <w:color w:val="auto"/>
        </w:rPr>
      </w:pPr>
      <w:r>
        <w:rPr>
          <w:rFonts w:ascii="Arial" w:cs="Arial" w:eastAsia="Arial" w:hAnsi="Arial"/>
          <w:sz w:val="16"/>
          <w:szCs w:val="16"/>
          <w:color w:val="auto"/>
        </w:rPr>
        <w:t>Sempra LNG also owns property in Port Arthur, Texas, that we are evaluating for potential development.</w:t>
      </w: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4"/>
          <w:szCs w:val="14"/>
          <w:color w:val="auto"/>
        </w:rPr>
        <w:t>6</w:t>
      </w:r>
    </w:p>
    <w:p>
      <w:pPr>
        <w:sectPr>
          <w:pgSz w:w="11900" w:h="16838" w:orient="portrait"/>
          <w:cols w:equalWidth="0" w:num="1">
            <w:col w:w="11420"/>
          </w:cols>
          <w:pgMar w:left="240" w:top="127" w:right="239" w:bottom="1440" w:gutter="0" w:footer="0" w:header="0"/>
        </w:sectPr>
      </w:pPr>
    </w:p>
    <w:bookmarkStart w:id="146" w:name="page147"/>
    <w:bookmarkEnd w:id="146"/>
    <w:p>
      <w:pPr>
        <w:ind w:left="4"/>
        <w:spacing w:after="0"/>
        <w:rPr>
          <w:sz w:val="20"/>
          <w:szCs w:val="20"/>
          <w:color w:val="auto"/>
        </w:rPr>
      </w:pPr>
      <w:r>
        <w:rPr>
          <w:rFonts w:ascii="Arial" w:cs="Arial" w:eastAsia="Arial" w:hAnsi="Arial"/>
          <w:sz w:val="16"/>
          <w:szCs w:val="16"/>
          <w:b w:val="1"/>
          <w:bCs w:val="1"/>
          <w:color w:val="auto"/>
        </w:rPr>
        <w:t>REGULATION OF SEMPRA UTILITIES AND OTHER BUSINESS UNITS</w:t>
      </w:r>
    </w:p>
    <w:p>
      <w:pPr>
        <w:spacing w:after="0" w:line="89" w:lineRule="exact"/>
        <w:rPr>
          <w:sz w:val="20"/>
          <w:szCs w:val="20"/>
          <w:color w:val="auto"/>
        </w:rPr>
      </w:pPr>
    </w:p>
    <w:p>
      <w:pPr>
        <w:ind w:left="4" w:right="140"/>
        <w:spacing w:after="0" w:line="289" w:lineRule="auto"/>
        <w:rPr>
          <w:sz w:val="20"/>
          <w:szCs w:val="20"/>
          <w:color w:val="auto"/>
        </w:rPr>
      </w:pPr>
      <w:r>
        <w:rPr>
          <w:rFonts w:ascii="Arial" w:cs="Arial" w:eastAsia="Arial" w:hAnsi="Arial"/>
          <w:sz w:val="15"/>
          <w:szCs w:val="15"/>
          <w:color w:val="auto"/>
        </w:rPr>
        <w:t>The Sempra Utilities are regulated by federal, state and local governmental agencies. The primary regulatory agency is the California Public Utilities Commission (CPUC). The CPUC regulates the Sempra Utilities' rates and operations in California, except for SDG&amp;E's electric transmission operations. The Federal Energy Regulatory Commission (FERC) regulates SDG&amp;E's electric transmission operations. The FERC also regulates interstate transportation of natural gas and various related matters.</w:t>
      </w:r>
    </w:p>
    <w:p>
      <w:pPr>
        <w:spacing w:after="0" w:line="26" w:lineRule="exact"/>
        <w:rPr>
          <w:sz w:val="20"/>
          <w:szCs w:val="20"/>
          <w:color w:val="auto"/>
        </w:rPr>
      </w:pPr>
    </w:p>
    <w:p>
      <w:pPr>
        <w:ind w:left="4"/>
        <w:spacing w:after="0" w:line="264" w:lineRule="auto"/>
        <w:rPr>
          <w:sz w:val="20"/>
          <w:szCs w:val="20"/>
          <w:color w:val="auto"/>
        </w:rPr>
      </w:pPr>
      <w:r>
        <w:rPr>
          <w:rFonts w:ascii="Arial" w:cs="Arial" w:eastAsia="Arial" w:hAnsi="Arial"/>
          <w:sz w:val="16"/>
          <w:szCs w:val="16"/>
          <w:color w:val="auto"/>
        </w:rPr>
        <w:t>The Nuclear Regulatory Commission regulates the San Onofre nuclear generating plant, in which SDG&amp;E owns a 20% interest. Municipalities and other local authorities regulate the location of utility assets, including natural gas pipelines and electric lines. Sempra Energy's other business units are also regulated by the FERC, various state commissions, local governmental entities, and various similar authorities in countries other than the United 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209550</wp:posOffset>
            </wp:positionV>
            <wp:extent cx="7261860" cy="762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pacing w:after="0" w:line="367" w:lineRule="exact"/>
        <w:rPr>
          <w:sz w:val="20"/>
          <w:szCs w:val="20"/>
          <w:color w:val="auto"/>
        </w:rPr>
      </w:pPr>
    </w:p>
    <w:p>
      <w:pPr>
        <w:ind w:left="4"/>
        <w:spacing w:after="0"/>
        <w:rPr>
          <w:sz w:val="20"/>
          <w:szCs w:val="20"/>
          <w:color w:val="auto"/>
        </w:rPr>
      </w:pPr>
      <w:r>
        <w:rPr>
          <w:rFonts w:ascii="Arial" w:cs="Arial" w:eastAsia="Arial" w:hAnsi="Arial"/>
          <w:sz w:val="18"/>
          <w:szCs w:val="18"/>
          <w:color w:val="auto"/>
        </w:rPr>
        <w:t>EXECUTIVE SUMMARY</w:t>
      </w:r>
    </w:p>
    <w:p>
      <w:pPr>
        <w:spacing w:after="0" w:line="244"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auto"/>
        </w:rPr>
        <w:t>BUSINESS STRATEGY</w:t>
      </w:r>
    </w:p>
    <w:p>
      <w:pPr>
        <w:spacing w:after="0" w:line="89" w:lineRule="exact"/>
        <w:rPr>
          <w:sz w:val="20"/>
          <w:szCs w:val="20"/>
          <w:color w:val="auto"/>
        </w:rPr>
      </w:pPr>
    </w:p>
    <w:p>
      <w:pPr>
        <w:ind w:left="4" w:right="120"/>
        <w:spacing w:after="0" w:line="264" w:lineRule="auto"/>
        <w:rPr>
          <w:sz w:val="20"/>
          <w:szCs w:val="20"/>
          <w:color w:val="auto"/>
        </w:rPr>
      </w:pPr>
      <w:r>
        <w:rPr>
          <w:rFonts w:ascii="Arial" w:cs="Arial" w:eastAsia="Arial" w:hAnsi="Arial"/>
          <w:sz w:val="16"/>
          <w:szCs w:val="16"/>
          <w:color w:val="auto"/>
        </w:rPr>
        <w:t>Our ongoing focus is to enhance shareholder value and meet customer needs by sustaining the financial strength, operational flexibility and skilled workforce needed to succeed in rapidly changing market conditions. To accomplish these goals, we evaluate market opportunities with our extensive industry expertise combined with rigorous risk management.</w:t>
      </w:r>
    </w:p>
    <w:p>
      <w:pPr>
        <w:spacing w:after="0" w:line="42" w:lineRule="exact"/>
        <w:rPr>
          <w:sz w:val="20"/>
          <w:szCs w:val="20"/>
          <w:color w:val="auto"/>
        </w:rPr>
      </w:pPr>
    </w:p>
    <w:p>
      <w:pPr>
        <w:ind w:left="4"/>
        <w:spacing w:after="0"/>
        <w:rPr>
          <w:sz w:val="20"/>
          <w:szCs w:val="20"/>
          <w:color w:val="auto"/>
        </w:rPr>
      </w:pPr>
      <w:r>
        <w:rPr>
          <w:rFonts w:ascii="Arial" w:cs="Arial" w:eastAsia="Arial" w:hAnsi="Arial"/>
          <w:sz w:val="16"/>
          <w:szCs w:val="16"/>
          <w:color w:val="auto"/>
        </w:rPr>
        <w:t>The key components of our strategy include the following:</w:t>
      </w:r>
    </w:p>
    <w:p>
      <w:pPr>
        <w:spacing w:after="0" w:line="44" w:lineRule="exact"/>
        <w:rPr>
          <w:sz w:val="20"/>
          <w:szCs w:val="20"/>
          <w:color w:val="auto"/>
        </w:rPr>
      </w:pPr>
    </w:p>
    <w:p>
      <w:pPr>
        <w:ind w:left="144" w:hanging="144"/>
        <w:spacing w:after="0"/>
        <w:tabs>
          <w:tab w:leader="none" w:pos="144" w:val="left"/>
        </w:tabs>
        <w:numPr>
          <w:ilvl w:val="0"/>
          <w:numId w:val="209"/>
        </w:numPr>
        <w:rPr>
          <w:rFonts w:ascii="Arial" w:cs="Arial" w:eastAsia="Arial" w:hAnsi="Arial"/>
          <w:sz w:val="16"/>
          <w:szCs w:val="16"/>
          <w:color w:val="auto"/>
        </w:rPr>
      </w:pPr>
      <w:r>
        <w:rPr>
          <w:rFonts w:ascii="Arial" w:cs="Arial" w:eastAsia="Arial" w:hAnsi="Arial"/>
          <w:sz w:val="16"/>
          <w:szCs w:val="16"/>
          <w:color w:val="auto"/>
        </w:rPr>
        <w:t>Continue investment in North American natural gas infrastructure and the Sempra Utilities;</w:t>
      </w:r>
    </w:p>
    <w:p>
      <w:pPr>
        <w:spacing w:after="0" w:line="44" w:lineRule="exact"/>
        <w:rPr>
          <w:rFonts w:ascii="Arial" w:cs="Arial" w:eastAsia="Arial" w:hAnsi="Arial"/>
          <w:sz w:val="16"/>
          <w:szCs w:val="16"/>
          <w:color w:val="auto"/>
        </w:rPr>
      </w:pPr>
    </w:p>
    <w:p>
      <w:pPr>
        <w:ind w:left="144" w:hanging="144"/>
        <w:spacing w:after="0"/>
        <w:tabs>
          <w:tab w:leader="none" w:pos="144" w:val="left"/>
        </w:tabs>
        <w:numPr>
          <w:ilvl w:val="0"/>
          <w:numId w:val="209"/>
        </w:numPr>
        <w:rPr>
          <w:rFonts w:ascii="Arial" w:cs="Arial" w:eastAsia="Arial" w:hAnsi="Arial"/>
          <w:sz w:val="16"/>
          <w:szCs w:val="16"/>
          <w:color w:val="auto"/>
        </w:rPr>
      </w:pPr>
      <w:r>
        <w:rPr>
          <w:rFonts w:ascii="Arial" w:cs="Arial" w:eastAsia="Arial" w:hAnsi="Arial"/>
          <w:sz w:val="16"/>
          <w:szCs w:val="16"/>
          <w:color w:val="auto"/>
        </w:rPr>
        <w:t>Expand our commodities-marketing business with reduced risk through our joint venture with RBS;</w:t>
      </w:r>
    </w:p>
    <w:p>
      <w:pPr>
        <w:spacing w:after="0" w:line="44" w:lineRule="exact"/>
        <w:rPr>
          <w:rFonts w:ascii="Arial" w:cs="Arial" w:eastAsia="Arial" w:hAnsi="Arial"/>
          <w:sz w:val="16"/>
          <w:szCs w:val="16"/>
          <w:color w:val="auto"/>
        </w:rPr>
      </w:pPr>
    </w:p>
    <w:p>
      <w:pPr>
        <w:ind w:left="144" w:hanging="144"/>
        <w:spacing w:after="0"/>
        <w:tabs>
          <w:tab w:leader="none" w:pos="144" w:val="left"/>
        </w:tabs>
        <w:numPr>
          <w:ilvl w:val="0"/>
          <w:numId w:val="209"/>
        </w:numPr>
        <w:rPr>
          <w:rFonts w:ascii="Arial" w:cs="Arial" w:eastAsia="Arial" w:hAnsi="Arial"/>
          <w:sz w:val="16"/>
          <w:szCs w:val="16"/>
          <w:color w:val="auto"/>
        </w:rPr>
      </w:pPr>
      <w:r>
        <w:rPr>
          <w:rFonts w:ascii="Arial" w:cs="Arial" w:eastAsia="Arial" w:hAnsi="Arial"/>
          <w:sz w:val="16"/>
          <w:szCs w:val="16"/>
          <w:color w:val="auto"/>
        </w:rPr>
        <w:t>Focus on renewable-energy development in both the Sempra Utilities and Sempra Global; and</w:t>
      </w:r>
    </w:p>
    <w:p>
      <w:pPr>
        <w:spacing w:after="0" w:line="44" w:lineRule="exact"/>
        <w:rPr>
          <w:rFonts w:ascii="Arial" w:cs="Arial" w:eastAsia="Arial" w:hAnsi="Arial"/>
          <w:sz w:val="16"/>
          <w:szCs w:val="16"/>
          <w:color w:val="auto"/>
        </w:rPr>
      </w:pPr>
    </w:p>
    <w:p>
      <w:pPr>
        <w:ind w:left="144" w:right="1180" w:hanging="144"/>
        <w:spacing w:after="0" w:line="277" w:lineRule="auto"/>
        <w:tabs>
          <w:tab w:leader="none" w:pos="144" w:val="left"/>
        </w:tabs>
        <w:numPr>
          <w:ilvl w:val="0"/>
          <w:numId w:val="209"/>
        </w:numPr>
        <w:rPr>
          <w:rFonts w:ascii="Arial" w:cs="Arial" w:eastAsia="Arial" w:hAnsi="Arial"/>
          <w:sz w:val="16"/>
          <w:szCs w:val="16"/>
          <w:color w:val="auto"/>
        </w:rPr>
      </w:pPr>
      <w:r>
        <w:rPr>
          <w:rFonts w:ascii="Arial" w:cs="Arial" w:eastAsia="Arial" w:hAnsi="Arial"/>
          <w:sz w:val="16"/>
          <w:szCs w:val="16"/>
          <w:color w:val="auto"/>
        </w:rPr>
        <w:t>Continue the Sempra Utilities' long-term energy plan that encompasses a balance of energy conservation, renewable resources, power plants and transmission lines.</w:t>
      </w:r>
    </w:p>
    <w:p>
      <w:pPr>
        <w:spacing w:after="0" w:line="80" w:lineRule="exact"/>
        <w:rPr>
          <w:sz w:val="20"/>
          <w:szCs w:val="20"/>
          <w:color w:val="auto"/>
        </w:rPr>
      </w:pPr>
    </w:p>
    <w:p>
      <w:pPr>
        <w:ind w:left="4"/>
        <w:spacing w:after="0" w:line="302" w:lineRule="auto"/>
        <w:rPr>
          <w:sz w:val="20"/>
          <w:szCs w:val="20"/>
          <w:color w:val="auto"/>
        </w:rPr>
      </w:pPr>
      <w:r>
        <w:rPr>
          <w:rFonts w:ascii="Arial" w:cs="Arial" w:eastAsia="Arial" w:hAnsi="Arial"/>
          <w:sz w:val="14"/>
          <w:szCs w:val="14"/>
          <w:color w:val="auto"/>
        </w:rPr>
        <w:t>As we execute our strategy, we remain focused on the escalating concerns about global warming and the future regulation of greenhouse gases. Because natural gas is the cleanest of all fossil fuels, we expect it will play a critical role as a bridge to a "greener" future as renewable sources, such as solar, wind and biomass, become a growing part of North America's energy mix. Our power-generating facilities at Sempra Generation and SDG&amp;E employ the latest clean-burning natural gas technology to keep emissions low. In addition, our utilities have been recognized nationally for their leadership in energy efficiency, and SDG&amp;E is working aggressively to contract for new renewable resources. Upon completion, SDG&amp;E's Sunrise Powerlink will serve as a key transmission gateway to import energy from renewable sources into the San Diego region.</w:t>
      </w:r>
    </w:p>
    <w:p>
      <w:pPr>
        <w:spacing w:after="0" w:line="216"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auto"/>
        </w:rPr>
        <w:t>KEY ISSUES IN 2008</w:t>
      </w:r>
    </w:p>
    <w:p>
      <w:pPr>
        <w:spacing w:after="0" w:line="89" w:lineRule="exact"/>
        <w:rPr>
          <w:sz w:val="20"/>
          <w:szCs w:val="20"/>
          <w:color w:val="auto"/>
        </w:rPr>
      </w:pPr>
    </w:p>
    <w:p>
      <w:pPr>
        <w:ind w:left="4" w:right="220"/>
        <w:spacing w:after="0" w:line="274" w:lineRule="auto"/>
        <w:rPr>
          <w:sz w:val="20"/>
          <w:szCs w:val="20"/>
          <w:color w:val="auto"/>
        </w:rPr>
      </w:pPr>
      <w:r>
        <w:rPr>
          <w:rFonts w:ascii="Arial" w:cs="Arial" w:eastAsia="Arial" w:hAnsi="Arial"/>
          <w:sz w:val="16"/>
          <w:szCs w:val="16"/>
          <w:color w:val="auto"/>
        </w:rPr>
        <w:t>Below are the key issues that affected our business in 2008; some of these issues may continue to affect our results in the future. Each issue includes the page number you may reference for additional details:</w:t>
      </w:r>
    </w:p>
    <w:p>
      <w:pPr>
        <w:ind w:left="144" w:hanging="144"/>
        <w:spacing w:after="0"/>
        <w:tabs>
          <w:tab w:leader="none" w:pos="144" w:val="left"/>
        </w:tabs>
        <w:numPr>
          <w:ilvl w:val="0"/>
          <w:numId w:val="210"/>
        </w:numPr>
        <w:rPr>
          <w:rFonts w:ascii="Arial" w:cs="Arial" w:eastAsia="Arial" w:hAnsi="Arial"/>
          <w:sz w:val="16"/>
          <w:szCs w:val="16"/>
          <w:color w:val="auto"/>
        </w:rPr>
      </w:pPr>
      <w:r>
        <w:rPr>
          <w:rFonts w:ascii="Arial" w:cs="Arial" w:eastAsia="Arial" w:hAnsi="Arial"/>
          <w:sz w:val="16"/>
          <w:szCs w:val="16"/>
          <w:color w:val="auto"/>
        </w:rPr>
        <w:t>We entered into a joint venture creating RBS Sempra Commodities (116).</w:t>
      </w:r>
    </w:p>
    <w:p>
      <w:pPr>
        <w:spacing w:after="0" w:line="44" w:lineRule="exact"/>
        <w:rPr>
          <w:rFonts w:ascii="Arial" w:cs="Arial" w:eastAsia="Arial" w:hAnsi="Arial"/>
          <w:sz w:val="16"/>
          <w:szCs w:val="16"/>
          <w:color w:val="auto"/>
        </w:rPr>
      </w:pPr>
    </w:p>
    <w:p>
      <w:pPr>
        <w:ind w:left="144" w:hanging="144"/>
        <w:spacing w:after="0"/>
        <w:tabs>
          <w:tab w:leader="none" w:pos="144" w:val="left"/>
        </w:tabs>
        <w:numPr>
          <w:ilvl w:val="0"/>
          <w:numId w:val="210"/>
        </w:numPr>
        <w:rPr>
          <w:rFonts w:ascii="Arial" w:cs="Arial" w:eastAsia="Arial" w:hAnsi="Arial"/>
          <w:sz w:val="16"/>
          <w:szCs w:val="16"/>
          <w:color w:val="auto"/>
        </w:rPr>
      </w:pPr>
      <w:r>
        <w:rPr>
          <w:rFonts w:ascii="Arial" w:cs="Arial" w:eastAsia="Arial" w:hAnsi="Arial"/>
          <w:sz w:val="16"/>
          <w:szCs w:val="16"/>
          <w:color w:val="auto"/>
        </w:rPr>
        <w:t>We completed a $1 billion common stock repurchase program (166).</w:t>
      </w:r>
    </w:p>
    <w:p>
      <w:pPr>
        <w:spacing w:after="0" w:line="44" w:lineRule="exact"/>
        <w:rPr>
          <w:rFonts w:ascii="Arial" w:cs="Arial" w:eastAsia="Arial" w:hAnsi="Arial"/>
          <w:sz w:val="16"/>
          <w:szCs w:val="16"/>
          <w:color w:val="auto"/>
        </w:rPr>
      </w:pPr>
    </w:p>
    <w:p>
      <w:pPr>
        <w:ind w:left="144" w:hanging="144"/>
        <w:spacing w:after="0"/>
        <w:tabs>
          <w:tab w:leader="none" w:pos="144" w:val="left"/>
        </w:tabs>
        <w:numPr>
          <w:ilvl w:val="0"/>
          <w:numId w:val="210"/>
        </w:numPr>
        <w:rPr>
          <w:rFonts w:ascii="Arial" w:cs="Arial" w:eastAsia="Arial" w:hAnsi="Arial"/>
          <w:sz w:val="16"/>
          <w:szCs w:val="16"/>
          <w:color w:val="auto"/>
        </w:rPr>
      </w:pPr>
      <w:r>
        <w:rPr>
          <w:rFonts w:ascii="Arial" w:cs="Arial" w:eastAsia="Arial" w:hAnsi="Arial"/>
          <w:sz w:val="16"/>
          <w:szCs w:val="16"/>
          <w:color w:val="auto"/>
        </w:rPr>
        <w:t>We increased quarterly dividends on our common shares to $0.35 per share ($1.40 annually) (28).</w:t>
      </w:r>
    </w:p>
    <w:p>
      <w:pPr>
        <w:spacing w:after="0" w:line="44" w:lineRule="exact"/>
        <w:rPr>
          <w:rFonts w:ascii="Arial" w:cs="Arial" w:eastAsia="Arial" w:hAnsi="Arial"/>
          <w:sz w:val="16"/>
          <w:szCs w:val="16"/>
          <w:color w:val="auto"/>
        </w:rPr>
      </w:pPr>
    </w:p>
    <w:p>
      <w:pPr>
        <w:ind w:left="144" w:hanging="144"/>
        <w:spacing w:after="0"/>
        <w:tabs>
          <w:tab w:leader="none" w:pos="144" w:val="left"/>
        </w:tabs>
        <w:numPr>
          <w:ilvl w:val="0"/>
          <w:numId w:val="210"/>
        </w:numPr>
        <w:rPr>
          <w:rFonts w:ascii="Arial" w:cs="Arial" w:eastAsia="Arial" w:hAnsi="Arial"/>
          <w:sz w:val="16"/>
          <w:szCs w:val="16"/>
          <w:color w:val="auto"/>
        </w:rPr>
      </w:pPr>
      <w:r>
        <w:rPr>
          <w:rFonts w:ascii="Arial" w:cs="Arial" w:eastAsia="Arial" w:hAnsi="Arial"/>
          <w:sz w:val="16"/>
          <w:szCs w:val="16"/>
          <w:color w:val="auto"/>
        </w:rPr>
        <w:t>The Sempra Utilities completed the 2008 General Rate Case with the CPUC which set rates for 2008 through 2011 effective January 1, 2008 (169).</w:t>
      </w:r>
    </w:p>
    <w:p>
      <w:pPr>
        <w:spacing w:after="0" w:line="44" w:lineRule="exact"/>
        <w:rPr>
          <w:rFonts w:ascii="Arial" w:cs="Arial" w:eastAsia="Arial" w:hAnsi="Arial"/>
          <w:sz w:val="16"/>
          <w:szCs w:val="16"/>
          <w:color w:val="auto"/>
        </w:rPr>
      </w:pPr>
    </w:p>
    <w:p>
      <w:pPr>
        <w:ind w:left="144" w:hanging="144"/>
        <w:spacing w:after="0"/>
        <w:tabs>
          <w:tab w:leader="none" w:pos="144" w:val="left"/>
        </w:tabs>
        <w:numPr>
          <w:ilvl w:val="0"/>
          <w:numId w:val="210"/>
        </w:numPr>
        <w:rPr>
          <w:rFonts w:ascii="Arial" w:cs="Arial" w:eastAsia="Arial" w:hAnsi="Arial"/>
          <w:sz w:val="16"/>
          <w:szCs w:val="16"/>
          <w:color w:val="auto"/>
        </w:rPr>
      </w:pPr>
      <w:r>
        <w:rPr>
          <w:rFonts w:ascii="Arial" w:cs="Arial" w:eastAsia="Arial" w:hAnsi="Arial"/>
          <w:sz w:val="16"/>
          <w:szCs w:val="16"/>
          <w:color w:val="auto"/>
        </w:rPr>
        <w:t>The CPUC approved SDG&amp;E's proposed Sunrise Powerlink electric transmission line (167).</w:t>
      </w:r>
    </w:p>
    <w:p>
      <w:pPr>
        <w:spacing w:after="0" w:line="44" w:lineRule="exact"/>
        <w:rPr>
          <w:rFonts w:ascii="Arial" w:cs="Arial" w:eastAsia="Arial" w:hAnsi="Arial"/>
          <w:sz w:val="16"/>
          <w:szCs w:val="16"/>
          <w:color w:val="auto"/>
        </w:rPr>
      </w:pPr>
    </w:p>
    <w:p>
      <w:pPr>
        <w:ind w:left="144" w:hanging="144"/>
        <w:spacing w:after="0"/>
        <w:tabs>
          <w:tab w:leader="none" w:pos="144" w:val="left"/>
        </w:tabs>
        <w:numPr>
          <w:ilvl w:val="0"/>
          <w:numId w:val="210"/>
        </w:numPr>
        <w:rPr>
          <w:rFonts w:ascii="Arial" w:cs="Arial" w:eastAsia="Arial" w:hAnsi="Arial"/>
          <w:sz w:val="16"/>
          <w:szCs w:val="16"/>
          <w:color w:val="auto"/>
        </w:rPr>
      </w:pPr>
      <w:r>
        <w:rPr>
          <w:rFonts w:ascii="Arial" w:cs="Arial" w:eastAsia="Arial" w:hAnsi="Arial"/>
          <w:sz w:val="16"/>
          <w:szCs w:val="16"/>
          <w:color w:val="auto"/>
        </w:rPr>
        <w:t>We acquired EnergySouth (117).</w:t>
      </w:r>
    </w:p>
    <w:p>
      <w:pPr>
        <w:spacing w:after="0" w:line="200" w:lineRule="exact"/>
        <w:rPr>
          <w:sz w:val="20"/>
          <w:szCs w:val="20"/>
          <w:color w:val="auto"/>
        </w:rPr>
      </w:pPr>
    </w:p>
    <w:p>
      <w:pPr>
        <w:spacing w:after="0" w:line="269" w:lineRule="exact"/>
        <w:rPr>
          <w:sz w:val="20"/>
          <w:szCs w:val="20"/>
          <w:color w:val="auto"/>
        </w:rPr>
      </w:pPr>
    </w:p>
    <w:p>
      <w:pPr>
        <w:ind w:left="4"/>
        <w:spacing w:after="0"/>
        <w:rPr>
          <w:sz w:val="20"/>
          <w:szCs w:val="20"/>
          <w:color w:val="auto"/>
        </w:rPr>
      </w:pPr>
      <w:r>
        <w:rPr>
          <w:rFonts w:ascii="Arial" w:cs="Arial" w:eastAsia="Arial" w:hAnsi="Arial"/>
          <w:sz w:val="14"/>
          <w:szCs w:val="14"/>
          <w:color w:val="auto"/>
        </w:rPr>
        <w:t>7</w:t>
      </w:r>
    </w:p>
    <w:p>
      <w:pPr>
        <w:sectPr>
          <w:pgSz w:w="11900" w:h="16838" w:orient="portrait"/>
          <w:cols w:equalWidth="0" w:num="1">
            <w:col w:w="11424"/>
          </w:cols>
          <w:pgMar w:left="236" w:top="395" w:right="239" w:bottom="1440" w:gutter="0" w:footer="0" w:header="0"/>
        </w:sectPr>
      </w:pPr>
    </w:p>
    <w:bookmarkStart w:id="147" w:name="page148"/>
    <w:bookmarkEnd w:id="147"/>
    <w:p>
      <w:pPr>
        <w:ind w:left="144" w:hanging="144"/>
        <w:spacing w:after="0"/>
        <w:tabs>
          <w:tab w:leader="none" w:pos="144" w:val="left"/>
        </w:tabs>
        <w:numPr>
          <w:ilvl w:val="0"/>
          <w:numId w:val="211"/>
        </w:numPr>
        <w:rPr>
          <w:rFonts w:ascii="Arial" w:cs="Arial" w:eastAsia="Arial" w:hAnsi="Arial"/>
          <w:sz w:val="16"/>
          <w:szCs w:val="16"/>
          <w:color w:val="auto"/>
        </w:rPr>
      </w:pPr>
      <w:r>
        <w:rPr>
          <w:rFonts w:ascii="Arial" w:cs="Arial" w:eastAsia="Arial" w:hAnsi="Arial"/>
          <w:sz w:val="16"/>
          <w:szCs w:val="16"/>
          <w:color w:val="auto"/>
        </w:rPr>
        <w:t>Sempra LNG's Energía Costa Azul LNG receipt terminal began commercial operations in May 2008 (6).</w:t>
      </w:r>
    </w:p>
    <w:p>
      <w:pPr>
        <w:spacing w:after="0" w:line="44" w:lineRule="exact"/>
        <w:rPr>
          <w:rFonts w:ascii="Arial" w:cs="Arial" w:eastAsia="Arial" w:hAnsi="Arial"/>
          <w:sz w:val="16"/>
          <w:szCs w:val="16"/>
          <w:color w:val="auto"/>
        </w:rPr>
      </w:pPr>
    </w:p>
    <w:p>
      <w:pPr>
        <w:ind w:left="144" w:hanging="144"/>
        <w:spacing w:after="0"/>
        <w:tabs>
          <w:tab w:leader="none" w:pos="144" w:val="left"/>
        </w:tabs>
        <w:numPr>
          <w:ilvl w:val="0"/>
          <w:numId w:val="211"/>
        </w:numPr>
        <w:rPr>
          <w:rFonts w:ascii="Arial" w:cs="Arial" w:eastAsia="Arial" w:hAnsi="Arial"/>
          <w:sz w:val="16"/>
          <w:szCs w:val="16"/>
          <w:color w:val="auto"/>
        </w:rPr>
      </w:pPr>
      <w:r>
        <w:rPr>
          <w:rFonts w:ascii="Arial" w:cs="Arial" w:eastAsia="Arial" w:hAnsi="Arial"/>
          <w:sz w:val="16"/>
          <w:szCs w:val="16"/>
          <w:color w:val="auto"/>
        </w:rPr>
        <w:t>Sempra Pipelines &amp; Storage completed the expansion of its pipeline system in Mexico, which connects to the Energía Costa Azul LNG receipt terminal (6).</w:t>
      </w:r>
    </w:p>
    <w:p>
      <w:pPr>
        <w:spacing w:after="0" w:line="44" w:lineRule="exact"/>
        <w:rPr>
          <w:rFonts w:ascii="Arial" w:cs="Arial" w:eastAsia="Arial" w:hAnsi="Arial"/>
          <w:sz w:val="16"/>
          <w:szCs w:val="16"/>
          <w:color w:val="auto"/>
        </w:rPr>
      </w:pPr>
    </w:p>
    <w:p>
      <w:pPr>
        <w:ind w:left="144" w:hanging="144"/>
        <w:spacing w:after="0"/>
        <w:tabs>
          <w:tab w:leader="none" w:pos="144" w:val="left"/>
        </w:tabs>
        <w:numPr>
          <w:ilvl w:val="0"/>
          <w:numId w:val="211"/>
        </w:numPr>
        <w:rPr>
          <w:rFonts w:ascii="Arial" w:cs="Arial" w:eastAsia="Arial" w:hAnsi="Arial"/>
          <w:sz w:val="16"/>
          <w:szCs w:val="16"/>
          <w:color w:val="auto"/>
        </w:rPr>
      </w:pPr>
      <w:r>
        <w:rPr>
          <w:rFonts w:ascii="Arial" w:cs="Arial" w:eastAsia="Arial" w:hAnsi="Arial"/>
          <w:sz w:val="16"/>
          <w:szCs w:val="16"/>
          <w:color w:val="auto"/>
        </w:rPr>
        <w:t>The Rockies Express-West pipeline began full-service operations in May 2008 (6).</w:t>
      </w:r>
    </w:p>
    <w:p>
      <w:pPr>
        <w:spacing w:after="0" w:line="44" w:lineRule="exact"/>
        <w:rPr>
          <w:rFonts w:ascii="Arial" w:cs="Arial" w:eastAsia="Arial" w:hAnsi="Arial"/>
          <w:sz w:val="16"/>
          <w:szCs w:val="16"/>
          <w:color w:val="auto"/>
        </w:rPr>
      </w:pPr>
    </w:p>
    <w:p>
      <w:pPr>
        <w:ind w:left="144" w:hanging="144"/>
        <w:spacing w:after="0"/>
        <w:tabs>
          <w:tab w:leader="none" w:pos="144" w:val="left"/>
        </w:tabs>
        <w:numPr>
          <w:ilvl w:val="0"/>
          <w:numId w:val="211"/>
        </w:numPr>
        <w:rPr>
          <w:rFonts w:ascii="Arial" w:cs="Arial" w:eastAsia="Arial" w:hAnsi="Arial"/>
          <w:sz w:val="16"/>
          <w:szCs w:val="16"/>
          <w:color w:val="auto"/>
        </w:rPr>
      </w:pPr>
      <w:r>
        <w:rPr>
          <w:rFonts w:ascii="Arial" w:cs="Arial" w:eastAsia="Arial" w:hAnsi="Arial"/>
          <w:sz w:val="16"/>
          <w:szCs w:val="16"/>
          <w:color w:val="auto"/>
        </w:rPr>
        <w:t>Construction began on the Rockies Express-East pipeline in July 2008 (6).</w:t>
      </w:r>
    </w:p>
    <w:p>
      <w:pPr>
        <w:spacing w:after="0" w:line="44" w:lineRule="exact"/>
        <w:rPr>
          <w:rFonts w:ascii="Arial" w:cs="Arial" w:eastAsia="Arial" w:hAnsi="Arial"/>
          <w:sz w:val="16"/>
          <w:szCs w:val="16"/>
          <w:color w:val="auto"/>
        </w:rPr>
      </w:pPr>
    </w:p>
    <w:p>
      <w:pPr>
        <w:ind w:left="144" w:right="1520" w:hanging="144"/>
        <w:spacing w:after="0" w:line="274" w:lineRule="auto"/>
        <w:tabs>
          <w:tab w:leader="none" w:pos="144" w:val="left"/>
        </w:tabs>
        <w:numPr>
          <w:ilvl w:val="0"/>
          <w:numId w:val="211"/>
        </w:numPr>
        <w:rPr>
          <w:rFonts w:ascii="Arial" w:cs="Arial" w:eastAsia="Arial" w:hAnsi="Arial"/>
          <w:sz w:val="16"/>
          <w:szCs w:val="16"/>
          <w:color w:val="auto"/>
        </w:rPr>
      </w:pPr>
      <w:r>
        <w:rPr>
          <w:rFonts w:ascii="Arial" w:cs="Arial" w:eastAsia="Arial" w:hAnsi="Arial"/>
          <w:sz w:val="16"/>
          <w:szCs w:val="16"/>
          <w:color w:val="auto"/>
        </w:rPr>
        <w:t>We completed our first solar energy project, a 10-MW photovoltaic power-generation facility and the largest operational thin-film solar power project in North America (44).</w:t>
      </w:r>
    </w:p>
    <w:p>
      <w:pPr>
        <w:ind w:left="144" w:right="1520" w:hanging="144"/>
        <w:spacing w:after="0" w:line="274" w:lineRule="auto"/>
        <w:tabs>
          <w:tab w:leader="none" w:pos="144" w:val="left"/>
        </w:tabs>
        <w:numPr>
          <w:ilvl w:val="0"/>
          <w:numId w:val="211"/>
        </w:numPr>
        <w:rPr>
          <w:rFonts w:ascii="Arial" w:cs="Arial" w:eastAsia="Arial" w:hAnsi="Arial"/>
          <w:sz w:val="16"/>
          <w:szCs w:val="16"/>
          <w:color w:val="auto"/>
        </w:rPr>
      </w:pPr>
      <w:r>
        <w:rPr>
          <w:rFonts w:ascii="Arial" w:cs="Arial" w:eastAsia="Arial" w:hAnsi="Arial"/>
          <w:sz w:val="16"/>
          <w:szCs w:val="16"/>
          <w:color w:val="auto"/>
        </w:rPr>
        <w:t>SDG&amp;E completed the initial installation of 4,500 advanced meters and is on schedule to complete the full installation of 1.4 million electric meters and 900,000 natural gas meters by the end of 2011 (172).</w:t>
      </w:r>
    </w:p>
    <w:p>
      <w:pPr>
        <w:ind w:left="144" w:right="1340" w:hanging="144"/>
        <w:spacing w:after="0" w:line="274" w:lineRule="auto"/>
        <w:tabs>
          <w:tab w:leader="none" w:pos="144" w:val="left"/>
        </w:tabs>
        <w:numPr>
          <w:ilvl w:val="0"/>
          <w:numId w:val="211"/>
        </w:numPr>
        <w:rPr>
          <w:rFonts w:ascii="Arial" w:cs="Arial" w:eastAsia="Arial" w:hAnsi="Arial"/>
          <w:sz w:val="16"/>
          <w:szCs w:val="16"/>
          <w:color w:val="auto"/>
        </w:rPr>
      </w:pPr>
      <w:r>
        <w:rPr>
          <w:rFonts w:ascii="Arial" w:cs="Arial" w:eastAsia="Arial" w:hAnsi="Arial"/>
          <w:sz w:val="16"/>
          <w:szCs w:val="16"/>
          <w:color w:val="auto"/>
        </w:rPr>
        <w:t>SoCalGas requested approval from the CPUC to upgrade approximately 6 million natural gas meters with advanced metering infrastructure at an estimated cost of $1.1 billion (172).</w:t>
      </w:r>
    </w:p>
    <w:p>
      <w:pPr>
        <w:ind w:left="144" w:hanging="144"/>
        <w:spacing w:after="0"/>
        <w:tabs>
          <w:tab w:leader="none" w:pos="144" w:val="left"/>
        </w:tabs>
        <w:numPr>
          <w:ilvl w:val="0"/>
          <w:numId w:val="211"/>
        </w:numPr>
        <w:rPr>
          <w:rFonts w:ascii="Arial" w:cs="Arial" w:eastAsia="Arial" w:hAnsi="Arial"/>
          <w:sz w:val="16"/>
          <w:szCs w:val="16"/>
          <w:color w:val="auto"/>
        </w:rPr>
      </w:pPr>
      <w:r>
        <w:rPr>
          <w:rFonts w:ascii="Arial" w:cs="Arial" w:eastAsia="Arial" w:hAnsi="Arial"/>
          <w:sz w:val="16"/>
          <w:szCs w:val="16"/>
          <w:color w:val="auto"/>
        </w:rPr>
        <w:t>There was increased litigation and investigation related to the 2007 California wildfires (173).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234315</wp:posOffset>
            </wp:positionV>
            <wp:extent cx="7261860" cy="762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pacing w:after="0" w:line="200" w:lineRule="exact"/>
        <w:rPr>
          <w:sz w:val="20"/>
          <w:szCs w:val="20"/>
          <w:color w:val="auto"/>
        </w:rPr>
      </w:pPr>
    </w:p>
    <w:p>
      <w:pPr>
        <w:spacing w:after="0" w:line="206" w:lineRule="exact"/>
        <w:rPr>
          <w:sz w:val="20"/>
          <w:szCs w:val="20"/>
          <w:color w:val="auto"/>
        </w:rPr>
      </w:pPr>
    </w:p>
    <w:p>
      <w:pPr>
        <w:ind w:left="4"/>
        <w:spacing w:after="0"/>
        <w:rPr>
          <w:sz w:val="20"/>
          <w:szCs w:val="20"/>
          <w:color w:val="auto"/>
        </w:rPr>
      </w:pPr>
      <w:r>
        <w:rPr>
          <w:rFonts w:ascii="Arial" w:cs="Arial" w:eastAsia="Arial" w:hAnsi="Arial"/>
          <w:sz w:val="18"/>
          <w:szCs w:val="18"/>
          <w:color w:val="auto"/>
        </w:rPr>
        <w:t>RESULTS OF OPERATIONS</w:t>
      </w:r>
    </w:p>
    <w:p>
      <w:pPr>
        <w:spacing w:after="0" w:line="60" w:lineRule="exact"/>
        <w:rPr>
          <w:sz w:val="20"/>
          <w:szCs w:val="20"/>
          <w:color w:val="auto"/>
        </w:rPr>
      </w:pPr>
    </w:p>
    <w:p>
      <w:pPr>
        <w:ind w:left="4"/>
        <w:spacing w:after="0"/>
        <w:rPr>
          <w:sz w:val="20"/>
          <w:szCs w:val="20"/>
          <w:color w:val="auto"/>
        </w:rPr>
      </w:pPr>
      <w:r>
        <w:rPr>
          <w:rFonts w:ascii="Arial" w:cs="Arial" w:eastAsia="Arial" w:hAnsi="Arial"/>
          <w:sz w:val="16"/>
          <w:szCs w:val="16"/>
          <w:color w:val="auto"/>
        </w:rPr>
        <w:t>We discuss the following in Results of Operations:</w:t>
      </w:r>
    </w:p>
    <w:p>
      <w:pPr>
        <w:spacing w:after="0" w:line="44" w:lineRule="exact"/>
        <w:rPr>
          <w:sz w:val="20"/>
          <w:szCs w:val="20"/>
          <w:color w:val="auto"/>
        </w:rPr>
      </w:pPr>
    </w:p>
    <w:p>
      <w:pPr>
        <w:ind w:left="144" w:hanging="144"/>
        <w:spacing w:after="0"/>
        <w:tabs>
          <w:tab w:leader="none" w:pos="144" w:val="left"/>
        </w:tabs>
        <w:numPr>
          <w:ilvl w:val="0"/>
          <w:numId w:val="212"/>
        </w:numPr>
        <w:rPr>
          <w:rFonts w:ascii="Arial" w:cs="Arial" w:eastAsia="Arial" w:hAnsi="Arial"/>
          <w:sz w:val="16"/>
          <w:szCs w:val="16"/>
          <w:color w:val="auto"/>
        </w:rPr>
      </w:pPr>
      <w:r>
        <w:rPr>
          <w:rFonts w:ascii="Arial" w:cs="Arial" w:eastAsia="Arial" w:hAnsi="Arial"/>
          <w:sz w:val="16"/>
          <w:szCs w:val="16"/>
          <w:color w:val="auto"/>
        </w:rPr>
        <w:t>Overall results of our operations and factors affecting those results</w:t>
      </w:r>
    </w:p>
    <w:p>
      <w:pPr>
        <w:spacing w:after="0" w:line="44" w:lineRule="exact"/>
        <w:rPr>
          <w:rFonts w:ascii="Arial" w:cs="Arial" w:eastAsia="Arial" w:hAnsi="Arial"/>
          <w:sz w:val="16"/>
          <w:szCs w:val="16"/>
          <w:color w:val="auto"/>
        </w:rPr>
      </w:pPr>
    </w:p>
    <w:p>
      <w:pPr>
        <w:ind w:left="144" w:hanging="144"/>
        <w:spacing w:after="0"/>
        <w:tabs>
          <w:tab w:leader="none" w:pos="144" w:val="left"/>
        </w:tabs>
        <w:numPr>
          <w:ilvl w:val="0"/>
          <w:numId w:val="212"/>
        </w:numPr>
        <w:rPr>
          <w:rFonts w:ascii="Arial" w:cs="Arial" w:eastAsia="Arial" w:hAnsi="Arial"/>
          <w:sz w:val="16"/>
          <w:szCs w:val="16"/>
          <w:color w:val="auto"/>
        </w:rPr>
      </w:pPr>
      <w:r>
        <w:rPr>
          <w:rFonts w:ascii="Arial" w:cs="Arial" w:eastAsia="Arial" w:hAnsi="Arial"/>
          <w:sz w:val="16"/>
          <w:szCs w:val="16"/>
          <w:color w:val="auto"/>
        </w:rPr>
        <w:t>Our business unit results</w:t>
      </w:r>
    </w:p>
    <w:p>
      <w:pPr>
        <w:spacing w:after="0" w:line="44" w:lineRule="exact"/>
        <w:rPr>
          <w:rFonts w:ascii="Arial" w:cs="Arial" w:eastAsia="Arial" w:hAnsi="Arial"/>
          <w:sz w:val="16"/>
          <w:szCs w:val="16"/>
          <w:color w:val="auto"/>
        </w:rPr>
      </w:pPr>
    </w:p>
    <w:p>
      <w:pPr>
        <w:ind w:left="144" w:hanging="144"/>
        <w:spacing w:after="0"/>
        <w:tabs>
          <w:tab w:leader="none" w:pos="144" w:val="left"/>
        </w:tabs>
        <w:numPr>
          <w:ilvl w:val="0"/>
          <w:numId w:val="212"/>
        </w:numPr>
        <w:rPr>
          <w:rFonts w:ascii="Arial" w:cs="Arial" w:eastAsia="Arial" w:hAnsi="Arial"/>
          <w:sz w:val="16"/>
          <w:szCs w:val="16"/>
          <w:color w:val="auto"/>
        </w:rPr>
      </w:pPr>
      <w:r>
        <w:rPr>
          <w:rFonts w:ascii="Arial" w:cs="Arial" w:eastAsia="Arial" w:hAnsi="Arial"/>
          <w:sz w:val="16"/>
          <w:szCs w:val="16"/>
          <w:color w:val="auto"/>
        </w:rPr>
        <w:t>Significant changes in revenues, costs and earnings between periods</w:t>
      </w:r>
    </w:p>
    <w:p>
      <w:pPr>
        <w:spacing w:after="0" w:line="276"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auto"/>
        </w:rPr>
        <w:t>OVERALL RESULTS OF OPERATIONS OF SEMPRA ENERGY AND FACTORS AFFECTING THE RESULTS</w:t>
      </w:r>
    </w:p>
    <w:p>
      <w:pPr>
        <w:spacing w:after="0" w:line="89" w:lineRule="exact"/>
        <w:rPr>
          <w:sz w:val="20"/>
          <w:szCs w:val="20"/>
          <w:color w:val="auto"/>
        </w:rPr>
      </w:pPr>
    </w:p>
    <w:p>
      <w:pPr>
        <w:ind w:left="4"/>
        <w:spacing w:after="0"/>
        <w:rPr>
          <w:sz w:val="20"/>
          <w:szCs w:val="20"/>
          <w:color w:val="auto"/>
        </w:rPr>
      </w:pPr>
      <w:r>
        <w:rPr>
          <w:rFonts w:ascii="Arial" w:cs="Arial" w:eastAsia="Arial" w:hAnsi="Arial"/>
          <w:sz w:val="16"/>
          <w:szCs w:val="16"/>
          <w:color w:val="auto"/>
        </w:rPr>
        <w:t>The graphs below show our overall operations from 2004 to 2008. Our 2008 income from continuing operations decreased due to</w:t>
      </w:r>
    </w:p>
    <w:p>
      <w:pPr>
        <w:spacing w:after="0" w:line="44" w:lineRule="exact"/>
        <w:rPr>
          <w:sz w:val="20"/>
          <w:szCs w:val="20"/>
          <w:color w:val="auto"/>
        </w:rPr>
      </w:pPr>
    </w:p>
    <w:p>
      <w:pPr>
        <w:ind w:left="144" w:hanging="144"/>
        <w:spacing w:after="0"/>
        <w:tabs>
          <w:tab w:leader="none" w:pos="144" w:val="left"/>
        </w:tabs>
        <w:numPr>
          <w:ilvl w:val="0"/>
          <w:numId w:val="213"/>
        </w:numPr>
        <w:rPr>
          <w:rFonts w:ascii="Arial" w:cs="Arial" w:eastAsia="Arial" w:hAnsi="Arial"/>
          <w:sz w:val="16"/>
          <w:szCs w:val="16"/>
          <w:color w:val="auto"/>
        </w:rPr>
      </w:pPr>
      <w:r>
        <w:rPr>
          <w:rFonts w:ascii="Arial" w:cs="Arial" w:eastAsia="Arial" w:hAnsi="Arial"/>
          <w:sz w:val="16"/>
          <w:szCs w:val="16"/>
          <w:color w:val="auto"/>
        </w:rPr>
        <w:t>lower earnings at Sempra Commodities due to our reduced ownership interest in the business; and</w:t>
      </w:r>
    </w:p>
    <w:p>
      <w:pPr>
        <w:spacing w:after="0" w:line="40" w:lineRule="exact"/>
        <w:rPr>
          <w:rFonts w:ascii="Arial" w:cs="Arial" w:eastAsia="Arial" w:hAnsi="Arial"/>
          <w:sz w:val="16"/>
          <w:szCs w:val="16"/>
          <w:color w:val="auto"/>
        </w:rPr>
      </w:pPr>
    </w:p>
    <w:p>
      <w:pPr>
        <w:ind w:left="144" w:hanging="144"/>
        <w:spacing w:after="0"/>
        <w:tabs>
          <w:tab w:leader="none" w:pos="144" w:val="left"/>
        </w:tabs>
        <w:numPr>
          <w:ilvl w:val="0"/>
          <w:numId w:val="213"/>
        </w:numPr>
        <w:rPr>
          <w:rFonts w:ascii="Arial" w:cs="Arial" w:eastAsia="Arial" w:hAnsi="Arial"/>
          <w:sz w:val="16"/>
          <w:szCs w:val="16"/>
          <w:color w:val="auto"/>
        </w:rPr>
      </w:pPr>
      <w:r>
        <w:rPr>
          <w:rFonts w:ascii="Arial" w:cs="Arial" w:eastAsia="Arial" w:hAnsi="Arial"/>
          <w:sz w:val="16"/>
          <w:szCs w:val="16"/>
          <w:color w:val="auto"/>
        </w:rPr>
        <w:t xml:space="preserve">higher net losses at Parent and Other, </w:t>
      </w:r>
      <w:r>
        <w:rPr>
          <w:rFonts w:ascii="Arial" w:cs="Arial" w:eastAsia="Arial" w:hAnsi="Arial"/>
          <w:sz w:val="16"/>
          <w:szCs w:val="16"/>
          <w:b w:val="1"/>
          <w:bCs w:val="1"/>
          <w:color w:val="auto"/>
        </w:rPr>
        <w:t>offset by</w:t>
      </w:r>
    </w:p>
    <w:p>
      <w:pPr>
        <w:spacing w:after="0" w:line="48" w:lineRule="exact"/>
        <w:rPr>
          <w:rFonts w:ascii="Arial" w:cs="Arial" w:eastAsia="Arial" w:hAnsi="Arial"/>
          <w:sz w:val="16"/>
          <w:szCs w:val="16"/>
          <w:color w:val="auto"/>
        </w:rPr>
      </w:pPr>
    </w:p>
    <w:p>
      <w:pPr>
        <w:ind w:left="144" w:hanging="144"/>
        <w:spacing w:after="0"/>
        <w:tabs>
          <w:tab w:leader="none" w:pos="144" w:val="left"/>
        </w:tabs>
        <w:numPr>
          <w:ilvl w:val="0"/>
          <w:numId w:val="213"/>
        </w:numPr>
        <w:rPr>
          <w:rFonts w:ascii="Arial" w:cs="Arial" w:eastAsia="Arial" w:hAnsi="Arial"/>
          <w:sz w:val="16"/>
          <w:szCs w:val="16"/>
          <w:color w:val="auto"/>
        </w:rPr>
      </w:pPr>
      <w:r>
        <w:rPr>
          <w:rFonts w:ascii="Arial" w:cs="Arial" w:eastAsia="Arial" w:hAnsi="Arial"/>
          <w:sz w:val="16"/>
          <w:szCs w:val="16"/>
          <w:color w:val="auto"/>
        </w:rPr>
        <w:t>improved results at the Sempra Utilities, Sempra Generation and Sempra Pipelines &amp; Storage.</w:t>
      </w:r>
    </w:p>
    <w:p>
      <w:pPr>
        <w:spacing w:after="0" w:line="128" w:lineRule="exact"/>
        <w:rPr>
          <w:sz w:val="20"/>
          <w:szCs w:val="20"/>
          <w:color w:val="auto"/>
        </w:rPr>
      </w:pPr>
    </w:p>
    <w:p>
      <w:pPr>
        <w:ind w:left="4"/>
        <w:spacing w:after="0"/>
        <w:rPr>
          <w:sz w:val="20"/>
          <w:szCs w:val="20"/>
          <w:color w:val="auto"/>
        </w:rPr>
      </w:pPr>
      <w:r>
        <w:rPr>
          <w:rFonts w:ascii="Arial" w:cs="Arial" w:eastAsia="Arial" w:hAnsi="Arial"/>
          <w:sz w:val="16"/>
          <w:szCs w:val="16"/>
          <w:color w:val="auto"/>
        </w:rPr>
        <w:t>Our net income in 2007 included losses from discontinued operations of $26 million.</w:t>
      </w:r>
    </w:p>
    <w:p>
      <w:pPr>
        <w:spacing w:after="0" w:line="80" w:lineRule="exact"/>
        <w:rPr>
          <w:sz w:val="20"/>
          <w:szCs w:val="20"/>
          <w:color w:val="auto"/>
        </w:rPr>
      </w:pPr>
    </w:p>
    <w:p>
      <w:pPr>
        <w:ind w:left="4"/>
        <w:spacing w:after="0"/>
        <w:rPr>
          <w:sz w:val="20"/>
          <w:szCs w:val="20"/>
          <w:color w:val="auto"/>
        </w:rPr>
      </w:pPr>
      <w:r>
        <w:rPr>
          <w:rFonts w:ascii="Arial" w:cs="Arial" w:eastAsia="Arial" w:hAnsi="Arial"/>
          <w:sz w:val="14"/>
          <w:szCs w:val="14"/>
          <w:color w:val="auto"/>
        </w:rPr>
        <w:t>Diluted earnings per share increased by $0.27 per share, primarily as a result of the reduction in shares outstanding from our $1 billion share repurchase and increased net income.</w:t>
      </w:r>
    </w:p>
    <w:p>
      <w:pPr>
        <w:spacing w:after="0" w:line="44" w:lineRule="exact"/>
        <w:rPr>
          <w:sz w:val="20"/>
          <w:szCs w:val="20"/>
          <w:color w:val="auto"/>
        </w:rPr>
      </w:pPr>
    </w:p>
    <w:p>
      <w:pPr>
        <w:ind w:left="4"/>
        <w:spacing w:after="0"/>
        <w:rPr>
          <w:sz w:val="20"/>
          <w:szCs w:val="20"/>
          <w:color w:val="auto"/>
        </w:rPr>
      </w:pPr>
      <w:r>
        <w:rPr>
          <w:rFonts w:ascii="Arial" w:cs="Arial" w:eastAsia="Arial" w:hAnsi="Arial"/>
          <w:sz w:val="16"/>
          <w:szCs w:val="16"/>
          <w:color w:val="auto"/>
        </w:rPr>
        <w:t>The impact from the share repurchase was a positive $0.20 per share.</w:t>
      </w:r>
    </w:p>
    <w:p>
      <w:pPr>
        <w:spacing w:after="0" w:line="384" w:lineRule="exact"/>
        <w:rPr>
          <w:sz w:val="20"/>
          <w:szCs w:val="20"/>
          <w:color w:val="auto"/>
        </w:rPr>
      </w:pPr>
    </w:p>
    <w:p>
      <w:pPr>
        <w:ind w:left="4"/>
        <w:spacing w:after="0"/>
        <w:rPr>
          <w:sz w:val="20"/>
          <w:szCs w:val="20"/>
          <w:color w:val="auto"/>
        </w:rPr>
      </w:pPr>
      <w:r>
        <w:rPr>
          <w:rFonts w:ascii="Arial" w:cs="Arial" w:eastAsia="Arial" w:hAnsi="Arial"/>
          <w:sz w:val="14"/>
          <w:szCs w:val="14"/>
          <w:color w:val="auto"/>
        </w:rPr>
        <w:t>8</w:t>
      </w:r>
    </w:p>
    <w:p>
      <w:pPr>
        <w:sectPr>
          <w:pgSz w:w="11900" w:h="16838" w:orient="portrait"/>
          <w:cols w:equalWidth="0" w:num="1">
            <w:col w:w="11424"/>
          </w:cols>
          <w:pgMar w:left="236" w:top="127" w:right="239" w:bottom="1440" w:gutter="0" w:footer="0" w:header="0"/>
        </w:sectPr>
      </w:pPr>
    </w:p>
    <w:bookmarkStart w:id="148" w:name="page149"/>
    <w:bookmarkEnd w:id="148"/>
    <w:p>
      <w:pPr>
        <w:ind w:left="1960"/>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973455</wp:posOffset>
            </wp:positionH>
            <wp:positionV relativeFrom="page">
              <wp:posOffset>195580</wp:posOffset>
            </wp:positionV>
            <wp:extent cx="5621655" cy="235712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621655" cy="2357120"/>
                    </a:xfrm>
                    <a:prstGeom prst="rect">
                      <a:avLst/>
                    </a:prstGeom>
                    <a:noFill/>
                  </pic:spPr>
                </pic:pic>
              </a:graphicData>
            </a:graphic>
          </wp:anchor>
        </w:drawing>
        <w:t>OVERALL OPERATIONS OF SEMPRA ENERGY FROM 2004 TO 2008</w:t>
      </w:r>
    </w:p>
    <w:p>
      <w:pPr>
        <w:spacing w:after="0" w:line="18" w:lineRule="exact"/>
        <w:rPr>
          <w:sz w:val="20"/>
          <w:szCs w:val="20"/>
          <w:color w:val="auto"/>
        </w:rPr>
      </w:pPr>
    </w:p>
    <w:p>
      <w:pPr>
        <w:ind w:left="1960"/>
        <w:spacing w:after="0"/>
        <w:rPr>
          <w:sz w:val="20"/>
          <w:szCs w:val="20"/>
          <w:color w:val="auto"/>
        </w:rPr>
      </w:pPr>
      <w:r>
        <w:rPr>
          <w:rFonts w:ascii="Arial" w:cs="Arial" w:eastAsia="Arial" w:hAnsi="Arial"/>
          <w:sz w:val="13"/>
          <w:szCs w:val="13"/>
          <w:i w:val="1"/>
          <w:iCs w:val="1"/>
          <w:color w:val="auto"/>
        </w:rPr>
        <w:t>(Dollars and shares in millions,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836295</wp:posOffset>
            </wp:positionH>
            <wp:positionV relativeFrom="paragraph">
              <wp:posOffset>2266950</wp:posOffset>
            </wp:positionV>
            <wp:extent cx="5583555" cy="212788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583555" cy="21278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right="40"/>
        <w:spacing w:after="0" w:line="340" w:lineRule="auto"/>
        <w:rPr>
          <w:sz w:val="20"/>
          <w:szCs w:val="20"/>
          <w:color w:val="auto"/>
        </w:rPr>
      </w:pPr>
      <w:r>
        <w:rPr>
          <w:rFonts w:ascii="Arial" w:cs="Arial" w:eastAsia="Arial" w:hAnsi="Arial"/>
          <w:sz w:val="14"/>
          <w:szCs w:val="14"/>
          <w:color w:val="auto"/>
        </w:rPr>
        <w:t>Our income from continuing operations increased in 2007 due to higher earnings at SDG&amp;E. Also, results in 2006 included a $221 million after-tax impairment of Sempra Pipelines &amp; Storage's Argentine investments, offset by a $204 million after-tax gain in 2006 from Sempra Generation's sale of its investment in Topaz Power Partners (Topaz).</w:t>
      </w:r>
    </w:p>
    <w:p>
      <w:pPr>
        <w:spacing w:after="0" w:line="277" w:lineRule="auto"/>
        <w:rPr>
          <w:sz w:val="20"/>
          <w:szCs w:val="20"/>
          <w:color w:val="auto"/>
        </w:rPr>
      </w:pPr>
      <w:r>
        <w:rPr>
          <w:rFonts w:ascii="Arial" w:cs="Arial" w:eastAsia="Arial" w:hAnsi="Arial"/>
          <w:sz w:val="16"/>
          <w:szCs w:val="16"/>
          <w:color w:val="auto"/>
        </w:rPr>
        <w:t>Our net income decreased in 2007 because our results for 2006 included $315 million in after-tax income from discontinued operations primarily due to asset sales. We discuss these asset sales in more detail in Note 5 of the Notes to Consolidated Financial Statements.</w:t>
      </w: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14"/>
          <w:szCs w:val="14"/>
          <w:color w:val="auto"/>
        </w:rPr>
        <w:t>9</w:t>
      </w:r>
    </w:p>
    <w:p>
      <w:pPr>
        <w:sectPr>
          <w:pgSz w:w="11900" w:h="16838" w:orient="portrait"/>
          <w:cols w:equalWidth="0" w:num="1">
            <w:col w:w="11220"/>
          </w:cols>
          <w:pgMar w:left="240" w:top="313" w:right="439" w:bottom="1440" w:gutter="0" w:footer="0" w:header="0"/>
        </w:sectPr>
      </w:pPr>
    </w:p>
    <w:bookmarkStart w:id="149" w:name="page150"/>
    <w:bookmarkEnd w:id="149"/>
    <w:p>
      <w:pPr>
        <w:spacing w:after="0"/>
        <w:rPr>
          <w:sz w:val="20"/>
          <w:szCs w:val="20"/>
          <w:color w:val="auto"/>
        </w:rPr>
      </w:pPr>
      <w:r>
        <w:rPr>
          <w:rFonts w:ascii="Arial" w:cs="Arial" w:eastAsia="Arial" w:hAnsi="Arial"/>
          <w:sz w:val="16"/>
          <w:szCs w:val="16"/>
          <w:color w:val="auto"/>
        </w:rPr>
        <w:t>The following table shows our net income (loss) by business unit, which we discuss below in "Business Unit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1126490</wp:posOffset>
            </wp:positionH>
            <wp:positionV relativeFrom="paragraph">
              <wp:posOffset>196215</wp:posOffset>
            </wp:positionV>
            <wp:extent cx="5011420" cy="2667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011420" cy="266700"/>
                    </a:xfrm>
                    <a:prstGeom prst="rect">
                      <a:avLst/>
                    </a:prstGeom>
                    <a:noFill/>
                  </pic:spPr>
                </pic:pic>
              </a:graphicData>
            </a:graphic>
          </wp:anchor>
        </w:drawing>
      </w:r>
    </w:p>
    <w:p>
      <w:pPr>
        <w:spacing w:after="0" w:line="297" w:lineRule="exact"/>
        <w:rPr>
          <w:sz w:val="20"/>
          <w:szCs w:val="20"/>
          <w:color w:val="auto"/>
        </w:rPr>
      </w:pPr>
    </w:p>
    <w:p>
      <w:pPr>
        <w:ind w:left="1780"/>
        <w:spacing w:after="0"/>
        <w:rPr>
          <w:sz w:val="20"/>
          <w:szCs w:val="20"/>
          <w:color w:val="auto"/>
        </w:rPr>
      </w:pPr>
      <w:r>
        <w:rPr>
          <w:rFonts w:ascii="Arial" w:cs="Arial" w:eastAsia="Arial" w:hAnsi="Arial"/>
          <w:sz w:val="14"/>
          <w:szCs w:val="14"/>
          <w:b w:val="1"/>
          <w:bCs w:val="1"/>
          <w:color w:val="auto"/>
        </w:rPr>
        <w:t>SEMPRA ENERGY NET INCOME (LOSS) BY BUSINESS UNIT 2006-2008</w:t>
      </w:r>
    </w:p>
    <w:p>
      <w:pPr>
        <w:spacing w:after="0" w:line="76" w:lineRule="exact"/>
        <w:rPr>
          <w:sz w:val="20"/>
          <w:szCs w:val="20"/>
          <w:color w:val="auto"/>
        </w:rPr>
      </w:pPr>
    </w:p>
    <w:tbl>
      <w:tblPr>
        <w:tblLayout w:type="fixed"/>
        <w:tblInd w:w="1780" w:type="dxa"/>
        <w:tblCellMar>
          <w:top w:w="0" w:type="dxa"/>
          <w:left w:w="0" w:type="dxa"/>
          <w:bottom w:w="0" w:type="dxa"/>
          <w:right w:w="0" w:type="dxa"/>
        </w:tblCellMar>
      </w:tblPr>
      <w:tr>
        <w:trPr>
          <w:trHeight w:val="166"/>
        </w:trPr>
        <w:tc>
          <w:tcPr>
            <w:tcW w:w="2860" w:type="dxa"/>
            <w:vAlign w:val="bottom"/>
          </w:tcPr>
          <w:p>
            <w:pPr>
              <w:spacing w:after="0"/>
              <w:rPr>
                <w:sz w:val="20"/>
                <w:szCs w:val="20"/>
                <w:color w:val="auto"/>
              </w:rPr>
            </w:pPr>
            <w:r>
              <w:rPr>
                <w:rFonts w:ascii="Arial" w:cs="Arial" w:eastAsia="Arial" w:hAnsi="Arial"/>
                <w:sz w:val="13"/>
                <w:szCs w:val="13"/>
                <w:i w:val="1"/>
                <w:iCs w:val="1"/>
                <w:color w:val="auto"/>
              </w:rPr>
              <w:t>(Dollars in millions)</w:t>
            </w:r>
          </w:p>
        </w:tc>
        <w:tc>
          <w:tcPr>
            <w:tcW w:w="2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209"/>
        </w:trPr>
        <w:tc>
          <w:tcPr>
            <w:tcW w:w="28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color w:val="auto"/>
              </w:rPr>
              <w:t>Years ended December 31,</w:t>
            </w:r>
          </w:p>
        </w:tc>
        <w:tc>
          <w:tcPr>
            <w:tcW w:w="4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r>
      <w:tr>
        <w:trPr>
          <w:trHeight w:val="208"/>
        </w:trPr>
        <w:tc>
          <w:tcPr>
            <w:tcW w:w="286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2008</w:t>
            </w:r>
          </w:p>
        </w:tc>
        <w:tc>
          <w:tcPr>
            <w:tcW w:w="580" w:type="dxa"/>
            <w:vAlign w:val="bottom"/>
            <w:tcBorders>
              <w:bottom w:val="single" w:sz="8" w:color="auto"/>
              <w:right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9"/>
              <w:spacing w:after="0"/>
              <w:rPr>
                <w:sz w:val="20"/>
                <w:szCs w:val="20"/>
                <w:color w:val="auto"/>
              </w:rPr>
            </w:pPr>
            <w:r>
              <w:rPr>
                <w:rFonts w:ascii="Arial" w:cs="Arial" w:eastAsia="Arial" w:hAnsi="Arial"/>
                <w:sz w:val="13"/>
                <w:szCs w:val="13"/>
                <w:color w:val="auto"/>
              </w:rPr>
              <w:t>2007</w:t>
            </w:r>
          </w:p>
        </w:tc>
        <w:tc>
          <w:tcPr>
            <w:tcW w:w="580" w:type="dxa"/>
            <w:vAlign w:val="bottom"/>
            <w:tcBorders>
              <w:bottom w:val="single" w:sz="8" w:color="auto"/>
              <w:right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2006</w:t>
            </w:r>
          </w:p>
        </w:tc>
        <w:tc>
          <w:tcPr>
            <w:tcW w:w="540" w:type="dxa"/>
            <w:vAlign w:val="bottom"/>
            <w:tcBorders>
              <w:bottom w:val="single" w:sz="8" w:color="auto"/>
            </w:tcBorders>
          </w:tcPr>
          <w:p>
            <w:pPr>
              <w:spacing w:after="0"/>
              <w:rPr>
                <w:sz w:val="18"/>
                <w:szCs w:val="18"/>
                <w:color w:val="auto"/>
              </w:rPr>
            </w:pPr>
          </w:p>
        </w:tc>
      </w:tr>
      <w:tr>
        <w:trPr>
          <w:trHeight w:val="207"/>
        </w:trPr>
        <w:tc>
          <w:tcPr>
            <w:tcW w:w="2860" w:type="dxa"/>
            <w:vAlign w:val="bottom"/>
          </w:tcPr>
          <w:p>
            <w:pPr>
              <w:spacing w:after="0"/>
              <w:rPr>
                <w:sz w:val="20"/>
                <w:szCs w:val="20"/>
                <w:color w:val="auto"/>
              </w:rPr>
            </w:pPr>
            <w:r>
              <w:rPr>
                <w:rFonts w:ascii="Arial" w:cs="Arial" w:eastAsia="Arial" w:hAnsi="Arial"/>
                <w:sz w:val="14"/>
                <w:szCs w:val="14"/>
                <w:color w:val="auto"/>
              </w:rPr>
              <w:t>Sempra Utilities:</w:t>
            </w: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80" w:type="dxa"/>
            <w:vAlign w:val="bottom"/>
            <w:tcBorders>
              <w:right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80" w:type="dxa"/>
            <w:vAlign w:val="bottom"/>
            <w:tcBorders>
              <w:right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r>
      <w:tr>
        <w:trPr>
          <w:trHeight w:val="216"/>
        </w:trPr>
        <w:tc>
          <w:tcPr>
            <w:tcW w:w="2860" w:type="dxa"/>
            <w:vAlign w:val="bottom"/>
          </w:tcPr>
          <w:p>
            <w:pPr>
              <w:ind w:left="320"/>
              <w:spacing w:after="0"/>
              <w:rPr>
                <w:sz w:val="20"/>
                <w:szCs w:val="20"/>
                <w:color w:val="auto"/>
              </w:rPr>
            </w:pPr>
            <w:r>
              <w:rPr>
                <w:rFonts w:ascii="Arial" w:cs="Arial" w:eastAsia="Arial" w:hAnsi="Arial"/>
                <w:sz w:val="14"/>
                <w:szCs w:val="14"/>
                <w:color w:val="auto"/>
              </w:rPr>
              <w:t>San Diego Gas &amp; Electric Company*</w:t>
            </w: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209"/>
              <w:spacing w:after="0"/>
              <w:rPr>
                <w:sz w:val="20"/>
                <w:szCs w:val="20"/>
                <w:color w:val="auto"/>
              </w:rPr>
            </w:pPr>
            <w:r>
              <w:rPr>
                <w:rFonts w:ascii="Arial" w:cs="Arial" w:eastAsia="Arial" w:hAnsi="Arial"/>
                <w:sz w:val="14"/>
                <w:szCs w:val="14"/>
                <w:color w:val="auto"/>
              </w:rPr>
              <w:t>339</w:t>
            </w:r>
          </w:p>
        </w:tc>
        <w:tc>
          <w:tcPr>
            <w:tcW w:w="580" w:type="dxa"/>
            <w:vAlign w:val="bottom"/>
            <w:tcBorders>
              <w:right w:val="single" w:sz="8" w:color="auto"/>
            </w:tcBorders>
          </w:tcPr>
          <w:p>
            <w:pPr>
              <w:jc w:val="right"/>
              <w:ind w:right="28"/>
              <w:spacing w:after="0"/>
              <w:rPr>
                <w:sz w:val="20"/>
                <w:szCs w:val="20"/>
                <w:color w:val="auto"/>
              </w:rPr>
            </w:pPr>
            <w:r>
              <w:rPr>
                <w:rFonts w:ascii="Arial" w:cs="Arial" w:eastAsia="Arial" w:hAnsi="Arial"/>
                <w:sz w:val="14"/>
                <w:szCs w:val="14"/>
                <w:color w:val="auto"/>
              </w:rPr>
              <w:t>31 %</w:t>
            </w:r>
          </w:p>
        </w:tc>
        <w:tc>
          <w:tcPr>
            <w:tcW w:w="460" w:type="dxa"/>
            <w:vAlign w:val="bottom"/>
          </w:tcPr>
          <w:p>
            <w:pPr>
              <w:jc w:val="right"/>
              <w:ind w:right="11"/>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209"/>
              <w:spacing w:after="0"/>
              <w:rPr>
                <w:sz w:val="20"/>
                <w:szCs w:val="20"/>
                <w:color w:val="auto"/>
              </w:rPr>
            </w:pPr>
            <w:r>
              <w:rPr>
                <w:rFonts w:ascii="Arial" w:cs="Arial" w:eastAsia="Arial" w:hAnsi="Arial"/>
                <w:sz w:val="14"/>
                <w:szCs w:val="14"/>
                <w:color w:val="auto"/>
              </w:rPr>
              <w:t>283</w:t>
            </w:r>
          </w:p>
        </w:tc>
        <w:tc>
          <w:tcPr>
            <w:tcW w:w="580" w:type="dxa"/>
            <w:vAlign w:val="bottom"/>
            <w:tcBorders>
              <w:right w:val="single" w:sz="8" w:color="auto"/>
            </w:tcBorders>
          </w:tcPr>
          <w:p>
            <w:pPr>
              <w:jc w:val="right"/>
              <w:ind w:right="28"/>
              <w:spacing w:after="0"/>
              <w:rPr>
                <w:sz w:val="20"/>
                <w:szCs w:val="20"/>
                <w:color w:val="auto"/>
              </w:rPr>
            </w:pPr>
            <w:r>
              <w:rPr>
                <w:rFonts w:ascii="Arial" w:cs="Arial" w:eastAsia="Arial" w:hAnsi="Arial"/>
                <w:sz w:val="14"/>
                <w:szCs w:val="14"/>
                <w:color w:val="auto"/>
              </w:rPr>
              <w:t>25 %</w:t>
            </w:r>
          </w:p>
        </w:tc>
        <w:tc>
          <w:tcPr>
            <w:tcW w:w="440" w:type="dxa"/>
            <w:vAlign w:val="bottom"/>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249"/>
              <w:spacing w:after="0"/>
              <w:rPr>
                <w:sz w:val="20"/>
                <w:szCs w:val="20"/>
                <w:color w:val="auto"/>
              </w:rPr>
            </w:pPr>
            <w:r>
              <w:rPr>
                <w:rFonts w:ascii="Arial" w:cs="Arial" w:eastAsia="Arial" w:hAnsi="Arial"/>
                <w:sz w:val="14"/>
                <w:szCs w:val="14"/>
                <w:color w:val="auto"/>
              </w:rPr>
              <w:t>237</w:t>
            </w:r>
          </w:p>
        </w:tc>
        <w:tc>
          <w:tcPr>
            <w:tcW w:w="540" w:type="dxa"/>
            <w:vAlign w:val="bottom"/>
          </w:tcPr>
          <w:p>
            <w:pPr>
              <w:jc w:val="right"/>
              <w:ind w:right="8"/>
              <w:spacing w:after="0"/>
              <w:rPr>
                <w:sz w:val="20"/>
                <w:szCs w:val="20"/>
                <w:color w:val="auto"/>
              </w:rPr>
            </w:pPr>
            <w:r>
              <w:rPr>
                <w:rFonts w:ascii="Arial" w:cs="Arial" w:eastAsia="Arial" w:hAnsi="Arial"/>
                <w:sz w:val="14"/>
                <w:szCs w:val="14"/>
                <w:color w:val="auto"/>
              </w:rPr>
              <w:t>17 %</w:t>
            </w:r>
          </w:p>
        </w:tc>
      </w:tr>
      <w:tr>
        <w:trPr>
          <w:trHeight w:val="216"/>
        </w:trPr>
        <w:tc>
          <w:tcPr>
            <w:tcW w:w="2860" w:type="dxa"/>
            <w:vAlign w:val="bottom"/>
          </w:tcPr>
          <w:p>
            <w:pPr>
              <w:ind w:left="320"/>
              <w:spacing w:after="0"/>
              <w:rPr>
                <w:sz w:val="20"/>
                <w:szCs w:val="20"/>
                <w:color w:val="auto"/>
              </w:rPr>
            </w:pPr>
            <w:r>
              <w:rPr>
                <w:rFonts w:ascii="Arial" w:cs="Arial" w:eastAsia="Arial" w:hAnsi="Arial"/>
                <w:sz w:val="14"/>
                <w:szCs w:val="14"/>
                <w:color w:val="auto"/>
              </w:rPr>
              <w:t>Southern California Gas Company*</w:t>
            </w:r>
          </w:p>
        </w:tc>
        <w:tc>
          <w:tcPr>
            <w:tcW w:w="260" w:type="dxa"/>
            <w:vAlign w:val="bottom"/>
          </w:tcPr>
          <w:p>
            <w:pPr>
              <w:spacing w:after="0"/>
              <w:rPr>
                <w:sz w:val="18"/>
                <w:szCs w:val="18"/>
                <w:color w:val="auto"/>
              </w:rPr>
            </w:pPr>
          </w:p>
        </w:tc>
        <w:tc>
          <w:tcPr>
            <w:tcW w:w="720" w:type="dxa"/>
            <w:vAlign w:val="bottom"/>
          </w:tcPr>
          <w:p>
            <w:pPr>
              <w:jc w:val="right"/>
              <w:ind w:right="209"/>
              <w:spacing w:after="0"/>
              <w:rPr>
                <w:sz w:val="20"/>
                <w:szCs w:val="20"/>
                <w:color w:val="auto"/>
              </w:rPr>
            </w:pPr>
            <w:r>
              <w:rPr>
                <w:rFonts w:ascii="Arial" w:cs="Arial" w:eastAsia="Arial" w:hAnsi="Arial"/>
                <w:sz w:val="14"/>
                <w:szCs w:val="14"/>
                <w:color w:val="auto"/>
              </w:rPr>
              <w:t>244</w:t>
            </w:r>
          </w:p>
        </w:tc>
        <w:tc>
          <w:tcPr>
            <w:tcW w:w="580" w:type="dxa"/>
            <w:vAlign w:val="bottom"/>
            <w:tcBorders>
              <w:right w:val="single" w:sz="8" w:color="auto"/>
            </w:tcBorders>
          </w:tcPr>
          <w:p>
            <w:pPr>
              <w:jc w:val="right"/>
              <w:ind w:right="188"/>
              <w:spacing w:after="0"/>
              <w:rPr>
                <w:sz w:val="20"/>
                <w:szCs w:val="20"/>
                <w:color w:val="auto"/>
              </w:rPr>
            </w:pPr>
            <w:r>
              <w:rPr>
                <w:rFonts w:ascii="Arial" w:cs="Arial" w:eastAsia="Arial" w:hAnsi="Arial"/>
                <w:sz w:val="14"/>
                <w:szCs w:val="14"/>
                <w:color w:val="auto"/>
              </w:rPr>
              <w:t>22</w:t>
            </w:r>
          </w:p>
        </w:tc>
        <w:tc>
          <w:tcPr>
            <w:tcW w:w="460" w:type="dxa"/>
            <w:vAlign w:val="bottom"/>
          </w:tcPr>
          <w:p>
            <w:pPr>
              <w:spacing w:after="0"/>
              <w:rPr>
                <w:sz w:val="18"/>
                <w:szCs w:val="18"/>
                <w:color w:val="auto"/>
              </w:rPr>
            </w:pPr>
          </w:p>
        </w:tc>
        <w:tc>
          <w:tcPr>
            <w:tcW w:w="720" w:type="dxa"/>
            <w:vAlign w:val="bottom"/>
          </w:tcPr>
          <w:p>
            <w:pPr>
              <w:jc w:val="right"/>
              <w:ind w:right="209"/>
              <w:spacing w:after="0"/>
              <w:rPr>
                <w:sz w:val="20"/>
                <w:szCs w:val="20"/>
                <w:color w:val="auto"/>
              </w:rPr>
            </w:pPr>
            <w:r>
              <w:rPr>
                <w:rFonts w:ascii="Arial" w:cs="Arial" w:eastAsia="Arial" w:hAnsi="Arial"/>
                <w:sz w:val="14"/>
                <w:szCs w:val="14"/>
                <w:color w:val="auto"/>
              </w:rPr>
              <w:t>230</w:t>
            </w:r>
          </w:p>
        </w:tc>
        <w:tc>
          <w:tcPr>
            <w:tcW w:w="580" w:type="dxa"/>
            <w:vAlign w:val="bottom"/>
            <w:tcBorders>
              <w:right w:val="single" w:sz="8" w:color="auto"/>
            </w:tcBorders>
          </w:tcPr>
          <w:p>
            <w:pPr>
              <w:jc w:val="right"/>
              <w:ind w:right="188"/>
              <w:spacing w:after="0"/>
              <w:rPr>
                <w:sz w:val="20"/>
                <w:szCs w:val="20"/>
                <w:color w:val="auto"/>
              </w:rPr>
            </w:pPr>
            <w:r>
              <w:rPr>
                <w:rFonts w:ascii="Arial" w:cs="Arial" w:eastAsia="Arial" w:hAnsi="Arial"/>
                <w:sz w:val="14"/>
                <w:szCs w:val="14"/>
                <w:color w:val="auto"/>
              </w:rPr>
              <w:t>21</w:t>
            </w:r>
          </w:p>
        </w:tc>
        <w:tc>
          <w:tcPr>
            <w:tcW w:w="440" w:type="dxa"/>
            <w:vAlign w:val="bottom"/>
          </w:tcPr>
          <w:p>
            <w:pPr>
              <w:spacing w:after="0"/>
              <w:rPr>
                <w:sz w:val="18"/>
                <w:szCs w:val="18"/>
                <w:color w:val="auto"/>
              </w:rPr>
            </w:pPr>
          </w:p>
        </w:tc>
        <w:tc>
          <w:tcPr>
            <w:tcW w:w="720" w:type="dxa"/>
            <w:vAlign w:val="bottom"/>
          </w:tcPr>
          <w:p>
            <w:pPr>
              <w:jc w:val="right"/>
              <w:ind w:right="249"/>
              <w:spacing w:after="0"/>
              <w:rPr>
                <w:sz w:val="20"/>
                <w:szCs w:val="20"/>
                <w:color w:val="auto"/>
              </w:rPr>
            </w:pPr>
            <w:r>
              <w:rPr>
                <w:rFonts w:ascii="Arial" w:cs="Arial" w:eastAsia="Arial" w:hAnsi="Arial"/>
                <w:sz w:val="14"/>
                <w:szCs w:val="14"/>
                <w:color w:val="auto"/>
              </w:rPr>
              <w:t>223</w:t>
            </w:r>
          </w:p>
        </w:tc>
        <w:tc>
          <w:tcPr>
            <w:tcW w:w="540" w:type="dxa"/>
            <w:vAlign w:val="bottom"/>
          </w:tcPr>
          <w:p>
            <w:pPr>
              <w:jc w:val="right"/>
              <w:ind w:right="148"/>
              <w:spacing w:after="0"/>
              <w:rPr>
                <w:sz w:val="20"/>
                <w:szCs w:val="20"/>
                <w:color w:val="auto"/>
              </w:rPr>
            </w:pPr>
            <w:r>
              <w:rPr>
                <w:rFonts w:ascii="Arial" w:cs="Arial" w:eastAsia="Arial" w:hAnsi="Arial"/>
                <w:sz w:val="14"/>
                <w:szCs w:val="14"/>
                <w:color w:val="auto"/>
              </w:rPr>
              <w:t>16</w:t>
            </w:r>
          </w:p>
        </w:tc>
      </w:tr>
      <w:tr>
        <w:trPr>
          <w:trHeight w:val="432"/>
        </w:trPr>
        <w:tc>
          <w:tcPr>
            <w:tcW w:w="2860" w:type="dxa"/>
            <w:vAlign w:val="bottom"/>
          </w:tcPr>
          <w:p>
            <w:pPr>
              <w:spacing w:after="0"/>
              <w:rPr>
                <w:sz w:val="20"/>
                <w:szCs w:val="20"/>
                <w:color w:val="auto"/>
              </w:rPr>
            </w:pPr>
            <w:r>
              <w:rPr>
                <w:rFonts w:ascii="Arial" w:cs="Arial" w:eastAsia="Arial" w:hAnsi="Arial"/>
                <w:sz w:val="14"/>
                <w:szCs w:val="14"/>
                <w:color w:val="auto"/>
              </w:rPr>
              <w:t>Sempra Global:</w:t>
            </w: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80" w:type="dxa"/>
            <w:vAlign w:val="bottom"/>
            <w:tcBorders>
              <w:right w:val="single" w:sz="8" w:color="auto"/>
            </w:tcBorders>
          </w:tcPr>
          <w:p>
            <w:pPr>
              <w:spacing w:after="0"/>
              <w:rPr>
                <w:sz w:val="24"/>
                <w:szCs w:val="24"/>
                <w:color w:val="auto"/>
              </w:rPr>
            </w:pPr>
          </w:p>
        </w:tc>
        <w:tc>
          <w:tcPr>
            <w:tcW w:w="4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80" w:type="dxa"/>
            <w:vAlign w:val="bottom"/>
            <w:tcBorders>
              <w:right w:val="single" w:sz="8" w:color="auto"/>
            </w:tcBorders>
          </w:tcPr>
          <w:p>
            <w:pPr>
              <w:spacing w:after="0"/>
              <w:rPr>
                <w:sz w:val="24"/>
                <w:szCs w:val="24"/>
                <w:color w:val="auto"/>
              </w:rPr>
            </w:pPr>
          </w:p>
        </w:tc>
        <w:tc>
          <w:tcPr>
            <w:tcW w:w="4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216"/>
        </w:trPr>
        <w:tc>
          <w:tcPr>
            <w:tcW w:w="2860" w:type="dxa"/>
            <w:vAlign w:val="bottom"/>
          </w:tcPr>
          <w:p>
            <w:pPr>
              <w:ind w:left="320"/>
              <w:spacing w:after="0"/>
              <w:rPr>
                <w:sz w:val="20"/>
                <w:szCs w:val="20"/>
                <w:color w:val="auto"/>
              </w:rPr>
            </w:pPr>
            <w:r>
              <w:rPr>
                <w:rFonts w:ascii="Arial" w:cs="Arial" w:eastAsia="Arial" w:hAnsi="Arial"/>
                <w:sz w:val="14"/>
                <w:szCs w:val="14"/>
                <w:color w:val="auto"/>
              </w:rPr>
              <w:t>Sempra Commodities**</w:t>
            </w:r>
          </w:p>
        </w:tc>
        <w:tc>
          <w:tcPr>
            <w:tcW w:w="260" w:type="dxa"/>
            <w:vAlign w:val="bottom"/>
          </w:tcPr>
          <w:p>
            <w:pPr>
              <w:spacing w:after="0"/>
              <w:rPr>
                <w:sz w:val="18"/>
                <w:szCs w:val="18"/>
                <w:color w:val="auto"/>
              </w:rPr>
            </w:pPr>
          </w:p>
        </w:tc>
        <w:tc>
          <w:tcPr>
            <w:tcW w:w="720" w:type="dxa"/>
            <w:vAlign w:val="bottom"/>
          </w:tcPr>
          <w:p>
            <w:pPr>
              <w:jc w:val="right"/>
              <w:ind w:right="209"/>
              <w:spacing w:after="0"/>
              <w:rPr>
                <w:sz w:val="20"/>
                <w:szCs w:val="20"/>
                <w:color w:val="auto"/>
              </w:rPr>
            </w:pPr>
            <w:r>
              <w:rPr>
                <w:rFonts w:ascii="Arial" w:cs="Arial" w:eastAsia="Arial" w:hAnsi="Arial"/>
                <w:sz w:val="14"/>
                <w:szCs w:val="14"/>
                <w:color w:val="auto"/>
              </w:rPr>
              <w:t>345</w:t>
            </w:r>
          </w:p>
        </w:tc>
        <w:tc>
          <w:tcPr>
            <w:tcW w:w="580" w:type="dxa"/>
            <w:vAlign w:val="bottom"/>
            <w:tcBorders>
              <w:right w:val="single" w:sz="8" w:color="auto"/>
            </w:tcBorders>
          </w:tcPr>
          <w:p>
            <w:pPr>
              <w:jc w:val="right"/>
              <w:ind w:right="188"/>
              <w:spacing w:after="0"/>
              <w:rPr>
                <w:sz w:val="20"/>
                <w:szCs w:val="20"/>
                <w:color w:val="auto"/>
              </w:rPr>
            </w:pPr>
            <w:r>
              <w:rPr>
                <w:rFonts w:ascii="Arial" w:cs="Arial" w:eastAsia="Arial" w:hAnsi="Arial"/>
                <w:sz w:val="14"/>
                <w:szCs w:val="14"/>
                <w:color w:val="auto"/>
              </w:rPr>
              <w:t>31</w:t>
            </w:r>
          </w:p>
        </w:tc>
        <w:tc>
          <w:tcPr>
            <w:tcW w:w="460" w:type="dxa"/>
            <w:vAlign w:val="bottom"/>
          </w:tcPr>
          <w:p>
            <w:pPr>
              <w:spacing w:after="0"/>
              <w:rPr>
                <w:sz w:val="18"/>
                <w:szCs w:val="18"/>
                <w:color w:val="auto"/>
              </w:rPr>
            </w:pPr>
          </w:p>
        </w:tc>
        <w:tc>
          <w:tcPr>
            <w:tcW w:w="720" w:type="dxa"/>
            <w:vAlign w:val="bottom"/>
          </w:tcPr>
          <w:p>
            <w:pPr>
              <w:jc w:val="right"/>
              <w:ind w:right="209"/>
              <w:spacing w:after="0"/>
              <w:rPr>
                <w:sz w:val="20"/>
                <w:szCs w:val="20"/>
                <w:color w:val="auto"/>
              </w:rPr>
            </w:pPr>
            <w:r>
              <w:rPr>
                <w:rFonts w:ascii="Arial" w:cs="Arial" w:eastAsia="Arial" w:hAnsi="Arial"/>
                <w:sz w:val="14"/>
                <w:szCs w:val="14"/>
                <w:color w:val="auto"/>
              </w:rPr>
              <w:t>499</w:t>
            </w:r>
          </w:p>
        </w:tc>
        <w:tc>
          <w:tcPr>
            <w:tcW w:w="580" w:type="dxa"/>
            <w:vAlign w:val="bottom"/>
            <w:tcBorders>
              <w:right w:val="single" w:sz="8" w:color="auto"/>
            </w:tcBorders>
          </w:tcPr>
          <w:p>
            <w:pPr>
              <w:jc w:val="right"/>
              <w:ind w:right="188"/>
              <w:spacing w:after="0"/>
              <w:rPr>
                <w:sz w:val="20"/>
                <w:szCs w:val="20"/>
                <w:color w:val="auto"/>
              </w:rPr>
            </w:pPr>
            <w:r>
              <w:rPr>
                <w:rFonts w:ascii="Arial" w:cs="Arial" w:eastAsia="Arial" w:hAnsi="Arial"/>
                <w:sz w:val="14"/>
                <w:szCs w:val="14"/>
                <w:color w:val="auto"/>
              </w:rPr>
              <w:t>45</w:t>
            </w:r>
          </w:p>
        </w:tc>
        <w:tc>
          <w:tcPr>
            <w:tcW w:w="440" w:type="dxa"/>
            <w:vAlign w:val="bottom"/>
          </w:tcPr>
          <w:p>
            <w:pPr>
              <w:spacing w:after="0"/>
              <w:rPr>
                <w:sz w:val="18"/>
                <w:szCs w:val="18"/>
                <w:color w:val="auto"/>
              </w:rPr>
            </w:pPr>
          </w:p>
        </w:tc>
        <w:tc>
          <w:tcPr>
            <w:tcW w:w="720" w:type="dxa"/>
            <w:vAlign w:val="bottom"/>
          </w:tcPr>
          <w:p>
            <w:pPr>
              <w:jc w:val="right"/>
              <w:ind w:right="249"/>
              <w:spacing w:after="0"/>
              <w:rPr>
                <w:sz w:val="20"/>
                <w:szCs w:val="20"/>
                <w:color w:val="auto"/>
              </w:rPr>
            </w:pPr>
            <w:r>
              <w:rPr>
                <w:rFonts w:ascii="Arial" w:cs="Arial" w:eastAsia="Arial" w:hAnsi="Arial"/>
                <w:sz w:val="14"/>
                <w:szCs w:val="14"/>
                <w:color w:val="auto"/>
              </w:rPr>
              <w:t>504</w:t>
            </w:r>
          </w:p>
        </w:tc>
        <w:tc>
          <w:tcPr>
            <w:tcW w:w="540" w:type="dxa"/>
            <w:vAlign w:val="bottom"/>
          </w:tcPr>
          <w:p>
            <w:pPr>
              <w:jc w:val="right"/>
              <w:ind w:right="148"/>
              <w:spacing w:after="0"/>
              <w:rPr>
                <w:sz w:val="20"/>
                <w:szCs w:val="20"/>
                <w:color w:val="auto"/>
              </w:rPr>
            </w:pPr>
            <w:r>
              <w:rPr>
                <w:rFonts w:ascii="Arial" w:cs="Arial" w:eastAsia="Arial" w:hAnsi="Arial"/>
                <w:sz w:val="14"/>
                <w:szCs w:val="14"/>
                <w:color w:val="auto"/>
              </w:rPr>
              <w:t>36</w:t>
            </w:r>
          </w:p>
        </w:tc>
      </w:tr>
      <w:tr>
        <w:trPr>
          <w:trHeight w:val="216"/>
        </w:trPr>
        <w:tc>
          <w:tcPr>
            <w:tcW w:w="2860" w:type="dxa"/>
            <w:vAlign w:val="bottom"/>
          </w:tcPr>
          <w:p>
            <w:pPr>
              <w:ind w:left="320"/>
              <w:spacing w:after="0"/>
              <w:rPr>
                <w:sz w:val="20"/>
                <w:szCs w:val="20"/>
                <w:color w:val="auto"/>
              </w:rPr>
            </w:pPr>
            <w:r>
              <w:rPr>
                <w:rFonts w:ascii="Arial" w:cs="Arial" w:eastAsia="Arial" w:hAnsi="Arial"/>
                <w:sz w:val="14"/>
                <w:szCs w:val="14"/>
                <w:color w:val="auto"/>
              </w:rPr>
              <w:t>Sempra Generation</w:t>
            </w:r>
          </w:p>
        </w:tc>
        <w:tc>
          <w:tcPr>
            <w:tcW w:w="260" w:type="dxa"/>
            <w:vAlign w:val="bottom"/>
          </w:tcPr>
          <w:p>
            <w:pPr>
              <w:spacing w:after="0"/>
              <w:rPr>
                <w:sz w:val="18"/>
                <w:szCs w:val="18"/>
                <w:color w:val="auto"/>
              </w:rPr>
            </w:pPr>
          </w:p>
        </w:tc>
        <w:tc>
          <w:tcPr>
            <w:tcW w:w="720" w:type="dxa"/>
            <w:vAlign w:val="bottom"/>
          </w:tcPr>
          <w:p>
            <w:pPr>
              <w:jc w:val="right"/>
              <w:ind w:right="209"/>
              <w:spacing w:after="0"/>
              <w:rPr>
                <w:sz w:val="20"/>
                <w:szCs w:val="20"/>
                <w:color w:val="auto"/>
              </w:rPr>
            </w:pPr>
            <w:r>
              <w:rPr>
                <w:rFonts w:ascii="Arial" w:cs="Arial" w:eastAsia="Arial" w:hAnsi="Arial"/>
                <w:sz w:val="14"/>
                <w:szCs w:val="14"/>
                <w:color w:val="auto"/>
              </w:rPr>
              <w:t>222</w:t>
            </w:r>
          </w:p>
        </w:tc>
        <w:tc>
          <w:tcPr>
            <w:tcW w:w="580" w:type="dxa"/>
            <w:vAlign w:val="bottom"/>
            <w:tcBorders>
              <w:right w:val="single" w:sz="8" w:color="auto"/>
            </w:tcBorders>
          </w:tcPr>
          <w:p>
            <w:pPr>
              <w:jc w:val="right"/>
              <w:ind w:right="188"/>
              <w:spacing w:after="0"/>
              <w:rPr>
                <w:sz w:val="20"/>
                <w:szCs w:val="20"/>
                <w:color w:val="auto"/>
              </w:rPr>
            </w:pPr>
            <w:r>
              <w:rPr>
                <w:rFonts w:ascii="Arial" w:cs="Arial" w:eastAsia="Arial" w:hAnsi="Arial"/>
                <w:sz w:val="14"/>
                <w:szCs w:val="14"/>
                <w:color w:val="auto"/>
              </w:rPr>
              <w:t>20</w:t>
            </w:r>
          </w:p>
        </w:tc>
        <w:tc>
          <w:tcPr>
            <w:tcW w:w="460" w:type="dxa"/>
            <w:vAlign w:val="bottom"/>
          </w:tcPr>
          <w:p>
            <w:pPr>
              <w:spacing w:after="0"/>
              <w:rPr>
                <w:sz w:val="18"/>
                <w:szCs w:val="18"/>
                <w:color w:val="auto"/>
              </w:rPr>
            </w:pPr>
          </w:p>
        </w:tc>
        <w:tc>
          <w:tcPr>
            <w:tcW w:w="720" w:type="dxa"/>
            <w:vAlign w:val="bottom"/>
          </w:tcPr>
          <w:p>
            <w:pPr>
              <w:jc w:val="right"/>
              <w:ind w:right="209"/>
              <w:spacing w:after="0"/>
              <w:rPr>
                <w:sz w:val="20"/>
                <w:szCs w:val="20"/>
                <w:color w:val="auto"/>
              </w:rPr>
            </w:pPr>
            <w:r>
              <w:rPr>
                <w:rFonts w:ascii="Arial" w:cs="Arial" w:eastAsia="Arial" w:hAnsi="Arial"/>
                <w:sz w:val="14"/>
                <w:szCs w:val="14"/>
                <w:color w:val="auto"/>
              </w:rPr>
              <w:t>162</w:t>
            </w:r>
          </w:p>
        </w:tc>
        <w:tc>
          <w:tcPr>
            <w:tcW w:w="580" w:type="dxa"/>
            <w:vAlign w:val="bottom"/>
            <w:tcBorders>
              <w:right w:val="single" w:sz="8" w:color="auto"/>
            </w:tcBorders>
          </w:tcPr>
          <w:p>
            <w:pPr>
              <w:jc w:val="right"/>
              <w:ind w:right="188"/>
              <w:spacing w:after="0"/>
              <w:rPr>
                <w:sz w:val="20"/>
                <w:szCs w:val="20"/>
                <w:color w:val="auto"/>
              </w:rPr>
            </w:pPr>
            <w:r>
              <w:rPr>
                <w:rFonts w:ascii="Arial" w:cs="Arial" w:eastAsia="Arial" w:hAnsi="Arial"/>
                <w:sz w:val="14"/>
                <w:szCs w:val="14"/>
                <w:color w:val="auto"/>
              </w:rPr>
              <w:t>15</w:t>
            </w:r>
          </w:p>
        </w:tc>
        <w:tc>
          <w:tcPr>
            <w:tcW w:w="440" w:type="dxa"/>
            <w:vAlign w:val="bottom"/>
          </w:tcPr>
          <w:p>
            <w:pPr>
              <w:spacing w:after="0"/>
              <w:rPr>
                <w:sz w:val="18"/>
                <w:szCs w:val="18"/>
                <w:color w:val="auto"/>
              </w:rPr>
            </w:pPr>
          </w:p>
        </w:tc>
        <w:tc>
          <w:tcPr>
            <w:tcW w:w="720" w:type="dxa"/>
            <w:vAlign w:val="bottom"/>
          </w:tcPr>
          <w:p>
            <w:pPr>
              <w:jc w:val="right"/>
              <w:ind w:right="249"/>
              <w:spacing w:after="0"/>
              <w:rPr>
                <w:sz w:val="20"/>
                <w:szCs w:val="20"/>
                <w:color w:val="auto"/>
              </w:rPr>
            </w:pPr>
            <w:r>
              <w:rPr>
                <w:rFonts w:ascii="Arial" w:cs="Arial" w:eastAsia="Arial" w:hAnsi="Arial"/>
                <w:sz w:val="14"/>
                <w:szCs w:val="14"/>
                <w:color w:val="auto"/>
              </w:rPr>
              <w:t>375</w:t>
            </w:r>
          </w:p>
        </w:tc>
        <w:tc>
          <w:tcPr>
            <w:tcW w:w="540" w:type="dxa"/>
            <w:vAlign w:val="bottom"/>
          </w:tcPr>
          <w:p>
            <w:pPr>
              <w:jc w:val="right"/>
              <w:ind w:right="148"/>
              <w:spacing w:after="0"/>
              <w:rPr>
                <w:sz w:val="20"/>
                <w:szCs w:val="20"/>
                <w:color w:val="auto"/>
              </w:rPr>
            </w:pPr>
            <w:r>
              <w:rPr>
                <w:rFonts w:ascii="Arial" w:cs="Arial" w:eastAsia="Arial" w:hAnsi="Arial"/>
                <w:sz w:val="14"/>
                <w:szCs w:val="14"/>
                <w:color w:val="auto"/>
              </w:rPr>
              <w:t>27</w:t>
            </w:r>
          </w:p>
        </w:tc>
      </w:tr>
      <w:tr>
        <w:trPr>
          <w:trHeight w:val="216"/>
        </w:trPr>
        <w:tc>
          <w:tcPr>
            <w:tcW w:w="2860" w:type="dxa"/>
            <w:vAlign w:val="bottom"/>
          </w:tcPr>
          <w:p>
            <w:pPr>
              <w:ind w:left="320"/>
              <w:spacing w:after="0"/>
              <w:rPr>
                <w:sz w:val="20"/>
                <w:szCs w:val="20"/>
                <w:color w:val="auto"/>
              </w:rPr>
            </w:pPr>
            <w:r>
              <w:rPr>
                <w:rFonts w:ascii="Arial" w:cs="Arial" w:eastAsia="Arial" w:hAnsi="Arial"/>
                <w:sz w:val="14"/>
                <w:szCs w:val="14"/>
                <w:color w:val="auto"/>
              </w:rPr>
              <w:t>Sempra Pipelines &amp; Storage</w:t>
            </w:r>
          </w:p>
        </w:tc>
        <w:tc>
          <w:tcPr>
            <w:tcW w:w="260" w:type="dxa"/>
            <w:vAlign w:val="bottom"/>
          </w:tcPr>
          <w:p>
            <w:pPr>
              <w:spacing w:after="0"/>
              <w:rPr>
                <w:sz w:val="18"/>
                <w:szCs w:val="18"/>
                <w:color w:val="auto"/>
              </w:rPr>
            </w:pPr>
          </w:p>
        </w:tc>
        <w:tc>
          <w:tcPr>
            <w:tcW w:w="720" w:type="dxa"/>
            <w:vAlign w:val="bottom"/>
          </w:tcPr>
          <w:p>
            <w:pPr>
              <w:jc w:val="right"/>
              <w:ind w:right="209"/>
              <w:spacing w:after="0"/>
              <w:rPr>
                <w:sz w:val="20"/>
                <w:szCs w:val="20"/>
                <w:color w:val="auto"/>
              </w:rPr>
            </w:pPr>
            <w:r>
              <w:rPr>
                <w:rFonts w:ascii="Arial" w:cs="Arial" w:eastAsia="Arial" w:hAnsi="Arial"/>
                <w:sz w:val="14"/>
                <w:szCs w:val="14"/>
                <w:color w:val="auto"/>
              </w:rPr>
              <w:t>106</w:t>
            </w:r>
          </w:p>
        </w:tc>
        <w:tc>
          <w:tcPr>
            <w:tcW w:w="580" w:type="dxa"/>
            <w:vAlign w:val="bottom"/>
            <w:tcBorders>
              <w:right w:val="single" w:sz="8" w:color="auto"/>
            </w:tcBorders>
          </w:tcPr>
          <w:p>
            <w:pPr>
              <w:jc w:val="right"/>
              <w:ind w:right="188"/>
              <w:spacing w:after="0"/>
              <w:rPr>
                <w:sz w:val="20"/>
                <w:szCs w:val="20"/>
                <w:color w:val="auto"/>
              </w:rPr>
            </w:pPr>
            <w:r>
              <w:rPr>
                <w:rFonts w:ascii="Arial" w:cs="Arial" w:eastAsia="Arial" w:hAnsi="Arial"/>
                <w:sz w:val="14"/>
                <w:szCs w:val="14"/>
                <w:color w:val="auto"/>
              </w:rPr>
              <w:t>9</w:t>
            </w:r>
          </w:p>
        </w:tc>
        <w:tc>
          <w:tcPr>
            <w:tcW w:w="460" w:type="dxa"/>
            <w:vAlign w:val="bottom"/>
          </w:tcPr>
          <w:p>
            <w:pPr>
              <w:spacing w:after="0"/>
              <w:rPr>
                <w:sz w:val="18"/>
                <w:szCs w:val="18"/>
                <w:color w:val="auto"/>
              </w:rPr>
            </w:pPr>
          </w:p>
        </w:tc>
        <w:tc>
          <w:tcPr>
            <w:tcW w:w="720" w:type="dxa"/>
            <w:vAlign w:val="bottom"/>
          </w:tcPr>
          <w:p>
            <w:pPr>
              <w:jc w:val="right"/>
              <w:ind w:right="209"/>
              <w:spacing w:after="0"/>
              <w:rPr>
                <w:sz w:val="20"/>
                <w:szCs w:val="20"/>
                <w:color w:val="auto"/>
              </w:rPr>
            </w:pPr>
            <w:r>
              <w:rPr>
                <w:rFonts w:ascii="Arial" w:cs="Arial" w:eastAsia="Arial" w:hAnsi="Arial"/>
                <w:sz w:val="14"/>
                <w:szCs w:val="14"/>
                <w:color w:val="auto"/>
              </w:rPr>
              <w:t>64</w:t>
            </w:r>
          </w:p>
        </w:tc>
        <w:tc>
          <w:tcPr>
            <w:tcW w:w="580" w:type="dxa"/>
            <w:vAlign w:val="bottom"/>
            <w:tcBorders>
              <w:right w:val="single" w:sz="8" w:color="auto"/>
            </w:tcBorders>
          </w:tcPr>
          <w:p>
            <w:pPr>
              <w:jc w:val="right"/>
              <w:ind w:right="188"/>
              <w:spacing w:after="0"/>
              <w:rPr>
                <w:sz w:val="20"/>
                <w:szCs w:val="20"/>
                <w:color w:val="auto"/>
              </w:rPr>
            </w:pPr>
            <w:r>
              <w:rPr>
                <w:rFonts w:ascii="Arial" w:cs="Arial" w:eastAsia="Arial" w:hAnsi="Arial"/>
                <w:sz w:val="14"/>
                <w:szCs w:val="14"/>
                <w:color w:val="auto"/>
              </w:rPr>
              <w:t>6</w:t>
            </w:r>
          </w:p>
        </w:tc>
        <w:tc>
          <w:tcPr>
            <w:tcW w:w="440" w:type="dxa"/>
            <w:vAlign w:val="bottom"/>
          </w:tcPr>
          <w:p>
            <w:pPr>
              <w:spacing w:after="0"/>
              <w:rPr>
                <w:sz w:val="18"/>
                <w:szCs w:val="18"/>
                <w:color w:val="auto"/>
              </w:rPr>
            </w:pPr>
          </w:p>
        </w:tc>
        <w:tc>
          <w:tcPr>
            <w:tcW w:w="720" w:type="dxa"/>
            <w:vAlign w:val="bottom"/>
          </w:tcPr>
          <w:p>
            <w:pPr>
              <w:jc w:val="right"/>
              <w:ind w:right="169"/>
              <w:spacing w:after="0"/>
              <w:rPr>
                <w:sz w:val="20"/>
                <w:szCs w:val="20"/>
                <w:color w:val="auto"/>
              </w:rPr>
            </w:pPr>
            <w:r>
              <w:rPr>
                <w:rFonts w:ascii="Arial" w:cs="Arial" w:eastAsia="Arial" w:hAnsi="Arial"/>
                <w:sz w:val="14"/>
                <w:szCs w:val="14"/>
                <w:color w:val="auto"/>
              </w:rPr>
              <w:t>(165 )</w:t>
            </w:r>
          </w:p>
        </w:tc>
        <w:tc>
          <w:tcPr>
            <w:tcW w:w="540" w:type="dxa"/>
            <w:vAlign w:val="bottom"/>
          </w:tcPr>
          <w:p>
            <w:pPr>
              <w:jc w:val="right"/>
              <w:ind w:right="88"/>
              <w:spacing w:after="0"/>
              <w:rPr>
                <w:sz w:val="20"/>
                <w:szCs w:val="20"/>
                <w:color w:val="auto"/>
              </w:rPr>
            </w:pPr>
            <w:r>
              <w:rPr>
                <w:rFonts w:ascii="Arial" w:cs="Arial" w:eastAsia="Arial" w:hAnsi="Arial"/>
                <w:sz w:val="14"/>
                <w:szCs w:val="14"/>
                <w:color w:val="auto"/>
              </w:rPr>
              <w:t>(12 )</w:t>
            </w:r>
          </w:p>
        </w:tc>
      </w:tr>
      <w:tr>
        <w:trPr>
          <w:trHeight w:val="216"/>
        </w:trPr>
        <w:tc>
          <w:tcPr>
            <w:tcW w:w="2860" w:type="dxa"/>
            <w:vAlign w:val="bottom"/>
          </w:tcPr>
          <w:p>
            <w:pPr>
              <w:ind w:left="320"/>
              <w:spacing w:after="0"/>
              <w:rPr>
                <w:sz w:val="20"/>
                <w:szCs w:val="20"/>
                <w:color w:val="auto"/>
              </w:rPr>
            </w:pPr>
            <w:r>
              <w:rPr>
                <w:rFonts w:ascii="Arial" w:cs="Arial" w:eastAsia="Arial" w:hAnsi="Arial"/>
                <w:sz w:val="14"/>
                <w:szCs w:val="14"/>
                <w:color w:val="auto"/>
              </w:rPr>
              <w:t>Sempra LNG</w:t>
            </w:r>
          </w:p>
        </w:tc>
        <w:tc>
          <w:tcPr>
            <w:tcW w:w="260" w:type="dxa"/>
            <w:vAlign w:val="bottom"/>
          </w:tcPr>
          <w:p>
            <w:pPr>
              <w:spacing w:after="0"/>
              <w:rPr>
                <w:sz w:val="18"/>
                <w:szCs w:val="18"/>
                <w:color w:val="auto"/>
              </w:rPr>
            </w:pPr>
          </w:p>
        </w:tc>
        <w:tc>
          <w:tcPr>
            <w:tcW w:w="720" w:type="dxa"/>
            <w:vAlign w:val="bottom"/>
          </w:tcPr>
          <w:p>
            <w:pPr>
              <w:jc w:val="right"/>
              <w:ind w:right="129"/>
              <w:spacing w:after="0"/>
              <w:rPr>
                <w:sz w:val="20"/>
                <w:szCs w:val="20"/>
                <w:color w:val="auto"/>
              </w:rPr>
            </w:pPr>
            <w:r>
              <w:rPr>
                <w:rFonts w:ascii="Arial" w:cs="Arial" w:eastAsia="Arial" w:hAnsi="Arial"/>
                <w:sz w:val="14"/>
                <w:szCs w:val="14"/>
                <w:color w:val="auto"/>
              </w:rPr>
              <w:t>(46 )</w:t>
            </w:r>
          </w:p>
        </w:tc>
        <w:tc>
          <w:tcPr>
            <w:tcW w:w="580" w:type="dxa"/>
            <w:vAlign w:val="bottom"/>
            <w:tcBorders>
              <w:right w:val="single" w:sz="8" w:color="auto"/>
            </w:tcBorders>
          </w:tcPr>
          <w:p>
            <w:pPr>
              <w:jc w:val="right"/>
              <w:ind w:right="108"/>
              <w:spacing w:after="0"/>
              <w:rPr>
                <w:sz w:val="20"/>
                <w:szCs w:val="20"/>
                <w:color w:val="auto"/>
              </w:rPr>
            </w:pPr>
            <w:r>
              <w:rPr>
                <w:rFonts w:ascii="Arial" w:cs="Arial" w:eastAsia="Arial" w:hAnsi="Arial"/>
                <w:sz w:val="14"/>
                <w:szCs w:val="14"/>
                <w:color w:val="auto"/>
              </w:rPr>
              <w:t>(4 )</w:t>
            </w:r>
          </w:p>
        </w:tc>
        <w:tc>
          <w:tcPr>
            <w:tcW w:w="460" w:type="dxa"/>
            <w:vAlign w:val="bottom"/>
          </w:tcPr>
          <w:p>
            <w:pPr>
              <w:spacing w:after="0"/>
              <w:rPr>
                <w:sz w:val="18"/>
                <w:szCs w:val="18"/>
                <w:color w:val="auto"/>
              </w:rPr>
            </w:pPr>
          </w:p>
        </w:tc>
        <w:tc>
          <w:tcPr>
            <w:tcW w:w="720" w:type="dxa"/>
            <w:vAlign w:val="bottom"/>
          </w:tcPr>
          <w:p>
            <w:pPr>
              <w:jc w:val="right"/>
              <w:ind w:right="129"/>
              <w:spacing w:after="0"/>
              <w:rPr>
                <w:sz w:val="20"/>
                <w:szCs w:val="20"/>
                <w:color w:val="auto"/>
              </w:rPr>
            </w:pPr>
            <w:r>
              <w:rPr>
                <w:rFonts w:ascii="Arial" w:cs="Arial" w:eastAsia="Arial" w:hAnsi="Arial"/>
                <w:sz w:val="14"/>
                <w:szCs w:val="14"/>
                <w:color w:val="auto"/>
              </w:rPr>
              <w:t>(46 )</w:t>
            </w:r>
          </w:p>
        </w:tc>
        <w:tc>
          <w:tcPr>
            <w:tcW w:w="580" w:type="dxa"/>
            <w:vAlign w:val="bottom"/>
            <w:tcBorders>
              <w:right w:val="single" w:sz="8" w:color="auto"/>
            </w:tcBorders>
          </w:tcPr>
          <w:p>
            <w:pPr>
              <w:jc w:val="right"/>
              <w:ind w:right="108"/>
              <w:spacing w:after="0"/>
              <w:rPr>
                <w:sz w:val="20"/>
                <w:szCs w:val="20"/>
                <w:color w:val="auto"/>
              </w:rPr>
            </w:pPr>
            <w:r>
              <w:rPr>
                <w:rFonts w:ascii="Arial" w:cs="Arial" w:eastAsia="Arial" w:hAnsi="Arial"/>
                <w:sz w:val="14"/>
                <w:szCs w:val="14"/>
                <w:color w:val="auto"/>
              </w:rPr>
              <w:t>(4 )</w:t>
            </w:r>
          </w:p>
        </w:tc>
        <w:tc>
          <w:tcPr>
            <w:tcW w:w="440" w:type="dxa"/>
            <w:vAlign w:val="bottom"/>
          </w:tcPr>
          <w:p>
            <w:pPr>
              <w:spacing w:after="0"/>
              <w:rPr>
                <w:sz w:val="18"/>
                <w:szCs w:val="18"/>
                <w:color w:val="auto"/>
              </w:rPr>
            </w:pPr>
          </w:p>
        </w:tc>
        <w:tc>
          <w:tcPr>
            <w:tcW w:w="720" w:type="dxa"/>
            <w:vAlign w:val="bottom"/>
          </w:tcPr>
          <w:p>
            <w:pPr>
              <w:jc w:val="right"/>
              <w:ind w:right="169"/>
              <w:spacing w:after="0"/>
              <w:rPr>
                <w:sz w:val="20"/>
                <w:szCs w:val="20"/>
                <w:color w:val="auto"/>
              </w:rPr>
            </w:pPr>
            <w:r>
              <w:rPr>
                <w:rFonts w:ascii="Arial" w:cs="Arial" w:eastAsia="Arial" w:hAnsi="Arial"/>
                <w:sz w:val="14"/>
                <w:szCs w:val="14"/>
                <w:color w:val="auto"/>
              </w:rPr>
              <w:t>(42 )</w:t>
            </w:r>
          </w:p>
        </w:tc>
        <w:tc>
          <w:tcPr>
            <w:tcW w:w="540" w:type="dxa"/>
            <w:vAlign w:val="bottom"/>
          </w:tcPr>
          <w:p>
            <w:pPr>
              <w:jc w:val="right"/>
              <w:ind w:right="88"/>
              <w:spacing w:after="0"/>
              <w:rPr>
                <w:sz w:val="20"/>
                <w:szCs w:val="20"/>
                <w:color w:val="auto"/>
              </w:rPr>
            </w:pPr>
            <w:r>
              <w:rPr>
                <w:rFonts w:ascii="Arial" w:cs="Arial" w:eastAsia="Arial" w:hAnsi="Arial"/>
                <w:sz w:val="14"/>
                <w:szCs w:val="14"/>
                <w:color w:val="auto"/>
              </w:rPr>
              <w:t>(3 )</w:t>
            </w:r>
          </w:p>
        </w:tc>
      </w:tr>
      <w:tr>
        <w:trPr>
          <w:trHeight w:val="438"/>
        </w:trPr>
        <w:tc>
          <w:tcPr>
            <w:tcW w:w="2860" w:type="dxa"/>
            <w:vAlign w:val="bottom"/>
          </w:tcPr>
          <w:p>
            <w:pPr>
              <w:spacing w:after="0"/>
              <w:rPr>
                <w:sz w:val="20"/>
                <w:szCs w:val="20"/>
                <w:color w:val="auto"/>
              </w:rPr>
            </w:pPr>
            <w:r>
              <w:rPr>
                <w:rFonts w:ascii="Arial" w:cs="Arial" w:eastAsia="Arial" w:hAnsi="Arial"/>
                <w:sz w:val="14"/>
                <w:szCs w:val="14"/>
                <w:color w:val="auto"/>
              </w:rPr>
              <w:t>Parent and other***</w:t>
            </w:r>
          </w:p>
        </w:tc>
        <w:tc>
          <w:tcPr>
            <w:tcW w:w="2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ind w:right="129"/>
              <w:spacing w:after="0"/>
              <w:rPr>
                <w:sz w:val="20"/>
                <w:szCs w:val="20"/>
                <w:color w:val="auto"/>
              </w:rPr>
            </w:pPr>
            <w:r>
              <w:rPr>
                <w:rFonts w:ascii="Arial" w:cs="Arial" w:eastAsia="Arial" w:hAnsi="Arial"/>
                <w:sz w:val="14"/>
                <w:szCs w:val="14"/>
                <w:color w:val="auto"/>
              </w:rPr>
              <w:t>(97 )</w:t>
            </w:r>
          </w:p>
        </w:tc>
        <w:tc>
          <w:tcPr>
            <w:tcW w:w="580" w:type="dxa"/>
            <w:vAlign w:val="bottom"/>
            <w:tcBorders>
              <w:bottom w:val="single" w:sz="8" w:color="auto"/>
              <w:right w:val="single" w:sz="8" w:color="auto"/>
            </w:tcBorders>
          </w:tcPr>
          <w:p>
            <w:pPr>
              <w:jc w:val="right"/>
              <w:ind w:right="108"/>
              <w:spacing w:after="0"/>
              <w:rPr>
                <w:sz w:val="20"/>
                <w:szCs w:val="20"/>
                <w:color w:val="auto"/>
              </w:rPr>
            </w:pPr>
            <w:r>
              <w:rPr>
                <w:rFonts w:ascii="Arial" w:cs="Arial" w:eastAsia="Arial" w:hAnsi="Arial"/>
                <w:sz w:val="14"/>
                <w:szCs w:val="14"/>
                <w:color w:val="auto"/>
              </w:rPr>
              <w:t>(9 )</w:t>
            </w:r>
          </w:p>
        </w:tc>
        <w:tc>
          <w:tcPr>
            <w:tcW w:w="4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ind w:right="129"/>
              <w:spacing w:after="0"/>
              <w:rPr>
                <w:sz w:val="20"/>
                <w:szCs w:val="20"/>
                <w:color w:val="auto"/>
              </w:rPr>
            </w:pPr>
            <w:r>
              <w:rPr>
                <w:rFonts w:ascii="Arial" w:cs="Arial" w:eastAsia="Arial" w:hAnsi="Arial"/>
                <w:sz w:val="14"/>
                <w:szCs w:val="14"/>
                <w:color w:val="auto"/>
              </w:rPr>
              <w:t>(67 )</w:t>
            </w:r>
          </w:p>
        </w:tc>
        <w:tc>
          <w:tcPr>
            <w:tcW w:w="580" w:type="dxa"/>
            <w:vAlign w:val="bottom"/>
            <w:tcBorders>
              <w:bottom w:val="single" w:sz="8" w:color="auto"/>
              <w:right w:val="single" w:sz="8" w:color="auto"/>
            </w:tcBorders>
          </w:tcPr>
          <w:p>
            <w:pPr>
              <w:jc w:val="right"/>
              <w:ind w:right="108"/>
              <w:spacing w:after="0"/>
              <w:rPr>
                <w:sz w:val="20"/>
                <w:szCs w:val="20"/>
                <w:color w:val="auto"/>
              </w:rPr>
            </w:pPr>
            <w:r>
              <w:rPr>
                <w:rFonts w:ascii="Arial" w:cs="Arial" w:eastAsia="Arial" w:hAnsi="Arial"/>
                <w:sz w:val="14"/>
                <w:szCs w:val="14"/>
                <w:color w:val="auto"/>
              </w:rPr>
              <w:t>(6 )</w:t>
            </w:r>
          </w:p>
        </w:tc>
        <w:tc>
          <w:tcPr>
            <w:tcW w:w="4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ind w:right="169"/>
              <w:spacing w:after="0"/>
              <w:rPr>
                <w:sz w:val="20"/>
                <w:szCs w:val="20"/>
                <w:color w:val="auto"/>
              </w:rPr>
            </w:pPr>
            <w:r>
              <w:rPr>
                <w:rFonts w:ascii="Arial" w:cs="Arial" w:eastAsia="Arial" w:hAnsi="Arial"/>
                <w:sz w:val="14"/>
                <w:szCs w:val="14"/>
                <w:color w:val="auto"/>
              </w:rPr>
              <w:t>(41 )</w:t>
            </w:r>
          </w:p>
        </w:tc>
        <w:tc>
          <w:tcPr>
            <w:tcW w:w="5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(3 )</w:t>
            </w:r>
          </w:p>
        </w:tc>
      </w:tr>
      <w:tr>
        <w:trPr>
          <w:trHeight w:val="202"/>
        </w:trPr>
        <w:tc>
          <w:tcPr>
            <w:tcW w:w="2860" w:type="dxa"/>
            <w:vAlign w:val="bottom"/>
          </w:tcPr>
          <w:p>
            <w:pPr>
              <w:spacing w:after="0"/>
              <w:rPr>
                <w:sz w:val="20"/>
                <w:szCs w:val="20"/>
                <w:color w:val="auto"/>
              </w:rPr>
            </w:pPr>
            <w:r>
              <w:rPr>
                <w:rFonts w:ascii="Arial" w:cs="Arial" w:eastAsia="Arial" w:hAnsi="Arial"/>
                <w:sz w:val="14"/>
                <w:szCs w:val="14"/>
                <w:color w:val="auto"/>
              </w:rPr>
              <w:t>Income from continuing operations</w:t>
            </w:r>
          </w:p>
        </w:tc>
        <w:tc>
          <w:tcPr>
            <w:tcW w:w="260" w:type="dxa"/>
            <w:vAlign w:val="bottom"/>
          </w:tcPr>
          <w:p>
            <w:pPr>
              <w:spacing w:after="0"/>
              <w:rPr>
                <w:sz w:val="17"/>
                <w:szCs w:val="17"/>
                <w:color w:val="auto"/>
              </w:rPr>
            </w:pPr>
          </w:p>
        </w:tc>
        <w:tc>
          <w:tcPr>
            <w:tcW w:w="720" w:type="dxa"/>
            <w:vAlign w:val="bottom"/>
          </w:tcPr>
          <w:p>
            <w:pPr>
              <w:jc w:val="right"/>
              <w:ind w:right="209"/>
              <w:spacing w:after="0"/>
              <w:rPr>
                <w:sz w:val="20"/>
                <w:szCs w:val="20"/>
                <w:color w:val="auto"/>
              </w:rPr>
            </w:pPr>
            <w:r>
              <w:rPr>
                <w:rFonts w:ascii="Arial" w:cs="Arial" w:eastAsia="Arial" w:hAnsi="Arial"/>
                <w:sz w:val="14"/>
                <w:szCs w:val="14"/>
                <w:color w:val="auto"/>
              </w:rPr>
              <w:t>1,113</w:t>
            </w:r>
          </w:p>
        </w:tc>
        <w:tc>
          <w:tcPr>
            <w:tcW w:w="580" w:type="dxa"/>
            <w:vAlign w:val="bottom"/>
            <w:tcBorders>
              <w:right w:val="single" w:sz="8" w:color="auto"/>
            </w:tcBorders>
          </w:tcPr>
          <w:p>
            <w:pPr>
              <w:jc w:val="right"/>
              <w:ind w:right="188"/>
              <w:spacing w:after="0"/>
              <w:rPr>
                <w:sz w:val="20"/>
                <w:szCs w:val="20"/>
                <w:color w:val="auto"/>
              </w:rPr>
            </w:pPr>
            <w:r>
              <w:rPr>
                <w:rFonts w:ascii="Arial" w:cs="Arial" w:eastAsia="Arial" w:hAnsi="Arial"/>
                <w:sz w:val="14"/>
                <w:szCs w:val="14"/>
                <w:color w:val="auto"/>
              </w:rPr>
              <w:t>100</w:t>
            </w:r>
          </w:p>
        </w:tc>
        <w:tc>
          <w:tcPr>
            <w:tcW w:w="460" w:type="dxa"/>
            <w:vAlign w:val="bottom"/>
          </w:tcPr>
          <w:p>
            <w:pPr>
              <w:spacing w:after="0"/>
              <w:rPr>
                <w:sz w:val="17"/>
                <w:szCs w:val="17"/>
                <w:color w:val="auto"/>
              </w:rPr>
            </w:pPr>
          </w:p>
        </w:tc>
        <w:tc>
          <w:tcPr>
            <w:tcW w:w="720" w:type="dxa"/>
            <w:vAlign w:val="bottom"/>
          </w:tcPr>
          <w:p>
            <w:pPr>
              <w:jc w:val="right"/>
              <w:ind w:right="209"/>
              <w:spacing w:after="0"/>
              <w:rPr>
                <w:sz w:val="20"/>
                <w:szCs w:val="20"/>
                <w:color w:val="auto"/>
              </w:rPr>
            </w:pPr>
            <w:r>
              <w:rPr>
                <w:rFonts w:ascii="Arial" w:cs="Arial" w:eastAsia="Arial" w:hAnsi="Arial"/>
                <w:sz w:val="14"/>
                <w:szCs w:val="14"/>
                <w:color w:val="auto"/>
              </w:rPr>
              <w:t>1,125</w:t>
            </w:r>
          </w:p>
        </w:tc>
        <w:tc>
          <w:tcPr>
            <w:tcW w:w="580" w:type="dxa"/>
            <w:vAlign w:val="bottom"/>
            <w:tcBorders>
              <w:right w:val="single" w:sz="8" w:color="auto"/>
            </w:tcBorders>
          </w:tcPr>
          <w:p>
            <w:pPr>
              <w:jc w:val="right"/>
              <w:ind w:right="188"/>
              <w:spacing w:after="0"/>
              <w:rPr>
                <w:sz w:val="20"/>
                <w:szCs w:val="20"/>
                <w:color w:val="auto"/>
              </w:rPr>
            </w:pPr>
            <w:r>
              <w:rPr>
                <w:rFonts w:ascii="Arial" w:cs="Arial" w:eastAsia="Arial" w:hAnsi="Arial"/>
                <w:sz w:val="14"/>
                <w:szCs w:val="14"/>
                <w:color w:val="auto"/>
              </w:rPr>
              <w:t>102</w:t>
            </w:r>
          </w:p>
        </w:tc>
        <w:tc>
          <w:tcPr>
            <w:tcW w:w="440" w:type="dxa"/>
            <w:vAlign w:val="bottom"/>
          </w:tcPr>
          <w:p>
            <w:pPr>
              <w:spacing w:after="0"/>
              <w:rPr>
                <w:sz w:val="17"/>
                <w:szCs w:val="17"/>
                <w:color w:val="auto"/>
              </w:rPr>
            </w:pPr>
          </w:p>
        </w:tc>
        <w:tc>
          <w:tcPr>
            <w:tcW w:w="720" w:type="dxa"/>
            <w:vAlign w:val="bottom"/>
          </w:tcPr>
          <w:p>
            <w:pPr>
              <w:jc w:val="right"/>
              <w:ind w:right="249"/>
              <w:spacing w:after="0"/>
              <w:rPr>
                <w:sz w:val="20"/>
                <w:szCs w:val="20"/>
                <w:color w:val="auto"/>
              </w:rPr>
            </w:pPr>
            <w:r>
              <w:rPr>
                <w:rFonts w:ascii="Arial" w:cs="Arial" w:eastAsia="Arial" w:hAnsi="Arial"/>
                <w:sz w:val="14"/>
                <w:szCs w:val="14"/>
                <w:color w:val="auto"/>
              </w:rPr>
              <w:t>1,091</w:t>
            </w:r>
          </w:p>
        </w:tc>
        <w:tc>
          <w:tcPr>
            <w:tcW w:w="540" w:type="dxa"/>
            <w:vAlign w:val="bottom"/>
          </w:tcPr>
          <w:p>
            <w:pPr>
              <w:jc w:val="right"/>
              <w:ind w:right="148"/>
              <w:spacing w:after="0"/>
              <w:rPr>
                <w:sz w:val="20"/>
                <w:szCs w:val="20"/>
                <w:color w:val="auto"/>
              </w:rPr>
            </w:pPr>
            <w:r>
              <w:rPr>
                <w:rFonts w:ascii="Arial" w:cs="Arial" w:eastAsia="Arial" w:hAnsi="Arial"/>
                <w:sz w:val="14"/>
                <w:szCs w:val="14"/>
                <w:color w:val="auto"/>
              </w:rPr>
              <w:t>78</w:t>
            </w:r>
          </w:p>
        </w:tc>
      </w:tr>
      <w:tr>
        <w:trPr>
          <w:trHeight w:val="222"/>
        </w:trPr>
        <w:tc>
          <w:tcPr>
            <w:tcW w:w="2860" w:type="dxa"/>
            <w:vAlign w:val="bottom"/>
          </w:tcPr>
          <w:p>
            <w:pPr>
              <w:spacing w:after="0"/>
              <w:rPr>
                <w:sz w:val="20"/>
                <w:szCs w:val="20"/>
                <w:color w:val="auto"/>
              </w:rPr>
            </w:pPr>
            <w:r>
              <w:rPr>
                <w:rFonts w:ascii="Arial" w:cs="Arial" w:eastAsia="Arial" w:hAnsi="Arial"/>
                <w:sz w:val="14"/>
                <w:szCs w:val="14"/>
                <w:color w:val="auto"/>
              </w:rPr>
              <w:t>Discontinued operations, net of income tax</w:t>
            </w:r>
          </w:p>
        </w:tc>
        <w:tc>
          <w:tcPr>
            <w:tcW w:w="2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209"/>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auto"/>
              <w:right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4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29"/>
              <w:spacing w:after="0"/>
              <w:rPr>
                <w:sz w:val="20"/>
                <w:szCs w:val="20"/>
                <w:color w:val="auto"/>
              </w:rPr>
            </w:pPr>
            <w:r>
              <w:rPr>
                <w:rFonts w:ascii="Arial" w:cs="Arial" w:eastAsia="Arial" w:hAnsi="Arial"/>
                <w:sz w:val="14"/>
                <w:szCs w:val="14"/>
                <w:color w:val="auto"/>
              </w:rPr>
              <w:t>(26 )</w:t>
            </w:r>
          </w:p>
        </w:tc>
        <w:tc>
          <w:tcPr>
            <w:tcW w:w="580" w:type="dxa"/>
            <w:vAlign w:val="bottom"/>
            <w:tcBorders>
              <w:bottom w:val="single" w:sz="8" w:color="auto"/>
              <w:right w:val="single" w:sz="8" w:color="auto"/>
            </w:tcBorders>
          </w:tcPr>
          <w:p>
            <w:pPr>
              <w:jc w:val="right"/>
              <w:ind w:right="108"/>
              <w:spacing w:after="0"/>
              <w:rPr>
                <w:sz w:val="20"/>
                <w:szCs w:val="20"/>
                <w:color w:val="auto"/>
              </w:rPr>
            </w:pPr>
            <w:r>
              <w:rPr>
                <w:rFonts w:ascii="Arial" w:cs="Arial" w:eastAsia="Arial" w:hAnsi="Arial"/>
                <w:sz w:val="14"/>
                <w:szCs w:val="14"/>
                <w:color w:val="auto"/>
              </w:rPr>
              <w:t>(2 )</w:t>
            </w:r>
          </w:p>
        </w:tc>
        <w:tc>
          <w:tcPr>
            <w:tcW w:w="4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249"/>
              <w:spacing w:after="0"/>
              <w:rPr>
                <w:sz w:val="20"/>
                <w:szCs w:val="20"/>
                <w:color w:val="auto"/>
              </w:rPr>
            </w:pPr>
            <w:r>
              <w:rPr>
                <w:rFonts w:ascii="Arial" w:cs="Arial" w:eastAsia="Arial" w:hAnsi="Arial"/>
                <w:sz w:val="14"/>
                <w:szCs w:val="14"/>
                <w:color w:val="auto"/>
              </w:rPr>
              <w:t>315</w:t>
            </w:r>
          </w:p>
        </w:tc>
        <w:tc>
          <w:tcPr>
            <w:tcW w:w="54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22</w:t>
            </w:r>
          </w:p>
        </w:tc>
      </w:tr>
      <w:tr>
        <w:trPr>
          <w:trHeight w:val="224"/>
        </w:trPr>
        <w:tc>
          <w:tcPr>
            <w:tcW w:w="28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Consolidated net income</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ind w:right="209"/>
              <w:spacing w:after="0"/>
              <w:rPr>
                <w:sz w:val="20"/>
                <w:szCs w:val="20"/>
                <w:color w:val="auto"/>
              </w:rPr>
            </w:pPr>
            <w:r>
              <w:rPr>
                <w:rFonts w:ascii="Arial" w:cs="Arial" w:eastAsia="Arial" w:hAnsi="Arial"/>
                <w:sz w:val="14"/>
                <w:szCs w:val="14"/>
                <w:color w:val="auto"/>
              </w:rPr>
              <w:t>1,113</w:t>
            </w:r>
          </w:p>
        </w:tc>
        <w:tc>
          <w:tcPr>
            <w:tcW w:w="580" w:type="dxa"/>
            <w:vAlign w:val="bottom"/>
            <w:tcBorders>
              <w:bottom w:val="single" w:sz="8" w:color="auto"/>
              <w:right w:val="single" w:sz="8" w:color="auto"/>
            </w:tcBorders>
          </w:tcPr>
          <w:p>
            <w:pPr>
              <w:jc w:val="right"/>
              <w:ind w:right="28"/>
              <w:spacing w:after="0"/>
              <w:rPr>
                <w:sz w:val="20"/>
                <w:szCs w:val="20"/>
                <w:color w:val="auto"/>
              </w:rPr>
            </w:pPr>
            <w:r>
              <w:rPr>
                <w:rFonts w:ascii="Arial" w:cs="Arial" w:eastAsia="Arial" w:hAnsi="Arial"/>
                <w:sz w:val="14"/>
                <w:szCs w:val="14"/>
                <w:color w:val="auto"/>
              </w:rPr>
              <w:t>100 %</w:t>
            </w:r>
          </w:p>
        </w:tc>
        <w:tc>
          <w:tcPr>
            <w:tcW w:w="46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ind w:right="209"/>
              <w:spacing w:after="0"/>
              <w:rPr>
                <w:sz w:val="20"/>
                <w:szCs w:val="20"/>
                <w:color w:val="auto"/>
              </w:rPr>
            </w:pPr>
            <w:r>
              <w:rPr>
                <w:rFonts w:ascii="Arial" w:cs="Arial" w:eastAsia="Arial" w:hAnsi="Arial"/>
                <w:sz w:val="14"/>
                <w:szCs w:val="14"/>
                <w:color w:val="auto"/>
              </w:rPr>
              <w:t>1,099</w:t>
            </w:r>
          </w:p>
        </w:tc>
        <w:tc>
          <w:tcPr>
            <w:tcW w:w="580" w:type="dxa"/>
            <w:vAlign w:val="bottom"/>
            <w:tcBorders>
              <w:bottom w:val="single" w:sz="8" w:color="auto"/>
              <w:right w:val="single" w:sz="8" w:color="auto"/>
            </w:tcBorders>
          </w:tcPr>
          <w:p>
            <w:pPr>
              <w:jc w:val="right"/>
              <w:ind w:right="28"/>
              <w:spacing w:after="0"/>
              <w:rPr>
                <w:sz w:val="20"/>
                <w:szCs w:val="20"/>
                <w:color w:val="auto"/>
              </w:rPr>
            </w:pPr>
            <w:r>
              <w:rPr>
                <w:rFonts w:ascii="Arial" w:cs="Arial" w:eastAsia="Arial" w:hAnsi="Arial"/>
                <w:sz w:val="14"/>
                <w:szCs w:val="14"/>
                <w:color w:val="auto"/>
              </w:rPr>
              <w:t>100 %</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ind w:right="249"/>
              <w:spacing w:after="0"/>
              <w:rPr>
                <w:sz w:val="20"/>
                <w:szCs w:val="20"/>
                <w:color w:val="auto"/>
              </w:rPr>
            </w:pPr>
            <w:r>
              <w:rPr>
                <w:rFonts w:ascii="Arial" w:cs="Arial" w:eastAsia="Arial" w:hAnsi="Arial"/>
                <w:sz w:val="14"/>
                <w:szCs w:val="14"/>
                <w:color w:val="auto"/>
              </w:rPr>
              <w:t>1,406</w:t>
            </w:r>
          </w:p>
        </w:tc>
        <w:tc>
          <w:tcPr>
            <w:tcW w:w="5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100 %</w:t>
            </w:r>
          </w:p>
        </w:tc>
      </w:tr>
    </w:tbl>
    <w:p>
      <w:pPr>
        <w:spacing w:after="0" w:line="16" w:lineRule="exact"/>
        <w:rPr>
          <w:sz w:val="20"/>
          <w:szCs w:val="20"/>
          <w:color w:val="auto"/>
        </w:rPr>
      </w:pPr>
    </w:p>
    <w:p>
      <w:pPr>
        <w:ind w:left="2160" w:hanging="380"/>
        <w:spacing w:after="0"/>
        <w:tabs>
          <w:tab w:leader="none" w:pos="2160" w:val="left"/>
        </w:tabs>
        <w:numPr>
          <w:ilvl w:val="0"/>
          <w:numId w:val="214"/>
        </w:numPr>
        <w:rPr>
          <w:rFonts w:ascii="Arial" w:cs="Arial" w:eastAsia="Arial" w:hAnsi="Arial"/>
          <w:sz w:val="13"/>
          <w:szCs w:val="13"/>
          <w:i w:val="1"/>
          <w:iCs w:val="1"/>
          <w:color w:val="auto"/>
        </w:rPr>
      </w:pPr>
      <w:r>
        <w:rPr>
          <w:rFonts w:ascii="Arial" w:cs="Arial" w:eastAsia="Arial" w:hAnsi="Arial"/>
          <w:sz w:val="13"/>
          <w:szCs w:val="13"/>
          <w:i w:val="1"/>
          <w:iCs w:val="1"/>
          <w:color w:val="auto"/>
        </w:rPr>
        <w:t>After preferred dividends.</w:t>
      </w:r>
    </w:p>
    <w:p>
      <w:pPr>
        <w:spacing w:after="0" w:line="43" w:lineRule="exact"/>
        <w:rPr>
          <w:sz w:val="20"/>
          <w:szCs w:val="20"/>
          <w:color w:val="auto"/>
        </w:rPr>
      </w:pPr>
    </w:p>
    <w:p>
      <w:pPr>
        <w:jc w:val="both"/>
        <w:ind w:left="2160" w:right="759" w:hanging="380"/>
        <w:spacing w:after="0" w:line="263" w:lineRule="auto"/>
        <w:tabs>
          <w:tab w:leader="none" w:pos="2160" w:val="left"/>
        </w:tabs>
        <w:numPr>
          <w:ilvl w:val="0"/>
          <w:numId w:val="215"/>
        </w:numPr>
        <w:rPr>
          <w:rFonts w:ascii="Arial" w:cs="Arial" w:eastAsia="Arial" w:hAnsi="Arial"/>
          <w:sz w:val="13"/>
          <w:szCs w:val="13"/>
          <w:i w:val="1"/>
          <w:iCs w:val="1"/>
          <w:color w:val="auto"/>
        </w:rPr>
      </w:pPr>
      <w:r>
        <w:rPr>
          <w:rFonts w:ascii="Arial" w:cs="Arial" w:eastAsia="Arial" w:hAnsi="Arial"/>
          <w:sz w:val="13"/>
          <w:szCs w:val="13"/>
          <w:i w:val="1"/>
          <w:iCs w:val="1"/>
          <w:color w:val="auto"/>
        </w:rPr>
        <w:t>Includes our portion of RBS Sempra Commodities' joint venture earnings since the formation of the joint venture on April 1, 2008, and 100% of the commodities-marketing businesses prior to April 1, 2008. Also includes the operating results of Sempra Rockies Marketing, as well as interest, income taxes, cost allocations and other items associated with the joint venture.</w:t>
      </w:r>
    </w:p>
    <w:p>
      <w:pPr>
        <w:spacing w:after="0" w:line="13" w:lineRule="exact"/>
        <w:rPr>
          <w:rFonts w:ascii="Arial" w:cs="Arial" w:eastAsia="Arial" w:hAnsi="Arial"/>
          <w:sz w:val="13"/>
          <w:szCs w:val="13"/>
          <w:i w:val="1"/>
          <w:iCs w:val="1"/>
          <w:color w:val="auto"/>
        </w:rPr>
      </w:pPr>
    </w:p>
    <w:p>
      <w:pPr>
        <w:ind w:left="2160" w:right="799" w:hanging="380"/>
        <w:spacing w:after="0" w:line="277" w:lineRule="auto"/>
        <w:tabs>
          <w:tab w:leader="none" w:pos="2160" w:val="left"/>
        </w:tabs>
        <w:numPr>
          <w:ilvl w:val="0"/>
          <w:numId w:val="216"/>
        </w:numPr>
        <w:rPr>
          <w:rFonts w:ascii="Arial" w:cs="Arial" w:eastAsia="Arial" w:hAnsi="Arial"/>
          <w:sz w:val="13"/>
          <w:szCs w:val="13"/>
          <w:i w:val="1"/>
          <w:iCs w:val="1"/>
          <w:color w:val="auto"/>
        </w:rPr>
      </w:pPr>
      <w:r>
        <w:rPr>
          <w:rFonts w:ascii="Arial" w:cs="Arial" w:eastAsia="Arial" w:hAnsi="Arial"/>
          <w:sz w:val="13"/>
          <w:szCs w:val="13"/>
          <w:i w:val="1"/>
          <w:iCs w:val="1"/>
          <w:color w:val="auto"/>
        </w:rPr>
        <w:t>Includes after-tax interest expense ($85 million in 2008, $82 million in 2007 and $101 million in 2006), intercompany eliminations recorded in consolidation and certain corporate costs incurred at Sempra Global.</w:t>
      </w:r>
    </w:p>
    <w:p>
      <w:pPr>
        <w:spacing w:after="0" w:line="24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BUSINESS UNIT RESULTS</w:t>
      </w:r>
    </w:p>
    <w:p>
      <w:pPr>
        <w:spacing w:after="0" w:line="89" w:lineRule="exact"/>
        <w:rPr>
          <w:sz w:val="20"/>
          <w:szCs w:val="20"/>
          <w:color w:val="auto"/>
        </w:rPr>
      </w:pPr>
    </w:p>
    <w:p>
      <w:pPr>
        <w:spacing w:after="0"/>
        <w:rPr>
          <w:sz w:val="20"/>
          <w:szCs w:val="20"/>
          <w:color w:val="auto"/>
        </w:rPr>
      </w:pPr>
      <w:r>
        <w:rPr>
          <w:rFonts w:ascii="Arial" w:cs="Arial" w:eastAsia="Arial" w:hAnsi="Arial"/>
          <w:sz w:val="16"/>
          <w:szCs w:val="16"/>
          <w:color w:val="auto"/>
        </w:rPr>
        <w:t>The following section is a discussion of net income by Sempra Energy business unit, as it appears in the table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1240790</wp:posOffset>
            </wp:positionH>
            <wp:positionV relativeFrom="paragraph">
              <wp:posOffset>165735</wp:posOffset>
            </wp:positionV>
            <wp:extent cx="4782820" cy="24384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4782820" cy="243840"/>
                    </a:xfrm>
                    <a:prstGeom prst="rect">
                      <a:avLst/>
                    </a:prstGeom>
                    <a:noFill/>
                  </pic:spPr>
                </pic:pic>
              </a:graphicData>
            </a:graphic>
          </wp:anchor>
        </w:drawing>
      </w:r>
    </w:p>
    <w:p>
      <w:pPr>
        <w:spacing w:after="0" w:line="249" w:lineRule="exact"/>
        <w:rPr>
          <w:sz w:val="20"/>
          <w:szCs w:val="20"/>
          <w:color w:val="auto"/>
        </w:rPr>
      </w:pPr>
    </w:p>
    <w:p>
      <w:pPr>
        <w:ind w:left="1960"/>
        <w:spacing w:after="0"/>
        <w:rPr>
          <w:sz w:val="20"/>
          <w:szCs w:val="20"/>
          <w:color w:val="auto"/>
        </w:rPr>
      </w:pPr>
      <w:r>
        <w:rPr>
          <w:rFonts w:ascii="Arial" w:cs="Arial" w:eastAsia="Arial" w:hAnsi="Arial"/>
          <w:sz w:val="14"/>
          <w:szCs w:val="14"/>
          <w:b w:val="1"/>
          <w:bCs w:val="1"/>
          <w:color w:val="auto"/>
        </w:rPr>
        <w:t>NET INCOME BY BUSINESS UNIT – SEMPRA UTILITIES</w:t>
      </w:r>
    </w:p>
    <w:p>
      <w:pPr>
        <w:spacing w:after="0" w:line="40" w:lineRule="exact"/>
        <w:rPr>
          <w:sz w:val="20"/>
          <w:szCs w:val="20"/>
          <w:color w:val="auto"/>
        </w:rPr>
      </w:pPr>
    </w:p>
    <w:p>
      <w:pPr>
        <w:ind w:left="1960"/>
        <w:spacing w:after="0"/>
        <w:rPr>
          <w:sz w:val="20"/>
          <w:szCs w:val="20"/>
          <w:color w:val="auto"/>
        </w:rPr>
      </w:pPr>
      <w:r>
        <w:rPr>
          <w:rFonts w:ascii="Arial" w:cs="Arial" w:eastAsia="Arial" w:hAnsi="Arial"/>
          <w:sz w:val="13"/>
          <w:szCs w:val="13"/>
          <w:i w:val="1"/>
          <w:iCs w:val="1"/>
          <w:color w:val="auto"/>
        </w:rPr>
        <w:t>(Dollars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1042670</wp:posOffset>
            </wp:positionH>
            <wp:positionV relativeFrom="paragraph">
              <wp:posOffset>108585</wp:posOffset>
            </wp:positionV>
            <wp:extent cx="5179060" cy="195262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179060" cy="1952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14"/>
          <w:szCs w:val="14"/>
          <w:color w:val="auto"/>
        </w:rPr>
        <w:t>10</w:t>
      </w:r>
    </w:p>
    <w:p>
      <w:pPr>
        <w:sectPr>
          <w:pgSz w:w="11900" w:h="16838" w:orient="portrait"/>
          <w:cols w:equalWidth="0" w:num="1">
            <w:col w:w="10219"/>
          </w:cols>
          <w:pgMar w:left="240" w:top="127" w:right="1440" w:bottom="1440" w:gutter="0" w:footer="0" w:header="0"/>
        </w:sectPr>
      </w:pPr>
    </w:p>
    <w:bookmarkStart w:id="150" w:name="page151"/>
    <w:bookmarkEnd w:id="150"/>
    <w:p>
      <w:pPr>
        <w:ind w:left="4"/>
        <w:spacing w:after="0"/>
        <w:rPr>
          <w:sz w:val="20"/>
          <w:szCs w:val="20"/>
          <w:color w:val="auto"/>
        </w:rPr>
      </w:pPr>
      <w:r>
        <w:rPr>
          <w:rFonts w:ascii="Arial" w:cs="Arial" w:eastAsia="Arial" w:hAnsi="Arial"/>
          <w:sz w:val="18"/>
          <w:szCs w:val="18"/>
          <w:b w:val="1"/>
          <w:bCs w:val="1"/>
          <w:i w:val="1"/>
          <w:iCs w:val="1"/>
          <w:color w:val="auto"/>
        </w:rPr>
        <w:t>SDG&amp;E</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6"/>
          <w:szCs w:val="16"/>
          <w:color w:val="auto"/>
        </w:rPr>
        <w:t>Our SDG&amp;E business unit recorded net income of:</w:t>
      </w:r>
    </w:p>
    <w:p>
      <w:pPr>
        <w:spacing w:after="0" w:line="44" w:lineRule="exact"/>
        <w:rPr>
          <w:sz w:val="20"/>
          <w:szCs w:val="20"/>
          <w:color w:val="auto"/>
        </w:rPr>
      </w:pPr>
    </w:p>
    <w:p>
      <w:pPr>
        <w:ind w:left="144" w:hanging="144"/>
        <w:spacing w:after="0"/>
        <w:tabs>
          <w:tab w:leader="none" w:pos="144" w:val="left"/>
        </w:tabs>
        <w:numPr>
          <w:ilvl w:val="0"/>
          <w:numId w:val="217"/>
        </w:numPr>
        <w:rPr>
          <w:rFonts w:ascii="Arial" w:cs="Arial" w:eastAsia="Arial" w:hAnsi="Arial"/>
          <w:sz w:val="16"/>
          <w:szCs w:val="16"/>
          <w:color w:val="auto"/>
        </w:rPr>
      </w:pPr>
      <w:r>
        <w:rPr>
          <w:rFonts w:ascii="Arial" w:cs="Arial" w:eastAsia="Arial" w:hAnsi="Arial"/>
          <w:sz w:val="16"/>
          <w:szCs w:val="16"/>
          <w:color w:val="auto"/>
        </w:rPr>
        <w:t>$339 million in 2008 ($344 million before preferred dividends)</w:t>
      </w:r>
    </w:p>
    <w:p>
      <w:pPr>
        <w:spacing w:after="0" w:line="44" w:lineRule="exact"/>
        <w:rPr>
          <w:rFonts w:ascii="Arial" w:cs="Arial" w:eastAsia="Arial" w:hAnsi="Arial"/>
          <w:sz w:val="16"/>
          <w:szCs w:val="16"/>
          <w:color w:val="auto"/>
        </w:rPr>
      </w:pPr>
    </w:p>
    <w:p>
      <w:pPr>
        <w:ind w:left="144" w:hanging="144"/>
        <w:spacing w:after="0"/>
        <w:tabs>
          <w:tab w:leader="none" w:pos="144" w:val="left"/>
        </w:tabs>
        <w:numPr>
          <w:ilvl w:val="0"/>
          <w:numId w:val="217"/>
        </w:numPr>
        <w:rPr>
          <w:rFonts w:ascii="Arial" w:cs="Arial" w:eastAsia="Arial" w:hAnsi="Arial"/>
          <w:sz w:val="16"/>
          <w:szCs w:val="16"/>
          <w:color w:val="auto"/>
        </w:rPr>
      </w:pPr>
      <w:r>
        <w:rPr>
          <w:rFonts w:ascii="Arial" w:cs="Arial" w:eastAsia="Arial" w:hAnsi="Arial"/>
          <w:sz w:val="16"/>
          <w:szCs w:val="16"/>
          <w:color w:val="auto"/>
        </w:rPr>
        <w:t>$283 million in 2007 ($288 million before preferred dividends)</w:t>
      </w:r>
    </w:p>
    <w:p>
      <w:pPr>
        <w:spacing w:after="0" w:line="44" w:lineRule="exact"/>
        <w:rPr>
          <w:rFonts w:ascii="Arial" w:cs="Arial" w:eastAsia="Arial" w:hAnsi="Arial"/>
          <w:sz w:val="16"/>
          <w:szCs w:val="16"/>
          <w:color w:val="auto"/>
        </w:rPr>
      </w:pPr>
    </w:p>
    <w:p>
      <w:pPr>
        <w:ind w:left="144" w:hanging="144"/>
        <w:spacing w:after="0"/>
        <w:tabs>
          <w:tab w:leader="none" w:pos="144" w:val="left"/>
        </w:tabs>
        <w:numPr>
          <w:ilvl w:val="0"/>
          <w:numId w:val="217"/>
        </w:numPr>
        <w:rPr>
          <w:rFonts w:ascii="Arial" w:cs="Arial" w:eastAsia="Arial" w:hAnsi="Arial"/>
          <w:sz w:val="16"/>
          <w:szCs w:val="16"/>
          <w:color w:val="auto"/>
        </w:rPr>
      </w:pPr>
      <w:r>
        <w:rPr>
          <w:rFonts w:ascii="Arial" w:cs="Arial" w:eastAsia="Arial" w:hAnsi="Arial"/>
          <w:sz w:val="16"/>
          <w:szCs w:val="16"/>
          <w:color w:val="auto"/>
        </w:rPr>
        <w:t>$237 million in 2006 ($242 million before preferred dividends)</w:t>
      </w:r>
    </w:p>
    <w:p>
      <w:pPr>
        <w:spacing w:after="0" w:line="128" w:lineRule="exact"/>
        <w:rPr>
          <w:sz w:val="20"/>
          <w:szCs w:val="20"/>
          <w:color w:val="auto"/>
        </w:rPr>
      </w:pPr>
    </w:p>
    <w:p>
      <w:pPr>
        <w:ind w:left="4"/>
        <w:spacing w:after="0"/>
        <w:rPr>
          <w:sz w:val="20"/>
          <w:szCs w:val="20"/>
          <w:color w:val="auto"/>
        </w:rPr>
      </w:pPr>
      <w:r>
        <w:rPr>
          <w:rFonts w:ascii="Arial" w:cs="Arial" w:eastAsia="Arial" w:hAnsi="Arial"/>
          <w:sz w:val="16"/>
          <w:szCs w:val="16"/>
          <w:color w:val="auto"/>
        </w:rPr>
        <w:t>In 2008, the increase of $56 million (20%) was due to</w:t>
      </w:r>
    </w:p>
    <w:p>
      <w:pPr>
        <w:spacing w:after="0" w:line="44" w:lineRule="exact"/>
        <w:rPr>
          <w:sz w:val="20"/>
          <w:szCs w:val="20"/>
          <w:color w:val="auto"/>
        </w:rPr>
      </w:pPr>
    </w:p>
    <w:p>
      <w:pPr>
        <w:ind w:left="144" w:hanging="144"/>
        <w:spacing w:after="0"/>
        <w:tabs>
          <w:tab w:leader="none" w:pos="144" w:val="left"/>
        </w:tabs>
        <w:numPr>
          <w:ilvl w:val="0"/>
          <w:numId w:val="218"/>
        </w:numPr>
        <w:rPr>
          <w:rFonts w:ascii="Arial" w:cs="Arial" w:eastAsia="Arial" w:hAnsi="Arial"/>
          <w:sz w:val="16"/>
          <w:szCs w:val="16"/>
          <w:color w:val="auto"/>
        </w:rPr>
      </w:pPr>
      <w:r>
        <w:rPr>
          <w:rFonts w:ascii="Arial" w:cs="Arial" w:eastAsia="Arial" w:hAnsi="Arial"/>
          <w:sz w:val="16"/>
          <w:szCs w:val="16"/>
          <w:color w:val="auto"/>
        </w:rPr>
        <w:t>$62 million increased CPUC authorized margin in excess of higher operation and maintenance expenses;</w:t>
      </w:r>
    </w:p>
    <w:p>
      <w:pPr>
        <w:spacing w:after="0" w:line="44" w:lineRule="exact"/>
        <w:rPr>
          <w:rFonts w:ascii="Arial" w:cs="Arial" w:eastAsia="Arial" w:hAnsi="Arial"/>
          <w:sz w:val="16"/>
          <w:szCs w:val="16"/>
          <w:color w:val="auto"/>
        </w:rPr>
      </w:pPr>
    </w:p>
    <w:p>
      <w:pPr>
        <w:ind w:left="144" w:right="119" w:hanging="144"/>
        <w:spacing w:after="0" w:line="274" w:lineRule="auto"/>
        <w:tabs>
          <w:tab w:leader="none" w:pos="144" w:val="left"/>
        </w:tabs>
        <w:numPr>
          <w:ilvl w:val="0"/>
          <w:numId w:val="218"/>
        </w:numPr>
        <w:rPr>
          <w:rFonts w:ascii="Arial" w:cs="Arial" w:eastAsia="Arial" w:hAnsi="Arial"/>
          <w:sz w:val="16"/>
          <w:szCs w:val="16"/>
          <w:color w:val="auto"/>
        </w:rPr>
      </w:pPr>
      <w:r>
        <w:rPr>
          <w:rFonts w:ascii="Arial" w:cs="Arial" w:eastAsia="Arial" w:hAnsi="Arial"/>
          <w:sz w:val="16"/>
          <w:szCs w:val="16"/>
          <w:color w:val="auto"/>
        </w:rPr>
        <w:t>$14 million favorable effect from lower income tax rates on current operating activity in 2008 from an increase in tax deductions, as we discuss in "Income Taxes" below;</w:t>
      </w:r>
    </w:p>
    <w:p>
      <w:pPr>
        <w:ind w:left="144" w:hanging="144"/>
        <w:spacing w:after="0"/>
        <w:tabs>
          <w:tab w:leader="none" w:pos="144" w:val="left"/>
        </w:tabs>
        <w:numPr>
          <w:ilvl w:val="0"/>
          <w:numId w:val="218"/>
        </w:numPr>
        <w:rPr>
          <w:rFonts w:ascii="Arial" w:cs="Arial" w:eastAsia="Arial" w:hAnsi="Arial"/>
          <w:sz w:val="16"/>
          <w:szCs w:val="16"/>
          <w:color w:val="auto"/>
        </w:rPr>
      </w:pPr>
      <w:r>
        <w:rPr>
          <w:rFonts w:ascii="Arial" w:cs="Arial" w:eastAsia="Arial" w:hAnsi="Arial"/>
          <w:sz w:val="16"/>
          <w:szCs w:val="16"/>
          <w:color w:val="auto"/>
        </w:rPr>
        <w:t>$8 million higher regulatory awards in 2008; and</w:t>
      </w:r>
    </w:p>
    <w:p>
      <w:pPr>
        <w:spacing w:after="0" w:line="40" w:lineRule="exact"/>
        <w:rPr>
          <w:rFonts w:ascii="Arial" w:cs="Arial" w:eastAsia="Arial" w:hAnsi="Arial"/>
          <w:sz w:val="16"/>
          <w:szCs w:val="16"/>
          <w:color w:val="auto"/>
        </w:rPr>
      </w:pPr>
    </w:p>
    <w:p>
      <w:pPr>
        <w:ind w:left="144" w:hanging="144"/>
        <w:spacing w:after="0"/>
        <w:tabs>
          <w:tab w:leader="none" w:pos="144" w:val="left"/>
        </w:tabs>
        <w:numPr>
          <w:ilvl w:val="0"/>
          <w:numId w:val="218"/>
        </w:numPr>
        <w:rPr>
          <w:rFonts w:ascii="Arial" w:cs="Arial" w:eastAsia="Arial" w:hAnsi="Arial"/>
          <w:sz w:val="16"/>
          <w:szCs w:val="16"/>
          <w:color w:val="auto"/>
        </w:rPr>
      </w:pPr>
      <w:r>
        <w:rPr>
          <w:rFonts w:ascii="Arial" w:cs="Arial" w:eastAsia="Arial" w:hAnsi="Arial"/>
          <w:sz w:val="16"/>
          <w:szCs w:val="16"/>
          <w:color w:val="auto"/>
        </w:rPr>
        <w:t xml:space="preserve">$6 million higher electric transmission earnings in 2008 due to a higher rate base; </w:t>
      </w:r>
      <w:r>
        <w:rPr>
          <w:rFonts w:ascii="Arial" w:cs="Arial" w:eastAsia="Arial" w:hAnsi="Arial"/>
          <w:sz w:val="16"/>
          <w:szCs w:val="16"/>
          <w:b w:val="1"/>
          <w:bCs w:val="1"/>
          <w:color w:val="auto"/>
        </w:rPr>
        <w:t>offset by</w:t>
      </w:r>
    </w:p>
    <w:p>
      <w:pPr>
        <w:spacing w:after="0" w:line="48" w:lineRule="exact"/>
        <w:rPr>
          <w:rFonts w:ascii="Arial" w:cs="Arial" w:eastAsia="Arial" w:hAnsi="Arial"/>
          <w:sz w:val="16"/>
          <w:szCs w:val="16"/>
          <w:color w:val="auto"/>
        </w:rPr>
      </w:pPr>
    </w:p>
    <w:p>
      <w:pPr>
        <w:ind w:left="144" w:hanging="144"/>
        <w:spacing w:after="0"/>
        <w:tabs>
          <w:tab w:leader="none" w:pos="144" w:val="left"/>
        </w:tabs>
        <w:numPr>
          <w:ilvl w:val="0"/>
          <w:numId w:val="218"/>
        </w:numPr>
        <w:rPr>
          <w:rFonts w:ascii="Arial" w:cs="Arial" w:eastAsia="Arial" w:hAnsi="Arial"/>
          <w:sz w:val="16"/>
          <w:szCs w:val="16"/>
          <w:color w:val="auto"/>
        </w:rPr>
      </w:pPr>
      <w:r>
        <w:rPr>
          <w:rFonts w:ascii="Arial" w:cs="Arial" w:eastAsia="Arial" w:hAnsi="Arial"/>
          <w:sz w:val="16"/>
          <w:szCs w:val="16"/>
          <w:color w:val="auto"/>
        </w:rPr>
        <w:t>$19 million lower favorable resolution of regulatory matters in 2008 ($7 million in 2008 compared to $26 million in 2007); and</w:t>
      </w:r>
    </w:p>
    <w:p>
      <w:pPr>
        <w:spacing w:after="0" w:line="44" w:lineRule="exact"/>
        <w:rPr>
          <w:rFonts w:ascii="Arial" w:cs="Arial" w:eastAsia="Arial" w:hAnsi="Arial"/>
          <w:sz w:val="16"/>
          <w:szCs w:val="16"/>
          <w:color w:val="auto"/>
        </w:rPr>
      </w:pPr>
    </w:p>
    <w:p>
      <w:pPr>
        <w:ind w:left="144" w:hanging="144"/>
        <w:spacing w:after="0"/>
        <w:tabs>
          <w:tab w:leader="none" w:pos="144" w:val="left"/>
        </w:tabs>
        <w:numPr>
          <w:ilvl w:val="0"/>
          <w:numId w:val="218"/>
        </w:numPr>
        <w:rPr>
          <w:rFonts w:ascii="Arial" w:cs="Arial" w:eastAsia="Arial" w:hAnsi="Arial"/>
          <w:sz w:val="16"/>
          <w:szCs w:val="16"/>
          <w:color w:val="auto"/>
        </w:rPr>
      </w:pPr>
      <w:r>
        <w:rPr>
          <w:rFonts w:ascii="Arial" w:cs="Arial" w:eastAsia="Arial" w:hAnsi="Arial"/>
          <w:sz w:val="16"/>
          <w:szCs w:val="16"/>
          <w:color w:val="auto"/>
        </w:rPr>
        <w:t>$18 million due to higher litigation expenses in 2008 ($25 million in 2008 compared to $7 million in 2007).</w:t>
      </w:r>
    </w:p>
    <w:p>
      <w:pPr>
        <w:spacing w:after="0" w:line="128" w:lineRule="exact"/>
        <w:rPr>
          <w:sz w:val="20"/>
          <w:szCs w:val="20"/>
          <w:color w:val="auto"/>
        </w:rPr>
      </w:pPr>
    </w:p>
    <w:p>
      <w:pPr>
        <w:ind w:left="4"/>
        <w:spacing w:after="0"/>
        <w:rPr>
          <w:sz w:val="20"/>
          <w:szCs w:val="20"/>
          <w:color w:val="auto"/>
        </w:rPr>
      </w:pPr>
      <w:r>
        <w:rPr>
          <w:rFonts w:ascii="Arial" w:cs="Arial" w:eastAsia="Arial" w:hAnsi="Arial"/>
          <w:sz w:val="16"/>
          <w:szCs w:val="16"/>
          <w:color w:val="auto"/>
        </w:rPr>
        <w:t>The increase in 2007 of $46 million (19%) was due to</w:t>
      </w:r>
    </w:p>
    <w:p>
      <w:pPr>
        <w:spacing w:after="0" w:line="44" w:lineRule="exact"/>
        <w:rPr>
          <w:sz w:val="20"/>
          <w:szCs w:val="20"/>
          <w:color w:val="auto"/>
        </w:rPr>
      </w:pPr>
    </w:p>
    <w:p>
      <w:pPr>
        <w:ind w:left="144" w:hanging="144"/>
        <w:spacing w:after="0"/>
        <w:tabs>
          <w:tab w:leader="none" w:pos="144" w:val="left"/>
        </w:tabs>
        <w:numPr>
          <w:ilvl w:val="0"/>
          <w:numId w:val="219"/>
        </w:numPr>
        <w:rPr>
          <w:rFonts w:ascii="Arial" w:cs="Arial" w:eastAsia="Arial" w:hAnsi="Arial"/>
          <w:sz w:val="16"/>
          <w:szCs w:val="16"/>
          <w:color w:val="auto"/>
        </w:rPr>
      </w:pPr>
      <w:r>
        <w:rPr>
          <w:rFonts w:ascii="Arial" w:cs="Arial" w:eastAsia="Arial" w:hAnsi="Arial"/>
          <w:sz w:val="16"/>
          <w:szCs w:val="16"/>
          <w:color w:val="auto"/>
        </w:rPr>
        <w:t>$15 million higher electric transmission earnings due to a higher rate base;</w:t>
      </w:r>
    </w:p>
    <w:p>
      <w:pPr>
        <w:spacing w:after="0" w:line="44" w:lineRule="exact"/>
        <w:rPr>
          <w:rFonts w:ascii="Arial" w:cs="Arial" w:eastAsia="Arial" w:hAnsi="Arial"/>
          <w:sz w:val="16"/>
          <w:szCs w:val="16"/>
          <w:color w:val="auto"/>
        </w:rPr>
      </w:pPr>
    </w:p>
    <w:p>
      <w:pPr>
        <w:ind w:left="144" w:hanging="144"/>
        <w:spacing w:after="0"/>
        <w:tabs>
          <w:tab w:leader="none" w:pos="144" w:val="left"/>
        </w:tabs>
        <w:numPr>
          <w:ilvl w:val="0"/>
          <w:numId w:val="219"/>
        </w:numPr>
        <w:rPr>
          <w:rFonts w:ascii="Arial" w:cs="Arial" w:eastAsia="Arial" w:hAnsi="Arial"/>
          <w:sz w:val="16"/>
          <w:szCs w:val="16"/>
          <w:color w:val="auto"/>
        </w:rPr>
      </w:pPr>
      <w:r>
        <w:rPr>
          <w:rFonts w:ascii="Arial" w:cs="Arial" w:eastAsia="Arial" w:hAnsi="Arial"/>
          <w:sz w:val="16"/>
          <w:szCs w:val="16"/>
          <w:color w:val="auto"/>
        </w:rPr>
        <w:t>$7 million due to the Palomar electric generation facility operating for twelve months in 2007 as compared to nine months in 2006;</w:t>
      </w:r>
    </w:p>
    <w:p>
      <w:pPr>
        <w:spacing w:after="0" w:line="44" w:lineRule="exact"/>
        <w:rPr>
          <w:rFonts w:ascii="Arial" w:cs="Arial" w:eastAsia="Arial" w:hAnsi="Arial"/>
          <w:sz w:val="16"/>
          <w:szCs w:val="16"/>
          <w:color w:val="auto"/>
        </w:rPr>
      </w:pPr>
    </w:p>
    <w:p>
      <w:pPr>
        <w:ind w:left="144" w:hanging="144"/>
        <w:spacing w:after="0"/>
        <w:tabs>
          <w:tab w:leader="none" w:pos="144" w:val="left"/>
        </w:tabs>
        <w:numPr>
          <w:ilvl w:val="0"/>
          <w:numId w:val="219"/>
        </w:numPr>
        <w:rPr>
          <w:rFonts w:ascii="Arial" w:cs="Arial" w:eastAsia="Arial" w:hAnsi="Arial"/>
          <w:sz w:val="16"/>
          <w:szCs w:val="16"/>
          <w:color w:val="auto"/>
        </w:rPr>
      </w:pPr>
      <w:r>
        <w:rPr>
          <w:rFonts w:ascii="Arial" w:cs="Arial" w:eastAsia="Arial" w:hAnsi="Arial"/>
          <w:sz w:val="16"/>
          <w:szCs w:val="16"/>
          <w:color w:val="auto"/>
        </w:rPr>
        <w:t>$18 million higher favorable resolution of prior years' income tax issues in 2007; and</w:t>
      </w:r>
    </w:p>
    <w:p>
      <w:pPr>
        <w:spacing w:after="0" w:line="44" w:lineRule="exact"/>
        <w:rPr>
          <w:rFonts w:ascii="Arial" w:cs="Arial" w:eastAsia="Arial" w:hAnsi="Arial"/>
          <w:sz w:val="16"/>
          <w:szCs w:val="16"/>
          <w:color w:val="auto"/>
        </w:rPr>
      </w:pPr>
    </w:p>
    <w:p>
      <w:pPr>
        <w:ind w:left="144" w:hanging="144"/>
        <w:spacing w:after="0"/>
        <w:tabs>
          <w:tab w:leader="none" w:pos="144" w:val="left"/>
        </w:tabs>
        <w:numPr>
          <w:ilvl w:val="0"/>
          <w:numId w:val="219"/>
        </w:numPr>
        <w:rPr>
          <w:rFonts w:ascii="Arial" w:cs="Arial" w:eastAsia="Arial" w:hAnsi="Arial"/>
          <w:sz w:val="16"/>
          <w:szCs w:val="16"/>
          <w:color w:val="auto"/>
        </w:rPr>
      </w:pPr>
      <w:r>
        <w:rPr>
          <w:rFonts w:ascii="Arial" w:cs="Arial" w:eastAsia="Arial" w:hAnsi="Arial"/>
          <w:sz w:val="16"/>
          <w:szCs w:val="16"/>
          <w:color w:val="auto"/>
        </w:rPr>
        <w:t>$26 million from the resolution of a regulatory item associated with the disposition of a power plant in a prior year.</w:t>
      </w:r>
    </w:p>
    <w:p>
      <w:pPr>
        <w:spacing w:after="0" w:line="124" w:lineRule="exact"/>
        <w:rPr>
          <w:sz w:val="20"/>
          <w:szCs w:val="20"/>
          <w:color w:val="auto"/>
        </w:rPr>
      </w:pPr>
    </w:p>
    <w:p>
      <w:pPr>
        <w:ind w:left="4"/>
        <w:spacing w:after="0"/>
        <w:rPr>
          <w:sz w:val="20"/>
          <w:szCs w:val="20"/>
          <w:color w:val="auto"/>
        </w:rPr>
      </w:pPr>
      <w:r>
        <w:rPr>
          <w:rFonts w:ascii="Arial" w:cs="Arial" w:eastAsia="Arial" w:hAnsi="Arial"/>
          <w:sz w:val="16"/>
          <w:szCs w:val="16"/>
          <w:color w:val="auto"/>
        </w:rPr>
        <w:t xml:space="preserve">These increases in 2007 were </w:t>
      </w:r>
      <w:r>
        <w:rPr>
          <w:rFonts w:ascii="Arial" w:cs="Arial" w:eastAsia="Arial" w:hAnsi="Arial"/>
          <w:sz w:val="16"/>
          <w:szCs w:val="16"/>
          <w:b w:val="1"/>
          <w:bCs w:val="1"/>
          <w:color w:val="auto"/>
        </w:rPr>
        <w:t>offset by</w:t>
      </w:r>
      <w:r>
        <w:rPr>
          <w:rFonts w:ascii="Arial" w:cs="Arial" w:eastAsia="Arial" w:hAnsi="Arial"/>
          <w:sz w:val="16"/>
          <w:szCs w:val="16"/>
          <w:color w:val="auto"/>
        </w:rPr>
        <w:t xml:space="preserve"> the favorable resolution of regulatory items recorded in 2006, including:</w:t>
      </w:r>
    </w:p>
    <w:p>
      <w:pPr>
        <w:spacing w:after="0" w:line="48" w:lineRule="exact"/>
        <w:rPr>
          <w:sz w:val="20"/>
          <w:szCs w:val="20"/>
          <w:color w:val="auto"/>
        </w:rPr>
      </w:pPr>
    </w:p>
    <w:p>
      <w:pPr>
        <w:ind w:left="144" w:hanging="144"/>
        <w:spacing w:after="0"/>
        <w:tabs>
          <w:tab w:leader="none" w:pos="144" w:val="left"/>
        </w:tabs>
        <w:numPr>
          <w:ilvl w:val="0"/>
          <w:numId w:val="220"/>
        </w:numPr>
        <w:rPr>
          <w:rFonts w:ascii="Arial" w:cs="Arial" w:eastAsia="Arial" w:hAnsi="Arial"/>
          <w:sz w:val="16"/>
          <w:szCs w:val="16"/>
          <w:color w:val="auto"/>
        </w:rPr>
      </w:pPr>
      <w:r>
        <w:rPr>
          <w:rFonts w:ascii="Arial" w:cs="Arial" w:eastAsia="Arial" w:hAnsi="Arial"/>
          <w:sz w:val="16"/>
          <w:szCs w:val="16"/>
          <w:color w:val="auto"/>
        </w:rPr>
        <w:t>$13 million resolution of a prior-year cost recovery issue</w:t>
      </w:r>
    </w:p>
    <w:p>
      <w:pPr>
        <w:spacing w:after="0" w:line="44" w:lineRule="exact"/>
        <w:rPr>
          <w:rFonts w:ascii="Arial" w:cs="Arial" w:eastAsia="Arial" w:hAnsi="Arial"/>
          <w:sz w:val="16"/>
          <w:szCs w:val="16"/>
          <w:color w:val="auto"/>
        </w:rPr>
      </w:pPr>
    </w:p>
    <w:p>
      <w:pPr>
        <w:ind w:left="144" w:hanging="144"/>
        <w:spacing w:after="0"/>
        <w:tabs>
          <w:tab w:leader="none" w:pos="144" w:val="left"/>
        </w:tabs>
        <w:numPr>
          <w:ilvl w:val="0"/>
          <w:numId w:val="220"/>
        </w:numPr>
        <w:rPr>
          <w:rFonts w:ascii="Arial" w:cs="Arial" w:eastAsia="Arial" w:hAnsi="Arial"/>
          <w:sz w:val="15"/>
          <w:szCs w:val="15"/>
          <w:color w:val="auto"/>
        </w:rPr>
      </w:pPr>
      <w:r>
        <w:rPr>
          <w:rFonts w:ascii="Arial" w:cs="Arial" w:eastAsia="Arial" w:hAnsi="Arial"/>
          <w:sz w:val="15"/>
          <w:szCs w:val="15"/>
          <w:color w:val="auto"/>
        </w:rPr>
        <w:t>$8 million due to CPUC authorization of retroactive recovery on SONGS revenues related to a computational error in the 2004 Cost of Service</w:t>
      </w:r>
    </w:p>
    <w:p>
      <w:pPr>
        <w:spacing w:after="0" w:line="55" w:lineRule="exact"/>
        <w:rPr>
          <w:rFonts w:ascii="Arial" w:cs="Arial" w:eastAsia="Arial" w:hAnsi="Arial"/>
          <w:sz w:val="15"/>
          <w:szCs w:val="15"/>
          <w:color w:val="auto"/>
        </w:rPr>
      </w:pPr>
    </w:p>
    <w:p>
      <w:pPr>
        <w:ind w:left="144" w:hanging="144"/>
        <w:spacing w:after="0"/>
        <w:tabs>
          <w:tab w:leader="none" w:pos="144" w:val="left"/>
        </w:tabs>
        <w:numPr>
          <w:ilvl w:val="0"/>
          <w:numId w:val="220"/>
        </w:numPr>
        <w:rPr>
          <w:rFonts w:ascii="Arial" w:cs="Arial" w:eastAsia="Arial" w:hAnsi="Arial"/>
          <w:sz w:val="16"/>
          <w:szCs w:val="16"/>
          <w:color w:val="auto"/>
        </w:rPr>
      </w:pPr>
      <w:r>
        <w:rPr>
          <w:rFonts w:ascii="Arial" w:cs="Arial" w:eastAsia="Arial" w:hAnsi="Arial"/>
          <w:sz w:val="16"/>
          <w:szCs w:val="16"/>
          <w:color w:val="auto"/>
        </w:rPr>
        <w:t>$4 million due to FERC approval to recover prior-year Independent System Operator (ISO) charges in 2006</w:t>
      </w:r>
    </w:p>
    <w:p>
      <w:pPr>
        <w:spacing w:after="0" w:line="174" w:lineRule="exact"/>
        <w:rPr>
          <w:sz w:val="20"/>
          <w:szCs w:val="20"/>
          <w:color w:val="auto"/>
        </w:rPr>
      </w:pPr>
    </w:p>
    <w:p>
      <w:pPr>
        <w:ind w:left="4"/>
        <w:spacing w:after="0"/>
        <w:rPr>
          <w:sz w:val="20"/>
          <w:szCs w:val="20"/>
          <w:color w:val="auto"/>
        </w:rPr>
      </w:pPr>
      <w:r>
        <w:rPr>
          <w:rFonts w:ascii="Arial" w:cs="Arial" w:eastAsia="Arial" w:hAnsi="Arial"/>
          <w:sz w:val="18"/>
          <w:szCs w:val="18"/>
          <w:b w:val="1"/>
          <w:bCs w:val="1"/>
          <w:i w:val="1"/>
          <w:iCs w:val="1"/>
          <w:color w:val="auto"/>
        </w:rPr>
        <w:t>SoCalGas</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6"/>
          <w:szCs w:val="16"/>
          <w:color w:val="auto"/>
        </w:rPr>
        <w:t>Our SoCalGas business unit recorded net income of:</w:t>
      </w:r>
    </w:p>
    <w:p>
      <w:pPr>
        <w:spacing w:after="0" w:line="44" w:lineRule="exact"/>
        <w:rPr>
          <w:sz w:val="20"/>
          <w:szCs w:val="20"/>
          <w:color w:val="auto"/>
        </w:rPr>
      </w:pPr>
    </w:p>
    <w:p>
      <w:pPr>
        <w:ind w:left="144" w:hanging="144"/>
        <w:spacing w:after="0"/>
        <w:tabs>
          <w:tab w:leader="none" w:pos="144" w:val="left"/>
        </w:tabs>
        <w:numPr>
          <w:ilvl w:val="0"/>
          <w:numId w:val="221"/>
        </w:numPr>
        <w:rPr>
          <w:rFonts w:ascii="Arial" w:cs="Arial" w:eastAsia="Arial" w:hAnsi="Arial"/>
          <w:sz w:val="16"/>
          <w:szCs w:val="16"/>
          <w:color w:val="auto"/>
        </w:rPr>
      </w:pPr>
      <w:r>
        <w:rPr>
          <w:rFonts w:ascii="Arial" w:cs="Arial" w:eastAsia="Arial" w:hAnsi="Arial"/>
          <w:sz w:val="16"/>
          <w:szCs w:val="16"/>
          <w:color w:val="auto"/>
        </w:rPr>
        <w:t>$244 million in 2008 ($245 million before preferred dividends)</w:t>
      </w:r>
    </w:p>
    <w:p>
      <w:pPr>
        <w:spacing w:after="0" w:line="44" w:lineRule="exact"/>
        <w:rPr>
          <w:rFonts w:ascii="Arial" w:cs="Arial" w:eastAsia="Arial" w:hAnsi="Arial"/>
          <w:sz w:val="16"/>
          <w:szCs w:val="16"/>
          <w:color w:val="auto"/>
        </w:rPr>
      </w:pPr>
    </w:p>
    <w:p>
      <w:pPr>
        <w:ind w:left="144" w:hanging="144"/>
        <w:spacing w:after="0"/>
        <w:tabs>
          <w:tab w:leader="none" w:pos="144" w:val="left"/>
        </w:tabs>
        <w:numPr>
          <w:ilvl w:val="0"/>
          <w:numId w:val="221"/>
        </w:numPr>
        <w:rPr>
          <w:rFonts w:ascii="Arial" w:cs="Arial" w:eastAsia="Arial" w:hAnsi="Arial"/>
          <w:sz w:val="16"/>
          <w:szCs w:val="16"/>
          <w:color w:val="auto"/>
        </w:rPr>
      </w:pPr>
      <w:r>
        <w:rPr>
          <w:rFonts w:ascii="Arial" w:cs="Arial" w:eastAsia="Arial" w:hAnsi="Arial"/>
          <w:sz w:val="16"/>
          <w:szCs w:val="16"/>
          <w:color w:val="auto"/>
        </w:rPr>
        <w:t>$230 million in 2007 ($231 million before preferred dividends)</w:t>
      </w:r>
    </w:p>
    <w:p>
      <w:pPr>
        <w:spacing w:after="0" w:line="44" w:lineRule="exact"/>
        <w:rPr>
          <w:rFonts w:ascii="Arial" w:cs="Arial" w:eastAsia="Arial" w:hAnsi="Arial"/>
          <w:sz w:val="16"/>
          <w:szCs w:val="16"/>
          <w:color w:val="auto"/>
        </w:rPr>
      </w:pPr>
    </w:p>
    <w:p>
      <w:pPr>
        <w:ind w:left="144" w:hanging="144"/>
        <w:spacing w:after="0"/>
        <w:tabs>
          <w:tab w:leader="none" w:pos="144" w:val="left"/>
        </w:tabs>
        <w:numPr>
          <w:ilvl w:val="0"/>
          <w:numId w:val="221"/>
        </w:numPr>
        <w:rPr>
          <w:rFonts w:ascii="Arial" w:cs="Arial" w:eastAsia="Arial" w:hAnsi="Arial"/>
          <w:sz w:val="16"/>
          <w:szCs w:val="16"/>
          <w:color w:val="auto"/>
        </w:rPr>
      </w:pPr>
      <w:r>
        <w:rPr>
          <w:rFonts w:ascii="Arial" w:cs="Arial" w:eastAsia="Arial" w:hAnsi="Arial"/>
          <w:sz w:val="16"/>
          <w:szCs w:val="16"/>
          <w:color w:val="auto"/>
        </w:rPr>
        <w:t>$223 million in 2006 ($224 million before preferred dividends)</w:t>
      </w:r>
    </w:p>
    <w:p>
      <w:pPr>
        <w:spacing w:after="0" w:line="128" w:lineRule="exact"/>
        <w:rPr>
          <w:sz w:val="20"/>
          <w:szCs w:val="20"/>
          <w:color w:val="auto"/>
        </w:rPr>
      </w:pPr>
    </w:p>
    <w:p>
      <w:pPr>
        <w:ind w:left="4"/>
        <w:spacing w:after="0"/>
        <w:rPr>
          <w:sz w:val="20"/>
          <w:szCs w:val="20"/>
          <w:color w:val="auto"/>
        </w:rPr>
      </w:pPr>
      <w:r>
        <w:rPr>
          <w:rFonts w:ascii="Arial" w:cs="Arial" w:eastAsia="Arial" w:hAnsi="Arial"/>
          <w:sz w:val="16"/>
          <w:szCs w:val="16"/>
          <w:color w:val="auto"/>
        </w:rPr>
        <w:t>In 2008, the increase of $14 million (6%) was due to</w:t>
      </w:r>
    </w:p>
    <w:p>
      <w:pPr>
        <w:spacing w:after="0" w:line="44" w:lineRule="exact"/>
        <w:rPr>
          <w:sz w:val="20"/>
          <w:szCs w:val="20"/>
          <w:color w:val="auto"/>
        </w:rPr>
      </w:pPr>
    </w:p>
    <w:p>
      <w:pPr>
        <w:ind w:left="144" w:hanging="144"/>
        <w:spacing w:after="0"/>
        <w:tabs>
          <w:tab w:leader="none" w:pos="144" w:val="left"/>
        </w:tabs>
        <w:numPr>
          <w:ilvl w:val="0"/>
          <w:numId w:val="222"/>
        </w:numPr>
        <w:rPr>
          <w:rFonts w:ascii="Arial" w:cs="Arial" w:eastAsia="Arial" w:hAnsi="Arial"/>
          <w:sz w:val="16"/>
          <w:szCs w:val="16"/>
          <w:color w:val="auto"/>
        </w:rPr>
      </w:pPr>
      <w:r>
        <w:rPr>
          <w:rFonts w:ascii="Arial" w:cs="Arial" w:eastAsia="Arial" w:hAnsi="Arial"/>
          <w:sz w:val="16"/>
          <w:szCs w:val="16"/>
          <w:color w:val="auto"/>
        </w:rPr>
        <w:t>$18 million due to a lower effective tax rate, as we discuss in "Income Taxes" below;</w:t>
      </w:r>
    </w:p>
    <w:p>
      <w:pPr>
        <w:spacing w:after="0" w:line="44" w:lineRule="exact"/>
        <w:rPr>
          <w:rFonts w:ascii="Arial" w:cs="Arial" w:eastAsia="Arial" w:hAnsi="Arial"/>
          <w:sz w:val="16"/>
          <w:szCs w:val="16"/>
          <w:color w:val="auto"/>
        </w:rPr>
      </w:pPr>
    </w:p>
    <w:p>
      <w:pPr>
        <w:ind w:left="144" w:hanging="144"/>
        <w:spacing w:after="0"/>
        <w:tabs>
          <w:tab w:leader="none" w:pos="144" w:val="left"/>
        </w:tabs>
        <w:numPr>
          <w:ilvl w:val="0"/>
          <w:numId w:val="222"/>
        </w:numPr>
        <w:rPr>
          <w:rFonts w:ascii="Arial" w:cs="Arial" w:eastAsia="Arial" w:hAnsi="Arial"/>
          <w:sz w:val="16"/>
          <w:szCs w:val="16"/>
          <w:color w:val="auto"/>
        </w:rPr>
      </w:pPr>
      <w:r>
        <w:rPr>
          <w:rFonts w:ascii="Arial" w:cs="Arial" w:eastAsia="Arial" w:hAnsi="Arial"/>
          <w:sz w:val="16"/>
          <w:szCs w:val="16"/>
          <w:color w:val="auto"/>
        </w:rPr>
        <w:t>$7 million favorable resolution of a regulatory matter in 2008;</w:t>
      </w:r>
    </w:p>
    <w:p>
      <w:pPr>
        <w:spacing w:after="0" w:line="44" w:lineRule="exact"/>
        <w:rPr>
          <w:rFonts w:ascii="Arial" w:cs="Arial" w:eastAsia="Arial" w:hAnsi="Arial"/>
          <w:sz w:val="16"/>
          <w:szCs w:val="16"/>
          <w:color w:val="auto"/>
        </w:rPr>
      </w:pPr>
    </w:p>
    <w:p>
      <w:pPr>
        <w:ind w:left="144" w:hanging="144"/>
        <w:spacing w:after="0"/>
        <w:tabs>
          <w:tab w:leader="none" w:pos="144" w:val="left"/>
        </w:tabs>
        <w:numPr>
          <w:ilvl w:val="0"/>
          <w:numId w:val="222"/>
        </w:numPr>
        <w:rPr>
          <w:rFonts w:ascii="Arial" w:cs="Arial" w:eastAsia="Arial" w:hAnsi="Arial"/>
          <w:sz w:val="16"/>
          <w:szCs w:val="16"/>
          <w:color w:val="auto"/>
        </w:rPr>
      </w:pPr>
      <w:r>
        <w:rPr>
          <w:rFonts w:ascii="Arial" w:cs="Arial" w:eastAsia="Arial" w:hAnsi="Arial"/>
          <w:sz w:val="16"/>
          <w:szCs w:val="16"/>
          <w:color w:val="auto"/>
        </w:rPr>
        <w:t>$7 million from increased CPUC authorized margin in excess of higher operation and maintenance expenses; and</w:t>
      </w:r>
    </w:p>
    <w:p>
      <w:pPr>
        <w:spacing w:after="0" w:line="40" w:lineRule="exact"/>
        <w:rPr>
          <w:rFonts w:ascii="Arial" w:cs="Arial" w:eastAsia="Arial" w:hAnsi="Arial"/>
          <w:sz w:val="16"/>
          <w:szCs w:val="16"/>
          <w:color w:val="auto"/>
        </w:rPr>
      </w:pPr>
    </w:p>
    <w:p>
      <w:pPr>
        <w:ind w:left="144" w:hanging="144"/>
        <w:spacing w:after="0"/>
        <w:tabs>
          <w:tab w:leader="none" w:pos="144" w:val="left"/>
        </w:tabs>
        <w:numPr>
          <w:ilvl w:val="0"/>
          <w:numId w:val="222"/>
        </w:numPr>
        <w:rPr>
          <w:rFonts w:ascii="Arial" w:cs="Arial" w:eastAsia="Arial" w:hAnsi="Arial"/>
          <w:sz w:val="16"/>
          <w:szCs w:val="16"/>
          <w:color w:val="auto"/>
        </w:rPr>
      </w:pPr>
      <w:r>
        <w:rPr>
          <w:rFonts w:ascii="Arial" w:cs="Arial" w:eastAsia="Arial" w:hAnsi="Arial"/>
          <w:sz w:val="16"/>
          <w:szCs w:val="16"/>
          <w:color w:val="auto"/>
        </w:rPr>
        <w:t xml:space="preserve">$3 million higher regulatory awards ($9 million in 2008 compared to $6 million in 2007), </w:t>
      </w:r>
      <w:r>
        <w:rPr>
          <w:rFonts w:ascii="Arial" w:cs="Arial" w:eastAsia="Arial" w:hAnsi="Arial"/>
          <w:sz w:val="16"/>
          <w:szCs w:val="16"/>
          <w:b w:val="1"/>
          <w:bCs w:val="1"/>
          <w:color w:val="auto"/>
        </w:rPr>
        <w:t>offset by</w:t>
      </w:r>
    </w:p>
    <w:p>
      <w:pPr>
        <w:spacing w:after="0" w:line="48" w:lineRule="exact"/>
        <w:rPr>
          <w:rFonts w:ascii="Arial" w:cs="Arial" w:eastAsia="Arial" w:hAnsi="Arial"/>
          <w:sz w:val="16"/>
          <w:szCs w:val="16"/>
          <w:color w:val="auto"/>
        </w:rPr>
      </w:pPr>
    </w:p>
    <w:p>
      <w:pPr>
        <w:ind w:left="144" w:hanging="144"/>
        <w:spacing w:after="0"/>
        <w:tabs>
          <w:tab w:leader="none" w:pos="144" w:val="left"/>
        </w:tabs>
        <w:numPr>
          <w:ilvl w:val="0"/>
          <w:numId w:val="222"/>
        </w:numPr>
        <w:rPr>
          <w:rFonts w:ascii="Arial" w:cs="Arial" w:eastAsia="Arial" w:hAnsi="Arial"/>
          <w:sz w:val="16"/>
          <w:szCs w:val="16"/>
          <w:color w:val="auto"/>
        </w:rPr>
      </w:pPr>
      <w:r>
        <w:rPr>
          <w:rFonts w:ascii="Arial" w:cs="Arial" w:eastAsia="Arial" w:hAnsi="Arial"/>
          <w:sz w:val="16"/>
          <w:szCs w:val="16"/>
          <w:color w:val="auto"/>
        </w:rPr>
        <w:t>$8 million increase in litigation expenses;</w:t>
      </w:r>
    </w:p>
    <w:p>
      <w:pPr>
        <w:spacing w:after="0" w:line="200" w:lineRule="exact"/>
        <w:rPr>
          <w:sz w:val="20"/>
          <w:szCs w:val="20"/>
          <w:color w:val="auto"/>
        </w:rPr>
      </w:pPr>
    </w:p>
    <w:p>
      <w:pPr>
        <w:spacing w:after="0" w:line="269" w:lineRule="exact"/>
        <w:rPr>
          <w:sz w:val="20"/>
          <w:szCs w:val="20"/>
          <w:color w:val="auto"/>
        </w:rPr>
      </w:pPr>
    </w:p>
    <w:p>
      <w:pPr>
        <w:ind w:left="4"/>
        <w:spacing w:after="0"/>
        <w:rPr>
          <w:sz w:val="20"/>
          <w:szCs w:val="20"/>
          <w:color w:val="auto"/>
        </w:rPr>
      </w:pPr>
      <w:r>
        <w:rPr>
          <w:rFonts w:ascii="Arial" w:cs="Arial" w:eastAsia="Arial" w:hAnsi="Arial"/>
          <w:sz w:val="14"/>
          <w:szCs w:val="14"/>
          <w:color w:val="auto"/>
        </w:rPr>
        <w:t>11</w:t>
      </w:r>
    </w:p>
    <w:p>
      <w:pPr>
        <w:sectPr>
          <w:pgSz w:w="11900" w:h="16838" w:orient="portrait"/>
          <w:cols w:equalWidth="0" w:num="1">
            <w:col w:w="10223"/>
          </w:cols>
          <w:pgMar w:left="236" w:top="293" w:right="1440" w:bottom="1440" w:gutter="0" w:footer="0" w:header="0"/>
        </w:sectPr>
      </w:pPr>
    </w:p>
    <w:bookmarkStart w:id="151" w:name="page152"/>
    <w:bookmarkEnd w:id="151"/>
    <w:p>
      <w:pPr>
        <w:ind w:left="144" w:right="840" w:hanging="144"/>
        <w:spacing w:after="0" w:line="274" w:lineRule="auto"/>
        <w:tabs>
          <w:tab w:leader="none" w:pos="144" w:val="left"/>
        </w:tabs>
        <w:numPr>
          <w:ilvl w:val="0"/>
          <w:numId w:val="223"/>
        </w:numPr>
        <w:rPr>
          <w:rFonts w:ascii="Arial" w:cs="Arial" w:eastAsia="Arial" w:hAnsi="Arial"/>
          <w:sz w:val="16"/>
          <w:szCs w:val="16"/>
          <w:color w:val="auto"/>
        </w:rPr>
      </w:pPr>
      <w:r>
        <w:rPr>
          <w:rFonts w:ascii="Arial" w:cs="Arial" w:eastAsia="Arial" w:hAnsi="Arial"/>
          <w:sz w:val="16"/>
          <w:szCs w:val="16"/>
          <w:color w:val="auto"/>
        </w:rPr>
        <w:t>$7 million lower noncore natural gas storage revenue in 2008 due to the new earnings sharing mechanism in effect for 2008 associated with the 2008 Biennial Cost Allocation Proceeding (BCAP) decision ($9 million in 2008 compared to $16 million in 2007); and</w:t>
      </w:r>
    </w:p>
    <w:p>
      <w:pPr>
        <w:ind w:left="144" w:hanging="144"/>
        <w:spacing w:after="0"/>
        <w:tabs>
          <w:tab w:leader="none" w:pos="144" w:val="left"/>
        </w:tabs>
        <w:numPr>
          <w:ilvl w:val="0"/>
          <w:numId w:val="223"/>
        </w:numPr>
        <w:rPr>
          <w:rFonts w:ascii="Arial" w:cs="Arial" w:eastAsia="Arial" w:hAnsi="Arial"/>
          <w:sz w:val="16"/>
          <w:szCs w:val="16"/>
          <w:color w:val="auto"/>
        </w:rPr>
      </w:pPr>
      <w:r>
        <w:rPr>
          <w:rFonts w:ascii="Arial" w:cs="Arial" w:eastAsia="Arial" w:hAnsi="Arial"/>
          <w:sz w:val="16"/>
          <w:szCs w:val="16"/>
          <w:color w:val="auto"/>
        </w:rPr>
        <w:t>$5 million higher bad debt expense in 2008.</w:t>
      </w:r>
    </w:p>
    <w:p>
      <w:pPr>
        <w:spacing w:after="0" w:line="128" w:lineRule="exact"/>
        <w:rPr>
          <w:sz w:val="20"/>
          <w:szCs w:val="20"/>
          <w:color w:val="auto"/>
        </w:rPr>
      </w:pPr>
    </w:p>
    <w:p>
      <w:pPr>
        <w:ind w:left="4"/>
        <w:spacing w:after="0"/>
        <w:rPr>
          <w:sz w:val="20"/>
          <w:szCs w:val="20"/>
          <w:color w:val="auto"/>
        </w:rPr>
      </w:pPr>
      <w:r>
        <w:rPr>
          <w:rFonts w:ascii="Arial" w:cs="Arial" w:eastAsia="Arial" w:hAnsi="Arial"/>
          <w:sz w:val="16"/>
          <w:szCs w:val="16"/>
          <w:color w:val="auto"/>
        </w:rPr>
        <w:t>The increase of $7 million (3%) in 2007 was due primarily to</w:t>
      </w:r>
    </w:p>
    <w:p>
      <w:pPr>
        <w:spacing w:after="0" w:line="44" w:lineRule="exact"/>
        <w:rPr>
          <w:sz w:val="20"/>
          <w:szCs w:val="20"/>
          <w:color w:val="auto"/>
        </w:rPr>
      </w:pPr>
    </w:p>
    <w:p>
      <w:pPr>
        <w:ind w:left="144" w:hanging="144"/>
        <w:spacing w:after="0"/>
        <w:tabs>
          <w:tab w:leader="none" w:pos="144" w:val="left"/>
        </w:tabs>
        <w:numPr>
          <w:ilvl w:val="0"/>
          <w:numId w:val="224"/>
        </w:numPr>
        <w:rPr>
          <w:rFonts w:ascii="Arial" w:cs="Arial" w:eastAsia="Arial" w:hAnsi="Arial"/>
          <w:sz w:val="16"/>
          <w:szCs w:val="16"/>
          <w:color w:val="auto"/>
        </w:rPr>
      </w:pPr>
      <w:r>
        <w:rPr>
          <w:rFonts w:ascii="Arial" w:cs="Arial" w:eastAsia="Arial" w:hAnsi="Arial"/>
          <w:sz w:val="16"/>
          <w:szCs w:val="16"/>
          <w:color w:val="auto"/>
        </w:rPr>
        <w:t>$9 million higher authorized base margins, net of higher operation and maintenance expenses; and</w:t>
      </w:r>
    </w:p>
    <w:p>
      <w:pPr>
        <w:spacing w:after="0" w:line="40" w:lineRule="exact"/>
        <w:rPr>
          <w:rFonts w:ascii="Arial" w:cs="Arial" w:eastAsia="Arial" w:hAnsi="Arial"/>
          <w:sz w:val="16"/>
          <w:szCs w:val="16"/>
          <w:color w:val="auto"/>
        </w:rPr>
      </w:pPr>
    </w:p>
    <w:p>
      <w:pPr>
        <w:ind w:left="144" w:hanging="144"/>
        <w:spacing w:after="0"/>
        <w:tabs>
          <w:tab w:leader="none" w:pos="144" w:val="left"/>
        </w:tabs>
        <w:numPr>
          <w:ilvl w:val="0"/>
          <w:numId w:val="224"/>
        </w:numPr>
        <w:rPr>
          <w:rFonts w:ascii="Arial" w:cs="Arial" w:eastAsia="Arial" w:hAnsi="Arial"/>
          <w:sz w:val="16"/>
          <w:szCs w:val="16"/>
          <w:color w:val="auto"/>
        </w:rPr>
      </w:pPr>
      <w:r>
        <w:rPr>
          <w:rFonts w:ascii="Arial" w:cs="Arial" w:eastAsia="Arial" w:hAnsi="Arial"/>
          <w:sz w:val="16"/>
          <w:szCs w:val="16"/>
          <w:color w:val="auto"/>
        </w:rPr>
        <w:t xml:space="preserve">$10 million lower income tax expense due to a lower effective tax rate in 2007, </w:t>
      </w:r>
      <w:r>
        <w:rPr>
          <w:rFonts w:ascii="Arial" w:cs="Arial" w:eastAsia="Arial" w:hAnsi="Arial"/>
          <w:sz w:val="16"/>
          <w:szCs w:val="16"/>
          <w:b w:val="1"/>
          <w:bCs w:val="1"/>
          <w:color w:val="auto"/>
        </w:rPr>
        <w:t>offset by</w:t>
      </w:r>
    </w:p>
    <w:p>
      <w:pPr>
        <w:spacing w:after="0" w:line="48" w:lineRule="exact"/>
        <w:rPr>
          <w:rFonts w:ascii="Arial" w:cs="Arial" w:eastAsia="Arial" w:hAnsi="Arial"/>
          <w:sz w:val="16"/>
          <w:szCs w:val="16"/>
          <w:color w:val="auto"/>
        </w:rPr>
      </w:pPr>
    </w:p>
    <w:p>
      <w:pPr>
        <w:ind w:left="144" w:hanging="144"/>
        <w:spacing w:after="0"/>
        <w:tabs>
          <w:tab w:leader="none" w:pos="144" w:val="left"/>
        </w:tabs>
        <w:numPr>
          <w:ilvl w:val="0"/>
          <w:numId w:val="224"/>
        </w:numPr>
        <w:rPr>
          <w:rFonts w:ascii="Arial" w:cs="Arial" w:eastAsia="Arial" w:hAnsi="Arial"/>
          <w:sz w:val="16"/>
          <w:szCs w:val="16"/>
          <w:color w:val="auto"/>
        </w:rPr>
      </w:pPr>
      <w:r>
        <w:rPr>
          <w:rFonts w:ascii="Arial" w:cs="Arial" w:eastAsia="Arial" w:hAnsi="Arial"/>
          <w:sz w:val="16"/>
          <w:szCs w:val="16"/>
          <w:color w:val="auto"/>
        </w:rPr>
        <w:t>$7 million from the favorable resolution of a natural gas royalty matter in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1243330</wp:posOffset>
            </wp:positionH>
            <wp:positionV relativeFrom="paragraph">
              <wp:posOffset>226695</wp:posOffset>
            </wp:positionV>
            <wp:extent cx="4782820" cy="24384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4782820" cy="243840"/>
                    </a:xfrm>
                    <a:prstGeom prst="rect">
                      <a:avLst/>
                    </a:prstGeom>
                    <a:noFill/>
                  </pic:spPr>
                </pic:pic>
              </a:graphicData>
            </a:graphic>
          </wp:anchor>
        </w:drawing>
      </w:r>
    </w:p>
    <w:p>
      <w:pPr>
        <w:spacing w:after="0" w:line="345" w:lineRule="exact"/>
        <w:rPr>
          <w:sz w:val="20"/>
          <w:szCs w:val="20"/>
          <w:color w:val="auto"/>
        </w:rPr>
      </w:pPr>
    </w:p>
    <w:p>
      <w:pPr>
        <w:ind w:left="1964"/>
        <w:spacing w:after="0"/>
        <w:rPr>
          <w:sz w:val="20"/>
          <w:szCs w:val="20"/>
          <w:color w:val="auto"/>
        </w:rPr>
      </w:pPr>
      <w:r>
        <w:rPr>
          <w:rFonts w:ascii="Arial" w:cs="Arial" w:eastAsia="Arial" w:hAnsi="Arial"/>
          <w:sz w:val="14"/>
          <w:szCs w:val="14"/>
          <w:b w:val="1"/>
          <w:bCs w:val="1"/>
          <w:color w:val="auto"/>
        </w:rPr>
        <w:t>NET INCOME (LOSS) BY BUSINESS UNIT – SEMPRA GLOBAL</w:t>
      </w:r>
    </w:p>
    <w:p>
      <w:pPr>
        <w:spacing w:after="0" w:line="40" w:lineRule="exact"/>
        <w:rPr>
          <w:sz w:val="20"/>
          <w:szCs w:val="20"/>
          <w:color w:val="auto"/>
        </w:rPr>
      </w:pPr>
    </w:p>
    <w:p>
      <w:pPr>
        <w:ind w:left="1964"/>
        <w:spacing w:after="0"/>
        <w:rPr>
          <w:sz w:val="20"/>
          <w:szCs w:val="20"/>
          <w:color w:val="auto"/>
        </w:rPr>
      </w:pPr>
      <w:r>
        <w:rPr>
          <w:rFonts w:ascii="Arial" w:cs="Arial" w:eastAsia="Arial" w:hAnsi="Arial"/>
          <w:sz w:val="13"/>
          <w:szCs w:val="13"/>
          <w:i w:val="1"/>
          <w:iCs w:val="1"/>
          <w:color w:val="auto"/>
        </w:rPr>
        <w:t>(Dollars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655955</wp:posOffset>
            </wp:positionH>
            <wp:positionV relativeFrom="paragraph">
              <wp:posOffset>108585</wp:posOffset>
            </wp:positionV>
            <wp:extent cx="5957570" cy="19983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957570" cy="19983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4"/>
        <w:spacing w:after="0"/>
        <w:tabs>
          <w:tab w:leader="none" w:pos="144" w:val="left"/>
        </w:tabs>
        <w:rPr>
          <w:sz w:val="20"/>
          <w:szCs w:val="20"/>
          <w:color w:val="auto"/>
        </w:rPr>
      </w:pPr>
      <w:r>
        <w:rPr>
          <w:rFonts w:ascii="Arial" w:cs="Arial" w:eastAsia="Arial" w:hAnsi="Arial"/>
          <w:sz w:val="13"/>
          <w:szCs w:val="13"/>
          <w:i w:val="1"/>
          <w:iCs w:val="1"/>
          <w:color w:val="auto"/>
        </w:rPr>
        <w:t>*</w:t>
      </w:r>
      <w:r>
        <w:rPr>
          <w:sz w:val="20"/>
          <w:szCs w:val="20"/>
          <w:color w:val="auto"/>
        </w:rPr>
        <w:tab/>
      </w:r>
      <w:r>
        <w:rPr>
          <w:rFonts w:ascii="Arial" w:cs="Arial" w:eastAsia="Arial" w:hAnsi="Arial"/>
          <w:sz w:val="12"/>
          <w:szCs w:val="12"/>
          <w:i w:val="1"/>
          <w:iCs w:val="1"/>
          <w:color w:val="auto"/>
        </w:rPr>
        <w:t>2006 included $204 million gain from the sale of Topaz power plants.</w:t>
      </w:r>
    </w:p>
    <w:p>
      <w:pPr>
        <w:spacing w:after="0" w:line="16" w:lineRule="exact"/>
        <w:rPr>
          <w:sz w:val="20"/>
          <w:szCs w:val="20"/>
          <w:color w:val="auto"/>
        </w:rPr>
      </w:pPr>
    </w:p>
    <w:p>
      <w:pPr>
        <w:ind w:left="4"/>
        <w:spacing w:after="0"/>
        <w:rPr>
          <w:sz w:val="20"/>
          <w:szCs w:val="20"/>
          <w:color w:val="auto"/>
        </w:rPr>
      </w:pPr>
      <w:r>
        <w:rPr>
          <w:rFonts w:ascii="Arial" w:cs="Arial" w:eastAsia="Arial" w:hAnsi="Arial"/>
          <w:sz w:val="13"/>
          <w:szCs w:val="13"/>
          <w:i w:val="1"/>
          <w:iCs w:val="1"/>
          <w:color w:val="auto"/>
        </w:rPr>
        <w:t>** 2006 included $221 million of impairment losses from Argentine investments.</w:t>
      </w:r>
    </w:p>
    <w:p>
      <w:pPr>
        <w:spacing w:after="0" w:line="350" w:lineRule="exact"/>
        <w:rPr>
          <w:sz w:val="20"/>
          <w:szCs w:val="20"/>
          <w:color w:val="auto"/>
        </w:rPr>
      </w:pPr>
    </w:p>
    <w:p>
      <w:pPr>
        <w:ind w:left="4"/>
        <w:spacing w:after="0"/>
        <w:rPr>
          <w:sz w:val="20"/>
          <w:szCs w:val="20"/>
          <w:color w:val="auto"/>
        </w:rPr>
      </w:pPr>
      <w:r>
        <w:rPr>
          <w:rFonts w:ascii="Arial" w:cs="Arial" w:eastAsia="Arial" w:hAnsi="Arial"/>
          <w:sz w:val="18"/>
          <w:szCs w:val="18"/>
          <w:b w:val="1"/>
          <w:bCs w:val="1"/>
          <w:i w:val="1"/>
          <w:iCs w:val="1"/>
          <w:color w:val="auto"/>
        </w:rPr>
        <w:t>Sempra Commodities</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6"/>
          <w:szCs w:val="16"/>
          <w:color w:val="auto"/>
        </w:rPr>
        <w:t>Our Sempra Commodities business unit recorded net income of:</w:t>
      </w:r>
    </w:p>
    <w:p>
      <w:pPr>
        <w:spacing w:after="0" w:line="44" w:lineRule="exact"/>
        <w:rPr>
          <w:sz w:val="20"/>
          <w:szCs w:val="20"/>
          <w:color w:val="auto"/>
        </w:rPr>
      </w:pPr>
    </w:p>
    <w:p>
      <w:pPr>
        <w:ind w:left="144" w:hanging="144"/>
        <w:spacing w:after="0"/>
        <w:tabs>
          <w:tab w:leader="none" w:pos="144" w:val="left"/>
        </w:tabs>
        <w:numPr>
          <w:ilvl w:val="0"/>
          <w:numId w:val="225"/>
        </w:numPr>
        <w:rPr>
          <w:rFonts w:ascii="Arial" w:cs="Arial" w:eastAsia="Arial" w:hAnsi="Arial"/>
          <w:sz w:val="16"/>
          <w:szCs w:val="16"/>
          <w:color w:val="auto"/>
        </w:rPr>
      </w:pPr>
      <w:r>
        <w:rPr>
          <w:rFonts w:ascii="Arial" w:cs="Arial" w:eastAsia="Arial" w:hAnsi="Arial"/>
          <w:sz w:val="16"/>
          <w:szCs w:val="16"/>
          <w:color w:val="auto"/>
        </w:rPr>
        <w:t>$345 million in 2008</w:t>
      </w:r>
    </w:p>
    <w:p>
      <w:pPr>
        <w:spacing w:after="0" w:line="44" w:lineRule="exact"/>
        <w:rPr>
          <w:rFonts w:ascii="Arial" w:cs="Arial" w:eastAsia="Arial" w:hAnsi="Arial"/>
          <w:sz w:val="16"/>
          <w:szCs w:val="16"/>
          <w:color w:val="auto"/>
        </w:rPr>
      </w:pPr>
    </w:p>
    <w:p>
      <w:pPr>
        <w:ind w:left="144" w:hanging="144"/>
        <w:spacing w:after="0"/>
        <w:tabs>
          <w:tab w:leader="none" w:pos="144" w:val="left"/>
        </w:tabs>
        <w:numPr>
          <w:ilvl w:val="0"/>
          <w:numId w:val="225"/>
        </w:numPr>
        <w:rPr>
          <w:rFonts w:ascii="Arial" w:cs="Arial" w:eastAsia="Arial" w:hAnsi="Arial"/>
          <w:sz w:val="16"/>
          <w:szCs w:val="16"/>
          <w:color w:val="auto"/>
        </w:rPr>
      </w:pPr>
      <w:r>
        <w:rPr>
          <w:rFonts w:ascii="Arial" w:cs="Arial" w:eastAsia="Arial" w:hAnsi="Arial"/>
          <w:sz w:val="16"/>
          <w:szCs w:val="16"/>
          <w:color w:val="auto"/>
        </w:rPr>
        <w:t>$499 million in 2007</w:t>
      </w:r>
    </w:p>
    <w:p>
      <w:pPr>
        <w:spacing w:after="0" w:line="44" w:lineRule="exact"/>
        <w:rPr>
          <w:rFonts w:ascii="Arial" w:cs="Arial" w:eastAsia="Arial" w:hAnsi="Arial"/>
          <w:sz w:val="16"/>
          <w:szCs w:val="16"/>
          <w:color w:val="auto"/>
        </w:rPr>
      </w:pPr>
    </w:p>
    <w:p>
      <w:pPr>
        <w:ind w:left="144" w:hanging="144"/>
        <w:spacing w:after="0"/>
        <w:tabs>
          <w:tab w:leader="none" w:pos="144" w:val="left"/>
        </w:tabs>
        <w:numPr>
          <w:ilvl w:val="0"/>
          <w:numId w:val="225"/>
        </w:numPr>
        <w:rPr>
          <w:rFonts w:ascii="Arial" w:cs="Arial" w:eastAsia="Arial" w:hAnsi="Arial"/>
          <w:sz w:val="16"/>
          <w:szCs w:val="16"/>
          <w:color w:val="auto"/>
        </w:rPr>
      </w:pPr>
      <w:r>
        <w:rPr>
          <w:rFonts w:ascii="Arial" w:cs="Arial" w:eastAsia="Arial" w:hAnsi="Arial"/>
          <w:sz w:val="16"/>
          <w:szCs w:val="16"/>
          <w:color w:val="auto"/>
        </w:rPr>
        <w:t>$504 million in 2006</w:t>
      </w:r>
    </w:p>
    <w:p>
      <w:pPr>
        <w:spacing w:after="0" w:line="128" w:lineRule="exact"/>
        <w:rPr>
          <w:sz w:val="20"/>
          <w:szCs w:val="20"/>
          <w:color w:val="auto"/>
        </w:rPr>
      </w:pPr>
    </w:p>
    <w:p>
      <w:pPr>
        <w:jc w:val="both"/>
        <w:ind w:left="4"/>
        <w:spacing w:after="0" w:line="264" w:lineRule="auto"/>
        <w:rPr>
          <w:sz w:val="20"/>
          <w:szCs w:val="20"/>
          <w:color w:val="auto"/>
        </w:rPr>
      </w:pPr>
      <w:r>
        <w:rPr>
          <w:rFonts w:ascii="Arial" w:cs="Arial" w:eastAsia="Arial" w:hAnsi="Arial"/>
          <w:sz w:val="16"/>
          <w:szCs w:val="16"/>
          <w:color w:val="auto"/>
        </w:rPr>
        <w:t>Results for the second through the fourth quarters of 2008 primarily represent our equity earnings from RBS Sempra Commodities, formed on April 1, 2008, as well as other items discussed below. Results for 2006, 2007 and the first quarter of 2008 represent 100% of the commodities-marketing businesses' earnings until the formation of the joint venture.</w:t>
      </w:r>
    </w:p>
    <w:p>
      <w:pPr>
        <w:spacing w:after="0" w:line="42" w:lineRule="exact"/>
        <w:rPr>
          <w:sz w:val="20"/>
          <w:szCs w:val="20"/>
          <w:color w:val="auto"/>
        </w:rPr>
      </w:pPr>
    </w:p>
    <w:p>
      <w:pPr>
        <w:ind w:left="4" w:right="700"/>
        <w:spacing w:after="0" w:line="344" w:lineRule="auto"/>
        <w:rPr>
          <w:sz w:val="20"/>
          <w:szCs w:val="20"/>
          <w:color w:val="auto"/>
        </w:rPr>
      </w:pPr>
      <w:r>
        <w:rPr>
          <w:rFonts w:ascii="Arial" w:cs="Arial" w:eastAsia="Arial" w:hAnsi="Arial"/>
          <w:sz w:val="16"/>
          <w:szCs w:val="16"/>
          <w:color w:val="auto"/>
        </w:rPr>
        <w:t>The decrease in 2008 of $154 million (31%) was due to our decreased ownership interest in the business, offset by a $67 million gain on the transaction with RBS. The decrease in 2007 of $5 million (1%) was due to</w:t>
      </w:r>
    </w:p>
    <w:p>
      <w:pPr>
        <w:spacing w:after="0" w:line="1" w:lineRule="exact"/>
        <w:rPr>
          <w:sz w:val="20"/>
          <w:szCs w:val="20"/>
          <w:color w:val="auto"/>
        </w:rPr>
      </w:pPr>
    </w:p>
    <w:p>
      <w:pPr>
        <w:ind w:left="144" w:hanging="144"/>
        <w:spacing w:after="0"/>
        <w:tabs>
          <w:tab w:leader="none" w:pos="144" w:val="left"/>
        </w:tabs>
        <w:numPr>
          <w:ilvl w:val="0"/>
          <w:numId w:val="226"/>
        </w:numPr>
        <w:rPr>
          <w:rFonts w:ascii="Arial" w:cs="Arial" w:eastAsia="Arial" w:hAnsi="Arial"/>
          <w:sz w:val="16"/>
          <w:szCs w:val="16"/>
          <w:color w:val="auto"/>
        </w:rPr>
      </w:pPr>
      <w:r>
        <w:rPr>
          <w:rFonts w:ascii="Arial" w:cs="Arial" w:eastAsia="Arial" w:hAnsi="Arial"/>
          <w:sz w:val="16"/>
          <w:szCs w:val="16"/>
          <w:color w:val="auto"/>
        </w:rPr>
        <w:t>$19 million net income effect of an increase in reserves related to energy crisis litigation;</w:t>
      </w:r>
    </w:p>
    <w:p>
      <w:pPr>
        <w:spacing w:after="0" w:line="44" w:lineRule="exact"/>
        <w:rPr>
          <w:rFonts w:ascii="Arial" w:cs="Arial" w:eastAsia="Arial" w:hAnsi="Arial"/>
          <w:sz w:val="16"/>
          <w:szCs w:val="16"/>
          <w:color w:val="auto"/>
        </w:rPr>
      </w:pPr>
    </w:p>
    <w:p>
      <w:pPr>
        <w:ind w:left="144" w:hanging="144"/>
        <w:spacing w:after="0"/>
        <w:tabs>
          <w:tab w:leader="none" w:pos="144" w:val="left"/>
        </w:tabs>
        <w:numPr>
          <w:ilvl w:val="0"/>
          <w:numId w:val="226"/>
        </w:numPr>
        <w:rPr>
          <w:rFonts w:ascii="Arial" w:cs="Arial" w:eastAsia="Arial" w:hAnsi="Arial"/>
          <w:sz w:val="16"/>
          <w:szCs w:val="16"/>
          <w:color w:val="auto"/>
        </w:rPr>
      </w:pPr>
      <w:r>
        <w:rPr>
          <w:rFonts w:ascii="Arial" w:cs="Arial" w:eastAsia="Arial" w:hAnsi="Arial"/>
          <w:sz w:val="16"/>
          <w:szCs w:val="16"/>
          <w:color w:val="auto"/>
        </w:rPr>
        <w:t>$25 million reduction due to the phase-out of synthetic fuels tax credits; and</w:t>
      </w:r>
    </w:p>
    <w:p>
      <w:pPr>
        <w:spacing w:after="0" w:line="40" w:lineRule="exact"/>
        <w:rPr>
          <w:rFonts w:ascii="Arial" w:cs="Arial" w:eastAsia="Arial" w:hAnsi="Arial"/>
          <w:sz w:val="16"/>
          <w:szCs w:val="16"/>
          <w:color w:val="auto"/>
        </w:rPr>
      </w:pPr>
    </w:p>
    <w:p>
      <w:pPr>
        <w:ind w:left="144" w:hanging="144"/>
        <w:spacing w:after="0"/>
        <w:tabs>
          <w:tab w:leader="none" w:pos="144" w:val="left"/>
        </w:tabs>
        <w:numPr>
          <w:ilvl w:val="0"/>
          <w:numId w:val="226"/>
        </w:numPr>
        <w:rPr>
          <w:rFonts w:ascii="Arial" w:cs="Arial" w:eastAsia="Arial" w:hAnsi="Arial"/>
          <w:sz w:val="16"/>
          <w:szCs w:val="16"/>
          <w:color w:val="auto"/>
        </w:rPr>
      </w:pPr>
      <w:r>
        <w:rPr>
          <w:rFonts w:ascii="Arial" w:cs="Arial" w:eastAsia="Arial" w:hAnsi="Arial"/>
          <w:sz w:val="16"/>
          <w:szCs w:val="16"/>
          <w:color w:val="auto"/>
        </w:rPr>
        <w:t xml:space="preserve">decreased earnings in the natural gas market, largely </w:t>
      </w:r>
      <w:r>
        <w:rPr>
          <w:rFonts w:ascii="Arial" w:cs="Arial" w:eastAsia="Arial" w:hAnsi="Arial"/>
          <w:sz w:val="16"/>
          <w:szCs w:val="16"/>
          <w:b w:val="1"/>
          <w:bCs w:val="1"/>
          <w:color w:val="auto"/>
        </w:rPr>
        <w:t>offset by</w:t>
      </w:r>
    </w:p>
    <w:p>
      <w:pPr>
        <w:spacing w:after="0" w:line="48" w:lineRule="exact"/>
        <w:rPr>
          <w:rFonts w:ascii="Arial" w:cs="Arial" w:eastAsia="Arial" w:hAnsi="Arial"/>
          <w:sz w:val="16"/>
          <w:szCs w:val="16"/>
          <w:color w:val="auto"/>
        </w:rPr>
      </w:pPr>
    </w:p>
    <w:p>
      <w:pPr>
        <w:ind w:left="144" w:hanging="144"/>
        <w:spacing w:after="0"/>
        <w:tabs>
          <w:tab w:leader="none" w:pos="144" w:val="left"/>
        </w:tabs>
        <w:numPr>
          <w:ilvl w:val="0"/>
          <w:numId w:val="226"/>
        </w:numPr>
        <w:rPr>
          <w:rFonts w:ascii="Arial" w:cs="Arial" w:eastAsia="Arial" w:hAnsi="Arial"/>
          <w:sz w:val="16"/>
          <w:szCs w:val="16"/>
          <w:color w:val="auto"/>
        </w:rPr>
      </w:pPr>
      <w:r>
        <w:rPr>
          <w:rFonts w:ascii="Arial" w:cs="Arial" w:eastAsia="Arial" w:hAnsi="Arial"/>
          <w:sz w:val="16"/>
          <w:szCs w:val="16"/>
          <w:color w:val="auto"/>
        </w:rPr>
        <w:t>increased earnings, primarily for metals and power;</w:t>
      </w:r>
    </w:p>
    <w:p>
      <w:pPr>
        <w:spacing w:after="0" w:line="200" w:lineRule="exact"/>
        <w:rPr>
          <w:sz w:val="20"/>
          <w:szCs w:val="20"/>
          <w:color w:val="auto"/>
        </w:rPr>
      </w:pPr>
    </w:p>
    <w:p>
      <w:pPr>
        <w:spacing w:after="0" w:line="269" w:lineRule="exact"/>
        <w:rPr>
          <w:sz w:val="20"/>
          <w:szCs w:val="20"/>
          <w:color w:val="auto"/>
        </w:rPr>
      </w:pPr>
    </w:p>
    <w:p>
      <w:pPr>
        <w:ind w:left="4"/>
        <w:spacing w:after="0"/>
        <w:rPr>
          <w:sz w:val="20"/>
          <w:szCs w:val="20"/>
          <w:color w:val="auto"/>
        </w:rPr>
      </w:pPr>
      <w:r>
        <w:rPr>
          <w:rFonts w:ascii="Arial" w:cs="Arial" w:eastAsia="Arial" w:hAnsi="Arial"/>
          <w:sz w:val="14"/>
          <w:szCs w:val="14"/>
          <w:color w:val="auto"/>
        </w:rPr>
        <w:t>12</w:t>
      </w:r>
    </w:p>
    <w:p>
      <w:pPr>
        <w:sectPr>
          <w:pgSz w:w="11900" w:h="16838" w:orient="portrait"/>
          <w:cols w:equalWidth="0" w:num="1">
            <w:col w:w="11124"/>
          </w:cols>
          <w:pgMar w:left="236" w:top="127" w:right="539" w:bottom="1440" w:gutter="0" w:footer="0" w:header="0"/>
        </w:sectPr>
      </w:pPr>
    </w:p>
    <w:bookmarkStart w:id="152" w:name="page153"/>
    <w:bookmarkEnd w:id="152"/>
    <w:p>
      <w:pPr>
        <w:ind w:left="144" w:hanging="144"/>
        <w:spacing w:after="0"/>
        <w:tabs>
          <w:tab w:leader="none" w:pos="144" w:val="left"/>
        </w:tabs>
        <w:numPr>
          <w:ilvl w:val="0"/>
          <w:numId w:val="227"/>
        </w:numPr>
        <w:rPr>
          <w:rFonts w:ascii="Arial" w:cs="Arial" w:eastAsia="Arial" w:hAnsi="Arial"/>
          <w:sz w:val="16"/>
          <w:szCs w:val="16"/>
          <w:color w:val="auto"/>
        </w:rPr>
      </w:pPr>
      <w:r>
        <w:rPr>
          <w:rFonts w:ascii="Arial" w:cs="Arial" w:eastAsia="Arial" w:hAnsi="Arial"/>
          <w:sz w:val="16"/>
          <w:szCs w:val="16"/>
          <w:color w:val="auto"/>
        </w:rPr>
        <w:t>$32 million recorded in 2007 in the power product line margin representing the value of preferred stock received for services rendered; and</w:t>
      </w:r>
    </w:p>
    <w:p>
      <w:pPr>
        <w:spacing w:after="0" w:line="44" w:lineRule="exact"/>
        <w:rPr>
          <w:rFonts w:ascii="Arial" w:cs="Arial" w:eastAsia="Arial" w:hAnsi="Arial"/>
          <w:sz w:val="16"/>
          <w:szCs w:val="16"/>
          <w:color w:val="auto"/>
        </w:rPr>
      </w:pPr>
    </w:p>
    <w:p>
      <w:pPr>
        <w:ind w:left="144" w:hanging="144"/>
        <w:spacing w:after="0"/>
        <w:tabs>
          <w:tab w:leader="none" w:pos="144" w:val="left"/>
        </w:tabs>
        <w:numPr>
          <w:ilvl w:val="0"/>
          <w:numId w:val="227"/>
        </w:numPr>
        <w:rPr>
          <w:rFonts w:ascii="Arial" w:cs="Arial" w:eastAsia="Arial" w:hAnsi="Arial"/>
          <w:sz w:val="16"/>
          <w:szCs w:val="16"/>
          <w:color w:val="auto"/>
        </w:rPr>
      </w:pPr>
      <w:r>
        <w:rPr>
          <w:rFonts w:ascii="Arial" w:cs="Arial" w:eastAsia="Arial" w:hAnsi="Arial"/>
          <w:sz w:val="16"/>
          <w:szCs w:val="16"/>
          <w:color w:val="auto"/>
        </w:rPr>
        <w:t>$18 million gain (after related costs) on the sale of equity method investments in 2007.</w:t>
      </w:r>
    </w:p>
    <w:p>
      <w:pPr>
        <w:spacing w:after="0" w:line="128" w:lineRule="exact"/>
        <w:rPr>
          <w:sz w:val="20"/>
          <w:szCs w:val="20"/>
          <w:color w:val="auto"/>
        </w:rPr>
      </w:pPr>
    </w:p>
    <w:p>
      <w:pPr>
        <w:ind w:left="4"/>
        <w:spacing w:after="0"/>
        <w:rPr>
          <w:sz w:val="20"/>
          <w:szCs w:val="20"/>
          <w:color w:val="auto"/>
        </w:rPr>
      </w:pPr>
      <w:r>
        <w:rPr>
          <w:rFonts w:ascii="Arial" w:cs="Arial" w:eastAsia="Arial" w:hAnsi="Arial"/>
          <w:sz w:val="16"/>
          <w:szCs w:val="16"/>
          <w:color w:val="auto"/>
        </w:rPr>
        <w:t>A portion of the decrease in earnings in 2007 was also the result of</w:t>
      </w:r>
    </w:p>
    <w:p>
      <w:pPr>
        <w:spacing w:after="0" w:line="44" w:lineRule="exact"/>
        <w:rPr>
          <w:sz w:val="20"/>
          <w:szCs w:val="20"/>
          <w:color w:val="auto"/>
        </w:rPr>
      </w:pPr>
    </w:p>
    <w:p>
      <w:pPr>
        <w:ind w:left="144" w:hanging="144"/>
        <w:spacing w:after="0"/>
        <w:tabs>
          <w:tab w:leader="none" w:pos="144" w:val="left"/>
        </w:tabs>
        <w:numPr>
          <w:ilvl w:val="0"/>
          <w:numId w:val="228"/>
        </w:numPr>
        <w:rPr>
          <w:rFonts w:ascii="Arial" w:cs="Arial" w:eastAsia="Arial" w:hAnsi="Arial"/>
          <w:sz w:val="16"/>
          <w:szCs w:val="16"/>
          <w:color w:val="auto"/>
        </w:rPr>
      </w:pPr>
      <w:r>
        <w:rPr>
          <w:rFonts w:ascii="Arial" w:cs="Arial" w:eastAsia="Arial" w:hAnsi="Arial"/>
          <w:sz w:val="16"/>
          <w:szCs w:val="16"/>
          <w:color w:val="auto"/>
        </w:rPr>
        <w:t>earnings variability associated with certain commodity inventories; and</w:t>
      </w:r>
    </w:p>
    <w:p>
      <w:pPr>
        <w:spacing w:after="0" w:line="44" w:lineRule="exact"/>
        <w:rPr>
          <w:rFonts w:ascii="Arial" w:cs="Arial" w:eastAsia="Arial" w:hAnsi="Arial"/>
          <w:sz w:val="16"/>
          <w:szCs w:val="16"/>
          <w:color w:val="auto"/>
        </w:rPr>
      </w:pPr>
    </w:p>
    <w:p>
      <w:pPr>
        <w:ind w:left="144" w:right="680" w:hanging="144"/>
        <w:spacing w:after="0" w:line="277" w:lineRule="auto"/>
        <w:tabs>
          <w:tab w:leader="none" w:pos="144" w:val="left"/>
        </w:tabs>
        <w:numPr>
          <w:ilvl w:val="0"/>
          <w:numId w:val="228"/>
        </w:numPr>
        <w:rPr>
          <w:rFonts w:ascii="Arial" w:cs="Arial" w:eastAsia="Arial" w:hAnsi="Arial"/>
          <w:sz w:val="16"/>
          <w:szCs w:val="16"/>
          <w:color w:val="auto"/>
        </w:rPr>
      </w:pPr>
      <w:r>
        <w:rPr>
          <w:rFonts w:ascii="Arial" w:cs="Arial" w:eastAsia="Arial" w:hAnsi="Arial"/>
          <w:sz w:val="16"/>
          <w:szCs w:val="16"/>
          <w:color w:val="auto"/>
        </w:rPr>
        <w:t>storage and transportation capacity contracts that were not being marked to market although the corresponding hedges qualified as derivative instruments and were marked to market.</w:t>
      </w:r>
    </w:p>
    <w:p>
      <w:pPr>
        <w:spacing w:after="0" w:line="126" w:lineRule="exact"/>
        <w:rPr>
          <w:sz w:val="20"/>
          <w:szCs w:val="20"/>
          <w:color w:val="auto"/>
        </w:rPr>
      </w:pPr>
    </w:p>
    <w:p>
      <w:pPr>
        <w:ind w:left="4"/>
        <w:spacing w:after="0"/>
        <w:rPr>
          <w:sz w:val="20"/>
          <w:szCs w:val="20"/>
          <w:color w:val="auto"/>
        </w:rPr>
      </w:pPr>
      <w:r>
        <w:rPr>
          <w:rFonts w:ascii="Arial" w:cs="Arial" w:eastAsia="Arial" w:hAnsi="Arial"/>
          <w:sz w:val="18"/>
          <w:szCs w:val="18"/>
          <w:b w:val="1"/>
          <w:bCs w:val="1"/>
          <w:i w:val="1"/>
          <w:iCs w:val="1"/>
          <w:color w:val="auto"/>
        </w:rPr>
        <w:t>Sempra Generation</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6"/>
          <w:szCs w:val="16"/>
          <w:color w:val="auto"/>
        </w:rPr>
        <w:t>Sempra Generation recorded net income of:</w:t>
      </w:r>
    </w:p>
    <w:p>
      <w:pPr>
        <w:spacing w:after="0" w:line="44" w:lineRule="exact"/>
        <w:rPr>
          <w:sz w:val="20"/>
          <w:szCs w:val="20"/>
          <w:color w:val="auto"/>
        </w:rPr>
      </w:pPr>
    </w:p>
    <w:p>
      <w:pPr>
        <w:ind w:left="144" w:hanging="144"/>
        <w:spacing w:after="0"/>
        <w:tabs>
          <w:tab w:leader="none" w:pos="144" w:val="left"/>
        </w:tabs>
        <w:numPr>
          <w:ilvl w:val="0"/>
          <w:numId w:val="229"/>
        </w:numPr>
        <w:rPr>
          <w:rFonts w:ascii="Arial" w:cs="Arial" w:eastAsia="Arial" w:hAnsi="Arial"/>
          <w:sz w:val="16"/>
          <w:szCs w:val="16"/>
          <w:color w:val="auto"/>
        </w:rPr>
      </w:pPr>
      <w:r>
        <w:rPr>
          <w:rFonts w:ascii="Arial" w:cs="Arial" w:eastAsia="Arial" w:hAnsi="Arial"/>
          <w:sz w:val="16"/>
          <w:szCs w:val="16"/>
          <w:color w:val="auto"/>
        </w:rPr>
        <w:t>$222 million in 2008</w:t>
      </w:r>
    </w:p>
    <w:p>
      <w:pPr>
        <w:spacing w:after="0" w:line="44" w:lineRule="exact"/>
        <w:rPr>
          <w:rFonts w:ascii="Arial" w:cs="Arial" w:eastAsia="Arial" w:hAnsi="Arial"/>
          <w:sz w:val="16"/>
          <w:szCs w:val="16"/>
          <w:color w:val="auto"/>
        </w:rPr>
      </w:pPr>
    </w:p>
    <w:p>
      <w:pPr>
        <w:ind w:left="144" w:hanging="144"/>
        <w:spacing w:after="0"/>
        <w:tabs>
          <w:tab w:leader="none" w:pos="144" w:val="left"/>
        </w:tabs>
        <w:numPr>
          <w:ilvl w:val="0"/>
          <w:numId w:val="229"/>
        </w:numPr>
        <w:rPr>
          <w:rFonts w:ascii="Arial" w:cs="Arial" w:eastAsia="Arial" w:hAnsi="Arial"/>
          <w:sz w:val="16"/>
          <w:szCs w:val="16"/>
          <w:color w:val="auto"/>
        </w:rPr>
      </w:pPr>
      <w:r>
        <w:rPr>
          <w:rFonts w:ascii="Arial" w:cs="Arial" w:eastAsia="Arial" w:hAnsi="Arial"/>
          <w:sz w:val="16"/>
          <w:szCs w:val="16"/>
          <w:color w:val="auto"/>
        </w:rPr>
        <w:t>$162 million in 2007</w:t>
      </w:r>
    </w:p>
    <w:p>
      <w:pPr>
        <w:spacing w:after="0" w:line="44" w:lineRule="exact"/>
        <w:rPr>
          <w:rFonts w:ascii="Arial" w:cs="Arial" w:eastAsia="Arial" w:hAnsi="Arial"/>
          <w:sz w:val="16"/>
          <w:szCs w:val="16"/>
          <w:color w:val="auto"/>
        </w:rPr>
      </w:pPr>
    </w:p>
    <w:p>
      <w:pPr>
        <w:ind w:left="144" w:hanging="144"/>
        <w:spacing w:after="0"/>
        <w:tabs>
          <w:tab w:leader="none" w:pos="144" w:val="left"/>
        </w:tabs>
        <w:numPr>
          <w:ilvl w:val="0"/>
          <w:numId w:val="229"/>
        </w:numPr>
        <w:rPr>
          <w:rFonts w:ascii="Arial" w:cs="Arial" w:eastAsia="Arial" w:hAnsi="Arial"/>
          <w:sz w:val="16"/>
          <w:szCs w:val="16"/>
          <w:color w:val="auto"/>
        </w:rPr>
      </w:pPr>
      <w:r>
        <w:rPr>
          <w:rFonts w:ascii="Arial" w:cs="Arial" w:eastAsia="Arial" w:hAnsi="Arial"/>
          <w:sz w:val="16"/>
          <w:szCs w:val="16"/>
          <w:color w:val="auto"/>
        </w:rPr>
        <w:t>$375 million in 2006</w:t>
      </w:r>
    </w:p>
    <w:p>
      <w:pPr>
        <w:spacing w:after="0" w:line="128" w:lineRule="exact"/>
        <w:rPr>
          <w:sz w:val="20"/>
          <w:szCs w:val="20"/>
          <w:color w:val="auto"/>
        </w:rPr>
      </w:pPr>
    </w:p>
    <w:p>
      <w:pPr>
        <w:ind w:left="4"/>
        <w:spacing w:after="0"/>
        <w:rPr>
          <w:sz w:val="20"/>
          <w:szCs w:val="20"/>
          <w:color w:val="auto"/>
        </w:rPr>
      </w:pPr>
      <w:r>
        <w:rPr>
          <w:rFonts w:ascii="Arial" w:cs="Arial" w:eastAsia="Arial" w:hAnsi="Arial"/>
          <w:sz w:val="16"/>
          <w:szCs w:val="16"/>
          <w:color w:val="auto"/>
        </w:rPr>
        <w:t>The increase in 2008 of $60 million (37%) was due to</w:t>
      </w:r>
    </w:p>
    <w:p>
      <w:pPr>
        <w:spacing w:after="0" w:line="44" w:lineRule="exact"/>
        <w:rPr>
          <w:sz w:val="20"/>
          <w:szCs w:val="20"/>
          <w:color w:val="auto"/>
        </w:rPr>
      </w:pPr>
    </w:p>
    <w:p>
      <w:pPr>
        <w:ind w:left="144" w:hanging="144"/>
        <w:spacing w:after="0"/>
        <w:tabs>
          <w:tab w:leader="none" w:pos="144" w:val="left"/>
        </w:tabs>
        <w:numPr>
          <w:ilvl w:val="0"/>
          <w:numId w:val="230"/>
        </w:numPr>
        <w:rPr>
          <w:rFonts w:ascii="Arial" w:cs="Arial" w:eastAsia="Arial" w:hAnsi="Arial"/>
          <w:sz w:val="16"/>
          <w:szCs w:val="16"/>
          <w:color w:val="auto"/>
        </w:rPr>
      </w:pPr>
      <w:r>
        <w:rPr>
          <w:rFonts w:ascii="Arial" w:cs="Arial" w:eastAsia="Arial" w:hAnsi="Arial"/>
          <w:sz w:val="16"/>
          <w:szCs w:val="16"/>
          <w:color w:val="auto"/>
        </w:rPr>
        <w:t>$37 million higher earnings primarily due to plant scheduled major maintenance and associated down time in 2007;</w:t>
      </w:r>
    </w:p>
    <w:p>
      <w:pPr>
        <w:spacing w:after="0" w:line="44" w:lineRule="exact"/>
        <w:rPr>
          <w:rFonts w:ascii="Arial" w:cs="Arial" w:eastAsia="Arial" w:hAnsi="Arial"/>
          <w:sz w:val="16"/>
          <w:szCs w:val="16"/>
          <w:color w:val="auto"/>
        </w:rPr>
      </w:pPr>
    </w:p>
    <w:p>
      <w:pPr>
        <w:ind w:left="144" w:hanging="144"/>
        <w:spacing w:after="0"/>
        <w:tabs>
          <w:tab w:leader="none" w:pos="144" w:val="left"/>
        </w:tabs>
        <w:numPr>
          <w:ilvl w:val="0"/>
          <w:numId w:val="230"/>
        </w:numPr>
        <w:rPr>
          <w:rFonts w:ascii="Arial" w:cs="Arial" w:eastAsia="Arial" w:hAnsi="Arial"/>
          <w:sz w:val="16"/>
          <w:szCs w:val="16"/>
          <w:color w:val="auto"/>
        </w:rPr>
      </w:pPr>
      <w:r>
        <w:rPr>
          <w:rFonts w:ascii="Arial" w:cs="Arial" w:eastAsia="Arial" w:hAnsi="Arial"/>
          <w:sz w:val="16"/>
          <w:szCs w:val="16"/>
          <w:color w:val="auto"/>
        </w:rPr>
        <w:t>$16 million lower income tax expense related to Mexican currency translation and inflation adjustments; and</w:t>
      </w:r>
    </w:p>
    <w:p>
      <w:pPr>
        <w:spacing w:after="0" w:line="44" w:lineRule="exact"/>
        <w:rPr>
          <w:rFonts w:ascii="Arial" w:cs="Arial" w:eastAsia="Arial" w:hAnsi="Arial"/>
          <w:sz w:val="16"/>
          <w:szCs w:val="16"/>
          <w:color w:val="auto"/>
        </w:rPr>
      </w:pPr>
    </w:p>
    <w:p>
      <w:pPr>
        <w:ind w:left="144" w:hanging="144"/>
        <w:spacing w:after="0"/>
        <w:tabs>
          <w:tab w:leader="none" w:pos="144" w:val="left"/>
        </w:tabs>
        <w:numPr>
          <w:ilvl w:val="0"/>
          <w:numId w:val="230"/>
        </w:numPr>
        <w:rPr>
          <w:rFonts w:ascii="Arial" w:cs="Arial" w:eastAsia="Arial" w:hAnsi="Arial"/>
          <w:sz w:val="16"/>
          <w:szCs w:val="16"/>
          <w:color w:val="auto"/>
        </w:rPr>
      </w:pPr>
      <w:r>
        <w:rPr>
          <w:rFonts w:ascii="Arial" w:cs="Arial" w:eastAsia="Arial" w:hAnsi="Arial"/>
          <w:sz w:val="16"/>
          <w:szCs w:val="16"/>
          <w:color w:val="auto"/>
        </w:rPr>
        <w:t>$9 million lower income tax expense due to tax credits on Sempra Generation's solar generating facility.</w:t>
      </w:r>
    </w:p>
    <w:p>
      <w:pPr>
        <w:spacing w:after="0" w:line="128" w:lineRule="exact"/>
        <w:rPr>
          <w:sz w:val="20"/>
          <w:szCs w:val="20"/>
          <w:color w:val="auto"/>
        </w:rPr>
      </w:pPr>
    </w:p>
    <w:p>
      <w:pPr>
        <w:ind w:left="4"/>
        <w:spacing w:after="0"/>
        <w:rPr>
          <w:sz w:val="20"/>
          <w:szCs w:val="20"/>
          <w:color w:val="auto"/>
        </w:rPr>
      </w:pPr>
      <w:r>
        <w:rPr>
          <w:rFonts w:ascii="Arial" w:cs="Arial" w:eastAsia="Arial" w:hAnsi="Arial"/>
          <w:sz w:val="16"/>
          <w:szCs w:val="16"/>
          <w:color w:val="auto"/>
        </w:rPr>
        <w:t>The decrease of $213 million (57%) in 2007 was due to the following in 2006:</w:t>
      </w:r>
    </w:p>
    <w:p>
      <w:pPr>
        <w:spacing w:after="0" w:line="44" w:lineRule="exact"/>
        <w:rPr>
          <w:sz w:val="20"/>
          <w:szCs w:val="20"/>
          <w:color w:val="auto"/>
        </w:rPr>
      </w:pPr>
    </w:p>
    <w:p>
      <w:pPr>
        <w:ind w:left="144" w:hanging="144"/>
        <w:spacing w:after="0"/>
        <w:tabs>
          <w:tab w:leader="none" w:pos="144" w:val="left"/>
        </w:tabs>
        <w:numPr>
          <w:ilvl w:val="0"/>
          <w:numId w:val="231"/>
        </w:numPr>
        <w:rPr>
          <w:rFonts w:ascii="Arial" w:cs="Arial" w:eastAsia="Arial" w:hAnsi="Arial"/>
          <w:sz w:val="16"/>
          <w:szCs w:val="16"/>
          <w:color w:val="auto"/>
        </w:rPr>
      </w:pPr>
      <w:r>
        <w:rPr>
          <w:rFonts w:ascii="Arial" w:cs="Arial" w:eastAsia="Arial" w:hAnsi="Arial"/>
          <w:sz w:val="16"/>
          <w:szCs w:val="16"/>
          <w:color w:val="auto"/>
        </w:rPr>
        <w:t>$204 million gain from the sale of the Topaz power plants;</w:t>
      </w:r>
    </w:p>
    <w:p>
      <w:pPr>
        <w:spacing w:after="0" w:line="44" w:lineRule="exact"/>
        <w:rPr>
          <w:rFonts w:ascii="Arial" w:cs="Arial" w:eastAsia="Arial" w:hAnsi="Arial"/>
          <w:sz w:val="16"/>
          <w:szCs w:val="16"/>
          <w:color w:val="auto"/>
        </w:rPr>
      </w:pPr>
    </w:p>
    <w:p>
      <w:pPr>
        <w:ind w:left="144" w:hanging="144"/>
        <w:spacing w:after="0"/>
        <w:tabs>
          <w:tab w:leader="none" w:pos="144" w:val="left"/>
        </w:tabs>
        <w:numPr>
          <w:ilvl w:val="0"/>
          <w:numId w:val="231"/>
        </w:numPr>
        <w:rPr>
          <w:rFonts w:ascii="Arial" w:cs="Arial" w:eastAsia="Arial" w:hAnsi="Arial"/>
          <w:sz w:val="16"/>
          <w:szCs w:val="16"/>
          <w:color w:val="auto"/>
        </w:rPr>
      </w:pPr>
      <w:r>
        <w:rPr>
          <w:rFonts w:ascii="Arial" w:cs="Arial" w:eastAsia="Arial" w:hAnsi="Arial"/>
          <w:sz w:val="16"/>
          <w:szCs w:val="16"/>
          <w:color w:val="auto"/>
        </w:rPr>
        <w:t>$6 million of Topaz operational earnings prior to the sale; and</w:t>
      </w:r>
    </w:p>
    <w:p>
      <w:pPr>
        <w:spacing w:after="0" w:line="40" w:lineRule="exact"/>
        <w:rPr>
          <w:rFonts w:ascii="Arial" w:cs="Arial" w:eastAsia="Arial" w:hAnsi="Arial"/>
          <w:sz w:val="16"/>
          <w:szCs w:val="16"/>
          <w:color w:val="auto"/>
        </w:rPr>
      </w:pPr>
    </w:p>
    <w:p>
      <w:pPr>
        <w:ind w:left="144" w:hanging="144"/>
        <w:spacing w:after="0"/>
        <w:tabs>
          <w:tab w:leader="none" w:pos="144" w:val="left"/>
        </w:tabs>
        <w:numPr>
          <w:ilvl w:val="0"/>
          <w:numId w:val="231"/>
        </w:numPr>
        <w:rPr>
          <w:rFonts w:ascii="Arial" w:cs="Arial" w:eastAsia="Arial" w:hAnsi="Arial"/>
          <w:sz w:val="16"/>
          <w:szCs w:val="16"/>
          <w:color w:val="auto"/>
        </w:rPr>
      </w:pPr>
      <w:r>
        <w:rPr>
          <w:rFonts w:ascii="Arial" w:cs="Arial" w:eastAsia="Arial" w:hAnsi="Arial"/>
          <w:sz w:val="16"/>
          <w:szCs w:val="16"/>
          <w:color w:val="auto"/>
        </w:rPr>
        <w:t xml:space="preserve">$16 million of earnings related to construction of the Palomar generating facility for SDG&amp;E, </w:t>
      </w:r>
      <w:r>
        <w:rPr>
          <w:rFonts w:ascii="Arial" w:cs="Arial" w:eastAsia="Arial" w:hAnsi="Arial"/>
          <w:sz w:val="16"/>
          <w:szCs w:val="16"/>
          <w:b w:val="1"/>
          <w:bCs w:val="1"/>
          <w:color w:val="auto"/>
        </w:rPr>
        <w:t>offset by</w:t>
      </w:r>
    </w:p>
    <w:p>
      <w:pPr>
        <w:spacing w:after="0" w:line="48" w:lineRule="exact"/>
        <w:rPr>
          <w:rFonts w:ascii="Arial" w:cs="Arial" w:eastAsia="Arial" w:hAnsi="Arial"/>
          <w:sz w:val="16"/>
          <w:szCs w:val="16"/>
          <w:color w:val="auto"/>
        </w:rPr>
      </w:pPr>
    </w:p>
    <w:p>
      <w:pPr>
        <w:ind w:left="144" w:right="820" w:hanging="144"/>
        <w:spacing w:after="0" w:line="277" w:lineRule="auto"/>
        <w:tabs>
          <w:tab w:leader="none" w:pos="144" w:val="left"/>
        </w:tabs>
        <w:numPr>
          <w:ilvl w:val="0"/>
          <w:numId w:val="231"/>
        </w:numPr>
        <w:rPr>
          <w:rFonts w:ascii="Arial" w:cs="Arial" w:eastAsia="Arial" w:hAnsi="Arial"/>
          <w:sz w:val="16"/>
          <w:szCs w:val="16"/>
          <w:color w:val="auto"/>
        </w:rPr>
      </w:pPr>
      <w:r>
        <w:rPr>
          <w:rFonts w:ascii="Arial" w:cs="Arial" w:eastAsia="Arial" w:hAnsi="Arial"/>
          <w:sz w:val="16"/>
          <w:szCs w:val="16"/>
          <w:color w:val="auto"/>
        </w:rPr>
        <w:t>$18 million of litigation expense primarily related to the April 2006 DWR arbitration decision (discussed in Note 16 of the Notes to Consolidated Financial Statements).</w:t>
      </w:r>
    </w:p>
    <w:p>
      <w:pPr>
        <w:spacing w:after="0" w:line="126" w:lineRule="exact"/>
        <w:rPr>
          <w:sz w:val="20"/>
          <w:szCs w:val="20"/>
          <w:color w:val="auto"/>
        </w:rPr>
      </w:pPr>
    </w:p>
    <w:p>
      <w:pPr>
        <w:ind w:left="4"/>
        <w:spacing w:after="0"/>
        <w:rPr>
          <w:sz w:val="20"/>
          <w:szCs w:val="20"/>
          <w:color w:val="auto"/>
        </w:rPr>
      </w:pPr>
      <w:r>
        <w:rPr>
          <w:rFonts w:ascii="Arial" w:cs="Arial" w:eastAsia="Arial" w:hAnsi="Arial"/>
          <w:sz w:val="18"/>
          <w:szCs w:val="18"/>
          <w:b w:val="1"/>
          <w:bCs w:val="1"/>
          <w:i w:val="1"/>
          <w:iCs w:val="1"/>
          <w:color w:val="auto"/>
        </w:rPr>
        <w:t>Sempra Pipelines &amp; Storage</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6"/>
          <w:szCs w:val="16"/>
          <w:color w:val="auto"/>
        </w:rPr>
        <w:t>Our Sempra Pipelines &amp; Storage business unit recorded net income (loss) of:</w:t>
      </w:r>
    </w:p>
    <w:p>
      <w:pPr>
        <w:spacing w:after="0" w:line="44" w:lineRule="exact"/>
        <w:rPr>
          <w:sz w:val="20"/>
          <w:szCs w:val="20"/>
          <w:color w:val="auto"/>
        </w:rPr>
      </w:pPr>
    </w:p>
    <w:p>
      <w:pPr>
        <w:ind w:left="144" w:hanging="144"/>
        <w:spacing w:after="0"/>
        <w:tabs>
          <w:tab w:leader="none" w:pos="144" w:val="left"/>
        </w:tabs>
        <w:numPr>
          <w:ilvl w:val="0"/>
          <w:numId w:val="232"/>
        </w:numPr>
        <w:rPr>
          <w:rFonts w:ascii="Arial" w:cs="Arial" w:eastAsia="Arial" w:hAnsi="Arial"/>
          <w:sz w:val="16"/>
          <w:szCs w:val="16"/>
          <w:color w:val="auto"/>
        </w:rPr>
      </w:pPr>
      <w:r>
        <w:rPr>
          <w:rFonts w:ascii="Arial" w:cs="Arial" w:eastAsia="Arial" w:hAnsi="Arial"/>
          <w:sz w:val="16"/>
          <w:szCs w:val="16"/>
          <w:color w:val="auto"/>
        </w:rPr>
        <w:t>$106 million in 2008</w:t>
      </w:r>
    </w:p>
    <w:p>
      <w:pPr>
        <w:spacing w:after="0" w:line="44" w:lineRule="exact"/>
        <w:rPr>
          <w:rFonts w:ascii="Arial" w:cs="Arial" w:eastAsia="Arial" w:hAnsi="Arial"/>
          <w:sz w:val="16"/>
          <w:szCs w:val="16"/>
          <w:color w:val="auto"/>
        </w:rPr>
      </w:pPr>
    </w:p>
    <w:p>
      <w:pPr>
        <w:ind w:left="144" w:hanging="144"/>
        <w:spacing w:after="0"/>
        <w:tabs>
          <w:tab w:leader="none" w:pos="144" w:val="left"/>
        </w:tabs>
        <w:numPr>
          <w:ilvl w:val="0"/>
          <w:numId w:val="232"/>
        </w:numPr>
        <w:rPr>
          <w:rFonts w:ascii="Arial" w:cs="Arial" w:eastAsia="Arial" w:hAnsi="Arial"/>
          <w:sz w:val="16"/>
          <w:szCs w:val="16"/>
          <w:color w:val="auto"/>
        </w:rPr>
      </w:pPr>
      <w:r>
        <w:rPr>
          <w:rFonts w:ascii="Arial" w:cs="Arial" w:eastAsia="Arial" w:hAnsi="Arial"/>
          <w:sz w:val="16"/>
          <w:szCs w:val="16"/>
          <w:color w:val="auto"/>
        </w:rPr>
        <w:t>$64 million in 2007</w:t>
      </w:r>
    </w:p>
    <w:p>
      <w:pPr>
        <w:spacing w:after="0" w:line="44" w:lineRule="exact"/>
        <w:rPr>
          <w:rFonts w:ascii="Arial" w:cs="Arial" w:eastAsia="Arial" w:hAnsi="Arial"/>
          <w:sz w:val="16"/>
          <w:szCs w:val="16"/>
          <w:color w:val="auto"/>
        </w:rPr>
      </w:pPr>
    </w:p>
    <w:p>
      <w:pPr>
        <w:ind w:left="144" w:hanging="144"/>
        <w:spacing w:after="0"/>
        <w:tabs>
          <w:tab w:leader="none" w:pos="144" w:val="left"/>
        </w:tabs>
        <w:numPr>
          <w:ilvl w:val="0"/>
          <w:numId w:val="232"/>
        </w:numPr>
        <w:rPr>
          <w:rFonts w:ascii="Arial" w:cs="Arial" w:eastAsia="Arial" w:hAnsi="Arial"/>
          <w:sz w:val="16"/>
          <w:szCs w:val="16"/>
          <w:color w:val="auto"/>
        </w:rPr>
      </w:pPr>
      <w:r>
        <w:rPr>
          <w:rFonts w:ascii="Arial" w:cs="Arial" w:eastAsia="Arial" w:hAnsi="Arial"/>
          <w:sz w:val="16"/>
          <w:szCs w:val="16"/>
          <w:color w:val="auto"/>
        </w:rPr>
        <w:t>$(165) million in 2006</w:t>
      </w:r>
    </w:p>
    <w:p>
      <w:pPr>
        <w:spacing w:after="0" w:line="128" w:lineRule="exact"/>
        <w:rPr>
          <w:sz w:val="20"/>
          <w:szCs w:val="20"/>
          <w:color w:val="auto"/>
        </w:rPr>
      </w:pPr>
    </w:p>
    <w:p>
      <w:pPr>
        <w:ind w:left="4"/>
        <w:spacing w:after="0"/>
        <w:rPr>
          <w:sz w:val="20"/>
          <w:szCs w:val="20"/>
          <w:color w:val="auto"/>
        </w:rPr>
      </w:pPr>
      <w:r>
        <w:rPr>
          <w:rFonts w:ascii="Arial" w:cs="Arial" w:eastAsia="Arial" w:hAnsi="Arial"/>
          <w:sz w:val="16"/>
          <w:szCs w:val="16"/>
          <w:color w:val="auto"/>
        </w:rPr>
        <w:t>The increase of $42 million (66%) in 2008 was due to:</w:t>
      </w:r>
    </w:p>
    <w:p>
      <w:pPr>
        <w:spacing w:after="0" w:line="44" w:lineRule="exact"/>
        <w:rPr>
          <w:sz w:val="20"/>
          <w:szCs w:val="20"/>
          <w:color w:val="auto"/>
        </w:rPr>
      </w:pPr>
    </w:p>
    <w:p>
      <w:pPr>
        <w:ind w:left="144" w:hanging="144"/>
        <w:spacing w:after="0"/>
        <w:tabs>
          <w:tab w:leader="none" w:pos="144" w:val="left"/>
        </w:tabs>
        <w:numPr>
          <w:ilvl w:val="0"/>
          <w:numId w:val="233"/>
        </w:numPr>
        <w:rPr>
          <w:rFonts w:ascii="Arial" w:cs="Arial" w:eastAsia="Arial" w:hAnsi="Arial"/>
          <w:sz w:val="16"/>
          <w:szCs w:val="16"/>
          <w:color w:val="auto"/>
        </w:rPr>
      </w:pPr>
      <w:r>
        <w:rPr>
          <w:rFonts w:ascii="Arial" w:cs="Arial" w:eastAsia="Arial" w:hAnsi="Arial"/>
          <w:sz w:val="16"/>
          <w:szCs w:val="16"/>
          <w:color w:val="auto"/>
        </w:rPr>
        <w:t>$30 million from Rockies Express-West, which began operations in the first quarter of 2008</w:t>
      </w:r>
    </w:p>
    <w:p>
      <w:pPr>
        <w:spacing w:after="0" w:line="44" w:lineRule="exact"/>
        <w:rPr>
          <w:rFonts w:ascii="Arial" w:cs="Arial" w:eastAsia="Arial" w:hAnsi="Arial"/>
          <w:sz w:val="16"/>
          <w:szCs w:val="16"/>
          <w:color w:val="auto"/>
        </w:rPr>
      </w:pPr>
    </w:p>
    <w:p>
      <w:pPr>
        <w:ind w:left="144" w:hanging="144"/>
        <w:spacing w:after="0"/>
        <w:tabs>
          <w:tab w:leader="none" w:pos="144" w:val="left"/>
        </w:tabs>
        <w:numPr>
          <w:ilvl w:val="0"/>
          <w:numId w:val="233"/>
        </w:numPr>
        <w:rPr>
          <w:rFonts w:ascii="Arial" w:cs="Arial" w:eastAsia="Arial" w:hAnsi="Arial"/>
          <w:sz w:val="16"/>
          <w:szCs w:val="16"/>
          <w:color w:val="auto"/>
        </w:rPr>
      </w:pPr>
      <w:r>
        <w:rPr>
          <w:rFonts w:ascii="Arial" w:cs="Arial" w:eastAsia="Arial" w:hAnsi="Arial"/>
          <w:sz w:val="16"/>
          <w:szCs w:val="16"/>
          <w:color w:val="auto"/>
        </w:rPr>
        <w:t>$18 million of higher earnings from the commencement of LNG-related pipeline operations in Mexico in the second quarter of 2008</w:t>
      </w:r>
    </w:p>
    <w:p>
      <w:pPr>
        <w:spacing w:after="0" w:line="128" w:lineRule="exact"/>
        <w:rPr>
          <w:sz w:val="20"/>
          <w:szCs w:val="20"/>
          <w:color w:val="auto"/>
        </w:rPr>
      </w:pPr>
    </w:p>
    <w:p>
      <w:pPr>
        <w:ind w:left="4"/>
        <w:spacing w:after="0" w:line="277" w:lineRule="auto"/>
        <w:rPr>
          <w:sz w:val="20"/>
          <w:szCs w:val="20"/>
          <w:color w:val="auto"/>
        </w:rPr>
      </w:pPr>
      <w:r>
        <w:rPr>
          <w:rFonts w:ascii="Arial" w:cs="Arial" w:eastAsia="Arial" w:hAnsi="Arial"/>
          <w:sz w:val="16"/>
          <w:szCs w:val="16"/>
          <w:color w:val="auto"/>
        </w:rPr>
        <w:t>In 2006, Sempra Pipelines &amp; Storage recorded a $221 million impairment loss associated with the decision to sell its Argentine investments and $24 million of income tax expense related to repatriation of foreign earnings.</w:t>
      </w:r>
    </w:p>
    <w:p>
      <w:pPr>
        <w:spacing w:after="0" w:line="200" w:lineRule="exact"/>
        <w:rPr>
          <w:sz w:val="20"/>
          <w:szCs w:val="20"/>
          <w:color w:val="auto"/>
        </w:rPr>
      </w:pPr>
    </w:p>
    <w:p>
      <w:pPr>
        <w:spacing w:after="0" w:line="353" w:lineRule="exact"/>
        <w:rPr>
          <w:sz w:val="20"/>
          <w:szCs w:val="20"/>
          <w:color w:val="auto"/>
        </w:rPr>
      </w:pPr>
    </w:p>
    <w:p>
      <w:pPr>
        <w:ind w:left="4"/>
        <w:spacing w:after="0"/>
        <w:rPr>
          <w:sz w:val="20"/>
          <w:szCs w:val="20"/>
          <w:color w:val="auto"/>
        </w:rPr>
      </w:pPr>
      <w:r>
        <w:rPr>
          <w:rFonts w:ascii="Arial" w:cs="Arial" w:eastAsia="Arial" w:hAnsi="Arial"/>
          <w:sz w:val="14"/>
          <w:szCs w:val="14"/>
          <w:color w:val="auto"/>
        </w:rPr>
        <w:t>13</w:t>
      </w:r>
    </w:p>
    <w:p>
      <w:pPr>
        <w:sectPr>
          <w:pgSz w:w="11900" w:h="16838" w:orient="portrait"/>
          <w:cols w:equalWidth="0" w:num="1">
            <w:col w:w="10924"/>
          </w:cols>
          <w:pgMar w:left="236" w:top="127" w:right="739" w:bottom="1440" w:gutter="0" w:footer="0" w:header="0"/>
        </w:sectPr>
      </w:pPr>
    </w:p>
    <w:bookmarkStart w:id="153" w:name="page154"/>
    <w:bookmarkEnd w:id="153"/>
    <w:p>
      <w:pPr>
        <w:ind w:left="4"/>
        <w:spacing w:after="0"/>
        <w:rPr>
          <w:sz w:val="20"/>
          <w:szCs w:val="20"/>
          <w:color w:val="auto"/>
        </w:rPr>
      </w:pPr>
      <w:r>
        <w:rPr>
          <w:rFonts w:ascii="Arial" w:cs="Arial" w:eastAsia="Arial" w:hAnsi="Arial"/>
          <w:sz w:val="18"/>
          <w:szCs w:val="18"/>
          <w:b w:val="1"/>
          <w:bCs w:val="1"/>
          <w:i w:val="1"/>
          <w:iCs w:val="1"/>
          <w:color w:val="auto"/>
        </w:rPr>
        <w:t>Sempra LNG</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6"/>
          <w:szCs w:val="16"/>
          <w:color w:val="auto"/>
        </w:rPr>
        <w:t>Sempra LNG recorded net losses of:</w:t>
      </w:r>
    </w:p>
    <w:p>
      <w:pPr>
        <w:spacing w:after="0" w:line="44" w:lineRule="exact"/>
        <w:rPr>
          <w:sz w:val="20"/>
          <w:szCs w:val="20"/>
          <w:color w:val="auto"/>
        </w:rPr>
      </w:pPr>
    </w:p>
    <w:p>
      <w:pPr>
        <w:ind w:left="144" w:hanging="144"/>
        <w:spacing w:after="0"/>
        <w:tabs>
          <w:tab w:leader="none" w:pos="144" w:val="left"/>
        </w:tabs>
        <w:numPr>
          <w:ilvl w:val="0"/>
          <w:numId w:val="234"/>
        </w:numPr>
        <w:rPr>
          <w:rFonts w:ascii="Arial" w:cs="Arial" w:eastAsia="Arial" w:hAnsi="Arial"/>
          <w:sz w:val="16"/>
          <w:szCs w:val="16"/>
          <w:color w:val="auto"/>
        </w:rPr>
      </w:pPr>
      <w:r>
        <w:rPr>
          <w:rFonts w:ascii="Arial" w:cs="Arial" w:eastAsia="Arial" w:hAnsi="Arial"/>
          <w:sz w:val="16"/>
          <w:szCs w:val="16"/>
          <w:color w:val="auto"/>
        </w:rPr>
        <w:t>$(46) million in 2008</w:t>
      </w:r>
    </w:p>
    <w:p>
      <w:pPr>
        <w:spacing w:after="0" w:line="44" w:lineRule="exact"/>
        <w:rPr>
          <w:rFonts w:ascii="Arial" w:cs="Arial" w:eastAsia="Arial" w:hAnsi="Arial"/>
          <w:sz w:val="16"/>
          <w:szCs w:val="16"/>
          <w:color w:val="auto"/>
        </w:rPr>
      </w:pPr>
    </w:p>
    <w:p>
      <w:pPr>
        <w:ind w:left="144" w:hanging="144"/>
        <w:spacing w:after="0"/>
        <w:tabs>
          <w:tab w:leader="none" w:pos="144" w:val="left"/>
        </w:tabs>
        <w:numPr>
          <w:ilvl w:val="0"/>
          <w:numId w:val="234"/>
        </w:numPr>
        <w:rPr>
          <w:rFonts w:ascii="Arial" w:cs="Arial" w:eastAsia="Arial" w:hAnsi="Arial"/>
          <w:sz w:val="16"/>
          <w:szCs w:val="16"/>
          <w:color w:val="auto"/>
        </w:rPr>
      </w:pPr>
      <w:r>
        <w:rPr>
          <w:rFonts w:ascii="Arial" w:cs="Arial" w:eastAsia="Arial" w:hAnsi="Arial"/>
          <w:sz w:val="16"/>
          <w:szCs w:val="16"/>
          <w:color w:val="auto"/>
        </w:rPr>
        <w:t>$(46) million in 2007</w:t>
      </w:r>
    </w:p>
    <w:p>
      <w:pPr>
        <w:spacing w:after="0" w:line="44" w:lineRule="exact"/>
        <w:rPr>
          <w:rFonts w:ascii="Arial" w:cs="Arial" w:eastAsia="Arial" w:hAnsi="Arial"/>
          <w:sz w:val="16"/>
          <w:szCs w:val="16"/>
          <w:color w:val="auto"/>
        </w:rPr>
      </w:pPr>
    </w:p>
    <w:p>
      <w:pPr>
        <w:ind w:left="144" w:hanging="144"/>
        <w:spacing w:after="0"/>
        <w:tabs>
          <w:tab w:leader="none" w:pos="144" w:val="left"/>
        </w:tabs>
        <w:numPr>
          <w:ilvl w:val="0"/>
          <w:numId w:val="234"/>
        </w:numPr>
        <w:rPr>
          <w:rFonts w:ascii="Arial" w:cs="Arial" w:eastAsia="Arial" w:hAnsi="Arial"/>
          <w:sz w:val="16"/>
          <w:szCs w:val="16"/>
          <w:color w:val="auto"/>
        </w:rPr>
      </w:pPr>
      <w:r>
        <w:rPr>
          <w:rFonts w:ascii="Arial" w:cs="Arial" w:eastAsia="Arial" w:hAnsi="Arial"/>
          <w:sz w:val="16"/>
          <w:szCs w:val="16"/>
          <w:color w:val="auto"/>
        </w:rPr>
        <w:t>$(42) million in 2006</w:t>
      </w:r>
    </w:p>
    <w:p>
      <w:pPr>
        <w:spacing w:after="0" w:line="128" w:lineRule="exact"/>
        <w:rPr>
          <w:sz w:val="20"/>
          <w:szCs w:val="20"/>
          <w:color w:val="auto"/>
        </w:rPr>
      </w:pPr>
    </w:p>
    <w:p>
      <w:pPr>
        <w:ind w:left="4"/>
        <w:spacing w:after="0"/>
        <w:rPr>
          <w:sz w:val="20"/>
          <w:szCs w:val="20"/>
          <w:color w:val="auto"/>
        </w:rPr>
      </w:pPr>
      <w:r>
        <w:rPr>
          <w:rFonts w:ascii="Arial" w:cs="Arial" w:eastAsia="Arial" w:hAnsi="Arial"/>
          <w:sz w:val="16"/>
          <w:szCs w:val="16"/>
          <w:color w:val="auto"/>
        </w:rPr>
        <w:t>Although net loss remained unchanged in 2008, the current year included the following items compared to 2007:</w:t>
      </w:r>
    </w:p>
    <w:p>
      <w:pPr>
        <w:spacing w:after="0" w:line="44" w:lineRule="exact"/>
        <w:rPr>
          <w:sz w:val="20"/>
          <w:szCs w:val="20"/>
          <w:color w:val="auto"/>
        </w:rPr>
      </w:pPr>
    </w:p>
    <w:p>
      <w:pPr>
        <w:ind w:left="144" w:hanging="144"/>
        <w:spacing w:after="0"/>
        <w:tabs>
          <w:tab w:leader="none" w:pos="144" w:val="left"/>
        </w:tabs>
        <w:numPr>
          <w:ilvl w:val="0"/>
          <w:numId w:val="235"/>
        </w:numPr>
        <w:rPr>
          <w:rFonts w:ascii="Arial" w:cs="Arial" w:eastAsia="Arial" w:hAnsi="Arial"/>
          <w:sz w:val="16"/>
          <w:szCs w:val="16"/>
          <w:color w:val="auto"/>
        </w:rPr>
      </w:pPr>
      <w:r>
        <w:rPr>
          <w:rFonts w:ascii="Arial" w:cs="Arial" w:eastAsia="Arial" w:hAnsi="Arial"/>
          <w:sz w:val="16"/>
          <w:szCs w:val="16"/>
          <w:color w:val="auto"/>
        </w:rPr>
        <w:t>$15 million lower mark-to-market losses related to a natural gas marketing agreement with RBS Sempra Commodities; and</w:t>
      </w:r>
    </w:p>
    <w:p>
      <w:pPr>
        <w:spacing w:after="0" w:line="44" w:lineRule="exact"/>
        <w:rPr>
          <w:rFonts w:ascii="Arial" w:cs="Arial" w:eastAsia="Arial" w:hAnsi="Arial"/>
          <w:sz w:val="16"/>
          <w:szCs w:val="16"/>
          <w:color w:val="auto"/>
        </w:rPr>
      </w:pPr>
    </w:p>
    <w:p>
      <w:pPr>
        <w:ind w:left="144" w:right="520" w:hanging="144"/>
        <w:spacing w:after="0" w:line="274" w:lineRule="auto"/>
        <w:tabs>
          <w:tab w:leader="none" w:pos="144" w:val="left"/>
        </w:tabs>
        <w:numPr>
          <w:ilvl w:val="0"/>
          <w:numId w:val="235"/>
        </w:numPr>
        <w:rPr>
          <w:rFonts w:ascii="Arial" w:cs="Arial" w:eastAsia="Arial" w:hAnsi="Arial"/>
          <w:sz w:val="16"/>
          <w:szCs w:val="16"/>
          <w:color w:val="auto"/>
        </w:rPr>
      </w:pPr>
      <w:r>
        <w:rPr>
          <w:rFonts w:ascii="Arial" w:cs="Arial" w:eastAsia="Arial" w:hAnsi="Arial"/>
          <w:sz w:val="16"/>
          <w:szCs w:val="16"/>
          <w:color w:val="auto"/>
        </w:rPr>
        <w:t xml:space="preserve">a $10 million after-tax cash payment received for the early termination of a capacity agreement with Merrill Lynch Commodities Inc. for the Cameron LNG receipt terminal; </w:t>
      </w:r>
      <w:r>
        <w:rPr>
          <w:rFonts w:ascii="Arial" w:cs="Arial" w:eastAsia="Arial" w:hAnsi="Arial"/>
          <w:sz w:val="16"/>
          <w:szCs w:val="16"/>
          <w:b w:val="1"/>
          <w:bCs w:val="1"/>
          <w:color w:val="auto"/>
        </w:rPr>
        <w:t>offset by</w:t>
      </w:r>
    </w:p>
    <w:p>
      <w:pPr>
        <w:ind w:left="144" w:right="780" w:hanging="144"/>
        <w:spacing w:after="0" w:line="277" w:lineRule="auto"/>
        <w:tabs>
          <w:tab w:leader="none" w:pos="144" w:val="left"/>
        </w:tabs>
        <w:numPr>
          <w:ilvl w:val="0"/>
          <w:numId w:val="235"/>
        </w:numPr>
        <w:rPr>
          <w:rFonts w:ascii="Arial" w:cs="Arial" w:eastAsia="Arial" w:hAnsi="Arial"/>
          <w:sz w:val="16"/>
          <w:szCs w:val="16"/>
          <w:color w:val="auto"/>
        </w:rPr>
      </w:pPr>
      <w:r>
        <w:rPr>
          <w:rFonts w:ascii="Arial" w:cs="Arial" w:eastAsia="Arial" w:hAnsi="Arial"/>
          <w:sz w:val="16"/>
          <w:szCs w:val="16"/>
          <w:color w:val="auto"/>
        </w:rPr>
        <w:t>$22 million higher general and administrative and operating expenses, including $13 million of costs for LNG supplies for the Energía Costa Azul LNG receipt terminal.</w:t>
      </w:r>
    </w:p>
    <w:p>
      <w:pPr>
        <w:spacing w:after="0" w:line="80" w:lineRule="exact"/>
        <w:rPr>
          <w:sz w:val="20"/>
          <w:szCs w:val="20"/>
          <w:color w:val="auto"/>
        </w:rPr>
      </w:pPr>
    </w:p>
    <w:p>
      <w:pPr>
        <w:ind w:left="4"/>
        <w:spacing w:after="0" w:line="277" w:lineRule="auto"/>
        <w:rPr>
          <w:sz w:val="20"/>
          <w:szCs w:val="20"/>
          <w:color w:val="auto"/>
        </w:rPr>
      </w:pPr>
      <w:r>
        <w:rPr>
          <w:rFonts w:ascii="Arial" w:cs="Arial" w:eastAsia="Arial" w:hAnsi="Arial"/>
          <w:sz w:val="16"/>
          <w:szCs w:val="16"/>
          <w:color w:val="auto"/>
        </w:rPr>
        <w:t>The increased loss in 2007 was due to a $2 million increase in mark-to-market loss related to a natural gas marketing agreement with Sempra Commodities and higher development and general and administrative expenses.</w:t>
      </w:r>
    </w:p>
    <w:p>
      <w:pPr>
        <w:spacing w:after="0" w:line="126" w:lineRule="exact"/>
        <w:rPr>
          <w:sz w:val="20"/>
          <w:szCs w:val="20"/>
          <w:color w:val="auto"/>
        </w:rPr>
      </w:pPr>
    </w:p>
    <w:p>
      <w:pPr>
        <w:ind w:left="4"/>
        <w:spacing w:after="0"/>
        <w:rPr>
          <w:sz w:val="20"/>
          <w:szCs w:val="20"/>
          <w:color w:val="auto"/>
        </w:rPr>
      </w:pPr>
      <w:r>
        <w:rPr>
          <w:rFonts w:ascii="Arial" w:cs="Arial" w:eastAsia="Arial" w:hAnsi="Arial"/>
          <w:sz w:val="18"/>
          <w:szCs w:val="18"/>
          <w:b w:val="1"/>
          <w:bCs w:val="1"/>
          <w:i w:val="1"/>
          <w:iCs w:val="1"/>
          <w:color w:val="auto"/>
        </w:rPr>
        <w:t>Parent and Other</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6"/>
          <w:szCs w:val="16"/>
          <w:color w:val="auto"/>
        </w:rPr>
        <w:t>Net losses for Parent and Other were</w:t>
      </w:r>
    </w:p>
    <w:p>
      <w:pPr>
        <w:spacing w:after="0" w:line="44" w:lineRule="exact"/>
        <w:rPr>
          <w:sz w:val="20"/>
          <w:szCs w:val="20"/>
          <w:color w:val="auto"/>
        </w:rPr>
      </w:pPr>
    </w:p>
    <w:p>
      <w:pPr>
        <w:ind w:left="144" w:hanging="144"/>
        <w:spacing w:after="0"/>
        <w:tabs>
          <w:tab w:leader="none" w:pos="144" w:val="left"/>
        </w:tabs>
        <w:numPr>
          <w:ilvl w:val="0"/>
          <w:numId w:val="236"/>
        </w:numPr>
        <w:rPr>
          <w:rFonts w:ascii="Arial" w:cs="Arial" w:eastAsia="Arial" w:hAnsi="Arial"/>
          <w:sz w:val="16"/>
          <w:szCs w:val="16"/>
          <w:color w:val="auto"/>
        </w:rPr>
      </w:pPr>
      <w:r>
        <w:rPr>
          <w:rFonts w:ascii="Arial" w:cs="Arial" w:eastAsia="Arial" w:hAnsi="Arial"/>
          <w:sz w:val="16"/>
          <w:szCs w:val="16"/>
          <w:color w:val="auto"/>
        </w:rPr>
        <w:t>$(97) million in 2008</w:t>
      </w:r>
    </w:p>
    <w:p>
      <w:pPr>
        <w:spacing w:after="0" w:line="44" w:lineRule="exact"/>
        <w:rPr>
          <w:rFonts w:ascii="Arial" w:cs="Arial" w:eastAsia="Arial" w:hAnsi="Arial"/>
          <w:sz w:val="16"/>
          <w:szCs w:val="16"/>
          <w:color w:val="auto"/>
        </w:rPr>
      </w:pPr>
    </w:p>
    <w:p>
      <w:pPr>
        <w:ind w:left="144" w:hanging="144"/>
        <w:spacing w:after="0"/>
        <w:tabs>
          <w:tab w:leader="none" w:pos="144" w:val="left"/>
        </w:tabs>
        <w:numPr>
          <w:ilvl w:val="0"/>
          <w:numId w:val="236"/>
        </w:numPr>
        <w:rPr>
          <w:rFonts w:ascii="Arial" w:cs="Arial" w:eastAsia="Arial" w:hAnsi="Arial"/>
          <w:sz w:val="16"/>
          <w:szCs w:val="16"/>
          <w:color w:val="auto"/>
        </w:rPr>
      </w:pPr>
      <w:r>
        <w:rPr>
          <w:rFonts w:ascii="Arial" w:cs="Arial" w:eastAsia="Arial" w:hAnsi="Arial"/>
          <w:sz w:val="16"/>
          <w:szCs w:val="16"/>
          <w:color w:val="auto"/>
        </w:rPr>
        <w:t>$(67) million in 2007</w:t>
      </w:r>
    </w:p>
    <w:p>
      <w:pPr>
        <w:spacing w:after="0" w:line="44" w:lineRule="exact"/>
        <w:rPr>
          <w:rFonts w:ascii="Arial" w:cs="Arial" w:eastAsia="Arial" w:hAnsi="Arial"/>
          <w:sz w:val="16"/>
          <w:szCs w:val="16"/>
          <w:color w:val="auto"/>
        </w:rPr>
      </w:pPr>
    </w:p>
    <w:p>
      <w:pPr>
        <w:ind w:left="144" w:hanging="144"/>
        <w:spacing w:after="0"/>
        <w:tabs>
          <w:tab w:leader="none" w:pos="144" w:val="left"/>
        </w:tabs>
        <w:numPr>
          <w:ilvl w:val="0"/>
          <w:numId w:val="236"/>
        </w:numPr>
        <w:rPr>
          <w:rFonts w:ascii="Arial" w:cs="Arial" w:eastAsia="Arial" w:hAnsi="Arial"/>
          <w:sz w:val="16"/>
          <w:szCs w:val="16"/>
          <w:color w:val="auto"/>
        </w:rPr>
      </w:pPr>
      <w:r>
        <w:rPr>
          <w:rFonts w:ascii="Arial" w:cs="Arial" w:eastAsia="Arial" w:hAnsi="Arial"/>
          <w:sz w:val="16"/>
          <w:szCs w:val="16"/>
          <w:color w:val="auto"/>
        </w:rPr>
        <w:t>$(41) million in 2006</w:t>
      </w:r>
    </w:p>
    <w:p>
      <w:pPr>
        <w:spacing w:after="0" w:line="128" w:lineRule="exact"/>
        <w:rPr>
          <w:sz w:val="20"/>
          <w:szCs w:val="20"/>
          <w:color w:val="auto"/>
        </w:rPr>
      </w:pPr>
    </w:p>
    <w:p>
      <w:pPr>
        <w:ind w:left="4"/>
        <w:spacing w:after="0"/>
        <w:rPr>
          <w:sz w:val="20"/>
          <w:szCs w:val="20"/>
          <w:color w:val="auto"/>
        </w:rPr>
      </w:pPr>
      <w:r>
        <w:rPr>
          <w:rFonts w:ascii="Arial" w:cs="Arial" w:eastAsia="Arial" w:hAnsi="Arial"/>
          <w:sz w:val="16"/>
          <w:szCs w:val="16"/>
          <w:color w:val="auto"/>
        </w:rPr>
        <w:t>The increase in net loss in 2008 of $30 million (45%) was primarily due to</w:t>
      </w:r>
    </w:p>
    <w:p>
      <w:pPr>
        <w:spacing w:after="0" w:line="44" w:lineRule="exact"/>
        <w:rPr>
          <w:sz w:val="20"/>
          <w:szCs w:val="20"/>
          <w:color w:val="auto"/>
        </w:rPr>
      </w:pPr>
    </w:p>
    <w:p>
      <w:pPr>
        <w:ind w:left="144" w:right="720" w:hanging="144"/>
        <w:spacing w:after="0" w:line="264" w:lineRule="auto"/>
        <w:tabs>
          <w:tab w:leader="none" w:pos="144" w:val="left"/>
        </w:tabs>
        <w:numPr>
          <w:ilvl w:val="0"/>
          <w:numId w:val="237"/>
        </w:numPr>
        <w:rPr>
          <w:rFonts w:ascii="Arial" w:cs="Arial" w:eastAsia="Arial" w:hAnsi="Arial"/>
          <w:sz w:val="16"/>
          <w:szCs w:val="16"/>
          <w:color w:val="auto"/>
        </w:rPr>
      </w:pPr>
      <w:r>
        <w:rPr>
          <w:rFonts w:ascii="Arial" w:cs="Arial" w:eastAsia="Arial" w:hAnsi="Arial"/>
          <w:sz w:val="16"/>
          <w:szCs w:val="16"/>
          <w:color w:val="auto"/>
        </w:rPr>
        <w:t>$23 million of investment losses in 2008 compared to $6 million of gains in 2007 on dedicated assets in support of our executive retirement and deferred compensation plans due to the market declines in 2008. This amount is net of the reduction in deferred compensation liability associated with the investments;</w:t>
      </w:r>
    </w:p>
    <w:p>
      <w:pPr>
        <w:spacing w:after="0" w:line="5" w:lineRule="exact"/>
        <w:rPr>
          <w:rFonts w:ascii="Arial" w:cs="Arial" w:eastAsia="Arial" w:hAnsi="Arial"/>
          <w:sz w:val="16"/>
          <w:szCs w:val="16"/>
          <w:color w:val="auto"/>
        </w:rPr>
      </w:pPr>
    </w:p>
    <w:p>
      <w:pPr>
        <w:ind w:left="144" w:hanging="144"/>
        <w:spacing w:after="0"/>
        <w:tabs>
          <w:tab w:leader="none" w:pos="144" w:val="left"/>
        </w:tabs>
        <w:numPr>
          <w:ilvl w:val="0"/>
          <w:numId w:val="237"/>
        </w:numPr>
        <w:rPr>
          <w:rFonts w:ascii="Arial" w:cs="Arial" w:eastAsia="Arial" w:hAnsi="Arial"/>
          <w:sz w:val="16"/>
          <w:szCs w:val="16"/>
          <w:color w:val="auto"/>
        </w:rPr>
      </w:pPr>
      <w:r>
        <w:rPr>
          <w:rFonts w:ascii="Arial" w:cs="Arial" w:eastAsia="Arial" w:hAnsi="Arial"/>
          <w:sz w:val="16"/>
          <w:szCs w:val="16"/>
          <w:color w:val="auto"/>
        </w:rPr>
        <w:t>$14 million gain from interest-rate swaps in 2007; and</w:t>
      </w:r>
    </w:p>
    <w:p>
      <w:pPr>
        <w:spacing w:after="0" w:line="40" w:lineRule="exact"/>
        <w:rPr>
          <w:rFonts w:ascii="Arial" w:cs="Arial" w:eastAsia="Arial" w:hAnsi="Arial"/>
          <w:sz w:val="16"/>
          <w:szCs w:val="16"/>
          <w:color w:val="auto"/>
        </w:rPr>
      </w:pPr>
    </w:p>
    <w:p>
      <w:pPr>
        <w:ind w:left="144" w:hanging="144"/>
        <w:spacing w:after="0"/>
        <w:tabs>
          <w:tab w:leader="none" w:pos="144" w:val="left"/>
        </w:tabs>
        <w:numPr>
          <w:ilvl w:val="0"/>
          <w:numId w:val="237"/>
        </w:numPr>
        <w:rPr>
          <w:rFonts w:ascii="Arial" w:cs="Arial" w:eastAsia="Arial" w:hAnsi="Arial"/>
          <w:sz w:val="16"/>
          <w:szCs w:val="16"/>
          <w:color w:val="auto"/>
        </w:rPr>
      </w:pPr>
      <w:r>
        <w:rPr>
          <w:rFonts w:ascii="Arial" w:cs="Arial" w:eastAsia="Arial" w:hAnsi="Arial"/>
          <w:sz w:val="16"/>
          <w:szCs w:val="16"/>
          <w:color w:val="auto"/>
        </w:rPr>
        <w:t xml:space="preserve">$8 million Mexican peso exchange losses, net of lower Mexican currency translation and inflation tax adjustments; </w:t>
      </w:r>
      <w:r>
        <w:rPr>
          <w:rFonts w:ascii="Arial" w:cs="Arial" w:eastAsia="Arial" w:hAnsi="Arial"/>
          <w:sz w:val="16"/>
          <w:szCs w:val="16"/>
          <w:b w:val="1"/>
          <w:bCs w:val="1"/>
          <w:color w:val="auto"/>
        </w:rPr>
        <w:t>offset by</w:t>
      </w:r>
    </w:p>
    <w:p>
      <w:pPr>
        <w:spacing w:after="0" w:line="48" w:lineRule="exact"/>
        <w:rPr>
          <w:rFonts w:ascii="Arial" w:cs="Arial" w:eastAsia="Arial" w:hAnsi="Arial"/>
          <w:sz w:val="16"/>
          <w:szCs w:val="16"/>
          <w:color w:val="auto"/>
        </w:rPr>
      </w:pPr>
    </w:p>
    <w:p>
      <w:pPr>
        <w:ind w:left="144" w:hanging="144"/>
        <w:spacing w:after="0"/>
        <w:tabs>
          <w:tab w:leader="none" w:pos="144" w:val="left"/>
        </w:tabs>
        <w:numPr>
          <w:ilvl w:val="0"/>
          <w:numId w:val="237"/>
        </w:numPr>
        <w:rPr>
          <w:rFonts w:ascii="Arial" w:cs="Arial" w:eastAsia="Arial" w:hAnsi="Arial"/>
          <w:sz w:val="16"/>
          <w:szCs w:val="16"/>
          <w:color w:val="auto"/>
        </w:rPr>
      </w:pPr>
      <w:r>
        <w:rPr>
          <w:rFonts w:ascii="Arial" w:cs="Arial" w:eastAsia="Arial" w:hAnsi="Arial"/>
          <w:sz w:val="16"/>
          <w:szCs w:val="16"/>
          <w:color w:val="auto"/>
        </w:rPr>
        <w:t>$13 million lower income tax expense primarily from the higher favorable resolution of prior years' income tax issues in 2008; and</w:t>
      </w:r>
    </w:p>
    <w:p>
      <w:pPr>
        <w:spacing w:after="0" w:line="44" w:lineRule="exact"/>
        <w:rPr>
          <w:rFonts w:ascii="Arial" w:cs="Arial" w:eastAsia="Arial" w:hAnsi="Arial"/>
          <w:sz w:val="16"/>
          <w:szCs w:val="16"/>
          <w:color w:val="auto"/>
        </w:rPr>
      </w:pPr>
    </w:p>
    <w:p>
      <w:pPr>
        <w:ind w:left="144" w:hanging="144"/>
        <w:spacing w:after="0"/>
        <w:tabs>
          <w:tab w:leader="none" w:pos="144" w:val="left"/>
        </w:tabs>
        <w:numPr>
          <w:ilvl w:val="0"/>
          <w:numId w:val="237"/>
        </w:numPr>
        <w:rPr>
          <w:rFonts w:ascii="Arial" w:cs="Arial" w:eastAsia="Arial" w:hAnsi="Arial"/>
          <w:sz w:val="16"/>
          <w:szCs w:val="16"/>
          <w:color w:val="auto"/>
        </w:rPr>
      </w:pPr>
      <w:r>
        <w:rPr>
          <w:rFonts w:ascii="Arial" w:cs="Arial" w:eastAsia="Arial" w:hAnsi="Arial"/>
          <w:sz w:val="16"/>
          <w:szCs w:val="16"/>
          <w:color w:val="auto"/>
        </w:rPr>
        <w:t>$10 million lower interest expense related to litigation reserves in 2008.</w:t>
      </w:r>
    </w:p>
    <w:p>
      <w:pPr>
        <w:spacing w:after="0" w:line="128" w:lineRule="exact"/>
        <w:rPr>
          <w:sz w:val="20"/>
          <w:szCs w:val="20"/>
          <w:color w:val="auto"/>
        </w:rPr>
      </w:pPr>
    </w:p>
    <w:p>
      <w:pPr>
        <w:ind w:left="4"/>
        <w:spacing w:after="0"/>
        <w:rPr>
          <w:sz w:val="20"/>
          <w:szCs w:val="20"/>
          <w:color w:val="auto"/>
        </w:rPr>
      </w:pPr>
      <w:r>
        <w:rPr>
          <w:rFonts w:ascii="Arial" w:cs="Arial" w:eastAsia="Arial" w:hAnsi="Arial"/>
          <w:sz w:val="16"/>
          <w:szCs w:val="16"/>
          <w:color w:val="auto"/>
        </w:rPr>
        <w:t>The increase in net loss in 2007 of $26 million (63%) was primarily due to</w:t>
      </w:r>
    </w:p>
    <w:p>
      <w:pPr>
        <w:spacing w:after="0" w:line="44" w:lineRule="exact"/>
        <w:rPr>
          <w:sz w:val="20"/>
          <w:szCs w:val="20"/>
          <w:color w:val="auto"/>
        </w:rPr>
      </w:pPr>
    </w:p>
    <w:p>
      <w:pPr>
        <w:ind w:left="144" w:hanging="144"/>
        <w:spacing w:after="0"/>
        <w:tabs>
          <w:tab w:leader="none" w:pos="144" w:val="left"/>
        </w:tabs>
        <w:numPr>
          <w:ilvl w:val="0"/>
          <w:numId w:val="238"/>
        </w:numPr>
        <w:rPr>
          <w:rFonts w:ascii="Arial" w:cs="Arial" w:eastAsia="Arial" w:hAnsi="Arial"/>
          <w:sz w:val="16"/>
          <w:szCs w:val="16"/>
          <w:color w:val="auto"/>
        </w:rPr>
      </w:pPr>
      <w:r>
        <w:rPr>
          <w:rFonts w:ascii="Arial" w:cs="Arial" w:eastAsia="Arial" w:hAnsi="Arial"/>
          <w:sz w:val="16"/>
          <w:szCs w:val="16"/>
          <w:color w:val="auto"/>
        </w:rPr>
        <w:t>$38 million favorable resolution of a state income tax matter in 2006;</w:t>
      </w:r>
    </w:p>
    <w:p>
      <w:pPr>
        <w:spacing w:after="0" w:line="44" w:lineRule="exact"/>
        <w:rPr>
          <w:rFonts w:ascii="Arial" w:cs="Arial" w:eastAsia="Arial" w:hAnsi="Arial"/>
          <w:sz w:val="16"/>
          <w:szCs w:val="16"/>
          <w:color w:val="auto"/>
        </w:rPr>
      </w:pPr>
    </w:p>
    <w:p>
      <w:pPr>
        <w:ind w:left="144" w:hanging="144"/>
        <w:spacing w:after="0"/>
        <w:tabs>
          <w:tab w:leader="none" w:pos="144" w:val="left"/>
        </w:tabs>
        <w:numPr>
          <w:ilvl w:val="0"/>
          <w:numId w:val="238"/>
        </w:numPr>
        <w:rPr>
          <w:rFonts w:ascii="Arial" w:cs="Arial" w:eastAsia="Arial" w:hAnsi="Arial"/>
          <w:sz w:val="16"/>
          <w:szCs w:val="16"/>
          <w:color w:val="auto"/>
        </w:rPr>
      </w:pPr>
      <w:r>
        <w:rPr>
          <w:rFonts w:ascii="Arial" w:cs="Arial" w:eastAsia="Arial" w:hAnsi="Arial"/>
          <w:sz w:val="16"/>
          <w:szCs w:val="16"/>
          <w:color w:val="auto"/>
        </w:rPr>
        <w:t>$12 million for contributions to fund the newly-formed Sempra Energy Foundation (a private charitable foundation) in 2007; and</w:t>
      </w:r>
    </w:p>
    <w:p>
      <w:pPr>
        <w:spacing w:after="0" w:line="40" w:lineRule="exact"/>
        <w:rPr>
          <w:rFonts w:ascii="Arial" w:cs="Arial" w:eastAsia="Arial" w:hAnsi="Arial"/>
          <w:sz w:val="16"/>
          <w:szCs w:val="16"/>
          <w:color w:val="auto"/>
        </w:rPr>
      </w:pPr>
    </w:p>
    <w:p>
      <w:pPr>
        <w:ind w:left="144" w:hanging="144"/>
        <w:spacing w:after="0"/>
        <w:tabs>
          <w:tab w:leader="none" w:pos="144" w:val="left"/>
        </w:tabs>
        <w:numPr>
          <w:ilvl w:val="0"/>
          <w:numId w:val="238"/>
        </w:numPr>
        <w:rPr>
          <w:rFonts w:ascii="Arial" w:cs="Arial" w:eastAsia="Arial" w:hAnsi="Arial"/>
          <w:sz w:val="16"/>
          <w:szCs w:val="16"/>
          <w:color w:val="auto"/>
        </w:rPr>
      </w:pPr>
      <w:r>
        <w:rPr>
          <w:rFonts w:ascii="Arial" w:cs="Arial" w:eastAsia="Arial" w:hAnsi="Arial"/>
          <w:sz w:val="16"/>
          <w:szCs w:val="16"/>
          <w:color w:val="auto"/>
        </w:rPr>
        <w:t xml:space="preserve">$8 million in interest income related to an insurance claim in 2006, </w:t>
      </w:r>
      <w:r>
        <w:rPr>
          <w:rFonts w:ascii="Arial" w:cs="Arial" w:eastAsia="Arial" w:hAnsi="Arial"/>
          <w:sz w:val="16"/>
          <w:szCs w:val="16"/>
          <w:b w:val="1"/>
          <w:bCs w:val="1"/>
          <w:color w:val="auto"/>
        </w:rPr>
        <w:t>offset by</w:t>
      </w:r>
    </w:p>
    <w:p>
      <w:pPr>
        <w:spacing w:after="0" w:line="48" w:lineRule="exact"/>
        <w:rPr>
          <w:rFonts w:ascii="Arial" w:cs="Arial" w:eastAsia="Arial" w:hAnsi="Arial"/>
          <w:sz w:val="16"/>
          <w:szCs w:val="16"/>
          <w:color w:val="auto"/>
        </w:rPr>
      </w:pPr>
    </w:p>
    <w:p>
      <w:pPr>
        <w:ind w:left="144" w:hanging="144"/>
        <w:spacing w:after="0"/>
        <w:tabs>
          <w:tab w:leader="none" w:pos="144" w:val="left"/>
        </w:tabs>
        <w:numPr>
          <w:ilvl w:val="0"/>
          <w:numId w:val="238"/>
        </w:numPr>
        <w:rPr>
          <w:rFonts w:ascii="Arial" w:cs="Arial" w:eastAsia="Arial" w:hAnsi="Arial"/>
          <w:sz w:val="16"/>
          <w:szCs w:val="16"/>
          <w:color w:val="auto"/>
        </w:rPr>
      </w:pPr>
      <w:r>
        <w:rPr>
          <w:rFonts w:ascii="Arial" w:cs="Arial" w:eastAsia="Arial" w:hAnsi="Arial"/>
          <w:sz w:val="16"/>
          <w:szCs w:val="16"/>
          <w:color w:val="auto"/>
        </w:rPr>
        <w:t>$26 million lower net interest expense in 2007 primarily due to the 2006 Sempra Generation asset sales; and</w:t>
      </w:r>
    </w:p>
    <w:p>
      <w:pPr>
        <w:spacing w:after="0" w:line="44" w:lineRule="exact"/>
        <w:rPr>
          <w:rFonts w:ascii="Arial" w:cs="Arial" w:eastAsia="Arial" w:hAnsi="Arial"/>
          <w:sz w:val="16"/>
          <w:szCs w:val="16"/>
          <w:color w:val="auto"/>
        </w:rPr>
      </w:pPr>
    </w:p>
    <w:p>
      <w:pPr>
        <w:ind w:left="144" w:hanging="144"/>
        <w:spacing w:after="0"/>
        <w:tabs>
          <w:tab w:leader="none" w:pos="144" w:val="left"/>
        </w:tabs>
        <w:numPr>
          <w:ilvl w:val="0"/>
          <w:numId w:val="238"/>
        </w:numPr>
        <w:rPr>
          <w:rFonts w:ascii="Arial" w:cs="Arial" w:eastAsia="Arial" w:hAnsi="Arial"/>
          <w:sz w:val="16"/>
          <w:szCs w:val="16"/>
          <w:color w:val="auto"/>
        </w:rPr>
      </w:pPr>
      <w:r>
        <w:rPr>
          <w:rFonts w:ascii="Arial" w:cs="Arial" w:eastAsia="Arial" w:hAnsi="Arial"/>
          <w:sz w:val="16"/>
          <w:szCs w:val="16"/>
          <w:color w:val="auto"/>
        </w:rPr>
        <w:t>$14 million net gain from interest-rate swaps.</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4"/>
        <w:spacing w:after="0"/>
        <w:rPr>
          <w:sz w:val="20"/>
          <w:szCs w:val="20"/>
          <w:color w:val="auto"/>
        </w:rPr>
      </w:pPr>
      <w:r>
        <w:rPr>
          <w:rFonts w:ascii="Arial" w:cs="Arial" w:eastAsia="Arial" w:hAnsi="Arial"/>
          <w:sz w:val="14"/>
          <w:szCs w:val="14"/>
          <w:color w:val="auto"/>
        </w:rPr>
        <w:t>14</w:t>
      </w:r>
    </w:p>
    <w:p>
      <w:pPr>
        <w:sectPr>
          <w:pgSz w:w="11900" w:h="16838" w:orient="portrait"/>
          <w:cols w:equalWidth="0" w:num="1">
            <w:col w:w="10664"/>
          </w:cols>
          <w:pgMar w:left="236" w:top="293" w:right="999" w:bottom="1440" w:gutter="0" w:footer="0" w:header="0"/>
        </w:sectPr>
      </w:pPr>
    </w:p>
    <w:bookmarkStart w:id="154" w:name="page155"/>
    <w:bookmarkEnd w:id="154"/>
    <w:p>
      <w:pPr>
        <w:spacing w:after="0"/>
        <w:rPr>
          <w:sz w:val="20"/>
          <w:szCs w:val="20"/>
          <w:color w:val="auto"/>
        </w:rPr>
      </w:pPr>
      <w:r>
        <w:rPr>
          <w:rFonts w:ascii="Arial" w:cs="Arial" w:eastAsia="Arial" w:hAnsi="Arial"/>
          <w:sz w:val="16"/>
          <w:szCs w:val="16"/>
          <w:b w:val="1"/>
          <w:bCs w:val="1"/>
          <w:color w:val="auto"/>
        </w:rPr>
        <w:t>CHANGES IN REVENUES, COSTS AND EARNINGS</w:t>
      </w:r>
    </w:p>
    <w:p>
      <w:pPr>
        <w:spacing w:after="0" w:line="89" w:lineRule="exact"/>
        <w:rPr>
          <w:sz w:val="20"/>
          <w:szCs w:val="20"/>
          <w:color w:val="auto"/>
        </w:rPr>
      </w:pPr>
    </w:p>
    <w:p>
      <w:pPr>
        <w:ind w:right="260"/>
        <w:spacing w:after="0" w:line="277" w:lineRule="auto"/>
        <w:rPr>
          <w:sz w:val="20"/>
          <w:szCs w:val="20"/>
          <w:color w:val="auto"/>
        </w:rPr>
      </w:pPr>
      <w:r>
        <w:rPr>
          <w:rFonts w:ascii="Arial" w:cs="Arial" w:eastAsia="Arial" w:hAnsi="Arial"/>
          <w:sz w:val="16"/>
          <w:szCs w:val="16"/>
          <w:color w:val="auto"/>
        </w:rPr>
        <w:t>This section contains a discussion of the differences between periods in the specific line items of the Statements of Consolidated Income for Sempra Energy, SDG&amp;E, PE and SoCalGas.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Sempra Utilities Revenues</w:t>
      </w:r>
    </w:p>
    <w:p>
      <w:pPr>
        <w:spacing w:after="0" w:line="23" w:lineRule="exact"/>
        <w:rPr>
          <w:sz w:val="20"/>
          <w:szCs w:val="20"/>
          <w:color w:val="auto"/>
        </w:rPr>
      </w:pPr>
    </w:p>
    <w:p>
      <w:pPr>
        <w:ind w:right="300"/>
        <w:spacing w:after="0" w:line="277" w:lineRule="auto"/>
        <w:rPr>
          <w:sz w:val="20"/>
          <w:szCs w:val="20"/>
          <w:color w:val="auto"/>
        </w:rPr>
      </w:pPr>
      <w:r>
        <w:rPr>
          <w:rFonts w:ascii="Arial" w:cs="Arial" w:eastAsia="Arial" w:hAnsi="Arial"/>
          <w:sz w:val="16"/>
          <w:szCs w:val="16"/>
          <w:color w:val="auto"/>
        </w:rPr>
        <w:t>Sempra Utilities revenues are comprised of natural gas revenues at SDG&amp;E and SoCalGas, and electric revenues at SDG&amp;E. Intercompany revenues included in the separate revenues of each utility are eliminated in the Sempra Energy Statements of Consolidated Income.</w:t>
      </w:r>
    </w:p>
    <w:p>
      <w:pPr>
        <w:spacing w:after="0" w:line="32" w:lineRule="exact"/>
        <w:rPr>
          <w:sz w:val="20"/>
          <w:szCs w:val="20"/>
          <w:color w:val="auto"/>
        </w:rPr>
      </w:pPr>
    </w:p>
    <w:p>
      <w:pPr>
        <w:spacing w:after="0" w:line="299" w:lineRule="auto"/>
        <w:rPr>
          <w:sz w:val="20"/>
          <w:szCs w:val="20"/>
          <w:color w:val="auto"/>
        </w:rPr>
      </w:pPr>
      <w:r>
        <w:rPr>
          <w:rFonts w:ascii="Arial" w:cs="Arial" w:eastAsia="Arial" w:hAnsi="Arial"/>
          <w:sz w:val="14"/>
          <w:szCs w:val="14"/>
          <w:color w:val="auto"/>
        </w:rPr>
        <w:t>The current regulatory framework permits the cost of natural gas purchased for core customers (primarily residential and small commercial and industrial customers) to be passed on to customers substantially as incurred. However, SoCalGas' Gas Cost Incentive Mechanism (GCIM) provides SoCalGas the opportunity to share in the savings and/or costs from buying natural gas for its core customers at prices below or above market-based monthly benchmarks. The mechanism permits full recovery of costs incurred when average purchase costs are within a price range around a monthly benchmark price. Any higher costs or savings realized outside this range are shared between the core customers and SoCalGas. Through March 31, 2008, when SoCalGas assumed the purchasing for SDG&amp;E's core customer natural gas requirements on a combined portfolio basis, SDG&amp;E had a similar incentive mechanism that allowed cost sharing. We provide further discussion in Notes 1 and 15 of the Notes to Consolidated Financial Statements.</w:t>
      </w: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14"/>
          <w:szCs w:val="14"/>
          <w:color w:val="auto"/>
        </w:rPr>
        <w:t>15</w:t>
      </w:r>
    </w:p>
    <w:p>
      <w:pPr>
        <w:sectPr>
          <w:pgSz w:w="11900" w:h="16838" w:orient="portrait"/>
          <w:cols w:equalWidth="0" w:num="1">
            <w:col w:w="11400"/>
          </w:cols>
          <w:pgMar w:left="240" w:top="395" w:right="259" w:bottom="1440" w:gutter="0" w:footer="0" w:header="0"/>
        </w:sectPr>
      </w:pPr>
    </w:p>
    <w:bookmarkStart w:id="155" w:name="page156"/>
    <w:bookmarkEnd w:id="155"/>
    <w:p>
      <w:pPr>
        <w:ind w:left="4"/>
        <w:spacing w:after="0"/>
        <w:rPr>
          <w:sz w:val="20"/>
          <w:szCs w:val="20"/>
          <w:color w:val="auto"/>
        </w:rPr>
      </w:pPr>
      <w:r>
        <w:rPr>
          <w:rFonts w:ascii="Arial" w:cs="Arial" w:eastAsia="Arial" w:hAnsi="Arial"/>
          <w:sz w:val="18"/>
          <w:szCs w:val="18"/>
          <w:b w:val="1"/>
          <w:bCs w:val="1"/>
          <w:i w:val="1"/>
          <w:iCs w:val="1"/>
          <w:color w:val="auto"/>
        </w:rPr>
        <w:t>Sempra Utilities: Natural Gas Revenues and Cost of Natural Gas</w:t>
      </w:r>
    </w:p>
    <w:p>
      <w:pPr>
        <w:spacing w:after="0" w:line="23" w:lineRule="exact"/>
        <w:rPr>
          <w:sz w:val="20"/>
          <w:szCs w:val="20"/>
          <w:color w:val="auto"/>
        </w:rPr>
      </w:pPr>
    </w:p>
    <w:p>
      <w:pPr>
        <w:ind w:left="4" w:right="560"/>
        <w:spacing w:after="0" w:line="312" w:lineRule="auto"/>
        <w:rPr>
          <w:sz w:val="20"/>
          <w:szCs w:val="20"/>
          <w:color w:val="auto"/>
        </w:rPr>
      </w:pPr>
      <w:r>
        <w:rPr>
          <w:rFonts w:ascii="Arial" w:cs="Arial" w:eastAsia="Arial" w:hAnsi="Arial"/>
          <w:sz w:val="15"/>
          <w:szCs w:val="15"/>
          <w:color w:val="auto"/>
        </w:rPr>
        <w:t>The tables below show natural gas revenues for Sempra Energy, SDG&amp;E and SoCalGas. The Sempra Energy amounts reflect SDG&amp;E and SoCalGas revenues, net of intercompany transactions. Because the cost of natural gas is recovered in rates, changes in the cost are reflected in the changes in revenues.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1052830</wp:posOffset>
            </wp:positionH>
            <wp:positionV relativeFrom="paragraph">
              <wp:posOffset>150495</wp:posOffset>
            </wp:positionV>
            <wp:extent cx="5156200" cy="36639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156200" cy="366395"/>
                    </a:xfrm>
                    <a:prstGeom prst="rect">
                      <a:avLst/>
                    </a:prstGeom>
                    <a:noFill/>
                  </pic:spPr>
                </pic:pic>
              </a:graphicData>
            </a:graphic>
          </wp:anchor>
        </w:drawing>
      </w:r>
    </w:p>
    <w:p>
      <w:pPr>
        <w:spacing w:after="0" w:line="224" w:lineRule="exact"/>
        <w:rPr>
          <w:sz w:val="20"/>
          <w:szCs w:val="20"/>
          <w:color w:val="auto"/>
        </w:rPr>
      </w:pPr>
    </w:p>
    <w:p>
      <w:pPr>
        <w:ind w:left="1664"/>
        <w:spacing w:after="0"/>
        <w:rPr>
          <w:sz w:val="20"/>
          <w:szCs w:val="20"/>
          <w:color w:val="auto"/>
        </w:rPr>
      </w:pPr>
      <w:r>
        <w:rPr>
          <w:rFonts w:ascii="Arial" w:cs="Arial" w:eastAsia="Arial" w:hAnsi="Arial"/>
          <w:sz w:val="14"/>
          <w:szCs w:val="14"/>
          <w:b w:val="1"/>
          <w:bCs w:val="1"/>
          <w:color w:val="auto"/>
        </w:rPr>
        <w:t>SEMPRA ENERGY CONSOLIDATED:</w:t>
      </w:r>
    </w:p>
    <w:p>
      <w:pPr>
        <w:spacing w:after="0" w:line="31" w:lineRule="exact"/>
        <w:rPr>
          <w:sz w:val="20"/>
          <w:szCs w:val="20"/>
          <w:color w:val="auto"/>
        </w:rPr>
      </w:pPr>
    </w:p>
    <w:p>
      <w:pPr>
        <w:ind w:left="1664"/>
        <w:spacing w:after="0"/>
        <w:rPr>
          <w:sz w:val="20"/>
          <w:szCs w:val="20"/>
          <w:color w:val="auto"/>
        </w:rPr>
      </w:pPr>
      <w:r>
        <w:rPr>
          <w:rFonts w:ascii="Arial" w:cs="Arial" w:eastAsia="Arial" w:hAnsi="Arial"/>
          <w:sz w:val="14"/>
          <w:szCs w:val="14"/>
          <w:b w:val="1"/>
          <w:bCs w:val="1"/>
          <w:color w:val="auto"/>
        </w:rPr>
        <w:t>NATURAL GAS SALES, TRANSPORTATION AND EXCHANGE 2006-2008</w:t>
      </w:r>
    </w:p>
    <w:p>
      <w:pPr>
        <w:spacing w:after="0" w:line="40" w:lineRule="exact"/>
        <w:rPr>
          <w:sz w:val="20"/>
          <w:szCs w:val="20"/>
          <w:color w:val="auto"/>
        </w:rPr>
      </w:pPr>
    </w:p>
    <w:p>
      <w:pPr>
        <w:ind w:left="1664"/>
        <w:spacing w:after="0"/>
        <w:rPr>
          <w:sz w:val="20"/>
          <w:szCs w:val="20"/>
          <w:color w:val="auto"/>
        </w:rPr>
      </w:pPr>
      <w:r>
        <w:rPr>
          <w:rFonts w:ascii="Arial" w:cs="Arial" w:eastAsia="Arial" w:hAnsi="Arial"/>
          <w:sz w:val="13"/>
          <w:szCs w:val="13"/>
          <w:i w:val="1"/>
          <w:iCs w:val="1"/>
          <w:color w:val="auto"/>
        </w:rPr>
        <w:t>(Volumes in billion cubic feet, dollars in millions)</w:t>
      </w:r>
    </w:p>
    <w:p>
      <w:pPr>
        <w:spacing w:after="0" w:line="79" w:lineRule="exact"/>
        <w:rPr>
          <w:sz w:val="20"/>
          <w:szCs w:val="20"/>
          <w:color w:val="auto"/>
        </w:rPr>
      </w:pPr>
    </w:p>
    <w:tbl>
      <w:tblPr>
        <w:tblLayout w:type="fixed"/>
        <w:tblInd w:w="1664" w:type="dxa"/>
        <w:tblCellMar>
          <w:top w:w="0" w:type="dxa"/>
          <w:left w:w="0" w:type="dxa"/>
          <w:bottom w:w="0" w:type="dxa"/>
          <w:right w:w="0" w:type="dxa"/>
        </w:tblCellMar>
      </w:tblPr>
      <w:tr>
        <w:trPr>
          <w:trHeight w:val="154"/>
        </w:trPr>
        <w:tc>
          <w:tcPr>
            <w:tcW w:w="22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20" w:type="dxa"/>
            <w:vAlign w:val="bottom"/>
            <w:gridSpan w:val="2"/>
          </w:tcPr>
          <w:p>
            <w:pPr>
              <w:jc w:val="right"/>
              <w:spacing w:after="0"/>
              <w:rPr>
                <w:sz w:val="20"/>
                <w:szCs w:val="20"/>
                <w:color w:val="auto"/>
              </w:rPr>
            </w:pPr>
            <w:r>
              <w:rPr>
                <w:rFonts w:ascii="Arial" w:cs="Arial" w:eastAsia="Arial" w:hAnsi="Arial"/>
                <w:sz w:val="13"/>
                <w:szCs w:val="13"/>
                <w:color w:val="auto"/>
              </w:rPr>
              <w:t>Transportation</w:t>
            </w:r>
          </w:p>
        </w:tc>
        <w:tc>
          <w:tcPr>
            <w:tcW w:w="5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r>
      <w:tr>
        <w:trPr>
          <w:trHeight w:val="221"/>
        </w:trPr>
        <w:tc>
          <w:tcPr>
            <w:tcW w:w="2260" w:type="dxa"/>
            <w:vAlign w:val="bottom"/>
          </w:tcPr>
          <w:p>
            <w:pPr>
              <w:spacing w:after="0"/>
              <w:rPr>
                <w:sz w:val="19"/>
                <w:szCs w:val="19"/>
                <w:color w:val="auto"/>
              </w:rPr>
            </w:pPr>
          </w:p>
        </w:tc>
        <w:tc>
          <w:tcPr>
            <w:tcW w:w="2000" w:type="dxa"/>
            <w:vAlign w:val="bottom"/>
            <w:tcBorders>
              <w:bottom w:val="single" w:sz="8" w:color="auto"/>
            </w:tcBorders>
            <w:gridSpan w:val="3"/>
          </w:tcPr>
          <w:p>
            <w:pPr>
              <w:jc w:val="right"/>
              <w:ind w:right="328"/>
              <w:spacing w:after="0"/>
              <w:rPr>
                <w:sz w:val="20"/>
                <w:szCs w:val="20"/>
                <w:color w:val="auto"/>
              </w:rPr>
            </w:pPr>
            <w:r>
              <w:rPr>
                <w:rFonts w:ascii="Arial" w:cs="Arial" w:eastAsia="Arial" w:hAnsi="Arial"/>
                <w:sz w:val="13"/>
                <w:szCs w:val="13"/>
                <w:color w:val="auto"/>
              </w:rPr>
              <w:t>Natural Gas Sales</w:t>
            </w:r>
          </w:p>
        </w:tc>
        <w:tc>
          <w:tcPr>
            <w:tcW w:w="142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color w:val="auto"/>
              </w:rPr>
              <w:t>and Exchange</w:t>
            </w:r>
          </w:p>
        </w:tc>
        <w:tc>
          <w:tcPr>
            <w:tcW w:w="5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3"/>
                <w:szCs w:val="13"/>
                <w:color w:val="auto"/>
              </w:rPr>
              <w:t>Total</w:t>
            </w:r>
          </w:p>
        </w:tc>
        <w:tc>
          <w:tcPr>
            <w:tcW w:w="580" w:type="dxa"/>
            <w:vAlign w:val="bottom"/>
            <w:tcBorders>
              <w:bottom w:val="single" w:sz="8" w:color="auto"/>
            </w:tcBorders>
          </w:tcPr>
          <w:p>
            <w:pPr>
              <w:spacing w:after="0"/>
              <w:rPr>
                <w:sz w:val="19"/>
                <w:szCs w:val="19"/>
                <w:color w:val="auto"/>
              </w:rPr>
            </w:pPr>
          </w:p>
        </w:tc>
      </w:tr>
      <w:tr>
        <w:trPr>
          <w:trHeight w:val="172"/>
        </w:trPr>
        <w:tc>
          <w:tcPr>
            <w:tcW w:w="226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Customer Class</w:t>
            </w:r>
          </w:p>
        </w:tc>
        <w:tc>
          <w:tcPr>
            <w:tcW w:w="1060" w:type="dxa"/>
            <w:vAlign w:val="bottom"/>
            <w:tcBorders>
              <w:bottom w:val="single" w:sz="8" w:color="auto"/>
            </w:tcBorders>
          </w:tcPr>
          <w:p>
            <w:pPr>
              <w:jc w:val="right"/>
              <w:ind w:right="149"/>
              <w:spacing w:after="0"/>
              <w:rPr>
                <w:sz w:val="20"/>
                <w:szCs w:val="20"/>
                <w:color w:val="auto"/>
              </w:rPr>
            </w:pPr>
            <w:r>
              <w:rPr>
                <w:rFonts w:ascii="Arial" w:cs="Arial" w:eastAsia="Arial" w:hAnsi="Arial"/>
                <w:sz w:val="13"/>
                <w:szCs w:val="13"/>
                <w:color w:val="auto"/>
              </w:rPr>
              <w:t>Volumes</w:t>
            </w:r>
          </w:p>
        </w:tc>
        <w:tc>
          <w:tcPr>
            <w:tcW w:w="3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48"/>
              <w:spacing w:after="0"/>
              <w:rPr>
                <w:sz w:val="20"/>
                <w:szCs w:val="20"/>
                <w:color w:val="auto"/>
              </w:rPr>
            </w:pPr>
            <w:r>
              <w:rPr>
                <w:rFonts w:ascii="Arial" w:cs="Arial" w:eastAsia="Arial" w:hAnsi="Arial"/>
                <w:sz w:val="13"/>
                <w:szCs w:val="13"/>
                <w:color w:val="auto"/>
                <w:w w:val="96"/>
              </w:rPr>
              <w:t>Revenue</w:t>
            </w:r>
          </w:p>
        </w:tc>
        <w:tc>
          <w:tcPr>
            <w:tcW w:w="840" w:type="dxa"/>
            <w:vAlign w:val="bottom"/>
            <w:tcBorders>
              <w:bottom w:val="single" w:sz="8" w:color="auto"/>
            </w:tcBorders>
          </w:tcPr>
          <w:p>
            <w:pPr>
              <w:jc w:val="right"/>
              <w:ind w:right="149"/>
              <w:spacing w:after="0"/>
              <w:rPr>
                <w:sz w:val="20"/>
                <w:szCs w:val="20"/>
                <w:color w:val="auto"/>
              </w:rPr>
            </w:pPr>
            <w:r>
              <w:rPr>
                <w:rFonts w:ascii="Arial" w:cs="Arial" w:eastAsia="Arial" w:hAnsi="Arial"/>
                <w:sz w:val="13"/>
                <w:szCs w:val="13"/>
                <w:color w:val="auto"/>
              </w:rPr>
              <w:t>Volumes</w:t>
            </w:r>
          </w:p>
        </w:tc>
        <w:tc>
          <w:tcPr>
            <w:tcW w:w="1100" w:type="dxa"/>
            <w:vAlign w:val="bottom"/>
            <w:tcBorders>
              <w:bottom w:val="single" w:sz="8" w:color="auto"/>
            </w:tcBorders>
            <w:gridSpan w:val="2"/>
          </w:tcPr>
          <w:p>
            <w:pPr>
              <w:jc w:val="right"/>
              <w:ind w:right="168"/>
              <w:spacing w:after="0"/>
              <w:rPr>
                <w:sz w:val="20"/>
                <w:szCs w:val="20"/>
                <w:color w:val="auto"/>
              </w:rPr>
            </w:pPr>
            <w:r>
              <w:rPr>
                <w:rFonts w:ascii="Arial" w:cs="Arial" w:eastAsia="Arial" w:hAnsi="Arial"/>
                <w:sz w:val="13"/>
                <w:szCs w:val="13"/>
                <w:color w:val="auto"/>
              </w:rPr>
              <w:t>Revenue</w:t>
            </w:r>
          </w:p>
        </w:tc>
        <w:tc>
          <w:tcPr>
            <w:tcW w:w="800" w:type="dxa"/>
            <w:vAlign w:val="bottom"/>
            <w:tcBorders>
              <w:bottom w:val="single" w:sz="8" w:color="auto"/>
            </w:tcBorders>
          </w:tcPr>
          <w:p>
            <w:pPr>
              <w:jc w:val="right"/>
              <w:ind w:right="8"/>
              <w:spacing w:after="0"/>
              <w:rPr>
                <w:sz w:val="20"/>
                <w:szCs w:val="20"/>
                <w:color w:val="auto"/>
              </w:rPr>
            </w:pPr>
            <w:r>
              <w:rPr>
                <w:rFonts w:ascii="Arial" w:cs="Arial" w:eastAsia="Arial" w:hAnsi="Arial"/>
                <w:sz w:val="13"/>
                <w:szCs w:val="13"/>
                <w:color w:val="auto"/>
              </w:rPr>
              <w:t>Volumes</w:t>
            </w:r>
          </w:p>
        </w:tc>
        <w:tc>
          <w:tcPr>
            <w:tcW w:w="3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Revenue</w:t>
            </w:r>
          </w:p>
        </w:tc>
      </w:tr>
      <w:tr>
        <w:trPr>
          <w:trHeight w:val="207"/>
        </w:trPr>
        <w:tc>
          <w:tcPr>
            <w:tcW w:w="2260" w:type="dxa"/>
            <w:vAlign w:val="bottom"/>
          </w:tcPr>
          <w:p>
            <w:pPr>
              <w:spacing w:after="0"/>
              <w:rPr>
                <w:sz w:val="20"/>
                <w:szCs w:val="20"/>
                <w:color w:val="auto"/>
              </w:rPr>
            </w:pPr>
            <w:r>
              <w:rPr>
                <w:rFonts w:ascii="Arial" w:cs="Arial" w:eastAsia="Arial" w:hAnsi="Arial"/>
                <w:sz w:val="14"/>
                <w:szCs w:val="14"/>
                <w:color w:val="auto"/>
              </w:rPr>
              <w:t>2008:</w:t>
            </w: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r>
      <w:tr>
        <w:trPr>
          <w:trHeight w:val="216"/>
        </w:trPr>
        <w:tc>
          <w:tcPr>
            <w:tcW w:w="2260" w:type="dxa"/>
            <w:vAlign w:val="bottom"/>
          </w:tcPr>
          <w:p>
            <w:pPr>
              <w:ind w:left="320"/>
              <w:spacing w:after="0"/>
              <w:rPr>
                <w:sz w:val="20"/>
                <w:szCs w:val="20"/>
                <w:color w:val="auto"/>
              </w:rPr>
            </w:pPr>
            <w:r>
              <w:rPr>
                <w:rFonts w:ascii="Arial" w:cs="Arial" w:eastAsia="Arial" w:hAnsi="Arial"/>
                <w:sz w:val="14"/>
                <w:szCs w:val="14"/>
                <w:color w:val="auto"/>
              </w:rPr>
              <w:t>Residential</w:t>
            </w:r>
          </w:p>
        </w:tc>
        <w:tc>
          <w:tcPr>
            <w:tcW w:w="1060" w:type="dxa"/>
            <w:vAlign w:val="bottom"/>
          </w:tcPr>
          <w:p>
            <w:pPr>
              <w:jc w:val="right"/>
              <w:ind w:right="149"/>
              <w:spacing w:after="0"/>
              <w:rPr>
                <w:sz w:val="20"/>
                <w:szCs w:val="20"/>
                <w:color w:val="auto"/>
              </w:rPr>
            </w:pPr>
            <w:r>
              <w:rPr>
                <w:rFonts w:ascii="Arial" w:cs="Arial" w:eastAsia="Arial" w:hAnsi="Arial"/>
                <w:sz w:val="14"/>
                <w:szCs w:val="14"/>
                <w:color w:val="auto"/>
              </w:rPr>
              <w:t>271</w:t>
            </w:r>
          </w:p>
        </w:tc>
        <w:tc>
          <w:tcPr>
            <w:tcW w:w="300" w:type="dxa"/>
            <w:vAlign w:val="bottom"/>
          </w:tcPr>
          <w:p>
            <w:pPr>
              <w:jc w:val="right"/>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48"/>
              <w:spacing w:after="0"/>
              <w:rPr>
                <w:sz w:val="20"/>
                <w:szCs w:val="20"/>
                <w:color w:val="auto"/>
              </w:rPr>
            </w:pPr>
            <w:r>
              <w:rPr>
                <w:rFonts w:ascii="Arial" w:cs="Arial" w:eastAsia="Arial" w:hAnsi="Arial"/>
                <w:sz w:val="14"/>
                <w:szCs w:val="14"/>
                <w:color w:val="auto"/>
              </w:rPr>
              <w:t>3,385</w:t>
            </w:r>
          </w:p>
        </w:tc>
        <w:tc>
          <w:tcPr>
            <w:tcW w:w="840" w:type="dxa"/>
            <w:vAlign w:val="bottom"/>
          </w:tcPr>
          <w:p>
            <w:pPr>
              <w:jc w:val="right"/>
              <w:ind w:right="149"/>
              <w:spacing w:after="0"/>
              <w:rPr>
                <w:sz w:val="20"/>
                <w:szCs w:val="20"/>
                <w:color w:val="auto"/>
              </w:rPr>
            </w:pPr>
            <w:r>
              <w:rPr>
                <w:rFonts w:ascii="Arial" w:cs="Arial" w:eastAsia="Arial" w:hAnsi="Arial"/>
                <w:sz w:val="14"/>
                <w:szCs w:val="14"/>
                <w:color w:val="auto"/>
              </w:rPr>
              <w:t>1</w:t>
            </w:r>
          </w:p>
        </w:tc>
        <w:tc>
          <w:tcPr>
            <w:tcW w:w="580" w:type="dxa"/>
            <w:vAlign w:val="bottom"/>
          </w:tcPr>
          <w:p>
            <w:pPr>
              <w:jc w:val="right"/>
              <w:ind w:right="229"/>
              <w:spacing w:after="0"/>
              <w:rPr>
                <w:sz w:val="20"/>
                <w:szCs w:val="20"/>
                <w:color w:val="auto"/>
              </w:rPr>
            </w:pPr>
            <w:r>
              <w:rPr>
                <w:rFonts w:ascii="Arial" w:cs="Arial" w:eastAsia="Arial" w:hAnsi="Arial"/>
                <w:sz w:val="14"/>
                <w:szCs w:val="14"/>
                <w:color w:val="auto"/>
              </w:rPr>
              <w:t>$</w:t>
            </w:r>
          </w:p>
        </w:tc>
        <w:tc>
          <w:tcPr>
            <w:tcW w:w="520" w:type="dxa"/>
            <w:vAlign w:val="bottom"/>
          </w:tcPr>
          <w:p>
            <w:pPr>
              <w:jc w:val="right"/>
              <w:ind w:right="168"/>
              <w:spacing w:after="0"/>
              <w:rPr>
                <w:sz w:val="20"/>
                <w:szCs w:val="20"/>
                <w:color w:val="auto"/>
              </w:rPr>
            </w:pPr>
            <w:r>
              <w:rPr>
                <w:rFonts w:ascii="Arial" w:cs="Arial" w:eastAsia="Arial" w:hAnsi="Arial"/>
                <w:sz w:val="14"/>
                <w:szCs w:val="14"/>
                <w:color w:val="auto"/>
              </w:rPr>
              <w:t>4</w:t>
            </w: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272</w:t>
            </w:r>
          </w:p>
        </w:tc>
        <w:tc>
          <w:tcPr>
            <w:tcW w:w="54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3,389</w:t>
            </w:r>
          </w:p>
        </w:tc>
      </w:tr>
      <w:tr>
        <w:trPr>
          <w:trHeight w:val="216"/>
        </w:trPr>
        <w:tc>
          <w:tcPr>
            <w:tcW w:w="2260" w:type="dxa"/>
            <w:vAlign w:val="bottom"/>
          </w:tcPr>
          <w:p>
            <w:pPr>
              <w:ind w:left="320"/>
              <w:spacing w:after="0"/>
              <w:rPr>
                <w:sz w:val="20"/>
                <w:szCs w:val="20"/>
                <w:color w:val="auto"/>
              </w:rPr>
            </w:pPr>
            <w:r>
              <w:rPr>
                <w:rFonts w:ascii="Arial" w:cs="Arial" w:eastAsia="Arial" w:hAnsi="Arial"/>
                <w:sz w:val="14"/>
                <w:szCs w:val="14"/>
                <w:color w:val="auto"/>
              </w:rPr>
              <w:t>Commercial and industrial</w:t>
            </w:r>
          </w:p>
        </w:tc>
        <w:tc>
          <w:tcPr>
            <w:tcW w:w="1060" w:type="dxa"/>
            <w:vAlign w:val="bottom"/>
          </w:tcPr>
          <w:p>
            <w:pPr>
              <w:jc w:val="right"/>
              <w:ind w:right="149"/>
              <w:spacing w:after="0"/>
              <w:rPr>
                <w:sz w:val="20"/>
                <w:szCs w:val="20"/>
                <w:color w:val="auto"/>
              </w:rPr>
            </w:pPr>
            <w:r>
              <w:rPr>
                <w:rFonts w:ascii="Arial" w:cs="Arial" w:eastAsia="Arial" w:hAnsi="Arial"/>
                <w:sz w:val="14"/>
                <w:szCs w:val="14"/>
                <w:color w:val="auto"/>
              </w:rPr>
              <w:t>120</w:t>
            </w:r>
          </w:p>
        </w:tc>
        <w:tc>
          <w:tcPr>
            <w:tcW w:w="300" w:type="dxa"/>
            <w:vAlign w:val="bottom"/>
          </w:tcPr>
          <w:p>
            <w:pPr>
              <w:spacing w:after="0"/>
              <w:rPr>
                <w:sz w:val="18"/>
                <w:szCs w:val="18"/>
                <w:color w:val="auto"/>
              </w:rPr>
            </w:pPr>
          </w:p>
        </w:tc>
        <w:tc>
          <w:tcPr>
            <w:tcW w:w="640" w:type="dxa"/>
            <w:vAlign w:val="bottom"/>
          </w:tcPr>
          <w:p>
            <w:pPr>
              <w:jc w:val="right"/>
              <w:ind w:right="48"/>
              <w:spacing w:after="0"/>
              <w:rPr>
                <w:sz w:val="20"/>
                <w:szCs w:val="20"/>
                <w:color w:val="auto"/>
              </w:rPr>
            </w:pPr>
            <w:r>
              <w:rPr>
                <w:rFonts w:ascii="Arial" w:cs="Arial" w:eastAsia="Arial" w:hAnsi="Arial"/>
                <w:sz w:val="14"/>
                <w:szCs w:val="14"/>
                <w:color w:val="auto"/>
              </w:rPr>
              <w:t>1,318</w:t>
            </w:r>
          </w:p>
        </w:tc>
        <w:tc>
          <w:tcPr>
            <w:tcW w:w="840" w:type="dxa"/>
            <w:vAlign w:val="bottom"/>
          </w:tcPr>
          <w:p>
            <w:pPr>
              <w:jc w:val="right"/>
              <w:ind w:right="149"/>
              <w:spacing w:after="0"/>
              <w:rPr>
                <w:sz w:val="20"/>
                <w:szCs w:val="20"/>
                <w:color w:val="auto"/>
              </w:rPr>
            </w:pPr>
            <w:r>
              <w:rPr>
                <w:rFonts w:ascii="Arial" w:cs="Arial" w:eastAsia="Arial" w:hAnsi="Arial"/>
                <w:sz w:val="14"/>
                <w:szCs w:val="14"/>
                <w:color w:val="auto"/>
              </w:rPr>
              <w:t>282</w:t>
            </w:r>
          </w:p>
        </w:tc>
        <w:tc>
          <w:tcPr>
            <w:tcW w:w="580" w:type="dxa"/>
            <w:vAlign w:val="bottom"/>
          </w:tcPr>
          <w:p>
            <w:pPr>
              <w:spacing w:after="0"/>
              <w:rPr>
                <w:sz w:val="18"/>
                <w:szCs w:val="18"/>
                <w:color w:val="auto"/>
              </w:rPr>
            </w:pPr>
          </w:p>
        </w:tc>
        <w:tc>
          <w:tcPr>
            <w:tcW w:w="520" w:type="dxa"/>
            <w:vAlign w:val="bottom"/>
          </w:tcPr>
          <w:p>
            <w:pPr>
              <w:jc w:val="right"/>
              <w:ind w:right="168"/>
              <w:spacing w:after="0"/>
              <w:rPr>
                <w:sz w:val="20"/>
                <w:szCs w:val="20"/>
                <w:color w:val="auto"/>
              </w:rPr>
            </w:pPr>
            <w:r>
              <w:rPr>
                <w:rFonts w:ascii="Arial" w:cs="Arial" w:eastAsia="Arial" w:hAnsi="Arial"/>
                <w:sz w:val="14"/>
                <w:szCs w:val="14"/>
                <w:color w:val="auto"/>
              </w:rPr>
              <w:t>198</w:t>
            </w: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402</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1,516</w:t>
            </w:r>
          </w:p>
        </w:tc>
      </w:tr>
      <w:tr>
        <w:trPr>
          <w:trHeight w:val="216"/>
        </w:trPr>
        <w:tc>
          <w:tcPr>
            <w:tcW w:w="2260" w:type="dxa"/>
            <w:vAlign w:val="bottom"/>
          </w:tcPr>
          <w:p>
            <w:pPr>
              <w:ind w:left="320"/>
              <w:spacing w:after="0"/>
              <w:rPr>
                <w:sz w:val="20"/>
                <w:szCs w:val="20"/>
                <w:color w:val="auto"/>
              </w:rPr>
            </w:pPr>
            <w:r>
              <w:rPr>
                <w:rFonts w:ascii="Arial" w:cs="Arial" w:eastAsia="Arial" w:hAnsi="Arial"/>
                <w:sz w:val="14"/>
                <w:szCs w:val="14"/>
                <w:color w:val="auto"/>
              </w:rPr>
              <w:t>Electric generation plants</w:t>
            </w:r>
          </w:p>
        </w:tc>
        <w:tc>
          <w:tcPr>
            <w:tcW w:w="1060" w:type="dxa"/>
            <w:vAlign w:val="bottom"/>
          </w:tcPr>
          <w:p>
            <w:pPr>
              <w:jc w:val="right"/>
              <w:ind w:right="149"/>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8"/>
                <w:szCs w:val="18"/>
                <w:color w:val="auto"/>
              </w:rPr>
            </w:pPr>
          </w:p>
        </w:tc>
        <w:tc>
          <w:tcPr>
            <w:tcW w:w="6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149"/>
              <w:spacing w:after="0"/>
              <w:rPr>
                <w:sz w:val="20"/>
                <w:szCs w:val="20"/>
                <w:color w:val="auto"/>
              </w:rPr>
            </w:pPr>
            <w:r>
              <w:rPr>
                <w:rFonts w:ascii="Arial" w:cs="Arial" w:eastAsia="Arial" w:hAnsi="Arial"/>
                <w:sz w:val="14"/>
                <w:szCs w:val="14"/>
                <w:color w:val="auto"/>
              </w:rPr>
              <w:t>300</w:t>
            </w:r>
          </w:p>
        </w:tc>
        <w:tc>
          <w:tcPr>
            <w:tcW w:w="580" w:type="dxa"/>
            <w:vAlign w:val="bottom"/>
          </w:tcPr>
          <w:p>
            <w:pPr>
              <w:spacing w:after="0"/>
              <w:rPr>
                <w:sz w:val="18"/>
                <w:szCs w:val="18"/>
                <w:color w:val="auto"/>
              </w:rPr>
            </w:pPr>
          </w:p>
        </w:tc>
        <w:tc>
          <w:tcPr>
            <w:tcW w:w="520" w:type="dxa"/>
            <w:vAlign w:val="bottom"/>
          </w:tcPr>
          <w:p>
            <w:pPr>
              <w:jc w:val="right"/>
              <w:ind w:right="168"/>
              <w:spacing w:after="0"/>
              <w:rPr>
                <w:sz w:val="20"/>
                <w:szCs w:val="20"/>
                <w:color w:val="auto"/>
              </w:rPr>
            </w:pPr>
            <w:r>
              <w:rPr>
                <w:rFonts w:ascii="Arial" w:cs="Arial" w:eastAsia="Arial" w:hAnsi="Arial"/>
                <w:sz w:val="14"/>
                <w:szCs w:val="14"/>
                <w:color w:val="auto"/>
              </w:rPr>
              <w:t>106</w:t>
            </w: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300</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106</w:t>
            </w:r>
          </w:p>
        </w:tc>
      </w:tr>
      <w:tr>
        <w:trPr>
          <w:trHeight w:val="222"/>
        </w:trPr>
        <w:tc>
          <w:tcPr>
            <w:tcW w:w="2260" w:type="dxa"/>
            <w:vAlign w:val="bottom"/>
          </w:tcPr>
          <w:p>
            <w:pPr>
              <w:ind w:left="320"/>
              <w:spacing w:after="0"/>
              <w:rPr>
                <w:sz w:val="20"/>
                <w:szCs w:val="20"/>
                <w:color w:val="auto"/>
              </w:rPr>
            </w:pPr>
            <w:r>
              <w:rPr>
                <w:rFonts w:ascii="Arial" w:cs="Arial" w:eastAsia="Arial" w:hAnsi="Arial"/>
                <w:sz w:val="14"/>
                <w:szCs w:val="14"/>
                <w:color w:val="auto"/>
              </w:rPr>
              <w:t>Wholesale</w:t>
            </w:r>
          </w:p>
        </w:tc>
        <w:tc>
          <w:tcPr>
            <w:tcW w:w="1060" w:type="dxa"/>
            <w:vAlign w:val="bottom"/>
            <w:tcBorders>
              <w:bottom w:val="single" w:sz="8" w:color="auto"/>
            </w:tcBorders>
          </w:tcPr>
          <w:p>
            <w:pPr>
              <w:jc w:val="right"/>
              <w:ind w:right="149"/>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ind w:right="149"/>
              <w:spacing w:after="0"/>
              <w:rPr>
                <w:sz w:val="20"/>
                <w:szCs w:val="20"/>
                <w:color w:val="auto"/>
              </w:rPr>
            </w:pPr>
            <w:r>
              <w:rPr>
                <w:rFonts w:ascii="Arial" w:cs="Arial" w:eastAsia="Arial" w:hAnsi="Arial"/>
                <w:sz w:val="14"/>
                <w:szCs w:val="14"/>
                <w:color w:val="auto"/>
              </w:rPr>
              <w:t>18</w:t>
            </w:r>
          </w:p>
        </w:tc>
        <w:tc>
          <w:tcPr>
            <w:tcW w:w="5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6</w:t>
            </w:r>
          </w:p>
        </w:tc>
        <w:tc>
          <w:tcPr>
            <w:tcW w:w="8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18</w:t>
            </w:r>
          </w:p>
        </w:tc>
        <w:tc>
          <w:tcPr>
            <w:tcW w:w="36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w:t>
            </w:r>
          </w:p>
        </w:tc>
      </w:tr>
      <w:tr>
        <w:trPr>
          <w:trHeight w:val="202"/>
        </w:trPr>
        <w:tc>
          <w:tcPr>
            <w:tcW w:w="2260" w:type="dxa"/>
            <w:vAlign w:val="bottom"/>
          </w:tcPr>
          <w:p>
            <w:pPr>
              <w:spacing w:after="0"/>
              <w:rPr>
                <w:sz w:val="17"/>
                <w:szCs w:val="17"/>
                <w:color w:val="auto"/>
              </w:rPr>
            </w:pPr>
          </w:p>
        </w:tc>
        <w:tc>
          <w:tcPr>
            <w:tcW w:w="1060" w:type="dxa"/>
            <w:vAlign w:val="bottom"/>
          </w:tcPr>
          <w:p>
            <w:pPr>
              <w:jc w:val="right"/>
              <w:ind w:right="149"/>
              <w:spacing w:after="0"/>
              <w:rPr>
                <w:sz w:val="20"/>
                <w:szCs w:val="20"/>
                <w:color w:val="auto"/>
              </w:rPr>
            </w:pPr>
            <w:r>
              <w:rPr>
                <w:rFonts w:ascii="Arial" w:cs="Arial" w:eastAsia="Arial" w:hAnsi="Arial"/>
                <w:sz w:val="14"/>
                <w:szCs w:val="14"/>
                <w:color w:val="auto"/>
              </w:rPr>
              <w:t>391</w:t>
            </w:r>
          </w:p>
        </w:tc>
        <w:tc>
          <w:tcPr>
            <w:tcW w:w="300" w:type="dxa"/>
            <w:vAlign w:val="bottom"/>
          </w:tcPr>
          <w:p>
            <w:pPr>
              <w:jc w:val="right"/>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48"/>
              <w:spacing w:after="0"/>
              <w:rPr>
                <w:sz w:val="20"/>
                <w:szCs w:val="20"/>
                <w:color w:val="auto"/>
              </w:rPr>
            </w:pPr>
            <w:r>
              <w:rPr>
                <w:rFonts w:ascii="Arial" w:cs="Arial" w:eastAsia="Arial" w:hAnsi="Arial"/>
                <w:sz w:val="14"/>
                <w:szCs w:val="14"/>
                <w:color w:val="auto"/>
              </w:rPr>
              <w:t>4,703</w:t>
            </w:r>
          </w:p>
        </w:tc>
        <w:tc>
          <w:tcPr>
            <w:tcW w:w="840" w:type="dxa"/>
            <w:vAlign w:val="bottom"/>
          </w:tcPr>
          <w:p>
            <w:pPr>
              <w:jc w:val="right"/>
              <w:ind w:right="149"/>
              <w:spacing w:after="0"/>
              <w:rPr>
                <w:sz w:val="20"/>
                <w:szCs w:val="20"/>
                <w:color w:val="auto"/>
              </w:rPr>
            </w:pPr>
            <w:r>
              <w:rPr>
                <w:rFonts w:ascii="Arial" w:cs="Arial" w:eastAsia="Arial" w:hAnsi="Arial"/>
                <w:sz w:val="14"/>
                <w:szCs w:val="14"/>
                <w:color w:val="auto"/>
              </w:rPr>
              <w:t>601</w:t>
            </w:r>
          </w:p>
        </w:tc>
        <w:tc>
          <w:tcPr>
            <w:tcW w:w="580" w:type="dxa"/>
            <w:vAlign w:val="bottom"/>
          </w:tcPr>
          <w:p>
            <w:pPr>
              <w:jc w:val="right"/>
              <w:ind w:right="229"/>
              <w:spacing w:after="0"/>
              <w:rPr>
                <w:sz w:val="20"/>
                <w:szCs w:val="20"/>
                <w:color w:val="auto"/>
              </w:rPr>
            </w:pPr>
            <w:r>
              <w:rPr>
                <w:rFonts w:ascii="Arial" w:cs="Arial" w:eastAsia="Arial" w:hAnsi="Arial"/>
                <w:sz w:val="14"/>
                <w:szCs w:val="14"/>
                <w:color w:val="auto"/>
              </w:rPr>
              <w:t>$</w:t>
            </w:r>
          </w:p>
        </w:tc>
        <w:tc>
          <w:tcPr>
            <w:tcW w:w="520" w:type="dxa"/>
            <w:vAlign w:val="bottom"/>
          </w:tcPr>
          <w:p>
            <w:pPr>
              <w:jc w:val="right"/>
              <w:ind w:right="168"/>
              <w:spacing w:after="0"/>
              <w:rPr>
                <w:sz w:val="20"/>
                <w:szCs w:val="20"/>
                <w:color w:val="auto"/>
              </w:rPr>
            </w:pPr>
            <w:r>
              <w:rPr>
                <w:rFonts w:ascii="Arial" w:cs="Arial" w:eastAsia="Arial" w:hAnsi="Arial"/>
                <w:sz w:val="14"/>
                <w:szCs w:val="14"/>
                <w:color w:val="auto"/>
              </w:rPr>
              <w:t>314</w:t>
            </w: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992</w:t>
            </w: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5,017</w:t>
            </w:r>
          </w:p>
        </w:tc>
      </w:tr>
      <w:tr>
        <w:trPr>
          <w:trHeight w:val="216"/>
        </w:trPr>
        <w:tc>
          <w:tcPr>
            <w:tcW w:w="2260" w:type="dxa"/>
            <w:vAlign w:val="bottom"/>
          </w:tcPr>
          <w:p>
            <w:pPr>
              <w:ind w:left="320"/>
              <w:spacing w:after="0"/>
              <w:rPr>
                <w:sz w:val="20"/>
                <w:szCs w:val="20"/>
                <w:color w:val="auto"/>
              </w:rPr>
            </w:pPr>
            <w:r>
              <w:rPr>
                <w:rFonts w:ascii="Arial" w:cs="Arial" w:eastAsia="Arial" w:hAnsi="Arial"/>
                <w:sz w:val="14"/>
                <w:szCs w:val="14"/>
                <w:color w:val="auto"/>
              </w:rPr>
              <w:t>Other revenues</w:t>
            </w: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146</w:t>
            </w:r>
          </w:p>
        </w:tc>
      </w:tr>
      <w:tr>
        <w:trPr>
          <w:trHeight w:val="222"/>
        </w:trPr>
        <w:tc>
          <w:tcPr>
            <w:tcW w:w="2260" w:type="dxa"/>
            <w:vAlign w:val="bottom"/>
          </w:tcPr>
          <w:p>
            <w:pPr>
              <w:ind w:left="320"/>
              <w:spacing w:after="0"/>
              <w:rPr>
                <w:sz w:val="20"/>
                <w:szCs w:val="20"/>
                <w:color w:val="auto"/>
              </w:rPr>
            </w:pPr>
            <w:r>
              <w:rPr>
                <w:rFonts w:ascii="Arial" w:cs="Arial" w:eastAsia="Arial" w:hAnsi="Arial"/>
                <w:sz w:val="14"/>
                <w:szCs w:val="14"/>
                <w:color w:val="auto"/>
              </w:rPr>
              <w:t>Balancing accounts*</w:t>
            </w:r>
          </w:p>
        </w:tc>
        <w:tc>
          <w:tcPr>
            <w:tcW w:w="10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256</w:t>
            </w:r>
          </w:p>
        </w:tc>
      </w:tr>
      <w:tr>
        <w:trPr>
          <w:trHeight w:val="224"/>
        </w:trPr>
        <w:tc>
          <w:tcPr>
            <w:tcW w:w="2260" w:type="dxa"/>
            <w:vAlign w:val="bottom"/>
            <w:tcBorders>
              <w:bottom w:val="single" w:sz="8" w:color="auto"/>
            </w:tcBorders>
          </w:tcPr>
          <w:p>
            <w:pPr>
              <w:ind w:left="460"/>
              <w:spacing w:after="0"/>
              <w:rPr>
                <w:sz w:val="20"/>
                <w:szCs w:val="20"/>
                <w:color w:val="auto"/>
              </w:rPr>
            </w:pPr>
            <w:r>
              <w:rPr>
                <w:rFonts w:ascii="Arial" w:cs="Arial" w:eastAsia="Arial" w:hAnsi="Arial"/>
                <w:sz w:val="14"/>
                <w:szCs w:val="14"/>
                <w:color w:val="auto"/>
              </w:rPr>
              <w:t>Total</w:t>
            </w:r>
          </w:p>
        </w:tc>
        <w:tc>
          <w:tcPr>
            <w:tcW w:w="106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5,419</w:t>
            </w:r>
          </w:p>
        </w:tc>
      </w:tr>
      <w:tr>
        <w:trPr>
          <w:trHeight w:val="210"/>
        </w:trPr>
        <w:tc>
          <w:tcPr>
            <w:tcW w:w="2260" w:type="dxa"/>
            <w:vAlign w:val="bottom"/>
          </w:tcPr>
          <w:p>
            <w:pPr>
              <w:spacing w:after="0"/>
              <w:rPr>
                <w:sz w:val="20"/>
                <w:szCs w:val="20"/>
                <w:color w:val="auto"/>
              </w:rPr>
            </w:pPr>
            <w:r>
              <w:rPr>
                <w:rFonts w:ascii="Arial" w:cs="Arial" w:eastAsia="Arial" w:hAnsi="Arial"/>
                <w:sz w:val="14"/>
                <w:szCs w:val="14"/>
                <w:color w:val="auto"/>
              </w:rPr>
              <w:t>2007:</w:t>
            </w: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r>
      <w:tr>
        <w:trPr>
          <w:trHeight w:val="216"/>
        </w:trPr>
        <w:tc>
          <w:tcPr>
            <w:tcW w:w="2260" w:type="dxa"/>
            <w:vAlign w:val="bottom"/>
          </w:tcPr>
          <w:p>
            <w:pPr>
              <w:ind w:left="320"/>
              <w:spacing w:after="0"/>
              <w:rPr>
                <w:sz w:val="20"/>
                <w:szCs w:val="20"/>
                <w:color w:val="auto"/>
              </w:rPr>
            </w:pPr>
            <w:r>
              <w:rPr>
                <w:rFonts w:ascii="Arial" w:cs="Arial" w:eastAsia="Arial" w:hAnsi="Arial"/>
                <w:sz w:val="14"/>
                <w:szCs w:val="14"/>
                <w:color w:val="auto"/>
              </w:rPr>
              <w:t>Residential</w:t>
            </w:r>
          </w:p>
        </w:tc>
        <w:tc>
          <w:tcPr>
            <w:tcW w:w="1060" w:type="dxa"/>
            <w:vAlign w:val="bottom"/>
          </w:tcPr>
          <w:p>
            <w:pPr>
              <w:jc w:val="right"/>
              <w:ind w:right="149"/>
              <w:spacing w:after="0"/>
              <w:rPr>
                <w:sz w:val="20"/>
                <w:szCs w:val="20"/>
                <w:color w:val="auto"/>
              </w:rPr>
            </w:pPr>
            <w:r>
              <w:rPr>
                <w:rFonts w:ascii="Arial" w:cs="Arial" w:eastAsia="Arial" w:hAnsi="Arial"/>
                <w:sz w:val="14"/>
                <w:szCs w:val="14"/>
                <w:color w:val="auto"/>
              </w:rPr>
              <w:t>277</w:t>
            </w:r>
          </w:p>
        </w:tc>
        <w:tc>
          <w:tcPr>
            <w:tcW w:w="300" w:type="dxa"/>
            <w:vAlign w:val="bottom"/>
          </w:tcPr>
          <w:p>
            <w:pPr>
              <w:jc w:val="right"/>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48"/>
              <w:spacing w:after="0"/>
              <w:rPr>
                <w:sz w:val="20"/>
                <w:szCs w:val="20"/>
                <w:color w:val="auto"/>
              </w:rPr>
            </w:pPr>
            <w:r>
              <w:rPr>
                <w:rFonts w:ascii="Arial" w:cs="Arial" w:eastAsia="Arial" w:hAnsi="Arial"/>
                <w:sz w:val="14"/>
                <w:szCs w:val="14"/>
                <w:color w:val="auto"/>
              </w:rPr>
              <w:t>3,065</w:t>
            </w:r>
          </w:p>
        </w:tc>
        <w:tc>
          <w:tcPr>
            <w:tcW w:w="840" w:type="dxa"/>
            <w:vAlign w:val="bottom"/>
          </w:tcPr>
          <w:p>
            <w:pPr>
              <w:jc w:val="right"/>
              <w:ind w:right="149"/>
              <w:spacing w:after="0"/>
              <w:rPr>
                <w:sz w:val="20"/>
                <w:szCs w:val="20"/>
                <w:color w:val="auto"/>
              </w:rPr>
            </w:pPr>
            <w:r>
              <w:rPr>
                <w:rFonts w:ascii="Arial" w:cs="Arial" w:eastAsia="Arial" w:hAnsi="Arial"/>
                <w:sz w:val="14"/>
                <w:szCs w:val="14"/>
                <w:color w:val="auto"/>
              </w:rPr>
              <w:t>1</w:t>
            </w:r>
          </w:p>
        </w:tc>
        <w:tc>
          <w:tcPr>
            <w:tcW w:w="580" w:type="dxa"/>
            <w:vAlign w:val="bottom"/>
          </w:tcPr>
          <w:p>
            <w:pPr>
              <w:jc w:val="right"/>
              <w:ind w:right="229"/>
              <w:spacing w:after="0"/>
              <w:rPr>
                <w:sz w:val="20"/>
                <w:szCs w:val="20"/>
                <w:color w:val="auto"/>
              </w:rPr>
            </w:pPr>
            <w:r>
              <w:rPr>
                <w:rFonts w:ascii="Arial" w:cs="Arial" w:eastAsia="Arial" w:hAnsi="Arial"/>
                <w:sz w:val="14"/>
                <w:szCs w:val="14"/>
                <w:color w:val="auto"/>
              </w:rPr>
              <w:t>$</w:t>
            </w:r>
          </w:p>
        </w:tc>
        <w:tc>
          <w:tcPr>
            <w:tcW w:w="520" w:type="dxa"/>
            <w:vAlign w:val="bottom"/>
          </w:tcPr>
          <w:p>
            <w:pPr>
              <w:jc w:val="right"/>
              <w:ind w:right="168"/>
              <w:spacing w:after="0"/>
              <w:rPr>
                <w:sz w:val="20"/>
                <w:szCs w:val="20"/>
                <w:color w:val="auto"/>
              </w:rPr>
            </w:pPr>
            <w:r>
              <w:rPr>
                <w:rFonts w:ascii="Arial" w:cs="Arial" w:eastAsia="Arial" w:hAnsi="Arial"/>
                <w:sz w:val="14"/>
                <w:szCs w:val="14"/>
                <w:color w:val="auto"/>
              </w:rPr>
              <w:t>5</w:t>
            </w: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278</w:t>
            </w:r>
          </w:p>
        </w:tc>
        <w:tc>
          <w:tcPr>
            <w:tcW w:w="54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3,070</w:t>
            </w:r>
          </w:p>
        </w:tc>
      </w:tr>
      <w:tr>
        <w:trPr>
          <w:trHeight w:val="216"/>
        </w:trPr>
        <w:tc>
          <w:tcPr>
            <w:tcW w:w="2260" w:type="dxa"/>
            <w:vAlign w:val="bottom"/>
          </w:tcPr>
          <w:p>
            <w:pPr>
              <w:ind w:left="320"/>
              <w:spacing w:after="0"/>
              <w:rPr>
                <w:sz w:val="20"/>
                <w:szCs w:val="20"/>
                <w:color w:val="auto"/>
              </w:rPr>
            </w:pPr>
            <w:r>
              <w:rPr>
                <w:rFonts w:ascii="Arial" w:cs="Arial" w:eastAsia="Arial" w:hAnsi="Arial"/>
                <w:sz w:val="14"/>
                <w:szCs w:val="14"/>
                <w:color w:val="auto"/>
              </w:rPr>
              <w:t>Commercial and industrial</w:t>
            </w:r>
          </w:p>
        </w:tc>
        <w:tc>
          <w:tcPr>
            <w:tcW w:w="1060" w:type="dxa"/>
            <w:vAlign w:val="bottom"/>
          </w:tcPr>
          <w:p>
            <w:pPr>
              <w:jc w:val="right"/>
              <w:ind w:right="149"/>
              <w:spacing w:after="0"/>
              <w:rPr>
                <w:sz w:val="20"/>
                <w:szCs w:val="20"/>
                <w:color w:val="auto"/>
              </w:rPr>
            </w:pPr>
            <w:r>
              <w:rPr>
                <w:rFonts w:ascii="Arial" w:cs="Arial" w:eastAsia="Arial" w:hAnsi="Arial"/>
                <w:sz w:val="14"/>
                <w:szCs w:val="14"/>
                <w:color w:val="auto"/>
              </w:rPr>
              <w:t>127</w:t>
            </w:r>
          </w:p>
        </w:tc>
        <w:tc>
          <w:tcPr>
            <w:tcW w:w="300" w:type="dxa"/>
            <w:vAlign w:val="bottom"/>
          </w:tcPr>
          <w:p>
            <w:pPr>
              <w:spacing w:after="0"/>
              <w:rPr>
                <w:sz w:val="18"/>
                <w:szCs w:val="18"/>
                <w:color w:val="auto"/>
              </w:rPr>
            </w:pPr>
          </w:p>
        </w:tc>
        <w:tc>
          <w:tcPr>
            <w:tcW w:w="640" w:type="dxa"/>
            <w:vAlign w:val="bottom"/>
          </w:tcPr>
          <w:p>
            <w:pPr>
              <w:jc w:val="right"/>
              <w:ind w:right="48"/>
              <w:spacing w:after="0"/>
              <w:rPr>
                <w:sz w:val="20"/>
                <w:szCs w:val="20"/>
                <w:color w:val="auto"/>
              </w:rPr>
            </w:pPr>
            <w:r>
              <w:rPr>
                <w:rFonts w:ascii="Arial" w:cs="Arial" w:eastAsia="Arial" w:hAnsi="Arial"/>
                <w:sz w:val="14"/>
                <w:szCs w:val="14"/>
                <w:color w:val="auto"/>
              </w:rPr>
              <w:t>1,159</w:t>
            </w:r>
          </w:p>
        </w:tc>
        <w:tc>
          <w:tcPr>
            <w:tcW w:w="840" w:type="dxa"/>
            <w:vAlign w:val="bottom"/>
          </w:tcPr>
          <w:p>
            <w:pPr>
              <w:jc w:val="right"/>
              <w:ind w:right="149"/>
              <w:spacing w:after="0"/>
              <w:rPr>
                <w:sz w:val="20"/>
                <w:szCs w:val="20"/>
                <w:color w:val="auto"/>
              </w:rPr>
            </w:pPr>
            <w:r>
              <w:rPr>
                <w:rFonts w:ascii="Arial" w:cs="Arial" w:eastAsia="Arial" w:hAnsi="Arial"/>
                <w:sz w:val="14"/>
                <w:szCs w:val="14"/>
                <w:color w:val="auto"/>
              </w:rPr>
              <w:t>282</w:t>
            </w:r>
          </w:p>
        </w:tc>
        <w:tc>
          <w:tcPr>
            <w:tcW w:w="580" w:type="dxa"/>
            <w:vAlign w:val="bottom"/>
          </w:tcPr>
          <w:p>
            <w:pPr>
              <w:spacing w:after="0"/>
              <w:rPr>
                <w:sz w:val="18"/>
                <w:szCs w:val="18"/>
                <w:color w:val="auto"/>
              </w:rPr>
            </w:pPr>
          </w:p>
        </w:tc>
        <w:tc>
          <w:tcPr>
            <w:tcW w:w="520" w:type="dxa"/>
            <w:vAlign w:val="bottom"/>
          </w:tcPr>
          <w:p>
            <w:pPr>
              <w:jc w:val="right"/>
              <w:ind w:right="168"/>
              <w:spacing w:after="0"/>
              <w:rPr>
                <w:sz w:val="20"/>
                <w:szCs w:val="20"/>
                <w:color w:val="auto"/>
              </w:rPr>
            </w:pPr>
            <w:r>
              <w:rPr>
                <w:rFonts w:ascii="Arial" w:cs="Arial" w:eastAsia="Arial" w:hAnsi="Arial"/>
                <w:sz w:val="14"/>
                <w:szCs w:val="14"/>
                <w:color w:val="auto"/>
              </w:rPr>
              <w:t>215</w:t>
            </w: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409</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1,374</w:t>
            </w:r>
          </w:p>
        </w:tc>
      </w:tr>
      <w:tr>
        <w:trPr>
          <w:trHeight w:val="216"/>
        </w:trPr>
        <w:tc>
          <w:tcPr>
            <w:tcW w:w="2260" w:type="dxa"/>
            <w:vAlign w:val="bottom"/>
          </w:tcPr>
          <w:p>
            <w:pPr>
              <w:ind w:left="320"/>
              <w:spacing w:after="0"/>
              <w:rPr>
                <w:sz w:val="20"/>
                <w:szCs w:val="20"/>
                <w:color w:val="auto"/>
              </w:rPr>
            </w:pPr>
            <w:r>
              <w:rPr>
                <w:rFonts w:ascii="Arial" w:cs="Arial" w:eastAsia="Arial" w:hAnsi="Arial"/>
                <w:sz w:val="14"/>
                <w:szCs w:val="14"/>
                <w:color w:val="auto"/>
              </w:rPr>
              <w:t>Electric generation plants</w:t>
            </w:r>
          </w:p>
        </w:tc>
        <w:tc>
          <w:tcPr>
            <w:tcW w:w="1060" w:type="dxa"/>
            <w:vAlign w:val="bottom"/>
          </w:tcPr>
          <w:p>
            <w:pPr>
              <w:jc w:val="right"/>
              <w:ind w:right="149"/>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8"/>
                <w:szCs w:val="18"/>
                <w:color w:val="auto"/>
              </w:rPr>
            </w:pPr>
          </w:p>
        </w:tc>
        <w:tc>
          <w:tcPr>
            <w:tcW w:w="640" w:type="dxa"/>
            <w:vAlign w:val="bottom"/>
          </w:tcPr>
          <w:p>
            <w:pPr>
              <w:jc w:val="right"/>
              <w:ind w:right="48"/>
              <w:spacing w:after="0"/>
              <w:rPr>
                <w:sz w:val="20"/>
                <w:szCs w:val="20"/>
                <w:color w:val="auto"/>
              </w:rPr>
            </w:pPr>
            <w:r>
              <w:rPr>
                <w:rFonts w:ascii="Arial" w:cs="Arial" w:eastAsia="Arial" w:hAnsi="Arial"/>
                <w:sz w:val="14"/>
                <w:szCs w:val="14"/>
                <w:color w:val="auto"/>
              </w:rPr>
              <w:t>1</w:t>
            </w:r>
          </w:p>
        </w:tc>
        <w:tc>
          <w:tcPr>
            <w:tcW w:w="840" w:type="dxa"/>
            <w:vAlign w:val="bottom"/>
          </w:tcPr>
          <w:p>
            <w:pPr>
              <w:jc w:val="right"/>
              <w:ind w:right="149"/>
              <w:spacing w:after="0"/>
              <w:rPr>
                <w:sz w:val="20"/>
                <w:szCs w:val="20"/>
                <w:color w:val="auto"/>
              </w:rPr>
            </w:pPr>
            <w:r>
              <w:rPr>
                <w:rFonts w:ascii="Arial" w:cs="Arial" w:eastAsia="Arial" w:hAnsi="Arial"/>
                <w:sz w:val="14"/>
                <w:szCs w:val="14"/>
                <w:color w:val="auto"/>
              </w:rPr>
              <w:t>264</w:t>
            </w:r>
          </w:p>
        </w:tc>
        <w:tc>
          <w:tcPr>
            <w:tcW w:w="580" w:type="dxa"/>
            <w:vAlign w:val="bottom"/>
          </w:tcPr>
          <w:p>
            <w:pPr>
              <w:spacing w:after="0"/>
              <w:rPr>
                <w:sz w:val="18"/>
                <w:szCs w:val="18"/>
                <w:color w:val="auto"/>
              </w:rPr>
            </w:pPr>
          </w:p>
        </w:tc>
        <w:tc>
          <w:tcPr>
            <w:tcW w:w="520" w:type="dxa"/>
            <w:vAlign w:val="bottom"/>
          </w:tcPr>
          <w:p>
            <w:pPr>
              <w:jc w:val="right"/>
              <w:ind w:right="168"/>
              <w:spacing w:after="0"/>
              <w:rPr>
                <w:sz w:val="20"/>
                <w:szCs w:val="20"/>
                <w:color w:val="auto"/>
              </w:rPr>
            </w:pPr>
            <w:r>
              <w:rPr>
                <w:rFonts w:ascii="Arial" w:cs="Arial" w:eastAsia="Arial" w:hAnsi="Arial"/>
                <w:sz w:val="14"/>
                <w:szCs w:val="14"/>
                <w:color w:val="auto"/>
              </w:rPr>
              <w:t>112</w:t>
            </w: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264</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113</w:t>
            </w:r>
          </w:p>
        </w:tc>
      </w:tr>
      <w:tr>
        <w:trPr>
          <w:trHeight w:val="222"/>
        </w:trPr>
        <w:tc>
          <w:tcPr>
            <w:tcW w:w="2260" w:type="dxa"/>
            <w:vAlign w:val="bottom"/>
          </w:tcPr>
          <w:p>
            <w:pPr>
              <w:ind w:left="320"/>
              <w:spacing w:after="0"/>
              <w:rPr>
                <w:sz w:val="20"/>
                <w:szCs w:val="20"/>
                <w:color w:val="auto"/>
              </w:rPr>
            </w:pPr>
            <w:r>
              <w:rPr>
                <w:rFonts w:ascii="Arial" w:cs="Arial" w:eastAsia="Arial" w:hAnsi="Arial"/>
                <w:sz w:val="14"/>
                <w:szCs w:val="14"/>
                <w:color w:val="auto"/>
              </w:rPr>
              <w:t>Wholesale</w:t>
            </w:r>
          </w:p>
        </w:tc>
        <w:tc>
          <w:tcPr>
            <w:tcW w:w="1060" w:type="dxa"/>
            <w:vAlign w:val="bottom"/>
            <w:tcBorders>
              <w:bottom w:val="single" w:sz="8" w:color="auto"/>
            </w:tcBorders>
          </w:tcPr>
          <w:p>
            <w:pPr>
              <w:jc w:val="right"/>
              <w:ind w:right="149"/>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ind w:right="149"/>
              <w:spacing w:after="0"/>
              <w:rPr>
                <w:sz w:val="20"/>
                <w:szCs w:val="20"/>
                <w:color w:val="auto"/>
              </w:rPr>
            </w:pPr>
            <w:r>
              <w:rPr>
                <w:rFonts w:ascii="Arial" w:cs="Arial" w:eastAsia="Arial" w:hAnsi="Arial"/>
                <w:sz w:val="14"/>
                <w:szCs w:val="14"/>
                <w:color w:val="auto"/>
              </w:rPr>
              <w:t>19</w:t>
            </w:r>
          </w:p>
        </w:tc>
        <w:tc>
          <w:tcPr>
            <w:tcW w:w="5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8</w:t>
            </w:r>
          </w:p>
        </w:tc>
        <w:tc>
          <w:tcPr>
            <w:tcW w:w="8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19</w:t>
            </w:r>
          </w:p>
        </w:tc>
        <w:tc>
          <w:tcPr>
            <w:tcW w:w="36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w:t>
            </w:r>
          </w:p>
        </w:tc>
      </w:tr>
      <w:tr>
        <w:trPr>
          <w:trHeight w:val="202"/>
        </w:trPr>
        <w:tc>
          <w:tcPr>
            <w:tcW w:w="2260" w:type="dxa"/>
            <w:vAlign w:val="bottom"/>
          </w:tcPr>
          <w:p>
            <w:pPr>
              <w:spacing w:after="0"/>
              <w:rPr>
                <w:sz w:val="17"/>
                <w:szCs w:val="17"/>
                <w:color w:val="auto"/>
              </w:rPr>
            </w:pPr>
          </w:p>
        </w:tc>
        <w:tc>
          <w:tcPr>
            <w:tcW w:w="1060" w:type="dxa"/>
            <w:vAlign w:val="bottom"/>
          </w:tcPr>
          <w:p>
            <w:pPr>
              <w:jc w:val="right"/>
              <w:ind w:right="149"/>
              <w:spacing w:after="0"/>
              <w:rPr>
                <w:sz w:val="20"/>
                <w:szCs w:val="20"/>
                <w:color w:val="auto"/>
              </w:rPr>
            </w:pPr>
            <w:r>
              <w:rPr>
                <w:rFonts w:ascii="Arial" w:cs="Arial" w:eastAsia="Arial" w:hAnsi="Arial"/>
                <w:sz w:val="14"/>
                <w:szCs w:val="14"/>
                <w:color w:val="auto"/>
              </w:rPr>
              <w:t>404</w:t>
            </w:r>
          </w:p>
        </w:tc>
        <w:tc>
          <w:tcPr>
            <w:tcW w:w="300" w:type="dxa"/>
            <w:vAlign w:val="bottom"/>
          </w:tcPr>
          <w:p>
            <w:pPr>
              <w:jc w:val="right"/>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48"/>
              <w:spacing w:after="0"/>
              <w:rPr>
                <w:sz w:val="20"/>
                <w:szCs w:val="20"/>
                <w:color w:val="auto"/>
              </w:rPr>
            </w:pPr>
            <w:r>
              <w:rPr>
                <w:rFonts w:ascii="Arial" w:cs="Arial" w:eastAsia="Arial" w:hAnsi="Arial"/>
                <w:sz w:val="14"/>
                <w:szCs w:val="14"/>
                <w:color w:val="auto"/>
              </w:rPr>
              <w:t>4,225</w:t>
            </w:r>
          </w:p>
        </w:tc>
        <w:tc>
          <w:tcPr>
            <w:tcW w:w="840" w:type="dxa"/>
            <w:vAlign w:val="bottom"/>
          </w:tcPr>
          <w:p>
            <w:pPr>
              <w:jc w:val="right"/>
              <w:ind w:right="149"/>
              <w:spacing w:after="0"/>
              <w:rPr>
                <w:sz w:val="20"/>
                <w:szCs w:val="20"/>
                <w:color w:val="auto"/>
              </w:rPr>
            </w:pPr>
            <w:r>
              <w:rPr>
                <w:rFonts w:ascii="Arial" w:cs="Arial" w:eastAsia="Arial" w:hAnsi="Arial"/>
                <w:sz w:val="14"/>
                <w:szCs w:val="14"/>
                <w:color w:val="auto"/>
              </w:rPr>
              <w:t>566</w:t>
            </w:r>
          </w:p>
        </w:tc>
        <w:tc>
          <w:tcPr>
            <w:tcW w:w="580" w:type="dxa"/>
            <w:vAlign w:val="bottom"/>
          </w:tcPr>
          <w:p>
            <w:pPr>
              <w:jc w:val="right"/>
              <w:ind w:right="229"/>
              <w:spacing w:after="0"/>
              <w:rPr>
                <w:sz w:val="20"/>
                <w:szCs w:val="20"/>
                <w:color w:val="auto"/>
              </w:rPr>
            </w:pPr>
            <w:r>
              <w:rPr>
                <w:rFonts w:ascii="Arial" w:cs="Arial" w:eastAsia="Arial" w:hAnsi="Arial"/>
                <w:sz w:val="14"/>
                <w:szCs w:val="14"/>
                <w:color w:val="auto"/>
              </w:rPr>
              <w:t>$</w:t>
            </w:r>
          </w:p>
        </w:tc>
        <w:tc>
          <w:tcPr>
            <w:tcW w:w="520" w:type="dxa"/>
            <w:vAlign w:val="bottom"/>
          </w:tcPr>
          <w:p>
            <w:pPr>
              <w:jc w:val="right"/>
              <w:ind w:right="168"/>
              <w:spacing w:after="0"/>
              <w:rPr>
                <w:sz w:val="20"/>
                <w:szCs w:val="20"/>
                <w:color w:val="auto"/>
              </w:rPr>
            </w:pPr>
            <w:r>
              <w:rPr>
                <w:rFonts w:ascii="Arial" w:cs="Arial" w:eastAsia="Arial" w:hAnsi="Arial"/>
                <w:sz w:val="14"/>
                <w:szCs w:val="14"/>
                <w:color w:val="auto"/>
              </w:rPr>
              <w:t>340</w:t>
            </w: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970</w:t>
            </w: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4,565</w:t>
            </w:r>
          </w:p>
        </w:tc>
      </w:tr>
      <w:tr>
        <w:trPr>
          <w:trHeight w:val="216"/>
        </w:trPr>
        <w:tc>
          <w:tcPr>
            <w:tcW w:w="2260" w:type="dxa"/>
            <w:vAlign w:val="bottom"/>
          </w:tcPr>
          <w:p>
            <w:pPr>
              <w:ind w:left="320"/>
              <w:spacing w:after="0"/>
              <w:rPr>
                <w:sz w:val="20"/>
                <w:szCs w:val="20"/>
                <w:color w:val="auto"/>
              </w:rPr>
            </w:pPr>
            <w:r>
              <w:rPr>
                <w:rFonts w:ascii="Arial" w:cs="Arial" w:eastAsia="Arial" w:hAnsi="Arial"/>
                <w:sz w:val="14"/>
                <w:szCs w:val="14"/>
                <w:color w:val="auto"/>
              </w:rPr>
              <w:t>Other revenues</w:t>
            </w: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90</w:t>
            </w:r>
          </w:p>
        </w:tc>
      </w:tr>
      <w:tr>
        <w:trPr>
          <w:trHeight w:val="222"/>
        </w:trPr>
        <w:tc>
          <w:tcPr>
            <w:tcW w:w="2260" w:type="dxa"/>
            <w:vAlign w:val="bottom"/>
          </w:tcPr>
          <w:p>
            <w:pPr>
              <w:ind w:left="320"/>
              <w:spacing w:after="0"/>
              <w:rPr>
                <w:sz w:val="20"/>
                <w:szCs w:val="20"/>
                <w:color w:val="auto"/>
              </w:rPr>
            </w:pPr>
            <w:r>
              <w:rPr>
                <w:rFonts w:ascii="Arial" w:cs="Arial" w:eastAsia="Arial" w:hAnsi="Arial"/>
                <w:sz w:val="14"/>
                <w:szCs w:val="14"/>
                <w:color w:val="auto"/>
              </w:rPr>
              <w:t>Balancing accounts*</w:t>
            </w:r>
          </w:p>
        </w:tc>
        <w:tc>
          <w:tcPr>
            <w:tcW w:w="10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214</w:t>
            </w:r>
          </w:p>
        </w:tc>
      </w:tr>
      <w:tr>
        <w:trPr>
          <w:trHeight w:val="224"/>
        </w:trPr>
        <w:tc>
          <w:tcPr>
            <w:tcW w:w="2260" w:type="dxa"/>
            <w:vAlign w:val="bottom"/>
            <w:tcBorders>
              <w:bottom w:val="single" w:sz="8" w:color="auto"/>
            </w:tcBorders>
          </w:tcPr>
          <w:p>
            <w:pPr>
              <w:ind w:left="460"/>
              <w:spacing w:after="0"/>
              <w:rPr>
                <w:sz w:val="20"/>
                <w:szCs w:val="20"/>
                <w:color w:val="auto"/>
              </w:rPr>
            </w:pPr>
            <w:r>
              <w:rPr>
                <w:rFonts w:ascii="Arial" w:cs="Arial" w:eastAsia="Arial" w:hAnsi="Arial"/>
                <w:sz w:val="14"/>
                <w:szCs w:val="14"/>
                <w:color w:val="auto"/>
              </w:rPr>
              <w:t>Total</w:t>
            </w:r>
          </w:p>
        </w:tc>
        <w:tc>
          <w:tcPr>
            <w:tcW w:w="106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4,869</w:t>
            </w:r>
          </w:p>
        </w:tc>
      </w:tr>
      <w:tr>
        <w:trPr>
          <w:trHeight w:val="210"/>
        </w:trPr>
        <w:tc>
          <w:tcPr>
            <w:tcW w:w="2260" w:type="dxa"/>
            <w:vAlign w:val="bottom"/>
          </w:tcPr>
          <w:p>
            <w:pPr>
              <w:spacing w:after="0"/>
              <w:rPr>
                <w:sz w:val="20"/>
                <w:szCs w:val="20"/>
                <w:color w:val="auto"/>
              </w:rPr>
            </w:pPr>
            <w:r>
              <w:rPr>
                <w:rFonts w:ascii="Arial" w:cs="Arial" w:eastAsia="Arial" w:hAnsi="Arial"/>
                <w:sz w:val="14"/>
                <w:szCs w:val="14"/>
                <w:color w:val="auto"/>
              </w:rPr>
              <w:t>2006:</w:t>
            </w: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r>
      <w:tr>
        <w:trPr>
          <w:trHeight w:val="216"/>
        </w:trPr>
        <w:tc>
          <w:tcPr>
            <w:tcW w:w="2260" w:type="dxa"/>
            <w:vAlign w:val="bottom"/>
          </w:tcPr>
          <w:p>
            <w:pPr>
              <w:ind w:left="320"/>
              <w:spacing w:after="0"/>
              <w:rPr>
                <w:sz w:val="20"/>
                <w:szCs w:val="20"/>
                <w:color w:val="auto"/>
              </w:rPr>
            </w:pPr>
            <w:r>
              <w:rPr>
                <w:rFonts w:ascii="Arial" w:cs="Arial" w:eastAsia="Arial" w:hAnsi="Arial"/>
                <w:sz w:val="14"/>
                <w:szCs w:val="14"/>
                <w:color w:val="auto"/>
              </w:rPr>
              <w:t>Residential</w:t>
            </w:r>
          </w:p>
        </w:tc>
        <w:tc>
          <w:tcPr>
            <w:tcW w:w="1060" w:type="dxa"/>
            <w:vAlign w:val="bottom"/>
          </w:tcPr>
          <w:p>
            <w:pPr>
              <w:jc w:val="right"/>
              <w:ind w:right="149"/>
              <w:spacing w:after="0"/>
              <w:rPr>
                <w:sz w:val="20"/>
                <w:szCs w:val="20"/>
                <w:color w:val="auto"/>
              </w:rPr>
            </w:pPr>
            <w:r>
              <w:rPr>
                <w:rFonts w:ascii="Arial" w:cs="Arial" w:eastAsia="Arial" w:hAnsi="Arial"/>
                <w:sz w:val="14"/>
                <w:szCs w:val="14"/>
                <w:color w:val="auto"/>
              </w:rPr>
              <w:t>278</w:t>
            </w:r>
          </w:p>
        </w:tc>
        <w:tc>
          <w:tcPr>
            <w:tcW w:w="300" w:type="dxa"/>
            <w:vAlign w:val="bottom"/>
          </w:tcPr>
          <w:p>
            <w:pPr>
              <w:jc w:val="right"/>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48"/>
              <w:spacing w:after="0"/>
              <w:rPr>
                <w:sz w:val="20"/>
                <w:szCs w:val="20"/>
                <w:color w:val="auto"/>
              </w:rPr>
            </w:pPr>
            <w:r>
              <w:rPr>
                <w:rFonts w:ascii="Arial" w:cs="Arial" w:eastAsia="Arial" w:hAnsi="Arial"/>
                <w:sz w:val="14"/>
                <w:szCs w:val="14"/>
                <w:color w:val="auto"/>
              </w:rPr>
              <w:t>3,124</w:t>
            </w:r>
          </w:p>
        </w:tc>
        <w:tc>
          <w:tcPr>
            <w:tcW w:w="840" w:type="dxa"/>
            <w:vAlign w:val="bottom"/>
          </w:tcPr>
          <w:p>
            <w:pPr>
              <w:jc w:val="right"/>
              <w:ind w:right="149"/>
              <w:spacing w:after="0"/>
              <w:rPr>
                <w:sz w:val="20"/>
                <w:szCs w:val="20"/>
                <w:color w:val="auto"/>
              </w:rPr>
            </w:pPr>
            <w:r>
              <w:rPr>
                <w:rFonts w:ascii="Arial" w:cs="Arial" w:eastAsia="Arial" w:hAnsi="Arial"/>
                <w:sz w:val="14"/>
                <w:szCs w:val="14"/>
                <w:color w:val="auto"/>
              </w:rPr>
              <w:t>1</w:t>
            </w:r>
          </w:p>
        </w:tc>
        <w:tc>
          <w:tcPr>
            <w:tcW w:w="580" w:type="dxa"/>
            <w:vAlign w:val="bottom"/>
          </w:tcPr>
          <w:p>
            <w:pPr>
              <w:jc w:val="right"/>
              <w:ind w:right="229"/>
              <w:spacing w:after="0"/>
              <w:rPr>
                <w:sz w:val="20"/>
                <w:szCs w:val="20"/>
                <w:color w:val="auto"/>
              </w:rPr>
            </w:pPr>
            <w:r>
              <w:rPr>
                <w:rFonts w:ascii="Arial" w:cs="Arial" w:eastAsia="Arial" w:hAnsi="Arial"/>
                <w:sz w:val="14"/>
                <w:szCs w:val="14"/>
                <w:color w:val="auto"/>
              </w:rPr>
              <w:t>$</w:t>
            </w:r>
          </w:p>
        </w:tc>
        <w:tc>
          <w:tcPr>
            <w:tcW w:w="520" w:type="dxa"/>
            <w:vAlign w:val="bottom"/>
          </w:tcPr>
          <w:p>
            <w:pPr>
              <w:jc w:val="right"/>
              <w:ind w:right="168"/>
              <w:spacing w:after="0"/>
              <w:rPr>
                <w:sz w:val="20"/>
                <w:szCs w:val="20"/>
                <w:color w:val="auto"/>
              </w:rPr>
            </w:pPr>
            <w:r>
              <w:rPr>
                <w:rFonts w:ascii="Arial" w:cs="Arial" w:eastAsia="Arial" w:hAnsi="Arial"/>
                <w:sz w:val="14"/>
                <w:szCs w:val="14"/>
                <w:color w:val="auto"/>
              </w:rPr>
              <w:t>5</w:t>
            </w: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279</w:t>
            </w:r>
          </w:p>
        </w:tc>
        <w:tc>
          <w:tcPr>
            <w:tcW w:w="54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3,129</w:t>
            </w:r>
          </w:p>
        </w:tc>
      </w:tr>
      <w:tr>
        <w:trPr>
          <w:trHeight w:val="216"/>
        </w:trPr>
        <w:tc>
          <w:tcPr>
            <w:tcW w:w="2260" w:type="dxa"/>
            <w:vAlign w:val="bottom"/>
          </w:tcPr>
          <w:p>
            <w:pPr>
              <w:ind w:left="320"/>
              <w:spacing w:after="0"/>
              <w:rPr>
                <w:sz w:val="20"/>
                <w:szCs w:val="20"/>
                <w:color w:val="auto"/>
              </w:rPr>
            </w:pPr>
            <w:r>
              <w:rPr>
                <w:rFonts w:ascii="Arial" w:cs="Arial" w:eastAsia="Arial" w:hAnsi="Arial"/>
                <w:sz w:val="14"/>
                <w:szCs w:val="14"/>
                <w:color w:val="auto"/>
              </w:rPr>
              <w:t>Commercial and industrial</w:t>
            </w:r>
          </w:p>
        </w:tc>
        <w:tc>
          <w:tcPr>
            <w:tcW w:w="1060" w:type="dxa"/>
            <w:vAlign w:val="bottom"/>
          </w:tcPr>
          <w:p>
            <w:pPr>
              <w:jc w:val="right"/>
              <w:ind w:right="149"/>
              <w:spacing w:after="0"/>
              <w:rPr>
                <w:sz w:val="20"/>
                <w:szCs w:val="20"/>
                <w:color w:val="auto"/>
              </w:rPr>
            </w:pPr>
            <w:r>
              <w:rPr>
                <w:rFonts w:ascii="Arial" w:cs="Arial" w:eastAsia="Arial" w:hAnsi="Arial"/>
                <w:sz w:val="14"/>
                <w:szCs w:val="14"/>
                <w:color w:val="auto"/>
              </w:rPr>
              <w:t>124</w:t>
            </w:r>
          </w:p>
        </w:tc>
        <w:tc>
          <w:tcPr>
            <w:tcW w:w="300" w:type="dxa"/>
            <w:vAlign w:val="bottom"/>
          </w:tcPr>
          <w:p>
            <w:pPr>
              <w:spacing w:after="0"/>
              <w:rPr>
                <w:sz w:val="18"/>
                <w:szCs w:val="18"/>
                <w:color w:val="auto"/>
              </w:rPr>
            </w:pPr>
          </w:p>
        </w:tc>
        <w:tc>
          <w:tcPr>
            <w:tcW w:w="640" w:type="dxa"/>
            <w:vAlign w:val="bottom"/>
          </w:tcPr>
          <w:p>
            <w:pPr>
              <w:jc w:val="right"/>
              <w:ind w:right="48"/>
              <w:spacing w:after="0"/>
              <w:rPr>
                <w:sz w:val="20"/>
                <w:szCs w:val="20"/>
                <w:color w:val="auto"/>
              </w:rPr>
            </w:pPr>
            <w:r>
              <w:rPr>
                <w:rFonts w:ascii="Arial" w:cs="Arial" w:eastAsia="Arial" w:hAnsi="Arial"/>
                <w:sz w:val="14"/>
                <w:szCs w:val="14"/>
                <w:color w:val="auto"/>
              </w:rPr>
              <w:t>1,157</w:t>
            </w:r>
          </w:p>
        </w:tc>
        <w:tc>
          <w:tcPr>
            <w:tcW w:w="840" w:type="dxa"/>
            <w:vAlign w:val="bottom"/>
          </w:tcPr>
          <w:p>
            <w:pPr>
              <w:jc w:val="right"/>
              <w:ind w:right="149"/>
              <w:spacing w:after="0"/>
              <w:rPr>
                <w:sz w:val="20"/>
                <w:szCs w:val="20"/>
                <w:color w:val="auto"/>
              </w:rPr>
            </w:pPr>
            <w:r>
              <w:rPr>
                <w:rFonts w:ascii="Arial" w:cs="Arial" w:eastAsia="Arial" w:hAnsi="Arial"/>
                <w:sz w:val="14"/>
                <w:szCs w:val="14"/>
                <w:color w:val="auto"/>
              </w:rPr>
              <w:t>276</w:t>
            </w:r>
          </w:p>
        </w:tc>
        <w:tc>
          <w:tcPr>
            <w:tcW w:w="580" w:type="dxa"/>
            <w:vAlign w:val="bottom"/>
          </w:tcPr>
          <w:p>
            <w:pPr>
              <w:spacing w:after="0"/>
              <w:rPr>
                <w:sz w:val="18"/>
                <w:szCs w:val="18"/>
                <w:color w:val="auto"/>
              </w:rPr>
            </w:pPr>
          </w:p>
        </w:tc>
        <w:tc>
          <w:tcPr>
            <w:tcW w:w="520" w:type="dxa"/>
            <w:vAlign w:val="bottom"/>
          </w:tcPr>
          <w:p>
            <w:pPr>
              <w:jc w:val="right"/>
              <w:ind w:right="168"/>
              <w:spacing w:after="0"/>
              <w:rPr>
                <w:sz w:val="20"/>
                <w:szCs w:val="20"/>
                <w:color w:val="auto"/>
              </w:rPr>
            </w:pPr>
            <w:r>
              <w:rPr>
                <w:rFonts w:ascii="Arial" w:cs="Arial" w:eastAsia="Arial" w:hAnsi="Arial"/>
                <w:sz w:val="14"/>
                <w:szCs w:val="14"/>
                <w:color w:val="auto"/>
              </w:rPr>
              <w:t>223</w:t>
            </w: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400</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1,380</w:t>
            </w:r>
          </w:p>
        </w:tc>
      </w:tr>
      <w:tr>
        <w:trPr>
          <w:trHeight w:val="216"/>
        </w:trPr>
        <w:tc>
          <w:tcPr>
            <w:tcW w:w="2260" w:type="dxa"/>
            <w:vAlign w:val="bottom"/>
          </w:tcPr>
          <w:p>
            <w:pPr>
              <w:ind w:left="320"/>
              <w:spacing w:after="0"/>
              <w:rPr>
                <w:sz w:val="20"/>
                <w:szCs w:val="20"/>
                <w:color w:val="auto"/>
              </w:rPr>
            </w:pPr>
            <w:r>
              <w:rPr>
                <w:rFonts w:ascii="Arial" w:cs="Arial" w:eastAsia="Arial" w:hAnsi="Arial"/>
                <w:sz w:val="14"/>
                <w:szCs w:val="14"/>
                <w:color w:val="auto"/>
              </w:rPr>
              <w:t>Electric generation plants</w:t>
            </w:r>
          </w:p>
        </w:tc>
        <w:tc>
          <w:tcPr>
            <w:tcW w:w="1060" w:type="dxa"/>
            <w:vAlign w:val="bottom"/>
          </w:tcPr>
          <w:p>
            <w:pPr>
              <w:jc w:val="right"/>
              <w:ind w:right="149"/>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8"/>
                <w:szCs w:val="18"/>
                <w:color w:val="auto"/>
              </w:rPr>
            </w:pPr>
          </w:p>
        </w:tc>
        <w:tc>
          <w:tcPr>
            <w:tcW w:w="640" w:type="dxa"/>
            <w:vAlign w:val="bottom"/>
          </w:tcPr>
          <w:p>
            <w:pPr>
              <w:jc w:val="right"/>
              <w:ind w:right="48"/>
              <w:spacing w:after="0"/>
              <w:rPr>
                <w:sz w:val="20"/>
                <w:szCs w:val="20"/>
                <w:color w:val="auto"/>
              </w:rPr>
            </w:pPr>
            <w:r>
              <w:rPr>
                <w:rFonts w:ascii="Arial" w:cs="Arial" w:eastAsia="Arial" w:hAnsi="Arial"/>
                <w:sz w:val="14"/>
                <w:szCs w:val="14"/>
                <w:color w:val="auto"/>
              </w:rPr>
              <w:t>2</w:t>
            </w:r>
          </w:p>
        </w:tc>
        <w:tc>
          <w:tcPr>
            <w:tcW w:w="840" w:type="dxa"/>
            <w:vAlign w:val="bottom"/>
          </w:tcPr>
          <w:p>
            <w:pPr>
              <w:jc w:val="right"/>
              <w:ind w:right="149"/>
              <w:spacing w:after="0"/>
              <w:rPr>
                <w:sz w:val="20"/>
                <w:szCs w:val="20"/>
                <w:color w:val="auto"/>
              </w:rPr>
            </w:pPr>
            <w:r>
              <w:rPr>
                <w:rFonts w:ascii="Arial" w:cs="Arial" w:eastAsia="Arial" w:hAnsi="Arial"/>
                <w:sz w:val="14"/>
                <w:szCs w:val="14"/>
                <w:color w:val="auto"/>
              </w:rPr>
              <w:t>248</w:t>
            </w:r>
          </w:p>
        </w:tc>
        <w:tc>
          <w:tcPr>
            <w:tcW w:w="580" w:type="dxa"/>
            <w:vAlign w:val="bottom"/>
          </w:tcPr>
          <w:p>
            <w:pPr>
              <w:spacing w:after="0"/>
              <w:rPr>
                <w:sz w:val="18"/>
                <w:szCs w:val="18"/>
                <w:color w:val="auto"/>
              </w:rPr>
            </w:pPr>
          </w:p>
        </w:tc>
        <w:tc>
          <w:tcPr>
            <w:tcW w:w="520" w:type="dxa"/>
            <w:vAlign w:val="bottom"/>
          </w:tcPr>
          <w:p>
            <w:pPr>
              <w:jc w:val="right"/>
              <w:ind w:right="168"/>
              <w:spacing w:after="0"/>
              <w:rPr>
                <w:sz w:val="20"/>
                <w:szCs w:val="20"/>
                <w:color w:val="auto"/>
              </w:rPr>
            </w:pPr>
            <w:r>
              <w:rPr>
                <w:rFonts w:ascii="Arial" w:cs="Arial" w:eastAsia="Arial" w:hAnsi="Arial"/>
                <w:sz w:val="14"/>
                <w:szCs w:val="14"/>
                <w:color w:val="auto"/>
              </w:rPr>
              <w:t>118</w:t>
            </w: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248</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120</w:t>
            </w:r>
          </w:p>
        </w:tc>
      </w:tr>
      <w:tr>
        <w:trPr>
          <w:trHeight w:val="222"/>
        </w:trPr>
        <w:tc>
          <w:tcPr>
            <w:tcW w:w="2260" w:type="dxa"/>
            <w:vAlign w:val="bottom"/>
          </w:tcPr>
          <w:p>
            <w:pPr>
              <w:ind w:left="320"/>
              <w:spacing w:after="0"/>
              <w:rPr>
                <w:sz w:val="20"/>
                <w:szCs w:val="20"/>
                <w:color w:val="auto"/>
              </w:rPr>
            </w:pPr>
            <w:r>
              <w:rPr>
                <w:rFonts w:ascii="Arial" w:cs="Arial" w:eastAsia="Arial" w:hAnsi="Arial"/>
                <w:sz w:val="14"/>
                <w:szCs w:val="14"/>
                <w:color w:val="auto"/>
              </w:rPr>
              <w:t>Wholesale</w:t>
            </w:r>
          </w:p>
        </w:tc>
        <w:tc>
          <w:tcPr>
            <w:tcW w:w="1060" w:type="dxa"/>
            <w:vAlign w:val="bottom"/>
            <w:tcBorders>
              <w:bottom w:val="single" w:sz="8" w:color="auto"/>
            </w:tcBorders>
          </w:tcPr>
          <w:p>
            <w:pPr>
              <w:jc w:val="right"/>
              <w:ind w:right="149"/>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ind w:right="149"/>
              <w:spacing w:after="0"/>
              <w:rPr>
                <w:sz w:val="20"/>
                <w:szCs w:val="20"/>
                <w:color w:val="auto"/>
              </w:rPr>
            </w:pPr>
            <w:r>
              <w:rPr>
                <w:rFonts w:ascii="Arial" w:cs="Arial" w:eastAsia="Arial" w:hAnsi="Arial"/>
                <w:sz w:val="14"/>
                <w:szCs w:val="14"/>
                <w:color w:val="auto"/>
              </w:rPr>
              <w:t>21</w:t>
            </w:r>
          </w:p>
        </w:tc>
        <w:tc>
          <w:tcPr>
            <w:tcW w:w="5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8</w:t>
            </w:r>
          </w:p>
        </w:tc>
        <w:tc>
          <w:tcPr>
            <w:tcW w:w="8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21</w:t>
            </w:r>
          </w:p>
        </w:tc>
        <w:tc>
          <w:tcPr>
            <w:tcW w:w="36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w:t>
            </w:r>
          </w:p>
        </w:tc>
      </w:tr>
      <w:tr>
        <w:trPr>
          <w:trHeight w:val="202"/>
        </w:trPr>
        <w:tc>
          <w:tcPr>
            <w:tcW w:w="2260" w:type="dxa"/>
            <w:vAlign w:val="bottom"/>
          </w:tcPr>
          <w:p>
            <w:pPr>
              <w:spacing w:after="0"/>
              <w:rPr>
                <w:sz w:val="17"/>
                <w:szCs w:val="17"/>
                <w:color w:val="auto"/>
              </w:rPr>
            </w:pPr>
          </w:p>
        </w:tc>
        <w:tc>
          <w:tcPr>
            <w:tcW w:w="1060" w:type="dxa"/>
            <w:vAlign w:val="bottom"/>
          </w:tcPr>
          <w:p>
            <w:pPr>
              <w:jc w:val="right"/>
              <w:ind w:right="149"/>
              <w:spacing w:after="0"/>
              <w:rPr>
                <w:sz w:val="20"/>
                <w:szCs w:val="20"/>
                <w:color w:val="auto"/>
              </w:rPr>
            </w:pPr>
            <w:r>
              <w:rPr>
                <w:rFonts w:ascii="Arial" w:cs="Arial" w:eastAsia="Arial" w:hAnsi="Arial"/>
                <w:sz w:val="14"/>
                <w:szCs w:val="14"/>
                <w:color w:val="auto"/>
              </w:rPr>
              <w:t>402</w:t>
            </w:r>
          </w:p>
        </w:tc>
        <w:tc>
          <w:tcPr>
            <w:tcW w:w="300" w:type="dxa"/>
            <w:vAlign w:val="bottom"/>
          </w:tcPr>
          <w:p>
            <w:pPr>
              <w:jc w:val="right"/>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48"/>
              <w:spacing w:after="0"/>
              <w:rPr>
                <w:sz w:val="20"/>
                <w:szCs w:val="20"/>
                <w:color w:val="auto"/>
              </w:rPr>
            </w:pPr>
            <w:r>
              <w:rPr>
                <w:rFonts w:ascii="Arial" w:cs="Arial" w:eastAsia="Arial" w:hAnsi="Arial"/>
                <w:sz w:val="14"/>
                <w:szCs w:val="14"/>
                <w:color w:val="auto"/>
              </w:rPr>
              <w:t>4,283</w:t>
            </w:r>
          </w:p>
        </w:tc>
        <w:tc>
          <w:tcPr>
            <w:tcW w:w="840" w:type="dxa"/>
            <w:vAlign w:val="bottom"/>
          </w:tcPr>
          <w:p>
            <w:pPr>
              <w:jc w:val="right"/>
              <w:ind w:right="149"/>
              <w:spacing w:after="0"/>
              <w:rPr>
                <w:sz w:val="20"/>
                <w:szCs w:val="20"/>
                <w:color w:val="auto"/>
              </w:rPr>
            </w:pPr>
            <w:r>
              <w:rPr>
                <w:rFonts w:ascii="Arial" w:cs="Arial" w:eastAsia="Arial" w:hAnsi="Arial"/>
                <w:sz w:val="14"/>
                <w:szCs w:val="14"/>
                <w:color w:val="auto"/>
              </w:rPr>
              <w:t>546</w:t>
            </w:r>
          </w:p>
        </w:tc>
        <w:tc>
          <w:tcPr>
            <w:tcW w:w="580" w:type="dxa"/>
            <w:vAlign w:val="bottom"/>
          </w:tcPr>
          <w:p>
            <w:pPr>
              <w:jc w:val="right"/>
              <w:ind w:right="229"/>
              <w:spacing w:after="0"/>
              <w:rPr>
                <w:sz w:val="20"/>
                <w:szCs w:val="20"/>
                <w:color w:val="auto"/>
              </w:rPr>
            </w:pPr>
            <w:r>
              <w:rPr>
                <w:rFonts w:ascii="Arial" w:cs="Arial" w:eastAsia="Arial" w:hAnsi="Arial"/>
                <w:sz w:val="14"/>
                <w:szCs w:val="14"/>
                <w:color w:val="auto"/>
              </w:rPr>
              <w:t>$</w:t>
            </w:r>
          </w:p>
        </w:tc>
        <w:tc>
          <w:tcPr>
            <w:tcW w:w="520" w:type="dxa"/>
            <w:vAlign w:val="bottom"/>
          </w:tcPr>
          <w:p>
            <w:pPr>
              <w:jc w:val="right"/>
              <w:ind w:right="168"/>
              <w:spacing w:after="0"/>
              <w:rPr>
                <w:sz w:val="20"/>
                <w:szCs w:val="20"/>
                <w:color w:val="auto"/>
              </w:rPr>
            </w:pPr>
            <w:r>
              <w:rPr>
                <w:rFonts w:ascii="Arial" w:cs="Arial" w:eastAsia="Arial" w:hAnsi="Arial"/>
                <w:sz w:val="14"/>
                <w:szCs w:val="14"/>
                <w:color w:val="auto"/>
              </w:rPr>
              <w:t>354</w:t>
            </w: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948</w:t>
            </w: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4,637</w:t>
            </w:r>
          </w:p>
        </w:tc>
      </w:tr>
      <w:tr>
        <w:trPr>
          <w:trHeight w:val="216"/>
        </w:trPr>
        <w:tc>
          <w:tcPr>
            <w:tcW w:w="2260" w:type="dxa"/>
            <w:vAlign w:val="bottom"/>
          </w:tcPr>
          <w:p>
            <w:pPr>
              <w:ind w:left="320"/>
              <w:spacing w:after="0"/>
              <w:rPr>
                <w:sz w:val="20"/>
                <w:szCs w:val="20"/>
                <w:color w:val="auto"/>
              </w:rPr>
            </w:pPr>
            <w:r>
              <w:rPr>
                <w:rFonts w:ascii="Arial" w:cs="Arial" w:eastAsia="Arial" w:hAnsi="Arial"/>
                <w:sz w:val="14"/>
                <w:szCs w:val="14"/>
                <w:color w:val="auto"/>
              </w:rPr>
              <w:t>Other revenues</w:t>
            </w: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75</w:t>
            </w:r>
          </w:p>
        </w:tc>
      </w:tr>
      <w:tr>
        <w:trPr>
          <w:trHeight w:val="222"/>
        </w:trPr>
        <w:tc>
          <w:tcPr>
            <w:tcW w:w="2260" w:type="dxa"/>
            <w:vAlign w:val="bottom"/>
          </w:tcPr>
          <w:p>
            <w:pPr>
              <w:ind w:left="320"/>
              <w:spacing w:after="0"/>
              <w:rPr>
                <w:sz w:val="20"/>
                <w:szCs w:val="20"/>
                <w:color w:val="auto"/>
              </w:rPr>
            </w:pPr>
            <w:r>
              <w:rPr>
                <w:rFonts w:ascii="Arial" w:cs="Arial" w:eastAsia="Arial" w:hAnsi="Arial"/>
                <w:sz w:val="14"/>
                <w:szCs w:val="14"/>
                <w:color w:val="auto"/>
              </w:rPr>
              <w:t>Balancing accounts*</w:t>
            </w:r>
          </w:p>
        </w:tc>
        <w:tc>
          <w:tcPr>
            <w:tcW w:w="10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51</w:t>
            </w:r>
          </w:p>
        </w:tc>
      </w:tr>
      <w:tr>
        <w:trPr>
          <w:trHeight w:val="224"/>
        </w:trPr>
        <w:tc>
          <w:tcPr>
            <w:tcW w:w="2260" w:type="dxa"/>
            <w:vAlign w:val="bottom"/>
            <w:tcBorders>
              <w:bottom w:val="single" w:sz="8" w:color="auto"/>
            </w:tcBorders>
          </w:tcPr>
          <w:p>
            <w:pPr>
              <w:ind w:left="460"/>
              <w:spacing w:after="0"/>
              <w:rPr>
                <w:sz w:val="20"/>
                <w:szCs w:val="20"/>
                <w:color w:val="auto"/>
              </w:rPr>
            </w:pPr>
            <w:r>
              <w:rPr>
                <w:rFonts w:ascii="Arial" w:cs="Arial" w:eastAsia="Arial" w:hAnsi="Arial"/>
                <w:sz w:val="14"/>
                <w:szCs w:val="14"/>
                <w:color w:val="auto"/>
              </w:rPr>
              <w:t>Total</w:t>
            </w:r>
          </w:p>
        </w:tc>
        <w:tc>
          <w:tcPr>
            <w:tcW w:w="106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4,763</w:t>
            </w:r>
          </w:p>
        </w:tc>
      </w:tr>
    </w:tbl>
    <w:p>
      <w:pPr>
        <w:spacing w:after="0" w:line="16" w:lineRule="exact"/>
        <w:rPr>
          <w:sz w:val="20"/>
          <w:szCs w:val="20"/>
          <w:color w:val="auto"/>
        </w:rPr>
      </w:pPr>
    </w:p>
    <w:p>
      <w:pPr>
        <w:ind w:left="1984" w:hanging="314"/>
        <w:spacing w:after="0"/>
        <w:tabs>
          <w:tab w:leader="none" w:pos="1984" w:val="left"/>
        </w:tabs>
        <w:numPr>
          <w:ilvl w:val="0"/>
          <w:numId w:val="239"/>
        </w:numPr>
        <w:rPr>
          <w:rFonts w:ascii="Arial" w:cs="Arial" w:eastAsia="Arial" w:hAnsi="Arial"/>
          <w:sz w:val="13"/>
          <w:szCs w:val="13"/>
          <w:i w:val="1"/>
          <w:iCs w:val="1"/>
          <w:color w:val="auto"/>
        </w:rPr>
      </w:pPr>
      <w:r>
        <w:rPr>
          <w:rFonts w:ascii="Arial" w:cs="Arial" w:eastAsia="Arial" w:hAnsi="Arial"/>
          <w:sz w:val="13"/>
          <w:szCs w:val="13"/>
          <w:i w:val="1"/>
          <w:iCs w:val="1"/>
          <w:color w:val="auto"/>
        </w:rPr>
        <w:t>We discuss balancing accounts and their effects in Note 1 of the Notes to Consolidated Financial Statements.</w:t>
      </w:r>
    </w:p>
    <w:p>
      <w:pPr>
        <w:spacing w:after="0" w:line="206" w:lineRule="exact"/>
        <w:rPr>
          <w:sz w:val="20"/>
          <w:szCs w:val="20"/>
          <w:color w:val="auto"/>
        </w:rPr>
      </w:pPr>
    </w:p>
    <w:p>
      <w:pPr>
        <w:ind w:left="4" w:right="60"/>
        <w:spacing w:after="0" w:line="274" w:lineRule="auto"/>
        <w:rPr>
          <w:sz w:val="20"/>
          <w:szCs w:val="20"/>
          <w:color w:val="auto"/>
        </w:rPr>
      </w:pPr>
      <w:r>
        <w:rPr>
          <w:rFonts w:ascii="Arial" w:cs="Arial" w:eastAsia="Arial" w:hAnsi="Arial"/>
          <w:sz w:val="16"/>
          <w:szCs w:val="16"/>
          <w:color w:val="auto"/>
        </w:rPr>
        <w:t>In 2008, our natural gas revenues increased by $550 million (11%) to $5.4 billion, and the cost of natural gas increased by $481 million (17%) to $3.2 billion. The increase in revenues was primarily due to</w:t>
      </w:r>
    </w:p>
    <w:p>
      <w:pPr>
        <w:ind w:left="144" w:hanging="144"/>
        <w:spacing w:after="0"/>
        <w:tabs>
          <w:tab w:leader="none" w:pos="144" w:val="left"/>
        </w:tabs>
        <w:numPr>
          <w:ilvl w:val="0"/>
          <w:numId w:val="240"/>
        </w:numPr>
        <w:rPr>
          <w:rFonts w:ascii="Arial" w:cs="Arial" w:eastAsia="Arial" w:hAnsi="Arial"/>
          <w:sz w:val="16"/>
          <w:szCs w:val="16"/>
          <w:color w:val="auto"/>
        </w:rPr>
      </w:pPr>
      <w:r>
        <w:rPr>
          <w:rFonts w:ascii="Arial" w:cs="Arial" w:eastAsia="Arial" w:hAnsi="Arial"/>
          <w:sz w:val="16"/>
          <w:szCs w:val="16"/>
          <w:color w:val="auto"/>
        </w:rPr>
        <w:t>$481 million increase in cost of natural gas resulting from higher natural gas prices;</w:t>
      </w:r>
    </w:p>
    <w:p>
      <w:pPr>
        <w:spacing w:after="0" w:line="44" w:lineRule="exact"/>
        <w:rPr>
          <w:rFonts w:ascii="Arial" w:cs="Arial" w:eastAsia="Arial" w:hAnsi="Arial"/>
          <w:sz w:val="16"/>
          <w:szCs w:val="16"/>
          <w:color w:val="auto"/>
        </w:rPr>
      </w:pPr>
    </w:p>
    <w:p>
      <w:pPr>
        <w:ind w:left="144" w:hanging="144"/>
        <w:spacing w:after="0"/>
        <w:tabs>
          <w:tab w:leader="none" w:pos="144" w:val="left"/>
        </w:tabs>
        <w:numPr>
          <w:ilvl w:val="0"/>
          <w:numId w:val="240"/>
        </w:numPr>
        <w:rPr>
          <w:rFonts w:ascii="Arial" w:cs="Arial" w:eastAsia="Arial" w:hAnsi="Arial"/>
          <w:sz w:val="16"/>
          <w:szCs w:val="16"/>
          <w:color w:val="auto"/>
        </w:rPr>
      </w:pPr>
      <w:r>
        <w:rPr>
          <w:rFonts w:ascii="Arial" w:cs="Arial" w:eastAsia="Arial" w:hAnsi="Arial"/>
          <w:sz w:val="16"/>
          <w:szCs w:val="16"/>
          <w:color w:val="auto"/>
        </w:rPr>
        <w:t>$27 million higher authorized base margin;</w:t>
      </w:r>
    </w:p>
    <w:p>
      <w:pPr>
        <w:spacing w:after="0" w:line="44" w:lineRule="exact"/>
        <w:rPr>
          <w:rFonts w:ascii="Arial" w:cs="Arial" w:eastAsia="Arial" w:hAnsi="Arial"/>
          <w:sz w:val="16"/>
          <w:szCs w:val="16"/>
          <w:color w:val="auto"/>
        </w:rPr>
      </w:pPr>
    </w:p>
    <w:p>
      <w:pPr>
        <w:ind w:left="144" w:right="1340" w:hanging="144"/>
        <w:spacing w:after="0" w:line="271" w:lineRule="auto"/>
        <w:tabs>
          <w:tab w:leader="none" w:pos="144" w:val="left"/>
        </w:tabs>
        <w:numPr>
          <w:ilvl w:val="0"/>
          <w:numId w:val="240"/>
        </w:numPr>
        <w:rPr>
          <w:rFonts w:ascii="Arial" w:cs="Arial" w:eastAsia="Arial" w:hAnsi="Arial"/>
          <w:sz w:val="16"/>
          <w:szCs w:val="16"/>
          <w:color w:val="auto"/>
        </w:rPr>
      </w:pPr>
      <w:r>
        <w:rPr>
          <w:rFonts w:ascii="Arial" w:cs="Arial" w:eastAsia="Arial" w:hAnsi="Arial"/>
          <w:sz w:val="16"/>
          <w:szCs w:val="16"/>
          <w:color w:val="auto"/>
        </w:rPr>
        <w:t>$24 million due to revenue sharing in 2007 at SoCalGas. Effective with the adoption of the 2008 General Rate Case (GRC), the Sempra Utilities are no longer subject to the performance-based regulation that required this revenue sharing;</w:t>
      </w:r>
    </w:p>
    <w:p>
      <w:pPr>
        <w:ind w:left="144" w:hanging="144"/>
        <w:spacing w:after="0"/>
        <w:tabs>
          <w:tab w:leader="none" w:pos="144" w:val="left"/>
        </w:tabs>
        <w:numPr>
          <w:ilvl w:val="0"/>
          <w:numId w:val="240"/>
        </w:numPr>
        <w:rPr>
          <w:rFonts w:ascii="Arial" w:cs="Arial" w:eastAsia="Arial" w:hAnsi="Arial"/>
          <w:sz w:val="16"/>
          <w:szCs w:val="16"/>
          <w:color w:val="auto"/>
        </w:rPr>
      </w:pPr>
      <w:r>
        <w:rPr>
          <w:rFonts w:ascii="Arial" w:cs="Arial" w:eastAsia="Arial" w:hAnsi="Arial"/>
          <w:sz w:val="16"/>
          <w:szCs w:val="16"/>
          <w:color w:val="auto"/>
        </w:rPr>
        <w:t xml:space="preserve">$12 million favorable resolution of a regulatory matter in 2008, </w:t>
      </w:r>
      <w:r>
        <w:rPr>
          <w:rFonts w:ascii="Arial" w:cs="Arial" w:eastAsia="Arial" w:hAnsi="Arial"/>
          <w:sz w:val="16"/>
          <w:szCs w:val="16"/>
          <w:b w:val="1"/>
          <w:bCs w:val="1"/>
          <w:color w:val="auto"/>
        </w:rPr>
        <w:t>offset by</w:t>
      </w:r>
    </w:p>
    <w:p>
      <w:pPr>
        <w:spacing w:after="0" w:line="48" w:lineRule="exact"/>
        <w:rPr>
          <w:rFonts w:ascii="Arial" w:cs="Arial" w:eastAsia="Arial" w:hAnsi="Arial"/>
          <w:sz w:val="16"/>
          <w:szCs w:val="16"/>
          <w:color w:val="auto"/>
        </w:rPr>
      </w:pPr>
    </w:p>
    <w:p>
      <w:pPr>
        <w:ind w:left="144" w:hanging="144"/>
        <w:spacing w:after="0"/>
        <w:tabs>
          <w:tab w:leader="none" w:pos="144" w:val="left"/>
        </w:tabs>
        <w:numPr>
          <w:ilvl w:val="0"/>
          <w:numId w:val="240"/>
        </w:numPr>
        <w:rPr>
          <w:rFonts w:ascii="Arial" w:cs="Arial" w:eastAsia="Arial" w:hAnsi="Arial"/>
          <w:sz w:val="16"/>
          <w:szCs w:val="16"/>
          <w:color w:val="auto"/>
        </w:rPr>
      </w:pPr>
      <w:r>
        <w:rPr>
          <w:rFonts w:ascii="Arial" w:cs="Arial" w:eastAsia="Arial" w:hAnsi="Arial"/>
          <w:sz w:val="16"/>
          <w:szCs w:val="16"/>
          <w:color w:val="auto"/>
        </w:rPr>
        <w:t>$11 million lower noncore natural gas storage revenue in 2008.</w:t>
      </w:r>
    </w:p>
    <w:p>
      <w:pPr>
        <w:spacing w:after="0" w:line="128" w:lineRule="exact"/>
        <w:rPr>
          <w:sz w:val="20"/>
          <w:szCs w:val="20"/>
          <w:color w:val="auto"/>
        </w:rPr>
      </w:pPr>
    </w:p>
    <w:p>
      <w:pPr>
        <w:ind w:left="4"/>
        <w:spacing w:after="0" w:line="264" w:lineRule="auto"/>
        <w:rPr>
          <w:sz w:val="20"/>
          <w:szCs w:val="20"/>
          <w:color w:val="auto"/>
        </w:rPr>
      </w:pPr>
      <w:r>
        <w:rPr>
          <w:rFonts w:ascii="Arial" w:cs="Arial" w:eastAsia="Arial" w:hAnsi="Arial"/>
          <w:sz w:val="16"/>
          <w:szCs w:val="16"/>
          <w:color w:val="auto"/>
        </w:rPr>
        <w:t>In 2007, our natural gas revenues increased by $106 million (2%) to $4.9 billion. The cost of natural gas remained unchanged at $2.8 billion. The increase in revenues in 2007 was primarily due to a $71 million increase in authorized base margin. In addition, our revenue increased by $34 million from recoverable expenses that are fully offset in operation and maintenance expenses.</w:t>
      </w:r>
    </w:p>
    <w:p>
      <w:pPr>
        <w:spacing w:after="0" w:line="200" w:lineRule="exact"/>
        <w:rPr>
          <w:sz w:val="20"/>
          <w:szCs w:val="20"/>
          <w:color w:val="auto"/>
        </w:rPr>
      </w:pPr>
    </w:p>
    <w:p>
      <w:pPr>
        <w:spacing w:after="0" w:line="302" w:lineRule="exact"/>
        <w:rPr>
          <w:sz w:val="20"/>
          <w:szCs w:val="20"/>
          <w:color w:val="auto"/>
        </w:rPr>
      </w:pPr>
    </w:p>
    <w:p>
      <w:pPr>
        <w:ind w:left="4"/>
        <w:spacing w:after="0"/>
        <w:rPr>
          <w:sz w:val="20"/>
          <w:szCs w:val="20"/>
          <w:color w:val="auto"/>
        </w:rPr>
      </w:pPr>
      <w:r>
        <w:rPr>
          <w:rFonts w:ascii="Arial" w:cs="Arial" w:eastAsia="Arial" w:hAnsi="Arial"/>
          <w:sz w:val="14"/>
          <w:szCs w:val="14"/>
          <w:color w:val="auto"/>
        </w:rPr>
        <w:t>16</w:t>
      </w:r>
    </w:p>
    <w:p>
      <w:pPr>
        <w:sectPr>
          <w:pgSz w:w="11900" w:h="16838" w:orient="portrait"/>
          <w:cols w:equalWidth="0" w:num="1">
            <w:col w:w="11184"/>
          </w:cols>
          <w:pgMar w:left="236" w:top="293" w:right="479" w:bottom="1440" w:gutter="0" w:footer="0" w:header="0"/>
        </w:sectPr>
      </w:pPr>
    </w:p>
    <w:bookmarkStart w:id="156" w:name="page157"/>
    <w:bookmarkEnd w:id="156"/>
    <w:p>
      <w:pPr>
        <w:spacing w:after="0"/>
        <w:rPr>
          <w:sz w:val="20"/>
          <w:szCs w:val="20"/>
          <w:color w:val="auto"/>
        </w:rPr>
      </w:pPr>
      <w:r>
        <w:rPr>
          <w:rFonts w:ascii="Arial" w:cs="Arial" w:eastAsia="Arial" w:hAnsi="Arial"/>
          <w:sz w:val="15"/>
          <w:szCs w:val="15"/>
          <w:color w:val="auto"/>
        </w:rPr>
        <w:t>Our weighted average cost (including transportation charges) per million British thermal units (MMBtu) of natural gas was $7.78 in 2008, $6.49 in 2007 and $6.54 in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1065530</wp:posOffset>
            </wp:positionH>
            <wp:positionV relativeFrom="paragraph">
              <wp:posOffset>203835</wp:posOffset>
            </wp:positionV>
            <wp:extent cx="5125720" cy="24384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125720" cy="243840"/>
                    </a:xfrm>
                    <a:prstGeom prst="rect">
                      <a:avLst/>
                    </a:prstGeom>
                    <a:noFill/>
                  </pic:spPr>
                </pic:pic>
              </a:graphicData>
            </a:graphic>
          </wp:anchor>
        </w:drawing>
      </w:r>
    </w:p>
    <w:p>
      <w:pPr>
        <w:spacing w:after="0" w:line="308" w:lineRule="exact"/>
        <w:rPr>
          <w:sz w:val="20"/>
          <w:szCs w:val="20"/>
          <w:color w:val="auto"/>
        </w:rPr>
      </w:pPr>
    </w:p>
    <w:p>
      <w:pPr>
        <w:ind w:left="1680"/>
        <w:spacing w:after="0"/>
        <w:rPr>
          <w:sz w:val="20"/>
          <w:szCs w:val="20"/>
          <w:color w:val="auto"/>
        </w:rPr>
      </w:pPr>
      <w:r>
        <w:rPr>
          <w:rFonts w:ascii="Arial" w:cs="Arial" w:eastAsia="Arial" w:hAnsi="Arial"/>
          <w:sz w:val="14"/>
          <w:szCs w:val="14"/>
          <w:b w:val="1"/>
          <w:bCs w:val="1"/>
          <w:color w:val="auto"/>
        </w:rPr>
        <w:t>SDG&amp;E: NATURAL GAS SALES, TRANSPORTATION AND EXCHANGE 2006-2008</w:t>
      </w:r>
    </w:p>
    <w:p>
      <w:pPr>
        <w:spacing w:after="0" w:line="40" w:lineRule="exact"/>
        <w:rPr>
          <w:sz w:val="20"/>
          <w:szCs w:val="20"/>
          <w:color w:val="auto"/>
        </w:rPr>
      </w:pPr>
    </w:p>
    <w:p>
      <w:pPr>
        <w:ind w:left="1680"/>
        <w:spacing w:after="0"/>
        <w:rPr>
          <w:sz w:val="20"/>
          <w:szCs w:val="20"/>
          <w:color w:val="auto"/>
        </w:rPr>
      </w:pPr>
      <w:r>
        <w:rPr>
          <w:rFonts w:ascii="Arial" w:cs="Arial" w:eastAsia="Arial" w:hAnsi="Arial"/>
          <w:sz w:val="13"/>
          <w:szCs w:val="13"/>
          <w:i w:val="1"/>
          <w:iCs w:val="1"/>
          <w:color w:val="auto"/>
        </w:rPr>
        <w:t>(Volumes in billion cubic feet, dollars in millions)</w:t>
      </w:r>
    </w:p>
    <w:p>
      <w:pPr>
        <w:spacing w:after="0" w:line="79" w:lineRule="exact"/>
        <w:rPr>
          <w:sz w:val="20"/>
          <w:szCs w:val="20"/>
          <w:color w:val="auto"/>
        </w:rPr>
      </w:pPr>
    </w:p>
    <w:tbl>
      <w:tblPr>
        <w:tblLayout w:type="fixed"/>
        <w:tblInd w:w="1680" w:type="dxa"/>
        <w:tblCellMar>
          <w:top w:w="0" w:type="dxa"/>
          <w:left w:w="0" w:type="dxa"/>
          <w:bottom w:w="0" w:type="dxa"/>
          <w:right w:w="0" w:type="dxa"/>
        </w:tblCellMar>
      </w:tblPr>
      <w:tr>
        <w:trPr>
          <w:trHeight w:val="154"/>
        </w:trPr>
        <w:tc>
          <w:tcPr>
            <w:tcW w:w="22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960" w:type="dxa"/>
            <w:vAlign w:val="bottom"/>
            <w:gridSpan w:val="3"/>
          </w:tcPr>
          <w:p>
            <w:pPr>
              <w:jc w:val="right"/>
              <w:ind w:right="549"/>
              <w:spacing w:after="0"/>
              <w:rPr>
                <w:sz w:val="20"/>
                <w:szCs w:val="20"/>
                <w:color w:val="auto"/>
              </w:rPr>
            </w:pPr>
            <w:r>
              <w:rPr>
                <w:rFonts w:ascii="Arial" w:cs="Arial" w:eastAsia="Arial" w:hAnsi="Arial"/>
                <w:sz w:val="13"/>
                <w:szCs w:val="13"/>
                <w:color w:val="auto"/>
              </w:rPr>
              <w:t>Transportation</w:t>
            </w:r>
          </w:p>
        </w:tc>
        <w:tc>
          <w:tcPr>
            <w:tcW w:w="7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r>
      <w:tr>
        <w:trPr>
          <w:trHeight w:val="221"/>
        </w:trPr>
        <w:tc>
          <w:tcPr>
            <w:tcW w:w="2200" w:type="dxa"/>
            <w:vAlign w:val="bottom"/>
          </w:tcPr>
          <w:p>
            <w:pPr>
              <w:spacing w:after="0"/>
              <w:rPr>
                <w:sz w:val="19"/>
                <w:szCs w:val="19"/>
                <w:color w:val="auto"/>
              </w:rPr>
            </w:pPr>
          </w:p>
        </w:tc>
        <w:tc>
          <w:tcPr>
            <w:tcW w:w="2100" w:type="dxa"/>
            <w:vAlign w:val="bottom"/>
            <w:tcBorders>
              <w:bottom w:val="single" w:sz="8" w:color="auto"/>
            </w:tcBorders>
            <w:gridSpan w:val="3"/>
          </w:tcPr>
          <w:p>
            <w:pPr>
              <w:jc w:val="right"/>
              <w:ind w:right="429"/>
              <w:spacing w:after="0"/>
              <w:rPr>
                <w:sz w:val="20"/>
                <w:szCs w:val="20"/>
                <w:color w:val="auto"/>
              </w:rPr>
            </w:pPr>
            <w:r>
              <w:rPr>
                <w:rFonts w:ascii="Arial" w:cs="Arial" w:eastAsia="Arial" w:hAnsi="Arial"/>
                <w:sz w:val="13"/>
                <w:szCs w:val="13"/>
                <w:color w:val="auto"/>
              </w:rPr>
              <w:t>Natural Gas Sales</w:t>
            </w:r>
          </w:p>
        </w:tc>
        <w:tc>
          <w:tcPr>
            <w:tcW w:w="1960" w:type="dxa"/>
            <w:vAlign w:val="bottom"/>
            <w:tcBorders>
              <w:bottom w:val="single" w:sz="8" w:color="auto"/>
            </w:tcBorders>
            <w:gridSpan w:val="3"/>
          </w:tcPr>
          <w:p>
            <w:pPr>
              <w:jc w:val="right"/>
              <w:ind w:right="549"/>
              <w:spacing w:after="0"/>
              <w:rPr>
                <w:sz w:val="20"/>
                <w:szCs w:val="20"/>
                <w:color w:val="auto"/>
              </w:rPr>
            </w:pPr>
            <w:r>
              <w:rPr>
                <w:rFonts w:ascii="Arial" w:cs="Arial" w:eastAsia="Arial" w:hAnsi="Arial"/>
                <w:sz w:val="13"/>
                <w:szCs w:val="13"/>
                <w:color w:val="auto"/>
              </w:rPr>
              <w:t>and Exchange</w:t>
            </w:r>
          </w:p>
        </w:tc>
        <w:tc>
          <w:tcPr>
            <w:tcW w:w="7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3"/>
                <w:szCs w:val="13"/>
                <w:color w:val="auto"/>
              </w:rPr>
              <w:t>Total</w:t>
            </w:r>
          </w:p>
        </w:tc>
        <w:tc>
          <w:tcPr>
            <w:tcW w:w="560" w:type="dxa"/>
            <w:vAlign w:val="bottom"/>
            <w:tcBorders>
              <w:bottom w:val="single" w:sz="8" w:color="auto"/>
            </w:tcBorders>
          </w:tcPr>
          <w:p>
            <w:pPr>
              <w:spacing w:after="0"/>
              <w:rPr>
                <w:sz w:val="19"/>
                <w:szCs w:val="19"/>
                <w:color w:val="auto"/>
              </w:rPr>
            </w:pPr>
          </w:p>
        </w:tc>
      </w:tr>
      <w:tr>
        <w:trPr>
          <w:trHeight w:val="172"/>
        </w:trPr>
        <w:tc>
          <w:tcPr>
            <w:tcW w:w="220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Customer Class</w:t>
            </w:r>
          </w:p>
        </w:tc>
        <w:tc>
          <w:tcPr>
            <w:tcW w:w="1100" w:type="dxa"/>
            <w:vAlign w:val="bottom"/>
            <w:tcBorders>
              <w:bottom w:val="single" w:sz="8" w:color="auto"/>
            </w:tcBorders>
          </w:tcPr>
          <w:p>
            <w:pPr>
              <w:jc w:val="right"/>
              <w:ind w:right="129"/>
              <w:spacing w:after="0"/>
              <w:rPr>
                <w:sz w:val="20"/>
                <w:szCs w:val="20"/>
                <w:color w:val="auto"/>
              </w:rPr>
            </w:pPr>
            <w:r>
              <w:rPr>
                <w:rFonts w:ascii="Arial" w:cs="Arial" w:eastAsia="Arial" w:hAnsi="Arial"/>
                <w:sz w:val="13"/>
                <w:szCs w:val="13"/>
                <w:color w:val="auto"/>
              </w:rPr>
              <w:t>Volumes</w:t>
            </w:r>
          </w:p>
        </w:tc>
        <w:tc>
          <w:tcPr>
            <w:tcW w:w="2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49"/>
              <w:spacing w:after="0"/>
              <w:rPr>
                <w:sz w:val="20"/>
                <w:szCs w:val="20"/>
                <w:color w:val="auto"/>
              </w:rPr>
            </w:pPr>
            <w:r>
              <w:rPr>
                <w:rFonts w:ascii="Arial" w:cs="Arial" w:eastAsia="Arial" w:hAnsi="Arial"/>
                <w:sz w:val="13"/>
                <w:szCs w:val="13"/>
                <w:color w:val="auto"/>
                <w:w w:val="96"/>
              </w:rPr>
              <w:t>Revenue</w:t>
            </w:r>
          </w:p>
        </w:tc>
        <w:tc>
          <w:tcPr>
            <w:tcW w:w="900" w:type="dxa"/>
            <w:vAlign w:val="bottom"/>
            <w:tcBorders>
              <w:bottom w:val="single" w:sz="8" w:color="auto"/>
            </w:tcBorders>
          </w:tcPr>
          <w:p>
            <w:pPr>
              <w:jc w:val="right"/>
              <w:ind w:right="130"/>
              <w:spacing w:after="0"/>
              <w:rPr>
                <w:sz w:val="20"/>
                <w:szCs w:val="20"/>
                <w:color w:val="auto"/>
              </w:rPr>
            </w:pPr>
            <w:r>
              <w:rPr>
                <w:rFonts w:ascii="Arial" w:cs="Arial" w:eastAsia="Arial" w:hAnsi="Arial"/>
                <w:sz w:val="13"/>
                <w:szCs w:val="13"/>
                <w:color w:val="auto"/>
              </w:rPr>
              <w:t>Volumes</w:t>
            </w:r>
          </w:p>
        </w:tc>
        <w:tc>
          <w:tcPr>
            <w:tcW w:w="3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169"/>
              <w:spacing w:after="0"/>
              <w:rPr>
                <w:sz w:val="20"/>
                <w:szCs w:val="20"/>
                <w:color w:val="auto"/>
              </w:rPr>
            </w:pPr>
            <w:r>
              <w:rPr>
                <w:rFonts w:ascii="Arial" w:cs="Arial" w:eastAsia="Arial" w:hAnsi="Arial"/>
                <w:sz w:val="13"/>
                <w:szCs w:val="13"/>
                <w:color w:val="auto"/>
                <w:w w:val="96"/>
              </w:rPr>
              <w:t>Revenue</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Volumes</w:t>
            </w:r>
          </w:p>
        </w:tc>
        <w:tc>
          <w:tcPr>
            <w:tcW w:w="3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99"/>
              </w:rPr>
              <w:t>Revenue</w:t>
            </w:r>
          </w:p>
        </w:tc>
      </w:tr>
      <w:tr>
        <w:trPr>
          <w:trHeight w:val="207"/>
        </w:trPr>
        <w:tc>
          <w:tcPr>
            <w:tcW w:w="2200" w:type="dxa"/>
            <w:vAlign w:val="bottom"/>
          </w:tcPr>
          <w:p>
            <w:pPr>
              <w:spacing w:after="0"/>
              <w:rPr>
                <w:sz w:val="20"/>
                <w:szCs w:val="20"/>
                <w:color w:val="auto"/>
              </w:rPr>
            </w:pPr>
            <w:r>
              <w:rPr>
                <w:rFonts w:ascii="Arial" w:cs="Arial" w:eastAsia="Arial" w:hAnsi="Arial"/>
                <w:sz w:val="14"/>
                <w:szCs w:val="14"/>
                <w:color w:val="auto"/>
              </w:rPr>
              <w:t>2008:</w:t>
            </w: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2200" w:type="dxa"/>
            <w:vAlign w:val="bottom"/>
          </w:tcPr>
          <w:p>
            <w:pPr>
              <w:ind w:left="320"/>
              <w:spacing w:after="0"/>
              <w:rPr>
                <w:sz w:val="20"/>
                <w:szCs w:val="20"/>
                <w:color w:val="auto"/>
              </w:rPr>
            </w:pPr>
            <w:r>
              <w:rPr>
                <w:rFonts w:ascii="Arial" w:cs="Arial" w:eastAsia="Arial" w:hAnsi="Arial"/>
                <w:sz w:val="14"/>
                <w:szCs w:val="14"/>
                <w:color w:val="auto"/>
              </w:rPr>
              <w:t>Residential</w:t>
            </w:r>
          </w:p>
        </w:tc>
        <w:tc>
          <w:tcPr>
            <w:tcW w:w="1100" w:type="dxa"/>
            <w:vAlign w:val="bottom"/>
          </w:tcPr>
          <w:p>
            <w:pPr>
              <w:jc w:val="right"/>
              <w:ind w:right="129"/>
              <w:spacing w:after="0"/>
              <w:rPr>
                <w:sz w:val="20"/>
                <w:szCs w:val="20"/>
                <w:color w:val="auto"/>
              </w:rPr>
            </w:pPr>
            <w:r>
              <w:rPr>
                <w:rFonts w:ascii="Arial" w:cs="Arial" w:eastAsia="Arial" w:hAnsi="Arial"/>
                <w:sz w:val="14"/>
                <w:szCs w:val="14"/>
                <w:color w:val="auto"/>
              </w:rPr>
              <w:t>31</w:t>
            </w: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149"/>
              <w:spacing w:after="0"/>
              <w:rPr>
                <w:sz w:val="20"/>
                <w:szCs w:val="20"/>
                <w:color w:val="auto"/>
              </w:rPr>
            </w:pPr>
            <w:r>
              <w:rPr>
                <w:rFonts w:ascii="Arial" w:cs="Arial" w:eastAsia="Arial" w:hAnsi="Arial"/>
                <w:sz w:val="14"/>
                <w:szCs w:val="14"/>
                <w:color w:val="auto"/>
              </w:rPr>
              <w:t>428</w:t>
            </w:r>
          </w:p>
        </w:tc>
        <w:tc>
          <w:tcPr>
            <w:tcW w:w="900" w:type="dxa"/>
            <w:vAlign w:val="bottom"/>
          </w:tcPr>
          <w:p>
            <w:pPr>
              <w:jc w:val="right"/>
              <w:ind w:right="130"/>
              <w:spacing w:after="0"/>
              <w:rPr>
                <w:sz w:val="20"/>
                <w:szCs w:val="20"/>
                <w:color w:val="auto"/>
              </w:rPr>
            </w:pPr>
            <w:r>
              <w:rPr>
                <w:rFonts w:ascii="Arial" w:cs="Arial" w:eastAsia="Arial" w:hAnsi="Arial"/>
                <w:sz w:val="14"/>
                <w:szCs w:val="14"/>
                <w:color w:val="auto"/>
              </w:rPr>
              <w:t>--</w:t>
            </w:r>
          </w:p>
        </w:tc>
        <w:tc>
          <w:tcPr>
            <w:tcW w:w="30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169"/>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31</w:t>
            </w:r>
          </w:p>
        </w:tc>
        <w:tc>
          <w:tcPr>
            <w:tcW w:w="48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428</w:t>
            </w:r>
          </w:p>
        </w:tc>
      </w:tr>
      <w:tr>
        <w:trPr>
          <w:trHeight w:val="216"/>
        </w:trPr>
        <w:tc>
          <w:tcPr>
            <w:tcW w:w="2200" w:type="dxa"/>
            <w:vAlign w:val="bottom"/>
          </w:tcPr>
          <w:p>
            <w:pPr>
              <w:ind w:left="320"/>
              <w:spacing w:after="0"/>
              <w:rPr>
                <w:sz w:val="20"/>
                <w:szCs w:val="20"/>
                <w:color w:val="auto"/>
              </w:rPr>
            </w:pPr>
            <w:r>
              <w:rPr>
                <w:rFonts w:ascii="Arial" w:cs="Arial" w:eastAsia="Arial" w:hAnsi="Arial"/>
                <w:sz w:val="14"/>
                <w:szCs w:val="14"/>
                <w:color w:val="auto"/>
              </w:rPr>
              <w:t>Commercial and industrial</w:t>
            </w:r>
          </w:p>
        </w:tc>
        <w:tc>
          <w:tcPr>
            <w:tcW w:w="1100" w:type="dxa"/>
            <w:vAlign w:val="bottom"/>
          </w:tcPr>
          <w:p>
            <w:pPr>
              <w:jc w:val="right"/>
              <w:ind w:right="129"/>
              <w:spacing w:after="0"/>
              <w:rPr>
                <w:sz w:val="20"/>
                <w:szCs w:val="20"/>
                <w:color w:val="auto"/>
              </w:rPr>
            </w:pPr>
            <w:r>
              <w:rPr>
                <w:rFonts w:ascii="Arial" w:cs="Arial" w:eastAsia="Arial" w:hAnsi="Arial"/>
                <w:sz w:val="14"/>
                <w:szCs w:val="14"/>
                <w:color w:val="auto"/>
              </w:rPr>
              <w:t>16</w:t>
            </w:r>
          </w:p>
        </w:tc>
        <w:tc>
          <w:tcPr>
            <w:tcW w:w="260" w:type="dxa"/>
            <w:vAlign w:val="bottom"/>
          </w:tcPr>
          <w:p>
            <w:pPr>
              <w:spacing w:after="0"/>
              <w:rPr>
                <w:sz w:val="18"/>
                <w:szCs w:val="18"/>
                <w:color w:val="auto"/>
              </w:rPr>
            </w:pPr>
          </w:p>
        </w:tc>
        <w:tc>
          <w:tcPr>
            <w:tcW w:w="740" w:type="dxa"/>
            <w:vAlign w:val="bottom"/>
          </w:tcPr>
          <w:p>
            <w:pPr>
              <w:jc w:val="right"/>
              <w:ind w:right="149"/>
              <w:spacing w:after="0"/>
              <w:rPr>
                <w:sz w:val="20"/>
                <w:szCs w:val="20"/>
                <w:color w:val="auto"/>
              </w:rPr>
            </w:pPr>
            <w:r>
              <w:rPr>
                <w:rFonts w:ascii="Arial" w:cs="Arial" w:eastAsia="Arial" w:hAnsi="Arial"/>
                <w:sz w:val="14"/>
                <w:szCs w:val="14"/>
                <w:color w:val="auto"/>
              </w:rPr>
              <w:t>174</w:t>
            </w:r>
          </w:p>
        </w:tc>
        <w:tc>
          <w:tcPr>
            <w:tcW w:w="900" w:type="dxa"/>
            <w:vAlign w:val="bottom"/>
          </w:tcPr>
          <w:p>
            <w:pPr>
              <w:jc w:val="right"/>
              <w:ind w:right="130"/>
              <w:spacing w:after="0"/>
              <w:rPr>
                <w:sz w:val="20"/>
                <w:szCs w:val="20"/>
                <w:color w:val="auto"/>
              </w:rPr>
            </w:pPr>
            <w:r>
              <w:rPr>
                <w:rFonts w:ascii="Arial" w:cs="Arial" w:eastAsia="Arial" w:hAnsi="Arial"/>
                <w:sz w:val="14"/>
                <w:szCs w:val="14"/>
                <w:color w:val="auto"/>
              </w:rPr>
              <w:t>7</w:t>
            </w:r>
          </w:p>
        </w:tc>
        <w:tc>
          <w:tcPr>
            <w:tcW w:w="300" w:type="dxa"/>
            <w:vAlign w:val="bottom"/>
          </w:tcPr>
          <w:p>
            <w:pPr>
              <w:spacing w:after="0"/>
              <w:rPr>
                <w:sz w:val="18"/>
                <w:szCs w:val="18"/>
                <w:color w:val="auto"/>
              </w:rPr>
            </w:pPr>
          </w:p>
        </w:tc>
        <w:tc>
          <w:tcPr>
            <w:tcW w:w="760" w:type="dxa"/>
            <w:vAlign w:val="bottom"/>
          </w:tcPr>
          <w:p>
            <w:pPr>
              <w:jc w:val="right"/>
              <w:ind w:right="169"/>
              <w:spacing w:after="0"/>
              <w:rPr>
                <w:sz w:val="20"/>
                <w:szCs w:val="20"/>
                <w:color w:val="auto"/>
              </w:rPr>
            </w:pPr>
            <w:r>
              <w:rPr>
                <w:rFonts w:ascii="Arial" w:cs="Arial" w:eastAsia="Arial" w:hAnsi="Arial"/>
                <w:sz w:val="14"/>
                <w:szCs w:val="14"/>
                <w:color w:val="auto"/>
              </w:rPr>
              <w:t>9</w:t>
            </w:r>
          </w:p>
        </w:tc>
        <w:tc>
          <w:tcPr>
            <w:tcW w:w="780" w:type="dxa"/>
            <w:vAlign w:val="bottom"/>
          </w:tcPr>
          <w:p>
            <w:pPr>
              <w:jc w:val="right"/>
              <w:spacing w:after="0"/>
              <w:rPr>
                <w:sz w:val="20"/>
                <w:szCs w:val="20"/>
                <w:color w:val="auto"/>
              </w:rPr>
            </w:pPr>
            <w:r>
              <w:rPr>
                <w:rFonts w:ascii="Arial" w:cs="Arial" w:eastAsia="Arial" w:hAnsi="Arial"/>
                <w:sz w:val="14"/>
                <w:szCs w:val="14"/>
                <w:color w:val="auto"/>
              </w:rPr>
              <w:t>23</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183</w:t>
            </w:r>
          </w:p>
        </w:tc>
      </w:tr>
      <w:tr>
        <w:trPr>
          <w:trHeight w:val="222"/>
        </w:trPr>
        <w:tc>
          <w:tcPr>
            <w:tcW w:w="2200" w:type="dxa"/>
            <w:vAlign w:val="bottom"/>
          </w:tcPr>
          <w:p>
            <w:pPr>
              <w:ind w:left="320"/>
              <w:spacing w:after="0"/>
              <w:rPr>
                <w:sz w:val="20"/>
                <w:szCs w:val="20"/>
                <w:color w:val="auto"/>
              </w:rPr>
            </w:pPr>
            <w:r>
              <w:rPr>
                <w:rFonts w:ascii="Arial" w:cs="Arial" w:eastAsia="Arial" w:hAnsi="Arial"/>
                <w:sz w:val="14"/>
                <w:szCs w:val="14"/>
                <w:color w:val="auto"/>
              </w:rPr>
              <w:t>Electric generation plants</w:t>
            </w:r>
          </w:p>
        </w:tc>
        <w:tc>
          <w:tcPr>
            <w:tcW w:w="1100" w:type="dxa"/>
            <w:vAlign w:val="bottom"/>
            <w:tcBorders>
              <w:bottom w:val="single" w:sz="8" w:color="auto"/>
            </w:tcBorders>
          </w:tcPr>
          <w:p>
            <w:pPr>
              <w:jc w:val="right"/>
              <w:ind w:right="129"/>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49"/>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130"/>
              <w:spacing w:after="0"/>
              <w:rPr>
                <w:sz w:val="20"/>
                <w:szCs w:val="20"/>
                <w:color w:val="auto"/>
              </w:rPr>
            </w:pPr>
            <w:r>
              <w:rPr>
                <w:rFonts w:ascii="Arial" w:cs="Arial" w:eastAsia="Arial" w:hAnsi="Arial"/>
                <w:sz w:val="14"/>
                <w:szCs w:val="14"/>
                <w:color w:val="auto"/>
              </w:rPr>
              <w:t>68</w:t>
            </w:r>
          </w:p>
        </w:tc>
        <w:tc>
          <w:tcPr>
            <w:tcW w:w="3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169"/>
              <w:spacing w:after="0"/>
              <w:rPr>
                <w:sz w:val="20"/>
                <w:szCs w:val="20"/>
                <w:color w:val="auto"/>
              </w:rPr>
            </w:pPr>
            <w:r>
              <w:rPr>
                <w:rFonts w:ascii="Arial" w:cs="Arial" w:eastAsia="Arial" w:hAnsi="Arial"/>
                <w:sz w:val="14"/>
                <w:szCs w:val="14"/>
                <w:color w:val="auto"/>
              </w:rPr>
              <w:t>26</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68</w:t>
            </w:r>
          </w:p>
        </w:tc>
        <w:tc>
          <w:tcPr>
            <w:tcW w:w="3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w:t>
            </w:r>
          </w:p>
        </w:tc>
      </w:tr>
      <w:tr>
        <w:trPr>
          <w:trHeight w:val="202"/>
        </w:trPr>
        <w:tc>
          <w:tcPr>
            <w:tcW w:w="2200" w:type="dxa"/>
            <w:vAlign w:val="bottom"/>
          </w:tcPr>
          <w:p>
            <w:pPr>
              <w:spacing w:after="0"/>
              <w:rPr>
                <w:sz w:val="17"/>
                <w:szCs w:val="17"/>
                <w:color w:val="auto"/>
              </w:rPr>
            </w:pPr>
          </w:p>
        </w:tc>
        <w:tc>
          <w:tcPr>
            <w:tcW w:w="1100" w:type="dxa"/>
            <w:vAlign w:val="bottom"/>
          </w:tcPr>
          <w:p>
            <w:pPr>
              <w:jc w:val="right"/>
              <w:ind w:right="129"/>
              <w:spacing w:after="0"/>
              <w:rPr>
                <w:sz w:val="20"/>
                <w:szCs w:val="20"/>
                <w:color w:val="auto"/>
              </w:rPr>
            </w:pPr>
            <w:r>
              <w:rPr>
                <w:rFonts w:ascii="Arial" w:cs="Arial" w:eastAsia="Arial" w:hAnsi="Arial"/>
                <w:sz w:val="14"/>
                <w:szCs w:val="14"/>
                <w:color w:val="auto"/>
              </w:rPr>
              <w:t>47</w:t>
            </w: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149"/>
              <w:spacing w:after="0"/>
              <w:rPr>
                <w:sz w:val="20"/>
                <w:szCs w:val="20"/>
                <w:color w:val="auto"/>
              </w:rPr>
            </w:pPr>
            <w:r>
              <w:rPr>
                <w:rFonts w:ascii="Arial" w:cs="Arial" w:eastAsia="Arial" w:hAnsi="Arial"/>
                <w:sz w:val="14"/>
                <w:szCs w:val="14"/>
                <w:color w:val="auto"/>
              </w:rPr>
              <w:t>602</w:t>
            </w:r>
          </w:p>
        </w:tc>
        <w:tc>
          <w:tcPr>
            <w:tcW w:w="900" w:type="dxa"/>
            <w:vAlign w:val="bottom"/>
          </w:tcPr>
          <w:p>
            <w:pPr>
              <w:jc w:val="right"/>
              <w:ind w:right="130"/>
              <w:spacing w:after="0"/>
              <w:rPr>
                <w:sz w:val="20"/>
                <w:szCs w:val="20"/>
                <w:color w:val="auto"/>
              </w:rPr>
            </w:pPr>
            <w:r>
              <w:rPr>
                <w:rFonts w:ascii="Arial" w:cs="Arial" w:eastAsia="Arial" w:hAnsi="Arial"/>
                <w:sz w:val="14"/>
                <w:szCs w:val="14"/>
                <w:color w:val="auto"/>
              </w:rPr>
              <w:t>75</w:t>
            </w:r>
          </w:p>
        </w:tc>
        <w:tc>
          <w:tcPr>
            <w:tcW w:w="30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169"/>
              <w:spacing w:after="0"/>
              <w:rPr>
                <w:sz w:val="20"/>
                <w:szCs w:val="20"/>
                <w:color w:val="auto"/>
              </w:rPr>
            </w:pPr>
            <w:r>
              <w:rPr>
                <w:rFonts w:ascii="Arial" w:cs="Arial" w:eastAsia="Arial" w:hAnsi="Arial"/>
                <w:sz w:val="14"/>
                <w:szCs w:val="14"/>
                <w:color w:val="auto"/>
              </w:rPr>
              <w:t>35</w:t>
            </w:r>
          </w:p>
        </w:tc>
        <w:tc>
          <w:tcPr>
            <w:tcW w:w="780" w:type="dxa"/>
            <w:vAlign w:val="bottom"/>
          </w:tcPr>
          <w:p>
            <w:pPr>
              <w:jc w:val="right"/>
              <w:spacing w:after="0"/>
              <w:rPr>
                <w:sz w:val="20"/>
                <w:szCs w:val="20"/>
                <w:color w:val="auto"/>
              </w:rPr>
            </w:pPr>
            <w:r>
              <w:rPr>
                <w:rFonts w:ascii="Arial" w:cs="Arial" w:eastAsia="Arial" w:hAnsi="Arial"/>
                <w:sz w:val="14"/>
                <w:szCs w:val="14"/>
                <w:color w:val="auto"/>
              </w:rPr>
              <w:t>122</w:t>
            </w: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637</w:t>
            </w:r>
          </w:p>
        </w:tc>
      </w:tr>
      <w:tr>
        <w:trPr>
          <w:trHeight w:val="216"/>
        </w:trPr>
        <w:tc>
          <w:tcPr>
            <w:tcW w:w="2200" w:type="dxa"/>
            <w:vAlign w:val="bottom"/>
          </w:tcPr>
          <w:p>
            <w:pPr>
              <w:ind w:left="320"/>
              <w:spacing w:after="0"/>
              <w:rPr>
                <w:sz w:val="20"/>
                <w:szCs w:val="20"/>
                <w:color w:val="auto"/>
              </w:rPr>
            </w:pPr>
            <w:r>
              <w:rPr>
                <w:rFonts w:ascii="Arial" w:cs="Arial" w:eastAsia="Arial" w:hAnsi="Arial"/>
                <w:sz w:val="14"/>
                <w:szCs w:val="14"/>
                <w:color w:val="auto"/>
              </w:rPr>
              <w:t>Other revenues</w:t>
            </w: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26</w:t>
            </w:r>
          </w:p>
        </w:tc>
      </w:tr>
      <w:tr>
        <w:trPr>
          <w:trHeight w:val="222"/>
        </w:trPr>
        <w:tc>
          <w:tcPr>
            <w:tcW w:w="2200" w:type="dxa"/>
            <w:vAlign w:val="bottom"/>
          </w:tcPr>
          <w:p>
            <w:pPr>
              <w:ind w:left="320"/>
              <w:spacing w:after="0"/>
              <w:rPr>
                <w:sz w:val="20"/>
                <w:szCs w:val="20"/>
                <w:color w:val="auto"/>
              </w:rPr>
            </w:pPr>
            <w:r>
              <w:rPr>
                <w:rFonts w:ascii="Arial" w:cs="Arial" w:eastAsia="Arial" w:hAnsi="Arial"/>
                <w:sz w:val="14"/>
                <w:szCs w:val="14"/>
                <w:color w:val="auto"/>
              </w:rPr>
              <w:t>Balancing accounts</w:t>
            </w:r>
          </w:p>
        </w:tc>
        <w:tc>
          <w:tcPr>
            <w:tcW w:w="1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w:t>
            </w:r>
          </w:p>
        </w:tc>
      </w:tr>
      <w:tr>
        <w:trPr>
          <w:trHeight w:val="224"/>
        </w:trPr>
        <w:tc>
          <w:tcPr>
            <w:tcW w:w="2200" w:type="dxa"/>
            <w:vAlign w:val="bottom"/>
            <w:tcBorders>
              <w:bottom w:val="single" w:sz="8" w:color="auto"/>
            </w:tcBorders>
          </w:tcPr>
          <w:p>
            <w:pPr>
              <w:ind w:left="460"/>
              <w:spacing w:after="0"/>
              <w:rPr>
                <w:sz w:val="20"/>
                <w:szCs w:val="20"/>
                <w:color w:val="auto"/>
              </w:rPr>
            </w:pPr>
            <w:r>
              <w:rPr>
                <w:rFonts w:ascii="Arial" w:cs="Arial" w:eastAsia="Arial" w:hAnsi="Arial"/>
                <w:sz w:val="14"/>
                <w:szCs w:val="14"/>
                <w:color w:val="auto"/>
              </w:rPr>
              <w:t>Total*</w:t>
            </w:r>
          </w:p>
        </w:tc>
        <w:tc>
          <w:tcPr>
            <w:tcW w:w="1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689</w:t>
            </w:r>
          </w:p>
        </w:tc>
      </w:tr>
      <w:tr>
        <w:trPr>
          <w:trHeight w:val="210"/>
        </w:trPr>
        <w:tc>
          <w:tcPr>
            <w:tcW w:w="2200" w:type="dxa"/>
            <w:vAlign w:val="bottom"/>
          </w:tcPr>
          <w:p>
            <w:pPr>
              <w:spacing w:after="0"/>
              <w:rPr>
                <w:sz w:val="20"/>
                <w:szCs w:val="20"/>
                <w:color w:val="auto"/>
              </w:rPr>
            </w:pPr>
            <w:r>
              <w:rPr>
                <w:rFonts w:ascii="Arial" w:cs="Arial" w:eastAsia="Arial" w:hAnsi="Arial"/>
                <w:sz w:val="14"/>
                <w:szCs w:val="14"/>
                <w:color w:val="auto"/>
              </w:rPr>
              <w:t>2007:</w:t>
            </w: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2200" w:type="dxa"/>
            <w:vAlign w:val="bottom"/>
          </w:tcPr>
          <w:p>
            <w:pPr>
              <w:ind w:left="320"/>
              <w:spacing w:after="0"/>
              <w:rPr>
                <w:sz w:val="20"/>
                <w:szCs w:val="20"/>
                <w:color w:val="auto"/>
              </w:rPr>
            </w:pPr>
            <w:r>
              <w:rPr>
                <w:rFonts w:ascii="Arial" w:cs="Arial" w:eastAsia="Arial" w:hAnsi="Arial"/>
                <w:sz w:val="14"/>
                <w:szCs w:val="14"/>
                <w:color w:val="auto"/>
              </w:rPr>
              <w:t>Residential</w:t>
            </w:r>
          </w:p>
        </w:tc>
        <w:tc>
          <w:tcPr>
            <w:tcW w:w="1100" w:type="dxa"/>
            <w:vAlign w:val="bottom"/>
          </w:tcPr>
          <w:p>
            <w:pPr>
              <w:jc w:val="right"/>
              <w:ind w:right="129"/>
              <w:spacing w:after="0"/>
              <w:rPr>
                <w:sz w:val="20"/>
                <w:szCs w:val="20"/>
                <w:color w:val="auto"/>
              </w:rPr>
            </w:pPr>
            <w:r>
              <w:rPr>
                <w:rFonts w:ascii="Arial" w:cs="Arial" w:eastAsia="Arial" w:hAnsi="Arial"/>
                <w:sz w:val="14"/>
                <w:szCs w:val="14"/>
                <w:color w:val="auto"/>
              </w:rPr>
              <w:t>32</w:t>
            </w: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149"/>
              <w:spacing w:after="0"/>
              <w:rPr>
                <w:sz w:val="20"/>
                <w:szCs w:val="20"/>
                <w:color w:val="auto"/>
              </w:rPr>
            </w:pPr>
            <w:r>
              <w:rPr>
                <w:rFonts w:ascii="Arial" w:cs="Arial" w:eastAsia="Arial" w:hAnsi="Arial"/>
                <w:sz w:val="14"/>
                <w:szCs w:val="14"/>
                <w:color w:val="auto"/>
              </w:rPr>
              <w:t>405</w:t>
            </w:r>
          </w:p>
        </w:tc>
        <w:tc>
          <w:tcPr>
            <w:tcW w:w="900" w:type="dxa"/>
            <w:vAlign w:val="bottom"/>
          </w:tcPr>
          <w:p>
            <w:pPr>
              <w:jc w:val="right"/>
              <w:ind w:right="130"/>
              <w:spacing w:after="0"/>
              <w:rPr>
                <w:sz w:val="20"/>
                <w:szCs w:val="20"/>
                <w:color w:val="auto"/>
              </w:rPr>
            </w:pPr>
            <w:r>
              <w:rPr>
                <w:rFonts w:ascii="Arial" w:cs="Arial" w:eastAsia="Arial" w:hAnsi="Arial"/>
                <w:sz w:val="14"/>
                <w:szCs w:val="14"/>
                <w:color w:val="auto"/>
              </w:rPr>
              <w:t>--</w:t>
            </w:r>
          </w:p>
        </w:tc>
        <w:tc>
          <w:tcPr>
            <w:tcW w:w="30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169"/>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32</w:t>
            </w:r>
          </w:p>
        </w:tc>
        <w:tc>
          <w:tcPr>
            <w:tcW w:w="48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405</w:t>
            </w:r>
          </w:p>
        </w:tc>
      </w:tr>
      <w:tr>
        <w:trPr>
          <w:trHeight w:val="216"/>
        </w:trPr>
        <w:tc>
          <w:tcPr>
            <w:tcW w:w="2200" w:type="dxa"/>
            <w:vAlign w:val="bottom"/>
          </w:tcPr>
          <w:p>
            <w:pPr>
              <w:ind w:left="320"/>
              <w:spacing w:after="0"/>
              <w:rPr>
                <w:sz w:val="20"/>
                <w:szCs w:val="20"/>
                <w:color w:val="auto"/>
              </w:rPr>
            </w:pPr>
            <w:r>
              <w:rPr>
                <w:rFonts w:ascii="Arial" w:cs="Arial" w:eastAsia="Arial" w:hAnsi="Arial"/>
                <w:sz w:val="14"/>
                <w:szCs w:val="14"/>
                <w:color w:val="auto"/>
              </w:rPr>
              <w:t>Commercial and industrial</w:t>
            </w:r>
          </w:p>
        </w:tc>
        <w:tc>
          <w:tcPr>
            <w:tcW w:w="1100" w:type="dxa"/>
            <w:vAlign w:val="bottom"/>
          </w:tcPr>
          <w:p>
            <w:pPr>
              <w:jc w:val="right"/>
              <w:ind w:right="129"/>
              <w:spacing w:after="0"/>
              <w:rPr>
                <w:sz w:val="20"/>
                <w:szCs w:val="20"/>
                <w:color w:val="auto"/>
              </w:rPr>
            </w:pPr>
            <w:r>
              <w:rPr>
                <w:rFonts w:ascii="Arial" w:cs="Arial" w:eastAsia="Arial" w:hAnsi="Arial"/>
                <w:sz w:val="14"/>
                <w:szCs w:val="14"/>
                <w:color w:val="auto"/>
              </w:rPr>
              <w:t>16</w:t>
            </w:r>
          </w:p>
        </w:tc>
        <w:tc>
          <w:tcPr>
            <w:tcW w:w="260" w:type="dxa"/>
            <w:vAlign w:val="bottom"/>
          </w:tcPr>
          <w:p>
            <w:pPr>
              <w:spacing w:after="0"/>
              <w:rPr>
                <w:sz w:val="18"/>
                <w:szCs w:val="18"/>
                <w:color w:val="auto"/>
              </w:rPr>
            </w:pPr>
          </w:p>
        </w:tc>
        <w:tc>
          <w:tcPr>
            <w:tcW w:w="740" w:type="dxa"/>
            <w:vAlign w:val="bottom"/>
          </w:tcPr>
          <w:p>
            <w:pPr>
              <w:jc w:val="right"/>
              <w:ind w:right="149"/>
              <w:spacing w:after="0"/>
              <w:rPr>
                <w:sz w:val="20"/>
                <w:szCs w:val="20"/>
                <w:color w:val="auto"/>
              </w:rPr>
            </w:pPr>
            <w:r>
              <w:rPr>
                <w:rFonts w:ascii="Arial" w:cs="Arial" w:eastAsia="Arial" w:hAnsi="Arial"/>
                <w:sz w:val="14"/>
                <w:szCs w:val="14"/>
                <w:color w:val="auto"/>
              </w:rPr>
              <w:t>160</w:t>
            </w:r>
          </w:p>
        </w:tc>
        <w:tc>
          <w:tcPr>
            <w:tcW w:w="900" w:type="dxa"/>
            <w:vAlign w:val="bottom"/>
          </w:tcPr>
          <w:p>
            <w:pPr>
              <w:jc w:val="right"/>
              <w:ind w:right="130"/>
              <w:spacing w:after="0"/>
              <w:rPr>
                <w:sz w:val="20"/>
                <w:szCs w:val="20"/>
                <w:color w:val="auto"/>
              </w:rPr>
            </w:pPr>
            <w:r>
              <w:rPr>
                <w:rFonts w:ascii="Arial" w:cs="Arial" w:eastAsia="Arial" w:hAnsi="Arial"/>
                <w:sz w:val="14"/>
                <w:szCs w:val="14"/>
                <w:color w:val="auto"/>
              </w:rPr>
              <w:t>5</w:t>
            </w:r>
          </w:p>
        </w:tc>
        <w:tc>
          <w:tcPr>
            <w:tcW w:w="300" w:type="dxa"/>
            <w:vAlign w:val="bottom"/>
          </w:tcPr>
          <w:p>
            <w:pPr>
              <w:spacing w:after="0"/>
              <w:rPr>
                <w:sz w:val="18"/>
                <w:szCs w:val="18"/>
                <w:color w:val="auto"/>
              </w:rPr>
            </w:pPr>
          </w:p>
        </w:tc>
        <w:tc>
          <w:tcPr>
            <w:tcW w:w="760" w:type="dxa"/>
            <w:vAlign w:val="bottom"/>
          </w:tcPr>
          <w:p>
            <w:pPr>
              <w:jc w:val="right"/>
              <w:ind w:right="169"/>
              <w:spacing w:after="0"/>
              <w:rPr>
                <w:sz w:val="20"/>
                <w:szCs w:val="20"/>
                <w:color w:val="auto"/>
              </w:rPr>
            </w:pPr>
            <w:r>
              <w:rPr>
                <w:rFonts w:ascii="Arial" w:cs="Arial" w:eastAsia="Arial" w:hAnsi="Arial"/>
                <w:sz w:val="14"/>
                <w:szCs w:val="14"/>
                <w:color w:val="auto"/>
              </w:rPr>
              <w:t>7</w:t>
            </w:r>
          </w:p>
        </w:tc>
        <w:tc>
          <w:tcPr>
            <w:tcW w:w="780" w:type="dxa"/>
            <w:vAlign w:val="bottom"/>
          </w:tcPr>
          <w:p>
            <w:pPr>
              <w:jc w:val="right"/>
              <w:spacing w:after="0"/>
              <w:rPr>
                <w:sz w:val="20"/>
                <w:szCs w:val="20"/>
                <w:color w:val="auto"/>
              </w:rPr>
            </w:pPr>
            <w:r>
              <w:rPr>
                <w:rFonts w:ascii="Arial" w:cs="Arial" w:eastAsia="Arial" w:hAnsi="Arial"/>
                <w:sz w:val="14"/>
                <w:szCs w:val="14"/>
                <w:color w:val="auto"/>
              </w:rPr>
              <w:t>21</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167</w:t>
            </w:r>
          </w:p>
        </w:tc>
      </w:tr>
      <w:tr>
        <w:trPr>
          <w:trHeight w:val="222"/>
        </w:trPr>
        <w:tc>
          <w:tcPr>
            <w:tcW w:w="2200" w:type="dxa"/>
            <w:vAlign w:val="bottom"/>
          </w:tcPr>
          <w:p>
            <w:pPr>
              <w:ind w:left="320"/>
              <w:spacing w:after="0"/>
              <w:rPr>
                <w:sz w:val="20"/>
                <w:szCs w:val="20"/>
                <w:color w:val="auto"/>
              </w:rPr>
            </w:pPr>
            <w:r>
              <w:rPr>
                <w:rFonts w:ascii="Arial" w:cs="Arial" w:eastAsia="Arial" w:hAnsi="Arial"/>
                <w:sz w:val="14"/>
                <w:szCs w:val="14"/>
                <w:color w:val="auto"/>
              </w:rPr>
              <w:t>Electric generation plants</w:t>
            </w:r>
          </w:p>
        </w:tc>
        <w:tc>
          <w:tcPr>
            <w:tcW w:w="1100" w:type="dxa"/>
            <w:vAlign w:val="bottom"/>
            <w:tcBorders>
              <w:bottom w:val="single" w:sz="8" w:color="auto"/>
            </w:tcBorders>
          </w:tcPr>
          <w:p>
            <w:pPr>
              <w:jc w:val="right"/>
              <w:ind w:right="129"/>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49"/>
              <w:spacing w:after="0"/>
              <w:rPr>
                <w:sz w:val="20"/>
                <w:szCs w:val="20"/>
                <w:color w:val="auto"/>
              </w:rPr>
            </w:pPr>
            <w:r>
              <w:rPr>
                <w:rFonts w:ascii="Arial" w:cs="Arial" w:eastAsia="Arial" w:hAnsi="Arial"/>
                <w:sz w:val="14"/>
                <w:szCs w:val="14"/>
                <w:color w:val="auto"/>
              </w:rPr>
              <w:t>1</w:t>
            </w:r>
          </w:p>
        </w:tc>
        <w:tc>
          <w:tcPr>
            <w:tcW w:w="900" w:type="dxa"/>
            <w:vAlign w:val="bottom"/>
            <w:tcBorders>
              <w:bottom w:val="single" w:sz="8" w:color="auto"/>
            </w:tcBorders>
          </w:tcPr>
          <w:p>
            <w:pPr>
              <w:jc w:val="right"/>
              <w:ind w:right="130"/>
              <w:spacing w:after="0"/>
              <w:rPr>
                <w:sz w:val="20"/>
                <w:szCs w:val="20"/>
                <w:color w:val="auto"/>
              </w:rPr>
            </w:pPr>
            <w:r>
              <w:rPr>
                <w:rFonts w:ascii="Arial" w:cs="Arial" w:eastAsia="Arial" w:hAnsi="Arial"/>
                <w:sz w:val="14"/>
                <w:szCs w:val="14"/>
                <w:color w:val="auto"/>
              </w:rPr>
              <w:t>60</w:t>
            </w:r>
          </w:p>
        </w:tc>
        <w:tc>
          <w:tcPr>
            <w:tcW w:w="3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169"/>
              <w:spacing w:after="0"/>
              <w:rPr>
                <w:sz w:val="20"/>
                <w:szCs w:val="20"/>
                <w:color w:val="auto"/>
              </w:rPr>
            </w:pPr>
            <w:r>
              <w:rPr>
                <w:rFonts w:ascii="Arial" w:cs="Arial" w:eastAsia="Arial" w:hAnsi="Arial"/>
                <w:sz w:val="14"/>
                <w:szCs w:val="14"/>
                <w:color w:val="auto"/>
              </w:rPr>
              <w:t>40</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60</w:t>
            </w:r>
          </w:p>
        </w:tc>
        <w:tc>
          <w:tcPr>
            <w:tcW w:w="3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w:t>
            </w:r>
          </w:p>
        </w:tc>
      </w:tr>
      <w:tr>
        <w:trPr>
          <w:trHeight w:val="202"/>
        </w:trPr>
        <w:tc>
          <w:tcPr>
            <w:tcW w:w="2200" w:type="dxa"/>
            <w:vAlign w:val="bottom"/>
          </w:tcPr>
          <w:p>
            <w:pPr>
              <w:spacing w:after="0"/>
              <w:rPr>
                <w:sz w:val="17"/>
                <w:szCs w:val="17"/>
                <w:color w:val="auto"/>
              </w:rPr>
            </w:pPr>
          </w:p>
        </w:tc>
        <w:tc>
          <w:tcPr>
            <w:tcW w:w="1100" w:type="dxa"/>
            <w:vAlign w:val="bottom"/>
          </w:tcPr>
          <w:p>
            <w:pPr>
              <w:jc w:val="right"/>
              <w:ind w:right="129"/>
              <w:spacing w:after="0"/>
              <w:rPr>
                <w:sz w:val="20"/>
                <w:szCs w:val="20"/>
                <w:color w:val="auto"/>
              </w:rPr>
            </w:pPr>
            <w:r>
              <w:rPr>
                <w:rFonts w:ascii="Arial" w:cs="Arial" w:eastAsia="Arial" w:hAnsi="Arial"/>
                <w:sz w:val="14"/>
                <w:szCs w:val="14"/>
                <w:color w:val="auto"/>
              </w:rPr>
              <w:t>48</w:t>
            </w: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149"/>
              <w:spacing w:after="0"/>
              <w:rPr>
                <w:sz w:val="20"/>
                <w:szCs w:val="20"/>
                <w:color w:val="auto"/>
              </w:rPr>
            </w:pPr>
            <w:r>
              <w:rPr>
                <w:rFonts w:ascii="Arial" w:cs="Arial" w:eastAsia="Arial" w:hAnsi="Arial"/>
                <w:sz w:val="14"/>
                <w:szCs w:val="14"/>
                <w:color w:val="auto"/>
              </w:rPr>
              <w:t>566</w:t>
            </w:r>
          </w:p>
        </w:tc>
        <w:tc>
          <w:tcPr>
            <w:tcW w:w="900" w:type="dxa"/>
            <w:vAlign w:val="bottom"/>
          </w:tcPr>
          <w:p>
            <w:pPr>
              <w:jc w:val="right"/>
              <w:ind w:right="130"/>
              <w:spacing w:after="0"/>
              <w:rPr>
                <w:sz w:val="20"/>
                <w:szCs w:val="20"/>
                <w:color w:val="auto"/>
              </w:rPr>
            </w:pPr>
            <w:r>
              <w:rPr>
                <w:rFonts w:ascii="Arial" w:cs="Arial" w:eastAsia="Arial" w:hAnsi="Arial"/>
                <w:sz w:val="14"/>
                <w:szCs w:val="14"/>
                <w:color w:val="auto"/>
              </w:rPr>
              <w:t>65</w:t>
            </w:r>
          </w:p>
        </w:tc>
        <w:tc>
          <w:tcPr>
            <w:tcW w:w="30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169"/>
              <w:spacing w:after="0"/>
              <w:rPr>
                <w:sz w:val="20"/>
                <w:szCs w:val="20"/>
                <w:color w:val="auto"/>
              </w:rPr>
            </w:pPr>
            <w:r>
              <w:rPr>
                <w:rFonts w:ascii="Arial" w:cs="Arial" w:eastAsia="Arial" w:hAnsi="Arial"/>
                <w:sz w:val="14"/>
                <w:szCs w:val="14"/>
                <w:color w:val="auto"/>
              </w:rPr>
              <w:t>47</w:t>
            </w:r>
          </w:p>
        </w:tc>
        <w:tc>
          <w:tcPr>
            <w:tcW w:w="780" w:type="dxa"/>
            <w:vAlign w:val="bottom"/>
          </w:tcPr>
          <w:p>
            <w:pPr>
              <w:jc w:val="right"/>
              <w:spacing w:after="0"/>
              <w:rPr>
                <w:sz w:val="20"/>
                <w:szCs w:val="20"/>
                <w:color w:val="auto"/>
              </w:rPr>
            </w:pPr>
            <w:r>
              <w:rPr>
                <w:rFonts w:ascii="Arial" w:cs="Arial" w:eastAsia="Arial" w:hAnsi="Arial"/>
                <w:sz w:val="14"/>
                <w:szCs w:val="14"/>
                <w:color w:val="auto"/>
              </w:rPr>
              <w:t>113</w:t>
            </w: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613</w:t>
            </w:r>
          </w:p>
        </w:tc>
      </w:tr>
      <w:tr>
        <w:trPr>
          <w:trHeight w:val="216"/>
        </w:trPr>
        <w:tc>
          <w:tcPr>
            <w:tcW w:w="2200" w:type="dxa"/>
            <w:vAlign w:val="bottom"/>
          </w:tcPr>
          <w:p>
            <w:pPr>
              <w:ind w:left="320"/>
              <w:spacing w:after="0"/>
              <w:rPr>
                <w:sz w:val="20"/>
                <w:szCs w:val="20"/>
                <w:color w:val="auto"/>
              </w:rPr>
            </w:pPr>
            <w:r>
              <w:rPr>
                <w:rFonts w:ascii="Arial" w:cs="Arial" w:eastAsia="Arial" w:hAnsi="Arial"/>
                <w:sz w:val="14"/>
                <w:szCs w:val="14"/>
                <w:color w:val="auto"/>
              </w:rPr>
              <w:t>Other revenues</w:t>
            </w: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13</w:t>
            </w:r>
          </w:p>
        </w:tc>
      </w:tr>
      <w:tr>
        <w:trPr>
          <w:trHeight w:val="222"/>
        </w:trPr>
        <w:tc>
          <w:tcPr>
            <w:tcW w:w="2200" w:type="dxa"/>
            <w:vAlign w:val="bottom"/>
          </w:tcPr>
          <w:p>
            <w:pPr>
              <w:ind w:left="320"/>
              <w:spacing w:after="0"/>
              <w:rPr>
                <w:sz w:val="20"/>
                <w:szCs w:val="20"/>
                <w:color w:val="auto"/>
              </w:rPr>
            </w:pPr>
            <w:r>
              <w:rPr>
                <w:rFonts w:ascii="Arial" w:cs="Arial" w:eastAsia="Arial" w:hAnsi="Arial"/>
                <w:sz w:val="14"/>
                <w:szCs w:val="14"/>
                <w:color w:val="auto"/>
              </w:rPr>
              <w:t>Balancing accounts</w:t>
            </w:r>
          </w:p>
        </w:tc>
        <w:tc>
          <w:tcPr>
            <w:tcW w:w="1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w:t>
            </w:r>
          </w:p>
        </w:tc>
      </w:tr>
      <w:tr>
        <w:trPr>
          <w:trHeight w:val="224"/>
        </w:trPr>
        <w:tc>
          <w:tcPr>
            <w:tcW w:w="2200" w:type="dxa"/>
            <w:vAlign w:val="bottom"/>
            <w:tcBorders>
              <w:bottom w:val="single" w:sz="8" w:color="auto"/>
            </w:tcBorders>
          </w:tcPr>
          <w:p>
            <w:pPr>
              <w:ind w:left="460"/>
              <w:spacing w:after="0"/>
              <w:rPr>
                <w:sz w:val="20"/>
                <w:szCs w:val="20"/>
                <w:color w:val="auto"/>
              </w:rPr>
            </w:pPr>
            <w:r>
              <w:rPr>
                <w:rFonts w:ascii="Arial" w:cs="Arial" w:eastAsia="Arial" w:hAnsi="Arial"/>
                <w:sz w:val="14"/>
                <w:szCs w:val="14"/>
                <w:color w:val="auto"/>
              </w:rPr>
              <w:t>Total*</w:t>
            </w:r>
          </w:p>
        </w:tc>
        <w:tc>
          <w:tcPr>
            <w:tcW w:w="1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658</w:t>
            </w:r>
          </w:p>
        </w:tc>
      </w:tr>
      <w:tr>
        <w:trPr>
          <w:trHeight w:val="210"/>
        </w:trPr>
        <w:tc>
          <w:tcPr>
            <w:tcW w:w="2200" w:type="dxa"/>
            <w:vAlign w:val="bottom"/>
          </w:tcPr>
          <w:p>
            <w:pPr>
              <w:spacing w:after="0"/>
              <w:rPr>
                <w:sz w:val="20"/>
                <w:szCs w:val="20"/>
                <w:color w:val="auto"/>
              </w:rPr>
            </w:pPr>
            <w:r>
              <w:rPr>
                <w:rFonts w:ascii="Arial" w:cs="Arial" w:eastAsia="Arial" w:hAnsi="Arial"/>
                <w:sz w:val="14"/>
                <w:szCs w:val="14"/>
                <w:color w:val="auto"/>
              </w:rPr>
              <w:t>2006:</w:t>
            </w: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2200" w:type="dxa"/>
            <w:vAlign w:val="bottom"/>
          </w:tcPr>
          <w:p>
            <w:pPr>
              <w:ind w:left="320"/>
              <w:spacing w:after="0"/>
              <w:rPr>
                <w:sz w:val="20"/>
                <w:szCs w:val="20"/>
                <w:color w:val="auto"/>
              </w:rPr>
            </w:pPr>
            <w:r>
              <w:rPr>
                <w:rFonts w:ascii="Arial" w:cs="Arial" w:eastAsia="Arial" w:hAnsi="Arial"/>
                <w:sz w:val="14"/>
                <w:szCs w:val="14"/>
                <w:color w:val="auto"/>
              </w:rPr>
              <w:t>Residential</w:t>
            </w:r>
          </w:p>
        </w:tc>
        <w:tc>
          <w:tcPr>
            <w:tcW w:w="1100" w:type="dxa"/>
            <w:vAlign w:val="bottom"/>
          </w:tcPr>
          <w:p>
            <w:pPr>
              <w:jc w:val="right"/>
              <w:ind w:right="129"/>
              <w:spacing w:after="0"/>
              <w:rPr>
                <w:sz w:val="20"/>
                <w:szCs w:val="20"/>
                <w:color w:val="auto"/>
              </w:rPr>
            </w:pPr>
            <w:r>
              <w:rPr>
                <w:rFonts w:ascii="Arial" w:cs="Arial" w:eastAsia="Arial" w:hAnsi="Arial"/>
                <w:sz w:val="14"/>
                <w:szCs w:val="14"/>
                <w:color w:val="auto"/>
              </w:rPr>
              <w:t>31</w:t>
            </w: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149"/>
              <w:spacing w:after="0"/>
              <w:rPr>
                <w:sz w:val="20"/>
                <w:szCs w:val="20"/>
                <w:color w:val="auto"/>
              </w:rPr>
            </w:pPr>
            <w:r>
              <w:rPr>
                <w:rFonts w:ascii="Arial" w:cs="Arial" w:eastAsia="Arial" w:hAnsi="Arial"/>
                <w:sz w:val="14"/>
                <w:szCs w:val="14"/>
                <w:color w:val="auto"/>
              </w:rPr>
              <w:t>397</w:t>
            </w:r>
          </w:p>
        </w:tc>
        <w:tc>
          <w:tcPr>
            <w:tcW w:w="900" w:type="dxa"/>
            <w:vAlign w:val="bottom"/>
          </w:tcPr>
          <w:p>
            <w:pPr>
              <w:jc w:val="right"/>
              <w:ind w:right="130"/>
              <w:spacing w:after="0"/>
              <w:rPr>
                <w:sz w:val="20"/>
                <w:szCs w:val="20"/>
                <w:color w:val="auto"/>
              </w:rPr>
            </w:pPr>
            <w:r>
              <w:rPr>
                <w:rFonts w:ascii="Arial" w:cs="Arial" w:eastAsia="Arial" w:hAnsi="Arial"/>
                <w:sz w:val="14"/>
                <w:szCs w:val="14"/>
                <w:color w:val="auto"/>
              </w:rPr>
              <w:t>--</w:t>
            </w:r>
          </w:p>
        </w:tc>
        <w:tc>
          <w:tcPr>
            <w:tcW w:w="30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169"/>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31</w:t>
            </w:r>
          </w:p>
        </w:tc>
        <w:tc>
          <w:tcPr>
            <w:tcW w:w="48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397</w:t>
            </w:r>
          </w:p>
        </w:tc>
      </w:tr>
      <w:tr>
        <w:trPr>
          <w:trHeight w:val="216"/>
        </w:trPr>
        <w:tc>
          <w:tcPr>
            <w:tcW w:w="2200" w:type="dxa"/>
            <w:vAlign w:val="bottom"/>
          </w:tcPr>
          <w:p>
            <w:pPr>
              <w:ind w:left="320"/>
              <w:spacing w:after="0"/>
              <w:rPr>
                <w:sz w:val="20"/>
                <w:szCs w:val="20"/>
                <w:color w:val="auto"/>
              </w:rPr>
            </w:pPr>
            <w:r>
              <w:rPr>
                <w:rFonts w:ascii="Arial" w:cs="Arial" w:eastAsia="Arial" w:hAnsi="Arial"/>
                <w:sz w:val="14"/>
                <w:szCs w:val="14"/>
                <w:color w:val="auto"/>
              </w:rPr>
              <w:t>Commercial and industrial</w:t>
            </w:r>
          </w:p>
        </w:tc>
        <w:tc>
          <w:tcPr>
            <w:tcW w:w="1100" w:type="dxa"/>
            <w:vAlign w:val="bottom"/>
          </w:tcPr>
          <w:p>
            <w:pPr>
              <w:jc w:val="right"/>
              <w:ind w:right="129"/>
              <w:spacing w:after="0"/>
              <w:rPr>
                <w:sz w:val="20"/>
                <w:szCs w:val="20"/>
                <w:color w:val="auto"/>
              </w:rPr>
            </w:pPr>
            <w:r>
              <w:rPr>
                <w:rFonts w:ascii="Arial" w:cs="Arial" w:eastAsia="Arial" w:hAnsi="Arial"/>
                <w:sz w:val="14"/>
                <w:szCs w:val="14"/>
                <w:color w:val="auto"/>
              </w:rPr>
              <w:t>17</w:t>
            </w:r>
          </w:p>
        </w:tc>
        <w:tc>
          <w:tcPr>
            <w:tcW w:w="260" w:type="dxa"/>
            <w:vAlign w:val="bottom"/>
          </w:tcPr>
          <w:p>
            <w:pPr>
              <w:spacing w:after="0"/>
              <w:rPr>
                <w:sz w:val="18"/>
                <w:szCs w:val="18"/>
                <w:color w:val="auto"/>
              </w:rPr>
            </w:pPr>
          </w:p>
        </w:tc>
        <w:tc>
          <w:tcPr>
            <w:tcW w:w="740" w:type="dxa"/>
            <w:vAlign w:val="bottom"/>
          </w:tcPr>
          <w:p>
            <w:pPr>
              <w:jc w:val="right"/>
              <w:ind w:right="149"/>
              <w:spacing w:after="0"/>
              <w:rPr>
                <w:sz w:val="20"/>
                <w:szCs w:val="20"/>
                <w:color w:val="auto"/>
              </w:rPr>
            </w:pPr>
            <w:r>
              <w:rPr>
                <w:rFonts w:ascii="Arial" w:cs="Arial" w:eastAsia="Arial" w:hAnsi="Arial"/>
                <w:sz w:val="14"/>
                <w:szCs w:val="14"/>
                <w:color w:val="auto"/>
              </w:rPr>
              <w:t>169</w:t>
            </w:r>
          </w:p>
        </w:tc>
        <w:tc>
          <w:tcPr>
            <w:tcW w:w="900" w:type="dxa"/>
            <w:vAlign w:val="bottom"/>
          </w:tcPr>
          <w:p>
            <w:pPr>
              <w:jc w:val="right"/>
              <w:ind w:right="130"/>
              <w:spacing w:after="0"/>
              <w:rPr>
                <w:sz w:val="20"/>
                <w:szCs w:val="20"/>
                <w:color w:val="auto"/>
              </w:rPr>
            </w:pPr>
            <w:r>
              <w:rPr>
                <w:rFonts w:ascii="Arial" w:cs="Arial" w:eastAsia="Arial" w:hAnsi="Arial"/>
                <w:sz w:val="14"/>
                <w:szCs w:val="14"/>
                <w:color w:val="auto"/>
              </w:rPr>
              <w:t>5</w:t>
            </w:r>
          </w:p>
        </w:tc>
        <w:tc>
          <w:tcPr>
            <w:tcW w:w="300" w:type="dxa"/>
            <w:vAlign w:val="bottom"/>
          </w:tcPr>
          <w:p>
            <w:pPr>
              <w:spacing w:after="0"/>
              <w:rPr>
                <w:sz w:val="18"/>
                <w:szCs w:val="18"/>
                <w:color w:val="auto"/>
              </w:rPr>
            </w:pPr>
          </w:p>
        </w:tc>
        <w:tc>
          <w:tcPr>
            <w:tcW w:w="760" w:type="dxa"/>
            <w:vAlign w:val="bottom"/>
          </w:tcPr>
          <w:p>
            <w:pPr>
              <w:jc w:val="right"/>
              <w:ind w:right="169"/>
              <w:spacing w:after="0"/>
              <w:rPr>
                <w:sz w:val="20"/>
                <w:szCs w:val="20"/>
                <w:color w:val="auto"/>
              </w:rPr>
            </w:pPr>
            <w:r>
              <w:rPr>
                <w:rFonts w:ascii="Arial" w:cs="Arial" w:eastAsia="Arial" w:hAnsi="Arial"/>
                <w:sz w:val="14"/>
                <w:szCs w:val="14"/>
                <w:color w:val="auto"/>
              </w:rPr>
              <w:t>7</w:t>
            </w:r>
          </w:p>
        </w:tc>
        <w:tc>
          <w:tcPr>
            <w:tcW w:w="780" w:type="dxa"/>
            <w:vAlign w:val="bottom"/>
          </w:tcPr>
          <w:p>
            <w:pPr>
              <w:jc w:val="right"/>
              <w:spacing w:after="0"/>
              <w:rPr>
                <w:sz w:val="20"/>
                <w:szCs w:val="20"/>
                <w:color w:val="auto"/>
              </w:rPr>
            </w:pPr>
            <w:r>
              <w:rPr>
                <w:rFonts w:ascii="Arial" w:cs="Arial" w:eastAsia="Arial" w:hAnsi="Arial"/>
                <w:sz w:val="14"/>
                <w:szCs w:val="14"/>
                <w:color w:val="auto"/>
              </w:rPr>
              <w:t>22</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176</w:t>
            </w:r>
          </w:p>
        </w:tc>
      </w:tr>
      <w:tr>
        <w:trPr>
          <w:trHeight w:val="222"/>
        </w:trPr>
        <w:tc>
          <w:tcPr>
            <w:tcW w:w="2200" w:type="dxa"/>
            <w:vAlign w:val="bottom"/>
          </w:tcPr>
          <w:p>
            <w:pPr>
              <w:ind w:left="320"/>
              <w:spacing w:after="0"/>
              <w:rPr>
                <w:sz w:val="20"/>
                <w:szCs w:val="20"/>
                <w:color w:val="auto"/>
              </w:rPr>
            </w:pPr>
            <w:r>
              <w:rPr>
                <w:rFonts w:ascii="Arial" w:cs="Arial" w:eastAsia="Arial" w:hAnsi="Arial"/>
                <w:sz w:val="14"/>
                <w:szCs w:val="14"/>
                <w:color w:val="auto"/>
              </w:rPr>
              <w:t>Electric generation plants</w:t>
            </w:r>
          </w:p>
        </w:tc>
        <w:tc>
          <w:tcPr>
            <w:tcW w:w="1100" w:type="dxa"/>
            <w:vAlign w:val="bottom"/>
            <w:tcBorders>
              <w:bottom w:val="single" w:sz="8" w:color="auto"/>
            </w:tcBorders>
          </w:tcPr>
          <w:p>
            <w:pPr>
              <w:jc w:val="right"/>
              <w:ind w:right="129"/>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49"/>
              <w:spacing w:after="0"/>
              <w:rPr>
                <w:sz w:val="20"/>
                <w:szCs w:val="20"/>
                <w:color w:val="auto"/>
              </w:rPr>
            </w:pPr>
            <w:r>
              <w:rPr>
                <w:rFonts w:ascii="Arial" w:cs="Arial" w:eastAsia="Arial" w:hAnsi="Arial"/>
                <w:sz w:val="14"/>
                <w:szCs w:val="14"/>
                <w:color w:val="auto"/>
              </w:rPr>
              <w:t>2</w:t>
            </w:r>
          </w:p>
        </w:tc>
        <w:tc>
          <w:tcPr>
            <w:tcW w:w="900" w:type="dxa"/>
            <w:vAlign w:val="bottom"/>
            <w:tcBorders>
              <w:bottom w:val="single" w:sz="8" w:color="auto"/>
            </w:tcBorders>
          </w:tcPr>
          <w:p>
            <w:pPr>
              <w:jc w:val="right"/>
              <w:ind w:right="130"/>
              <w:spacing w:after="0"/>
              <w:rPr>
                <w:sz w:val="20"/>
                <w:szCs w:val="20"/>
                <w:color w:val="auto"/>
              </w:rPr>
            </w:pPr>
            <w:r>
              <w:rPr>
                <w:rFonts w:ascii="Arial" w:cs="Arial" w:eastAsia="Arial" w:hAnsi="Arial"/>
                <w:sz w:val="14"/>
                <w:szCs w:val="14"/>
                <w:color w:val="auto"/>
              </w:rPr>
              <w:t>65</w:t>
            </w:r>
          </w:p>
        </w:tc>
        <w:tc>
          <w:tcPr>
            <w:tcW w:w="3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169"/>
              <w:spacing w:after="0"/>
              <w:rPr>
                <w:sz w:val="20"/>
                <w:szCs w:val="20"/>
                <w:color w:val="auto"/>
              </w:rPr>
            </w:pPr>
            <w:r>
              <w:rPr>
                <w:rFonts w:ascii="Arial" w:cs="Arial" w:eastAsia="Arial" w:hAnsi="Arial"/>
                <w:sz w:val="14"/>
                <w:szCs w:val="14"/>
                <w:color w:val="auto"/>
              </w:rPr>
              <w:t>44</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65</w:t>
            </w:r>
          </w:p>
        </w:tc>
        <w:tc>
          <w:tcPr>
            <w:tcW w:w="3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w:t>
            </w:r>
          </w:p>
        </w:tc>
      </w:tr>
      <w:tr>
        <w:trPr>
          <w:trHeight w:val="202"/>
        </w:trPr>
        <w:tc>
          <w:tcPr>
            <w:tcW w:w="2200" w:type="dxa"/>
            <w:vAlign w:val="bottom"/>
          </w:tcPr>
          <w:p>
            <w:pPr>
              <w:spacing w:after="0"/>
              <w:rPr>
                <w:sz w:val="17"/>
                <w:szCs w:val="17"/>
                <w:color w:val="auto"/>
              </w:rPr>
            </w:pPr>
          </w:p>
        </w:tc>
        <w:tc>
          <w:tcPr>
            <w:tcW w:w="1100" w:type="dxa"/>
            <w:vAlign w:val="bottom"/>
          </w:tcPr>
          <w:p>
            <w:pPr>
              <w:jc w:val="right"/>
              <w:ind w:right="129"/>
              <w:spacing w:after="0"/>
              <w:rPr>
                <w:sz w:val="20"/>
                <w:szCs w:val="20"/>
                <w:color w:val="auto"/>
              </w:rPr>
            </w:pPr>
            <w:r>
              <w:rPr>
                <w:rFonts w:ascii="Arial" w:cs="Arial" w:eastAsia="Arial" w:hAnsi="Arial"/>
                <w:sz w:val="14"/>
                <w:szCs w:val="14"/>
                <w:color w:val="auto"/>
              </w:rPr>
              <w:t>48</w:t>
            </w: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149"/>
              <w:spacing w:after="0"/>
              <w:rPr>
                <w:sz w:val="20"/>
                <w:szCs w:val="20"/>
                <w:color w:val="auto"/>
              </w:rPr>
            </w:pPr>
            <w:r>
              <w:rPr>
                <w:rFonts w:ascii="Arial" w:cs="Arial" w:eastAsia="Arial" w:hAnsi="Arial"/>
                <w:sz w:val="14"/>
                <w:szCs w:val="14"/>
                <w:color w:val="auto"/>
              </w:rPr>
              <w:t>568</w:t>
            </w:r>
          </w:p>
        </w:tc>
        <w:tc>
          <w:tcPr>
            <w:tcW w:w="900" w:type="dxa"/>
            <w:vAlign w:val="bottom"/>
          </w:tcPr>
          <w:p>
            <w:pPr>
              <w:jc w:val="right"/>
              <w:ind w:right="130"/>
              <w:spacing w:after="0"/>
              <w:rPr>
                <w:sz w:val="20"/>
                <w:szCs w:val="20"/>
                <w:color w:val="auto"/>
              </w:rPr>
            </w:pPr>
            <w:r>
              <w:rPr>
                <w:rFonts w:ascii="Arial" w:cs="Arial" w:eastAsia="Arial" w:hAnsi="Arial"/>
                <w:sz w:val="14"/>
                <w:szCs w:val="14"/>
                <w:color w:val="auto"/>
              </w:rPr>
              <w:t>70</w:t>
            </w:r>
          </w:p>
        </w:tc>
        <w:tc>
          <w:tcPr>
            <w:tcW w:w="30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169"/>
              <w:spacing w:after="0"/>
              <w:rPr>
                <w:sz w:val="20"/>
                <w:szCs w:val="20"/>
                <w:color w:val="auto"/>
              </w:rPr>
            </w:pPr>
            <w:r>
              <w:rPr>
                <w:rFonts w:ascii="Arial" w:cs="Arial" w:eastAsia="Arial" w:hAnsi="Arial"/>
                <w:sz w:val="14"/>
                <w:szCs w:val="14"/>
                <w:color w:val="auto"/>
              </w:rPr>
              <w:t>51</w:t>
            </w:r>
          </w:p>
        </w:tc>
        <w:tc>
          <w:tcPr>
            <w:tcW w:w="780" w:type="dxa"/>
            <w:vAlign w:val="bottom"/>
          </w:tcPr>
          <w:p>
            <w:pPr>
              <w:jc w:val="right"/>
              <w:spacing w:after="0"/>
              <w:rPr>
                <w:sz w:val="20"/>
                <w:szCs w:val="20"/>
                <w:color w:val="auto"/>
              </w:rPr>
            </w:pPr>
            <w:r>
              <w:rPr>
                <w:rFonts w:ascii="Arial" w:cs="Arial" w:eastAsia="Arial" w:hAnsi="Arial"/>
                <w:sz w:val="14"/>
                <w:szCs w:val="14"/>
                <w:color w:val="auto"/>
              </w:rPr>
              <w:t>118</w:t>
            </w: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619</w:t>
            </w:r>
          </w:p>
        </w:tc>
      </w:tr>
      <w:tr>
        <w:trPr>
          <w:trHeight w:val="216"/>
        </w:trPr>
        <w:tc>
          <w:tcPr>
            <w:tcW w:w="2200" w:type="dxa"/>
            <w:vAlign w:val="bottom"/>
          </w:tcPr>
          <w:p>
            <w:pPr>
              <w:ind w:left="320"/>
              <w:spacing w:after="0"/>
              <w:rPr>
                <w:sz w:val="20"/>
                <w:szCs w:val="20"/>
                <w:color w:val="auto"/>
              </w:rPr>
            </w:pPr>
            <w:r>
              <w:rPr>
                <w:rFonts w:ascii="Arial" w:cs="Arial" w:eastAsia="Arial" w:hAnsi="Arial"/>
                <w:sz w:val="14"/>
                <w:szCs w:val="14"/>
                <w:color w:val="auto"/>
              </w:rPr>
              <w:t>Other revenues</w:t>
            </w: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15</w:t>
            </w:r>
          </w:p>
        </w:tc>
      </w:tr>
      <w:tr>
        <w:trPr>
          <w:trHeight w:val="222"/>
        </w:trPr>
        <w:tc>
          <w:tcPr>
            <w:tcW w:w="2200" w:type="dxa"/>
            <w:vAlign w:val="bottom"/>
          </w:tcPr>
          <w:p>
            <w:pPr>
              <w:ind w:left="320"/>
              <w:spacing w:after="0"/>
              <w:rPr>
                <w:sz w:val="20"/>
                <w:szCs w:val="20"/>
                <w:color w:val="auto"/>
              </w:rPr>
            </w:pPr>
            <w:r>
              <w:rPr>
                <w:rFonts w:ascii="Arial" w:cs="Arial" w:eastAsia="Arial" w:hAnsi="Arial"/>
                <w:sz w:val="14"/>
                <w:szCs w:val="14"/>
                <w:color w:val="auto"/>
              </w:rPr>
              <w:t>Balancing accounts</w:t>
            </w:r>
          </w:p>
        </w:tc>
        <w:tc>
          <w:tcPr>
            <w:tcW w:w="1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w:t>
            </w:r>
          </w:p>
        </w:tc>
      </w:tr>
      <w:tr>
        <w:trPr>
          <w:trHeight w:val="224"/>
        </w:trPr>
        <w:tc>
          <w:tcPr>
            <w:tcW w:w="2200" w:type="dxa"/>
            <w:vAlign w:val="bottom"/>
            <w:tcBorders>
              <w:bottom w:val="single" w:sz="8" w:color="auto"/>
            </w:tcBorders>
          </w:tcPr>
          <w:p>
            <w:pPr>
              <w:ind w:left="460"/>
              <w:spacing w:after="0"/>
              <w:rPr>
                <w:sz w:val="20"/>
                <w:szCs w:val="20"/>
                <w:color w:val="auto"/>
              </w:rPr>
            </w:pPr>
            <w:r>
              <w:rPr>
                <w:rFonts w:ascii="Arial" w:cs="Arial" w:eastAsia="Arial" w:hAnsi="Arial"/>
                <w:sz w:val="14"/>
                <w:szCs w:val="14"/>
                <w:color w:val="auto"/>
              </w:rPr>
              <w:t>Total*</w:t>
            </w:r>
          </w:p>
        </w:tc>
        <w:tc>
          <w:tcPr>
            <w:tcW w:w="1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638</w:t>
            </w:r>
          </w:p>
        </w:tc>
      </w:tr>
    </w:tbl>
    <w:p>
      <w:pPr>
        <w:spacing w:after="0" w:line="16" w:lineRule="exact"/>
        <w:rPr>
          <w:sz w:val="20"/>
          <w:szCs w:val="20"/>
          <w:color w:val="auto"/>
        </w:rPr>
      </w:pPr>
    </w:p>
    <w:p>
      <w:pPr>
        <w:ind w:left="2000" w:hanging="310"/>
        <w:spacing w:after="0"/>
        <w:tabs>
          <w:tab w:leader="none" w:pos="2000" w:val="left"/>
        </w:tabs>
        <w:numPr>
          <w:ilvl w:val="0"/>
          <w:numId w:val="241"/>
        </w:numPr>
        <w:rPr>
          <w:rFonts w:ascii="Arial" w:cs="Arial" w:eastAsia="Arial" w:hAnsi="Arial"/>
          <w:sz w:val="13"/>
          <w:szCs w:val="13"/>
          <w:i w:val="1"/>
          <w:iCs w:val="1"/>
          <w:color w:val="auto"/>
        </w:rPr>
      </w:pPr>
      <w:r>
        <w:rPr>
          <w:rFonts w:ascii="Arial" w:cs="Arial" w:eastAsia="Arial" w:hAnsi="Arial"/>
          <w:sz w:val="13"/>
          <w:szCs w:val="13"/>
          <w:i w:val="1"/>
          <w:iCs w:val="1"/>
          <w:color w:val="auto"/>
        </w:rPr>
        <w:t>Includes sales to affiliates of $2 million in 2008, $3 million in 2007 and $4 million in 2006.</w:t>
      </w:r>
    </w:p>
    <w:p>
      <w:pPr>
        <w:spacing w:after="0" w:line="206" w:lineRule="exact"/>
        <w:rPr>
          <w:sz w:val="20"/>
          <w:szCs w:val="20"/>
          <w:color w:val="auto"/>
        </w:rPr>
      </w:pPr>
    </w:p>
    <w:p>
      <w:pPr>
        <w:jc w:val="both"/>
        <w:spacing w:after="0" w:line="264" w:lineRule="auto"/>
        <w:rPr>
          <w:sz w:val="20"/>
          <w:szCs w:val="20"/>
          <w:color w:val="auto"/>
        </w:rPr>
      </w:pPr>
      <w:r>
        <w:rPr>
          <w:rFonts w:ascii="Arial" w:cs="Arial" w:eastAsia="Arial" w:hAnsi="Arial"/>
          <w:sz w:val="16"/>
          <w:szCs w:val="16"/>
          <w:color w:val="auto"/>
        </w:rPr>
        <w:t>In 2008, SDG&amp;E's natural gas revenues increased by $31 million (5%) to $689 million, and the cost of natural gas increased by $23 million (6%) to $415 million. The increases were primarily due to higher natural gas prices. In 2007, SDG&amp;E's natural gas revenues increased by $20 million (3%) to $658 million, and the cost of natural gas increased $12 million (3%) to $392 million.</w:t>
      </w:r>
    </w:p>
    <w:p>
      <w:pPr>
        <w:spacing w:after="0" w:line="42" w:lineRule="exact"/>
        <w:rPr>
          <w:sz w:val="20"/>
          <w:szCs w:val="20"/>
          <w:color w:val="auto"/>
        </w:rPr>
      </w:pPr>
    </w:p>
    <w:p>
      <w:pPr>
        <w:spacing w:after="0"/>
        <w:rPr>
          <w:sz w:val="20"/>
          <w:szCs w:val="20"/>
          <w:color w:val="auto"/>
        </w:rPr>
      </w:pPr>
      <w:r>
        <w:rPr>
          <w:rFonts w:ascii="Arial" w:cs="Arial" w:eastAsia="Arial" w:hAnsi="Arial"/>
          <w:sz w:val="16"/>
          <w:szCs w:val="16"/>
          <w:color w:val="auto"/>
        </w:rPr>
        <w:t>SDG&amp;E's weighted average cost (including transportation charges) per MMBtu of natural gas was $7.78 in 2008, $7.17 in 2007 and $6.94 in 2006.</w:t>
      </w: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4"/>
          <w:szCs w:val="14"/>
          <w:color w:val="auto"/>
        </w:rPr>
        <w:t>17</w:t>
      </w:r>
    </w:p>
    <w:p>
      <w:pPr>
        <w:sectPr>
          <w:pgSz w:w="11900" w:h="16838" w:orient="portrait"/>
          <w:cols w:equalWidth="0" w:num="1">
            <w:col w:w="11320"/>
          </w:cols>
          <w:pgMar w:left="240" w:top="127" w:right="339" w:bottom="1440" w:gutter="0" w:footer="0" w:header="0"/>
        </w:sectPr>
      </w:pPr>
    </w:p>
    <w:bookmarkStart w:id="157" w:name="page158"/>
    <w:bookmarkEnd w:id="157"/>
    <w:p>
      <w:pPr>
        <w:ind w:left="1644" w:right="3980"/>
        <w:spacing w:after="0" w:line="306" w:lineRule="auto"/>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1195070</wp:posOffset>
            </wp:positionH>
            <wp:positionV relativeFrom="page">
              <wp:posOffset>226060</wp:posOffset>
            </wp:positionV>
            <wp:extent cx="5179060" cy="24384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179060" cy="243840"/>
                    </a:xfrm>
                    <a:prstGeom prst="rect">
                      <a:avLst/>
                    </a:prstGeom>
                    <a:noFill/>
                  </pic:spPr>
                </pic:pic>
              </a:graphicData>
            </a:graphic>
          </wp:anchor>
        </w:drawing>
        <w:t xml:space="preserve">SOCALGAS: NATURAL GAS SALES, TRANSPORTATION AND EXCHANGE 2006-2008 </w:t>
      </w:r>
      <w:r>
        <w:rPr>
          <w:rFonts w:ascii="Arial" w:cs="Arial" w:eastAsia="Arial" w:hAnsi="Arial"/>
          <w:sz w:val="12"/>
          <w:szCs w:val="12"/>
          <w:i w:val="1"/>
          <w:iCs w:val="1"/>
          <w:color w:val="auto"/>
        </w:rPr>
        <w:t>(Volumes in billion cubic feet, dollars in millions)</w:t>
      </w:r>
    </w:p>
    <w:p>
      <w:pPr>
        <w:spacing w:after="0" w:line="18" w:lineRule="exact"/>
        <w:rPr>
          <w:sz w:val="20"/>
          <w:szCs w:val="20"/>
          <w:color w:val="auto"/>
        </w:rPr>
      </w:pPr>
    </w:p>
    <w:tbl>
      <w:tblPr>
        <w:tblLayout w:type="fixed"/>
        <w:tblInd w:w="1644" w:type="dxa"/>
        <w:tblCellMar>
          <w:top w:w="0" w:type="dxa"/>
          <w:left w:w="0" w:type="dxa"/>
          <w:bottom w:w="0" w:type="dxa"/>
          <w:right w:w="0" w:type="dxa"/>
        </w:tblCellMar>
      </w:tblPr>
      <w:tr>
        <w:trPr>
          <w:trHeight w:val="154"/>
        </w:trPr>
        <w:tc>
          <w:tcPr>
            <w:tcW w:w="22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440" w:type="dxa"/>
            <w:vAlign w:val="bottom"/>
            <w:gridSpan w:val="2"/>
          </w:tcPr>
          <w:p>
            <w:pPr>
              <w:jc w:val="right"/>
              <w:ind w:right="49"/>
              <w:spacing w:after="0"/>
              <w:rPr>
                <w:sz w:val="20"/>
                <w:szCs w:val="20"/>
                <w:color w:val="auto"/>
              </w:rPr>
            </w:pPr>
            <w:r>
              <w:rPr>
                <w:rFonts w:ascii="Arial" w:cs="Arial" w:eastAsia="Arial" w:hAnsi="Arial"/>
                <w:sz w:val="13"/>
                <w:szCs w:val="13"/>
                <w:color w:val="auto"/>
              </w:rPr>
              <w:t>Transportation</w:t>
            </w:r>
          </w:p>
        </w:tc>
        <w:tc>
          <w:tcPr>
            <w:tcW w:w="6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60" w:type="dxa"/>
            <w:vAlign w:val="bottom"/>
          </w:tcPr>
          <w:p>
            <w:pPr>
              <w:spacing w:after="0"/>
              <w:rPr>
                <w:sz w:val="13"/>
                <w:szCs w:val="13"/>
                <w:color w:val="auto"/>
              </w:rPr>
            </w:pPr>
          </w:p>
        </w:tc>
      </w:tr>
      <w:tr>
        <w:trPr>
          <w:trHeight w:val="221"/>
        </w:trPr>
        <w:tc>
          <w:tcPr>
            <w:tcW w:w="2280" w:type="dxa"/>
            <w:vAlign w:val="bottom"/>
          </w:tcPr>
          <w:p>
            <w:pPr>
              <w:spacing w:after="0"/>
              <w:rPr>
                <w:sz w:val="19"/>
                <w:szCs w:val="19"/>
                <w:color w:val="auto"/>
              </w:rPr>
            </w:pPr>
          </w:p>
        </w:tc>
        <w:tc>
          <w:tcPr>
            <w:tcW w:w="2040" w:type="dxa"/>
            <w:vAlign w:val="bottom"/>
            <w:tcBorders>
              <w:bottom w:val="single" w:sz="8" w:color="auto"/>
            </w:tcBorders>
            <w:gridSpan w:val="3"/>
          </w:tcPr>
          <w:p>
            <w:pPr>
              <w:jc w:val="right"/>
              <w:ind w:right="428"/>
              <w:spacing w:after="0"/>
              <w:rPr>
                <w:sz w:val="20"/>
                <w:szCs w:val="20"/>
                <w:color w:val="auto"/>
              </w:rPr>
            </w:pPr>
            <w:r>
              <w:rPr>
                <w:rFonts w:ascii="Arial" w:cs="Arial" w:eastAsia="Arial" w:hAnsi="Arial"/>
                <w:sz w:val="13"/>
                <w:szCs w:val="13"/>
                <w:color w:val="auto"/>
              </w:rPr>
              <w:t>Natural Gas Sales</w:t>
            </w:r>
          </w:p>
        </w:tc>
        <w:tc>
          <w:tcPr>
            <w:tcW w:w="1440" w:type="dxa"/>
            <w:vAlign w:val="bottom"/>
            <w:tcBorders>
              <w:bottom w:val="single" w:sz="8" w:color="auto"/>
            </w:tcBorders>
            <w:gridSpan w:val="2"/>
          </w:tcPr>
          <w:p>
            <w:pPr>
              <w:jc w:val="right"/>
              <w:ind w:right="9"/>
              <w:spacing w:after="0"/>
              <w:rPr>
                <w:sz w:val="20"/>
                <w:szCs w:val="20"/>
                <w:color w:val="auto"/>
              </w:rPr>
            </w:pPr>
            <w:r>
              <w:rPr>
                <w:rFonts w:ascii="Arial" w:cs="Arial" w:eastAsia="Arial" w:hAnsi="Arial"/>
                <w:sz w:val="13"/>
                <w:szCs w:val="13"/>
                <w:color w:val="auto"/>
              </w:rPr>
              <w:t>and Exchange</w:t>
            </w:r>
          </w:p>
        </w:tc>
        <w:tc>
          <w:tcPr>
            <w:tcW w:w="6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gridSpan w:val="2"/>
          </w:tcPr>
          <w:p>
            <w:pPr>
              <w:jc w:val="right"/>
              <w:ind w:right="176"/>
              <w:spacing w:after="0"/>
              <w:rPr>
                <w:sz w:val="20"/>
                <w:szCs w:val="20"/>
                <w:color w:val="auto"/>
              </w:rPr>
            </w:pPr>
            <w:r>
              <w:rPr>
                <w:rFonts w:ascii="Arial" w:cs="Arial" w:eastAsia="Arial" w:hAnsi="Arial"/>
                <w:sz w:val="13"/>
                <w:szCs w:val="13"/>
                <w:color w:val="auto"/>
                <w:w w:val="89"/>
              </w:rPr>
              <w:t>Total</w:t>
            </w:r>
          </w:p>
        </w:tc>
        <w:tc>
          <w:tcPr>
            <w:tcW w:w="460" w:type="dxa"/>
            <w:vAlign w:val="bottom"/>
            <w:tcBorders>
              <w:bottom w:val="single" w:sz="8" w:color="auto"/>
            </w:tcBorders>
          </w:tcPr>
          <w:p>
            <w:pPr>
              <w:spacing w:after="0"/>
              <w:rPr>
                <w:sz w:val="19"/>
                <w:szCs w:val="19"/>
                <w:color w:val="auto"/>
              </w:rPr>
            </w:pPr>
          </w:p>
        </w:tc>
      </w:tr>
      <w:tr>
        <w:trPr>
          <w:trHeight w:val="172"/>
        </w:trPr>
        <w:tc>
          <w:tcPr>
            <w:tcW w:w="228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Customer Class</w:t>
            </w:r>
          </w:p>
        </w:tc>
        <w:tc>
          <w:tcPr>
            <w:tcW w:w="940" w:type="dxa"/>
            <w:vAlign w:val="bottom"/>
            <w:tcBorders>
              <w:bottom w:val="single" w:sz="8" w:color="auto"/>
            </w:tcBorders>
          </w:tcPr>
          <w:p>
            <w:pPr>
              <w:jc w:val="right"/>
              <w:ind w:right="89"/>
              <w:spacing w:after="0"/>
              <w:rPr>
                <w:sz w:val="20"/>
                <w:szCs w:val="20"/>
                <w:color w:val="auto"/>
              </w:rPr>
            </w:pPr>
            <w:r>
              <w:rPr>
                <w:rFonts w:ascii="Arial" w:cs="Arial" w:eastAsia="Arial" w:hAnsi="Arial"/>
                <w:sz w:val="13"/>
                <w:szCs w:val="13"/>
                <w:color w:val="auto"/>
              </w:rPr>
              <w:t>Volumes</w:t>
            </w:r>
          </w:p>
        </w:tc>
        <w:tc>
          <w:tcPr>
            <w:tcW w:w="3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188"/>
              <w:spacing w:after="0"/>
              <w:rPr>
                <w:sz w:val="20"/>
                <w:szCs w:val="20"/>
                <w:color w:val="auto"/>
              </w:rPr>
            </w:pPr>
            <w:r>
              <w:rPr>
                <w:rFonts w:ascii="Arial" w:cs="Arial" w:eastAsia="Arial" w:hAnsi="Arial"/>
                <w:sz w:val="13"/>
                <w:szCs w:val="13"/>
                <w:color w:val="auto"/>
                <w:w w:val="99"/>
              </w:rPr>
              <w:t>Revenue</w:t>
            </w:r>
          </w:p>
        </w:tc>
        <w:tc>
          <w:tcPr>
            <w:tcW w:w="940" w:type="dxa"/>
            <w:vAlign w:val="bottom"/>
            <w:tcBorders>
              <w:bottom w:val="single" w:sz="8" w:color="auto"/>
            </w:tcBorders>
          </w:tcPr>
          <w:p>
            <w:pPr>
              <w:jc w:val="right"/>
              <w:ind w:right="109"/>
              <w:spacing w:after="0"/>
              <w:rPr>
                <w:sz w:val="20"/>
                <w:szCs w:val="20"/>
                <w:color w:val="auto"/>
              </w:rPr>
            </w:pPr>
            <w:r>
              <w:rPr>
                <w:rFonts w:ascii="Arial" w:cs="Arial" w:eastAsia="Arial" w:hAnsi="Arial"/>
                <w:sz w:val="13"/>
                <w:szCs w:val="13"/>
                <w:color w:val="auto"/>
              </w:rPr>
              <w:t>Volumes</w:t>
            </w:r>
          </w:p>
        </w:tc>
        <w:tc>
          <w:tcPr>
            <w:tcW w:w="1140" w:type="dxa"/>
            <w:vAlign w:val="bottom"/>
            <w:tcBorders>
              <w:bottom w:val="single" w:sz="8" w:color="auto"/>
            </w:tcBorders>
            <w:gridSpan w:val="2"/>
          </w:tcPr>
          <w:p>
            <w:pPr>
              <w:jc w:val="right"/>
              <w:ind w:right="208"/>
              <w:spacing w:after="0"/>
              <w:rPr>
                <w:sz w:val="20"/>
                <w:szCs w:val="20"/>
                <w:color w:val="auto"/>
              </w:rPr>
            </w:pPr>
            <w:r>
              <w:rPr>
                <w:rFonts w:ascii="Arial" w:cs="Arial" w:eastAsia="Arial" w:hAnsi="Arial"/>
                <w:sz w:val="13"/>
                <w:szCs w:val="13"/>
                <w:color w:val="auto"/>
              </w:rPr>
              <w:t>Revenue</w:t>
            </w:r>
          </w:p>
        </w:tc>
        <w:tc>
          <w:tcPr>
            <w:tcW w:w="780" w:type="dxa"/>
            <w:vAlign w:val="bottom"/>
            <w:tcBorders>
              <w:bottom w:val="single" w:sz="8" w:color="auto"/>
            </w:tcBorders>
          </w:tcPr>
          <w:p>
            <w:pPr>
              <w:jc w:val="center"/>
              <w:ind w:left="188"/>
              <w:spacing w:after="0"/>
              <w:rPr>
                <w:sz w:val="20"/>
                <w:szCs w:val="20"/>
                <w:color w:val="auto"/>
              </w:rPr>
            </w:pPr>
            <w:r>
              <w:rPr>
                <w:rFonts w:ascii="Arial" w:cs="Arial" w:eastAsia="Arial" w:hAnsi="Arial"/>
                <w:sz w:val="13"/>
                <w:szCs w:val="13"/>
                <w:color w:val="auto"/>
                <w:w w:val="94"/>
              </w:rPr>
              <w:t>Volumes</w:t>
            </w:r>
          </w:p>
        </w:tc>
        <w:tc>
          <w:tcPr>
            <w:tcW w:w="3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color w:val="auto"/>
              </w:rPr>
              <w:t>Revenue</w:t>
            </w:r>
          </w:p>
        </w:tc>
      </w:tr>
      <w:tr>
        <w:trPr>
          <w:trHeight w:val="207"/>
        </w:trPr>
        <w:tc>
          <w:tcPr>
            <w:tcW w:w="2280" w:type="dxa"/>
            <w:vAlign w:val="bottom"/>
          </w:tcPr>
          <w:p>
            <w:pPr>
              <w:spacing w:after="0"/>
              <w:rPr>
                <w:sz w:val="20"/>
                <w:szCs w:val="20"/>
                <w:color w:val="auto"/>
              </w:rPr>
            </w:pPr>
            <w:r>
              <w:rPr>
                <w:rFonts w:ascii="Arial" w:cs="Arial" w:eastAsia="Arial" w:hAnsi="Arial"/>
                <w:sz w:val="14"/>
                <w:szCs w:val="14"/>
                <w:color w:val="auto"/>
              </w:rPr>
              <w:t>2008:</w:t>
            </w:r>
          </w:p>
        </w:tc>
        <w:tc>
          <w:tcPr>
            <w:tcW w:w="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r>
      <w:tr>
        <w:trPr>
          <w:trHeight w:val="216"/>
        </w:trPr>
        <w:tc>
          <w:tcPr>
            <w:tcW w:w="2280" w:type="dxa"/>
            <w:vAlign w:val="bottom"/>
          </w:tcPr>
          <w:p>
            <w:pPr>
              <w:ind w:left="320"/>
              <w:spacing w:after="0"/>
              <w:rPr>
                <w:sz w:val="20"/>
                <w:szCs w:val="20"/>
                <w:color w:val="auto"/>
              </w:rPr>
            </w:pPr>
            <w:r>
              <w:rPr>
                <w:rFonts w:ascii="Arial" w:cs="Arial" w:eastAsia="Arial" w:hAnsi="Arial"/>
                <w:sz w:val="14"/>
                <w:szCs w:val="14"/>
                <w:color w:val="auto"/>
              </w:rPr>
              <w:t>Residential</w:t>
            </w:r>
          </w:p>
        </w:tc>
        <w:tc>
          <w:tcPr>
            <w:tcW w:w="940" w:type="dxa"/>
            <w:vAlign w:val="bottom"/>
          </w:tcPr>
          <w:p>
            <w:pPr>
              <w:jc w:val="right"/>
              <w:ind w:right="89"/>
              <w:spacing w:after="0"/>
              <w:rPr>
                <w:sz w:val="20"/>
                <w:szCs w:val="20"/>
                <w:color w:val="auto"/>
              </w:rPr>
            </w:pPr>
            <w:r>
              <w:rPr>
                <w:rFonts w:ascii="Arial" w:cs="Arial" w:eastAsia="Arial" w:hAnsi="Arial"/>
                <w:sz w:val="14"/>
                <w:szCs w:val="14"/>
                <w:color w:val="auto"/>
              </w:rPr>
              <w:t>240</w:t>
            </w:r>
          </w:p>
        </w:tc>
        <w:tc>
          <w:tcPr>
            <w:tcW w:w="30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228"/>
              <w:spacing w:after="0"/>
              <w:rPr>
                <w:sz w:val="20"/>
                <w:szCs w:val="20"/>
                <w:color w:val="auto"/>
              </w:rPr>
            </w:pPr>
            <w:r>
              <w:rPr>
                <w:rFonts w:ascii="Arial" w:cs="Arial" w:eastAsia="Arial" w:hAnsi="Arial"/>
                <w:sz w:val="14"/>
                <w:szCs w:val="14"/>
                <w:color w:val="auto"/>
              </w:rPr>
              <w:t>2,957</w:t>
            </w:r>
          </w:p>
        </w:tc>
        <w:tc>
          <w:tcPr>
            <w:tcW w:w="940" w:type="dxa"/>
            <w:vAlign w:val="bottom"/>
          </w:tcPr>
          <w:p>
            <w:pPr>
              <w:jc w:val="right"/>
              <w:ind w:right="209"/>
              <w:spacing w:after="0"/>
              <w:rPr>
                <w:sz w:val="20"/>
                <w:szCs w:val="20"/>
                <w:color w:val="auto"/>
              </w:rPr>
            </w:pPr>
            <w:r>
              <w:rPr>
                <w:rFonts w:ascii="Arial" w:cs="Arial" w:eastAsia="Arial" w:hAnsi="Arial"/>
                <w:sz w:val="14"/>
                <w:szCs w:val="14"/>
                <w:color w:val="auto"/>
              </w:rPr>
              <w:t>1</w:t>
            </w:r>
          </w:p>
        </w:tc>
        <w:tc>
          <w:tcPr>
            <w:tcW w:w="500" w:type="dxa"/>
            <w:vAlign w:val="bottom"/>
          </w:tcPr>
          <w:p>
            <w:pPr>
              <w:jc w:val="right"/>
              <w:ind w:right="169"/>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248"/>
              <w:spacing w:after="0"/>
              <w:rPr>
                <w:sz w:val="20"/>
                <w:szCs w:val="20"/>
                <w:color w:val="auto"/>
              </w:rPr>
            </w:pPr>
            <w:r>
              <w:rPr>
                <w:rFonts w:ascii="Arial" w:cs="Arial" w:eastAsia="Arial" w:hAnsi="Arial"/>
                <w:sz w:val="14"/>
                <w:szCs w:val="14"/>
                <w:color w:val="auto"/>
              </w:rPr>
              <w:t>4</w:t>
            </w:r>
          </w:p>
        </w:tc>
        <w:tc>
          <w:tcPr>
            <w:tcW w:w="780" w:type="dxa"/>
            <w:vAlign w:val="bottom"/>
          </w:tcPr>
          <w:p>
            <w:pPr>
              <w:jc w:val="center"/>
              <w:ind w:left="188"/>
              <w:spacing w:after="0"/>
              <w:rPr>
                <w:sz w:val="20"/>
                <w:szCs w:val="20"/>
                <w:color w:val="auto"/>
              </w:rPr>
            </w:pPr>
            <w:r>
              <w:rPr>
                <w:rFonts w:ascii="Arial" w:cs="Arial" w:eastAsia="Arial" w:hAnsi="Arial"/>
                <w:sz w:val="14"/>
                <w:szCs w:val="14"/>
                <w:color w:val="auto"/>
              </w:rPr>
              <w:t>241</w:t>
            </w:r>
          </w:p>
        </w:tc>
        <w:tc>
          <w:tcPr>
            <w:tcW w:w="5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460" w:type="dxa"/>
            <w:vAlign w:val="bottom"/>
          </w:tcPr>
          <w:p>
            <w:pPr>
              <w:jc w:val="right"/>
              <w:spacing w:after="0"/>
              <w:rPr>
                <w:sz w:val="20"/>
                <w:szCs w:val="20"/>
                <w:color w:val="auto"/>
              </w:rPr>
            </w:pPr>
            <w:r>
              <w:rPr>
                <w:rFonts w:ascii="Arial" w:cs="Arial" w:eastAsia="Arial" w:hAnsi="Arial"/>
                <w:sz w:val="14"/>
                <w:szCs w:val="14"/>
                <w:color w:val="auto"/>
              </w:rPr>
              <w:t>2,961</w:t>
            </w:r>
          </w:p>
        </w:tc>
      </w:tr>
      <w:tr>
        <w:trPr>
          <w:trHeight w:val="216"/>
        </w:trPr>
        <w:tc>
          <w:tcPr>
            <w:tcW w:w="2280" w:type="dxa"/>
            <w:vAlign w:val="bottom"/>
          </w:tcPr>
          <w:p>
            <w:pPr>
              <w:ind w:left="320"/>
              <w:spacing w:after="0"/>
              <w:rPr>
                <w:sz w:val="20"/>
                <w:szCs w:val="20"/>
                <w:color w:val="auto"/>
              </w:rPr>
            </w:pPr>
            <w:r>
              <w:rPr>
                <w:rFonts w:ascii="Arial" w:cs="Arial" w:eastAsia="Arial" w:hAnsi="Arial"/>
                <w:sz w:val="14"/>
                <w:szCs w:val="14"/>
                <w:color w:val="auto"/>
              </w:rPr>
              <w:t>Commercial and industrial</w:t>
            </w:r>
          </w:p>
        </w:tc>
        <w:tc>
          <w:tcPr>
            <w:tcW w:w="940" w:type="dxa"/>
            <w:vAlign w:val="bottom"/>
          </w:tcPr>
          <w:p>
            <w:pPr>
              <w:jc w:val="right"/>
              <w:ind w:right="89"/>
              <w:spacing w:after="0"/>
              <w:rPr>
                <w:sz w:val="20"/>
                <w:szCs w:val="20"/>
                <w:color w:val="auto"/>
              </w:rPr>
            </w:pPr>
            <w:r>
              <w:rPr>
                <w:rFonts w:ascii="Arial" w:cs="Arial" w:eastAsia="Arial" w:hAnsi="Arial"/>
                <w:sz w:val="14"/>
                <w:szCs w:val="14"/>
                <w:color w:val="auto"/>
              </w:rPr>
              <w:t>104</w:t>
            </w:r>
          </w:p>
        </w:tc>
        <w:tc>
          <w:tcPr>
            <w:tcW w:w="300" w:type="dxa"/>
            <w:vAlign w:val="bottom"/>
          </w:tcPr>
          <w:p>
            <w:pPr>
              <w:spacing w:after="0"/>
              <w:rPr>
                <w:sz w:val="18"/>
                <w:szCs w:val="18"/>
                <w:color w:val="auto"/>
              </w:rPr>
            </w:pPr>
          </w:p>
        </w:tc>
        <w:tc>
          <w:tcPr>
            <w:tcW w:w="800" w:type="dxa"/>
            <w:vAlign w:val="bottom"/>
          </w:tcPr>
          <w:p>
            <w:pPr>
              <w:jc w:val="right"/>
              <w:ind w:right="228"/>
              <w:spacing w:after="0"/>
              <w:rPr>
                <w:sz w:val="20"/>
                <w:szCs w:val="20"/>
                <w:color w:val="auto"/>
              </w:rPr>
            </w:pPr>
            <w:r>
              <w:rPr>
                <w:rFonts w:ascii="Arial" w:cs="Arial" w:eastAsia="Arial" w:hAnsi="Arial"/>
                <w:sz w:val="14"/>
                <w:szCs w:val="14"/>
                <w:color w:val="auto"/>
              </w:rPr>
              <w:t>1,144</w:t>
            </w:r>
          </w:p>
        </w:tc>
        <w:tc>
          <w:tcPr>
            <w:tcW w:w="940" w:type="dxa"/>
            <w:vAlign w:val="bottom"/>
          </w:tcPr>
          <w:p>
            <w:pPr>
              <w:jc w:val="right"/>
              <w:ind w:right="209"/>
              <w:spacing w:after="0"/>
              <w:rPr>
                <w:sz w:val="20"/>
                <w:szCs w:val="20"/>
                <w:color w:val="auto"/>
              </w:rPr>
            </w:pPr>
            <w:r>
              <w:rPr>
                <w:rFonts w:ascii="Arial" w:cs="Arial" w:eastAsia="Arial" w:hAnsi="Arial"/>
                <w:sz w:val="14"/>
                <w:szCs w:val="14"/>
                <w:color w:val="auto"/>
              </w:rPr>
              <w:t>275</w:t>
            </w:r>
          </w:p>
        </w:tc>
        <w:tc>
          <w:tcPr>
            <w:tcW w:w="500" w:type="dxa"/>
            <w:vAlign w:val="bottom"/>
          </w:tcPr>
          <w:p>
            <w:pPr>
              <w:spacing w:after="0"/>
              <w:rPr>
                <w:sz w:val="18"/>
                <w:szCs w:val="18"/>
                <w:color w:val="auto"/>
              </w:rPr>
            </w:pPr>
          </w:p>
        </w:tc>
        <w:tc>
          <w:tcPr>
            <w:tcW w:w="640" w:type="dxa"/>
            <w:vAlign w:val="bottom"/>
          </w:tcPr>
          <w:p>
            <w:pPr>
              <w:jc w:val="right"/>
              <w:ind w:right="248"/>
              <w:spacing w:after="0"/>
              <w:rPr>
                <w:sz w:val="20"/>
                <w:szCs w:val="20"/>
                <w:color w:val="auto"/>
              </w:rPr>
            </w:pPr>
            <w:r>
              <w:rPr>
                <w:rFonts w:ascii="Arial" w:cs="Arial" w:eastAsia="Arial" w:hAnsi="Arial"/>
                <w:sz w:val="14"/>
                <w:szCs w:val="14"/>
                <w:color w:val="auto"/>
              </w:rPr>
              <w:t>189</w:t>
            </w:r>
          </w:p>
        </w:tc>
        <w:tc>
          <w:tcPr>
            <w:tcW w:w="780" w:type="dxa"/>
            <w:vAlign w:val="bottom"/>
          </w:tcPr>
          <w:p>
            <w:pPr>
              <w:jc w:val="center"/>
              <w:ind w:left="188"/>
              <w:spacing w:after="0"/>
              <w:rPr>
                <w:sz w:val="20"/>
                <w:szCs w:val="20"/>
                <w:color w:val="auto"/>
              </w:rPr>
            </w:pPr>
            <w:r>
              <w:rPr>
                <w:rFonts w:ascii="Arial" w:cs="Arial" w:eastAsia="Arial" w:hAnsi="Arial"/>
                <w:sz w:val="14"/>
                <w:szCs w:val="14"/>
                <w:color w:val="auto"/>
              </w:rPr>
              <w:t>379</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1,333</w:t>
            </w:r>
          </w:p>
        </w:tc>
      </w:tr>
      <w:tr>
        <w:trPr>
          <w:trHeight w:val="216"/>
        </w:trPr>
        <w:tc>
          <w:tcPr>
            <w:tcW w:w="2280" w:type="dxa"/>
            <w:vAlign w:val="bottom"/>
          </w:tcPr>
          <w:p>
            <w:pPr>
              <w:ind w:left="320"/>
              <w:spacing w:after="0"/>
              <w:rPr>
                <w:sz w:val="20"/>
                <w:szCs w:val="20"/>
                <w:color w:val="auto"/>
              </w:rPr>
            </w:pPr>
            <w:r>
              <w:rPr>
                <w:rFonts w:ascii="Arial" w:cs="Arial" w:eastAsia="Arial" w:hAnsi="Arial"/>
                <w:sz w:val="14"/>
                <w:szCs w:val="14"/>
                <w:color w:val="auto"/>
              </w:rPr>
              <w:t>Electric generation plants</w:t>
            </w:r>
          </w:p>
        </w:tc>
        <w:tc>
          <w:tcPr>
            <w:tcW w:w="94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8"/>
                <w:szCs w:val="18"/>
                <w:color w:val="auto"/>
              </w:rPr>
            </w:pPr>
          </w:p>
        </w:tc>
        <w:tc>
          <w:tcPr>
            <w:tcW w:w="80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209"/>
              <w:spacing w:after="0"/>
              <w:rPr>
                <w:sz w:val="20"/>
                <w:szCs w:val="20"/>
                <w:color w:val="auto"/>
              </w:rPr>
            </w:pPr>
            <w:r>
              <w:rPr>
                <w:rFonts w:ascii="Arial" w:cs="Arial" w:eastAsia="Arial" w:hAnsi="Arial"/>
                <w:sz w:val="14"/>
                <w:szCs w:val="14"/>
                <w:color w:val="auto"/>
              </w:rPr>
              <w:t>232</w:t>
            </w:r>
          </w:p>
        </w:tc>
        <w:tc>
          <w:tcPr>
            <w:tcW w:w="500" w:type="dxa"/>
            <w:vAlign w:val="bottom"/>
          </w:tcPr>
          <w:p>
            <w:pPr>
              <w:spacing w:after="0"/>
              <w:rPr>
                <w:sz w:val="18"/>
                <w:szCs w:val="18"/>
                <w:color w:val="auto"/>
              </w:rPr>
            </w:pPr>
          </w:p>
        </w:tc>
        <w:tc>
          <w:tcPr>
            <w:tcW w:w="640" w:type="dxa"/>
            <w:vAlign w:val="bottom"/>
          </w:tcPr>
          <w:p>
            <w:pPr>
              <w:jc w:val="right"/>
              <w:ind w:right="248"/>
              <w:spacing w:after="0"/>
              <w:rPr>
                <w:sz w:val="20"/>
                <w:szCs w:val="20"/>
                <w:color w:val="auto"/>
              </w:rPr>
            </w:pPr>
            <w:r>
              <w:rPr>
                <w:rFonts w:ascii="Arial" w:cs="Arial" w:eastAsia="Arial" w:hAnsi="Arial"/>
                <w:sz w:val="14"/>
                <w:szCs w:val="14"/>
                <w:color w:val="auto"/>
              </w:rPr>
              <w:t>80</w:t>
            </w:r>
          </w:p>
        </w:tc>
        <w:tc>
          <w:tcPr>
            <w:tcW w:w="780" w:type="dxa"/>
            <w:vAlign w:val="bottom"/>
          </w:tcPr>
          <w:p>
            <w:pPr>
              <w:jc w:val="center"/>
              <w:ind w:left="188"/>
              <w:spacing w:after="0"/>
              <w:rPr>
                <w:sz w:val="20"/>
                <w:szCs w:val="20"/>
                <w:color w:val="auto"/>
              </w:rPr>
            </w:pPr>
            <w:r>
              <w:rPr>
                <w:rFonts w:ascii="Arial" w:cs="Arial" w:eastAsia="Arial" w:hAnsi="Arial"/>
                <w:sz w:val="14"/>
                <w:szCs w:val="14"/>
                <w:color w:val="auto"/>
              </w:rPr>
              <w:t>232</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80</w:t>
            </w:r>
          </w:p>
        </w:tc>
      </w:tr>
      <w:tr>
        <w:trPr>
          <w:trHeight w:val="222"/>
        </w:trPr>
        <w:tc>
          <w:tcPr>
            <w:tcW w:w="2280" w:type="dxa"/>
            <w:vAlign w:val="bottom"/>
          </w:tcPr>
          <w:p>
            <w:pPr>
              <w:ind w:left="320"/>
              <w:spacing w:after="0"/>
              <w:rPr>
                <w:sz w:val="20"/>
                <w:szCs w:val="20"/>
                <w:color w:val="auto"/>
              </w:rPr>
            </w:pPr>
            <w:r>
              <w:rPr>
                <w:rFonts w:ascii="Arial" w:cs="Arial" w:eastAsia="Arial" w:hAnsi="Arial"/>
                <w:sz w:val="14"/>
                <w:szCs w:val="14"/>
                <w:color w:val="auto"/>
              </w:rPr>
              <w:t>Wholesale</w:t>
            </w:r>
          </w:p>
        </w:tc>
        <w:tc>
          <w:tcPr>
            <w:tcW w:w="94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ind w:right="209"/>
              <w:spacing w:after="0"/>
              <w:rPr>
                <w:sz w:val="20"/>
                <w:szCs w:val="20"/>
                <w:color w:val="auto"/>
              </w:rPr>
            </w:pPr>
            <w:r>
              <w:rPr>
                <w:rFonts w:ascii="Arial" w:cs="Arial" w:eastAsia="Arial" w:hAnsi="Arial"/>
                <w:sz w:val="14"/>
                <w:szCs w:val="14"/>
                <w:color w:val="auto"/>
              </w:rPr>
              <w:t>146</w:t>
            </w:r>
          </w:p>
        </w:tc>
        <w:tc>
          <w:tcPr>
            <w:tcW w:w="5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22</w:t>
            </w:r>
          </w:p>
        </w:tc>
        <w:tc>
          <w:tcPr>
            <w:tcW w:w="780" w:type="dxa"/>
            <w:vAlign w:val="bottom"/>
            <w:tcBorders>
              <w:bottom w:val="single" w:sz="8" w:color="auto"/>
            </w:tcBorders>
          </w:tcPr>
          <w:p>
            <w:pPr>
              <w:jc w:val="center"/>
              <w:ind w:left="188"/>
              <w:spacing w:after="0"/>
              <w:rPr>
                <w:sz w:val="20"/>
                <w:szCs w:val="20"/>
                <w:color w:val="auto"/>
              </w:rPr>
            </w:pPr>
            <w:r>
              <w:rPr>
                <w:rFonts w:ascii="Arial" w:cs="Arial" w:eastAsia="Arial" w:hAnsi="Arial"/>
                <w:sz w:val="14"/>
                <w:szCs w:val="14"/>
                <w:color w:val="auto"/>
              </w:rPr>
              <w:t>146</w:t>
            </w:r>
          </w:p>
        </w:tc>
        <w:tc>
          <w:tcPr>
            <w:tcW w:w="3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w:t>
            </w:r>
          </w:p>
        </w:tc>
      </w:tr>
      <w:tr>
        <w:trPr>
          <w:trHeight w:val="202"/>
        </w:trPr>
        <w:tc>
          <w:tcPr>
            <w:tcW w:w="2280" w:type="dxa"/>
            <w:vAlign w:val="bottom"/>
          </w:tcPr>
          <w:p>
            <w:pPr>
              <w:spacing w:after="0"/>
              <w:rPr>
                <w:sz w:val="17"/>
                <w:szCs w:val="17"/>
                <w:color w:val="auto"/>
              </w:rPr>
            </w:pPr>
          </w:p>
        </w:tc>
        <w:tc>
          <w:tcPr>
            <w:tcW w:w="940" w:type="dxa"/>
            <w:vAlign w:val="bottom"/>
          </w:tcPr>
          <w:p>
            <w:pPr>
              <w:jc w:val="right"/>
              <w:ind w:right="89"/>
              <w:spacing w:after="0"/>
              <w:rPr>
                <w:sz w:val="20"/>
                <w:szCs w:val="20"/>
                <w:color w:val="auto"/>
              </w:rPr>
            </w:pPr>
            <w:r>
              <w:rPr>
                <w:rFonts w:ascii="Arial" w:cs="Arial" w:eastAsia="Arial" w:hAnsi="Arial"/>
                <w:sz w:val="14"/>
                <w:szCs w:val="14"/>
                <w:color w:val="auto"/>
              </w:rPr>
              <w:t>344</w:t>
            </w:r>
          </w:p>
        </w:tc>
        <w:tc>
          <w:tcPr>
            <w:tcW w:w="30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228"/>
              <w:spacing w:after="0"/>
              <w:rPr>
                <w:sz w:val="20"/>
                <w:szCs w:val="20"/>
                <w:color w:val="auto"/>
              </w:rPr>
            </w:pPr>
            <w:r>
              <w:rPr>
                <w:rFonts w:ascii="Arial" w:cs="Arial" w:eastAsia="Arial" w:hAnsi="Arial"/>
                <w:sz w:val="14"/>
                <w:szCs w:val="14"/>
                <w:color w:val="auto"/>
              </w:rPr>
              <w:t>4,101</w:t>
            </w:r>
          </w:p>
        </w:tc>
        <w:tc>
          <w:tcPr>
            <w:tcW w:w="940" w:type="dxa"/>
            <w:vAlign w:val="bottom"/>
          </w:tcPr>
          <w:p>
            <w:pPr>
              <w:jc w:val="right"/>
              <w:ind w:right="209"/>
              <w:spacing w:after="0"/>
              <w:rPr>
                <w:sz w:val="20"/>
                <w:szCs w:val="20"/>
                <w:color w:val="auto"/>
              </w:rPr>
            </w:pPr>
            <w:r>
              <w:rPr>
                <w:rFonts w:ascii="Arial" w:cs="Arial" w:eastAsia="Arial" w:hAnsi="Arial"/>
                <w:sz w:val="14"/>
                <w:szCs w:val="14"/>
                <w:color w:val="auto"/>
              </w:rPr>
              <w:t>654</w:t>
            </w:r>
          </w:p>
        </w:tc>
        <w:tc>
          <w:tcPr>
            <w:tcW w:w="500" w:type="dxa"/>
            <w:vAlign w:val="bottom"/>
          </w:tcPr>
          <w:p>
            <w:pPr>
              <w:jc w:val="right"/>
              <w:ind w:right="169"/>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248"/>
              <w:spacing w:after="0"/>
              <w:rPr>
                <w:sz w:val="20"/>
                <w:szCs w:val="20"/>
                <w:color w:val="auto"/>
              </w:rPr>
            </w:pPr>
            <w:r>
              <w:rPr>
                <w:rFonts w:ascii="Arial" w:cs="Arial" w:eastAsia="Arial" w:hAnsi="Arial"/>
                <w:sz w:val="14"/>
                <w:szCs w:val="14"/>
                <w:color w:val="auto"/>
              </w:rPr>
              <w:t>295</w:t>
            </w:r>
          </w:p>
        </w:tc>
        <w:tc>
          <w:tcPr>
            <w:tcW w:w="780" w:type="dxa"/>
            <w:vAlign w:val="bottom"/>
          </w:tcPr>
          <w:p>
            <w:pPr>
              <w:jc w:val="center"/>
              <w:ind w:left="188"/>
              <w:spacing w:after="0"/>
              <w:rPr>
                <w:sz w:val="20"/>
                <w:szCs w:val="20"/>
                <w:color w:val="auto"/>
              </w:rPr>
            </w:pPr>
            <w:r>
              <w:rPr>
                <w:rFonts w:ascii="Arial" w:cs="Arial" w:eastAsia="Arial" w:hAnsi="Arial"/>
                <w:sz w:val="14"/>
                <w:szCs w:val="14"/>
                <w:color w:val="auto"/>
              </w:rPr>
              <w:t>998</w:t>
            </w: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4,396</w:t>
            </w:r>
          </w:p>
        </w:tc>
      </w:tr>
      <w:tr>
        <w:trPr>
          <w:trHeight w:val="216"/>
        </w:trPr>
        <w:tc>
          <w:tcPr>
            <w:tcW w:w="2280" w:type="dxa"/>
            <w:vAlign w:val="bottom"/>
          </w:tcPr>
          <w:p>
            <w:pPr>
              <w:ind w:left="320"/>
              <w:spacing w:after="0"/>
              <w:rPr>
                <w:sz w:val="20"/>
                <w:szCs w:val="20"/>
                <w:color w:val="auto"/>
              </w:rPr>
            </w:pPr>
            <w:r>
              <w:rPr>
                <w:rFonts w:ascii="Arial" w:cs="Arial" w:eastAsia="Arial" w:hAnsi="Arial"/>
                <w:sz w:val="14"/>
                <w:szCs w:val="14"/>
                <w:color w:val="auto"/>
              </w:rPr>
              <w:t>Other revenues</w:t>
            </w:r>
          </w:p>
        </w:tc>
        <w:tc>
          <w:tcPr>
            <w:tcW w:w="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142</w:t>
            </w:r>
          </w:p>
        </w:tc>
      </w:tr>
      <w:tr>
        <w:trPr>
          <w:trHeight w:val="222"/>
        </w:trPr>
        <w:tc>
          <w:tcPr>
            <w:tcW w:w="2280" w:type="dxa"/>
            <w:vAlign w:val="bottom"/>
          </w:tcPr>
          <w:p>
            <w:pPr>
              <w:ind w:left="320"/>
              <w:spacing w:after="0"/>
              <w:rPr>
                <w:sz w:val="20"/>
                <w:szCs w:val="20"/>
                <w:color w:val="auto"/>
              </w:rPr>
            </w:pPr>
            <w:r>
              <w:rPr>
                <w:rFonts w:ascii="Arial" w:cs="Arial" w:eastAsia="Arial" w:hAnsi="Arial"/>
                <w:sz w:val="14"/>
                <w:szCs w:val="14"/>
                <w:color w:val="auto"/>
              </w:rPr>
              <w:t>Balancing accounts</w:t>
            </w:r>
          </w:p>
        </w:tc>
        <w:tc>
          <w:tcPr>
            <w:tcW w:w="9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230</w:t>
            </w:r>
          </w:p>
        </w:tc>
      </w:tr>
      <w:tr>
        <w:trPr>
          <w:trHeight w:val="224"/>
        </w:trPr>
        <w:tc>
          <w:tcPr>
            <w:tcW w:w="2280" w:type="dxa"/>
            <w:vAlign w:val="bottom"/>
            <w:tcBorders>
              <w:bottom w:val="single" w:sz="8" w:color="auto"/>
            </w:tcBorders>
          </w:tcPr>
          <w:p>
            <w:pPr>
              <w:ind w:left="460"/>
              <w:spacing w:after="0"/>
              <w:rPr>
                <w:sz w:val="20"/>
                <w:szCs w:val="20"/>
                <w:color w:val="auto"/>
              </w:rPr>
            </w:pPr>
            <w:r>
              <w:rPr>
                <w:rFonts w:ascii="Arial" w:cs="Arial" w:eastAsia="Arial" w:hAnsi="Arial"/>
                <w:sz w:val="14"/>
                <w:szCs w:val="14"/>
                <w:color w:val="auto"/>
              </w:rPr>
              <w:t>Total*</w:t>
            </w:r>
          </w:p>
        </w:tc>
        <w:tc>
          <w:tcPr>
            <w:tcW w:w="94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4,768</w:t>
            </w:r>
          </w:p>
        </w:tc>
      </w:tr>
      <w:tr>
        <w:trPr>
          <w:trHeight w:val="210"/>
        </w:trPr>
        <w:tc>
          <w:tcPr>
            <w:tcW w:w="2280" w:type="dxa"/>
            <w:vAlign w:val="bottom"/>
          </w:tcPr>
          <w:p>
            <w:pPr>
              <w:spacing w:after="0"/>
              <w:rPr>
                <w:sz w:val="20"/>
                <w:szCs w:val="20"/>
                <w:color w:val="auto"/>
              </w:rPr>
            </w:pPr>
            <w:r>
              <w:rPr>
                <w:rFonts w:ascii="Arial" w:cs="Arial" w:eastAsia="Arial" w:hAnsi="Arial"/>
                <w:sz w:val="14"/>
                <w:szCs w:val="14"/>
                <w:color w:val="auto"/>
              </w:rPr>
              <w:t>2007:</w:t>
            </w:r>
          </w:p>
        </w:tc>
        <w:tc>
          <w:tcPr>
            <w:tcW w:w="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r>
      <w:tr>
        <w:trPr>
          <w:trHeight w:val="216"/>
        </w:trPr>
        <w:tc>
          <w:tcPr>
            <w:tcW w:w="2280" w:type="dxa"/>
            <w:vAlign w:val="bottom"/>
          </w:tcPr>
          <w:p>
            <w:pPr>
              <w:ind w:left="320"/>
              <w:spacing w:after="0"/>
              <w:rPr>
                <w:sz w:val="20"/>
                <w:szCs w:val="20"/>
                <w:color w:val="auto"/>
              </w:rPr>
            </w:pPr>
            <w:r>
              <w:rPr>
                <w:rFonts w:ascii="Arial" w:cs="Arial" w:eastAsia="Arial" w:hAnsi="Arial"/>
                <w:sz w:val="14"/>
                <w:szCs w:val="14"/>
                <w:color w:val="auto"/>
              </w:rPr>
              <w:t>Residential</w:t>
            </w:r>
          </w:p>
        </w:tc>
        <w:tc>
          <w:tcPr>
            <w:tcW w:w="940" w:type="dxa"/>
            <w:vAlign w:val="bottom"/>
          </w:tcPr>
          <w:p>
            <w:pPr>
              <w:jc w:val="right"/>
              <w:ind w:right="89"/>
              <w:spacing w:after="0"/>
              <w:rPr>
                <w:sz w:val="20"/>
                <w:szCs w:val="20"/>
                <w:color w:val="auto"/>
              </w:rPr>
            </w:pPr>
            <w:r>
              <w:rPr>
                <w:rFonts w:ascii="Arial" w:cs="Arial" w:eastAsia="Arial" w:hAnsi="Arial"/>
                <w:sz w:val="14"/>
                <w:szCs w:val="14"/>
                <w:color w:val="auto"/>
              </w:rPr>
              <w:t>245</w:t>
            </w:r>
          </w:p>
        </w:tc>
        <w:tc>
          <w:tcPr>
            <w:tcW w:w="30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228"/>
              <w:spacing w:after="0"/>
              <w:rPr>
                <w:sz w:val="20"/>
                <w:szCs w:val="20"/>
                <w:color w:val="auto"/>
              </w:rPr>
            </w:pPr>
            <w:r>
              <w:rPr>
                <w:rFonts w:ascii="Arial" w:cs="Arial" w:eastAsia="Arial" w:hAnsi="Arial"/>
                <w:sz w:val="14"/>
                <w:szCs w:val="14"/>
                <w:color w:val="auto"/>
              </w:rPr>
              <w:t>2,660</w:t>
            </w:r>
          </w:p>
        </w:tc>
        <w:tc>
          <w:tcPr>
            <w:tcW w:w="940" w:type="dxa"/>
            <w:vAlign w:val="bottom"/>
          </w:tcPr>
          <w:p>
            <w:pPr>
              <w:jc w:val="right"/>
              <w:ind w:right="209"/>
              <w:spacing w:after="0"/>
              <w:rPr>
                <w:sz w:val="20"/>
                <w:szCs w:val="20"/>
                <w:color w:val="auto"/>
              </w:rPr>
            </w:pPr>
            <w:r>
              <w:rPr>
                <w:rFonts w:ascii="Arial" w:cs="Arial" w:eastAsia="Arial" w:hAnsi="Arial"/>
                <w:sz w:val="14"/>
                <w:szCs w:val="14"/>
                <w:color w:val="auto"/>
              </w:rPr>
              <w:t>1</w:t>
            </w:r>
          </w:p>
        </w:tc>
        <w:tc>
          <w:tcPr>
            <w:tcW w:w="500" w:type="dxa"/>
            <w:vAlign w:val="bottom"/>
          </w:tcPr>
          <w:p>
            <w:pPr>
              <w:jc w:val="right"/>
              <w:ind w:right="169"/>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248"/>
              <w:spacing w:after="0"/>
              <w:rPr>
                <w:sz w:val="20"/>
                <w:szCs w:val="20"/>
                <w:color w:val="auto"/>
              </w:rPr>
            </w:pPr>
            <w:r>
              <w:rPr>
                <w:rFonts w:ascii="Arial" w:cs="Arial" w:eastAsia="Arial" w:hAnsi="Arial"/>
                <w:sz w:val="14"/>
                <w:szCs w:val="14"/>
                <w:color w:val="auto"/>
              </w:rPr>
              <w:t>5</w:t>
            </w:r>
          </w:p>
        </w:tc>
        <w:tc>
          <w:tcPr>
            <w:tcW w:w="780" w:type="dxa"/>
            <w:vAlign w:val="bottom"/>
          </w:tcPr>
          <w:p>
            <w:pPr>
              <w:jc w:val="center"/>
              <w:ind w:left="188"/>
              <w:spacing w:after="0"/>
              <w:rPr>
                <w:sz w:val="20"/>
                <w:szCs w:val="20"/>
                <w:color w:val="auto"/>
              </w:rPr>
            </w:pPr>
            <w:r>
              <w:rPr>
                <w:rFonts w:ascii="Arial" w:cs="Arial" w:eastAsia="Arial" w:hAnsi="Arial"/>
                <w:sz w:val="14"/>
                <w:szCs w:val="14"/>
                <w:color w:val="auto"/>
              </w:rPr>
              <w:t>246</w:t>
            </w:r>
          </w:p>
        </w:tc>
        <w:tc>
          <w:tcPr>
            <w:tcW w:w="5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460" w:type="dxa"/>
            <w:vAlign w:val="bottom"/>
          </w:tcPr>
          <w:p>
            <w:pPr>
              <w:jc w:val="right"/>
              <w:spacing w:after="0"/>
              <w:rPr>
                <w:sz w:val="20"/>
                <w:szCs w:val="20"/>
                <w:color w:val="auto"/>
              </w:rPr>
            </w:pPr>
            <w:r>
              <w:rPr>
                <w:rFonts w:ascii="Arial" w:cs="Arial" w:eastAsia="Arial" w:hAnsi="Arial"/>
                <w:sz w:val="14"/>
                <w:szCs w:val="14"/>
                <w:color w:val="auto"/>
              </w:rPr>
              <w:t>2,665</w:t>
            </w:r>
          </w:p>
        </w:tc>
      </w:tr>
      <w:tr>
        <w:trPr>
          <w:trHeight w:val="216"/>
        </w:trPr>
        <w:tc>
          <w:tcPr>
            <w:tcW w:w="2280" w:type="dxa"/>
            <w:vAlign w:val="bottom"/>
          </w:tcPr>
          <w:p>
            <w:pPr>
              <w:ind w:left="320"/>
              <w:spacing w:after="0"/>
              <w:rPr>
                <w:sz w:val="20"/>
                <w:szCs w:val="20"/>
                <w:color w:val="auto"/>
              </w:rPr>
            </w:pPr>
            <w:r>
              <w:rPr>
                <w:rFonts w:ascii="Arial" w:cs="Arial" w:eastAsia="Arial" w:hAnsi="Arial"/>
                <w:sz w:val="14"/>
                <w:szCs w:val="14"/>
                <w:color w:val="auto"/>
              </w:rPr>
              <w:t>Commercial and industrial</w:t>
            </w:r>
          </w:p>
        </w:tc>
        <w:tc>
          <w:tcPr>
            <w:tcW w:w="940" w:type="dxa"/>
            <w:vAlign w:val="bottom"/>
          </w:tcPr>
          <w:p>
            <w:pPr>
              <w:jc w:val="right"/>
              <w:ind w:right="89"/>
              <w:spacing w:after="0"/>
              <w:rPr>
                <w:sz w:val="20"/>
                <w:szCs w:val="20"/>
                <w:color w:val="auto"/>
              </w:rPr>
            </w:pPr>
            <w:r>
              <w:rPr>
                <w:rFonts w:ascii="Arial" w:cs="Arial" w:eastAsia="Arial" w:hAnsi="Arial"/>
                <w:sz w:val="14"/>
                <w:szCs w:val="14"/>
                <w:color w:val="auto"/>
              </w:rPr>
              <w:t>111</w:t>
            </w:r>
          </w:p>
        </w:tc>
        <w:tc>
          <w:tcPr>
            <w:tcW w:w="300" w:type="dxa"/>
            <w:vAlign w:val="bottom"/>
          </w:tcPr>
          <w:p>
            <w:pPr>
              <w:spacing w:after="0"/>
              <w:rPr>
                <w:sz w:val="18"/>
                <w:szCs w:val="18"/>
                <w:color w:val="auto"/>
              </w:rPr>
            </w:pPr>
          </w:p>
        </w:tc>
        <w:tc>
          <w:tcPr>
            <w:tcW w:w="800" w:type="dxa"/>
            <w:vAlign w:val="bottom"/>
          </w:tcPr>
          <w:p>
            <w:pPr>
              <w:jc w:val="right"/>
              <w:ind w:right="228"/>
              <w:spacing w:after="0"/>
              <w:rPr>
                <w:sz w:val="20"/>
                <w:szCs w:val="20"/>
                <w:color w:val="auto"/>
              </w:rPr>
            </w:pPr>
            <w:r>
              <w:rPr>
                <w:rFonts w:ascii="Arial" w:cs="Arial" w:eastAsia="Arial" w:hAnsi="Arial"/>
                <w:sz w:val="14"/>
                <w:szCs w:val="14"/>
                <w:color w:val="auto"/>
              </w:rPr>
              <w:t>999</w:t>
            </w:r>
          </w:p>
        </w:tc>
        <w:tc>
          <w:tcPr>
            <w:tcW w:w="940" w:type="dxa"/>
            <w:vAlign w:val="bottom"/>
          </w:tcPr>
          <w:p>
            <w:pPr>
              <w:jc w:val="right"/>
              <w:ind w:right="209"/>
              <w:spacing w:after="0"/>
              <w:rPr>
                <w:sz w:val="20"/>
                <w:szCs w:val="20"/>
                <w:color w:val="auto"/>
              </w:rPr>
            </w:pPr>
            <w:r>
              <w:rPr>
                <w:rFonts w:ascii="Arial" w:cs="Arial" w:eastAsia="Arial" w:hAnsi="Arial"/>
                <w:sz w:val="14"/>
                <w:szCs w:val="14"/>
                <w:color w:val="auto"/>
              </w:rPr>
              <w:t>277</w:t>
            </w:r>
          </w:p>
        </w:tc>
        <w:tc>
          <w:tcPr>
            <w:tcW w:w="500" w:type="dxa"/>
            <w:vAlign w:val="bottom"/>
          </w:tcPr>
          <w:p>
            <w:pPr>
              <w:spacing w:after="0"/>
              <w:rPr>
                <w:sz w:val="18"/>
                <w:szCs w:val="18"/>
                <w:color w:val="auto"/>
              </w:rPr>
            </w:pPr>
          </w:p>
        </w:tc>
        <w:tc>
          <w:tcPr>
            <w:tcW w:w="640" w:type="dxa"/>
            <w:vAlign w:val="bottom"/>
          </w:tcPr>
          <w:p>
            <w:pPr>
              <w:jc w:val="right"/>
              <w:ind w:right="248"/>
              <w:spacing w:after="0"/>
              <w:rPr>
                <w:sz w:val="20"/>
                <w:szCs w:val="20"/>
                <w:color w:val="auto"/>
              </w:rPr>
            </w:pPr>
            <w:r>
              <w:rPr>
                <w:rFonts w:ascii="Arial" w:cs="Arial" w:eastAsia="Arial" w:hAnsi="Arial"/>
                <w:sz w:val="14"/>
                <w:szCs w:val="14"/>
                <w:color w:val="auto"/>
              </w:rPr>
              <w:t>208</w:t>
            </w:r>
          </w:p>
        </w:tc>
        <w:tc>
          <w:tcPr>
            <w:tcW w:w="780" w:type="dxa"/>
            <w:vAlign w:val="bottom"/>
          </w:tcPr>
          <w:p>
            <w:pPr>
              <w:jc w:val="center"/>
              <w:ind w:left="188"/>
              <w:spacing w:after="0"/>
              <w:rPr>
                <w:sz w:val="20"/>
                <w:szCs w:val="20"/>
                <w:color w:val="auto"/>
              </w:rPr>
            </w:pPr>
            <w:r>
              <w:rPr>
                <w:rFonts w:ascii="Arial" w:cs="Arial" w:eastAsia="Arial" w:hAnsi="Arial"/>
                <w:sz w:val="14"/>
                <w:szCs w:val="14"/>
                <w:color w:val="auto"/>
              </w:rPr>
              <w:t>388</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1,207</w:t>
            </w:r>
          </w:p>
        </w:tc>
      </w:tr>
      <w:tr>
        <w:trPr>
          <w:trHeight w:val="216"/>
        </w:trPr>
        <w:tc>
          <w:tcPr>
            <w:tcW w:w="2280" w:type="dxa"/>
            <w:vAlign w:val="bottom"/>
          </w:tcPr>
          <w:p>
            <w:pPr>
              <w:ind w:left="320"/>
              <w:spacing w:after="0"/>
              <w:rPr>
                <w:sz w:val="20"/>
                <w:szCs w:val="20"/>
                <w:color w:val="auto"/>
              </w:rPr>
            </w:pPr>
            <w:r>
              <w:rPr>
                <w:rFonts w:ascii="Arial" w:cs="Arial" w:eastAsia="Arial" w:hAnsi="Arial"/>
                <w:sz w:val="14"/>
                <w:szCs w:val="14"/>
                <w:color w:val="auto"/>
              </w:rPr>
              <w:t>Electric generation plants</w:t>
            </w:r>
          </w:p>
        </w:tc>
        <w:tc>
          <w:tcPr>
            <w:tcW w:w="94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8"/>
                <w:szCs w:val="18"/>
                <w:color w:val="auto"/>
              </w:rPr>
            </w:pPr>
          </w:p>
        </w:tc>
        <w:tc>
          <w:tcPr>
            <w:tcW w:w="80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209"/>
              <w:spacing w:after="0"/>
              <w:rPr>
                <w:sz w:val="20"/>
                <w:szCs w:val="20"/>
                <w:color w:val="auto"/>
              </w:rPr>
            </w:pPr>
            <w:r>
              <w:rPr>
                <w:rFonts w:ascii="Arial" w:cs="Arial" w:eastAsia="Arial" w:hAnsi="Arial"/>
                <w:sz w:val="14"/>
                <w:szCs w:val="14"/>
                <w:color w:val="auto"/>
              </w:rPr>
              <w:t>204</w:t>
            </w:r>
          </w:p>
        </w:tc>
        <w:tc>
          <w:tcPr>
            <w:tcW w:w="500" w:type="dxa"/>
            <w:vAlign w:val="bottom"/>
          </w:tcPr>
          <w:p>
            <w:pPr>
              <w:spacing w:after="0"/>
              <w:rPr>
                <w:sz w:val="18"/>
                <w:szCs w:val="18"/>
                <w:color w:val="auto"/>
              </w:rPr>
            </w:pPr>
          </w:p>
        </w:tc>
        <w:tc>
          <w:tcPr>
            <w:tcW w:w="640" w:type="dxa"/>
            <w:vAlign w:val="bottom"/>
          </w:tcPr>
          <w:p>
            <w:pPr>
              <w:jc w:val="right"/>
              <w:ind w:right="248"/>
              <w:spacing w:after="0"/>
              <w:rPr>
                <w:sz w:val="20"/>
                <w:szCs w:val="20"/>
                <w:color w:val="auto"/>
              </w:rPr>
            </w:pPr>
            <w:r>
              <w:rPr>
                <w:rFonts w:ascii="Arial" w:cs="Arial" w:eastAsia="Arial" w:hAnsi="Arial"/>
                <w:sz w:val="14"/>
                <w:szCs w:val="14"/>
                <w:color w:val="auto"/>
              </w:rPr>
              <w:t>72</w:t>
            </w:r>
          </w:p>
        </w:tc>
        <w:tc>
          <w:tcPr>
            <w:tcW w:w="780" w:type="dxa"/>
            <w:vAlign w:val="bottom"/>
          </w:tcPr>
          <w:p>
            <w:pPr>
              <w:jc w:val="center"/>
              <w:ind w:left="188"/>
              <w:spacing w:after="0"/>
              <w:rPr>
                <w:sz w:val="20"/>
                <w:szCs w:val="20"/>
                <w:color w:val="auto"/>
              </w:rPr>
            </w:pPr>
            <w:r>
              <w:rPr>
                <w:rFonts w:ascii="Arial" w:cs="Arial" w:eastAsia="Arial" w:hAnsi="Arial"/>
                <w:sz w:val="14"/>
                <w:szCs w:val="14"/>
                <w:color w:val="auto"/>
              </w:rPr>
              <w:t>204</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72</w:t>
            </w:r>
          </w:p>
        </w:tc>
      </w:tr>
      <w:tr>
        <w:trPr>
          <w:trHeight w:val="222"/>
        </w:trPr>
        <w:tc>
          <w:tcPr>
            <w:tcW w:w="2280" w:type="dxa"/>
            <w:vAlign w:val="bottom"/>
          </w:tcPr>
          <w:p>
            <w:pPr>
              <w:ind w:left="320"/>
              <w:spacing w:after="0"/>
              <w:rPr>
                <w:sz w:val="20"/>
                <w:szCs w:val="20"/>
                <w:color w:val="auto"/>
              </w:rPr>
            </w:pPr>
            <w:r>
              <w:rPr>
                <w:rFonts w:ascii="Arial" w:cs="Arial" w:eastAsia="Arial" w:hAnsi="Arial"/>
                <w:sz w:val="14"/>
                <w:szCs w:val="14"/>
                <w:color w:val="auto"/>
              </w:rPr>
              <w:t>Wholesale</w:t>
            </w:r>
          </w:p>
        </w:tc>
        <w:tc>
          <w:tcPr>
            <w:tcW w:w="94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ind w:right="209"/>
              <w:spacing w:after="0"/>
              <w:rPr>
                <w:sz w:val="20"/>
                <w:szCs w:val="20"/>
                <w:color w:val="auto"/>
              </w:rPr>
            </w:pPr>
            <w:r>
              <w:rPr>
                <w:rFonts w:ascii="Arial" w:cs="Arial" w:eastAsia="Arial" w:hAnsi="Arial"/>
                <w:sz w:val="14"/>
                <w:szCs w:val="14"/>
                <w:color w:val="auto"/>
              </w:rPr>
              <w:t>142</w:t>
            </w:r>
          </w:p>
        </w:tc>
        <w:tc>
          <w:tcPr>
            <w:tcW w:w="5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59</w:t>
            </w:r>
          </w:p>
        </w:tc>
        <w:tc>
          <w:tcPr>
            <w:tcW w:w="780" w:type="dxa"/>
            <w:vAlign w:val="bottom"/>
            <w:tcBorders>
              <w:bottom w:val="single" w:sz="8" w:color="auto"/>
            </w:tcBorders>
          </w:tcPr>
          <w:p>
            <w:pPr>
              <w:jc w:val="center"/>
              <w:ind w:left="188"/>
              <w:spacing w:after="0"/>
              <w:rPr>
                <w:sz w:val="20"/>
                <w:szCs w:val="20"/>
                <w:color w:val="auto"/>
              </w:rPr>
            </w:pPr>
            <w:r>
              <w:rPr>
                <w:rFonts w:ascii="Arial" w:cs="Arial" w:eastAsia="Arial" w:hAnsi="Arial"/>
                <w:sz w:val="14"/>
                <w:szCs w:val="14"/>
                <w:color w:val="auto"/>
              </w:rPr>
              <w:t>142</w:t>
            </w:r>
          </w:p>
        </w:tc>
        <w:tc>
          <w:tcPr>
            <w:tcW w:w="3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59</w:t>
            </w:r>
          </w:p>
        </w:tc>
      </w:tr>
      <w:tr>
        <w:trPr>
          <w:trHeight w:val="202"/>
        </w:trPr>
        <w:tc>
          <w:tcPr>
            <w:tcW w:w="2280" w:type="dxa"/>
            <w:vAlign w:val="bottom"/>
          </w:tcPr>
          <w:p>
            <w:pPr>
              <w:spacing w:after="0"/>
              <w:rPr>
                <w:sz w:val="17"/>
                <w:szCs w:val="17"/>
                <w:color w:val="auto"/>
              </w:rPr>
            </w:pPr>
          </w:p>
        </w:tc>
        <w:tc>
          <w:tcPr>
            <w:tcW w:w="940" w:type="dxa"/>
            <w:vAlign w:val="bottom"/>
          </w:tcPr>
          <w:p>
            <w:pPr>
              <w:jc w:val="right"/>
              <w:ind w:right="89"/>
              <w:spacing w:after="0"/>
              <w:rPr>
                <w:sz w:val="20"/>
                <w:szCs w:val="20"/>
                <w:color w:val="auto"/>
              </w:rPr>
            </w:pPr>
            <w:r>
              <w:rPr>
                <w:rFonts w:ascii="Arial" w:cs="Arial" w:eastAsia="Arial" w:hAnsi="Arial"/>
                <w:sz w:val="14"/>
                <w:szCs w:val="14"/>
                <w:color w:val="auto"/>
              </w:rPr>
              <w:t>356</w:t>
            </w:r>
          </w:p>
        </w:tc>
        <w:tc>
          <w:tcPr>
            <w:tcW w:w="30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228"/>
              <w:spacing w:after="0"/>
              <w:rPr>
                <w:sz w:val="20"/>
                <w:szCs w:val="20"/>
                <w:color w:val="auto"/>
              </w:rPr>
            </w:pPr>
            <w:r>
              <w:rPr>
                <w:rFonts w:ascii="Arial" w:cs="Arial" w:eastAsia="Arial" w:hAnsi="Arial"/>
                <w:sz w:val="14"/>
                <w:szCs w:val="14"/>
                <w:color w:val="auto"/>
              </w:rPr>
              <w:t>3,659</w:t>
            </w:r>
          </w:p>
        </w:tc>
        <w:tc>
          <w:tcPr>
            <w:tcW w:w="940" w:type="dxa"/>
            <w:vAlign w:val="bottom"/>
          </w:tcPr>
          <w:p>
            <w:pPr>
              <w:jc w:val="right"/>
              <w:ind w:right="209"/>
              <w:spacing w:after="0"/>
              <w:rPr>
                <w:sz w:val="20"/>
                <w:szCs w:val="20"/>
                <w:color w:val="auto"/>
              </w:rPr>
            </w:pPr>
            <w:r>
              <w:rPr>
                <w:rFonts w:ascii="Arial" w:cs="Arial" w:eastAsia="Arial" w:hAnsi="Arial"/>
                <w:sz w:val="14"/>
                <w:szCs w:val="14"/>
                <w:color w:val="auto"/>
              </w:rPr>
              <w:t>624</w:t>
            </w:r>
          </w:p>
        </w:tc>
        <w:tc>
          <w:tcPr>
            <w:tcW w:w="500" w:type="dxa"/>
            <w:vAlign w:val="bottom"/>
          </w:tcPr>
          <w:p>
            <w:pPr>
              <w:jc w:val="right"/>
              <w:ind w:right="169"/>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248"/>
              <w:spacing w:after="0"/>
              <w:rPr>
                <w:sz w:val="20"/>
                <w:szCs w:val="20"/>
                <w:color w:val="auto"/>
              </w:rPr>
            </w:pPr>
            <w:r>
              <w:rPr>
                <w:rFonts w:ascii="Arial" w:cs="Arial" w:eastAsia="Arial" w:hAnsi="Arial"/>
                <w:sz w:val="14"/>
                <w:szCs w:val="14"/>
                <w:color w:val="auto"/>
              </w:rPr>
              <w:t>344</w:t>
            </w:r>
          </w:p>
        </w:tc>
        <w:tc>
          <w:tcPr>
            <w:tcW w:w="780" w:type="dxa"/>
            <w:vAlign w:val="bottom"/>
          </w:tcPr>
          <w:p>
            <w:pPr>
              <w:jc w:val="center"/>
              <w:ind w:left="188"/>
              <w:spacing w:after="0"/>
              <w:rPr>
                <w:sz w:val="20"/>
                <w:szCs w:val="20"/>
                <w:color w:val="auto"/>
              </w:rPr>
            </w:pPr>
            <w:r>
              <w:rPr>
                <w:rFonts w:ascii="Arial" w:cs="Arial" w:eastAsia="Arial" w:hAnsi="Arial"/>
                <w:sz w:val="14"/>
                <w:szCs w:val="14"/>
                <w:color w:val="auto"/>
              </w:rPr>
              <w:t>980</w:t>
            </w: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4,003</w:t>
            </w:r>
          </w:p>
        </w:tc>
      </w:tr>
      <w:tr>
        <w:trPr>
          <w:trHeight w:val="216"/>
        </w:trPr>
        <w:tc>
          <w:tcPr>
            <w:tcW w:w="2280" w:type="dxa"/>
            <w:vAlign w:val="bottom"/>
          </w:tcPr>
          <w:p>
            <w:pPr>
              <w:ind w:left="320"/>
              <w:spacing w:after="0"/>
              <w:rPr>
                <w:sz w:val="20"/>
                <w:szCs w:val="20"/>
                <w:color w:val="auto"/>
              </w:rPr>
            </w:pPr>
            <w:r>
              <w:rPr>
                <w:rFonts w:ascii="Arial" w:cs="Arial" w:eastAsia="Arial" w:hAnsi="Arial"/>
                <w:sz w:val="14"/>
                <w:szCs w:val="14"/>
                <w:color w:val="auto"/>
              </w:rPr>
              <w:t>Other revenues</w:t>
            </w:r>
          </w:p>
        </w:tc>
        <w:tc>
          <w:tcPr>
            <w:tcW w:w="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97</w:t>
            </w:r>
          </w:p>
        </w:tc>
      </w:tr>
      <w:tr>
        <w:trPr>
          <w:trHeight w:val="222"/>
        </w:trPr>
        <w:tc>
          <w:tcPr>
            <w:tcW w:w="2280" w:type="dxa"/>
            <w:vAlign w:val="bottom"/>
          </w:tcPr>
          <w:p>
            <w:pPr>
              <w:ind w:left="320"/>
              <w:spacing w:after="0"/>
              <w:rPr>
                <w:sz w:val="20"/>
                <w:szCs w:val="20"/>
                <w:color w:val="auto"/>
              </w:rPr>
            </w:pPr>
            <w:r>
              <w:rPr>
                <w:rFonts w:ascii="Arial" w:cs="Arial" w:eastAsia="Arial" w:hAnsi="Arial"/>
                <w:sz w:val="14"/>
                <w:szCs w:val="14"/>
                <w:color w:val="auto"/>
              </w:rPr>
              <w:t>Balancing accounts</w:t>
            </w:r>
          </w:p>
        </w:tc>
        <w:tc>
          <w:tcPr>
            <w:tcW w:w="9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182</w:t>
            </w:r>
          </w:p>
        </w:tc>
      </w:tr>
      <w:tr>
        <w:trPr>
          <w:trHeight w:val="224"/>
        </w:trPr>
        <w:tc>
          <w:tcPr>
            <w:tcW w:w="2280" w:type="dxa"/>
            <w:vAlign w:val="bottom"/>
            <w:tcBorders>
              <w:bottom w:val="single" w:sz="8" w:color="auto"/>
            </w:tcBorders>
          </w:tcPr>
          <w:p>
            <w:pPr>
              <w:ind w:left="460"/>
              <w:spacing w:after="0"/>
              <w:rPr>
                <w:sz w:val="20"/>
                <w:szCs w:val="20"/>
                <w:color w:val="auto"/>
              </w:rPr>
            </w:pPr>
            <w:r>
              <w:rPr>
                <w:rFonts w:ascii="Arial" w:cs="Arial" w:eastAsia="Arial" w:hAnsi="Arial"/>
                <w:sz w:val="14"/>
                <w:szCs w:val="14"/>
                <w:color w:val="auto"/>
              </w:rPr>
              <w:t>Total*</w:t>
            </w:r>
          </w:p>
        </w:tc>
        <w:tc>
          <w:tcPr>
            <w:tcW w:w="94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4,282</w:t>
            </w:r>
          </w:p>
        </w:tc>
      </w:tr>
      <w:tr>
        <w:trPr>
          <w:trHeight w:val="210"/>
        </w:trPr>
        <w:tc>
          <w:tcPr>
            <w:tcW w:w="2280" w:type="dxa"/>
            <w:vAlign w:val="bottom"/>
          </w:tcPr>
          <w:p>
            <w:pPr>
              <w:spacing w:after="0"/>
              <w:rPr>
                <w:sz w:val="20"/>
                <w:szCs w:val="20"/>
                <w:color w:val="auto"/>
              </w:rPr>
            </w:pPr>
            <w:r>
              <w:rPr>
                <w:rFonts w:ascii="Arial" w:cs="Arial" w:eastAsia="Arial" w:hAnsi="Arial"/>
                <w:sz w:val="14"/>
                <w:szCs w:val="14"/>
                <w:color w:val="auto"/>
              </w:rPr>
              <w:t>2006:</w:t>
            </w:r>
          </w:p>
        </w:tc>
        <w:tc>
          <w:tcPr>
            <w:tcW w:w="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r>
      <w:tr>
        <w:trPr>
          <w:trHeight w:val="216"/>
        </w:trPr>
        <w:tc>
          <w:tcPr>
            <w:tcW w:w="2280" w:type="dxa"/>
            <w:vAlign w:val="bottom"/>
          </w:tcPr>
          <w:p>
            <w:pPr>
              <w:ind w:left="320"/>
              <w:spacing w:after="0"/>
              <w:rPr>
                <w:sz w:val="20"/>
                <w:szCs w:val="20"/>
                <w:color w:val="auto"/>
              </w:rPr>
            </w:pPr>
            <w:r>
              <w:rPr>
                <w:rFonts w:ascii="Arial" w:cs="Arial" w:eastAsia="Arial" w:hAnsi="Arial"/>
                <w:sz w:val="14"/>
                <w:szCs w:val="14"/>
                <w:color w:val="auto"/>
              </w:rPr>
              <w:t>Residential</w:t>
            </w:r>
          </w:p>
        </w:tc>
        <w:tc>
          <w:tcPr>
            <w:tcW w:w="940" w:type="dxa"/>
            <w:vAlign w:val="bottom"/>
          </w:tcPr>
          <w:p>
            <w:pPr>
              <w:jc w:val="right"/>
              <w:ind w:right="89"/>
              <w:spacing w:after="0"/>
              <w:rPr>
                <w:sz w:val="20"/>
                <w:szCs w:val="20"/>
                <w:color w:val="auto"/>
              </w:rPr>
            </w:pPr>
            <w:r>
              <w:rPr>
                <w:rFonts w:ascii="Arial" w:cs="Arial" w:eastAsia="Arial" w:hAnsi="Arial"/>
                <w:sz w:val="14"/>
                <w:szCs w:val="14"/>
                <w:color w:val="auto"/>
              </w:rPr>
              <w:t>247</w:t>
            </w:r>
          </w:p>
        </w:tc>
        <w:tc>
          <w:tcPr>
            <w:tcW w:w="30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228"/>
              <w:spacing w:after="0"/>
              <w:rPr>
                <w:sz w:val="20"/>
                <w:szCs w:val="20"/>
                <w:color w:val="auto"/>
              </w:rPr>
            </w:pPr>
            <w:r>
              <w:rPr>
                <w:rFonts w:ascii="Arial" w:cs="Arial" w:eastAsia="Arial" w:hAnsi="Arial"/>
                <w:sz w:val="14"/>
                <w:szCs w:val="14"/>
                <w:color w:val="auto"/>
              </w:rPr>
              <w:t>2,727</w:t>
            </w:r>
          </w:p>
        </w:tc>
        <w:tc>
          <w:tcPr>
            <w:tcW w:w="940" w:type="dxa"/>
            <w:vAlign w:val="bottom"/>
          </w:tcPr>
          <w:p>
            <w:pPr>
              <w:jc w:val="right"/>
              <w:ind w:right="209"/>
              <w:spacing w:after="0"/>
              <w:rPr>
                <w:sz w:val="20"/>
                <w:szCs w:val="20"/>
                <w:color w:val="auto"/>
              </w:rPr>
            </w:pPr>
            <w:r>
              <w:rPr>
                <w:rFonts w:ascii="Arial" w:cs="Arial" w:eastAsia="Arial" w:hAnsi="Arial"/>
                <w:sz w:val="14"/>
                <w:szCs w:val="14"/>
                <w:color w:val="auto"/>
              </w:rPr>
              <w:t>1</w:t>
            </w:r>
          </w:p>
        </w:tc>
        <w:tc>
          <w:tcPr>
            <w:tcW w:w="500" w:type="dxa"/>
            <w:vAlign w:val="bottom"/>
          </w:tcPr>
          <w:p>
            <w:pPr>
              <w:jc w:val="right"/>
              <w:ind w:right="169"/>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248"/>
              <w:spacing w:after="0"/>
              <w:rPr>
                <w:sz w:val="20"/>
                <w:szCs w:val="20"/>
                <w:color w:val="auto"/>
              </w:rPr>
            </w:pPr>
            <w:r>
              <w:rPr>
                <w:rFonts w:ascii="Arial" w:cs="Arial" w:eastAsia="Arial" w:hAnsi="Arial"/>
                <w:sz w:val="14"/>
                <w:szCs w:val="14"/>
                <w:color w:val="auto"/>
              </w:rPr>
              <w:t>5</w:t>
            </w:r>
          </w:p>
        </w:tc>
        <w:tc>
          <w:tcPr>
            <w:tcW w:w="780" w:type="dxa"/>
            <w:vAlign w:val="bottom"/>
          </w:tcPr>
          <w:p>
            <w:pPr>
              <w:jc w:val="center"/>
              <w:ind w:left="188"/>
              <w:spacing w:after="0"/>
              <w:rPr>
                <w:sz w:val="20"/>
                <w:szCs w:val="20"/>
                <w:color w:val="auto"/>
              </w:rPr>
            </w:pPr>
            <w:r>
              <w:rPr>
                <w:rFonts w:ascii="Arial" w:cs="Arial" w:eastAsia="Arial" w:hAnsi="Arial"/>
                <w:sz w:val="14"/>
                <w:szCs w:val="14"/>
                <w:color w:val="auto"/>
              </w:rPr>
              <w:t>248</w:t>
            </w:r>
          </w:p>
        </w:tc>
        <w:tc>
          <w:tcPr>
            <w:tcW w:w="5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460" w:type="dxa"/>
            <w:vAlign w:val="bottom"/>
          </w:tcPr>
          <w:p>
            <w:pPr>
              <w:jc w:val="right"/>
              <w:spacing w:after="0"/>
              <w:rPr>
                <w:sz w:val="20"/>
                <w:szCs w:val="20"/>
                <w:color w:val="auto"/>
              </w:rPr>
            </w:pPr>
            <w:r>
              <w:rPr>
                <w:rFonts w:ascii="Arial" w:cs="Arial" w:eastAsia="Arial" w:hAnsi="Arial"/>
                <w:sz w:val="14"/>
                <w:szCs w:val="14"/>
                <w:color w:val="auto"/>
              </w:rPr>
              <w:t>2,732</w:t>
            </w:r>
          </w:p>
        </w:tc>
      </w:tr>
      <w:tr>
        <w:trPr>
          <w:trHeight w:val="216"/>
        </w:trPr>
        <w:tc>
          <w:tcPr>
            <w:tcW w:w="2280" w:type="dxa"/>
            <w:vAlign w:val="bottom"/>
          </w:tcPr>
          <w:p>
            <w:pPr>
              <w:ind w:left="320"/>
              <w:spacing w:after="0"/>
              <w:rPr>
                <w:sz w:val="20"/>
                <w:szCs w:val="20"/>
                <w:color w:val="auto"/>
              </w:rPr>
            </w:pPr>
            <w:r>
              <w:rPr>
                <w:rFonts w:ascii="Arial" w:cs="Arial" w:eastAsia="Arial" w:hAnsi="Arial"/>
                <w:sz w:val="14"/>
                <w:szCs w:val="14"/>
                <w:color w:val="auto"/>
              </w:rPr>
              <w:t>Commercial and industrial</w:t>
            </w:r>
          </w:p>
        </w:tc>
        <w:tc>
          <w:tcPr>
            <w:tcW w:w="940" w:type="dxa"/>
            <w:vAlign w:val="bottom"/>
          </w:tcPr>
          <w:p>
            <w:pPr>
              <w:jc w:val="right"/>
              <w:ind w:right="89"/>
              <w:spacing w:after="0"/>
              <w:rPr>
                <w:sz w:val="20"/>
                <w:szCs w:val="20"/>
                <w:color w:val="auto"/>
              </w:rPr>
            </w:pPr>
            <w:r>
              <w:rPr>
                <w:rFonts w:ascii="Arial" w:cs="Arial" w:eastAsia="Arial" w:hAnsi="Arial"/>
                <w:sz w:val="14"/>
                <w:szCs w:val="14"/>
                <w:color w:val="auto"/>
              </w:rPr>
              <w:t>107</w:t>
            </w:r>
          </w:p>
        </w:tc>
        <w:tc>
          <w:tcPr>
            <w:tcW w:w="300" w:type="dxa"/>
            <w:vAlign w:val="bottom"/>
          </w:tcPr>
          <w:p>
            <w:pPr>
              <w:spacing w:after="0"/>
              <w:rPr>
                <w:sz w:val="18"/>
                <w:szCs w:val="18"/>
                <w:color w:val="auto"/>
              </w:rPr>
            </w:pPr>
          </w:p>
        </w:tc>
        <w:tc>
          <w:tcPr>
            <w:tcW w:w="800" w:type="dxa"/>
            <w:vAlign w:val="bottom"/>
          </w:tcPr>
          <w:p>
            <w:pPr>
              <w:jc w:val="right"/>
              <w:ind w:right="228"/>
              <w:spacing w:after="0"/>
              <w:rPr>
                <w:sz w:val="20"/>
                <w:szCs w:val="20"/>
                <w:color w:val="auto"/>
              </w:rPr>
            </w:pPr>
            <w:r>
              <w:rPr>
                <w:rFonts w:ascii="Arial" w:cs="Arial" w:eastAsia="Arial" w:hAnsi="Arial"/>
                <w:sz w:val="14"/>
                <w:szCs w:val="14"/>
                <w:color w:val="auto"/>
              </w:rPr>
              <w:t>988</w:t>
            </w:r>
          </w:p>
        </w:tc>
        <w:tc>
          <w:tcPr>
            <w:tcW w:w="940" w:type="dxa"/>
            <w:vAlign w:val="bottom"/>
          </w:tcPr>
          <w:p>
            <w:pPr>
              <w:jc w:val="right"/>
              <w:ind w:right="209"/>
              <w:spacing w:after="0"/>
              <w:rPr>
                <w:sz w:val="20"/>
                <w:szCs w:val="20"/>
                <w:color w:val="auto"/>
              </w:rPr>
            </w:pPr>
            <w:r>
              <w:rPr>
                <w:rFonts w:ascii="Arial" w:cs="Arial" w:eastAsia="Arial" w:hAnsi="Arial"/>
                <w:sz w:val="14"/>
                <w:szCs w:val="14"/>
                <w:color w:val="auto"/>
              </w:rPr>
              <w:t>272</w:t>
            </w:r>
          </w:p>
        </w:tc>
        <w:tc>
          <w:tcPr>
            <w:tcW w:w="500" w:type="dxa"/>
            <w:vAlign w:val="bottom"/>
          </w:tcPr>
          <w:p>
            <w:pPr>
              <w:spacing w:after="0"/>
              <w:rPr>
                <w:sz w:val="18"/>
                <w:szCs w:val="18"/>
                <w:color w:val="auto"/>
              </w:rPr>
            </w:pPr>
          </w:p>
        </w:tc>
        <w:tc>
          <w:tcPr>
            <w:tcW w:w="640" w:type="dxa"/>
            <w:vAlign w:val="bottom"/>
          </w:tcPr>
          <w:p>
            <w:pPr>
              <w:jc w:val="right"/>
              <w:ind w:right="248"/>
              <w:spacing w:after="0"/>
              <w:rPr>
                <w:sz w:val="20"/>
                <w:szCs w:val="20"/>
                <w:color w:val="auto"/>
              </w:rPr>
            </w:pPr>
            <w:r>
              <w:rPr>
                <w:rFonts w:ascii="Arial" w:cs="Arial" w:eastAsia="Arial" w:hAnsi="Arial"/>
                <w:sz w:val="14"/>
                <w:szCs w:val="14"/>
                <w:color w:val="auto"/>
              </w:rPr>
              <w:t>217</w:t>
            </w:r>
          </w:p>
        </w:tc>
        <w:tc>
          <w:tcPr>
            <w:tcW w:w="780" w:type="dxa"/>
            <w:vAlign w:val="bottom"/>
          </w:tcPr>
          <w:p>
            <w:pPr>
              <w:jc w:val="center"/>
              <w:ind w:left="188"/>
              <w:spacing w:after="0"/>
              <w:rPr>
                <w:sz w:val="20"/>
                <w:szCs w:val="20"/>
                <w:color w:val="auto"/>
              </w:rPr>
            </w:pPr>
            <w:r>
              <w:rPr>
                <w:rFonts w:ascii="Arial" w:cs="Arial" w:eastAsia="Arial" w:hAnsi="Arial"/>
                <w:sz w:val="14"/>
                <w:szCs w:val="14"/>
                <w:color w:val="auto"/>
              </w:rPr>
              <w:t>379</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1,205</w:t>
            </w:r>
          </w:p>
        </w:tc>
      </w:tr>
      <w:tr>
        <w:trPr>
          <w:trHeight w:val="216"/>
        </w:trPr>
        <w:tc>
          <w:tcPr>
            <w:tcW w:w="2280" w:type="dxa"/>
            <w:vAlign w:val="bottom"/>
          </w:tcPr>
          <w:p>
            <w:pPr>
              <w:ind w:left="320"/>
              <w:spacing w:after="0"/>
              <w:rPr>
                <w:sz w:val="20"/>
                <w:szCs w:val="20"/>
                <w:color w:val="auto"/>
              </w:rPr>
            </w:pPr>
            <w:r>
              <w:rPr>
                <w:rFonts w:ascii="Arial" w:cs="Arial" w:eastAsia="Arial" w:hAnsi="Arial"/>
                <w:sz w:val="14"/>
                <w:szCs w:val="14"/>
                <w:color w:val="auto"/>
              </w:rPr>
              <w:t>Electric generation plants</w:t>
            </w:r>
          </w:p>
        </w:tc>
        <w:tc>
          <w:tcPr>
            <w:tcW w:w="94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8"/>
                <w:szCs w:val="18"/>
                <w:color w:val="auto"/>
              </w:rPr>
            </w:pPr>
          </w:p>
        </w:tc>
        <w:tc>
          <w:tcPr>
            <w:tcW w:w="80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209"/>
              <w:spacing w:after="0"/>
              <w:rPr>
                <w:sz w:val="20"/>
                <w:szCs w:val="20"/>
                <w:color w:val="auto"/>
              </w:rPr>
            </w:pPr>
            <w:r>
              <w:rPr>
                <w:rFonts w:ascii="Arial" w:cs="Arial" w:eastAsia="Arial" w:hAnsi="Arial"/>
                <w:sz w:val="14"/>
                <w:szCs w:val="14"/>
                <w:color w:val="auto"/>
              </w:rPr>
              <w:t>183</w:t>
            </w:r>
          </w:p>
        </w:tc>
        <w:tc>
          <w:tcPr>
            <w:tcW w:w="500" w:type="dxa"/>
            <w:vAlign w:val="bottom"/>
          </w:tcPr>
          <w:p>
            <w:pPr>
              <w:spacing w:after="0"/>
              <w:rPr>
                <w:sz w:val="18"/>
                <w:szCs w:val="18"/>
                <w:color w:val="auto"/>
              </w:rPr>
            </w:pPr>
          </w:p>
        </w:tc>
        <w:tc>
          <w:tcPr>
            <w:tcW w:w="640" w:type="dxa"/>
            <w:vAlign w:val="bottom"/>
          </w:tcPr>
          <w:p>
            <w:pPr>
              <w:jc w:val="right"/>
              <w:ind w:right="248"/>
              <w:spacing w:after="0"/>
              <w:rPr>
                <w:sz w:val="20"/>
                <w:szCs w:val="20"/>
                <w:color w:val="auto"/>
              </w:rPr>
            </w:pPr>
            <w:r>
              <w:rPr>
                <w:rFonts w:ascii="Arial" w:cs="Arial" w:eastAsia="Arial" w:hAnsi="Arial"/>
                <w:sz w:val="14"/>
                <w:szCs w:val="14"/>
                <w:color w:val="auto"/>
              </w:rPr>
              <w:t>74</w:t>
            </w:r>
          </w:p>
        </w:tc>
        <w:tc>
          <w:tcPr>
            <w:tcW w:w="780" w:type="dxa"/>
            <w:vAlign w:val="bottom"/>
          </w:tcPr>
          <w:p>
            <w:pPr>
              <w:jc w:val="center"/>
              <w:ind w:left="188"/>
              <w:spacing w:after="0"/>
              <w:rPr>
                <w:sz w:val="20"/>
                <w:szCs w:val="20"/>
                <w:color w:val="auto"/>
              </w:rPr>
            </w:pPr>
            <w:r>
              <w:rPr>
                <w:rFonts w:ascii="Arial" w:cs="Arial" w:eastAsia="Arial" w:hAnsi="Arial"/>
                <w:sz w:val="14"/>
                <w:szCs w:val="14"/>
                <w:color w:val="auto"/>
              </w:rPr>
              <w:t>183</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74</w:t>
            </w:r>
          </w:p>
        </w:tc>
      </w:tr>
      <w:tr>
        <w:trPr>
          <w:trHeight w:val="222"/>
        </w:trPr>
        <w:tc>
          <w:tcPr>
            <w:tcW w:w="2280" w:type="dxa"/>
            <w:vAlign w:val="bottom"/>
          </w:tcPr>
          <w:p>
            <w:pPr>
              <w:ind w:left="320"/>
              <w:spacing w:after="0"/>
              <w:rPr>
                <w:sz w:val="20"/>
                <w:szCs w:val="20"/>
                <w:color w:val="auto"/>
              </w:rPr>
            </w:pPr>
            <w:r>
              <w:rPr>
                <w:rFonts w:ascii="Arial" w:cs="Arial" w:eastAsia="Arial" w:hAnsi="Arial"/>
                <w:sz w:val="14"/>
                <w:szCs w:val="14"/>
                <w:color w:val="auto"/>
              </w:rPr>
              <w:t>Wholesale</w:t>
            </w:r>
          </w:p>
        </w:tc>
        <w:tc>
          <w:tcPr>
            <w:tcW w:w="94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ind w:right="209"/>
              <w:spacing w:after="0"/>
              <w:rPr>
                <w:sz w:val="20"/>
                <w:szCs w:val="20"/>
                <w:color w:val="auto"/>
              </w:rPr>
            </w:pPr>
            <w:r>
              <w:rPr>
                <w:rFonts w:ascii="Arial" w:cs="Arial" w:eastAsia="Arial" w:hAnsi="Arial"/>
                <w:sz w:val="14"/>
                <w:szCs w:val="14"/>
                <w:color w:val="auto"/>
              </w:rPr>
              <w:t>136</w:t>
            </w:r>
          </w:p>
        </w:tc>
        <w:tc>
          <w:tcPr>
            <w:tcW w:w="5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44</w:t>
            </w:r>
          </w:p>
        </w:tc>
        <w:tc>
          <w:tcPr>
            <w:tcW w:w="780" w:type="dxa"/>
            <w:vAlign w:val="bottom"/>
            <w:tcBorders>
              <w:bottom w:val="single" w:sz="8" w:color="auto"/>
            </w:tcBorders>
          </w:tcPr>
          <w:p>
            <w:pPr>
              <w:jc w:val="center"/>
              <w:ind w:left="188"/>
              <w:spacing w:after="0"/>
              <w:rPr>
                <w:sz w:val="20"/>
                <w:szCs w:val="20"/>
                <w:color w:val="auto"/>
              </w:rPr>
            </w:pPr>
            <w:r>
              <w:rPr>
                <w:rFonts w:ascii="Arial" w:cs="Arial" w:eastAsia="Arial" w:hAnsi="Arial"/>
                <w:sz w:val="14"/>
                <w:szCs w:val="14"/>
                <w:color w:val="auto"/>
              </w:rPr>
              <w:t>136</w:t>
            </w:r>
          </w:p>
        </w:tc>
        <w:tc>
          <w:tcPr>
            <w:tcW w:w="3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44</w:t>
            </w:r>
          </w:p>
        </w:tc>
      </w:tr>
      <w:tr>
        <w:trPr>
          <w:trHeight w:val="202"/>
        </w:trPr>
        <w:tc>
          <w:tcPr>
            <w:tcW w:w="2280" w:type="dxa"/>
            <w:vAlign w:val="bottom"/>
          </w:tcPr>
          <w:p>
            <w:pPr>
              <w:spacing w:after="0"/>
              <w:rPr>
                <w:sz w:val="17"/>
                <w:szCs w:val="17"/>
                <w:color w:val="auto"/>
              </w:rPr>
            </w:pPr>
          </w:p>
        </w:tc>
        <w:tc>
          <w:tcPr>
            <w:tcW w:w="940" w:type="dxa"/>
            <w:vAlign w:val="bottom"/>
          </w:tcPr>
          <w:p>
            <w:pPr>
              <w:jc w:val="right"/>
              <w:ind w:right="89"/>
              <w:spacing w:after="0"/>
              <w:rPr>
                <w:sz w:val="20"/>
                <w:szCs w:val="20"/>
                <w:color w:val="auto"/>
              </w:rPr>
            </w:pPr>
            <w:r>
              <w:rPr>
                <w:rFonts w:ascii="Arial" w:cs="Arial" w:eastAsia="Arial" w:hAnsi="Arial"/>
                <w:sz w:val="14"/>
                <w:szCs w:val="14"/>
                <w:color w:val="auto"/>
              </w:rPr>
              <w:t>354</w:t>
            </w:r>
          </w:p>
        </w:tc>
        <w:tc>
          <w:tcPr>
            <w:tcW w:w="30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228"/>
              <w:spacing w:after="0"/>
              <w:rPr>
                <w:sz w:val="20"/>
                <w:szCs w:val="20"/>
                <w:color w:val="auto"/>
              </w:rPr>
            </w:pPr>
            <w:r>
              <w:rPr>
                <w:rFonts w:ascii="Arial" w:cs="Arial" w:eastAsia="Arial" w:hAnsi="Arial"/>
                <w:sz w:val="14"/>
                <w:szCs w:val="14"/>
                <w:color w:val="auto"/>
              </w:rPr>
              <w:t>3,715</w:t>
            </w:r>
          </w:p>
        </w:tc>
        <w:tc>
          <w:tcPr>
            <w:tcW w:w="940" w:type="dxa"/>
            <w:vAlign w:val="bottom"/>
          </w:tcPr>
          <w:p>
            <w:pPr>
              <w:jc w:val="right"/>
              <w:ind w:right="209"/>
              <w:spacing w:after="0"/>
              <w:rPr>
                <w:sz w:val="20"/>
                <w:szCs w:val="20"/>
                <w:color w:val="auto"/>
              </w:rPr>
            </w:pPr>
            <w:r>
              <w:rPr>
                <w:rFonts w:ascii="Arial" w:cs="Arial" w:eastAsia="Arial" w:hAnsi="Arial"/>
                <w:sz w:val="14"/>
                <w:szCs w:val="14"/>
                <w:color w:val="auto"/>
              </w:rPr>
              <w:t>592</w:t>
            </w:r>
          </w:p>
        </w:tc>
        <w:tc>
          <w:tcPr>
            <w:tcW w:w="500" w:type="dxa"/>
            <w:vAlign w:val="bottom"/>
          </w:tcPr>
          <w:p>
            <w:pPr>
              <w:jc w:val="right"/>
              <w:ind w:right="169"/>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248"/>
              <w:spacing w:after="0"/>
              <w:rPr>
                <w:sz w:val="20"/>
                <w:szCs w:val="20"/>
                <w:color w:val="auto"/>
              </w:rPr>
            </w:pPr>
            <w:r>
              <w:rPr>
                <w:rFonts w:ascii="Arial" w:cs="Arial" w:eastAsia="Arial" w:hAnsi="Arial"/>
                <w:sz w:val="14"/>
                <w:szCs w:val="14"/>
                <w:color w:val="auto"/>
              </w:rPr>
              <w:t>340</w:t>
            </w:r>
          </w:p>
        </w:tc>
        <w:tc>
          <w:tcPr>
            <w:tcW w:w="780" w:type="dxa"/>
            <w:vAlign w:val="bottom"/>
          </w:tcPr>
          <w:p>
            <w:pPr>
              <w:jc w:val="center"/>
              <w:ind w:left="188"/>
              <w:spacing w:after="0"/>
              <w:rPr>
                <w:sz w:val="20"/>
                <w:szCs w:val="20"/>
                <w:color w:val="auto"/>
              </w:rPr>
            </w:pPr>
            <w:r>
              <w:rPr>
                <w:rFonts w:ascii="Arial" w:cs="Arial" w:eastAsia="Arial" w:hAnsi="Arial"/>
                <w:sz w:val="14"/>
                <w:szCs w:val="14"/>
                <w:color w:val="auto"/>
              </w:rPr>
              <w:t>946</w:t>
            </w: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4,055</w:t>
            </w:r>
          </w:p>
        </w:tc>
      </w:tr>
      <w:tr>
        <w:trPr>
          <w:trHeight w:val="216"/>
        </w:trPr>
        <w:tc>
          <w:tcPr>
            <w:tcW w:w="2280" w:type="dxa"/>
            <w:vAlign w:val="bottom"/>
          </w:tcPr>
          <w:p>
            <w:pPr>
              <w:ind w:left="320"/>
              <w:spacing w:after="0"/>
              <w:rPr>
                <w:sz w:val="20"/>
                <w:szCs w:val="20"/>
                <w:color w:val="auto"/>
              </w:rPr>
            </w:pPr>
            <w:r>
              <w:rPr>
                <w:rFonts w:ascii="Arial" w:cs="Arial" w:eastAsia="Arial" w:hAnsi="Arial"/>
                <w:sz w:val="14"/>
                <w:szCs w:val="14"/>
                <w:color w:val="auto"/>
              </w:rPr>
              <w:t>Other revenues</w:t>
            </w:r>
          </w:p>
        </w:tc>
        <w:tc>
          <w:tcPr>
            <w:tcW w:w="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79</w:t>
            </w:r>
          </w:p>
        </w:tc>
      </w:tr>
      <w:tr>
        <w:trPr>
          <w:trHeight w:val="222"/>
        </w:trPr>
        <w:tc>
          <w:tcPr>
            <w:tcW w:w="2280" w:type="dxa"/>
            <w:vAlign w:val="bottom"/>
          </w:tcPr>
          <w:p>
            <w:pPr>
              <w:ind w:left="320"/>
              <w:spacing w:after="0"/>
              <w:rPr>
                <w:sz w:val="20"/>
                <w:szCs w:val="20"/>
                <w:color w:val="auto"/>
              </w:rPr>
            </w:pPr>
            <w:r>
              <w:rPr>
                <w:rFonts w:ascii="Arial" w:cs="Arial" w:eastAsia="Arial" w:hAnsi="Arial"/>
                <w:sz w:val="14"/>
                <w:szCs w:val="14"/>
                <w:color w:val="auto"/>
              </w:rPr>
              <w:t>Balancing accounts</w:t>
            </w:r>
          </w:p>
        </w:tc>
        <w:tc>
          <w:tcPr>
            <w:tcW w:w="9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47</w:t>
            </w:r>
          </w:p>
        </w:tc>
      </w:tr>
      <w:tr>
        <w:trPr>
          <w:trHeight w:val="224"/>
        </w:trPr>
        <w:tc>
          <w:tcPr>
            <w:tcW w:w="2280" w:type="dxa"/>
            <w:vAlign w:val="bottom"/>
            <w:tcBorders>
              <w:bottom w:val="single" w:sz="8" w:color="auto"/>
            </w:tcBorders>
          </w:tcPr>
          <w:p>
            <w:pPr>
              <w:ind w:left="460"/>
              <w:spacing w:after="0"/>
              <w:rPr>
                <w:sz w:val="20"/>
                <w:szCs w:val="20"/>
                <w:color w:val="auto"/>
              </w:rPr>
            </w:pPr>
            <w:r>
              <w:rPr>
                <w:rFonts w:ascii="Arial" w:cs="Arial" w:eastAsia="Arial" w:hAnsi="Arial"/>
                <w:sz w:val="14"/>
                <w:szCs w:val="14"/>
                <w:color w:val="auto"/>
              </w:rPr>
              <w:t>Total*</w:t>
            </w:r>
          </w:p>
        </w:tc>
        <w:tc>
          <w:tcPr>
            <w:tcW w:w="94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4,181</w:t>
            </w:r>
          </w:p>
        </w:tc>
      </w:tr>
    </w:tbl>
    <w:p>
      <w:pPr>
        <w:spacing w:after="0" w:line="16" w:lineRule="exact"/>
        <w:rPr>
          <w:sz w:val="20"/>
          <w:szCs w:val="20"/>
          <w:color w:val="auto"/>
        </w:rPr>
      </w:pPr>
    </w:p>
    <w:p>
      <w:pPr>
        <w:ind w:left="1964" w:hanging="312"/>
        <w:spacing w:after="0"/>
        <w:tabs>
          <w:tab w:leader="none" w:pos="1964" w:val="left"/>
        </w:tabs>
        <w:numPr>
          <w:ilvl w:val="0"/>
          <w:numId w:val="242"/>
        </w:numPr>
        <w:rPr>
          <w:rFonts w:ascii="Arial" w:cs="Arial" w:eastAsia="Arial" w:hAnsi="Arial"/>
          <w:sz w:val="13"/>
          <w:szCs w:val="13"/>
          <w:i w:val="1"/>
          <w:iCs w:val="1"/>
          <w:color w:val="auto"/>
        </w:rPr>
      </w:pPr>
      <w:r>
        <w:rPr>
          <w:rFonts w:ascii="Arial" w:cs="Arial" w:eastAsia="Arial" w:hAnsi="Arial"/>
          <w:sz w:val="13"/>
          <w:szCs w:val="13"/>
          <w:i w:val="1"/>
          <w:iCs w:val="1"/>
          <w:color w:val="auto"/>
        </w:rPr>
        <w:t>Includes sales to affiliates of $36 million in 2008, $68 million in 2007 and $52 million in 2006.</w:t>
      </w:r>
    </w:p>
    <w:p>
      <w:pPr>
        <w:spacing w:after="0" w:line="206" w:lineRule="exact"/>
        <w:rPr>
          <w:sz w:val="20"/>
          <w:szCs w:val="20"/>
          <w:color w:val="auto"/>
        </w:rPr>
      </w:pPr>
    </w:p>
    <w:p>
      <w:pPr>
        <w:ind w:left="4" w:right="600"/>
        <w:spacing w:after="0" w:line="274" w:lineRule="auto"/>
        <w:rPr>
          <w:sz w:val="20"/>
          <w:szCs w:val="20"/>
          <w:color w:val="auto"/>
        </w:rPr>
      </w:pPr>
      <w:r>
        <w:rPr>
          <w:rFonts w:ascii="Arial" w:cs="Arial" w:eastAsia="Arial" w:hAnsi="Arial"/>
          <w:sz w:val="16"/>
          <w:szCs w:val="16"/>
          <w:color w:val="auto"/>
        </w:rPr>
        <w:t>In 2008, SoCalGas' natural gas revenues increased by $486 million (11%) to $4.8 billion, and the cost of natural gas increased by $421 million (17%) to $2.8 billion. The increases in 2008 were primarily due to</w:t>
      </w:r>
    </w:p>
    <w:p>
      <w:pPr>
        <w:ind w:left="144" w:hanging="144"/>
        <w:spacing w:after="0"/>
        <w:tabs>
          <w:tab w:leader="none" w:pos="144" w:val="left"/>
        </w:tabs>
        <w:numPr>
          <w:ilvl w:val="0"/>
          <w:numId w:val="243"/>
        </w:numPr>
        <w:rPr>
          <w:rFonts w:ascii="Arial" w:cs="Arial" w:eastAsia="Arial" w:hAnsi="Arial"/>
          <w:sz w:val="16"/>
          <w:szCs w:val="16"/>
          <w:color w:val="auto"/>
        </w:rPr>
      </w:pPr>
      <w:r>
        <w:rPr>
          <w:rFonts w:ascii="Arial" w:cs="Arial" w:eastAsia="Arial" w:hAnsi="Arial"/>
          <w:sz w:val="16"/>
          <w:szCs w:val="16"/>
          <w:color w:val="auto"/>
        </w:rPr>
        <w:t>$421 million increase in cost of natural gas resulting from higher natural gas prices;</w:t>
      </w:r>
    </w:p>
    <w:p>
      <w:pPr>
        <w:spacing w:after="0" w:line="44" w:lineRule="exact"/>
        <w:rPr>
          <w:rFonts w:ascii="Arial" w:cs="Arial" w:eastAsia="Arial" w:hAnsi="Arial"/>
          <w:sz w:val="16"/>
          <w:szCs w:val="16"/>
          <w:color w:val="auto"/>
        </w:rPr>
      </w:pPr>
    </w:p>
    <w:p>
      <w:pPr>
        <w:ind w:left="144" w:hanging="144"/>
        <w:spacing w:after="0"/>
        <w:tabs>
          <w:tab w:leader="none" w:pos="144" w:val="left"/>
        </w:tabs>
        <w:numPr>
          <w:ilvl w:val="0"/>
          <w:numId w:val="243"/>
        </w:numPr>
        <w:rPr>
          <w:rFonts w:ascii="Arial" w:cs="Arial" w:eastAsia="Arial" w:hAnsi="Arial"/>
          <w:sz w:val="16"/>
          <w:szCs w:val="16"/>
          <w:color w:val="auto"/>
        </w:rPr>
      </w:pPr>
      <w:r>
        <w:rPr>
          <w:rFonts w:ascii="Arial" w:cs="Arial" w:eastAsia="Arial" w:hAnsi="Arial"/>
          <w:sz w:val="16"/>
          <w:szCs w:val="16"/>
          <w:color w:val="auto"/>
        </w:rPr>
        <w:t>$24 million higher authorized base margin;</w:t>
      </w:r>
    </w:p>
    <w:p>
      <w:pPr>
        <w:spacing w:after="0" w:line="44" w:lineRule="exact"/>
        <w:rPr>
          <w:rFonts w:ascii="Arial" w:cs="Arial" w:eastAsia="Arial" w:hAnsi="Arial"/>
          <w:sz w:val="16"/>
          <w:szCs w:val="16"/>
          <w:color w:val="auto"/>
        </w:rPr>
      </w:pPr>
    </w:p>
    <w:p>
      <w:pPr>
        <w:ind w:left="144" w:right="1200" w:hanging="144"/>
        <w:spacing w:after="0" w:line="274" w:lineRule="auto"/>
        <w:tabs>
          <w:tab w:leader="none" w:pos="144" w:val="left"/>
        </w:tabs>
        <w:numPr>
          <w:ilvl w:val="0"/>
          <w:numId w:val="243"/>
        </w:numPr>
        <w:rPr>
          <w:rFonts w:ascii="Arial" w:cs="Arial" w:eastAsia="Arial" w:hAnsi="Arial"/>
          <w:sz w:val="16"/>
          <w:szCs w:val="16"/>
          <w:color w:val="auto"/>
        </w:rPr>
      </w:pPr>
      <w:r>
        <w:rPr>
          <w:rFonts w:ascii="Arial" w:cs="Arial" w:eastAsia="Arial" w:hAnsi="Arial"/>
          <w:sz w:val="16"/>
          <w:szCs w:val="16"/>
          <w:color w:val="auto"/>
        </w:rPr>
        <w:t>$24 million due to revenue sharing in 2007. Effective with the adoption of the 2008 GRC, SoCalGas is no longer subject to the performance-based regulation that required this revenue sharing;</w:t>
      </w:r>
    </w:p>
    <w:p>
      <w:pPr>
        <w:ind w:left="144" w:hanging="144"/>
        <w:spacing w:after="0"/>
        <w:tabs>
          <w:tab w:leader="none" w:pos="144" w:val="left"/>
        </w:tabs>
        <w:numPr>
          <w:ilvl w:val="0"/>
          <w:numId w:val="243"/>
        </w:numPr>
        <w:rPr>
          <w:rFonts w:ascii="Arial" w:cs="Arial" w:eastAsia="Arial" w:hAnsi="Arial"/>
          <w:sz w:val="16"/>
          <w:szCs w:val="16"/>
          <w:color w:val="auto"/>
        </w:rPr>
      </w:pPr>
      <w:r>
        <w:rPr>
          <w:rFonts w:ascii="Arial" w:cs="Arial" w:eastAsia="Arial" w:hAnsi="Arial"/>
          <w:sz w:val="16"/>
          <w:szCs w:val="16"/>
          <w:color w:val="auto"/>
        </w:rPr>
        <w:t>$12 million favorable resolution of a regulatory matter in 2008; and</w:t>
      </w:r>
    </w:p>
    <w:p>
      <w:pPr>
        <w:spacing w:after="0" w:line="40" w:lineRule="exact"/>
        <w:rPr>
          <w:rFonts w:ascii="Arial" w:cs="Arial" w:eastAsia="Arial" w:hAnsi="Arial"/>
          <w:sz w:val="16"/>
          <w:szCs w:val="16"/>
          <w:color w:val="auto"/>
        </w:rPr>
      </w:pPr>
    </w:p>
    <w:p>
      <w:pPr>
        <w:ind w:left="144" w:hanging="144"/>
        <w:spacing w:after="0"/>
        <w:tabs>
          <w:tab w:leader="none" w:pos="144" w:val="left"/>
        </w:tabs>
        <w:numPr>
          <w:ilvl w:val="0"/>
          <w:numId w:val="243"/>
        </w:numPr>
        <w:rPr>
          <w:rFonts w:ascii="Arial" w:cs="Arial" w:eastAsia="Arial" w:hAnsi="Arial"/>
          <w:sz w:val="16"/>
          <w:szCs w:val="16"/>
          <w:color w:val="auto"/>
        </w:rPr>
      </w:pPr>
      <w:r>
        <w:rPr>
          <w:rFonts w:ascii="Arial" w:cs="Arial" w:eastAsia="Arial" w:hAnsi="Arial"/>
          <w:sz w:val="16"/>
          <w:szCs w:val="16"/>
          <w:color w:val="auto"/>
        </w:rPr>
        <w:t xml:space="preserve">$6 million higher regulatory awards, </w:t>
      </w:r>
      <w:r>
        <w:rPr>
          <w:rFonts w:ascii="Arial" w:cs="Arial" w:eastAsia="Arial" w:hAnsi="Arial"/>
          <w:sz w:val="16"/>
          <w:szCs w:val="16"/>
          <w:b w:val="1"/>
          <w:bCs w:val="1"/>
          <w:color w:val="auto"/>
        </w:rPr>
        <w:t>offset by</w:t>
      </w:r>
    </w:p>
    <w:p>
      <w:pPr>
        <w:spacing w:after="0" w:line="48" w:lineRule="exact"/>
        <w:rPr>
          <w:rFonts w:ascii="Arial" w:cs="Arial" w:eastAsia="Arial" w:hAnsi="Arial"/>
          <w:sz w:val="16"/>
          <w:szCs w:val="16"/>
          <w:color w:val="auto"/>
        </w:rPr>
      </w:pPr>
    </w:p>
    <w:p>
      <w:pPr>
        <w:ind w:left="144" w:hanging="144"/>
        <w:spacing w:after="0"/>
        <w:tabs>
          <w:tab w:leader="none" w:pos="144" w:val="left"/>
        </w:tabs>
        <w:numPr>
          <w:ilvl w:val="0"/>
          <w:numId w:val="243"/>
        </w:numPr>
        <w:rPr>
          <w:rFonts w:ascii="Arial" w:cs="Arial" w:eastAsia="Arial" w:hAnsi="Arial"/>
          <w:sz w:val="16"/>
          <w:szCs w:val="16"/>
          <w:color w:val="auto"/>
        </w:rPr>
      </w:pPr>
      <w:r>
        <w:rPr>
          <w:rFonts w:ascii="Arial" w:cs="Arial" w:eastAsia="Arial" w:hAnsi="Arial"/>
          <w:sz w:val="16"/>
          <w:szCs w:val="16"/>
          <w:color w:val="auto"/>
        </w:rPr>
        <w:t>$11 million lower non-core natural gas storage revenue in 2008.</w:t>
      </w:r>
    </w:p>
    <w:p>
      <w:pPr>
        <w:spacing w:after="0" w:line="128" w:lineRule="exact"/>
        <w:rPr>
          <w:sz w:val="20"/>
          <w:szCs w:val="20"/>
          <w:color w:val="auto"/>
        </w:rPr>
      </w:pPr>
    </w:p>
    <w:p>
      <w:pPr>
        <w:ind w:left="4"/>
        <w:spacing w:after="0" w:line="264" w:lineRule="auto"/>
        <w:rPr>
          <w:sz w:val="20"/>
          <w:szCs w:val="20"/>
          <w:color w:val="auto"/>
        </w:rPr>
      </w:pPr>
      <w:r>
        <w:rPr>
          <w:rFonts w:ascii="Arial" w:cs="Arial" w:eastAsia="Arial" w:hAnsi="Arial"/>
          <w:sz w:val="16"/>
          <w:szCs w:val="16"/>
          <w:color w:val="auto"/>
        </w:rPr>
        <w:t>In 2007, natural gas revenues increased by $101 million (2%) to $4.3 billion. The cost of natural gas remained constant at $2.4 billion. The increase in revenues was primarily due to a $63 million increase in authorized base margin. In addition, revenues increased by $41 million for recoverable expenses that are fully offset in operation and maintenance expenses.</w:t>
      </w:r>
    </w:p>
    <w:p>
      <w:pPr>
        <w:spacing w:after="0" w:line="42" w:lineRule="exact"/>
        <w:rPr>
          <w:sz w:val="20"/>
          <w:szCs w:val="20"/>
          <w:color w:val="auto"/>
        </w:rPr>
      </w:pPr>
    </w:p>
    <w:p>
      <w:pPr>
        <w:ind w:left="4"/>
        <w:spacing w:after="0"/>
        <w:rPr>
          <w:sz w:val="20"/>
          <w:szCs w:val="20"/>
          <w:color w:val="auto"/>
        </w:rPr>
      </w:pPr>
      <w:r>
        <w:rPr>
          <w:rFonts w:ascii="Arial" w:cs="Arial" w:eastAsia="Arial" w:hAnsi="Arial"/>
          <w:sz w:val="16"/>
          <w:szCs w:val="16"/>
          <w:color w:val="auto"/>
        </w:rPr>
        <w:t>SoCalGas' weighted average cost (including transportation charges) per MMBtu of natural gas was $7.78 in 2008, $6.39 in 2007 and $6.49 in 2006.</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4"/>
        <w:spacing w:after="0"/>
        <w:rPr>
          <w:sz w:val="20"/>
          <w:szCs w:val="20"/>
          <w:color w:val="auto"/>
        </w:rPr>
      </w:pPr>
      <w:r>
        <w:rPr>
          <w:rFonts w:ascii="Arial" w:cs="Arial" w:eastAsia="Arial" w:hAnsi="Arial"/>
          <w:sz w:val="14"/>
          <w:szCs w:val="14"/>
          <w:color w:val="auto"/>
        </w:rPr>
        <w:t>18</w:t>
      </w:r>
    </w:p>
    <w:p>
      <w:pPr>
        <w:sectPr>
          <w:pgSz w:w="11900" w:h="16838" w:orient="portrait"/>
          <w:cols w:equalWidth="0" w:num="1">
            <w:col w:w="11444"/>
          </w:cols>
          <w:pgMar w:left="236" w:top="363" w:right="219" w:bottom="1440" w:gutter="0" w:footer="0" w:header="0"/>
        </w:sectPr>
      </w:pPr>
    </w:p>
    <w:bookmarkStart w:id="158" w:name="page159"/>
    <w:bookmarkEnd w:id="158"/>
    <w:p>
      <w:pPr>
        <w:ind w:left="4"/>
        <w:spacing w:after="0"/>
        <w:rPr>
          <w:sz w:val="20"/>
          <w:szCs w:val="20"/>
          <w:color w:val="auto"/>
        </w:rPr>
      </w:pPr>
      <w:r>
        <w:rPr>
          <w:rFonts w:ascii="Arial" w:cs="Arial" w:eastAsia="Arial" w:hAnsi="Arial"/>
          <w:sz w:val="18"/>
          <w:szCs w:val="18"/>
          <w:b w:val="1"/>
          <w:bCs w:val="1"/>
          <w:i w:val="1"/>
          <w:iCs w:val="1"/>
          <w:color w:val="auto"/>
        </w:rPr>
        <w:t>Sempra Utilities: Electric Revenues and Cost of Electric Fuel and Purchased Power</w:t>
      </w:r>
    </w:p>
    <w:p>
      <w:pPr>
        <w:spacing w:after="0" w:line="23" w:lineRule="exact"/>
        <w:rPr>
          <w:sz w:val="20"/>
          <w:szCs w:val="20"/>
          <w:color w:val="auto"/>
        </w:rPr>
      </w:pPr>
    </w:p>
    <w:p>
      <w:pPr>
        <w:ind w:left="4" w:right="280"/>
        <w:spacing w:after="0" w:line="277" w:lineRule="auto"/>
        <w:rPr>
          <w:sz w:val="20"/>
          <w:szCs w:val="20"/>
          <w:color w:val="auto"/>
        </w:rPr>
      </w:pPr>
      <w:r>
        <w:rPr>
          <w:rFonts w:ascii="Arial" w:cs="Arial" w:eastAsia="Arial" w:hAnsi="Arial"/>
          <w:sz w:val="16"/>
          <w:szCs w:val="16"/>
          <w:color w:val="auto"/>
        </w:rPr>
        <w:t>The table below shows electric revenues for Sempra Energy and SDG&amp;E. Sempra Energy amounts are net of intercompany transactions. Because the cost of electricity is substantially recovered in rates, changes in the cost are reflected in the changes in revenues.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1052830</wp:posOffset>
            </wp:positionH>
            <wp:positionV relativeFrom="paragraph">
              <wp:posOffset>165735</wp:posOffset>
            </wp:positionV>
            <wp:extent cx="5156200" cy="24384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156200" cy="243840"/>
                    </a:xfrm>
                    <a:prstGeom prst="rect">
                      <a:avLst/>
                    </a:prstGeom>
                    <a:noFill/>
                  </pic:spPr>
                </pic:pic>
              </a:graphicData>
            </a:graphic>
          </wp:anchor>
        </w:drawing>
      </w:r>
    </w:p>
    <w:p>
      <w:pPr>
        <w:spacing w:after="0" w:line="248" w:lineRule="exact"/>
        <w:rPr>
          <w:sz w:val="20"/>
          <w:szCs w:val="20"/>
          <w:color w:val="auto"/>
        </w:rPr>
      </w:pPr>
    </w:p>
    <w:p>
      <w:pPr>
        <w:ind w:left="1664"/>
        <w:spacing w:after="0"/>
        <w:rPr>
          <w:sz w:val="20"/>
          <w:szCs w:val="20"/>
          <w:color w:val="auto"/>
        </w:rPr>
      </w:pPr>
      <w:r>
        <w:rPr>
          <w:rFonts w:ascii="Arial" w:cs="Arial" w:eastAsia="Arial" w:hAnsi="Arial"/>
          <w:sz w:val="14"/>
          <w:szCs w:val="14"/>
          <w:b w:val="1"/>
          <w:bCs w:val="1"/>
          <w:color w:val="auto"/>
        </w:rPr>
        <w:t>ELECTRIC DISTRIBUTION AND TRANSMISSION 2006-2008</w:t>
      </w:r>
    </w:p>
    <w:p>
      <w:pPr>
        <w:spacing w:after="0" w:line="40" w:lineRule="exact"/>
        <w:rPr>
          <w:sz w:val="20"/>
          <w:szCs w:val="20"/>
          <w:color w:val="auto"/>
        </w:rPr>
      </w:pPr>
    </w:p>
    <w:p>
      <w:pPr>
        <w:ind w:left="1664"/>
        <w:spacing w:after="0"/>
        <w:rPr>
          <w:sz w:val="20"/>
          <w:szCs w:val="20"/>
          <w:color w:val="auto"/>
        </w:rPr>
      </w:pPr>
      <w:r>
        <w:rPr>
          <w:rFonts w:ascii="Arial" w:cs="Arial" w:eastAsia="Arial" w:hAnsi="Arial"/>
          <w:sz w:val="13"/>
          <w:szCs w:val="13"/>
          <w:i w:val="1"/>
          <w:iCs w:val="1"/>
          <w:color w:val="auto"/>
        </w:rPr>
        <w:t>(Volumes in millions of kilowatt-hours, dollars in millions)</w:t>
      </w:r>
    </w:p>
    <w:p>
      <w:pPr>
        <w:spacing w:after="0" w:line="67" w:lineRule="exact"/>
        <w:rPr>
          <w:sz w:val="20"/>
          <w:szCs w:val="20"/>
          <w:color w:val="auto"/>
        </w:rPr>
      </w:pPr>
    </w:p>
    <w:tbl>
      <w:tblPr>
        <w:tblLayout w:type="fixed"/>
        <w:tblInd w:w="1664" w:type="dxa"/>
        <w:tblCellMar>
          <w:top w:w="0" w:type="dxa"/>
          <w:left w:w="0" w:type="dxa"/>
          <w:bottom w:w="0" w:type="dxa"/>
          <w:right w:w="0" w:type="dxa"/>
        </w:tblCellMar>
      </w:tblPr>
      <w:tr>
        <w:trPr>
          <w:trHeight w:val="159"/>
        </w:trPr>
        <w:tc>
          <w:tcPr>
            <w:tcW w:w="2240" w:type="dxa"/>
            <w:vAlign w:val="bottom"/>
          </w:tcPr>
          <w:p>
            <w:pPr>
              <w:spacing w:after="0"/>
              <w:rPr>
                <w:sz w:val="13"/>
                <w:szCs w:val="13"/>
                <w:color w:val="auto"/>
              </w:rPr>
            </w:pPr>
          </w:p>
        </w:tc>
        <w:tc>
          <w:tcPr>
            <w:tcW w:w="1220" w:type="dxa"/>
            <w:vAlign w:val="bottom"/>
            <w:tcBorders>
              <w:bottom w:val="single" w:sz="8" w:color="auto"/>
            </w:tcBorders>
          </w:tcPr>
          <w:p>
            <w:pPr>
              <w:jc w:val="right"/>
              <w:ind w:right="9"/>
              <w:spacing w:after="0"/>
              <w:rPr>
                <w:sz w:val="20"/>
                <w:szCs w:val="20"/>
                <w:color w:val="auto"/>
              </w:rPr>
            </w:pPr>
            <w:r>
              <w:rPr>
                <w:rFonts w:ascii="Arial" w:cs="Arial" w:eastAsia="Arial" w:hAnsi="Arial"/>
                <w:sz w:val="13"/>
                <w:szCs w:val="13"/>
                <w:color w:val="auto"/>
              </w:rPr>
              <w:t>2008</w:t>
            </w:r>
          </w:p>
        </w:tc>
        <w:tc>
          <w:tcPr>
            <w:tcW w:w="20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29"/>
              <w:spacing w:after="0"/>
              <w:rPr>
                <w:sz w:val="20"/>
                <w:szCs w:val="20"/>
                <w:color w:val="auto"/>
              </w:rPr>
            </w:pPr>
            <w:r>
              <w:rPr>
                <w:rFonts w:ascii="Arial" w:cs="Arial" w:eastAsia="Arial" w:hAnsi="Arial"/>
                <w:sz w:val="13"/>
                <w:szCs w:val="13"/>
                <w:color w:val="auto"/>
              </w:rPr>
              <w:t>2007</w:t>
            </w:r>
          </w:p>
        </w:tc>
        <w:tc>
          <w:tcPr>
            <w:tcW w:w="20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29"/>
              <w:spacing w:after="0"/>
              <w:rPr>
                <w:sz w:val="20"/>
                <w:szCs w:val="20"/>
                <w:color w:val="auto"/>
              </w:rPr>
            </w:pPr>
            <w:r>
              <w:rPr>
                <w:rFonts w:ascii="Arial" w:cs="Arial" w:eastAsia="Arial" w:hAnsi="Arial"/>
                <w:sz w:val="13"/>
                <w:szCs w:val="13"/>
                <w:color w:val="auto"/>
              </w:rPr>
              <w:t>2006</w:t>
            </w:r>
          </w:p>
        </w:tc>
        <w:tc>
          <w:tcPr>
            <w:tcW w:w="18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r>
      <w:tr>
        <w:trPr>
          <w:trHeight w:val="172"/>
        </w:trPr>
        <w:tc>
          <w:tcPr>
            <w:tcW w:w="224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Customer Class</w:t>
            </w:r>
          </w:p>
        </w:tc>
        <w:tc>
          <w:tcPr>
            <w:tcW w:w="1220" w:type="dxa"/>
            <w:vAlign w:val="bottom"/>
            <w:tcBorders>
              <w:bottom w:val="single" w:sz="8" w:color="auto"/>
            </w:tcBorders>
          </w:tcPr>
          <w:p>
            <w:pPr>
              <w:jc w:val="right"/>
              <w:ind w:right="329"/>
              <w:spacing w:after="0"/>
              <w:rPr>
                <w:sz w:val="20"/>
                <w:szCs w:val="20"/>
                <w:color w:val="auto"/>
              </w:rPr>
            </w:pPr>
            <w:r>
              <w:rPr>
                <w:rFonts w:ascii="Arial" w:cs="Arial" w:eastAsia="Arial" w:hAnsi="Arial"/>
                <w:sz w:val="13"/>
                <w:szCs w:val="13"/>
                <w:color w:val="auto"/>
              </w:rPr>
              <w:t>Volumes</w:t>
            </w:r>
          </w:p>
        </w:tc>
        <w:tc>
          <w:tcPr>
            <w:tcW w:w="2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148"/>
              <w:spacing w:after="0"/>
              <w:rPr>
                <w:sz w:val="20"/>
                <w:szCs w:val="20"/>
                <w:color w:val="auto"/>
              </w:rPr>
            </w:pPr>
            <w:r>
              <w:rPr>
                <w:rFonts w:ascii="Arial" w:cs="Arial" w:eastAsia="Arial" w:hAnsi="Arial"/>
                <w:sz w:val="13"/>
                <w:szCs w:val="13"/>
                <w:color w:val="auto"/>
              </w:rPr>
              <w:t>Revenue</w:t>
            </w:r>
          </w:p>
        </w:tc>
        <w:tc>
          <w:tcPr>
            <w:tcW w:w="1020" w:type="dxa"/>
            <w:vAlign w:val="bottom"/>
            <w:tcBorders>
              <w:bottom w:val="single" w:sz="8" w:color="auto"/>
            </w:tcBorders>
          </w:tcPr>
          <w:p>
            <w:pPr>
              <w:jc w:val="right"/>
              <w:ind w:right="249"/>
              <w:spacing w:after="0"/>
              <w:rPr>
                <w:sz w:val="20"/>
                <w:szCs w:val="20"/>
                <w:color w:val="auto"/>
              </w:rPr>
            </w:pPr>
            <w:r>
              <w:rPr>
                <w:rFonts w:ascii="Arial" w:cs="Arial" w:eastAsia="Arial" w:hAnsi="Arial"/>
                <w:sz w:val="13"/>
                <w:szCs w:val="13"/>
                <w:color w:val="auto"/>
              </w:rPr>
              <w:t>Volumes</w:t>
            </w:r>
          </w:p>
        </w:tc>
        <w:tc>
          <w:tcPr>
            <w:tcW w:w="2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188"/>
              <w:spacing w:after="0"/>
              <w:rPr>
                <w:sz w:val="20"/>
                <w:szCs w:val="20"/>
                <w:color w:val="auto"/>
              </w:rPr>
            </w:pPr>
            <w:r>
              <w:rPr>
                <w:rFonts w:ascii="Arial" w:cs="Arial" w:eastAsia="Arial" w:hAnsi="Arial"/>
                <w:sz w:val="13"/>
                <w:szCs w:val="13"/>
                <w:color w:val="auto"/>
                <w:w w:val="99"/>
              </w:rPr>
              <w:t>Revenue</w:t>
            </w:r>
          </w:p>
        </w:tc>
        <w:tc>
          <w:tcPr>
            <w:tcW w:w="940" w:type="dxa"/>
            <w:vAlign w:val="bottom"/>
            <w:tcBorders>
              <w:bottom w:val="single" w:sz="8" w:color="auto"/>
            </w:tcBorders>
          </w:tcPr>
          <w:p>
            <w:pPr>
              <w:jc w:val="right"/>
              <w:ind w:right="209"/>
              <w:spacing w:after="0"/>
              <w:rPr>
                <w:sz w:val="20"/>
                <w:szCs w:val="20"/>
                <w:color w:val="auto"/>
              </w:rPr>
            </w:pPr>
            <w:r>
              <w:rPr>
                <w:rFonts w:ascii="Arial" w:cs="Arial" w:eastAsia="Arial" w:hAnsi="Arial"/>
                <w:sz w:val="13"/>
                <w:szCs w:val="13"/>
                <w:color w:val="auto"/>
              </w:rPr>
              <w:t>Volumes</w:t>
            </w:r>
          </w:p>
        </w:tc>
        <w:tc>
          <w:tcPr>
            <w:tcW w:w="1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96"/>
              </w:rPr>
              <w:t>Revenue</w:t>
            </w:r>
          </w:p>
        </w:tc>
      </w:tr>
      <w:tr>
        <w:trPr>
          <w:trHeight w:val="207"/>
        </w:trPr>
        <w:tc>
          <w:tcPr>
            <w:tcW w:w="2240" w:type="dxa"/>
            <w:vAlign w:val="bottom"/>
          </w:tcPr>
          <w:p>
            <w:pPr>
              <w:spacing w:after="0"/>
              <w:rPr>
                <w:sz w:val="20"/>
                <w:szCs w:val="20"/>
                <w:color w:val="auto"/>
              </w:rPr>
            </w:pPr>
            <w:r>
              <w:rPr>
                <w:rFonts w:ascii="Arial" w:cs="Arial" w:eastAsia="Arial" w:hAnsi="Arial"/>
                <w:sz w:val="14"/>
                <w:szCs w:val="14"/>
                <w:b w:val="1"/>
                <w:bCs w:val="1"/>
                <w:color w:val="auto"/>
              </w:rPr>
              <w:t>Sempra Energy Consolidated:</w:t>
            </w: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r>
      <w:tr>
        <w:trPr>
          <w:trHeight w:val="216"/>
        </w:trPr>
        <w:tc>
          <w:tcPr>
            <w:tcW w:w="2240" w:type="dxa"/>
            <w:vAlign w:val="bottom"/>
          </w:tcPr>
          <w:p>
            <w:pPr>
              <w:spacing w:after="0"/>
              <w:rPr>
                <w:sz w:val="20"/>
                <w:szCs w:val="20"/>
                <w:color w:val="auto"/>
              </w:rPr>
            </w:pPr>
            <w:r>
              <w:rPr>
                <w:rFonts w:ascii="Arial" w:cs="Arial" w:eastAsia="Arial" w:hAnsi="Arial"/>
                <w:sz w:val="14"/>
                <w:szCs w:val="14"/>
                <w:color w:val="auto"/>
              </w:rPr>
              <w:t>Residential</w:t>
            </w:r>
          </w:p>
        </w:tc>
        <w:tc>
          <w:tcPr>
            <w:tcW w:w="1220" w:type="dxa"/>
            <w:vAlign w:val="bottom"/>
          </w:tcPr>
          <w:p>
            <w:pPr>
              <w:jc w:val="right"/>
              <w:ind w:right="329"/>
              <w:spacing w:after="0"/>
              <w:rPr>
                <w:sz w:val="20"/>
                <w:szCs w:val="20"/>
                <w:color w:val="auto"/>
              </w:rPr>
            </w:pPr>
            <w:r>
              <w:rPr>
                <w:rFonts w:ascii="Arial" w:cs="Arial" w:eastAsia="Arial" w:hAnsi="Arial"/>
                <w:sz w:val="14"/>
                <w:szCs w:val="14"/>
                <w:color w:val="auto"/>
              </w:rPr>
              <w:t>7,698</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128"/>
              <w:spacing w:after="0"/>
              <w:rPr>
                <w:sz w:val="20"/>
                <w:szCs w:val="20"/>
                <w:color w:val="auto"/>
              </w:rPr>
            </w:pPr>
            <w:r>
              <w:rPr>
                <w:rFonts w:ascii="Arial" w:cs="Arial" w:eastAsia="Arial" w:hAnsi="Arial"/>
                <w:sz w:val="14"/>
                <w:szCs w:val="14"/>
                <w:color w:val="auto"/>
              </w:rPr>
              <w:t>976</w:t>
            </w:r>
          </w:p>
        </w:tc>
        <w:tc>
          <w:tcPr>
            <w:tcW w:w="1020" w:type="dxa"/>
            <w:vAlign w:val="bottom"/>
          </w:tcPr>
          <w:p>
            <w:pPr>
              <w:jc w:val="right"/>
              <w:ind w:right="209"/>
              <w:spacing w:after="0"/>
              <w:rPr>
                <w:sz w:val="20"/>
                <w:szCs w:val="20"/>
                <w:color w:val="auto"/>
              </w:rPr>
            </w:pPr>
            <w:r>
              <w:rPr>
                <w:rFonts w:ascii="Arial" w:cs="Arial" w:eastAsia="Arial" w:hAnsi="Arial"/>
                <w:sz w:val="14"/>
                <w:szCs w:val="14"/>
                <w:color w:val="auto"/>
              </w:rPr>
              <w:t>7,520</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188"/>
              <w:spacing w:after="0"/>
              <w:rPr>
                <w:sz w:val="20"/>
                <w:szCs w:val="20"/>
                <w:color w:val="auto"/>
              </w:rPr>
            </w:pPr>
            <w:r>
              <w:rPr>
                <w:rFonts w:ascii="Arial" w:cs="Arial" w:eastAsia="Arial" w:hAnsi="Arial"/>
                <w:sz w:val="14"/>
                <w:szCs w:val="14"/>
                <w:color w:val="auto"/>
              </w:rPr>
              <w:t>980</w:t>
            </w:r>
          </w:p>
        </w:tc>
        <w:tc>
          <w:tcPr>
            <w:tcW w:w="940" w:type="dxa"/>
            <w:vAlign w:val="bottom"/>
          </w:tcPr>
          <w:p>
            <w:pPr>
              <w:jc w:val="right"/>
              <w:ind w:right="209"/>
              <w:spacing w:after="0"/>
              <w:rPr>
                <w:sz w:val="20"/>
                <w:szCs w:val="20"/>
                <w:color w:val="auto"/>
              </w:rPr>
            </w:pPr>
            <w:r>
              <w:rPr>
                <w:rFonts w:ascii="Arial" w:cs="Arial" w:eastAsia="Arial" w:hAnsi="Arial"/>
                <w:sz w:val="14"/>
                <w:szCs w:val="14"/>
                <w:color w:val="auto"/>
              </w:rPr>
              <w:t>7,501</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910</w:t>
            </w:r>
          </w:p>
        </w:tc>
      </w:tr>
      <w:tr>
        <w:trPr>
          <w:trHeight w:val="216"/>
        </w:trPr>
        <w:tc>
          <w:tcPr>
            <w:tcW w:w="2240" w:type="dxa"/>
            <w:vAlign w:val="bottom"/>
          </w:tcPr>
          <w:p>
            <w:pPr>
              <w:spacing w:after="0"/>
              <w:rPr>
                <w:sz w:val="20"/>
                <w:szCs w:val="20"/>
                <w:color w:val="auto"/>
              </w:rPr>
            </w:pPr>
            <w:r>
              <w:rPr>
                <w:rFonts w:ascii="Arial" w:cs="Arial" w:eastAsia="Arial" w:hAnsi="Arial"/>
                <w:sz w:val="14"/>
                <w:szCs w:val="14"/>
                <w:color w:val="auto"/>
              </w:rPr>
              <w:t>Commercial</w:t>
            </w:r>
          </w:p>
        </w:tc>
        <w:tc>
          <w:tcPr>
            <w:tcW w:w="1220" w:type="dxa"/>
            <w:vAlign w:val="bottom"/>
          </w:tcPr>
          <w:p>
            <w:pPr>
              <w:jc w:val="right"/>
              <w:ind w:right="329"/>
              <w:spacing w:after="0"/>
              <w:rPr>
                <w:sz w:val="20"/>
                <w:szCs w:val="20"/>
                <w:color w:val="auto"/>
              </w:rPr>
            </w:pPr>
            <w:r>
              <w:rPr>
                <w:rFonts w:ascii="Arial" w:cs="Arial" w:eastAsia="Arial" w:hAnsi="Arial"/>
                <w:sz w:val="14"/>
                <w:szCs w:val="14"/>
                <w:color w:val="auto"/>
              </w:rPr>
              <w:t>7,254</w:t>
            </w:r>
          </w:p>
        </w:tc>
        <w:tc>
          <w:tcPr>
            <w:tcW w:w="200" w:type="dxa"/>
            <w:vAlign w:val="bottom"/>
          </w:tcPr>
          <w:p>
            <w:pPr>
              <w:spacing w:after="0"/>
              <w:rPr>
                <w:sz w:val="18"/>
                <w:szCs w:val="18"/>
                <w:color w:val="auto"/>
              </w:rPr>
            </w:pPr>
          </w:p>
        </w:tc>
        <w:tc>
          <w:tcPr>
            <w:tcW w:w="780" w:type="dxa"/>
            <w:vAlign w:val="bottom"/>
          </w:tcPr>
          <w:p>
            <w:pPr>
              <w:jc w:val="right"/>
              <w:ind w:right="128"/>
              <w:spacing w:after="0"/>
              <w:rPr>
                <w:sz w:val="20"/>
                <w:szCs w:val="20"/>
                <w:color w:val="auto"/>
              </w:rPr>
            </w:pPr>
            <w:r>
              <w:rPr>
                <w:rFonts w:ascii="Arial" w:cs="Arial" w:eastAsia="Arial" w:hAnsi="Arial"/>
                <w:sz w:val="14"/>
                <w:szCs w:val="14"/>
                <w:color w:val="auto"/>
              </w:rPr>
              <w:t>843</w:t>
            </w:r>
          </w:p>
        </w:tc>
        <w:tc>
          <w:tcPr>
            <w:tcW w:w="1020" w:type="dxa"/>
            <w:vAlign w:val="bottom"/>
          </w:tcPr>
          <w:p>
            <w:pPr>
              <w:jc w:val="right"/>
              <w:ind w:right="209"/>
              <w:spacing w:after="0"/>
              <w:rPr>
                <w:sz w:val="20"/>
                <w:szCs w:val="20"/>
                <w:color w:val="auto"/>
              </w:rPr>
            </w:pPr>
            <w:r>
              <w:rPr>
                <w:rFonts w:ascii="Arial" w:cs="Arial" w:eastAsia="Arial" w:hAnsi="Arial"/>
                <w:sz w:val="14"/>
                <w:szCs w:val="14"/>
                <w:color w:val="auto"/>
              </w:rPr>
              <w:t>7,154</w:t>
            </w:r>
          </w:p>
        </w:tc>
        <w:tc>
          <w:tcPr>
            <w:tcW w:w="200" w:type="dxa"/>
            <w:vAlign w:val="bottom"/>
          </w:tcPr>
          <w:p>
            <w:pPr>
              <w:spacing w:after="0"/>
              <w:rPr>
                <w:sz w:val="18"/>
                <w:szCs w:val="18"/>
                <w:color w:val="auto"/>
              </w:rPr>
            </w:pPr>
          </w:p>
        </w:tc>
        <w:tc>
          <w:tcPr>
            <w:tcW w:w="800" w:type="dxa"/>
            <w:vAlign w:val="bottom"/>
          </w:tcPr>
          <w:p>
            <w:pPr>
              <w:jc w:val="right"/>
              <w:ind w:right="188"/>
              <w:spacing w:after="0"/>
              <w:rPr>
                <w:sz w:val="20"/>
                <w:szCs w:val="20"/>
                <w:color w:val="auto"/>
              </w:rPr>
            </w:pPr>
            <w:r>
              <w:rPr>
                <w:rFonts w:ascii="Arial" w:cs="Arial" w:eastAsia="Arial" w:hAnsi="Arial"/>
                <w:sz w:val="14"/>
                <w:szCs w:val="14"/>
                <w:color w:val="auto"/>
              </w:rPr>
              <w:t>852</w:t>
            </w:r>
          </w:p>
        </w:tc>
        <w:tc>
          <w:tcPr>
            <w:tcW w:w="940" w:type="dxa"/>
            <w:vAlign w:val="bottom"/>
          </w:tcPr>
          <w:p>
            <w:pPr>
              <w:jc w:val="right"/>
              <w:ind w:right="209"/>
              <w:spacing w:after="0"/>
              <w:rPr>
                <w:sz w:val="20"/>
                <w:szCs w:val="20"/>
                <w:color w:val="auto"/>
              </w:rPr>
            </w:pPr>
            <w:r>
              <w:rPr>
                <w:rFonts w:ascii="Arial" w:cs="Arial" w:eastAsia="Arial" w:hAnsi="Arial"/>
                <w:sz w:val="14"/>
                <w:szCs w:val="14"/>
                <w:color w:val="auto"/>
              </w:rPr>
              <w:t>6,983</w:t>
            </w:r>
          </w:p>
        </w:tc>
        <w:tc>
          <w:tcPr>
            <w:tcW w:w="1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723</w:t>
            </w:r>
          </w:p>
        </w:tc>
      </w:tr>
      <w:tr>
        <w:trPr>
          <w:trHeight w:val="216"/>
        </w:trPr>
        <w:tc>
          <w:tcPr>
            <w:tcW w:w="2240" w:type="dxa"/>
            <w:vAlign w:val="bottom"/>
          </w:tcPr>
          <w:p>
            <w:pPr>
              <w:spacing w:after="0"/>
              <w:rPr>
                <w:sz w:val="20"/>
                <w:szCs w:val="20"/>
                <w:color w:val="auto"/>
              </w:rPr>
            </w:pPr>
            <w:r>
              <w:rPr>
                <w:rFonts w:ascii="Arial" w:cs="Arial" w:eastAsia="Arial" w:hAnsi="Arial"/>
                <w:sz w:val="14"/>
                <w:szCs w:val="14"/>
                <w:color w:val="auto"/>
              </w:rPr>
              <w:t>Industrial</w:t>
            </w:r>
          </w:p>
        </w:tc>
        <w:tc>
          <w:tcPr>
            <w:tcW w:w="1220" w:type="dxa"/>
            <w:vAlign w:val="bottom"/>
          </w:tcPr>
          <w:p>
            <w:pPr>
              <w:jc w:val="right"/>
              <w:ind w:right="329"/>
              <w:spacing w:after="0"/>
              <w:rPr>
                <w:sz w:val="20"/>
                <w:szCs w:val="20"/>
                <w:color w:val="auto"/>
              </w:rPr>
            </w:pPr>
            <w:r>
              <w:rPr>
                <w:rFonts w:ascii="Arial" w:cs="Arial" w:eastAsia="Arial" w:hAnsi="Arial"/>
                <w:sz w:val="14"/>
                <w:szCs w:val="14"/>
                <w:color w:val="auto"/>
              </w:rPr>
              <w:t>2,340</w:t>
            </w:r>
          </w:p>
        </w:tc>
        <w:tc>
          <w:tcPr>
            <w:tcW w:w="200" w:type="dxa"/>
            <w:vAlign w:val="bottom"/>
          </w:tcPr>
          <w:p>
            <w:pPr>
              <w:spacing w:after="0"/>
              <w:rPr>
                <w:sz w:val="18"/>
                <w:szCs w:val="18"/>
                <w:color w:val="auto"/>
              </w:rPr>
            </w:pPr>
          </w:p>
        </w:tc>
        <w:tc>
          <w:tcPr>
            <w:tcW w:w="780" w:type="dxa"/>
            <w:vAlign w:val="bottom"/>
          </w:tcPr>
          <w:p>
            <w:pPr>
              <w:jc w:val="right"/>
              <w:ind w:right="128"/>
              <w:spacing w:after="0"/>
              <w:rPr>
                <w:sz w:val="20"/>
                <w:szCs w:val="20"/>
                <w:color w:val="auto"/>
              </w:rPr>
            </w:pPr>
            <w:r>
              <w:rPr>
                <w:rFonts w:ascii="Arial" w:cs="Arial" w:eastAsia="Arial" w:hAnsi="Arial"/>
                <w:sz w:val="14"/>
                <w:szCs w:val="14"/>
                <w:color w:val="auto"/>
              </w:rPr>
              <w:t>214</w:t>
            </w:r>
          </w:p>
        </w:tc>
        <w:tc>
          <w:tcPr>
            <w:tcW w:w="1020" w:type="dxa"/>
            <w:vAlign w:val="bottom"/>
          </w:tcPr>
          <w:p>
            <w:pPr>
              <w:jc w:val="right"/>
              <w:ind w:right="209"/>
              <w:spacing w:after="0"/>
              <w:rPr>
                <w:sz w:val="20"/>
                <w:szCs w:val="20"/>
                <w:color w:val="auto"/>
              </w:rPr>
            </w:pPr>
            <w:r>
              <w:rPr>
                <w:rFonts w:ascii="Arial" w:cs="Arial" w:eastAsia="Arial" w:hAnsi="Arial"/>
                <w:sz w:val="14"/>
                <w:szCs w:val="14"/>
                <w:color w:val="auto"/>
              </w:rPr>
              <w:t>2,264</w:t>
            </w:r>
          </w:p>
        </w:tc>
        <w:tc>
          <w:tcPr>
            <w:tcW w:w="200" w:type="dxa"/>
            <w:vAlign w:val="bottom"/>
          </w:tcPr>
          <w:p>
            <w:pPr>
              <w:spacing w:after="0"/>
              <w:rPr>
                <w:sz w:val="18"/>
                <w:szCs w:val="18"/>
                <w:color w:val="auto"/>
              </w:rPr>
            </w:pPr>
          </w:p>
        </w:tc>
        <w:tc>
          <w:tcPr>
            <w:tcW w:w="800" w:type="dxa"/>
            <w:vAlign w:val="bottom"/>
          </w:tcPr>
          <w:p>
            <w:pPr>
              <w:jc w:val="right"/>
              <w:ind w:right="188"/>
              <w:spacing w:after="0"/>
              <w:rPr>
                <w:sz w:val="20"/>
                <w:szCs w:val="20"/>
                <w:color w:val="auto"/>
              </w:rPr>
            </w:pPr>
            <w:r>
              <w:rPr>
                <w:rFonts w:ascii="Arial" w:cs="Arial" w:eastAsia="Arial" w:hAnsi="Arial"/>
                <w:sz w:val="14"/>
                <w:szCs w:val="14"/>
                <w:color w:val="auto"/>
              </w:rPr>
              <w:t>228</w:t>
            </w:r>
          </w:p>
        </w:tc>
        <w:tc>
          <w:tcPr>
            <w:tcW w:w="940" w:type="dxa"/>
            <w:vAlign w:val="bottom"/>
          </w:tcPr>
          <w:p>
            <w:pPr>
              <w:jc w:val="right"/>
              <w:ind w:right="209"/>
              <w:spacing w:after="0"/>
              <w:rPr>
                <w:sz w:val="20"/>
                <w:szCs w:val="20"/>
                <w:color w:val="auto"/>
              </w:rPr>
            </w:pPr>
            <w:r>
              <w:rPr>
                <w:rFonts w:ascii="Arial" w:cs="Arial" w:eastAsia="Arial" w:hAnsi="Arial"/>
                <w:sz w:val="14"/>
                <w:szCs w:val="14"/>
                <w:color w:val="auto"/>
              </w:rPr>
              <w:t>2,250</w:t>
            </w:r>
          </w:p>
        </w:tc>
        <w:tc>
          <w:tcPr>
            <w:tcW w:w="1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180</w:t>
            </w:r>
          </w:p>
        </w:tc>
      </w:tr>
      <w:tr>
        <w:trPr>
          <w:trHeight w:val="216"/>
        </w:trPr>
        <w:tc>
          <w:tcPr>
            <w:tcW w:w="2240" w:type="dxa"/>
            <w:vAlign w:val="bottom"/>
          </w:tcPr>
          <w:p>
            <w:pPr>
              <w:spacing w:after="0"/>
              <w:rPr>
                <w:sz w:val="20"/>
                <w:szCs w:val="20"/>
                <w:color w:val="auto"/>
              </w:rPr>
            </w:pPr>
            <w:r>
              <w:rPr>
                <w:rFonts w:ascii="Arial" w:cs="Arial" w:eastAsia="Arial" w:hAnsi="Arial"/>
                <w:sz w:val="14"/>
                <w:szCs w:val="14"/>
                <w:color w:val="auto"/>
              </w:rPr>
              <w:t>Direct access</w:t>
            </w:r>
          </w:p>
        </w:tc>
        <w:tc>
          <w:tcPr>
            <w:tcW w:w="1220" w:type="dxa"/>
            <w:vAlign w:val="bottom"/>
          </w:tcPr>
          <w:p>
            <w:pPr>
              <w:jc w:val="right"/>
              <w:ind w:right="329"/>
              <w:spacing w:after="0"/>
              <w:rPr>
                <w:sz w:val="20"/>
                <w:szCs w:val="20"/>
                <w:color w:val="auto"/>
              </w:rPr>
            </w:pPr>
            <w:r>
              <w:rPr>
                <w:rFonts w:ascii="Arial" w:cs="Arial" w:eastAsia="Arial" w:hAnsi="Arial"/>
                <w:sz w:val="14"/>
                <w:szCs w:val="14"/>
                <w:color w:val="auto"/>
              </w:rPr>
              <w:t>3,235</w:t>
            </w:r>
          </w:p>
        </w:tc>
        <w:tc>
          <w:tcPr>
            <w:tcW w:w="200" w:type="dxa"/>
            <w:vAlign w:val="bottom"/>
          </w:tcPr>
          <w:p>
            <w:pPr>
              <w:spacing w:after="0"/>
              <w:rPr>
                <w:sz w:val="18"/>
                <w:szCs w:val="18"/>
                <w:color w:val="auto"/>
              </w:rPr>
            </w:pPr>
          </w:p>
        </w:tc>
        <w:tc>
          <w:tcPr>
            <w:tcW w:w="780" w:type="dxa"/>
            <w:vAlign w:val="bottom"/>
          </w:tcPr>
          <w:p>
            <w:pPr>
              <w:jc w:val="right"/>
              <w:ind w:right="128"/>
              <w:spacing w:after="0"/>
              <w:rPr>
                <w:sz w:val="20"/>
                <w:szCs w:val="20"/>
                <w:color w:val="auto"/>
              </w:rPr>
            </w:pPr>
            <w:r>
              <w:rPr>
                <w:rFonts w:ascii="Arial" w:cs="Arial" w:eastAsia="Arial" w:hAnsi="Arial"/>
                <w:sz w:val="14"/>
                <w:szCs w:val="14"/>
                <w:color w:val="auto"/>
              </w:rPr>
              <w:t>101</w:t>
            </w:r>
          </w:p>
        </w:tc>
        <w:tc>
          <w:tcPr>
            <w:tcW w:w="1020" w:type="dxa"/>
            <w:vAlign w:val="bottom"/>
          </w:tcPr>
          <w:p>
            <w:pPr>
              <w:jc w:val="right"/>
              <w:ind w:right="209"/>
              <w:spacing w:after="0"/>
              <w:rPr>
                <w:sz w:val="20"/>
                <w:szCs w:val="20"/>
                <w:color w:val="auto"/>
              </w:rPr>
            </w:pPr>
            <w:r>
              <w:rPr>
                <w:rFonts w:ascii="Arial" w:cs="Arial" w:eastAsia="Arial" w:hAnsi="Arial"/>
                <w:sz w:val="14"/>
                <w:szCs w:val="14"/>
                <w:color w:val="auto"/>
              </w:rPr>
              <w:t>3,220</w:t>
            </w:r>
          </w:p>
        </w:tc>
        <w:tc>
          <w:tcPr>
            <w:tcW w:w="200" w:type="dxa"/>
            <w:vAlign w:val="bottom"/>
          </w:tcPr>
          <w:p>
            <w:pPr>
              <w:spacing w:after="0"/>
              <w:rPr>
                <w:sz w:val="18"/>
                <w:szCs w:val="18"/>
                <w:color w:val="auto"/>
              </w:rPr>
            </w:pPr>
          </w:p>
        </w:tc>
        <w:tc>
          <w:tcPr>
            <w:tcW w:w="800" w:type="dxa"/>
            <w:vAlign w:val="bottom"/>
          </w:tcPr>
          <w:p>
            <w:pPr>
              <w:jc w:val="right"/>
              <w:ind w:right="188"/>
              <w:spacing w:after="0"/>
              <w:rPr>
                <w:sz w:val="20"/>
                <w:szCs w:val="20"/>
                <w:color w:val="auto"/>
              </w:rPr>
            </w:pPr>
            <w:r>
              <w:rPr>
                <w:rFonts w:ascii="Arial" w:cs="Arial" w:eastAsia="Arial" w:hAnsi="Arial"/>
                <w:sz w:val="14"/>
                <w:szCs w:val="14"/>
                <w:color w:val="auto"/>
              </w:rPr>
              <w:t>118</w:t>
            </w:r>
          </w:p>
        </w:tc>
        <w:tc>
          <w:tcPr>
            <w:tcW w:w="940" w:type="dxa"/>
            <w:vAlign w:val="bottom"/>
          </w:tcPr>
          <w:p>
            <w:pPr>
              <w:jc w:val="right"/>
              <w:ind w:right="209"/>
              <w:spacing w:after="0"/>
              <w:rPr>
                <w:sz w:val="20"/>
                <w:szCs w:val="20"/>
                <w:color w:val="auto"/>
              </w:rPr>
            </w:pPr>
            <w:r>
              <w:rPr>
                <w:rFonts w:ascii="Arial" w:cs="Arial" w:eastAsia="Arial" w:hAnsi="Arial"/>
                <w:sz w:val="14"/>
                <w:szCs w:val="14"/>
                <w:color w:val="auto"/>
              </w:rPr>
              <w:t>3,390</w:t>
            </w:r>
          </w:p>
        </w:tc>
        <w:tc>
          <w:tcPr>
            <w:tcW w:w="1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133</w:t>
            </w:r>
          </w:p>
        </w:tc>
      </w:tr>
      <w:tr>
        <w:trPr>
          <w:trHeight w:val="222"/>
        </w:trPr>
        <w:tc>
          <w:tcPr>
            <w:tcW w:w="2240" w:type="dxa"/>
            <w:vAlign w:val="bottom"/>
          </w:tcPr>
          <w:p>
            <w:pPr>
              <w:spacing w:after="0"/>
              <w:rPr>
                <w:sz w:val="20"/>
                <w:szCs w:val="20"/>
                <w:color w:val="auto"/>
              </w:rPr>
            </w:pPr>
            <w:r>
              <w:rPr>
                <w:rFonts w:ascii="Arial" w:cs="Arial" w:eastAsia="Arial" w:hAnsi="Arial"/>
                <w:sz w:val="14"/>
                <w:szCs w:val="14"/>
                <w:color w:val="auto"/>
              </w:rPr>
              <w:t>Street and highway lighting</w:t>
            </w:r>
          </w:p>
        </w:tc>
        <w:tc>
          <w:tcPr>
            <w:tcW w:w="1220" w:type="dxa"/>
            <w:vAlign w:val="bottom"/>
            <w:tcBorders>
              <w:bottom w:val="single" w:sz="8" w:color="auto"/>
            </w:tcBorders>
          </w:tcPr>
          <w:p>
            <w:pPr>
              <w:jc w:val="right"/>
              <w:ind w:right="329"/>
              <w:spacing w:after="0"/>
              <w:rPr>
                <w:sz w:val="20"/>
                <w:szCs w:val="20"/>
                <w:color w:val="auto"/>
              </w:rPr>
            </w:pPr>
            <w:r>
              <w:rPr>
                <w:rFonts w:ascii="Arial" w:cs="Arial" w:eastAsia="Arial" w:hAnsi="Arial"/>
                <w:sz w:val="14"/>
                <w:szCs w:val="14"/>
                <w:color w:val="auto"/>
              </w:rPr>
              <w:t>106</w:t>
            </w: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12</w:t>
            </w:r>
          </w:p>
        </w:tc>
        <w:tc>
          <w:tcPr>
            <w:tcW w:w="1020" w:type="dxa"/>
            <w:vAlign w:val="bottom"/>
            <w:tcBorders>
              <w:bottom w:val="single" w:sz="8" w:color="auto"/>
            </w:tcBorders>
          </w:tcPr>
          <w:p>
            <w:pPr>
              <w:jc w:val="right"/>
              <w:ind w:right="209"/>
              <w:spacing w:after="0"/>
              <w:rPr>
                <w:sz w:val="20"/>
                <w:szCs w:val="20"/>
                <w:color w:val="auto"/>
              </w:rPr>
            </w:pPr>
            <w:r>
              <w:rPr>
                <w:rFonts w:ascii="Arial" w:cs="Arial" w:eastAsia="Arial" w:hAnsi="Arial"/>
                <w:sz w:val="14"/>
                <w:szCs w:val="14"/>
                <w:color w:val="auto"/>
              </w:rPr>
              <w:t>107</w:t>
            </w:r>
          </w:p>
        </w:tc>
        <w:tc>
          <w:tcPr>
            <w:tcW w:w="2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12</w:t>
            </w:r>
          </w:p>
        </w:tc>
        <w:tc>
          <w:tcPr>
            <w:tcW w:w="940" w:type="dxa"/>
            <w:vAlign w:val="bottom"/>
            <w:tcBorders>
              <w:bottom w:val="single" w:sz="8" w:color="auto"/>
            </w:tcBorders>
          </w:tcPr>
          <w:p>
            <w:pPr>
              <w:jc w:val="right"/>
              <w:ind w:right="209"/>
              <w:spacing w:after="0"/>
              <w:rPr>
                <w:sz w:val="20"/>
                <w:szCs w:val="20"/>
                <w:color w:val="auto"/>
              </w:rPr>
            </w:pPr>
            <w:r>
              <w:rPr>
                <w:rFonts w:ascii="Arial" w:cs="Arial" w:eastAsia="Arial" w:hAnsi="Arial"/>
                <w:sz w:val="14"/>
                <w:szCs w:val="14"/>
                <w:color w:val="auto"/>
              </w:rPr>
              <w:t>102</w:t>
            </w:r>
          </w:p>
        </w:tc>
        <w:tc>
          <w:tcPr>
            <w:tcW w:w="1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w:t>
            </w:r>
          </w:p>
        </w:tc>
      </w:tr>
      <w:tr>
        <w:trPr>
          <w:trHeight w:val="202"/>
        </w:trPr>
        <w:tc>
          <w:tcPr>
            <w:tcW w:w="2240" w:type="dxa"/>
            <w:vAlign w:val="bottom"/>
          </w:tcPr>
          <w:p>
            <w:pPr>
              <w:spacing w:after="0"/>
              <w:rPr>
                <w:sz w:val="17"/>
                <w:szCs w:val="17"/>
                <w:color w:val="auto"/>
              </w:rPr>
            </w:pPr>
          </w:p>
        </w:tc>
        <w:tc>
          <w:tcPr>
            <w:tcW w:w="1220" w:type="dxa"/>
            <w:vAlign w:val="bottom"/>
          </w:tcPr>
          <w:p>
            <w:pPr>
              <w:jc w:val="right"/>
              <w:ind w:right="329"/>
              <w:spacing w:after="0"/>
              <w:rPr>
                <w:sz w:val="20"/>
                <w:szCs w:val="20"/>
                <w:color w:val="auto"/>
              </w:rPr>
            </w:pPr>
            <w:r>
              <w:rPr>
                <w:rFonts w:ascii="Arial" w:cs="Arial" w:eastAsia="Arial" w:hAnsi="Arial"/>
                <w:sz w:val="14"/>
                <w:szCs w:val="14"/>
                <w:color w:val="auto"/>
              </w:rPr>
              <w:t>20,633</w:t>
            </w:r>
          </w:p>
        </w:tc>
        <w:tc>
          <w:tcPr>
            <w:tcW w:w="200" w:type="dxa"/>
            <w:vAlign w:val="bottom"/>
          </w:tcPr>
          <w:p>
            <w:pPr>
              <w:spacing w:after="0"/>
              <w:rPr>
                <w:sz w:val="17"/>
                <w:szCs w:val="17"/>
                <w:color w:val="auto"/>
              </w:rPr>
            </w:pPr>
          </w:p>
        </w:tc>
        <w:tc>
          <w:tcPr>
            <w:tcW w:w="780" w:type="dxa"/>
            <w:vAlign w:val="bottom"/>
          </w:tcPr>
          <w:p>
            <w:pPr>
              <w:jc w:val="right"/>
              <w:ind w:right="128"/>
              <w:spacing w:after="0"/>
              <w:rPr>
                <w:sz w:val="20"/>
                <w:szCs w:val="20"/>
                <w:color w:val="auto"/>
              </w:rPr>
            </w:pPr>
            <w:r>
              <w:rPr>
                <w:rFonts w:ascii="Arial" w:cs="Arial" w:eastAsia="Arial" w:hAnsi="Arial"/>
                <w:sz w:val="14"/>
                <w:szCs w:val="14"/>
                <w:color w:val="auto"/>
              </w:rPr>
              <w:t>2,146</w:t>
            </w:r>
          </w:p>
        </w:tc>
        <w:tc>
          <w:tcPr>
            <w:tcW w:w="1020" w:type="dxa"/>
            <w:vAlign w:val="bottom"/>
          </w:tcPr>
          <w:p>
            <w:pPr>
              <w:jc w:val="right"/>
              <w:ind w:right="209"/>
              <w:spacing w:after="0"/>
              <w:rPr>
                <w:sz w:val="20"/>
                <w:szCs w:val="20"/>
                <w:color w:val="auto"/>
              </w:rPr>
            </w:pPr>
            <w:r>
              <w:rPr>
                <w:rFonts w:ascii="Arial" w:cs="Arial" w:eastAsia="Arial" w:hAnsi="Arial"/>
                <w:sz w:val="14"/>
                <w:szCs w:val="14"/>
                <w:color w:val="auto"/>
              </w:rPr>
              <w:t>20,265</w:t>
            </w:r>
          </w:p>
        </w:tc>
        <w:tc>
          <w:tcPr>
            <w:tcW w:w="200" w:type="dxa"/>
            <w:vAlign w:val="bottom"/>
          </w:tcPr>
          <w:p>
            <w:pPr>
              <w:spacing w:after="0"/>
              <w:rPr>
                <w:sz w:val="17"/>
                <w:szCs w:val="17"/>
                <w:color w:val="auto"/>
              </w:rPr>
            </w:pPr>
          </w:p>
        </w:tc>
        <w:tc>
          <w:tcPr>
            <w:tcW w:w="800" w:type="dxa"/>
            <w:vAlign w:val="bottom"/>
          </w:tcPr>
          <w:p>
            <w:pPr>
              <w:jc w:val="right"/>
              <w:ind w:right="188"/>
              <w:spacing w:after="0"/>
              <w:rPr>
                <w:sz w:val="20"/>
                <w:szCs w:val="20"/>
                <w:color w:val="auto"/>
              </w:rPr>
            </w:pPr>
            <w:r>
              <w:rPr>
                <w:rFonts w:ascii="Arial" w:cs="Arial" w:eastAsia="Arial" w:hAnsi="Arial"/>
                <w:sz w:val="14"/>
                <w:szCs w:val="14"/>
                <w:color w:val="auto"/>
              </w:rPr>
              <w:t>2,190</w:t>
            </w:r>
          </w:p>
        </w:tc>
        <w:tc>
          <w:tcPr>
            <w:tcW w:w="940" w:type="dxa"/>
            <w:vAlign w:val="bottom"/>
          </w:tcPr>
          <w:p>
            <w:pPr>
              <w:jc w:val="right"/>
              <w:ind w:right="209"/>
              <w:spacing w:after="0"/>
              <w:rPr>
                <w:sz w:val="20"/>
                <w:szCs w:val="20"/>
                <w:color w:val="auto"/>
              </w:rPr>
            </w:pPr>
            <w:r>
              <w:rPr>
                <w:rFonts w:ascii="Arial" w:cs="Arial" w:eastAsia="Arial" w:hAnsi="Arial"/>
                <w:sz w:val="14"/>
                <w:szCs w:val="14"/>
                <w:color w:val="auto"/>
              </w:rPr>
              <w:t>20,226</w:t>
            </w:r>
          </w:p>
        </w:tc>
        <w:tc>
          <w:tcPr>
            <w:tcW w:w="1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1,956</w:t>
            </w:r>
          </w:p>
        </w:tc>
      </w:tr>
      <w:tr>
        <w:trPr>
          <w:trHeight w:val="216"/>
        </w:trPr>
        <w:tc>
          <w:tcPr>
            <w:tcW w:w="2240" w:type="dxa"/>
            <w:vAlign w:val="bottom"/>
          </w:tcPr>
          <w:p>
            <w:pPr>
              <w:spacing w:after="0"/>
              <w:rPr>
                <w:sz w:val="20"/>
                <w:szCs w:val="20"/>
                <w:color w:val="auto"/>
              </w:rPr>
            </w:pPr>
            <w:r>
              <w:rPr>
                <w:rFonts w:ascii="Arial" w:cs="Arial" w:eastAsia="Arial" w:hAnsi="Arial"/>
                <w:sz w:val="14"/>
                <w:szCs w:val="14"/>
                <w:color w:val="auto"/>
              </w:rPr>
              <w:t>Other revenues</w:t>
            </w: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ind w:right="128"/>
              <w:spacing w:after="0"/>
              <w:rPr>
                <w:sz w:val="20"/>
                <w:szCs w:val="20"/>
                <w:color w:val="auto"/>
              </w:rPr>
            </w:pPr>
            <w:r>
              <w:rPr>
                <w:rFonts w:ascii="Arial" w:cs="Arial" w:eastAsia="Arial" w:hAnsi="Arial"/>
                <w:sz w:val="14"/>
                <w:szCs w:val="14"/>
                <w:color w:val="auto"/>
              </w:rPr>
              <w:t>145</w:t>
            </w: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ind w:right="188"/>
              <w:spacing w:after="0"/>
              <w:rPr>
                <w:sz w:val="20"/>
                <w:szCs w:val="20"/>
                <w:color w:val="auto"/>
              </w:rPr>
            </w:pPr>
            <w:r>
              <w:rPr>
                <w:rFonts w:ascii="Arial" w:cs="Arial" w:eastAsia="Arial" w:hAnsi="Arial"/>
                <w:sz w:val="14"/>
                <w:szCs w:val="14"/>
                <w:color w:val="auto"/>
              </w:rPr>
              <w:t>161</w:t>
            </w: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132</w:t>
            </w:r>
          </w:p>
        </w:tc>
      </w:tr>
      <w:tr>
        <w:trPr>
          <w:trHeight w:val="222"/>
        </w:trPr>
        <w:tc>
          <w:tcPr>
            <w:tcW w:w="2240" w:type="dxa"/>
            <w:vAlign w:val="bottom"/>
          </w:tcPr>
          <w:p>
            <w:pPr>
              <w:spacing w:after="0"/>
              <w:rPr>
                <w:sz w:val="20"/>
                <w:szCs w:val="20"/>
                <w:color w:val="auto"/>
              </w:rPr>
            </w:pPr>
            <w:r>
              <w:rPr>
                <w:rFonts w:ascii="Arial" w:cs="Arial" w:eastAsia="Arial" w:hAnsi="Arial"/>
                <w:sz w:val="14"/>
                <w:szCs w:val="14"/>
                <w:color w:val="auto"/>
              </w:rPr>
              <w:t>Balancing accounts</w:t>
            </w:r>
          </w:p>
        </w:tc>
        <w:tc>
          <w:tcPr>
            <w:tcW w:w="12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262</w:t>
            </w:r>
          </w:p>
        </w:tc>
        <w:tc>
          <w:tcPr>
            <w:tcW w:w="10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(167 )</w:t>
            </w:r>
          </w:p>
        </w:tc>
        <w:tc>
          <w:tcPr>
            <w:tcW w:w="9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48</w:t>
            </w:r>
          </w:p>
        </w:tc>
      </w:tr>
      <w:tr>
        <w:trPr>
          <w:trHeight w:val="224"/>
        </w:trPr>
        <w:tc>
          <w:tcPr>
            <w:tcW w:w="2240" w:type="dxa"/>
            <w:vAlign w:val="bottom"/>
            <w:tcBorders>
              <w:bottom w:val="single" w:sz="8" w:color="auto"/>
            </w:tcBorders>
          </w:tcPr>
          <w:p>
            <w:pPr>
              <w:ind w:left="320"/>
              <w:spacing w:after="0"/>
              <w:rPr>
                <w:sz w:val="20"/>
                <w:szCs w:val="20"/>
                <w:color w:val="auto"/>
              </w:rPr>
            </w:pPr>
            <w:r>
              <w:rPr>
                <w:rFonts w:ascii="Arial" w:cs="Arial" w:eastAsia="Arial" w:hAnsi="Arial"/>
                <w:sz w:val="14"/>
                <w:szCs w:val="14"/>
                <w:color w:val="auto"/>
              </w:rPr>
              <w:t>Total</w:t>
            </w:r>
          </w:p>
        </w:tc>
        <w:tc>
          <w:tcPr>
            <w:tcW w:w="12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2,553</w:t>
            </w:r>
          </w:p>
        </w:tc>
        <w:tc>
          <w:tcPr>
            <w:tcW w:w="10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2,184</w:t>
            </w:r>
          </w:p>
        </w:tc>
        <w:tc>
          <w:tcPr>
            <w:tcW w:w="9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2,136</w:t>
            </w:r>
          </w:p>
        </w:tc>
      </w:tr>
      <w:tr>
        <w:trPr>
          <w:trHeight w:val="210"/>
        </w:trPr>
        <w:tc>
          <w:tcPr>
            <w:tcW w:w="2240" w:type="dxa"/>
            <w:vAlign w:val="bottom"/>
          </w:tcPr>
          <w:p>
            <w:pPr>
              <w:spacing w:after="0"/>
              <w:rPr>
                <w:sz w:val="20"/>
                <w:szCs w:val="20"/>
                <w:color w:val="auto"/>
              </w:rPr>
            </w:pPr>
            <w:r>
              <w:rPr>
                <w:rFonts w:ascii="Arial" w:cs="Arial" w:eastAsia="Arial" w:hAnsi="Arial"/>
                <w:sz w:val="14"/>
                <w:szCs w:val="14"/>
                <w:b w:val="1"/>
                <w:bCs w:val="1"/>
                <w:color w:val="auto"/>
              </w:rPr>
              <w:t>SDG&amp;E:</w:t>
            </w: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r>
      <w:tr>
        <w:trPr>
          <w:trHeight w:val="216"/>
        </w:trPr>
        <w:tc>
          <w:tcPr>
            <w:tcW w:w="2240" w:type="dxa"/>
            <w:vAlign w:val="bottom"/>
          </w:tcPr>
          <w:p>
            <w:pPr>
              <w:spacing w:after="0"/>
              <w:rPr>
                <w:sz w:val="20"/>
                <w:szCs w:val="20"/>
                <w:color w:val="auto"/>
              </w:rPr>
            </w:pPr>
            <w:r>
              <w:rPr>
                <w:rFonts w:ascii="Arial" w:cs="Arial" w:eastAsia="Arial" w:hAnsi="Arial"/>
                <w:sz w:val="14"/>
                <w:szCs w:val="14"/>
                <w:color w:val="auto"/>
              </w:rPr>
              <w:t>Residential</w:t>
            </w:r>
          </w:p>
        </w:tc>
        <w:tc>
          <w:tcPr>
            <w:tcW w:w="1220" w:type="dxa"/>
            <w:vAlign w:val="bottom"/>
          </w:tcPr>
          <w:p>
            <w:pPr>
              <w:jc w:val="right"/>
              <w:ind w:right="329"/>
              <w:spacing w:after="0"/>
              <w:rPr>
                <w:sz w:val="20"/>
                <w:szCs w:val="20"/>
                <w:color w:val="auto"/>
              </w:rPr>
            </w:pPr>
            <w:r>
              <w:rPr>
                <w:rFonts w:ascii="Arial" w:cs="Arial" w:eastAsia="Arial" w:hAnsi="Arial"/>
                <w:sz w:val="14"/>
                <w:szCs w:val="14"/>
                <w:color w:val="auto"/>
              </w:rPr>
              <w:t>7,698</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128"/>
              <w:spacing w:after="0"/>
              <w:rPr>
                <w:sz w:val="20"/>
                <w:szCs w:val="20"/>
                <w:color w:val="auto"/>
              </w:rPr>
            </w:pPr>
            <w:r>
              <w:rPr>
                <w:rFonts w:ascii="Arial" w:cs="Arial" w:eastAsia="Arial" w:hAnsi="Arial"/>
                <w:sz w:val="14"/>
                <w:szCs w:val="14"/>
                <w:color w:val="auto"/>
              </w:rPr>
              <w:t>976</w:t>
            </w:r>
          </w:p>
        </w:tc>
        <w:tc>
          <w:tcPr>
            <w:tcW w:w="1020" w:type="dxa"/>
            <w:vAlign w:val="bottom"/>
          </w:tcPr>
          <w:p>
            <w:pPr>
              <w:jc w:val="right"/>
              <w:ind w:right="209"/>
              <w:spacing w:after="0"/>
              <w:rPr>
                <w:sz w:val="20"/>
                <w:szCs w:val="20"/>
                <w:color w:val="auto"/>
              </w:rPr>
            </w:pPr>
            <w:r>
              <w:rPr>
                <w:rFonts w:ascii="Arial" w:cs="Arial" w:eastAsia="Arial" w:hAnsi="Arial"/>
                <w:sz w:val="14"/>
                <w:szCs w:val="14"/>
                <w:color w:val="auto"/>
              </w:rPr>
              <w:t>7,520</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188"/>
              <w:spacing w:after="0"/>
              <w:rPr>
                <w:sz w:val="20"/>
                <w:szCs w:val="20"/>
                <w:color w:val="auto"/>
              </w:rPr>
            </w:pPr>
            <w:r>
              <w:rPr>
                <w:rFonts w:ascii="Arial" w:cs="Arial" w:eastAsia="Arial" w:hAnsi="Arial"/>
                <w:sz w:val="14"/>
                <w:szCs w:val="14"/>
                <w:color w:val="auto"/>
              </w:rPr>
              <w:t>980</w:t>
            </w:r>
          </w:p>
        </w:tc>
        <w:tc>
          <w:tcPr>
            <w:tcW w:w="940" w:type="dxa"/>
            <w:vAlign w:val="bottom"/>
          </w:tcPr>
          <w:p>
            <w:pPr>
              <w:jc w:val="right"/>
              <w:ind w:right="209"/>
              <w:spacing w:after="0"/>
              <w:rPr>
                <w:sz w:val="20"/>
                <w:szCs w:val="20"/>
                <w:color w:val="auto"/>
              </w:rPr>
            </w:pPr>
            <w:r>
              <w:rPr>
                <w:rFonts w:ascii="Arial" w:cs="Arial" w:eastAsia="Arial" w:hAnsi="Arial"/>
                <w:sz w:val="14"/>
                <w:szCs w:val="14"/>
                <w:color w:val="auto"/>
              </w:rPr>
              <w:t>7,501</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910</w:t>
            </w:r>
          </w:p>
        </w:tc>
      </w:tr>
      <w:tr>
        <w:trPr>
          <w:trHeight w:val="216"/>
        </w:trPr>
        <w:tc>
          <w:tcPr>
            <w:tcW w:w="2240" w:type="dxa"/>
            <w:vAlign w:val="bottom"/>
          </w:tcPr>
          <w:p>
            <w:pPr>
              <w:spacing w:after="0"/>
              <w:rPr>
                <w:sz w:val="20"/>
                <w:szCs w:val="20"/>
                <w:color w:val="auto"/>
              </w:rPr>
            </w:pPr>
            <w:r>
              <w:rPr>
                <w:rFonts w:ascii="Arial" w:cs="Arial" w:eastAsia="Arial" w:hAnsi="Arial"/>
                <w:sz w:val="14"/>
                <w:szCs w:val="14"/>
                <w:color w:val="auto"/>
              </w:rPr>
              <w:t>Commercial</w:t>
            </w:r>
          </w:p>
        </w:tc>
        <w:tc>
          <w:tcPr>
            <w:tcW w:w="1220" w:type="dxa"/>
            <w:vAlign w:val="bottom"/>
          </w:tcPr>
          <w:p>
            <w:pPr>
              <w:jc w:val="right"/>
              <w:ind w:right="329"/>
              <w:spacing w:after="0"/>
              <w:rPr>
                <w:sz w:val="20"/>
                <w:szCs w:val="20"/>
                <w:color w:val="auto"/>
              </w:rPr>
            </w:pPr>
            <w:r>
              <w:rPr>
                <w:rFonts w:ascii="Arial" w:cs="Arial" w:eastAsia="Arial" w:hAnsi="Arial"/>
                <w:sz w:val="14"/>
                <w:szCs w:val="14"/>
                <w:color w:val="auto"/>
              </w:rPr>
              <w:t>7,254</w:t>
            </w:r>
          </w:p>
        </w:tc>
        <w:tc>
          <w:tcPr>
            <w:tcW w:w="200" w:type="dxa"/>
            <w:vAlign w:val="bottom"/>
          </w:tcPr>
          <w:p>
            <w:pPr>
              <w:spacing w:after="0"/>
              <w:rPr>
                <w:sz w:val="18"/>
                <w:szCs w:val="18"/>
                <w:color w:val="auto"/>
              </w:rPr>
            </w:pPr>
          </w:p>
        </w:tc>
        <w:tc>
          <w:tcPr>
            <w:tcW w:w="780" w:type="dxa"/>
            <w:vAlign w:val="bottom"/>
          </w:tcPr>
          <w:p>
            <w:pPr>
              <w:jc w:val="right"/>
              <w:ind w:right="128"/>
              <w:spacing w:after="0"/>
              <w:rPr>
                <w:sz w:val="20"/>
                <w:szCs w:val="20"/>
                <w:color w:val="auto"/>
              </w:rPr>
            </w:pPr>
            <w:r>
              <w:rPr>
                <w:rFonts w:ascii="Arial" w:cs="Arial" w:eastAsia="Arial" w:hAnsi="Arial"/>
                <w:sz w:val="14"/>
                <w:szCs w:val="14"/>
                <w:color w:val="auto"/>
              </w:rPr>
              <w:t>843</w:t>
            </w:r>
          </w:p>
        </w:tc>
        <w:tc>
          <w:tcPr>
            <w:tcW w:w="1020" w:type="dxa"/>
            <w:vAlign w:val="bottom"/>
          </w:tcPr>
          <w:p>
            <w:pPr>
              <w:jc w:val="right"/>
              <w:ind w:right="209"/>
              <w:spacing w:after="0"/>
              <w:rPr>
                <w:sz w:val="20"/>
                <w:szCs w:val="20"/>
                <w:color w:val="auto"/>
              </w:rPr>
            </w:pPr>
            <w:r>
              <w:rPr>
                <w:rFonts w:ascii="Arial" w:cs="Arial" w:eastAsia="Arial" w:hAnsi="Arial"/>
                <w:sz w:val="14"/>
                <w:szCs w:val="14"/>
                <w:color w:val="auto"/>
              </w:rPr>
              <w:t>7,154</w:t>
            </w:r>
          </w:p>
        </w:tc>
        <w:tc>
          <w:tcPr>
            <w:tcW w:w="200" w:type="dxa"/>
            <w:vAlign w:val="bottom"/>
          </w:tcPr>
          <w:p>
            <w:pPr>
              <w:spacing w:after="0"/>
              <w:rPr>
                <w:sz w:val="18"/>
                <w:szCs w:val="18"/>
                <w:color w:val="auto"/>
              </w:rPr>
            </w:pPr>
          </w:p>
        </w:tc>
        <w:tc>
          <w:tcPr>
            <w:tcW w:w="800" w:type="dxa"/>
            <w:vAlign w:val="bottom"/>
          </w:tcPr>
          <w:p>
            <w:pPr>
              <w:jc w:val="right"/>
              <w:ind w:right="188"/>
              <w:spacing w:after="0"/>
              <w:rPr>
                <w:sz w:val="20"/>
                <w:szCs w:val="20"/>
                <w:color w:val="auto"/>
              </w:rPr>
            </w:pPr>
            <w:r>
              <w:rPr>
                <w:rFonts w:ascii="Arial" w:cs="Arial" w:eastAsia="Arial" w:hAnsi="Arial"/>
                <w:sz w:val="14"/>
                <w:szCs w:val="14"/>
                <w:color w:val="auto"/>
              </w:rPr>
              <w:t>852</w:t>
            </w:r>
          </w:p>
        </w:tc>
        <w:tc>
          <w:tcPr>
            <w:tcW w:w="940" w:type="dxa"/>
            <w:vAlign w:val="bottom"/>
          </w:tcPr>
          <w:p>
            <w:pPr>
              <w:jc w:val="right"/>
              <w:ind w:right="209"/>
              <w:spacing w:after="0"/>
              <w:rPr>
                <w:sz w:val="20"/>
                <w:szCs w:val="20"/>
                <w:color w:val="auto"/>
              </w:rPr>
            </w:pPr>
            <w:r>
              <w:rPr>
                <w:rFonts w:ascii="Arial" w:cs="Arial" w:eastAsia="Arial" w:hAnsi="Arial"/>
                <w:sz w:val="14"/>
                <w:szCs w:val="14"/>
                <w:color w:val="auto"/>
              </w:rPr>
              <w:t>6,983</w:t>
            </w:r>
          </w:p>
        </w:tc>
        <w:tc>
          <w:tcPr>
            <w:tcW w:w="1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723</w:t>
            </w:r>
          </w:p>
        </w:tc>
      </w:tr>
      <w:tr>
        <w:trPr>
          <w:trHeight w:val="216"/>
        </w:trPr>
        <w:tc>
          <w:tcPr>
            <w:tcW w:w="2240" w:type="dxa"/>
            <w:vAlign w:val="bottom"/>
          </w:tcPr>
          <w:p>
            <w:pPr>
              <w:spacing w:after="0"/>
              <w:rPr>
                <w:sz w:val="20"/>
                <w:szCs w:val="20"/>
                <w:color w:val="auto"/>
              </w:rPr>
            </w:pPr>
            <w:r>
              <w:rPr>
                <w:rFonts w:ascii="Arial" w:cs="Arial" w:eastAsia="Arial" w:hAnsi="Arial"/>
                <w:sz w:val="14"/>
                <w:szCs w:val="14"/>
                <w:color w:val="auto"/>
              </w:rPr>
              <w:t>Industrial</w:t>
            </w:r>
          </w:p>
        </w:tc>
        <w:tc>
          <w:tcPr>
            <w:tcW w:w="1220" w:type="dxa"/>
            <w:vAlign w:val="bottom"/>
          </w:tcPr>
          <w:p>
            <w:pPr>
              <w:jc w:val="right"/>
              <w:ind w:right="329"/>
              <w:spacing w:after="0"/>
              <w:rPr>
                <w:sz w:val="20"/>
                <w:szCs w:val="20"/>
                <w:color w:val="auto"/>
              </w:rPr>
            </w:pPr>
            <w:r>
              <w:rPr>
                <w:rFonts w:ascii="Arial" w:cs="Arial" w:eastAsia="Arial" w:hAnsi="Arial"/>
                <w:sz w:val="14"/>
                <w:szCs w:val="14"/>
                <w:color w:val="auto"/>
              </w:rPr>
              <w:t>2,351</w:t>
            </w:r>
          </w:p>
        </w:tc>
        <w:tc>
          <w:tcPr>
            <w:tcW w:w="200" w:type="dxa"/>
            <w:vAlign w:val="bottom"/>
          </w:tcPr>
          <w:p>
            <w:pPr>
              <w:spacing w:after="0"/>
              <w:rPr>
                <w:sz w:val="18"/>
                <w:szCs w:val="18"/>
                <w:color w:val="auto"/>
              </w:rPr>
            </w:pPr>
          </w:p>
        </w:tc>
        <w:tc>
          <w:tcPr>
            <w:tcW w:w="780" w:type="dxa"/>
            <w:vAlign w:val="bottom"/>
          </w:tcPr>
          <w:p>
            <w:pPr>
              <w:jc w:val="right"/>
              <w:ind w:right="128"/>
              <w:spacing w:after="0"/>
              <w:rPr>
                <w:sz w:val="20"/>
                <w:szCs w:val="20"/>
                <w:color w:val="auto"/>
              </w:rPr>
            </w:pPr>
            <w:r>
              <w:rPr>
                <w:rFonts w:ascii="Arial" w:cs="Arial" w:eastAsia="Arial" w:hAnsi="Arial"/>
                <w:sz w:val="14"/>
                <w:szCs w:val="14"/>
                <w:color w:val="auto"/>
              </w:rPr>
              <w:t>215</w:t>
            </w:r>
          </w:p>
        </w:tc>
        <w:tc>
          <w:tcPr>
            <w:tcW w:w="1020" w:type="dxa"/>
            <w:vAlign w:val="bottom"/>
          </w:tcPr>
          <w:p>
            <w:pPr>
              <w:jc w:val="right"/>
              <w:ind w:right="209"/>
              <w:spacing w:after="0"/>
              <w:rPr>
                <w:sz w:val="20"/>
                <w:szCs w:val="20"/>
                <w:color w:val="auto"/>
              </w:rPr>
            </w:pPr>
            <w:r>
              <w:rPr>
                <w:rFonts w:ascii="Arial" w:cs="Arial" w:eastAsia="Arial" w:hAnsi="Arial"/>
                <w:sz w:val="14"/>
                <w:szCs w:val="14"/>
                <w:color w:val="auto"/>
              </w:rPr>
              <w:t>2,275</w:t>
            </w:r>
          </w:p>
        </w:tc>
        <w:tc>
          <w:tcPr>
            <w:tcW w:w="200" w:type="dxa"/>
            <w:vAlign w:val="bottom"/>
          </w:tcPr>
          <w:p>
            <w:pPr>
              <w:spacing w:after="0"/>
              <w:rPr>
                <w:sz w:val="18"/>
                <w:szCs w:val="18"/>
                <w:color w:val="auto"/>
              </w:rPr>
            </w:pPr>
          </w:p>
        </w:tc>
        <w:tc>
          <w:tcPr>
            <w:tcW w:w="800" w:type="dxa"/>
            <w:vAlign w:val="bottom"/>
          </w:tcPr>
          <w:p>
            <w:pPr>
              <w:jc w:val="right"/>
              <w:ind w:right="188"/>
              <w:spacing w:after="0"/>
              <w:rPr>
                <w:sz w:val="20"/>
                <w:szCs w:val="20"/>
                <w:color w:val="auto"/>
              </w:rPr>
            </w:pPr>
            <w:r>
              <w:rPr>
                <w:rFonts w:ascii="Arial" w:cs="Arial" w:eastAsia="Arial" w:hAnsi="Arial"/>
                <w:sz w:val="14"/>
                <w:szCs w:val="14"/>
                <w:color w:val="auto"/>
              </w:rPr>
              <w:t>229</w:t>
            </w:r>
          </w:p>
        </w:tc>
        <w:tc>
          <w:tcPr>
            <w:tcW w:w="940" w:type="dxa"/>
            <w:vAlign w:val="bottom"/>
          </w:tcPr>
          <w:p>
            <w:pPr>
              <w:jc w:val="right"/>
              <w:ind w:right="209"/>
              <w:spacing w:after="0"/>
              <w:rPr>
                <w:sz w:val="20"/>
                <w:szCs w:val="20"/>
                <w:color w:val="auto"/>
              </w:rPr>
            </w:pPr>
            <w:r>
              <w:rPr>
                <w:rFonts w:ascii="Arial" w:cs="Arial" w:eastAsia="Arial" w:hAnsi="Arial"/>
                <w:sz w:val="14"/>
                <w:szCs w:val="14"/>
                <w:color w:val="auto"/>
              </w:rPr>
              <w:t>2,261</w:t>
            </w:r>
          </w:p>
        </w:tc>
        <w:tc>
          <w:tcPr>
            <w:tcW w:w="1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181</w:t>
            </w:r>
          </w:p>
        </w:tc>
      </w:tr>
      <w:tr>
        <w:trPr>
          <w:trHeight w:val="216"/>
        </w:trPr>
        <w:tc>
          <w:tcPr>
            <w:tcW w:w="2240" w:type="dxa"/>
            <w:vAlign w:val="bottom"/>
          </w:tcPr>
          <w:p>
            <w:pPr>
              <w:spacing w:after="0"/>
              <w:rPr>
                <w:sz w:val="20"/>
                <w:szCs w:val="20"/>
                <w:color w:val="auto"/>
              </w:rPr>
            </w:pPr>
            <w:r>
              <w:rPr>
                <w:rFonts w:ascii="Arial" w:cs="Arial" w:eastAsia="Arial" w:hAnsi="Arial"/>
                <w:sz w:val="14"/>
                <w:szCs w:val="14"/>
                <w:color w:val="auto"/>
              </w:rPr>
              <w:t>Direct access</w:t>
            </w:r>
          </w:p>
        </w:tc>
        <w:tc>
          <w:tcPr>
            <w:tcW w:w="1220" w:type="dxa"/>
            <w:vAlign w:val="bottom"/>
          </w:tcPr>
          <w:p>
            <w:pPr>
              <w:jc w:val="right"/>
              <w:ind w:right="329"/>
              <w:spacing w:after="0"/>
              <w:rPr>
                <w:sz w:val="20"/>
                <w:szCs w:val="20"/>
                <w:color w:val="auto"/>
              </w:rPr>
            </w:pPr>
            <w:r>
              <w:rPr>
                <w:rFonts w:ascii="Arial" w:cs="Arial" w:eastAsia="Arial" w:hAnsi="Arial"/>
                <w:sz w:val="14"/>
                <w:szCs w:val="14"/>
                <w:color w:val="auto"/>
              </w:rPr>
              <w:t>3,235</w:t>
            </w:r>
          </w:p>
        </w:tc>
        <w:tc>
          <w:tcPr>
            <w:tcW w:w="200" w:type="dxa"/>
            <w:vAlign w:val="bottom"/>
          </w:tcPr>
          <w:p>
            <w:pPr>
              <w:spacing w:after="0"/>
              <w:rPr>
                <w:sz w:val="18"/>
                <w:szCs w:val="18"/>
                <w:color w:val="auto"/>
              </w:rPr>
            </w:pPr>
          </w:p>
        </w:tc>
        <w:tc>
          <w:tcPr>
            <w:tcW w:w="780" w:type="dxa"/>
            <w:vAlign w:val="bottom"/>
          </w:tcPr>
          <w:p>
            <w:pPr>
              <w:jc w:val="right"/>
              <w:ind w:right="128"/>
              <w:spacing w:after="0"/>
              <w:rPr>
                <w:sz w:val="20"/>
                <w:szCs w:val="20"/>
                <w:color w:val="auto"/>
              </w:rPr>
            </w:pPr>
            <w:r>
              <w:rPr>
                <w:rFonts w:ascii="Arial" w:cs="Arial" w:eastAsia="Arial" w:hAnsi="Arial"/>
                <w:sz w:val="14"/>
                <w:szCs w:val="14"/>
                <w:color w:val="auto"/>
              </w:rPr>
              <w:t>101</w:t>
            </w:r>
          </w:p>
        </w:tc>
        <w:tc>
          <w:tcPr>
            <w:tcW w:w="1020" w:type="dxa"/>
            <w:vAlign w:val="bottom"/>
          </w:tcPr>
          <w:p>
            <w:pPr>
              <w:jc w:val="right"/>
              <w:ind w:right="209"/>
              <w:spacing w:after="0"/>
              <w:rPr>
                <w:sz w:val="20"/>
                <w:szCs w:val="20"/>
                <w:color w:val="auto"/>
              </w:rPr>
            </w:pPr>
            <w:r>
              <w:rPr>
                <w:rFonts w:ascii="Arial" w:cs="Arial" w:eastAsia="Arial" w:hAnsi="Arial"/>
                <w:sz w:val="14"/>
                <w:szCs w:val="14"/>
                <w:color w:val="auto"/>
              </w:rPr>
              <w:t>3,220</w:t>
            </w:r>
          </w:p>
        </w:tc>
        <w:tc>
          <w:tcPr>
            <w:tcW w:w="200" w:type="dxa"/>
            <w:vAlign w:val="bottom"/>
          </w:tcPr>
          <w:p>
            <w:pPr>
              <w:spacing w:after="0"/>
              <w:rPr>
                <w:sz w:val="18"/>
                <w:szCs w:val="18"/>
                <w:color w:val="auto"/>
              </w:rPr>
            </w:pPr>
          </w:p>
        </w:tc>
        <w:tc>
          <w:tcPr>
            <w:tcW w:w="800" w:type="dxa"/>
            <w:vAlign w:val="bottom"/>
          </w:tcPr>
          <w:p>
            <w:pPr>
              <w:jc w:val="right"/>
              <w:ind w:right="188"/>
              <w:spacing w:after="0"/>
              <w:rPr>
                <w:sz w:val="20"/>
                <w:szCs w:val="20"/>
                <w:color w:val="auto"/>
              </w:rPr>
            </w:pPr>
            <w:r>
              <w:rPr>
                <w:rFonts w:ascii="Arial" w:cs="Arial" w:eastAsia="Arial" w:hAnsi="Arial"/>
                <w:sz w:val="14"/>
                <w:szCs w:val="14"/>
                <w:color w:val="auto"/>
              </w:rPr>
              <w:t>118</w:t>
            </w:r>
          </w:p>
        </w:tc>
        <w:tc>
          <w:tcPr>
            <w:tcW w:w="940" w:type="dxa"/>
            <w:vAlign w:val="bottom"/>
          </w:tcPr>
          <w:p>
            <w:pPr>
              <w:jc w:val="right"/>
              <w:ind w:right="209"/>
              <w:spacing w:after="0"/>
              <w:rPr>
                <w:sz w:val="20"/>
                <w:szCs w:val="20"/>
                <w:color w:val="auto"/>
              </w:rPr>
            </w:pPr>
            <w:r>
              <w:rPr>
                <w:rFonts w:ascii="Arial" w:cs="Arial" w:eastAsia="Arial" w:hAnsi="Arial"/>
                <w:sz w:val="14"/>
                <w:szCs w:val="14"/>
                <w:color w:val="auto"/>
              </w:rPr>
              <w:t>3,390</w:t>
            </w:r>
          </w:p>
        </w:tc>
        <w:tc>
          <w:tcPr>
            <w:tcW w:w="1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133</w:t>
            </w:r>
          </w:p>
        </w:tc>
      </w:tr>
      <w:tr>
        <w:trPr>
          <w:trHeight w:val="222"/>
        </w:trPr>
        <w:tc>
          <w:tcPr>
            <w:tcW w:w="2240" w:type="dxa"/>
            <w:vAlign w:val="bottom"/>
          </w:tcPr>
          <w:p>
            <w:pPr>
              <w:spacing w:after="0"/>
              <w:rPr>
                <w:sz w:val="20"/>
                <w:szCs w:val="20"/>
                <w:color w:val="auto"/>
              </w:rPr>
            </w:pPr>
            <w:r>
              <w:rPr>
                <w:rFonts w:ascii="Arial" w:cs="Arial" w:eastAsia="Arial" w:hAnsi="Arial"/>
                <w:sz w:val="14"/>
                <w:szCs w:val="14"/>
                <w:color w:val="auto"/>
              </w:rPr>
              <w:t>Street and highway lighting</w:t>
            </w:r>
          </w:p>
        </w:tc>
        <w:tc>
          <w:tcPr>
            <w:tcW w:w="1220" w:type="dxa"/>
            <w:vAlign w:val="bottom"/>
            <w:tcBorders>
              <w:bottom w:val="single" w:sz="8" w:color="auto"/>
            </w:tcBorders>
          </w:tcPr>
          <w:p>
            <w:pPr>
              <w:jc w:val="right"/>
              <w:ind w:right="329"/>
              <w:spacing w:after="0"/>
              <w:rPr>
                <w:sz w:val="20"/>
                <w:szCs w:val="20"/>
                <w:color w:val="auto"/>
              </w:rPr>
            </w:pPr>
            <w:r>
              <w:rPr>
                <w:rFonts w:ascii="Arial" w:cs="Arial" w:eastAsia="Arial" w:hAnsi="Arial"/>
                <w:sz w:val="14"/>
                <w:szCs w:val="14"/>
                <w:color w:val="auto"/>
              </w:rPr>
              <w:t>106</w:t>
            </w: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12</w:t>
            </w:r>
          </w:p>
        </w:tc>
        <w:tc>
          <w:tcPr>
            <w:tcW w:w="1020" w:type="dxa"/>
            <w:vAlign w:val="bottom"/>
            <w:tcBorders>
              <w:bottom w:val="single" w:sz="8" w:color="auto"/>
            </w:tcBorders>
          </w:tcPr>
          <w:p>
            <w:pPr>
              <w:jc w:val="right"/>
              <w:ind w:right="209"/>
              <w:spacing w:after="0"/>
              <w:rPr>
                <w:sz w:val="20"/>
                <w:szCs w:val="20"/>
                <w:color w:val="auto"/>
              </w:rPr>
            </w:pPr>
            <w:r>
              <w:rPr>
                <w:rFonts w:ascii="Arial" w:cs="Arial" w:eastAsia="Arial" w:hAnsi="Arial"/>
                <w:sz w:val="14"/>
                <w:szCs w:val="14"/>
                <w:color w:val="auto"/>
              </w:rPr>
              <w:t>107</w:t>
            </w:r>
          </w:p>
        </w:tc>
        <w:tc>
          <w:tcPr>
            <w:tcW w:w="2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12</w:t>
            </w:r>
          </w:p>
        </w:tc>
        <w:tc>
          <w:tcPr>
            <w:tcW w:w="940" w:type="dxa"/>
            <w:vAlign w:val="bottom"/>
            <w:tcBorders>
              <w:bottom w:val="single" w:sz="8" w:color="auto"/>
            </w:tcBorders>
          </w:tcPr>
          <w:p>
            <w:pPr>
              <w:jc w:val="right"/>
              <w:ind w:right="209"/>
              <w:spacing w:after="0"/>
              <w:rPr>
                <w:sz w:val="20"/>
                <w:szCs w:val="20"/>
                <w:color w:val="auto"/>
              </w:rPr>
            </w:pPr>
            <w:r>
              <w:rPr>
                <w:rFonts w:ascii="Arial" w:cs="Arial" w:eastAsia="Arial" w:hAnsi="Arial"/>
                <w:sz w:val="14"/>
                <w:szCs w:val="14"/>
                <w:color w:val="auto"/>
              </w:rPr>
              <w:t>102</w:t>
            </w:r>
          </w:p>
        </w:tc>
        <w:tc>
          <w:tcPr>
            <w:tcW w:w="1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w:t>
            </w:r>
          </w:p>
        </w:tc>
      </w:tr>
      <w:tr>
        <w:trPr>
          <w:trHeight w:val="202"/>
        </w:trPr>
        <w:tc>
          <w:tcPr>
            <w:tcW w:w="2240" w:type="dxa"/>
            <w:vAlign w:val="bottom"/>
          </w:tcPr>
          <w:p>
            <w:pPr>
              <w:spacing w:after="0"/>
              <w:rPr>
                <w:sz w:val="17"/>
                <w:szCs w:val="17"/>
                <w:color w:val="auto"/>
              </w:rPr>
            </w:pPr>
          </w:p>
        </w:tc>
        <w:tc>
          <w:tcPr>
            <w:tcW w:w="1220" w:type="dxa"/>
            <w:vAlign w:val="bottom"/>
          </w:tcPr>
          <w:p>
            <w:pPr>
              <w:jc w:val="right"/>
              <w:ind w:right="329"/>
              <w:spacing w:after="0"/>
              <w:rPr>
                <w:sz w:val="20"/>
                <w:szCs w:val="20"/>
                <w:color w:val="auto"/>
              </w:rPr>
            </w:pPr>
            <w:r>
              <w:rPr>
                <w:rFonts w:ascii="Arial" w:cs="Arial" w:eastAsia="Arial" w:hAnsi="Arial"/>
                <w:sz w:val="14"/>
                <w:szCs w:val="14"/>
                <w:color w:val="auto"/>
              </w:rPr>
              <w:t>20,644</w:t>
            </w:r>
          </w:p>
        </w:tc>
        <w:tc>
          <w:tcPr>
            <w:tcW w:w="200" w:type="dxa"/>
            <w:vAlign w:val="bottom"/>
          </w:tcPr>
          <w:p>
            <w:pPr>
              <w:spacing w:after="0"/>
              <w:rPr>
                <w:sz w:val="17"/>
                <w:szCs w:val="17"/>
                <w:color w:val="auto"/>
              </w:rPr>
            </w:pPr>
          </w:p>
        </w:tc>
        <w:tc>
          <w:tcPr>
            <w:tcW w:w="780" w:type="dxa"/>
            <w:vAlign w:val="bottom"/>
          </w:tcPr>
          <w:p>
            <w:pPr>
              <w:jc w:val="right"/>
              <w:ind w:right="128"/>
              <w:spacing w:after="0"/>
              <w:rPr>
                <w:sz w:val="20"/>
                <w:szCs w:val="20"/>
                <w:color w:val="auto"/>
              </w:rPr>
            </w:pPr>
            <w:r>
              <w:rPr>
                <w:rFonts w:ascii="Arial" w:cs="Arial" w:eastAsia="Arial" w:hAnsi="Arial"/>
                <w:sz w:val="14"/>
                <w:szCs w:val="14"/>
                <w:color w:val="auto"/>
              </w:rPr>
              <w:t>2,147</w:t>
            </w:r>
          </w:p>
        </w:tc>
        <w:tc>
          <w:tcPr>
            <w:tcW w:w="1020" w:type="dxa"/>
            <w:vAlign w:val="bottom"/>
          </w:tcPr>
          <w:p>
            <w:pPr>
              <w:jc w:val="right"/>
              <w:ind w:right="209"/>
              <w:spacing w:after="0"/>
              <w:rPr>
                <w:sz w:val="20"/>
                <w:szCs w:val="20"/>
                <w:color w:val="auto"/>
              </w:rPr>
            </w:pPr>
            <w:r>
              <w:rPr>
                <w:rFonts w:ascii="Arial" w:cs="Arial" w:eastAsia="Arial" w:hAnsi="Arial"/>
                <w:sz w:val="14"/>
                <w:szCs w:val="14"/>
                <w:color w:val="auto"/>
              </w:rPr>
              <w:t>20,276</w:t>
            </w:r>
          </w:p>
        </w:tc>
        <w:tc>
          <w:tcPr>
            <w:tcW w:w="200" w:type="dxa"/>
            <w:vAlign w:val="bottom"/>
          </w:tcPr>
          <w:p>
            <w:pPr>
              <w:spacing w:after="0"/>
              <w:rPr>
                <w:sz w:val="17"/>
                <w:szCs w:val="17"/>
                <w:color w:val="auto"/>
              </w:rPr>
            </w:pPr>
          </w:p>
        </w:tc>
        <w:tc>
          <w:tcPr>
            <w:tcW w:w="800" w:type="dxa"/>
            <w:vAlign w:val="bottom"/>
          </w:tcPr>
          <w:p>
            <w:pPr>
              <w:jc w:val="right"/>
              <w:ind w:right="188"/>
              <w:spacing w:after="0"/>
              <w:rPr>
                <w:sz w:val="20"/>
                <w:szCs w:val="20"/>
                <w:color w:val="auto"/>
              </w:rPr>
            </w:pPr>
            <w:r>
              <w:rPr>
                <w:rFonts w:ascii="Arial" w:cs="Arial" w:eastAsia="Arial" w:hAnsi="Arial"/>
                <w:sz w:val="14"/>
                <w:szCs w:val="14"/>
                <w:color w:val="auto"/>
              </w:rPr>
              <w:t>2,191</w:t>
            </w:r>
          </w:p>
        </w:tc>
        <w:tc>
          <w:tcPr>
            <w:tcW w:w="940" w:type="dxa"/>
            <w:vAlign w:val="bottom"/>
          </w:tcPr>
          <w:p>
            <w:pPr>
              <w:jc w:val="right"/>
              <w:ind w:right="209"/>
              <w:spacing w:after="0"/>
              <w:rPr>
                <w:sz w:val="20"/>
                <w:szCs w:val="20"/>
                <w:color w:val="auto"/>
              </w:rPr>
            </w:pPr>
            <w:r>
              <w:rPr>
                <w:rFonts w:ascii="Arial" w:cs="Arial" w:eastAsia="Arial" w:hAnsi="Arial"/>
                <w:sz w:val="14"/>
                <w:szCs w:val="14"/>
                <w:color w:val="auto"/>
              </w:rPr>
              <w:t>20,237</w:t>
            </w:r>
          </w:p>
        </w:tc>
        <w:tc>
          <w:tcPr>
            <w:tcW w:w="1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1,957</w:t>
            </w:r>
          </w:p>
        </w:tc>
      </w:tr>
      <w:tr>
        <w:trPr>
          <w:trHeight w:val="216"/>
        </w:trPr>
        <w:tc>
          <w:tcPr>
            <w:tcW w:w="2240" w:type="dxa"/>
            <w:vAlign w:val="bottom"/>
          </w:tcPr>
          <w:p>
            <w:pPr>
              <w:spacing w:after="0"/>
              <w:rPr>
                <w:sz w:val="20"/>
                <w:szCs w:val="20"/>
                <w:color w:val="auto"/>
              </w:rPr>
            </w:pPr>
            <w:r>
              <w:rPr>
                <w:rFonts w:ascii="Arial" w:cs="Arial" w:eastAsia="Arial" w:hAnsi="Arial"/>
                <w:sz w:val="14"/>
                <w:szCs w:val="14"/>
                <w:color w:val="auto"/>
              </w:rPr>
              <w:t>Other revenues</w:t>
            </w: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ind w:right="128"/>
              <w:spacing w:after="0"/>
              <w:rPr>
                <w:sz w:val="20"/>
                <w:szCs w:val="20"/>
                <w:color w:val="auto"/>
              </w:rPr>
            </w:pPr>
            <w:r>
              <w:rPr>
                <w:rFonts w:ascii="Arial" w:cs="Arial" w:eastAsia="Arial" w:hAnsi="Arial"/>
                <w:sz w:val="14"/>
                <w:szCs w:val="14"/>
                <w:color w:val="auto"/>
              </w:rPr>
              <w:t>153</w:t>
            </w: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ind w:right="188"/>
              <w:spacing w:after="0"/>
              <w:rPr>
                <w:sz w:val="20"/>
                <w:szCs w:val="20"/>
                <w:color w:val="auto"/>
              </w:rPr>
            </w:pPr>
            <w:r>
              <w:rPr>
                <w:rFonts w:ascii="Arial" w:cs="Arial" w:eastAsia="Arial" w:hAnsi="Arial"/>
                <w:sz w:val="14"/>
                <w:szCs w:val="14"/>
                <w:color w:val="auto"/>
              </w:rPr>
              <w:t>170</w:t>
            </w: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142</w:t>
            </w:r>
          </w:p>
        </w:tc>
      </w:tr>
      <w:tr>
        <w:trPr>
          <w:trHeight w:val="222"/>
        </w:trPr>
        <w:tc>
          <w:tcPr>
            <w:tcW w:w="2240" w:type="dxa"/>
            <w:vAlign w:val="bottom"/>
          </w:tcPr>
          <w:p>
            <w:pPr>
              <w:spacing w:after="0"/>
              <w:rPr>
                <w:sz w:val="20"/>
                <w:szCs w:val="20"/>
                <w:color w:val="auto"/>
              </w:rPr>
            </w:pPr>
            <w:r>
              <w:rPr>
                <w:rFonts w:ascii="Arial" w:cs="Arial" w:eastAsia="Arial" w:hAnsi="Arial"/>
                <w:sz w:val="14"/>
                <w:szCs w:val="14"/>
                <w:color w:val="auto"/>
              </w:rPr>
              <w:t>Balancing accounts</w:t>
            </w:r>
          </w:p>
        </w:tc>
        <w:tc>
          <w:tcPr>
            <w:tcW w:w="12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262</w:t>
            </w:r>
          </w:p>
        </w:tc>
        <w:tc>
          <w:tcPr>
            <w:tcW w:w="10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(167 )</w:t>
            </w:r>
          </w:p>
        </w:tc>
        <w:tc>
          <w:tcPr>
            <w:tcW w:w="9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48</w:t>
            </w:r>
          </w:p>
        </w:tc>
      </w:tr>
      <w:tr>
        <w:trPr>
          <w:trHeight w:val="224"/>
        </w:trPr>
        <w:tc>
          <w:tcPr>
            <w:tcW w:w="2240" w:type="dxa"/>
            <w:vAlign w:val="bottom"/>
            <w:tcBorders>
              <w:bottom w:val="single" w:sz="8" w:color="auto"/>
            </w:tcBorders>
          </w:tcPr>
          <w:p>
            <w:pPr>
              <w:ind w:left="320"/>
              <w:spacing w:after="0"/>
              <w:rPr>
                <w:sz w:val="20"/>
                <w:szCs w:val="20"/>
                <w:color w:val="auto"/>
              </w:rPr>
            </w:pPr>
            <w:r>
              <w:rPr>
                <w:rFonts w:ascii="Arial" w:cs="Arial" w:eastAsia="Arial" w:hAnsi="Arial"/>
                <w:sz w:val="14"/>
                <w:szCs w:val="14"/>
                <w:color w:val="auto"/>
              </w:rPr>
              <w:t>Total*</w:t>
            </w:r>
          </w:p>
        </w:tc>
        <w:tc>
          <w:tcPr>
            <w:tcW w:w="12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2,562</w:t>
            </w:r>
          </w:p>
        </w:tc>
        <w:tc>
          <w:tcPr>
            <w:tcW w:w="10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2,194</w:t>
            </w:r>
          </w:p>
        </w:tc>
        <w:tc>
          <w:tcPr>
            <w:tcW w:w="9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2,147</w:t>
            </w:r>
          </w:p>
        </w:tc>
      </w:tr>
    </w:tbl>
    <w:p>
      <w:pPr>
        <w:spacing w:after="0" w:line="16" w:lineRule="exact"/>
        <w:rPr>
          <w:sz w:val="20"/>
          <w:szCs w:val="20"/>
          <w:color w:val="auto"/>
        </w:rPr>
      </w:pPr>
    </w:p>
    <w:p>
      <w:pPr>
        <w:ind w:left="1984" w:hanging="314"/>
        <w:spacing w:after="0"/>
        <w:tabs>
          <w:tab w:leader="none" w:pos="1984" w:val="left"/>
        </w:tabs>
        <w:numPr>
          <w:ilvl w:val="0"/>
          <w:numId w:val="244"/>
        </w:numPr>
        <w:rPr>
          <w:rFonts w:ascii="Arial" w:cs="Arial" w:eastAsia="Arial" w:hAnsi="Arial"/>
          <w:sz w:val="13"/>
          <w:szCs w:val="13"/>
          <w:i w:val="1"/>
          <w:iCs w:val="1"/>
          <w:color w:val="auto"/>
        </w:rPr>
      </w:pPr>
      <w:r>
        <w:rPr>
          <w:rFonts w:ascii="Arial" w:cs="Arial" w:eastAsia="Arial" w:hAnsi="Arial"/>
          <w:sz w:val="13"/>
          <w:szCs w:val="13"/>
          <w:i w:val="1"/>
          <w:iCs w:val="1"/>
          <w:color w:val="auto"/>
        </w:rPr>
        <w:t>Includes sales to affiliates of $9 million in 2008, $10 million in 2007 and $11 million in 2006.</w:t>
      </w:r>
    </w:p>
    <w:p>
      <w:pPr>
        <w:spacing w:after="0" w:line="206" w:lineRule="exact"/>
        <w:rPr>
          <w:sz w:val="20"/>
          <w:szCs w:val="20"/>
          <w:color w:val="auto"/>
        </w:rPr>
      </w:pPr>
    </w:p>
    <w:p>
      <w:pPr>
        <w:ind w:left="4" w:right="120"/>
        <w:spacing w:after="0" w:line="274" w:lineRule="auto"/>
        <w:rPr>
          <w:sz w:val="20"/>
          <w:szCs w:val="20"/>
          <w:color w:val="auto"/>
        </w:rPr>
      </w:pPr>
      <w:r>
        <w:rPr>
          <w:rFonts w:ascii="Arial" w:cs="Arial" w:eastAsia="Arial" w:hAnsi="Arial"/>
          <w:sz w:val="16"/>
          <w:szCs w:val="16"/>
          <w:color w:val="auto"/>
        </w:rPr>
        <w:t>In 2008, electric revenues increased by $369 million (17%) at Sempra Energy and $368 million (17%) at SDG&amp;E to $2.6 billion, and the cost of electric fuel and purchased power increased by $201 million (29%) to $900 million. The increased revenues in 2008 were primarily due to</w:t>
      </w:r>
    </w:p>
    <w:p>
      <w:pPr>
        <w:ind w:left="144" w:right="1080" w:hanging="144"/>
        <w:spacing w:after="0" w:line="274" w:lineRule="auto"/>
        <w:tabs>
          <w:tab w:leader="none" w:pos="144" w:val="left"/>
        </w:tabs>
        <w:numPr>
          <w:ilvl w:val="0"/>
          <w:numId w:val="245"/>
        </w:numPr>
        <w:rPr>
          <w:rFonts w:ascii="Arial" w:cs="Arial" w:eastAsia="Arial" w:hAnsi="Arial"/>
          <w:sz w:val="16"/>
          <w:szCs w:val="16"/>
          <w:color w:val="auto"/>
        </w:rPr>
      </w:pPr>
      <w:r>
        <w:rPr>
          <w:rFonts w:ascii="Arial" w:cs="Arial" w:eastAsia="Arial" w:hAnsi="Arial"/>
          <w:sz w:val="16"/>
          <w:szCs w:val="16"/>
          <w:color w:val="auto"/>
        </w:rPr>
        <w:t>$201 million increase in cost of electric fuel and purchased power resulting from an increase in power procurement costs both from higher prices and from volumes;</w:t>
      </w:r>
    </w:p>
    <w:p>
      <w:pPr>
        <w:ind w:left="144" w:hanging="144"/>
        <w:spacing w:after="0"/>
        <w:tabs>
          <w:tab w:leader="none" w:pos="144" w:val="left"/>
        </w:tabs>
        <w:numPr>
          <w:ilvl w:val="0"/>
          <w:numId w:val="245"/>
        </w:numPr>
        <w:rPr>
          <w:rFonts w:ascii="Arial" w:cs="Arial" w:eastAsia="Arial" w:hAnsi="Arial"/>
          <w:sz w:val="16"/>
          <w:szCs w:val="16"/>
          <w:color w:val="auto"/>
        </w:rPr>
      </w:pPr>
      <w:r>
        <w:rPr>
          <w:rFonts w:ascii="Arial" w:cs="Arial" w:eastAsia="Arial" w:hAnsi="Arial"/>
          <w:sz w:val="16"/>
          <w:szCs w:val="16"/>
          <w:color w:val="auto"/>
        </w:rPr>
        <w:t>$98 million higher authorized base margin on electric distribution;</w:t>
      </w:r>
    </w:p>
    <w:p>
      <w:pPr>
        <w:spacing w:after="0" w:line="44" w:lineRule="exact"/>
        <w:rPr>
          <w:rFonts w:ascii="Arial" w:cs="Arial" w:eastAsia="Arial" w:hAnsi="Arial"/>
          <w:sz w:val="16"/>
          <w:szCs w:val="16"/>
          <w:color w:val="auto"/>
        </w:rPr>
      </w:pPr>
    </w:p>
    <w:p>
      <w:pPr>
        <w:ind w:left="144" w:hanging="144"/>
        <w:spacing w:after="0"/>
        <w:tabs>
          <w:tab w:leader="none" w:pos="144" w:val="left"/>
        </w:tabs>
        <w:numPr>
          <w:ilvl w:val="0"/>
          <w:numId w:val="245"/>
        </w:numPr>
        <w:rPr>
          <w:rFonts w:ascii="Arial" w:cs="Arial" w:eastAsia="Arial" w:hAnsi="Arial"/>
          <w:sz w:val="16"/>
          <w:szCs w:val="16"/>
          <w:color w:val="auto"/>
        </w:rPr>
      </w:pPr>
      <w:r>
        <w:rPr>
          <w:rFonts w:ascii="Arial" w:cs="Arial" w:eastAsia="Arial" w:hAnsi="Arial"/>
          <w:sz w:val="16"/>
          <w:szCs w:val="16"/>
          <w:color w:val="auto"/>
        </w:rPr>
        <w:t>$55 million higher recoverable expenses that are fully offset in operation and maintenance expenses;</w:t>
      </w:r>
    </w:p>
    <w:p>
      <w:pPr>
        <w:spacing w:after="0" w:line="44" w:lineRule="exact"/>
        <w:rPr>
          <w:rFonts w:ascii="Arial" w:cs="Arial" w:eastAsia="Arial" w:hAnsi="Arial"/>
          <w:sz w:val="16"/>
          <w:szCs w:val="16"/>
          <w:color w:val="auto"/>
        </w:rPr>
      </w:pPr>
    </w:p>
    <w:p>
      <w:pPr>
        <w:ind w:left="144" w:hanging="144"/>
        <w:spacing w:after="0"/>
        <w:tabs>
          <w:tab w:leader="none" w:pos="144" w:val="left"/>
        </w:tabs>
        <w:numPr>
          <w:ilvl w:val="0"/>
          <w:numId w:val="245"/>
        </w:numPr>
        <w:rPr>
          <w:rFonts w:ascii="Arial" w:cs="Arial" w:eastAsia="Arial" w:hAnsi="Arial"/>
          <w:sz w:val="16"/>
          <w:szCs w:val="16"/>
          <w:color w:val="auto"/>
        </w:rPr>
      </w:pPr>
      <w:r>
        <w:rPr>
          <w:rFonts w:ascii="Arial" w:cs="Arial" w:eastAsia="Arial" w:hAnsi="Arial"/>
          <w:sz w:val="16"/>
          <w:szCs w:val="16"/>
          <w:color w:val="auto"/>
        </w:rPr>
        <w:t>$17 million higher authorized transmission and electric generation margins; and</w:t>
      </w:r>
    </w:p>
    <w:p>
      <w:pPr>
        <w:spacing w:after="0" w:line="40" w:lineRule="exact"/>
        <w:rPr>
          <w:rFonts w:ascii="Arial" w:cs="Arial" w:eastAsia="Arial" w:hAnsi="Arial"/>
          <w:sz w:val="16"/>
          <w:szCs w:val="16"/>
          <w:color w:val="auto"/>
        </w:rPr>
      </w:pPr>
    </w:p>
    <w:p>
      <w:pPr>
        <w:ind w:left="144" w:hanging="144"/>
        <w:spacing w:after="0"/>
        <w:tabs>
          <w:tab w:leader="none" w:pos="144" w:val="left"/>
        </w:tabs>
        <w:numPr>
          <w:ilvl w:val="0"/>
          <w:numId w:val="245"/>
        </w:numPr>
        <w:rPr>
          <w:rFonts w:ascii="Arial" w:cs="Arial" w:eastAsia="Arial" w:hAnsi="Arial"/>
          <w:sz w:val="16"/>
          <w:szCs w:val="16"/>
          <w:color w:val="auto"/>
        </w:rPr>
      </w:pPr>
      <w:r>
        <w:rPr>
          <w:rFonts w:ascii="Arial" w:cs="Arial" w:eastAsia="Arial" w:hAnsi="Arial"/>
          <w:sz w:val="16"/>
          <w:szCs w:val="16"/>
          <w:color w:val="auto"/>
        </w:rPr>
        <w:t xml:space="preserve">$12 million higher regulatory awards, </w:t>
      </w:r>
      <w:r>
        <w:rPr>
          <w:rFonts w:ascii="Arial" w:cs="Arial" w:eastAsia="Arial" w:hAnsi="Arial"/>
          <w:sz w:val="16"/>
          <w:szCs w:val="16"/>
          <w:b w:val="1"/>
          <w:bCs w:val="1"/>
          <w:color w:val="auto"/>
        </w:rPr>
        <w:t>offset by</w:t>
      </w:r>
    </w:p>
    <w:p>
      <w:pPr>
        <w:spacing w:after="0" w:line="48" w:lineRule="exact"/>
        <w:rPr>
          <w:rFonts w:ascii="Arial" w:cs="Arial" w:eastAsia="Arial" w:hAnsi="Arial"/>
          <w:sz w:val="16"/>
          <w:szCs w:val="16"/>
          <w:color w:val="auto"/>
        </w:rPr>
      </w:pPr>
    </w:p>
    <w:p>
      <w:pPr>
        <w:ind w:left="144" w:hanging="144"/>
        <w:spacing w:after="0"/>
        <w:tabs>
          <w:tab w:leader="none" w:pos="144" w:val="left"/>
        </w:tabs>
        <w:numPr>
          <w:ilvl w:val="0"/>
          <w:numId w:val="245"/>
        </w:numPr>
        <w:rPr>
          <w:rFonts w:ascii="Arial" w:cs="Arial" w:eastAsia="Arial" w:hAnsi="Arial"/>
          <w:sz w:val="16"/>
          <w:szCs w:val="16"/>
          <w:color w:val="auto"/>
        </w:rPr>
      </w:pPr>
      <w:r>
        <w:rPr>
          <w:rFonts w:ascii="Arial" w:cs="Arial" w:eastAsia="Arial" w:hAnsi="Arial"/>
          <w:sz w:val="16"/>
          <w:szCs w:val="16"/>
          <w:color w:val="auto"/>
        </w:rPr>
        <w:t>$22 million from the favorable resolution of a regulatory matter in 2007.</w:t>
      </w:r>
    </w:p>
    <w:p>
      <w:pPr>
        <w:spacing w:after="0" w:line="128" w:lineRule="exact"/>
        <w:rPr>
          <w:sz w:val="20"/>
          <w:szCs w:val="20"/>
          <w:color w:val="auto"/>
        </w:rPr>
      </w:pPr>
    </w:p>
    <w:p>
      <w:pPr>
        <w:ind w:left="4"/>
        <w:spacing w:after="0" w:line="274" w:lineRule="auto"/>
        <w:rPr>
          <w:sz w:val="20"/>
          <w:szCs w:val="20"/>
          <w:color w:val="auto"/>
        </w:rPr>
      </w:pPr>
      <w:r>
        <w:rPr>
          <w:rFonts w:ascii="Arial" w:cs="Arial" w:eastAsia="Arial" w:hAnsi="Arial"/>
          <w:sz w:val="16"/>
          <w:szCs w:val="16"/>
          <w:color w:val="auto"/>
        </w:rPr>
        <w:t>In 2007, electric revenues increased by $48 million (2%) at Sempra Energy and $47 million (2%) at SDG&amp;E to $2.2 billion, and the cost of electric fuel and purchased power decreased by $22 million (3%) to $699 million in 2007. The increased revenues in 2007 included</w:t>
      </w:r>
    </w:p>
    <w:p>
      <w:pPr>
        <w:ind w:left="144" w:hanging="144"/>
        <w:spacing w:after="0"/>
        <w:tabs>
          <w:tab w:leader="none" w:pos="144" w:val="left"/>
        </w:tabs>
        <w:numPr>
          <w:ilvl w:val="0"/>
          <w:numId w:val="246"/>
        </w:numPr>
        <w:rPr>
          <w:rFonts w:ascii="Arial" w:cs="Arial" w:eastAsia="Arial" w:hAnsi="Arial"/>
          <w:sz w:val="16"/>
          <w:szCs w:val="16"/>
          <w:color w:val="auto"/>
        </w:rPr>
      </w:pPr>
      <w:r>
        <w:rPr>
          <w:rFonts w:ascii="Arial" w:cs="Arial" w:eastAsia="Arial" w:hAnsi="Arial"/>
          <w:sz w:val="16"/>
          <w:szCs w:val="16"/>
          <w:color w:val="auto"/>
        </w:rPr>
        <w:t>$33 million from higher authorized transmission and electric generation margins;</w:t>
      </w:r>
    </w:p>
    <w:p>
      <w:pPr>
        <w:spacing w:after="0" w:line="44" w:lineRule="exact"/>
        <w:rPr>
          <w:rFonts w:ascii="Arial" w:cs="Arial" w:eastAsia="Arial" w:hAnsi="Arial"/>
          <w:sz w:val="16"/>
          <w:szCs w:val="16"/>
          <w:color w:val="auto"/>
        </w:rPr>
      </w:pPr>
    </w:p>
    <w:p>
      <w:pPr>
        <w:ind w:left="144" w:hanging="144"/>
        <w:spacing w:after="0"/>
        <w:tabs>
          <w:tab w:leader="none" w:pos="144" w:val="left"/>
        </w:tabs>
        <w:numPr>
          <w:ilvl w:val="0"/>
          <w:numId w:val="246"/>
        </w:numPr>
        <w:rPr>
          <w:rFonts w:ascii="Arial" w:cs="Arial" w:eastAsia="Arial" w:hAnsi="Arial"/>
          <w:sz w:val="16"/>
          <w:szCs w:val="16"/>
          <w:color w:val="auto"/>
        </w:rPr>
      </w:pPr>
      <w:r>
        <w:rPr>
          <w:rFonts w:ascii="Arial" w:cs="Arial" w:eastAsia="Arial" w:hAnsi="Arial"/>
          <w:sz w:val="16"/>
          <w:szCs w:val="16"/>
          <w:color w:val="auto"/>
        </w:rPr>
        <w:t>$22 million from the favorable resolution of a regulatory matter;</w:t>
      </w:r>
    </w:p>
    <w:p>
      <w:pPr>
        <w:spacing w:after="0" w:line="44" w:lineRule="exact"/>
        <w:rPr>
          <w:rFonts w:ascii="Arial" w:cs="Arial" w:eastAsia="Arial" w:hAnsi="Arial"/>
          <w:sz w:val="16"/>
          <w:szCs w:val="16"/>
          <w:color w:val="auto"/>
        </w:rPr>
      </w:pPr>
    </w:p>
    <w:p>
      <w:pPr>
        <w:ind w:left="144" w:hanging="144"/>
        <w:spacing w:after="0"/>
        <w:tabs>
          <w:tab w:leader="none" w:pos="144" w:val="left"/>
        </w:tabs>
        <w:numPr>
          <w:ilvl w:val="0"/>
          <w:numId w:val="246"/>
        </w:numPr>
        <w:rPr>
          <w:rFonts w:ascii="Arial" w:cs="Arial" w:eastAsia="Arial" w:hAnsi="Arial"/>
          <w:sz w:val="16"/>
          <w:szCs w:val="16"/>
          <w:color w:val="auto"/>
        </w:rPr>
      </w:pPr>
      <w:r>
        <w:rPr>
          <w:rFonts w:ascii="Arial" w:cs="Arial" w:eastAsia="Arial" w:hAnsi="Arial"/>
          <w:sz w:val="16"/>
          <w:szCs w:val="16"/>
          <w:color w:val="auto"/>
        </w:rPr>
        <w:t>$24 million increase in authorized base margin on electric distribution; and</w:t>
      </w:r>
    </w:p>
    <w:p>
      <w:pPr>
        <w:spacing w:after="0" w:line="40" w:lineRule="exact"/>
        <w:rPr>
          <w:rFonts w:ascii="Arial" w:cs="Arial" w:eastAsia="Arial" w:hAnsi="Arial"/>
          <w:sz w:val="16"/>
          <w:szCs w:val="16"/>
          <w:color w:val="auto"/>
        </w:rPr>
      </w:pPr>
    </w:p>
    <w:p>
      <w:pPr>
        <w:ind w:left="144" w:hanging="144"/>
        <w:spacing w:after="0"/>
        <w:tabs>
          <w:tab w:leader="none" w:pos="144" w:val="left"/>
        </w:tabs>
        <w:numPr>
          <w:ilvl w:val="0"/>
          <w:numId w:val="246"/>
        </w:numPr>
        <w:rPr>
          <w:rFonts w:ascii="Arial" w:cs="Arial" w:eastAsia="Arial" w:hAnsi="Arial"/>
          <w:sz w:val="16"/>
          <w:szCs w:val="16"/>
          <w:color w:val="auto"/>
        </w:rPr>
      </w:pPr>
      <w:r>
        <w:rPr>
          <w:rFonts w:ascii="Arial" w:cs="Arial" w:eastAsia="Arial" w:hAnsi="Arial"/>
          <w:sz w:val="16"/>
          <w:szCs w:val="16"/>
          <w:color w:val="auto"/>
        </w:rPr>
        <w:t xml:space="preserve">$12 million of higher revenues for recoverable expenses, which are fully offset in operation and maintenance expenses, </w:t>
      </w:r>
      <w:r>
        <w:rPr>
          <w:rFonts w:ascii="Arial" w:cs="Arial" w:eastAsia="Arial" w:hAnsi="Arial"/>
          <w:sz w:val="16"/>
          <w:szCs w:val="16"/>
          <w:b w:val="1"/>
          <w:bCs w:val="1"/>
          <w:color w:val="auto"/>
        </w:rPr>
        <w:t>offset by</w:t>
      </w:r>
    </w:p>
    <w:p>
      <w:pPr>
        <w:spacing w:after="0" w:line="200" w:lineRule="exact"/>
        <w:rPr>
          <w:sz w:val="20"/>
          <w:szCs w:val="20"/>
          <w:color w:val="auto"/>
        </w:rPr>
      </w:pPr>
    </w:p>
    <w:p>
      <w:pPr>
        <w:spacing w:after="0" w:line="273" w:lineRule="exact"/>
        <w:rPr>
          <w:sz w:val="20"/>
          <w:szCs w:val="20"/>
          <w:color w:val="auto"/>
        </w:rPr>
      </w:pPr>
    </w:p>
    <w:p>
      <w:pPr>
        <w:ind w:left="4"/>
        <w:spacing w:after="0"/>
        <w:rPr>
          <w:sz w:val="20"/>
          <w:szCs w:val="20"/>
          <w:color w:val="auto"/>
        </w:rPr>
      </w:pPr>
      <w:r>
        <w:rPr>
          <w:rFonts w:ascii="Arial" w:cs="Arial" w:eastAsia="Arial" w:hAnsi="Arial"/>
          <w:sz w:val="14"/>
          <w:szCs w:val="14"/>
          <w:color w:val="auto"/>
        </w:rPr>
        <w:t>19</w:t>
      </w:r>
    </w:p>
    <w:p>
      <w:pPr>
        <w:sectPr>
          <w:pgSz w:w="11900" w:h="16838" w:orient="portrait"/>
          <w:cols w:equalWidth="0" w:num="1">
            <w:col w:w="11144"/>
          </w:cols>
          <w:pgMar w:left="236" w:top="293" w:right="519" w:bottom="1440" w:gutter="0" w:footer="0" w:header="0"/>
        </w:sectPr>
      </w:pPr>
    </w:p>
    <w:bookmarkStart w:id="159" w:name="page160"/>
    <w:bookmarkEnd w:id="159"/>
    <w:p>
      <w:pPr>
        <w:ind w:left="144" w:hanging="144"/>
        <w:spacing w:after="0"/>
        <w:tabs>
          <w:tab w:leader="none" w:pos="144" w:val="left"/>
        </w:tabs>
        <w:numPr>
          <w:ilvl w:val="0"/>
          <w:numId w:val="247"/>
        </w:numPr>
        <w:rPr>
          <w:rFonts w:ascii="Arial" w:cs="Arial" w:eastAsia="Arial" w:hAnsi="Arial"/>
          <w:sz w:val="16"/>
          <w:szCs w:val="16"/>
          <w:color w:val="auto"/>
        </w:rPr>
      </w:pPr>
      <w:r>
        <w:rPr>
          <w:rFonts w:ascii="Arial" w:cs="Arial" w:eastAsia="Arial" w:hAnsi="Arial"/>
          <w:sz w:val="16"/>
          <w:szCs w:val="16"/>
          <w:color w:val="auto"/>
        </w:rPr>
        <w:t>$20 million from the favorable resolution of a prior-year cost recovery issue in 2006; and</w:t>
      </w:r>
    </w:p>
    <w:p>
      <w:pPr>
        <w:spacing w:after="0" w:line="44" w:lineRule="exact"/>
        <w:rPr>
          <w:rFonts w:ascii="Arial" w:cs="Arial" w:eastAsia="Arial" w:hAnsi="Arial"/>
          <w:sz w:val="16"/>
          <w:szCs w:val="16"/>
          <w:color w:val="auto"/>
        </w:rPr>
      </w:pPr>
    </w:p>
    <w:p>
      <w:pPr>
        <w:ind w:left="144" w:hanging="144"/>
        <w:spacing w:after="0"/>
        <w:tabs>
          <w:tab w:leader="none" w:pos="144" w:val="left"/>
        </w:tabs>
        <w:numPr>
          <w:ilvl w:val="0"/>
          <w:numId w:val="247"/>
        </w:numPr>
        <w:rPr>
          <w:rFonts w:ascii="Arial" w:cs="Arial" w:eastAsia="Arial" w:hAnsi="Arial"/>
          <w:sz w:val="16"/>
          <w:szCs w:val="16"/>
          <w:color w:val="auto"/>
        </w:rPr>
      </w:pPr>
      <w:r>
        <w:rPr>
          <w:rFonts w:ascii="Arial" w:cs="Arial" w:eastAsia="Arial" w:hAnsi="Arial"/>
          <w:sz w:val="16"/>
          <w:szCs w:val="16"/>
          <w:color w:val="auto"/>
        </w:rPr>
        <w:t>$22 million lower recovery of electric fuel and purchased power costs in 2007.</w:t>
      </w:r>
    </w:p>
    <w:p>
      <w:pPr>
        <w:spacing w:after="0" w:line="128" w:lineRule="exact"/>
        <w:rPr>
          <w:sz w:val="20"/>
          <w:szCs w:val="20"/>
          <w:color w:val="auto"/>
        </w:rPr>
      </w:pPr>
    </w:p>
    <w:p>
      <w:pPr>
        <w:jc w:val="both"/>
        <w:ind w:left="4"/>
        <w:spacing w:after="0" w:line="264" w:lineRule="auto"/>
        <w:rPr>
          <w:sz w:val="20"/>
          <w:szCs w:val="20"/>
          <w:color w:val="auto"/>
        </w:rPr>
      </w:pPr>
      <w:r>
        <w:rPr>
          <w:rFonts w:ascii="Arial" w:cs="Arial" w:eastAsia="Arial" w:hAnsi="Arial"/>
          <w:sz w:val="16"/>
          <w:szCs w:val="16"/>
          <w:color w:val="auto"/>
        </w:rPr>
        <w:t>We do not include in the Statements of Consolidated Income the commodity costs (and the revenues to recover those costs) associated with long-term contracts that are allocated to SDG&amp;E by the California DWR. However, we do include the associated volumes and distribution revenues in the table above. We provide further discussion of these contracts in Note 1 of the Notes to Consolidated Financial Statements.</w:t>
      </w:r>
    </w:p>
    <w:p>
      <w:pPr>
        <w:spacing w:after="0" w:line="135" w:lineRule="exact"/>
        <w:rPr>
          <w:sz w:val="20"/>
          <w:szCs w:val="20"/>
          <w:color w:val="auto"/>
        </w:rPr>
      </w:pPr>
    </w:p>
    <w:p>
      <w:pPr>
        <w:ind w:left="4"/>
        <w:spacing w:after="0"/>
        <w:rPr>
          <w:sz w:val="20"/>
          <w:szCs w:val="20"/>
          <w:color w:val="auto"/>
        </w:rPr>
      </w:pPr>
      <w:r>
        <w:rPr>
          <w:rFonts w:ascii="Arial" w:cs="Arial" w:eastAsia="Arial" w:hAnsi="Arial"/>
          <w:sz w:val="18"/>
          <w:szCs w:val="18"/>
          <w:b w:val="1"/>
          <w:bCs w:val="1"/>
          <w:i w:val="1"/>
          <w:iCs w:val="1"/>
          <w:color w:val="auto"/>
        </w:rPr>
        <w:t>Sempra Global and Parent Revenues and Cost of Sales</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6"/>
          <w:szCs w:val="16"/>
          <w:color w:val="auto"/>
        </w:rPr>
        <w:t>The table below shows Sempra Global and Parent's Revenues and Cost of Sales.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1113790</wp:posOffset>
            </wp:positionH>
            <wp:positionV relativeFrom="paragraph">
              <wp:posOffset>196215</wp:posOffset>
            </wp:positionV>
            <wp:extent cx="5034280" cy="24384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034280" cy="243840"/>
                    </a:xfrm>
                    <a:prstGeom prst="rect">
                      <a:avLst/>
                    </a:prstGeom>
                    <a:noFill/>
                  </pic:spPr>
                </pic:pic>
              </a:graphicData>
            </a:graphic>
          </wp:anchor>
        </w:drawing>
      </w:r>
    </w:p>
    <w:p>
      <w:pPr>
        <w:spacing w:after="0" w:line="297" w:lineRule="exact"/>
        <w:rPr>
          <w:sz w:val="20"/>
          <w:szCs w:val="20"/>
          <w:color w:val="auto"/>
        </w:rPr>
      </w:pPr>
    </w:p>
    <w:p>
      <w:pPr>
        <w:ind w:left="1764"/>
        <w:spacing w:after="0"/>
        <w:rPr>
          <w:sz w:val="20"/>
          <w:szCs w:val="20"/>
          <w:color w:val="auto"/>
        </w:rPr>
      </w:pPr>
      <w:r>
        <w:rPr>
          <w:rFonts w:ascii="Arial" w:cs="Arial" w:eastAsia="Arial" w:hAnsi="Arial"/>
          <w:sz w:val="14"/>
          <w:szCs w:val="14"/>
          <w:b w:val="1"/>
          <w:bCs w:val="1"/>
          <w:color w:val="auto"/>
        </w:rPr>
        <w:t>SEMPRA GLOBAL AND PARENT REVENUES AND COST OF SALES</w:t>
      </w:r>
    </w:p>
    <w:p>
      <w:pPr>
        <w:spacing w:after="0" w:line="40" w:lineRule="exact"/>
        <w:rPr>
          <w:sz w:val="20"/>
          <w:szCs w:val="20"/>
          <w:color w:val="auto"/>
        </w:rPr>
      </w:pPr>
    </w:p>
    <w:p>
      <w:pPr>
        <w:ind w:left="1764"/>
        <w:spacing w:after="0"/>
        <w:rPr>
          <w:sz w:val="20"/>
          <w:szCs w:val="20"/>
          <w:color w:val="auto"/>
        </w:rPr>
      </w:pPr>
      <w:r>
        <w:rPr>
          <w:rFonts w:ascii="Arial" w:cs="Arial" w:eastAsia="Arial" w:hAnsi="Arial"/>
          <w:sz w:val="13"/>
          <w:szCs w:val="13"/>
          <w:i w:val="1"/>
          <w:iCs w:val="1"/>
          <w:color w:val="auto"/>
        </w:rPr>
        <w:t>(Dollars in millions)</w:t>
      </w:r>
    </w:p>
    <w:p>
      <w:pPr>
        <w:spacing w:after="0" w:line="67" w:lineRule="exact"/>
        <w:rPr>
          <w:sz w:val="20"/>
          <w:szCs w:val="20"/>
          <w:color w:val="auto"/>
        </w:rPr>
      </w:pPr>
    </w:p>
    <w:tbl>
      <w:tblPr>
        <w:tblLayout w:type="fixed"/>
        <w:tblInd w:w="1744" w:type="dxa"/>
        <w:tblCellMar>
          <w:top w:w="0" w:type="dxa"/>
          <w:left w:w="0" w:type="dxa"/>
          <w:bottom w:w="0" w:type="dxa"/>
          <w:right w:w="0" w:type="dxa"/>
        </w:tblCellMar>
      </w:tblPr>
      <w:tr>
        <w:trPr>
          <w:trHeight w:val="159"/>
        </w:trPr>
        <w:tc>
          <w:tcPr>
            <w:tcW w:w="292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1920" w:type="dxa"/>
            <w:vAlign w:val="bottom"/>
            <w:tcBorders>
              <w:bottom w:val="single" w:sz="8" w:color="auto"/>
            </w:tcBorders>
            <w:gridSpan w:val="4"/>
          </w:tcPr>
          <w:p>
            <w:pPr>
              <w:jc w:val="right"/>
              <w:ind w:right="148"/>
              <w:spacing w:after="0"/>
              <w:rPr>
                <w:sz w:val="20"/>
                <w:szCs w:val="20"/>
                <w:color w:val="auto"/>
              </w:rPr>
            </w:pPr>
            <w:r>
              <w:rPr>
                <w:rFonts w:ascii="Arial" w:cs="Arial" w:eastAsia="Arial" w:hAnsi="Arial"/>
                <w:sz w:val="13"/>
                <w:szCs w:val="13"/>
                <w:color w:val="auto"/>
              </w:rPr>
              <w:t>Years ended December 31,</w:t>
            </w:r>
          </w:p>
        </w:tc>
        <w:tc>
          <w:tcPr>
            <w:tcW w:w="24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08"/>
        </w:trPr>
        <w:tc>
          <w:tcPr>
            <w:tcW w:w="29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8"/>
              <w:spacing w:after="0"/>
              <w:rPr>
                <w:sz w:val="20"/>
                <w:szCs w:val="20"/>
                <w:color w:val="auto"/>
              </w:rPr>
            </w:pPr>
            <w:r>
              <w:rPr>
                <w:rFonts w:ascii="Arial" w:cs="Arial" w:eastAsia="Arial" w:hAnsi="Arial"/>
                <w:sz w:val="13"/>
                <w:szCs w:val="13"/>
                <w:color w:val="auto"/>
              </w:rPr>
              <w:t>2008</w:t>
            </w:r>
          </w:p>
        </w:tc>
        <w:tc>
          <w:tcPr>
            <w:tcW w:w="600" w:type="dxa"/>
            <w:vAlign w:val="bottom"/>
            <w:tcBorders>
              <w:bottom w:val="single" w:sz="8" w:color="auto"/>
            </w:tcBorders>
          </w:tcPr>
          <w:p>
            <w:pPr>
              <w:spacing w:after="0"/>
              <w:rPr>
                <w:sz w:val="18"/>
                <w:szCs w:val="18"/>
                <w:color w:val="auto"/>
              </w:rPr>
            </w:pPr>
          </w:p>
        </w:tc>
        <w:tc>
          <w:tcPr>
            <w:tcW w:w="180" w:type="dxa"/>
            <w:vAlign w:val="bottom"/>
            <w:tcBorders>
              <w:bottom w:val="single" w:sz="8" w:color="auto"/>
              <w:right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8"/>
              <w:spacing w:after="0"/>
              <w:rPr>
                <w:sz w:val="20"/>
                <w:szCs w:val="20"/>
                <w:color w:val="auto"/>
              </w:rPr>
            </w:pPr>
            <w:r>
              <w:rPr>
                <w:rFonts w:ascii="Arial" w:cs="Arial" w:eastAsia="Arial" w:hAnsi="Arial"/>
                <w:sz w:val="13"/>
                <w:szCs w:val="13"/>
                <w:color w:val="auto"/>
              </w:rPr>
              <w:t>2007</w:t>
            </w:r>
          </w:p>
        </w:tc>
        <w:tc>
          <w:tcPr>
            <w:tcW w:w="760" w:type="dxa"/>
            <w:vAlign w:val="bottom"/>
            <w:tcBorders>
              <w:bottom w:val="single" w:sz="8" w:color="auto"/>
              <w:right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8"/>
              <w:spacing w:after="0"/>
              <w:rPr>
                <w:sz w:val="20"/>
                <w:szCs w:val="20"/>
                <w:color w:val="auto"/>
              </w:rPr>
            </w:pPr>
            <w:r>
              <w:rPr>
                <w:rFonts w:ascii="Arial" w:cs="Arial" w:eastAsia="Arial" w:hAnsi="Arial"/>
                <w:sz w:val="13"/>
                <w:szCs w:val="13"/>
                <w:color w:val="auto"/>
              </w:rPr>
              <w:t>2006</w:t>
            </w:r>
          </w:p>
        </w:tc>
        <w:tc>
          <w:tcPr>
            <w:tcW w:w="5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920" w:type="dxa"/>
            <w:vAlign w:val="bottom"/>
          </w:tcPr>
          <w:p>
            <w:pPr>
              <w:ind w:left="20"/>
              <w:spacing w:after="0"/>
              <w:rPr>
                <w:sz w:val="20"/>
                <w:szCs w:val="20"/>
                <w:color w:val="auto"/>
              </w:rPr>
            </w:pPr>
            <w:r>
              <w:rPr>
                <w:rFonts w:ascii="Arial" w:cs="Arial" w:eastAsia="Arial" w:hAnsi="Arial"/>
                <w:sz w:val="14"/>
                <w:szCs w:val="14"/>
                <w:color w:val="auto"/>
              </w:rPr>
              <w:t>REVENUES</w:t>
            </w: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6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20" w:type="dxa"/>
            <w:vAlign w:val="bottom"/>
          </w:tcPr>
          <w:p>
            <w:pPr>
              <w:ind w:left="180"/>
              <w:spacing w:after="0"/>
              <w:rPr>
                <w:sz w:val="20"/>
                <w:szCs w:val="20"/>
                <w:color w:val="auto"/>
              </w:rPr>
            </w:pPr>
            <w:r>
              <w:rPr>
                <w:rFonts w:ascii="Arial" w:cs="Arial" w:eastAsia="Arial" w:hAnsi="Arial"/>
                <w:sz w:val="14"/>
                <w:szCs w:val="14"/>
                <w:color w:val="auto"/>
              </w:rPr>
              <w:t>Sempra Commodities</w:t>
            </w:r>
          </w:p>
        </w:tc>
        <w:tc>
          <w:tcPr>
            <w:tcW w:w="2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208"/>
              <w:spacing w:after="0"/>
              <w:rPr>
                <w:sz w:val="20"/>
                <w:szCs w:val="20"/>
                <w:color w:val="auto"/>
              </w:rPr>
            </w:pPr>
            <w:r>
              <w:rPr>
                <w:rFonts w:ascii="Arial" w:cs="Arial" w:eastAsia="Arial" w:hAnsi="Arial"/>
                <w:sz w:val="14"/>
                <w:szCs w:val="14"/>
                <w:color w:val="auto"/>
              </w:rPr>
              <w:t>500</w:t>
            </w: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18 %</w:t>
            </w:r>
          </w:p>
        </w:tc>
        <w:tc>
          <w:tcPr>
            <w:tcW w:w="180" w:type="dxa"/>
            <w:vAlign w:val="bottom"/>
            <w:tcBorders>
              <w:right w:val="single" w:sz="8" w:color="auto"/>
            </w:tcBorders>
          </w:tcPr>
          <w:p>
            <w:pPr>
              <w:spacing w:after="0"/>
              <w:rPr>
                <w:sz w:val="18"/>
                <w:szCs w:val="18"/>
                <w:color w:val="auto"/>
              </w:rPr>
            </w:pPr>
          </w:p>
        </w:tc>
        <w:tc>
          <w:tcPr>
            <w:tcW w:w="2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208"/>
              <w:spacing w:after="0"/>
              <w:rPr>
                <w:sz w:val="20"/>
                <w:szCs w:val="20"/>
                <w:color w:val="auto"/>
              </w:rPr>
            </w:pPr>
            <w:r>
              <w:rPr>
                <w:rFonts w:ascii="Arial" w:cs="Arial" w:eastAsia="Arial" w:hAnsi="Arial"/>
                <w:sz w:val="14"/>
                <w:szCs w:val="14"/>
                <w:color w:val="auto"/>
              </w:rPr>
              <w:t>2,674</w:t>
            </w:r>
          </w:p>
        </w:tc>
        <w:tc>
          <w:tcPr>
            <w:tcW w:w="760" w:type="dxa"/>
            <w:vAlign w:val="bottom"/>
            <w:tcBorders>
              <w:right w:val="single" w:sz="8" w:color="auto"/>
            </w:tcBorders>
          </w:tcPr>
          <w:p>
            <w:pPr>
              <w:jc w:val="right"/>
              <w:ind w:right="208"/>
              <w:spacing w:after="0"/>
              <w:rPr>
                <w:sz w:val="20"/>
                <w:szCs w:val="20"/>
                <w:color w:val="auto"/>
              </w:rPr>
            </w:pPr>
            <w:r>
              <w:rPr>
                <w:rFonts w:ascii="Arial" w:cs="Arial" w:eastAsia="Arial" w:hAnsi="Arial"/>
                <w:sz w:val="14"/>
                <w:szCs w:val="14"/>
                <w:color w:val="auto"/>
              </w:rPr>
              <w:t>61 %</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248"/>
              <w:spacing w:after="0"/>
              <w:rPr>
                <w:sz w:val="20"/>
                <w:szCs w:val="20"/>
                <w:color w:val="auto"/>
              </w:rPr>
            </w:pPr>
            <w:r>
              <w:rPr>
                <w:rFonts w:ascii="Arial" w:cs="Arial" w:eastAsia="Arial" w:hAnsi="Arial"/>
                <w:sz w:val="14"/>
                <w:szCs w:val="14"/>
                <w:color w:val="auto"/>
              </w:rPr>
              <w:t>3,256</w:t>
            </w:r>
          </w:p>
        </w:tc>
        <w:tc>
          <w:tcPr>
            <w:tcW w:w="540" w:type="dxa"/>
            <w:vAlign w:val="bottom"/>
          </w:tcPr>
          <w:p>
            <w:pPr>
              <w:jc w:val="right"/>
              <w:ind w:right="8"/>
              <w:spacing w:after="0"/>
              <w:rPr>
                <w:sz w:val="20"/>
                <w:szCs w:val="20"/>
                <w:color w:val="auto"/>
              </w:rPr>
            </w:pPr>
            <w:r>
              <w:rPr>
                <w:rFonts w:ascii="Arial" w:cs="Arial" w:eastAsia="Arial" w:hAnsi="Arial"/>
                <w:sz w:val="14"/>
                <w:szCs w:val="14"/>
                <w:color w:val="auto"/>
              </w:rPr>
              <w:t>67 %</w:t>
            </w:r>
          </w:p>
        </w:tc>
        <w:tc>
          <w:tcPr>
            <w:tcW w:w="0" w:type="dxa"/>
            <w:vAlign w:val="bottom"/>
          </w:tcPr>
          <w:p>
            <w:pPr>
              <w:spacing w:after="0"/>
              <w:rPr>
                <w:sz w:val="1"/>
                <w:szCs w:val="1"/>
                <w:color w:val="auto"/>
              </w:rPr>
            </w:pPr>
          </w:p>
        </w:tc>
      </w:tr>
      <w:tr>
        <w:trPr>
          <w:trHeight w:val="216"/>
        </w:trPr>
        <w:tc>
          <w:tcPr>
            <w:tcW w:w="2920" w:type="dxa"/>
            <w:vAlign w:val="bottom"/>
          </w:tcPr>
          <w:p>
            <w:pPr>
              <w:ind w:left="180"/>
              <w:spacing w:after="0"/>
              <w:rPr>
                <w:sz w:val="20"/>
                <w:szCs w:val="20"/>
                <w:color w:val="auto"/>
              </w:rPr>
            </w:pPr>
            <w:r>
              <w:rPr>
                <w:rFonts w:ascii="Arial" w:cs="Arial" w:eastAsia="Arial" w:hAnsi="Arial"/>
                <w:sz w:val="14"/>
                <w:szCs w:val="14"/>
                <w:color w:val="auto"/>
              </w:rPr>
              <w:t>Sempra Generation</w:t>
            </w:r>
          </w:p>
        </w:tc>
        <w:tc>
          <w:tcPr>
            <w:tcW w:w="280" w:type="dxa"/>
            <w:vAlign w:val="bottom"/>
          </w:tcPr>
          <w:p>
            <w:pPr>
              <w:spacing w:after="0"/>
              <w:rPr>
                <w:sz w:val="18"/>
                <w:szCs w:val="18"/>
                <w:color w:val="auto"/>
              </w:rPr>
            </w:pPr>
          </w:p>
        </w:tc>
        <w:tc>
          <w:tcPr>
            <w:tcW w:w="720" w:type="dxa"/>
            <w:vAlign w:val="bottom"/>
          </w:tcPr>
          <w:p>
            <w:pPr>
              <w:jc w:val="right"/>
              <w:ind w:right="208"/>
              <w:spacing w:after="0"/>
              <w:rPr>
                <w:sz w:val="20"/>
                <w:szCs w:val="20"/>
                <w:color w:val="auto"/>
              </w:rPr>
            </w:pPr>
            <w:r>
              <w:rPr>
                <w:rFonts w:ascii="Arial" w:cs="Arial" w:eastAsia="Arial" w:hAnsi="Arial"/>
                <w:sz w:val="14"/>
                <w:szCs w:val="14"/>
                <w:color w:val="auto"/>
              </w:rPr>
              <w:t>1,784</w:t>
            </w:r>
          </w:p>
        </w:tc>
        <w:tc>
          <w:tcPr>
            <w:tcW w:w="600" w:type="dxa"/>
            <w:vAlign w:val="bottom"/>
          </w:tcPr>
          <w:p>
            <w:pPr>
              <w:jc w:val="right"/>
              <w:ind w:right="188"/>
              <w:spacing w:after="0"/>
              <w:rPr>
                <w:sz w:val="20"/>
                <w:szCs w:val="20"/>
                <w:color w:val="auto"/>
              </w:rPr>
            </w:pPr>
            <w:r>
              <w:rPr>
                <w:rFonts w:ascii="Arial" w:cs="Arial" w:eastAsia="Arial" w:hAnsi="Arial"/>
                <w:sz w:val="14"/>
                <w:szCs w:val="14"/>
                <w:color w:val="auto"/>
              </w:rPr>
              <w:t>64</w:t>
            </w:r>
          </w:p>
        </w:tc>
        <w:tc>
          <w:tcPr>
            <w:tcW w:w="18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jc w:val="right"/>
              <w:ind w:right="208"/>
              <w:spacing w:after="0"/>
              <w:rPr>
                <w:sz w:val="20"/>
                <w:szCs w:val="20"/>
                <w:color w:val="auto"/>
              </w:rPr>
            </w:pPr>
            <w:r>
              <w:rPr>
                <w:rFonts w:ascii="Arial" w:cs="Arial" w:eastAsia="Arial" w:hAnsi="Arial"/>
                <w:sz w:val="14"/>
                <w:szCs w:val="14"/>
                <w:color w:val="auto"/>
              </w:rPr>
              <w:t>1,476</w:t>
            </w:r>
          </w:p>
        </w:tc>
        <w:tc>
          <w:tcPr>
            <w:tcW w:w="760" w:type="dxa"/>
            <w:vAlign w:val="bottom"/>
            <w:tcBorders>
              <w:right w:val="single" w:sz="8" w:color="auto"/>
            </w:tcBorders>
          </w:tcPr>
          <w:p>
            <w:pPr>
              <w:jc w:val="right"/>
              <w:ind w:right="368"/>
              <w:spacing w:after="0"/>
              <w:rPr>
                <w:sz w:val="20"/>
                <w:szCs w:val="20"/>
                <w:color w:val="auto"/>
              </w:rPr>
            </w:pPr>
            <w:r>
              <w:rPr>
                <w:rFonts w:ascii="Arial" w:cs="Arial" w:eastAsia="Arial" w:hAnsi="Arial"/>
                <w:sz w:val="14"/>
                <w:szCs w:val="14"/>
                <w:color w:val="auto"/>
              </w:rPr>
              <w:t>34</w:t>
            </w:r>
          </w:p>
        </w:tc>
        <w:tc>
          <w:tcPr>
            <w:tcW w:w="240" w:type="dxa"/>
            <w:vAlign w:val="bottom"/>
          </w:tcPr>
          <w:p>
            <w:pPr>
              <w:spacing w:after="0"/>
              <w:rPr>
                <w:sz w:val="18"/>
                <w:szCs w:val="18"/>
                <w:color w:val="auto"/>
              </w:rPr>
            </w:pPr>
          </w:p>
        </w:tc>
        <w:tc>
          <w:tcPr>
            <w:tcW w:w="720" w:type="dxa"/>
            <w:vAlign w:val="bottom"/>
          </w:tcPr>
          <w:p>
            <w:pPr>
              <w:jc w:val="right"/>
              <w:ind w:right="248"/>
              <w:spacing w:after="0"/>
              <w:rPr>
                <w:sz w:val="20"/>
                <w:szCs w:val="20"/>
                <w:color w:val="auto"/>
              </w:rPr>
            </w:pPr>
            <w:r>
              <w:rPr>
                <w:rFonts w:ascii="Arial" w:cs="Arial" w:eastAsia="Arial" w:hAnsi="Arial"/>
                <w:sz w:val="14"/>
                <w:szCs w:val="14"/>
                <w:color w:val="auto"/>
              </w:rPr>
              <w:t>1,454</w:t>
            </w:r>
          </w:p>
        </w:tc>
        <w:tc>
          <w:tcPr>
            <w:tcW w:w="540" w:type="dxa"/>
            <w:vAlign w:val="bottom"/>
          </w:tcPr>
          <w:p>
            <w:pPr>
              <w:jc w:val="right"/>
              <w:ind w:right="168"/>
              <w:spacing w:after="0"/>
              <w:rPr>
                <w:sz w:val="20"/>
                <w:szCs w:val="20"/>
                <w:color w:val="auto"/>
              </w:rPr>
            </w:pPr>
            <w:r>
              <w:rPr>
                <w:rFonts w:ascii="Arial" w:cs="Arial" w:eastAsia="Arial" w:hAnsi="Arial"/>
                <w:sz w:val="14"/>
                <w:szCs w:val="14"/>
                <w:color w:val="auto"/>
              </w:rPr>
              <w:t>30</w:t>
            </w:r>
          </w:p>
        </w:tc>
        <w:tc>
          <w:tcPr>
            <w:tcW w:w="0" w:type="dxa"/>
            <w:vAlign w:val="bottom"/>
          </w:tcPr>
          <w:p>
            <w:pPr>
              <w:spacing w:after="0"/>
              <w:rPr>
                <w:sz w:val="1"/>
                <w:szCs w:val="1"/>
                <w:color w:val="auto"/>
              </w:rPr>
            </w:pPr>
          </w:p>
        </w:tc>
      </w:tr>
      <w:tr>
        <w:trPr>
          <w:trHeight w:val="216"/>
        </w:trPr>
        <w:tc>
          <w:tcPr>
            <w:tcW w:w="2920" w:type="dxa"/>
            <w:vAlign w:val="bottom"/>
          </w:tcPr>
          <w:p>
            <w:pPr>
              <w:ind w:left="180"/>
              <w:spacing w:after="0"/>
              <w:rPr>
                <w:sz w:val="20"/>
                <w:szCs w:val="20"/>
                <w:color w:val="auto"/>
              </w:rPr>
            </w:pPr>
            <w:r>
              <w:rPr>
                <w:rFonts w:ascii="Arial" w:cs="Arial" w:eastAsia="Arial" w:hAnsi="Arial"/>
                <w:sz w:val="14"/>
                <w:szCs w:val="14"/>
                <w:color w:val="auto"/>
              </w:rPr>
              <w:t>Sempra Pipelines &amp; Storage</w:t>
            </w:r>
          </w:p>
        </w:tc>
        <w:tc>
          <w:tcPr>
            <w:tcW w:w="280" w:type="dxa"/>
            <w:vAlign w:val="bottom"/>
          </w:tcPr>
          <w:p>
            <w:pPr>
              <w:spacing w:after="0"/>
              <w:rPr>
                <w:sz w:val="18"/>
                <w:szCs w:val="18"/>
                <w:color w:val="auto"/>
              </w:rPr>
            </w:pPr>
          </w:p>
        </w:tc>
        <w:tc>
          <w:tcPr>
            <w:tcW w:w="720" w:type="dxa"/>
            <w:vAlign w:val="bottom"/>
          </w:tcPr>
          <w:p>
            <w:pPr>
              <w:jc w:val="right"/>
              <w:ind w:right="208"/>
              <w:spacing w:after="0"/>
              <w:rPr>
                <w:sz w:val="20"/>
                <w:szCs w:val="20"/>
                <w:color w:val="auto"/>
              </w:rPr>
            </w:pPr>
            <w:r>
              <w:rPr>
                <w:rFonts w:ascii="Arial" w:cs="Arial" w:eastAsia="Arial" w:hAnsi="Arial"/>
                <w:sz w:val="14"/>
                <w:szCs w:val="14"/>
                <w:color w:val="auto"/>
              </w:rPr>
              <w:t>457</w:t>
            </w:r>
          </w:p>
        </w:tc>
        <w:tc>
          <w:tcPr>
            <w:tcW w:w="600" w:type="dxa"/>
            <w:vAlign w:val="bottom"/>
          </w:tcPr>
          <w:p>
            <w:pPr>
              <w:jc w:val="right"/>
              <w:ind w:right="188"/>
              <w:spacing w:after="0"/>
              <w:rPr>
                <w:sz w:val="20"/>
                <w:szCs w:val="20"/>
                <w:color w:val="auto"/>
              </w:rPr>
            </w:pPr>
            <w:r>
              <w:rPr>
                <w:rFonts w:ascii="Arial" w:cs="Arial" w:eastAsia="Arial" w:hAnsi="Arial"/>
                <w:sz w:val="14"/>
                <w:szCs w:val="14"/>
                <w:color w:val="auto"/>
              </w:rPr>
              <w:t>16</w:t>
            </w:r>
          </w:p>
        </w:tc>
        <w:tc>
          <w:tcPr>
            <w:tcW w:w="18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jc w:val="right"/>
              <w:ind w:right="208"/>
              <w:spacing w:after="0"/>
              <w:rPr>
                <w:sz w:val="20"/>
                <w:szCs w:val="20"/>
                <w:color w:val="auto"/>
              </w:rPr>
            </w:pPr>
            <w:r>
              <w:rPr>
                <w:rFonts w:ascii="Arial" w:cs="Arial" w:eastAsia="Arial" w:hAnsi="Arial"/>
                <w:sz w:val="14"/>
                <w:szCs w:val="14"/>
                <w:color w:val="auto"/>
              </w:rPr>
              <w:t>314</w:t>
            </w:r>
          </w:p>
        </w:tc>
        <w:tc>
          <w:tcPr>
            <w:tcW w:w="760" w:type="dxa"/>
            <w:vAlign w:val="bottom"/>
            <w:tcBorders>
              <w:right w:val="single" w:sz="8" w:color="auto"/>
            </w:tcBorders>
          </w:tcPr>
          <w:p>
            <w:pPr>
              <w:jc w:val="right"/>
              <w:ind w:right="368"/>
              <w:spacing w:after="0"/>
              <w:rPr>
                <w:sz w:val="20"/>
                <w:szCs w:val="20"/>
                <w:color w:val="auto"/>
              </w:rPr>
            </w:pPr>
            <w:r>
              <w:rPr>
                <w:rFonts w:ascii="Arial" w:cs="Arial" w:eastAsia="Arial" w:hAnsi="Arial"/>
                <w:sz w:val="14"/>
                <w:szCs w:val="14"/>
                <w:color w:val="auto"/>
              </w:rPr>
              <w:t>7</w:t>
            </w:r>
          </w:p>
        </w:tc>
        <w:tc>
          <w:tcPr>
            <w:tcW w:w="240" w:type="dxa"/>
            <w:vAlign w:val="bottom"/>
          </w:tcPr>
          <w:p>
            <w:pPr>
              <w:spacing w:after="0"/>
              <w:rPr>
                <w:sz w:val="18"/>
                <w:szCs w:val="18"/>
                <w:color w:val="auto"/>
              </w:rPr>
            </w:pPr>
          </w:p>
        </w:tc>
        <w:tc>
          <w:tcPr>
            <w:tcW w:w="720" w:type="dxa"/>
            <w:vAlign w:val="bottom"/>
          </w:tcPr>
          <w:p>
            <w:pPr>
              <w:jc w:val="right"/>
              <w:ind w:right="248"/>
              <w:spacing w:after="0"/>
              <w:rPr>
                <w:sz w:val="20"/>
                <w:szCs w:val="20"/>
                <w:color w:val="auto"/>
              </w:rPr>
            </w:pPr>
            <w:r>
              <w:rPr>
                <w:rFonts w:ascii="Arial" w:cs="Arial" w:eastAsia="Arial" w:hAnsi="Arial"/>
                <w:sz w:val="14"/>
                <w:szCs w:val="14"/>
                <w:color w:val="auto"/>
              </w:rPr>
              <w:t>295</w:t>
            </w:r>
          </w:p>
        </w:tc>
        <w:tc>
          <w:tcPr>
            <w:tcW w:w="540" w:type="dxa"/>
            <w:vAlign w:val="bottom"/>
          </w:tcPr>
          <w:p>
            <w:pPr>
              <w:jc w:val="right"/>
              <w:ind w:right="168"/>
              <w:spacing w:after="0"/>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216"/>
        </w:trPr>
        <w:tc>
          <w:tcPr>
            <w:tcW w:w="2920" w:type="dxa"/>
            <w:vAlign w:val="bottom"/>
          </w:tcPr>
          <w:p>
            <w:pPr>
              <w:ind w:left="180"/>
              <w:spacing w:after="0"/>
              <w:rPr>
                <w:sz w:val="20"/>
                <w:szCs w:val="20"/>
                <w:color w:val="auto"/>
              </w:rPr>
            </w:pPr>
            <w:r>
              <w:rPr>
                <w:rFonts w:ascii="Arial" w:cs="Arial" w:eastAsia="Arial" w:hAnsi="Arial"/>
                <w:sz w:val="14"/>
                <w:szCs w:val="14"/>
                <w:color w:val="auto"/>
              </w:rPr>
              <w:t>Sempra LNG</w:t>
            </w:r>
          </w:p>
        </w:tc>
        <w:tc>
          <w:tcPr>
            <w:tcW w:w="280" w:type="dxa"/>
            <w:vAlign w:val="bottom"/>
          </w:tcPr>
          <w:p>
            <w:pPr>
              <w:spacing w:after="0"/>
              <w:rPr>
                <w:sz w:val="18"/>
                <w:szCs w:val="18"/>
                <w:color w:val="auto"/>
              </w:rPr>
            </w:pPr>
          </w:p>
        </w:tc>
        <w:tc>
          <w:tcPr>
            <w:tcW w:w="720" w:type="dxa"/>
            <w:vAlign w:val="bottom"/>
          </w:tcPr>
          <w:p>
            <w:pPr>
              <w:jc w:val="right"/>
              <w:ind w:right="208"/>
              <w:spacing w:after="0"/>
              <w:rPr>
                <w:sz w:val="20"/>
                <w:szCs w:val="20"/>
                <w:color w:val="auto"/>
              </w:rPr>
            </w:pPr>
            <w:r>
              <w:rPr>
                <w:rFonts w:ascii="Arial" w:cs="Arial" w:eastAsia="Arial" w:hAnsi="Arial"/>
                <w:sz w:val="14"/>
                <w:szCs w:val="14"/>
                <w:color w:val="auto"/>
              </w:rPr>
              <w:t>74</w:t>
            </w:r>
          </w:p>
        </w:tc>
        <w:tc>
          <w:tcPr>
            <w:tcW w:w="600" w:type="dxa"/>
            <w:vAlign w:val="bottom"/>
          </w:tcPr>
          <w:p>
            <w:pPr>
              <w:jc w:val="right"/>
              <w:ind w:right="188"/>
              <w:spacing w:after="0"/>
              <w:rPr>
                <w:sz w:val="20"/>
                <w:szCs w:val="20"/>
                <w:color w:val="auto"/>
              </w:rPr>
            </w:pPr>
            <w:r>
              <w:rPr>
                <w:rFonts w:ascii="Arial" w:cs="Arial" w:eastAsia="Arial" w:hAnsi="Arial"/>
                <w:sz w:val="14"/>
                <w:szCs w:val="14"/>
                <w:color w:val="auto"/>
              </w:rPr>
              <w:t>3</w:t>
            </w:r>
          </w:p>
        </w:tc>
        <w:tc>
          <w:tcPr>
            <w:tcW w:w="18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jc w:val="right"/>
              <w:ind w:right="128"/>
              <w:spacing w:after="0"/>
              <w:rPr>
                <w:sz w:val="20"/>
                <w:szCs w:val="20"/>
                <w:color w:val="auto"/>
              </w:rPr>
            </w:pPr>
            <w:r>
              <w:rPr>
                <w:rFonts w:ascii="Arial" w:cs="Arial" w:eastAsia="Arial" w:hAnsi="Arial"/>
                <w:sz w:val="14"/>
                <w:szCs w:val="14"/>
                <w:color w:val="auto"/>
              </w:rPr>
              <w:t>(22 )</w:t>
            </w:r>
          </w:p>
        </w:tc>
        <w:tc>
          <w:tcPr>
            <w:tcW w:w="760" w:type="dxa"/>
            <w:vAlign w:val="bottom"/>
            <w:tcBorders>
              <w:right w:val="single" w:sz="8" w:color="auto"/>
            </w:tcBorders>
          </w:tcPr>
          <w:p>
            <w:pPr>
              <w:jc w:val="right"/>
              <w:ind w:right="288"/>
              <w:spacing w:after="0"/>
              <w:rPr>
                <w:sz w:val="20"/>
                <w:szCs w:val="20"/>
                <w:color w:val="auto"/>
              </w:rPr>
            </w:pPr>
            <w:r>
              <w:rPr>
                <w:rFonts w:ascii="Arial" w:cs="Arial" w:eastAsia="Arial" w:hAnsi="Arial"/>
                <w:sz w:val="14"/>
                <w:szCs w:val="14"/>
                <w:color w:val="auto"/>
              </w:rPr>
              <w:t>(1 )</w:t>
            </w:r>
          </w:p>
        </w:tc>
        <w:tc>
          <w:tcPr>
            <w:tcW w:w="240" w:type="dxa"/>
            <w:vAlign w:val="bottom"/>
          </w:tcPr>
          <w:p>
            <w:pPr>
              <w:spacing w:after="0"/>
              <w:rPr>
                <w:sz w:val="18"/>
                <w:szCs w:val="18"/>
                <w:color w:val="auto"/>
              </w:rPr>
            </w:pPr>
          </w:p>
        </w:tc>
        <w:tc>
          <w:tcPr>
            <w:tcW w:w="720" w:type="dxa"/>
            <w:vAlign w:val="bottom"/>
          </w:tcPr>
          <w:p>
            <w:pPr>
              <w:jc w:val="right"/>
              <w:ind w:right="168"/>
              <w:spacing w:after="0"/>
              <w:rPr>
                <w:sz w:val="20"/>
                <w:szCs w:val="20"/>
                <w:color w:val="auto"/>
              </w:rPr>
            </w:pPr>
            <w:r>
              <w:rPr>
                <w:rFonts w:ascii="Arial" w:cs="Arial" w:eastAsia="Arial" w:hAnsi="Arial"/>
                <w:sz w:val="14"/>
                <w:szCs w:val="14"/>
                <w:color w:val="auto"/>
              </w:rPr>
              <w:t>(21 )</w:t>
            </w:r>
          </w:p>
        </w:tc>
        <w:tc>
          <w:tcPr>
            <w:tcW w:w="540" w:type="dxa"/>
            <w:vAlign w:val="bottom"/>
          </w:tcPr>
          <w:p>
            <w:pPr>
              <w:jc w:val="right"/>
              <w:ind w:right="88"/>
              <w:spacing w:after="0"/>
              <w:rPr>
                <w:sz w:val="20"/>
                <w:szCs w:val="20"/>
                <w:color w:val="auto"/>
              </w:rPr>
            </w:pPr>
            <w:r>
              <w:rPr>
                <w:rFonts w:ascii="Arial" w:cs="Arial" w:eastAsia="Arial" w:hAnsi="Arial"/>
                <w:sz w:val="14"/>
                <w:szCs w:val="14"/>
                <w:color w:val="auto"/>
              </w:rPr>
              <w:t>(1 )</w:t>
            </w:r>
          </w:p>
        </w:tc>
        <w:tc>
          <w:tcPr>
            <w:tcW w:w="0" w:type="dxa"/>
            <w:vAlign w:val="bottom"/>
          </w:tcPr>
          <w:p>
            <w:pPr>
              <w:spacing w:after="0"/>
              <w:rPr>
                <w:sz w:val="1"/>
                <w:szCs w:val="1"/>
                <w:color w:val="auto"/>
              </w:rPr>
            </w:pPr>
          </w:p>
        </w:tc>
      </w:tr>
      <w:tr>
        <w:trPr>
          <w:trHeight w:val="222"/>
        </w:trPr>
        <w:tc>
          <w:tcPr>
            <w:tcW w:w="2920" w:type="dxa"/>
            <w:vAlign w:val="bottom"/>
          </w:tcPr>
          <w:p>
            <w:pPr>
              <w:ind w:left="180"/>
              <w:spacing w:after="0"/>
              <w:rPr>
                <w:sz w:val="20"/>
                <w:szCs w:val="20"/>
                <w:color w:val="auto"/>
              </w:rPr>
            </w:pPr>
            <w:r>
              <w:rPr>
                <w:rFonts w:ascii="Arial" w:cs="Arial" w:eastAsia="Arial" w:hAnsi="Arial"/>
                <w:sz w:val="14"/>
                <w:szCs w:val="14"/>
                <w:color w:val="auto"/>
              </w:rPr>
              <w:t>Parent and other*</w:t>
            </w:r>
          </w:p>
        </w:tc>
        <w:tc>
          <w:tcPr>
            <w:tcW w:w="2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(29 )</w:t>
            </w:r>
          </w:p>
        </w:tc>
        <w:tc>
          <w:tcPr>
            <w:tcW w:w="6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(1 )</w:t>
            </w:r>
          </w:p>
        </w:tc>
        <w:tc>
          <w:tcPr>
            <w:tcW w:w="180" w:type="dxa"/>
            <w:vAlign w:val="bottom"/>
            <w:tcBorders>
              <w:bottom w:val="single" w:sz="8" w:color="auto"/>
              <w:right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(57 )</w:t>
            </w:r>
          </w:p>
        </w:tc>
        <w:tc>
          <w:tcPr>
            <w:tcW w:w="760" w:type="dxa"/>
            <w:vAlign w:val="bottom"/>
            <w:tcBorders>
              <w:bottom w:val="single" w:sz="8" w:color="auto"/>
              <w:right w:val="single" w:sz="8" w:color="auto"/>
            </w:tcBorders>
          </w:tcPr>
          <w:p>
            <w:pPr>
              <w:jc w:val="right"/>
              <w:ind w:right="288"/>
              <w:spacing w:after="0"/>
              <w:rPr>
                <w:sz w:val="20"/>
                <w:szCs w:val="20"/>
                <w:color w:val="auto"/>
              </w:rPr>
            </w:pPr>
            <w:r>
              <w:rPr>
                <w:rFonts w:ascii="Arial" w:cs="Arial" w:eastAsia="Arial" w:hAnsi="Arial"/>
                <w:sz w:val="14"/>
                <w:szCs w:val="14"/>
                <w:color w:val="auto"/>
              </w:rPr>
              <w:t>(1 )</w:t>
            </w:r>
          </w:p>
        </w:tc>
        <w:tc>
          <w:tcPr>
            <w:tcW w:w="2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(122 )</w:t>
            </w:r>
          </w:p>
        </w:tc>
        <w:tc>
          <w:tcPr>
            <w:tcW w:w="5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(2 )</w:t>
            </w:r>
          </w:p>
        </w:tc>
        <w:tc>
          <w:tcPr>
            <w:tcW w:w="0" w:type="dxa"/>
            <w:vAlign w:val="bottom"/>
          </w:tcPr>
          <w:p>
            <w:pPr>
              <w:spacing w:after="0"/>
              <w:rPr>
                <w:sz w:val="1"/>
                <w:szCs w:val="1"/>
                <w:color w:val="auto"/>
              </w:rPr>
            </w:pPr>
          </w:p>
        </w:tc>
      </w:tr>
      <w:tr>
        <w:trPr>
          <w:trHeight w:val="224"/>
        </w:trPr>
        <w:tc>
          <w:tcPr>
            <w:tcW w:w="2920" w:type="dxa"/>
            <w:vAlign w:val="bottom"/>
          </w:tcPr>
          <w:p>
            <w:pPr>
              <w:ind w:left="320"/>
              <w:spacing w:after="0"/>
              <w:rPr>
                <w:sz w:val="20"/>
                <w:szCs w:val="20"/>
                <w:color w:val="auto"/>
              </w:rPr>
            </w:pPr>
            <w:r>
              <w:rPr>
                <w:rFonts w:ascii="Arial" w:cs="Arial" w:eastAsia="Arial" w:hAnsi="Arial"/>
                <w:sz w:val="14"/>
                <w:szCs w:val="14"/>
                <w:color w:val="auto"/>
              </w:rPr>
              <w:t>Total revenues</w:t>
            </w:r>
          </w:p>
        </w:tc>
        <w:tc>
          <w:tcPr>
            <w:tcW w:w="2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2,786</w:t>
            </w:r>
          </w:p>
        </w:tc>
        <w:tc>
          <w:tcPr>
            <w:tcW w:w="6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100 %</w:t>
            </w:r>
          </w:p>
        </w:tc>
        <w:tc>
          <w:tcPr>
            <w:tcW w:w="180" w:type="dxa"/>
            <w:vAlign w:val="bottom"/>
            <w:tcBorders>
              <w:bottom w:val="single" w:sz="8" w:color="auto"/>
              <w:right w:val="single" w:sz="8" w:color="auto"/>
            </w:tcBorders>
          </w:tcPr>
          <w:p>
            <w:pPr>
              <w:spacing w:after="0"/>
              <w:rPr>
                <w:sz w:val="19"/>
                <w:szCs w:val="19"/>
                <w:color w:val="auto"/>
              </w:rPr>
            </w:pPr>
          </w:p>
        </w:tc>
        <w:tc>
          <w:tcPr>
            <w:tcW w:w="2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4,385</w:t>
            </w:r>
          </w:p>
        </w:tc>
        <w:tc>
          <w:tcPr>
            <w:tcW w:w="760" w:type="dxa"/>
            <w:vAlign w:val="bottom"/>
            <w:tcBorders>
              <w:bottom w:val="single" w:sz="8" w:color="auto"/>
              <w:right w:val="single" w:sz="8" w:color="auto"/>
            </w:tcBorders>
          </w:tcPr>
          <w:p>
            <w:pPr>
              <w:jc w:val="right"/>
              <w:ind w:right="208"/>
              <w:spacing w:after="0"/>
              <w:rPr>
                <w:sz w:val="20"/>
                <w:szCs w:val="20"/>
                <w:color w:val="auto"/>
              </w:rPr>
            </w:pPr>
            <w:r>
              <w:rPr>
                <w:rFonts w:ascii="Arial" w:cs="Arial" w:eastAsia="Arial" w:hAnsi="Arial"/>
                <w:sz w:val="14"/>
                <w:szCs w:val="14"/>
                <w:color w:val="auto"/>
              </w:rPr>
              <w:t>100 %</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4,862</w:t>
            </w:r>
          </w:p>
        </w:tc>
        <w:tc>
          <w:tcPr>
            <w:tcW w:w="5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100 %</w:t>
            </w:r>
          </w:p>
        </w:tc>
        <w:tc>
          <w:tcPr>
            <w:tcW w:w="0" w:type="dxa"/>
            <w:vAlign w:val="bottom"/>
          </w:tcPr>
          <w:p>
            <w:pPr>
              <w:spacing w:after="0"/>
              <w:rPr>
                <w:sz w:val="1"/>
                <w:szCs w:val="1"/>
                <w:color w:val="auto"/>
              </w:rPr>
            </w:pPr>
          </w:p>
        </w:tc>
      </w:tr>
      <w:tr>
        <w:trPr>
          <w:trHeight w:val="210"/>
        </w:trPr>
        <w:tc>
          <w:tcPr>
            <w:tcW w:w="2920" w:type="dxa"/>
            <w:vAlign w:val="bottom"/>
          </w:tcPr>
          <w:p>
            <w:pPr>
              <w:ind w:left="20"/>
              <w:spacing w:after="0"/>
              <w:rPr>
                <w:sz w:val="20"/>
                <w:szCs w:val="20"/>
                <w:color w:val="auto"/>
              </w:rPr>
            </w:pPr>
            <w:r>
              <w:rPr>
                <w:rFonts w:ascii="Arial" w:cs="Arial" w:eastAsia="Arial" w:hAnsi="Arial"/>
                <w:sz w:val="14"/>
                <w:szCs w:val="14"/>
                <w:color w:val="auto"/>
              </w:rPr>
              <w:t>COST OF SALES**</w:t>
            </w: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6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20" w:type="dxa"/>
            <w:vAlign w:val="bottom"/>
          </w:tcPr>
          <w:p>
            <w:pPr>
              <w:ind w:left="180"/>
              <w:spacing w:after="0"/>
              <w:rPr>
                <w:sz w:val="20"/>
                <w:szCs w:val="20"/>
                <w:color w:val="auto"/>
              </w:rPr>
            </w:pPr>
            <w:r>
              <w:rPr>
                <w:rFonts w:ascii="Arial" w:cs="Arial" w:eastAsia="Arial" w:hAnsi="Arial"/>
                <w:sz w:val="14"/>
                <w:szCs w:val="14"/>
                <w:color w:val="auto"/>
              </w:rPr>
              <w:t>Sempra Generation</w:t>
            </w:r>
          </w:p>
        </w:tc>
        <w:tc>
          <w:tcPr>
            <w:tcW w:w="2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208"/>
              <w:spacing w:after="0"/>
              <w:rPr>
                <w:sz w:val="20"/>
                <w:szCs w:val="20"/>
                <w:color w:val="auto"/>
              </w:rPr>
            </w:pPr>
            <w:r>
              <w:rPr>
                <w:rFonts w:ascii="Arial" w:cs="Arial" w:eastAsia="Arial" w:hAnsi="Arial"/>
                <w:sz w:val="14"/>
                <w:szCs w:val="14"/>
                <w:color w:val="auto"/>
              </w:rPr>
              <w:t>1,304</w:t>
            </w: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78 %</w:t>
            </w:r>
          </w:p>
        </w:tc>
        <w:tc>
          <w:tcPr>
            <w:tcW w:w="180" w:type="dxa"/>
            <w:vAlign w:val="bottom"/>
            <w:tcBorders>
              <w:right w:val="single" w:sz="8" w:color="auto"/>
            </w:tcBorders>
          </w:tcPr>
          <w:p>
            <w:pPr>
              <w:spacing w:after="0"/>
              <w:rPr>
                <w:sz w:val="18"/>
                <w:szCs w:val="18"/>
                <w:color w:val="auto"/>
              </w:rPr>
            </w:pPr>
          </w:p>
        </w:tc>
        <w:tc>
          <w:tcPr>
            <w:tcW w:w="2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208"/>
              <w:spacing w:after="0"/>
              <w:rPr>
                <w:sz w:val="20"/>
                <w:szCs w:val="20"/>
                <w:color w:val="auto"/>
              </w:rPr>
            </w:pPr>
            <w:r>
              <w:rPr>
                <w:rFonts w:ascii="Arial" w:cs="Arial" w:eastAsia="Arial" w:hAnsi="Arial"/>
                <w:sz w:val="14"/>
                <w:szCs w:val="14"/>
                <w:color w:val="auto"/>
              </w:rPr>
              <w:t>1,058</w:t>
            </w:r>
          </w:p>
        </w:tc>
        <w:tc>
          <w:tcPr>
            <w:tcW w:w="760" w:type="dxa"/>
            <w:vAlign w:val="bottom"/>
            <w:tcBorders>
              <w:right w:val="single" w:sz="8" w:color="auto"/>
            </w:tcBorders>
          </w:tcPr>
          <w:p>
            <w:pPr>
              <w:jc w:val="right"/>
              <w:ind w:right="208"/>
              <w:spacing w:after="0"/>
              <w:rPr>
                <w:sz w:val="20"/>
                <w:szCs w:val="20"/>
                <w:color w:val="auto"/>
              </w:rPr>
            </w:pPr>
            <w:r>
              <w:rPr>
                <w:rFonts w:ascii="Arial" w:cs="Arial" w:eastAsia="Arial" w:hAnsi="Arial"/>
                <w:sz w:val="14"/>
                <w:szCs w:val="14"/>
                <w:color w:val="auto"/>
              </w:rPr>
              <w:t>81 %</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248"/>
              <w:spacing w:after="0"/>
              <w:rPr>
                <w:sz w:val="20"/>
                <w:szCs w:val="20"/>
                <w:color w:val="auto"/>
              </w:rPr>
            </w:pPr>
            <w:r>
              <w:rPr>
                <w:rFonts w:ascii="Arial" w:cs="Arial" w:eastAsia="Arial" w:hAnsi="Arial"/>
                <w:sz w:val="14"/>
                <w:szCs w:val="14"/>
                <w:color w:val="auto"/>
              </w:rPr>
              <w:t>996</w:t>
            </w:r>
          </w:p>
        </w:tc>
        <w:tc>
          <w:tcPr>
            <w:tcW w:w="540" w:type="dxa"/>
            <w:vAlign w:val="bottom"/>
          </w:tcPr>
          <w:p>
            <w:pPr>
              <w:jc w:val="right"/>
              <w:ind w:right="8"/>
              <w:spacing w:after="0"/>
              <w:rPr>
                <w:sz w:val="20"/>
                <w:szCs w:val="20"/>
                <w:color w:val="auto"/>
              </w:rPr>
            </w:pPr>
            <w:r>
              <w:rPr>
                <w:rFonts w:ascii="Arial" w:cs="Arial" w:eastAsia="Arial" w:hAnsi="Arial"/>
                <w:sz w:val="14"/>
                <w:szCs w:val="14"/>
                <w:color w:val="auto"/>
              </w:rPr>
              <w:t>82 %</w:t>
            </w:r>
          </w:p>
        </w:tc>
        <w:tc>
          <w:tcPr>
            <w:tcW w:w="0" w:type="dxa"/>
            <w:vAlign w:val="bottom"/>
          </w:tcPr>
          <w:p>
            <w:pPr>
              <w:spacing w:after="0"/>
              <w:rPr>
                <w:sz w:val="1"/>
                <w:szCs w:val="1"/>
                <w:color w:val="auto"/>
              </w:rPr>
            </w:pPr>
          </w:p>
        </w:tc>
      </w:tr>
      <w:tr>
        <w:trPr>
          <w:trHeight w:val="216"/>
        </w:trPr>
        <w:tc>
          <w:tcPr>
            <w:tcW w:w="2920" w:type="dxa"/>
            <w:vAlign w:val="bottom"/>
          </w:tcPr>
          <w:p>
            <w:pPr>
              <w:ind w:left="180"/>
              <w:spacing w:after="0"/>
              <w:rPr>
                <w:sz w:val="20"/>
                <w:szCs w:val="20"/>
                <w:color w:val="auto"/>
              </w:rPr>
            </w:pPr>
            <w:r>
              <w:rPr>
                <w:rFonts w:ascii="Arial" w:cs="Arial" w:eastAsia="Arial" w:hAnsi="Arial"/>
                <w:sz w:val="14"/>
                <w:szCs w:val="14"/>
                <w:color w:val="auto"/>
              </w:rPr>
              <w:t>Sempra Pipelines &amp; Storage</w:t>
            </w:r>
          </w:p>
        </w:tc>
        <w:tc>
          <w:tcPr>
            <w:tcW w:w="280" w:type="dxa"/>
            <w:vAlign w:val="bottom"/>
          </w:tcPr>
          <w:p>
            <w:pPr>
              <w:spacing w:after="0"/>
              <w:rPr>
                <w:sz w:val="18"/>
                <w:szCs w:val="18"/>
                <w:color w:val="auto"/>
              </w:rPr>
            </w:pPr>
          </w:p>
        </w:tc>
        <w:tc>
          <w:tcPr>
            <w:tcW w:w="720" w:type="dxa"/>
            <w:vAlign w:val="bottom"/>
          </w:tcPr>
          <w:p>
            <w:pPr>
              <w:jc w:val="right"/>
              <w:ind w:right="208"/>
              <w:spacing w:after="0"/>
              <w:rPr>
                <w:sz w:val="20"/>
                <w:szCs w:val="20"/>
                <w:color w:val="auto"/>
              </w:rPr>
            </w:pPr>
            <w:r>
              <w:rPr>
                <w:rFonts w:ascii="Arial" w:cs="Arial" w:eastAsia="Arial" w:hAnsi="Arial"/>
                <w:sz w:val="14"/>
                <w:szCs w:val="14"/>
                <w:color w:val="auto"/>
              </w:rPr>
              <w:t>348</w:t>
            </w:r>
          </w:p>
        </w:tc>
        <w:tc>
          <w:tcPr>
            <w:tcW w:w="600" w:type="dxa"/>
            <w:vAlign w:val="bottom"/>
          </w:tcPr>
          <w:p>
            <w:pPr>
              <w:jc w:val="right"/>
              <w:ind w:right="188"/>
              <w:spacing w:after="0"/>
              <w:rPr>
                <w:sz w:val="20"/>
                <w:szCs w:val="20"/>
                <w:color w:val="auto"/>
              </w:rPr>
            </w:pPr>
            <w:r>
              <w:rPr>
                <w:rFonts w:ascii="Arial" w:cs="Arial" w:eastAsia="Arial" w:hAnsi="Arial"/>
                <w:sz w:val="14"/>
                <w:szCs w:val="14"/>
                <w:color w:val="auto"/>
              </w:rPr>
              <w:t>21</w:t>
            </w:r>
          </w:p>
        </w:tc>
        <w:tc>
          <w:tcPr>
            <w:tcW w:w="18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jc w:val="right"/>
              <w:ind w:right="208"/>
              <w:spacing w:after="0"/>
              <w:rPr>
                <w:sz w:val="20"/>
                <w:szCs w:val="20"/>
                <w:color w:val="auto"/>
              </w:rPr>
            </w:pPr>
            <w:r>
              <w:rPr>
                <w:rFonts w:ascii="Arial" w:cs="Arial" w:eastAsia="Arial" w:hAnsi="Arial"/>
                <w:sz w:val="14"/>
                <w:szCs w:val="14"/>
                <w:color w:val="auto"/>
              </w:rPr>
              <w:t>255</w:t>
            </w:r>
          </w:p>
        </w:tc>
        <w:tc>
          <w:tcPr>
            <w:tcW w:w="760" w:type="dxa"/>
            <w:vAlign w:val="bottom"/>
            <w:tcBorders>
              <w:right w:val="single" w:sz="8" w:color="auto"/>
            </w:tcBorders>
          </w:tcPr>
          <w:p>
            <w:pPr>
              <w:jc w:val="right"/>
              <w:ind w:right="368"/>
              <w:spacing w:after="0"/>
              <w:rPr>
                <w:sz w:val="20"/>
                <w:szCs w:val="20"/>
                <w:color w:val="auto"/>
              </w:rPr>
            </w:pPr>
            <w:r>
              <w:rPr>
                <w:rFonts w:ascii="Arial" w:cs="Arial" w:eastAsia="Arial" w:hAnsi="Arial"/>
                <w:sz w:val="14"/>
                <w:szCs w:val="14"/>
                <w:color w:val="auto"/>
              </w:rPr>
              <w:t>20</w:t>
            </w:r>
          </w:p>
        </w:tc>
        <w:tc>
          <w:tcPr>
            <w:tcW w:w="240" w:type="dxa"/>
            <w:vAlign w:val="bottom"/>
          </w:tcPr>
          <w:p>
            <w:pPr>
              <w:spacing w:after="0"/>
              <w:rPr>
                <w:sz w:val="18"/>
                <w:szCs w:val="18"/>
                <w:color w:val="auto"/>
              </w:rPr>
            </w:pPr>
          </w:p>
        </w:tc>
        <w:tc>
          <w:tcPr>
            <w:tcW w:w="720" w:type="dxa"/>
            <w:vAlign w:val="bottom"/>
          </w:tcPr>
          <w:p>
            <w:pPr>
              <w:jc w:val="right"/>
              <w:ind w:right="248"/>
              <w:spacing w:after="0"/>
              <w:rPr>
                <w:sz w:val="20"/>
                <w:szCs w:val="20"/>
                <w:color w:val="auto"/>
              </w:rPr>
            </w:pPr>
            <w:r>
              <w:rPr>
                <w:rFonts w:ascii="Arial" w:cs="Arial" w:eastAsia="Arial" w:hAnsi="Arial"/>
                <w:sz w:val="14"/>
                <w:szCs w:val="14"/>
                <w:color w:val="auto"/>
              </w:rPr>
              <w:t>233</w:t>
            </w:r>
          </w:p>
        </w:tc>
        <w:tc>
          <w:tcPr>
            <w:tcW w:w="540" w:type="dxa"/>
            <w:vAlign w:val="bottom"/>
          </w:tcPr>
          <w:p>
            <w:pPr>
              <w:jc w:val="right"/>
              <w:ind w:right="168"/>
              <w:spacing w:after="0"/>
              <w:rPr>
                <w:sz w:val="20"/>
                <w:szCs w:val="20"/>
                <w:color w:val="auto"/>
              </w:rPr>
            </w:pPr>
            <w:r>
              <w:rPr>
                <w:rFonts w:ascii="Arial" w:cs="Arial" w:eastAsia="Arial" w:hAnsi="Arial"/>
                <w:sz w:val="14"/>
                <w:szCs w:val="14"/>
                <w:color w:val="auto"/>
              </w:rPr>
              <w:t>19</w:t>
            </w:r>
          </w:p>
        </w:tc>
        <w:tc>
          <w:tcPr>
            <w:tcW w:w="0" w:type="dxa"/>
            <w:vAlign w:val="bottom"/>
          </w:tcPr>
          <w:p>
            <w:pPr>
              <w:spacing w:after="0"/>
              <w:rPr>
                <w:sz w:val="1"/>
                <w:szCs w:val="1"/>
                <w:color w:val="auto"/>
              </w:rPr>
            </w:pPr>
          </w:p>
        </w:tc>
      </w:tr>
      <w:tr>
        <w:trPr>
          <w:trHeight w:val="216"/>
        </w:trPr>
        <w:tc>
          <w:tcPr>
            <w:tcW w:w="2920" w:type="dxa"/>
            <w:vAlign w:val="bottom"/>
          </w:tcPr>
          <w:p>
            <w:pPr>
              <w:ind w:left="180"/>
              <w:spacing w:after="0"/>
              <w:rPr>
                <w:sz w:val="20"/>
                <w:szCs w:val="20"/>
                <w:color w:val="auto"/>
              </w:rPr>
            </w:pPr>
            <w:r>
              <w:rPr>
                <w:rFonts w:ascii="Arial" w:cs="Arial" w:eastAsia="Arial" w:hAnsi="Arial"/>
                <w:sz w:val="14"/>
                <w:szCs w:val="14"/>
                <w:color w:val="auto"/>
              </w:rPr>
              <w:t>Sempra LNG</w:t>
            </w:r>
          </w:p>
        </w:tc>
        <w:tc>
          <w:tcPr>
            <w:tcW w:w="280" w:type="dxa"/>
            <w:vAlign w:val="bottom"/>
          </w:tcPr>
          <w:p>
            <w:pPr>
              <w:spacing w:after="0"/>
              <w:rPr>
                <w:sz w:val="18"/>
                <w:szCs w:val="18"/>
                <w:color w:val="auto"/>
              </w:rPr>
            </w:pPr>
          </w:p>
        </w:tc>
        <w:tc>
          <w:tcPr>
            <w:tcW w:w="720" w:type="dxa"/>
            <w:vAlign w:val="bottom"/>
          </w:tcPr>
          <w:p>
            <w:pPr>
              <w:jc w:val="right"/>
              <w:ind w:right="208"/>
              <w:spacing w:after="0"/>
              <w:rPr>
                <w:sz w:val="20"/>
                <w:szCs w:val="20"/>
                <w:color w:val="auto"/>
              </w:rPr>
            </w:pPr>
            <w:r>
              <w:rPr>
                <w:rFonts w:ascii="Arial" w:cs="Arial" w:eastAsia="Arial" w:hAnsi="Arial"/>
                <w:sz w:val="14"/>
                <w:szCs w:val="14"/>
                <w:color w:val="auto"/>
              </w:rPr>
              <w:t>47</w:t>
            </w:r>
          </w:p>
        </w:tc>
        <w:tc>
          <w:tcPr>
            <w:tcW w:w="600" w:type="dxa"/>
            <w:vAlign w:val="bottom"/>
          </w:tcPr>
          <w:p>
            <w:pPr>
              <w:jc w:val="right"/>
              <w:ind w:right="188"/>
              <w:spacing w:after="0"/>
              <w:rPr>
                <w:sz w:val="20"/>
                <w:szCs w:val="20"/>
                <w:color w:val="auto"/>
              </w:rPr>
            </w:pPr>
            <w:r>
              <w:rPr>
                <w:rFonts w:ascii="Arial" w:cs="Arial" w:eastAsia="Arial" w:hAnsi="Arial"/>
                <w:sz w:val="14"/>
                <w:szCs w:val="14"/>
                <w:color w:val="auto"/>
              </w:rPr>
              <w:t>3</w:t>
            </w:r>
          </w:p>
        </w:tc>
        <w:tc>
          <w:tcPr>
            <w:tcW w:w="18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760" w:type="dxa"/>
            <w:vAlign w:val="bottom"/>
            <w:tcBorders>
              <w:right w:val="single" w:sz="8" w:color="auto"/>
            </w:tcBorders>
          </w:tcPr>
          <w:p>
            <w:pPr>
              <w:jc w:val="right"/>
              <w:ind w:right="36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8"/>
                <w:szCs w:val="18"/>
                <w:color w:val="auto"/>
              </w:rPr>
            </w:pPr>
          </w:p>
        </w:tc>
        <w:tc>
          <w:tcPr>
            <w:tcW w:w="72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54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2"/>
        </w:trPr>
        <w:tc>
          <w:tcPr>
            <w:tcW w:w="2920" w:type="dxa"/>
            <w:vAlign w:val="bottom"/>
          </w:tcPr>
          <w:p>
            <w:pPr>
              <w:ind w:left="180"/>
              <w:spacing w:after="0"/>
              <w:rPr>
                <w:sz w:val="20"/>
                <w:szCs w:val="20"/>
                <w:color w:val="auto"/>
              </w:rPr>
            </w:pPr>
            <w:r>
              <w:rPr>
                <w:rFonts w:ascii="Arial" w:cs="Arial" w:eastAsia="Arial" w:hAnsi="Arial"/>
                <w:sz w:val="14"/>
                <w:szCs w:val="14"/>
                <w:color w:val="auto"/>
              </w:rPr>
              <w:t>Parent and other*</w:t>
            </w:r>
          </w:p>
        </w:tc>
        <w:tc>
          <w:tcPr>
            <w:tcW w:w="2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(28 )</w:t>
            </w:r>
          </w:p>
        </w:tc>
        <w:tc>
          <w:tcPr>
            <w:tcW w:w="6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(2 )</w:t>
            </w:r>
          </w:p>
        </w:tc>
        <w:tc>
          <w:tcPr>
            <w:tcW w:w="180" w:type="dxa"/>
            <w:vAlign w:val="bottom"/>
            <w:tcBorders>
              <w:bottom w:val="single" w:sz="8" w:color="auto"/>
              <w:right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(11 )</w:t>
            </w:r>
          </w:p>
        </w:tc>
        <w:tc>
          <w:tcPr>
            <w:tcW w:w="760" w:type="dxa"/>
            <w:vAlign w:val="bottom"/>
            <w:tcBorders>
              <w:bottom w:val="single" w:sz="8" w:color="auto"/>
              <w:right w:val="single" w:sz="8" w:color="auto"/>
            </w:tcBorders>
          </w:tcPr>
          <w:p>
            <w:pPr>
              <w:jc w:val="right"/>
              <w:ind w:right="288"/>
              <w:spacing w:after="0"/>
              <w:rPr>
                <w:sz w:val="20"/>
                <w:szCs w:val="20"/>
                <w:color w:val="auto"/>
              </w:rPr>
            </w:pPr>
            <w:r>
              <w:rPr>
                <w:rFonts w:ascii="Arial" w:cs="Arial" w:eastAsia="Arial" w:hAnsi="Arial"/>
                <w:sz w:val="14"/>
                <w:szCs w:val="14"/>
                <w:color w:val="auto"/>
              </w:rPr>
              <w:t>(1 )</w:t>
            </w:r>
          </w:p>
        </w:tc>
        <w:tc>
          <w:tcPr>
            <w:tcW w:w="2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(8 )</w:t>
            </w:r>
          </w:p>
        </w:tc>
        <w:tc>
          <w:tcPr>
            <w:tcW w:w="5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(1 )</w:t>
            </w:r>
          </w:p>
        </w:tc>
        <w:tc>
          <w:tcPr>
            <w:tcW w:w="0" w:type="dxa"/>
            <w:vAlign w:val="bottom"/>
          </w:tcPr>
          <w:p>
            <w:pPr>
              <w:spacing w:after="0"/>
              <w:rPr>
                <w:sz w:val="1"/>
                <w:szCs w:val="1"/>
                <w:color w:val="auto"/>
              </w:rPr>
            </w:pPr>
          </w:p>
        </w:tc>
      </w:tr>
      <w:tr>
        <w:trPr>
          <w:trHeight w:val="174"/>
        </w:trPr>
        <w:tc>
          <w:tcPr>
            <w:tcW w:w="2920" w:type="dxa"/>
            <w:vAlign w:val="bottom"/>
          </w:tcPr>
          <w:p>
            <w:pPr>
              <w:ind w:left="320"/>
              <w:spacing w:after="0"/>
              <w:rPr>
                <w:sz w:val="20"/>
                <w:szCs w:val="20"/>
                <w:color w:val="auto"/>
              </w:rPr>
            </w:pPr>
            <w:r>
              <w:rPr>
                <w:rFonts w:ascii="Arial" w:cs="Arial" w:eastAsia="Arial" w:hAnsi="Arial"/>
                <w:sz w:val="14"/>
                <w:szCs w:val="14"/>
                <w:color w:val="auto"/>
              </w:rPr>
              <w:t>Total cost of natural gas, electric fuel</w:t>
            </w:r>
          </w:p>
        </w:tc>
        <w:tc>
          <w:tcPr>
            <w:tcW w:w="28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720" w:type="dxa"/>
            <w:vAlign w:val="bottom"/>
            <w:vMerge w:val="restart"/>
          </w:tcPr>
          <w:p>
            <w:pPr>
              <w:jc w:val="right"/>
              <w:ind w:right="208"/>
              <w:spacing w:after="0"/>
              <w:rPr>
                <w:sz w:val="20"/>
                <w:szCs w:val="20"/>
                <w:color w:val="auto"/>
              </w:rPr>
            </w:pPr>
            <w:r>
              <w:rPr>
                <w:rFonts w:ascii="Arial" w:cs="Arial" w:eastAsia="Arial" w:hAnsi="Arial"/>
                <w:sz w:val="14"/>
                <w:szCs w:val="14"/>
                <w:color w:val="auto"/>
              </w:rPr>
              <w:t>1,671</w:t>
            </w:r>
          </w:p>
        </w:tc>
        <w:tc>
          <w:tcPr>
            <w:tcW w:w="600" w:type="dxa"/>
            <w:vAlign w:val="bottom"/>
            <w:vMerge w:val="restart"/>
          </w:tcPr>
          <w:p>
            <w:pPr>
              <w:jc w:val="right"/>
              <w:ind w:right="48"/>
              <w:spacing w:after="0"/>
              <w:rPr>
                <w:sz w:val="20"/>
                <w:szCs w:val="20"/>
                <w:color w:val="auto"/>
              </w:rPr>
            </w:pPr>
            <w:r>
              <w:rPr>
                <w:rFonts w:ascii="Arial" w:cs="Arial" w:eastAsia="Arial" w:hAnsi="Arial"/>
                <w:sz w:val="14"/>
                <w:szCs w:val="14"/>
                <w:color w:val="auto"/>
              </w:rPr>
              <w:t>100 %</w:t>
            </w:r>
          </w:p>
        </w:tc>
        <w:tc>
          <w:tcPr>
            <w:tcW w:w="180" w:type="dxa"/>
            <w:vAlign w:val="bottom"/>
            <w:tcBorders>
              <w:right w:val="single" w:sz="8" w:color="auto"/>
            </w:tcBorders>
          </w:tcPr>
          <w:p>
            <w:pPr>
              <w:spacing w:after="0"/>
              <w:rPr>
                <w:sz w:val="15"/>
                <w:szCs w:val="15"/>
                <w:color w:val="auto"/>
              </w:rPr>
            </w:pPr>
          </w:p>
        </w:tc>
        <w:tc>
          <w:tcPr>
            <w:tcW w:w="26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720" w:type="dxa"/>
            <w:vAlign w:val="bottom"/>
            <w:vMerge w:val="restart"/>
          </w:tcPr>
          <w:p>
            <w:pPr>
              <w:jc w:val="right"/>
              <w:ind w:right="208"/>
              <w:spacing w:after="0"/>
              <w:rPr>
                <w:sz w:val="20"/>
                <w:szCs w:val="20"/>
                <w:color w:val="auto"/>
              </w:rPr>
            </w:pPr>
            <w:r>
              <w:rPr>
                <w:rFonts w:ascii="Arial" w:cs="Arial" w:eastAsia="Arial" w:hAnsi="Arial"/>
                <w:sz w:val="14"/>
                <w:szCs w:val="14"/>
                <w:color w:val="auto"/>
              </w:rPr>
              <w:t>1,302</w:t>
            </w:r>
          </w:p>
        </w:tc>
        <w:tc>
          <w:tcPr>
            <w:tcW w:w="760" w:type="dxa"/>
            <w:vAlign w:val="bottom"/>
            <w:tcBorders>
              <w:right w:val="single" w:sz="8" w:color="auto"/>
            </w:tcBorders>
            <w:vMerge w:val="restart"/>
          </w:tcPr>
          <w:p>
            <w:pPr>
              <w:jc w:val="right"/>
              <w:ind w:right="208"/>
              <w:spacing w:after="0"/>
              <w:rPr>
                <w:sz w:val="20"/>
                <w:szCs w:val="20"/>
                <w:color w:val="auto"/>
              </w:rPr>
            </w:pPr>
            <w:r>
              <w:rPr>
                <w:rFonts w:ascii="Arial" w:cs="Arial" w:eastAsia="Arial" w:hAnsi="Arial"/>
                <w:sz w:val="14"/>
                <w:szCs w:val="14"/>
                <w:color w:val="auto"/>
              </w:rPr>
              <w:t>100 %</w:t>
            </w:r>
          </w:p>
        </w:tc>
        <w:tc>
          <w:tcPr>
            <w:tcW w:w="2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720" w:type="dxa"/>
            <w:vAlign w:val="bottom"/>
            <w:vMerge w:val="restart"/>
          </w:tcPr>
          <w:p>
            <w:pPr>
              <w:jc w:val="right"/>
              <w:ind w:right="248"/>
              <w:spacing w:after="0"/>
              <w:rPr>
                <w:sz w:val="20"/>
                <w:szCs w:val="20"/>
                <w:color w:val="auto"/>
              </w:rPr>
            </w:pPr>
            <w:r>
              <w:rPr>
                <w:rFonts w:ascii="Arial" w:cs="Arial" w:eastAsia="Arial" w:hAnsi="Arial"/>
                <w:sz w:val="14"/>
                <w:szCs w:val="14"/>
                <w:color w:val="auto"/>
              </w:rPr>
              <w:t>1,221</w:t>
            </w:r>
          </w:p>
        </w:tc>
        <w:tc>
          <w:tcPr>
            <w:tcW w:w="540" w:type="dxa"/>
            <w:vAlign w:val="bottom"/>
            <w:vMerge w:val="restart"/>
          </w:tcPr>
          <w:p>
            <w:pPr>
              <w:jc w:val="right"/>
              <w:ind w:right="8"/>
              <w:spacing w:after="0"/>
              <w:rPr>
                <w:sz w:val="20"/>
                <w:szCs w:val="20"/>
                <w:color w:val="auto"/>
              </w:rPr>
            </w:pPr>
            <w:r>
              <w:rPr>
                <w:rFonts w:ascii="Arial" w:cs="Arial" w:eastAsia="Arial" w:hAnsi="Arial"/>
                <w:sz w:val="14"/>
                <w:szCs w:val="14"/>
                <w:color w:val="auto"/>
              </w:rPr>
              <w:t>100 %</w:t>
            </w:r>
          </w:p>
        </w:tc>
        <w:tc>
          <w:tcPr>
            <w:tcW w:w="0" w:type="dxa"/>
            <w:vAlign w:val="bottom"/>
          </w:tcPr>
          <w:p>
            <w:pPr>
              <w:spacing w:after="0"/>
              <w:rPr>
                <w:sz w:val="1"/>
                <w:szCs w:val="1"/>
                <w:color w:val="auto"/>
              </w:rPr>
            </w:pPr>
          </w:p>
        </w:tc>
      </w:tr>
      <w:tr>
        <w:trPr>
          <w:trHeight w:val="159"/>
        </w:trPr>
        <w:tc>
          <w:tcPr>
            <w:tcW w:w="2920" w:type="dxa"/>
            <w:vAlign w:val="bottom"/>
          </w:tcPr>
          <w:p>
            <w:pPr>
              <w:ind w:left="460"/>
              <w:spacing w:after="0" w:line="143" w:lineRule="exact"/>
              <w:rPr>
                <w:sz w:val="20"/>
                <w:szCs w:val="20"/>
                <w:color w:val="auto"/>
              </w:rPr>
            </w:pPr>
            <w:r>
              <w:rPr>
                <w:rFonts w:ascii="Arial" w:cs="Arial" w:eastAsia="Arial" w:hAnsi="Arial"/>
                <w:sz w:val="14"/>
                <w:szCs w:val="14"/>
                <w:color w:val="auto"/>
              </w:rPr>
              <w:t>and purchased power</w:t>
            </w:r>
          </w:p>
        </w:tc>
        <w:tc>
          <w:tcPr>
            <w:tcW w:w="280" w:type="dxa"/>
            <w:vAlign w:val="bottom"/>
            <w:tcBorders>
              <w:bottom w:val="single" w:sz="8" w:color="auto"/>
            </w:tcBorders>
            <w:vMerge w:val="continue"/>
          </w:tcPr>
          <w:p>
            <w:pPr>
              <w:spacing w:after="0"/>
              <w:rPr>
                <w:sz w:val="13"/>
                <w:szCs w:val="13"/>
                <w:color w:val="auto"/>
              </w:rPr>
            </w:pPr>
          </w:p>
        </w:tc>
        <w:tc>
          <w:tcPr>
            <w:tcW w:w="720" w:type="dxa"/>
            <w:vAlign w:val="bottom"/>
            <w:tcBorders>
              <w:bottom w:val="single" w:sz="8" w:color="auto"/>
            </w:tcBorders>
            <w:vMerge w:val="continue"/>
          </w:tcPr>
          <w:p>
            <w:pPr>
              <w:spacing w:after="0"/>
              <w:rPr>
                <w:sz w:val="13"/>
                <w:szCs w:val="13"/>
                <w:color w:val="auto"/>
              </w:rPr>
            </w:pPr>
          </w:p>
        </w:tc>
        <w:tc>
          <w:tcPr>
            <w:tcW w:w="600" w:type="dxa"/>
            <w:vAlign w:val="bottom"/>
            <w:tcBorders>
              <w:bottom w:val="single" w:sz="8" w:color="auto"/>
            </w:tcBorders>
            <w:vMerge w:val="continue"/>
          </w:tcPr>
          <w:p>
            <w:pPr>
              <w:spacing w:after="0"/>
              <w:rPr>
                <w:sz w:val="13"/>
                <w:szCs w:val="13"/>
                <w:color w:val="auto"/>
              </w:rPr>
            </w:pPr>
          </w:p>
        </w:tc>
        <w:tc>
          <w:tcPr>
            <w:tcW w:w="180" w:type="dxa"/>
            <w:vAlign w:val="bottom"/>
            <w:tcBorders>
              <w:bottom w:val="single" w:sz="8" w:color="auto"/>
              <w:right w:val="single" w:sz="8" w:color="auto"/>
            </w:tcBorders>
          </w:tcPr>
          <w:p>
            <w:pPr>
              <w:spacing w:after="0"/>
              <w:rPr>
                <w:sz w:val="13"/>
                <w:szCs w:val="13"/>
                <w:color w:val="auto"/>
              </w:rPr>
            </w:pPr>
          </w:p>
        </w:tc>
        <w:tc>
          <w:tcPr>
            <w:tcW w:w="260" w:type="dxa"/>
            <w:vAlign w:val="bottom"/>
            <w:tcBorders>
              <w:bottom w:val="single" w:sz="8" w:color="auto"/>
            </w:tcBorders>
            <w:vMerge w:val="continue"/>
          </w:tcPr>
          <w:p>
            <w:pPr>
              <w:spacing w:after="0"/>
              <w:rPr>
                <w:sz w:val="13"/>
                <w:szCs w:val="13"/>
                <w:color w:val="auto"/>
              </w:rPr>
            </w:pPr>
          </w:p>
        </w:tc>
        <w:tc>
          <w:tcPr>
            <w:tcW w:w="720" w:type="dxa"/>
            <w:vAlign w:val="bottom"/>
            <w:tcBorders>
              <w:bottom w:val="single" w:sz="8" w:color="auto"/>
            </w:tcBorders>
            <w:vMerge w:val="continue"/>
          </w:tcPr>
          <w:p>
            <w:pPr>
              <w:spacing w:after="0"/>
              <w:rPr>
                <w:sz w:val="13"/>
                <w:szCs w:val="13"/>
                <w:color w:val="auto"/>
              </w:rPr>
            </w:pPr>
          </w:p>
        </w:tc>
        <w:tc>
          <w:tcPr>
            <w:tcW w:w="760" w:type="dxa"/>
            <w:vAlign w:val="bottom"/>
            <w:tcBorders>
              <w:bottom w:val="single" w:sz="8" w:color="auto"/>
              <w:right w:val="single" w:sz="8" w:color="auto"/>
            </w:tcBorders>
            <w:vMerge w:val="continue"/>
          </w:tcPr>
          <w:p>
            <w:pPr>
              <w:spacing w:after="0"/>
              <w:rPr>
                <w:sz w:val="13"/>
                <w:szCs w:val="13"/>
                <w:color w:val="auto"/>
              </w:rPr>
            </w:pPr>
          </w:p>
        </w:tc>
        <w:tc>
          <w:tcPr>
            <w:tcW w:w="240" w:type="dxa"/>
            <w:vAlign w:val="bottom"/>
            <w:tcBorders>
              <w:bottom w:val="single" w:sz="8" w:color="auto"/>
            </w:tcBorders>
            <w:vMerge w:val="continue"/>
          </w:tcPr>
          <w:p>
            <w:pPr>
              <w:spacing w:after="0"/>
              <w:rPr>
                <w:sz w:val="13"/>
                <w:szCs w:val="13"/>
                <w:color w:val="auto"/>
              </w:rPr>
            </w:pPr>
          </w:p>
        </w:tc>
        <w:tc>
          <w:tcPr>
            <w:tcW w:w="720" w:type="dxa"/>
            <w:vAlign w:val="bottom"/>
            <w:tcBorders>
              <w:bottom w:val="single" w:sz="8" w:color="auto"/>
            </w:tcBorders>
            <w:vMerge w:val="continue"/>
          </w:tcPr>
          <w:p>
            <w:pPr>
              <w:spacing w:after="0"/>
              <w:rPr>
                <w:sz w:val="13"/>
                <w:szCs w:val="13"/>
                <w:color w:val="auto"/>
              </w:rPr>
            </w:pPr>
          </w:p>
        </w:tc>
        <w:tc>
          <w:tcPr>
            <w:tcW w:w="54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426"/>
        </w:trPr>
        <w:tc>
          <w:tcPr>
            <w:tcW w:w="2920" w:type="dxa"/>
            <w:vAlign w:val="bottom"/>
          </w:tcPr>
          <w:p>
            <w:pPr>
              <w:ind w:left="180"/>
              <w:spacing w:after="0"/>
              <w:rPr>
                <w:sz w:val="20"/>
                <w:szCs w:val="20"/>
                <w:color w:val="auto"/>
              </w:rPr>
            </w:pPr>
            <w:r>
              <w:rPr>
                <w:rFonts w:ascii="Arial" w:cs="Arial" w:eastAsia="Arial" w:hAnsi="Arial"/>
                <w:sz w:val="14"/>
                <w:szCs w:val="14"/>
                <w:color w:val="auto"/>
              </w:rPr>
              <w:t>Sempra Commodities</w:t>
            </w:r>
          </w:p>
        </w:tc>
        <w:tc>
          <w:tcPr>
            <w:tcW w:w="2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208"/>
              <w:spacing w:after="0"/>
              <w:rPr>
                <w:sz w:val="20"/>
                <w:szCs w:val="20"/>
                <w:color w:val="auto"/>
              </w:rPr>
            </w:pPr>
            <w:r>
              <w:rPr>
                <w:rFonts w:ascii="Arial" w:cs="Arial" w:eastAsia="Arial" w:hAnsi="Arial"/>
                <w:sz w:val="14"/>
                <w:szCs w:val="14"/>
                <w:color w:val="auto"/>
              </w:rPr>
              <w:t>178</w:t>
            </w: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98 %</w:t>
            </w:r>
          </w:p>
        </w:tc>
        <w:tc>
          <w:tcPr>
            <w:tcW w:w="180" w:type="dxa"/>
            <w:vAlign w:val="bottom"/>
            <w:tcBorders>
              <w:right w:val="single" w:sz="8" w:color="auto"/>
            </w:tcBorders>
          </w:tcPr>
          <w:p>
            <w:pPr>
              <w:spacing w:after="0"/>
              <w:rPr>
                <w:sz w:val="24"/>
                <w:szCs w:val="24"/>
                <w:color w:val="auto"/>
              </w:rPr>
            </w:pPr>
          </w:p>
        </w:tc>
        <w:tc>
          <w:tcPr>
            <w:tcW w:w="2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208"/>
              <w:spacing w:after="0"/>
              <w:rPr>
                <w:sz w:val="20"/>
                <w:szCs w:val="20"/>
                <w:color w:val="auto"/>
              </w:rPr>
            </w:pPr>
            <w:r>
              <w:rPr>
                <w:rFonts w:ascii="Arial" w:cs="Arial" w:eastAsia="Arial" w:hAnsi="Arial"/>
                <w:sz w:val="14"/>
                <w:szCs w:val="14"/>
                <w:color w:val="auto"/>
              </w:rPr>
              <w:t>988</w:t>
            </w:r>
          </w:p>
        </w:tc>
        <w:tc>
          <w:tcPr>
            <w:tcW w:w="760" w:type="dxa"/>
            <w:vAlign w:val="bottom"/>
            <w:tcBorders>
              <w:right w:val="single" w:sz="8" w:color="auto"/>
            </w:tcBorders>
          </w:tcPr>
          <w:p>
            <w:pPr>
              <w:jc w:val="right"/>
              <w:ind w:right="208"/>
              <w:spacing w:after="0"/>
              <w:rPr>
                <w:sz w:val="20"/>
                <w:szCs w:val="20"/>
                <w:color w:val="auto"/>
              </w:rPr>
            </w:pPr>
            <w:r>
              <w:rPr>
                <w:rFonts w:ascii="Arial" w:cs="Arial" w:eastAsia="Arial" w:hAnsi="Arial"/>
                <w:sz w:val="14"/>
                <w:szCs w:val="14"/>
                <w:color w:val="auto"/>
              </w:rPr>
              <w:t>100 %</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248"/>
              <w:spacing w:after="0"/>
              <w:rPr>
                <w:sz w:val="20"/>
                <w:szCs w:val="20"/>
                <w:color w:val="auto"/>
              </w:rPr>
            </w:pPr>
            <w:r>
              <w:rPr>
                <w:rFonts w:ascii="Arial" w:cs="Arial" w:eastAsia="Arial" w:hAnsi="Arial"/>
                <w:sz w:val="14"/>
                <w:szCs w:val="14"/>
                <w:color w:val="auto"/>
              </w:rPr>
              <w:t>1,468</w:t>
            </w:r>
          </w:p>
        </w:tc>
        <w:tc>
          <w:tcPr>
            <w:tcW w:w="540" w:type="dxa"/>
            <w:vAlign w:val="bottom"/>
          </w:tcPr>
          <w:p>
            <w:pPr>
              <w:jc w:val="right"/>
              <w:ind w:right="8"/>
              <w:spacing w:after="0"/>
              <w:rPr>
                <w:sz w:val="20"/>
                <w:szCs w:val="20"/>
                <w:color w:val="auto"/>
              </w:rPr>
            </w:pPr>
            <w:r>
              <w:rPr>
                <w:rFonts w:ascii="Arial" w:cs="Arial" w:eastAsia="Arial" w:hAnsi="Arial"/>
                <w:sz w:val="14"/>
                <w:szCs w:val="14"/>
                <w:color w:val="auto"/>
              </w:rPr>
              <w:t>100 %</w:t>
            </w:r>
          </w:p>
        </w:tc>
        <w:tc>
          <w:tcPr>
            <w:tcW w:w="0" w:type="dxa"/>
            <w:vAlign w:val="bottom"/>
          </w:tcPr>
          <w:p>
            <w:pPr>
              <w:spacing w:after="0"/>
              <w:rPr>
                <w:sz w:val="1"/>
                <w:szCs w:val="1"/>
                <w:color w:val="auto"/>
              </w:rPr>
            </w:pPr>
          </w:p>
        </w:tc>
      </w:tr>
      <w:tr>
        <w:trPr>
          <w:trHeight w:val="216"/>
        </w:trPr>
        <w:tc>
          <w:tcPr>
            <w:tcW w:w="2920" w:type="dxa"/>
            <w:vAlign w:val="bottom"/>
          </w:tcPr>
          <w:p>
            <w:pPr>
              <w:ind w:left="180"/>
              <w:spacing w:after="0"/>
              <w:rPr>
                <w:sz w:val="20"/>
                <w:szCs w:val="20"/>
                <w:color w:val="auto"/>
              </w:rPr>
            </w:pPr>
            <w:r>
              <w:rPr>
                <w:rFonts w:ascii="Arial" w:cs="Arial" w:eastAsia="Arial" w:hAnsi="Arial"/>
                <w:sz w:val="14"/>
                <w:szCs w:val="14"/>
                <w:color w:val="auto"/>
              </w:rPr>
              <w:t>Sempra LNG</w:t>
            </w:r>
          </w:p>
        </w:tc>
        <w:tc>
          <w:tcPr>
            <w:tcW w:w="280" w:type="dxa"/>
            <w:vAlign w:val="bottom"/>
          </w:tcPr>
          <w:p>
            <w:pPr>
              <w:spacing w:after="0"/>
              <w:rPr>
                <w:sz w:val="18"/>
                <w:szCs w:val="18"/>
                <w:color w:val="auto"/>
              </w:rPr>
            </w:pPr>
          </w:p>
        </w:tc>
        <w:tc>
          <w:tcPr>
            <w:tcW w:w="720" w:type="dxa"/>
            <w:vAlign w:val="bottom"/>
          </w:tcPr>
          <w:p>
            <w:pPr>
              <w:jc w:val="right"/>
              <w:ind w:right="208"/>
              <w:spacing w:after="0"/>
              <w:rPr>
                <w:sz w:val="20"/>
                <w:szCs w:val="20"/>
                <w:color w:val="auto"/>
              </w:rPr>
            </w:pPr>
            <w:r>
              <w:rPr>
                <w:rFonts w:ascii="Arial" w:cs="Arial" w:eastAsia="Arial" w:hAnsi="Arial"/>
                <w:sz w:val="14"/>
                <w:szCs w:val="14"/>
                <w:color w:val="auto"/>
              </w:rPr>
              <w:t>5</w:t>
            </w:r>
          </w:p>
        </w:tc>
        <w:tc>
          <w:tcPr>
            <w:tcW w:w="600" w:type="dxa"/>
            <w:vAlign w:val="bottom"/>
          </w:tcPr>
          <w:p>
            <w:pPr>
              <w:jc w:val="right"/>
              <w:ind w:right="188"/>
              <w:spacing w:after="0"/>
              <w:rPr>
                <w:sz w:val="20"/>
                <w:szCs w:val="20"/>
                <w:color w:val="auto"/>
              </w:rPr>
            </w:pPr>
            <w:r>
              <w:rPr>
                <w:rFonts w:ascii="Arial" w:cs="Arial" w:eastAsia="Arial" w:hAnsi="Arial"/>
                <w:sz w:val="14"/>
                <w:szCs w:val="14"/>
                <w:color w:val="auto"/>
              </w:rPr>
              <w:t>3</w:t>
            </w:r>
          </w:p>
        </w:tc>
        <w:tc>
          <w:tcPr>
            <w:tcW w:w="18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760" w:type="dxa"/>
            <w:vAlign w:val="bottom"/>
            <w:tcBorders>
              <w:right w:val="single" w:sz="8" w:color="auto"/>
            </w:tcBorders>
          </w:tcPr>
          <w:p>
            <w:pPr>
              <w:jc w:val="right"/>
              <w:ind w:right="36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8"/>
                <w:szCs w:val="18"/>
                <w:color w:val="auto"/>
              </w:rPr>
            </w:pPr>
          </w:p>
        </w:tc>
        <w:tc>
          <w:tcPr>
            <w:tcW w:w="72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54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6"/>
        </w:trPr>
        <w:tc>
          <w:tcPr>
            <w:tcW w:w="2920" w:type="dxa"/>
            <w:vAlign w:val="bottom"/>
          </w:tcPr>
          <w:p>
            <w:pPr>
              <w:ind w:left="180"/>
              <w:spacing w:after="0"/>
              <w:rPr>
                <w:sz w:val="20"/>
                <w:szCs w:val="20"/>
                <w:color w:val="auto"/>
              </w:rPr>
            </w:pPr>
            <w:r>
              <w:rPr>
                <w:rFonts w:ascii="Arial" w:cs="Arial" w:eastAsia="Arial" w:hAnsi="Arial"/>
                <w:sz w:val="14"/>
                <w:szCs w:val="14"/>
                <w:color w:val="auto"/>
              </w:rPr>
              <w:t>Sempra Generation</w:t>
            </w:r>
          </w:p>
        </w:tc>
        <w:tc>
          <w:tcPr>
            <w:tcW w:w="280" w:type="dxa"/>
            <w:vAlign w:val="bottom"/>
          </w:tcPr>
          <w:p>
            <w:pPr>
              <w:spacing w:after="0"/>
              <w:rPr>
                <w:sz w:val="18"/>
                <w:szCs w:val="18"/>
                <w:color w:val="auto"/>
              </w:rPr>
            </w:pPr>
          </w:p>
        </w:tc>
        <w:tc>
          <w:tcPr>
            <w:tcW w:w="720" w:type="dxa"/>
            <w:vAlign w:val="bottom"/>
          </w:tcPr>
          <w:p>
            <w:pPr>
              <w:jc w:val="right"/>
              <w:ind w:right="208"/>
              <w:spacing w:after="0"/>
              <w:rPr>
                <w:sz w:val="20"/>
                <w:szCs w:val="20"/>
                <w:color w:val="auto"/>
              </w:rPr>
            </w:pPr>
            <w:r>
              <w:rPr>
                <w:rFonts w:ascii="Arial" w:cs="Arial" w:eastAsia="Arial" w:hAnsi="Arial"/>
                <w:sz w:val="14"/>
                <w:szCs w:val="14"/>
                <w:color w:val="auto"/>
              </w:rPr>
              <w:t>1</w:t>
            </w:r>
          </w:p>
        </w:tc>
        <w:tc>
          <w:tcPr>
            <w:tcW w:w="60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8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jc w:val="right"/>
              <w:ind w:right="208"/>
              <w:spacing w:after="0"/>
              <w:rPr>
                <w:sz w:val="20"/>
                <w:szCs w:val="20"/>
                <w:color w:val="auto"/>
              </w:rPr>
            </w:pPr>
            <w:r>
              <w:rPr>
                <w:rFonts w:ascii="Arial" w:cs="Arial" w:eastAsia="Arial" w:hAnsi="Arial"/>
                <w:sz w:val="14"/>
                <w:szCs w:val="14"/>
                <w:color w:val="auto"/>
              </w:rPr>
              <w:t>1</w:t>
            </w:r>
          </w:p>
        </w:tc>
        <w:tc>
          <w:tcPr>
            <w:tcW w:w="760" w:type="dxa"/>
            <w:vAlign w:val="bottom"/>
            <w:tcBorders>
              <w:right w:val="single" w:sz="8" w:color="auto"/>
            </w:tcBorders>
          </w:tcPr>
          <w:p>
            <w:pPr>
              <w:jc w:val="right"/>
              <w:ind w:right="36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8"/>
                <w:szCs w:val="18"/>
                <w:color w:val="auto"/>
              </w:rPr>
            </w:pPr>
          </w:p>
        </w:tc>
        <w:tc>
          <w:tcPr>
            <w:tcW w:w="720" w:type="dxa"/>
            <w:vAlign w:val="bottom"/>
          </w:tcPr>
          <w:p>
            <w:pPr>
              <w:jc w:val="right"/>
              <w:ind w:right="248"/>
              <w:spacing w:after="0"/>
              <w:rPr>
                <w:sz w:val="20"/>
                <w:szCs w:val="20"/>
                <w:color w:val="auto"/>
              </w:rPr>
            </w:pPr>
            <w:r>
              <w:rPr>
                <w:rFonts w:ascii="Arial" w:cs="Arial" w:eastAsia="Arial" w:hAnsi="Arial"/>
                <w:sz w:val="14"/>
                <w:szCs w:val="14"/>
                <w:color w:val="auto"/>
              </w:rPr>
              <w:t>23</w:t>
            </w:r>
          </w:p>
        </w:tc>
        <w:tc>
          <w:tcPr>
            <w:tcW w:w="540" w:type="dxa"/>
            <w:vAlign w:val="bottom"/>
          </w:tcPr>
          <w:p>
            <w:pPr>
              <w:jc w:val="right"/>
              <w:ind w:right="168"/>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222"/>
        </w:trPr>
        <w:tc>
          <w:tcPr>
            <w:tcW w:w="2920" w:type="dxa"/>
            <w:vAlign w:val="bottom"/>
          </w:tcPr>
          <w:p>
            <w:pPr>
              <w:ind w:left="180"/>
              <w:spacing w:after="0"/>
              <w:rPr>
                <w:sz w:val="20"/>
                <w:szCs w:val="20"/>
                <w:color w:val="auto"/>
              </w:rPr>
            </w:pPr>
            <w:r>
              <w:rPr>
                <w:rFonts w:ascii="Arial" w:cs="Arial" w:eastAsia="Arial" w:hAnsi="Arial"/>
                <w:sz w:val="14"/>
                <w:szCs w:val="14"/>
                <w:color w:val="auto"/>
              </w:rPr>
              <w:t>Parent and other*</w:t>
            </w:r>
          </w:p>
        </w:tc>
        <w:tc>
          <w:tcPr>
            <w:tcW w:w="2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(2 )</w:t>
            </w:r>
          </w:p>
        </w:tc>
        <w:tc>
          <w:tcPr>
            <w:tcW w:w="6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(1 )</w:t>
            </w:r>
          </w:p>
        </w:tc>
        <w:tc>
          <w:tcPr>
            <w:tcW w:w="180" w:type="dxa"/>
            <w:vAlign w:val="bottom"/>
            <w:tcBorders>
              <w:bottom w:val="single" w:sz="8" w:color="auto"/>
              <w:right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(1 )</w:t>
            </w:r>
          </w:p>
        </w:tc>
        <w:tc>
          <w:tcPr>
            <w:tcW w:w="760" w:type="dxa"/>
            <w:vAlign w:val="bottom"/>
            <w:tcBorders>
              <w:bottom w:val="single" w:sz="8" w:color="auto"/>
              <w:right w:val="single" w:sz="8" w:color="auto"/>
            </w:tcBorders>
          </w:tcPr>
          <w:p>
            <w:pPr>
              <w:jc w:val="right"/>
              <w:ind w:right="368"/>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(23 )</w:t>
            </w:r>
          </w:p>
        </w:tc>
        <w:tc>
          <w:tcPr>
            <w:tcW w:w="5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(2 )</w:t>
            </w:r>
          </w:p>
        </w:tc>
        <w:tc>
          <w:tcPr>
            <w:tcW w:w="0" w:type="dxa"/>
            <w:vAlign w:val="bottom"/>
          </w:tcPr>
          <w:p>
            <w:pPr>
              <w:spacing w:after="0"/>
              <w:rPr>
                <w:sz w:val="1"/>
                <w:szCs w:val="1"/>
                <w:color w:val="auto"/>
              </w:rPr>
            </w:pPr>
          </w:p>
        </w:tc>
      </w:tr>
      <w:tr>
        <w:trPr>
          <w:trHeight w:val="224"/>
        </w:trPr>
        <w:tc>
          <w:tcPr>
            <w:tcW w:w="2920" w:type="dxa"/>
            <w:vAlign w:val="bottom"/>
            <w:tcBorders>
              <w:bottom w:val="single" w:sz="8" w:color="auto"/>
            </w:tcBorders>
          </w:tcPr>
          <w:p>
            <w:pPr>
              <w:ind w:left="320"/>
              <w:spacing w:after="0"/>
              <w:rPr>
                <w:sz w:val="20"/>
                <w:szCs w:val="20"/>
                <w:color w:val="auto"/>
              </w:rPr>
            </w:pPr>
            <w:r>
              <w:rPr>
                <w:rFonts w:ascii="Arial" w:cs="Arial" w:eastAsia="Arial" w:hAnsi="Arial"/>
                <w:sz w:val="14"/>
                <w:szCs w:val="14"/>
                <w:color w:val="auto"/>
              </w:rPr>
              <w:t>Total other cost of sales</w:t>
            </w:r>
          </w:p>
        </w:tc>
        <w:tc>
          <w:tcPr>
            <w:tcW w:w="2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182</w:t>
            </w:r>
          </w:p>
        </w:tc>
        <w:tc>
          <w:tcPr>
            <w:tcW w:w="6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100 %</w:t>
            </w:r>
          </w:p>
        </w:tc>
        <w:tc>
          <w:tcPr>
            <w:tcW w:w="180" w:type="dxa"/>
            <w:vAlign w:val="bottom"/>
            <w:tcBorders>
              <w:bottom w:val="single" w:sz="8" w:color="auto"/>
              <w:right w:val="single" w:sz="8" w:color="auto"/>
            </w:tcBorders>
          </w:tcPr>
          <w:p>
            <w:pPr>
              <w:spacing w:after="0"/>
              <w:rPr>
                <w:sz w:val="19"/>
                <w:szCs w:val="19"/>
                <w:color w:val="auto"/>
              </w:rPr>
            </w:pPr>
          </w:p>
        </w:tc>
        <w:tc>
          <w:tcPr>
            <w:tcW w:w="2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988</w:t>
            </w:r>
          </w:p>
        </w:tc>
        <w:tc>
          <w:tcPr>
            <w:tcW w:w="760" w:type="dxa"/>
            <w:vAlign w:val="bottom"/>
            <w:tcBorders>
              <w:bottom w:val="single" w:sz="8" w:color="auto"/>
              <w:right w:val="single" w:sz="8" w:color="auto"/>
            </w:tcBorders>
          </w:tcPr>
          <w:p>
            <w:pPr>
              <w:jc w:val="right"/>
              <w:ind w:right="208"/>
              <w:spacing w:after="0"/>
              <w:rPr>
                <w:sz w:val="20"/>
                <w:szCs w:val="20"/>
                <w:color w:val="auto"/>
              </w:rPr>
            </w:pPr>
            <w:r>
              <w:rPr>
                <w:rFonts w:ascii="Arial" w:cs="Arial" w:eastAsia="Arial" w:hAnsi="Arial"/>
                <w:sz w:val="14"/>
                <w:szCs w:val="14"/>
                <w:color w:val="auto"/>
              </w:rPr>
              <w:t>100 %</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1,468</w:t>
            </w:r>
          </w:p>
        </w:tc>
        <w:tc>
          <w:tcPr>
            <w:tcW w:w="5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100 %</w:t>
            </w:r>
          </w:p>
        </w:tc>
        <w:tc>
          <w:tcPr>
            <w:tcW w:w="0" w:type="dxa"/>
            <w:vAlign w:val="bottom"/>
          </w:tcPr>
          <w:p>
            <w:pPr>
              <w:spacing w:after="0"/>
              <w:rPr>
                <w:sz w:val="1"/>
                <w:szCs w:val="1"/>
                <w:color w:val="auto"/>
              </w:rPr>
            </w:pPr>
          </w:p>
        </w:tc>
      </w:tr>
    </w:tbl>
    <w:p>
      <w:pPr>
        <w:spacing w:after="0" w:line="16" w:lineRule="exact"/>
        <w:rPr>
          <w:sz w:val="20"/>
          <w:szCs w:val="20"/>
          <w:color w:val="auto"/>
        </w:rPr>
      </w:pPr>
    </w:p>
    <w:p>
      <w:pPr>
        <w:ind w:left="2144" w:hanging="378"/>
        <w:spacing w:after="0"/>
        <w:tabs>
          <w:tab w:leader="none" w:pos="2144" w:val="left"/>
        </w:tabs>
        <w:numPr>
          <w:ilvl w:val="0"/>
          <w:numId w:val="248"/>
        </w:numPr>
        <w:rPr>
          <w:rFonts w:ascii="Arial" w:cs="Arial" w:eastAsia="Arial" w:hAnsi="Arial"/>
          <w:sz w:val="13"/>
          <w:szCs w:val="13"/>
          <w:i w:val="1"/>
          <w:iCs w:val="1"/>
          <w:color w:val="auto"/>
        </w:rPr>
      </w:pPr>
      <w:r>
        <w:rPr>
          <w:rFonts w:ascii="Arial" w:cs="Arial" w:eastAsia="Arial" w:hAnsi="Arial"/>
          <w:sz w:val="13"/>
          <w:szCs w:val="13"/>
          <w:i w:val="1"/>
          <w:iCs w:val="1"/>
          <w:color w:val="auto"/>
        </w:rPr>
        <w:t>Includes eliminations of intercompany activity.</w:t>
      </w:r>
    </w:p>
    <w:p>
      <w:pPr>
        <w:spacing w:after="0" w:line="43" w:lineRule="exact"/>
        <w:rPr>
          <w:sz w:val="20"/>
          <w:szCs w:val="20"/>
          <w:color w:val="auto"/>
        </w:rPr>
      </w:pPr>
    </w:p>
    <w:p>
      <w:pPr>
        <w:ind w:left="2144" w:hanging="378"/>
        <w:spacing w:after="0"/>
        <w:tabs>
          <w:tab w:leader="none" w:pos="2144" w:val="left"/>
        </w:tabs>
        <w:numPr>
          <w:ilvl w:val="0"/>
          <w:numId w:val="249"/>
        </w:numPr>
        <w:rPr>
          <w:rFonts w:ascii="Arial" w:cs="Arial" w:eastAsia="Arial" w:hAnsi="Arial"/>
          <w:sz w:val="13"/>
          <w:szCs w:val="13"/>
          <w:i w:val="1"/>
          <w:iCs w:val="1"/>
          <w:color w:val="auto"/>
        </w:rPr>
      </w:pPr>
      <w:r>
        <w:rPr>
          <w:rFonts w:ascii="Arial" w:cs="Arial" w:eastAsia="Arial" w:hAnsi="Arial"/>
          <w:sz w:val="13"/>
          <w:szCs w:val="13"/>
          <w:i w:val="1"/>
          <w:iCs w:val="1"/>
          <w:color w:val="auto"/>
        </w:rPr>
        <w:t>Excludes depreciation, which is shown separately on the Statements of Consolidated Income.</w:t>
      </w:r>
    </w:p>
    <w:p>
      <w:pPr>
        <w:spacing w:after="0" w:line="206" w:lineRule="exact"/>
        <w:rPr>
          <w:sz w:val="20"/>
          <w:szCs w:val="20"/>
          <w:color w:val="auto"/>
        </w:rPr>
      </w:pPr>
    </w:p>
    <w:p>
      <w:pPr>
        <w:ind w:left="4"/>
        <w:spacing w:after="0"/>
        <w:rPr>
          <w:sz w:val="20"/>
          <w:szCs w:val="20"/>
          <w:color w:val="auto"/>
        </w:rPr>
      </w:pPr>
      <w:r>
        <w:rPr>
          <w:rFonts w:ascii="Arial" w:cs="Arial" w:eastAsia="Arial" w:hAnsi="Arial"/>
          <w:sz w:val="16"/>
          <w:szCs w:val="16"/>
          <w:color w:val="auto"/>
        </w:rPr>
        <w:t>In 2008, our Sempra Global and Parent revenues decreased by $1.6 billion (36%) to $2.8 billion. The decrease included</w:t>
      </w:r>
    </w:p>
    <w:p>
      <w:pPr>
        <w:spacing w:after="0" w:line="44" w:lineRule="exact"/>
        <w:rPr>
          <w:sz w:val="20"/>
          <w:szCs w:val="20"/>
          <w:color w:val="auto"/>
        </w:rPr>
      </w:pPr>
    </w:p>
    <w:p>
      <w:pPr>
        <w:ind w:left="144" w:right="1720" w:hanging="144"/>
        <w:spacing w:after="0" w:line="292" w:lineRule="auto"/>
        <w:tabs>
          <w:tab w:leader="none" w:pos="144" w:val="left"/>
        </w:tabs>
        <w:numPr>
          <w:ilvl w:val="0"/>
          <w:numId w:val="250"/>
        </w:numPr>
        <w:rPr>
          <w:rFonts w:ascii="Arial" w:cs="Arial" w:eastAsia="Arial" w:hAnsi="Arial"/>
          <w:sz w:val="15"/>
          <w:szCs w:val="15"/>
          <w:color w:val="auto"/>
        </w:rPr>
      </w:pPr>
      <w:r>
        <w:rPr>
          <w:rFonts w:ascii="Arial" w:cs="Arial" w:eastAsia="Arial" w:hAnsi="Arial"/>
          <w:sz w:val="15"/>
          <w:szCs w:val="15"/>
          <w:color w:val="auto"/>
        </w:rPr>
        <w:t xml:space="preserve">$2.2 billion lower revenues from Sempra Commodities. Revenues in 2008 and 2007 included $500 million and $2.7 billion, respectively, for Sempra Commodities. These revenues were primarily for periods prior to the formation of RBS Sempra Commodities, </w:t>
      </w:r>
      <w:r>
        <w:rPr>
          <w:rFonts w:ascii="Arial" w:cs="Arial" w:eastAsia="Arial" w:hAnsi="Arial"/>
          <w:sz w:val="15"/>
          <w:szCs w:val="15"/>
          <w:b w:val="1"/>
          <w:bCs w:val="1"/>
          <w:color w:val="auto"/>
        </w:rPr>
        <w:t>offset by</w:t>
      </w:r>
    </w:p>
    <w:p>
      <w:pPr>
        <w:ind w:left="144" w:hanging="144"/>
        <w:spacing w:after="0"/>
        <w:tabs>
          <w:tab w:leader="none" w:pos="144" w:val="left"/>
        </w:tabs>
        <w:numPr>
          <w:ilvl w:val="0"/>
          <w:numId w:val="250"/>
        </w:numPr>
        <w:rPr>
          <w:rFonts w:ascii="Arial" w:cs="Arial" w:eastAsia="Arial" w:hAnsi="Arial"/>
          <w:sz w:val="16"/>
          <w:szCs w:val="16"/>
          <w:color w:val="auto"/>
        </w:rPr>
      </w:pPr>
      <w:r>
        <w:rPr>
          <w:rFonts w:ascii="Arial" w:cs="Arial" w:eastAsia="Arial" w:hAnsi="Arial"/>
          <w:sz w:val="16"/>
          <w:szCs w:val="16"/>
          <w:color w:val="auto"/>
        </w:rPr>
        <w:t>$308 million higher revenues at Sempra Generation, primarily due to increased power sales and favorable natural gas prices and merchant sales activity;</w:t>
      </w:r>
    </w:p>
    <w:p>
      <w:pPr>
        <w:spacing w:after="0" w:line="44" w:lineRule="exact"/>
        <w:rPr>
          <w:rFonts w:ascii="Arial" w:cs="Arial" w:eastAsia="Arial" w:hAnsi="Arial"/>
          <w:sz w:val="16"/>
          <w:szCs w:val="16"/>
          <w:color w:val="auto"/>
        </w:rPr>
      </w:pPr>
    </w:p>
    <w:p>
      <w:pPr>
        <w:ind w:left="144" w:right="1340" w:hanging="144"/>
        <w:spacing w:after="0" w:line="274" w:lineRule="auto"/>
        <w:tabs>
          <w:tab w:leader="none" w:pos="144" w:val="left"/>
        </w:tabs>
        <w:numPr>
          <w:ilvl w:val="0"/>
          <w:numId w:val="250"/>
        </w:numPr>
        <w:rPr>
          <w:rFonts w:ascii="Arial" w:cs="Arial" w:eastAsia="Arial" w:hAnsi="Arial"/>
          <w:sz w:val="16"/>
          <w:szCs w:val="16"/>
          <w:color w:val="auto"/>
        </w:rPr>
      </w:pPr>
      <w:r>
        <w:rPr>
          <w:rFonts w:ascii="Arial" w:cs="Arial" w:eastAsia="Arial" w:hAnsi="Arial"/>
          <w:sz w:val="16"/>
          <w:szCs w:val="16"/>
          <w:color w:val="auto"/>
        </w:rPr>
        <w:t>$143 million higher revenues at Sempra Pipelines &amp; Storage, primarily from Mexican pipeline operations and the consolidation of EnergySouth starting in October 2008; and</w:t>
      </w:r>
    </w:p>
    <w:p>
      <w:pPr>
        <w:ind w:left="144" w:right="1140" w:hanging="144"/>
        <w:spacing w:after="0" w:line="312" w:lineRule="auto"/>
        <w:tabs>
          <w:tab w:leader="none" w:pos="144" w:val="left"/>
        </w:tabs>
        <w:numPr>
          <w:ilvl w:val="0"/>
          <w:numId w:val="250"/>
        </w:numPr>
        <w:rPr>
          <w:rFonts w:ascii="Arial" w:cs="Arial" w:eastAsia="Arial" w:hAnsi="Arial"/>
          <w:sz w:val="15"/>
          <w:szCs w:val="15"/>
          <w:color w:val="auto"/>
        </w:rPr>
      </w:pPr>
      <w:r>
        <w:rPr>
          <w:rFonts w:ascii="Arial" w:cs="Arial" w:eastAsia="Arial" w:hAnsi="Arial"/>
          <w:sz w:val="15"/>
          <w:szCs w:val="15"/>
          <w:color w:val="auto"/>
        </w:rPr>
        <w:t>$96 million higher revenues at Sempra LNG, including $74 million from the commencement of commercial operations at its Energía Costa Azul LNG receipt terminal in May 2008 and $22 million lower mark-to-market losses related to a natural gas marketing agreement with RBS Sempra Commodities.</w:t>
      </w:r>
    </w:p>
    <w:p>
      <w:pPr>
        <w:spacing w:after="0" w:line="200" w:lineRule="exact"/>
        <w:rPr>
          <w:sz w:val="20"/>
          <w:szCs w:val="20"/>
          <w:color w:val="auto"/>
        </w:rPr>
      </w:pPr>
    </w:p>
    <w:p>
      <w:pPr>
        <w:spacing w:after="0" w:line="365" w:lineRule="exact"/>
        <w:rPr>
          <w:sz w:val="20"/>
          <w:szCs w:val="20"/>
          <w:color w:val="auto"/>
        </w:rPr>
      </w:pPr>
    </w:p>
    <w:p>
      <w:pPr>
        <w:ind w:left="4"/>
        <w:spacing w:after="0"/>
        <w:rPr>
          <w:sz w:val="20"/>
          <w:szCs w:val="20"/>
          <w:color w:val="auto"/>
        </w:rPr>
      </w:pPr>
      <w:r>
        <w:rPr>
          <w:rFonts w:ascii="Arial" w:cs="Arial" w:eastAsia="Arial" w:hAnsi="Arial"/>
          <w:sz w:val="14"/>
          <w:szCs w:val="14"/>
          <w:color w:val="auto"/>
        </w:rPr>
        <w:t>20</w:t>
      </w:r>
    </w:p>
    <w:p>
      <w:pPr>
        <w:sectPr>
          <w:pgSz w:w="11900" w:h="16838" w:orient="portrait"/>
          <w:cols w:equalWidth="0" w:num="1">
            <w:col w:w="11404"/>
          </w:cols>
          <w:pgMar w:left="236" w:top="127" w:right="259" w:bottom="1440" w:gutter="0" w:footer="0" w:header="0"/>
        </w:sectPr>
      </w:pPr>
    </w:p>
    <w:bookmarkStart w:id="160" w:name="page161"/>
    <w:bookmarkEnd w:id="160"/>
    <w:p>
      <w:pPr>
        <w:ind w:left="4" w:right="580"/>
        <w:spacing w:after="0" w:line="277" w:lineRule="auto"/>
        <w:rPr>
          <w:sz w:val="20"/>
          <w:szCs w:val="20"/>
          <w:color w:val="auto"/>
        </w:rPr>
      </w:pPr>
      <w:r>
        <w:rPr>
          <w:rFonts w:ascii="Arial" w:cs="Arial" w:eastAsia="Arial" w:hAnsi="Arial"/>
          <w:sz w:val="16"/>
          <w:szCs w:val="16"/>
          <w:color w:val="auto"/>
        </w:rPr>
        <w:t>Our cost of natural gas, electric fuel and purchased power increased by $369 million (28%) to $1.7 billion in 2008. The increase was primarily associated with the higher revenues at Sempra Generation, Sempra Pipelines &amp; Storage and Sempra LNG.</w:t>
      </w:r>
    </w:p>
    <w:p>
      <w:pPr>
        <w:spacing w:after="0" w:line="32" w:lineRule="exact"/>
        <w:rPr>
          <w:sz w:val="20"/>
          <w:szCs w:val="20"/>
          <w:color w:val="auto"/>
        </w:rPr>
      </w:pPr>
    </w:p>
    <w:p>
      <w:pPr>
        <w:ind w:left="4" w:right="60"/>
        <w:spacing w:after="0" w:line="312" w:lineRule="auto"/>
        <w:rPr>
          <w:sz w:val="20"/>
          <w:szCs w:val="20"/>
          <w:color w:val="auto"/>
        </w:rPr>
      </w:pPr>
      <w:r>
        <w:rPr>
          <w:rFonts w:ascii="Arial" w:cs="Arial" w:eastAsia="Arial" w:hAnsi="Arial"/>
          <w:sz w:val="15"/>
          <w:szCs w:val="15"/>
          <w:color w:val="auto"/>
        </w:rPr>
        <w:t>Our other cost of sales decreased $806 million (82%) to $182 million in 2008, primarily due to our reduced interest in our commodities-marketing businesses. Other cost of sales included $178 million in 2008 and $988 million in 2007 for Sempra Commodities, primarily for periods prior to the formation of RBS Sempra Commodities.</w:t>
      </w:r>
    </w:p>
    <w:p>
      <w:pPr>
        <w:spacing w:after="0" w:line="8" w:lineRule="exact"/>
        <w:rPr>
          <w:sz w:val="20"/>
          <w:szCs w:val="20"/>
          <w:color w:val="auto"/>
        </w:rPr>
      </w:pPr>
    </w:p>
    <w:p>
      <w:pPr>
        <w:ind w:left="4"/>
        <w:spacing w:after="0" w:line="308" w:lineRule="auto"/>
        <w:rPr>
          <w:sz w:val="20"/>
          <w:szCs w:val="20"/>
          <w:color w:val="auto"/>
        </w:rPr>
      </w:pPr>
      <w:r>
        <w:rPr>
          <w:rFonts w:ascii="Arial" w:cs="Arial" w:eastAsia="Arial" w:hAnsi="Arial"/>
          <w:sz w:val="14"/>
          <w:szCs w:val="14"/>
          <w:color w:val="auto"/>
        </w:rPr>
        <w:t>In 2007, our Sempra Global and Parent revenues decreased by $477 million (10%) to $4.4 billion. The cost of natural gas, electric fuel and purchased power increased $81 million (7%) to $1.3 billion, while other cost of sales decreased $480 million (33%) to $988 million. The decreases in our revenues and other cost of sales were primarily due to trading activity at Sempra Commodities, resulting primarily from less volatility in the natural gas markets. These decreases were partially offset by higher Sempra Generation revenues and related costs. The increases at Sempra Generation were primarily due to higher merchant customer revenues as a result of increased sales volumes and higher prices.</w:t>
      </w:r>
    </w:p>
    <w:p>
      <w:pPr>
        <w:spacing w:after="0" w:line="108" w:lineRule="exact"/>
        <w:rPr>
          <w:sz w:val="20"/>
          <w:szCs w:val="20"/>
          <w:color w:val="auto"/>
        </w:rPr>
      </w:pPr>
    </w:p>
    <w:p>
      <w:pPr>
        <w:ind w:left="4"/>
        <w:spacing w:after="0"/>
        <w:rPr>
          <w:sz w:val="20"/>
          <w:szCs w:val="20"/>
          <w:color w:val="auto"/>
        </w:rPr>
      </w:pPr>
      <w:r>
        <w:rPr>
          <w:rFonts w:ascii="Arial" w:cs="Arial" w:eastAsia="Arial" w:hAnsi="Arial"/>
          <w:sz w:val="18"/>
          <w:szCs w:val="18"/>
          <w:b w:val="1"/>
          <w:bCs w:val="1"/>
          <w:i w:val="1"/>
          <w:iCs w:val="1"/>
          <w:color w:val="auto"/>
        </w:rPr>
        <w:t>Operation and Maintenance</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6"/>
          <w:szCs w:val="16"/>
          <w:color w:val="auto"/>
        </w:rPr>
        <w:t>In the table below, we provide a breakdown of our business units' operation and maintenance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1113790</wp:posOffset>
            </wp:positionH>
            <wp:positionV relativeFrom="paragraph">
              <wp:posOffset>196215</wp:posOffset>
            </wp:positionV>
            <wp:extent cx="5034280" cy="2667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034280" cy="266700"/>
                    </a:xfrm>
                    <a:prstGeom prst="rect">
                      <a:avLst/>
                    </a:prstGeom>
                    <a:noFill/>
                  </pic:spPr>
                </pic:pic>
              </a:graphicData>
            </a:graphic>
          </wp:anchor>
        </w:drawing>
      </w:r>
    </w:p>
    <w:p>
      <w:pPr>
        <w:spacing w:after="0" w:line="297" w:lineRule="exact"/>
        <w:rPr>
          <w:sz w:val="20"/>
          <w:szCs w:val="20"/>
          <w:color w:val="auto"/>
        </w:rPr>
      </w:pPr>
    </w:p>
    <w:p>
      <w:pPr>
        <w:ind w:left="1764"/>
        <w:spacing w:after="0"/>
        <w:rPr>
          <w:sz w:val="20"/>
          <w:szCs w:val="20"/>
          <w:color w:val="auto"/>
        </w:rPr>
      </w:pPr>
      <w:r>
        <w:rPr>
          <w:rFonts w:ascii="Arial" w:cs="Arial" w:eastAsia="Arial" w:hAnsi="Arial"/>
          <w:sz w:val="14"/>
          <w:szCs w:val="14"/>
          <w:b w:val="1"/>
          <w:bCs w:val="1"/>
          <w:color w:val="auto"/>
        </w:rPr>
        <w:t>OPERATION AND MAINTENANCE 2006-2008</w:t>
      </w:r>
    </w:p>
    <w:p>
      <w:pPr>
        <w:spacing w:after="0" w:line="76" w:lineRule="exact"/>
        <w:rPr>
          <w:sz w:val="20"/>
          <w:szCs w:val="20"/>
          <w:color w:val="auto"/>
        </w:rPr>
      </w:pPr>
    </w:p>
    <w:tbl>
      <w:tblPr>
        <w:tblLayout w:type="fixed"/>
        <w:tblInd w:w="1744" w:type="dxa"/>
        <w:tblCellMar>
          <w:top w:w="0" w:type="dxa"/>
          <w:left w:w="0" w:type="dxa"/>
          <w:bottom w:w="0" w:type="dxa"/>
          <w:right w:w="0" w:type="dxa"/>
        </w:tblCellMar>
      </w:tblPr>
      <w:tr>
        <w:trPr>
          <w:trHeight w:val="166"/>
        </w:trPr>
        <w:tc>
          <w:tcPr>
            <w:tcW w:w="2920" w:type="dxa"/>
            <w:vAlign w:val="bottom"/>
          </w:tcPr>
          <w:p>
            <w:pPr>
              <w:ind w:left="20"/>
              <w:spacing w:after="0"/>
              <w:rPr>
                <w:sz w:val="20"/>
                <w:szCs w:val="20"/>
                <w:color w:val="auto"/>
              </w:rPr>
            </w:pPr>
            <w:r>
              <w:rPr>
                <w:rFonts w:ascii="Arial" w:cs="Arial" w:eastAsia="Arial" w:hAnsi="Arial"/>
                <w:sz w:val="13"/>
                <w:szCs w:val="13"/>
                <w:i w:val="1"/>
                <w:iCs w:val="1"/>
                <w:color w:val="auto"/>
              </w:rPr>
              <w:t>(Dollars in millions)</w:t>
            </w: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209"/>
        </w:trPr>
        <w:tc>
          <w:tcPr>
            <w:tcW w:w="29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gridSpan w:val="4"/>
          </w:tcPr>
          <w:p>
            <w:pPr>
              <w:jc w:val="right"/>
              <w:ind w:right="169"/>
              <w:spacing w:after="0"/>
              <w:rPr>
                <w:sz w:val="20"/>
                <w:szCs w:val="20"/>
                <w:color w:val="auto"/>
              </w:rPr>
            </w:pPr>
            <w:r>
              <w:rPr>
                <w:rFonts w:ascii="Arial" w:cs="Arial" w:eastAsia="Arial" w:hAnsi="Arial"/>
                <w:sz w:val="13"/>
                <w:szCs w:val="13"/>
                <w:color w:val="auto"/>
              </w:rPr>
              <w:t>Years ended December 31,</w:t>
            </w:r>
          </w:p>
        </w:tc>
        <w:tc>
          <w:tcPr>
            <w:tcW w:w="2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r>
      <w:tr>
        <w:trPr>
          <w:trHeight w:val="208"/>
        </w:trPr>
        <w:tc>
          <w:tcPr>
            <w:tcW w:w="29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489"/>
              <w:spacing w:after="0"/>
              <w:rPr>
                <w:sz w:val="20"/>
                <w:szCs w:val="20"/>
                <w:color w:val="auto"/>
              </w:rPr>
            </w:pPr>
            <w:r>
              <w:rPr>
                <w:rFonts w:ascii="Arial" w:cs="Arial" w:eastAsia="Arial" w:hAnsi="Arial"/>
                <w:sz w:val="13"/>
                <w:szCs w:val="13"/>
                <w:color w:val="auto"/>
                <w:w w:val="96"/>
              </w:rPr>
              <w:t>2008</w:t>
            </w:r>
          </w:p>
        </w:tc>
        <w:tc>
          <w:tcPr>
            <w:tcW w:w="200" w:type="dxa"/>
            <w:vAlign w:val="bottom"/>
            <w:tcBorders>
              <w:bottom w:val="single" w:sz="8" w:color="auto"/>
              <w:right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040" w:type="dxa"/>
            <w:vAlign w:val="bottom"/>
            <w:tcBorders>
              <w:bottom w:val="single" w:sz="8" w:color="auto"/>
              <w:right w:val="single" w:sz="8" w:color="auto"/>
            </w:tcBorders>
          </w:tcPr>
          <w:p>
            <w:pPr>
              <w:jc w:val="right"/>
              <w:ind w:right="669"/>
              <w:spacing w:after="0"/>
              <w:rPr>
                <w:sz w:val="20"/>
                <w:szCs w:val="20"/>
                <w:color w:val="auto"/>
              </w:rPr>
            </w:pPr>
            <w:r>
              <w:rPr>
                <w:rFonts w:ascii="Arial" w:cs="Arial" w:eastAsia="Arial" w:hAnsi="Arial"/>
                <w:sz w:val="13"/>
                <w:szCs w:val="13"/>
                <w:color w:val="auto"/>
                <w:w w:val="96"/>
              </w:rPr>
              <w:t>2007</w:t>
            </w:r>
          </w:p>
        </w:tc>
        <w:tc>
          <w:tcPr>
            <w:tcW w:w="2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9"/>
              <w:spacing w:after="0"/>
              <w:rPr>
                <w:sz w:val="20"/>
                <w:szCs w:val="20"/>
                <w:color w:val="auto"/>
              </w:rPr>
            </w:pPr>
            <w:r>
              <w:rPr>
                <w:rFonts w:ascii="Arial" w:cs="Arial" w:eastAsia="Arial" w:hAnsi="Arial"/>
                <w:sz w:val="13"/>
                <w:szCs w:val="13"/>
                <w:color w:val="auto"/>
              </w:rPr>
              <w:t>2006</w:t>
            </w:r>
          </w:p>
        </w:tc>
        <w:tc>
          <w:tcPr>
            <w:tcW w:w="540" w:type="dxa"/>
            <w:vAlign w:val="bottom"/>
            <w:tcBorders>
              <w:bottom w:val="single" w:sz="8" w:color="auto"/>
            </w:tcBorders>
          </w:tcPr>
          <w:p>
            <w:pPr>
              <w:spacing w:after="0"/>
              <w:rPr>
                <w:sz w:val="18"/>
                <w:szCs w:val="18"/>
                <w:color w:val="auto"/>
              </w:rPr>
            </w:pPr>
          </w:p>
        </w:tc>
      </w:tr>
      <w:tr>
        <w:trPr>
          <w:trHeight w:val="207"/>
        </w:trPr>
        <w:tc>
          <w:tcPr>
            <w:tcW w:w="2920" w:type="dxa"/>
            <w:vAlign w:val="bottom"/>
          </w:tcPr>
          <w:p>
            <w:pPr>
              <w:ind w:left="20"/>
              <w:spacing w:after="0"/>
              <w:rPr>
                <w:sz w:val="20"/>
                <w:szCs w:val="20"/>
                <w:color w:val="auto"/>
              </w:rPr>
            </w:pPr>
            <w:r>
              <w:rPr>
                <w:rFonts w:ascii="Arial" w:cs="Arial" w:eastAsia="Arial" w:hAnsi="Arial"/>
                <w:sz w:val="14"/>
                <w:szCs w:val="14"/>
                <w:color w:val="auto"/>
              </w:rPr>
              <w:t>Sempra Utilities*:</w:t>
            </w: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r>
      <w:tr>
        <w:trPr>
          <w:trHeight w:val="216"/>
        </w:trPr>
        <w:tc>
          <w:tcPr>
            <w:tcW w:w="2920" w:type="dxa"/>
            <w:vAlign w:val="bottom"/>
          </w:tcPr>
          <w:p>
            <w:pPr>
              <w:ind w:left="340"/>
              <w:spacing w:after="0"/>
              <w:rPr>
                <w:sz w:val="20"/>
                <w:szCs w:val="20"/>
                <w:color w:val="auto"/>
              </w:rPr>
            </w:pPr>
            <w:r>
              <w:rPr>
                <w:rFonts w:ascii="Arial" w:cs="Arial" w:eastAsia="Arial" w:hAnsi="Arial"/>
                <w:sz w:val="14"/>
                <w:szCs w:val="14"/>
                <w:color w:val="auto"/>
              </w:rPr>
              <w:t>SDG&amp;E</w:t>
            </w:r>
          </w:p>
        </w:tc>
        <w:tc>
          <w:tcPr>
            <w:tcW w:w="2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440" w:type="dxa"/>
            <w:vAlign w:val="bottom"/>
          </w:tcPr>
          <w:p>
            <w:pPr>
              <w:jc w:val="right"/>
              <w:spacing w:after="0"/>
              <w:rPr>
                <w:sz w:val="20"/>
                <w:szCs w:val="20"/>
                <w:color w:val="auto"/>
              </w:rPr>
            </w:pPr>
            <w:r>
              <w:rPr>
                <w:rFonts w:ascii="Arial" w:cs="Arial" w:eastAsia="Arial" w:hAnsi="Arial"/>
                <w:sz w:val="14"/>
                <w:szCs w:val="14"/>
                <w:color w:val="auto"/>
              </w:rPr>
              <w:t>913</w:t>
            </w:r>
          </w:p>
        </w:tc>
        <w:tc>
          <w:tcPr>
            <w:tcW w:w="860" w:type="dxa"/>
            <w:vAlign w:val="bottom"/>
          </w:tcPr>
          <w:p>
            <w:pPr>
              <w:jc w:val="right"/>
              <w:ind w:right="69"/>
              <w:spacing w:after="0"/>
              <w:rPr>
                <w:sz w:val="20"/>
                <w:szCs w:val="20"/>
                <w:color w:val="auto"/>
              </w:rPr>
            </w:pPr>
            <w:r>
              <w:rPr>
                <w:rFonts w:ascii="Arial" w:cs="Arial" w:eastAsia="Arial" w:hAnsi="Arial"/>
                <w:sz w:val="14"/>
                <w:szCs w:val="14"/>
                <w:color w:val="auto"/>
              </w:rPr>
              <w:t>36 %</w:t>
            </w:r>
          </w:p>
        </w:tc>
        <w:tc>
          <w:tcPr>
            <w:tcW w:w="200" w:type="dxa"/>
            <w:vAlign w:val="bottom"/>
            <w:tcBorders>
              <w:right w:val="single" w:sz="8" w:color="auto"/>
            </w:tcBorders>
          </w:tcPr>
          <w:p>
            <w:pPr>
              <w:spacing w:after="0"/>
              <w:rPr>
                <w:sz w:val="18"/>
                <w:szCs w:val="18"/>
                <w:color w:val="auto"/>
              </w:rPr>
            </w:pPr>
          </w:p>
        </w:tc>
        <w:tc>
          <w:tcPr>
            <w:tcW w:w="2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440" w:type="dxa"/>
            <w:vAlign w:val="bottom"/>
          </w:tcPr>
          <w:p>
            <w:pPr>
              <w:jc w:val="right"/>
              <w:spacing w:after="0"/>
              <w:rPr>
                <w:sz w:val="20"/>
                <w:szCs w:val="20"/>
                <w:color w:val="auto"/>
              </w:rPr>
            </w:pPr>
            <w:r>
              <w:rPr>
                <w:rFonts w:ascii="Arial" w:cs="Arial" w:eastAsia="Arial" w:hAnsi="Arial"/>
                <w:sz w:val="14"/>
                <w:szCs w:val="14"/>
                <w:color w:val="auto"/>
              </w:rPr>
              <w:t>807</w:t>
            </w:r>
          </w:p>
        </w:tc>
        <w:tc>
          <w:tcPr>
            <w:tcW w:w="1040" w:type="dxa"/>
            <w:vAlign w:val="bottom"/>
            <w:tcBorders>
              <w:right w:val="single" w:sz="8" w:color="auto"/>
            </w:tcBorders>
          </w:tcPr>
          <w:p>
            <w:pPr>
              <w:jc w:val="right"/>
              <w:ind w:right="209"/>
              <w:spacing w:after="0"/>
              <w:rPr>
                <w:sz w:val="20"/>
                <w:szCs w:val="20"/>
                <w:color w:val="auto"/>
              </w:rPr>
            </w:pPr>
            <w:r>
              <w:rPr>
                <w:rFonts w:ascii="Arial" w:cs="Arial" w:eastAsia="Arial" w:hAnsi="Arial"/>
                <w:sz w:val="14"/>
                <w:szCs w:val="14"/>
                <w:color w:val="auto"/>
              </w:rPr>
              <w:t>27 %</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249"/>
              <w:spacing w:after="0"/>
              <w:rPr>
                <w:sz w:val="20"/>
                <w:szCs w:val="20"/>
                <w:color w:val="auto"/>
              </w:rPr>
            </w:pPr>
            <w:r>
              <w:rPr>
                <w:rFonts w:ascii="Arial" w:cs="Arial" w:eastAsia="Arial" w:hAnsi="Arial"/>
                <w:sz w:val="14"/>
                <w:szCs w:val="14"/>
                <w:color w:val="auto"/>
              </w:rPr>
              <w:t>777</w:t>
            </w:r>
          </w:p>
        </w:tc>
        <w:tc>
          <w:tcPr>
            <w:tcW w:w="540" w:type="dxa"/>
            <w:vAlign w:val="bottom"/>
          </w:tcPr>
          <w:p>
            <w:pPr>
              <w:jc w:val="right"/>
              <w:ind w:right="8"/>
              <w:spacing w:after="0"/>
              <w:rPr>
                <w:sz w:val="20"/>
                <w:szCs w:val="20"/>
                <w:color w:val="auto"/>
              </w:rPr>
            </w:pPr>
            <w:r>
              <w:rPr>
                <w:rFonts w:ascii="Arial" w:cs="Arial" w:eastAsia="Arial" w:hAnsi="Arial"/>
                <w:sz w:val="14"/>
                <w:szCs w:val="14"/>
                <w:color w:val="auto"/>
              </w:rPr>
              <w:t>27 %</w:t>
            </w:r>
          </w:p>
        </w:tc>
      </w:tr>
      <w:tr>
        <w:trPr>
          <w:trHeight w:val="216"/>
        </w:trPr>
        <w:tc>
          <w:tcPr>
            <w:tcW w:w="2920" w:type="dxa"/>
            <w:vAlign w:val="bottom"/>
          </w:tcPr>
          <w:p>
            <w:pPr>
              <w:ind w:left="340"/>
              <w:spacing w:after="0"/>
              <w:rPr>
                <w:sz w:val="20"/>
                <w:szCs w:val="20"/>
                <w:color w:val="auto"/>
              </w:rPr>
            </w:pPr>
            <w:r>
              <w:rPr>
                <w:rFonts w:ascii="Arial" w:cs="Arial" w:eastAsia="Arial" w:hAnsi="Arial"/>
                <w:sz w:val="14"/>
                <w:szCs w:val="14"/>
                <w:color w:val="auto"/>
              </w:rPr>
              <w:t>SoCalGas</w:t>
            </w:r>
          </w:p>
        </w:tc>
        <w:tc>
          <w:tcPr>
            <w:tcW w:w="2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1,078</w:t>
            </w:r>
          </w:p>
        </w:tc>
        <w:tc>
          <w:tcPr>
            <w:tcW w:w="860" w:type="dxa"/>
            <w:vAlign w:val="bottom"/>
          </w:tcPr>
          <w:p>
            <w:pPr>
              <w:jc w:val="right"/>
              <w:ind w:right="209"/>
              <w:spacing w:after="0"/>
              <w:rPr>
                <w:sz w:val="20"/>
                <w:szCs w:val="20"/>
                <w:color w:val="auto"/>
              </w:rPr>
            </w:pPr>
            <w:r>
              <w:rPr>
                <w:rFonts w:ascii="Arial" w:cs="Arial" w:eastAsia="Arial" w:hAnsi="Arial"/>
                <w:sz w:val="14"/>
                <w:szCs w:val="14"/>
                <w:color w:val="auto"/>
              </w:rPr>
              <w:t>43</w:t>
            </w:r>
          </w:p>
        </w:tc>
        <w:tc>
          <w:tcPr>
            <w:tcW w:w="20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1,021</w:t>
            </w:r>
          </w:p>
        </w:tc>
        <w:tc>
          <w:tcPr>
            <w:tcW w:w="1040" w:type="dxa"/>
            <w:vAlign w:val="bottom"/>
            <w:tcBorders>
              <w:right w:val="single" w:sz="8" w:color="auto"/>
            </w:tcBorders>
          </w:tcPr>
          <w:p>
            <w:pPr>
              <w:jc w:val="right"/>
              <w:ind w:right="369"/>
              <w:spacing w:after="0"/>
              <w:rPr>
                <w:sz w:val="20"/>
                <w:szCs w:val="20"/>
                <w:color w:val="auto"/>
              </w:rPr>
            </w:pPr>
            <w:r>
              <w:rPr>
                <w:rFonts w:ascii="Arial" w:cs="Arial" w:eastAsia="Arial" w:hAnsi="Arial"/>
                <w:sz w:val="14"/>
                <w:szCs w:val="14"/>
                <w:color w:val="auto"/>
              </w:rPr>
              <w:t>34</w:t>
            </w:r>
          </w:p>
        </w:tc>
        <w:tc>
          <w:tcPr>
            <w:tcW w:w="240" w:type="dxa"/>
            <w:vAlign w:val="bottom"/>
          </w:tcPr>
          <w:p>
            <w:pPr>
              <w:spacing w:after="0"/>
              <w:rPr>
                <w:sz w:val="18"/>
                <w:szCs w:val="18"/>
                <w:color w:val="auto"/>
              </w:rPr>
            </w:pPr>
          </w:p>
        </w:tc>
        <w:tc>
          <w:tcPr>
            <w:tcW w:w="720" w:type="dxa"/>
            <w:vAlign w:val="bottom"/>
          </w:tcPr>
          <w:p>
            <w:pPr>
              <w:jc w:val="right"/>
              <w:ind w:right="249"/>
              <w:spacing w:after="0"/>
              <w:rPr>
                <w:sz w:val="20"/>
                <w:szCs w:val="20"/>
                <w:color w:val="auto"/>
              </w:rPr>
            </w:pPr>
            <w:r>
              <w:rPr>
                <w:rFonts w:ascii="Arial" w:cs="Arial" w:eastAsia="Arial" w:hAnsi="Arial"/>
                <w:sz w:val="14"/>
                <w:szCs w:val="14"/>
                <w:color w:val="auto"/>
              </w:rPr>
              <w:t>949</w:t>
            </w:r>
          </w:p>
        </w:tc>
        <w:tc>
          <w:tcPr>
            <w:tcW w:w="540" w:type="dxa"/>
            <w:vAlign w:val="bottom"/>
          </w:tcPr>
          <w:p>
            <w:pPr>
              <w:jc w:val="right"/>
              <w:ind w:right="168"/>
              <w:spacing w:after="0"/>
              <w:rPr>
                <w:sz w:val="20"/>
                <w:szCs w:val="20"/>
                <w:color w:val="auto"/>
              </w:rPr>
            </w:pPr>
            <w:r>
              <w:rPr>
                <w:rFonts w:ascii="Arial" w:cs="Arial" w:eastAsia="Arial" w:hAnsi="Arial"/>
                <w:sz w:val="14"/>
                <w:szCs w:val="14"/>
                <w:color w:val="auto"/>
              </w:rPr>
              <w:t>33</w:t>
            </w:r>
          </w:p>
        </w:tc>
      </w:tr>
      <w:tr>
        <w:trPr>
          <w:trHeight w:val="432"/>
        </w:trPr>
        <w:tc>
          <w:tcPr>
            <w:tcW w:w="2920" w:type="dxa"/>
            <w:vAlign w:val="bottom"/>
          </w:tcPr>
          <w:p>
            <w:pPr>
              <w:ind w:left="20"/>
              <w:spacing w:after="0"/>
              <w:rPr>
                <w:sz w:val="20"/>
                <w:szCs w:val="20"/>
                <w:color w:val="auto"/>
              </w:rPr>
            </w:pPr>
            <w:r>
              <w:rPr>
                <w:rFonts w:ascii="Arial" w:cs="Arial" w:eastAsia="Arial" w:hAnsi="Arial"/>
                <w:sz w:val="14"/>
                <w:szCs w:val="14"/>
                <w:color w:val="auto"/>
              </w:rPr>
              <w:t>Sempra Global:</w:t>
            </w: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Borders>
              <w:right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40" w:type="dxa"/>
            <w:vAlign w:val="bottom"/>
            <w:tcBorders>
              <w:right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216"/>
        </w:trPr>
        <w:tc>
          <w:tcPr>
            <w:tcW w:w="2920" w:type="dxa"/>
            <w:vAlign w:val="bottom"/>
          </w:tcPr>
          <w:p>
            <w:pPr>
              <w:ind w:left="340"/>
              <w:spacing w:after="0"/>
              <w:rPr>
                <w:sz w:val="20"/>
                <w:szCs w:val="20"/>
                <w:color w:val="auto"/>
              </w:rPr>
            </w:pPr>
            <w:r>
              <w:rPr>
                <w:rFonts w:ascii="Arial" w:cs="Arial" w:eastAsia="Arial" w:hAnsi="Arial"/>
                <w:sz w:val="14"/>
                <w:szCs w:val="14"/>
                <w:color w:val="auto"/>
              </w:rPr>
              <w:t>Sempra Commodities</w:t>
            </w:r>
          </w:p>
        </w:tc>
        <w:tc>
          <w:tcPr>
            <w:tcW w:w="2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248</w:t>
            </w:r>
          </w:p>
        </w:tc>
        <w:tc>
          <w:tcPr>
            <w:tcW w:w="860" w:type="dxa"/>
            <w:vAlign w:val="bottom"/>
          </w:tcPr>
          <w:p>
            <w:pPr>
              <w:jc w:val="right"/>
              <w:ind w:right="209"/>
              <w:spacing w:after="0"/>
              <w:rPr>
                <w:sz w:val="20"/>
                <w:szCs w:val="20"/>
                <w:color w:val="auto"/>
              </w:rPr>
            </w:pPr>
            <w:r>
              <w:rPr>
                <w:rFonts w:ascii="Arial" w:cs="Arial" w:eastAsia="Arial" w:hAnsi="Arial"/>
                <w:sz w:val="14"/>
                <w:szCs w:val="14"/>
                <w:color w:val="auto"/>
              </w:rPr>
              <w:t>10</w:t>
            </w:r>
          </w:p>
        </w:tc>
        <w:tc>
          <w:tcPr>
            <w:tcW w:w="20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918</w:t>
            </w:r>
          </w:p>
        </w:tc>
        <w:tc>
          <w:tcPr>
            <w:tcW w:w="1040" w:type="dxa"/>
            <w:vAlign w:val="bottom"/>
            <w:tcBorders>
              <w:right w:val="single" w:sz="8" w:color="auto"/>
            </w:tcBorders>
          </w:tcPr>
          <w:p>
            <w:pPr>
              <w:jc w:val="right"/>
              <w:ind w:right="369"/>
              <w:spacing w:after="0"/>
              <w:rPr>
                <w:sz w:val="20"/>
                <w:szCs w:val="20"/>
                <w:color w:val="auto"/>
              </w:rPr>
            </w:pPr>
            <w:r>
              <w:rPr>
                <w:rFonts w:ascii="Arial" w:cs="Arial" w:eastAsia="Arial" w:hAnsi="Arial"/>
                <w:sz w:val="14"/>
                <w:szCs w:val="14"/>
                <w:color w:val="auto"/>
              </w:rPr>
              <w:t>30</w:t>
            </w:r>
          </w:p>
        </w:tc>
        <w:tc>
          <w:tcPr>
            <w:tcW w:w="240" w:type="dxa"/>
            <w:vAlign w:val="bottom"/>
          </w:tcPr>
          <w:p>
            <w:pPr>
              <w:spacing w:after="0"/>
              <w:rPr>
                <w:sz w:val="18"/>
                <w:szCs w:val="18"/>
                <w:color w:val="auto"/>
              </w:rPr>
            </w:pPr>
          </w:p>
        </w:tc>
        <w:tc>
          <w:tcPr>
            <w:tcW w:w="720" w:type="dxa"/>
            <w:vAlign w:val="bottom"/>
          </w:tcPr>
          <w:p>
            <w:pPr>
              <w:jc w:val="right"/>
              <w:ind w:right="249"/>
              <w:spacing w:after="0"/>
              <w:rPr>
                <w:sz w:val="20"/>
                <w:szCs w:val="20"/>
                <w:color w:val="auto"/>
              </w:rPr>
            </w:pPr>
            <w:r>
              <w:rPr>
                <w:rFonts w:ascii="Arial" w:cs="Arial" w:eastAsia="Arial" w:hAnsi="Arial"/>
                <w:sz w:val="14"/>
                <w:szCs w:val="14"/>
                <w:color w:val="auto"/>
              </w:rPr>
              <w:t>879</w:t>
            </w:r>
          </w:p>
        </w:tc>
        <w:tc>
          <w:tcPr>
            <w:tcW w:w="540" w:type="dxa"/>
            <w:vAlign w:val="bottom"/>
          </w:tcPr>
          <w:p>
            <w:pPr>
              <w:jc w:val="right"/>
              <w:ind w:right="168"/>
              <w:spacing w:after="0"/>
              <w:rPr>
                <w:sz w:val="20"/>
                <w:szCs w:val="20"/>
                <w:color w:val="auto"/>
              </w:rPr>
            </w:pPr>
            <w:r>
              <w:rPr>
                <w:rFonts w:ascii="Arial" w:cs="Arial" w:eastAsia="Arial" w:hAnsi="Arial"/>
                <w:sz w:val="14"/>
                <w:szCs w:val="14"/>
                <w:color w:val="auto"/>
              </w:rPr>
              <w:t>31</w:t>
            </w:r>
          </w:p>
        </w:tc>
      </w:tr>
      <w:tr>
        <w:trPr>
          <w:trHeight w:val="216"/>
        </w:trPr>
        <w:tc>
          <w:tcPr>
            <w:tcW w:w="2920" w:type="dxa"/>
            <w:vAlign w:val="bottom"/>
          </w:tcPr>
          <w:p>
            <w:pPr>
              <w:ind w:left="340"/>
              <w:spacing w:after="0"/>
              <w:rPr>
                <w:sz w:val="20"/>
                <w:szCs w:val="20"/>
                <w:color w:val="auto"/>
              </w:rPr>
            </w:pPr>
            <w:r>
              <w:rPr>
                <w:rFonts w:ascii="Arial" w:cs="Arial" w:eastAsia="Arial" w:hAnsi="Arial"/>
                <w:sz w:val="14"/>
                <w:szCs w:val="14"/>
                <w:color w:val="auto"/>
              </w:rPr>
              <w:t>Sempra Generation</w:t>
            </w:r>
          </w:p>
        </w:tc>
        <w:tc>
          <w:tcPr>
            <w:tcW w:w="2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97</w:t>
            </w:r>
          </w:p>
        </w:tc>
        <w:tc>
          <w:tcPr>
            <w:tcW w:w="860" w:type="dxa"/>
            <w:vAlign w:val="bottom"/>
          </w:tcPr>
          <w:p>
            <w:pPr>
              <w:jc w:val="right"/>
              <w:ind w:right="209"/>
              <w:spacing w:after="0"/>
              <w:rPr>
                <w:sz w:val="20"/>
                <w:szCs w:val="20"/>
                <w:color w:val="auto"/>
              </w:rPr>
            </w:pPr>
            <w:r>
              <w:rPr>
                <w:rFonts w:ascii="Arial" w:cs="Arial" w:eastAsia="Arial" w:hAnsi="Arial"/>
                <w:sz w:val="14"/>
                <w:szCs w:val="14"/>
                <w:color w:val="auto"/>
              </w:rPr>
              <w:t>4</w:t>
            </w:r>
          </w:p>
        </w:tc>
        <w:tc>
          <w:tcPr>
            <w:tcW w:w="20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103</w:t>
            </w:r>
          </w:p>
        </w:tc>
        <w:tc>
          <w:tcPr>
            <w:tcW w:w="1040" w:type="dxa"/>
            <w:vAlign w:val="bottom"/>
            <w:tcBorders>
              <w:right w:val="single" w:sz="8" w:color="auto"/>
            </w:tcBorders>
          </w:tcPr>
          <w:p>
            <w:pPr>
              <w:jc w:val="right"/>
              <w:ind w:right="369"/>
              <w:spacing w:after="0"/>
              <w:rPr>
                <w:sz w:val="20"/>
                <w:szCs w:val="20"/>
                <w:color w:val="auto"/>
              </w:rPr>
            </w:pPr>
            <w:r>
              <w:rPr>
                <w:rFonts w:ascii="Arial" w:cs="Arial" w:eastAsia="Arial" w:hAnsi="Arial"/>
                <w:sz w:val="14"/>
                <w:szCs w:val="14"/>
                <w:color w:val="auto"/>
              </w:rPr>
              <w:t>3</w:t>
            </w:r>
          </w:p>
        </w:tc>
        <w:tc>
          <w:tcPr>
            <w:tcW w:w="240" w:type="dxa"/>
            <w:vAlign w:val="bottom"/>
          </w:tcPr>
          <w:p>
            <w:pPr>
              <w:spacing w:after="0"/>
              <w:rPr>
                <w:sz w:val="18"/>
                <w:szCs w:val="18"/>
                <w:color w:val="auto"/>
              </w:rPr>
            </w:pPr>
          </w:p>
        </w:tc>
        <w:tc>
          <w:tcPr>
            <w:tcW w:w="720" w:type="dxa"/>
            <w:vAlign w:val="bottom"/>
          </w:tcPr>
          <w:p>
            <w:pPr>
              <w:jc w:val="right"/>
              <w:ind w:right="249"/>
              <w:spacing w:after="0"/>
              <w:rPr>
                <w:sz w:val="20"/>
                <w:szCs w:val="20"/>
                <w:color w:val="auto"/>
              </w:rPr>
            </w:pPr>
            <w:r>
              <w:rPr>
                <w:rFonts w:ascii="Arial" w:cs="Arial" w:eastAsia="Arial" w:hAnsi="Arial"/>
                <w:sz w:val="14"/>
                <w:szCs w:val="14"/>
                <w:color w:val="auto"/>
              </w:rPr>
              <w:t>134</w:t>
            </w:r>
          </w:p>
        </w:tc>
        <w:tc>
          <w:tcPr>
            <w:tcW w:w="540" w:type="dxa"/>
            <w:vAlign w:val="bottom"/>
          </w:tcPr>
          <w:p>
            <w:pPr>
              <w:jc w:val="right"/>
              <w:ind w:right="168"/>
              <w:spacing w:after="0"/>
              <w:rPr>
                <w:sz w:val="20"/>
                <w:szCs w:val="20"/>
                <w:color w:val="auto"/>
              </w:rPr>
            </w:pPr>
            <w:r>
              <w:rPr>
                <w:rFonts w:ascii="Arial" w:cs="Arial" w:eastAsia="Arial" w:hAnsi="Arial"/>
                <w:sz w:val="14"/>
                <w:szCs w:val="14"/>
                <w:color w:val="auto"/>
              </w:rPr>
              <w:t>5</w:t>
            </w:r>
          </w:p>
        </w:tc>
      </w:tr>
      <w:tr>
        <w:trPr>
          <w:trHeight w:val="216"/>
        </w:trPr>
        <w:tc>
          <w:tcPr>
            <w:tcW w:w="2920" w:type="dxa"/>
            <w:vAlign w:val="bottom"/>
          </w:tcPr>
          <w:p>
            <w:pPr>
              <w:ind w:left="340"/>
              <w:spacing w:after="0"/>
              <w:rPr>
                <w:sz w:val="20"/>
                <w:szCs w:val="20"/>
                <w:color w:val="auto"/>
              </w:rPr>
            </w:pPr>
            <w:r>
              <w:rPr>
                <w:rFonts w:ascii="Arial" w:cs="Arial" w:eastAsia="Arial" w:hAnsi="Arial"/>
                <w:sz w:val="14"/>
                <w:szCs w:val="14"/>
                <w:color w:val="auto"/>
              </w:rPr>
              <w:t>Sempra Pipelines &amp; Storage</w:t>
            </w:r>
          </w:p>
        </w:tc>
        <w:tc>
          <w:tcPr>
            <w:tcW w:w="2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62</w:t>
            </w:r>
          </w:p>
        </w:tc>
        <w:tc>
          <w:tcPr>
            <w:tcW w:w="860" w:type="dxa"/>
            <w:vAlign w:val="bottom"/>
          </w:tcPr>
          <w:p>
            <w:pPr>
              <w:jc w:val="right"/>
              <w:ind w:right="209"/>
              <w:spacing w:after="0"/>
              <w:rPr>
                <w:sz w:val="20"/>
                <w:szCs w:val="20"/>
                <w:color w:val="auto"/>
              </w:rPr>
            </w:pPr>
            <w:r>
              <w:rPr>
                <w:rFonts w:ascii="Arial" w:cs="Arial" w:eastAsia="Arial" w:hAnsi="Arial"/>
                <w:sz w:val="14"/>
                <w:szCs w:val="14"/>
                <w:color w:val="auto"/>
              </w:rPr>
              <w:t>2</w:t>
            </w:r>
          </w:p>
        </w:tc>
        <w:tc>
          <w:tcPr>
            <w:tcW w:w="20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42</w:t>
            </w:r>
          </w:p>
        </w:tc>
        <w:tc>
          <w:tcPr>
            <w:tcW w:w="1040" w:type="dxa"/>
            <w:vAlign w:val="bottom"/>
            <w:tcBorders>
              <w:right w:val="single" w:sz="8" w:color="auto"/>
            </w:tcBorders>
          </w:tcPr>
          <w:p>
            <w:pPr>
              <w:jc w:val="right"/>
              <w:ind w:right="369"/>
              <w:spacing w:after="0"/>
              <w:rPr>
                <w:sz w:val="20"/>
                <w:szCs w:val="20"/>
                <w:color w:val="auto"/>
              </w:rPr>
            </w:pPr>
            <w:r>
              <w:rPr>
                <w:rFonts w:ascii="Arial" w:cs="Arial" w:eastAsia="Arial" w:hAnsi="Arial"/>
                <w:sz w:val="14"/>
                <w:szCs w:val="14"/>
                <w:color w:val="auto"/>
              </w:rPr>
              <w:t>1</w:t>
            </w:r>
          </w:p>
        </w:tc>
        <w:tc>
          <w:tcPr>
            <w:tcW w:w="240" w:type="dxa"/>
            <w:vAlign w:val="bottom"/>
          </w:tcPr>
          <w:p>
            <w:pPr>
              <w:spacing w:after="0"/>
              <w:rPr>
                <w:sz w:val="18"/>
                <w:szCs w:val="18"/>
                <w:color w:val="auto"/>
              </w:rPr>
            </w:pPr>
          </w:p>
        </w:tc>
        <w:tc>
          <w:tcPr>
            <w:tcW w:w="720" w:type="dxa"/>
            <w:vAlign w:val="bottom"/>
          </w:tcPr>
          <w:p>
            <w:pPr>
              <w:jc w:val="right"/>
              <w:ind w:right="249"/>
              <w:spacing w:after="0"/>
              <w:rPr>
                <w:sz w:val="20"/>
                <w:szCs w:val="20"/>
                <w:color w:val="auto"/>
              </w:rPr>
            </w:pPr>
            <w:r>
              <w:rPr>
                <w:rFonts w:ascii="Arial" w:cs="Arial" w:eastAsia="Arial" w:hAnsi="Arial"/>
                <w:sz w:val="14"/>
                <w:szCs w:val="14"/>
                <w:color w:val="auto"/>
              </w:rPr>
              <w:t>40</w:t>
            </w:r>
          </w:p>
        </w:tc>
        <w:tc>
          <w:tcPr>
            <w:tcW w:w="540" w:type="dxa"/>
            <w:vAlign w:val="bottom"/>
          </w:tcPr>
          <w:p>
            <w:pPr>
              <w:jc w:val="right"/>
              <w:ind w:right="168"/>
              <w:spacing w:after="0"/>
              <w:rPr>
                <w:sz w:val="20"/>
                <w:szCs w:val="20"/>
                <w:color w:val="auto"/>
              </w:rPr>
            </w:pPr>
            <w:r>
              <w:rPr>
                <w:rFonts w:ascii="Arial" w:cs="Arial" w:eastAsia="Arial" w:hAnsi="Arial"/>
                <w:sz w:val="14"/>
                <w:szCs w:val="14"/>
                <w:color w:val="auto"/>
              </w:rPr>
              <w:t>1</w:t>
            </w:r>
          </w:p>
        </w:tc>
      </w:tr>
      <w:tr>
        <w:trPr>
          <w:trHeight w:val="216"/>
        </w:trPr>
        <w:tc>
          <w:tcPr>
            <w:tcW w:w="2920" w:type="dxa"/>
            <w:vAlign w:val="bottom"/>
          </w:tcPr>
          <w:p>
            <w:pPr>
              <w:ind w:left="340"/>
              <w:spacing w:after="0"/>
              <w:rPr>
                <w:sz w:val="20"/>
                <w:szCs w:val="20"/>
                <w:color w:val="auto"/>
              </w:rPr>
            </w:pPr>
            <w:r>
              <w:rPr>
                <w:rFonts w:ascii="Arial" w:cs="Arial" w:eastAsia="Arial" w:hAnsi="Arial"/>
                <w:sz w:val="14"/>
                <w:szCs w:val="14"/>
                <w:color w:val="auto"/>
              </w:rPr>
              <w:t>Sempra LNG</w:t>
            </w:r>
          </w:p>
        </w:tc>
        <w:tc>
          <w:tcPr>
            <w:tcW w:w="2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77</w:t>
            </w:r>
          </w:p>
        </w:tc>
        <w:tc>
          <w:tcPr>
            <w:tcW w:w="860" w:type="dxa"/>
            <w:vAlign w:val="bottom"/>
          </w:tcPr>
          <w:p>
            <w:pPr>
              <w:jc w:val="right"/>
              <w:ind w:right="209"/>
              <w:spacing w:after="0"/>
              <w:rPr>
                <w:sz w:val="20"/>
                <w:szCs w:val="20"/>
                <w:color w:val="auto"/>
              </w:rPr>
            </w:pPr>
            <w:r>
              <w:rPr>
                <w:rFonts w:ascii="Arial" w:cs="Arial" w:eastAsia="Arial" w:hAnsi="Arial"/>
                <w:sz w:val="14"/>
                <w:szCs w:val="14"/>
                <w:color w:val="auto"/>
              </w:rPr>
              <w:t>3</w:t>
            </w:r>
          </w:p>
        </w:tc>
        <w:tc>
          <w:tcPr>
            <w:tcW w:w="20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44</w:t>
            </w:r>
          </w:p>
        </w:tc>
        <w:tc>
          <w:tcPr>
            <w:tcW w:w="1040" w:type="dxa"/>
            <w:vAlign w:val="bottom"/>
            <w:tcBorders>
              <w:right w:val="single" w:sz="8" w:color="auto"/>
            </w:tcBorders>
          </w:tcPr>
          <w:p>
            <w:pPr>
              <w:jc w:val="right"/>
              <w:ind w:right="369"/>
              <w:spacing w:after="0"/>
              <w:rPr>
                <w:sz w:val="20"/>
                <w:szCs w:val="20"/>
                <w:color w:val="auto"/>
              </w:rPr>
            </w:pPr>
            <w:r>
              <w:rPr>
                <w:rFonts w:ascii="Arial" w:cs="Arial" w:eastAsia="Arial" w:hAnsi="Arial"/>
                <w:sz w:val="14"/>
                <w:szCs w:val="14"/>
                <w:color w:val="auto"/>
              </w:rPr>
              <w:t>2</w:t>
            </w:r>
          </w:p>
        </w:tc>
        <w:tc>
          <w:tcPr>
            <w:tcW w:w="240" w:type="dxa"/>
            <w:vAlign w:val="bottom"/>
          </w:tcPr>
          <w:p>
            <w:pPr>
              <w:spacing w:after="0"/>
              <w:rPr>
                <w:sz w:val="18"/>
                <w:szCs w:val="18"/>
                <w:color w:val="auto"/>
              </w:rPr>
            </w:pPr>
          </w:p>
        </w:tc>
        <w:tc>
          <w:tcPr>
            <w:tcW w:w="720" w:type="dxa"/>
            <w:vAlign w:val="bottom"/>
          </w:tcPr>
          <w:p>
            <w:pPr>
              <w:jc w:val="right"/>
              <w:ind w:right="249"/>
              <w:spacing w:after="0"/>
              <w:rPr>
                <w:sz w:val="20"/>
                <w:szCs w:val="20"/>
                <w:color w:val="auto"/>
              </w:rPr>
            </w:pPr>
            <w:r>
              <w:rPr>
                <w:rFonts w:ascii="Arial" w:cs="Arial" w:eastAsia="Arial" w:hAnsi="Arial"/>
                <w:sz w:val="14"/>
                <w:szCs w:val="14"/>
                <w:color w:val="auto"/>
              </w:rPr>
              <w:t>39</w:t>
            </w:r>
          </w:p>
        </w:tc>
        <w:tc>
          <w:tcPr>
            <w:tcW w:w="540" w:type="dxa"/>
            <w:vAlign w:val="bottom"/>
          </w:tcPr>
          <w:p>
            <w:pPr>
              <w:jc w:val="right"/>
              <w:ind w:right="168"/>
              <w:spacing w:after="0"/>
              <w:rPr>
                <w:sz w:val="20"/>
                <w:szCs w:val="20"/>
                <w:color w:val="auto"/>
              </w:rPr>
            </w:pPr>
            <w:r>
              <w:rPr>
                <w:rFonts w:ascii="Arial" w:cs="Arial" w:eastAsia="Arial" w:hAnsi="Arial"/>
                <w:sz w:val="14"/>
                <w:szCs w:val="14"/>
                <w:color w:val="auto"/>
              </w:rPr>
              <w:t>1</w:t>
            </w:r>
          </w:p>
        </w:tc>
      </w:tr>
      <w:tr>
        <w:trPr>
          <w:trHeight w:val="438"/>
        </w:trPr>
        <w:tc>
          <w:tcPr>
            <w:tcW w:w="2920" w:type="dxa"/>
            <w:vAlign w:val="bottom"/>
          </w:tcPr>
          <w:p>
            <w:pPr>
              <w:ind w:left="20"/>
              <w:spacing w:after="0"/>
              <w:rPr>
                <w:sz w:val="20"/>
                <w:szCs w:val="20"/>
                <w:color w:val="auto"/>
              </w:rPr>
            </w:pPr>
            <w:r>
              <w:rPr>
                <w:rFonts w:ascii="Arial" w:cs="Arial" w:eastAsia="Arial" w:hAnsi="Arial"/>
                <w:sz w:val="14"/>
                <w:szCs w:val="14"/>
                <w:color w:val="auto"/>
              </w:rPr>
              <w:t>Parent and other**</w:t>
            </w:r>
          </w:p>
        </w:tc>
        <w:tc>
          <w:tcPr>
            <w:tcW w:w="28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61</w:t>
            </w:r>
          </w:p>
        </w:tc>
        <w:tc>
          <w:tcPr>
            <w:tcW w:w="860" w:type="dxa"/>
            <w:vAlign w:val="bottom"/>
            <w:tcBorders>
              <w:bottom w:val="single" w:sz="8" w:color="auto"/>
            </w:tcBorders>
          </w:tcPr>
          <w:p>
            <w:pPr>
              <w:jc w:val="right"/>
              <w:ind w:right="209"/>
              <w:spacing w:after="0"/>
              <w:rPr>
                <w:sz w:val="20"/>
                <w:szCs w:val="20"/>
                <w:color w:val="auto"/>
              </w:rPr>
            </w:pPr>
            <w:r>
              <w:rPr>
                <w:rFonts w:ascii="Arial" w:cs="Arial" w:eastAsia="Arial" w:hAnsi="Arial"/>
                <w:sz w:val="14"/>
                <w:szCs w:val="14"/>
                <w:color w:val="auto"/>
              </w:rPr>
              <w:t>2</w:t>
            </w:r>
          </w:p>
        </w:tc>
        <w:tc>
          <w:tcPr>
            <w:tcW w:w="200" w:type="dxa"/>
            <w:vAlign w:val="bottom"/>
            <w:tcBorders>
              <w:bottom w:val="single" w:sz="8" w:color="auto"/>
              <w:right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97</w:t>
            </w:r>
          </w:p>
        </w:tc>
        <w:tc>
          <w:tcPr>
            <w:tcW w:w="1040" w:type="dxa"/>
            <w:vAlign w:val="bottom"/>
            <w:tcBorders>
              <w:bottom w:val="single" w:sz="8" w:color="auto"/>
              <w:right w:val="single" w:sz="8" w:color="auto"/>
            </w:tcBorders>
          </w:tcPr>
          <w:p>
            <w:pPr>
              <w:jc w:val="right"/>
              <w:ind w:right="369"/>
              <w:spacing w:after="0"/>
              <w:rPr>
                <w:sz w:val="20"/>
                <w:szCs w:val="20"/>
                <w:color w:val="auto"/>
              </w:rPr>
            </w:pPr>
            <w:r>
              <w:rPr>
                <w:rFonts w:ascii="Arial" w:cs="Arial" w:eastAsia="Arial" w:hAnsi="Arial"/>
                <w:sz w:val="14"/>
                <w:szCs w:val="14"/>
                <w:color w:val="auto"/>
              </w:rPr>
              <w:t>3</w:t>
            </w:r>
          </w:p>
        </w:tc>
        <w:tc>
          <w:tcPr>
            <w:tcW w:w="2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ind w:right="249"/>
              <w:spacing w:after="0"/>
              <w:rPr>
                <w:sz w:val="20"/>
                <w:szCs w:val="20"/>
                <w:color w:val="auto"/>
              </w:rPr>
            </w:pPr>
            <w:r>
              <w:rPr>
                <w:rFonts w:ascii="Arial" w:cs="Arial" w:eastAsia="Arial" w:hAnsi="Arial"/>
                <w:sz w:val="14"/>
                <w:szCs w:val="14"/>
                <w:color w:val="auto"/>
              </w:rPr>
              <w:t>61</w:t>
            </w:r>
          </w:p>
        </w:tc>
        <w:tc>
          <w:tcPr>
            <w:tcW w:w="5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2</w:t>
            </w:r>
          </w:p>
        </w:tc>
      </w:tr>
      <w:tr>
        <w:trPr>
          <w:trHeight w:val="224"/>
        </w:trPr>
        <w:tc>
          <w:tcPr>
            <w:tcW w:w="29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Total operation and maintenance</w:t>
            </w:r>
          </w:p>
        </w:tc>
        <w:tc>
          <w:tcPr>
            <w:tcW w:w="2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2,536</w:t>
            </w:r>
          </w:p>
        </w:tc>
        <w:tc>
          <w:tcPr>
            <w:tcW w:w="86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100 %</w:t>
            </w:r>
          </w:p>
        </w:tc>
        <w:tc>
          <w:tcPr>
            <w:tcW w:w="200" w:type="dxa"/>
            <w:vAlign w:val="bottom"/>
            <w:tcBorders>
              <w:bottom w:val="single" w:sz="8" w:color="auto"/>
              <w:right w:val="single" w:sz="8" w:color="auto"/>
            </w:tcBorders>
          </w:tcPr>
          <w:p>
            <w:pPr>
              <w:spacing w:after="0"/>
              <w:rPr>
                <w:sz w:val="19"/>
                <w:szCs w:val="19"/>
                <w:color w:val="auto"/>
              </w:rPr>
            </w:pPr>
          </w:p>
        </w:tc>
        <w:tc>
          <w:tcPr>
            <w:tcW w:w="2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3,032</w:t>
            </w:r>
          </w:p>
        </w:tc>
        <w:tc>
          <w:tcPr>
            <w:tcW w:w="1040" w:type="dxa"/>
            <w:vAlign w:val="bottom"/>
            <w:tcBorders>
              <w:bottom w:val="single" w:sz="8" w:color="auto"/>
              <w:right w:val="single" w:sz="8" w:color="auto"/>
            </w:tcBorders>
          </w:tcPr>
          <w:p>
            <w:pPr>
              <w:jc w:val="right"/>
              <w:ind w:right="209"/>
              <w:spacing w:after="0"/>
              <w:rPr>
                <w:sz w:val="20"/>
                <w:szCs w:val="20"/>
                <w:color w:val="auto"/>
              </w:rPr>
            </w:pPr>
            <w:r>
              <w:rPr>
                <w:rFonts w:ascii="Arial" w:cs="Arial" w:eastAsia="Arial" w:hAnsi="Arial"/>
                <w:sz w:val="14"/>
                <w:szCs w:val="14"/>
                <w:color w:val="auto"/>
              </w:rPr>
              <w:t>100 %</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ind w:right="249"/>
              <w:spacing w:after="0"/>
              <w:rPr>
                <w:sz w:val="20"/>
                <w:szCs w:val="20"/>
                <w:color w:val="auto"/>
              </w:rPr>
            </w:pPr>
            <w:r>
              <w:rPr>
                <w:rFonts w:ascii="Arial" w:cs="Arial" w:eastAsia="Arial" w:hAnsi="Arial"/>
                <w:sz w:val="14"/>
                <w:szCs w:val="14"/>
                <w:color w:val="auto"/>
              </w:rPr>
              <w:t>2,879</w:t>
            </w:r>
          </w:p>
        </w:tc>
        <w:tc>
          <w:tcPr>
            <w:tcW w:w="5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100 %</w:t>
            </w:r>
          </w:p>
        </w:tc>
      </w:tr>
    </w:tbl>
    <w:p>
      <w:pPr>
        <w:spacing w:after="0" w:line="16" w:lineRule="exact"/>
        <w:rPr>
          <w:sz w:val="20"/>
          <w:szCs w:val="20"/>
          <w:color w:val="auto"/>
        </w:rPr>
      </w:pPr>
    </w:p>
    <w:p>
      <w:pPr>
        <w:ind w:left="2124" w:hanging="358"/>
        <w:spacing w:after="0"/>
        <w:tabs>
          <w:tab w:leader="none" w:pos="2124" w:val="left"/>
        </w:tabs>
        <w:numPr>
          <w:ilvl w:val="0"/>
          <w:numId w:val="251"/>
        </w:numPr>
        <w:rPr>
          <w:rFonts w:ascii="Arial" w:cs="Arial" w:eastAsia="Arial" w:hAnsi="Arial"/>
          <w:sz w:val="13"/>
          <w:szCs w:val="13"/>
          <w:i w:val="1"/>
          <w:iCs w:val="1"/>
          <w:color w:val="auto"/>
        </w:rPr>
      </w:pPr>
      <w:r>
        <w:rPr>
          <w:rFonts w:ascii="Arial" w:cs="Arial" w:eastAsia="Arial" w:hAnsi="Arial"/>
          <w:sz w:val="13"/>
          <w:szCs w:val="13"/>
          <w:i w:val="1"/>
          <w:iCs w:val="1"/>
          <w:color w:val="auto"/>
        </w:rPr>
        <w:t>Includes recoverable expenses, which are fully offset in revenues.</w:t>
      </w:r>
    </w:p>
    <w:p>
      <w:pPr>
        <w:spacing w:after="0" w:line="42" w:lineRule="exact"/>
        <w:rPr>
          <w:rFonts w:ascii="Arial" w:cs="Arial" w:eastAsia="Arial" w:hAnsi="Arial"/>
          <w:sz w:val="13"/>
          <w:szCs w:val="13"/>
          <w:i w:val="1"/>
          <w:iCs w:val="1"/>
          <w:color w:val="auto"/>
        </w:rPr>
      </w:pPr>
    </w:p>
    <w:p>
      <w:pPr>
        <w:ind w:left="1764"/>
        <w:spacing w:after="0"/>
        <w:rPr>
          <w:rFonts w:ascii="Arial" w:cs="Arial" w:eastAsia="Arial" w:hAnsi="Arial"/>
          <w:sz w:val="13"/>
          <w:szCs w:val="13"/>
          <w:i w:val="1"/>
          <w:iCs w:val="1"/>
          <w:color w:val="auto"/>
        </w:rPr>
      </w:pPr>
      <w:r>
        <w:rPr>
          <w:rFonts w:ascii="Arial" w:cs="Arial" w:eastAsia="Arial" w:hAnsi="Arial"/>
          <w:sz w:val="13"/>
          <w:szCs w:val="13"/>
          <w:i w:val="1"/>
          <w:iCs w:val="1"/>
          <w:color w:val="auto"/>
        </w:rPr>
        <w:t>**</w:t>
      </w:r>
      <w:r>
        <w:rPr>
          <w:rFonts w:ascii="Arial" w:cs="Arial" w:eastAsia="Arial" w:hAnsi="Arial"/>
          <w:sz w:val="12"/>
          <w:szCs w:val="12"/>
          <w:i w:val="1"/>
          <w:iCs w:val="1"/>
          <w:color w:val="auto"/>
        </w:rPr>
        <w:t>Includes intercompany eliminations recorded in consolidation.</w:t>
      </w:r>
    </w:p>
    <w:p>
      <w:pPr>
        <w:spacing w:after="0" w:line="204" w:lineRule="exact"/>
        <w:rPr>
          <w:sz w:val="20"/>
          <w:szCs w:val="20"/>
          <w:color w:val="auto"/>
        </w:rPr>
      </w:pPr>
    </w:p>
    <w:p>
      <w:pPr>
        <w:ind w:left="4"/>
        <w:spacing w:after="0"/>
        <w:rPr>
          <w:sz w:val="20"/>
          <w:szCs w:val="20"/>
          <w:color w:val="auto"/>
        </w:rPr>
      </w:pPr>
      <w:r>
        <w:rPr>
          <w:rFonts w:ascii="Arial" w:cs="Arial" w:eastAsia="Arial" w:hAnsi="Arial"/>
          <w:sz w:val="18"/>
          <w:szCs w:val="18"/>
          <w:i w:val="1"/>
          <w:iCs w:val="1"/>
          <w:color w:val="auto"/>
        </w:rPr>
        <w:t>Sempra Energy</w:t>
      </w:r>
    </w:p>
    <w:p>
      <w:pPr>
        <w:spacing w:after="0" w:line="72" w:lineRule="exact"/>
        <w:rPr>
          <w:sz w:val="20"/>
          <w:szCs w:val="20"/>
          <w:color w:val="auto"/>
        </w:rPr>
      </w:pPr>
    </w:p>
    <w:p>
      <w:pPr>
        <w:ind w:left="4" w:right="260"/>
        <w:spacing w:after="0" w:line="277" w:lineRule="auto"/>
        <w:rPr>
          <w:sz w:val="20"/>
          <w:szCs w:val="20"/>
          <w:color w:val="auto"/>
        </w:rPr>
      </w:pPr>
      <w:r>
        <w:rPr>
          <w:rFonts w:ascii="Arial" w:cs="Arial" w:eastAsia="Arial" w:hAnsi="Arial"/>
          <w:sz w:val="16"/>
          <w:szCs w:val="16"/>
          <w:color w:val="auto"/>
        </w:rPr>
        <w:t>In 2008, our operation and maintenance expenses decreased due to $670 million lower expenses from our reduced interest in our commodities-marketing businesses, offset by higher recoverable expenses (offset in revenues), litigation expense and other operational costs at the Sempra Utilities.</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6"/>
          <w:szCs w:val="16"/>
          <w:color w:val="auto"/>
        </w:rPr>
        <w:t>In 2007, our operation and maintenance expenses increased primarily due to higher recoverable expenses and other operational costs at the Sempra Utilities.</w:t>
      </w:r>
    </w:p>
    <w:p>
      <w:pPr>
        <w:spacing w:after="0" w:line="80" w:lineRule="exact"/>
        <w:rPr>
          <w:sz w:val="20"/>
          <w:szCs w:val="20"/>
          <w:color w:val="auto"/>
        </w:rPr>
      </w:pPr>
    </w:p>
    <w:p>
      <w:pPr>
        <w:ind w:left="4"/>
        <w:spacing w:after="0"/>
        <w:rPr>
          <w:sz w:val="20"/>
          <w:szCs w:val="20"/>
          <w:color w:val="auto"/>
        </w:rPr>
      </w:pPr>
      <w:r>
        <w:rPr>
          <w:rFonts w:ascii="Arial" w:cs="Arial" w:eastAsia="Arial" w:hAnsi="Arial"/>
          <w:sz w:val="16"/>
          <w:szCs w:val="16"/>
          <w:i w:val="1"/>
          <w:iCs w:val="1"/>
          <w:color w:val="auto"/>
        </w:rPr>
        <w:t>SDG&amp;E</w:t>
      </w:r>
    </w:p>
    <w:p>
      <w:pPr>
        <w:spacing w:after="0" w:line="44" w:lineRule="exact"/>
        <w:rPr>
          <w:sz w:val="20"/>
          <w:szCs w:val="20"/>
          <w:color w:val="auto"/>
        </w:rPr>
      </w:pPr>
    </w:p>
    <w:p>
      <w:pPr>
        <w:ind w:left="4"/>
        <w:spacing w:after="0"/>
        <w:rPr>
          <w:sz w:val="20"/>
          <w:szCs w:val="20"/>
          <w:color w:val="auto"/>
        </w:rPr>
      </w:pPr>
      <w:r>
        <w:rPr>
          <w:rFonts w:ascii="Arial" w:cs="Arial" w:eastAsia="Arial" w:hAnsi="Arial"/>
          <w:sz w:val="16"/>
          <w:szCs w:val="16"/>
          <w:color w:val="auto"/>
        </w:rPr>
        <w:t>In 2008, the increase in SDG&amp;E operation and maintenance expenses was due to:</w:t>
      </w:r>
    </w:p>
    <w:p>
      <w:pPr>
        <w:spacing w:after="0" w:line="44" w:lineRule="exact"/>
        <w:rPr>
          <w:sz w:val="20"/>
          <w:szCs w:val="20"/>
          <w:color w:val="auto"/>
        </w:rPr>
      </w:pPr>
    </w:p>
    <w:p>
      <w:pPr>
        <w:ind w:left="144" w:right="1840" w:hanging="144"/>
        <w:spacing w:after="0" w:line="274" w:lineRule="auto"/>
        <w:tabs>
          <w:tab w:leader="none" w:pos="144" w:val="left"/>
        </w:tabs>
        <w:numPr>
          <w:ilvl w:val="0"/>
          <w:numId w:val="252"/>
        </w:numPr>
        <w:rPr>
          <w:rFonts w:ascii="Arial" w:cs="Arial" w:eastAsia="Arial" w:hAnsi="Arial"/>
          <w:sz w:val="16"/>
          <w:szCs w:val="16"/>
          <w:color w:val="auto"/>
        </w:rPr>
      </w:pPr>
      <w:r>
        <w:rPr>
          <w:rFonts w:ascii="Arial" w:cs="Arial" w:eastAsia="Arial" w:hAnsi="Arial"/>
          <w:sz w:val="16"/>
          <w:szCs w:val="16"/>
          <w:color w:val="auto"/>
        </w:rPr>
        <w:t>$61 million higher recoverable expenses, including $35 million increase in energy efficiency program expenses and $16 million increase in electric transmission expenses</w:t>
      </w:r>
    </w:p>
    <w:p>
      <w:pPr>
        <w:ind w:left="144" w:hanging="144"/>
        <w:spacing w:after="0"/>
        <w:tabs>
          <w:tab w:leader="none" w:pos="144" w:val="left"/>
        </w:tabs>
        <w:numPr>
          <w:ilvl w:val="0"/>
          <w:numId w:val="252"/>
        </w:numPr>
        <w:rPr>
          <w:rFonts w:ascii="Arial" w:cs="Arial" w:eastAsia="Arial" w:hAnsi="Arial"/>
          <w:sz w:val="16"/>
          <w:szCs w:val="16"/>
          <w:color w:val="auto"/>
        </w:rPr>
      </w:pPr>
      <w:r>
        <w:rPr>
          <w:rFonts w:ascii="Arial" w:cs="Arial" w:eastAsia="Arial" w:hAnsi="Arial"/>
          <w:sz w:val="16"/>
          <w:szCs w:val="16"/>
          <w:color w:val="auto"/>
        </w:rPr>
        <w:t>$32 million higher litigation expense</w:t>
      </w:r>
    </w:p>
    <w:p>
      <w:pPr>
        <w:spacing w:after="0" w:line="44" w:lineRule="exact"/>
        <w:rPr>
          <w:rFonts w:ascii="Arial" w:cs="Arial" w:eastAsia="Arial" w:hAnsi="Arial"/>
          <w:sz w:val="16"/>
          <w:szCs w:val="16"/>
          <w:color w:val="auto"/>
        </w:rPr>
      </w:pPr>
    </w:p>
    <w:p>
      <w:pPr>
        <w:ind w:left="144" w:hanging="144"/>
        <w:spacing w:after="0"/>
        <w:tabs>
          <w:tab w:leader="none" w:pos="144" w:val="left"/>
        </w:tabs>
        <w:numPr>
          <w:ilvl w:val="0"/>
          <w:numId w:val="252"/>
        </w:numPr>
        <w:rPr>
          <w:rFonts w:ascii="Arial" w:cs="Arial" w:eastAsia="Arial" w:hAnsi="Arial"/>
          <w:sz w:val="16"/>
          <w:szCs w:val="16"/>
          <w:color w:val="auto"/>
        </w:rPr>
      </w:pPr>
      <w:r>
        <w:rPr>
          <w:rFonts w:ascii="Arial" w:cs="Arial" w:eastAsia="Arial" w:hAnsi="Arial"/>
          <w:sz w:val="16"/>
          <w:szCs w:val="16"/>
          <w:color w:val="auto"/>
        </w:rPr>
        <w:t>$13 million higher other operational costs</w:t>
      </w:r>
    </w:p>
    <w:p>
      <w:pPr>
        <w:spacing w:after="0" w:line="128" w:lineRule="exact"/>
        <w:rPr>
          <w:sz w:val="20"/>
          <w:szCs w:val="20"/>
          <w:color w:val="auto"/>
        </w:rPr>
      </w:pPr>
    </w:p>
    <w:p>
      <w:pPr>
        <w:ind w:left="4" w:right="100"/>
        <w:spacing w:after="0" w:line="277" w:lineRule="auto"/>
        <w:rPr>
          <w:sz w:val="20"/>
          <w:szCs w:val="20"/>
          <w:color w:val="auto"/>
        </w:rPr>
      </w:pPr>
      <w:r>
        <w:rPr>
          <w:rFonts w:ascii="Arial" w:cs="Arial" w:eastAsia="Arial" w:hAnsi="Arial"/>
          <w:sz w:val="16"/>
          <w:szCs w:val="16"/>
          <w:color w:val="auto"/>
        </w:rPr>
        <w:t>The increase in 2007 was due to $23 million higher other operational costs, $7 million higher litigation expense and $5 million higher recoverable expenses, offset by $5 million lower SONGS operating costs.</w:t>
      </w:r>
    </w:p>
    <w:p>
      <w:pPr>
        <w:spacing w:after="0" w:line="200" w:lineRule="exact"/>
        <w:rPr>
          <w:sz w:val="20"/>
          <w:szCs w:val="20"/>
          <w:color w:val="auto"/>
        </w:rPr>
      </w:pPr>
    </w:p>
    <w:p>
      <w:pPr>
        <w:spacing w:after="0" w:line="292" w:lineRule="exact"/>
        <w:rPr>
          <w:sz w:val="20"/>
          <w:szCs w:val="20"/>
          <w:color w:val="auto"/>
        </w:rPr>
      </w:pPr>
    </w:p>
    <w:p>
      <w:pPr>
        <w:ind w:left="4"/>
        <w:spacing w:after="0"/>
        <w:rPr>
          <w:sz w:val="20"/>
          <w:szCs w:val="20"/>
          <w:color w:val="auto"/>
        </w:rPr>
      </w:pPr>
      <w:r>
        <w:rPr>
          <w:rFonts w:ascii="Arial" w:cs="Arial" w:eastAsia="Arial" w:hAnsi="Arial"/>
          <w:sz w:val="14"/>
          <w:szCs w:val="14"/>
          <w:color w:val="auto"/>
        </w:rPr>
        <w:t>21</w:t>
      </w:r>
    </w:p>
    <w:p>
      <w:pPr>
        <w:sectPr>
          <w:pgSz w:w="11900" w:h="16838" w:orient="portrait"/>
          <w:cols w:equalWidth="0" w:num="1">
            <w:col w:w="11424"/>
          </w:cols>
          <w:pgMar w:left="236" w:top="127" w:right="239" w:bottom="1440" w:gutter="0" w:footer="0" w:header="0"/>
        </w:sectPr>
      </w:pPr>
    </w:p>
    <w:bookmarkStart w:id="161" w:name="page162"/>
    <w:bookmarkEnd w:id="161"/>
    <w:p>
      <w:pPr>
        <w:ind w:left="4"/>
        <w:spacing w:after="0"/>
        <w:rPr>
          <w:sz w:val="20"/>
          <w:szCs w:val="20"/>
          <w:color w:val="auto"/>
        </w:rPr>
      </w:pPr>
      <w:r>
        <w:rPr>
          <w:rFonts w:ascii="Arial" w:cs="Arial" w:eastAsia="Arial" w:hAnsi="Arial"/>
          <w:sz w:val="18"/>
          <w:szCs w:val="18"/>
          <w:i w:val="1"/>
          <w:iCs w:val="1"/>
          <w:color w:val="auto"/>
        </w:rPr>
        <w:t>SoCalGas</w:t>
      </w:r>
    </w:p>
    <w:p>
      <w:pPr>
        <w:spacing w:after="0" w:line="73" w:lineRule="exact"/>
        <w:rPr>
          <w:sz w:val="20"/>
          <w:szCs w:val="20"/>
          <w:color w:val="auto"/>
        </w:rPr>
      </w:pPr>
    </w:p>
    <w:p>
      <w:pPr>
        <w:ind w:left="4"/>
        <w:spacing w:after="0"/>
        <w:rPr>
          <w:sz w:val="20"/>
          <w:szCs w:val="20"/>
          <w:color w:val="auto"/>
        </w:rPr>
      </w:pPr>
      <w:r>
        <w:rPr>
          <w:rFonts w:ascii="Arial" w:cs="Arial" w:eastAsia="Arial" w:hAnsi="Arial"/>
          <w:sz w:val="16"/>
          <w:szCs w:val="16"/>
          <w:color w:val="auto"/>
        </w:rPr>
        <w:t>In 2008, the increase in SoCalGas operation and maintenance expenses was due to:</w:t>
      </w:r>
    </w:p>
    <w:p>
      <w:pPr>
        <w:spacing w:after="0" w:line="44" w:lineRule="exact"/>
        <w:rPr>
          <w:sz w:val="20"/>
          <w:szCs w:val="20"/>
          <w:color w:val="auto"/>
        </w:rPr>
      </w:pPr>
    </w:p>
    <w:p>
      <w:pPr>
        <w:ind w:left="144" w:right="1360" w:hanging="144"/>
        <w:spacing w:after="0" w:line="274" w:lineRule="auto"/>
        <w:tabs>
          <w:tab w:leader="none" w:pos="144" w:val="left"/>
        </w:tabs>
        <w:numPr>
          <w:ilvl w:val="0"/>
          <w:numId w:val="253"/>
        </w:numPr>
        <w:rPr>
          <w:rFonts w:ascii="Arial" w:cs="Arial" w:eastAsia="Arial" w:hAnsi="Arial"/>
          <w:sz w:val="16"/>
          <w:szCs w:val="16"/>
          <w:color w:val="auto"/>
        </w:rPr>
      </w:pPr>
      <w:r>
        <w:rPr>
          <w:rFonts w:ascii="Arial" w:cs="Arial" w:eastAsia="Arial" w:hAnsi="Arial"/>
          <w:sz w:val="16"/>
          <w:szCs w:val="16"/>
          <w:color w:val="auto"/>
        </w:rPr>
        <w:t>$41 million higher other operational costs, including $13 million higher materials and supplies costs, $10 million higher labor and employee benefits costs and $8 million higher bad debt expense</w:t>
      </w:r>
    </w:p>
    <w:p>
      <w:pPr>
        <w:ind w:left="144" w:hanging="144"/>
        <w:spacing w:after="0"/>
        <w:tabs>
          <w:tab w:leader="none" w:pos="144" w:val="left"/>
        </w:tabs>
        <w:numPr>
          <w:ilvl w:val="0"/>
          <w:numId w:val="253"/>
        </w:numPr>
        <w:rPr>
          <w:rFonts w:ascii="Arial" w:cs="Arial" w:eastAsia="Arial" w:hAnsi="Arial"/>
          <w:sz w:val="16"/>
          <w:szCs w:val="16"/>
          <w:color w:val="auto"/>
        </w:rPr>
      </w:pPr>
      <w:r>
        <w:rPr>
          <w:rFonts w:ascii="Arial" w:cs="Arial" w:eastAsia="Arial" w:hAnsi="Arial"/>
          <w:sz w:val="16"/>
          <w:szCs w:val="16"/>
          <w:color w:val="auto"/>
        </w:rPr>
        <w:t>$13 million higher litigation expense</w:t>
      </w:r>
    </w:p>
    <w:p>
      <w:pPr>
        <w:spacing w:after="0" w:line="44" w:lineRule="exact"/>
        <w:rPr>
          <w:rFonts w:ascii="Arial" w:cs="Arial" w:eastAsia="Arial" w:hAnsi="Arial"/>
          <w:sz w:val="16"/>
          <w:szCs w:val="16"/>
          <w:color w:val="auto"/>
        </w:rPr>
      </w:pPr>
    </w:p>
    <w:p>
      <w:pPr>
        <w:ind w:left="144" w:hanging="144"/>
        <w:spacing w:after="0"/>
        <w:tabs>
          <w:tab w:leader="none" w:pos="144" w:val="left"/>
        </w:tabs>
        <w:numPr>
          <w:ilvl w:val="0"/>
          <w:numId w:val="253"/>
        </w:numPr>
        <w:rPr>
          <w:rFonts w:ascii="Arial" w:cs="Arial" w:eastAsia="Arial" w:hAnsi="Arial"/>
          <w:sz w:val="16"/>
          <w:szCs w:val="16"/>
          <w:color w:val="auto"/>
        </w:rPr>
      </w:pPr>
      <w:r>
        <w:rPr>
          <w:rFonts w:ascii="Arial" w:cs="Arial" w:eastAsia="Arial" w:hAnsi="Arial"/>
          <w:sz w:val="16"/>
          <w:szCs w:val="16"/>
          <w:color w:val="auto"/>
        </w:rPr>
        <w:t>$3 million higher recoverable expenses</w:t>
      </w:r>
    </w:p>
    <w:p>
      <w:pPr>
        <w:spacing w:after="0" w:line="128" w:lineRule="exact"/>
        <w:rPr>
          <w:sz w:val="20"/>
          <w:szCs w:val="20"/>
          <w:color w:val="auto"/>
        </w:rPr>
      </w:pPr>
    </w:p>
    <w:p>
      <w:pPr>
        <w:ind w:left="4" w:right="460"/>
        <w:spacing w:after="0" w:line="277" w:lineRule="auto"/>
        <w:rPr>
          <w:sz w:val="20"/>
          <w:szCs w:val="20"/>
          <w:color w:val="auto"/>
        </w:rPr>
      </w:pPr>
      <w:r>
        <w:rPr>
          <w:rFonts w:ascii="Arial" w:cs="Arial" w:eastAsia="Arial" w:hAnsi="Arial"/>
          <w:sz w:val="16"/>
          <w:szCs w:val="16"/>
          <w:color w:val="auto"/>
        </w:rPr>
        <w:t>In 2007, the increase in expenses was due to $41 million higher recoverable expenses (offset in revenues), $28 million higher other operational costs and $3 million higher litigation expense.</w:t>
      </w:r>
    </w:p>
    <w:p>
      <w:pPr>
        <w:spacing w:after="0" w:line="126" w:lineRule="exact"/>
        <w:rPr>
          <w:sz w:val="20"/>
          <w:szCs w:val="20"/>
          <w:color w:val="auto"/>
        </w:rPr>
      </w:pPr>
    </w:p>
    <w:p>
      <w:pPr>
        <w:ind w:left="4"/>
        <w:spacing w:after="0"/>
        <w:rPr>
          <w:sz w:val="20"/>
          <w:szCs w:val="20"/>
          <w:color w:val="auto"/>
        </w:rPr>
      </w:pPr>
      <w:r>
        <w:rPr>
          <w:rFonts w:ascii="Arial" w:cs="Arial" w:eastAsia="Arial" w:hAnsi="Arial"/>
          <w:sz w:val="18"/>
          <w:szCs w:val="18"/>
          <w:b w:val="1"/>
          <w:bCs w:val="1"/>
          <w:i w:val="1"/>
          <w:iCs w:val="1"/>
          <w:color w:val="auto"/>
        </w:rPr>
        <w:t>Gains on Sale of Assets</w:t>
      </w:r>
    </w:p>
    <w:p>
      <w:pPr>
        <w:spacing w:after="0" w:line="21" w:lineRule="exact"/>
        <w:rPr>
          <w:sz w:val="20"/>
          <w:szCs w:val="20"/>
          <w:color w:val="auto"/>
        </w:rPr>
      </w:pPr>
    </w:p>
    <w:p>
      <w:pPr>
        <w:ind w:left="4"/>
        <w:spacing w:after="0"/>
        <w:rPr>
          <w:sz w:val="20"/>
          <w:szCs w:val="20"/>
          <w:color w:val="auto"/>
        </w:rPr>
      </w:pPr>
      <w:r>
        <w:rPr>
          <w:rFonts w:ascii="Arial" w:cs="Arial" w:eastAsia="Arial" w:hAnsi="Arial"/>
          <w:sz w:val="18"/>
          <w:szCs w:val="18"/>
          <w:i w:val="1"/>
          <w:iCs w:val="1"/>
          <w:color w:val="auto"/>
        </w:rPr>
        <w:t>Sempra Energy</w:t>
      </w:r>
    </w:p>
    <w:p>
      <w:pPr>
        <w:spacing w:after="0" w:line="72" w:lineRule="exact"/>
        <w:rPr>
          <w:sz w:val="20"/>
          <w:szCs w:val="20"/>
          <w:color w:val="auto"/>
        </w:rPr>
      </w:pPr>
    </w:p>
    <w:p>
      <w:pPr>
        <w:ind w:left="4"/>
        <w:spacing w:after="0"/>
        <w:rPr>
          <w:sz w:val="20"/>
          <w:szCs w:val="20"/>
          <w:color w:val="auto"/>
        </w:rPr>
      </w:pPr>
      <w:r>
        <w:rPr>
          <w:rFonts w:ascii="Arial" w:cs="Arial" w:eastAsia="Arial" w:hAnsi="Arial"/>
          <w:sz w:val="16"/>
          <w:szCs w:val="16"/>
          <w:color w:val="auto"/>
        </w:rPr>
        <w:t>Our net pretax gains on the sale of assets were</w:t>
      </w:r>
    </w:p>
    <w:p>
      <w:pPr>
        <w:spacing w:after="0" w:line="44" w:lineRule="exact"/>
        <w:rPr>
          <w:sz w:val="20"/>
          <w:szCs w:val="20"/>
          <w:color w:val="auto"/>
        </w:rPr>
      </w:pPr>
    </w:p>
    <w:p>
      <w:pPr>
        <w:ind w:left="144" w:hanging="144"/>
        <w:spacing w:after="0"/>
        <w:tabs>
          <w:tab w:leader="none" w:pos="144" w:val="left"/>
        </w:tabs>
        <w:numPr>
          <w:ilvl w:val="0"/>
          <w:numId w:val="254"/>
        </w:numPr>
        <w:rPr>
          <w:rFonts w:ascii="Arial" w:cs="Arial" w:eastAsia="Arial" w:hAnsi="Arial"/>
          <w:sz w:val="16"/>
          <w:szCs w:val="16"/>
          <w:color w:val="auto"/>
        </w:rPr>
      </w:pPr>
      <w:r>
        <w:rPr>
          <w:rFonts w:ascii="Arial" w:cs="Arial" w:eastAsia="Arial" w:hAnsi="Arial"/>
          <w:sz w:val="16"/>
          <w:szCs w:val="16"/>
          <w:color w:val="auto"/>
        </w:rPr>
        <w:t>$114 million in 2008</w:t>
      </w:r>
    </w:p>
    <w:p>
      <w:pPr>
        <w:spacing w:after="0" w:line="44" w:lineRule="exact"/>
        <w:rPr>
          <w:rFonts w:ascii="Arial" w:cs="Arial" w:eastAsia="Arial" w:hAnsi="Arial"/>
          <w:sz w:val="16"/>
          <w:szCs w:val="16"/>
          <w:color w:val="auto"/>
        </w:rPr>
      </w:pPr>
    </w:p>
    <w:p>
      <w:pPr>
        <w:ind w:left="144" w:hanging="144"/>
        <w:spacing w:after="0"/>
        <w:tabs>
          <w:tab w:leader="none" w:pos="144" w:val="left"/>
        </w:tabs>
        <w:numPr>
          <w:ilvl w:val="0"/>
          <w:numId w:val="254"/>
        </w:numPr>
        <w:rPr>
          <w:rFonts w:ascii="Arial" w:cs="Arial" w:eastAsia="Arial" w:hAnsi="Arial"/>
          <w:sz w:val="16"/>
          <w:szCs w:val="16"/>
          <w:color w:val="auto"/>
        </w:rPr>
      </w:pPr>
      <w:r>
        <w:rPr>
          <w:rFonts w:ascii="Arial" w:cs="Arial" w:eastAsia="Arial" w:hAnsi="Arial"/>
          <w:sz w:val="16"/>
          <w:szCs w:val="16"/>
          <w:color w:val="auto"/>
        </w:rPr>
        <w:t>$6 million in 2007</w:t>
      </w:r>
    </w:p>
    <w:p>
      <w:pPr>
        <w:spacing w:after="0" w:line="44" w:lineRule="exact"/>
        <w:rPr>
          <w:rFonts w:ascii="Arial" w:cs="Arial" w:eastAsia="Arial" w:hAnsi="Arial"/>
          <w:sz w:val="16"/>
          <w:szCs w:val="16"/>
          <w:color w:val="auto"/>
        </w:rPr>
      </w:pPr>
    </w:p>
    <w:p>
      <w:pPr>
        <w:ind w:left="144" w:hanging="144"/>
        <w:spacing w:after="0"/>
        <w:tabs>
          <w:tab w:leader="none" w:pos="144" w:val="left"/>
        </w:tabs>
        <w:numPr>
          <w:ilvl w:val="0"/>
          <w:numId w:val="254"/>
        </w:numPr>
        <w:rPr>
          <w:rFonts w:ascii="Arial" w:cs="Arial" w:eastAsia="Arial" w:hAnsi="Arial"/>
          <w:sz w:val="16"/>
          <w:szCs w:val="16"/>
          <w:color w:val="auto"/>
        </w:rPr>
      </w:pPr>
      <w:r>
        <w:rPr>
          <w:rFonts w:ascii="Arial" w:cs="Arial" w:eastAsia="Arial" w:hAnsi="Arial"/>
          <w:sz w:val="16"/>
          <w:szCs w:val="16"/>
          <w:color w:val="auto"/>
        </w:rPr>
        <w:t>$1 million in 2006</w:t>
      </w:r>
    </w:p>
    <w:p>
      <w:pPr>
        <w:spacing w:after="0" w:line="128" w:lineRule="exact"/>
        <w:rPr>
          <w:sz w:val="20"/>
          <w:szCs w:val="20"/>
          <w:color w:val="auto"/>
        </w:rPr>
      </w:pPr>
    </w:p>
    <w:p>
      <w:pPr>
        <w:ind w:left="4"/>
        <w:spacing w:after="0"/>
        <w:rPr>
          <w:sz w:val="20"/>
          <w:szCs w:val="20"/>
          <w:color w:val="auto"/>
        </w:rPr>
      </w:pPr>
      <w:r>
        <w:rPr>
          <w:rFonts w:ascii="Arial" w:cs="Arial" w:eastAsia="Arial" w:hAnsi="Arial"/>
          <w:sz w:val="14"/>
          <w:szCs w:val="14"/>
          <w:color w:val="auto"/>
        </w:rPr>
        <w:t>The gains in 2008 included $109 million related to the RBS Sempra Commodities transaction, which is discussed in Note 3 of the Notes to Consolidated Financial Statements.</w:t>
      </w:r>
    </w:p>
    <w:p>
      <w:pPr>
        <w:spacing w:after="0" w:line="197" w:lineRule="exact"/>
        <w:rPr>
          <w:sz w:val="20"/>
          <w:szCs w:val="20"/>
          <w:color w:val="auto"/>
        </w:rPr>
      </w:pPr>
    </w:p>
    <w:p>
      <w:pPr>
        <w:ind w:left="4"/>
        <w:spacing w:after="0"/>
        <w:rPr>
          <w:sz w:val="20"/>
          <w:szCs w:val="20"/>
          <w:color w:val="auto"/>
        </w:rPr>
      </w:pPr>
      <w:r>
        <w:rPr>
          <w:rFonts w:ascii="Arial" w:cs="Arial" w:eastAsia="Arial" w:hAnsi="Arial"/>
          <w:sz w:val="18"/>
          <w:szCs w:val="18"/>
          <w:b w:val="1"/>
          <w:bCs w:val="1"/>
          <w:i w:val="1"/>
          <w:iCs w:val="1"/>
          <w:color w:val="auto"/>
        </w:rPr>
        <w:t>Equity Earnings (Losses) Before Income Taxes</w:t>
      </w:r>
    </w:p>
    <w:p>
      <w:pPr>
        <w:spacing w:after="0" w:line="21" w:lineRule="exact"/>
        <w:rPr>
          <w:sz w:val="20"/>
          <w:szCs w:val="20"/>
          <w:color w:val="auto"/>
        </w:rPr>
      </w:pPr>
    </w:p>
    <w:p>
      <w:pPr>
        <w:ind w:left="4"/>
        <w:spacing w:after="0"/>
        <w:rPr>
          <w:sz w:val="20"/>
          <w:szCs w:val="20"/>
          <w:color w:val="auto"/>
        </w:rPr>
      </w:pPr>
      <w:r>
        <w:rPr>
          <w:rFonts w:ascii="Arial" w:cs="Arial" w:eastAsia="Arial" w:hAnsi="Arial"/>
          <w:sz w:val="18"/>
          <w:szCs w:val="18"/>
          <w:i w:val="1"/>
          <w:iCs w:val="1"/>
          <w:color w:val="auto"/>
        </w:rPr>
        <w:t>Sempra Energy</w:t>
      </w:r>
    </w:p>
    <w:p>
      <w:pPr>
        <w:spacing w:after="0" w:line="72" w:lineRule="exact"/>
        <w:rPr>
          <w:sz w:val="20"/>
          <w:szCs w:val="20"/>
          <w:color w:val="auto"/>
        </w:rPr>
      </w:pPr>
    </w:p>
    <w:p>
      <w:pPr>
        <w:ind w:left="4"/>
        <w:spacing w:after="0" w:line="277" w:lineRule="auto"/>
        <w:rPr>
          <w:sz w:val="20"/>
          <w:szCs w:val="20"/>
          <w:color w:val="auto"/>
        </w:rPr>
      </w:pPr>
      <w:r>
        <w:rPr>
          <w:rFonts w:ascii="Arial" w:cs="Arial" w:eastAsia="Arial" w:hAnsi="Arial"/>
          <w:sz w:val="16"/>
          <w:szCs w:val="16"/>
          <w:color w:val="auto"/>
        </w:rPr>
        <w:t>In 2008, the earnings from our investment in the newly-formed RBS Sempra Commodities were $383 million. We provide additional information about this investment's earnings in Note 4 of the Notes to Consolidated Financial Statements.</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6"/>
          <w:szCs w:val="16"/>
          <w:color w:val="auto"/>
        </w:rPr>
        <w:t>Equity earnings (losses) before income taxes from our other equity method investments were</w:t>
      </w:r>
    </w:p>
    <w:p>
      <w:pPr>
        <w:spacing w:after="0" w:line="44" w:lineRule="exact"/>
        <w:rPr>
          <w:sz w:val="20"/>
          <w:szCs w:val="20"/>
          <w:color w:val="auto"/>
        </w:rPr>
      </w:pPr>
    </w:p>
    <w:p>
      <w:pPr>
        <w:ind w:left="144" w:hanging="144"/>
        <w:spacing w:after="0"/>
        <w:tabs>
          <w:tab w:leader="none" w:pos="144" w:val="left"/>
        </w:tabs>
        <w:numPr>
          <w:ilvl w:val="0"/>
          <w:numId w:val="255"/>
        </w:numPr>
        <w:rPr>
          <w:rFonts w:ascii="Arial" w:cs="Arial" w:eastAsia="Arial" w:hAnsi="Arial"/>
          <w:sz w:val="16"/>
          <w:szCs w:val="16"/>
          <w:color w:val="auto"/>
        </w:rPr>
      </w:pPr>
      <w:r>
        <w:rPr>
          <w:rFonts w:ascii="Arial" w:cs="Arial" w:eastAsia="Arial" w:hAnsi="Arial"/>
          <w:sz w:val="16"/>
          <w:szCs w:val="16"/>
          <w:color w:val="auto"/>
        </w:rPr>
        <w:t>$37 million in 2008</w:t>
      </w:r>
    </w:p>
    <w:p>
      <w:pPr>
        <w:spacing w:after="0" w:line="44" w:lineRule="exact"/>
        <w:rPr>
          <w:rFonts w:ascii="Arial" w:cs="Arial" w:eastAsia="Arial" w:hAnsi="Arial"/>
          <w:sz w:val="16"/>
          <w:szCs w:val="16"/>
          <w:color w:val="auto"/>
        </w:rPr>
      </w:pPr>
    </w:p>
    <w:p>
      <w:pPr>
        <w:ind w:left="144" w:hanging="144"/>
        <w:spacing w:after="0"/>
        <w:tabs>
          <w:tab w:leader="none" w:pos="144" w:val="left"/>
        </w:tabs>
        <w:numPr>
          <w:ilvl w:val="0"/>
          <w:numId w:val="255"/>
        </w:numPr>
        <w:rPr>
          <w:rFonts w:ascii="Arial" w:cs="Arial" w:eastAsia="Arial" w:hAnsi="Arial"/>
          <w:sz w:val="16"/>
          <w:szCs w:val="16"/>
          <w:color w:val="auto"/>
        </w:rPr>
      </w:pPr>
      <w:r>
        <w:rPr>
          <w:rFonts w:ascii="Arial" w:cs="Arial" w:eastAsia="Arial" w:hAnsi="Arial"/>
          <w:sz w:val="16"/>
          <w:szCs w:val="16"/>
          <w:color w:val="auto"/>
        </w:rPr>
        <w:t>$(9) million in 2007</w:t>
      </w:r>
    </w:p>
    <w:p>
      <w:pPr>
        <w:spacing w:after="0" w:line="44" w:lineRule="exact"/>
        <w:rPr>
          <w:rFonts w:ascii="Arial" w:cs="Arial" w:eastAsia="Arial" w:hAnsi="Arial"/>
          <w:sz w:val="16"/>
          <w:szCs w:val="16"/>
          <w:color w:val="auto"/>
        </w:rPr>
      </w:pPr>
    </w:p>
    <w:p>
      <w:pPr>
        <w:ind w:left="144" w:hanging="144"/>
        <w:spacing w:after="0"/>
        <w:tabs>
          <w:tab w:leader="none" w:pos="144" w:val="left"/>
        </w:tabs>
        <w:numPr>
          <w:ilvl w:val="0"/>
          <w:numId w:val="255"/>
        </w:numPr>
        <w:rPr>
          <w:rFonts w:ascii="Arial" w:cs="Arial" w:eastAsia="Arial" w:hAnsi="Arial"/>
          <w:sz w:val="16"/>
          <w:szCs w:val="16"/>
          <w:color w:val="auto"/>
        </w:rPr>
      </w:pPr>
      <w:r>
        <w:rPr>
          <w:rFonts w:ascii="Arial" w:cs="Arial" w:eastAsia="Arial" w:hAnsi="Arial"/>
          <w:sz w:val="16"/>
          <w:szCs w:val="16"/>
          <w:color w:val="auto"/>
        </w:rPr>
        <w:t>$338 million in 2006</w:t>
      </w:r>
    </w:p>
    <w:p>
      <w:pPr>
        <w:spacing w:after="0" w:line="128" w:lineRule="exact"/>
        <w:rPr>
          <w:sz w:val="20"/>
          <w:szCs w:val="20"/>
          <w:color w:val="auto"/>
        </w:rPr>
      </w:pPr>
    </w:p>
    <w:p>
      <w:pPr>
        <w:ind w:left="4" w:right="20"/>
        <w:spacing w:after="0" w:line="264" w:lineRule="auto"/>
        <w:rPr>
          <w:sz w:val="20"/>
          <w:szCs w:val="20"/>
          <w:color w:val="auto"/>
        </w:rPr>
      </w:pPr>
      <w:r>
        <w:rPr>
          <w:rFonts w:ascii="Arial" w:cs="Arial" w:eastAsia="Arial" w:hAnsi="Arial"/>
          <w:sz w:val="16"/>
          <w:szCs w:val="16"/>
          <w:color w:val="auto"/>
        </w:rPr>
        <w:t>The increase in 2008 was primarily due to the start of operations of Rockies Express-West in the first quarter of 2008. In 2006, these earnings included a $344 million pretax gain on the sale of power plants by Topaz, a joint venture that was owned 50% by Sempra Generation. Further details about our equity method investments and the Topaz sale are provided in Note 4 of the Notes to Consolidated Financial Statements.</w:t>
      </w:r>
    </w:p>
    <w:p>
      <w:pPr>
        <w:spacing w:after="0" w:line="135" w:lineRule="exact"/>
        <w:rPr>
          <w:sz w:val="20"/>
          <w:szCs w:val="20"/>
          <w:color w:val="auto"/>
        </w:rPr>
      </w:pPr>
    </w:p>
    <w:p>
      <w:pPr>
        <w:ind w:left="4"/>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21" w:lineRule="exact"/>
        <w:rPr>
          <w:sz w:val="20"/>
          <w:szCs w:val="20"/>
          <w:color w:val="auto"/>
        </w:rPr>
      </w:pPr>
    </w:p>
    <w:p>
      <w:pPr>
        <w:ind w:left="4"/>
        <w:spacing w:after="0"/>
        <w:rPr>
          <w:sz w:val="20"/>
          <w:szCs w:val="20"/>
          <w:color w:val="auto"/>
        </w:rPr>
      </w:pPr>
      <w:r>
        <w:rPr>
          <w:rFonts w:ascii="Arial" w:cs="Arial" w:eastAsia="Arial" w:hAnsi="Arial"/>
          <w:sz w:val="18"/>
          <w:szCs w:val="18"/>
          <w:i w:val="1"/>
          <w:iCs w:val="1"/>
          <w:color w:val="auto"/>
        </w:rPr>
        <w:t>Sempra Energy</w:t>
      </w:r>
    </w:p>
    <w:p>
      <w:pPr>
        <w:spacing w:after="0" w:line="72" w:lineRule="exact"/>
        <w:rPr>
          <w:sz w:val="20"/>
          <w:szCs w:val="20"/>
          <w:color w:val="auto"/>
        </w:rPr>
      </w:pPr>
    </w:p>
    <w:p>
      <w:pPr>
        <w:ind w:left="4"/>
        <w:spacing w:after="0"/>
        <w:rPr>
          <w:sz w:val="20"/>
          <w:szCs w:val="20"/>
          <w:color w:val="auto"/>
        </w:rPr>
      </w:pPr>
      <w:r>
        <w:rPr>
          <w:rFonts w:ascii="Arial" w:cs="Arial" w:eastAsia="Arial" w:hAnsi="Arial"/>
          <w:sz w:val="16"/>
          <w:szCs w:val="16"/>
          <w:color w:val="auto"/>
        </w:rPr>
        <w:t>Other income (expense), net, was</w:t>
      </w:r>
    </w:p>
    <w:p>
      <w:pPr>
        <w:spacing w:after="0" w:line="44" w:lineRule="exact"/>
        <w:rPr>
          <w:sz w:val="20"/>
          <w:szCs w:val="20"/>
          <w:color w:val="auto"/>
        </w:rPr>
      </w:pPr>
    </w:p>
    <w:p>
      <w:pPr>
        <w:ind w:left="144" w:hanging="144"/>
        <w:spacing w:after="0"/>
        <w:tabs>
          <w:tab w:leader="none" w:pos="144" w:val="left"/>
        </w:tabs>
        <w:numPr>
          <w:ilvl w:val="0"/>
          <w:numId w:val="256"/>
        </w:numPr>
        <w:rPr>
          <w:rFonts w:ascii="Arial" w:cs="Arial" w:eastAsia="Arial" w:hAnsi="Arial"/>
          <w:sz w:val="16"/>
          <w:szCs w:val="16"/>
          <w:color w:val="auto"/>
        </w:rPr>
      </w:pPr>
      <w:r>
        <w:rPr>
          <w:rFonts w:ascii="Arial" w:cs="Arial" w:eastAsia="Arial" w:hAnsi="Arial"/>
          <w:sz w:val="16"/>
          <w:szCs w:val="16"/>
          <w:color w:val="auto"/>
        </w:rPr>
        <w:t>$(54) million in 2008</w:t>
      </w:r>
    </w:p>
    <w:p>
      <w:pPr>
        <w:spacing w:after="0" w:line="44" w:lineRule="exact"/>
        <w:rPr>
          <w:rFonts w:ascii="Arial" w:cs="Arial" w:eastAsia="Arial" w:hAnsi="Arial"/>
          <w:sz w:val="16"/>
          <w:szCs w:val="16"/>
          <w:color w:val="auto"/>
        </w:rPr>
      </w:pPr>
    </w:p>
    <w:p>
      <w:pPr>
        <w:ind w:left="144" w:hanging="144"/>
        <w:spacing w:after="0"/>
        <w:tabs>
          <w:tab w:leader="none" w:pos="144" w:val="left"/>
        </w:tabs>
        <w:numPr>
          <w:ilvl w:val="0"/>
          <w:numId w:val="256"/>
        </w:numPr>
        <w:rPr>
          <w:rFonts w:ascii="Arial" w:cs="Arial" w:eastAsia="Arial" w:hAnsi="Arial"/>
          <w:sz w:val="16"/>
          <w:szCs w:val="16"/>
          <w:color w:val="auto"/>
        </w:rPr>
      </w:pPr>
      <w:r>
        <w:rPr>
          <w:rFonts w:ascii="Arial" w:cs="Arial" w:eastAsia="Arial" w:hAnsi="Arial"/>
          <w:sz w:val="16"/>
          <w:szCs w:val="16"/>
          <w:color w:val="auto"/>
        </w:rPr>
        <w:t>$90 million in 2007</w:t>
      </w:r>
    </w:p>
    <w:p>
      <w:pPr>
        <w:spacing w:after="0" w:line="44" w:lineRule="exact"/>
        <w:rPr>
          <w:rFonts w:ascii="Arial" w:cs="Arial" w:eastAsia="Arial" w:hAnsi="Arial"/>
          <w:sz w:val="16"/>
          <w:szCs w:val="16"/>
          <w:color w:val="auto"/>
        </w:rPr>
      </w:pPr>
    </w:p>
    <w:p>
      <w:pPr>
        <w:ind w:left="144" w:hanging="144"/>
        <w:spacing w:after="0"/>
        <w:tabs>
          <w:tab w:leader="none" w:pos="144" w:val="left"/>
        </w:tabs>
        <w:numPr>
          <w:ilvl w:val="0"/>
          <w:numId w:val="256"/>
        </w:numPr>
        <w:rPr>
          <w:rFonts w:ascii="Arial" w:cs="Arial" w:eastAsia="Arial" w:hAnsi="Arial"/>
          <w:sz w:val="16"/>
          <w:szCs w:val="16"/>
          <w:color w:val="auto"/>
        </w:rPr>
      </w:pPr>
      <w:r>
        <w:rPr>
          <w:rFonts w:ascii="Arial" w:cs="Arial" w:eastAsia="Arial" w:hAnsi="Arial"/>
          <w:sz w:val="16"/>
          <w:szCs w:val="16"/>
          <w:color w:val="auto"/>
        </w:rPr>
        <w:t>$43 million in 2006</w:t>
      </w:r>
    </w:p>
    <w:p>
      <w:pPr>
        <w:spacing w:after="0" w:line="128" w:lineRule="exact"/>
        <w:rPr>
          <w:sz w:val="20"/>
          <w:szCs w:val="20"/>
          <w:color w:val="auto"/>
        </w:rPr>
      </w:pPr>
    </w:p>
    <w:p>
      <w:pPr>
        <w:ind w:left="4" w:right="60"/>
        <w:spacing w:after="0" w:line="274" w:lineRule="auto"/>
        <w:rPr>
          <w:sz w:val="20"/>
          <w:szCs w:val="20"/>
          <w:color w:val="auto"/>
        </w:rPr>
      </w:pPr>
      <w:r>
        <w:rPr>
          <w:rFonts w:ascii="Arial" w:cs="Arial" w:eastAsia="Arial" w:hAnsi="Arial"/>
          <w:sz w:val="16"/>
          <w:szCs w:val="16"/>
          <w:color w:val="auto"/>
        </w:rPr>
        <w:t>We include here the allowance for equity funds used during construction, regulatory interest and other sundry amounts. The increase in other expense, net, in 2008 was primarily due to</w:t>
      </w:r>
    </w:p>
    <w:p>
      <w:pPr>
        <w:ind w:left="144" w:right="1340" w:hanging="144"/>
        <w:spacing w:after="0" w:line="277" w:lineRule="auto"/>
        <w:tabs>
          <w:tab w:leader="none" w:pos="144" w:val="left"/>
        </w:tabs>
        <w:numPr>
          <w:ilvl w:val="0"/>
          <w:numId w:val="257"/>
        </w:numPr>
        <w:rPr>
          <w:rFonts w:ascii="Arial" w:cs="Arial" w:eastAsia="Arial" w:hAnsi="Arial"/>
          <w:sz w:val="16"/>
          <w:szCs w:val="16"/>
          <w:color w:val="auto"/>
        </w:rPr>
      </w:pPr>
      <w:r>
        <w:rPr>
          <w:rFonts w:ascii="Arial" w:cs="Arial" w:eastAsia="Arial" w:hAnsi="Arial"/>
          <w:sz w:val="16"/>
          <w:szCs w:val="16"/>
          <w:color w:val="auto"/>
        </w:rPr>
        <w:t>$80 million increase in losses from investments related to our executive retirement and deferred compensation plans in 2008 ($53 million in losses in 2008 compared to $27 million in gains in 2007);</w:t>
      </w:r>
    </w:p>
    <w:p>
      <w:pPr>
        <w:spacing w:after="0" w:line="200" w:lineRule="exact"/>
        <w:rPr>
          <w:sz w:val="20"/>
          <w:szCs w:val="20"/>
          <w:color w:val="auto"/>
        </w:rPr>
      </w:pPr>
    </w:p>
    <w:p>
      <w:pPr>
        <w:spacing w:after="0" w:line="220" w:lineRule="exact"/>
        <w:rPr>
          <w:sz w:val="20"/>
          <w:szCs w:val="20"/>
          <w:color w:val="auto"/>
        </w:rPr>
      </w:pPr>
    </w:p>
    <w:p>
      <w:pPr>
        <w:ind w:left="4"/>
        <w:spacing w:after="0"/>
        <w:rPr>
          <w:sz w:val="20"/>
          <w:szCs w:val="20"/>
          <w:color w:val="auto"/>
        </w:rPr>
      </w:pPr>
      <w:r>
        <w:rPr>
          <w:rFonts w:ascii="Arial" w:cs="Arial" w:eastAsia="Arial" w:hAnsi="Arial"/>
          <w:sz w:val="14"/>
          <w:szCs w:val="14"/>
          <w:color w:val="auto"/>
        </w:rPr>
        <w:t>22</w:t>
      </w:r>
    </w:p>
    <w:p>
      <w:pPr>
        <w:sectPr>
          <w:pgSz w:w="11900" w:h="16838" w:orient="portrait"/>
          <w:cols w:equalWidth="0" w:num="1">
            <w:col w:w="11404"/>
          </w:cols>
          <w:pgMar w:left="236" w:top="124" w:right="259" w:bottom="1440" w:gutter="0" w:footer="0" w:header="0"/>
        </w:sectPr>
      </w:pPr>
    </w:p>
    <w:bookmarkStart w:id="162" w:name="page163"/>
    <w:bookmarkEnd w:id="162"/>
    <w:p>
      <w:pPr>
        <w:ind w:left="144" w:right="1600" w:hanging="144"/>
        <w:spacing w:after="0" w:line="271" w:lineRule="auto"/>
        <w:tabs>
          <w:tab w:leader="none" w:pos="144" w:val="left"/>
        </w:tabs>
        <w:numPr>
          <w:ilvl w:val="0"/>
          <w:numId w:val="258"/>
        </w:numPr>
        <w:rPr>
          <w:rFonts w:ascii="Arial" w:cs="Arial" w:eastAsia="Arial" w:hAnsi="Arial"/>
          <w:sz w:val="16"/>
          <w:szCs w:val="16"/>
          <w:color w:val="auto"/>
        </w:rPr>
      </w:pPr>
      <w:r>
        <w:rPr>
          <w:rFonts w:ascii="Arial" w:cs="Arial" w:eastAsia="Arial" w:hAnsi="Arial"/>
          <w:sz w:val="16"/>
          <w:szCs w:val="16"/>
          <w:color w:val="auto"/>
        </w:rPr>
        <w:t>$57 million in Mexican peso exchange losses in 2008 (largely offset by foreign tax benefits arising from fluctuations in the U.S. dollar/Mexican peso exchange rate and inflation); and</w:t>
      </w:r>
    </w:p>
    <w:p>
      <w:pPr>
        <w:ind w:left="144" w:hanging="144"/>
        <w:spacing w:after="0"/>
        <w:tabs>
          <w:tab w:leader="none" w:pos="144" w:val="left"/>
        </w:tabs>
        <w:numPr>
          <w:ilvl w:val="0"/>
          <w:numId w:val="258"/>
        </w:numPr>
        <w:rPr>
          <w:rFonts w:ascii="Arial" w:cs="Arial" w:eastAsia="Arial" w:hAnsi="Arial"/>
          <w:sz w:val="16"/>
          <w:szCs w:val="16"/>
          <w:color w:val="auto"/>
        </w:rPr>
      </w:pPr>
      <w:r>
        <w:rPr>
          <w:rFonts w:ascii="Arial" w:cs="Arial" w:eastAsia="Arial" w:hAnsi="Arial"/>
          <w:sz w:val="16"/>
          <w:szCs w:val="16"/>
          <w:color w:val="auto"/>
        </w:rPr>
        <w:t xml:space="preserve">$24 million gain from interest-rate swaps in 2007, </w:t>
      </w:r>
      <w:r>
        <w:rPr>
          <w:rFonts w:ascii="Arial" w:cs="Arial" w:eastAsia="Arial" w:hAnsi="Arial"/>
          <w:sz w:val="16"/>
          <w:szCs w:val="16"/>
          <w:b w:val="1"/>
          <w:bCs w:val="1"/>
          <w:color w:val="auto"/>
        </w:rPr>
        <w:t>offset by</w:t>
      </w:r>
    </w:p>
    <w:p>
      <w:pPr>
        <w:spacing w:after="0" w:line="48" w:lineRule="exact"/>
        <w:rPr>
          <w:rFonts w:ascii="Arial" w:cs="Arial" w:eastAsia="Arial" w:hAnsi="Arial"/>
          <w:sz w:val="16"/>
          <w:szCs w:val="16"/>
          <w:color w:val="auto"/>
        </w:rPr>
      </w:pPr>
    </w:p>
    <w:p>
      <w:pPr>
        <w:ind w:left="144" w:hanging="144"/>
        <w:spacing w:after="0"/>
        <w:tabs>
          <w:tab w:leader="none" w:pos="144" w:val="left"/>
        </w:tabs>
        <w:numPr>
          <w:ilvl w:val="0"/>
          <w:numId w:val="258"/>
        </w:numPr>
        <w:rPr>
          <w:rFonts w:ascii="Arial" w:cs="Arial" w:eastAsia="Arial" w:hAnsi="Arial"/>
          <w:sz w:val="16"/>
          <w:szCs w:val="16"/>
          <w:color w:val="auto"/>
        </w:rPr>
      </w:pPr>
      <w:r>
        <w:rPr>
          <w:rFonts w:ascii="Arial" w:cs="Arial" w:eastAsia="Arial" w:hAnsi="Arial"/>
          <w:sz w:val="16"/>
          <w:szCs w:val="16"/>
          <w:color w:val="auto"/>
        </w:rPr>
        <w:t>$16 million cash payment received for the early termination of a capacity agreement for the Cameron LNG receipt terminal in 2008.</w:t>
      </w:r>
    </w:p>
    <w:p>
      <w:pPr>
        <w:spacing w:after="0" w:line="128" w:lineRule="exact"/>
        <w:rPr>
          <w:sz w:val="20"/>
          <w:szCs w:val="20"/>
          <w:color w:val="auto"/>
        </w:rPr>
      </w:pPr>
    </w:p>
    <w:p>
      <w:pPr>
        <w:ind w:left="4" w:right="100"/>
        <w:spacing w:after="0" w:line="277" w:lineRule="auto"/>
        <w:rPr>
          <w:sz w:val="20"/>
          <w:szCs w:val="20"/>
          <w:color w:val="auto"/>
        </w:rPr>
      </w:pPr>
      <w:r>
        <w:rPr>
          <w:rFonts w:ascii="Arial" w:cs="Arial" w:eastAsia="Arial" w:hAnsi="Arial"/>
          <w:sz w:val="16"/>
          <w:szCs w:val="16"/>
          <w:color w:val="auto"/>
        </w:rPr>
        <w:t>In 2007, other income, net, included a $24 million net gain from interest-rate swaps. We provide further discussion of the interest-rate swaps related to Sempra LNG's Energía Costa Azul project in Note 11 of the Notes to Consolidated Financial Statements.</w:t>
      </w:r>
    </w:p>
    <w:p>
      <w:pPr>
        <w:spacing w:after="0" w:line="30" w:lineRule="exact"/>
        <w:rPr>
          <w:sz w:val="20"/>
          <w:szCs w:val="20"/>
          <w:color w:val="auto"/>
        </w:rPr>
      </w:pPr>
    </w:p>
    <w:p>
      <w:pPr>
        <w:ind w:left="4"/>
        <w:spacing w:after="0"/>
        <w:rPr>
          <w:sz w:val="20"/>
          <w:szCs w:val="20"/>
          <w:color w:val="auto"/>
        </w:rPr>
      </w:pPr>
      <w:r>
        <w:rPr>
          <w:rFonts w:ascii="Arial" w:cs="Arial" w:eastAsia="Arial" w:hAnsi="Arial"/>
          <w:sz w:val="18"/>
          <w:szCs w:val="18"/>
          <w:i w:val="1"/>
          <w:iCs w:val="1"/>
          <w:color w:val="auto"/>
        </w:rPr>
        <w:t>SDG&amp;E</w:t>
      </w:r>
    </w:p>
    <w:p>
      <w:pPr>
        <w:spacing w:after="0" w:line="72" w:lineRule="exact"/>
        <w:rPr>
          <w:sz w:val="20"/>
          <w:szCs w:val="20"/>
          <w:color w:val="auto"/>
        </w:rPr>
      </w:pPr>
    </w:p>
    <w:p>
      <w:pPr>
        <w:ind w:left="4"/>
        <w:spacing w:after="0"/>
        <w:rPr>
          <w:sz w:val="20"/>
          <w:szCs w:val="20"/>
          <w:color w:val="auto"/>
        </w:rPr>
      </w:pPr>
      <w:r>
        <w:rPr>
          <w:rFonts w:ascii="Arial" w:cs="Arial" w:eastAsia="Arial" w:hAnsi="Arial"/>
          <w:sz w:val="16"/>
          <w:szCs w:val="16"/>
          <w:color w:val="auto"/>
        </w:rPr>
        <w:t>Other income, net, was</w:t>
      </w:r>
    </w:p>
    <w:p>
      <w:pPr>
        <w:spacing w:after="0" w:line="44" w:lineRule="exact"/>
        <w:rPr>
          <w:sz w:val="20"/>
          <w:szCs w:val="20"/>
          <w:color w:val="auto"/>
        </w:rPr>
      </w:pPr>
    </w:p>
    <w:p>
      <w:pPr>
        <w:ind w:left="144" w:hanging="144"/>
        <w:spacing w:after="0"/>
        <w:tabs>
          <w:tab w:leader="none" w:pos="144" w:val="left"/>
        </w:tabs>
        <w:numPr>
          <w:ilvl w:val="0"/>
          <w:numId w:val="259"/>
        </w:numPr>
        <w:rPr>
          <w:rFonts w:ascii="Arial" w:cs="Arial" w:eastAsia="Arial" w:hAnsi="Arial"/>
          <w:sz w:val="16"/>
          <w:szCs w:val="16"/>
          <w:color w:val="auto"/>
        </w:rPr>
      </w:pPr>
      <w:r>
        <w:rPr>
          <w:rFonts w:ascii="Arial" w:cs="Arial" w:eastAsia="Arial" w:hAnsi="Arial"/>
          <w:sz w:val="16"/>
          <w:szCs w:val="16"/>
          <w:color w:val="auto"/>
        </w:rPr>
        <w:t>$25 million in 2008</w:t>
      </w:r>
    </w:p>
    <w:p>
      <w:pPr>
        <w:spacing w:after="0" w:line="44" w:lineRule="exact"/>
        <w:rPr>
          <w:rFonts w:ascii="Arial" w:cs="Arial" w:eastAsia="Arial" w:hAnsi="Arial"/>
          <w:sz w:val="16"/>
          <w:szCs w:val="16"/>
          <w:color w:val="auto"/>
        </w:rPr>
      </w:pPr>
    </w:p>
    <w:p>
      <w:pPr>
        <w:ind w:left="144" w:hanging="144"/>
        <w:spacing w:after="0"/>
        <w:tabs>
          <w:tab w:leader="none" w:pos="144" w:val="left"/>
        </w:tabs>
        <w:numPr>
          <w:ilvl w:val="0"/>
          <w:numId w:val="259"/>
        </w:numPr>
        <w:rPr>
          <w:rFonts w:ascii="Arial" w:cs="Arial" w:eastAsia="Arial" w:hAnsi="Arial"/>
          <w:sz w:val="16"/>
          <w:szCs w:val="16"/>
          <w:color w:val="auto"/>
        </w:rPr>
      </w:pPr>
      <w:r>
        <w:rPr>
          <w:rFonts w:ascii="Arial" w:cs="Arial" w:eastAsia="Arial" w:hAnsi="Arial"/>
          <w:sz w:val="16"/>
          <w:szCs w:val="16"/>
          <w:color w:val="auto"/>
        </w:rPr>
        <w:t>$11 million in 2007</w:t>
      </w:r>
    </w:p>
    <w:p>
      <w:pPr>
        <w:spacing w:after="0" w:line="44" w:lineRule="exact"/>
        <w:rPr>
          <w:rFonts w:ascii="Arial" w:cs="Arial" w:eastAsia="Arial" w:hAnsi="Arial"/>
          <w:sz w:val="16"/>
          <w:szCs w:val="16"/>
          <w:color w:val="auto"/>
        </w:rPr>
      </w:pPr>
    </w:p>
    <w:p>
      <w:pPr>
        <w:ind w:left="144" w:hanging="144"/>
        <w:spacing w:after="0"/>
        <w:tabs>
          <w:tab w:leader="none" w:pos="144" w:val="left"/>
        </w:tabs>
        <w:numPr>
          <w:ilvl w:val="0"/>
          <w:numId w:val="259"/>
        </w:numPr>
        <w:rPr>
          <w:rFonts w:ascii="Arial" w:cs="Arial" w:eastAsia="Arial" w:hAnsi="Arial"/>
          <w:sz w:val="16"/>
          <w:szCs w:val="16"/>
          <w:color w:val="auto"/>
        </w:rPr>
      </w:pPr>
      <w:r>
        <w:rPr>
          <w:rFonts w:ascii="Arial" w:cs="Arial" w:eastAsia="Arial" w:hAnsi="Arial"/>
          <w:sz w:val="16"/>
          <w:szCs w:val="16"/>
          <w:color w:val="auto"/>
        </w:rPr>
        <w:t>$8 million in 2006</w:t>
      </w:r>
    </w:p>
    <w:p>
      <w:pPr>
        <w:spacing w:after="0" w:line="128" w:lineRule="exact"/>
        <w:rPr>
          <w:sz w:val="20"/>
          <w:szCs w:val="20"/>
          <w:color w:val="auto"/>
        </w:rPr>
      </w:pPr>
    </w:p>
    <w:p>
      <w:pPr>
        <w:ind w:left="4"/>
        <w:spacing w:after="0" w:line="277" w:lineRule="auto"/>
        <w:rPr>
          <w:sz w:val="20"/>
          <w:szCs w:val="20"/>
          <w:color w:val="auto"/>
        </w:rPr>
      </w:pPr>
      <w:r>
        <w:rPr>
          <w:rFonts w:ascii="Arial" w:cs="Arial" w:eastAsia="Arial" w:hAnsi="Arial"/>
          <w:sz w:val="16"/>
          <w:szCs w:val="16"/>
          <w:color w:val="auto"/>
        </w:rPr>
        <w:t>The increase in 2008 was primarily due to a $10 million increase in allowance for equity funds used during construction. Further details of the components of other income, net, appear in Note 1 of the Notes to Consolidated Financial Statements.</w:t>
      </w:r>
    </w:p>
    <w:p>
      <w:pPr>
        <w:spacing w:after="0" w:line="126" w:lineRule="exact"/>
        <w:rPr>
          <w:sz w:val="20"/>
          <w:szCs w:val="20"/>
          <w:color w:val="auto"/>
        </w:rPr>
      </w:pPr>
    </w:p>
    <w:p>
      <w:pPr>
        <w:ind w:left="4"/>
        <w:spacing w:after="0"/>
        <w:rPr>
          <w:sz w:val="20"/>
          <w:szCs w:val="20"/>
          <w:color w:val="auto"/>
        </w:rPr>
      </w:pPr>
      <w:r>
        <w:rPr>
          <w:rFonts w:ascii="Arial" w:cs="Arial" w:eastAsia="Arial" w:hAnsi="Arial"/>
          <w:sz w:val="18"/>
          <w:szCs w:val="18"/>
          <w:b w:val="1"/>
          <w:bCs w:val="1"/>
          <w:i w:val="1"/>
          <w:iCs w:val="1"/>
          <w:color w:val="auto"/>
        </w:rPr>
        <w:t>Interest Income</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6"/>
          <w:szCs w:val="16"/>
          <w:color w:val="auto"/>
        </w:rPr>
        <w:t>The table below shows the interest income for Sempra Energy, SDG&amp;E, PE and SoCalGas.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1647825</wp:posOffset>
            </wp:positionH>
            <wp:positionV relativeFrom="paragraph">
              <wp:posOffset>196215</wp:posOffset>
            </wp:positionV>
            <wp:extent cx="3973830" cy="28194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3973830" cy="281940"/>
                    </a:xfrm>
                    <a:prstGeom prst="rect">
                      <a:avLst/>
                    </a:prstGeom>
                    <a:noFill/>
                  </pic:spPr>
                </pic:pic>
              </a:graphicData>
            </a:graphic>
          </wp:anchor>
        </w:drawing>
      </w:r>
    </w:p>
    <w:p>
      <w:pPr>
        <w:spacing w:after="0" w:line="321" w:lineRule="exact"/>
        <w:rPr>
          <w:sz w:val="20"/>
          <w:szCs w:val="20"/>
          <w:color w:val="auto"/>
        </w:rPr>
      </w:pPr>
    </w:p>
    <w:p>
      <w:pPr>
        <w:ind w:left="2604"/>
        <w:spacing w:after="0"/>
        <w:rPr>
          <w:sz w:val="20"/>
          <w:szCs w:val="20"/>
          <w:color w:val="auto"/>
        </w:rPr>
      </w:pPr>
      <w:r>
        <w:rPr>
          <w:rFonts w:ascii="Arial" w:cs="Arial" w:eastAsia="Arial" w:hAnsi="Arial"/>
          <w:sz w:val="14"/>
          <w:szCs w:val="14"/>
          <w:b w:val="1"/>
          <w:bCs w:val="1"/>
          <w:color w:val="auto"/>
        </w:rPr>
        <w:t>INTEREST INCOME 2006-2008</w:t>
      </w:r>
    </w:p>
    <w:p>
      <w:pPr>
        <w:spacing w:after="0" w:line="76" w:lineRule="exact"/>
        <w:rPr>
          <w:sz w:val="20"/>
          <w:szCs w:val="20"/>
          <w:color w:val="auto"/>
        </w:rPr>
      </w:pPr>
    </w:p>
    <w:tbl>
      <w:tblPr>
        <w:tblLayout w:type="fixed"/>
        <w:tblInd w:w="2604" w:type="dxa"/>
        <w:tblCellMar>
          <w:top w:w="0" w:type="dxa"/>
          <w:left w:w="0" w:type="dxa"/>
          <w:bottom w:w="0" w:type="dxa"/>
          <w:right w:w="0" w:type="dxa"/>
        </w:tblCellMar>
      </w:tblPr>
      <w:tr>
        <w:trPr>
          <w:trHeight w:val="166"/>
        </w:trPr>
        <w:tc>
          <w:tcPr>
            <w:tcW w:w="2700" w:type="dxa"/>
            <w:vAlign w:val="bottom"/>
          </w:tcPr>
          <w:p>
            <w:pPr>
              <w:spacing w:after="0"/>
              <w:rPr>
                <w:sz w:val="20"/>
                <w:szCs w:val="20"/>
                <w:color w:val="auto"/>
              </w:rPr>
            </w:pPr>
            <w:r>
              <w:rPr>
                <w:rFonts w:ascii="Arial" w:cs="Arial" w:eastAsia="Arial" w:hAnsi="Arial"/>
                <w:sz w:val="13"/>
                <w:szCs w:val="13"/>
                <w:i w:val="1"/>
                <w:iCs w:val="1"/>
                <w:color w:val="auto"/>
              </w:rPr>
              <w:t>(Dollars in millions)</w:t>
            </w:r>
          </w:p>
        </w:tc>
        <w:tc>
          <w:tcPr>
            <w:tcW w:w="8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209"/>
        </w:trPr>
        <w:tc>
          <w:tcPr>
            <w:tcW w:w="2700" w:type="dxa"/>
            <w:vAlign w:val="bottom"/>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color w:val="auto"/>
              </w:rPr>
              <w:t>Years ended December 31,</w:t>
            </w: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r>
      <w:tr>
        <w:trPr>
          <w:trHeight w:val="208"/>
        </w:trPr>
        <w:tc>
          <w:tcPr>
            <w:tcW w:w="27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2"/>
              <w:spacing w:after="0"/>
              <w:rPr>
                <w:sz w:val="20"/>
                <w:szCs w:val="20"/>
                <w:color w:val="auto"/>
              </w:rPr>
            </w:pPr>
            <w:r>
              <w:rPr>
                <w:rFonts w:ascii="Arial" w:cs="Arial" w:eastAsia="Arial" w:hAnsi="Arial"/>
                <w:sz w:val="13"/>
                <w:szCs w:val="13"/>
                <w:color w:val="auto"/>
              </w:rPr>
              <w:t>2008</w:t>
            </w:r>
          </w:p>
        </w:tc>
        <w:tc>
          <w:tcPr>
            <w:tcW w:w="4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590"/>
              <w:spacing w:after="0"/>
              <w:rPr>
                <w:sz w:val="20"/>
                <w:szCs w:val="20"/>
                <w:color w:val="auto"/>
              </w:rPr>
            </w:pPr>
            <w:r>
              <w:rPr>
                <w:rFonts w:ascii="Arial" w:cs="Arial" w:eastAsia="Arial" w:hAnsi="Arial"/>
                <w:sz w:val="13"/>
                <w:szCs w:val="13"/>
                <w:color w:val="auto"/>
              </w:rPr>
              <w:t>2007</w:t>
            </w: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430"/>
              <w:spacing w:after="0"/>
              <w:rPr>
                <w:sz w:val="20"/>
                <w:szCs w:val="20"/>
                <w:color w:val="auto"/>
              </w:rPr>
            </w:pPr>
            <w:r>
              <w:rPr>
                <w:rFonts w:ascii="Arial" w:cs="Arial" w:eastAsia="Arial" w:hAnsi="Arial"/>
                <w:sz w:val="13"/>
                <w:szCs w:val="13"/>
                <w:color w:val="auto"/>
              </w:rPr>
              <w:t>2006</w:t>
            </w:r>
          </w:p>
        </w:tc>
      </w:tr>
      <w:tr>
        <w:trPr>
          <w:trHeight w:val="207"/>
        </w:trPr>
        <w:tc>
          <w:tcPr>
            <w:tcW w:w="2700" w:type="dxa"/>
            <w:vAlign w:val="bottom"/>
          </w:tcPr>
          <w:p>
            <w:pPr>
              <w:spacing w:after="0"/>
              <w:rPr>
                <w:sz w:val="20"/>
                <w:szCs w:val="20"/>
                <w:color w:val="auto"/>
              </w:rPr>
            </w:pPr>
            <w:r>
              <w:rPr>
                <w:rFonts w:ascii="Arial" w:cs="Arial" w:eastAsia="Arial" w:hAnsi="Arial"/>
                <w:sz w:val="14"/>
                <w:szCs w:val="14"/>
                <w:color w:val="auto"/>
              </w:rPr>
              <w:t>Sempra Energy Consolidated</w:t>
            </w:r>
          </w:p>
        </w:tc>
        <w:tc>
          <w:tcPr>
            <w:tcW w:w="880" w:type="dxa"/>
            <w:vAlign w:val="bottom"/>
          </w:tcPr>
          <w:p>
            <w:pPr>
              <w:jc w:val="right"/>
              <w:ind w:right="372"/>
              <w:spacing w:after="0"/>
              <w:rPr>
                <w:sz w:val="20"/>
                <w:szCs w:val="20"/>
                <w:color w:val="auto"/>
              </w:rPr>
            </w:pPr>
            <w:r>
              <w:rPr>
                <w:rFonts w:ascii="Arial" w:cs="Arial" w:eastAsia="Arial" w:hAnsi="Arial"/>
                <w:sz w:val="14"/>
                <w:szCs w:val="14"/>
                <w:color w:val="auto"/>
              </w:rPr>
              <w:t>$</w:t>
            </w:r>
          </w:p>
        </w:tc>
        <w:tc>
          <w:tcPr>
            <w:tcW w:w="420" w:type="dxa"/>
            <w:vAlign w:val="bottom"/>
          </w:tcPr>
          <w:p>
            <w:pPr>
              <w:jc w:val="right"/>
              <w:ind w:right="110"/>
              <w:spacing w:after="0"/>
              <w:rPr>
                <w:sz w:val="20"/>
                <w:szCs w:val="20"/>
                <w:color w:val="auto"/>
              </w:rPr>
            </w:pPr>
            <w:r>
              <w:rPr>
                <w:rFonts w:ascii="Arial" w:cs="Arial" w:eastAsia="Arial" w:hAnsi="Arial"/>
                <w:sz w:val="14"/>
                <w:szCs w:val="14"/>
                <w:color w:val="auto"/>
              </w:rPr>
              <w:t>45</w:t>
            </w:r>
          </w:p>
        </w:tc>
        <w:tc>
          <w:tcPr>
            <w:tcW w:w="30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270"/>
              <w:spacing w:after="0"/>
              <w:rPr>
                <w:sz w:val="20"/>
                <w:szCs w:val="20"/>
                <w:color w:val="auto"/>
              </w:rPr>
            </w:pPr>
            <w:r>
              <w:rPr>
                <w:rFonts w:ascii="Arial" w:cs="Arial" w:eastAsia="Arial" w:hAnsi="Arial"/>
                <w:sz w:val="14"/>
                <w:szCs w:val="14"/>
                <w:color w:val="auto"/>
              </w:rPr>
              <w:t>72</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90"/>
              <w:spacing w:after="0"/>
              <w:rPr>
                <w:sz w:val="20"/>
                <w:szCs w:val="20"/>
                <w:color w:val="auto"/>
              </w:rPr>
            </w:pPr>
            <w:r>
              <w:rPr>
                <w:rFonts w:ascii="Arial" w:cs="Arial" w:eastAsia="Arial" w:hAnsi="Arial"/>
                <w:sz w:val="14"/>
                <w:szCs w:val="14"/>
                <w:color w:val="auto"/>
              </w:rPr>
              <w:t>109</w:t>
            </w:r>
          </w:p>
        </w:tc>
      </w:tr>
      <w:tr>
        <w:trPr>
          <w:trHeight w:val="216"/>
        </w:trPr>
        <w:tc>
          <w:tcPr>
            <w:tcW w:w="2700" w:type="dxa"/>
            <w:vAlign w:val="bottom"/>
          </w:tcPr>
          <w:p>
            <w:pPr>
              <w:spacing w:after="0"/>
              <w:rPr>
                <w:sz w:val="20"/>
                <w:szCs w:val="20"/>
                <w:color w:val="auto"/>
              </w:rPr>
            </w:pPr>
            <w:r>
              <w:rPr>
                <w:rFonts w:ascii="Arial" w:cs="Arial" w:eastAsia="Arial" w:hAnsi="Arial"/>
                <w:sz w:val="14"/>
                <w:szCs w:val="14"/>
                <w:color w:val="auto"/>
              </w:rPr>
              <w:t>SDG&amp;E</w:t>
            </w:r>
          </w:p>
        </w:tc>
        <w:tc>
          <w:tcPr>
            <w:tcW w:w="880" w:type="dxa"/>
            <w:vAlign w:val="bottom"/>
          </w:tcPr>
          <w:p>
            <w:pPr>
              <w:spacing w:after="0"/>
              <w:rPr>
                <w:sz w:val="18"/>
                <w:szCs w:val="18"/>
                <w:color w:val="auto"/>
              </w:rPr>
            </w:pPr>
          </w:p>
        </w:tc>
        <w:tc>
          <w:tcPr>
            <w:tcW w:w="420" w:type="dxa"/>
            <w:vAlign w:val="bottom"/>
          </w:tcPr>
          <w:p>
            <w:pPr>
              <w:jc w:val="right"/>
              <w:ind w:right="110"/>
              <w:spacing w:after="0"/>
              <w:rPr>
                <w:sz w:val="20"/>
                <w:szCs w:val="20"/>
                <w:color w:val="auto"/>
              </w:rPr>
            </w:pPr>
            <w:r>
              <w:rPr>
                <w:rFonts w:ascii="Arial" w:cs="Arial" w:eastAsia="Arial" w:hAnsi="Arial"/>
                <w:sz w:val="14"/>
                <w:szCs w:val="14"/>
                <w:color w:val="auto"/>
              </w:rPr>
              <w:t>6</w:t>
            </w:r>
          </w:p>
        </w:tc>
        <w:tc>
          <w:tcPr>
            <w:tcW w:w="300" w:type="dxa"/>
            <w:vAlign w:val="bottom"/>
          </w:tcPr>
          <w:p>
            <w:pPr>
              <w:spacing w:after="0"/>
              <w:rPr>
                <w:sz w:val="18"/>
                <w:szCs w:val="18"/>
                <w:color w:val="auto"/>
              </w:rPr>
            </w:pPr>
          </w:p>
        </w:tc>
        <w:tc>
          <w:tcPr>
            <w:tcW w:w="980" w:type="dxa"/>
            <w:vAlign w:val="bottom"/>
          </w:tcPr>
          <w:p>
            <w:pPr>
              <w:jc w:val="right"/>
              <w:ind w:right="270"/>
              <w:spacing w:after="0"/>
              <w:rPr>
                <w:sz w:val="20"/>
                <w:szCs w:val="20"/>
                <w:color w:val="auto"/>
              </w:rPr>
            </w:pPr>
            <w:r>
              <w:rPr>
                <w:rFonts w:ascii="Arial" w:cs="Arial" w:eastAsia="Arial" w:hAnsi="Arial"/>
                <w:sz w:val="14"/>
                <w:szCs w:val="14"/>
                <w:color w:val="auto"/>
              </w:rPr>
              <w:t>8</w:t>
            </w:r>
          </w:p>
        </w:tc>
        <w:tc>
          <w:tcPr>
            <w:tcW w:w="140" w:type="dxa"/>
            <w:vAlign w:val="bottom"/>
          </w:tcPr>
          <w:p>
            <w:pPr>
              <w:spacing w:after="0"/>
              <w:rPr>
                <w:sz w:val="18"/>
                <w:szCs w:val="18"/>
                <w:color w:val="auto"/>
              </w:rPr>
            </w:pPr>
          </w:p>
        </w:tc>
        <w:tc>
          <w:tcPr>
            <w:tcW w:w="820" w:type="dxa"/>
            <w:vAlign w:val="bottom"/>
          </w:tcPr>
          <w:p>
            <w:pPr>
              <w:jc w:val="right"/>
              <w:ind w:right="90"/>
              <w:spacing w:after="0"/>
              <w:rPr>
                <w:sz w:val="20"/>
                <w:szCs w:val="20"/>
                <w:color w:val="auto"/>
              </w:rPr>
            </w:pPr>
            <w:r>
              <w:rPr>
                <w:rFonts w:ascii="Arial" w:cs="Arial" w:eastAsia="Arial" w:hAnsi="Arial"/>
                <w:sz w:val="14"/>
                <w:szCs w:val="14"/>
                <w:color w:val="auto"/>
              </w:rPr>
              <w:t>6</w:t>
            </w:r>
          </w:p>
        </w:tc>
      </w:tr>
      <w:tr>
        <w:trPr>
          <w:trHeight w:val="216"/>
        </w:trPr>
        <w:tc>
          <w:tcPr>
            <w:tcW w:w="2700" w:type="dxa"/>
            <w:vAlign w:val="bottom"/>
          </w:tcPr>
          <w:p>
            <w:pPr>
              <w:spacing w:after="0"/>
              <w:rPr>
                <w:sz w:val="20"/>
                <w:szCs w:val="20"/>
                <w:color w:val="auto"/>
              </w:rPr>
            </w:pPr>
            <w:r>
              <w:rPr>
                <w:rFonts w:ascii="Arial" w:cs="Arial" w:eastAsia="Arial" w:hAnsi="Arial"/>
                <w:sz w:val="14"/>
                <w:szCs w:val="14"/>
                <w:color w:val="auto"/>
              </w:rPr>
              <w:t>PE</w:t>
            </w:r>
          </w:p>
        </w:tc>
        <w:tc>
          <w:tcPr>
            <w:tcW w:w="880" w:type="dxa"/>
            <w:vAlign w:val="bottom"/>
          </w:tcPr>
          <w:p>
            <w:pPr>
              <w:spacing w:after="0"/>
              <w:rPr>
                <w:sz w:val="18"/>
                <w:szCs w:val="18"/>
                <w:color w:val="auto"/>
              </w:rPr>
            </w:pPr>
          </w:p>
        </w:tc>
        <w:tc>
          <w:tcPr>
            <w:tcW w:w="420" w:type="dxa"/>
            <w:vAlign w:val="bottom"/>
          </w:tcPr>
          <w:p>
            <w:pPr>
              <w:jc w:val="right"/>
              <w:ind w:right="110"/>
              <w:spacing w:after="0"/>
              <w:rPr>
                <w:sz w:val="20"/>
                <w:szCs w:val="20"/>
                <w:color w:val="auto"/>
              </w:rPr>
            </w:pPr>
            <w:r>
              <w:rPr>
                <w:rFonts w:ascii="Arial" w:cs="Arial" w:eastAsia="Arial" w:hAnsi="Arial"/>
                <w:sz w:val="14"/>
                <w:szCs w:val="14"/>
                <w:color w:val="auto"/>
              </w:rPr>
              <w:t>22</w:t>
            </w:r>
          </w:p>
        </w:tc>
        <w:tc>
          <w:tcPr>
            <w:tcW w:w="300" w:type="dxa"/>
            <w:vAlign w:val="bottom"/>
          </w:tcPr>
          <w:p>
            <w:pPr>
              <w:spacing w:after="0"/>
              <w:rPr>
                <w:sz w:val="18"/>
                <w:szCs w:val="18"/>
                <w:color w:val="auto"/>
              </w:rPr>
            </w:pPr>
          </w:p>
        </w:tc>
        <w:tc>
          <w:tcPr>
            <w:tcW w:w="980" w:type="dxa"/>
            <w:vAlign w:val="bottom"/>
          </w:tcPr>
          <w:p>
            <w:pPr>
              <w:jc w:val="right"/>
              <w:ind w:right="270"/>
              <w:spacing w:after="0"/>
              <w:rPr>
                <w:sz w:val="20"/>
                <w:szCs w:val="20"/>
                <w:color w:val="auto"/>
              </w:rPr>
            </w:pPr>
            <w:r>
              <w:rPr>
                <w:rFonts w:ascii="Arial" w:cs="Arial" w:eastAsia="Arial" w:hAnsi="Arial"/>
                <w:sz w:val="14"/>
                <w:szCs w:val="14"/>
                <w:color w:val="auto"/>
              </w:rPr>
              <w:t>51</w:t>
            </w:r>
          </w:p>
        </w:tc>
        <w:tc>
          <w:tcPr>
            <w:tcW w:w="140" w:type="dxa"/>
            <w:vAlign w:val="bottom"/>
          </w:tcPr>
          <w:p>
            <w:pPr>
              <w:spacing w:after="0"/>
              <w:rPr>
                <w:sz w:val="18"/>
                <w:szCs w:val="18"/>
                <w:color w:val="auto"/>
              </w:rPr>
            </w:pPr>
          </w:p>
        </w:tc>
        <w:tc>
          <w:tcPr>
            <w:tcW w:w="820" w:type="dxa"/>
            <w:vAlign w:val="bottom"/>
          </w:tcPr>
          <w:p>
            <w:pPr>
              <w:jc w:val="right"/>
              <w:ind w:right="90"/>
              <w:spacing w:after="0"/>
              <w:rPr>
                <w:sz w:val="20"/>
                <w:szCs w:val="20"/>
                <w:color w:val="auto"/>
              </w:rPr>
            </w:pPr>
            <w:r>
              <w:rPr>
                <w:rFonts w:ascii="Arial" w:cs="Arial" w:eastAsia="Arial" w:hAnsi="Arial"/>
                <w:sz w:val="14"/>
                <w:szCs w:val="14"/>
                <w:color w:val="auto"/>
              </w:rPr>
              <w:t>64</w:t>
            </w:r>
          </w:p>
        </w:tc>
      </w:tr>
      <w:tr>
        <w:trPr>
          <w:trHeight w:val="250"/>
        </w:trPr>
        <w:tc>
          <w:tcPr>
            <w:tcW w:w="2700" w:type="dxa"/>
            <w:vAlign w:val="bottom"/>
            <w:tcBorders>
              <w:bottom w:val="single" w:sz="8" w:color="DFDFDF"/>
            </w:tcBorders>
          </w:tcPr>
          <w:p>
            <w:pPr>
              <w:spacing w:after="0"/>
              <w:rPr>
                <w:sz w:val="20"/>
                <w:szCs w:val="20"/>
                <w:color w:val="auto"/>
              </w:rPr>
            </w:pPr>
            <w:r>
              <w:rPr>
                <w:rFonts w:ascii="Arial" w:cs="Arial" w:eastAsia="Arial" w:hAnsi="Arial"/>
                <w:sz w:val="14"/>
                <w:szCs w:val="14"/>
                <w:color w:val="auto"/>
              </w:rPr>
              <w:t>SoCalGas</w:t>
            </w:r>
          </w:p>
        </w:tc>
        <w:tc>
          <w:tcPr>
            <w:tcW w:w="880" w:type="dxa"/>
            <w:vAlign w:val="bottom"/>
            <w:tcBorders>
              <w:bottom w:val="single" w:sz="8" w:color="DFDFDF"/>
            </w:tcBorders>
          </w:tcPr>
          <w:p>
            <w:pPr>
              <w:spacing w:after="0"/>
              <w:rPr>
                <w:sz w:val="21"/>
                <w:szCs w:val="21"/>
                <w:color w:val="auto"/>
              </w:rPr>
            </w:pPr>
          </w:p>
        </w:tc>
        <w:tc>
          <w:tcPr>
            <w:tcW w:w="420" w:type="dxa"/>
            <w:vAlign w:val="bottom"/>
            <w:tcBorders>
              <w:bottom w:val="single" w:sz="8" w:color="DFDFDF"/>
            </w:tcBorders>
          </w:tcPr>
          <w:p>
            <w:pPr>
              <w:jc w:val="right"/>
              <w:ind w:right="110"/>
              <w:spacing w:after="0"/>
              <w:rPr>
                <w:sz w:val="20"/>
                <w:szCs w:val="20"/>
                <w:color w:val="auto"/>
              </w:rPr>
            </w:pPr>
            <w:r>
              <w:rPr>
                <w:rFonts w:ascii="Arial" w:cs="Arial" w:eastAsia="Arial" w:hAnsi="Arial"/>
                <w:sz w:val="14"/>
                <w:szCs w:val="14"/>
                <w:color w:val="auto"/>
              </w:rPr>
              <w:t>11</w:t>
            </w:r>
          </w:p>
        </w:tc>
        <w:tc>
          <w:tcPr>
            <w:tcW w:w="300" w:type="dxa"/>
            <w:vAlign w:val="bottom"/>
            <w:tcBorders>
              <w:bottom w:val="single" w:sz="8" w:color="DFDFDF"/>
            </w:tcBorders>
          </w:tcPr>
          <w:p>
            <w:pPr>
              <w:spacing w:after="0"/>
              <w:rPr>
                <w:sz w:val="21"/>
                <w:szCs w:val="21"/>
                <w:color w:val="auto"/>
              </w:rPr>
            </w:pPr>
          </w:p>
        </w:tc>
        <w:tc>
          <w:tcPr>
            <w:tcW w:w="980" w:type="dxa"/>
            <w:vAlign w:val="bottom"/>
            <w:tcBorders>
              <w:bottom w:val="single" w:sz="8" w:color="DFDFDF"/>
            </w:tcBorders>
          </w:tcPr>
          <w:p>
            <w:pPr>
              <w:jc w:val="right"/>
              <w:ind w:right="270"/>
              <w:spacing w:after="0"/>
              <w:rPr>
                <w:sz w:val="20"/>
                <w:szCs w:val="20"/>
                <w:color w:val="auto"/>
              </w:rPr>
            </w:pPr>
            <w:r>
              <w:rPr>
                <w:rFonts w:ascii="Arial" w:cs="Arial" w:eastAsia="Arial" w:hAnsi="Arial"/>
                <w:sz w:val="14"/>
                <w:szCs w:val="14"/>
                <w:color w:val="auto"/>
              </w:rPr>
              <w:t>27</w:t>
            </w:r>
          </w:p>
        </w:tc>
        <w:tc>
          <w:tcPr>
            <w:tcW w:w="140" w:type="dxa"/>
            <w:vAlign w:val="bottom"/>
            <w:tcBorders>
              <w:bottom w:val="single" w:sz="8" w:color="DFDFDF"/>
            </w:tcBorders>
          </w:tcPr>
          <w:p>
            <w:pPr>
              <w:spacing w:after="0"/>
              <w:rPr>
                <w:sz w:val="21"/>
                <w:szCs w:val="21"/>
                <w:color w:val="auto"/>
              </w:rPr>
            </w:pPr>
          </w:p>
        </w:tc>
        <w:tc>
          <w:tcPr>
            <w:tcW w:w="820" w:type="dxa"/>
            <w:vAlign w:val="bottom"/>
            <w:tcBorders>
              <w:bottom w:val="single" w:sz="8" w:color="DFDFDF"/>
            </w:tcBorders>
          </w:tcPr>
          <w:p>
            <w:pPr>
              <w:jc w:val="right"/>
              <w:ind w:right="90"/>
              <w:spacing w:after="0"/>
              <w:rPr>
                <w:sz w:val="20"/>
                <w:szCs w:val="20"/>
                <w:color w:val="auto"/>
              </w:rPr>
            </w:pPr>
            <w:r>
              <w:rPr>
                <w:rFonts w:ascii="Arial" w:cs="Arial" w:eastAsia="Arial" w:hAnsi="Arial"/>
                <w:sz w:val="14"/>
                <w:szCs w:val="14"/>
                <w:color w:val="auto"/>
              </w:rPr>
              <w:t>29</w:t>
            </w:r>
          </w:p>
        </w:tc>
      </w:tr>
    </w:tbl>
    <w:p>
      <w:pPr>
        <w:spacing w:after="0" w:line="180" w:lineRule="exact"/>
        <w:rPr>
          <w:sz w:val="20"/>
          <w:szCs w:val="20"/>
          <w:color w:val="auto"/>
        </w:rPr>
      </w:pPr>
    </w:p>
    <w:p>
      <w:pPr>
        <w:ind w:left="4" w:right="200"/>
        <w:spacing w:after="0" w:line="277" w:lineRule="auto"/>
        <w:rPr>
          <w:sz w:val="20"/>
          <w:szCs w:val="20"/>
          <w:color w:val="auto"/>
        </w:rPr>
      </w:pPr>
      <w:r>
        <w:rPr>
          <w:rFonts w:ascii="Arial" w:cs="Arial" w:eastAsia="Arial" w:hAnsi="Arial"/>
          <w:sz w:val="16"/>
          <w:szCs w:val="16"/>
          <w:color w:val="auto"/>
        </w:rPr>
        <w:t>In 2008, the decreases in interest income at Sempra Energy, PE and SoCalGas were primarily due to lower average short-term investment balances and lower interest rates in 2008. At Sempra Energy, short-term investment balances were higher in 2007 due to asset sales in 2006.</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6"/>
          <w:szCs w:val="16"/>
          <w:color w:val="auto"/>
        </w:rPr>
        <w:t>The decrease in Sempra Energy's interest income in 2007 was due to these events that occurred in 2006:</w:t>
      </w:r>
    </w:p>
    <w:p>
      <w:pPr>
        <w:spacing w:after="0" w:line="44" w:lineRule="exact"/>
        <w:rPr>
          <w:sz w:val="20"/>
          <w:szCs w:val="20"/>
          <w:color w:val="auto"/>
        </w:rPr>
      </w:pPr>
    </w:p>
    <w:p>
      <w:pPr>
        <w:ind w:left="144" w:hanging="144"/>
        <w:spacing w:after="0"/>
        <w:tabs>
          <w:tab w:leader="none" w:pos="144" w:val="left"/>
        </w:tabs>
        <w:numPr>
          <w:ilvl w:val="0"/>
          <w:numId w:val="260"/>
        </w:numPr>
        <w:rPr>
          <w:rFonts w:ascii="Arial" w:cs="Arial" w:eastAsia="Arial" w:hAnsi="Arial"/>
          <w:sz w:val="16"/>
          <w:szCs w:val="16"/>
          <w:color w:val="auto"/>
        </w:rPr>
      </w:pPr>
      <w:r>
        <w:rPr>
          <w:rFonts w:ascii="Arial" w:cs="Arial" w:eastAsia="Arial" w:hAnsi="Arial"/>
          <w:sz w:val="16"/>
          <w:szCs w:val="16"/>
          <w:color w:val="auto"/>
        </w:rPr>
        <w:t>$12 million from the favorable resolution of a state income tax matter</w:t>
      </w:r>
    </w:p>
    <w:p>
      <w:pPr>
        <w:spacing w:after="0" w:line="44" w:lineRule="exact"/>
        <w:rPr>
          <w:rFonts w:ascii="Arial" w:cs="Arial" w:eastAsia="Arial" w:hAnsi="Arial"/>
          <w:sz w:val="16"/>
          <w:szCs w:val="16"/>
          <w:color w:val="auto"/>
        </w:rPr>
      </w:pPr>
    </w:p>
    <w:p>
      <w:pPr>
        <w:ind w:left="144" w:right="1040" w:hanging="144"/>
        <w:spacing w:after="0" w:line="274" w:lineRule="auto"/>
        <w:tabs>
          <w:tab w:leader="none" w:pos="144" w:val="left"/>
        </w:tabs>
        <w:numPr>
          <w:ilvl w:val="0"/>
          <w:numId w:val="260"/>
        </w:numPr>
        <w:rPr>
          <w:rFonts w:ascii="Arial" w:cs="Arial" w:eastAsia="Arial" w:hAnsi="Arial"/>
          <w:sz w:val="16"/>
          <w:szCs w:val="16"/>
          <w:color w:val="auto"/>
        </w:rPr>
      </w:pPr>
      <w:r>
        <w:rPr>
          <w:rFonts w:ascii="Arial" w:cs="Arial" w:eastAsia="Arial" w:hAnsi="Arial"/>
          <w:sz w:val="16"/>
          <w:szCs w:val="16"/>
          <w:color w:val="auto"/>
        </w:rPr>
        <w:t>$13 million from the resolution of an insurance claim at PE related to a quasi-reorganization issue (discussed in Note 1 of the Notes to Consolidated Financial Statements)</w:t>
      </w:r>
    </w:p>
    <w:p>
      <w:pPr>
        <w:ind w:left="144" w:hanging="144"/>
        <w:spacing w:after="0"/>
        <w:tabs>
          <w:tab w:leader="none" w:pos="144" w:val="left"/>
        </w:tabs>
        <w:numPr>
          <w:ilvl w:val="0"/>
          <w:numId w:val="260"/>
        </w:numPr>
        <w:rPr>
          <w:rFonts w:ascii="Arial" w:cs="Arial" w:eastAsia="Arial" w:hAnsi="Arial"/>
          <w:sz w:val="16"/>
          <w:szCs w:val="16"/>
          <w:color w:val="auto"/>
        </w:rPr>
      </w:pPr>
      <w:r>
        <w:rPr>
          <w:rFonts w:ascii="Arial" w:cs="Arial" w:eastAsia="Arial" w:hAnsi="Arial"/>
          <w:sz w:val="16"/>
          <w:szCs w:val="16"/>
          <w:color w:val="auto"/>
        </w:rPr>
        <w:t>$6 million from an income tax audit settlement at SoCalGas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4"/>
        <w:spacing w:after="0"/>
        <w:rPr>
          <w:sz w:val="20"/>
          <w:szCs w:val="20"/>
          <w:color w:val="auto"/>
        </w:rPr>
      </w:pPr>
      <w:r>
        <w:rPr>
          <w:rFonts w:ascii="Arial" w:cs="Arial" w:eastAsia="Arial" w:hAnsi="Arial"/>
          <w:sz w:val="14"/>
          <w:szCs w:val="14"/>
          <w:color w:val="auto"/>
        </w:rPr>
        <w:t>23</w:t>
      </w:r>
    </w:p>
    <w:p>
      <w:pPr>
        <w:sectPr>
          <w:pgSz w:w="11900" w:h="16838" w:orient="portrait"/>
          <w:cols w:equalWidth="0" w:num="1">
            <w:col w:w="11304"/>
          </w:cols>
          <w:pgMar w:left="236" w:top="127" w:right="359" w:bottom="1440" w:gutter="0" w:footer="0" w:header="0"/>
        </w:sectPr>
      </w:pPr>
    </w:p>
    <w:bookmarkStart w:id="163" w:name="page164"/>
    <w:bookmarkEnd w:id="163"/>
    <w:p>
      <w:pPr>
        <w:ind w:left="4"/>
        <w:spacing w:after="0"/>
        <w:rPr>
          <w:sz w:val="20"/>
          <w:szCs w:val="20"/>
          <w:color w:val="auto"/>
        </w:rPr>
      </w:pPr>
      <w:r>
        <w:rPr>
          <w:rFonts w:ascii="Arial" w:cs="Arial" w:eastAsia="Arial" w:hAnsi="Arial"/>
          <w:sz w:val="18"/>
          <w:szCs w:val="18"/>
          <w:b w:val="1"/>
          <w:bCs w:val="1"/>
          <w:i w:val="1"/>
          <w:iCs w:val="1"/>
          <w:color w:val="auto"/>
        </w:rPr>
        <w:t>Interest Expense</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6"/>
          <w:szCs w:val="16"/>
          <w:color w:val="auto"/>
        </w:rPr>
        <w:t>The table below shows the interest expense for Sempra Energy, SDG&amp;E, PE and SoCalGas.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1647825</wp:posOffset>
            </wp:positionH>
            <wp:positionV relativeFrom="paragraph">
              <wp:posOffset>196215</wp:posOffset>
            </wp:positionV>
            <wp:extent cx="3973830" cy="28194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3973830" cy="281940"/>
                    </a:xfrm>
                    <a:prstGeom prst="rect">
                      <a:avLst/>
                    </a:prstGeom>
                    <a:noFill/>
                  </pic:spPr>
                </pic:pic>
              </a:graphicData>
            </a:graphic>
          </wp:anchor>
        </w:drawing>
      </w:r>
    </w:p>
    <w:p>
      <w:pPr>
        <w:spacing w:after="0" w:line="321" w:lineRule="exact"/>
        <w:rPr>
          <w:sz w:val="20"/>
          <w:szCs w:val="20"/>
          <w:color w:val="auto"/>
        </w:rPr>
      </w:pPr>
    </w:p>
    <w:p>
      <w:pPr>
        <w:ind w:left="2604"/>
        <w:spacing w:after="0"/>
        <w:rPr>
          <w:sz w:val="20"/>
          <w:szCs w:val="20"/>
          <w:color w:val="auto"/>
        </w:rPr>
      </w:pPr>
      <w:r>
        <w:rPr>
          <w:rFonts w:ascii="Arial" w:cs="Arial" w:eastAsia="Arial" w:hAnsi="Arial"/>
          <w:sz w:val="14"/>
          <w:szCs w:val="14"/>
          <w:b w:val="1"/>
          <w:bCs w:val="1"/>
          <w:color w:val="auto"/>
        </w:rPr>
        <w:t>INTEREST EXPENSE 2006-2008</w:t>
      </w:r>
    </w:p>
    <w:p>
      <w:pPr>
        <w:spacing w:after="0" w:line="76" w:lineRule="exact"/>
        <w:rPr>
          <w:sz w:val="20"/>
          <w:szCs w:val="20"/>
          <w:color w:val="auto"/>
        </w:rPr>
      </w:pPr>
    </w:p>
    <w:tbl>
      <w:tblPr>
        <w:tblLayout w:type="fixed"/>
        <w:tblInd w:w="2604" w:type="dxa"/>
        <w:tblCellMar>
          <w:top w:w="0" w:type="dxa"/>
          <w:left w:w="0" w:type="dxa"/>
          <w:bottom w:w="0" w:type="dxa"/>
          <w:right w:w="0" w:type="dxa"/>
        </w:tblCellMar>
      </w:tblPr>
      <w:tr>
        <w:trPr>
          <w:trHeight w:val="166"/>
        </w:trPr>
        <w:tc>
          <w:tcPr>
            <w:tcW w:w="2700" w:type="dxa"/>
            <w:vAlign w:val="bottom"/>
          </w:tcPr>
          <w:p>
            <w:pPr>
              <w:spacing w:after="0"/>
              <w:rPr>
                <w:sz w:val="20"/>
                <w:szCs w:val="20"/>
                <w:color w:val="auto"/>
              </w:rPr>
            </w:pPr>
            <w:r>
              <w:rPr>
                <w:rFonts w:ascii="Arial" w:cs="Arial" w:eastAsia="Arial" w:hAnsi="Arial"/>
                <w:sz w:val="13"/>
                <w:szCs w:val="13"/>
                <w:i w:val="1"/>
                <w:iCs w:val="1"/>
                <w:color w:val="auto"/>
              </w:rPr>
              <w:t>(Dollars in millions)</w:t>
            </w:r>
          </w:p>
        </w:tc>
        <w:tc>
          <w:tcPr>
            <w:tcW w:w="8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209"/>
        </w:trPr>
        <w:tc>
          <w:tcPr>
            <w:tcW w:w="2700" w:type="dxa"/>
            <w:vAlign w:val="bottom"/>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color w:val="auto"/>
              </w:rPr>
              <w:t>Years ended December 31,</w:t>
            </w: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r>
      <w:tr>
        <w:trPr>
          <w:trHeight w:val="208"/>
        </w:trPr>
        <w:tc>
          <w:tcPr>
            <w:tcW w:w="27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2008</w:t>
            </w:r>
          </w:p>
        </w:tc>
        <w:tc>
          <w:tcPr>
            <w:tcW w:w="46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590"/>
              <w:spacing w:after="0"/>
              <w:rPr>
                <w:sz w:val="20"/>
                <w:szCs w:val="20"/>
                <w:color w:val="auto"/>
              </w:rPr>
            </w:pPr>
            <w:r>
              <w:rPr>
                <w:rFonts w:ascii="Arial" w:cs="Arial" w:eastAsia="Arial" w:hAnsi="Arial"/>
                <w:sz w:val="13"/>
                <w:szCs w:val="13"/>
                <w:color w:val="auto"/>
              </w:rPr>
              <w:t>2007</w:t>
            </w: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430"/>
              <w:spacing w:after="0"/>
              <w:rPr>
                <w:sz w:val="20"/>
                <w:szCs w:val="20"/>
                <w:color w:val="auto"/>
              </w:rPr>
            </w:pPr>
            <w:r>
              <w:rPr>
                <w:rFonts w:ascii="Arial" w:cs="Arial" w:eastAsia="Arial" w:hAnsi="Arial"/>
                <w:sz w:val="13"/>
                <w:szCs w:val="13"/>
                <w:color w:val="auto"/>
              </w:rPr>
              <w:t>2006</w:t>
            </w:r>
          </w:p>
        </w:tc>
      </w:tr>
      <w:tr>
        <w:trPr>
          <w:trHeight w:val="207"/>
        </w:trPr>
        <w:tc>
          <w:tcPr>
            <w:tcW w:w="2700" w:type="dxa"/>
            <w:vAlign w:val="bottom"/>
          </w:tcPr>
          <w:p>
            <w:pPr>
              <w:spacing w:after="0"/>
              <w:rPr>
                <w:sz w:val="20"/>
                <w:szCs w:val="20"/>
                <w:color w:val="auto"/>
              </w:rPr>
            </w:pPr>
            <w:r>
              <w:rPr>
                <w:rFonts w:ascii="Arial" w:cs="Arial" w:eastAsia="Arial" w:hAnsi="Arial"/>
                <w:sz w:val="14"/>
                <w:szCs w:val="14"/>
                <w:color w:val="auto"/>
              </w:rPr>
              <w:t>Sempra Energy Consolidated</w:t>
            </w:r>
          </w:p>
        </w:tc>
        <w:tc>
          <w:tcPr>
            <w:tcW w:w="840" w:type="dxa"/>
            <w:vAlign w:val="bottom"/>
          </w:tcPr>
          <w:p>
            <w:pPr>
              <w:jc w:val="right"/>
              <w:ind w:right="332"/>
              <w:spacing w:after="0"/>
              <w:rPr>
                <w:sz w:val="20"/>
                <w:szCs w:val="20"/>
                <w:color w:val="auto"/>
              </w:rPr>
            </w:pPr>
            <w:r>
              <w:rPr>
                <w:rFonts w:ascii="Arial" w:cs="Arial" w:eastAsia="Arial" w:hAnsi="Arial"/>
                <w:sz w:val="14"/>
                <w:szCs w:val="14"/>
                <w:color w:val="auto"/>
              </w:rPr>
              <w:t>$</w:t>
            </w:r>
          </w:p>
        </w:tc>
        <w:tc>
          <w:tcPr>
            <w:tcW w:w="460" w:type="dxa"/>
            <w:vAlign w:val="bottom"/>
          </w:tcPr>
          <w:p>
            <w:pPr>
              <w:jc w:val="right"/>
              <w:ind w:right="110"/>
              <w:spacing w:after="0"/>
              <w:rPr>
                <w:sz w:val="20"/>
                <w:szCs w:val="20"/>
                <w:color w:val="auto"/>
              </w:rPr>
            </w:pPr>
            <w:r>
              <w:rPr>
                <w:rFonts w:ascii="Arial" w:cs="Arial" w:eastAsia="Arial" w:hAnsi="Arial"/>
                <w:sz w:val="14"/>
                <w:szCs w:val="14"/>
                <w:color w:val="auto"/>
              </w:rPr>
              <w:t>253</w:t>
            </w:r>
          </w:p>
        </w:tc>
        <w:tc>
          <w:tcPr>
            <w:tcW w:w="30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270"/>
              <w:spacing w:after="0"/>
              <w:rPr>
                <w:sz w:val="20"/>
                <w:szCs w:val="20"/>
                <w:color w:val="auto"/>
              </w:rPr>
            </w:pPr>
            <w:r>
              <w:rPr>
                <w:rFonts w:ascii="Arial" w:cs="Arial" w:eastAsia="Arial" w:hAnsi="Arial"/>
                <w:sz w:val="14"/>
                <w:szCs w:val="14"/>
                <w:color w:val="auto"/>
              </w:rPr>
              <w:t>272</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90"/>
              <w:spacing w:after="0"/>
              <w:rPr>
                <w:sz w:val="20"/>
                <w:szCs w:val="20"/>
                <w:color w:val="auto"/>
              </w:rPr>
            </w:pPr>
            <w:r>
              <w:rPr>
                <w:rFonts w:ascii="Arial" w:cs="Arial" w:eastAsia="Arial" w:hAnsi="Arial"/>
                <w:sz w:val="14"/>
                <w:szCs w:val="14"/>
                <w:color w:val="auto"/>
              </w:rPr>
              <w:t>351</w:t>
            </w:r>
          </w:p>
        </w:tc>
      </w:tr>
      <w:tr>
        <w:trPr>
          <w:trHeight w:val="216"/>
        </w:trPr>
        <w:tc>
          <w:tcPr>
            <w:tcW w:w="2700" w:type="dxa"/>
            <w:vAlign w:val="bottom"/>
          </w:tcPr>
          <w:p>
            <w:pPr>
              <w:spacing w:after="0"/>
              <w:rPr>
                <w:sz w:val="20"/>
                <w:szCs w:val="20"/>
                <w:color w:val="auto"/>
              </w:rPr>
            </w:pPr>
            <w:r>
              <w:rPr>
                <w:rFonts w:ascii="Arial" w:cs="Arial" w:eastAsia="Arial" w:hAnsi="Arial"/>
                <w:sz w:val="14"/>
                <w:szCs w:val="14"/>
                <w:color w:val="auto"/>
              </w:rPr>
              <w:t>SDG&amp;E</w:t>
            </w:r>
          </w:p>
        </w:tc>
        <w:tc>
          <w:tcPr>
            <w:tcW w:w="840" w:type="dxa"/>
            <w:vAlign w:val="bottom"/>
          </w:tcPr>
          <w:p>
            <w:pPr>
              <w:spacing w:after="0"/>
              <w:rPr>
                <w:sz w:val="18"/>
                <w:szCs w:val="18"/>
                <w:color w:val="auto"/>
              </w:rPr>
            </w:pPr>
          </w:p>
        </w:tc>
        <w:tc>
          <w:tcPr>
            <w:tcW w:w="460" w:type="dxa"/>
            <w:vAlign w:val="bottom"/>
          </w:tcPr>
          <w:p>
            <w:pPr>
              <w:jc w:val="right"/>
              <w:ind w:right="110"/>
              <w:spacing w:after="0"/>
              <w:rPr>
                <w:sz w:val="20"/>
                <w:szCs w:val="20"/>
                <w:color w:val="auto"/>
              </w:rPr>
            </w:pPr>
            <w:r>
              <w:rPr>
                <w:rFonts w:ascii="Arial" w:cs="Arial" w:eastAsia="Arial" w:hAnsi="Arial"/>
                <w:sz w:val="14"/>
                <w:szCs w:val="14"/>
                <w:color w:val="auto"/>
              </w:rPr>
              <w:t>96</w:t>
            </w:r>
          </w:p>
        </w:tc>
        <w:tc>
          <w:tcPr>
            <w:tcW w:w="300" w:type="dxa"/>
            <w:vAlign w:val="bottom"/>
          </w:tcPr>
          <w:p>
            <w:pPr>
              <w:spacing w:after="0"/>
              <w:rPr>
                <w:sz w:val="18"/>
                <w:szCs w:val="18"/>
                <w:color w:val="auto"/>
              </w:rPr>
            </w:pPr>
          </w:p>
        </w:tc>
        <w:tc>
          <w:tcPr>
            <w:tcW w:w="980" w:type="dxa"/>
            <w:vAlign w:val="bottom"/>
          </w:tcPr>
          <w:p>
            <w:pPr>
              <w:jc w:val="right"/>
              <w:ind w:right="270"/>
              <w:spacing w:after="0"/>
              <w:rPr>
                <w:sz w:val="20"/>
                <w:szCs w:val="20"/>
                <w:color w:val="auto"/>
              </w:rPr>
            </w:pPr>
            <w:r>
              <w:rPr>
                <w:rFonts w:ascii="Arial" w:cs="Arial" w:eastAsia="Arial" w:hAnsi="Arial"/>
                <w:sz w:val="14"/>
                <w:szCs w:val="14"/>
                <w:color w:val="auto"/>
              </w:rPr>
              <w:t>96</w:t>
            </w:r>
          </w:p>
        </w:tc>
        <w:tc>
          <w:tcPr>
            <w:tcW w:w="140" w:type="dxa"/>
            <w:vAlign w:val="bottom"/>
          </w:tcPr>
          <w:p>
            <w:pPr>
              <w:spacing w:after="0"/>
              <w:rPr>
                <w:sz w:val="18"/>
                <w:szCs w:val="18"/>
                <w:color w:val="auto"/>
              </w:rPr>
            </w:pPr>
          </w:p>
        </w:tc>
        <w:tc>
          <w:tcPr>
            <w:tcW w:w="820" w:type="dxa"/>
            <w:vAlign w:val="bottom"/>
          </w:tcPr>
          <w:p>
            <w:pPr>
              <w:jc w:val="right"/>
              <w:ind w:right="90"/>
              <w:spacing w:after="0"/>
              <w:rPr>
                <w:sz w:val="20"/>
                <w:szCs w:val="20"/>
                <w:color w:val="auto"/>
              </w:rPr>
            </w:pPr>
            <w:r>
              <w:rPr>
                <w:rFonts w:ascii="Arial" w:cs="Arial" w:eastAsia="Arial" w:hAnsi="Arial"/>
                <w:sz w:val="14"/>
                <w:szCs w:val="14"/>
                <w:color w:val="auto"/>
              </w:rPr>
              <w:t>97</w:t>
            </w:r>
          </w:p>
        </w:tc>
      </w:tr>
      <w:tr>
        <w:trPr>
          <w:trHeight w:val="216"/>
        </w:trPr>
        <w:tc>
          <w:tcPr>
            <w:tcW w:w="2700" w:type="dxa"/>
            <w:vAlign w:val="bottom"/>
          </w:tcPr>
          <w:p>
            <w:pPr>
              <w:spacing w:after="0"/>
              <w:rPr>
                <w:sz w:val="20"/>
                <w:szCs w:val="20"/>
                <w:color w:val="auto"/>
              </w:rPr>
            </w:pPr>
            <w:r>
              <w:rPr>
                <w:rFonts w:ascii="Arial" w:cs="Arial" w:eastAsia="Arial" w:hAnsi="Arial"/>
                <w:sz w:val="14"/>
                <w:szCs w:val="14"/>
                <w:color w:val="auto"/>
              </w:rPr>
              <w:t>PE</w:t>
            </w:r>
          </w:p>
        </w:tc>
        <w:tc>
          <w:tcPr>
            <w:tcW w:w="840" w:type="dxa"/>
            <w:vAlign w:val="bottom"/>
          </w:tcPr>
          <w:p>
            <w:pPr>
              <w:spacing w:after="0"/>
              <w:rPr>
                <w:sz w:val="18"/>
                <w:szCs w:val="18"/>
                <w:color w:val="auto"/>
              </w:rPr>
            </w:pPr>
          </w:p>
        </w:tc>
        <w:tc>
          <w:tcPr>
            <w:tcW w:w="460" w:type="dxa"/>
            <w:vAlign w:val="bottom"/>
          </w:tcPr>
          <w:p>
            <w:pPr>
              <w:jc w:val="right"/>
              <w:ind w:right="110"/>
              <w:spacing w:after="0"/>
              <w:rPr>
                <w:sz w:val="20"/>
                <w:szCs w:val="20"/>
                <w:color w:val="auto"/>
              </w:rPr>
            </w:pPr>
            <w:r>
              <w:rPr>
                <w:rFonts w:ascii="Arial" w:cs="Arial" w:eastAsia="Arial" w:hAnsi="Arial"/>
                <w:sz w:val="14"/>
                <w:szCs w:val="14"/>
                <w:color w:val="auto"/>
              </w:rPr>
              <w:t>65</w:t>
            </w:r>
          </w:p>
        </w:tc>
        <w:tc>
          <w:tcPr>
            <w:tcW w:w="300" w:type="dxa"/>
            <w:vAlign w:val="bottom"/>
          </w:tcPr>
          <w:p>
            <w:pPr>
              <w:spacing w:after="0"/>
              <w:rPr>
                <w:sz w:val="18"/>
                <w:szCs w:val="18"/>
                <w:color w:val="auto"/>
              </w:rPr>
            </w:pPr>
          </w:p>
        </w:tc>
        <w:tc>
          <w:tcPr>
            <w:tcW w:w="980" w:type="dxa"/>
            <w:vAlign w:val="bottom"/>
          </w:tcPr>
          <w:p>
            <w:pPr>
              <w:jc w:val="right"/>
              <w:ind w:right="270"/>
              <w:spacing w:after="0"/>
              <w:rPr>
                <w:sz w:val="20"/>
                <w:szCs w:val="20"/>
                <w:color w:val="auto"/>
              </w:rPr>
            </w:pPr>
            <w:r>
              <w:rPr>
                <w:rFonts w:ascii="Arial" w:cs="Arial" w:eastAsia="Arial" w:hAnsi="Arial"/>
                <w:sz w:val="14"/>
                <w:szCs w:val="14"/>
                <w:color w:val="auto"/>
              </w:rPr>
              <w:t>76</w:t>
            </w:r>
          </w:p>
        </w:tc>
        <w:tc>
          <w:tcPr>
            <w:tcW w:w="140" w:type="dxa"/>
            <w:vAlign w:val="bottom"/>
          </w:tcPr>
          <w:p>
            <w:pPr>
              <w:spacing w:after="0"/>
              <w:rPr>
                <w:sz w:val="18"/>
                <w:szCs w:val="18"/>
                <w:color w:val="auto"/>
              </w:rPr>
            </w:pPr>
          </w:p>
        </w:tc>
        <w:tc>
          <w:tcPr>
            <w:tcW w:w="820" w:type="dxa"/>
            <w:vAlign w:val="bottom"/>
          </w:tcPr>
          <w:p>
            <w:pPr>
              <w:jc w:val="right"/>
              <w:ind w:right="90"/>
              <w:spacing w:after="0"/>
              <w:rPr>
                <w:sz w:val="20"/>
                <w:szCs w:val="20"/>
                <w:color w:val="auto"/>
              </w:rPr>
            </w:pPr>
            <w:r>
              <w:rPr>
                <w:rFonts w:ascii="Arial" w:cs="Arial" w:eastAsia="Arial" w:hAnsi="Arial"/>
                <w:sz w:val="14"/>
                <w:szCs w:val="14"/>
                <w:color w:val="auto"/>
              </w:rPr>
              <w:t>76</w:t>
            </w:r>
          </w:p>
        </w:tc>
      </w:tr>
      <w:tr>
        <w:trPr>
          <w:trHeight w:val="250"/>
        </w:trPr>
        <w:tc>
          <w:tcPr>
            <w:tcW w:w="2700" w:type="dxa"/>
            <w:vAlign w:val="bottom"/>
            <w:tcBorders>
              <w:bottom w:val="single" w:sz="8" w:color="DFDFDF"/>
            </w:tcBorders>
          </w:tcPr>
          <w:p>
            <w:pPr>
              <w:spacing w:after="0"/>
              <w:rPr>
                <w:sz w:val="20"/>
                <w:szCs w:val="20"/>
                <w:color w:val="auto"/>
              </w:rPr>
            </w:pPr>
            <w:r>
              <w:rPr>
                <w:rFonts w:ascii="Arial" w:cs="Arial" w:eastAsia="Arial" w:hAnsi="Arial"/>
                <w:sz w:val="14"/>
                <w:szCs w:val="14"/>
                <w:color w:val="auto"/>
              </w:rPr>
              <w:t>SoCalGas</w:t>
            </w:r>
          </w:p>
        </w:tc>
        <w:tc>
          <w:tcPr>
            <w:tcW w:w="840" w:type="dxa"/>
            <w:vAlign w:val="bottom"/>
            <w:tcBorders>
              <w:bottom w:val="single" w:sz="8" w:color="DFDFDF"/>
            </w:tcBorders>
          </w:tcPr>
          <w:p>
            <w:pPr>
              <w:spacing w:after="0"/>
              <w:rPr>
                <w:sz w:val="21"/>
                <w:szCs w:val="21"/>
                <w:color w:val="auto"/>
              </w:rPr>
            </w:pPr>
          </w:p>
        </w:tc>
        <w:tc>
          <w:tcPr>
            <w:tcW w:w="460" w:type="dxa"/>
            <w:vAlign w:val="bottom"/>
            <w:tcBorders>
              <w:bottom w:val="single" w:sz="8" w:color="DFDFDF"/>
            </w:tcBorders>
          </w:tcPr>
          <w:p>
            <w:pPr>
              <w:jc w:val="right"/>
              <w:ind w:right="110"/>
              <w:spacing w:after="0"/>
              <w:rPr>
                <w:sz w:val="20"/>
                <w:szCs w:val="20"/>
                <w:color w:val="auto"/>
              </w:rPr>
            </w:pPr>
            <w:r>
              <w:rPr>
                <w:rFonts w:ascii="Arial" w:cs="Arial" w:eastAsia="Arial" w:hAnsi="Arial"/>
                <w:sz w:val="14"/>
                <w:szCs w:val="14"/>
                <w:color w:val="auto"/>
              </w:rPr>
              <w:t>62</w:t>
            </w:r>
          </w:p>
        </w:tc>
        <w:tc>
          <w:tcPr>
            <w:tcW w:w="300" w:type="dxa"/>
            <w:vAlign w:val="bottom"/>
            <w:tcBorders>
              <w:bottom w:val="single" w:sz="8" w:color="DFDFDF"/>
            </w:tcBorders>
          </w:tcPr>
          <w:p>
            <w:pPr>
              <w:spacing w:after="0"/>
              <w:rPr>
                <w:sz w:val="21"/>
                <w:szCs w:val="21"/>
                <w:color w:val="auto"/>
              </w:rPr>
            </w:pPr>
          </w:p>
        </w:tc>
        <w:tc>
          <w:tcPr>
            <w:tcW w:w="980" w:type="dxa"/>
            <w:vAlign w:val="bottom"/>
            <w:tcBorders>
              <w:bottom w:val="single" w:sz="8" w:color="DFDFDF"/>
            </w:tcBorders>
          </w:tcPr>
          <w:p>
            <w:pPr>
              <w:jc w:val="right"/>
              <w:ind w:right="270"/>
              <w:spacing w:after="0"/>
              <w:rPr>
                <w:sz w:val="20"/>
                <w:szCs w:val="20"/>
                <w:color w:val="auto"/>
              </w:rPr>
            </w:pPr>
            <w:r>
              <w:rPr>
                <w:rFonts w:ascii="Arial" w:cs="Arial" w:eastAsia="Arial" w:hAnsi="Arial"/>
                <w:sz w:val="14"/>
                <w:szCs w:val="14"/>
                <w:color w:val="auto"/>
              </w:rPr>
              <w:t>70</w:t>
            </w:r>
          </w:p>
        </w:tc>
        <w:tc>
          <w:tcPr>
            <w:tcW w:w="140" w:type="dxa"/>
            <w:vAlign w:val="bottom"/>
            <w:tcBorders>
              <w:bottom w:val="single" w:sz="8" w:color="DFDFDF"/>
            </w:tcBorders>
          </w:tcPr>
          <w:p>
            <w:pPr>
              <w:spacing w:after="0"/>
              <w:rPr>
                <w:sz w:val="21"/>
                <w:szCs w:val="21"/>
                <w:color w:val="auto"/>
              </w:rPr>
            </w:pPr>
          </w:p>
        </w:tc>
        <w:tc>
          <w:tcPr>
            <w:tcW w:w="820" w:type="dxa"/>
            <w:vAlign w:val="bottom"/>
            <w:tcBorders>
              <w:bottom w:val="single" w:sz="8" w:color="DFDFDF"/>
            </w:tcBorders>
          </w:tcPr>
          <w:p>
            <w:pPr>
              <w:jc w:val="right"/>
              <w:ind w:right="90"/>
              <w:spacing w:after="0"/>
              <w:rPr>
                <w:sz w:val="20"/>
                <w:szCs w:val="20"/>
                <w:color w:val="auto"/>
              </w:rPr>
            </w:pPr>
            <w:r>
              <w:rPr>
                <w:rFonts w:ascii="Arial" w:cs="Arial" w:eastAsia="Arial" w:hAnsi="Arial"/>
                <w:sz w:val="14"/>
                <w:szCs w:val="14"/>
                <w:color w:val="auto"/>
              </w:rPr>
              <w:t>70</w:t>
            </w:r>
          </w:p>
        </w:tc>
      </w:tr>
    </w:tbl>
    <w:p>
      <w:pPr>
        <w:spacing w:after="0" w:line="177" w:lineRule="exact"/>
        <w:rPr>
          <w:sz w:val="20"/>
          <w:szCs w:val="20"/>
          <w:color w:val="auto"/>
        </w:rPr>
      </w:pPr>
    </w:p>
    <w:p>
      <w:pPr>
        <w:ind w:left="4"/>
        <w:spacing w:after="0"/>
        <w:rPr>
          <w:sz w:val="20"/>
          <w:szCs w:val="20"/>
          <w:color w:val="auto"/>
        </w:rPr>
      </w:pPr>
      <w:r>
        <w:rPr>
          <w:rFonts w:ascii="Arial" w:cs="Arial" w:eastAsia="Arial" w:hAnsi="Arial"/>
          <w:sz w:val="18"/>
          <w:szCs w:val="18"/>
          <w:i w:val="1"/>
          <w:iCs w:val="1"/>
          <w:color w:val="auto"/>
        </w:rPr>
        <w:t>Sempra Energy</w:t>
      </w:r>
    </w:p>
    <w:p>
      <w:pPr>
        <w:spacing w:after="0" w:line="72" w:lineRule="exact"/>
        <w:rPr>
          <w:sz w:val="20"/>
          <w:szCs w:val="20"/>
          <w:color w:val="auto"/>
        </w:rPr>
      </w:pPr>
    </w:p>
    <w:p>
      <w:pPr>
        <w:ind w:left="4"/>
        <w:spacing w:after="0"/>
        <w:rPr>
          <w:sz w:val="20"/>
          <w:szCs w:val="20"/>
          <w:color w:val="auto"/>
        </w:rPr>
      </w:pPr>
      <w:r>
        <w:rPr>
          <w:rFonts w:ascii="Arial" w:cs="Arial" w:eastAsia="Arial" w:hAnsi="Arial"/>
          <w:sz w:val="16"/>
          <w:szCs w:val="16"/>
          <w:color w:val="auto"/>
        </w:rPr>
        <w:t>In 2008, the decrease was due to</w:t>
      </w:r>
    </w:p>
    <w:p>
      <w:pPr>
        <w:spacing w:after="0" w:line="44" w:lineRule="exact"/>
        <w:rPr>
          <w:sz w:val="20"/>
          <w:szCs w:val="20"/>
          <w:color w:val="auto"/>
        </w:rPr>
      </w:pPr>
    </w:p>
    <w:p>
      <w:pPr>
        <w:ind w:left="144" w:hanging="144"/>
        <w:spacing w:after="0"/>
        <w:tabs>
          <w:tab w:leader="none" w:pos="144" w:val="left"/>
        </w:tabs>
        <w:numPr>
          <w:ilvl w:val="0"/>
          <w:numId w:val="261"/>
        </w:numPr>
        <w:rPr>
          <w:rFonts w:ascii="Arial" w:cs="Arial" w:eastAsia="Arial" w:hAnsi="Arial"/>
          <w:sz w:val="16"/>
          <w:szCs w:val="16"/>
          <w:color w:val="auto"/>
        </w:rPr>
      </w:pPr>
      <w:r>
        <w:rPr>
          <w:rFonts w:ascii="Arial" w:cs="Arial" w:eastAsia="Arial" w:hAnsi="Arial"/>
          <w:sz w:val="16"/>
          <w:szCs w:val="16"/>
          <w:color w:val="auto"/>
        </w:rPr>
        <w:t>$18 million reduced interest expense related to energy crisis litigation reserves;</w:t>
      </w:r>
    </w:p>
    <w:p>
      <w:pPr>
        <w:spacing w:after="0" w:line="44" w:lineRule="exact"/>
        <w:rPr>
          <w:rFonts w:ascii="Arial" w:cs="Arial" w:eastAsia="Arial" w:hAnsi="Arial"/>
          <w:sz w:val="16"/>
          <w:szCs w:val="16"/>
          <w:color w:val="auto"/>
        </w:rPr>
      </w:pPr>
    </w:p>
    <w:p>
      <w:pPr>
        <w:ind w:left="144" w:hanging="144"/>
        <w:spacing w:after="0"/>
        <w:tabs>
          <w:tab w:leader="none" w:pos="144" w:val="left"/>
        </w:tabs>
        <w:numPr>
          <w:ilvl w:val="0"/>
          <w:numId w:val="261"/>
        </w:numPr>
        <w:rPr>
          <w:rFonts w:ascii="Arial" w:cs="Arial" w:eastAsia="Arial" w:hAnsi="Arial"/>
          <w:sz w:val="16"/>
          <w:szCs w:val="16"/>
          <w:color w:val="auto"/>
        </w:rPr>
      </w:pPr>
      <w:r>
        <w:rPr>
          <w:rFonts w:ascii="Arial" w:cs="Arial" w:eastAsia="Arial" w:hAnsi="Arial"/>
          <w:sz w:val="16"/>
          <w:szCs w:val="16"/>
          <w:color w:val="auto"/>
        </w:rPr>
        <w:t>$13 million lower other short-term debt interest;</w:t>
      </w:r>
    </w:p>
    <w:p>
      <w:pPr>
        <w:spacing w:after="0" w:line="44" w:lineRule="exact"/>
        <w:rPr>
          <w:rFonts w:ascii="Arial" w:cs="Arial" w:eastAsia="Arial" w:hAnsi="Arial"/>
          <w:sz w:val="16"/>
          <w:szCs w:val="16"/>
          <w:color w:val="auto"/>
        </w:rPr>
      </w:pPr>
    </w:p>
    <w:p>
      <w:pPr>
        <w:ind w:left="144" w:hanging="144"/>
        <w:spacing w:after="0"/>
        <w:tabs>
          <w:tab w:leader="none" w:pos="144" w:val="left"/>
        </w:tabs>
        <w:numPr>
          <w:ilvl w:val="0"/>
          <w:numId w:val="261"/>
        </w:numPr>
        <w:rPr>
          <w:rFonts w:ascii="Arial" w:cs="Arial" w:eastAsia="Arial" w:hAnsi="Arial"/>
          <w:sz w:val="16"/>
          <w:szCs w:val="16"/>
          <w:color w:val="auto"/>
        </w:rPr>
      </w:pPr>
      <w:r>
        <w:rPr>
          <w:rFonts w:ascii="Arial" w:cs="Arial" w:eastAsia="Arial" w:hAnsi="Arial"/>
          <w:sz w:val="16"/>
          <w:szCs w:val="16"/>
          <w:color w:val="auto"/>
        </w:rPr>
        <w:t>$30 million effect of the repayment of long-term debt in 2007 at Parent and Other; and</w:t>
      </w:r>
    </w:p>
    <w:p>
      <w:pPr>
        <w:spacing w:after="0" w:line="40" w:lineRule="exact"/>
        <w:rPr>
          <w:rFonts w:ascii="Arial" w:cs="Arial" w:eastAsia="Arial" w:hAnsi="Arial"/>
          <w:sz w:val="16"/>
          <w:szCs w:val="16"/>
          <w:color w:val="auto"/>
        </w:rPr>
      </w:pPr>
    </w:p>
    <w:p>
      <w:pPr>
        <w:ind w:left="144" w:hanging="144"/>
        <w:spacing w:after="0"/>
        <w:tabs>
          <w:tab w:leader="none" w:pos="144" w:val="left"/>
        </w:tabs>
        <w:numPr>
          <w:ilvl w:val="0"/>
          <w:numId w:val="261"/>
        </w:numPr>
        <w:rPr>
          <w:rFonts w:ascii="Arial" w:cs="Arial" w:eastAsia="Arial" w:hAnsi="Arial"/>
          <w:sz w:val="16"/>
          <w:szCs w:val="16"/>
          <w:color w:val="auto"/>
        </w:rPr>
      </w:pPr>
      <w:r>
        <w:rPr>
          <w:rFonts w:ascii="Arial" w:cs="Arial" w:eastAsia="Arial" w:hAnsi="Arial"/>
          <w:sz w:val="16"/>
          <w:szCs w:val="16"/>
          <w:color w:val="auto"/>
        </w:rPr>
        <w:t xml:space="preserve">lower interest rates, </w:t>
      </w:r>
      <w:r>
        <w:rPr>
          <w:rFonts w:ascii="Arial" w:cs="Arial" w:eastAsia="Arial" w:hAnsi="Arial"/>
          <w:sz w:val="16"/>
          <w:szCs w:val="16"/>
          <w:b w:val="1"/>
          <w:bCs w:val="1"/>
          <w:color w:val="auto"/>
        </w:rPr>
        <w:t>offset by</w:t>
      </w:r>
    </w:p>
    <w:p>
      <w:pPr>
        <w:spacing w:after="0" w:line="48" w:lineRule="exact"/>
        <w:rPr>
          <w:rFonts w:ascii="Arial" w:cs="Arial" w:eastAsia="Arial" w:hAnsi="Arial"/>
          <w:sz w:val="16"/>
          <w:szCs w:val="16"/>
          <w:color w:val="auto"/>
        </w:rPr>
      </w:pPr>
    </w:p>
    <w:p>
      <w:pPr>
        <w:ind w:left="144" w:hanging="144"/>
        <w:spacing w:after="0"/>
        <w:tabs>
          <w:tab w:leader="none" w:pos="144" w:val="left"/>
        </w:tabs>
        <w:numPr>
          <w:ilvl w:val="0"/>
          <w:numId w:val="261"/>
        </w:numPr>
        <w:rPr>
          <w:rFonts w:ascii="Arial" w:cs="Arial" w:eastAsia="Arial" w:hAnsi="Arial"/>
          <w:sz w:val="16"/>
          <w:szCs w:val="16"/>
          <w:color w:val="auto"/>
        </w:rPr>
      </w:pPr>
      <w:r>
        <w:rPr>
          <w:rFonts w:ascii="Arial" w:cs="Arial" w:eastAsia="Arial" w:hAnsi="Arial"/>
          <w:sz w:val="16"/>
          <w:szCs w:val="16"/>
          <w:color w:val="auto"/>
        </w:rPr>
        <w:t>$35 million higher interest expense primarily from long-term debt issued by SDG&amp;E in September 2007 and by Parent and Other in 2008; and</w:t>
      </w:r>
    </w:p>
    <w:p>
      <w:pPr>
        <w:spacing w:after="0" w:line="44" w:lineRule="exact"/>
        <w:rPr>
          <w:rFonts w:ascii="Arial" w:cs="Arial" w:eastAsia="Arial" w:hAnsi="Arial"/>
          <w:sz w:val="16"/>
          <w:szCs w:val="16"/>
          <w:color w:val="auto"/>
        </w:rPr>
      </w:pPr>
    </w:p>
    <w:p>
      <w:pPr>
        <w:ind w:left="144" w:right="820" w:hanging="144"/>
        <w:spacing w:after="0" w:line="277" w:lineRule="auto"/>
        <w:tabs>
          <w:tab w:leader="none" w:pos="144" w:val="left"/>
        </w:tabs>
        <w:numPr>
          <w:ilvl w:val="0"/>
          <w:numId w:val="261"/>
        </w:numPr>
        <w:rPr>
          <w:rFonts w:ascii="Arial" w:cs="Arial" w:eastAsia="Arial" w:hAnsi="Arial"/>
          <w:sz w:val="16"/>
          <w:szCs w:val="16"/>
          <w:color w:val="auto"/>
        </w:rPr>
      </w:pPr>
      <w:r>
        <w:rPr>
          <w:rFonts w:ascii="Arial" w:cs="Arial" w:eastAsia="Arial" w:hAnsi="Arial"/>
          <w:sz w:val="16"/>
          <w:szCs w:val="16"/>
          <w:color w:val="auto"/>
        </w:rPr>
        <w:t>$5 million net lower capitalized interest, including a reduction in interest expense at Sempra LNG due to the start of commercial operations at the Energía Costa Azul LNG receipt terminal in May 2008, offset by higher capitalized interest for Sempra Pipelines &amp; Storage's projects.</w:t>
      </w:r>
    </w:p>
    <w:p>
      <w:pPr>
        <w:spacing w:after="0" w:line="80" w:lineRule="exact"/>
        <w:rPr>
          <w:sz w:val="20"/>
          <w:szCs w:val="20"/>
          <w:color w:val="auto"/>
        </w:rPr>
      </w:pPr>
    </w:p>
    <w:p>
      <w:pPr>
        <w:ind w:left="4"/>
        <w:spacing w:after="0"/>
        <w:rPr>
          <w:sz w:val="20"/>
          <w:szCs w:val="20"/>
          <w:color w:val="auto"/>
        </w:rPr>
      </w:pPr>
      <w:r>
        <w:rPr>
          <w:rFonts w:ascii="Arial" w:cs="Arial" w:eastAsia="Arial" w:hAnsi="Arial"/>
          <w:sz w:val="16"/>
          <w:szCs w:val="16"/>
          <w:color w:val="auto"/>
        </w:rPr>
        <w:t>The decrease in Sempra Energy's interest expense in 2007 was due to:</w:t>
      </w:r>
    </w:p>
    <w:p>
      <w:pPr>
        <w:spacing w:after="0" w:line="44" w:lineRule="exact"/>
        <w:rPr>
          <w:sz w:val="20"/>
          <w:szCs w:val="20"/>
          <w:color w:val="auto"/>
        </w:rPr>
      </w:pPr>
    </w:p>
    <w:p>
      <w:pPr>
        <w:ind w:left="144" w:hanging="144"/>
        <w:spacing w:after="0"/>
        <w:tabs>
          <w:tab w:leader="none" w:pos="144" w:val="left"/>
        </w:tabs>
        <w:numPr>
          <w:ilvl w:val="0"/>
          <w:numId w:val="262"/>
        </w:numPr>
        <w:rPr>
          <w:rFonts w:ascii="Arial" w:cs="Arial" w:eastAsia="Arial" w:hAnsi="Arial"/>
          <w:sz w:val="16"/>
          <w:szCs w:val="16"/>
          <w:color w:val="auto"/>
        </w:rPr>
      </w:pPr>
      <w:r>
        <w:rPr>
          <w:rFonts w:ascii="Arial" w:cs="Arial" w:eastAsia="Arial" w:hAnsi="Arial"/>
          <w:sz w:val="16"/>
          <w:szCs w:val="16"/>
          <w:color w:val="auto"/>
        </w:rPr>
        <w:t>$41 million higher capitalized interest at Sempra LNG and Sempra Pipelines &amp; Storage</w:t>
      </w:r>
    </w:p>
    <w:p>
      <w:pPr>
        <w:spacing w:after="0" w:line="44" w:lineRule="exact"/>
        <w:rPr>
          <w:rFonts w:ascii="Arial" w:cs="Arial" w:eastAsia="Arial" w:hAnsi="Arial"/>
          <w:sz w:val="16"/>
          <w:szCs w:val="16"/>
          <w:color w:val="auto"/>
        </w:rPr>
      </w:pPr>
    </w:p>
    <w:p>
      <w:pPr>
        <w:ind w:left="144" w:hanging="144"/>
        <w:spacing w:after="0"/>
        <w:tabs>
          <w:tab w:leader="none" w:pos="144" w:val="left"/>
        </w:tabs>
        <w:numPr>
          <w:ilvl w:val="0"/>
          <w:numId w:val="262"/>
        </w:numPr>
        <w:rPr>
          <w:rFonts w:ascii="Arial" w:cs="Arial" w:eastAsia="Arial" w:hAnsi="Arial"/>
          <w:sz w:val="16"/>
          <w:szCs w:val="16"/>
          <w:color w:val="auto"/>
        </w:rPr>
      </w:pPr>
      <w:r>
        <w:rPr>
          <w:rFonts w:ascii="Arial" w:cs="Arial" w:eastAsia="Arial" w:hAnsi="Arial"/>
          <w:sz w:val="16"/>
          <w:szCs w:val="16"/>
          <w:color w:val="auto"/>
        </w:rPr>
        <w:t>$22 million lower interest expense due to repayment and early redemption of long-term debt primarily at Parent and Other</w:t>
      </w:r>
    </w:p>
    <w:p>
      <w:pPr>
        <w:spacing w:after="0" w:line="126" w:lineRule="exact"/>
        <w:rPr>
          <w:sz w:val="20"/>
          <w:szCs w:val="20"/>
          <w:color w:val="auto"/>
        </w:rPr>
      </w:pPr>
    </w:p>
    <w:p>
      <w:pPr>
        <w:ind w:left="4"/>
        <w:spacing w:after="0"/>
        <w:rPr>
          <w:sz w:val="20"/>
          <w:szCs w:val="20"/>
          <w:color w:val="auto"/>
        </w:rPr>
      </w:pPr>
      <w:r>
        <w:rPr>
          <w:rFonts w:ascii="Arial" w:cs="Arial" w:eastAsia="Arial" w:hAnsi="Arial"/>
          <w:sz w:val="18"/>
          <w:szCs w:val="18"/>
          <w:i w:val="1"/>
          <w:iCs w:val="1"/>
          <w:color w:val="auto"/>
        </w:rPr>
        <w:t>SDG&amp;E</w:t>
      </w:r>
    </w:p>
    <w:p>
      <w:pPr>
        <w:spacing w:after="0" w:line="72" w:lineRule="exact"/>
        <w:rPr>
          <w:sz w:val="20"/>
          <w:szCs w:val="20"/>
          <w:color w:val="auto"/>
        </w:rPr>
      </w:pPr>
    </w:p>
    <w:p>
      <w:pPr>
        <w:ind w:left="4"/>
        <w:spacing w:after="0" w:line="277" w:lineRule="auto"/>
        <w:rPr>
          <w:sz w:val="20"/>
          <w:szCs w:val="20"/>
          <w:color w:val="auto"/>
        </w:rPr>
      </w:pPr>
      <w:r>
        <w:rPr>
          <w:rFonts w:ascii="Arial" w:cs="Arial" w:eastAsia="Arial" w:hAnsi="Arial"/>
          <w:sz w:val="16"/>
          <w:szCs w:val="16"/>
          <w:color w:val="auto"/>
        </w:rPr>
        <w:t>In 2008, $10 million higher interest from long-term debt issued in September 2007 was partially offset by $5 million lower short-term debt interest and $3 million higher capitalized interest.</w:t>
      </w:r>
    </w:p>
    <w:p>
      <w:pPr>
        <w:spacing w:after="0" w:line="30" w:lineRule="exact"/>
        <w:rPr>
          <w:sz w:val="20"/>
          <w:szCs w:val="20"/>
          <w:color w:val="auto"/>
        </w:rPr>
      </w:pPr>
    </w:p>
    <w:p>
      <w:pPr>
        <w:ind w:left="4"/>
        <w:spacing w:after="0"/>
        <w:rPr>
          <w:sz w:val="20"/>
          <w:szCs w:val="20"/>
          <w:color w:val="auto"/>
        </w:rPr>
      </w:pPr>
      <w:r>
        <w:rPr>
          <w:rFonts w:ascii="Arial" w:cs="Arial" w:eastAsia="Arial" w:hAnsi="Arial"/>
          <w:sz w:val="18"/>
          <w:szCs w:val="18"/>
          <w:i w:val="1"/>
          <w:iCs w:val="1"/>
          <w:color w:val="auto"/>
        </w:rPr>
        <w:t>PE and SoCalGas</w:t>
      </w:r>
    </w:p>
    <w:p>
      <w:pPr>
        <w:spacing w:after="0" w:line="72" w:lineRule="exact"/>
        <w:rPr>
          <w:sz w:val="20"/>
          <w:szCs w:val="20"/>
          <w:color w:val="auto"/>
        </w:rPr>
      </w:pPr>
    </w:p>
    <w:p>
      <w:pPr>
        <w:ind w:left="4"/>
        <w:spacing w:after="0"/>
        <w:rPr>
          <w:sz w:val="20"/>
          <w:szCs w:val="20"/>
          <w:color w:val="auto"/>
        </w:rPr>
      </w:pPr>
      <w:r>
        <w:rPr>
          <w:rFonts w:ascii="Arial" w:cs="Arial" w:eastAsia="Arial" w:hAnsi="Arial"/>
          <w:sz w:val="16"/>
          <w:szCs w:val="16"/>
          <w:color w:val="auto"/>
        </w:rPr>
        <w:t>In 2008, the decrease in interest expense was primarily the result of lower interest rates.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4"/>
        <w:spacing w:after="0"/>
        <w:rPr>
          <w:sz w:val="20"/>
          <w:szCs w:val="20"/>
          <w:color w:val="auto"/>
        </w:rPr>
      </w:pPr>
      <w:r>
        <w:rPr>
          <w:rFonts w:ascii="Arial" w:cs="Arial" w:eastAsia="Arial" w:hAnsi="Arial"/>
          <w:sz w:val="14"/>
          <w:szCs w:val="14"/>
          <w:color w:val="auto"/>
        </w:rPr>
        <w:t>24</w:t>
      </w:r>
    </w:p>
    <w:p>
      <w:pPr>
        <w:sectPr>
          <w:pgSz w:w="11900" w:h="16838" w:orient="portrait"/>
          <w:cols w:equalWidth="0" w:num="1">
            <w:col w:w="10824"/>
          </w:cols>
          <w:pgMar w:left="236" w:top="293" w:right="839" w:bottom="1440" w:gutter="0" w:footer="0" w:header="0"/>
        </w:sectPr>
      </w:pPr>
    </w:p>
    <w:bookmarkStart w:id="164" w:name="page165"/>
    <w:bookmarkEnd w:id="164"/>
    <w:p>
      <w:pPr>
        <w:ind w:left="4"/>
        <w:spacing w:after="0"/>
        <w:rPr>
          <w:sz w:val="20"/>
          <w:szCs w:val="20"/>
          <w:color w:val="auto"/>
        </w:rPr>
      </w:pPr>
      <w:r>
        <w:rPr>
          <w:rFonts w:ascii="Arial" w:cs="Arial" w:eastAsia="Arial" w:hAnsi="Arial"/>
          <w:sz w:val="18"/>
          <w:szCs w:val="18"/>
          <w:b w:val="1"/>
          <w:bCs w:val="1"/>
          <w:i w:val="1"/>
          <w:iCs w:val="1"/>
          <w:color w:val="auto"/>
        </w:rPr>
        <w:t>Income Taxes</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6"/>
          <w:szCs w:val="16"/>
          <w:color w:val="auto"/>
        </w:rPr>
        <w:t>The table below shows the income tax expense and effective income tax rates for Sempra Energy, SDG&amp;E, PE and SoCalGas.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1456690</wp:posOffset>
            </wp:positionH>
            <wp:positionV relativeFrom="paragraph">
              <wp:posOffset>196215</wp:posOffset>
            </wp:positionV>
            <wp:extent cx="4347845" cy="24384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4347845" cy="243840"/>
                    </a:xfrm>
                    <a:prstGeom prst="rect">
                      <a:avLst/>
                    </a:prstGeom>
                    <a:noFill/>
                  </pic:spPr>
                </pic:pic>
              </a:graphicData>
            </a:graphic>
          </wp:anchor>
        </w:drawing>
      </w:r>
    </w:p>
    <w:p>
      <w:pPr>
        <w:spacing w:after="0" w:line="297" w:lineRule="exact"/>
        <w:rPr>
          <w:sz w:val="20"/>
          <w:szCs w:val="20"/>
          <w:color w:val="auto"/>
        </w:rPr>
      </w:pPr>
    </w:p>
    <w:p>
      <w:pPr>
        <w:ind w:left="2304"/>
        <w:spacing w:after="0"/>
        <w:rPr>
          <w:sz w:val="20"/>
          <w:szCs w:val="20"/>
          <w:color w:val="auto"/>
        </w:rPr>
      </w:pPr>
      <w:r>
        <w:rPr>
          <w:rFonts w:ascii="Arial" w:cs="Arial" w:eastAsia="Arial" w:hAnsi="Arial"/>
          <w:sz w:val="14"/>
          <w:szCs w:val="14"/>
          <w:b w:val="1"/>
          <w:bCs w:val="1"/>
          <w:color w:val="auto"/>
        </w:rPr>
        <w:t>INCOME TAX EXPENSE AND EFFECTIVE INCOME TAX RATES 2006-2008</w:t>
      </w:r>
    </w:p>
    <w:p>
      <w:pPr>
        <w:spacing w:after="0" w:line="40" w:lineRule="exact"/>
        <w:rPr>
          <w:sz w:val="20"/>
          <w:szCs w:val="20"/>
          <w:color w:val="auto"/>
        </w:rPr>
      </w:pPr>
    </w:p>
    <w:p>
      <w:pPr>
        <w:ind w:left="2304"/>
        <w:spacing w:after="0"/>
        <w:rPr>
          <w:sz w:val="20"/>
          <w:szCs w:val="20"/>
          <w:color w:val="auto"/>
        </w:rPr>
      </w:pPr>
      <w:r>
        <w:rPr>
          <w:rFonts w:ascii="Arial" w:cs="Arial" w:eastAsia="Arial" w:hAnsi="Arial"/>
          <w:sz w:val="13"/>
          <w:szCs w:val="13"/>
          <w:i w:val="1"/>
          <w:iCs w:val="1"/>
          <w:color w:val="auto"/>
        </w:rPr>
        <w:t>(Dollars in millions)</w:t>
      </w:r>
    </w:p>
    <w:p>
      <w:pPr>
        <w:spacing w:after="0" w:line="67" w:lineRule="exact"/>
        <w:rPr>
          <w:sz w:val="20"/>
          <w:szCs w:val="20"/>
          <w:color w:val="auto"/>
        </w:rPr>
      </w:pPr>
    </w:p>
    <w:tbl>
      <w:tblPr>
        <w:tblLayout w:type="fixed"/>
        <w:tblInd w:w="2304" w:type="dxa"/>
        <w:tblCellMar>
          <w:top w:w="0" w:type="dxa"/>
          <w:left w:w="0" w:type="dxa"/>
          <w:bottom w:w="0" w:type="dxa"/>
          <w:right w:w="0" w:type="dxa"/>
        </w:tblCellMar>
      </w:tblPr>
      <w:tr>
        <w:trPr>
          <w:trHeight w:val="159"/>
        </w:trPr>
        <w:tc>
          <w:tcPr>
            <w:tcW w:w="140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1840" w:type="dxa"/>
            <w:vAlign w:val="bottom"/>
            <w:tcBorders>
              <w:bottom w:val="single" w:sz="8" w:color="auto"/>
            </w:tcBorders>
            <w:gridSpan w:val="2"/>
          </w:tcPr>
          <w:p>
            <w:pPr>
              <w:ind w:left="140"/>
              <w:spacing w:after="0"/>
              <w:rPr>
                <w:sz w:val="20"/>
                <w:szCs w:val="20"/>
                <w:color w:val="auto"/>
              </w:rPr>
            </w:pPr>
            <w:r>
              <w:rPr>
                <w:rFonts w:ascii="Arial" w:cs="Arial" w:eastAsia="Arial" w:hAnsi="Arial"/>
                <w:sz w:val="13"/>
                <w:szCs w:val="13"/>
                <w:color w:val="auto"/>
              </w:rPr>
              <w:t>Years ended December 31,</w:t>
            </w:r>
          </w:p>
        </w:tc>
        <w:tc>
          <w:tcPr>
            <w:tcW w:w="92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r>
      <w:tr>
        <w:trPr>
          <w:trHeight w:val="208"/>
        </w:trPr>
        <w:tc>
          <w:tcPr>
            <w:tcW w:w="140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gridSpan w:val="2"/>
          </w:tcPr>
          <w:p>
            <w:pPr>
              <w:jc w:val="right"/>
              <w:ind w:right="751"/>
              <w:spacing w:after="0"/>
              <w:rPr>
                <w:sz w:val="20"/>
                <w:szCs w:val="20"/>
                <w:color w:val="auto"/>
              </w:rPr>
            </w:pPr>
            <w:r>
              <w:rPr>
                <w:rFonts w:ascii="Arial" w:cs="Arial" w:eastAsia="Arial" w:hAnsi="Arial"/>
                <w:sz w:val="13"/>
                <w:szCs w:val="13"/>
                <w:color w:val="auto"/>
              </w:rPr>
              <w:t>2008</w:t>
            </w:r>
          </w:p>
        </w:tc>
        <w:tc>
          <w:tcPr>
            <w:tcW w:w="1840" w:type="dxa"/>
            <w:vAlign w:val="bottom"/>
            <w:tcBorders>
              <w:bottom w:val="single" w:sz="8" w:color="auto"/>
            </w:tcBorders>
            <w:gridSpan w:val="2"/>
          </w:tcPr>
          <w:p>
            <w:pPr>
              <w:jc w:val="right"/>
              <w:ind w:right="771"/>
              <w:spacing w:after="0"/>
              <w:rPr>
                <w:sz w:val="20"/>
                <w:szCs w:val="20"/>
                <w:color w:val="auto"/>
              </w:rPr>
            </w:pPr>
            <w:r>
              <w:rPr>
                <w:rFonts w:ascii="Arial" w:cs="Arial" w:eastAsia="Arial" w:hAnsi="Arial"/>
                <w:sz w:val="13"/>
                <w:szCs w:val="13"/>
                <w:color w:val="auto"/>
              </w:rPr>
              <w:t>2007</w:t>
            </w:r>
          </w:p>
        </w:tc>
        <w:tc>
          <w:tcPr>
            <w:tcW w:w="1800" w:type="dxa"/>
            <w:vAlign w:val="bottom"/>
            <w:tcBorders>
              <w:bottom w:val="single" w:sz="8" w:color="auto"/>
            </w:tcBorders>
            <w:gridSpan w:val="2"/>
          </w:tcPr>
          <w:p>
            <w:pPr>
              <w:jc w:val="right"/>
              <w:ind w:right="671"/>
              <w:spacing w:after="0"/>
              <w:rPr>
                <w:sz w:val="20"/>
                <w:szCs w:val="20"/>
                <w:color w:val="auto"/>
              </w:rPr>
            </w:pPr>
            <w:r>
              <w:rPr>
                <w:rFonts w:ascii="Arial" w:cs="Arial" w:eastAsia="Arial" w:hAnsi="Arial"/>
                <w:sz w:val="13"/>
                <w:szCs w:val="13"/>
                <w:color w:val="auto"/>
              </w:rPr>
              <w:t>2006</w:t>
            </w:r>
          </w:p>
        </w:tc>
      </w:tr>
      <w:tr>
        <w:trPr>
          <w:trHeight w:val="167"/>
        </w:trPr>
        <w:tc>
          <w:tcPr>
            <w:tcW w:w="1400" w:type="dxa"/>
            <w:vAlign w:val="bottom"/>
          </w:tcPr>
          <w:p>
            <w:pPr>
              <w:spacing w:after="0"/>
              <w:rPr>
                <w:sz w:val="14"/>
                <w:szCs w:val="14"/>
                <w:color w:val="auto"/>
              </w:rPr>
            </w:pPr>
          </w:p>
        </w:tc>
        <w:tc>
          <w:tcPr>
            <w:tcW w:w="860" w:type="dxa"/>
            <w:vAlign w:val="bottom"/>
            <w:gridSpan w:val="2"/>
          </w:tcPr>
          <w:p>
            <w:pPr>
              <w:ind w:left="140"/>
              <w:spacing w:after="0"/>
              <w:rPr>
                <w:sz w:val="20"/>
                <w:szCs w:val="20"/>
                <w:color w:val="auto"/>
              </w:rPr>
            </w:pPr>
            <w:r>
              <w:rPr>
                <w:rFonts w:ascii="Arial" w:cs="Arial" w:eastAsia="Arial" w:hAnsi="Arial"/>
                <w:sz w:val="13"/>
                <w:szCs w:val="13"/>
                <w:color w:val="auto"/>
              </w:rPr>
              <w:t>Income Tax</w:t>
            </w:r>
          </w:p>
        </w:tc>
        <w:tc>
          <w:tcPr>
            <w:tcW w:w="940" w:type="dxa"/>
            <w:vAlign w:val="bottom"/>
          </w:tcPr>
          <w:p>
            <w:pPr>
              <w:ind w:left="60"/>
              <w:spacing w:after="0"/>
              <w:rPr>
                <w:sz w:val="20"/>
                <w:szCs w:val="20"/>
                <w:color w:val="auto"/>
              </w:rPr>
            </w:pPr>
            <w:r>
              <w:rPr>
                <w:rFonts w:ascii="Arial" w:cs="Arial" w:eastAsia="Arial" w:hAnsi="Arial"/>
                <w:sz w:val="13"/>
                <w:szCs w:val="13"/>
                <w:color w:val="auto"/>
              </w:rPr>
              <w:t>Effective Tax</w:t>
            </w:r>
          </w:p>
        </w:tc>
        <w:tc>
          <w:tcPr>
            <w:tcW w:w="860" w:type="dxa"/>
            <w:vAlign w:val="bottom"/>
          </w:tcPr>
          <w:p>
            <w:pPr>
              <w:ind w:left="140"/>
              <w:spacing w:after="0"/>
              <w:rPr>
                <w:sz w:val="20"/>
                <w:szCs w:val="20"/>
                <w:color w:val="auto"/>
              </w:rPr>
            </w:pPr>
            <w:r>
              <w:rPr>
                <w:rFonts w:ascii="Arial" w:cs="Arial" w:eastAsia="Arial" w:hAnsi="Arial"/>
                <w:sz w:val="13"/>
                <w:szCs w:val="13"/>
                <w:color w:val="auto"/>
              </w:rPr>
              <w:t>Income Tax</w:t>
            </w:r>
          </w:p>
        </w:tc>
        <w:tc>
          <w:tcPr>
            <w:tcW w:w="980" w:type="dxa"/>
            <w:vAlign w:val="bottom"/>
          </w:tcPr>
          <w:p>
            <w:pPr>
              <w:ind w:left="80"/>
              <w:spacing w:after="0"/>
              <w:rPr>
                <w:sz w:val="20"/>
                <w:szCs w:val="20"/>
                <w:color w:val="auto"/>
              </w:rPr>
            </w:pPr>
            <w:r>
              <w:rPr>
                <w:rFonts w:ascii="Arial" w:cs="Arial" w:eastAsia="Arial" w:hAnsi="Arial"/>
                <w:sz w:val="13"/>
                <w:szCs w:val="13"/>
                <w:color w:val="auto"/>
              </w:rPr>
              <w:t>Effective Tax</w:t>
            </w:r>
          </w:p>
        </w:tc>
        <w:tc>
          <w:tcPr>
            <w:tcW w:w="920" w:type="dxa"/>
            <w:vAlign w:val="bottom"/>
          </w:tcPr>
          <w:p>
            <w:pPr>
              <w:jc w:val="right"/>
              <w:ind w:right="31"/>
              <w:spacing w:after="0"/>
              <w:rPr>
                <w:sz w:val="20"/>
                <w:szCs w:val="20"/>
                <w:color w:val="auto"/>
              </w:rPr>
            </w:pPr>
            <w:r>
              <w:rPr>
                <w:rFonts w:ascii="Arial" w:cs="Arial" w:eastAsia="Arial" w:hAnsi="Arial"/>
                <w:sz w:val="13"/>
                <w:szCs w:val="13"/>
                <w:color w:val="auto"/>
              </w:rPr>
              <w:t>Income Tax</w:t>
            </w:r>
          </w:p>
        </w:tc>
        <w:tc>
          <w:tcPr>
            <w:tcW w:w="880" w:type="dxa"/>
            <w:vAlign w:val="bottom"/>
          </w:tcPr>
          <w:p>
            <w:pPr>
              <w:ind w:left="80"/>
              <w:spacing w:after="0"/>
              <w:rPr>
                <w:sz w:val="20"/>
                <w:szCs w:val="20"/>
                <w:color w:val="auto"/>
              </w:rPr>
            </w:pPr>
            <w:r>
              <w:rPr>
                <w:rFonts w:ascii="Arial" w:cs="Arial" w:eastAsia="Arial" w:hAnsi="Arial"/>
                <w:sz w:val="13"/>
                <w:szCs w:val="13"/>
                <w:color w:val="auto"/>
              </w:rPr>
              <w:t>Effective Tax</w:t>
            </w:r>
          </w:p>
        </w:tc>
      </w:tr>
      <w:tr>
        <w:trPr>
          <w:trHeight w:val="158"/>
        </w:trPr>
        <w:tc>
          <w:tcPr>
            <w:tcW w:w="1400" w:type="dxa"/>
            <w:vAlign w:val="bottom"/>
          </w:tcPr>
          <w:p>
            <w:pPr>
              <w:spacing w:after="0"/>
              <w:rPr>
                <w:sz w:val="13"/>
                <w:szCs w:val="13"/>
                <w:color w:val="auto"/>
              </w:rPr>
            </w:pPr>
          </w:p>
        </w:tc>
        <w:tc>
          <w:tcPr>
            <w:tcW w:w="860" w:type="dxa"/>
            <w:vAlign w:val="bottom"/>
            <w:tcBorders>
              <w:bottom w:val="single" w:sz="8" w:color="auto"/>
            </w:tcBorders>
            <w:gridSpan w:val="2"/>
          </w:tcPr>
          <w:p>
            <w:pPr>
              <w:jc w:val="right"/>
              <w:ind w:right="90"/>
              <w:spacing w:after="0"/>
              <w:rPr>
                <w:sz w:val="20"/>
                <w:szCs w:val="20"/>
                <w:color w:val="auto"/>
              </w:rPr>
            </w:pPr>
            <w:r>
              <w:rPr>
                <w:rFonts w:ascii="Arial" w:cs="Arial" w:eastAsia="Arial" w:hAnsi="Arial"/>
                <w:sz w:val="13"/>
                <w:szCs w:val="13"/>
                <w:color w:val="auto"/>
              </w:rPr>
              <w:t>Expense</w:t>
            </w:r>
          </w:p>
        </w:tc>
        <w:tc>
          <w:tcPr>
            <w:tcW w:w="940" w:type="dxa"/>
            <w:vAlign w:val="bottom"/>
            <w:tcBorders>
              <w:bottom w:val="single" w:sz="8" w:color="auto"/>
            </w:tcBorders>
          </w:tcPr>
          <w:p>
            <w:pPr>
              <w:ind w:left="300"/>
              <w:spacing w:after="0"/>
              <w:rPr>
                <w:sz w:val="20"/>
                <w:szCs w:val="20"/>
                <w:color w:val="auto"/>
              </w:rPr>
            </w:pPr>
            <w:r>
              <w:rPr>
                <w:rFonts w:ascii="Arial" w:cs="Arial" w:eastAsia="Arial" w:hAnsi="Arial"/>
                <w:sz w:val="13"/>
                <w:szCs w:val="13"/>
                <w:color w:val="auto"/>
              </w:rPr>
              <w:t>Rate</w:t>
            </w:r>
          </w:p>
        </w:tc>
        <w:tc>
          <w:tcPr>
            <w:tcW w:w="860" w:type="dxa"/>
            <w:vAlign w:val="bottom"/>
            <w:tcBorders>
              <w:bottom w:val="single" w:sz="8" w:color="auto"/>
            </w:tcBorders>
          </w:tcPr>
          <w:p>
            <w:pPr>
              <w:jc w:val="right"/>
              <w:ind w:right="72"/>
              <w:spacing w:after="0"/>
              <w:rPr>
                <w:sz w:val="20"/>
                <w:szCs w:val="20"/>
                <w:color w:val="auto"/>
              </w:rPr>
            </w:pPr>
            <w:r>
              <w:rPr>
                <w:rFonts w:ascii="Arial" w:cs="Arial" w:eastAsia="Arial" w:hAnsi="Arial"/>
                <w:sz w:val="13"/>
                <w:szCs w:val="13"/>
                <w:color w:val="auto"/>
              </w:rPr>
              <w:t>Expense</w:t>
            </w:r>
          </w:p>
        </w:tc>
        <w:tc>
          <w:tcPr>
            <w:tcW w:w="980" w:type="dxa"/>
            <w:vAlign w:val="bottom"/>
            <w:tcBorders>
              <w:bottom w:val="single" w:sz="8" w:color="auto"/>
            </w:tcBorders>
          </w:tcPr>
          <w:p>
            <w:pPr>
              <w:ind w:left="300"/>
              <w:spacing w:after="0"/>
              <w:rPr>
                <w:sz w:val="20"/>
                <w:szCs w:val="20"/>
                <w:color w:val="auto"/>
              </w:rPr>
            </w:pPr>
            <w:r>
              <w:rPr>
                <w:rFonts w:ascii="Arial" w:cs="Arial" w:eastAsia="Arial" w:hAnsi="Arial"/>
                <w:sz w:val="13"/>
                <w:szCs w:val="13"/>
                <w:color w:val="auto"/>
              </w:rPr>
              <w:t>Rate</w:t>
            </w:r>
          </w:p>
        </w:tc>
        <w:tc>
          <w:tcPr>
            <w:tcW w:w="920" w:type="dxa"/>
            <w:vAlign w:val="bottom"/>
            <w:tcBorders>
              <w:bottom w:val="single" w:sz="8" w:color="auto"/>
            </w:tcBorders>
          </w:tcPr>
          <w:p>
            <w:pPr>
              <w:jc w:val="right"/>
              <w:ind w:right="111"/>
              <w:spacing w:after="0"/>
              <w:rPr>
                <w:sz w:val="20"/>
                <w:szCs w:val="20"/>
                <w:color w:val="auto"/>
              </w:rPr>
            </w:pPr>
            <w:r>
              <w:rPr>
                <w:rFonts w:ascii="Arial" w:cs="Arial" w:eastAsia="Arial" w:hAnsi="Arial"/>
                <w:sz w:val="13"/>
                <w:szCs w:val="13"/>
                <w:color w:val="auto"/>
              </w:rPr>
              <w:t>Expense</w:t>
            </w:r>
          </w:p>
        </w:tc>
        <w:tc>
          <w:tcPr>
            <w:tcW w:w="880" w:type="dxa"/>
            <w:vAlign w:val="bottom"/>
            <w:tcBorders>
              <w:bottom w:val="single" w:sz="8" w:color="auto"/>
            </w:tcBorders>
          </w:tcPr>
          <w:p>
            <w:pPr>
              <w:ind w:left="320"/>
              <w:spacing w:after="0"/>
              <w:rPr>
                <w:sz w:val="20"/>
                <w:szCs w:val="20"/>
                <w:color w:val="auto"/>
              </w:rPr>
            </w:pPr>
            <w:r>
              <w:rPr>
                <w:rFonts w:ascii="Arial" w:cs="Arial" w:eastAsia="Arial" w:hAnsi="Arial"/>
                <w:sz w:val="13"/>
                <w:szCs w:val="13"/>
                <w:color w:val="auto"/>
              </w:rPr>
              <w:t>Rate</w:t>
            </w:r>
          </w:p>
        </w:tc>
      </w:tr>
      <w:tr>
        <w:trPr>
          <w:trHeight w:val="182"/>
        </w:trPr>
        <w:tc>
          <w:tcPr>
            <w:tcW w:w="1400" w:type="dxa"/>
            <w:vAlign w:val="bottom"/>
          </w:tcPr>
          <w:p>
            <w:pPr>
              <w:spacing w:after="0"/>
              <w:rPr>
                <w:sz w:val="20"/>
                <w:szCs w:val="20"/>
                <w:color w:val="auto"/>
              </w:rPr>
            </w:pPr>
            <w:r>
              <w:rPr>
                <w:rFonts w:ascii="Arial" w:cs="Arial" w:eastAsia="Arial" w:hAnsi="Arial"/>
                <w:sz w:val="14"/>
                <w:szCs w:val="14"/>
                <w:color w:val="auto"/>
              </w:rPr>
              <w:t>Sempra Energy</w:t>
            </w:r>
          </w:p>
        </w:tc>
        <w:tc>
          <w:tcPr>
            <w:tcW w:w="3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72"/>
        </w:trPr>
        <w:tc>
          <w:tcPr>
            <w:tcW w:w="1400" w:type="dxa"/>
            <w:vAlign w:val="bottom"/>
          </w:tcPr>
          <w:p>
            <w:pPr>
              <w:ind w:left="120"/>
              <w:spacing w:after="0"/>
              <w:rPr>
                <w:sz w:val="20"/>
                <w:szCs w:val="20"/>
                <w:color w:val="auto"/>
              </w:rPr>
            </w:pPr>
            <w:r>
              <w:rPr>
                <w:rFonts w:ascii="Arial" w:cs="Arial" w:eastAsia="Arial" w:hAnsi="Arial"/>
                <w:sz w:val="14"/>
                <w:szCs w:val="14"/>
                <w:color w:val="auto"/>
              </w:rPr>
              <w:t>Consolidated</w:t>
            </w:r>
          </w:p>
        </w:tc>
        <w:tc>
          <w:tcPr>
            <w:tcW w:w="360" w:type="dxa"/>
            <w:vAlign w:val="bottom"/>
          </w:tcPr>
          <w:p>
            <w:pPr>
              <w:ind w:left="140"/>
              <w:spacing w:after="0"/>
              <w:rPr>
                <w:sz w:val="20"/>
                <w:szCs w:val="20"/>
                <w:color w:val="auto"/>
              </w:rPr>
            </w:pPr>
            <w:r>
              <w:rPr>
                <w:rFonts w:ascii="Arial" w:cs="Arial" w:eastAsia="Arial" w:hAnsi="Arial"/>
                <w:sz w:val="14"/>
                <w:szCs w:val="14"/>
                <w:color w:val="auto"/>
              </w:rPr>
              <w:t>$</w:t>
            </w:r>
          </w:p>
        </w:tc>
        <w:tc>
          <w:tcPr>
            <w:tcW w:w="500" w:type="dxa"/>
            <w:vAlign w:val="bottom"/>
          </w:tcPr>
          <w:p>
            <w:pPr>
              <w:jc w:val="right"/>
              <w:ind w:right="70"/>
              <w:spacing w:after="0"/>
              <w:rPr>
                <w:sz w:val="20"/>
                <w:szCs w:val="20"/>
                <w:color w:val="auto"/>
              </w:rPr>
            </w:pPr>
            <w:r>
              <w:rPr>
                <w:rFonts w:ascii="Arial" w:cs="Arial" w:eastAsia="Arial" w:hAnsi="Arial"/>
                <w:sz w:val="14"/>
                <w:szCs w:val="14"/>
                <w:color w:val="auto"/>
              </w:rPr>
              <w:t>438</w:t>
            </w:r>
          </w:p>
        </w:tc>
        <w:tc>
          <w:tcPr>
            <w:tcW w:w="940" w:type="dxa"/>
            <w:vAlign w:val="bottom"/>
          </w:tcPr>
          <w:p>
            <w:pPr>
              <w:ind w:left="300"/>
              <w:spacing w:after="0"/>
              <w:rPr>
                <w:sz w:val="20"/>
                <w:szCs w:val="20"/>
                <w:color w:val="auto"/>
              </w:rPr>
            </w:pPr>
            <w:r>
              <w:rPr>
                <w:rFonts w:ascii="Arial" w:cs="Arial" w:eastAsia="Arial" w:hAnsi="Arial"/>
                <w:sz w:val="14"/>
                <w:szCs w:val="14"/>
                <w:color w:val="auto"/>
              </w:rPr>
              <w:t>29 %</w:t>
            </w:r>
          </w:p>
        </w:tc>
        <w:tc>
          <w:tcPr>
            <w:tcW w:w="860" w:type="dxa"/>
            <w:vAlign w:val="bottom"/>
          </w:tcPr>
          <w:p>
            <w:pPr>
              <w:jc w:val="right"/>
              <w:ind w:right="112"/>
              <w:spacing w:after="0"/>
              <w:rPr>
                <w:sz w:val="20"/>
                <w:szCs w:val="20"/>
                <w:color w:val="auto"/>
              </w:rPr>
            </w:pPr>
            <w:r>
              <w:rPr>
                <w:rFonts w:ascii="Arial" w:cs="Arial" w:eastAsia="Arial" w:hAnsi="Arial"/>
                <w:sz w:val="14"/>
                <w:szCs w:val="14"/>
                <w:color w:val="auto"/>
              </w:rPr>
              <w:t>$   524</w:t>
            </w:r>
          </w:p>
        </w:tc>
        <w:tc>
          <w:tcPr>
            <w:tcW w:w="980" w:type="dxa"/>
            <w:vAlign w:val="bottom"/>
          </w:tcPr>
          <w:p>
            <w:pPr>
              <w:ind w:left="200"/>
              <w:spacing w:after="0"/>
              <w:rPr>
                <w:sz w:val="20"/>
                <w:szCs w:val="20"/>
                <w:color w:val="auto"/>
              </w:rPr>
            </w:pPr>
            <w:r>
              <w:rPr>
                <w:rFonts w:ascii="Arial" w:cs="Arial" w:eastAsia="Arial" w:hAnsi="Arial"/>
                <w:sz w:val="14"/>
                <w:szCs w:val="14"/>
                <w:color w:val="auto"/>
              </w:rPr>
              <w:t>34 %</w:t>
            </w:r>
          </w:p>
        </w:tc>
        <w:tc>
          <w:tcPr>
            <w:tcW w:w="920" w:type="dxa"/>
            <w:vAlign w:val="bottom"/>
          </w:tcPr>
          <w:p>
            <w:pPr>
              <w:jc w:val="right"/>
              <w:ind w:right="151"/>
              <w:spacing w:after="0"/>
              <w:rPr>
                <w:sz w:val="20"/>
                <w:szCs w:val="20"/>
                <w:color w:val="auto"/>
              </w:rPr>
            </w:pPr>
            <w:r>
              <w:rPr>
                <w:rFonts w:ascii="Arial" w:cs="Arial" w:eastAsia="Arial" w:hAnsi="Arial"/>
                <w:sz w:val="14"/>
                <w:szCs w:val="14"/>
                <w:color w:val="auto"/>
              </w:rPr>
              <w:t>$   641</w:t>
            </w:r>
          </w:p>
        </w:tc>
        <w:tc>
          <w:tcPr>
            <w:tcW w:w="880" w:type="dxa"/>
            <w:vAlign w:val="bottom"/>
          </w:tcPr>
          <w:p>
            <w:pPr>
              <w:ind w:left="340"/>
              <w:spacing w:after="0"/>
              <w:rPr>
                <w:sz w:val="20"/>
                <w:szCs w:val="20"/>
                <w:color w:val="auto"/>
              </w:rPr>
            </w:pPr>
            <w:r>
              <w:rPr>
                <w:rFonts w:ascii="Arial" w:cs="Arial" w:eastAsia="Arial" w:hAnsi="Arial"/>
                <w:sz w:val="14"/>
                <w:szCs w:val="14"/>
                <w:color w:val="auto"/>
              </w:rPr>
              <w:t>33 %</w:t>
            </w:r>
          </w:p>
        </w:tc>
      </w:tr>
      <w:tr>
        <w:trPr>
          <w:trHeight w:val="216"/>
        </w:trPr>
        <w:tc>
          <w:tcPr>
            <w:tcW w:w="1400" w:type="dxa"/>
            <w:vAlign w:val="bottom"/>
          </w:tcPr>
          <w:p>
            <w:pPr>
              <w:spacing w:after="0"/>
              <w:rPr>
                <w:sz w:val="20"/>
                <w:szCs w:val="20"/>
                <w:color w:val="auto"/>
              </w:rPr>
            </w:pPr>
            <w:r>
              <w:rPr>
                <w:rFonts w:ascii="Arial" w:cs="Arial" w:eastAsia="Arial" w:hAnsi="Arial"/>
                <w:sz w:val="14"/>
                <w:szCs w:val="14"/>
                <w:color w:val="auto"/>
              </w:rPr>
              <w:t>SDG&amp;E</w:t>
            </w:r>
          </w:p>
        </w:tc>
        <w:tc>
          <w:tcPr>
            <w:tcW w:w="360" w:type="dxa"/>
            <w:vAlign w:val="bottom"/>
          </w:tcPr>
          <w:p>
            <w:pPr>
              <w:spacing w:after="0"/>
              <w:rPr>
                <w:sz w:val="18"/>
                <w:szCs w:val="18"/>
                <w:color w:val="auto"/>
              </w:rPr>
            </w:pPr>
          </w:p>
        </w:tc>
        <w:tc>
          <w:tcPr>
            <w:tcW w:w="500" w:type="dxa"/>
            <w:vAlign w:val="bottom"/>
          </w:tcPr>
          <w:p>
            <w:pPr>
              <w:jc w:val="right"/>
              <w:ind w:right="70"/>
              <w:spacing w:after="0"/>
              <w:rPr>
                <w:sz w:val="20"/>
                <w:szCs w:val="20"/>
                <w:color w:val="auto"/>
              </w:rPr>
            </w:pPr>
            <w:r>
              <w:rPr>
                <w:rFonts w:ascii="Arial" w:cs="Arial" w:eastAsia="Arial" w:hAnsi="Arial"/>
                <w:sz w:val="14"/>
                <w:szCs w:val="14"/>
                <w:color w:val="auto"/>
              </w:rPr>
              <w:t>161</w:t>
            </w:r>
          </w:p>
        </w:tc>
        <w:tc>
          <w:tcPr>
            <w:tcW w:w="940" w:type="dxa"/>
            <w:vAlign w:val="bottom"/>
          </w:tcPr>
          <w:p>
            <w:pPr>
              <w:ind w:left="300"/>
              <w:spacing w:after="0"/>
              <w:rPr>
                <w:sz w:val="20"/>
                <w:szCs w:val="20"/>
                <w:color w:val="auto"/>
              </w:rPr>
            </w:pPr>
            <w:r>
              <w:rPr>
                <w:rFonts w:ascii="Arial" w:cs="Arial" w:eastAsia="Arial" w:hAnsi="Arial"/>
                <w:sz w:val="14"/>
                <w:szCs w:val="14"/>
                <w:color w:val="auto"/>
              </w:rPr>
              <w:t>32</w:t>
            </w:r>
          </w:p>
        </w:tc>
        <w:tc>
          <w:tcPr>
            <w:tcW w:w="860" w:type="dxa"/>
            <w:vAlign w:val="bottom"/>
          </w:tcPr>
          <w:p>
            <w:pPr>
              <w:jc w:val="right"/>
              <w:ind w:right="112"/>
              <w:spacing w:after="0"/>
              <w:rPr>
                <w:sz w:val="20"/>
                <w:szCs w:val="20"/>
                <w:color w:val="auto"/>
              </w:rPr>
            </w:pPr>
            <w:r>
              <w:rPr>
                <w:rFonts w:ascii="Arial" w:cs="Arial" w:eastAsia="Arial" w:hAnsi="Arial"/>
                <w:sz w:val="14"/>
                <w:szCs w:val="14"/>
                <w:color w:val="auto"/>
              </w:rPr>
              <w:t>135</w:t>
            </w:r>
          </w:p>
        </w:tc>
        <w:tc>
          <w:tcPr>
            <w:tcW w:w="980" w:type="dxa"/>
            <w:vAlign w:val="bottom"/>
          </w:tcPr>
          <w:p>
            <w:pPr>
              <w:ind w:left="200"/>
              <w:spacing w:after="0"/>
              <w:rPr>
                <w:sz w:val="20"/>
                <w:szCs w:val="20"/>
                <w:color w:val="auto"/>
              </w:rPr>
            </w:pPr>
            <w:r>
              <w:rPr>
                <w:rFonts w:ascii="Arial" w:cs="Arial" w:eastAsia="Arial" w:hAnsi="Arial"/>
                <w:sz w:val="14"/>
                <w:szCs w:val="14"/>
                <w:color w:val="auto"/>
              </w:rPr>
              <w:t>32</w:t>
            </w:r>
          </w:p>
        </w:tc>
        <w:tc>
          <w:tcPr>
            <w:tcW w:w="920" w:type="dxa"/>
            <w:vAlign w:val="bottom"/>
          </w:tcPr>
          <w:p>
            <w:pPr>
              <w:jc w:val="right"/>
              <w:ind w:right="151"/>
              <w:spacing w:after="0"/>
              <w:rPr>
                <w:sz w:val="20"/>
                <w:szCs w:val="20"/>
                <w:color w:val="auto"/>
              </w:rPr>
            </w:pPr>
            <w:r>
              <w:rPr>
                <w:rFonts w:ascii="Arial" w:cs="Arial" w:eastAsia="Arial" w:hAnsi="Arial"/>
                <w:sz w:val="14"/>
                <w:szCs w:val="14"/>
                <w:color w:val="auto"/>
              </w:rPr>
              <w:t>152</w:t>
            </w:r>
          </w:p>
        </w:tc>
        <w:tc>
          <w:tcPr>
            <w:tcW w:w="880" w:type="dxa"/>
            <w:vAlign w:val="bottom"/>
          </w:tcPr>
          <w:p>
            <w:pPr>
              <w:ind w:left="340"/>
              <w:spacing w:after="0"/>
              <w:rPr>
                <w:sz w:val="20"/>
                <w:szCs w:val="20"/>
                <w:color w:val="auto"/>
              </w:rPr>
            </w:pPr>
            <w:r>
              <w:rPr>
                <w:rFonts w:ascii="Arial" w:cs="Arial" w:eastAsia="Arial" w:hAnsi="Arial"/>
                <w:sz w:val="14"/>
                <w:szCs w:val="14"/>
                <w:color w:val="auto"/>
              </w:rPr>
              <w:t>39</w:t>
            </w:r>
          </w:p>
        </w:tc>
      </w:tr>
      <w:tr>
        <w:trPr>
          <w:trHeight w:val="216"/>
        </w:trPr>
        <w:tc>
          <w:tcPr>
            <w:tcW w:w="1400" w:type="dxa"/>
            <w:vAlign w:val="bottom"/>
          </w:tcPr>
          <w:p>
            <w:pPr>
              <w:spacing w:after="0"/>
              <w:rPr>
                <w:sz w:val="20"/>
                <w:szCs w:val="20"/>
                <w:color w:val="auto"/>
              </w:rPr>
            </w:pPr>
            <w:r>
              <w:rPr>
                <w:rFonts w:ascii="Arial" w:cs="Arial" w:eastAsia="Arial" w:hAnsi="Arial"/>
                <w:sz w:val="14"/>
                <w:szCs w:val="14"/>
                <w:color w:val="auto"/>
              </w:rPr>
              <w:t>PE</w:t>
            </w:r>
          </w:p>
        </w:tc>
        <w:tc>
          <w:tcPr>
            <w:tcW w:w="360" w:type="dxa"/>
            <w:vAlign w:val="bottom"/>
          </w:tcPr>
          <w:p>
            <w:pPr>
              <w:spacing w:after="0"/>
              <w:rPr>
                <w:sz w:val="18"/>
                <w:szCs w:val="18"/>
                <w:color w:val="auto"/>
              </w:rPr>
            </w:pPr>
          </w:p>
        </w:tc>
        <w:tc>
          <w:tcPr>
            <w:tcW w:w="500" w:type="dxa"/>
            <w:vAlign w:val="bottom"/>
          </w:tcPr>
          <w:p>
            <w:pPr>
              <w:jc w:val="right"/>
              <w:ind w:right="70"/>
              <w:spacing w:after="0"/>
              <w:rPr>
                <w:sz w:val="20"/>
                <w:szCs w:val="20"/>
                <w:color w:val="auto"/>
              </w:rPr>
            </w:pPr>
            <w:r>
              <w:rPr>
                <w:rFonts w:ascii="Arial" w:cs="Arial" w:eastAsia="Arial" w:hAnsi="Arial"/>
                <w:sz w:val="14"/>
                <w:szCs w:val="14"/>
                <w:color w:val="auto"/>
              </w:rPr>
              <w:t>141</w:t>
            </w:r>
          </w:p>
        </w:tc>
        <w:tc>
          <w:tcPr>
            <w:tcW w:w="940" w:type="dxa"/>
            <w:vAlign w:val="bottom"/>
          </w:tcPr>
          <w:p>
            <w:pPr>
              <w:ind w:left="300"/>
              <w:spacing w:after="0"/>
              <w:rPr>
                <w:sz w:val="20"/>
                <w:szCs w:val="20"/>
                <w:color w:val="auto"/>
              </w:rPr>
            </w:pPr>
            <w:r>
              <w:rPr>
                <w:rFonts w:ascii="Arial" w:cs="Arial" w:eastAsia="Arial" w:hAnsi="Arial"/>
                <w:sz w:val="14"/>
                <w:szCs w:val="14"/>
                <w:color w:val="auto"/>
              </w:rPr>
              <w:t>36</w:t>
            </w:r>
          </w:p>
        </w:tc>
        <w:tc>
          <w:tcPr>
            <w:tcW w:w="860" w:type="dxa"/>
            <w:vAlign w:val="bottom"/>
          </w:tcPr>
          <w:p>
            <w:pPr>
              <w:jc w:val="right"/>
              <w:ind w:right="112"/>
              <w:spacing w:after="0"/>
              <w:rPr>
                <w:sz w:val="20"/>
                <w:szCs w:val="20"/>
                <w:color w:val="auto"/>
              </w:rPr>
            </w:pPr>
            <w:r>
              <w:rPr>
                <w:rFonts w:ascii="Arial" w:cs="Arial" w:eastAsia="Arial" w:hAnsi="Arial"/>
                <w:sz w:val="14"/>
                <w:szCs w:val="14"/>
                <w:color w:val="auto"/>
              </w:rPr>
              <w:t>165</w:t>
            </w:r>
          </w:p>
        </w:tc>
        <w:tc>
          <w:tcPr>
            <w:tcW w:w="980" w:type="dxa"/>
            <w:vAlign w:val="bottom"/>
          </w:tcPr>
          <w:p>
            <w:pPr>
              <w:ind w:left="200"/>
              <w:spacing w:after="0"/>
              <w:rPr>
                <w:sz w:val="20"/>
                <w:szCs w:val="20"/>
                <w:color w:val="auto"/>
              </w:rPr>
            </w:pPr>
            <w:r>
              <w:rPr>
                <w:rFonts w:ascii="Arial" w:cs="Arial" w:eastAsia="Arial" w:hAnsi="Arial"/>
                <w:sz w:val="14"/>
                <w:szCs w:val="14"/>
                <w:color w:val="auto"/>
              </w:rPr>
              <w:t>41</w:t>
            </w:r>
          </w:p>
        </w:tc>
        <w:tc>
          <w:tcPr>
            <w:tcW w:w="920" w:type="dxa"/>
            <w:vAlign w:val="bottom"/>
          </w:tcPr>
          <w:p>
            <w:pPr>
              <w:jc w:val="right"/>
              <w:ind w:right="151"/>
              <w:spacing w:after="0"/>
              <w:rPr>
                <w:sz w:val="20"/>
                <w:szCs w:val="20"/>
                <w:color w:val="auto"/>
              </w:rPr>
            </w:pPr>
            <w:r>
              <w:rPr>
                <w:rFonts w:ascii="Arial" w:cs="Arial" w:eastAsia="Arial" w:hAnsi="Arial"/>
                <w:sz w:val="14"/>
                <w:szCs w:val="14"/>
                <w:color w:val="auto"/>
              </w:rPr>
              <w:t>186</w:t>
            </w:r>
          </w:p>
        </w:tc>
        <w:tc>
          <w:tcPr>
            <w:tcW w:w="880" w:type="dxa"/>
            <w:vAlign w:val="bottom"/>
          </w:tcPr>
          <w:p>
            <w:pPr>
              <w:ind w:left="340"/>
              <w:spacing w:after="0"/>
              <w:rPr>
                <w:sz w:val="20"/>
                <w:szCs w:val="20"/>
                <w:color w:val="auto"/>
              </w:rPr>
            </w:pPr>
            <w:r>
              <w:rPr>
                <w:rFonts w:ascii="Arial" w:cs="Arial" w:eastAsia="Arial" w:hAnsi="Arial"/>
                <w:sz w:val="14"/>
                <w:szCs w:val="14"/>
                <w:color w:val="auto"/>
              </w:rPr>
              <w:t>44</w:t>
            </w:r>
          </w:p>
        </w:tc>
      </w:tr>
      <w:tr>
        <w:trPr>
          <w:trHeight w:val="250"/>
        </w:trPr>
        <w:tc>
          <w:tcPr>
            <w:tcW w:w="1400" w:type="dxa"/>
            <w:vAlign w:val="bottom"/>
            <w:tcBorders>
              <w:bottom w:val="single" w:sz="8" w:color="DFDFDF"/>
            </w:tcBorders>
          </w:tcPr>
          <w:p>
            <w:pPr>
              <w:spacing w:after="0"/>
              <w:rPr>
                <w:sz w:val="20"/>
                <w:szCs w:val="20"/>
                <w:color w:val="auto"/>
              </w:rPr>
            </w:pPr>
            <w:r>
              <w:rPr>
                <w:rFonts w:ascii="Arial" w:cs="Arial" w:eastAsia="Arial" w:hAnsi="Arial"/>
                <w:sz w:val="14"/>
                <w:szCs w:val="14"/>
                <w:color w:val="auto"/>
              </w:rPr>
              <w:t>SoCalGas</w:t>
            </w:r>
          </w:p>
        </w:tc>
        <w:tc>
          <w:tcPr>
            <w:tcW w:w="360" w:type="dxa"/>
            <w:vAlign w:val="bottom"/>
            <w:tcBorders>
              <w:bottom w:val="single" w:sz="8" w:color="DFDFDF"/>
            </w:tcBorders>
          </w:tcPr>
          <w:p>
            <w:pPr>
              <w:spacing w:after="0"/>
              <w:rPr>
                <w:sz w:val="21"/>
                <w:szCs w:val="21"/>
                <w:color w:val="auto"/>
              </w:rPr>
            </w:pPr>
          </w:p>
        </w:tc>
        <w:tc>
          <w:tcPr>
            <w:tcW w:w="500" w:type="dxa"/>
            <w:vAlign w:val="bottom"/>
            <w:tcBorders>
              <w:bottom w:val="single" w:sz="8" w:color="DFDFDF"/>
            </w:tcBorders>
          </w:tcPr>
          <w:p>
            <w:pPr>
              <w:jc w:val="right"/>
              <w:ind w:right="70"/>
              <w:spacing w:after="0"/>
              <w:rPr>
                <w:sz w:val="20"/>
                <w:szCs w:val="20"/>
                <w:color w:val="auto"/>
              </w:rPr>
            </w:pPr>
            <w:r>
              <w:rPr>
                <w:rFonts w:ascii="Arial" w:cs="Arial" w:eastAsia="Arial" w:hAnsi="Arial"/>
                <w:sz w:val="14"/>
                <w:szCs w:val="14"/>
                <w:color w:val="auto"/>
              </w:rPr>
              <w:t>140</w:t>
            </w:r>
          </w:p>
        </w:tc>
        <w:tc>
          <w:tcPr>
            <w:tcW w:w="940" w:type="dxa"/>
            <w:vAlign w:val="bottom"/>
            <w:tcBorders>
              <w:bottom w:val="single" w:sz="8" w:color="DFDFDF"/>
            </w:tcBorders>
          </w:tcPr>
          <w:p>
            <w:pPr>
              <w:ind w:left="300"/>
              <w:spacing w:after="0"/>
              <w:rPr>
                <w:sz w:val="20"/>
                <w:szCs w:val="20"/>
                <w:color w:val="auto"/>
              </w:rPr>
            </w:pPr>
            <w:r>
              <w:rPr>
                <w:rFonts w:ascii="Arial" w:cs="Arial" w:eastAsia="Arial" w:hAnsi="Arial"/>
                <w:sz w:val="14"/>
                <w:szCs w:val="14"/>
                <w:color w:val="auto"/>
              </w:rPr>
              <w:t>36</w:t>
            </w:r>
          </w:p>
        </w:tc>
        <w:tc>
          <w:tcPr>
            <w:tcW w:w="860" w:type="dxa"/>
            <w:vAlign w:val="bottom"/>
            <w:tcBorders>
              <w:bottom w:val="single" w:sz="8" w:color="DFDFDF"/>
            </w:tcBorders>
          </w:tcPr>
          <w:p>
            <w:pPr>
              <w:jc w:val="right"/>
              <w:ind w:right="112"/>
              <w:spacing w:after="0"/>
              <w:rPr>
                <w:sz w:val="20"/>
                <w:szCs w:val="20"/>
                <w:color w:val="auto"/>
              </w:rPr>
            </w:pPr>
            <w:r>
              <w:rPr>
                <w:rFonts w:ascii="Arial" w:cs="Arial" w:eastAsia="Arial" w:hAnsi="Arial"/>
                <w:sz w:val="14"/>
                <w:szCs w:val="14"/>
                <w:color w:val="auto"/>
              </w:rPr>
              <w:t>160</w:t>
            </w:r>
          </w:p>
        </w:tc>
        <w:tc>
          <w:tcPr>
            <w:tcW w:w="980" w:type="dxa"/>
            <w:vAlign w:val="bottom"/>
            <w:tcBorders>
              <w:bottom w:val="single" w:sz="8" w:color="DFDFDF"/>
            </w:tcBorders>
          </w:tcPr>
          <w:p>
            <w:pPr>
              <w:ind w:left="200"/>
              <w:spacing w:after="0"/>
              <w:rPr>
                <w:sz w:val="20"/>
                <w:szCs w:val="20"/>
                <w:color w:val="auto"/>
              </w:rPr>
            </w:pPr>
            <w:r>
              <w:rPr>
                <w:rFonts w:ascii="Arial" w:cs="Arial" w:eastAsia="Arial" w:hAnsi="Arial"/>
                <w:sz w:val="14"/>
                <w:szCs w:val="14"/>
                <w:color w:val="auto"/>
              </w:rPr>
              <w:t>41</w:t>
            </w:r>
          </w:p>
        </w:tc>
        <w:tc>
          <w:tcPr>
            <w:tcW w:w="920" w:type="dxa"/>
            <w:vAlign w:val="bottom"/>
            <w:tcBorders>
              <w:bottom w:val="single" w:sz="8" w:color="DFDFDF"/>
            </w:tcBorders>
          </w:tcPr>
          <w:p>
            <w:pPr>
              <w:jc w:val="right"/>
              <w:ind w:right="151"/>
              <w:spacing w:after="0"/>
              <w:rPr>
                <w:sz w:val="20"/>
                <w:szCs w:val="20"/>
                <w:color w:val="auto"/>
              </w:rPr>
            </w:pPr>
            <w:r>
              <w:rPr>
                <w:rFonts w:ascii="Arial" w:cs="Arial" w:eastAsia="Arial" w:hAnsi="Arial"/>
                <w:sz w:val="14"/>
                <w:szCs w:val="14"/>
                <w:color w:val="auto"/>
              </w:rPr>
              <w:t>173</w:t>
            </w:r>
          </w:p>
        </w:tc>
        <w:tc>
          <w:tcPr>
            <w:tcW w:w="880" w:type="dxa"/>
            <w:vAlign w:val="bottom"/>
            <w:tcBorders>
              <w:bottom w:val="single" w:sz="8" w:color="DFDFDF"/>
            </w:tcBorders>
          </w:tcPr>
          <w:p>
            <w:pPr>
              <w:ind w:left="340"/>
              <w:spacing w:after="0"/>
              <w:rPr>
                <w:sz w:val="20"/>
                <w:szCs w:val="20"/>
                <w:color w:val="auto"/>
              </w:rPr>
            </w:pPr>
            <w:r>
              <w:rPr>
                <w:rFonts w:ascii="Arial" w:cs="Arial" w:eastAsia="Arial" w:hAnsi="Arial"/>
                <w:sz w:val="14"/>
                <w:szCs w:val="14"/>
                <w:color w:val="auto"/>
              </w:rPr>
              <w:t>44</w:t>
            </w:r>
          </w:p>
        </w:tc>
      </w:tr>
    </w:tbl>
    <w:p>
      <w:pPr>
        <w:spacing w:after="0" w:line="177" w:lineRule="exact"/>
        <w:rPr>
          <w:sz w:val="20"/>
          <w:szCs w:val="20"/>
          <w:color w:val="auto"/>
        </w:rPr>
      </w:pPr>
    </w:p>
    <w:p>
      <w:pPr>
        <w:ind w:left="4"/>
        <w:spacing w:after="0"/>
        <w:rPr>
          <w:sz w:val="20"/>
          <w:szCs w:val="20"/>
          <w:color w:val="auto"/>
        </w:rPr>
      </w:pPr>
      <w:r>
        <w:rPr>
          <w:rFonts w:ascii="Arial" w:cs="Arial" w:eastAsia="Arial" w:hAnsi="Arial"/>
          <w:sz w:val="18"/>
          <w:szCs w:val="18"/>
          <w:i w:val="1"/>
          <w:iCs w:val="1"/>
          <w:color w:val="auto"/>
        </w:rPr>
        <w:t>Sempra Energy</w:t>
      </w:r>
    </w:p>
    <w:p>
      <w:pPr>
        <w:spacing w:after="0" w:line="72" w:lineRule="exact"/>
        <w:rPr>
          <w:sz w:val="20"/>
          <w:szCs w:val="20"/>
          <w:color w:val="auto"/>
        </w:rPr>
      </w:pPr>
    </w:p>
    <w:p>
      <w:pPr>
        <w:ind w:left="4"/>
        <w:spacing w:after="0"/>
        <w:rPr>
          <w:sz w:val="20"/>
          <w:szCs w:val="20"/>
          <w:color w:val="auto"/>
        </w:rPr>
      </w:pPr>
      <w:r>
        <w:rPr>
          <w:rFonts w:ascii="Arial" w:cs="Arial" w:eastAsia="Arial" w:hAnsi="Arial"/>
          <w:sz w:val="15"/>
          <w:szCs w:val="15"/>
          <w:color w:val="auto"/>
        </w:rPr>
        <w:t>In 2008, the decrease in income tax expense was due to lower pretax income and a lower effective tax rate. The decrease in the effective tax rate was primarily due to:</w:t>
      </w:r>
    </w:p>
    <w:p>
      <w:pPr>
        <w:spacing w:after="0" w:line="56" w:lineRule="exact"/>
        <w:rPr>
          <w:sz w:val="20"/>
          <w:szCs w:val="20"/>
          <w:color w:val="auto"/>
        </w:rPr>
      </w:pPr>
    </w:p>
    <w:p>
      <w:pPr>
        <w:ind w:left="144" w:hanging="144"/>
        <w:spacing w:after="0"/>
        <w:tabs>
          <w:tab w:leader="none" w:pos="144" w:val="left"/>
        </w:tabs>
        <w:numPr>
          <w:ilvl w:val="0"/>
          <w:numId w:val="263"/>
        </w:numPr>
        <w:rPr>
          <w:rFonts w:ascii="Arial" w:cs="Arial" w:eastAsia="Arial" w:hAnsi="Arial"/>
          <w:sz w:val="16"/>
          <w:szCs w:val="16"/>
          <w:color w:val="auto"/>
        </w:rPr>
      </w:pPr>
      <w:r>
        <w:rPr>
          <w:rFonts w:ascii="Arial" w:cs="Arial" w:eastAsia="Arial" w:hAnsi="Arial"/>
          <w:sz w:val="16"/>
          <w:szCs w:val="16"/>
          <w:color w:val="auto"/>
        </w:rPr>
        <w:t>higher favorable resolutions of prior years' income tax issues in 2008</w:t>
      </w:r>
    </w:p>
    <w:p>
      <w:pPr>
        <w:spacing w:after="0" w:line="44" w:lineRule="exact"/>
        <w:rPr>
          <w:rFonts w:ascii="Arial" w:cs="Arial" w:eastAsia="Arial" w:hAnsi="Arial"/>
          <w:sz w:val="16"/>
          <w:szCs w:val="16"/>
          <w:color w:val="auto"/>
        </w:rPr>
      </w:pPr>
    </w:p>
    <w:p>
      <w:pPr>
        <w:ind w:left="144" w:hanging="144"/>
        <w:spacing w:after="0"/>
        <w:tabs>
          <w:tab w:leader="none" w:pos="144" w:val="left"/>
        </w:tabs>
        <w:numPr>
          <w:ilvl w:val="0"/>
          <w:numId w:val="263"/>
        </w:numPr>
        <w:rPr>
          <w:rFonts w:ascii="Arial" w:cs="Arial" w:eastAsia="Arial" w:hAnsi="Arial"/>
          <w:sz w:val="16"/>
          <w:szCs w:val="16"/>
          <w:color w:val="auto"/>
        </w:rPr>
      </w:pPr>
      <w:r>
        <w:rPr>
          <w:rFonts w:ascii="Arial" w:cs="Arial" w:eastAsia="Arial" w:hAnsi="Arial"/>
          <w:sz w:val="16"/>
          <w:szCs w:val="16"/>
          <w:color w:val="auto"/>
        </w:rPr>
        <w:t>lower income tax expense related to Mexican currency translation and inflation adjustments</w:t>
      </w:r>
    </w:p>
    <w:p>
      <w:pPr>
        <w:spacing w:after="0" w:line="44" w:lineRule="exact"/>
        <w:rPr>
          <w:rFonts w:ascii="Arial" w:cs="Arial" w:eastAsia="Arial" w:hAnsi="Arial"/>
          <w:sz w:val="16"/>
          <w:szCs w:val="16"/>
          <w:color w:val="auto"/>
        </w:rPr>
      </w:pPr>
    </w:p>
    <w:p>
      <w:pPr>
        <w:ind w:left="144" w:hanging="144"/>
        <w:spacing w:after="0"/>
        <w:tabs>
          <w:tab w:leader="none" w:pos="144" w:val="left"/>
        </w:tabs>
        <w:numPr>
          <w:ilvl w:val="0"/>
          <w:numId w:val="263"/>
        </w:numPr>
        <w:rPr>
          <w:rFonts w:ascii="Arial" w:cs="Arial" w:eastAsia="Arial" w:hAnsi="Arial"/>
          <w:sz w:val="16"/>
          <w:szCs w:val="16"/>
          <w:color w:val="auto"/>
        </w:rPr>
      </w:pPr>
      <w:r>
        <w:rPr>
          <w:rFonts w:ascii="Arial" w:cs="Arial" w:eastAsia="Arial" w:hAnsi="Arial"/>
          <w:sz w:val="16"/>
          <w:szCs w:val="16"/>
          <w:color w:val="auto"/>
        </w:rPr>
        <w:t>larger tax deductions primarily at the Sempra Utilities related to the equity portion of AFUDC and self-developed software costs</w:t>
      </w:r>
    </w:p>
    <w:p>
      <w:pPr>
        <w:spacing w:after="0" w:line="128" w:lineRule="exact"/>
        <w:rPr>
          <w:sz w:val="20"/>
          <w:szCs w:val="20"/>
          <w:color w:val="auto"/>
        </w:rPr>
      </w:pPr>
    </w:p>
    <w:p>
      <w:pPr>
        <w:ind w:left="4"/>
        <w:spacing w:after="0"/>
        <w:rPr>
          <w:sz w:val="20"/>
          <w:szCs w:val="20"/>
          <w:color w:val="auto"/>
        </w:rPr>
      </w:pPr>
      <w:r>
        <w:rPr>
          <w:rFonts w:ascii="Arial" w:cs="Arial" w:eastAsia="Arial" w:hAnsi="Arial"/>
          <w:sz w:val="16"/>
          <w:szCs w:val="16"/>
          <w:color w:val="auto"/>
        </w:rPr>
        <w:t>In 2007, the decrease in income tax expense was primarily due to lower pretax income.</w:t>
      </w:r>
    </w:p>
    <w:p>
      <w:pPr>
        <w:spacing w:after="0" w:line="78" w:lineRule="exact"/>
        <w:rPr>
          <w:sz w:val="20"/>
          <w:szCs w:val="20"/>
          <w:color w:val="auto"/>
        </w:rPr>
      </w:pPr>
    </w:p>
    <w:p>
      <w:pPr>
        <w:ind w:left="4"/>
        <w:spacing w:after="0"/>
        <w:rPr>
          <w:sz w:val="20"/>
          <w:szCs w:val="20"/>
          <w:color w:val="auto"/>
        </w:rPr>
      </w:pPr>
      <w:r>
        <w:rPr>
          <w:rFonts w:ascii="Arial" w:cs="Arial" w:eastAsia="Arial" w:hAnsi="Arial"/>
          <w:sz w:val="18"/>
          <w:szCs w:val="18"/>
          <w:i w:val="1"/>
          <w:iCs w:val="1"/>
          <w:color w:val="auto"/>
        </w:rPr>
        <w:t>SDG&amp;E</w:t>
      </w:r>
    </w:p>
    <w:p>
      <w:pPr>
        <w:spacing w:after="0" w:line="72" w:lineRule="exact"/>
        <w:rPr>
          <w:sz w:val="20"/>
          <w:szCs w:val="20"/>
          <w:color w:val="auto"/>
        </w:rPr>
      </w:pPr>
    </w:p>
    <w:p>
      <w:pPr>
        <w:ind w:left="4" w:right="60"/>
        <w:spacing w:after="0" w:line="278" w:lineRule="auto"/>
        <w:rPr>
          <w:sz w:val="20"/>
          <w:szCs w:val="20"/>
          <w:color w:val="auto"/>
        </w:rPr>
      </w:pPr>
      <w:r>
        <w:rPr>
          <w:rFonts w:ascii="Arial" w:cs="Arial" w:eastAsia="Arial" w:hAnsi="Arial"/>
          <w:sz w:val="15"/>
          <w:szCs w:val="15"/>
          <w:color w:val="auto"/>
        </w:rPr>
        <w:t>In 2008, the increase in income tax expense was due to higher pretax income, partially offset by an increase in tax deductions (primarily related to the equity portion of AFUDC and self-developed software costs) and higher favorable resolution of prior years' income tax issues ($17 million in 2008 compared to $16 million in 2007). Also, in 2007, the resolution of a regulatory matter resulted in pretax income of $27 million and income tax of $1 million. This reduced the 2007 effective tax rate by 2%. In 2007, the decrease in income tax expense compared to 2006 was primarily due to a lower effective tax rate resulting from higher favorable resolution of prior years' income tax issues and the 2007 regulatory reserve release. The decrease was partially offset by the effect of higher pretax income in 2007.</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8"/>
          <w:szCs w:val="18"/>
          <w:i w:val="1"/>
          <w:iCs w:val="1"/>
          <w:color w:val="auto"/>
        </w:rPr>
        <w:t>PE and SoCalGas</w:t>
      </w:r>
    </w:p>
    <w:p>
      <w:pPr>
        <w:spacing w:after="0" w:line="72" w:lineRule="exact"/>
        <w:rPr>
          <w:sz w:val="20"/>
          <w:szCs w:val="20"/>
          <w:color w:val="auto"/>
        </w:rPr>
      </w:pPr>
    </w:p>
    <w:p>
      <w:pPr>
        <w:jc w:val="both"/>
        <w:ind w:left="4"/>
        <w:spacing w:after="0" w:line="259" w:lineRule="auto"/>
        <w:rPr>
          <w:sz w:val="20"/>
          <w:szCs w:val="20"/>
          <w:color w:val="auto"/>
        </w:rPr>
      </w:pPr>
      <w:r>
        <w:rPr>
          <w:rFonts w:ascii="Arial" w:cs="Arial" w:eastAsia="Arial" w:hAnsi="Arial"/>
          <w:sz w:val="16"/>
          <w:szCs w:val="16"/>
          <w:color w:val="auto"/>
        </w:rPr>
        <w:t>In 2008, the decrease in income tax expense was primarily due to lower pretax income, larger tax deductions (primarily for self-developed software costs), and higher favorable resolution of prior years' income tax issues in 2008, offset by a lower federal deduction for state taxes. In 2007, the decrease in income tax expense compared to 2006 was due to a lower effective tax rate and lower pretax income. The lower effective tax rate was due to a higher deduction for basis differences in fixed assets and a higher federal deduction for state taxes.</w:t>
      </w:r>
    </w:p>
    <w:p>
      <w:pPr>
        <w:spacing w:after="0" w:line="141" w:lineRule="exact"/>
        <w:rPr>
          <w:sz w:val="20"/>
          <w:szCs w:val="20"/>
          <w:color w:val="auto"/>
        </w:rPr>
      </w:pPr>
    </w:p>
    <w:p>
      <w:pPr>
        <w:ind w:left="4"/>
        <w:spacing w:after="0"/>
        <w:rPr>
          <w:sz w:val="20"/>
          <w:szCs w:val="20"/>
          <w:color w:val="auto"/>
        </w:rPr>
      </w:pPr>
      <w:r>
        <w:rPr>
          <w:rFonts w:ascii="Arial" w:cs="Arial" w:eastAsia="Arial" w:hAnsi="Arial"/>
          <w:sz w:val="18"/>
          <w:szCs w:val="18"/>
          <w:b w:val="1"/>
          <w:bCs w:val="1"/>
          <w:i w:val="1"/>
          <w:iCs w:val="1"/>
          <w:color w:val="auto"/>
        </w:rPr>
        <w:t>Equity Earnings (Losses), Net of Income Tax</w:t>
      </w:r>
    </w:p>
    <w:p>
      <w:pPr>
        <w:spacing w:after="0" w:line="21" w:lineRule="exact"/>
        <w:rPr>
          <w:sz w:val="20"/>
          <w:szCs w:val="20"/>
          <w:color w:val="auto"/>
        </w:rPr>
      </w:pPr>
    </w:p>
    <w:p>
      <w:pPr>
        <w:ind w:left="4"/>
        <w:spacing w:after="0"/>
        <w:rPr>
          <w:sz w:val="20"/>
          <w:szCs w:val="20"/>
          <w:color w:val="auto"/>
        </w:rPr>
      </w:pPr>
      <w:r>
        <w:rPr>
          <w:rFonts w:ascii="Arial" w:cs="Arial" w:eastAsia="Arial" w:hAnsi="Arial"/>
          <w:sz w:val="18"/>
          <w:szCs w:val="18"/>
          <w:i w:val="1"/>
          <w:iCs w:val="1"/>
          <w:color w:val="auto"/>
        </w:rPr>
        <w:t>Sempra Energy</w:t>
      </w:r>
    </w:p>
    <w:p>
      <w:pPr>
        <w:spacing w:after="0" w:line="72" w:lineRule="exact"/>
        <w:rPr>
          <w:sz w:val="20"/>
          <w:szCs w:val="20"/>
          <w:color w:val="auto"/>
        </w:rPr>
      </w:pPr>
    </w:p>
    <w:p>
      <w:pPr>
        <w:ind w:left="4"/>
        <w:spacing w:after="0"/>
        <w:rPr>
          <w:sz w:val="20"/>
          <w:szCs w:val="20"/>
          <w:color w:val="auto"/>
        </w:rPr>
      </w:pPr>
      <w:r>
        <w:rPr>
          <w:rFonts w:ascii="Arial" w:cs="Arial" w:eastAsia="Arial" w:hAnsi="Arial"/>
          <w:sz w:val="16"/>
          <w:szCs w:val="16"/>
          <w:color w:val="auto"/>
        </w:rPr>
        <w:t>Equity earnings (losses) of unconsolidated subsidiaries, net of income tax, were</w:t>
      </w:r>
    </w:p>
    <w:p>
      <w:pPr>
        <w:spacing w:after="0" w:line="44" w:lineRule="exact"/>
        <w:rPr>
          <w:sz w:val="20"/>
          <w:szCs w:val="20"/>
          <w:color w:val="auto"/>
        </w:rPr>
      </w:pPr>
    </w:p>
    <w:p>
      <w:pPr>
        <w:ind w:left="144" w:hanging="144"/>
        <w:spacing w:after="0"/>
        <w:tabs>
          <w:tab w:leader="none" w:pos="144" w:val="left"/>
        </w:tabs>
        <w:numPr>
          <w:ilvl w:val="0"/>
          <w:numId w:val="264"/>
        </w:numPr>
        <w:rPr>
          <w:rFonts w:ascii="Arial" w:cs="Arial" w:eastAsia="Arial" w:hAnsi="Arial"/>
          <w:sz w:val="16"/>
          <w:szCs w:val="16"/>
          <w:color w:val="auto"/>
        </w:rPr>
      </w:pPr>
      <w:r>
        <w:rPr>
          <w:rFonts w:ascii="Arial" w:cs="Arial" w:eastAsia="Arial" w:hAnsi="Arial"/>
          <w:sz w:val="16"/>
          <w:szCs w:val="16"/>
          <w:color w:val="auto"/>
        </w:rPr>
        <w:t>$63 million in 2008</w:t>
      </w:r>
    </w:p>
    <w:p>
      <w:pPr>
        <w:spacing w:after="0" w:line="44" w:lineRule="exact"/>
        <w:rPr>
          <w:rFonts w:ascii="Arial" w:cs="Arial" w:eastAsia="Arial" w:hAnsi="Arial"/>
          <w:sz w:val="16"/>
          <w:szCs w:val="16"/>
          <w:color w:val="auto"/>
        </w:rPr>
      </w:pPr>
    </w:p>
    <w:p>
      <w:pPr>
        <w:ind w:left="144" w:hanging="144"/>
        <w:spacing w:after="0"/>
        <w:tabs>
          <w:tab w:leader="none" w:pos="144" w:val="left"/>
        </w:tabs>
        <w:numPr>
          <w:ilvl w:val="0"/>
          <w:numId w:val="264"/>
        </w:numPr>
        <w:rPr>
          <w:rFonts w:ascii="Arial" w:cs="Arial" w:eastAsia="Arial" w:hAnsi="Arial"/>
          <w:sz w:val="16"/>
          <w:szCs w:val="16"/>
          <w:color w:val="auto"/>
        </w:rPr>
      </w:pPr>
      <w:r>
        <w:rPr>
          <w:rFonts w:ascii="Arial" w:cs="Arial" w:eastAsia="Arial" w:hAnsi="Arial"/>
          <w:sz w:val="16"/>
          <w:szCs w:val="16"/>
          <w:color w:val="auto"/>
        </w:rPr>
        <w:t>$99 million in 2007</w:t>
      </w:r>
    </w:p>
    <w:p>
      <w:pPr>
        <w:spacing w:after="0" w:line="44" w:lineRule="exact"/>
        <w:rPr>
          <w:rFonts w:ascii="Arial" w:cs="Arial" w:eastAsia="Arial" w:hAnsi="Arial"/>
          <w:sz w:val="16"/>
          <w:szCs w:val="16"/>
          <w:color w:val="auto"/>
        </w:rPr>
      </w:pPr>
    </w:p>
    <w:p>
      <w:pPr>
        <w:ind w:left="144" w:hanging="144"/>
        <w:spacing w:after="0"/>
        <w:tabs>
          <w:tab w:leader="none" w:pos="144" w:val="left"/>
        </w:tabs>
        <w:numPr>
          <w:ilvl w:val="0"/>
          <w:numId w:val="264"/>
        </w:numPr>
        <w:rPr>
          <w:rFonts w:ascii="Arial" w:cs="Arial" w:eastAsia="Arial" w:hAnsi="Arial"/>
          <w:sz w:val="16"/>
          <w:szCs w:val="16"/>
          <w:color w:val="auto"/>
        </w:rPr>
      </w:pPr>
      <w:r>
        <w:rPr>
          <w:rFonts w:ascii="Arial" w:cs="Arial" w:eastAsia="Arial" w:hAnsi="Arial"/>
          <w:sz w:val="16"/>
          <w:szCs w:val="16"/>
          <w:color w:val="auto"/>
        </w:rPr>
        <w:t>$(182) million in 2006</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4"/>
        <w:spacing w:after="0"/>
        <w:rPr>
          <w:sz w:val="20"/>
          <w:szCs w:val="20"/>
          <w:color w:val="auto"/>
        </w:rPr>
      </w:pPr>
      <w:r>
        <w:rPr>
          <w:rFonts w:ascii="Arial" w:cs="Arial" w:eastAsia="Arial" w:hAnsi="Arial"/>
          <w:sz w:val="14"/>
          <w:szCs w:val="14"/>
          <w:color w:val="auto"/>
        </w:rPr>
        <w:t>25</w:t>
      </w:r>
    </w:p>
    <w:p>
      <w:pPr>
        <w:sectPr>
          <w:pgSz w:w="11900" w:h="16838" w:orient="portrait"/>
          <w:cols w:equalWidth="0" w:num="1">
            <w:col w:w="11344"/>
          </w:cols>
          <w:pgMar w:left="236" w:top="293" w:right="319" w:bottom="1440" w:gutter="0" w:footer="0" w:header="0"/>
        </w:sectPr>
      </w:pPr>
    </w:p>
    <w:bookmarkStart w:id="165" w:name="page166"/>
    <w:bookmarkEnd w:id="165"/>
    <w:p>
      <w:pPr>
        <w:ind w:left="4"/>
        <w:spacing w:after="0" w:line="259" w:lineRule="auto"/>
        <w:rPr>
          <w:sz w:val="20"/>
          <w:szCs w:val="20"/>
          <w:color w:val="auto"/>
        </w:rPr>
      </w:pPr>
      <w:r>
        <w:rPr>
          <w:rFonts w:ascii="Arial" w:cs="Arial" w:eastAsia="Arial" w:hAnsi="Arial"/>
          <w:sz w:val="16"/>
          <w:szCs w:val="16"/>
          <w:color w:val="auto"/>
        </w:rPr>
        <w:t>Equity earnings, net of income tax, were lower in 2008 due to a transaction in 2007. In February 2007, Sempra Commodities sold its interests in an equity method investment and a related cost-basis investment for cash and a 12.7-percent interest in a newly formed entity. The gain on this transaction was $30 million. The 2006 amount included a $221 million impairment loss associated with Sempra Pipelines &amp; Storage's Argentine investments. We provide further discussion of our equity method investments in Note 4 of the Notes to Consolidated Financial Statements.</w:t>
      </w:r>
    </w:p>
    <w:p>
      <w:pPr>
        <w:spacing w:after="0" w:line="141" w:lineRule="exact"/>
        <w:rPr>
          <w:sz w:val="20"/>
          <w:szCs w:val="20"/>
          <w:color w:val="auto"/>
        </w:rPr>
      </w:pPr>
    </w:p>
    <w:p>
      <w:pPr>
        <w:ind w:left="4"/>
        <w:spacing w:after="0"/>
        <w:rPr>
          <w:sz w:val="20"/>
          <w:szCs w:val="20"/>
          <w:color w:val="auto"/>
        </w:rPr>
      </w:pPr>
      <w:r>
        <w:rPr>
          <w:rFonts w:ascii="Arial" w:cs="Arial" w:eastAsia="Arial" w:hAnsi="Arial"/>
          <w:sz w:val="18"/>
          <w:szCs w:val="18"/>
          <w:b w:val="1"/>
          <w:bCs w:val="1"/>
          <w:i w:val="1"/>
          <w:iCs w:val="1"/>
          <w:color w:val="auto"/>
        </w:rPr>
        <w:t>Discontinued Operations</w:t>
      </w:r>
    </w:p>
    <w:p>
      <w:pPr>
        <w:spacing w:after="0" w:line="21" w:lineRule="exact"/>
        <w:rPr>
          <w:sz w:val="20"/>
          <w:szCs w:val="20"/>
          <w:color w:val="auto"/>
        </w:rPr>
      </w:pPr>
    </w:p>
    <w:p>
      <w:pPr>
        <w:ind w:left="4"/>
        <w:spacing w:after="0"/>
        <w:rPr>
          <w:sz w:val="20"/>
          <w:szCs w:val="20"/>
          <w:color w:val="auto"/>
        </w:rPr>
      </w:pPr>
      <w:r>
        <w:rPr>
          <w:rFonts w:ascii="Arial" w:cs="Arial" w:eastAsia="Arial" w:hAnsi="Arial"/>
          <w:sz w:val="18"/>
          <w:szCs w:val="18"/>
          <w:i w:val="1"/>
          <w:iCs w:val="1"/>
          <w:color w:val="auto"/>
        </w:rPr>
        <w:t>Sempra Energy</w:t>
      </w:r>
    </w:p>
    <w:p>
      <w:pPr>
        <w:spacing w:after="0" w:line="72" w:lineRule="exact"/>
        <w:rPr>
          <w:sz w:val="20"/>
          <w:szCs w:val="20"/>
          <w:color w:val="auto"/>
        </w:rPr>
      </w:pPr>
    </w:p>
    <w:p>
      <w:pPr>
        <w:ind w:left="4"/>
        <w:spacing w:after="0"/>
        <w:rPr>
          <w:sz w:val="20"/>
          <w:szCs w:val="20"/>
          <w:color w:val="auto"/>
        </w:rPr>
      </w:pPr>
      <w:r>
        <w:rPr>
          <w:rFonts w:ascii="Arial" w:cs="Arial" w:eastAsia="Arial" w:hAnsi="Arial"/>
          <w:sz w:val="16"/>
          <w:szCs w:val="16"/>
          <w:color w:val="auto"/>
        </w:rPr>
        <w:t>Income (loss) from discontinued operations was</w:t>
      </w:r>
    </w:p>
    <w:p>
      <w:pPr>
        <w:spacing w:after="0" w:line="44" w:lineRule="exact"/>
        <w:rPr>
          <w:sz w:val="20"/>
          <w:szCs w:val="20"/>
          <w:color w:val="auto"/>
        </w:rPr>
      </w:pPr>
    </w:p>
    <w:p>
      <w:pPr>
        <w:ind w:left="144" w:hanging="144"/>
        <w:spacing w:after="0"/>
        <w:tabs>
          <w:tab w:leader="none" w:pos="144" w:val="left"/>
        </w:tabs>
        <w:numPr>
          <w:ilvl w:val="0"/>
          <w:numId w:val="265"/>
        </w:numPr>
        <w:rPr>
          <w:rFonts w:ascii="Arial" w:cs="Arial" w:eastAsia="Arial" w:hAnsi="Arial"/>
          <w:sz w:val="16"/>
          <w:szCs w:val="16"/>
          <w:color w:val="auto"/>
        </w:rPr>
      </w:pPr>
      <w:r>
        <w:rPr>
          <w:rFonts w:ascii="Arial" w:cs="Arial" w:eastAsia="Arial" w:hAnsi="Arial"/>
          <w:sz w:val="16"/>
          <w:szCs w:val="16"/>
          <w:color w:val="auto"/>
        </w:rPr>
        <w:t>$(26) million in 2007</w:t>
      </w:r>
    </w:p>
    <w:p>
      <w:pPr>
        <w:spacing w:after="0" w:line="44" w:lineRule="exact"/>
        <w:rPr>
          <w:rFonts w:ascii="Arial" w:cs="Arial" w:eastAsia="Arial" w:hAnsi="Arial"/>
          <w:sz w:val="16"/>
          <w:szCs w:val="16"/>
          <w:color w:val="auto"/>
        </w:rPr>
      </w:pPr>
    </w:p>
    <w:p>
      <w:pPr>
        <w:ind w:left="144" w:hanging="144"/>
        <w:spacing w:after="0"/>
        <w:tabs>
          <w:tab w:leader="none" w:pos="144" w:val="left"/>
        </w:tabs>
        <w:numPr>
          <w:ilvl w:val="0"/>
          <w:numId w:val="265"/>
        </w:numPr>
        <w:rPr>
          <w:rFonts w:ascii="Arial" w:cs="Arial" w:eastAsia="Arial" w:hAnsi="Arial"/>
          <w:sz w:val="16"/>
          <w:szCs w:val="16"/>
          <w:color w:val="auto"/>
        </w:rPr>
      </w:pPr>
      <w:r>
        <w:rPr>
          <w:rFonts w:ascii="Arial" w:cs="Arial" w:eastAsia="Arial" w:hAnsi="Arial"/>
          <w:sz w:val="16"/>
          <w:szCs w:val="16"/>
          <w:color w:val="auto"/>
        </w:rPr>
        <w:t>$315 million in 2006</w:t>
      </w:r>
    </w:p>
    <w:p>
      <w:pPr>
        <w:spacing w:after="0" w:line="128" w:lineRule="exact"/>
        <w:rPr>
          <w:sz w:val="20"/>
          <w:szCs w:val="20"/>
          <w:color w:val="auto"/>
        </w:rPr>
      </w:pPr>
    </w:p>
    <w:p>
      <w:pPr>
        <w:ind w:left="4"/>
        <w:spacing w:after="0"/>
        <w:rPr>
          <w:sz w:val="20"/>
          <w:szCs w:val="20"/>
          <w:color w:val="auto"/>
        </w:rPr>
      </w:pPr>
      <w:r>
        <w:rPr>
          <w:rFonts w:ascii="Arial" w:cs="Arial" w:eastAsia="Arial" w:hAnsi="Arial"/>
          <w:sz w:val="16"/>
          <w:szCs w:val="16"/>
          <w:color w:val="auto"/>
        </w:rPr>
        <w:t>The 2006 amount included $351 million in gains from the disposal of Sempra Generation's</w:t>
      </w:r>
    </w:p>
    <w:p>
      <w:pPr>
        <w:spacing w:after="0" w:line="44" w:lineRule="exact"/>
        <w:rPr>
          <w:sz w:val="20"/>
          <w:szCs w:val="20"/>
          <w:color w:val="auto"/>
        </w:rPr>
      </w:pPr>
    </w:p>
    <w:p>
      <w:pPr>
        <w:ind w:left="144" w:hanging="144"/>
        <w:spacing w:after="0"/>
        <w:tabs>
          <w:tab w:leader="none" w:pos="144" w:val="left"/>
        </w:tabs>
        <w:numPr>
          <w:ilvl w:val="0"/>
          <w:numId w:val="266"/>
        </w:numPr>
        <w:rPr>
          <w:rFonts w:ascii="Arial" w:cs="Arial" w:eastAsia="Arial" w:hAnsi="Arial"/>
          <w:sz w:val="16"/>
          <w:szCs w:val="16"/>
          <w:color w:val="auto"/>
        </w:rPr>
      </w:pPr>
      <w:r>
        <w:rPr>
          <w:rFonts w:ascii="Arial" w:cs="Arial" w:eastAsia="Arial" w:hAnsi="Arial"/>
          <w:sz w:val="16"/>
          <w:szCs w:val="16"/>
          <w:color w:val="auto"/>
        </w:rPr>
        <w:t>Twin Oaks Power plant,</w:t>
      </w:r>
    </w:p>
    <w:p>
      <w:pPr>
        <w:spacing w:after="0" w:line="44" w:lineRule="exact"/>
        <w:rPr>
          <w:rFonts w:ascii="Arial" w:cs="Arial" w:eastAsia="Arial" w:hAnsi="Arial"/>
          <w:sz w:val="16"/>
          <w:szCs w:val="16"/>
          <w:color w:val="auto"/>
        </w:rPr>
      </w:pPr>
    </w:p>
    <w:p>
      <w:pPr>
        <w:ind w:left="144" w:hanging="144"/>
        <w:spacing w:after="0"/>
        <w:tabs>
          <w:tab w:leader="none" w:pos="144" w:val="left"/>
        </w:tabs>
        <w:numPr>
          <w:ilvl w:val="0"/>
          <w:numId w:val="266"/>
        </w:numPr>
        <w:rPr>
          <w:rFonts w:ascii="Arial" w:cs="Arial" w:eastAsia="Arial" w:hAnsi="Arial"/>
          <w:sz w:val="16"/>
          <w:szCs w:val="16"/>
          <w:color w:val="auto"/>
        </w:rPr>
      </w:pPr>
      <w:r>
        <w:rPr>
          <w:rFonts w:ascii="Arial" w:cs="Arial" w:eastAsia="Arial" w:hAnsi="Arial"/>
          <w:sz w:val="16"/>
          <w:szCs w:val="16"/>
          <w:color w:val="auto"/>
        </w:rPr>
        <w:t>Energy Services and Facilities Management businesses, and</w:t>
      </w:r>
    </w:p>
    <w:p>
      <w:pPr>
        <w:spacing w:after="0" w:line="44" w:lineRule="exact"/>
        <w:rPr>
          <w:rFonts w:ascii="Arial" w:cs="Arial" w:eastAsia="Arial" w:hAnsi="Arial"/>
          <w:sz w:val="16"/>
          <w:szCs w:val="16"/>
          <w:color w:val="auto"/>
        </w:rPr>
      </w:pPr>
    </w:p>
    <w:p>
      <w:pPr>
        <w:ind w:left="144" w:hanging="144"/>
        <w:spacing w:after="0"/>
        <w:tabs>
          <w:tab w:leader="none" w:pos="144" w:val="left"/>
        </w:tabs>
        <w:numPr>
          <w:ilvl w:val="0"/>
          <w:numId w:val="266"/>
        </w:numPr>
        <w:rPr>
          <w:rFonts w:ascii="Arial" w:cs="Arial" w:eastAsia="Arial" w:hAnsi="Arial"/>
          <w:sz w:val="16"/>
          <w:szCs w:val="16"/>
          <w:color w:val="auto"/>
        </w:rPr>
      </w:pPr>
      <w:r>
        <w:rPr>
          <w:rFonts w:ascii="Arial" w:cs="Arial" w:eastAsia="Arial" w:hAnsi="Arial"/>
          <w:sz w:val="16"/>
          <w:szCs w:val="16"/>
          <w:color w:val="auto"/>
        </w:rPr>
        <w:t>Sempra Energy Production Company (SEPCO), its exploration and production subsidiary.</w:t>
      </w:r>
    </w:p>
    <w:p>
      <w:pPr>
        <w:spacing w:after="0" w:line="128" w:lineRule="exact"/>
        <w:rPr>
          <w:sz w:val="20"/>
          <w:szCs w:val="20"/>
          <w:color w:val="auto"/>
        </w:rPr>
      </w:pPr>
    </w:p>
    <w:p>
      <w:pPr>
        <w:ind w:left="4" w:right="120"/>
        <w:spacing w:after="0" w:line="277" w:lineRule="auto"/>
        <w:rPr>
          <w:sz w:val="20"/>
          <w:szCs w:val="20"/>
          <w:color w:val="auto"/>
        </w:rPr>
      </w:pPr>
      <w:r>
        <w:rPr>
          <w:rFonts w:ascii="Arial" w:cs="Arial" w:eastAsia="Arial" w:hAnsi="Arial"/>
          <w:sz w:val="16"/>
          <w:szCs w:val="16"/>
          <w:color w:val="auto"/>
        </w:rPr>
        <w:t>These gains were offset by $42 million, primarily from an impairment loss related to Bangor Gas and Frontier Energy. We provide further discussion of discontinued operations in Note 5 of the Notes to Consolidated Financial Statements.</w:t>
      </w:r>
    </w:p>
    <w:p>
      <w:pPr>
        <w:spacing w:after="0" w:line="126" w:lineRule="exact"/>
        <w:rPr>
          <w:sz w:val="20"/>
          <w:szCs w:val="20"/>
          <w:color w:val="auto"/>
        </w:rPr>
      </w:pPr>
    </w:p>
    <w:p>
      <w:pPr>
        <w:ind w:left="4"/>
        <w:spacing w:after="0"/>
        <w:rPr>
          <w:sz w:val="20"/>
          <w:szCs w:val="20"/>
          <w:color w:val="auto"/>
        </w:rPr>
      </w:pPr>
      <w:r>
        <w:rPr>
          <w:rFonts w:ascii="Arial" w:cs="Arial" w:eastAsia="Arial" w:hAnsi="Arial"/>
          <w:sz w:val="18"/>
          <w:szCs w:val="18"/>
          <w:b w:val="1"/>
          <w:bCs w:val="1"/>
          <w:i w:val="1"/>
          <w:iCs w:val="1"/>
          <w:color w:val="auto"/>
        </w:rPr>
        <w:t>Net Income</w:t>
      </w:r>
    </w:p>
    <w:p>
      <w:pPr>
        <w:spacing w:after="0" w:line="23" w:lineRule="exact"/>
        <w:rPr>
          <w:sz w:val="20"/>
          <w:szCs w:val="20"/>
          <w:color w:val="auto"/>
        </w:rPr>
      </w:pPr>
    </w:p>
    <w:p>
      <w:pPr>
        <w:ind w:left="4" w:right="480"/>
        <w:spacing w:after="0" w:line="277" w:lineRule="auto"/>
        <w:rPr>
          <w:sz w:val="20"/>
          <w:szCs w:val="20"/>
          <w:color w:val="auto"/>
        </w:rPr>
      </w:pPr>
      <w:r>
        <w:rPr>
          <w:rFonts w:ascii="Arial" w:cs="Arial" w:eastAsia="Arial" w:hAnsi="Arial"/>
          <w:sz w:val="16"/>
          <w:szCs w:val="16"/>
          <w:color w:val="auto"/>
        </w:rPr>
        <w:t>We summarize variations in overall net income in "Overall Results of Operations of Sempra Energy and Factors Affecting the Results" above. We discuss variations in net income by business unit above in "Business Unit Results."</w:t>
      </w:r>
    </w:p>
    <w:p>
      <w:pPr>
        <w:spacing w:after="0" w:line="228"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auto"/>
        </w:rPr>
        <w:t>TRANSACTIONS WITH AFFILIATES</w:t>
      </w:r>
    </w:p>
    <w:p>
      <w:pPr>
        <w:spacing w:after="0" w:line="89" w:lineRule="exact"/>
        <w:rPr>
          <w:sz w:val="20"/>
          <w:szCs w:val="20"/>
          <w:color w:val="auto"/>
        </w:rPr>
      </w:pPr>
    </w:p>
    <w:p>
      <w:pPr>
        <w:ind w:left="4"/>
        <w:spacing w:after="0"/>
        <w:rPr>
          <w:sz w:val="20"/>
          <w:szCs w:val="20"/>
          <w:color w:val="auto"/>
        </w:rPr>
      </w:pPr>
      <w:r>
        <w:rPr>
          <w:rFonts w:ascii="Arial" w:cs="Arial" w:eastAsia="Arial" w:hAnsi="Arial"/>
          <w:sz w:val="16"/>
          <w:szCs w:val="16"/>
          <w:color w:val="auto"/>
        </w:rPr>
        <w:t>We provide information about our related party transactions in Note 1 of the Notes to Consolidated Financial Statements.</w:t>
      </w:r>
    </w:p>
    <w:p>
      <w:pPr>
        <w:spacing w:after="0" w:line="276"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auto"/>
        </w:rPr>
        <w:t>BOOK VALUE PER SHARE</w:t>
      </w:r>
    </w:p>
    <w:p>
      <w:pPr>
        <w:spacing w:after="0" w:line="89" w:lineRule="exact"/>
        <w:rPr>
          <w:sz w:val="20"/>
          <w:szCs w:val="20"/>
          <w:color w:val="auto"/>
        </w:rPr>
      </w:pPr>
    </w:p>
    <w:p>
      <w:pPr>
        <w:ind w:left="4"/>
        <w:spacing w:after="0"/>
        <w:rPr>
          <w:sz w:val="20"/>
          <w:szCs w:val="20"/>
          <w:color w:val="auto"/>
        </w:rPr>
      </w:pPr>
      <w:r>
        <w:rPr>
          <w:rFonts w:ascii="Arial" w:cs="Arial" w:eastAsia="Arial" w:hAnsi="Arial"/>
          <w:sz w:val="16"/>
          <w:szCs w:val="16"/>
          <w:color w:val="auto"/>
        </w:rPr>
        <w:t>Sempra Energy's book value per share, on the last day of each year, is listed below:</w:t>
      </w:r>
    </w:p>
    <w:p>
      <w:pPr>
        <w:spacing w:after="0" w:line="44" w:lineRule="exact"/>
        <w:rPr>
          <w:sz w:val="20"/>
          <w:szCs w:val="20"/>
          <w:color w:val="auto"/>
        </w:rPr>
      </w:pPr>
    </w:p>
    <w:p>
      <w:pPr>
        <w:ind w:left="144" w:hanging="144"/>
        <w:spacing w:after="0"/>
        <w:tabs>
          <w:tab w:leader="none" w:pos="144" w:val="left"/>
        </w:tabs>
        <w:numPr>
          <w:ilvl w:val="0"/>
          <w:numId w:val="267"/>
        </w:numPr>
        <w:rPr>
          <w:rFonts w:ascii="Arial" w:cs="Arial" w:eastAsia="Arial" w:hAnsi="Arial"/>
          <w:sz w:val="16"/>
          <w:szCs w:val="16"/>
          <w:color w:val="auto"/>
        </w:rPr>
      </w:pPr>
      <w:r>
        <w:rPr>
          <w:rFonts w:ascii="Arial" w:cs="Arial" w:eastAsia="Arial" w:hAnsi="Arial"/>
          <w:sz w:val="16"/>
          <w:szCs w:val="16"/>
          <w:color w:val="auto"/>
        </w:rPr>
        <w:t>$32.75 in 2008</w:t>
      </w:r>
    </w:p>
    <w:p>
      <w:pPr>
        <w:spacing w:after="0" w:line="44" w:lineRule="exact"/>
        <w:rPr>
          <w:rFonts w:ascii="Arial" w:cs="Arial" w:eastAsia="Arial" w:hAnsi="Arial"/>
          <w:sz w:val="16"/>
          <w:szCs w:val="16"/>
          <w:color w:val="auto"/>
        </w:rPr>
      </w:pPr>
    </w:p>
    <w:p>
      <w:pPr>
        <w:ind w:left="144" w:hanging="144"/>
        <w:spacing w:after="0"/>
        <w:tabs>
          <w:tab w:leader="none" w:pos="144" w:val="left"/>
        </w:tabs>
        <w:numPr>
          <w:ilvl w:val="0"/>
          <w:numId w:val="267"/>
        </w:numPr>
        <w:rPr>
          <w:rFonts w:ascii="Arial" w:cs="Arial" w:eastAsia="Arial" w:hAnsi="Arial"/>
          <w:sz w:val="16"/>
          <w:szCs w:val="16"/>
          <w:color w:val="auto"/>
        </w:rPr>
      </w:pPr>
      <w:r>
        <w:rPr>
          <w:rFonts w:ascii="Arial" w:cs="Arial" w:eastAsia="Arial" w:hAnsi="Arial"/>
          <w:sz w:val="16"/>
          <w:szCs w:val="16"/>
          <w:color w:val="auto"/>
        </w:rPr>
        <w:t>$31.93 in 2007</w:t>
      </w:r>
    </w:p>
    <w:p>
      <w:pPr>
        <w:spacing w:after="0" w:line="44" w:lineRule="exact"/>
        <w:rPr>
          <w:rFonts w:ascii="Arial" w:cs="Arial" w:eastAsia="Arial" w:hAnsi="Arial"/>
          <w:sz w:val="16"/>
          <w:szCs w:val="16"/>
          <w:color w:val="auto"/>
        </w:rPr>
      </w:pPr>
    </w:p>
    <w:p>
      <w:pPr>
        <w:ind w:left="144" w:hanging="144"/>
        <w:spacing w:after="0"/>
        <w:tabs>
          <w:tab w:leader="none" w:pos="144" w:val="left"/>
        </w:tabs>
        <w:numPr>
          <w:ilvl w:val="0"/>
          <w:numId w:val="267"/>
        </w:numPr>
        <w:rPr>
          <w:rFonts w:ascii="Arial" w:cs="Arial" w:eastAsia="Arial" w:hAnsi="Arial"/>
          <w:sz w:val="16"/>
          <w:szCs w:val="16"/>
          <w:color w:val="auto"/>
        </w:rPr>
      </w:pPr>
      <w:r>
        <w:rPr>
          <w:rFonts w:ascii="Arial" w:cs="Arial" w:eastAsia="Arial" w:hAnsi="Arial"/>
          <w:sz w:val="16"/>
          <w:szCs w:val="16"/>
          <w:color w:val="auto"/>
        </w:rPr>
        <w:t>$28.67 in 2006</w:t>
      </w:r>
    </w:p>
    <w:p>
      <w:pPr>
        <w:spacing w:after="0" w:line="128" w:lineRule="exact"/>
        <w:rPr>
          <w:sz w:val="20"/>
          <w:szCs w:val="20"/>
          <w:color w:val="auto"/>
        </w:rPr>
      </w:pPr>
    </w:p>
    <w:p>
      <w:pPr>
        <w:ind w:left="4" w:right="20"/>
        <w:spacing w:after="0" w:line="277" w:lineRule="auto"/>
        <w:rPr>
          <w:sz w:val="20"/>
          <w:szCs w:val="20"/>
          <w:color w:val="auto"/>
        </w:rPr>
      </w:pPr>
      <w:r>
        <w:rPr>
          <w:rFonts w:ascii="Arial" w:cs="Arial" w:eastAsia="Arial" w:hAnsi="Arial"/>
          <w:sz w:val="16"/>
          <w:szCs w:val="16"/>
          <w:color w:val="auto"/>
        </w:rPr>
        <w:t>The increases in 2008 and 2007 were primarily the result of comprehensive income exceeding dividends. The increase in 2008 book value per share was also due to the reduction in common stock from the share repurchase program in 2008.</w:t>
      </w:r>
    </w:p>
    <w:p>
      <w:pPr>
        <w:spacing w:after="0" w:line="200" w:lineRule="exact"/>
        <w:rPr>
          <w:sz w:val="20"/>
          <w:szCs w:val="20"/>
          <w:color w:val="auto"/>
        </w:rPr>
      </w:pPr>
    </w:p>
    <w:p>
      <w:pPr>
        <w:spacing w:after="0" w:line="220" w:lineRule="exact"/>
        <w:rPr>
          <w:sz w:val="20"/>
          <w:szCs w:val="20"/>
          <w:color w:val="auto"/>
        </w:rPr>
      </w:pPr>
    </w:p>
    <w:p>
      <w:pPr>
        <w:ind w:left="4"/>
        <w:spacing w:after="0"/>
        <w:rPr>
          <w:sz w:val="20"/>
          <w:szCs w:val="20"/>
          <w:color w:val="auto"/>
        </w:rPr>
      </w:pPr>
      <w:r>
        <w:rPr>
          <w:rFonts w:ascii="Arial" w:cs="Arial" w:eastAsia="Arial" w:hAnsi="Arial"/>
          <w:sz w:val="14"/>
          <w:szCs w:val="14"/>
          <w:color w:val="auto"/>
        </w:rPr>
        <w:t>26</w:t>
      </w:r>
    </w:p>
    <w:p>
      <w:pPr>
        <w:sectPr>
          <w:pgSz w:w="11900" w:h="16838" w:orient="portrait"/>
          <w:cols w:equalWidth="0" w:num="1">
            <w:col w:w="11404"/>
          </w:cols>
          <w:pgMar w:left="236" w:top="127" w:right="259" w:bottom="1440" w:gutter="0" w:footer="0" w:header="0"/>
        </w:sectPr>
      </w:pPr>
    </w:p>
    <w:bookmarkStart w:id="166" w:name="page167"/>
    <w:bookmarkEnd w:id="166"/>
    <w:p>
      <w:pPr>
        <w:ind w:left="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149860</wp:posOffset>
            </wp:positionH>
            <wp:positionV relativeFrom="page">
              <wp:posOffset>432435</wp:posOffset>
            </wp:positionV>
            <wp:extent cx="7261860" cy="762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61860" cy="7620"/>
                    </a:xfrm>
                    <a:prstGeom prst="rect">
                      <a:avLst/>
                    </a:prstGeom>
                    <a:noFill/>
                  </pic:spPr>
                </pic:pic>
              </a:graphicData>
            </a:graphic>
          </wp:anchor>
        </w:drawing>
        <w:t>CAPITAL RESOURCES AND LIQUIDITY</w:t>
      </w:r>
    </w:p>
    <w:p>
      <w:pPr>
        <w:spacing w:after="0" w:line="60" w:lineRule="exact"/>
        <w:rPr>
          <w:sz w:val="20"/>
          <w:szCs w:val="20"/>
          <w:color w:val="auto"/>
        </w:rPr>
      </w:pPr>
    </w:p>
    <w:p>
      <w:pPr>
        <w:ind w:left="4" w:right="200"/>
        <w:spacing w:after="0" w:line="277" w:lineRule="auto"/>
        <w:rPr>
          <w:sz w:val="20"/>
          <w:szCs w:val="20"/>
          <w:color w:val="auto"/>
        </w:rPr>
      </w:pPr>
      <w:r>
        <w:rPr>
          <w:rFonts w:ascii="Arial" w:cs="Arial" w:eastAsia="Arial" w:hAnsi="Arial"/>
          <w:sz w:val="16"/>
          <w:szCs w:val="16"/>
          <w:color w:val="auto"/>
        </w:rPr>
        <w:t>We expect our cash flows from operations to fund a substantial portion of our capital expenditures and dividends. In addition, we may meet our cash requirements through the issuance of short-term and long-term debt.</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6"/>
          <w:szCs w:val="16"/>
          <w:color w:val="auto"/>
        </w:rPr>
        <w:t>Significant events affecting cash flows in 2008 were</w:t>
      </w:r>
    </w:p>
    <w:p>
      <w:pPr>
        <w:spacing w:after="0" w:line="44" w:lineRule="exact"/>
        <w:rPr>
          <w:sz w:val="20"/>
          <w:szCs w:val="20"/>
          <w:color w:val="auto"/>
        </w:rPr>
      </w:pPr>
    </w:p>
    <w:p>
      <w:pPr>
        <w:ind w:left="144" w:hanging="144"/>
        <w:spacing w:after="0"/>
        <w:tabs>
          <w:tab w:leader="none" w:pos="144" w:val="left"/>
        </w:tabs>
        <w:numPr>
          <w:ilvl w:val="0"/>
          <w:numId w:val="268"/>
        </w:numPr>
        <w:rPr>
          <w:rFonts w:ascii="Arial" w:cs="Arial" w:eastAsia="Arial" w:hAnsi="Arial"/>
          <w:sz w:val="16"/>
          <w:szCs w:val="16"/>
          <w:color w:val="auto"/>
        </w:rPr>
      </w:pPr>
      <w:r>
        <w:rPr>
          <w:rFonts w:ascii="Arial" w:cs="Arial" w:eastAsia="Arial" w:hAnsi="Arial"/>
          <w:sz w:val="16"/>
          <w:szCs w:val="16"/>
          <w:color w:val="auto"/>
        </w:rPr>
        <w:t>the formation of RBS Sempra Commodities</w:t>
      </w:r>
    </w:p>
    <w:p>
      <w:pPr>
        <w:spacing w:after="0" w:line="44" w:lineRule="exact"/>
        <w:rPr>
          <w:rFonts w:ascii="Arial" w:cs="Arial" w:eastAsia="Arial" w:hAnsi="Arial"/>
          <w:sz w:val="16"/>
          <w:szCs w:val="16"/>
          <w:color w:val="auto"/>
        </w:rPr>
      </w:pPr>
    </w:p>
    <w:p>
      <w:pPr>
        <w:ind w:left="144" w:hanging="144"/>
        <w:spacing w:after="0"/>
        <w:tabs>
          <w:tab w:leader="none" w:pos="144" w:val="left"/>
        </w:tabs>
        <w:numPr>
          <w:ilvl w:val="0"/>
          <w:numId w:val="268"/>
        </w:numPr>
        <w:rPr>
          <w:rFonts w:ascii="Arial" w:cs="Arial" w:eastAsia="Arial" w:hAnsi="Arial"/>
          <w:sz w:val="16"/>
          <w:szCs w:val="16"/>
          <w:color w:val="auto"/>
        </w:rPr>
      </w:pPr>
      <w:r>
        <w:rPr>
          <w:rFonts w:ascii="Arial" w:cs="Arial" w:eastAsia="Arial" w:hAnsi="Arial"/>
          <w:sz w:val="16"/>
          <w:szCs w:val="16"/>
          <w:color w:val="auto"/>
        </w:rPr>
        <w:t>the repurchase of $1 billion of Sempra Energy common stock</w:t>
      </w:r>
    </w:p>
    <w:p>
      <w:pPr>
        <w:spacing w:after="0" w:line="44" w:lineRule="exact"/>
        <w:rPr>
          <w:rFonts w:ascii="Arial" w:cs="Arial" w:eastAsia="Arial" w:hAnsi="Arial"/>
          <w:sz w:val="16"/>
          <w:szCs w:val="16"/>
          <w:color w:val="auto"/>
        </w:rPr>
      </w:pPr>
    </w:p>
    <w:p>
      <w:pPr>
        <w:ind w:left="144" w:hanging="144"/>
        <w:spacing w:after="0"/>
        <w:tabs>
          <w:tab w:leader="none" w:pos="144" w:val="left"/>
        </w:tabs>
        <w:numPr>
          <w:ilvl w:val="0"/>
          <w:numId w:val="268"/>
        </w:numPr>
        <w:rPr>
          <w:rFonts w:ascii="Arial" w:cs="Arial" w:eastAsia="Arial" w:hAnsi="Arial"/>
          <w:sz w:val="16"/>
          <w:szCs w:val="16"/>
          <w:color w:val="auto"/>
        </w:rPr>
      </w:pPr>
      <w:r>
        <w:rPr>
          <w:rFonts w:ascii="Arial" w:cs="Arial" w:eastAsia="Arial" w:hAnsi="Arial"/>
          <w:sz w:val="16"/>
          <w:szCs w:val="16"/>
          <w:color w:val="auto"/>
        </w:rPr>
        <w:t>the acquisition of EnergySouth</w:t>
      </w:r>
    </w:p>
    <w:p>
      <w:pPr>
        <w:spacing w:after="0" w:line="128" w:lineRule="exact"/>
        <w:rPr>
          <w:sz w:val="20"/>
          <w:szCs w:val="20"/>
          <w:color w:val="auto"/>
        </w:rPr>
      </w:pPr>
    </w:p>
    <w:p>
      <w:pPr>
        <w:ind w:left="4"/>
        <w:spacing w:after="0"/>
        <w:rPr>
          <w:sz w:val="20"/>
          <w:szCs w:val="20"/>
          <w:color w:val="auto"/>
        </w:rPr>
      </w:pPr>
      <w:r>
        <w:rPr>
          <w:rFonts w:ascii="Arial" w:cs="Arial" w:eastAsia="Arial" w:hAnsi="Arial"/>
          <w:sz w:val="16"/>
          <w:szCs w:val="16"/>
          <w:color w:val="auto"/>
        </w:rPr>
        <w:t>We discuss these events in more detail later in this section.</w:t>
      </w:r>
    </w:p>
    <w:p>
      <w:pPr>
        <w:spacing w:after="0" w:line="80" w:lineRule="exact"/>
        <w:rPr>
          <w:sz w:val="20"/>
          <w:szCs w:val="20"/>
          <w:color w:val="auto"/>
        </w:rPr>
      </w:pPr>
    </w:p>
    <w:p>
      <w:pPr>
        <w:ind w:left="4" w:right="120"/>
        <w:spacing w:after="0" w:line="277" w:lineRule="auto"/>
        <w:rPr>
          <w:sz w:val="20"/>
          <w:szCs w:val="20"/>
          <w:color w:val="auto"/>
        </w:rPr>
      </w:pPr>
      <w:r>
        <w:rPr>
          <w:rFonts w:ascii="Arial" w:cs="Arial" w:eastAsia="Arial" w:hAnsi="Arial"/>
          <w:sz w:val="16"/>
          <w:szCs w:val="16"/>
          <w:color w:val="auto"/>
        </w:rPr>
        <w:t>Our committed lines of credit provide liquidity and support commercial paper. They expire in August 2011. At Sempra Energy, they are syndicated broadly among 20 different banks and at the Sempra Utilities, among 17 different banks. No single bank has greater than a 10.7 percent share in any agreement.</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6"/>
          <w:szCs w:val="16"/>
          <w:color w:val="auto"/>
        </w:rPr>
        <w:t>The table below shows the amount of available funds at year-end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1548765</wp:posOffset>
            </wp:positionH>
            <wp:positionV relativeFrom="paragraph">
              <wp:posOffset>173355</wp:posOffset>
            </wp:positionV>
            <wp:extent cx="4164965" cy="28194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4164965" cy="281940"/>
                    </a:xfrm>
                    <a:prstGeom prst="rect">
                      <a:avLst/>
                    </a:prstGeom>
                    <a:noFill/>
                  </pic:spPr>
                </pic:pic>
              </a:graphicData>
            </a:graphic>
          </wp:anchor>
        </w:drawing>
      </w:r>
    </w:p>
    <w:p>
      <w:pPr>
        <w:spacing w:after="0" w:line="285" w:lineRule="exact"/>
        <w:rPr>
          <w:sz w:val="20"/>
          <w:szCs w:val="20"/>
          <w:color w:val="auto"/>
        </w:rPr>
      </w:pPr>
    </w:p>
    <w:p>
      <w:pPr>
        <w:ind w:left="2444"/>
        <w:spacing w:after="0"/>
        <w:rPr>
          <w:sz w:val="20"/>
          <w:szCs w:val="20"/>
          <w:color w:val="auto"/>
        </w:rPr>
      </w:pPr>
      <w:r>
        <w:rPr>
          <w:rFonts w:ascii="Arial" w:cs="Arial" w:eastAsia="Arial" w:hAnsi="Arial"/>
          <w:sz w:val="14"/>
          <w:szCs w:val="14"/>
          <w:b w:val="1"/>
          <w:bCs w:val="1"/>
          <w:color w:val="auto"/>
        </w:rPr>
        <w:t>AVAILABLE FUNDS AT YEAR-END 2008</w:t>
      </w:r>
    </w:p>
    <w:p>
      <w:pPr>
        <w:spacing w:after="0" w:line="76" w:lineRule="exact"/>
        <w:rPr>
          <w:sz w:val="20"/>
          <w:szCs w:val="20"/>
          <w:color w:val="auto"/>
        </w:rPr>
      </w:pPr>
    </w:p>
    <w:p>
      <w:pPr>
        <w:ind w:left="2444"/>
        <w:spacing w:after="0"/>
        <w:rPr>
          <w:sz w:val="20"/>
          <w:szCs w:val="20"/>
          <w:color w:val="auto"/>
        </w:rPr>
      </w:pPr>
      <w:r>
        <w:rPr>
          <w:rFonts w:ascii="Arial" w:cs="Arial" w:eastAsia="Arial" w:hAnsi="Arial"/>
          <w:sz w:val="13"/>
          <w:szCs w:val="13"/>
          <w:i w:val="1"/>
          <w:iCs w:val="1"/>
          <w:color w:val="auto"/>
        </w:rPr>
        <w:t>(Dollars in millions)</w:t>
      </w:r>
    </w:p>
    <w:p>
      <w:pPr>
        <w:spacing w:after="0" w:line="139" w:lineRule="exact"/>
        <w:rPr>
          <w:sz w:val="20"/>
          <w:szCs w:val="20"/>
          <w:color w:val="auto"/>
        </w:rPr>
      </w:pPr>
    </w:p>
    <w:tbl>
      <w:tblPr>
        <w:tblLayout w:type="fixed"/>
        <w:tblInd w:w="2444" w:type="dxa"/>
        <w:tblCellMar>
          <w:top w:w="0" w:type="dxa"/>
          <w:left w:w="0" w:type="dxa"/>
          <w:bottom w:w="0" w:type="dxa"/>
          <w:right w:w="0" w:type="dxa"/>
        </w:tblCellMar>
      </w:tblPr>
      <w:tr>
        <w:trPr>
          <w:trHeight w:val="154"/>
        </w:trPr>
        <w:tc>
          <w:tcPr>
            <w:tcW w:w="3060" w:type="dxa"/>
            <w:vAlign w:val="bottom"/>
          </w:tcPr>
          <w:p>
            <w:pPr>
              <w:spacing w:after="0"/>
              <w:rPr>
                <w:sz w:val="13"/>
                <w:szCs w:val="13"/>
                <w:color w:val="auto"/>
              </w:rPr>
            </w:pPr>
          </w:p>
        </w:tc>
        <w:tc>
          <w:tcPr>
            <w:tcW w:w="1640" w:type="dxa"/>
            <w:vAlign w:val="bottom"/>
            <w:gridSpan w:val="2"/>
          </w:tcPr>
          <w:p>
            <w:pPr>
              <w:jc w:val="right"/>
              <w:ind w:right="128"/>
              <w:spacing w:after="0"/>
              <w:rPr>
                <w:sz w:val="20"/>
                <w:szCs w:val="20"/>
                <w:color w:val="auto"/>
              </w:rPr>
            </w:pPr>
            <w:r>
              <w:rPr>
                <w:rFonts w:ascii="Arial" w:cs="Arial" w:eastAsia="Arial" w:hAnsi="Arial"/>
                <w:sz w:val="13"/>
                <w:szCs w:val="13"/>
                <w:color w:val="auto"/>
              </w:rPr>
              <w:t>Sempra Energy</w:t>
            </w:r>
          </w:p>
        </w:tc>
        <w:tc>
          <w:tcPr>
            <w:tcW w:w="3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jc w:val="center"/>
              <w:ind w:right="451"/>
              <w:spacing w:after="0"/>
              <w:rPr>
                <w:sz w:val="20"/>
                <w:szCs w:val="20"/>
                <w:color w:val="auto"/>
              </w:rPr>
            </w:pPr>
            <w:r>
              <w:rPr>
                <w:rFonts w:ascii="Arial" w:cs="Arial" w:eastAsia="Arial" w:hAnsi="Arial"/>
                <w:sz w:val="13"/>
                <w:szCs w:val="13"/>
                <w:color w:val="auto"/>
                <w:w w:val="97"/>
              </w:rPr>
              <w:t>PE /</w:t>
            </w:r>
          </w:p>
        </w:tc>
      </w:tr>
      <w:tr>
        <w:trPr>
          <w:trHeight w:val="161"/>
        </w:trPr>
        <w:tc>
          <w:tcPr>
            <w:tcW w:w="306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2"/>
          </w:tcPr>
          <w:p>
            <w:pPr>
              <w:jc w:val="right"/>
              <w:ind w:right="208"/>
              <w:spacing w:after="0"/>
              <w:rPr>
                <w:sz w:val="20"/>
                <w:szCs w:val="20"/>
                <w:color w:val="auto"/>
              </w:rPr>
            </w:pPr>
            <w:r>
              <w:rPr>
                <w:rFonts w:ascii="Arial" w:cs="Arial" w:eastAsia="Arial" w:hAnsi="Arial"/>
                <w:sz w:val="13"/>
                <w:szCs w:val="13"/>
                <w:color w:val="auto"/>
              </w:rPr>
              <w:t>Consolidated</w:t>
            </w:r>
          </w:p>
        </w:tc>
        <w:tc>
          <w:tcPr>
            <w:tcW w:w="800" w:type="dxa"/>
            <w:vAlign w:val="bottom"/>
            <w:tcBorders>
              <w:bottom w:val="single" w:sz="8" w:color="auto"/>
            </w:tcBorders>
            <w:gridSpan w:val="2"/>
          </w:tcPr>
          <w:p>
            <w:pPr>
              <w:ind w:left="120"/>
              <w:spacing w:after="0"/>
              <w:rPr>
                <w:sz w:val="20"/>
                <w:szCs w:val="20"/>
                <w:color w:val="auto"/>
              </w:rPr>
            </w:pPr>
            <w:r>
              <w:rPr>
                <w:rFonts w:ascii="Arial" w:cs="Arial" w:eastAsia="Arial" w:hAnsi="Arial"/>
                <w:sz w:val="13"/>
                <w:szCs w:val="13"/>
                <w:color w:val="auto"/>
              </w:rPr>
              <w:t>SDG&amp;E</w:t>
            </w:r>
          </w:p>
        </w:tc>
        <w:tc>
          <w:tcPr>
            <w:tcW w:w="1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gridSpan w:val="2"/>
          </w:tcPr>
          <w:p>
            <w:pPr>
              <w:jc w:val="center"/>
              <w:ind w:right="231"/>
              <w:spacing w:after="0"/>
              <w:rPr>
                <w:sz w:val="20"/>
                <w:szCs w:val="20"/>
                <w:color w:val="auto"/>
              </w:rPr>
            </w:pPr>
            <w:r>
              <w:rPr>
                <w:rFonts w:ascii="Arial" w:cs="Arial" w:eastAsia="Arial" w:hAnsi="Arial"/>
                <w:sz w:val="13"/>
                <w:szCs w:val="13"/>
                <w:color w:val="auto"/>
                <w:w w:val="97"/>
              </w:rPr>
              <w:t>SoCalGas</w:t>
            </w:r>
          </w:p>
        </w:tc>
      </w:tr>
      <w:tr>
        <w:trPr>
          <w:trHeight w:val="207"/>
        </w:trPr>
        <w:tc>
          <w:tcPr>
            <w:tcW w:w="3060" w:type="dxa"/>
            <w:vAlign w:val="bottom"/>
          </w:tcPr>
          <w:p>
            <w:pPr>
              <w:spacing w:after="0"/>
              <w:rPr>
                <w:sz w:val="20"/>
                <w:szCs w:val="20"/>
                <w:color w:val="auto"/>
              </w:rPr>
            </w:pPr>
            <w:r>
              <w:rPr>
                <w:rFonts w:ascii="Arial" w:cs="Arial" w:eastAsia="Arial" w:hAnsi="Arial"/>
                <w:sz w:val="14"/>
                <w:szCs w:val="14"/>
                <w:color w:val="auto"/>
              </w:rPr>
              <w:t>Unrestricted cash and cash equivalents</w:t>
            </w:r>
          </w:p>
        </w:tc>
        <w:tc>
          <w:tcPr>
            <w:tcW w:w="1020" w:type="dxa"/>
            <w:vAlign w:val="bottom"/>
          </w:tcPr>
          <w:p>
            <w:pPr>
              <w:jc w:val="right"/>
              <w:ind w:right="93"/>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48"/>
              <w:spacing w:after="0"/>
              <w:rPr>
                <w:sz w:val="20"/>
                <w:szCs w:val="20"/>
                <w:color w:val="auto"/>
              </w:rPr>
            </w:pPr>
            <w:r>
              <w:rPr>
                <w:rFonts w:ascii="Arial" w:cs="Arial" w:eastAsia="Arial" w:hAnsi="Arial"/>
                <w:sz w:val="14"/>
                <w:szCs w:val="14"/>
                <w:color w:val="auto"/>
              </w:rPr>
              <w:t>331</w:t>
            </w:r>
          </w:p>
        </w:tc>
        <w:tc>
          <w:tcPr>
            <w:tcW w:w="380" w:type="dxa"/>
            <w:vAlign w:val="bottom"/>
          </w:tcPr>
          <w:p>
            <w:pPr>
              <w:ind w:left="140"/>
              <w:spacing w:after="0"/>
              <w:rPr>
                <w:sz w:val="20"/>
                <w:szCs w:val="20"/>
                <w:color w:val="auto"/>
              </w:rPr>
            </w:pPr>
            <w:r>
              <w:rPr>
                <w:rFonts w:ascii="Arial" w:cs="Arial" w:eastAsia="Arial" w:hAnsi="Arial"/>
                <w:sz w:val="14"/>
                <w:szCs w:val="14"/>
                <w:color w:val="auto"/>
              </w:rPr>
              <w:t>$</w:t>
            </w:r>
          </w:p>
        </w:tc>
        <w:tc>
          <w:tcPr>
            <w:tcW w:w="420" w:type="dxa"/>
            <w:vAlign w:val="bottom"/>
          </w:tcPr>
          <w:p>
            <w:pPr>
              <w:jc w:val="right"/>
              <w:spacing w:after="0"/>
              <w:rPr>
                <w:sz w:val="20"/>
                <w:szCs w:val="20"/>
                <w:color w:val="auto"/>
              </w:rPr>
            </w:pPr>
            <w:r>
              <w:rPr>
                <w:rFonts w:ascii="Arial" w:cs="Arial" w:eastAsia="Arial" w:hAnsi="Arial"/>
                <w:sz w:val="14"/>
                <w:szCs w:val="14"/>
                <w:color w:val="auto"/>
              </w:rPr>
              <w:t>19</w:t>
            </w:r>
          </w:p>
        </w:tc>
        <w:tc>
          <w:tcPr>
            <w:tcW w:w="10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ind w:left="300"/>
              <w:spacing w:after="0"/>
              <w:rPr>
                <w:sz w:val="20"/>
                <w:szCs w:val="20"/>
                <w:color w:val="auto"/>
              </w:rPr>
            </w:pPr>
            <w:r>
              <w:rPr>
                <w:rFonts w:ascii="Arial" w:cs="Arial" w:eastAsia="Arial" w:hAnsi="Arial"/>
                <w:sz w:val="14"/>
                <w:szCs w:val="14"/>
                <w:color w:val="auto"/>
              </w:rPr>
              <w:t>206</w:t>
            </w:r>
          </w:p>
        </w:tc>
      </w:tr>
      <w:tr>
        <w:trPr>
          <w:trHeight w:val="250"/>
        </w:trPr>
        <w:tc>
          <w:tcPr>
            <w:tcW w:w="3060" w:type="dxa"/>
            <w:vAlign w:val="bottom"/>
            <w:tcBorders>
              <w:bottom w:val="single" w:sz="8" w:color="DFDFDF"/>
            </w:tcBorders>
          </w:tcPr>
          <w:p>
            <w:pPr>
              <w:spacing w:after="0"/>
              <w:rPr>
                <w:sz w:val="20"/>
                <w:szCs w:val="20"/>
                <w:color w:val="auto"/>
              </w:rPr>
            </w:pPr>
            <w:r>
              <w:rPr>
                <w:rFonts w:ascii="Arial" w:cs="Arial" w:eastAsia="Arial" w:hAnsi="Arial"/>
                <w:sz w:val="14"/>
                <w:szCs w:val="14"/>
                <w:color w:val="auto"/>
              </w:rPr>
              <w:t>Available unused credit</w:t>
            </w:r>
          </w:p>
        </w:tc>
        <w:tc>
          <w:tcPr>
            <w:tcW w:w="1020" w:type="dxa"/>
            <w:vAlign w:val="bottom"/>
            <w:tcBorders>
              <w:bottom w:val="single" w:sz="8" w:color="DFDFDF"/>
            </w:tcBorders>
          </w:tcPr>
          <w:p>
            <w:pPr>
              <w:spacing w:after="0"/>
              <w:rPr>
                <w:sz w:val="21"/>
                <w:szCs w:val="21"/>
                <w:color w:val="auto"/>
              </w:rPr>
            </w:pPr>
          </w:p>
        </w:tc>
        <w:tc>
          <w:tcPr>
            <w:tcW w:w="620" w:type="dxa"/>
            <w:vAlign w:val="bottom"/>
            <w:tcBorders>
              <w:bottom w:val="single" w:sz="8" w:color="DFDFDF"/>
            </w:tcBorders>
          </w:tcPr>
          <w:p>
            <w:pPr>
              <w:jc w:val="right"/>
              <w:ind w:right="48"/>
              <w:spacing w:after="0"/>
              <w:rPr>
                <w:sz w:val="20"/>
                <w:szCs w:val="20"/>
                <w:color w:val="auto"/>
              </w:rPr>
            </w:pPr>
            <w:r>
              <w:rPr>
                <w:rFonts w:ascii="Arial" w:cs="Arial" w:eastAsia="Arial" w:hAnsi="Arial"/>
                <w:sz w:val="14"/>
                <w:szCs w:val="14"/>
                <w:color w:val="auto"/>
              </w:rPr>
              <w:t>2,863</w:t>
            </w:r>
          </w:p>
        </w:tc>
        <w:tc>
          <w:tcPr>
            <w:tcW w:w="380" w:type="dxa"/>
            <w:vAlign w:val="bottom"/>
            <w:tcBorders>
              <w:bottom w:val="single" w:sz="8" w:color="DFDFDF"/>
            </w:tcBorders>
          </w:tcPr>
          <w:p>
            <w:pPr>
              <w:spacing w:after="0"/>
              <w:rPr>
                <w:sz w:val="21"/>
                <w:szCs w:val="21"/>
                <w:color w:val="auto"/>
              </w:rPr>
            </w:pPr>
          </w:p>
        </w:tc>
        <w:tc>
          <w:tcPr>
            <w:tcW w:w="420" w:type="dxa"/>
            <w:vAlign w:val="bottom"/>
            <w:tcBorders>
              <w:bottom w:val="single" w:sz="8" w:color="DFDFDF"/>
            </w:tcBorders>
          </w:tcPr>
          <w:p>
            <w:pPr>
              <w:jc w:val="right"/>
              <w:spacing w:after="0"/>
              <w:rPr>
                <w:sz w:val="20"/>
                <w:szCs w:val="20"/>
                <w:color w:val="auto"/>
              </w:rPr>
            </w:pPr>
            <w:r>
              <w:rPr>
                <w:rFonts w:ascii="Arial" w:cs="Arial" w:eastAsia="Arial" w:hAnsi="Arial"/>
                <w:sz w:val="14"/>
                <w:szCs w:val="14"/>
                <w:color w:val="auto"/>
              </w:rPr>
              <w:t>253</w:t>
            </w:r>
          </w:p>
        </w:tc>
        <w:tc>
          <w:tcPr>
            <w:tcW w:w="100" w:type="dxa"/>
            <w:vAlign w:val="bottom"/>
            <w:tcBorders>
              <w:bottom w:val="single" w:sz="8" w:color="DFDFDF"/>
            </w:tcBorders>
          </w:tcPr>
          <w:p>
            <w:pPr>
              <w:jc w:val="right"/>
              <w:spacing w:after="0"/>
              <w:rPr>
                <w:sz w:val="20"/>
                <w:szCs w:val="20"/>
                <w:color w:val="auto"/>
              </w:rPr>
            </w:pPr>
            <w:r>
              <w:rPr>
                <w:rFonts w:ascii="Arial" w:cs="Arial" w:eastAsia="Arial" w:hAnsi="Arial"/>
                <w:sz w:val="14"/>
                <w:szCs w:val="14"/>
                <w:color w:val="auto"/>
                <w:w w:val="72"/>
              </w:rPr>
              <w:t>*</w:t>
            </w:r>
          </w:p>
        </w:tc>
        <w:tc>
          <w:tcPr>
            <w:tcW w:w="200" w:type="dxa"/>
            <w:vAlign w:val="bottom"/>
            <w:tcBorders>
              <w:bottom w:val="single" w:sz="8" w:color="DFDFDF"/>
            </w:tcBorders>
          </w:tcPr>
          <w:p>
            <w:pPr>
              <w:spacing w:after="0"/>
              <w:rPr>
                <w:sz w:val="21"/>
                <w:szCs w:val="21"/>
                <w:color w:val="auto"/>
              </w:rPr>
            </w:pPr>
          </w:p>
        </w:tc>
        <w:tc>
          <w:tcPr>
            <w:tcW w:w="760" w:type="dxa"/>
            <w:vAlign w:val="bottom"/>
            <w:tcBorders>
              <w:bottom w:val="single" w:sz="8" w:color="DFDFDF"/>
            </w:tcBorders>
          </w:tcPr>
          <w:p>
            <w:pPr>
              <w:ind w:left="300"/>
              <w:spacing w:after="0"/>
              <w:rPr>
                <w:sz w:val="20"/>
                <w:szCs w:val="20"/>
                <w:color w:val="auto"/>
              </w:rPr>
            </w:pPr>
            <w:r>
              <w:rPr>
                <w:rFonts w:ascii="Arial" w:cs="Arial" w:eastAsia="Arial" w:hAnsi="Arial"/>
                <w:sz w:val="14"/>
                <w:szCs w:val="14"/>
                <w:color w:val="auto"/>
              </w:rPr>
              <w:t>453 *</w:t>
            </w:r>
          </w:p>
        </w:tc>
      </w:tr>
    </w:tbl>
    <w:p>
      <w:pPr>
        <w:spacing w:after="0" w:line="4" w:lineRule="exact"/>
        <w:rPr>
          <w:sz w:val="20"/>
          <w:szCs w:val="20"/>
          <w:color w:val="auto"/>
        </w:rPr>
      </w:pPr>
    </w:p>
    <w:p>
      <w:pPr>
        <w:ind w:left="2684" w:right="2440" w:hanging="233"/>
        <w:spacing w:after="0" w:line="287" w:lineRule="auto"/>
        <w:tabs>
          <w:tab w:leader="none" w:pos="2684" w:val="left"/>
        </w:tabs>
        <w:numPr>
          <w:ilvl w:val="0"/>
          <w:numId w:val="269"/>
        </w:numPr>
        <w:rPr>
          <w:rFonts w:ascii="Arial" w:cs="Arial" w:eastAsia="Arial" w:hAnsi="Arial"/>
          <w:sz w:val="12"/>
          <w:szCs w:val="12"/>
          <w:i w:val="1"/>
          <w:iCs w:val="1"/>
          <w:color w:val="auto"/>
        </w:rPr>
      </w:pPr>
      <w:r>
        <w:rPr>
          <w:rFonts w:ascii="Arial" w:cs="Arial" w:eastAsia="Arial" w:hAnsi="Arial"/>
          <w:sz w:val="12"/>
          <w:szCs w:val="12"/>
          <w:i w:val="1"/>
          <w:iCs w:val="1"/>
          <w:color w:val="auto"/>
        </w:rPr>
        <w:t>Borrowings on the shared line of credit, discussed in Note 6 of the Notes to Consolidated Financial Statements, are limited to $600 million for each utility and $800 million in total. SDG&amp;E’s available funds reflect letters of credit outstanding of $110 million and variable-rate demand notes outstanding of $237 million supported by the line. SoCalGas’ availability reflects the impact of SDG&amp;E’s use of the combined credit available on the line.</w:t>
      </w:r>
    </w:p>
    <w:p>
      <w:pPr>
        <w:spacing w:after="0" w:line="330" w:lineRule="exact"/>
        <w:rPr>
          <w:sz w:val="20"/>
          <w:szCs w:val="20"/>
          <w:color w:val="auto"/>
        </w:rPr>
      </w:pPr>
    </w:p>
    <w:p>
      <w:pPr>
        <w:ind w:left="4"/>
        <w:spacing w:after="0"/>
        <w:rPr>
          <w:sz w:val="20"/>
          <w:szCs w:val="20"/>
          <w:color w:val="auto"/>
        </w:rPr>
      </w:pPr>
      <w:r>
        <w:rPr>
          <w:rFonts w:ascii="Arial" w:cs="Arial" w:eastAsia="Arial" w:hAnsi="Arial"/>
          <w:sz w:val="18"/>
          <w:szCs w:val="18"/>
          <w:b w:val="1"/>
          <w:bCs w:val="1"/>
          <w:i w:val="1"/>
          <w:iCs w:val="1"/>
          <w:color w:val="auto"/>
        </w:rPr>
        <w:t>Sempra Energy</w:t>
      </w:r>
    </w:p>
    <w:p>
      <w:pPr>
        <w:spacing w:after="0" w:line="23" w:lineRule="exact"/>
        <w:rPr>
          <w:sz w:val="20"/>
          <w:szCs w:val="20"/>
          <w:color w:val="auto"/>
        </w:rPr>
      </w:pPr>
    </w:p>
    <w:p>
      <w:pPr>
        <w:ind w:left="4" w:right="40"/>
        <w:spacing w:after="0" w:line="274" w:lineRule="auto"/>
        <w:rPr>
          <w:sz w:val="20"/>
          <w:szCs w:val="20"/>
          <w:color w:val="auto"/>
        </w:rPr>
      </w:pPr>
      <w:r>
        <w:rPr>
          <w:rFonts w:ascii="Arial" w:cs="Arial" w:eastAsia="Arial" w:hAnsi="Arial"/>
          <w:sz w:val="16"/>
          <w:szCs w:val="16"/>
          <w:color w:val="auto"/>
        </w:rPr>
        <w:t>We believe that these available funds and cash flows from operations, distributions from equity method investments and security issuances, combined with current cash balances, will be adequate to:</w:t>
      </w:r>
    </w:p>
    <w:p>
      <w:pPr>
        <w:ind w:left="144" w:hanging="144"/>
        <w:spacing w:after="0"/>
        <w:tabs>
          <w:tab w:leader="none" w:pos="144" w:val="left"/>
        </w:tabs>
        <w:numPr>
          <w:ilvl w:val="0"/>
          <w:numId w:val="270"/>
        </w:numPr>
        <w:rPr>
          <w:rFonts w:ascii="Arial" w:cs="Arial" w:eastAsia="Arial" w:hAnsi="Arial"/>
          <w:sz w:val="16"/>
          <w:szCs w:val="16"/>
          <w:color w:val="auto"/>
        </w:rPr>
      </w:pPr>
      <w:r>
        <w:rPr>
          <w:rFonts w:ascii="Arial" w:cs="Arial" w:eastAsia="Arial" w:hAnsi="Arial"/>
          <w:sz w:val="16"/>
          <w:szCs w:val="16"/>
          <w:color w:val="auto"/>
        </w:rPr>
        <w:t>finance capital expenditures</w:t>
      </w:r>
    </w:p>
    <w:p>
      <w:pPr>
        <w:spacing w:after="0" w:line="44" w:lineRule="exact"/>
        <w:rPr>
          <w:rFonts w:ascii="Arial" w:cs="Arial" w:eastAsia="Arial" w:hAnsi="Arial"/>
          <w:sz w:val="16"/>
          <w:szCs w:val="16"/>
          <w:color w:val="auto"/>
        </w:rPr>
      </w:pPr>
    </w:p>
    <w:p>
      <w:pPr>
        <w:ind w:left="144" w:hanging="144"/>
        <w:spacing w:after="0"/>
        <w:tabs>
          <w:tab w:leader="none" w:pos="144" w:val="left"/>
        </w:tabs>
        <w:numPr>
          <w:ilvl w:val="0"/>
          <w:numId w:val="270"/>
        </w:numPr>
        <w:rPr>
          <w:rFonts w:ascii="Arial" w:cs="Arial" w:eastAsia="Arial" w:hAnsi="Arial"/>
          <w:sz w:val="16"/>
          <w:szCs w:val="16"/>
          <w:color w:val="auto"/>
        </w:rPr>
      </w:pPr>
      <w:r>
        <w:rPr>
          <w:rFonts w:ascii="Arial" w:cs="Arial" w:eastAsia="Arial" w:hAnsi="Arial"/>
          <w:sz w:val="16"/>
          <w:szCs w:val="16"/>
          <w:color w:val="auto"/>
        </w:rPr>
        <w:t>meet liquidity requirements</w:t>
      </w:r>
    </w:p>
    <w:p>
      <w:pPr>
        <w:spacing w:after="0" w:line="44" w:lineRule="exact"/>
        <w:rPr>
          <w:rFonts w:ascii="Arial" w:cs="Arial" w:eastAsia="Arial" w:hAnsi="Arial"/>
          <w:sz w:val="16"/>
          <w:szCs w:val="16"/>
          <w:color w:val="auto"/>
        </w:rPr>
      </w:pPr>
    </w:p>
    <w:p>
      <w:pPr>
        <w:ind w:left="144" w:hanging="144"/>
        <w:spacing w:after="0"/>
        <w:tabs>
          <w:tab w:leader="none" w:pos="144" w:val="left"/>
        </w:tabs>
        <w:numPr>
          <w:ilvl w:val="0"/>
          <w:numId w:val="270"/>
        </w:numPr>
        <w:rPr>
          <w:rFonts w:ascii="Arial" w:cs="Arial" w:eastAsia="Arial" w:hAnsi="Arial"/>
          <w:sz w:val="16"/>
          <w:szCs w:val="16"/>
          <w:color w:val="auto"/>
        </w:rPr>
      </w:pPr>
      <w:r>
        <w:rPr>
          <w:rFonts w:ascii="Arial" w:cs="Arial" w:eastAsia="Arial" w:hAnsi="Arial"/>
          <w:sz w:val="16"/>
          <w:szCs w:val="16"/>
          <w:color w:val="auto"/>
        </w:rPr>
        <w:t>fund shareholder dividends</w:t>
      </w:r>
    </w:p>
    <w:p>
      <w:pPr>
        <w:spacing w:after="0" w:line="44" w:lineRule="exact"/>
        <w:rPr>
          <w:rFonts w:ascii="Arial" w:cs="Arial" w:eastAsia="Arial" w:hAnsi="Arial"/>
          <w:sz w:val="16"/>
          <w:szCs w:val="16"/>
          <w:color w:val="auto"/>
        </w:rPr>
      </w:pPr>
    </w:p>
    <w:p>
      <w:pPr>
        <w:ind w:left="144" w:hanging="144"/>
        <w:spacing w:after="0"/>
        <w:tabs>
          <w:tab w:leader="none" w:pos="144" w:val="left"/>
        </w:tabs>
        <w:numPr>
          <w:ilvl w:val="0"/>
          <w:numId w:val="270"/>
        </w:numPr>
        <w:rPr>
          <w:rFonts w:ascii="Arial" w:cs="Arial" w:eastAsia="Arial" w:hAnsi="Arial"/>
          <w:sz w:val="16"/>
          <w:szCs w:val="16"/>
          <w:color w:val="auto"/>
        </w:rPr>
      </w:pPr>
      <w:r>
        <w:rPr>
          <w:rFonts w:ascii="Arial" w:cs="Arial" w:eastAsia="Arial" w:hAnsi="Arial"/>
          <w:sz w:val="16"/>
          <w:szCs w:val="16"/>
          <w:color w:val="auto"/>
        </w:rPr>
        <w:t>fund any new business acquisitions or start-ups</w:t>
      </w:r>
    </w:p>
    <w:p>
      <w:pPr>
        <w:spacing w:after="0" w:line="128" w:lineRule="exact"/>
        <w:rPr>
          <w:sz w:val="20"/>
          <w:szCs w:val="20"/>
          <w:color w:val="auto"/>
        </w:rPr>
      </w:pPr>
    </w:p>
    <w:p>
      <w:pPr>
        <w:ind w:left="4"/>
        <w:spacing w:after="0" w:line="276" w:lineRule="auto"/>
        <w:rPr>
          <w:sz w:val="20"/>
          <w:szCs w:val="20"/>
          <w:color w:val="auto"/>
        </w:rPr>
      </w:pPr>
      <w:r>
        <w:rPr>
          <w:rFonts w:ascii="Arial" w:cs="Arial" w:eastAsia="Arial" w:hAnsi="Arial"/>
          <w:sz w:val="15"/>
          <w:szCs w:val="15"/>
          <w:color w:val="auto"/>
        </w:rPr>
        <w:t>However, the recent global credit crisis has severely affected the availability and cost of both short-term and long-term financing. If cash flows from operations were to be significantly reduced or we were to be unable to borrow under acceptable terms, we would reduce or postpone discretionary capital expenditures and investments in new businesses. If these measures were necessary, they would primarily impact our Sempra Global businesses, as credit availability for the Sempra Utilities has not been significantly impacted by the credit crisis. Discretionary expenditures at Sempra Global would include projects that we have not yet made firm commitments to build, primarily renewable generation facilities. We do not expect to repurchase any common shares during 2009. We continuously monitor our ability to finance the needs of our operating, investing and financing activities in a manner consistent with our intention to maintain strong, investment-quality ratings.</w:t>
      </w:r>
    </w:p>
    <w:p>
      <w:pPr>
        <w:spacing w:after="0" w:line="35" w:lineRule="exact"/>
        <w:rPr>
          <w:sz w:val="20"/>
          <w:szCs w:val="20"/>
          <w:color w:val="auto"/>
        </w:rPr>
      </w:pPr>
    </w:p>
    <w:p>
      <w:pPr>
        <w:ind w:left="4" w:right="120"/>
        <w:spacing w:after="0" w:line="351" w:lineRule="auto"/>
        <w:rPr>
          <w:sz w:val="20"/>
          <w:szCs w:val="20"/>
          <w:color w:val="auto"/>
        </w:rPr>
      </w:pPr>
      <w:r>
        <w:rPr>
          <w:rFonts w:ascii="Arial" w:cs="Arial" w:eastAsia="Arial" w:hAnsi="Arial"/>
          <w:sz w:val="14"/>
          <w:szCs w:val="14"/>
          <w:color w:val="auto"/>
        </w:rPr>
        <w:t>We have significant investments in several trusts to provide for future payments of pensions, other postretirement benefits, executive retirement and deferred compensation, and nuclear decommissioning. Although all of our trust funds’ investments are diversified and managed in compliance with all laws and regulations, the value of the</w:t>
      </w:r>
    </w:p>
    <w:p>
      <w:pPr>
        <w:spacing w:after="0" w:line="200" w:lineRule="exact"/>
        <w:rPr>
          <w:sz w:val="20"/>
          <w:szCs w:val="20"/>
          <w:color w:val="auto"/>
        </w:rPr>
      </w:pPr>
    </w:p>
    <w:p>
      <w:pPr>
        <w:spacing w:after="0" w:line="246" w:lineRule="exact"/>
        <w:rPr>
          <w:sz w:val="20"/>
          <w:szCs w:val="20"/>
          <w:color w:val="auto"/>
        </w:rPr>
      </w:pPr>
    </w:p>
    <w:p>
      <w:pPr>
        <w:ind w:left="4"/>
        <w:spacing w:after="0"/>
        <w:rPr>
          <w:sz w:val="20"/>
          <w:szCs w:val="20"/>
          <w:color w:val="auto"/>
        </w:rPr>
      </w:pPr>
      <w:r>
        <w:rPr>
          <w:rFonts w:ascii="Arial" w:cs="Arial" w:eastAsia="Arial" w:hAnsi="Arial"/>
          <w:sz w:val="14"/>
          <w:szCs w:val="14"/>
          <w:color w:val="auto"/>
        </w:rPr>
        <w:t>27</w:t>
      </w:r>
    </w:p>
    <w:p>
      <w:pPr>
        <w:sectPr>
          <w:pgSz w:w="11900" w:h="16838" w:orient="portrait"/>
          <w:cols w:equalWidth="0" w:num="1">
            <w:col w:w="11404"/>
          </w:cols>
          <w:pgMar w:left="236" w:top="737" w:right="259" w:bottom="1440" w:gutter="0" w:footer="0" w:header="0"/>
        </w:sectPr>
      </w:pPr>
    </w:p>
    <w:bookmarkStart w:id="167" w:name="page168"/>
    <w:bookmarkEnd w:id="167"/>
    <w:p>
      <w:pPr>
        <w:ind w:right="100"/>
        <w:spacing w:after="0" w:line="264" w:lineRule="auto"/>
        <w:rPr>
          <w:sz w:val="20"/>
          <w:szCs w:val="20"/>
          <w:color w:val="auto"/>
        </w:rPr>
      </w:pPr>
      <w:r>
        <w:rPr>
          <w:rFonts w:ascii="Arial" w:cs="Arial" w:eastAsia="Arial" w:hAnsi="Arial"/>
          <w:sz w:val="16"/>
          <w:szCs w:val="16"/>
          <w:color w:val="auto"/>
        </w:rPr>
        <w:t>investments in these trusts declined significantly in 2008 due to a decrease in the equity market and volatility in the fixed income market. Although the asset values decreased in 2008, this has not affected the funds’ abilities to make their required payments. At the Sempra Utilities, the impact of these market declines is generally recoverable in rates. However, future non-discretionary funding requirements for pension and other postretirement benefit plans will be increased.</w:t>
      </w:r>
    </w:p>
    <w:p>
      <w:pPr>
        <w:spacing w:after="0" w:line="42" w:lineRule="exact"/>
        <w:rPr>
          <w:sz w:val="20"/>
          <w:szCs w:val="20"/>
          <w:color w:val="auto"/>
        </w:rPr>
      </w:pPr>
    </w:p>
    <w:p>
      <w:pPr>
        <w:ind w:right="100"/>
        <w:spacing w:after="0" w:line="312" w:lineRule="auto"/>
        <w:rPr>
          <w:sz w:val="20"/>
          <w:szCs w:val="20"/>
          <w:color w:val="auto"/>
        </w:rPr>
      </w:pPr>
      <w:r>
        <w:rPr>
          <w:rFonts w:ascii="Arial" w:cs="Arial" w:eastAsia="Arial" w:hAnsi="Arial"/>
          <w:sz w:val="15"/>
          <w:szCs w:val="15"/>
          <w:color w:val="auto"/>
        </w:rPr>
        <w:t>On May 22, 2008, our board of directors approved an increase to our quarterly common stock dividend to $0.35 per share ($1.40 annually), an increase of $0.03 per share ($0.12 annually) from $0.32 per share ($1.28 annually) authorized in February 2008. Our target annual dividend payment ratio is 35 percent to 40 percent of net income.</w:t>
      </w:r>
    </w:p>
    <w:p>
      <w:pPr>
        <w:spacing w:after="0" w:line="8" w:lineRule="exact"/>
        <w:rPr>
          <w:sz w:val="20"/>
          <w:szCs w:val="20"/>
          <w:color w:val="auto"/>
        </w:rPr>
      </w:pPr>
    </w:p>
    <w:p>
      <w:pPr>
        <w:ind w:right="280"/>
        <w:spacing w:after="0" w:line="277" w:lineRule="auto"/>
        <w:rPr>
          <w:sz w:val="20"/>
          <w:szCs w:val="20"/>
          <w:color w:val="auto"/>
        </w:rPr>
      </w:pPr>
      <w:r>
        <w:rPr>
          <w:rFonts w:ascii="Arial" w:cs="Arial" w:eastAsia="Arial" w:hAnsi="Arial"/>
          <w:sz w:val="16"/>
          <w:szCs w:val="16"/>
          <w:color w:val="auto"/>
        </w:rPr>
        <w:t>On February 20, 2009, our board of directors approved an increase to our quarterly common stock dividend to $0.39 per share ($1.56 annually), an increase of $0.04 per share ($0.16 annually) or 11 percent.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We discuss our principal credit agreements more fully in Note 6 of the Notes to Consolidated Financial Statements.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Sempra Utilities</w:t>
      </w:r>
    </w:p>
    <w:p>
      <w:pPr>
        <w:spacing w:after="0" w:line="23" w:lineRule="exact"/>
        <w:rPr>
          <w:sz w:val="20"/>
          <w:szCs w:val="20"/>
          <w:color w:val="auto"/>
        </w:rPr>
      </w:pPr>
    </w:p>
    <w:p>
      <w:pPr>
        <w:ind w:right="140"/>
        <w:spacing w:after="0" w:line="302" w:lineRule="auto"/>
        <w:rPr>
          <w:sz w:val="20"/>
          <w:szCs w:val="20"/>
          <w:color w:val="auto"/>
        </w:rPr>
      </w:pPr>
      <w:r>
        <w:rPr>
          <w:rFonts w:ascii="Arial" w:cs="Arial" w:eastAsia="Arial" w:hAnsi="Arial"/>
          <w:sz w:val="14"/>
          <w:szCs w:val="14"/>
          <w:color w:val="auto"/>
        </w:rPr>
        <w:t>The Sempra Utilities expect that cash flows from operations and security issuances will continue to be adequate to meet utility capital expenditure requirements. As a result of SDG&amp;E's projected capital expenditure program, SDG&amp;E has elected to limit the payment of dividends on its common stock to Sempra Energy, and the level of future common dividends from SDG&amp;E and SoCalGas may be affected during periods of increased capital expenditures. The level of future common dividends from PE is dependent upon common dividends paid by SoCalGas. In 2006, Sempra Energy made a capital contribution of $200 million to SDG&amp;E to assist in the purchase of the Palomar generating facility. Sempra Energy may make additional equity contributions to SDG&amp;E or SoCalGas to support the Sempra Utilities' capital expenditure programs.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Sempra Commodities</w:t>
      </w:r>
    </w:p>
    <w:p>
      <w:pPr>
        <w:spacing w:after="0" w:line="23" w:lineRule="exact"/>
        <w:rPr>
          <w:sz w:val="20"/>
          <w:szCs w:val="20"/>
          <w:color w:val="auto"/>
        </w:rPr>
      </w:pPr>
    </w:p>
    <w:p>
      <w:pPr>
        <w:ind w:right="160"/>
        <w:spacing w:after="0" w:line="259" w:lineRule="auto"/>
        <w:rPr>
          <w:sz w:val="20"/>
          <w:szCs w:val="20"/>
          <w:color w:val="auto"/>
        </w:rPr>
      </w:pPr>
      <w:r>
        <w:rPr>
          <w:rFonts w:ascii="Arial" w:cs="Arial" w:eastAsia="Arial" w:hAnsi="Arial"/>
          <w:sz w:val="16"/>
          <w:szCs w:val="16"/>
          <w:color w:val="auto"/>
        </w:rPr>
        <w:t>On April 1, 2008, we completed the formation of RBS Sempra Commodities, a partnership to own and operate Sempra Energy's commodities-marketing businesses, which generally comprised the Sempra Commodities business unit. RBS is obligated to provide the joint venture with all growth capital, working-capital requirements and credit support. However, we are providing transitional back-up guarantees and credit support, some of which may continue for a prolonged period of time. RBS has fully indemnified us for any claims or losses in connection with these arrangements.</w:t>
      </w:r>
    </w:p>
    <w:p>
      <w:pPr>
        <w:spacing w:after="0" w:line="47" w:lineRule="exact"/>
        <w:rPr>
          <w:sz w:val="20"/>
          <w:szCs w:val="20"/>
          <w:color w:val="auto"/>
        </w:rPr>
      </w:pPr>
    </w:p>
    <w:p>
      <w:pPr>
        <w:spacing w:after="0" w:line="257" w:lineRule="auto"/>
        <w:rPr>
          <w:sz w:val="20"/>
          <w:szCs w:val="20"/>
          <w:color w:val="auto"/>
        </w:rPr>
      </w:pPr>
      <w:r>
        <w:rPr>
          <w:rFonts w:ascii="Arial" w:cs="Arial" w:eastAsia="Arial" w:hAnsi="Arial"/>
          <w:sz w:val="16"/>
          <w:szCs w:val="16"/>
          <w:color w:val="auto"/>
        </w:rPr>
        <w:t>Our initial equity contribution to the partnership was $1.6 billion, and RBS made an initial equity contribution of $1.665 billion. As a result of the transaction, we received cash of approximately $1.2 billion, net of our contribution. We account for our investment in the partnership under the equity method. RBS Sempra Commodities intends to distribute all of its net income on an annual basis, although the distributions are within the discretion of the board of directors of the partnership. In limited cases, the partnership may retain earnings allocable to the partners to replenish capital depleted through losses. We provide additional information about this transaction in Notes 3, 4 and 6 of the Notes to Consolidated Financial Statements.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Sempra Generation</w:t>
      </w:r>
    </w:p>
    <w:p>
      <w:pPr>
        <w:spacing w:after="0" w:line="23" w:lineRule="exact"/>
        <w:rPr>
          <w:sz w:val="20"/>
          <w:szCs w:val="20"/>
          <w:color w:val="auto"/>
        </w:rPr>
      </w:pPr>
    </w:p>
    <w:p>
      <w:pPr>
        <w:ind w:right="60"/>
        <w:spacing w:after="0" w:line="277" w:lineRule="auto"/>
        <w:rPr>
          <w:sz w:val="20"/>
          <w:szCs w:val="20"/>
          <w:color w:val="auto"/>
        </w:rPr>
      </w:pPr>
      <w:r>
        <w:rPr>
          <w:rFonts w:ascii="Arial" w:cs="Arial" w:eastAsia="Arial" w:hAnsi="Arial"/>
          <w:sz w:val="16"/>
          <w:szCs w:val="16"/>
          <w:color w:val="auto"/>
        </w:rPr>
        <w:t>Projects at Sempra Generation have been financed through a combination of operating cash flow, project financing, funds from the parent and external borrowings. Asset sales in 2006 provided funds to assist in financing company projects.</w:t>
      </w:r>
    </w:p>
    <w:p>
      <w:pPr>
        <w:spacing w:after="0" w:line="32" w:lineRule="exact"/>
        <w:rPr>
          <w:sz w:val="20"/>
          <w:szCs w:val="20"/>
          <w:color w:val="auto"/>
        </w:rPr>
      </w:pPr>
    </w:p>
    <w:p>
      <w:pPr>
        <w:ind w:right="20"/>
        <w:spacing w:after="0" w:line="308" w:lineRule="auto"/>
        <w:rPr>
          <w:sz w:val="20"/>
          <w:szCs w:val="20"/>
          <w:color w:val="auto"/>
        </w:rPr>
      </w:pPr>
      <w:r>
        <w:rPr>
          <w:rFonts w:ascii="Arial" w:cs="Arial" w:eastAsia="Arial" w:hAnsi="Arial"/>
          <w:sz w:val="14"/>
          <w:szCs w:val="14"/>
          <w:color w:val="auto"/>
        </w:rPr>
        <w:t>Sempra Generation's long-term power sale contracts may contain collateral requirements. The DWR contracts do not contain such requirements. The collateral arrangements require Sempra Generation and/or the counterparty to post cash, guarantees or letters of credit to the other party for exposure in excess of established thresholds. Sempra Generation may be required to provide collateral when market price movements adversely affect the counterparty's cost of replacement energy supplies if Sempra Generation fails to deliver the contracted amounts. Sempra Generation had no outstanding collateral requirements under such contracts at December 31, 2008 and 2007.</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4"/>
          <w:szCs w:val="14"/>
          <w:color w:val="auto"/>
        </w:rPr>
        <w:t>28</w:t>
      </w:r>
    </w:p>
    <w:p>
      <w:pPr>
        <w:sectPr>
          <w:pgSz w:w="11900" w:h="16838" w:orient="portrait"/>
          <w:cols w:equalWidth="0" w:num="1">
            <w:col w:w="11440"/>
          </w:cols>
          <w:pgMar w:left="240" w:top="127" w:right="219" w:bottom="1440" w:gutter="0" w:footer="0" w:header="0"/>
        </w:sectPr>
      </w:pPr>
    </w:p>
    <w:bookmarkStart w:id="168" w:name="page169"/>
    <w:bookmarkEnd w:id="168"/>
    <w:p>
      <w:pPr>
        <w:ind w:left="4"/>
        <w:spacing w:after="0"/>
        <w:rPr>
          <w:sz w:val="20"/>
          <w:szCs w:val="20"/>
          <w:color w:val="auto"/>
        </w:rPr>
      </w:pPr>
      <w:r>
        <w:rPr>
          <w:rFonts w:ascii="Arial" w:cs="Arial" w:eastAsia="Arial" w:hAnsi="Arial"/>
          <w:sz w:val="18"/>
          <w:szCs w:val="18"/>
          <w:b w:val="1"/>
          <w:bCs w:val="1"/>
          <w:i w:val="1"/>
          <w:iCs w:val="1"/>
          <w:color w:val="auto"/>
        </w:rPr>
        <w:t>Sempra Pipelines &amp; Storage</w:t>
      </w:r>
    </w:p>
    <w:p>
      <w:pPr>
        <w:spacing w:after="0" w:line="121" w:lineRule="exact"/>
        <w:rPr>
          <w:sz w:val="20"/>
          <w:szCs w:val="20"/>
          <w:color w:val="auto"/>
        </w:rPr>
      </w:pPr>
    </w:p>
    <w:p>
      <w:pPr>
        <w:ind w:left="4"/>
        <w:spacing w:after="0"/>
        <w:rPr>
          <w:sz w:val="20"/>
          <w:szCs w:val="20"/>
          <w:color w:val="auto"/>
        </w:rPr>
      </w:pPr>
      <w:r>
        <w:rPr>
          <w:rFonts w:ascii="Arial" w:cs="Arial" w:eastAsia="Arial" w:hAnsi="Arial"/>
          <w:sz w:val="16"/>
          <w:szCs w:val="16"/>
          <w:color w:val="auto"/>
        </w:rPr>
        <w:t>Sempra Pipelines &amp; Storage is expected to require funding from the parent or from external sources to fund projects, including:</w:t>
      </w:r>
    </w:p>
    <w:p>
      <w:pPr>
        <w:spacing w:after="0" w:line="44" w:lineRule="exact"/>
        <w:rPr>
          <w:sz w:val="20"/>
          <w:szCs w:val="20"/>
          <w:color w:val="auto"/>
        </w:rPr>
      </w:pPr>
    </w:p>
    <w:p>
      <w:pPr>
        <w:ind w:left="144" w:hanging="144"/>
        <w:spacing w:after="0"/>
        <w:tabs>
          <w:tab w:leader="none" w:pos="144" w:val="left"/>
        </w:tabs>
        <w:numPr>
          <w:ilvl w:val="0"/>
          <w:numId w:val="271"/>
        </w:numPr>
        <w:rPr>
          <w:rFonts w:ascii="Arial" w:cs="Arial" w:eastAsia="Arial" w:hAnsi="Arial"/>
          <w:sz w:val="16"/>
          <w:szCs w:val="16"/>
          <w:color w:val="auto"/>
        </w:rPr>
      </w:pPr>
      <w:r>
        <w:rPr>
          <w:rFonts w:ascii="Arial" w:cs="Arial" w:eastAsia="Arial" w:hAnsi="Arial"/>
          <w:sz w:val="16"/>
          <w:szCs w:val="16"/>
          <w:color w:val="auto"/>
        </w:rPr>
        <w:t>development and expansion of its natural gas storage projects</w:t>
      </w:r>
    </w:p>
    <w:p>
      <w:pPr>
        <w:spacing w:after="0" w:line="44" w:lineRule="exact"/>
        <w:rPr>
          <w:rFonts w:ascii="Arial" w:cs="Arial" w:eastAsia="Arial" w:hAnsi="Arial"/>
          <w:sz w:val="16"/>
          <w:szCs w:val="16"/>
          <w:color w:val="auto"/>
        </w:rPr>
      </w:pPr>
    </w:p>
    <w:p>
      <w:pPr>
        <w:ind w:left="144" w:hanging="144"/>
        <w:spacing w:after="0"/>
        <w:tabs>
          <w:tab w:leader="none" w:pos="144" w:val="left"/>
        </w:tabs>
        <w:numPr>
          <w:ilvl w:val="0"/>
          <w:numId w:val="271"/>
        </w:numPr>
        <w:rPr>
          <w:rFonts w:ascii="Arial" w:cs="Arial" w:eastAsia="Arial" w:hAnsi="Arial"/>
          <w:sz w:val="16"/>
          <w:szCs w:val="16"/>
          <w:color w:val="auto"/>
        </w:rPr>
      </w:pPr>
      <w:r>
        <w:rPr>
          <w:rFonts w:ascii="Arial" w:cs="Arial" w:eastAsia="Arial" w:hAnsi="Arial"/>
          <w:sz w:val="16"/>
          <w:szCs w:val="16"/>
          <w:color w:val="auto"/>
        </w:rPr>
        <w:t>participation in the development of REX, a natural gas pipeline</w:t>
      </w:r>
    </w:p>
    <w:p>
      <w:pPr>
        <w:spacing w:after="0" w:line="138" w:lineRule="exact"/>
        <w:rPr>
          <w:sz w:val="20"/>
          <w:szCs w:val="20"/>
          <w:color w:val="auto"/>
        </w:rPr>
      </w:pPr>
    </w:p>
    <w:p>
      <w:pPr>
        <w:ind w:left="4"/>
        <w:spacing w:after="0"/>
        <w:rPr>
          <w:sz w:val="20"/>
          <w:szCs w:val="20"/>
          <w:color w:val="auto"/>
        </w:rPr>
      </w:pPr>
      <w:r>
        <w:rPr>
          <w:rFonts w:ascii="Arial" w:cs="Arial" w:eastAsia="Arial" w:hAnsi="Arial"/>
          <w:sz w:val="18"/>
          <w:szCs w:val="18"/>
          <w:b w:val="1"/>
          <w:bCs w:val="1"/>
          <w:i w:val="1"/>
          <w:iCs w:val="1"/>
          <w:color w:val="auto"/>
        </w:rPr>
        <w:t>Sempra LNG</w:t>
      </w:r>
    </w:p>
    <w:p>
      <w:pPr>
        <w:spacing w:after="0" w:line="120" w:lineRule="exact"/>
        <w:rPr>
          <w:sz w:val="20"/>
          <w:szCs w:val="20"/>
          <w:color w:val="auto"/>
        </w:rPr>
      </w:pPr>
    </w:p>
    <w:p>
      <w:pPr>
        <w:jc w:val="both"/>
        <w:ind w:left="4" w:right="100"/>
        <w:spacing w:after="0" w:line="264" w:lineRule="auto"/>
        <w:rPr>
          <w:sz w:val="20"/>
          <w:szCs w:val="20"/>
          <w:color w:val="auto"/>
        </w:rPr>
      </w:pPr>
      <w:r>
        <w:rPr>
          <w:rFonts w:ascii="Arial" w:cs="Arial" w:eastAsia="Arial" w:hAnsi="Arial"/>
          <w:sz w:val="16"/>
          <w:szCs w:val="16"/>
          <w:color w:val="auto"/>
        </w:rPr>
        <w:t>Sempra LNG requires funding for its development of LNG receiving facilities. While our credit facilities and other Sempra Energy sources are expected to be adequate for these requirements, we may decide to use project financing if there is an advantage in doing so. As projects under construction are put in service, Sempra LNG is expected to provide operating cash flow for further development within Sempra Global.</w:t>
      </w:r>
    </w:p>
    <w:p>
      <w:pPr>
        <w:spacing w:after="0" w:line="327" w:lineRule="exact"/>
        <w:rPr>
          <w:sz w:val="20"/>
          <w:szCs w:val="20"/>
          <w:color w:val="auto"/>
        </w:rPr>
      </w:pPr>
    </w:p>
    <w:p>
      <w:pPr>
        <w:ind w:left="4"/>
        <w:spacing w:after="0"/>
        <w:rPr>
          <w:sz w:val="20"/>
          <w:szCs w:val="20"/>
          <w:color w:val="auto"/>
        </w:rPr>
      </w:pPr>
      <w:r>
        <w:rPr>
          <w:rFonts w:ascii="Arial" w:cs="Arial" w:eastAsia="Arial" w:hAnsi="Arial"/>
          <w:sz w:val="18"/>
          <w:szCs w:val="18"/>
          <w:color w:val="auto"/>
        </w:rPr>
        <w:t>CASH FLOWS FROM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1113790</wp:posOffset>
            </wp:positionH>
            <wp:positionV relativeFrom="paragraph">
              <wp:posOffset>153035</wp:posOffset>
            </wp:positionV>
            <wp:extent cx="5034280" cy="25908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034280" cy="259080"/>
                    </a:xfrm>
                    <a:prstGeom prst="rect">
                      <a:avLst/>
                    </a:prstGeom>
                    <a:noFill/>
                  </pic:spPr>
                </pic:pic>
              </a:graphicData>
            </a:graphic>
          </wp:anchor>
        </w:drawing>
      </w:r>
    </w:p>
    <w:p>
      <w:pPr>
        <w:spacing w:after="0" w:line="252" w:lineRule="exact"/>
        <w:rPr>
          <w:sz w:val="20"/>
          <w:szCs w:val="20"/>
          <w:color w:val="auto"/>
        </w:rPr>
      </w:pPr>
    </w:p>
    <w:p>
      <w:pPr>
        <w:ind w:left="1764"/>
        <w:spacing w:after="0"/>
        <w:rPr>
          <w:sz w:val="20"/>
          <w:szCs w:val="20"/>
          <w:color w:val="auto"/>
        </w:rPr>
      </w:pPr>
      <w:r>
        <w:rPr>
          <w:rFonts w:ascii="Arial" w:cs="Arial" w:eastAsia="Arial" w:hAnsi="Arial"/>
          <w:sz w:val="14"/>
          <w:szCs w:val="14"/>
          <w:b w:val="1"/>
          <w:bCs w:val="1"/>
          <w:color w:val="auto"/>
        </w:rPr>
        <w:t>CASH PROVIDED BY OPERATING ACTIVITIES</w:t>
      </w:r>
    </w:p>
    <w:p>
      <w:pPr>
        <w:spacing w:after="0" w:line="40" w:lineRule="exact"/>
        <w:rPr>
          <w:sz w:val="20"/>
          <w:szCs w:val="20"/>
          <w:color w:val="auto"/>
        </w:rPr>
      </w:pPr>
    </w:p>
    <w:p>
      <w:pPr>
        <w:ind w:left="1764"/>
        <w:spacing w:after="0"/>
        <w:rPr>
          <w:sz w:val="20"/>
          <w:szCs w:val="20"/>
          <w:color w:val="auto"/>
        </w:rPr>
      </w:pPr>
      <w:r>
        <w:rPr>
          <w:rFonts w:ascii="Arial" w:cs="Arial" w:eastAsia="Arial" w:hAnsi="Arial"/>
          <w:sz w:val="13"/>
          <w:szCs w:val="13"/>
          <w:i w:val="1"/>
          <w:iCs w:val="1"/>
          <w:color w:val="auto"/>
        </w:rPr>
        <w:t>(Dollars in millions)</w:t>
      </w:r>
    </w:p>
    <w:p>
      <w:pPr>
        <w:spacing w:after="0" w:line="36" w:lineRule="exact"/>
        <w:rPr>
          <w:sz w:val="20"/>
          <w:szCs w:val="20"/>
          <w:color w:val="auto"/>
        </w:rPr>
      </w:pPr>
    </w:p>
    <w:tbl>
      <w:tblPr>
        <w:tblLayout w:type="fixed"/>
        <w:tblInd w:w="1744" w:type="dxa"/>
        <w:tblCellMar>
          <w:top w:w="0" w:type="dxa"/>
          <w:left w:w="0" w:type="dxa"/>
          <w:bottom w:w="0" w:type="dxa"/>
          <w:right w:w="0" w:type="dxa"/>
        </w:tblCellMar>
      </w:tblPr>
      <w:tr>
        <w:trPr>
          <w:trHeight w:val="201"/>
        </w:trPr>
        <w:tc>
          <w:tcPr>
            <w:tcW w:w="1240" w:type="dxa"/>
            <w:vAlign w:val="bottom"/>
            <w:tcBorders>
              <w:bottom w:val="single" w:sz="8" w:color="auto"/>
            </w:tcBorders>
          </w:tcPr>
          <w:p>
            <w:pPr>
              <w:spacing w:after="0"/>
              <w:rPr>
                <w:sz w:val="17"/>
                <w:szCs w:val="17"/>
                <w:color w:val="auto"/>
              </w:rPr>
            </w:pPr>
          </w:p>
        </w:tc>
        <w:tc>
          <w:tcPr>
            <w:tcW w:w="940" w:type="dxa"/>
            <w:vAlign w:val="bottom"/>
            <w:tcBorders>
              <w:bottom w:val="single" w:sz="8" w:color="auto"/>
              <w:right w:val="single" w:sz="8" w:color="auto"/>
            </w:tcBorders>
          </w:tcPr>
          <w:p>
            <w:pPr>
              <w:jc w:val="right"/>
              <w:ind w:right="250"/>
              <w:spacing w:after="0"/>
              <w:rPr>
                <w:sz w:val="20"/>
                <w:szCs w:val="20"/>
                <w:color w:val="auto"/>
              </w:rPr>
            </w:pPr>
            <w:r>
              <w:rPr>
                <w:rFonts w:ascii="Arial" w:cs="Arial" w:eastAsia="Arial" w:hAnsi="Arial"/>
                <w:sz w:val="13"/>
                <w:szCs w:val="13"/>
                <w:color w:val="auto"/>
              </w:rPr>
              <w:t>2008</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2008 Change</w:t>
            </w:r>
          </w:p>
        </w:tc>
        <w:tc>
          <w:tcPr>
            <w:tcW w:w="520" w:type="dxa"/>
            <w:vAlign w:val="bottom"/>
            <w:tcBorders>
              <w:bottom w:val="single" w:sz="8" w:color="auto"/>
              <w:right w:val="single" w:sz="8" w:color="auto"/>
            </w:tcBorders>
          </w:tcPr>
          <w:p>
            <w:pPr>
              <w:spacing w:after="0"/>
              <w:rPr>
                <w:sz w:val="17"/>
                <w:szCs w:val="17"/>
                <w:color w:val="auto"/>
              </w:rPr>
            </w:pPr>
          </w:p>
        </w:tc>
        <w:tc>
          <w:tcPr>
            <w:tcW w:w="112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3"/>
                <w:szCs w:val="13"/>
                <w:color w:val="auto"/>
              </w:rPr>
              <w:t>2007</w:t>
            </w:r>
          </w:p>
        </w:tc>
        <w:tc>
          <w:tcPr>
            <w:tcW w:w="4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2007 Change</w:t>
            </w:r>
          </w:p>
        </w:tc>
        <w:tc>
          <w:tcPr>
            <w:tcW w:w="480" w:type="dxa"/>
            <w:vAlign w:val="bottom"/>
            <w:tcBorders>
              <w:bottom w:val="single" w:sz="8" w:color="auto"/>
              <w:right w:val="single" w:sz="8" w:color="auto"/>
            </w:tcBorders>
          </w:tcPr>
          <w:p>
            <w:pPr>
              <w:spacing w:after="0"/>
              <w:rPr>
                <w:sz w:val="17"/>
                <w:szCs w:val="17"/>
                <w:color w:val="auto"/>
              </w:rPr>
            </w:pPr>
          </w:p>
        </w:tc>
        <w:tc>
          <w:tcPr>
            <w:tcW w:w="1120" w:type="dxa"/>
            <w:vAlign w:val="bottom"/>
            <w:tcBorders>
              <w:bottom w:val="single" w:sz="8" w:color="auto"/>
            </w:tcBorders>
          </w:tcPr>
          <w:p>
            <w:pPr>
              <w:jc w:val="right"/>
              <w:ind w:right="430"/>
              <w:spacing w:after="0"/>
              <w:rPr>
                <w:sz w:val="20"/>
                <w:szCs w:val="20"/>
                <w:color w:val="auto"/>
              </w:rPr>
            </w:pPr>
            <w:r>
              <w:rPr>
                <w:rFonts w:ascii="Arial" w:cs="Arial" w:eastAsia="Arial" w:hAnsi="Arial"/>
                <w:sz w:val="13"/>
                <w:szCs w:val="13"/>
                <w:color w:val="auto"/>
              </w:rPr>
              <w:t>2006</w:t>
            </w:r>
          </w:p>
        </w:tc>
      </w:tr>
      <w:tr>
        <w:trPr>
          <w:trHeight w:val="179"/>
        </w:trPr>
        <w:tc>
          <w:tcPr>
            <w:tcW w:w="1240" w:type="dxa"/>
            <w:vAlign w:val="bottom"/>
          </w:tcPr>
          <w:p>
            <w:pPr>
              <w:ind w:left="20"/>
              <w:spacing w:after="0"/>
              <w:rPr>
                <w:sz w:val="20"/>
                <w:szCs w:val="20"/>
                <w:color w:val="auto"/>
              </w:rPr>
            </w:pPr>
            <w:r>
              <w:rPr>
                <w:rFonts w:ascii="Arial" w:cs="Arial" w:eastAsia="Arial" w:hAnsi="Arial"/>
                <w:sz w:val="14"/>
                <w:szCs w:val="14"/>
                <w:color w:val="auto"/>
              </w:rPr>
              <w:t>Sempra Energy</w:t>
            </w:r>
          </w:p>
        </w:tc>
        <w:tc>
          <w:tcPr>
            <w:tcW w:w="940" w:type="dxa"/>
            <w:vAlign w:val="bottom"/>
            <w:tcBorders>
              <w:right w:val="single" w:sz="8" w:color="auto"/>
            </w:tcBorders>
          </w:tcPr>
          <w:p>
            <w:pPr>
              <w:spacing w:after="0"/>
              <w:rPr>
                <w:sz w:val="15"/>
                <w:szCs w:val="15"/>
                <w:color w:val="auto"/>
              </w:rPr>
            </w:pPr>
          </w:p>
        </w:tc>
        <w:tc>
          <w:tcPr>
            <w:tcW w:w="1240" w:type="dxa"/>
            <w:vAlign w:val="bottom"/>
          </w:tcPr>
          <w:p>
            <w:pPr>
              <w:spacing w:after="0"/>
              <w:rPr>
                <w:sz w:val="15"/>
                <w:szCs w:val="15"/>
                <w:color w:val="auto"/>
              </w:rPr>
            </w:pPr>
          </w:p>
        </w:tc>
        <w:tc>
          <w:tcPr>
            <w:tcW w:w="520" w:type="dxa"/>
            <w:vAlign w:val="bottom"/>
            <w:tcBorders>
              <w:right w:val="single" w:sz="8" w:color="auto"/>
            </w:tcBorders>
          </w:tcPr>
          <w:p>
            <w:pPr>
              <w:spacing w:after="0"/>
              <w:rPr>
                <w:sz w:val="15"/>
                <w:szCs w:val="15"/>
                <w:color w:val="auto"/>
              </w:rPr>
            </w:pPr>
          </w:p>
        </w:tc>
        <w:tc>
          <w:tcPr>
            <w:tcW w:w="1120" w:type="dxa"/>
            <w:vAlign w:val="bottom"/>
            <w:tcBorders>
              <w:right w:val="single" w:sz="8" w:color="auto"/>
            </w:tcBorders>
          </w:tcPr>
          <w:p>
            <w:pPr>
              <w:spacing w:after="0"/>
              <w:rPr>
                <w:sz w:val="15"/>
                <w:szCs w:val="15"/>
                <w:color w:val="auto"/>
              </w:rPr>
            </w:pPr>
          </w:p>
        </w:tc>
        <w:tc>
          <w:tcPr>
            <w:tcW w:w="4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80" w:type="dxa"/>
            <w:vAlign w:val="bottom"/>
            <w:tcBorders>
              <w:right w:val="single" w:sz="8" w:color="auto"/>
            </w:tcBorders>
          </w:tcPr>
          <w:p>
            <w:pPr>
              <w:spacing w:after="0"/>
              <w:rPr>
                <w:sz w:val="15"/>
                <w:szCs w:val="15"/>
                <w:color w:val="auto"/>
              </w:rPr>
            </w:pPr>
          </w:p>
        </w:tc>
        <w:tc>
          <w:tcPr>
            <w:tcW w:w="1120" w:type="dxa"/>
            <w:vAlign w:val="bottom"/>
          </w:tcPr>
          <w:p>
            <w:pPr>
              <w:spacing w:after="0"/>
              <w:rPr>
                <w:sz w:val="15"/>
                <w:szCs w:val="15"/>
                <w:color w:val="auto"/>
              </w:rPr>
            </w:pPr>
          </w:p>
        </w:tc>
      </w:tr>
      <w:tr>
        <w:trPr>
          <w:trHeight w:val="172"/>
        </w:trPr>
        <w:tc>
          <w:tcPr>
            <w:tcW w:w="1240" w:type="dxa"/>
            <w:vAlign w:val="bottom"/>
          </w:tcPr>
          <w:p>
            <w:pPr>
              <w:ind w:left="200"/>
              <w:spacing w:after="0"/>
              <w:rPr>
                <w:sz w:val="20"/>
                <w:szCs w:val="20"/>
                <w:color w:val="auto"/>
              </w:rPr>
            </w:pPr>
            <w:r>
              <w:rPr>
                <w:rFonts w:ascii="Arial" w:cs="Arial" w:eastAsia="Arial" w:hAnsi="Arial"/>
                <w:sz w:val="14"/>
                <w:szCs w:val="14"/>
                <w:color w:val="auto"/>
              </w:rPr>
              <w:t>Consolidated</w:t>
            </w:r>
          </w:p>
        </w:tc>
        <w:tc>
          <w:tcPr>
            <w:tcW w:w="940" w:type="dxa"/>
            <w:vAlign w:val="bottom"/>
            <w:tcBorders>
              <w:right w:val="single" w:sz="8" w:color="auto"/>
            </w:tcBorders>
          </w:tcPr>
          <w:p>
            <w:pPr>
              <w:jc w:val="right"/>
              <w:ind w:right="150"/>
              <w:spacing w:after="0"/>
              <w:rPr>
                <w:sz w:val="20"/>
                <w:szCs w:val="20"/>
                <w:color w:val="auto"/>
              </w:rPr>
            </w:pPr>
            <w:r>
              <w:rPr>
                <w:rFonts w:ascii="Arial" w:cs="Arial" w:eastAsia="Arial" w:hAnsi="Arial"/>
                <w:sz w:val="14"/>
                <w:szCs w:val="14"/>
                <w:color w:val="auto"/>
              </w:rPr>
              <w:t>$ 1,181</w:t>
            </w:r>
          </w:p>
        </w:tc>
        <w:tc>
          <w:tcPr>
            <w:tcW w:w="1240" w:type="dxa"/>
            <w:vAlign w:val="bottom"/>
          </w:tcPr>
          <w:p>
            <w:pPr>
              <w:jc w:val="right"/>
              <w:ind w:right="370"/>
              <w:spacing w:after="0"/>
              <w:rPr>
                <w:sz w:val="20"/>
                <w:szCs w:val="20"/>
                <w:color w:val="auto"/>
              </w:rPr>
            </w:pPr>
            <w:r>
              <w:rPr>
                <w:rFonts w:ascii="Arial" w:cs="Arial" w:eastAsia="Arial" w:hAnsi="Arial"/>
                <w:sz w:val="14"/>
                <w:szCs w:val="14"/>
                <w:color w:val="auto"/>
              </w:rPr>
              <w:t>$   (907 )</w:t>
            </w:r>
          </w:p>
        </w:tc>
        <w:tc>
          <w:tcPr>
            <w:tcW w:w="520" w:type="dxa"/>
            <w:vAlign w:val="bottom"/>
            <w:tcBorders>
              <w:right w:val="single" w:sz="8" w:color="auto"/>
            </w:tcBorders>
          </w:tcPr>
          <w:p>
            <w:pPr>
              <w:jc w:val="right"/>
              <w:ind w:right="28"/>
              <w:spacing w:after="0"/>
              <w:rPr>
                <w:sz w:val="20"/>
                <w:szCs w:val="20"/>
                <w:color w:val="auto"/>
              </w:rPr>
            </w:pPr>
            <w:r>
              <w:rPr>
                <w:rFonts w:ascii="Arial" w:cs="Arial" w:eastAsia="Arial" w:hAnsi="Arial"/>
                <w:sz w:val="14"/>
                <w:szCs w:val="14"/>
                <w:color w:val="auto"/>
                <w:w w:val="96"/>
              </w:rPr>
              <w:t>(43) %</w:t>
            </w:r>
          </w:p>
        </w:tc>
        <w:tc>
          <w:tcPr>
            <w:tcW w:w="1120" w:type="dxa"/>
            <w:vAlign w:val="bottom"/>
            <w:tcBorders>
              <w:right w:val="single" w:sz="8" w:color="auto"/>
            </w:tcBorders>
          </w:tcPr>
          <w:p>
            <w:pPr>
              <w:jc w:val="right"/>
              <w:ind w:right="130"/>
              <w:spacing w:after="0"/>
              <w:rPr>
                <w:sz w:val="20"/>
                <w:szCs w:val="20"/>
                <w:color w:val="auto"/>
              </w:rPr>
            </w:pPr>
            <w:r>
              <w:rPr>
                <w:rFonts w:ascii="Arial" w:cs="Arial" w:eastAsia="Arial" w:hAnsi="Arial"/>
                <w:sz w:val="14"/>
                <w:szCs w:val="14"/>
                <w:color w:val="auto"/>
              </w:rPr>
              <w:t>$   2,088</w:t>
            </w:r>
          </w:p>
        </w:tc>
        <w:tc>
          <w:tcPr>
            <w:tcW w:w="4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290"/>
              <w:spacing w:after="0"/>
              <w:rPr>
                <w:sz w:val="20"/>
                <w:szCs w:val="20"/>
                <w:color w:val="auto"/>
              </w:rPr>
            </w:pPr>
            <w:r>
              <w:rPr>
                <w:rFonts w:ascii="Arial" w:cs="Arial" w:eastAsia="Arial" w:hAnsi="Arial"/>
                <w:sz w:val="14"/>
                <w:szCs w:val="14"/>
                <w:color w:val="auto"/>
              </w:rPr>
              <w:t>459</w:t>
            </w:r>
          </w:p>
        </w:tc>
        <w:tc>
          <w:tcPr>
            <w:tcW w:w="480" w:type="dxa"/>
            <w:vAlign w:val="bottom"/>
            <w:tcBorders>
              <w:right w:val="single" w:sz="8" w:color="auto"/>
            </w:tcBorders>
          </w:tcPr>
          <w:p>
            <w:pPr>
              <w:jc w:val="right"/>
              <w:ind w:right="8"/>
              <w:spacing w:after="0"/>
              <w:rPr>
                <w:sz w:val="20"/>
                <w:szCs w:val="20"/>
                <w:color w:val="auto"/>
              </w:rPr>
            </w:pPr>
            <w:r>
              <w:rPr>
                <w:rFonts w:ascii="Arial" w:cs="Arial" w:eastAsia="Arial" w:hAnsi="Arial"/>
                <w:sz w:val="14"/>
                <w:szCs w:val="14"/>
                <w:color w:val="auto"/>
              </w:rPr>
              <w:t>28 %</w:t>
            </w:r>
          </w:p>
        </w:tc>
        <w:tc>
          <w:tcPr>
            <w:tcW w:w="1120" w:type="dxa"/>
            <w:vAlign w:val="bottom"/>
          </w:tcPr>
          <w:p>
            <w:pPr>
              <w:jc w:val="right"/>
              <w:ind w:right="110"/>
              <w:spacing w:after="0"/>
              <w:rPr>
                <w:sz w:val="20"/>
                <w:szCs w:val="20"/>
                <w:color w:val="auto"/>
              </w:rPr>
            </w:pPr>
            <w:r>
              <w:rPr>
                <w:rFonts w:ascii="Arial" w:cs="Arial" w:eastAsia="Arial" w:hAnsi="Arial"/>
                <w:sz w:val="14"/>
                <w:szCs w:val="14"/>
                <w:color w:val="auto"/>
              </w:rPr>
              <w:t>$   1,629</w:t>
            </w:r>
          </w:p>
        </w:tc>
      </w:tr>
      <w:tr>
        <w:trPr>
          <w:trHeight w:val="216"/>
        </w:trPr>
        <w:tc>
          <w:tcPr>
            <w:tcW w:w="1240" w:type="dxa"/>
            <w:vAlign w:val="bottom"/>
          </w:tcPr>
          <w:p>
            <w:pPr>
              <w:ind w:left="20"/>
              <w:spacing w:after="0"/>
              <w:rPr>
                <w:sz w:val="20"/>
                <w:szCs w:val="20"/>
                <w:color w:val="auto"/>
              </w:rPr>
            </w:pPr>
            <w:r>
              <w:rPr>
                <w:rFonts w:ascii="Arial" w:cs="Arial" w:eastAsia="Arial" w:hAnsi="Arial"/>
                <w:sz w:val="14"/>
                <w:szCs w:val="14"/>
                <w:color w:val="auto"/>
              </w:rPr>
              <w:t>SDG&amp;E</w:t>
            </w:r>
          </w:p>
        </w:tc>
        <w:tc>
          <w:tcPr>
            <w:tcW w:w="940" w:type="dxa"/>
            <w:vAlign w:val="bottom"/>
            <w:tcBorders>
              <w:right w:val="single" w:sz="8" w:color="auto"/>
            </w:tcBorders>
          </w:tcPr>
          <w:p>
            <w:pPr>
              <w:jc w:val="right"/>
              <w:ind w:right="150"/>
              <w:spacing w:after="0"/>
              <w:rPr>
                <w:sz w:val="20"/>
                <w:szCs w:val="20"/>
                <w:color w:val="auto"/>
              </w:rPr>
            </w:pPr>
            <w:r>
              <w:rPr>
                <w:rFonts w:ascii="Arial" w:cs="Arial" w:eastAsia="Arial" w:hAnsi="Arial"/>
                <w:sz w:val="14"/>
                <w:szCs w:val="14"/>
                <w:color w:val="auto"/>
              </w:rPr>
              <w:t>619</w:t>
            </w:r>
          </w:p>
        </w:tc>
        <w:tc>
          <w:tcPr>
            <w:tcW w:w="1240" w:type="dxa"/>
            <w:vAlign w:val="bottom"/>
          </w:tcPr>
          <w:p>
            <w:pPr>
              <w:jc w:val="right"/>
              <w:ind w:right="370"/>
              <w:spacing w:after="0"/>
              <w:rPr>
                <w:sz w:val="20"/>
                <w:szCs w:val="20"/>
                <w:color w:val="auto"/>
              </w:rPr>
            </w:pPr>
            <w:r>
              <w:rPr>
                <w:rFonts w:ascii="Arial" w:cs="Arial" w:eastAsia="Arial" w:hAnsi="Arial"/>
                <w:sz w:val="14"/>
                <w:szCs w:val="14"/>
                <w:color w:val="auto"/>
              </w:rPr>
              <w:t>(41 )</w:t>
            </w:r>
          </w:p>
        </w:tc>
        <w:tc>
          <w:tcPr>
            <w:tcW w:w="520" w:type="dxa"/>
            <w:vAlign w:val="bottom"/>
            <w:tcBorders>
              <w:right w:val="single" w:sz="8" w:color="auto"/>
            </w:tcBorders>
          </w:tcPr>
          <w:p>
            <w:pPr>
              <w:jc w:val="right"/>
              <w:ind w:right="188"/>
              <w:spacing w:after="0"/>
              <w:rPr>
                <w:sz w:val="20"/>
                <w:szCs w:val="20"/>
                <w:color w:val="auto"/>
              </w:rPr>
            </w:pPr>
            <w:r>
              <w:rPr>
                <w:rFonts w:ascii="Arial" w:cs="Arial" w:eastAsia="Arial" w:hAnsi="Arial"/>
                <w:sz w:val="14"/>
                <w:szCs w:val="14"/>
                <w:color w:val="auto"/>
              </w:rPr>
              <w:t>(6)</w:t>
            </w:r>
          </w:p>
        </w:tc>
        <w:tc>
          <w:tcPr>
            <w:tcW w:w="1120" w:type="dxa"/>
            <w:vAlign w:val="bottom"/>
            <w:tcBorders>
              <w:right w:val="single" w:sz="8" w:color="auto"/>
            </w:tcBorders>
          </w:tcPr>
          <w:p>
            <w:pPr>
              <w:jc w:val="right"/>
              <w:ind w:right="130"/>
              <w:spacing w:after="0"/>
              <w:rPr>
                <w:sz w:val="20"/>
                <w:szCs w:val="20"/>
                <w:color w:val="auto"/>
              </w:rPr>
            </w:pPr>
            <w:r>
              <w:rPr>
                <w:rFonts w:ascii="Arial" w:cs="Arial" w:eastAsia="Arial" w:hAnsi="Arial"/>
                <w:sz w:val="14"/>
                <w:szCs w:val="14"/>
                <w:color w:val="auto"/>
              </w:rPr>
              <w:t>660</w:t>
            </w:r>
          </w:p>
        </w:tc>
        <w:tc>
          <w:tcPr>
            <w:tcW w:w="420" w:type="dxa"/>
            <w:vAlign w:val="bottom"/>
          </w:tcPr>
          <w:p>
            <w:pPr>
              <w:spacing w:after="0"/>
              <w:rPr>
                <w:sz w:val="18"/>
                <w:szCs w:val="18"/>
                <w:color w:val="auto"/>
              </w:rPr>
            </w:pPr>
          </w:p>
        </w:tc>
        <w:tc>
          <w:tcPr>
            <w:tcW w:w="860" w:type="dxa"/>
            <w:vAlign w:val="bottom"/>
          </w:tcPr>
          <w:p>
            <w:pPr>
              <w:jc w:val="right"/>
              <w:ind w:right="290"/>
              <w:spacing w:after="0"/>
              <w:rPr>
                <w:sz w:val="20"/>
                <w:szCs w:val="20"/>
                <w:color w:val="auto"/>
              </w:rPr>
            </w:pPr>
            <w:r>
              <w:rPr>
                <w:rFonts w:ascii="Arial" w:cs="Arial" w:eastAsia="Arial" w:hAnsi="Arial"/>
                <w:sz w:val="14"/>
                <w:szCs w:val="14"/>
                <w:color w:val="auto"/>
              </w:rPr>
              <w:t>263</w:t>
            </w:r>
          </w:p>
        </w:tc>
        <w:tc>
          <w:tcPr>
            <w:tcW w:w="480" w:type="dxa"/>
            <w:vAlign w:val="bottom"/>
            <w:tcBorders>
              <w:right w:val="single" w:sz="8" w:color="auto"/>
            </w:tcBorders>
          </w:tcPr>
          <w:p>
            <w:pPr>
              <w:jc w:val="right"/>
              <w:ind w:right="168"/>
              <w:spacing w:after="0"/>
              <w:rPr>
                <w:sz w:val="20"/>
                <w:szCs w:val="20"/>
                <w:color w:val="auto"/>
              </w:rPr>
            </w:pPr>
            <w:r>
              <w:rPr>
                <w:rFonts w:ascii="Arial" w:cs="Arial" w:eastAsia="Arial" w:hAnsi="Arial"/>
                <w:sz w:val="14"/>
                <w:szCs w:val="14"/>
                <w:color w:val="auto"/>
              </w:rPr>
              <w:t>66</w:t>
            </w:r>
          </w:p>
        </w:tc>
        <w:tc>
          <w:tcPr>
            <w:tcW w:w="1120" w:type="dxa"/>
            <w:vAlign w:val="bottom"/>
          </w:tcPr>
          <w:p>
            <w:pPr>
              <w:jc w:val="right"/>
              <w:ind w:right="110"/>
              <w:spacing w:after="0"/>
              <w:rPr>
                <w:sz w:val="20"/>
                <w:szCs w:val="20"/>
                <w:color w:val="auto"/>
              </w:rPr>
            </w:pPr>
            <w:r>
              <w:rPr>
                <w:rFonts w:ascii="Arial" w:cs="Arial" w:eastAsia="Arial" w:hAnsi="Arial"/>
                <w:sz w:val="14"/>
                <w:szCs w:val="14"/>
                <w:color w:val="auto"/>
              </w:rPr>
              <w:t>397</w:t>
            </w:r>
          </w:p>
        </w:tc>
      </w:tr>
      <w:tr>
        <w:trPr>
          <w:trHeight w:val="222"/>
        </w:trPr>
        <w:tc>
          <w:tcPr>
            <w:tcW w:w="1240" w:type="dxa"/>
            <w:vAlign w:val="bottom"/>
          </w:tcPr>
          <w:p>
            <w:pPr>
              <w:ind w:left="20"/>
              <w:spacing w:after="0"/>
              <w:rPr>
                <w:sz w:val="20"/>
                <w:szCs w:val="20"/>
                <w:color w:val="auto"/>
              </w:rPr>
            </w:pPr>
            <w:r>
              <w:rPr>
                <w:rFonts w:ascii="Arial" w:cs="Arial" w:eastAsia="Arial" w:hAnsi="Arial"/>
                <w:sz w:val="14"/>
                <w:szCs w:val="14"/>
                <w:color w:val="auto"/>
              </w:rPr>
              <w:t>PE</w:t>
            </w:r>
          </w:p>
        </w:tc>
        <w:tc>
          <w:tcPr>
            <w:tcW w:w="940" w:type="dxa"/>
            <w:vAlign w:val="bottom"/>
            <w:tcBorders>
              <w:right w:val="single" w:sz="8" w:color="auto"/>
            </w:tcBorders>
          </w:tcPr>
          <w:p>
            <w:pPr>
              <w:jc w:val="right"/>
              <w:ind w:right="150"/>
              <w:spacing w:after="0"/>
              <w:rPr>
                <w:sz w:val="20"/>
                <w:szCs w:val="20"/>
                <w:color w:val="auto"/>
              </w:rPr>
            </w:pPr>
            <w:r>
              <w:rPr>
                <w:rFonts w:ascii="Arial" w:cs="Arial" w:eastAsia="Arial" w:hAnsi="Arial"/>
                <w:sz w:val="14"/>
                <w:szCs w:val="14"/>
                <w:color w:val="auto"/>
              </w:rPr>
              <w:t>572</w:t>
            </w:r>
          </w:p>
        </w:tc>
        <w:tc>
          <w:tcPr>
            <w:tcW w:w="1240" w:type="dxa"/>
            <w:vAlign w:val="bottom"/>
          </w:tcPr>
          <w:p>
            <w:pPr>
              <w:jc w:val="right"/>
              <w:ind w:right="430"/>
              <w:spacing w:after="0"/>
              <w:rPr>
                <w:sz w:val="20"/>
                <w:szCs w:val="20"/>
                <w:color w:val="auto"/>
              </w:rPr>
            </w:pPr>
            <w:r>
              <w:rPr>
                <w:rFonts w:ascii="Arial" w:cs="Arial" w:eastAsia="Arial" w:hAnsi="Arial"/>
                <w:sz w:val="14"/>
                <w:szCs w:val="14"/>
                <w:color w:val="auto"/>
              </w:rPr>
              <w:t>81</w:t>
            </w:r>
          </w:p>
        </w:tc>
        <w:tc>
          <w:tcPr>
            <w:tcW w:w="520" w:type="dxa"/>
            <w:vAlign w:val="bottom"/>
            <w:tcBorders>
              <w:right w:val="single" w:sz="8" w:color="auto"/>
            </w:tcBorders>
          </w:tcPr>
          <w:p>
            <w:pPr>
              <w:jc w:val="right"/>
              <w:ind w:right="188"/>
              <w:spacing w:after="0"/>
              <w:rPr>
                <w:sz w:val="20"/>
                <w:szCs w:val="20"/>
                <w:color w:val="auto"/>
              </w:rPr>
            </w:pPr>
            <w:r>
              <w:rPr>
                <w:rFonts w:ascii="Arial" w:cs="Arial" w:eastAsia="Arial" w:hAnsi="Arial"/>
                <w:sz w:val="14"/>
                <w:szCs w:val="14"/>
                <w:color w:val="auto"/>
              </w:rPr>
              <w:t>16</w:t>
            </w:r>
          </w:p>
        </w:tc>
        <w:tc>
          <w:tcPr>
            <w:tcW w:w="1120" w:type="dxa"/>
            <w:vAlign w:val="bottom"/>
            <w:tcBorders>
              <w:right w:val="single" w:sz="8" w:color="auto"/>
            </w:tcBorders>
          </w:tcPr>
          <w:p>
            <w:pPr>
              <w:jc w:val="right"/>
              <w:ind w:right="130"/>
              <w:spacing w:after="0"/>
              <w:rPr>
                <w:sz w:val="20"/>
                <w:szCs w:val="20"/>
                <w:color w:val="auto"/>
              </w:rPr>
            </w:pPr>
            <w:r>
              <w:rPr>
                <w:rFonts w:ascii="Arial" w:cs="Arial" w:eastAsia="Arial" w:hAnsi="Arial"/>
                <w:sz w:val="14"/>
                <w:szCs w:val="14"/>
                <w:color w:val="auto"/>
              </w:rPr>
              <w:t>491</w:t>
            </w:r>
          </w:p>
        </w:tc>
        <w:tc>
          <w:tcPr>
            <w:tcW w:w="420" w:type="dxa"/>
            <w:vAlign w:val="bottom"/>
          </w:tcPr>
          <w:p>
            <w:pPr>
              <w:spacing w:after="0"/>
              <w:rPr>
                <w:sz w:val="19"/>
                <w:szCs w:val="19"/>
                <w:color w:val="auto"/>
              </w:rPr>
            </w:pPr>
          </w:p>
        </w:tc>
        <w:tc>
          <w:tcPr>
            <w:tcW w:w="860" w:type="dxa"/>
            <w:vAlign w:val="bottom"/>
          </w:tcPr>
          <w:p>
            <w:pPr>
              <w:jc w:val="right"/>
              <w:ind w:right="210"/>
              <w:spacing w:after="0"/>
              <w:rPr>
                <w:sz w:val="20"/>
                <w:szCs w:val="20"/>
                <w:color w:val="auto"/>
              </w:rPr>
            </w:pPr>
            <w:r>
              <w:rPr>
                <w:rFonts w:ascii="Arial" w:cs="Arial" w:eastAsia="Arial" w:hAnsi="Arial"/>
                <w:sz w:val="14"/>
                <w:szCs w:val="14"/>
                <w:color w:val="auto"/>
              </w:rPr>
              <w:t>(420 )</w:t>
            </w:r>
          </w:p>
        </w:tc>
        <w:tc>
          <w:tcPr>
            <w:tcW w:w="480" w:type="dxa"/>
            <w:vAlign w:val="bottom"/>
            <w:tcBorders>
              <w:right w:val="single" w:sz="8" w:color="auto"/>
            </w:tcBorders>
          </w:tcPr>
          <w:p>
            <w:pPr>
              <w:jc w:val="right"/>
              <w:ind w:right="88"/>
              <w:spacing w:after="0"/>
              <w:rPr>
                <w:sz w:val="20"/>
                <w:szCs w:val="20"/>
                <w:color w:val="auto"/>
              </w:rPr>
            </w:pPr>
            <w:r>
              <w:rPr>
                <w:rFonts w:ascii="Arial" w:cs="Arial" w:eastAsia="Arial" w:hAnsi="Arial"/>
                <w:sz w:val="14"/>
                <w:szCs w:val="14"/>
                <w:color w:val="auto"/>
              </w:rPr>
              <w:t>(46 )</w:t>
            </w:r>
          </w:p>
        </w:tc>
        <w:tc>
          <w:tcPr>
            <w:tcW w:w="1120" w:type="dxa"/>
            <w:vAlign w:val="bottom"/>
          </w:tcPr>
          <w:p>
            <w:pPr>
              <w:jc w:val="right"/>
              <w:ind w:right="110"/>
              <w:spacing w:after="0"/>
              <w:rPr>
                <w:sz w:val="20"/>
                <w:szCs w:val="20"/>
                <w:color w:val="auto"/>
              </w:rPr>
            </w:pPr>
            <w:r>
              <w:rPr>
                <w:rFonts w:ascii="Arial" w:cs="Arial" w:eastAsia="Arial" w:hAnsi="Arial"/>
                <w:sz w:val="14"/>
                <w:szCs w:val="14"/>
                <w:color w:val="auto"/>
              </w:rPr>
              <w:t>911</w:t>
            </w:r>
          </w:p>
        </w:tc>
      </w:tr>
      <w:tr>
        <w:trPr>
          <w:trHeight w:val="244"/>
        </w:trPr>
        <w:tc>
          <w:tcPr>
            <w:tcW w:w="1240" w:type="dxa"/>
            <w:vAlign w:val="bottom"/>
            <w:tcBorders>
              <w:bottom w:val="single" w:sz="8" w:color="DFDFDF"/>
            </w:tcBorders>
          </w:tcPr>
          <w:p>
            <w:pPr>
              <w:ind w:left="20"/>
              <w:spacing w:after="0"/>
              <w:rPr>
                <w:sz w:val="20"/>
                <w:szCs w:val="20"/>
                <w:color w:val="auto"/>
              </w:rPr>
            </w:pPr>
            <w:r>
              <w:rPr>
                <w:rFonts w:ascii="Arial" w:cs="Arial" w:eastAsia="Arial" w:hAnsi="Arial"/>
                <w:sz w:val="14"/>
                <w:szCs w:val="14"/>
                <w:color w:val="auto"/>
              </w:rPr>
              <w:t>SoCalGas</w:t>
            </w:r>
          </w:p>
        </w:tc>
        <w:tc>
          <w:tcPr>
            <w:tcW w:w="940" w:type="dxa"/>
            <w:vAlign w:val="bottom"/>
            <w:tcBorders>
              <w:bottom w:val="single" w:sz="8" w:color="DFDFDF"/>
            </w:tcBorders>
          </w:tcPr>
          <w:p>
            <w:pPr>
              <w:jc w:val="right"/>
              <w:ind w:right="150"/>
              <w:spacing w:after="0"/>
              <w:rPr>
                <w:sz w:val="20"/>
                <w:szCs w:val="20"/>
                <w:color w:val="auto"/>
              </w:rPr>
            </w:pPr>
            <w:r>
              <w:rPr>
                <w:rFonts w:ascii="Arial" w:cs="Arial" w:eastAsia="Arial" w:hAnsi="Arial"/>
                <w:sz w:val="14"/>
                <w:szCs w:val="14"/>
                <w:color w:val="auto"/>
              </w:rPr>
              <w:t>568</w:t>
            </w:r>
          </w:p>
        </w:tc>
        <w:tc>
          <w:tcPr>
            <w:tcW w:w="1240" w:type="dxa"/>
            <w:vAlign w:val="bottom"/>
            <w:tcBorders>
              <w:bottom w:val="single" w:sz="8" w:color="DFDFDF"/>
            </w:tcBorders>
          </w:tcPr>
          <w:p>
            <w:pPr>
              <w:jc w:val="right"/>
              <w:ind w:right="430"/>
              <w:spacing w:after="0"/>
              <w:rPr>
                <w:sz w:val="20"/>
                <w:szCs w:val="20"/>
                <w:color w:val="auto"/>
              </w:rPr>
            </w:pPr>
            <w:r>
              <w:rPr>
                <w:rFonts w:ascii="Arial" w:cs="Arial" w:eastAsia="Arial" w:hAnsi="Arial"/>
                <w:sz w:val="14"/>
                <w:szCs w:val="14"/>
                <w:color w:val="auto"/>
              </w:rPr>
              <w:t>90</w:t>
            </w:r>
          </w:p>
        </w:tc>
        <w:tc>
          <w:tcPr>
            <w:tcW w:w="520" w:type="dxa"/>
            <w:vAlign w:val="bottom"/>
            <w:tcBorders>
              <w:bottom w:val="single" w:sz="8" w:color="DFDFDF"/>
            </w:tcBorders>
          </w:tcPr>
          <w:p>
            <w:pPr>
              <w:jc w:val="right"/>
              <w:ind w:right="188"/>
              <w:spacing w:after="0"/>
              <w:rPr>
                <w:sz w:val="20"/>
                <w:szCs w:val="20"/>
                <w:color w:val="auto"/>
              </w:rPr>
            </w:pPr>
            <w:r>
              <w:rPr>
                <w:rFonts w:ascii="Arial" w:cs="Arial" w:eastAsia="Arial" w:hAnsi="Arial"/>
                <w:sz w:val="14"/>
                <w:szCs w:val="14"/>
                <w:color w:val="auto"/>
              </w:rPr>
              <w:t>19</w:t>
            </w:r>
          </w:p>
        </w:tc>
        <w:tc>
          <w:tcPr>
            <w:tcW w:w="1120" w:type="dxa"/>
            <w:vAlign w:val="bottom"/>
            <w:tcBorders>
              <w:bottom w:val="single" w:sz="8" w:color="DFDFDF"/>
            </w:tcBorders>
          </w:tcPr>
          <w:p>
            <w:pPr>
              <w:jc w:val="right"/>
              <w:ind w:right="130"/>
              <w:spacing w:after="0"/>
              <w:rPr>
                <w:sz w:val="20"/>
                <w:szCs w:val="20"/>
                <w:color w:val="auto"/>
              </w:rPr>
            </w:pPr>
            <w:r>
              <w:rPr>
                <w:rFonts w:ascii="Arial" w:cs="Arial" w:eastAsia="Arial" w:hAnsi="Arial"/>
                <w:sz w:val="14"/>
                <w:szCs w:val="14"/>
                <w:color w:val="auto"/>
              </w:rPr>
              <w:t>478</w:t>
            </w:r>
          </w:p>
        </w:tc>
        <w:tc>
          <w:tcPr>
            <w:tcW w:w="420" w:type="dxa"/>
            <w:vAlign w:val="bottom"/>
            <w:tcBorders>
              <w:bottom w:val="single" w:sz="8" w:color="DFDFDF"/>
            </w:tcBorders>
          </w:tcPr>
          <w:p>
            <w:pPr>
              <w:spacing w:after="0"/>
              <w:rPr>
                <w:sz w:val="21"/>
                <w:szCs w:val="21"/>
                <w:color w:val="auto"/>
              </w:rPr>
            </w:pPr>
          </w:p>
        </w:tc>
        <w:tc>
          <w:tcPr>
            <w:tcW w:w="860" w:type="dxa"/>
            <w:vAlign w:val="bottom"/>
            <w:tcBorders>
              <w:bottom w:val="single" w:sz="8" w:color="DFDFDF"/>
            </w:tcBorders>
          </w:tcPr>
          <w:p>
            <w:pPr>
              <w:jc w:val="right"/>
              <w:ind w:right="210"/>
              <w:spacing w:after="0"/>
              <w:rPr>
                <w:sz w:val="20"/>
                <w:szCs w:val="20"/>
                <w:color w:val="auto"/>
              </w:rPr>
            </w:pPr>
            <w:r>
              <w:rPr>
                <w:rFonts w:ascii="Arial" w:cs="Arial" w:eastAsia="Arial" w:hAnsi="Arial"/>
                <w:sz w:val="14"/>
                <w:szCs w:val="14"/>
                <w:color w:val="auto"/>
              </w:rPr>
              <w:t>(395 )</w:t>
            </w:r>
          </w:p>
        </w:tc>
        <w:tc>
          <w:tcPr>
            <w:tcW w:w="480" w:type="dxa"/>
            <w:vAlign w:val="bottom"/>
            <w:tcBorders>
              <w:bottom w:val="single" w:sz="8" w:color="DFDFDF"/>
            </w:tcBorders>
          </w:tcPr>
          <w:p>
            <w:pPr>
              <w:jc w:val="right"/>
              <w:ind w:right="88"/>
              <w:spacing w:after="0"/>
              <w:rPr>
                <w:sz w:val="20"/>
                <w:szCs w:val="20"/>
                <w:color w:val="auto"/>
              </w:rPr>
            </w:pPr>
            <w:r>
              <w:rPr>
                <w:rFonts w:ascii="Arial" w:cs="Arial" w:eastAsia="Arial" w:hAnsi="Arial"/>
                <w:sz w:val="14"/>
                <w:szCs w:val="14"/>
                <w:color w:val="auto"/>
              </w:rPr>
              <w:t>(45 )</w:t>
            </w:r>
          </w:p>
        </w:tc>
        <w:tc>
          <w:tcPr>
            <w:tcW w:w="1120" w:type="dxa"/>
            <w:vAlign w:val="bottom"/>
            <w:tcBorders>
              <w:bottom w:val="single" w:sz="8" w:color="DFDFDF"/>
            </w:tcBorders>
          </w:tcPr>
          <w:p>
            <w:pPr>
              <w:jc w:val="right"/>
              <w:ind w:right="110"/>
              <w:spacing w:after="0"/>
              <w:rPr>
                <w:sz w:val="20"/>
                <w:szCs w:val="20"/>
                <w:color w:val="auto"/>
              </w:rPr>
            </w:pPr>
            <w:r>
              <w:rPr>
                <w:rFonts w:ascii="Arial" w:cs="Arial" w:eastAsia="Arial" w:hAnsi="Arial"/>
                <w:sz w:val="14"/>
                <w:szCs w:val="14"/>
                <w:color w:val="auto"/>
              </w:rPr>
              <w:t>873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2466340</wp:posOffset>
            </wp:positionH>
            <wp:positionV relativeFrom="paragraph">
              <wp:posOffset>-179705</wp:posOffset>
            </wp:positionV>
            <wp:extent cx="33020" cy="19304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33020" cy="193040"/>
                    </a:xfrm>
                    <a:prstGeom prst="rect">
                      <a:avLst/>
                    </a:prstGeom>
                    <a:noFill/>
                  </pic:spPr>
                </pic:pic>
              </a:graphicData>
            </a:graphic>
          </wp:anchor>
        </w:drawing>
        <w:drawing>
          <wp:anchor simplePos="0" relativeHeight="251657728" behindDoc="1" locked="0" layoutInCell="0" allowOverlap="1">
            <wp:simplePos x="0" y="0"/>
            <wp:positionH relativeFrom="column">
              <wp:posOffset>3580130</wp:posOffset>
            </wp:positionH>
            <wp:positionV relativeFrom="paragraph">
              <wp:posOffset>-179705</wp:posOffset>
            </wp:positionV>
            <wp:extent cx="33020" cy="19304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33020" cy="193040"/>
                    </a:xfrm>
                    <a:prstGeom prst="rect">
                      <a:avLst/>
                    </a:prstGeom>
                    <a:noFill/>
                  </pic:spPr>
                </pic:pic>
              </a:graphicData>
            </a:graphic>
          </wp:anchor>
        </w:drawing>
        <w:drawing>
          <wp:anchor simplePos="0" relativeHeight="251657728" behindDoc="1" locked="0" layoutInCell="0" allowOverlap="1">
            <wp:simplePos x="0" y="0"/>
            <wp:positionH relativeFrom="column">
              <wp:posOffset>4297045</wp:posOffset>
            </wp:positionH>
            <wp:positionV relativeFrom="paragraph">
              <wp:posOffset>-179705</wp:posOffset>
            </wp:positionV>
            <wp:extent cx="33020" cy="19304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33020" cy="193040"/>
                    </a:xfrm>
                    <a:prstGeom prst="rect">
                      <a:avLst/>
                    </a:prstGeom>
                    <a:noFill/>
                  </pic:spPr>
                </pic:pic>
              </a:graphicData>
            </a:graphic>
          </wp:anchor>
        </w:drawing>
        <w:drawing>
          <wp:anchor simplePos="0" relativeHeight="251657728" behindDoc="1" locked="0" layoutInCell="0" allowOverlap="1">
            <wp:simplePos x="0" y="0"/>
            <wp:positionH relativeFrom="column">
              <wp:posOffset>5418455</wp:posOffset>
            </wp:positionH>
            <wp:positionV relativeFrom="paragraph">
              <wp:posOffset>-179705</wp:posOffset>
            </wp:positionV>
            <wp:extent cx="33020" cy="19304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33020" cy="193040"/>
                    </a:xfrm>
                    <a:prstGeom prst="rect">
                      <a:avLst/>
                    </a:prstGeom>
                    <a:noFill/>
                  </pic:spPr>
                </pic:pic>
              </a:graphicData>
            </a:graphic>
          </wp:anchor>
        </w:drawing>
      </w:r>
    </w:p>
    <w:p>
      <w:pPr>
        <w:spacing w:after="0" w:line="326" w:lineRule="exact"/>
        <w:rPr>
          <w:sz w:val="20"/>
          <w:szCs w:val="20"/>
          <w:color w:val="auto"/>
        </w:rPr>
      </w:pPr>
    </w:p>
    <w:p>
      <w:pPr>
        <w:ind w:left="4"/>
        <w:spacing w:after="0"/>
        <w:rPr>
          <w:sz w:val="20"/>
          <w:szCs w:val="20"/>
          <w:color w:val="auto"/>
        </w:rPr>
      </w:pPr>
      <w:r>
        <w:rPr>
          <w:rFonts w:ascii="Arial" w:cs="Arial" w:eastAsia="Arial" w:hAnsi="Arial"/>
          <w:sz w:val="18"/>
          <w:szCs w:val="18"/>
          <w:b w:val="1"/>
          <w:bCs w:val="1"/>
          <w:i w:val="1"/>
          <w:iCs w:val="1"/>
          <w:color w:val="auto"/>
        </w:rPr>
        <w:t>Sempra Energy</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6"/>
          <w:szCs w:val="16"/>
          <w:color w:val="auto"/>
        </w:rPr>
        <w:t>Cash provided by operating activities at Sempra Energy decreased in 2008 due to</w:t>
      </w:r>
    </w:p>
    <w:p>
      <w:pPr>
        <w:spacing w:after="0" w:line="44" w:lineRule="exact"/>
        <w:rPr>
          <w:sz w:val="20"/>
          <w:szCs w:val="20"/>
          <w:color w:val="auto"/>
        </w:rPr>
      </w:pPr>
    </w:p>
    <w:p>
      <w:pPr>
        <w:ind w:left="144" w:right="1580" w:hanging="144"/>
        <w:spacing w:after="0" w:line="274" w:lineRule="auto"/>
        <w:tabs>
          <w:tab w:leader="none" w:pos="144" w:val="left"/>
        </w:tabs>
        <w:numPr>
          <w:ilvl w:val="0"/>
          <w:numId w:val="272"/>
        </w:numPr>
        <w:rPr>
          <w:rFonts w:ascii="Arial" w:cs="Arial" w:eastAsia="Arial" w:hAnsi="Arial"/>
          <w:sz w:val="16"/>
          <w:szCs w:val="16"/>
          <w:color w:val="auto"/>
        </w:rPr>
      </w:pPr>
      <w:r>
        <w:rPr>
          <w:rFonts w:ascii="Arial" w:cs="Arial" w:eastAsia="Arial" w:hAnsi="Arial"/>
          <w:sz w:val="16"/>
          <w:szCs w:val="16"/>
          <w:color w:val="auto"/>
        </w:rPr>
        <w:t>a $297 million decrease in income from continuing operations (adjusted for noncash items), of which $383 million related to equity earnings from RBS Sempra Commodities;</w:t>
      </w:r>
    </w:p>
    <w:p>
      <w:pPr>
        <w:ind w:left="144" w:right="1220" w:hanging="144"/>
        <w:spacing w:after="0" w:line="274" w:lineRule="auto"/>
        <w:tabs>
          <w:tab w:leader="none" w:pos="144" w:val="left"/>
        </w:tabs>
        <w:numPr>
          <w:ilvl w:val="0"/>
          <w:numId w:val="272"/>
        </w:numPr>
        <w:rPr>
          <w:rFonts w:ascii="Arial" w:cs="Arial" w:eastAsia="Arial" w:hAnsi="Arial"/>
          <w:sz w:val="16"/>
          <w:szCs w:val="16"/>
          <w:color w:val="auto"/>
        </w:rPr>
      </w:pPr>
      <w:r>
        <w:rPr>
          <w:rFonts w:ascii="Arial" w:cs="Arial" w:eastAsia="Arial" w:hAnsi="Arial"/>
          <w:sz w:val="16"/>
          <w:szCs w:val="16"/>
          <w:color w:val="auto"/>
        </w:rPr>
        <w:t>a decrease of $303 million in net trading assets in 2007 compared to a $4 million increase in 2008 (prior to the sale of the commodities-marketing businesses to RBS Sempra Commodities);</w:t>
      </w:r>
    </w:p>
    <w:p>
      <w:pPr>
        <w:ind w:left="144" w:hanging="144"/>
        <w:spacing w:after="0"/>
        <w:tabs>
          <w:tab w:leader="none" w:pos="144" w:val="left"/>
        </w:tabs>
        <w:numPr>
          <w:ilvl w:val="0"/>
          <w:numId w:val="272"/>
        </w:numPr>
        <w:rPr>
          <w:rFonts w:ascii="Arial" w:cs="Arial" w:eastAsia="Arial" w:hAnsi="Arial"/>
          <w:sz w:val="16"/>
          <w:szCs w:val="16"/>
          <w:color w:val="auto"/>
        </w:rPr>
      </w:pPr>
      <w:r>
        <w:rPr>
          <w:rFonts w:ascii="Arial" w:cs="Arial" w:eastAsia="Arial" w:hAnsi="Arial"/>
          <w:sz w:val="16"/>
          <w:szCs w:val="16"/>
          <w:color w:val="auto"/>
        </w:rPr>
        <w:t>a decrease in overcollected balancing accounts in 2008 compared to an increase in 2007, primarily at SDG&amp;E; and</w:t>
      </w:r>
    </w:p>
    <w:p>
      <w:pPr>
        <w:spacing w:after="0" w:line="44" w:lineRule="exact"/>
        <w:rPr>
          <w:rFonts w:ascii="Arial" w:cs="Arial" w:eastAsia="Arial" w:hAnsi="Arial"/>
          <w:sz w:val="16"/>
          <w:szCs w:val="16"/>
          <w:color w:val="auto"/>
        </w:rPr>
      </w:pPr>
    </w:p>
    <w:p>
      <w:pPr>
        <w:ind w:left="144" w:right="1280" w:hanging="144"/>
        <w:spacing w:after="0" w:line="264" w:lineRule="auto"/>
        <w:tabs>
          <w:tab w:leader="none" w:pos="144" w:val="left"/>
        </w:tabs>
        <w:numPr>
          <w:ilvl w:val="0"/>
          <w:numId w:val="272"/>
        </w:numPr>
        <w:rPr>
          <w:rFonts w:ascii="Arial" w:cs="Arial" w:eastAsia="Arial" w:hAnsi="Arial"/>
          <w:sz w:val="16"/>
          <w:szCs w:val="16"/>
          <w:color w:val="auto"/>
        </w:rPr>
      </w:pPr>
      <w:r>
        <w:rPr>
          <w:rFonts w:ascii="Arial" w:cs="Arial" w:eastAsia="Arial" w:hAnsi="Arial"/>
          <w:sz w:val="16"/>
          <w:szCs w:val="16"/>
          <w:color w:val="auto"/>
        </w:rPr>
        <w:t xml:space="preserve">a decrease in accounts payable primarily due to accruals for higher maintenance and purchased power costs associated with the El Dorado outage at Sempra Generation at the end of 2007 and a decrease at Sempra Commodities in 2008 (prior to the sale of the commodities-marketing businesses to RBS Sempra Commodities); </w:t>
      </w:r>
      <w:r>
        <w:rPr>
          <w:rFonts w:ascii="Arial" w:cs="Arial" w:eastAsia="Arial" w:hAnsi="Arial"/>
          <w:sz w:val="16"/>
          <w:szCs w:val="16"/>
          <w:b w:val="1"/>
          <w:bCs w:val="1"/>
          <w:color w:val="auto"/>
        </w:rPr>
        <w:t>offset by</w:t>
      </w:r>
    </w:p>
    <w:p>
      <w:pPr>
        <w:spacing w:after="0" w:line="5" w:lineRule="exact"/>
        <w:rPr>
          <w:rFonts w:ascii="Arial" w:cs="Arial" w:eastAsia="Arial" w:hAnsi="Arial"/>
          <w:sz w:val="16"/>
          <w:szCs w:val="16"/>
          <w:color w:val="auto"/>
        </w:rPr>
      </w:pPr>
    </w:p>
    <w:p>
      <w:pPr>
        <w:ind w:left="144" w:hanging="144"/>
        <w:spacing w:after="0"/>
        <w:tabs>
          <w:tab w:leader="none" w:pos="144" w:val="left"/>
        </w:tabs>
        <w:numPr>
          <w:ilvl w:val="0"/>
          <w:numId w:val="272"/>
        </w:numPr>
        <w:rPr>
          <w:rFonts w:ascii="Arial" w:cs="Arial" w:eastAsia="Arial" w:hAnsi="Arial"/>
          <w:sz w:val="16"/>
          <w:szCs w:val="16"/>
          <w:color w:val="auto"/>
        </w:rPr>
      </w:pPr>
      <w:r>
        <w:rPr>
          <w:rFonts w:ascii="Arial" w:cs="Arial" w:eastAsia="Arial" w:hAnsi="Arial"/>
          <w:sz w:val="16"/>
          <w:szCs w:val="16"/>
          <w:color w:val="auto"/>
        </w:rPr>
        <w:t>a decrease in accounts receivable, primarily at SoCalGas due to higher natural gas volumes in 2007 due to a colder winter in 2007 compared to 2008; and</w:t>
      </w:r>
    </w:p>
    <w:p>
      <w:pPr>
        <w:spacing w:after="0" w:line="44" w:lineRule="exact"/>
        <w:rPr>
          <w:rFonts w:ascii="Arial" w:cs="Arial" w:eastAsia="Arial" w:hAnsi="Arial"/>
          <w:sz w:val="16"/>
          <w:szCs w:val="16"/>
          <w:color w:val="auto"/>
        </w:rPr>
      </w:pPr>
    </w:p>
    <w:p>
      <w:pPr>
        <w:ind w:left="144" w:hanging="144"/>
        <w:spacing w:after="0"/>
        <w:tabs>
          <w:tab w:leader="none" w:pos="144" w:val="left"/>
        </w:tabs>
        <w:numPr>
          <w:ilvl w:val="0"/>
          <w:numId w:val="272"/>
        </w:numPr>
        <w:rPr>
          <w:rFonts w:ascii="Arial" w:cs="Arial" w:eastAsia="Arial" w:hAnsi="Arial"/>
          <w:sz w:val="16"/>
          <w:szCs w:val="16"/>
          <w:color w:val="auto"/>
        </w:rPr>
      </w:pPr>
      <w:r>
        <w:rPr>
          <w:rFonts w:ascii="Arial" w:cs="Arial" w:eastAsia="Arial" w:hAnsi="Arial"/>
          <w:sz w:val="16"/>
          <w:szCs w:val="16"/>
          <w:color w:val="auto"/>
        </w:rPr>
        <w:t>$329 million lower net income tax payments due to 2007 overpayments applied to 2008 taxes and higher refunds received in 2008 as compared to 2007.</w:t>
      </w:r>
    </w:p>
    <w:p>
      <w:pPr>
        <w:spacing w:after="0" w:line="128" w:lineRule="exact"/>
        <w:rPr>
          <w:sz w:val="20"/>
          <w:szCs w:val="20"/>
          <w:color w:val="auto"/>
        </w:rPr>
      </w:pPr>
    </w:p>
    <w:p>
      <w:pPr>
        <w:ind w:left="4"/>
        <w:spacing w:after="0" w:line="259" w:lineRule="auto"/>
        <w:rPr>
          <w:sz w:val="20"/>
          <w:szCs w:val="20"/>
          <w:color w:val="auto"/>
        </w:rPr>
      </w:pPr>
      <w:r>
        <w:rPr>
          <w:rFonts w:ascii="Arial" w:cs="Arial" w:eastAsia="Arial" w:hAnsi="Arial"/>
          <w:sz w:val="16"/>
          <w:szCs w:val="16"/>
          <w:color w:val="auto"/>
        </w:rPr>
        <w:t>The increase in cash provided by operating activities at Sempra Energy in 2007 was primarily due to a $303 million decrease in net trading assets in 2007 compared to a $543 million increase in 2006, and a $190 million increase in income from continuing operations (adjusted for noncash items), offset by other changes in working capital. The working capital changes were driven primarily by higher accounts receivable from higher seasonal sales volumes and lower accounts payable from lower gas prices at the Sempra Utilities.</w:t>
      </w:r>
    </w:p>
    <w:p>
      <w:pPr>
        <w:spacing w:after="0" w:line="200" w:lineRule="exact"/>
        <w:rPr>
          <w:sz w:val="20"/>
          <w:szCs w:val="20"/>
          <w:color w:val="auto"/>
        </w:rPr>
      </w:pPr>
    </w:p>
    <w:p>
      <w:pPr>
        <w:spacing w:after="0" w:line="367" w:lineRule="exact"/>
        <w:rPr>
          <w:sz w:val="20"/>
          <w:szCs w:val="20"/>
          <w:color w:val="auto"/>
        </w:rPr>
      </w:pPr>
    </w:p>
    <w:p>
      <w:pPr>
        <w:ind w:left="4"/>
        <w:spacing w:after="0"/>
        <w:rPr>
          <w:sz w:val="20"/>
          <w:szCs w:val="20"/>
          <w:color w:val="auto"/>
        </w:rPr>
      </w:pPr>
      <w:r>
        <w:rPr>
          <w:rFonts w:ascii="Arial" w:cs="Arial" w:eastAsia="Arial" w:hAnsi="Arial"/>
          <w:sz w:val="14"/>
          <w:szCs w:val="14"/>
          <w:color w:val="auto"/>
        </w:rPr>
        <w:t>29</w:t>
      </w:r>
    </w:p>
    <w:p>
      <w:pPr>
        <w:sectPr>
          <w:pgSz w:w="11900" w:h="16838" w:orient="portrait"/>
          <w:cols w:equalWidth="0" w:num="1">
            <w:col w:w="11424"/>
          </w:cols>
          <w:pgMar w:left="236" w:top="124" w:right="239" w:bottom="1440" w:gutter="0" w:footer="0" w:header="0"/>
        </w:sectPr>
      </w:pPr>
    </w:p>
    <w:bookmarkStart w:id="169" w:name="page170"/>
    <w:bookmarkEnd w:id="169"/>
    <w:p>
      <w:pPr>
        <w:spacing w:after="0"/>
        <w:rPr>
          <w:sz w:val="20"/>
          <w:szCs w:val="20"/>
          <w:color w:val="auto"/>
        </w:rPr>
      </w:pPr>
      <w:r>
        <w:rPr>
          <w:rFonts w:ascii="Arial" w:cs="Arial" w:eastAsia="Arial" w:hAnsi="Arial"/>
          <w:sz w:val="18"/>
          <w:szCs w:val="18"/>
          <w:b w:val="1"/>
          <w:bCs w:val="1"/>
          <w:i w:val="1"/>
          <w:iCs w:val="1"/>
          <w:color w:val="auto"/>
        </w:rPr>
        <w:t>SDG&amp;E</w:t>
      </w:r>
    </w:p>
    <w:p>
      <w:pPr>
        <w:spacing w:after="0" w:line="23" w:lineRule="exact"/>
        <w:rPr>
          <w:sz w:val="20"/>
          <w:szCs w:val="20"/>
          <w:color w:val="auto"/>
        </w:rPr>
      </w:pPr>
    </w:p>
    <w:p>
      <w:pPr>
        <w:ind w:right="20"/>
        <w:spacing w:after="0" w:line="264" w:lineRule="auto"/>
        <w:rPr>
          <w:sz w:val="20"/>
          <w:szCs w:val="20"/>
          <w:color w:val="auto"/>
        </w:rPr>
      </w:pPr>
      <w:r>
        <w:rPr>
          <w:rFonts w:ascii="Arial" w:cs="Arial" w:eastAsia="Arial" w:hAnsi="Arial"/>
          <w:sz w:val="16"/>
          <w:szCs w:val="16"/>
          <w:color w:val="auto"/>
        </w:rPr>
        <w:t>Cash provided by operating activities at SDG&amp;E decreased in 2008 primarily due to a decrease in overcollected regulatory balancing accounts compared to an increase in 2007. Over- and under-collected regulatory balancing accounts reflect the difference between customer billings and recorded or CPUC-authorized costs. These differences are required to be balanced over time.</w:t>
      </w:r>
    </w:p>
    <w:p>
      <w:pPr>
        <w:spacing w:after="0" w:line="42" w:lineRule="exact"/>
        <w:rPr>
          <w:sz w:val="20"/>
          <w:szCs w:val="20"/>
          <w:color w:val="auto"/>
        </w:rPr>
      </w:pPr>
    </w:p>
    <w:p>
      <w:pPr>
        <w:ind w:right="20"/>
        <w:spacing w:after="0" w:line="264" w:lineRule="auto"/>
        <w:rPr>
          <w:sz w:val="20"/>
          <w:szCs w:val="20"/>
          <w:color w:val="auto"/>
        </w:rPr>
      </w:pPr>
      <w:r>
        <w:rPr>
          <w:rFonts w:ascii="Arial" w:cs="Arial" w:eastAsia="Arial" w:hAnsi="Arial"/>
          <w:sz w:val="16"/>
          <w:szCs w:val="16"/>
          <w:color w:val="auto"/>
        </w:rPr>
        <w:t>The decrease in overcollected regulatory balancing accounts was offset by changes in working capital, principally inventory and lower net income tax payments. The reduction in inventory in 2008 resulted from SoCalGas assuming procurement responsibility for SDG&amp;E’s core natural gas customers in 2008. Lower net income tax payments were due to 2007 overpayments applied to 2008 taxes and higher refunds received in 2008 as compared to 2007.</w:t>
      </w:r>
    </w:p>
    <w:p>
      <w:pPr>
        <w:spacing w:after="0" w:line="42" w:lineRule="exact"/>
        <w:rPr>
          <w:sz w:val="20"/>
          <w:szCs w:val="20"/>
          <w:color w:val="auto"/>
        </w:rPr>
      </w:pPr>
    </w:p>
    <w:p>
      <w:pPr>
        <w:ind w:right="40"/>
        <w:spacing w:after="0" w:line="277" w:lineRule="auto"/>
        <w:rPr>
          <w:sz w:val="20"/>
          <w:szCs w:val="20"/>
          <w:color w:val="auto"/>
        </w:rPr>
      </w:pPr>
      <w:r>
        <w:rPr>
          <w:rFonts w:ascii="Arial" w:cs="Arial" w:eastAsia="Arial" w:hAnsi="Arial"/>
          <w:sz w:val="16"/>
          <w:szCs w:val="16"/>
          <w:color w:val="auto"/>
        </w:rPr>
        <w:t>The increase in cash provided by operating activities at SDG&amp;E in 2007 was primarily due to a $150 million increase in income from continuing operations (adjusted for noncash items) and an increase in overcollected regulatory balancing accounts.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 and SoCalGas</w:t>
      </w:r>
    </w:p>
    <w:p>
      <w:pPr>
        <w:spacing w:after="0" w:line="23" w:lineRule="exact"/>
        <w:rPr>
          <w:sz w:val="20"/>
          <w:szCs w:val="20"/>
          <w:color w:val="auto"/>
        </w:rPr>
      </w:pPr>
    </w:p>
    <w:p>
      <w:pPr>
        <w:spacing w:after="0" w:line="264" w:lineRule="auto"/>
        <w:rPr>
          <w:sz w:val="20"/>
          <w:szCs w:val="20"/>
          <w:color w:val="auto"/>
        </w:rPr>
      </w:pPr>
      <w:r>
        <w:rPr>
          <w:rFonts w:ascii="Arial" w:cs="Arial" w:eastAsia="Arial" w:hAnsi="Arial"/>
          <w:sz w:val="16"/>
          <w:szCs w:val="16"/>
          <w:color w:val="auto"/>
        </w:rPr>
        <w:t>Cash provided by operating activities at PE increased in 2008 primarily due to changes at SoCalGas, principally an increase in net income adjusted for noncash items ($89 million at PE and $91 million at SoCalGas), and a decrease in accounts receivable. Accounts receivable decreased in 2008 and increased in 2007 due to lower natural gas prices and seasonably warm weather in 2008, resulting in lower demand for natural gas for heating in the fourth quarter.</w:t>
      </w:r>
    </w:p>
    <w:p>
      <w:pPr>
        <w:spacing w:after="0" w:line="42" w:lineRule="exact"/>
        <w:rPr>
          <w:sz w:val="20"/>
          <w:szCs w:val="20"/>
          <w:color w:val="auto"/>
        </w:rPr>
      </w:pPr>
    </w:p>
    <w:p>
      <w:pPr>
        <w:ind w:right="40"/>
        <w:spacing w:after="0" w:line="277" w:lineRule="auto"/>
        <w:rPr>
          <w:sz w:val="20"/>
          <w:szCs w:val="20"/>
          <w:color w:val="auto"/>
        </w:rPr>
      </w:pPr>
      <w:r>
        <w:rPr>
          <w:rFonts w:ascii="Arial" w:cs="Arial" w:eastAsia="Arial" w:hAnsi="Arial"/>
          <w:sz w:val="16"/>
          <w:szCs w:val="16"/>
          <w:color w:val="auto"/>
        </w:rPr>
        <w:t>These increases were offset by an increase in inventory and a $40 million payment for the termination of an interest rate swap in 2008. The increase in inventory in 2008 resulted from SoCalGas assuming procurement responsibility for SDG&amp;E’s core natural gas customers in 2008.</w:t>
      </w:r>
    </w:p>
    <w:p>
      <w:pPr>
        <w:spacing w:after="0" w:line="32" w:lineRule="exact"/>
        <w:rPr>
          <w:sz w:val="20"/>
          <w:szCs w:val="20"/>
          <w:color w:val="auto"/>
        </w:rPr>
      </w:pPr>
    </w:p>
    <w:p>
      <w:pPr>
        <w:jc w:val="both"/>
        <w:ind w:right="460"/>
        <w:spacing w:after="0" w:line="264" w:lineRule="auto"/>
        <w:rPr>
          <w:sz w:val="20"/>
          <w:szCs w:val="20"/>
          <w:color w:val="auto"/>
        </w:rPr>
      </w:pPr>
      <w:r>
        <w:rPr>
          <w:rFonts w:ascii="Arial" w:cs="Arial" w:eastAsia="Arial" w:hAnsi="Arial"/>
          <w:sz w:val="16"/>
          <w:szCs w:val="16"/>
          <w:color w:val="auto"/>
        </w:rPr>
        <w:t>The decrease in cash provided by PE’s operating activities in 2007 was primarily due to changes in working capital at SoCalGas, principally accounts receivable, accounts payable and overcollected regulatory balancing accounts. The working capital changes were driven by higher accounts receivable from higher seasonal volumes and lower accounts payable from lower gas prices.</w:t>
      </w:r>
    </w:p>
    <w:p>
      <w:pPr>
        <w:spacing w:after="0" w:line="42" w:lineRule="exact"/>
        <w:rPr>
          <w:sz w:val="20"/>
          <w:szCs w:val="20"/>
          <w:color w:val="auto"/>
        </w:rPr>
      </w:pPr>
    </w:p>
    <w:p>
      <w:pPr>
        <w:spacing w:after="0"/>
        <w:rPr>
          <w:sz w:val="20"/>
          <w:szCs w:val="20"/>
          <w:color w:val="auto"/>
        </w:rPr>
      </w:pPr>
      <w:r>
        <w:rPr>
          <w:rFonts w:ascii="Arial" w:cs="Arial" w:eastAsia="Arial" w:hAnsi="Arial"/>
          <w:sz w:val="16"/>
          <w:szCs w:val="16"/>
          <w:color w:val="auto"/>
        </w:rPr>
        <w:t>The table below shows the contributions to pension and other postretirement benefit plans for each of the past three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1149350</wp:posOffset>
            </wp:positionH>
            <wp:positionV relativeFrom="paragraph">
              <wp:posOffset>165735</wp:posOffset>
            </wp:positionV>
            <wp:extent cx="4958080" cy="2667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4958080" cy="266700"/>
                    </a:xfrm>
                    <a:prstGeom prst="rect">
                      <a:avLst/>
                    </a:prstGeom>
                    <a:noFill/>
                  </pic:spPr>
                </pic:pic>
              </a:graphicData>
            </a:graphic>
          </wp:anchor>
        </w:drawing>
      </w:r>
    </w:p>
    <w:p>
      <w:pPr>
        <w:spacing w:after="0" w:line="249" w:lineRule="exact"/>
        <w:rPr>
          <w:sz w:val="20"/>
          <w:szCs w:val="20"/>
          <w:color w:val="auto"/>
        </w:rPr>
      </w:pPr>
    </w:p>
    <w:p>
      <w:pPr>
        <w:ind w:left="1820"/>
        <w:spacing w:after="0"/>
        <w:rPr>
          <w:sz w:val="20"/>
          <w:szCs w:val="20"/>
          <w:color w:val="auto"/>
        </w:rPr>
      </w:pPr>
      <w:r>
        <w:rPr>
          <w:rFonts w:ascii="Arial" w:cs="Arial" w:eastAsia="Arial" w:hAnsi="Arial"/>
          <w:sz w:val="14"/>
          <w:szCs w:val="14"/>
          <w:b w:val="1"/>
          <w:bCs w:val="1"/>
          <w:color w:val="auto"/>
        </w:rPr>
        <w:t>CONTRIBUTIONS TO PENSION AND OTHER POSTRETIREMENT BENEFIT PLANS 2006-2008</w:t>
      </w:r>
    </w:p>
    <w:p>
      <w:pPr>
        <w:spacing w:after="0" w:line="76" w:lineRule="exact"/>
        <w:rPr>
          <w:sz w:val="20"/>
          <w:szCs w:val="20"/>
          <w:color w:val="auto"/>
        </w:rPr>
      </w:pPr>
    </w:p>
    <w:tbl>
      <w:tblPr>
        <w:tblLayout w:type="fixed"/>
        <w:tblInd w:w="1800" w:type="dxa"/>
        <w:tblCellMar>
          <w:top w:w="0" w:type="dxa"/>
          <w:left w:w="0" w:type="dxa"/>
          <w:bottom w:w="0" w:type="dxa"/>
          <w:right w:w="0" w:type="dxa"/>
        </w:tblCellMar>
      </w:tblPr>
      <w:tr>
        <w:trPr>
          <w:trHeight w:val="166"/>
        </w:trPr>
        <w:tc>
          <w:tcPr>
            <w:tcW w:w="2140" w:type="dxa"/>
            <w:vAlign w:val="bottom"/>
          </w:tcPr>
          <w:p>
            <w:pPr>
              <w:ind w:left="20"/>
              <w:spacing w:after="0"/>
              <w:rPr>
                <w:sz w:val="20"/>
                <w:szCs w:val="20"/>
                <w:color w:val="auto"/>
              </w:rPr>
            </w:pPr>
            <w:r>
              <w:rPr>
                <w:rFonts w:ascii="Arial" w:cs="Arial" w:eastAsia="Arial" w:hAnsi="Arial"/>
                <w:sz w:val="13"/>
                <w:szCs w:val="13"/>
                <w:i w:val="1"/>
                <w:iCs w:val="1"/>
                <w:color w:val="auto"/>
              </w:rPr>
              <w:t>(Dollars in millions)</w:t>
            </w:r>
          </w:p>
        </w:tc>
        <w:tc>
          <w:tcPr>
            <w:tcW w:w="4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216"/>
        </w:trPr>
        <w:tc>
          <w:tcPr>
            <w:tcW w:w="2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60" w:type="dxa"/>
            <w:vAlign w:val="bottom"/>
            <w:gridSpan w:val="2"/>
          </w:tcPr>
          <w:p>
            <w:pPr>
              <w:jc w:val="right"/>
              <w:ind w:right="310"/>
              <w:spacing w:after="0"/>
              <w:rPr>
                <w:sz w:val="20"/>
                <w:szCs w:val="20"/>
                <w:color w:val="auto"/>
              </w:rPr>
            </w:pPr>
            <w:r>
              <w:rPr>
                <w:rFonts w:ascii="Arial" w:cs="Arial" w:eastAsia="Arial" w:hAnsi="Arial"/>
                <w:sz w:val="13"/>
                <w:szCs w:val="13"/>
                <w:color w:val="auto"/>
              </w:rPr>
              <w:t>Other</w:t>
            </w:r>
          </w:p>
        </w:tc>
        <w:tc>
          <w:tcPr>
            <w:tcW w:w="320" w:type="dxa"/>
            <w:vAlign w:val="bottom"/>
          </w:tcPr>
          <w:p>
            <w:pPr>
              <w:spacing w:after="0"/>
              <w:rPr>
                <w:sz w:val="18"/>
                <w:szCs w:val="18"/>
                <w:color w:val="auto"/>
              </w:rPr>
            </w:pPr>
          </w:p>
        </w:tc>
        <w:tc>
          <w:tcPr>
            <w:tcW w:w="620" w:type="dxa"/>
            <w:vAlign w:val="bottom"/>
          </w:tcPr>
          <w:p>
            <w:pPr>
              <w:spacing w:after="0"/>
              <w:rPr>
                <w:sz w:val="18"/>
                <w:szCs w:val="18"/>
                <w:color w:val="auto"/>
              </w:rPr>
            </w:pPr>
          </w:p>
        </w:tc>
      </w:tr>
      <w:tr>
        <w:trPr>
          <w:trHeight w:val="221"/>
        </w:trPr>
        <w:tc>
          <w:tcPr>
            <w:tcW w:w="214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3"/>
                <w:szCs w:val="13"/>
                <w:color w:val="auto"/>
              </w:rPr>
              <w:t>Pension Benefits</w:t>
            </w:r>
          </w:p>
        </w:tc>
        <w:tc>
          <w:tcPr>
            <w:tcW w:w="2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gridSpan w:val="4"/>
          </w:tcPr>
          <w:p>
            <w:pPr>
              <w:jc w:val="right"/>
              <w:ind w:right="128"/>
              <w:spacing w:after="0"/>
              <w:rPr>
                <w:sz w:val="20"/>
                <w:szCs w:val="20"/>
                <w:color w:val="auto"/>
              </w:rPr>
            </w:pPr>
            <w:r>
              <w:rPr>
                <w:rFonts w:ascii="Arial" w:cs="Arial" w:eastAsia="Arial" w:hAnsi="Arial"/>
                <w:sz w:val="13"/>
                <w:szCs w:val="13"/>
                <w:color w:val="auto"/>
              </w:rPr>
              <w:t>Postretirement Benefits</w:t>
            </w:r>
          </w:p>
        </w:tc>
        <w:tc>
          <w:tcPr>
            <w:tcW w:w="620" w:type="dxa"/>
            <w:vAlign w:val="bottom"/>
            <w:tcBorders>
              <w:bottom w:val="single" w:sz="8" w:color="auto"/>
            </w:tcBorders>
          </w:tcPr>
          <w:p>
            <w:pPr>
              <w:spacing w:after="0"/>
              <w:rPr>
                <w:sz w:val="19"/>
                <w:szCs w:val="19"/>
                <w:color w:val="auto"/>
              </w:rPr>
            </w:pPr>
          </w:p>
        </w:tc>
      </w:tr>
      <w:tr>
        <w:trPr>
          <w:trHeight w:val="208"/>
        </w:trPr>
        <w:tc>
          <w:tcPr>
            <w:tcW w:w="214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ind w:right="51"/>
              <w:spacing w:after="0"/>
              <w:rPr>
                <w:sz w:val="20"/>
                <w:szCs w:val="20"/>
                <w:color w:val="auto"/>
              </w:rPr>
            </w:pPr>
            <w:r>
              <w:rPr>
                <w:rFonts w:ascii="Arial" w:cs="Arial" w:eastAsia="Arial" w:hAnsi="Arial"/>
                <w:sz w:val="13"/>
                <w:szCs w:val="13"/>
                <w:color w:val="auto"/>
              </w:rPr>
              <w:t>2008</w:t>
            </w:r>
          </w:p>
        </w:tc>
        <w:tc>
          <w:tcPr>
            <w:tcW w:w="3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90"/>
              <w:spacing w:after="0"/>
              <w:rPr>
                <w:sz w:val="20"/>
                <w:szCs w:val="20"/>
                <w:color w:val="auto"/>
              </w:rPr>
            </w:pPr>
            <w:r>
              <w:rPr>
                <w:rFonts w:ascii="Arial" w:cs="Arial" w:eastAsia="Arial" w:hAnsi="Arial"/>
                <w:sz w:val="13"/>
                <w:szCs w:val="13"/>
                <w:color w:val="auto"/>
              </w:rPr>
              <w:t>2007</w:t>
            </w:r>
          </w:p>
        </w:tc>
        <w:tc>
          <w:tcPr>
            <w:tcW w:w="28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2006</w:t>
            </w:r>
          </w:p>
        </w:tc>
        <w:tc>
          <w:tcPr>
            <w:tcW w:w="36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ind w:right="51"/>
              <w:spacing w:after="0"/>
              <w:rPr>
                <w:sz w:val="20"/>
                <w:szCs w:val="20"/>
                <w:color w:val="auto"/>
              </w:rPr>
            </w:pPr>
            <w:r>
              <w:rPr>
                <w:rFonts w:ascii="Arial" w:cs="Arial" w:eastAsia="Arial" w:hAnsi="Arial"/>
                <w:sz w:val="13"/>
                <w:szCs w:val="13"/>
                <w:color w:val="auto"/>
              </w:rPr>
              <w:t>2008</w:t>
            </w:r>
          </w:p>
        </w:tc>
        <w:tc>
          <w:tcPr>
            <w:tcW w:w="3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ind w:right="50"/>
              <w:spacing w:after="0"/>
              <w:rPr>
                <w:sz w:val="20"/>
                <w:szCs w:val="20"/>
                <w:color w:val="auto"/>
              </w:rPr>
            </w:pPr>
            <w:r>
              <w:rPr>
                <w:rFonts w:ascii="Arial" w:cs="Arial" w:eastAsia="Arial" w:hAnsi="Arial"/>
                <w:sz w:val="13"/>
                <w:szCs w:val="13"/>
                <w:color w:val="auto"/>
              </w:rPr>
              <w:t>2007</w:t>
            </w:r>
          </w:p>
        </w:tc>
        <w:tc>
          <w:tcPr>
            <w:tcW w:w="3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130"/>
              <w:spacing w:after="0"/>
              <w:rPr>
                <w:sz w:val="20"/>
                <w:szCs w:val="20"/>
                <w:color w:val="auto"/>
              </w:rPr>
            </w:pPr>
            <w:r>
              <w:rPr>
                <w:rFonts w:ascii="Arial" w:cs="Arial" w:eastAsia="Arial" w:hAnsi="Arial"/>
                <w:sz w:val="13"/>
                <w:szCs w:val="13"/>
                <w:color w:val="auto"/>
              </w:rPr>
              <w:t>2006</w:t>
            </w:r>
          </w:p>
        </w:tc>
      </w:tr>
      <w:tr>
        <w:trPr>
          <w:trHeight w:val="207"/>
        </w:trPr>
        <w:tc>
          <w:tcPr>
            <w:tcW w:w="2140" w:type="dxa"/>
            <w:vAlign w:val="bottom"/>
          </w:tcPr>
          <w:p>
            <w:pPr>
              <w:ind w:left="20"/>
              <w:spacing w:after="0"/>
              <w:rPr>
                <w:sz w:val="20"/>
                <w:szCs w:val="20"/>
                <w:color w:val="auto"/>
              </w:rPr>
            </w:pPr>
            <w:r>
              <w:rPr>
                <w:rFonts w:ascii="Arial" w:cs="Arial" w:eastAsia="Arial" w:hAnsi="Arial"/>
                <w:sz w:val="14"/>
                <w:szCs w:val="14"/>
                <w:color w:val="auto"/>
              </w:rPr>
              <w:t>Sempra Energy Consolidated</w:t>
            </w:r>
          </w:p>
        </w:tc>
        <w:tc>
          <w:tcPr>
            <w:tcW w:w="4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520" w:type="dxa"/>
            <w:vAlign w:val="bottom"/>
          </w:tcPr>
          <w:p>
            <w:pPr>
              <w:jc w:val="right"/>
              <w:ind w:right="51"/>
              <w:spacing w:after="0"/>
              <w:rPr>
                <w:sz w:val="20"/>
                <w:szCs w:val="20"/>
                <w:color w:val="auto"/>
              </w:rPr>
            </w:pPr>
            <w:r>
              <w:rPr>
                <w:rFonts w:ascii="Arial" w:cs="Arial" w:eastAsia="Arial" w:hAnsi="Arial"/>
                <w:sz w:val="14"/>
                <w:szCs w:val="14"/>
                <w:color w:val="auto"/>
              </w:rPr>
              <w:t>65</w:t>
            </w:r>
          </w:p>
        </w:tc>
        <w:tc>
          <w:tcPr>
            <w:tcW w:w="3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580" w:type="dxa"/>
            <w:vAlign w:val="bottom"/>
          </w:tcPr>
          <w:p>
            <w:pPr>
              <w:jc w:val="right"/>
              <w:ind w:right="90"/>
              <w:spacing w:after="0"/>
              <w:rPr>
                <w:sz w:val="20"/>
                <w:szCs w:val="20"/>
                <w:color w:val="auto"/>
              </w:rPr>
            </w:pPr>
            <w:r>
              <w:rPr>
                <w:rFonts w:ascii="Arial" w:cs="Arial" w:eastAsia="Arial" w:hAnsi="Arial"/>
                <w:sz w:val="14"/>
                <w:szCs w:val="14"/>
                <w:color w:val="auto"/>
              </w:rPr>
              <w:t>35</w:t>
            </w:r>
          </w:p>
        </w:tc>
        <w:tc>
          <w:tcPr>
            <w:tcW w:w="2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420" w:type="dxa"/>
            <w:vAlign w:val="bottom"/>
          </w:tcPr>
          <w:p>
            <w:pPr>
              <w:jc w:val="right"/>
              <w:spacing w:after="0"/>
              <w:rPr>
                <w:sz w:val="20"/>
                <w:szCs w:val="20"/>
                <w:color w:val="auto"/>
              </w:rPr>
            </w:pPr>
            <w:r>
              <w:rPr>
                <w:rFonts w:ascii="Arial" w:cs="Arial" w:eastAsia="Arial" w:hAnsi="Arial"/>
                <w:sz w:val="14"/>
                <w:szCs w:val="14"/>
                <w:color w:val="auto"/>
              </w:rPr>
              <w:t>35</w:t>
            </w: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520" w:type="dxa"/>
            <w:vAlign w:val="bottom"/>
          </w:tcPr>
          <w:p>
            <w:pPr>
              <w:jc w:val="right"/>
              <w:ind w:right="51"/>
              <w:spacing w:after="0"/>
              <w:rPr>
                <w:sz w:val="20"/>
                <w:szCs w:val="20"/>
                <w:color w:val="auto"/>
              </w:rPr>
            </w:pPr>
            <w:r>
              <w:rPr>
                <w:rFonts w:ascii="Arial" w:cs="Arial" w:eastAsia="Arial" w:hAnsi="Arial"/>
                <w:sz w:val="14"/>
                <w:szCs w:val="14"/>
                <w:color w:val="auto"/>
              </w:rPr>
              <w:t>40</w:t>
            </w:r>
          </w:p>
        </w:tc>
        <w:tc>
          <w:tcPr>
            <w:tcW w:w="320" w:type="dxa"/>
            <w:vAlign w:val="bottom"/>
          </w:tcPr>
          <w:p>
            <w:pPr>
              <w:jc w:val="right"/>
              <w:ind w:right="52"/>
              <w:spacing w:after="0"/>
              <w:rPr>
                <w:sz w:val="20"/>
                <w:szCs w:val="20"/>
                <w:color w:val="auto"/>
              </w:rPr>
            </w:pPr>
            <w:r>
              <w:rPr>
                <w:rFonts w:ascii="Arial" w:cs="Arial" w:eastAsia="Arial" w:hAnsi="Arial"/>
                <w:sz w:val="14"/>
                <w:szCs w:val="14"/>
                <w:color w:val="auto"/>
              </w:rPr>
              <w:t>$</w:t>
            </w:r>
          </w:p>
        </w:tc>
        <w:tc>
          <w:tcPr>
            <w:tcW w:w="540" w:type="dxa"/>
            <w:vAlign w:val="bottom"/>
          </w:tcPr>
          <w:p>
            <w:pPr>
              <w:jc w:val="right"/>
              <w:ind w:right="50"/>
              <w:spacing w:after="0"/>
              <w:rPr>
                <w:sz w:val="20"/>
                <w:szCs w:val="20"/>
                <w:color w:val="auto"/>
              </w:rPr>
            </w:pPr>
            <w:r>
              <w:rPr>
                <w:rFonts w:ascii="Arial" w:cs="Arial" w:eastAsia="Arial" w:hAnsi="Arial"/>
                <w:sz w:val="14"/>
                <w:szCs w:val="14"/>
                <w:color w:val="auto"/>
              </w:rPr>
              <w:t>45</w:t>
            </w:r>
          </w:p>
        </w:tc>
        <w:tc>
          <w:tcPr>
            <w:tcW w:w="3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130"/>
              <w:spacing w:after="0"/>
              <w:rPr>
                <w:sz w:val="20"/>
                <w:szCs w:val="20"/>
                <w:color w:val="auto"/>
              </w:rPr>
            </w:pPr>
            <w:r>
              <w:rPr>
                <w:rFonts w:ascii="Arial" w:cs="Arial" w:eastAsia="Arial" w:hAnsi="Arial"/>
                <w:sz w:val="14"/>
                <w:szCs w:val="14"/>
                <w:color w:val="auto"/>
              </w:rPr>
              <w:t>32</w:t>
            </w:r>
          </w:p>
        </w:tc>
      </w:tr>
      <w:tr>
        <w:trPr>
          <w:trHeight w:val="216"/>
        </w:trPr>
        <w:tc>
          <w:tcPr>
            <w:tcW w:w="2140" w:type="dxa"/>
            <w:vAlign w:val="bottom"/>
          </w:tcPr>
          <w:p>
            <w:pPr>
              <w:ind w:left="20"/>
              <w:spacing w:after="0"/>
              <w:rPr>
                <w:sz w:val="20"/>
                <w:szCs w:val="20"/>
                <w:color w:val="auto"/>
              </w:rPr>
            </w:pPr>
            <w:r>
              <w:rPr>
                <w:rFonts w:ascii="Arial" w:cs="Arial" w:eastAsia="Arial" w:hAnsi="Arial"/>
                <w:sz w:val="14"/>
                <w:szCs w:val="14"/>
                <w:color w:val="auto"/>
              </w:rPr>
              <w:t>SDG&amp;E</w:t>
            </w:r>
          </w:p>
        </w:tc>
        <w:tc>
          <w:tcPr>
            <w:tcW w:w="440" w:type="dxa"/>
            <w:vAlign w:val="bottom"/>
          </w:tcPr>
          <w:p>
            <w:pPr>
              <w:spacing w:after="0"/>
              <w:rPr>
                <w:sz w:val="18"/>
                <w:szCs w:val="18"/>
                <w:color w:val="auto"/>
              </w:rPr>
            </w:pPr>
          </w:p>
        </w:tc>
        <w:tc>
          <w:tcPr>
            <w:tcW w:w="520" w:type="dxa"/>
            <w:vAlign w:val="bottom"/>
          </w:tcPr>
          <w:p>
            <w:pPr>
              <w:jc w:val="right"/>
              <w:ind w:right="51"/>
              <w:spacing w:after="0"/>
              <w:rPr>
                <w:sz w:val="20"/>
                <w:szCs w:val="20"/>
                <w:color w:val="auto"/>
              </w:rPr>
            </w:pPr>
            <w:r>
              <w:rPr>
                <w:rFonts w:ascii="Arial" w:cs="Arial" w:eastAsia="Arial" w:hAnsi="Arial"/>
                <w:sz w:val="14"/>
                <w:szCs w:val="14"/>
                <w:color w:val="auto"/>
              </w:rPr>
              <w:t>38</w:t>
            </w:r>
          </w:p>
        </w:tc>
        <w:tc>
          <w:tcPr>
            <w:tcW w:w="320" w:type="dxa"/>
            <w:vAlign w:val="bottom"/>
          </w:tcPr>
          <w:p>
            <w:pPr>
              <w:spacing w:after="0"/>
              <w:rPr>
                <w:sz w:val="18"/>
                <w:szCs w:val="18"/>
                <w:color w:val="auto"/>
              </w:rPr>
            </w:pPr>
          </w:p>
        </w:tc>
        <w:tc>
          <w:tcPr>
            <w:tcW w:w="580" w:type="dxa"/>
            <w:vAlign w:val="bottom"/>
          </w:tcPr>
          <w:p>
            <w:pPr>
              <w:jc w:val="right"/>
              <w:ind w:right="90"/>
              <w:spacing w:after="0"/>
              <w:rPr>
                <w:sz w:val="20"/>
                <w:szCs w:val="20"/>
                <w:color w:val="auto"/>
              </w:rPr>
            </w:pPr>
            <w:r>
              <w:rPr>
                <w:rFonts w:ascii="Arial" w:cs="Arial" w:eastAsia="Arial" w:hAnsi="Arial"/>
                <w:sz w:val="14"/>
                <w:szCs w:val="14"/>
                <w:color w:val="auto"/>
              </w:rPr>
              <w:t>27</w:t>
            </w:r>
          </w:p>
        </w:tc>
        <w:tc>
          <w:tcPr>
            <w:tcW w:w="2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30</w:t>
            </w:r>
          </w:p>
        </w:tc>
        <w:tc>
          <w:tcPr>
            <w:tcW w:w="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20" w:type="dxa"/>
            <w:vAlign w:val="bottom"/>
          </w:tcPr>
          <w:p>
            <w:pPr>
              <w:jc w:val="right"/>
              <w:ind w:right="51"/>
              <w:spacing w:after="0"/>
              <w:rPr>
                <w:sz w:val="20"/>
                <w:szCs w:val="20"/>
                <w:color w:val="auto"/>
              </w:rPr>
            </w:pPr>
            <w:r>
              <w:rPr>
                <w:rFonts w:ascii="Arial" w:cs="Arial" w:eastAsia="Arial" w:hAnsi="Arial"/>
                <w:sz w:val="14"/>
                <w:szCs w:val="14"/>
                <w:color w:val="auto"/>
              </w:rPr>
              <w:t>16</w:t>
            </w:r>
          </w:p>
        </w:tc>
        <w:tc>
          <w:tcPr>
            <w:tcW w:w="320" w:type="dxa"/>
            <w:vAlign w:val="bottom"/>
          </w:tcPr>
          <w:p>
            <w:pPr>
              <w:spacing w:after="0"/>
              <w:rPr>
                <w:sz w:val="18"/>
                <w:szCs w:val="18"/>
                <w:color w:val="auto"/>
              </w:rPr>
            </w:pPr>
          </w:p>
        </w:tc>
        <w:tc>
          <w:tcPr>
            <w:tcW w:w="540" w:type="dxa"/>
            <w:vAlign w:val="bottom"/>
          </w:tcPr>
          <w:p>
            <w:pPr>
              <w:jc w:val="right"/>
              <w:ind w:right="50"/>
              <w:spacing w:after="0"/>
              <w:rPr>
                <w:sz w:val="20"/>
                <w:szCs w:val="20"/>
                <w:color w:val="auto"/>
              </w:rPr>
            </w:pPr>
            <w:r>
              <w:rPr>
                <w:rFonts w:ascii="Arial" w:cs="Arial" w:eastAsia="Arial" w:hAnsi="Arial"/>
                <w:sz w:val="14"/>
                <w:szCs w:val="14"/>
                <w:color w:val="auto"/>
              </w:rPr>
              <w:t>15</w:t>
            </w:r>
          </w:p>
        </w:tc>
        <w:tc>
          <w:tcPr>
            <w:tcW w:w="320" w:type="dxa"/>
            <w:vAlign w:val="bottom"/>
          </w:tcPr>
          <w:p>
            <w:pPr>
              <w:spacing w:after="0"/>
              <w:rPr>
                <w:sz w:val="18"/>
                <w:szCs w:val="18"/>
                <w:color w:val="auto"/>
              </w:rPr>
            </w:pPr>
          </w:p>
        </w:tc>
        <w:tc>
          <w:tcPr>
            <w:tcW w:w="620" w:type="dxa"/>
            <w:vAlign w:val="bottom"/>
          </w:tcPr>
          <w:p>
            <w:pPr>
              <w:jc w:val="right"/>
              <w:ind w:right="130"/>
              <w:spacing w:after="0"/>
              <w:rPr>
                <w:sz w:val="20"/>
                <w:szCs w:val="20"/>
                <w:color w:val="auto"/>
              </w:rPr>
            </w:pPr>
            <w:r>
              <w:rPr>
                <w:rFonts w:ascii="Arial" w:cs="Arial" w:eastAsia="Arial" w:hAnsi="Arial"/>
                <w:sz w:val="14"/>
                <w:szCs w:val="14"/>
                <w:color w:val="auto"/>
              </w:rPr>
              <w:t>12</w:t>
            </w:r>
          </w:p>
        </w:tc>
      </w:tr>
      <w:tr>
        <w:trPr>
          <w:trHeight w:val="250"/>
        </w:trPr>
        <w:tc>
          <w:tcPr>
            <w:tcW w:w="2140" w:type="dxa"/>
            <w:vAlign w:val="bottom"/>
            <w:tcBorders>
              <w:bottom w:val="single" w:sz="8" w:color="DFDFDF"/>
            </w:tcBorders>
          </w:tcPr>
          <w:p>
            <w:pPr>
              <w:ind w:left="20"/>
              <w:spacing w:after="0"/>
              <w:rPr>
                <w:sz w:val="20"/>
                <w:szCs w:val="20"/>
                <w:color w:val="auto"/>
              </w:rPr>
            </w:pPr>
            <w:r>
              <w:rPr>
                <w:rFonts w:ascii="Arial" w:cs="Arial" w:eastAsia="Arial" w:hAnsi="Arial"/>
                <w:sz w:val="14"/>
                <w:szCs w:val="14"/>
                <w:color w:val="auto"/>
              </w:rPr>
              <w:t>PE and SoCalGas</w:t>
            </w:r>
          </w:p>
        </w:tc>
        <w:tc>
          <w:tcPr>
            <w:tcW w:w="440" w:type="dxa"/>
            <w:vAlign w:val="bottom"/>
            <w:tcBorders>
              <w:bottom w:val="single" w:sz="8" w:color="DFDFDF"/>
            </w:tcBorders>
          </w:tcPr>
          <w:p>
            <w:pPr>
              <w:spacing w:after="0"/>
              <w:rPr>
                <w:sz w:val="21"/>
                <w:szCs w:val="21"/>
                <w:color w:val="auto"/>
              </w:rPr>
            </w:pPr>
          </w:p>
        </w:tc>
        <w:tc>
          <w:tcPr>
            <w:tcW w:w="520" w:type="dxa"/>
            <w:vAlign w:val="bottom"/>
            <w:tcBorders>
              <w:bottom w:val="single" w:sz="8" w:color="DFDFDF"/>
            </w:tcBorders>
          </w:tcPr>
          <w:p>
            <w:pPr>
              <w:jc w:val="right"/>
              <w:ind w:right="51"/>
              <w:spacing w:after="0"/>
              <w:rPr>
                <w:sz w:val="20"/>
                <w:szCs w:val="20"/>
                <w:color w:val="auto"/>
              </w:rPr>
            </w:pPr>
            <w:r>
              <w:rPr>
                <w:rFonts w:ascii="Arial" w:cs="Arial" w:eastAsia="Arial" w:hAnsi="Arial"/>
                <w:sz w:val="14"/>
                <w:szCs w:val="14"/>
                <w:color w:val="auto"/>
              </w:rPr>
              <w:t>1</w:t>
            </w:r>
          </w:p>
        </w:tc>
        <w:tc>
          <w:tcPr>
            <w:tcW w:w="320" w:type="dxa"/>
            <w:vAlign w:val="bottom"/>
            <w:tcBorders>
              <w:bottom w:val="single" w:sz="8" w:color="DFDFDF"/>
            </w:tcBorders>
          </w:tcPr>
          <w:p>
            <w:pPr>
              <w:spacing w:after="0"/>
              <w:rPr>
                <w:sz w:val="21"/>
                <w:szCs w:val="21"/>
                <w:color w:val="auto"/>
              </w:rPr>
            </w:pPr>
          </w:p>
        </w:tc>
        <w:tc>
          <w:tcPr>
            <w:tcW w:w="580" w:type="dxa"/>
            <w:vAlign w:val="bottom"/>
            <w:tcBorders>
              <w:bottom w:val="single" w:sz="8" w:color="DFDFDF"/>
            </w:tcBorders>
          </w:tcPr>
          <w:p>
            <w:pPr>
              <w:jc w:val="right"/>
              <w:ind w:right="90"/>
              <w:spacing w:after="0"/>
              <w:rPr>
                <w:sz w:val="20"/>
                <w:szCs w:val="20"/>
                <w:color w:val="auto"/>
              </w:rPr>
            </w:pPr>
            <w:r>
              <w:rPr>
                <w:rFonts w:ascii="Arial" w:cs="Arial" w:eastAsia="Arial" w:hAnsi="Arial"/>
                <w:sz w:val="14"/>
                <w:szCs w:val="14"/>
                <w:color w:val="auto"/>
              </w:rPr>
              <w:t>1</w:t>
            </w:r>
          </w:p>
        </w:tc>
        <w:tc>
          <w:tcPr>
            <w:tcW w:w="280" w:type="dxa"/>
            <w:vAlign w:val="bottom"/>
            <w:tcBorders>
              <w:bottom w:val="single" w:sz="8" w:color="DFDFDF"/>
            </w:tcBorders>
          </w:tcPr>
          <w:p>
            <w:pPr>
              <w:spacing w:after="0"/>
              <w:rPr>
                <w:sz w:val="21"/>
                <w:szCs w:val="21"/>
                <w:color w:val="auto"/>
              </w:rPr>
            </w:pPr>
          </w:p>
        </w:tc>
        <w:tc>
          <w:tcPr>
            <w:tcW w:w="420" w:type="dxa"/>
            <w:vAlign w:val="bottom"/>
            <w:tcBorders>
              <w:bottom w:val="single" w:sz="8" w:color="DFDFDF"/>
            </w:tcBorders>
          </w:tcPr>
          <w:p>
            <w:pPr>
              <w:jc w:val="right"/>
              <w:spacing w:after="0"/>
              <w:rPr>
                <w:sz w:val="20"/>
                <w:szCs w:val="20"/>
                <w:color w:val="auto"/>
              </w:rPr>
            </w:pPr>
            <w:r>
              <w:rPr>
                <w:rFonts w:ascii="Arial" w:cs="Arial" w:eastAsia="Arial" w:hAnsi="Arial"/>
                <w:sz w:val="14"/>
                <w:szCs w:val="14"/>
                <w:color w:val="auto"/>
              </w:rPr>
              <w:t>1</w:t>
            </w:r>
          </w:p>
        </w:tc>
        <w:tc>
          <w:tcPr>
            <w:tcW w:w="360" w:type="dxa"/>
            <w:vAlign w:val="bottom"/>
            <w:tcBorders>
              <w:bottom w:val="single" w:sz="8" w:color="DFDFDF"/>
            </w:tcBorders>
          </w:tcPr>
          <w:p>
            <w:pPr>
              <w:spacing w:after="0"/>
              <w:rPr>
                <w:sz w:val="21"/>
                <w:szCs w:val="21"/>
                <w:color w:val="auto"/>
              </w:rPr>
            </w:pPr>
          </w:p>
        </w:tc>
        <w:tc>
          <w:tcPr>
            <w:tcW w:w="440" w:type="dxa"/>
            <w:vAlign w:val="bottom"/>
            <w:tcBorders>
              <w:bottom w:val="single" w:sz="8" w:color="DFDFDF"/>
            </w:tcBorders>
          </w:tcPr>
          <w:p>
            <w:pPr>
              <w:spacing w:after="0"/>
              <w:rPr>
                <w:sz w:val="21"/>
                <w:szCs w:val="21"/>
                <w:color w:val="auto"/>
              </w:rPr>
            </w:pPr>
          </w:p>
        </w:tc>
        <w:tc>
          <w:tcPr>
            <w:tcW w:w="520" w:type="dxa"/>
            <w:vAlign w:val="bottom"/>
            <w:tcBorders>
              <w:bottom w:val="single" w:sz="8" w:color="DFDFDF"/>
            </w:tcBorders>
          </w:tcPr>
          <w:p>
            <w:pPr>
              <w:jc w:val="right"/>
              <w:ind w:right="51"/>
              <w:spacing w:after="0"/>
              <w:rPr>
                <w:sz w:val="20"/>
                <w:szCs w:val="20"/>
                <w:color w:val="auto"/>
              </w:rPr>
            </w:pPr>
            <w:r>
              <w:rPr>
                <w:rFonts w:ascii="Arial" w:cs="Arial" w:eastAsia="Arial" w:hAnsi="Arial"/>
                <w:sz w:val="14"/>
                <w:szCs w:val="14"/>
                <w:color w:val="auto"/>
              </w:rPr>
              <w:t>22</w:t>
            </w:r>
          </w:p>
        </w:tc>
        <w:tc>
          <w:tcPr>
            <w:tcW w:w="320" w:type="dxa"/>
            <w:vAlign w:val="bottom"/>
            <w:tcBorders>
              <w:bottom w:val="single" w:sz="8" w:color="DFDFDF"/>
            </w:tcBorders>
          </w:tcPr>
          <w:p>
            <w:pPr>
              <w:spacing w:after="0"/>
              <w:rPr>
                <w:sz w:val="21"/>
                <w:szCs w:val="21"/>
                <w:color w:val="auto"/>
              </w:rPr>
            </w:pPr>
          </w:p>
        </w:tc>
        <w:tc>
          <w:tcPr>
            <w:tcW w:w="540" w:type="dxa"/>
            <w:vAlign w:val="bottom"/>
            <w:tcBorders>
              <w:bottom w:val="single" w:sz="8" w:color="DFDFDF"/>
            </w:tcBorders>
          </w:tcPr>
          <w:p>
            <w:pPr>
              <w:jc w:val="right"/>
              <w:ind w:right="50"/>
              <w:spacing w:after="0"/>
              <w:rPr>
                <w:sz w:val="20"/>
                <w:szCs w:val="20"/>
                <w:color w:val="auto"/>
              </w:rPr>
            </w:pPr>
            <w:r>
              <w:rPr>
                <w:rFonts w:ascii="Arial" w:cs="Arial" w:eastAsia="Arial" w:hAnsi="Arial"/>
                <w:sz w:val="14"/>
                <w:szCs w:val="14"/>
                <w:color w:val="auto"/>
              </w:rPr>
              <w:t>28</w:t>
            </w:r>
          </w:p>
        </w:tc>
        <w:tc>
          <w:tcPr>
            <w:tcW w:w="320" w:type="dxa"/>
            <w:vAlign w:val="bottom"/>
            <w:tcBorders>
              <w:bottom w:val="single" w:sz="8" w:color="DFDFDF"/>
            </w:tcBorders>
          </w:tcPr>
          <w:p>
            <w:pPr>
              <w:spacing w:after="0"/>
              <w:rPr>
                <w:sz w:val="21"/>
                <w:szCs w:val="21"/>
                <w:color w:val="auto"/>
              </w:rPr>
            </w:pPr>
          </w:p>
        </w:tc>
        <w:tc>
          <w:tcPr>
            <w:tcW w:w="620" w:type="dxa"/>
            <w:vAlign w:val="bottom"/>
            <w:tcBorders>
              <w:bottom w:val="single" w:sz="8" w:color="DFDFDF"/>
            </w:tcBorders>
          </w:tcPr>
          <w:p>
            <w:pPr>
              <w:jc w:val="right"/>
              <w:ind w:right="130"/>
              <w:spacing w:after="0"/>
              <w:rPr>
                <w:sz w:val="20"/>
                <w:szCs w:val="20"/>
                <w:color w:val="auto"/>
              </w:rPr>
            </w:pPr>
            <w:r>
              <w:rPr>
                <w:rFonts w:ascii="Arial" w:cs="Arial" w:eastAsia="Arial" w:hAnsi="Arial"/>
                <w:sz w:val="14"/>
                <w:szCs w:val="14"/>
                <w:color w:val="auto"/>
              </w:rPr>
              <w:t>19</w:t>
            </w:r>
          </w:p>
        </w:tc>
      </w:tr>
    </w:tbl>
    <w:p>
      <w:pPr>
        <w:spacing w:after="0" w:line="345" w:lineRule="exact"/>
        <w:rPr>
          <w:sz w:val="20"/>
          <w:szCs w:val="20"/>
          <w:color w:val="auto"/>
        </w:rPr>
      </w:pPr>
    </w:p>
    <w:p>
      <w:pPr>
        <w:spacing w:after="0"/>
        <w:rPr>
          <w:sz w:val="20"/>
          <w:szCs w:val="20"/>
          <w:color w:val="auto"/>
        </w:rPr>
      </w:pPr>
      <w:r>
        <w:rPr>
          <w:rFonts w:ascii="Arial" w:cs="Arial" w:eastAsia="Arial" w:hAnsi="Arial"/>
          <w:sz w:val="18"/>
          <w:szCs w:val="18"/>
          <w:color w:val="auto"/>
        </w:rPr>
        <w:t>CASH FLOWS FROM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1111250</wp:posOffset>
            </wp:positionH>
            <wp:positionV relativeFrom="paragraph">
              <wp:posOffset>153035</wp:posOffset>
            </wp:positionV>
            <wp:extent cx="5041900" cy="28194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041900" cy="281940"/>
                    </a:xfrm>
                    <a:prstGeom prst="rect">
                      <a:avLst/>
                    </a:prstGeom>
                    <a:noFill/>
                  </pic:spPr>
                </pic:pic>
              </a:graphicData>
            </a:graphic>
          </wp:anchor>
        </w:drawing>
      </w:r>
    </w:p>
    <w:p>
      <w:pPr>
        <w:spacing w:after="0" w:line="252" w:lineRule="exact"/>
        <w:rPr>
          <w:sz w:val="20"/>
          <w:szCs w:val="20"/>
          <w:color w:val="auto"/>
        </w:rPr>
      </w:pPr>
    </w:p>
    <w:p>
      <w:pPr>
        <w:ind w:left="1760"/>
        <w:spacing w:after="0"/>
        <w:rPr>
          <w:sz w:val="20"/>
          <w:szCs w:val="20"/>
          <w:color w:val="auto"/>
        </w:rPr>
      </w:pPr>
      <w:r>
        <w:rPr>
          <w:rFonts w:ascii="Arial" w:cs="Arial" w:eastAsia="Arial" w:hAnsi="Arial"/>
          <w:sz w:val="14"/>
          <w:szCs w:val="14"/>
          <w:b w:val="1"/>
          <w:bCs w:val="1"/>
          <w:color w:val="auto"/>
        </w:rPr>
        <w:t>CASH USED IN INVESTING ACTIVITIES</w:t>
      </w:r>
    </w:p>
    <w:p>
      <w:pPr>
        <w:spacing w:after="0" w:line="76" w:lineRule="exact"/>
        <w:rPr>
          <w:sz w:val="20"/>
          <w:szCs w:val="20"/>
          <w:color w:val="auto"/>
        </w:rPr>
      </w:pPr>
    </w:p>
    <w:tbl>
      <w:tblPr>
        <w:tblLayout w:type="fixed"/>
        <w:tblInd w:w="1740" w:type="dxa"/>
        <w:tblCellMar>
          <w:top w:w="0" w:type="dxa"/>
          <w:left w:w="0" w:type="dxa"/>
          <w:bottom w:w="0" w:type="dxa"/>
          <w:right w:w="0" w:type="dxa"/>
        </w:tblCellMar>
      </w:tblPr>
      <w:tr>
        <w:trPr>
          <w:trHeight w:val="166"/>
        </w:trPr>
        <w:tc>
          <w:tcPr>
            <w:tcW w:w="1360" w:type="dxa"/>
            <w:vAlign w:val="bottom"/>
          </w:tcPr>
          <w:p>
            <w:pPr>
              <w:ind w:left="20"/>
              <w:spacing w:after="0"/>
              <w:rPr>
                <w:sz w:val="20"/>
                <w:szCs w:val="20"/>
                <w:color w:val="auto"/>
              </w:rPr>
            </w:pPr>
            <w:r>
              <w:rPr>
                <w:rFonts w:ascii="Arial" w:cs="Arial" w:eastAsia="Arial" w:hAnsi="Arial"/>
                <w:sz w:val="13"/>
                <w:szCs w:val="13"/>
                <w:i w:val="1"/>
                <w:iCs w:val="1"/>
                <w:color w:val="auto"/>
              </w:rPr>
              <w:t>(Dollars in millions)</w:t>
            </w:r>
          </w:p>
        </w:tc>
        <w:tc>
          <w:tcPr>
            <w:tcW w:w="1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221"/>
        </w:trPr>
        <w:tc>
          <w:tcPr>
            <w:tcW w:w="1360" w:type="dxa"/>
            <w:vAlign w:val="bottom"/>
            <w:tcBorders>
              <w:bottom w:val="single" w:sz="8" w:color="auto"/>
            </w:tcBorders>
          </w:tcPr>
          <w:p>
            <w:pPr>
              <w:spacing w:after="0"/>
              <w:rPr>
                <w:sz w:val="19"/>
                <w:szCs w:val="19"/>
                <w:color w:val="auto"/>
              </w:rPr>
            </w:pPr>
          </w:p>
        </w:tc>
        <w:tc>
          <w:tcPr>
            <w:tcW w:w="1100" w:type="dxa"/>
            <w:vAlign w:val="bottom"/>
            <w:tcBorders>
              <w:bottom w:val="single" w:sz="8" w:color="auto"/>
              <w:right w:val="single" w:sz="8" w:color="auto"/>
            </w:tcBorders>
          </w:tcPr>
          <w:p>
            <w:pPr>
              <w:jc w:val="right"/>
              <w:ind w:right="270"/>
              <w:spacing w:after="0"/>
              <w:rPr>
                <w:sz w:val="20"/>
                <w:szCs w:val="20"/>
                <w:color w:val="auto"/>
              </w:rPr>
            </w:pPr>
            <w:r>
              <w:rPr>
                <w:rFonts w:ascii="Arial" w:cs="Arial" w:eastAsia="Arial" w:hAnsi="Arial"/>
                <w:sz w:val="13"/>
                <w:szCs w:val="13"/>
                <w:color w:val="auto"/>
              </w:rPr>
              <w:t>2008</w:t>
            </w:r>
          </w:p>
        </w:tc>
        <w:tc>
          <w:tcPr>
            <w:tcW w:w="4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2008 Change</w:t>
            </w:r>
          </w:p>
        </w:tc>
        <w:tc>
          <w:tcPr>
            <w:tcW w:w="520" w:type="dxa"/>
            <w:vAlign w:val="bottom"/>
            <w:tcBorders>
              <w:bottom w:val="single" w:sz="8" w:color="auto"/>
              <w:right w:val="single" w:sz="8" w:color="auto"/>
            </w:tcBorders>
          </w:tcPr>
          <w:p>
            <w:pPr>
              <w:spacing w:after="0"/>
              <w:rPr>
                <w:sz w:val="19"/>
                <w:szCs w:val="19"/>
                <w:color w:val="auto"/>
              </w:rPr>
            </w:pPr>
          </w:p>
        </w:tc>
        <w:tc>
          <w:tcPr>
            <w:tcW w:w="1000" w:type="dxa"/>
            <w:vAlign w:val="bottom"/>
            <w:tcBorders>
              <w:bottom w:val="single" w:sz="8" w:color="auto"/>
              <w:right w:val="single" w:sz="8" w:color="auto"/>
            </w:tcBorders>
          </w:tcPr>
          <w:p>
            <w:pPr>
              <w:jc w:val="right"/>
              <w:ind w:right="310"/>
              <w:spacing w:after="0"/>
              <w:rPr>
                <w:sz w:val="20"/>
                <w:szCs w:val="20"/>
                <w:color w:val="auto"/>
              </w:rPr>
            </w:pPr>
            <w:r>
              <w:rPr>
                <w:rFonts w:ascii="Arial" w:cs="Arial" w:eastAsia="Arial" w:hAnsi="Arial"/>
                <w:sz w:val="13"/>
                <w:szCs w:val="13"/>
                <w:color w:val="auto"/>
              </w:rPr>
              <w:t>2007</w:t>
            </w:r>
          </w:p>
        </w:tc>
        <w:tc>
          <w:tcPr>
            <w:tcW w:w="1640" w:type="dxa"/>
            <w:vAlign w:val="bottom"/>
            <w:tcBorders>
              <w:bottom w:val="single" w:sz="8" w:color="auto"/>
              <w:right w:val="single" w:sz="8" w:color="auto"/>
            </w:tcBorders>
            <w:gridSpan w:val="2"/>
          </w:tcPr>
          <w:p>
            <w:pPr>
              <w:jc w:val="right"/>
              <w:ind w:right="368"/>
              <w:spacing w:after="0"/>
              <w:rPr>
                <w:sz w:val="20"/>
                <w:szCs w:val="20"/>
                <w:color w:val="auto"/>
              </w:rPr>
            </w:pPr>
            <w:r>
              <w:rPr>
                <w:rFonts w:ascii="Arial" w:cs="Arial" w:eastAsia="Arial" w:hAnsi="Arial"/>
                <w:sz w:val="13"/>
                <w:szCs w:val="13"/>
                <w:color w:val="auto"/>
              </w:rPr>
              <w:t>2007 Change</w:t>
            </w:r>
          </w:p>
        </w:tc>
        <w:tc>
          <w:tcPr>
            <w:tcW w:w="2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370"/>
              <w:spacing w:after="0"/>
              <w:rPr>
                <w:sz w:val="20"/>
                <w:szCs w:val="20"/>
                <w:color w:val="auto"/>
              </w:rPr>
            </w:pPr>
            <w:r>
              <w:rPr>
                <w:rFonts w:ascii="Arial" w:cs="Arial" w:eastAsia="Arial" w:hAnsi="Arial"/>
                <w:sz w:val="13"/>
                <w:szCs w:val="13"/>
                <w:color w:val="auto"/>
              </w:rPr>
              <w:t>2006</w:t>
            </w:r>
          </w:p>
        </w:tc>
      </w:tr>
      <w:tr>
        <w:trPr>
          <w:trHeight w:val="179"/>
        </w:trPr>
        <w:tc>
          <w:tcPr>
            <w:tcW w:w="1360" w:type="dxa"/>
            <w:vAlign w:val="bottom"/>
          </w:tcPr>
          <w:p>
            <w:pPr>
              <w:ind w:left="20"/>
              <w:spacing w:after="0"/>
              <w:rPr>
                <w:sz w:val="20"/>
                <w:szCs w:val="20"/>
                <w:color w:val="auto"/>
              </w:rPr>
            </w:pPr>
            <w:r>
              <w:rPr>
                <w:rFonts w:ascii="Arial" w:cs="Arial" w:eastAsia="Arial" w:hAnsi="Arial"/>
                <w:sz w:val="14"/>
                <w:szCs w:val="14"/>
                <w:color w:val="auto"/>
              </w:rPr>
              <w:t>Sempra Energy</w:t>
            </w:r>
          </w:p>
        </w:tc>
        <w:tc>
          <w:tcPr>
            <w:tcW w:w="1100" w:type="dxa"/>
            <w:vAlign w:val="bottom"/>
            <w:tcBorders>
              <w:right w:val="single" w:sz="8" w:color="auto"/>
            </w:tcBorders>
          </w:tcPr>
          <w:p>
            <w:pPr>
              <w:spacing w:after="0"/>
              <w:rPr>
                <w:sz w:val="15"/>
                <w:szCs w:val="15"/>
                <w:color w:val="auto"/>
              </w:rPr>
            </w:pPr>
          </w:p>
        </w:tc>
        <w:tc>
          <w:tcPr>
            <w:tcW w:w="4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520" w:type="dxa"/>
            <w:vAlign w:val="bottom"/>
            <w:tcBorders>
              <w:right w:val="single" w:sz="8" w:color="auto"/>
            </w:tcBorders>
          </w:tcPr>
          <w:p>
            <w:pPr>
              <w:spacing w:after="0"/>
              <w:rPr>
                <w:sz w:val="15"/>
                <w:szCs w:val="15"/>
                <w:color w:val="auto"/>
              </w:rPr>
            </w:pPr>
          </w:p>
        </w:tc>
        <w:tc>
          <w:tcPr>
            <w:tcW w:w="1000" w:type="dxa"/>
            <w:vAlign w:val="bottom"/>
            <w:tcBorders>
              <w:right w:val="single" w:sz="8" w:color="auto"/>
            </w:tcBorders>
          </w:tcPr>
          <w:p>
            <w:pPr>
              <w:spacing w:after="0"/>
              <w:rPr>
                <w:sz w:val="15"/>
                <w:szCs w:val="15"/>
                <w:color w:val="auto"/>
              </w:rPr>
            </w:pPr>
          </w:p>
        </w:tc>
        <w:tc>
          <w:tcPr>
            <w:tcW w:w="980" w:type="dxa"/>
            <w:vAlign w:val="bottom"/>
          </w:tcPr>
          <w:p>
            <w:pPr>
              <w:spacing w:after="0"/>
              <w:rPr>
                <w:sz w:val="15"/>
                <w:szCs w:val="15"/>
                <w:color w:val="auto"/>
              </w:rPr>
            </w:pPr>
          </w:p>
        </w:tc>
        <w:tc>
          <w:tcPr>
            <w:tcW w:w="660" w:type="dxa"/>
            <w:vAlign w:val="bottom"/>
            <w:tcBorders>
              <w:right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72"/>
        </w:trPr>
        <w:tc>
          <w:tcPr>
            <w:tcW w:w="1360" w:type="dxa"/>
            <w:vAlign w:val="bottom"/>
          </w:tcPr>
          <w:p>
            <w:pPr>
              <w:ind w:left="140"/>
              <w:spacing w:after="0"/>
              <w:rPr>
                <w:sz w:val="20"/>
                <w:szCs w:val="20"/>
                <w:color w:val="auto"/>
              </w:rPr>
            </w:pPr>
            <w:r>
              <w:rPr>
                <w:rFonts w:ascii="Arial" w:cs="Arial" w:eastAsia="Arial" w:hAnsi="Arial"/>
                <w:sz w:val="14"/>
                <w:szCs w:val="14"/>
                <w:color w:val="auto"/>
              </w:rPr>
              <w:t>Consolidated</w:t>
            </w:r>
          </w:p>
        </w:tc>
        <w:tc>
          <w:tcPr>
            <w:tcW w:w="1100" w:type="dxa"/>
            <w:vAlign w:val="bottom"/>
            <w:tcBorders>
              <w:right w:val="single" w:sz="8" w:color="auto"/>
            </w:tcBorders>
          </w:tcPr>
          <w:p>
            <w:pPr>
              <w:jc w:val="right"/>
              <w:ind w:right="70"/>
              <w:spacing w:after="0"/>
              <w:rPr>
                <w:sz w:val="20"/>
                <w:szCs w:val="20"/>
                <w:color w:val="auto"/>
              </w:rPr>
            </w:pPr>
            <w:r>
              <w:rPr>
                <w:rFonts w:ascii="Arial" w:cs="Arial" w:eastAsia="Arial" w:hAnsi="Arial"/>
                <w:sz w:val="14"/>
                <w:szCs w:val="14"/>
                <w:color w:val="auto"/>
              </w:rPr>
              <w:t>$  (2,386 )</w:t>
            </w:r>
          </w:p>
        </w:tc>
        <w:tc>
          <w:tcPr>
            <w:tcW w:w="4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450"/>
              <w:spacing w:after="0"/>
              <w:rPr>
                <w:sz w:val="20"/>
                <w:szCs w:val="20"/>
                <w:color w:val="auto"/>
              </w:rPr>
            </w:pPr>
            <w:r>
              <w:rPr>
                <w:rFonts w:ascii="Arial" w:cs="Arial" w:eastAsia="Arial" w:hAnsi="Arial"/>
                <w:sz w:val="14"/>
                <w:szCs w:val="14"/>
                <w:color w:val="auto"/>
              </w:rPr>
              <w:t>313</w:t>
            </w:r>
          </w:p>
        </w:tc>
        <w:tc>
          <w:tcPr>
            <w:tcW w:w="520" w:type="dxa"/>
            <w:vAlign w:val="bottom"/>
            <w:tcBorders>
              <w:right w:val="single" w:sz="8" w:color="auto"/>
            </w:tcBorders>
          </w:tcPr>
          <w:p>
            <w:pPr>
              <w:jc w:val="right"/>
              <w:ind w:right="28"/>
              <w:spacing w:after="0"/>
              <w:rPr>
                <w:sz w:val="20"/>
                <w:szCs w:val="20"/>
                <w:color w:val="auto"/>
              </w:rPr>
            </w:pPr>
            <w:r>
              <w:rPr>
                <w:rFonts w:ascii="Arial" w:cs="Arial" w:eastAsia="Arial" w:hAnsi="Arial"/>
                <w:sz w:val="14"/>
                <w:szCs w:val="14"/>
                <w:color w:val="auto"/>
              </w:rPr>
              <w:t>15 %</w:t>
            </w:r>
          </w:p>
        </w:tc>
        <w:tc>
          <w:tcPr>
            <w:tcW w:w="1000" w:type="dxa"/>
            <w:vAlign w:val="bottom"/>
            <w:tcBorders>
              <w:right w:val="single" w:sz="8" w:color="auto"/>
            </w:tcBorders>
          </w:tcPr>
          <w:p>
            <w:pPr>
              <w:jc w:val="right"/>
              <w:ind w:right="70"/>
              <w:spacing w:after="0"/>
              <w:rPr>
                <w:sz w:val="20"/>
                <w:szCs w:val="20"/>
                <w:color w:val="auto"/>
              </w:rPr>
            </w:pPr>
            <w:r>
              <w:rPr>
                <w:rFonts w:ascii="Arial" w:cs="Arial" w:eastAsia="Arial" w:hAnsi="Arial"/>
                <w:sz w:val="14"/>
                <w:szCs w:val="14"/>
                <w:color w:val="auto"/>
              </w:rPr>
              <w:t>$   (2,073 )</w:t>
            </w:r>
          </w:p>
        </w:tc>
        <w:tc>
          <w:tcPr>
            <w:tcW w:w="980" w:type="dxa"/>
            <w:vAlign w:val="bottom"/>
          </w:tcPr>
          <w:p>
            <w:pPr>
              <w:jc w:val="right"/>
              <w:ind w:right="150"/>
              <w:spacing w:after="0"/>
              <w:rPr>
                <w:sz w:val="20"/>
                <w:szCs w:val="20"/>
                <w:color w:val="auto"/>
              </w:rPr>
            </w:pPr>
            <w:r>
              <w:rPr>
                <w:rFonts w:ascii="Arial" w:cs="Arial" w:eastAsia="Arial" w:hAnsi="Arial"/>
                <w:sz w:val="14"/>
                <w:szCs w:val="14"/>
                <w:color w:val="auto"/>
              </w:rPr>
              <w:t>$   1,207</w:t>
            </w:r>
          </w:p>
        </w:tc>
        <w:tc>
          <w:tcPr>
            <w:tcW w:w="660" w:type="dxa"/>
            <w:vAlign w:val="bottom"/>
            <w:tcBorders>
              <w:right w:val="single" w:sz="8" w:color="auto"/>
            </w:tcBorders>
          </w:tcPr>
          <w:p>
            <w:pPr>
              <w:jc w:val="right"/>
              <w:ind w:right="28"/>
              <w:spacing w:after="0"/>
              <w:rPr>
                <w:sz w:val="20"/>
                <w:szCs w:val="20"/>
                <w:color w:val="auto"/>
              </w:rPr>
            </w:pPr>
            <w:r>
              <w:rPr>
                <w:rFonts w:ascii="Arial" w:cs="Arial" w:eastAsia="Arial" w:hAnsi="Arial"/>
                <w:sz w:val="14"/>
                <w:szCs w:val="14"/>
                <w:color w:val="auto"/>
              </w:rPr>
              <w:t>139 %</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50"/>
              <w:spacing w:after="0"/>
              <w:rPr>
                <w:sz w:val="20"/>
                <w:szCs w:val="20"/>
                <w:color w:val="auto"/>
              </w:rPr>
            </w:pPr>
            <w:r>
              <w:rPr>
                <w:rFonts w:ascii="Arial" w:cs="Arial" w:eastAsia="Arial" w:hAnsi="Arial"/>
                <w:sz w:val="14"/>
                <w:szCs w:val="14"/>
                <w:color w:val="auto"/>
              </w:rPr>
              <w:t>(866 )</w:t>
            </w:r>
          </w:p>
        </w:tc>
      </w:tr>
      <w:tr>
        <w:trPr>
          <w:trHeight w:val="216"/>
        </w:trPr>
        <w:tc>
          <w:tcPr>
            <w:tcW w:w="1360" w:type="dxa"/>
            <w:vAlign w:val="bottom"/>
          </w:tcPr>
          <w:p>
            <w:pPr>
              <w:ind w:left="20"/>
              <w:spacing w:after="0"/>
              <w:rPr>
                <w:sz w:val="20"/>
                <w:szCs w:val="20"/>
                <w:color w:val="auto"/>
              </w:rPr>
            </w:pPr>
            <w:r>
              <w:rPr>
                <w:rFonts w:ascii="Arial" w:cs="Arial" w:eastAsia="Arial" w:hAnsi="Arial"/>
                <w:sz w:val="14"/>
                <w:szCs w:val="14"/>
                <w:color w:val="auto"/>
              </w:rPr>
              <w:t>SDG&amp;E</w:t>
            </w:r>
          </w:p>
        </w:tc>
        <w:tc>
          <w:tcPr>
            <w:tcW w:w="1100" w:type="dxa"/>
            <w:vAlign w:val="bottom"/>
            <w:tcBorders>
              <w:right w:val="single" w:sz="8" w:color="auto"/>
            </w:tcBorders>
          </w:tcPr>
          <w:p>
            <w:pPr>
              <w:jc w:val="right"/>
              <w:ind w:right="70"/>
              <w:spacing w:after="0"/>
              <w:rPr>
                <w:sz w:val="20"/>
                <w:szCs w:val="20"/>
                <w:color w:val="auto"/>
              </w:rPr>
            </w:pPr>
            <w:r>
              <w:rPr>
                <w:rFonts w:ascii="Arial" w:cs="Arial" w:eastAsia="Arial" w:hAnsi="Arial"/>
                <w:sz w:val="14"/>
                <w:szCs w:val="14"/>
                <w:color w:val="auto"/>
              </w:rPr>
              <w:t>(940 )</w:t>
            </w:r>
          </w:p>
        </w:tc>
        <w:tc>
          <w:tcPr>
            <w:tcW w:w="440" w:type="dxa"/>
            <w:vAlign w:val="bottom"/>
          </w:tcPr>
          <w:p>
            <w:pPr>
              <w:spacing w:after="0"/>
              <w:rPr>
                <w:sz w:val="18"/>
                <w:szCs w:val="18"/>
                <w:color w:val="auto"/>
              </w:rPr>
            </w:pPr>
          </w:p>
        </w:tc>
        <w:tc>
          <w:tcPr>
            <w:tcW w:w="940" w:type="dxa"/>
            <w:vAlign w:val="bottom"/>
          </w:tcPr>
          <w:p>
            <w:pPr>
              <w:jc w:val="right"/>
              <w:ind w:right="450"/>
              <w:spacing w:after="0"/>
              <w:rPr>
                <w:sz w:val="20"/>
                <w:szCs w:val="20"/>
                <w:color w:val="auto"/>
              </w:rPr>
            </w:pPr>
            <w:r>
              <w:rPr>
                <w:rFonts w:ascii="Arial" w:cs="Arial" w:eastAsia="Arial" w:hAnsi="Arial"/>
                <w:sz w:val="14"/>
                <w:szCs w:val="14"/>
                <w:color w:val="auto"/>
              </w:rPr>
              <w:t>233</w:t>
            </w:r>
          </w:p>
        </w:tc>
        <w:tc>
          <w:tcPr>
            <w:tcW w:w="520" w:type="dxa"/>
            <w:vAlign w:val="bottom"/>
            <w:tcBorders>
              <w:right w:val="single" w:sz="8" w:color="auto"/>
            </w:tcBorders>
          </w:tcPr>
          <w:p>
            <w:pPr>
              <w:jc w:val="right"/>
              <w:ind w:right="188"/>
              <w:spacing w:after="0"/>
              <w:rPr>
                <w:sz w:val="20"/>
                <w:szCs w:val="20"/>
                <w:color w:val="auto"/>
              </w:rPr>
            </w:pPr>
            <w:r>
              <w:rPr>
                <w:rFonts w:ascii="Arial" w:cs="Arial" w:eastAsia="Arial" w:hAnsi="Arial"/>
                <w:sz w:val="14"/>
                <w:szCs w:val="14"/>
                <w:color w:val="auto"/>
              </w:rPr>
              <w:t>33</w:t>
            </w:r>
          </w:p>
        </w:tc>
        <w:tc>
          <w:tcPr>
            <w:tcW w:w="1000" w:type="dxa"/>
            <w:vAlign w:val="bottom"/>
            <w:tcBorders>
              <w:right w:val="single" w:sz="8" w:color="auto"/>
            </w:tcBorders>
          </w:tcPr>
          <w:p>
            <w:pPr>
              <w:jc w:val="right"/>
              <w:ind w:right="70"/>
              <w:spacing w:after="0"/>
              <w:rPr>
                <w:sz w:val="20"/>
                <w:szCs w:val="20"/>
                <w:color w:val="auto"/>
              </w:rPr>
            </w:pPr>
            <w:r>
              <w:rPr>
                <w:rFonts w:ascii="Arial" w:cs="Arial" w:eastAsia="Arial" w:hAnsi="Arial"/>
                <w:sz w:val="14"/>
                <w:szCs w:val="14"/>
                <w:color w:val="auto"/>
              </w:rPr>
              <w:t>(707 )</w:t>
            </w:r>
          </w:p>
        </w:tc>
        <w:tc>
          <w:tcPr>
            <w:tcW w:w="980" w:type="dxa"/>
            <w:vAlign w:val="bottom"/>
          </w:tcPr>
          <w:p>
            <w:pPr>
              <w:jc w:val="right"/>
              <w:ind w:right="70"/>
              <w:spacing w:after="0"/>
              <w:rPr>
                <w:sz w:val="20"/>
                <w:szCs w:val="20"/>
                <w:color w:val="auto"/>
              </w:rPr>
            </w:pPr>
            <w:r>
              <w:rPr>
                <w:rFonts w:ascii="Arial" w:cs="Arial" w:eastAsia="Arial" w:hAnsi="Arial"/>
                <w:sz w:val="14"/>
                <w:szCs w:val="14"/>
                <w:color w:val="auto"/>
              </w:rPr>
              <w:t>(360 )</w:t>
            </w:r>
          </w:p>
        </w:tc>
        <w:tc>
          <w:tcPr>
            <w:tcW w:w="660" w:type="dxa"/>
            <w:vAlign w:val="bottom"/>
            <w:tcBorders>
              <w:right w:val="single" w:sz="8" w:color="auto"/>
            </w:tcBorders>
          </w:tcPr>
          <w:p>
            <w:pPr>
              <w:jc w:val="right"/>
              <w:ind w:right="108"/>
              <w:spacing w:after="0"/>
              <w:rPr>
                <w:sz w:val="20"/>
                <w:szCs w:val="20"/>
                <w:color w:val="auto"/>
              </w:rPr>
            </w:pPr>
            <w:r>
              <w:rPr>
                <w:rFonts w:ascii="Arial" w:cs="Arial" w:eastAsia="Arial" w:hAnsi="Arial"/>
                <w:sz w:val="14"/>
                <w:szCs w:val="14"/>
                <w:color w:val="auto"/>
              </w:rPr>
              <w:t>(34 )</w:t>
            </w:r>
          </w:p>
        </w:tc>
        <w:tc>
          <w:tcPr>
            <w:tcW w:w="200" w:type="dxa"/>
            <w:vAlign w:val="bottom"/>
          </w:tcPr>
          <w:p>
            <w:pPr>
              <w:spacing w:after="0"/>
              <w:rPr>
                <w:sz w:val="18"/>
                <w:szCs w:val="18"/>
                <w:color w:val="auto"/>
              </w:rPr>
            </w:pPr>
          </w:p>
        </w:tc>
        <w:tc>
          <w:tcPr>
            <w:tcW w:w="760" w:type="dxa"/>
            <w:vAlign w:val="bottom"/>
          </w:tcPr>
          <w:p>
            <w:pPr>
              <w:jc w:val="right"/>
              <w:ind w:right="50"/>
              <w:spacing w:after="0"/>
              <w:rPr>
                <w:sz w:val="20"/>
                <w:szCs w:val="20"/>
                <w:color w:val="auto"/>
              </w:rPr>
            </w:pPr>
            <w:r>
              <w:rPr>
                <w:rFonts w:ascii="Arial" w:cs="Arial" w:eastAsia="Arial" w:hAnsi="Arial"/>
                <w:sz w:val="14"/>
                <w:szCs w:val="14"/>
                <w:color w:val="auto"/>
              </w:rPr>
              <w:t>(1,067 )</w:t>
            </w:r>
          </w:p>
        </w:tc>
      </w:tr>
      <w:tr>
        <w:trPr>
          <w:trHeight w:val="222"/>
        </w:trPr>
        <w:tc>
          <w:tcPr>
            <w:tcW w:w="1360" w:type="dxa"/>
            <w:vAlign w:val="bottom"/>
          </w:tcPr>
          <w:p>
            <w:pPr>
              <w:ind w:left="20"/>
              <w:spacing w:after="0"/>
              <w:rPr>
                <w:sz w:val="20"/>
                <w:szCs w:val="20"/>
                <w:color w:val="auto"/>
              </w:rPr>
            </w:pPr>
            <w:r>
              <w:rPr>
                <w:rFonts w:ascii="Arial" w:cs="Arial" w:eastAsia="Arial" w:hAnsi="Arial"/>
                <w:sz w:val="14"/>
                <w:szCs w:val="14"/>
                <w:color w:val="auto"/>
              </w:rPr>
              <w:t>PE</w:t>
            </w:r>
          </w:p>
        </w:tc>
        <w:tc>
          <w:tcPr>
            <w:tcW w:w="1100" w:type="dxa"/>
            <w:vAlign w:val="bottom"/>
            <w:tcBorders>
              <w:right w:val="single" w:sz="8" w:color="auto"/>
            </w:tcBorders>
          </w:tcPr>
          <w:p>
            <w:pPr>
              <w:jc w:val="right"/>
              <w:ind w:right="70"/>
              <w:spacing w:after="0"/>
              <w:rPr>
                <w:sz w:val="20"/>
                <w:szCs w:val="20"/>
                <w:color w:val="auto"/>
              </w:rPr>
            </w:pPr>
            <w:r>
              <w:rPr>
                <w:rFonts w:ascii="Arial" w:cs="Arial" w:eastAsia="Arial" w:hAnsi="Arial"/>
                <w:sz w:val="14"/>
                <w:szCs w:val="14"/>
                <w:color w:val="auto"/>
              </w:rPr>
              <w:t>(319 )</w:t>
            </w:r>
          </w:p>
        </w:tc>
        <w:tc>
          <w:tcPr>
            <w:tcW w:w="440" w:type="dxa"/>
            <w:vAlign w:val="bottom"/>
          </w:tcPr>
          <w:p>
            <w:pPr>
              <w:spacing w:after="0"/>
              <w:rPr>
                <w:sz w:val="19"/>
                <w:szCs w:val="19"/>
                <w:color w:val="auto"/>
              </w:rPr>
            </w:pPr>
          </w:p>
        </w:tc>
        <w:tc>
          <w:tcPr>
            <w:tcW w:w="940" w:type="dxa"/>
            <w:vAlign w:val="bottom"/>
          </w:tcPr>
          <w:p>
            <w:pPr>
              <w:jc w:val="right"/>
              <w:ind w:right="370"/>
              <w:spacing w:after="0"/>
              <w:rPr>
                <w:sz w:val="20"/>
                <w:szCs w:val="20"/>
                <w:color w:val="auto"/>
              </w:rPr>
            </w:pPr>
            <w:r>
              <w:rPr>
                <w:rFonts w:ascii="Arial" w:cs="Arial" w:eastAsia="Arial" w:hAnsi="Arial"/>
                <w:sz w:val="14"/>
                <w:szCs w:val="14"/>
                <w:color w:val="auto"/>
              </w:rPr>
              <w:t>(170 )</w:t>
            </w:r>
          </w:p>
        </w:tc>
        <w:tc>
          <w:tcPr>
            <w:tcW w:w="520" w:type="dxa"/>
            <w:vAlign w:val="bottom"/>
            <w:tcBorders>
              <w:right w:val="single" w:sz="8" w:color="auto"/>
            </w:tcBorders>
          </w:tcPr>
          <w:p>
            <w:pPr>
              <w:jc w:val="right"/>
              <w:ind w:right="108"/>
              <w:spacing w:after="0"/>
              <w:rPr>
                <w:sz w:val="20"/>
                <w:szCs w:val="20"/>
                <w:color w:val="auto"/>
              </w:rPr>
            </w:pPr>
            <w:r>
              <w:rPr>
                <w:rFonts w:ascii="Arial" w:cs="Arial" w:eastAsia="Arial" w:hAnsi="Arial"/>
                <w:sz w:val="14"/>
                <w:szCs w:val="14"/>
                <w:color w:val="auto"/>
              </w:rPr>
              <w:t>(35 )</w:t>
            </w:r>
          </w:p>
        </w:tc>
        <w:tc>
          <w:tcPr>
            <w:tcW w:w="1000" w:type="dxa"/>
            <w:vAlign w:val="bottom"/>
            <w:tcBorders>
              <w:right w:val="single" w:sz="8" w:color="auto"/>
            </w:tcBorders>
          </w:tcPr>
          <w:p>
            <w:pPr>
              <w:jc w:val="right"/>
              <w:ind w:right="70"/>
              <w:spacing w:after="0"/>
              <w:rPr>
                <w:sz w:val="20"/>
                <w:szCs w:val="20"/>
                <w:color w:val="auto"/>
              </w:rPr>
            </w:pPr>
            <w:r>
              <w:rPr>
                <w:rFonts w:ascii="Arial" w:cs="Arial" w:eastAsia="Arial" w:hAnsi="Arial"/>
                <w:sz w:val="14"/>
                <w:szCs w:val="14"/>
                <w:color w:val="auto"/>
              </w:rPr>
              <w:t>(489 )</w:t>
            </w:r>
          </w:p>
        </w:tc>
        <w:tc>
          <w:tcPr>
            <w:tcW w:w="980" w:type="dxa"/>
            <w:vAlign w:val="bottom"/>
          </w:tcPr>
          <w:p>
            <w:pPr>
              <w:jc w:val="right"/>
              <w:ind w:right="70"/>
              <w:spacing w:after="0"/>
              <w:rPr>
                <w:sz w:val="20"/>
                <w:szCs w:val="20"/>
                <w:color w:val="auto"/>
              </w:rPr>
            </w:pPr>
            <w:r>
              <w:rPr>
                <w:rFonts w:ascii="Arial" w:cs="Arial" w:eastAsia="Arial" w:hAnsi="Arial"/>
                <w:sz w:val="14"/>
                <w:szCs w:val="14"/>
                <w:color w:val="auto"/>
              </w:rPr>
              <w:t>(59 )</w:t>
            </w:r>
          </w:p>
        </w:tc>
        <w:tc>
          <w:tcPr>
            <w:tcW w:w="660" w:type="dxa"/>
            <w:vAlign w:val="bottom"/>
            <w:tcBorders>
              <w:right w:val="single" w:sz="8" w:color="auto"/>
            </w:tcBorders>
          </w:tcPr>
          <w:p>
            <w:pPr>
              <w:jc w:val="right"/>
              <w:ind w:right="108"/>
              <w:spacing w:after="0"/>
              <w:rPr>
                <w:sz w:val="20"/>
                <w:szCs w:val="20"/>
                <w:color w:val="auto"/>
              </w:rPr>
            </w:pPr>
            <w:r>
              <w:rPr>
                <w:rFonts w:ascii="Arial" w:cs="Arial" w:eastAsia="Arial" w:hAnsi="Arial"/>
                <w:sz w:val="14"/>
                <w:szCs w:val="14"/>
                <w:color w:val="auto"/>
              </w:rPr>
              <w:t>(11 )</w:t>
            </w:r>
          </w:p>
        </w:tc>
        <w:tc>
          <w:tcPr>
            <w:tcW w:w="200" w:type="dxa"/>
            <w:vAlign w:val="bottom"/>
          </w:tcPr>
          <w:p>
            <w:pPr>
              <w:spacing w:after="0"/>
              <w:rPr>
                <w:sz w:val="19"/>
                <w:szCs w:val="19"/>
                <w:color w:val="auto"/>
              </w:rPr>
            </w:pPr>
          </w:p>
        </w:tc>
        <w:tc>
          <w:tcPr>
            <w:tcW w:w="760" w:type="dxa"/>
            <w:vAlign w:val="bottom"/>
          </w:tcPr>
          <w:p>
            <w:pPr>
              <w:jc w:val="right"/>
              <w:ind w:right="50"/>
              <w:spacing w:after="0"/>
              <w:rPr>
                <w:sz w:val="20"/>
                <w:szCs w:val="20"/>
                <w:color w:val="auto"/>
              </w:rPr>
            </w:pPr>
            <w:r>
              <w:rPr>
                <w:rFonts w:ascii="Arial" w:cs="Arial" w:eastAsia="Arial" w:hAnsi="Arial"/>
                <w:sz w:val="14"/>
                <w:szCs w:val="14"/>
                <w:color w:val="auto"/>
              </w:rPr>
              <w:t>(548 )</w:t>
            </w:r>
          </w:p>
        </w:tc>
      </w:tr>
      <w:tr>
        <w:trPr>
          <w:trHeight w:val="244"/>
        </w:trPr>
        <w:tc>
          <w:tcPr>
            <w:tcW w:w="1360" w:type="dxa"/>
            <w:vAlign w:val="bottom"/>
            <w:tcBorders>
              <w:bottom w:val="single" w:sz="8" w:color="DFDFDF"/>
            </w:tcBorders>
          </w:tcPr>
          <w:p>
            <w:pPr>
              <w:ind w:left="20"/>
              <w:spacing w:after="0"/>
              <w:rPr>
                <w:sz w:val="20"/>
                <w:szCs w:val="20"/>
                <w:color w:val="auto"/>
              </w:rPr>
            </w:pPr>
            <w:r>
              <w:rPr>
                <w:rFonts w:ascii="Arial" w:cs="Arial" w:eastAsia="Arial" w:hAnsi="Arial"/>
                <w:sz w:val="14"/>
                <w:szCs w:val="14"/>
                <w:color w:val="auto"/>
              </w:rPr>
              <w:t>SoCalGas</w:t>
            </w:r>
          </w:p>
        </w:tc>
        <w:tc>
          <w:tcPr>
            <w:tcW w:w="1100" w:type="dxa"/>
            <w:vAlign w:val="bottom"/>
            <w:tcBorders>
              <w:bottom w:val="single" w:sz="8" w:color="DFDFDF"/>
            </w:tcBorders>
          </w:tcPr>
          <w:p>
            <w:pPr>
              <w:jc w:val="right"/>
              <w:ind w:right="70"/>
              <w:spacing w:after="0"/>
              <w:rPr>
                <w:sz w:val="20"/>
                <w:szCs w:val="20"/>
                <w:color w:val="auto"/>
              </w:rPr>
            </w:pPr>
            <w:r>
              <w:rPr>
                <w:rFonts w:ascii="Arial" w:cs="Arial" w:eastAsia="Arial" w:hAnsi="Arial"/>
                <w:sz w:val="14"/>
                <w:szCs w:val="14"/>
                <w:color w:val="auto"/>
              </w:rPr>
              <w:t>(318 )</w:t>
            </w:r>
          </w:p>
        </w:tc>
        <w:tc>
          <w:tcPr>
            <w:tcW w:w="440" w:type="dxa"/>
            <w:vAlign w:val="bottom"/>
            <w:tcBorders>
              <w:bottom w:val="single" w:sz="8" w:color="DFDFDF"/>
            </w:tcBorders>
          </w:tcPr>
          <w:p>
            <w:pPr>
              <w:spacing w:after="0"/>
              <w:rPr>
                <w:sz w:val="21"/>
                <w:szCs w:val="21"/>
                <w:color w:val="auto"/>
              </w:rPr>
            </w:pPr>
          </w:p>
        </w:tc>
        <w:tc>
          <w:tcPr>
            <w:tcW w:w="940" w:type="dxa"/>
            <w:vAlign w:val="bottom"/>
            <w:tcBorders>
              <w:bottom w:val="single" w:sz="8" w:color="DFDFDF"/>
            </w:tcBorders>
          </w:tcPr>
          <w:p>
            <w:pPr>
              <w:jc w:val="right"/>
              <w:ind w:right="370"/>
              <w:spacing w:after="0"/>
              <w:rPr>
                <w:sz w:val="20"/>
                <w:szCs w:val="20"/>
                <w:color w:val="auto"/>
              </w:rPr>
            </w:pPr>
            <w:r>
              <w:rPr>
                <w:rFonts w:ascii="Arial" w:cs="Arial" w:eastAsia="Arial" w:hAnsi="Arial"/>
                <w:sz w:val="14"/>
                <w:szCs w:val="14"/>
                <w:color w:val="auto"/>
              </w:rPr>
              <w:t>(161 )</w:t>
            </w:r>
          </w:p>
        </w:tc>
        <w:tc>
          <w:tcPr>
            <w:tcW w:w="520" w:type="dxa"/>
            <w:vAlign w:val="bottom"/>
            <w:tcBorders>
              <w:bottom w:val="single" w:sz="8" w:color="DFDFDF"/>
            </w:tcBorders>
          </w:tcPr>
          <w:p>
            <w:pPr>
              <w:jc w:val="right"/>
              <w:ind w:right="108"/>
              <w:spacing w:after="0"/>
              <w:rPr>
                <w:sz w:val="20"/>
                <w:szCs w:val="20"/>
                <w:color w:val="auto"/>
              </w:rPr>
            </w:pPr>
            <w:r>
              <w:rPr>
                <w:rFonts w:ascii="Arial" w:cs="Arial" w:eastAsia="Arial" w:hAnsi="Arial"/>
                <w:sz w:val="14"/>
                <w:szCs w:val="14"/>
                <w:color w:val="auto"/>
              </w:rPr>
              <w:t>(34 )</w:t>
            </w:r>
          </w:p>
        </w:tc>
        <w:tc>
          <w:tcPr>
            <w:tcW w:w="1000" w:type="dxa"/>
            <w:vAlign w:val="bottom"/>
            <w:tcBorders>
              <w:bottom w:val="single" w:sz="8" w:color="DFDFDF"/>
            </w:tcBorders>
          </w:tcPr>
          <w:p>
            <w:pPr>
              <w:jc w:val="right"/>
              <w:ind w:right="70"/>
              <w:spacing w:after="0"/>
              <w:rPr>
                <w:sz w:val="20"/>
                <w:szCs w:val="20"/>
                <w:color w:val="auto"/>
              </w:rPr>
            </w:pPr>
            <w:r>
              <w:rPr>
                <w:rFonts w:ascii="Arial" w:cs="Arial" w:eastAsia="Arial" w:hAnsi="Arial"/>
                <w:sz w:val="14"/>
                <w:szCs w:val="14"/>
                <w:color w:val="auto"/>
              </w:rPr>
              <w:t>(479 )</w:t>
            </w:r>
          </w:p>
        </w:tc>
        <w:tc>
          <w:tcPr>
            <w:tcW w:w="980" w:type="dxa"/>
            <w:vAlign w:val="bottom"/>
            <w:tcBorders>
              <w:bottom w:val="single" w:sz="8" w:color="DFDFDF"/>
            </w:tcBorders>
          </w:tcPr>
          <w:p>
            <w:pPr>
              <w:jc w:val="right"/>
              <w:ind w:right="70"/>
              <w:spacing w:after="0"/>
              <w:rPr>
                <w:sz w:val="20"/>
                <w:szCs w:val="20"/>
                <w:color w:val="auto"/>
              </w:rPr>
            </w:pPr>
            <w:r>
              <w:rPr>
                <w:rFonts w:ascii="Arial" w:cs="Arial" w:eastAsia="Arial" w:hAnsi="Arial"/>
                <w:sz w:val="14"/>
                <w:szCs w:val="14"/>
                <w:color w:val="auto"/>
              </w:rPr>
              <w:t>(34 )</w:t>
            </w:r>
          </w:p>
        </w:tc>
        <w:tc>
          <w:tcPr>
            <w:tcW w:w="660" w:type="dxa"/>
            <w:vAlign w:val="bottom"/>
            <w:tcBorders>
              <w:bottom w:val="single" w:sz="8" w:color="DFDFDF"/>
            </w:tcBorders>
          </w:tcPr>
          <w:p>
            <w:pPr>
              <w:jc w:val="right"/>
              <w:ind w:right="108"/>
              <w:spacing w:after="0"/>
              <w:rPr>
                <w:sz w:val="20"/>
                <w:szCs w:val="20"/>
                <w:color w:val="auto"/>
              </w:rPr>
            </w:pPr>
            <w:r>
              <w:rPr>
                <w:rFonts w:ascii="Arial" w:cs="Arial" w:eastAsia="Arial" w:hAnsi="Arial"/>
                <w:sz w:val="14"/>
                <w:szCs w:val="14"/>
                <w:color w:val="auto"/>
              </w:rPr>
              <w:t>(7 )</w:t>
            </w:r>
          </w:p>
        </w:tc>
        <w:tc>
          <w:tcPr>
            <w:tcW w:w="200" w:type="dxa"/>
            <w:vAlign w:val="bottom"/>
            <w:tcBorders>
              <w:bottom w:val="single" w:sz="8" w:color="DFDFDF"/>
            </w:tcBorders>
          </w:tcPr>
          <w:p>
            <w:pPr>
              <w:spacing w:after="0"/>
              <w:rPr>
                <w:sz w:val="21"/>
                <w:szCs w:val="21"/>
                <w:color w:val="auto"/>
              </w:rPr>
            </w:pPr>
          </w:p>
        </w:tc>
        <w:tc>
          <w:tcPr>
            <w:tcW w:w="760" w:type="dxa"/>
            <w:vAlign w:val="bottom"/>
            <w:tcBorders>
              <w:bottom w:val="single" w:sz="8" w:color="DFDFDF"/>
            </w:tcBorders>
          </w:tcPr>
          <w:p>
            <w:pPr>
              <w:jc w:val="right"/>
              <w:ind w:right="50"/>
              <w:spacing w:after="0"/>
              <w:rPr>
                <w:sz w:val="20"/>
                <w:szCs w:val="20"/>
                <w:color w:val="auto"/>
              </w:rPr>
            </w:pPr>
            <w:r>
              <w:rPr>
                <w:rFonts w:ascii="Arial" w:cs="Arial" w:eastAsia="Arial" w:hAnsi="Arial"/>
                <w:sz w:val="14"/>
                <w:szCs w:val="14"/>
                <w:color w:val="auto"/>
              </w:rPr>
              <w:t>(513 )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2639060</wp:posOffset>
            </wp:positionH>
            <wp:positionV relativeFrom="paragraph">
              <wp:posOffset>-179705</wp:posOffset>
            </wp:positionV>
            <wp:extent cx="33020" cy="19304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33020" cy="193040"/>
                    </a:xfrm>
                    <a:prstGeom prst="rect">
                      <a:avLst/>
                    </a:prstGeom>
                    <a:noFill/>
                  </pic:spPr>
                </pic:pic>
              </a:graphicData>
            </a:graphic>
          </wp:anchor>
        </w:drawing>
        <w:drawing>
          <wp:anchor simplePos="0" relativeHeight="251657728" behindDoc="1" locked="0" layoutInCell="0" allowOverlap="1">
            <wp:simplePos x="0" y="0"/>
            <wp:positionH relativeFrom="column">
              <wp:posOffset>3851910</wp:posOffset>
            </wp:positionH>
            <wp:positionV relativeFrom="paragraph">
              <wp:posOffset>-179705</wp:posOffset>
            </wp:positionV>
            <wp:extent cx="33020" cy="19304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33020" cy="193040"/>
                    </a:xfrm>
                    <a:prstGeom prst="rect">
                      <a:avLst/>
                    </a:prstGeom>
                    <a:noFill/>
                  </pic:spPr>
                </pic:pic>
              </a:graphicData>
            </a:graphic>
          </wp:anchor>
        </w:drawing>
        <w:drawing>
          <wp:anchor simplePos="0" relativeHeight="251657728" behindDoc="1" locked="0" layoutInCell="0" allowOverlap="1">
            <wp:simplePos x="0" y="0"/>
            <wp:positionH relativeFrom="column">
              <wp:posOffset>4485005</wp:posOffset>
            </wp:positionH>
            <wp:positionV relativeFrom="paragraph">
              <wp:posOffset>-179705</wp:posOffset>
            </wp:positionV>
            <wp:extent cx="33020" cy="19304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33020" cy="193040"/>
                    </a:xfrm>
                    <a:prstGeom prst="rect">
                      <a:avLst/>
                    </a:prstGeom>
                    <a:noFill/>
                  </pic:spPr>
                </pic:pic>
              </a:graphicData>
            </a:graphic>
          </wp:anchor>
        </w:drawing>
        <w:drawing>
          <wp:anchor simplePos="0" relativeHeight="251657728" behindDoc="1" locked="0" layoutInCell="0" allowOverlap="1">
            <wp:simplePos x="0" y="0"/>
            <wp:positionH relativeFrom="column">
              <wp:posOffset>5530215</wp:posOffset>
            </wp:positionH>
            <wp:positionV relativeFrom="paragraph">
              <wp:posOffset>-179705</wp:posOffset>
            </wp:positionV>
            <wp:extent cx="33020" cy="19304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33020" cy="193040"/>
                    </a:xfrm>
                    <a:prstGeom prst="rect">
                      <a:avLst/>
                    </a:prstGeom>
                    <a:noFill/>
                  </pic:spPr>
                </pic:pic>
              </a:graphicData>
            </a:graphic>
          </wp:anchor>
        </w:drawing>
      </w: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4"/>
          <w:szCs w:val="14"/>
          <w:color w:val="auto"/>
        </w:rPr>
        <w:t>30</w:t>
      </w:r>
    </w:p>
    <w:p>
      <w:pPr>
        <w:sectPr>
          <w:pgSz w:w="11900" w:h="16838" w:orient="portrait"/>
          <w:cols w:equalWidth="0" w:num="1">
            <w:col w:w="11440"/>
          </w:cols>
          <w:pgMar w:left="240" w:top="293" w:right="219" w:bottom="1440" w:gutter="0" w:footer="0" w:header="0"/>
        </w:sectPr>
      </w:pPr>
    </w:p>
    <w:bookmarkStart w:id="170" w:name="page171"/>
    <w:bookmarkEnd w:id="170"/>
    <w:p>
      <w:pPr>
        <w:ind w:left="4"/>
        <w:spacing w:after="0"/>
        <w:rPr>
          <w:sz w:val="20"/>
          <w:szCs w:val="20"/>
          <w:color w:val="auto"/>
        </w:rPr>
      </w:pPr>
      <w:r>
        <w:rPr>
          <w:rFonts w:ascii="Arial" w:cs="Arial" w:eastAsia="Arial" w:hAnsi="Arial"/>
          <w:sz w:val="18"/>
          <w:szCs w:val="18"/>
          <w:b w:val="1"/>
          <w:bCs w:val="1"/>
          <w:i w:val="1"/>
          <w:iCs w:val="1"/>
          <w:color w:val="auto"/>
        </w:rPr>
        <w:t>Sempra Energy</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6"/>
          <w:szCs w:val="16"/>
          <w:color w:val="auto"/>
        </w:rPr>
        <w:t>Cash used in investing activities at Sempra Energy increased in 2008. The primary outflows of cash were</w:t>
      </w:r>
    </w:p>
    <w:p>
      <w:pPr>
        <w:spacing w:after="0" w:line="44" w:lineRule="exact"/>
        <w:rPr>
          <w:sz w:val="20"/>
          <w:szCs w:val="20"/>
          <w:color w:val="auto"/>
        </w:rPr>
      </w:pPr>
    </w:p>
    <w:p>
      <w:pPr>
        <w:ind w:left="144" w:hanging="144"/>
        <w:spacing w:after="0"/>
        <w:tabs>
          <w:tab w:leader="none" w:pos="144" w:val="left"/>
        </w:tabs>
        <w:numPr>
          <w:ilvl w:val="0"/>
          <w:numId w:val="273"/>
        </w:numPr>
        <w:rPr>
          <w:rFonts w:ascii="Arial" w:cs="Arial" w:eastAsia="Arial" w:hAnsi="Arial"/>
          <w:sz w:val="16"/>
          <w:szCs w:val="16"/>
          <w:color w:val="auto"/>
        </w:rPr>
      </w:pPr>
      <w:r>
        <w:rPr>
          <w:rFonts w:ascii="Arial" w:cs="Arial" w:eastAsia="Arial" w:hAnsi="Arial"/>
          <w:sz w:val="16"/>
          <w:szCs w:val="16"/>
          <w:color w:val="auto"/>
        </w:rPr>
        <w:t>$495 million for the acquisition of EnergySouth, which is net of $16 million of cash acquired;</w:t>
      </w:r>
    </w:p>
    <w:p>
      <w:pPr>
        <w:spacing w:after="0" w:line="44" w:lineRule="exact"/>
        <w:rPr>
          <w:rFonts w:ascii="Arial" w:cs="Arial" w:eastAsia="Arial" w:hAnsi="Arial"/>
          <w:sz w:val="16"/>
          <w:szCs w:val="16"/>
          <w:color w:val="auto"/>
        </w:rPr>
      </w:pPr>
    </w:p>
    <w:p>
      <w:pPr>
        <w:ind w:left="144" w:hanging="144"/>
        <w:spacing w:after="0"/>
        <w:tabs>
          <w:tab w:leader="none" w:pos="144" w:val="left"/>
        </w:tabs>
        <w:numPr>
          <w:ilvl w:val="0"/>
          <w:numId w:val="273"/>
        </w:numPr>
        <w:rPr>
          <w:rFonts w:ascii="Arial" w:cs="Arial" w:eastAsia="Arial" w:hAnsi="Arial"/>
          <w:sz w:val="16"/>
          <w:szCs w:val="16"/>
          <w:color w:val="auto"/>
        </w:rPr>
      </w:pPr>
      <w:r>
        <w:rPr>
          <w:rFonts w:ascii="Arial" w:cs="Arial" w:eastAsia="Arial" w:hAnsi="Arial"/>
          <w:sz w:val="16"/>
          <w:szCs w:val="16"/>
          <w:color w:val="auto"/>
        </w:rPr>
        <w:t>$150 million contribution to Rockies Express; and</w:t>
      </w:r>
    </w:p>
    <w:p>
      <w:pPr>
        <w:spacing w:after="0" w:line="44" w:lineRule="exact"/>
        <w:rPr>
          <w:rFonts w:ascii="Arial" w:cs="Arial" w:eastAsia="Arial" w:hAnsi="Arial"/>
          <w:sz w:val="16"/>
          <w:szCs w:val="16"/>
          <w:color w:val="auto"/>
        </w:rPr>
      </w:pPr>
    </w:p>
    <w:p>
      <w:pPr>
        <w:ind w:left="144" w:hanging="144"/>
        <w:spacing w:after="0"/>
        <w:tabs>
          <w:tab w:leader="none" w:pos="144" w:val="left"/>
        </w:tabs>
        <w:numPr>
          <w:ilvl w:val="0"/>
          <w:numId w:val="273"/>
        </w:numPr>
        <w:rPr>
          <w:rFonts w:ascii="Arial" w:cs="Arial" w:eastAsia="Arial" w:hAnsi="Arial"/>
          <w:sz w:val="16"/>
          <w:szCs w:val="16"/>
          <w:color w:val="auto"/>
        </w:rPr>
      </w:pPr>
      <w:r>
        <w:rPr>
          <w:rFonts w:ascii="Arial" w:cs="Arial" w:eastAsia="Arial" w:hAnsi="Arial"/>
          <w:sz w:val="16"/>
          <w:szCs w:val="16"/>
          <w:color w:val="auto"/>
        </w:rPr>
        <w:t>$413 million in purchases of industrial development bonds, offset by proceeds from remarketing of these bonds of $237 million.</w:t>
      </w:r>
    </w:p>
    <w:p>
      <w:pPr>
        <w:spacing w:after="0" w:line="128" w:lineRule="exact"/>
        <w:rPr>
          <w:sz w:val="20"/>
          <w:szCs w:val="20"/>
          <w:color w:val="auto"/>
        </w:rPr>
      </w:pPr>
    </w:p>
    <w:p>
      <w:pPr>
        <w:ind w:left="4"/>
        <w:spacing w:after="0" w:line="277" w:lineRule="auto"/>
        <w:rPr>
          <w:sz w:val="20"/>
          <w:szCs w:val="20"/>
          <w:color w:val="auto"/>
        </w:rPr>
      </w:pPr>
      <w:r>
        <w:rPr>
          <w:rFonts w:ascii="Arial" w:cs="Arial" w:eastAsia="Arial" w:hAnsi="Arial"/>
          <w:sz w:val="16"/>
          <w:szCs w:val="16"/>
          <w:color w:val="auto"/>
        </w:rPr>
        <w:t>These outflows were partially offset by the net proceeds from the RBS transaction. Total proceeds of $2.1 billion, which are net of $383 million of cash sold, were offset by our capital contribution of $1.6 billion to form the partnership.</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6"/>
          <w:szCs w:val="16"/>
          <w:color w:val="auto"/>
        </w:rPr>
        <w:t>The increase in cash used in investing activities at Sempra Energy in 2007 was primarily attributable to activity in 2006, including:</w:t>
      </w:r>
    </w:p>
    <w:p>
      <w:pPr>
        <w:spacing w:after="0" w:line="44" w:lineRule="exact"/>
        <w:rPr>
          <w:sz w:val="20"/>
          <w:szCs w:val="20"/>
          <w:color w:val="auto"/>
        </w:rPr>
      </w:pPr>
    </w:p>
    <w:p>
      <w:pPr>
        <w:ind w:left="144" w:right="1480" w:hanging="144"/>
        <w:spacing w:after="0" w:line="274" w:lineRule="auto"/>
        <w:tabs>
          <w:tab w:leader="none" w:pos="144" w:val="left"/>
        </w:tabs>
        <w:numPr>
          <w:ilvl w:val="0"/>
          <w:numId w:val="274"/>
        </w:numPr>
        <w:rPr>
          <w:rFonts w:ascii="Arial" w:cs="Arial" w:eastAsia="Arial" w:hAnsi="Arial"/>
          <w:sz w:val="16"/>
          <w:szCs w:val="16"/>
          <w:color w:val="auto"/>
        </w:rPr>
      </w:pPr>
      <w:r>
        <w:rPr>
          <w:rFonts w:ascii="Arial" w:cs="Arial" w:eastAsia="Arial" w:hAnsi="Arial"/>
          <w:sz w:val="16"/>
          <w:szCs w:val="16"/>
          <w:color w:val="auto"/>
        </w:rPr>
        <w:t>$789 million in proceeds from asset sales (primarily the sales of Twin Oaks, the Energy Services and Facilities Management businesses, and SEPCO at Sempra Generation); and</w:t>
      </w:r>
    </w:p>
    <w:p>
      <w:pPr>
        <w:ind w:left="144" w:hanging="144"/>
        <w:spacing w:after="0"/>
        <w:tabs>
          <w:tab w:leader="none" w:pos="144" w:val="left"/>
        </w:tabs>
        <w:numPr>
          <w:ilvl w:val="0"/>
          <w:numId w:val="274"/>
        </w:numPr>
        <w:rPr>
          <w:rFonts w:ascii="Arial" w:cs="Arial" w:eastAsia="Arial" w:hAnsi="Arial"/>
          <w:sz w:val="16"/>
          <w:szCs w:val="16"/>
          <w:color w:val="auto"/>
        </w:rPr>
      </w:pPr>
      <w:r>
        <w:rPr>
          <w:rFonts w:ascii="Arial" w:cs="Arial" w:eastAsia="Arial" w:hAnsi="Arial"/>
          <w:sz w:val="16"/>
          <w:szCs w:val="16"/>
          <w:color w:val="auto"/>
        </w:rPr>
        <w:t>$404 million in dividends received from our equity method investment related to the sale of the Topaz power plants.</w:t>
      </w:r>
    </w:p>
    <w:p>
      <w:pPr>
        <w:spacing w:after="0" w:line="128" w:lineRule="exact"/>
        <w:rPr>
          <w:sz w:val="20"/>
          <w:szCs w:val="20"/>
          <w:color w:val="auto"/>
        </w:rPr>
      </w:pPr>
    </w:p>
    <w:p>
      <w:pPr>
        <w:ind w:left="4" w:right="120"/>
        <w:spacing w:after="0" w:line="259" w:lineRule="auto"/>
        <w:rPr>
          <w:sz w:val="20"/>
          <w:szCs w:val="20"/>
          <w:color w:val="auto"/>
        </w:rPr>
      </w:pPr>
      <w:r>
        <w:rPr>
          <w:rFonts w:ascii="Arial" w:cs="Arial" w:eastAsia="Arial" w:hAnsi="Arial"/>
          <w:sz w:val="16"/>
          <w:szCs w:val="16"/>
          <w:color w:val="auto"/>
        </w:rPr>
        <w:t>During 2006, Sempra Generation sold its Texas-based power plants and other assets due to the increased market valuation of coal-fired power plants in Texas. The coal-fired assets included our wholly owned Twin Oaks power plant and Coleto Creek, which we co-owned in the Topaz joint venture with Riverstone Holdings. The joint venture also owned three operating natural gas and oil-fired plants in Laredo, San Benito and Corpus Christi, Texas, which were sold in 2006. We provide additional information about the sales in Notes 4 and 5 of the Notes to Consolidated Financial Statements.</w:t>
      </w:r>
    </w:p>
    <w:p>
      <w:pPr>
        <w:spacing w:after="0" w:line="129" w:lineRule="exact"/>
        <w:rPr>
          <w:sz w:val="20"/>
          <w:szCs w:val="20"/>
          <w:color w:val="auto"/>
        </w:rPr>
      </w:pPr>
    </w:p>
    <w:p>
      <w:pPr>
        <w:ind w:left="4"/>
        <w:spacing w:after="0"/>
        <w:rPr>
          <w:sz w:val="20"/>
          <w:szCs w:val="20"/>
          <w:color w:val="auto"/>
        </w:rPr>
      </w:pPr>
      <w:r>
        <w:rPr>
          <w:rFonts w:ascii="Arial" w:cs="Arial" w:eastAsia="Arial" w:hAnsi="Arial"/>
          <w:sz w:val="18"/>
          <w:szCs w:val="18"/>
          <w:b w:val="1"/>
          <w:bCs w:val="1"/>
          <w:i w:val="1"/>
          <w:iCs w:val="1"/>
          <w:color w:val="auto"/>
        </w:rPr>
        <w:t>SDG&amp;E</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6"/>
          <w:szCs w:val="16"/>
          <w:color w:val="auto"/>
        </w:rPr>
        <w:t>Cash used in investing activities at SDG&amp;E increased in 2008 primarily due to:</w:t>
      </w:r>
    </w:p>
    <w:p>
      <w:pPr>
        <w:spacing w:after="0" w:line="44" w:lineRule="exact"/>
        <w:rPr>
          <w:sz w:val="20"/>
          <w:szCs w:val="20"/>
          <w:color w:val="auto"/>
        </w:rPr>
      </w:pPr>
    </w:p>
    <w:p>
      <w:pPr>
        <w:ind w:left="144" w:hanging="144"/>
        <w:spacing w:after="0"/>
        <w:tabs>
          <w:tab w:leader="none" w:pos="144" w:val="left"/>
        </w:tabs>
        <w:numPr>
          <w:ilvl w:val="0"/>
          <w:numId w:val="275"/>
        </w:numPr>
        <w:rPr>
          <w:rFonts w:ascii="Arial" w:cs="Arial" w:eastAsia="Arial" w:hAnsi="Arial"/>
          <w:sz w:val="16"/>
          <w:szCs w:val="16"/>
          <w:color w:val="auto"/>
        </w:rPr>
      </w:pPr>
      <w:r>
        <w:rPr>
          <w:rFonts w:ascii="Arial" w:cs="Arial" w:eastAsia="Arial" w:hAnsi="Arial"/>
          <w:sz w:val="16"/>
          <w:szCs w:val="16"/>
          <w:color w:val="auto"/>
        </w:rPr>
        <w:t>a $170 million increase in capital expenditures, including a $91 million increase at Otay Mesa VIE</w:t>
      </w:r>
    </w:p>
    <w:p>
      <w:pPr>
        <w:spacing w:after="0" w:line="44" w:lineRule="exact"/>
        <w:rPr>
          <w:rFonts w:ascii="Arial" w:cs="Arial" w:eastAsia="Arial" w:hAnsi="Arial"/>
          <w:sz w:val="16"/>
          <w:szCs w:val="16"/>
          <w:color w:val="auto"/>
        </w:rPr>
      </w:pPr>
    </w:p>
    <w:p>
      <w:pPr>
        <w:ind w:left="144" w:hanging="144"/>
        <w:spacing w:after="0"/>
        <w:tabs>
          <w:tab w:leader="none" w:pos="144" w:val="left"/>
        </w:tabs>
        <w:numPr>
          <w:ilvl w:val="0"/>
          <w:numId w:val="275"/>
        </w:numPr>
        <w:rPr>
          <w:rFonts w:ascii="Arial" w:cs="Arial" w:eastAsia="Arial" w:hAnsi="Arial"/>
          <w:sz w:val="16"/>
          <w:szCs w:val="16"/>
          <w:color w:val="auto"/>
        </w:rPr>
      </w:pPr>
      <w:r>
        <w:rPr>
          <w:rFonts w:ascii="Arial" w:cs="Arial" w:eastAsia="Arial" w:hAnsi="Arial"/>
          <w:sz w:val="16"/>
          <w:szCs w:val="16"/>
          <w:color w:val="auto"/>
        </w:rPr>
        <w:t>the net purchase of $24 million of industrial development bonds</w:t>
      </w:r>
    </w:p>
    <w:p>
      <w:pPr>
        <w:spacing w:after="0" w:line="44" w:lineRule="exact"/>
        <w:rPr>
          <w:rFonts w:ascii="Arial" w:cs="Arial" w:eastAsia="Arial" w:hAnsi="Arial"/>
          <w:sz w:val="16"/>
          <w:szCs w:val="16"/>
          <w:color w:val="auto"/>
        </w:rPr>
      </w:pPr>
    </w:p>
    <w:p>
      <w:pPr>
        <w:ind w:left="144" w:hanging="144"/>
        <w:spacing w:after="0"/>
        <w:tabs>
          <w:tab w:leader="none" w:pos="144" w:val="left"/>
        </w:tabs>
        <w:numPr>
          <w:ilvl w:val="0"/>
          <w:numId w:val="275"/>
        </w:numPr>
        <w:rPr>
          <w:rFonts w:ascii="Arial" w:cs="Arial" w:eastAsia="Arial" w:hAnsi="Arial"/>
          <w:sz w:val="16"/>
          <w:szCs w:val="16"/>
          <w:color w:val="auto"/>
        </w:rPr>
      </w:pPr>
      <w:r>
        <w:rPr>
          <w:rFonts w:ascii="Arial" w:cs="Arial" w:eastAsia="Arial" w:hAnsi="Arial"/>
          <w:sz w:val="16"/>
          <w:szCs w:val="16"/>
          <w:color w:val="auto"/>
        </w:rPr>
        <w:t>a $33 million increase in loans to affiliates in 2008</w:t>
      </w:r>
    </w:p>
    <w:p>
      <w:pPr>
        <w:spacing w:after="0" w:line="128" w:lineRule="exact"/>
        <w:rPr>
          <w:sz w:val="20"/>
          <w:szCs w:val="20"/>
          <w:color w:val="auto"/>
        </w:rPr>
      </w:pPr>
    </w:p>
    <w:p>
      <w:pPr>
        <w:ind w:left="4"/>
        <w:spacing w:after="0"/>
        <w:rPr>
          <w:sz w:val="20"/>
          <w:szCs w:val="20"/>
          <w:color w:val="auto"/>
        </w:rPr>
      </w:pPr>
      <w:r>
        <w:rPr>
          <w:rFonts w:ascii="Arial" w:cs="Arial" w:eastAsia="Arial" w:hAnsi="Arial"/>
          <w:sz w:val="16"/>
          <w:szCs w:val="16"/>
          <w:color w:val="auto"/>
        </w:rPr>
        <w:t>The decrease in cash used in investing activities at SDG&amp;E in 2007 was primarily due to $356 million higher capital expenditures in 2006 for:</w:t>
      </w:r>
    </w:p>
    <w:p>
      <w:pPr>
        <w:spacing w:after="0" w:line="44" w:lineRule="exact"/>
        <w:rPr>
          <w:sz w:val="20"/>
          <w:szCs w:val="20"/>
          <w:color w:val="auto"/>
        </w:rPr>
      </w:pPr>
    </w:p>
    <w:p>
      <w:pPr>
        <w:ind w:left="144" w:hanging="144"/>
        <w:spacing w:after="0"/>
        <w:tabs>
          <w:tab w:leader="none" w:pos="144" w:val="left"/>
        </w:tabs>
        <w:numPr>
          <w:ilvl w:val="0"/>
          <w:numId w:val="276"/>
        </w:numPr>
        <w:rPr>
          <w:rFonts w:ascii="Arial" w:cs="Arial" w:eastAsia="Arial" w:hAnsi="Arial"/>
          <w:sz w:val="16"/>
          <w:szCs w:val="16"/>
          <w:color w:val="auto"/>
        </w:rPr>
      </w:pPr>
      <w:r>
        <w:rPr>
          <w:rFonts w:ascii="Arial" w:cs="Arial" w:eastAsia="Arial" w:hAnsi="Arial"/>
          <w:sz w:val="16"/>
          <w:szCs w:val="16"/>
          <w:color w:val="auto"/>
        </w:rPr>
        <w:t>the purchase of the Palomar generating facility from Sempra Generation; and</w:t>
      </w:r>
    </w:p>
    <w:p>
      <w:pPr>
        <w:spacing w:after="0" w:line="40" w:lineRule="exact"/>
        <w:rPr>
          <w:rFonts w:ascii="Arial" w:cs="Arial" w:eastAsia="Arial" w:hAnsi="Arial"/>
          <w:sz w:val="16"/>
          <w:szCs w:val="16"/>
          <w:color w:val="auto"/>
        </w:rPr>
      </w:pPr>
    </w:p>
    <w:p>
      <w:pPr>
        <w:ind w:left="144" w:hanging="144"/>
        <w:spacing w:after="0"/>
        <w:tabs>
          <w:tab w:leader="none" w:pos="144" w:val="left"/>
        </w:tabs>
        <w:numPr>
          <w:ilvl w:val="0"/>
          <w:numId w:val="276"/>
        </w:numPr>
        <w:rPr>
          <w:rFonts w:ascii="Arial" w:cs="Arial" w:eastAsia="Arial" w:hAnsi="Arial"/>
          <w:sz w:val="16"/>
          <w:szCs w:val="16"/>
          <w:color w:val="auto"/>
        </w:rPr>
      </w:pPr>
      <w:r>
        <w:rPr>
          <w:rFonts w:ascii="Arial" w:cs="Arial" w:eastAsia="Arial" w:hAnsi="Arial"/>
          <w:sz w:val="16"/>
          <w:szCs w:val="16"/>
          <w:color w:val="auto"/>
        </w:rPr>
        <w:t xml:space="preserve">construction of the Otay Metro Powerloop transmission project; partially </w:t>
      </w:r>
      <w:r>
        <w:rPr>
          <w:rFonts w:ascii="Arial" w:cs="Arial" w:eastAsia="Arial" w:hAnsi="Arial"/>
          <w:sz w:val="16"/>
          <w:szCs w:val="16"/>
          <w:b w:val="1"/>
          <w:bCs w:val="1"/>
          <w:color w:val="auto"/>
        </w:rPr>
        <w:t>offset by</w:t>
      </w:r>
    </w:p>
    <w:p>
      <w:pPr>
        <w:spacing w:after="0" w:line="48" w:lineRule="exact"/>
        <w:rPr>
          <w:rFonts w:ascii="Arial" w:cs="Arial" w:eastAsia="Arial" w:hAnsi="Arial"/>
          <w:sz w:val="16"/>
          <w:szCs w:val="16"/>
          <w:color w:val="auto"/>
        </w:rPr>
      </w:pPr>
    </w:p>
    <w:p>
      <w:pPr>
        <w:ind w:left="144" w:hanging="144"/>
        <w:spacing w:after="0"/>
        <w:tabs>
          <w:tab w:leader="none" w:pos="144" w:val="left"/>
        </w:tabs>
        <w:numPr>
          <w:ilvl w:val="0"/>
          <w:numId w:val="276"/>
        </w:numPr>
        <w:rPr>
          <w:rFonts w:ascii="Arial" w:cs="Arial" w:eastAsia="Arial" w:hAnsi="Arial"/>
          <w:sz w:val="16"/>
          <w:szCs w:val="16"/>
          <w:color w:val="auto"/>
        </w:rPr>
      </w:pPr>
      <w:r>
        <w:rPr>
          <w:rFonts w:ascii="Arial" w:cs="Arial" w:eastAsia="Arial" w:hAnsi="Arial"/>
          <w:sz w:val="16"/>
          <w:szCs w:val="16"/>
          <w:color w:val="auto"/>
        </w:rPr>
        <w:t>increased capital spending in 2007 due to the October 2007 Southern California wildfires.</w:t>
      </w:r>
    </w:p>
    <w:p>
      <w:pPr>
        <w:spacing w:after="0" w:line="162" w:lineRule="exact"/>
        <w:rPr>
          <w:sz w:val="20"/>
          <w:szCs w:val="20"/>
          <w:color w:val="auto"/>
        </w:rPr>
      </w:pPr>
    </w:p>
    <w:p>
      <w:pPr>
        <w:ind w:left="4"/>
        <w:spacing w:after="0"/>
        <w:rPr>
          <w:sz w:val="20"/>
          <w:szCs w:val="20"/>
          <w:color w:val="auto"/>
        </w:rPr>
      </w:pPr>
      <w:r>
        <w:rPr>
          <w:rFonts w:ascii="Arial" w:cs="Arial" w:eastAsia="Arial" w:hAnsi="Arial"/>
          <w:sz w:val="18"/>
          <w:szCs w:val="18"/>
          <w:b w:val="1"/>
          <w:bCs w:val="1"/>
          <w:i w:val="1"/>
          <w:iCs w:val="1"/>
          <w:color w:val="auto"/>
        </w:rPr>
        <w:t>PE and SoCalGas</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5"/>
          <w:szCs w:val="15"/>
          <w:color w:val="auto"/>
        </w:rPr>
        <w:t>Cash used in investing activities at PE decreased in 2008 due to the reduction in outstanding advances from SoCalGas to Sempra Energy by $136 million in 2008.</w:t>
      </w:r>
    </w:p>
    <w:p>
      <w:pPr>
        <w:spacing w:after="0" w:line="92" w:lineRule="exact"/>
        <w:rPr>
          <w:sz w:val="20"/>
          <w:szCs w:val="20"/>
          <w:color w:val="auto"/>
        </w:rPr>
      </w:pPr>
    </w:p>
    <w:p>
      <w:pPr>
        <w:ind w:left="4" w:right="460"/>
        <w:spacing w:after="0" w:line="277" w:lineRule="auto"/>
        <w:rPr>
          <w:sz w:val="20"/>
          <w:szCs w:val="20"/>
          <w:color w:val="auto"/>
        </w:rPr>
      </w:pPr>
      <w:r>
        <w:rPr>
          <w:rFonts w:ascii="Arial" w:cs="Arial" w:eastAsia="Arial" w:hAnsi="Arial"/>
          <w:sz w:val="16"/>
          <w:szCs w:val="16"/>
          <w:color w:val="auto"/>
        </w:rPr>
        <w:t>Cash used in PE’s and SoCalGas’ investing activities in 2007 decreased primarily due to a $111 million decrease in advances to Sempra Energy (including $87 million of advances made by SoCalGas), partially offset by a $44 million increase in capital expenditures in 2007.</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4"/>
        <w:spacing w:after="0"/>
        <w:rPr>
          <w:sz w:val="20"/>
          <w:szCs w:val="20"/>
          <w:color w:val="auto"/>
        </w:rPr>
      </w:pPr>
      <w:r>
        <w:rPr>
          <w:rFonts w:ascii="Arial" w:cs="Arial" w:eastAsia="Arial" w:hAnsi="Arial"/>
          <w:sz w:val="14"/>
          <w:szCs w:val="14"/>
          <w:color w:val="auto"/>
        </w:rPr>
        <w:t>31</w:t>
      </w:r>
    </w:p>
    <w:p>
      <w:pPr>
        <w:sectPr>
          <w:pgSz w:w="11900" w:h="16838" w:orient="portrait"/>
          <w:cols w:equalWidth="0" w:num="1">
            <w:col w:w="11304"/>
          </w:cols>
          <w:pgMar w:left="236" w:top="293" w:right="359" w:bottom="1440" w:gutter="0" w:footer="0" w:header="0"/>
        </w:sectPr>
      </w:pPr>
    </w:p>
    <w:bookmarkStart w:id="171" w:name="page172"/>
    <w:bookmarkEnd w:id="171"/>
    <w:p>
      <w:pPr>
        <w:ind w:left="4"/>
        <w:spacing w:after="0"/>
        <w:rPr>
          <w:sz w:val="20"/>
          <w:szCs w:val="20"/>
          <w:color w:val="auto"/>
        </w:rPr>
      </w:pPr>
      <w:r>
        <w:rPr>
          <w:rFonts w:ascii="Arial" w:cs="Arial" w:eastAsia="Arial" w:hAnsi="Arial"/>
          <w:sz w:val="16"/>
          <w:szCs w:val="16"/>
          <w:b w:val="1"/>
          <w:bCs w:val="1"/>
          <w:color w:val="auto"/>
        </w:rPr>
        <w:t>CAPITAL EXPENDITURES AND INVESTMENTS</w:t>
      </w:r>
    </w:p>
    <w:p>
      <w:pPr>
        <w:spacing w:after="0" w:line="89" w:lineRule="exact"/>
        <w:rPr>
          <w:sz w:val="20"/>
          <w:szCs w:val="20"/>
          <w:color w:val="auto"/>
        </w:rPr>
      </w:pPr>
    </w:p>
    <w:p>
      <w:pPr>
        <w:ind w:left="4" w:right="100"/>
        <w:spacing w:after="0" w:line="277" w:lineRule="auto"/>
        <w:rPr>
          <w:sz w:val="20"/>
          <w:szCs w:val="20"/>
          <w:color w:val="auto"/>
        </w:rPr>
      </w:pPr>
      <w:r>
        <w:rPr>
          <w:rFonts w:ascii="Arial" w:cs="Arial" w:eastAsia="Arial" w:hAnsi="Arial"/>
          <w:sz w:val="16"/>
          <w:szCs w:val="16"/>
          <w:color w:val="auto"/>
        </w:rPr>
        <w:t>The table below shows our expenditures for property, plant and equipment, and for investments. We provide capital expenditure information by segment in Note 17 of the 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1868805</wp:posOffset>
            </wp:positionH>
            <wp:positionV relativeFrom="paragraph">
              <wp:posOffset>134620</wp:posOffset>
            </wp:positionV>
            <wp:extent cx="3531870" cy="37401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3531870" cy="374015"/>
                    </a:xfrm>
                    <a:prstGeom prst="rect">
                      <a:avLst/>
                    </a:prstGeom>
                    <a:noFill/>
                  </pic:spPr>
                </pic:pic>
              </a:graphicData>
            </a:graphic>
          </wp:anchor>
        </w:drawing>
      </w:r>
    </w:p>
    <w:p>
      <w:pPr>
        <w:spacing w:after="0" w:line="200" w:lineRule="exact"/>
        <w:rPr>
          <w:sz w:val="20"/>
          <w:szCs w:val="20"/>
          <w:color w:val="auto"/>
        </w:rPr>
      </w:pPr>
    </w:p>
    <w:p>
      <w:pPr>
        <w:ind w:left="2944"/>
        <w:spacing w:after="0"/>
        <w:rPr>
          <w:sz w:val="20"/>
          <w:szCs w:val="20"/>
          <w:color w:val="auto"/>
        </w:rPr>
      </w:pPr>
      <w:r>
        <w:rPr>
          <w:rFonts w:ascii="Arial" w:cs="Arial" w:eastAsia="Arial" w:hAnsi="Arial"/>
          <w:sz w:val="14"/>
          <w:szCs w:val="14"/>
          <w:b w:val="1"/>
          <w:bCs w:val="1"/>
          <w:color w:val="auto"/>
        </w:rPr>
        <w:t>SEMPRA ENERGY CAPITAL EXPENDITURES AND</w:t>
      </w:r>
    </w:p>
    <w:p>
      <w:pPr>
        <w:spacing w:after="0" w:line="25" w:lineRule="exact"/>
        <w:rPr>
          <w:sz w:val="20"/>
          <w:szCs w:val="20"/>
          <w:color w:val="auto"/>
        </w:rPr>
      </w:pPr>
    </w:p>
    <w:p>
      <w:pPr>
        <w:ind w:left="2944"/>
        <w:spacing w:after="0"/>
        <w:rPr>
          <w:sz w:val="20"/>
          <w:szCs w:val="20"/>
          <w:color w:val="auto"/>
        </w:rPr>
      </w:pPr>
      <w:r>
        <w:rPr>
          <w:rFonts w:ascii="Arial" w:cs="Arial" w:eastAsia="Arial" w:hAnsi="Arial"/>
          <w:sz w:val="14"/>
          <w:szCs w:val="14"/>
          <w:b w:val="1"/>
          <w:bCs w:val="1"/>
          <w:color w:val="auto"/>
        </w:rPr>
        <w:t>INVESTMENTS/ACQUISITIONS</w:t>
      </w:r>
    </w:p>
    <w:p>
      <w:pPr>
        <w:spacing w:after="0" w:line="58" w:lineRule="exact"/>
        <w:rPr>
          <w:sz w:val="20"/>
          <w:szCs w:val="20"/>
          <w:color w:val="auto"/>
        </w:rPr>
      </w:pPr>
    </w:p>
    <w:p>
      <w:pPr>
        <w:ind w:left="2944"/>
        <w:spacing w:after="0"/>
        <w:rPr>
          <w:sz w:val="20"/>
          <w:szCs w:val="20"/>
          <w:color w:val="auto"/>
        </w:rPr>
      </w:pPr>
      <w:r>
        <w:rPr>
          <w:rFonts w:ascii="Arial" w:cs="Arial" w:eastAsia="Arial" w:hAnsi="Arial"/>
          <w:sz w:val="13"/>
          <w:szCs w:val="13"/>
          <w:i w:val="1"/>
          <w:iCs w:val="1"/>
          <w:color w:val="auto"/>
        </w:rPr>
        <w:t>(Dollars in millions)</w:t>
      </w:r>
    </w:p>
    <w:p>
      <w:pPr>
        <w:spacing w:after="0" w:line="43" w:lineRule="exact"/>
        <w:rPr>
          <w:sz w:val="20"/>
          <w:szCs w:val="20"/>
          <w:color w:val="auto"/>
        </w:rPr>
      </w:pPr>
    </w:p>
    <w:tbl>
      <w:tblPr>
        <w:tblLayout w:type="fixed"/>
        <w:tblInd w:w="2944" w:type="dxa"/>
        <w:tblCellMar>
          <w:top w:w="0" w:type="dxa"/>
          <w:left w:w="0" w:type="dxa"/>
          <w:bottom w:w="0" w:type="dxa"/>
          <w:right w:w="0" w:type="dxa"/>
        </w:tblCellMar>
      </w:tblPr>
      <w:tr>
        <w:trPr>
          <w:trHeight w:val="154"/>
        </w:trPr>
        <w:tc>
          <w:tcPr>
            <w:tcW w:w="1620" w:type="dxa"/>
            <w:vAlign w:val="bottom"/>
          </w:tcPr>
          <w:p>
            <w:pPr>
              <w:spacing w:after="0"/>
              <w:rPr>
                <w:sz w:val="13"/>
                <w:szCs w:val="13"/>
                <w:color w:val="auto"/>
              </w:rPr>
            </w:pPr>
          </w:p>
        </w:tc>
        <w:tc>
          <w:tcPr>
            <w:tcW w:w="2580" w:type="dxa"/>
            <w:vAlign w:val="bottom"/>
          </w:tcPr>
          <w:p>
            <w:pPr>
              <w:spacing w:after="0"/>
              <w:rPr>
                <w:sz w:val="13"/>
                <w:szCs w:val="13"/>
                <w:color w:val="auto"/>
              </w:rPr>
            </w:pPr>
          </w:p>
        </w:tc>
        <w:tc>
          <w:tcPr>
            <w:tcW w:w="1360" w:type="dxa"/>
            <w:vAlign w:val="bottom"/>
          </w:tcPr>
          <w:p>
            <w:pPr>
              <w:jc w:val="right"/>
              <w:spacing w:after="0"/>
              <w:rPr>
                <w:sz w:val="20"/>
                <w:szCs w:val="20"/>
                <w:color w:val="auto"/>
              </w:rPr>
            </w:pPr>
            <w:r>
              <w:rPr>
                <w:rFonts w:ascii="Arial" w:cs="Arial" w:eastAsia="Arial" w:hAnsi="Arial"/>
                <w:sz w:val="13"/>
                <w:szCs w:val="13"/>
                <w:color w:val="auto"/>
              </w:rPr>
              <w:t>Investments and</w:t>
            </w:r>
          </w:p>
        </w:tc>
      </w:tr>
      <w:tr>
        <w:trPr>
          <w:trHeight w:val="156"/>
        </w:trPr>
        <w:tc>
          <w:tcPr>
            <w:tcW w:w="1620" w:type="dxa"/>
            <w:vAlign w:val="bottom"/>
          </w:tcPr>
          <w:p>
            <w:pPr>
              <w:spacing w:after="0"/>
              <w:rPr>
                <w:sz w:val="13"/>
                <w:szCs w:val="13"/>
                <w:color w:val="auto"/>
              </w:rPr>
            </w:pPr>
          </w:p>
        </w:tc>
        <w:tc>
          <w:tcPr>
            <w:tcW w:w="2580" w:type="dxa"/>
            <w:vAlign w:val="bottom"/>
          </w:tcPr>
          <w:p>
            <w:pPr>
              <w:jc w:val="right"/>
              <w:ind w:right="350"/>
              <w:spacing w:after="0"/>
              <w:rPr>
                <w:sz w:val="20"/>
                <w:szCs w:val="20"/>
                <w:color w:val="auto"/>
              </w:rPr>
            </w:pPr>
            <w:r>
              <w:rPr>
                <w:rFonts w:ascii="Arial" w:cs="Arial" w:eastAsia="Arial" w:hAnsi="Arial"/>
                <w:sz w:val="13"/>
                <w:szCs w:val="13"/>
                <w:color w:val="auto"/>
              </w:rPr>
              <w:t>Property, plant</w:t>
            </w:r>
          </w:p>
        </w:tc>
        <w:tc>
          <w:tcPr>
            <w:tcW w:w="1360" w:type="dxa"/>
            <w:vAlign w:val="bottom"/>
          </w:tcPr>
          <w:p>
            <w:pPr>
              <w:jc w:val="right"/>
              <w:spacing w:after="0"/>
              <w:rPr>
                <w:sz w:val="20"/>
                <w:szCs w:val="20"/>
                <w:color w:val="auto"/>
              </w:rPr>
            </w:pPr>
            <w:r>
              <w:rPr>
                <w:rFonts w:ascii="Arial" w:cs="Arial" w:eastAsia="Arial" w:hAnsi="Arial"/>
                <w:sz w:val="13"/>
                <w:szCs w:val="13"/>
                <w:color w:val="auto"/>
              </w:rPr>
              <w:t>acquisition of</w:t>
            </w:r>
          </w:p>
        </w:tc>
      </w:tr>
      <w:tr>
        <w:trPr>
          <w:trHeight w:val="161"/>
        </w:trPr>
        <w:tc>
          <w:tcPr>
            <w:tcW w:w="1620" w:type="dxa"/>
            <w:vAlign w:val="bottom"/>
            <w:tcBorders>
              <w:bottom w:val="single" w:sz="8" w:color="auto"/>
            </w:tcBorders>
          </w:tcPr>
          <w:p>
            <w:pPr>
              <w:spacing w:after="0"/>
              <w:rPr>
                <w:sz w:val="14"/>
                <w:szCs w:val="14"/>
                <w:color w:val="auto"/>
              </w:rPr>
            </w:pPr>
          </w:p>
        </w:tc>
        <w:tc>
          <w:tcPr>
            <w:tcW w:w="2580" w:type="dxa"/>
            <w:vAlign w:val="bottom"/>
            <w:tcBorders>
              <w:bottom w:val="single" w:sz="8" w:color="auto"/>
            </w:tcBorders>
          </w:tcPr>
          <w:p>
            <w:pPr>
              <w:jc w:val="right"/>
              <w:ind w:right="350"/>
              <w:spacing w:after="0"/>
              <w:rPr>
                <w:sz w:val="20"/>
                <w:szCs w:val="20"/>
                <w:color w:val="auto"/>
              </w:rPr>
            </w:pPr>
            <w:r>
              <w:rPr>
                <w:rFonts w:ascii="Arial" w:cs="Arial" w:eastAsia="Arial" w:hAnsi="Arial"/>
                <w:sz w:val="13"/>
                <w:szCs w:val="13"/>
                <w:color w:val="auto"/>
              </w:rPr>
              <w:t>and equipment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subsidiaries</w:t>
            </w:r>
          </w:p>
        </w:tc>
      </w:tr>
      <w:tr>
        <w:trPr>
          <w:trHeight w:val="207"/>
        </w:trPr>
        <w:tc>
          <w:tcPr>
            <w:tcW w:w="1620" w:type="dxa"/>
            <w:vAlign w:val="bottom"/>
          </w:tcPr>
          <w:p>
            <w:pPr>
              <w:jc w:val="right"/>
              <w:ind w:right="1228"/>
              <w:spacing w:after="0"/>
              <w:rPr>
                <w:sz w:val="20"/>
                <w:szCs w:val="20"/>
                <w:color w:val="auto"/>
              </w:rPr>
            </w:pPr>
            <w:r>
              <w:rPr>
                <w:rFonts w:ascii="Arial" w:cs="Arial" w:eastAsia="Arial" w:hAnsi="Arial"/>
                <w:sz w:val="14"/>
                <w:szCs w:val="14"/>
                <w:color w:val="auto"/>
                <w:w w:val="96"/>
              </w:rPr>
              <w:t>2008</w:t>
            </w:r>
          </w:p>
        </w:tc>
        <w:tc>
          <w:tcPr>
            <w:tcW w:w="2580" w:type="dxa"/>
            <w:vAlign w:val="bottom"/>
          </w:tcPr>
          <w:p>
            <w:pPr>
              <w:jc w:val="right"/>
              <w:ind w:right="350"/>
              <w:spacing w:after="0"/>
              <w:rPr>
                <w:sz w:val="20"/>
                <w:szCs w:val="20"/>
                <w:color w:val="auto"/>
              </w:rPr>
            </w:pPr>
            <w:r>
              <w:rPr>
                <w:rFonts w:ascii="Arial" w:cs="Arial" w:eastAsia="Arial" w:hAnsi="Arial"/>
                <w:sz w:val="14"/>
                <w:szCs w:val="14"/>
                <w:color w:val="auto"/>
              </w:rPr>
              <w:t>$   2,061</w:t>
            </w:r>
          </w:p>
        </w:tc>
        <w:tc>
          <w:tcPr>
            <w:tcW w:w="1360" w:type="dxa"/>
            <w:vAlign w:val="bottom"/>
          </w:tcPr>
          <w:p>
            <w:pPr>
              <w:jc w:val="right"/>
              <w:spacing w:after="0"/>
              <w:rPr>
                <w:sz w:val="20"/>
                <w:szCs w:val="20"/>
                <w:color w:val="auto"/>
              </w:rPr>
            </w:pPr>
            <w:r>
              <w:rPr>
                <w:rFonts w:ascii="Arial" w:cs="Arial" w:eastAsia="Arial" w:hAnsi="Arial"/>
                <w:sz w:val="14"/>
                <w:szCs w:val="14"/>
                <w:color w:val="auto"/>
              </w:rPr>
              <w:t>$   2,675</w:t>
            </w:r>
          </w:p>
        </w:tc>
      </w:tr>
      <w:tr>
        <w:trPr>
          <w:trHeight w:val="216"/>
        </w:trPr>
        <w:tc>
          <w:tcPr>
            <w:tcW w:w="1620" w:type="dxa"/>
            <w:vAlign w:val="bottom"/>
          </w:tcPr>
          <w:p>
            <w:pPr>
              <w:jc w:val="right"/>
              <w:ind w:right="1228"/>
              <w:spacing w:after="0"/>
              <w:rPr>
                <w:sz w:val="20"/>
                <w:szCs w:val="20"/>
                <w:color w:val="auto"/>
              </w:rPr>
            </w:pPr>
            <w:r>
              <w:rPr>
                <w:rFonts w:ascii="Arial" w:cs="Arial" w:eastAsia="Arial" w:hAnsi="Arial"/>
                <w:sz w:val="14"/>
                <w:szCs w:val="14"/>
                <w:color w:val="auto"/>
                <w:w w:val="96"/>
              </w:rPr>
              <w:t>2007</w:t>
            </w:r>
          </w:p>
        </w:tc>
        <w:tc>
          <w:tcPr>
            <w:tcW w:w="2580" w:type="dxa"/>
            <w:vAlign w:val="bottom"/>
          </w:tcPr>
          <w:p>
            <w:pPr>
              <w:jc w:val="right"/>
              <w:ind w:right="350"/>
              <w:spacing w:after="0"/>
              <w:rPr>
                <w:sz w:val="20"/>
                <w:szCs w:val="20"/>
                <w:color w:val="auto"/>
              </w:rPr>
            </w:pPr>
            <w:r>
              <w:rPr>
                <w:rFonts w:ascii="Arial" w:cs="Arial" w:eastAsia="Arial" w:hAnsi="Arial"/>
                <w:sz w:val="14"/>
                <w:szCs w:val="14"/>
                <w:color w:val="auto"/>
              </w:rPr>
              <w:t>2,011</w:t>
            </w:r>
          </w:p>
        </w:tc>
        <w:tc>
          <w:tcPr>
            <w:tcW w:w="1360" w:type="dxa"/>
            <w:vAlign w:val="bottom"/>
          </w:tcPr>
          <w:p>
            <w:pPr>
              <w:jc w:val="right"/>
              <w:spacing w:after="0"/>
              <w:rPr>
                <w:sz w:val="20"/>
                <w:szCs w:val="20"/>
                <w:color w:val="auto"/>
              </w:rPr>
            </w:pPr>
            <w:r>
              <w:rPr>
                <w:rFonts w:ascii="Arial" w:cs="Arial" w:eastAsia="Arial" w:hAnsi="Arial"/>
                <w:sz w:val="14"/>
                <w:szCs w:val="14"/>
                <w:color w:val="auto"/>
              </w:rPr>
              <w:t>121</w:t>
            </w:r>
          </w:p>
        </w:tc>
      </w:tr>
      <w:tr>
        <w:trPr>
          <w:trHeight w:val="216"/>
        </w:trPr>
        <w:tc>
          <w:tcPr>
            <w:tcW w:w="1620" w:type="dxa"/>
            <w:vAlign w:val="bottom"/>
          </w:tcPr>
          <w:p>
            <w:pPr>
              <w:jc w:val="right"/>
              <w:ind w:right="1228"/>
              <w:spacing w:after="0"/>
              <w:rPr>
                <w:sz w:val="20"/>
                <w:szCs w:val="20"/>
                <w:color w:val="auto"/>
              </w:rPr>
            </w:pPr>
            <w:r>
              <w:rPr>
                <w:rFonts w:ascii="Arial" w:cs="Arial" w:eastAsia="Arial" w:hAnsi="Arial"/>
                <w:sz w:val="14"/>
                <w:szCs w:val="14"/>
                <w:color w:val="auto"/>
                <w:w w:val="96"/>
              </w:rPr>
              <w:t>2006</w:t>
            </w:r>
          </w:p>
        </w:tc>
        <w:tc>
          <w:tcPr>
            <w:tcW w:w="2580" w:type="dxa"/>
            <w:vAlign w:val="bottom"/>
          </w:tcPr>
          <w:p>
            <w:pPr>
              <w:jc w:val="right"/>
              <w:ind w:right="350"/>
              <w:spacing w:after="0"/>
              <w:rPr>
                <w:sz w:val="20"/>
                <w:szCs w:val="20"/>
                <w:color w:val="auto"/>
              </w:rPr>
            </w:pPr>
            <w:r>
              <w:rPr>
                <w:rFonts w:ascii="Arial" w:cs="Arial" w:eastAsia="Arial" w:hAnsi="Arial"/>
                <w:sz w:val="14"/>
                <w:szCs w:val="14"/>
                <w:color w:val="auto"/>
              </w:rPr>
              <w:t>1,907</w:t>
            </w:r>
          </w:p>
        </w:tc>
        <w:tc>
          <w:tcPr>
            <w:tcW w:w="1360" w:type="dxa"/>
            <w:vAlign w:val="bottom"/>
          </w:tcPr>
          <w:p>
            <w:pPr>
              <w:jc w:val="right"/>
              <w:spacing w:after="0"/>
              <w:rPr>
                <w:sz w:val="20"/>
                <w:szCs w:val="20"/>
                <w:color w:val="auto"/>
              </w:rPr>
            </w:pPr>
            <w:r>
              <w:rPr>
                <w:rFonts w:ascii="Arial" w:cs="Arial" w:eastAsia="Arial" w:hAnsi="Arial"/>
                <w:sz w:val="14"/>
                <w:szCs w:val="14"/>
                <w:color w:val="auto"/>
              </w:rPr>
              <w:t>257</w:t>
            </w:r>
          </w:p>
        </w:tc>
      </w:tr>
      <w:tr>
        <w:trPr>
          <w:trHeight w:val="216"/>
        </w:trPr>
        <w:tc>
          <w:tcPr>
            <w:tcW w:w="1620" w:type="dxa"/>
            <w:vAlign w:val="bottom"/>
          </w:tcPr>
          <w:p>
            <w:pPr>
              <w:jc w:val="right"/>
              <w:ind w:right="1228"/>
              <w:spacing w:after="0"/>
              <w:rPr>
                <w:sz w:val="20"/>
                <w:szCs w:val="20"/>
                <w:color w:val="auto"/>
              </w:rPr>
            </w:pPr>
            <w:r>
              <w:rPr>
                <w:rFonts w:ascii="Arial" w:cs="Arial" w:eastAsia="Arial" w:hAnsi="Arial"/>
                <w:sz w:val="14"/>
                <w:szCs w:val="14"/>
                <w:color w:val="auto"/>
                <w:w w:val="96"/>
              </w:rPr>
              <w:t>2005</w:t>
            </w:r>
          </w:p>
        </w:tc>
        <w:tc>
          <w:tcPr>
            <w:tcW w:w="2580" w:type="dxa"/>
            <w:vAlign w:val="bottom"/>
          </w:tcPr>
          <w:p>
            <w:pPr>
              <w:jc w:val="right"/>
              <w:ind w:right="350"/>
              <w:spacing w:after="0"/>
              <w:rPr>
                <w:sz w:val="20"/>
                <w:szCs w:val="20"/>
                <w:color w:val="auto"/>
              </w:rPr>
            </w:pPr>
            <w:r>
              <w:rPr>
                <w:rFonts w:ascii="Arial" w:cs="Arial" w:eastAsia="Arial" w:hAnsi="Arial"/>
                <w:sz w:val="14"/>
                <w:szCs w:val="14"/>
                <w:color w:val="auto"/>
              </w:rPr>
              <w:t>1,377</w:t>
            </w:r>
          </w:p>
        </w:tc>
        <w:tc>
          <w:tcPr>
            <w:tcW w:w="1360" w:type="dxa"/>
            <w:vAlign w:val="bottom"/>
          </w:tcPr>
          <w:p>
            <w:pPr>
              <w:jc w:val="right"/>
              <w:spacing w:after="0"/>
              <w:rPr>
                <w:sz w:val="20"/>
                <w:szCs w:val="20"/>
                <w:color w:val="auto"/>
              </w:rPr>
            </w:pPr>
            <w:r>
              <w:rPr>
                <w:rFonts w:ascii="Arial" w:cs="Arial" w:eastAsia="Arial" w:hAnsi="Arial"/>
                <w:sz w:val="14"/>
                <w:szCs w:val="14"/>
                <w:color w:val="auto"/>
              </w:rPr>
              <w:t>86</w:t>
            </w:r>
          </w:p>
        </w:tc>
      </w:tr>
      <w:tr>
        <w:trPr>
          <w:trHeight w:val="250"/>
        </w:trPr>
        <w:tc>
          <w:tcPr>
            <w:tcW w:w="1620" w:type="dxa"/>
            <w:vAlign w:val="bottom"/>
            <w:tcBorders>
              <w:bottom w:val="single" w:sz="8" w:color="DFDFDF"/>
            </w:tcBorders>
          </w:tcPr>
          <w:p>
            <w:pPr>
              <w:jc w:val="right"/>
              <w:ind w:right="1228"/>
              <w:spacing w:after="0"/>
              <w:rPr>
                <w:sz w:val="20"/>
                <w:szCs w:val="20"/>
                <w:color w:val="auto"/>
              </w:rPr>
            </w:pPr>
            <w:r>
              <w:rPr>
                <w:rFonts w:ascii="Arial" w:cs="Arial" w:eastAsia="Arial" w:hAnsi="Arial"/>
                <w:sz w:val="14"/>
                <w:szCs w:val="14"/>
                <w:color w:val="auto"/>
                <w:w w:val="96"/>
              </w:rPr>
              <w:t>2004</w:t>
            </w:r>
          </w:p>
        </w:tc>
        <w:tc>
          <w:tcPr>
            <w:tcW w:w="2580" w:type="dxa"/>
            <w:vAlign w:val="bottom"/>
            <w:tcBorders>
              <w:bottom w:val="single" w:sz="8" w:color="DFDFDF"/>
            </w:tcBorders>
          </w:tcPr>
          <w:p>
            <w:pPr>
              <w:jc w:val="right"/>
              <w:ind w:right="350"/>
              <w:spacing w:after="0"/>
              <w:rPr>
                <w:sz w:val="20"/>
                <w:szCs w:val="20"/>
                <w:color w:val="auto"/>
              </w:rPr>
            </w:pPr>
            <w:r>
              <w:rPr>
                <w:rFonts w:ascii="Arial" w:cs="Arial" w:eastAsia="Arial" w:hAnsi="Arial"/>
                <w:sz w:val="14"/>
                <w:szCs w:val="14"/>
                <w:color w:val="auto"/>
              </w:rPr>
              <w:t>1,065</w:t>
            </w:r>
          </w:p>
        </w:tc>
        <w:tc>
          <w:tcPr>
            <w:tcW w:w="1360" w:type="dxa"/>
            <w:vAlign w:val="bottom"/>
            <w:tcBorders>
              <w:bottom w:val="single" w:sz="8" w:color="DFDFDF"/>
            </w:tcBorders>
          </w:tcPr>
          <w:p>
            <w:pPr>
              <w:jc w:val="right"/>
              <w:spacing w:after="0"/>
              <w:rPr>
                <w:sz w:val="20"/>
                <w:szCs w:val="20"/>
                <w:color w:val="auto"/>
              </w:rPr>
            </w:pPr>
            <w:r>
              <w:rPr>
                <w:rFonts w:ascii="Arial" w:cs="Arial" w:eastAsia="Arial" w:hAnsi="Arial"/>
                <w:sz w:val="14"/>
                <w:szCs w:val="14"/>
                <w:color w:val="auto"/>
              </w:rPr>
              <w:t>74</w:t>
            </w:r>
          </w:p>
        </w:tc>
      </w:tr>
    </w:tbl>
    <w:p>
      <w:pPr>
        <w:spacing w:after="0" w:line="346" w:lineRule="exact"/>
        <w:rPr>
          <w:sz w:val="20"/>
          <w:szCs w:val="20"/>
          <w:color w:val="auto"/>
        </w:rPr>
      </w:pPr>
    </w:p>
    <w:p>
      <w:pPr>
        <w:ind w:left="4"/>
        <w:spacing w:after="0"/>
        <w:rPr>
          <w:sz w:val="20"/>
          <w:szCs w:val="20"/>
          <w:color w:val="auto"/>
        </w:rPr>
      </w:pPr>
      <w:r>
        <w:rPr>
          <w:rFonts w:ascii="Arial" w:cs="Arial" w:eastAsia="Arial" w:hAnsi="Arial"/>
          <w:sz w:val="18"/>
          <w:szCs w:val="18"/>
          <w:b w:val="1"/>
          <w:bCs w:val="1"/>
          <w:i w:val="1"/>
          <w:iCs w:val="1"/>
          <w:color w:val="auto"/>
        </w:rPr>
        <w:t>Sempra Energy Capital Expenditures</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6"/>
          <w:szCs w:val="16"/>
          <w:color w:val="auto"/>
        </w:rPr>
        <w:t>Capital expenditures at the Sempra Utilities are discussed below.</w:t>
      </w:r>
    </w:p>
    <w:p>
      <w:pPr>
        <w:spacing w:after="0" w:line="80" w:lineRule="exact"/>
        <w:rPr>
          <w:sz w:val="20"/>
          <w:szCs w:val="20"/>
          <w:color w:val="auto"/>
        </w:rPr>
      </w:pPr>
    </w:p>
    <w:p>
      <w:pPr>
        <w:ind w:left="4"/>
        <w:spacing w:after="0"/>
        <w:rPr>
          <w:sz w:val="20"/>
          <w:szCs w:val="20"/>
          <w:color w:val="auto"/>
        </w:rPr>
      </w:pPr>
      <w:r>
        <w:rPr>
          <w:rFonts w:ascii="Arial" w:cs="Arial" w:eastAsia="Arial" w:hAnsi="Arial"/>
          <w:sz w:val="16"/>
          <w:szCs w:val="16"/>
          <w:color w:val="auto"/>
        </w:rPr>
        <w:t>At Sempra Global, the primary capital expenditures over the last three years were as follows:</w:t>
      </w:r>
    </w:p>
    <w:p>
      <w:pPr>
        <w:spacing w:after="0" w:line="78" w:lineRule="exact"/>
        <w:rPr>
          <w:sz w:val="20"/>
          <w:szCs w:val="20"/>
          <w:color w:val="auto"/>
        </w:rPr>
      </w:pPr>
    </w:p>
    <w:p>
      <w:pPr>
        <w:ind w:left="4"/>
        <w:spacing w:after="0"/>
        <w:rPr>
          <w:sz w:val="20"/>
          <w:szCs w:val="20"/>
          <w:color w:val="auto"/>
        </w:rPr>
      </w:pPr>
      <w:r>
        <w:rPr>
          <w:rFonts w:ascii="Arial" w:cs="Arial" w:eastAsia="Arial" w:hAnsi="Arial"/>
          <w:sz w:val="18"/>
          <w:szCs w:val="18"/>
          <w:i w:val="1"/>
          <w:iCs w:val="1"/>
          <w:color w:val="auto"/>
        </w:rPr>
        <w:t>Sempra LNG</w:t>
      </w:r>
    </w:p>
    <w:p>
      <w:pPr>
        <w:spacing w:after="0" w:line="72" w:lineRule="exact"/>
        <w:rPr>
          <w:sz w:val="20"/>
          <w:szCs w:val="20"/>
          <w:color w:val="auto"/>
        </w:rPr>
      </w:pPr>
    </w:p>
    <w:p>
      <w:pPr>
        <w:ind w:left="4" w:right="120"/>
        <w:spacing w:after="0" w:line="274" w:lineRule="auto"/>
        <w:rPr>
          <w:sz w:val="20"/>
          <w:szCs w:val="20"/>
          <w:color w:val="auto"/>
        </w:rPr>
      </w:pPr>
      <w:r>
        <w:rPr>
          <w:rFonts w:ascii="Arial" w:cs="Arial" w:eastAsia="Arial" w:hAnsi="Arial"/>
          <w:sz w:val="16"/>
          <w:szCs w:val="16"/>
          <w:i w:val="1"/>
          <w:iCs w:val="1"/>
          <w:color w:val="auto"/>
        </w:rPr>
        <w:t xml:space="preserve">Energía Costa Azul LNG Receipt Terminal. </w:t>
      </w:r>
      <w:r>
        <w:rPr>
          <w:rFonts w:ascii="Arial" w:cs="Arial" w:eastAsia="Arial" w:hAnsi="Arial"/>
          <w:sz w:val="16"/>
          <w:szCs w:val="16"/>
          <w:color w:val="auto"/>
        </w:rPr>
        <w:t>Through December 31, 2008, Sempra LNG has made expenditures of $1.2 billion related to the terminal (including breakwater), the</w:t>
      </w:r>
      <w:r>
        <w:rPr>
          <w:rFonts w:ascii="Arial" w:cs="Arial" w:eastAsia="Arial" w:hAnsi="Arial"/>
          <w:sz w:val="16"/>
          <w:szCs w:val="16"/>
          <w:i w:val="1"/>
          <w:iCs w:val="1"/>
          <w:color w:val="auto"/>
        </w:rPr>
        <w:t xml:space="preserve"> </w:t>
      </w:r>
      <w:r>
        <w:rPr>
          <w:rFonts w:ascii="Arial" w:cs="Arial" w:eastAsia="Arial" w:hAnsi="Arial"/>
          <w:sz w:val="16"/>
          <w:szCs w:val="16"/>
          <w:color w:val="auto"/>
        </w:rPr>
        <w:t>nitrogen-injection facility, and an expansion project, including:</w:t>
      </w:r>
    </w:p>
    <w:p>
      <w:pPr>
        <w:ind w:left="144" w:hanging="144"/>
        <w:spacing w:after="0"/>
        <w:tabs>
          <w:tab w:leader="none" w:pos="144" w:val="left"/>
        </w:tabs>
        <w:numPr>
          <w:ilvl w:val="0"/>
          <w:numId w:val="277"/>
        </w:numPr>
        <w:rPr>
          <w:rFonts w:ascii="Arial" w:cs="Arial" w:eastAsia="Arial" w:hAnsi="Arial"/>
          <w:sz w:val="16"/>
          <w:szCs w:val="16"/>
          <w:color w:val="auto"/>
        </w:rPr>
      </w:pPr>
      <w:r>
        <w:rPr>
          <w:rFonts w:ascii="Arial" w:cs="Arial" w:eastAsia="Arial" w:hAnsi="Arial"/>
          <w:sz w:val="16"/>
          <w:szCs w:val="16"/>
          <w:color w:val="auto"/>
        </w:rPr>
        <w:t>$228 million in 2008</w:t>
      </w:r>
    </w:p>
    <w:p>
      <w:pPr>
        <w:spacing w:after="0" w:line="44" w:lineRule="exact"/>
        <w:rPr>
          <w:rFonts w:ascii="Arial" w:cs="Arial" w:eastAsia="Arial" w:hAnsi="Arial"/>
          <w:sz w:val="16"/>
          <w:szCs w:val="16"/>
          <w:color w:val="auto"/>
        </w:rPr>
      </w:pPr>
    </w:p>
    <w:p>
      <w:pPr>
        <w:ind w:left="144" w:hanging="144"/>
        <w:spacing w:after="0"/>
        <w:tabs>
          <w:tab w:leader="none" w:pos="144" w:val="left"/>
        </w:tabs>
        <w:numPr>
          <w:ilvl w:val="0"/>
          <w:numId w:val="277"/>
        </w:numPr>
        <w:rPr>
          <w:rFonts w:ascii="Arial" w:cs="Arial" w:eastAsia="Arial" w:hAnsi="Arial"/>
          <w:sz w:val="16"/>
          <w:szCs w:val="16"/>
          <w:color w:val="auto"/>
        </w:rPr>
      </w:pPr>
      <w:r>
        <w:rPr>
          <w:rFonts w:ascii="Arial" w:cs="Arial" w:eastAsia="Arial" w:hAnsi="Arial"/>
          <w:sz w:val="16"/>
          <w:szCs w:val="16"/>
          <w:color w:val="auto"/>
        </w:rPr>
        <w:t>$298 million in 2007</w:t>
      </w:r>
    </w:p>
    <w:p>
      <w:pPr>
        <w:spacing w:after="0" w:line="44" w:lineRule="exact"/>
        <w:rPr>
          <w:rFonts w:ascii="Arial" w:cs="Arial" w:eastAsia="Arial" w:hAnsi="Arial"/>
          <w:sz w:val="16"/>
          <w:szCs w:val="16"/>
          <w:color w:val="auto"/>
        </w:rPr>
      </w:pPr>
    </w:p>
    <w:p>
      <w:pPr>
        <w:ind w:left="144" w:hanging="144"/>
        <w:spacing w:after="0"/>
        <w:tabs>
          <w:tab w:leader="none" w:pos="144" w:val="left"/>
        </w:tabs>
        <w:numPr>
          <w:ilvl w:val="0"/>
          <w:numId w:val="277"/>
        </w:numPr>
        <w:rPr>
          <w:rFonts w:ascii="Arial" w:cs="Arial" w:eastAsia="Arial" w:hAnsi="Arial"/>
          <w:sz w:val="16"/>
          <w:szCs w:val="16"/>
          <w:color w:val="auto"/>
        </w:rPr>
      </w:pPr>
      <w:r>
        <w:rPr>
          <w:rFonts w:ascii="Arial" w:cs="Arial" w:eastAsia="Arial" w:hAnsi="Arial"/>
          <w:sz w:val="16"/>
          <w:szCs w:val="16"/>
          <w:color w:val="auto"/>
        </w:rPr>
        <w:t>$302 million in 2006</w:t>
      </w:r>
    </w:p>
    <w:p>
      <w:pPr>
        <w:spacing w:after="0" w:line="128" w:lineRule="exact"/>
        <w:rPr>
          <w:sz w:val="20"/>
          <w:szCs w:val="20"/>
          <w:color w:val="auto"/>
        </w:rPr>
      </w:pPr>
    </w:p>
    <w:p>
      <w:pPr>
        <w:ind w:left="4"/>
        <w:spacing w:after="0" w:line="313" w:lineRule="auto"/>
        <w:rPr>
          <w:sz w:val="20"/>
          <w:szCs w:val="20"/>
          <w:color w:val="auto"/>
        </w:rPr>
      </w:pPr>
      <w:r>
        <w:rPr>
          <w:rFonts w:ascii="Arial" w:cs="Arial" w:eastAsia="Arial" w:hAnsi="Arial"/>
          <w:sz w:val="14"/>
          <w:szCs w:val="14"/>
          <w:i w:val="1"/>
          <w:iCs w:val="1"/>
          <w:color w:val="auto"/>
        </w:rPr>
        <w:t xml:space="preserve">Cameron LNG Receipt Terminal. </w:t>
      </w:r>
      <w:r>
        <w:rPr>
          <w:rFonts w:ascii="Arial" w:cs="Arial" w:eastAsia="Arial" w:hAnsi="Arial"/>
          <w:sz w:val="14"/>
          <w:szCs w:val="14"/>
          <w:color w:val="auto"/>
        </w:rPr>
        <w:t>The estimated costs of this project, including capitalized interest, are approximately $900 million (excluding pre-expansion costs, which are $43</w:t>
      </w:r>
      <w:r>
        <w:rPr>
          <w:rFonts w:ascii="Arial" w:cs="Arial" w:eastAsia="Arial" w:hAnsi="Arial"/>
          <w:sz w:val="14"/>
          <w:szCs w:val="14"/>
          <w:i w:val="1"/>
          <w:iCs w:val="1"/>
          <w:color w:val="auto"/>
        </w:rPr>
        <w:t xml:space="preserve"> </w:t>
      </w:r>
      <w:r>
        <w:rPr>
          <w:rFonts w:ascii="Arial" w:cs="Arial" w:eastAsia="Arial" w:hAnsi="Arial"/>
          <w:sz w:val="14"/>
          <w:szCs w:val="14"/>
          <w:color w:val="auto"/>
        </w:rPr>
        <w:t>million to date). Through December 31, 2008, Sempra LNG has made expenditures of $793 million related to the terminal and a proposed expansion project, including:</w:t>
      </w:r>
    </w:p>
    <w:p>
      <w:pPr>
        <w:spacing w:after="0" w:line="1" w:lineRule="exact"/>
        <w:rPr>
          <w:sz w:val="20"/>
          <w:szCs w:val="20"/>
          <w:color w:val="auto"/>
        </w:rPr>
      </w:pPr>
    </w:p>
    <w:p>
      <w:pPr>
        <w:ind w:left="144" w:hanging="144"/>
        <w:spacing w:after="0"/>
        <w:tabs>
          <w:tab w:leader="none" w:pos="144" w:val="left"/>
        </w:tabs>
        <w:numPr>
          <w:ilvl w:val="0"/>
          <w:numId w:val="278"/>
        </w:numPr>
        <w:rPr>
          <w:rFonts w:ascii="Arial" w:cs="Arial" w:eastAsia="Arial" w:hAnsi="Arial"/>
          <w:sz w:val="16"/>
          <w:szCs w:val="16"/>
          <w:color w:val="auto"/>
        </w:rPr>
      </w:pPr>
      <w:r>
        <w:rPr>
          <w:rFonts w:ascii="Arial" w:cs="Arial" w:eastAsia="Arial" w:hAnsi="Arial"/>
          <w:sz w:val="16"/>
          <w:szCs w:val="16"/>
          <w:color w:val="auto"/>
        </w:rPr>
        <w:t>$152 million in 2008</w:t>
      </w:r>
    </w:p>
    <w:p>
      <w:pPr>
        <w:spacing w:after="0" w:line="44" w:lineRule="exact"/>
        <w:rPr>
          <w:rFonts w:ascii="Arial" w:cs="Arial" w:eastAsia="Arial" w:hAnsi="Arial"/>
          <w:sz w:val="16"/>
          <w:szCs w:val="16"/>
          <w:color w:val="auto"/>
        </w:rPr>
      </w:pPr>
    </w:p>
    <w:p>
      <w:pPr>
        <w:ind w:left="144" w:hanging="144"/>
        <w:spacing w:after="0"/>
        <w:tabs>
          <w:tab w:leader="none" w:pos="144" w:val="left"/>
        </w:tabs>
        <w:numPr>
          <w:ilvl w:val="0"/>
          <w:numId w:val="278"/>
        </w:numPr>
        <w:rPr>
          <w:rFonts w:ascii="Arial" w:cs="Arial" w:eastAsia="Arial" w:hAnsi="Arial"/>
          <w:sz w:val="16"/>
          <w:szCs w:val="16"/>
          <w:color w:val="auto"/>
        </w:rPr>
      </w:pPr>
      <w:r>
        <w:rPr>
          <w:rFonts w:ascii="Arial" w:cs="Arial" w:eastAsia="Arial" w:hAnsi="Arial"/>
          <w:sz w:val="16"/>
          <w:szCs w:val="16"/>
          <w:color w:val="auto"/>
        </w:rPr>
        <w:t>$224 million in 2007</w:t>
      </w:r>
    </w:p>
    <w:p>
      <w:pPr>
        <w:spacing w:after="0" w:line="44" w:lineRule="exact"/>
        <w:rPr>
          <w:rFonts w:ascii="Arial" w:cs="Arial" w:eastAsia="Arial" w:hAnsi="Arial"/>
          <w:sz w:val="16"/>
          <w:szCs w:val="16"/>
          <w:color w:val="auto"/>
        </w:rPr>
      </w:pPr>
    </w:p>
    <w:p>
      <w:pPr>
        <w:ind w:left="144" w:hanging="144"/>
        <w:spacing w:after="0"/>
        <w:tabs>
          <w:tab w:leader="none" w:pos="144" w:val="left"/>
        </w:tabs>
        <w:numPr>
          <w:ilvl w:val="0"/>
          <w:numId w:val="278"/>
        </w:numPr>
        <w:rPr>
          <w:rFonts w:ascii="Arial" w:cs="Arial" w:eastAsia="Arial" w:hAnsi="Arial"/>
          <w:sz w:val="16"/>
          <w:szCs w:val="16"/>
          <w:color w:val="auto"/>
        </w:rPr>
      </w:pPr>
      <w:r>
        <w:rPr>
          <w:rFonts w:ascii="Arial" w:cs="Arial" w:eastAsia="Arial" w:hAnsi="Arial"/>
          <w:sz w:val="16"/>
          <w:szCs w:val="16"/>
          <w:color w:val="auto"/>
        </w:rPr>
        <w:t>$279 million in 2006</w:t>
      </w:r>
    </w:p>
    <w:p>
      <w:pPr>
        <w:spacing w:after="0" w:line="126" w:lineRule="exact"/>
        <w:rPr>
          <w:sz w:val="20"/>
          <w:szCs w:val="20"/>
          <w:color w:val="auto"/>
        </w:rPr>
      </w:pPr>
    </w:p>
    <w:p>
      <w:pPr>
        <w:ind w:left="4"/>
        <w:spacing w:after="0"/>
        <w:rPr>
          <w:sz w:val="20"/>
          <w:szCs w:val="20"/>
          <w:color w:val="auto"/>
        </w:rPr>
      </w:pPr>
      <w:r>
        <w:rPr>
          <w:rFonts w:ascii="Arial" w:cs="Arial" w:eastAsia="Arial" w:hAnsi="Arial"/>
          <w:sz w:val="18"/>
          <w:szCs w:val="18"/>
          <w:i w:val="1"/>
          <w:iCs w:val="1"/>
          <w:color w:val="auto"/>
        </w:rPr>
        <w:t>Sempra Pipelines &amp; Storage</w:t>
      </w:r>
    </w:p>
    <w:p>
      <w:pPr>
        <w:spacing w:after="0" w:line="72" w:lineRule="exact"/>
        <w:rPr>
          <w:sz w:val="20"/>
          <w:szCs w:val="20"/>
          <w:color w:val="auto"/>
        </w:rPr>
      </w:pPr>
    </w:p>
    <w:p>
      <w:pPr>
        <w:ind w:left="4" w:right="80"/>
        <w:spacing w:after="0" w:line="319" w:lineRule="auto"/>
        <w:rPr>
          <w:sz w:val="20"/>
          <w:szCs w:val="20"/>
          <w:color w:val="auto"/>
        </w:rPr>
      </w:pPr>
      <w:r>
        <w:rPr>
          <w:rFonts w:ascii="Arial" w:cs="Arial" w:eastAsia="Arial" w:hAnsi="Arial"/>
          <w:sz w:val="14"/>
          <w:szCs w:val="14"/>
          <w:color w:val="auto"/>
        </w:rPr>
        <w:t>Sempra Pipelines &amp; Storage completed its expansion of its existing pipelines in Baja California, Mexico, and the addition of a spur line to connect Sempra LNG’s Energía Costa Azul terminal to an existing Sempra Energy natural gas pipeline in Mexico with interconnections to the U.S. border. Commercial operation of the pipelines expansion began in May 2008. Sempra Pipelines &amp; Storage also had capital expenditures for its Cameron Interstate Pipeline and natural gas storage projects. Related expenditures were</w:t>
      </w:r>
    </w:p>
    <w:p>
      <w:pPr>
        <w:spacing w:after="0" w:line="43" w:lineRule="exact"/>
        <w:rPr>
          <w:sz w:val="20"/>
          <w:szCs w:val="20"/>
          <w:color w:val="auto"/>
        </w:rPr>
      </w:pPr>
    </w:p>
    <w:tbl>
      <w:tblPr>
        <w:tblLayout w:type="fixed"/>
        <w:tblInd w:w="4" w:type="dxa"/>
        <w:tblCellMar>
          <w:top w:w="0" w:type="dxa"/>
          <w:left w:w="0" w:type="dxa"/>
          <w:bottom w:w="0" w:type="dxa"/>
          <w:right w:w="0" w:type="dxa"/>
        </w:tblCellMar>
      </w:tblPr>
      <w:tr>
        <w:trPr>
          <w:trHeight w:val="205"/>
        </w:trPr>
        <w:tc>
          <w:tcPr>
            <w:tcW w:w="2460" w:type="dxa"/>
            <w:vAlign w:val="bottom"/>
            <w:gridSpan w:val="2"/>
          </w:tcPr>
          <w:p>
            <w:pPr>
              <w:spacing w:after="0"/>
              <w:rPr>
                <w:sz w:val="20"/>
                <w:szCs w:val="20"/>
                <w:color w:val="auto"/>
              </w:rPr>
            </w:pPr>
            <w:r>
              <w:rPr>
                <w:rFonts w:ascii="Arial" w:cs="Arial" w:eastAsia="Arial" w:hAnsi="Arial"/>
                <w:sz w:val="16"/>
                <w:szCs w:val="16"/>
                <w:color w:val="auto"/>
              </w:rPr>
              <w:t>Pipelines:</w:t>
            </w:r>
          </w:p>
        </w:tc>
        <w:tc>
          <w:tcPr>
            <w:tcW w:w="2460" w:type="dxa"/>
            <w:vAlign w:val="bottom"/>
            <w:gridSpan w:val="2"/>
          </w:tcPr>
          <w:p>
            <w:pPr>
              <w:ind w:left="580"/>
              <w:spacing w:after="0"/>
              <w:rPr>
                <w:sz w:val="20"/>
                <w:szCs w:val="20"/>
                <w:color w:val="auto"/>
              </w:rPr>
            </w:pPr>
            <w:r>
              <w:rPr>
                <w:rFonts w:ascii="Arial" w:cs="Arial" w:eastAsia="Arial" w:hAnsi="Arial"/>
                <w:sz w:val="16"/>
                <w:szCs w:val="16"/>
                <w:color w:val="auto"/>
              </w:rPr>
              <w:t>Natural gas storage:</w:t>
            </w:r>
          </w:p>
        </w:tc>
      </w:tr>
      <w:tr>
        <w:trPr>
          <w:trHeight w:val="252"/>
        </w:trPr>
        <w:tc>
          <w:tcPr>
            <w:tcW w:w="160" w:type="dxa"/>
            <w:vAlign w:val="bottom"/>
          </w:tcPr>
          <w:p>
            <w:pPr>
              <w:spacing w:after="0"/>
              <w:rPr>
                <w:sz w:val="20"/>
                <w:szCs w:val="20"/>
                <w:color w:val="auto"/>
              </w:rPr>
            </w:pPr>
            <w:r>
              <w:rPr>
                <w:rFonts w:ascii="Arial" w:cs="Arial" w:eastAsia="Arial" w:hAnsi="Arial"/>
                <w:sz w:val="16"/>
                <w:szCs w:val="16"/>
                <w:color w:val="auto"/>
              </w:rPr>
              <w:t>§</w:t>
            </w:r>
          </w:p>
        </w:tc>
        <w:tc>
          <w:tcPr>
            <w:tcW w:w="2300" w:type="dxa"/>
            <w:vAlign w:val="bottom"/>
          </w:tcPr>
          <w:p>
            <w:pPr>
              <w:ind w:left="20"/>
              <w:spacing w:after="0"/>
              <w:rPr>
                <w:sz w:val="20"/>
                <w:szCs w:val="20"/>
                <w:color w:val="auto"/>
              </w:rPr>
            </w:pPr>
            <w:r>
              <w:rPr>
                <w:rFonts w:ascii="Arial" w:cs="Arial" w:eastAsia="Arial" w:hAnsi="Arial"/>
                <w:sz w:val="16"/>
                <w:szCs w:val="16"/>
                <w:color w:val="auto"/>
              </w:rPr>
              <w:t>$147 million in 2008</w:t>
            </w:r>
          </w:p>
        </w:tc>
        <w:tc>
          <w:tcPr>
            <w:tcW w:w="700" w:type="dxa"/>
            <w:vAlign w:val="bottom"/>
          </w:tcPr>
          <w:p>
            <w:pPr>
              <w:ind w:left="580"/>
              <w:spacing w:after="0"/>
              <w:rPr>
                <w:sz w:val="20"/>
                <w:szCs w:val="20"/>
                <w:color w:val="auto"/>
              </w:rPr>
            </w:pPr>
            <w:r>
              <w:rPr>
                <w:rFonts w:ascii="Arial" w:cs="Arial" w:eastAsia="Arial" w:hAnsi="Arial"/>
                <w:sz w:val="16"/>
                <w:szCs w:val="16"/>
                <w:color w:val="auto"/>
              </w:rPr>
              <w:t>§</w:t>
            </w:r>
          </w:p>
        </w:tc>
        <w:tc>
          <w:tcPr>
            <w:tcW w:w="1760" w:type="dxa"/>
            <w:vAlign w:val="bottom"/>
          </w:tcPr>
          <w:p>
            <w:pPr>
              <w:ind w:left="40"/>
              <w:spacing w:after="0"/>
              <w:rPr>
                <w:sz w:val="20"/>
                <w:szCs w:val="20"/>
                <w:color w:val="auto"/>
              </w:rPr>
            </w:pPr>
            <w:r>
              <w:rPr>
                <w:rFonts w:ascii="Arial" w:cs="Arial" w:eastAsia="Arial" w:hAnsi="Arial"/>
                <w:sz w:val="16"/>
                <w:szCs w:val="16"/>
                <w:color w:val="auto"/>
              </w:rPr>
              <w:t>$34 million in 2008</w:t>
            </w:r>
          </w:p>
        </w:tc>
      </w:tr>
      <w:tr>
        <w:trPr>
          <w:trHeight w:val="252"/>
        </w:trPr>
        <w:tc>
          <w:tcPr>
            <w:tcW w:w="160" w:type="dxa"/>
            <w:vAlign w:val="bottom"/>
          </w:tcPr>
          <w:p>
            <w:pPr>
              <w:spacing w:after="0"/>
              <w:rPr>
                <w:sz w:val="20"/>
                <w:szCs w:val="20"/>
                <w:color w:val="auto"/>
              </w:rPr>
            </w:pPr>
            <w:r>
              <w:rPr>
                <w:rFonts w:ascii="Arial" w:cs="Arial" w:eastAsia="Arial" w:hAnsi="Arial"/>
                <w:sz w:val="16"/>
                <w:szCs w:val="16"/>
                <w:color w:val="auto"/>
              </w:rPr>
              <w:t>§</w:t>
            </w:r>
          </w:p>
        </w:tc>
        <w:tc>
          <w:tcPr>
            <w:tcW w:w="2300" w:type="dxa"/>
            <w:vAlign w:val="bottom"/>
          </w:tcPr>
          <w:p>
            <w:pPr>
              <w:ind w:left="20"/>
              <w:spacing w:after="0"/>
              <w:rPr>
                <w:sz w:val="20"/>
                <w:szCs w:val="20"/>
                <w:color w:val="auto"/>
              </w:rPr>
            </w:pPr>
            <w:r>
              <w:rPr>
                <w:rFonts w:ascii="Arial" w:cs="Arial" w:eastAsia="Arial" w:hAnsi="Arial"/>
                <w:sz w:val="16"/>
                <w:szCs w:val="16"/>
                <w:color w:val="auto"/>
              </w:rPr>
              <w:t>$270 million through 2007</w:t>
            </w:r>
          </w:p>
        </w:tc>
        <w:tc>
          <w:tcPr>
            <w:tcW w:w="700" w:type="dxa"/>
            <w:vAlign w:val="bottom"/>
          </w:tcPr>
          <w:p>
            <w:pPr>
              <w:ind w:left="580"/>
              <w:spacing w:after="0"/>
              <w:rPr>
                <w:sz w:val="20"/>
                <w:szCs w:val="20"/>
                <w:color w:val="auto"/>
              </w:rPr>
            </w:pPr>
            <w:r>
              <w:rPr>
                <w:rFonts w:ascii="Arial" w:cs="Arial" w:eastAsia="Arial" w:hAnsi="Arial"/>
                <w:sz w:val="16"/>
                <w:szCs w:val="16"/>
                <w:color w:val="auto"/>
              </w:rPr>
              <w:t>§</w:t>
            </w:r>
          </w:p>
        </w:tc>
        <w:tc>
          <w:tcPr>
            <w:tcW w:w="1760" w:type="dxa"/>
            <w:vAlign w:val="bottom"/>
          </w:tcPr>
          <w:p>
            <w:pPr>
              <w:ind w:left="40"/>
              <w:spacing w:after="0"/>
              <w:rPr>
                <w:sz w:val="20"/>
                <w:szCs w:val="20"/>
                <w:color w:val="auto"/>
              </w:rPr>
            </w:pPr>
            <w:r>
              <w:rPr>
                <w:rFonts w:ascii="Arial" w:cs="Arial" w:eastAsia="Arial" w:hAnsi="Arial"/>
                <w:sz w:val="16"/>
                <w:szCs w:val="16"/>
                <w:color w:val="auto"/>
                <w:w w:val="92"/>
              </w:rPr>
              <w:t>$217 million through 2007</w:t>
            </w:r>
          </w:p>
        </w:tc>
      </w:tr>
      <w:tr>
        <w:trPr>
          <w:trHeight w:val="763"/>
        </w:trPr>
        <w:tc>
          <w:tcPr>
            <w:tcW w:w="160" w:type="dxa"/>
            <w:vAlign w:val="bottom"/>
          </w:tcPr>
          <w:p>
            <w:pPr>
              <w:spacing w:after="0"/>
              <w:rPr>
                <w:sz w:val="20"/>
                <w:szCs w:val="20"/>
                <w:color w:val="auto"/>
              </w:rPr>
            </w:pPr>
            <w:r>
              <w:rPr>
                <w:rFonts w:ascii="Arial" w:cs="Arial" w:eastAsia="Arial" w:hAnsi="Arial"/>
                <w:sz w:val="14"/>
                <w:szCs w:val="14"/>
                <w:color w:val="auto"/>
                <w:w w:val="89"/>
              </w:rPr>
              <w:t>32</w:t>
            </w:r>
          </w:p>
        </w:tc>
        <w:tc>
          <w:tcPr>
            <w:tcW w:w="2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760" w:type="dxa"/>
            <w:vAlign w:val="bottom"/>
          </w:tcPr>
          <w:p>
            <w:pPr>
              <w:spacing w:after="0"/>
              <w:rPr>
                <w:sz w:val="24"/>
                <w:szCs w:val="24"/>
                <w:color w:val="auto"/>
              </w:rPr>
            </w:pPr>
          </w:p>
        </w:tc>
      </w:tr>
    </w:tbl>
    <w:p>
      <w:pPr>
        <w:sectPr>
          <w:pgSz w:w="11900" w:h="16838" w:orient="portrait"/>
          <w:cols w:equalWidth="0" w:num="1">
            <w:col w:w="11404"/>
          </w:cols>
          <w:pgMar w:left="236" w:top="395" w:right="259" w:bottom="1440" w:gutter="0" w:footer="0" w:header="0"/>
        </w:sectPr>
      </w:pPr>
    </w:p>
    <w:bookmarkStart w:id="172" w:name="page173"/>
    <w:bookmarkEnd w:id="172"/>
    <w:p>
      <w:pPr>
        <w:ind w:left="4"/>
        <w:spacing w:after="0"/>
        <w:rPr>
          <w:sz w:val="20"/>
          <w:szCs w:val="20"/>
          <w:color w:val="auto"/>
        </w:rPr>
      </w:pPr>
      <w:r>
        <w:rPr>
          <w:rFonts w:ascii="Arial" w:cs="Arial" w:eastAsia="Arial" w:hAnsi="Arial"/>
          <w:sz w:val="18"/>
          <w:szCs w:val="18"/>
          <w:b w:val="1"/>
          <w:bCs w:val="1"/>
          <w:i w:val="1"/>
          <w:iCs w:val="1"/>
          <w:color w:val="auto"/>
        </w:rPr>
        <w:t>Sempra Energy Investments and Acquisition of Subsidiaries</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6"/>
          <w:szCs w:val="16"/>
          <w:color w:val="auto"/>
        </w:rPr>
        <w:t>In 2008, investments and acquisition of subsidiaries included</w:t>
      </w:r>
    </w:p>
    <w:p>
      <w:pPr>
        <w:spacing w:after="0" w:line="44" w:lineRule="exact"/>
        <w:rPr>
          <w:sz w:val="20"/>
          <w:szCs w:val="20"/>
          <w:color w:val="auto"/>
        </w:rPr>
      </w:pPr>
    </w:p>
    <w:p>
      <w:pPr>
        <w:ind w:left="144" w:hanging="144"/>
        <w:spacing w:after="0"/>
        <w:tabs>
          <w:tab w:leader="none" w:pos="144" w:val="left"/>
        </w:tabs>
        <w:numPr>
          <w:ilvl w:val="0"/>
          <w:numId w:val="279"/>
        </w:numPr>
        <w:rPr>
          <w:rFonts w:ascii="Arial" w:cs="Arial" w:eastAsia="Arial" w:hAnsi="Arial"/>
          <w:sz w:val="16"/>
          <w:szCs w:val="16"/>
          <w:color w:val="auto"/>
        </w:rPr>
      </w:pPr>
      <w:r>
        <w:rPr>
          <w:rFonts w:ascii="Arial" w:cs="Arial" w:eastAsia="Arial" w:hAnsi="Arial"/>
          <w:sz w:val="16"/>
          <w:szCs w:val="16"/>
          <w:color w:val="auto"/>
        </w:rPr>
        <w:t>capital contributions of $1.6 billion to RBS Sempra Commodities and $150 million to Rockies Express Pipeline LLC (Rockies Express)</w:t>
      </w:r>
    </w:p>
    <w:p>
      <w:pPr>
        <w:spacing w:after="0" w:line="44" w:lineRule="exact"/>
        <w:rPr>
          <w:rFonts w:ascii="Arial" w:cs="Arial" w:eastAsia="Arial" w:hAnsi="Arial"/>
          <w:sz w:val="16"/>
          <w:szCs w:val="16"/>
          <w:color w:val="auto"/>
        </w:rPr>
      </w:pPr>
    </w:p>
    <w:p>
      <w:pPr>
        <w:ind w:left="144" w:hanging="144"/>
        <w:spacing w:after="0"/>
        <w:tabs>
          <w:tab w:leader="none" w:pos="144" w:val="left"/>
        </w:tabs>
        <w:numPr>
          <w:ilvl w:val="0"/>
          <w:numId w:val="279"/>
        </w:numPr>
        <w:rPr>
          <w:rFonts w:ascii="Arial" w:cs="Arial" w:eastAsia="Arial" w:hAnsi="Arial"/>
          <w:sz w:val="16"/>
          <w:szCs w:val="16"/>
          <w:color w:val="auto"/>
        </w:rPr>
      </w:pPr>
      <w:r>
        <w:rPr>
          <w:rFonts w:ascii="Arial" w:cs="Arial" w:eastAsia="Arial" w:hAnsi="Arial"/>
          <w:sz w:val="16"/>
          <w:szCs w:val="16"/>
          <w:color w:val="auto"/>
        </w:rPr>
        <w:t>the acquisition of EnergySouth for $495 million (net of $16 million of cash acquired)</w:t>
      </w:r>
    </w:p>
    <w:p>
      <w:pPr>
        <w:spacing w:after="0" w:line="44" w:lineRule="exact"/>
        <w:rPr>
          <w:rFonts w:ascii="Arial" w:cs="Arial" w:eastAsia="Arial" w:hAnsi="Arial"/>
          <w:sz w:val="16"/>
          <w:szCs w:val="16"/>
          <w:color w:val="auto"/>
        </w:rPr>
      </w:pPr>
    </w:p>
    <w:p>
      <w:pPr>
        <w:ind w:left="144" w:hanging="144"/>
        <w:spacing w:after="0"/>
        <w:tabs>
          <w:tab w:leader="none" w:pos="144" w:val="left"/>
        </w:tabs>
        <w:numPr>
          <w:ilvl w:val="0"/>
          <w:numId w:val="279"/>
        </w:numPr>
        <w:rPr>
          <w:rFonts w:ascii="Arial" w:cs="Arial" w:eastAsia="Arial" w:hAnsi="Arial"/>
          <w:sz w:val="16"/>
          <w:szCs w:val="16"/>
          <w:color w:val="auto"/>
        </w:rPr>
      </w:pPr>
      <w:r>
        <w:rPr>
          <w:rFonts w:ascii="Arial" w:cs="Arial" w:eastAsia="Arial" w:hAnsi="Arial"/>
          <w:sz w:val="16"/>
          <w:szCs w:val="16"/>
          <w:color w:val="auto"/>
        </w:rPr>
        <w:t>the purchase of $413 million in industrial development bonds</w:t>
      </w:r>
    </w:p>
    <w:p>
      <w:pPr>
        <w:spacing w:after="0" w:line="128" w:lineRule="exact"/>
        <w:rPr>
          <w:sz w:val="20"/>
          <w:szCs w:val="20"/>
          <w:color w:val="auto"/>
        </w:rPr>
      </w:pPr>
    </w:p>
    <w:p>
      <w:pPr>
        <w:ind w:left="4"/>
        <w:spacing w:after="0"/>
        <w:rPr>
          <w:sz w:val="20"/>
          <w:szCs w:val="20"/>
          <w:color w:val="auto"/>
        </w:rPr>
      </w:pPr>
      <w:r>
        <w:rPr>
          <w:rFonts w:ascii="Arial" w:cs="Arial" w:eastAsia="Arial" w:hAnsi="Arial"/>
          <w:sz w:val="16"/>
          <w:szCs w:val="16"/>
          <w:color w:val="auto"/>
        </w:rPr>
        <w:t>In 2007, investments included</w:t>
      </w:r>
    </w:p>
    <w:p>
      <w:pPr>
        <w:spacing w:after="0" w:line="44" w:lineRule="exact"/>
        <w:rPr>
          <w:sz w:val="20"/>
          <w:szCs w:val="20"/>
          <w:color w:val="auto"/>
        </w:rPr>
      </w:pPr>
    </w:p>
    <w:p>
      <w:pPr>
        <w:ind w:left="144" w:hanging="144"/>
        <w:spacing w:after="0"/>
        <w:tabs>
          <w:tab w:leader="none" w:pos="144" w:val="left"/>
        </w:tabs>
        <w:numPr>
          <w:ilvl w:val="0"/>
          <w:numId w:val="280"/>
        </w:numPr>
        <w:rPr>
          <w:rFonts w:ascii="Arial" w:cs="Arial" w:eastAsia="Arial" w:hAnsi="Arial"/>
          <w:sz w:val="16"/>
          <w:szCs w:val="16"/>
          <w:color w:val="auto"/>
        </w:rPr>
      </w:pPr>
      <w:r>
        <w:rPr>
          <w:rFonts w:ascii="Arial" w:cs="Arial" w:eastAsia="Arial" w:hAnsi="Arial"/>
          <w:sz w:val="16"/>
          <w:szCs w:val="16"/>
          <w:color w:val="auto"/>
        </w:rPr>
        <w:t>a contribution of $100 million to Rockies Express</w:t>
      </w:r>
    </w:p>
    <w:p>
      <w:pPr>
        <w:spacing w:after="0" w:line="44" w:lineRule="exact"/>
        <w:rPr>
          <w:rFonts w:ascii="Arial" w:cs="Arial" w:eastAsia="Arial" w:hAnsi="Arial"/>
          <w:sz w:val="16"/>
          <w:szCs w:val="16"/>
          <w:color w:val="auto"/>
        </w:rPr>
      </w:pPr>
    </w:p>
    <w:p>
      <w:pPr>
        <w:ind w:left="144" w:hanging="144"/>
        <w:spacing w:after="0"/>
        <w:tabs>
          <w:tab w:leader="none" w:pos="144" w:val="left"/>
        </w:tabs>
        <w:numPr>
          <w:ilvl w:val="0"/>
          <w:numId w:val="280"/>
        </w:numPr>
        <w:rPr>
          <w:rFonts w:ascii="Arial" w:cs="Arial" w:eastAsia="Arial" w:hAnsi="Arial"/>
          <w:sz w:val="16"/>
          <w:szCs w:val="16"/>
          <w:color w:val="auto"/>
        </w:rPr>
      </w:pPr>
      <w:r>
        <w:rPr>
          <w:rFonts w:ascii="Arial" w:cs="Arial" w:eastAsia="Arial" w:hAnsi="Arial"/>
          <w:sz w:val="16"/>
          <w:szCs w:val="16"/>
          <w:color w:val="auto"/>
        </w:rPr>
        <w:t>$21 million for purchases of available-for-sale securities and other investments</w:t>
      </w:r>
    </w:p>
    <w:p>
      <w:pPr>
        <w:spacing w:after="0" w:line="128" w:lineRule="exact"/>
        <w:rPr>
          <w:sz w:val="20"/>
          <w:szCs w:val="20"/>
          <w:color w:val="auto"/>
        </w:rPr>
      </w:pPr>
    </w:p>
    <w:p>
      <w:pPr>
        <w:ind w:left="4"/>
        <w:spacing w:after="0"/>
        <w:rPr>
          <w:sz w:val="20"/>
          <w:szCs w:val="20"/>
          <w:color w:val="auto"/>
        </w:rPr>
      </w:pPr>
      <w:r>
        <w:rPr>
          <w:rFonts w:ascii="Arial" w:cs="Arial" w:eastAsia="Arial" w:hAnsi="Arial"/>
          <w:sz w:val="16"/>
          <w:szCs w:val="16"/>
          <w:color w:val="auto"/>
        </w:rPr>
        <w:t>In 2006, investments included</w:t>
      </w:r>
    </w:p>
    <w:p>
      <w:pPr>
        <w:spacing w:after="0" w:line="44" w:lineRule="exact"/>
        <w:rPr>
          <w:sz w:val="20"/>
          <w:szCs w:val="20"/>
          <w:color w:val="auto"/>
        </w:rPr>
      </w:pPr>
    </w:p>
    <w:p>
      <w:pPr>
        <w:ind w:left="144" w:right="1080" w:hanging="144"/>
        <w:spacing w:after="0" w:line="274" w:lineRule="auto"/>
        <w:tabs>
          <w:tab w:leader="none" w:pos="144" w:val="left"/>
        </w:tabs>
        <w:numPr>
          <w:ilvl w:val="0"/>
          <w:numId w:val="281"/>
        </w:numPr>
        <w:rPr>
          <w:rFonts w:ascii="Arial" w:cs="Arial" w:eastAsia="Arial" w:hAnsi="Arial"/>
          <w:sz w:val="16"/>
          <w:szCs w:val="16"/>
          <w:color w:val="auto"/>
        </w:rPr>
      </w:pPr>
      <w:r>
        <w:rPr>
          <w:rFonts w:ascii="Arial" w:cs="Arial" w:eastAsia="Arial" w:hAnsi="Arial"/>
          <w:sz w:val="16"/>
          <w:szCs w:val="16"/>
          <w:color w:val="auto"/>
        </w:rPr>
        <w:t>a $128 million investment in industrial development bonds in connection with the Liberty project (discussed in Note 6 of the Notes to Consolidated Financial Statements)</w:t>
      </w:r>
    </w:p>
    <w:p>
      <w:pPr>
        <w:ind w:left="144" w:hanging="144"/>
        <w:spacing w:after="0"/>
        <w:tabs>
          <w:tab w:leader="none" w:pos="144" w:val="left"/>
        </w:tabs>
        <w:numPr>
          <w:ilvl w:val="0"/>
          <w:numId w:val="281"/>
        </w:numPr>
        <w:rPr>
          <w:rFonts w:ascii="Arial" w:cs="Arial" w:eastAsia="Arial" w:hAnsi="Arial"/>
          <w:sz w:val="16"/>
          <w:szCs w:val="16"/>
          <w:color w:val="auto"/>
        </w:rPr>
      </w:pPr>
      <w:r>
        <w:rPr>
          <w:rFonts w:ascii="Arial" w:cs="Arial" w:eastAsia="Arial" w:hAnsi="Arial"/>
          <w:sz w:val="16"/>
          <w:szCs w:val="16"/>
          <w:color w:val="auto"/>
        </w:rPr>
        <w:t>a $104 million initial capital contribution to Rockies Express during the first half of 2006</w:t>
      </w:r>
    </w:p>
    <w:p>
      <w:pPr>
        <w:spacing w:after="0" w:line="128" w:lineRule="exact"/>
        <w:rPr>
          <w:sz w:val="20"/>
          <w:szCs w:val="20"/>
          <w:color w:val="auto"/>
        </w:rPr>
      </w:pPr>
    </w:p>
    <w:p>
      <w:pPr>
        <w:ind w:left="4" w:right="100"/>
        <w:spacing w:after="0" w:line="277" w:lineRule="auto"/>
        <w:rPr>
          <w:sz w:val="20"/>
          <w:szCs w:val="20"/>
          <w:color w:val="auto"/>
        </w:rPr>
      </w:pPr>
      <w:r>
        <w:rPr>
          <w:rFonts w:ascii="Arial" w:cs="Arial" w:eastAsia="Arial" w:hAnsi="Arial"/>
          <w:sz w:val="16"/>
          <w:szCs w:val="16"/>
          <w:color w:val="auto"/>
        </w:rPr>
        <w:t>The 2006 contribution was returned to Sempra Pipelines &amp; Storage later that year in connection with financing received by Rockies Express during the second quarter of 2006 and was reported in Distributions from Investments on the Statements of Consolidated Cash Flows.</w:t>
      </w:r>
    </w:p>
    <w:p>
      <w:pPr>
        <w:spacing w:after="0" w:line="126" w:lineRule="exact"/>
        <w:rPr>
          <w:sz w:val="20"/>
          <w:szCs w:val="20"/>
          <w:color w:val="auto"/>
        </w:rPr>
      </w:pPr>
    </w:p>
    <w:p>
      <w:pPr>
        <w:ind w:left="4"/>
        <w:spacing w:after="0"/>
        <w:rPr>
          <w:sz w:val="20"/>
          <w:szCs w:val="20"/>
          <w:color w:val="auto"/>
        </w:rPr>
      </w:pPr>
      <w:r>
        <w:rPr>
          <w:rFonts w:ascii="Arial" w:cs="Arial" w:eastAsia="Arial" w:hAnsi="Arial"/>
          <w:sz w:val="18"/>
          <w:szCs w:val="18"/>
          <w:b w:val="1"/>
          <w:bCs w:val="1"/>
          <w:i w:val="1"/>
          <w:iCs w:val="1"/>
          <w:color w:val="auto"/>
        </w:rPr>
        <w:t>Sempra Utilities Capital Expenditures and Investments</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6"/>
          <w:szCs w:val="16"/>
          <w:color w:val="auto"/>
        </w:rPr>
        <w:t>The Sempra Utilities' capital expenditures for property, plant and equipment were</w:t>
      </w:r>
    </w:p>
    <w:p>
      <w:pPr>
        <w:spacing w:after="0" w:line="301" w:lineRule="exact"/>
        <w:rPr>
          <w:sz w:val="20"/>
          <w:szCs w:val="20"/>
          <w:color w:val="auto"/>
        </w:rPr>
      </w:pPr>
    </w:p>
    <w:tbl>
      <w:tblPr>
        <w:tblLayout w:type="fixed"/>
        <w:tblInd w:w="3204" w:type="dxa"/>
        <w:tblCellMar>
          <w:top w:w="0" w:type="dxa"/>
          <w:left w:w="0" w:type="dxa"/>
          <w:bottom w:w="0" w:type="dxa"/>
          <w:right w:w="0" w:type="dxa"/>
        </w:tblCellMar>
      </w:tblPr>
      <w:tr>
        <w:trPr>
          <w:trHeight w:val="171"/>
        </w:trPr>
        <w:tc>
          <w:tcPr>
            <w:tcW w:w="1680" w:type="dxa"/>
            <w:vAlign w:val="bottom"/>
            <w:tcBorders>
              <w:bottom w:val="single" w:sz="8" w:color="auto"/>
            </w:tcBorders>
          </w:tcPr>
          <w:p>
            <w:pPr>
              <w:spacing w:after="0"/>
              <w:rPr>
                <w:sz w:val="20"/>
                <w:szCs w:val="20"/>
                <w:color w:val="auto"/>
              </w:rPr>
            </w:pPr>
            <w:r>
              <w:rPr>
                <w:rFonts w:ascii="Arial" w:cs="Arial" w:eastAsia="Arial" w:hAnsi="Arial"/>
                <w:sz w:val="13"/>
                <w:szCs w:val="13"/>
                <w:i w:val="1"/>
                <w:iCs w:val="1"/>
                <w:color w:val="auto"/>
              </w:rPr>
              <w:t>(Dollars in millions)</w:t>
            </w:r>
          </w:p>
        </w:tc>
        <w:tc>
          <w:tcPr>
            <w:tcW w:w="7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31"/>
              <w:spacing w:after="0"/>
              <w:rPr>
                <w:sz w:val="20"/>
                <w:szCs w:val="20"/>
                <w:color w:val="auto"/>
              </w:rPr>
            </w:pPr>
            <w:r>
              <w:rPr>
                <w:rFonts w:ascii="Arial" w:cs="Arial" w:eastAsia="Arial" w:hAnsi="Arial"/>
                <w:sz w:val="13"/>
                <w:szCs w:val="13"/>
                <w:color w:val="auto"/>
              </w:rPr>
              <w:t>2008</w:t>
            </w:r>
          </w:p>
        </w:tc>
        <w:tc>
          <w:tcPr>
            <w:tcW w:w="2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11"/>
              <w:spacing w:after="0"/>
              <w:rPr>
                <w:sz w:val="20"/>
                <w:szCs w:val="20"/>
                <w:color w:val="auto"/>
              </w:rPr>
            </w:pPr>
            <w:r>
              <w:rPr>
                <w:rFonts w:ascii="Arial" w:cs="Arial" w:eastAsia="Arial" w:hAnsi="Arial"/>
                <w:sz w:val="13"/>
                <w:szCs w:val="13"/>
                <w:color w:val="auto"/>
              </w:rPr>
              <w:t>2007</w:t>
            </w:r>
          </w:p>
        </w:tc>
        <w:tc>
          <w:tcPr>
            <w:tcW w:w="2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1"/>
              <w:spacing w:after="0"/>
              <w:rPr>
                <w:sz w:val="20"/>
                <w:szCs w:val="20"/>
                <w:color w:val="auto"/>
              </w:rPr>
            </w:pPr>
            <w:r>
              <w:rPr>
                <w:rFonts w:ascii="Arial" w:cs="Arial" w:eastAsia="Arial" w:hAnsi="Arial"/>
                <w:sz w:val="13"/>
                <w:szCs w:val="13"/>
                <w:color w:val="auto"/>
              </w:rPr>
              <w:t>2006</w:t>
            </w:r>
          </w:p>
        </w:tc>
      </w:tr>
      <w:tr>
        <w:trPr>
          <w:trHeight w:val="183"/>
        </w:trPr>
        <w:tc>
          <w:tcPr>
            <w:tcW w:w="1680" w:type="dxa"/>
            <w:vAlign w:val="bottom"/>
          </w:tcPr>
          <w:p>
            <w:pPr>
              <w:spacing w:after="0"/>
              <w:rPr>
                <w:sz w:val="20"/>
                <w:szCs w:val="20"/>
                <w:color w:val="auto"/>
              </w:rPr>
            </w:pPr>
            <w:r>
              <w:rPr>
                <w:rFonts w:ascii="Arial" w:cs="Arial" w:eastAsia="Arial" w:hAnsi="Arial"/>
                <w:sz w:val="14"/>
                <w:szCs w:val="14"/>
                <w:color w:val="auto"/>
              </w:rPr>
              <w:t>SDG&amp;E</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11"/>
              <w:spacing w:after="0"/>
              <w:rPr>
                <w:sz w:val="20"/>
                <w:szCs w:val="20"/>
                <w:color w:val="auto"/>
              </w:rPr>
            </w:pPr>
            <w:r>
              <w:rPr>
                <w:rFonts w:ascii="Arial" w:cs="Arial" w:eastAsia="Arial" w:hAnsi="Arial"/>
                <w:sz w:val="14"/>
                <w:szCs w:val="14"/>
                <w:color w:val="auto"/>
              </w:rPr>
              <w:t>884</w:t>
            </w:r>
          </w:p>
        </w:tc>
        <w:tc>
          <w:tcPr>
            <w:tcW w:w="2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11"/>
              <w:spacing w:after="0"/>
              <w:rPr>
                <w:sz w:val="20"/>
                <w:szCs w:val="20"/>
                <w:color w:val="auto"/>
              </w:rPr>
            </w:pPr>
            <w:r>
              <w:rPr>
                <w:rFonts w:ascii="Arial" w:cs="Arial" w:eastAsia="Arial" w:hAnsi="Arial"/>
                <w:sz w:val="14"/>
                <w:szCs w:val="14"/>
                <w:color w:val="auto"/>
              </w:rPr>
              <w:t>714</w:t>
            </w:r>
          </w:p>
        </w:tc>
        <w:tc>
          <w:tcPr>
            <w:tcW w:w="2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1,070</w:t>
            </w:r>
          </w:p>
        </w:tc>
      </w:tr>
      <w:tr>
        <w:trPr>
          <w:trHeight w:val="250"/>
        </w:trPr>
        <w:tc>
          <w:tcPr>
            <w:tcW w:w="1680" w:type="dxa"/>
            <w:vAlign w:val="bottom"/>
            <w:tcBorders>
              <w:bottom w:val="single" w:sz="8" w:color="DFDFDF"/>
            </w:tcBorders>
          </w:tcPr>
          <w:p>
            <w:pPr>
              <w:spacing w:after="0"/>
              <w:rPr>
                <w:sz w:val="20"/>
                <w:szCs w:val="20"/>
                <w:color w:val="auto"/>
              </w:rPr>
            </w:pPr>
            <w:r>
              <w:rPr>
                <w:rFonts w:ascii="Arial" w:cs="Arial" w:eastAsia="Arial" w:hAnsi="Arial"/>
                <w:sz w:val="14"/>
                <w:szCs w:val="14"/>
                <w:color w:val="auto"/>
              </w:rPr>
              <w:t>SoCalGas</w:t>
            </w:r>
          </w:p>
        </w:tc>
        <w:tc>
          <w:tcPr>
            <w:tcW w:w="780" w:type="dxa"/>
            <w:vAlign w:val="bottom"/>
            <w:tcBorders>
              <w:bottom w:val="single" w:sz="8" w:color="DFDFDF"/>
            </w:tcBorders>
          </w:tcPr>
          <w:p>
            <w:pPr>
              <w:spacing w:after="0"/>
              <w:rPr>
                <w:sz w:val="21"/>
                <w:szCs w:val="21"/>
                <w:color w:val="auto"/>
              </w:rPr>
            </w:pPr>
          </w:p>
        </w:tc>
        <w:tc>
          <w:tcPr>
            <w:tcW w:w="700" w:type="dxa"/>
            <w:vAlign w:val="bottom"/>
            <w:tcBorders>
              <w:bottom w:val="single" w:sz="8" w:color="DFDFDF"/>
            </w:tcBorders>
          </w:tcPr>
          <w:p>
            <w:pPr>
              <w:jc w:val="right"/>
              <w:ind w:right="11"/>
              <w:spacing w:after="0"/>
              <w:rPr>
                <w:sz w:val="20"/>
                <w:szCs w:val="20"/>
                <w:color w:val="auto"/>
              </w:rPr>
            </w:pPr>
            <w:r>
              <w:rPr>
                <w:rFonts w:ascii="Arial" w:cs="Arial" w:eastAsia="Arial" w:hAnsi="Arial"/>
                <w:sz w:val="14"/>
                <w:szCs w:val="14"/>
                <w:color w:val="auto"/>
              </w:rPr>
              <w:t>454</w:t>
            </w:r>
          </w:p>
        </w:tc>
        <w:tc>
          <w:tcPr>
            <w:tcW w:w="280" w:type="dxa"/>
            <w:vAlign w:val="bottom"/>
            <w:tcBorders>
              <w:bottom w:val="single" w:sz="8" w:color="DFDFDF"/>
            </w:tcBorders>
          </w:tcPr>
          <w:p>
            <w:pPr>
              <w:spacing w:after="0"/>
              <w:rPr>
                <w:sz w:val="21"/>
                <w:szCs w:val="21"/>
                <w:color w:val="auto"/>
              </w:rPr>
            </w:pPr>
          </w:p>
        </w:tc>
        <w:tc>
          <w:tcPr>
            <w:tcW w:w="680" w:type="dxa"/>
            <w:vAlign w:val="bottom"/>
            <w:tcBorders>
              <w:bottom w:val="single" w:sz="8" w:color="DFDFDF"/>
            </w:tcBorders>
          </w:tcPr>
          <w:p>
            <w:pPr>
              <w:jc w:val="right"/>
              <w:ind w:right="11"/>
              <w:spacing w:after="0"/>
              <w:rPr>
                <w:sz w:val="20"/>
                <w:szCs w:val="20"/>
                <w:color w:val="auto"/>
              </w:rPr>
            </w:pPr>
            <w:r>
              <w:rPr>
                <w:rFonts w:ascii="Arial" w:cs="Arial" w:eastAsia="Arial" w:hAnsi="Arial"/>
                <w:sz w:val="14"/>
                <w:szCs w:val="14"/>
                <w:color w:val="auto"/>
              </w:rPr>
              <w:t>457</w:t>
            </w:r>
          </w:p>
        </w:tc>
        <w:tc>
          <w:tcPr>
            <w:tcW w:w="280" w:type="dxa"/>
            <w:vAlign w:val="bottom"/>
            <w:tcBorders>
              <w:bottom w:val="single" w:sz="8" w:color="DFDFDF"/>
            </w:tcBorders>
          </w:tcPr>
          <w:p>
            <w:pPr>
              <w:spacing w:after="0"/>
              <w:rPr>
                <w:sz w:val="21"/>
                <w:szCs w:val="21"/>
                <w:color w:val="auto"/>
              </w:rPr>
            </w:pPr>
          </w:p>
        </w:tc>
        <w:tc>
          <w:tcPr>
            <w:tcW w:w="640" w:type="dxa"/>
            <w:vAlign w:val="bottom"/>
            <w:tcBorders>
              <w:bottom w:val="single" w:sz="8" w:color="DFDFDF"/>
            </w:tcBorders>
          </w:tcPr>
          <w:p>
            <w:pPr>
              <w:jc w:val="right"/>
              <w:spacing w:after="0"/>
              <w:rPr>
                <w:sz w:val="20"/>
                <w:szCs w:val="20"/>
                <w:color w:val="auto"/>
              </w:rPr>
            </w:pPr>
            <w:r>
              <w:rPr>
                <w:rFonts w:ascii="Arial" w:cs="Arial" w:eastAsia="Arial" w:hAnsi="Arial"/>
                <w:sz w:val="14"/>
                <w:szCs w:val="14"/>
                <w:color w:val="auto"/>
              </w:rPr>
              <w:t>413</w:t>
            </w:r>
          </w:p>
        </w:tc>
      </w:tr>
    </w:tbl>
    <w:p>
      <w:pPr>
        <w:spacing w:after="0" w:line="252" w:lineRule="exact"/>
        <w:rPr>
          <w:sz w:val="20"/>
          <w:szCs w:val="20"/>
          <w:color w:val="auto"/>
        </w:rPr>
      </w:pPr>
    </w:p>
    <w:p>
      <w:pPr>
        <w:ind w:left="4"/>
        <w:spacing w:after="0"/>
        <w:rPr>
          <w:sz w:val="20"/>
          <w:szCs w:val="20"/>
          <w:color w:val="auto"/>
        </w:rPr>
      </w:pPr>
      <w:r>
        <w:rPr>
          <w:rFonts w:ascii="Arial" w:cs="Arial" w:eastAsia="Arial" w:hAnsi="Arial"/>
          <w:sz w:val="16"/>
          <w:szCs w:val="16"/>
          <w:color w:val="auto"/>
        </w:rPr>
        <w:t>Capital expenditures at the Sempra Utilities in 2008 included</w:t>
      </w:r>
    </w:p>
    <w:p>
      <w:pPr>
        <w:spacing w:after="0" w:line="78" w:lineRule="exact"/>
        <w:rPr>
          <w:sz w:val="20"/>
          <w:szCs w:val="20"/>
          <w:color w:val="auto"/>
        </w:rPr>
      </w:pPr>
    </w:p>
    <w:p>
      <w:pPr>
        <w:ind w:left="4"/>
        <w:spacing w:after="0"/>
        <w:rPr>
          <w:sz w:val="20"/>
          <w:szCs w:val="20"/>
          <w:color w:val="auto"/>
        </w:rPr>
      </w:pPr>
      <w:r>
        <w:rPr>
          <w:rFonts w:ascii="Arial" w:cs="Arial" w:eastAsia="Arial" w:hAnsi="Arial"/>
          <w:sz w:val="18"/>
          <w:szCs w:val="18"/>
          <w:i w:val="1"/>
          <w:iCs w:val="1"/>
          <w:color w:val="auto"/>
        </w:rPr>
        <w:t>SDG&amp;E</w:t>
      </w:r>
    </w:p>
    <w:p>
      <w:pPr>
        <w:spacing w:after="0" w:line="72" w:lineRule="exact"/>
        <w:rPr>
          <w:sz w:val="20"/>
          <w:szCs w:val="20"/>
          <w:color w:val="auto"/>
        </w:rPr>
      </w:pPr>
    </w:p>
    <w:p>
      <w:pPr>
        <w:ind w:left="4"/>
        <w:spacing w:after="0"/>
        <w:rPr>
          <w:sz w:val="20"/>
          <w:szCs w:val="20"/>
          <w:color w:val="auto"/>
        </w:rPr>
      </w:pPr>
      <w:r>
        <w:rPr>
          <w:rFonts w:ascii="Arial" w:cs="Arial" w:eastAsia="Arial" w:hAnsi="Arial"/>
          <w:sz w:val="16"/>
          <w:szCs w:val="16"/>
          <w:color w:val="auto"/>
        </w:rPr>
        <w:t>§ $386 million of improvements to natural gas and electric distribution</w:t>
      </w:r>
    </w:p>
    <w:p>
      <w:pPr>
        <w:spacing w:after="0" w:line="44" w:lineRule="exact"/>
        <w:rPr>
          <w:sz w:val="20"/>
          <w:szCs w:val="20"/>
          <w:color w:val="auto"/>
        </w:rPr>
      </w:pPr>
    </w:p>
    <w:p>
      <w:pPr>
        <w:ind w:left="4"/>
        <w:spacing w:after="0"/>
        <w:rPr>
          <w:sz w:val="20"/>
          <w:szCs w:val="20"/>
          <w:color w:val="auto"/>
        </w:rPr>
      </w:pPr>
      <w:r>
        <w:rPr>
          <w:rFonts w:ascii="Arial" w:cs="Arial" w:eastAsia="Arial" w:hAnsi="Arial"/>
          <w:sz w:val="16"/>
          <w:szCs w:val="16"/>
          <w:color w:val="auto"/>
        </w:rPr>
        <w:t>§ $230 million of improvements to electric transmission and generation systems</w:t>
      </w:r>
    </w:p>
    <w:p>
      <w:pPr>
        <w:spacing w:after="0" w:line="44" w:lineRule="exact"/>
        <w:rPr>
          <w:sz w:val="20"/>
          <w:szCs w:val="20"/>
          <w:color w:val="auto"/>
        </w:rPr>
      </w:pPr>
    </w:p>
    <w:p>
      <w:pPr>
        <w:ind w:left="4"/>
        <w:spacing w:after="0"/>
        <w:rPr>
          <w:sz w:val="20"/>
          <w:szCs w:val="20"/>
          <w:color w:val="auto"/>
        </w:rPr>
      </w:pPr>
      <w:r>
        <w:rPr>
          <w:rFonts w:ascii="Arial" w:cs="Arial" w:eastAsia="Arial" w:hAnsi="Arial"/>
          <w:sz w:val="16"/>
          <w:szCs w:val="16"/>
          <w:color w:val="auto"/>
        </w:rPr>
        <w:t>§ $178 million at Otay Mesa VIE</w:t>
      </w:r>
    </w:p>
    <w:p>
      <w:pPr>
        <w:spacing w:after="0" w:line="126" w:lineRule="exact"/>
        <w:rPr>
          <w:sz w:val="20"/>
          <w:szCs w:val="20"/>
          <w:color w:val="auto"/>
        </w:rPr>
      </w:pPr>
    </w:p>
    <w:p>
      <w:pPr>
        <w:ind w:left="4"/>
        <w:spacing w:after="0"/>
        <w:rPr>
          <w:sz w:val="20"/>
          <w:szCs w:val="20"/>
          <w:color w:val="auto"/>
        </w:rPr>
      </w:pPr>
      <w:r>
        <w:rPr>
          <w:rFonts w:ascii="Arial" w:cs="Arial" w:eastAsia="Arial" w:hAnsi="Arial"/>
          <w:sz w:val="18"/>
          <w:szCs w:val="18"/>
          <w:i w:val="1"/>
          <w:iCs w:val="1"/>
          <w:color w:val="auto"/>
        </w:rPr>
        <w:t>SoCalGas</w:t>
      </w:r>
    </w:p>
    <w:p>
      <w:pPr>
        <w:spacing w:after="0" w:line="72" w:lineRule="exact"/>
        <w:rPr>
          <w:sz w:val="20"/>
          <w:szCs w:val="20"/>
          <w:color w:val="auto"/>
        </w:rPr>
      </w:pPr>
    </w:p>
    <w:p>
      <w:pPr>
        <w:ind w:left="4"/>
        <w:spacing w:after="0"/>
        <w:rPr>
          <w:sz w:val="20"/>
          <w:szCs w:val="20"/>
          <w:color w:val="auto"/>
        </w:rPr>
      </w:pPr>
      <w:r>
        <w:rPr>
          <w:rFonts w:ascii="Arial" w:cs="Arial" w:eastAsia="Arial" w:hAnsi="Arial"/>
          <w:sz w:val="16"/>
          <w:szCs w:val="16"/>
          <w:color w:val="auto"/>
        </w:rPr>
        <w:t>§ $454 million of improvements to natural gas infrastructure</w:t>
      </w:r>
    </w:p>
    <w:p>
      <w:pPr>
        <w:spacing w:after="0" w:line="128" w:lineRule="exact"/>
        <w:rPr>
          <w:sz w:val="20"/>
          <w:szCs w:val="20"/>
          <w:color w:val="auto"/>
        </w:rPr>
      </w:pPr>
    </w:p>
    <w:p>
      <w:pPr>
        <w:ind w:left="4"/>
        <w:spacing w:after="0" w:line="264" w:lineRule="auto"/>
        <w:rPr>
          <w:sz w:val="20"/>
          <w:szCs w:val="20"/>
          <w:color w:val="auto"/>
        </w:rPr>
      </w:pPr>
      <w:r>
        <w:rPr>
          <w:rFonts w:ascii="Arial" w:cs="Arial" w:eastAsia="Arial" w:hAnsi="Arial"/>
          <w:sz w:val="16"/>
          <w:szCs w:val="16"/>
          <w:color w:val="auto"/>
        </w:rPr>
        <w:t>The larger amount in 2006 for SDG&amp;E compared to 2008 and 2007 was primarily due to the purchase of the Palomar generating facility from Sempra Generation in 2006. This purchase is substantially eliminated in Sempra Energy’s Statement of Consolidated Cash Flows in 2006, as the capital expenditures were recorded by Sempra Energy over the construction period from 2004 through the first quarter of 2006.</w:t>
      </w:r>
    </w:p>
    <w:p>
      <w:pPr>
        <w:spacing w:after="0" w:line="42" w:lineRule="exact"/>
        <w:rPr>
          <w:sz w:val="20"/>
          <w:szCs w:val="20"/>
          <w:color w:val="auto"/>
        </w:rPr>
      </w:pPr>
    </w:p>
    <w:p>
      <w:pPr>
        <w:ind w:left="4"/>
        <w:spacing w:after="0"/>
        <w:rPr>
          <w:sz w:val="20"/>
          <w:szCs w:val="20"/>
          <w:color w:val="auto"/>
        </w:rPr>
      </w:pPr>
      <w:r>
        <w:rPr>
          <w:rFonts w:ascii="Arial" w:cs="Arial" w:eastAsia="Arial" w:hAnsi="Arial"/>
          <w:sz w:val="15"/>
          <w:szCs w:val="15"/>
          <w:color w:val="auto"/>
        </w:rPr>
        <w:t>SDG&amp;E also purchased $488 million of industrial development bonds in 2008. We discuss these bonds in Note 6 of the Notes to Consolidated Financial Statements.</w:t>
      </w:r>
    </w:p>
    <w:p>
      <w:pPr>
        <w:spacing w:after="0" w:line="288"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auto"/>
        </w:rPr>
        <w:t>FUTURE CONSTRUCTION EXPENDITURES AND INVESTMENTS</w:t>
      </w:r>
    </w:p>
    <w:p>
      <w:pPr>
        <w:spacing w:after="0" w:line="89" w:lineRule="exact"/>
        <w:rPr>
          <w:sz w:val="20"/>
          <w:szCs w:val="20"/>
          <w:color w:val="auto"/>
        </w:rPr>
      </w:pPr>
    </w:p>
    <w:p>
      <w:pPr>
        <w:ind w:left="4" w:right="140"/>
        <w:spacing w:after="0" w:line="277" w:lineRule="auto"/>
        <w:rPr>
          <w:sz w:val="20"/>
          <w:szCs w:val="20"/>
          <w:color w:val="auto"/>
        </w:rPr>
      </w:pPr>
      <w:r>
        <w:rPr>
          <w:rFonts w:ascii="Arial" w:cs="Arial" w:eastAsia="Arial" w:hAnsi="Arial"/>
          <w:sz w:val="16"/>
          <w:szCs w:val="16"/>
          <w:color w:val="auto"/>
        </w:rPr>
        <w:t>The amounts and timing of capital expenditures are generally subject to approvals by the CPUC, the FERC and other regulatory bodies. However, in 2009, we expect to make capital expenditures and investments of $2.5 billion, including:</w:t>
      </w:r>
    </w:p>
    <w:p>
      <w:pPr>
        <w:spacing w:after="0" w:line="200" w:lineRule="exact"/>
        <w:rPr>
          <w:sz w:val="20"/>
          <w:szCs w:val="20"/>
          <w:color w:val="auto"/>
        </w:rPr>
      </w:pPr>
    </w:p>
    <w:p>
      <w:pPr>
        <w:spacing w:after="0" w:line="220" w:lineRule="exact"/>
        <w:rPr>
          <w:sz w:val="20"/>
          <w:szCs w:val="20"/>
          <w:color w:val="auto"/>
        </w:rPr>
      </w:pPr>
    </w:p>
    <w:p>
      <w:pPr>
        <w:ind w:left="4"/>
        <w:spacing w:after="0"/>
        <w:rPr>
          <w:sz w:val="20"/>
          <w:szCs w:val="20"/>
          <w:color w:val="auto"/>
        </w:rPr>
      </w:pPr>
      <w:r>
        <w:rPr>
          <w:rFonts w:ascii="Arial" w:cs="Arial" w:eastAsia="Arial" w:hAnsi="Arial"/>
          <w:sz w:val="14"/>
          <w:szCs w:val="14"/>
          <w:color w:val="auto"/>
        </w:rPr>
        <w:t>33</w:t>
      </w:r>
    </w:p>
    <w:p>
      <w:pPr>
        <w:sectPr>
          <w:pgSz w:w="11900" w:h="16838" w:orient="portrait"/>
          <w:cols w:equalWidth="0" w:num="1">
            <w:col w:w="11304"/>
          </w:cols>
          <w:pgMar w:left="236" w:top="786" w:right="359" w:bottom="1440" w:gutter="0" w:footer="0" w:header="0"/>
        </w:sectPr>
      </w:pPr>
    </w:p>
    <w:bookmarkStart w:id="173" w:name="page174"/>
    <w:bookmarkEnd w:id="173"/>
    <w:p>
      <w:pPr>
        <w:ind w:left="144" w:hanging="144"/>
        <w:spacing w:after="0"/>
        <w:tabs>
          <w:tab w:leader="none" w:pos="144" w:val="left"/>
        </w:tabs>
        <w:numPr>
          <w:ilvl w:val="0"/>
          <w:numId w:val="282"/>
        </w:numPr>
        <w:rPr>
          <w:rFonts w:ascii="Arial" w:cs="Arial" w:eastAsia="Arial" w:hAnsi="Arial"/>
          <w:sz w:val="16"/>
          <w:szCs w:val="16"/>
          <w:color w:val="auto"/>
        </w:rPr>
      </w:pPr>
      <w:r>
        <w:rPr>
          <w:rFonts w:ascii="Arial" w:cs="Arial" w:eastAsia="Arial" w:hAnsi="Arial"/>
          <w:sz w:val="16"/>
          <w:szCs w:val="16"/>
          <w:color w:val="auto"/>
        </w:rPr>
        <w:t>$1.3 billion at the Sempra Utilities for capital projects and plant improvements ($800 million at SDG&amp;E and $500 million at SoCalGas)</w:t>
      </w:r>
    </w:p>
    <w:p>
      <w:pPr>
        <w:spacing w:after="0" w:line="44" w:lineRule="exact"/>
        <w:rPr>
          <w:rFonts w:ascii="Arial" w:cs="Arial" w:eastAsia="Arial" w:hAnsi="Arial"/>
          <w:sz w:val="16"/>
          <w:szCs w:val="16"/>
          <w:color w:val="auto"/>
        </w:rPr>
      </w:pPr>
    </w:p>
    <w:p>
      <w:pPr>
        <w:ind w:left="144" w:hanging="144"/>
        <w:spacing w:after="0"/>
        <w:tabs>
          <w:tab w:leader="none" w:pos="144" w:val="left"/>
        </w:tabs>
        <w:numPr>
          <w:ilvl w:val="0"/>
          <w:numId w:val="282"/>
        </w:numPr>
        <w:rPr>
          <w:rFonts w:ascii="Arial" w:cs="Arial" w:eastAsia="Arial" w:hAnsi="Arial"/>
          <w:sz w:val="16"/>
          <w:szCs w:val="16"/>
          <w:color w:val="auto"/>
        </w:rPr>
      </w:pPr>
      <w:r>
        <w:rPr>
          <w:rFonts w:ascii="Arial" w:cs="Arial" w:eastAsia="Arial" w:hAnsi="Arial"/>
          <w:sz w:val="16"/>
          <w:szCs w:val="16"/>
          <w:color w:val="auto"/>
        </w:rPr>
        <w:t>$1.2 billion at our other subsidiaries for the development of LNG facilities, natural gas storage facilities and pipelines, and renewable generation projects</w:t>
      </w:r>
    </w:p>
    <w:p>
      <w:pPr>
        <w:spacing w:after="0" w:line="128" w:lineRule="exact"/>
        <w:rPr>
          <w:sz w:val="20"/>
          <w:szCs w:val="20"/>
          <w:color w:val="auto"/>
        </w:rPr>
      </w:pPr>
    </w:p>
    <w:p>
      <w:pPr>
        <w:ind w:left="4" w:right="2240"/>
        <w:spacing w:after="0" w:line="321" w:lineRule="auto"/>
        <w:rPr>
          <w:sz w:val="20"/>
          <w:szCs w:val="20"/>
          <w:color w:val="auto"/>
        </w:rPr>
      </w:pPr>
      <w:r>
        <w:rPr>
          <w:rFonts w:ascii="Arial" w:cs="Arial" w:eastAsia="Arial" w:hAnsi="Arial"/>
          <w:sz w:val="16"/>
          <w:szCs w:val="16"/>
          <w:color w:val="auto"/>
        </w:rPr>
        <w:t>The expected capital expenditures of $1.2 billion at our other subsidiaries include an expected contribution of $450 million to Rockies Express. The Sempra Utilities expect the capital expenditures to include</w:t>
      </w:r>
    </w:p>
    <w:p>
      <w:pPr>
        <w:ind w:left="144" w:hanging="144"/>
        <w:spacing w:after="0"/>
        <w:tabs>
          <w:tab w:leader="none" w:pos="144" w:val="left"/>
        </w:tabs>
        <w:numPr>
          <w:ilvl w:val="0"/>
          <w:numId w:val="283"/>
        </w:numPr>
        <w:rPr>
          <w:rFonts w:ascii="Arial" w:cs="Arial" w:eastAsia="Arial" w:hAnsi="Arial"/>
          <w:sz w:val="16"/>
          <w:szCs w:val="16"/>
          <w:color w:val="auto"/>
        </w:rPr>
      </w:pPr>
      <w:r>
        <w:rPr>
          <w:rFonts w:ascii="Arial" w:cs="Arial" w:eastAsia="Arial" w:hAnsi="Arial"/>
          <w:sz w:val="16"/>
          <w:szCs w:val="16"/>
          <w:color w:val="auto"/>
        </w:rPr>
        <w:t>$500 million for additions to SDG&amp;E’s natural gas and electric distribution generation systems, and advanced metering infrastructure</w:t>
      </w:r>
    </w:p>
    <w:p>
      <w:pPr>
        <w:spacing w:after="0" w:line="44" w:lineRule="exact"/>
        <w:rPr>
          <w:rFonts w:ascii="Arial" w:cs="Arial" w:eastAsia="Arial" w:hAnsi="Arial"/>
          <w:sz w:val="16"/>
          <w:szCs w:val="16"/>
          <w:color w:val="auto"/>
        </w:rPr>
      </w:pPr>
    </w:p>
    <w:p>
      <w:pPr>
        <w:ind w:left="144" w:hanging="144"/>
        <w:spacing w:after="0"/>
        <w:tabs>
          <w:tab w:leader="none" w:pos="144" w:val="left"/>
        </w:tabs>
        <w:numPr>
          <w:ilvl w:val="0"/>
          <w:numId w:val="283"/>
        </w:numPr>
        <w:rPr>
          <w:rFonts w:ascii="Arial" w:cs="Arial" w:eastAsia="Arial" w:hAnsi="Arial"/>
          <w:sz w:val="16"/>
          <w:szCs w:val="16"/>
          <w:color w:val="auto"/>
        </w:rPr>
      </w:pPr>
      <w:r>
        <w:rPr>
          <w:rFonts w:ascii="Arial" w:cs="Arial" w:eastAsia="Arial" w:hAnsi="Arial"/>
          <w:sz w:val="16"/>
          <w:szCs w:val="16"/>
          <w:color w:val="auto"/>
        </w:rPr>
        <w:t>$500 million at SoCalGas for improvements to distribution and transmission systems, and for advanced metering infrastructure</w:t>
      </w:r>
    </w:p>
    <w:p>
      <w:pPr>
        <w:spacing w:after="0" w:line="44" w:lineRule="exact"/>
        <w:rPr>
          <w:rFonts w:ascii="Arial" w:cs="Arial" w:eastAsia="Arial" w:hAnsi="Arial"/>
          <w:sz w:val="16"/>
          <w:szCs w:val="16"/>
          <w:color w:val="auto"/>
        </w:rPr>
      </w:pPr>
    </w:p>
    <w:p>
      <w:pPr>
        <w:ind w:left="144" w:hanging="144"/>
        <w:spacing w:after="0"/>
        <w:tabs>
          <w:tab w:leader="none" w:pos="144" w:val="left"/>
        </w:tabs>
        <w:numPr>
          <w:ilvl w:val="0"/>
          <w:numId w:val="283"/>
        </w:numPr>
        <w:rPr>
          <w:rFonts w:ascii="Arial" w:cs="Arial" w:eastAsia="Arial" w:hAnsi="Arial"/>
          <w:sz w:val="16"/>
          <w:szCs w:val="16"/>
          <w:color w:val="auto"/>
        </w:rPr>
      </w:pPr>
      <w:r>
        <w:rPr>
          <w:rFonts w:ascii="Arial" w:cs="Arial" w:eastAsia="Arial" w:hAnsi="Arial"/>
          <w:sz w:val="16"/>
          <w:szCs w:val="16"/>
          <w:color w:val="auto"/>
        </w:rPr>
        <w:t>$200 million for improvements to SDG&amp;E’s electric transmission infrastructure</w:t>
      </w:r>
    </w:p>
    <w:p>
      <w:pPr>
        <w:spacing w:after="0" w:line="44" w:lineRule="exact"/>
        <w:rPr>
          <w:rFonts w:ascii="Arial" w:cs="Arial" w:eastAsia="Arial" w:hAnsi="Arial"/>
          <w:sz w:val="16"/>
          <w:szCs w:val="16"/>
          <w:color w:val="auto"/>
        </w:rPr>
      </w:pPr>
    </w:p>
    <w:p>
      <w:pPr>
        <w:ind w:left="144" w:hanging="144"/>
        <w:spacing w:after="0"/>
        <w:tabs>
          <w:tab w:leader="none" w:pos="144" w:val="left"/>
        </w:tabs>
        <w:numPr>
          <w:ilvl w:val="0"/>
          <w:numId w:val="283"/>
        </w:numPr>
        <w:rPr>
          <w:rFonts w:ascii="Arial" w:cs="Arial" w:eastAsia="Arial" w:hAnsi="Arial"/>
          <w:sz w:val="16"/>
          <w:szCs w:val="16"/>
          <w:color w:val="auto"/>
        </w:rPr>
      </w:pPr>
      <w:r>
        <w:rPr>
          <w:rFonts w:ascii="Arial" w:cs="Arial" w:eastAsia="Arial" w:hAnsi="Arial"/>
          <w:sz w:val="16"/>
          <w:szCs w:val="16"/>
          <w:color w:val="auto"/>
        </w:rPr>
        <w:t>$100 million at SDG&amp;E for the Sunrise Powerlink transmission line</w:t>
      </w:r>
    </w:p>
    <w:p>
      <w:pPr>
        <w:spacing w:after="0" w:line="128" w:lineRule="exact"/>
        <w:rPr>
          <w:sz w:val="20"/>
          <w:szCs w:val="20"/>
          <w:color w:val="auto"/>
        </w:rPr>
      </w:pPr>
    </w:p>
    <w:p>
      <w:pPr>
        <w:ind w:left="4"/>
        <w:spacing w:after="0" w:line="277" w:lineRule="auto"/>
        <w:rPr>
          <w:sz w:val="20"/>
          <w:szCs w:val="20"/>
          <w:color w:val="auto"/>
        </w:rPr>
      </w:pPr>
      <w:r>
        <w:rPr>
          <w:rFonts w:ascii="Arial" w:cs="Arial" w:eastAsia="Arial" w:hAnsi="Arial"/>
          <w:sz w:val="16"/>
          <w:szCs w:val="16"/>
          <w:color w:val="auto"/>
        </w:rPr>
        <w:t>The Sempra Utilities expect to finance these expenditures and investments with cash flows from operations, cash on hand and debt issuances. These amounts do not include $130 million of expected capital expenditures of Otay Mesa VIE.</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6"/>
          <w:szCs w:val="16"/>
          <w:color w:val="auto"/>
        </w:rPr>
        <w:t>Over the next five years, the Sempra Utilities expect to make capital expenditures of:</w:t>
      </w:r>
    </w:p>
    <w:p>
      <w:pPr>
        <w:spacing w:after="0" w:line="44" w:lineRule="exact"/>
        <w:rPr>
          <w:sz w:val="20"/>
          <w:szCs w:val="20"/>
          <w:color w:val="auto"/>
        </w:rPr>
      </w:pPr>
    </w:p>
    <w:p>
      <w:pPr>
        <w:ind w:left="144" w:hanging="144"/>
        <w:spacing w:after="0"/>
        <w:tabs>
          <w:tab w:leader="none" w:pos="144" w:val="left"/>
        </w:tabs>
        <w:numPr>
          <w:ilvl w:val="0"/>
          <w:numId w:val="284"/>
        </w:numPr>
        <w:rPr>
          <w:rFonts w:ascii="Arial" w:cs="Arial" w:eastAsia="Arial" w:hAnsi="Arial"/>
          <w:sz w:val="16"/>
          <w:szCs w:val="16"/>
          <w:color w:val="auto"/>
        </w:rPr>
      </w:pPr>
      <w:r>
        <w:rPr>
          <w:rFonts w:ascii="Arial" w:cs="Arial" w:eastAsia="Arial" w:hAnsi="Arial"/>
          <w:sz w:val="16"/>
          <w:szCs w:val="16"/>
          <w:color w:val="auto"/>
        </w:rPr>
        <w:t>$5.8 billion at SDG&amp;E, at an average rate of $1.17 billion per year</w:t>
      </w:r>
    </w:p>
    <w:p>
      <w:pPr>
        <w:spacing w:after="0" w:line="44" w:lineRule="exact"/>
        <w:rPr>
          <w:rFonts w:ascii="Arial" w:cs="Arial" w:eastAsia="Arial" w:hAnsi="Arial"/>
          <w:sz w:val="16"/>
          <w:szCs w:val="16"/>
          <w:color w:val="auto"/>
        </w:rPr>
      </w:pPr>
    </w:p>
    <w:p>
      <w:pPr>
        <w:ind w:left="144" w:hanging="144"/>
        <w:spacing w:after="0"/>
        <w:tabs>
          <w:tab w:leader="none" w:pos="144" w:val="left"/>
        </w:tabs>
        <w:numPr>
          <w:ilvl w:val="0"/>
          <w:numId w:val="284"/>
        </w:numPr>
        <w:rPr>
          <w:rFonts w:ascii="Arial" w:cs="Arial" w:eastAsia="Arial" w:hAnsi="Arial"/>
          <w:sz w:val="16"/>
          <w:szCs w:val="16"/>
          <w:color w:val="auto"/>
        </w:rPr>
      </w:pPr>
      <w:r>
        <w:rPr>
          <w:rFonts w:ascii="Arial" w:cs="Arial" w:eastAsia="Arial" w:hAnsi="Arial"/>
          <w:sz w:val="16"/>
          <w:szCs w:val="16"/>
          <w:color w:val="auto"/>
        </w:rPr>
        <w:t>$3.2 billion at SoCalGas, at an average rate of $650 million per year</w:t>
      </w:r>
    </w:p>
    <w:p>
      <w:pPr>
        <w:spacing w:after="0" w:line="128" w:lineRule="exact"/>
        <w:rPr>
          <w:sz w:val="20"/>
          <w:szCs w:val="20"/>
          <w:color w:val="auto"/>
        </w:rPr>
      </w:pPr>
    </w:p>
    <w:p>
      <w:pPr>
        <w:ind w:left="4"/>
        <w:spacing w:after="0"/>
        <w:rPr>
          <w:sz w:val="20"/>
          <w:szCs w:val="20"/>
          <w:color w:val="auto"/>
        </w:rPr>
      </w:pPr>
      <w:r>
        <w:rPr>
          <w:rFonts w:ascii="Arial" w:cs="Arial" w:eastAsia="Arial" w:hAnsi="Arial"/>
          <w:sz w:val="16"/>
          <w:szCs w:val="16"/>
          <w:color w:val="auto"/>
        </w:rPr>
        <w:t>SDG&amp;E’s estimated capital expenditures include $189 million for the transfer of Sempra Generation’s El Dorado facility in 2011.</w:t>
      </w:r>
    </w:p>
    <w:p>
      <w:pPr>
        <w:spacing w:after="0" w:line="80" w:lineRule="exact"/>
        <w:rPr>
          <w:sz w:val="20"/>
          <w:szCs w:val="20"/>
          <w:color w:val="auto"/>
        </w:rPr>
      </w:pPr>
    </w:p>
    <w:p>
      <w:pPr>
        <w:ind w:left="4"/>
        <w:spacing w:after="0"/>
        <w:rPr>
          <w:sz w:val="20"/>
          <w:szCs w:val="20"/>
          <w:color w:val="auto"/>
        </w:rPr>
      </w:pPr>
      <w:r>
        <w:rPr>
          <w:rFonts w:ascii="Arial" w:cs="Arial" w:eastAsia="Arial" w:hAnsi="Arial"/>
          <w:sz w:val="16"/>
          <w:szCs w:val="16"/>
          <w:color w:val="auto"/>
        </w:rPr>
        <w:t>Sempra Energy expects to make capital expenditures at its other subsidiaries of $2.9 billion, at an average rate of $580 million per year, over the next five years.</w:t>
      </w:r>
    </w:p>
    <w:p>
      <w:pPr>
        <w:spacing w:after="0" w:line="80" w:lineRule="exact"/>
        <w:rPr>
          <w:sz w:val="20"/>
          <w:szCs w:val="20"/>
          <w:color w:val="auto"/>
        </w:rPr>
      </w:pPr>
    </w:p>
    <w:p>
      <w:pPr>
        <w:ind w:left="4" w:right="60"/>
        <w:spacing w:after="0" w:line="340" w:lineRule="auto"/>
        <w:rPr>
          <w:sz w:val="20"/>
          <w:szCs w:val="20"/>
          <w:color w:val="auto"/>
        </w:rPr>
      </w:pPr>
      <w:r>
        <w:rPr>
          <w:rFonts w:ascii="Arial" w:cs="Arial" w:eastAsia="Arial" w:hAnsi="Arial"/>
          <w:sz w:val="14"/>
          <w:szCs w:val="14"/>
          <w:color w:val="auto"/>
        </w:rPr>
        <w:t>Capital expenditure amounts include capitalized interest. At the Sempra Utilities, the amounts also include the portion of allowance for funds used during construction (AFUDC) related to debt, but exclude the portion of AFUDC related to equity. We provide further details about AFUDC in Note 1 of the Notes to Consolidated Financial Statements.</w:t>
      </w:r>
    </w:p>
    <w:p>
      <w:pPr>
        <w:jc w:val="both"/>
        <w:ind w:left="4" w:right="180"/>
        <w:spacing w:after="0" w:line="264" w:lineRule="auto"/>
        <w:rPr>
          <w:sz w:val="20"/>
          <w:szCs w:val="20"/>
          <w:color w:val="auto"/>
        </w:rPr>
      </w:pPr>
      <w:r>
        <w:rPr>
          <w:rFonts w:ascii="Arial" w:cs="Arial" w:eastAsia="Arial" w:hAnsi="Arial"/>
          <w:sz w:val="16"/>
          <w:szCs w:val="16"/>
          <w:color w:val="auto"/>
        </w:rPr>
        <w:t>Periodically, we review our construction, investment and financing programs and revise them in response to changes in regulation, economic conditions, competition, customer growth, inflation, customer rates, the cost and availability of capital, and environmental requirements. We discuss these considerations in more detail in Notes 14 and 16 of the Notes to Consolidated Financial Statements.</w:t>
      </w:r>
    </w:p>
    <w:p>
      <w:pPr>
        <w:spacing w:after="0" w:line="42" w:lineRule="exact"/>
        <w:rPr>
          <w:sz w:val="20"/>
          <w:szCs w:val="20"/>
          <w:color w:val="auto"/>
        </w:rPr>
      </w:pPr>
    </w:p>
    <w:p>
      <w:pPr>
        <w:ind w:left="4" w:right="60"/>
        <w:spacing w:after="0" w:line="264" w:lineRule="auto"/>
        <w:rPr>
          <w:sz w:val="20"/>
          <w:szCs w:val="20"/>
          <w:color w:val="auto"/>
        </w:rPr>
      </w:pPr>
      <w:r>
        <w:rPr>
          <w:rFonts w:ascii="Arial" w:cs="Arial" w:eastAsia="Arial" w:hAnsi="Arial"/>
          <w:sz w:val="16"/>
          <w:szCs w:val="16"/>
          <w:color w:val="auto"/>
        </w:rPr>
        <w:t>Our level of capital expenditures and investments in the next few years may vary substantially and will depend on the cost and availability of financing, regulatory approvals and business opportunities providing desirable rates of return. We intend to finance our capital expenditures in a manner that will maintain our strong investment-grade ratings and capital structure.</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4"/>
        <w:spacing w:after="0"/>
        <w:rPr>
          <w:sz w:val="20"/>
          <w:szCs w:val="20"/>
          <w:color w:val="auto"/>
        </w:rPr>
      </w:pPr>
      <w:r>
        <w:rPr>
          <w:rFonts w:ascii="Arial" w:cs="Arial" w:eastAsia="Arial" w:hAnsi="Arial"/>
          <w:sz w:val="14"/>
          <w:szCs w:val="14"/>
          <w:color w:val="auto"/>
        </w:rPr>
        <w:t>34</w:t>
      </w:r>
    </w:p>
    <w:p>
      <w:pPr>
        <w:sectPr>
          <w:pgSz w:w="11900" w:h="16838" w:orient="portrait"/>
          <w:cols w:equalWidth="0" w:num="1">
            <w:col w:w="11424"/>
          </w:cols>
          <w:pgMar w:left="236" w:top="127" w:right="239" w:bottom="1440" w:gutter="0" w:footer="0" w:header="0"/>
        </w:sectPr>
      </w:pPr>
    </w:p>
    <w:bookmarkStart w:id="174" w:name="page175"/>
    <w:bookmarkEnd w:id="174"/>
    <w:p>
      <w:pPr>
        <w:ind w:left="4"/>
        <w:spacing w:after="0"/>
        <w:rPr>
          <w:sz w:val="20"/>
          <w:szCs w:val="20"/>
          <w:color w:val="auto"/>
        </w:rPr>
      </w:pPr>
      <w:r>
        <w:rPr>
          <w:rFonts w:ascii="Arial" w:cs="Arial" w:eastAsia="Arial" w:hAnsi="Arial"/>
          <w:sz w:val="18"/>
          <w:szCs w:val="18"/>
          <w:color w:val="auto"/>
        </w:rPr>
        <w:t>CASH FLOWS FROM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1113790</wp:posOffset>
            </wp:positionH>
            <wp:positionV relativeFrom="paragraph">
              <wp:posOffset>153035</wp:posOffset>
            </wp:positionV>
            <wp:extent cx="5041900" cy="28194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041900" cy="281940"/>
                    </a:xfrm>
                    <a:prstGeom prst="rect">
                      <a:avLst/>
                    </a:prstGeom>
                    <a:noFill/>
                  </pic:spPr>
                </pic:pic>
              </a:graphicData>
            </a:graphic>
          </wp:anchor>
        </w:drawing>
      </w:r>
    </w:p>
    <w:p>
      <w:pPr>
        <w:spacing w:after="0" w:line="252" w:lineRule="exact"/>
        <w:rPr>
          <w:sz w:val="20"/>
          <w:szCs w:val="20"/>
          <w:color w:val="auto"/>
        </w:rPr>
      </w:pPr>
    </w:p>
    <w:p>
      <w:pPr>
        <w:ind w:left="1764"/>
        <w:spacing w:after="0"/>
        <w:rPr>
          <w:sz w:val="20"/>
          <w:szCs w:val="20"/>
          <w:color w:val="auto"/>
        </w:rPr>
      </w:pPr>
      <w:r>
        <w:rPr>
          <w:rFonts w:ascii="Arial" w:cs="Arial" w:eastAsia="Arial" w:hAnsi="Arial"/>
          <w:sz w:val="14"/>
          <w:szCs w:val="14"/>
          <w:b w:val="1"/>
          <w:bCs w:val="1"/>
          <w:color w:val="auto"/>
        </w:rPr>
        <w:t>CASH FLOWS FROM FINANCING ACTIVITIES</w:t>
      </w:r>
    </w:p>
    <w:p>
      <w:pPr>
        <w:spacing w:after="0" w:line="76" w:lineRule="exact"/>
        <w:rPr>
          <w:sz w:val="20"/>
          <w:szCs w:val="20"/>
          <w:color w:val="auto"/>
        </w:rPr>
      </w:pPr>
    </w:p>
    <w:tbl>
      <w:tblPr>
        <w:tblLayout w:type="fixed"/>
        <w:tblInd w:w="1744" w:type="dxa"/>
        <w:tblCellMar>
          <w:top w:w="0" w:type="dxa"/>
          <w:left w:w="0" w:type="dxa"/>
          <w:bottom w:w="0" w:type="dxa"/>
          <w:right w:w="0" w:type="dxa"/>
        </w:tblCellMar>
      </w:tblPr>
      <w:tr>
        <w:trPr>
          <w:trHeight w:val="166"/>
        </w:trPr>
        <w:tc>
          <w:tcPr>
            <w:tcW w:w="1420" w:type="dxa"/>
            <w:vAlign w:val="bottom"/>
          </w:tcPr>
          <w:p>
            <w:pPr>
              <w:ind w:left="20"/>
              <w:spacing w:after="0"/>
              <w:rPr>
                <w:sz w:val="20"/>
                <w:szCs w:val="20"/>
                <w:color w:val="auto"/>
              </w:rPr>
            </w:pPr>
            <w:r>
              <w:rPr>
                <w:rFonts w:ascii="Arial" w:cs="Arial" w:eastAsia="Arial" w:hAnsi="Arial"/>
                <w:sz w:val="13"/>
                <w:szCs w:val="13"/>
                <w:i w:val="1"/>
                <w:iCs w:val="1"/>
                <w:color w:val="auto"/>
              </w:rPr>
              <w:t>(Dollars in millions)</w:t>
            </w:r>
          </w:p>
        </w:tc>
        <w:tc>
          <w:tcPr>
            <w:tcW w:w="4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221"/>
        </w:trPr>
        <w:tc>
          <w:tcPr>
            <w:tcW w:w="14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680" w:type="dxa"/>
            <w:vAlign w:val="bottom"/>
            <w:tcBorders>
              <w:bottom w:val="single" w:sz="8" w:color="auto"/>
              <w:right w:val="single" w:sz="8" w:color="auto"/>
            </w:tcBorders>
          </w:tcPr>
          <w:p>
            <w:pPr>
              <w:jc w:val="right"/>
              <w:ind w:right="270"/>
              <w:spacing w:after="0"/>
              <w:rPr>
                <w:sz w:val="20"/>
                <w:szCs w:val="20"/>
                <w:color w:val="auto"/>
              </w:rPr>
            </w:pPr>
            <w:r>
              <w:rPr>
                <w:rFonts w:ascii="Arial" w:cs="Arial" w:eastAsia="Arial" w:hAnsi="Arial"/>
                <w:sz w:val="13"/>
                <w:szCs w:val="13"/>
                <w:color w:val="auto"/>
              </w:rPr>
              <w:t>2008</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2008 Change</w:t>
            </w:r>
          </w:p>
        </w:tc>
        <w:tc>
          <w:tcPr>
            <w:tcW w:w="520" w:type="dxa"/>
            <w:vAlign w:val="bottom"/>
            <w:tcBorders>
              <w:bottom w:val="single" w:sz="8" w:color="auto"/>
              <w:right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40" w:type="dxa"/>
            <w:vAlign w:val="bottom"/>
            <w:tcBorders>
              <w:bottom w:val="single" w:sz="8" w:color="auto"/>
              <w:right w:val="single" w:sz="8" w:color="auto"/>
            </w:tcBorders>
          </w:tcPr>
          <w:p>
            <w:pPr>
              <w:jc w:val="right"/>
              <w:ind w:right="310"/>
              <w:spacing w:after="0"/>
              <w:rPr>
                <w:sz w:val="20"/>
                <w:szCs w:val="20"/>
                <w:color w:val="auto"/>
              </w:rPr>
            </w:pPr>
            <w:r>
              <w:rPr>
                <w:rFonts w:ascii="Arial" w:cs="Arial" w:eastAsia="Arial" w:hAnsi="Arial"/>
                <w:sz w:val="13"/>
                <w:szCs w:val="13"/>
                <w:color w:val="auto"/>
              </w:rPr>
              <w:t>2007</w:t>
            </w:r>
          </w:p>
        </w:tc>
        <w:tc>
          <w:tcPr>
            <w:tcW w:w="300" w:type="dxa"/>
            <w:vAlign w:val="bottom"/>
            <w:tcBorders>
              <w:bottom w:val="single" w:sz="8" w:color="auto"/>
            </w:tcBorders>
          </w:tcPr>
          <w:p>
            <w:pPr>
              <w:spacing w:after="0"/>
              <w:rPr>
                <w:sz w:val="19"/>
                <w:szCs w:val="19"/>
                <w:color w:val="auto"/>
              </w:rPr>
            </w:pPr>
          </w:p>
        </w:tc>
        <w:tc>
          <w:tcPr>
            <w:tcW w:w="1340" w:type="dxa"/>
            <w:vAlign w:val="bottom"/>
            <w:tcBorders>
              <w:bottom w:val="single" w:sz="8" w:color="auto"/>
              <w:right w:val="single" w:sz="8" w:color="auto"/>
            </w:tcBorders>
            <w:gridSpan w:val="2"/>
          </w:tcPr>
          <w:p>
            <w:pPr>
              <w:jc w:val="right"/>
              <w:ind w:right="368"/>
              <w:spacing w:after="0"/>
              <w:rPr>
                <w:sz w:val="20"/>
                <w:szCs w:val="20"/>
                <w:color w:val="auto"/>
              </w:rPr>
            </w:pPr>
            <w:r>
              <w:rPr>
                <w:rFonts w:ascii="Arial" w:cs="Arial" w:eastAsia="Arial" w:hAnsi="Arial"/>
                <w:sz w:val="13"/>
                <w:szCs w:val="13"/>
                <w:color w:val="auto"/>
              </w:rPr>
              <w:t>2007 Change</w:t>
            </w:r>
          </w:p>
        </w:tc>
        <w:tc>
          <w:tcPr>
            <w:tcW w:w="2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370"/>
              <w:spacing w:after="0"/>
              <w:rPr>
                <w:sz w:val="20"/>
                <w:szCs w:val="20"/>
                <w:color w:val="auto"/>
              </w:rPr>
            </w:pPr>
            <w:r>
              <w:rPr>
                <w:rFonts w:ascii="Arial" w:cs="Arial" w:eastAsia="Arial" w:hAnsi="Arial"/>
                <w:sz w:val="13"/>
                <w:szCs w:val="13"/>
                <w:color w:val="auto"/>
              </w:rPr>
              <w:t>2006</w:t>
            </w:r>
          </w:p>
        </w:tc>
      </w:tr>
      <w:tr>
        <w:trPr>
          <w:trHeight w:val="179"/>
        </w:trPr>
        <w:tc>
          <w:tcPr>
            <w:tcW w:w="1420" w:type="dxa"/>
            <w:vAlign w:val="bottom"/>
          </w:tcPr>
          <w:p>
            <w:pPr>
              <w:ind w:left="20"/>
              <w:spacing w:after="0"/>
              <w:rPr>
                <w:sz w:val="20"/>
                <w:szCs w:val="20"/>
                <w:color w:val="auto"/>
              </w:rPr>
            </w:pPr>
            <w:r>
              <w:rPr>
                <w:rFonts w:ascii="Arial" w:cs="Arial" w:eastAsia="Arial" w:hAnsi="Arial"/>
                <w:sz w:val="14"/>
                <w:szCs w:val="14"/>
                <w:color w:val="auto"/>
              </w:rPr>
              <w:t>Sempra Energy</w:t>
            </w:r>
          </w:p>
        </w:tc>
        <w:tc>
          <w:tcPr>
            <w:tcW w:w="460" w:type="dxa"/>
            <w:vAlign w:val="bottom"/>
          </w:tcPr>
          <w:p>
            <w:pPr>
              <w:spacing w:after="0"/>
              <w:rPr>
                <w:sz w:val="15"/>
                <w:szCs w:val="15"/>
                <w:color w:val="auto"/>
              </w:rPr>
            </w:pPr>
          </w:p>
        </w:tc>
        <w:tc>
          <w:tcPr>
            <w:tcW w:w="680" w:type="dxa"/>
            <w:vAlign w:val="bottom"/>
            <w:tcBorders>
              <w:right w:val="single" w:sz="8" w:color="auto"/>
            </w:tcBorders>
          </w:tcPr>
          <w:p>
            <w:pPr>
              <w:spacing w:after="0"/>
              <w:rPr>
                <w:sz w:val="15"/>
                <w:szCs w:val="15"/>
                <w:color w:val="auto"/>
              </w:rPr>
            </w:pPr>
          </w:p>
        </w:tc>
        <w:tc>
          <w:tcPr>
            <w:tcW w:w="1280" w:type="dxa"/>
            <w:vAlign w:val="bottom"/>
          </w:tcPr>
          <w:p>
            <w:pPr>
              <w:spacing w:after="0"/>
              <w:rPr>
                <w:sz w:val="15"/>
                <w:szCs w:val="15"/>
                <w:color w:val="auto"/>
              </w:rPr>
            </w:pPr>
          </w:p>
        </w:tc>
        <w:tc>
          <w:tcPr>
            <w:tcW w:w="520" w:type="dxa"/>
            <w:vAlign w:val="bottom"/>
            <w:tcBorders>
              <w:right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740" w:type="dxa"/>
            <w:vAlign w:val="bottom"/>
            <w:tcBorders>
              <w:right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40" w:type="dxa"/>
            <w:vAlign w:val="bottom"/>
            <w:tcBorders>
              <w:right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72"/>
        </w:trPr>
        <w:tc>
          <w:tcPr>
            <w:tcW w:w="1420" w:type="dxa"/>
            <w:vAlign w:val="bottom"/>
          </w:tcPr>
          <w:p>
            <w:pPr>
              <w:ind w:left="140"/>
              <w:spacing w:after="0"/>
              <w:rPr>
                <w:sz w:val="20"/>
                <w:szCs w:val="20"/>
                <w:color w:val="auto"/>
              </w:rPr>
            </w:pPr>
            <w:r>
              <w:rPr>
                <w:rFonts w:ascii="Arial" w:cs="Arial" w:eastAsia="Arial" w:hAnsi="Arial"/>
                <w:sz w:val="14"/>
                <w:szCs w:val="14"/>
                <w:color w:val="auto"/>
              </w:rPr>
              <w:t>Consolidated</w:t>
            </w:r>
          </w:p>
        </w:tc>
        <w:tc>
          <w:tcPr>
            <w:tcW w:w="46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right w:val="single" w:sz="8" w:color="auto"/>
            </w:tcBorders>
          </w:tcPr>
          <w:p>
            <w:pPr>
              <w:jc w:val="right"/>
              <w:ind w:right="150"/>
              <w:spacing w:after="0"/>
              <w:rPr>
                <w:sz w:val="20"/>
                <w:szCs w:val="20"/>
                <w:color w:val="auto"/>
              </w:rPr>
            </w:pPr>
            <w:r>
              <w:rPr>
                <w:rFonts w:ascii="Arial" w:cs="Arial" w:eastAsia="Arial" w:hAnsi="Arial"/>
                <w:sz w:val="14"/>
                <w:szCs w:val="14"/>
                <w:color w:val="auto"/>
              </w:rPr>
              <w:t>868</w:t>
            </w:r>
          </w:p>
        </w:tc>
        <w:tc>
          <w:tcPr>
            <w:tcW w:w="1280" w:type="dxa"/>
            <w:vAlign w:val="bottom"/>
          </w:tcPr>
          <w:p>
            <w:pPr>
              <w:jc w:val="right"/>
              <w:ind w:right="470"/>
              <w:spacing w:after="0"/>
              <w:rPr>
                <w:sz w:val="20"/>
                <w:szCs w:val="20"/>
                <w:color w:val="auto"/>
              </w:rPr>
            </w:pPr>
            <w:r>
              <w:rPr>
                <w:rFonts w:ascii="Arial" w:cs="Arial" w:eastAsia="Arial" w:hAnsi="Arial"/>
                <w:sz w:val="14"/>
                <w:szCs w:val="14"/>
                <w:color w:val="auto"/>
              </w:rPr>
              <w:t>$   1,164</w:t>
            </w:r>
          </w:p>
        </w:tc>
        <w:tc>
          <w:tcPr>
            <w:tcW w:w="520" w:type="dxa"/>
            <w:vAlign w:val="bottom"/>
            <w:tcBorders>
              <w:right w:val="single" w:sz="8" w:color="auto"/>
            </w:tcBorders>
          </w:tcPr>
          <w:p>
            <w:pPr>
              <w:jc w:val="right"/>
              <w:ind w:right="28"/>
              <w:spacing w:after="0"/>
              <w:rPr>
                <w:sz w:val="20"/>
                <w:szCs w:val="20"/>
                <w:color w:val="auto"/>
              </w:rPr>
            </w:pPr>
            <w:r>
              <w:rPr>
                <w:rFonts w:ascii="Arial" w:cs="Arial" w:eastAsia="Arial" w:hAnsi="Arial"/>
                <w:sz w:val="14"/>
                <w:szCs w:val="14"/>
                <w:color w:val="auto"/>
              </w:rPr>
              <w:t>393 %</w:t>
            </w:r>
          </w:p>
        </w:tc>
        <w:tc>
          <w:tcPr>
            <w:tcW w:w="2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40" w:type="dxa"/>
            <w:vAlign w:val="bottom"/>
            <w:tcBorders>
              <w:right w:val="single" w:sz="8" w:color="auto"/>
            </w:tcBorders>
          </w:tcPr>
          <w:p>
            <w:pPr>
              <w:jc w:val="right"/>
              <w:ind w:right="70"/>
              <w:spacing w:after="0"/>
              <w:rPr>
                <w:sz w:val="20"/>
                <w:szCs w:val="20"/>
                <w:color w:val="auto"/>
              </w:rPr>
            </w:pPr>
            <w:r>
              <w:rPr>
                <w:rFonts w:ascii="Arial" w:cs="Arial" w:eastAsia="Arial" w:hAnsi="Arial"/>
                <w:sz w:val="14"/>
                <w:szCs w:val="14"/>
                <w:color w:val="auto"/>
              </w:rPr>
              <w:t>(296 )</w:t>
            </w:r>
          </w:p>
        </w:tc>
        <w:tc>
          <w:tcPr>
            <w:tcW w:w="30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170"/>
              <w:spacing w:after="0"/>
              <w:rPr>
                <w:sz w:val="20"/>
                <w:szCs w:val="20"/>
                <w:color w:val="auto"/>
              </w:rPr>
            </w:pPr>
            <w:r>
              <w:rPr>
                <w:rFonts w:ascii="Arial" w:cs="Arial" w:eastAsia="Arial" w:hAnsi="Arial"/>
                <w:sz w:val="14"/>
                <w:szCs w:val="14"/>
                <w:color w:val="auto"/>
              </w:rPr>
              <w:t>316</w:t>
            </w:r>
          </w:p>
        </w:tc>
        <w:tc>
          <w:tcPr>
            <w:tcW w:w="640" w:type="dxa"/>
            <w:vAlign w:val="bottom"/>
            <w:tcBorders>
              <w:right w:val="single" w:sz="8" w:color="auto"/>
            </w:tcBorders>
          </w:tcPr>
          <w:p>
            <w:pPr>
              <w:jc w:val="right"/>
              <w:ind w:right="28"/>
              <w:spacing w:after="0"/>
              <w:rPr>
                <w:sz w:val="20"/>
                <w:szCs w:val="20"/>
                <w:color w:val="auto"/>
              </w:rPr>
            </w:pPr>
            <w:r>
              <w:rPr>
                <w:rFonts w:ascii="Arial" w:cs="Arial" w:eastAsia="Arial" w:hAnsi="Arial"/>
                <w:sz w:val="14"/>
                <w:szCs w:val="14"/>
                <w:color w:val="auto"/>
              </w:rPr>
              <w:t>52 %</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50"/>
              <w:spacing w:after="0"/>
              <w:rPr>
                <w:sz w:val="20"/>
                <w:szCs w:val="20"/>
                <w:color w:val="auto"/>
              </w:rPr>
            </w:pPr>
            <w:r>
              <w:rPr>
                <w:rFonts w:ascii="Arial" w:cs="Arial" w:eastAsia="Arial" w:hAnsi="Arial"/>
                <w:sz w:val="14"/>
                <w:szCs w:val="14"/>
                <w:color w:val="auto"/>
              </w:rPr>
              <w:t>(612 )</w:t>
            </w:r>
          </w:p>
        </w:tc>
      </w:tr>
      <w:tr>
        <w:trPr>
          <w:trHeight w:val="216"/>
        </w:trPr>
        <w:tc>
          <w:tcPr>
            <w:tcW w:w="1420" w:type="dxa"/>
            <w:vAlign w:val="bottom"/>
          </w:tcPr>
          <w:p>
            <w:pPr>
              <w:ind w:left="20"/>
              <w:spacing w:after="0"/>
              <w:rPr>
                <w:sz w:val="20"/>
                <w:szCs w:val="20"/>
                <w:color w:val="auto"/>
              </w:rPr>
            </w:pPr>
            <w:r>
              <w:rPr>
                <w:rFonts w:ascii="Arial" w:cs="Arial" w:eastAsia="Arial" w:hAnsi="Arial"/>
                <w:sz w:val="14"/>
                <w:szCs w:val="14"/>
                <w:color w:val="auto"/>
              </w:rPr>
              <w:t>SDG&amp;E</w:t>
            </w:r>
          </w:p>
        </w:tc>
        <w:tc>
          <w:tcPr>
            <w:tcW w:w="460" w:type="dxa"/>
            <w:vAlign w:val="bottom"/>
          </w:tcPr>
          <w:p>
            <w:pPr>
              <w:spacing w:after="0"/>
              <w:rPr>
                <w:sz w:val="18"/>
                <w:szCs w:val="18"/>
                <w:color w:val="auto"/>
              </w:rPr>
            </w:pPr>
          </w:p>
        </w:tc>
        <w:tc>
          <w:tcPr>
            <w:tcW w:w="680" w:type="dxa"/>
            <w:vAlign w:val="bottom"/>
            <w:tcBorders>
              <w:right w:val="single" w:sz="8" w:color="auto"/>
            </w:tcBorders>
          </w:tcPr>
          <w:p>
            <w:pPr>
              <w:jc w:val="right"/>
              <w:ind w:right="150"/>
              <w:spacing w:after="0"/>
              <w:rPr>
                <w:sz w:val="20"/>
                <w:szCs w:val="20"/>
                <w:color w:val="auto"/>
              </w:rPr>
            </w:pPr>
            <w:r>
              <w:rPr>
                <w:rFonts w:ascii="Arial" w:cs="Arial" w:eastAsia="Arial" w:hAnsi="Arial"/>
                <w:sz w:val="14"/>
                <w:szCs w:val="14"/>
                <w:color w:val="auto"/>
              </w:rPr>
              <w:t>182</w:t>
            </w:r>
          </w:p>
        </w:tc>
        <w:tc>
          <w:tcPr>
            <w:tcW w:w="1280" w:type="dxa"/>
            <w:vAlign w:val="bottom"/>
          </w:tcPr>
          <w:p>
            <w:pPr>
              <w:jc w:val="right"/>
              <w:ind w:right="470"/>
              <w:spacing w:after="0"/>
              <w:rPr>
                <w:sz w:val="20"/>
                <w:szCs w:val="20"/>
                <w:color w:val="auto"/>
              </w:rPr>
            </w:pPr>
            <w:r>
              <w:rPr>
                <w:rFonts w:ascii="Arial" w:cs="Arial" w:eastAsia="Arial" w:hAnsi="Arial"/>
                <w:sz w:val="14"/>
                <w:szCs w:val="14"/>
                <w:color w:val="auto"/>
              </w:rPr>
              <w:t>15</w:t>
            </w:r>
          </w:p>
        </w:tc>
        <w:tc>
          <w:tcPr>
            <w:tcW w:w="520" w:type="dxa"/>
            <w:vAlign w:val="bottom"/>
            <w:tcBorders>
              <w:right w:val="single" w:sz="8" w:color="auto"/>
            </w:tcBorders>
          </w:tcPr>
          <w:p>
            <w:pPr>
              <w:jc w:val="right"/>
              <w:ind w:right="188"/>
              <w:spacing w:after="0"/>
              <w:rPr>
                <w:sz w:val="20"/>
                <w:szCs w:val="20"/>
                <w:color w:val="auto"/>
              </w:rPr>
            </w:pPr>
            <w:r>
              <w:rPr>
                <w:rFonts w:ascii="Arial" w:cs="Arial" w:eastAsia="Arial" w:hAnsi="Arial"/>
                <w:sz w:val="14"/>
                <w:szCs w:val="14"/>
                <w:color w:val="auto"/>
              </w:rPr>
              <w:t>9</w:t>
            </w:r>
          </w:p>
        </w:tc>
        <w:tc>
          <w:tcPr>
            <w:tcW w:w="260" w:type="dxa"/>
            <w:vAlign w:val="bottom"/>
          </w:tcPr>
          <w:p>
            <w:pPr>
              <w:spacing w:after="0"/>
              <w:rPr>
                <w:sz w:val="18"/>
                <w:szCs w:val="18"/>
                <w:color w:val="auto"/>
              </w:rPr>
            </w:pPr>
          </w:p>
        </w:tc>
        <w:tc>
          <w:tcPr>
            <w:tcW w:w="740" w:type="dxa"/>
            <w:vAlign w:val="bottom"/>
            <w:tcBorders>
              <w:right w:val="single" w:sz="8" w:color="auto"/>
            </w:tcBorders>
          </w:tcPr>
          <w:p>
            <w:pPr>
              <w:jc w:val="right"/>
              <w:ind w:right="150"/>
              <w:spacing w:after="0"/>
              <w:rPr>
                <w:sz w:val="20"/>
                <w:szCs w:val="20"/>
                <w:color w:val="auto"/>
              </w:rPr>
            </w:pPr>
            <w:r>
              <w:rPr>
                <w:rFonts w:ascii="Arial" w:cs="Arial" w:eastAsia="Arial" w:hAnsi="Arial"/>
                <w:sz w:val="14"/>
                <w:szCs w:val="14"/>
                <w:color w:val="auto"/>
              </w:rPr>
              <w:t>167</w:t>
            </w:r>
          </w:p>
        </w:tc>
        <w:tc>
          <w:tcPr>
            <w:tcW w:w="300" w:type="dxa"/>
            <w:vAlign w:val="bottom"/>
          </w:tcPr>
          <w:p>
            <w:pPr>
              <w:spacing w:after="0"/>
              <w:rPr>
                <w:sz w:val="18"/>
                <w:szCs w:val="18"/>
                <w:color w:val="auto"/>
              </w:rPr>
            </w:pPr>
          </w:p>
        </w:tc>
        <w:tc>
          <w:tcPr>
            <w:tcW w:w="700" w:type="dxa"/>
            <w:vAlign w:val="bottom"/>
          </w:tcPr>
          <w:p>
            <w:pPr>
              <w:jc w:val="right"/>
              <w:ind w:right="90"/>
              <w:spacing w:after="0"/>
              <w:rPr>
                <w:sz w:val="20"/>
                <w:szCs w:val="20"/>
                <w:color w:val="auto"/>
              </w:rPr>
            </w:pPr>
            <w:r>
              <w:rPr>
                <w:rFonts w:ascii="Arial" w:cs="Arial" w:eastAsia="Arial" w:hAnsi="Arial"/>
                <w:sz w:val="14"/>
                <w:szCs w:val="14"/>
                <w:color w:val="auto"/>
              </w:rPr>
              <w:t>(276 )</w:t>
            </w:r>
          </w:p>
        </w:tc>
        <w:tc>
          <w:tcPr>
            <w:tcW w:w="640" w:type="dxa"/>
            <w:vAlign w:val="bottom"/>
            <w:tcBorders>
              <w:right w:val="single" w:sz="8" w:color="auto"/>
            </w:tcBorders>
          </w:tcPr>
          <w:p>
            <w:pPr>
              <w:jc w:val="right"/>
              <w:ind w:right="108"/>
              <w:spacing w:after="0"/>
              <w:rPr>
                <w:sz w:val="20"/>
                <w:szCs w:val="20"/>
                <w:color w:val="auto"/>
              </w:rPr>
            </w:pPr>
            <w:r>
              <w:rPr>
                <w:rFonts w:ascii="Arial" w:cs="Arial" w:eastAsia="Arial" w:hAnsi="Arial"/>
                <w:sz w:val="14"/>
                <w:szCs w:val="14"/>
                <w:color w:val="auto"/>
              </w:rPr>
              <w:t>(62 )</w:t>
            </w:r>
          </w:p>
        </w:tc>
        <w:tc>
          <w:tcPr>
            <w:tcW w:w="200" w:type="dxa"/>
            <w:vAlign w:val="bottom"/>
          </w:tcPr>
          <w:p>
            <w:pPr>
              <w:spacing w:after="0"/>
              <w:rPr>
                <w:sz w:val="18"/>
                <w:szCs w:val="18"/>
                <w:color w:val="auto"/>
              </w:rPr>
            </w:pPr>
          </w:p>
        </w:tc>
        <w:tc>
          <w:tcPr>
            <w:tcW w:w="760" w:type="dxa"/>
            <w:vAlign w:val="bottom"/>
          </w:tcPr>
          <w:p>
            <w:pPr>
              <w:jc w:val="right"/>
              <w:ind w:right="130"/>
              <w:spacing w:after="0"/>
              <w:rPr>
                <w:sz w:val="20"/>
                <w:szCs w:val="20"/>
                <w:color w:val="auto"/>
              </w:rPr>
            </w:pPr>
            <w:r>
              <w:rPr>
                <w:rFonts w:ascii="Arial" w:cs="Arial" w:eastAsia="Arial" w:hAnsi="Arial"/>
                <w:sz w:val="14"/>
                <w:szCs w:val="14"/>
                <w:color w:val="auto"/>
              </w:rPr>
              <w:t>443</w:t>
            </w:r>
          </w:p>
        </w:tc>
      </w:tr>
      <w:tr>
        <w:trPr>
          <w:trHeight w:val="222"/>
        </w:trPr>
        <w:tc>
          <w:tcPr>
            <w:tcW w:w="1420" w:type="dxa"/>
            <w:vAlign w:val="bottom"/>
          </w:tcPr>
          <w:p>
            <w:pPr>
              <w:ind w:left="20"/>
              <w:spacing w:after="0"/>
              <w:rPr>
                <w:sz w:val="20"/>
                <w:szCs w:val="20"/>
                <w:color w:val="auto"/>
              </w:rPr>
            </w:pPr>
            <w:r>
              <w:rPr>
                <w:rFonts w:ascii="Arial" w:cs="Arial" w:eastAsia="Arial" w:hAnsi="Arial"/>
                <w:sz w:val="14"/>
                <w:szCs w:val="14"/>
                <w:color w:val="auto"/>
              </w:rPr>
              <w:t>PE</w:t>
            </w:r>
          </w:p>
        </w:tc>
        <w:tc>
          <w:tcPr>
            <w:tcW w:w="460" w:type="dxa"/>
            <w:vAlign w:val="bottom"/>
          </w:tcPr>
          <w:p>
            <w:pPr>
              <w:spacing w:after="0"/>
              <w:rPr>
                <w:sz w:val="19"/>
                <w:szCs w:val="19"/>
                <w:color w:val="auto"/>
              </w:rPr>
            </w:pPr>
          </w:p>
        </w:tc>
        <w:tc>
          <w:tcPr>
            <w:tcW w:w="680" w:type="dxa"/>
            <w:vAlign w:val="bottom"/>
            <w:tcBorders>
              <w:right w:val="single" w:sz="8" w:color="auto"/>
            </w:tcBorders>
          </w:tcPr>
          <w:p>
            <w:pPr>
              <w:jc w:val="right"/>
              <w:ind w:right="70"/>
              <w:spacing w:after="0"/>
              <w:rPr>
                <w:sz w:val="20"/>
                <w:szCs w:val="20"/>
                <w:color w:val="auto"/>
              </w:rPr>
            </w:pPr>
            <w:r>
              <w:rPr>
                <w:rFonts w:ascii="Arial" w:cs="Arial" w:eastAsia="Arial" w:hAnsi="Arial"/>
                <w:sz w:val="14"/>
                <w:szCs w:val="14"/>
                <w:color w:val="auto"/>
              </w:rPr>
              <w:t>(106 )</w:t>
            </w:r>
          </w:p>
        </w:tc>
        <w:tc>
          <w:tcPr>
            <w:tcW w:w="1280" w:type="dxa"/>
            <w:vAlign w:val="bottom"/>
          </w:tcPr>
          <w:p>
            <w:pPr>
              <w:jc w:val="right"/>
              <w:ind w:right="470"/>
              <w:spacing w:after="0"/>
              <w:rPr>
                <w:sz w:val="20"/>
                <w:szCs w:val="20"/>
                <w:color w:val="auto"/>
              </w:rPr>
            </w:pPr>
            <w:r>
              <w:rPr>
                <w:rFonts w:ascii="Arial" w:cs="Arial" w:eastAsia="Arial" w:hAnsi="Arial"/>
                <w:sz w:val="14"/>
                <w:szCs w:val="14"/>
                <w:color w:val="auto"/>
              </w:rPr>
              <w:t>48</w:t>
            </w:r>
          </w:p>
        </w:tc>
        <w:tc>
          <w:tcPr>
            <w:tcW w:w="520" w:type="dxa"/>
            <w:vAlign w:val="bottom"/>
            <w:tcBorders>
              <w:right w:val="single" w:sz="8" w:color="auto"/>
            </w:tcBorders>
          </w:tcPr>
          <w:p>
            <w:pPr>
              <w:jc w:val="right"/>
              <w:ind w:right="188"/>
              <w:spacing w:after="0"/>
              <w:rPr>
                <w:sz w:val="20"/>
                <w:szCs w:val="20"/>
                <w:color w:val="auto"/>
              </w:rPr>
            </w:pPr>
            <w:r>
              <w:rPr>
                <w:rFonts w:ascii="Arial" w:cs="Arial" w:eastAsia="Arial" w:hAnsi="Arial"/>
                <w:sz w:val="14"/>
                <w:szCs w:val="14"/>
                <w:color w:val="auto"/>
              </w:rPr>
              <w:t>31</w:t>
            </w:r>
          </w:p>
        </w:tc>
        <w:tc>
          <w:tcPr>
            <w:tcW w:w="260" w:type="dxa"/>
            <w:vAlign w:val="bottom"/>
          </w:tcPr>
          <w:p>
            <w:pPr>
              <w:spacing w:after="0"/>
              <w:rPr>
                <w:sz w:val="19"/>
                <w:szCs w:val="19"/>
                <w:color w:val="auto"/>
              </w:rPr>
            </w:pPr>
          </w:p>
        </w:tc>
        <w:tc>
          <w:tcPr>
            <w:tcW w:w="740" w:type="dxa"/>
            <w:vAlign w:val="bottom"/>
            <w:tcBorders>
              <w:right w:val="single" w:sz="8" w:color="auto"/>
            </w:tcBorders>
          </w:tcPr>
          <w:p>
            <w:pPr>
              <w:jc w:val="right"/>
              <w:ind w:right="70"/>
              <w:spacing w:after="0"/>
              <w:rPr>
                <w:sz w:val="20"/>
                <w:szCs w:val="20"/>
                <w:color w:val="auto"/>
              </w:rPr>
            </w:pPr>
            <w:r>
              <w:rPr>
                <w:rFonts w:ascii="Arial" w:cs="Arial" w:eastAsia="Arial" w:hAnsi="Arial"/>
                <w:sz w:val="14"/>
                <w:szCs w:val="14"/>
                <w:color w:val="auto"/>
              </w:rPr>
              <w:t>(154 )</w:t>
            </w:r>
          </w:p>
        </w:tc>
        <w:tc>
          <w:tcPr>
            <w:tcW w:w="300" w:type="dxa"/>
            <w:vAlign w:val="bottom"/>
          </w:tcPr>
          <w:p>
            <w:pPr>
              <w:spacing w:after="0"/>
              <w:rPr>
                <w:sz w:val="19"/>
                <w:szCs w:val="19"/>
                <w:color w:val="auto"/>
              </w:rPr>
            </w:pPr>
          </w:p>
        </w:tc>
        <w:tc>
          <w:tcPr>
            <w:tcW w:w="700" w:type="dxa"/>
            <w:vAlign w:val="bottom"/>
          </w:tcPr>
          <w:p>
            <w:pPr>
              <w:jc w:val="right"/>
              <w:ind w:right="170"/>
              <w:spacing w:after="0"/>
              <w:rPr>
                <w:sz w:val="20"/>
                <w:szCs w:val="20"/>
                <w:color w:val="auto"/>
              </w:rPr>
            </w:pPr>
            <w:r>
              <w:rPr>
                <w:rFonts w:ascii="Arial" w:cs="Arial" w:eastAsia="Arial" w:hAnsi="Arial"/>
                <w:sz w:val="14"/>
                <w:szCs w:val="14"/>
                <w:color w:val="auto"/>
              </w:rPr>
              <w:t>88</w:t>
            </w:r>
          </w:p>
        </w:tc>
        <w:tc>
          <w:tcPr>
            <w:tcW w:w="640" w:type="dxa"/>
            <w:vAlign w:val="bottom"/>
            <w:tcBorders>
              <w:right w:val="single" w:sz="8" w:color="auto"/>
            </w:tcBorders>
          </w:tcPr>
          <w:p>
            <w:pPr>
              <w:jc w:val="right"/>
              <w:ind w:right="188"/>
              <w:spacing w:after="0"/>
              <w:rPr>
                <w:sz w:val="20"/>
                <w:szCs w:val="20"/>
                <w:color w:val="auto"/>
              </w:rPr>
            </w:pPr>
            <w:r>
              <w:rPr>
                <w:rFonts w:ascii="Arial" w:cs="Arial" w:eastAsia="Arial" w:hAnsi="Arial"/>
                <w:sz w:val="14"/>
                <w:szCs w:val="14"/>
                <w:color w:val="auto"/>
              </w:rPr>
              <w:t>36</w:t>
            </w:r>
          </w:p>
        </w:tc>
        <w:tc>
          <w:tcPr>
            <w:tcW w:w="200" w:type="dxa"/>
            <w:vAlign w:val="bottom"/>
          </w:tcPr>
          <w:p>
            <w:pPr>
              <w:spacing w:after="0"/>
              <w:rPr>
                <w:sz w:val="19"/>
                <w:szCs w:val="19"/>
                <w:color w:val="auto"/>
              </w:rPr>
            </w:pPr>
          </w:p>
        </w:tc>
        <w:tc>
          <w:tcPr>
            <w:tcW w:w="760" w:type="dxa"/>
            <w:vAlign w:val="bottom"/>
          </w:tcPr>
          <w:p>
            <w:pPr>
              <w:jc w:val="right"/>
              <w:ind w:right="50"/>
              <w:spacing w:after="0"/>
              <w:rPr>
                <w:sz w:val="20"/>
                <w:szCs w:val="20"/>
                <w:color w:val="auto"/>
              </w:rPr>
            </w:pPr>
            <w:r>
              <w:rPr>
                <w:rFonts w:ascii="Arial" w:cs="Arial" w:eastAsia="Arial" w:hAnsi="Arial"/>
                <w:sz w:val="14"/>
                <w:szCs w:val="14"/>
                <w:color w:val="auto"/>
              </w:rPr>
              <w:t>(242 )</w:t>
            </w:r>
          </w:p>
        </w:tc>
      </w:tr>
      <w:tr>
        <w:trPr>
          <w:trHeight w:val="244"/>
        </w:trPr>
        <w:tc>
          <w:tcPr>
            <w:tcW w:w="1420" w:type="dxa"/>
            <w:vAlign w:val="bottom"/>
            <w:tcBorders>
              <w:bottom w:val="single" w:sz="8" w:color="DFDFDF"/>
            </w:tcBorders>
          </w:tcPr>
          <w:p>
            <w:pPr>
              <w:ind w:left="20"/>
              <w:spacing w:after="0"/>
              <w:rPr>
                <w:sz w:val="20"/>
                <w:szCs w:val="20"/>
                <w:color w:val="auto"/>
              </w:rPr>
            </w:pPr>
            <w:r>
              <w:rPr>
                <w:rFonts w:ascii="Arial" w:cs="Arial" w:eastAsia="Arial" w:hAnsi="Arial"/>
                <w:sz w:val="14"/>
                <w:szCs w:val="14"/>
                <w:color w:val="auto"/>
              </w:rPr>
              <w:t>SoCalGas</w:t>
            </w:r>
          </w:p>
        </w:tc>
        <w:tc>
          <w:tcPr>
            <w:tcW w:w="460" w:type="dxa"/>
            <w:vAlign w:val="bottom"/>
            <w:tcBorders>
              <w:bottom w:val="single" w:sz="8" w:color="DFDFDF"/>
            </w:tcBorders>
          </w:tcPr>
          <w:p>
            <w:pPr>
              <w:spacing w:after="0"/>
              <w:rPr>
                <w:sz w:val="21"/>
                <w:szCs w:val="21"/>
                <w:color w:val="auto"/>
              </w:rPr>
            </w:pPr>
          </w:p>
        </w:tc>
        <w:tc>
          <w:tcPr>
            <w:tcW w:w="680" w:type="dxa"/>
            <w:vAlign w:val="bottom"/>
            <w:tcBorders>
              <w:bottom w:val="single" w:sz="8" w:color="DFDFDF"/>
            </w:tcBorders>
          </w:tcPr>
          <w:p>
            <w:pPr>
              <w:jc w:val="right"/>
              <w:ind w:right="70"/>
              <w:spacing w:after="0"/>
              <w:rPr>
                <w:sz w:val="20"/>
                <w:szCs w:val="20"/>
                <w:color w:val="auto"/>
              </w:rPr>
            </w:pPr>
            <w:r>
              <w:rPr>
                <w:rFonts w:ascii="Arial" w:cs="Arial" w:eastAsia="Arial" w:hAnsi="Arial"/>
                <w:sz w:val="14"/>
                <w:szCs w:val="14"/>
                <w:color w:val="auto"/>
              </w:rPr>
              <w:t>(103 )</w:t>
            </w:r>
          </w:p>
        </w:tc>
        <w:tc>
          <w:tcPr>
            <w:tcW w:w="1280" w:type="dxa"/>
            <w:vAlign w:val="bottom"/>
            <w:tcBorders>
              <w:bottom w:val="single" w:sz="8" w:color="DFDFDF"/>
            </w:tcBorders>
          </w:tcPr>
          <w:p>
            <w:pPr>
              <w:jc w:val="right"/>
              <w:ind w:right="470"/>
              <w:spacing w:after="0"/>
              <w:rPr>
                <w:sz w:val="20"/>
                <w:szCs w:val="20"/>
                <w:color w:val="auto"/>
              </w:rPr>
            </w:pPr>
            <w:r>
              <w:rPr>
                <w:rFonts w:ascii="Arial" w:cs="Arial" w:eastAsia="Arial" w:hAnsi="Arial"/>
                <w:sz w:val="14"/>
                <w:szCs w:val="14"/>
                <w:color w:val="auto"/>
              </w:rPr>
              <w:t>48</w:t>
            </w:r>
          </w:p>
        </w:tc>
        <w:tc>
          <w:tcPr>
            <w:tcW w:w="520" w:type="dxa"/>
            <w:vAlign w:val="bottom"/>
            <w:tcBorders>
              <w:bottom w:val="single" w:sz="8" w:color="DFDFDF"/>
            </w:tcBorders>
          </w:tcPr>
          <w:p>
            <w:pPr>
              <w:jc w:val="right"/>
              <w:ind w:right="188"/>
              <w:spacing w:after="0"/>
              <w:rPr>
                <w:sz w:val="20"/>
                <w:szCs w:val="20"/>
                <w:color w:val="auto"/>
              </w:rPr>
            </w:pPr>
            <w:r>
              <w:rPr>
                <w:rFonts w:ascii="Arial" w:cs="Arial" w:eastAsia="Arial" w:hAnsi="Arial"/>
                <w:sz w:val="14"/>
                <w:szCs w:val="14"/>
                <w:color w:val="auto"/>
              </w:rPr>
              <w:t>32</w:t>
            </w:r>
          </w:p>
        </w:tc>
        <w:tc>
          <w:tcPr>
            <w:tcW w:w="260" w:type="dxa"/>
            <w:vAlign w:val="bottom"/>
            <w:tcBorders>
              <w:bottom w:val="single" w:sz="8" w:color="DFDFDF"/>
            </w:tcBorders>
          </w:tcPr>
          <w:p>
            <w:pPr>
              <w:spacing w:after="0"/>
              <w:rPr>
                <w:sz w:val="21"/>
                <w:szCs w:val="21"/>
                <w:color w:val="auto"/>
              </w:rPr>
            </w:pPr>
          </w:p>
        </w:tc>
        <w:tc>
          <w:tcPr>
            <w:tcW w:w="740" w:type="dxa"/>
            <w:vAlign w:val="bottom"/>
            <w:tcBorders>
              <w:bottom w:val="single" w:sz="8" w:color="DFDFDF"/>
            </w:tcBorders>
          </w:tcPr>
          <w:p>
            <w:pPr>
              <w:jc w:val="right"/>
              <w:ind w:right="70"/>
              <w:spacing w:after="0"/>
              <w:rPr>
                <w:sz w:val="20"/>
                <w:szCs w:val="20"/>
                <w:color w:val="auto"/>
              </w:rPr>
            </w:pPr>
            <w:r>
              <w:rPr>
                <w:rFonts w:ascii="Arial" w:cs="Arial" w:eastAsia="Arial" w:hAnsi="Arial"/>
                <w:sz w:val="14"/>
                <w:szCs w:val="14"/>
                <w:color w:val="auto"/>
              </w:rPr>
              <w:t>(151 )</w:t>
            </w:r>
          </w:p>
        </w:tc>
        <w:tc>
          <w:tcPr>
            <w:tcW w:w="300" w:type="dxa"/>
            <w:vAlign w:val="bottom"/>
            <w:tcBorders>
              <w:bottom w:val="single" w:sz="8" w:color="DFDFDF"/>
            </w:tcBorders>
          </w:tcPr>
          <w:p>
            <w:pPr>
              <w:spacing w:after="0"/>
              <w:rPr>
                <w:sz w:val="21"/>
                <w:szCs w:val="21"/>
                <w:color w:val="auto"/>
              </w:rPr>
            </w:pPr>
          </w:p>
        </w:tc>
        <w:tc>
          <w:tcPr>
            <w:tcW w:w="700" w:type="dxa"/>
            <w:vAlign w:val="bottom"/>
            <w:tcBorders>
              <w:bottom w:val="single" w:sz="8" w:color="DFDFDF"/>
            </w:tcBorders>
          </w:tcPr>
          <w:p>
            <w:pPr>
              <w:jc w:val="right"/>
              <w:ind w:right="170"/>
              <w:spacing w:after="0"/>
              <w:rPr>
                <w:sz w:val="20"/>
                <w:szCs w:val="20"/>
                <w:color w:val="auto"/>
              </w:rPr>
            </w:pPr>
            <w:r>
              <w:rPr>
                <w:rFonts w:ascii="Arial" w:cs="Arial" w:eastAsia="Arial" w:hAnsi="Arial"/>
                <w:sz w:val="14"/>
                <w:szCs w:val="14"/>
                <w:color w:val="auto"/>
              </w:rPr>
              <w:t>88</w:t>
            </w:r>
          </w:p>
        </w:tc>
        <w:tc>
          <w:tcPr>
            <w:tcW w:w="640" w:type="dxa"/>
            <w:vAlign w:val="bottom"/>
            <w:tcBorders>
              <w:bottom w:val="single" w:sz="8" w:color="DFDFDF"/>
            </w:tcBorders>
          </w:tcPr>
          <w:p>
            <w:pPr>
              <w:jc w:val="right"/>
              <w:ind w:right="188"/>
              <w:spacing w:after="0"/>
              <w:rPr>
                <w:sz w:val="20"/>
                <w:szCs w:val="20"/>
                <w:color w:val="auto"/>
              </w:rPr>
            </w:pPr>
            <w:r>
              <w:rPr>
                <w:rFonts w:ascii="Arial" w:cs="Arial" w:eastAsia="Arial" w:hAnsi="Arial"/>
                <w:sz w:val="14"/>
                <w:szCs w:val="14"/>
                <w:color w:val="auto"/>
              </w:rPr>
              <w:t>37</w:t>
            </w:r>
          </w:p>
        </w:tc>
        <w:tc>
          <w:tcPr>
            <w:tcW w:w="200" w:type="dxa"/>
            <w:vAlign w:val="bottom"/>
            <w:tcBorders>
              <w:bottom w:val="single" w:sz="8" w:color="DFDFDF"/>
            </w:tcBorders>
          </w:tcPr>
          <w:p>
            <w:pPr>
              <w:spacing w:after="0"/>
              <w:rPr>
                <w:sz w:val="21"/>
                <w:szCs w:val="21"/>
                <w:color w:val="auto"/>
              </w:rPr>
            </w:pPr>
          </w:p>
        </w:tc>
        <w:tc>
          <w:tcPr>
            <w:tcW w:w="760" w:type="dxa"/>
            <w:vAlign w:val="bottom"/>
            <w:tcBorders>
              <w:bottom w:val="single" w:sz="8" w:color="DFDFDF"/>
            </w:tcBorders>
          </w:tcPr>
          <w:p>
            <w:pPr>
              <w:jc w:val="right"/>
              <w:ind w:right="50"/>
              <w:spacing w:after="0"/>
              <w:rPr>
                <w:sz w:val="20"/>
                <w:szCs w:val="20"/>
                <w:color w:val="auto"/>
              </w:rPr>
            </w:pPr>
            <w:r>
              <w:rPr>
                <w:rFonts w:ascii="Arial" w:cs="Arial" w:eastAsia="Arial" w:hAnsi="Arial"/>
                <w:sz w:val="14"/>
                <w:szCs w:val="14"/>
                <w:color w:val="auto"/>
              </w:rPr>
              <w:t>(239 )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2710815</wp:posOffset>
            </wp:positionH>
            <wp:positionV relativeFrom="paragraph">
              <wp:posOffset>-179705</wp:posOffset>
            </wp:positionV>
            <wp:extent cx="33020" cy="19304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33020" cy="193040"/>
                    </a:xfrm>
                    <a:prstGeom prst="rect">
                      <a:avLst/>
                    </a:prstGeom>
                    <a:noFill/>
                  </pic:spPr>
                </pic:pic>
              </a:graphicData>
            </a:graphic>
          </wp:anchor>
        </w:drawing>
        <w:drawing>
          <wp:anchor simplePos="0" relativeHeight="251657728" behindDoc="1" locked="0" layoutInCell="0" allowOverlap="1">
            <wp:simplePos x="0" y="0"/>
            <wp:positionH relativeFrom="column">
              <wp:posOffset>3854450</wp:posOffset>
            </wp:positionH>
            <wp:positionV relativeFrom="paragraph">
              <wp:posOffset>-179705</wp:posOffset>
            </wp:positionV>
            <wp:extent cx="33020" cy="19304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33020" cy="193040"/>
                    </a:xfrm>
                    <a:prstGeom prst="rect">
                      <a:avLst/>
                    </a:prstGeom>
                    <a:noFill/>
                  </pic:spPr>
                </pic:pic>
              </a:graphicData>
            </a:graphic>
          </wp:anchor>
        </w:drawing>
        <w:drawing>
          <wp:anchor simplePos="0" relativeHeight="251657728" behindDoc="1" locked="0" layoutInCell="0" allowOverlap="1">
            <wp:simplePos x="0" y="0"/>
            <wp:positionH relativeFrom="column">
              <wp:posOffset>4487545</wp:posOffset>
            </wp:positionH>
            <wp:positionV relativeFrom="paragraph">
              <wp:posOffset>-179705</wp:posOffset>
            </wp:positionV>
            <wp:extent cx="33020" cy="19304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33020" cy="193040"/>
                    </a:xfrm>
                    <a:prstGeom prst="rect">
                      <a:avLst/>
                    </a:prstGeom>
                    <a:noFill/>
                  </pic:spPr>
                </pic:pic>
              </a:graphicData>
            </a:graphic>
          </wp:anchor>
        </w:drawing>
        <w:drawing>
          <wp:anchor simplePos="0" relativeHeight="251657728" behindDoc="1" locked="0" layoutInCell="0" allowOverlap="1">
            <wp:simplePos x="0" y="0"/>
            <wp:positionH relativeFrom="column">
              <wp:posOffset>5532755</wp:posOffset>
            </wp:positionH>
            <wp:positionV relativeFrom="paragraph">
              <wp:posOffset>-179705</wp:posOffset>
            </wp:positionV>
            <wp:extent cx="33020" cy="19304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33020" cy="193040"/>
                    </a:xfrm>
                    <a:prstGeom prst="rect">
                      <a:avLst/>
                    </a:prstGeom>
                    <a:noFill/>
                  </pic:spPr>
                </pic:pic>
              </a:graphicData>
            </a:graphic>
          </wp:anchor>
        </w:drawing>
      </w:r>
    </w:p>
    <w:p>
      <w:pPr>
        <w:spacing w:after="0" w:line="326" w:lineRule="exact"/>
        <w:rPr>
          <w:sz w:val="20"/>
          <w:szCs w:val="20"/>
          <w:color w:val="auto"/>
        </w:rPr>
      </w:pPr>
    </w:p>
    <w:p>
      <w:pPr>
        <w:ind w:left="4"/>
        <w:spacing w:after="0"/>
        <w:rPr>
          <w:sz w:val="20"/>
          <w:szCs w:val="20"/>
          <w:color w:val="auto"/>
        </w:rPr>
      </w:pPr>
      <w:r>
        <w:rPr>
          <w:rFonts w:ascii="Arial" w:cs="Arial" w:eastAsia="Arial" w:hAnsi="Arial"/>
          <w:sz w:val="18"/>
          <w:szCs w:val="18"/>
          <w:b w:val="1"/>
          <w:bCs w:val="1"/>
          <w:i w:val="1"/>
          <w:iCs w:val="1"/>
          <w:color w:val="auto"/>
        </w:rPr>
        <w:t>Sempra Energy</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6"/>
          <w:szCs w:val="16"/>
          <w:color w:val="auto"/>
        </w:rPr>
        <w:t>Cash from financing activities at Sempra Energy in 2008 increased due to</w:t>
      </w:r>
    </w:p>
    <w:p>
      <w:pPr>
        <w:spacing w:after="0" w:line="44" w:lineRule="exact"/>
        <w:rPr>
          <w:sz w:val="20"/>
          <w:szCs w:val="20"/>
          <w:color w:val="auto"/>
        </w:rPr>
      </w:pPr>
    </w:p>
    <w:p>
      <w:pPr>
        <w:ind w:left="144" w:hanging="144"/>
        <w:spacing w:after="0"/>
        <w:tabs>
          <w:tab w:leader="none" w:pos="144" w:val="left"/>
        </w:tabs>
        <w:numPr>
          <w:ilvl w:val="0"/>
          <w:numId w:val="285"/>
        </w:numPr>
        <w:rPr>
          <w:rFonts w:ascii="Arial" w:cs="Arial" w:eastAsia="Arial" w:hAnsi="Arial"/>
          <w:sz w:val="16"/>
          <w:szCs w:val="16"/>
          <w:color w:val="auto"/>
        </w:rPr>
      </w:pPr>
      <w:r>
        <w:rPr>
          <w:rFonts w:ascii="Arial" w:cs="Arial" w:eastAsia="Arial" w:hAnsi="Arial"/>
          <w:sz w:val="16"/>
          <w:szCs w:val="16"/>
          <w:color w:val="auto"/>
        </w:rPr>
        <w:t>a $1,302 million increase in issuances of long-term debt and</w:t>
      </w:r>
    </w:p>
    <w:p>
      <w:pPr>
        <w:spacing w:after="0" w:line="40" w:lineRule="exact"/>
        <w:rPr>
          <w:rFonts w:ascii="Arial" w:cs="Arial" w:eastAsia="Arial" w:hAnsi="Arial"/>
          <w:sz w:val="16"/>
          <w:szCs w:val="16"/>
          <w:color w:val="auto"/>
        </w:rPr>
      </w:pPr>
    </w:p>
    <w:p>
      <w:pPr>
        <w:ind w:left="144" w:hanging="144"/>
        <w:spacing w:after="0"/>
        <w:tabs>
          <w:tab w:leader="none" w:pos="144" w:val="left"/>
        </w:tabs>
        <w:numPr>
          <w:ilvl w:val="0"/>
          <w:numId w:val="285"/>
        </w:numPr>
        <w:rPr>
          <w:rFonts w:ascii="Arial" w:cs="Arial" w:eastAsia="Arial" w:hAnsi="Arial"/>
          <w:sz w:val="16"/>
          <w:szCs w:val="16"/>
          <w:color w:val="auto"/>
        </w:rPr>
      </w:pPr>
      <w:r>
        <w:rPr>
          <w:rFonts w:ascii="Arial" w:cs="Arial" w:eastAsia="Arial" w:hAnsi="Arial"/>
          <w:sz w:val="16"/>
          <w:szCs w:val="16"/>
          <w:color w:val="auto"/>
        </w:rPr>
        <w:t xml:space="preserve">a $993 million decrease in long-term debt payments, </w:t>
      </w:r>
      <w:r>
        <w:rPr>
          <w:rFonts w:ascii="Arial" w:cs="Arial" w:eastAsia="Arial" w:hAnsi="Arial"/>
          <w:sz w:val="16"/>
          <w:szCs w:val="16"/>
          <w:b w:val="1"/>
          <w:bCs w:val="1"/>
          <w:color w:val="auto"/>
        </w:rPr>
        <w:t>offset by</w:t>
      </w:r>
    </w:p>
    <w:p>
      <w:pPr>
        <w:spacing w:after="0" w:line="48" w:lineRule="exact"/>
        <w:rPr>
          <w:rFonts w:ascii="Arial" w:cs="Arial" w:eastAsia="Arial" w:hAnsi="Arial"/>
          <w:sz w:val="16"/>
          <w:szCs w:val="16"/>
          <w:color w:val="auto"/>
        </w:rPr>
      </w:pPr>
    </w:p>
    <w:p>
      <w:pPr>
        <w:ind w:left="144" w:hanging="144"/>
        <w:spacing w:after="0"/>
        <w:tabs>
          <w:tab w:leader="none" w:pos="144" w:val="left"/>
        </w:tabs>
        <w:numPr>
          <w:ilvl w:val="0"/>
          <w:numId w:val="285"/>
        </w:numPr>
        <w:rPr>
          <w:rFonts w:ascii="Arial" w:cs="Arial" w:eastAsia="Arial" w:hAnsi="Arial"/>
          <w:sz w:val="16"/>
          <w:szCs w:val="16"/>
          <w:color w:val="auto"/>
        </w:rPr>
      </w:pPr>
      <w:r>
        <w:rPr>
          <w:rFonts w:ascii="Arial" w:cs="Arial" w:eastAsia="Arial" w:hAnsi="Arial"/>
          <w:sz w:val="16"/>
          <w:szCs w:val="16"/>
          <w:color w:val="auto"/>
        </w:rPr>
        <w:t>an $833 million increase in common stock repurchases (reflecting our $1 billion share repurchase program in 2008) and</w:t>
      </w:r>
    </w:p>
    <w:p>
      <w:pPr>
        <w:spacing w:after="0" w:line="44" w:lineRule="exact"/>
        <w:rPr>
          <w:rFonts w:ascii="Arial" w:cs="Arial" w:eastAsia="Arial" w:hAnsi="Arial"/>
          <w:sz w:val="16"/>
          <w:szCs w:val="16"/>
          <w:color w:val="auto"/>
        </w:rPr>
      </w:pPr>
    </w:p>
    <w:p>
      <w:pPr>
        <w:ind w:left="144" w:hanging="144"/>
        <w:spacing w:after="0"/>
        <w:tabs>
          <w:tab w:leader="none" w:pos="144" w:val="left"/>
        </w:tabs>
        <w:numPr>
          <w:ilvl w:val="0"/>
          <w:numId w:val="285"/>
        </w:numPr>
        <w:rPr>
          <w:rFonts w:ascii="Arial" w:cs="Arial" w:eastAsia="Arial" w:hAnsi="Arial"/>
          <w:sz w:val="16"/>
          <w:szCs w:val="16"/>
          <w:color w:val="auto"/>
        </w:rPr>
      </w:pPr>
      <w:r>
        <w:rPr>
          <w:rFonts w:ascii="Arial" w:cs="Arial" w:eastAsia="Arial" w:hAnsi="Arial"/>
          <w:sz w:val="16"/>
          <w:szCs w:val="16"/>
          <w:color w:val="auto"/>
        </w:rPr>
        <w:t>a $248 million lower increase in short-term debt.</w:t>
      </w:r>
    </w:p>
    <w:p>
      <w:pPr>
        <w:spacing w:after="0" w:line="128" w:lineRule="exact"/>
        <w:rPr>
          <w:sz w:val="20"/>
          <w:szCs w:val="20"/>
          <w:color w:val="auto"/>
        </w:rPr>
      </w:pPr>
    </w:p>
    <w:p>
      <w:pPr>
        <w:ind w:left="4"/>
        <w:spacing w:after="0" w:line="274" w:lineRule="auto"/>
        <w:rPr>
          <w:sz w:val="20"/>
          <w:szCs w:val="20"/>
          <w:color w:val="auto"/>
        </w:rPr>
      </w:pPr>
      <w:r>
        <w:rPr>
          <w:rFonts w:ascii="Arial" w:cs="Arial" w:eastAsia="Arial" w:hAnsi="Arial"/>
          <w:sz w:val="16"/>
          <w:szCs w:val="16"/>
          <w:color w:val="auto"/>
        </w:rPr>
        <w:t xml:space="preserve">The decrease in cash used in financing activities at Sempra Energy in 2007 was primarily due to an $812 million increase in short-term debt in 2007 compared to a $791 million decrease in 2006. This decrease was </w:t>
      </w:r>
      <w:r>
        <w:rPr>
          <w:rFonts w:ascii="Arial" w:cs="Arial" w:eastAsia="Arial" w:hAnsi="Arial"/>
          <w:sz w:val="16"/>
          <w:szCs w:val="16"/>
          <w:b w:val="1"/>
          <w:bCs w:val="1"/>
          <w:color w:val="auto"/>
        </w:rPr>
        <w:t>offset by:</w:t>
      </w:r>
    </w:p>
    <w:p>
      <w:pPr>
        <w:ind w:left="144" w:hanging="144"/>
        <w:spacing w:after="0"/>
        <w:tabs>
          <w:tab w:leader="none" w:pos="144" w:val="left"/>
        </w:tabs>
        <w:numPr>
          <w:ilvl w:val="0"/>
          <w:numId w:val="286"/>
        </w:numPr>
        <w:rPr>
          <w:rFonts w:ascii="Arial" w:cs="Arial" w:eastAsia="Arial" w:hAnsi="Arial"/>
          <w:sz w:val="16"/>
          <w:szCs w:val="16"/>
          <w:color w:val="auto"/>
        </w:rPr>
      </w:pPr>
      <w:r>
        <w:rPr>
          <w:rFonts w:ascii="Arial" w:cs="Arial" w:eastAsia="Arial" w:hAnsi="Arial"/>
          <w:sz w:val="16"/>
          <w:szCs w:val="16"/>
          <w:color w:val="auto"/>
        </w:rPr>
        <w:t>an $809 million increase in long-term debt payments</w:t>
      </w:r>
    </w:p>
    <w:p>
      <w:pPr>
        <w:spacing w:after="0" w:line="44" w:lineRule="exact"/>
        <w:rPr>
          <w:rFonts w:ascii="Arial" w:cs="Arial" w:eastAsia="Arial" w:hAnsi="Arial"/>
          <w:sz w:val="16"/>
          <w:szCs w:val="16"/>
          <w:color w:val="auto"/>
        </w:rPr>
      </w:pPr>
    </w:p>
    <w:p>
      <w:pPr>
        <w:ind w:left="144" w:hanging="144"/>
        <w:spacing w:after="0"/>
        <w:tabs>
          <w:tab w:leader="none" w:pos="144" w:val="left"/>
        </w:tabs>
        <w:numPr>
          <w:ilvl w:val="0"/>
          <w:numId w:val="286"/>
        </w:numPr>
        <w:rPr>
          <w:rFonts w:ascii="Arial" w:cs="Arial" w:eastAsia="Arial" w:hAnsi="Arial"/>
          <w:sz w:val="16"/>
          <w:szCs w:val="16"/>
          <w:color w:val="auto"/>
        </w:rPr>
      </w:pPr>
      <w:r>
        <w:rPr>
          <w:rFonts w:ascii="Arial" w:cs="Arial" w:eastAsia="Arial" w:hAnsi="Arial"/>
          <w:sz w:val="16"/>
          <w:szCs w:val="16"/>
          <w:color w:val="auto"/>
        </w:rPr>
        <w:t>a $148 million decrease in issuances of long-term debt</w:t>
      </w:r>
    </w:p>
    <w:p>
      <w:pPr>
        <w:spacing w:after="0" w:line="44" w:lineRule="exact"/>
        <w:rPr>
          <w:rFonts w:ascii="Arial" w:cs="Arial" w:eastAsia="Arial" w:hAnsi="Arial"/>
          <w:sz w:val="16"/>
          <w:szCs w:val="16"/>
          <w:color w:val="auto"/>
        </w:rPr>
      </w:pPr>
    </w:p>
    <w:p>
      <w:pPr>
        <w:ind w:left="144" w:hanging="144"/>
        <w:spacing w:after="0"/>
        <w:tabs>
          <w:tab w:leader="none" w:pos="144" w:val="left"/>
        </w:tabs>
        <w:numPr>
          <w:ilvl w:val="0"/>
          <w:numId w:val="286"/>
        </w:numPr>
        <w:rPr>
          <w:rFonts w:ascii="Arial" w:cs="Arial" w:eastAsia="Arial" w:hAnsi="Arial"/>
          <w:sz w:val="16"/>
          <w:szCs w:val="16"/>
          <w:color w:val="auto"/>
        </w:rPr>
      </w:pPr>
      <w:r>
        <w:rPr>
          <w:rFonts w:ascii="Arial" w:cs="Arial" w:eastAsia="Arial" w:hAnsi="Arial"/>
          <w:sz w:val="16"/>
          <w:szCs w:val="16"/>
          <w:color w:val="auto"/>
        </w:rPr>
        <w:t>a $148 million increase in common stock repurchases</w:t>
      </w:r>
    </w:p>
    <w:p>
      <w:pPr>
        <w:spacing w:after="0" w:line="44" w:lineRule="exact"/>
        <w:rPr>
          <w:rFonts w:ascii="Arial" w:cs="Arial" w:eastAsia="Arial" w:hAnsi="Arial"/>
          <w:sz w:val="16"/>
          <w:szCs w:val="16"/>
          <w:color w:val="auto"/>
        </w:rPr>
      </w:pPr>
    </w:p>
    <w:p>
      <w:pPr>
        <w:ind w:left="144" w:hanging="144"/>
        <w:spacing w:after="0"/>
        <w:tabs>
          <w:tab w:leader="none" w:pos="144" w:val="left"/>
        </w:tabs>
        <w:numPr>
          <w:ilvl w:val="0"/>
          <w:numId w:val="286"/>
        </w:numPr>
        <w:rPr>
          <w:rFonts w:ascii="Arial" w:cs="Arial" w:eastAsia="Arial" w:hAnsi="Arial"/>
          <w:sz w:val="16"/>
          <w:szCs w:val="16"/>
          <w:color w:val="auto"/>
        </w:rPr>
      </w:pPr>
      <w:r>
        <w:rPr>
          <w:rFonts w:ascii="Arial" w:cs="Arial" w:eastAsia="Arial" w:hAnsi="Arial"/>
          <w:sz w:val="16"/>
          <w:szCs w:val="16"/>
          <w:color w:val="auto"/>
        </w:rPr>
        <w:t>$83 million of proceeds in 2006 from the sale of our interests in affordable-housing projects</w:t>
      </w:r>
    </w:p>
    <w:p>
      <w:pPr>
        <w:spacing w:after="0" w:line="128" w:lineRule="exact"/>
        <w:rPr>
          <w:sz w:val="20"/>
          <w:szCs w:val="20"/>
          <w:color w:val="auto"/>
        </w:rPr>
      </w:pPr>
    </w:p>
    <w:p>
      <w:pPr>
        <w:ind w:left="4"/>
        <w:spacing w:after="0"/>
        <w:rPr>
          <w:sz w:val="20"/>
          <w:szCs w:val="20"/>
          <w:color w:val="auto"/>
        </w:rPr>
      </w:pPr>
      <w:r>
        <w:rPr>
          <w:rFonts w:ascii="Arial" w:cs="Arial" w:eastAsia="Arial" w:hAnsi="Arial"/>
          <w:sz w:val="14"/>
          <w:szCs w:val="14"/>
          <w:color w:val="auto"/>
        </w:rPr>
        <w:t>The increase in short-term debt was primarily to fund the repayment of maturing long-term debt, and to a lesser extent, from increased borrowings at Sempra Commodities.</w:t>
      </w:r>
    </w:p>
    <w:p>
      <w:pPr>
        <w:spacing w:after="0" w:line="197" w:lineRule="exact"/>
        <w:rPr>
          <w:sz w:val="20"/>
          <w:szCs w:val="20"/>
          <w:color w:val="auto"/>
        </w:rPr>
      </w:pPr>
    </w:p>
    <w:p>
      <w:pPr>
        <w:ind w:left="4"/>
        <w:spacing w:after="0"/>
        <w:rPr>
          <w:sz w:val="20"/>
          <w:szCs w:val="20"/>
          <w:color w:val="auto"/>
        </w:rPr>
      </w:pPr>
      <w:r>
        <w:rPr>
          <w:rFonts w:ascii="Arial" w:cs="Arial" w:eastAsia="Arial" w:hAnsi="Arial"/>
          <w:sz w:val="18"/>
          <w:szCs w:val="18"/>
          <w:b w:val="1"/>
          <w:bCs w:val="1"/>
          <w:i w:val="1"/>
          <w:iCs w:val="1"/>
          <w:color w:val="auto"/>
        </w:rPr>
        <w:t>SDG&amp;E</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6"/>
          <w:szCs w:val="16"/>
          <w:color w:val="auto"/>
        </w:rPr>
        <w:t>Cash provided by financing activities at SDG&amp;E in 2008 increased due to:</w:t>
      </w:r>
    </w:p>
    <w:p>
      <w:pPr>
        <w:spacing w:after="0" w:line="44" w:lineRule="exact"/>
        <w:rPr>
          <w:sz w:val="20"/>
          <w:szCs w:val="20"/>
          <w:color w:val="auto"/>
        </w:rPr>
      </w:pPr>
    </w:p>
    <w:p>
      <w:pPr>
        <w:ind w:left="144" w:hanging="144"/>
        <w:spacing w:after="0"/>
        <w:tabs>
          <w:tab w:leader="none" w:pos="144" w:val="left"/>
        </w:tabs>
        <w:numPr>
          <w:ilvl w:val="0"/>
          <w:numId w:val="287"/>
        </w:numPr>
        <w:rPr>
          <w:rFonts w:ascii="Arial" w:cs="Arial" w:eastAsia="Arial" w:hAnsi="Arial"/>
          <w:sz w:val="16"/>
          <w:szCs w:val="16"/>
          <w:color w:val="auto"/>
        </w:rPr>
      </w:pPr>
      <w:r>
        <w:rPr>
          <w:rFonts w:ascii="Arial" w:cs="Arial" w:eastAsia="Arial" w:hAnsi="Arial"/>
          <w:sz w:val="16"/>
          <w:szCs w:val="16"/>
          <w:color w:val="auto"/>
        </w:rPr>
        <w:t>no payments on long-term debt in 2008, compared to $66 million in 2007; and</w:t>
      </w:r>
    </w:p>
    <w:p>
      <w:pPr>
        <w:spacing w:after="0" w:line="40" w:lineRule="exact"/>
        <w:rPr>
          <w:rFonts w:ascii="Arial" w:cs="Arial" w:eastAsia="Arial" w:hAnsi="Arial"/>
          <w:sz w:val="16"/>
          <w:szCs w:val="16"/>
          <w:color w:val="auto"/>
        </w:rPr>
      </w:pPr>
    </w:p>
    <w:p>
      <w:pPr>
        <w:ind w:left="144" w:hanging="144"/>
        <w:spacing w:after="0"/>
        <w:tabs>
          <w:tab w:leader="none" w:pos="144" w:val="left"/>
        </w:tabs>
        <w:numPr>
          <w:ilvl w:val="0"/>
          <w:numId w:val="287"/>
        </w:numPr>
        <w:rPr>
          <w:rFonts w:ascii="Arial" w:cs="Arial" w:eastAsia="Arial" w:hAnsi="Arial"/>
          <w:sz w:val="16"/>
          <w:szCs w:val="16"/>
          <w:color w:val="auto"/>
        </w:rPr>
      </w:pPr>
      <w:r>
        <w:rPr>
          <w:rFonts w:ascii="Arial" w:cs="Arial" w:eastAsia="Arial" w:hAnsi="Arial"/>
          <w:sz w:val="16"/>
          <w:szCs w:val="16"/>
          <w:color w:val="auto"/>
        </w:rPr>
        <w:t xml:space="preserve">a $72 million decrease in short-term debt in 2007, </w:t>
      </w:r>
      <w:r>
        <w:rPr>
          <w:rFonts w:ascii="Arial" w:cs="Arial" w:eastAsia="Arial" w:hAnsi="Arial"/>
          <w:sz w:val="16"/>
          <w:szCs w:val="16"/>
          <w:b w:val="1"/>
          <w:bCs w:val="1"/>
          <w:color w:val="auto"/>
        </w:rPr>
        <w:t>offset by</w:t>
      </w:r>
    </w:p>
    <w:p>
      <w:pPr>
        <w:spacing w:after="0" w:line="48" w:lineRule="exact"/>
        <w:rPr>
          <w:rFonts w:ascii="Arial" w:cs="Arial" w:eastAsia="Arial" w:hAnsi="Arial"/>
          <w:sz w:val="16"/>
          <w:szCs w:val="16"/>
          <w:color w:val="auto"/>
        </w:rPr>
      </w:pPr>
    </w:p>
    <w:p>
      <w:pPr>
        <w:ind w:left="144" w:right="1380" w:hanging="144"/>
        <w:spacing w:after="0" w:line="277" w:lineRule="auto"/>
        <w:tabs>
          <w:tab w:leader="none" w:pos="144" w:val="left"/>
        </w:tabs>
        <w:numPr>
          <w:ilvl w:val="0"/>
          <w:numId w:val="287"/>
        </w:numPr>
        <w:rPr>
          <w:rFonts w:ascii="Arial" w:cs="Arial" w:eastAsia="Arial" w:hAnsi="Arial"/>
          <w:sz w:val="16"/>
          <w:szCs w:val="16"/>
          <w:color w:val="auto"/>
        </w:rPr>
      </w:pPr>
      <w:r>
        <w:rPr>
          <w:rFonts w:ascii="Arial" w:cs="Arial" w:eastAsia="Arial" w:hAnsi="Arial"/>
          <w:sz w:val="16"/>
          <w:szCs w:val="16"/>
          <w:color w:val="auto"/>
        </w:rPr>
        <w:t>a $120 million net decrease in the issuance of long-term debt in 2008 (a $250 million decrease at SDG&amp;E, offset by an increase of $130 million by Otay Mesa VIE).</w:t>
      </w:r>
    </w:p>
    <w:p>
      <w:pPr>
        <w:spacing w:after="0" w:line="80" w:lineRule="exact"/>
        <w:rPr>
          <w:sz w:val="20"/>
          <w:szCs w:val="20"/>
          <w:color w:val="auto"/>
        </w:rPr>
      </w:pPr>
    </w:p>
    <w:p>
      <w:pPr>
        <w:ind w:left="4"/>
        <w:spacing w:after="0"/>
        <w:rPr>
          <w:sz w:val="20"/>
          <w:szCs w:val="20"/>
          <w:color w:val="auto"/>
        </w:rPr>
      </w:pPr>
      <w:r>
        <w:rPr>
          <w:rFonts w:ascii="Arial" w:cs="Arial" w:eastAsia="Arial" w:hAnsi="Arial"/>
          <w:sz w:val="16"/>
          <w:szCs w:val="16"/>
          <w:color w:val="auto"/>
        </w:rPr>
        <w:t>The decrease in cash provided by financing activities at SDG&amp;E in 2007 was primarily due to:</w:t>
      </w:r>
    </w:p>
    <w:p>
      <w:pPr>
        <w:spacing w:after="0" w:line="44" w:lineRule="exact"/>
        <w:rPr>
          <w:sz w:val="20"/>
          <w:szCs w:val="20"/>
          <w:color w:val="auto"/>
        </w:rPr>
      </w:pPr>
    </w:p>
    <w:p>
      <w:pPr>
        <w:ind w:left="144" w:hanging="144"/>
        <w:spacing w:after="0"/>
        <w:tabs>
          <w:tab w:leader="none" w:pos="144" w:val="left"/>
        </w:tabs>
        <w:numPr>
          <w:ilvl w:val="0"/>
          <w:numId w:val="288"/>
        </w:numPr>
        <w:rPr>
          <w:rFonts w:ascii="Arial" w:cs="Arial" w:eastAsia="Arial" w:hAnsi="Arial"/>
          <w:sz w:val="16"/>
          <w:szCs w:val="16"/>
          <w:color w:val="auto"/>
        </w:rPr>
      </w:pPr>
      <w:r>
        <w:rPr>
          <w:rFonts w:ascii="Arial" w:cs="Arial" w:eastAsia="Arial" w:hAnsi="Arial"/>
          <w:sz w:val="16"/>
          <w:szCs w:val="16"/>
          <w:color w:val="auto"/>
        </w:rPr>
        <w:t>a $200 million capital contribution made by Sempra Energy in 2006</w:t>
      </w:r>
    </w:p>
    <w:p>
      <w:pPr>
        <w:spacing w:after="0" w:line="44" w:lineRule="exact"/>
        <w:rPr>
          <w:rFonts w:ascii="Arial" w:cs="Arial" w:eastAsia="Arial" w:hAnsi="Arial"/>
          <w:sz w:val="16"/>
          <w:szCs w:val="16"/>
          <w:color w:val="auto"/>
        </w:rPr>
      </w:pPr>
    </w:p>
    <w:p>
      <w:pPr>
        <w:ind w:left="144" w:hanging="144"/>
        <w:spacing w:after="0"/>
        <w:tabs>
          <w:tab w:leader="none" w:pos="144" w:val="left"/>
        </w:tabs>
        <w:numPr>
          <w:ilvl w:val="0"/>
          <w:numId w:val="288"/>
        </w:numPr>
        <w:rPr>
          <w:rFonts w:ascii="Arial" w:cs="Arial" w:eastAsia="Arial" w:hAnsi="Arial"/>
          <w:sz w:val="16"/>
          <w:szCs w:val="16"/>
          <w:color w:val="auto"/>
        </w:rPr>
      </w:pPr>
      <w:r>
        <w:rPr>
          <w:rFonts w:ascii="Arial" w:cs="Arial" w:eastAsia="Arial" w:hAnsi="Arial"/>
          <w:sz w:val="16"/>
          <w:szCs w:val="16"/>
          <w:color w:val="auto"/>
        </w:rPr>
        <w:t>a $98 million decrease in issuances of long-term debt in 2007</w:t>
      </w:r>
    </w:p>
    <w:p>
      <w:pPr>
        <w:spacing w:after="0" w:line="174" w:lineRule="exact"/>
        <w:rPr>
          <w:sz w:val="20"/>
          <w:szCs w:val="20"/>
          <w:color w:val="auto"/>
        </w:rPr>
      </w:pPr>
    </w:p>
    <w:p>
      <w:pPr>
        <w:ind w:left="4"/>
        <w:spacing w:after="0"/>
        <w:rPr>
          <w:sz w:val="20"/>
          <w:szCs w:val="20"/>
          <w:color w:val="auto"/>
        </w:rPr>
      </w:pPr>
      <w:r>
        <w:rPr>
          <w:rFonts w:ascii="Arial" w:cs="Arial" w:eastAsia="Arial" w:hAnsi="Arial"/>
          <w:sz w:val="18"/>
          <w:szCs w:val="18"/>
          <w:b w:val="1"/>
          <w:bCs w:val="1"/>
          <w:i w:val="1"/>
          <w:iCs w:val="1"/>
          <w:color w:val="auto"/>
        </w:rPr>
        <w:t>PE and SoCalGas</w:t>
      </w:r>
    </w:p>
    <w:p>
      <w:pPr>
        <w:spacing w:after="0" w:line="23" w:lineRule="exact"/>
        <w:rPr>
          <w:sz w:val="20"/>
          <w:szCs w:val="20"/>
          <w:color w:val="auto"/>
        </w:rPr>
      </w:pPr>
    </w:p>
    <w:p>
      <w:pPr>
        <w:ind w:left="4" w:right="420"/>
        <w:spacing w:after="0" w:line="277" w:lineRule="auto"/>
        <w:rPr>
          <w:sz w:val="20"/>
          <w:szCs w:val="20"/>
          <w:color w:val="auto"/>
        </w:rPr>
      </w:pPr>
      <w:r>
        <w:rPr>
          <w:rFonts w:ascii="Arial" w:cs="Arial" w:eastAsia="Arial" w:hAnsi="Arial"/>
          <w:sz w:val="16"/>
          <w:szCs w:val="16"/>
          <w:color w:val="auto"/>
        </w:rPr>
        <w:t>Cash used in financing activities at PE and SoCalGas in 2008 decreased due to a $250 million issuance of long-term debt in 2008, offset by an increase of $200 million in common dividends paid.</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6"/>
          <w:szCs w:val="16"/>
          <w:color w:val="auto"/>
        </w:rPr>
        <w:t>The 2007 changes at PE and SoCalGas were due to an $88 million decrease in short-term debt at SoCalGas in 2006.</w:t>
      </w:r>
    </w:p>
    <w:p>
      <w:pPr>
        <w:spacing w:after="0" w:line="200" w:lineRule="exact"/>
        <w:rPr>
          <w:sz w:val="20"/>
          <w:szCs w:val="20"/>
          <w:color w:val="auto"/>
        </w:rPr>
      </w:pPr>
    </w:p>
    <w:p>
      <w:pPr>
        <w:spacing w:after="0" w:line="341" w:lineRule="exact"/>
        <w:rPr>
          <w:sz w:val="20"/>
          <w:szCs w:val="20"/>
          <w:color w:val="auto"/>
        </w:rPr>
      </w:pPr>
    </w:p>
    <w:p>
      <w:pPr>
        <w:ind w:left="4"/>
        <w:spacing w:after="0"/>
        <w:rPr>
          <w:sz w:val="20"/>
          <w:szCs w:val="20"/>
          <w:color w:val="auto"/>
        </w:rPr>
      </w:pPr>
      <w:r>
        <w:rPr>
          <w:rFonts w:ascii="Arial" w:cs="Arial" w:eastAsia="Arial" w:hAnsi="Arial"/>
          <w:sz w:val="14"/>
          <w:szCs w:val="14"/>
          <w:color w:val="auto"/>
        </w:rPr>
        <w:t>35</w:t>
      </w:r>
    </w:p>
    <w:p>
      <w:pPr>
        <w:sectPr>
          <w:pgSz w:w="11900" w:h="16838" w:orient="portrait"/>
          <w:cols w:equalWidth="0" w:num="1">
            <w:col w:w="11304"/>
          </w:cols>
          <w:pgMar w:left="236" w:top="485" w:right="359" w:bottom="1440" w:gutter="0" w:footer="0" w:header="0"/>
        </w:sectPr>
      </w:pPr>
    </w:p>
    <w:bookmarkStart w:id="175" w:name="page176"/>
    <w:bookmarkEnd w:id="175"/>
    <w:p>
      <w:pPr>
        <w:ind w:left="4"/>
        <w:spacing w:after="0"/>
        <w:rPr>
          <w:sz w:val="20"/>
          <w:szCs w:val="20"/>
          <w:color w:val="auto"/>
        </w:rPr>
      </w:pPr>
      <w:r>
        <w:rPr>
          <w:rFonts w:ascii="Arial" w:cs="Arial" w:eastAsia="Arial" w:hAnsi="Arial"/>
          <w:sz w:val="16"/>
          <w:szCs w:val="16"/>
          <w:b w:val="1"/>
          <w:bCs w:val="1"/>
          <w:color w:val="auto"/>
        </w:rPr>
        <w:t>LONG-TERM DEBT</w:t>
      </w:r>
    </w:p>
    <w:p>
      <w:pPr>
        <w:spacing w:after="0" w:line="89" w:lineRule="exact"/>
        <w:rPr>
          <w:sz w:val="20"/>
          <w:szCs w:val="20"/>
          <w:color w:val="auto"/>
        </w:rPr>
      </w:pPr>
    </w:p>
    <w:p>
      <w:pPr>
        <w:ind w:left="4"/>
        <w:spacing w:after="0"/>
        <w:rPr>
          <w:sz w:val="20"/>
          <w:szCs w:val="20"/>
          <w:color w:val="auto"/>
        </w:rPr>
      </w:pPr>
      <w:r>
        <w:rPr>
          <w:rFonts w:ascii="Arial" w:cs="Arial" w:eastAsia="Arial" w:hAnsi="Arial"/>
          <w:sz w:val="16"/>
          <w:szCs w:val="16"/>
          <w:color w:val="auto"/>
        </w:rPr>
        <w:t>Long-term balances (including the current portion of long-term debt) at December 31, 2008 were:</w:t>
      </w:r>
    </w:p>
    <w:p>
      <w:pPr>
        <w:spacing w:after="0" w:line="265" w:lineRule="exact"/>
        <w:rPr>
          <w:sz w:val="20"/>
          <w:szCs w:val="20"/>
          <w:color w:val="auto"/>
        </w:rPr>
      </w:pPr>
    </w:p>
    <w:tbl>
      <w:tblPr>
        <w:tblLayout w:type="fixed"/>
        <w:tblInd w:w="2564" w:type="dxa"/>
        <w:tblCellMar>
          <w:top w:w="0" w:type="dxa"/>
          <w:left w:w="0" w:type="dxa"/>
          <w:bottom w:w="0" w:type="dxa"/>
          <w:right w:w="0" w:type="dxa"/>
        </w:tblCellMar>
      </w:tblPr>
      <w:tr>
        <w:trPr>
          <w:trHeight w:val="171"/>
        </w:trPr>
        <w:tc>
          <w:tcPr>
            <w:tcW w:w="2840" w:type="dxa"/>
            <w:vAlign w:val="bottom"/>
            <w:tcBorders>
              <w:bottom w:val="single" w:sz="8" w:color="auto"/>
            </w:tcBorders>
          </w:tcPr>
          <w:p>
            <w:pPr>
              <w:ind w:left="20"/>
              <w:spacing w:after="0"/>
              <w:rPr>
                <w:sz w:val="20"/>
                <w:szCs w:val="20"/>
                <w:color w:val="auto"/>
              </w:rPr>
            </w:pPr>
            <w:r>
              <w:rPr>
                <w:rFonts w:ascii="Arial" w:cs="Arial" w:eastAsia="Arial" w:hAnsi="Arial"/>
                <w:sz w:val="13"/>
                <w:szCs w:val="13"/>
                <w:i w:val="1"/>
                <w:iCs w:val="1"/>
                <w:color w:val="auto"/>
              </w:rPr>
              <w:t>(Dollars in millions)</w:t>
            </w:r>
          </w:p>
        </w:tc>
        <w:tc>
          <w:tcPr>
            <w:tcW w:w="1660" w:type="dxa"/>
            <w:vAlign w:val="bottom"/>
            <w:tcBorders>
              <w:bottom w:val="single" w:sz="8" w:color="auto"/>
            </w:tcBorders>
          </w:tcPr>
          <w:p>
            <w:pPr>
              <w:jc w:val="right"/>
              <w:ind w:right="30"/>
              <w:spacing w:after="0"/>
              <w:rPr>
                <w:sz w:val="20"/>
                <w:szCs w:val="20"/>
                <w:color w:val="auto"/>
              </w:rPr>
            </w:pPr>
            <w:r>
              <w:rPr>
                <w:rFonts w:ascii="Arial" w:cs="Arial" w:eastAsia="Arial" w:hAnsi="Arial"/>
                <w:sz w:val="13"/>
                <w:szCs w:val="13"/>
                <w:color w:val="auto"/>
              </w:rPr>
              <w:t>2008</w:t>
            </w:r>
          </w:p>
        </w:tc>
        <w:tc>
          <w:tcPr>
            <w:tcW w:w="3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50"/>
              <w:spacing w:after="0"/>
              <w:rPr>
                <w:sz w:val="20"/>
                <w:szCs w:val="20"/>
                <w:color w:val="auto"/>
              </w:rPr>
            </w:pPr>
            <w:r>
              <w:rPr>
                <w:rFonts w:ascii="Arial" w:cs="Arial" w:eastAsia="Arial" w:hAnsi="Arial"/>
                <w:sz w:val="13"/>
                <w:szCs w:val="13"/>
                <w:color w:val="auto"/>
              </w:rPr>
              <w:t>2007</w:t>
            </w:r>
          </w:p>
        </w:tc>
        <w:tc>
          <w:tcPr>
            <w:tcW w:w="3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2006</w:t>
            </w:r>
          </w:p>
        </w:tc>
      </w:tr>
      <w:tr>
        <w:trPr>
          <w:trHeight w:val="183"/>
        </w:trPr>
        <w:tc>
          <w:tcPr>
            <w:tcW w:w="2840" w:type="dxa"/>
            <w:vAlign w:val="bottom"/>
          </w:tcPr>
          <w:p>
            <w:pPr>
              <w:ind w:left="20"/>
              <w:spacing w:after="0"/>
              <w:rPr>
                <w:sz w:val="20"/>
                <w:szCs w:val="20"/>
                <w:color w:val="auto"/>
              </w:rPr>
            </w:pPr>
            <w:r>
              <w:rPr>
                <w:rFonts w:ascii="Arial" w:cs="Arial" w:eastAsia="Arial" w:hAnsi="Arial"/>
                <w:sz w:val="14"/>
                <w:szCs w:val="14"/>
                <w:color w:val="auto"/>
              </w:rPr>
              <w:t>Sempra Energy Consolidated</w:t>
            </w:r>
          </w:p>
        </w:tc>
        <w:tc>
          <w:tcPr>
            <w:tcW w:w="1660" w:type="dxa"/>
            <w:vAlign w:val="bottom"/>
          </w:tcPr>
          <w:p>
            <w:pPr>
              <w:jc w:val="right"/>
              <w:ind w:right="30"/>
              <w:spacing w:after="0"/>
              <w:rPr>
                <w:sz w:val="20"/>
                <w:szCs w:val="20"/>
                <w:color w:val="auto"/>
              </w:rPr>
            </w:pPr>
            <w:r>
              <w:rPr>
                <w:rFonts w:ascii="Arial" w:cs="Arial" w:eastAsia="Arial" w:hAnsi="Arial"/>
                <w:sz w:val="14"/>
                <w:szCs w:val="14"/>
                <w:color w:val="auto"/>
              </w:rPr>
              <w:t>$  6,954</w:t>
            </w:r>
          </w:p>
        </w:tc>
        <w:tc>
          <w:tcPr>
            <w:tcW w:w="3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50"/>
              <w:spacing w:after="0"/>
              <w:rPr>
                <w:sz w:val="20"/>
                <w:szCs w:val="20"/>
                <w:color w:val="auto"/>
              </w:rPr>
            </w:pPr>
            <w:r>
              <w:rPr>
                <w:rFonts w:ascii="Arial" w:cs="Arial" w:eastAsia="Arial" w:hAnsi="Arial"/>
                <w:sz w:val="14"/>
                <w:szCs w:val="14"/>
                <w:color w:val="auto"/>
              </w:rPr>
              <w:t>4,560</w:t>
            </w:r>
          </w:p>
        </w:tc>
        <w:tc>
          <w:tcPr>
            <w:tcW w:w="3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520" w:type="dxa"/>
            <w:vAlign w:val="bottom"/>
          </w:tcPr>
          <w:p>
            <w:pPr>
              <w:jc w:val="right"/>
              <w:spacing w:after="0"/>
              <w:rPr>
                <w:sz w:val="20"/>
                <w:szCs w:val="20"/>
                <w:color w:val="auto"/>
              </w:rPr>
            </w:pPr>
            <w:r>
              <w:rPr>
                <w:rFonts w:ascii="Arial" w:cs="Arial" w:eastAsia="Arial" w:hAnsi="Arial"/>
                <w:sz w:val="14"/>
                <w:szCs w:val="14"/>
                <w:color w:val="auto"/>
              </w:rPr>
              <w:t>5,206</w:t>
            </w:r>
          </w:p>
        </w:tc>
      </w:tr>
      <w:tr>
        <w:trPr>
          <w:trHeight w:val="216"/>
        </w:trPr>
        <w:tc>
          <w:tcPr>
            <w:tcW w:w="2840" w:type="dxa"/>
            <w:vAlign w:val="bottom"/>
          </w:tcPr>
          <w:p>
            <w:pPr>
              <w:ind w:left="20"/>
              <w:spacing w:after="0"/>
              <w:rPr>
                <w:sz w:val="20"/>
                <w:szCs w:val="20"/>
                <w:color w:val="auto"/>
              </w:rPr>
            </w:pPr>
            <w:r>
              <w:rPr>
                <w:rFonts w:ascii="Arial" w:cs="Arial" w:eastAsia="Arial" w:hAnsi="Arial"/>
                <w:sz w:val="14"/>
                <w:szCs w:val="14"/>
                <w:color w:val="auto"/>
              </w:rPr>
              <w:t>SDG&amp;E</w:t>
            </w:r>
          </w:p>
        </w:tc>
        <w:tc>
          <w:tcPr>
            <w:tcW w:w="1660" w:type="dxa"/>
            <w:vAlign w:val="bottom"/>
          </w:tcPr>
          <w:p>
            <w:pPr>
              <w:jc w:val="right"/>
              <w:ind w:right="30"/>
              <w:spacing w:after="0"/>
              <w:rPr>
                <w:sz w:val="20"/>
                <w:szCs w:val="20"/>
                <w:color w:val="auto"/>
              </w:rPr>
            </w:pPr>
            <w:r>
              <w:rPr>
                <w:rFonts w:ascii="Arial" w:cs="Arial" w:eastAsia="Arial" w:hAnsi="Arial"/>
                <w:sz w:val="14"/>
                <w:szCs w:val="14"/>
                <w:color w:val="auto"/>
              </w:rPr>
              <w:t>2,144</w:t>
            </w:r>
          </w:p>
        </w:tc>
        <w:tc>
          <w:tcPr>
            <w:tcW w:w="320" w:type="dxa"/>
            <w:vAlign w:val="bottom"/>
          </w:tcPr>
          <w:p>
            <w:pPr>
              <w:spacing w:after="0"/>
              <w:rPr>
                <w:sz w:val="18"/>
                <w:szCs w:val="18"/>
                <w:color w:val="auto"/>
              </w:rPr>
            </w:pPr>
          </w:p>
        </w:tc>
        <w:tc>
          <w:tcPr>
            <w:tcW w:w="620" w:type="dxa"/>
            <w:vAlign w:val="bottom"/>
          </w:tcPr>
          <w:p>
            <w:pPr>
              <w:jc w:val="right"/>
              <w:ind w:right="50"/>
              <w:spacing w:after="0"/>
              <w:rPr>
                <w:sz w:val="20"/>
                <w:szCs w:val="20"/>
                <w:color w:val="auto"/>
              </w:rPr>
            </w:pPr>
            <w:r>
              <w:rPr>
                <w:rFonts w:ascii="Arial" w:cs="Arial" w:eastAsia="Arial" w:hAnsi="Arial"/>
                <w:sz w:val="14"/>
                <w:szCs w:val="14"/>
                <w:color w:val="auto"/>
              </w:rPr>
              <w:t>1,958</w:t>
            </w:r>
          </w:p>
        </w:tc>
        <w:tc>
          <w:tcPr>
            <w:tcW w:w="3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1,704</w:t>
            </w:r>
          </w:p>
        </w:tc>
      </w:tr>
      <w:tr>
        <w:trPr>
          <w:trHeight w:val="250"/>
        </w:trPr>
        <w:tc>
          <w:tcPr>
            <w:tcW w:w="2840" w:type="dxa"/>
            <w:vAlign w:val="bottom"/>
            <w:tcBorders>
              <w:bottom w:val="single" w:sz="8" w:color="DFDFDF"/>
            </w:tcBorders>
          </w:tcPr>
          <w:p>
            <w:pPr>
              <w:ind w:left="20"/>
              <w:spacing w:after="0"/>
              <w:rPr>
                <w:sz w:val="20"/>
                <w:szCs w:val="20"/>
                <w:color w:val="auto"/>
              </w:rPr>
            </w:pPr>
            <w:r>
              <w:rPr>
                <w:rFonts w:ascii="Arial" w:cs="Arial" w:eastAsia="Arial" w:hAnsi="Arial"/>
                <w:sz w:val="14"/>
                <w:szCs w:val="14"/>
                <w:color w:val="auto"/>
              </w:rPr>
              <w:t>PE/SoCalGas</w:t>
            </w:r>
          </w:p>
        </w:tc>
        <w:tc>
          <w:tcPr>
            <w:tcW w:w="1660" w:type="dxa"/>
            <w:vAlign w:val="bottom"/>
            <w:tcBorders>
              <w:bottom w:val="single" w:sz="8" w:color="DFDFDF"/>
            </w:tcBorders>
          </w:tcPr>
          <w:p>
            <w:pPr>
              <w:jc w:val="right"/>
              <w:ind w:right="30"/>
              <w:spacing w:after="0"/>
              <w:rPr>
                <w:sz w:val="20"/>
                <w:szCs w:val="20"/>
                <w:color w:val="auto"/>
              </w:rPr>
            </w:pPr>
            <w:r>
              <w:rPr>
                <w:rFonts w:ascii="Arial" w:cs="Arial" w:eastAsia="Arial" w:hAnsi="Arial"/>
                <w:sz w:val="14"/>
                <w:szCs w:val="14"/>
                <w:color w:val="auto"/>
              </w:rPr>
              <w:t>1,370</w:t>
            </w:r>
          </w:p>
        </w:tc>
        <w:tc>
          <w:tcPr>
            <w:tcW w:w="320" w:type="dxa"/>
            <w:vAlign w:val="bottom"/>
            <w:tcBorders>
              <w:bottom w:val="single" w:sz="8" w:color="DFDFDF"/>
            </w:tcBorders>
          </w:tcPr>
          <w:p>
            <w:pPr>
              <w:spacing w:after="0"/>
              <w:rPr>
                <w:sz w:val="21"/>
                <w:szCs w:val="21"/>
                <w:color w:val="auto"/>
              </w:rPr>
            </w:pPr>
          </w:p>
        </w:tc>
        <w:tc>
          <w:tcPr>
            <w:tcW w:w="620" w:type="dxa"/>
            <w:vAlign w:val="bottom"/>
            <w:tcBorders>
              <w:bottom w:val="single" w:sz="8" w:color="DFDFDF"/>
            </w:tcBorders>
          </w:tcPr>
          <w:p>
            <w:pPr>
              <w:jc w:val="right"/>
              <w:ind w:right="50"/>
              <w:spacing w:after="0"/>
              <w:rPr>
                <w:sz w:val="20"/>
                <w:szCs w:val="20"/>
                <w:color w:val="auto"/>
              </w:rPr>
            </w:pPr>
            <w:r>
              <w:rPr>
                <w:rFonts w:ascii="Arial" w:cs="Arial" w:eastAsia="Arial" w:hAnsi="Arial"/>
                <w:sz w:val="14"/>
                <w:szCs w:val="14"/>
                <w:color w:val="auto"/>
              </w:rPr>
              <w:t>1,113</w:t>
            </w:r>
          </w:p>
        </w:tc>
        <w:tc>
          <w:tcPr>
            <w:tcW w:w="360" w:type="dxa"/>
            <w:vAlign w:val="bottom"/>
            <w:tcBorders>
              <w:bottom w:val="single" w:sz="8" w:color="DFDFDF"/>
            </w:tcBorders>
          </w:tcPr>
          <w:p>
            <w:pPr>
              <w:spacing w:after="0"/>
              <w:rPr>
                <w:sz w:val="21"/>
                <w:szCs w:val="21"/>
                <w:color w:val="auto"/>
              </w:rPr>
            </w:pPr>
          </w:p>
        </w:tc>
        <w:tc>
          <w:tcPr>
            <w:tcW w:w="520" w:type="dxa"/>
            <w:vAlign w:val="bottom"/>
            <w:tcBorders>
              <w:bottom w:val="single" w:sz="8" w:color="DFDFDF"/>
            </w:tcBorders>
          </w:tcPr>
          <w:p>
            <w:pPr>
              <w:jc w:val="right"/>
              <w:spacing w:after="0"/>
              <w:rPr>
                <w:sz w:val="20"/>
                <w:szCs w:val="20"/>
                <w:color w:val="auto"/>
              </w:rPr>
            </w:pPr>
            <w:r>
              <w:rPr>
                <w:rFonts w:ascii="Arial" w:cs="Arial" w:eastAsia="Arial" w:hAnsi="Arial"/>
                <w:sz w:val="14"/>
                <w:szCs w:val="14"/>
                <w:color w:val="auto"/>
              </w:rPr>
              <w:t>1,107</w:t>
            </w:r>
          </w:p>
        </w:tc>
      </w:tr>
    </w:tbl>
    <w:p>
      <w:pPr>
        <w:spacing w:after="0" w:line="252" w:lineRule="exact"/>
        <w:rPr>
          <w:sz w:val="20"/>
          <w:szCs w:val="20"/>
          <w:color w:val="auto"/>
        </w:rPr>
      </w:pPr>
    </w:p>
    <w:p>
      <w:pPr>
        <w:ind w:left="4"/>
        <w:spacing w:after="0"/>
        <w:rPr>
          <w:sz w:val="20"/>
          <w:szCs w:val="20"/>
          <w:color w:val="auto"/>
        </w:rPr>
      </w:pPr>
      <w:r>
        <w:rPr>
          <w:rFonts w:ascii="Arial" w:cs="Arial" w:eastAsia="Arial" w:hAnsi="Arial"/>
          <w:sz w:val="16"/>
          <w:szCs w:val="16"/>
          <w:color w:val="auto"/>
        </w:rPr>
        <w:t>At December 31, 2008, the following information applies to long-term debt:</w:t>
      </w:r>
    </w:p>
    <w:p>
      <w:pPr>
        <w:spacing w:after="0" w:line="277" w:lineRule="exact"/>
        <w:rPr>
          <w:sz w:val="20"/>
          <w:szCs w:val="20"/>
          <w:color w:val="auto"/>
        </w:rPr>
      </w:pPr>
    </w:p>
    <w:tbl>
      <w:tblPr>
        <w:tblLayout w:type="fixed"/>
        <w:tblInd w:w="2504" w:type="dxa"/>
        <w:tblCellMar>
          <w:top w:w="0" w:type="dxa"/>
          <w:left w:w="0" w:type="dxa"/>
          <w:bottom w:w="0" w:type="dxa"/>
          <w:right w:w="0" w:type="dxa"/>
        </w:tblCellMar>
      </w:tblPr>
      <w:tr>
        <w:trPr>
          <w:trHeight w:val="154"/>
        </w:trPr>
        <w:tc>
          <w:tcPr>
            <w:tcW w:w="3040" w:type="dxa"/>
            <w:vAlign w:val="bottom"/>
          </w:tcPr>
          <w:p>
            <w:pPr>
              <w:spacing w:after="0"/>
              <w:rPr>
                <w:sz w:val="13"/>
                <w:szCs w:val="13"/>
                <w:color w:val="auto"/>
              </w:rPr>
            </w:pPr>
          </w:p>
        </w:tc>
        <w:tc>
          <w:tcPr>
            <w:tcW w:w="1460" w:type="dxa"/>
            <w:vAlign w:val="bottom"/>
          </w:tcPr>
          <w:p>
            <w:pPr>
              <w:jc w:val="right"/>
              <w:ind w:right="313"/>
              <w:spacing w:after="0"/>
              <w:rPr>
                <w:sz w:val="20"/>
                <w:szCs w:val="20"/>
                <w:color w:val="auto"/>
              </w:rPr>
            </w:pPr>
            <w:r>
              <w:rPr>
                <w:rFonts w:ascii="Arial" w:cs="Arial" w:eastAsia="Arial" w:hAnsi="Arial"/>
                <w:sz w:val="13"/>
                <w:szCs w:val="13"/>
                <w:color w:val="auto"/>
              </w:rPr>
              <w:t>Sempra</w:t>
            </w:r>
          </w:p>
        </w:tc>
        <w:tc>
          <w:tcPr>
            <w:tcW w:w="980" w:type="dxa"/>
            <w:vAlign w:val="bottom"/>
          </w:tcPr>
          <w:p>
            <w:pPr>
              <w:spacing w:after="0"/>
              <w:rPr>
                <w:sz w:val="13"/>
                <w:szCs w:val="13"/>
                <w:color w:val="auto"/>
              </w:rPr>
            </w:pPr>
          </w:p>
        </w:tc>
        <w:tc>
          <w:tcPr>
            <w:tcW w:w="960" w:type="dxa"/>
            <w:vAlign w:val="bottom"/>
          </w:tcPr>
          <w:p>
            <w:pPr>
              <w:spacing w:after="0"/>
              <w:rPr>
                <w:sz w:val="13"/>
                <w:szCs w:val="13"/>
                <w:color w:val="auto"/>
              </w:rPr>
            </w:pPr>
          </w:p>
        </w:tc>
      </w:tr>
      <w:tr>
        <w:trPr>
          <w:trHeight w:val="156"/>
        </w:trPr>
        <w:tc>
          <w:tcPr>
            <w:tcW w:w="3040" w:type="dxa"/>
            <w:vAlign w:val="bottom"/>
          </w:tcPr>
          <w:p>
            <w:pPr>
              <w:spacing w:after="0"/>
              <w:rPr>
                <w:sz w:val="13"/>
                <w:szCs w:val="13"/>
                <w:color w:val="auto"/>
              </w:rPr>
            </w:pPr>
          </w:p>
        </w:tc>
        <w:tc>
          <w:tcPr>
            <w:tcW w:w="1460" w:type="dxa"/>
            <w:vAlign w:val="bottom"/>
          </w:tcPr>
          <w:p>
            <w:pPr>
              <w:jc w:val="right"/>
              <w:ind w:right="313"/>
              <w:spacing w:after="0"/>
              <w:rPr>
                <w:sz w:val="20"/>
                <w:szCs w:val="20"/>
                <w:color w:val="auto"/>
              </w:rPr>
            </w:pPr>
            <w:r>
              <w:rPr>
                <w:rFonts w:ascii="Arial" w:cs="Arial" w:eastAsia="Arial" w:hAnsi="Arial"/>
                <w:sz w:val="13"/>
                <w:szCs w:val="13"/>
                <w:color w:val="auto"/>
              </w:rPr>
              <w:t>Energy</w:t>
            </w:r>
          </w:p>
        </w:tc>
        <w:tc>
          <w:tcPr>
            <w:tcW w:w="980" w:type="dxa"/>
            <w:vAlign w:val="bottom"/>
          </w:tcPr>
          <w:p>
            <w:pPr>
              <w:spacing w:after="0"/>
              <w:rPr>
                <w:sz w:val="13"/>
                <w:szCs w:val="13"/>
                <w:color w:val="auto"/>
              </w:rPr>
            </w:pPr>
          </w:p>
        </w:tc>
        <w:tc>
          <w:tcPr>
            <w:tcW w:w="960" w:type="dxa"/>
            <w:vAlign w:val="bottom"/>
          </w:tcPr>
          <w:p>
            <w:pPr>
              <w:spacing w:after="0"/>
              <w:rPr>
                <w:sz w:val="13"/>
                <w:szCs w:val="13"/>
                <w:color w:val="auto"/>
              </w:rPr>
            </w:pPr>
          </w:p>
        </w:tc>
      </w:tr>
      <w:tr>
        <w:trPr>
          <w:trHeight w:val="161"/>
        </w:trPr>
        <w:tc>
          <w:tcPr>
            <w:tcW w:w="304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right"/>
              <w:ind w:right="313"/>
              <w:spacing w:after="0"/>
              <w:rPr>
                <w:sz w:val="20"/>
                <w:szCs w:val="20"/>
                <w:color w:val="auto"/>
              </w:rPr>
            </w:pPr>
            <w:r>
              <w:rPr>
                <w:rFonts w:ascii="Arial" w:cs="Arial" w:eastAsia="Arial" w:hAnsi="Arial"/>
                <w:sz w:val="13"/>
                <w:szCs w:val="13"/>
                <w:color w:val="auto"/>
              </w:rPr>
              <w:t>Consolidated</w:t>
            </w:r>
          </w:p>
        </w:tc>
        <w:tc>
          <w:tcPr>
            <w:tcW w:w="980" w:type="dxa"/>
            <w:vAlign w:val="bottom"/>
            <w:tcBorders>
              <w:bottom w:val="single" w:sz="8" w:color="auto"/>
            </w:tcBorders>
          </w:tcPr>
          <w:p>
            <w:pPr>
              <w:ind w:left="220"/>
              <w:spacing w:after="0"/>
              <w:rPr>
                <w:sz w:val="20"/>
                <w:szCs w:val="20"/>
                <w:color w:val="auto"/>
              </w:rPr>
            </w:pPr>
            <w:r>
              <w:rPr>
                <w:rFonts w:ascii="Arial" w:cs="Arial" w:eastAsia="Arial" w:hAnsi="Arial"/>
                <w:sz w:val="13"/>
                <w:szCs w:val="13"/>
                <w:color w:val="auto"/>
              </w:rPr>
              <w:t>SDG&amp;E</w:t>
            </w:r>
          </w:p>
        </w:tc>
        <w:tc>
          <w:tcPr>
            <w:tcW w:w="960" w:type="dxa"/>
            <w:vAlign w:val="bottom"/>
            <w:tcBorders>
              <w:bottom w:val="single" w:sz="8" w:color="auto"/>
            </w:tcBorders>
          </w:tcPr>
          <w:p>
            <w:pPr>
              <w:jc w:val="right"/>
              <w:ind w:right="151"/>
              <w:spacing w:after="0"/>
              <w:rPr>
                <w:sz w:val="20"/>
                <w:szCs w:val="20"/>
                <w:color w:val="auto"/>
              </w:rPr>
            </w:pPr>
            <w:r>
              <w:rPr>
                <w:rFonts w:ascii="Arial" w:cs="Arial" w:eastAsia="Arial" w:hAnsi="Arial"/>
                <w:sz w:val="13"/>
                <w:szCs w:val="13"/>
                <w:color w:val="auto"/>
              </w:rPr>
              <w:t>SoCalGas</w:t>
            </w:r>
          </w:p>
        </w:tc>
      </w:tr>
      <w:tr>
        <w:trPr>
          <w:trHeight w:val="207"/>
        </w:trPr>
        <w:tc>
          <w:tcPr>
            <w:tcW w:w="3040" w:type="dxa"/>
            <w:vAlign w:val="bottom"/>
          </w:tcPr>
          <w:p>
            <w:pPr>
              <w:spacing w:after="0"/>
              <w:rPr>
                <w:sz w:val="20"/>
                <w:szCs w:val="20"/>
                <w:color w:val="auto"/>
              </w:rPr>
            </w:pPr>
            <w:r>
              <w:rPr>
                <w:rFonts w:ascii="Arial" w:cs="Arial" w:eastAsia="Arial" w:hAnsi="Arial"/>
                <w:sz w:val="14"/>
                <w:szCs w:val="14"/>
                <w:color w:val="auto"/>
              </w:rPr>
              <w:t>Weighted average life to maturity, in years</w:t>
            </w:r>
          </w:p>
        </w:tc>
        <w:tc>
          <w:tcPr>
            <w:tcW w:w="1460" w:type="dxa"/>
            <w:vAlign w:val="bottom"/>
          </w:tcPr>
          <w:p>
            <w:pPr>
              <w:ind w:left="800"/>
              <w:spacing w:after="0"/>
              <w:rPr>
                <w:sz w:val="20"/>
                <w:szCs w:val="20"/>
                <w:color w:val="auto"/>
              </w:rPr>
            </w:pPr>
            <w:r>
              <w:rPr>
                <w:rFonts w:ascii="Arial" w:cs="Arial" w:eastAsia="Arial" w:hAnsi="Arial"/>
                <w:sz w:val="14"/>
                <w:szCs w:val="14"/>
                <w:color w:val="auto"/>
              </w:rPr>
              <w:t>10.1</w:t>
            </w:r>
          </w:p>
        </w:tc>
        <w:tc>
          <w:tcPr>
            <w:tcW w:w="980" w:type="dxa"/>
            <w:vAlign w:val="bottom"/>
          </w:tcPr>
          <w:p>
            <w:pPr>
              <w:ind w:left="380"/>
              <w:spacing w:after="0"/>
              <w:rPr>
                <w:sz w:val="20"/>
                <w:szCs w:val="20"/>
                <w:color w:val="auto"/>
              </w:rPr>
            </w:pPr>
            <w:r>
              <w:rPr>
                <w:rFonts w:ascii="Arial" w:cs="Arial" w:eastAsia="Arial" w:hAnsi="Arial"/>
                <w:sz w:val="14"/>
                <w:szCs w:val="14"/>
                <w:color w:val="auto"/>
              </w:rPr>
              <w:t>15.9</w:t>
            </w:r>
          </w:p>
        </w:tc>
        <w:tc>
          <w:tcPr>
            <w:tcW w:w="960" w:type="dxa"/>
            <w:vAlign w:val="bottom"/>
          </w:tcPr>
          <w:p>
            <w:pPr>
              <w:jc w:val="right"/>
              <w:ind w:right="151"/>
              <w:spacing w:after="0"/>
              <w:rPr>
                <w:sz w:val="20"/>
                <w:szCs w:val="20"/>
                <w:color w:val="auto"/>
              </w:rPr>
            </w:pPr>
            <w:r>
              <w:rPr>
                <w:rFonts w:ascii="Arial" w:cs="Arial" w:eastAsia="Arial" w:hAnsi="Arial"/>
                <w:sz w:val="14"/>
                <w:szCs w:val="14"/>
                <w:color w:val="auto"/>
              </w:rPr>
              <w:t>8.8</w:t>
            </w:r>
          </w:p>
        </w:tc>
      </w:tr>
      <w:tr>
        <w:trPr>
          <w:trHeight w:val="226"/>
        </w:trPr>
        <w:tc>
          <w:tcPr>
            <w:tcW w:w="3040" w:type="dxa"/>
            <w:vAlign w:val="bottom"/>
            <w:tcBorders>
              <w:bottom w:val="single" w:sz="8" w:color="DFDFDF"/>
            </w:tcBorders>
          </w:tcPr>
          <w:p>
            <w:pPr>
              <w:spacing w:after="0"/>
              <w:rPr>
                <w:sz w:val="20"/>
                <w:szCs w:val="20"/>
                <w:color w:val="auto"/>
              </w:rPr>
            </w:pPr>
            <w:r>
              <w:rPr>
                <w:rFonts w:ascii="Arial" w:cs="Arial" w:eastAsia="Arial" w:hAnsi="Arial"/>
                <w:sz w:val="14"/>
                <w:szCs w:val="14"/>
                <w:color w:val="auto"/>
              </w:rPr>
              <w:t>Weighted average interest rate</w:t>
            </w:r>
          </w:p>
        </w:tc>
        <w:tc>
          <w:tcPr>
            <w:tcW w:w="1460" w:type="dxa"/>
            <w:vAlign w:val="bottom"/>
            <w:tcBorders>
              <w:bottom w:val="single" w:sz="8" w:color="DFDFDF"/>
            </w:tcBorders>
          </w:tcPr>
          <w:p>
            <w:pPr>
              <w:ind w:left="800"/>
              <w:spacing w:after="0"/>
              <w:rPr>
                <w:sz w:val="20"/>
                <w:szCs w:val="20"/>
                <w:color w:val="auto"/>
              </w:rPr>
            </w:pPr>
            <w:r>
              <w:rPr>
                <w:rFonts w:ascii="Arial" w:cs="Arial" w:eastAsia="Arial" w:hAnsi="Arial"/>
                <w:sz w:val="14"/>
                <w:szCs w:val="14"/>
                <w:color w:val="auto"/>
              </w:rPr>
              <w:t>5.68 %</w:t>
            </w:r>
          </w:p>
        </w:tc>
        <w:tc>
          <w:tcPr>
            <w:tcW w:w="980" w:type="dxa"/>
            <w:vAlign w:val="bottom"/>
            <w:tcBorders>
              <w:bottom w:val="single" w:sz="8" w:color="DFDFDF"/>
            </w:tcBorders>
          </w:tcPr>
          <w:p>
            <w:pPr>
              <w:ind w:left="380"/>
              <w:spacing w:after="0"/>
              <w:rPr>
                <w:sz w:val="20"/>
                <w:szCs w:val="20"/>
                <w:color w:val="auto"/>
              </w:rPr>
            </w:pPr>
            <w:r>
              <w:rPr>
                <w:rFonts w:ascii="Arial" w:cs="Arial" w:eastAsia="Arial" w:hAnsi="Arial"/>
                <w:sz w:val="14"/>
                <w:szCs w:val="14"/>
                <w:color w:val="auto"/>
              </w:rPr>
              <w:t>4.85 %</w:t>
            </w:r>
          </w:p>
        </w:tc>
        <w:tc>
          <w:tcPr>
            <w:tcW w:w="960" w:type="dxa"/>
            <w:vAlign w:val="bottom"/>
            <w:tcBorders>
              <w:bottom w:val="single" w:sz="8" w:color="DFDFDF"/>
            </w:tcBorders>
          </w:tcPr>
          <w:p>
            <w:pPr>
              <w:jc w:val="right"/>
              <w:ind w:right="11"/>
              <w:spacing w:after="0"/>
              <w:rPr>
                <w:sz w:val="20"/>
                <w:szCs w:val="20"/>
                <w:color w:val="auto"/>
              </w:rPr>
            </w:pPr>
            <w:r>
              <w:rPr>
                <w:rFonts w:ascii="Arial" w:cs="Arial" w:eastAsia="Arial" w:hAnsi="Arial"/>
                <w:sz w:val="14"/>
                <w:szCs w:val="14"/>
                <w:color w:val="auto"/>
              </w:rPr>
              <w:t>4.71 %</w:t>
            </w:r>
          </w:p>
        </w:tc>
      </w:tr>
    </w:tbl>
    <w:p>
      <w:pPr>
        <w:spacing w:after="0" w:line="346" w:lineRule="exact"/>
        <w:rPr>
          <w:sz w:val="20"/>
          <w:szCs w:val="20"/>
          <w:color w:val="auto"/>
        </w:rPr>
      </w:pPr>
    </w:p>
    <w:p>
      <w:pPr>
        <w:ind w:left="4"/>
        <w:spacing w:after="0"/>
        <w:rPr>
          <w:sz w:val="20"/>
          <w:szCs w:val="20"/>
          <w:color w:val="auto"/>
        </w:rPr>
      </w:pPr>
      <w:r>
        <w:rPr>
          <w:rFonts w:ascii="Arial" w:cs="Arial" w:eastAsia="Arial" w:hAnsi="Arial"/>
          <w:sz w:val="18"/>
          <w:szCs w:val="18"/>
          <w:b w:val="1"/>
          <w:bCs w:val="1"/>
          <w:i w:val="1"/>
          <w:iCs w:val="1"/>
          <w:color w:val="auto"/>
        </w:rPr>
        <w:t>Issuances of Long-Term Debt</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5"/>
          <w:szCs w:val="15"/>
          <w:color w:val="auto"/>
        </w:rPr>
        <w:t>In November 2008, Sempra Energy publicly offered and sold $250 million of 8.90-percent notes maturing in 2013 and $500 million of 9.80-percent notes maturing in 2019.</w:t>
      </w:r>
    </w:p>
    <w:p>
      <w:pPr>
        <w:spacing w:after="0" w:line="92" w:lineRule="exact"/>
        <w:rPr>
          <w:sz w:val="20"/>
          <w:szCs w:val="20"/>
          <w:color w:val="auto"/>
        </w:rPr>
      </w:pPr>
    </w:p>
    <w:p>
      <w:pPr>
        <w:ind w:left="4"/>
        <w:spacing w:after="0"/>
        <w:rPr>
          <w:sz w:val="20"/>
          <w:szCs w:val="20"/>
          <w:color w:val="auto"/>
        </w:rPr>
      </w:pPr>
      <w:r>
        <w:rPr>
          <w:rFonts w:ascii="Arial" w:cs="Arial" w:eastAsia="Arial" w:hAnsi="Arial"/>
          <w:sz w:val="16"/>
          <w:szCs w:val="16"/>
          <w:color w:val="auto"/>
        </w:rPr>
        <w:t>In November 2008, SoCalGas publicly offered and sold $250 million of 5.50-percent first mortgage bonds maturing in 2014.</w:t>
      </w:r>
    </w:p>
    <w:p>
      <w:pPr>
        <w:spacing w:after="0" w:line="80" w:lineRule="exact"/>
        <w:rPr>
          <w:sz w:val="20"/>
          <w:szCs w:val="20"/>
          <w:color w:val="auto"/>
        </w:rPr>
      </w:pPr>
    </w:p>
    <w:p>
      <w:pPr>
        <w:ind w:left="4"/>
        <w:spacing w:after="0"/>
        <w:rPr>
          <w:sz w:val="20"/>
          <w:szCs w:val="20"/>
          <w:color w:val="auto"/>
        </w:rPr>
      </w:pPr>
      <w:r>
        <w:rPr>
          <w:rFonts w:ascii="Arial" w:cs="Arial" w:eastAsia="Arial" w:hAnsi="Arial"/>
          <w:sz w:val="16"/>
          <w:szCs w:val="16"/>
          <w:color w:val="auto"/>
        </w:rPr>
        <w:t>In June 2008, Sempra Energy publicly offered and sold $500 million of 6.15-percent notes maturing in 2018.</w:t>
      </w:r>
    </w:p>
    <w:p>
      <w:pPr>
        <w:spacing w:after="0" w:line="80" w:lineRule="exact"/>
        <w:rPr>
          <w:sz w:val="20"/>
          <w:szCs w:val="20"/>
          <w:color w:val="auto"/>
        </w:rPr>
      </w:pPr>
    </w:p>
    <w:p>
      <w:pPr>
        <w:ind w:left="4"/>
        <w:spacing w:after="0"/>
        <w:rPr>
          <w:sz w:val="20"/>
          <w:szCs w:val="20"/>
          <w:color w:val="auto"/>
        </w:rPr>
      </w:pPr>
      <w:r>
        <w:rPr>
          <w:rFonts w:ascii="Arial" w:cs="Arial" w:eastAsia="Arial" w:hAnsi="Arial"/>
          <w:sz w:val="16"/>
          <w:szCs w:val="16"/>
          <w:color w:val="auto"/>
        </w:rPr>
        <w:t>In 2008, SDG&amp;E’s variable interest entity, Otay Mesa VIE, had construction loan borrowings of $193 million.</w:t>
      </w:r>
    </w:p>
    <w:p>
      <w:pPr>
        <w:spacing w:after="0" w:line="80" w:lineRule="exact"/>
        <w:rPr>
          <w:sz w:val="20"/>
          <w:szCs w:val="20"/>
          <w:color w:val="auto"/>
        </w:rPr>
      </w:pPr>
    </w:p>
    <w:p>
      <w:pPr>
        <w:ind w:left="4" w:right="120"/>
        <w:spacing w:after="0" w:line="277" w:lineRule="auto"/>
        <w:rPr>
          <w:sz w:val="20"/>
          <w:szCs w:val="20"/>
          <w:color w:val="auto"/>
        </w:rPr>
      </w:pPr>
      <w:r>
        <w:rPr>
          <w:rFonts w:ascii="Arial" w:cs="Arial" w:eastAsia="Arial" w:hAnsi="Arial"/>
          <w:sz w:val="16"/>
          <w:szCs w:val="16"/>
          <w:color w:val="auto"/>
        </w:rPr>
        <w:t>In September 2007, SDG&amp;E publicly offered and sold $250 million of 6.125-percent first mortgage bonds, maturing in 2037. Otay Mesa VIE had construction loan borrowings of $63 million.</w:t>
      </w:r>
    </w:p>
    <w:p>
      <w:pPr>
        <w:spacing w:after="0" w:line="32" w:lineRule="exact"/>
        <w:rPr>
          <w:sz w:val="20"/>
          <w:szCs w:val="20"/>
          <w:color w:val="auto"/>
        </w:rPr>
      </w:pPr>
    </w:p>
    <w:p>
      <w:pPr>
        <w:ind w:left="4" w:right="440"/>
        <w:spacing w:after="0" w:line="277" w:lineRule="auto"/>
        <w:rPr>
          <w:sz w:val="20"/>
          <w:szCs w:val="20"/>
          <w:color w:val="auto"/>
        </w:rPr>
      </w:pPr>
      <w:r>
        <w:rPr>
          <w:rFonts w:ascii="Arial" w:cs="Arial" w:eastAsia="Arial" w:hAnsi="Arial"/>
          <w:sz w:val="16"/>
          <w:szCs w:val="16"/>
          <w:color w:val="auto"/>
        </w:rPr>
        <w:t>In September 2006, SDG&amp;E issued $161 million of variable-rate first mortgage bonds, maturing in 2018, and applied the proceeds in November 2006 to retire an identical amount of first mortgage bonds.</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6"/>
          <w:szCs w:val="16"/>
          <w:color w:val="auto"/>
        </w:rPr>
        <w:t>In June 2006, SDG&amp;E publicly offered and sold $250 million of 6-percent first mortgage bonds, maturing in 2026.</w:t>
      </w:r>
    </w:p>
    <w:p>
      <w:pPr>
        <w:spacing w:after="0" w:line="80" w:lineRule="exact"/>
        <w:rPr>
          <w:sz w:val="20"/>
          <w:szCs w:val="20"/>
          <w:color w:val="auto"/>
        </w:rPr>
      </w:pPr>
    </w:p>
    <w:p>
      <w:pPr>
        <w:ind w:left="4"/>
        <w:spacing w:after="0" w:line="312" w:lineRule="auto"/>
        <w:rPr>
          <w:sz w:val="20"/>
          <w:szCs w:val="20"/>
          <w:color w:val="auto"/>
        </w:rPr>
      </w:pPr>
      <w:r>
        <w:rPr>
          <w:rFonts w:ascii="Arial" w:cs="Arial" w:eastAsia="Arial" w:hAnsi="Arial"/>
          <w:sz w:val="15"/>
          <w:szCs w:val="15"/>
          <w:color w:val="auto"/>
        </w:rPr>
        <w:t>In 2006, Sempra Pipelines &amp; Storage incurred $128 million of long-term debt in order to reduce its property tax related to the Liberty facility in Calcasieu Parish. We discuss the debt further in Note 6 of the Notes to Consolidated Financial Statements. Sempra Pipelines &amp; Storage recorded bonds receivable for the same amount.</w:t>
      </w:r>
    </w:p>
    <w:p>
      <w:pPr>
        <w:spacing w:after="0" w:line="102" w:lineRule="exact"/>
        <w:rPr>
          <w:sz w:val="20"/>
          <w:szCs w:val="20"/>
          <w:color w:val="auto"/>
        </w:rPr>
      </w:pPr>
    </w:p>
    <w:p>
      <w:pPr>
        <w:ind w:left="4"/>
        <w:spacing w:after="0"/>
        <w:rPr>
          <w:sz w:val="20"/>
          <w:szCs w:val="20"/>
          <w:color w:val="auto"/>
        </w:rPr>
      </w:pPr>
      <w:r>
        <w:rPr>
          <w:rFonts w:ascii="Arial" w:cs="Arial" w:eastAsia="Arial" w:hAnsi="Arial"/>
          <w:sz w:val="18"/>
          <w:szCs w:val="18"/>
          <w:b w:val="1"/>
          <w:bCs w:val="1"/>
          <w:i w:val="1"/>
          <w:iCs w:val="1"/>
          <w:color w:val="auto"/>
        </w:rPr>
        <w:t>Payments on Long-Term Debt</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6"/>
          <w:szCs w:val="16"/>
          <w:color w:val="auto"/>
        </w:rPr>
        <w:t>Payments on long-term debt in 2008 included $60 million of Sempra Pipelines &amp; Storage notes payable that matured in April 2008.</w:t>
      </w:r>
    </w:p>
    <w:p>
      <w:pPr>
        <w:spacing w:after="0" w:line="80" w:lineRule="exact"/>
        <w:rPr>
          <w:sz w:val="20"/>
          <w:szCs w:val="20"/>
          <w:color w:val="auto"/>
        </w:rPr>
      </w:pPr>
    </w:p>
    <w:p>
      <w:pPr>
        <w:ind w:left="4"/>
        <w:spacing w:after="0"/>
        <w:rPr>
          <w:sz w:val="20"/>
          <w:szCs w:val="20"/>
          <w:color w:val="auto"/>
        </w:rPr>
      </w:pPr>
      <w:r>
        <w:rPr>
          <w:rFonts w:ascii="Arial" w:cs="Arial" w:eastAsia="Arial" w:hAnsi="Arial"/>
          <w:sz w:val="16"/>
          <w:szCs w:val="16"/>
          <w:color w:val="auto"/>
        </w:rPr>
        <w:t>Payments on long-term debt in 2007 primarily consisted of:</w:t>
      </w:r>
    </w:p>
    <w:p>
      <w:pPr>
        <w:spacing w:after="0" w:line="44" w:lineRule="exact"/>
        <w:rPr>
          <w:sz w:val="20"/>
          <w:szCs w:val="20"/>
          <w:color w:val="auto"/>
        </w:rPr>
      </w:pPr>
    </w:p>
    <w:p>
      <w:pPr>
        <w:ind w:left="144" w:hanging="144"/>
        <w:spacing w:after="0"/>
        <w:tabs>
          <w:tab w:leader="none" w:pos="144" w:val="left"/>
        </w:tabs>
        <w:numPr>
          <w:ilvl w:val="0"/>
          <w:numId w:val="289"/>
        </w:numPr>
        <w:rPr>
          <w:rFonts w:ascii="Arial" w:cs="Arial" w:eastAsia="Arial" w:hAnsi="Arial"/>
          <w:sz w:val="16"/>
          <w:szCs w:val="16"/>
          <w:color w:val="auto"/>
        </w:rPr>
      </w:pPr>
      <w:r>
        <w:rPr>
          <w:rFonts w:ascii="Arial" w:cs="Arial" w:eastAsia="Arial" w:hAnsi="Arial"/>
          <w:sz w:val="16"/>
          <w:szCs w:val="16"/>
          <w:color w:val="auto"/>
        </w:rPr>
        <w:t>$600 million of Sempra Energy notes payable that matured in May 2007</w:t>
      </w:r>
    </w:p>
    <w:p>
      <w:pPr>
        <w:spacing w:after="0" w:line="44" w:lineRule="exact"/>
        <w:rPr>
          <w:rFonts w:ascii="Arial" w:cs="Arial" w:eastAsia="Arial" w:hAnsi="Arial"/>
          <w:sz w:val="16"/>
          <w:szCs w:val="16"/>
          <w:color w:val="auto"/>
        </w:rPr>
      </w:pPr>
    </w:p>
    <w:p>
      <w:pPr>
        <w:ind w:left="144" w:hanging="144"/>
        <w:spacing w:after="0"/>
        <w:tabs>
          <w:tab w:leader="none" w:pos="144" w:val="left"/>
        </w:tabs>
        <w:numPr>
          <w:ilvl w:val="0"/>
          <w:numId w:val="289"/>
        </w:numPr>
        <w:rPr>
          <w:rFonts w:ascii="Arial" w:cs="Arial" w:eastAsia="Arial" w:hAnsi="Arial"/>
          <w:sz w:val="16"/>
          <w:szCs w:val="16"/>
          <w:color w:val="auto"/>
        </w:rPr>
      </w:pPr>
      <w:r>
        <w:rPr>
          <w:rFonts w:ascii="Arial" w:cs="Arial" w:eastAsia="Arial" w:hAnsi="Arial"/>
          <w:sz w:val="16"/>
          <w:szCs w:val="16"/>
          <w:color w:val="auto"/>
        </w:rPr>
        <w:t>$300 million of Sempra Energy notes payable that were due in May 2008 but were redeemed in August 2007</w:t>
      </w:r>
    </w:p>
    <w:p>
      <w:pPr>
        <w:spacing w:after="0" w:line="44" w:lineRule="exact"/>
        <w:rPr>
          <w:rFonts w:ascii="Arial" w:cs="Arial" w:eastAsia="Arial" w:hAnsi="Arial"/>
          <w:sz w:val="16"/>
          <w:szCs w:val="16"/>
          <w:color w:val="auto"/>
        </w:rPr>
      </w:pPr>
    </w:p>
    <w:p>
      <w:pPr>
        <w:ind w:left="144" w:hanging="144"/>
        <w:spacing w:after="0"/>
        <w:tabs>
          <w:tab w:leader="none" w:pos="144" w:val="left"/>
        </w:tabs>
        <w:numPr>
          <w:ilvl w:val="0"/>
          <w:numId w:val="289"/>
        </w:numPr>
        <w:rPr>
          <w:rFonts w:ascii="Arial" w:cs="Arial" w:eastAsia="Arial" w:hAnsi="Arial"/>
          <w:sz w:val="16"/>
          <w:szCs w:val="16"/>
          <w:color w:val="auto"/>
        </w:rPr>
      </w:pPr>
      <w:r>
        <w:rPr>
          <w:rFonts w:ascii="Arial" w:cs="Arial" w:eastAsia="Arial" w:hAnsi="Arial"/>
          <w:sz w:val="16"/>
          <w:szCs w:val="16"/>
          <w:color w:val="auto"/>
        </w:rPr>
        <w:t>$66 million, the remaining outstanding balance of SDG&amp;E’s rate-reduction bonds</w:t>
      </w:r>
    </w:p>
    <w:p>
      <w:pPr>
        <w:spacing w:after="0" w:line="128" w:lineRule="exact"/>
        <w:rPr>
          <w:sz w:val="20"/>
          <w:szCs w:val="20"/>
          <w:color w:val="auto"/>
        </w:rPr>
      </w:pPr>
    </w:p>
    <w:p>
      <w:pPr>
        <w:ind w:left="4"/>
        <w:spacing w:after="0"/>
        <w:rPr>
          <w:sz w:val="20"/>
          <w:szCs w:val="20"/>
          <w:color w:val="auto"/>
        </w:rPr>
      </w:pPr>
      <w:r>
        <w:rPr>
          <w:rFonts w:ascii="Arial" w:cs="Arial" w:eastAsia="Arial" w:hAnsi="Arial"/>
          <w:sz w:val="16"/>
          <w:szCs w:val="16"/>
          <w:color w:val="auto"/>
        </w:rPr>
        <w:t>Payments on long-term debt in 2006 were primarily at SDG&amp;E and consisted of:</w:t>
      </w:r>
    </w:p>
    <w:p>
      <w:pPr>
        <w:spacing w:after="0" w:line="44" w:lineRule="exact"/>
        <w:rPr>
          <w:sz w:val="20"/>
          <w:szCs w:val="20"/>
          <w:color w:val="auto"/>
        </w:rPr>
      </w:pPr>
    </w:p>
    <w:p>
      <w:pPr>
        <w:ind w:left="144" w:hanging="144"/>
        <w:spacing w:after="0"/>
        <w:tabs>
          <w:tab w:leader="none" w:pos="144" w:val="left"/>
        </w:tabs>
        <w:numPr>
          <w:ilvl w:val="0"/>
          <w:numId w:val="290"/>
        </w:numPr>
        <w:rPr>
          <w:rFonts w:ascii="Arial" w:cs="Arial" w:eastAsia="Arial" w:hAnsi="Arial"/>
          <w:sz w:val="16"/>
          <w:szCs w:val="16"/>
          <w:color w:val="auto"/>
        </w:rPr>
      </w:pPr>
      <w:r>
        <w:rPr>
          <w:rFonts w:ascii="Arial" w:cs="Arial" w:eastAsia="Arial" w:hAnsi="Arial"/>
          <w:sz w:val="16"/>
          <w:szCs w:val="16"/>
          <w:color w:val="auto"/>
        </w:rPr>
        <w:t>$161 million first mortgage bonds</w:t>
      </w:r>
    </w:p>
    <w:p>
      <w:pPr>
        <w:spacing w:after="0" w:line="44" w:lineRule="exact"/>
        <w:rPr>
          <w:rFonts w:ascii="Arial" w:cs="Arial" w:eastAsia="Arial" w:hAnsi="Arial"/>
          <w:sz w:val="16"/>
          <w:szCs w:val="16"/>
          <w:color w:val="auto"/>
        </w:rPr>
      </w:pPr>
    </w:p>
    <w:p>
      <w:pPr>
        <w:ind w:left="144" w:hanging="144"/>
        <w:spacing w:after="0"/>
        <w:tabs>
          <w:tab w:leader="none" w:pos="144" w:val="left"/>
        </w:tabs>
        <w:numPr>
          <w:ilvl w:val="0"/>
          <w:numId w:val="290"/>
        </w:numPr>
        <w:rPr>
          <w:rFonts w:ascii="Arial" w:cs="Arial" w:eastAsia="Arial" w:hAnsi="Arial"/>
          <w:sz w:val="16"/>
          <w:szCs w:val="16"/>
          <w:color w:val="auto"/>
        </w:rPr>
      </w:pPr>
      <w:r>
        <w:rPr>
          <w:rFonts w:ascii="Arial" w:cs="Arial" w:eastAsia="Arial" w:hAnsi="Arial"/>
          <w:sz w:val="16"/>
          <w:szCs w:val="16"/>
          <w:color w:val="auto"/>
        </w:rPr>
        <w:t>$66 million rate-reduction bonds</w:t>
      </w:r>
    </w:p>
    <w:p>
      <w:pPr>
        <w:spacing w:after="0" w:line="128" w:lineRule="exact"/>
        <w:rPr>
          <w:sz w:val="20"/>
          <w:szCs w:val="20"/>
          <w:color w:val="auto"/>
        </w:rPr>
      </w:pPr>
    </w:p>
    <w:p>
      <w:pPr>
        <w:ind w:left="4"/>
        <w:spacing w:after="0"/>
        <w:rPr>
          <w:sz w:val="20"/>
          <w:szCs w:val="20"/>
          <w:color w:val="auto"/>
        </w:rPr>
      </w:pPr>
      <w:r>
        <w:rPr>
          <w:rFonts w:ascii="Arial" w:cs="Arial" w:eastAsia="Arial" w:hAnsi="Arial"/>
          <w:sz w:val="16"/>
          <w:szCs w:val="16"/>
          <w:color w:val="auto"/>
        </w:rPr>
        <w:t>Also in 2006, Sempra Energy repaid $24 million of debt incurred to acquire limited partnership interests.</w:t>
      </w:r>
    </w:p>
    <w:p>
      <w:pPr>
        <w:spacing w:after="0" w:line="200" w:lineRule="exact"/>
        <w:rPr>
          <w:sz w:val="20"/>
          <w:szCs w:val="20"/>
          <w:color w:val="auto"/>
        </w:rPr>
      </w:pPr>
    </w:p>
    <w:p>
      <w:pPr>
        <w:spacing w:after="0" w:line="341" w:lineRule="exact"/>
        <w:rPr>
          <w:sz w:val="20"/>
          <w:szCs w:val="20"/>
          <w:color w:val="auto"/>
        </w:rPr>
      </w:pPr>
    </w:p>
    <w:p>
      <w:pPr>
        <w:ind w:left="4"/>
        <w:spacing w:after="0"/>
        <w:rPr>
          <w:sz w:val="20"/>
          <w:szCs w:val="20"/>
          <w:color w:val="auto"/>
        </w:rPr>
      </w:pPr>
      <w:r>
        <w:rPr>
          <w:rFonts w:ascii="Arial" w:cs="Arial" w:eastAsia="Arial" w:hAnsi="Arial"/>
          <w:sz w:val="14"/>
          <w:szCs w:val="14"/>
          <w:color w:val="auto"/>
        </w:rPr>
        <w:t>36</w:t>
      </w:r>
    </w:p>
    <w:p>
      <w:pPr>
        <w:sectPr>
          <w:pgSz w:w="11900" w:h="16838" w:orient="portrait"/>
          <w:cols w:equalWidth="0" w:num="1">
            <w:col w:w="11384"/>
          </w:cols>
          <w:pgMar w:left="236" w:top="395" w:right="279" w:bottom="1440" w:gutter="0" w:footer="0" w:header="0"/>
        </w:sectPr>
      </w:pPr>
    </w:p>
    <w:bookmarkStart w:id="176" w:name="page177"/>
    <w:bookmarkEnd w:id="176"/>
    <w:p>
      <w:pPr>
        <w:ind w:left="4"/>
        <w:spacing w:after="0"/>
        <w:rPr>
          <w:sz w:val="20"/>
          <w:szCs w:val="20"/>
          <w:color w:val="auto"/>
        </w:rPr>
      </w:pPr>
      <w:r>
        <w:rPr>
          <w:rFonts w:ascii="Arial" w:cs="Arial" w:eastAsia="Arial" w:hAnsi="Arial"/>
          <w:sz w:val="16"/>
          <w:szCs w:val="16"/>
          <w:color w:val="auto"/>
        </w:rPr>
        <w:t>In Note 6 of the Notes to Consolidated Financial Statements, we provide information about our lines of credit and additional information about debt activity.</w:t>
      </w:r>
    </w:p>
    <w:p>
      <w:pPr>
        <w:spacing w:after="0" w:line="276"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auto"/>
        </w:rPr>
        <w:t>CAPITAL STOCK TRANSACTIONS</w:t>
      </w:r>
    </w:p>
    <w:p>
      <w:pPr>
        <w:spacing w:after="0" w:line="182" w:lineRule="exact"/>
        <w:rPr>
          <w:sz w:val="20"/>
          <w:szCs w:val="20"/>
          <w:color w:val="auto"/>
        </w:rPr>
      </w:pPr>
    </w:p>
    <w:p>
      <w:pPr>
        <w:ind w:left="4"/>
        <w:spacing w:after="0"/>
        <w:rPr>
          <w:sz w:val="20"/>
          <w:szCs w:val="20"/>
          <w:color w:val="auto"/>
        </w:rPr>
      </w:pPr>
      <w:r>
        <w:rPr>
          <w:rFonts w:ascii="Arial" w:cs="Arial" w:eastAsia="Arial" w:hAnsi="Arial"/>
          <w:sz w:val="18"/>
          <w:szCs w:val="18"/>
          <w:b w:val="1"/>
          <w:bCs w:val="1"/>
          <w:i w:val="1"/>
          <w:iCs w:val="1"/>
          <w:color w:val="auto"/>
        </w:rPr>
        <w:t>Sempra Energy</w:t>
      </w:r>
    </w:p>
    <w:p>
      <w:pPr>
        <w:spacing w:after="0" w:line="23" w:lineRule="exact"/>
        <w:rPr>
          <w:sz w:val="20"/>
          <w:szCs w:val="20"/>
          <w:color w:val="auto"/>
        </w:rPr>
      </w:pPr>
    </w:p>
    <w:p>
      <w:pPr>
        <w:ind w:left="4" w:right="60"/>
        <w:spacing w:after="0" w:line="274" w:lineRule="auto"/>
        <w:rPr>
          <w:sz w:val="20"/>
          <w:szCs w:val="20"/>
          <w:color w:val="auto"/>
        </w:rPr>
      </w:pPr>
      <w:r>
        <w:rPr>
          <w:rFonts w:ascii="Arial" w:cs="Arial" w:eastAsia="Arial" w:hAnsi="Arial"/>
          <w:sz w:val="16"/>
          <w:szCs w:val="16"/>
          <w:color w:val="auto"/>
        </w:rPr>
        <w:t>During 2008, we repurchased 18.4 million shares of our common stock for $1 billion in a share repurchase program. We discuss this repurchase program in Note 13 of the Notes to Consolidated Financial Statements. Cash provided by employee stock option exercises was</w:t>
      </w:r>
    </w:p>
    <w:p>
      <w:pPr>
        <w:ind w:left="144" w:hanging="144"/>
        <w:spacing w:after="0"/>
        <w:tabs>
          <w:tab w:leader="none" w:pos="144" w:val="left"/>
        </w:tabs>
        <w:numPr>
          <w:ilvl w:val="0"/>
          <w:numId w:val="291"/>
        </w:numPr>
        <w:rPr>
          <w:rFonts w:ascii="Arial" w:cs="Arial" w:eastAsia="Arial" w:hAnsi="Arial"/>
          <w:sz w:val="16"/>
          <w:szCs w:val="16"/>
          <w:color w:val="auto"/>
        </w:rPr>
      </w:pPr>
      <w:r>
        <w:rPr>
          <w:rFonts w:ascii="Arial" w:cs="Arial" w:eastAsia="Arial" w:hAnsi="Arial"/>
          <w:sz w:val="16"/>
          <w:szCs w:val="16"/>
          <w:color w:val="auto"/>
        </w:rPr>
        <w:t>$18 million in 2008</w:t>
      </w:r>
    </w:p>
    <w:p>
      <w:pPr>
        <w:spacing w:after="0" w:line="44" w:lineRule="exact"/>
        <w:rPr>
          <w:rFonts w:ascii="Arial" w:cs="Arial" w:eastAsia="Arial" w:hAnsi="Arial"/>
          <w:sz w:val="16"/>
          <w:szCs w:val="16"/>
          <w:color w:val="auto"/>
        </w:rPr>
      </w:pPr>
    </w:p>
    <w:p>
      <w:pPr>
        <w:ind w:left="144" w:hanging="144"/>
        <w:spacing w:after="0"/>
        <w:tabs>
          <w:tab w:leader="none" w:pos="144" w:val="left"/>
        </w:tabs>
        <w:numPr>
          <w:ilvl w:val="0"/>
          <w:numId w:val="291"/>
        </w:numPr>
        <w:rPr>
          <w:rFonts w:ascii="Arial" w:cs="Arial" w:eastAsia="Arial" w:hAnsi="Arial"/>
          <w:sz w:val="16"/>
          <w:szCs w:val="16"/>
          <w:color w:val="auto"/>
        </w:rPr>
      </w:pPr>
      <w:r>
        <w:rPr>
          <w:rFonts w:ascii="Arial" w:cs="Arial" w:eastAsia="Arial" w:hAnsi="Arial"/>
          <w:sz w:val="16"/>
          <w:szCs w:val="16"/>
          <w:color w:val="auto"/>
        </w:rPr>
        <w:t>$32 million in 2007</w:t>
      </w:r>
    </w:p>
    <w:p>
      <w:pPr>
        <w:spacing w:after="0" w:line="44" w:lineRule="exact"/>
        <w:rPr>
          <w:rFonts w:ascii="Arial" w:cs="Arial" w:eastAsia="Arial" w:hAnsi="Arial"/>
          <w:sz w:val="16"/>
          <w:szCs w:val="16"/>
          <w:color w:val="auto"/>
        </w:rPr>
      </w:pPr>
    </w:p>
    <w:p>
      <w:pPr>
        <w:ind w:left="144" w:hanging="144"/>
        <w:spacing w:after="0"/>
        <w:tabs>
          <w:tab w:leader="none" w:pos="144" w:val="left"/>
        </w:tabs>
        <w:numPr>
          <w:ilvl w:val="0"/>
          <w:numId w:val="291"/>
        </w:numPr>
        <w:rPr>
          <w:rFonts w:ascii="Arial" w:cs="Arial" w:eastAsia="Arial" w:hAnsi="Arial"/>
          <w:sz w:val="16"/>
          <w:szCs w:val="16"/>
          <w:color w:val="auto"/>
        </w:rPr>
      </w:pPr>
      <w:r>
        <w:rPr>
          <w:rFonts w:ascii="Arial" w:cs="Arial" w:eastAsia="Arial" w:hAnsi="Arial"/>
          <w:sz w:val="16"/>
          <w:szCs w:val="16"/>
          <w:color w:val="auto"/>
        </w:rPr>
        <w:t>$79 million in 2006</w:t>
      </w:r>
    </w:p>
    <w:p>
      <w:pPr>
        <w:spacing w:after="0" w:line="128" w:lineRule="exact"/>
        <w:rPr>
          <w:sz w:val="20"/>
          <w:szCs w:val="20"/>
          <w:color w:val="auto"/>
        </w:rPr>
      </w:pPr>
    </w:p>
    <w:p>
      <w:pPr>
        <w:ind w:left="4"/>
        <w:spacing w:after="0"/>
        <w:rPr>
          <w:sz w:val="20"/>
          <w:szCs w:val="20"/>
          <w:color w:val="auto"/>
        </w:rPr>
      </w:pPr>
      <w:r>
        <w:rPr>
          <w:rFonts w:ascii="Arial" w:cs="Arial" w:eastAsia="Arial" w:hAnsi="Arial"/>
          <w:sz w:val="15"/>
          <w:szCs w:val="15"/>
          <w:color w:val="auto"/>
        </w:rPr>
        <w:t>During 2007, we repurchased approximately 3 million shares of common stock for $161 million in connection with a share repurchase program authorized in 2005.</w:t>
      </w:r>
    </w:p>
    <w:p>
      <w:pPr>
        <w:spacing w:after="0" w:line="288"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auto"/>
        </w:rPr>
        <w:t>DIVIDENDS</w:t>
      </w:r>
    </w:p>
    <w:p>
      <w:pPr>
        <w:spacing w:after="0" w:line="182" w:lineRule="exact"/>
        <w:rPr>
          <w:sz w:val="20"/>
          <w:szCs w:val="20"/>
          <w:color w:val="auto"/>
        </w:rPr>
      </w:pPr>
    </w:p>
    <w:p>
      <w:pPr>
        <w:ind w:left="4"/>
        <w:spacing w:after="0"/>
        <w:rPr>
          <w:sz w:val="20"/>
          <w:szCs w:val="20"/>
          <w:color w:val="auto"/>
        </w:rPr>
      </w:pPr>
      <w:r>
        <w:rPr>
          <w:rFonts w:ascii="Arial" w:cs="Arial" w:eastAsia="Arial" w:hAnsi="Arial"/>
          <w:sz w:val="18"/>
          <w:szCs w:val="18"/>
          <w:b w:val="1"/>
          <w:bCs w:val="1"/>
          <w:i w:val="1"/>
          <w:iCs w:val="1"/>
          <w:color w:val="auto"/>
        </w:rPr>
        <w:t>Sempra Energy</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6"/>
          <w:szCs w:val="16"/>
          <w:color w:val="auto"/>
        </w:rPr>
        <w:t>Sempra Energy paid dividends on common stock of:</w:t>
      </w:r>
    </w:p>
    <w:p>
      <w:pPr>
        <w:spacing w:after="0" w:line="44" w:lineRule="exact"/>
        <w:rPr>
          <w:sz w:val="20"/>
          <w:szCs w:val="20"/>
          <w:color w:val="auto"/>
        </w:rPr>
      </w:pPr>
    </w:p>
    <w:p>
      <w:pPr>
        <w:ind w:left="144" w:hanging="144"/>
        <w:spacing w:after="0"/>
        <w:tabs>
          <w:tab w:leader="none" w:pos="144" w:val="left"/>
        </w:tabs>
        <w:numPr>
          <w:ilvl w:val="0"/>
          <w:numId w:val="292"/>
        </w:numPr>
        <w:rPr>
          <w:rFonts w:ascii="Arial" w:cs="Arial" w:eastAsia="Arial" w:hAnsi="Arial"/>
          <w:sz w:val="16"/>
          <w:szCs w:val="16"/>
          <w:color w:val="auto"/>
        </w:rPr>
      </w:pPr>
      <w:r>
        <w:rPr>
          <w:rFonts w:ascii="Arial" w:cs="Arial" w:eastAsia="Arial" w:hAnsi="Arial"/>
          <w:sz w:val="16"/>
          <w:szCs w:val="16"/>
          <w:color w:val="auto"/>
        </w:rPr>
        <w:t>$339 million in 2008</w:t>
      </w:r>
    </w:p>
    <w:p>
      <w:pPr>
        <w:spacing w:after="0" w:line="44" w:lineRule="exact"/>
        <w:rPr>
          <w:rFonts w:ascii="Arial" w:cs="Arial" w:eastAsia="Arial" w:hAnsi="Arial"/>
          <w:sz w:val="16"/>
          <w:szCs w:val="16"/>
          <w:color w:val="auto"/>
        </w:rPr>
      </w:pPr>
    </w:p>
    <w:p>
      <w:pPr>
        <w:ind w:left="144" w:hanging="144"/>
        <w:spacing w:after="0"/>
        <w:tabs>
          <w:tab w:leader="none" w:pos="144" w:val="left"/>
        </w:tabs>
        <w:numPr>
          <w:ilvl w:val="0"/>
          <w:numId w:val="292"/>
        </w:numPr>
        <w:rPr>
          <w:rFonts w:ascii="Arial" w:cs="Arial" w:eastAsia="Arial" w:hAnsi="Arial"/>
          <w:sz w:val="16"/>
          <w:szCs w:val="16"/>
          <w:color w:val="auto"/>
        </w:rPr>
      </w:pPr>
      <w:r>
        <w:rPr>
          <w:rFonts w:ascii="Arial" w:cs="Arial" w:eastAsia="Arial" w:hAnsi="Arial"/>
          <w:sz w:val="16"/>
          <w:szCs w:val="16"/>
          <w:color w:val="auto"/>
        </w:rPr>
        <w:t>$316 million in 2007</w:t>
      </w:r>
    </w:p>
    <w:p>
      <w:pPr>
        <w:spacing w:after="0" w:line="44" w:lineRule="exact"/>
        <w:rPr>
          <w:rFonts w:ascii="Arial" w:cs="Arial" w:eastAsia="Arial" w:hAnsi="Arial"/>
          <w:sz w:val="16"/>
          <w:szCs w:val="16"/>
          <w:color w:val="auto"/>
        </w:rPr>
      </w:pPr>
    </w:p>
    <w:p>
      <w:pPr>
        <w:ind w:left="144" w:hanging="144"/>
        <w:spacing w:after="0"/>
        <w:tabs>
          <w:tab w:leader="none" w:pos="144" w:val="left"/>
        </w:tabs>
        <w:numPr>
          <w:ilvl w:val="0"/>
          <w:numId w:val="292"/>
        </w:numPr>
        <w:rPr>
          <w:rFonts w:ascii="Arial" w:cs="Arial" w:eastAsia="Arial" w:hAnsi="Arial"/>
          <w:sz w:val="16"/>
          <w:szCs w:val="16"/>
          <w:color w:val="auto"/>
        </w:rPr>
      </w:pPr>
      <w:r>
        <w:rPr>
          <w:rFonts w:ascii="Arial" w:cs="Arial" w:eastAsia="Arial" w:hAnsi="Arial"/>
          <w:sz w:val="16"/>
          <w:szCs w:val="16"/>
          <w:color w:val="auto"/>
        </w:rPr>
        <w:t>$283 million in 2006</w:t>
      </w:r>
    </w:p>
    <w:p>
      <w:pPr>
        <w:spacing w:after="0" w:line="128" w:lineRule="exact"/>
        <w:rPr>
          <w:sz w:val="20"/>
          <w:szCs w:val="20"/>
          <w:color w:val="auto"/>
        </w:rPr>
      </w:pPr>
    </w:p>
    <w:p>
      <w:pPr>
        <w:ind w:left="4"/>
        <w:spacing w:after="0" w:line="277" w:lineRule="auto"/>
        <w:rPr>
          <w:sz w:val="20"/>
          <w:szCs w:val="20"/>
          <w:color w:val="auto"/>
        </w:rPr>
      </w:pPr>
      <w:r>
        <w:rPr>
          <w:rFonts w:ascii="Arial" w:cs="Arial" w:eastAsia="Arial" w:hAnsi="Arial"/>
          <w:sz w:val="16"/>
          <w:szCs w:val="16"/>
          <w:color w:val="auto"/>
        </w:rPr>
        <w:t>The increases were due to increases in the per-share quarterly dividend from $0.30 in 2006 to $0.31 in 2007 and to $0.35 in 2008. The increase in 2008 was offset by $11 million due to the reduction in shares from the repurchase program.</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6"/>
          <w:szCs w:val="16"/>
          <w:color w:val="auto"/>
        </w:rPr>
        <w:t>SDG&amp;E did not pay any common dividends to Sempra Energy in 2008, 2007 or 2006 to preserve cash to fund its capital expenditures program.</w:t>
      </w:r>
    </w:p>
    <w:p>
      <w:pPr>
        <w:spacing w:after="0" w:line="80" w:lineRule="exact"/>
        <w:rPr>
          <w:sz w:val="20"/>
          <w:szCs w:val="20"/>
          <w:color w:val="auto"/>
        </w:rPr>
      </w:pPr>
    </w:p>
    <w:p>
      <w:pPr>
        <w:ind w:left="4"/>
        <w:spacing w:after="0"/>
        <w:rPr>
          <w:sz w:val="20"/>
          <w:szCs w:val="20"/>
          <w:color w:val="auto"/>
        </w:rPr>
      </w:pPr>
      <w:r>
        <w:rPr>
          <w:rFonts w:ascii="Arial" w:cs="Arial" w:eastAsia="Arial" w:hAnsi="Arial"/>
          <w:sz w:val="16"/>
          <w:szCs w:val="16"/>
          <w:color w:val="auto"/>
        </w:rPr>
        <w:t>SoCalGas paid dividends to PE and PE paid corresponding dividends to Sempra Energy of:</w:t>
      </w:r>
    </w:p>
    <w:p>
      <w:pPr>
        <w:spacing w:after="0" w:line="44" w:lineRule="exact"/>
        <w:rPr>
          <w:sz w:val="20"/>
          <w:szCs w:val="20"/>
          <w:color w:val="auto"/>
        </w:rPr>
      </w:pPr>
    </w:p>
    <w:p>
      <w:pPr>
        <w:ind w:left="144" w:hanging="144"/>
        <w:spacing w:after="0"/>
        <w:tabs>
          <w:tab w:leader="none" w:pos="144" w:val="left"/>
        </w:tabs>
        <w:numPr>
          <w:ilvl w:val="0"/>
          <w:numId w:val="293"/>
        </w:numPr>
        <w:rPr>
          <w:rFonts w:ascii="Arial" w:cs="Arial" w:eastAsia="Arial" w:hAnsi="Arial"/>
          <w:sz w:val="16"/>
          <w:szCs w:val="16"/>
          <w:color w:val="auto"/>
        </w:rPr>
      </w:pPr>
      <w:r>
        <w:rPr>
          <w:rFonts w:ascii="Arial" w:cs="Arial" w:eastAsia="Arial" w:hAnsi="Arial"/>
          <w:sz w:val="16"/>
          <w:szCs w:val="16"/>
          <w:color w:val="auto"/>
        </w:rPr>
        <w:t>$350 million in 2008</w:t>
      </w:r>
    </w:p>
    <w:p>
      <w:pPr>
        <w:spacing w:after="0" w:line="44" w:lineRule="exact"/>
        <w:rPr>
          <w:rFonts w:ascii="Arial" w:cs="Arial" w:eastAsia="Arial" w:hAnsi="Arial"/>
          <w:sz w:val="16"/>
          <w:szCs w:val="16"/>
          <w:color w:val="auto"/>
        </w:rPr>
      </w:pPr>
    </w:p>
    <w:p>
      <w:pPr>
        <w:ind w:left="144" w:hanging="144"/>
        <w:spacing w:after="0"/>
        <w:tabs>
          <w:tab w:leader="none" w:pos="144" w:val="left"/>
        </w:tabs>
        <w:numPr>
          <w:ilvl w:val="0"/>
          <w:numId w:val="293"/>
        </w:numPr>
        <w:rPr>
          <w:rFonts w:ascii="Arial" w:cs="Arial" w:eastAsia="Arial" w:hAnsi="Arial"/>
          <w:sz w:val="16"/>
          <w:szCs w:val="16"/>
          <w:color w:val="auto"/>
        </w:rPr>
      </w:pPr>
      <w:r>
        <w:rPr>
          <w:rFonts w:ascii="Arial" w:cs="Arial" w:eastAsia="Arial" w:hAnsi="Arial"/>
          <w:sz w:val="16"/>
          <w:szCs w:val="16"/>
          <w:color w:val="auto"/>
        </w:rPr>
        <w:t>$150 million in 2007</w:t>
      </w:r>
    </w:p>
    <w:p>
      <w:pPr>
        <w:spacing w:after="0" w:line="44" w:lineRule="exact"/>
        <w:rPr>
          <w:rFonts w:ascii="Arial" w:cs="Arial" w:eastAsia="Arial" w:hAnsi="Arial"/>
          <w:sz w:val="16"/>
          <w:szCs w:val="16"/>
          <w:color w:val="auto"/>
        </w:rPr>
      </w:pPr>
    </w:p>
    <w:p>
      <w:pPr>
        <w:ind w:left="144" w:hanging="144"/>
        <w:spacing w:after="0"/>
        <w:tabs>
          <w:tab w:leader="none" w:pos="144" w:val="left"/>
        </w:tabs>
        <w:numPr>
          <w:ilvl w:val="0"/>
          <w:numId w:val="293"/>
        </w:numPr>
        <w:rPr>
          <w:rFonts w:ascii="Arial" w:cs="Arial" w:eastAsia="Arial" w:hAnsi="Arial"/>
          <w:sz w:val="16"/>
          <w:szCs w:val="16"/>
          <w:color w:val="auto"/>
        </w:rPr>
      </w:pPr>
      <w:r>
        <w:rPr>
          <w:rFonts w:ascii="Arial" w:cs="Arial" w:eastAsia="Arial" w:hAnsi="Arial"/>
          <w:sz w:val="16"/>
          <w:szCs w:val="16"/>
          <w:color w:val="auto"/>
        </w:rPr>
        <w:t>$150 million in 2006</w:t>
      </w:r>
    </w:p>
    <w:p>
      <w:pPr>
        <w:spacing w:after="0" w:line="128" w:lineRule="exact"/>
        <w:rPr>
          <w:sz w:val="20"/>
          <w:szCs w:val="20"/>
          <w:color w:val="auto"/>
        </w:rPr>
      </w:pPr>
    </w:p>
    <w:p>
      <w:pPr>
        <w:jc w:val="both"/>
        <w:ind w:left="4" w:right="420"/>
        <w:spacing w:after="0" w:line="289" w:lineRule="auto"/>
        <w:rPr>
          <w:sz w:val="20"/>
          <w:szCs w:val="20"/>
          <w:color w:val="auto"/>
        </w:rPr>
      </w:pPr>
      <w:r>
        <w:rPr>
          <w:rFonts w:ascii="Arial" w:cs="Arial" w:eastAsia="Arial" w:hAnsi="Arial"/>
          <w:sz w:val="15"/>
          <w:szCs w:val="15"/>
          <w:color w:val="auto"/>
        </w:rPr>
        <w:t>In December 2007, SoCalGas declared a common dividend of $150 million to PE and PE declared a corresponding dividend of the same amount to Sempra Energy. These dividends were paid in January 2008. Dividends paid by SoCalGas to PE are eliminated in Sempra Energy's and PE’s consolidated financial statements for all three years. Dividends paid by PE to Sempra Energy are eliminated in Sempra Energy’s consolidated financial statements for all three years.</w:t>
      </w:r>
    </w:p>
    <w:p>
      <w:pPr>
        <w:spacing w:after="0" w:line="26" w:lineRule="exact"/>
        <w:rPr>
          <w:sz w:val="20"/>
          <w:szCs w:val="20"/>
          <w:color w:val="auto"/>
        </w:rPr>
      </w:pPr>
    </w:p>
    <w:p>
      <w:pPr>
        <w:ind w:left="4" w:right="60"/>
        <w:spacing w:after="0" w:line="319" w:lineRule="auto"/>
        <w:rPr>
          <w:sz w:val="20"/>
          <w:szCs w:val="20"/>
          <w:color w:val="auto"/>
        </w:rPr>
      </w:pPr>
      <w:r>
        <w:rPr>
          <w:rFonts w:ascii="Arial" w:cs="Arial" w:eastAsia="Arial" w:hAnsi="Arial"/>
          <w:sz w:val="14"/>
          <w:szCs w:val="14"/>
          <w:color w:val="auto"/>
        </w:rPr>
        <w:t>The board of directors for each of Sempra Energy, SDG&amp;E, PE and SoCalGas have the discretion to determine the payment and amount of future dividends. The CPUC's regulation of SDG&amp;E's and SoCalGas' capital structures limits the amounts that are available for loans and dividends to Sempra Energy. At December 31, 2008, Sempra Energy could have received combined loans and dividends of approximately $150 million from SDG&amp;E. No amounts were available from SoCalGas at December 31, 2008.</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4"/>
        <w:spacing w:after="0"/>
        <w:rPr>
          <w:sz w:val="20"/>
          <w:szCs w:val="20"/>
          <w:color w:val="auto"/>
        </w:rPr>
      </w:pPr>
      <w:r>
        <w:rPr>
          <w:rFonts w:ascii="Arial" w:cs="Arial" w:eastAsia="Arial" w:hAnsi="Arial"/>
          <w:sz w:val="14"/>
          <w:szCs w:val="14"/>
          <w:color w:val="auto"/>
        </w:rPr>
        <w:t>37</w:t>
      </w:r>
    </w:p>
    <w:p>
      <w:pPr>
        <w:sectPr>
          <w:pgSz w:w="11900" w:h="16838" w:orient="portrait"/>
          <w:cols w:equalWidth="0" w:num="1">
            <w:col w:w="11384"/>
          </w:cols>
          <w:pgMar w:left="236" w:top="127" w:right="279" w:bottom="1440" w:gutter="0" w:footer="0" w:header="0"/>
        </w:sectPr>
      </w:pPr>
    </w:p>
    <w:bookmarkStart w:id="177" w:name="page178"/>
    <w:bookmarkEnd w:id="177"/>
    <w:p>
      <w:pPr>
        <w:ind w:left="4"/>
        <w:spacing w:after="0"/>
        <w:rPr>
          <w:sz w:val="20"/>
          <w:szCs w:val="20"/>
          <w:color w:val="auto"/>
        </w:rPr>
      </w:pPr>
      <w:r>
        <w:rPr>
          <w:rFonts w:ascii="Arial" w:cs="Arial" w:eastAsia="Arial" w:hAnsi="Arial"/>
          <w:sz w:val="16"/>
          <w:szCs w:val="16"/>
          <w:b w:val="1"/>
          <w:bCs w:val="1"/>
          <w:color w:val="auto"/>
        </w:rPr>
        <w:t>CAPITALIZATION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1464310</wp:posOffset>
            </wp:positionH>
            <wp:positionV relativeFrom="paragraph">
              <wp:posOffset>170815</wp:posOffset>
            </wp:positionV>
            <wp:extent cx="4332605" cy="2667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4332605" cy="266700"/>
                    </a:xfrm>
                    <a:prstGeom prst="rect">
                      <a:avLst/>
                    </a:prstGeom>
                    <a:noFill/>
                  </pic:spPr>
                </pic:pic>
              </a:graphicData>
            </a:graphic>
          </wp:anchor>
        </w:drawing>
      </w:r>
    </w:p>
    <w:p>
      <w:pPr>
        <w:spacing w:after="0" w:line="257" w:lineRule="exact"/>
        <w:rPr>
          <w:sz w:val="20"/>
          <w:szCs w:val="20"/>
          <w:color w:val="auto"/>
        </w:rPr>
      </w:pPr>
    </w:p>
    <w:p>
      <w:pPr>
        <w:ind w:left="2324"/>
        <w:spacing w:after="0"/>
        <w:rPr>
          <w:sz w:val="20"/>
          <w:szCs w:val="20"/>
          <w:color w:val="auto"/>
        </w:rPr>
      </w:pPr>
      <w:r>
        <w:rPr>
          <w:rFonts w:ascii="Arial" w:cs="Arial" w:eastAsia="Arial" w:hAnsi="Arial"/>
          <w:sz w:val="14"/>
          <w:szCs w:val="14"/>
          <w:b w:val="1"/>
          <w:bCs w:val="1"/>
          <w:color w:val="auto"/>
        </w:rPr>
        <w:t>TOTAL CAPITALIZATION AND DEBT-TO-CAPITALIZATION RATIOS</w:t>
      </w:r>
    </w:p>
    <w:p>
      <w:pPr>
        <w:spacing w:after="0" w:line="88" w:lineRule="exact"/>
        <w:rPr>
          <w:sz w:val="20"/>
          <w:szCs w:val="20"/>
          <w:color w:val="auto"/>
        </w:rPr>
      </w:pPr>
    </w:p>
    <w:tbl>
      <w:tblPr>
        <w:tblLayout w:type="fixed"/>
        <w:tblInd w:w="2304" w:type="dxa"/>
        <w:tblCellMar>
          <w:top w:w="0" w:type="dxa"/>
          <w:left w:w="0" w:type="dxa"/>
          <w:bottom w:w="0" w:type="dxa"/>
          <w:right w:w="0" w:type="dxa"/>
        </w:tblCellMar>
      </w:tblPr>
      <w:tr>
        <w:trPr>
          <w:trHeight w:val="166"/>
        </w:trPr>
        <w:tc>
          <w:tcPr>
            <w:tcW w:w="2340" w:type="dxa"/>
            <w:vAlign w:val="bottom"/>
          </w:tcPr>
          <w:p>
            <w:pPr>
              <w:ind w:left="20"/>
              <w:spacing w:after="0"/>
              <w:rPr>
                <w:sz w:val="20"/>
                <w:szCs w:val="20"/>
                <w:color w:val="auto"/>
              </w:rPr>
            </w:pPr>
            <w:r>
              <w:rPr>
                <w:rFonts w:ascii="Arial" w:cs="Arial" w:eastAsia="Arial" w:hAnsi="Arial"/>
                <w:sz w:val="13"/>
                <w:szCs w:val="13"/>
                <w:i w:val="1"/>
                <w:iCs w:val="1"/>
                <w:color w:val="auto"/>
              </w:rPr>
              <w:t>(Dollars in millions)</w:t>
            </w:r>
          </w:p>
        </w:tc>
        <w:tc>
          <w:tcPr>
            <w:tcW w:w="13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202"/>
        </w:trPr>
        <w:tc>
          <w:tcPr>
            <w:tcW w:w="2340" w:type="dxa"/>
            <w:vAlign w:val="bottom"/>
          </w:tcPr>
          <w:p>
            <w:pPr>
              <w:spacing w:after="0"/>
              <w:rPr>
                <w:sz w:val="17"/>
                <w:szCs w:val="17"/>
                <w:color w:val="auto"/>
              </w:rPr>
            </w:pPr>
          </w:p>
        </w:tc>
        <w:tc>
          <w:tcPr>
            <w:tcW w:w="1380" w:type="dxa"/>
            <w:vAlign w:val="bottom"/>
            <w:tcBorders>
              <w:bottom w:val="single" w:sz="8" w:color="auto"/>
            </w:tcBorders>
          </w:tcPr>
          <w:p>
            <w:pPr>
              <w:spacing w:after="0"/>
              <w:rPr>
                <w:sz w:val="17"/>
                <w:szCs w:val="17"/>
                <w:color w:val="auto"/>
              </w:rPr>
            </w:pPr>
          </w:p>
        </w:tc>
        <w:tc>
          <w:tcPr>
            <w:tcW w:w="2200" w:type="dxa"/>
            <w:vAlign w:val="bottom"/>
            <w:tcBorders>
              <w:bottom w:val="single" w:sz="8" w:color="auto"/>
            </w:tcBorders>
            <w:gridSpan w:val="2"/>
          </w:tcPr>
          <w:p>
            <w:pPr>
              <w:jc w:val="right"/>
              <w:ind w:right="551"/>
              <w:spacing w:after="0"/>
              <w:rPr>
                <w:sz w:val="20"/>
                <w:szCs w:val="20"/>
                <w:color w:val="auto"/>
              </w:rPr>
            </w:pPr>
            <w:r>
              <w:rPr>
                <w:rFonts w:ascii="Arial" w:cs="Arial" w:eastAsia="Arial" w:hAnsi="Arial"/>
                <w:sz w:val="13"/>
                <w:szCs w:val="13"/>
                <w:color w:val="auto"/>
              </w:rPr>
              <w:t>As of December 31, 2008</w:t>
            </w:r>
          </w:p>
        </w:tc>
        <w:tc>
          <w:tcPr>
            <w:tcW w:w="900" w:type="dxa"/>
            <w:vAlign w:val="bottom"/>
            <w:tcBorders>
              <w:bottom w:val="single" w:sz="8" w:color="auto"/>
            </w:tcBorders>
          </w:tcPr>
          <w:p>
            <w:pPr>
              <w:spacing w:after="0"/>
              <w:rPr>
                <w:sz w:val="17"/>
                <w:szCs w:val="17"/>
                <w:color w:val="auto"/>
              </w:rPr>
            </w:pPr>
          </w:p>
        </w:tc>
      </w:tr>
      <w:tr>
        <w:trPr>
          <w:trHeight w:val="152"/>
        </w:trPr>
        <w:tc>
          <w:tcPr>
            <w:tcW w:w="2340" w:type="dxa"/>
            <w:vAlign w:val="bottom"/>
          </w:tcPr>
          <w:p>
            <w:pPr>
              <w:spacing w:after="0"/>
              <w:rPr>
                <w:sz w:val="13"/>
                <w:szCs w:val="13"/>
                <w:color w:val="auto"/>
              </w:rPr>
            </w:pPr>
          </w:p>
        </w:tc>
        <w:tc>
          <w:tcPr>
            <w:tcW w:w="1380" w:type="dxa"/>
            <w:vAlign w:val="bottom"/>
          </w:tcPr>
          <w:p>
            <w:pPr>
              <w:jc w:val="right"/>
              <w:ind w:right="152"/>
              <w:spacing w:after="0"/>
              <w:rPr>
                <w:sz w:val="20"/>
                <w:szCs w:val="20"/>
                <w:color w:val="auto"/>
              </w:rPr>
            </w:pPr>
            <w:r>
              <w:rPr>
                <w:rFonts w:ascii="Arial" w:cs="Arial" w:eastAsia="Arial" w:hAnsi="Arial"/>
                <w:sz w:val="13"/>
                <w:szCs w:val="13"/>
                <w:color w:val="auto"/>
              </w:rPr>
              <w:t>Sempra Energy</w:t>
            </w:r>
          </w:p>
        </w:tc>
        <w:tc>
          <w:tcPr>
            <w:tcW w:w="12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r>
      <w:tr>
        <w:trPr>
          <w:trHeight w:val="152"/>
        </w:trPr>
        <w:tc>
          <w:tcPr>
            <w:tcW w:w="2340" w:type="dxa"/>
            <w:vAlign w:val="bottom"/>
          </w:tcPr>
          <w:p>
            <w:pPr>
              <w:spacing w:after="0"/>
              <w:rPr>
                <w:sz w:val="13"/>
                <w:szCs w:val="13"/>
                <w:color w:val="auto"/>
              </w:rPr>
            </w:pPr>
          </w:p>
        </w:tc>
        <w:tc>
          <w:tcPr>
            <w:tcW w:w="1380" w:type="dxa"/>
            <w:vAlign w:val="bottom"/>
            <w:tcBorders>
              <w:bottom w:val="single" w:sz="8" w:color="auto"/>
            </w:tcBorders>
          </w:tcPr>
          <w:p>
            <w:pPr>
              <w:jc w:val="right"/>
              <w:ind w:right="232"/>
              <w:spacing w:after="0"/>
              <w:rPr>
                <w:sz w:val="20"/>
                <w:szCs w:val="20"/>
                <w:color w:val="auto"/>
              </w:rPr>
            </w:pPr>
            <w:r>
              <w:rPr>
                <w:rFonts w:ascii="Arial" w:cs="Arial" w:eastAsia="Arial" w:hAnsi="Arial"/>
                <w:sz w:val="13"/>
                <w:szCs w:val="13"/>
                <w:color w:val="auto"/>
              </w:rPr>
              <w:t>Consolidated</w:t>
            </w:r>
          </w:p>
        </w:tc>
        <w:tc>
          <w:tcPr>
            <w:tcW w:w="1220" w:type="dxa"/>
            <w:vAlign w:val="bottom"/>
            <w:tcBorders>
              <w:bottom w:val="single" w:sz="8" w:color="auto"/>
            </w:tcBorders>
          </w:tcPr>
          <w:p>
            <w:pPr>
              <w:jc w:val="right"/>
              <w:ind w:right="432"/>
              <w:spacing w:after="0"/>
              <w:rPr>
                <w:sz w:val="20"/>
                <w:szCs w:val="20"/>
                <w:color w:val="auto"/>
              </w:rPr>
            </w:pPr>
            <w:r>
              <w:rPr>
                <w:rFonts w:ascii="Arial" w:cs="Arial" w:eastAsia="Arial" w:hAnsi="Arial"/>
                <w:sz w:val="13"/>
                <w:szCs w:val="13"/>
                <w:color w:val="auto"/>
              </w:rPr>
              <w:t>SDG&amp;E</w:t>
            </w:r>
          </w:p>
        </w:tc>
        <w:tc>
          <w:tcPr>
            <w:tcW w:w="980" w:type="dxa"/>
            <w:vAlign w:val="bottom"/>
            <w:tcBorders>
              <w:bottom w:val="single" w:sz="8" w:color="auto"/>
            </w:tcBorders>
          </w:tcPr>
          <w:p>
            <w:pPr>
              <w:jc w:val="right"/>
              <w:ind w:right="471"/>
              <w:spacing w:after="0"/>
              <w:rPr>
                <w:sz w:val="20"/>
                <w:szCs w:val="20"/>
                <w:color w:val="auto"/>
              </w:rPr>
            </w:pPr>
            <w:r>
              <w:rPr>
                <w:rFonts w:ascii="Arial" w:cs="Arial" w:eastAsia="Arial" w:hAnsi="Arial"/>
                <w:sz w:val="13"/>
                <w:szCs w:val="13"/>
                <w:color w:val="auto"/>
              </w:rPr>
              <w:t>PE</w:t>
            </w:r>
          </w:p>
        </w:tc>
        <w:tc>
          <w:tcPr>
            <w:tcW w:w="900" w:type="dxa"/>
            <w:vAlign w:val="bottom"/>
            <w:tcBorders>
              <w:bottom w:val="single" w:sz="8" w:color="auto"/>
            </w:tcBorders>
          </w:tcPr>
          <w:p>
            <w:pPr>
              <w:jc w:val="right"/>
              <w:ind w:right="71"/>
              <w:spacing w:after="0"/>
              <w:rPr>
                <w:sz w:val="20"/>
                <w:szCs w:val="20"/>
                <w:color w:val="auto"/>
              </w:rPr>
            </w:pPr>
            <w:r>
              <w:rPr>
                <w:rFonts w:ascii="Arial" w:cs="Arial" w:eastAsia="Arial" w:hAnsi="Arial"/>
                <w:sz w:val="13"/>
                <w:szCs w:val="13"/>
                <w:color w:val="auto"/>
              </w:rPr>
              <w:t>SoCalGas</w:t>
            </w:r>
          </w:p>
        </w:tc>
      </w:tr>
      <w:tr>
        <w:trPr>
          <w:trHeight w:val="214"/>
        </w:trPr>
        <w:tc>
          <w:tcPr>
            <w:tcW w:w="2340" w:type="dxa"/>
            <w:vAlign w:val="bottom"/>
          </w:tcPr>
          <w:p>
            <w:pPr>
              <w:ind w:left="20"/>
              <w:spacing w:after="0"/>
              <w:rPr>
                <w:sz w:val="20"/>
                <w:szCs w:val="20"/>
                <w:color w:val="auto"/>
              </w:rPr>
            </w:pPr>
            <w:r>
              <w:rPr>
                <w:rFonts w:ascii="Arial" w:cs="Arial" w:eastAsia="Arial" w:hAnsi="Arial"/>
                <w:sz w:val="14"/>
                <w:szCs w:val="14"/>
                <w:color w:val="auto"/>
              </w:rPr>
              <w:t>Total capitalization</w:t>
            </w:r>
          </w:p>
        </w:tc>
        <w:tc>
          <w:tcPr>
            <w:tcW w:w="1380" w:type="dxa"/>
            <w:vAlign w:val="bottom"/>
          </w:tcPr>
          <w:p>
            <w:pPr>
              <w:jc w:val="right"/>
              <w:ind w:right="72"/>
              <w:spacing w:after="0"/>
              <w:rPr>
                <w:sz w:val="20"/>
                <w:szCs w:val="20"/>
                <w:color w:val="auto"/>
              </w:rPr>
            </w:pPr>
            <w:r>
              <w:rPr>
                <w:rFonts w:ascii="Arial" w:cs="Arial" w:eastAsia="Arial" w:hAnsi="Arial"/>
                <w:sz w:val="14"/>
                <w:szCs w:val="14"/>
                <w:color w:val="auto"/>
              </w:rPr>
              <w:t>$ 15,845</w:t>
            </w:r>
          </w:p>
        </w:tc>
        <w:tc>
          <w:tcPr>
            <w:tcW w:w="1220" w:type="dxa"/>
            <w:vAlign w:val="bottom"/>
          </w:tcPr>
          <w:p>
            <w:pPr>
              <w:jc w:val="right"/>
              <w:ind w:right="212"/>
              <w:spacing w:after="0"/>
              <w:rPr>
                <w:sz w:val="20"/>
                <w:szCs w:val="20"/>
                <w:color w:val="auto"/>
              </w:rPr>
            </w:pPr>
            <w:r>
              <w:rPr>
                <w:rFonts w:ascii="Arial" w:cs="Arial" w:eastAsia="Arial" w:hAnsi="Arial"/>
                <w:sz w:val="14"/>
                <w:szCs w:val="14"/>
                <w:color w:val="auto"/>
              </w:rPr>
              <w:t>$ 4,893</w:t>
            </w:r>
          </w:p>
        </w:tc>
        <w:tc>
          <w:tcPr>
            <w:tcW w:w="980" w:type="dxa"/>
            <w:vAlign w:val="bottom"/>
          </w:tcPr>
          <w:p>
            <w:pPr>
              <w:jc w:val="right"/>
              <w:ind w:right="111"/>
              <w:spacing w:after="0"/>
              <w:rPr>
                <w:sz w:val="20"/>
                <w:szCs w:val="20"/>
                <w:color w:val="auto"/>
              </w:rPr>
            </w:pPr>
            <w:r>
              <w:rPr>
                <w:rFonts w:ascii="Arial" w:cs="Arial" w:eastAsia="Arial" w:hAnsi="Arial"/>
                <w:sz w:val="14"/>
                <w:szCs w:val="14"/>
                <w:color w:val="auto"/>
              </w:rPr>
              <w:t>$ 3,310</w:t>
            </w:r>
          </w:p>
        </w:tc>
        <w:tc>
          <w:tcPr>
            <w:tcW w:w="900" w:type="dxa"/>
            <w:vAlign w:val="bottom"/>
          </w:tcPr>
          <w:p>
            <w:pPr>
              <w:jc w:val="right"/>
              <w:spacing w:after="0"/>
              <w:rPr>
                <w:sz w:val="20"/>
                <w:szCs w:val="20"/>
                <w:color w:val="auto"/>
              </w:rPr>
            </w:pPr>
            <w:r>
              <w:rPr>
                <w:rFonts w:ascii="Arial" w:cs="Arial" w:eastAsia="Arial" w:hAnsi="Arial"/>
                <w:sz w:val="14"/>
                <w:szCs w:val="14"/>
                <w:color w:val="auto"/>
              </w:rPr>
              <w:t>$ 2,860</w:t>
            </w:r>
          </w:p>
        </w:tc>
      </w:tr>
      <w:tr>
        <w:trPr>
          <w:trHeight w:val="238"/>
        </w:trPr>
        <w:tc>
          <w:tcPr>
            <w:tcW w:w="2340" w:type="dxa"/>
            <w:vAlign w:val="bottom"/>
            <w:tcBorders>
              <w:bottom w:val="single" w:sz="8" w:color="DFDFDF"/>
            </w:tcBorders>
          </w:tcPr>
          <w:p>
            <w:pPr>
              <w:ind w:left="20"/>
              <w:spacing w:after="0"/>
              <w:rPr>
                <w:sz w:val="20"/>
                <w:szCs w:val="20"/>
                <w:color w:val="auto"/>
              </w:rPr>
            </w:pPr>
            <w:r>
              <w:rPr>
                <w:rFonts w:ascii="Arial" w:cs="Arial" w:eastAsia="Arial" w:hAnsi="Arial"/>
                <w:sz w:val="14"/>
                <w:szCs w:val="14"/>
                <w:color w:val="auto"/>
              </w:rPr>
              <w:t>Debt-to-capitalization ratio</w:t>
            </w:r>
          </w:p>
        </w:tc>
        <w:tc>
          <w:tcPr>
            <w:tcW w:w="1380" w:type="dxa"/>
            <w:vAlign w:val="bottom"/>
            <w:tcBorders>
              <w:bottom w:val="single" w:sz="8" w:color="DFDFDF"/>
            </w:tcBorders>
          </w:tcPr>
          <w:p>
            <w:pPr>
              <w:jc w:val="right"/>
              <w:ind w:right="72"/>
              <w:spacing w:after="0"/>
              <w:rPr>
                <w:sz w:val="20"/>
                <w:szCs w:val="20"/>
                <w:color w:val="auto"/>
              </w:rPr>
            </w:pPr>
            <w:r>
              <w:rPr>
                <w:rFonts w:ascii="Arial" w:cs="Arial" w:eastAsia="Arial" w:hAnsi="Arial"/>
                <w:sz w:val="14"/>
                <w:szCs w:val="14"/>
                <w:color w:val="auto"/>
              </w:rPr>
              <w:t>47%</w:t>
            </w:r>
          </w:p>
        </w:tc>
        <w:tc>
          <w:tcPr>
            <w:tcW w:w="1220" w:type="dxa"/>
            <w:vAlign w:val="bottom"/>
            <w:tcBorders>
              <w:bottom w:val="single" w:sz="8" w:color="DFDFDF"/>
            </w:tcBorders>
          </w:tcPr>
          <w:p>
            <w:pPr>
              <w:jc w:val="right"/>
              <w:ind w:right="212"/>
              <w:spacing w:after="0"/>
              <w:rPr>
                <w:sz w:val="20"/>
                <w:szCs w:val="20"/>
                <w:color w:val="auto"/>
              </w:rPr>
            </w:pPr>
            <w:r>
              <w:rPr>
                <w:rFonts w:ascii="Arial" w:cs="Arial" w:eastAsia="Arial" w:hAnsi="Arial"/>
                <w:sz w:val="14"/>
                <w:szCs w:val="14"/>
                <w:color w:val="auto"/>
              </w:rPr>
              <w:t>44%</w:t>
            </w:r>
          </w:p>
        </w:tc>
        <w:tc>
          <w:tcPr>
            <w:tcW w:w="980" w:type="dxa"/>
            <w:vAlign w:val="bottom"/>
            <w:tcBorders>
              <w:bottom w:val="single" w:sz="8" w:color="DFDFDF"/>
            </w:tcBorders>
          </w:tcPr>
          <w:p>
            <w:pPr>
              <w:jc w:val="right"/>
              <w:ind w:right="111"/>
              <w:spacing w:after="0"/>
              <w:rPr>
                <w:sz w:val="20"/>
                <w:szCs w:val="20"/>
                <w:color w:val="auto"/>
              </w:rPr>
            </w:pPr>
            <w:r>
              <w:rPr>
                <w:rFonts w:ascii="Arial" w:cs="Arial" w:eastAsia="Arial" w:hAnsi="Arial"/>
                <w:sz w:val="14"/>
                <w:szCs w:val="14"/>
                <w:color w:val="auto"/>
              </w:rPr>
              <w:t>41%</w:t>
            </w:r>
          </w:p>
        </w:tc>
        <w:tc>
          <w:tcPr>
            <w:tcW w:w="900" w:type="dxa"/>
            <w:vAlign w:val="bottom"/>
            <w:tcBorders>
              <w:bottom w:val="single" w:sz="8" w:color="DFDFDF"/>
            </w:tcBorders>
          </w:tcPr>
          <w:p>
            <w:pPr>
              <w:jc w:val="right"/>
              <w:spacing w:after="0"/>
              <w:rPr>
                <w:sz w:val="20"/>
                <w:szCs w:val="20"/>
                <w:color w:val="auto"/>
              </w:rPr>
            </w:pPr>
            <w:r>
              <w:rPr>
                <w:rFonts w:ascii="Arial" w:cs="Arial" w:eastAsia="Arial" w:hAnsi="Arial"/>
                <w:sz w:val="14"/>
                <w:szCs w:val="14"/>
                <w:color w:val="auto"/>
              </w:rPr>
              <w:t>48%</w:t>
            </w:r>
          </w:p>
        </w:tc>
      </w:tr>
    </w:tbl>
    <w:p>
      <w:pPr>
        <w:spacing w:after="0" w:line="252" w:lineRule="exact"/>
        <w:rPr>
          <w:sz w:val="20"/>
          <w:szCs w:val="20"/>
          <w:color w:val="auto"/>
        </w:rPr>
      </w:pPr>
    </w:p>
    <w:p>
      <w:pPr>
        <w:ind w:left="4"/>
        <w:spacing w:after="0"/>
        <w:rPr>
          <w:sz w:val="20"/>
          <w:szCs w:val="20"/>
          <w:color w:val="auto"/>
        </w:rPr>
      </w:pPr>
      <w:r>
        <w:rPr>
          <w:rFonts w:ascii="Arial" w:cs="Arial" w:eastAsia="Arial" w:hAnsi="Arial"/>
          <w:sz w:val="16"/>
          <w:szCs w:val="16"/>
          <w:color w:val="auto"/>
        </w:rPr>
        <w:t>Significant changes during 2008 that affected capitalization include the following:</w:t>
      </w:r>
    </w:p>
    <w:p>
      <w:pPr>
        <w:spacing w:after="0" w:line="44" w:lineRule="exact"/>
        <w:rPr>
          <w:sz w:val="20"/>
          <w:szCs w:val="20"/>
          <w:color w:val="auto"/>
        </w:rPr>
      </w:pPr>
    </w:p>
    <w:p>
      <w:pPr>
        <w:ind w:left="144" w:right="820" w:hanging="144"/>
        <w:spacing w:after="0" w:line="274" w:lineRule="auto"/>
        <w:tabs>
          <w:tab w:leader="none" w:pos="144" w:val="left"/>
        </w:tabs>
        <w:numPr>
          <w:ilvl w:val="0"/>
          <w:numId w:val="294"/>
        </w:numPr>
        <w:rPr>
          <w:rFonts w:ascii="Arial" w:cs="Arial" w:eastAsia="Arial" w:hAnsi="Arial"/>
          <w:sz w:val="16"/>
          <w:szCs w:val="16"/>
          <w:color w:val="auto"/>
        </w:rPr>
      </w:pPr>
      <w:r>
        <w:rPr>
          <w:rFonts w:ascii="Arial" w:cs="Arial" w:eastAsia="Arial" w:hAnsi="Arial"/>
          <w:sz w:val="16"/>
          <w:szCs w:val="16"/>
          <w:color w:val="auto"/>
        </w:rPr>
        <w:t>Sempra Energy: a net increase in long-term debt, increases in short-term borrowings, an increase in minority interests and comprehensive income exceeding dividends, offset by common stock repurchases</w:t>
      </w:r>
    </w:p>
    <w:p>
      <w:pPr>
        <w:ind w:left="144" w:hanging="144"/>
        <w:spacing w:after="0"/>
        <w:tabs>
          <w:tab w:leader="none" w:pos="144" w:val="left"/>
        </w:tabs>
        <w:numPr>
          <w:ilvl w:val="0"/>
          <w:numId w:val="294"/>
        </w:numPr>
        <w:rPr>
          <w:rFonts w:ascii="Arial" w:cs="Arial" w:eastAsia="Arial" w:hAnsi="Arial"/>
          <w:sz w:val="16"/>
          <w:szCs w:val="16"/>
          <w:color w:val="auto"/>
        </w:rPr>
      </w:pPr>
      <w:r>
        <w:rPr>
          <w:rFonts w:ascii="Arial" w:cs="Arial" w:eastAsia="Arial" w:hAnsi="Arial"/>
          <w:sz w:val="16"/>
          <w:szCs w:val="16"/>
          <w:color w:val="auto"/>
        </w:rPr>
        <w:t>SDG&amp;E: increases in long-term debt and comprehensive income, offset by a decrease in minority interest</w:t>
      </w:r>
    </w:p>
    <w:p>
      <w:pPr>
        <w:spacing w:after="0" w:line="44" w:lineRule="exact"/>
        <w:rPr>
          <w:rFonts w:ascii="Arial" w:cs="Arial" w:eastAsia="Arial" w:hAnsi="Arial"/>
          <w:sz w:val="16"/>
          <w:szCs w:val="16"/>
          <w:color w:val="auto"/>
        </w:rPr>
      </w:pPr>
    </w:p>
    <w:p>
      <w:pPr>
        <w:ind w:left="144" w:hanging="144"/>
        <w:spacing w:after="0"/>
        <w:tabs>
          <w:tab w:leader="none" w:pos="144" w:val="left"/>
        </w:tabs>
        <w:numPr>
          <w:ilvl w:val="0"/>
          <w:numId w:val="294"/>
        </w:numPr>
        <w:rPr>
          <w:rFonts w:ascii="Arial" w:cs="Arial" w:eastAsia="Arial" w:hAnsi="Arial"/>
          <w:sz w:val="16"/>
          <w:szCs w:val="16"/>
          <w:color w:val="auto"/>
        </w:rPr>
      </w:pPr>
      <w:r>
        <w:rPr>
          <w:rFonts w:ascii="Arial" w:cs="Arial" w:eastAsia="Arial" w:hAnsi="Arial"/>
          <w:sz w:val="16"/>
          <w:szCs w:val="16"/>
          <w:color w:val="auto"/>
        </w:rPr>
        <w:t>PE and SoCalGas: comprehensive income exceeding dividends and an increase in long-term debt</w:t>
      </w:r>
    </w:p>
    <w:p>
      <w:pPr>
        <w:spacing w:after="0" w:line="128" w:lineRule="exact"/>
        <w:rPr>
          <w:sz w:val="20"/>
          <w:szCs w:val="20"/>
          <w:color w:val="auto"/>
        </w:rPr>
      </w:pPr>
    </w:p>
    <w:p>
      <w:pPr>
        <w:ind w:left="4"/>
        <w:spacing w:after="0" w:line="277" w:lineRule="auto"/>
        <w:rPr>
          <w:sz w:val="20"/>
          <w:szCs w:val="20"/>
          <w:color w:val="auto"/>
        </w:rPr>
      </w:pPr>
      <w:r>
        <w:rPr>
          <w:rFonts w:ascii="Arial" w:cs="Arial" w:eastAsia="Arial" w:hAnsi="Arial"/>
          <w:sz w:val="16"/>
          <w:szCs w:val="16"/>
          <w:color w:val="auto"/>
        </w:rPr>
        <w:t>We provide additional information about the significant changes in Notes 6 and 13 of the Notes to Consolidated Financial Statements and "Overall Results of Operations of Sempra Energy and Factors Affecting the Results" above.</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4"/>
        <w:spacing w:after="0"/>
        <w:rPr>
          <w:sz w:val="20"/>
          <w:szCs w:val="20"/>
          <w:color w:val="auto"/>
        </w:rPr>
      </w:pPr>
      <w:r>
        <w:rPr>
          <w:rFonts w:ascii="Arial" w:cs="Arial" w:eastAsia="Arial" w:hAnsi="Arial"/>
          <w:sz w:val="14"/>
          <w:szCs w:val="14"/>
          <w:color w:val="auto"/>
        </w:rPr>
        <w:t>38</w:t>
      </w:r>
    </w:p>
    <w:p>
      <w:pPr>
        <w:sectPr>
          <w:pgSz w:w="11900" w:h="16838" w:orient="portrait"/>
          <w:cols w:equalWidth="0" w:num="1">
            <w:col w:w="11004"/>
          </w:cols>
          <w:pgMar w:left="236" w:top="395" w:right="659" w:bottom="1440" w:gutter="0" w:footer="0" w:header="0"/>
        </w:sectPr>
      </w:pPr>
    </w:p>
    <w:bookmarkStart w:id="178" w:name="page179"/>
    <w:bookmarkEnd w:id="178"/>
    <w:p>
      <w:pPr>
        <w:spacing w:after="0"/>
        <w:rPr>
          <w:sz w:val="20"/>
          <w:szCs w:val="20"/>
          <w:color w:val="auto"/>
        </w:rPr>
      </w:pPr>
      <w:r>
        <w:rPr>
          <w:rFonts w:ascii="Arial" w:cs="Arial" w:eastAsia="Arial" w:hAnsi="Arial"/>
          <w:sz w:val="16"/>
          <w:szCs w:val="16"/>
          <w:b w:val="1"/>
          <w:bCs w:val="1"/>
          <w:color w:val="auto"/>
        </w:rPr>
        <w:t>COMMITMENTS</w:t>
      </w:r>
    </w:p>
    <w:p>
      <w:pPr>
        <w:spacing w:after="0" w:line="89" w:lineRule="exact"/>
        <w:rPr>
          <w:sz w:val="20"/>
          <w:szCs w:val="20"/>
          <w:color w:val="auto"/>
        </w:rPr>
      </w:pPr>
    </w:p>
    <w:p>
      <w:pPr>
        <w:spacing w:after="0" w:line="277" w:lineRule="auto"/>
        <w:rPr>
          <w:sz w:val="20"/>
          <w:szCs w:val="20"/>
          <w:color w:val="auto"/>
        </w:rPr>
      </w:pPr>
      <w:r>
        <w:rPr>
          <w:rFonts w:ascii="Arial" w:cs="Arial" w:eastAsia="Arial" w:hAnsi="Arial"/>
          <w:sz w:val="16"/>
          <w:szCs w:val="16"/>
          <w:color w:val="auto"/>
        </w:rPr>
        <w:t>The following tables summarize principal contractual commitments at December 31, 2008 for Sempra Energy, SDG&amp;E and PE/SoCalGas, respectively. We provide additional information about commitments above and in Notes 6, 9 and 16 of the 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1362710</wp:posOffset>
            </wp:positionH>
            <wp:positionV relativeFrom="paragraph">
              <wp:posOffset>134620</wp:posOffset>
            </wp:positionV>
            <wp:extent cx="4538345" cy="2667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4538345" cy="266700"/>
                    </a:xfrm>
                    <a:prstGeom prst="rect">
                      <a:avLst/>
                    </a:prstGeom>
                    <a:noFill/>
                  </pic:spPr>
                </pic:pic>
              </a:graphicData>
            </a:graphic>
          </wp:anchor>
        </w:drawing>
      </w:r>
    </w:p>
    <w:p>
      <w:pPr>
        <w:spacing w:after="0" w:line="200" w:lineRule="exact"/>
        <w:rPr>
          <w:sz w:val="20"/>
          <w:szCs w:val="20"/>
          <w:color w:val="auto"/>
        </w:rPr>
      </w:pPr>
    </w:p>
    <w:p>
      <w:pPr>
        <w:ind w:left="2160"/>
        <w:spacing w:after="0"/>
        <w:rPr>
          <w:sz w:val="20"/>
          <w:szCs w:val="20"/>
          <w:color w:val="auto"/>
        </w:rPr>
      </w:pPr>
      <w:r>
        <w:rPr>
          <w:rFonts w:ascii="Arial" w:cs="Arial" w:eastAsia="Arial" w:hAnsi="Arial"/>
          <w:sz w:val="14"/>
          <w:szCs w:val="14"/>
          <w:b w:val="1"/>
          <w:bCs w:val="1"/>
          <w:color w:val="auto"/>
        </w:rPr>
        <w:t>PRINCIPAL CONTRACTUAL COMMITMENTS OF SEMPRA ENERGY</w:t>
      </w:r>
    </w:p>
    <w:p>
      <w:pPr>
        <w:spacing w:after="0" w:line="76" w:lineRule="exact"/>
        <w:rPr>
          <w:sz w:val="20"/>
          <w:szCs w:val="20"/>
          <w:color w:val="auto"/>
        </w:rPr>
      </w:pPr>
    </w:p>
    <w:p>
      <w:pPr>
        <w:ind w:left="2160"/>
        <w:spacing w:after="0"/>
        <w:rPr>
          <w:sz w:val="20"/>
          <w:szCs w:val="20"/>
          <w:color w:val="auto"/>
        </w:rPr>
      </w:pPr>
      <w:r>
        <w:rPr>
          <w:rFonts w:ascii="Arial" w:cs="Arial" w:eastAsia="Arial" w:hAnsi="Arial"/>
          <w:sz w:val="13"/>
          <w:szCs w:val="13"/>
          <w:i w:val="1"/>
          <w:iCs w:val="1"/>
          <w:color w:val="auto"/>
        </w:rPr>
        <w:t>(Dollars in millions)</w:t>
      </w:r>
    </w:p>
    <w:p>
      <w:pPr>
        <w:spacing w:after="0" w:line="271" w:lineRule="exact"/>
        <w:rPr>
          <w:sz w:val="20"/>
          <w:szCs w:val="20"/>
          <w:color w:val="auto"/>
        </w:rPr>
      </w:pPr>
    </w:p>
    <w:tbl>
      <w:tblPr>
        <w:tblLayout w:type="fixed"/>
        <w:tblInd w:w="2140" w:type="dxa"/>
        <w:tblCellMar>
          <w:top w:w="0" w:type="dxa"/>
          <w:left w:w="0" w:type="dxa"/>
          <w:bottom w:w="0" w:type="dxa"/>
          <w:right w:w="0" w:type="dxa"/>
        </w:tblCellMar>
      </w:tblPr>
      <w:tr>
        <w:trPr>
          <w:trHeight w:val="154"/>
        </w:trPr>
        <w:tc>
          <w:tcPr>
            <w:tcW w:w="24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00" w:type="dxa"/>
            <w:vAlign w:val="bottom"/>
          </w:tcPr>
          <w:p>
            <w:pPr>
              <w:jc w:val="right"/>
              <w:ind w:right="88"/>
              <w:spacing w:after="0"/>
              <w:rPr>
                <w:sz w:val="20"/>
                <w:szCs w:val="20"/>
                <w:color w:val="auto"/>
              </w:rPr>
            </w:pPr>
            <w:r>
              <w:rPr>
                <w:rFonts w:ascii="Arial" w:cs="Arial" w:eastAsia="Arial" w:hAnsi="Arial"/>
                <w:sz w:val="13"/>
                <w:szCs w:val="13"/>
                <w:color w:val="auto"/>
              </w:rPr>
              <w:t>2010</w:t>
            </w:r>
          </w:p>
        </w:tc>
        <w:tc>
          <w:tcPr>
            <w:tcW w:w="340" w:type="dxa"/>
            <w:vAlign w:val="bottom"/>
          </w:tcPr>
          <w:p>
            <w:pPr>
              <w:spacing w:after="0"/>
              <w:rPr>
                <w:sz w:val="13"/>
                <w:szCs w:val="13"/>
                <w:color w:val="auto"/>
              </w:rPr>
            </w:pPr>
          </w:p>
        </w:tc>
        <w:tc>
          <w:tcPr>
            <w:tcW w:w="600" w:type="dxa"/>
            <w:vAlign w:val="bottom"/>
          </w:tcPr>
          <w:p>
            <w:pPr>
              <w:jc w:val="right"/>
              <w:ind w:right="88"/>
              <w:spacing w:after="0"/>
              <w:rPr>
                <w:sz w:val="20"/>
                <w:szCs w:val="20"/>
                <w:color w:val="auto"/>
              </w:rPr>
            </w:pPr>
            <w:r>
              <w:rPr>
                <w:rFonts w:ascii="Arial" w:cs="Arial" w:eastAsia="Arial" w:hAnsi="Arial"/>
                <w:sz w:val="13"/>
                <w:szCs w:val="13"/>
                <w:color w:val="auto"/>
              </w:rPr>
              <w:t>2012</w:t>
            </w:r>
          </w:p>
        </w:tc>
        <w:tc>
          <w:tcPr>
            <w:tcW w:w="2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40" w:type="dxa"/>
            <w:vAlign w:val="bottom"/>
          </w:tcPr>
          <w:p>
            <w:pPr>
              <w:spacing w:after="0"/>
              <w:rPr>
                <w:sz w:val="13"/>
                <w:szCs w:val="13"/>
                <w:color w:val="auto"/>
              </w:rPr>
            </w:pPr>
          </w:p>
        </w:tc>
      </w:tr>
      <w:tr>
        <w:trPr>
          <w:trHeight w:val="161"/>
        </w:trPr>
        <w:tc>
          <w:tcPr>
            <w:tcW w:w="24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28"/>
              <w:spacing w:after="0"/>
              <w:rPr>
                <w:sz w:val="20"/>
                <w:szCs w:val="20"/>
                <w:color w:val="auto"/>
              </w:rPr>
            </w:pPr>
            <w:r>
              <w:rPr>
                <w:rFonts w:ascii="Arial" w:cs="Arial" w:eastAsia="Arial" w:hAnsi="Arial"/>
                <w:sz w:val="13"/>
                <w:szCs w:val="13"/>
                <w:color w:val="auto"/>
              </w:rPr>
              <w:t>2009</w:t>
            </w:r>
          </w:p>
        </w:tc>
        <w:tc>
          <w:tcPr>
            <w:tcW w:w="960" w:type="dxa"/>
            <w:vAlign w:val="bottom"/>
            <w:tcBorders>
              <w:bottom w:val="single" w:sz="8" w:color="auto"/>
            </w:tcBorders>
            <w:gridSpan w:val="2"/>
          </w:tcPr>
          <w:p>
            <w:pPr>
              <w:jc w:val="right"/>
              <w:ind w:right="88"/>
              <w:spacing w:after="0"/>
              <w:rPr>
                <w:sz w:val="20"/>
                <w:szCs w:val="20"/>
                <w:color w:val="auto"/>
              </w:rPr>
            </w:pPr>
            <w:r>
              <w:rPr>
                <w:rFonts w:ascii="Arial" w:cs="Arial" w:eastAsia="Arial" w:hAnsi="Arial"/>
                <w:sz w:val="13"/>
                <w:szCs w:val="13"/>
                <w:color w:val="auto"/>
              </w:rPr>
              <w:t>and 2011</w:t>
            </w:r>
          </w:p>
        </w:tc>
        <w:tc>
          <w:tcPr>
            <w:tcW w:w="940" w:type="dxa"/>
            <w:vAlign w:val="bottom"/>
            <w:tcBorders>
              <w:bottom w:val="single" w:sz="8" w:color="auto"/>
            </w:tcBorders>
            <w:gridSpan w:val="2"/>
          </w:tcPr>
          <w:p>
            <w:pPr>
              <w:jc w:val="right"/>
              <w:ind w:right="88"/>
              <w:spacing w:after="0"/>
              <w:rPr>
                <w:sz w:val="20"/>
                <w:szCs w:val="20"/>
                <w:color w:val="auto"/>
              </w:rPr>
            </w:pPr>
            <w:r>
              <w:rPr>
                <w:rFonts w:ascii="Arial" w:cs="Arial" w:eastAsia="Arial" w:hAnsi="Arial"/>
                <w:sz w:val="13"/>
                <w:szCs w:val="13"/>
                <w:color w:val="auto"/>
              </w:rPr>
              <w:t>and 2013</w:t>
            </w:r>
          </w:p>
        </w:tc>
        <w:tc>
          <w:tcPr>
            <w:tcW w:w="2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108"/>
              <w:spacing w:after="0"/>
              <w:rPr>
                <w:sz w:val="20"/>
                <w:szCs w:val="20"/>
                <w:color w:val="auto"/>
              </w:rPr>
            </w:pPr>
            <w:r>
              <w:rPr>
                <w:rFonts w:ascii="Arial" w:cs="Arial" w:eastAsia="Arial" w:hAnsi="Arial"/>
                <w:sz w:val="13"/>
                <w:szCs w:val="13"/>
                <w:color w:val="auto"/>
                <w:w w:val="93"/>
              </w:rPr>
              <w:t>Thereafter</w:t>
            </w:r>
          </w:p>
        </w:tc>
        <w:tc>
          <w:tcPr>
            <w:tcW w:w="3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Total</w:t>
            </w:r>
          </w:p>
        </w:tc>
      </w:tr>
      <w:tr>
        <w:trPr>
          <w:trHeight w:val="207"/>
        </w:trPr>
        <w:tc>
          <w:tcPr>
            <w:tcW w:w="2460" w:type="dxa"/>
            <w:vAlign w:val="bottom"/>
          </w:tcPr>
          <w:p>
            <w:pPr>
              <w:ind w:left="20"/>
              <w:spacing w:after="0"/>
              <w:rPr>
                <w:sz w:val="20"/>
                <w:szCs w:val="20"/>
                <w:color w:val="auto"/>
              </w:rPr>
            </w:pPr>
            <w:r>
              <w:rPr>
                <w:rFonts w:ascii="Arial" w:cs="Arial" w:eastAsia="Arial" w:hAnsi="Arial"/>
                <w:sz w:val="14"/>
                <w:szCs w:val="14"/>
                <w:color w:val="auto"/>
              </w:rPr>
              <w:t>Short-term debt</w:t>
            </w:r>
          </w:p>
        </w:tc>
        <w:tc>
          <w:tcPr>
            <w:tcW w:w="2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128"/>
              <w:spacing w:after="0"/>
              <w:rPr>
                <w:sz w:val="20"/>
                <w:szCs w:val="20"/>
                <w:color w:val="auto"/>
              </w:rPr>
            </w:pPr>
            <w:r>
              <w:rPr>
                <w:rFonts w:ascii="Arial" w:cs="Arial" w:eastAsia="Arial" w:hAnsi="Arial"/>
                <w:sz w:val="14"/>
                <w:szCs w:val="14"/>
                <w:color w:val="auto"/>
              </w:rPr>
              <w:t>503</w:t>
            </w:r>
          </w:p>
        </w:tc>
        <w:tc>
          <w:tcPr>
            <w:tcW w:w="360" w:type="dxa"/>
            <w:vAlign w:val="bottom"/>
          </w:tcPr>
          <w:p>
            <w:pPr>
              <w:jc w:val="right"/>
              <w:ind w:right="11"/>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340" w:type="dxa"/>
            <w:vAlign w:val="bottom"/>
          </w:tcPr>
          <w:p>
            <w:pPr>
              <w:jc w:val="right"/>
              <w:ind w:right="31"/>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3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503</w:t>
            </w:r>
          </w:p>
        </w:tc>
      </w:tr>
      <w:tr>
        <w:trPr>
          <w:trHeight w:val="216"/>
        </w:trPr>
        <w:tc>
          <w:tcPr>
            <w:tcW w:w="2460" w:type="dxa"/>
            <w:vAlign w:val="bottom"/>
          </w:tcPr>
          <w:p>
            <w:pPr>
              <w:ind w:left="20"/>
              <w:spacing w:after="0"/>
              <w:rPr>
                <w:sz w:val="20"/>
                <w:szCs w:val="20"/>
                <w:color w:val="auto"/>
              </w:rPr>
            </w:pPr>
            <w:r>
              <w:rPr>
                <w:rFonts w:ascii="Arial" w:cs="Arial" w:eastAsia="Arial" w:hAnsi="Arial"/>
                <w:sz w:val="14"/>
                <w:szCs w:val="14"/>
                <w:color w:val="auto"/>
              </w:rPr>
              <w:t>Long-term debt</w:t>
            </w:r>
          </w:p>
        </w:tc>
        <w:tc>
          <w:tcPr>
            <w:tcW w:w="260" w:type="dxa"/>
            <w:vAlign w:val="bottom"/>
          </w:tcPr>
          <w:p>
            <w:pPr>
              <w:spacing w:after="0"/>
              <w:rPr>
                <w:sz w:val="18"/>
                <w:szCs w:val="18"/>
                <w:color w:val="auto"/>
              </w:rPr>
            </w:pPr>
          </w:p>
        </w:tc>
        <w:tc>
          <w:tcPr>
            <w:tcW w:w="660" w:type="dxa"/>
            <w:vAlign w:val="bottom"/>
          </w:tcPr>
          <w:p>
            <w:pPr>
              <w:jc w:val="right"/>
              <w:ind w:right="128"/>
              <w:spacing w:after="0"/>
              <w:rPr>
                <w:sz w:val="20"/>
                <w:szCs w:val="20"/>
                <w:color w:val="auto"/>
              </w:rPr>
            </w:pPr>
            <w:r>
              <w:rPr>
                <w:rFonts w:ascii="Arial" w:cs="Arial" w:eastAsia="Arial" w:hAnsi="Arial"/>
                <w:sz w:val="14"/>
                <w:szCs w:val="14"/>
                <w:color w:val="auto"/>
              </w:rPr>
              <w:t>410</w:t>
            </w:r>
          </w:p>
        </w:tc>
        <w:tc>
          <w:tcPr>
            <w:tcW w:w="360" w:type="dxa"/>
            <w:vAlign w:val="bottom"/>
          </w:tcPr>
          <w:p>
            <w:pPr>
              <w:spacing w:after="0"/>
              <w:rPr>
                <w:sz w:val="18"/>
                <w:szCs w:val="18"/>
                <w:color w:val="auto"/>
              </w:rPr>
            </w:pPr>
          </w:p>
        </w:tc>
        <w:tc>
          <w:tcPr>
            <w:tcW w:w="600" w:type="dxa"/>
            <w:vAlign w:val="bottom"/>
          </w:tcPr>
          <w:p>
            <w:pPr>
              <w:jc w:val="right"/>
              <w:ind w:right="88"/>
              <w:spacing w:after="0"/>
              <w:rPr>
                <w:sz w:val="20"/>
                <w:szCs w:val="20"/>
                <w:color w:val="auto"/>
              </w:rPr>
            </w:pPr>
            <w:r>
              <w:rPr>
                <w:rFonts w:ascii="Arial" w:cs="Arial" w:eastAsia="Arial" w:hAnsi="Arial"/>
                <w:sz w:val="14"/>
                <w:szCs w:val="14"/>
                <w:color w:val="auto"/>
              </w:rPr>
              <w:t>813</w:t>
            </w:r>
          </w:p>
        </w:tc>
        <w:tc>
          <w:tcPr>
            <w:tcW w:w="340" w:type="dxa"/>
            <w:vAlign w:val="bottom"/>
          </w:tcPr>
          <w:p>
            <w:pPr>
              <w:spacing w:after="0"/>
              <w:rPr>
                <w:sz w:val="18"/>
                <w:szCs w:val="18"/>
                <w:color w:val="auto"/>
              </w:rPr>
            </w:pPr>
          </w:p>
        </w:tc>
        <w:tc>
          <w:tcPr>
            <w:tcW w:w="600" w:type="dxa"/>
            <w:vAlign w:val="bottom"/>
          </w:tcPr>
          <w:p>
            <w:pPr>
              <w:jc w:val="right"/>
              <w:ind w:right="88"/>
              <w:spacing w:after="0"/>
              <w:rPr>
                <w:sz w:val="20"/>
                <w:szCs w:val="20"/>
                <w:color w:val="auto"/>
              </w:rPr>
            </w:pPr>
            <w:r>
              <w:rPr>
                <w:rFonts w:ascii="Arial" w:cs="Arial" w:eastAsia="Arial" w:hAnsi="Arial"/>
                <w:sz w:val="14"/>
                <w:szCs w:val="14"/>
                <w:color w:val="auto"/>
              </w:rPr>
              <w:t>948</w:t>
            </w:r>
          </w:p>
        </w:tc>
        <w:tc>
          <w:tcPr>
            <w:tcW w:w="260" w:type="dxa"/>
            <w:vAlign w:val="bottom"/>
          </w:tcPr>
          <w:p>
            <w:pPr>
              <w:spacing w:after="0"/>
              <w:rPr>
                <w:sz w:val="18"/>
                <w:szCs w:val="18"/>
                <w:color w:val="auto"/>
              </w:rPr>
            </w:pPr>
          </w:p>
        </w:tc>
        <w:tc>
          <w:tcPr>
            <w:tcW w:w="760" w:type="dxa"/>
            <w:vAlign w:val="bottom"/>
          </w:tcPr>
          <w:p>
            <w:pPr>
              <w:jc w:val="right"/>
              <w:ind w:right="108"/>
              <w:spacing w:after="0"/>
              <w:rPr>
                <w:sz w:val="20"/>
                <w:szCs w:val="20"/>
                <w:color w:val="auto"/>
              </w:rPr>
            </w:pPr>
            <w:r>
              <w:rPr>
                <w:rFonts w:ascii="Arial" w:cs="Arial" w:eastAsia="Arial" w:hAnsi="Arial"/>
                <w:sz w:val="14"/>
                <w:szCs w:val="14"/>
                <w:color w:val="auto"/>
              </w:rPr>
              <w:t>4,783</w:t>
            </w:r>
          </w:p>
        </w:tc>
        <w:tc>
          <w:tcPr>
            <w:tcW w:w="3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6,954</w:t>
            </w:r>
          </w:p>
        </w:tc>
      </w:tr>
      <w:tr>
        <w:trPr>
          <w:trHeight w:val="216"/>
        </w:trPr>
        <w:tc>
          <w:tcPr>
            <w:tcW w:w="2460" w:type="dxa"/>
            <w:vAlign w:val="bottom"/>
          </w:tcPr>
          <w:p>
            <w:pPr>
              <w:ind w:left="20"/>
              <w:spacing w:after="0"/>
              <w:rPr>
                <w:sz w:val="20"/>
                <w:szCs w:val="20"/>
                <w:color w:val="auto"/>
              </w:rPr>
            </w:pPr>
            <w:r>
              <w:rPr>
                <w:rFonts w:ascii="Arial" w:cs="Arial" w:eastAsia="Arial" w:hAnsi="Arial"/>
                <w:sz w:val="14"/>
                <w:szCs w:val="14"/>
                <w:color w:val="auto"/>
              </w:rPr>
              <w:t>Interest on debt (1)</w:t>
            </w:r>
          </w:p>
        </w:tc>
        <w:tc>
          <w:tcPr>
            <w:tcW w:w="260" w:type="dxa"/>
            <w:vAlign w:val="bottom"/>
          </w:tcPr>
          <w:p>
            <w:pPr>
              <w:spacing w:after="0"/>
              <w:rPr>
                <w:sz w:val="18"/>
                <w:szCs w:val="18"/>
                <w:color w:val="auto"/>
              </w:rPr>
            </w:pPr>
          </w:p>
        </w:tc>
        <w:tc>
          <w:tcPr>
            <w:tcW w:w="660" w:type="dxa"/>
            <w:vAlign w:val="bottom"/>
          </w:tcPr>
          <w:p>
            <w:pPr>
              <w:jc w:val="right"/>
              <w:ind w:right="128"/>
              <w:spacing w:after="0"/>
              <w:rPr>
                <w:sz w:val="20"/>
                <w:szCs w:val="20"/>
                <w:color w:val="auto"/>
              </w:rPr>
            </w:pPr>
            <w:r>
              <w:rPr>
                <w:rFonts w:ascii="Arial" w:cs="Arial" w:eastAsia="Arial" w:hAnsi="Arial"/>
                <w:sz w:val="14"/>
                <w:szCs w:val="14"/>
                <w:color w:val="auto"/>
              </w:rPr>
              <w:t>356</w:t>
            </w:r>
          </w:p>
        </w:tc>
        <w:tc>
          <w:tcPr>
            <w:tcW w:w="360" w:type="dxa"/>
            <w:vAlign w:val="bottom"/>
          </w:tcPr>
          <w:p>
            <w:pPr>
              <w:spacing w:after="0"/>
              <w:rPr>
                <w:sz w:val="18"/>
                <w:szCs w:val="18"/>
                <w:color w:val="auto"/>
              </w:rPr>
            </w:pPr>
          </w:p>
        </w:tc>
        <w:tc>
          <w:tcPr>
            <w:tcW w:w="600" w:type="dxa"/>
            <w:vAlign w:val="bottom"/>
          </w:tcPr>
          <w:p>
            <w:pPr>
              <w:jc w:val="right"/>
              <w:ind w:right="88"/>
              <w:spacing w:after="0"/>
              <w:rPr>
                <w:sz w:val="20"/>
                <w:szCs w:val="20"/>
                <w:color w:val="auto"/>
              </w:rPr>
            </w:pPr>
            <w:r>
              <w:rPr>
                <w:rFonts w:ascii="Arial" w:cs="Arial" w:eastAsia="Arial" w:hAnsi="Arial"/>
                <w:sz w:val="14"/>
                <w:szCs w:val="14"/>
                <w:color w:val="auto"/>
              </w:rPr>
              <w:t>636</w:t>
            </w:r>
          </w:p>
        </w:tc>
        <w:tc>
          <w:tcPr>
            <w:tcW w:w="340" w:type="dxa"/>
            <w:vAlign w:val="bottom"/>
          </w:tcPr>
          <w:p>
            <w:pPr>
              <w:spacing w:after="0"/>
              <w:rPr>
                <w:sz w:val="18"/>
                <w:szCs w:val="18"/>
                <w:color w:val="auto"/>
              </w:rPr>
            </w:pPr>
          </w:p>
        </w:tc>
        <w:tc>
          <w:tcPr>
            <w:tcW w:w="600" w:type="dxa"/>
            <w:vAlign w:val="bottom"/>
          </w:tcPr>
          <w:p>
            <w:pPr>
              <w:jc w:val="right"/>
              <w:ind w:right="88"/>
              <w:spacing w:after="0"/>
              <w:rPr>
                <w:sz w:val="20"/>
                <w:szCs w:val="20"/>
                <w:color w:val="auto"/>
              </w:rPr>
            </w:pPr>
            <w:r>
              <w:rPr>
                <w:rFonts w:ascii="Arial" w:cs="Arial" w:eastAsia="Arial" w:hAnsi="Arial"/>
                <w:sz w:val="14"/>
                <w:szCs w:val="14"/>
                <w:color w:val="auto"/>
              </w:rPr>
              <w:t>592</w:t>
            </w:r>
          </w:p>
        </w:tc>
        <w:tc>
          <w:tcPr>
            <w:tcW w:w="260" w:type="dxa"/>
            <w:vAlign w:val="bottom"/>
          </w:tcPr>
          <w:p>
            <w:pPr>
              <w:spacing w:after="0"/>
              <w:rPr>
                <w:sz w:val="18"/>
                <w:szCs w:val="18"/>
                <w:color w:val="auto"/>
              </w:rPr>
            </w:pPr>
          </w:p>
        </w:tc>
        <w:tc>
          <w:tcPr>
            <w:tcW w:w="760" w:type="dxa"/>
            <w:vAlign w:val="bottom"/>
          </w:tcPr>
          <w:p>
            <w:pPr>
              <w:jc w:val="right"/>
              <w:ind w:right="108"/>
              <w:spacing w:after="0"/>
              <w:rPr>
                <w:sz w:val="20"/>
                <w:szCs w:val="20"/>
                <w:color w:val="auto"/>
              </w:rPr>
            </w:pPr>
            <w:r>
              <w:rPr>
                <w:rFonts w:ascii="Arial" w:cs="Arial" w:eastAsia="Arial" w:hAnsi="Arial"/>
                <w:sz w:val="14"/>
                <w:szCs w:val="14"/>
                <w:color w:val="auto"/>
              </w:rPr>
              <w:t>2,387</w:t>
            </w:r>
          </w:p>
        </w:tc>
        <w:tc>
          <w:tcPr>
            <w:tcW w:w="3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3,971</w:t>
            </w:r>
          </w:p>
        </w:tc>
      </w:tr>
      <w:tr>
        <w:trPr>
          <w:trHeight w:val="216"/>
        </w:trPr>
        <w:tc>
          <w:tcPr>
            <w:tcW w:w="2460" w:type="dxa"/>
            <w:vAlign w:val="bottom"/>
          </w:tcPr>
          <w:p>
            <w:pPr>
              <w:ind w:left="20"/>
              <w:spacing w:after="0"/>
              <w:rPr>
                <w:sz w:val="20"/>
                <w:szCs w:val="20"/>
                <w:color w:val="auto"/>
              </w:rPr>
            </w:pPr>
            <w:r>
              <w:rPr>
                <w:rFonts w:ascii="Arial" w:cs="Arial" w:eastAsia="Arial" w:hAnsi="Arial"/>
                <w:sz w:val="14"/>
                <w:szCs w:val="14"/>
                <w:color w:val="auto"/>
              </w:rPr>
              <w:t>Due to unconsolidated affiliate</w:t>
            </w:r>
          </w:p>
        </w:tc>
        <w:tc>
          <w:tcPr>
            <w:tcW w:w="260" w:type="dxa"/>
            <w:vAlign w:val="bottom"/>
          </w:tcPr>
          <w:p>
            <w:pPr>
              <w:spacing w:after="0"/>
              <w:rPr>
                <w:sz w:val="18"/>
                <w:szCs w:val="18"/>
                <w:color w:val="auto"/>
              </w:rPr>
            </w:pPr>
          </w:p>
        </w:tc>
        <w:tc>
          <w:tcPr>
            <w:tcW w:w="66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8"/>
                <w:szCs w:val="18"/>
                <w:color w:val="auto"/>
              </w:rPr>
            </w:pPr>
          </w:p>
        </w:tc>
        <w:tc>
          <w:tcPr>
            <w:tcW w:w="600" w:type="dxa"/>
            <w:vAlign w:val="bottom"/>
          </w:tcPr>
          <w:p>
            <w:pPr>
              <w:jc w:val="right"/>
              <w:ind w:right="88"/>
              <w:spacing w:after="0"/>
              <w:rPr>
                <w:sz w:val="20"/>
                <w:szCs w:val="20"/>
                <w:color w:val="auto"/>
              </w:rPr>
            </w:pPr>
            <w:r>
              <w:rPr>
                <w:rFonts w:ascii="Arial" w:cs="Arial" w:eastAsia="Arial" w:hAnsi="Arial"/>
                <w:sz w:val="14"/>
                <w:szCs w:val="14"/>
                <w:color w:val="auto"/>
              </w:rPr>
              <w:t>102</w:t>
            </w:r>
          </w:p>
        </w:tc>
        <w:tc>
          <w:tcPr>
            <w:tcW w:w="340" w:type="dxa"/>
            <w:vAlign w:val="bottom"/>
          </w:tcPr>
          <w:p>
            <w:pPr>
              <w:spacing w:after="0"/>
              <w:rPr>
                <w:sz w:val="18"/>
                <w:szCs w:val="18"/>
                <w:color w:val="auto"/>
              </w:rPr>
            </w:pPr>
          </w:p>
        </w:tc>
        <w:tc>
          <w:tcPr>
            <w:tcW w:w="60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8"/>
                <w:szCs w:val="18"/>
                <w:color w:val="auto"/>
              </w:rPr>
            </w:pPr>
          </w:p>
        </w:tc>
        <w:tc>
          <w:tcPr>
            <w:tcW w:w="76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102</w:t>
            </w:r>
          </w:p>
        </w:tc>
      </w:tr>
      <w:tr>
        <w:trPr>
          <w:trHeight w:val="216"/>
        </w:trPr>
        <w:tc>
          <w:tcPr>
            <w:tcW w:w="2460" w:type="dxa"/>
            <w:vAlign w:val="bottom"/>
          </w:tcPr>
          <w:p>
            <w:pPr>
              <w:ind w:left="20"/>
              <w:spacing w:after="0"/>
              <w:rPr>
                <w:sz w:val="20"/>
                <w:szCs w:val="20"/>
                <w:color w:val="auto"/>
              </w:rPr>
            </w:pPr>
            <w:r>
              <w:rPr>
                <w:rFonts w:ascii="Arial" w:cs="Arial" w:eastAsia="Arial" w:hAnsi="Arial"/>
                <w:sz w:val="14"/>
                <w:szCs w:val="14"/>
                <w:color w:val="auto"/>
              </w:rPr>
              <w:t>Operating leases</w:t>
            </w:r>
          </w:p>
        </w:tc>
        <w:tc>
          <w:tcPr>
            <w:tcW w:w="260" w:type="dxa"/>
            <w:vAlign w:val="bottom"/>
          </w:tcPr>
          <w:p>
            <w:pPr>
              <w:spacing w:after="0"/>
              <w:rPr>
                <w:sz w:val="18"/>
                <w:szCs w:val="18"/>
                <w:color w:val="auto"/>
              </w:rPr>
            </w:pPr>
          </w:p>
        </w:tc>
        <w:tc>
          <w:tcPr>
            <w:tcW w:w="660" w:type="dxa"/>
            <w:vAlign w:val="bottom"/>
          </w:tcPr>
          <w:p>
            <w:pPr>
              <w:jc w:val="right"/>
              <w:ind w:right="128"/>
              <w:spacing w:after="0"/>
              <w:rPr>
                <w:sz w:val="20"/>
                <w:szCs w:val="20"/>
                <w:color w:val="auto"/>
              </w:rPr>
            </w:pPr>
            <w:r>
              <w:rPr>
                <w:rFonts w:ascii="Arial" w:cs="Arial" w:eastAsia="Arial" w:hAnsi="Arial"/>
                <w:sz w:val="14"/>
                <w:szCs w:val="14"/>
                <w:color w:val="auto"/>
              </w:rPr>
              <w:t>99</w:t>
            </w:r>
          </w:p>
        </w:tc>
        <w:tc>
          <w:tcPr>
            <w:tcW w:w="360" w:type="dxa"/>
            <w:vAlign w:val="bottom"/>
          </w:tcPr>
          <w:p>
            <w:pPr>
              <w:spacing w:after="0"/>
              <w:rPr>
                <w:sz w:val="18"/>
                <w:szCs w:val="18"/>
                <w:color w:val="auto"/>
              </w:rPr>
            </w:pPr>
          </w:p>
        </w:tc>
        <w:tc>
          <w:tcPr>
            <w:tcW w:w="600" w:type="dxa"/>
            <w:vAlign w:val="bottom"/>
          </w:tcPr>
          <w:p>
            <w:pPr>
              <w:jc w:val="right"/>
              <w:ind w:right="88"/>
              <w:spacing w:after="0"/>
              <w:rPr>
                <w:sz w:val="20"/>
                <w:szCs w:val="20"/>
                <w:color w:val="auto"/>
              </w:rPr>
            </w:pPr>
            <w:r>
              <w:rPr>
                <w:rFonts w:ascii="Arial" w:cs="Arial" w:eastAsia="Arial" w:hAnsi="Arial"/>
                <w:sz w:val="14"/>
                <w:szCs w:val="14"/>
                <w:color w:val="auto"/>
              </w:rPr>
              <w:t>181</w:t>
            </w:r>
          </w:p>
        </w:tc>
        <w:tc>
          <w:tcPr>
            <w:tcW w:w="340" w:type="dxa"/>
            <w:vAlign w:val="bottom"/>
          </w:tcPr>
          <w:p>
            <w:pPr>
              <w:spacing w:after="0"/>
              <w:rPr>
                <w:sz w:val="18"/>
                <w:szCs w:val="18"/>
                <w:color w:val="auto"/>
              </w:rPr>
            </w:pPr>
          </w:p>
        </w:tc>
        <w:tc>
          <w:tcPr>
            <w:tcW w:w="600" w:type="dxa"/>
            <w:vAlign w:val="bottom"/>
          </w:tcPr>
          <w:p>
            <w:pPr>
              <w:jc w:val="right"/>
              <w:ind w:right="88"/>
              <w:spacing w:after="0"/>
              <w:rPr>
                <w:sz w:val="20"/>
                <w:szCs w:val="20"/>
                <w:color w:val="auto"/>
              </w:rPr>
            </w:pPr>
            <w:r>
              <w:rPr>
                <w:rFonts w:ascii="Arial" w:cs="Arial" w:eastAsia="Arial" w:hAnsi="Arial"/>
                <w:sz w:val="14"/>
                <w:szCs w:val="14"/>
                <w:color w:val="auto"/>
              </w:rPr>
              <w:t>93</w:t>
            </w:r>
          </w:p>
        </w:tc>
        <w:tc>
          <w:tcPr>
            <w:tcW w:w="260" w:type="dxa"/>
            <w:vAlign w:val="bottom"/>
          </w:tcPr>
          <w:p>
            <w:pPr>
              <w:spacing w:after="0"/>
              <w:rPr>
                <w:sz w:val="18"/>
                <w:szCs w:val="18"/>
                <w:color w:val="auto"/>
              </w:rPr>
            </w:pPr>
          </w:p>
        </w:tc>
        <w:tc>
          <w:tcPr>
            <w:tcW w:w="760" w:type="dxa"/>
            <w:vAlign w:val="bottom"/>
          </w:tcPr>
          <w:p>
            <w:pPr>
              <w:jc w:val="right"/>
              <w:ind w:right="108"/>
              <w:spacing w:after="0"/>
              <w:rPr>
                <w:sz w:val="20"/>
                <w:szCs w:val="20"/>
                <w:color w:val="auto"/>
              </w:rPr>
            </w:pPr>
            <w:r>
              <w:rPr>
                <w:rFonts w:ascii="Arial" w:cs="Arial" w:eastAsia="Arial" w:hAnsi="Arial"/>
                <w:sz w:val="14"/>
                <w:szCs w:val="14"/>
                <w:color w:val="auto"/>
              </w:rPr>
              <w:t>346</w:t>
            </w:r>
          </w:p>
        </w:tc>
        <w:tc>
          <w:tcPr>
            <w:tcW w:w="3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719</w:t>
            </w:r>
          </w:p>
        </w:tc>
      </w:tr>
      <w:tr>
        <w:trPr>
          <w:trHeight w:val="216"/>
        </w:trPr>
        <w:tc>
          <w:tcPr>
            <w:tcW w:w="2460" w:type="dxa"/>
            <w:vAlign w:val="bottom"/>
          </w:tcPr>
          <w:p>
            <w:pPr>
              <w:ind w:left="20"/>
              <w:spacing w:after="0"/>
              <w:rPr>
                <w:sz w:val="20"/>
                <w:szCs w:val="20"/>
                <w:color w:val="auto"/>
              </w:rPr>
            </w:pPr>
            <w:r>
              <w:rPr>
                <w:rFonts w:ascii="Arial" w:cs="Arial" w:eastAsia="Arial" w:hAnsi="Arial"/>
                <w:sz w:val="14"/>
                <w:szCs w:val="14"/>
                <w:color w:val="auto"/>
              </w:rPr>
              <w:t>Litigation settlements</w:t>
            </w:r>
          </w:p>
        </w:tc>
        <w:tc>
          <w:tcPr>
            <w:tcW w:w="260" w:type="dxa"/>
            <w:vAlign w:val="bottom"/>
          </w:tcPr>
          <w:p>
            <w:pPr>
              <w:spacing w:after="0"/>
              <w:rPr>
                <w:sz w:val="18"/>
                <w:szCs w:val="18"/>
                <w:color w:val="auto"/>
              </w:rPr>
            </w:pPr>
          </w:p>
        </w:tc>
        <w:tc>
          <w:tcPr>
            <w:tcW w:w="660" w:type="dxa"/>
            <w:vAlign w:val="bottom"/>
          </w:tcPr>
          <w:p>
            <w:pPr>
              <w:jc w:val="right"/>
              <w:ind w:right="128"/>
              <w:spacing w:after="0"/>
              <w:rPr>
                <w:sz w:val="20"/>
                <w:szCs w:val="20"/>
                <w:color w:val="auto"/>
              </w:rPr>
            </w:pPr>
            <w:r>
              <w:rPr>
                <w:rFonts w:ascii="Arial" w:cs="Arial" w:eastAsia="Arial" w:hAnsi="Arial"/>
                <w:sz w:val="14"/>
                <w:szCs w:val="14"/>
                <w:color w:val="auto"/>
              </w:rPr>
              <w:t>28</w:t>
            </w:r>
          </w:p>
        </w:tc>
        <w:tc>
          <w:tcPr>
            <w:tcW w:w="360" w:type="dxa"/>
            <w:vAlign w:val="bottom"/>
          </w:tcPr>
          <w:p>
            <w:pPr>
              <w:spacing w:after="0"/>
              <w:rPr>
                <w:sz w:val="18"/>
                <w:szCs w:val="18"/>
                <w:color w:val="auto"/>
              </w:rPr>
            </w:pPr>
          </w:p>
        </w:tc>
        <w:tc>
          <w:tcPr>
            <w:tcW w:w="600" w:type="dxa"/>
            <w:vAlign w:val="bottom"/>
          </w:tcPr>
          <w:p>
            <w:pPr>
              <w:jc w:val="right"/>
              <w:ind w:right="88"/>
              <w:spacing w:after="0"/>
              <w:rPr>
                <w:sz w:val="20"/>
                <w:szCs w:val="20"/>
                <w:color w:val="auto"/>
              </w:rPr>
            </w:pPr>
            <w:r>
              <w:rPr>
                <w:rFonts w:ascii="Arial" w:cs="Arial" w:eastAsia="Arial" w:hAnsi="Arial"/>
                <w:sz w:val="14"/>
                <w:szCs w:val="14"/>
                <w:color w:val="auto"/>
              </w:rPr>
              <w:t>55</w:t>
            </w:r>
          </w:p>
        </w:tc>
        <w:tc>
          <w:tcPr>
            <w:tcW w:w="340" w:type="dxa"/>
            <w:vAlign w:val="bottom"/>
          </w:tcPr>
          <w:p>
            <w:pPr>
              <w:spacing w:after="0"/>
              <w:rPr>
                <w:sz w:val="18"/>
                <w:szCs w:val="18"/>
                <w:color w:val="auto"/>
              </w:rPr>
            </w:pPr>
          </w:p>
        </w:tc>
        <w:tc>
          <w:tcPr>
            <w:tcW w:w="600" w:type="dxa"/>
            <w:vAlign w:val="bottom"/>
          </w:tcPr>
          <w:p>
            <w:pPr>
              <w:jc w:val="right"/>
              <w:ind w:right="88"/>
              <w:spacing w:after="0"/>
              <w:rPr>
                <w:sz w:val="20"/>
                <w:szCs w:val="20"/>
                <w:color w:val="auto"/>
              </w:rPr>
            </w:pPr>
            <w:r>
              <w:rPr>
                <w:rFonts w:ascii="Arial" w:cs="Arial" w:eastAsia="Arial" w:hAnsi="Arial"/>
                <w:sz w:val="14"/>
                <w:szCs w:val="14"/>
                <w:color w:val="auto"/>
              </w:rPr>
              <w:t>49</w:t>
            </w:r>
          </w:p>
        </w:tc>
        <w:tc>
          <w:tcPr>
            <w:tcW w:w="260" w:type="dxa"/>
            <w:vAlign w:val="bottom"/>
          </w:tcPr>
          <w:p>
            <w:pPr>
              <w:spacing w:after="0"/>
              <w:rPr>
                <w:sz w:val="18"/>
                <w:szCs w:val="18"/>
                <w:color w:val="auto"/>
              </w:rPr>
            </w:pPr>
          </w:p>
        </w:tc>
        <w:tc>
          <w:tcPr>
            <w:tcW w:w="760" w:type="dxa"/>
            <w:vAlign w:val="bottom"/>
          </w:tcPr>
          <w:p>
            <w:pPr>
              <w:jc w:val="right"/>
              <w:ind w:right="108"/>
              <w:spacing w:after="0"/>
              <w:rPr>
                <w:sz w:val="20"/>
                <w:szCs w:val="20"/>
                <w:color w:val="auto"/>
              </w:rPr>
            </w:pPr>
            <w:r>
              <w:rPr>
                <w:rFonts w:ascii="Arial" w:cs="Arial" w:eastAsia="Arial" w:hAnsi="Arial"/>
                <w:sz w:val="14"/>
                <w:szCs w:val="14"/>
                <w:color w:val="auto"/>
              </w:rPr>
              <w:t>49</w:t>
            </w:r>
          </w:p>
        </w:tc>
        <w:tc>
          <w:tcPr>
            <w:tcW w:w="3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181</w:t>
            </w:r>
          </w:p>
        </w:tc>
      </w:tr>
      <w:tr>
        <w:trPr>
          <w:trHeight w:val="216"/>
        </w:trPr>
        <w:tc>
          <w:tcPr>
            <w:tcW w:w="2460" w:type="dxa"/>
            <w:vAlign w:val="bottom"/>
          </w:tcPr>
          <w:p>
            <w:pPr>
              <w:ind w:left="20"/>
              <w:spacing w:after="0"/>
              <w:rPr>
                <w:sz w:val="20"/>
                <w:szCs w:val="20"/>
                <w:color w:val="auto"/>
              </w:rPr>
            </w:pPr>
            <w:r>
              <w:rPr>
                <w:rFonts w:ascii="Arial" w:cs="Arial" w:eastAsia="Arial" w:hAnsi="Arial"/>
                <w:sz w:val="14"/>
                <w:szCs w:val="14"/>
                <w:color w:val="auto"/>
              </w:rPr>
              <w:t>Purchased-power contracts</w:t>
            </w:r>
          </w:p>
        </w:tc>
        <w:tc>
          <w:tcPr>
            <w:tcW w:w="260" w:type="dxa"/>
            <w:vAlign w:val="bottom"/>
          </w:tcPr>
          <w:p>
            <w:pPr>
              <w:spacing w:after="0"/>
              <w:rPr>
                <w:sz w:val="18"/>
                <w:szCs w:val="18"/>
                <w:color w:val="auto"/>
              </w:rPr>
            </w:pPr>
          </w:p>
        </w:tc>
        <w:tc>
          <w:tcPr>
            <w:tcW w:w="660" w:type="dxa"/>
            <w:vAlign w:val="bottom"/>
          </w:tcPr>
          <w:p>
            <w:pPr>
              <w:jc w:val="right"/>
              <w:ind w:right="128"/>
              <w:spacing w:after="0"/>
              <w:rPr>
                <w:sz w:val="20"/>
                <w:szCs w:val="20"/>
                <w:color w:val="auto"/>
              </w:rPr>
            </w:pPr>
            <w:r>
              <w:rPr>
                <w:rFonts w:ascii="Arial" w:cs="Arial" w:eastAsia="Arial" w:hAnsi="Arial"/>
                <w:sz w:val="14"/>
                <w:szCs w:val="14"/>
                <w:color w:val="auto"/>
              </w:rPr>
              <w:t>342</w:t>
            </w:r>
          </w:p>
        </w:tc>
        <w:tc>
          <w:tcPr>
            <w:tcW w:w="360" w:type="dxa"/>
            <w:vAlign w:val="bottom"/>
          </w:tcPr>
          <w:p>
            <w:pPr>
              <w:spacing w:after="0"/>
              <w:rPr>
                <w:sz w:val="18"/>
                <w:szCs w:val="18"/>
                <w:color w:val="auto"/>
              </w:rPr>
            </w:pPr>
          </w:p>
        </w:tc>
        <w:tc>
          <w:tcPr>
            <w:tcW w:w="600" w:type="dxa"/>
            <w:vAlign w:val="bottom"/>
          </w:tcPr>
          <w:p>
            <w:pPr>
              <w:jc w:val="right"/>
              <w:ind w:right="88"/>
              <w:spacing w:after="0"/>
              <w:rPr>
                <w:sz w:val="20"/>
                <w:szCs w:val="20"/>
                <w:color w:val="auto"/>
              </w:rPr>
            </w:pPr>
            <w:r>
              <w:rPr>
                <w:rFonts w:ascii="Arial" w:cs="Arial" w:eastAsia="Arial" w:hAnsi="Arial"/>
                <w:sz w:val="14"/>
                <w:szCs w:val="14"/>
                <w:color w:val="auto"/>
              </w:rPr>
              <w:t>501</w:t>
            </w:r>
          </w:p>
        </w:tc>
        <w:tc>
          <w:tcPr>
            <w:tcW w:w="340" w:type="dxa"/>
            <w:vAlign w:val="bottom"/>
          </w:tcPr>
          <w:p>
            <w:pPr>
              <w:spacing w:after="0"/>
              <w:rPr>
                <w:sz w:val="18"/>
                <w:szCs w:val="18"/>
                <w:color w:val="auto"/>
              </w:rPr>
            </w:pPr>
          </w:p>
        </w:tc>
        <w:tc>
          <w:tcPr>
            <w:tcW w:w="600" w:type="dxa"/>
            <w:vAlign w:val="bottom"/>
          </w:tcPr>
          <w:p>
            <w:pPr>
              <w:jc w:val="right"/>
              <w:ind w:right="88"/>
              <w:spacing w:after="0"/>
              <w:rPr>
                <w:sz w:val="20"/>
                <w:szCs w:val="20"/>
                <w:color w:val="auto"/>
              </w:rPr>
            </w:pPr>
            <w:r>
              <w:rPr>
                <w:rFonts w:ascii="Arial" w:cs="Arial" w:eastAsia="Arial" w:hAnsi="Arial"/>
                <w:sz w:val="14"/>
                <w:szCs w:val="14"/>
                <w:color w:val="auto"/>
              </w:rPr>
              <w:t>495</w:t>
            </w:r>
          </w:p>
        </w:tc>
        <w:tc>
          <w:tcPr>
            <w:tcW w:w="260" w:type="dxa"/>
            <w:vAlign w:val="bottom"/>
          </w:tcPr>
          <w:p>
            <w:pPr>
              <w:spacing w:after="0"/>
              <w:rPr>
                <w:sz w:val="18"/>
                <w:szCs w:val="18"/>
                <w:color w:val="auto"/>
              </w:rPr>
            </w:pPr>
          </w:p>
        </w:tc>
        <w:tc>
          <w:tcPr>
            <w:tcW w:w="760" w:type="dxa"/>
            <w:vAlign w:val="bottom"/>
          </w:tcPr>
          <w:p>
            <w:pPr>
              <w:jc w:val="right"/>
              <w:ind w:right="108"/>
              <w:spacing w:after="0"/>
              <w:rPr>
                <w:sz w:val="20"/>
                <w:szCs w:val="20"/>
                <w:color w:val="auto"/>
              </w:rPr>
            </w:pPr>
            <w:r>
              <w:rPr>
                <w:rFonts w:ascii="Arial" w:cs="Arial" w:eastAsia="Arial" w:hAnsi="Arial"/>
                <w:sz w:val="14"/>
                <w:szCs w:val="14"/>
                <w:color w:val="auto"/>
              </w:rPr>
              <w:t>1,676</w:t>
            </w:r>
          </w:p>
        </w:tc>
        <w:tc>
          <w:tcPr>
            <w:tcW w:w="3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3,014</w:t>
            </w:r>
          </w:p>
        </w:tc>
      </w:tr>
      <w:tr>
        <w:trPr>
          <w:trHeight w:val="216"/>
        </w:trPr>
        <w:tc>
          <w:tcPr>
            <w:tcW w:w="2460" w:type="dxa"/>
            <w:vAlign w:val="bottom"/>
          </w:tcPr>
          <w:p>
            <w:pPr>
              <w:ind w:left="20"/>
              <w:spacing w:after="0"/>
              <w:rPr>
                <w:sz w:val="20"/>
                <w:szCs w:val="20"/>
                <w:color w:val="auto"/>
              </w:rPr>
            </w:pPr>
            <w:r>
              <w:rPr>
                <w:rFonts w:ascii="Arial" w:cs="Arial" w:eastAsia="Arial" w:hAnsi="Arial"/>
                <w:sz w:val="14"/>
                <w:szCs w:val="14"/>
                <w:color w:val="auto"/>
              </w:rPr>
              <w:t>Natural gas contracts</w:t>
            </w:r>
          </w:p>
        </w:tc>
        <w:tc>
          <w:tcPr>
            <w:tcW w:w="260" w:type="dxa"/>
            <w:vAlign w:val="bottom"/>
          </w:tcPr>
          <w:p>
            <w:pPr>
              <w:spacing w:after="0"/>
              <w:rPr>
                <w:sz w:val="18"/>
                <w:szCs w:val="18"/>
                <w:color w:val="auto"/>
              </w:rPr>
            </w:pPr>
          </w:p>
        </w:tc>
        <w:tc>
          <w:tcPr>
            <w:tcW w:w="660" w:type="dxa"/>
            <w:vAlign w:val="bottom"/>
          </w:tcPr>
          <w:p>
            <w:pPr>
              <w:jc w:val="right"/>
              <w:ind w:right="128"/>
              <w:spacing w:after="0"/>
              <w:rPr>
                <w:sz w:val="20"/>
                <w:szCs w:val="20"/>
                <w:color w:val="auto"/>
              </w:rPr>
            </w:pPr>
            <w:r>
              <w:rPr>
                <w:rFonts w:ascii="Arial" w:cs="Arial" w:eastAsia="Arial" w:hAnsi="Arial"/>
                <w:sz w:val="14"/>
                <w:szCs w:val="14"/>
                <w:color w:val="auto"/>
              </w:rPr>
              <w:t>1,265</w:t>
            </w:r>
          </w:p>
        </w:tc>
        <w:tc>
          <w:tcPr>
            <w:tcW w:w="360" w:type="dxa"/>
            <w:vAlign w:val="bottom"/>
          </w:tcPr>
          <w:p>
            <w:pPr>
              <w:spacing w:after="0"/>
              <w:rPr>
                <w:sz w:val="18"/>
                <w:szCs w:val="18"/>
                <w:color w:val="auto"/>
              </w:rPr>
            </w:pPr>
          </w:p>
        </w:tc>
        <w:tc>
          <w:tcPr>
            <w:tcW w:w="600" w:type="dxa"/>
            <w:vAlign w:val="bottom"/>
          </w:tcPr>
          <w:p>
            <w:pPr>
              <w:jc w:val="right"/>
              <w:ind w:right="88"/>
              <w:spacing w:after="0"/>
              <w:rPr>
                <w:sz w:val="20"/>
                <w:szCs w:val="20"/>
                <w:color w:val="auto"/>
              </w:rPr>
            </w:pPr>
            <w:r>
              <w:rPr>
                <w:rFonts w:ascii="Arial" w:cs="Arial" w:eastAsia="Arial" w:hAnsi="Arial"/>
                <w:sz w:val="14"/>
                <w:szCs w:val="14"/>
                <w:color w:val="auto"/>
              </w:rPr>
              <w:t>876</w:t>
            </w:r>
          </w:p>
        </w:tc>
        <w:tc>
          <w:tcPr>
            <w:tcW w:w="340" w:type="dxa"/>
            <w:vAlign w:val="bottom"/>
          </w:tcPr>
          <w:p>
            <w:pPr>
              <w:spacing w:after="0"/>
              <w:rPr>
                <w:sz w:val="18"/>
                <w:szCs w:val="18"/>
                <w:color w:val="auto"/>
              </w:rPr>
            </w:pPr>
          </w:p>
        </w:tc>
        <w:tc>
          <w:tcPr>
            <w:tcW w:w="600" w:type="dxa"/>
            <w:vAlign w:val="bottom"/>
          </w:tcPr>
          <w:p>
            <w:pPr>
              <w:jc w:val="right"/>
              <w:ind w:right="88"/>
              <w:spacing w:after="0"/>
              <w:rPr>
                <w:sz w:val="20"/>
                <w:szCs w:val="20"/>
                <w:color w:val="auto"/>
              </w:rPr>
            </w:pPr>
            <w:r>
              <w:rPr>
                <w:rFonts w:ascii="Arial" w:cs="Arial" w:eastAsia="Arial" w:hAnsi="Arial"/>
                <w:sz w:val="14"/>
                <w:szCs w:val="14"/>
                <w:color w:val="auto"/>
              </w:rPr>
              <w:t>95</w:t>
            </w:r>
          </w:p>
        </w:tc>
        <w:tc>
          <w:tcPr>
            <w:tcW w:w="260" w:type="dxa"/>
            <w:vAlign w:val="bottom"/>
          </w:tcPr>
          <w:p>
            <w:pPr>
              <w:spacing w:after="0"/>
              <w:rPr>
                <w:sz w:val="18"/>
                <w:szCs w:val="18"/>
                <w:color w:val="auto"/>
              </w:rPr>
            </w:pPr>
          </w:p>
        </w:tc>
        <w:tc>
          <w:tcPr>
            <w:tcW w:w="760" w:type="dxa"/>
            <w:vAlign w:val="bottom"/>
          </w:tcPr>
          <w:p>
            <w:pPr>
              <w:jc w:val="right"/>
              <w:ind w:right="108"/>
              <w:spacing w:after="0"/>
              <w:rPr>
                <w:sz w:val="20"/>
                <w:szCs w:val="20"/>
                <w:color w:val="auto"/>
              </w:rPr>
            </w:pPr>
            <w:r>
              <w:rPr>
                <w:rFonts w:ascii="Arial" w:cs="Arial" w:eastAsia="Arial" w:hAnsi="Arial"/>
                <w:sz w:val="14"/>
                <w:szCs w:val="14"/>
                <w:color w:val="auto"/>
              </w:rPr>
              <w:t>211</w:t>
            </w:r>
          </w:p>
        </w:tc>
        <w:tc>
          <w:tcPr>
            <w:tcW w:w="3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2,447</w:t>
            </w:r>
          </w:p>
        </w:tc>
      </w:tr>
      <w:tr>
        <w:trPr>
          <w:trHeight w:val="216"/>
        </w:trPr>
        <w:tc>
          <w:tcPr>
            <w:tcW w:w="2460" w:type="dxa"/>
            <w:vAlign w:val="bottom"/>
          </w:tcPr>
          <w:p>
            <w:pPr>
              <w:ind w:left="20"/>
              <w:spacing w:after="0"/>
              <w:rPr>
                <w:sz w:val="20"/>
                <w:szCs w:val="20"/>
                <w:color w:val="auto"/>
              </w:rPr>
            </w:pPr>
            <w:r>
              <w:rPr>
                <w:rFonts w:ascii="Arial" w:cs="Arial" w:eastAsia="Arial" w:hAnsi="Arial"/>
                <w:sz w:val="14"/>
                <w:szCs w:val="14"/>
                <w:color w:val="auto"/>
              </w:rPr>
              <w:t>LNG contract (2)</w:t>
            </w:r>
          </w:p>
        </w:tc>
        <w:tc>
          <w:tcPr>
            <w:tcW w:w="260" w:type="dxa"/>
            <w:vAlign w:val="bottom"/>
          </w:tcPr>
          <w:p>
            <w:pPr>
              <w:spacing w:after="0"/>
              <w:rPr>
                <w:sz w:val="18"/>
                <w:szCs w:val="18"/>
                <w:color w:val="auto"/>
              </w:rPr>
            </w:pPr>
          </w:p>
        </w:tc>
        <w:tc>
          <w:tcPr>
            <w:tcW w:w="660" w:type="dxa"/>
            <w:vAlign w:val="bottom"/>
          </w:tcPr>
          <w:p>
            <w:pPr>
              <w:jc w:val="right"/>
              <w:ind w:right="128"/>
              <w:spacing w:after="0"/>
              <w:rPr>
                <w:sz w:val="20"/>
                <w:szCs w:val="20"/>
                <w:color w:val="auto"/>
              </w:rPr>
            </w:pPr>
            <w:r>
              <w:rPr>
                <w:rFonts w:ascii="Arial" w:cs="Arial" w:eastAsia="Arial" w:hAnsi="Arial"/>
                <w:sz w:val="14"/>
                <w:szCs w:val="14"/>
                <w:color w:val="auto"/>
              </w:rPr>
              <w:t>366</w:t>
            </w:r>
          </w:p>
        </w:tc>
        <w:tc>
          <w:tcPr>
            <w:tcW w:w="360" w:type="dxa"/>
            <w:vAlign w:val="bottom"/>
          </w:tcPr>
          <w:p>
            <w:pPr>
              <w:spacing w:after="0"/>
              <w:rPr>
                <w:sz w:val="18"/>
                <w:szCs w:val="18"/>
                <w:color w:val="auto"/>
              </w:rPr>
            </w:pPr>
          </w:p>
        </w:tc>
        <w:tc>
          <w:tcPr>
            <w:tcW w:w="600" w:type="dxa"/>
            <w:vAlign w:val="bottom"/>
          </w:tcPr>
          <w:p>
            <w:pPr>
              <w:jc w:val="right"/>
              <w:ind w:right="88"/>
              <w:spacing w:after="0"/>
              <w:rPr>
                <w:sz w:val="20"/>
                <w:szCs w:val="20"/>
                <w:color w:val="auto"/>
              </w:rPr>
            </w:pPr>
            <w:r>
              <w:rPr>
                <w:rFonts w:ascii="Arial" w:cs="Arial" w:eastAsia="Arial" w:hAnsi="Arial"/>
                <w:sz w:val="14"/>
                <w:szCs w:val="14"/>
                <w:color w:val="auto"/>
              </w:rPr>
              <w:t>2,157</w:t>
            </w:r>
          </w:p>
        </w:tc>
        <w:tc>
          <w:tcPr>
            <w:tcW w:w="340" w:type="dxa"/>
            <w:vAlign w:val="bottom"/>
          </w:tcPr>
          <w:p>
            <w:pPr>
              <w:spacing w:after="0"/>
              <w:rPr>
                <w:sz w:val="18"/>
                <w:szCs w:val="18"/>
                <w:color w:val="auto"/>
              </w:rPr>
            </w:pPr>
          </w:p>
        </w:tc>
        <w:tc>
          <w:tcPr>
            <w:tcW w:w="600" w:type="dxa"/>
            <w:vAlign w:val="bottom"/>
          </w:tcPr>
          <w:p>
            <w:pPr>
              <w:jc w:val="right"/>
              <w:ind w:right="88"/>
              <w:spacing w:after="0"/>
              <w:rPr>
                <w:sz w:val="20"/>
                <w:szCs w:val="20"/>
                <w:color w:val="auto"/>
              </w:rPr>
            </w:pPr>
            <w:r>
              <w:rPr>
                <w:rFonts w:ascii="Arial" w:cs="Arial" w:eastAsia="Arial" w:hAnsi="Arial"/>
                <w:sz w:val="14"/>
                <w:szCs w:val="14"/>
                <w:color w:val="auto"/>
              </w:rPr>
              <w:t>2,154</w:t>
            </w:r>
          </w:p>
        </w:tc>
        <w:tc>
          <w:tcPr>
            <w:tcW w:w="260" w:type="dxa"/>
            <w:vAlign w:val="bottom"/>
          </w:tcPr>
          <w:p>
            <w:pPr>
              <w:spacing w:after="0"/>
              <w:rPr>
                <w:sz w:val="18"/>
                <w:szCs w:val="18"/>
                <w:color w:val="auto"/>
              </w:rPr>
            </w:pPr>
          </w:p>
        </w:tc>
        <w:tc>
          <w:tcPr>
            <w:tcW w:w="760" w:type="dxa"/>
            <w:vAlign w:val="bottom"/>
          </w:tcPr>
          <w:p>
            <w:pPr>
              <w:jc w:val="right"/>
              <w:ind w:right="108"/>
              <w:spacing w:after="0"/>
              <w:rPr>
                <w:sz w:val="20"/>
                <w:szCs w:val="20"/>
                <w:color w:val="auto"/>
              </w:rPr>
            </w:pPr>
            <w:r>
              <w:rPr>
                <w:rFonts w:ascii="Arial" w:cs="Arial" w:eastAsia="Arial" w:hAnsi="Arial"/>
                <w:sz w:val="14"/>
                <w:szCs w:val="14"/>
                <w:color w:val="auto"/>
              </w:rPr>
              <w:t>17,933</w:t>
            </w:r>
          </w:p>
        </w:tc>
        <w:tc>
          <w:tcPr>
            <w:tcW w:w="3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22,610</w:t>
            </w:r>
          </w:p>
        </w:tc>
      </w:tr>
      <w:tr>
        <w:trPr>
          <w:trHeight w:val="216"/>
        </w:trPr>
        <w:tc>
          <w:tcPr>
            <w:tcW w:w="2460" w:type="dxa"/>
            <w:vAlign w:val="bottom"/>
          </w:tcPr>
          <w:p>
            <w:pPr>
              <w:ind w:left="20"/>
              <w:spacing w:after="0"/>
              <w:rPr>
                <w:sz w:val="20"/>
                <w:szCs w:val="20"/>
                <w:color w:val="auto"/>
              </w:rPr>
            </w:pPr>
            <w:r>
              <w:rPr>
                <w:rFonts w:ascii="Arial" w:cs="Arial" w:eastAsia="Arial" w:hAnsi="Arial"/>
                <w:sz w:val="14"/>
                <w:szCs w:val="14"/>
                <w:color w:val="auto"/>
              </w:rPr>
              <w:t>Construction commitments</w:t>
            </w:r>
          </w:p>
        </w:tc>
        <w:tc>
          <w:tcPr>
            <w:tcW w:w="260" w:type="dxa"/>
            <w:vAlign w:val="bottom"/>
          </w:tcPr>
          <w:p>
            <w:pPr>
              <w:spacing w:after="0"/>
              <w:rPr>
                <w:sz w:val="18"/>
                <w:szCs w:val="18"/>
                <w:color w:val="auto"/>
              </w:rPr>
            </w:pPr>
          </w:p>
        </w:tc>
        <w:tc>
          <w:tcPr>
            <w:tcW w:w="660" w:type="dxa"/>
            <w:vAlign w:val="bottom"/>
          </w:tcPr>
          <w:p>
            <w:pPr>
              <w:jc w:val="right"/>
              <w:ind w:right="128"/>
              <w:spacing w:after="0"/>
              <w:rPr>
                <w:sz w:val="20"/>
                <w:szCs w:val="20"/>
                <w:color w:val="auto"/>
              </w:rPr>
            </w:pPr>
            <w:r>
              <w:rPr>
                <w:rFonts w:ascii="Arial" w:cs="Arial" w:eastAsia="Arial" w:hAnsi="Arial"/>
                <w:sz w:val="14"/>
                <w:szCs w:val="14"/>
                <w:color w:val="auto"/>
              </w:rPr>
              <w:t>322</w:t>
            </w:r>
          </w:p>
        </w:tc>
        <w:tc>
          <w:tcPr>
            <w:tcW w:w="360" w:type="dxa"/>
            <w:vAlign w:val="bottom"/>
          </w:tcPr>
          <w:p>
            <w:pPr>
              <w:spacing w:after="0"/>
              <w:rPr>
                <w:sz w:val="18"/>
                <w:szCs w:val="18"/>
                <w:color w:val="auto"/>
              </w:rPr>
            </w:pPr>
          </w:p>
        </w:tc>
        <w:tc>
          <w:tcPr>
            <w:tcW w:w="600" w:type="dxa"/>
            <w:vAlign w:val="bottom"/>
          </w:tcPr>
          <w:p>
            <w:pPr>
              <w:jc w:val="right"/>
              <w:ind w:right="88"/>
              <w:spacing w:after="0"/>
              <w:rPr>
                <w:sz w:val="20"/>
                <w:szCs w:val="20"/>
                <w:color w:val="auto"/>
              </w:rPr>
            </w:pPr>
            <w:r>
              <w:rPr>
                <w:rFonts w:ascii="Arial" w:cs="Arial" w:eastAsia="Arial" w:hAnsi="Arial"/>
                <w:sz w:val="14"/>
                <w:szCs w:val="14"/>
                <w:color w:val="auto"/>
              </w:rPr>
              <w:t>251</w:t>
            </w:r>
          </w:p>
        </w:tc>
        <w:tc>
          <w:tcPr>
            <w:tcW w:w="340" w:type="dxa"/>
            <w:vAlign w:val="bottom"/>
          </w:tcPr>
          <w:p>
            <w:pPr>
              <w:spacing w:after="0"/>
              <w:rPr>
                <w:sz w:val="18"/>
                <w:szCs w:val="18"/>
                <w:color w:val="auto"/>
              </w:rPr>
            </w:pPr>
          </w:p>
        </w:tc>
        <w:tc>
          <w:tcPr>
            <w:tcW w:w="60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8"/>
                <w:szCs w:val="18"/>
                <w:color w:val="auto"/>
              </w:rPr>
            </w:pPr>
          </w:p>
        </w:tc>
        <w:tc>
          <w:tcPr>
            <w:tcW w:w="76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573</w:t>
            </w:r>
          </w:p>
        </w:tc>
      </w:tr>
      <w:tr>
        <w:trPr>
          <w:trHeight w:val="216"/>
        </w:trPr>
        <w:tc>
          <w:tcPr>
            <w:tcW w:w="2460" w:type="dxa"/>
            <w:vAlign w:val="bottom"/>
          </w:tcPr>
          <w:p>
            <w:pPr>
              <w:ind w:left="20"/>
              <w:spacing w:after="0"/>
              <w:rPr>
                <w:sz w:val="20"/>
                <w:szCs w:val="20"/>
                <w:color w:val="auto"/>
              </w:rPr>
            </w:pPr>
            <w:r>
              <w:rPr>
                <w:rFonts w:ascii="Arial" w:cs="Arial" w:eastAsia="Arial" w:hAnsi="Arial"/>
                <w:sz w:val="14"/>
                <w:szCs w:val="14"/>
                <w:color w:val="auto"/>
              </w:rPr>
              <w:t>SONGS decommissioning</w:t>
            </w:r>
          </w:p>
        </w:tc>
        <w:tc>
          <w:tcPr>
            <w:tcW w:w="260" w:type="dxa"/>
            <w:vAlign w:val="bottom"/>
          </w:tcPr>
          <w:p>
            <w:pPr>
              <w:spacing w:after="0"/>
              <w:rPr>
                <w:sz w:val="18"/>
                <w:szCs w:val="18"/>
                <w:color w:val="auto"/>
              </w:rPr>
            </w:pPr>
          </w:p>
        </w:tc>
        <w:tc>
          <w:tcPr>
            <w:tcW w:w="66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8"/>
                <w:szCs w:val="18"/>
                <w:color w:val="auto"/>
              </w:rPr>
            </w:pPr>
          </w:p>
        </w:tc>
        <w:tc>
          <w:tcPr>
            <w:tcW w:w="60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8"/>
                <w:szCs w:val="18"/>
                <w:color w:val="auto"/>
              </w:rPr>
            </w:pPr>
          </w:p>
        </w:tc>
        <w:tc>
          <w:tcPr>
            <w:tcW w:w="60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8"/>
                <w:szCs w:val="18"/>
                <w:color w:val="auto"/>
              </w:rPr>
            </w:pPr>
          </w:p>
        </w:tc>
        <w:tc>
          <w:tcPr>
            <w:tcW w:w="760" w:type="dxa"/>
            <w:vAlign w:val="bottom"/>
          </w:tcPr>
          <w:p>
            <w:pPr>
              <w:jc w:val="right"/>
              <w:ind w:right="108"/>
              <w:spacing w:after="0"/>
              <w:rPr>
                <w:sz w:val="20"/>
                <w:szCs w:val="20"/>
                <w:color w:val="auto"/>
              </w:rPr>
            </w:pPr>
            <w:r>
              <w:rPr>
                <w:rFonts w:ascii="Arial" w:cs="Arial" w:eastAsia="Arial" w:hAnsi="Arial"/>
                <w:sz w:val="14"/>
                <w:szCs w:val="14"/>
                <w:color w:val="auto"/>
              </w:rPr>
              <w:t>445</w:t>
            </w:r>
          </w:p>
        </w:tc>
        <w:tc>
          <w:tcPr>
            <w:tcW w:w="3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445</w:t>
            </w:r>
          </w:p>
        </w:tc>
      </w:tr>
      <w:tr>
        <w:trPr>
          <w:trHeight w:val="216"/>
        </w:trPr>
        <w:tc>
          <w:tcPr>
            <w:tcW w:w="2460" w:type="dxa"/>
            <w:vAlign w:val="bottom"/>
          </w:tcPr>
          <w:p>
            <w:pPr>
              <w:ind w:left="20"/>
              <w:spacing w:after="0"/>
              <w:rPr>
                <w:sz w:val="20"/>
                <w:szCs w:val="20"/>
                <w:color w:val="auto"/>
              </w:rPr>
            </w:pPr>
            <w:r>
              <w:rPr>
                <w:rFonts w:ascii="Arial" w:cs="Arial" w:eastAsia="Arial" w:hAnsi="Arial"/>
                <w:sz w:val="14"/>
                <w:szCs w:val="14"/>
                <w:color w:val="auto"/>
              </w:rPr>
              <w:t>Other asset retirement obligations</w:t>
            </w:r>
          </w:p>
        </w:tc>
        <w:tc>
          <w:tcPr>
            <w:tcW w:w="260" w:type="dxa"/>
            <w:vAlign w:val="bottom"/>
          </w:tcPr>
          <w:p>
            <w:pPr>
              <w:spacing w:after="0"/>
              <w:rPr>
                <w:sz w:val="18"/>
                <w:szCs w:val="18"/>
                <w:color w:val="auto"/>
              </w:rPr>
            </w:pPr>
          </w:p>
        </w:tc>
        <w:tc>
          <w:tcPr>
            <w:tcW w:w="660" w:type="dxa"/>
            <w:vAlign w:val="bottom"/>
          </w:tcPr>
          <w:p>
            <w:pPr>
              <w:jc w:val="right"/>
              <w:ind w:right="128"/>
              <w:spacing w:after="0"/>
              <w:rPr>
                <w:sz w:val="20"/>
                <w:szCs w:val="20"/>
                <w:color w:val="auto"/>
              </w:rPr>
            </w:pPr>
            <w:r>
              <w:rPr>
                <w:rFonts w:ascii="Arial" w:cs="Arial" w:eastAsia="Arial" w:hAnsi="Arial"/>
                <w:sz w:val="14"/>
                <w:szCs w:val="14"/>
                <w:color w:val="auto"/>
              </w:rPr>
              <w:t>17</w:t>
            </w:r>
          </w:p>
        </w:tc>
        <w:tc>
          <w:tcPr>
            <w:tcW w:w="360" w:type="dxa"/>
            <w:vAlign w:val="bottom"/>
          </w:tcPr>
          <w:p>
            <w:pPr>
              <w:spacing w:after="0"/>
              <w:rPr>
                <w:sz w:val="18"/>
                <w:szCs w:val="18"/>
                <w:color w:val="auto"/>
              </w:rPr>
            </w:pPr>
          </w:p>
        </w:tc>
        <w:tc>
          <w:tcPr>
            <w:tcW w:w="600" w:type="dxa"/>
            <w:vAlign w:val="bottom"/>
          </w:tcPr>
          <w:p>
            <w:pPr>
              <w:jc w:val="right"/>
              <w:ind w:right="88"/>
              <w:spacing w:after="0"/>
              <w:rPr>
                <w:sz w:val="20"/>
                <w:szCs w:val="20"/>
                <w:color w:val="auto"/>
              </w:rPr>
            </w:pPr>
            <w:r>
              <w:rPr>
                <w:rFonts w:ascii="Arial" w:cs="Arial" w:eastAsia="Arial" w:hAnsi="Arial"/>
                <w:sz w:val="14"/>
                <w:szCs w:val="14"/>
                <w:color w:val="auto"/>
              </w:rPr>
              <w:t>33</w:t>
            </w:r>
          </w:p>
        </w:tc>
        <w:tc>
          <w:tcPr>
            <w:tcW w:w="340" w:type="dxa"/>
            <w:vAlign w:val="bottom"/>
          </w:tcPr>
          <w:p>
            <w:pPr>
              <w:spacing w:after="0"/>
              <w:rPr>
                <w:sz w:val="18"/>
                <w:szCs w:val="18"/>
                <w:color w:val="auto"/>
              </w:rPr>
            </w:pPr>
          </w:p>
        </w:tc>
        <w:tc>
          <w:tcPr>
            <w:tcW w:w="600" w:type="dxa"/>
            <w:vAlign w:val="bottom"/>
          </w:tcPr>
          <w:p>
            <w:pPr>
              <w:jc w:val="right"/>
              <w:ind w:right="88"/>
              <w:spacing w:after="0"/>
              <w:rPr>
                <w:sz w:val="20"/>
                <w:szCs w:val="20"/>
                <w:color w:val="auto"/>
              </w:rPr>
            </w:pPr>
            <w:r>
              <w:rPr>
                <w:rFonts w:ascii="Arial" w:cs="Arial" w:eastAsia="Arial" w:hAnsi="Arial"/>
                <w:sz w:val="14"/>
                <w:szCs w:val="14"/>
                <w:color w:val="auto"/>
              </w:rPr>
              <w:t>35</w:t>
            </w:r>
          </w:p>
        </w:tc>
        <w:tc>
          <w:tcPr>
            <w:tcW w:w="260" w:type="dxa"/>
            <w:vAlign w:val="bottom"/>
          </w:tcPr>
          <w:p>
            <w:pPr>
              <w:spacing w:after="0"/>
              <w:rPr>
                <w:sz w:val="18"/>
                <w:szCs w:val="18"/>
                <w:color w:val="auto"/>
              </w:rPr>
            </w:pPr>
          </w:p>
        </w:tc>
        <w:tc>
          <w:tcPr>
            <w:tcW w:w="760" w:type="dxa"/>
            <w:vAlign w:val="bottom"/>
          </w:tcPr>
          <w:p>
            <w:pPr>
              <w:jc w:val="right"/>
              <w:ind w:right="108"/>
              <w:spacing w:after="0"/>
              <w:rPr>
                <w:sz w:val="20"/>
                <w:szCs w:val="20"/>
                <w:color w:val="auto"/>
              </w:rPr>
            </w:pPr>
            <w:r>
              <w:rPr>
                <w:rFonts w:ascii="Arial" w:cs="Arial" w:eastAsia="Arial" w:hAnsi="Arial"/>
                <w:sz w:val="14"/>
                <w:szCs w:val="14"/>
                <w:color w:val="auto"/>
              </w:rPr>
              <w:t>647</w:t>
            </w:r>
          </w:p>
        </w:tc>
        <w:tc>
          <w:tcPr>
            <w:tcW w:w="3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732</w:t>
            </w:r>
          </w:p>
        </w:tc>
      </w:tr>
      <w:tr>
        <w:trPr>
          <w:trHeight w:val="188"/>
        </w:trPr>
        <w:tc>
          <w:tcPr>
            <w:tcW w:w="2460" w:type="dxa"/>
            <w:vAlign w:val="bottom"/>
          </w:tcPr>
          <w:p>
            <w:pPr>
              <w:ind w:left="20"/>
              <w:spacing w:after="0"/>
              <w:rPr>
                <w:sz w:val="20"/>
                <w:szCs w:val="20"/>
                <w:color w:val="auto"/>
              </w:rPr>
            </w:pPr>
            <w:r>
              <w:rPr>
                <w:rFonts w:ascii="Arial" w:cs="Arial" w:eastAsia="Arial" w:hAnsi="Arial"/>
                <w:sz w:val="14"/>
                <w:szCs w:val="14"/>
                <w:color w:val="auto"/>
              </w:rPr>
              <w:t>Pension and postretirement benefit</w:t>
            </w:r>
          </w:p>
        </w:tc>
        <w:tc>
          <w:tcPr>
            <w:tcW w:w="2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40" w:type="dxa"/>
            <w:vAlign w:val="bottom"/>
          </w:tcPr>
          <w:p>
            <w:pPr>
              <w:spacing w:after="0"/>
              <w:rPr>
                <w:sz w:val="16"/>
                <w:szCs w:val="16"/>
                <w:color w:val="auto"/>
              </w:rPr>
            </w:pPr>
          </w:p>
        </w:tc>
      </w:tr>
      <w:tr>
        <w:trPr>
          <w:trHeight w:val="172"/>
        </w:trPr>
        <w:tc>
          <w:tcPr>
            <w:tcW w:w="2460" w:type="dxa"/>
            <w:vAlign w:val="bottom"/>
          </w:tcPr>
          <w:p>
            <w:pPr>
              <w:ind w:left="180"/>
              <w:spacing w:after="0"/>
              <w:rPr>
                <w:sz w:val="20"/>
                <w:szCs w:val="20"/>
                <w:color w:val="auto"/>
              </w:rPr>
            </w:pPr>
            <w:r>
              <w:rPr>
                <w:rFonts w:ascii="Arial" w:cs="Arial" w:eastAsia="Arial" w:hAnsi="Arial"/>
                <w:sz w:val="14"/>
                <w:szCs w:val="14"/>
                <w:color w:val="auto"/>
              </w:rPr>
              <w:t>obligations (3)</w:t>
            </w:r>
          </w:p>
        </w:tc>
        <w:tc>
          <w:tcPr>
            <w:tcW w:w="260" w:type="dxa"/>
            <w:vAlign w:val="bottom"/>
          </w:tcPr>
          <w:p>
            <w:pPr>
              <w:spacing w:after="0"/>
              <w:rPr>
                <w:sz w:val="14"/>
                <w:szCs w:val="14"/>
                <w:color w:val="auto"/>
              </w:rPr>
            </w:pPr>
          </w:p>
        </w:tc>
        <w:tc>
          <w:tcPr>
            <w:tcW w:w="660" w:type="dxa"/>
            <w:vAlign w:val="bottom"/>
          </w:tcPr>
          <w:p>
            <w:pPr>
              <w:jc w:val="right"/>
              <w:ind w:right="128"/>
              <w:spacing w:after="0"/>
              <w:rPr>
                <w:sz w:val="20"/>
                <w:szCs w:val="20"/>
                <w:color w:val="auto"/>
              </w:rPr>
            </w:pPr>
            <w:r>
              <w:rPr>
                <w:rFonts w:ascii="Arial" w:cs="Arial" w:eastAsia="Arial" w:hAnsi="Arial"/>
                <w:sz w:val="14"/>
                <w:szCs w:val="14"/>
                <w:color w:val="auto"/>
              </w:rPr>
              <w:t>211</w:t>
            </w:r>
          </w:p>
        </w:tc>
        <w:tc>
          <w:tcPr>
            <w:tcW w:w="360" w:type="dxa"/>
            <w:vAlign w:val="bottom"/>
          </w:tcPr>
          <w:p>
            <w:pPr>
              <w:spacing w:after="0"/>
              <w:rPr>
                <w:sz w:val="14"/>
                <w:szCs w:val="14"/>
                <w:color w:val="auto"/>
              </w:rPr>
            </w:pPr>
          </w:p>
        </w:tc>
        <w:tc>
          <w:tcPr>
            <w:tcW w:w="600" w:type="dxa"/>
            <w:vAlign w:val="bottom"/>
          </w:tcPr>
          <w:p>
            <w:pPr>
              <w:jc w:val="right"/>
              <w:ind w:right="88"/>
              <w:spacing w:after="0"/>
              <w:rPr>
                <w:sz w:val="20"/>
                <w:szCs w:val="20"/>
                <w:color w:val="auto"/>
              </w:rPr>
            </w:pPr>
            <w:r>
              <w:rPr>
                <w:rFonts w:ascii="Arial" w:cs="Arial" w:eastAsia="Arial" w:hAnsi="Arial"/>
                <w:sz w:val="14"/>
                <w:szCs w:val="14"/>
                <w:color w:val="auto"/>
              </w:rPr>
              <w:t>562</w:t>
            </w:r>
          </w:p>
        </w:tc>
        <w:tc>
          <w:tcPr>
            <w:tcW w:w="340" w:type="dxa"/>
            <w:vAlign w:val="bottom"/>
          </w:tcPr>
          <w:p>
            <w:pPr>
              <w:spacing w:after="0"/>
              <w:rPr>
                <w:sz w:val="14"/>
                <w:szCs w:val="14"/>
                <w:color w:val="auto"/>
              </w:rPr>
            </w:pPr>
          </w:p>
        </w:tc>
        <w:tc>
          <w:tcPr>
            <w:tcW w:w="600" w:type="dxa"/>
            <w:vAlign w:val="bottom"/>
          </w:tcPr>
          <w:p>
            <w:pPr>
              <w:jc w:val="right"/>
              <w:ind w:right="88"/>
              <w:spacing w:after="0"/>
              <w:rPr>
                <w:sz w:val="20"/>
                <w:szCs w:val="20"/>
                <w:color w:val="auto"/>
              </w:rPr>
            </w:pPr>
            <w:r>
              <w:rPr>
                <w:rFonts w:ascii="Arial" w:cs="Arial" w:eastAsia="Arial" w:hAnsi="Arial"/>
                <w:sz w:val="14"/>
                <w:szCs w:val="14"/>
                <w:color w:val="auto"/>
              </w:rPr>
              <w:t>603</w:t>
            </w:r>
          </w:p>
        </w:tc>
        <w:tc>
          <w:tcPr>
            <w:tcW w:w="260" w:type="dxa"/>
            <w:vAlign w:val="bottom"/>
          </w:tcPr>
          <w:p>
            <w:pPr>
              <w:spacing w:after="0"/>
              <w:rPr>
                <w:sz w:val="14"/>
                <w:szCs w:val="14"/>
                <w:color w:val="auto"/>
              </w:rPr>
            </w:pPr>
          </w:p>
        </w:tc>
        <w:tc>
          <w:tcPr>
            <w:tcW w:w="760" w:type="dxa"/>
            <w:vAlign w:val="bottom"/>
          </w:tcPr>
          <w:p>
            <w:pPr>
              <w:jc w:val="right"/>
              <w:ind w:right="108"/>
              <w:spacing w:after="0"/>
              <w:rPr>
                <w:sz w:val="20"/>
                <w:szCs w:val="20"/>
                <w:color w:val="auto"/>
              </w:rPr>
            </w:pPr>
            <w:r>
              <w:rPr>
                <w:rFonts w:ascii="Arial" w:cs="Arial" w:eastAsia="Arial" w:hAnsi="Arial"/>
                <w:sz w:val="14"/>
                <w:szCs w:val="14"/>
                <w:color w:val="auto"/>
              </w:rPr>
              <w:t>1,274</w:t>
            </w:r>
          </w:p>
        </w:tc>
        <w:tc>
          <w:tcPr>
            <w:tcW w:w="3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2,650</w:t>
            </w:r>
          </w:p>
        </w:tc>
      </w:tr>
      <w:tr>
        <w:trPr>
          <w:trHeight w:val="216"/>
        </w:trPr>
        <w:tc>
          <w:tcPr>
            <w:tcW w:w="2460" w:type="dxa"/>
            <w:vAlign w:val="bottom"/>
          </w:tcPr>
          <w:p>
            <w:pPr>
              <w:ind w:left="20"/>
              <w:spacing w:after="0"/>
              <w:rPr>
                <w:sz w:val="20"/>
                <w:szCs w:val="20"/>
                <w:color w:val="auto"/>
              </w:rPr>
            </w:pPr>
            <w:r>
              <w:rPr>
                <w:rFonts w:ascii="Arial" w:cs="Arial" w:eastAsia="Arial" w:hAnsi="Arial"/>
                <w:sz w:val="14"/>
                <w:szCs w:val="14"/>
                <w:color w:val="auto"/>
              </w:rPr>
              <w:t>Environmental commitments</w:t>
            </w:r>
          </w:p>
        </w:tc>
        <w:tc>
          <w:tcPr>
            <w:tcW w:w="260" w:type="dxa"/>
            <w:vAlign w:val="bottom"/>
          </w:tcPr>
          <w:p>
            <w:pPr>
              <w:spacing w:after="0"/>
              <w:rPr>
                <w:sz w:val="18"/>
                <w:szCs w:val="18"/>
                <w:color w:val="auto"/>
              </w:rPr>
            </w:pPr>
          </w:p>
        </w:tc>
        <w:tc>
          <w:tcPr>
            <w:tcW w:w="660" w:type="dxa"/>
            <w:vAlign w:val="bottom"/>
          </w:tcPr>
          <w:p>
            <w:pPr>
              <w:jc w:val="right"/>
              <w:ind w:right="128"/>
              <w:spacing w:after="0"/>
              <w:rPr>
                <w:sz w:val="20"/>
                <w:szCs w:val="20"/>
                <w:color w:val="auto"/>
              </w:rPr>
            </w:pPr>
            <w:r>
              <w:rPr>
                <w:rFonts w:ascii="Arial" w:cs="Arial" w:eastAsia="Arial" w:hAnsi="Arial"/>
                <w:sz w:val="14"/>
                <w:szCs w:val="14"/>
                <w:color w:val="auto"/>
              </w:rPr>
              <w:t>26</w:t>
            </w:r>
          </w:p>
        </w:tc>
        <w:tc>
          <w:tcPr>
            <w:tcW w:w="360" w:type="dxa"/>
            <w:vAlign w:val="bottom"/>
          </w:tcPr>
          <w:p>
            <w:pPr>
              <w:spacing w:after="0"/>
              <w:rPr>
                <w:sz w:val="18"/>
                <w:szCs w:val="18"/>
                <w:color w:val="auto"/>
              </w:rPr>
            </w:pPr>
          </w:p>
        </w:tc>
        <w:tc>
          <w:tcPr>
            <w:tcW w:w="600" w:type="dxa"/>
            <w:vAlign w:val="bottom"/>
          </w:tcPr>
          <w:p>
            <w:pPr>
              <w:jc w:val="right"/>
              <w:ind w:right="88"/>
              <w:spacing w:after="0"/>
              <w:rPr>
                <w:sz w:val="20"/>
                <w:szCs w:val="20"/>
                <w:color w:val="auto"/>
              </w:rPr>
            </w:pPr>
            <w:r>
              <w:rPr>
                <w:rFonts w:ascii="Arial" w:cs="Arial" w:eastAsia="Arial" w:hAnsi="Arial"/>
                <w:sz w:val="14"/>
                <w:szCs w:val="14"/>
                <w:color w:val="auto"/>
              </w:rPr>
              <w:t>24</w:t>
            </w:r>
          </w:p>
        </w:tc>
        <w:tc>
          <w:tcPr>
            <w:tcW w:w="340" w:type="dxa"/>
            <w:vAlign w:val="bottom"/>
          </w:tcPr>
          <w:p>
            <w:pPr>
              <w:spacing w:after="0"/>
              <w:rPr>
                <w:sz w:val="18"/>
                <w:szCs w:val="18"/>
                <w:color w:val="auto"/>
              </w:rPr>
            </w:pPr>
          </w:p>
        </w:tc>
        <w:tc>
          <w:tcPr>
            <w:tcW w:w="600" w:type="dxa"/>
            <w:vAlign w:val="bottom"/>
          </w:tcPr>
          <w:p>
            <w:pPr>
              <w:jc w:val="right"/>
              <w:ind w:right="88"/>
              <w:spacing w:after="0"/>
              <w:rPr>
                <w:sz w:val="20"/>
                <w:szCs w:val="20"/>
                <w:color w:val="auto"/>
              </w:rPr>
            </w:pPr>
            <w:r>
              <w:rPr>
                <w:rFonts w:ascii="Arial" w:cs="Arial" w:eastAsia="Arial" w:hAnsi="Arial"/>
                <w:sz w:val="14"/>
                <w:szCs w:val="14"/>
                <w:color w:val="auto"/>
              </w:rPr>
              <w:t>4</w:t>
            </w:r>
          </w:p>
        </w:tc>
        <w:tc>
          <w:tcPr>
            <w:tcW w:w="260" w:type="dxa"/>
            <w:vAlign w:val="bottom"/>
          </w:tcPr>
          <w:p>
            <w:pPr>
              <w:spacing w:after="0"/>
              <w:rPr>
                <w:sz w:val="18"/>
                <w:szCs w:val="18"/>
                <w:color w:val="auto"/>
              </w:rPr>
            </w:pPr>
          </w:p>
        </w:tc>
        <w:tc>
          <w:tcPr>
            <w:tcW w:w="760" w:type="dxa"/>
            <w:vAlign w:val="bottom"/>
          </w:tcPr>
          <w:p>
            <w:pPr>
              <w:jc w:val="right"/>
              <w:ind w:right="108"/>
              <w:spacing w:after="0"/>
              <w:rPr>
                <w:sz w:val="20"/>
                <w:szCs w:val="20"/>
                <w:color w:val="auto"/>
              </w:rPr>
            </w:pPr>
            <w:r>
              <w:rPr>
                <w:rFonts w:ascii="Arial" w:cs="Arial" w:eastAsia="Arial" w:hAnsi="Arial"/>
                <w:sz w:val="14"/>
                <w:szCs w:val="14"/>
                <w:color w:val="auto"/>
              </w:rPr>
              <w:t>14</w:t>
            </w:r>
          </w:p>
        </w:tc>
        <w:tc>
          <w:tcPr>
            <w:tcW w:w="3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68</w:t>
            </w:r>
          </w:p>
        </w:tc>
      </w:tr>
      <w:tr>
        <w:trPr>
          <w:trHeight w:val="222"/>
        </w:trPr>
        <w:tc>
          <w:tcPr>
            <w:tcW w:w="2460" w:type="dxa"/>
            <w:vAlign w:val="bottom"/>
          </w:tcPr>
          <w:p>
            <w:pPr>
              <w:ind w:left="20"/>
              <w:spacing w:after="0"/>
              <w:rPr>
                <w:sz w:val="20"/>
                <w:szCs w:val="20"/>
                <w:color w:val="auto"/>
              </w:rPr>
            </w:pPr>
            <w:r>
              <w:rPr>
                <w:rFonts w:ascii="Arial" w:cs="Arial" w:eastAsia="Arial" w:hAnsi="Arial"/>
                <w:sz w:val="14"/>
                <w:szCs w:val="14"/>
                <w:color w:val="auto"/>
              </w:rPr>
              <w:t>Other</w:t>
            </w:r>
          </w:p>
        </w:tc>
        <w:tc>
          <w:tcPr>
            <w:tcW w:w="2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9</w:t>
            </w:r>
          </w:p>
        </w:tc>
        <w:tc>
          <w:tcPr>
            <w:tcW w:w="3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21</w:t>
            </w:r>
          </w:p>
        </w:tc>
        <w:tc>
          <w:tcPr>
            <w:tcW w:w="3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8</w:t>
            </w:r>
          </w:p>
        </w:tc>
        <w:tc>
          <w:tcPr>
            <w:tcW w:w="2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41</w:t>
            </w:r>
          </w:p>
        </w:tc>
        <w:tc>
          <w:tcPr>
            <w:tcW w:w="3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79</w:t>
            </w:r>
          </w:p>
        </w:tc>
      </w:tr>
      <w:tr>
        <w:trPr>
          <w:trHeight w:val="224"/>
        </w:trPr>
        <w:tc>
          <w:tcPr>
            <w:tcW w:w="24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Totals</w:t>
            </w:r>
          </w:p>
        </w:tc>
        <w:tc>
          <w:tcPr>
            <w:tcW w:w="2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3,954</w:t>
            </w:r>
          </w:p>
        </w:tc>
        <w:tc>
          <w:tcPr>
            <w:tcW w:w="36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6,212</w:t>
            </w:r>
          </w:p>
        </w:tc>
        <w:tc>
          <w:tcPr>
            <w:tcW w:w="34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5,076</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29,806</w:t>
            </w:r>
          </w:p>
        </w:tc>
        <w:tc>
          <w:tcPr>
            <w:tcW w:w="3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45,048</w:t>
            </w:r>
          </w:p>
        </w:tc>
      </w:tr>
    </w:tbl>
    <w:p>
      <w:pPr>
        <w:spacing w:after="0" w:line="4" w:lineRule="exact"/>
        <w:rPr>
          <w:sz w:val="20"/>
          <w:szCs w:val="20"/>
          <w:color w:val="auto"/>
        </w:rPr>
      </w:pPr>
    </w:p>
    <w:p>
      <w:pPr>
        <w:ind w:left="2400" w:right="1960" w:hanging="248"/>
        <w:spacing w:after="0" w:line="263" w:lineRule="auto"/>
        <w:tabs>
          <w:tab w:leader="none" w:pos="2400" w:val="left"/>
        </w:tabs>
        <w:numPr>
          <w:ilvl w:val="0"/>
          <w:numId w:val="295"/>
        </w:numPr>
        <w:rPr>
          <w:rFonts w:ascii="Arial" w:cs="Arial" w:eastAsia="Arial" w:hAnsi="Arial"/>
          <w:sz w:val="13"/>
          <w:szCs w:val="13"/>
          <w:i w:val="1"/>
          <w:iCs w:val="1"/>
          <w:color w:val="auto"/>
        </w:rPr>
      </w:pPr>
      <w:r>
        <w:rPr>
          <w:rFonts w:ascii="Arial" w:cs="Arial" w:eastAsia="Arial" w:hAnsi="Arial"/>
          <w:sz w:val="13"/>
          <w:szCs w:val="13"/>
          <w:i w:val="1"/>
          <w:iCs w:val="1"/>
          <w:color w:val="auto"/>
        </w:rPr>
        <w:t>We calculate expected interest payments using the stated interest rate for fixed-rate obligations, including floating-to-fixed interest-rate swaps. We calculate expected interest payments for variable-rate obligations based on forward rates in effect at December 31, 2008, including fixed-to-floating interest-rate swaps.</w:t>
      </w:r>
    </w:p>
    <w:p>
      <w:pPr>
        <w:spacing w:after="0" w:line="1" w:lineRule="exact"/>
        <w:rPr>
          <w:rFonts w:ascii="Arial" w:cs="Arial" w:eastAsia="Arial" w:hAnsi="Arial"/>
          <w:sz w:val="13"/>
          <w:szCs w:val="13"/>
          <w:i w:val="1"/>
          <w:iCs w:val="1"/>
          <w:color w:val="auto"/>
        </w:rPr>
      </w:pPr>
    </w:p>
    <w:p>
      <w:pPr>
        <w:ind w:left="2400" w:right="2020" w:hanging="248"/>
        <w:spacing w:after="0" w:line="255" w:lineRule="auto"/>
        <w:tabs>
          <w:tab w:leader="none" w:pos="2400" w:val="left"/>
        </w:tabs>
        <w:numPr>
          <w:ilvl w:val="0"/>
          <w:numId w:val="295"/>
        </w:numPr>
        <w:rPr>
          <w:rFonts w:ascii="Arial" w:cs="Arial" w:eastAsia="Arial" w:hAnsi="Arial"/>
          <w:sz w:val="13"/>
          <w:szCs w:val="13"/>
          <w:i w:val="1"/>
          <w:iCs w:val="1"/>
          <w:color w:val="auto"/>
        </w:rPr>
      </w:pPr>
      <w:r>
        <w:rPr>
          <w:rFonts w:ascii="Arial" w:cs="Arial" w:eastAsia="Arial" w:hAnsi="Arial"/>
          <w:sz w:val="13"/>
          <w:szCs w:val="13"/>
          <w:i w:val="1"/>
          <w:iCs w:val="1"/>
          <w:color w:val="auto"/>
        </w:rPr>
        <w:t>Sempra LNG has a purchase agreement with Tangguh PSC Contractors (Tangguh PSC) for the supply of 500 million cubic feet of natural gas per day from Indonesia’s Tangguh liquefaction facility to Sempra LNG’s Energía Costa Azul regasification terminal at a price based on the Southern California border index. The expected minimum payments under the contract are based on forward prices of the Southern California border index plus an estimated 1 percent escalation per year. Sempra LNG has a contract to sell a portion of the volumes purchased from Tangguh PSC to Mexico’s national electric company, Comisión Federal de Electricidad (CFE) at prices that are based on the Southern California border index for natural gas.</w:t>
      </w:r>
    </w:p>
    <w:p>
      <w:pPr>
        <w:spacing w:after="0" w:line="5" w:lineRule="exact"/>
        <w:rPr>
          <w:rFonts w:ascii="Arial" w:cs="Arial" w:eastAsia="Arial" w:hAnsi="Arial"/>
          <w:sz w:val="13"/>
          <w:szCs w:val="13"/>
          <w:i w:val="1"/>
          <w:iCs w:val="1"/>
          <w:color w:val="auto"/>
        </w:rPr>
      </w:pPr>
    </w:p>
    <w:p>
      <w:pPr>
        <w:ind w:left="2400" w:right="2220" w:hanging="248"/>
        <w:spacing w:after="0" w:line="277" w:lineRule="auto"/>
        <w:tabs>
          <w:tab w:leader="none" w:pos="2400" w:val="left"/>
        </w:tabs>
        <w:numPr>
          <w:ilvl w:val="0"/>
          <w:numId w:val="295"/>
        </w:numPr>
        <w:rPr>
          <w:rFonts w:ascii="Arial" w:cs="Arial" w:eastAsia="Arial" w:hAnsi="Arial"/>
          <w:sz w:val="13"/>
          <w:szCs w:val="13"/>
          <w:i w:val="1"/>
          <w:iCs w:val="1"/>
          <w:color w:val="auto"/>
        </w:rPr>
      </w:pPr>
      <w:r>
        <w:rPr>
          <w:rFonts w:ascii="Arial" w:cs="Arial" w:eastAsia="Arial" w:hAnsi="Arial"/>
          <w:sz w:val="13"/>
          <w:szCs w:val="13"/>
          <w:i w:val="1"/>
          <w:iCs w:val="1"/>
          <w:color w:val="auto"/>
        </w:rPr>
        <w:t>Amounts are after reduction for the Medicare Part D subsidy and only include expected payments to the plans for the next 10 years.</w:t>
      </w: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Arial" w:cs="Arial" w:eastAsia="Arial" w:hAnsi="Arial"/>
          <w:sz w:val="14"/>
          <w:szCs w:val="14"/>
          <w:color w:val="auto"/>
        </w:rPr>
        <w:t>39</w:t>
      </w:r>
    </w:p>
    <w:p>
      <w:pPr>
        <w:sectPr>
          <w:pgSz w:w="11900" w:h="16838" w:orient="portrait"/>
          <w:cols w:equalWidth="0" w:num="1">
            <w:col w:w="11220"/>
          </w:cols>
          <w:pgMar w:left="240" w:top="395" w:right="439" w:bottom="1440" w:gutter="0" w:footer="0" w:header="0"/>
        </w:sectPr>
      </w:pPr>
    </w:p>
    <w:bookmarkStart w:id="179" w:name="page180"/>
    <w:bookmarkEnd w:id="179"/>
    <w:p>
      <w:pPr>
        <w:ind w:left="2220"/>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1553210</wp:posOffset>
            </wp:positionH>
            <wp:positionV relativeFrom="page">
              <wp:posOffset>226060</wp:posOffset>
            </wp:positionV>
            <wp:extent cx="4454525" cy="2667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4454525" cy="266700"/>
                    </a:xfrm>
                    <a:prstGeom prst="rect">
                      <a:avLst/>
                    </a:prstGeom>
                    <a:noFill/>
                  </pic:spPr>
                </pic:pic>
              </a:graphicData>
            </a:graphic>
          </wp:anchor>
        </w:drawing>
        <w:t>PRINCIPAL CONTRACTUAL COMMITMENTS OF SDG&amp;E</w:t>
      </w:r>
    </w:p>
    <w:p>
      <w:pPr>
        <w:spacing w:after="0" w:line="76" w:lineRule="exact"/>
        <w:rPr>
          <w:sz w:val="20"/>
          <w:szCs w:val="20"/>
          <w:color w:val="auto"/>
        </w:rPr>
      </w:pPr>
    </w:p>
    <w:tbl>
      <w:tblPr>
        <w:tblLayout w:type="fixed"/>
        <w:tblInd w:w="2200" w:type="dxa"/>
        <w:tblCellMar>
          <w:top w:w="0" w:type="dxa"/>
          <w:left w:w="0" w:type="dxa"/>
          <w:bottom w:w="0" w:type="dxa"/>
          <w:right w:w="0" w:type="dxa"/>
        </w:tblCellMar>
      </w:tblPr>
      <w:tr>
        <w:trPr>
          <w:trHeight w:val="166"/>
        </w:trPr>
        <w:tc>
          <w:tcPr>
            <w:tcW w:w="2920" w:type="dxa"/>
            <w:vAlign w:val="bottom"/>
          </w:tcPr>
          <w:p>
            <w:pPr>
              <w:ind w:left="20"/>
              <w:spacing w:after="0"/>
              <w:rPr>
                <w:sz w:val="20"/>
                <w:szCs w:val="20"/>
                <w:color w:val="auto"/>
              </w:rPr>
            </w:pPr>
            <w:r>
              <w:rPr>
                <w:rFonts w:ascii="Arial" w:cs="Arial" w:eastAsia="Arial" w:hAnsi="Arial"/>
                <w:sz w:val="13"/>
                <w:szCs w:val="13"/>
                <w:i w:val="1"/>
                <w:iCs w:val="1"/>
                <w:color w:val="auto"/>
              </w:rPr>
              <w:t>(Dollars in millions)</w:t>
            </w: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60" w:type="dxa"/>
            <w:vAlign w:val="bottom"/>
          </w:tcPr>
          <w:p>
            <w:pPr>
              <w:spacing w:after="0"/>
              <w:rPr>
                <w:sz w:val="14"/>
                <w:szCs w:val="14"/>
                <w:color w:val="auto"/>
              </w:rPr>
            </w:pPr>
          </w:p>
        </w:tc>
      </w:tr>
      <w:tr>
        <w:trPr>
          <w:trHeight w:val="180"/>
        </w:trPr>
        <w:tc>
          <w:tcPr>
            <w:tcW w:w="2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20" w:type="dxa"/>
            <w:vAlign w:val="bottom"/>
          </w:tcPr>
          <w:p>
            <w:pPr>
              <w:jc w:val="right"/>
              <w:ind w:right="10"/>
              <w:spacing w:after="0"/>
              <w:rPr>
                <w:sz w:val="20"/>
                <w:szCs w:val="20"/>
                <w:color w:val="auto"/>
              </w:rPr>
            </w:pPr>
            <w:r>
              <w:rPr>
                <w:rFonts w:ascii="Arial" w:cs="Arial" w:eastAsia="Arial" w:hAnsi="Arial"/>
                <w:sz w:val="13"/>
                <w:szCs w:val="13"/>
                <w:color w:val="auto"/>
              </w:rPr>
              <w:t>2010</w:t>
            </w:r>
          </w:p>
        </w:tc>
        <w:tc>
          <w:tcPr>
            <w:tcW w:w="320" w:type="dxa"/>
            <w:vAlign w:val="bottom"/>
          </w:tcPr>
          <w:p>
            <w:pPr>
              <w:spacing w:after="0"/>
              <w:rPr>
                <w:sz w:val="15"/>
                <w:szCs w:val="15"/>
                <w:color w:val="auto"/>
              </w:rPr>
            </w:pPr>
          </w:p>
        </w:tc>
        <w:tc>
          <w:tcPr>
            <w:tcW w:w="520" w:type="dxa"/>
            <w:vAlign w:val="bottom"/>
          </w:tcPr>
          <w:p>
            <w:pPr>
              <w:jc w:val="right"/>
              <w:ind w:right="10"/>
              <w:spacing w:after="0"/>
              <w:rPr>
                <w:sz w:val="20"/>
                <w:szCs w:val="20"/>
                <w:color w:val="auto"/>
              </w:rPr>
            </w:pPr>
            <w:r>
              <w:rPr>
                <w:rFonts w:ascii="Arial" w:cs="Arial" w:eastAsia="Arial" w:hAnsi="Arial"/>
                <w:sz w:val="13"/>
                <w:szCs w:val="13"/>
                <w:color w:val="auto"/>
              </w:rPr>
              <w:t>2012</w:t>
            </w:r>
          </w:p>
        </w:tc>
        <w:tc>
          <w:tcPr>
            <w:tcW w:w="2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60" w:type="dxa"/>
            <w:vAlign w:val="bottom"/>
          </w:tcPr>
          <w:p>
            <w:pPr>
              <w:spacing w:after="0"/>
              <w:rPr>
                <w:sz w:val="15"/>
                <w:szCs w:val="15"/>
                <w:color w:val="auto"/>
              </w:rPr>
            </w:pPr>
          </w:p>
        </w:tc>
      </w:tr>
      <w:tr>
        <w:trPr>
          <w:trHeight w:val="156"/>
        </w:trPr>
        <w:tc>
          <w:tcPr>
            <w:tcW w:w="29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20" w:type="dxa"/>
            <w:vAlign w:val="bottom"/>
          </w:tcPr>
          <w:p>
            <w:pPr>
              <w:jc w:val="right"/>
              <w:ind w:right="10"/>
              <w:spacing w:after="0"/>
              <w:rPr>
                <w:sz w:val="20"/>
                <w:szCs w:val="20"/>
                <w:color w:val="auto"/>
              </w:rPr>
            </w:pPr>
            <w:r>
              <w:rPr>
                <w:rFonts w:ascii="Arial" w:cs="Arial" w:eastAsia="Arial" w:hAnsi="Arial"/>
                <w:sz w:val="13"/>
                <w:szCs w:val="13"/>
                <w:color w:val="auto"/>
              </w:rPr>
              <w:t>and</w:t>
            </w:r>
          </w:p>
        </w:tc>
        <w:tc>
          <w:tcPr>
            <w:tcW w:w="320" w:type="dxa"/>
            <w:vAlign w:val="bottom"/>
          </w:tcPr>
          <w:p>
            <w:pPr>
              <w:spacing w:after="0"/>
              <w:rPr>
                <w:sz w:val="13"/>
                <w:szCs w:val="13"/>
                <w:color w:val="auto"/>
              </w:rPr>
            </w:pPr>
          </w:p>
        </w:tc>
        <w:tc>
          <w:tcPr>
            <w:tcW w:w="520" w:type="dxa"/>
            <w:vAlign w:val="bottom"/>
          </w:tcPr>
          <w:p>
            <w:pPr>
              <w:jc w:val="right"/>
              <w:ind w:right="10"/>
              <w:spacing w:after="0"/>
              <w:rPr>
                <w:sz w:val="20"/>
                <w:szCs w:val="20"/>
                <w:color w:val="auto"/>
              </w:rPr>
            </w:pPr>
            <w:r>
              <w:rPr>
                <w:rFonts w:ascii="Arial" w:cs="Arial" w:eastAsia="Arial" w:hAnsi="Arial"/>
                <w:sz w:val="13"/>
                <w:szCs w:val="13"/>
                <w:color w:val="auto"/>
              </w:rPr>
              <w:t>and</w:t>
            </w:r>
          </w:p>
        </w:tc>
        <w:tc>
          <w:tcPr>
            <w:tcW w:w="2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60" w:type="dxa"/>
            <w:vAlign w:val="bottom"/>
          </w:tcPr>
          <w:p>
            <w:pPr>
              <w:spacing w:after="0"/>
              <w:rPr>
                <w:sz w:val="13"/>
                <w:szCs w:val="13"/>
                <w:color w:val="auto"/>
              </w:rPr>
            </w:pPr>
          </w:p>
        </w:tc>
      </w:tr>
      <w:tr>
        <w:trPr>
          <w:trHeight w:val="161"/>
        </w:trPr>
        <w:tc>
          <w:tcPr>
            <w:tcW w:w="29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29"/>
              <w:spacing w:after="0"/>
              <w:rPr>
                <w:sz w:val="20"/>
                <w:szCs w:val="20"/>
                <w:color w:val="auto"/>
              </w:rPr>
            </w:pPr>
            <w:r>
              <w:rPr>
                <w:rFonts w:ascii="Arial" w:cs="Arial" w:eastAsia="Arial" w:hAnsi="Arial"/>
                <w:sz w:val="13"/>
                <w:szCs w:val="13"/>
                <w:color w:val="auto"/>
              </w:rPr>
              <w:t>2009</w:t>
            </w:r>
          </w:p>
        </w:tc>
        <w:tc>
          <w:tcPr>
            <w:tcW w:w="2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10"/>
              <w:spacing w:after="0"/>
              <w:rPr>
                <w:sz w:val="20"/>
                <w:szCs w:val="20"/>
                <w:color w:val="auto"/>
              </w:rPr>
            </w:pPr>
            <w:r>
              <w:rPr>
                <w:rFonts w:ascii="Arial" w:cs="Arial" w:eastAsia="Arial" w:hAnsi="Arial"/>
                <w:sz w:val="13"/>
                <w:szCs w:val="13"/>
                <w:color w:val="auto"/>
              </w:rPr>
              <w:t>2011</w:t>
            </w:r>
          </w:p>
        </w:tc>
        <w:tc>
          <w:tcPr>
            <w:tcW w:w="3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10"/>
              <w:spacing w:after="0"/>
              <w:rPr>
                <w:sz w:val="20"/>
                <w:szCs w:val="20"/>
                <w:color w:val="auto"/>
              </w:rPr>
            </w:pPr>
            <w:r>
              <w:rPr>
                <w:rFonts w:ascii="Arial" w:cs="Arial" w:eastAsia="Arial" w:hAnsi="Arial"/>
                <w:sz w:val="13"/>
                <w:szCs w:val="13"/>
                <w:color w:val="auto"/>
              </w:rPr>
              <w:t>2013</w:t>
            </w:r>
          </w:p>
        </w:tc>
        <w:tc>
          <w:tcPr>
            <w:tcW w:w="2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9"/>
              <w:spacing w:after="0"/>
              <w:rPr>
                <w:sz w:val="20"/>
                <w:szCs w:val="20"/>
                <w:color w:val="auto"/>
              </w:rPr>
            </w:pPr>
            <w:r>
              <w:rPr>
                <w:rFonts w:ascii="Arial" w:cs="Arial" w:eastAsia="Arial" w:hAnsi="Arial"/>
                <w:sz w:val="13"/>
                <w:szCs w:val="13"/>
                <w:color w:val="auto"/>
              </w:rPr>
              <w:t>Thereafter</w:t>
            </w:r>
          </w:p>
        </w:tc>
        <w:tc>
          <w:tcPr>
            <w:tcW w:w="2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Total</w:t>
            </w:r>
          </w:p>
        </w:tc>
      </w:tr>
      <w:tr>
        <w:trPr>
          <w:trHeight w:val="207"/>
        </w:trPr>
        <w:tc>
          <w:tcPr>
            <w:tcW w:w="2920" w:type="dxa"/>
            <w:vAlign w:val="bottom"/>
          </w:tcPr>
          <w:p>
            <w:pPr>
              <w:ind w:left="20"/>
              <w:spacing w:after="0"/>
              <w:rPr>
                <w:sz w:val="20"/>
                <w:szCs w:val="20"/>
                <w:color w:val="auto"/>
              </w:rPr>
            </w:pPr>
            <w:r>
              <w:rPr>
                <w:rFonts w:ascii="Arial" w:cs="Arial" w:eastAsia="Arial" w:hAnsi="Arial"/>
                <w:sz w:val="14"/>
                <w:szCs w:val="14"/>
                <w:color w:val="auto"/>
              </w:rPr>
              <w:t>Long-term debt</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500" w:type="dxa"/>
            <w:vAlign w:val="bottom"/>
          </w:tcPr>
          <w:p>
            <w:pPr>
              <w:jc w:val="right"/>
              <w:ind w:right="29"/>
              <w:spacing w:after="0"/>
              <w:rPr>
                <w:sz w:val="20"/>
                <w:szCs w:val="20"/>
                <w:color w:val="auto"/>
              </w:rPr>
            </w:pPr>
            <w:r>
              <w:rPr>
                <w:rFonts w:ascii="Arial" w:cs="Arial" w:eastAsia="Arial" w:hAnsi="Arial"/>
                <w:sz w:val="14"/>
                <w:szCs w:val="14"/>
                <w:color w:val="auto"/>
              </w:rPr>
              <w:t>2</w:t>
            </w:r>
          </w:p>
        </w:tc>
        <w:tc>
          <w:tcPr>
            <w:tcW w:w="2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520" w:type="dxa"/>
            <w:vAlign w:val="bottom"/>
          </w:tcPr>
          <w:p>
            <w:pPr>
              <w:jc w:val="right"/>
              <w:ind w:right="10"/>
              <w:spacing w:after="0"/>
              <w:rPr>
                <w:sz w:val="20"/>
                <w:szCs w:val="20"/>
                <w:color w:val="auto"/>
              </w:rPr>
            </w:pPr>
            <w:r>
              <w:rPr>
                <w:rFonts w:ascii="Arial" w:cs="Arial" w:eastAsia="Arial" w:hAnsi="Arial"/>
                <w:sz w:val="14"/>
                <w:szCs w:val="14"/>
                <w:color w:val="auto"/>
              </w:rPr>
              <w:t>14</w:t>
            </w:r>
          </w:p>
        </w:tc>
        <w:tc>
          <w:tcPr>
            <w:tcW w:w="3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520" w:type="dxa"/>
            <w:vAlign w:val="bottom"/>
          </w:tcPr>
          <w:p>
            <w:pPr>
              <w:jc w:val="right"/>
              <w:ind w:right="10"/>
              <w:spacing w:after="0"/>
              <w:rPr>
                <w:sz w:val="20"/>
                <w:szCs w:val="20"/>
                <w:color w:val="auto"/>
              </w:rPr>
            </w:pPr>
            <w:r>
              <w:rPr>
                <w:rFonts w:ascii="Arial" w:cs="Arial" w:eastAsia="Arial" w:hAnsi="Arial"/>
                <w:sz w:val="14"/>
                <w:szCs w:val="14"/>
                <w:color w:val="auto"/>
              </w:rPr>
              <w:t>14</w:t>
            </w:r>
          </w:p>
        </w:tc>
        <w:tc>
          <w:tcPr>
            <w:tcW w:w="2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29"/>
              <w:spacing w:after="0"/>
              <w:rPr>
                <w:sz w:val="20"/>
                <w:szCs w:val="20"/>
                <w:color w:val="auto"/>
              </w:rPr>
            </w:pPr>
            <w:r>
              <w:rPr>
                <w:rFonts w:ascii="Arial" w:cs="Arial" w:eastAsia="Arial" w:hAnsi="Arial"/>
                <w:sz w:val="14"/>
                <w:szCs w:val="14"/>
                <w:color w:val="auto"/>
              </w:rPr>
              <w:t>2,114</w:t>
            </w:r>
          </w:p>
        </w:tc>
        <w:tc>
          <w:tcPr>
            <w:tcW w:w="2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460" w:type="dxa"/>
            <w:vAlign w:val="bottom"/>
          </w:tcPr>
          <w:p>
            <w:pPr>
              <w:jc w:val="right"/>
              <w:spacing w:after="0"/>
              <w:rPr>
                <w:sz w:val="20"/>
                <w:szCs w:val="20"/>
                <w:color w:val="auto"/>
              </w:rPr>
            </w:pPr>
            <w:r>
              <w:rPr>
                <w:rFonts w:ascii="Arial" w:cs="Arial" w:eastAsia="Arial" w:hAnsi="Arial"/>
                <w:sz w:val="14"/>
                <w:szCs w:val="14"/>
                <w:color w:val="auto"/>
              </w:rPr>
              <w:t>2,144</w:t>
            </w:r>
          </w:p>
        </w:tc>
      </w:tr>
      <w:tr>
        <w:trPr>
          <w:trHeight w:val="216"/>
        </w:trPr>
        <w:tc>
          <w:tcPr>
            <w:tcW w:w="2920" w:type="dxa"/>
            <w:vAlign w:val="bottom"/>
          </w:tcPr>
          <w:p>
            <w:pPr>
              <w:ind w:left="20"/>
              <w:spacing w:after="0"/>
              <w:rPr>
                <w:sz w:val="20"/>
                <w:szCs w:val="20"/>
                <w:color w:val="auto"/>
              </w:rPr>
            </w:pPr>
            <w:r>
              <w:rPr>
                <w:rFonts w:ascii="Arial" w:cs="Arial" w:eastAsia="Arial" w:hAnsi="Arial"/>
                <w:sz w:val="14"/>
                <w:szCs w:val="14"/>
                <w:color w:val="auto"/>
              </w:rPr>
              <w:t>Interest on debt (1)</w:t>
            </w:r>
          </w:p>
        </w:tc>
        <w:tc>
          <w:tcPr>
            <w:tcW w:w="220" w:type="dxa"/>
            <w:vAlign w:val="bottom"/>
          </w:tcPr>
          <w:p>
            <w:pPr>
              <w:spacing w:after="0"/>
              <w:rPr>
                <w:sz w:val="18"/>
                <w:szCs w:val="18"/>
                <w:color w:val="auto"/>
              </w:rPr>
            </w:pPr>
          </w:p>
        </w:tc>
        <w:tc>
          <w:tcPr>
            <w:tcW w:w="500" w:type="dxa"/>
            <w:vAlign w:val="bottom"/>
          </w:tcPr>
          <w:p>
            <w:pPr>
              <w:jc w:val="right"/>
              <w:ind w:right="29"/>
              <w:spacing w:after="0"/>
              <w:rPr>
                <w:sz w:val="20"/>
                <w:szCs w:val="20"/>
                <w:color w:val="auto"/>
              </w:rPr>
            </w:pPr>
            <w:r>
              <w:rPr>
                <w:rFonts w:ascii="Arial" w:cs="Arial" w:eastAsia="Arial" w:hAnsi="Arial"/>
                <w:sz w:val="14"/>
                <w:szCs w:val="14"/>
                <w:color w:val="auto"/>
              </w:rPr>
              <w:t>102</w:t>
            </w:r>
          </w:p>
        </w:tc>
        <w:tc>
          <w:tcPr>
            <w:tcW w:w="260" w:type="dxa"/>
            <w:vAlign w:val="bottom"/>
          </w:tcPr>
          <w:p>
            <w:pPr>
              <w:spacing w:after="0"/>
              <w:rPr>
                <w:sz w:val="18"/>
                <w:szCs w:val="18"/>
                <w:color w:val="auto"/>
              </w:rPr>
            </w:pPr>
          </w:p>
        </w:tc>
        <w:tc>
          <w:tcPr>
            <w:tcW w:w="520" w:type="dxa"/>
            <w:vAlign w:val="bottom"/>
          </w:tcPr>
          <w:p>
            <w:pPr>
              <w:jc w:val="right"/>
              <w:ind w:right="10"/>
              <w:spacing w:after="0"/>
              <w:rPr>
                <w:sz w:val="20"/>
                <w:szCs w:val="20"/>
                <w:color w:val="auto"/>
              </w:rPr>
            </w:pPr>
            <w:r>
              <w:rPr>
                <w:rFonts w:ascii="Arial" w:cs="Arial" w:eastAsia="Arial" w:hAnsi="Arial"/>
                <w:sz w:val="14"/>
                <w:szCs w:val="14"/>
                <w:color w:val="auto"/>
              </w:rPr>
              <w:t>214</w:t>
            </w:r>
          </w:p>
        </w:tc>
        <w:tc>
          <w:tcPr>
            <w:tcW w:w="320" w:type="dxa"/>
            <w:vAlign w:val="bottom"/>
          </w:tcPr>
          <w:p>
            <w:pPr>
              <w:spacing w:after="0"/>
              <w:rPr>
                <w:sz w:val="18"/>
                <w:szCs w:val="18"/>
                <w:color w:val="auto"/>
              </w:rPr>
            </w:pPr>
          </w:p>
        </w:tc>
        <w:tc>
          <w:tcPr>
            <w:tcW w:w="520" w:type="dxa"/>
            <w:vAlign w:val="bottom"/>
          </w:tcPr>
          <w:p>
            <w:pPr>
              <w:jc w:val="right"/>
              <w:ind w:right="10"/>
              <w:spacing w:after="0"/>
              <w:rPr>
                <w:sz w:val="20"/>
                <w:szCs w:val="20"/>
                <w:color w:val="auto"/>
              </w:rPr>
            </w:pPr>
            <w:r>
              <w:rPr>
                <w:rFonts w:ascii="Arial" w:cs="Arial" w:eastAsia="Arial" w:hAnsi="Arial"/>
                <w:sz w:val="14"/>
                <w:szCs w:val="14"/>
                <w:color w:val="auto"/>
              </w:rPr>
              <w:t>223</w:t>
            </w:r>
          </w:p>
        </w:tc>
        <w:tc>
          <w:tcPr>
            <w:tcW w:w="280" w:type="dxa"/>
            <w:vAlign w:val="bottom"/>
          </w:tcPr>
          <w:p>
            <w:pPr>
              <w:spacing w:after="0"/>
              <w:rPr>
                <w:sz w:val="18"/>
                <w:szCs w:val="18"/>
                <w:color w:val="auto"/>
              </w:rPr>
            </w:pPr>
          </w:p>
        </w:tc>
        <w:tc>
          <w:tcPr>
            <w:tcW w:w="780" w:type="dxa"/>
            <w:vAlign w:val="bottom"/>
          </w:tcPr>
          <w:p>
            <w:pPr>
              <w:jc w:val="right"/>
              <w:ind w:right="29"/>
              <w:spacing w:after="0"/>
              <w:rPr>
                <w:sz w:val="20"/>
                <w:szCs w:val="20"/>
                <w:color w:val="auto"/>
              </w:rPr>
            </w:pPr>
            <w:r>
              <w:rPr>
                <w:rFonts w:ascii="Arial" w:cs="Arial" w:eastAsia="Arial" w:hAnsi="Arial"/>
                <w:sz w:val="14"/>
                <w:szCs w:val="14"/>
                <w:color w:val="auto"/>
              </w:rPr>
              <w:t>1,347</w:t>
            </w:r>
          </w:p>
        </w:tc>
        <w:tc>
          <w:tcPr>
            <w:tcW w:w="2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1,886</w:t>
            </w:r>
          </w:p>
        </w:tc>
      </w:tr>
      <w:tr>
        <w:trPr>
          <w:trHeight w:val="216"/>
        </w:trPr>
        <w:tc>
          <w:tcPr>
            <w:tcW w:w="2920" w:type="dxa"/>
            <w:vAlign w:val="bottom"/>
          </w:tcPr>
          <w:p>
            <w:pPr>
              <w:ind w:left="20"/>
              <w:spacing w:after="0"/>
              <w:rPr>
                <w:sz w:val="20"/>
                <w:szCs w:val="20"/>
                <w:color w:val="auto"/>
              </w:rPr>
            </w:pPr>
            <w:r>
              <w:rPr>
                <w:rFonts w:ascii="Arial" w:cs="Arial" w:eastAsia="Arial" w:hAnsi="Arial"/>
                <w:sz w:val="14"/>
                <w:szCs w:val="14"/>
                <w:color w:val="auto"/>
              </w:rPr>
              <w:t>Operating leases</w:t>
            </w:r>
          </w:p>
        </w:tc>
        <w:tc>
          <w:tcPr>
            <w:tcW w:w="220" w:type="dxa"/>
            <w:vAlign w:val="bottom"/>
          </w:tcPr>
          <w:p>
            <w:pPr>
              <w:spacing w:after="0"/>
              <w:rPr>
                <w:sz w:val="18"/>
                <w:szCs w:val="18"/>
                <w:color w:val="auto"/>
              </w:rPr>
            </w:pPr>
          </w:p>
        </w:tc>
        <w:tc>
          <w:tcPr>
            <w:tcW w:w="500" w:type="dxa"/>
            <w:vAlign w:val="bottom"/>
          </w:tcPr>
          <w:p>
            <w:pPr>
              <w:jc w:val="right"/>
              <w:ind w:right="29"/>
              <w:spacing w:after="0"/>
              <w:rPr>
                <w:sz w:val="20"/>
                <w:szCs w:val="20"/>
                <w:color w:val="auto"/>
              </w:rPr>
            </w:pPr>
            <w:r>
              <w:rPr>
                <w:rFonts w:ascii="Arial" w:cs="Arial" w:eastAsia="Arial" w:hAnsi="Arial"/>
                <w:sz w:val="14"/>
                <w:szCs w:val="14"/>
                <w:color w:val="auto"/>
              </w:rPr>
              <w:t>24</w:t>
            </w:r>
          </w:p>
        </w:tc>
        <w:tc>
          <w:tcPr>
            <w:tcW w:w="260" w:type="dxa"/>
            <w:vAlign w:val="bottom"/>
          </w:tcPr>
          <w:p>
            <w:pPr>
              <w:spacing w:after="0"/>
              <w:rPr>
                <w:sz w:val="18"/>
                <w:szCs w:val="18"/>
                <w:color w:val="auto"/>
              </w:rPr>
            </w:pPr>
          </w:p>
        </w:tc>
        <w:tc>
          <w:tcPr>
            <w:tcW w:w="520" w:type="dxa"/>
            <w:vAlign w:val="bottom"/>
          </w:tcPr>
          <w:p>
            <w:pPr>
              <w:jc w:val="right"/>
              <w:ind w:right="10"/>
              <w:spacing w:after="0"/>
              <w:rPr>
                <w:sz w:val="20"/>
                <w:szCs w:val="20"/>
                <w:color w:val="auto"/>
              </w:rPr>
            </w:pPr>
            <w:r>
              <w:rPr>
                <w:rFonts w:ascii="Arial" w:cs="Arial" w:eastAsia="Arial" w:hAnsi="Arial"/>
                <w:sz w:val="14"/>
                <w:szCs w:val="14"/>
                <w:color w:val="auto"/>
              </w:rPr>
              <w:t>43</w:t>
            </w:r>
          </w:p>
        </w:tc>
        <w:tc>
          <w:tcPr>
            <w:tcW w:w="320" w:type="dxa"/>
            <w:vAlign w:val="bottom"/>
          </w:tcPr>
          <w:p>
            <w:pPr>
              <w:spacing w:after="0"/>
              <w:rPr>
                <w:sz w:val="18"/>
                <w:szCs w:val="18"/>
                <w:color w:val="auto"/>
              </w:rPr>
            </w:pPr>
          </w:p>
        </w:tc>
        <w:tc>
          <w:tcPr>
            <w:tcW w:w="520" w:type="dxa"/>
            <w:vAlign w:val="bottom"/>
          </w:tcPr>
          <w:p>
            <w:pPr>
              <w:jc w:val="right"/>
              <w:ind w:right="10"/>
              <w:spacing w:after="0"/>
              <w:rPr>
                <w:sz w:val="20"/>
                <w:szCs w:val="20"/>
                <w:color w:val="auto"/>
              </w:rPr>
            </w:pPr>
            <w:r>
              <w:rPr>
                <w:rFonts w:ascii="Arial" w:cs="Arial" w:eastAsia="Arial" w:hAnsi="Arial"/>
                <w:sz w:val="14"/>
                <w:szCs w:val="14"/>
                <w:color w:val="auto"/>
              </w:rPr>
              <w:t>35</w:t>
            </w:r>
          </w:p>
        </w:tc>
        <w:tc>
          <w:tcPr>
            <w:tcW w:w="280" w:type="dxa"/>
            <w:vAlign w:val="bottom"/>
          </w:tcPr>
          <w:p>
            <w:pPr>
              <w:spacing w:after="0"/>
              <w:rPr>
                <w:sz w:val="18"/>
                <w:szCs w:val="18"/>
                <w:color w:val="auto"/>
              </w:rPr>
            </w:pPr>
          </w:p>
        </w:tc>
        <w:tc>
          <w:tcPr>
            <w:tcW w:w="780" w:type="dxa"/>
            <w:vAlign w:val="bottom"/>
          </w:tcPr>
          <w:p>
            <w:pPr>
              <w:jc w:val="right"/>
              <w:ind w:right="29"/>
              <w:spacing w:after="0"/>
              <w:rPr>
                <w:sz w:val="20"/>
                <w:szCs w:val="20"/>
                <w:color w:val="auto"/>
              </w:rPr>
            </w:pPr>
            <w:r>
              <w:rPr>
                <w:rFonts w:ascii="Arial" w:cs="Arial" w:eastAsia="Arial" w:hAnsi="Arial"/>
                <w:sz w:val="14"/>
                <w:szCs w:val="14"/>
                <w:color w:val="auto"/>
              </w:rPr>
              <w:t>59</w:t>
            </w:r>
          </w:p>
        </w:tc>
        <w:tc>
          <w:tcPr>
            <w:tcW w:w="2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161</w:t>
            </w:r>
          </w:p>
        </w:tc>
      </w:tr>
      <w:tr>
        <w:trPr>
          <w:trHeight w:val="216"/>
        </w:trPr>
        <w:tc>
          <w:tcPr>
            <w:tcW w:w="2920" w:type="dxa"/>
            <w:vAlign w:val="bottom"/>
          </w:tcPr>
          <w:p>
            <w:pPr>
              <w:ind w:left="20"/>
              <w:spacing w:after="0"/>
              <w:rPr>
                <w:sz w:val="20"/>
                <w:szCs w:val="20"/>
                <w:color w:val="auto"/>
              </w:rPr>
            </w:pPr>
            <w:r>
              <w:rPr>
                <w:rFonts w:ascii="Arial" w:cs="Arial" w:eastAsia="Arial" w:hAnsi="Arial"/>
                <w:sz w:val="14"/>
                <w:szCs w:val="14"/>
                <w:color w:val="auto"/>
              </w:rPr>
              <w:t>Litigation settlements</w:t>
            </w:r>
          </w:p>
        </w:tc>
        <w:tc>
          <w:tcPr>
            <w:tcW w:w="220" w:type="dxa"/>
            <w:vAlign w:val="bottom"/>
          </w:tcPr>
          <w:p>
            <w:pPr>
              <w:spacing w:after="0"/>
              <w:rPr>
                <w:sz w:val="18"/>
                <w:szCs w:val="18"/>
                <w:color w:val="auto"/>
              </w:rPr>
            </w:pPr>
          </w:p>
        </w:tc>
        <w:tc>
          <w:tcPr>
            <w:tcW w:w="500" w:type="dxa"/>
            <w:vAlign w:val="bottom"/>
          </w:tcPr>
          <w:p>
            <w:pPr>
              <w:jc w:val="right"/>
              <w:ind w:right="29"/>
              <w:spacing w:after="0"/>
              <w:rPr>
                <w:sz w:val="20"/>
                <w:szCs w:val="20"/>
                <w:color w:val="auto"/>
              </w:rPr>
            </w:pPr>
            <w:r>
              <w:rPr>
                <w:rFonts w:ascii="Arial" w:cs="Arial" w:eastAsia="Arial" w:hAnsi="Arial"/>
                <w:sz w:val="14"/>
                <w:szCs w:val="14"/>
                <w:color w:val="auto"/>
              </w:rPr>
              <w:t>6</w:t>
            </w:r>
          </w:p>
        </w:tc>
        <w:tc>
          <w:tcPr>
            <w:tcW w:w="260" w:type="dxa"/>
            <w:vAlign w:val="bottom"/>
          </w:tcPr>
          <w:p>
            <w:pPr>
              <w:spacing w:after="0"/>
              <w:rPr>
                <w:sz w:val="18"/>
                <w:szCs w:val="18"/>
                <w:color w:val="auto"/>
              </w:rPr>
            </w:pPr>
          </w:p>
        </w:tc>
        <w:tc>
          <w:tcPr>
            <w:tcW w:w="520" w:type="dxa"/>
            <w:vAlign w:val="bottom"/>
          </w:tcPr>
          <w:p>
            <w:pPr>
              <w:jc w:val="right"/>
              <w:ind w:right="10"/>
              <w:spacing w:after="0"/>
              <w:rPr>
                <w:sz w:val="20"/>
                <w:szCs w:val="20"/>
                <w:color w:val="auto"/>
              </w:rPr>
            </w:pPr>
            <w:r>
              <w:rPr>
                <w:rFonts w:ascii="Arial" w:cs="Arial" w:eastAsia="Arial" w:hAnsi="Arial"/>
                <w:sz w:val="14"/>
                <w:szCs w:val="14"/>
                <w:color w:val="auto"/>
              </w:rPr>
              <w:t>12</w:t>
            </w:r>
          </w:p>
        </w:tc>
        <w:tc>
          <w:tcPr>
            <w:tcW w:w="320" w:type="dxa"/>
            <w:vAlign w:val="bottom"/>
          </w:tcPr>
          <w:p>
            <w:pPr>
              <w:spacing w:after="0"/>
              <w:rPr>
                <w:sz w:val="18"/>
                <w:szCs w:val="18"/>
                <w:color w:val="auto"/>
              </w:rPr>
            </w:pPr>
          </w:p>
        </w:tc>
        <w:tc>
          <w:tcPr>
            <w:tcW w:w="520" w:type="dxa"/>
            <w:vAlign w:val="bottom"/>
          </w:tcPr>
          <w:p>
            <w:pPr>
              <w:jc w:val="right"/>
              <w:ind w:right="10"/>
              <w:spacing w:after="0"/>
              <w:rPr>
                <w:sz w:val="20"/>
                <w:szCs w:val="20"/>
                <w:color w:val="auto"/>
              </w:rPr>
            </w:pPr>
            <w:r>
              <w:rPr>
                <w:rFonts w:ascii="Arial" w:cs="Arial" w:eastAsia="Arial" w:hAnsi="Arial"/>
                <w:sz w:val="14"/>
                <w:szCs w:val="14"/>
                <w:color w:val="auto"/>
              </w:rPr>
              <w:t>12</w:t>
            </w:r>
          </w:p>
        </w:tc>
        <w:tc>
          <w:tcPr>
            <w:tcW w:w="280" w:type="dxa"/>
            <w:vAlign w:val="bottom"/>
          </w:tcPr>
          <w:p>
            <w:pPr>
              <w:spacing w:after="0"/>
              <w:rPr>
                <w:sz w:val="18"/>
                <w:szCs w:val="18"/>
                <w:color w:val="auto"/>
              </w:rPr>
            </w:pPr>
          </w:p>
        </w:tc>
        <w:tc>
          <w:tcPr>
            <w:tcW w:w="780" w:type="dxa"/>
            <w:vAlign w:val="bottom"/>
          </w:tcPr>
          <w:p>
            <w:pPr>
              <w:jc w:val="right"/>
              <w:ind w:right="29"/>
              <w:spacing w:after="0"/>
              <w:rPr>
                <w:sz w:val="20"/>
                <w:szCs w:val="20"/>
                <w:color w:val="auto"/>
              </w:rPr>
            </w:pPr>
            <w:r>
              <w:rPr>
                <w:rFonts w:ascii="Arial" w:cs="Arial" w:eastAsia="Arial" w:hAnsi="Arial"/>
                <w:sz w:val="14"/>
                <w:szCs w:val="14"/>
                <w:color w:val="auto"/>
              </w:rPr>
              <w:t>11</w:t>
            </w:r>
          </w:p>
        </w:tc>
        <w:tc>
          <w:tcPr>
            <w:tcW w:w="2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41</w:t>
            </w:r>
          </w:p>
        </w:tc>
      </w:tr>
      <w:tr>
        <w:trPr>
          <w:trHeight w:val="216"/>
        </w:trPr>
        <w:tc>
          <w:tcPr>
            <w:tcW w:w="2920" w:type="dxa"/>
            <w:vAlign w:val="bottom"/>
          </w:tcPr>
          <w:p>
            <w:pPr>
              <w:ind w:left="20"/>
              <w:spacing w:after="0"/>
              <w:rPr>
                <w:sz w:val="20"/>
                <w:szCs w:val="20"/>
                <w:color w:val="auto"/>
              </w:rPr>
            </w:pPr>
            <w:r>
              <w:rPr>
                <w:rFonts w:ascii="Arial" w:cs="Arial" w:eastAsia="Arial" w:hAnsi="Arial"/>
                <w:sz w:val="14"/>
                <w:szCs w:val="14"/>
                <w:color w:val="auto"/>
              </w:rPr>
              <w:t>Purchased-power contracts</w:t>
            </w:r>
          </w:p>
        </w:tc>
        <w:tc>
          <w:tcPr>
            <w:tcW w:w="220" w:type="dxa"/>
            <w:vAlign w:val="bottom"/>
          </w:tcPr>
          <w:p>
            <w:pPr>
              <w:spacing w:after="0"/>
              <w:rPr>
                <w:sz w:val="18"/>
                <w:szCs w:val="18"/>
                <w:color w:val="auto"/>
              </w:rPr>
            </w:pPr>
          </w:p>
        </w:tc>
        <w:tc>
          <w:tcPr>
            <w:tcW w:w="500" w:type="dxa"/>
            <w:vAlign w:val="bottom"/>
          </w:tcPr>
          <w:p>
            <w:pPr>
              <w:jc w:val="right"/>
              <w:ind w:right="29"/>
              <w:spacing w:after="0"/>
              <w:rPr>
                <w:sz w:val="20"/>
                <w:szCs w:val="20"/>
                <w:color w:val="auto"/>
              </w:rPr>
            </w:pPr>
            <w:r>
              <w:rPr>
                <w:rFonts w:ascii="Arial" w:cs="Arial" w:eastAsia="Arial" w:hAnsi="Arial"/>
                <w:sz w:val="14"/>
                <w:szCs w:val="14"/>
                <w:color w:val="auto"/>
              </w:rPr>
              <w:t>342</w:t>
            </w:r>
          </w:p>
        </w:tc>
        <w:tc>
          <w:tcPr>
            <w:tcW w:w="260" w:type="dxa"/>
            <w:vAlign w:val="bottom"/>
          </w:tcPr>
          <w:p>
            <w:pPr>
              <w:spacing w:after="0"/>
              <w:rPr>
                <w:sz w:val="18"/>
                <w:szCs w:val="18"/>
                <w:color w:val="auto"/>
              </w:rPr>
            </w:pPr>
          </w:p>
        </w:tc>
        <w:tc>
          <w:tcPr>
            <w:tcW w:w="520" w:type="dxa"/>
            <w:vAlign w:val="bottom"/>
          </w:tcPr>
          <w:p>
            <w:pPr>
              <w:jc w:val="right"/>
              <w:ind w:right="10"/>
              <w:spacing w:after="0"/>
              <w:rPr>
                <w:sz w:val="20"/>
                <w:szCs w:val="20"/>
                <w:color w:val="auto"/>
              </w:rPr>
            </w:pPr>
            <w:r>
              <w:rPr>
                <w:rFonts w:ascii="Arial" w:cs="Arial" w:eastAsia="Arial" w:hAnsi="Arial"/>
                <w:sz w:val="14"/>
                <w:szCs w:val="14"/>
                <w:color w:val="auto"/>
              </w:rPr>
              <w:t>501</w:t>
            </w:r>
          </w:p>
        </w:tc>
        <w:tc>
          <w:tcPr>
            <w:tcW w:w="320" w:type="dxa"/>
            <w:vAlign w:val="bottom"/>
          </w:tcPr>
          <w:p>
            <w:pPr>
              <w:spacing w:after="0"/>
              <w:rPr>
                <w:sz w:val="18"/>
                <w:szCs w:val="18"/>
                <w:color w:val="auto"/>
              </w:rPr>
            </w:pPr>
          </w:p>
        </w:tc>
        <w:tc>
          <w:tcPr>
            <w:tcW w:w="520" w:type="dxa"/>
            <w:vAlign w:val="bottom"/>
          </w:tcPr>
          <w:p>
            <w:pPr>
              <w:jc w:val="right"/>
              <w:ind w:right="10"/>
              <w:spacing w:after="0"/>
              <w:rPr>
                <w:sz w:val="20"/>
                <w:szCs w:val="20"/>
                <w:color w:val="auto"/>
              </w:rPr>
            </w:pPr>
            <w:r>
              <w:rPr>
                <w:rFonts w:ascii="Arial" w:cs="Arial" w:eastAsia="Arial" w:hAnsi="Arial"/>
                <w:sz w:val="14"/>
                <w:szCs w:val="14"/>
                <w:color w:val="auto"/>
              </w:rPr>
              <w:t>495</w:t>
            </w:r>
          </w:p>
        </w:tc>
        <w:tc>
          <w:tcPr>
            <w:tcW w:w="280" w:type="dxa"/>
            <w:vAlign w:val="bottom"/>
          </w:tcPr>
          <w:p>
            <w:pPr>
              <w:spacing w:after="0"/>
              <w:rPr>
                <w:sz w:val="18"/>
                <w:szCs w:val="18"/>
                <w:color w:val="auto"/>
              </w:rPr>
            </w:pPr>
          </w:p>
        </w:tc>
        <w:tc>
          <w:tcPr>
            <w:tcW w:w="780" w:type="dxa"/>
            <w:vAlign w:val="bottom"/>
          </w:tcPr>
          <w:p>
            <w:pPr>
              <w:jc w:val="right"/>
              <w:ind w:right="29"/>
              <w:spacing w:after="0"/>
              <w:rPr>
                <w:sz w:val="20"/>
                <w:szCs w:val="20"/>
                <w:color w:val="auto"/>
              </w:rPr>
            </w:pPr>
            <w:r>
              <w:rPr>
                <w:rFonts w:ascii="Arial" w:cs="Arial" w:eastAsia="Arial" w:hAnsi="Arial"/>
                <w:sz w:val="14"/>
                <w:szCs w:val="14"/>
                <w:color w:val="auto"/>
              </w:rPr>
              <w:t>1,676</w:t>
            </w:r>
          </w:p>
        </w:tc>
        <w:tc>
          <w:tcPr>
            <w:tcW w:w="2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3,014</w:t>
            </w:r>
          </w:p>
        </w:tc>
      </w:tr>
      <w:tr>
        <w:trPr>
          <w:trHeight w:val="216"/>
        </w:trPr>
        <w:tc>
          <w:tcPr>
            <w:tcW w:w="2920" w:type="dxa"/>
            <w:vAlign w:val="bottom"/>
          </w:tcPr>
          <w:p>
            <w:pPr>
              <w:ind w:left="20"/>
              <w:spacing w:after="0"/>
              <w:rPr>
                <w:sz w:val="20"/>
                <w:szCs w:val="20"/>
                <w:color w:val="auto"/>
              </w:rPr>
            </w:pPr>
            <w:r>
              <w:rPr>
                <w:rFonts w:ascii="Arial" w:cs="Arial" w:eastAsia="Arial" w:hAnsi="Arial"/>
                <w:sz w:val="14"/>
                <w:szCs w:val="14"/>
                <w:color w:val="auto"/>
              </w:rPr>
              <w:t>Construction commitments</w:t>
            </w:r>
          </w:p>
        </w:tc>
        <w:tc>
          <w:tcPr>
            <w:tcW w:w="220" w:type="dxa"/>
            <w:vAlign w:val="bottom"/>
          </w:tcPr>
          <w:p>
            <w:pPr>
              <w:spacing w:after="0"/>
              <w:rPr>
                <w:sz w:val="18"/>
                <w:szCs w:val="18"/>
                <w:color w:val="auto"/>
              </w:rPr>
            </w:pPr>
          </w:p>
        </w:tc>
        <w:tc>
          <w:tcPr>
            <w:tcW w:w="500" w:type="dxa"/>
            <w:vAlign w:val="bottom"/>
          </w:tcPr>
          <w:p>
            <w:pPr>
              <w:jc w:val="right"/>
              <w:ind w:right="29"/>
              <w:spacing w:after="0"/>
              <w:rPr>
                <w:sz w:val="20"/>
                <w:szCs w:val="20"/>
                <w:color w:val="auto"/>
              </w:rPr>
            </w:pPr>
            <w:r>
              <w:rPr>
                <w:rFonts w:ascii="Arial" w:cs="Arial" w:eastAsia="Arial" w:hAnsi="Arial"/>
                <w:sz w:val="14"/>
                <w:szCs w:val="14"/>
                <w:color w:val="auto"/>
              </w:rPr>
              <w:t>138</w:t>
            </w:r>
          </w:p>
        </w:tc>
        <w:tc>
          <w:tcPr>
            <w:tcW w:w="260" w:type="dxa"/>
            <w:vAlign w:val="bottom"/>
          </w:tcPr>
          <w:p>
            <w:pPr>
              <w:spacing w:after="0"/>
              <w:rPr>
                <w:sz w:val="18"/>
                <w:szCs w:val="18"/>
                <w:color w:val="auto"/>
              </w:rPr>
            </w:pPr>
          </w:p>
        </w:tc>
        <w:tc>
          <w:tcPr>
            <w:tcW w:w="520" w:type="dxa"/>
            <w:vAlign w:val="bottom"/>
          </w:tcPr>
          <w:p>
            <w:pPr>
              <w:jc w:val="right"/>
              <w:ind w:right="10"/>
              <w:spacing w:after="0"/>
              <w:rPr>
                <w:sz w:val="20"/>
                <w:szCs w:val="20"/>
                <w:color w:val="auto"/>
              </w:rPr>
            </w:pPr>
            <w:r>
              <w:rPr>
                <w:rFonts w:ascii="Arial" w:cs="Arial" w:eastAsia="Arial" w:hAnsi="Arial"/>
                <w:sz w:val="14"/>
                <w:szCs w:val="14"/>
                <w:color w:val="auto"/>
              </w:rPr>
              <w:t>249</w:t>
            </w:r>
          </w:p>
        </w:tc>
        <w:tc>
          <w:tcPr>
            <w:tcW w:w="320" w:type="dxa"/>
            <w:vAlign w:val="bottom"/>
          </w:tcPr>
          <w:p>
            <w:pPr>
              <w:spacing w:after="0"/>
              <w:rPr>
                <w:sz w:val="18"/>
                <w:szCs w:val="18"/>
                <w:color w:val="auto"/>
              </w:rPr>
            </w:pPr>
          </w:p>
        </w:tc>
        <w:tc>
          <w:tcPr>
            <w:tcW w:w="52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8"/>
                <w:szCs w:val="18"/>
                <w:color w:val="auto"/>
              </w:rPr>
            </w:pPr>
          </w:p>
        </w:tc>
        <w:tc>
          <w:tcPr>
            <w:tcW w:w="78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387</w:t>
            </w:r>
          </w:p>
        </w:tc>
      </w:tr>
      <w:tr>
        <w:trPr>
          <w:trHeight w:val="216"/>
        </w:trPr>
        <w:tc>
          <w:tcPr>
            <w:tcW w:w="2920" w:type="dxa"/>
            <w:vAlign w:val="bottom"/>
          </w:tcPr>
          <w:p>
            <w:pPr>
              <w:ind w:left="20"/>
              <w:spacing w:after="0"/>
              <w:rPr>
                <w:sz w:val="20"/>
                <w:szCs w:val="20"/>
                <w:color w:val="auto"/>
              </w:rPr>
            </w:pPr>
            <w:r>
              <w:rPr>
                <w:rFonts w:ascii="Arial" w:cs="Arial" w:eastAsia="Arial" w:hAnsi="Arial"/>
                <w:sz w:val="14"/>
                <w:szCs w:val="14"/>
                <w:color w:val="auto"/>
              </w:rPr>
              <w:t>El Dorado purchase agreement</w:t>
            </w:r>
          </w:p>
        </w:tc>
        <w:tc>
          <w:tcPr>
            <w:tcW w:w="220" w:type="dxa"/>
            <w:vAlign w:val="bottom"/>
          </w:tcPr>
          <w:p>
            <w:pPr>
              <w:spacing w:after="0"/>
              <w:rPr>
                <w:sz w:val="18"/>
                <w:szCs w:val="18"/>
                <w:color w:val="auto"/>
              </w:rPr>
            </w:pPr>
          </w:p>
        </w:tc>
        <w:tc>
          <w:tcPr>
            <w:tcW w:w="50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8"/>
                <w:szCs w:val="18"/>
                <w:color w:val="auto"/>
              </w:rPr>
            </w:pPr>
          </w:p>
        </w:tc>
        <w:tc>
          <w:tcPr>
            <w:tcW w:w="520" w:type="dxa"/>
            <w:vAlign w:val="bottom"/>
          </w:tcPr>
          <w:p>
            <w:pPr>
              <w:jc w:val="right"/>
              <w:ind w:right="10"/>
              <w:spacing w:after="0"/>
              <w:rPr>
                <w:sz w:val="20"/>
                <w:szCs w:val="20"/>
                <w:color w:val="auto"/>
              </w:rPr>
            </w:pPr>
            <w:r>
              <w:rPr>
                <w:rFonts w:ascii="Arial" w:cs="Arial" w:eastAsia="Arial" w:hAnsi="Arial"/>
                <w:sz w:val="14"/>
                <w:szCs w:val="14"/>
                <w:color w:val="auto"/>
              </w:rPr>
              <w:t>189</w:t>
            </w:r>
          </w:p>
        </w:tc>
        <w:tc>
          <w:tcPr>
            <w:tcW w:w="320" w:type="dxa"/>
            <w:vAlign w:val="bottom"/>
          </w:tcPr>
          <w:p>
            <w:pPr>
              <w:spacing w:after="0"/>
              <w:rPr>
                <w:sz w:val="18"/>
                <w:szCs w:val="18"/>
                <w:color w:val="auto"/>
              </w:rPr>
            </w:pPr>
          </w:p>
        </w:tc>
        <w:tc>
          <w:tcPr>
            <w:tcW w:w="52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8"/>
                <w:szCs w:val="18"/>
                <w:color w:val="auto"/>
              </w:rPr>
            </w:pPr>
          </w:p>
        </w:tc>
        <w:tc>
          <w:tcPr>
            <w:tcW w:w="78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189</w:t>
            </w:r>
          </w:p>
        </w:tc>
      </w:tr>
      <w:tr>
        <w:trPr>
          <w:trHeight w:val="216"/>
        </w:trPr>
        <w:tc>
          <w:tcPr>
            <w:tcW w:w="2920" w:type="dxa"/>
            <w:vAlign w:val="bottom"/>
          </w:tcPr>
          <w:p>
            <w:pPr>
              <w:ind w:left="20"/>
              <w:spacing w:after="0"/>
              <w:rPr>
                <w:sz w:val="20"/>
                <w:szCs w:val="20"/>
                <w:color w:val="auto"/>
              </w:rPr>
            </w:pPr>
            <w:r>
              <w:rPr>
                <w:rFonts w:ascii="Arial" w:cs="Arial" w:eastAsia="Arial" w:hAnsi="Arial"/>
                <w:sz w:val="14"/>
                <w:szCs w:val="14"/>
                <w:color w:val="auto"/>
              </w:rPr>
              <w:t>SONGS decommissioning</w:t>
            </w:r>
          </w:p>
        </w:tc>
        <w:tc>
          <w:tcPr>
            <w:tcW w:w="220" w:type="dxa"/>
            <w:vAlign w:val="bottom"/>
          </w:tcPr>
          <w:p>
            <w:pPr>
              <w:spacing w:after="0"/>
              <w:rPr>
                <w:sz w:val="18"/>
                <w:szCs w:val="18"/>
                <w:color w:val="auto"/>
              </w:rPr>
            </w:pPr>
          </w:p>
        </w:tc>
        <w:tc>
          <w:tcPr>
            <w:tcW w:w="50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8"/>
                <w:szCs w:val="18"/>
                <w:color w:val="auto"/>
              </w:rPr>
            </w:pPr>
          </w:p>
        </w:tc>
        <w:tc>
          <w:tcPr>
            <w:tcW w:w="52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8"/>
                <w:szCs w:val="18"/>
                <w:color w:val="auto"/>
              </w:rPr>
            </w:pPr>
          </w:p>
        </w:tc>
        <w:tc>
          <w:tcPr>
            <w:tcW w:w="52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8"/>
                <w:szCs w:val="18"/>
                <w:color w:val="auto"/>
              </w:rPr>
            </w:pPr>
          </w:p>
        </w:tc>
        <w:tc>
          <w:tcPr>
            <w:tcW w:w="780" w:type="dxa"/>
            <w:vAlign w:val="bottom"/>
          </w:tcPr>
          <w:p>
            <w:pPr>
              <w:jc w:val="right"/>
              <w:ind w:right="29"/>
              <w:spacing w:after="0"/>
              <w:rPr>
                <w:sz w:val="20"/>
                <w:szCs w:val="20"/>
                <w:color w:val="auto"/>
              </w:rPr>
            </w:pPr>
            <w:r>
              <w:rPr>
                <w:rFonts w:ascii="Arial" w:cs="Arial" w:eastAsia="Arial" w:hAnsi="Arial"/>
                <w:sz w:val="14"/>
                <w:szCs w:val="14"/>
                <w:color w:val="auto"/>
              </w:rPr>
              <w:t>445</w:t>
            </w:r>
          </w:p>
        </w:tc>
        <w:tc>
          <w:tcPr>
            <w:tcW w:w="2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445</w:t>
            </w:r>
          </w:p>
        </w:tc>
      </w:tr>
      <w:tr>
        <w:trPr>
          <w:trHeight w:val="216"/>
        </w:trPr>
        <w:tc>
          <w:tcPr>
            <w:tcW w:w="2920" w:type="dxa"/>
            <w:vAlign w:val="bottom"/>
          </w:tcPr>
          <w:p>
            <w:pPr>
              <w:ind w:left="20"/>
              <w:spacing w:after="0"/>
              <w:rPr>
                <w:sz w:val="20"/>
                <w:szCs w:val="20"/>
                <w:color w:val="auto"/>
              </w:rPr>
            </w:pPr>
            <w:r>
              <w:rPr>
                <w:rFonts w:ascii="Arial" w:cs="Arial" w:eastAsia="Arial" w:hAnsi="Arial"/>
                <w:sz w:val="14"/>
                <w:szCs w:val="14"/>
                <w:color w:val="auto"/>
              </w:rPr>
              <w:t>Other asset retirement obligations</w:t>
            </w:r>
          </w:p>
        </w:tc>
        <w:tc>
          <w:tcPr>
            <w:tcW w:w="220" w:type="dxa"/>
            <w:vAlign w:val="bottom"/>
          </w:tcPr>
          <w:p>
            <w:pPr>
              <w:spacing w:after="0"/>
              <w:rPr>
                <w:sz w:val="18"/>
                <w:szCs w:val="18"/>
                <w:color w:val="auto"/>
              </w:rPr>
            </w:pPr>
          </w:p>
        </w:tc>
        <w:tc>
          <w:tcPr>
            <w:tcW w:w="500" w:type="dxa"/>
            <w:vAlign w:val="bottom"/>
          </w:tcPr>
          <w:p>
            <w:pPr>
              <w:jc w:val="right"/>
              <w:ind w:right="29"/>
              <w:spacing w:after="0"/>
              <w:rPr>
                <w:sz w:val="20"/>
                <w:szCs w:val="20"/>
                <w:color w:val="auto"/>
              </w:rPr>
            </w:pPr>
            <w:r>
              <w:rPr>
                <w:rFonts w:ascii="Arial" w:cs="Arial" w:eastAsia="Arial" w:hAnsi="Arial"/>
                <w:sz w:val="14"/>
                <w:szCs w:val="14"/>
                <w:color w:val="auto"/>
              </w:rPr>
              <w:t>4</w:t>
            </w:r>
          </w:p>
        </w:tc>
        <w:tc>
          <w:tcPr>
            <w:tcW w:w="260" w:type="dxa"/>
            <w:vAlign w:val="bottom"/>
          </w:tcPr>
          <w:p>
            <w:pPr>
              <w:spacing w:after="0"/>
              <w:rPr>
                <w:sz w:val="18"/>
                <w:szCs w:val="18"/>
                <w:color w:val="auto"/>
              </w:rPr>
            </w:pPr>
          </w:p>
        </w:tc>
        <w:tc>
          <w:tcPr>
            <w:tcW w:w="520" w:type="dxa"/>
            <w:vAlign w:val="bottom"/>
          </w:tcPr>
          <w:p>
            <w:pPr>
              <w:jc w:val="right"/>
              <w:ind w:right="10"/>
              <w:spacing w:after="0"/>
              <w:rPr>
                <w:sz w:val="20"/>
                <w:szCs w:val="20"/>
                <w:color w:val="auto"/>
              </w:rPr>
            </w:pPr>
            <w:r>
              <w:rPr>
                <w:rFonts w:ascii="Arial" w:cs="Arial" w:eastAsia="Arial" w:hAnsi="Arial"/>
                <w:sz w:val="14"/>
                <w:szCs w:val="14"/>
                <w:color w:val="auto"/>
              </w:rPr>
              <w:t>8</w:t>
            </w:r>
          </w:p>
        </w:tc>
        <w:tc>
          <w:tcPr>
            <w:tcW w:w="320" w:type="dxa"/>
            <w:vAlign w:val="bottom"/>
          </w:tcPr>
          <w:p>
            <w:pPr>
              <w:spacing w:after="0"/>
              <w:rPr>
                <w:sz w:val="18"/>
                <w:szCs w:val="18"/>
                <w:color w:val="auto"/>
              </w:rPr>
            </w:pPr>
          </w:p>
        </w:tc>
        <w:tc>
          <w:tcPr>
            <w:tcW w:w="520" w:type="dxa"/>
            <w:vAlign w:val="bottom"/>
          </w:tcPr>
          <w:p>
            <w:pPr>
              <w:jc w:val="right"/>
              <w:ind w:right="10"/>
              <w:spacing w:after="0"/>
              <w:rPr>
                <w:sz w:val="20"/>
                <w:szCs w:val="20"/>
                <w:color w:val="auto"/>
              </w:rPr>
            </w:pPr>
            <w:r>
              <w:rPr>
                <w:rFonts w:ascii="Arial" w:cs="Arial" w:eastAsia="Arial" w:hAnsi="Arial"/>
                <w:sz w:val="14"/>
                <w:szCs w:val="14"/>
                <w:color w:val="auto"/>
              </w:rPr>
              <w:t>7</w:t>
            </w:r>
          </w:p>
        </w:tc>
        <w:tc>
          <w:tcPr>
            <w:tcW w:w="280" w:type="dxa"/>
            <w:vAlign w:val="bottom"/>
          </w:tcPr>
          <w:p>
            <w:pPr>
              <w:spacing w:after="0"/>
              <w:rPr>
                <w:sz w:val="18"/>
                <w:szCs w:val="18"/>
                <w:color w:val="auto"/>
              </w:rPr>
            </w:pPr>
          </w:p>
        </w:tc>
        <w:tc>
          <w:tcPr>
            <w:tcW w:w="780" w:type="dxa"/>
            <w:vAlign w:val="bottom"/>
          </w:tcPr>
          <w:p>
            <w:pPr>
              <w:jc w:val="right"/>
              <w:ind w:right="29"/>
              <w:spacing w:after="0"/>
              <w:rPr>
                <w:sz w:val="20"/>
                <w:szCs w:val="20"/>
                <w:color w:val="auto"/>
              </w:rPr>
            </w:pPr>
            <w:r>
              <w:rPr>
                <w:rFonts w:ascii="Arial" w:cs="Arial" w:eastAsia="Arial" w:hAnsi="Arial"/>
                <w:sz w:val="14"/>
                <w:szCs w:val="14"/>
                <w:color w:val="auto"/>
              </w:rPr>
              <w:t>90</w:t>
            </w:r>
          </w:p>
        </w:tc>
        <w:tc>
          <w:tcPr>
            <w:tcW w:w="2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109</w:t>
            </w:r>
          </w:p>
        </w:tc>
      </w:tr>
      <w:tr>
        <w:trPr>
          <w:trHeight w:val="188"/>
        </w:trPr>
        <w:tc>
          <w:tcPr>
            <w:tcW w:w="2920" w:type="dxa"/>
            <w:vAlign w:val="bottom"/>
          </w:tcPr>
          <w:p>
            <w:pPr>
              <w:ind w:left="20"/>
              <w:spacing w:after="0"/>
              <w:rPr>
                <w:sz w:val="20"/>
                <w:szCs w:val="20"/>
                <w:color w:val="auto"/>
              </w:rPr>
            </w:pPr>
            <w:r>
              <w:rPr>
                <w:rFonts w:ascii="Arial" w:cs="Arial" w:eastAsia="Arial" w:hAnsi="Arial"/>
                <w:sz w:val="14"/>
                <w:szCs w:val="14"/>
                <w:color w:val="auto"/>
              </w:rPr>
              <w:t>Pension and postretirement benefit</w:t>
            </w:r>
          </w:p>
        </w:tc>
        <w:tc>
          <w:tcPr>
            <w:tcW w:w="2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60" w:type="dxa"/>
            <w:vAlign w:val="bottom"/>
          </w:tcPr>
          <w:p>
            <w:pPr>
              <w:spacing w:after="0"/>
              <w:rPr>
                <w:sz w:val="16"/>
                <w:szCs w:val="16"/>
                <w:color w:val="auto"/>
              </w:rPr>
            </w:pPr>
          </w:p>
        </w:tc>
      </w:tr>
      <w:tr>
        <w:trPr>
          <w:trHeight w:val="172"/>
        </w:trPr>
        <w:tc>
          <w:tcPr>
            <w:tcW w:w="2920" w:type="dxa"/>
            <w:vAlign w:val="bottom"/>
          </w:tcPr>
          <w:p>
            <w:pPr>
              <w:ind w:left="180"/>
              <w:spacing w:after="0"/>
              <w:rPr>
                <w:sz w:val="20"/>
                <w:szCs w:val="20"/>
                <w:color w:val="auto"/>
              </w:rPr>
            </w:pPr>
            <w:r>
              <w:rPr>
                <w:rFonts w:ascii="Arial" w:cs="Arial" w:eastAsia="Arial" w:hAnsi="Arial"/>
                <w:sz w:val="14"/>
                <w:szCs w:val="14"/>
                <w:color w:val="auto"/>
              </w:rPr>
              <w:t>obligations (2)</w:t>
            </w:r>
          </w:p>
        </w:tc>
        <w:tc>
          <w:tcPr>
            <w:tcW w:w="220" w:type="dxa"/>
            <w:vAlign w:val="bottom"/>
          </w:tcPr>
          <w:p>
            <w:pPr>
              <w:spacing w:after="0"/>
              <w:rPr>
                <w:sz w:val="14"/>
                <w:szCs w:val="14"/>
                <w:color w:val="auto"/>
              </w:rPr>
            </w:pPr>
          </w:p>
        </w:tc>
        <w:tc>
          <w:tcPr>
            <w:tcW w:w="500" w:type="dxa"/>
            <w:vAlign w:val="bottom"/>
          </w:tcPr>
          <w:p>
            <w:pPr>
              <w:jc w:val="right"/>
              <w:ind w:right="29"/>
              <w:spacing w:after="0"/>
              <w:rPr>
                <w:sz w:val="20"/>
                <w:szCs w:val="20"/>
                <w:color w:val="auto"/>
              </w:rPr>
            </w:pPr>
            <w:r>
              <w:rPr>
                <w:rFonts w:ascii="Arial" w:cs="Arial" w:eastAsia="Arial" w:hAnsi="Arial"/>
                <w:sz w:val="14"/>
                <w:szCs w:val="14"/>
                <w:color w:val="auto"/>
              </w:rPr>
              <w:t>77</w:t>
            </w:r>
          </w:p>
        </w:tc>
        <w:tc>
          <w:tcPr>
            <w:tcW w:w="260" w:type="dxa"/>
            <w:vAlign w:val="bottom"/>
          </w:tcPr>
          <w:p>
            <w:pPr>
              <w:spacing w:after="0"/>
              <w:rPr>
                <w:sz w:val="14"/>
                <w:szCs w:val="14"/>
                <w:color w:val="auto"/>
              </w:rPr>
            </w:pPr>
          </w:p>
        </w:tc>
        <w:tc>
          <w:tcPr>
            <w:tcW w:w="520" w:type="dxa"/>
            <w:vAlign w:val="bottom"/>
          </w:tcPr>
          <w:p>
            <w:pPr>
              <w:jc w:val="right"/>
              <w:ind w:right="10"/>
              <w:spacing w:after="0"/>
              <w:rPr>
                <w:sz w:val="20"/>
                <w:szCs w:val="20"/>
                <w:color w:val="auto"/>
              </w:rPr>
            </w:pPr>
            <w:r>
              <w:rPr>
                <w:rFonts w:ascii="Arial" w:cs="Arial" w:eastAsia="Arial" w:hAnsi="Arial"/>
                <w:sz w:val="14"/>
                <w:szCs w:val="14"/>
                <w:color w:val="auto"/>
              </w:rPr>
              <w:t>196</w:t>
            </w:r>
          </w:p>
        </w:tc>
        <w:tc>
          <w:tcPr>
            <w:tcW w:w="320" w:type="dxa"/>
            <w:vAlign w:val="bottom"/>
          </w:tcPr>
          <w:p>
            <w:pPr>
              <w:spacing w:after="0"/>
              <w:rPr>
                <w:sz w:val="14"/>
                <w:szCs w:val="14"/>
                <w:color w:val="auto"/>
              </w:rPr>
            </w:pPr>
          </w:p>
        </w:tc>
        <w:tc>
          <w:tcPr>
            <w:tcW w:w="520" w:type="dxa"/>
            <w:vAlign w:val="bottom"/>
          </w:tcPr>
          <w:p>
            <w:pPr>
              <w:jc w:val="right"/>
              <w:ind w:right="10"/>
              <w:spacing w:after="0"/>
              <w:rPr>
                <w:sz w:val="20"/>
                <w:szCs w:val="20"/>
                <w:color w:val="auto"/>
              </w:rPr>
            </w:pPr>
            <w:r>
              <w:rPr>
                <w:rFonts w:ascii="Arial" w:cs="Arial" w:eastAsia="Arial" w:hAnsi="Arial"/>
                <w:sz w:val="14"/>
                <w:szCs w:val="14"/>
                <w:color w:val="auto"/>
              </w:rPr>
              <w:t>208</w:t>
            </w:r>
          </w:p>
        </w:tc>
        <w:tc>
          <w:tcPr>
            <w:tcW w:w="280" w:type="dxa"/>
            <w:vAlign w:val="bottom"/>
          </w:tcPr>
          <w:p>
            <w:pPr>
              <w:spacing w:after="0"/>
              <w:rPr>
                <w:sz w:val="14"/>
                <w:szCs w:val="14"/>
                <w:color w:val="auto"/>
              </w:rPr>
            </w:pPr>
          </w:p>
        </w:tc>
        <w:tc>
          <w:tcPr>
            <w:tcW w:w="780" w:type="dxa"/>
            <w:vAlign w:val="bottom"/>
          </w:tcPr>
          <w:p>
            <w:pPr>
              <w:jc w:val="right"/>
              <w:ind w:right="29"/>
              <w:spacing w:after="0"/>
              <w:rPr>
                <w:sz w:val="20"/>
                <w:szCs w:val="20"/>
                <w:color w:val="auto"/>
              </w:rPr>
            </w:pPr>
            <w:r>
              <w:rPr>
                <w:rFonts w:ascii="Arial" w:cs="Arial" w:eastAsia="Arial" w:hAnsi="Arial"/>
                <w:sz w:val="14"/>
                <w:szCs w:val="14"/>
                <w:color w:val="auto"/>
              </w:rPr>
              <w:t>358</w:t>
            </w:r>
          </w:p>
        </w:tc>
        <w:tc>
          <w:tcPr>
            <w:tcW w:w="24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839</w:t>
            </w:r>
          </w:p>
        </w:tc>
      </w:tr>
      <w:tr>
        <w:trPr>
          <w:trHeight w:val="222"/>
        </w:trPr>
        <w:tc>
          <w:tcPr>
            <w:tcW w:w="2920" w:type="dxa"/>
            <w:vAlign w:val="bottom"/>
          </w:tcPr>
          <w:p>
            <w:pPr>
              <w:ind w:left="20"/>
              <w:spacing w:after="0"/>
              <w:rPr>
                <w:sz w:val="20"/>
                <w:szCs w:val="20"/>
                <w:color w:val="auto"/>
              </w:rPr>
            </w:pPr>
            <w:r>
              <w:rPr>
                <w:rFonts w:ascii="Arial" w:cs="Arial" w:eastAsia="Arial" w:hAnsi="Arial"/>
                <w:sz w:val="14"/>
                <w:szCs w:val="14"/>
                <w:color w:val="auto"/>
              </w:rPr>
              <w:t>Environmental commitments</w:t>
            </w:r>
          </w:p>
        </w:tc>
        <w:tc>
          <w:tcPr>
            <w:tcW w:w="2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6</w:t>
            </w:r>
          </w:p>
        </w:tc>
        <w:tc>
          <w:tcPr>
            <w:tcW w:w="26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6</w:t>
            </w:r>
          </w:p>
        </w:tc>
        <w:tc>
          <w:tcPr>
            <w:tcW w:w="3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2</w:t>
            </w:r>
          </w:p>
        </w:tc>
        <w:tc>
          <w:tcPr>
            <w:tcW w:w="2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14</w:t>
            </w:r>
          </w:p>
        </w:tc>
        <w:tc>
          <w:tcPr>
            <w:tcW w:w="24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w:t>
            </w:r>
          </w:p>
        </w:tc>
      </w:tr>
      <w:tr>
        <w:trPr>
          <w:trHeight w:val="224"/>
        </w:trPr>
        <w:tc>
          <w:tcPr>
            <w:tcW w:w="29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Totals</w:t>
            </w: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701</w:t>
            </w:r>
          </w:p>
        </w:tc>
        <w:tc>
          <w:tcPr>
            <w:tcW w:w="2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1,432</w:t>
            </w:r>
          </w:p>
        </w:tc>
        <w:tc>
          <w:tcPr>
            <w:tcW w:w="3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996</w:t>
            </w:r>
          </w:p>
        </w:tc>
        <w:tc>
          <w:tcPr>
            <w:tcW w:w="2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6,114</w:t>
            </w:r>
          </w:p>
        </w:tc>
        <w:tc>
          <w:tcPr>
            <w:tcW w:w="2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9,243</w:t>
            </w:r>
          </w:p>
        </w:tc>
      </w:tr>
    </w:tbl>
    <w:p>
      <w:pPr>
        <w:spacing w:after="0" w:line="4" w:lineRule="exact"/>
        <w:rPr>
          <w:sz w:val="20"/>
          <w:szCs w:val="20"/>
          <w:color w:val="auto"/>
        </w:rPr>
      </w:pPr>
    </w:p>
    <w:p>
      <w:pPr>
        <w:ind w:left="2460" w:right="1039" w:hanging="242"/>
        <w:spacing w:after="0" w:line="263" w:lineRule="auto"/>
        <w:tabs>
          <w:tab w:leader="none" w:pos="2460" w:val="left"/>
        </w:tabs>
        <w:numPr>
          <w:ilvl w:val="0"/>
          <w:numId w:val="296"/>
        </w:numPr>
        <w:rPr>
          <w:rFonts w:ascii="Arial" w:cs="Arial" w:eastAsia="Arial" w:hAnsi="Arial"/>
          <w:sz w:val="13"/>
          <w:szCs w:val="13"/>
          <w:i w:val="1"/>
          <w:iCs w:val="1"/>
          <w:color w:val="auto"/>
        </w:rPr>
      </w:pPr>
      <w:r>
        <w:rPr>
          <w:rFonts w:ascii="Arial" w:cs="Arial" w:eastAsia="Arial" w:hAnsi="Arial"/>
          <w:sz w:val="13"/>
          <w:szCs w:val="13"/>
          <w:i w:val="1"/>
          <w:iCs w:val="1"/>
          <w:color w:val="auto"/>
        </w:rPr>
        <w:t>SDG&amp;E calculates expected interest payments using the stated interest rate for fixed-rate obligations, including floating-to-fixed interest-rate swaps. SDG&amp;E calculates expected interest payments for variable-rate obligations based on forward rates in effect at December 31, 2008, including fixed-to-floating interest-rate swaps.</w:t>
      </w:r>
    </w:p>
    <w:p>
      <w:pPr>
        <w:spacing w:after="0" w:line="1" w:lineRule="exact"/>
        <w:rPr>
          <w:rFonts w:ascii="Arial" w:cs="Arial" w:eastAsia="Arial" w:hAnsi="Arial"/>
          <w:sz w:val="13"/>
          <w:szCs w:val="13"/>
          <w:i w:val="1"/>
          <w:iCs w:val="1"/>
          <w:color w:val="auto"/>
        </w:rPr>
      </w:pPr>
    </w:p>
    <w:p>
      <w:pPr>
        <w:ind w:left="2460" w:right="1159" w:hanging="242"/>
        <w:spacing w:after="0" w:line="277" w:lineRule="auto"/>
        <w:tabs>
          <w:tab w:leader="none" w:pos="2460" w:val="left"/>
        </w:tabs>
        <w:numPr>
          <w:ilvl w:val="0"/>
          <w:numId w:val="296"/>
        </w:numPr>
        <w:rPr>
          <w:rFonts w:ascii="Arial" w:cs="Arial" w:eastAsia="Arial" w:hAnsi="Arial"/>
          <w:sz w:val="13"/>
          <w:szCs w:val="13"/>
          <w:i w:val="1"/>
          <w:iCs w:val="1"/>
          <w:color w:val="auto"/>
        </w:rPr>
      </w:pPr>
      <w:r>
        <w:rPr>
          <w:rFonts w:ascii="Arial" w:cs="Arial" w:eastAsia="Arial" w:hAnsi="Arial"/>
          <w:sz w:val="13"/>
          <w:szCs w:val="13"/>
          <w:i w:val="1"/>
          <w:iCs w:val="1"/>
          <w:color w:val="auto"/>
        </w:rPr>
        <w:t>Amounts are after reduction for the Medicare Part D subsidy and only include expected payments to the plans for the next 10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1400810</wp:posOffset>
            </wp:positionH>
            <wp:positionV relativeFrom="paragraph">
              <wp:posOffset>250825</wp:posOffset>
            </wp:positionV>
            <wp:extent cx="4454525" cy="2667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4454525" cy="266700"/>
                    </a:xfrm>
                    <a:prstGeom prst="rect">
                      <a:avLst/>
                    </a:prstGeom>
                    <a:noFill/>
                  </pic:spPr>
                </pic:pic>
              </a:graphicData>
            </a:graphic>
          </wp:anchor>
        </w:drawing>
      </w:r>
    </w:p>
    <w:p>
      <w:pPr>
        <w:spacing w:after="0" w:line="383" w:lineRule="exact"/>
        <w:rPr>
          <w:sz w:val="20"/>
          <w:szCs w:val="20"/>
          <w:color w:val="auto"/>
        </w:rPr>
      </w:pPr>
    </w:p>
    <w:p>
      <w:pPr>
        <w:ind w:left="2220"/>
        <w:spacing w:after="0"/>
        <w:rPr>
          <w:sz w:val="20"/>
          <w:szCs w:val="20"/>
          <w:color w:val="auto"/>
        </w:rPr>
      </w:pPr>
      <w:r>
        <w:rPr>
          <w:rFonts w:ascii="Arial" w:cs="Arial" w:eastAsia="Arial" w:hAnsi="Arial"/>
          <w:sz w:val="14"/>
          <w:szCs w:val="14"/>
          <w:b w:val="1"/>
          <w:bCs w:val="1"/>
          <w:color w:val="auto"/>
        </w:rPr>
        <w:t>PRINCIPAL CONTRACTUAL COMMITMENTS OF PE AND SOCALGAS</w:t>
      </w:r>
    </w:p>
    <w:p>
      <w:pPr>
        <w:spacing w:after="0" w:line="76" w:lineRule="exact"/>
        <w:rPr>
          <w:sz w:val="20"/>
          <w:szCs w:val="20"/>
          <w:color w:val="auto"/>
        </w:rPr>
      </w:pPr>
    </w:p>
    <w:tbl>
      <w:tblPr>
        <w:tblLayout w:type="fixed"/>
        <w:tblInd w:w="2200" w:type="dxa"/>
        <w:tblCellMar>
          <w:top w:w="0" w:type="dxa"/>
          <w:left w:w="0" w:type="dxa"/>
          <w:bottom w:w="0" w:type="dxa"/>
          <w:right w:w="0" w:type="dxa"/>
        </w:tblCellMar>
      </w:tblPr>
      <w:tr>
        <w:trPr>
          <w:trHeight w:val="166"/>
        </w:trPr>
        <w:tc>
          <w:tcPr>
            <w:tcW w:w="2980" w:type="dxa"/>
            <w:vAlign w:val="bottom"/>
          </w:tcPr>
          <w:p>
            <w:pPr>
              <w:ind w:left="20"/>
              <w:spacing w:after="0"/>
              <w:rPr>
                <w:sz w:val="20"/>
                <w:szCs w:val="20"/>
                <w:color w:val="auto"/>
              </w:rPr>
            </w:pPr>
            <w:r>
              <w:rPr>
                <w:rFonts w:ascii="Arial" w:cs="Arial" w:eastAsia="Arial" w:hAnsi="Arial"/>
                <w:sz w:val="13"/>
                <w:szCs w:val="13"/>
                <w:i w:val="1"/>
                <w:iCs w:val="1"/>
                <w:color w:val="auto"/>
              </w:rPr>
              <w:t>(Dollars in millions)</w:t>
            </w: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60" w:type="dxa"/>
            <w:vAlign w:val="bottom"/>
          </w:tcPr>
          <w:p>
            <w:pPr>
              <w:spacing w:after="0"/>
              <w:rPr>
                <w:sz w:val="14"/>
                <w:szCs w:val="14"/>
                <w:color w:val="auto"/>
              </w:rPr>
            </w:pPr>
          </w:p>
        </w:tc>
      </w:tr>
      <w:tr>
        <w:trPr>
          <w:trHeight w:val="180"/>
        </w:trPr>
        <w:tc>
          <w:tcPr>
            <w:tcW w:w="29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40" w:type="dxa"/>
            <w:vAlign w:val="bottom"/>
          </w:tcPr>
          <w:p>
            <w:pPr>
              <w:jc w:val="right"/>
              <w:ind w:right="30"/>
              <w:spacing w:after="0"/>
              <w:rPr>
                <w:sz w:val="20"/>
                <w:szCs w:val="20"/>
                <w:color w:val="auto"/>
              </w:rPr>
            </w:pPr>
            <w:r>
              <w:rPr>
                <w:rFonts w:ascii="Arial" w:cs="Arial" w:eastAsia="Arial" w:hAnsi="Arial"/>
                <w:sz w:val="13"/>
                <w:szCs w:val="13"/>
                <w:color w:val="auto"/>
              </w:rPr>
              <w:t>2010</w:t>
            </w:r>
          </w:p>
        </w:tc>
        <w:tc>
          <w:tcPr>
            <w:tcW w:w="280" w:type="dxa"/>
            <w:vAlign w:val="bottom"/>
          </w:tcPr>
          <w:p>
            <w:pPr>
              <w:spacing w:after="0"/>
              <w:rPr>
                <w:sz w:val="15"/>
                <w:szCs w:val="15"/>
                <w:color w:val="auto"/>
              </w:rPr>
            </w:pPr>
          </w:p>
        </w:tc>
        <w:tc>
          <w:tcPr>
            <w:tcW w:w="500" w:type="dxa"/>
            <w:vAlign w:val="bottom"/>
          </w:tcPr>
          <w:p>
            <w:pPr>
              <w:jc w:val="right"/>
              <w:ind w:right="10"/>
              <w:spacing w:after="0"/>
              <w:rPr>
                <w:sz w:val="20"/>
                <w:szCs w:val="20"/>
                <w:color w:val="auto"/>
              </w:rPr>
            </w:pPr>
            <w:r>
              <w:rPr>
                <w:rFonts w:ascii="Arial" w:cs="Arial" w:eastAsia="Arial" w:hAnsi="Arial"/>
                <w:sz w:val="13"/>
                <w:szCs w:val="13"/>
                <w:color w:val="auto"/>
              </w:rPr>
              <w:t>2012</w:t>
            </w:r>
          </w:p>
        </w:tc>
        <w:tc>
          <w:tcPr>
            <w:tcW w:w="2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60" w:type="dxa"/>
            <w:vAlign w:val="bottom"/>
          </w:tcPr>
          <w:p>
            <w:pPr>
              <w:spacing w:after="0"/>
              <w:rPr>
                <w:sz w:val="15"/>
                <w:szCs w:val="15"/>
                <w:color w:val="auto"/>
              </w:rPr>
            </w:pPr>
          </w:p>
        </w:tc>
      </w:tr>
      <w:tr>
        <w:trPr>
          <w:trHeight w:val="156"/>
        </w:trPr>
        <w:tc>
          <w:tcPr>
            <w:tcW w:w="29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40" w:type="dxa"/>
            <w:vAlign w:val="bottom"/>
          </w:tcPr>
          <w:p>
            <w:pPr>
              <w:jc w:val="right"/>
              <w:ind w:right="30"/>
              <w:spacing w:after="0"/>
              <w:rPr>
                <w:sz w:val="20"/>
                <w:szCs w:val="20"/>
                <w:color w:val="auto"/>
              </w:rPr>
            </w:pPr>
            <w:r>
              <w:rPr>
                <w:rFonts w:ascii="Arial" w:cs="Arial" w:eastAsia="Arial" w:hAnsi="Arial"/>
                <w:sz w:val="13"/>
                <w:szCs w:val="13"/>
                <w:color w:val="auto"/>
              </w:rPr>
              <w:t>and</w:t>
            </w:r>
          </w:p>
        </w:tc>
        <w:tc>
          <w:tcPr>
            <w:tcW w:w="280" w:type="dxa"/>
            <w:vAlign w:val="bottom"/>
          </w:tcPr>
          <w:p>
            <w:pPr>
              <w:spacing w:after="0"/>
              <w:rPr>
                <w:sz w:val="13"/>
                <w:szCs w:val="13"/>
                <w:color w:val="auto"/>
              </w:rPr>
            </w:pPr>
          </w:p>
        </w:tc>
        <w:tc>
          <w:tcPr>
            <w:tcW w:w="500" w:type="dxa"/>
            <w:vAlign w:val="bottom"/>
          </w:tcPr>
          <w:p>
            <w:pPr>
              <w:jc w:val="right"/>
              <w:ind w:right="10"/>
              <w:spacing w:after="0"/>
              <w:rPr>
                <w:sz w:val="20"/>
                <w:szCs w:val="20"/>
                <w:color w:val="auto"/>
              </w:rPr>
            </w:pPr>
            <w:r>
              <w:rPr>
                <w:rFonts w:ascii="Arial" w:cs="Arial" w:eastAsia="Arial" w:hAnsi="Arial"/>
                <w:sz w:val="13"/>
                <w:szCs w:val="13"/>
                <w:color w:val="auto"/>
              </w:rPr>
              <w:t>and</w:t>
            </w:r>
          </w:p>
        </w:tc>
        <w:tc>
          <w:tcPr>
            <w:tcW w:w="2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60" w:type="dxa"/>
            <w:vAlign w:val="bottom"/>
          </w:tcPr>
          <w:p>
            <w:pPr>
              <w:spacing w:after="0"/>
              <w:rPr>
                <w:sz w:val="13"/>
                <w:szCs w:val="13"/>
                <w:color w:val="auto"/>
              </w:rPr>
            </w:pPr>
          </w:p>
        </w:tc>
      </w:tr>
      <w:tr>
        <w:trPr>
          <w:trHeight w:val="161"/>
        </w:trPr>
        <w:tc>
          <w:tcPr>
            <w:tcW w:w="29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29"/>
              <w:spacing w:after="0"/>
              <w:rPr>
                <w:sz w:val="20"/>
                <w:szCs w:val="20"/>
                <w:color w:val="auto"/>
              </w:rPr>
            </w:pPr>
            <w:r>
              <w:rPr>
                <w:rFonts w:ascii="Arial" w:cs="Arial" w:eastAsia="Arial" w:hAnsi="Arial"/>
                <w:sz w:val="13"/>
                <w:szCs w:val="13"/>
                <w:color w:val="auto"/>
              </w:rPr>
              <w:t>2009</w:t>
            </w:r>
          </w:p>
        </w:tc>
        <w:tc>
          <w:tcPr>
            <w:tcW w:w="2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30"/>
              <w:spacing w:after="0"/>
              <w:rPr>
                <w:sz w:val="20"/>
                <w:szCs w:val="20"/>
                <w:color w:val="auto"/>
              </w:rPr>
            </w:pPr>
            <w:r>
              <w:rPr>
                <w:rFonts w:ascii="Arial" w:cs="Arial" w:eastAsia="Arial" w:hAnsi="Arial"/>
                <w:sz w:val="13"/>
                <w:szCs w:val="13"/>
                <w:color w:val="auto"/>
              </w:rPr>
              <w:t>2011</w:t>
            </w:r>
          </w:p>
        </w:tc>
        <w:tc>
          <w:tcPr>
            <w:tcW w:w="2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10"/>
              <w:spacing w:after="0"/>
              <w:rPr>
                <w:sz w:val="20"/>
                <w:szCs w:val="20"/>
                <w:color w:val="auto"/>
              </w:rPr>
            </w:pPr>
            <w:r>
              <w:rPr>
                <w:rFonts w:ascii="Arial" w:cs="Arial" w:eastAsia="Arial" w:hAnsi="Arial"/>
                <w:sz w:val="13"/>
                <w:szCs w:val="13"/>
                <w:color w:val="auto"/>
              </w:rPr>
              <w:t>2013</w:t>
            </w:r>
          </w:p>
        </w:tc>
        <w:tc>
          <w:tcPr>
            <w:tcW w:w="2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9"/>
              <w:spacing w:after="0"/>
              <w:rPr>
                <w:sz w:val="20"/>
                <w:szCs w:val="20"/>
                <w:color w:val="auto"/>
              </w:rPr>
            </w:pPr>
            <w:r>
              <w:rPr>
                <w:rFonts w:ascii="Arial" w:cs="Arial" w:eastAsia="Arial" w:hAnsi="Arial"/>
                <w:sz w:val="13"/>
                <w:szCs w:val="13"/>
                <w:color w:val="auto"/>
              </w:rPr>
              <w:t>Thereafter</w:t>
            </w:r>
          </w:p>
        </w:tc>
        <w:tc>
          <w:tcPr>
            <w:tcW w:w="2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Total</w:t>
            </w:r>
          </w:p>
        </w:tc>
      </w:tr>
      <w:tr>
        <w:trPr>
          <w:trHeight w:val="207"/>
        </w:trPr>
        <w:tc>
          <w:tcPr>
            <w:tcW w:w="2980" w:type="dxa"/>
            <w:vAlign w:val="bottom"/>
          </w:tcPr>
          <w:p>
            <w:pPr>
              <w:ind w:left="20"/>
              <w:spacing w:after="0"/>
              <w:rPr>
                <w:sz w:val="20"/>
                <w:szCs w:val="20"/>
                <w:color w:val="auto"/>
              </w:rPr>
            </w:pPr>
            <w:r>
              <w:rPr>
                <w:rFonts w:ascii="Arial" w:cs="Arial" w:eastAsia="Arial" w:hAnsi="Arial"/>
                <w:sz w:val="14"/>
                <w:szCs w:val="14"/>
                <w:b w:val="1"/>
                <w:bCs w:val="1"/>
                <w:color w:val="auto"/>
              </w:rPr>
              <w:t>SoCalGas</w:t>
            </w: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r>
      <w:tr>
        <w:trPr>
          <w:trHeight w:val="216"/>
        </w:trPr>
        <w:tc>
          <w:tcPr>
            <w:tcW w:w="2980" w:type="dxa"/>
            <w:vAlign w:val="bottom"/>
          </w:tcPr>
          <w:p>
            <w:pPr>
              <w:ind w:left="20"/>
              <w:spacing w:after="0"/>
              <w:rPr>
                <w:sz w:val="20"/>
                <w:szCs w:val="20"/>
                <w:color w:val="auto"/>
              </w:rPr>
            </w:pPr>
            <w:r>
              <w:rPr>
                <w:rFonts w:ascii="Arial" w:cs="Arial" w:eastAsia="Arial" w:hAnsi="Arial"/>
                <w:sz w:val="14"/>
                <w:szCs w:val="14"/>
                <w:color w:val="auto"/>
              </w:rPr>
              <w:t>Long-term debt</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540" w:type="dxa"/>
            <w:vAlign w:val="bottom"/>
          </w:tcPr>
          <w:p>
            <w:pPr>
              <w:jc w:val="right"/>
              <w:ind w:right="29"/>
              <w:spacing w:after="0"/>
              <w:rPr>
                <w:sz w:val="20"/>
                <w:szCs w:val="20"/>
                <w:color w:val="auto"/>
              </w:rPr>
            </w:pPr>
            <w:r>
              <w:rPr>
                <w:rFonts w:ascii="Arial" w:cs="Arial" w:eastAsia="Arial" w:hAnsi="Arial"/>
                <w:sz w:val="14"/>
                <w:szCs w:val="14"/>
                <w:color w:val="auto"/>
              </w:rPr>
              <w:t>100</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540" w:type="dxa"/>
            <w:vAlign w:val="bottom"/>
          </w:tcPr>
          <w:p>
            <w:pPr>
              <w:jc w:val="right"/>
              <w:ind w:right="30"/>
              <w:spacing w:after="0"/>
              <w:rPr>
                <w:sz w:val="20"/>
                <w:szCs w:val="20"/>
                <w:color w:val="auto"/>
              </w:rPr>
            </w:pPr>
            <w:r>
              <w:rPr>
                <w:rFonts w:ascii="Arial" w:cs="Arial" w:eastAsia="Arial" w:hAnsi="Arial"/>
                <w:sz w:val="14"/>
                <w:szCs w:val="14"/>
                <w:color w:val="auto"/>
              </w:rPr>
              <w:t>250</w:t>
            </w:r>
          </w:p>
        </w:tc>
        <w:tc>
          <w:tcPr>
            <w:tcW w:w="2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500" w:type="dxa"/>
            <w:vAlign w:val="bottom"/>
          </w:tcPr>
          <w:p>
            <w:pPr>
              <w:jc w:val="right"/>
              <w:ind w:right="10"/>
              <w:spacing w:after="0"/>
              <w:rPr>
                <w:sz w:val="20"/>
                <w:szCs w:val="20"/>
                <w:color w:val="auto"/>
              </w:rPr>
            </w:pPr>
            <w:r>
              <w:rPr>
                <w:rFonts w:ascii="Arial" w:cs="Arial" w:eastAsia="Arial" w:hAnsi="Arial"/>
                <w:sz w:val="14"/>
                <w:szCs w:val="14"/>
                <w:color w:val="auto"/>
              </w:rPr>
              <w:t>250</w:t>
            </w:r>
          </w:p>
        </w:tc>
        <w:tc>
          <w:tcPr>
            <w:tcW w:w="2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29"/>
              <w:spacing w:after="0"/>
              <w:rPr>
                <w:sz w:val="20"/>
                <w:szCs w:val="20"/>
                <w:color w:val="auto"/>
              </w:rPr>
            </w:pPr>
            <w:r>
              <w:rPr>
                <w:rFonts w:ascii="Arial" w:cs="Arial" w:eastAsia="Arial" w:hAnsi="Arial"/>
                <w:sz w:val="14"/>
                <w:szCs w:val="14"/>
                <w:color w:val="auto"/>
              </w:rPr>
              <w:t>770</w:t>
            </w:r>
          </w:p>
        </w:tc>
        <w:tc>
          <w:tcPr>
            <w:tcW w:w="2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460" w:type="dxa"/>
            <w:vAlign w:val="bottom"/>
          </w:tcPr>
          <w:p>
            <w:pPr>
              <w:jc w:val="right"/>
              <w:spacing w:after="0"/>
              <w:rPr>
                <w:sz w:val="20"/>
                <w:szCs w:val="20"/>
                <w:color w:val="auto"/>
              </w:rPr>
            </w:pPr>
            <w:r>
              <w:rPr>
                <w:rFonts w:ascii="Arial" w:cs="Arial" w:eastAsia="Arial" w:hAnsi="Arial"/>
                <w:sz w:val="14"/>
                <w:szCs w:val="14"/>
                <w:color w:val="auto"/>
              </w:rPr>
              <w:t>1,370</w:t>
            </w:r>
          </w:p>
        </w:tc>
      </w:tr>
      <w:tr>
        <w:trPr>
          <w:trHeight w:val="216"/>
        </w:trPr>
        <w:tc>
          <w:tcPr>
            <w:tcW w:w="2980" w:type="dxa"/>
            <w:vAlign w:val="bottom"/>
          </w:tcPr>
          <w:p>
            <w:pPr>
              <w:ind w:left="20"/>
              <w:spacing w:after="0"/>
              <w:rPr>
                <w:sz w:val="20"/>
                <w:szCs w:val="20"/>
                <w:color w:val="auto"/>
              </w:rPr>
            </w:pPr>
            <w:r>
              <w:rPr>
                <w:rFonts w:ascii="Arial" w:cs="Arial" w:eastAsia="Arial" w:hAnsi="Arial"/>
                <w:sz w:val="14"/>
                <w:szCs w:val="14"/>
                <w:color w:val="auto"/>
              </w:rPr>
              <w:t>Interest on debt (1)</w:t>
            </w:r>
          </w:p>
        </w:tc>
        <w:tc>
          <w:tcPr>
            <w:tcW w:w="180" w:type="dxa"/>
            <w:vAlign w:val="bottom"/>
          </w:tcPr>
          <w:p>
            <w:pPr>
              <w:spacing w:after="0"/>
              <w:rPr>
                <w:sz w:val="18"/>
                <w:szCs w:val="18"/>
                <w:color w:val="auto"/>
              </w:rPr>
            </w:pPr>
          </w:p>
        </w:tc>
        <w:tc>
          <w:tcPr>
            <w:tcW w:w="540" w:type="dxa"/>
            <w:vAlign w:val="bottom"/>
          </w:tcPr>
          <w:p>
            <w:pPr>
              <w:jc w:val="right"/>
              <w:ind w:right="29"/>
              <w:spacing w:after="0"/>
              <w:rPr>
                <w:sz w:val="20"/>
                <w:szCs w:val="20"/>
                <w:color w:val="auto"/>
              </w:rPr>
            </w:pPr>
            <w:r>
              <w:rPr>
                <w:rFonts w:ascii="Arial" w:cs="Arial" w:eastAsia="Arial" w:hAnsi="Arial"/>
                <w:sz w:val="14"/>
                <w:szCs w:val="14"/>
                <w:color w:val="auto"/>
              </w:rPr>
              <w:t>62</w:t>
            </w:r>
          </w:p>
        </w:tc>
        <w:tc>
          <w:tcPr>
            <w:tcW w:w="240" w:type="dxa"/>
            <w:vAlign w:val="bottom"/>
          </w:tcPr>
          <w:p>
            <w:pPr>
              <w:spacing w:after="0"/>
              <w:rPr>
                <w:sz w:val="18"/>
                <w:szCs w:val="18"/>
                <w:color w:val="auto"/>
              </w:rPr>
            </w:pPr>
          </w:p>
        </w:tc>
        <w:tc>
          <w:tcPr>
            <w:tcW w:w="540" w:type="dxa"/>
            <w:vAlign w:val="bottom"/>
          </w:tcPr>
          <w:p>
            <w:pPr>
              <w:jc w:val="right"/>
              <w:ind w:right="30"/>
              <w:spacing w:after="0"/>
              <w:rPr>
                <w:sz w:val="20"/>
                <w:szCs w:val="20"/>
                <w:color w:val="auto"/>
              </w:rPr>
            </w:pPr>
            <w:r>
              <w:rPr>
                <w:rFonts w:ascii="Arial" w:cs="Arial" w:eastAsia="Arial" w:hAnsi="Arial"/>
                <w:sz w:val="14"/>
                <w:szCs w:val="14"/>
                <w:color w:val="auto"/>
              </w:rPr>
              <w:t>117</w:t>
            </w:r>
          </w:p>
        </w:tc>
        <w:tc>
          <w:tcPr>
            <w:tcW w:w="280" w:type="dxa"/>
            <w:vAlign w:val="bottom"/>
          </w:tcPr>
          <w:p>
            <w:pPr>
              <w:spacing w:after="0"/>
              <w:rPr>
                <w:sz w:val="18"/>
                <w:szCs w:val="18"/>
                <w:color w:val="auto"/>
              </w:rPr>
            </w:pPr>
          </w:p>
        </w:tc>
        <w:tc>
          <w:tcPr>
            <w:tcW w:w="500" w:type="dxa"/>
            <w:vAlign w:val="bottom"/>
          </w:tcPr>
          <w:p>
            <w:pPr>
              <w:jc w:val="right"/>
              <w:ind w:right="10"/>
              <w:spacing w:after="0"/>
              <w:rPr>
                <w:sz w:val="20"/>
                <w:szCs w:val="20"/>
                <w:color w:val="auto"/>
              </w:rPr>
            </w:pPr>
            <w:r>
              <w:rPr>
                <w:rFonts w:ascii="Arial" w:cs="Arial" w:eastAsia="Arial" w:hAnsi="Arial"/>
                <w:sz w:val="14"/>
                <w:szCs w:val="14"/>
                <w:color w:val="auto"/>
              </w:rPr>
              <w:t>94</w:t>
            </w:r>
          </w:p>
        </w:tc>
        <w:tc>
          <w:tcPr>
            <w:tcW w:w="280" w:type="dxa"/>
            <w:vAlign w:val="bottom"/>
          </w:tcPr>
          <w:p>
            <w:pPr>
              <w:spacing w:after="0"/>
              <w:rPr>
                <w:sz w:val="18"/>
                <w:szCs w:val="18"/>
                <w:color w:val="auto"/>
              </w:rPr>
            </w:pPr>
          </w:p>
        </w:tc>
        <w:tc>
          <w:tcPr>
            <w:tcW w:w="780" w:type="dxa"/>
            <w:vAlign w:val="bottom"/>
          </w:tcPr>
          <w:p>
            <w:pPr>
              <w:jc w:val="right"/>
              <w:ind w:right="29"/>
              <w:spacing w:after="0"/>
              <w:rPr>
                <w:sz w:val="20"/>
                <w:szCs w:val="20"/>
                <w:color w:val="auto"/>
              </w:rPr>
            </w:pPr>
            <w:r>
              <w:rPr>
                <w:rFonts w:ascii="Arial" w:cs="Arial" w:eastAsia="Arial" w:hAnsi="Arial"/>
                <w:sz w:val="14"/>
                <w:szCs w:val="14"/>
                <w:color w:val="auto"/>
              </w:rPr>
              <w:t>381</w:t>
            </w:r>
          </w:p>
        </w:tc>
        <w:tc>
          <w:tcPr>
            <w:tcW w:w="2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654</w:t>
            </w:r>
          </w:p>
        </w:tc>
      </w:tr>
      <w:tr>
        <w:trPr>
          <w:trHeight w:val="216"/>
        </w:trPr>
        <w:tc>
          <w:tcPr>
            <w:tcW w:w="2980" w:type="dxa"/>
            <w:vAlign w:val="bottom"/>
          </w:tcPr>
          <w:p>
            <w:pPr>
              <w:ind w:left="20"/>
              <w:spacing w:after="0"/>
              <w:rPr>
                <w:sz w:val="20"/>
                <w:szCs w:val="20"/>
                <w:color w:val="auto"/>
              </w:rPr>
            </w:pPr>
            <w:r>
              <w:rPr>
                <w:rFonts w:ascii="Arial" w:cs="Arial" w:eastAsia="Arial" w:hAnsi="Arial"/>
                <w:sz w:val="14"/>
                <w:szCs w:val="14"/>
                <w:color w:val="auto"/>
              </w:rPr>
              <w:t>Natural gas contracts</w:t>
            </w:r>
          </w:p>
        </w:tc>
        <w:tc>
          <w:tcPr>
            <w:tcW w:w="180" w:type="dxa"/>
            <w:vAlign w:val="bottom"/>
          </w:tcPr>
          <w:p>
            <w:pPr>
              <w:spacing w:after="0"/>
              <w:rPr>
                <w:sz w:val="18"/>
                <w:szCs w:val="18"/>
                <w:color w:val="auto"/>
              </w:rPr>
            </w:pPr>
          </w:p>
        </w:tc>
        <w:tc>
          <w:tcPr>
            <w:tcW w:w="540" w:type="dxa"/>
            <w:vAlign w:val="bottom"/>
          </w:tcPr>
          <w:p>
            <w:pPr>
              <w:jc w:val="right"/>
              <w:ind w:right="29"/>
              <w:spacing w:after="0"/>
              <w:rPr>
                <w:sz w:val="20"/>
                <w:szCs w:val="20"/>
                <w:color w:val="auto"/>
              </w:rPr>
            </w:pPr>
            <w:r>
              <w:rPr>
                <w:rFonts w:ascii="Arial" w:cs="Arial" w:eastAsia="Arial" w:hAnsi="Arial"/>
                <w:sz w:val="14"/>
                <w:szCs w:val="14"/>
                <w:color w:val="auto"/>
              </w:rPr>
              <w:t>991</w:t>
            </w:r>
          </w:p>
        </w:tc>
        <w:tc>
          <w:tcPr>
            <w:tcW w:w="240" w:type="dxa"/>
            <w:vAlign w:val="bottom"/>
          </w:tcPr>
          <w:p>
            <w:pPr>
              <w:spacing w:after="0"/>
              <w:rPr>
                <w:sz w:val="18"/>
                <w:szCs w:val="18"/>
                <w:color w:val="auto"/>
              </w:rPr>
            </w:pPr>
          </w:p>
        </w:tc>
        <w:tc>
          <w:tcPr>
            <w:tcW w:w="540" w:type="dxa"/>
            <w:vAlign w:val="bottom"/>
          </w:tcPr>
          <w:p>
            <w:pPr>
              <w:jc w:val="right"/>
              <w:ind w:right="30"/>
              <w:spacing w:after="0"/>
              <w:rPr>
                <w:sz w:val="20"/>
                <w:szCs w:val="20"/>
                <w:color w:val="auto"/>
              </w:rPr>
            </w:pPr>
            <w:r>
              <w:rPr>
                <w:rFonts w:ascii="Arial" w:cs="Arial" w:eastAsia="Arial" w:hAnsi="Arial"/>
                <w:sz w:val="14"/>
                <w:szCs w:val="14"/>
                <w:color w:val="auto"/>
              </w:rPr>
              <w:t>874</w:t>
            </w:r>
          </w:p>
        </w:tc>
        <w:tc>
          <w:tcPr>
            <w:tcW w:w="280" w:type="dxa"/>
            <w:vAlign w:val="bottom"/>
          </w:tcPr>
          <w:p>
            <w:pPr>
              <w:spacing w:after="0"/>
              <w:rPr>
                <w:sz w:val="18"/>
                <w:szCs w:val="18"/>
                <w:color w:val="auto"/>
              </w:rPr>
            </w:pPr>
          </w:p>
        </w:tc>
        <w:tc>
          <w:tcPr>
            <w:tcW w:w="500" w:type="dxa"/>
            <w:vAlign w:val="bottom"/>
          </w:tcPr>
          <w:p>
            <w:pPr>
              <w:jc w:val="right"/>
              <w:ind w:right="10"/>
              <w:spacing w:after="0"/>
              <w:rPr>
                <w:sz w:val="20"/>
                <w:szCs w:val="20"/>
                <w:color w:val="auto"/>
              </w:rPr>
            </w:pPr>
            <w:r>
              <w:rPr>
                <w:rFonts w:ascii="Arial" w:cs="Arial" w:eastAsia="Arial" w:hAnsi="Arial"/>
                <w:sz w:val="14"/>
                <w:szCs w:val="14"/>
                <w:color w:val="auto"/>
              </w:rPr>
              <w:t>95</w:t>
            </w:r>
          </w:p>
        </w:tc>
        <w:tc>
          <w:tcPr>
            <w:tcW w:w="280" w:type="dxa"/>
            <w:vAlign w:val="bottom"/>
          </w:tcPr>
          <w:p>
            <w:pPr>
              <w:spacing w:after="0"/>
              <w:rPr>
                <w:sz w:val="18"/>
                <w:szCs w:val="18"/>
                <w:color w:val="auto"/>
              </w:rPr>
            </w:pPr>
          </w:p>
        </w:tc>
        <w:tc>
          <w:tcPr>
            <w:tcW w:w="780" w:type="dxa"/>
            <w:vAlign w:val="bottom"/>
          </w:tcPr>
          <w:p>
            <w:pPr>
              <w:jc w:val="right"/>
              <w:ind w:right="29"/>
              <w:spacing w:after="0"/>
              <w:rPr>
                <w:sz w:val="20"/>
                <w:szCs w:val="20"/>
                <w:color w:val="auto"/>
              </w:rPr>
            </w:pPr>
            <w:r>
              <w:rPr>
                <w:rFonts w:ascii="Arial" w:cs="Arial" w:eastAsia="Arial" w:hAnsi="Arial"/>
                <w:sz w:val="14"/>
                <w:szCs w:val="14"/>
                <w:color w:val="auto"/>
              </w:rPr>
              <w:t>211</w:t>
            </w:r>
          </w:p>
        </w:tc>
        <w:tc>
          <w:tcPr>
            <w:tcW w:w="2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2,171</w:t>
            </w:r>
          </w:p>
        </w:tc>
      </w:tr>
      <w:tr>
        <w:trPr>
          <w:trHeight w:val="216"/>
        </w:trPr>
        <w:tc>
          <w:tcPr>
            <w:tcW w:w="2980" w:type="dxa"/>
            <w:vAlign w:val="bottom"/>
          </w:tcPr>
          <w:p>
            <w:pPr>
              <w:ind w:left="20"/>
              <w:spacing w:after="0"/>
              <w:rPr>
                <w:sz w:val="20"/>
                <w:szCs w:val="20"/>
                <w:color w:val="auto"/>
              </w:rPr>
            </w:pPr>
            <w:r>
              <w:rPr>
                <w:rFonts w:ascii="Arial" w:cs="Arial" w:eastAsia="Arial" w:hAnsi="Arial"/>
                <w:sz w:val="14"/>
                <w:szCs w:val="14"/>
                <w:color w:val="auto"/>
              </w:rPr>
              <w:t>Operating leases</w:t>
            </w:r>
          </w:p>
        </w:tc>
        <w:tc>
          <w:tcPr>
            <w:tcW w:w="180" w:type="dxa"/>
            <w:vAlign w:val="bottom"/>
          </w:tcPr>
          <w:p>
            <w:pPr>
              <w:spacing w:after="0"/>
              <w:rPr>
                <w:sz w:val="18"/>
                <w:szCs w:val="18"/>
                <w:color w:val="auto"/>
              </w:rPr>
            </w:pPr>
          </w:p>
        </w:tc>
        <w:tc>
          <w:tcPr>
            <w:tcW w:w="540" w:type="dxa"/>
            <w:vAlign w:val="bottom"/>
          </w:tcPr>
          <w:p>
            <w:pPr>
              <w:jc w:val="right"/>
              <w:ind w:right="29"/>
              <w:spacing w:after="0"/>
              <w:rPr>
                <w:sz w:val="20"/>
                <w:szCs w:val="20"/>
                <w:color w:val="auto"/>
              </w:rPr>
            </w:pPr>
            <w:r>
              <w:rPr>
                <w:rFonts w:ascii="Arial" w:cs="Arial" w:eastAsia="Arial" w:hAnsi="Arial"/>
                <w:sz w:val="14"/>
                <w:szCs w:val="14"/>
                <w:color w:val="auto"/>
              </w:rPr>
              <w:t>47</w:t>
            </w:r>
          </w:p>
        </w:tc>
        <w:tc>
          <w:tcPr>
            <w:tcW w:w="240" w:type="dxa"/>
            <w:vAlign w:val="bottom"/>
          </w:tcPr>
          <w:p>
            <w:pPr>
              <w:spacing w:after="0"/>
              <w:rPr>
                <w:sz w:val="18"/>
                <w:szCs w:val="18"/>
                <w:color w:val="auto"/>
              </w:rPr>
            </w:pPr>
          </w:p>
        </w:tc>
        <w:tc>
          <w:tcPr>
            <w:tcW w:w="540" w:type="dxa"/>
            <w:vAlign w:val="bottom"/>
          </w:tcPr>
          <w:p>
            <w:pPr>
              <w:jc w:val="right"/>
              <w:ind w:right="30"/>
              <w:spacing w:after="0"/>
              <w:rPr>
                <w:sz w:val="20"/>
                <w:szCs w:val="20"/>
                <w:color w:val="auto"/>
              </w:rPr>
            </w:pPr>
            <w:r>
              <w:rPr>
                <w:rFonts w:ascii="Arial" w:cs="Arial" w:eastAsia="Arial" w:hAnsi="Arial"/>
                <w:sz w:val="14"/>
                <w:szCs w:val="14"/>
                <w:color w:val="auto"/>
              </w:rPr>
              <w:t>85</w:t>
            </w:r>
          </w:p>
        </w:tc>
        <w:tc>
          <w:tcPr>
            <w:tcW w:w="280" w:type="dxa"/>
            <w:vAlign w:val="bottom"/>
          </w:tcPr>
          <w:p>
            <w:pPr>
              <w:spacing w:after="0"/>
              <w:rPr>
                <w:sz w:val="18"/>
                <w:szCs w:val="18"/>
                <w:color w:val="auto"/>
              </w:rPr>
            </w:pPr>
          </w:p>
        </w:tc>
        <w:tc>
          <w:tcPr>
            <w:tcW w:w="500" w:type="dxa"/>
            <w:vAlign w:val="bottom"/>
          </w:tcPr>
          <w:p>
            <w:pPr>
              <w:jc w:val="right"/>
              <w:ind w:right="10"/>
              <w:spacing w:after="0"/>
              <w:rPr>
                <w:sz w:val="20"/>
                <w:szCs w:val="20"/>
                <w:color w:val="auto"/>
              </w:rPr>
            </w:pPr>
            <w:r>
              <w:rPr>
                <w:rFonts w:ascii="Arial" w:cs="Arial" w:eastAsia="Arial" w:hAnsi="Arial"/>
                <w:sz w:val="14"/>
                <w:szCs w:val="14"/>
                <w:color w:val="auto"/>
              </w:rPr>
              <w:t>13</w:t>
            </w:r>
          </w:p>
        </w:tc>
        <w:tc>
          <w:tcPr>
            <w:tcW w:w="280" w:type="dxa"/>
            <w:vAlign w:val="bottom"/>
          </w:tcPr>
          <w:p>
            <w:pPr>
              <w:spacing w:after="0"/>
              <w:rPr>
                <w:sz w:val="18"/>
                <w:szCs w:val="18"/>
                <w:color w:val="auto"/>
              </w:rPr>
            </w:pPr>
          </w:p>
        </w:tc>
        <w:tc>
          <w:tcPr>
            <w:tcW w:w="780" w:type="dxa"/>
            <w:vAlign w:val="bottom"/>
          </w:tcPr>
          <w:p>
            <w:pPr>
              <w:jc w:val="right"/>
              <w:ind w:right="29"/>
              <w:spacing w:after="0"/>
              <w:rPr>
                <w:sz w:val="20"/>
                <w:szCs w:val="20"/>
                <w:color w:val="auto"/>
              </w:rPr>
            </w:pPr>
            <w:r>
              <w:rPr>
                <w:rFonts w:ascii="Arial" w:cs="Arial" w:eastAsia="Arial" w:hAnsi="Arial"/>
                <w:sz w:val="14"/>
                <w:szCs w:val="14"/>
                <w:color w:val="auto"/>
              </w:rPr>
              <w:t>14</w:t>
            </w:r>
          </w:p>
        </w:tc>
        <w:tc>
          <w:tcPr>
            <w:tcW w:w="2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159</w:t>
            </w:r>
          </w:p>
        </w:tc>
      </w:tr>
      <w:tr>
        <w:trPr>
          <w:trHeight w:val="216"/>
        </w:trPr>
        <w:tc>
          <w:tcPr>
            <w:tcW w:w="2980" w:type="dxa"/>
            <w:vAlign w:val="bottom"/>
          </w:tcPr>
          <w:p>
            <w:pPr>
              <w:ind w:left="20"/>
              <w:spacing w:after="0"/>
              <w:rPr>
                <w:sz w:val="20"/>
                <w:szCs w:val="20"/>
                <w:color w:val="auto"/>
              </w:rPr>
            </w:pPr>
            <w:r>
              <w:rPr>
                <w:rFonts w:ascii="Arial" w:cs="Arial" w:eastAsia="Arial" w:hAnsi="Arial"/>
                <w:sz w:val="14"/>
                <w:szCs w:val="14"/>
                <w:color w:val="auto"/>
              </w:rPr>
              <w:t>Construction commitments</w:t>
            </w:r>
          </w:p>
        </w:tc>
        <w:tc>
          <w:tcPr>
            <w:tcW w:w="180" w:type="dxa"/>
            <w:vAlign w:val="bottom"/>
          </w:tcPr>
          <w:p>
            <w:pPr>
              <w:spacing w:after="0"/>
              <w:rPr>
                <w:sz w:val="18"/>
                <w:szCs w:val="18"/>
                <w:color w:val="auto"/>
              </w:rPr>
            </w:pPr>
          </w:p>
        </w:tc>
        <w:tc>
          <w:tcPr>
            <w:tcW w:w="540" w:type="dxa"/>
            <w:vAlign w:val="bottom"/>
          </w:tcPr>
          <w:p>
            <w:pPr>
              <w:jc w:val="right"/>
              <w:ind w:right="29"/>
              <w:spacing w:after="0"/>
              <w:rPr>
                <w:sz w:val="20"/>
                <w:szCs w:val="20"/>
                <w:color w:val="auto"/>
              </w:rPr>
            </w:pPr>
            <w:r>
              <w:rPr>
                <w:rFonts w:ascii="Arial" w:cs="Arial" w:eastAsia="Arial" w:hAnsi="Arial"/>
                <w:sz w:val="14"/>
                <w:szCs w:val="14"/>
                <w:color w:val="auto"/>
              </w:rPr>
              <w:t>32</w:t>
            </w:r>
          </w:p>
        </w:tc>
        <w:tc>
          <w:tcPr>
            <w:tcW w:w="240" w:type="dxa"/>
            <w:vAlign w:val="bottom"/>
          </w:tcPr>
          <w:p>
            <w:pPr>
              <w:spacing w:after="0"/>
              <w:rPr>
                <w:sz w:val="18"/>
                <w:szCs w:val="18"/>
                <w:color w:val="auto"/>
              </w:rPr>
            </w:pPr>
          </w:p>
        </w:tc>
        <w:tc>
          <w:tcPr>
            <w:tcW w:w="54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8"/>
                <w:szCs w:val="18"/>
                <w:color w:val="auto"/>
              </w:rPr>
            </w:pPr>
          </w:p>
        </w:tc>
        <w:tc>
          <w:tcPr>
            <w:tcW w:w="50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8"/>
                <w:szCs w:val="18"/>
                <w:color w:val="auto"/>
              </w:rPr>
            </w:pPr>
          </w:p>
        </w:tc>
        <w:tc>
          <w:tcPr>
            <w:tcW w:w="78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32</w:t>
            </w:r>
          </w:p>
        </w:tc>
      </w:tr>
      <w:tr>
        <w:trPr>
          <w:trHeight w:val="216"/>
        </w:trPr>
        <w:tc>
          <w:tcPr>
            <w:tcW w:w="2980" w:type="dxa"/>
            <w:vAlign w:val="bottom"/>
          </w:tcPr>
          <w:p>
            <w:pPr>
              <w:ind w:left="20"/>
              <w:spacing w:after="0"/>
              <w:rPr>
                <w:sz w:val="20"/>
                <w:szCs w:val="20"/>
                <w:color w:val="auto"/>
              </w:rPr>
            </w:pPr>
            <w:r>
              <w:rPr>
                <w:rFonts w:ascii="Arial" w:cs="Arial" w:eastAsia="Arial" w:hAnsi="Arial"/>
                <w:sz w:val="14"/>
                <w:szCs w:val="14"/>
                <w:color w:val="auto"/>
              </w:rPr>
              <w:t>Litigation settlements</w:t>
            </w:r>
          </w:p>
        </w:tc>
        <w:tc>
          <w:tcPr>
            <w:tcW w:w="180" w:type="dxa"/>
            <w:vAlign w:val="bottom"/>
          </w:tcPr>
          <w:p>
            <w:pPr>
              <w:spacing w:after="0"/>
              <w:rPr>
                <w:sz w:val="18"/>
                <w:szCs w:val="18"/>
                <w:color w:val="auto"/>
              </w:rPr>
            </w:pPr>
          </w:p>
        </w:tc>
        <w:tc>
          <w:tcPr>
            <w:tcW w:w="540" w:type="dxa"/>
            <w:vAlign w:val="bottom"/>
          </w:tcPr>
          <w:p>
            <w:pPr>
              <w:jc w:val="right"/>
              <w:ind w:right="29"/>
              <w:spacing w:after="0"/>
              <w:rPr>
                <w:sz w:val="20"/>
                <w:szCs w:val="20"/>
                <w:color w:val="auto"/>
              </w:rPr>
            </w:pPr>
            <w:r>
              <w:rPr>
                <w:rFonts w:ascii="Arial" w:cs="Arial" w:eastAsia="Arial" w:hAnsi="Arial"/>
                <w:sz w:val="14"/>
                <w:szCs w:val="14"/>
                <w:color w:val="auto"/>
              </w:rPr>
              <w:t>12</w:t>
            </w:r>
          </w:p>
        </w:tc>
        <w:tc>
          <w:tcPr>
            <w:tcW w:w="240" w:type="dxa"/>
            <w:vAlign w:val="bottom"/>
          </w:tcPr>
          <w:p>
            <w:pPr>
              <w:spacing w:after="0"/>
              <w:rPr>
                <w:sz w:val="18"/>
                <w:szCs w:val="18"/>
                <w:color w:val="auto"/>
              </w:rPr>
            </w:pPr>
          </w:p>
        </w:tc>
        <w:tc>
          <w:tcPr>
            <w:tcW w:w="540" w:type="dxa"/>
            <w:vAlign w:val="bottom"/>
          </w:tcPr>
          <w:p>
            <w:pPr>
              <w:jc w:val="right"/>
              <w:ind w:right="30"/>
              <w:spacing w:after="0"/>
              <w:rPr>
                <w:sz w:val="20"/>
                <w:szCs w:val="20"/>
                <w:color w:val="auto"/>
              </w:rPr>
            </w:pPr>
            <w:r>
              <w:rPr>
                <w:rFonts w:ascii="Arial" w:cs="Arial" w:eastAsia="Arial" w:hAnsi="Arial"/>
                <w:sz w:val="14"/>
                <w:szCs w:val="14"/>
                <w:color w:val="auto"/>
              </w:rPr>
              <w:t>23</w:t>
            </w:r>
          </w:p>
        </w:tc>
        <w:tc>
          <w:tcPr>
            <w:tcW w:w="280" w:type="dxa"/>
            <w:vAlign w:val="bottom"/>
          </w:tcPr>
          <w:p>
            <w:pPr>
              <w:spacing w:after="0"/>
              <w:rPr>
                <w:sz w:val="18"/>
                <w:szCs w:val="18"/>
                <w:color w:val="auto"/>
              </w:rPr>
            </w:pPr>
          </w:p>
        </w:tc>
        <w:tc>
          <w:tcPr>
            <w:tcW w:w="500" w:type="dxa"/>
            <w:vAlign w:val="bottom"/>
          </w:tcPr>
          <w:p>
            <w:pPr>
              <w:jc w:val="right"/>
              <w:ind w:right="10"/>
              <w:spacing w:after="0"/>
              <w:rPr>
                <w:sz w:val="20"/>
                <w:szCs w:val="20"/>
                <w:color w:val="auto"/>
              </w:rPr>
            </w:pPr>
            <w:r>
              <w:rPr>
                <w:rFonts w:ascii="Arial" w:cs="Arial" w:eastAsia="Arial" w:hAnsi="Arial"/>
                <w:sz w:val="14"/>
                <w:szCs w:val="14"/>
                <w:color w:val="auto"/>
              </w:rPr>
              <w:t>23</w:t>
            </w:r>
          </w:p>
        </w:tc>
        <w:tc>
          <w:tcPr>
            <w:tcW w:w="280" w:type="dxa"/>
            <w:vAlign w:val="bottom"/>
          </w:tcPr>
          <w:p>
            <w:pPr>
              <w:spacing w:after="0"/>
              <w:rPr>
                <w:sz w:val="18"/>
                <w:szCs w:val="18"/>
                <w:color w:val="auto"/>
              </w:rPr>
            </w:pPr>
          </w:p>
        </w:tc>
        <w:tc>
          <w:tcPr>
            <w:tcW w:w="780" w:type="dxa"/>
            <w:vAlign w:val="bottom"/>
          </w:tcPr>
          <w:p>
            <w:pPr>
              <w:jc w:val="right"/>
              <w:ind w:right="29"/>
              <w:spacing w:after="0"/>
              <w:rPr>
                <w:sz w:val="20"/>
                <w:szCs w:val="20"/>
                <w:color w:val="auto"/>
              </w:rPr>
            </w:pPr>
            <w:r>
              <w:rPr>
                <w:rFonts w:ascii="Arial" w:cs="Arial" w:eastAsia="Arial" w:hAnsi="Arial"/>
                <w:sz w:val="14"/>
                <w:szCs w:val="14"/>
                <w:color w:val="auto"/>
              </w:rPr>
              <w:t>23</w:t>
            </w:r>
          </w:p>
        </w:tc>
        <w:tc>
          <w:tcPr>
            <w:tcW w:w="2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81</w:t>
            </w:r>
          </w:p>
        </w:tc>
      </w:tr>
      <w:tr>
        <w:trPr>
          <w:trHeight w:val="216"/>
        </w:trPr>
        <w:tc>
          <w:tcPr>
            <w:tcW w:w="2980" w:type="dxa"/>
            <w:vAlign w:val="bottom"/>
          </w:tcPr>
          <w:p>
            <w:pPr>
              <w:ind w:left="20"/>
              <w:spacing w:after="0"/>
              <w:rPr>
                <w:sz w:val="20"/>
                <w:szCs w:val="20"/>
                <w:color w:val="auto"/>
              </w:rPr>
            </w:pPr>
            <w:r>
              <w:rPr>
                <w:rFonts w:ascii="Arial" w:cs="Arial" w:eastAsia="Arial" w:hAnsi="Arial"/>
                <w:sz w:val="14"/>
                <w:szCs w:val="14"/>
                <w:color w:val="auto"/>
              </w:rPr>
              <w:t>Environmental commitments</w:t>
            </w:r>
          </w:p>
        </w:tc>
        <w:tc>
          <w:tcPr>
            <w:tcW w:w="180" w:type="dxa"/>
            <w:vAlign w:val="bottom"/>
          </w:tcPr>
          <w:p>
            <w:pPr>
              <w:spacing w:after="0"/>
              <w:rPr>
                <w:sz w:val="18"/>
                <w:szCs w:val="18"/>
                <w:color w:val="auto"/>
              </w:rPr>
            </w:pPr>
          </w:p>
        </w:tc>
        <w:tc>
          <w:tcPr>
            <w:tcW w:w="540" w:type="dxa"/>
            <w:vAlign w:val="bottom"/>
          </w:tcPr>
          <w:p>
            <w:pPr>
              <w:jc w:val="right"/>
              <w:ind w:right="29"/>
              <w:spacing w:after="0"/>
              <w:rPr>
                <w:sz w:val="20"/>
                <w:szCs w:val="20"/>
                <w:color w:val="auto"/>
              </w:rPr>
            </w:pPr>
            <w:r>
              <w:rPr>
                <w:rFonts w:ascii="Arial" w:cs="Arial" w:eastAsia="Arial" w:hAnsi="Arial"/>
                <w:sz w:val="14"/>
                <w:szCs w:val="14"/>
                <w:color w:val="auto"/>
              </w:rPr>
              <w:t>20</w:t>
            </w:r>
          </w:p>
        </w:tc>
        <w:tc>
          <w:tcPr>
            <w:tcW w:w="240" w:type="dxa"/>
            <w:vAlign w:val="bottom"/>
          </w:tcPr>
          <w:p>
            <w:pPr>
              <w:spacing w:after="0"/>
              <w:rPr>
                <w:sz w:val="18"/>
                <w:szCs w:val="18"/>
                <w:color w:val="auto"/>
              </w:rPr>
            </w:pPr>
          </w:p>
        </w:tc>
        <w:tc>
          <w:tcPr>
            <w:tcW w:w="540" w:type="dxa"/>
            <w:vAlign w:val="bottom"/>
          </w:tcPr>
          <w:p>
            <w:pPr>
              <w:jc w:val="right"/>
              <w:ind w:right="30"/>
              <w:spacing w:after="0"/>
              <w:rPr>
                <w:sz w:val="20"/>
                <w:szCs w:val="20"/>
                <w:color w:val="auto"/>
              </w:rPr>
            </w:pPr>
            <w:r>
              <w:rPr>
                <w:rFonts w:ascii="Arial" w:cs="Arial" w:eastAsia="Arial" w:hAnsi="Arial"/>
                <w:sz w:val="14"/>
                <w:szCs w:val="14"/>
                <w:color w:val="auto"/>
              </w:rPr>
              <w:t>17</w:t>
            </w:r>
          </w:p>
        </w:tc>
        <w:tc>
          <w:tcPr>
            <w:tcW w:w="280" w:type="dxa"/>
            <w:vAlign w:val="bottom"/>
          </w:tcPr>
          <w:p>
            <w:pPr>
              <w:spacing w:after="0"/>
              <w:rPr>
                <w:sz w:val="18"/>
                <w:szCs w:val="18"/>
                <w:color w:val="auto"/>
              </w:rPr>
            </w:pPr>
          </w:p>
        </w:tc>
        <w:tc>
          <w:tcPr>
            <w:tcW w:w="500" w:type="dxa"/>
            <w:vAlign w:val="bottom"/>
          </w:tcPr>
          <w:p>
            <w:pPr>
              <w:jc w:val="right"/>
              <w:ind w:right="10"/>
              <w:spacing w:after="0"/>
              <w:rPr>
                <w:sz w:val="20"/>
                <w:szCs w:val="20"/>
                <w:color w:val="auto"/>
              </w:rPr>
            </w:pPr>
            <w:r>
              <w:rPr>
                <w:rFonts w:ascii="Arial" w:cs="Arial" w:eastAsia="Arial" w:hAnsi="Arial"/>
                <w:sz w:val="14"/>
                <w:szCs w:val="14"/>
                <w:color w:val="auto"/>
              </w:rPr>
              <w:t>3</w:t>
            </w:r>
          </w:p>
        </w:tc>
        <w:tc>
          <w:tcPr>
            <w:tcW w:w="280" w:type="dxa"/>
            <w:vAlign w:val="bottom"/>
          </w:tcPr>
          <w:p>
            <w:pPr>
              <w:spacing w:after="0"/>
              <w:rPr>
                <w:sz w:val="18"/>
                <w:szCs w:val="18"/>
                <w:color w:val="auto"/>
              </w:rPr>
            </w:pPr>
          </w:p>
        </w:tc>
        <w:tc>
          <w:tcPr>
            <w:tcW w:w="78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40</w:t>
            </w:r>
          </w:p>
        </w:tc>
      </w:tr>
      <w:tr>
        <w:trPr>
          <w:trHeight w:val="188"/>
        </w:trPr>
        <w:tc>
          <w:tcPr>
            <w:tcW w:w="2980" w:type="dxa"/>
            <w:vAlign w:val="bottom"/>
          </w:tcPr>
          <w:p>
            <w:pPr>
              <w:ind w:left="20"/>
              <w:spacing w:after="0"/>
              <w:rPr>
                <w:sz w:val="20"/>
                <w:szCs w:val="20"/>
                <w:color w:val="auto"/>
              </w:rPr>
            </w:pPr>
            <w:r>
              <w:rPr>
                <w:rFonts w:ascii="Arial" w:cs="Arial" w:eastAsia="Arial" w:hAnsi="Arial"/>
                <w:sz w:val="14"/>
                <w:szCs w:val="14"/>
                <w:color w:val="auto"/>
              </w:rPr>
              <w:t>Pension and postretirement benefit</w:t>
            </w:r>
          </w:p>
        </w:tc>
        <w:tc>
          <w:tcPr>
            <w:tcW w:w="1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60" w:type="dxa"/>
            <w:vAlign w:val="bottom"/>
          </w:tcPr>
          <w:p>
            <w:pPr>
              <w:spacing w:after="0"/>
              <w:rPr>
                <w:sz w:val="16"/>
                <w:szCs w:val="16"/>
                <w:color w:val="auto"/>
              </w:rPr>
            </w:pPr>
          </w:p>
        </w:tc>
      </w:tr>
      <w:tr>
        <w:trPr>
          <w:trHeight w:val="172"/>
        </w:trPr>
        <w:tc>
          <w:tcPr>
            <w:tcW w:w="2980" w:type="dxa"/>
            <w:vAlign w:val="bottom"/>
          </w:tcPr>
          <w:p>
            <w:pPr>
              <w:ind w:left="180"/>
              <w:spacing w:after="0"/>
              <w:rPr>
                <w:sz w:val="20"/>
                <w:szCs w:val="20"/>
                <w:color w:val="auto"/>
              </w:rPr>
            </w:pPr>
            <w:r>
              <w:rPr>
                <w:rFonts w:ascii="Arial" w:cs="Arial" w:eastAsia="Arial" w:hAnsi="Arial"/>
                <w:sz w:val="14"/>
                <w:szCs w:val="14"/>
                <w:color w:val="auto"/>
              </w:rPr>
              <w:t>obligations (2)</w:t>
            </w:r>
          </w:p>
        </w:tc>
        <w:tc>
          <w:tcPr>
            <w:tcW w:w="180" w:type="dxa"/>
            <w:vAlign w:val="bottom"/>
          </w:tcPr>
          <w:p>
            <w:pPr>
              <w:spacing w:after="0"/>
              <w:rPr>
                <w:sz w:val="14"/>
                <w:szCs w:val="14"/>
                <w:color w:val="auto"/>
              </w:rPr>
            </w:pPr>
          </w:p>
        </w:tc>
        <w:tc>
          <w:tcPr>
            <w:tcW w:w="540" w:type="dxa"/>
            <w:vAlign w:val="bottom"/>
          </w:tcPr>
          <w:p>
            <w:pPr>
              <w:jc w:val="right"/>
              <w:ind w:right="29"/>
              <w:spacing w:after="0"/>
              <w:rPr>
                <w:sz w:val="20"/>
                <w:szCs w:val="20"/>
                <w:color w:val="auto"/>
              </w:rPr>
            </w:pPr>
            <w:r>
              <w:rPr>
                <w:rFonts w:ascii="Arial" w:cs="Arial" w:eastAsia="Arial" w:hAnsi="Arial"/>
                <w:sz w:val="14"/>
                <w:szCs w:val="14"/>
                <w:color w:val="auto"/>
              </w:rPr>
              <w:t>101</w:t>
            </w:r>
          </w:p>
        </w:tc>
        <w:tc>
          <w:tcPr>
            <w:tcW w:w="240" w:type="dxa"/>
            <w:vAlign w:val="bottom"/>
          </w:tcPr>
          <w:p>
            <w:pPr>
              <w:spacing w:after="0"/>
              <w:rPr>
                <w:sz w:val="14"/>
                <w:szCs w:val="14"/>
                <w:color w:val="auto"/>
              </w:rPr>
            </w:pPr>
          </w:p>
        </w:tc>
        <w:tc>
          <w:tcPr>
            <w:tcW w:w="540" w:type="dxa"/>
            <w:vAlign w:val="bottom"/>
          </w:tcPr>
          <w:p>
            <w:pPr>
              <w:jc w:val="right"/>
              <w:ind w:right="30"/>
              <w:spacing w:after="0"/>
              <w:rPr>
                <w:sz w:val="20"/>
                <w:szCs w:val="20"/>
                <w:color w:val="auto"/>
              </w:rPr>
            </w:pPr>
            <w:r>
              <w:rPr>
                <w:rFonts w:ascii="Arial" w:cs="Arial" w:eastAsia="Arial" w:hAnsi="Arial"/>
                <w:sz w:val="14"/>
                <w:szCs w:val="14"/>
                <w:color w:val="auto"/>
              </w:rPr>
              <w:t>295</w:t>
            </w:r>
          </w:p>
        </w:tc>
        <w:tc>
          <w:tcPr>
            <w:tcW w:w="280" w:type="dxa"/>
            <w:vAlign w:val="bottom"/>
          </w:tcPr>
          <w:p>
            <w:pPr>
              <w:spacing w:after="0"/>
              <w:rPr>
                <w:sz w:val="14"/>
                <w:szCs w:val="14"/>
                <w:color w:val="auto"/>
              </w:rPr>
            </w:pPr>
          </w:p>
        </w:tc>
        <w:tc>
          <w:tcPr>
            <w:tcW w:w="500" w:type="dxa"/>
            <w:vAlign w:val="bottom"/>
          </w:tcPr>
          <w:p>
            <w:pPr>
              <w:jc w:val="right"/>
              <w:ind w:right="10"/>
              <w:spacing w:after="0"/>
              <w:rPr>
                <w:sz w:val="20"/>
                <w:szCs w:val="20"/>
                <w:color w:val="auto"/>
              </w:rPr>
            </w:pPr>
            <w:r>
              <w:rPr>
                <w:rFonts w:ascii="Arial" w:cs="Arial" w:eastAsia="Arial" w:hAnsi="Arial"/>
                <w:sz w:val="14"/>
                <w:szCs w:val="14"/>
                <w:color w:val="auto"/>
              </w:rPr>
              <w:t>323</w:t>
            </w:r>
          </w:p>
        </w:tc>
        <w:tc>
          <w:tcPr>
            <w:tcW w:w="280" w:type="dxa"/>
            <w:vAlign w:val="bottom"/>
          </w:tcPr>
          <w:p>
            <w:pPr>
              <w:spacing w:after="0"/>
              <w:rPr>
                <w:sz w:val="14"/>
                <w:szCs w:val="14"/>
                <w:color w:val="auto"/>
              </w:rPr>
            </w:pPr>
          </w:p>
        </w:tc>
        <w:tc>
          <w:tcPr>
            <w:tcW w:w="780" w:type="dxa"/>
            <w:vAlign w:val="bottom"/>
          </w:tcPr>
          <w:p>
            <w:pPr>
              <w:jc w:val="right"/>
              <w:ind w:right="29"/>
              <w:spacing w:after="0"/>
              <w:rPr>
                <w:sz w:val="20"/>
                <w:szCs w:val="20"/>
                <w:color w:val="auto"/>
              </w:rPr>
            </w:pPr>
            <w:r>
              <w:rPr>
                <w:rFonts w:ascii="Arial" w:cs="Arial" w:eastAsia="Arial" w:hAnsi="Arial"/>
                <w:sz w:val="14"/>
                <w:szCs w:val="14"/>
                <w:color w:val="auto"/>
              </w:rPr>
              <w:t>760</w:t>
            </w:r>
          </w:p>
        </w:tc>
        <w:tc>
          <w:tcPr>
            <w:tcW w:w="24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1,479</w:t>
            </w:r>
          </w:p>
        </w:tc>
      </w:tr>
      <w:tr>
        <w:trPr>
          <w:trHeight w:val="222"/>
        </w:trPr>
        <w:tc>
          <w:tcPr>
            <w:tcW w:w="2980" w:type="dxa"/>
            <w:vAlign w:val="bottom"/>
          </w:tcPr>
          <w:p>
            <w:pPr>
              <w:ind w:left="20"/>
              <w:spacing w:after="0"/>
              <w:rPr>
                <w:sz w:val="20"/>
                <w:szCs w:val="20"/>
                <w:color w:val="auto"/>
              </w:rPr>
            </w:pPr>
            <w:r>
              <w:rPr>
                <w:rFonts w:ascii="Arial" w:cs="Arial" w:eastAsia="Arial" w:hAnsi="Arial"/>
                <w:sz w:val="14"/>
                <w:szCs w:val="14"/>
                <w:color w:val="auto"/>
              </w:rPr>
              <w:t>Asset retirement obligations</w:t>
            </w:r>
          </w:p>
        </w:tc>
        <w:tc>
          <w:tcPr>
            <w:tcW w:w="1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14</w:t>
            </w:r>
          </w:p>
        </w:tc>
        <w:tc>
          <w:tcPr>
            <w:tcW w:w="2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25</w:t>
            </w:r>
          </w:p>
        </w:tc>
        <w:tc>
          <w:tcPr>
            <w:tcW w:w="2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27</w:t>
            </w:r>
          </w:p>
        </w:tc>
        <w:tc>
          <w:tcPr>
            <w:tcW w:w="2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529</w:t>
            </w:r>
          </w:p>
        </w:tc>
        <w:tc>
          <w:tcPr>
            <w:tcW w:w="24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595</w:t>
            </w:r>
          </w:p>
        </w:tc>
      </w:tr>
      <w:tr>
        <w:trPr>
          <w:trHeight w:val="202"/>
        </w:trPr>
        <w:tc>
          <w:tcPr>
            <w:tcW w:w="2980" w:type="dxa"/>
            <w:vAlign w:val="bottom"/>
          </w:tcPr>
          <w:p>
            <w:pPr>
              <w:ind w:left="480"/>
              <w:spacing w:after="0"/>
              <w:rPr>
                <w:sz w:val="20"/>
                <w:szCs w:val="20"/>
                <w:color w:val="auto"/>
              </w:rPr>
            </w:pPr>
            <w:r>
              <w:rPr>
                <w:rFonts w:ascii="Arial" w:cs="Arial" w:eastAsia="Arial" w:hAnsi="Arial"/>
                <w:sz w:val="14"/>
                <w:szCs w:val="14"/>
                <w:color w:val="auto"/>
              </w:rPr>
              <w:t>Total SoCalGas</w:t>
            </w:r>
          </w:p>
        </w:tc>
        <w:tc>
          <w:tcPr>
            <w:tcW w:w="180" w:type="dxa"/>
            <w:vAlign w:val="bottom"/>
          </w:tcPr>
          <w:p>
            <w:pPr>
              <w:spacing w:after="0"/>
              <w:rPr>
                <w:sz w:val="17"/>
                <w:szCs w:val="17"/>
                <w:color w:val="auto"/>
              </w:rPr>
            </w:pPr>
          </w:p>
        </w:tc>
        <w:tc>
          <w:tcPr>
            <w:tcW w:w="540" w:type="dxa"/>
            <w:vAlign w:val="bottom"/>
          </w:tcPr>
          <w:p>
            <w:pPr>
              <w:jc w:val="right"/>
              <w:ind w:right="29"/>
              <w:spacing w:after="0"/>
              <w:rPr>
                <w:sz w:val="20"/>
                <w:szCs w:val="20"/>
                <w:color w:val="auto"/>
              </w:rPr>
            </w:pPr>
            <w:r>
              <w:rPr>
                <w:rFonts w:ascii="Arial" w:cs="Arial" w:eastAsia="Arial" w:hAnsi="Arial"/>
                <w:sz w:val="14"/>
                <w:szCs w:val="14"/>
                <w:color w:val="auto"/>
              </w:rPr>
              <w:t>1,379</w:t>
            </w:r>
          </w:p>
        </w:tc>
        <w:tc>
          <w:tcPr>
            <w:tcW w:w="240" w:type="dxa"/>
            <w:vAlign w:val="bottom"/>
          </w:tcPr>
          <w:p>
            <w:pPr>
              <w:spacing w:after="0"/>
              <w:rPr>
                <w:sz w:val="17"/>
                <w:szCs w:val="17"/>
                <w:color w:val="auto"/>
              </w:rPr>
            </w:pPr>
          </w:p>
        </w:tc>
        <w:tc>
          <w:tcPr>
            <w:tcW w:w="540" w:type="dxa"/>
            <w:vAlign w:val="bottom"/>
          </w:tcPr>
          <w:p>
            <w:pPr>
              <w:jc w:val="right"/>
              <w:ind w:right="30"/>
              <w:spacing w:after="0"/>
              <w:rPr>
                <w:sz w:val="20"/>
                <w:szCs w:val="20"/>
                <w:color w:val="auto"/>
              </w:rPr>
            </w:pPr>
            <w:r>
              <w:rPr>
                <w:rFonts w:ascii="Arial" w:cs="Arial" w:eastAsia="Arial" w:hAnsi="Arial"/>
                <w:sz w:val="14"/>
                <w:szCs w:val="14"/>
                <w:color w:val="auto"/>
              </w:rPr>
              <w:t>1,686</w:t>
            </w:r>
          </w:p>
        </w:tc>
        <w:tc>
          <w:tcPr>
            <w:tcW w:w="280" w:type="dxa"/>
            <w:vAlign w:val="bottom"/>
          </w:tcPr>
          <w:p>
            <w:pPr>
              <w:spacing w:after="0"/>
              <w:rPr>
                <w:sz w:val="17"/>
                <w:szCs w:val="17"/>
                <w:color w:val="auto"/>
              </w:rPr>
            </w:pPr>
          </w:p>
        </w:tc>
        <w:tc>
          <w:tcPr>
            <w:tcW w:w="500" w:type="dxa"/>
            <w:vAlign w:val="bottom"/>
          </w:tcPr>
          <w:p>
            <w:pPr>
              <w:jc w:val="right"/>
              <w:ind w:right="10"/>
              <w:spacing w:after="0"/>
              <w:rPr>
                <w:sz w:val="20"/>
                <w:szCs w:val="20"/>
                <w:color w:val="auto"/>
              </w:rPr>
            </w:pPr>
            <w:r>
              <w:rPr>
                <w:rFonts w:ascii="Arial" w:cs="Arial" w:eastAsia="Arial" w:hAnsi="Arial"/>
                <w:sz w:val="14"/>
                <w:szCs w:val="14"/>
                <w:color w:val="auto"/>
              </w:rPr>
              <w:t>828</w:t>
            </w:r>
          </w:p>
        </w:tc>
        <w:tc>
          <w:tcPr>
            <w:tcW w:w="280" w:type="dxa"/>
            <w:vAlign w:val="bottom"/>
          </w:tcPr>
          <w:p>
            <w:pPr>
              <w:spacing w:after="0"/>
              <w:rPr>
                <w:sz w:val="17"/>
                <w:szCs w:val="17"/>
                <w:color w:val="auto"/>
              </w:rPr>
            </w:pPr>
          </w:p>
        </w:tc>
        <w:tc>
          <w:tcPr>
            <w:tcW w:w="780" w:type="dxa"/>
            <w:vAlign w:val="bottom"/>
          </w:tcPr>
          <w:p>
            <w:pPr>
              <w:jc w:val="right"/>
              <w:ind w:right="29"/>
              <w:spacing w:after="0"/>
              <w:rPr>
                <w:sz w:val="20"/>
                <w:szCs w:val="20"/>
                <w:color w:val="auto"/>
              </w:rPr>
            </w:pPr>
            <w:r>
              <w:rPr>
                <w:rFonts w:ascii="Arial" w:cs="Arial" w:eastAsia="Arial" w:hAnsi="Arial"/>
                <w:sz w:val="14"/>
                <w:szCs w:val="14"/>
                <w:color w:val="auto"/>
              </w:rPr>
              <w:t>2,688</w:t>
            </w:r>
          </w:p>
        </w:tc>
        <w:tc>
          <w:tcPr>
            <w:tcW w:w="24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6,581</w:t>
            </w:r>
          </w:p>
        </w:tc>
      </w:tr>
      <w:tr>
        <w:trPr>
          <w:trHeight w:val="222"/>
        </w:trPr>
        <w:tc>
          <w:tcPr>
            <w:tcW w:w="2980" w:type="dxa"/>
            <w:vAlign w:val="bottom"/>
          </w:tcPr>
          <w:p>
            <w:pPr>
              <w:ind w:left="20"/>
              <w:spacing w:after="0"/>
              <w:rPr>
                <w:sz w:val="20"/>
                <w:szCs w:val="20"/>
                <w:color w:val="auto"/>
              </w:rPr>
            </w:pPr>
            <w:r>
              <w:rPr>
                <w:rFonts w:ascii="Arial" w:cs="Arial" w:eastAsia="Arial" w:hAnsi="Arial"/>
                <w:sz w:val="14"/>
                <w:szCs w:val="14"/>
                <w:b w:val="1"/>
                <w:bCs w:val="1"/>
                <w:color w:val="auto"/>
              </w:rPr>
              <w:t xml:space="preserve">PE </w:t>
            </w:r>
            <w:r>
              <w:rPr>
                <w:rFonts w:ascii="Arial" w:cs="Arial" w:eastAsia="Arial" w:hAnsi="Arial"/>
                <w:sz w:val="14"/>
                <w:szCs w:val="14"/>
                <w:color w:val="auto"/>
              </w:rPr>
              <w:t>- - operating leases</w:t>
            </w:r>
          </w:p>
        </w:tc>
        <w:tc>
          <w:tcPr>
            <w:tcW w:w="1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13</w:t>
            </w:r>
          </w:p>
        </w:tc>
        <w:tc>
          <w:tcPr>
            <w:tcW w:w="2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6</w:t>
            </w:r>
          </w:p>
        </w:tc>
        <w:tc>
          <w:tcPr>
            <w:tcW w:w="2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1</w:t>
            </w:r>
          </w:p>
        </w:tc>
        <w:tc>
          <w:tcPr>
            <w:tcW w:w="2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w:t>
            </w:r>
          </w:p>
        </w:tc>
      </w:tr>
      <w:tr>
        <w:trPr>
          <w:trHeight w:val="224"/>
        </w:trPr>
        <w:tc>
          <w:tcPr>
            <w:tcW w:w="29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Total PE consolidated</w:t>
            </w: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1,392</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1,692</w:t>
            </w:r>
          </w:p>
        </w:tc>
        <w:tc>
          <w:tcPr>
            <w:tcW w:w="2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829</w:t>
            </w:r>
          </w:p>
        </w:tc>
        <w:tc>
          <w:tcPr>
            <w:tcW w:w="2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2,688</w:t>
            </w:r>
          </w:p>
        </w:tc>
        <w:tc>
          <w:tcPr>
            <w:tcW w:w="2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6,601</w:t>
            </w:r>
          </w:p>
        </w:tc>
      </w:tr>
    </w:tbl>
    <w:p>
      <w:pPr>
        <w:spacing w:after="0" w:line="4" w:lineRule="exact"/>
        <w:rPr>
          <w:sz w:val="20"/>
          <w:szCs w:val="20"/>
          <w:color w:val="auto"/>
        </w:rPr>
      </w:pPr>
    </w:p>
    <w:p>
      <w:pPr>
        <w:ind w:left="2460" w:right="1099" w:hanging="242"/>
        <w:spacing w:after="0" w:line="263" w:lineRule="auto"/>
        <w:tabs>
          <w:tab w:leader="none" w:pos="2460" w:val="left"/>
        </w:tabs>
        <w:numPr>
          <w:ilvl w:val="0"/>
          <w:numId w:val="297"/>
        </w:numPr>
        <w:rPr>
          <w:rFonts w:ascii="Arial" w:cs="Arial" w:eastAsia="Arial" w:hAnsi="Arial"/>
          <w:sz w:val="13"/>
          <w:szCs w:val="13"/>
          <w:i w:val="1"/>
          <w:iCs w:val="1"/>
          <w:color w:val="auto"/>
        </w:rPr>
      </w:pPr>
      <w:r>
        <w:rPr>
          <w:rFonts w:ascii="Arial" w:cs="Arial" w:eastAsia="Arial" w:hAnsi="Arial"/>
          <w:sz w:val="13"/>
          <w:szCs w:val="13"/>
          <w:i w:val="1"/>
          <w:iCs w:val="1"/>
          <w:color w:val="auto"/>
        </w:rPr>
        <w:t>Expected interest payments were calculated using the stated interest rate for fixed-rate obligations. Expected interest payments were calculated based on forward rates in effect at December 31, 2008 for variable-rate obligations, including fixed-to-floating interest-rate swaps.</w:t>
      </w:r>
    </w:p>
    <w:p>
      <w:pPr>
        <w:spacing w:after="0" w:line="1" w:lineRule="exact"/>
        <w:rPr>
          <w:rFonts w:ascii="Arial" w:cs="Arial" w:eastAsia="Arial" w:hAnsi="Arial"/>
          <w:sz w:val="13"/>
          <w:szCs w:val="13"/>
          <w:i w:val="1"/>
          <w:iCs w:val="1"/>
          <w:color w:val="auto"/>
        </w:rPr>
      </w:pPr>
    </w:p>
    <w:p>
      <w:pPr>
        <w:ind w:left="2460" w:right="1159" w:hanging="242"/>
        <w:spacing w:after="0" w:line="277" w:lineRule="auto"/>
        <w:tabs>
          <w:tab w:leader="none" w:pos="2460" w:val="left"/>
        </w:tabs>
        <w:numPr>
          <w:ilvl w:val="0"/>
          <w:numId w:val="297"/>
        </w:numPr>
        <w:rPr>
          <w:rFonts w:ascii="Arial" w:cs="Arial" w:eastAsia="Arial" w:hAnsi="Arial"/>
          <w:sz w:val="13"/>
          <w:szCs w:val="13"/>
          <w:i w:val="1"/>
          <w:iCs w:val="1"/>
          <w:color w:val="auto"/>
        </w:rPr>
      </w:pPr>
      <w:r>
        <w:rPr>
          <w:rFonts w:ascii="Arial" w:cs="Arial" w:eastAsia="Arial" w:hAnsi="Arial"/>
          <w:sz w:val="13"/>
          <w:szCs w:val="13"/>
          <w:i w:val="1"/>
          <w:iCs w:val="1"/>
          <w:color w:val="auto"/>
        </w:rPr>
        <w:t>Amounts are after reduction for the Medicare Part D subsidy and only include expected payments to the plans for the next 10 years.</w:t>
      </w: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Arial" w:cs="Arial" w:eastAsia="Arial" w:hAnsi="Arial"/>
          <w:sz w:val="14"/>
          <w:szCs w:val="14"/>
          <w:color w:val="auto"/>
        </w:rPr>
        <w:t>40</w:t>
      </w:r>
    </w:p>
    <w:p>
      <w:pPr>
        <w:sectPr>
          <w:pgSz w:w="11900" w:h="16838" w:orient="portrait"/>
          <w:cols w:equalWidth="0" w:num="1">
            <w:col w:w="10219"/>
          </w:cols>
          <w:pgMar w:left="240" w:top="364" w:right="1440" w:bottom="1440" w:gutter="0" w:footer="0" w:header="0"/>
        </w:sectPr>
      </w:pPr>
    </w:p>
    <w:bookmarkStart w:id="180" w:name="page181"/>
    <w:bookmarkEnd w:id="180"/>
    <w:p>
      <w:pPr>
        <w:ind w:left="4"/>
        <w:spacing w:after="0"/>
        <w:rPr>
          <w:sz w:val="20"/>
          <w:szCs w:val="20"/>
          <w:color w:val="auto"/>
        </w:rPr>
      </w:pPr>
      <w:r>
        <w:rPr>
          <w:rFonts w:ascii="Arial" w:cs="Arial" w:eastAsia="Arial" w:hAnsi="Arial"/>
          <w:sz w:val="16"/>
          <w:szCs w:val="16"/>
          <w:color w:val="auto"/>
        </w:rPr>
        <w:t>The tables exclude</w:t>
      </w:r>
    </w:p>
    <w:p>
      <w:pPr>
        <w:spacing w:after="0" w:line="44" w:lineRule="exact"/>
        <w:rPr>
          <w:sz w:val="20"/>
          <w:szCs w:val="20"/>
          <w:color w:val="auto"/>
        </w:rPr>
      </w:pPr>
    </w:p>
    <w:p>
      <w:pPr>
        <w:ind w:left="144" w:hanging="144"/>
        <w:spacing w:after="0"/>
        <w:tabs>
          <w:tab w:leader="none" w:pos="144" w:val="left"/>
        </w:tabs>
        <w:numPr>
          <w:ilvl w:val="0"/>
          <w:numId w:val="298"/>
        </w:numPr>
        <w:rPr>
          <w:rFonts w:ascii="Arial" w:cs="Arial" w:eastAsia="Arial" w:hAnsi="Arial"/>
          <w:sz w:val="16"/>
          <w:szCs w:val="16"/>
          <w:color w:val="auto"/>
        </w:rPr>
      </w:pPr>
      <w:r>
        <w:rPr>
          <w:rFonts w:ascii="Arial" w:cs="Arial" w:eastAsia="Arial" w:hAnsi="Arial"/>
          <w:sz w:val="16"/>
          <w:szCs w:val="16"/>
          <w:color w:val="auto"/>
        </w:rPr>
        <w:t>contracts between consolidated affiliates</w:t>
      </w:r>
    </w:p>
    <w:p>
      <w:pPr>
        <w:spacing w:after="0" w:line="44" w:lineRule="exact"/>
        <w:rPr>
          <w:rFonts w:ascii="Arial" w:cs="Arial" w:eastAsia="Arial" w:hAnsi="Arial"/>
          <w:sz w:val="16"/>
          <w:szCs w:val="16"/>
          <w:color w:val="auto"/>
        </w:rPr>
      </w:pPr>
    </w:p>
    <w:p>
      <w:pPr>
        <w:ind w:left="144" w:hanging="144"/>
        <w:spacing w:after="0"/>
        <w:tabs>
          <w:tab w:leader="none" w:pos="144" w:val="left"/>
        </w:tabs>
        <w:numPr>
          <w:ilvl w:val="0"/>
          <w:numId w:val="298"/>
        </w:numPr>
        <w:rPr>
          <w:rFonts w:ascii="Arial" w:cs="Arial" w:eastAsia="Arial" w:hAnsi="Arial"/>
          <w:sz w:val="16"/>
          <w:szCs w:val="16"/>
          <w:color w:val="auto"/>
        </w:rPr>
      </w:pPr>
      <w:r>
        <w:rPr>
          <w:rFonts w:ascii="Arial" w:cs="Arial" w:eastAsia="Arial" w:hAnsi="Arial"/>
          <w:sz w:val="16"/>
          <w:szCs w:val="16"/>
          <w:color w:val="auto"/>
        </w:rPr>
        <w:t>intercompany debt</w:t>
      </w:r>
    </w:p>
    <w:p>
      <w:pPr>
        <w:spacing w:after="0" w:line="44" w:lineRule="exact"/>
        <w:rPr>
          <w:rFonts w:ascii="Arial" w:cs="Arial" w:eastAsia="Arial" w:hAnsi="Arial"/>
          <w:sz w:val="16"/>
          <w:szCs w:val="16"/>
          <w:color w:val="auto"/>
        </w:rPr>
      </w:pPr>
    </w:p>
    <w:p>
      <w:pPr>
        <w:ind w:left="144" w:hanging="144"/>
        <w:spacing w:after="0"/>
        <w:tabs>
          <w:tab w:leader="none" w:pos="144" w:val="left"/>
        </w:tabs>
        <w:numPr>
          <w:ilvl w:val="0"/>
          <w:numId w:val="298"/>
        </w:numPr>
        <w:rPr>
          <w:rFonts w:ascii="Arial" w:cs="Arial" w:eastAsia="Arial" w:hAnsi="Arial"/>
          <w:sz w:val="16"/>
          <w:szCs w:val="16"/>
          <w:color w:val="auto"/>
        </w:rPr>
      </w:pPr>
      <w:r>
        <w:rPr>
          <w:rFonts w:ascii="Arial" w:cs="Arial" w:eastAsia="Arial" w:hAnsi="Arial"/>
          <w:sz w:val="16"/>
          <w:szCs w:val="16"/>
          <w:color w:val="auto"/>
        </w:rPr>
        <w:t>individual contracts that have annual cash requirements less than $1 million</w:t>
      </w:r>
    </w:p>
    <w:p>
      <w:pPr>
        <w:spacing w:after="0" w:line="44" w:lineRule="exact"/>
        <w:rPr>
          <w:rFonts w:ascii="Arial" w:cs="Arial" w:eastAsia="Arial" w:hAnsi="Arial"/>
          <w:sz w:val="16"/>
          <w:szCs w:val="16"/>
          <w:color w:val="auto"/>
        </w:rPr>
      </w:pPr>
    </w:p>
    <w:p>
      <w:pPr>
        <w:ind w:left="144" w:hanging="144"/>
        <w:spacing w:after="0"/>
        <w:tabs>
          <w:tab w:leader="none" w:pos="144" w:val="left"/>
        </w:tabs>
        <w:numPr>
          <w:ilvl w:val="0"/>
          <w:numId w:val="298"/>
        </w:numPr>
        <w:rPr>
          <w:rFonts w:ascii="Arial" w:cs="Arial" w:eastAsia="Arial" w:hAnsi="Arial"/>
          <w:sz w:val="16"/>
          <w:szCs w:val="16"/>
          <w:color w:val="auto"/>
        </w:rPr>
      </w:pPr>
      <w:r>
        <w:rPr>
          <w:rFonts w:ascii="Arial" w:cs="Arial" w:eastAsia="Arial" w:hAnsi="Arial"/>
          <w:sz w:val="16"/>
          <w:szCs w:val="16"/>
          <w:color w:val="auto"/>
        </w:rPr>
        <w:t>employment contracts</w:t>
      </w:r>
    </w:p>
    <w:p>
      <w:pPr>
        <w:spacing w:after="0" w:line="128" w:lineRule="exact"/>
        <w:rPr>
          <w:sz w:val="20"/>
          <w:szCs w:val="20"/>
          <w:color w:val="auto"/>
        </w:rPr>
      </w:pPr>
    </w:p>
    <w:p>
      <w:pPr>
        <w:ind w:left="4"/>
        <w:spacing w:after="0"/>
        <w:rPr>
          <w:sz w:val="20"/>
          <w:szCs w:val="20"/>
          <w:color w:val="auto"/>
        </w:rPr>
      </w:pPr>
      <w:r>
        <w:rPr>
          <w:rFonts w:ascii="Arial" w:cs="Arial" w:eastAsia="Arial" w:hAnsi="Arial"/>
          <w:sz w:val="16"/>
          <w:szCs w:val="16"/>
          <w:color w:val="auto"/>
        </w:rPr>
        <w:t>The tables also exclude income tax liabilities of</w:t>
      </w:r>
    </w:p>
    <w:p>
      <w:pPr>
        <w:spacing w:after="0" w:line="44" w:lineRule="exact"/>
        <w:rPr>
          <w:sz w:val="20"/>
          <w:szCs w:val="20"/>
          <w:color w:val="auto"/>
        </w:rPr>
      </w:pPr>
    </w:p>
    <w:p>
      <w:pPr>
        <w:ind w:left="144" w:hanging="144"/>
        <w:spacing w:after="0"/>
        <w:tabs>
          <w:tab w:leader="none" w:pos="144" w:val="left"/>
        </w:tabs>
        <w:numPr>
          <w:ilvl w:val="0"/>
          <w:numId w:val="299"/>
        </w:numPr>
        <w:rPr>
          <w:rFonts w:ascii="Arial" w:cs="Arial" w:eastAsia="Arial" w:hAnsi="Arial"/>
          <w:sz w:val="16"/>
          <w:szCs w:val="16"/>
          <w:color w:val="auto"/>
        </w:rPr>
      </w:pPr>
      <w:r>
        <w:rPr>
          <w:rFonts w:ascii="Arial" w:cs="Arial" w:eastAsia="Arial" w:hAnsi="Arial"/>
          <w:sz w:val="16"/>
          <w:szCs w:val="16"/>
          <w:color w:val="auto"/>
        </w:rPr>
        <w:t>$88 million for Sempra Energy</w:t>
      </w:r>
    </w:p>
    <w:p>
      <w:pPr>
        <w:spacing w:after="0" w:line="44" w:lineRule="exact"/>
        <w:rPr>
          <w:rFonts w:ascii="Arial" w:cs="Arial" w:eastAsia="Arial" w:hAnsi="Arial"/>
          <w:sz w:val="16"/>
          <w:szCs w:val="16"/>
          <w:color w:val="auto"/>
        </w:rPr>
      </w:pPr>
    </w:p>
    <w:p>
      <w:pPr>
        <w:ind w:left="144" w:hanging="144"/>
        <w:spacing w:after="0"/>
        <w:tabs>
          <w:tab w:leader="none" w:pos="144" w:val="left"/>
        </w:tabs>
        <w:numPr>
          <w:ilvl w:val="0"/>
          <w:numId w:val="299"/>
        </w:numPr>
        <w:rPr>
          <w:rFonts w:ascii="Arial" w:cs="Arial" w:eastAsia="Arial" w:hAnsi="Arial"/>
          <w:sz w:val="16"/>
          <w:szCs w:val="16"/>
          <w:color w:val="auto"/>
        </w:rPr>
      </w:pPr>
      <w:r>
        <w:rPr>
          <w:rFonts w:ascii="Arial" w:cs="Arial" w:eastAsia="Arial" w:hAnsi="Arial"/>
          <w:sz w:val="16"/>
          <w:szCs w:val="16"/>
          <w:color w:val="auto"/>
        </w:rPr>
        <w:t>$18 million for SDG&amp;E</w:t>
      </w:r>
    </w:p>
    <w:p>
      <w:pPr>
        <w:spacing w:after="0" w:line="44" w:lineRule="exact"/>
        <w:rPr>
          <w:rFonts w:ascii="Arial" w:cs="Arial" w:eastAsia="Arial" w:hAnsi="Arial"/>
          <w:sz w:val="16"/>
          <w:szCs w:val="16"/>
          <w:color w:val="auto"/>
        </w:rPr>
      </w:pPr>
    </w:p>
    <w:p>
      <w:pPr>
        <w:ind w:left="144" w:hanging="144"/>
        <w:spacing w:after="0"/>
        <w:tabs>
          <w:tab w:leader="none" w:pos="144" w:val="left"/>
        </w:tabs>
        <w:numPr>
          <w:ilvl w:val="0"/>
          <w:numId w:val="299"/>
        </w:numPr>
        <w:rPr>
          <w:rFonts w:ascii="Arial" w:cs="Arial" w:eastAsia="Arial" w:hAnsi="Arial"/>
          <w:sz w:val="16"/>
          <w:szCs w:val="16"/>
          <w:color w:val="auto"/>
        </w:rPr>
      </w:pPr>
      <w:r>
        <w:rPr>
          <w:rFonts w:ascii="Arial" w:cs="Arial" w:eastAsia="Arial" w:hAnsi="Arial"/>
          <w:sz w:val="16"/>
          <w:szCs w:val="16"/>
          <w:color w:val="auto"/>
        </w:rPr>
        <w:t>$18 million for SoCalGas</w:t>
      </w:r>
    </w:p>
    <w:p>
      <w:pPr>
        <w:spacing w:after="0" w:line="128" w:lineRule="exact"/>
        <w:rPr>
          <w:sz w:val="20"/>
          <w:szCs w:val="20"/>
          <w:color w:val="auto"/>
        </w:rPr>
      </w:pPr>
    </w:p>
    <w:p>
      <w:pPr>
        <w:ind w:left="4"/>
        <w:spacing w:after="0" w:line="264" w:lineRule="auto"/>
        <w:rPr>
          <w:sz w:val="20"/>
          <w:szCs w:val="20"/>
          <w:color w:val="auto"/>
        </w:rPr>
      </w:pPr>
      <w:r>
        <w:rPr>
          <w:rFonts w:ascii="Arial" w:cs="Arial" w:eastAsia="Arial" w:hAnsi="Arial"/>
          <w:sz w:val="16"/>
          <w:szCs w:val="16"/>
          <w:color w:val="auto"/>
        </w:rPr>
        <w:t xml:space="preserve">These liabilities were recorded in accordance with Financial Accounting Standards Board (FASB) Interpretation (FIN) No. 48, </w:t>
      </w:r>
      <w:r>
        <w:rPr>
          <w:rFonts w:ascii="Arial" w:cs="Arial" w:eastAsia="Arial" w:hAnsi="Arial"/>
          <w:sz w:val="16"/>
          <w:szCs w:val="16"/>
          <w:i w:val="1"/>
          <w:iCs w:val="1"/>
          <w:color w:val="auto"/>
        </w:rPr>
        <w:t>Accounting for Uncertainty in Income Taxes, an</w:t>
      </w:r>
      <w:r>
        <w:rPr>
          <w:rFonts w:ascii="Arial" w:cs="Arial" w:eastAsia="Arial" w:hAnsi="Arial"/>
          <w:sz w:val="16"/>
          <w:szCs w:val="16"/>
          <w:color w:val="auto"/>
        </w:rPr>
        <w:t xml:space="preserve"> </w:t>
      </w:r>
      <w:r>
        <w:rPr>
          <w:rFonts w:ascii="Arial" w:cs="Arial" w:eastAsia="Arial" w:hAnsi="Arial"/>
          <w:sz w:val="16"/>
          <w:szCs w:val="16"/>
          <w:i w:val="1"/>
          <w:iCs w:val="1"/>
          <w:color w:val="auto"/>
        </w:rPr>
        <w:t>interpretation of FASB Statement No. 109 (FIN 48)</w:t>
      </w:r>
      <w:r>
        <w:rPr>
          <w:rFonts w:ascii="Arial" w:cs="Arial" w:eastAsia="Arial" w:hAnsi="Arial"/>
          <w:sz w:val="16"/>
          <w:szCs w:val="16"/>
          <w:color w:val="auto"/>
        </w:rPr>
        <w:t>. They were excluded from the tables because we are unable to reasonably estimate the timing of future payments due to</w:t>
      </w:r>
      <w:r>
        <w:rPr>
          <w:rFonts w:ascii="Arial" w:cs="Arial" w:eastAsia="Arial" w:hAnsi="Arial"/>
          <w:sz w:val="16"/>
          <w:szCs w:val="16"/>
          <w:i w:val="1"/>
          <w:iCs w:val="1"/>
          <w:color w:val="auto"/>
        </w:rPr>
        <w:t xml:space="preserve"> </w:t>
      </w:r>
      <w:r>
        <w:rPr>
          <w:rFonts w:ascii="Arial" w:cs="Arial" w:eastAsia="Arial" w:hAnsi="Arial"/>
          <w:sz w:val="16"/>
          <w:szCs w:val="16"/>
          <w:color w:val="auto"/>
        </w:rPr>
        <w:t>uncertainties in the timing of the effective settlement of tax positions.</w:t>
      </w:r>
    </w:p>
    <w:p>
      <w:pPr>
        <w:spacing w:after="0" w:line="42" w:lineRule="exact"/>
        <w:rPr>
          <w:sz w:val="20"/>
          <w:szCs w:val="20"/>
          <w:color w:val="auto"/>
        </w:rPr>
      </w:pPr>
    </w:p>
    <w:p>
      <w:pPr>
        <w:ind w:left="4"/>
        <w:spacing w:after="0"/>
        <w:rPr>
          <w:sz w:val="20"/>
          <w:szCs w:val="20"/>
          <w:color w:val="auto"/>
        </w:rPr>
      </w:pPr>
      <w:r>
        <w:rPr>
          <w:rFonts w:ascii="Arial" w:cs="Arial" w:eastAsia="Arial" w:hAnsi="Arial"/>
          <w:sz w:val="16"/>
          <w:szCs w:val="16"/>
          <w:color w:val="auto"/>
        </w:rPr>
        <w:t>We provide additional information about unrecognized tax benefits in Note 8 of the Notes to Consolidated Financial Statements.</w:t>
      </w:r>
    </w:p>
    <w:p>
      <w:pPr>
        <w:spacing w:after="0" w:line="276"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auto"/>
        </w:rPr>
        <w:t>OFF BALANCE-SHEET ARRANGEMENTS</w:t>
      </w:r>
    </w:p>
    <w:p>
      <w:pPr>
        <w:spacing w:after="0" w:line="89" w:lineRule="exact"/>
        <w:rPr>
          <w:sz w:val="20"/>
          <w:szCs w:val="20"/>
          <w:color w:val="auto"/>
        </w:rPr>
      </w:pPr>
    </w:p>
    <w:p>
      <w:pPr>
        <w:ind w:left="4" w:right="100"/>
        <w:spacing w:after="0" w:line="264" w:lineRule="auto"/>
        <w:rPr>
          <w:sz w:val="20"/>
          <w:szCs w:val="20"/>
          <w:color w:val="auto"/>
        </w:rPr>
      </w:pPr>
      <w:r>
        <w:rPr>
          <w:rFonts w:ascii="Arial" w:cs="Arial" w:eastAsia="Arial" w:hAnsi="Arial"/>
          <w:sz w:val="16"/>
          <w:szCs w:val="16"/>
          <w:color w:val="auto"/>
        </w:rPr>
        <w:t>Sempra Energy has provided guarantees aggregating $2.6 billion at December 31, 2008, to related parties, including the guarantees related to Rockies Express financings and continuing transitional guarantees related to RBS Sempra Commodities. We discuss these guarantees further in Notes 6 and 16 of the Notes to Consolidated Financial Statements.</w:t>
      </w:r>
    </w:p>
    <w:p>
      <w:pPr>
        <w:spacing w:after="0" w:line="200" w:lineRule="exact"/>
        <w:rPr>
          <w:sz w:val="20"/>
          <w:szCs w:val="20"/>
          <w:color w:val="auto"/>
        </w:rPr>
      </w:pPr>
    </w:p>
    <w:p>
      <w:pPr>
        <w:spacing w:after="0" w:line="230" w:lineRule="exact"/>
        <w:rPr>
          <w:sz w:val="20"/>
          <w:szCs w:val="20"/>
          <w:color w:val="auto"/>
        </w:rPr>
      </w:pPr>
    </w:p>
    <w:p>
      <w:pPr>
        <w:ind w:left="4"/>
        <w:spacing w:after="0"/>
        <w:rPr>
          <w:sz w:val="20"/>
          <w:szCs w:val="20"/>
          <w:color w:val="auto"/>
        </w:rPr>
      </w:pPr>
      <w:r>
        <w:rPr>
          <w:rFonts w:ascii="Arial" w:cs="Arial" w:eastAsia="Arial" w:hAnsi="Arial"/>
          <w:sz w:val="14"/>
          <w:szCs w:val="14"/>
          <w:color w:val="auto"/>
        </w:rPr>
        <w:t>41</w:t>
      </w:r>
    </w:p>
    <w:p>
      <w:pPr>
        <w:sectPr>
          <w:pgSz w:w="11900" w:h="16838" w:orient="portrait"/>
          <w:cols w:equalWidth="0" w:num="1">
            <w:col w:w="11224"/>
          </w:cols>
          <w:pgMar w:left="236" w:top="127" w:right="439" w:bottom="1440" w:gutter="0" w:footer="0" w:header="0"/>
        </w:sectPr>
      </w:pPr>
    </w:p>
    <w:bookmarkStart w:id="181" w:name="page182"/>
    <w:bookmarkEnd w:id="18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149860</wp:posOffset>
            </wp:positionH>
            <wp:positionV relativeFrom="page">
              <wp:posOffset>432435</wp:posOffset>
            </wp:positionV>
            <wp:extent cx="7261860" cy="762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61860" cy="7620"/>
                    </a:xfrm>
                    <a:prstGeom prst="rect">
                      <a:avLst/>
                    </a:prstGeom>
                    <a:noFill/>
                  </pic:spPr>
                </pic:pic>
              </a:graphicData>
            </a:graphic>
          </wp:anchor>
        </w:drawing>
        <w:t>CREDIT RATINGS</w:t>
      </w:r>
    </w:p>
    <w:p>
      <w:pPr>
        <w:spacing w:after="0" w:line="60" w:lineRule="exact"/>
        <w:rPr>
          <w:sz w:val="20"/>
          <w:szCs w:val="20"/>
          <w:color w:val="auto"/>
        </w:rPr>
      </w:pPr>
    </w:p>
    <w:p>
      <w:pPr>
        <w:spacing w:after="0" w:line="289" w:lineRule="auto"/>
        <w:rPr>
          <w:sz w:val="20"/>
          <w:szCs w:val="20"/>
          <w:color w:val="auto"/>
        </w:rPr>
      </w:pPr>
      <w:r>
        <w:rPr>
          <w:rFonts w:ascii="Arial" w:cs="Arial" w:eastAsia="Arial" w:hAnsi="Arial"/>
          <w:sz w:val="15"/>
          <w:szCs w:val="15"/>
          <w:color w:val="auto"/>
        </w:rPr>
        <w:t>The table below shows the credit ratings of Sempra Energy and its principal subsidiaries which remained at investment grade levels in 2008. Also in 2008, Standard &amp; Poor’s upgraded SDG&amp;E’s and SoCalGas’ unsecured debt rating from A- to A. As of January 31, 2009, the companies have a stable ratings outlook from Moody’s and Fitch credit rating agencies. However, in July 2008, Standard &amp; Poor’s issued a negative ratings outlook on the companies, except Sempra Global.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1385570</wp:posOffset>
            </wp:positionH>
            <wp:positionV relativeFrom="paragraph">
              <wp:posOffset>130810</wp:posOffset>
            </wp:positionV>
            <wp:extent cx="4485005" cy="2667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4485005" cy="266700"/>
                    </a:xfrm>
                    <a:prstGeom prst="rect">
                      <a:avLst/>
                    </a:prstGeom>
                    <a:noFill/>
                  </pic:spPr>
                </pic:pic>
              </a:graphicData>
            </a:graphic>
          </wp:anchor>
        </w:drawing>
      </w:r>
    </w:p>
    <w:p>
      <w:pPr>
        <w:spacing w:after="0" w:line="194" w:lineRule="exact"/>
        <w:rPr>
          <w:sz w:val="20"/>
          <w:szCs w:val="20"/>
          <w:color w:val="auto"/>
        </w:rPr>
      </w:pPr>
    </w:p>
    <w:p>
      <w:pPr>
        <w:ind w:left="2200"/>
        <w:spacing w:after="0"/>
        <w:rPr>
          <w:sz w:val="20"/>
          <w:szCs w:val="20"/>
          <w:color w:val="auto"/>
        </w:rPr>
      </w:pPr>
      <w:r>
        <w:rPr>
          <w:rFonts w:ascii="Arial" w:cs="Arial" w:eastAsia="Arial" w:hAnsi="Arial"/>
          <w:sz w:val="14"/>
          <w:szCs w:val="14"/>
          <w:b w:val="1"/>
          <w:bCs w:val="1"/>
          <w:color w:val="auto"/>
        </w:rPr>
        <w:t>CREDIT RATINGS OF SEMPRA ENERGY AND PRINCIPAL SUBSIDIARIES</w:t>
      </w:r>
    </w:p>
    <w:p>
      <w:pPr>
        <w:spacing w:after="0" w:line="200" w:lineRule="exact"/>
        <w:rPr>
          <w:sz w:val="20"/>
          <w:szCs w:val="20"/>
          <w:color w:val="auto"/>
        </w:rPr>
      </w:pPr>
    </w:p>
    <w:p>
      <w:pPr>
        <w:spacing w:after="0" w:line="320" w:lineRule="exact"/>
        <w:rPr>
          <w:sz w:val="20"/>
          <w:szCs w:val="20"/>
          <w:color w:val="auto"/>
        </w:rPr>
      </w:pPr>
    </w:p>
    <w:tbl>
      <w:tblPr>
        <w:tblLayout w:type="fixed"/>
        <w:tblInd w:w="2180" w:type="dxa"/>
        <w:tblCellMar>
          <w:top w:w="0" w:type="dxa"/>
          <w:left w:w="0" w:type="dxa"/>
          <w:bottom w:w="0" w:type="dxa"/>
          <w:right w:w="0" w:type="dxa"/>
        </w:tblCellMar>
      </w:tblPr>
      <w:tr>
        <w:trPr>
          <w:trHeight w:val="154"/>
        </w:trPr>
        <w:tc>
          <w:tcPr>
            <w:tcW w:w="4720" w:type="dxa"/>
            <w:vAlign w:val="bottom"/>
          </w:tcPr>
          <w:p>
            <w:pPr>
              <w:jc w:val="right"/>
              <w:ind w:right="296"/>
              <w:spacing w:after="0"/>
              <w:rPr>
                <w:sz w:val="20"/>
                <w:szCs w:val="20"/>
                <w:color w:val="auto"/>
              </w:rPr>
            </w:pPr>
            <w:r>
              <w:rPr>
                <w:rFonts w:ascii="Arial" w:cs="Arial" w:eastAsia="Arial" w:hAnsi="Arial"/>
                <w:sz w:val="13"/>
                <w:szCs w:val="13"/>
                <w:color w:val="auto"/>
              </w:rPr>
              <w:t>Standard</w:t>
            </w:r>
          </w:p>
        </w:tc>
        <w:tc>
          <w:tcPr>
            <w:tcW w:w="1680" w:type="dxa"/>
            <w:vAlign w:val="bottom"/>
          </w:tcPr>
          <w:p>
            <w:pPr>
              <w:jc w:val="right"/>
              <w:ind w:right="316"/>
              <w:spacing w:after="0"/>
              <w:rPr>
                <w:sz w:val="20"/>
                <w:szCs w:val="20"/>
                <w:color w:val="auto"/>
              </w:rPr>
            </w:pPr>
            <w:r>
              <w:rPr>
                <w:rFonts w:ascii="Arial" w:cs="Arial" w:eastAsia="Arial" w:hAnsi="Arial"/>
                <w:sz w:val="13"/>
                <w:szCs w:val="13"/>
                <w:color w:val="auto"/>
              </w:rPr>
              <w:t>Moody's Investor</w:t>
            </w:r>
          </w:p>
        </w:tc>
        <w:tc>
          <w:tcPr>
            <w:tcW w:w="660" w:type="dxa"/>
            <w:vAlign w:val="bottom"/>
          </w:tcPr>
          <w:p>
            <w:pPr>
              <w:spacing w:after="0"/>
              <w:rPr>
                <w:sz w:val="13"/>
                <w:szCs w:val="13"/>
                <w:color w:val="auto"/>
              </w:rPr>
            </w:pPr>
          </w:p>
        </w:tc>
      </w:tr>
      <w:tr>
        <w:trPr>
          <w:trHeight w:val="221"/>
        </w:trPr>
        <w:tc>
          <w:tcPr>
            <w:tcW w:w="4720" w:type="dxa"/>
            <w:vAlign w:val="bottom"/>
            <w:tcBorders>
              <w:bottom w:val="single" w:sz="8" w:color="auto"/>
            </w:tcBorders>
          </w:tcPr>
          <w:p>
            <w:pPr>
              <w:jc w:val="right"/>
              <w:ind w:right="296"/>
              <w:spacing w:after="0"/>
              <w:rPr>
                <w:sz w:val="20"/>
                <w:szCs w:val="20"/>
                <w:color w:val="auto"/>
              </w:rPr>
            </w:pPr>
            <w:r>
              <w:rPr>
                <w:rFonts w:ascii="Arial" w:cs="Arial" w:eastAsia="Arial" w:hAnsi="Arial"/>
                <w:sz w:val="13"/>
                <w:szCs w:val="13"/>
                <w:color w:val="auto"/>
              </w:rPr>
              <w:t>&amp; Poor's</w:t>
            </w:r>
          </w:p>
        </w:tc>
        <w:tc>
          <w:tcPr>
            <w:tcW w:w="1680" w:type="dxa"/>
            <w:vAlign w:val="bottom"/>
            <w:tcBorders>
              <w:bottom w:val="single" w:sz="8" w:color="auto"/>
            </w:tcBorders>
          </w:tcPr>
          <w:p>
            <w:pPr>
              <w:jc w:val="right"/>
              <w:ind w:right="316"/>
              <w:spacing w:after="0"/>
              <w:rPr>
                <w:sz w:val="20"/>
                <w:szCs w:val="20"/>
                <w:color w:val="auto"/>
              </w:rPr>
            </w:pPr>
            <w:r>
              <w:rPr>
                <w:rFonts w:ascii="Arial" w:cs="Arial" w:eastAsia="Arial" w:hAnsi="Arial"/>
                <w:sz w:val="13"/>
                <w:szCs w:val="13"/>
                <w:color w:val="auto"/>
              </w:rPr>
              <w:t>Services, Inc.</w:t>
            </w:r>
          </w:p>
        </w:tc>
        <w:tc>
          <w:tcPr>
            <w:tcW w:w="660" w:type="dxa"/>
            <w:vAlign w:val="bottom"/>
            <w:tcBorders>
              <w:bottom w:val="single" w:sz="8" w:color="auto"/>
            </w:tcBorders>
          </w:tcPr>
          <w:p>
            <w:pPr>
              <w:ind w:left="380"/>
              <w:spacing w:after="0"/>
              <w:rPr>
                <w:sz w:val="20"/>
                <w:szCs w:val="20"/>
                <w:color w:val="auto"/>
              </w:rPr>
            </w:pPr>
            <w:r>
              <w:rPr>
                <w:rFonts w:ascii="Arial" w:cs="Arial" w:eastAsia="Arial" w:hAnsi="Arial"/>
                <w:sz w:val="13"/>
                <w:szCs w:val="13"/>
                <w:color w:val="auto"/>
                <w:w w:val="92"/>
              </w:rPr>
              <w:t>Fitch</w:t>
            </w:r>
          </w:p>
        </w:tc>
      </w:tr>
    </w:tbl>
    <w:p>
      <w:pPr>
        <w:spacing w:after="0" w:line="20" w:lineRule="exact"/>
        <w:rPr>
          <w:sz w:val="20"/>
          <w:szCs w:val="20"/>
          <w:color w:val="auto"/>
        </w:rPr>
      </w:pPr>
    </w:p>
    <w:p>
      <w:pPr>
        <w:sectPr>
          <w:pgSz w:w="11900" w:h="16838" w:orient="portrait"/>
          <w:cols w:equalWidth="0" w:num="1">
            <w:col w:w="11120"/>
          </w:cols>
          <w:pgMar w:left="240" w:top="737" w:right="539" w:bottom="1440" w:gutter="0" w:footer="0" w:header="0"/>
        </w:sectPr>
      </w:pPr>
    </w:p>
    <w:p>
      <w:pPr>
        <w:ind w:left="2200"/>
        <w:spacing w:after="0"/>
        <w:rPr>
          <w:sz w:val="20"/>
          <w:szCs w:val="20"/>
          <w:color w:val="auto"/>
        </w:rPr>
      </w:pPr>
      <w:r>
        <w:rPr>
          <w:rFonts w:ascii="Arial" w:cs="Arial" w:eastAsia="Arial" w:hAnsi="Arial"/>
          <w:sz w:val="14"/>
          <w:szCs w:val="14"/>
          <w:b w:val="1"/>
          <w:bCs w:val="1"/>
          <w:color w:val="auto"/>
        </w:rPr>
        <w:t>SEMPRA ENERGY</w:t>
      </w:r>
    </w:p>
    <w:p>
      <w:pPr>
        <w:spacing w:after="0" w:line="85" w:lineRule="exact"/>
        <w:rPr>
          <w:sz w:val="20"/>
          <w:szCs w:val="20"/>
          <w:color w:val="auto"/>
        </w:rPr>
      </w:pPr>
    </w:p>
    <w:p>
      <w:pPr>
        <w:ind w:left="2200"/>
        <w:spacing w:after="0"/>
        <w:rPr>
          <w:sz w:val="20"/>
          <w:szCs w:val="20"/>
          <w:color w:val="auto"/>
        </w:rPr>
      </w:pPr>
      <w:r>
        <w:rPr>
          <w:rFonts w:ascii="Arial" w:cs="Arial" w:eastAsia="Arial" w:hAnsi="Arial"/>
          <w:sz w:val="14"/>
          <w:szCs w:val="14"/>
          <w:color w:val="auto"/>
        </w:rPr>
        <w:t>Unsecured debt</w:t>
      </w:r>
    </w:p>
    <w:p>
      <w:pPr>
        <w:spacing w:after="0" w:line="253" w:lineRule="exact"/>
        <w:rPr>
          <w:sz w:val="20"/>
          <w:szCs w:val="20"/>
          <w:color w:val="auto"/>
        </w:rPr>
      </w:pPr>
    </w:p>
    <w:p>
      <w:pPr>
        <w:ind w:left="2200"/>
        <w:spacing w:after="0"/>
        <w:rPr>
          <w:sz w:val="20"/>
          <w:szCs w:val="20"/>
          <w:color w:val="auto"/>
        </w:rPr>
      </w:pPr>
      <w:r>
        <w:rPr>
          <w:rFonts w:ascii="Arial" w:cs="Arial" w:eastAsia="Arial" w:hAnsi="Arial"/>
          <w:sz w:val="14"/>
          <w:szCs w:val="14"/>
          <w:b w:val="1"/>
          <w:bCs w:val="1"/>
          <w:color w:val="auto"/>
        </w:rPr>
        <w:t>SDG&amp;E</w:t>
      </w:r>
    </w:p>
    <w:p>
      <w:pPr>
        <w:spacing w:after="0" w:line="73" w:lineRule="exact"/>
        <w:rPr>
          <w:sz w:val="20"/>
          <w:szCs w:val="20"/>
          <w:color w:val="auto"/>
        </w:rPr>
      </w:pPr>
    </w:p>
    <w:p>
      <w:pPr>
        <w:ind w:left="2200"/>
        <w:spacing w:after="0"/>
        <w:rPr>
          <w:sz w:val="20"/>
          <w:szCs w:val="20"/>
          <w:color w:val="auto"/>
        </w:rPr>
      </w:pPr>
      <w:r>
        <w:rPr>
          <w:rFonts w:ascii="Arial" w:cs="Arial" w:eastAsia="Arial" w:hAnsi="Arial"/>
          <w:sz w:val="14"/>
          <w:szCs w:val="14"/>
          <w:color w:val="auto"/>
        </w:rPr>
        <w:t>Secured debt</w:t>
      </w:r>
    </w:p>
    <w:p>
      <w:pPr>
        <w:spacing w:after="0" w:line="55" w:lineRule="exact"/>
        <w:rPr>
          <w:sz w:val="20"/>
          <w:szCs w:val="20"/>
          <w:color w:val="auto"/>
        </w:rPr>
      </w:pPr>
    </w:p>
    <w:p>
      <w:pPr>
        <w:ind w:left="2200"/>
        <w:spacing w:after="0"/>
        <w:rPr>
          <w:sz w:val="20"/>
          <w:szCs w:val="20"/>
          <w:color w:val="auto"/>
        </w:rPr>
      </w:pPr>
      <w:r>
        <w:rPr>
          <w:rFonts w:ascii="Arial" w:cs="Arial" w:eastAsia="Arial" w:hAnsi="Arial"/>
          <w:sz w:val="14"/>
          <w:szCs w:val="14"/>
          <w:color w:val="auto"/>
        </w:rPr>
        <w:t>Unsecured debt</w:t>
      </w:r>
    </w:p>
    <w:p>
      <w:pPr>
        <w:spacing w:after="0" w:line="55" w:lineRule="exact"/>
        <w:rPr>
          <w:sz w:val="20"/>
          <w:szCs w:val="20"/>
          <w:color w:val="auto"/>
        </w:rPr>
      </w:pPr>
    </w:p>
    <w:p>
      <w:pPr>
        <w:ind w:left="2200"/>
        <w:spacing w:after="0"/>
        <w:rPr>
          <w:sz w:val="20"/>
          <w:szCs w:val="20"/>
          <w:color w:val="auto"/>
        </w:rPr>
      </w:pPr>
      <w:r>
        <w:rPr>
          <w:rFonts w:ascii="Arial" w:cs="Arial" w:eastAsia="Arial" w:hAnsi="Arial"/>
          <w:sz w:val="14"/>
          <w:szCs w:val="14"/>
          <w:color w:val="auto"/>
        </w:rPr>
        <w:t>Preferred stock</w:t>
      </w:r>
    </w:p>
    <w:p>
      <w:pPr>
        <w:spacing w:after="0" w:line="67" w:lineRule="exact"/>
        <w:rPr>
          <w:sz w:val="20"/>
          <w:szCs w:val="20"/>
          <w:color w:val="auto"/>
        </w:rPr>
      </w:pPr>
    </w:p>
    <w:p>
      <w:pPr>
        <w:jc w:val="center"/>
        <w:ind w:left="200"/>
        <w:spacing w:after="0"/>
        <w:rPr>
          <w:sz w:val="20"/>
          <w:szCs w:val="20"/>
          <w:color w:val="auto"/>
        </w:rPr>
      </w:pPr>
      <w:r>
        <w:rPr>
          <w:rFonts w:ascii="Arial" w:cs="Arial" w:eastAsia="Arial" w:hAnsi="Arial"/>
          <w:sz w:val="14"/>
          <w:szCs w:val="14"/>
          <w:color w:val="auto"/>
        </w:rPr>
        <w:t>Commercial paper</w:t>
      </w:r>
    </w:p>
    <w:p>
      <w:pPr>
        <w:spacing w:after="0" w:line="253" w:lineRule="exact"/>
        <w:rPr>
          <w:sz w:val="20"/>
          <w:szCs w:val="20"/>
          <w:color w:val="auto"/>
        </w:rPr>
      </w:pPr>
    </w:p>
    <w:p>
      <w:pPr>
        <w:ind w:left="2200"/>
        <w:spacing w:after="0"/>
        <w:rPr>
          <w:sz w:val="20"/>
          <w:szCs w:val="20"/>
          <w:color w:val="auto"/>
        </w:rPr>
      </w:pPr>
      <w:r>
        <w:rPr>
          <w:rFonts w:ascii="Arial" w:cs="Arial" w:eastAsia="Arial" w:hAnsi="Arial"/>
          <w:sz w:val="14"/>
          <w:szCs w:val="14"/>
          <w:b w:val="1"/>
          <w:bCs w:val="1"/>
          <w:color w:val="auto"/>
        </w:rPr>
        <w:t>SoCalGas</w:t>
      </w:r>
    </w:p>
    <w:p>
      <w:pPr>
        <w:spacing w:after="0" w:line="73" w:lineRule="exact"/>
        <w:rPr>
          <w:sz w:val="20"/>
          <w:szCs w:val="20"/>
          <w:color w:val="auto"/>
        </w:rPr>
      </w:pPr>
    </w:p>
    <w:p>
      <w:pPr>
        <w:ind w:left="2200"/>
        <w:spacing w:after="0"/>
        <w:rPr>
          <w:sz w:val="20"/>
          <w:szCs w:val="20"/>
          <w:color w:val="auto"/>
        </w:rPr>
      </w:pPr>
      <w:r>
        <w:rPr>
          <w:rFonts w:ascii="Arial" w:cs="Arial" w:eastAsia="Arial" w:hAnsi="Arial"/>
          <w:sz w:val="14"/>
          <w:szCs w:val="14"/>
          <w:color w:val="auto"/>
        </w:rPr>
        <w:t>Secured debt</w:t>
      </w:r>
    </w:p>
    <w:p>
      <w:pPr>
        <w:spacing w:after="0" w:line="55" w:lineRule="exact"/>
        <w:rPr>
          <w:sz w:val="20"/>
          <w:szCs w:val="20"/>
          <w:color w:val="auto"/>
        </w:rPr>
      </w:pPr>
    </w:p>
    <w:p>
      <w:pPr>
        <w:ind w:left="2200"/>
        <w:spacing w:after="0"/>
        <w:rPr>
          <w:sz w:val="20"/>
          <w:szCs w:val="20"/>
          <w:color w:val="auto"/>
        </w:rPr>
      </w:pPr>
      <w:r>
        <w:rPr>
          <w:rFonts w:ascii="Arial" w:cs="Arial" w:eastAsia="Arial" w:hAnsi="Arial"/>
          <w:sz w:val="14"/>
          <w:szCs w:val="14"/>
          <w:color w:val="auto"/>
        </w:rPr>
        <w:t>Unsecured debt</w:t>
      </w:r>
    </w:p>
    <w:p>
      <w:pPr>
        <w:spacing w:after="0" w:line="55" w:lineRule="exact"/>
        <w:rPr>
          <w:sz w:val="20"/>
          <w:szCs w:val="20"/>
          <w:color w:val="auto"/>
        </w:rPr>
      </w:pPr>
    </w:p>
    <w:p>
      <w:pPr>
        <w:ind w:left="2200"/>
        <w:spacing w:after="0"/>
        <w:rPr>
          <w:sz w:val="20"/>
          <w:szCs w:val="20"/>
          <w:color w:val="auto"/>
        </w:rPr>
      </w:pPr>
      <w:r>
        <w:rPr>
          <w:rFonts w:ascii="Arial" w:cs="Arial" w:eastAsia="Arial" w:hAnsi="Arial"/>
          <w:sz w:val="14"/>
          <w:szCs w:val="14"/>
          <w:color w:val="auto"/>
        </w:rPr>
        <w:t>Preferred stock</w:t>
      </w:r>
    </w:p>
    <w:p>
      <w:pPr>
        <w:spacing w:after="0" w:line="67" w:lineRule="exact"/>
        <w:rPr>
          <w:sz w:val="20"/>
          <w:szCs w:val="20"/>
          <w:color w:val="auto"/>
        </w:rPr>
      </w:pPr>
    </w:p>
    <w:p>
      <w:pPr>
        <w:jc w:val="center"/>
        <w:ind w:left="200"/>
        <w:spacing w:after="0"/>
        <w:rPr>
          <w:sz w:val="20"/>
          <w:szCs w:val="20"/>
          <w:color w:val="auto"/>
        </w:rPr>
      </w:pPr>
      <w:r>
        <w:rPr>
          <w:rFonts w:ascii="Arial" w:cs="Arial" w:eastAsia="Arial" w:hAnsi="Arial"/>
          <w:sz w:val="14"/>
          <w:szCs w:val="14"/>
          <w:color w:val="auto"/>
        </w:rPr>
        <w:t>Commercial paper</w:t>
      </w:r>
    </w:p>
    <w:p>
      <w:pPr>
        <w:spacing w:after="0" w:line="253" w:lineRule="exact"/>
        <w:rPr>
          <w:sz w:val="20"/>
          <w:szCs w:val="20"/>
          <w:color w:val="auto"/>
        </w:rPr>
      </w:pPr>
    </w:p>
    <w:p>
      <w:pPr>
        <w:ind w:left="2200"/>
        <w:spacing w:after="0"/>
        <w:rPr>
          <w:sz w:val="20"/>
          <w:szCs w:val="20"/>
          <w:color w:val="auto"/>
        </w:rPr>
      </w:pPr>
      <w:r>
        <w:rPr>
          <w:rFonts w:ascii="Arial" w:cs="Arial" w:eastAsia="Arial" w:hAnsi="Arial"/>
          <w:sz w:val="14"/>
          <w:szCs w:val="14"/>
          <w:b w:val="1"/>
          <w:bCs w:val="1"/>
          <w:color w:val="auto"/>
        </w:rPr>
        <w:t>PACIFIC ENTERPRISES</w:t>
      </w:r>
    </w:p>
    <w:p>
      <w:pPr>
        <w:spacing w:after="0" w:line="85" w:lineRule="exact"/>
        <w:rPr>
          <w:sz w:val="20"/>
          <w:szCs w:val="20"/>
          <w:color w:val="auto"/>
        </w:rPr>
      </w:pPr>
    </w:p>
    <w:p>
      <w:pPr>
        <w:ind w:left="2200"/>
        <w:spacing w:after="0"/>
        <w:rPr>
          <w:sz w:val="20"/>
          <w:szCs w:val="20"/>
          <w:color w:val="auto"/>
        </w:rPr>
      </w:pPr>
      <w:r>
        <w:rPr>
          <w:rFonts w:ascii="Arial" w:cs="Arial" w:eastAsia="Arial" w:hAnsi="Arial"/>
          <w:sz w:val="14"/>
          <w:szCs w:val="14"/>
          <w:color w:val="auto"/>
        </w:rPr>
        <w:t>Preferred stock</w:t>
      </w:r>
    </w:p>
    <w:p>
      <w:pPr>
        <w:spacing w:after="0" w:line="253" w:lineRule="exact"/>
        <w:rPr>
          <w:sz w:val="20"/>
          <w:szCs w:val="20"/>
          <w:color w:val="auto"/>
        </w:rPr>
      </w:pPr>
    </w:p>
    <w:p>
      <w:pPr>
        <w:ind w:left="2200"/>
        <w:spacing w:after="0"/>
        <w:rPr>
          <w:sz w:val="20"/>
          <w:szCs w:val="20"/>
          <w:color w:val="auto"/>
        </w:rPr>
      </w:pPr>
      <w:r>
        <w:rPr>
          <w:rFonts w:ascii="Arial" w:cs="Arial" w:eastAsia="Arial" w:hAnsi="Arial"/>
          <w:sz w:val="14"/>
          <w:szCs w:val="14"/>
          <w:b w:val="1"/>
          <w:bCs w:val="1"/>
          <w:color w:val="auto"/>
        </w:rPr>
        <w:t>SEMPRA GLOBAL</w:t>
      </w:r>
    </w:p>
    <w:p>
      <w:pPr>
        <w:spacing w:after="0" w:line="73" w:lineRule="exact"/>
        <w:rPr>
          <w:sz w:val="20"/>
          <w:szCs w:val="20"/>
          <w:color w:val="auto"/>
        </w:rPr>
      </w:pPr>
    </w:p>
    <w:p>
      <w:pPr>
        <w:ind w:left="2200"/>
        <w:spacing w:after="0" w:line="339" w:lineRule="auto"/>
        <w:rPr>
          <w:sz w:val="20"/>
          <w:szCs w:val="20"/>
          <w:color w:val="auto"/>
        </w:rPr>
      </w:pPr>
      <w:r>
        <w:rPr>
          <w:rFonts w:ascii="Arial" w:cs="Arial" w:eastAsia="Arial" w:hAnsi="Arial"/>
          <w:sz w:val="14"/>
          <w:szCs w:val="14"/>
          <w:color w:val="auto"/>
        </w:rPr>
        <w:t>Unsecured debt guaranteed by Sempra Energy Commercial paper guaranteed by Sempra Energy</w:t>
      </w:r>
    </w:p>
    <w:p>
      <w:pPr>
        <w:spacing w:after="0" w:line="20" w:lineRule="exact"/>
        <w:rPr>
          <w:sz w:val="20"/>
          <w:szCs w:val="20"/>
          <w:color w:val="auto"/>
        </w:rPr>
      </w:pPr>
      <w:r>
        <w:rPr>
          <w:sz w:val="20"/>
          <w:szCs w:val="20"/>
          <w:color w:val="auto"/>
        </w:rPr>
        <w:br w:type="column"/>
      </w:r>
    </w:p>
    <w:p>
      <w:pPr>
        <w:spacing w:after="0" w:line="21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5"/>
        </w:trPr>
        <w:tc>
          <w:tcPr>
            <w:tcW w:w="1460" w:type="dxa"/>
            <w:vAlign w:val="bottom"/>
            <w:tcBorders>
              <w:bottom w:val="single" w:sz="8" w:color="auto"/>
            </w:tcBorders>
          </w:tcPr>
          <w:p>
            <w:pPr>
              <w:jc w:val="right"/>
              <w:ind w:right="588"/>
              <w:spacing w:after="0"/>
              <w:rPr>
                <w:sz w:val="20"/>
                <w:szCs w:val="20"/>
                <w:color w:val="auto"/>
              </w:rPr>
            </w:pPr>
            <w:r>
              <w:rPr>
                <w:rFonts w:ascii="Arial" w:cs="Arial" w:eastAsia="Arial" w:hAnsi="Arial"/>
                <w:sz w:val="14"/>
                <w:szCs w:val="14"/>
                <w:color w:val="auto"/>
              </w:rPr>
              <w:t>BBB+</w:t>
            </w:r>
          </w:p>
        </w:tc>
        <w:tc>
          <w:tcPr>
            <w:tcW w:w="136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Baa1</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A</w:t>
            </w:r>
          </w:p>
        </w:tc>
      </w:tr>
      <w:tr>
        <w:trPr>
          <w:trHeight w:val="614"/>
        </w:trPr>
        <w:tc>
          <w:tcPr>
            <w:tcW w:w="1460" w:type="dxa"/>
            <w:vAlign w:val="bottom"/>
          </w:tcPr>
          <w:p>
            <w:pPr>
              <w:jc w:val="right"/>
              <w:ind w:right="588"/>
              <w:spacing w:after="0"/>
              <w:rPr>
                <w:sz w:val="20"/>
                <w:szCs w:val="20"/>
                <w:color w:val="auto"/>
              </w:rPr>
            </w:pPr>
            <w:r>
              <w:rPr>
                <w:rFonts w:ascii="Arial" w:cs="Arial" w:eastAsia="Arial" w:hAnsi="Arial"/>
                <w:sz w:val="14"/>
                <w:szCs w:val="14"/>
                <w:color w:val="auto"/>
              </w:rPr>
              <w:t>A+</w:t>
            </w:r>
          </w:p>
        </w:tc>
        <w:tc>
          <w:tcPr>
            <w:tcW w:w="1360" w:type="dxa"/>
            <w:vAlign w:val="bottom"/>
          </w:tcPr>
          <w:p>
            <w:pPr>
              <w:jc w:val="right"/>
              <w:ind w:right="288"/>
              <w:spacing w:after="0"/>
              <w:rPr>
                <w:sz w:val="20"/>
                <w:szCs w:val="20"/>
                <w:color w:val="auto"/>
              </w:rPr>
            </w:pPr>
            <w:r>
              <w:rPr>
                <w:rFonts w:ascii="Arial" w:cs="Arial" w:eastAsia="Arial" w:hAnsi="Arial"/>
                <w:sz w:val="14"/>
                <w:szCs w:val="14"/>
                <w:color w:val="auto"/>
              </w:rPr>
              <w:t>A1</w:t>
            </w:r>
          </w:p>
        </w:tc>
        <w:tc>
          <w:tcPr>
            <w:tcW w:w="680" w:type="dxa"/>
            <w:vAlign w:val="bottom"/>
          </w:tcPr>
          <w:p>
            <w:pPr>
              <w:jc w:val="right"/>
              <w:spacing w:after="0"/>
              <w:rPr>
                <w:sz w:val="20"/>
                <w:szCs w:val="20"/>
                <w:color w:val="auto"/>
              </w:rPr>
            </w:pPr>
            <w:r>
              <w:rPr>
                <w:rFonts w:ascii="Arial" w:cs="Arial" w:eastAsia="Arial" w:hAnsi="Arial"/>
                <w:sz w:val="14"/>
                <w:szCs w:val="14"/>
                <w:color w:val="auto"/>
              </w:rPr>
              <w:t>AA</w:t>
            </w:r>
          </w:p>
        </w:tc>
      </w:tr>
      <w:tr>
        <w:trPr>
          <w:trHeight w:val="216"/>
        </w:trPr>
        <w:tc>
          <w:tcPr>
            <w:tcW w:w="1460" w:type="dxa"/>
            <w:vAlign w:val="bottom"/>
          </w:tcPr>
          <w:p>
            <w:pPr>
              <w:jc w:val="right"/>
              <w:ind w:right="588"/>
              <w:spacing w:after="0"/>
              <w:rPr>
                <w:sz w:val="20"/>
                <w:szCs w:val="20"/>
                <w:color w:val="auto"/>
              </w:rPr>
            </w:pPr>
            <w:r>
              <w:rPr>
                <w:rFonts w:ascii="Arial" w:cs="Arial" w:eastAsia="Arial" w:hAnsi="Arial"/>
                <w:sz w:val="14"/>
                <w:szCs w:val="14"/>
                <w:color w:val="auto"/>
              </w:rPr>
              <w:t>A</w:t>
            </w:r>
          </w:p>
        </w:tc>
        <w:tc>
          <w:tcPr>
            <w:tcW w:w="1360" w:type="dxa"/>
            <w:vAlign w:val="bottom"/>
          </w:tcPr>
          <w:p>
            <w:pPr>
              <w:jc w:val="right"/>
              <w:ind w:right="288"/>
              <w:spacing w:after="0"/>
              <w:rPr>
                <w:sz w:val="20"/>
                <w:szCs w:val="20"/>
                <w:color w:val="auto"/>
              </w:rPr>
            </w:pPr>
            <w:r>
              <w:rPr>
                <w:rFonts w:ascii="Arial" w:cs="Arial" w:eastAsia="Arial" w:hAnsi="Arial"/>
                <w:sz w:val="14"/>
                <w:szCs w:val="14"/>
                <w:color w:val="auto"/>
              </w:rPr>
              <w:t>A2</w:t>
            </w:r>
          </w:p>
        </w:tc>
        <w:tc>
          <w:tcPr>
            <w:tcW w:w="680" w:type="dxa"/>
            <w:vAlign w:val="bottom"/>
          </w:tcPr>
          <w:p>
            <w:pPr>
              <w:jc w:val="right"/>
              <w:spacing w:after="0"/>
              <w:rPr>
                <w:sz w:val="20"/>
                <w:szCs w:val="20"/>
                <w:color w:val="auto"/>
              </w:rPr>
            </w:pPr>
            <w:r>
              <w:rPr>
                <w:rFonts w:ascii="Arial" w:cs="Arial" w:eastAsia="Arial" w:hAnsi="Arial"/>
                <w:sz w:val="14"/>
                <w:szCs w:val="14"/>
                <w:color w:val="auto"/>
              </w:rPr>
              <w:t>AA-</w:t>
            </w:r>
          </w:p>
        </w:tc>
      </w:tr>
      <w:tr>
        <w:trPr>
          <w:trHeight w:val="216"/>
        </w:trPr>
        <w:tc>
          <w:tcPr>
            <w:tcW w:w="1460" w:type="dxa"/>
            <w:vAlign w:val="bottom"/>
          </w:tcPr>
          <w:p>
            <w:pPr>
              <w:jc w:val="right"/>
              <w:ind w:right="588"/>
              <w:spacing w:after="0"/>
              <w:rPr>
                <w:sz w:val="20"/>
                <w:szCs w:val="20"/>
                <w:color w:val="auto"/>
              </w:rPr>
            </w:pPr>
            <w:r>
              <w:rPr>
                <w:rFonts w:ascii="Arial" w:cs="Arial" w:eastAsia="Arial" w:hAnsi="Arial"/>
                <w:sz w:val="14"/>
                <w:szCs w:val="14"/>
                <w:color w:val="auto"/>
              </w:rPr>
              <w:t>BBB+</w:t>
            </w:r>
          </w:p>
        </w:tc>
        <w:tc>
          <w:tcPr>
            <w:tcW w:w="1360" w:type="dxa"/>
            <w:vAlign w:val="bottom"/>
          </w:tcPr>
          <w:p>
            <w:pPr>
              <w:jc w:val="right"/>
              <w:ind w:right="288"/>
              <w:spacing w:after="0"/>
              <w:rPr>
                <w:sz w:val="20"/>
                <w:szCs w:val="20"/>
                <w:color w:val="auto"/>
              </w:rPr>
            </w:pPr>
            <w:r>
              <w:rPr>
                <w:rFonts w:ascii="Arial" w:cs="Arial" w:eastAsia="Arial" w:hAnsi="Arial"/>
                <w:sz w:val="14"/>
                <w:szCs w:val="14"/>
                <w:color w:val="auto"/>
              </w:rPr>
              <w:t>Baa1</w:t>
            </w:r>
          </w:p>
        </w:tc>
        <w:tc>
          <w:tcPr>
            <w:tcW w:w="680" w:type="dxa"/>
            <w:vAlign w:val="bottom"/>
          </w:tcPr>
          <w:p>
            <w:pPr>
              <w:jc w:val="right"/>
              <w:spacing w:after="0"/>
              <w:rPr>
                <w:sz w:val="20"/>
                <w:szCs w:val="20"/>
                <w:color w:val="auto"/>
              </w:rPr>
            </w:pPr>
            <w:r>
              <w:rPr>
                <w:rFonts w:ascii="Arial" w:cs="Arial" w:eastAsia="Arial" w:hAnsi="Arial"/>
                <w:sz w:val="14"/>
                <w:szCs w:val="14"/>
                <w:color w:val="auto"/>
              </w:rPr>
              <w:t>A+</w:t>
            </w:r>
          </w:p>
        </w:tc>
      </w:tr>
      <w:tr>
        <w:trPr>
          <w:trHeight w:val="216"/>
        </w:trPr>
        <w:tc>
          <w:tcPr>
            <w:tcW w:w="1460" w:type="dxa"/>
            <w:vAlign w:val="bottom"/>
          </w:tcPr>
          <w:p>
            <w:pPr>
              <w:jc w:val="right"/>
              <w:ind w:right="588"/>
              <w:spacing w:after="0"/>
              <w:rPr>
                <w:sz w:val="20"/>
                <w:szCs w:val="20"/>
                <w:color w:val="auto"/>
              </w:rPr>
            </w:pPr>
            <w:r>
              <w:rPr>
                <w:rFonts w:ascii="Arial" w:cs="Arial" w:eastAsia="Arial" w:hAnsi="Arial"/>
                <w:sz w:val="14"/>
                <w:szCs w:val="14"/>
                <w:color w:val="auto"/>
              </w:rPr>
              <w:t>A-1</w:t>
            </w:r>
          </w:p>
        </w:tc>
        <w:tc>
          <w:tcPr>
            <w:tcW w:w="1360" w:type="dxa"/>
            <w:vAlign w:val="bottom"/>
          </w:tcPr>
          <w:p>
            <w:pPr>
              <w:jc w:val="right"/>
              <w:ind w:right="288"/>
              <w:spacing w:after="0"/>
              <w:rPr>
                <w:sz w:val="20"/>
                <w:szCs w:val="20"/>
                <w:color w:val="auto"/>
              </w:rPr>
            </w:pPr>
            <w:r>
              <w:rPr>
                <w:rFonts w:ascii="Arial" w:cs="Arial" w:eastAsia="Arial" w:hAnsi="Arial"/>
                <w:sz w:val="14"/>
                <w:szCs w:val="14"/>
                <w:color w:val="auto"/>
              </w:rPr>
              <w:t>P-1</w:t>
            </w:r>
          </w:p>
        </w:tc>
        <w:tc>
          <w:tcPr>
            <w:tcW w:w="680" w:type="dxa"/>
            <w:vAlign w:val="bottom"/>
          </w:tcPr>
          <w:p>
            <w:pPr>
              <w:jc w:val="right"/>
              <w:spacing w:after="0"/>
              <w:rPr>
                <w:sz w:val="20"/>
                <w:szCs w:val="20"/>
                <w:color w:val="auto"/>
              </w:rPr>
            </w:pPr>
            <w:r>
              <w:rPr>
                <w:rFonts w:ascii="Arial" w:cs="Arial" w:eastAsia="Arial" w:hAnsi="Arial"/>
                <w:sz w:val="14"/>
                <w:szCs w:val="14"/>
                <w:color w:val="auto"/>
              </w:rPr>
              <w:t>F-1+</w:t>
            </w:r>
          </w:p>
        </w:tc>
      </w:tr>
      <w:tr>
        <w:trPr>
          <w:trHeight w:val="30"/>
        </w:trPr>
        <w:tc>
          <w:tcPr>
            <w:tcW w:w="14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611"/>
        </w:trPr>
        <w:tc>
          <w:tcPr>
            <w:tcW w:w="1460" w:type="dxa"/>
            <w:vAlign w:val="bottom"/>
          </w:tcPr>
          <w:p>
            <w:pPr>
              <w:jc w:val="right"/>
              <w:ind w:right="588"/>
              <w:spacing w:after="0"/>
              <w:rPr>
                <w:sz w:val="20"/>
                <w:szCs w:val="20"/>
                <w:color w:val="auto"/>
              </w:rPr>
            </w:pPr>
            <w:r>
              <w:rPr>
                <w:rFonts w:ascii="Arial" w:cs="Arial" w:eastAsia="Arial" w:hAnsi="Arial"/>
                <w:sz w:val="14"/>
                <w:szCs w:val="14"/>
                <w:color w:val="auto"/>
              </w:rPr>
              <w:t>A+</w:t>
            </w:r>
          </w:p>
        </w:tc>
        <w:tc>
          <w:tcPr>
            <w:tcW w:w="1360" w:type="dxa"/>
            <w:vAlign w:val="bottom"/>
          </w:tcPr>
          <w:p>
            <w:pPr>
              <w:jc w:val="right"/>
              <w:ind w:right="288"/>
              <w:spacing w:after="0"/>
              <w:rPr>
                <w:sz w:val="20"/>
                <w:szCs w:val="20"/>
                <w:color w:val="auto"/>
              </w:rPr>
            </w:pPr>
            <w:r>
              <w:rPr>
                <w:rFonts w:ascii="Arial" w:cs="Arial" w:eastAsia="Arial" w:hAnsi="Arial"/>
                <w:sz w:val="14"/>
                <w:szCs w:val="14"/>
                <w:color w:val="auto"/>
              </w:rPr>
              <w:t>A1</w:t>
            </w:r>
          </w:p>
        </w:tc>
        <w:tc>
          <w:tcPr>
            <w:tcW w:w="680" w:type="dxa"/>
            <w:vAlign w:val="bottom"/>
          </w:tcPr>
          <w:p>
            <w:pPr>
              <w:jc w:val="right"/>
              <w:spacing w:after="0"/>
              <w:rPr>
                <w:sz w:val="20"/>
                <w:szCs w:val="20"/>
                <w:color w:val="auto"/>
              </w:rPr>
            </w:pPr>
            <w:r>
              <w:rPr>
                <w:rFonts w:ascii="Arial" w:cs="Arial" w:eastAsia="Arial" w:hAnsi="Arial"/>
                <w:sz w:val="14"/>
                <w:szCs w:val="14"/>
                <w:color w:val="auto"/>
              </w:rPr>
              <w:t>AA</w:t>
            </w:r>
          </w:p>
        </w:tc>
      </w:tr>
      <w:tr>
        <w:trPr>
          <w:trHeight w:val="216"/>
        </w:trPr>
        <w:tc>
          <w:tcPr>
            <w:tcW w:w="1460" w:type="dxa"/>
            <w:vAlign w:val="bottom"/>
          </w:tcPr>
          <w:p>
            <w:pPr>
              <w:jc w:val="right"/>
              <w:ind w:right="588"/>
              <w:spacing w:after="0"/>
              <w:rPr>
                <w:sz w:val="20"/>
                <w:szCs w:val="20"/>
                <w:color w:val="auto"/>
              </w:rPr>
            </w:pPr>
            <w:r>
              <w:rPr>
                <w:rFonts w:ascii="Arial" w:cs="Arial" w:eastAsia="Arial" w:hAnsi="Arial"/>
                <w:sz w:val="14"/>
                <w:szCs w:val="14"/>
                <w:color w:val="auto"/>
              </w:rPr>
              <w:t>A</w:t>
            </w:r>
          </w:p>
        </w:tc>
        <w:tc>
          <w:tcPr>
            <w:tcW w:w="1360" w:type="dxa"/>
            <w:vAlign w:val="bottom"/>
          </w:tcPr>
          <w:p>
            <w:pPr>
              <w:jc w:val="right"/>
              <w:ind w:right="288"/>
              <w:spacing w:after="0"/>
              <w:rPr>
                <w:sz w:val="20"/>
                <w:szCs w:val="20"/>
                <w:color w:val="auto"/>
              </w:rPr>
            </w:pPr>
            <w:r>
              <w:rPr>
                <w:rFonts w:ascii="Arial" w:cs="Arial" w:eastAsia="Arial" w:hAnsi="Arial"/>
                <w:sz w:val="14"/>
                <w:szCs w:val="14"/>
                <w:color w:val="auto"/>
              </w:rPr>
              <w:t>A2</w:t>
            </w:r>
          </w:p>
        </w:tc>
        <w:tc>
          <w:tcPr>
            <w:tcW w:w="680" w:type="dxa"/>
            <w:vAlign w:val="bottom"/>
          </w:tcPr>
          <w:p>
            <w:pPr>
              <w:jc w:val="right"/>
              <w:spacing w:after="0"/>
              <w:rPr>
                <w:sz w:val="20"/>
                <w:szCs w:val="20"/>
                <w:color w:val="auto"/>
              </w:rPr>
            </w:pPr>
            <w:r>
              <w:rPr>
                <w:rFonts w:ascii="Arial" w:cs="Arial" w:eastAsia="Arial" w:hAnsi="Arial"/>
                <w:sz w:val="14"/>
                <w:szCs w:val="14"/>
                <w:color w:val="auto"/>
              </w:rPr>
              <w:t>AA-</w:t>
            </w:r>
          </w:p>
        </w:tc>
      </w:tr>
      <w:tr>
        <w:trPr>
          <w:trHeight w:val="216"/>
        </w:trPr>
        <w:tc>
          <w:tcPr>
            <w:tcW w:w="1460" w:type="dxa"/>
            <w:vAlign w:val="bottom"/>
          </w:tcPr>
          <w:p>
            <w:pPr>
              <w:jc w:val="right"/>
              <w:ind w:right="588"/>
              <w:spacing w:after="0"/>
              <w:rPr>
                <w:sz w:val="20"/>
                <w:szCs w:val="20"/>
                <w:color w:val="auto"/>
              </w:rPr>
            </w:pPr>
            <w:r>
              <w:rPr>
                <w:rFonts w:ascii="Arial" w:cs="Arial" w:eastAsia="Arial" w:hAnsi="Arial"/>
                <w:sz w:val="14"/>
                <w:szCs w:val="14"/>
                <w:color w:val="auto"/>
              </w:rPr>
              <w:t>BBB+</w:t>
            </w:r>
          </w:p>
        </w:tc>
        <w:tc>
          <w:tcPr>
            <w:tcW w:w="1360" w:type="dxa"/>
            <w:vAlign w:val="bottom"/>
          </w:tcPr>
          <w:p>
            <w:pPr>
              <w:jc w:val="right"/>
              <w:ind w:right="288"/>
              <w:spacing w:after="0"/>
              <w:rPr>
                <w:sz w:val="20"/>
                <w:szCs w:val="20"/>
                <w:color w:val="auto"/>
              </w:rPr>
            </w:pPr>
            <w:r>
              <w:rPr>
                <w:rFonts w:ascii="Arial" w:cs="Arial" w:eastAsia="Arial" w:hAnsi="Arial"/>
                <w:sz w:val="14"/>
                <w:szCs w:val="14"/>
                <w:color w:val="auto"/>
              </w:rPr>
              <w:t>Baa1</w:t>
            </w:r>
          </w:p>
        </w:tc>
        <w:tc>
          <w:tcPr>
            <w:tcW w:w="680" w:type="dxa"/>
            <w:vAlign w:val="bottom"/>
          </w:tcPr>
          <w:p>
            <w:pPr>
              <w:jc w:val="right"/>
              <w:spacing w:after="0"/>
              <w:rPr>
                <w:sz w:val="20"/>
                <w:szCs w:val="20"/>
                <w:color w:val="auto"/>
              </w:rPr>
            </w:pPr>
            <w:r>
              <w:rPr>
                <w:rFonts w:ascii="Arial" w:cs="Arial" w:eastAsia="Arial" w:hAnsi="Arial"/>
                <w:sz w:val="14"/>
                <w:szCs w:val="14"/>
                <w:color w:val="auto"/>
              </w:rPr>
              <w:t>A+</w:t>
            </w:r>
          </w:p>
        </w:tc>
      </w:tr>
      <w:tr>
        <w:trPr>
          <w:trHeight w:val="216"/>
        </w:trPr>
        <w:tc>
          <w:tcPr>
            <w:tcW w:w="1460" w:type="dxa"/>
            <w:vAlign w:val="bottom"/>
          </w:tcPr>
          <w:p>
            <w:pPr>
              <w:jc w:val="right"/>
              <w:ind w:right="588"/>
              <w:spacing w:after="0"/>
              <w:rPr>
                <w:sz w:val="20"/>
                <w:szCs w:val="20"/>
                <w:color w:val="auto"/>
              </w:rPr>
            </w:pPr>
            <w:r>
              <w:rPr>
                <w:rFonts w:ascii="Arial" w:cs="Arial" w:eastAsia="Arial" w:hAnsi="Arial"/>
                <w:sz w:val="14"/>
                <w:szCs w:val="14"/>
                <w:color w:val="auto"/>
              </w:rPr>
              <w:t>A-1</w:t>
            </w:r>
          </w:p>
        </w:tc>
        <w:tc>
          <w:tcPr>
            <w:tcW w:w="1360" w:type="dxa"/>
            <w:vAlign w:val="bottom"/>
          </w:tcPr>
          <w:p>
            <w:pPr>
              <w:jc w:val="right"/>
              <w:ind w:right="288"/>
              <w:spacing w:after="0"/>
              <w:rPr>
                <w:sz w:val="20"/>
                <w:szCs w:val="20"/>
                <w:color w:val="auto"/>
              </w:rPr>
            </w:pPr>
            <w:r>
              <w:rPr>
                <w:rFonts w:ascii="Arial" w:cs="Arial" w:eastAsia="Arial" w:hAnsi="Arial"/>
                <w:sz w:val="14"/>
                <w:szCs w:val="14"/>
                <w:color w:val="auto"/>
              </w:rPr>
              <w:t>P-1</w:t>
            </w:r>
          </w:p>
        </w:tc>
        <w:tc>
          <w:tcPr>
            <w:tcW w:w="680" w:type="dxa"/>
            <w:vAlign w:val="bottom"/>
          </w:tcPr>
          <w:p>
            <w:pPr>
              <w:jc w:val="right"/>
              <w:spacing w:after="0"/>
              <w:rPr>
                <w:sz w:val="20"/>
                <w:szCs w:val="20"/>
                <w:color w:val="auto"/>
              </w:rPr>
            </w:pPr>
            <w:r>
              <w:rPr>
                <w:rFonts w:ascii="Arial" w:cs="Arial" w:eastAsia="Arial" w:hAnsi="Arial"/>
                <w:sz w:val="14"/>
                <w:szCs w:val="14"/>
                <w:color w:val="auto"/>
              </w:rPr>
              <w:t>F-1+</w:t>
            </w:r>
          </w:p>
        </w:tc>
      </w:tr>
      <w:tr>
        <w:trPr>
          <w:trHeight w:val="30"/>
        </w:trPr>
        <w:tc>
          <w:tcPr>
            <w:tcW w:w="14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638"/>
        </w:trPr>
        <w:tc>
          <w:tcPr>
            <w:tcW w:w="1460" w:type="dxa"/>
            <w:vAlign w:val="bottom"/>
            <w:tcBorders>
              <w:bottom w:val="single" w:sz="8" w:color="auto"/>
            </w:tcBorders>
          </w:tcPr>
          <w:p>
            <w:pPr>
              <w:jc w:val="right"/>
              <w:ind w:right="588"/>
              <w:spacing w:after="0"/>
              <w:rPr>
                <w:sz w:val="20"/>
                <w:szCs w:val="20"/>
                <w:color w:val="auto"/>
              </w:rPr>
            </w:pPr>
            <w:r>
              <w:rPr>
                <w:rFonts w:ascii="Arial" w:cs="Arial" w:eastAsia="Arial" w:hAnsi="Arial"/>
                <w:sz w:val="14"/>
                <w:szCs w:val="14"/>
                <w:color w:val="auto"/>
              </w:rPr>
              <w:t>BBB+</w:t>
            </w:r>
          </w:p>
        </w:tc>
        <w:tc>
          <w:tcPr>
            <w:tcW w:w="136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A</w:t>
            </w:r>
          </w:p>
        </w:tc>
      </w:tr>
      <w:tr>
        <w:trPr>
          <w:trHeight w:val="614"/>
        </w:trPr>
        <w:tc>
          <w:tcPr>
            <w:tcW w:w="1460" w:type="dxa"/>
            <w:vAlign w:val="bottom"/>
          </w:tcPr>
          <w:p>
            <w:pPr>
              <w:jc w:val="right"/>
              <w:ind w:right="588"/>
              <w:spacing w:after="0"/>
              <w:rPr>
                <w:sz w:val="20"/>
                <w:szCs w:val="20"/>
                <w:color w:val="auto"/>
              </w:rPr>
            </w:pPr>
            <w:r>
              <w:rPr>
                <w:rFonts w:ascii="Arial" w:cs="Arial" w:eastAsia="Arial" w:hAnsi="Arial"/>
                <w:sz w:val="14"/>
                <w:szCs w:val="14"/>
                <w:color w:val="auto"/>
              </w:rPr>
              <w:t>--</w:t>
            </w:r>
          </w:p>
        </w:tc>
        <w:tc>
          <w:tcPr>
            <w:tcW w:w="1360" w:type="dxa"/>
            <w:vAlign w:val="bottom"/>
          </w:tcPr>
          <w:p>
            <w:pPr>
              <w:jc w:val="right"/>
              <w:ind w:right="288"/>
              <w:spacing w:after="0"/>
              <w:rPr>
                <w:sz w:val="20"/>
                <w:szCs w:val="20"/>
                <w:color w:val="auto"/>
              </w:rPr>
            </w:pPr>
            <w:r>
              <w:rPr>
                <w:rFonts w:ascii="Arial" w:cs="Arial" w:eastAsia="Arial" w:hAnsi="Arial"/>
                <w:sz w:val="14"/>
                <w:szCs w:val="14"/>
                <w:color w:val="auto"/>
              </w:rPr>
              <w:t>Baa1</w:t>
            </w:r>
          </w:p>
        </w:tc>
        <w:tc>
          <w:tcPr>
            <w:tcW w:w="680" w:type="dxa"/>
            <w:vAlign w:val="bottom"/>
          </w:tcPr>
          <w:p>
            <w:pPr>
              <w:jc w:val="right"/>
              <w:spacing w:after="0"/>
              <w:rPr>
                <w:sz w:val="20"/>
                <w:szCs w:val="20"/>
                <w:color w:val="auto"/>
              </w:rPr>
            </w:pPr>
            <w:r>
              <w:rPr>
                <w:rFonts w:ascii="Arial" w:cs="Arial" w:eastAsia="Arial" w:hAnsi="Arial"/>
                <w:sz w:val="14"/>
                <w:szCs w:val="14"/>
                <w:color w:val="auto"/>
              </w:rPr>
              <w:t>A</w:t>
            </w:r>
          </w:p>
        </w:tc>
      </w:tr>
      <w:tr>
        <w:trPr>
          <w:trHeight w:val="216"/>
        </w:trPr>
        <w:tc>
          <w:tcPr>
            <w:tcW w:w="1460" w:type="dxa"/>
            <w:vAlign w:val="bottom"/>
          </w:tcPr>
          <w:p>
            <w:pPr>
              <w:jc w:val="right"/>
              <w:ind w:right="588"/>
              <w:spacing w:after="0"/>
              <w:rPr>
                <w:sz w:val="20"/>
                <w:szCs w:val="20"/>
                <w:color w:val="auto"/>
              </w:rPr>
            </w:pPr>
            <w:r>
              <w:rPr>
                <w:rFonts w:ascii="Arial" w:cs="Arial" w:eastAsia="Arial" w:hAnsi="Arial"/>
                <w:sz w:val="14"/>
                <w:szCs w:val="14"/>
                <w:color w:val="auto"/>
              </w:rPr>
              <w:t>A-2</w:t>
            </w:r>
          </w:p>
        </w:tc>
        <w:tc>
          <w:tcPr>
            <w:tcW w:w="1360" w:type="dxa"/>
            <w:vAlign w:val="bottom"/>
          </w:tcPr>
          <w:p>
            <w:pPr>
              <w:jc w:val="right"/>
              <w:ind w:right="288"/>
              <w:spacing w:after="0"/>
              <w:rPr>
                <w:sz w:val="20"/>
                <w:szCs w:val="20"/>
                <w:color w:val="auto"/>
              </w:rPr>
            </w:pPr>
            <w:r>
              <w:rPr>
                <w:rFonts w:ascii="Arial" w:cs="Arial" w:eastAsia="Arial" w:hAnsi="Arial"/>
                <w:sz w:val="14"/>
                <w:szCs w:val="14"/>
                <w:color w:val="auto"/>
              </w:rPr>
              <w:t>P-2</w:t>
            </w:r>
          </w:p>
        </w:tc>
        <w:tc>
          <w:tcPr>
            <w:tcW w:w="680" w:type="dxa"/>
            <w:vAlign w:val="bottom"/>
          </w:tcPr>
          <w:p>
            <w:pPr>
              <w:jc w:val="right"/>
              <w:spacing w:after="0"/>
              <w:rPr>
                <w:sz w:val="20"/>
                <w:szCs w:val="20"/>
                <w:color w:val="auto"/>
              </w:rPr>
            </w:pPr>
            <w:r>
              <w:rPr>
                <w:rFonts w:ascii="Arial" w:cs="Arial" w:eastAsia="Arial" w:hAnsi="Arial"/>
                <w:sz w:val="14"/>
                <w:szCs w:val="14"/>
                <w:color w:val="auto"/>
              </w:rPr>
              <w:t>F-1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-2258695</wp:posOffset>
            </wp:positionH>
            <wp:positionV relativeFrom="paragraph">
              <wp:posOffset>19050</wp:posOffset>
            </wp:positionV>
            <wp:extent cx="4485005" cy="3048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4485005" cy="30480"/>
                    </a:xfrm>
                    <a:prstGeom prst="rect">
                      <a:avLst/>
                    </a:prstGeom>
                    <a:noFill/>
                  </pic:spPr>
                </pic:pic>
              </a:graphicData>
            </a:graphic>
          </wp:anchor>
        </w:drawing>
      </w:r>
    </w:p>
    <w:p>
      <w:pPr>
        <w:spacing w:after="0" w:line="290" w:lineRule="exact"/>
        <w:rPr>
          <w:sz w:val="20"/>
          <w:szCs w:val="20"/>
          <w:color w:val="auto"/>
        </w:rPr>
      </w:pPr>
    </w:p>
    <w:p>
      <w:pPr>
        <w:sectPr>
          <w:pgSz w:w="11900" w:h="16838" w:orient="portrait"/>
          <w:cols w:equalWidth="0" w:num="2">
            <w:col w:w="5380" w:space="360"/>
            <w:col w:w="5380"/>
          </w:cols>
          <w:pgMar w:left="240" w:top="737" w:right="539" w:bottom="1440" w:gutter="0" w:footer="0" w:header="0"/>
          <w:type w:val="continuous"/>
        </w:sectPr>
      </w:pPr>
    </w:p>
    <w:p>
      <w:pPr>
        <w:spacing w:after="0" w:line="356" w:lineRule="exact"/>
        <w:rPr>
          <w:sz w:val="20"/>
          <w:szCs w:val="20"/>
          <w:color w:val="auto"/>
        </w:rPr>
      </w:pPr>
    </w:p>
    <w:p>
      <w:pPr>
        <w:spacing w:after="0"/>
        <w:rPr>
          <w:sz w:val="20"/>
          <w:szCs w:val="20"/>
          <w:color w:val="auto"/>
        </w:rPr>
      </w:pPr>
      <w:r>
        <w:rPr>
          <w:rFonts w:ascii="Arial" w:cs="Arial" w:eastAsia="Arial" w:hAnsi="Arial"/>
          <w:sz w:val="12"/>
          <w:szCs w:val="12"/>
          <w:color w:val="auto"/>
        </w:rPr>
        <w:t>42</w:t>
      </w:r>
    </w:p>
    <w:p>
      <w:pPr>
        <w:sectPr>
          <w:pgSz w:w="11900" w:h="16838" w:orient="portrait"/>
          <w:cols w:equalWidth="0" w:num="1">
            <w:col w:w="11120"/>
          </w:cols>
          <w:pgMar w:left="240" w:top="737" w:right="539" w:bottom="1440" w:gutter="0" w:footer="0" w:header="0"/>
          <w:type w:val="continuous"/>
        </w:sectPr>
      </w:pPr>
    </w:p>
    <w:bookmarkStart w:id="182" w:name="page183"/>
    <w:bookmarkEnd w:id="18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149860</wp:posOffset>
            </wp:positionH>
            <wp:positionV relativeFrom="page">
              <wp:posOffset>432435</wp:posOffset>
            </wp:positionV>
            <wp:extent cx="7261860" cy="762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61860" cy="7620"/>
                    </a:xfrm>
                    <a:prstGeom prst="rect">
                      <a:avLst/>
                    </a:prstGeom>
                    <a:noFill/>
                  </pic:spPr>
                </pic:pic>
              </a:graphicData>
            </a:graphic>
          </wp:anchor>
        </w:drawing>
        <w:t>FACTORS INFLUENCING FUTURE PERFORMANCE</w:t>
      </w:r>
    </w:p>
    <w:p>
      <w:pPr>
        <w:spacing w:after="0" w:line="24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SEMPRA ENERGY OVERVIEW</w:t>
      </w:r>
    </w:p>
    <w:p>
      <w:pPr>
        <w:spacing w:after="0" w:line="89" w:lineRule="exact"/>
        <w:rPr>
          <w:sz w:val="20"/>
          <w:szCs w:val="20"/>
          <w:color w:val="auto"/>
        </w:rPr>
      </w:pPr>
    </w:p>
    <w:p>
      <w:pPr>
        <w:ind w:right="20"/>
        <w:spacing w:after="0" w:line="259" w:lineRule="auto"/>
        <w:rPr>
          <w:sz w:val="20"/>
          <w:szCs w:val="20"/>
          <w:color w:val="auto"/>
        </w:rPr>
      </w:pPr>
      <w:r>
        <w:rPr>
          <w:rFonts w:ascii="Arial" w:cs="Arial" w:eastAsia="Arial" w:hAnsi="Arial"/>
          <w:sz w:val="16"/>
          <w:szCs w:val="16"/>
          <w:color w:val="auto"/>
        </w:rPr>
        <w:t>The Sempra Utilities' operations and Sempra Generation's long-term contracts generally provide relatively stable earnings and liquidity. However, for the next few years SDG&amp;E will limit its common stock dividends to reinvest a portion of its earnings in significant capital projects. Also, Sempra Generation’s contract with the DWR, which provides a significant portion of Sempra Generation's revenues, ends in late 2011. Because it is unable to forecast with certainty future electricity prices and the cost of natural gas, contracts it enters into to replace this capacity may provide substantially lower revenue.</w:t>
      </w:r>
    </w:p>
    <w:p>
      <w:pPr>
        <w:spacing w:after="0" w:line="47" w:lineRule="exact"/>
        <w:rPr>
          <w:sz w:val="20"/>
          <w:szCs w:val="20"/>
          <w:color w:val="auto"/>
        </w:rPr>
      </w:pPr>
    </w:p>
    <w:p>
      <w:pPr>
        <w:spacing w:after="0" w:line="259" w:lineRule="auto"/>
        <w:rPr>
          <w:sz w:val="20"/>
          <w:szCs w:val="20"/>
          <w:color w:val="auto"/>
        </w:rPr>
      </w:pPr>
      <w:r>
        <w:rPr>
          <w:rFonts w:ascii="Arial" w:cs="Arial" w:eastAsia="Arial" w:hAnsi="Arial"/>
          <w:sz w:val="16"/>
          <w:szCs w:val="16"/>
          <w:color w:val="auto"/>
        </w:rPr>
        <w:t>We expect that Sempra LNG and Sempra Pipelines &amp; Storage will provide relatively stable earnings and liquidity from their current operations and construction programs completed in the future, but will require substantial funding for these programs. In addition, until there are firm supply or capacity contracts for 100% of Sempra LNG’s Cameron facility and until firm supply contracts become effective for the Energía Costa Azul facility, Sempra LNG will seek to obtain interim LNG supplies, which may result in greater variability in revenues and earnings. Sempra LNG may also enter into short-term service contracts to utilize capacity.</w:t>
      </w:r>
    </w:p>
    <w:p>
      <w:pPr>
        <w:spacing w:after="0" w:line="47" w:lineRule="exact"/>
        <w:rPr>
          <w:sz w:val="20"/>
          <w:szCs w:val="20"/>
          <w:color w:val="auto"/>
        </w:rPr>
      </w:pPr>
    </w:p>
    <w:p>
      <w:pPr>
        <w:ind w:right="20"/>
        <w:spacing w:after="0" w:line="308" w:lineRule="auto"/>
        <w:rPr>
          <w:sz w:val="20"/>
          <w:szCs w:val="20"/>
          <w:color w:val="auto"/>
        </w:rPr>
      </w:pPr>
      <w:r>
        <w:rPr>
          <w:rFonts w:ascii="Arial" w:cs="Arial" w:eastAsia="Arial" w:hAnsi="Arial"/>
          <w:sz w:val="14"/>
          <w:szCs w:val="14"/>
          <w:color w:val="auto"/>
        </w:rPr>
        <w:t>The Sempra Utilities' performance will depend primarily on the ratemaking and regulatory process, electric and natural gas industry restructuring, environmental regulations, and the changing energy marketplace. Their performance will also depend on the successful completion of capital projects that we discuss in various sections of this report. As the 2008 GRC provides for fixed annual increases rather than for adjustments based on inflation indices as in the past, performance will depend on the Sempra Utilities' ability to manage the effects of rising costs, including bad debts. We provide additional information in Notes 14 and 15 of the Notes to Consolidated Financial Statements.</w:t>
      </w:r>
    </w:p>
    <w:p>
      <w:pPr>
        <w:spacing w:after="0" w:line="14" w:lineRule="exact"/>
        <w:rPr>
          <w:sz w:val="20"/>
          <w:szCs w:val="20"/>
          <w:color w:val="auto"/>
        </w:rPr>
      </w:pPr>
    </w:p>
    <w:p>
      <w:pPr>
        <w:spacing w:after="0" w:line="264" w:lineRule="auto"/>
        <w:rPr>
          <w:sz w:val="20"/>
          <w:szCs w:val="20"/>
          <w:color w:val="auto"/>
        </w:rPr>
      </w:pPr>
      <w:r>
        <w:rPr>
          <w:rFonts w:ascii="Arial" w:cs="Arial" w:eastAsia="Arial" w:hAnsi="Arial"/>
          <w:sz w:val="16"/>
          <w:szCs w:val="16"/>
          <w:color w:val="auto"/>
        </w:rPr>
        <w:t>The Sempra Utilities have additional income potential above authorized margins through incentive mechanisms. If performance goals and incentive targets are achieved, SDG&amp;E and SoCalGas expect incentive earnings to contribute annually from $3 million to $7 million and from $10 million to $20 million, respectively, to their net income. Amounts realized each year may be affected by the timing of the approval of the award. If goals are not met, penalties may be incurred.</w:t>
      </w:r>
    </w:p>
    <w:p>
      <w:pPr>
        <w:spacing w:after="0" w:line="42" w:lineRule="exact"/>
        <w:rPr>
          <w:sz w:val="20"/>
          <w:szCs w:val="20"/>
          <w:color w:val="auto"/>
        </w:rPr>
      </w:pPr>
    </w:p>
    <w:p>
      <w:pPr>
        <w:spacing w:after="0" w:line="256" w:lineRule="auto"/>
        <w:rPr>
          <w:sz w:val="20"/>
          <w:szCs w:val="20"/>
          <w:color w:val="auto"/>
        </w:rPr>
      </w:pPr>
      <w:r>
        <w:rPr>
          <w:rFonts w:ascii="Arial" w:cs="Arial" w:eastAsia="Arial" w:hAnsi="Arial"/>
          <w:sz w:val="16"/>
          <w:szCs w:val="16"/>
          <w:color w:val="auto"/>
        </w:rPr>
        <w:t>As we discuss in Note 3 of the Notes to Consolidated Financial Statements, on April 1, 2008, we completed the formation of a partnership, RBS Sempra Commodities, to own and operate our commodities-marketing businesses, which generally comprised our Sempra Commodities segment. Our joint venture partner, RBS, is obligated to provide the partnership with all growth capital, working-capital requirements and credit support, as we discuss above in "Capital Resources and Liquidity – Sempra Commodities." Future earnings and distributions from the partnership will depend on profitability and growth achieved in the joint venture and the continued ability of RBS to provide capital and credit support for the partnership. RBS has been greatly affected by the world-wide turmoil in banking and became indirectly controlled by the government of the United Kingdom on December 1, 2008.</w:t>
      </w:r>
    </w:p>
    <w:p>
      <w:pPr>
        <w:spacing w:after="0" w:line="48" w:lineRule="exact"/>
        <w:rPr>
          <w:sz w:val="20"/>
          <w:szCs w:val="20"/>
          <w:color w:val="auto"/>
        </w:rPr>
      </w:pPr>
    </w:p>
    <w:p>
      <w:pPr>
        <w:spacing w:after="0" w:line="278" w:lineRule="auto"/>
        <w:rPr>
          <w:sz w:val="20"/>
          <w:szCs w:val="20"/>
          <w:color w:val="auto"/>
        </w:rPr>
      </w:pPr>
      <w:r>
        <w:rPr>
          <w:rFonts w:ascii="Arial" w:cs="Arial" w:eastAsia="Arial" w:hAnsi="Arial"/>
          <w:sz w:val="15"/>
          <w:szCs w:val="15"/>
          <w:color w:val="auto"/>
        </w:rPr>
        <w:t>We may be further impacted by the current world-wide economic crisis and rapidly changing economic conditions. The impacts of the global credit market crisis on our credit availability and cost are discussed in "Capital Resources and Liquidity" in this report. Moreover, the dollar has strengthened significantly against all foreign currencies, especially in Mexico and South America where we have significant operations. These factors, coupled with very low natural gas prices which affect profitability at Sempra Generation and Sempra LNG, could, if they remain unchanged, adversely affect profitability. Additionally, given the uncertainty of commodity markets and the lack of debt financing for energy infrastructure, which impact related hedging activity, growth at RBS Sempra Commodities could be dampened.</w:t>
      </w:r>
    </w:p>
    <w:p>
      <w:pPr>
        <w:spacing w:after="0" w:line="34" w:lineRule="exact"/>
        <w:rPr>
          <w:sz w:val="20"/>
          <w:szCs w:val="20"/>
          <w:color w:val="auto"/>
        </w:rPr>
      </w:pPr>
    </w:p>
    <w:p>
      <w:pPr>
        <w:spacing w:after="0"/>
        <w:rPr>
          <w:sz w:val="20"/>
          <w:szCs w:val="20"/>
          <w:color w:val="auto"/>
        </w:rPr>
      </w:pPr>
      <w:r>
        <w:rPr>
          <w:rFonts w:ascii="Arial" w:cs="Arial" w:eastAsia="Arial" w:hAnsi="Arial"/>
          <w:sz w:val="16"/>
          <w:szCs w:val="16"/>
          <w:color w:val="auto"/>
        </w:rPr>
        <w:t>We discuss additional matters that could affect our future performance in Notes 14 through 16 of the Notes to Consolidated Financial Statements.</w:t>
      </w: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4"/>
          <w:szCs w:val="14"/>
          <w:color w:val="auto"/>
        </w:rPr>
        <w:t>43</w:t>
      </w:r>
    </w:p>
    <w:p>
      <w:pPr>
        <w:sectPr>
          <w:pgSz w:w="11900" w:h="16838" w:orient="portrait"/>
          <w:cols w:equalWidth="0" w:num="1">
            <w:col w:w="11400"/>
          </w:cols>
          <w:pgMar w:left="240" w:top="737" w:right="259" w:bottom="1440" w:gutter="0" w:footer="0" w:header="0"/>
        </w:sectPr>
      </w:pPr>
    </w:p>
    <w:bookmarkStart w:id="183" w:name="page184"/>
    <w:bookmarkEnd w:id="183"/>
    <w:p>
      <w:pPr>
        <w:ind w:left="4"/>
        <w:spacing w:after="0"/>
        <w:rPr>
          <w:sz w:val="20"/>
          <w:szCs w:val="20"/>
          <w:color w:val="auto"/>
        </w:rPr>
      </w:pPr>
      <w:r>
        <w:rPr>
          <w:rFonts w:ascii="Arial" w:cs="Arial" w:eastAsia="Arial" w:hAnsi="Arial"/>
          <w:sz w:val="16"/>
          <w:szCs w:val="16"/>
          <w:b w:val="1"/>
          <w:bCs w:val="1"/>
          <w:color w:val="auto"/>
        </w:rPr>
        <w:t>LITIGATION</w:t>
      </w:r>
    </w:p>
    <w:p>
      <w:pPr>
        <w:spacing w:after="0" w:line="89" w:lineRule="exact"/>
        <w:rPr>
          <w:sz w:val="20"/>
          <w:szCs w:val="20"/>
          <w:color w:val="auto"/>
        </w:rPr>
      </w:pPr>
    </w:p>
    <w:p>
      <w:pPr>
        <w:ind w:left="4"/>
        <w:spacing w:after="0"/>
        <w:rPr>
          <w:sz w:val="20"/>
          <w:szCs w:val="20"/>
          <w:color w:val="auto"/>
        </w:rPr>
      </w:pPr>
      <w:r>
        <w:rPr>
          <w:rFonts w:ascii="Arial" w:cs="Arial" w:eastAsia="Arial" w:hAnsi="Arial"/>
          <w:sz w:val="16"/>
          <w:szCs w:val="16"/>
          <w:color w:val="auto"/>
        </w:rPr>
        <w:t>We describe legal proceedings which could adversely affect our future performance in Note 16 of the Notes to Consolidated Financial Statements.</w:t>
      </w:r>
    </w:p>
    <w:p>
      <w:pPr>
        <w:spacing w:after="0" w:line="276"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auto"/>
        </w:rPr>
        <w:t>SEMPRA UTILITIES -- INDUSTRY DEVELOPMENTS AND CAPITAL PROJECTS</w:t>
      </w:r>
    </w:p>
    <w:p>
      <w:pPr>
        <w:spacing w:after="0" w:line="89" w:lineRule="exact"/>
        <w:rPr>
          <w:sz w:val="20"/>
          <w:szCs w:val="20"/>
          <w:color w:val="auto"/>
        </w:rPr>
      </w:pPr>
    </w:p>
    <w:p>
      <w:pPr>
        <w:ind w:left="4" w:right="320"/>
        <w:spacing w:after="0" w:line="277" w:lineRule="auto"/>
        <w:rPr>
          <w:sz w:val="20"/>
          <w:szCs w:val="20"/>
          <w:color w:val="auto"/>
        </w:rPr>
      </w:pPr>
      <w:r>
        <w:rPr>
          <w:rFonts w:ascii="Arial" w:cs="Arial" w:eastAsia="Arial" w:hAnsi="Arial"/>
          <w:sz w:val="16"/>
          <w:szCs w:val="16"/>
          <w:color w:val="auto"/>
        </w:rPr>
        <w:t>We describe capital projects, electric and natural gas regulation and rates, and other pending proceedings and investigations that affect our business in Notes 14 and 15 of the Notes to Consolidated Financial Statements.</w:t>
      </w:r>
    </w:p>
    <w:p>
      <w:pPr>
        <w:spacing w:after="0" w:line="228"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auto"/>
        </w:rPr>
        <w:t>SEMPRA GLOBAL INVESTMENTS</w:t>
      </w:r>
    </w:p>
    <w:p>
      <w:pPr>
        <w:spacing w:after="0" w:line="89" w:lineRule="exact"/>
        <w:rPr>
          <w:sz w:val="20"/>
          <w:szCs w:val="20"/>
          <w:color w:val="auto"/>
        </w:rPr>
      </w:pPr>
    </w:p>
    <w:p>
      <w:pPr>
        <w:ind w:left="4" w:right="400"/>
        <w:spacing w:after="0" w:line="277" w:lineRule="auto"/>
        <w:rPr>
          <w:sz w:val="20"/>
          <w:szCs w:val="20"/>
          <w:color w:val="auto"/>
        </w:rPr>
      </w:pPr>
      <w:r>
        <w:rPr>
          <w:rFonts w:ascii="Arial" w:cs="Arial" w:eastAsia="Arial" w:hAnsi="Arial"/>
          <w:sz w:val="16"/>
          <w:szCs w:val="16"/>
          <w:color w:val="auto"/>
        </w:rPr>
        <w:t>As we discuss in "Cash Flows From Investing Activities," our investments will significantly impact our future performance. In addition to the discussion below, we provide information about these investments in "Capital Resources and Liquidity."</w:t>
      </w:r>
    </w:p>
    <w:p>
      <w:pPr>
        <w:spacing w:after="0" w:line="126" w:lineRule="exact"/>
        <w:rPr>
          <w:sz w:val="20"/>
          <w:szCs w:val="20"/>
          <w:color w:val="auto"/>
        </w:rPr>
      </w:pPr>
    </w:p>
    <w:p>
      <w:pPr>
        <w:ind w:left="4"/>
        <w:spacing w:after="0"/>
        <w:rPr>
          <w:sz w:val="20"/>
          <w:szCs w:val="20"/>
          <w:color w:val="auto"/>
        </w:rPr>
      </w:pPr>
      <w:r>
        <w:rPr>
          <w:rFonts w:ascii="Arial" w:cs="Arial" w:eastAsia="Arial" w:hAnsi="Arial"/>
          <w:sz w:val="18"/>
          <w:szCs w:val="18"/>
          <w:b w:val="1"/>
          <w:bCs w:val="1"/>
          <w:i w:val="1"/>
          <w:iCs w:val="1"/>
          <w:color w:val="auto"/>
        </w:rPr>
        <w:t>Sempra Generation</w:t>
      </w:r>
    </w:p>
    <w:p>
      <w:pPr>
        <w:spacing w:after="0" w:line="23" w:lineRule="exact"/>
        <w:rPr>
          <w:sz w:val="20"/>
          <w:szCs w:val="20"/>
          <w:color w:val="auto"/>
        </w:rPr>
      </w:pPr>
    </w:p>
    <w:p>
      <w:pPr>
        <w:ind w:left="4" w:right="240"/>
        <w:spacing w:after="0" w:line="340" w:lineRule="auto"/>
        <w:rPr>
          <w:sz w:val="20"/>
          <w:szCs w:val="20"/>
          <w:color w:val="auto"/>
        </w:rPr>
      </w:pPr>
      <w:r>
        <w:rPr>
          <w:rFonts w:ascii="Arial" w:cs="Arial" w:eastAsia="Arial" w:hAnsi="Arial"/>
          <w:sz w:val="14"/>
          <w:szCs w:val="14"/>
          <w:color w:val="auto"/>
        </w:rPr>
        <w:t>In December 2008, Sempra Generation completed a solar-energy project, a 10-MW photovoltaic power-generation site next to its El Dorado Energy power plant near Boulder City, Nevada. The plant began operations in December 2008 and began selling power to Pacific Gas and Electric in 2009 under a 20-year power purchase agreement.</w:t>
      </w:r>
    </w:p>
    <w:p>
      <w:pPr>
        <w:ind w:left="4"/>
        <w:spacing w:after="0"/>
        <w:rPr>
          <w:sz w:val="20"/>
          <w:szCs w:val="20"/>
          <w:color w:val="auto"/>
        </w:rPr>
      </w:pPr>
      <w:r>
        <w:rPr>
          <w:rFonts w:ascii="Arial" w:cs="Arial" w:eastAsia="Arial" w:hAnsi="Arial"/>
          <w:sz w:val="16"/>
          <w:szCs w:val="16"/>
          <w:color w:val="auto"/>
        </w:rPr>
        <w:t>Sempra Generation also has purchased land and incurs development costs for potential development of renewable energy generation projects.</w:t>
      </w:r>
    </w:p>
    <w:p>
      <w:pPr>
        <w:spacing w:after="0" w:line="80" w:lineRule="exact"/>
        <w:rPr>
          <w:sz w:val="20"/>
          <w:szCs w:val="20"/>
          <w:color w:val="auto"/>
        </w:rPr>
      </w:pPr>
    </w:p>
    <w:p>
      <w:pPr>
        <w:ind w:left="4"/>
        <w:spacing w:after="0"/>
        <w:rPr>
          <w:sz w:val="20"/>
          <w:szCs w:val="20"/>
          <w:color w:val="auto"/>
        </w:rPr>
      </w:pPr>
      <w:r>
        <w:rPr>
          <w:rFonts w:ascii="Arial" w:cs="Arial" w:eastAsia="Arial" w:hAnsi="Arial"/>
          <w:sz w:val="16"/>
          <w:szCs w:val="16"/>
          <w:color w:val="auto"/>
        </w:rPr>
        <w:t>Sempra Generation is no longer planning to construct a proposed 600-MW natural gas-fired generation plant, Catoctin Power, in Adamstown, Maryland.</w:t>
      </w:r>
    </w:p>
    <w:p>
      <w:pPr>
        <w:spacing w:after="0" w:line="174" w:lineRule="exact"/>
        <w:rPr>
          <w:sz w:val="20"/>
          <w:szCs w:val="20"/>
          <w:color w:val="auto"/>
        </w:rPr>
      </w:pPr>
    </w:p>
    <w:p>
      <w:pPr>
        <w:ind w:left="4"/>
        <w:spacing w:after="0"/>
        <w:rPr>
          <w:sz w:val="20"/>
          <w:szCs w:val="20"/>
          <w:color w:val="auto"/>
        </w:rPr>
      </w:pPr>
      <w:r>
        <w:rPr>
          <w:rFonts w:ascii="Arial" w:cs="Arial" w:eastAsia="Arial" w:hAnsi="Arial"/>
          <w:sz w:val="18"/>
          <w:szCs w:val="18"/>
          <w:b w:val="1"/>
          <w:bCs w:val="1"/>
          <w:i w:val="1"/>
          <w:iCs w:val="1"/>
          <w:color w:val="auto"/>
        </w:rPr>
        <w:t>Sempra Pipelines &amp; Storage</w:t>
      </w:r>
    </w:p>
    <w:p>
      <w:pPr>
        <w:spacing w:after="0" w:line="21" w:lineRule="exact"/>
        <w:rPr>
          <w:sz w:val="20"/>
          <w:szCs w:val="20"/>
          <w:color w:val="auto"/>
        </w:rPr>
      </w:pPr>
    </w:p>
    <w:p>
      <w:pPr>
        <w:ind w:left="4"/>
        <w:spacing w:after="0"/>
        <w:rPr>
          <w:sz w:val="20"/>
          <w:szCs w:val="20"/>
          <w:color w:val="auto"/>
        </w:rPr>
      </w:pPr>
      <w:r>
        <w:rPr>
          <w:rFonts w:ascii="Arial" w:cs="Arial" w:eastAsia="Arial" w:hAnsi="Arial"/>
          <w:sz w:val="18"/>
          <w:szCs w:val="18"/>
          <w:i w:val="1"/>
          <w:iCs w:val="1"/>
          <w:color w:val="auto"/>
        </w:rPr>
        <w:t>EnergySouth</w:t>
      </w:r>
    </w:p>
    <w:p>
      <w:pPr>
        <w:spacing w:after="0" w:line="72" w:lineRule="exact"/>
        <w:rPr>
          <w:sz w:val="20"/>
          <w:szCs w:val="20"/>
          <w:color w:val="auto"/>
        </w:rPr>
      </w:pPr>
    </w:p>
    <w:p>
      <w:pPr>
        <w:ind w:left="4"/>
        <w:spacing w:after="0" w:line="264" w:lineRule="auto"/>
        <w:rPr>
          <w:sz w:val="20"/>
          <w:szCs w:val="20"/>
          <w:color w:val="auto"/>
        </w:rPr>
      </w:pPr>
      <w:r>
        <w:rPr>
          <w:rFonts w:ascii="Arial" w:cs="Arial" w:eastAsia="Arial" w:hAnsi="Arial"/>
          <w:sz w:val="16"/>
          <w:szCs w:val="16"/>
          <w:color w:val="auto"/>
        </w:rPr>
        <w:t>In October 2008, Sempra Pipelines &amp; Storage acquired EnergySouth, an energy services holding company based in Mobile, Alabama. Principal holdings of EnergySouth include Sempra Midstream (formerly EnergySouth Midstream) and Mobile Gas. As a natural gas distribution utility, Mobile Gas serves approximately 93,000 customers in southwest Alabama.</w:t>
      </w:r>
    </w:p>
    <w:p>
      <w:pPr>
        <w:spacing w:after="0" w:line="42" w:lineRule="exact"/>
        <w:rPr>
          <w:sz w:val="20"/>
          <w:szCs w:val="20"/>
          <w:color w:val="auto"/>
        </w:rPr>
      </w:pPr>
    </w:p>
    <w:p>
      <w:pPr>
        <w:ind w:left="4" w:right="440"/>
        <w:spacing w:after="0" w:line="312" w:lineRule="auto"/>
        <w:rPr>
          <w:sz w:val="20"/>
          <w:szCs w:val="20"/>
          <w:color w:val="auto"/>
        </w:rPr>
      </w:pPr>
      <w:r>
        <w:rPr>
          <w:rFonts w:ascii="Arial" w:cs="Arial" w:eastAsia="Arial" w:hAnsi="Arial"/>
          <w:sz w:val="15"/>
          <w:szCs w:val="15"/>
          <w:color w:val="auto"/>
        </w:rPr>
        <w:t>Sempra Midstream is the general partner and 91-percent owner of Bay Gas Storage Company (Bay Gas) and owned 60 percent of Mississippi Hub, LLC (Mississippi Hub) through December 31, 2008. On January 16, 2009, Sempra Midstream acquired the remaining 40-percent ownership interest in Mississippi Hub for $94 million.</w:t>
      </w:r>
    </w:p>
    <w:p>
      <w:pPr>
        <w:spacing w:after="0" w:line="8" w:lineRule="exact"/>
        <w:rPr>
          <w:sz w:val="20"/>
          <w:szCs w:val="20"/>
          <w:color w:val="auto"/>
        </w:rPr>
      </w:pPr>
    </w:p>
    <w:p>
      <w:pPr>
        <w:ind w:left="4" w:right="220"/>
        <w:spacing w:after="0" w:line="274" w:lineRule="auto"/>
        <w:rPr>
          <w:sz w:val="20"/>
          <w:szCs w:val="20"/>
          <w:color w:val="auto"/>
        </w:rPr>
      </w:pPr>
      <w:r>
        <w:rPr>
          <w:rFonts w:ascii="Arial" w:cs="Arial" w:eastAsia="Arial" w:hAnsi="Arial"/>
          <w:sz w:val="16"/>
          <w:szCs w:val="16"/>
          <w:color w:val="auto"/>
        </w:rPr>
        <w:t>Bay Gas provides underground storage and delivery of natural gas. It is the easternmost storage facility on the Gulf Coast, with direct service to the Florida market. Currently, Bay Gas has</w:t>
      </w:r>
    </w:p>
    <w:p>
      <w:pPr>
        <w:ind w:left="144" w:hanging="144"/>
        <w:spacing w:after="0"/>
        <w:tabs>
          <w:tab w:leader="none" w:pos="144" w:val="left"/>
        </w:tabs>
        <w:numPr>
          <w:ilvl w:val="0"/>
          <w:numId w:val="300"/>
        </w:numPr>
        <w:rPr>
          <w:rFonts w:ascii="Arial" w:cs="Arial" w:eastAsia="Arial" w:hAnsi="Arial"/>
          <w:sz w:val="16"/>
          <w:szCs w:val="16"/>
          <w:color w:val="auto"/>
        </w:rPr>
      </w:pPr>
      <w:r>
        <w:rPr>
          <w:rFonts w:ascii="Arial" w:cs="Arial" w:eastAsia="Arial" w:hAnsi="Arial"/>
          <w:sz w:val="16"/>
          <w:szCs w:val="16"/>
          <w:color w:val="auto"/>
        </w:rPr>
        <w:t>11.4 Bcf of working natural gas storage capacity that is fully contracted and in operation</w:t>
      </w:r>
    </w:p>
    <w:p>
      <w:pPr>
        <w:spacing w:after="0" w:line="44" w:lineRule="exact"/>
        <w:rPr>
          <w:rFonts w:ascii="Arial" w:cs="Arial" w:eastAsia="Arial" w:hAnsi="Arial"/>
          <w:sz w:val="16"/>
          <w:szCs w:val="16"/>
          <w:color w:val="auto"/>
        </w:rPr>
      </w:pPr>
    </w:p>
    <w:p>
      <w:pPr>
        <w:ind w:left="144" w:hanging="144"/>
        <w:spacing w:after="0"/>
        <w:tabs>
          <w:tab w:leader="none" w:pos="144" w:val="left"/>
        </w:tabs>
        <w:numPr>
          <w:ilvl w:val="0"/>
          <w:numId w:val="300"/>
        </w:numPr>
        <w:rPr>
          <w:rFonts w:ascii="Arial" w:cs="Arial" w:eastAsia="Arial" w:hAnsi="Arial"/>
          <w:sz w:val="16"/>
          <w:szCs w:val="16"/>
          <w:color w:val="auto"/>
        </w:rPr>
      </w:pPr>
      <w:r>
        <w:rPr>
          <w:rFonts w:ascii="Arial" w:cs="Arial" w:eastAsia="Arial" w:hAnsi="Arial"/>
          <w:sz w:val="16"/>
          <w:szCs w:val="16"/>
          <w:color w:val="auto"/>
        </w:rPr>
        <w:t>an additional 5 Bcf that is 64-percent contracted and under construction with a scheduled in-service date of late-2010</w:t>
      </w:r>
    </w:p>
    <w:p>
      <w:pPr>
        <w:spacing w:after="0" w:line="128" w:lineRule="exact"/>
        <w:rPr>
          <w:sz w:val="20"/>
          <w:szCs w:val="20"/>
          <w:color w:val="auto"/>
        </w:rPr>
      </w:pPr>
    </w:p>
    <w:p>
      <w:pPr>
        <w:ind w:left="4"/>
        <w:spacing w:after="0"/>
        <w:rPr>
          <w:sz w:val="20"/>
          <w:szCs w:val="20"/>
          <w:color w:val="auto"/>
        </w:rPr>
      </w:pPr>
      <w:r>
        <w:rPr>
          <w:rFonts w:ascii="Arial" w:cs="Arial" w:eastAsia="Arial" w:hAnsi="Arial"/>
          <w:sz w:val="16"/>
          <w:szCs w:val="16"/>
          <w:color w:val="auto"/>
        </w:rPr>
        <w:t>We plan to increase the total Bay Gas capacity to 27 Bcf of underground salt-dome storage.</w:t>
      </w:r>
    </w:p>
    <w:p>
      <w:pPr>
        <w:spacing w:after="0" w:line="80" w:lineRule="exact"/>
        <w:rPr>
          <w:sz w:val="20"/>
          <w:szCs w:val="20"/>
          <w:color w:val="auto"/>
        </w:rPr>
      </w:pPr>
    </w:p>
    <w:p>
      <w:pPr>
        <w:ind w:left="4" w:right="140"/>
        <w:spacing w:after="0" w:line="277" w:lineRule="auto"/>
        <w:rPr>
          <w:sz w:val="20"/>
          <w:szCs w:val="20"/>
          <w:color w:val="auto"/>
        </w:rPr>
      </w:pPr>
      <w:r>
        <w:rPr>
          <w:rFonts w:ascii="Arial" w:cs="Arial" w:eastAsia="Arial" w:hAnsi="Arial"/>
          <w:sz w:val="16"/>
          <w:szCs w:val="16"/>
          <w:color w:val="auto"/>
        </w:rPr>
        <w:t>Mississippi Hub develops high-turn, underground salt-dome natural gas storage in Simpson County, Mississippi. This facility has planned direct interconnections to the natural gas production areas in eastern Texas, Oklahoma and Arkansas, as well as to the Northeast sales market.</w:t>
      </w:r>
    </w:p>
    <w:p>
      <w:pPr>
        <w:spacing w:after="0" w:line="32" w:lineRule="exact"/>
        <w:rPr>
          <w:sz w:val="20"/>
          <w:szCs w:val="20"/>
          <w:color w:val="auto"/>
        </w:rPr>
      </w:pPr>
    </w:p>
    <w:p>
      <w:pPr>
        <w:ind w:left="4" w:right="420"/>
        <w:spacing w:after="0" w:line="277" w:lineRule="auto"/>
        <w:rPr>
          <w:sz w:val="20"/>
          <w:szCs w:val="20"/>
          <w:color w:val="auto"/>
        </w:rPr>
      </w:pPr>
      <w:r>
        <w:rPr>
          <w:rFonts w:ascii="Arial" w:cs="Arial" w:eastAsia="Arial" w:hAnsi="Arial"/>
          <w:sz w:val="16"/>
          <w:szCs w:val="16"/>
          <w:color w:val="auto"/>
        </w:rPr>
        <w:t>Currently, Mississippi Hub’s first 15 Bcf of storage capacity is under construction. Long-term commitments are in place for 4 Bcf of this capacity. Operations are slated to commence in late-2010. We plan to increase the total Mississippi Hub capacity to 30 Bcf of high-turn, salt-dome storage by the end of 2015.</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6"/>
          <w:szCs w:val="16"/>
          <w:color w:val="auto"/>
        </w:rPr>
        <w:t>We expect capital costs of the Bay Gas and Mississippi Hub projects to be approximately $800 million.</w:t>
      </w:r>
    </w:p>
    <w:p>
      <w:pPr>
        <w:spacing w:after="0" w:line="200" w:lineRule="exact"/>
        <w:rPr>
          <w:sz w:val="20"/>
          <w:szCs w:val="20"/>
          <w:color w:val="auto"/>
        </w:rPr>
      </w:pPr>
    </w:p>
    <w:p>
      <w:pPr>
        <w:spacing w:after="0" w:line="341" w:lineRule="exact"/>
        <w:rPr>
          <w:sz w:val="20"/>
          <w:szCs w:val="20"/>
          <w:color w:val="auto"/>
        </w:rPr>
      </w:pPr>
    </w:p>
    <w:p>
      <w:pPr>
        <w:ind w:left="4"/>
        <w:spacing w:after="0"/>
        <w:rPr>
          <w:sz w:val="20"/>
          <w:szCs w:val="20"/>
          <w:color w:val="auto"/>
        </w:rPr>
      </w:pPr>
      <w:r>
        <w:rPr>
          <w:rFonts w:ascii="Arial" w:cs="Arial" w:eastAsia="Arial" w:hAnsi="Arial"/>
          <w:sz w:val="14"/>
          <w:szCs w:val="14"/>
          <w:color w:val="auto"/>
        </w:rPr>
        <w:t>44</w:t>
      </w:r>
    </w:p>
    <w:p>
      <w:pPr>
        <w:sectPr>
          <w:pgSz w:w="11900" w:h="16838" w:orient="portrait"/>
          <w:cols w:equalWidth="0" w:num="1">
            <w:col w:w="11404"/>
          </w:cols>
          <w:pgMar w:left="236" w:top="395" w:right="259" w:bottom="1440" w:gutter="0" w:footer="0" w:header="0"/>
        </w:sectPr>
      </w:pPr>
    </w:p>
    <w:bookmarkStart w:id="184" w:name="page185"/>
    <w:bookmarkEnd w:id="184"/>
    <w:p>
      <w:pPr>
        <w:ind w:left="4"/>
        <w:spacing w:after="0"/>
        <w:rPr>
          <w:sz w:val="20"/>
          <w:szCs w:val="20"/>
          <w:color w:val="auto"/>
        </w:rPr>
      </w:pPr>
      <w:r>
        <w:rPr>
          <w:rFonts w:ascii="Arial" w:cs="Arial" w:eastAsia="Arial" w:hAnsi="Arial"/>
          <w:sz w:val="18"/>
          <w:szCs w:val="18"/>
          <w:i w:val="1"/>
          <w:iCs w:val="1"/>
          <w:color w:val="auto"/>
        </w:rPr>
        <w:t>Rockies Express Pipeline</w:t>
      </w:r>
    </w:p>
    <w:p>
      <w:pPr>
        <w:spacing w:after="0" w:line="73" w:lineRule="exact"/>
        <w:rPr>
          <w:sz w:val="20"/>
          <w:szCs w:val="20"/>
          <w:color w:val="auto"/>
        </w:rPr>
      </w:pPr>
    </w:p>
    <w:p>
      <w:pPr>
        <w:ind w:left="4"/>
        <w:spacing w:after="0"/>
        <w:rPr>
          <w:sz w:val="20"/>
          <w:szCs w:val="20"/>
          <w:color w:val="auto"/>
        </w:rPr>
      </w:pPr>
      <w:r>
        <w:rPr>
          <w:rFonts w:ascii="Arial" w:cs="Arial" w:eastAsia="Arial" w:hAnsi="Arial"/>
          <w:sz w:val="16"/>
          <w:szCs w:val="16"/>
          <w:color w:val="auto"/>
        </w:rPr>
        <w:t>The Rockies Express project is comprised of three segments: 1) the Entrega Pipeline, 2) REX-West, and 3) REX-East.</w:t>
      </w:r>
    </w:p>
    <w:p>
      <w:pPr>
        <w:spacing w:after="0" w:line="44" w:lineRule="exact"/>
        <w:rPr>
          <w:sz w:val="20"/>
          <w:szCs w:val="20"/>
          <w:color w:val="auto"/>
        </w:rPr>
      </w:pPr>
    </w:p>
    <w:p>
      <w:pPr>
        <w:ind w:left="144" w:right="1720" w:hanging="144"/>
        <w:spacing w:after="0" w:line="274" w:lineRule="auto"/>
        <w:tabs>
          <w:tab w:leader="none" w:pos="144" w:val="left"/>
        </w:tabs>
        <w:numPr>
          <w:ilvl w:val="0"/>
          <w:numId w:val="301"/>
        </w:numPr>
        <w:rPr>
          <w:rFonts w:ascii="Arial" w:cs="Arial" w:eastAsia="Arial" w:hAnsi="Arial"/>
          <w:sz w:val="16"/>
          <w:szCs w:val="16"/>
          <w:color w:val="auto"/>
        </w:rPr>
      </w:pPr>
      <w:r>
        <w:rPr>
          <w:rFonts w:ascii="Arial" w:cs="Arial" w:eastAsia="Arial" w:hAnsi="Arial"/>
          <w:sz w:val="16"/>
          <w:szCs w:val="16"/>
          <w:color w:val="auto"/>
        </w:rPr>
        <w:t>The Entrega Pipeline runs from the Meeker Hub in Colorado to Wamsutter, Wyoming and connects Wamsutter to an interconnection with REX at the Cheyenne Hub in Colorado. The pipeline began service in February 2007.</w:t>
      </w:r>
    </w:p>
    <w:p>
      <w:pPr>
        <w:ind w:left="144" w:right="1480" w:hanging="144"/>
        <w:spacing w:after="0" w:line="274" w:lineRule="auto"/>
        <w:tabs>
          <w:tab w:leader="none" w:pos="144" w:val="left"/>
        </w:tabs>
        <w:numPr>
          <w:ilvl w:val="0"/>
          <w:numId w:val="301"/>
        </w:numPr>
        <w:rPr>
          <w:rFonts w:ascii="Arial" w:cs="Arial" w:eastAsia="Arial" w:hAnsi="Arial"/>
          <w:sz w:val="16"/>
          <w:szCs w:val="16"/>
          <w:color w:val="auto"/>
        </w:rPr>
      </w:pPr>
      <w:r>
        <w:rPr>
          <w:rFonts w:ascii="Arial" w:cs="Arial" w:eastAsia="Arial" w:hAnsi="Arial"/>
          <w:sz w:val="16"/>
          <w:szCs w:val="16"/>
          <w:color w:val="auto"/>
        </w:rPr>
        <w:t>REX-West extends 713 miles from the Cheyenne Hub to Audrain County in Missouri, and began interim service in January 2008 and full service in May 2008.</w:t>
      </w:r>
    </w:p>
    <w:p>
      <w:pPr>
        <w:ind w:left="144" w:right="1240" w:hanging="144"/>
        <w:spacing w:after="0" w:line="277" w:lineRule="auto"/>
        <w:tabs>
          <w:tab w:leader="none" w:pos="144" w:val="left"/>
        </w:tabs>
        <w:numPr>
          <w:ilvl w:val="0"/>
          <w:numId w:val="301"/>
        </w:numPr>
        <w:rPr>
          <w:rFonts w:ascii="Arial" w:cs="Arial" w:eastAsia="Arial" w:hAnsi="Arial"/>
          <w:sz w:val="16"/>
          <w:szCs w:val="16"/>
          <w:color w:val="auto"/>
        </w:rPr>
      </w:pPr>
      <w:r>
        <w:rPr>
          <w:rFonts w:ascii="Arial" w:cs="Arial" w:eastAsia="Arial" w:hAnsi="Arial"/>
          <w:sz w:val="16"/>
          <w:szCs w:val="16"/>
          <w:color w:val="auto"/>
        </w:rPr>
        <w:t>We expect REX-East, which will run 638 miles from Missouri to Clarington, Ohio, to be fully operational in late 2009 subject to timely receipt of regulatory approvals.</w:t>
      </w:r>
    </w:p>
    <w:p>
      <w:pPr>
        <w:spacing w:after="0" w:line="80" w:lineRule="exact"/>
        <w:rPr>
          <w:sz w:val="20"/>
          <w:szCs w:val="20"/>
          <w:color w:val="auto"/>
        </w:rPr>
      </w:pPr>
    </w:p>
    <w:p>
      <w:pPr>
        <w:ind w:left="4"/>
        <w:spacing w:after="0"/>
        <w:rPr>
          <w:sz w:val="20"/>
          <w:szCs w:val="20"/>
          <w:color w:val="auto"/>
        </w:rPr>
      </w:pPr>
      <w:r>
        <w:rPr>
          <w:rFonts w:ascii="Arial" w:cs="Arial" w:eastAsia="Arial" w:hAnsi="Arial"/>
          <w:sz w:val="16"/>
          <w:szCs w:val="16"/>
          <w:color w:val="auto"/>
        </w:rPr>
        <w:t>Total project cost is estimated to be approximately $6.2 billion.</w:t>
      </w:r>
    </w:p>
    <w:p>
      <w:pPr>
        <w:spacing w:after="0" w:line="80" w:lineRule="exact"/>
        <w:rPr>
          <w:sz w:val="20"/>
          <w:szCs w:val="20"/>
          <w:color w:val="auto"/>
        </w:rPr>
      </w:pPr>
    </w:p>
    <w:p>
      <w:pPr>
        <w:ind w:left="4" w:right="200"/>
        <w:spacing w:after="0" w:line="264" w:lineRule="auto"/>
        <w:rPr>
          <w:sz w:val="20"/>
          <w:szCs w:val="20"/>
          <w:color w:val="auto"/>
        </w:rPr>
      </w:pPr>
      <w:r>
        <w:rPr>
          <w:rFonts w:ascii="Arial" w:cs="Arial" w:eastAsia="Arial" w:hAnsi="Arial"/>
          <w:sz w:val="16"/>
          <w:szCs w:val="16"/>
          <w:color w:val="auto"/>
        </w:rPr>
        <w:t>Rockies Express is requesting authorization to construct and operate certain facilities that will comprise its Meeker, Colorado to Cheyenne, Wyoming expansion project. The proposed expansion will add additional natural gas compression, and the expansion is fully contracted and is expected to be operational in April 2010. The total estimated cost for the proposed project is approximately $78 million.</w:t>
      </w:r>
    </w:p>
    <w:p>
      <w:pPr>
        <w:spacing w:after="0" w:line="42" w:lineRule="exact"/>
        <w:rPr>
          <w:sz w:val="20"/>
          <w:szCs w:val="20"/>
          <w:color w:val="auto"/>
        </w:rPr>
      </w:pPr>
    </w:p>
    <w:p>
      <w:pPr>
        <w:ind w:left="4" w:right="300"/>
        <w:spacing w:after="0" w:line="312" w:lineRule="auto"/>
        <w:rPr>
          <w:sz w:val="20"/>
          <w:szCs w:val="20"/>
          <w:color w:val="auto"/>
        </w:rPr>
      </w:pPr>
      <w:r>
        <w:rPr>
          <w:rFonts w:ascii="Arial" w:cs="Arial" w:eastAsia="Arial" w:hAnsi="Arial"/>
          <w:sz w:val="15"/>
          <w:szCs w:val="15"/>
          <w:color w:val="auto"/>
        </w:rPr>
        <w:t>In February 2006, Rockies Express entered into an agreement with Overthrust Pipeline Company (Overthrust), a subsidiary of Questar Corp., for a long-term lease to provide REX with capacity for up to 1.5 Bcf per day on Overthrust's pipeline. The capacity lease effectively extends the REX to the Opal Hub in Wyoming.</w:t>
      </w:r>
    </w:p>
    <w:p>
      <w:pPr>
        <w:spacing w:after="0" w:line="6" w:lineRule="exact"/>
        <w:rPr>
          <w:sz w:val="20"/>
          <w:szCs w:val="20"/>
          <w:color w:val="auto"/>
        </w:rPr>
      </w:pPr>
    </w:p>
    <w:p>
      <w:pPr>
        <w:ind w:left="4"/>
        <w:spacing w:after="0"/>
        <w:rPr>
          <w:sz w:val="20"/>
          <w:szCs w:val="20"/>
          <w:color w:val="auto"/>
        </w:rPr>
      </w:pPr>
      <w:r>
        <w:rPr>
          <w:rFonts w:ascii="Arial" w:cs="Arial" w:eastAsia="Arial" w:hAnsi="Arial"/>
          <w:sz w:val="18"/>
          <w:szCs w:val="18"/>
          <w:i w:val="1"/>
          <w:iCs w:val="1"/>
          <w:color w:val="auto"/>
        </w:rPr>
        <w:t>Liberty Gas Storage (Liberty)</w:t>
      </w:r>
    </w:p>
    <w:p>
      <w:pPr>
        <w:spacing w:after="0" w:line="72" w:lineRule="exact"/>
        <w:rPr>
          <w:sz w:val="20"/>
          <w:szCs w:val="20"/>
          <w:color w:val="auto"/>
        </w:rPr>
      </w:pPr>
    </w:p>
    <w:p>
      <w:pPr>
        <w:ind w:left="4" w:right="20"/>
        <w:spacing w:after="0" w:line="299" w:lineRule="auto"/>
        <w:rPr>
          <w:sz w:val="20"/>
          <w:szCs w:val="20"/>
          <w:color w:val="auto"/>
        </w:rPr>
      </w:pPr>
      <w:r>
        <w:rPr>
          <w:rFonts w:ascii="Arial" w:cs="Arial" w:eastAsia="Arial" w:hAnsi="Arial"/>
          <w:sz w:val="14"/>
          <w:szCs w:val="14"/>
          <w:color w:val="auto"/>
        </w:rPr>
        <w:t>Liberty, as currently permitted, is a 17-Bcf salt-cavern natural gas storage facility located in Calcasieu Parish, Louisiana. The facility has been under construction by Sempra Pipelines &amp; Storage and its 25-percent partner Proliance Transportation and Storage, LLC. When completed, Liberty will be connected with several interstate pipelines, including the Cameron Interstate Pipeline operated by Sempra Pipelines &amp; Storage, and will connect area LNG regasification terminals to an interstate natural gas transmission system and storage facilities. We estimate the total project cost to be approximately $250 million, and we have expended $204 million through December 31, 2008. Completion of the project has been delayed by subsurface and well-completion problems. If ongoing corrective measures prove to be unsuccessful, the salt-cavern facility may not go into service, or may have reduced capacity when placed in service. In the event that the cavern is abandoned, we may be required to take an impairment charge of up to $65 million after tax.</w:t>
      </w:r>
    </w:p>
    <w:p>
      <w:pPr>
        <w:spacing w:after="0" w:line="22" w:lineRule="exact"/>
        <w:rPr>
          <w:sz w:val="20"/>
          <w:szCs w:val="20"/>
          <w:color w:val="auto"/>
        </w:rPr>
      </w:pPr>
    </w:p>
    <w:p>
      <w:pPr>
        <w:ind w:left="4"/>
        <w:spacing w:after="0" w:line="264" w:lineRule="auto"/>
        <w:rPr>
          <w:sz w:val="20"/>
          <w:szCs w:val="20"/>
          <w:color w:val="auto"/>
        </w:rPr>
      </w:pPr>
      <w:r>
        <w:rPr>
          <w:rFonts w:ascii="Arial" w:cs="Arial" w:eastAsia="Arial" w:hAnsi="Arial"/>
          <w:sz w:val="16"/>
          <w:szCs w:val="16"/>
          <w:color w:val="auto"/>
        </w:rPr>
        <w:t>In 2006, we acquired additional property with 11 Bcf of existing salt dome caverns and the capability to add significant additional capacity by mining new caverns. These caverns would allow Liberty to expand to at least 28 Bcf of total capacity. Total project costs for Liberty and its expansion are expected to be approximately $450 million to $500 million.</w:t>
      </w:r>
    </w:p>
    <w:p>
      <w:pPr>
        <w:spacing w:after="0" w:line="39" w:lineRule="exact"/>
        <w:rPr>
          <w:sz w:val="20"/>
          <w:szCs w:val="20"/>
          <w:color w:val="auto"/>
        </w:rPr>
      </w:pPr>
    </w:p>
    <w:p>
      <w:pPr>
        <w:ind w:left="4"/>
        <w:spacing w:after="0"/>
        <w:rPr>
          <w:sz w:val="20"/>
          <w:szCs w:val="20"/>
          <w:color w:val="auto"/>
        </w:rPr>
      </w:pPr>
      <w:r>
        <w:rPr>
          <w:rFonts w:ascii="Arial" w:cs="Arial" w:eastAsia="Arial" w:hAnsi="Arial"/>
          <w:sz w:val="18"/>
          <w:szCs w:val="18"/>
          <w:i w:val="1"/>
          <w:iCs w:val="1"/>
          <w:color w:val="auto"/>
        </w:rPr>
        <w:t>Pipelines in Mexico</w:t>
      </w:r>
    </w:p>
    <w:p>
      <w:pPr>
        <w:spacing w:after="0" w:line="72" w:lineRule="exact"/>
        <w:rPr>
          <w:sz w:val="20"/>
          <w:szCs w:val="20"/>
          <w:color w:val="auto"/>
        </w:rPr>
      </w:pPr>
    </w:p>
    <w:p>
      <w:pPr>
        <w:ind w:left="4" w:right="160"/>
        <w:spacing w:after="0" w:line="264" w:lineRule="auto"/>
        <w:rPr>
          <w:sz w:val="20"/>
          <w:szCs w:val="20"/>
          <w:color w:val="auto"/>
        </w:rPr>
      </w:pPr>
      <w:r>
        <w:rPr>
          <w:rFonts w:ascii="Arial" w:cs="Arial" w:eastAsia="Arial" w:hAnsi="Arial"/>
          <w:sz w:val="16"/>
          <w:szCs w:val="16"/>
          <w:color w:val="auto"/>
        </w:rPr>
        <w:t>Sempra Pipelines &amp; Storage completed its expansion of its existing pipeline in Baja California, Mexico, and the addition of a spur line to connect Sempra LNG’s Energía Costa Azul terminal to an existing Sempra Energy natural gas pipeline in Mexico with interconnections to the U.S. border. Commercial operation of the pipeline expansion began in May 2008.</w:t>
      </w:r>
    </w:p>
    <w:p>
      <w:pPr>
        <w:spacing w:after="0" w:line="135" w:lineRule="exact"/>
        <w:rPr>
          <w:sz w:val="20"/>
          <w:szCs w:val="20"/>
          <w:color w:val="auto"/>
        </w:rPr>
      </w:pPr>
    </w:p>
    <w:p>
      <w:pPr>
        <w:ind w:left="4"/>
        <w:spacing w:after="0"/>
        <w:rPr>
          <w:sz w:val="20"/>
          <w:szCs w:val="20"/>
          <w:color w:val="auto"/>
        </w:rPr>
      </w:pPr>
      <w:r>
        <w:rPr>
          <w:rFonts w:ascii="Arial" w:cs="Arial" w:eastAsia="Arial" w:hAnsi="Arial"/>
          <w:sz w:val="18"/>
          <w:szCs w:val="18"/>
          <w:b w:val="1"/>
          <w:bCs w:val="1"/>
          <w:i w:val="1"/>
          <w:iCs w:val="1"/>
          <w:color w:val="auto"/>
        </w:rPr>
        <w:t>Sempra LNG</w:t>
      </w:r>
    </w:p>
    <w:p>
      <w:pPr>
        <w:spacing w:after="0" w:line="21" w:lineRule="exact"/>
        <w:rPr>
          <w:sz w:val="20"/>
          <w:szCs w:val="20"/>
          <w:color w:val="auto"/>
        </w:rPr>
      </w:pPr>
    </w:p>
    <w:p>
      <w:pPr>
        <w:ind w:left="4"/>
        <w:spacing w:after="0"/>
        <w:rPr>
          <w:sz w:val="20"/>
          <w:szCs w:val="20"/>
          <w:color w:val="auto"/>
        </w:rPr>
      </w:pPr>
      <w:r>
        <w:rPr>
          <w:rFonts w:ascii="Arial" w:cs="Arial" w:eastAsia="Arial" w:hAnsi="Arial"/>
          <w:sz w:val="18"/>
          <w:szCs w:val="18"/>
          <w:i w:val="1"/>
          <w:iCs w:val="1"/>
          <w:color w:val="auto"/>
        </w:rPr>
        <w:t>Energía Costa Azul LNG Receipt Terminal</w:t>
      </w:r>
    </w:p>
    <w:p>
      <w:pPr>
        <w:spacing w:after="0" w:line="72" w:lineRule="exact"/>
        <w:rPr>
          <w:sz w:val="20"/>
          <w:szCs w:val="20"/>
          <w:color w:val="auto"/>
        </w:rPr>
      </w:pPr>
    </w:p>
    <w:p>
      <w:pPr>
        <w:ind w:left="4" w:right="100"/>
        <w:spacing w:after="0" w:line="282" w:lineRule="auto"/>
        <w:rPr>
          <w:sz w:val="20"/>
          <w:szCs w:val="20"/>
          <w:color w:val="auto"/>
        </w:rPr>
      </w:pPr>
      <w:r>
        <w:rPr>
          <w:rFonts w:ascii="Arial" w:cs="Arial" w:eastAsia="Arial" w:hAnsi="Arial"/>
          <w:sz w:val="15"/>
          <w:szCs w:val="15"/>
          <w:color w:val="auto"/>
        </w:rPr>
        <w:t>Sempra LNG’s Energía Costa Azul LNG receipt terminal in Baja California, Mexico, with a capacity of 1 Bcf per day, began operations in May 2008. The facility generates revenue under a capacity agreement with Shell México Gas Natural, expiring in 2028, that permits Shell to use one-half of the terminal’s capacity. We expect that LNG supplies will begin arriving in 2009 under a 20-year purchase and sale agreement with Tangguh PSC (discussed in "Commitments" above) that will fully use the remaining capacity. Sempra LNG has been negotiating for temporary supplies of LNG to use the available capacity until the Tangguh PSC supplies arrive.</w:t>
      </w:r>
    </w:p>
    <w:p>
      <w:pPr>
        <w:spacing w:after="0" w:line="200" w:lineRule="exact"/>
        <w:rPr>
          <w:sz w:val="20"/>
          <w:szCs w:val="20"/>
          <w:color w:val="auto"/>
        </w:rPr>
      </w:pPr>
    </w:p>
    <w:p>
      <w:pPr>
        <w:spacing w:after="0" w:line="291" w:lineRule="exact"/>
        <w:rPr>
          <w:sz w:val="20"/>
          <w:szCs w:val="20"/>
          <w:color w:val="auto"/>
        </w:rPr>
      </w:pPr>
    </w:p>
    <w:p>
      <w:pPr>
        <w:ind w:left="4"/>
        <w:spacing w:after="0"/>
        <w:rPr>
          <w:sz w:val="20"/>
          <w:szCs w:val="20"/>
          <w:color w:val="auto"/>
        </w:rPr>
      </w:pPr>
      <w:r>
        <w:rPr>
          <w:rFonts w:ascii="Arial" w:cs="Arial" w:eastAsia="Arial" w:hAnsi="Arial"/>
          <w:sz w:val="14"/>
          <w:szCs w:val="14"/>
          <w:color w:val="auto"/>
        </w:rPr>
        <w:t>45</w:t>
      </w:r>
    </w:p>
    <w:p>
      <w:pPr>
        <w:sectPr>
          <w:pgSz w:w="11900" w:h="16838" w:orient="portrait"/>
          <w:cols w:equalWidth="0" w:num="1">
            <w:col w:w="11424"/>
          </w:cols>
          <w:pgMar w:left="236" w:top="124" w:right="239" w:bottom="1440" w:gutter="0" w:footer="0" w:header="0"/>
        </w:sectPr>
      </w:pPr>
    </w:p>
    <w:bookmarkStart w:id="185" w:name="page186"/>
    <w:bookmarkEnd w:id="185"/>
    <w:p>
      <w:pPr>
        <w:ind w:right="340"/>
        <w:spacing w:after="0" w:line="277" w:lineRule="auto"/>
        <w:rPr>
          <w:sz w:val="20"/>
          <w:szCs w:val="20"/>
          <w:color w:val="auto"/>
        </w:rPr>
      </w:pPr>
      <w:r>
        <w:rPr>
          <w:rFonts w:ascii="Arial" w:cs="Arial" w:eastAsia="Arial" w:hAnsi="Arial"/>
          <w:sz w:val="16"/>
          <w:szCs w:val="16"/>
          <w:color w:val="auto"/>
        </w:rPr>
        <w:t>A nitrogen-injection facility currently under construction will allow the terminal to process LNG cargoes from a wider variety of sources and will provide additional revenue from long-term firm capacity payments for the injection service. We expect the nitrogen-injection facility to be completed late 2009.</w:t>
      </w:r>
    </w:p>
    <w:p>
      <w:pPr>
        <w:spacing w:after="0" w:line="32" w:lineRule="exact"/>
        <w:rPr>
          <w:sz w:val="20"/>
          <w:szCs w:val="20"/>
          <w:color w:val="auto"/>
        </w:rPr>
      </w:pPr>
    </w:p>
    <w:p>
      <w:pPr>
        <w:ind w:right="220"/>
        <w:spacing w:after="0" w:line="264" w:lineRule="auto"/>
        <w:rPr>
          <w:sz w:val="20"/>
          <w:szCs w:val="20"/>
          <w:color w:val="auto"/>
        </w:rPr>
      </w:pPr>
      <w:r>
        <w:rPr>
          <w:rFonts w:ascii="Arial" w:cs="Arial" w:eastAsia="Arial" w:hAnsi="Arial"/>
          <w:sz w:val="16"/>
          <w:szCs w:val="16"/>
          <w:color w:val="auto"/>
        </w:rPr>
        <w:t>Sempra LNG has a 15-year natural gas sales contract with Mexico’s government-owned electric utility, the CFE, which started in 2008 and runs through 2022. The agreement provides the CFE with an average of about 130 million cubic feet per day of natural gas. The contract supports the CFE’s future energy needs in northern Baja California, including the Presidente Juarez power plant in Rosarito, Mexico.</w:t>
      </w:r>
    </w:p>
    <w:p>
      <w:pPr>
        <w:spacing w:after="0" w:line="42" w:lineRule="exact"/>
        <w:rPr>
          <w:sz w:val="20"/>
          <w:szCs w:val="20"/>
          <w:color w:val="auto"/>
        </w:rPr>
      </w:pPr>
    </w:p>
    <w:p>
      <w:pPr>
        <w:ind w:right="120"/>
        <w:spacing w:after="0" w:line="277" w:lineRule="auto"/>
        <w:rPr>
          <w:sz w:val="20"/>
          <w:szCs w:val="20"/>
          <w:color w:val="auto"/>
        </w:rPr>
      </w:pPr>
      <w:r>
        <w:rPr>
          <w:rFonts w:ascii="Arial" w:cs="Arial" w:eastAsia="Arial" w:hAnsi="Arial"/>
          <w:sz w:val="16"/>
          <w:szCs w:val="16"/>
          <w:color w:val="auto"/>
        </w:rPr>
        <w:t>We have received approvals from key governmental agencies to expand the terminal capacity to 2.5 Bcf per day. The ultimate scope and timing of a proposed expansion project will depend on the outcome of negotiations for supply and/or terminal service agreements.</w:t>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Cameron LNG Receipt Terminal</w:t>
      </w:r>
    </w:p>
    <w:p>
      <w:pPr>
        <w:spacing w:after="0" w:line="72" w:lineRule="exact"/>
        <w:rPr>
          <w:sz w:val="20"/>
          <w:szCs w:val="20"/>
          <w:color w:val="auto"/>
        </w:rPr>
      </w:pPr>
    </w:p>
    <w:p>
      <w:pPr>
        <w:ind w:right="80"/>
        <w:spacing w:after="0" w:line="299" w:lineRule="auto"/>
        <w:rPr>
          <w:sz w:val="20"/>
          <w:szCs w:val="20"/>
          <w:color w:val="auto"/>
        </w:rPr>
      </w:pPr>
      <w:r>
        <w:rPr>
          <w:rFonts w:ascii="Arial" w:cs="Arial" w:eastAsia="Arial" w:hAnsi="Arial"/>
          <w:sz w:val="14"/>
          <w:szCs w:val="14"/>
          <w:color w:val="auto"/>
        </w:rPr>
        <w:t>Sempra LNG’s Cameron LNG receipt terminal is currently under construction in Hackberry, Louisiana. Construction is expected to be completed, and capacity revenues to start, in the second half of 2009. The terminal is under contract for 40% of its capacity through 2029. Total project costs for the Cameron LNG receipt terminal are expected to be approximately $900 million. Force majeure and cost overrun claims have been made by some of the construction companies at the receipt terminal for additional costs, primarily related to hurricanes. Sempra LNG is currently in negotiations with the companies, and cannot estimate at this time the additional amounts that may be paid. In January 2007, Sempra LNG received approval from the FERC for a possible expansion of the terminal’s production capacity to 2.65 Bcf per day of natural gas from 1.5 Bcf per day. The ultimate scope and timing of the expansion project will depend on the outcome of negotiations for supply and/or terminal service agreements.</w:t>
      </w:r>
    </w:p>
    <w:p>
      <w:pPr>
        <w:spacing w:after="0" w:line="21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MARKET RISK</w:t>
      </w:r>
    </w:p>
    <w:p>
      <w:pPr>
        <w:spacing w:after="0" w:line="89" w:lineRule="exact"/>
        <w:rPr>
          <w:sz w:val="20"/>
          <w:szCs w:val="20"/>
          <w:color w:val="auto"/>
        </w:rPr>
      </w:pPr>
    </w:p>
    <w:p>
      <w:pPr>
        <w:ind w:right="280"/>
        <w:spacing w:after="0" w:line="277" w:lineRule="auto"/>
        <w:rPr>
          <w:sz w:val="20"/>
          <w:szCs w:val="20"/>
          <w:color w:val="auto"/>
        </w:rPr>
      </w:pPr>
      <w:r>
        <w:rPr>
          <w:rFonts w:ascii="Arial" w:cs="Arial" w:eastAsia="Arial" w:hAnsi="Arial"/>
          <w:sz w:val="16"/>
          <w:szCs w:val="16"/>
          <w:color w:val="auto"/>
        </w:rPr>
        <w:t>Market risk is the risk of erosion of our cash flows, net income, asset values and equity due to adverse changes in prices for various commodities and in interest rates. Sempra Energy also may be adversely affected by changes in foreign-currency rates.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 Policies</w:t>
      </w:r>
    </w:p>
    <w:p>
      <w:pPr>
        <w:spacing w:after="0" w:line="23" w:lineRule="exact"/>
        <w:rPr>
          <w:sz w:val="20"/>
          <w:szCs w:val="20"/>
          <w:color w:val="auto"/>
        </w:rPr>
      </w:pPr>
    </w:p>
    <w:p>
      <w:pPr>
        <w:ind w:right="200"/>
        <w:spacing w:after="0" w:line="255" w:lineRule="auto"/>
        <w:rPr>
          <w:sz w:val="20"/>
          <w:szCs w:val="20"/>
          <w:color w:val="auto"/>
        </w:rPr>
      </w:pPr>
      <w:r>
        <w:rPr>
          <w:rFonts w:ascii="Arial" w:cs="Arial" w:eastAsia="Arial" w:hAnsi="Arial"/>
          <w:sz w:val="16"/>
          <w:szCs w:val="16"/>
          <w:color w:val="auto"/>
        </w:rPr>
        <w:t>Sempra Energy has policies governing its market risk management and trading activities. As required by CPUC and FERC affiliate compliance rules, Sempra Energy and the Sempra Utilities maintain separate and independent risk management committees, organizations and processes for each of the Sempra Utilities and for all non-CPUC regulated affiliates to provide oversight of these activities. The committees consist of senior officers who establish policy, oversee energy risk management activities, and monitor the results of trading and other activities to ensure compliance with our stated energy risk management and trading policies. These activities include, but are not limited to, daily monitoring of detailed information for market positions that create credit, liquidity and market risk. Independently from our energy procurement departments, the respective oversight organizations and committees separately monitor energy price risk management, and measure and report the credit, liquidity and market risk associated with these positions.</w:t>
      </w:r>
    </w:p>
    <w:p>
      <w:pPr>
        <w:spacing w:after="0" w:line="49" w:lineRule="exact"/>
        <w:rPr>
          <w:sz w:val="20"/>
          <w:szCs w:val="20"/>
          <w:color w:val="auto"/>
        </w:rPr>
      </w:pPr>
    </w:p>
    <w:p>
      <w:pPr>
        <w:spacing w:after="0" w:line="289" w:lineRule="auto"/>
        <w:rPr>
          <w:sz w:val="20"/>
          <w:szCs w:val="20"/>
          <w:color w:val="auto"/>
        </w:rPr>
      </w:pPr>
      <w:r>
        <w:rPr>
          <w:rFonts w:ascii="Arial" w:cs="Arial" w:eastAsia="Arial" w:hAnsi="Arial"/>
          <w:sz w:val="15"/>
          <w:szCs w:val="15"/>
          <w:color w:val="auto"/>
        </w:rPr>
        <w:t>Along with other tools, we use Value at Risk (VaR) to measure our exposure to market risk. VaR is an estimate of the potential loss on a position or portfolio of positions over a specified holding period, based on normal market conditions and within a given statistical confidence interval. VaR is calculated independently by the respective risk management oversight organizations. We use historical and implied volatilities and correlations between instruments and positions in our calculations.</w:t>
      </w:r>
    </w:p>
    <w:p>
      <w:pPr>
        <w:spacing w:after="0" w:line="26" w:lineRule="exact"/>
        <w:rPr>
          <w:sz w:val="20"/>
          <w:szCs w:val="20"/>
          <w:color w:val="auto"/>
        </w:rPr>
      </w:pPr>
    </w:p>
    <w:p>
      <w:pPr>
        <w:ind w:right="20"/>
        <w:spacing w:after="0" w:line="257" w:lineRule="auto"/>
        <w:rPr>
          <w:sz w:val="20"/>
          <w:szCs w:val="20"/>
          <w:color w:val="auto"/>
        </w:rPr>
      </w:pPr>
      <w:r>
        <w:rPr>
          <w:rFonts w:ascii="Arial" w:cs="Arial" w:eastAsia="Arial" w:hAnsi="Arial"/>
          <w:sz w:val="16"/>
          <w:szCs w:val="16"/>
          <w:color w:val="auto"/>
        </w:rPr>
        <w:t>The Sempra Utilities use energy and natural gas derivatives to manage natural gas and energy price risk associated with servicing load requirements. The use of energy and natural gas derivatives is subject to certain limitations imposed by company policy and is in compliance with risk management and trading activity plans that have been filed with and approved by the CPUC. Any costs or gains/losses associated with the use of energy and natural gas derivatives are considered to be commodity costs. Commodity costs are generally passed on to customers as incurred. However, SoCalGas is subject to incentive mechanisms that reward or penalize the utility for commodity costs above or below certain benchmarks.</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4"/>
          <w:szCs w:val="14"/>
          <w:color w:val="auto"/>
        </w:rPr>
        <w:t>46</w:t>
      </w:r>
    </w:p>
    <w:p>
      <w:pPr>
        <w:sectPr>
          <w:pgSz w:w="11900" w:h="16838" w:orient="portrait"/>
          <w:cols w:equalWidth="0" w:num="1">
            <w:col w:w="11420"/>
          </w:cols>
          <w:pgMar w:left="240" w:top="127" w:right="239" w:bottom="1440" w:gutter="0" w:footer="0" w:header="0"/>
        </w:sectPr>
      </w:pPr>
    </w:p>
    <w:bookmarkStart w:id="186" w:name="page187"/>
    <w:bookmarkEnd w:id="186"/>
    <w:p>
      <w:pPr>
        <w:ind w:right="120"/>
        <w:spacing w:after="0" w:line="259" w:lineRule="auto"/>
        <w:rPr>
          <w:sz w:val="20"/>
          <w:szCs w:val="20"/>
          <w:color w:val="auto"/>
        </w:rPr>
      </w:pPr>
      <w:r>
        <w:rPr>
          <w:rFonts w:ascii="Arial" w:cs="Arial" w:eastAsia="Arial" w:hAnsi="Arial"/>
          <w:sz w:val="16"/>
          <w:szCs w:val="16"/>
          <w:color w:val="auto"/>
        </w:rPr>
        <w:t>In 2008, we completed the formation of RBS Sempra Commodities, a partnership that owns and operates the commodities-marketing businesses previously held by us as subsidiaries. We now account for our investment in the partnership under the equity method. As a result of the transaction, we no longer include on our Consolidated Balance Sheet the commodities and financial instruments related to these businesses that subjected us to commodities price risk and credit risk. However, the joint venture partnership is still subject to these risks, which could impact our portion of partnership earnings.</w:t>
      </w:r>
    </w:p>
    <w:p>
      <w:pPr>
        <w:spacing w:after="0" w:line="47" w:lineRule="exact"/>
        <w:rPr>
          <w:sz w:val="20"/>
          <w:szCs w:val="20"/>
          <w:color w:val="auto"/>
        </w:rPr>
      </w:pPr>
    </w:p>
    <w:p>
      <w:pPr>
        <w:ind w:right="40"/>
        <w:spacing w:after="0" w:line="277" w:lineRule="auto"/>
        <w:rPr>
          <w:sz w:val="20"/>
          <w:szCs w:val="20"/>
          <w:color w:val="auto"/>
        </w:rPr>
      </w:pPr>
      <w:r>
        <w:rPr>
          <w:rFonts w:ascii="Arial" w:cs="Arial" w:eastAsia="Arial" w:hAnsi="Arial"/>
          <w:sz w:val="16"/>
          <w:szCs w:val="16"/>
          <w:color w:val="auto"/>
        </w:rPr>
        <w:t>In addition, as a transitional measure, Sempra Energy continues to provide back-up guarantees and credit support for RBS Sempra Commodities, as we discuss above in "Capital Resources and Liquidity" and in Note 6 of the Notes to Consolidated Financial Statements.</w:t>
      </w:r>
    </w:p>
    <w:p>
      <w:pPr>
        <w:spacing w:after="0" w:line="32" w:lineRule="exact"/>
        <w:rPr>
          <w:sz w:val="20"/>
          <w:szCs w:val="20"/>
          <w:color w:val="auto"/>
        </w:rPr>
      </w:pPr>
    </w:p>
    <w:p>
      <w:pPr>
        <w:ind w:right="60"/>
        <w:spacing w:after="0" w:line="277" w:lineRule="auto"/>
        <w:rPr>
          <w:sz w:val="20"/>
          <w:szCs w:val="20"/>
          <w:color w:val="auto"/>
        </w:rPr>
      </w:pPr>
      <w:r>
        <w:rPr>
          <w:rFonts w:ascii="Arial" w:cs="Arial" w:eastAsia="Arial" w:hAnsi="Arial"/>
          <w:sz w:val="16"/>
          <w:szCs w:val="16"/>
          <w:color w:val="auto"/>
        </w:rPr>
        <w:t>We discuss revenue recognition in Notes 1 and 11 of the Notes to Consolidated Financial Statements and the additional market-risk information regarding derivative instruments in Note 11 of the Notes to Consolidated Financial Statements.</w:t>
      </w:r>
    </w:p>
    <w:p>
      <w:pPr>
        <w:spacing w:after="0" w:line="32" w:lineRule="exact"/>
        <w:rPr>
          <w:sz w:val="20"/>
          <w:szCs w:val="20"/>
          <w:color w:val="auto"/>
        </w:rPr>
      </w:pPr>
    </w:p>
    <w:p>
      <w:pPr>
        <w:ind w:right="300"/>
        <w:spacing w:after="0" w:line="277" w:lineRule="auto"/>
        <w:rPr>
          <w:sz w:val="20"/>
          <w:szCs w:val="20"/>
          <w:color w:val="auto"/>
        </w:rPr>
      </w:pPr>
      <w:r>
        <w:rPr>
          <w:rFonts w:ascii="Arial" w:cs="Arial" w:eastAsia="Arial" w:hAnsi="Arial"/>
          <w:sz w:val="16"/>
          <w:szCs w:val="16"/>
          <w:color w:val="auto"/>
        </w:rPr>
        <w:t>We have exposure to changes in commodity prices, interest rates and foreign currency rates and exposure to counterparty nonperformance. The following discussion of these primary market-risk exposures as of December 31, 2008, includes a discussion of how these exposures are managed.</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Commodity Price Risk</w:t>
      </w:r>
    </w:p>
    <w:p>
      <w:pPr>
        <w:spacing w:after="0" w:line="23" w:lineRule="exact"/>
        <w:rPr>
          <w:sz w:val="20"/>
          <w:szCs w:val="20"/>
          <w:color w:val="auto"/>
        </w:rPr>
      </w:pPr>
    </w:p>
    <w:p>
      <w:pPr>
        <w:spacing w:after="0" w:line="264" w:lineRule="auto"/>
        <w:rPr>
          <w:sz w:val="20"/>
          <w:szCs w:val="20"/>
          <w:color w:val="auto"/>
        </w:rPr>
      </w:pPr>
      <w:r>
        <w:rPr>
          <w:rFonts w:ascii="Arial" w:cs="Arial" w:eastAsia="Arial" w:hAnsi="Arial"/>
          <w:sz w:val="16"/>
          <w:szCs w:val="16"/>
          <w:color w:val="auto"/>
        </w:rPr>
        <w:t>Market risk related to physical commodities is created by volatility in the prices and basis of certain commodities. Our various subsidiaries are exposed, in varying degrees, to price risk, primarily to prices in the natural gas and electricity markets. Our policy is to manage this risk within a framework that considers the unique markets, and operating and regulatory environments of each subsidiary.</w:t>
      </w:r>
    </w:p>
    <w:p>
      <w:pPr>
        <w:spacing w:after="0" w:line="42" w:lineRule="exact"/>
        <w:rPr>
          <w:sz w:val="20"/>
          <w:szCs w:val="20"/>
          <w:color w:val="auto"/>
        </w:rPr>
      </w:pPr>
    </w:p>
    <w:p>
      <w:pPr>
        <w:ind w:right="240"/>
        <w:spacing w:after="0" w:line="277" w:lineRule="auto"/>
        <w:rPr>
          <w:sz w:val="20"/>
          <w:szCs w:val="20"/>
          <w:color w:val="auto"/>
        </w:rPr>
      </w:pPr>
      <w:r>
        <w:rPr>
          <w:rFonts w:ascii="Arial" w:cs="Arial" w:eastAsia="Arial" w:hAnsi="Arial"/>
          <w:sz w:val="16"/>
          <w:szCs w:val="16"/>
          <w:color w:val="auto"/>
        </w:rPr>
        <w:t>Sempra Global reduces its commodity price risk exposure substantially by passing most of the risk to its counterparties in the contracts it enters into. Any residual exposure is monitored as described above.</w:t>
      </w:r>
    </w:p>
    <w:p>
      <w:pPr>
        <w:spacing w:after="0" w:line="32" w:lineRule="exact"/>
        <w:rPr>
          <w:sz w:val="20"/>
          <w:szCs w:val="20"/>
          <w:color w:val="auto"/>
        </w:rPr>
      </w:pPr>
    </w:p>
    <w:p>
      <w:pPr>
        <w:ind w:right="100"/>
        <w:spacing w:after="0" w:line="276" w:lineRule="auto"/>
        <w:rPr>
          <w:sz w:val="20"/>
          <w:szCs w:val="20"/>
          <w:color w:val="auto"/>
        </w:rPr>
      </w:pPr>
      <w:r>
        <w:rPr>
          <w:rFonts w:ascii="Arial" w:cs="Arial" w:eastAsia="Arial" w:hAnsi="Arial"/>
          <w:sz w:val="15"/>
          <w:szCs w:val="15"/>
          <w:color w:val="auto"/>
        </w:rPr>
        <w:t>The Sempra Utilities' market-risk exposure is limited due to CPUC-authorized rate recovery of the costs of commodity purchases, intrastate transportation, and storage activity. However, SoCalGas may, at times, be exposed to market risk as a result of incentive mechanisms that reward or penalize the utility for commodity costs above or below certain benchmarks for SoCalGas' GCIM, which we discuss in Note 15 of the Notes to Consolidated Financial Statements. If commodity prices were to rise too rapidly, it is likely that volumes would decline. This decline would increase the per-unit fixed costs, which could lead to further volume declines. The Sempra Utilities manage their risk within the parameters of their market risk management framework. As of December 31, 2008, the total VaR of the Sempra Utilities' natural gas and electric positions was not material, and the procurement activities were in compliance with the procurement plans filed with and approved by the CPUC.</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23" w:lineRule="exact"/>
        <w:rPr>
          <w:sz w:val="20"/>
          <w:szCs w:val="20"/>
          <w:color w:val="auto"/>
        </w:rPr>
      </w:pPr>
    </w:p>
    <w:p>
      <w:pPr>
        <w:ind w:right="180"/>
        <w:spacing w:after="0" w:line="277" w:lineRule="auto"/>
        <w:rPr>
          <w:sz w:val="20"/>
          <w:szCs w:val="20"/>
          <w:color w:val="auto"/>
        </w:rPr>
      </w:pPr>
      <w:r>
        <w:rPr>
          <w:rFonts w:ascii="Arial" w:cs="Arial" w:eastAsia="Arial" w:hAnsi="Arial"/>
          <w:sz w:val="16"/>
          <w:szCs w:val="16"/>
          <w:color w:val="auto"/>
        </w:rPr>
        <w:t>We are exposed to fluctuations in interest rates primarily as a result of our having issued short- and long-term debt. Subject to regulatory constraints, we periodically enter into interest-rate swap agreements to moderate our exposure to interest-rate changes and to lower our overall costs of borrowing.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table below shows the nominal amount and the one-year VaR for long-term debt, excluding commercial paper, at December 31, 2008:</w:t>
      </w:r>
    </w:p>
    <w:p>
      <w:pPr>
        <w:spacing w:after="0" w:line="301" w:lineRule="exact"/>
        <w:rPr>
          <w:sz w:val="20"/>
          <w:szCs w:val="20"/>
          <w:color w:val="auto"/>
        </w:rPr>
      </w:pPr>
    </w:p>
    <w:tbl>
      <w:tblPr>
        <w:tblLayout w:type="fixed"/>
        <w:tblInd w:w="1600" w:type="dxa"/>
        <w:tblCellMar>
          <w:top w:w="0" w:type="dxa"/>
          <w:left w:w="0" w:type="dxa"/>
          <w:bottom w:w="0" w:type="dxa"/>
          <w:right w:w="0" w:type="dxa"/>
        </w:tblCellMar>
      </w:tblPr>
      <w:tr>
        <w:trPr>
          <w:trHeight w:val="159"/>
        </w:trPr>
        <w:tc>
          <w:tcPr>
            <w:tcW w:w="2060" w:type="dxa"/>
            <w:vAlign w:val="bottom"/>
          </w:tcPr>
          <w:p>
            <w:pPr>
              <w:spacing w:after="0"/>
              <w:rPr>
                <w:sz w:val="13"/>
                <w:szCs w:val="13"/>
                <w:color w:val="auto"/>
              </w:rPr>
            </w:pPr>
          </w:p>
        </w:tc>
        <w:tc>
          <w:tcPr>
            <w:tcW w:w="1940" w:type="dxa"/>
            <w:vAlign w:val="bottom"/>
            <w:tcBorders>
              <w:bottom w:val="single" w:sz="8" w:color="auto"/>
            </w:tcBorders>
            <w:gridSpan w:val="2"/>
          </w:tcPr>
          <w:p>
            <w:pPr>
              <w:jc w:val="right"/>
              <w:ind w:right="71"/>
              <w:spacing w:after="0"/>
              <w:rPr>
                <w:sz w:val="20"/>
                <w:szCs w:val="20"/>
                <w:color w:val="auto"/>
              </w:rPr>
            </w:pPr>
            <w:r>
              <w:rPr>
                <w:rFonts w:ascii="Arial" w:cs="Arial" w:eastAsia="Arial" w:hAnsi="Arial"/>
                <w:sz w:val="13"/>
                <w:szCs w:val="13"/>
                <w:color w:val="auto"/>
              </w:rPr>
              <w:t>Sempra Energy Consolidated</w:t>
            </w:r>
          </w:p>
        </w:tc>
        <w:tc>
          <w:tcPr>
            <w:tcW w:w="140" w:type="dxa"/>
            <w:vAlign w:val="bottom"/>
          </w:tcPr>
          <w:p>
            <w:pPr>
              <w:spacing w:after="0"/>
              <w:rPr>
                <w:sz w:val="13"/>
                <w:szCs w:val="13"/>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SDG&amp;E</w:t>
            </w:r>
          </w:p>
        </w:tc>
        <w:tc>
          <w:tcPr>
            <w:tcW w:w="74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2020" w:type="dxa"/>
            <w:vAlign w:val="bottom"/>
            <w:tcBorders>
              <w:bottom w:val="single" w:sz="8" w:color="auto"/>
            </w:tcBorders>
            <w:gridSpan w:val="2"/>
          </w:tcPr>
          <w:p>
            <w:pPr>
              <w:jc w:val="right"/>
              <w:ind w:right="551"/>
              <w:spacing w:after="0"/>
              <w:rPr>
                <w:sz w:val="20"/>
                <w:szCs w:val="20"/>
                <w:color w:val="auto"/>
              </w:rPr>
            </w:pPr>
            <w:r>
              <w:rPr>
                <w:rFonts w:ascii="Arial" w:cs="Arial" w:eastAsia="Arial" w:hAnsi="Arial"/>
                <w:sz w:val="13"/>
                <w:szCs w:val="13"/>
                <w:color w:val="auto"/>
              </w:rPr>
              <w:t>PE/SoCalGas</w:t>
            </w:r>
          </w:p>
        </w:tc>
        <w:tc>
          <w:tcPr>
            <w:tcW w:w="0" w:type="dxa"/>
            <w:vAlign w:val="bottom"/>
          </w:tcPr>
          <w:p>
            <w:pPr>
              <w:spacing w:after="0"/>
              <w:rPr>
                <w:sz w:val="1"/>
                <w:szCs w:val="1"/>
                <w:color w:val="auto"/>
              </w:rPr>
            </w:pPr>
          </w:p>
        </w:tc>
      </w:tr>
      <w:tr>
        <w:trPr>
          <w:trHeight w:val="167"/>
        </w:trPr>
        <w:tc>
          <w:tcPr>
            <w:tcW w:w="2060" w:type="dxa"/>
            <w:vAlign w:val="bottom"/>
            <w:vMerge w:val="restart"/>
          </w:tcPr>
          <w:p>
            <w:pPr>
              <w:ind w:left="20"/>
              <w:spacing w:after="0"/>
              <w:rPr>
                <w:sz w:val="20"/>
                <w:szCs w:val="20"/>
                <w:color w:val="auto"/>
              </w:rPr>
            </w:pPr>
            <w:r>
              <w:rPr>
                <w:rFonts w:ascii="Arial" w:cs="Arial" w:eastAsia="Arial" w:hAnsi="Arial"/>
                <w:sz w:val="13"/>
                <w:szCs w:val="13"/>
                <w:i w:val="1"/>
                <w:iCs w:val="1"/>
                <w:color w:val="auto"/>
              </w:rPr>
              <w:t>(Dollars in millions)</w:t>
            </w:r>
          </w:p>
        </w:tc>
        <w:tc>
          <w:tcPr>
            <w:tcW w:w="1040" w:type="dxa"/>
            <w:vAlign w:val="bottom"/>
          </w:tcPr>
          <w:p>
            <w:pPr>
              <w:spacing w:after="0"/>
              <w:rPr>
                <w:sz w:val="14"/>
                <w:szCs w:val="14"/>
                <w:color w:val="auto"/>
              </w:rPr>
            </w:pPr>
          </w:p>
        </w:tc>
        <w:tc>
          <w:tcPr>
            <w:tcW w:w="900" w:type="dxa"/>
            <w:vAlign w:val="bottom"/>
          </w:tcPr>
          <w:p>
            <w:pPr>
              <w:jc w:val="right"/>
              <w:ind w:right="111"/>
              <w:spacing w:after="0"/>
              <w:rPr>
                <w:sz w:val="20"/>
                <w:szCs w:val="20"/>
                <w:color w:val="auto"/>
              </w:rPr>
            </w:pPr>
            <w:r>
              <w:rPr>
                <w:rFonts w:ascii="Arial" w:cs="Arial" w:eastAsia="Arial" w:hAnsi="Arial"/>
                <w:sz w:val="13"/>
                <w:szCs w:val="13"/>
                <w:color w:val="auto"/>
              </w:rPr>
              <w:t>One-Year</w:t>
            </w:r>
          </w:p>
        </w:tc>
        <w:tc>
          <w:tcPr>
            <w:tcW w:w="1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740" w:type="dxa"/>
            <w:vAlign w:val="bottom"/>
          </w:tcPr>
          <w:p>
            <w:pPr>
              <w:jc w:val="right"/>
              <w:ind w:right="111"/>
              <w:spacing w:after="0"/>
              <w:rPr>
                <w:sz w:val="20"/>
                <w:szCs w:val="20"/>
                <w:color w:val="auto"/>
              </w:rPr>
            </w:pPr>
            <w:r>
              <w:rPr>
                <w:rFonts w:ascii="Arial" w:cs="Arial" w:eastAsia="Arial" w:hAnsi="Arial"/>
                <w:sz w:val="13"/>
                <w:szCs w:val="13"/>
                <w:color w:val="auto"/>
                <w:w w:val="95"/>
              </w:rPr>
              <w:t>One-Year</w:t>
            </w: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60" w:type="dxa"/>
            <w:vAlign w:val="bottom"/>
          </w:tcPr>
          <w:p>
            <w:pPr>
              <w:jc w:val="right"/>
              <w:ind w:right="151"/>
              <w:spacing w:after="0"/>
              <w:rPr>
                <w:sz w:val="20"/>
                <w:szCs w:val="20"/>
                <w:color w:val="auto"/>
              </w:rPr>
            </w:pPr>
            <w:r>
              <w:rPr>
                <w:rFonts w:ascii="Arial" w:cs="Arial" w:eastAsia="Arial" w:hAnsi="Arial"/>
                <w:sz w:val="13"/>
                <w:szCs w:val="13"/>
                <w:color w:val="auto"/>
              </w:rPr>
              <w:t>One-Year</w:t>
            </w:r>
          </w:p>
        </w:tc>
        <w:tc>
          <w:tcPr>
            <w:tcW w:w="0" w:type="dxa"/>
            <w:vAlign w:val="bottom"/>
          </w:tcPr>
          <w:p>
            <w:pPr>
              <w:spacing w:after="0"/>
              <w:rPr>
                <w:sz w:val="1"/>
                <w:szCs w:val="1"/>
                <w:color w:val="auto"/>
              </w:rPr>
            </w:pPr>
          </w:p>
        </w:tc>
      </w:tr>
      <w:tr>
        <w:trPr>
          <w:trHeight w:val="161"/>
        </w:trPr>
        <w:tc>
          <w:tcPr>
            <w:tcW w:w="2060" w:type="dxa"/>
            <w:vAlign w:val="bottom"/>
            <w:tcBorders>
              <w:bottom w:val="single" w:sz="8" w:color="auto"/>
            </w:tcBorders>
            <w:vMerge w:val="continue"/>
          </w:tcPr>
          <w:p>
            <w:pPr>
              <w:spacing w:after="0"/>
              <w:rPr>
                <w:sz w:val="14"/>
                <w:szCs w:val="14"/>
                <w:color w:val="auto"/>
              </w:rPr>
            </w:pPr>
          </w:p>
        </w:tc>
        <w:tc>
          <w:tcPr>
            <w:tcW w:w="1040" w:type="dxa"/>
            <w:vAlign w:val="bottom"/>
            <w:tcBorders>
              <w:bottom w:val="single" w:sz="8" w:color="auto"/>
            </w:tcBorders>
          </w:tcPr>
          <w:p>
            <w:pPr>
              <w:jc w:val="right"/>
              <w:ind w:right="111"/>
              <w:spacing w:after="0"/>
              <w:rPr>
                <w:sz w:val="20"/>
                <w:szCs w:val="20"/>
                <w:color w:val="auto"/>
              </w:rPr>
            </w:pPr>
            <w:r>
              <w:rPr>
                <w:rFonts w:ascii="Arial" w:cs="Arial" w:eastAsia="Arial" w:hAnsi="Arial"/>
                <w:sz w:val="13"/>
                <w:szCs w:val="13"/>
                <w:color w:val="auto"/>
              </w:rPr>
              <w:t>Nominal Debt</w:t>
            </w:r>
          </w:p>
        </w:tc>
        <w:tc>
          <w:tcPr>
            <w:tcW w:w="900" w:type="dxa"/>
            <w:vAlign w:val="bottom"/>
            <w:tcBorders>
              <w:bottom w:val="single" w:sz="8" w:color="auto"/>
            </w:tcBorders>
          </w:tcPr>
          <w:p>
            <w:pPr>
              <w:jc w:val="right"/>
              <w:ind w:right="251"/>
              <w:spacing w:after="0"/>
              <w:rPr>
                <w:sz w:val="20"/>
                <w:szCs w:val="20"/>
                <w:color w:val="auto"/>
              </w:rPr>
            </w:pPr>
            <w:r>
              <w:rPr>
                <w:rFonts w:ascii="Arial" w:cs="Arial" w:eastAsia="Arial" w:hAnsi="Arial"/>
                <w:sz w:val="13"/>
                <w:szCs w:val="13"/>
                <w:color w:val="auto"/>
              </w:rPr>
              <w:t>VaR</w:t>
            </w:r>
          </w:p>
        </w:tc>
        <w:tc>
          <w:tcPr>
            <w:tcW w:w="1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296"/>
              <w:spacing w:after="0"/>
              <w:rPr>
                <w:sz w:val="20"/>
                <w:szCs w:val="20"/>
                <w:color w:val="auto"/>
              </w:rPr>
            </w:pPr>
            <w:r>
              <w:rPr>
                <w:rFonts w:ascii="Arial" w:cs="Arial" w:eastAsia="Arial" w:hAnsi="Arial"/>
                <w:sz w:val="13"/>
                <w:szCs w:val="13"/>
                <w:color w:val="auto"/>
              </w:rPr>
              <w:t>Nominal Debt</w:t>
            </w:r>
          </w:p>
        </w:tc>
        <w:tc>
          <w:tcPr>
            <w:tcW w:w="740" w:type="dxa"/>
            <w:vAlign w:val="bottom"/>
            <w:tcBorders>
              <w:bottom w:val="single" w:sz="8" w:color="auto"/>
            </w:tcBorders>
          </w:tcPr>
          <w:p>
            <w:pPr>
              <w:jc w:val="right"/>
              <w:ind w:right="251"/>
              <w:spacing w:after="0"/>
              <w:rPr>
                <w:sz w:val="20"/>
                <w:szCs w:val="20"/>
                <w:color w:val="auto"/>
              </w:rPr>
            </w:pPr>
            <w:r>
              <w:rPr>
                <w:rFonts w:ascii="Arial" w:cs="Arial" w:eastAsia="Arial" w:hAnsi="Arial"/>
                <w:sz w:val="13"/>
                <w:szCs w:val="13"/>
                <w:color w:val="auto"/>
              </w:rPr>
              <w:t>VaR</w:t>
            </w:r>
          </w:p>
        </w:tc>
        <w:tc>
          <w:tcPr>
            <w:tcW w:w="1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136"/>
              <w:spacing w:after="0"/>
              <w:rPr>
                <w:sz w:val="20"/>
                <w:szCs w:val="20"/>
                <w:color w:val="auto"/>
              </w:rPr>
            </w:pPr>
            <w:r>
              <w:rPr>
                <w:rFonts w:ascii="Arial" w:cs="Arial" w:eastAsia="Arial" w:hAnsi="Arial"/>
                <w:sz w:val="13"/>
                <w:szCs w:val="13"/>
                <w:color w:val="auto"/>
              </w:rPr>
              <w:t>Nominal Debt</w:t>
            </w:r>
          </w:p>
        </w:tc>
        <w:tc>
          <w:tcPr>
            <w:tcW w:w="960" w:type="dxa"/>
            <w:vAlign w:val="bottom"/>
            <w:tcBorders>
              <w:bottom w:val="single" w:sz="8" w:color="auto"/>
            </w:tcBorders>
          </w:tcPr>
          <w:p>
            <w:pPr>
              <w:jc w:val="right"/>
              <w:ind w:right="291"/>
              <w:spacing w:after="0"/>
              <w:rPr>
                <w:sz w:val="20"/>
                <w:szCs w:val="20"/>
                <w:color w:val="auto"/>
              </w:rPr>
            </w:pPr>
            <w:r>
              <w:rPr>
                <w:rFonts w:ascii="Arial" w:cs="Arial" w:eastAsia="Arial" w:hAnsi="Arial"/>
                <w:sz w:val="13"/>
                <w:szCs w:val="13"/>
                <w:color w:val="auto"/>
              </w:rPr>
              <w:t>VaR</w:t>
            </w:r>
          </w:p>
        </w:tc>
        <w:tc>
          <w:tcPr>
            <w:tcW w:w="0" w:type="dxa"/>
            <w:vAlign w:val="bottom"/>
          </w:tcPr>
          <w:p>
            <w:pPr>
              <w:spacing w:after="0"/>
              <w:rPr>
                <w:sz w:val="1"/>
                <w:szCs w:val="1"/>
                <w:color w:val="auto"/>
              </w:rPr>
            </w:pPr>
          </w:p>
        </w:tc>
      </w:tr>
      <w:tr>
        <w:trPr>
          <w:trHeight w:val="207"/>
        </w:trPr>
        <w:tc>
          <w:tcPr>
            <w:tcW w:w="2060" w:type="dxa"/>
            <w:vAlign w:val="bottom"/>
          </w:tcPr>
          <w:p>
            <w:pPr>
              <w:ind w:left="20"/>
              <w:spacing w:after="0"/>
              <w:rPr>
                <w:sz w:val="20"/>
                <w:szCs w:val="20"/>
                <w:color w:val="auto"/>
              </w:rPr>
            </w:pPr>
            <w:r>
              <w:rPr>
                <w:rFonts w:ascii="Arial" w:cs="Arial" w:eastAsia="Arial" w:hAnsi="Arial"/>
                <w:sz w:val="14"/>
                <w:szCs w:val="14"/>
                <w:color w:val="auto"/>
              </w:rPr>
              <w:t>Utility fixed-rate*</w:t>
            </w:r>
          </w:p>
        </w:tc>
        <w:tc>
          <w:tcPr>
            <w:tcW w:w="1040" w:type="dxa"/>
            <w:vAlign w:val="bottom"/>
          </w:tcPr>
          <w:p>
            <w:pPr>
              <w:jc w:val="right"/>
              <w:ind w:right="191"/>
              <w:spacing w:after="0"/>
              <w:rPr>
                <w:sz w:val="20"/>
                <w:szCs w:val="20"/>
                <w:color w:val="auto"/>
              </w:rPr>
            </w:pPr>
            <w:r>
              <w:rPr>
                <w:rFonts w:ascii="Arial" w:cs="Arial" w:eastAsia="Arial" w:hAnsi="Arial"/>
                <w:sz w:val="14"/>
                <w:szCs w:val="14"/>
                <w:color w:val="auto"/>
              </w:rPr>
              <w:t>$   3,023</w:t>
            </w:r>
          </w:p>
        </w:tc>
        <w:tc>
          <w:tcPr>
            <w:tcW w:w="900" w:type="dxa"/>
            <w:vAlign w:val="bottom"/>
          </w:tcPr>
          <w:p>
            <w:pPr>
              <w:jc w:val="right"/>
              <w:ind w:right="91"/>
              <w:spacing w:after="0"/>
              <w:rPr>
                <w:sz w:val="20"/>
                <w:szCs w:val="20"/>
                <w:color w:val="auto"/>
              </w:rPr>
            </w:pPr>
            <w:r>
              <w:rPr>
                <w:rFonts w:ascii="Arial" w:cs="Arial" w:eastAsia="Arial" w:hAnsi="Arial"/>
                <w:sz w:val="14"/>
                <w:szCs w:val="14"/>
                <w:color w:val="auto"/>
              </w:rPr>
              <w:t>$   657</w:t>
            </w:r>
          </w:p>
        </w:tc>
        <w:tc>
          <w:tcPr>
            <w:tcW w:w="1340" w:type="dxa"/>
            <w:vAlign w:val="bottom"/>
            <w:gridSpan w:val="2"/>
          </w:tcPr>
          <w:p>
            <w:pPr>
              <w:jc w:val="right"/>
              <w:ind w:right="376"/>
              <w:spacing w:after="0"/>
              <w:rPr>
                <w:sz w:val="20"/>
                <w:szCs w:val="20"/>
                <w:color w:val="auto"/>
              </w:rPr>
            </w:pPr>
            <w:r>
              <w:rPr>
                <w:rFonts w:ascii="Arial" w:cs="Arial" w:eastAsia="Arial" w:hAnsi="Arial"/>
                <w:sz w:val="14"/>
                <w:szCs w:val="14"/>
                <w:color w:val="auto"/>
              </w:rPr>
              <w:t>$  1,910</w:t>
            </w:r>
          </w:p>
        </w:tc>
        <w:tc>
          <w:tcPr>
            <w:tcW w:w="740" w:type="dxa"/>
            <w:vAlign w:val="bottom"/>
          </w:tcPr>
          <w:p>
            <w:pPr>
              <w:jc w:val="right"/>
              <w:ind w:right="91"/>
              <w:spacing w:after="0"/>
              <w:rPr>
                <w:sz w:val="20"/>
                <w:szCs w:val="20"/>
                <w:color w:val="auto"/>
              </w:rPr>
            </w:pPr>
            <w:r>
              <w:rPr>
                <w:rFonts w:ascii="Arial" w:cs="Arial" w:eastAsia="Arial" w:hAnsi="Arial"/>
                <w:sz w:val="14"/>
                <w:szCs w:val="14"/>
                <w:color w:val="auto"/>
              </w:rPr>
              <w:t>$   430</w:t>
            </w:r>
          </w:p>
        </w:tc>
        <w:tc>
          <w:tcPr>
            <w:tcW w:w="1200" w:type="dxa"/>
            <w:vAlign w:val="bottom"/>
            <w:gridSpan w:val="2"/>
          </w:tcPr>
          <w:p>
            <w:pPr>
              <w:jc w:val="right"/>
              <w:ind w:right="216"/>
              <w:spacing w:after="0"/>
              <w:rPr>
                <w:sz w:val="20"/>
                <w:szCs w:val="20"/>
                <w:color w:val="auto"/>
              </w:rPr>
            </w:pPr>
            <w:r>
              <w:rPr>
                <w:rFonts w:ascii="Arial" w:cs="Arial" w:eastAsia="Arial" w:hAnsi="Arial"/>
                <w:sz w:val="14"/>
                <w:szCs w:val="14"/>
                <w:color w:val="auto"/>
              </w:rPr>
              <w:t>$   1,113</w:t>
            </w:r>
          </w:p>
        </w:tc>
        <w:tc>
          <w:tcPr>
            <w:tcW w:w="960" w:type="dxa"/>
            <w:vAlign w:val="bottom"/>
          </w:tcPr>
          <w:p>
            <w:pPr>
              <w:jc w:val="right"/>
              <w:ind w:right="171"/>
              <w:spacing w:after="0"/>
              <w:rPr>
                <w:sz w:val="20"/>
                <w:szCs w:val="20"/>
                <w:color w:val="auto"/>
              </w:rPr>
            </w:pPr>
            <w:r>
              <w:rPr>
                <w:rFonts w:ascii="Arial" w:cs="Arial" w:eastAsia="Arial" w:hAnsi="Arial"/>
                <w:sz w:val="14"/>
                <w:szCs w:val="14"/>
                <w:color w:val="auto"/>
              </w:rPr>
              <w:t>$   229</w:t>
            </w:r>
          </w:p>
        </w:tc>
        <w:tc>
          <w:tcPr>
            <w:tcW w:w="0" w:type="dxa"/>
            <w:vAlign w:val="bottom"/>
          </w:tcPr>
          <w:p>
            <w:pPr>
              <w:spacing w:after="0"/>
              <w:rPr>
                <w:sz w:val="1"/>
                <w:szCs w:val="1"/>
                <w:color w:val="auto"/>
              </w:rPr>
            </w:pPr>
          </w:p>
        </w:tc>
      </w:tr>
      <w:tr>
        <w:trPr>
          <w:trHeight w:val="216"/>
        </w:trPr>
        <w:tc>
          <w:tcPr>
            <w:tcW w:w="2060" w:type="dxa"/>
            <w:vAlign w:val="bottom"/>
          </w:tcPr>
          <w:p>
            <w:pPr>
              <w:ind w:left="20"/>
              <w:spacing w:after="0"/>
              <w:rPr>
                <w:sz w:val="20"/>
                <w:szCs w:val="20"/>
                <w:color w:val="auto"/>
              </w:rPr>
            </w:pPr>
            <w:r>
              <w:rPr>
                <w:rFonts w:ascii="Arial" w:cs="Arial" w:eastAsia="Arial" w:hAnsi="Arial"/>
                <w:sz w:val="14"/>
                <w:szCs w:val="14"/>
                <w:color w:val="auto"/>
              </w:rPr>
              <w:t>Utility variable-rate*</w:t>
            </w:r>
          </w:p>
        </w:tc>
        <w:tc>
          <w:tcPr>
            <w:tcW w:w="1040" w:type="dxa"/>
            <w:vAlign w:val="bottom"/>
          </w:tcPr>
          <w:p>
            <w:pPr>
              <w:jc w:val="right"/>
              <w:ind w:right="191"/>
              <w:spacing w:after="0"/>
              <w:rPr>
                <w:sz w:val="20"/>
                <w:szCs w:val="20"/>
                <w:color w:val="auto"/>
              </w:rPr>
            </w:pPr>
            <w:r>
              <w:rPr>
                <w:rFonts w:ascii="Arial" w:cs="Arial" w:eastAsia="Arial" w:hAnsi="Arial"/>
                <w:sz w:val="14"/>
                <w:szCs w:val="14"/>
                <w:color w:val="auto"/>
              </w:rPr>
              <w:t>486</w:t>
            </w:r>
          </w:p>
        </w:tc>
        <w:tc>
          <w:tcPr>
            <w:tcW w:w="900" w:type="dxa"/>
            <w:vAlign w:val="bottom"/>
          </w:tcPr>
          <w:p>
            <w:pPr>
              <w:jc w:val="right"/>
              <w:ind w:right="91"/>
              <w:spacing w:after="0"/>
              <w:rPr>
                <w:sz w:val="20"/>
                <w:szCs w:val="20"/>
                <w:color w:val="auto"/>
              </w:rPr>
            </w:pPr>
            <w:r>
              <w:rPr>
                <w:rFonts w:ascii="Arial" w:cs="Arial" w:eastAsia="Arial" w:hAnsi="Arial"/>
                <w:sz w:val="14"/>
                <w:szCs w:val="14"/>
                <w:color w:val="auto"/>
              </w:rPr>
              <w:t>64</w:t>
            </w:r>
          </w:p>
        </w:tc>
        <w:tc>
          <w:tcPr>
            <w:tcW w:w="1340" w:type="dxa"/>
            <w:vAlign w:val="bottom"/>
            <w:gridSpan w:val="2"/>
          </w:tcPr>
          <w:p>
            <w:pPr>
              <w:jc w:val="right"/>
              <w:ind w:right="376"/>
              <w:spacing w:after="0"/>
              <w:rPr>
                <w:sz w:val="20"/>
                <w:szCs w:val="20"/>
                <w:color w:val="auto"/>
              </w:rPr>
            </w:pPr>
            <w:r>
              <w:rPr>
                <w:rFonts w:ascii="Arial" w:cs="Arial" w:eastAsia="Arial" w:hAnsi="Arial"/>
                <w:sz w:val="14"/>
                <w:szCs w:val="14"/>
                <w:color w:val="auto"/>
              </w:rPr>
              <w:t>236</w:t>
            </w:r>
          </w:p>
        </w:tc>
        <w:tc>
          <w:tcPr>
            <w:tcW w:w="740" w:type="dxa"/>
            <w:vAlign w:val="bottom"/>
          </w:tcPr>
          <w:p>
            <w:pPr>
              <w:jc w:val="right"/>
              <w:ind w:right="91"/>
              <w:spacing w:after="0"/>
              <w:rPr>
                <w:sz w:val="20"/>
                <w:szCs w:val="20"/>
                <w:color w:val="auto"/>
              </w:rPr>
            </w:pPr>
            <w:r>
              <w:rPr>
                <w:rFonts w:ascii="Arial" w:cs="Arial" w:eastAsia="Arial" w:hAnsi="Arial"/>
                <w:sz w:val="14"/>
                <w:szCs w:val="14"/>
                <w:color w:val="auto"/>
              </w:rPr>
              <w:t>69</w:t>
            </w:r>
          </w:p>
        </w:tc>
        <w:tc>
          <w:tcPr>
            <w:tcW w:w="1200" w:type="dxa"/>
            <w:vAlign w:val="bottom"/>
            <w:gridSpan w:val="2"/>
          </w:tcPr>
          <w:p>
            <w:pPr>
              <w:jc w:val="right"/>
              <w:ind w:right="216"/>
              <w:spacing w:after="0"/>
              <w:rPr>
                <w:sz w:val="20"/>
                <w:szCs w:val="20"/>
                <w:color w:val="auto"/>
              </w:rPr>
            </w:pPr>
            <w:r>
              <w:rPr>
                <w:rFonts w:ascii="Arial" w:cs="Arial" w:eastAsia="Arial" w:hAnsi="Arial"/>
                <w:sz w:val="14"/>
                <w:szCs w:val="14"/>
                <w:color w:val="auto"/>
              </w:rPr>
              <w:t>250</w:t>
            </w:r>
          </w:p>
        </w:tc>
        <w:tc>
          <w:tcPr>
            <w:tcW w:w="960" w:type="dxa"/>
            <w:vAlign w:val="bottom"/>
          </w:tcPr>
          <w:p>
            <w:pPr>
              <w:jc w:val="right"/>
              <w:ind w:right="171"/>
              <w:spacing w:after="0"/>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188"/>
        </w:trPr>
        <w:tc>
          <w:tcPr>
            <w:tcW w:w="2060" w:type="dxa"/>
            <w:vAlign w:val="bottom"/>
          </w:tcPr>
          <w:p>
            <w:pPr>
              <w:ind w:left="20"/>
              <w:spacing w:after="0"/>
              <w:rPr>
                <w:sz w:val="20"/>
                <w:szCs w:val="20"/>
                <w:color w:val="auto"/>
              </w:rPr>
            </w:pPr>
            <w:r>
              <w:rPr>
                <w:rFonts w:ascii="Arial" w:cs="Arial" w:eastAsia="Arial" w:hAnsi="Arial"/>
                <w:sz w:val="14"/>
                <w:szCs w:val="14"/>
                <w:color w:val="auto"/>
              </w:rPr>
              <w:t>Non-utility, fixed-rate and</w:t>
            </w:r>
          </w:p>
        </w:tc>
        <w:tc>
          <w:tcPr>
            <w:tcW w:w="10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2060" w:type="dxa"/>
            <w:vAlign w:val="bottom"/>
            <w:tcBorders>
              <w:bottom w:val="single" w:sz="8" w:color="DFDFDF"/>
            </w:tcBorders>
          </w:tcPr>
          <w:p>
            <w:pPr>
              <w:ind w:left="240"/>
              <w:spacing w:after="0"/>
              <w:rPr>
                <w:sz w:val="20"/>
                <w:szCs w:val="20"/>
                <w:color w:val="auto"/>
              </w:rPr>
            </w:pPr>
            <w:r>
              <w:rPr>
                <w:rFonts w:ascii="Arial" w:cs="Arial" w:eastAsia="Arial" w:hAnsi="Arial"/>
                <w:sz w:val="14"/>
                <w:szCs w:val="14"/>
                <w:color w:val="auto"/>
              </w:rPr>
              <w:t>variable-rate*</w:t>
            </w:r>
          </w:p>
        </w:tc>
        <w:tc>
          <w:tcPr>
            <w:tcW w:w="1040" w:type="dxa"/>
            <w:vAlign w:val="bottom"/>
            <w:tcBorders>
              <w:bottom w:val="single" w:sz="8" w:color="DFDFDF"/>
            </w:tcBorders>
          </w:tcPr>
          <w:p>
            <w:pPr>
              <w:jc w:val="right"/>
              <w:ind w:right="191"/>
              <w:spacing w:after="0"/>
              <w:rPr>
                <w:sz w:val="20"/>
                <w:szCs w:val="20"/>
                <w:color w:val="auto"/>
              </w:rPr>
            </w:pPr>
            <w:r>
              <w:rPr>
                <w:rFonts w:ascii="Arial" w:cs="Arial" w:eastAsia="Arial" w:hAnsi="Arial"/>
                <w:sz w:val="14"/>
                <w:szCs w:val="14"/>
                <w:color w:val="auto"/>
              </w:rPr>
              <w:t>2,829</w:t>
            </w:r>
          </w:p>
        </w:tc>
        <w:tc>
          <w:tcPr>
            <w:tcW w:w="900" w:type="dxa"/>
            <w:vAlign w:val="bottom"/>
            <w:tcBorders>
              <w:bottom w:val="single" w:sz="8" w:color="DFDFDF"/>
            </w:tcBorders>
          </w:tcPr>
          <w:p>
            <w:pPr>
              <w:jc w:val="right"/>
              <w:ind w:right="91"/>
              <w:spacing w:after="0"/>
              <w:rPr>
                <w:sz w:val="20"/>
                <w:szCs w:val="20"/>
                <w:color w:val="auto"/>
              </w:rPr>
            </w:pPr>
            <w:r>
              <w:rPr>
                <w:rFonts w:ascii="Arial" w:cs="Arial" w:eastAsia="Arial" w:hAnsi="Arial"/>
                <w:sz w:val="14"/>
                <w:szCs w:val="14"/>
                <w:color w:val="auto"/>
              </w:rPr>
              <w:t>467</w:t>
            </w:r>
          </w:p>
        </w:tc>
        <w:tc>
          <w:tcPr>
            <w:tcW w:w="1340" w:type="dxa"/>
            <w:vAlign w:val="bottom"/>
            <w:tcBorders>
              <w:bottom w:val="single" w:sz="8" w:color="DFDFDF"/>
            </w:tcBorders>
            <w:gridSpan w:val="2"/>
          </w:tcPr>
          <w:p>
            <w:pPr>
              <w:jc w:val="right"/>
              <w:ind w:right="376"/>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DFDFDF"/>
            </w:tcBorders>
          </w:tcPr>
          <w:p>
            <w:pPr>
              <w:jc w:val="right"/>
              <w:ind w:right="91"/>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DFDFDF"/>
            </w:tcBorders>
            <w:gridSpan w:val="2"/>
          </w:tcPr>
          <w:p>
            <w:pPr>
              <w:jc w:val="right"/>
              <w:ind w:right="216"/>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DFDFDF"/>
            </w:tcBorders>
          </w:tcPr>
          <w:p>
            <w:pPr>
              <w:jc w:val="right"/>
              <w:ind w:right="171"/>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16" w:lineRule="exact"/>
        <w:rPr>
          <w:sz w:val="20"/>
          <w:szCs w:val="20"/>
          <w:color w:val="auto"/>
        </w:rPr>
      </w:pPr>
    </w:p>
    <w:p>
      <w:pPr>
        <w:ind w:left="1980" w:hanging="368"/>
        <w:spacing w:after="0"/>
        <w:tabs>
          <w:tab w:leader="none" w:pos="1980" w:val="left"/>
        </w:tabs>
        <w:numPr>
          <w:ilvl w:val="0"/>
          <w:numId w:val="302"/>
        </w:numPr>
        <w:rPr>
          <w:rFonts w:ascii="Arial" w:cs="Arial" w:eastAsia="Arial" w:hAnsi="Arial"/>
          <w:sz w:val="13"/>
          <w:szCs w:val="13"/>
          <w:i w:val="1"/>
          <w:iCs w:val="1"/>
          <w:color w:val="auto"/>
        </w:rPr>
      </w:pPr>
      <w:r>
        <w:rPr>
          <w:rFonts w:ascii="Arial" w:cs="Arial" w:eastAsia="Arial" w:hAnsi="Arial"/>
          <w:sz w:val="13"/>
          <w:szCs w:val="13"/>
          <w:i w:val="1"/>
          <w:iCs w:val="1"/>
          <w:color w:val="auto"/>
        </w:rPr>
        <w:t>After the effects of interest-rate swaps.</w:t>
      </w:r>
    </w:p>
    <w:p>
      <w:pPr>
        <w:spacing w:after="0" w:line="206" w:lineRule="exact"/>
        <w:rPr>
          <w:sz w:val="20"/>
          <w:szCs w:val="20"/>
          <w:color w:val="auto"/>
        </w:rPr>
      </w:pPr>
    </w:p>
    <w:p>
      <w:pPr>
        <w:ind w:right="40"/>
        <w:spacing w:after="0" w:line="277" w:lineRule="auto"/>
        <w:rPr>
          <w:sz w:val="20"/>
          <w:szCs w:val="20"/>
          <w:color w:val="auto"/>
        </w:rPr>
      </w:pPr>
      <w:r>
        <w:rPr>
          <w:rFonts w:ascii="Arial" w:cs="Arial" w:eastAsia="Arial" w:hAnsi="Arial"/>
          <w:sz w:val="16"/>
          <w:szCs w:val="16"/>
          <w:color w:val="auto"/>
        </w:rPr>
        <w:t>At December 31, 2008, the total notional amount of interest-rate swap transactions ranged from $1.1 billion to $1.4 billion at Sempra Energy and $249 million to $553 million at SDG&amp;E (ranges relate to amortizing notional</w:t>
      </w: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14"/>
          <w:szCs w:val="14"/>
          <w:color w:val="auto"/>
        </w:rPr>
        <w:t>47</w:t>
      </w:r>
    </w:p>
    <w:p>
      <w:pPr>
        <w:sectPr>
          <w:pgSz w:w="11900" w:h="16838" w:orient="portrait"/>
          <w:cols w:equalWidth="0" w:num="1">
            <w:col w:w="11380"/>
          </w:cols>
          <w:pgMar w:left="240" w:top="127" w:right="279" w:bottom="1440" w:gutter="0" w:footer="0" w:header="0"/>
        </w:sectPr>
      </w:pPr>
    </w:p>
    <w:bookmarkStart w:id="187" w:name="page188"/>
    <w:bookmarkEnd w:id="187"/>
    <w:p>
      <w:pPr>
        <w:ind w:left="4" w:right="180"/>
        <w:spacing w:after="0" w:line="277" w:lineRule="auto"/>
        <w:rPr>
          <w:sz w:val="20"/>
          <w:szCs w:val="20"/>
          <w:color w:val="auto"/>
        </w:rPr>
      </w:pPr>
      <w:r>
        <w:rPr>
          <w:rFonts w:ascii="Arial" w:cs="Arial" w:eastAsia="Arial" w:hAnsi="Arial"/>
          <w:sz w:val="16"/>
          <w:szCs w:val="16"/>
          <w:color w:val="auto"/>
        </w:rPr>
        <w:t>amounts). At December 31, 2008, SoCalGas' total notional amount of interest-rate swap transactions was $150 million. We provide further information about interest-rate swap transactions in Note 11 of the Notes to Consolidated Financial Statements.</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4"/>
          <w:szCs w:val="14"/>
          <w:color w:val="auto"/>
        </w:rPr>
        <w:t>We also are subject to the effect of interest-rate fluctuations on the assets of our pension plans, other postretirement benefit plans, and SDG&amp;E's nuclear decommissioning trusts.</w:t>
      </w:r>
    </w:p>
    <w:p>
      <w:pPr>
        <w:spacing w:after="0" w:line="44" w:lineRule="exact"/>
        <w:rPr>
          <w:sz w:val="20"/>
          <w:szCs w:val="20"/>
          <w:color w:val="auto"/>
        </w:rPr>
      </w:pPr>
    </w:p>
    <w:p>
      <w:pPr>
        <w:ind w:left="4"/>
        <w:spacing w:after="0"/>
        <w:rPr>
          <w:sz w:val="20"/>
          <w:szCs w:val="20"/>
          <w:color w:val="auto"/>
        </w:rPr>
      </w:pPr>
      <w:r>
        <w:rPr>
          <w:rFonts w:ascii="Arial" w:cs="Arial" w:eastAsia="Arial" w:hAnsi="Arial"/>
          <w:sz w:val="16"/>
          <w:szCs w:val="16"/>
          <w:color w:val="auto"/>
        </w:rPr>
        <w:t>However, we expect the effects of these fluctuations, as they relate to the Sempra Utilities, to be passed on to customers.</w:t>
      </w:r>
    </w:p>
    <w:p>
      <w:pPr>
        <w:spacing w:after="0" w:line="162" w:lineRule="exact"/>
        <w:rPr>
          <w:sz w:val="20"/>
          <w:szCs w:val="20"/>
          <w:color w:val="auto"/>
        </w:rPr>
      </w:pPr>
    </w:p>
    <w:p>
      <w:pPr>
        <w:ind w:left="4"/>
        <w:spacing w:after="0"/>
        <w:rPr>
          <w:sz w:val="20"/>
          <w:szCs w:val="20"/>
          <w:color w:val="auto"/>
        </w:rPr>
      </w:pPr>
      <w:r>
        <w:rPr>
          <w:rFonts w:ascii="Arial" w:cs="Arial" w:eastAsia="Arial" w:hAnsi="Arial"/>
          <w:sz w:val="18"/>
          <w:szCs w:val="18"/>
          <w:b w:val="1"/>
          <w:bCs w:val="1"/>
          <w:i w:val="1"/>
          <w:iCs w:val="1"/>
          <w:color w:val="auto"/>
        </w:rPr>
        <w:t>Credit Risk</w:t>
      </w:r>
    </w:p>
    <w:p>
      <w:pPr>
        <w:spacing w:after="0" w:line="23" w:lineRule="exact"/>
        <w:rPr>
          <w:sz w:val="20"/>
          <w:szCs w:val="20"/>
          <w:color w:val="auto"/>
        </w:rPr>
      </w:pPr>
    </w:p>
    <w:p>
      <w:pPr>
        <w:ind w:left="4" w:right="100"/>
        <w:spacing w:after="0" w:line="264" w:lineRule="auto"/>
        <w:rPr>
          <w:sz w:val="20"/>
          <w:szCs w:val="20"/>
          <w:color w:val="auto"/>
        </w:rPr>
      </w:pPr>
      <w:r>
        <w:rPr>
          <w:rFonts w:ascii="Arial" w:cs="Arial" w:eastAsia="Arial" w:hAnsi="Arial"/>
          <w:sz w:val="16"/>
          <w:szCs w:val="16"/>
          <w:color w:val="auto"/>
        </w:rPr>
        <w:t>Credit risk is the risk of loss that would be incurred as a result of nonperformance of our counterparties' contractual obligations. We monitor credit risk through a credit-approval process and the assignment and monitoring of credit limits. We establish these credit limits based on risk and return considerations under terms customarily available in the industry.</w:t>
      </w:r>
    </w:p>
    <w:p>
      <w:pPr>
        <w:spacing w:after="0" w:line="42" w:lineRule="exact"/>
        <w:rPr>
          <w:sz w:val="20"/>
          <w:szCs w:val="20"/>
          <w:color w:val="auto"/>
        </w:rPr>
      </w:pPr>
    </w:p>
    <w:p>
      <w:pPr>
        <w:ind w:left="4" w:right="40"/>
        <w:spacing w:after="0" w:line="277" w:lineRule="auto"/>
        <w:rPr>
          <w:sz w:val="20"/>
          <w:szCs w:val="20"/>
          <w:color w:val="auto"/>
        </w:rPr>
      </w:pPr>
      <w:r>
        <w:rPr>
          <w:rFonts w:ascii="Arial" w:cs="Arial" w:eastAsia="Arial" w:hAnsi="Arial"/>
          <w:sz w:val="16"/>
          <w:szCs w:val="16"/>
          <w:color w:val="auto"/>
        </w:rPr>
        <w:t>As with market risk, we have policies that govern the management of credit risk, which are administered by the respective credit departments for each of the Sempra Utilities and for all non-CPUC regulated affiliates and overseen by their separate risk management committees.</w:t>
      </w:r>
    </w:p>
    <w:p>
      <w:pPr>
        <w:spacing w:after="0" w:line="32" w:lineRule="exact"/>
        <w:rPr>
          <w:sz w:val="20"/>
          <w:szCs w:val="20"/>
          <w:color w:val="auto"/>
        </w:rPr>
      </w:pPr>
    </w:p>
    <w:p>
      <w:pPr>
        <w:ind w:left="4" w:right="140"/>
        <w:spacing w:after="0" w:line="313" w:lineRule="auto"/>
        <w:rPr>
          <w:sz w:val="20"/>
          <w:szCs w:val="20"/>
          <w:color w:val="auto"/>
        </w:rPr>
      </w:pPr>
      <w:r>
        <w:rPr>
          <w:rFonts w:ascii="Arial" w:cs="Arial" w:eastAsia="Arial" w:hAnsi="Arial"/>
          <w:sz w:val="14"/>
          <w:szCs w:val="14"/>
          <w:color w:val="auto"/>
        </w:rPr>
        <w:t>This oversight includes calculating current and potential credit risk on a daily basis and monitoring actual balances in comparison to approved limits. We avoid concentration of counterparties whenever possible, and we believe our credit policies significantly reduce overall credit risk. These policies include an evaluation of the following:</w:t>
      </w:r>
    </w:p>
    <w:p>
      <w:pPr>
        <w:spacing w:after="0" w:line="1" w:lineRule="exact"/>
        <w:rPr>
          <w:sz w:val="20"/>
          <w:szCs w:val="20"/>
          <w:color w:val="auto"/>
        </w:rPr>
      </w:pPr>
    </w:p>
    <w:p>
      <w:pPr>
        <w:ind w:left="144" w:hanging="144"/>
        <w:spacing w:after="0"/>
        <w:tabs>
          <w:tab w:leader="none" w:pos="144" w:val="left"/>
        </w:tabs>
        <w:numPr>
          <w:ilvl w:val="0"/>
          <w:numId w:val="303"/>
        </w:numPr>
        <w:rPr>
          <w:rFonts w:ascii="Arial" w:cs="Arial" w:eastAsia="Arial" w:hAnsi="Arial"/>
          <w:sz w:val="16"/>
          <w:szCs w:val="16"/>
          <w:color w:val="auto"/>
        </w:rPr>
      </w:pPr>
      <w:r>
        <w:rPr>
          <w:rFonts w:ascii="Arial" w:cs="Arial" w:eastAsia="Arial" w:hAnsi="Arial"/>
          <w:sz w:val="16"/>
          <w:szCs w:val="16"/>
          <w:color w:val="auto"/>
        </w:rPr>
        <w:t>prospective counterparties' financial condition (including credit ratings)</w:t>
      </w:r>
    </w:p>
    <w:p>
      <w:pPr>
        <w:spacing w:after="0" w:line="44" w:lineRule="exact"/>
        <w:rPr>
          <w:rFonts w:ascii="Arial" w:cs="Arial" w:eastAsia="Arial" w:hAnsi="Arial"/>
          <w:sz w:val="16"/>
          <w:szCs w:val="16"/>
          <w:color w:val="auto"/>
        </w:rPr>
      </w:pPr>
    </w:p>
    <w:p>
      <w:pPr>
        <w:ind w:left="144" w:hanging="144"/>
        <w:spacing w:after="0"/>
        <w:tabs>
          <w:tab w:leader="none" w:pos="144" w:val="left"/>
        </w:tabs>
        <w:numPr>
          <w:ilvl w:val="0"/>
          <w:numId w:val="303"/>
        </w:numPr>
        <w:rPr>
          <w:rFonts w:ascii="Arial" w:cs="Arial" w:eastAsia="Arial" w:hAnsi="Arial"/>
          <w:sz w:val="16"/>
          <w:szCs w:val="16"/>
          <w:color w:val="auto"/>
        </w:rPr>
      </w:pPr>
      <w:r>
        <w:rPr>
          <w:rFonts w:ascii="Arial" w:cs="Arial" w:eastAsia="Arial" w:hAnsi="Arial"/>
          <w:sz w:val="16"/>
          <w:szCs w:val="16"/>
          <w:color w:val="auto"/>
        </w:rPr>
        <w:t>collateral requirements under certain circumstances</w:t>
      </w:r>
    </w:p>
    <w:p>
      <w:pPr>
        <w:spacing w:after="0" w:line="44" w:lineRule="exact"/>
        <w:rPr>
          <w:rFonts w:ascii="Arial" w:cs="Arial" w:eastAsia="Arial" w:hAnsi="Arial"/>
          <w:sz w:val="16"/>
          <w:szCs w:val="16"/>
          <w:color w:val="auto"/>
        </w:rPr>
      </w:pPr>
    </w:p>
    <w:p>
      <w:pPr>
        <w:ind w:left="144" w:hanging="144"/>
        <w:spacing w:after="0"/>
        <w:tabs>
          <w:tab w:leader="none" w:pos="144" w:val="left"/>
        </w:tabs>
        <w:numPr>
          <w:ilvl w:val="0"/>
          <w:numId w:val="303"/>
        </w:numPr>
        <w:rPr>
          <w:rFonts w:ascii="Arial" w:cs="Arial" w:eastAsia="Arial" w:hAnsi="Arial"/>
          <w:sz w:val="16"/>
          <w:szCs w:val="16"/>
          <w:color w:val="auto"/>
        </w:rPr>
      </w:pPr>
      <w:r>
        <w:rPr>
          <w:rFonts w:ascii="Arial" w:cs="Arial" w:eastAsia="Arial" w:hAnsi="Arial"/>
          <w:sz w:val="16"/>
          <w:szCs w:val="16"/>
          <w:color w:val="auto"/>
        </w:rPr>
        <w:t>the use of standardized agreements that allow for the netting of positive and negative exposures associated with a single counterparty</w:t>
      </w:r>
    </w:p>
    <w:p>
      <w:pPr>
        <w:spacing w:after="0" w:line="44" w:lineRule="exact"/>
        <w:rPr>
          <w:rFonts w:ascii="Arial" w:cs="Arial" w:eastAsia="Arial" w:hAnsi="Arial"/>
          <w:sz w:val="16"/>
          <w:szCs w:val="16"/>
          <w:color w:val="auto"/>
        </w:rPr>
      </w:pPr>
    </w:p>
    <w:p>
      <w:pPr>
        <w:ind w:left="144" w:hanging="144"/>
        <w:spacing w:after="0"/>
        <w:tabs>
          <w:tab w:leader="none" w:pos="144" w:val="left"/>
        </w:tabs>
        <w:numPr>
          <w:ilvl w:val="0"/>
          <w:numId w:val="303"/>
        </w:numPr>
        <w:rPr>
          <w:rFonts w:ascii="Arial" w:cs="Arial" w:eastAsia="Arial" w:hAnsi="Arial"/>
          <w:sz w:val="16"/>
          <w:szCs w:val="16"/>
          <w:color w:val="auto"/>
        </w:rPr>
      </w:pPr>
      <w:r>
        <w:rPr>
          <w:rFonts w:ascii="Arial" w:cs="Arial" w:eastAsia="Arial" w:hAnsi="Arial"/>
          <w:sz w:val="16"/>
          <w:szCs w:val="16"/>
          <w:color w:val="auto"/>
        </w:rPr>
        <w:t>other security such as lock-box liens and downgrade triggers</w:t>
      </w:r>
    </w:p>
    <w:p>
      <w:pPr>
        <w:spacing w:after="0" w:line="128" w:lineRule="exact"/>
        <w:rPr>
          <w:sz w:val="20"/>
          <w:szCs w:val="20"/>
          <w:color w:val="auto"/>
        </w:rPr>
      </w:pPr>
    </w:p>
    <w:p>
      <w:pPr>
        <w:ind w:left="4"/>
        <w:spacing w:after="0"/>
        <w:rPr>
          <w:sz w:val="20"/>
          <w:szCs w:val="20"/>
          <w:color w:val="auto"/>
        </w:rPr>
      </w:pPr>
      <w:r>
        <w:rPr>
          <w:rFonts w:ascii="Arial" w:cs="Arial" w:eastAsia="Arial" w:hAnsi="Arial"/>
          <w:sz w:val="16"/>
          <w:szCs w:val="16"/>
          <w:color w:val="auto"/>
        </w:rPr>
        <w:t>We believe that we have provided adequate reserves for counterparty nonperformance.</w:t>
      </w:r>
    </w:p>
    <w:p>
      <w:pPr>
        <w:spacing w:after="0" w:line="80" w:lineRule="exact"/>
        <w:rPr>
          <w:sz w:val="20"/>
          <w:szCs w:val="20"/>
          <w:color w:val="auto"/>
        </w:rPr>
      </w:pPr>
    </w:p>
    <w:p>
      <w:pPr>
        <w:ind w:left="4" w:right="20"/>
        <w:spacing w:after="0" w:line="264" w:lineRule="auto"/>
        <w:rPr>
          <w:sz w:val="20"/>
          <w:szCs w:val="20"/>
          <w:color w:val="auto"/>
        </w:rPr>
      </w:pPr>
      <w:r>
        <w:rPr>
          <w:rFonts w:ascii="Arial" w:cs="Arial" w:eastAsia="Arial" w:hAnsi="Arial"/>
          <w:sz w:val="16"/>
          <w:szCs w:val="16"/>
          <w:color w:val="auto"/>
        </w:rPr>
        <w:t>As we describe in Note 16 of the Notes to Consolidated Financial Statements, Sempra Generation has a contract with the DWR to supply up to 1,900 MW of power to the state of California over 10 years, which began in 2001. This contract results in a significant potential nonperformance exposure with a single counterparty; however, this risk has been addressed and mitigated by the liquidated damages provision of the contract.</w:t>
      </w:r>
    </w:p>
    <w:p>
      <w:pPr>
        <w:spacing w:after="0" w:line="42" w:lineRule="exact"/>
        <w:rPr>
          <w:sz w:val="20"/>
          <w:szCs w:val="20"/>
          <w:color w:val="auto"/>
        </w:rPr>
      </w:pPr>
    </w:p>
    <w:p>
      <w:pPr>
        <w:ind w:left="4" w:right="140"/>
        <w:spacing w:after="0" w:line="319" w:lineRule="auto"/>
        <w:rPr>
          <w:sz w:val="20"/>
          <w:szCs w:val="20"/>
          <w:color w:val="auto"/>
        </w:rPr>
      </w:pPr>
      <w:r>
        <w:rPr>
          <w:rFonts w:ascii="Arial" w:cs="Arial" w:eastAsia="Arial" w:hAnsi="Arial"/>
          <w:sz w:val="14"/>
          <w:szCs w:val="14"/>
          <w:color w:val="auto"/>
        </w:rPr>
        <w:t>When they become operational, development projects at Sempra Global rely significantly on the ability of their suppliers to perform on long-term agreements and on our ability to enforce contract terms in the event of nonperformance. Also, the factors that we consider in evaluating a development project include negotiating customer and supplier agreements and, therefore, we rely on these agreements for future performance. We also may base our decision to go forward on development projects on these agreements.</w:t>
      </w:r>
    </w:p>
    <w:p>
      <w:pPr>
        <w:spacing w:after="0" w:line="7" w:lineRule="exact"/>
        <w:rPr>
          <w:sz w:val="20"/>
          <w:szCs w:val="20"/>
          <w:color w:val="auto"/>
        </w:rPr>
      </w:pPr>
    </w:p>
    <w:p>
      <w:pPr>
        <w:ind w:left="4" w:right="60"/>
        <w:spacing w:after="0" w:line="277" w:lineRule="auto"/>
        <w:rPr>
          <w:sz w:val="20"/>
          <w:szCs w:val="20"/>
          <w:color w:val="auto"/>
        </w:rPr>
      </w:pPr>
      <w:r>
        <w:rPr>
          <w:rFonts w:ascii="Arial" w:cs="Arial" w:eastAsia="Arial" w:hAnsi="Arial"/>
          <w:sz w:val="16"/>
          <w:szCs w:val="16"/>
          <w:color w:val="auto"/>
        </w:rPr>
        <w:t>As noted above under "Interest Rate Risk," we periodically enter into interest-rate swap agreements to moderate exposure to interest-rate changes and to lower the overall cost of borrowing. We would be exposed to interest-rate fluctuations on the underlying debt should a counterparty to the swap fail to perform.</w:t>
      </w:r>
    </w:p>
    <w:p>
      <w:pPr>
        <w:spacing w:after="0" w:line="126" w:lineRule="exact"/>
        <w:rPr>
          <w:sz w:val="20"/>
          <w:szCs w:val="20"/>
          <w:color w:val="auto"/>
        </w:rPr>
      </w:pPr>
    </w:p>
    <w:p>
      <w:pPr>
        <w:ind w:left="4"/>
        <w:spacing w:after="0"/>
        <w:rPr>
          <w:sz w:val="20"/>
          <w:szCs w:val="20"/>
          <w:color w:val="auto"/>
        </w:rPr>
      </w:pPr>
      <w:r>
        <w:rPr>
          <w:rFonts w:ascii="Arial" w:cs="Arial" w:eastAsia="Arial" w:hAnsi="Arial"/>
          <w:sz w:val="18"/>
          <w:szCs w:val="18"/>
          <w:b w:val="1"/>
          <w:bCs w:val="1"/>
          <w:i w:val="1"/>
          <w:iCs w:val="1"/>
          <w:color w:val="auto"/>
        </w:rPr>
        <w:t>Foreign Currency Rate Risk</w:t>
      </w:r>
    </w:p>
    <w:p>
      <w:pPr>
        <w:spacing w:after="0" w:line="23" w:lineRule="exact"/>
        <w:rPr>
          <w:sz w:val="20"/>
          <w:szCs w:val="20"/>
          <w:color w:val="auto"/>
        </w:rPr>
      </w:pPr>
    </w:p>
    <w:p>
      <w:pPr>
        <w:ind w:left="4"/>
        <w:spacing w:after="0" w:line="255" w:lineRule="auto"/>
        <w:rPr>
          <w:sz w:val="20"/>
          <w:szCs w:val="20"/>
          <w:color w:val="auto"/>
        </w:rPr>
      </w:pPr>
      <w:r>
        <w:rPr>
          <w:rFonts w:ascii="Arial" w:cs="Arial" w:eastAsia="Arial" w:hAnsi="Arial"/>
          <w:sz w:val="16"/>
          <w:szCs w:val="16"/>
          <w:color w:val="auto"/>
        </w:rPr>
        <w:t>We have investments in entities whose functional currency is not the U.S. dollar, exposing us to foreign exchange movements, primarily in Latin American currencies. For example, as a result of the devaluation of the Argentine peso that began at the end of 2001, Sempra Pipelines &amp; Storage has reduced the carrying value of its Argentine investments downward by a cumulative total of $270 million as of December 31, 2008. In addition, Sempra Pipelines &amp; Storage had reduced the carrying value of other Latin American investments by a cumulative total of $108 million as of December 31, 2008. These noncash adjustments continue to occur based on fluctuations in the functional currencies and generally do not affect net income, but affect other comprehensive income and accumulated other comprehensive income (loss). However, in 2006, the impairment of the Argentine investments reflected the cumulative effect of currency translation adjustments. We provide further discussion in Note 4 of the Notes to Consolidated Financial Statements.</w:t>
      </w:r>
    </w:p>
    <w:p>
      <w:pPr>
        <w:spacing w:after="0" w:line="200" w:lineRule="exact"/>
        <w:rPr>
          <w:sz w:val="20"/>
          <w:szCs w:val="20"/>
          <w:color w:val="auto"/>
        </w:rPr>
      </w:pPr>
    </w:p>
    <w:p>
      <w:pPr>
        <w:spacing w:after="0" w:line="310" w:lineRule="exact"/>
        <w:rPr>
          <w:sz w:val="20"/>
          <w:szCs w:val="20"/>
          <w:color w:val="auto"/>
        </w:rPr>
      </w:pPr>
    </w:p>
    <w:p>
      <w:pPr>
        <w:ind w:left="4"/>
        <w:spacing w:after="0"/>
        <w:rPr>
          <w:sz w:val="20"/>
          <w:szCs w:val="20"/>
          <w:color w:val="auto"/>
        </w:rPr>
      </w:pPr>
      <w:r>
        <w:rPr>
          <w:rFonts w:ascii="Arial" w:cs="Arial" w:eastAsia="Arial" w:hAnsi="Arial"/>
          <w:sz w:val="14"/>
          <w:szCs w:val="14"/>
          <w:color w:val="auto"/>
        </w:rPr>
        <w:t>48</w:t>
      </w:r>
    </w:p>
    <w:p>
      <w:pPr>
        <w:sectPr>
          <w:pgSz w:w="11900" w:h="16838" w:orient="portrait"/>
          <w:cols w:equalWidth="0" w:num="1">
            <w:col w:w="11424"/>
          </w:cols>
          <w:pgMar w:left="236" w:top="128" w:right="239" w:bottom="1440" w:gutter="0" w:footer="0" w:header="0"/>
        </w:sectPr>
      </w:pPr>
    </w:p>
    <w:bookmarkStart w:id="188" w:name="page189"/>
    <w:bookmarkEnd w:id="188"/>
    <w:p>
      <w:pPr>
        <w:ind w:right="140"/>
        <w:spacing w:after="0" w:line="264" w:lineRule="auto"/>
        <w:rPr>
          <w:sz w:val="20"/>
          <w:szCs w:val="20"/>
          <w:color w:val="auto"/>
        </w:rPr>
      </w:pPr>
      <w:r>
        <w:rPr>
          <w:rFonts w:ascii="Arial" w:cs="Arial" w:eastAsia="Arial" w:hAnsi="Arial"/>
          <w:sz w:val="16"/>
          <w:szCs w:val="16"/>
          <w:color w:val="auto"/>
        </w:rPr>
        <w:t>The Mexican subsidiaries have U.S. dollar receivables and payables that give rise to foreign exchange movements for Mexican tax purposes. In addition, monetary assets and liabilities are adjusted for inflation for Mexican tax purposes. The fluctuations in foreign currency and inflation are subject to Mexican taxes and expose us to significant fluctuations in tax expense from changes in the exchange and inflation rates in Mexico.</w:t>
      </w:r>
    </w:p>
    <w:p>
      <w:pPr>
        <w:spacing w:after="0" w:line="42" w:lineRule="exact"/>
        <w:rPr>
          <w:sz w:val="20"/>
          <w:szCs w:val="20"/>
          <w:color w:val="auto"/>
        </w:rPr>
      </w:pPr>
    </w:p>
    <w:p>
      <w:pPr>
        <w:ind w:right="40"/>
        <w:spacing w:after="0" w:line="277" w:lineRule="auto"/>
        <w:rPr>
          <w:sz w:val="20"/>
          <w:szCs w:val="20"/>
          <w:color w:val="auto"/>
        </w:rPr>
      </w:pPr>
      <w:r>
        <w:rPr>
          <w:rFonts w:ascii="Arial" w:cs="Arial" w:eastAsia="Arial" w:hAnsi="Arial"/>
          <w:sz w:val="16"/>
          <w:szCs w:val="16"/>
          <w:color w:val="auto"/>
        </w:rPr>
        <w:t>Our primary objective in reducing foreign currency risk is to preserve the economic value of our overseas investments and to reduce net income volatility that would otherwise occur due to exchange-rate fluctuations.</w:t>
      </w:r>
    </w:p>
    <w:p>
      <w:pPr>
        <w:spacing w:after="0" w:line="32" w:lineRule="exact"/>
        <w:rPr>
          <w:sz w:val="20"/>
          <w:szCs w:val="20"/>
          <w:color w:val="auto"/>
        </w:rPr>
      </w:pPr>
    </w:p>
    <w:p>
      <w:pPr>
        <w:jc w:val="both"/>
        <w:ind w:right="260"/>
        <w:spacing w:after="0" w:line="264" w:lineRule="auto"/>
        <w:rPr>
          <w:sz w:val="20"/>
          <w:szCs w:val="20"/>
          <w:color w:val="auto"/>
        </w:rPr>
      </w:pPr>
      <w:r>
        <w:rPr>
          <w:rFonts w:ascii="Arial" w:cs="Arial" w:eastAsia="Arial" w:hAnsi="Arial"/>
          <w:sz w:val="16"/>
          <w:szCs w:val="16"/>
          <w:color w:val="auto"/>
        </w:rPr>
        <w:t>Our net investment in our Latin American operating companies and the resulting cash flows are partially protected against normal exchange-rate fluctuations by rate-setting mechanisms that are intended to compensate for local inflation and currency exchange-rate fluctuations. In addition, we offset material cross-currency transactions and net income exposure through various means, including financial instruments and short-term investments.</w:t>
      </w:r>
    </w:p>
    <w:p>
      <w:pPr>
        <w:spacing w:after="0" w:line="42" w:lineRule="exact"/>
        <w:rPr>
          <w:sz w:val="20"/>
          <w:szCs w:val="20"/>
          <w:color w:val="auto"/>
        </w:rPr>
      </w:pPr>
    </w:p>
    <w:p>
      <w:pPr>
        <w:spacing w:after="0"/>
        <w:rPr>
          <w:sz w:val="20"/>
          <w:szCs w:val="20"/>
          <w:color w:val="auto"/>
        </w:rPr>
      </w:pPr>
      <w:r>
        <w:rPr>
          <w:rFonts w:ascii="Arial" w:cs="Arial" w:eastAsia="Arial" w:hAnsi="Arial"/>
          <w:sz w:val="15"/>
          <w:szCs w:val="15"/>
          <w:color w:val="auto"/>
        </w:rPr>
        <w:t>Because we do not hedge our net investment in foreign countries, we are susceptible to volatility in other comprehensive income caused by exchange-rate fluctuations.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241935</wp:posOffset>
            </wp:positionV>
            <wp:extent cx="7261860" cy="762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CRITICAL ACCOUNTING POLICIES AND ESTIMATES, AND KEY NONCASH PERFORMANCE INDICATORS</w:t>
      </w:r>
    </w:p>
    <w:p>
      <w:pPr>
        <w:spacing w:after="0" w:line="60" w:lineRule="exact"/>
        <w:rPr>
          <w:sz w:val="20"/>
          <w:szCs w:val="20"/>
          <w:color w:val="auto"/>
        </w:rPr>
      </w:pPr>
    </w:p>
    <w:p>
      <w:pPr>
        <w:ind w:right="340"/>
        <w:spacing w:after="0" w:line="277" w:lineRule="auto"/>
        <w:rPr>
          <w:sz w:val="20"/>
          <w:szCs w:val="20"/>
          <w:color w:val="auto"/>
        </w:rPr>
      </w:pPr>
      <w:r>
        <w:rPr>
          <w:rFonts w:ascii="Arial" w:cs="Arial" w:eastAsia="Arial" w:hAnsi="Arial"/>
          <w:sz w:val="16"/>
          <w:szCs w:val="16"/>
          <w:color w:val="auto"/>
        </w:rPr>
        <w:t>Management views certain accounting policies as critical because their application is the most relevant, judgmental, and/or material to our financial position and results of operations, and/or because they require the use of material judgments and estimates.</w:t>
      </w:r>
    </w:p>
    <w:p>
      <w:pPr>
        <w:spacing w:after="0" w:line="32" w:lineRule="exact"/>
        <w:rPr>
          <w:sz w:val="20"/>
          <w:szCs w:val="20"/>
          <w:color w:val="auto"/>
        </w:rPr>
      </w:pPr>
    </w:p>
    <w:p>
      <w:pPr>
        <w:spacing w:after="0" w:line="312" w:lineRule="auto"/>
        <w:rPr>
          <w:sz w:val="20"/>
          <w:szCs w:val="20"/>
          <w:color w:val="auto"/>
        </w:rPr>
      </w:pPr>
      <w:r>
        <w:rPr>
          <w:rFonts w:ascii="Arial" w:cs="Arial" w:eastAsia="Arial" w:hAnsi="Arial"/>
          <w:sz w:val="15"/>
          <w:szCs w:val="15"/>
          <w:color w:val="auto"/>
        </w:rPr>
        <w:t>We describe our significant accounting policies in Note 1 of the Notes to Consolidated Financial Statements. We discuss choices among alternative accounting policies that are material to our financial statements and information concerning significant estimates with the audit committee of the Sempra Energy board of directors.</w:t>
      </w:r>
    </w:p>
    <w:p>
      <w:pPr>
        <w:spacing w:after="0" w:line="8" w:lineRule="exact"/>
        <w:rPr>
          <w:sz w:val="20"/>
          <w:szCs w:val="20"/>
          <w:color w:val="auto"/>
        </w:rPr>
      </w:pPr>
    </w:p>
    <w:p>
      <w:pPr>
        <w:spacing w:after="0"/>
        <w:rPr>
          <w:sz w:val="20"/>
          <w:szCs w:val="20"/>
          <w:color w:val="auto"/>
        </w:rPr>
      </w:pPr>
      <w:r>
        <w:rPr>
          <w:rFonts w:ascii="Arial" w:cs="Arial" w:eastAsia="Arial" w:hAnsi="Arial"/>
          <w:sz w:val="14"/>
          <w:szCs w:val="14"/>
          <w:color w:val="auto"/>
        </w:rPr>
        <w:t>The most critical policies, all of which are mandatory under generally accepted accounting principles in the United States of America and the regulations of the Securities and</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Exchange Commission, appear in the table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1202690</wp:posOffset>
            </wp:positionH>
            <wp:positionV relativeFrom="paragraph">
              <wp:posOffset>188595</wp:posOffset>
            </wp:positionV>
            <wp:extent cx="4859020" cy="13716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4859020" cy="137160"/>
                    </a:xfrm>
                    <a:prstGeom prst="rect">
                      <a:avLst/>
                    </a:prstGeom>
                    <a:noFill/>
                  </pic:spPr>
                </pic:pic>
              </a:graphicData>
            </a:graphic>
          </wp:anchor>
        </w:drawing>
      </w:r>
    </w:p>
    <w:p>
      <w:pPr>
        <w:spacing w:after="0" w:line="280" w:lineRule="exact"/>
        <w:rPr>
          <w:sz w:val="20"/>
          <w:szCs w:val="20"/>
          <w:color w:val="auto"/>
        </w:rPr>
      </w:pPr>
    </w:p>
    <w:p>
      <w:pPr>
        <w:ind w:left="1900"/>
        <w:spacing w:after="0"/>
        <w:rPr>
          <w:sz w:val="20"/>
          <w:szCs w:val="20"/>
          <w:color w:val="auto"/>
        </w:rPr>
      </w:pPr>
      <w:r>
        <w:rPr>
          <w:rFonts w:ascii="Arial" w:cs="Arial" w:eastAsia="Arial" w:hAnsi="Arial"/>
          <w:sz w:val="16"/>
          <w:szCs w:val="16"/>
          <w:b w:val="1"/>
          <w:bCs w:val="1"/>
          <w:color w:val="auto"/>
        </w:rPr>
        <w:t>CRITICAL ACCOUNTING POLICIES</w:t>
      </w:r>
    </w:p>
    <w:p>
      <w:pPr>
        <w:spacing w:after="0" w:line="29" w:lineRule="exact"/>
        <w:rPr>
          <w:sz w:val="20"/>
          <w:szCs w:val="20"/>
          <w:color w:val="auto"/>
        </w:rPr>
      </w:pPr>
    </w:p>
    <w:p>
      <w:pPr>
        <w:ind w:left="1900"/>
        <w:spacing w:after="0"/>
        <w:rPr>
          <w:sz w:val="20"/>
          <w:szCs w:val="20"/>
          <w:color w:val="auto"/>
        </w:rPr>
      </w:pPr>
      <w:r>
        <w:rPr>
          <w:rFonts w:ascii="Arial" w:cs="Arial" w:eastAsia="Arial" w:hAnsi="Arial"/>
          <w:sz w:val="14"/>
          <w:szCs w:val="14"/>
          <w:b w:val="1"/>
          <w:bCs w:val="1"/>
          <w:color w:val="auto"/>
        </w:rPr>
        <w:t>SEMPRA ENERGY, SDG&amp;E AND SOCALGAS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1202690</wp:posOffset>
            </wp:positionH>
            <wp:positionV relativeFrom="paragraph">
              <wp:posOffset>19685</wp:posOffset>
            </wp:positionV>
            <wp:extent cx="4859020" cy="762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4859020" cy="7620"/>
                    </a:xfrm>
                    <a:prstGeom prst="rect">
                      <a:avLst/>
                    </a:prstGeom>
                    <a:noFill/>
                  </pic:spPr>
                </pic:pic>
              </a:graphicData>
            </a:graphic>
          </wp:anchor>
        </w:drawing>
      </w:r>
    </w:p>
    <w:p>
      <w:pPr>
        <w:spacing w:after="0" w:line="19" w:lineRule="exact"/>
        <w:rPr>
          <w:sz w:val="20"/>
          <w:szCs w:val="20"/>
          <w:color w:val="auto"/>
        </w:rPr>
      </w:pPr>
    </w:p>
    <w:p>
      <w:pPr>
        <w:ind w:left="1900"/>
        <w:spacing w:after="0"/>
        <w:rPr>
          <w:sz w:val="20"/>
          <w:szCs w:val="20"/>
          <w:color w:val="auto"/>
        </w:rPr>
      </w:pPr>
      <w:r>
        <w:rPr>
          <w:rFonts w:ascii="Arial" w:cs="Arial" w:eastAsia="Arial" w:hAnsi="Arial"/>
          <w:sz w:val="14"/>
          <w:szCs w:val="14"/>
          <w:b w:val="1"/>
          <w:bCs w:val="1"/>
          <w:color w:val="auto"/>
        </w:rPr>
        <w:t>CONTINGENCIES</w:t>
      </w:r>
    </w:p>
    <w:p>
      <w:pPr>
        <w:spacing w:after="0" w:line="31" w:lineRule="exact"/>
        <w:rPr>
          <w:sz w:val="20"/>
          <w:szCs w:val="20"/>
          <w:color w:val="auto"/>
        </w:rPr>
      </w:pPr>
    </w:p>
    <w:p>
      <w:pPr>
        <w:jc w:val="both"/>
        <w:ind w:left="1900" w:right="2360"/>
        <w:spacing w:after="0" w:line="272" w:lineRule="auto"/>
        <w:rPr>
          <w:sz w:val="20"/>
          <w:szCs w:val="20"/>
          <w:color w:val="auto"/>
        </w:rPr>
      </w:pPr>
      <w:r>
        <w:rPr>
          <w:rFonts w:ascii="Arial" w:cs="Arial" w:eastAsia="Arial" w:hAnsi="Arial"/>
          <w:sz w:val="14"/>
          <w:szCs w:val="14"/>
          <w:b w:val="1"/>
          <w:bCs w:val="1"/>
          <w:color w:val="auto"/>
        </w:rPr>
        <w:t xml:space="preserve">Statement of Financial Accounting Standards (SFAS) 5, </w:t>
      </w:r>
      <w:r>
        <w:rPr>
          <w:rFonts w:ascii="Arial" w:cs="Arial" w:eastAsia="Arial" w:hAnsi="Arial"/>
          <w:sz w:val="14"/>
          <w:szCs w:val="14"/>
          <w:b w:val="1"/>
          <w:bCs w:val="1"/>
          <w:i w:val="1"/>
          <w:iCs w:val="1"/>
          <w:color w:val="auto"/>
        </w:rPr>
        <w:t>Accounting for Contingencies</w:t>
      </w:r>
      <w:r>
        <w:rPr>
          <w:rFonts w:ascii="Arial" w:cs="Arial" w:eastAsia="Arial" w:hAnsi="Arial"/>
          <w:sz w:val="14"/>
          <w:szCs w:val="14"/>
          <w:b w:val="1"/>
          <w:bCs w:val="1"/>
          <w:color w:val="auto"/>
        </w:rPr>
        <w:t>, establishes the amounts and timing of when we provide for contingent losses. We continuously assess potential loss contingencies for litigation claims, environmental remediation and other events.</w:t>
      </w:r>
    </w:p>
    <w:p>
      <w:pPr>
        <w:spacing w:after="0" w:line="14" w:lineRule="exact"/>
        <w:rPr>
          <w:sz w:val="20"/>
          <w:szCs w:val="20"/>
          <w:color w:val="auto"/>
        </w:rPr>
      </w:pPr>
    </w:p>
    <w:tbl>
      <w:tblPr>
        <w:tblLayout w:type="fixed"/>
        <w:tblInd w:w="1910" w:type="dxa"/>
        <w:tblCellMar>
          <w:top w:w="0" w:type="dxa"/>
          <w:left w:w="0" w:type="dxa"/>
          <w:bottom w:w="0" w:type="dxa"/>
          <w:right w:w="0" w:type="dxa"/>
        </w:tblCellMar>
      </w:tblPr>
      <w:tr>
        <w:trPr>
          <w:trHeight w:val="184"/>
        </w:trPr>
        <w:tc>
          <w:tcPr>
            <w:tcW w:w="1320" w:type="dxa"/>
            <w:vAlign w:val="bottom"/>
            <w:tcBorders>
              <w:top w:val="single" w:sz="8" w:color="auto"/>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Assumptions &amp;</w:t>
            </w:r>
          </w:p>
        </w:tc>
        <w:tc>
          <w:tcPr>
            <w:tcW w:w="6340" w:type="dxa"/>
            <w:vAlign w:val="bottom"/>
            <w:tcBorders>
              <w:top w:val="single" w:sz="8" w:color="auto"/>
              <w:right w:val="single" w:sz="8" w:color="auto"/>
            </w:tcBorders>
          </w:tcPr>
          <w:p>
            <w:pPr>
              <w:ind w:left="260"/>
              <w:spacing w:after="0"/>
              <w:rPr>
                <w:sz w:val="20"/>
                <w:szCs w:val="20"/>
                <w:color w:val="auto"/>
              </w:rPr>
            </w:pPr>
            <w:r>
              <w:rPr>
                <w:rFonts w:ascii="Arial" w:cs="Arial" w:eastAsia="Arial" w:hAnsi="Arial"/>
                <w:sz w:val="14"/>
                <w:szCs w:val="14"/>
                <w:color w:val="auto"/>
              </w:rPr>
              <w:t>We accrue losses for the estimated impacts of various conditions, situations or circumstances</w:t>
            </w:r>
          </w:p>
        </w:tc>
      </w:tr>
      <w:tr>
        <w:trPr>
          <w:trHeight w:val="182"/>
        </w:trPr>
        <w:tc>
          <w:tcPr>
            <w:tcW w:w="13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Approach Used</w:t>
            </w:r>
          </w:p>
        </w:tc>
        <w:tc>
          <w:tcPr>
            <w:tcW w:w="6340" w:type="dxa"/>
            <w:vAlign w:val="bottom"/>
            <w:tcBorders>
              <w:right w:val="single" w:sz="8" w:color="auto"/>
            </w:tcBorders>
          </w:tcPr>
          <w:p>
            <w:pPr>
              <w:ind w:left="260"/>
              <w:spacing w:after="0"/>
              <w:rPr>
                <w:sz w:val="20"/>
                <w:szCs w:val="20"/>
                <w:color w:val="auto"/>
              </w:rPr>
            </w:pPr>
            <w:r>
              <w:rPr>
                <w:rFonts w:ascii="Arial" w:cs="Arial" w:eastAsia="Arial" w:hAnsi="Arial"/>
                <w:sz w:val="14"/>
                <w:szCs w:val="14"/>
                <w:color w:val="auto"/>
              </w:rPr>
              <w:t>involving uncertain outcomes. For loss contingencies, we accrue the loss if:</w:t>
            </w:r>
          </w:p>
        </w:tc>
      </w:tr>
      <w:tr>
        <w:trPr>
          <w:trHeight w:val="380"/>
        </w:trPr>
        <w:tc>
          <w:tcPr>
            <w:tcW w:w="1320" w:type="dxa"/>
            <w:vAlign w:val="bottom"/>
            <w:tcBorders>
              <w:left w:val="single" w:sz="8" w:color="auto"/>
              <w:right w:val="single" w:sz="8" w:color="auto"/>
            </w:tcBorders>
          </w:tcPr>
          <w:p>
            <w:pPr>
              <w:spacing w:after="0"/>
              <w:rPr>
                <w:sz w:val="24"/>
                <w:szCs w:val="24"/>
                <w:color w:val="auto"/>
              </w:rPr>
            </w:pPr>
          </w:p>
        </w:tc>
        <w:tc>
          <w:tcPr>
            <w:tcW w:w="6340" w:type="dxa"/>
            <w:vAlign w:val="bottom"/>
            <w:tcBorders>
              <w:right w:val="single" w:sz="8" w:color="auto"/>
            </w:tcBorders>
          </w:tcPr>
          <w:p>
            <w:pPr>
              <w:ind w:left="260"/>
              <w:spacing w:after="0"/>
              <w:rPr>
                <w:sz w:val="20"/>
                <w:szCs w:val="20"/>
                <w:color w:val="auto"/>
              </w:rPr>
            </w:pPr>
            <w:r>
              <w:rPr>
                <w:rFonts w:ascii="Arial" w:cs="Arial" w:eastAsia="Arial" w:hAnsi="Arial"/>
                <w:sz w:val="14"/>
                <w:szCs w:val="14"/>
                <w:color w:val="auto"/>
              </w:rPr>
              <w:t>§  information is available indicating it is probable that a loss has been incurred, given the</w:t>
            </w:r>
          </w:p>
        </w:tc>
      </w:tr>
      <w:tr>
        <w:trPr>
          <w:trHeight w:val="172"/>
        </w:trPr>
        <w:tc>
          <w:tcPr>
            <w:tcW w:w="1320" w:type="dxa"/>
            <w:vAlign w:val="bottom"/>
            <w:tcBorders>
              <w:left w:val="single" w:sz="8" w:color="auto"/>
              <w:right w:val="single" w:sz="8" w:color="auto"/>
            </w:tcBorders>
          </w:tcPr>
          <w:p>
            <w:pPr>
              <w:spacing w:after="0"/>
              <w:rPr>
                <w:sz w:val="14"/>
                <w:szCs w:val="14"/>
                <w:color w:val="auto"/>
              </w:rPr>
            </w:pPr>
          </w:p>
        </w:tc>
        <w:tc>
          <w:tcPr>
            <w:tcW w:w="6340" w:type="dxa"/>
            <w:vAlign w:val="bottom"/>
            <w:tcBorders>
              <w:right w:val="single" w:sz="8" w:color="auto"/>
            </w:tcBorders>
          </w:tcPr>
          <w:p>
            <w:pPr>
              <w:ind w:left="420"/>
              <w:spacing w:after="0"/>
              <w:rPr>
                <w:sz w:val="20"/>
                <w:szCs w:val="20"/>
                <w:color w:val="auto"/>
              </w:rPr>
            </w:pPr>
            <w:r>
              <w:rPr>
                <w:rFonts w:ascii="Arial" w:cs="Arial" w:eastAsia="Arial" w:hAnsi="Arial"/>
                <w:sz w:val="14"/>
                <w:szCs w:val="14"/>
                <w:color w:val="auto"/>
              </w:rPr>
              <w:t>likelihood of uncertain future events, and</w:t>
            </w:r>
          </w:p>
        </w:tc>
      </w:tr>
      <w:tr>
        <w:trPr>
          <w:trHeight w:val="204"/>
        </w:trPr>
        <w:tc>
          <w:tcPr>
            <w:tcW w:w="1320" w:type="dxa"/>
            <w:vAlign w:val="bottom"/>
            <w:tcBorders>
              <w:left w:val="single" w:sz="8" w:color="auto"/>
              <w:right w:val="single" w:sz="8" w:color="auto"/>
            </w:tcBorders>
          </w:tcPr>
          <w:p>
            <w:pPr>
              <w:spacing w:after="0"/>
              <w:rPr>
                <w:sz w:val="17"/>
                <w:szCs w:val="17"/>
                <w:color w:val="auto"/>
              </w:rPr>
            </w:pPr>
          </w:p>
        </w:tc>
        <w:tc>
          <w:tcPr>
            <w:tcW w:w="6340" w:type="dxa"/>
            <w:vAlign w:val="bottom"/>
            <w:tcBorders>
              <w:right w:val="single" w:sz="8" w:color="auto"/>
            </w:tcBorders>
          </w:tcPr>
          <w:p>
            <w:pPr>
              <w:ind w:left="260"/>
              <w:spacing w:after="0"/>
              <w:rPr>
                <w:sz w:val="20"/>
                <w:szCs w:val="20"/>
                <w:color w:val="auto"/>
              </w:rPr>
            </w:pPr>
            <w:r>
              <w:rPr>
                <w:rFonts w:ascii="Arial" w:cs="Arial" w:eastAsia="Arial" w:hAnsi="Arial"/>
                <w:sz w:val="14"/>
                <w:szCs w:val="14"/>
                <w:color w:val="auto"/>
              </w:rPr>
              <w:t>§  the amounts of the loss can be reasonably estimated.</w:t>
            </w:r>
          </w:p>
        </w:tc>
      </w:tr>
      <w:tr>
        <w:trPr>
          <w:trHeight w:val="435"/>
        </w:trPr>
        <w:tc>
          <w:tcPr>
            <w:tcW w:w="1320" w:type="dxa"/>
            <w:vAlign w:val="bottom"/>
            <w:tcBorders>
              <w:left w:val="single" w:sz="8" w:color="auto"/>
              <w:bottom w:val="single" w:sz="8" w:color="auto"/>
              <w:right w:val="single" w:sz="8" w:color="auto"/>
            </w:tcBorders>
          </w:tcPr>
          <w:p>
            <w:pPr>
              <w:spacing w:after="0"/>
              <w:rPr>
                <w:sz w:val="24"/>
                <w:szCs w:val="24"/>
                <w:color w:val="auto"/>
              </w:rPr>
            </w:pPr>
          </w:p>
        </w:tc>
        <w:tc>
          <w:tcPr>
            <w:tcW w:w="6340" w:type="dxa"/>
            <w:vAlign w:val="bottom"/>
            <w:tcBorders>
              <w:bottom w:val="single" w:sz="8" w:color="auto"/>
              <w:right w:val="single" w:sz="8" w:color="auto"/>
            </w:tcBorders>
          </w:tcPr>
          <w:p>
            <w:pPr>
              <w:ind w:left="260"/>
              <w:spacing w:after="0"/>
              <w:rPr>
                <w:sz w:val="20"/>
                <w:szCs w:val="20"/>
                <w:color w:val="auto"/>
              </w:rPr>
            </w:pPr>
            <w:r>
              <w:rPr>
                <w:rFonts w:ascii="Arial" w:cs="Arial" w:eastAsia="Arial" w:hAnsi="Arial"/>
                <w:sz w:val="14"/>
                <w:szCs w:val="14"/>
                <w:color w:val="auto"/>
              </w:rPr>
              <w:t>SFAS 5 does not permit the accrual of contingencies that might result in gains.</w:t>
            </w:r>
          </w:p>
        </w:tc>
      </w:tr>
      <w:tr>
        <w:trPr>
          <w:trHeight w:val="167"/>
        </w:trPr>
        <w:tc>
          <w:tcPr>
            <w:tcW w:w="13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Effect if Different</w:t>
            </w:r>
          </w:p>
        </w:tc>
        <w:tc>
          <w:tcPr>
            <w:tcW w:w="6340" w:type="dxa"/>
            <w:vAlign w:val="bottom"/>
            <w:tcBorders>
              <w:right w:val="single" w:sz="8" w:color="auto"/>
            </w:tcBorders>
          </w:tcPr>
          <w:p>
            <w:pPr>
              <w:ind w:left="220"/>
              <w:spacing w:after="0"/>
              <w:rPr>
                <w:sz w:val="20"/>
                <w:szCs w:val="20"/>
                <w:color w:val="auto"/>
              </w:rPr>
            </w:pPr>
            <w:r>
              <w:rPr>
                <w:rFonts w:ascii="Arial" w:cs="Arial" w:eastAsia="Arial" w:hAnsi="Arial"/>
                <w:sz w:val="14"/>
                <w:szCs w:val="14"/>
                <w:color w:val="auto"/>
              </w:rPr>
              <w:t>Details of our issues in this area are discussed in Note 16 of the Notes to Consolidated</w:t>
            </w:r>
          </w:p>
        </w:tc>
      </w:tr>
      <w:tr>
        <w:trPr>
          <w:trHeight w:val="185"/>
        </w:trPr>
        <w:tc>
          <w:tcPr>
            <w:tcW w:w="132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Assumptions Used</w:t>
            </w:r>
          </w:p>
        </w:tc>
        <w:tc>
          <w:tcPr>
            <w:tcW w:w="6340" w:type="dxa"/>
            <w:vAlign w:val="bottom"/>
            <w:tcBorders>
              <w:bottom w:val="single" w:sz="8" w:color="auto"/>
              <w:right w:val="single" w:sz="8" w:color="auto"/>
            </w:tcBorders>
          </w:tcPr>
          <w:p>
            <w:pPr>
              <w:ind w:left="220"/>
              <w:spacing w:after="0"/>
              <w:rPr>
                <w:sz w:val="20"/>
                <w:szCs w:val="20"/>
                <w:color w:val="auto"/>
              </w:rPr>
            </w:pPr>
            <w:r>
              <w:rPr>
                <w:rFonts w:ascii="Arial" w:cs="Arial" w:eastAsia="Arial" w:hAnsi="Arial"/>
                <w:sz w:val="14"/>
                <w:szCs w:val="14"/>
                <w:color w:val="auto"/>
              </w:rPr>
              <w:t>Financial Statements.</w:t>
            </w:r>
          </w:p>
        </w:tc>
      </w:tr>
    </w:tbl>
    <w:p>
      <w:pPr>
        <w:spacing w:after="0" w:line="376" w:lineRule="exact"/>
        <w:rPr>
          <w:sz w:val="20"/>
          <w:szCs w:val="20"/>
          <w:color w:val="auto"/>
        </w:rPr>
      </w:pPr>
    </w:p>
    <w:p>
      <w:pPr>
        <w:spacing w:after="0"/>
        <w:rPr>
          <w:sz w:val="20"/>
          <w:szCs w:val="20"/>
          <w:color w:val="auto"/>
        </w:rPr>
      </w:pPr>
      <w:r>
        <w:rPr>
          <w:rFonts w:ascii="Arial" w:cs="Arial" w:eastAsia="Arial" w:hAnsi="Arial"/>
          <w:sz w:val="14"/>
          <w:szCs w:val="14"/>
          <w:color w:val="auto"/>
        </w:rPr>
        <w:t>49</w:t>
      </w:r>
    </w:p>
    <w:p>
      <w:pPr>
        <w:sectPr>
          <w:pgSz w:w="11900" w:h="16838" w:orient="portrait"/>
          <w:cols w:equalWidth="0" w:num="1">
            <w:col w:w="11260"/>
          </w:cols>
          <w:pgMar w:left="240" w:top="127" w:right="399" w:bottom="1440" w:gutter="0" w:footer="0" w:header="0"/>
        </w:sectPr>
      </w:pPr>
    </w:p>
    <w:bookmarkStart w:id="189" w:name="page190"/>
    <w:bookmarkEnd w:id="189"/>
    <w:p>
      <w:pPr>
        <w:ind w:left="1900"/>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1355090</wp:posOffset>
            </wp:positionH>
            <wp:positionV relativeFrom="page">
              <wp:posOffset>226060</wp:posOffset>
            </wp:positionV>
            <wp:extent cx="4859020" cy="3048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4859020" cy="30480"/>
                    </a:xfrm>
                    <a:prstGeom prst="rect">
                      <a:avLst/>
                    </a:prstGeom>
                    <a:noFill/>
                  </pic:spPr>
                </pic:pic>
              </a:graphicData>
            </a:graphic>
          </wp:anchor>
        </w:drawing>
        <w:t>SEMPRA ENERGY, SDG&amp;E AND SOCALGAS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1202690</wp:posOffset>
            </wp:positionH>
            <wp:positionV relativeFrom="paragraph">
              <wp:posOffset>22860</wp:posOffset>
            </wp:positionV>
            <wp:extent cx="4859020" cy="762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4859020" cy="7620"/>
                    </a:xfrm>
                    <a:prstGeom prst="rect">
                      <a:avLst/>
                    </a:prstGeom>
                    <a:noFill/>
                  </pic:spPr>
                </pic:pic>
              </a:graphicData>
            </a:graphic>
          </wp:anchor>
        </w:drawing>
      </w:r>
    </w:p>
    <w:p>
      <w:pPr>
        <w:spacing w:after="0" w:line="23" w:lineRule="exact"/>
        <w:rPr>
          <w:sz w:val="20"/>
          <w:szCs w:val="20"/>
          <w:color w:val="auto"/>
        </w:rPr>
      </w:pPr>
    </w:p>
    <w:p>
      <w:pPr>
        <w:ind w:left="1900"/>
        <w:spacing w:after="0"/>
        <w:rPr>
          <w:sz w:val="20"/>
          <w:szCs w:val="20"/>
          <w:color w:val="auto"/>
        </w:rPr>
      </w:pPr>
      <w:r>
        <w:rPr>
          <w:rFonts w:ascii="Arial" w:cs="Arial" w:eastAsia="Arial" w:hAnsi="Arial"/>
          <w:sz w:val="14"/>
          <w:szCs w:val="14"/>
          <w:b w:val="1"/>
          <w:bCs w:val="1"/>
          <w:color w:val="auto"/>
        </w:rPr>
        <w:t>REGULATORY ACCOUNTING</w:t>
      </w:r>
    </w:p>
    <w:p>
      <w:pPr>
        <w:spacing w:after="0" w:line="31" w:lineRule="exact"/>
        <w:rPr>
          <w:sz w:val="20"/>
          <w:szCs w:val="20"/>
          <w:color w:val="auto"/>
        </w:rPr>
      </w:pPr>
    </w:p>
    <w:p>
      <w:pPr>
        <w:ind w:left="1900" w:right="1059"/>
        <w:spacing w:after="0" w:line="272" w:lineRule="auto"/>
        <w:rPr>
          <w:sz w:val="20"/>
          <w:szCs w:val="20"/>
          <w:color w:val="auto"/>
        </w:rPr>
      </w:pPr>
      <w:r>
        <w:rPr>
          <w:rFonts w:ascii="Arial" w:cs="Arial" w:eastAsia="Arial" w:hAnsi="Arial"/>
          <w:sz w:val="14"/>
          <w:szCs w:val="14"/>
          <w:b w:val="1"/>
          <w:bCs w:val="1"/>
          <w:color w:val="auto"/>
        </w:rPr>
        <w:t xml:space="preserve">SFAS 71, </w:t>
      </w:r>
      <w:r>
        <w:rPr>
          <w:rFonts w:ascii="Arial" w:cs="Arial" w:eastAsia="Arial" w:hAnsi="Arial"/>
          <w:sz w:val="14"/>
          <w:szCs w:val="14"/>
          <w:b w:val="1"/>
          <w:bCs w:val="1"/>
          <w:i w:val="1"/>
          <w:iCs w:val="1"/>
          <w:color w:val="auto"/>
        </w:rPr>
        <w:t>Accounting for the Effects of Certain Types of Regulation</w:t>
      </w:r>
      <w:r>
        <w:rPr>
          <w:rFonts w:ascii="Arial" w:cs="Arial" w:eastAsia="Arial" w:hAnsi="Arial"/>
          <w:sz w:val="14"/>
          <w:szCs w:val="14"/>
          <w:b w:val="1"/>
          <w:bCs w:val="1"/>
          <w:color w:val="auto"/>
        </w:rPr>
        <w:t>, has a significant effect on the way the Sempra Utilities record assets and liabilities, and the related revenues and expenses that would not be recorded absent the principles in SFAS 71.</w:t>
      </w:r>
    </w:p>
    <w:p>
      <w:pPr>
        <w:spacing w:after="0" w:line="14" w:lineRule="exact"/>
        <w:rPr>
          <w:sz w:val="20"/>
          <w:szCs w:val="20"/>
          <w:color w:val="auto"/>
        </w:rPr>
      </w:pPr>
    </w:p>
    <w:tbl>
      <w:tblPr>
        <w:tblLayout w:type="fixed"/>
        <w:tblInd w:w="1910" w:type="dxa"/>
        <w:tblCellMar>
          <w:top w:w="0" w:type="dxa"/>
          <w:left w:w="0" w:type="dxa"/>
          <w:bottom w:w="0" w:type="dxa"/>
          <w:right w:w="0" w:type="dxa"/>
        </w:tblCellMar>
      </w:tblPr>
      <w:tr>
        <w:trPr>
          <w:trHeight w:val="184"/>
        </w:trPr>
        <w:tc>
          <w:tcPr>
            <w:tcW w:w="1320" w:type="dxa"/>
            <w:vAlign w:val="bottom"/>
            <w:tcBorders>
              <w:top w:val="single" w:sz="8" w:color="auto"/>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Assumptions &amp;</w:t>
            </w:r>
          </w:p>
        </w:tc>
        <w:tc>
          <w:tcPr>
            <w:tcW w:w="6340" w:type="dxa"/>
            <w:vAlign w:val="bottom"/>
            <w:tcBorders>
              <w:top w:val="single" w:sz="8" w:color="auto"/>
              <w:right w:val="single" w:sz="8" w:color="auto"/>
            </w:tcBorders>
          </w:tcPr>
          <w:p>
            <w:pPr>
              <w:ind w:left="260"/>
              <w:spacing w:after="0"/>
              <w:rPr>
                <w:sz w:val="20"/>
                <w:szCs w:val="20"/>
                <w:color w:val="auto"/>
              </w:rPr>
            </w:pPr>
            <w:r>
              <w:rPr>
                <w:rFonts w:ascii="Arial" w:cs="Arial" w:eastAsia="Arial" w:hAnsi="Arial"/>
                <w:sz w:val="14"/>
                <w:szCs w:val="14"/>
                <w:color w:val="auto"/>
              </w:rPr>
              <w:t>The Sempra Utilities record a regulatory asset if it is probable that, through the ratemaking</w:t>
            </w:r>
          </w:p>
        </w:tc>
      </w:tr>
      <w:tr>
        <w:trPr>
          <w:trHeight w:val="178"/>
        </w:trPr>
        <w:tc>
          <w:tcPr>
            <w:tcW w:w="13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Approach Used</w:t>
            </w:r>
          </w:p>
        </w:tc>
        <w:tc>
          <w:tcPr>
            <w:tcW w:w="6340" w:type="dxa"/>
            <w:vAlign w:val="bottom"/>
            <w:tcBorders>
              <w:right w:val="single" w:sz="8" w:color="auto"/>
            </w:tcBorders>
          </w:tcPr>
          <w:p>
            <w:pPr>
              <w:ind w:left="260"/>
              <w:spacing w:after="0"/>
              <w:rPr>
                <w:sz w:val="20"/>
                <w:szCs w:val="20"/>
                <w:color w:val="auto"/>
              </w:rPr>
            </w:pPr>
            <w:r>
              <w:rPr>
                <w:rFonts w:ascii="Arial" w:cs="Arial" w:eastAsia="Arial" w:hAnsi="Arial"/>
                <w:sz w:val="14"/>
                <w:szCs w:val="14"/>
                <w:color w:val="auto"/>
              </w:rPr>
              <w:t>process, the utility will recover that asset from customers. Similarly, regulatory liabilities are</w:t>
            </w:r>
          </w:p>
        </w:tc>
      </w:tr>
      <w:tr>
        <w:trPr>
          <w:trHeight w:val="168"/>
        </w:trPr>
        <w:tc>
          <w:tcPr>
            <w:tcW w:w="1320" w:type="dxa"/>
            <w:vAlign w:val="bottom"/>
            <w:tcBorders>
              <w:left w:val="single" w:sz="8" w:color="auto"/>
              <w:right w:val="single" w:sz="8" w:color="auto"/>
            </w:tcBorders>
          </w:tcPr>
          <w:p>
            <w:pPr>
              <w:spacing w:after="0"/>
              <w:rPr>
                <w:sz w:val="14"/>
                <w:szCs w:val="14"/>
                <w:color w:val="auto"/>
              </w:rPr>
            </w:pPr>
          </w:p>
        </w:tc>
        <w:tc>
          <w:tcPr>
            <w:tcW w:w="6340" w:type="dxa"/>
            <w:vAlign w:val="bottom"/>
            <w:tcBorders>
              <w:right w:val="single" w:sz="8" w:color="auto"/>
            </w:tcBorders>
          </w:tcPr>
          <w:p>
            <w:pPr>
              <w:ind w:left="260"/>
              <w:spacing w:after="0"/>
              <w:rPr>
                <w:sz w:val="20"/>
                <w:szCs w:val="20"/>
                <w:color w:val="auto"/>
              </w:rPr>
            </w:pPr>
            <w:r>
              <w:rPr>
                <w:rFonts w:ascii="Arial" w:cs="Arial" w:eastAsia="Arial" w:hAnsi="Arial"/>
                <w:sz w:val="14"/>
                <w:szCs w:val="14"/>
                <w:color w:val="auto"/>
              </w:rPr>
              <w:t>recorded for amounts recovered in rates in advance of the expenditure. The Sempra Utilities</w:t>
            </w:r>
          </w:p>
        </w:tc>
      </w:tr>
      <w:tr>
        <w:trPr>
          <w:trHeight w:val="172"/>
        </w:trPr>
        <w:tc>
          <w:tcPr>
            <w:tcW w:w="1320" w:type="dxa"/>
            <w:vAlign w:val="bottom"/>
            <w:tcBorders>
              <w:left w:val="single" w:sz="8" w:color="auto"/>
              <w:right w:val="single" w:sz="8" w:color="auto"/>
            </w:tcBorders>
          </w:tcPr>
          <w:p>
            <w:pPr>
              <w:spacing w:after="0"/>
              <w:rPr>
                <w:sz w:val="14"/>
                <w:szCs w:val="14"/>
                <w:color w:val="auto"/>
              </w:rPr>
            </w:pPr>
          </w:p>
        </w:tc>
        <w:tc>
          <w:tcPr>
            <w:tcW w:w="6340" w:type="dxa"/>
            <w:vAlign w:val="bottom"/>
            <w:tcBorders>
              <w:right w:val="single" w:sz="8" w:color="auto"/>
            </w:tcBorders>
          </w:tcPr>
          <w:p>
            <w:pPr>
              <w:ind w:left="260"/>
              <w:spacing w:after="0"/>
              <w:rPr>
                <w:sz w:val="20"/>
                <w:szCs w:val="20"/>
                <w:color w:val="auto"/>
              </w:rPr>
            </w:pPr>
            <w:r>
              <w:rPr>
                <w:rFonts w:ascii="Arial" w:cs="Arial" w:eastAsia="Arial" w:hAnsi="Arial"/>
                <w:sz w:val="14"/>
                <w:szCs w:val="14"/>
                <w:color w:val="auto"/>
              </w:rPr>
              <w:t>review probabilities associated with regulatory balances whenever new events occur, such as:</w:t>
            </w:r>
          </w:p>
        </w:tc>
      </w:tr>
      <w:tr>
        <w:trPr>
          <w:trHeight w:val="360"/>
        </w:trPr>
        <w:tc>
          <w:tcPr>
            <w:tcW w:w="1320" w:type="dxa"/>
            <w:vAlign w:val="bottom"/>
            <w:tcBorders>
              <w:left w:val="single" w:sz="8" w:color="auto"/>
              <w:right w:val="single" w:sz="8" w:color="auto"/>
            </w:tcBorders>
          </w:tcPr>
          <w:p>
            <w:pPr>
              <w:spacing w:after="0"/>
              <w:rPr>
                <w:sz w:val="24"/>
                <w:szCs w:val="24"/>
                <w:color w:val="auto"/>
              </w:rPr>
            </w:pPr>
          </w:p>
        </w:tc>
        <w:tc>
          <w:tcPr>
            <w:tcW w:w="6340" w:type="dxa"/>
            <w:vAlign w:val="bottom"/>
            <w:tcBorders>
              <w:right w:val="single" w:sz="8" w:color="auto"/>
            </w:tcBorders>
          </w:tcPr>
          <w:p>
            <w:pPr>
              <w:ind w:left="260"/>
              <w:spacing w:after="0"/>
              <w:rPr>
                <w:sz w:val="20"/>
                <w:szCs w:val="20"/>
                <w:color w:val="auto"/>
              </w:rPr>
            </w:pPr>
            <w:r>
              <w:rPr>
                <w:rFonts w:ascii="Arial" w:cs="Arial" w:eastAsia="Arial" w:hAnsi="Arial"/>
                <w:sz w:val="14"/>
                <w:szCs w:val="14"/>
                <w:color w:val="auto"/>
              </w:rPr>
              <w:t>§  changes in the regulatory environment or the utility's competitive position</w:t>
            </w:r>
          </w:p>
        </w:tc>
      </w:tr>
      <w:tr>
        <w:trPr>
          <w:trHeight w:val="204"/>
        </w:trPr>
        <w:tc>
          <w:tcPr>
            <w:tcW w:w="1320" w:type="dxa"/>
            <w:vAlign w:val="bottom"/>
            <w:tcBorders>
              <w:left w:val="single" w:sz="8" w:color="auto"/>
              <w:right w:val="single" w:sz="8" w:color="auto"/>
            </w:tcBorders>
          </w:tcPr>
          <w:p>
            <w:pPr>
              <w:spacing w:after="0"/>
              <w:rPr>
                <w:sz w:val="17"/>
                <w:szCs w:val="17"/>
                <w:color w:val="auto"/>
              </w:rPr>
            </w:pPr>
          </w:p>
        </w:tc>
        <w:tc>
          <w:tcPr>
            <w:tcW w:w="6340" w:type="dxa"/>
            <w:vAlign w:val="bottom"/>
            <w:tcBorders>
              <w:right w:val="single" w:sz="8" w:color="auto"/>
            </w:tcBorders>
          </w:tcPr>
          <w:p>
            <w:pPr>
              <w:ind w:left="260"/>
              <w:spacing w:after="0"/>
              <w:rPr>
                <w:sz w:val="20"/>
                <w:szCs w:val="20"/>
                <w:color w:val="auto"/>
              </w:rPr>
            </w:pPr>
            <w:r>
              <w:rPr>
                <w:rFonts w:ascii="Arial" w:cs="Arial" w:eastAsia="Arial" w:hAnsi="Arial"/>
                <w:sz w:val="14"/>
                <w:szCs w:val="14"/>
                <w:color w:val="auto"/>
              </w:rPr>
              <w:t>§  issuance of a regulatory commission order</w:t>
            </w:r>
          </w:p>
        </w:tc>
      </w:tr>
      <w:tr>
        <w:trPr>
          <w:trHeight w:val="204"/>
        </w:trPr>
        <w:tc>
          <w:tcPr>
            <w:tcW w:w="1320" w:type="dxa"/>
            <w:vAlign w:val="bottom"/>
            <w:tcBorders>
              <w:left w:val="single" w:sz="8" w:color="auto"/>
              <w:right w:val="single" w:sz="8" w:color="auto"/>
            </w:tcBorders>
          </w:tcPr>
          <w:p>
            <w:pPr>
              <w:spacing w:after="0"/>
              <w:rPr>
                <w:sz w:val="17"/>
                <w:szCs w:val="17"/>
                <w:color w:val="auto"/>
              </w:rPr>
            </w:pPr>
          </w:p>
        </w:tc>
        <w:tc>
          <w:tcPr>
            <w:tcW w:w="6340" w:type="dxa"/>
            <w:vAlign w:val="bottom"/>
            <w:tcBorders>
              <w:right w:val="single" w:sz="8" w:color="auto"/>
            </w:tcBorders>
          </w:tcPr>
          <w:p>
            <w:pPr>
              <w:ind w:left="260"/>
              <w:spacing w:after="0"/>
              <w:rPr>
                <w:sz w:val="20"/>
                <w:szCs w:val="20"/>
                <w:color w:val="auto"/>
              </w:rPr>
            </w:pPr>
            <w:r>
              <w:rPr>
                <w:rFonts w:ascii="Arial" w:cs="Arial" w:eastAsia="Arial" w:hAnsi="Arial"/>
                <w:sz w:val="14"/>
                <w:szCs w:val="14"/>
                <w:color w:val="auto"/>
              </w:rPr>
              <w:t>§  passage of new legislation</w:t>
            </w:r>
          </w:p>
        </w:tc>
      </w:tr>
      <w:tr>
        <w:trPr>
          <w:trHeight w:val="428"/>
        </w:trPr>
        <w:tc>
          <w:tcPr>
            <w:tcW w:w="1320" w:type="dxa"/>
            <w:vAlign w:val="bottom"/>
            <w:tcBorders>
              <w:left w:val="single" w:sz="8" w:color="auto"/>
              <w:right w:val="single" w:sz="8" w:color="auto"/>
            </w:tcBorders>
          </w:tcPr>
          <w:p>
            <w:pPr>
              <w:spacing w:after="0"/>
              <w:rPr>
                <w:sz w:val="24"/>
                <w:szCs w:val="24"/>
                <w:color w:val="auto"/>
              </w:rPr>
            </w:pPr>
          </w:p>
        </w:tc>
        <w:tc>
          <w:tcPr>
            <w:tcW w:w="6340" w:type="dxa"/>
            <w:vAlign w:val="bottom"/>
            <w:tcBorders>
              <w:right w:val="single" w:sz="8" w:color="auto"/>
            </w:tcBorders>
          </w:tcPr>
          <w:p>
            <w:pPr>
              <w:ind w:left="260"/>
              <w:spacing w:after="0"/>
              <w:rPr>
                <w:sz w:val="20"/>
                <w:szCs w:val="20"/>
                <w:color w:val="auto"/>
              </w:rPr>
            </w:pPr>
            <w:r>
              <w:rPr>
                <w:rFonts w:ascii="Arial" w:cs="Arial" w:eastAsia="Arial" w:hAnsi="Arial"/>
                <w:sz w:val="14"/>
                <w:szCs w:val="14"/>
                <w:color w:val="auto"/>
              </w:rPr>
              <w:t>To the extent that circumstances associated with regulatory balances change, the regulatory</w:t>
            </w:r>
          </w:p>
        </w:tc>
      </w:tr>
      <w:tr>
        <w:trPr>
          <w:trHeight w:val="175"/>
        </w:trPr>
        <w:tc>
          <w:tcPr>
            <w:tcW w:w="1320" w:type="dxa"/>
            <w:vAlign w:val="bottom"/>
            <w:tcBorders>
              <w:left w:val="single" w:sz="8" w:color="auto"/>
              <w:bottom w:val="single" w:sz="8" w:color="auto"/>
              <w:right w:val="single" w:sz="8" w:color="auto"/>
            </w:tcBorders>
          </w:tcPr>
          <w:p>
            <w:pPr>
              <w:spacing w:after="0"/>
              <w:rPr>
                <w:sz w:val="15"/>
                <w:szCs w:val="15"/>
                <w:color w:val="auto"/>
              </w:rPr>
            </w:pPr>
          </w:p>
        </w:tc>
        <w:tc>
          <w:tcPr>
            <w:tcW w:w="6340" w:type="dxa"/>
            <w:vAlign w:val="bottom"/>
            <w:tcBorders>
              <w:bottom w:val="single" w:sz="8" w:color="auto"/>
              <w:right w:val="single" w:sz="8" w:color="auto"/>
            </w:tcBorders>
          </w:tcPr>
          <w:p>
            <w:pPr>
              <w:ind w:left="260"/>
              <w:spacing w:after="0"/>
              <w:rPr>
                <w:sz w:val="20"/>
                <w:szCs w:val="20"/>
                <w:color w:val="auto"/>
              </w:rPr>
            </w:pPr>
            <w:r>
              <w:rPr>
                <w:rFonts w:ascii="Arial" w:cs="Arial" w:eastAsia="Arial" w:hAnsi="Arial"/>
                <w:sz w:val="14"/>
                <w:szCs w:val="14"/>
                <w:color w:val="auto"/>
              </w:rPr>
              <w:t>balances could be adjusted.</w:t>
            </w:r>
          </w:p>
        </w:tc>
      </w:tr>
      <w:tr>
        <w:trPr>
          <w:trHeight w:val="167"/>
        </w:trPr>
        <w:tc>
          <w:tcPr>
            <w:tcW w:w="13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Effect if Different</w:t>
            </w:r>
          </w:p>
        </w:tc>
        <w:tc>
          <w:tcPr>
            <w:tcW w:w="6340" w:type="dxa"/>
            <w:vAlign w:val="bottom"/>
            <w:tcBorders>
              <w:right w:val="single" w:sz="8" w:color="auto"/>
            </w:tcBorders>
          </w:tcPr>
          <w:p>
            <w:pPr>
              <w:ind w:left="260"/>
              <w:spacing w:after="0"/>
              <w:rPr>
                <w:sz w:val="20"/>
                <w:szCs w:val="20"/>
                <w:color w:val="auto"/>
              </w:rPr>
            </w:pPr>
            <w:r>
              <w:rPr>
                <w:rFonts w:ascii="Arial" w:cs="Arial" w:eastAsia="Arial" w:hAnsi="Arial"/>
                <w:sz w:val="14"/>
                <w:szCs w:val="14"/>
                <w:color w:val="auto"/>
              </w:rPr>
              <w:t>Details of the Sempra Utilities' regulatory assets and liabilities are discussed in Note 1 of the</w:t>
            </w:r>
          </w:p>
        </w:tc>
      </w:tr>
      <w:tr>
        <w:trPr>
          <w:trHeight w:val="185"/>
        </w:trPr>
        <w:tc>
          <w:tcPr>
            <w:tcW w:w="132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Assumptions Used</w:t>
            </w:r>
          </w:p>
        </w:tc>
        <w:tc>
          <w:tcPr>
            <w:tcW w:w="6340" w:type="dxa"/>
            <w:vAlign w:val="bottom"/>
            <w:tcBorders>
              <w:bottom w:val="single" w:sz="8" w:color="auto"/>
              <w:right w:val="single" w:sz="8" w:color="auto"/>
            </w:tcBorders>
          </w:tcPr>
          <w:p>
            <w:pPr>
              <w:ind w:left="260"/>
              <w:spacing w:after="0"/>
              <w:rPr>
                <w:sz w:val="20"/>
                <w:szCs w:val="20"/>
                <w:color w:val="auto"/>
              </w:rPr>
            </w:pPr>
            <w:r>
              <w:rPr>
                <w:rFonts w:ascii="Arial" w:cs="Arial" w:eastAsia="Arial" w:hAnsi="Arial"/>
                <w:sz w:val="14"/>
                <w:szCs w:val="14"/>
                <w:color w:val="auto"/>
              </w:rPr>
              <w:t>Notes to Consolidated Financial Statements.</w:t>
            </w:r>
          </w:p>
        </w:tc>
      </w:tr>
    </w:tbl>
    <w:p>
      <w:pPr>
        <w:ind w:left="1900"/>
        <w:spacing w:after="0"/>
        <w:rPr>
          <w:sz w:val="20"/>
          <w:szCs w:val="20"/>
          <w:color w:val="auto"/>
        </w:rPr>
      </w:pPr>
      <w:r>
        <w:rPr>
          <w:rFonts w:ascii="Arial" w:cs="Arial" w:eastAsia="Arial" w:hAnsi="Arial"/>
          <w:sz w:val="14"/>
          <w:szCs w:val="14"/>
          <w:b w:val="1"/>
          <w:bCs w:val="1"/>
          <w:color w:val="auto"/>
        </w:rPr>
        <w:t>INCOME TAXES</w:t>
      </w:r>
    </w:p>
    <w:p>
      <w:pPr>
        <w:spacing w:after="0" w:line="27" w:lineRule="exact"/>
        <w:rPr>
          <w:sz w:val="20"/>
          <w:szCs w:val="20"/>
          <w:color w:val="auto"/>
        </w:rPr>
      </w:pPr>
    </w:p>
    <w:p>
      <w:pPr>
        <w:ind w:left="1900"/>
        <w:spacing w:after="0"/>
        <w:rPr>
          <w:sz w:val="20"/>
          <w:szCs w:val="20"/>
          <w:color w:val="auto"/>
        </w:rPr>
      </w:pPr>
      <w:r>
        <w:rPr>
          <w:rFonts w:ascii="Arial" w:cs="Arial" w:eastAsia="Arial" w:hAnsi="Arial"/>
          <w:sz w:val="14"/>
          <w:szCs w:val="14"/>
          <w:b w:val="1"/>
          <w:bCs w:val="1"/>
          <w:color w:val="auto"/>
        </w:rPr>
        <w:t xml:space="preserve">SFAS 109, </w:t>
      </w:r>
      <w:r>
        <w:rPr>
          <w:rFonts w:ascii="Arial" w:cs="Arial" w:eastAsia="Arial" w:hAnsi="Arial"/>
          <w:sz w:val="14"/>
          <w:szCs w:val="14"/>
          <w:b w:val="1"/>
          <w:bCs w:val="1"/>
          <w:i w:val="1"/>
          <w:iCs w:val="1"/>
          <w:color w:val="auto"/>
        </w:rPr>
        <w:t>Accounting for Income Taxes</w:t>
      </w:r>
      <w:r>
        <w:rPr>
          <w:rFonts w:ascii="Arial" w:cs="Arial" w:eastAsia="Arial" w:hAnsi="Arial"/>
          <w:sz w:val="14"/>
          <w:szCs w:val="14"/>
          <w:b w:val="1"/>
          <w:bCs w:val="1"/>
          <w:color w:val="auto"/>
        </w:rPr>
        <w:t>, governs the way we provide for income taxes.</w:t>
      </w:r>
    </w:p>
    <w:p>
      <w:pPr>
        <w:spacing w:after="0" w:line="64" w:lineRule="exact"/>
        <w:rPr>
          <w:sz w:val="20"/>
          <w:szCs w:val="20"/>
          <w:color w:val="auto"/>
        </w:rPr>
      </w:pPr>
    </w:p>
    <w:tbl>
      <w:tblPr>
        <w:tblLayout w:type="fixed"/>
        <w:tblInd w:w="1910" w:type="dxa"/>
        <w:tblCellMar>
          <w:top w:w="0" w:type="dxa"/>
          <w:left w:w="0" w:type="dxa"/>
          <w:bottom w:w="0" w:type="dxa"/>
          <w:right w:w="0" w:type="dxa"/>
        </w:tblCellMar>
      </w:tblPr>
      <w:tr>
        <w:trPr>
          <w:trHeight w:val="184"/>
        </w:trPr>
        <w:tc>
          <w:tcPr>
            <w:tcW w:w="1320" w:type="dxa"/>
            <w:vAlign w:val="bottom"/>
            <w:tcBorders>
              <w:top w:val="single" w:sz="8" w:color="auto"/>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Assumptions &amp;</w:t>
            </w:r>
          </w:p>
        </w:tc>
        <w:tc>
          <w:tcPr>
            <w:tcW w:w="6340" w:type="dxa"/>
            <w:vAlign w:val="bottom"/>
            <w:tcBorders>
              <w:top w:val="single" w:sz="8" w:color="auto"/>
              <w:right w:val="single" w:sz="8" w:color="auto"/>
            </w:tcBorders>
          </w:tcPr>
          <w:p>
            <w:pPr>
              <w:ind w:left="260"/>
              <w:spacing w:after="0"/>
              <w:rPr>
                <w:sz w:val="20"/>
                <w:szCs w:val="20"/>
                <w:color w:val="auto"/>
              </w:rPr>
            </w:pPr>
            <w:r>
              <w:rPr>
                <w:rFonts w:ascii="Arial" w:cs="Arial" w:eastAsia="Arial" w:hAnsi="Arial"/>
                <w:sz w:val="14"/>
                <w:szCs w:val="14"/>
                <w:color w:val="auto"/>
              </w:rPr>
              <w:t>Our income tax expense and related balance sheet amounts involve significant management</w:t>
            </w:r>
          </w:p>
        </w:tc>
      </w:tr>
      <w:tr>
        <w:trPr>
          <w:trHeight w:val="178"/>
        </w:trPr>
        <w:tc>
          <w:tcPr>
            <w:tcW w:w="13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Approach Used</w:t>
            </w:r>
          </w:p>
        </w:tc>
        <w:tc>
          <w:tcPr>
            <w:tcW w:w="6340" w:type="dxa"/>
            <w:vAlign w:val="bottom"/>
            <w:tcBorders>
              <w:right w:val="single" w:sz="8" w:color="auto"/>
            </w:tcBorders>
          </w:tcPr>
          <w:p>
            <w:pPr>
              <w:ind w:left="260"/>
              <w:spacing w:after="0"/>
              <w:rPr>
                <w:sz w:val="20"/>
                <w:szCs w:val="20"/>
                <w:color w:val="auto"/>
              </w:rPr>
            </w:pPr>
            <w:r>
              <w:rPr>
                <w:rFonts w:ascii="Arial" w:cs="Arial" w:eastAsia="Arial" w:hAnsi="Arial"/>
                <w:sz w:val="14"/>
                <w:szCs w:val="14"/>
                <w:color w:val="auto"/>
              </w:rPr>
              <w:t>estimates and judgments. Amounts of deferred income tax assets and liabilities, as well as</w:t>
            </w:r>
          </w:p>
        </w:tc>
      </w:tr>
      <w:tr>
        <w:trPr>
          <w:trHeight w:val="168"/>
        </w:trPr>
        <w:tc>
          <w:tcPr>
            <w:tcW w:w="1320" w:type="dxa"/>
            <w:vAlign w:val="bottom"/>
            <w:tcBorders>
              <w:left w:val="single" w:sz="8" w:color="auto"/>
              <w:right w:val="single" w:sz="8" w:color="auto"/>
            </w:tcBorders>
          </w:tcPr>
          <w:p>
            <w:pPr>
              <w:spacing w:after="0"/>
              <w:rPr>
                <w:sz w:val="14"/>
                <w:szCs w:val="14"/>
                <w:color w:val="auto"/>
              </w:rPr>
            </w:pPr>
          </w:p>
        </w:tc>
        <w:tc>
          <w:tcPr>
            <w:tcW w:w="6340" w:type="dxa"/>
            <w:vAlign w:val="bottom"/>
            <w:tcBorders>
              <w:right w:val="single" w:sz="8" w:color="auto"/>
            </w:tcBorders>
          </w:tcPr>
          <w:p>
            <w:pPr>
              <w:ind w:left="260"/>
              <w:spacing w:after="0"/>
              <w:rPr>
                <w:sz w:val="20"/>
                <w:szCs w:val="20"/>
                <w:color w:val="auto"/>
              </w:rPr>
            </w:pPr>
            <w:r>
              <w:rPr>
                <w:rFonts w:ascii="Arial" w:cs="Arial" w:eastAsia="Arial" w:hAnsi="Arial"/>
                <w:sz w:val="14"/>
                <w:szCs w:val="14"/>
                <w:color w:val="auto"/>
              </w:rPr>
              <w:t>current and noncurrent accruals, involve judgments and estimates of the timing and probability</w:t>
            </w:r>
          </w:p>
        </w:tc>
      </w:tr>
      <w:tr>
        <w:trPr>
          <w:trHeight w:val="168"/>
        </w:trPr>
        <w:tc>
          <w:tcPr>
            <w:tcW w:w="1320" w:type="dxa"/>
            <w:vAlign w:val="bottom"/>
            <w:tcBorders>
              <w:left w:val="single" w:sz="8" w:color="auto"/>
              <w:right w:val="single" w:sz="8" w:color="auto"/>
            </w:tcBorders>
          </w:tcPr>
          <w:p>
            <w:pPr>
              <w:spacing w:after="0"/>
              <w:rPr>
                <w:sz w:val="14"/>
                <w:szCs w:val="14"/>
                <w:color w:val="auto"/>
              </w:rPr>
            </w:pPr>
          </w:p>
        </w:tc>
        <w:tc>
          <w:tcPr>
            <w:tcW w:w="6340" w:type="dxa"/>
            <w:vAlign w:val="bottom"/>
            <w:tcBorders>
              <w:right w:val="single" w:sz="8" w:color="auto"/>
            </w:tcBorders>
          </w:tcPr>
          <w:p>
            <w:pPr>
              <w:ind w:left="260"/>
              <w:spacing w:after="0"/>
              <w:rPr>
                <w:sz w:val="20"/>
                <w:szCs w:val="20"/>
                <w:color w:val="auto"/>
              </w:rPr>
            </w:pPr>
            <w:r>
              <w:rPr>
                <w:rFonts w:ascii="Arial" w:cs="Arial" w:eastAsia="Arial" w:hAnsi="Arial"/>
                <w:sz w:val="14"/>
                <w:szCs w:val="14"/>
                <w:color w:val="auto"/>
              </w:rPr>
              <w:t>of recognition of income and deductions by taxing authorities. When we evaluate the</w:t>
            </w:r>
          </w:p>
        </w:tc>
      </w:tr>
      <w:tr>
        <w:trPr>
          <w:trHeight w:val="172"/>
        </w:trPr>
        <w:tc>
          <w:tcPr>
            <w:tcW w:w="1320" w:type="dxa"/>
            <w:vAlign w:val="bottom"/>
            <w:tcBorders>
              <w:left w:val="single" w:sz="8" w:color="auto"/>
              <w:right w:val="single" w:sz="8" w:color="auto"/>
            </w:tcBorders>
          </w:tcPr>
          <w:p>
            <w:pPr>
              <w:spacing w:after="0"/>
              <w:rPr>
                <w:sz w:val="14"/>
                <w:szCs w:val="14"/>
                <w:color w:val="auto"/>
              </w:rPr>
            </w:pPr>
          </w:p>
        </w:tc>
        <w:tc>
          <w:tcPr>
            <w:tcW w:w="6340" w:type="dxa"/>
            <w:vAlign w:val="bottom"/>
            <w:tcBorders>
              <w:right w:val="single" w:sz="8" w:color="auto"/>
            </w:tcBorders>
          </w:tcPr>
          <w:p>
            <w:pPr>
              <w:ind w:left="260"/>
              <w:spacing w:after="0"/>
              <w:rPr>
                <w:sz w:val="20"/>
                <w:szCs w:val="20"/>
                <w:color w:val="auto"/>
              </w:rPr>
            </w:pPr>
            <w:r>
              <w:rPr>
                <w:rFonts w:ascii="Arial" w:cs="Arial" w:eastAsia="Arial" w:hAnsi="Arial"/>
                <w:sz w:val="14"/>
                <w:szCs w:val="14"/>
                <w:color w:val="auto"/>
              </w:rPr>
              <w:t>anticipated resolution of income-tax issues, we consider</w:t>
            </w:r>
          </w:p>
        </w:tc>
      </w:tr>
      <w:tr>
        <w:trPr>
          <w:trHeight w:val="384"/>
        </w:trPr>
        <w:tc>
          <w:tcPr>
            <w:tcW w:w="1320" w:type="dxa"/>
            <w:vAlign w:val="bottom"/>
            <w:tcBorders>
              <w:left w:val="single" w:sz="8" w:color="auto"/>
              <w:right w:val="single" w:sz="8" w:color="auto"/>
            </w:tcBorders>
          </w:tcPr>
          <w:p>
            <w:pPr>
              <w:spacing w:after="0"/>
              <w:rPr>
                <w:sz w:val="24"/>
                <w:szCs w:val="24"/>
                <w:color w:val="auto"/>
              </w:rPr>
            </w:pPr>
          </w:p>
        </w:tc>
        <w:tc>
          <w:tcPr>
            <w:tcW w:w="6340" w:type="dxa"/>
            <w:vAlign w:val="bottom"/>
            <w:tcBorders>
              <w:right w:val="single" w:sz="8" w:color="auto"/>
            </w:tcBorders>
          </w:tcPr>
          <w:p>
            <w:pPr>
              <w:ind w:left="260"/>
              <w:spacing w:after="0"/>
              <w:rPr>
                <w:sz w:val="20"/>
                <w:szCs w:val="20"/>
                <w:color w:val="auto"/>
              </w:rPr>
            </w:pPr>
            <w:r>
              <w:rPr>
                <w:rFonts w:ascii="Arial" w:cs="Arial" w:eastAsia="Arial" w:hAnsi="Arial"/>
                <w:sz w:val="14"/>
                <w:szCs w:val="14"/>
                <w:color w:val="auto"/>
              </w:rPr>
              <w:t>§  past resolutions of the same or similar issue</w:t>
            </w:r>
          </w:p>
        </w:tc>
      </w:tr>
      <w:tr>
        <w:trPr>
          <w:trHeight w:val="204"/>
        </w:trPr>
        <w:tc>
          <w:tcPr>
            <w:tcW w:w="1320" w:type="dxa"/>
            <w:vAlign w:val="bottom"/>
            <w:tcBorders>
              <w:left w:val="single" w:sz="8" w:color="auto"/>
              <w:right w:val="single" w:sz="8" w:color="auto"/>
            </w:tcBorders>
          </w:tcPr>
          <w:p>
            <w:pPr>
              <w:spacing w:after="0"/>
              <w:rPr>
                <w:sz w:val="17"/>
                <w:szCs w:val="17"/>
                <w:color w:val="auto"/>
              </w:rPr>
            </w:pPr>
          </w:p>
        </w:tc>
        <w:tc>
          <w:tcPr>
            <w:tcW w:w="6340" w:type="dxa"/>
            <w:vAlign w:val="bottom"/>
            <w:tcBorders>
              <w:right w:val="single" w:sz="8" w:color="auto"/>
            </w:tcBorders>
          </w:tcPr>
          <w:p>
            <w:pPr>
              <w:ind w:left="260"/>
              <w:spacing w:after="0"/>
              <w:rPr>
                <w:sz w:val="20"/>
                <w:szCs w:val="20"/>
                <w:color w:val="auto"/>
              </w:rPr>
            </w:pPr>
            <w:r>
              <w:rPr>
                <w:rFonts w:ascii="Arial" w:cs="Arial" w:eastAsia="Arial" w:hAnsi="Arial"/>
                <w:sz w:val="14"/>
                <w:szCs w:val="14"/>
                <w:color w:val="auto"/>
              </w:rPr>
              <w:t>§  the status of any income-tax examination in progress</w:t>
            </w:r>
          </w:p>
        </w:tc>
      </w:tr>
      <w:tr>
        <w:trPr>
          <w:trHeight w:val="204"/>
        </w:trPr>
        <w:tc>
          <w:tcPr>
            <w:tcW w:w="1320" w:type="dxa"/>
            <w:vAlign w:val="bottom"/>
            <w:tcBorders>
              <w:left w:val="single" w:sz="8" w:color="auto"/>
              <w:right w:val="single" w:sz="8" w:color="auto"/>
            </w:tcBorders>
          </w:tcPr>
          <w:p>
            <w:pPr>
              <w:spacing w:after="0"/>
              <w:rPr>
                <w:sz w:val="17"/>
                <w:szCs w:val="17"/>
                <w:color w:val="auto"/>
              </w:rPr>
            </w:pPr>
          </w:p>
        </w:tc>
        <w:tc>
          <w:tcPr>
            <w:tcW w:w="6340" w:type="dxa"/>
            <w:vAlign w:val="bottom"/>
            <w:tcBorders>
              <w:right w:val="single" w:sz="8" w:color="auto"/>
            </w:tcBorders>
          </w:tcPr>
          <w:p>
            <w:pPr>
              <w:ind w:left="260"/>
              <w:spacing w:after="0"/>
              <w:rPr>
                <w:sz w:val="20"/>
                <w:szCs w:val="20"/>
                <w:color w:val="auto"/>
              </w:rPr>
            </w:pPr>
            <w:r>
              <w:rPr>
                <w:rFonts w:ascii="Arial" w:cs="Arial" w:eastAsia="Arial" w:hAnsi="Arial"/>
                <w:sz w:val="14"/>
                <w:szCs w:val="14"/>
                <w:color w:val="auto"/>
              </w:rPr>
              <w:t>§  positions taken by taxing authorities with other taxpayers with similar issues</w:t>
            </w:r>
          </w:p>
        </w:tc>
      </w:tr>
      <w:tr>
        <w:trPr>
          <w:trHeight w:val="428"/>
        </w:trPr>
        <w:tc>
          <w:tcPr>
            <w:tcW w:w="1320" w:type="dxa"/>
            <w:vAlign w:val="bottom"/>
            <w:tcBorders>
              <w:left w:val="single" w:sz="8" w:color="auto"/>
              <w:right w:val="single" w:sz="8" w:color="auto"/>
            </w:tcBorders>
          </w:tcPr>
          <w:p>
            <w:pPr>
              <w:spacing w:after="0"/>
              <w:rPr>
                <w:sz w:val="24"/>
                <w:szCs w:val="24"/>
                <w:color w:val="auto"/>
              </w:rPr>
            </w:pPr>
          </w:p>
        </w:tc>
        <w:tc>
          <w:tcPr>
            <w:tcW w:w="6340" w:type="dxa"/>
            <w:vAlign w:val="bottom"/>
            <w:tcBorders>
              <w:right w:val="single" w:sz="8" w:color="auto"/>
            </w:tcBorders>
          </w:tcPr>
          <w:p>
            <w:pPr>
              <w:ind w:left="260"/>
              <w:spacing w:after="0"/>
              <w:rPr>
                <w:sz w:val="20"/>
                <w:szCs w:val="20"/>
                <w:color w:val="auto"/>
              </w:rPr>
            </w:pPr>
            <w:r>
              <w:rPr>
                <w:rFonts w:ascii="Arial" w:cs="Arial" w:eastAsia="Arial" w:hAnsi="Arial"/>
                <w:sz w:val="14"/>
                <w:szCs w:val="14"/>
                <w:color w:val="auto"/>
              </w:rPr>
              <w:t>The likelihood of deferred tax recovery is based on analyses of the deferred tax assets and</w:t>
            </w:r>
          </w:p>
        </w:tc>
      </w:tr>
      <w:tr>
        <w:trPr>
          <w:trHeight w:val="172"/>
        </w:trPr>
        <w:tc>
          <w:tcPr>
            <w:tcW w:w="1320" w:type="dxa"/>
            <w:vAlign w:val="bottom"/>
            <w:tcBorders>
              <w:left w:val="single" w:sz="8" w:color="auto"/>
              <w:right w:val="single" w:sz="8" w:color="auto"/>
            </w:tcBorders>
          </w:tcPr>
          <w:p>
            <w:pPr>
              <w:spacing w:after="0"/>
              <w:rPr>
                <w:sz w:val="14"/>
                <w:szCs w:val="14"/>
                <w:color w:val="auto"/>
              </w:rPr>
            </w:pPr>
          </w:p>
        </w:tc>
        <w:tc>
          <w:tcPr>
            <w:tcW w:w="6340" w:type="dxa"/>
            <w:vAlign w:val="bottom"/>
            <w:tcBorders>
              <w:right w:val="single" w:sz="8" w:color="auto"/>
            </w:tcBorders>
          </w:tcPr>
          <w:p>
            <w:pPr>
              <w:ind w:left="260"/>
              <w:spacing w:after="0"/>
              <w:rPr>
                <w:sz w:val="20"/>
                <w:szCs w:val="20"/>
                <w:color w:val="auto"/>
              </w:rPr>
            </w:pPr>
            <w:r>
              <w:rPr>
                <w:rFonts w:ascii="Arial" w:cs="Arial" w:eastAsia="Arial" w:hAnsi="Arial"/>
                <w:sz w:val="14"/>
                <w:szCs w:val="14"/>
                <w:color w:val="auto"/>
              </w:rPr>
              <w:t>our expectation of future taxable income, based on our strategic planning.</w:t>
            </w:r>
          </w:p>
        </w:tc>
      </w:tr>
      <w:tr>
        <w:trPr>
          <w:trHeight w:val="54"/>
        </w:trPr>
        <w:tc>
          <w:tcPr>
            <w:tcW w:w="1320" w:type="dxa"/>
            <w:vAlign w:val="bottom"/>
            <w:tcBorders>
              <w:left w:val="single" w:sz="8" w:color="auto"/>
              <w:bottom w:val="single" w:sz="8" w:color="auto"/>
              <w:right w:val="single" w:sz="8" w:color="auto"/>
            </w:tcBorders>
          </w:tcPr>
          <w:p>
            <w:pPr>
              <w:spacing w:after="0"/>
              <w:rPr>
                <w:sz w:val="4"/>
                <w:szCs w:val="4"/>
                <w:color w:val="auto"/>
              </w:rPr>
            </w:pPr>
          </w:p>
        </w:tc>
        <w:tc>
          <w:tcPr>
            <w:tcW w:w="6340" w:type="dxa"/>
            <w:vAlign w:val="bottom"/>
            <w:tcBorders>
              <w:bottom w:val="single" w:sz="8" w:color="auto"/>
              <w:right w:val="single" w:sz="8" w:color="auto"/>
            </w:tcBorders>
          </w:tcPr>
          <w:p>
            <w:pPr>
              <w:spacing w:after="0"/>
              <w:rPr>
                <w:sz w:val="4"/>
                <w:szCs w:val="4"/>
                <w:color w:val="auto"/>
              </w:rPr>
            </w:pPr>
          </w:p>
        </w:tc>
      </w:tr>
      <w:tr>
        <w:trPr>
          <w:trHeight w:val="164"/>
        </w:trPr>
        <w:tc>
          <w:tcPr>
            <w:tcW w:w="13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Effect if Different</w:t>
            </w:r>
          </w:p>
        </w:tc>
        <w:tc>
          <w:tcPr>
            <w:tcW w:w="6340" w:type="dxa"/>
            <w:vAlign w:val="bottom"/>
            <w:tcBorders>
              <w:right w:val="single" w:sz="8" w:color="auto"/>
            </w:tcBorders>
          </w:tcPr>
          <w:p>
            <w:pPr>
              <w:ind w:left="260"/>
              <w:spacing w:after="0"/>
              <w:rPr>
                <w:sz w:val="20"/>
                <w:szCs w:val="20"/>
                <w:color w:val="auto"/>
              </w:rPr>
            </w:pPr>
            <w:r>
              <w:rPr>
                <w:rFonts w:ascii="Arial" w:cs="Arial" w:eastAsia="Arial" w:hAnsi="Arial"/>
                <w:sz w:val="14"/>
                <w:szCs w:val="14"/>
                <w:color w:val="auto"/>
              </w:rPr>
              <w:t>Actual income taxes could vary from estimated amounts because of:</w:t>
            </w:r>
          </w:p>
        </w:tc>
      </w:tr>
      <w:tr>
        <w:trPr>
          <w:trHeight w:val="154"/>
        </w:trPr>
        <w:tc>
          <w:tcPr>
            <w:tcW w:w="13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Assumptions Used</w:t>
            </w:r>
          </w:p>
        </w:tc>
        <w:tc>
          <w:tcPr>
            <w:tcW w:w="6340" w:type="dxa"/>
            <w:vAlign w:val="bottom"/>
            <w:tcBorders>
              <w:right w:val="single" w:sz="8" w:color="auto"/>
            </w:tcBorders>
          </w:tcPr>
          <w:p>
            <w:pPr>
              <w:spacing w:after="0"/>
              <w:rPr>
                <w:sz w:val="13"/>
                <w:szCs w:val="13"/>
                <w:color w:val="auto"/>
              </w:rPr>
            </w:pPr>
          </w:p>
        </w:tc>
      </w:tr>
      <w:tr>
        <w:trPr>
          <w:trHeight w:val="184"/>
        </w:trPr>
        <w:tc>
          <w:tcPr>
            <w:tcW w:w="1320" w:type="dxa"/>
            <w:vAlign w:val="bottom"/>
            <w:tcBorders>
              <w:left w:val="single" w:sz="8" w:color="auto"/>
              <w:right w:val="single" w:sz="8" w:color="auto"/>
            </w:tcBorders>
          </w:tcPr>
          <w:p>
            <w:pPr>
              <w:spacing w:after="0"/>
              <w:rPr>
                <w:sz w:val="16"/>
                <w:szCs w:val="16"/>
                <w:color w:val="auto"/>
              </w:rPr>
            </w:pPr>
          </w:p>
        </w:tc>
        <w:tc>
          <w:tcPr>
            <w:tcW w:w="6340" w:type="dxa"/>
            <w:vAlign w:val="bottom"/>
            <w:tcBorders>
              <w:right w:val="single" w:sz="8" w:color="auto"/>
            </w:tcBorders>
          </w:tcPr>
          <w:p>
            <w:pPr>
              <w:ind w:left="260"/>
              <w:spacing w:after="0"/>
              <w:rPr>
                <w:sz w:val="20"/>
                <w:szCs w:val="20"/>
                <w:color w:val="auto"/>
              </w:rPr>
            </w:pPr>
            <w:r>
              <w:rPr>
                <w:rFonts w:ascii="Arial" w:cs="Arial" w:eastAsia="Arial" w:hAnsi="Arial"/>
                <w:sz w:val="14"/>
                <w:szCs w:val="14"/>
                <w:color w:val="auto"/>
              </w:rPr>
              <w:t>§  future impacts of various items including changes in tax laws</w:t>
            </w:r>
          </w:p>
        </w:tc>
      </w:tr>
      <w:tr>
        <w:trPr>
          <w:trHeight w:val="204"/>
        </w:trPr>
        <w:tc>
          <w:tcPr>
            <w:tcW w:w="1320" w:type="dxa"/>
            <w:vAlign w:val="bottom"/>
            <w:tcBorders>
              <w:left w:val="single" w:sz="8" w:color="auto"/>
              <w:right w:val="single" w:sz="8" w:color="auto"/>
            </w:tcBorders>
          </w:tcPr>
          <w:p>
            <w:pPr>
              <w:spacing w:after="0"/>
              <w:rPr>
                <w:sz w:val="17"/>
                <w:szCs w:val="17"/>
                <w:color w:val="auto"/>
              </w:rPr>
            </w:pPr>
          </w:p>
        </w:tc>
        <w:tc>
          <w:tcPr>
            <w:tcW w:w="6340" w:type="dxa"/>
            <w:vAlign w:val="bottom"/>
            <w:tcBorders>
              <w:right w:val="single" w:sz="8" w:color="auto"/>
            </w:tcBorders>
          </w:tcPr>
          <w:p>
            <w:pPr>
              <w:ind w:left="260"/>
              <w:spacing w:after="0"/>
              <w:rPr>
                <w:sz w:val="20"/>
                <w:szCs w:val="20"/>
                <w:color w:val="auto"/>
              </w:rPr>
            </w:pPr>
            <w:r>
              <w:rPr>
                <w:rFonts w:ascii="Arial" w:cs="Arial" w:eastAsia="Arial" w:hAnsi="Arial"/>
                <w:sz w:val="14"/>
                <w:szCs w:val="14"/>
                <w:color w:val="auto"/>
              </w:rPr>
              <w:t>§  our financial condition in future periods</w:t>
            </w:r>
          </w:p>
        </w:tc>
      </w:tr>
      <w:tr>
        <w:trPr>
          <w:trHeight w:val="204"/>
        </w:trPr>
        <w:tc>
          <w:tcPr>
            <w:tcW w:w="1320" w:type="dxa"/>
            <w:vAlign w:val="bottom"/>
            <w:tcBorders>
              <w:left w:val="single" w:sz="8" w:color="auto"/>
              <w:right w:val="single" w:sz="8" w:color="auto"/>
            </w:tcBorders>
          </w:tcPr>
          <w:p>
            <w:pPr>
              <w:spacing w:after="0"/>
              <w:rPr>
                <w:sz w:val="17"/>
                <w:szCs w:val="17"/>
                <w:color w:val="auto"/>
              </w:rPr>
            </w:pPr>
          </w:p>
        </w:tc>
        <w:tc>
          <w:tcPr>
            <w:tcW w:w="6340" w:type="dxa"/>
            <w:vAlign w:val="bottom"/>
            <w:tcBorders>
              <w:right w:val="single" w:sz="8" w:color="auto"/>
            </w:tcBorders>
          </w:tcPr>
          <w:p>
            <w:pPr>
              <w:ind w:left="260"/>
              <w:spacing w:after="0"/>
              <w:rPr>
                <w:sz w:val="20"/>
                <w:szCs w:val="20"/>
                <w:color w:val="auto"/>
              </w:rPr>
            </w:pPr>
            <w:r>
              <w:rPr>
                <w:rFonts w:ascii="Arial" w:cs="Arial" w:eastAsia="Arial" w:hAnsi="Arial"/>
                <w:sz w:val="14"/>
                <w:szCs w:val="14"/>
                <w:color w:val="auto"/>
              </w:rPr>
              <w:t>§  the resolution of various income tax issues between us and taxing authorities</w:t>
            </w:r>
          </w:p>
        </w:tc>
      </w:tr>
      <w:tr>
        <w:trPr>
          <w:trHeight w:val="392"/>
        </w:trPr>
        <w:tc>
          <w:tcPr>
            <w:tcW w:w="1320" w:type="dxa"/>
            <w:vAlign w:val="bottom"/>
            <w:tcBorders>
              <w:left w:val="single" w:sz="8" w:color="auto"/>
              <w:right w:val="single" w:sz="8" w:color="auto"/>
            </w:tcBorders>
          </w:tcPr>
          <w:p>
            <w:pPr>
              <w:spacing w:after="0"/>
              <w:rPr>
                <w:sz w:val="24"/>
                <w:szCs w:val="24"/>
                <w:color w:val="auto"/>
              </w:rPr>
            </w:pPr>
          </w:p>
        </w:tc>
        <w:tc>
          <w:tcPr>
            <w:tcW w:w="6340" w:type="dxa"/>
            <w:vAlign w:val="bottom"/>
            <w:tcBorders>
              <w:right w:val="single" w:sz="8" w:color="auto"/>
            </w:tcBorders>
          </w:tcPr>
          <w:p>
            <w:pPr>
              <w:ind w:left="260"/>
              <w:spacing w:after="0"/>
              <w:rPr>
                <w:sz w:val="20"/>
                <w:szCs w:val="20"/>
                <w:color w:val="auto"/>
              </w:rPr>
            </w:pPr>
            <w:r>
              <w:rPr>
                <w:rFonts w:ascii="Arial" w:cs="Arial" w:eastAsia="Arial" w:hAnsi="Arial"/>
                <w:sz w:val="14"/>
                <w:szCs w:val="14"/>
                <w:color w:val="auto"/>
              </w:rPr>
              <w:t>We discuss details of our issues in this area in Note 8 of the Notes to Consolidated Financial</w:t>
            </w:r>
          </w:p>
        </w:tc>
      </w:tr>
      <w:tr>
        <w:trPr>
          <w:trHeight w:val="175"/>
        </w:trPr>
        <w:tc>
          <w:tcPr>
            <w:tcW w:w="1320" w:type="dxa"/>
            <w:vAlign w:val="bottom"/>
            <w:tcBorders>
              <w:left w:val="single" w:sz="8" w:color="auto"/>
              <w:bottom w:val="single" w:sz="8" w:color="auto"/>
              <w:right w:val="single" w:sz="8" w:color="auto"/>
            </w:tcBorders>
          </w:tcPr>
          <w:p>
            <w:pPr>
              <w:spacing w:after="0"/>
              <w:rPr>
                <w:sz w:val="15"/>
                <w:szCs w:val="15"/>
                <w:color w:val="auto"/>
              </w:rPr>
            </w:pPr>
          </w:p>
        </w:tc>
        <w:tc>
          <w:tcPr>
            <w:tcW w:w="6340" w:type="dxa"/>
            <w:vAlign w:val="bottom"/>
            <w:tcBorders>
              <w:bottom w:val="single" w:sz="8" w:color="auto"/>
              <w:right w:val="single" w:sz="8" w:color="auto"/>
            </w:tcBorders>
          </w:tcPr>
          <w:p>
            <w:pPr>
              <w:ind w:left="260"/>
              <w:spacing w:after="0"/>
              <w:rPr>
                <w:sz w:val="20"/>
                <w:szCs w:val="20"/>
                <w:color w:val="auto"/>
              </w:rPr>
            </w:pPr>
            <w:r>
              <w:rPr>
                <w:rFonts w:ascii="Arial" w:cs="Arial" w:eastAsia="Arial" w:hAnsi="Arial"/>
                <w:sz w:val="14"/>
                <w:szCs w:val="14"/>
                <w:color w:val="auto"/>
              </w:rPr>
              <w:t>Statements.</w:t>
            </w:r>
          </w:p>
        </w:tc>
      </w:tr>
    </w:tbl>
    <w:p>
      <w:pPr>
        <w:spacing w:after="0" w:line="376" w:lineRule="exact"/>
        <w:rPr>
          <w:sz w:val="20"/>
          <w:szCs w:val="20"/>
          <w:color w:val="auto"/>
        </w:rPr>
      </w:pPr>
    </w:p>
    <w:p>
      <w:pPr>
        <w:spacing w:after="0"/>
        <w:rPr>
          <w:sz w:val="20"/>
          <w:szCs w:val="20"/>
          <w:color w:val="auto"/>
        </w:rPr>
      </w:pPr>
      <w:r>
        <w:rPr>
          <w:rFonts w:ascii="Arial" w:cs="Arial" w:eastAsia="Arial" w:hAnsi="Arial"/>
          <w:sz w:val="14"/>
          <w:szCs w:val="14"/>
          <w:color w:val="auto"/>
        </w:rPr>
        <w:t>50</w:t>
      </w:r>
    </w:p>
    <w:p>
      <w:pPr>
        <w:sectPr>
          <w:pgSz w:w="11900" w:h="16838" w:orient="portrait"/>
          <w:cols w:equalWidth="0" w:num="1">
            <w:col w:w="10219"/>
          </w:cols>
          <w:pgMar w:left="240" w:top="400" w:right="1440" w:bottom="1440" w:gutter="0" w:footer="0" w:header="0"/>
        </w:sectPr>
      </w:pPr>
    </w:p>
    <w:bookmarkStart w:id="190" w:name="page191"/>
    <w:bookmarkEnd w:id="190"/>
    <w:p>
      <w:pPr>
        <w:ind w:left="1880"/>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1347470</wp:posOffset>
            </wp:positionH>
            <wp:positionV relativeFrom="page">
              <wp:posOffset>226060</wp:posOffset>
            </wp:positionV>
            <wp:extent cx="4874260" cy="3048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4874260" cy="30480"/>
                    </a:xfrm>
                    <a:prstGeom prst="rect">
                      <a:avLst/>
                    </a:prstGeom>
                    <a:noFill/>
                  </pic:spPr>
                </pic:pic>
              </a:graphicData>
            </a:graphic>
          </wp:anchor>
        </w:drawing>
        <w:t>SEMPRA ENERGY, SDG&amp;E AND SOCALGAS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1195070</wp:posOffset>
            </wp:positionH>
            <wp:positionV relativeFrom="paragraph">
              <wp:posOffset>22860</wp:posOffset>
            </wp:positionV>
            <wp:extent cx="4874260" cy="762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4874260" cy="7620"/>
                    </a:xfrm>
                    <a:prstGeom prst="rect">
                      <a:avLst/>
                    </a:prstGeom>
                    <a:noFill/>
                  </pic:spPr>
                </pic:pic>
              </a:graphicData>
            </a:graphic>
          </wp:anchor>
        </w:drawing>
      </w:r>
    </w:p>
    <w:p>
      <w:pPr>
        <w:spacing w:after="0" w:line="23" w:lineRule="exact"/>
        <w:rPr>
          <w:sz w:val="20"/>
          <w:szCs w:val="20"/>
          <w:color w:val="auto"/>
        </w:rPr>
      </w:pPr>
    </w:p>
    <w:p>
      <w:pPr>
        <w:ind w:left="1880"/>
        <w:spacing w:after="0"/>
        <w:rPr>
          <w:sz w:val="20"/>
          <w:szCs w:val="20"/>
          <w:color w:val="auto"/>
        </w:rPr>
      </w:pPr>
      <w:r>
        <w:rPr>
          <w:rFonts w:ascii="Arial" w:cs="Arial" w:eastAsia="Arial" w:hAnsi="Arial"/>
          <w:sz w:val="14"/>
          <w:szCs w:val="14"/>
          <w:b w:val="1"/>
          <w:bCs w:val="1"/>
          <w:color w:val="auto"/>
        </w:rPr>
        <w:t>INCOME TAXES (CONTINUED)</w:t>
      </w:r>
    </w:p>
    <w:p>
      <w:pPr>
        <w:spacing w:after="0" w:line="31" w:lineRule="exact"/>
        <w:rPr>
          <w:sz w:val="20"/>
          <w:szCs w:val="20"/>
          <w:color w:val="auto"/>
        </w:rPr>
      </w:pPr>
    </w:p>
    <w:p>
      <w:pPr>
        <w:ind w:left="1880" w:right="739"/>
        <w:spacing w:after="0" w:line="263" w:lineRule="auto"/>
        <w:rPr>
          <w:sz w:val="20"/>
          <w:szCs w:val="20"/>
          <w:color w:val="auto"/>
        </w:rPr>
      </w:pPr>
      <w:r>
        <w:rPr>
          <w:rFonts w:ascii="Arial" w:cs="Arial" w:eastAsia="Arial" w:hAnsi="Arial"/>
          <w:sz w:val="14"/>
          <w:szCs w:val="14"/>
          <w:b w:val="1"/>
          <w:bCs w:val="1"/>
          <w:color w:val="auto"/>
        </w:rPr>
        <w:t>FIN 48 clarifies the accounting for uncertainty in income taxes recognized in a company's financial statements. FIN 48 addresses how an entity should recognize, measure, classify and disclose in its financial statements uncertain tax positions that it has taken or expects to take in an income tax return. FIN 48 also provides guidance on derecognition, classification, interest and penalties, accounting in interim periods, disclosure and transition.</w:t>
      </w:r>
    </w:p>
    <w:p>
      <w:pPr>
        <w:spacing w:after="0" w:line="192" w:lineRule="exact"/>
        <w:rPr>
          <w:sz w:val="20"/>
          <w:szCs w:val="20"/>
          <w:color w:val="auto"/>
        </w:rPr>
      </w:pPr>
    </w:p>
    <w:tbl>
      <w:tblPr>
        <w:tblLayout w:type="fixed"/>
        <w:tblInd w:w="1890" w:type="dxa"/>
        <w:tblCellMar>
          <w:top w:w="0" w:type="dxa"/>
          <w:left w:w="0" w:type="dxa"/>
          <w:bottom w:w="0" w:type="dxa"/>
          <w:right w:w="0" w:type="dxa"/>
        </w:tblCellMar>
      </w:tblPr>
      <w:tr>
        <w:trPr>
          <w:trHeight w:val="184"/>
        </w:trPr>
        <w:tc>
          <w:tcPr>
            <w:tcW w:w="1340" w:type="dxa"/>
            <w:vAlign w:val="bottom"/>
            <w:tcBorders>
              <w:top w:val="single" w:sz="8" w:color="auto"/>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Assumptions &amp;</w:t>
            </w:r>
          </w:p>
        </w:tc>
        <w:tc>
          <w:tcPr>
            <w:tcW w:w="6340" w:type="dxa"/>
            <w:vAlign w:val="bottom"/>
            <w:tcBorders>
              <w:top w:val="single" w:sz="8" w:color="auto"/>
              <w:right w:val="single" w:sz="8" w:color="auto"/>
            </w:tcBorders>
          </w:tcPr>
          <w:p>
            <w:pPr>
              <w:ind w:left="220"/>
              <w:spacing w:after="0"/>
              <w:rPr>
                <w:sz w:val="20"/>
                <w:szCs w:val="20"/>
                <w:color w:val="auto"/>
              </w:rPr>
            </w:pPr>
            <w:r>
              <w:rPr>
                <w:rFonts w:ascii="Arial" w:cs="Arial" w:eastAsia="Arial" w:hAnsi="Arial"/>
                <w:sz w:val="14"/>
                <w:szCs w:val="14"/>
                <w:color w:val="auto"/>
              </w:rPr>
              <w:t>For a position to qualify for benefit recognition under FIN 48, the position must have at least a</w:t>
            </w:r>
          </w:p>
        </w:tc>
      </w:tr>
      <w:tr>
        <w:trPr>
          <w:trHeight w:val="178"/>
        </w:trPr>
        <w:tc>
          <w:tcPr>
            <w:tcW w:w="13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Approach Used</w:t>
            </w:r>
          </w:p>
        </w:tc>
        <w:tc>
          <w:tcPr>
            <w:tcW w:w="6340" w:type="dxa"/>
            <w:vAlign w:val="bottom"/>
            <w:tcBorders>
              <w:right w:val="single" w:sz="8" w:color="auto"/>
            </w:tcBorders>
          </w:tcPr>
          <w:p>
            <w:pPr>
              <w:ind w:left="220"/>
              <w:spacing w:after="0"/>
              <w:rPr>
                <w:sz w:val="20"/>
                <w:szCs w:val="20"/>
                <w:color w:val="auto"/>
              </w:rPr>
            </w:pPr>
            <w:r>
              <w:rPr>
                <w:rFonts w:ascii="Arial" w:cs="Arial" w:eastAsia="Arial" w:hAnsi="Arial"/>
                <w:sz w:val="14"/>
                <w:szCs w:val="14"/>
                <w:color w:val="auto"/>
              </w:rPr>
              <w:t>"more likely than not" chance of being sustained (based on the position’s technical merits) upon</w:t>
            </w:r>
          </w:p>
        </w:tc>
      </w:tr>
      <w:tr>
        <w:trPr>
          <w:trHeight w:val="168"/>
        </w:trPr>
        <w:tc>
          <w:tcPr>
            <w:tcW w:w="1340" w:type="dxa"/>
            <w:vAlign w:val="bottom"/>
            <w:tcBorders>
              <w:left w:val="single" w:sz="8" w:color="auto"/>
              <w:right w:val="single" w:sz="8" w:color="auto"/>
            </w:tcBorders>
          </w:tcPr>
          <w:p>
            <w:pPr>
              <w:spacing w:after="0"/>
              <w:rPr>
                <w:sz w:val="14"/>
                <w:szCs w:val="14"/>
                <w:color w:val="auto"/>
              </w:rPr>
            </w:pPr>
          </w:p>
        </w:tc>
        <w:tc>
          <w:tcPr>
            <w:tcW w:w="6340" w:type="dxa"/>
            <w:vAlign w:val="bottom"/>
            <w:tcBorders>
              <w:right w:val="single" w:sz="8" w:color="auto"/>
            </w:tcBorders>
          </w:tcPr>
          <w:p>
            <w:pPr>
              <w:ind w:left="220"/>
              <w:spacing w:after="0"/>
              <w:rPr>
                <w:sz w:val="20"/>
                <w:szCs w:val="20"/>
                <w:color w:val="auto"/>
              </w:rPr>
            </w:pPr>
            <w:r>
              <w:rPr>
                <w:rFonts w:ascii="Arial" w:cs="Arial" w:eastAsia="Arial" w:hAnsi="Arial"/>
                <w:sz w:val="14"/>
                <w:szCs w:val="14"/>
                <w:color w:val="auto"/>
              </w:rPr>
              <w:t>challenge by the respective authorities. The term "more likely than not" means a likelihood of</w:t>
            </w:r>
          </w:p>
        </w:tc>
      </w:tr>
      <w:tr>
        <w:trPr>
          <w:trHeight w:val="168"/>
        </w:trPr>
        <w:tc>
          <w:tcPr>
            <w:tcW w:w="1340" w:type="dxa"/>
            <w:vAlign w:val="bottom"/>
            <w:tcBorders>
              <w:left w:val="single" w:sz="8" w:color="auto"/>
              <w:right w:val="single" w:sz="8" w:color="auto"/>
            </w:tcBorders>
          </w:tcPr>
          <w:p>
            <w:pPr>
              <w:spacing w:after="0"/>
              <w:rPr>
                <w:sz w:val="14"/>
                <w:szCs w:val="14"/>
                <w:color w:val="auto"/>
              </w:rPr>
            </w:pPr>
          </w:p>
        </w:tc>
        <w:tc>
          <w:tcPr>
            <w:tcW w:w="6340" w:type="dxa"/>
            <w:vAlign w:val="bottom"/>
            <w:tcBorders>
              <w:right w:val="single" w:sz="8" w:color="auto"/>
            </w:tcBorders>
          </w:tcPr>
          <w:p>
            <w:pPr>
              <w:ind w:left="220"/>
              <w:spacing w:after="0"/>
              <w:rPr>
                <w:sz w:val="20"/>
                <w:szCs w:val="20"/>
                <w:color w:val="auto"/>
              </w:rPr>
            </w:pPr>
            <w:r>
              <w:rPr>
                <w:rFonts w:ascii="Arial" w:cs="Arial" w:eastAsia="Arial" w:hAnsi="Arial"/>
                <w:sz w:val="14"/>
                <w:szCs w:val="14"/>
                <w:color w:val="auto"/>
              </w:rPr>
              <w:t>more than 50 percent. If we do not have a more likely than not position with respect to a tax</w:t>
            </w:r>
          </w:p>
        </w:tc>
      </w:tr>
      <w:tr>
        <w:trPr>
          <w:trHeight w:val="168"/>
        </w:trPr>
        <w:tc>
          <w:tcPr>
            <w:tcW w:w="1340" w:type="dxa"/>
            <w:vAlign w:val="bottom"/>
            <w:tcBorders>
              <w:left w:val="single" w:sz="8" w:color="auto"/>
              <w:right w:val="single" w:sz="8" w:color="auto"/>
            </w:tcBorders>
          </w:tcPr>
          <w:p>
            <w:pPr>
              <w:spacing w:after="0"/>
              <w:rPr>
                <w:sz w:val="14"/>
                <w:szCs w:val="14"/>
                <w:color w:val="auto"/>
              </w:rPr>
            </w:pPr>
          </w:p>
        </w:tc>
        <w:tc>
          <w:tcPr>
            <w:tcW w:w="6340" w:type="dxa"/>
            <w:vAlign w:val="bottom"/>
            <w:tcBorders>
              <w:right w:val="single" w:sz="8" w:color="auto"/>
            </w:tcBorders>
          </w:tcPr>
          <w:p>
            <w:pPr>
              <w:ind w:left="220"/>
              <w:spacing w:after="0"/>
              <w:rPr>
                <w:sz w:val="20"/>
                <w:szCs w:val="20"/>
                <w:color w:val="auto"/>
              </w:rPr>
            </w:pPr>
            <w:r>
              <w:rPr>
                <w:rFonts w:ascii="Arial" w:cs="Arial" w:eastAsia="Arial" w:hAnsi="Arial"/>
                <w:sz w:val="14"/>
                <w:szCs w:val="14"/>
                <w:color w:val="auto"/>
              </w:rPr>
              <w:t>position, then we may not recognize any of the potential tax benefit associated with the</w:t>
            </w:r>
          </w:p>
        </w:tc>
      </w:tr>
      <w:tr>
        <w:trPr>
          <w:trHeight w:val="168"/>
        </w:trPr>
        <w:tc>
          <w:tcPr>
            <w:tcW w:w="1340" w:type="dxa"/>
            <w:vAlign w:val="bottom"/>
            <w:tcBorders>
              <w:left w:val="single" w:sz="8" w:color="auto"/>
              <w:right w:val="single" w:sz="8" w:color="auto"/>
            </w:tcBorders>
          </w:tcPr>
          <w:p>
            <w:pPr>
              <w:spacing w:after="0"/>
              <w:rPr>
                <w:sz w:val="14"/>
                <w:szCs w:val="14"/>
                <w:color w:val="auto"/>
              </w:rPr>
            </w:pPr>
          </w:p>
        </w:tc>
        <w:tc>
          <w:tcPr>
            <w:tcW w:w="6340" w:type="dxa"/>
            <w:vAlign w:val="bottom"/>
            <w:tcBorders>
              <w:right w:val="single" w:sz="8" w:color="auto"/>
            </w:tcBorders>
          </w:tcPr>
          <w:p>
            <w:pPr>
              <w:ind w:left="220"/>
              <w:spacing w:after="0"/>
              <w:rPr>
                <w:sz w:val="20"/>
                <w:szCs w:val="20"/>
                <w:color w:val="auto"/>
              </w:rPr>
            </w:pPr>
            <w:r>
              <w:rPr>
                <w:rFonts w:ascii="Arial" w:cs="Arial" w:eastAsia="Arial" w:hAnsi="Arial"/>
                <w:sz w:val="14"/>
                <w:szCs w:val="14"/>
                <w:color w:val="auto"/>
              </w:rPr>
              <w:t>position. A tax position that meets the "more likely than not" recognition shall be measured as</w:t>
            </w:r>
          </w:p>
        </w:tc>
      </w:tr>
      <w:tr>
        <w:trPr>
          <w:trHeight w:val="168"/>
        </w:trPr>
        <w:tc>
          <w:tcPr>
            <w:tcW w:w="1340" w:type="dxa"/>
            <w:vAlign w:val="bottom"/>
            <w:tcBorders>
              <w:left w:val="single" w:sz="8" w:color="auto"/>
              <w:right w:val="single" w:sz="8" w:color="auto"/>
            </w:tcBorders>
          </w:tcPr>
          <w:p>
            <w:pPr>
              <w:spacing w:after="0"/>
              <w:rPr>
                <w:sz w:val="14"/>
                <w:szCs w:val="14"/>
                <w:color w:val="auto"/>
              </w:rPr>
            </w:pPr>
          </w:p>
        </w:tc>
        <w:tc>
          <w:tcPr>
            <w:tcW w:w="6340" w:type="dxa"/>
            <w:vAlign w:val="bottom"/>
            <w:tcBorders>
              <w:right w:val="single" w:sz="8" w:color="auto"/>
            </w:tcBorders>
          </w:tcPr>
          <w:p>
            <w:pPr>
              <w:ind w:left="220"/>
              <w:spacing w:after="0"/>
              <w:rPr>
                <w:sz w:val="20"/>
                <w:szCs w:val="20"/>
                <w:color w:val="auto"/>
              </w:rPr>
            </w:pPr>
            <w:r>
              <w:rPr>
                <w:rFonts w:ascii="Arial" w:cs="Arial" w:eastAsia="Arial" w:hAnsi="Arial"/>
                <w:sz w:val="14"/>
                <w:szCs w:val="14"/>
                <w:color w:val="auto"/>
              </w:rPr>
              <w:t>the largest amount of tax benefit that is greater than 50 percent likely of being realized upon</w:t>
            </w:r>
          </w:p>
        </w:tc>
      </w:tr>
      <w:tr>
        <w:trPr>
          <w:trHeight w:val="175"/>
        </w:trPr>
        <w:tc>
          <w:tcPr>
            <w:tcW w:w="1340" w:type="dxa"/>
            <w:vAlign w:val="bottom"/>
            <w:tcBorders>
              <w:left w:val="single" w:sz="8" w:color="auto"/>
              <w:bottom w:val="single" w:sz="8" w:color="auto"/>
              <w:right w:val="single" w:sz="8" w:color="auto"/>
            </w:tcBorders>
          </w:tcPr>
          <w:p>
            <w:pPr>
              <w:spacing w:after="0"/>
              <w:rPr>
                <w:sz w:val="15"/>
                <w:szCs w:val="15"/>
                <w:color w:val="auto"/>
              </w:rPr>
            </w:pPr>
          </w:p>
        </w:tc>
        <w:tc>
          <w:tcPr>
            <w:tcW w:w="6340" w:type="dxa"/>
            <w:vAlign w:val="bottom"/>
            <w:tcBorders>
              <w:bottom w:val="single" w:sz="8" w:color="auto"/>
              <w:right w:val="single" w:sz="8" w:color="auto"/>
            </w:tcBorders>
          </w:tcPr>
          <w:p>
            <w:pPr>
              <w:ind w:left="220"/>
              <w:spacing w:after="0"/>
              <w:rPr>
                <w:sz w:val="20"/>
                <w:szCs w:val="20"/>
                <w:color w:val="auto"/>
              </w:rPr>
            </w:pPr>
            <w:r>
              <w:rPr>
                <w:rFonts w:ascii="Arial" w:cs="Arial" w:eastAsia="Arial" w:hAnsi="Arial"/>
                <w:sz w:val="14"/>
                <w:szCs w:val="14"/>
                <w:color w:val="auto"/>
              </w:rPr>
              <w:t>the effective resolution of the tax position.</w:t>
            </w:r>
          </w:p>
        </w:tc>
      </w:tr>
      <w:tr>
        <w:trPr>
          <w:trHeight w:val="167"/>
        </w:trPr>
        <w:tc>
          <w:tcPr>
            <w:tcW w:w="13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Effect if Different</w:t>
            </w:r>
          </w:p>
        </w:tc>
        <w:tc>
          <w:tcPr>
            <w:tcW w:w="6340" w:type="dxa"/>
            <w:vAlign w:val="bottom"/>
            <w:tcBorders>
              <w:right w:val="single" w:sz="8" w:color="auto"/>
            </w:tcBorders>
          </w:tcPr>
          <w:p>
            <w:pPr>
              <w:ind w:left="220"/>
              <w:spacing w:after="0"/>
              <w:rPr>
                <w:sz w:val="20"/>
                <w:szCs w:val="20"/>
                <w:color w:val="auto"/>
              </w:rPr>
            </w:pPr>
            <w:r>
              <w:rPr>
                <w:rFonts w:ascii="Arial" w:cs="Arial" w:eastAsia="Arial" w:hAnsi="Arial"/>
                <w:sz w:val="14"/>
                <w:szCs w:val="14"/>
                <w:color w:val="auto"/>
              </w:rPr>
              <w:t>Unrecognized tax benefits involve management’s judgment regarding the likelihood of the</w:t>
            </w:r>
          </w:p>
        </w:tc>
      </w:tr>
      <w:tr>
        <w:trPr>
          <w:trHeight w:val="178"/>
        </w:trPr>
        <w:tc>
          <w:tcPr>
            <w:tcW w:w="13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Assumptions Used</w:t>
            </w:r>
          </w:p>
        </w:tc>
        <w:tc>
          <w:tcPr>
            <w:tcW w:w="6340" w:type="dxa"/>
            <w:vAlign w:val="bottom"/>
            <w:tcBorders>
              <w:right w:val="single" w:sz="8" w:color="auto"/>
            </w:tcBorders>
          </w:tcPr>
          <w:p>
            <w:pPr>
              <w:ind w:left="220"/>
              <w:spacing w:after="0"/>
              <w:rPr>
                <w:sz w:val="20"/>
                <w:szCs w:val="20"/>
                <w:color w:val="auto"/>
              </w:rPr>
            </w:pPr>
            <w:r>
              <w:rPr>
                <w:rFonts w:ascii="Arial" w:cs="Arial" w:eastAsia="Arial" w:hAnsi="Arial"/>
                <w:sz w:val="14"/>
                <w:szCs w:val="14"/>
                <w:color w:val="auto"/>
              </w:rPr>
              <w:t>benefit being sustained. The final resolution of uncertain tax positions could result in</w:t>
            </w:r>
          </w:p>
        </w:tc>
      </w:tr>
      <w:tr>
        <w:trPr>
          <w:trHeight w:val="168"/>
        </w:trPr>
        <w:tc>
          <w:tcPr>
            <w:tcW w:w="1340" w:type="dxa"/>
            <w:vAlign w:val="bottom"/>
            <w:tcBorders>
              <w:left w:val="single" w:sz="8" w:color="auto"/>
              <w:right w:val="single" w:sz="8" w:color="auto"/>
            </w:tcBorders>
          </w:tcPr>
          <w:p>
            <w:pPr>
              <w:spacing w:after="0"/>
              <w:rPr>
                <w:sz w:val="14"/>
                <w:szCs w:val="14"/>
                <w:color w:val="auto"/>
              </w:rPr>
            </w:pPr>
          </w:p>
        </w:tc>
        <w:tc>
          <w:tcPr>
            <w:tcW w:w="6340" w:type="dxa"/>
            <w:vAlign w:val="bottom"/>
            <w:tcBorders>
              <w:right w:val="single" w:sz="8" w:color="auto"/>
            </w:tcBorders>
          </w:tcPr>
          <w:p>
            <w:pPr>
              <w:ind w:left="220"/>
              <w:spacing w:after="0"/>
              <w:rPr>
                <w:sz w:val="20"/>
                <w:szCs w:val="20"/>
                <w:color w:val="auto"/>
              </w:rPr>
            </w:pPr>
            <w:r>
              <w:rPr>
                <w:rFonts w:ascii="Arial" w:cs="Arial" w:eastAsia="Arial" w:hAnsi="Arial"/>
                <w:sz w:val="14"/>
                <w:szCs w:val="14"/>
                <w:color w:val="auto"/>
              </w:rPr>
              <w:t>adjustments to recorded amounts and may affect our results of operations, financial position</w:t>
            </w:r>
          </w:p>
        </w:tc>
      </w:tr>
      <w:tr>
        <w:trPr>
          <w:trHeight w:val="172"/>
        </w:trPr>
        <w:tc>
          <w:tcPr>
            <w:tcW w:w="1340" w:type="dxa"/>
            <w:vAlign w:val="bottom"/>
            <w:tcBorders>
              <w:left w:val="single" w:sz="8" w:color="auto"/>
              <w:right w:val="single" w:sz="8" w:color="auto"/>
            </w:tcBorders>
          </w:tcPr>
          <w:p>
            <w:pPr>
              <w:spacing w:after="0"/>
              <w:rPr>
                <w:sz w:val="14"/>
                <w:szCs w:val="14"/>
                <w:color w:val="auto"/>
              </w:rPr>
            </w:pPr>
          </w:p>
        </w:tc>
        <w:tc>
          <w:tcPr>
            <w:tcW w:w="6340" w:type="dxa"/>
            <w:vAlign w:val="bottom"/>
            <w:tcBorders>
              <w:right w:val="single" w:sz="8" w:color="auto"/>
            </w:tcBorders>
          </w:tcPr>
          <w:p>
            <w:pPr>
              <w:ind w:left="220"/>
              <w:spacing w:after="0"/>
              <w:rPr>
                <w:sz w:val="20"/>
                <w:szCs w:val="20"/>
                <w:color w:val="auto"/>
              </w:rPr>
            </w:pPr>
            <w:r>
              <w:rPr>
                <w:rFonts w:ascii="Arial" w:cs="Arial" w:eastAsia="Arial" w:hAnsi="Arial"/>
                <w:sz w:val="14"/>
                <w:szCs w:val="14"/>
                <w:color w:val="auto"/>
              </w:rPr>
              <w:t>and cash flows.</w:t>
            </w:r>
          </w:p>
        </w:tc>
      </w:tr>
      <w:tr>
        <w:trPr>
          <w:trHeight w:val="356"/>
        </w:trPr>
        <w:tc>
          <w:tcPr>
            <w:tcW w:w="1340" w:type="dxa"/>
            <w:vAlign w:val="bottom"/>
            <w:tcBorders>
              <w:left w:val="single" w:sz="8" w:color="auto"/>
              <w:right w:val="single" w:sz="8" w:color="auto"/>
            </w:tcBorders>
          </w:tcPr>
          <w:p>
            <w:pPr>
              <w:spacing w:after="0"/>
              <w:rPr>
                <w:sz w:val="24"/>
                <w:szCs w:val="24"/>
                <w:color w:val="auto"/>
              </w:rPr>
            </w:pPr>
          </w:p>
        </w:tc>
        <w:tc>
          <w:tcPr>
            <w:tcW w:w="6340" w:type="dxa"/>
            <w:vAlign w:val="bottom"/>
            <w:tcBorders>
              <w:right w:val="single" w:sz="8" w:color="auto"/>
            </w:tcBorders>
          </w:tcPr>
          <w:p>
            <w:pPr>
              <w:ind w:left="220"/>
              <w:spacing w:after="0"/>
              <w:rPr>
                <w:sz w:val="20"/>
                <w:szCs w:val="20"/>
                <w:color w:val="auto"/>
              </w:rPr>
            </w:pPr>
            <w:r>
              <w:rPr>
                <w:rFonts w:ascii="Arial" w:cs="Arial" w:eastAsia="Arial" w:hAnsi="Arial"/>
                <w:sz w:val="14"/>
                <w:szCs w:val="14"/>
                <w:color w:val="auto"/>
              </w:rPr>
              <w:t>We discuss additional information related to accounting for uncertainty in income taxes in Note</w:t>
            </w:r>
          </w:p>
        </w:tc>
      </w:tr>
      <w:tr>
        <w:trPr>
          <w:trHeight w:val="175"/>
        </w:trPr>
        <w:tc>
          <w:tcPr>
            <w:tcW w:w="1340" w:type="dxa"/>
            <w:vAlign w:val="bottom"/>
            <w:tcBorders>
              <w:left w:val="single" w:sz="8" w:color="auto"/>
              <w:bottom w:val="single" w:sz="8" w:color="auto"/>
              <w:right w:val="single" w:sz="8" w:color="auto"/>
            </w:tcBorders>
          </w:tcPr>
          <w:p>
            <w:pPr>
              <w:spacing w:after="0"/>
              <w:rPr>
                <w:sz w:val="15"/>
                <w:szCs w:val="15"/>
                <w:color w:val="auto"/>
              </w:rPr>
            </w:pPr>
          </w:p>
        </w:tc>
        <w:tc>
          <w:tcPr>
            <w:tcW w:w="6340" w:type="dxa"/>
            <w:vAlign w:val="bottom"/>
            <w:tcBorders>
              <w:bottom w:val="single" w:sz="8" w:color="auto"/>
              <w:right w:val="single" w:sz="8" w:color="auto"/>
            </w:tcBorders>
          </w:tcPr>
          <w:p>
            <w:pPr>
              <w:ind w:left="220"/>
              <w:spacing w:after="0"/>
              <w:rPr>
                <w:sz w:val="20"/>
                <w:szCs w:val="20"/>
                <w:color w:val="auto"/>
              </w:rPr>
            </w:pPr>
            <w:r>
              <w:rPr>
                <w:rFonts w:ascii="Arial" w:cs="Arial" w:eastAsia="Arial" w:hAnsi="Arial"/>
                <w:sz w:val="14"/>
                <w:szCs w:val="14"/>
                <w:color w:val="auto"/>
              </w:rPr>
              <w:t>8 of the Notes to Consolidated Financial Statements.</w:t>
            </w:r>
          </w:p>
        </w:tc>
      </w:tr>
      <w:tr>
        <w:trPr>
          <w:trHeight w:val="185"/>
        </w:trPr>
        <w:tc>
          <w:tcPr>
            <w:tcW w:w="1340" w:type="dxa"/>
            <w:vAlign w:val="bottom"/>
          </w:tcPr>
          <w:p>
            <w:pPr>
              <w:spacing w:after="0"/>
              <w:rPr>
                <w:sz w:val="20"/>
                <w:szCs w:val="20"/>
                <w:color w:val="auto"/>
              </w:rPr>
            </w:pPr>
            <w:r>
              <w:rPr>
                <w:rFonts w:ascii="Arial" w:cs="Arial" w:eastAsia="Arial" w:hAnsi="Arial"/>
                <w:sz w:val="14"/>
                <w:szCs w:val="14"/>
                <w:b w:val="1"/>
                <w:bCs w:val="1"/>
                <w:color w:val="auto"/>
              </w:rPr>
              <w:t>DERIVATIVES</w:t>
            </w:r>
          </w:p>
        </w:tc>
        <w:tc>
          <w:tcPr>
            <w:tcW w:w="6340" w:type="dxa"/>
            <w:vAlign w:val="bottom"/>
          </w:tcPr>
          <w:p>
            <w:pPr>
              <w:spacing w:after="0"/>
              <w:rPr>
                <w:sz w:val="16"/>
                <w:szCs w:val="16"/>
                <w:color w:val="auto"/>
              </w:rPr>
            </w:pPr>
          </w:p>
        </w:tc>
      </w:tr>
    </w:tbl>
    <w:p>
      <w:pPr>
        <w:ind w:left="1880" w:right="919"/>
        <w:spacing w:after="0" w:line="290" w:lineRule="auto"/>
        <w:rPr>
          <w:sz w:val="20"/>
          <w:szCs w:val="20"/>
          <w:color w:val="auto"/>
        </w:rPr>
      </w:pPr>
      <w:r>
        <w:rPr>
          <w:rFonts w:ascii="Arial" w:cs="Arial" w:eastAsia="Arial" w:hAnsi="Arial"/>
          <w:sz w:val="14"/>
          <w:szCs w:val="14"/>
          <w:b w:val="1"/>
          <w:bCs w:val="1"/>
          <w:color w:val="auto"/>
        </w:rPr>
        <w:t xml:space="preserve">SFAS 133, </w:t>
      </w:r>
      <w:r>
        <w:rPr>
          <w:rFonts w:ascii="Arial" w:cs="Arial" w:eastAsia="Arial" w:hAnsi="Arial"/>
          <w:sz w:val="14"/>
          <w:szCs w:val="14"/>
          <w:b w:val="1"/>
          <w:bCs w:val="1"/>
          <w:i w:val="1"/>
          <w:iCs w:val="1"/>
          <w:color w:val="auto"/>
        </w:rPr>
        <w:t>Accounting for Derivative Instruments and Hedging Activities</w:t>
      </w:r>
      <w:r>
        <w:rPr>
          <w:rFonts w:ascii="Arial" w:cs="Arial" w:eastAsia="Arial" w:hAnsi="Arial"/>
          <w:sz w:val="14"/>
          <w:szCs w:val="14"/>
          <w:b w:val="1"/>
          <w:bCs w:val="1"/>
          <w:color w:val="auto"/>
        </w:rPr>
        <w:t>, as amended, and related Emerging Issues Task Force Issues govern the accounting requirements for derivatives.</w:t>
      </w:r>
    </w:p>
    <w:p>
      <w:pPr>
        <w:spacing w:after="0" w:line="1" w:lineRule="exact"/>
        <w:rPr>
          <w:sz w:val="20"/>
          <w:szCs w:val="20"/>
          <w:color w:val="auto"/>
        </w:rPr>
      </w:pPr>
    </w:p>
    <w:tbl>
      <w:tblPr>
        <w:tblLayout w:type="fixed"/>
        <w:tblInd w:w="1890" w:type="dxa"/>
        <w:tblCellMar>
          <w:top w:w="0" w:type="dxa"/>
          <w:left w:w="0" w:type="dxa"/>
          <w:bottom w:w="0" w:type="dxa"/>
          <w:right w:w="0" w:type="dxa"/>
        </w:tblCellMar>
      </w:tblPr>
      <w:tr>
        <w:trPr>
          <w:trHeight w:val="184"/>
        </w:trPr>
        <w:tc>
          <w:tcPr>
            <w:tcW w:w="1340" w:type="dxa"/>
            <w:vAlign w:val="bottom"/>
            <w:tcBorders>
              <w:top w:val="single" w:sz="8" w:color="auto"/>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Assumptions &amp;</w:t>
            </w:r>
          </w:p>
        </w:tc>
        <w:tc>
          <w:tcPr>
            <w:tcW w:w="6340" w:type="dxa"/>
            <w:vAlign w:val="bottom"/>
            <w:tcBorders>
              <w:top w:val="single" w:sz="8" w:color="auto"/>
              <w:right w:val="single" w:sz="8" w:color="auto"/>
            </w:tcBorders>
          </w:tcPr>
          <w:p>
            <w:pPr>
              <w:ind w:left="260"/>
              <w:spacing w:after="0"/>
              <w:rPr>
                <w:sz w:val="20"/>
                <w:szCs w:val="20"/>
                <w:color w:val="auto"/>
              </w:rPr>
            </w:pPr>
            <w:r>
              <w:rPr>
                <w:rFonts w:ascii="Arial" w:cs="Arial" w:eastAsia="Arial" w:hAnsi="Arial"/>
                <w:sz w:val="14"/>
                <w:szCs w:val="14"/>
                <w:color w:val="auto"/>
              </w:rPr>
              <w:t>We value derivative instruments at fair value on the balance sheet. Depending on the purpose</w:t>
            </w:r>
          </w:p>
        </w:tc>
      </w:tr>
      <w:tr>
        <w:trPr>
          <w:trHeight w:val="178"/>
        </w:trPr>
        <w:tc>
          <w:tcPr>
            <w:tcW w:w="13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Approach Used</w:t>
            </w:r>
          </w:p>
        </w:tc>
        <w:tc>
          <w:tcPr>
            <w:tcW w:w="6340" w:type="dxa"/>
            <w:vAlign w:val="bottom"/>
            <w:tcBorders>
              <w:right w:val="single" w:sz="8" w:color="auto"/>
            </w:tcBorders>
          </w:tcPr>
          <w:p>
            <w:pPr>
              <w:ind w:left="260"/>
              <w:spacing w:after="0"/>
              <w:rPr>
                <w:sz w:val="20"/>
                <w:szCs w:val="20"/>
                <w:color w:val="auto"/>
              </w:rPr>
            </w:pPr>
            <w:r>
              <w:rPr>
                <w:rFonts w:ascii="Arial" w:cs="Arial" w:eastAsia="Arial" w:hAnsi="Arial"/>
                <w:sz w:val="14"/>
                <w:szCs w:val="14"/>
                <w:color w:val="auto"/>
              </w:rPr>
              <w:t>for the contract and the applicability of hedge accounting, the impact of instruments may be</w:t>
            </w:r>
          </w:p>
        </w:tc>
      </w:tr>
      <w:tr>
        <w:trPr>
          <w:trHeight w:val="168"/>
        </w:trPr>
        <w:tc>
          <w:tcPr>
            <w:tcW w:w="1340" w:type="dxa"/>
            <w:vAlign w:val="bottom"/>
            <w:tcBorders>
              <w:left w:val="single" w:sz="8" w:color="auto"/>
              <w:right w:val="single" w:sz="8" w:color="auto"/>
            </w:tcBorders>
          </w:tcPr>
          <w:p>
            <w:pPr>
              <w:spacing w:after="0"/>
              <w:rPr>
                <w:sz w:val="14"/>
                <w:szCs w:val="14"/>
                <w:color w:val="auto"/>
              </w:rPr>
            </w:pPr>
          </w:p>
        </w:tc>
        <w:tc>
          <w:tcPr>
            <w:tcW w:w="6340" w:type="dxa"/>
            <w:vAlign w:val="bottom"/>
            <w:tcBorders>
              <w:right w:val="single" w:sz="8" w:color="auto"/>
            </w:tcBorders>
          </w:tcPr>
          <w:p>
            <w:pPr>
              <w:ind w:left="260"/>
              <w:spacing w:after="0"/>
              <w:rPr>
                <w:sz w:val="20"/>
                <w:szCs w:val="20"/>
                <w:color w:val="auto"/>
              </w:rPr>
            </w:pPr>
            <w:r>
              <w:rPr>
                <w:rFonts w:ascii="Arial" w:cs="Arial" w:eastAsia="Arial" w:hAnsi="Arial"/>
                <w:sz w:val="14"/>
                <w:szCs w:val="14"/>
                <w:color w:val="auto"/>
              </w:rPr>
              <w:t>offset in earnings, on the balance sheet, or in other comprehensive income. We also use</w:t>
            </w:r>
          </w:p>
        </w:tc>
      </w:tr>
      <w:tr>
        <w:trPr>
          <w:trHeight w:val="168"/>
        </w:trPr>
        <w:tc>
          <w:tcPr>
            <w:tcW w:w="1340" w:type="dxa"/>
            <w:vAlign w:val="bottom"/>
            <w:tcBorders>
              <w:left w:val="single" w:sz="8" w:color="auto"/>
              <w:right w:val="single" w:sz="8" w:color="auto"/>
            </w:tcBorders>
          </w:tcPr>
          <w:p>
            <w:pPr>
              <w:spacing w:after="0"/>
              <w:rPr>
                <w:sz w:val="14"/>
                <w:szCs w:val="14"/>
                <w:color w:val="auto"/>
              </w:rPr>
            </w:pPr>
          </w:p>
        </w:tc>
        <w:tc>
          <w:tcPr>
            <w:tcW w:w="6340" w:type="dxa"/>
            <w:vAlign w:val="bottom"/>
            <w:tcBorders>
              <w:right w:val="single" w:sz="8" w:color="auto"/>
            </w:tcBorders>
          </w:tcPr>
          <w:p>
            <w:pPr>
              <w:ind w:left="260"/>
              <w:spacing w:after="0"/>
              <w:rPr>
                <w:sz w:val="20"/>
                <w:szCs w:val="20"/>
                <w:color w:val="auto"/>
              </w:rPr>
            </w:pPr>
            <w:r>
              <w:rPr>
                <w:rFonts w:ascii="Arial" w:cs="Arial" w:eastAsia="Arial" w:hAnsi="Arial"/>
                <w:sz w:val="14"/>
                <w:szCs w:val="14"/>
                <w:color w:val="auto"/>
              </w:rPr>
              <w:t>normal purchase or sale accounting for certain contracts. As discussed elsewhere in this</w:t>
            </w:r>
          </w:p>
        </w:tc>
      </w:tr>
      <w:tr>
        <w:trPr>
          <w:trHeight w:val="168"/>
        </w:trPr>
        <w:tc>
          <w:tcPr>
            <w:tcW w:w="1340" w:type="dxa"/>
            <w:vAlign w:val="bottom"/>
            <w:tcBorders>
              <w:left w:val="single" w:sz="8" w:color="auto"/>
              <w:right w:val="single" w:sz="8" w:color="auto"/>
            </w:tcBorders>
          </w:tcPr>
          <w:p>
            <w:pPr>
              <w:spacing w:after="0"/>
              <w:rPr>
                <w:sz w:val="14"/>
                <w:szCs w:val="14"/>
                <w:color w:val="auto"/>
              </w:rPr>
            </w:pPr>
          </w:p>
        </w:tc>
        <w:tc>
          <w:tcPr>
            <w:tcW w:w="6340" w:type="dxa"/>
            <w:vAlign w:val="bottom"/>
            <w:tcBorders>
              <w:right w:val="single" w:sz="8" w:color="auto"/>
            </w:tcBorders>
          </w:tcPr>
          <w:p>
            <w:pPr>
              <w:ind w:left="260"/>
              <w:spacing w:after="0"/>
              <w:rPr>
                <w:sz w:val="20"/>
                <w:szCs w:val="20"/>
                <w:color w:val="auto"/>
              </w:rPr>
            </w:pPr>
            <w:r>
              <w:rPr>
                <w:rFonts w:ascii="Arial" w:cs="Arial" w:eastAsia="Arial" w:hAnsi="Arial"/>
                <w:sz w:val="14"/>
                <w:szCs w:val="14"/>
                <w:color w:val="auto"/>
              </w:rPr>
              <w:t>report, whenever possible, we use exchange quotations or other third-party pricing to estimate</w:t>
            </w:r>
          </w:p>
        </w:tc>
      </w:tr>
      <w:tr>
        <w:trPr>
          <w:trHeight w:val="168"/>
        </w:trPr>
        <w:tc>
          <w:tcPr>
            <w:tcW w:w="1340" w:type="dxa"/>
            <w:vAlign w:val="bottom"/>
            <w:tcBorders>
              <w:left w:val="single" w:sz="8" w:color="auto"/>
              <w:right w:val="single" w:sz="8" w:color="auto"/>
            </w:tcBorders>
          </w:tcPr>
          <w:p>
            <w:pPr>
              <w:spacing w:after="0"/>
              <w:rPr>
                <w:sz w:val="14"/>
                <w:szCs w:val="14"/>
                <w:color w:val="auto"/>
              </w:rPr>
            </w:pPr>
          </w:p>
        </w:tc>
        <w:tc>
          <w:tcPr>
            <w:tcW w:w="6340" w:type="dxa"/>
            <w:vAlign w:val="bottom"/>
            <w:tcBorders>
              <w:right w:val="single" w:sz="8" w:color="auto"/>
            </w:tcBorders>
          </w:tcPr>
          <w:p>
            <w:pPr>
              <w:ind w:left="260"/>
              <w:spacing w:after="0"/>
              <w:rPr>
                <w:sz w:val="20"/>
                <w:szCs w:val="20"/>
                <w:color w:val="auto"/>
              </w:rPr>
            </w:pPr>
            <w:r>
              <w:rPr>
                <w:rFonts w:ascii="Arial" w:cs="Arial" w:eastAsia="Arial" w:hAnsi="Arial"/>
                <w:sz w:val="14"/>
                <w:szCs w:val="14"/>
                <w:color w:val="auto"/>
              </w:rPr>
              <w:t>fair values; if no such data is available, we use internally developed models and other</w:t>
            </w:r>
          </w:p>
        </w:tc>
      </w:tr>
      <w:tr>
        <w:trPr>
          <w:trHeight w:val="172"/>
        </w:trPr>
        <w:tc>
          <w:tcPr>
            <w:tcW w:w="1340" w:type="dxa"/>
            <w:vAlign w:val="bottom"/>
            <w:tcBorders>
              <w:left w:val="single" w:sz="8" w:color="auto"/>
              <w:right w:val="single" w:sz="8" w:color="auto"/>
            </w:tcBorders>
          </w:tcPr>
          <w:p>
            <w:pPr>
              <w:spacing w:after="0"/>
              <w:rPr>
                <w:sz w:val="14"/>
                <w:szCs w:val="14"/>
                <w:color w:val="auto"/>
              </w:rPr>
            </w:pPr>
          </w:p>
        </w:tc>
        <w:tc>
          <w:tcPr>
            <w:tcW w:w="6340" w:type="dxa"/>
            <w:vAlign w:val="bottom"/>
            <w:tcBorders>
              <w:right w:val="single" w:sz="8" w:color="auto"/>
            </w:tcBorders>
          </w:tcPr>
          <w:p>
            <w:pPr>
              <w:ind w:left="260"/>
              <w:spacing w:after="0"/>
              <w:rPr>
                <w:sz w:val="20"/>
                <w:szCs w:val="20"/>
                <w:color w:val="auto"/>
              </w:rPr>
            </w:pPr>
            <w:r>
              <w:rPr>
                <w:rFonts w:ascii="Arial" w:cs="Arial" w:eastAsia="Arial" w:hAnsi="Arial"/>
                <w:sz w:val="14"/>
                <w:szCs w:val="14"/>
                <w:color w:val="auto"/>
              </w:rPr>
              <w:t>techniques. The assumed collectibility of derivative assets and receivables considers</w:t>
            </w:r>
          </w:p>
        </w:tc>
      </w:tr>
      <w:tr>
        <w:trPr>
          <w:trHeight w:val="384"/>
        </w:trPr>
        <w:tc>
          <w:tcPr>
            <w:tcW w:w="1340" w:type="dxa"/>
            <w:vAlign w:val="bottom"/>
            <w:tcBorders>
              <w:left w:val="single" w:sz="8" w:color="auto"/>
              <w:right w:val="single" w:sz="8" w:color="auto"/>
            </w:tcBorders>
          </w:tcPr>
          <w:p>
            <w:pPr>
              <w:spacing w:after="0"/>
              <w:rPr>
                <w:sz w:val="24"/>
                <w:szCs w:val="24"/>
                <w:color w:val="auto"/>
              </w:rPr>
            </w:pPr>
          </w:p>
        </w:tc>
        <w:tc>
          <w:tcPr>
            <w:tcW w:w="6340" w:type="dxa"/>
            <w:vAlign w:val="bottom"/>
            <w:tcBorders>
              <w:right w:val="single" w:sz="8" w:color="auto"/>
            </w:tcBorders>
          </w:tcPr>
          <w:p>
            <w:pPr>
              <w:ind w:left="260"/>
              <w:spacing w:after="0"/>
              <w:rPr>
                <w:sz w:val="20"/>
                <w:szCs w:val="20"/>
                <w:color w:val="auto"/>
              </w:rPr>
            </w:pPr>
            <w:r>
              <w:rPr>
                <w:rFonts w:ascii="Arial" w:cs="Arial" w:eastAsia="Arial" w:hAnsi="Arial"/>
                <w:sz w:val="14"/>
                <w:szCs w:val="14"/>
                <w:color w:val="auto"/>
              </w:rPr>
              <w:t>§  events specific to a given counterparty</w:t>
            </w:r>
          </w:p>
        </w:tc>
      </w:tr>
      <w:tr>
        <w:trPr>
          <w:trHeight w:val="204"/>
        </w:trPr>
        <w:tc>
          <w:tcPr>
            <w:tcW w:w="1340" w:type="dxa"/>
            <w:vAlign w:val="bottom"/>
            <w:tcBorders>
              <w:left w:val="single" w:sz="8" w:color="auto"/>
              <w:right w:val="single" w:sz="8" w:color="auto"/>
            </w:tcBorders>
          </w:tcPr>
          <w:p>
            <w:pPr>
              <w:spacing w:after="0"/>
              <w:rPr>
                <w:sz w:val="17"/>
                <w:szCs w:val="17"/>
                <w:color w:val="auto"/>
              </w:rPr>
            </w:pPr>
          </w:p>
        </w:tc>
        <w:tc>
          <w:tcPr>
            <w:tcW w:w="6340" w:type="dxa"/>
            <w:vAlign w:val="bottom"/>
            <w:tcBorders>
              <w:right w:val="single" w:sz="8" w:color="auto"/>
            </w:tcBorders>
          </w:tcPr>
          <w:p>
            <w:pPr>
              <w:ind w:left="260"/>
              <w:spacing w:after="0"/>
              <w:rPr>
                <w:sz w:val="20"/>
                <w:szCs w:val="20"/>
                <w:color w:val="auto"/>
              </w:rPr>
            </w:pPr>
            <w:r>
              <w:rPr>
                <w:rFonts w:ascii="Arial" w:cs="Arial" w:eastAsia="Arial" w:hAnsi="Arial"/>
                <w:sz w:val="14"/>
                <w:szCs w:val="14"/>
                <w:color w:val="auto"/>
              </w:rPr>
              <w:t>§  the tenor of the transaction</w:t>
            </w:r>
          </w:p>
        </w:tc>
      </w:tr>
      <w:tr>
        <w:trPr>
          <w:trHeight w:val="204"/>
        </w:trPr>
        <w:tc>
          <w:tcPr>
            <w:tcW w:w="1340" w:type="dxa"/>
            <w:vAlign w:val="bottom"/>
            <w:tcBorders>
              <w:left w:val="single" w:sz="8" w:color="auto"/>
              <w:right w:val="single" w:sz="8" w:color="auto"/>
            </w:tcBorders>
          </w:tcPr>
          <w:p>
            <w:pPr>
              <w:spacing w:after="0"/>
              <w:rPr>
                <w:sz w:val="17"/>
                <w:szCs w:val="17"/>
                <w:color w:val="auto"/>
              </w:rPr>
            </w:pPr>
          </w:p>
        </w:tc>
        <w:tc>
          <w:tcPr>
            <w:tcW w:w="6340" w:type="dxa"/>
            <w:vAlign w:val="bottom"/>
            <w:tcBorders>
              <w:right w:val="single" w:sz="8" w:color="auto"/>
            </w:tcBorders>
          </w:tcPr>
          <w:p>
            <w:pPr>
              <w:ind w:left="260"/>
              <w:spacing w:after="0"/>
              <w:rPr>
                <w:sz w:val="20"/>
                <w:szCs w:val="20"/>
                <w:color w:val="auto"/>
              </w:rPr>
            </w:pPr>
            <w:r>
              <w:rPr>
                <w:rFonts w:ascii="Arial" w:cs="Arial" w:eastAsia="Arial" w:hAnsi="Arial"/>
                <w:sz w:val="14"/>
                <w:szCs w:val="14"/>
                <w:color w:val="auto"/>
              </w:rPr>
              <w:t>§  the credit-worthiness of the counterparty</w:t>
            </w:r>
          </w:p>
        </w:tc>
      </w:tr>
      <w:tr>
        <w:trPr>
          <w:trHeight w:val="42"/>
        </w:trPr>
        <w:tc>
          <w:tcPr>
            <w:tcW w:w="1340" w:type="dxa"/>
            <w:vAlign w:val="bottom"/>
            <w:tcBorders>
              <w:left w:val="single" w:sz="8" w:color="auto"/>
              <w:bottom w:val="single" w:sz="8" w:color="auto"/>
              <w:right w:val="single" w:sz="8" w:color="auto"/>
            </w:tcBorders>
          </w:tcPr>
          <w:p>
            <w:pPr>
              <w:spacing w:after="0"/>
              <w:rPr>
                <w:sz w:val="3"/>
                <w:szCs w:val="3"/>
                <w:color w:val="auto"/>
              </w:rPr>
            </w:pPr>
          </w:p>
        </w:tc>
        <w:tc>
          <w:tcPr>
            <w:tcW w:w="6340" w:type="dxa"/>
            <w:vAlign w:val="bottom"/>
            <w:tcBorders>
              <w:bottom w:val="single" w:sz="8" w:color="auto"/>
              <w:right w:val="single" w:sz="8" w:color="auto"/>
            </w:tcBorders>
          </w:tcPr>
          <w:p>
            <w:pPr>
              <w:spacing w:after="0"/>
              <w:rPr>
                <w:sz w:val="3"/>
                <w:szCs w:val="3"/>
                <w:color w:val="auto"/>
              </w:rPr>
            </w:pPr>
          </w:p>
        </w:tc>
      </w:tr>
      <w:tr>
        <w:trPr>
          <w:trHeight w:val="164"/>
        </w:trPr>
        <w:tc>
          <w:tcPr>
            <w:tcW w:w="13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Effect if Different</w:t>
            </w:r>
          </w:p>
        </w:tc>
        <w:tc>
          <w:tcPr>
            <w:tcW w:w="6340" w:type="dxa"/>
            <w:vAlign w:val="bottom"/>
            <w:tcBorders>
              <w:right w:val="single" w:sz="8" w:color="auto"/>
            </w:tcBorders>
          </w:tcPr>
          <w:p>
            <w:pPr>
              <w:ind w:left="260"/>
              <w:spacing w:after="0"/>
              <w:rPr>
                <w:sz w:val="20"/>
                <w:szCs w:val="20"/>
                <w:color w:val="auto"/>
              </w:rPr>
            </w:pPr>
            <w:r>
              <w:rPr>
                <w:rFonts w:ascii="Arial" w:cs="Arial" w:eastAsia="Arial" w:hAnsi="Arial"/>
                <w:sz w:val="14"/>
                <w:szCs w:val="14"/>
                <w:color w:val="auto"/>
              </w:rPr>
              <w:t>The application of hedge accounting to certain derivatives and the normal purchase or sale</w:t>
            </w:r>
          </w:p>
        </w:tc>
      </w:tr>
      <w:tr>
        <w:trPr>
          <w:trHeight w:val="178"/>
        </w:trPr>
        <w:tc>
          <w:tcPr>
            <w:tcW w:w="13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Assumptions Used</w:t>
            </w:r>
          </w:p>
        </w:tc>
        <w:tc>
          <w:tcPr>
            <w:tcW w:w="6340" w:type="dxa"/>
            <w:vAlign w:val="bottom"/>
            <w:tcBorders>
              <w:right w:val="single" w:sz="8" w:color="auto"/>
            </w:tcBorders>
          </w:tcPr>
          <w:p>
            <w:pPr>
              <w:ind w:left="260"/>
              <w:spacing w:after="0"/>
              <w:rPr>
                <w:sz w:val="20"/>
                <w:szCs w:val="20"/>
                <w:color w:val="auto"/>
              </w:rPr>
            </w:pPr>
            <w:r>
              <w:rPr>
                <w:rFonts w:ascii="Arial" w:cs="Arial" w:eastAsia="Arial" w:hAnsi="Arial"/>
                <w:sz w:val="14"/>
                <w:szCs w:val="14"/>
                <w:color w:val="auto"/>
              </w:rPr>
              <w:t>election is made on a contract-by-contract basis. Using hedge accounting or the normal</w:t>
            </w:r>
          </w:p>
        </w:tc>
      </w:tr>
      <w:tr>
        <w:trPr>
          <w:trHeight w:val="168"/>
        </w:trPr>
        <w:tc>
          <w:tcPr>
            <w:tcW w:w="1340" w:type="dxa"/>
            <w:vAlign w:val="bottom"/>
            <w:tcBorders>
              <w:left w:val="single" w:sz="8" w:color="auto"/>
              <w:right w:val="single" w:sz="8" w:color="auto"/>
            </w:tcBorders>
          </w:tcPr>
          <w:p>
            <w:pPr>
              <w:spacing w:after="0"/>
              <w:rPr>
                <w:sz w:val="14"/>
                <w:szCs w:val="14"/>
                <w:color w:val="auto"/>
              </w:rPr>
            </w:pPr>
          </w:p>
        </w:tc>
        <w:tc>
          <w:tcPr>
            <w:tcW w:w="6340" w:type="dxa"/>
            <w:vAlign w:val="bottom"/>
            <w:tcBorders>
              <w:right w:val="single" w:sz="8" w:color="auto"/>
            </w:tcBorders>
          </w:tcPr>
          <w:p>
            <w:pPr>
              <w:ind w:left="260"/>
              <w:spacing w:after="0"/>
              <w:rPr>
                <w:sz w:val="20"/>
                <w:szCs w:val="20"/>
                <w:color w:val="auto"/>
              </w:rPr>
            </w:pPr>
            <w:r>
              <w:rPr>
                <w:rFonts w:ascii="Arial" w:cs="Arial" w:eastAsia="Arial" w:hAnsi="Arial"/>
                <w:sz w:val="14"/>
                <w:szCs w:val="14"/>
                <w:color w:val="auto"/>
              </w:rPr>
              <w:t>purchase or sale election in a different manner could materially impact our results of</w:t>
            </w:r>
          </w:p>
        </w:tc>
      </w:tr>
      <w:tr>
        <w:trPr>
          <w:trHeight w:val="168"/>
        </w:trPr>
        <w:tc>
          <w:tcPr>
            <w:tcW w:w="1340" w:type="dxa"/>
            <w:vAlign w:val="bottom"/>
            <w:tcBorders>
              <w:left w:val="single" w:sz="8" w:color="auto"/>
              <w:right w:val="single" w:sz="8" w:color="auto"/>
            </w:tcBorders>
          </w:tcPr>
          <w:p>
            <w:pPr>
              <w:spacing w:after="0"/>
              <w:rPr>
                <w:sz w:val="14"/>
                <w:szCs w:val="14"/>
                <w:color w:val="auto"/>
              </w:rPr>
            </w:pPr>
          </w:p>
        </w:tc>
        <w:tc>
          <w:tcPr>
            <w:tcW w:w="6340" w:type="dxa"/>
            <w:vAlign w:val="bottom"/>
            <w:tcBorders>
              <w:right w:val="single" w:sz="8" w:color="auto"/>
            </w:tcBorders>
          </w:tcPr>
          <w:p>
            <w:pPr>
              <w:ind w:left="260"/>
              <w:spacing w:after="0"/>
              <w:rPr>
                <w:sz w:val="20"/>
                <w:szCs w:val="20"/>
                <w:color w:val="auto"/>
              </w:rPr>
            </w:pPr>
            <w:r>
              <w:rPr>
                <w:rFonts w:ascii="Arial" w:cs="Arial" w:eastAsia="Arial" w:hAnsi="Arial"/>
                <w:sz w:val="14"/>
                <w:szCs w:val="14"/>
                <w:color w:val="auto"/>
              </w:rPr>
              <w:t>operations. The effects of derivatives accounting have a significant impact on Sempra</w:t>
            </w:r>
          </w:p>
        </w:tc>
      </w:tr>
      <w:tr>
        <w:trPr>
          <w:trHeight w:val="168"/>
        </w:trPr>
        <w:tc>
          <w:tcPr>
            <w:tcW w:w="1340" w:type="dxa"/>
            <w:vAlign w:val="bottom"/>
            <w:tcBorders>
              <w:left w:val="single" w:sz="8" w:color="auto"/>
              <w:right w:val="single" w:sz="8" w:color="auto"/>
            </w:tcBorders>
          </w:tcPr>
          <w:p>
            <w:pPr>
              <w:spacing w:after="0"/>
              <w:rPr>
                <w:sz w:val="14"/>
                <w:szCs w:val="14"/>
                <w:color w:val="auto"/>
              </w:rPr>
            </w:pPr>
          </w:p>
        </w:tc>
        <w:tc>
          <w:tcPr>
            <w:tcW w:w="6340" w:type="dxa"/>
            <w:vAlign w:val="bottom"/>
            <w:tcBorders>
              <w:right w:val="single" w:sz="8" w:color="auto"/>
            </w:tcBorders>
          </w:tcPr>
          <w:p>
            <w:pPr>
              <w:ind w:left="260"/>
              <w:spacing w:after="0"/>
              <w:rPr>
                <w:sz w:val="20"/>
                <w:szCs w:val="20"/>
                <w:color w:val="auto"/>
              </w:rPr>
            </w:pPr>
            <w:r>
              <w:rPr>
                <w:rFonts w:ascii="Arial" w:cs="Arial" w:eastAsia="Arial" w:hAnsi="Arial"/>
                <w:sz w:val="14"/>
                <w:szCs w:val="14"/>
                <w:color w:val="auto"/>
              </w:rPr>
              <w:t>Energy’s consolidated balance sheet but have no significant effect on the Sempra Utilities'</w:t>
            </w:r>
          </w:p>
        </w:tc>
      </w:tr>
      <w:tr>
        <w:trPr>
          <w:trHeight w:val="168"/>
        </w:trPr>
        <w:tc>
          <w:tcPr>
            <w:tcW w:w="1340" w:type="dxa"/>
            <w:vAlign w:val="bottom"/>
            <w:tcBorders>
              <w:left w:val="single" w:sz="8" w:color="auto"/>
              <w:right w:val="single" w:sz="8" w:color="auto"/>
            </w:tcBorders>
          </w:tcPr>
          <w:p>
            <w:pPr>
              <w:spacing w:after="0"/>
              <w:rPr>
                <w:sz w:val="14"/>
                <w:szCs w:val="14"/>
                <w:color w:val="auto"/>
              </w:rPr>
            </w:pPr>
          </w:p>
        </w:tc>
        <w:tc>
          <w:tcPr>
            <w:tcW w:w="6340" w:type="dxa"/>
            <w:vAlign w:val="bottom"/>
            <w:tcBorders>
              <w:right w:val="single" w:sz="8" w:color="auto"/>
            </w:tcBorders>
          </w:tcPr>
          <w:p>
            <w:pPr>
              <w:ind w:left="260"/>
              <w:spacing w:after="0"/>
              <w:rPr>
                <w:sz w:val="20"/>
                <w:szCs w:val="20"/>
                <w:color w:val="auto"/>
              </w:rPr>
            </w:pPr>
            <w:r>
              <w:rPr>
                <w:rFonts w:ascii="Arial" w:cs="Arial" w:eastAsia="Arial" w:hAnsi="Arial"/>
                <w:sz w:val="14"/>
                <w:szCs w:val="14"/>
                <w:color w:val="auto"/>
              </w:rPr>
              <w:t>results of operations because of the principles in SFAS 71 and the application of the normal</w:t>
            </w:r>
          </w:p>
        </w:tc>
      </w:tr>
      <w:tr>
        <w:trPr>
          <w:trHeight w:val="168"/>
        </w:trPr>
        <w:tc>
          <w:tcPr>
            <w:tcW w:w="1340" w:type="dxa"/>
            <w:vAlign w:val="bottom"/>
            <w:tcBorders>
              <w:left w:val="single" w:sz="8" w:color="auto"/>
              <w:right w:val="single" w:sz="8" w:color="auto"/>
            </w:tcBorders>
          </w:tcPr>
          <w:p>
            <w:pPr>
              <w:spacing w:after="0"/>
              <w:rPr>
                <w:sz w:val="14"/>
                <w:szCs w:val="14"/>
                <w:color w:val="auto"/>
              </w:rPr>
            </w:pPr>
          </w:p>
        </w:tc>
        <w:tc>
          <w:tcPr>
            <w:tcW w:w="6340" w:type="dxa"/>
            <w:vAlign w:val="bottom"/>
            <w:tcBorders>
              <w:right w:val="single" w:sz="8" w:color="auto"/>
            </w:tcBorders>
          </w:tcPr>
          <w:p>
            <w:pPr>
              <w:ind w:left="260"/>
              <w:spacing w:after="0"/>
              <w:rPr>
                <w:sz w:val="20"/>
                <w:szCs w:val="20"/>
                <w:color w:val="auto"/>
              </w:rPr>
            </w:pPr>
            <w:r>
              <w:rPr>
                <w:rFonts w:ascii="Arial" w:cs="Arial" w:eastAsia="Arial" w:hAnsi="Arial"/>
                <w:sz w:val="14"/>
                <w:szCs w:val="14"/>
                <w:color w:val="auto"/>
              </w:rPr>
              <w:t>purchase or sale election. We provide details of our financial instruments in Note 11 of the</w:t>
            </w:r>
          </w:p>
        </w:tc>
      </w:tr>
      <w:tr>
        <w:trPr>
          <w:trHeight w:val="175"/>
        </w:trPr>
        <w:tc>
          <w:tcPr>
            <w:tcW w:w="1340" w:type="dxa"/>
            <w:vAlign w:val="bottom"/>
            <w:tcBorders>
              <w:left w:val="single" w:sz="8" w:color="auto"/>
              <w:bottom w:val="single" w:sz="8" w:color="auto"/>
              <w:right w:val="single" w:sz="8" w:color="auto"/>
            </w:tcBorders>
          </w:tcPr>
          <w:p>
            <w:pPr>
              <w:spacing w:after="0"/>
              <w:rPr>
                <w:sz w:val="15"/>
                <w:szCs w:val="15"/>
                <w:color w:val="auto"/>
              </w:rPr>
            </w:pPr>
          </w:p>
        </w:tc>
        <w:tc>
          <w:tcPr>
            <w:tcW w:w="6340" w:type="dxa"/>
            <w:vAlign w:val="bottom"/>
            <w:tcBorders>
              <w:bottom w:val="single" w:sz="8" w:color="auto"/>
              <w:right w:val="single" w:sz="8" w:color="auto"/>
            </w:tcBorders>
          </w:tcPr>
          <w:p>
            <w:pPr>
              <w:ind w:left="260"/>
              <w:spacing w:after="0"/>
              <w:rPr>
                <w:sz w:val="20"/>
                <w:szCs w:val="20"/>
                <w:color w:val="auto"/>
              </w:rPr>
            </w:pPr>
            <w:r>
              <w:rPr>
                <w:rFonts w:ascii="Arial" w:cs="Arial" w:eastAsia="Arial" w:hAnsi="Arial"/>
                <w:sz w:val="14"/>
                <w:szCs w:val="14"/>
                <w:color w:val="auto"/>
              </w:rPr>
              <w:t>Notes to Consolidated Financial Statements.</w:t>
            </w:r>
          </w:p>
        </w:tc>
      </w:tr>
    </w:tbl>
    <w:p>
      <w:pPr>
        <w:spacing w:after="0" w:line="376" w:lineRule="exact"/>
        <w:rPr>
          <w:sz w:val="20"/>
          <w:szCs w:val="20"/>
          <w:color w:val="auto"/>
        </w:rPr>
      </w:pPr>
    </w:p>
    <w:p>
      <w:pPr>
        <w:spacing w:after="0"/>
        <w:rPr>
          <w:sz w:val="20"/>
          <w:szCs w:val="20"/>
          <w:color w:val="auto"/>
        </w:rPr>
      </w:pPr>
      <w:r>
        <w:rPr>
          <w:rFonts w:ascii="Arial" w:cs="Arial" w:eastAsia="Arial" w:hAnsi="Arial"/>
          <w:sz w:val="14"/>
          <w:szCs w:val="14"/>
          <w:color w:val="auto"/>
        </w:rPr>
        <w:t>51</w:t>
      </w:r>
    </w:p>
    <w:p>
      <w:pPr>
        <w:sectPr>
          <w:pgSz w:w="11900" w:h="16838" w:orient="portrait"/>
          <w:cols w:equalWidth="0" w:num="1">
            <w:col w:w="10219"/>
          </w:cols>
          <w:pgMar w:left="240" w:top="400" w:right="1440" w:bottom="1440" w:gutter="0" w:footer="0" w:header="0"/>
        </w:sectPr>
      </w:pPr>
    </w:p>
    <w:bookmarkStart w:id="191" w:name="page192"/>
    <w:bookmarkEnd w:id="191"/>
    <w:p>
      <w:pPr>
        <w:ind w:left="1880"/>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1347470</wp:posOffset>
            </wp:positionH>
            <wp:positionV relativeFrom="page">
              <wp:posOffset>226060</wp:posOffset>
            </wp:positionV>
            <wp:extent cx="4874260" cy="3048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4874260" cy="30480"/>
                    </a:xfrm>
                    <a:prstGeom prst="rect">
                      <a:avLst/>
                    </a:prstGeom>
                    <a:noFill/>
                  </pic:spPr>
                </pic:pic>
              </a:graphicData>
            </a:graphic>
          </wp:anchor>
        </w:drawing>
        <w:t>SEMPRA ENERGY, SDG&amp;E AND SOCALGAS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1195070</wp:posOffset>
            </wp:positionH>
            <wp:positionV relativeFrom="paragraph">
              <wp:posOffset>22860</wp:posOffset>
            </wp:positionV>
            <wp:extent cx="4874260" cy="762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4874260" cy="7620"/>
                    </a:xfrm>
                    <a:prstGeom prst="rect">
                      <a:avLst/>
                    </a:prstGeom>
                    <a:noFill/>
                  </pic:spPr>
                </pic:pic>
              </a:graphicData>
            </a:graphic>
          </wp:anchor>
        </w:drawing>
      </w:r>
    </w:p>
    <w:p>
      <w:pPr>
        <w:spacing w:after="0" w:line="23" w:lineRule="exact"/>
        <w:rPr>
          <w:sz w:val="20"/>
          <w:szCs w:val="20"/>
          <w:color w:val="auto"/>
        </w:rPr>
      </w:pPr>
    </w:p>
    <w:p>
      <w:pPr>
        <w:ind w:left="1880"/>
        <w:spacing w:after="0"/>
        <w:rPr>
          <w:sz w:val="20"/>
          <w:szCs w:val="20"/>
          <w:color w:val="auto"/>
        </w:rPr>
      </w:pPr>
      <w:r>
        <w:rPr>
          <w:rFonts w:ascii="Arial" w:cs="Arial" w:eastAsia="Arial" w:hAnsi="Arial"/>
          <w:sz w:val="14"/>
          <w:szCs w:val="14"/>
          <w:b w:val="1"/>
          <w:bCs w:val="1"/>
          <w:color w:val="auto"/>
        </w:rPr>
        <w:t>DEFINED BENEFIT PLANS</w:t>
      </w:r>
    </w:p>
    <w:p>
      <w:pPr>
        <w:spacing w:after="0" w:line="31" w:lineRule="exact"/>
        <w:rPr>
          <w:sz w:val="20"/>
          <w:szCs w:val="20"/>
          <w:color w:val="auto"/>
        </w:rPr>
      </w:pPr>
    </w:p>
    <w:p>
      <w:pPr>
        <w:ind w:left="1880" w:right="679"/>
        <w:spacing w:after="0" w:line="256" w:lineRule="auto"/>
        <w:rPr>
          <w:sz w:val="20"/>
          <w:szCs w:val="20"/>
          <w:color w:val="auto"/>
        </w:rPr>
      </w:pPr>
      <w:r>
        <w:rPr>
          <w:rFonts w:ascii="Arial" w:cs="Arial" w:eastAsia="Arial" w:hAnsi="Arial"/>
          <w:sz w:val="14"/>
          <w:szCs w:val="14"/>
          <w:b w:val="1"/>
          <w:bCs w:val="1"/>
          <w:color w:val="auto"/>
        </w:rPr>
        <w:t xml:space="preserve">We have funded and unfunded noncontributory defined benefit plans that together cover substantially all of our employees. We also have other postretirement benefit plans covering substantially all of our employees. We account for our pension and other postretirement benefit plans under SFAS 87, </w:t>
      </w:r>
      <w:r>
        <w:rPr>
          <w:rFonts w:ascii="Arial" w:cs="Arial" w:eastAsia="Arial" w:hAnsi="Arial"/>
          <w:sz w:val="14"/>
          <w:szCs w:val="14"/>
          <w:b w:val="1"/>
          <w:bCs w:val="1"/>
          <w:i w:val="1"/>
          <w:iCs w:val="1"/>
          <w:color w:val="auto"/>
        </w:rPr>
        <w:t>Employers' Accounting for</w:t>
      </w:r>
      <w:r>
        <w:rPr>
          <w:rFonts w:ascii="Arial" w:cs="Arial" w:eastAsia="Arial" w:hAnsi="Arial"/>
          <w:sz w:val="14"/>
          <w:szCs w:val="14"/>
          <w:b w:val="1"/>
          <w:bCs w:val="1"/>
          <w:color w:val="auto"/>
        </w:rPr>
        <w:t xml:space="preserve"> </w:t>
      </w:r>
      <w:r>
        <w:rPr>
          <w:rFonts w:ascii="Arial" w:cs="Arial" w:eastAsia="Arial" w:hAnsi="Arial"/>
          <w:sz w:val="14"/>
          <w:szCs w:val="14"/>
          <w:b w:val="1"/>
          <w:bCs w:val="1"/>
          <w:i w:val="1"/>
          <w:iCs w:val="1"/>
          <w:color w:val="auto"/>
        </w:rPr>
        <w:t>Pensions</w:t>
      </w:r>
      <w:r>
        <w:rPr>
          <w:rFonts w:ascii="Arial" w:cs="Arial" w:eastAsia="Arial" w:hAnsi="Arial"/>
          <w:sz w:val="14"/>
          <w:szCs w:val="14"/>
          <w:b w:val="1"/>
          <w:bCs w:val="1"/>
          <w:color w:val="auto"/>
        </w:rPr>
        <w:t>, SFAS 88,</w:t>
      </w:r>
      <w:r>
        <w:rPr>
          <w:rFonts w:ascii="Arial" w:cs="Arial" w:eastAsia="Arial" w:hAnsi="Arial"/>
          <w:sz w:val="14"/>
          <w:szCs w:val="14"/>
          <w:b w:val="1"/>
          <w:bCs w:val="1"/>
          <w:i w:val="1"/>
          <w:iCs w:val="1"/>
          <w:color w:val="auto"/>
        </w:rPr>
        <w:t xml:space="preserve"> Employers' Accounting for Settlements and Curtailments of Defined Benefit Pension Plans and for Termination Benefits, </w:t>
      </w:r>
      <w:r>
        <w:rPr>
          <w:rFonts w:ascii="Arial" w:cs="Arial" w:eastAsia="Arial" w:hAnsi="Arial"/>
          <w:sz w:val="14"/>
          <w:szCs w:val="14"/>
          <w:b w:val="1"/>
          <w:bCs w:val="1"/>
          <w:color w:val="auto"/>
        </w:rPr>
        <w:t>SFAS 106,</w:t>
      </w:r>
      <w:r>
        <w:rPr>
          <w:rFonts w:ascii="Arial" w:cs="Arial" w:eastAsia="Arial" w:hAnsi="Arial"/>
          <w:sz w:val="14"/>
          <w:szCs w:val="14"/>
          <w:b w:val="1"/>
          <w:bCs w:val="1"/>
          <w:i w:val="1"/>
          <w:iCs w:val="1"/>
          <w:color w:val="auto"/>
        </w:rPr>
        <w:t xml:space="preserve"> Employers' Accounting for Postretirement Benefits Other than Pensions, </w:t>
      </w:r>
      <w:r>
        <w:rPr>
          <w:rFonts w:ascii="Arial" w:cs="Arial" w:eastAsia="Arial" w:hAnsi="Arial"/>
          <w:sz w:val="14"/>
          <w:szCs w:val="14"/>
          <w:b w:val="1"/>
          <w:bCs w:val="1"/>
          <w:color w:val="auto"/>
        </w:rPr>
        <w:t>SFAS 132(R)</w:t>
      </w:r>
      <w:r>
        <w:rPr>
          <w:rFonts w:ascii="Arial" w:cs="Arial" w:eastAsia="Arial" w:hAnsi="Arial"/>
          <w:sz w:val="14"/>
          <w:szCs w:val="14"/>
          <w:b w:val="1"/>
          <w:bCs w:val="1"/>
          <w:i w:val="1"/>
          <w:iCs w:val="1"/>
          <w:color w:val="auto"/>
        </w:rPr>
        <w:t xml:space="preserve">, Employers' Disclosures about Pensions and Other Postretirement Benefits - an amendment of FASB Statements No. 87, 88, and 106, </w:t>
      </w:r>
      <w:r>
        <w:rPr>
          <w:rFonts w:ascii="Arial" w:cs="Arial" w:eastAsia="Arial" w:hAnsi="Arial"/>
          <w:sz w:val="14"/>
          <w:szCs w:val="14"/>
          <w:b w:val="1"/>
          <w:bCs w:val="1"/>
          <w:color w:val="auto"/>
        </w:rPr>
        <w:t>and under SFAS 158,</w:t>
      </w:r>
      <w:r>
        <w:rPr>
          <w:rFonts w:ascii="Arial" w:cs="Arial" w:eastAsia="Arial" w:hAnsi="Arial"/>
          <w:sz w:val="14"/>
          <w:szCs w:val="14"/>
          <w:b w:val="1"/>
          <w:bCs w:val="1"/>
          <w:i w:val="1"/>
          <w:iCs w:val="1"/>
          <w:color w:val="auto"/>
        </w:rPr>
        <w:t xml:space="preserve"> Employers' Accounting for Defined Benefit Pension and Other Postretirement Plans – an amendment of FASB Statements No. 87, 88, 106, and 132(R)</w:t>
      </w:r>
      <w:r>
        <w:rPr>
          <w:rFonts w:ascii="Arial" w:cs="Arial" w:eastAsia="Arial" w:hAnsi="Arial"/>
          <w:sz w:val="14"/>
          <w:szCs w:val="14"/>
          <w:b w:val="1"/>
          <w:bCs w:val="1"/>
          <w:color w:val="auto"/>
        </w:rPr>
        <w:t>.</w:t>
      </w:r>
    </w:p>
    <w:p>
      <w:pPr>
        <w:spacing w:after="0" w:line="196" w:lineRule="exact"/>
        <w:rPr>
          <w:sz w:val="20"/>
          <w:szCs w:val="20"/>
          <w:color w:val="auto"/>
        </w:rPr>
      </w:pPr>
    </w:p>
    <w:tbl>
      <w:tblPr>
        <w:tblLayout w:type="fixed"/>
        <w:tblInd w:w="1890" w:type="dxa"/>
        <w:tblCellMar>
          <w:top w:w="0" w:type="dxa"/>
          <w:left w:w="0" w:type="dxa"/>
          <w:bottom w:w="0" w:type="dxa"/>
          <w:right w:w="0" w:type="dxa"/>
        </w:tblCellMar>
      </w:tblPr>
      <w:tr>
        <w:trPr>
          <w:trHeight w:val="184"/>
        </w:trPr>
        <w:tc>
          <w:tcPr>
            <w:tcW w:w="1340" w:type="dxa"/>
            <w:vAlign w:val="bottom"/>
            <w:tcBorders>
              <w:top w:val="single" w:sz="8" w:color="auto"/>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Assumptions &amp;</w:t>
            </w:r>
          </w:p>
        </w:tc>
        <w:tc>
          <w:tcPr>
            <w:tcW w:w="6340" w:type="dxa"/>
            <w:vAlign w:val="bottom"/>
            <w:tcBorders>
              <w:top w:val="single" w:sz="8" w:color="auto"/>
              <w:right w:val="single" w:sz="8" w:color="auto"/>
            </w:tcBorders>
          </w:tcPr>
          <w:p>
            <w:pPr>
              <w:ind w:left="200"/>
              <w:spacing w:after="0"/>
              <w:rPr>
                <w:sz w:val="20"/>
                <w:szCs w:val="20"/>
                <w:color w:val="auto"/>
              </w:rPr>
            </w:pPr>
            <w:r>
              <w:rPr>
                <w:rFonts w:ascii="Arial" w:cs="Arial" w:eastAsia="Arial" w:hAnsi="Arial"/>
                <w:sz w:val="14"/>
                <w:szCs w:val="14"/>
                <w:color w:val="auto"/>
              </w:rPr>
              <w:t>To measure our pension and postretirement obligations, costs and liabilities, we rely on several</w:t>
            </w:r>
          </w:p>
        </w:tc>
      </w:tr>
      <w:tr>
        <w:trPr>
          <w:trHeight w:val="178"/>
        </w:trPr>
        <w:tc>
          <w:tcPr>
            <w:tcW w:w="13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Approach Used</w:t>
            </w:r>
          </w:p>
        </w:tc>
        <w:tc>
          <w:tcPr>
            <w:tcW w:w="6340" w:type="dxa"/>
            <w:vAlign w:val="bottom"/>
            <w:tcBorders>
              <w:right w:val="single" w:sz="8" w:color="auto"/>
            </w:tcBorders>
          </w:tcPr>
          <w:p>
            <w:pPr>
              <w:ind w:left="200"/>
              <w:spacing w:after="0"/>
              <w:rPr>
                <w:sz w:val="20"/>
                <w:szCs w:val="20"/>
                <w:color w:val="auto"/>
              </w:rPr>
            </w:pPr>
            <w:r>
              <w:rPr>
                <w:rFonts w:ascii="Arial" w:cs="Arial" w:eastAsia="Arial" w:hAnsi="Arial"/>
                <w:sz w:val="14"/>
                <w:szCs w:val="14"/>
                <w:color w:val="auto"/>
              </w:rPr>
              <w:t>assumptions. We consider current market conditions, including interest rates, in making these</w:t>
            </w:r>
          </w:p>
        </w:tc>
      </w:tr>
      <w:tr>
        <w:trPr>
          <w:trHeight w:val="168"/>
        </w:trPr>
        <w:tc>
          <w:tcPr>
            <w:tcW w:w="1340" w:type="dxa"/>
            <w:vAlign w:val="bottom"/>
            <w:tcBorders>
              <w:left w:val="single" w:sz="8" w:color="auto"/>
              <w:right w:val="single" w:sz="8" w:color="auto"/>
            </w:tcBorders>
          </w:tcPr>
          <w:p>
            <w:pPr>
              <w:spacing w:after="0"/>
              <w:rPr>
                <w:sz w:val="14"/>
                <w:szCs w:val="14"/>
                <w:color w:val="auto"/>
              </w:rPr>
            </w:pPr>
          </w:p>
        </w:tc>
        <w:tc>
          <w:tcPr>
            <w:tcW w:w="6340" w:type="dxa"/>
            <w:vAlign w:val="bottom"/>
            <w:tcBorders>
              <w:right w:val="single" w:sz="8" w:color="auto"/>
            </w:tcBorders>
          </w:tcPr>
          <w:p>
            <w:pPr>
              <w:ind w:left="200"/>
              <w:spacing w:after="0"/>
              <w:rPr>
                <w:sz w:val="20"/>
                <w:szCs w:val="20"/>
                <w:color w:val="auto"/>
              </w:rPr>
            </w:pPr>
            <w:r>
              <w:rPr>
                <w:rFonts w:ascii="Arial" w:cs="Arial" w:eastAsia="Arial" w:hAnsi="Arial"/>
                <w:sz w:val="14"/>
                <w:szCs w:val="14"/>
                <w:color w:val="auto"/>
              </w:rPr>
              <w:t>assumptions. We annually review these assumptions prior to the beginning of each year and</w:t>
            </w:r>
          </w:p>
        </w:tc>
      </w:tr>
      <w:tr>
        <w:trPr>
          <w:trHeight w:val="172"/>
        </w:trPr>
        <w:tc>
          <w:tcPr>
            <w:tcW w:w="1340" w:type="dxa"/>
            <w:vAlign w:val="bottom"/>
            <w:tcBorders>
              <w:left w:val="single" w:sz="8" w:color="auto"/>
              <w:right w:val="single" w:sz="8" w:color="auto"/>
            </w:tcBorders>
          </w:tcPr>
          <w:p>
            <w:pPr>
              <w:spacing w:after="0"/>
              <w:rPr>
                <w:sz w:val="14"/>
                <w:szCs w:val="14"/>
                <w:color w:val="auto"/>
              </w:rPr>
            </w:pPr>
          </w:p>
        </w:tc>
        <w:tc>
          <w:tcPr>
            <w:tcW w:w="6340" w:type="dxa"/>
            <w:vAlign w:val="bottom"/>
            <w:tcBorders>
              <w:right w:val="single" w:sz="8" w:color="auto"/>
            </w:tcBorders>
          </w:tcPr>
          <w:p>
            <w:pPr>
              <w:ind w:left="200"/>
              <w:spacing w:after="0"/>
              <w:rPr>
                <w:sz w:val="20"/>
                <w:szCs w:val="20"/>
                <w:color w:val="auto"/>
              </w:rPr>
            </w:pPr>
            <w:r>
              <w:rPr>
                <w:rFonts w:ascii="Arial" w:cs="Arial" w:eastAsia="Arial" w:hAnsi="Arial"/>
                <w:sz w:val="14"/>
                <w:szCs w:val="14"/>
                <w:color w:val="auto"/>
              </w:rPr>
              <w:t>update when appropriate.</w:t>
            </w:r>
          </w:p>
        </w:tc>
      </w:tr>
      <w:tr>
        <w:trPr>
          <w:trHeight w:val="356"/>
        </w:trPr>
        <w:tc>
          <w:tcPr>
            <w:tcW w:w="1340" w:type="dxa"/>
            <w:vAlign w:val="bottom"/>
            <w:tcBorders>
              <w:left w:val="single" w:sz="8" w:color="auto"/>
              <w:right w:val="single" w:sz="8" w:color="auto"/>
            </w:tcBorders>
          </w:tcPr>
          <w:p>
            <w:pPr>
              <w:spacing w:after="0"/>
              <w:rPr>
                <w:sz w:val="24"/>
                <w:szCs w:val="24"/>
                <w:color w:val="auto"/>
              </w:rPr>
            </w:pPr>
          </w:p>
        </w:tc>
        <w:tc>
          <w:tcPr>
            <w:tcW w:w="6340" w:type="dxa"/>
            <w:vAlign w:val="bottom"/>
            <w:tcBorders>
              <w:right w:val="single" w:sz="8" w:color="auto"/>
            </w:tcBorders>
          </w:tcPr>
          <w:p>
            <w:pPr>
              <w:ind w:left="200"/>
              <w:spacing w:after="0"/>
              <w:rPr>
                <w:sz w:val="20"/>
                <w:szCs w:val="20"/>
                <w:color w:val="auto"/>
              </w:rPr>
            </w:pPr>
            <w:r>
              <w:rPr>
                <w:rFonts w:ascii="Arial" w:cs="Arial" w:eastAsia="Arial" w:hAnsi="Arial"/>
                <w:sz w:val="14"/>
                <w:szCs w:val="14"/>
                <w:color w:val="auto"/>
              </w:rPr>
              <w:t>The critical assumptions used to develop the required estimates include the following key</w:t>
            </w:r>
          </w:p>
        </w:tc>
      </w:tr>
      <w:tr>
        <w:trPr>
          <w:trHeight w:val="172"/>
        </w:trPr>
        <w:tc>
          <w:tcPr>
            <w:tcW w:w="1340" w:type="dxa"/>
            <w:vAlign w:val="bottom"/>
            <w:tcBorders>
              <w:left w:val="single" w:sz="8" w:color="auto"/>
              <w:right w:val="single" w:sz="8" w:color="auto"/>
            </w:tcBorders>
          </w:tcPr>
          <w:p>
            <w:pPr>
              <w:spacing w:after="0"/>
              <w:rPr>
                <w:sz w:val="14"/>
                <w:szCs w:val="14"/>
                <w:color w:val="auto"/>
              </w:rPr>
            </w:pPr>
          </w:p>
        </w:tc>
        <w:tc>
          <w:tcPr>
            <w:tcW w:w="6340" w:type="dxa"/>
            <w:vAlign w:val="bottom"/>
            <w:tcBorders>
              <w:right w:val="single" w:sz="8" w:color="auto"/>
            </w:tcBorders>
          </w:tcPr>
          <w:p>
            <w:pPr>
              <w:ind w:left="200"/>
              <w:spacing w:after="0"/>
              <w:rPr>
                <w:sz w:val="20"/>
                <w:szCs w:val="20"/>
                <w:color w:val="auto"/>
              </w:rPr>
            </w:pPr>
            <w:r>
              <w:rPr>
                <w:rFonts w:ascii="Arial" w:cs="Arial" w:eastAsia="Arial" w:hAnsi="Arial"/>
                <w:sz w:val="14"/>
                <w:szCs w:val="14"/>
                <w:color w:val="auto"/>
              </w:rPr>
              <w:t>factors:</w:t>
            </w:r>
          </w:p>
        </w:tc>
      </w:tr>
      <w:tr>
        <w:trPr>
          <w:trHeight w:val="396"/>
        </w:trPr>
        <w:tc>
          <w:tcPr>
            <w:tcW w:w="1340" w:type="dxa"/>
            <w:vAlign w:val="bottom"/>
            <w:tcBorders>
              <w:left w:val="single" w:sz="8" w:color="auto"/>
              <w:right w:val="single" w:sz="8" w:color="auto"/>
            </w:tcBorders>
          </w:tcPr>
          <w:p>
            <w:pPr>
              <w:spacing w:after="0"/>
              <w:rPr>
                <w:sz w:val="24"/>
                <w:szCs w:val="24"/>
                <w:color w:val="auto"/>
              </w:rPr>
            </w:pPr>
          </w:p>
        </w:tc>
        <w:tc>
          <w:tcPr>
            <w:tcW w:w="6340" w:type="dxa"/>
            <w:vAlign w:val="bottom"/>
            <w:tcBorders>
              <w:right w:val="single" w:sz="8" w:color="auto"/>
            </w:tcBorders>
          </w:tcPr>
          <w:p>
            <w:pPr>
              <w:ind w:left="200"/>
              <w:spacing w:after="0"/>
              <w:rPr>
                <w:sz w:val="20"/>
                <w:szCs w:val="20"/>
                <w:color w:val="auto"/>
              </w:rPr>
            </w:pPr>
            <w:r>
              <w:rPr>
                <w:rFonts w:ascii="Arial" w:cs="Arial" w:eastAsia="Arial" w:hAnsi="Arial"/>
                <w:sz w:val="14"/>
                <w:szCs w:val="14"/>
                <w:color w:val="auto"/>
              </w:rPr>
              <w:t>§  discount rate</w:t>
            </w:r>
          </w:p>
        </w:tc>
      </w:tr>
      <w:tr>
        <w:trPr>
          <w:trHeight w:val="204"/>
        </w:trPr>
        <w:tc>
          <w:tcPr>
            <w:tcW w:w="1340" w:type="dxa"/>
            <w:vAlign w:val="bottom"/>
            <w:tcBorders>
              <w:left w:val="single" w:sz="8" w:color="auto"/>
              <w:right w:val="single" w:sz="8" w:color="auto"/>
            </w:tcBorders>
          </w:tcPr>
          <w:p>
            <w:pPr>
              <w:spacing w:after="0"/>
              <w:rPr>
                <w:sz w:val="17"/>
                <w:szCs w:val="17"/>
                <w:color w:val="auto"/>
              </w:rPr>
            </w:pPr>
          </w:p>
        </w:tc>
        <w:tc>
          <w:tcPr>
            <w:tcW w:w="6340" w:type="dxa"/>
            <w:vAlign w:val="bottom"/>
            <w:tcBorders>
              <w:right w:val="single" w:sz="8" w:color="auto"/>
            </w:tcBorders>
          </w:tcPr>
          <w:p>
            <w:pPr>
              <w:ind w:left="200"/>
              <w:spacing w:after="0"/>
              <w:rPr>
                <w:sz w:val="20"/>
                <w:szCs w:val="20"/>
                <w:color w:val="auto"/>
              </w:rPr>
            </w:pPr>
            <w:r>
              <w:rPr>
                <w:rFonts w:ascii="Arial" w:cs="Arial" w:eastAsia="Arial" w:hAnsi="Arial"/>
                <w:sz w:val="14"/>
                <w:szCs w:val="14"/>
                <w:color w:val="auto"/>
              </w:rPr>
              <w:t>§  expected return on plan assets</w:t>
            </w:r>
          </w:p>
        </w:tc>
      </w:tr>
      <w:tr>
        <w:trPr>
          <w:trHeight w:val="204"/>
        </w:trPr>
        <w:tc>
          <w:tcPr>
            <w:tcW w:w="1340" w:type="dxa"/>
            <w:vAlign w:val="bottom"/>
            <w:tcBorders>
              <w:left w:val="single" w:sz="8" w:color="auto"/>
              <w:right w:val="single" w:sz="8" w:color="auto"/>
            </w:tcBorders>
          </w:tcPr>
          <w:p>
            <w:pPr>
              <w:spacing w:after="0"/>
              <w:rPr>
                <w:sz w:val="17"/>
                <w:szCs w:val="17"/>
                <w:color w:val="auto"/>
              </w:rPr>
            </w:pPr>
          </w:p>
        </w:tc>
        <w:tc>
          <w:tcPr>
            <w:tcW w:w="6340" w:type="dxa"/>
            <w:vAlign w:val="bottom"/>
            <w:tcBorders>
              <w:right w:val="single" w:sz="8" w:color="auto"/>
            </w:tcBorders>
          </w:tcPr>
          <w:p>
            <w:pPr>
              <w:ind w:left="200"/>
              <w:spacing w:after="0"/>
              <w:rPr>
                <w:sz w:val="20"/>
                <w:szCs w:val="20"/>
                <w:color w:val="auto"/>
              </w:rPr>
            </w:pPr>
            <w:r>
              <w:rPr>
                <w:rFonts w:ascii="Arial" w:cs="Arial" w:eastAsia="Arial" w:hAnsi="Arial"/>
                <w:sz w:val="14"/>
                <w:szCs w:val="14"/>
                <w:color w:val="auto"/>
              </w:rPr>
              <w:t>§  health-care cost trend rates</w:t>
            </w:r>
          </w:p>
        </w:tc>
      </w:tr>
      <w:tr>
        <w:trPr>
          <w:trHeight w:val="204"/>
        </w:trPr>
        <w:tc>
          <w:tcPr>
            <w:tcW w:w="1340" w:type="dxa"/>
            <w:vAlign w:val="bottom"/>
            <w:tcBorders>
              <w:left w:val="single" w:sz="8" w:color="auto"/>
              <w:right w:val="single" w:sz="8" w:color="auto"/>
            </w:tcBorders>
          </w:tcPr>
          <w:p>
            <w:pPr>
              <w:spacing w:after="0"/>
              <w:rPr>
                <w:sz w:val="17"/>
                <w:szCs w:val="17"/>
                <w:color w:val="auto"/>
              </w:rPr>
            </w:pPr>
          </w:p>
        </w:tc>
        <w:tc>
          <w:tcPr>
            <w:tcW w:w="6340" w:type="dxa"/>
            <w:vAlign w:val="bottom"/>
            <w:tcBorders>
              <w:right w:val="single" w:sz="8" w:color="auto"/>
            </w:tcBorders>
          </w:tcPr>
          <w:p>
            <w:pPr>
              <w:ind w:left="200"/>
              <w:spacing w:after="0"/>
              <w:rPr>
                <w:sz w:val="20"/>
                <w:szCs w:val="20"/>
                <w:color w:val="auto"/>
              </w:rPr>
            </w:pPr>
            <w:r>
              <w:rPr>
                <w:rFonts w:ascii="Arial" w:cs="Arial" w:eastAsia="Arial" w:hAnsi="Arial"/>
                <w:sz w:val="14"/>
                <w:szCs w:val="14"/>
                <w:color w:val="auto"/>
              </w:rPr>
              <w:t>§  mortality rates</w:t>
            </w:r>
          </w:p>
        </w:tc>
      </w:tr>
      <w:tr>
        <w:trPr>
          <w:trHeight w:val="204"/>
        </w:trPr>
        <w:tc>
          <w:tcPr>
            <w:tcW w:w="1340" w:type="dxa"/>
            <w:vAlign w:val="bottom"/>
            <w:tcBorders>
              <w:left w:val="single" w:sz="8" w:color="auto"/>
              <w:right w:val="single" w:sz="8" w:color="auto"/>
            </w:tcBorders>
          </w:tcPr>
          <w:p>
            <w:pPr>
              <w:spacing w:after="0"/>
              <w:rPr>
                <w:sz w:val="17"/>
                <w:szCs w:val="17"/>
                <w:color w:val="auto"/>
              </w:rPr>
            </w:pPr>
          </w:p>
        </w:tc>
        <w:tc>
          <w:tcPr>
            <w:tcW w:w="6340" w:type="dxa"/>
            <w:vAlign w:val="bottom"/>
            <w:tcBorders>
              <w:right w:val="single" w:sz="8" w:color="auto"/>
            </w:tcBorders>
          </w:tcPr>
          <w:p>
            <w:pPr>
              <w:ind w:left="200"/>
              <w:spacing w:after="0"/>
              <w:rPr>
                <w:sz w:val="20"/>
                <w:szCs w:val="20"/>
                <w:color w:val="auto"/>
              </w:rPr>
            </w:pPr>
            <w:r>
              <w:rPr>
                <w:rFonts w:ascii="Arial" w:cs="Arial" w:eastAsia="Arial" w:hAnsi="Arial"/>
                <w:sz w:val="14"/>
                <w:szCs w:val="14"/>
                <w:color w:val="auto"/>
              </w:rPr>
              <w:t>§  rate of compensation increases</w:t>
            </w:r>
          </w:p>
        </w:tc>
      </w:tr>
      <w:tr>
        <w:trPr>
          <w:trHeight w:val="226"/>
        </w:trPr>
        <w:tc>
          <w:tcPr>
            <w:tcW w:w="1340" w:type="dxa"/>
            <w:vAlign w:val="bottom"/>
            <w:tcBorders>
              <w:left w:val="single" w:sz="8" w:color="auto"/>
              <w:bottom w:val="single" w:sz="8" w:color="auto"/>
              <w:right w:val="single" w:sz="8" w:color="auto"/>
            </w:tcBorders>
          </w:tcPr>
          <w:p>
            <w:pPr>
              <w:spacing w:after="0"/>
              <w:rPr>
                <w:sz w:val="19"/>
                <w:szCs w:val="19"/>
                <w:color w:val="auto"/>
              </w:rPr>
            </w:pPr>
          </w:p>
        </w:tc>
        <w:tc>
          <w:tcPr>
            <w:tcW w:w="634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4"/>
                <w:szCs w:val="14"/>
                <w:color w:val="auto"/>
              </w:rPr>
              <w:t>§ payout elections (lump sum or annuity)</w:t>
            </w:r>
          </w:p>
        </w:tc>
      </w:tr>
      <w:tr>
        <w:trPr>
          <w:trHeight w:val="172"/>
        </w:trPr>
        <w:tc>
          <w:tcPr>
            <w:tcW w:w="13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Effect if Different</w:t>
            </w:r>
          </w:p>
        </w:tc>
        <w:tc>
          <w:tcPr>
            <w:tcW w:w="6340" w:type="dxa"/>
            <w:vAlign w:val="bottom"/>
            <w:tcBorders>
              <w:right w:val="single" w:sz="8" w:color="auto"/>
            </w:tcBorders>
          </w:tcPr>
          <w:p>
            <w:pPr>
              <w:ind w:left="240"/>
              <w:spacing w:after="0"/>
              <w:rPr>
                <w:sz w:val="20"/>
                <w:szCs w:val="20"/>
                <w:color w:val="auto"/>
              </w:rPr>
            </w:pPr>
            <w:r>
              <w:rPr>
                <w:rFonts w:ascii="Arial" w:cs="Arial" w:eastAsia="Arial" w:hAnsi="Arial"/>
                <w:sz w:val="14"/>
                <w:szCs w:val="14"/>
                <w:color w:val="auto"/>
              </w:rPr>
              <w:t>The actuarial assumptions we use may differ materially from actual results due to:</w:t>
            </w:r>
          </w:p>
        </w:tc>
      </w:tr>
      <w:tr>
        <w:trPr>
          <w:trHeight w:val="154"/>
        </w:trPr>
        <w:tc>
          <w:tcPr>
            <w:tcW w:w="13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Assumptions Used</w:t>
            </w:r>
          </w:p>
        </w:tc>
        <w:tc>
          <w:tcPr>
            <w:tcW w:w="6340" w:type="dxa"/>
            <w:vAlign w:val="bottom"/>
            <w:tcBorders>
              <w:right w:val="single" w:sz="8" w:color="auto"/>
            </w:tcBorders>
          </w:tcPr>
          <w:p>
            <w:pPr>
              <w:spacing w:after="0"/>
              <w:rPr>
                <w:sz w:val="13"/>
                <w:szCs w:val="13"/>
                <w:color w:val="auto"/>
              </w:rPr>
            </w:pPr>
          </w:p>
        </w:tc>
      </w:tr>
      <w:tr>
        <w:trPr>
          <w:trHeight w:val="256"/>
        </w:trPr>
        <w:tc>
          <w:tcPr>
            <w:tcW w:w="1340" w:type="dxa"/>
            <w:vAlign w:val="bottom"/>
            <w:tcBorders>
              <w:left w:val="single" w:sz="8" w:color="auto"/>
              <w:right w:val="single" w:sz="8" w:color="auto"/>
            </w:tcBorders>
          </w:tcPr>
          <w:p>
            <w:pPr>
              <w:spacing w:after="0"/>
              <w:rPr>
                <w:sz w:val="22"/>
                <w:szCs w:val="22"/>
                <w:color w:val="auto"/>
              </w:rPr>
            </w:pPr>
          </w:p>
        </w:tc>
        <w:tc>
          <w:tcPr>
            <w:tcW w:w="6340" w:type="dxa"/>
            <w:vAlign w:val="bottom"/>
            <w:tcBorders>
              <w:right w:val="single" w:sz="8" w:color="auto"/>
            </w:tcBorders>
          </w:tcPr>
          <w:p>
            <w:pPr>
              <w:ind w:left="240"/>
              <w:spacing w:after="0"/>
              <w:rPr>
                <w:sz w:val="20"/>
                <w:szCs w:val="20"/>
                <w:color w:val="auto"/>
              </w:rPr>
            </w:pPr>
            <w:r>
              <w:rPr>
                <w:rFonts w:ascii="Arial" w:cs="Arial" w:eastAsia="Arial" w:hAnsi="Arial"/>
                <w:sz w:val="14"/>
                <w:szCs w:val="14"/>
                <w:color w:val="auto"/>
              </w:rPr>
              <w:t>§  return on plan assets</w:t>
            </w:r>
          </w:p>
        </w:tc>
      </w:tr>
      <w:tr>
        <w:trPr>
          <w:trHeight w:val="204"/>
        </w:trPr>
        <w:tc>
          <w:tcPr>
            <w:tcW w:w="1340" w:type="dxa"/>
            <w:vAlign w:val="bottom"/>
            <w:tcBorders>
              <w:left w:val="single" w:sz="8" w:color="auto"/>
              <w:right w:val="single" w:sz="8" w:color="auto"/>
            </w:tcBorders>
          </w:tcPr>
          <w:p>
            <w:pPr>
              <w:spacing w:after="0"/>
              <w:rPr>
                <w:sz w:val="17"/>
                <w:szCs w:val="17"/>
                <w:color w:val="auto"/>
              </w:rPr>
            </w:pPr>
          </w:p>
        </w:tc>
        <w:tc>
          <w:tcPr>
            <w:tcW w:w="6340" w:type="dxa"/>
            <w:vAlign w:val="bottom"/>
            <w:tcBorders>
              <w:right w:val="single" w:sz="8" w:color="auto"/>
            </w:tcBorders>
          </w:tcPr>
          <w:p>
            <w:pPr>
              <w:ind w:left="240"/>
              <w:spacing w:after="0"/>
              <w:rPr>
                <w:sz w:val="20"/>
                <w:szCs w:val="20"/>
                <w:color w:val="auto"/>
              </w:rPr>
            </w:pPr>
            <w:r>
              <w:rPr>
                <w:rFonts w:ascii="Arial" w:cs="Arial" w:eastAsia="Arial" w:hAnsi="Arial"/>
                <w:sz w:val="14"/>
                <w:szCs w:val="14"/>
                <w:color w:val="auto"/>
              </w:rPr>
              <w:t>§  changing market and economic conditions</w:t>
            </w:r>
          </w:p>
        </w:tc>
      </w:tr>
      <w:tr>
        <w:trPr>
          <w:trHeight w:val="204"/>
        </w:trPr>
        <w:tc>
          <w:tcPr>
            <w:tcW w:w="1340" w:type="dxa"/>
            <w:vAlign w:val="bottom"/>
            <w:tcBorders>
              <w:left w:val="single" w:sz="8" w:color="auto"/>
              <w:right w:val="single" w:sz="8" w:color="auto"/>
            </w:tcBorders>
          </w:tcPr>
          <w:p>
            <w:pPr>
              <w:spacing w:after="0"/>
              <w:rPr>
                <w:sz w:val="17"/>
                <w:szCs w:val="17"/>
                <w:color w:val="auto"/>
              </w:rPr>
            </w:pPr>
          </w:p>
        </w:tc>
        <w:tc>
          <w:tcPr>
            <w:tcW w:w="6340" w:type="dxa"/>
            <w:vAlign w:val="bottom"/>
            <w:tcBorders>
              <w:right w:val="single" w:sz="8" w:color="auto"/>
            </w:tcBorders>
          </w:tcPr>
          <w:p>
            <w:pPr>
              <w:ind w:left="240"/>
              <w:spacing w:after="0"/>
              <w:rPr>
                <w:sz w:val="20"/>
                <w:szCs w:val="20"/>
                <w:color w:val="auto"/>
              </w:rPr>
            </w:pPr>
            <w:r>
              <w:rPr>
                <w:rFonts w:ascii="Arial" w:cs="Arial" w:eastAsia="Arial" w:hAnsi="Arial"/>
                <w:sz w:val="14"/>
                <w:szCs w:val="14"/>
                <w:color w:val="auto"/>
              </w:rPr>
              <w:t>§  higher or lower withdrawal rates</w:t>
            </w:r>
          </w:p>
        </w:tc>
      </w:tr>
      <w:tr>
        <w:trPr>
          <w:trHeight w:val="204"/>
        </w:trPr>
        <w:tc>
          <w:tcPr>
            <w:tcW w:w="1340" w:type="dxa"/>
            <w:vAlign w:val="bottom"/>
            <w:tcBorders>
              <w:left w:val="single" w:sz="8" w:color="auto"/>
              <w:right w:val="single" w:sz="8" w:color="auto"/>
            </w:tcBorders>
          </w:tcPr>
          <w:p>
            <w:pPr>
              <w:spacing w:after="0"/>
              <w:rPr>
                <w:sz w:val="17"/>
                <w:szCs w:val="17"/>
                <w:color w:val="auto"/>
              </w:rPr>
            </w:pPr>
          </w:p>
        </w:tc>
        <w:tc>
          <w:tcPr>
            <w:tcW w:w="6340" w:type="dxa"/>
            <w:vAlign w:val="bottom"/>
            <w:tcBorders>
              <w:right w:val="single" w:sz="8" w:color="auto"/>
            </w:tcBorders>
          </w:tcPr>
          <w:p>
            <w:pPr>
              <w:ind w:left="240"/>
              <w:spacing w:after="0"/>
              <w:rPr>
                <w:sz w:val="20"/>
                <w:szCs w:val="20"/>
                <w:color w:val="auto"/>
              </w:rPr>
            </w:pPr>
            <w:r>
              <w:rPr>
                <w:rFonts w:ascii="Arial" w:cs="Arial" w:eastAsia="Arial" w:hAnsi="Arial"/>
                <w:sz w:val="14"/>
                <w:szCs w:val="14"/>
                <w:color w:val="auto"/>
              </w:rPr>
              <w:t>§  longer or shorter participant life spans</w:t>
            </w:r>
          </w:p>
        </w:tc>
      </w:tr>
      <w:tr>
        <w:trPr>
          <w:trHeight w:val="204"/>
        </w:trPr>
        <w:tc>
          <w:tcPr>
            <w:tcW w:w="1340" w:type="dxa"/>
            <w:vAlign w:val="bottom"/>
            <w:tcBorders>
              <w:left w:val="single" w:sz="8" w:color="auto"/>
              <w:right w:val="single" w:sz="8" w:color="auto"/>
            </w:tcBorders>
          </w:tcPr>
          <w:p>
            <w:pPr>
              <w:spacing w:after="0"/>
              <w:rPr>
                <w:sz w:val="17"/>
                <w:szCs w:val="17"/>
                <w:color w:val="auto"/>
              </w:rPr>
            </w:pPr>
          </w:p>
        </w:tc>
        <w:tc>
          <w:tcPr>
            <w:tcW w:w="6340" w:type="dxa"/>
            <w:vAlign w:val="bottom"/>
            <w:tcBorders>
              <w:right w:val="single" w:sz="8" w:color="auto"/>
            </w:tcBorders>
          </w:tcPr>
          <w:p>
            <w:pPr>
              <w:ind w:left="240"/>
              <w:spacing w:after="0"/>
              <w:rPr>
                <w:sz w:val="20"/>
                <w:szCs w:val="20"/>
                <w:color w:val="auto"/>
              </w:rPr>
            </w:pPr>
            <w:r>
              <w:rPr>
                <w:rFonts w:ascii="Arial" w:cs="Arial" w:eastAsia="Arial" w:hAnsi="Arial"/>
                <w:sz w:val="14"/>
                <w:szCs w:val="14"/>
                <w:color w:val="auto"/>
              </w:rPr>
              <w:t>§  more or fewer lump sum versus annuity payout elections made by plan participants</w:t>
            </w:r>
          </w:p>
        </w:tc>
      </w:tr>
      <w:tr>
        <w:trPr>
          <w:trHeight w:val="392"/>
        </w:trPr>
        <w:tc>
          <w:tcPr>
            <w:tcW w:w="1340" w:type="dxa"/>
            <w:vAlign w:val="bottom"/>
            <w:tcBorders>
              <w:left w:val="single" w:sz="8" w:color="auto"/>
              <w:right w:val="single" w:sz="8" w:color="auto"/>
            </w:tcBorders>
          </w:tcPr>
          <w:p>
            <w:pPr>
              <w:spacing w:after="0"/>
              <w:rPr>
                <w:sz w:val="24"/>
                <w:szCs w:val="24"/>
                <w:color w:val="auto"/>
              </w:rPr>
            </w:pPr>
          </w:p>
        </w:tc>
        <w:tc>
          <w:tcPr>
            <w:tcW w:w="6340" w:type="dxa"/>
            <w:vAlign w:val="bottom"/>
            <w:tcBorders>
              <w:right w:val="single" w:sz="8" w:color="auto"/>
            </w:tcBorders>
          </w:tcPr>
          <w:p>
            <w:pPr>
              <w:ind w:left="240"/>
              <w:spacing w:after="0"/>
              <w:rPr>
                <w:sz w:val="20"/>
                <w:szCs w:val="20"/>
                <w:color w:val="auto"/>
              </w:rPr>
            </w:pPr>
            <w:r>
              <w:rPr>
                <w:rFonts w:ascii="Arial" w:cs="Arial" w:eastAsia="Arial" w:hAnsi="Arial"/>
                <w:sz w:val="14"/>
                <w:szCs w:val="14"/>
                <w:color w:val="auto"/>
              </w:rPr>
              <w:t>These differences, other than those related to the Sempra Utilities plans, where rate recovery</w:t>
            </w:r>
          </w:p>
        </w:tc>
      </w:tr>
      <w:tr>
        <w:trPr>
          <w:trHeight w:val="168"/>
        </w:trPr>
        <w:tc>
          <w:tcPr>
            <w:tcW w:w="1340" w:type="dxa"/>
            <w:vAlign w:val="bottom"/>
            <w:tcBorders>
              <w:left w:val="single" w:sz="8" w:color="auto"/>
              <w:right w:val="single" w:sz="8" w:color="auto"/>
            </w:tcBorders>
          </w:tcPr>
          <w:p>
            <w:pPr>
              <w:spacing w:after="0"/>
              <w:rPr>
                <w:sz w:val="14"/>
                <w:szCs w:val="14"/>
                <w:color w:val="auto"/>
              </w:rPr>
            </w:pPr>
          </w:p>
        </w:tc>
        <w:tc>
          <w:tcPr>
            <w:tcW w:w="6340" w:type="dxa"/>
            <w:vAlign w:val="bottom"/>
            <w:tcBorders>
              <w:right w:val="single" w:sz="8" w:color="auto"/>
            </w:tcBorders>
          </w:tcPr>
          <w:p>
            <w:pPr>
              <w:ind w:left="240"/>
              <w:spacing w:after="0"/>
              <w:rPr>
                <w:sz w:val="20"/>
                <w:szCs w:val="20"/>
                <w:color w:val="auto"/>
              </w:rPr>
            </w:pPr>
            <w:r>
              <w:rPr>
                <w:rFonts w:ascii="Arial" w:cs="Arial" w:eastAsia="Arial" w:hAnsi="Arial"/>
                <w:sz w:val="14"/>
                <w:szCs w:val="14"/>
                <w:color w:val="auto"/>
              </w:rPr>
              <w:t>offsets any effects of the assumptions on net income, may result in a significant impact to the</w:t>
            </w:r>
          </w:p>
        </w:tc>
      </w:tr>
      <w:tr>
        <w:trPr>
          <w:trHeight w:val="168"/>
        </w:trPr>
        <w:tc>
          <w:tcPr>
            <w:tcW w:w="1340" w:type="dxa"/>
            <w:vAlign w:val="bottom"/>
            <w:tcBorders>
              <w:left w:val="single" w:sz="8" w:color="auto"/>
              <w:right w:val="single" w:sz="8" w:color="auto"/>
            </w:tcBorders>
          </w:tcPr>
          <w:p>
            <w:pPr>
              <w:spacing w:after="0"/>
              <w:rPr>
                <w:sz w:val="14"/>
                <w:szCs w:val="14"/>
                <w:color w:val="auto"/>
              </w:rPr>
            </w:pPr>
          </w:p>
        </w:tc>
        <w:tc>
          <w:tcPr>
            <w:tcW w:w="6340" w:type="dxa"/>
            <w:vAlign w:val="bottom"/>
            <w:tcBorders>
              <w:right w:val="single" w:sz="8" w:color="auto"/>
            </w:tcBorders>
          </w:tcPr>
          <w:p>
            <w:pPr>
              <w:ind w:left="240"/>
              <w:spacing w:after="0"/>
              <w:rPr>
                <w:sz w:val="20"/>
                <w:szCs w:val="20"/>
                <w:color w:val="auto"/>
              </w:rPr>
            </w:pPr>
            <w:r>
              <w:rPr>
                <w:rFonts w:ascii="Arial" w:cs="Arial" w:eastAsia="Arial" w:hAnsi="Arial"/>
                <w:sz w:val="14"/>
                <w:szCs w:val="14"/>
                <w:color w:val="auto"/>
              </w:rPr>
              <w:t>amount of pension and postretirement benefit expense we record. For the remaining plans, the</w:t>
            </w:r>
          </w:p>
        </w:tc>
      </w:tr>
      <w:tr>
        <w:trPr>
          <w:trHeight w:val="168"/>
        </w:trPr>
        <w:tc>
          <w:tcPr>
            <w:tcW w:w="1340" w:type="dxa"/>
            <w:vAlign w:val="bottom"/>
            <w:tcBorders>
              <w:left w:val="single" w:sz="8" w:color="auto"/>
              <w:right w:val="single" w:sz="8" w:color="auto"/>
            </w:tcBorders>
          </w:tcPr>
          <w:p>
            <w:pPr>
              <w:spacing w:after="0"/>
              <w:rPr>
                <w:sz w:val="14"/>
                <w:szCs w:val="14"/>
                <w:color w:val="auto"/>
              </w:rPr>
            </w:pPr>
          </w:p>
        </w:tc>
        <w:tc>
          <w:tcPr>
            <w:tcW w:w="6340" w:type="dxa"/>
            <w:vAlign w:val="bottom"/>
            <w:tcBorders>
              <w:right w:val="single" w:sz="8" w:color="auto"/>
            </w:tcBorders>
          </w:tcPr>
          <w:p>
            <w:pPr>
              <w:ind w:left="240"/>
              <w:spacing w:after="0"/>
              <w:rPr>
                <w:sz w:val="20"/>
                <w:szCs w:val="20"/>
                <w:color w:val="auto"/>
              </w:rPr>
            </w:pPr>
            <w:r>
              <w:rPr>
                <w:rFonts w:ascii="Arial" w:cs="Arial" w:eastAsia="Arial" w:hAnsi="Arial"/>
                <w:sz w:val="14"/>
                <w:szCs w:val="14"/>
                <w:color w:val="auto"/>
              </w:rPr>
              <w:t>approximate annual effect on net income of a 0.25 percent point increase or decrease in the</w:t>
            </w:r>
          </w:p>
        </w:tc>
      </w:tr>
      <w:tr>
        <w:trPr>
          <w:trHeight w:val="168"/>
        </w:trPr>
        <w:tc>
          <w:tcPr>
            <w:tcW w:w="1340" w:type="dxa"/>
            <w:vAlign w:val="bottom"/>
            <w:tcBorders>
              <w:left w:val="single" w:sz="8" w:color="auto"/>
              <w:right w:val="single" w:sz="8" w:color="auto"/>
            </w:tcBorders>
          </w:tcPr>
          <w:p>
            <w:pPr>
              <w:spacing w:after="0"/>
              <w:rPr>
                <w:sz w:val="14"/>
                <w:szCs w:val="14"/>
                <w:color w:val="auto"/>
              </w:rPr>
            </w:pPr>
          </w:p>
        </w:tc>
        <w:tc>
          <w:tcPr>
            <w:tcW w:w="6340" w:type="dxa"/>
            <w:vAlign w:val="bottom"/>
            <w:tcBorders>
              <w:right w:val="single" w:sz="8" w:color="auto"/>
            </w:tcBorders>
          </w:tcPr>
          <w:p>
            <w:pPr>
              <w:ind w:left="240"/>
              <w:spacing w:after="0"/>
              <w:rPr>
                <w:sz w:val="20"/>
                <w:szCs w:val="20"/>
                <w:color w:val="auto"/>
              </w:rPr>
            </w:pPr>
            <w:r>
              <w:rPr>
                <w:rFonts w:ascii="Arial" w:cs="Arial" w:eastAsia="Arial" w:hAnsi="Arial"/>
                <w:sz w:val="14"/>
                <w:szCs w:val="14"/>
                <w:color w:val="auto"/>
              </w:rPr>
              <w:t>assumed discount rate would be $2 million and a 0.25 percent point increase or decrease in</w:t>
            </w:r>
          </w:p>
        </w:tc>
      </w:tr>
      <w:tr>
        <w:trPr>
          <w:trHeight w:val="172"/>
        </w:trPr>
        <w:tc>
          <w:tcPr>
            <w:tcW w:w="1340" w:type="dxa"/>
            <w:vAlign w:val="bottom"/>
            <w:tcBorders>
              <w:left w:val="single" w:sz="8" w:color="auto"/>
              <w:right w:val="single" w:sz="8" w:color="auto"/>
            </w:tcBorders>
          </w:tcPr>
          <w:p>
            <w:pPr>
              <w:spacing w:after="0"/>
              <w:rPr>
                <w:sz w:val="14"/>
                <w:szCs w:val="14"/>
                <w:color w:val="auto"/>
              </w:rPr>
            </w:pPr>
          </w:p>
        </w:tc>
        <w:tc>
          <w:tcPr>
            <w:tcW w:w="6340" w:type="dxa"/>
            <w:vAlign w:val="bottom"/>
            <w:tcBorders>
              <w:right w:val="single" w:sz="8" w:color="auto"/>
            </w:tcBorders>
          </w:tcPr>
          <w:p>
            <w:pPr>
              <w:ind w:left="240"/>
              <w:spacing w:after="0"/>
              <w:rPr>
                <w:sz w:val="20"/>
                <w:szCs w:val="20"/>
                <w:color w:val="auto"/>
              </w:rPr>
            </w:pPr>
            <w:r>
              <w:rPr>
                <w:rFonts w:ascii="Arial" w:cs="Arial" w:eastAsia="Arial" w:hAnsi="Arial"/>
                <w:sz w:val="14"/>
                <w:szCs w:val="14"/>
                <w:color w:val="auto"/>
              </w:rPr>
              <w:t>the assumed rate of return on plan assets would be less than $1 million.</w:t>
            </w:r>
          </w:p>
        </w:tc>
      </w:tr>
      <w:tr>
        <w:trPr>
          <w:trHeight w:val="356"/>
        </w:trPr>
        <w:tc>
          <w:tcPr>
            <w:tcW w:w="1340" w:type="dxa"/>
            <w:vAlign w:val="bottom"/>
            <w:tcBorders>
              <w:left w:val="single" w:sz="8" w:color="auto"/>
              <w:right w:val="single" w:sz="8" w:color="auto"/>
            </w:tcBorders>
          </w:tcPr>
          <w:p>
            <w:pPr>
              <w:spacing w:after="0"/>
              <w:rPr>
                <w:sz w:val="24"/>
                <w:szCs w:val="24"/>
                <w:color w:val="auto"/>
              </w:rPr>
            </w:pPr>
          </w:p>
        </w:tc>
        <w:tc>
          <w:tcPr>
            <w:tcW w:w="6340" w:type="dxa"/>
            <w:vAlign w:val="bottom"/>
            <w:tcBorders>
              <w:right w:val="single" w:sz="8" w:color="auto"/>
            </w:tcBorders>
          </w:tcPr>
          <w:p>
            <w:pPr>
              <w:ind w:left="240"/>
              <w:spacing w:after="0"/>
              <w:rPr>
                <w:sz w:val="20"/>
                <w:szCs w:val="20"/>
                <w:color w:val="auto"/>
              </w:rPr>
            </w:pPr>
            <w:r>
              <w:rPr>
                <w:rFonts w:ascii="Arial" w:cs="Arial" w:eastAsia="Arial" w:hAnsi="Arial"/>
                <w:sz w:val="14"/>
                <w:szCs w:val="14"/>
                <w:color w:val="auto"/>
              </w:rPr>
              <w:t>We provide information about the impact of increases and decreases in the health-care cost</w:t>
            </w:r>
          </w:p>
        </w:tc>
      </w:tr>
      <w:tr>
        <w:trPr>
          <w:trHeight w:val="175"/>
        </w:trPr>
        <w:tc>
          <w:tcPr>
            <w:tcW w:w="1340" w:type="dxa"/>
            <w:vAlign w:val="bottom"/>
            <w:tcBorders>
              <w:left w:val="single" w:sz="8" w:color="auto"/>
              <w:bottom w:val="single" w:sz="8" w:color="auto"/>
              <w:right w:val="single" w:sz="8" w:color="auto"/>
            </w:tcBorders>
          </w:tcPr>
          <w:p>
            <w:pPr>
              <w:spacing w:after="0"/>
              <w:rPr>
                <w:sz w:val="15"/>
                <w:szCs w:val="15"/>
                <w:color w:val="auto"/>
              </w:rPr>
            </w:pPr>
          </w:p>
        </w:tc>
        <w:tc>
          <w:tcPr>
            <w:tcW w:w="634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trend rate in Note 9 of the Notes to Consolidated Financial Statements.</w:t>
            </w:r>
          </w:p>
        </w:tc>
      </w:tr>
    </w:tbl>
    <w:p>
      <w:pPr>
        <w:spacing w:after="0" w:line="376" w:lineRule="exact"/>
        <w:rPr>
          <w:sz w:val="20"/>
          <w:szCs w:val="20"/>
          <w:color w:val="auto"/>
        </w:rPr>
      </w:pPr>
    </w:p>
    <w:p>
      <w:pPr>
        <w:spacing w:after="0"/>
        <w:rPr>
          <w:sz w:val="20"/>
          <w:szCs w:val="20"/>
          <w:color w:val="auto"/>
        </w:rPr>
      </w:pPr>
      <w:r>
        <w:rPr>
          <w:rFonts w:ascii="Arial" w:cs="Arial" w:eastAsia="Arial" w:hAnsi="Arial"/>
          <w:sz w:val="14"/>
          <w:szCs w:val="14"/>
          <w:color w:val="auto"/>
        </w:rPr>
        <w:t>52</w:t>
      </w:r>
    </w:p>
    <w:p>
      <w:pPr>
        <w:sectPr>
          <w:pgSz w:w="11900" w:h="16838" w:orient="portrait"/>
          <w:cols w:equalWidth="0" w:num="1">
            <w:col w:w="10219"/>
          </w:cols>
          <w:pgMar w:left="240" w:top="400" w:right="1440" w:bottom="1440" w:gutter="0" w:footer="0" w:header="0"/>
        </w:sectPr>
      </w:pPr>
    </w:p>
    <w:bookmarkStart w:id="192" w:name="page193"/>
    <w:bookmarkEnd w:id="192"/>
    <w:p>
      <w:pPr>
        <w:ind w:left="1880"/>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1347470</wp:posOffset>
            </wp:positionH>
            <wp:positionV relativeFrom="page">
              <wp:posOffset>226695</wp:posOffset>
            </wp:positionV>
            <wp:extent cx="4874260" cy="3048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4874260" cy="30480"/>
                    </a:xfrm>
                    <a:prstGeom prst="rect">
                      <a:avLst/>
                    </a:prstGeom>
                    <a:noFill/>
                  </pic:spPr>
                </pic:pic>
              </a:graphicData>
            </a:graphic>
          </wp:anchor>
        </w:drawing>
        <w:t>SEMPRA ENERGY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1195070</wp:posOffset>
            </wp:positionH>
            <wp:positionV relativeFrom="paragraph">
              <wp:posOffset>22860</wp:posOffset>
            </wp:positionV>
            <wp:extent cx="4874260" cy="762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4874260" cy="7620"/>
                    </a:xfrm>
                    <a:prstGeom prst="rect">
                      <a:avLst/>
                    </a:prstGeom>
                    <a:noFill/>
                  </pic:spPr>
                </pic:pic>
              </a:graphicData>
            </a:graphic>
          </wp:anchor>
        </w:drawing>
      </w:r>
    </w:p>
    <w:p>
      <w:pPr>
        <w:spacing w:after="0" w:line="23" w:lineRule="exact"/>
        <w:rPr>
          <w:sz w:val="20"/>
          <w:szCs w:val="20"/>
          <w:color w:val="auto"/>
        </w:rPr>
      </w:pPr>
    </w:p>
    <w:p>
      <w:pPr>
        <w:ind w:left="1880"/>
        <w:spacing w:after="0"/>
        <w:rPr>
          <w:sz w:val="20"/>
          <w:szCs w:val="20"/>
          <w:color w:val="auto"/>
        </w:rPr>
      </w:pPr>
      <w:r>
        <w:rPr>
          <w:rFonts w:ascii="Arial" w:cs="Arial" w:eastAsia="Arial" w:hAnsi="Arial"/>
          <w:sz w:val="14"/>
          <w:szCs w:val="14"/>
          <w:b w:val="1"/>
          <w:bCs w:val="1"/>
          <w:color w:val="auto"/>
        </w:rPr>
        <w:t>IMPAIRMENT TESTING OF LONG-LIVED ASSETS</w:t>
      </w:r>
    </w:p>
    <w:p>
      <w:pPr>
        <w:spacing w:after="0" w:line="31" w:lineRule="exact"/>
        <w:rPr>
          <w:sz w:val="20"/>
          <w:szCs w:val="20"/>
          <w:color w:val="auto"/>
        </w:rPr>
      </w:pPr>
    </w:p>
    <w:p>
      <w:pPr>
        <w:ind w:left="1880" w:right="679"/>
        <w:spacing w:after="0" w:line="268" w:lineRule="auto"/>
        <w:rPr>
          <w:sz w:val="20"/>
          <w:szCs w:val="20"/>
          <w:color w:val="auto"/>
        </w:rPr>
      </w:pPr>
      <w:r>
        <w:rPr>
          <w:rFonts w:ascii="Arial" w:cs="Arial" w:eastAsia="Arial" w:hAnsi="Arial"/>
          <w:sz w:val="14"/>
          <w:szCs w:val="14"/>
          <w:b w:val="1"/>
          <w:bCs w:val="1"/>
          <w:color w:val="auto"/>
        </w:rPr>
        <w:t xml:space="preserve">SFAS 144, </w:t>
      </w:r>
      <w:r>
        <w:rPr>
          <w:rFonts w:ascii="Arial" w:cs="Arial" w:eastAsia="Arial" w:hAnsi="Arial"/>
          <w:sz w:val="14"/>
          <w:szCs w:val="14"/>
          <w:b w:val="1"/>
          <w:bCs w:val="1"/>
          <w:i w:val="1"/>
          <w:iCs w:val="1"/>
          <w:color w:val="auto"/>
        </w:rPr>
        <w:t>Accounting for the Impairment or Disposal of Long-Lived Assets</w:t>
      </w:r>
      <w:r>
        <w:rPr>
          <w:rFonts w:ascii="Arial" w:cs="Arial" w:eastAsia="Arial" w:hAnsi="Arial"/>
          <w:sz w:val="14"/>
          <w:szCs w:val="14"/>
          <w:b w:val="1"/>
          <w:bCs w:val="1"/>
          <w:color w:val="auto"/>
        </w:rPr>
        <w:t>, requires that long-lived assets be evaluated as necessary for impairment whenever events or changes in circumstances indicate that the carrying amount of any such assets may not be recoverable or the assets meet the held-for-sale criteria under SFAS 144.</w:t>
      </w:r>
    </w:p>
    <w:p>
      <w:pPr>
        <w:spacing w:after="0" w:line="190" w:lineRule="exact"/>
        <w:rPr>
          <w:sz w:val="20"/>
          <w:szCs w:val="20"/>
          <w:color w:val="auto"/>
        </w:rPr>
      </w:pPr>
    </w:p>
    <w:tbl>
      <w:tblPr>
        <w:tblLayout w:type="fixed"/>
        <w:tblInd w:w="1890" w:type="dxa"/>
        <w:tblCellMar>
          <w:top w:w="0" w:type="dxa"/>
          <w:left w:w="0" w:type="dxa"/>
          <w:bottom w:w="0" w:type="dxa"/>
          <w:right w:w="0" w:type="dxa"/>
        </w:tblCellMar>
      </w:tblPr>
      <w:tr>
        <w:trPr>
          <w:trHeight w:val="184"/>
        </w:trPr>
        <w:tc>
          <w:tcPr>
            <w:tcW w:w="1340" w:type="dxa"/>
            <w:vAlign w:val="bottom"/>
            <w:tcBorders>
              <w:top w:val="single" w:sz="8" w:color="auto"/>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Assumptions &amp;</w:t>
            </w:r>
          </w:p>
        </w:tc>
        <w:tc>
          <w:tcPr>
            <w:tcW w:w="6340" w:type="dxa"/>
            <w:vAlign w:val="bottom"/>
            <w:tcBorders>
              <w:top w:val="single" w:sz="8" w:color="auto"/>
              <w:right w:val="single" w:sz="8" w:color="auto"/>
            </w:tcBorders>
          </w:tcPr>
          <w:p>
            <w:pPr>
              <w:ind w:left="200"/>
              <w:spacing w:after="0"/>
              <w:rPr>
                <w:sz w:val="20"/>
                <w:szCs w:val="20"/>
                <w:color w:val="auto"/>
              </w:rPr>
            </w:pPr>
            <w:r>
              <w:rPr>
                <w:rFonts w:ascii="Arial" w:cs="Arial" w:eastAsia="Arial" w:hAnsi="Arial"/>
                <w:sz w:val="14"/>
                <w:szCs w:val="14"/>
                <w:color w:val="auto"/>
              </w:rPr>
              <w:t>Whenever events or changes in circumstances indicate that an asset's carrying amount may</w:t>
            </w:r>
          </w:p>
        </w:tc>
      </w:tr>
      <w:tr>
        <w:trPr>
          <w:trHeight w:val="178"/>
        </w:trPr>
        <w:tc>
          <w:tcPr>
            <w:tcW w:w="13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Approach Used</w:t>
            </w:r>
          </w:p>
        </w:tc>
        <w:tc>
          <w:tcPr>
            <w:tcW w:w="6340" w:type="dxa"/>
            <w:vAlign w:val="bottom"/>
            <w:tcBorders>
              <w:right w:val="single" w:sz="8" w:color="auto"/>
            </w:tcBorders>
          </w:tcPr>
          <w:p>
            <w:pPr>
              <w:ind w:left="200"/>
              <w:spacing w:after="0"/>
              <w:rPr>
                <w:sz w:val="20"/>
                <w:szCs w:val="20"/>
                <w:color w:val="auto"/>
              </w:rPr>
            </w:pPr>
            <w:r>
              <w:rPr>
                <w:rFonts w:ascii="Arial" w:cs="Arial" w:eastAsia="Arial" w:hAnsi="Arial"/>
                <w:sz w:val="14"/>
                <w:szCs w:val="14"/>
                <w:color w:val="auto"/>
              </w:rPr>
              <w:t>not be recoverable, we apply SFAS 144 to estimate the fair value of our long-lived assets. For</w:t>
            </w:r>
          </w:p>
        </w:tc>
      </w:tr>
      <w:tr>
        <w:trPr>
          <w:trHeight w:val="168"/>
        </w:trPr>
        <w:tc>
          <w:tcPr>
            <w:tcW w:w="1340" w:type="dxa"/>
            <w:vAlign w:val="bottom"/>
            <w:tcBorders>
              <w:left w:val="single" w:sz="8" w:color="auto"/>
              <w:right w:val="single" w:sz="8" w:color="auto"/>
            </w:tcBorders>
          </w:tcPr>
          <w:p>
            <w:pPr>
              <w:spacing w:after="0"/>
              <w:rPr>
                <w:sz w:val="14"/>
                <w:szCs w:val="14"/>
                <w:color w:val="auto"/>
              </w:rPr>
            </w:pPr>
          </w:p>
        </w:tc>
        <w:tc>
          <w:tcPr>
            <w:tcW w:w="6340" w:type="dxa"/>
            <w:vAlign w:val="bottom"/>
            <w:tcBorders>
              <w:right w:val="single" w:sz="8" w:color="auto"/>
            </w:tcBorders>
          </w:tcPr>
          <w:p>
            <w:pPr>
              <w:ind w:left="200"/>
              <w:spacing w:after="0"/>
              <w:rPr>
                <w:sz w:val="20"/>
                <w:szCs w:val="20"/>
                <w:color w:val="auto"/>
              </w:rPr>
            </w:pPr>
            <w:r>
              <w:rPr>
                <w:rFonts w:ascii="Arial" w:cs="Arial" w:eastAsia="Arial" w:hAnsi="Arial"/>
                <w:sz w:val="14"/>
                <w:szCs w:val="14"/>
                <w:color w:val="auto"/>
              </w:rPr>
              <w:t>these estimates, we may consider data from multiple valuation methods, including data from</w:t>
            </w:r>
          </w:p>
        </w:tc>
      </w:tr>
      <w:tr>
        <w:trPr>
          <w:trHeight w:val="168"/>
        </w:trPr>
        <w:tc>
          <w:tcPr>
            <w:tcW w:w="1340" w:type="dxa"/>
            <w:vAlign w:val="bottom"/>
            <w:tcBorders>
              <w:left w:val="single" w:sz="8" w:color="auto"/>
              <w:right w:val="single" w:sz="8" w:color="auto"/>
            </w:tcBorders>
          </w:tcPr>
          <w:p>
            <w:pPr>
              <w:spacing w:after="0"/>
              <w:rPr>
                <w:sz w:val="14"/>
                <w:szCs w:val="14"/>
                <w:color w:val="auto"/>
              </w:rPr>
            </w:pPr>
          </w:p>
        </w:tc>
        <w:tc>
          <w:tcPr>
            <w:tcW w:w="6340" w:type="dxa"/>
            <w:vAlign w:val="bottom"/>
            <w:tcBorders>
              <w:right w:val="single" w:sz="8" w:color="auto"/>
            </w:tcBorders>
          </w:tcPr>
          <w:p>
            <w:pPr>
              <w:ind w:left="200"/>
              <w:spacing w:after="0"/>
              <w:rPr>
                <w:sz w:val="20"/>
                <w:szCs w:val="20"/>
                <w:color w:val="auto"/>
              </w:rPr>
            </w:pPr>
            <w:r>
              <w:rPr>
                <w:rFonts w:ascii="Arial" w:cs="Arial" w:eastAsia="Arial" w:hAnsi="Arial"/>
                <w:sz w:val="14"/>
                <w:szCs w:val="14"/>
                <w:color w:val="auto"/>
              </w:rPr>
              <w:t>market participants. We exercise judgment to estimate the future cash flows and the useful lives</w:t>
            </w:r>
          </w:p>
        </w:tc>
      </w:tr>
      <w:tr>
        <w:trPr>
          <w:trHeight w:val="168"/>
        </w:trPr>
        <w:tc>
          <w:tcPr>
            <w:tcW w:w="1340" w:type="dxa"/>
            <w:vAlign w:val="bottom"/>
            <w:tcBorders>
              <w:left w:val="single" w:sz="8" w:color="auto"/>
              <w:right w:val="single" w:sz="8" w:color="auto"/>
            </w:tcBorders>
          </w:tcPr>
          <w:p>
            <w:pPr>
              <w:spacing w:after="0"/>
              <w:rPr>
                <w:sz w:val="14"/>
                <w:szCs w:val="14"/>
                <w:color w:val="auto"/>
              </w:rPr>
            </w:pPr>
          </w:p>
        </w:tc>
        <w:tc>
          <w:tcPr>
            <w:tcW w:w="6340" w:type="dxa"/>
            <w:vAlign w:val="bottom"/>
            <w:tcBorders>
              <w:right w:val="single" w:sz="8" w:color="auto"/>
            </w:tcBorders>
          </w:tcPr>
          <w:p>
            <w:pPr>
              <w:ind w:left="200"/>
              <w:spacing w:after="0"/>
              <w:rPr>
                <w:sz w:val="20"/>
                <w:szCs w:val="20"/>
                <w:color w:val="auto"/>
              </w:rPr>
            </w:pPr>
            <w:r>
              <w:rPr>
                <w:rFonts w:ascii="Arial" w:cs="Arial" w:eastAsia="Arial" w:hAnsi="Arial"/>
                <w:sz w:val="14"/>
                <w:szCs w:val="14"/>
                <w:color w:val="auto"/>
              </w:rPr>
              <w:t>of long-lived assets and to determine management's intent to use the assets. Management's</w:t>
            </w:r>
          </w:p>
        </w:tc>
      </w:tr>
      <w:tr>
        <w:trPr>
          <w:trHeight w:val="175"/>
        </w:trPr>
        <w:tc>
          <w:tcPr>
            <w:tcW w:w="1340" w:type="dxa"/>
            <w:vAlign w:val="bottom"/>
            <w:tcBorders>
              <w:left w:val="single" w:sz="8" w:color="auto"/>
              <w:bottom w:val="single" w:sz="8" w:color="auto"/>
              <w:right w:val="single" w:sz="8" w:color="auto"/>
            </w:tcBorders>
          </w:tcPr>
          <w:p>
            <w:pPr>
              <w:spacing w:after="0"/>
              <w:rPr>
                <w:sz w:val="15"/>
                <w:szCs w:val="15"/>
                <w:color w:val="auto"/>
              </w:rPr>
            </w:pPr>
          </w:p>
        </w:tc>
        <w:tc>
          <w:tcPr>
            <w:tcW w:w="634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4"/>
                <w:szCs w:val="14"/>
                <w:color w:val="auto"/>
              </w:rPr>
              <w:t>intent to use or dispose of assets is subject to re-evaluation and can change over time.</w:t>
            </w:r>
          </w:p>
        </w:tc>
      </w:tr>
      <w:tr>
        <w:trPr>
          <w:trHeight w:val="167"/>
        </w:trPr>
        <w:tc>
          <w:tcPr>
            <w:tcW w:w="13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Effect if Different</w:t>
            </w:r>
          </w:p>
        </w:tc>
        <w:tc>
          <w:tcPr>
            <w:tcW w:w="6340" w:type="dxa"/>
            <w:vAlign w:val="bottom"/>
            <w:tcBorders>
              <w:right w:val="single" w:sz="8" w:color="auto"/>
            </w:tcBorders>
          </w:tcPr>
          <w:p>
            <w:pPr>
              <w:ind w:left="200"/>
              <w:spacing w:after="0"/>
              <w:rPr>
                <w:sz w:val="20"/>
                <w:szCs w:val="20"/>
                <w:color w:val="auto"/>
              </w:rPr>
            </w:pPr>
            <w:r>
              <w:rPr>
                <w:rFonts w:ascii="Arial" w:cs="Arial" w:eastAsia="Arial" w:hAnsi="Arial"/>
                <w:sz w:val="14"/>
                <w:szCs w:val="14"/>
                <w:color w:val="auto"/>
              </w:rPr>
              <w:t>The fair value of long-lived assets can vary if differing estimates and assumptions are used in</w:t>
            </w:r>
          </w:p>
        </w:tc>
      </w:tr>
      <w:tr>
        <w:trPr>
          <w:trHeight w:val="178"/>
        </w:trPr>
        <w:tc>
          <w:tcPr>
            <w:tcW w:w="13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Assumptions Used</w:t>
            </w:r>
          </w:p>
        </w:tc>
        <w:tc>
          <w:tcPr>
            <w:tcW w:w="6340" w:type="dxa"/>
            <w:vAlign w:val="bottom"/>
            <w:tcBorders>
              <w:right w:val="single" w:sz="8" w:color="auto"/>
            </w:tcBorders>
          </w:tcPr>
          <w:p>
            <w:pPr>
              <w:ind w:left="200"/>
              <w:spacing w:after="0"/>
              <w:rPr>
                <w:sz w:val="20"/>
                <w:szCs w:val="20"/>
                <w:color w:val="auto"/>
              </w:rPr>
            </w:pPr>
            <w:r>
              <w:rPr>
                <w:rFonts w:ascii="Arial" w:cs="Arial" w:eastAsia="Arial" w:hAnsi="Arial"/>
                <w:sz w:val="14"/>
                <w:szCs w:val="14"/>
                <w:color w:val="auto"/>
              </w:rPr>
              <w:t>the applied valuation techniques. We discuss impairment of long-lived assets in Note 1 of the</w:t>
            </w:r>
          </w:p>
        </w:tc>
      </w:tr>
      <w:tr>
        <w:trPr>
          <w:trHeight w:val="175"/>
        </w:trPr>
        <w:tc>
          <w:tcPr>
            <w:tcW w:w="1340" w:type="dxa"/>
            <w:vAlign w:val="bottom"/>
            <w:tcBorders>
              <w:left w:val="single" w:sz="8" w:color="auto"/>
              <w:bottom w:val="single" w:sz="8" w:color="auto"/>
              <w:right w:val="single" w:sz="8" w:color="auto"/>
            </w:tcBorders>
          </w:tcPr>
          <w:p>
            <w:pPr>
              <w:spacing w:after="0"/>
              <w:rPr>
                <w:sz w:val="15"/>
                <w:szCs w:val="15"/>
                <w:color w:val="auto"/>
              </w:rPr>
            </w:pPr>
          </w:p>
        </w:tc>
        <w:tc>
          <w:tcPr>
            <w:tcW w:w="634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4"/>
                <w:szCs w:val="14"/>
                <w:color w:val="auto"/>
              </w:rPr>
              <w:t>Notes to Consolidated Financial Statements.</w:t>
            </w:r>
          </w:p>
        </w:tc>
      </w:tr>
    </w:tbl>
    <w:p>
      <w:pPr>
        <w:ind w:left="1880"/>
        <w:spacing w:after="0"/>
        <w:rPr>
          <w:sz w:val="20"/>
          <w:szCs w:val="20"/>
          <w:color w:val="auto"/>
        </w:rPr>
      </w:pPr>
      <w:r>
        <w:rPr>
          <w:rFonts w:ascii="Arial" w:cs="Arial" w:eastAsia="Arial" w:hAnsi="Arial"/>
          <w:sz w:val="14"/>
          <w:szCs w:val="14"/>
          <w:b w:val="1"/>
          <w:bCs w:val="1"/>
          <w:color w:val="auto"/>
        </w:rPr>
        <w:t>CARRYING VALUE OF EQUITY METHOD INVESTMENTS</w:t>
      </w:r>
    </w:p>
    <w:p>
      <w:pPr>
        <w:spacing w:after="0" w:line="27" w:lineRule="exact"/>
        <w:rPr>
          <w:sz w:val="20"/>
          <w:szCs w:val="20"/>
          <w:color w:val="auto"/>
        </w:rPr>
      </w:pPr>
    </w:p>
    <w:p>
      <w:pPr>
        <w:ind w:left="1880" w:right="719"/>
        <w:spacing w:after="0" w:line="258" w:lineRule="auto"/>
        <w:rPr>
          <w:sz w:val="20"/>
          <w:szCs w:val="20"/>
          <w:color w:val="auto"/>
        </w:rPr>
      </w:pPr>
      <w:r>
        <w:rPr>
          <w:rFonts w:ascii="Arial" w:cs="Arial" w:eastAsia="Arial" w:hAnsi="Arial"/>
          <w:sz w:val="14"/>
          <w:szCs w:val="14"/>
          <w:b w:val="1"/>
          <w:bCs w:val="1"/>
          <w:color w:val="auto"/>
        </w:rPr>
        <w:t xml:space="preserve">Under Accounting Principles Board (APB) Opinion 18, </w:t>
      </w:r>
      <w:r>
        <w:rPr>
          <w:rFonts w:ascii="Arial" w:cs="Arial" w:eastAsia="Arial" w:hAnsi="Arial"/>
          <w:sz w:val="14"/>
          <w:szCs w:val="14"/>
          <w:b w:val="1"/>
          <w:bCs w:val="1"/>
          <w:i w:val="1"/>
          <w:iCs w:val="1"/>
          <w:color w:val="auto"/>
        </w:rPr>
        <w:t>The Equity Method of Accounting for Investments in</w:t>
      </w:r>
      <w:r>
        <w:rPr>
          <w:rFonts w:ascii="Arial" w:cs="Arial" w:eastAsia="Arial" w:hAnsi="Arial"/>
          <w:sz w:val="14"/>
          <w:szCs w:val="14"/>
          <w:b w:val="1"/>
          <w:bCs w:val="1"/>
          <w:color w:val="auto"/>
        </w:rPr>
        <w:t xml:space="preserve"> </w:t>
      </w:r>
      <w:r>
        <w:rPr>
          <w:rFonts w:ascii="Arial" w:cs="Arial" w:eastAsia="Arial" w:hAnsi="Arial"/>
          <w:sz w:val="14"/>
          <w:szCs w:val="14"/>
          <w:b w:val="1"/>
          <w:bCs w:val="1"/>
          <w:i w:val="1"/>
          <w:iCs w:val="1"/>
          <w:color w:val="auto"/>
        </w:rPr>
        <w:t xml:space="preserve">Common Stock </w:t>
      </w:r>
      <w:r>
        <w:rPr>
          <w:rFonts w:ascii="Arial" w:cs="Arial" w:eastAsia="Arial" w:hAnsi="Arial"/>
          <w:sz w:val="14"/>
          <w:szCs w:val="14"/>
          <w:b w:val="1"/>
          <w:bCs w:val="1"/>
          <w:color w:val="auto"/>
        </w:rPr>
        <w:t>(APB 18)</w:t>
      </w:r>
      <w:r>
        <w:rPr>
          <w:rFonts w:ascii="Arial" w:cs="Arial" w:eastAsia="Arial" w:hAnsi="Arial"/>
          <w:sz w:val="14"/>
          <w:szCs w:val="14"/>
          <w:b w:val="1"/>
          <w:bCs w:val="1"/>
          <w:i w:val="1"/>
          <w:iCs w:val="1"/>
          <w:color w:val="auto"/>
        </w:rPr>
        <w:t xml:space="preserve">, </w:t>
      </w:r>
      <w:r>
        <w:rPr>
          <w:rFonts w:ascii="Arial" w:cs="Arial" w:eastAsia="Arial" w:hAnsi="Arial"/>
          <w:sz w:val="14"/>
          <w:szCs w:val="14"/>
          <w:b w:val="1"/>
          <w:bCs w:val="1"/>
          <w:color w:val="auto"/>
        </w:rPr>
        <w:t>investments are generally accounted for under the equity method when we have an</w:t>
      </w:r>
      <w:r>
        <w:rPr>
          <w:rFonts w:ascii="Arial" w:cs="Arial" w:eastAsia="Arial" w:hAnsi="Arial"/>
          <w:sz w:val="14"/>
          <w:szCs w:val="14"/>
          <w:b w:val="1"/>
          <w:bCs w:val="1"/>
          <w:i w:val="1"/>
          <w:iCs w:val="1"/>
          <w:color w:val="auto"/>
        </w:rPr>
        <w:t xml:space="preserve"> </w:t>
      </w:r>
      <w:r>
        <w:rPr>
          <w:rFonts w:ascii="Arial" w:cs="Arial" w:eastAsia="Arial" w:hAnsi="Arial"/>
          <w:sz w:val="14"/>
          <w:szCs w:val="14"/>
          <w:b w:val="1"/>
          <w:bCs w:val="1"/>
          <w:color w:val="auto"/>
        </w:rPr>
        <w:t xml:space="preserve">ownership interest of 20 to 50 percent. For investments accounted for under the equity method of accounting, the premium or excess cost over underlying fair value of net assets is referred to as equity method goodwill. In accordance with APB 18, as amended by SFAS 142, </w:t>
      </w:r>
      <w:r>
        <w:rPr>
          <w:rFonts w:ascii="Arial" w:cs="Arial" w:eastAsia="Arial" w:hAnsi="Arial"/>
          <w:sz w:val="14"/>
          <w:szCs w:val="14"/>
          <w:b w:val="1"/>
          <w:bCs w:val="1"/>
          <w:i w:val="1"/>
          <w:iCs w:val="1"/>
          <w:color w:val="auto"/>
        </w:rPr>
        <w:t>Goodwill and Other Intangible Assets</w:t>
      </w:r>
      <w:r>
        <w:rPr>
          <w:rFonts w:ascii="Arial" w:cs="Arial" w:eastAsia="Arial" w:hAnsi="Arial"/>
          <w:sz w:val="14"/>
          <w:szCs w:val="14"/>
          <w:b w:val="1"/>
          <w:bCs w:val="1"/>
          <w:color w:val="auto"/>
        </w:rPr>
        <w:t>, equity method goodwill is not subject to amortization but rather to impairment testing, as is the equity method investment overall.</w:t>
      </w:r>
    </w:p>
    <w:p>
      <w:pPr>
        <w:spacing w:after="0" w:line="195" w:lineRule="exact"/>
        <w:rPr>
          <w:sz w:val="20"/>
          <w:szCs w:val="20"/>
          <w:color w:val="auto"/>
        </w:rPr>
      </w:pPr>
    </w:p>
    <w:tbl>
      <w:tblPr>
        <w:tblLayout w:type="fixed"/>
        <w:tblInd w:w="1890" w:type="dxa"/>
        <w:tblCellMar>
          <w:top w:w="0" w:type="dxa"/>
          <w:left w:w="0" w:type="dxa"/>
          <w:bottom w:w="0" w:type="dxa"/>
          <w:right w:w="0" w:type="dxa"/>
        </w:tblCellMar>
      </w:tblPr>
      <w:tr>
        <w:trPr>
          <w:trHeight w:val="184"/>
        </w:trPr>
        <w:tc>
          <w:tcPr>
            <w:tcW w:w="1340" w:type="dxa"/>
            <w:vAlign w:val="bottom"/>
            <w:tcBorders>
              <w:top w:val="single" w:sz="8" w:color="auto"/>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Assumptions &amp;</w:t>
            </w:r>
          </w:p>
        </w:tc>
        <w:tc>
          <w:tcPr>
            <w:tcW w:w="6340" w:type="dxa"/>
            <w:vAlign w:val="bottom"/>
            <w:tcBorders>
              <w:top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We consider whether the fair value of each equity investment as a whole, not the underlying</w:t>
            </w:r>
          </w:p>
        </w:tc>
      </w:tr>
      <w:tr>
        <w:trPr>
          <w:trHeight w:val="178"/>
        </w:trPr>
        <w:tc>
          <w:tcPr>
            <w:tcW w:w="13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Approach Used</w:t>
            </w:r>
          </w:p>
        </w:tc>
        <w:tc>
          <w:tcPr>
            <w:tcW w:w="6340" w:type="dxa"/>
            <w:vAlign w:val="bottom"/>
            <w:tcBorders>
              <w:right w:val="single" w:sz="8" w:color="auto"/>
            </w:tcBorders>
          </w:tcPr>
          <w:p>
            <w:pPr>
              <w:ind w:left="240"/>
              <w:spacing w:after="0"/>
              <w:rPr>
                <w:sz w:val="20"/>
                <w:szCs w:val="20"/>
                <w:color w:val="auto"/>
              </w:rPr>
            </w:pPr>
            <w:r>
              <w:rPr>
                <w:rFonts w:ascii="Arial" w:cs="Arial" w:eastAsia="Arial" w:hAnsi="Arial"/>
                <w:sz w:val="14"/>
                <w:szCs w:val="14"/>
                <w:color w:val="auto"/>
              </w:rPr>
              <w:t>net assets, has declined and whether that decline is other than temporary. Therefore, we re-</w:t>
            </w:r>
          </w:p>
        </w:tc>
      </w:tr>
      <w:tr>
        <w:trPr>
          <w:trHeight w:val="168"/>
        </w:trPr>
        <w:tc>
          <w:tcPr>
            <w:tcW w:w="1340" w:type="dxa"/>
            <w:vAlign w:val="bottom"/>
            <w:tcBorders>
              <w:left w:val="single" w:sz="8" w:color="auto"/>
              <w:right w:val="single" w:sz="8" w:color="auto"/>
            </w:tcBorders>
          </w:tcPr>
          <w:p>
            <w:pPr>
              <w:spacing w:after="0"/>
              <w:rPr>
                <w:sz w:val="14"/>
                <w:szCs w:val="14"/>
                <w:color w:val="auto"/>
              </w:rPr>
            </w:pPr>
          </w:p>
        </w:tc>
        <w:tc>
          <w:tcPr>
            <w:tcW w:w="6340" w:type="dxa"/>
            <w:vAlign w:val="bottom"/>
            <w:tcBorders>
              <w:right w:val="single" w:sz="8" w:color="auto"/>
            </w:tcBorders>
          </w:tcPr>
          <w:p>
            <w:pPr>
              <w:ind w:left="240"/>
              <w:spacing w:after="0"/>
              <w:rPr>
                <w:sz w:val="20"/>
                <w:szCs w:val="20"/>
                <w:color w:val="auto"/>
              </w:rPr>
            </w:pPr>
            <w:r>
              <w:rPr>
                <w:rFonts w:ascii="Arial" w:cs="Arial" w:eastAsia="Arial" w:hAnsi="Arial"/>
                <w:sz w:val="14"/>
                <w:szCs w:val="14"/>
                <w:color w:val="auto"/>
              </w:rPr>
              <w:t>evaluate the amount at which we carry the excess of cost over fair value of net assets</w:t>
            </w:r>
          </w:p>
        </w:tc>
      </w:tr>
      <w:tr>
        <w:trPr>
          <w:trHeight w:val="168"/>
        </w:trPr>
        <w:tc>
          <w:tcPr>
            <w:tcW w:w="1340" w:type="dxa"/>
            <w:vAlign w:val="bottom"/>
            <w:tcBorders>
              <w:left w:val="single" w:sz="8" w:color="auto"/>
              <w:right w:val="single" w:sz="8" w:color="auto"/>
            </w:tcBorders>
          </w:tcPr>
          <w:p>
            <w:pPr>
              <w:spacing w:after="0"/>
              <w:rPr>
                <w:sz w:val="14"/>
                <w:szCs w:val="14"/>
                <w:color w:val="auto"/>
              </w:rPr>
            </w:pPr>
          </w:p>
        </w:tc>
        <w:tc>
          <w:tcPr>
            <w:tcW w:w="6340" w:type="dxa"/>
            <w:vAlign w:val="bottom"/>
            <w:tcBorders>
              <w:right w:val="single" w:sz="8" w:color="auto"/>
            </w:tcBorders>
          </w:tcPr>
          <w:p>
            <w:pPr>
              <w:ind w:left="240"/>
              <w:spacing w:after="0"/>
              <w:rPr>
                <w:sz w:val="20"/>
                <w:szCs w:val="20"/>
                <w:color w:val="auto"/>
              </w:rPr>
            </w:pPr>
            <w:r>
              <w:rPr>
                <w:rFonts w:ascii="Arial" w:cs="Arial" w:eastAsia="Arial" w:hAnsi="Arial"/>
                <w:sz w:val="14"/>
                <w:szCs w:val="14"/>
                <w:color w:val="auto"/>
              </w:rPr>
              <w:t>accounted for under the equity method. We discuss unamortized goodwill related to</w:t>
            </w:r>
          </w:p>
        </w:tc>
      </w:tr>
      <w:tr>
        <w:trPr>
          <w:trHeight w:val="172"/>
        </w:trPr>
        <w:tc>
          <w:tcPr>
            <w:tcW w:w="1340" w:type="dxa"/>
            <w:vAlign w:val="bottom"/>
            <w:tcBorders>
              <w:left w:val="single" w:sz="8" w:color="auto"/>
              <w:right w:val="single" w:sz="8" w:color="auto"/>
            </w:tcBorders>
          </w:tcPr>
          <w:p>
            <w:pPr>
              <w:spacing w:after="0"/>
              <w:rPr>
                <w:sz w:val="14"/>
                <w:szCs w:val="14"/>
                <w:color w:val="auto"/>
              </w:rPr>
            </w:pPr>
          </w:p>
        </w:tc>
        <w:tc>
          <w:tcPr>
            <w:tcW w:w="6340" w:type="dxa"/>
            <w:vAlign w:val="bottom"/>
            <w:tcBorders>
              <w:right w:val="single" w:sz="8" w:color="auto"/>
            </w:tcBorders>
          </w:tcPr>
          <w:p>
            <w:pPr>
              <w:ind w:left="240"/>
              <w:spacing w:after="0"/>
              <w:rPr>
                <w:sz w:val="20"/>
                <w:szCs w:val="20"/>
                <w:color w:val="auto"/>
              </w:rPr>
            </w:pPr>
            <w:r>
              <w:rPr>
                <w:rFonts w:ascii="Arial" w:cs="Arial" w:eastAsia="Arial" w:hAnsi="Arial"/>
                <w:sz w:val="14"/>
                <w:szCs w:val="14"/>
                <w:color w:val="auto"/>
              </w:rPr>
              <w:t>unconsolidated subsidiaries in Note 1 of the Notes to Consolidated Financial Statements.</w:t>
            </w:r>
          </w:p>
        </w:tc>
      </w:tr>
      <w:tr>
        <w:trPr>
          <w:trHeight w:val="356"/>
        </w:trPr>
        <w:tc>
          <w:tcPr>
            <w:tcW w:w="1340" w:type="dxa"/>
            <w:vAlign w:val="bottom"/>
            <w:tcBorders>
              <w:left w:val="single" w:sz="8" w:color="auto"/>
              <w:right w:val="single" w:sz="8" w:color="auto"/>
            </w:tcBorders>
          </w:tcPr>
          <w:p>
            <w:pPr>
              <w:spacing w:after="0"/>
              <w:rPr>
                <w:sz w:val="24"/>
                <w:szCs w:val="24"/>
                <w:color w:val="auto"/>
              </w:rPr>
            </w:pPr>
          </w:p>
        </w:tc>
        <w:tc>
          <w:tcPr>
            <w:tcW w:w="6340" w:type="dxa"/>
            <w:vAlign w:val="bottom"/>
            <w:tcBorders>
              <w:right w:val="single" w:sz="8" w:color="auto"/>
            </w:tcBorders>
          </w:tcPr>
          <w:p>
            <w:pPr>
              <w:ind w:left="240"/>
              <w:spacing w:after="0"/>
              <w:rPr>
                <w:sz w:val="20"/>
                <w:szCs w:val="20"/>
                <w:color w:val="auto"/>
              </w:rPr>
            </w:pPr>
            <w:r>
              <w:rPr>
                <w:rFonts w:ascii="Arial" w:cs="Arial" w:eastAsia="Arial" w:hAnsi="Arial"/>
                <w:sz w:val="14"/>
                <w:szCs w:val="14"/>
                <w:color w:val="auto"/>
              </w:rPr>
              <w:t>When calculating estimates of fair or realizable values, we consider whether we intend to sell</w:t>
            </w:r>
          </w:p>
        </w:tc>
      </w:tr>
      <w:tr>
        <w:trPr>
          <w:trHeight w:val="172"/>
        </w:trPr>
        <w:tc>
          <w:tcPr>
            <w:tcW w:w="1340" w:type="dxa"/>
            <w:vAlign w:val="bottom"/>
            <w:tcBorders>
              <w:left w:val="single" w:sz="8" w:color="auto"/>
              <w:right w:val="single" w:sz="8" w:color="auto"/>
            </w:tcBorders>
          </w:tcPr>
          <w:p>
            <w:pPr>
              <w:spacing w:after="0"/>
              <w:rPr>
                <w:sz w:val="14"/>
                <w:szCs w:val="14"/>
                <w:color w:val="auto"/>
              </w:rPr>
            </w:pPr>
          </w:p>
        </w:tc>
        <w:tc>
          <w:tcPr>
            <w:tcW w:w="6340" w:type="dxa"/>
            <w:vAlign w:val="bottom"/>
            <w:tcBorders>
              <w:right w:val="single" w:sz="8" w:color="auto"/>
            </w:tcBorders>
          </w:tcPr>
          <w:p>
            <w:pPr>
              <w:ind w:left="240"/>
              <w:spacing w:after="0"/>
              <w:rPr>
                <w:sz w:val="20"/>
                <w:szCs w:val="20"/>
                <w:color w:val="auto"/>
              </w:rPr>
            </w:pPr>
            <w:r>
              <w:rPr>
                <w:rFonts w:ascii="Arial" w:cs="Arial" w:eastAsia="Arial" w:hAnsi="Arial"/>
                <w:sz w:val="14"/>
                <w:szCs w:val="14"/>
                <w:color w:val="auto"/>
              </w:rPr>
              <w:t>the investment or hold it. For certain held investments, critical assumptions include</w:t>
            </w:r>
          </w:p>
        </w:tc>
      </w:tr>
      <w:tr>
        <w:trPr>
          <w:trHeight w:val="384"/>
        </w:trPr>
        <w:tc>
          <w:tcPr>
            <w:tcW w:w="1340" w:type="dxa"/>
            <w:vAlign w:val="bottom"/>
            <w:tcBorders>
              <w:left w:val="single" w:sz="8" w:color="auto"/>
              <w:right w:val="single" w:sz="8" w:color="auto"/>
            </w:tcBorders>
          </w:tcPr>
          <w:p>
            <w:pPr>
              <w:spacing w:after="0"/>
              <w:rPr>
                <w:sz w:val="24"/>
                <w:szCs w:val="24"/>
                <w:color w:val="auto"/>
              </w:rPr>
            </w:pPr>
          </w:p>
        </w:tc>
        <w:tc>
          <w:tcPr>
            <w:tcW w:w="6340" w:type="dxa"/>
            <w:vAlign w:val="bottom"/>
            <w:tcBorders>
              <w:right w:val="single" w:sz="8" w:color="auto"/>
            </w:tcBorders>
          </w:tcPr>
          <w:p>
            <w:pPr>
              <w:ind w:left="240"/>
              <w:spacing w:after="0"/>
              <w:rPr>
                <w:sz w:val="20"/>
                <w:szCs w:val="20"/>
                <w:color w:val="auto"/>
              </w:rPr>
            </w:pPr>
            <w:r>
              <w:rPr>
                <w:rFonts w:ascii="Arial" w:cs="Arial" w:eastAsia="Arial" w:hAnsi="Arial"/>
                <w:sz w:val="14"/>
                <w:szCs w:val="14"/>
                <w:color w:val="auto"/>
              </w:rPr>
              <w:t>§  the prospects for an energy trading enterprise</w:t>
            </w:r>
          </w:p>
        </w:tc>
      </w:tr>
      <w:tr>
        <w:trPr>
          <w:trHeight w:val="204"/>
        </w:trPr>
        <w:tc>
          <w:tcPr>
            <w:tcW w:w="1340" w:type="dxa"/>
            <w:vAlign w:val="bottom"/>
            <w:tcBorders>
              <w:left w:val="single" w:sz="8" w:color="auto"/>
              <w:right w:val="single" w:sz="8" w:color="auto"/>
            </w:tcBorders>
          </w:tcPr>
          <w:p>
            <w:pPr>
              <w:spacing w:after="0"/>
              <w:rPr>
                <w:sz w:val="17"/>
                <w:szCs w:val="17"/>
                <w:color w:val="auto"/>
              </w:rPr>
            </w:pPr>
          </w:p>
        </w:tc>
        <w:tc>
          <w:tcPr>
            <w:tcW w:w="6340" w:type="dxa"/>
            <w:vAlign w:val="bottom"/>
            <w:tcBorders>
              <w:right w:val="single" w:sz="8" w:color="auto"/>
            </w:tcBorders>
          </w:tcPr>
          <w:p>
            <w:pPr>
              <w:ind w:left="240"/>
              <w:spacing w:after="0"/>
              <w:rPr>
                <w:sz w:val="20"/>
                <w:szCs w:val="20"/>
                <w:color w:val="auto"/>
              </w:rPr>
            </w:pPr>
            <w:r>
              <w:rPr>
                <w:rFonts w:ascii="Arial" w:cs="Arial" w:eastAsia="Arial" w:hAnsi="Arial"/>
                <w:sz w:val="14"/>
                <w:szCs w:val="14"/>
                <w:color w:val="auto"/>
              </w:rPr>
              <w:t>§  the availability and costs of natural gas</w:t>
            </w:r>
          </w:p>
        </w:tc>
      </w:tr>
      <w:tr>
        <w:trPr>
          <w:trHeight w:val="204"/>
        </w:trPr>
        <w:tc>
          <w:tcPr>
            <w:tcW w:w="1340" w:type="dxa"/>
            <w:vAlign w:val="bottom"/>
            <w:tcBorders>
              <w:left w:val="single" w:sz="8" w:color="auto"/>
              <w:right w:val="single" w:sz="8" w:color="auto"/>
            </w:tcBorders>
          </w:tcPr>
          <w:p>
            <w:pPr>
              <w:spacing w:after="0"/>
              <w:rPr>
                <w:sz w:val="17"/>
                <w:szCs w:val="17"/>
                <w:color w:val="auto"/>
              </w:rPr>
            </w:pPr>
          </w:p>
        </w:tc>
        <w:tc>
          <w:tcPr>
            <w:tcW w:w="6340" w:type="dxa"/>
            <w:vAlign w:val="bottom"/>
            <w:tcBorders>
              <w:right w:val="single" w:sz="8" w:color="auto"/>
            </w:tcBorders>
          </w:tcPr>
          <w:p>
            <w:pPr>
              <w:ind w:left="240"/>
              <w:spacing w:after="0"/>
              <w:rPr>
                <w:sz w:val="20"/>
                <w:szCs w:val="20"/>
                <w:color w:val="auto"/>
              </w:rPr>
            </w:pPr>
            <w:r>
              <w:rPr>
                <w:rFonts w:ascii="Arial" w:cs="Arial" w:eastAsia="Arial" w:hAnsi="Arial"/>
                <w:sz w:val="14"/>
                <w:szCs w:val="14"/>
                <w:color w:val="auto"/>
              </w:rPr>
              <w:t>§  competing fuels (primarily propane) and electricity</w:t>
            </w:r>
          </w:p>
        </w:tc>
      </w:tr>
      <w:tr>
        <w:trPr>
          <w:trHeight w:val="392"/>
        </w:trPr>
        <w:tc>
          <w:tcPr>
            <w:tcW w:w="1340" w:type="dxa"/>
            <w:vAlign w:val="bottom"/>
            <w:tcBorders>
              <w:left w:val="single" w:sz="8" w:color="auto"/>
              <w:right w:val="single" w:sz="8" w:color="auto"/>
            </w:tcBorders>
          </w:tcPr>
          <w:p>
            <w:pPr>
              <w:spacing w:after="0"/>
              <w:rPr>
                <w:sz w:val="24"/>
                <w:szCs w:val="24"/>
                <w:color w:val="auto"/>
              </w:rPr>
            </w:pPr>
          </w:p>
        </w:tc>
        <w:tc>
          <w:tcPr>
            <w:tcW w:w="6340" w:type="dxa"/>
            <w:vAlign w:val="bottom"/>
            <w:tcBorders>
              <w:right w:val="single" w:sz="8" w:color="auto"/>
            </w:tcBorders>
          </w:tcPr>
          <w:p>
            <w:pPr>
              <w:ind w:left="240"/>
              <w:spacing w:after="0"/>
              <w:rPr>
                <w:sz w:val="20"/>
                <w:szCs w:val="20"/>
                <w:color w:val="auto"/>
              </w:rPr>
            </w:pPr>
            <w:r>
              <w:rPr>
                <w:rFonts w:ascii="Arial" w:cs="Arial" w:eastAsia="Arial" w:hAnsi="Arial"/>
                <w:sz w:val="14"/>
                <w:szCs w:val="14"/>
                <w:color w:val="auto"/>
              </w:rPr>
              <w:t>Sempra Pipelines &amp; Storage owns non-controlling interests in two Argentine natural gas</w:t>
            </w:r>
          </w:p>
        </w:tc>
      </w:tr>
      <w:tr>
        <w:trPr>
          <w:trHeight w:val="168"/>
        </w:trPr>
        <w:tc>
          <w:tcPr>
            <w:tcW w:w="1340" w:type="dxa"/>
            <w:vAlign w:val="bottom"/>
            <w:tcBorders>
              <w:left w:val="single" w:sz="8" w:color="auto"/>
              <w:right w:val="single" w:sz="8" w:color="auto"/>
            </w:tcBorders>
          </w:tcPr>
          <w:p>
            <w:pPr>
              <w:spacing w:after="0"/>
              <w:rPr>
                <w:sz w:val="14"/>
                <w:szCs w:val="14"/>
                <w:color w:val="auto"/>
              </w:rPr>
            </w:pPr>
          </w:p>
        </w:tc>
        <w:tc>
          <w:tcPr>
            <w:tcW w:w="6340" w:type="dxa"/>
            <w:vAlign w:val="bottom"/>
            <w:tcBorders>
              <w:right w:val="single" w:sz="8" w:color="auto"/>
            </w:tcBorders>
          </w:tcPr>
          <w:p>
            <w:pPr>
              <w:ind w:left="240"/>
              <w:spacing w:after="0"/>
              <w:rPr>
                <w:sz w:val="20"/>
                <w:szCs w:val="20"/>
                <w:color w:val="auto"/>
              </w:rPr>
            </w:pPr>
            <w:r>
              <w:rPr>
                <w:rFonts w:ascii="Arial" w:cs="Arial" w:eastAsia="Arial" w:hAnsi="Arial"/>
                <w:sz w:val="14"/>
                <w:szCs w:val="14"/>
                <w:color w:val="auto"/>
              </w:rPr>
              <w:t>distribution companies. In view of continuing disputes with the Argentine government, we</w:t>
            </w:r>
          </w:p>
        </w:tc>
      </w:tr>
      <w:tr>
        <w:trPr>
          <w:trHeight w:val="168"/>
        </w:trPr>
        <w:tc>
          <w:tcPr>
            <w:tcW w:w="1340" w:type="dxa"/>
            <w:vAlign w:val="bottom"/>
            <w:tcBorders>
              <w:left w:val="single" w:sz="8" w:color="auto"/>
              <w:right w:val="single" w:sz="8" w:color="auto"/>
            </w:tcBorders>
          </w:tcPr>
          <w:p>
            <w:pPr>
              <w:spacing w:after="0"/>
              <w:rPr>
                <w:sz w:val="14"/>
                <w:szCs w:val="14"/>
                <w:color w:val="auto"/>
              </w:rPr>
            </w:pPr>
          </w:p>
        </w:tc>
        <w:tc>
          <w:tcPr>
            <w:tcW w:w="6340" w:type="dxa"/>
            <w:vAlign w:val="bottom"/>
            <w:tcBorders>
              <w:right w:val="single" w:sz="8" w:color="auto"/>
            </w:tcBorders>
          </w:tcPr>
          <w:p>
            <w:pPr>
              <w:ind w:left="240"/>
              <w:spacing w:after="0"/>
              <w:rPr>
                <w:sz w:val="20"/>
                <w:szCs w:val="20"/>
                <w:color w:val="auto"/>
              </w:rPr>
            </w:pPr>
            <w:r>
              <w:rPr>
                <w:rFonts w:ascii="Arial" w:cs="Arial" w:eastAsia="Arial" w:hAnsi="Arial"/>
                <w:sz w:val="14"/>
                <w:szCs w:val="14"/>
                <w:color w:val="auto"/>
              </w:rPr>
              <w:t>decided to sell our investments in these companies in December 2006. We recorded a</w:t>
            </w:r>
          </w:p>
        </w:tc>
      </w:tr>
      <w:tr>
        <w:trPr>
          <w:trHeight w:val="172"/>
        </w:trPr>
        <w:tc>
          <w:tcPr>
            <w:tcW w:w="1340" w:type="dxa"/>
            <w:vAlign w:val="bottom"/>
            <w:tcBorders>
              <w:left w:val="single" w:sz="8" w:color="auto"/>
              <w:right w:val="single" w:sz="8" w:color="auto"/>
            </w:tcBorders>
          </w:tcPr>
          <w:p>
            <w:pPr>
              <w:spacing w:after="0"/>
              <w:rPr>
                <w:sz w:val="14"/>
                <w:szCs w:val="14"/>
                <w:color w:val="auto"/>
              </w:rPr>
            </w:pPr>
          </w:p>
        </w:tc>
        <w:tc>
          <w:tcPr>
            <w:tcW w:w="6340" w:type="dxa"/>
            <w:vAlign w:val="bottom"/>
            <w:tcBorders>
              <w:right w:val="single" w:sz="8" w:color="auto"/>
            </w:tcBorders>
          </w:tcPr>
          <w:p>
            <w:pPr>
              <w:ind w:left="240"/>
              <w:spacing w:after="0"/>
              <w:rPr>
                <w:sz w:val="20"/>
                <w:szCs w:val="20"/>
                <w:color w:val="auto"/>
              </w:rPr>
            </w:pPr>
            <w:r>
              <w:rPr>
                <w:rFonts w:ascii="Arial" w:cs="Arial" w:eastAsia="Arial" w:hAnsi="Arial"/>
                <w:sz w:val="14"/>
                <w:szCs w:val="14"/>
                <w:color w:val="auto"/>
              </w:rPr>
              <w:t>noncash impairment charge to net income of $221 million in the fourth quarter of 2006.</w:t>
            </w:r>
          </w:p>
        </w:tc>
      </w:tr>
      <w:tr>
        <w:trPr>
          <w:trHeight w:val="30"/>
        </w:trPr>
        <w:tc>
          <w:tcPr>
            <w:tcW w:w="1340" w:type="dxa"/>
            <w:vAlign w:val="bottom"/>
            <w:tcBorders>
              <w:left w:val="single" w:sz="8" w:color="auto"/>
              <w:bottom w:val="single" w:sz="8" w:color="auto"/>
              <w:right w:val="single" w:sz="8" w:color="auto"/>
            </w:tcBorders>
          </w:tcPr>
          <w:p>
            <w:pPr>
              <w:spacing w:after="0"/>
              <w:rPr>
                <w:sz w:val="2"/>
                <w:szCs w:val="2"/>
                <w:color w:val="auto"/>
              </w:rPr>
            </w:pPr>
          </w:p>
        </w:tc>
        <w:tc>
          <w:tcPr>
            <w:tcW w:w="6340" w:type="dxa"/>
            <w:vAlign w:val="bottom"/>
            <w:tcBorders>
              <w:bottom w:val="single" w:sz="8" w:color="auto"/>
              <w:right w:val="single" w:sz="8" w:color="auto"/>
            </w:tcBorders>
          </w:tcPr>
          <w:p>
            <w:pPr>
              <w:spacing w:after="0"/>
              <w:rPr>
                <w:sz w:val="2"/>
                <w:szCs w:val="2"/>
                <w:color w:val="auto"/>
              </w:rPr>
            </w:pPr>
          </w:p>
        </w:tc>
      </w:tr>
      <w:tr>
        <w:trPr>
          <w:trHeight w:val="164"/>
        </w:trPr>
        <w:tc>
          <w:tcPr>
            <w:tcW w:w="13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Effect if Different</w:t>
            </w:r>
          </w:p>
        </w:tc>
        <w:tc>
          <w:tcPr>
            <w:tcW w:w="6340" w:type="dxa"/>
            <w:vAlign w:val="bottom"/>
            <w:tcBorders>
              <w:right w:val="single" w:sz="8" w:color="auto"/>
            </w:tcBorders>
          </w:tcPr>
          <w:p>
            <w:pPr>
              <w:ind w:left="240"/>
              <w:spacing w:after="0"/>
              <w:rPr>
                <w:sz w:val="20"/>
                <w:szCs w:val="20"/>
                <w:color w:val="auto"/>
              </w:rPr>
            </w:pPr>
            <w:r>
              <w:rPr>
                <w:rFonts w:ascii="Arial" w:cs="Arial" w:eastAsia="Arial" w:hAnsi="Arial"/>
                <w:sz w:val="14"/>
                <w:szCs w:val="14"/>
                <w:color w:val="auto"/>
              </w:rPr>
              <w:t>We estimated the fair value of our Argentine investments using primarily an income-based</w:t>
            </w:r>
          </w:p>
        </w:tc>
      </w:tr>
      <w:tr>
        <w:trPr>
          <w:trHeight w:val="178"/>
        </w:trPr>
        <w:tc>
          <w:tcPr>
            <w:tcW w:w="13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Assumptions Used</w:t>
            </w:r>
          </w:p>
        </w:tc>
        <w:tc>
          <w:tcPr>
            <w:tcW w:w="6340" w:type="dxa"/>
            <w:vAlign w:val="bottom"/>
            <w:tcBorders>
              <w:right w:val="single" w:sz="8" w:color="auto"/>
            </w:tcBorders>
          </w:tcPr>
          <w:p>
            <w:pPr>
              <w:ind w:left="240"/>
              <w:spacing w:after="0"/>
              <w:rPr>
                <w:sz w:val="20"/>
                <w:szCs w:val="20"/>
                <w:color w:val="auto"/>
              </w:rPr>
            </w:pPr>
            <w:r>
              <w:rPr>
                <w:rFonts w:ascii="Arial" w:cs="Arial" w:eastAsia="Arial" w:hAnsi="Arial"/>
                <w:sz w:val="14"/>
                <w:szCs w:val="14"/>
                <w:color w:val="auto"/>
              </w:rPr>
              <w:t>valuation approach, including risk assumptions for similar investments. The risk assumptions</w:t>
            </w:r>
          </w:p>
        </w:tc>
      </w:tr>
      <w:tr>
        <w:trPr>
          <w:trHeight w:val="168"/>
        </w:trPr>
        <w:tc>
          <w:tcPr>
            <w:tcW w:w="1340" w:type="dxa"/>
            <w:vAlign w:val="bottom"/>
            <w:tcBorders>
              <w:left w:val="single" w:sz="8" w:color="auto"/>
              <w:right w:val="single" w:sz="8" w:color="auto"/>
            </w:tcBorders>
          </w:tcPr>
          <w:p>
            <w:pPr>
              <w:spacing w:after="0"/>
              <w:rPr>
                <w:sz w:val="14"/>
                <w:szCs w:val="14"/>
                <w:color w:val="auto"/>
              </w:rPr>
            </w:pPr>
          </w:p>
        </w:tc>
        <w:tc>
          <w:tcPr>
            <w:tcW w:w="6340" w:type="dxa"/>
            <w:vAlign w:val="bottom"/>
            <w:tcBorders>
              <w:right w:val="single" w:sz="8" w:color="auto"/>
            </w:tcBorders>
          </w:tcPr>
          <w:p>
            <w:pPr>
              <w:ind w:left="240"/>
              <w:spacing w:after="0"/>
              <w:rPr>
                <w:sz w:val="20"/>
                <w:szCs w:val="20"/>
                <w:color w:val="auto"/>
              </w:rPr>
            </w:pPr>
            <w:r>
              <w:rPr>
                <w:rFonts w:ascii="Arial" w:cs="Arial" w:eastAsia="Arial" w:hAnsi="Arial"/>
                <w:sz w:val="14"/>
                <w:szCs w:val="14"/>
                <w:color w:val="auto"/>
              </w:rPr>
              <w:t>applied by other market participants to value the investments could vary significantly, which</w:t>
            </w:r>
          </w:p>
        </w:tc>
      </w:tr>
      <w:tr>
        <w:trPr>
          <w:trHeight w:val="172"/>
        </w:trPr>
        <w:tc>
          <w:tcPr>
            <w:tcW w:w="1340" w:type="dxa"/>
            <w:vAlign w:val="bottom"/>
            <w:tcBorders>
              <w:left w:val="single" w:sz="8" w:color="auto"/>
              <w:right w:val="single" w:sz="8" w:color="auto"/>
            </w:tcBorders>
          </w:tcPr>
          <w:p>
            <w:pPr>
              <w:spacing w:after="0"/>
              <w:rPr>
                <w:sz w:val="14"/>
                <w:szCs w:val="14"/>
                <w:color w:val="auto"/>
              </w:rPr>
            </w:pPr>
          </w:p>
        </w:tc>
        <w:tc>
          <w:tcPr>
            <w:tcW w:w="6340" w:type="dxa"/>
            <w:vAlign w:val="bottom"/>
            <w:tcBorders>
              <w:right w:val="single" w:sz="8" w:color="auto"/>
            </w:tcBorders>
          </w:tcPr>
          <w:p>
            <w:pPr>
              <w:ind w:left="240"/>
              <w:spacing w:after="0"/>
              <w:rPr>
                <w:sz w:val="20"/>
                <w:szCs w:val="20"/>
                <w:color w:val="auto"/>
              </w:rPr>
            </w:pPr>
            <w:r>
              <w:rPr>
                <w:rFonts w:ascii="Arial" w:cs="Arial" w:eastAsia="Arial" w:hAnsi="Arial"/>
                <w:sz w:val="14"/>
                <w:szCs w:val="14"/>
                <w:color w:val="auto"/>
              </w:rPr>
              <w:t>could result in a different impairment charge, and ultimately additional loss or gain upon sale.</w:t>
            </w:r>
          </w:p>
        </w:tc>
      </w:tr>
      <w:tr>
        <w:trPr>
          <w:trHeight w:val="363"/>
        </w:trPr>
        <w:tc>
          <w:tcPr>
            <w:tcW w:w="1340" w:type="dxa"/>
            <w:vAlign w:val="bottom"/>
            <w:tcBorders>
              <w:left w:val="single" w:sz="8" w:color="auto"/>
              <w:bottom w:val="single" w:sz="8" w:color="auto"/>
              <w:right w:val="single" w:sz="8" w:color="auto"/>
            </w:tcBorders>
          </w:tcPr>
          <w:p>
            <w:pPr>
              <w:spacing w:after="0"/>
              <w:rPr>
                <w:sz w:val="24"/>
                <w:szCs w:val="24"/>
                <w:color w:val="auto"/>
              </w:rPr>
            </w:pPr>
          </w:p>
        </w:tc>
        <w:tc>
          <w:tcPr>
            <w:tcW w:w="634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We provide additional details in Note 4 of the Notes to Consolidated Financial Statements.</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14"/>
          <w:szCs w:val="14"/>
          <w:color w:val="auto"/>
        </w:rPr>
        <w:t>53</w:t>
      </w:r>
    </w:p>
    <w:p>
      <w:pPr>
        <w:sectPr>
          <w:pgSz w:w="11900" w:h="16838" w:orient="portrait"/>
          <w:cols w:equalWidth="0" w:num="1">
            <w:col w:w="10219"/>
          </w:cols>
          <w:pgMar w:left="240" w:top="400" w:right="1440" w:bottom="1440" w:gutter="0" w:footer="0" w:header="0"/>
        </w:sectPr>
      </w:pPr>
    </w:p>
    <w:bookmarkStart w:id="193" w:name="page194"/>
    <w:bookmarkEnd w:id="193"/>
    <w:p>
      <w:pPr>
        <w:spacing w:after="0"/>
        <w:rPr>
          <w:sz w:val="20"/>
          <w:szCs w:val="20"/>
          <w:color w:val="auto"/>
        </w:rPr>
      </w:pPr>
      <w:r>
        <w:rPr>
          <w:rFonts w:ascii="Arial" w:cs="Arial" w:eastAsia="Arial" w:hAnsi="Arial"/>
          <w:sz w:val="16"/>
          <w:szCs w:val="16"/>
          <w:b w:val="1"/>
          <w:bCs w:val="1"/>
          <w:color w:val="auto"/>
        </w:rPr>
        <w:t>KEY NONCASH PERFORMANCE INDICATORS</w:t>
      </w:r>
    </w:p>
    <w:p>
      <w:pPr>
        <w:spacing w:after="0" w:line="89" w:lineRule="exact"/>
        <w:rPr>
          <w:sz w:val="20"/>
          <w:szCs w:val="20"/>
          <w:color w:val="auto"/>
        </w:rPr>
      </w:pPr>
    </w:p>
    <w:p>
      <w:pPr>
        <w:spacing w:after="0"/>
        <w:rPr>
          <w:sz w:val="20"/>
          <w:szCs w:val="20"/>
          <w:color w:val="auto"/>
        </w:rPr>
      </w:pPr>
      <w:r>
        <w:rPr>
          <w:rFonts w:ascii="Arial" w:cs="Arial" w:eastAsia="Arial" w:hAnsi="Arial"/>
          <w:sz w:val="16"/>
          <w:szCs w:val="16"/>
          <w:color w:val="auto"/>
        </w:rPr>
        <w:t>A discussion of key noncash performance indicators related to each business unit follows: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Sempra Utilities</w:t>
      </w:r>
    </w:p>
    <w:p>
      <w:pPr>
        <w:spacing w:after="0" w:line="23" w:lineRule="exact"/>
        <w:rPr>
          <w:sz w:val="20"/>
          <w:szCs w:val="20"/>
          <w:color w:val="auto"/>
        </w:rPr>
      </w:pPr>
    </w:p>
    <w:p>
      <w:pPr>
        <w:spacing w:after="0" w:line="289" w:lineRule="auto"/>
        <w:rPr>
          <w:sz w:val="20"/>
          <w:szCs w:val="20"/>
          <w:color w:val="auto"/>
        </w:rPr>
      </w:pPr>
      <w:r>
        <w:rPr>
          <w:rFonts w:ascii="Arial" w:cs="Arial" w:eastAsia="Arial" w:hAnsi="Arial"/>
          <w:sz w:val="15"/>
          <w:szCs w:val="15"/>
          <w:color w:val="auto"/>
        </w:rPr>
        <w:t>Key noncash performance indicators include number of customers, and natural gas volumes and electricity sold. Additional noncash performance indicators include goals related to safety, customer service, customer reputation, environmental considerations, on-time and on-budget completion of major projects and initiatives, and in the case of SDG&amp;E, electric reliability. We discuss natural gas volumes and electricity sold in "Results of Operations – Changes in Revenues, Costs and Earnings" above.</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Sempra Commodities</w:t>
      </w:r>
    </w:p>
    <w:p>
      <w:pPr>
        <w:spacing w:after="0" w:line="23" w:lineRule="exact"/>
        <w:rPr>
          <w:sz w:val="20"/>
          <w:szCs w:val="20"/>
          <w:color w:val="auto"/>
        </w:rPr>
      </w:pPr>
    </w:p>
    <w:p>
      <w:pPr>
        <w:spacing w:after="0"/>
        <w:rPr>
          <w:sz w:val="20"/>
          <w:szCs w:val="20"/>
          <w:color w:val="auto"/>
        </w:rPr>
      </w:pPr>
      <w:r>
        <w:rPr>
          <w:rFonts w:ascii="Arial" w:cs="Arial" w:eastAsia="Arial" w:hAnsi="Arial"/>
          <w:sz w:val="14"/>
          <w:szCs w:val="14"/>
          <w:color w:val="auto"/>
        </w:rPr>
        <w:t>Prior to the sale of our commodities-marketing businesses to RBS Sempra Commodities as discussed in Note 3, Sempra Commodities did not use noncash performance factors.</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Its key indicators were profit margins by product line and by geographic area.</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Sempra Generation</w:t>
      </w:r>
    </w:p>
    <w:p>
      <w:pPr>
        <w:spacing w:after="0" w:line="23" w:lineRule="exact"/>
        <w:rPr>
          <w:sz w:val="20"/>
          <w:szCs w:val="20"/>
          <w:color w:val="auto"/>
        </w:rPr>
      </w:pPr>
    </w:p>
    <w:p>
      <w:pPr>
        <w:spacing w:after="0" w:line="351" w:lineRule="auto"/>
        <w:rPr>
          <w:sz w:val="20"/>
          <w:szCs w:val="20"/>
          <w:color w:val="auto"/>
        </w:rPr>
      </w:pPr>
      <w:r>
        <w:rPr>
          <w:rFonts w:ascii="Arial" w:cs="Arial" w:eastAsia="Arial" w:hAnsi="Arial"/>
          <w:sz w:val="14"/>
          <w:szCs w:val="14"/>
          <w:color w:val="auto"/>
        </w:rPr>
        <w:t>Key noncash performance indicators include plant availability factors at the generating plants. For competitive reasons, Sempra Generation does not disclose its plant availability factors. Additional noncash performance indicators include goals related to safety, environmental considerations, and fixed and variable operating and maintenance costs.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Sempra Pipelines &amp; Storage</w:t>
      </w:r>
    </w:p>
    <w:p>
      <w:pPr>
        <w:spacing w:after="0" w:line="23" w:lineRule="exact"/>
        <w:rPr>
          <w:sz w:val="20"/>
          <w:szCs w:val="20"/>
          <w:color w:val="auto"/>
        </w:rPr>
      </w:pPr>
    </w:p>
    <w:p>
      <w:pPr>
        <w:ind w:right="40"/>
        <w:spacing w:after="0" w:line="264" w:lineRule="auto"/>
        <w:rPr>
          <w:sz w:val="20"/>
          <w:szCs w:val="20"/>
          <w:color w:val="auto"/>
        </w:rPr>
      </w:pPr>
      <w:r>
        <w:rPr>
          <w:rFonts w:ascii="Arial" w:cs="Arial" w:eastAsia="Arial" w:hAnsi="Arial"/>
          <w:sz w:val="16"/>
          <w:szCs w:val="16"/>
          <w:color w:val="auto"/>
        </w:rPr>
        <w:t>Key noncash performance indicators for Sempra Pipelines &amp; Storage's consolidated operations include natural gas sales volume, facility availability, capacity utilization, and for some Mexican pipeline operations, customer count. We discuss these above in "Our Business" and "Factors Influencing Future Performance." Additional noncash performance indicators include goals related to safety, environmental considerations, and regulatory compliance.</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Sempra LNG</w:t>
      </w:r>
    </w:p>
    <w:p>
      <w:pPr>
        <w:spacing w:after="0" w:line="23" w:lineRule="exact"/>
        <w:rPr>
          <w:sz w:val="20"/>
          <w:szCs w:val="20"/>
          <w:color w:val="auto"/>
        </w:rPr>
      </w:pPr>
    </w:p>
    <w:p>
      <w:pPr>
        <w:ind w:right="20"/>
        <w:spacing w:after="0" w:line="351" w:lineRule="auto"/>
        <w:rPr>
          <w:sz w:val="20"/>
          <w:szCs w:val="20"/>
          <w:color w:val="auto"/>
        </w:rPr>
      </w:pPr>
      <w:r>
        <w:rPr>
          <w:rFonts w:ascii="Arial" w:cs="Arial" w:eastAsia="Arial" w:hAnsi="Arial"/>
          <w:sz w:val="14"/>
          <w:szCs w:val="14"/>
          <w:color w:val="auto"/>
        </w:rPr>
        <w:t>Key noncash performance indicators include plant availability and capacity utilization. We discuss these above in "Our Business" and "Factors Influencing Future Performance." Additional noncash performance indicators include goals related to safety, environmental considerations, and on-time and on-budget completion of development projects.</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NEW ACCOUNTING STANDARDS</w:t>
      </w:r>
    </w:p>
    <w:p>
      <w:pPr>
        <w:spacing w:after="0" w:line="89" w:lineRule="exact"/>
        <w:rPr>
          <w:sz w:val="20"/>
          <w:szCs w:val="20"/>
          <w:color w:val="auto"/>
        </w:rPr>
      </w:pPr>
    </w:p>
    <w:p>
      <w:pPr>
        <w:ind w:right="120"/>
        <w:spacing w:after="0" w:line="277" w:lineRule="auto"/>
        <w:rPr>
          <w:sz w:val="20"/>
          <w:szCs w:val="20"/>
          <w:color w:val="auto"/>
        </w:rPr>
      </w:pPr>
      <w:r>
        <w:rPr>
          <w:rFonts w:ascii="Arial" w:cs="Arial" w:eastAsia="Arial" w:hAnsi="Arial"/>
          <w:sz w:val="16"/>
          <w:szCs w:val="16"/>
          <w:color w:val="auto"/>
        </w:rPr>
        <w:t>We discuss the relevant pronouncements that have recently become effective and have had or may have a significant effect on our financial statements in Note 2 of the Notes to Consolidated Financial Statements.</w:t>
      </w: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14"/>
          <w:szCs w:val="14"/>
          <w:color w:val="auto"/>
        </w:rPr>
        <w:t>54</w:t>
      </w:r>
    </w:p>
    <w:p>
      <w:pPr>
        <w:sectPr>
          <w:pgSz w:w="11900" w:h="16838" w:orient="portrait"/>
          <w:cols w:equalWidth="0" w:num="1">
            <w:col w:w="11360"/>
          </w:cols>
          <w:pgMar w:left="240" w:top="395" w:right="299" w:bottom="1440" w:gutter="0" w:footer="0" w:header="0"/>
        </w:sectPr>
      </w:pPr>
    </w:p>
    <w:bookmarkStart w:id="194" w:name="page195"/>
    <w:bookmarkEnd w:id="194"/>
    <w:p>
      <w:pPr>
        <w:ind w:left="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149860</wp:posOffset>
            </wp:positionH>
            <wp:positionV relativeFrom="page">
              <wp:posOffset>432435</wp:posOffset>
            </wp:positionV>
            <wp:extent cx="7261860" cy="762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61860" cy="7620"/>
                    </a:xfrm>
                    <a:prstGeom prst="rect">
                      <a:avLst/>
                    </a:prstGeom>
                    <a:noFill/>
                  </pic:spPr>
                </pic:pic>
              </a:graphicData>
            </a:graphic>
          </wp:anchor>
        </w:drawing>
        <w:t>INFORMATION REGARDING FORWARD-LOOKING STATEMENTS</w:t>
      </w:r>
    </w:p>
    <w:p>
      <w:pPr>
        <w:spacing w:after="0" w:line="60" w:lineRule="exact"/>
        <w:rPr>
          <w:sz w:val="20"/>
          <w:szCs w:val="20"/>
          <w:color w:val="auto"/>
        </w:rPr>
      </w:pPr>
    </w:p>
    <w:p>
      <w:pPr>
        <w:jc w:val="both"/>
        <w:ind w:left="4" w:right="260"/>
        <w:spacing w:after="0" w:line="264" w:lineRule="auto"/>
        <w:rPr>
          <w:sz w:val="20"/>
          <w:szCs w:val="20"/>
          <w:color w:val="auto"/>
        </w:rPr>
      </w:pPr>
      <w:r>
        <w:rPr>
          <w:rFonts w:ascii="Arial" w:cs="Arial" w:eastAsia="Arial" w:hAnsi="Arial"/>
          <w:sz w:val="16"/>
          <w:szCs w:val="16"/>
          <w:color w:val="auto"/>
        </w:rPr>
        <w:t>We make statements in this report that are not historical fact and constitute forward-looking statements within the meaning of the Private Securities Litigation Reform Act of 1995. Forward-looking statements are necessarily based upon assumptions with respect to the future, involve risks and uncertainties, and are not guarantees of performance. These forward-looking statements represent our estimates and assumptions only as of the date of this report.</w:t>
      </w:r>
    </w:p>
    <w:p>
      <w:pPr>
        <w:spacing w:after="0" w:line="42" w:lineRule="exact"/>
        <w:rPr>
          <w:sz w:val="20"/>
          <w:szCs w:val="20"/>
          <w:color w:val="auto"/>
        </w:rPr>
      </w:pPr>
    </w:p>
    <w:p>
      <w:pPr>
        <w:ind w:left="4"/>
        <w:spacing w:after="0" w:line="312" w:lineRule="auto"/>
        <w:rPr>
          <w:sz w:val="20"/>
          <w:szCs w:val="20"/>
          <w:color w:val="auto"/>
        </w:rPr>
      </w:pPr>
      <w:r>
        <w:rPr>
          <w:rFonts w:ascii="Arial" w:cs="Arial" w:eastAsia="Arial" w:hAnsi="Arial"/>
          <w:sz w:val="15"/>
          <w:szCs w:val="15"/>
          <w:color w:val="auto"/>
        </w:rPr>
        <w:t>In this report, when we use words such as "believes," "expects," "anticipates," "plans," "estimates," "projects," "contemplates," "intends," "depends," "should," "could," "would," "may," "potential," "target," "goals," or similar expressions, or when we discuss our strategy, plans or intentions, we are making forward-looking statements.</w:t>
      </w:r>
    </w:p>
    <w:p>
      <w:pPr>
        <w:spacing w:after="0" w:line="8" w:lineRule="exact"/>
        <w:rPr>
          <w:sz w:val="20"/>
          <w:szCs w:val="20"/>
          <w:color w:val="auto"/>
        </w:rPr>
      </w:pPr>
    </w:p>
    <w:p>
      <w:pPr>
        <w:ind w:left="4"/>
        <w:spacing w:after="0"/>
        <w:rPr>
          <w:sz w:val="20"/>
          <w:szCs w:val="20"/>
          <w:color w:val="auto"/>
        </w:rPr>
      </w:pPr>
      <w:r>
        <w:rPr>
          <w:rFonts w:ascii="Arial" w:cs="Arial" w:eastAsia="Arial" w:hAnsi="Arial"/>
          <w:sz w:val="16"/>
          <w:szCs w:val="16"/>
          <w:color w:val="auto"/>
        </w:rPr>
        <w:t>Factors, among others, that could cause our actual results and future actions to differ materially from those described in forward-looking statements include</w:t>
      </w:r>
    </w:p>
    <w:p>
      <w:pPr>
        <w:spacing w:after="0" w:line="44" w:lineRule="exact"/>
        <w:rPr>
          <w:sz w:val="20"/>
          <w:szCs w:val="20"/>
          <w:color w:val="auto"/>
        </w:rPr>
      </w:pPr>
    </w:p>
    <w:p>
      <w:pPr>
        <w:ind w:left="144" w:hanging="144"/>
        <w:spacing w:after="0"/>
        <w:tabs>
          <w:tab w:leader="none" w:pos="144" w:val="left"/>
        </w:tabs>
        <w:numPr>
          <w:ilvl w:val="0"/>
          <w:numId w:val="304"/>
        </w:numPr>
        <w:rPr>
          <w:rFonts w:ascii="Arial" w:cs="Arial" w:eastAsia="Arial" w:hAnsi="Arial"/>
          <w:sz w:val="16"/>
          <w:szCs w:val="16"/>
          <w:color w:val="auto"/>
        </w:rPr>
      </w:pPr>
      <w:r>
        <w:rPr>
          <w:rFonts w:ascii="Arial" w:cs="Arial" w:eastAsia="Arial" w:hAnsi="Arial"/>
          <w:sz w:val="16"/>
          <w:szCs w:val="16"/>
          <w:color w:val="auto"/>
        </w:rPr>
        <w:t>local, regional, national and international economic, competitive, political, legislative and regulatory conditions and developments;</w:t>
      </w:r>
    </w:p>
    <w:p>
      <w:pPr>
        <w:spacing w:after="0" w:line="44" w:lineRule="exact"/>
        <w:rPr>
          <w:rFonts w:ascii="Arial" w:cs="Arial" w:eastAsia="Arial" w:hAnsi="Arial"/>
          <w:sz w:val="16"/>
          <w:szCs w:val="16"/>
          <w:color w:val="auto"/>
        </w:rPr>
      </w:pPr>
    </w:p>
    <w:p>
      <w:pPr>
        <w:ind w:left="144" w:right="1340" w:hanging="144"/>
        <w:spacing w:after="0" w:line="264" w:lineRule="auto"/>
        <w:tabs>
          <w:tab w:leader="none" w:pos="144" w:val="left"/>
        </w:tabs>
        <w:numPr>
          <w:ilvl w:val="0"/>
          <w:numId w:val="304"/>
        </w:numPr>
        <w:rPr>
          <w:rFonts w:ascii="Arial" w:cs="Arial" w:eastAsia="Arial" w:hAnsi="Arial"/>
          <w:sz w:val="16"/>
          <w:szCs w:val="16"/>
          <w:color w:val="auto"/>
        </w:rPr>
      </w:pPr>
      <w:r>
        <w:rPr>
          <w:rFonts w:ascii="Arial" w:cs="Arial" w:eastAsia="Arial" w:hAnsi="Arial"/>
          <w:sz w:val="16"/>
          <w:szCs w:val="16"/>
          <w:color w:val="auto"/>
        </w:rPr>
        <w:t>actions by the California Public Utilities Commission, the California State Legislature, the California Department of Water Resources, the Federal Energy Regulatory Commission, the Federal Reserve Board, and other regulatory and governmental bodies in the United States, the United Kingdom and other countries;</w:t>
      </w:r>
    </w:p>
    <w:p>
      <w:pPr>
        <w:spacing w:after="0" w:line="5" w:lineRule="exact"/>
        <w:rPr>
          <w:rFonts w:ascii="Arial" w:cs="Arial" w:eastAsia="Arial" w:hAnsi="Arial"/>
          <w:sz w:val="16"/>
          <w:szCs w:val="16"/>
          <w:color w:val="auto"/>
        </w:rPr>
      </w:pPr>
    </w:p>
    <w:p>
      <w:pPr>
        <w:ind w:left="144" w:hanging="144"/>
        <w:spacing w:after="0"/>
        <w:tabs>
          <w:tab w:leader="none" w:pos="144" w:val="left"/>
        </w:tabs>
        <w:numPr>
          <w:ilvl w:val="0"/>
          <w:numId w:val="304"/>
        </w:numPr>
        <w:rPr>
          <w:rFonts w:ascii="Arial" w:cs="Arial" w:eastAsia="Arial" w:hAnsi="Arial"/>
          <w:sz w:val="16"/>
          <w:szCs w:val="16"/>
          <w:color w:val="auto"/>
        </w:rPr>
      </w:pPr>
      <w:r>
        <w:rPr>
          <w:rFonts w:ascii="Arial" w:cs="Arial" w:eastAsia="Arial" w:hAnsi="Arial"/>
          <w:sz w:val="16"/>
          <w:szCs w:val="16"/>
          <w:color w:val="auto"/>
        </w:rPr>
        <w:t>capital markets conditions and inflation, interest and exchange rates;</w:t>
      </w:r>
    </w:p>
    <w:p>
      <w:pPr>
        <w:spacing w:after="0" w:line="44" w:lineRule="exact"/>
        <w:rPr>
          <w:rFonts w:ascii="Arial" w:cs="Arial" w:eastAsia="Arial" w:hAnsi="Arial"/>
          <w:sz w:val="16"/>
          <w:szCs w:val="16"/>
          <w:color w:val="auto"/>
        </w:rPr>
      </w:pPr>
    </w:p>
    <w:p>
      <w:pPr>
        <w:ind w:left="144" w:hanging="144"/>
        <w:spacing w:after="0"/>
        <w:tabs>
          <w:tab w:leader="none" w:pos="144" w:val="left"/>
        </w:tabs>
        <w:numPr>
          <w:ilvl w:val="0"/>
          <w:numId w:val="304"/>
        </w:numPr>
        <w:rPr>
          <w:rFonts w:ascii="Arial" w:cs="Arial" w:eastAsia="Arial" w:hAnsi="Arial"/>
          <w:sz w:val="16"/>
          <w:szCs w:val="16"/>
          <w:color w:val="auto"/>
        </w:rPr>
      </w:pPr>
      <w:r>
        <w:rPr>
          <w:rFonts w:ascii="Arial" w:cs="Arial" w:eastAsia="Arial" w:hAnsi="Arial"/>
          <w:sz w:val="16"/>
          <w:szCs w:val="16"/>
          <w:color w:val="auto"/>
        </w:rPr>
        <w:t>energy and trading markets, including the timing and extent of changes and volatility in commodity prices;</w:t>
      </w:r>
    </w:p>
    <w:p>
      <w:pPr>
        <w:spacing w:after="0" w:line="44" w:lineRule="exact"/>
        <w:rPr>
          <w:rFonts w:ascii="Arial" w:cs="Arial" w:eastAsia="Arial" w:hAnsi="Arial"/>
          <w:sz w:val="16"/>
          <w:szCs w:val="16"/>
          <w:color w:val="auto"/>
        </w:rPr>
      </w:pPr>
    </w:p>
    <w:p>
      <w:pPr>
        <w:ind w:left="144" w:hanging="144"/>
        <w:spacing w:after="0"/>
        <w:tabs>
          <w:tab w:leader="none" w:pos="144" w:val="left"/>
        </w:tabs>
        <w:numPr>
          <w:ilvl w:val="0"/>
          <w:numId w:val="304"/>
        </w:numPr>
        <w:rPr>
          <w:rFonts w:ascii="Arial" w:cs="Arial" w:eastAsia="Arial" w:hAnsi="Arial"/>
          <w:sz w:val="16"/>
          <w:szCs w:val="16"/>
          <w:color w:val="auto"/>
        </w:rPr>
      </w:pPr>
      <w:r>
        <w:rPr>
          <w:rFonts w:ascii="Arial" w:cs="Arial" w:eastAsia="Arial" w:hAnsi="Arial"/>
          <w:sz w:val="16"/>
          <w:szCs w:val="16"/>
          <w:color w:val="auto"/>
        </w:rPr>
        <w:t>the availability of electric power, natural gas and liquefied natural gas;</w:t>
      </w:r>
    </w:p>
    <w:p>
      <w:pPr>
        <w:spacing w:after="0" w:line="44" w:lineRule="exact"/>
        <w:rPr>
          <w:rFonts w:ascii="Arial" w:cs="Arial" w:eastAsia="Arial" w:hAnsi="Arial"/>
          <w:sz w:val="16"/>
          <w:szCs w:val="16"/>
          <w:color w:val="auto"/>
        </w:rPr>
      </w:pPr>
    </w:p>
    <w:p>
      <w:pPr>
        <w:ind w:left="144" w:hanging="144"/>
        <w:spacing w:after="0"/>
        <w:tabs>
          <w:tab w:leader="none" w:pos="144" w:val="left"/>
        </w:tabs>
        <w:numPr>
          <w:ilvl w:val="0"/>
          <w:numId w:val="304"/>
        </w:numPr>
        <w:rPr>
          <w:rFonts w:ascii="Arial" w:cs="Arial" w:eastAsia="Arial" w:hAnsi="Arial"/>
          <w:sz w:val="16"/>
          <w:szCs w:val="16"/>
          <w:color w:val="auto"/>
        </w:rPr>
      </w:pPr>
      <w:r>
        <w:rPr>
          <w:rFonts w:ascii="Arial" w:cs="Arial" w:eastAsia="Arial" w:hAnsi="Arial"/>
          <w:sz w:val="16"/>
          <w:szCs w:val="16"/>
          <w:color w:val="auto"/>
        </w:rPr>
        <w:t>weather conditions and conservation efforts;</w:t>
      </w:r>
    </w:p>
    <w:p>
      <w:pPr>
        <w:spacing w:after="0" w:line="44" w:lineRule="exact"/>
        <w:rPr>
          <w:rFonts w:ascii="Arial" w:cs="Arial" w:eastAsia="Arial" w:hAnsi="Arial"/>
          <w:sz w:val="16"/>
          <w:szCs w:val="16"/>
          <w:color w:val="auto"/>
        </w:rPr>
      </w:pPr>
    </w:p>
    <w:p>
      <w:pPr>
        <w:ind w:left="144" w:hanging="144"/>
        <w:spacing w:after="0"/>
        <w:tabs>
          <w:tab w:leader="none" w:pos="144" w:val="left"/>
        </w:tabs>
        <w:numPr>
          <w:ilvl w:val="0"/>
          <w:numId w:val="304"/>
        </w:numPr>
        <w:rPr>
          <w:rFonts w:ascii="Arial" w:cs="Arial" w:eastAsia="Arial" w:hAnsi="Arial"/>
          <w:sz w:val="16"/>
          <w:szCs w:val="16"/>
          <w:color w:val="auto"/>
        </w:rPr>
      </w:pPr>
      <w:r>
        <w:rPr>
          <w:rFonts w:ascii="Arial" w:cs="Arial" w:eastAsia="Arial" w:hAnsi="Arial"/>
          <w:sz w:val="16"/>
          <w:szCs w:val="16"/>
          <w:color w:val="auto"/>
        </w:rPr>
        <w:t>war and terrorist attacks;</w:t>
      </w:r>
    </w:p>
    <w:p>
      <w:pPr>
        <w:spacing w:after="0" w:line="44" w:lineRule="exact"/>
        <w:rPr>
          <w:rFonts w:ascii="Arial" w:cs="Arial" w:eastAsia="Arial" w:hAnsi="Arial"/>
          <w:sz w:val="16"/>
          <w:szCs w:val="16"/>
          <w:color w:val="auto"/>
        </w:rPr>
      </w:pPr>
    </w:p>
    <w:p>
      <w:pPr>
        <w:ind w:left="144" w:hanging="144"/>
        <w:spacing w:after="0"/>
        <w:tabs>
          <w:tab w:leader="none" w:pos="144" w:val="left"/>
        </w:tabs>
        <w:numPr>
          <w:ilvl w:val="0"/>
          <w:numId w:val="304"/>
        </w:numPr>
        <w:rPr>
          <w:rFonts w:ascii="Arial" w:cs="Arial" w:eastAsia="Arial" w:hAnsi="Arial"/>
          <w:sz w:val="16"/>
          <w:szCs w:val="16"/>
          <w:color w:val="auto"/>
        </w:rPr>
      </w:pPr>
      <w:r>
        <w:rPr>
          <w:rFonts w:ascii="Arial" w:cs="Arial" w:eastAsia="Arial" w:hAnsi="Arial"/>
          <w:sz w:val="16"/>
          <w:szCs w:val="16"/>
          <w:color w:val="auto"/>
        </w:rPr>
        <w:t>business, regulatory, environmental and legal decisions and requirements;</w:t>
      </w:r>
    </w:p>
    <w:p>
      <w:pPr>
        <w:spacing w:after="0" w:line="44" w:lineRule="exact"/>
        <w:rPr>
          <w:rFonts w:ascii="Arial" w:cs="Arial" w:eastAsia="Arial" w:hAnsi="Arial"/>
          <w:sz w:val="16"/>
          <w:szCs w:val="16"/>
          <w:color w:val="auto"/>
        </w:rPr>
      </w:pPr>
    </w:p>
    <w:p>
      <w:pPr>
        <w:ind w:left="144" w:hanging="144"/>
        <w:spacing w:after="0"/>
        <w:tabs>
          <w:tab w:leader="none" w:pos="144" w:val="left"/>
        </w:tabs>
        <w:numPr>
          <w:ilvl w:val="0"/>
          <w:numId w:val="304"/>
        </w:numPr>
        <w:rPr>
          <w:rFonts w:ascii="Arial" w:cs="Arial" w:eastAsia="Arial" w:hAnsi="Arial"/>
          <w:sz w:val="16"/>
          <w:szCs w:val="16"/>
          <w:color w:val="auto"/>
        </w:rPr>
      </w:pPr>
      <w:r>
        <w:rPr>
          <w:rFonts w:ascii="Arial" w:cs="Arial" w:eastAsia="Arial" w:hAnsi="Arial"/>
          <w:sz w:val="16"/>
          <w:szCs w:val="16"/>
          <w:color w:val="auto"/>
        </w:rPr>
        <w:t>the status of deregulation of retail natural gas and electricity delivery;</w:t>
      </w:r>
    </w:p>
    <w:p>
      <w:pPr>
        <w:spacing w:after="0" w:line="44" w:lineRule="exact"/>
        <w:rPr>
          <w:rFonts w:ascii="Arial" w:cs="Arial" w:eastAsia="Arial" w:hAnsi="Arial"/>
          <w:sz w:val="16"/>
          <w:szCs w:val="16"/>
          <w:color w:val="auto"/>
        </w:rPr>
      </w:pPr>
    </w:p>
    <w:p>
      <w:pPr>
        <w:ind w:left="144" w:hanging="144"/>
        <w:spacing w:after="0"/>
        <w:tabs>
          <w:tab w:leader="none" w:pos="144" w:val="left"/>
        </w:tabs>
        <w:numPr>
          <w:ilvl w:val="0"/>
          <w:numId w:val="304"/>
        </w:numPr>
        <w:rPr>
          <w:rFonts w:ascii="Arial" w:cs="Arial" w:eastAsia="Arial" w:hAnsi="Arial"/>
          <w:sz w:val="16"/>
          <w:szCs w:val="16"/>
          <w:color w:val="auto"/>
        </w:rPr>
      </w:pPr>
      <w:r>
        <w:rPr>
          <w:rFonts w:ascii="Arial" w:cs="Arial" w:eastAsia="Arial" w:hAnsi="Arial"/>
          <w:sz w:val="16"/>
          <w:szCs w:val="16"/>
          <w:color w:val="auto"/>
        </w:rPr>
        <w:t>the timing and success of business development efforts;</w:t>
      </w:r>
    </w:p>
    <w:p>
      <w:pPr>
        <w:spacing w:after="0" w:line="44" w:lineRule="exact"/>
        <w:rPr>
          <w:rFonts w:ascii="Arial" w:cs="Arial" w:eastAsia="Arial" w:hAnsi="Arial"/>
          <w:sz w:val="16"/>
          <w:szCs w:val="16"/>
          <w:color w:val="auto"/>
        </w:rPr>
      </w:pPr>
    </w:p>
    <w:p>
      <w:pPr>
        <w:ind w:left="144" w:hanging="144"/>
        <w:spacing w:after="0"/>
        <w:tabs>
          <w:tab w:leader="none" w:pos="144" w:val="left"/>
        </w:tabs>
        <w:numPr>
          <w:ilvl w:val="0"/>
          <w:numId w:val="304"/>
        </w:numPr>
        <w:rPr>
          <w:rFonts w:ascii="Arial" w:cs="Arial" w:eastAsia="Arial" w:hAnsi="Arial"/>
          <w:sz w:val="16"/>
          <w:szCs w:val="16"/>
          <w:color w:val="auto"/>
        </w:rPr>
      </w:pPr>
      <w:r>
        <w:rPr>
          <w:rFonts w:ascii="Arial" w:cs="Arial" w:eastAsia="Arial" w:hAnsi="Arial"/>
          <w:sz w:val="16"/>
          <w:szCs w:val="16"/>
          <w:color w:val="auto"/>
        </w:rPr>
        <w:t>the resolution of litigation; and</w:t>
      </w:r>
    </w:p>
    <w:p>
      <w:pPr>
        <w:spacing w:after="0" w:line="44" w:lineRule="exact"/>
        <w:rPr>
          <w:rFonts w:ascii="Arial" w:cs="Arial" w:eastAsia="Arial" w:hAnsi="Arial"/>
          <w:sz w:val="16"/>
          <w:szCs w:val="16"/>
          <w:color w:val="auto"/>
        </w:rPr>
      </w:pPr>
    </w:p>
    <w:p>
      <w:pPr>
        <w:ind w:left="144" w:hanging="144"/>
        <w:spacing w:after="0"/>
        <w:tabs>
          <w:tab w:leader="none" w:pos="144" w:val="left"/>
        </w:tabs>
        <w:numPr>
          <w:ilvl w:val="0"/>
          <w:numId w:val="304"/>
        </w:numPr>
        <w:rPr>
          <w:rFonts w:ascii="Arial" w:cs="Arial" w:eastAsia="Arial" w:hAnsi="Arial"/>
          <w:sz w:val="16"/>
          <w:szCs w:val="16"/>
          <w:color w:val="auto"/>
        </w:rPr>
      </w:pPr>
      <w:r>
        <w:rPr>
          <w:rFonts w:ascii="Arial" w:cs="Arial" w:eastAsia="Arial" w:hAnsi="Arial"/>
          <w:sz w:val="16"/>
          <w:szCs w:val="16"/>
          <w:color w:val="auto"/>
        </w:rPr>
        <w:t>other uncertainties, all of which are difficult to predict and many of which are beyond our control.</w:t>
      </w:r>
    </w:p>
    <w:p>
      <w:pPr>
        <w:spacing w:after="0" w:line="128" w:lineRule="exact"/>
        <w:rPr>
          <w:sz w:val="20"/>
          <w:szCs w:val="20"/>
          <w:color w:val="auto"/>
        </w:rPr>
      </w:pPr>
    </w:p>
    <w:p>
      <w:pPr>
        <w:ind w:left="4" w:right="20"/>
        <w:spacing w:after="0" w:line="277" w:lineRule="auto"/>
        <w:rPr>
          <w:sz w:val="20"/>
          <w:szCs w:val="20"/>
          <w:color w:val="auto"/>
        </w:rPr>
      </w:pPr>
      <w:r>
        <w:rPr>
          <w:rFonts w:ascii="Arial" w:cs="Arial" w:eastAsia="Arial" w:hAnsi="Arial"/>
          <w:sz w:val="16"/>
          <w:szCs w:val="16"/>
          <w:color w:val="auto"/>
        </w:rPr>
        <w:t>We caution you not to rely unduly on any forward-looking statements. You should review and consider carefully the risks, uncertainties and other factors that affect our business as described in this report and other reports that we file with the Securities and Exchange Commission.</w:t>
      </w:r>
    </w:p>
    <w:p>
      <w:pPr>
        <w:spacing w:after="0" w:line="200" w:lineRule="exact"/>
        <w:rPr>
          <w:sz w:val="20"/>
          <w:szCs w:val="20"/>
          <w:color w:val="auto"/>
        </w:rPr>
      </w:pPr>
    </w:p>
    <w:p>
      <w:pPr>
        <w:spacing w:after="0" w:line="292" w:lineRule="exact"/>
        <w:rPr>
          <w:sz w:val="20"/>
          <w:szCs w:val="20"/>
          <w:color w:val="auto"/>
        </w:rPr>
      </w:pPr>
    </w:p>
    <w:p>
      <w:pPr>
        <w:ind w:left="4"/>
        <w:spacing w:after="0"/>
        <w:rPr>
          <w:sz w:val="20"/>
          <w:szCs w:val="20"/>
          <w:color w:val="auto"/>
        </w:rPr>
      </w:pPr>
      <w:r>
        <w:rPr>
          <w:rFonts w:ascii="Arial" w:cs="Arial" w:eastAsia="Arial" w:hAnsi="Arial"/>
          <w:sz w:val="14"/>
          <w:szCs w:val="14"/>
          <w:color w:val="auto"/>
        </w:rPr>
        <w:t>55</w:t>
      </w:r>
    </w:p>
    <w:p>
      <w:pPr>
        <w:sectPr>
          <w:pgSz w:w="11900" w:h="16838" w:orient="portrait"/>
          <w:cols w:equalWidth="0" w:num="1">
            <w:col w:w="11344"/>
          </w:cols>
          <w:pgMar w:left="236" w:top="737" w:right="319" w:bottom="1440" w:gutter="0" w:footer="0" w:header="0"/>
        </w:sectPr>
      </w:pPr>
    </w:p>
    <w:bookmarkStart w:id="195" w:name="page196"/>
    <w:bookmarkEnd w:id="19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149860</wp:posOffset>
            </wp:positionH>
            <wp:positionV relativeFrom="page">
              <wp:posOffset>432435</wp:posOffset>
            </wp:positionV>
            <wp:extent cx="7261860" cy="762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61860" cy="7620"/>
                    </a:xfrm>
                    <a:prstGeom prst="rect">
                      <a:avLst/>
                    </a:prstGeom>
                    <a:noFill/>
                  </pic:spPr>
                </pic:pic>
              </a:graphicData>
            </a:graphic>
          </wp:anchor>
        </w:drawing>
        <w:t>COMMON STOCK DATA</w:t>
      </w:r>
    </w:p>
    <w:p>
      <w:pPr>
        <w:spacing w:after="0" w:line="24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SEMPRA ENERGY COMMON STOCK</w:t>
      </w:r>
    </w:p>
    <w:p>
      <w:pPr>
        <w:spacing w:after="0" w:line="89" w:lineRule="exact"/>
        <w:rPr>
          <w:sz w:val="20"/>
          <w:szCs w:val="20"/>
          <w:color w:val="auto"/>
        </w:rPr>
      </w:pPr>
    </w:p>
    <w:p>
      <w:pPr>
        <w:spacing w:after="0"/>
        <w:rPr>
          <w:sz w:val="20"/>
          <w:szCs w:val="20"/>
          <w:color w:val="auto"/>
        </w:rPr>
      </w:pPr>
      <w:r>
        <w:rPr>
          <w:rFonts w:ascii="Arial" w:cs="Arial" w:eastAsia="Arial" w:hAnsi="Arial"/>
          <w:sz w:val="16"/>
          <w:szCs w:val="16"/>
          <w:color w:val="auto"/>
        </w:rPr>
        <w:t>Our common stock is traded on the New York Stock Exchange. At February 12, 2009, there were 46,000 record holders of our common stock.</w:t>
      </w:r>
    </w:p>
    <w:p>
      <w:pPr>
        <w:spacing w:after="0" w:line="80"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shows Sempra Energy quarterly common stock data:</w:t>
      </w:r>
    </w:p>
    <w:p>
      <w:pPr>
        <w:spacing w:after="0" w:line="200" w:lineRule="exact"/>
        <w:rPr>
          <w:sz w:val="20"/>
          <w:szCs w:val="20"/>
          <w:color w:val="auto"/>
        </w:rPr>
      </w:pPr>
    </w:p>
    <w:p>
      <w:pPr>
        <w:spacing w:after="0" w:line="257" w:lineRule="exact"/>
        <w:rPr>
          <w:sz w:val="20"/>
          <w:szCs w:val="20"/>
          <w:color w:val="auto"/>
        </w:rPr>
      </w:pPr>
    </w:p>
    <w:tbl>
      <w:tblPr>
        <w:tblLayout w:type="fixed"/>
        <w:tblInd w:w="2540" w:type="dxa"/>
        <w:tblCellMar>
          <w:top w:w="0" w:type="dxa"/>
          <w:left w:w="0" w:type="dxa"/>
          <w:bottom w:w="0" w:type="dxa"/>
          <w:right w:w="0" w:type="dxa"/>
        </w:tblCellMar>
      </w:tblPr>
      <w:tr>
        <w:trPr>
          <w:trHeight w:val="182"/>
        </w:trPr>
        <w:tc>
          <w:tcPr>
            <w:tcW w:w="106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ind w:left="280"/>
              <w:spacing w:after="0"/>
              <w:rPr>
                <w:sz w:val="20"/>
                <w:szCs w:val="20"/>
                <w:color w:val="auto"/>
              </w:rPr>
            </w:pPr>
            <w:r>
              <w:rPr>
                <w:rFonts w:ascii="Arial" w:cs="Arial" w:eastAsia="Arial" w:hAnsi="Arial"/>
                <w:sz w:val="13"/>
                <w:szCs w:val="13"/>
                <w:color w:val="auto"/>
              </w:rPr>
              <w:t>First</w:t>
            </w:r>
          </w:p>
        </w:tc>
        <w:tc>
          <w:tcPr>
            <w:tcW w:w="1320" w:type="dxa"/>
            <w:vAlign w:val="bottom"/>
            <w:tcBorders>
              <w:top w:val="single" w:sz="8" w:color="auto"/>
            </w:tcBorders>
          </w:tcPr>
          <w:p>
            <w:pPr>
              <w:ind w:left="420"/>
              <w:spacing w:after="0"/>
              <w:rPr>
                <w:sz w:val="20"/>
                <w:szCs w:val="20"/>
                <w:color w:val="auto"/>
              </w:rPr>
            </w:pPr>
            <w:r>
              <w:rPr>
                <w:rFonts w:ascii="Arial" w:cs="Arial" w:eastAsia="Arial" w:hAnsi="Arial"/>
                <w:sz w:val="13"/>
                <w:szCs w:val="13"/>
                <w:color w:val="auto"/>
              </w:rPr>
              <w:t>Second</w:t>
            </w:r>
          </w:p>
        </w:tc>
        <w:tc>
          <w:tcPr>
            <w:tcW w:w="1340" w:type="dxa"/>
            <w:vAlign w:val="bottom"/>
            <w:tcBorders>
              <w:top w:val="single" w:sz="8" w:color="auto"/>
            </w:tcBorders>
          </w:tcPr>
          <w:p>
            <w:pPr>
              <w:ind w:left="440"/>
              <w:spacing w:after="0"/>
              <w:rPr>
                <w:sz w:val="20"/>
                <w:szCs w:val="20"/>
                <w:color w:val="auto"/>
              </w:rPr>
            </w:pPr>
            <w:r>
              <w:rPr>
                <w:rFonts w:ascii="Arial" w:cs="Arial" w:eastAsia="Arial" w:hAnsi="Arial"/>
                <w:sz w:val="13"/>
                <w:szCs w:val="13"/>
                <w:color w:val="auto"/>
              </w:rPr>
              <w:t>Third</w:t>
            </w:r>
          </w:p>
        </w:tc>
        <w:tc>
          <w:tcPr>
            <w:tcW w:w="1520" w:type="dxa"/>
            <w:vAlign w:val="bottom"/>
            <w:tcBorders>
              <w:top w:val="single" w:sz="8" w:color="auto"/>
            </w:tcBorders>
          </w:tcPr>
          <w:p>
            <w:pPr>
              <w:ind w:left="440"/>
              <w:spacing w:after="0"/>
              <w:rPr>
                <w:sz w:val="20"/>
                <w:szCs w:val="20"/>
                <w:color w:val="auto"/>
              </w:rPr>
            </w:pPr>
            <w:r>
              <w:rPr>
                <w:rFonts w:ascii="Arial" w:cs="Arial" w:eastAsia="Arial" w:hAnsi="Arial"/>
                <w:sz w:val="13"/>
                <w:szCs w:val="13"/>
                <w:color w:val="auto"/>
              </w:rPr>
              <w:t>Fourth</w:t>
            </w:r>
          </w:p>
        </w:tc>
      </w:tr>
      <w:tr>
        <w:trPr>
          <w:trHeight w:val="161"/>
        </w:trPr>
        <w:tc>
          <w:tcPr>
            <w:tcW w:w="10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ind w:left="280"/>
              <w:spacing w:after="0"/>
              <w:rPr>
                <w:sz w:val="20"/>
                <w:szCs w:val="20"/>
                <w:color w:val="auto"/>
              </w:rPr>
            </w:pPr>
            <w:r>
              <w:rPr>
                <w:rFonts w:ascii="Arial" w:cs="Arial" w:eastAsia="Arial" w:hAnsi="Arial"/>
                <w:sz w:val="13"/>
                <w:szCs w:val="13"/>
                <w:color w:val="auto"/>
              </w:rPr>
              <w:t>Quarter</w:t>
            </w:r>
          </w:p>
        </w:tc>
        <w:tc>
          <w:tcPr>
            <w:tcW w:w="1320" w:type="dxa"/>
            <w:vAlign w:val="bottom"/>
            <w:tcBorders>
              <w:bottom w:val="single" w:sz="8" w:color="auto"/>
            </w:tcBorders>
          </w:tcPr>
          <w:p>
            <w:pPr>
              <w:ind w:left="420"/>
              <w:spacing w:after="0"/>
              <w:rPr>
                <w:sz w:val="20"/>
                <w:szCs w:val="20"/>
                <w:color w:val="auto"/>
              </w:rPr>
            </w:pPr>
            <w:r>
              <w:rPr>
                <w:rFonts w:ascii="Arial" w:cs="Arial" w:eastAsia="Arial" w:hAnsi="Arial"/>
                <w:sz w:val="13"/>
                <w:szCs w:val="13"/>
                <w:color w:val="auto"/>
              </w:rPr>
              <w:t>Quarter</w:t>
            </w:r>
          </w:p>
        </w:tc>
        <w:tc>
          <w:tcPr>
            <w:tcW w:w="1340" w:type="dxa"/>
            <w:vAlign w:val="bottom"/>
            <w:tcBorders>
              <w:bottom w:val="single" w:sz="8" w:color="auto"/>
            </w:tcBorders>
          </w:tcPr>
          <w:p>
            <w:pPr>
              <w:ind w:left="440"/>
              <w:spacing w:after="0"/>
              <w:rPr>
                <w:sz w:val="20"/>
                <w:szCs w:val="20"/>
                <w:color w:val="auto"/>
              </w:rPr>
            </w:pPr>
            <w:r>
              <w:rPr>
                <w:rFonts w:ascii="Arial" w:cs="Arial" w:eastAsia="Arial" w:hAnsi="Arial"/>
                <w:sz w:val="13"/>
                <w:szCs w:val="13"/>
                <w:color w:val="auto"/>
              </w:rPr>
              <w:t>Quarter</w:t>
            </w:r>
          </w:p>
        </w:tc>
        <w:tc>
          <w:tcPr>
            <w:tcW w:w="1520" w:type="dxa"/>
            <w:vAlign w:val="bottom"/>
            <w:tcBorders>
              <w:bottom w:val="single" w:sz="8" w:color="auto"/>
            </w:tcBorders>
          </w:tcPr>
          <w:p>
            <w:pPr>
              <w:ind w:left="440"/>
              <w:spacing w:after="0"/>
              <w:rPr>
                <w:sz w:val="20"/>
                <w:szCs w:val="20"/>
                <w:color w:val="auto"/>
              </w:rPr>
            </w:pPr>
            <w:r>
              <w:rPr>
                <w:rFonts w:ascii="Arial" w:cs="Arial" w:eastAsia="Arial" w:hAnsi="Arial"/>
                <w:sz w:val="13"/>
                <w:szCs w:val="13"/>
                <w:color w:val="auto"/>
              </w:rPr>
              <w:t>Quarter</w:t>
            </w:r>
          </w:p>
        </w:tc>
      </w:tr>
      <w:tr>
        <w:trPr>
          <w:trHeight w:val="183"/>
        </w:trPr>
        <w:tc>
          <w:tcPr>
            <w:tcW w:w="1060" w:type="dxa"/>
            <w:vAlign w:val="bottom"/>
          </w:tcPr>
          <w:p>
            <w:pPr>
              <w:spacing w:after="0"/>
              <w:rPr>
                <w:sz w:val="20"/>
                <w:szCs w:val="20"/>
                <w:color w:val="auto"/>
              </w:rPr>
            </w:pPr>
            <w:r>
              <w:rPr>
                <w:rFonts w:ascii="Arial" w:cs="Arial" w:eastAsia="Arial" w:hAnsi="Arial"/>
                <w:sz w:val="14"/>
                <w:szCs w:val="14"/>
                <w:color w:val="auto"/>
              </w:rPr>
              <w:t>2008</w:t>
            </w:r>
          </w:p>
        </w:tc>
        <w:tc>
          <w:tcPr>
            <w:tcW w:w="11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520" w:type="dxa"/>
            <w:vAlign w:val="bottom"/>
          </w:tcPr>
          <w:p>
            <w:pPr>
              <w:spacing w:after="0"/>
              <w:rPr>
                <w:sz w:val="15"/>
                <w:szCs w:val="15"/>
                <w:color w:val="auto"/>
              </w:rPr>
            </w:pPr>
          </w:p>
        </w:tc>
      </w:tr>
      <w:tr>
        <w:trPr>
          <w:trHeight w:val="216"/>
        </w:trPr>
        <w:tc>
          <w:tcPr>
            <w:tcW w:w="1060" w:type="dxa"/>
            <w:vAlign w:val="bottom"/>
          </w:tcPr>
          <w:p>
            <w:pPr>
              <w:spacing w:after="0"/>
              <w:rPr>
                <w:sz w:val="20"/>
                <w:szCs w:val="20"/>
                <w:color w:val="auto"/>
              </w:rPr>
            </w:pPr>
            <w:r>
              <w:rPr>
                <w:rFonts w:ascii="Arial" w:cs="Arial" w:eastAsia="Arial" w:hAnsi="Arial"/>
                <w:sz w:val="14"/>
                <w:szCs w:val="14"/>
                <w:color w:val="auto"/>
              </w:rPr>
              <w:t>Market price</w:t>
            </w:r>
          </w:p>
        </w:tc>
        <w:tc>
          <w:tcPr>
            <w:tcW w:w="1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216"/>
        </w:trPr>
        <w:tc>
          <w:tcPr>
            <w:tcW w:w="1060" w:type="dxa"/>
            <w:vAlign w:val="bottom"/>
          </w:tcPr>
          <w:p>
            <w:pPr>
              <w:ind w:left="340"/>
              <w:spacing w:after="0"/>
              <w:rPr>
                <w:sz w:val="20"/>
                <w:szCs w:val="20"/>
                <w:color w:val="auto"/>
              </w:rPr>
            </w:pPr>
            <w:r>
              <w:rPr>
                <w:rFonts w:ascii="Arial" w:cs="Arial" w:eastAsia="Arial" w:hAnsi="Arial"/>
                <w:sz w:val="14"/>
                <w:szCs w:val="14"/>
                <w:color w:val="auto"/>
              </w:rPr>
              <w:t>High</w:t>
            </w:r>
          </w:p>
        </w:tc>
        <w:tc>
          <w:tcPr>
            <w:tcW w:w="1120" w:type="dxa"/>
            <w:vAlign w:val="bottom"/>
          </w:tcPr>
          <w:p>
            <w:pPr>
              <w:ind w:left="280"/>
              <w:spacing w:after="0"/>
              <w:rPr>
                <w:sz w:val="20"/>
                <w:szCs w:val="20"/>
                <w:color w:val="auto"/>
              </w:rPr>
            </w:pPr>
            <w:r>
              <w:rPr>
                <w:rFonts w:ascii="Arial" w:cs="Arial" w:eastAsia="Arial" w:hAnsi="Arial"/>
                <w:sz w:val="14"/>
                <w:szCs w:val="14"/>
                <w:color w:val="auto"/>
              </w:rPr>
              <w:t>$63.00</w:t>
            </w:r>
          </w:p>
        </w:tc>
        <w:tc>
          <w:tcPr>
            <w:tcW w:w="1320" w:type="dxa"/>
            <w:vAlign w:val="bottom"/>
          </w:tcPr>
          <w:p>
            <w:pPr>
              <w:ind w:left="420"/>
              <w:spacing w:after="0"/>
              <w:rPr>
                <w:sz w:val="20"/>
                <w:szCs w:val="20"/>
                <w:color w:val="auto"/>
              </w:rPr>
            </w:pPr>
            <w:r>
              <w:rPr>
                <w:rFonts w:ascii="Arial" w:cs="Arial" w:eastAsia="Arial" w:hAnsi="Arial"/>
                <w:sz w:val="14"/>
                <w:szCs w:val="14"/>
                <w:color w:val="auto"/>
              </w:rPr>
              <w:t>$59.96</w:t>
            </w:r>
          </w:p>
        </w:tc>
        <w:tc>
          <w:tcPr>
            <w:tcW w:w="1340" w:type="dxa"/>
            <w:vAlign w:val="bottom"/>
          </w:tcPr>
          <w:p>
            <w:pPr>
              <w:ind w:left="440"/>
              <w:spacing w:after="0"/>
              <w:rPr>
                <w:sz w:val="20"/>
                <w:szCs w:val="20"/>
                <w:color w:val="auto"/>
              </w:rPr>
            </w:pPr>
            <w:r>
              <w:rPr>
                <w:rFonts w:ascii="Arial" w:cs="Arial" w:eastAsia="Arial" w:hAnsi="Arial"/>
                <w:sz w:val="14"/>
                <w:szCs w:val="14"/>
                <w:color w:val="auto"/>
              </w:rPr>
              <w:t>$58.99</w:t>
            </w:r>
          </w:p>
        </w:tc>
        <w:tc>
          <w:tcPr>
            <w:tcW w:w="1520" w:type="dxa"/>
            <w:vAlign w:val="bottom"/>
          </w:tcPr>
          <w:p>
            <w:pPr>
              <w:ind w:left="440"/>
              <w:spacing w:after="0"/>
              <w:rPr>
                <w:sz w:val="20"/>
                <w:szCs w:val="20"/>
                <w:color w:val="auto"/>
              </w:rPr>
            </w:pPr>
            <w:r>
              <w:rPr>
                <w:rFonts w:ascii="Arial" w:cs="Arial" w:eastAsia="Arial" w:hAnsi="Arial"/>
                <w:sz w:val="14"/>
                <w:szCs w:val="14"/>
                <w:color w:val="auto"/>
              </w:rPr>
              <w:t>$51.21</w:t>
            </w:r>
          </w:p>
        </w:tc>
      </w:tr>
      <w:tr>
        <w:trPr>
          <w:trHeight w:val="216"/>
        </w:trPr>
        <w:tc>
          <w:tcPr>
            <w:tcW w:w="1060" w:type="dxa"/>
            <w:vAlign w:val="bottom"/>
          </w:tcPr>
          <w:p>
            <w:pPr>
              <w:ind w:left="340"/>
              <w:spacing w:after="0"/>
              <w:rPr>
                <w:sz w:val="20"/>
                <w:szCs w:val="20"/>
                <w:color w:val="auto"/>
              </w:rPr>
            </w:pPr>
            <w:r>
              <w:rPr>
                <w:rFonts w:ascii="Arial" w:cs="Arial" w:eastAsia="Arial" w:hAnsi="Arial"/>
                <w:sz w:val="14"/>
                <w:szCs w:val="14"/>
                <w:color w:val="auto"/>
              </w:rPr>
              <w:t>Low</w:t>
            </w:r>
          </w:p>
        </w:tc>
        <w:tc>
          <w:tcPr>
            <w:tcW w:w="1120" w:type="dxa"/>
            <w:vAlign w:val="bottom"/>
          </w:tcPr>
          <w:p>
            <w:pPr>
              <w:ind w:left="280"/>
              <w:spacing w:after="0"/>
              <w:rPr>
                <w:sz w:val="20"/>
                <w:szCs w:val="20"/>
                <w:color w:val="auto"/>
              </w:rPr>
            </w:pPr>
            <w:r>
              <w:rPr>
                <w:rFonts w:ascii="Arial" w:cs="Arial" w:eastAsia="Arial" w:hAnsi="Arial"/>
                <w:sz w:val="14"/>
                <w:szCs w:val="14"/>
                <w:color w:val="auto"/>
              </w:rPr>
              <w:t>$48.58</w:t>
            </w:r>
          </w:p>
        </w:tc>
        <w:tc>
          <w:tcPr>
            <w:tcW w:w="1320" w:type="dxa"/>
            <w:vAlign w:val="bottom"/>
          </w:tcPr>
          <w:p>
            <w:pPr>
              <w:ind w:left="420"/>
              <w:spacing w:after="0"/>
              <w:rPr>
                <w:sz w:val="20"/>
                <w:szCs w:val="20"/>
                <w:color w:val="auto"/>
              </w:rPr>
            </w:pPr>
            <w:r>
              <w:rPr>
                <w:rFonts w:ascii="Arial" w:cs="Arial" w:eastAsia="Arial" w:hAnsi="Arial"/>
                <w:sz w:val="14"/>
                <w:szCs w:val="14"/>
                <w:color w:val="auto"/>
              </w:rPr>
              <w:t>$53.02</w:t>
            </w:r>
          </w:p>
        </w:tc>
        <w:tc>
          <w:tcPr>
            <w:tcW w:w="1340" w:type="dxa"/>
            <w:vAlign w:val="bottom"/>
          </w:tcPr>
          <w:p>
            <w:pPr>
              <w:ind w:left="440"/>
              <w:spacing w:after="0"/>
              <w:rPr>
                <w:sz w:val="20"/>
                <w:szCs w:val="20"/>
                <w:color w:val="auto"/>
              </w:rPr>
            </w:pPr>
            <w:r>
              <w:rPr>
                <w:rFonts w:ascii="Arial" w:cs="Arial" w:eastAsia="Arial" w:hAnsi="Arial"/>
                <w:sz w:val="14"/>
                <w:szCs w:val="14"/>
                <w:color w:val="auto"/>
              </w:rPr>
              <w:t>$43.35</w:t>
            </w:r>
          </w:p>
        </w:tc>
        <w:tc>
          <w:tcPr>
            <w:tcW w:w="1520" w:type="dxa"/>
            <w:vAlign w:val="bottom"/>
          </w:tcPr>
          <w:p>
            <w:pPr>
              <w:ind w:left="440"/>
              <w:spacing w:after="0"/>
              <w:rPr>
                <w:sz w:val="20"/>
                <w:szCs w:val="20"/>
                <w:color w:val="auto"/>
              </w:rPr>
            </w:pPr>
            <w:r>
              <w:rPr>
                <w:rFonts w:ascii="Arial" w:cs="Arial" w:eastAsia="Arial" w:hAnsi="Arial"/>
                <w:sz w:val="14"/>
                <w:szCs w:val="14"/>
                <w:color w:val="auto"/>
              </w:rPr>
              <w:t>$34.29</w:t>
            </w:r>
          </w:p>
        </w:tc>
      </w:tr>
      <w:tr>
        <w:trPr>
          <w:trHeight w:val="432"/>
        </w:trPr>
        <w:tc>
          <w:tcPr>
            <w:tcW w:w="1060" w:type="dxa"/>
            <w:vAlign w:val="bottom"/>
          </w:tcPr>
          <w:p>
            <w:pPr>
              <w:spacing w:after="0"/>
              <w:rPr>
                <w:sz w:val="20"/>
                <w:szCs w:val="20"/>
                <w:color w:val="auto"/>
              </w:rPr>
            </w:pPr>
            <w:r>
              <w:rPr>
                <w:rFonts w:ascii="Arial" w:cs="Arial" w:eastAsia="Arial" w:hAnsi="Arial"/>
                <w:sz w:val="14"/>
                <w:szCs w:val="14"/>
                <w:color w:val="auto"/>
              </w:rPr>
              <w:t>2007</w:t>
            </w:r>
          </w:p>
        </w:tc>
        <w:tc>
          <w:tcPr>
            <w:tcW w:w="1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216"/>
        </w:trPr>
        <w:tc>
          <w:tcPr>
            <w:tcW w:w="1060" w:type="dxa"/>
            <w:vAlign w:val="bottom"/>
          </w:tcPr>
          <w:p>
            <w:pPr>
              <w:spacing w:after="0"/>
              <w:rPr>
                <w:sz w:val="20"/>
                <w:szCs w:val="20"/>
                <w:color w:val="auto"/>
              </w:rPr>
            </w:pPr>
            <w:r>
              <w:rPr>
                <w:rFonts w:ascii="Arial" w:cs="Arial" w:eastAsia="Arial" w:hAnsi="Arial"/>
                <w:sz w:val="14"/>
                <w:szCs w:val="14"/>
                <w:color w:val="auto"/>
              </w:rPr>
              <w:t>Market price</w:t>
            </w:r>
          </w:p>
        </w:tc>
        <w:tc>
          <w:tcPr>
            <w:tcW w:w="1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216"/>
        </w:trPr>
        <w:tc>
          <w:tcPr>
            <w:tcW w:w="1060" w:type="dxa"/>
            <w:vAlign w:val="bottom"/>
          </w:tcPr>
          <w:p>
            <w:pPr>
              <w:ind w:left="340"/>
              <w:spacing w:after="0"/>
              <w:rPr>
                <w:sz w:val="20"/>
                <w:szCs w:val="20"/>
                <w:color w:val="auto"/>
              </w:rPr>
            </w:pPr>
            <w:r>
              <w:rPr>
                <w:rFonts w:ascii="Arial" w:cs="Arial" w:eastAsia="Arial" w:hAnsi="Arial"/>
                <w:sz w:val="14"/>
                <w:szCs w:val="14"/>
                <w:color w:val="auto"/>
              </w:rPr>
              <w:t>High</w:t>
            </w:r>
          </w:p>
        </w:tc>
        <w:tc>
          <w:tcPr>
            <w:tcW w:w="1120" w:type="dxa"/>
            <w:vAlign w:val="bottom"/>
          </w:tcPr>
          <w:p>
            <w:pPr>
              <w:ind w:left="280"/>
              <w:spacing w:after="0"/>
              <w:rPr>
                <w:sz w:val="20"/>
                <w:szCs w:val="20"/>
                <w:color w:val="auto"/>
              </w:rPr>
            </w:pPr>
            <w:r>
              <w:rPr>
                <w:rFonts w:ascii="Arial" w:cs="Arial" w:eastAsia="Arial" w:hAnsi="Arial"/>
                <w:sz w:val="14"/>
                <w:szCs w:val="14"/>
                <w:color w:val="auto"/>
              </w:rPr>
              <w:t>$63.03</w:t>
            </w:r>
          </w:p>
        </w:tc>
        <w:tc>
          <w:tcPr>
            <w:tcW w:w="1320" w:type="dxa"/>
            <w:vAlign w:val="bottom"/>
          </w:tcPr>
          <w:p>
            <w:pPr>
              <w:ind w:left="420"/>
              <w:spacing w:after="0"/>
              <w:rPr>
                <w:sz w:val="20"/>
                <w:szCs w:val="20"/>
                <w:color w:val="auto"/>
              </w:rPr>
            </w:pPr>
            <w:r>
              <w:rPr>
                <w:rFonts w:ascii="Arial" w:cs="Arial" w:eastAsia="Arial" w:hAnsi="Arial"/>
                <w:sz w:val="14"/>
                <w:szCs w:val="14"/>
                <w:color w:val="auto"/>
              </w:rPr>
              <w:t>$66.38</w:t>
            </w:r>
          </w:p>
        </w:tc>
        <w:tc>
          <w:tcPr>
            <w:tcW w:w="1340" w:type="dxa"/>
            <w:vAlign w:val="bottom"/>
          </w:tcPr>
          <w:p>
            <w:pPr>
              <w:ind w:left="440"/>
              <w:spacing w:after="0"/>
              <w:rPr>
                <w:sz w:val="20"/>
                <w:szCs w:val="20"/>
                <w:color w:val="auto"/>
              </w:rPr>
            </w:pPr>
            <w:r>
              <w:rPr>
                <w:rFonts w:ascii="Arial" w:cs="Arial" w:eastAsia="Arial" w:hAnsi="Arial"/>
                <w:sz w:val="14"/>
                <w:szCs w:val="14"/>
                <w:color w:val="auto"/>
              </w:rPr>
              <w:t>$62.25</w:t>
            </w:r>
          </w:p>
        </w:tc>
        <w:tc>
          <w:tcPr>
            <w:tcW w:w="1520" w:type="dxa"/>
            <w:vAlign w:val="bottom"/>
          </w:tcPr>
          <w:p>
            <w:pPr>
              <w:ind w:left="440"/>
              <w:spacing w:after="0"/>
              <w:rPr>
                <w:sz w:val="20"/>
                <w:szCs w:val="20"/>
                <w:color w:val="auto"/>
              </w:rPr>
            </w:pPr>
            <w:r>
              <w:rPr>
                <w:rFonts w:ascii="Arial" w:cs="Arial" w:eastAsia="Arial" w:hAnsi="Arial"/>
                <w:sz w:val="14"/>
                <w:szCs w:val="14"/>
                <w:color w:val="auto"/>
              </w:rPr>
              <w:t>$64.21</w:t>
            </w:r>
          </w:p>
        </w:tc>
      </w:tr>
      <w:tr>
        <w:trPr>
          <w:trHeight w:val="216"/>
        </w:trPr>
        <w:tc>
          <w:tcPr>
            <w:tcW w:w="1060" w:type="dxa"/>
            <w:vAlign w:val="bottom"/>
          </w:tcPr>
          <w:p>
            <w:pPr>
              <w:ind w:left="340"/>
              <w:spacing w:after="0"/>
              <w:rPr>
                <w:sz w:val="20"/>
                <w:szCs w:val="20"/>
                <w:color w:val="auto"/>
              </w:rPr>
            </w:pPr>
            <w:r>
              <w:rPr>
                <w:rFonts w:ascii="Arial" w:cs="Arial" w:eastAsia="Arial" w:hAnsi="Arial"/>
                <w:sz w:val="14"/>
                <w:szCs w:val="14"/>
                <w:color w:val="auto"/>
              </w:rPr>
              <w:t>Low</w:t>
            </w:r>
          </w:p>
        </w:tc>
        <w:tc>
          <w:tcPr>
            <w:tcW w:w="1120" w:type="dxa"/>
            <w:vAlign w:val="bottom"/>
          </w:tcPr>
          <w:p>
            <w:pPr>
              <w:ind w:left="280"/>
              <w:spacing w:after="0"/>
              <w:rPr>
                <w:sz w:val="20"/>
                <w:szCs w:val="20"/>
                <w:color w:val="auto"/>
              </w:rPr>
            </w:pPr>
            <w:r>
              <w:rPr>
                <w:rFonts w:ascii="Arial" w:cs="Arial" w:eastAsia="Arial" w:hAnsi="Arial"/>
                <w:sz w:val="14"/>
                <w:szCs w:val="14"/>
                <w:color w:val="auto"/>
              </w:rPr>
              <w:t>$54.73</w:t>
            </w:r>
          </w:p>
        </w:tc>
        <w:tc>
          <w:tcPr>
            <w:tcW w:w="1320" w:type="dxa"/>
            <w:vAlign w:val="bottom"/>
          </w:tcPr>
          <w:p>
            <w:pPr>
              <w:ind w:left="420"/>
              <w:spacing w:after="0"/>
              <w:rPr>
                <w:sz w:val="20"/>
                <w:szCs w:val="20"/>
                <w:color w:val="auto"/>
              </w:rPr>
            </w:pPr>
            <w:r>
              <w:rPr>
                <w:rFonts w:ascii="Arial" w:cs="Arial" w:eastAsia="Arial" w:hAnsi="Arial"/>
                <w:sz w:val="14"/>
                <w:szCs w:val="14"/>
                <w:color w:val="auto"/>
              </w:rPr>
              <w:t>$57.04</w:t>
            </w:r>
          </w:p>
        </w:tc>
        <w:tc>
          <w:tcPr>
            <w:tcW w:w="1340" w:type="dxa"/>
            <w:vAlign w:val="bottom"/>
          </w:tcPr>
          <w:p>
            <w:pPr>
              <w:ind w:left="440"/>
              <w:spacing w:after="0"/>
              <w:rPr>
                <w:sz w:val="20"/>
                <w:szCs w:val="20"/>
                <w:color w:val="auto"/>
              </w:rPr>
            </w:pPr>
            <w:r>
              <w:rPr>
                <w:rFonts w:ascii="Arial" w:cs="Arial" w:eastAsia="Arial" w:hAnsi="Arial"/>
                <w:sz w:val="14"/>
                <w:szCs w:val="14"/>
                <w:color w:val="auto"/>
              </w:rPr>
              <w:t>$50.95</w:t>
            </w:r>
          </w:p>
        </w:tc>
        <w:tc>
          <w:tcPr>
            <w:tcW w:w="1520" w:type="dxa"/>
            <w:vAlign w:val="bottom"/>
          </w:tcPr>
          <w:p>
            <w:pPr>
              <w:ind w:left="440"/>
              <w:spacing w:after="0"/>
              <w:rPr>
                <w:sz w:val="20"/>
                <w:szCs w:val="20"/>
                <w:color w:val="auto"/>
              </w:rPr>
            </w:pPr>
            <w:r>
              <w:rPr>
                <w:rFonts w:ascii="Arial" w:cs="Arial" w:eastAsia="Arial" w:hAnsi="Arial"/>
                <w:sz w:val="14"/>
                <w:szCs w:val="14"/>
                <w:color w:val="auto"/>
              </w:rPr>
              <w:t>$57.62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1607185</wp:posOffset>
            </wp:positionH>
            <wp:positionV relativeFrom="paragraph">
              <wp:posOffset>19050</wp:posOffset>
            </wp:positionV>
            <wp:extent cx="4043045" cy="3048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4043045" cy="30480"/>
                    </a:xfrm>
                    <a:prstGeom prst="rect">
                      <a:avLst/>
                    </a:prstGeom>
                    <a:noFill/>
                  </pic:spPr>
                </pic:pic>
              </a:graphicData>
            </a:graphic>
          </wp:anchor>
        </w:drawing>
      </w:r>
    </w:p>
    <w:p>
      <w:pPr>
        <w:spacing w:after="0" w:line="62" w:lineRule="exact"/>
        <w:rPr>
          <w:sz w:val="20"/>
          <w:szCs w:val="20"/>
          <w:color w:val="auto"/>
        </w:rPr>
      </w:pPr>
    </w:p>
    <w:p>
      <w:pPr>
        <w:ind w:left="2540" w:right="3040"/>
        <w:spacing w:after="0" w:line="277" w:lineRule="auto"/>
        <w:rPr>
          <w:sz w:val="20"/>
          <w:szCs w:val="20"/>
          <w:color w:val="auto"/>
        </w:rPr>
      </w:pPr>
      <w:r>
        <w:rPr>
          <w:rFonts w:ascii="Arial" w:cs="Arial" w:eastAsia="Arial" w:hAnsi="Arial"/>
          <w:sz w:val="13"/>
          <w:szCs w:val="13"/>
          <w:i w:val="1"/>
          <w:iCs w:val="1"/>
          <w:color w:val="auto"/>
        </w:rPr>
        <w:t>We declared dividends of $0.32 per share in the first quarter of 2008 and $0.35 per share in each of the remaining quarters of 2008. We declared dividends of $0.31 per share in each quarter of 2007.</w:t>
      </w:r>
    </w:p>
    <w:p>
      <w:pPr>
        <w:spacing w:after="0" w:line="24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PE, SOCALGAS AND SDG&amp;E COMMON STOCK</w:t>
      </w:r>
    </w:p>
    <w:p>
      <w:pPr>
        <w:spacing w:after="0" w:line="89" w:lineRule="exact"/>
        <w:rPr>
          <w:sz w:val="20"/>
          <w:szCs w:val="20"/>
          <w:color w:val="auto"/>
        </w:rPr>
      </w:pPr>
    </w:p>
    <w:p>
      <w:pPr>
        <w:spacing w:after="0" w:line="277" w:lineRule="auto"/>
        <w:rPr>
          <w:sz w:val="20"/>
          <w:szCs w:val="20"/>
          <w:color w:val="auto"/>
        </w:rPr>
      </w:pPr>
      <w:r>
        <w:rPr>
          <w:rFonts w:ascii="Arial" w:cs="Arial" w:eastAsia="Arial" w:hAnsi="Arial"/>
          <w:sz w:val="16"/>
          <w:szCs w:val="16"/>
          <w:color w:val="auto"/>
        </w:rPr>
        <w:t>Sempra Energy owns all of PE's issued and outstanding common stock. PE owns all of the common stock of SoCalGas. Enova Corporation, a wholly owned subsidiary of Sempra Energy, owns all of SDG&amp;E’s issued and outstanding common stock.</w:t>
      </w:r>
    </w:p>
    <w:p>
      <w:pPr>
        <w:spacing w:after="0" w:line="32" w:lineRule="exact"/>
        <w:rPr>
          <w:sz w:val="20"/>
          <w:szCs w:val="20"/>
          <w:color w:val="auto"/>
        </w:rPr>
      </w:pPr>
    </w:p>
    <w:p>
      <w:pPr>
        <w:ind w:right="260"/>
        <w:spacing w:after="0" w:line="277" w:lineRule="auto"/>
        <w:rPr>
          <w:sz w:val="20"/>
          <w:szCs w:val="20"/>
          <w:color w:val="auto"/>
        </w:rPr>
      </w:pPr>
      <w:r>
        <w:rPr>
          <w:rFonts w:ascii="Arial" w:cs="Arial" w:eastAsia="Arial" w:hAnsi="Arial"/>
          <w:sz w:val="16"/>
          <w:szCs w:val="16"/>
          <w:color w:val="auto"/>
        </w:rPr>
        <w:t>Information concerning dividend declarations for PE, SoCalGas and SDG&amp;E is included in each of their "Statements of Consolidated Comprehensive Income and Changes in Shareholders' Equity" set forth in the Consolidated Financial Statements.</w:t>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DIVIDEND RESTRICTIONS</w:t>
      </w:r>
    </w:p>
    <w:p>
      <w:pPr>
        <w:spacing w:after="0" w:line="89" w:lineRule="exact"/>
        <w:rPr>
          <w:sz w:val="20"/>
          <w:szCs w:val="20"/>
          <w:color w:val="auto"/>
        </w:rPr>
      </w:pPr>
    </w:p>
    <w:p>
      <w:pPr>
        <w:ind w:right="60"/>
        <w:spacing w:after="0" w:line="282" w:lineRule="auto"/>
        <w:rPr>
          <w:sz w:val="20"/>
          <w:szCs w:val="20"/>
          <w:color w:val="auto"/>
        </w:rPr>
      </w:pPr>
      <w:r>
        <w:rPr>
          <w:rFonts w:ascii="Arial" w:cs="Arial" w:eastAsia="Arial" w:hAnsi="Arial"/>
          <w:sz w:val="15"/>
          <w:szCs w:val="15"/>
          <w:color w:val="auto"/>
        </w:rPr>
        <w:t>The payment and the amount of future dividends for Sempra Energy, SDG&amp;E, PE, and SoCalGas are within the discretion of their boards of directors. As a result of its projected capital expenditure program, SDG&amp;E has elected to suspend the payment of dividends on its common stock to Sempra Energy over the last three years, and future common dividends from SDG&amp;E, PE and SoCalGas may be limited to reduce the amount of debt financing required during periods of increased capital expenditures. The CPUC’s regulation of the Sempra Utilities’ capital structures limits the amounts that the Sempra Utilities can pay us in the form of loans and dividends.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4"/>
          <w:szCs w:val="14"/>
          <w:color w:val="auto"/>
        </w:rPr>
        <w:t>56</w:t>
      </w:r>
    </w:p>
    <w:p>
      <w:pPr>
        <w:sectPr>
          <w:pgSz w:w="11900" w:h="16838" w:orient="portrait"/>
          <w:cols w:equalWidth="0" w:num="1">
            <w:col w:w="11420"/>
          </w:cols>
          <w:pgMar w:left="240" w:top="737" w:right="239" w:bottom="1440" w:gutter="0" w:footer="0" w:header="0"/>
        </w:sectPr>
      </w:pPr>
    </w:p>
    <w:bookmarkStart w:id="196" w:name="page197"/>
    <w:bookmarkEnd w:id="19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149860</wp:posOffset>
            </wp:positionH>
            <wp:positionV relativeFrom="page">
              <wp:posOffset>432435</wp:posOffset>
            </wp:positionV>
            <wp:extent cx="7261860" cy="762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61860" cy="7620"/>
                    </a:xfrm>
                    <a:prstGeom prst="rect">
                      <a:avLst/>
                    </a:prstGeom>
                    <a:noFill/>
                  </pic:spPr>
                </pic:pic>
              </a:graphicData>
            </a:graphic>
          </wp:anchor>
        </w:drawing>
        <w:t>PERFORMANCE GRAPH -- COMPARATIVE TOTAL SHAREHOLDER RETURNS</w:t>
      </w:r>
    </w:p>
    <w:p>
      <w:pPr>
        <w:spacing w:after="0" w:line="60" w:lineRule="exact"/>
        <w:rPr>
          <w:sz w:val="20"/>
          <w:szCs w:val="20"/>
          <w:color w:val="auto"/>
        </w:rPr>
      </w:pPr>
    </w:p>
    <w:p>
      <w:pPr>
        <w:ind w:right="260"/>
        <w:spacing w:after="0" w:line="312" w:lineRule="auto"/>
        <w:rPr>
          <w:sz w:val="20"/>
          <w:szCs w:val="20"/>
          <w:color w:val="auto"/>
        </w:rPr>
      </w:pPr>
      <w:r>
        <w:rPr>
          <w:rFonts w:ascii="Arial" w:cs="Arial" w:eastAsia="Arial" w:hAnsi="Arial"/>
          <w:sz w:val="15"/>
          <w:szCs w:val="15"/>
          <w:color w:val="auto"/>
        </w:rPr>
        <w:t>The following graph (Figure 2) compares the percentage change in the cumulative total shareholder return on Sempra Energy common stock for the five-year period ending December 31, 2008, with the performance over the same period of the Standard &amp; Poor's 500 Index and the Standard &amp; Poor's 500 Utilities Index.</w:t>
      </w:r>
    </w:p>
    <w:p>
      <w:pPr>
        <w:spacing w:after="0" w:line="8" w:lineRule="exact"/>
        <w:rPr>
          <w:sz w:val="20"/>
          <w:szCs w:val="20"/>
          <w:color w:val="auto"/>
        </w:rPr>
      </w:pPr>
    </w:p>
    <w:p>
      <w:pPr>
        <w:spacing w:after="0" w:line="277" w:lineRule="auto"/>
        <w:rPr>
          <w:sz w:val="20"/>
          <w:szCs w:val="20"/>
          <w:color w:val="auto"/>
        </w:rPr>
      </w:pPr>
      <w:r>
        <w:rPr>
          <w:rFonts w:ascii="Arial" w:cs="Arial" w:eastAsia="Arial" w:hAnsi="Arial"/>
          <w:sz w:val="16"/>
          <w:szCs w:val="16"/>
          <w:color w:val="auto"/>
        </w:rPr>
        <w:t>These returns were calculated assuming an initial investment of $100 in our common stock, the S&amp;P 500 Index and the S&amp;P 500 Utilities Index on December 31, 2003, and the reinvestment of all dividends.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691515</wp:posOffset>
            </wp:positionH>
            <wp:positionV relativeFrom="paragraph">
              <wp:posOffset>119380</wp:posOffset>
            </wp:positionV>
            <wp:extent cx="5873750" cy="350901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5873750" cy="35090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Figure 2: Comparison of Cumulative Five-Year Total Return</w:t>
      </w:r>
    </w:p>
    <w:p>
      <w:pPr>
        <w:spacing w:after="0" w:line="385" w:lineRule="exact"/>
        <w:rPr>
          <w:sz w:val="20"/>
          <w:szCs w:val="20"/>
          <w:color w:val="auto"/>
        </w:rPr>
      </w:pPr>
    </w:p>
    <w:p>
      <w:pPr>
        <w:spacing w:after="0"/>
        <w:rPr>
          <w:sz w:val="20"/>
          <w:szCs w:val="20"/>
          <w:color w:val="auto"/>
        </w:rPr>
      </w:pPr>
      <w:r>
        <w:rPr>
          <w:rFonts w:ascii="Arial" w:cs="Arial" w:eastAsia="Arial" w:hAnsi="Arial"/>
          <w:sz w:val="14"/>
          <w:szCs w:val="14"/>
          <w:color w:val="auto"/>
        </w:rPr>
        <w:t>57</w:t>
      </w:r>
    </w:p>
    <w:p>
      <w:pPr>
        <w:sectPr>
          <w:pgSz w:w="11900" w:h="16838" w:orient="portrait"/>
          <w:cols w:equalWidth="0" w:num="1">
            <w:col w:w="11260"/>
          </w:cols>
          <w:pgMar w:left="240" w:top="737" w:right="399" w:bottom="1440" w:gutter="0" w:footer="0" w:header="0"/>
        </w:sectPr>
      </w:pPr>
    </w:p>
    <w:bookmarkStart w:id="197" w:name="page198"/>
    <w:bookmarkEnd w:id="197"/>
    <w:p>
      <w:pPr>
        <w:ind w:left="1160"/>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889635</wp:posOffset>
            </wp:positionH>
            <wp:positionV relativeFrom="page">
              <wp:posOffset>226695</wp:posOffset>
            </wp:positionV>
            <wp:extent cx="5789295" cy="762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5789295" cy="7620"/>
                    </a:xfrm>
                    <a:prstGeom prst="rect">
                      <a:avLst/>
                    </a:prstGeom>
                    <a:noFill/>
                  </pic:spPr>
                </pic:pic>
              </a:graphicData>
            </a:graphic>
          </wp:anchor>
        </w:drawing>
        <w:t>FIVE-YEAR SUMMARIES</w:t>
      </w:r>
    </w:p>
    <w:p>
      <w:pPr>
        <w:spacing w:after="0" w:line="16" w:lineRule="exact"/>
        <w:rPr>
          <w:sz w:val="20"/>
          <w:szCs w:val="20"/>
          <w:color w:val="auto"/>
        </w:rPr>
      </w:pPr>
    </w:p>
    <w:p>
      <w:pPr>
        <w:ind w:left="1160" w:right="1140"/>
        <w:spacing w:after="0" w:line="256" w:lineRule="auto"/>
        <w:rPr>
          <w:sz w:val="20"/>
          <w:szCs w:val="20"/>
          <w:color w:val="auto"/>
        </w:rPr>
      </w:pPr>
      <w:r>
        <w:rPr>
          <w:rFonts w:ascii="Arial" w:cs="Arial" w:eastAsia="Arial" w:hAnsi="Arial"/>
          <w:sz w:val="16"/>
          <w:szCs w:val="16"/>
          <w:color w:val="auto"/>
        </w:rPr>
        <w:t>The following tables present selected financial data of Sempra Energy, SDG&amp;E, PE and SoCalGas for the five years ended December 31, 2008. The data is derived from the audited consolidated financial statements of each company. You should read this information in conjunction with "Management's Discussion and Analysis of Financial Condition and Results of Operations" and the consolidated financial statements and notes contained in this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737235</wp:posOffset>
            </wp:positionH>
            <wp:positionV relativeFrom="paragraph">
              <wp:posOffset>1270</wp:posOffset>
            </wp:positionV>
            <wp:extent cx="5789295" cy="762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5789295" cy="7620"/>
                    </a:xfrm>
                    <a:prstGeom prst="rect">
                      <a:avLst/>
                    </a:prstGeom>
                    <a:noFill/>
                  </pic:spPr>
                </pic:pic>
              </a:graphicData>
            </a:graphic>
          </wp:anchor>
        </w:drawing>
      </w:r>
    </w:p>
    <w:p>
      <w:pPr>
        <w:ind w:left="1160"/>
        <w:spacing w:after="0"/>
        <w:rPr>
          <w:sz w:val="20"/>
          <w:szCs w:val="20"/>
          <w:color w:val="auto"/>
        </w:rPr>
      </w:pPr>
      <w:r>
        <w:rPr>
          <w:rFonts w:ascii="Arial" w:cs="Arial" w:eastAsia="Arial" w:hAnsi="Arial"/>
          <w:sz w:val="14"/>
          <w:szCs w:val="14"/>
          <w:b w:val="1"/>
          <w:bCs w:val="1"/>
          <w:color w:val="auto"/>
        </w:rPr>
        <w:t>FIVE-YEAR SUMMARY OF SELECTED FINANCIAL DATA FOR SEMPRA ENERGY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737235</wp:posOffset>
            </wp:positionH>
            <wp:positionV relativeFrom="paragraph">
              <wp:posOffset>-99060</wp:posOffset>
            </wp:positionV>
            <wp:extent cx="5789295" cy="23622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5789295" cy="236220"/>
                    </a:xfrm>
                    <a:prstGeom prst="rect">
                      <a:avLst/>
                    </a:prstGeom>
                    <a:noFill/>
                  </pic:spPr>
                </pic:pic>
              </a:graphicData>
            </a:graphic>
          </wp:anchor>
        </w:drawing>
      </w:r>
    </w:p>
    <w:p>
      <w:pPr>
        <w:spacing w:after="0" w:line="20" w:lineRule="exact"/>
        <w:rPr>
          <w:sz w:val="20"/>
          <w:szCs w:val="20"/>
          <w:color w:val="auto"/>
        </w:rPr>
      </w:pPr>
    </w:p>
    <w:p>
      <w:pPr>
        <w:ind w:left="1160"/>
        <w:spacing w:after="0"/>
        <w:rPr>
          <w:sz w:val="20"/>
          <w:szCs w:val="20"/>
          <w:color w:val="auto"/>
        </w:rPr>
      </w:pPr>
      <w:r>
        <w:rPr>
          <w:rFonts w:ascii="Arial" w:cs="Arial" w:eastAsia="Arial" w:hAnsi="Arial"/>
          <w:sz w:val="13"/>
          <w:szCs w:val="13"/>
          <w:i w:val="1"/>
          <w:iCs w:val="1"/>
          <w:color w:val="auto"/>
        </w:rPr>
        <w:t>(In millions, except for per share amounts)</w:t>
      </w:r>
    </w:p>
    <w:p>
      <w:pPr>
        <w:spacing w:after="0" w:line="67" w:lineRule="exact"/>
        <w:rPr>
          <w:sz w:val="20"/>
          <w:szCs w:val="20"/>
          <w:color w:val="auto"/>
        </w:rPr>
      </w:pPr>
    </w:p>
    <w:tbl>
      <w:tblPr>
        <w:tblLayout w:type="fixed"/>
        <w:tblInd w:w="1160" w:type="dxa"/>
        <w:tblCellMar>
          <w:top w:w="0" w:type="dxa"/>
          <w:left w:w="0" w:type="dxa"/>
          <w:bottom w:w="0" w:type="dxa"/>
          <w:right w:w="0" w:type="dxa"/>
        </w:tblCellMar>
      </w:tblPr>
      <w:tr>
        <w:trPr>
          <w:trHeight w:val="159"/>
        </w:trPr>
        <w:tc>
          <w:tcPr>
            <w:tcW w:w="356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2940" w:type="dxa"/>
            <w:vAlign w:val="bottom"/>
            <w:tcBorders>
              <w:bottom w:val="single" w:sz="8" w:color="auto"/>
            </w:tcBorders>
            <w:gridSpan w:val="5"/>
          </w:tcPr>
          <w:p>
            <w:pPr>
              <w:jc w:val="right"/>
              <w:ind w:right="268"/>
              <w:spacing w:after="0"/>
              <w:rPr>
                <w:sz w:val="20"/>
                <w:szCs w:val="20"/>
                <w:color w:val="auto"/>
              </w:rPr>
            </w:pPr>
            <w:r>
              <w:rPr>
                <w:rFonts w:ascii="Arial" w:cs="Arial" w:eastAsia="Arial" w:hAnsi="Arial"/>
                <w:sz w:val="13"/>
                <w:szCs w:val="13"/>
                <w:color w:val="auto"/>
              </w:rPr>
              <w:t>At December 31 or for the years then ended</w:t>
            </w:r>
          </w:p>
        </w:tc>
        <w:tc>
          <w:tcPr>
            <w:tcW w:w="38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r>
      <w:tr>
        <w:trPr>
          <w:trHeight w:val="208"/>
        </w:trPr>
        <w:tc>
          <w:tcPr>
            <w:tcW w:w="356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288"/>
              <w:spacing w:after="0"/>
              <w:rPr>
                <w:sz w:val="20"/>
                <w:szCs w:val="20"/>
                <w:color w:val="auto"/>
              </w:rPr>
            </w:pPr>
            <w:r>
              <w:rPr>
                <w:rFonts w:ascii="Arial" w:cs="Arial" w:eastAsia="Arial" w:hAnsi="Arial"/>
                <w:sz w:val="13"/>
                <w:szCs w:val="13"/>
                <w:color w:val="auto"/>
              </w:rPr>
              <w:t>2008</w:t>
            </w:r>
          </w:p>
        </w:tc>
        <w:tc>
          <w:tcPr>
            <w:tcW w:w="3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269"/>
              <w:spacing w:after="0"/>
              <w:rPr>
                <w:sz w:val="20"/>
                <w:szCs w:val="20"/>
                <w:color w:val="auto"/>
              </w:rPr>
            </w:pPr>
            <w:r>
              <w:rPr>
                <w:rFonts w:ascii="Arial" w:cs="Arial" w:eastAsia="Arial" w:hAnsi="Arial"/>
                <w:sz w:val="13"/>
                <w:szCs w:val="13"/>
                <w:color w:val="auto"/>
              </w:rPr>
              <w:t>2007</w:t>
            </w:r>
          </w:p>
        </w:tc>
        <w:tc>
          <w:tcPr>
            <w:tcW w:w="3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288"/>
              <w:spacing w:after="0"/>
              <w:rPr>
                <w:sz w:val="20"/>
                <w:szCs w:val="20"/>
                <w:color w:val="auto"/>
              </w:rPr>
            </w:pPr>
            <w:r>
              <w:rPr>
                <w:rFonts w:ascii="Arial" w:cs="Arial" w:eastAsia="Arial" w:hAnsi="Arial"/>
                <w:sz w:val="13"/>
                <w:szCs w:val="13"/>
                <w:color w:val="auto"/>
              </w:rPr>
              <w:t>2006</w:t>
            </w:r>
          </w:p>
        </w:tc>
        <w:tc>
          <w:tcPr>
            <w:tcW w:w="3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288"/>
              <w:spacing w:after="0"/>
              <w:rPr>
                <w:sz w:val="20"/>
                <w:szCs w:val="20"/>
                <w:color w:val="auto"/>
              </w:rPr>
            </w:pPr>
            <w:r>
              <w:rPr>
                <w:rFonts w:ascii="Arial" w:cs="Arial" w:eastAsia="Arial" w:hAnsi="Arial"/>
                <w:sz w:val="13"/>
                <w:szCs w:val="13"/>
                <w:color w:val="auto"/>
              </w:rPr>
              <w:t>2005</w:t>
            </w:r>
          </w:p>
        </w:tc>
        <w:tc>
          <w:tcPr>
            <w:tcW w:w="38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ind w:right="68"/>
              <w:spacing w:after="0"/>
              <w:rPr>
                <w:sz w:val="20"/>
                <w:szCs w:val="20"/>
                <w:color w:val="auto"/>
              </w:rPr>
            </w:pPr>
            <w:r>
              <w:rPr>
                <w:rFonts w:ascii="Arial" w:cs="Arial" w:eastAsia="Arial" w:hAnsi="Arial"/>
                <w:sz w:val="13"/>
                <w:szCs w:val="13"/>
                <w:color w:val="auto"/>
              </w:rPr>
              <w:t>2004</w:t>
            </w:r>
          </w:p>
        </w:tc>
        <w:tc>
          <w:tcPr>
            <w:tcW w:w="300" w:type="dxa"/>
            <w:vAlign w:val="bottom"/>
            <w:tcBorders>
              <w:bottom w:val="single" w:sz="8" w:color="auto"/>
            </w:tcBorders>
          </w:tcPr>
          <w:p>
            <w:pPr>
              <w:spacing w:after="0"/>
              <w:rPr>
                <w:sz w:val="18"/>
                <w:szCs w:val="18"/>
                <w:color w:val="auto"/>
              </w:rPr>
            </w:pPr>
          </w:p>
        </w:tc>
      </w:tr>
      <w:tr>
        <w:trPr>
          <w:trHeight w:val="207"/>
        </w:trPr>
        <w:tc>
          <w:tcPr>
            <w:tcW w:w="3560" w:type="dxa"/>
            <w:vAlign w:val="bottom"/>
          </w:tcPr>
          <w:p>
            <w:pPr>
              <w:spacing w:after="0"/>
              <w:rPr>
                <w:sz w:val="20"/>
                <w:szCs w:val="20"/>
                <w:color w:val="auto"/>
              </w:rPr>
            </w:pPr>
            <w:r>
              <w:rPr>
                <w:rFonts w:ascii="Arial" w:cs="Arial" w:eastAsia="Arial" w:hAnsi="Arial"/>
                <w:sz w:val="14"/>
                <w:szCs w:val="14"/>
                <w:b w:val="1"/>
                <w:bCs w:val="1"/>
                <w:color w:val="auto"/>
              </w:rPr>
              <w:t>Sempra Energy Consolidated</w:t>
            </w: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r>
      <w:tr>
        <w:trPr>
          <w:trHeight w:val="216"/>
        </w:trPr>
        <w:tc>
          <w:tcPr>
            <w:tcW w:w="3560" w:type="dxa"/>
            <w:vAlign w:val="bottom"/>
          </w:tcPr>
          <w:p>
            <w:pPr>
              <w:spacing w:after="0"/>
              <w:rPr>
                <w:sz w:val="20"/>
                <w:szCs w:val="20"/>
                <w:color w:val="auto"/>
              </w:rPr>
            </w:pPr>
            <w:r>
              <w:rPr>
                <w:rFonts w:ascii="Arial" w:cs="Arial" w:eastAsia="Arial" w:hAnsi="Arial"/>
                <w:sz w:val="14"/>
                <w:szCs w:val="14"/>
                <w:color w:val="auto"/>
              </w:rPr>
              <w:t>Revenues</w:t>
            </w: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r>
      <w:tr>
        <w:trPr>
          <w:trHeight w:val="216"/>
        </w:trPr>
        <w:tc>
          <w:tcPr>
            <w:tcW w:w="3560" w:type="dxa"/>
            <w:vAlign w:val="bottom"/>
          </w:tcPr>
          <w:p>
            <w:pPr>
              <w:spacing w:after="0"/>
              <w:rPr>
                <w:sz w:val="20"/>
                <w:szCs w:val="20"/>
                <w:color w:val="auto"/>
              </w:rPr>
            </w:pPr>
            <w:r>
              <w:rPr>
                <w:rFonts w:ascii="Arial" w:cs="Arial" w:eastAsia="Arial" w:hAnsi="Arial"/>
                <w:sz w:val="14"/>
                <w:szCs w:val="14"/>
                <w:color w:val="auto"/>
              </w:rPr>
              <w:t>Sempra Utilities:</w:t>
            </w: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r>
      <w:tr>
        <w:trPr>
          <w:trHeight w:val="216"/>
        </w:trPr>
        <w:tc>
          <w:tcPr>
            <w:tcW w:w="3560" w:type="dxa"/>
            <w:vAlign w:val="bottom"/>
          </w:tcPr>
          <w:p>
            <w:pPr>
              <w:ind w:left="180"/>
              <w:spacing w:after="0"/>
              <w:rPr>
                <w:sz w:val="20"/>
                <w:szCs w:val="20"/>
                <w:color w:val="auto"/>
              </w:rPr>
            </w:pPr>
            <w:r>
              <w:rPr>
                <w:rFonts w:ascii="Arial" w:cs="Arial" w:eastAsia="Arial" w:hAnsi="Arial"/>
                <w:sz w:val="14"/>
                <w:szCs w:val="14"/>
                <w:color w:val="auto"/>
              </w:rPr>
              <w:t>Natural gas</w:t>
            </w:r>
          </w:p>
        </w:tc>
        <w:tc>
          <w:tcPr>
            <w:tcW w:w="3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148"/>
              <w:spacing w:after="0"/>
              <w:rPr>
                <w:sz w:val="20"/>
                <w:szCs w:val="20"/>
                <w:color w:val="auto"/>
              </w:rPr>
            </w:pPr>
            <w:r>
              <w:rPr>
                <w:rFonts w:ascii="Arial" w:cs="Arial" w:eastAsia="Arial" w:hAnsi="Arial"/>
                <w:sz w:val="14"/>
                <w:szCs w:val="14"/>
                <w:color w:val="auto"/>
              </w:rPr>
              <w:t>5,419</w:t>
            </w:r>
          </w:p>
        </w:tc>
        <w:tc>
          <w:tcPr>
            <w:tcW w:w="3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149"/>
              <w:spacing w:after="0"/>
              <w:rPr>
                <w:sz w:val="20"/>
                <w:szCs w:val="20"/>
                <w:color w:val="auto"/>
              </w:rPr>
            </w:pPr>
            <w:r>
              <w:rPr>
                <w:rFonts w:ascii="Arial" w:cs="Arial" w:eastAsia="Arial" w:hAnsi="Arial"/>
                <w:sz w:val="14"/>
                <w:szCs w:val="14"/>
                <w:color w:val="auto"/>
              </w:rPr>
              <w:t>4,869</w:t>
            </w:r>
          </w:p>
        </w:tc>
        <w:tc>
          <w:tcPr>
            <w:tcW w:w="38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148"/>
              <w:spacing w:after="0"/>
              <w:rPr>
                <w:sz w:val="20"/>
                <w:szCs w:val="20"/>
                <w:color w:val="auto"/>
              </w:rPr>
            </w:pPr>
            <w:r>
              <w:rPr>
                <w:rFonts w:ascii="Arial" w:cs="Arial" w:eastAsia="Arial" w:hAnsi="Arial"/>
                <w:sz w:val="14"/>
                <w:szCs w:val="14"/>
                <w:color w:val="auto"/>
              </w:rPr>
              <w:t>4,763</w:t>
            </w:r>
          </w:p>
        </w:tc>
        <w:tc>
          <w:tcPr>
            <w:tcW w:w="36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148"/>
              <w:spacing w:after="0"/>
              <w:rPr>
                <w:sz w:val="20"/>
                <w:szCs w:val="20"/>
                <w:color w:val="auto"/>
              </w:rPr>
            </w:pPr>
            <w:r>
              <w:rPr>
                <w:rFonts w:ascii="Arial" w:cs="Arial" w:eastAsia="Arial" w:hAnsi="Arial"/>
                <w:sz w:val="14"/>
                <w:szCs w:val="14"/>
                <w:color w:val="auto"/>
              </w:rPr>
              <w:t>5,253</w:t>
            </w:r>
          </w:p>
        </w:tc>
        <w:tc>
          <w:tcPr>
            <w:tcW w:w="3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520" w:type="dxa"/>
            <w:vAlign w:val="bottom"/>
          </w:tcPr>
          <w:p>
            <w:pPr>
              <w:jc w:val="right"/>
              <w:spacing w:after="0"/>
              <w:rPr>
                <w:sz w:val="20"/>
                <w:szCs w:val="20"/>
                <w:color w:val="auto"/>
              </w:rPr>
            </w:pPr>
            <w:r>
              <w:rPr>
                <w:rFonts w:ascii="Arial" w:cs="Arial" w:eastAsia="Arial" w:hAnsi="Arial"/>
                <w:sz w:val="14"/>
                <w:szCs w:val="14"/>
                <w:color w:val="auto"/>
              </w:rPr>
              <w:t>4,537</w:t>
            </w:r>
          </w:p>
        </w:tc>
        <w:tc>
          <w:tcPr>
            <w:tcW w:w="300" w:type="dxa"/>
            <w:vAlign w:val="bottom"/>
          </w:tcPr>
          <w:p>
            <w:pPr>
              <w:spacing w:after="0"/>
              <w:rPr>
                <w:sz w:val="18"/>
                <w:szCs w:val="18"/>
                <w:color w:val="auto"/>
              </w:rPr>
            </w:pPr>
          </w:p>
        </w:tc>
      </w:tr>
      <w:tr>
        <w:trPr>
          <w:trHeight w:val="216"/>
        </w:trPr>
        <w:tc>
          <w:tcPr>
            <w:tcW w:w="3560" w:type="dxa"/>
            <w:vAlign w:val="bottom"/>
          </w:tcPr>
          <w:p>
            <w:pPr>
              <w:ind w:left="180"/>
              <w:spacing w:after="0"/>
              <w:rPr>
                <w:sz w:val="20"/>
                <w:szCs w:val="20"/>
                <w:color w:val="auto"/>
              </w:rPr>
            </w:pPr>
            <w:r>
              <w:rPr>
                <w:rFonts w:ascii="Arial" w:cs="Arial" w:eastAsia="Arial" w:hAnsi="Arial"/>
                <w:sz w:val="14"/>
                <w:szCs w:val="14"/>
                <w:color w:val="auto"/>
              </w:rPr>
              <w:t>Electric</w:t>
            </w:r>
          </w:p>
        </w:tc>
        <w:tc>
          <w:tcPr>
            <w:tcW w:w="320" w:type="dxa"/>
            <w:vAlign w:val="bottom"/>
          </w:tcPr>
          <w:p>
            <w:pPr>
              <w:spacing w:after="0"/>
              <w:rPr>
                <w:sz w:val="18"/>
                <w:szCs w:val="18"/>
                <w:color w:val="auto"/>
              </w:rPr>
            </w:pPr>
          </w:p>
        </w:tc>
        <w:tc>
          <w:tcPr>
            <w:tcW w:w="720" w:type="dxa"/>
            <w:vAlign w:val="bottom"/>
          </w:tcPr>
          <w:p>
            <w:pPr>
              <w:jc w:val="right"/>
              <w:ind w:right="148"/>
              <w:spacing w:after="0"/>
              <w:rPr>
                <w:sz w:val="20"/>
                <w:szCs w:val="20"/>
                <w:color w:val="auto"/>
              </w:rPr>
            </w:pPr>
            <w:r>
              <w:rPr>
                <w:rFonts w:ascii="Arial" w:cs="Arial" w:eastAsia="Arial" w:hAnsi="Arial"/>
                <w:sz w:val="14"/>
                <w:szCs w:val="14"/>
                <w:color w:val="auto"/>
              </w:rPr>
              <w:t>2,553</w:t>
            </w:r>
          </w:p>
        </w:tc>
        <w:tc>
          <w:tcPr>
            <w:tcW w:w="380" w:type="dxa"/>
            <w:vAlign w:val="bottom"/>
          </w:tcPr>
          <w:p>
            <w:pPr>
              <w:spacing w:after="0"/>
              <w:rPr>
                <w:sz w:val="18"/>
                <w:szCs w:val="18"/>
                <w:color w:val="auto"/>
              </w:rPr>
            </w:pPr>
          </w:p>
        </w:tc>
        <w:tc>
          <w:tcPr>
            <w:tcW w:w="720" w:type="dxa"/>
            <w:vAlign w:val="bottom"/>
          </w:tcPr>
          <w:p>
            <w:pPr>
              <w:jc w:val="right"/>
              <w:ind w:right="149"/>
              <w:spacing w:after="0"/>
              <w:rPr>
                <w:sz w:val="20"/>
                <w:szCs w:val="20"/>
                <w:color w:val="auto"/>
              </w:rPr>
            </w:pPr>
            <w:r>
              <w:rPr>
                <w:rFonts w:ascii="Arial" w:cs="Arial" w:eastAsia="Arial" w:hAnsi="Arial"/>
                <w:sz w:val="14"/>
                <w:szCs w:val="14"/>
                <w:color w:val="auto"/>
              </w:rPr>
              <w:t>2,184</w:t>
            </w:r>
          </w:p>
        </w:tc>
        <w:tc>
          <w:tcPr>
            <w:tcW w:w="380" w:type="dxa"/>
            <w:vAlign w:val="bottom"/>
          </w:tcPr>
          <w:p>
            <w:pPr>
              <w:spacing w:after="0"/>
              <w:rPr>
                <w:sz w:val="18"/>
                <w:szCs w:val="18"/>
                <w:color w:val="auto"/>
              </w:rPr>
            </w:pPr>
          </w:p>
        </w:tc>
        <w:tc>
          <w:tcPr>
            <w:tcW w:w="740" w:type="dxa"/>
            <w:vAlign w:val="bottom"/>
          </w:tcPr>
          <w:p>
            <w:pPr>
              <w:jc w:val="right"/>
              <w:ind w:right="148"/>
              <w:spacing w:after="0"/>
              <w:rPr>
                <w:sz w:val="20"/>
                <w:szCs w:val="20"/>
                <w:color w:val="auto"/>
              </w:rPr>
            </w:pPr>
            <w:r>
              <w:rPr>
                <w:rFonts w:ascii="Arial" w:cs="Arial" w:eastAsia="Arial" w:hAnsi="Arial"/>
                <w:sz w:val="14"/>
                <w:szCs w:val="14"/>
                <w:color w:val="auto"/>
              </w:rPr>
              <w:t>2,136</w:t>
            </w:r>
          </w:p>
        </w:tc>
        <w:tc>
          <w:tcPr>
            <w:tcW w:w="360" w:type="dxa"/>
            <w:vAlign w:val="bottom"/>
          </w:tcPr>
          <w:p>
            <w:pPr>
              <w:spacing w:after="0"/>
              <w:rPr>
                <w:sz w:val="18"/>
                <w:szCs w:val="18"/>
                <w:color w:val="auto"/>
              </w:rPr>
            </w:pPr>
          </w:p>
        </w:tc>
        <w:tc>
          <w:tcPr>
            <w:tcW w:w="740" w:type="dxa"/>
            <w:vAlign w:val="bottom"/>
          </w:tcPr>
          <w:p>
            <w:pPr>
              <w:jc w:val="right"/>
              <w:ind w:right="148"/>
              <w:spacing w:after="0"/>
              <w:rPr>
                <w:sz w:val="20"/>
                <w:szCs w:val="20"/>
                <w:color w:val="auto"/>
              </w:rPr>
            </w:pPr>
            <w:r>
              <w:rPr>
                <w:rFonts w:ascii="Arial" w:cs="Arial" w:eastAsia="Arial" w:hAnsi="Arial"/>
                <w:sz w:val="14"/>
                <w:szCs w:val="14"/>
                <w:color w:val="auto"/>
              </w:rPr>
              <w:t>1,789</w:t>
            </w:r>
          </w:p>
        </w:tc>
        <w:tc>
          <w:tcPr>
            <w:tcW w:w="3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1,658</w:t>
            </w:r>
          </w:p>
        </w:tc>
        <w:tc>
          <w:tcPr>
            <w:tcW w:w="300" w:type="dxa"/>
            <w:vAlign w:val="bottom"/>
          </w:tcPr>
          <w:p>
            <w:pPr>
              <w:spacing w:after="0"/>
              <w:rPr>
                <w:sz w:val="18"/>
                <w:szCs w:val="18"/>
                <w:color w:val="auto"/>
              </w:rPr>
            </w:pPr>
          </w:p>
        </w:tc>
      </w:tr>
      <w:tr>
        <w:trPr>
          <w:trHeight w:val="222"/>
        </w:trPr>
        <w:tc>
          <w:tcPr>
            <w:tcW w:w="3560" w:type="dxa"/>
            <w:vAlign w:val="bottom"/>
          </w:tcPr>
          <w:p>
            <w:pPr>
              <w:spacing w:after="0"/>
              <w:rPr>
                <w:sz w:val="20"/>
                <w:szCs w:val="20"/>
                <w:color w:val="auto"/>
              </w:rPr>
            </w:pPr>
            <w:r>
              <w:rPr>
                <w:rFonts w:ascii="Arial" w:cs="Arial" w:eastAsia="Arial" w:hAnsi="Arial"/>
                <w:sz w:val="14"/>
                <w:szCs w:val="14"/>
                <w:color w:val="auto"/>
              </w:rPr>
              <w:t>Sempra Global and parent</w:t>
            </w:r>
          </w:p>
        </w:tc>
        <w:tc>
          <w:tcPr>
            <w:tcW w:w="3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2,786</w:t>
            </w:r>
          </w:p>
        </w:tc>
        <w:tc>
          <w:tcPr>
            <w:tcW w:w="3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49"/>
              <w:spacing w:after="0"/>
              <w:rPr>
                <w:sz w:val="20"/>
                <w:szCs w:val="20"/>
                <w:color w:val="auto"/>
              </w:rPr>
            </w:pPr>
            <w:r>
              <w:rPr>
                <w:rFonts w:ascii="Arial" w:cs="Arial" w:eastAsia="Arial" w:hAnsi="Arial"/>
                <w:sz w:val="14"/>
                <w:szCs w:val="14"/>
                <w:color w:val="auto"/>
              </w:rPr>
              <w:t>4,385</w:t>
            </w:r>
          </w:p>
        </w:tc>
        <w:tc>
          <w:tcPr>
            <w:tcW w:w="3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4,862</w:t>
            </w:r>
          </w:p>
        </w:tc>
        <w:tc>
          <w:tcPr>
            <w:tcW w:w="3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4,470</w:t>
            </w:r>
          </w:p>
        </w:tc>
        <w:tc>
          <w:tcPr>
            <w:tcW w:w="3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3,039</w:t>
            </w:r>
          </w:p>
        </w:tc>
        <w:tc>
          <w:tcPr>
            <w:tcW w:w="300" w:type="dxa"/>
            <w:vAlign w:val="bottom"/>
            <w:tcBorders>
              <w:bottom w:val="single" w:sz="8" w:color="auto"/>
            </w:tcBorders>
          </w:tcPr>
          <w:p>
            <w:pPr>
              <w:spacing w:after="0"/>
              <w:rPr>
                <w:sz w:val="19"/>
                <w:szCs w:val="19"/>
                <w:color w:val="auto"/>
              </w:rPr>
            </w:pPr>
          </w:p>
        </w:tc>
      </w:tr>
      <w:tr>
        <w:trPr>
          <w:trHeight w:val="224"/>
        </w:trPr>
        <w:tc>
          <w:tcPr>
            <w:tcW w:w="3560" w:type="dxa"/>
            <w:vAlign w:val="bottom"/>
          </w:tcPr>
          <w:p>
            <w:pPr>
              <w:ind w:left="180"/>
              <w:spacing w:after="0"/>
              <w:rPr>
                <w:sz w:val="20"/>
                <w:szCs w:val="20"/>
                <w:color w:val="auto"/>
              </w:rPr>
            </w:pPr>
            <w:r>
              <w:rPr>
                <w:rFonts w:ascii="Arial" w:cs="Arial" w:eastAsia="Arial" w:hAnsi="Arial"/>
                <w:sz w:val="14"/>
                <w:szCs w:val="14"/>
                <w:color w:val="auto"/>
              </w:rPr>
              <w:t>Total revenues</w:t>
            </w:r>
          </w:p>
        </w:tc>
        <w:tc>
          <w:tcPr>
            <w:tcW w:w="3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10,758</w:t>
            </w:r>
          </w:p>
        </w:tc>
        <w:tc>
          <w:tcPr>
            <w:tcW w:w="3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ind w:right="149"/>
              <w:spacing w:after="0"/>
              <w:rPr>
                <w:sz w:val="20"/>
                <w:szCs w:val="20"/>
                <w:color w:val="auto"/>
              </w:rPr>
            </w:pPr>
            <w:r>
              <w:rPr>
                <w:rFonts w:ascii="Arial" w:cs="Arial" w:eastAsia="Arial" w:hAnsi="Arial"/>
                <w:sz w:val="14"/>
                <w:szCs w:val="14"/>
                <w:color w:val="auto"/>
              </w:rPr>
              <w:t>11,438</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11,761</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11,512</w:t>
            </w:r>
          </w:p>
        </w:tc>
        <w:tc>
          <w:tcPr>
            <w:tcW w:w="3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9,234</w:t>
            </w:r>
          </w:p>
        </w:tc>
        <w:tc>
          <w:tcPr>
            <w:tcW w:w="300" w:type="dxa"/>
            <w:vAlign w:val="bottom"/>
            <w:tcBorders>
              <w:bottom w:val="single" w:sz="8" w:color="auto"/>
            </w:tcBorders>
          </w:tcPr>
          <w:p>
            <w:pPr>
              <w:spacing w:after="0"/>
              <w:rPr>
                <w:sz w:val="19"/>
                <w:szCs w:val="19"/>
                <w:color w:val="auto"/>
              </w:rPr>
            </w:pPr>
          </w:p>
        </w:tc>
      </w:tr>
      <w:tr>
        <w:trPr>
          <w:trHeight w:val="426"/>
        </w:trPr>
        <w:tc>
          <w:tcPr>
            <w:tcW w:w="3560" w:type="dxa"/>
            <w:vAlign w:val="bottom"/>
          </w:tcPr>
          <w:p>
            <w:pPr>
              <w:spacing w:after="0"/>
              <w:rPr>
                <w:sz w:val="20"/>
                <w:szCs w:val="20"/>
                <w:color w:val="auto"/>
              </w:rPr>
            </w:pPr>
            <w:r>
              <w:rPr>
                <w:rFonts w:ascii="Arial" w:cs="Arial" w:eastAsia="Arial" w:hAnsi="Arial"/>
                <w:sz w:val="14"/>
                <w:szCs w:val="14"/>
                <w:color w:val="auto"/>
              </w:rPr>
              <w:t>Income from continuing operations</w:t>
            </w:r>
          </w:p>
        </w:tc>
        <w:tc>
          <w:tcPr>
            <w:tcW w:w="3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148"/>
              <w:spacing w:after="0"/>
              <w:rPr>
                <w:sz w:val="20"/>
                <w:szCs w:val="20"/>
                <w:color w:val="auto"/>
              </w:rPr>
            </w:pPr>
            <w:r>
              <w:rPr>
                <w:rFonts w:ascii="Arial" w:cs="Arial" w:eastAsia="Arial" w:hAnsi="Arial"/>
                <w:sz w:val="14"/>
                <w:szCs w:val="14"/>
                <w:color w:val="auto"/>
              </w:rPr>
              <w:t>1,113</w:t>
            </w:r>
          </w:p>
        </w:tc>
        <w:tc>
          <w:tcPr>
            <w:tcW w:w="3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149"/>
              <w:spacing w:after="0"/>
              <w:rPr>
                <w:sz w:val="20"/>
                <w:szCs w:val="20"/>
                <w:color w:val="auto"/>
              </w:rPr>
            </w:pPr>
            <w:r>
              <w:rPr>
                <w:rFonts w:ascii="Arial" w:cs="Arial" w:eastAsia="Arial" w:hAnsi="Arial"/>
                <w:sz w:val="14"/>
                <w:szCs w:val="14"/>
                <w:color w:val="auto"/>
              </w:rPr>
              <w:t>1,125</w:t>
            </w:r>
          </w:p>
        </w:tc>
        <w:tc>
          <w:tcPr>
            <w:tcW w:w="38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148"/>
              <w:spacing w:after="0"/>
              <w:rPr>
                <w:sz w:val="20"/>
                <w:szCs w:val="20"/>
                <w:color w:val="auto"/>
              </w:rPr>
            </w:pPr>
            <w:r>
              <w:rPr>
                <w:rFonts w:ascii="Arial" w:cs="Arial" w:eastAsia="Arial" w:hAnsi="Arial"/>
                <w:sz w:val="14"/>
                <w:szCs w:val="14"/>
                <w:color w:val="auto"/>
              </w:rPr>
              <w:t>1,091</w:t>
            </w:r>
          </w:p>
        </w:tc>
        <w:tc>
          <w:tcPr>
            <w:tcW w:w="36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148"/>
              <w:spacing w:after="0"/>
              <w:rPr>
                <w:sz w:val="20"/>
                <w:szCs w:val="20"/>
                <w:color w:val="auto"/>
              </w:rPr>
            </w:pPr>
            <w:r>
              <w:rPr>
                <w:rFonts w:ascii="Arial" w:cs="Arial" w:eastAsia="Arial" w:hAnsi="Arial"/>
                <w:sz w:val="14"/>
                <w:szCs w:val="14"/>
                <w:color w:val="auto"/>
              </w:rPr>
              <w:t>913</w:t>
            </w:r>
          </w:p>
        </w:tc>
        <w:tc>
          <w:tcPr>
            <w:tcW w:w="3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520" w:type="dxa"/>
            <w:vAlign w:val="bottom"/>
          </w:tcPr>
          <w:p>
            <w:pPr>
              <w:jc w:val="right"/>
              <w:spacing w:after="0"/>
              <w:rPr>
                <w:sz w:val="20"/>
                <w:szCs w:val="20"/>
                <w:color w:val="auto"/>
              </w:rPr>
            </w:pPr>
            <w:r>
              <w:rPr>
                <w:rFonts w:ascii="Arial" w:cs="Arial" w:eastAsia="Arial" w:hAnsi="Arial"/>
                <w:sz w:val="14"/>
                <w:szCs w:val="14"/>
                <w:color w:val="auto"/>
              </w:rPr>
              <w:t>915</w:t>
            </w:r>
          </w:p>
        </w:tc>
        <w:tc>
          <w:tcPr>
            <w:tcW w:w="300" w:type="dxa"/>
            <w:vAlign w:val="bottom"/>
          </w:tcPr>
          <w:p>
            <w:pPr>
              <w:spacing w:after="0"/>
              <w:rPr>
                <w:sz w:val="24"/>
                <w:szCs w:val="24"/>
                <w:color w:val="auto"/>
              </w:rPr>
            </w:pPr>
          </w:p>
        </w:tc>
      </w:tr>
      <w:tr>
        <w:trPr>
          <w:trHeight w:val="216"/>
        </w:trPr>
        <w:tc>
          <w:tcPr>
            <w:tcW w:w="3560" w:type="dxa"/>
            <w:vAlign w:val="bottom"/>
          </w:tcPr>
          <w:p>
            <w:pPr>
              <w:spacing w:after="0"/>
              <w:rPr>
                <w:sz w:val="20"/>
                <w:szCs w:val="20"/>
                <w:color w:val="auto"/>
              </w:rPr>
            </w:pPr>
            <w:r>
              <w:rPr>
                <w:rFonts w:ascii="Arial" w:cs="Arial" w:eastAsia="Arial" w:hAnsi="Arial"/>
                <w:sz w:val="14"/>
                <w:szCs w:val="14"/>
                <w:color w:val="auto"/>
              </w:rPr>
              <w:t>Net income</w:t>
            </w:r>
          </w:p>
        </w:tc>
        <w:tc>
          <w:tcPr>
            <w:tcW w:w="3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148"/>
              <w:spacing w:after="0"/>
              <w:rPr>
                <w:sz w:val="20"/>
                <w:szCs w:val="20"/>
                <w:color w:val="auto"/>
              </w:rPr>
            </w:pPr>
            <w:r>
              <w:rPr>
                <w:rFonts w:ascii="Arial" w:cs="Arial" w:eastAsia="Arial" w:hAnsi="Arial"/>
                <w:sz w:val="14"/>
                <w:szCs w:val="14"/>
                <w:color w:val="auto"/>
              </w:rPr>
              <w:t>1,113</w:t>
            </w:r>
          </w:p>
        </w:tc>
        <w:tc>
          <w:tcPr>
            <w:tcW w:w="3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149"/>
              <w:spacing w:after="0"/>
              <w:rPr>
                <w:sz w:val="20"/>
                <w:szCs w:val="20"/>
                <w:color w:val="auto"/>
              </w:rPr>
            </w:pPr>
            <w:r>
              <w:rPr>
                <w:rFonts w:ascii="Arial" w:cs="Arial" w:eastAsia="Arial" w:hAnsi="Arial"/>
                <w:sz w:val="14"/>
                <w:szCs w:val="14"/>
                <w:color w:val="auto"/>
              </w:rPr>
              <w:t>1,099</w:t>
            </w:r>
          </w:p>
        </w:tc>
        <w:tc>
          <w:tcPr>
            <w:tcW w:w="38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148"/>
              <w:spacing w:after="0"/>
              <w:rPr>
                <w:sz w:val="20"/>
                <w:szCs w:val="20"/>
                <w:color w:val="auto"/>
              </w:rPr>
            </w:pPr>
            <w:r>
              <w:rPr>
                <w:rFonts w:ascii="Arial" w:cs="Arial" w:eastAsia="Arial" w:hAnsi="Arial"/>
                <w:sz w:val="14"/>
                <w:szCs w:val="14"/>
                <w:color w:val="auto"/>
              </w:rPr>
              <w:t>1,406</w:t>
            </w:r>
          </w:p>
        </w:tc>
        <w:tc>
          <w:tcPr>
            <w:tcW w:w="36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148"/>
              <w:spacing w:after="0"/>
              <w:rPr>
                <w:sz w:val="20"/>
                <w:szCs w:val="20"/>
                <w:color w:val="auto"/>
              </w:rPr>
            </w:pPr>
            <w:r>
              <w:rPr>
                <w:rFonts w:ascii="Arial" w:cs="Arial" w:eastAsia="Arial" w:hAnsi="Arial"/>
                <w:sz w:val="14"/>
                <w:szCs w:val="14"/>
                <w:color w:val="auto"/>
              </w:rPr>
              <w:t>920</w:t>
            </w:r>
          </w:p>
        </w:tc>
        <w:tc>
          <w:tcPr>
            <w:tcW w:w="3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520" w:type="dxa"/>
            <w:vAlign w:val="bottom"/>
          </w:tcPr>
          <w:p>
            <w:pPr>
              <w:jc w:val="right"/>
              <w:spacing w:after="0"/>
              <w:rPr>
                <w:sz w:val="20"/>
                <w:szCs w:val="20"/>
                <w:color w:val="auto"/>
              </w:rPr>
            </w:pPr>
            <w:r>
              <w:rPr>
                <w:rFonts w:ascii="Arial" w:cs="Arial" w:eastAsia="Arial" w:hAnsi="Arial"/>
                <w:sz w:val="14"/>
                <w:szCs w:val="14"/>
                <w:color w:val="auto"/>
              </w:rPr>
              <w:t>895</w:t>
            </w:r>
          </w:p>
        </w:tc>
        <w:tc>
          <w:tcPr>
            <w:tcW w:w="300" w:type="dxa"/>
            <w:vAlign w:val="bottom"/>
          </w:tcPr>
          <w:p>
            <w:pPr>
              <w:spacing w:after="0"/>
              <w:rPr>
                <w:sz w:val="18"/>
                <w:szCs w:val="18"/>
                <w:color w:val="auto"/>
              </w:rPr>
            </w:pPr>
          </w:p>
        </w:tc>
      </w:tr>
      <w:tr>
        <w:trPr>
          <w:trHeight w:val="432"/>
        </w:trPr>
        <w:tc>
          <w:tcPr>
            <w:tcW w:w="3560" w:type="dxa"/>
            <w:vAlign w:val="bottom"/>
          </w:tcPr>
          <w:p>
            <w:pPr>
              <w:spacing w:after="0"/>
              <w:rPr>
                <w:sz w:val="20"/>
                <w:szCs w:val="20"/>
                <w:color w:val="auto"/>
              </w:rPr>
            </w:pPr>
            <w:r>
              <w:rPr>
                <w:rFonts w:ascii="Arial" w:cs="Arial" w:eastAsia="Arial" w:hAnsi="Arial"/>
                <w:sz w:val="14"/>
                <w:szCs w:val="14"/>
                <w:color w:val="auto"/>
              </w:rPr>
              <w:t>Income per common share from continuing operations:</w:t>
            </w:r>
          </w:p>
        </w:tc>
        <w:tc>
          <w:tcPr>
            <w:tcW w:w="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216"/>
        </w:trPr>
        <w:tc>
          <w:tcPr>
            <w:tcW w:w="3560" w:type="dxa"/>
            <w:vAlign w:val="bottom"/>
          </w:tcPr>
          <w:p>
            <w:pPr>
              <w:ind w:left="340"/>
              <w:spacing w:after="0"/>
              <w:rPr>
                <w:sz w:val="20"/>
                <w:szCs w:val="20"/>
                <w:color w:val="auto"/>
              </w:rPr>
            </w:pPr>
            <w:r>
              <w:rPr>
                <w:rFonts w:ascii="Arial" w:cs="Arial" w:eastAsia="Arial" w:hAnsi="Arial"/>
                <w:sz w:val="14"/>
                <w:szCs w:val="14"/>
                <w:color w:val="auto"/>
              </w:rPr>
              <w:t>Basic</w:t>
            </w:r>
          </w:p>
        </w:tc>
        <w:tc>
          <w:tcPr>
            <w:tcW w:w="3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148"/>
              <w:spacing w:after="0"/>
              <w:rPr>
                <w:sz w:val="20"/>
                <w:szCs w:val="20"/>
                <w:color w:val="auto"/>
              </w:rPr>
            </w:pPr>
            <w:r>
              <w:rPr>
                <w:rFonts w:ascii="Arial" w:cs="Arial" w:eastAsia="Arial" w:hAnsi="Arial"/>
                <w:sz w:val="14"/>
                <w:szCs w:val="14"/>
                <w:color w:val="auto"/>
              </w:rPr>
              <w:t>4.50</w:t>
            </w:r>
          </w:p>
        </w:tc>
        <w:tc>
          <w:tcPr>
            <w:tcW w:w="3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149"/>
              <w:spacing w:after="0"/>
              <w:rPr>
                <w:sz w:val="20"/>
                <w:szCs w:val="20"/>
                <w:color w:val="auto"/>
              </w:rPr>
            </w:pPr>
            <w:r>
              <w:rPr>
                <w:rFonts w:ascii="Arial" w:cs="Arial" w:eastAsia="Arial" w:hAnsi="Arial"/>
                <w:sz w:val="14"/>
                <w:szCs w:val="14"/>
                <w:color w:val="auto"/>
              </w:rPr>
              <w:t>4.34</w:t>
            </w:r>
          </w:p>
        </w:tc>
        <w:tc>
          <w:tcPr>
            <w:tcW w:w="38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148"/>
              <w:spacing w:after="0"/>
              <w:rPr>
                <w:sz w:val="20"/>
                <w:szCs w:val="20"/>
                <w:color w:val="auto"/>
              </w:rPr>
            </w:pPr>
            <w:r>
              <w:rPr>
                <w:rFonts w:ascii="Arial" w:cs="Arial" w:eastAsia="Arial" w:hAnsi="Arial"/>
                <w:sz w:val="14"/>
                <w:szCs w:val="14"/>
                <w:color w:val="auto"/>
              </w:rPr>
              <w:t>4.25</w:t>
            </w:r>
          </w:p>
        </w:tc>
        <w:tc>
          <w:tcPr>
            <w:tcW w:w="36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148"/>
              <w:spacing w:after="0"/>
              <w:rPr>
                <w:sz w:val="20"/>
                <w:szCs w:val="20"/>
                <w:color w:val="auto"/>
              </w:rPr>
            </w:pPr>
            <w:r>
              <w:rPr>
                <w:rFonts w:ascii="Arial" w:cs="Arial" w:eastAsia="Arial" w:hAnsi="Arial"/>
                <w:sz w:val="14"/>
                <w:szCs w:val="14"/>
                <w:color w:val="auto"/>
              </w:rPr>
              <w:t>3.71</w:t>
            </w:r>
          </w:p>
        </w:tc>
        <w:tc>
          <w:tcPr>
            <w:tcW w:w="3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520" w:type="dxa"/>
            <w:vAlign w:val="bottom"/>
          </w:tcPr>
          <w:p>
            <w:pPr>
              <w:jc w:val="right"/>
              <w:spacing w:after="0"/>
              <w:rPr>
                <w:sz w:val="20"/>
                <w:szCs w:val="20"/>
                <w:color w:val="auto"/>
              </w:rPr>
            </w:pPr>
            <w:r>
              <w:rPr>
                <w:rFonts w:ascii="Arial" w:cs="Arial" w:eastAsia="Arial" w:hAnsi="Arial"/>
                <w:sz w:val="14"/>
                <w:szCs w:val="14"/>
                <w:color w:val="auto"/>
              </w:rPr>
              <w:t>4.01</w:t>
            </w:r>
          </w:p>
        </w:tc>
        <w:tc>
          <w:tcPr>
            <w:tcW w:w="300" w:type="dxa"/>
            <w:vAlign w:val="bottom"/>
          </w:tcPr>
          <w:p>
            <w:pPr>
              <w:spacing w:after="0"/>
              <w:rPr>
                <w:sz w:val="18"/>
                <w:szCs w:val="18"/>
                <w:color w:val="auto"/>
              </w:rPr>
            </w:pPr>
          </w:p>
        </w:tc>
      </w:tr>
      <w:tr>
        <w:trPr>
          <w:trHeight w:val="216"/>
        </w:trPr>
        <w:tc>
          <w:tcPr>
            <w:tcW w:w="3560" w:type="dxa"/>
            <w:vAlign w:val="bottom"/>
          </w:tcPr>
          <w:p>
            <w:pPr>
              <w:ind w:left="340"/>
              <w:spacing w:after="0"/>
              <w:rPr>
                <w:sz w:val="20"/>
                <w:szCs w:val="20"/>
                <w:color w:val="auto"/>
              </w:rPr>
            </w:pPr>
            <w:r>
              <w:rPr>
                <w:rFonts w:ascii="Arial" w:cs="Arial" w:eastAsia="Arial" w:hAnsi="Arial"/>
                <w:sz w:val="14"/>
                <w:szCs w:val="14"/>
                <w:color w:val="auto"/>
              </w:rPr>
              <w:t>Diluted</w:t>
            </w:r>
          </w:p>
        </w:tc>
        <w:tc>
          <w:tcPr>
            <w:tcW w:w="3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148"/>
              <w:spacing w:after="0"/>
              <w:rPr>
                <w:sz w:val="20"/>
                <w:szCs w:val="20"/>
                <w:color w:val="auto"/>
              </w:rPr>
            </w:pPr>
            <w:r>
              <w:rPr>
                <w:rFonts w:ascii="Arial" w:cs="Arial" w:eastAsia="Arial" w:hAnsi="Arial"/>
                <w:sz w:val="14"/>
                <w:szCs w:val="14"/>
                <w:color w:val="auto"/>
              </w:rPr>
              <w:t>4.43</w:t>
            </w:r>
          </w:p>
        </w:tc>
        <w:tc>
          <w:tcPr>
            <w:tcW w:w="3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149"/>
              <w:spacing w:after="0"/>
              <w:rPr>
                <w:sz w:val="20"/>
                <w:szCs w:val="20"/>
                <w:color w:val="auto"/>
              </w:rPr>
            </w:pPr>
            <w:r>
              <w:rPr>
                <w:rFonts w:ascii="Arial" w:cs="Arial" w:eastAsia="Arial" w:hAnsi="Arial"/>
                <w:sz w:val="14"/>
                <w:szCs w:val="14"/>
                <w:color w:val="auto"/>
              </w:rPr>
              <w:t>4.26</w:t>
            </w:r>
          </w:p>
        </w:tc>
        <w:tc>
          <w:tcPr>
            <w:tcW w:w="38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148"/>
              <w:spacing w:after="0"/>
              <w:rPr>
                <w:sz w:val="20"/>
                <w:szCs w:val="20"/>
                <w:color w:val="auto"/>
              </w:rPr>
            </w:pPr>
            <w:r>
              <w:rPr>
                <w:rFonts w:ascii="Arial" w:cs="Arial" w:eastAsia="Arial" w:hAnsi="Arial"/>
                <w:sz w:val="14"/>
                <w:szCs w:val="14"/>
                <w:color w:val="auto"/>
              </w:rPr>
              <w:t>4.17</w:t>
            </w:r>
          </w:p>
        </w:tc>
        <w:tc>
          <w:tcPr>
            <w:tcW w:w="36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148"/>
              <w:spacing w:after="0"/>
              <w:rPr>
                <w:sz w:val="20"/>
                <w:szCs w:val="20"/>
                <w:color w:val="auto"/>
              </w:rPr>
            </w:pPr>
            <w:r>
              <w:rPr>
                <w:rFonts w:ascii="Arial" w:cs="Arial" w:eastAsia="Arial" w:hAnsi="Arial"/>
                <w:sz w:val="14"/>
                <w:szCs w:val="14"/>
                <w:color w:val="auto"/>
              </w:rPr>
              <w:t>3.62</w:t>
            </w:r>
          </w:p>
        </w:tc>
        <w:tc>
          <w:tcPr>
            <w:tcW w:w="3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520" w:type="dxa"/>
            <w:vAlign w:val="bottom"/>
          </w:tcPr>
          <w:p>
            <w:pPr>
              <w:jc w:val="right"/>
              <w:spacing w:after="0"/>
              <w:rPr>
                <w:sz w:val="20"/>
                <w:szCs w:val="20"/>
                <w:color w:val="auto"/>
              </w:rPr>
            </w:pPr>
            <w:r>
              <w:rPr>
                <w:rFonts w:ascii="Arial" w:cs="Arial" w:eastAsia="Arial" w:hAnsi="Arial"/>
                <w:sz w:val="14"/>
                <w:szCs w:val="14"/>
                <w:color w:val="auto"/>
              </w:rPr>
              <w:t>3.92</w:t>
            </w:r>
          </w:p>
        </w:tc>
        <w:tc>
          <w:tcPr>
            <w:tcW w:w="300" w:type="dxa"/>
            <w:vAlign w:val="bottom"/>
          </w:tcPr>
          <w:p>
            <w:pPr>
              <w:spacing w:after="0"/>
              <w:rPr>
                <w:sz w:val="18"/>
                <w:szCs w:val="18"/>
                <w:color w:val="auto"/>
              </w:rPr>
            </w:pPr>
          </w:p>
        </w:tc>
      </w:tr>
      <w:tr>
        <w:trPr>
          <w:trHeight w:val="216"/>
        </w:trPr>
        <w:tc>
          <w:tcPr>
            <w:tcW w:w="3560" w:type="dxa"/>
            <w:vAlign w:val="bottom"/>
          </w:tcPr>
          <w:p>
            <w:pPr>
              <w:spacing w:after="0"/>
              <w:rPr>
                <w:sz w:val="20"/>
                <w:szCs w:val="20"/>
                <w:color w:val="auto"/>
              </w:rPr>
            </w:pPr>
            <w:r>
              <w:rPr>
                <w:rFonts w:ascii="Arial" w:cs="Arial" w:eastAsia="Arial" w:hAnsi="Arial"/>
                <w:sz w:val="14"/>
                <w:szCs w:val="14"/>
                <w:color w:val="auto"/>
              </w:rPr>
              <w:t>Net income per common share:</w:t>
            </w: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r>
      <w:tr>
        <w:trPr>
          <w:trHeight w:val="216"/>
        </w:trPr>
        <w:tc>
          <w:tcPr>
            <w:tcW w:w="3560" w:type="dxa"/>
            <w:vAlign w:val="bottom"/>
          </w:tcPr>
          <w:p>
            <w:pPr>
              <w:ind w:left="340"/>
              <w:spacing w:after="0"/>
              <w:rPr>
                <w:sz w:val="20"/>
                <w:szCs w:val="20"/>
                <w:color w:val="auto"/>
              </w:rPr>
            </w:pPr>
            <w:r>
              <w:rPr>
                <w:rFonts w:ascii="Arial" w:cs="Arial" w:eastAsia="Arial" w:hAnsi="Arial"/>
                <w:sz w:val="14"/>
                <w:szCs w:val="14"/>
                <w:color w:val="auto"/>
              </w:rPr>
              <w:t>Basic</w:t>
            </w:r>
          </w:p>
        </w:tc>
        <w:tc>
          <w:tcPr>
            <w:tcW w:w="3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148"/>
              <w:spacing w:after="0"/>
              <w:rPr>
                <w:sz w:val="20"/>
                <w:szCs w:val="20"/>
                <w:color w:val="auto"/>
              </w:rPr>
            </w:pPr>
            <w:r>
              <w:rPr>
                <w:rFonts w:ascii="Arial" w:cs="Arial" w:eastAsia="Arial" w:hAnsi="Arial"/>
                <w:sz w:val="14"/>
                <w:szCs w:val="14"/>
                <w:color w:val="auto"/>
              </w:rPr>
              <w:t>4.50</w:t>
            </w:r>
          </w:p>
        </w:tc>
        <w:tc>
          <w:tcPr>
            <w:tcW w:w="3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149"/>
              <w:spacing w:after="0"/>
              <w:rPr>
                <w:sz w:val="20"/>
                <w:szCs w:val="20"/>
                <w:color w:val="auto"/>
              </w:rPr>
            </w:pPr>
            <w:r>
              <w:rPr>
                <w:rFonts w:ascii="Arial" w:cs="Arial" w:eastAsia="Arial" w:hAnsi="Arial"/>
                <w:sz w:val="14"/>
                <w:szCs w:val="14"/>
                <w:color w:val="auto"/>
              </w:rPr>
              <w:t>4.24</w:t>
            </w:r>
          </w:p>
        </w:tc>
        <w:tc>
          <w:tcPr>
            <w:tcW w:w="38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148"/>
              <w:spacing w:after="0"/>
              <w:rPr>
                <w:sz w:val="20"/>
                <w:szCs w:val="20"/>
                <w:color w:val="auto"/>
              </w:rPr>
            </w:pPr>
            <w:r>
              <w:rPr>
                <w:rFonts w:ascii="Arial" w:cs="Arial" w:eastAsia="Arial" w:hAnsi="Arial"/>
                <w:sz w:val="14"/>
                <w:szCs w:val="14"/>
                <w:color w:val="auto"/>
              </w:rPr>
              <w:t>5.48</w:t>
            </w:r>
          </w:p>
        </w:tc>
        <w:tc>
          <w:tcPr>
            <w:tcW w:w="36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148"/>
              <w:spacing w:after="0"/>
              <w:rPr>
                <w:sz w:val="20"/>
                <w:szCs w:val="20"/>
                <w:color w:val="auto"/>
              </w:rPr>
            </w:pPr>
            <w:r>
              <w:rPr>
                <w:rFonts w:ascii="Arial" w:cs="Arial" w:eastAsia="Arial" w:hAnsi="Arial"/>
                <w:sz w:val="14"/>
                <w:szCs w:val="14"/>
                <w:color w:val="auto"/>
              </w:rPr>
              <w:t>3.74</w:t>
            </w:r>
          </w:p>
        </w:tc>
        <w:tc>
          <w:tcPr>
            <w:tcW w:w="3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520" w:type="dxa"/>
            <w:vAlign w:val="bottom"/>
          </w:tcPr>
          <w:p>
            <w:pPr>
              <w:jc w:val="right"/>
              <w:spacing w:after="0"/>
              <w:rPr>
                <w:sz w:val="20"/>
                <w:szCs w:val="20"/>
                <w:color w:val="auto"/>
              </w:rPr>
            </w:pPr>
            <w:r>
              <w:rPr>
                <w:rFonts w:ascii="Arial" w:cs="Arial" w:eastAsia="Arial" w:hAnsi="Arial"/>
                <w:sz w:val="14"/>
                <w:szCs w:val="14"/>
                <w:color w:val="auto"/>
              </w:rPr>
              <w:t>3.92</w:t>
            </w:r>
          </w:p>
        </w:tc>
        <w:tc>
          <w:tcPr>
            <w:tcW w:w="300" w:type="dxa"/>
            <w:vAlign w:val="bottom"/>
          </w:tcPr>
          <w:p>
            <w:pPr>
              <w:spacing w:after="0"/>
              <w:rPr>
                <w:sz w:val="18"/>
                <w:szCs w:val="18"/>
                <w:color w:val="auto"/>
              </w:rPr>
            </w:pPr>
          </w:p>
        </w:tc>
      </w:tr>
      <w:tr>
        <w:trPr>
          <w:trHeight w:val="216"/>
        </w:trPr>
        <w:tc>
          <w:tcPr>
            <w:tcW w:w="3560" w:type="dxa"/>
            <w:vAlign w:val="bottom"/>
          </w:tcPr>
          <w:p>
            <w:pPr>
              <w:ind w:left="340"/>
              <w:spacing w:after="0"/>
              <w:rPr>
                <w:sz w:val="20"/>
                <w:szCs w:val="20"/>
                <w:color w:val="auto"/>
              </w:rPr>
            </w:pPr>
            <w:r>
              <w:rPr>
                <w:rFonts w:ascii="Arial" w:cs="Arial" w:eastAsia="Arial" w:hAnsi="Arial"/>
                <w:sz w:val="14"/>
                <w:szCs w:val="14"/>
                <w:color w:val="auto"/>
              </w:rPr>
              <w:t>Diluted</w:t>
            </w:r>
          </w:p>
        </w:tc>
        <w:tc>
          <w:tcPr>
            <w:tcW w:w="3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148"/>
              <w:spacing w:after="0"/>
              <w:rPr>
                <w:sz w:val="20"/>
                <w:szCs w:val="20"/>
                <w:color w:val="auto"/>
              </w:rPr>
            </w:pPr>
            <w:r>
              <w:rPr>
                <w:rFonts w:ascii="Arial" w:cs="Arial" w:eastAsia="Arial" w:hAnsi="Arial"/>
                <w:sz w:val="14"/>
                <w:szCs w:val="14"/>
                <w:color w:val="auto"/>
              </w:rPr>
              <w:t>4.43</w:t>
            </w:r>
          </w:p>
        </w:tc>
        <w:tc>
          <w:tcPr>
            <w:tcW w:w="3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149"/>
              <w:spacing w:after="0"/>
              <w:rPr>
                <w:sz w:val="20"/>
                <w:szCs w:val="20"/>
                <w:color w:val="auto"/>
              </w:rPr>
            </w:pPr>
            <w:r>
              <w:rPr>
                <w:rFonts w:ascii="Arial" w:cs="Arial" w:eastAsia="Arial" w:hAnsi="Arial"/>
                <w:sz w:val="14"/>
                <w:szCs w:val="14"/>
                <w:color w:val="auto"/>
              </w:rPr>
              <w:t>4.16</w:t>
            </w:r>
          </w:p>
        </w:tc>
        <w:tc>
          <w:tcPr>
            <w:tcW w:w="38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148"/>
              <w:spacing w:after="0"/>
              <w:rPr>
                <w:sz w:val="20"/>
                <w:szCs w:val="20"/>
                <w:color w:val="auto"/>
              </w:rPr>
            </w:pPr>
            <w:r>
              <w:rPr>
                <w:rFonts w:ascii="Arial" w:cs="Arial" w:eastAsia="Arial" w:hAnsi="Arial"/>
                <w:sz w:val="14"/>
                <w:szCs w:val="14"/>
                <w:color w:val="auto"/>
              </w:rPr>
              <w:t>5.38</w:t>
            </w:r>
          </w:p>
        </w:tc>
        <w:tc>
          <w:tcPr>
            <w:tcW w:w="36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148"/>
              <w:spacing w:after="0"/>
              <w:rPr>
                <w:sz w:val="20"/>
                <w:szCs w:val="20"/>
                <w:color w:val="auto"/>
              </w:rPr>
            </w:pPr>
            <w:r>
              <w:rPr>
                <w:rFonts w:ascii="Arial" w:cs="Arial" w:eastAsia="Arial" w:hAnsi="Arial"/>
                <w:sz w:val="14"/>
                <w:szCs w:val="14"/>
                <w:color w:val="auto"/>
              </w:rPr>
              <w:t>3.65</w:t>
            </w:r>
          </w:p>
        </w:tc>
        <w:tc>
          <w:tcPr>
            <w:tcW w:w="3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520" w:type="dxa"/>
            <w:vAlign w:val="bottom"/>
          </w:tcPr>
          <w:p>
            <w:pPr>
              <w:jc w:val="right"/>
              <w:spacing w:after="0"/>
              <w:rPr>
                <w:sz w:val="20"/>
                <w:szCs w:val="20"/>
                <w:color w:val="auto"/>
              </w:rPr>
            </w:pPr>
            <w:r>
              <w:rPr>
                <w:rFonts w:ascii="Arial" w:cs="Arial" w:eastAsia="Arial" w:hAnsi="Arial"/>
                <w:sz w:val="14"/>
                <w:szCs w:val="14"/>
                <w:color w:val="auto"/>
              </w:rPr>
              <w:t>3.83</w:t>
            </w:r>
          </w:p>
        </w:tc>
        <w:tc>
          <w:tcPr>
            <w:tcW w:w="300" w:type="dxa"/>
            <w:vAlign w:val="bottom"/>
          </w:tcPr>
          <w:p>
            <w:pPr>
              <w:spacing w:after="0"/>
              <w:rPr>
                <w:sz w:val="18"/>
                <w:szCs w:val="18"/>
                <w:color w:val="auto"/>
              </w:rPr>
            </w:pPr>
          </w:p>
        </w:tc>
      </w:tr>
      <w:tr>
        <w:trPr>
          <w:trHeight w:val="432"/>
        </w:trPr>
        <w:tc>
          <w:tcPr>
            <w:tcW w:w="3560" w:type="dxa"/>
            <w:vAlign w:val="bottom"/>
          </w:tcPr>
          <w:p>
            <w:pPr>
              <w:spacing w:after="0"/>
              <w:rPr>
                <w:sz w:val="20"/>
                <w:szCs w:val="20"/>
                <w:color w:val="auto"/>
              </w:rPr>
            </w:pPr>
            <w:r>
              <w:rPr>
                <w:rFonts w:ascii="Arial" w:cs="Arial" w:eastAsia="Arial" w:hAnsi="Arial"/>
                <w:sz w:val="14"/>
                <w:szCs w:val="14"/>
                <w:color w:val="auto"/>
              </w:rPr>
              <w:t>Dividends declared per common share</w:t>
            </w:r>
          </w:p>
        </w:tc>
        <w:tc>
          <w:tcPr>
            <w:tcW w:w="3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148"/>
              <w:spacing w:after="0"/>
              <w:rPr>
                <w:sz w:val="20"/>
                <w:szCs w:val="20"/>
                <w:color w:val="auto"/>
              </w:rPr>
            </w:pPr>
            <w:r>
              <w:rPr>
                <w:rFonts w:ascii="Arial" w:cs="Arial" w:eastAsia="Arial" w:hAnsi="Arial"/>
                <w:sz w:val="14"/>
                <w:szCs w:val="14"/>
                <w:color w:val="auto"/>
              </w:rPr>
              <w:t>1.37</w:t>
            </w:r>
          </w:p>
        </w:tc>
        <w:tc>
          <w:tcPr>
            <w:tcW w:w="3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149"/>
              <w:spacing w:after="0"/>
              <w:rPr>
                <w:sz w:val="20"/>
                <w:szCs w:val="20"/>
                <w:color w:val="auto"/>
              </w:rPr>
            </w:pPr>
            <w:r>
              <w:rPr>
                <w:rFonts w:ascii="Arial" w:cs="Arial" w:eastAsia="Arial" w:hAnsi="Arial"/>
                <w:sz w:val="14"/>
                <w:szCs w:val="14"/>
                <w:color w:val="auto"/>
              </w:rPr>
              <w:t>1.24</w:t>
            </w:r>
          </w:p>
        </w:tc>
        <w:tc>
          <w:tcPr>
            <w:tcW w:w="38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148"/>
              <w:spacing w:after="0"/>
              <w:rPr>
                <w:sz w:val="20"/>
                <w:szCs w:val="20"/>
                <w:color w:val="auto"/>
              </w:rPr>
            </w:pPr>
            <w:r>
              <w:rPr>
                <w:rFonts w:ascii="Arial" w:cs="Arial" w:eastAsia="Arial" w:hAnsi="Arial"/>
                <w:sz w:val="14"/>
                <w:szCs w:val="14"/>
                <w:color w:val="auto"/>
              </w:rPr>
              <w:t>1.20</w:t>
            </w:r>
          </w:p>
        </w:tc>
        <w:tc>
          <w:tcPr>
            <w:tcW w:w="36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148"/>
              <w:spacing w:after="0"/>
              <w:rPr>
                <w:sz w:val="20"/>
                <w:szCs w:val="20"/>
                <w:color w:val="auto"/>
              </w:rPr>
            </w:pPr>
            <w:r>
              <w:rPr>
                <w:rFonts w:ascii="Arial" w:cs="Arial" w:eastAsia="Arial" w:hAnsi="Arial"/>
                <w:sz w:val="14"/>
                <w:szCs w:val="14"/>
                <w:color w:val="auto"/>
              </w:rPr>
              <w:t>1.16</w:t>
            </w:r>
          </w:p>
        </w:tc>
        <w:tc>
          <w:tcPr>
            <w:tcW w:w="3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520" w:type="dxa"/>
            <w:vAlign w:val="bottom"/>
          </w:tcPr>
          <w:p>
            <w:pPr>
              <w:jc w:val="right"/>
              <w:spacing w:after="0"/>
              <w:rPr>
                <w:sz w:val="20"/>
                <w:szCs w:val="20"/>
                <w:color w:val="auto"/>
              </w:rPr>
            </w:pPr>
            <w:r>
              <w:rPr>
                <w:rFonts w:ascii="Arial" w:cs="Arial" w:eastAsia="Arial" w:hAnsi="Arial"/>
                <w:sz w:val="14"/>
                <w:szCs w:val="14"/>
                <w:color w:val="auto"/>
              </w:rPr>
              <w:t>1.00</w:t>
            </w:r>
          </w:p>
        </w:tc>
        <w:tc>
          <w:tcPr>
            <w:tcW w:w="300" w:type="dxa"/>
            <w:vAlign w:val="bottom"/>
          </w:tcPr>
          <w:p>
            <w:pPr>
              <w:spacing w:after="0"/>
              <w:rPr>
                <w:sz w:val="24"/>
                <w:szCs w:val="24"/>
                <w:color w:val="auto"/>
              </w:rPr>
            </w:pPr>
          </w:p>
        </w:tc>
      </w:tr>
      <w:tr>
        <w:trPr>
          <w:trHeight w:val="216"/>
        </w:trPr>
        <w:tc>
          <w:tcPr>
            <w:tcW w:w="3560" w:type="dxa"/>
            <w:vAlign w:val="bottom"/>
          </w:tcPr>
          <w:p>
            <w:pPr>
              <w:spacing w:after="0"/>
              <w:rPr>
                <w:sz w:val="20"/>
                <w:szCs w:val="20"/>
                <w:color w:val="auto"/>
              </w:rPr>
            </w:pPr>
            <w:r>
              <w:rPr>
                <w:rFonts w:ascii="Arial" w:cs="Arial" w:eastAsia="Arial" w:hAnsi="Arial"/>
                <w:sz w:val="14"/>
                <w:szCs w:val="14"/>
                <w:color w:val="auto"/>
              </w:rPr>
              <w:t>Return on common equity</w:t>
            </w:r>
          </w:p>
        </w:tc>
        <w:tc>
          <w:tcPr>
            <w:tcW w:w="320" w:type="dxa"/>
            <w:vAlign w:val="bottom"/>
          </w:tcPr>
          <w:p>
            <w:pPr>
              <w:spacing w:after="0"/>
              <w:rPr>
                <w:sz w:val="18"/>
                <w:szCs w:val="18"/>
                <w:color w:val="auto"/>
              </w:rPr>
            </w:pPr>
          </w:p>
        </w:tc>
        <w:tc>
          <w:tcPr>
            <w:tcW w:w="720" w:type="dxa"/>
            <w:vAlign w:val="bottom"/>
          </w:tcPr>
          <w:p>
            <w:pPr>
              <w:jc w:val="right"/>
              <w:ind w:right="148"/>
              <w:spacing w:after="0"/>
              <w:rPr>
                <w:sz w:val="20"/>
                <w:szCs w:val="20"/>
                <w:color w:val="auto"/>
              </w:rPr>
            </w:pPr>
            <w:r>
              <w:rPr>
                <w:rFonts w:ascii="Arial" w:cs="Arial" w:eastAsia="Arial" w:hAnsi="Arial"/>
                <w:sz w:val="14"/>
                <w:szCs w:val="14"/>
                <w:color w:val="auto"/>
              </w:rPr>
              <w:t>13.6%</w:t>
            </w:r>
          </w:p>
        </w:tc>
        <w:tc>
          <w:tcPr>
            <w:tcW w:w="380" w:type="dxa"/>
            <w:vAlign w:val="bottom"/>
          </w:tcPr>
          <w:p>
            <w:pPr>
              <w:spacing w:after="0"/>
              <w:rPr>
                <w:sz w:val="18"/>
                <w:szCs w:val="18"/>
                <w:color w:val="auto"/>
              </w:rPr>
            </w:pPr>
          </w:p>
        </w:tc>
        <w:tc>
          <w:tcPr>
            <w:tcW w:w="720" w:type="dxa"/>
            <w:vAlign w:val="bottom"/>
          </w:tcPr>
          <w:p>
            <w:pPr>
              <w:jc w:val="right"/>
              <w:ind w:right="149"/>
              <w:spacing w:after="0"/>
              <w:rPr>
                <w:sz w:val="20"/>
                <w:szCs w:val="20"/>
                <w:color w:val="auto"/>
              </w:rPr>
            </w:pPr>
            <w:r>
              <w:rPr>
                <w:rFonts w:ascii="Arial" w:cs="Arial" w:eastAsia="Arial" w:hAnsi="Arial"/>
                <w:sz w:val="14"/>
                <w:szCs w:val="14"/>
                <w:color w:val="auto"/>
              </w:rPr>
              <w:t>13.9%</w:t>
            </w:r>
          </w:p>
        </w:tc>
        <w:tc>
          <w:tcPr>
            <w:tcW w:w="380" w:type="dxa"/>
            <w:vAlign w:val="bottom"/>
          </w:tcPr>
          <w:p>
            <w:pPr>
              <w:spacing w:after="0"/>
              <w:rPr>
                <w:sz w:val="18"/>
                <w:szCs w:val="18"/>
                <w:color w:val="auto"/>
              </w:rPr>
            </w:pPr>
          </w:p>
        </w:tc>
        <w:tc>
          <w:tcPr>
            <w:tcW w:w="740" w:type="dxa"/>
            <w:vAlign w:val="bottom"/>
          </w:tcPr>
          <w:p>
            <w:pPr>
              <w:jc w:val="right"/>
              <w:ind w:right="148"/>
              <w:spacing w:after="0"/>
              <w:rPr>
                <w:sz w:val="20"/>
                <w:szCs w:val="20"/>
                <w:color w:val="auto"/>
              </w:rPr>
            </w:pPr>
            <w:r>
              <w:rPr>
                <w:rFonts w:ascii="Arial" w:cs="Arial" w:eastAsia="Arial" w:hAnsi="Arial"/>
                <w:sz w:val="14"/>
                <w:szCs w:val="14"/>
                <w:color w:val="auto"/>
              </w:rPr>
              <w:t>20.6%</w:t>
            </w:r>
          </w:p>
        </w:tc>
        <w:tc>
          <w:tcPr>
            <w:tcW w:w="360" w:type="dxa"/>
            <w:vAlign w:val="bottom"/>
          </w:tcPr>
          <w:p>
            <w:pPr>
              <w:spacing w:after="0"/>
              <w:rPr>
                <w:sz w:val="18"/>
                <w:szCs w:val="18"/>
                <w:color w:val="auto"/>
              </w:rPr>
            </w:pPr>
          </w:p>
        </w:tc>
        <w:tc>
          <w:tcPr>
            <w:tcW w:w="740" w:type="dxa"/>
            <w:vAlign w:val="bottom"/>
          </w:tcPr>
          <w:p>
            <w:pPr>
              <w:jc w:val="right"/>
              <w:ind w:right="148"/>
              <w:spacing w:after="0"/>
              <w:rPr>
                <w:sz w:val="20"/>
                <w:szCs w:val="20"/>
                <w:color w:val="auto"/>
              </w:rPr>
            </w:pPr>
            <w:r>
              <w:rPr>
                <w:rFonts w:ascii="Arial" w:cs="Arial" w:eastAsia="Arial" w:hAnsi="Arial"/>
                <w:sz w:val="14"/>
                <w:szCs w:val="14"/>
                <w:color w:val="auto"/>
              </w:rPr>
              <w:t>16.7%</w:t>
            </w:r>
          </w:p>
        </w:tc>
        <w:tc>
          <w:tcPr>
            <w:tcW w:w="3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20.5%</w:t>
            </w:r>
          </w:p>
        </w:tc>
        <w:tc>
          <w:tcPr>
            <w:tcW w:w="300" w:type="dxa"/>
            <w:vAlign w:val="bottom"/>
          </w:tcPr>
          <w:p>
            <w:pPr>
              <w:spacing w:after="0"/>
              <w:rPr>
                <w:sz w:val="18"/>
                <w:szCs w:val="18"/>
                <w:color w:val="auto"/>
              </w:rPr>
            </w:pPr>
          </w:p>
        </w:tc>
      </w:tr>
      <w:tr>
        <w:trPr>
          <w:trHeight w:val="216"/>
        </w:trPr>
        <w:tc>
          <w:tcPr>
            <w:tcW w:w="3560" w:type="dxa"/>
            <w:vAlign w:val="bottom"/>
          </w:tcPr>
          <w:p>
            <w:pPr>
              <w:spacing w:after="0"/>
              <w:rPr>
                <w:sz w:val="20"/>
                <w:szCs w:val="20"/>
                <w:color w:val="auto"/>
              </w:rPr>
            </w:pPr>
            <w:r>
              <w:rPr>
                <w:rFonts w:ascii="Arial" w:cs="Arial" w:eastAsia="Arial" w:hAnsi="Arial"/>
                <w:sz w:val="14"/>
                <w:szCs w:val="14"/>
                <w:color w:val="auto"/>
              </w:rPr>
              <w:t>Effective income tax rate</w:t>
            </w:r>
          </w:p>
        </w:tc>
        <w:tc>
          <w:tcPr>
            <w:tcW w:w="320" w:type="dxa"/>
            <w:vAlign w:val="bottom"/>
          </w:tcPr>
          <w:p>
            <w:pPr>
              <w:spacing w:after="0"/>
              <w:rPr>
                <w:sz w:val="18"/>
                <w:szCs w:val="18"/>
                <w:color w:val="auto"/>
              </w:rPr>
            </w:pPr>
          </w:p>
        </w:tc>
        <w:tc>
          <w:tcPr>
            <w:tcW w:w="720" w:type="dxa"/>
            <w:vAlign w:val="bottom"/>
          </w:tcPr>
          <w:p>
            <w:pPr>
              <w:jc w:val="right"/>
              <w:ind w:right="148"/>
              <w:spacing w:after="0"/>
              <w:rPr>
                <w:sz w:val="20"/>
                <w:szCs w:val="20"/>
                <w:color w:val="auto"/>
              </w:rPr>
            </w:pPr>
            <w:r>
              <w:rPr>
                <w:rFonts w:ascii="Arial" w:cs="Arial" w:eastAsia="Arial" w:hAnsi="Arial"/>
                <w:sz w:val="14"/>
                <w:szCs w:val="14"/>
                <w:color w:val="auto"/>
              </w:rPr>
              <w:t>29%</w:t>
            </w:r>
          </w:p>
        </w:tc>
        <w:tc>
          <w:tcPr>
            <w:tcW w:w="380" w:type="dxa"/>
            <w:vAlign w:val="bottom"/>
          </w:tcPr>
          <w:p>
            <w:pPr>
              <w:spacing w:after="0"/>
              <w:rPr>
                <w:sz w:val="18"/>
                <w:szCs w:val="18"/>
                <w:color w:val="auto"/>
              </w:rPr>
            </w:pPr>
          </w:p>
        </w:tc>
        <w:tc>
          <w:tcPr>
            <w:tcW w:w="720" w:type="dxa"/>
            <w:vAlign w:val="bottom"/>
          </w:tcPr>
          <w:p>
            <w:pPr>
              <w:jc w:val="right"/>
              <w:ind w:right="149"/>
              <w:spacing w:after="0"/>
              <w:rPr>
                <w:sz w:val="20"/>
                <w:szCs w:val="20"/>
                <w:color w:val="auto"/>
              </w:rPr>
            </w:pPr>
            <w:r>
              <w:rPr>
                <w:rFonts w:ascii="Arial" w:cs="Arial" w:eastAsia="Arial" w:hAnsi="Arial"/>
                <w:sz w:val="14"/>
                <w:szCs w:val="14"/>
                <w:color w:val="auto"/>
              </w:rPr>
              <w:t>34%</w:t>
            </w:r>
          </w:p>
        </w:tc>
        <w:tc>
          <w:tcPr>
            <w:tcW w:w="380" w:type="dxa"/>
            <w:vAlign w:val="bottom"/>
          </w:tcPr>
          <w:p>
            <w:pPr>
              <w:spacing w:after="0"/>
              <w:rPr>
                <w:sz w:val="18"/>
                <w:szCs w:val="18"/>
                <w:color w:val="auto"/>
              </w:rPr>
            </w:pPr>
          </w:p>
        </w:tc>
        <w:tc>
          <w:tcPr>
            <w:tcW w:w="740" w:type="dxa"/>
            <w:vAlign w:val="bottom"/>
          </w:tcPr>
          <w:p>
            <w:pPr>
              <w:jc w:val="right"/>
              <w:ind w:right="148"/>
              <w:spacing w:after="0"/>
              <w:rPr>
                <w:sz w:val="20"/>
                <w:szCs w:val="20"/>
                <w:color w:val="auto"/>
              </w:rPr>
            </w:pPr>
            <w:r>
              <w:rPr>
                <w:rFonts w:ascii="Arial" w:cs="Arial" w:eastAsia="Arial" w:hAnsi="Arial"/>
                <w:sz w:val="14"/>
                <w:szCs w:val="14"/>
                <w:color w:val="auto"/>
              </w:rPr>
              <w:t>33%</w:t>
            </w:r>
          </w:p>
        </w:tc>
        <w:tc>
          <w:tcPr>
            <w:tcW w:w="360" w:type="dxa"/>
            <w:vAlign w:val="bottom"/>
          </w:tcPr>
          <w:p>
            <w:pPr>
              <w:spacing w:after="0"/>
              <w:rPr>
                <w:sz w:val="18"/>
                <w:szCs w:val="18"/>
                <w:color w:val="auto"/>
              </w:rPr>
            </w:pPr>
          </w:p>
        </w:tc>
        <w:tc>
          <w:tcPr>
            <w:tcW w:w="740" w:type="dxa"/>
            <w:vAlign w:val="bottom"/>
          </w:tcPr>
          <w:p>
            <w:pPr>
              <w:jc w:val="right"/>
              <w:ind w:right="148"/>
              <w:spacing w:after="0"/>
              <w:rPr>
                <w:sz w:val="20"/>
                <w:szCs w:val="20"/>
                <w:color w:val="auto"/>
              </w:rPr>
            </w:pPr>
            <w:r>
              <w:rPr>
                <w:rFonts w:ascii="Arial" w:cs="Arial" w:eastAsia="Arial" w:hAnsi="Arial"/>
                <w:sz w:val="14"/>
                <w:szCs w:val="14"/>
                <w:color w:val="auto"/>
              </w:rPr>
              <w:t>4%</w:t>
            </w:r>
          </w:p>
        </w:tc>
        <w:tc>
          <w:tcPr>
            <w:tcW w:w="3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18%</w:t>
            </w:r>
          </w:p>
        </w:tc>
        <w:tc>
          <w:tcPr>
            <w:tcW w:w="300" w:type="dxa"/>
            <w:vAlign w:val="bottom"/>
          </w:tcPr>
          <w:p>
            <w:pPr>
              <w:spacing w:after="0"/>
              <w:rPr>
                <w:sz w:val="18"/>
                <w:szCs w:val="18"/>
                <w:color w:val="auto"/>
              </w:rPr>
            </w:pPr>
          </w:p>
        </w:tc>
      </w:tr>
      <w:tr>
        <w:trPr>
          <w:trHeight w:val="216"/>
        </w:trPr>
        <w:tc>
          <w:tcPr>
            <w:tcW w:w="3560" w:type="dxa"/>
            <w:vAlign w:val="bottom"/>
          </w:tcPr>
          <w:p>
            <w:pPr>
              <w:spacing w:after="0"/>
              <w:rPr>
                <w:sz w:val="20"/>
                <w:szCs w:val="20"/>
                <w:color w:val="auto"/>
              </w:rPr>
            </w:pPr>
            <w:r>
              <w:rPr>
                <w:rFonts w:ascii="Arial" w:cs="Arial" w:eastAsia="Arial" w:hAnsi="Arial"/>
                <w:sz w:val="14"/>
                <w:szCs w:val="14"/>
                <w:color w:val="auto"/>
              </w:rPr>
              <w:t>Price range of common shares</w:t>
            </w:r>
          </w:p>
        </w:tc>
        <w:tc>
          <w:tcPr>
            <w:tcW w:w="3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148"/>
              <w:spacing w:after="0"/>
              <w:rPr>
                <w:sz w:val="20"/>
                <w:szCs w:val="20"/>
                <w:color w:val="auto"/>
              </w:rPr>
            </w:pPr>
            <w:r>
              <w:rPr>
                <w:rFonts w:ascii="Arial" w:cs="Arial" w:eastAsia="Arial" w:hAnsi="Arial"/>
                <w:sz w:val="14"/>
                <w:szCs w:val="14"/>
                <w:color w:val="auto"/>
              </w:rPr>
              <w:t>63.00-</w:t>
            </w:r>
          </w:p>
        </w:tc>
        <w:tc>
          <w:tcPr>
            <w:tcW w:w="3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149"/>
              <w:spacing w:after="0"/>
              <w:rPr>
                <w:sz w:val="20"/>
                <w:szCs w:val="20"/>
                <w:color w:val="auto"/>
              </w:rPr>
            </w:pPr>
            <w:r>
              <w:rPr>
                <w:rFonts w:ascii="Arial" w:cs="Arial" w:eastAsia="Arial" w:hAnsi="Arial"/>
                <w:sz w:val="14"/>
                <w:szCs w:val="14"/>
                <w:color w:val="auto"/>
              </w:rPr>
              <w:t>66.38-</w:t>
            </w:r>
          </w:p>
        </w:tc>
        <w:tc>
          <w:tcPr>
            <w:tcW w:w="38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148"/>
              <w:spacing w:after="0"/>
              <w:rPr>
                <w:sz w:val="20"/>
                <w:szCs w:val="20"/>
                <w:color w:val="auto"/>
              </w:rPr>
            </w:pPr>
            <w:r>
              <w:rPr>
                <w:rFonts w:ascii="Arial" w:cs="Arial" w:eastAsia="Arial" w:hAnsi="Arial"/>
                <w:sz w:val="14"/>
                <w:szCs w:val="14"/>
                <w:color w:val="auto"/>
              </w:rPr>
              <w:t>57.35-</w:t>
            </w:r>
          </w:p>
        </w:tc>
        <w:tc>
          <w:tcPr>
            <w:tcW w:w="36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148"/>
              <w:spacing w:after="0"/>
              <w:rPr>
                <w:sz w:val="20"/>
                <w:szCs w:val="20"/>
                <w:color w:val="auto"/>
              </w:rPr>
            </w:pPr>
            <w:r>
              <w:rPr>
                <w:rFonts w:ascii="Arial" w:cs="Arial" w:eastAsia="Arial" w:hAnsi="Arial"/>
                <w:sz w:val="14"/>
                <w:szCs w:val="14"/>
                <w:color w:val="auto"/>
              </w:rPr>
              <w:t>47.86-</w:t>
            </w:r>
          </w:p>
        </w:tc>
        <w:tc>
          <w:tcPr>
            <w:tcW w:w="3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520" w:type="dxa"/>
            <w:vAlign w:val="bottom"/>
          </w:tcPr>
          <w:p>
            <w:pPr>
              <w:jc w:val="right"/>
              <w:spacing w:after="0"/>
              <w:rPr>
                <w:sz w:val="20"/>
                <w:szCs w:val="20"/>
                <w:color w:val="auto"/>
              </w:rPr>
            </w:pPr>
            <w:r>
              <w:rPr>
                <w:rFonts w:ascii="Arial" w:cs="Arial" w:eastAsia="Arial" w:hAnsi="Arial"/>
                <w:sz w:val="14"/>
                <w:szCs w:val="14"/>
                <w:color w:val="auto"/>
              </w:rPr>
              <w:t>37.93-</w:t>
            </w:r>
          </w:p>
        </w:tc>
        <w:tc>
          <w:tcPr>
            <w:tcW w:w="300" w:type="dxa"/>
            <w:vAlign w:val="bottom"/>
          </w:tcPr>
          <w:p>
            <w:pPr>
              <w:spacing w:after="0"/>
              <w:rPr>
                <w:sz w:val="18"/>
                <w:szCs w:val="18"/>
                <w:color w:val="auto"/>
              </w:rPr>
            </w:pPr>
          </w:p>
        </w:tc>
      </w:tr>
      <w:tr>
        <w:trPr>
          <w:trHeight w:val="216"/>
        </w:trPr>
        <w:tc>
          <w:tcPr>
            <w:tcW w:w="3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jc w:val="right"/>
              <w:ind w:right="148"/>
              <w:spacing w:after="0"/>
              <w:rPr>
                <w:sz w:val="20"/>
                <w:szCs w:val="20"/>
                <w:color w:val="auto"/>
              </w:rPr>
            </w:pPr>
            <w:r>
              <w:rPr>
                <w:rFonts w:ascii="Arial" w:cs="Arial" w:eastAsia="Arial" w:hAnsi="Arial"/>
                <w:sz w:val="14"/>
                <w:szCs w:val="14"/>
                <w:color w:val="auto"/>
              </w:rPr>
              <w:t>34.29</w:t>
            </w:r>
          </w:p>
        </w:tc>
        <w:tc>
          <w:tcPr>
            <w:tcW w:w="380" w:type="dxa"/>
            <w:vAlign w:val="bottom"/>
          </w:tcPr>
          <w:p>
            <w:pPr>
              <w:spacing w:after="0"/>
              <w:rPr>
                <w:sz w:val="18"/>
                <w:szCs w:val="18"/>
                <w:color w:val="auto"/>
              </w:rPr>
            </w:pPr>
          </w:p>
        </w:tc>
        <w:tc>
          <w:tcPr>
            <w:tcW w:w="720" w:type="dxa"/>
            <w:vAlign w:val="bottom"/>
          </w:tcPr>
          <w:p>
            <w:pPr>
              <w:jc w:val="right"/>
              <w:ind w:right="149"/>
              <w:spacing w:after="0"/>
              <w:rPr>
                <w:sz w:val="20"/>
                <w:szCs w:val="20"/>
                <w:color w:val="auto"/>
              </w:rPr>
            </w:pPr>
            <w:r>
              <w:rPr>
                <w:rFonts w:ascii="Arial" w:cs="Arial" w:eastAsia="Arial" w:hAnsi="Arial"/>
                <w:sz w:val="14"/>
                <w:szCs w:val="14"/>
                <w:color w:val="auto"/>
              </w:rPr>
              <w:t>50.95</w:t>
            </w:r>
          </w:p>
        </w:tc>
        <w:tc>
          <w:tcPr>
            <w:tcW w:w="380" w:type="dxa"/>
            <w:vAlign w:val="bottom"/>
          </w:tcPr>
          <w:p>
            <w:pPr>
              <w:spacing w:after="0"/>
              <w:rPr>
                <w:sz w:val="18"/>
                <w:szCs w:val="18"/>
                <w:color w:val="auto"/>
              </w:rPr>
            </w:pPr>
          </w:p>
        </w:tc>
        <w:tc>
          <w:tcPr>
            <w:tcW w:w="740" w:type="dxa"/>
            <w:vAlign w:val="bottom"/>
          </w:tcPr>
          <w:p>
            <w:pPr>
              <w:jc w:val="right"/>
              <w:ind w:right="148"/>
              <w:spacing w:after="0"/>
              <w:rPr>
                <w:sz w:val="20"/>
                <w:szCs w:val="20"/>
                <w:color w:val="auto"/>
              </w:rPr>
            </w:pPr>
            <w:r>
              <w:rPr>
                <w:rFonts w:ascii="Arial" w:cs="Arial" w:eastAsia="Arial" w:hAnsi="Arial"/>
                <w:sz w:val="14"/>
                <w:szCs w:val="14"/>
                <w:color w:val="auto"/>
              </w:rPr>
              <w:t>42.90</w:t>
            </w:r>
          </w:p>
        </w:tc>
        <w:tc>
          <w:tcPr>
            <w:tcW w:w="360" w:type="dxa"/>
            <w:vAlign w:val="bottom"/>
          </w:tcPr>
          <w:p>
            <w:pPr>
              <w:spacing w:after="0"/>
              <w:rPr>
                <w:sz w:val="18"/>
                <w:szCs w:val="18"/>
                <w:color w:val="auto"/>
              </w:rPr>
            </w:pPr>
          </w:p>
        </w:tc>
        <w:tc>
          <w:tcPr>
            <w:tcW w:w="740" w:type="dxa"/>
            <w:vAlign w:val="bottom"/>
          </w:tcPr>
          <w:p>
            <w:pPr>
              <w:jc w:val="right"/>
              <w:ind w:right="148"/>
              <w:spacing w:after="0"/>
              <w:rPr>
                <w:sz w:val="20"/>
                <w:szCs w:val="20"/>
                <w:color w:val="auto"/>
              </w:rPr>
            </w:pPr>
            <w:r>
              <w:rPr>
                <w:rFonts w:ascii="Arial" w:cs="Arial" w:eastAsia="Arial" w:hAnsi="Arial"/>
                <w:sz w:val="14"/>
                <w:szCs w:val="14"/>
                <w:color w:val="auto"/>
              </w:rPr>
              <w:t>35.53</w:t>
            </w:r>
          </w:p>
        </w:tc>
        <w:tc>
          <w:tcPr>
            <w:tcW w:w="3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29.51</w:t>
            </w:r>
          </w:p>
        </w:tc>
        <w:tc>
          <w:tcPr>
            <w:tcW w:w="300" w:type="dxa"/>
            <w:vAlign w:val="bottom"/>
          </w:tcPr>
          <w:p>
            <w:pPr>
              <w:spacing w:after="0"/>
              <w:rPr>
                <w:sz w:val="18"/>
                <w:szCs w:val="18"/>
                <w:color w:val="auto"/>
              </w:rPr>
            </w:pPr>
          </w:p>
        </w:tc>
      </w:tr>
      <w:tr>
        <w:trPr>
          <w:trHeight w:val="216"/>
        </w:trPr>
        <w:tc>
          <w:tcPr>
            <w:tcW w:w="3560" w:type="dxa"/>
            <w:vAlign w:val="bottom"/>
          </w:tcPr>
          <w:p>
            <w:pPr>
              <w:spacing w:after="0"/>
              <w:rPr>
                <w:sz w:val="20"/>
                <w:szCs w:val="20"/>
                <w:color w:val="auto"/>
              </w:rPr>
            </w:pPr>
            <w:r>
              <w:rPr>
                <w:rFonts w:ascii="Arial" w:cs="Arial" w:eastAsia="Arial" w:hAnsi="Arial"/>
                <w:sz w:val="14"/>
                <w:szCs w:val="14"/>
                <w:color w:val="auto"/>
              </w:rPr>
              <w:t>Weighted average rate base:</w:t>
            </w: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r>
      <w:tr>
        <w:trPr>
          <w:trHeight w:val="216"/>
        </w:trPr>
        <w:tc>
          <w:tcPr>
            <w:tcW w:w="3560" w:type="dxa"/>
            <w:vAlign w:val="bottom"/>
          </w:tcPr>
          <w:p>
            <w:pPr>
              <w:ind w:left="180"/>
              <w:spacing w:after="0"/>
              <w:rPr>
                <w:sz w:val="20"/>
                <w:szCs w:val="20"/>
                <w:color w:val="auto"/>
              </w:rPr>
            </w:pPr>
            <w:r>
              <w:rPr>
                <w:rFonts w:ascii="Arial" w:cs="Arial" w:eastAsia="Arial" w:hAnsi="Arial"/>
                <w:sz w:val="14"/>
                <w:szCs w:val="14"/>
                <w:color w:val="auto"/>
              </w:rPr>
              <w:t>SoCalGas</w:t>
            </w:r>
          </w:p>
        </w:tc>
        <w:tc>
          <w:tcPr>
            <w:tcW w:w="3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148"/>
              <w:spacing w:after="0"/>
              <w:rPr>
                <w:sz w:val="20"/>
                <w:szCs w:val="20"/>
                <w:color w:val="auto"/>
              </w:rPr>
            </w:pPr>
            <w:r>
              <w:rPr>
                <w:rFonts w:ascii="Arial" w:cs="Arial" w:eastAsia="Arial" w:hAnsi="Arial"/>
                <w:sz w:val="14"/>
                <w:szCs w:val="14"/>
                <w:color w:val="auto"/>
              </w:rPr>
              <w:t>2,702</w:t>
            </w:r>
          </w:p>
        </w:tc>
        <w:tc>
          <w:tcPr>
            <w:tcW w:w="3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149"/>
              <w:spacing w:after="0"/>
              <w:rPr>
                <w:sz w:val="20"/>
                <w:szCs w:val="20"/>
                <w:color w:val="auto"/>
              </w:rPr>
            </w:pPr>
            <w:r>
              <w:rPr>
                <w:rFonts w:ascii="Arial" w:cs="Arial" w:eastAsia="Arial" w:hAnsi="Arial"/>
                <w:sz w:val="14"/>
                <w:szCs w:val="14"/>
                <w:color w:val="auto"/>
              </w:rPr>
              <w:t>2,642</w:t>
            </w:r>
          </w:p>
        </w:tc>
        <w:tc>
          <w:tcPr>
            <w:tcW w:w="38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148"/>
              <w:spacing w:after="0"/>
              <w:rPr>
                <w:sz w:val="20"/>
                <w:szCs w:val="20"/>
                <w:color w:val="auto"/>
              </w:rPr>
            </w:pPr>
            <w:r>
              <w:rPr>
                <w:rFonts w:ascii="Arial" w:cs="Arial" w:eastAsia="Arial" w:hAnsi="Arial"/>
                <w:sz w:val="14"/>
                <w:szCs w:val="14"/>
                <w:color w:val="auto"/>
              </w:rPr>
              <w:t>2,477</w:t>
            </w:r>
          </w:p>
        </w:tc>
        <w:tc>
          <w:tcPr>
            <w:tcW w:w="36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148"/>
              <w:spacing w:after="0"/>
              <w:rPr>
                <w:sz w:val="20"/>
                <w:szCs w:val="20"/>
                <w:color w:val="auto"/>
              </w:rPr>
            </w:pPr>
            <w:r>
              <w:rPr>
                <w:rFonts w:ascii="Arial" w:cs="Arial" w:eastAsia="Arial" w:hAnsi="Arial"/>
                <w:sz w:val="14"/>
                <w:szCs w:val="14"/>
                <w:color w:val="auto"/>
              </w:rPr>
              <w:t>2,386</w:t>
            </w:r>
          </w:p>
        </w:tc>
        <w:tc>
          <w:tcPr>
            <w:tcW w:w="3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520" w:type="dxa"/>
            <w:vAlign w:val="bottom"/>
          </w:tcPr>
          <w:p>
            <w:pPr>
              <w:jc w:val="right"/>
              <w:spacing w:after="0"/>
              <w:rPr>
                <w:sz w:val="20"/>
                <w:szCs w:val="20"/>
                <w:color w:val="auto"/>
              </w:rPr>
            </w:pPr>
            <w:r>
              <w:rPr>
                <w:rFonts w:ascii="Arial" w:cs="Arial" w:eastAsia="Arial" w:hAnsi="Arial"/>
                <w:sz w:val="14"/>
                <w:szCs w:val="14"/>
                <w:color w:val="auto"/>
              </w:rPr>
              <w:t>2,351</w:t>
            </w:r>
          </w:p>
        </w:tc>
        <w:tc>
          <w:tcPr>
            <w:tcW w:w="300" w:type="dxa"/>
            <w:vAlign w:val="bottom"/>
          </w:tcPr>
          <w:p>
            <w:pPr>
              <w:spacing w:after="0"/>
              <w:rPr>
                <w:sz w:val="18"/>
                <w:szCs w:val="18"/>
                <w:color w:val="auto"/>
              </w:rPr>
            </w:pPr>
          </w:p>
        </w:tc>
      </w:tr>
      <w:tr>
        <w:trPr>
          <w:trHeight w:val="216"/>
        </w:trPr>
        <w:tc>
          <w:tcPr>
            <w:tcW w:w="3560" w:type="dxa"/>
            <w:vAlign w:val="bottom"/>
          </w:tcPr>
          <w:p>
            <w:pPr>
              <w:ind w:left="180"/>
              <w:spacing w:after="0"/>
              <w:rPr>
                <w:sz w:val="20"/>
                <w:szCs w:val="20"/>
                <w:color w:val="auto"/>
              </w:rPr>
            </w:pPr>
            <w:r>
              <w:rPr>
                <w:rFonts w:ascii="Arial" w:cs="Arial" w:eastAsia="Arial" w:hAnsi="Arial"/>
                <w:sz w:val="14"/>
                <w:szCs w:val="14"/>
                <w:color w:val="auto"/>
              </w:rPr>
              <w:t>SDG&amp;E</w:t>
            </w:r>
          </w:p>
        </w:tc>
        <w:tc>
          <w:tcPr>
            <w:tcW w:w="3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148"/>
              <w:spacing w:after="0"/>
              <w:rPr>
                <w:sz w:val="20"/>
                <w:szCs w:val="20"/>
                <w:color w:val="auto"/>
              </w:rPr>
            </w:pPr>
            <w:r>
              <w:rPr>
                <w:rFonts w:ascii="Arial" w:cs="Arial" w:eastAsia="Arial" w:hAnsi="Arial"/>
                <w:sz w:val="14"/>
                <w:szCs w:val="14"/>
                <w:color w:val="auto"/>
              </w:rPr>
              <w:t>4,050</w:t>
            </w:r>
          </w:p>
        </w:tc>
        <w:tc>
          <w:tcPr>
            <w:tcW w:w="3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149"/>
              <w:spacing w:after="0"/>
              <w:rPr>
                <w:sz w:val="20"/>
                <w:szCs w:val="20"/>
                <w:color w:val="auto"/>
              </w:rPr>
            </w:pPr>
            <w:r>
              <w:rPr>
                <w:rFonts w:ascii="Arial" w:cs="Arial" w:eastAsia="Arial" w:hAnsi="Arial"/>
                <w:sz w:val="14"/>
                <w:szCs w:val="14"/>
                <w:color w:val="auto"/>
              </w:rPr>
              <w:t>3,846</w:t>
            </w:r>
          </w:p>
        </w:tc>
        <w:tc>
          <w:tcPr>
            <w:tcW w:w="38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148"/>
              <w:spacing w:after="0"/>
              <w:rPr>
                <w:sz w:val="20"/>
                <w:szCs w:val="20"/>
                <w:color w:val="auto"/>
              </w:rPr>
            </w:pPr>
            <w:r>
              <w:rPr>
                <w:rFonts w:ascii="Arial" w:cs="Arial" w:eastAsia="Arial" w:hAnsi="Arial"/>
                <w:sz w:val="14"/>
                <w:szCs w:val="14"/>
                <w:color w:val="auto"/>
              </w:rPr>
              <w:t>3,474</w:t>
            </w:r>
          </w:p>
        </w:tc>
        <w:tc>
          <w:tcPr>
            <w:tcW w:w="36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148"/>
              <w:spacing w:after="0"/>
              <w:rPr>
                <w:sz w:val="20"/>
                <w:szCs w:val="20"/>
                <w:color w:val="auto"/>
              </w:rPr>
            </w:pPr>
            <w:r>
              <w:rPr>
                <w:rFonts w:ascii="Arial" w:cs="Arial" w:eastAsia="Arial" w:hAnsi="Arial"/>
                <w:sz w:val="14"/>
                <w:szCs w:val="14"/>
                <w:color w:val="auto"/>
              </w:rPr>
              <w:t>2,902</w:t>
            </w:r>
          </w:p>
        </w:tc>
        <w:tc>
          <w:tcPr>
            <w:tcW w:w="3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520" w:type="dxa"/>
            <w:vAlign w:val="bottom"/>
          </w:tcPr>
          <w:p>
            <w:pPr>
              <w:jc w:val="right"/>
              <w:spacing w:after="0"/>
              <w:rPr>
                <w:sz w:val="20"/>
                <w:szCs w:val="20"/>
                <w:color w:val="auto"/>
              </w:rPr>
            </w:pPr>
            <w:r>
              <w:rPr>
                <w:rFonts w:ascii="Arial" w:cs="Arial" w:eastAsia="Arial" w:hAnsi="Arial"/>
                <w:sz w:val="14"/>
                <w:szCs w:val="14"/>
                <w:color w:val="auto"/>
              </w:rPr>
              <w:t>2,755</w:t>
            </w:r>
          </w:p>
        </w:tc>
        <w:tc>
          <w:tcPr>
            <w:tcW w:w="300" w:type="dxa"/>
            <w:vAlign w:val="bottom"/>
          </w:tcPr>
          <w:p>
            <w:pPr>
              <w:spacing w:after="0"/>
              <w:rPr>
                <w:sz w:val="18"/>
                <w:szCs w:val="18"/>
                <w:color w:val="auto"/>
              </w:rPr>
            </w:pPr>
          </w:p>
        </w:tc>
      </w:tr>
      <w:tr>
        <w:trPr>
          <w:trHeight w:val="432"/>
        </w:trPr>
        <w:tc>
          <w:tcPr>
            <w:tcW w:w="3560" w:type="dxa"/>
            <w:vAlign w:val="bottom"/>
          </w:tcPr>
          <w:p>
            <w:pPr>
              <w:spacing w:after="0"/>
              <w:rPr>
                <w:sz w:val="20"/>
                <w:szCs w:val="20"/>
                <w:color w:val="auto"/>
              </w:rPr>
            </w:pPr>
            <w:r>
              <w:rPr>
                <w:rFonts w:ascii="Arial" w:cs="Arial" w:eastAsia="Arial" w:hAnsi="Arial"/>
                <w:sz w:val="14"/>
                <w:szCs w:val="14"/>
                <w:color w:val="auto"/>
              </w:rPr>
              <w:t>AT DECEMBER 31</w:t>
            </w:r>
          </w:p>
        </w:tc>
        <w:tc>
          <w:tcPr>
            <w:tcW w:w="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216"/>
        </w:trPr>
        <w:tc>
          <w:tcPr>
            <w:tcW w:w="3560" w:type="dxa"/>
            <w:vAlign w:val="bottom"/>
          </w:tcPr>
          <w:p>
            <w:pPr>
              <w:spacing w:after="0"/>
              <w:rPr>
                <w:sz w:val="20"/>
                <w:szCs w:val="20"/>
                <w:color w:val="auto"/>
              </w:rPr>
            </w:pPr>
            <w:r>
              <w:rPr>
                <w:rFonts w:ascii="Arial" w:cs="Arial" w:eastAsia="Arial" w:hAnsi="Arial"/>
                <w:sz w:val="14"/>
                <w:szCs w:val="14"/>
                <w:color w:val="auto"/>
              </w:rPr>
              <w:t>Current assets*</w:t>
            </w:r>
          </w:p>
        </w:tc>
        <w:tc>
          <w:tcPr>
            <w:tcW w:w="3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148"/>
              <w:spacing w:after="0"/>
              <w:rPr>
                <w:sz w:val="20"/>
                <w:szCs w:val="20"/>
                <w:color w:val="auto"/>
              </w:rPr>
            </w:pPr>
            <w:r>
              <w:rPr>
                <w:rFonts w:ascii="Arial" w:cs="Arial" w:eastAsia="Arial" w:hAnsi="Arial"/>
                <w:sz w:val="14"/>
                <w:szCs w:val="14"/>
                <w:color w:val="auto"/>
              </w:rPr>
              <w:t>2,476</w:t>
            </w:r>
          </w:p>
        </w:tc>
        <w:tc>
          <w:tcPr>
            <w:tcW w:w="3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149"/>
              <w:spacing w:after="0"/>
              <w:rPr>
                <w:sz w:val="20"/>
                <w:szCs w:val="20"/>
                <w:color w:val="auto"/>
              </w:rPr>
            </w:pPr>
            <w:r>
              <w:rPr>
                <w:rFonts w:ascii="Arial" w:cs="Arial" w:eastAsia="Arial" w:hAnsi="Arial"/>
                <w:sz w:val="14"/>
                <w:szCs w:val="14"/>
                <w:color w:val="auto"/>
              </w:rPr>
              <w:t>9,964</w:t>
            </w:r>
          </w:p>
        </w:tc>
        <w:tc>
          <w:tcPr>
            <w:tcW w:w="38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148"/>
              <w:spacing w:after="0"/>
              <w:rPr>
                <w:sz w:val="20"/>
                <w:szCs w:val="20"/>
                <w:color w:val="auto"/>
              </w:rPr>
            </w:pPr>
            <w:r>
              <w:rPr>
                <w:rFonts w:ascii="Arial" w:cs="Arial" w:eastAsia="Arial" w:hAnsi="Arial"/>
                <w:sz w:val="14"/>
                <w:szCs w:val="14"/>
                <w:color w:val="auto"/>
              </w:rPr>
              <w:t>10,766</w:t>
            </w:r>
          </w:p>
        </w:tc>
        <w:tc>
          <w:tcPr>
            <w:tcW w:w="36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148"/>
              <w:spacing w:after="0"/>
              <w:rPr>
                <w:sz w:val="20"/>
                <w:szCs w:val="20"/>
                <w:color w:val="auto"/>
              </w:rPr>
            </w:pPr>
            <w:r>
              <w:rPr>
                <w:rFonts w:ascii="Arial" w:cs="Arial" w:eastAsia="Arial" w:hAnsi="Arial"/>
                <w:sz w:val="14"/>
                <w:szCs w:val="14"/>
                <w:color w:val="auto"/>
              </w:rPr>
              <w:t>12,827</w:t>
            </w:r>
          </w:p>
        </w:tc>
        <w:tc>
          <w:tcPr>
            <w:tcW w:w="3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520" w:type="dxa"/>
            <w:vAlign w:val="bottom"/>
          </w:tcPr>
          <w:p>
            <w:pPr>
              <w:jc w:val="right"/>
              <w:spacing w:after="0"/>
              <w:rPr>
                <w:sz w:val="20"/>
                <w:szCs w:val="20"/>
                <w:color w:val="auto"/>
              </w:rPr>
            </w:pPr>
            <w:r>
              <w:rPr>
                <w:rFonts w:ascii="Arial" w:cs="Arial" w:eastAsia="Arial" w:hAnsi="Arial"/>
                <w:sz w:val="14"/>
                <w:szCs w:val="14"/>
                <w:color w:val="auto"/>
              </w:rPr>
              <w:t>9,156</w:t>
            </w:r>
          </w:p>
        </w:tc>
        <w:tc>
          <w:tcPr>
            <w:tcW w:w="300" w:type="dxa"/>
            <w:vAlign w:val="bottom"/>
          </w:tcPr>
          <w:p>
            <w:pPr>
              <w:spacing w:after="0"/>
              <w:rPr>
                <w:sz w:val="18"/>
                <w:szCs w:val="18"/>
                <w:color w:val="auto"/>
              </w:rPr>
            </w:pPr>
          </w:p>
        </w:tc>
      </w:tr>
      <w:tr>
        <w:trPr>
          <w:trHeight w:val="216"/>
        </w:trPr>
        <w:tc>
          <w:tcPr>
            <w:tcW w:w="3560" w:type="dxa"/>
            <w:vAlign w:val="bottom"/>
          </w:tcPr>
          <w:p>
            <w:pPr>
              <w:spacing w:after="0"/>
              <w:rPr>
                <w:sz w:val="20"/>
                <w:szCs w:val="20"/>
                <w:color w:val="auto"/>
              </w:rPr>
            </w:pPr>
            <w:r>
              <w:rPr>
                <w:rFonts w:ascii="Arial" w:cs="Arial" w:eastAsia="Arial" w:hAnsi="Arial"/>
                <w:sz w:val="14"/>
                <w:szCs w:val="14"/>
                <w:color w:val="auto"/>
              </w:rPr>
              <w:t>Total assets*</w:t>
            </w:r>
          </w:p>
        </w:tc>
        <w:tc>
          <w:tcPr>
            <w:tcW w:w="3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148"/>
              <w:spacing w:after="0"/>
              <w:rPr>
                <w:sz w:val="20"/>
                <w:szCs w:val="20"/>
                <w:color w:val="auto"/>
              </w:rPr>
            </w:pPr>
            <w:r>
              <w:rPr>
                <w:rFonts w:ascii="Arial" w:cs="Arial" w:eastAsia="Arial" w:hAnsi="Arial"/>
                <w:sz w:val="14"/>
                <w:szCs w:val="14"/>
                <w:color w:val="auto"/>
              </w:rPr>
              <w:t>26,400</w:t>
            </w:r>
          </w:p>
        </w:tc>
        <w:tc>
          <w:tcPr>
            <w:tcW w:w="3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149"/>
              <w:spacing w:after="0"/>
              <w:rPr>
                <w:sz w:val="20"/>
                <w:szCs w:val="20"/>
                <w:color w:val="auto"/>
              </w:rPr>
            </w:pPr>
            <w:r>
              <w:rPr>
                <w:rFonts w:ascii="Arial" w:cs="Arial" w:eastAsia="Arial" w:hAnsi="Arial"/>
                <w:sz w:val="14"/>
                <w:szCs w:val="14"/>
                <w:color w:val="auto"/>
              </w:rPr>
              <w:t>28,717</w:t>
            </w:r>
          </w:p>
        </w:tc>
        <w:tc>
          <w:tcPr>
            <w:tcW w:w="38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148"/>
              <w:spacing w:after="0"/>
              <w:rPr>
                <w:sz w:val="20"/>
                <w:szCs w:val="20"/>
                <w:color w:val="auto"/>
              </w:rPr>
            </w:pPr>
            <w:r>
              <w:rPr>
                <w:rFonts w:ascii="Arial" w:cs="Arial" w:eastAsia="Arial" w:hAnsi="Arial"/>
                <w:sz w:val="14"/>
                <w:szCs w:val="14"/>
                <w:color w:val="auto"/>
              </w:rPr>
              <w:t>27,699</w:t>
            </w:r>
          </w:p>
        </w:tc>
        <w:tc>
          <w:tcPr>
            <w:tcW w:w="36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148"/>
              <w:spacing w:after="0"/>
              <w:rPr>
                <w:sz w:val="20"/>
                <w:szCs w:val="20"/>
                <w:color w:val="auto"/>
              </w:rPr>
            </w:pPr>
            <w:r>
              <w:rPr>
                <w:rFonts w:ascii="Arial" w:cs="Arial" w:eastAsia="Arial" w:hAnsi="Arial"/>
                <w:sz w:val="14"/>
                <w:szCs w:val="14"/>
                <w:color w:val="auto"/>
              </w:rPr>
              <w:t>28,246</w:t>
            </w:r>
          </w:p>
        </w:tc>
        <w:tc>
          <w:tcPr>
            <w:tcW w:w="3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520" w:type="dxa"/>
            <w:vAlign w:val="bottom"/>
          </w:tcPr>
          <w:p>
            <w:pPr>
              <w:jc w:val="right"/>
              <w:spacing w:after="0"/>
              <w:rPr>
                <w:sz w:val="20"/>
                <w:szCs w:val="20"/>
                <w:color w:val="auto"/>
              </w:rPr>
            </w:pPr>
            <w:r>
              <w:rPr>
                <w:rFonts w:ascii="Arial" w:cs="Arial" w:eastAsia="Arial" w:hAnsi="Arial"/>
                <w:sz w:val="14"/>
                <w:szCs w:val="14"/>
                <w:color w:val="auto"/>
              </w:rPr>
              <w:t>23,697</w:t>
            </w:r>
          </w:p>
        </w:tc>
        <w:tc>
          <w:tcPr>
            <w:tcW w:w="300" w:type="dxa"/>
            <w:vAlign w:val="bottom"/>
          </w:tcPr>
          <w:p>
            <w:pPr>
              <w:spacing w:after="0"/>
              <w:rPr>
                <w:sz w:val="18"/>
                <w:szCs w:val="18"/>
                <w:color w:val="auto"/>
              </w:rPr>
            </w:pPr>
          </w:p>
        </w:tc>
      </w:tr>
      <w:tr>
        <w:trPr>
          <w:trHeight w:val="216"/>
        </w:trPr>
        <w:tc>
          <w:tcPr>
            <w:tcW w:w="3560" w:type="dxa"/>
            <w:vAlign w:val="bottom"/>
          </w:tcPr>
          <w:p>
            <w:pPr>
              <w:spacing w:after="0"/>
              <w:rPr>
                <w:sz w:val="20"/>
                <w:szCs w:val="20"/>
                <w:color w:val="auto"/>
              </w:rPr>
            </w:pPr>
            <w:r>
              <w:rPr>
                <w:rFonts w:ascii="Arial" w:cs="Arial" w:eastAsia="Arial" w:hAnsi="Arial"/>
                <w:sz w:val="14"/>
                <w:szCs w:val="14"/>
                <w:color w:val="auto"/>
              </w:rPr>
              <w:t>Current liabilities*</w:t>
            </w:r>
          </w:p>
        </w:tc>
        <w:tc>
          <w:tcPr>
            <w:tcW w:w="3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148"/>
              <w:spacing w:after="0"/>
              <w:rPr>
                <w:sz w:val="20"/>
                <w:szCs w:val="20"/>
                <w:color w:val="auto"/>
              </w:rPr>
            </w:pPr>
            <w:r>
              <w:rPr>
                <w:rFonts w:ascii="Arial" w:cs="Arial" w:eastAsia="Arial" w:hAnsi="Arial"/>
                <w:sz w:val="14"/>
                <w:szCs w:val="14"/>
                <w:color w:val="auto"/>
              </w:rPr>
              <w:t>3,612</w:t>
            </w:r>
          </w:p>
        </w:tc>
        <w:tc>
          <w:tcPr>
            <w:tcW w:w="3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149"/>
              <w:spacing w:after="0"/>
              <w:rPr>
                <w:sz w:val="20"/>
                <w:szCs w:val="20"/>
                <w:color w:val="auto"/>
              </w:rPr>
            </w:pPr>
            <w:r>
              <w:rPr>
                <w:rFonts w:ascii="Arial" w:cs="Arial" w:eastAsia="Arial" w:hAnsi="Arial"/>
                <w:sz w:val="14"/>
                <w:szCs w:val="14"/>
                <w:color w:val="auto"/>
              </w:rPr>
              <w:t>9,020</w:t>
            </w:r>
          </w:p>
        </w:tc>
        <w:tc>
          <w:tcPr>
            <w:tcW w:w="38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148"/>
              <w:spacing w:after="0"/>
              <w:rPr>
                <w:sz w:val="20"/>
                <w:szCs w:val="20"/>
                <w:color w:val="auto"/>
              </w:rPr>
            </w:pPr>
            <w:r>
              <w:rPr>
                <w:rFonts w:ascii="Arial" w:cs="Arial" w:eastAsia="Arial" w:hAnsi="Arial"/>
                <w:sz w:val="14"/>
                <w:szCs w:val="14"/>
                <w:color w:val="auto"/>
              </w:rPr>
              <w:t>9,099</w:t>
            </w:r>
          </w:p>
        </w:tc>
        <w:tc>
          <w:tcPr>
            <w:tcW w:w="36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148"/>
              <w:spacing w:after="0"/>
              <w:rPr>
                <w:sz w:val="20"/>
                <w:szCs w:val="20"/>
                <w:color w:val="auto"/>
              </w:rPr>
            </w:pPr>
            <w:r>
              <w:rPr>
                <w:rFonts w:ascii="Arial" w:cs="Arial" w:eastAsia="Arial" w:hAnsi="Arial"/>
                <w:sz w:val="14"/>
                <w:szCs w:val="14"/>
                <w:color w:val="auto"/>
              </w:rPr>
              <w:t>11,253</w:t>
            </w:r>
          </w:p>
        </w:tc>
        <w:tc>
          <w:tcPr>
            <w:tcW w:w="3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520" w:type="dxa"/>
            <w:vAlign w:val="bottom"/>
          </w:tcPr>
          <w:p>
            <w:pPr>
              <w:jc w:val="right"/>
              <w:spacing w:after="0"/>
              <w:rPr>
                <w:sz w:val="20"/>
                <w:szCs w:val="20"/>
                <w:color w:val="auto"/>
              </w:rPr>
            </w:pPr>
            <w:r>
              <w:rPr>
                <w:rFonts w:ascii="Arial" w:cs="Arial" w:eastAsia="Arial" w:hAnsi="Arial"/>
                <w:sz w:val="14"/>
                <w:szCs w:val="14"/>
                <w:color w:val="auto"/>
              </w:rPr>
              <w:t>9,033</w:t>
            </w:r>
          </w:p>
        </w:tc>
        <w:tc>
          <w:tcPr>
            <w:tcW w:w="300" w:type="dxa"/>
            <w:vAlign w:val="bottom"/>
          </w:tcPr>
          <w:p>
            <w:pPr>
              <w:spacing w:after="0"/>
              <w:rPr>
                <w:sz w:val="18"/>
                <w:szCs w:val="18"/>
                <w:color w:val="auto"/>
              </w:rPr>
            </w:pPr>
          </w:p>
        </w:tc>
      </w:tr>
      <w:tr>
        <w:trPr>
          <w:trHeight w:val="216"/>
        </w:trPr>
        <w:tc>
          <w:tcPr>
            <w:tcW w:w="3560" w:type="dxa"/>
            <w:vAlign w:val="bottom"/>
          </w:tcPr>
          <w:p>
            <w:pPr>
              <w:spacing w:after="0"/>
              <w:rPr>
                <w:sz w:val="20"/>
                <w:szCs w:val="20"/>
                <w:color w:val="auto"/>
              </w:rPr>
            </w:pPr>
            <w:r>
              <w:rPr>
                <w:rFonts w:ascii="Arial" w:cs="Arial" w:eastAsia="Arial" w:hAnsi="Arial"/>
                <w:sz w:val="14"/>
                <w:szCs w:val="14"/>
                <w:color w:val="auto"/>
              </w:rPr>
              <w:t>Long-term debt (excludes current portion)</w:t>
            </w:r>
          </w:p>
        </w:tc>
        <w:tc>
          <w:tcPr>
            <w:tcW w:w="3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148"/>
              <w:spacing w:after="0"/>
              <w:rPr>
                <w:sz w:val="20"/>
                <w:szCs w:val="20"/>
                <w:color w:val="auto"/>
              </w:rPr>
            </w:pPr>
            <w:r>
              <w:rPr>
                <w:rFonts w:ascii="Arial" w:cs="Arial" w:eastAsia="Arial" w:hAnsi="Arial"/>
                <w:sz w:val="14"/>
                <w:szCs w:val="14"/>
                <w:color w:val="auto"/>
              </w:rPr>
              <w:t>6,544</w:t>
            </w:r>
          </w:p>
        </w:tc>
        <w:tc>
          <w:tcPr>
            <w:tcW w:w="3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149"/>
              <w:spacing w:after="0"/>
              <w:rPr>
                <w:sz w:val="20"/>
                <w:szCs w:val="20"/>
                <w:color w:val="auto"/>
              </w:rPr>
            </w:pPr>
            <w:r>
              <w:rPr>
                <w:rFonts w:ascii="Arial" w:cs="Arial" w:eastAsia="Arial" w:hAnsi="Arial"/>
                <w:sz w:val="14"/>
                <w:szCs w:val="14"/>
                <w:color w:val="auto"/>
              </w:rPr>
              <w:t>4,553</w:t>
            </w:r>
          </w:p>
        </w:tc>
        <w:tc>
          <w:tcPr>
            <w:tcW w:w="38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148"/>
              <w:spacing w:after="0"/>
              <w:rPr>
                <w:sz w:val="20"/>
                <w:szCs w:val="20"/>
                <w:color w:val="auto"/>
              </w:rPr>
            </w:pPr>
            <w:r>
              <w:rPr>
                <w:rFonts w:ascii="Arial" w:cs="Arial" w:eastAsia="Arial" w:hAnsi="Arial"/>
                <w:sz w:val="14"/>
                <w:szCs w:val="14"/>
                <w:color w:val="auto"/>
              </w:rPr>
              <w:t>4,525</w:t>
            </w:r>
          </w:p>
        </w:tc>
        <w:tc>
          <w:tcPr>
            <w:tcW w:w="36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148"/>
              <w:spacing w:after="0"/>
              <w:rPr>
                <w:sz w:val="20"/>
                <w:szCs w:val="20"/>
                <w:color w:val="auto"/>
              </w:rPr>
            </w:pPr>
            <w:r>
              <w:rPr>
                <w:rFonts w:ascii="Arial" w:cs="Arial" w:eastAsia="Arial" w:hAnsi="Arial"/>
                <w:sz w:val="14"/>
                <w:szCs w:val="14"/>
                <w:color w:val="auto"/>
              </w:rPr>
              <w:t>4,815</w:t>
            </w:r>
          </w:p>
        </w:tc>
        <w:tc>
          <w:tcPr>
            <w:tcW w:w="3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520" w:type="dxa"/>
            <w:vAlign w:val="bottom"/>
          </w:tcPr>
          <w:p>
            <w:pPr>
              <w:jc w:val="right"/>
              <w:spacing w:after="0"/>
              <w:rPr>
                <w:sz w:val="20"/>
                <w:szCs w:val="20"/>
                <w:color w:val="auto"/>
              </w:rPr>
            </w:pPr>
            <w:r>
              <w:rPr>
                <w:rFonts w:ascii="Arial" w:cs="Arial" w:eastAsia="Arial" w:hAnsi="Arial"/>
                <w:sz w:val="14"/>
                <w:szCs w:val="14"/>
                <w:color w:val="auto"/>
              </w:rPr>
              <w:t>4,182</w:t>
            </w:r>
          </w:p>
        </w:tc>
        <w:tc>
          <w:tcPr>
            <w:tcW w:w="300" w:type="dxa"/>
            <w:vAlign w:val="bottom"/>
          </w:tcPr>
          <w:p>
            <w:pPr>
              <w:spacing w:after="0"/>
              <w:rPr>
                <w:sz w:val="18"/>
                <w:szCs w:val="18"/>
                <w:color w:val="auto"/>
              </w:rPr>
            </w:pPr>
          </w:p>
        </w:tc>
      </w:tr>
      <w:tr>
        <w:trPr>
          <w:trHeight w:val="216"/>
        </w:trPr>
        <w:tc>
          <w:tcPr>
            <w:tcW w:w="3560" w:type="dxa"/>
            <w:vAlign w:val="bottom"/>
          </w:tcPr>
          <w:p>
            <w:pPr>
              <w:spacing w:after="0"/>
              <w:rPr>
                <w:sz w:val="20"/>
                <w:szCs w:val="20"/>
                <w:color w:val="auto"/>
              </w:rPr>
            </w:pPr>
            <w:r>
              <w:rPr>
                <w:rFonts w:ascii="Arial" w:cs="Arial" w:eastAsia="Arial" w:hAnsi="Arial"/>
                <w:sz w:val="14"/>
                <w:szCs w:val="14"/>
                <w:color w:val="auto"/>
              </w:rPr>
              <w:t>Short-term debt**</w:t>
            </w:r>
          </w:p>
        </w:tc>
        <w:tc>
          <w:tcPr>
            <w:tcW w:w="3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148"/>
              <w:spacing w:after="0"/>
              <w:rPr>
                <w:sz w:val="20"/>
                <w:szCs w:val="20"/>
                <w:color w:val="auto"/>
              </w:rPr>
            </w:pPr>
            <w:r>
              <w:rPr>
                <w:rFonts w:ascii="Arial" w:cs="Arial" w:eastAsia="Arial" w:hAnsi="Arial"/>
                <w:sz w:val="14"/>
                <w:szCs w:val="14"/>
                <w:color w:val="auto"/>
              </w:rPr>
              <w:t>913</w:t>
            </w:r>
          </w:p>
        </w:tc>
        <w:tc>
          <w:tcPr>
            <w:tcW w:w="3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149"/>
              <w:spacing w:after="0"/>
              <w:rPr>
                <w:sz w:val="20"/>
                <w:szCs w:val="20"/>
                <w:color w:val="auto"/>
              </w:rPr>
            </w:pPr>
            <w:r>
              <w:rPr>
                <w:rFonts w:ascii="Arial" w:cs="Arial" w:eastAsia="Arial" w:hAnsi="Arial"/>
                <w:sz w:val="14"/>
                <w:szCs w:val="14"/>
                <w:color w:val="auto"/>
              </w:rPr>
              <w:t>1,071</w:t>
            </w:r>
          </w:p>
        </w:tc>
        <w:tc>
          <w:tcPr>
            <w:tcW w:w="38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148"/>
              <w:spacing w:after="0"/>
              <w:rPr>
                <w:sz w:val="20"/>
                <w:szCs w:val="20"/>
                <w:color w:val="auto"/>
              </w:rPr>
            </w:pPr>
            <w:r>
              <w:rPr>
                <w:rFonts w:ascii="Arial" w:cs="Arial" w:eastAsia="Arial" w:hAnsi="Arial"/>
                <w:sz w:val="14"/>
                <w:szCs w:val="14"/>
                <w:color w:val="auto"/>
              </w:rPr>
              <w:t>933</w:t>
            </w:r>
          </w:p>
        </w:tc>
        <w:tc>
          <w:tcPr>
            <w:tcW w:w="36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148"/>
              <w:spacing w:after="0"/>
              <w:rPr>
                <w:sz w:val="20"/>
                <w:szCs w:val="20"/>
                <w:color w:val="auto"/>
              </w:rPr>
            </w:pPr>
            <w:r>
              <w:rPr>
                <w:rFonts w:ascii="Arial" w:cs="Arial" w:eastAsia="Arial" w:hAnsi="Arial"/>
                <w:sz w:val="14"/>
                <w:szCs w:val="14"/>
                <w:color w:val="auto"/>
              </w:rPr>
              <w:t>1,141</w:t>
            </w:r>
          </w:p>
        </w:tc>
        <w:tc>
          <w:tcPr>
            <w:tcW w:w="3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520" w:type="dxa"/>
            <w:vAlign w:val="bottom"/>
          </w:tcPr>
          <w:p>
            <w:pPr>
              <w:jc w:val="right"/>
              <w:spacing w:after="0"/>
              <w:rPr>
                <w:sz w:val="20"/>
                <w:szCs w:val="20"/>
                <w:color w:val="auto"/>
              </w:rPr>
            </w:pPr>
            <w:r>
              <w:rPr>
                <w:rFonts w:ascii="Arial" w:cs="Arial" w:eastAsia="Arial" w:hAnsi="Arial"/>
                <w:sz w:val="14"/>
                <w:szCs w:val="14"/>
                <w:color w:val="auto"/>
              </w:rPr>
              <w:t>783</w:t>
            </w:r>
          </w:p>
        </w:tc>
        <w:tc>
          <w:tcPr>
            <w:tcW w:w="300" w:type="dxa"/>
            <w:vAlign w:val="bottom"/>
          </w:tcPr>
          <w:p>
            <w:pPr>
              <w:spacing w:after="0"/>
              <w:rPr>
                <w:sz w:val="18"/>
                <w:szCs w:val="18"/>
                <w:color w:val="auto"/>
              </w:rPr>
            </w:pPr>
          </w:p>
        </w:tc>
      </w:tr>
      <w:tr>
        <w:trPr>
          <w:trHeight w:val="216"/>
        </w:trPr>
        <w:tc>
          <w:tcPr>
            <w:tcW w:w="3560" w:type="dxa"/>
            <w:vAlign w:val="bottom"/>
          </w:tcPr>
          <w:p>
            <w:pPr>
              <w:spacing w:after="0"/>
              <w:rPr>
                <w:sz w:val="20"/>
                <w:szCs w:val="20"/>
                <w:color w:val="auto"/>
              </w:rPr>
            </w:pPr>
            <w:r>
              <w:rPr>
                <w:rFonts w:ascii="Arial" w:cs="Arial" w:eastAsia="Arial" w:hAnsi="Arial"/>
                <w:sz w:val="14"/>
                <w:szCs w:val="14"/>
                <w:color w:val="auto"/>
              </w:rPr>
              <w:t>Trust preferred securities</w:t>
            </w:r>
          </w:p>
        </w:tc>
        <w:tc>
          <w:tcPr>
            <w:tcW w:w="3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3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149"/>
              <w:spacing w:after="0"/>
              <w:rPr>
                <w:sz w:val="20"/>
                <w:szCs w:val="20"/>
                <w:color w:val="auto"/>
              </w:rPr>
            </w:pPr>
            <w:r>
              <w:rPr>
                <w:rFonts w:ascii="Arial" w:cs="Arial" w:eastAsia="Arial" w:hAnsi="Arial"/>
                <w:sz w:val="14"/>
                <w:szCs w:val="14"/>
                <w:color w:val="auto"/>
              </w:rPr>
              <w:t>--</w:t>
            </w:r>
          </w:p>
        </w:tc>
        <w:tc>
          <w:tcPr>
            <w:tcW w:w="38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36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3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520" w:type="dxa"/>
            <w:vAlign w:val="bottom"/>
          </w:tcPr>
          <w:p>
            <w:pPr>
              <w:jc w:val="right"/>
              <w:spacing w:after="0"/>
              <w:rPr>
                <w:sz w:val="20"/>
                <w:szCs w:val="20"/>
                <w:color w:val="auto"/>
              </w:rPr>
            </w:pPr>
            <w:r>
              <w:rPr>
                <w:rFonts w:ascii="Arial" w:cs="Arial" w:eastAsia="Arial" w:hAnsi="Arial"/>
                <w:sz w:val="14"/>
                <w:szCs w:val="14"/>
                <w:color w:val="auto"/>
              </w:rPr>
              <w:t>200</w:t>
            </w:r>
          </w:p>
        </w:tc>
        <w:tc>
          <w:tcPr>
            <w:tcW w:w="300" w:type="dxa"/>
            <w:vAlign w:val="bottom"/>
          </w:tcPr>
          <w:p>
            <w:pPr>
              <w:jc w:val="right"/>
              <w:ind w:right="48"/>
              <w:spacing w:after="0"/>
              <w:rPr>
                <w:sz w:val="20"/>
                <w:szCs w:val="20"/>
                <w:color w:val="auto"/>
              </w:rPr>
            </w:pPr>
            <w:r>
              <w:rPr>
                <w:rFonts w:ascii="Arial" w:cs="Arial" w:eastAsia="Arial" w:hAnsi="Arial"/>
                <w:sz w:val="14"/>
                <w:szCs w:val="14"/>
                <w:color w:val="auto"/>
                <w:w w:val="97"/>
              </w:rPr>
              <w:t>***</w:t>
            </w:r>
          </w:p>
        </w:tc>
      </w:tr>
      <w:tr>
        <w:trPr>
          <w:trHeight w:val="216"/>
        </w:trPr>
        <w:tc>
          <w:tcPr>
            <w:tcW w:w="3560" w:type="dxa"/>
            <w:vAlign w:val="bottom"/>
          </w:tcPr>
          <w:p>
            <w:pPr>
              <w:spacing w:after="0"/>
              <w:rPr>
                <w:sz w:val="20"/>
                <w:szCs w:val="20"/>
                <w:color w:val="auto"/>
              </w:rPr>
            </w:pPr>
            <w:r>
              <w:rPr>
                <w:rFonts w:ascii="Arial" w:cs="Arial" w:eastAsia="Arial" w:hAnsi="Arial"/>
                <w:sz w:val="14"/>
                <w:szCs w:val="14"/>
                <w:color w:val="auto"/>
              </w:rPr>
              <w:t>Shareholders’ equity</w:t>
            </w:r>
          </w:p>
        </w:tc>
        <w:tc>
          <w:tcPr>
            <w:tcW w:w="3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148"/>
              <w:spacing w:after="0"/>
              <w:rPr>
                <w:sz w:val="20"/>
                <w:szCs w:val="20"/>
                <w:color w:val="auto"/>
              </w:rPr>
            </w:pPr>
            <w:r>
              <w:rPr>
                <w:rFonts w:ascii="Arial" w:cs="Arial" w:eastAsia="Arial" w:hAnsi="Arial"/>
                <w:sz w:val="14"/>
                <w:szCs w:val="14"/>
                <w:color w:val="auto"/>
              </w:rPr>
              <w:t>7,969</w:t>
            </w:r>
          </w:p>
        </w:tc>
        <w:tc>
          <w:tcPr>
            <w:tcW w:w="3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149"/>
              <w:spacing w:after="0"/>
              <w:rPr>
                <w:sz w:val="20"/>
                <w:szCs w:val="20"/>
                <w:color w:val="auto"/>
              </w:rPr>
            </w:pPr>
            <w:r>
              <w:rPr>
                <w:rFonts w:ascii="Arial" w:cs="Arial" w:eastAsia="Arial" w:hAnsi="Arial"/>
                <w:sz w:val="14"/>
                <w:szCs w:val="14"/>
                <w:color w:val="auto"/>
              </w:rPr>
              <w:t>8,339</w:t>
            </w:r>
          </w:p>
        </w:tc>
        <w:tc>
          <w:tcPr>
            <w:tcW w:w="38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148"/>
              <w:spacing w:after="0"/>
              <w:rPr>
                <w:sz w:val="20"/>
                <w:szCs w:val="20"/>
                <w:color w:val="auto"/>
              </w:rPr>
            </w:pPr>
            <w:r>
              <w:rPr>
                <w:rFonts w:ascii="Arial" w:cs="Arial" w:eastAsia="Arial" w:hAnsi="Arial"/>
                <w:sz w:val="14"/>
                <w:szCs w:val="14"/>
                <w:color w:val="auto"/>
              </w:rPr>
              <w:t>7,511</w:t>
            </w:r>
          </w:p>
        </w:tc>
        <w:tc>
          <w:tcPr>
            <w:tcW w:w="36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148"/>
              <w:spacing w:after="0"/>
              <w:rPr>
                <w:sz w:val="20"/>
                <w:szCs w:val="20"/>
                <w:color w:val="auto"/>
              </w:rPr>
            </w:pPr>
            <w:r>
              <w:rPr>
                <w:rFonts w:ascii="Arial" w:cs="Arial" w:eastAsia="Arial" w:hAnsi="Arial"/>
                <w:sz w:val="14"/>
                <w:szCs w:val="14"/>
                <w:color w:val="auto"/>
              </w:rPr>
              <w:t>6,160</w:t>
            </w:r>
          </w:p>
        </w:tc>
        <w:tc>
          <w:tcPr>
            <w:tcW w:w="3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520" w:type="dxa"/>
            <w:vAlign w:val="bottom"/>
          </w:tcPr>
          <w:p>
            <w:pPr>
              <w:jc w:val="right"/>
              <w:spacing w:after="0"/>
              <w:rPr>
                <w:sz w:val="20"/>
                <w:szCs w:val="20"/>
                <w:color w:val="auto"/>
              </w:rPr>
            </w:pPr>
            <w:r>
              <w:rPr>
                <w:rFonts w:ascii="Arial" w:cs="Arial" w:eastAsia="Arial" w:hAnsi="Arial"/>
                <w:sz w:val="14"/>
                <w:szCs w:val="14"/>
                <w:color w:val="auto"/>
              </w:rPr>
              <w:t>4,865</w:t>
            </w:r>
          </w:p>
        </w:tc>
        <w:tc>
          <w:tcPr>
            <w:tcW w:w="300" w:type="dxa"/>
            <w:vAlign w:val="bottom"/>
          </w:tcPr>
          <w:p>
            <w:pPr>
              <w:spacing w:after="0"/>
              <w:rPr>
                <w:sz w:val="18"/>
                <w:szCs w:val="18"/>
                <w:color w:val="auto"/>
              </w:rPr>
            </w:pPr>
          </w:p>
        </w:tc>
      </w:tr>
      <w:tr>
        <w:trPr>
          <w:trHeight w:val="216"/>
        </w:trPr>
        <w:tc>
          <w:tcPr>
            <w:tcW w:w="3560" w:type="dxa"/>
            <w:vAlign w:val="bottom"/>
          </w:tcPr>
          <w:p>
            <w:pPr>
              <w:spacing w:after="0"/>
              <w:rPr>
                <w:sz w:val="20"/>
                <w:szCs w:val="20"/>
                <w:color w:val="auto"/>
              </w:rPr>
            </w:pPr>
            <w:r>
              <w:rPr>
                <w:rFonts w:ascii="Arial" w:cs="Arial" w:eastAsia="Arial" w:hAnsi="Arial"/>
                <w:sz w:val="14"/>
                <w:szCs w:val="14"/>
                <w:color w:val="auto"/>
              </w:rPr>
              <w:t>Common shares outstanding</w:t>
            </w:r>
          </w:p>
        </w:tc>
        <w:tc>
          <w:tcPr>
            <w:tcW w:w="320" w:type="dxa"/>
            <w:vAlign w:val="bottom"/>
          </w:tcPr>
          <w:p>
            <w:pPr>
              <w:spacing w:after="0"/>
              <w:rPr>
                <w:sz w:val="18"/>
                <w:szCs w:val="18"/>
                <w:color w:val="auto"/>
              </w:rPr>
            </w:pPr>
          </w:p>
        </w:tc>
        <w:tc>
          <w:tcPr>
            <w:tcW w:w="720" w:type="dxa"/>
            <w:vAlign w:val="bottom"/>
          </w:tcPr>
          <w:p>
            <w:pPr>
              <w:jc w:val="right"/>
              <w:ind w:right="148"/>
              <w:spacing w:after="0"/>
              <w:rPr>
                <w:sz w:val="20"/>
                <w:szCs w:val="20"/>
                <w:color w:val="auto"/>
              </w:rPr>
            </w:pPr>
            <w:r>
              <w:rPr>
                <w:rFonts w:ascii="Arial" w:cs="Arial" w:eastAsia="Arial" w:hAnsi="Arial"/>
                <w:sz w:val="14"/>
                <w:szCs w:val="14"/>
                <w:color w:val="auto"/>
              </w:rPr>
              <w:t>243.3</w:t>
            </w:r>
          </w:p>
        </w:tc>
        <w:tc>
          <w:tcPr>
            <w:tcW w:w="380" w:type="dxa"/>
            <w:vAlign w:val="bottom"/>
          </w:tcPr>
          <w:p>
            <w:pPr>
              <w:spacing w:after="0"/>
              <w:rPr>
                <w:sz w:val="18"/>
                <w:szCs w:val="18"/>
                <w:color w:val="auto"/>
              </w:rPr>
            </w:pPr>
          </w:p>
        </w:tc>
        <w:tc>
          <w:tcPr>
            <w:tcW w:w="720" w:type="dxa"/>
            <w:vAlign w:val="bottom"/>
          </w:tcPr>
          <w:p>
            <w:pPr>
              <w:jc w:val="right"/>
              <w:ind w:right="149"/>
              <w:spacing w:after="0"/>
              <w:rPr>
                <w:sz w:val="20"/>
                <w:szCs w:val="20"/>
                <w:color w:val="auto"/>
              </w:rPr>
            </w:pPr>
            <w:r>
              <w:rPr>
                <w:rFonts w:ascii="Arial" w:cs="Arial" w:eastAsia="Arial" w:hAnsi="Arial"/>
                <w:sz w:val="14"/>
                <w:szCs w:val="14"/>
                <w:color w:val="auto"/>
              </w:rPr>
              <w:t>261.2</w:t>
            </w:r>
          </w:p>
        </w:tc>
        <w:tc>
          <w:tcPr>
            <w:tcW w:w="380" w:type="dxa"/>
            <w:vAlign w:val="bottom"/>
          </w:tcPr>
          <w:p>
            <w:pPr>
              <w:spacing w:after="0"/>
              <w:rPr>
                <w:sz w:val="18"/>
                <w:szCs w:val="18"/>
                <w:color w:val="auto"/>
              </w:rPr>
            </w:pPr>
          </w:p>
        </w:tc>
        <w:tc>
          <w:tcPr>
            <w:tcW w:w="740" w:type="dxa"/>
            <w:vAlign w:val="bottom"/>
          </w:tcPr>
          <w:p>
            <w:pPr>
              <w:jc w:val="right"/>
              <w:ind w:right="148"/>
              <w:spacing w:after="0"/>
              <w:rPr>
                <w:sz w:val="20"/>
                <w:szCs w:val="20"/>
                <w:color w:val="auto"/>
              </w:rPr>
            </w:pPr>
            <w:r>
              <w:rPr>
                <w:rFonts w:ascii="Arial" w:cs="Arial" w:eastAsia="Arial" w:hAnsi="Arial"/>
                <w:sz w:val="14"/>
                <w:szCs w:val="14"/>
                <w:color w:val="auto"/>
              </w:rPr>
              <w:t>262.0</w:t>
            </w:r>
          </w:p>
        </w:tc>
        <w:tc>
          <w:tcPr>
            <w:tcW w:w="360" w:type="dxa"/>
            <w:vAlign w:val="bottom"/>
          </w:tcPr>
          <w:p>
            <w:pPr>
              <w:spacing w:after="0"/>
              <w:rPr>
                <w:sz w:val="18"/>
                <w:szCs w:val="18"/>
                <w:color w:val="auto"/>
              </w:rPr>
            </w:pPr>
          </w:p>
        </w:tc>
        <w:tc>
          <w:tcPr>
            <w:tcW w:w="740" w:type="dxa"/>
            <w:vAlign w:val="bottom"/>
          </w:tcPr>
          <w:p>
            <w:pPr>
              <w:jc w:val="right"/>
              <w:ind w:right="148"/>
              <w:spacing w:after="0"/>
              <w:rPr>
                <w:sz w:val="20"/>
                <w:szCs w:val="20"/>
                <w:color w:val="auto"/>
              </w:rPr>
            </w:pPr>
            <w:r>
              <w:rPr>
                <w:rFonts w:ascii="Arial" w:cs="Arial" w:eastAsia="Arial" w:hAnsi="Arial"/>
                <w:sz w:val="14"/>
                <w:szCs w:val="14"/>
                <w:color w:val="auto"/>
              </w:rPr>
              <w:t>257.2</w:t>
            </w:r>
          </w:p>
        </w:tc>
        <w:tc>
          <w:tcPr>
            <w:tcW w:w="3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234.2</w:t>
            </w:r>
          </w:p>
        </w:tc>
        <w:tc>
          <w:tcPr>
            <w:tcW w:w="300" w:type="dxa"/>
            <w:vAlign w:val="bottom"/>
          </w:tcPr>
          <w:p>
            <w:pPr>
              <w:spacing w:after="0"/>
              <w:rPr>
                <w:sz w:val="18"/>
                <w:szCs w:val="18"/>
                <w:color w:val="auto"/>
              </w:rPr>
            </w:pPr>
          </w:p>
        </w:tc>
      </w:tr>
      <w:tr>
        <w:trPr>
          <w:trHeight w:val="238"/>
        </w:trPr>
        <w:tc>
          <w:tcPr>
            <w:tcW w:w="35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Book value per share</w:t>
            </w:r>
          </w:p>
        </w:tc>
        <w:tc>
          <w:tcPr>
            <w:tcW w:w="3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32.75</w:t>
            </w:r>
          </w:p>
        </w:tc>
        <w:tc>
          <w:tcPr>
            <w:tcW w:w="3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ind w:right="149"/>
              <w:spacing w:after="0"/>
              <w:rPr>
                <w:sz w:val="20"/>
                <w:szCs w:val="20"/>
                <w:color w:val="auto"/>
              </w:rPr>
            </w:pPr>
            <w:r>
              <w:rPr>
                <w:rFonts w:ascii="Arial" w:cs="Arial" w:eastAsia="Arial" w:hAnsi="Arial"/>
                <w:sz w:val="14"/>
                <w:szCs w:val="14"/>
                <w:color w:val="auto"/>
              </w:rPr>
              <w:t>31.93</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28.67</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23.95</w:t>
            </w:r>
          </w:p>
        </w:tc>
        <w:tc>
          <w:tcPr>
            <w:tcW w:w="3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20.77</w:t>
            </w:r>
          </w:p>
        </w:tc>
        <w:tc>
          <w:tcPr>
            <w:tcW w:w="300" w:type="dxa"/>
            <w:vAlign w:val="bottom"/>
            <w:tcBorders>
              <w:bottom w:val="single" w:sz="8" w:color="auto"/>
            </w:tcBorders>
          </w:tcPr>
          <w:p>
            <w:pPr>
              <w:spacing w:after="0"/>
              <w:rPr>
                <w:sz w:val="20"/>
                <w:szCs w:val="20"/>
                <w:color w:val="auto"/>
              </w:rPr>
            </w:pPr>
          </w:p>
        </w:tc>
      </w:tr>
    </w:tbl>
    <w:p>
      <w:pPr>
        <w:spacing w:after="0" w:line="16" w:lineRule="exact"/>
        <w:rPr>
          <w:sz w:val="20"/>
          <w:szCs w:val="20"/>
          <w:color w:val="auto"/>
        </w:rPr>
      </w:pPr>
    </w:p>
    <w:p>
      <w:pPr>
        <w:ind w:left="1660" w:hanging="493"/>
        <w:spacing w:after="0"/>
        <w:tabs>
          <w:tab w:leader="none" w:pos="1660" w:val="left"/>
        </w:tabs>
        <w:numPr>
          <w:ilvl w:val="0"/>
          <w:numId w:val="305"/>
        </w:numPr>
        <w:rPr>
          <w:rFonts w:ascii="Arial" w:cs="Arial" w:eastAsia="Arial" w:hAnsi="Arial"/>
          <w:sz w:val="13"/>
          <w:szCs w:val="13"/>
          <w:i w:val="1"/>
          <w:iCs w:val="1"/>
          <w:color w:val="auto"/>
        </w:rPr>
      </w:pPr>
      <w:r>
        <w:rPr>
          <w:rFonts w:ascii="Arial" w:cs="Arial" w:eastAsia="Arial" w:hAnsi="Arial"/>
          <w:sz w:val="13"/>
          <w:szCs w:val="13"/>
          <w:i w:val="1"/>
          <w:iCs w:val="1"/>
          <w:color w:val="auto"/>
        </w:rPr>
        <w:t>As adjusted in 2004 through 2007 for the retrospective adoption of FASB Staff Position FIN 39-1.</w:t>
      </w:r>
    </w:p>
    <w:p>
      <w:pPr>
        <w:spacing w:after="0" w:line="42" w:lineRule="exact"/>
        <w:rPr>
          <w:rFonts w:ascii="Arial" w:cs="Arial" w:eastAsia="Arial" w:hAnsi="Arial"/>
          <w:sz w:val="13"/>
          <w:szCs w:val="13"/>
          <w:i w:val="1"/>
          <w:iCs w:val="1"/>
          <w:color w:val="auto"/>
        </w:rPr>
      </w:pPr>
    </w:p>
    <w:p>
      <w:pPr>
        <w:ind w:left="1160"/>
        <w:spacing w:after="0"/>
        <w:rPr>
          <w:rFonts w:ascii="Arial" w:cs="Arial" w:eastAsia="Arial" w:hAnsi="Arial"/>
          <w:sz w:val="13"/>
          <w:szCs w:val="13"/>
          <w:i w:val="1"/>
          <w:iCs w:val="1"/>
          <w:color w:val="auto"/>
        </w:rPr>
      </w:pPr>
      <w:r>
        <w:rPr>
          <w:rFonts w:ascii="Arial" w:cs="Arial" w:eastAsia="Arial" w:hAnsi="Arial"/>
          <w:sz w:val="13"/>
          <w:szCs w:val="13"/>
          <w:i w:val="1"/>
          <w:iCs w:val="1"/>
          <w:color w:val="auto"/>
        </w:rPr>
        <w:t>**</w:t>
      </w:r>
      <w:r>
        <w:rPr>
          <w:rFonts w:ascii="Arial" w:cs="Arial" w:eastAsia="Arial" w:hAnsi="Arial"/>
          <w:sz w:val="12"/>
          <w:szCs w:val="12"/>
          <w:i w:val="1"/>
          <w:iCs w:val="1"/>
          <w:color w:val="auto"/>
        </w:rPr>
        <w:t>Includes long-term debt due within one year.</w:t>
      </w:r>
    </w:p>
    <w:p>
      <w:pPr>
        <w:spacing w:after="0" w:line="42" w:lineRule="exact"/>
        <w:rPr>
          <w:rFonts w:ascii="Arial" w:cs="Arial" w:eastAsia="Arial" w:hAnsi="Arial"/>
          <w:sz w:val="13"/>
          <w:szCs w:val="13"/>
          <w:i w:val="1"/>
          <w:iCs w:val="1"/>
          <w:color w:val="auto"/>
        </w:rPr>
      </w:pPr>
    </w:p>
    <w:p>
      <w:pPr>
        <w:ind w:left="1160"/>
        <w:spacing w:after="0"/>
        <w:rPr>
          <w:rFonts w:ascii="Arial" w:cs="Arial" w:eastAsia="Arial" w:hAnsi="Arial"/>
          <w:sz w:val="13"/>
          <w:szCs w:val="13"/>
          <w:i w:val="1"/>
          <w:iCs w:val="1"/>
          <w:color w:val="auto"/>
        </w:rPr>
      </w:pPr>
      <w:r>
        <w:rPr>
          <w:rFonts w:ascii="Arial" w:cs="Arial" w:eastAsia="Arial" w:hAnsi="Arial"/>
          <w:sz w:val="13"/>
          <w:szCs w:val="13"/>
          <w:i w:val="1"/>
          <w:iCs w:val="1"/>
          <w:color w:val="auto"/>
        </w:rPr>
        <w:t>***</w:t>
      </w:r>
      <w:r>
        <w:rPr>
          <w:rFonts w:ascii="Arial" w:cs="Arial" w:eastAsia="Arial" w:hAnsi="Arial"/>
          <w:sz w:val="12"/>
          <w:szCs w:val="12"/>
          <w:i w:val="1"/>
          <w:iCs w:val="1"/>
          <w:color w:val="auto"/>
        </w:rPr>
        <w:t>We redeemed these securities in February 2005.</w:t>
      </w:r>
    </w:p>
    <w:p>
      <w:pPr>
        <w:spacing w:after="0" w:line="206" w:lineRule="exact"/>
        <w:rPr>
          <w:sz w:val="20"/>
          <w:szCs w:val="20"/>
          <w:color w:val="auto"/>
        </w:rPr>
      </w:pPr>
    </w:p>
    <w:p>
      <w:pPr>
        <w:ind w:right="340"/>
        <w:spacing w:after="0" w:line="277" w:lineRule="auto"/>
        <w:rPr>
          <w:sz w:val="20"/>
          <w:szCs w:val="20"/>
          <w:color w:val="auto"/>
        </w:rPr>
      </w:pPr>
      <w:r>
        <w:rPr>
          <w:rFonts w:ascii="Arial" w:cs="Arial" w:eastAsia="Arial" w:hAnsi="Arial"/>
          <w:sz w:val="16"/>
          <w:szCs w:val="16"/>
          <w:color w:val="auto"/>
        </w:rPr>
        <w:t>On April 1, 2008, we sold our commodities-marketing businesses into a joint venture, and began accounting for these businesses under the equity method. We discuss this transaction further in Notes 3 and 4 of the Notes to Consolidated Financial Statements.</w:t>
      </w:r>
    </w:p>
    <w:p>
      <w:pPr>
        <w:spacing w:after="0" w:line="32" w:lineRule="exact"/>
        <w:rPr>
          <w:sz w:val="20"/>
          <w:szCs w:val="20"/>
          <w:color w:val="auto"/>
        </w:rPr>
      </w:pPr>
    </w:p>
    <w:p>
      <w:pPr>
        <w:spacing w:after="0" w:line="277" w:lineRule="auto"/>
        <w:rPr>
          <w:sz w:val="20"/>
          <w:szCs w:val="20"/>
          <w:color w:val="auto"/>
        </w:rPr>
      </w:pPr>
      <w:r>
        <w:rPr>
          <w:rFonts w:ascii="Arial" w:cs="Arial" w:eastAsia="Arial" w:hAnsi="Arial"/>
          <w:sz w:val="16"/>
          <w:szCs w:val="16"/>
          <w:color w:val="auto"/>
        </w:rPr>
        <w:t>We discuss discontinued operations in Note 5 of the Notes to Consolidated Financial Statements, and litigation and other contingencies in Note 16 of the Notes to Consolidated Financial Statements.</w:t>
      </w: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14"/>
          <w:szCs w:val="14"/>
          <w:color w:val="auto"/>
        </w:rPr>
        <w:t>58</w:t>
      </w:r>
    </w:p>
    <w:p>
      <w:pPr>
        <w:sectPr>
          <w:pgSz w:w="11900" w:h="16838" w:orient="portrait"/>
          <w:cols w:equalWidth="0" w:num="1">
            <w:col w:w="11240"/>
          </w:cols>
          <w:pgMar w:left="240" w:top="381" w:right="419" w:bottom="1440" w:gutter="0" w:footer="0" w:header="0"/>
        </w:sectPr>
      </w:pPr>
    </w:p>
    <w:bookmarkStart w:id="198" w:name="page199"/>
    <w:bookmarkEnd w:id="198"/>
    <w:p>
      <w:pPr>
        <w:ind w:left="1380"/>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1027430</wp:posOffset>
            </wp:positionH>
            <wp:positionV relativeFrom="page">
              <wp:posOffset>417195</wp:posOffset>
            </wp:positionV>
            <wp:extent cx="5507355" cy="762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5507355" cy="7620"/>
                    </a:xfrm>
                    <a:prstGeom prst="rect">
                      <a:avLst/>
                    </a:prstGeom>
                    <a:noFill/>
                  </pic:spPr>
                </pic:pic>
              </a:graphicData>
            </a:graphic>
          </wp:anchor>
        </w:drawing>
        <w:drawing>
          <wp:anchor simplePos="0" relativeHeight="251657728" behindDoc="1" locked="0" layoutInCell="0" allowOverlap="1">
            <wp:simplePos x="0" y="0"/>
            <wp:positionH relativeFrom="page">
              <wp:posOffset>1035050</wp:posOffset>
            </wp:positionH>
            <wp:positionV relativeFrom="page">
              <wp:posOffset>432435</wp:posOffset>
            </wp:positionV>
            <wp:extent cx="5492115" cy="762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5492115" cy="7620"/>
                    </a:xfrm>
                    <a:prstGeom prst="rect">
                      <a:avLst/>
                    </a:prstGeom>
                    <a:noFill/>
                  </pic:spPr>
                </pic:pic>
              </a:graphicData>
            </a:graphic>
          </wp:anchor>
        </w:drawing>
        <w:t>FIVE-YEAR SUMMARIES (Cont’d)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875030</wp:posOffset>
            </wp:positionH>
            <wp:positionV relativeFrom="paragraph">
              <wp:posOffset>6350</wp:posOffset>
            </wp:positionV>
            <wp:extent cx="5507355" cy="762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5507355" cy="7620"/>
                    </a:xfrm>
                    <a:prstGeom prst="rect">
                      <a:avLst/>
                    </a:prstGeom>
                    <a:noFill/>
                  </pic:spPr>
                </pic:pic>
              </a:graphicData>
            </a:graphic>
          </wp:anchor>
        </w:drawing>
      </w:r>
    </w:p>
    <w:p>
      <w:pPr>
        <w:ind w:left="1380" w:right="2479"/>
        <w:spacing w:after="0" w:line="306" w:lineRule="auto"/>
        <w:rPr>
          <w:sz w:val="20"/>
          <w:szCs w:val="20"/>
          <w:color w:val="auto"/>
        </w:rPr>
      </w:pPr>
      <w:r>
        <w:rPr>
          <w:rFonts w:ascii="Arial" w:cs="Arial" w:eastAsia="Arial" w:hAnsi="Arial"/>
          <w:sz w:val="14"/>
          <w:szCs w:val="14"/>
          <w:b w:val="1"/>
          <w:bCs w:val="1"/>
          <w:color w:val="auto"/>
        </w:rPr>
        <w:t xml:space="preserve">FIVE-YEAR SUMMARIES OF SELECTED FINANCIAL DATA FOR SDG&amp;E, PE AND SOCALGAS </w:t>
      </w:r>
      <w:r>
        <w:rPr>
          <w:rFonts w:ascii="Arial" w:cs="Arial" w:eastAsia="Arial" w:hAnsi="Arial"/>
          <w:sz w:val="12"/>
          <w:szCs w:val="12"/>
          <w:i w:val="1"/>
          <w:iCs w:val="1"/>
          <w:color w:val="auto"/>
        </w:rPr>
        <w:t>(Dollars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875030</wp:posOffset>
            </wp:positionH>
            <wp:positionV relativeFrom="paragraph">
              <wp:posOffset>-257175</wp:posOffset>
            </wp:positionV>
            <wp:extent cx="5507355" cy="23622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5507355" cy="236220"/>
                    </a:xfrm>
                    <a:prstGeom prst="rect">
                      <a:avLst/>
                    </a:prstGeom>
                    <a:noFill/>
                  </pic:spPr>
                </pic:pic>
              </a:graphicData>
            </a:graphic>
          </wp:anchor>
        </w:drawing>
      </w:r>
    </w:p>
    <w:tbl>
      <w:tblPr>
        <w:tblLayout w:type="fixed"/>
        <w:tblInd w:w="1380" w:type="dxa"/>
        <w:tblCellMar>
          <w:top w:w="0" w:type="dxa"/>
          <w:left w:w="0" w:type="dxa"/>
          <w:bottom w:w="0" w:type="dxa"/>
          <w:right w:w="0" w:type="dxa"/>
        </w:tblCellMar>
      </w:tblPr>
      <w:tr>
        <w:trPr>
          <w:trHeight w:val="159"/>
        </w:trPr>
        <w:tc>
          <w:tcPr>
            <w:tcW w:w="338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2820" w:type="dxa"/>
            <w:vAlign w:val="bottom"/>
            <w:tcBorders>
              <w:bottom w:val="single" w:sz="8" w:color="auto"/>
            </w:tcBorders>
            <w:gridSpan w:val="5"/>
          </w:tcPr>
          <w:p>
            <w:pPr>
              <w:jc w:val="right"/>
              <w:ind w:right="168"/>
              <w:spacing w:after="0"/>
              <w:rPr>
                <w:sz w:val="20"/>
                <w:szCs w:val="20"/>
                <w:color w:val="auto"/>
              </w:rPr>
            </w:pPr>
            <w:r>
              <w:rPr>
                <w:rFonts w:ascii="Arial" w:cs="Arial" w:eastAsia="Arial" w:hAnsi="Arial"/>
                <w:sz w:val="13"/>
                <w:szCs w:val="13"/>
                <w:color w:val="auto"/>
              </w:rPr>
              <w:t>At December 31 or for the years then ended</w:t>
            </w:r>
          </w:p>
        </w:tc>
        <w:tc>
          <w:tcPr>
            <w:tcW w:w="3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r>
      <w:tr>
        <w:trPr>
          <w:trHeight w:val="208"/>
        </w:trPr>
        <w:tc>
          <w:tcPr>
            <w:tcW w:w="338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248"/>
              <w:spacing w:after="0"/>
              <w:rPr>
                <w:sz w:val="20"/>
                <w:szCs w:val="20"/>
                <w:color w:val="auto"/>
              </w:rPr>
            </w:pPr>
            <w:r>
              <w:rPr>
                <w:rFonts w:ascii="Arial" w:cs="Arial" w:eastAsia="Arial" w:hAnsi="Arial"/>
                <w:sz w:val="13"/>
                <w:szCs w:val="13"/>
                <w:color w:val="auto"/>
              </w:rPr>
              <w:t>2008</w:t>
            </w:r>
          </w:p>
        </w:tc>
        <w:tc>
          <w:tcPr>
            <w:tcW w:w="3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269"/>
              <w:spacing w:after="0"/>
              <w:rPr>
                <w:sz w:val="20"/>
                <w:szCs w:val="20"/>
                <w:color w:val="auto"/>
              </w:rPr>
            </w:pPr>
            <w:r>
              <w:rPr>
                <w:rFonts w:ascii="Arial" w:cs="Arial" w:eastAsia="Arial" w:hAnsi="Arial"/>
                <w:sz w:val="13"/>
                <w:szCs w:val="13"/>
                <w:color w:val="auto"/>
              </w:rPr>
              <w:t>2007</w:t>
            </w:r>
          </w:p>
        </w:tc>
        <w:tc>
          <w:tcPr>
            <w:tcW w:w="3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268"/>
              <w:spacing w:after="0"/>
              <w:rPr>
                <w:sz w:val="20"/>
                <w:szCs w:val="20"/>
                <w:color w:val="auto"/>
              </w:rPr>
            </w:pPr>
            <w:r>
              <w:rPr>
                <w:rFonts w:ascii="Arial" w:cs="Arial" w:eastAsia="Arial" w:hAnsi="Arial"/>
                <w:sz w:val="13"/>
                <w:szCs w:val="13"/>
                <w:color w:val="auto"/>
              </w:rPr>
              <w:t>2006</w:t>
            </w:r>
          </w:p>
        </w:tc>
        <w:tc>
          <w:tcPr>
            <w:tcW w:w="3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268"/>
              <w:spacing w:after="0"/>
              <w:rPr>
                <w:sz w:val="20"/>
                <w:szCs w:val="20"/>
                <w:color w:val="auto"/>
              </w:rPr>
            </w:pPr>
            <w:r>
              <w:rPr>
                <w:rFonts w:ascii="Arial" w:cs="Arial" w:eastAsia="Arial" w:hAnsi="Arial"/>
                <w:sz w:val="13"/>
                <w:szCs w:val="13"/>
                <w:color w:val="auto"/>
              </w:rPr>
              <w:t>2005</w:t>
            </w:r>
          </w:p>
        </w:tc>
        <w:tc>
          <w:tcPr>
            <w:tcW w:w="3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348"/>
              <w:spacing w:after="0"/>
              <w:rPr>
                <w:sz w:val="20"/>
                <w:szCs w:val="20"/>
                <w:color w:val="auto"/>
              </w:rPr>
            </w:pPr>
            <w:r>
              <w:rPr>
                <w:rFonts w:ascii="Arial" w:cs="Arial" w:eastAsia="Arial" w:hAnsi="Arial"/>
                <w:sz w:val="13"/>
                <w:szCs w:val="13"/>
                <w:color w:val="auto"/>
              </w:rPr>
              <w:t>2004</w:t>
            </w:r>
          </w:p>
        </w:tc>
      </w:tr>
      <w:tr>
        <w:trPr>
          <w:trHeight w:val="207"/>
        </w:trPr>
        <w:tc>
          <w:tcPr>
            <w:tcW w:w="3380" w:type="dxa"/>
            <w:vAlign w:val="bottom"/>
          </w:tcPr>
          <w:p>
            <w:pPr>
              <w:spacing w:after="0"/>
              <w:rPr>
                <w:sz w:val="20"/>
                <w:szCs w:val="20"/>
                <w:color w:val="auto"/>
              </w:rPr>
            </w:pPr>
            <w:r>
              <w:rPr>
                <w:rFonts w:ascii="Arial" w:cs="Arial" w:eastAsia="Arial" w:hAnsi="Arial"/>
                <w:sz w:val="14"/>
                <w:szCs w:val="14"/>
                <w:b w:val="1"/>
                <w:bCs w:val="1"/>
                <w:color w:val="auto"/>
              </w:rPr>
              <w:t>SDG&amp;E</w:t>
            </w: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16"/>
        </w:trPr>
        <w:tc>
          <w:tcPr>
            <w:tcW w:w="3380" w:type="dxa"/>
            <w:vAlign w:val="bottom"/>
          </w:tcPr>
          <w:p>
            <w:pPr>
              <w:spacing w:after="0"/>
              <w:rPr>
                <w:sz w:val="20"/>
                <w:szCs w:val="20"/>
                <w:color w:val="auto"/>
              </w:rPr>
            </w:pPr>
            <w:r>
              <w:rPr>
                <w:rFonts w:ascii="Arial" w:cs="Arial" w:eastAsia="Arial" w:hAnsi="Arial"/>
                <w:sz w:val="14"/>
                <w:szCs w:val="14"/>
                <w:color w:val="auto"/>
              </w:rPr>
              <w:t>Income Statement Data:</w:t>
            </w: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16"/>
        </w:trPr>
        <w:tc>
          <w:tcPr>
            <w:tcW w:w="3380" w:type="dxa"/>
            <w:vAlign w:val="bottom"/>
          </w:tcPr>
          <w:p>
            <w:pPr>
              <w:ind w:left="180"/>
              <w:spacing w:after="0"/>
              <w:rPr>
                <w:sz w:val="20"/>
                <w:szCs w:val="20"/>
                <w:color w:val="auto"/>
              </w:rPr>
            </w:pPr>
            <w:r>
              <w:rPr>
                <w:rFonts w:ascii="Arial" w:cs="Arial" w:eastAsia="Arial" w:hAnsi="Arial"/>
                <w:sz w:val="14"/>
                <w:szCs w:val="14"/>
                <w:color w:val="auto"/>
              </w:rPr>
              <w:t>Operating revenues</w:t>
            </w:r>
          </w:p>
        </w:tc>
        <w:tc>
          <w:tcPr>
            <w:tcW w:w="2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148"/>
              <w:spacing w:after="0"/>
              <w:rPr>
                <w:sz w:val="20"/>
                <w:szCs w:val="20"/>
                <w:color w:val="auto"/>
              </w:rPr>
            </w:pPr>
            <w:r>
              <w:rPr>
                <w:rFonts w:ascii="Arial" w:cs="Arial" w:eastAsia="Arial" w:hAnsi="Arial"/>
                <w:sz w:val="14"/>
                <w:szCs w:val="14"/>
                <w:color w:val="auto"/>
              </w:rPr>
              <w:t>3,251</w:t>
            </w:r>
          </w:p>
        </w:tc>
        <w:tc>
          <w:tcPr>
            <w:tcW w:w="360" w:type="dxa"/>
            <w:vAlign w:val="bottom"/>
          </w:tcPr>
          <w:p>
            <w:pPr>
              <w:jc w:val="right"/>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149"/>
              <w:spacing w:after="0"/>
              <w:rPr>
                <w:sz w:val="20"/>
                <w:szCs w:val="20"/>
                <w:color w:val="auto"/>
              </w:rPr>
            </w:pPr>
            <w:r>
              <w:rPr>
                <w:rFonts w:ascii="Arial" w:cs="Arial" w:eastAsia="Arial" w:hAnsi="Arial"/>
                <w:sz w:val="14"/>
                <w:szCs w:val="14"/>
                <w:color w:val="auto"/>
              </w:rPr>
              <w:t>2,852</w:t>
            </w:r>
          </w:p>
        </w:tc>
        <w:tc>
          <w:tcPr>
            <w:tcW w:w="360" w:type="dxa"/>
            <w:vAlign w:val="bottom"/>
          </w:tcPr>
          <w:p>
            <w:pPr>
              <w:jc w:val="right"/>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148"/>
              <w:spacing w:after="0"/>
              <w:rPr>
                <w:sz w:val="20"/>
                <w:szCs w:val="20"/>
                <w:color w:val="auto"/>
              </w:rPr>
            </w:pPr>
            <w:r>
              <w:rPr>
                <w:rFonts w:ascii="Arial" w:cs="Arial" w:eastAsia="Arial" w:hAnsi="Arial"/>
                <w:sz w:val="14"/>
                <w:szCs w:val="14"/>
                <w:color w:val="auto"/>
              </w:rPr>
              <w:t>2,785</w:t>
            </w:r>
          </w:p>
        </w:tc>
        <w:tc>
          <w:tcPr>
            <w:tcW w:w="3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148"/>
              <w:spacing w:after="0"/>
              <w:rPr>
                <w:sz w:val="20"/>
                <w:szCs w:val="20"/>
                <w:color w:val="auto"/>
              </w:rPr>
            </w:pPr>
            <w:r>
              <w:rPr>
                <w:rFonts w:ascii="Arial" w:cs="Arial" w:eastAsia="Arial" w:hAnsi="Arial"/>
                <w:sz w:val="14"/>
                <w:szCs w:val="14"/>
                <w:color w:val="auto"/>
              </w:rPr>
              <w:t>2,512</w:t>
            </w:r>
          </w:p>
        </w:tc>
        <w:tc>
          <w:tcPr>
            <w:tcW w:w="3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268"/>
              <w:spacing w:after="0"/>
              <w:rPr>
                <w:sz w:val="20"/>
                <w:szCs w:val="20"/>
                <w:color w:val="auto"/>
              </w:rPr>
            </w:pPr>
            <w:r>
              <w:rPr>
                <w:rFonts w:ascii="Arial" w:cs="Arial" w:eastAsia="Arial" w:hAnsi="Arial"/>
                <w:sz w:val="14"/>
                <w:szCs w:val="14"/>
                <w:color w:val="auto"/>
              </w:rPr>
              <w:t>2,274</w:t>
            </w:r>
          </w:p>
        </w:tc>
      </w:tr>
      <w:tr>
        <w:trPr>
          <w:trHeight w:val="216"/>
        </w:trPr>
        <w:tc>
          <w:tcPr>
            <w:tcW w:w="3380" w:type="dxa"/>
            <w:vAlign w:val="bottom"/>
          </w:tcPr>
          <w:p>
            <w:pPr>
              <w:ind w:left="180"/>
              <w:spacing w:after="0"/>
              <w:rPr>
                <w:sz w:val="20"/>
                <w:szCs w:val="20"/>
                <w:color w:val="auto"/>
              </w:rPr>
            </w:pPr>
            <w:r>
              <w:rPr>
                <w:rFonts w:ascii="Arial" w:cs="Arial" w:eastAsia="Arial" w:hAnsi="Arial"/>
                <w:sz w:val="14"/>
                <w:szCs w:val="14"/>
                <w:color w:val="auto"/>
              </w:rPr>
              <w:t>Operating income</w:t>
            </w:r>
          </w:p>
        </w:tc>
        <w:tc>
          <w:tcPr>
            <w:tcW w:w="2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148"/>
              <w:spacing w:after="0"/>
              <w:rPr>
                <w:sz w:val="20"/>
                <w:szCs w:val="20"/>
                <w:color w:val="auto"/>
              </w:rPr>
            </w:pPr>
            <w:r>
              <w:rPr>
                <w:rFonts w:ascii="Arial" w:cs="Arial" w:eastAsia="Arial" w:hAnsi="Arial"/>
                <w:sz w:val="14"/>
                <w:szCs w:val="14"/>
                <w:color w:val="auto"/>
              </w:rPr>
              <w:t>570</w:t>
            </w:r>
          </w:p>
        </w:tc>
        <w:tc>
          <w:tcPr>
            <w:tcW w:w="360" w:type="dxa"/>
            <w:vAlign w:val="bottom"/>
          </w:tcPr>
          <w:p>
            <w:pPr>
              <w:jc w:val="right"/>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149"/>
              <w:spacing w:after="0"/>
              <w:rPr>
                <w:sz w:val="20"/>
                <w:szCs w:val="20"/>
                <w:color w:val="auto"/>
              </w:rPr>
            </w:pPr>
            <w:r>
              <w:rPr>
                <w:rFonts w:ascii="Arial" w:cs="Arial" w:eastAsia="Arial" w:hAnsi="Arial"/>
                <w:sz w:val="14"/>
                <w:szCs w:val="14"/>
                <w:color w:val="auto"/>
              </w:rPr>
              <w:t>500</w:t>
            </w:r>
          </w:p>
        </w:tc>
        <w:tc>
          <w:tcPr>
            <w:tcW w:w="360" w:type="dxa"/>
            <w:vAlign w:val="bottom"/>
          </w:tcPr>
          <w:p>
            <w:pPr>
              <w:jc w:val="right"/>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148"/>
              <w:spacing w:after="0"/>
              <w:rPr>
                <w:sz w:val="20"/>
                <w:szCs w:val="20"/>
                <w:color w:val="auto"/>
              </w:rPr>
            </w:pPr>
            <w:r>
              <w:rPr>
                <w:rFonts w:ascii="Arial" w:cs="Arial" w:eastAsia="Arial" w:hAnsi="Arial"/>
                <w:sz w:val="14"/>
                <w:szCs w:val="14"/>
                <w:color w:val="auto"/>
              </w:rPr>
              <w:t>477</w:t>
            </w:r>
          </w:p>
        </w:tc>
        <w:tc>
          <w:tcPr>
            <w:tcW w:w="3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148"/>
              <w:spacing w:after="0"/>
              <w:rPr>
                <w:sz w:val="20"/>
                <w:szCs w:val="20"/>
                <w:color w:val="auto"/>
              </w:rPr>
            </w:pPr>
            <w:r>
              <w:rPr>
                <w:rFonts w:ascii="Arial" w:cs="Arial" w:eastAsia="Arial" w:hAnsi="Arial"/>
                <w:sz w:val="14"/>
                <w:szCs w:val="14"/>
                <w:color w:val="auto"/>
              </w:rPr>
              <w:t>393</w:t>
            </w:r>
          </w:p>
        </w:tc>
        <w:tc>
          <w:tcPr>
            <w:tcW w:w="3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268"/>
              <w:spacing w:after="0"/>
              <w:rPr>
                <w:sz w:val="20"/>
                <w:szCs w:val="20"/>
                <w:color w:val="auto"/>
              </w:rPr>
            </w:pPr>
            <w:r>
              <w:rPr>
                <w:rFonts w:ascii="Arial" w:cs="Arial" w:eastAsia="Arial" w:hAnsi="Arial"/>
                <w:sz w:val="14"/>
                <w:szCs w:val="14"/>
                <w:color w:val="auto"/>
              </w:rPr>
              <w:t>393</w:t>
            </w:r>
          </w:p>
        </w:tc>
      </w:tr>
      <w:tr>
        <w:trPr>
          <w:trHeight w:val="216"/>
        </w:trPr>
        <w:tc>
          <w:tcPr>
            <w:tcW w:w="3380" w:type="dxa"/>
            <w:vAlign w:val="bottom"/>
          </w:tcPr>
          <w:p>
            <w:pPr>
              <w:ind w:left="180"/>
              <w:spacing w:after="0"/>
              <w:rPr>
                <w:sz w:val="20"/>
                <w:szCs w:val="20"/>
                <w:color w:val="auto"/>
              </w:rPr>
            </w:pPr>
            <w:r>
              <w:rPr>
                <w:rFonts w:ascii="Arial" w:cs="Arial" w:eastAsia="Arial" w:hAnsi="Arial"/>
                <w:sz w:val="14"/>
                <w:szCs w:val="14"/>
                <w:color w:val="auto"/>
              </w:rPr>
              <w:t>Dividends on preferred stock</w:t>
            </w:r>
          </w:p>
        </w:tc>
        <w:tc>
          <w:tcPr>
            <w:tcW w:w="2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148"/>
              <w:spacing w:after="0"/>
              <w:rPr>
                <w:sz w:val="20"/>
                <w:szCs w:val="20"/>
                <w:color w:val="auto"/>
              </w:rPr>
            </w:pPr>
            <w:r>
              <w:rPr>
                <w:rFonts w:ascii="Arial" w:cs="Arial" w:eastAsia="Arial" w:hAnsi="Arial"/>
                <w:sz w:val="14"/>
                <w:szCs w:val="14"/>
                <w:color w:val="auto"/>
              </w:rPr>
              <w:t>5</w:t>
            </w:r>
          </w:p>
        </w:tc>
        <w:tc>
          <w:tcPr>
            <w:tcW w:w="360" w:type="dxa"/>
            <w:vAlign w:val="bottom"/>
          </w:tcPr>
          <w:p>
            <w:pPr>
              <w:jc w:val="right"/>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149"/>
              <w:spacing w:after="0"/>
              <w:rPr>
                <w:sz w:val="20"/>
                <w:szCs w:val="20"/>
                <w:color w:val="auto"/>
              </w:rPr>
            </w:pPr>
            <w:r>
              <w:rPr>
                <w:rFonts w:ascii="Arial" w:cs="Arial" w:eastAsia="Arial" w:hAnsi="Arial"/>
                <w:sz w:val="14"/>
                <w:szCs w:val="14"/>
                <w:color w:val="auto"/>
              </w:rPr>
              <w:t>5</w:t>
            </w:r>
          </w:p>
        </w:tc>
        <w:tc>
          <w:tcPr>
            <w:tcW w:w="360" w:type="dxa"/>
            <w:vAlign w:val="bottom"/>
          </w:tcPr>
          <w:p>
            <w:pPr>
              <w:jc w:val="right"/>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148"/>
              <w:spacing w:after="0"/>
              <w:rPr>
                <w:sz w:val="20"/>
                <w:szCs w:val="20"/>
                <w:color w:val="auto"/>
              </w:rPr>
            </w:pPr>
            <w:r>
              <w:rPr>
                <w:rFonts w:ascii="Arial" w:cs="Arial" w:eastAsia="Arial" w:hAnsi="Arial"/>
                <w:sz w:val="14"/>
                <w:szCs w:val="14"/>
                <w:color w:val="auto"/>
              </w:rPr>
              <w:t>5</w:t>
            </w:r>
          </w:p>
        </w:tc>
        <w:tc>
          <w:tcPr>
            <w:tcW w:w="3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148"/>
              <w:spacing w:after="0"/>
              <w:rPr>
                <w:sz w:val="20"/>
                <w:szCs w:val="20"/>
                <w:color w:val="auto"/>
              </w:rPr>
            </w:pPr>
            <w:r>
              <w:rPr>
                <w:rFonts w:ascii="Arial" w:cs="Arial" w:eastAsia="Arial" w:hAnsi="Arial"/>
                <w:sz w:val="14"/>
                <w:szCs w:val="14"/>
                <w:color w:val="auto"/>
              </w:rPr>
              <w:t>5</w:t>
            </w:r>
          </w:p>
        </w:tc>
        <w:tc>
          <w:tcPr>
            <w:tcW w:w="3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268"/>
              <w:spacing w:after="0"/>
              <w:rPr>
                <w:sz w:val="20"/>
                <w:szCs w:val="20"/>
                <w:color w:val="auto"/>
              </w:rPr>
            </w:pPr>
            <w:r>
              <w:rPr>
                <w:rFonts w:ascii="Arial" w:cs="Arial" w:eastAsia="Arial" w:hAnsi="Arial"/>
                <w:sz w:val="14"/>
                <w:szCs w:val="14"/>
                <w:color w:val="auto"/>
              </w:rPr>
              <w:t>5</w:t>
            </w:r>
          </w:p>
        </w:tc>
      </w:tr>
      <w:tr>
        <w:trPr>
          <w:trHeight w:val="216"/>
        </w:trPr>
        <w:tc>
          <w:tcPr>
            <w:tcW w:w="3380" w:type="dxa"/>
            <w:vAlign w:val="bottom"/>
          </w:tcPr>
          <w:p>
            <w:pPr>
              <w:ind w:left="180"/>
              <w:spacing w:after="0"/>
              <w:rPr>
                <w:sz w:val="20"/>
                <w:szCs w:val="20"/>
                <w:color w:val="auto"/>
              </w:rPr>
            </w:pPr>
            <w:r>
              <w:rPr>
                <w:rFonts w:ascii="Arial" w:cs="Arial" w:eastAsia="Arial" w:hAnsi="Arial"/>
                <w:sz w:val="14"/>
                <w:szCs w:val="14"/>
                <w:color w:val="auto"/>
              </w:rPr>
              <w:t>Earnings applicable to common shares</w:t>
            </w:r>
          </w:p>
        </w:tc>
        <w:tc>
          <w:tcPr>
            <w:tcW w:w="2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148"/>
              <w:spacing w:after="0"/>
              <w:rPr>
                <w:sz w:val="20"/>
                <w:szCs w:val="20"/>
                <w:color w:val="auto"/>
              </w:rPr>
            </w:pPr>
            <w:r>
              <w:rPr>
                <w:rFonts w:ascii="Arial" w:cs="Arial" w:eastAsia="Arial" w:hAnsi="Arial"/>
                <w:sz w:val="14"/>
                <w:szCs w:val="14"/>
                <w:color w:val="auto"/>
              </w:rPr>
              <w:t>339</w:t>
            </w:r>
          </w:p>
        </w:tc>
        <w:tc>
          <w:tcPr>
            <w:tcW w:w="360" w:type="dxa"/>
            <w:vAlign w:val="bottom"/>
          </w:tcPr>
          <w:p>
            <w:pPr>
              <w:jc w:val="right"/>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149"/>
              <w:spacing w:after="0"/>
              <w:rPr>
                <w:sz w:val="20"/>
                <w:szCs w:val="20"/>
                <w:color w:val="auto"/>
              </w:rPr>
            </w:pPr>
            <w:r>
              <w:rPr>
                <w:rFonts w:ascii="Arial" w:cs="Arial" w:eastAsia="Arial" w:hAnsi="Arial"/>
                <w:sz w:val="14"/>
                <w:szCs w:val="14"/>
                <w:color w:val="auto"/>
              </w:rPr>
              <w:t>283</w:t>
            </w:r>
          </w:p>
        </w:tc>
        <w:tc>
          <w:tcPr>
            <w:tcW w:w="360" w:type="dxa"/>
            <w:vAlign w:val="bottom"/>
          </w:tcPr>
          <w:p>
            <w:pPr>
              <w:jc w:val="right"/>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148"/>
              <w:spacing w:after="0"/>
              <w:rPr>
                <w:sz w:val="20"/>
                <w:szCs w:val="20"/>
                <w:color w:val="auto"/>
              </w:rPr>
            </w:pPr>
            <w:r>
              <w:rPr>
                <w:rFonts w:ascii="Arial" w:cs="Arial" w:eastAsia="Arial" w:hAnsi="Arial"/>
                <w:sz w:val="14"/>
                <w:szCs w:val="14"/>
                <w:color w:val="auto"/>
              </w:rPr>
              <w:t>237</w:t>
            </w:r>
          </w:p>
        </w:tc>
        <w:tc>
          <w:tcPr>
            <w:tcW w:w="3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148"/>
              <w:spacing w:after="0"/>
              <w:rPr>
                <w:sz w:val="20"/>
                <w:szCs w:val="20"/>
                <w:color w:val="auto"/>
              </w:rPr>
            </w:pPr>
            <w:r>
              <w:rPr>
                <w:rFonts w:ascii="Arial" w:cs="Arial" w:eastAsia="Arial" w:hAnsi="Arial"/>
                <w:sz w:val="14"/>
                <w:szCs w:val="14"/>
                <w:color w:val="auto"/>
              </w:rPr>
              <w:t>262</w:t>
            </w:r>
          </w:p>
        </w:tc>
        <w:tc>
          <w:tcPr>
            <w:tcW w:w="3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268"/>
              <w:spacing w:after="0"/>
              <w:rPr>
                <w:sz w:val="20"/>
                <w:szCs w:val="20"/>
                <w:color w:val="auto"/>
              </w:rPr>
            </w:pPr>
            <w:r>
              <w:rPr>
                <w:rFonts w:ascii="Arial" w:cs="Arial" w:eastAsia="Arial" w:hAnsi="Arial"/>
                <w:sz w:val="14"/>
                <w:szCs w:val="14"/>
                <w:color w:val="auto"/>
              </w:rPr>
              <w:t>208</w:t>
            </w:r>
          </w:p>
        </w:tc>
      </w:tr>
      <w:tr>
        <w:trPr>
          <w:trHeight w:val="432"/>
        </w:trPr>
        <w:tc>
          <w:tcPr>
            <w:tcW w:w="3380" w:type="dxa"/>
            <w:vAlign w:val="bottom"/>
          </w:tcPr>
          <w:p>
            <w:pPr>
              <w:spacing w:after="0"/>
              <w:rPr>
                <w:sz w:val="20"/>
                <w:szCs w:val="20"/>
                <w:color w:val="auto"/>
              </w:rPr>
            </w:pPr>
            <w:r>
              <w:rPr>
                <w:rFonts w:ascii="Arial" w:cs="Arial" w:eastAsia="Arial" w:hAnsi="Arial"/>
                <w:sz w:val="14"/>
                <w:szCs w:val="14"/>
                <w:color w:val="auto"/>
              </w:rPr>
              <w:t>Balance Sheet Data:</w:t>
            </w: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16"/>
        </w:trPr>
        <w:tc>
          <w:tcPr>
            <w:tcW w:w="3380" w:type="dxa"/>
            <w:vAlign w:val="bottom"/>
          </w:tcPr>
          <w:p>
            <w:pPr>
              <w:ind w:left="180"/>
              <w:spacing w:after="0"/>
              <w:rPr>
                <w:sz w:val="20"/>
                <w:szCs w:val="20"/>
                <w:color w:val="auto"/>
              </w:rPr>
            </w:pPr>
            <w:r>
              <w:rPr>
                <w:rFonts w:ascii="Arial" w:cs="Arial" w:eastAsia="Arial" w:hAnsi="Arial"/>
                <w:sz w:val="14"/>
                <w:szCs w:val="14"/>
                <w:color w:val="auto"/>
              </w:rPr>
              <w:t>Total assets*</w:t>
            </w:r>
          </w:p>
        </w:tc>
        <w:tc>
          <w:tcPr>
            <w:tcW w:w="2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148"/>
              <w:spacing w:after="0"/>
              <w:rPr>
                <w:sz w:val="20"/>
                <w:szCs w:val="20"/>
                <w:color w:val="auto"/>
              </w:rPr>
            </w:pPr>
            <w:r>
              <w:rPr>
                <w:rFonts w:ascii="Arial" w:cs="Arial" w:eastAsia="Arial" w:hAnsi="Arial"/>
                <w:sz w:val="14"/>
                <w:szCs w:val="14"/>
                <w:color w:val="auto"/>
              </w:rPr>
              <w:t>9,079</w:t>
            </w:r>
          </w:p>
        </w:tc>
        <w:tc>
          <w:tcPr>
            <w:tcW w:w="360" w:type="dxa"/>
            <w:vAlign w:val="bottom"/>
          </w:tcPr>
          <w:p>
            <w:pPr>
              <w:jc w:val="right"/>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149"/>
              <w:spacing w:after="0"/>
              <w:rPr>
                <w:sz w:val="20"/>
                <w:szCs w:val="20"/>
                <w:color w:val="auto"/>
              </w:rPr>
            </w:pPr>
            <w:r>
              <w:rPr>
                <w:rFonts w:ascii="Arial" w:cs="Arial" w:eastAsia="Arial" w:hAnsi="Arial"/>
                <w:sz w:val="14"/>
                <w:szCs w:val="14"/>
                <w:color w:val="auto"/>
              </w:rPr>
              <w:t>8,499</w:t>
            </w:r>
          </w:p>
        </w:tc>
        <w:tc>
          <w:tcPr>
            <w:tcW w:w="360" w:type="dxa"/>
            <w:vAlign w:val="bottom"/>
          </w:tcPr>
          <w:p>
            <w:pPr>
              <w:jc w:val="right"/>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148"/>
              <w:spacing w:after="0"/>
              <w:rPr>
                <w:sz w:val="20"/>
                <w:szCs w:val="20"/>
                <w:color w:val="auto"/>
              </w:rPr>
            </w:pPr>
            <w:r>
              <w:rPr>
                <w:rFonts w:ascii="Arial" w:cs="Arial" w:eastAsia="Arial" w:hAnsi="Arial"/>
                <w:sz w:val="14"/>
                <w:szCs w:val="14"/>
                <w:color w:val="auto"/>
              </w:rPr>
              <w:t>7,794</w:t>
            </w:r>
          </w:p>
        </w:tc>
        <w:tc>
          <w:tcPr>
            <w:tcW w:w="3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148"/>
              <w:spacing w:after="0"/>
              <w:rPr>
                <w:sz w:val="20"/>
                <w:szCs w:val="20"/>
                <w:color w:val="auto"/>
              </w:rPr>
            </w:pPr>
            <w:r>
              <w:rPr>
                <w:rFonts w:ascii="Arial" w:cs="Arial" w:eastAsia="Arial" w:hAnsi="Arial"/>
                <w:sz w:val="14"/>
                <w:szCs w:val="14"/>
                <w:color w:val="auto"/>
              </w:rPr>
              <w:t>7,489</w:t>
            </w:r>
          </w:p>
        </w:tc>
        <w:tc>
          <w:tcPr>
            <w:tcW w:w="3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268"/>
              <w:spacing w:after="0"/>
              <w:rPr>
                <w:sz w:val="20"/>
                <w:szCs w:val="20"/>
                <w:color w:val="auto"/>
              </w:rPr>
            </w:pPr>
            <w:r>
              <w:rPr>
                <w:rFonts w:ascii="Arial" w:cs="Arial" w:eastAsia="Arial" w:hAnsi="Arial"/>
                <w:sz w:val="14"/>
                <w:szCs w:val="14"/>
                <w:color w:val="auto"/>
              </w:rPr>
              <w:t>6,834</w:t>
            </w:r>
          </w:p>
        </w:tc>
      </w:tr>
      <w:tr>
        <w:trPr>
          <w:trHeight w:val="216"/>
        </w:trPr>
        <w:tc>
          <w:tcPr>
            <w:tcW w:w="3380" w:type="dxa"/>
            <w:vAlign w:val="bottom"/>
          </w:tcPr>
          <w:p>
            <w:pPr>
              <w:ind w:left="180"/>
              <w:spacing w:after="0"/>
              <w:rPr>
                <w:sz w:val="20"/>
                <w:szCs w:val="20"/>
                <w:color w:val="auto"/>
              </w:rPr>
            </w:pPr>
            <w:r>
              <w:rPr>
                <w:rFonts w:ascii="Arial" w:cs="Arial" w:eastAsia="Arial" w:hAnsi="Arial"/>
                <w:sz w:val="14"/>
                <w:szCs w:val="14"/>
                <w:color w:val="auto"/>
              </w:rPr>
              <w:t>Long-term debt (excludes current portion)</w:t>
            </w:r>
          </w:p>
        </w:tc>
        <w:tc>
          <w:tcPr>
            <w:tcW w:w="2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148"/>
              <w:spacing w:after="0"/>
              <w:rPr>
                <w:sz w:val="20"/>
                <w:szCs w:val="20"/>
                <w:color w:val="auto"/>
              </w:rPr>
            </w:pPr>
            <w:r>
              <w:rPr>
                <w:rFonts w:ascii="Arial" w:cs="Arial" w:eastAsia="Arial" w:hAnsi="Arial"/>
                <w:sz w:val="14"/>
                <w:szCs w:val="14"/>
                <w:color w:val="auto"/>
              </w:rPr>
              <w:t>2,142</w:t>
            </w:r>
          </w:p>
        </w:tc>
        <w:tc>
          <w:tcPr>
            <w:tcW w:w="360" w:type="dxa"/>
            <w:vAlign w:val="bottom"/>
          </w:tcPr>
          <w:p>
            <w:pPr>
              <w:jc w:val="right"/>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149"/>
              <w:spacing w:after="0"/>
              <w:rPr>
                <w:sz w:val="20"/>
                <w:szCs w:val="20"/>
                <w:color w:val="auto"/>
              </w:rPr>
            </w:pPr>
            <w:r>
              <w:rPr>
                <w:rFonts w:ascii="Arial" w:cs="Arial" w:eastAsia="Arial" w:hAnsi="Arial"/>
                <w:sz w:val="14"/>
                <w:szCs w:val="14"/>
                <w:color w:val="auto"/>
              </w:rPr>
              <w:t>1,958</w:t>
            </w:r>
          </w:p>
        </w:tc>
        <w:tc>
          <w:tcPr>
            <w:tcW w:w="360" w:type="dxa"/>
            <w:vAlign w:val="bottom"/>
          </w:tcPr>
          <w:p>
            <w:pPr>
              <w:jc w:val="right"/>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148"/>
              <w:spacing w:after="0"/>
              <w:rPr>
                <w:sz w:val="20"/>
                <w:szCs w:val="20"/>
                <w:color w:val="auto"/>
              </w:rPr>
            </w:pPr>
            <w:r>
              <w:rPr>
                <w:rFonts w:ascii="Arial" w:cs="Arial" w:eastAsia="Arial" w:hAnsi="Arial"/>
                <w:sz w:val="14"/>
                <w:szCs w:val="14"/>
                <w:color w:val="auto"/>
              </w:rPr>
              <w:t>1,638</w:t>
            </w:r>
          </w:p>
        </w:tc>
        <w:tc>
          <w:tcPr>
            <w:tcW w:w="3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148"/>
              <w:spacing w:after="0"/>
              <w:rPr>
                <w:sz w:val="20"/>
                <w:szCs w:val="20"/>
                <w:color w:val="auto"/>
              </w:rPr>
            </w:pPr>
            <w:r>
              <w:rPr>
                <w:rFonts w:ascii="Arial" w:cs="Arial" w:eastAsia="Arial" w:hAnsi="Arial"/>
                <w:sz w:val="14"/>
                <w:szCs w:val="14"/>
                <w:color w:val="auto"/>
              </w:rPr>
              <w:t>1,455</w:t>
            </w:r>
          </w:p>
        </w:tc>
        <w:tc>
          <w:tcPr>
            <w:tcW w:w="3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268"/>
              <w:spacing w:after="0"/>
              <w:rPr>
                <w:sz w:val="20"/>
                <w:szCs w:val="20"/>
                <w:color w:val="auto"/>
              </w:rPr>
            </w:pPr>
            <w:r>
              <w:rPr>
                <w:rFonts w:ascii="Arial" w:cs="Arial" w:eastAsia="Arial" w:hAnsi="Arial"/>
                <w:sz w:val="14"/>
                <w:szCs w:val="14"/>
                <w:color w:val="auto"/>
              </w:rPr>
              <w:t>1,022</w:t>
            </w:r>
          </w:p>
        </w:tc>
      </w:tr>
      <w:tr>
        <w:trPr>
          <w:trHeight w:val="216"/>
        </w:trPr>
        <w:tc>
          <w:tcPr>
            <w:tcW w:w="3380" w:type="dxa"/>
            <w:vAlign w:val="bottom"/>
          </w:tcPr>
          <w:p>
            <w:pPr>
              <w:ind w:left="180"/>
              <w:spacing w:after="0"/>
              <w:rPr>
                <w:sz w:val="20"/>
                <w:szCs w:val="20"/>
                <w:color w:val="auto"/>
              </w:rPr>
            </w:pPr>
            <w:r>
              <w:rPr>
                <w:rFonts w:ascii="Arial" w:cs="Arial" w:eastAsia="Arial" w:hAnsi="Arial"/>
                <w:sz w:val="14"/>
                <w:szCs w:val="14"/>
                <w:color w:val="auto"/>
              </w:rPr>
              <w:t>Short-term debt**</w:t>
            </w:r>
          </w:p>
        </w:tc>
        <w:tc>
          <w:tcPr>
            <w:tcW w:w="2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148"/>
              <w:spacing w:after="0"/>
              <w:rPr>
                <w:sz w:val="20"/>
                <w:szCs w:val="20"/>
                <w:color w:val="auto"/>
              </w:rPr>
            </w:pPr>
            <w:r>
              <w:rPr>
                <w:rFonts w:ascii="Arial" w:cs="Arial" w:eastAsia="Arial" w:hAnsi="Arial"/>
                <w:sz w:val="14"/>
                <w:szCs w:val="14"/>
                <w:color w:val="auto"/>
              </w:rPr>
              <w:t>2</w:t>
            </w:r>
          </w:p>
        </w:tc>
        <w:tc>
          <w:tcPr>
            <w:tcW w:w="360" w:type="dxa"/>
            <w:vAlign w:val="bottom"/>
          </w:tcPr>
          <w:p>
            <w:pPr>
              <w:jc w:val="right"/>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149"/>
              <w:spacing w:after="0"/>
              <w:rPr>
                <w:sz w:val="20"/>
                <w:szCs w:val="20"/>
                <w:color w:val="auto"/>
              </w:rPr>
            </w:pPr>
            <w:r>
              <w:rPr>
                <w:rFonts w:ascii="Arial" w:cs="Arial" w:eastAsia="Arial" w:hAnsi="Arial"/>
                <w:sz w:val="14"/>
                <w:szCs w:val="14"/>
                <w:color w:val="auto"/>
              </w:rPr>
              <w:t>--</w:t>
            </w:r>
          </w:p>
        </w:tc>
        <w:tc>
          <w:tcPr>
            <w:tcW w:w="360" w:type="dxa"/>
            <w:vAlign w:val="bottom"/>
          </w:tcPr>
          <w:p>
            <w:pPr>
              <w:jc w:val="right"/>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148"/>
              <w:spacing w:after="0"/>
              <w:rPr>
                <w:sz w:val="20"/>
                <w:szCs w:val="20"/>
                <w:color w:val="auto"/>
              </w:rPr>
            </w:pPr>
            <w:r>
              <w:rPr>
                <w:rFonts w:ascii="Arial" w:cs="Arial" w:eastAsia="Arial" w:hAnsi="Arial"/>
                <w:sz w:val="14"/>
                <w:szCs w:val="14"/>
                <w:color w:val="auto"/>
              </w:rPr>
              <w:t>138</w:t>
            </w:r>
          </w:p>
        </w:tc>
        <w:tc>
          <w:tcPr>
            <w:tcW w:w="3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148"/>
              <w:spacing w:after="0"/>
              <w:rPr>
                <w:sz w:val="20"/>
                <w:szCs w:val="20"/>
                <w:color w:val="auto"/>
              </w:rPr>
            </w:pPr>
            <w:r>
              <w:rPr>
                <w:rFonts w:ascii="Arial" w:cs="Arial" w:eastAsia="Arial" w:hAnsi="Arial"/>
                <w:sz w:val="14"/>
                <w:szCs w:val="14"/>
                <w:color w:val="auto"/>
              </w:rPr>
              <w:t>66</w:t>
            </w:r>
          </w:p>
        </w:tc>
        <w:tc>
          <w:tcPr>
            <w:tcW w:w="3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268"/>
              <w:spacing w:after="0"/>
              <w:rPr>
                <w:sz w:val="20"/>
                <w:szCs w:val="20"/>
                <w:color w:val="auto"/>
              </w:rPr>
            </w:pPr>
            <w:r>
              <w:rPr>
                <w:rFonts w:ascii="Arial" w:cs="Arial" w:eastAsia="Arial" w:hAnsi="Arial"/>
                <w:sz w:val="14"/>
                <w:szCs w:val="14"/>
                <w:color w:val="auto"/>
              </w:rPr>
              <w:t>66</w:t>
            </w:r>
          </w:p>
        </w:tc>
      </w:tr>
      <w:tr>
        <w:trPr>
          <w:trHeight w:val="216"/>
        </w:trPr>
        <w:tc>
          <w:tcPr>
            <w:tcW w:w="3380" w:type="dxa"/>
            <w:vAlign w:val="bottom"/>
          </w:tcPr>
          <w:p>
            <w:pPr>
              <w:ind w:left="180"/>
              <w:spacing w:after="0"/>
              <w:rPr>
                <w:sz w:val="20"/>
                <w:szCs w:val="20"/>
                <w:color w:val="auto"/>
              </w:rPr>
            </w:pPr>
            <w:r>
              <w:rPr>
                <w:rFonts w:ascii="Arial" w:cs="Arial" w:eastAsia="Arial" w:hAnsi="Arial"/>
                <w:sz w:val="14"/>
                <w:szCs w:val="14"/>
                <w:color w:val="auto"/>
              </w:rPr>
              <w:t>Preferred stock subject to mandatory redemption</w:t>
            </w:r>
          </w:p>
        </w:tc>
        <w:tc>
          <w:tcPr>
            <w:tcW w:w="2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360" w:type="dxa"/>
            <w:vAlign w:val="bottom"/>
          </w:tcPr>
          <w:p>
            <w:pPr>
              <w:jc w:val="right"/>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149"/>
              <w:spacing w:after="0"/>
              <w:rPr>
                <w:sz w:val="20"/>
                <w:szCs w:val="20"/>
                <w:color w:val="auto"/>
              </w:rPr>
            </w:pPr>
            <w:r>
              <w:rPr>
                <w:rFonts w:ascii="Arial" w:cs="Arial" w:eastAsia="Arial" w:hAnsi="Arial"/>
                <w:sz w:val="14"/>
                <w:szCs w:val="14"/>
                <w:color w:val="auto"/>
              </w:rPr>
              <w:t>14</w:t>
            </w:r>
          </w:p>
        </w:tc>
        <w:tc>
          <w:tcPr>
            <w:tcW w:w="360" w:type="dxa"/>
            <w:vAlign w:val="bottom"/>
          </w:tcPr>
          <w:p>
            <w:pPr>
              <w:jc w:val="right"/>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148"/>
              <w:spacing w:after="0"/>
              <w:rPr>
                <w:sz w:val="20"/>
                <w:szCs w:val="20"/>
                <w:color w:val="auto"/>
              </w:rPr>
            </w:pPr>
            <w:r>
              <w:rPr>
                <w:rFonts w:ascii="Arial" w:cs="Arial" w:eastAsia="Arial" w:hAnsi="Arial"/>
                <w:sz w:val="14"/>
                <w:szCs w:val="14"/>
                <w:color w:val="auto"/>
              </w:rPr>
              <w:t>17</w:t>
            </w:r>
          </w:p>
        </w:tc>
        <w:tc>
          <w:tcPr>
            <w:tcW w:w="3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148"/>
              <w:spacing w:after="0"/>
              <w:rPr>
                <w:sz w:val="20"/>
                <w:szCs w:val="20"/>
                <w:color w:val="auto"/>
              </w:rPr>
            </w:pPr>
            <w:r>
              <w:rPr>
                <w:rFonts w:ascii="Arial" w:cs="Arial" w:eastAsia="Arial" w:hAnsi="Arial"/>
                <w:sz w:val="14"/>
                <w:szCs w:val="14"/>
                <w:color w:val="auto"/>
              </w:rPr>
              <w:t>19</w:t>
            </w:r>
          </w:p>
        </w:tc>
        <w:tc>
          <w:tcPr>
            <w:tcW w:w="3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268"/>
              <w:spacing w:after="0"/>
              <w:rPr>
                <w:sz w:val="20"/>
                <w:szCs w:val="20"/>
                <w:color w:val="auto"/>
              </w:rPr>
            </w:pPr>
            <w:r>
              <w:rPr>
                <w:rFonts w:ascii="Arial" w:cs="Arial" w:eastAsia="Arial" w:hAnsi="Arial"/>
                <w:sz w:val="14"/>
                <w:szCs w:val="14"/>
                <w:color w:val="auto"/>
              </w:rPr>
              <w:t>21</w:t>
            </w:r>
          </w:p>
        </w:tc>
      </w:tr>
      <w:tr>
        <w:trPr>
          <w:trHeight w:val="238"/>
        </w:trPr>
        <w:tc>
          <w:tcPr>
            <w:tcW w:w="3380" w:type="dxa"/>
            <w:vAlign w:val="bottom"/>
            <w:tcBorders>
              <w:bottom w:val="single" w:sz="8" w:color="auto"/>
            </w:tcBorders>
          </w:tcPr>
          <w:p>
            <w:pPr>
              <w:ind w:left="180"/>
              <w:spacing w:after="0"/>
              <w:rPr>
                <w:sz w:val="20"/>
                <w:szCs w:val="20"/>
                <w:color w:val="auto"/>
              </w:rPr>
            </w:pPr>
            <w:r>
              <w:rPr>
                <w:rFonts w:ascii="Arial" w:cs="Arial" w:eastAsia="Arial" w:hAnsi="Arial"/>
                <w:sz w:val="14"/>
                <w:szCs w:val="14"/>
                <w:color w:val="auto"/>
              </w:rPr>
              <w:t>Shareholders’ equity</w:t>
            </w:r>
          </w:p>
        </w:tc>
        <w:tc>
          <w:tcPr>
            <w:tcW w:w="2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2,621</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ind w:right="149"/>
              <w:spacing w:after="0"/>
              <w:rPr>
                <w:sz w:val="20"/>
                <w:szCs w:val="20"/>
                <w:color w:val="auto"/>
              </w:rPr>
            </w:pPr>
            <w:r>
              <w:rPr>
                <w:rFonts w:ascii="Arial" w:cs="Arial" w:eastAsia="Arial" w:hAnsi="Arial"/>
                <w:sz w:val="14"/>
                <w:szCs w:val="14"/>
                <w:color w:val="auto"/>
              </w:rPr>
              <w:t>2,279</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1,994</w:t>
            </w:r>
          </w:p>
        </w:tc>
        <w:tc>
          <w:tcPr>
            <w:tcW w:w="3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1,562</w:t>
            </w:r>
          </w:p>
        </w:tc>
        <w:tc>
          <w:tcPr>
            <w:tcW w:w="3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1,376</w:t>
            </w:r>
          </w:p>
        </w:tc>
      </w:tr>
      <w:tr>
        <w:trPr>
          <w:trHeight w:val="210"/>
        </w:trPr>
        <w:tc>
          <w:tcPr>
            <w:tcW w:w="3380" w:type="dxa"/>
            <w:vAlign w:val="bottom"/>
          </w:tcPr>
          <w:p>
            <w:pPr>
              <w:spacing w:after="0"/>
              <w:rPr>
                <w:sz w:val="20"/>
                <w:szCs w:val="20"/>
                <w:color w:val="auto"/>
              </w:rPr>
            </w:pPr>
            <w:r>
              <w:rPr>
                <w:rFonts w:ascii="Arial" w:cs="Arial" w:eastAsia="Arial" w:hAnsi="Arial"/>
                <w:sz w:val="14"/>
                <w:szCs w:val="14"/>
                <w:b w:val="1"/>
                <w:bCs w:val="1"/>
                <w:color w:val="auto"/>
              </w:rPr>
              <w:t>Pacific Enterprises</w:t>
            </w: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16"/>
        </w:trPr>
        <w:tc>
          <w:tcPr>
            <w:tcW w:w="3380" w:type="dxa"/>
            <w:vAlign w:val="bottom"/>
          </w:tcPr>
          <w:p>
            <w:pPr>
              <w:spacing w:after="0"/>
              <w:rPr>
                <w:sz w:val="20"/>
                <w:szCs w:val="20"/>
                <w:color w:val="auto"/>
              </w:rPr>
            </w:pPr>
            <w:r>
              <w:rPr>
                <w:rFonts w:ascii="Arial" w:cs="Arial" w:eastAsia="Arial" w:hAnsi="Arial"/>
                <w:sz w:val="14"/>
                <w:szCs w:val="14"/>
                <w:color w:val="auto"/>
              </w:rPr>
              <w:t>Income Statement Data:</w:t>
            </w: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16"/>
        </w:trPr>
        <w:tc>
          <w:tcPr>
            <w:tcW w:w="3380" w:type="dxa"/>
            <w:vAlign w:val="bottom"/>
          </w:tcPr>
          <w:p>
            <w:pPr>
              <w:ind w:left="180"/>
              <w:spacing w:after="0"/>
              <w:rPr>
                <w:sz w:val="20"/>
                <w:szCs w:val="20"/>
                <w:color w:val="auto"/>
              </w:rPr>
            </w:pPr>
            <w:r>
              <w:rPr>
                <w:rFonts w:ascii="Arial" w:cs="Arial" w:eastAsia="Arial" w:hAnsi="Arial"/>
                <w:sz w:val="14"/>
                <w:szCs w:val="14"/>
                <w:color w:val="auto"/>
              </w:rPr>
              <w:t>Operating revenues</w:t>
            </w:r>
          </w:p>
        </w:tc>
        <w:tc>
          <w:tcPr>
            <w:tcW w:w="2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148"/>
              <w:spacing w:after="0"/>
              <w:rPr>
                <w:sz w:val="20"/>
                <w:szCs w:val="20"/>
                <w:color w:val="auto"/>
              </w:rPr>
            </w:pPr>
            <w:r>
              <w:rPr>
                <w:rFonts w:ascii="Arial" w:cs="Arial" w:eastAsia="Arial" w:hAnsi="Arial"/>
                <w:sz w:val="14"/>
                <w:szCs w:val="14"/>
                <w:color w:val="auto"/>
              </w:rPr>
              <w:t>4,768</w:t>
            </w:r>
          </w:p>
        </w:tc>
        <w:tc>
          <w:tcPr>
            <w:tcW w:w="360" w:type="dxa"/>
            <w:vAlign w:val="bottom"/>
          </w:tcPr>
          <w:p>
            <w:pPr>
              <w:jc w:val="right"/>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149"/>
              <w:spacing w:after="0"/>
              <w:rPr>
                <w:sz w:val="20"/>
                <w:szCs w:val="20"/>
                <w:color w:val="auto"/>
              </w:rPr>
            </w:pPr>
            <w:r>
              <w:rPr>
                <w:rFonts w:ascii="Arial" w:cs="Arial" w:eastAsia="Arial" w:hAnsi="Arial"/>
                <w:sz w:val="14"/>
                <w:szCs w:val="14"/>
                <w:color w:val="auto"/>
              </w:rPr>
              <w:t>4,282</w:t>
            </w:r>
          </w:p>
        </w:tc>
        <w:tc>
          <w:tcPr>
            <w:tcW w:w="360" w:type="dxa"/>
            <w:vAlign w:val="bottom"/>
          </w:tcPr>
          <w:p>
            <w:pPr>
              <w:jc w:val="right"/>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148"/>
              <w:spacing w:after="0"/>
              <w:rPr>
                <w:sz w:val="20"/>
                <w:szCs w:val="20"/>
                <w:color w:val="auto"/>
              </w:rPr>
            </w:pPr>
            <w:r>
              <w:rPr>
                <w:rFonts w:ascii="Arial" w:cs="Arial" w:eastAsia="Arial" w:hAnsi="Arial"/>
                <w:sz w:val="14"/>
                <w:szCs w:val="14"/>
                <w:color w:val="auto"/>
              </w:rPr>
              <w:t>4,181</w:t>
            </w:r>
          </w:p>
        </w:tc>
        <w:tc>
          <w:tcPr>
            <w:tcW w:w="3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148"/>
              <w:spacing w:after="0"/>
              <w:rPr>
                <w:sz w:val="20"/>
                <w:szCs w:val="20"/>
                <w:color w:val="auto"/>
              </w:rPr>
            </w:pPr>
            <w:r>
              <w:rPr>
                <w:rFonts w:ascii="Arial" w:cs="Arial" w:eastAsia="Arial" w:hAnsi="Arial"/>
                <w:sz w:val="14"/>
                <w:szCs w:val="14"/>
                <w:color w:val="auto"/>
              </w:rPr>
              <w:t>4,617</w:t>
            </w:r>
          </w:p>
        </w:tc>
        <w:tc>
          <w:tcPr>
            <w:tcW w:w="3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268"/>
              <w:spacing w:after="0"/>
              <w:rPr>
                <w:sz w:val="20"/>
                <w:szCs w:val="20"/>
                <w:color w:val="auto"/>
              </w:rPr>
            </w:pPr>
            <w:r>
              <w:rPr>
                <w:rFonts w:ascii="Arial" w:cs="Arial" w:eastAsia="Arial" w:hAnsi="Arial"/>
                <w:sz w:val="14"/>
                <w:szCs w:val="14"/>
                <w:color w:val="auto"/>
              </w:rPr>
              <w:t>3,997</w:t>
            </w:r>
          </w:p>
        </w:tc>
      </w:tr>
      <w:tr>
        <w:trPr>
          <w:trHeight w:val="216"/>
        </w:trPr>
        <w:tc>
          <w:tcPr>
            <w:tcW w:w="3380" w:type="dxa"/>
            <w:vAlign w:val="bottom"/>
          </w:tcPr>
          <w:p>
            <w:pPr>
              <w:ind w:left="180"/>
              <w:spacing w:after="0"/>
              <w:rPr>
                <w:sz w:val="20"/>
                <w:szCs w:val="20"/>
                <w:color w:val="auto"/>
              </w:rPr>
            </w:pPr>
            <w:r>
              <w:rPr>
                <w:rFonts w:ascii="Arial" w:cs="Arial" w:eastAsia="Arial" w:hAnsi="Arial"/>
                <w:sz w:val="14"/>
                <w:szCs w:val="14"/>
                <w:color w:val="auto"/>
              </w:rPr>
              <w:t>Operating income</w:t>
            </w:r>
          </w:p>
        </w:tc>
        <w:tc>
          <w:tcPr>
            <w:tcW w:w="2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148"/>
              <w:spacing w:after="0"/>
              <w:rPr>
                <w:sz w:val="20"/>
                <w:szCs w:val="20"/>
                <w:color w:val="auto"/>
              </w:rPr>
            </w:pPr>
            <w:r>
              <w:rPr>
                <w:rFonts w:ascii="Arial" w:cs="Arial" w:eastAsia="Arial" w:hAnsi="Arial"/>
                <w:sz w:val="14"/>
                <w:szCs w:val="14"/>
                <w:color w:val="auto"/>
              </w:rPr>
              <w:t>435</w:t>
            </w:r>
          </w:p>
        </w:tc>
        <w:tc>
          <w:tcPr>
            <w:tcW w:w="360" w:type="dxa"/>
            <w:vAlign w:val="bottom"/>
          </w:tcPr>
          <w:p>
            <w:pPr>
              <w:jc w:val="right"/>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149"/>
              <w:spacing w:after="0"/>
              <w:rPr>
                <w:sz w:val="20"/>
                <w:szCs w:val="20"/>
                <w:color w:val="auto"/>
              </w:rPr>
            </w:pPr>
            <w:r>
              <w:rPr>
                <w:rFonts w:ascii="Arial" w:cs="Arial" w:eastAsia="Arial" w:hAnsi="Arial"/>
                <w:sz w:val="14"/>
                <w:szCs w:val="14"/>
                <w:color w:val="auto"/>
              </w:rPr>
              <w:t>436</w:t>
            </w:r>
          </w:p>
        </w:tc>
        <w:tc>
          <w:tcPr>
            <w:tcW w:w="360" w:type="dxa"/>
            <w:vAlign w:val="bottom"/>
          </w:tcPr>
          <w:p>
            <w:pPr>
              <w:jc w:val="right"/>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148"/>
              <w:spacing w:after="0"/>
              <w:rPr>
                <w:sz w:val="20"/>
                <w:szCs w:val="20"/>
                <w:color w:val="auto"/>
              </w:rPr>
            </w:pPr>
            <w:r>
              <w:rPr>
                <w:rFonts w:ascii="Arial" w:cs="Arial" w:eastAsia="Arial" w:hAnsi="Arial"/>
                <w:sz w:val="14"/>
                <w:szCs w:val="14"/>
                <w:color w:val="auto"/>
              </w:rPr>
              <w:t>439</w:t>
            </w:r>
          </w:p>
        </w:tc>
        <w:tc>
          <w:tcPr>
            <w:tcW w:w="3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148"/>
              <w:spacing w:after="0"/>
              <w:rPr>
                <w:sz w:val="20"/>
                <w:szCs w:val="20"/>
                <w:color w:val="auto"/>
              </w:rPr>
            </w:pPr>
            <w:r>
              <w:rPr>
                <w:rFonts w:ascii="Arial" w:cs="Arial" w:eastAsia="Arial" w:hAnsi="Arial"/>
                <w:sz w:val="14"/>
                <w:szCs w:val="14"/>
                <w:color w:val="auto"/>
              </w:rPr>
              <w:t>347</w:t>
            </w:r>
          </w:p>
        </w:tc>
        <w:tc>
          <w:tcPr>
            <w:tcW w:w="3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268"/>
              <w:spacing w:after="0"/>
              <w:rPr>
                <w:sz w:val="20"/>
                <w:szCs w:val="20"/>
                <w:color w:val="auto"/>
              </w:rPr>
            </w:pPr>
            <w:r>
              <w:rPr>
                <w:rFonts w:ascii="Arial" w:cs="Arial" w:eastAsia="Arial" w:hAnsi="Arial"/>
                <w:sz w:val="14"/>
                <w:szCs w:val="14"/>
                <w:color w:val="auto"/>
              </w:rPr>
              <w:t>407</w:t>
            </w:r>
          </w:p>
        </w:tc>
      </w:tr>
      <w:tr>
        <w:trPr>
          <w:trHeight w:val="216"/>
        </w:trPr>
        <w:tc>
          <w:tcPr>
            <w:tcW w:w="3380" w:type="dxa"/>
            <w:vAlign w:val="bottom"/>
          </w:tcPr>
          <w:p>
            <w:pPr>
              <w:ind w:left="180"/>
              <w:spacing w:after="0"/>
              <w:rPr>
                <w:sz w:val="20"/>
                <w:szCs w:val="20"/>
                <w:color w:val="auto"/>
              </w:rPr>
            </w:pPr>
            <w:r>
              <w:rPr>
                <w:rFonts w:ascii="Arial" w:cs="Arial" w:eastAsia="Arial" w:hAnsi="Arial"/>
                <w:sz w:val="14"/>
                <w:szCs w:val="14"/>
                <w:color w:val="auto"/>
              </w:rPr>
              <w:t>Dividends on preferred stock</w:t>
            </w:r>
          </w:p>
        </w:tc>
        <w:tc>
          <w:tcPr>
            <w:tcW w:w="2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148"/>
              <w:spacing w:after="0"/>
              <w:rPr>
                <w:sz w:val="20"/>
                <w:szCs w:val="20"/>
                <w:color w:val="auto"/>
              </w:rPr>
            </w:pPr>
            <w:r>
              <w:rPr>
                <w:rFonts w:ascii="Arial" w:cs="Arial" w:eastAsia="Arial" w:hAnsi="Arial"/>
                <w:sz w:val="14"/>
                <w:szCs w:val="14"/>
                <w:color w:val="auto"/>
              </w:rPr>
              <w:t>4</w:t>
            </w:r>
          </w:p>
        </w:tc>
        <w:tc>
          <w:tcPr>
            <w:tcW w:w="360" w:type="dxa"/>
            <w:vAlign w:val="bottom"/>
          </w:tcPr>
          <w:p>
            <w:pPr>
              <w:jc w:val="right"/>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149"/>
              <w:spacing w:after="0"/>
              <w:rPr>
                <w:sz w:val="20"/>
                <w:szCs w:val="20"/>
                <w:color w:val="auto"/>
              </w:rPr>
            </w:pPr>
            <w:r>
              <w:rPr>
                <w:rFonts w:ascii="Arial" w:cs="Arial" w:eastAsia="Arial" w:hAnsi="Arial"/>
                <w:sz w:val="14"/>
                <w:szCs w:val="14"/>
                <w:color w:val="auto"/>
              </w:rPr>
              <w:t>4</w:t>
            </w:r>
          </w:p>
        </w:tc>
        <w:tc>
          <w:tcPr>
            <w:tcW w:w="360" w:type="dxa"/>
            <w:vAlign w:val="bottom"/>
          </w:tcPr>
          <w:p>
            <w:pPr>
              <w:jc w:val="right"/>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148"/>
              <w:spacing w:after="0"/>
              <w:rPr>
                <w:sz w:val="20"/>
                <w:szCs w:val="20"/>
                <w:color w:val="auto"/>
              </w:rPr>
            </w:pPr>
            <w:r>
              <w:rPr>
                <w:rFonts w:ascii="Arial" w:cs="Arial" w:eastAsia="Arial" w:hAnsi="Arial"/>
                <w:sz w:val="14"/>
                <w:szCs w:val="14"/>
                <w:color w:val="auto"/>
              </w:rPr>
              <w:t>4</w:t>
            </w:r>
          </w:p>
        </w:tc>
        <w:tc>
          <w:tcPr>
            <w:tcW w:w="3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148"/>
              <w:spacing w:after="0"/>
              <w:rPr>
                <w:sz w:val="20"/>
                <w:szCs w:val="20"/>
                <w:color w:val="auto"/>
              </w:rPr>
            </w:pPr>
            <w:r>
              <w:rPr>
                <w:rFonts w:ascii="Arial" w:cs="Arial" w:eastAsia="Arial" w:hAnsi="Arial"/>
                <w:sz w:val="14"/>
                <w:szCs w:val="14"/>
                <w:color w:val="auto"/>
              </w:rPr>
              <w:t>4</w:t>
            </w:r>
          </w:p>
        </w:tc>
        <w:tc>
          <w:tcPr>
            <w:tcW w:w="3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268"/>
              <w:spacing w:after="0"/>
              <w:rPr>
                <w:sz w:val="20"/>
                <w:szCs w:val="20"/>
                <w:color w:val="auto"/>
              </w:rPr>
            </w:pPr>
            <w:r>
              <w:rPr>
                <w:rFonts w:ascii="Arial" w:cs="Arial" w:eastAsia="Arial" w:hAnsi="Arial"/>
                <w:sz w:val="14"/>
                <w:szCs w:val="14"/>
                <w:color w:val="auto"/>
              </w:rPr>
              <w:t>4</w:t>
            </w:r>
          </w:p>
        </w:tc>
      </w:tr>
      <w:tr>
        <w:trPr>
          <w:trHeight w:val="216"/>
        </w:trPr>
        <w:tc>
          <w:tcPr>
            <w:tcW w:w="3380" w:type="dxa"/>
            <w:vAlign w:val="bottom"/>
          </w:tcPr>
          <w:p>
            <w:pPr>
              <w:ind w:left="180"/>
              <w:spacing w:after="0"/>
              <w:rPr>
                <w:sz w:val="20"/>
                <w:szCs w:val="20"/>
                <w:color w:val="auto"/>
              </w:rPr>
            </w:pPr>
            <w:r>
              <w:rPr>
                <w:rFonts w:ascii="Arial" w:cs="Arial" w:eastAsia="Arial" w:hAnsi="Arial"/>
                <w:sz w:val="14"/>
                <w:szCs w:val="14"/>
                <w:color w:val="auto"/>
              </w:rPr>
              <w:t>Earnings applicable to common shares</w:t>
            </w:r>
          </w:p>
        </w:tc>
        <w:tc>
          <w:tcPr>
            <w:tcW w:w="2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148"/>
              <w:spacing w:after="0"/>
              <w:rPr>
                <w:sz w:val="20"/>
                <w:szCs w:val="20"/>
                <w:color w:val="auto"/>
              </w:rPr>
            </w:pPr>
            <w:r>
              <w:rPr>
                <w:rFonts w:ascii="Arial" w:cs="Arial" w:eastAsia="Arial" w:hAnsi="Arial"/>
                <w:sz w:val="14"/>
                <w:szCs w:val="14"/>
                <w:color w:val="auto"/>
              </w:rPr>
              <w:t>248</w:t>
            </w:r>
          </w:p>
        </w:tc>
        <w:tc>
          <w:tcPr>
            <w:tcW w:w="360" w:type="dxa"/>
            <w:vAlign w:val="bottom"/>
          </w:tcPr>
          <w:p>
            <w:pPr>
              <w:jc w:val="right"/>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149"/>
              <w:spacing w:after="0"/>
              <w:rPr>
                <w:sz w:val="20"/>
                <w:szCs w:val="20"/>
                <w:color w:val="auto"/>
              </w:rPr>
            </w:pPr>
            <w:r>
              <w:rPr>
                <w:rFonts w:ascii="Arial" w:cs="Arial" w:eastAsia="Arial" w:hAnsi="Arial"/>
                <w:sz w:val="14"/>
                <w:szCs w:val="14"/>
                <w:color w:val="auto"/>
              </w:rPr>
              <w:t>238</w:t>
            </w:r>
          </w:p>
        </w:tc>
        <w:tc>
          <w:tcPr>
            <w:tcW w:w="360" w:type="dxa"/>
            <w:vAlign w:val="bottom"/>
          </w:tcPr>
          <w:p>
            <w:pPr>
              <w:jc w:val="right"/>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148"/>
              <w:spacing w:after="0"/>
              <w:rPr>
                <w:sz w:val="20"/>
                <w:szCs w:val="20"/>
                <w:color w:val="auto"/>
              </w:rPr>
            </w:pPr>
            <w:r>
              <w:rPr>
                <w:rFonts w:ascii="Arial" w:cs="Arial" w:eastAsia="Arial" w:hAnsi="Arial"/>
                <w:sz w:val="14"/>
                <w:szCs w:val="14"/>
                <w:color w:val="auto"/>
              </w:rPr>
              <w:t>235</w:t>
            </w:r>
          </w:p>
        </w:tc>
        <w:tc>
          <w:tcPr>
            <w:tcW w:w="3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148"/>
              <w:spacing w:after="0"/>
              <w:rPr>
                <w:sz w:val="20"/>
                <w:szCs w:val="20"/>
                <w:color w:val="auto"/>
              </w:rPr>
            </w:pPr>
            <w:r>
              <w:rPr>
                <w:rFonts w:ascii="Arial" w:cs="Arial" w:eastAsia="Arial" w:hAnsi="Arial"/>
                <w:sz w:val="14"/>
                <w:szCs w:val="14"/>
                <w:color w:val="auto"/>
              </w:rPr>
              <w:t>221</w:t>
            </w:r>
          </w:p>
        </w:tc>
        <w:tc>
          <w:tcPr>
            <w:tcW w:w="3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268"/>
              <w:spacing w:after="0"/>
              <w:rPr>
                <w:sz w:val="20"/>
                <w:szCs w:val="20"/>
                <w:color w:val="auto"/>
              </w:rPr>
            </w:pPr>
            <w:r>
              <w:rPr>
                <w:rFonts w:ascii="Arial" w:cs="Arial" w:eastAsia="Arial" w:hAnsi="Arial"/>
                <w:sz w:val="14"/>
                <w:szCs w:val="14"/>
                <w:color w:val="auto"/>
              </w:rPr>
              <w:t>232</w:t>
            </w:r>
          </w:p>
        </w:tc>
      </w:tr>
      <w:tr>
        <w:trPr>
          <w:trHeight w:val="432"/>
        </w:trPr>
        <w:tc>
          <w:tcPr>
            <w:tcW w:w="3380" w:type="dxa"/>
            <w:vAlign w:val="bottom"/>
          </w:tcPr>
          <w:p>
            <w:pPr>
              <w:spacing w:after="0"/>
              <w:rPr>
                <w:sz w:val="20"/>
                <w:szCs w:val="20"/>
                <w:color w:val="auto"/>
              </w:rPr>
            </w:pPr>
            <w:r>
              <w:rPr>
                <w:rFonts w:ascii="Arial" w:cs="Arial" w:eastAsia="Arial" w:hAnsi="Arial"/>
                <w:sz w:val="14"/>
                <w:szCs w:val="14"/>
                <w:color w:val="auto"/>
              </w:rPr>
              <w:t>Balance Sheet Data:</w:t>
            </w: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16"/>
        </w:trPr>
        <w:tc>
          <w:tcPr>
            <w:tcW w:w="3380" w:type="dxa"/>
            <w:vAlign w:val="bottom"/>
          </w:tcPr>
          <w:p>
            <w:pPr>
              <w:ind w:left="180"/>
              <w:spacing w:after="0"/>
              <w:rPr>
                <w:sz w:val="20"/>
                <w:szCs w:val="20"/>
                <w:color w:val="auto"/>
              </w:rPr>
            </w:pPr>
            <w:r>
              <w:rPr>
                <w:rFonts w:ascii="Arial" w:cs="Arial" w:eastAsia="Arial" w:hAnsi="Arial"/>
                <w:sz w:val="14"/>
                <w:szCs w:val="14"/>
                <w:color w:val="auto"/>
              </w:rPr>
              <w:t>Total assets*</w:t>
            </w:r>
          </w:p>
        </w:tc>
        <w:tc>
          <w:tcPr>
            <w:tcW w:w="2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148"/>
              <w:spacing w:after="0"/>
              <w:rPr>
                <w:sz w:val="20"/>
                <w:szCs w:val="20"/>
                <w:color w:val="auto"/>
              </w:rPr>
            </w:pPr>
            <w:r>
              <w:rPr>
                <w:rFonts w:ascii="Arial" w:cs="Arial" w:eastAsia="Arial" w:hAnsi="Arial"/>
                <w:sz w:val="14"/>
                <w:szCs w:val="14"/>
                <w:color w:val="auto"/>
              </w:rPr>
              <w:t>7,907</w:t>
            </w:r>
          </w:p>
        </w:tc>
        <w:tc>
          <w:tcPr>
            <w:tcW w:w="360" w:type="dxa"/>
            <w:vAlign w:val="bottom"/>
          </w:tcPr>
          <w:p>
            <w:pPr>
              <w:jc w:val="right"/>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149"/>
              <w:spacing w:after="0"/>
              <w:rPr>
                <w:sz w:val="20"/>
                <w:szCs w:val="20"/>
                <w:color w:val="auto"/>
              </w:rPr>
            </w:pPr>
            <w:r>
              <w:rPr>
                <w:rFonts w:ascii="Arial" w:cs="Arial" w:eastAsia="Arial" w:hAnsi="Arial"/>
                <w:sz w:val="14"/>
                <w:szCs w:val="14"/>
                <w:color w:val="auto"/>
              </w:rPr>
              <w:t>6,802</w:t>
            </w:r>
          </w:p>
        </w:tc>
        <w:tc>
          <w:tcPr>
            <w:tcW w:w="360" w:type="dxa"/>
            <w:vAlign w:val="bottom"/>
          </w:tcPr>
          <w:p>
            <w:pPr>
              <w:jc w:val="right"/>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148"/>
              <w:spacing w:after="0"/>
              <w:rPr>
                <w:sz w:val="20"/>
                <w:szCs w:val="20"/>
                <w:color w:val="auto"/>
              </w:rPr>
            </w:pPr>
            <w:r>
              <w:rPr>
                <w:rFonts w:ascii="Arial" w:cs="Arial" w:eastAsia="Arial" w:hAnsi="Arial"/>
                <w:sz w:val="14"/>
                <w:szCs w:val="14"/>
                <w:color w:val="auto"/>
              </w:rPr>
              <w:t>6,841</w:t>
            </w:r>
          </w:p>
        </w:tc>
        <w:tc>
          <w:tcPr>
            <w:tcW w:w="3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148"/>
              <w:spacing w:after="0"/>
              <w:rPr>
                <w:sz w:val="20"/>
                <w:szCs w:val="20"/>
                <w:color w:val="auto"/>
              </w:rPr>
            </w:pPr>
            <w:r>
              <w:rPr>
                <w:rFonts w:ascii="Arial" w:cs="Arial" w:eastAsia="Arial" w:hAnsi="Arial"/>
                <w:sz w:val="14"/>
                <w:szCs w:val="14"/>
                <w:color w:val="auto"/>
              </w:rPr>
              <w:t>6,531</w:t>
            </w:r>
          </w:p>
        </w:tc>
        <w:tc>
          <w:tcPr>
            <w:tcW w:w="3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268"/>
              <w:spacing w:after="0"/>
              <w:rPr>
                <w:sz w:val="20"/>
                <w:szCs w:val="20"/>
                <w:color w:val="auto"/>
              </w:rPr>
            </w:pPr>
            <w:r>
              <w:rPr>
                <w:rFonts w:ascii="Arial" w:cs="Arial" w:eastAsia="Arial" w:hAnsi="Arial"/>
                <w:sz w:val="14"/>
                <w:szCs w:val="14"/>
                <w:color w:val="auto"/>
              </w:rPr>
              <w:t>6,088</w:t>
            </w:r>
          </w:p>
        </w:tc>
      </w:tr>
      <w:tr>
        <w:trPr>
          <w:trHeight w:val="216"/>
        </w:trPr>
        <w:tc>
          <w:tcPr>
            <w:tcW w:w="3380" w:type="dxa"/>
            <w:vAlign w:val="bottom"/>
          </w:tcPr>
          <w:p>
            <w:pPr>
              <w:ind w:left="180"/>
              <w:spacing w:after="0"/>
              <w:rPr>
                <w:sz w:val="20"/>
                <w:szCs w:val="20"/>
                <w:color w:val="auto"/>
              </w:rPr>
            </w:pPr>
            <w:r>
              <w:rPr>
                <w:rFonts w:ascii="Arial" w:cs="Arial" w:eastAsia="Arial" w:hAnsi="Arial"/>
                <w:sz w:val="14"/>
                <w:szCs w:val="14"/>
                <w:color w:val="auto"/>
              </w:rPr>
              <w:t>Long-term debt (excludes current portion)</w:t>
            </w:r>
          </w:p>
        </w:tc>
        <w:tc>
          <w:tcPr>
            <w:tcW w:w="2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148"/>
              <w:spacing w:after="0"/>
              <w:rPr>
                <w:sz w:val="20"/>
                <w:szCs w:val="20"/>
                <w:color w:val="auto"/>
              </w:rPr>
            </w:pPr>
            <w:r>
              <w:rPr>
                <w:rFonts w:ascii="Arial" w:cs="Arial" w:eastAsia="Arial" w:hAnsi="Arial"/>
                <w:sz w:val="14"/>
                <w:szCs w:val="14"/>
                <w:color w:val="auto"/>
              </w:rPr>
              <w:t>1,270</w:t>
            </w:r>
          </w:p>
        </w:tc>
        <w:tc>
          <w:tcPr>
            <w:tcW w:w="360" w:type="dxa"/>
            <w:vAlign w:val="bottom"/>
          </w:tcPr>
          <w:p>
            <w:pPr>
              <w:jc w:val="right"/>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149"/>
              <w:spacing w:after="0"/>
              <w:rPr>
                <w:sz w:val="20"/>
                <w:szCs w:val="20"/>
                <w:color w:val="auto"/>
              </w:rPr>
            </w:pPr>
            <w:r>
              <w:rPr>
                <w:rFonts w:ascii="Arial" w:cs="Arial" w:eastAsia="Arial" w:hAnsi="Arial"/>
                <w:sz w:val="14"/>
                <w:szCs w:val="14"/>
                <w:color w:val="auto"/>
              </w:rPr>
              <w:t>1,113</w:t>
            </w:r>
          </w:p>
        </w:tc>
        <w:tc>
          <w:tcPr>
            <w:tcW w:w="360" w:type="dxa"/>
            <w:vAlign w:val="bottom"/>
          </w:tcPr>
          <w:p>
            <w:pPr>
              <w:jc w:val="right"/>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148"/>
              <w:spacing w:after="0"/>
              <w:rPr>
                <w:sz w:val="20"/>
                <w:szCs w:val="20"/>
                <w:color w:val="auto"/>
              </w:rPr>
            </w:pPr>
            <w:r>
              <w:rPr>
                <w:rFonts w:ascii="Arial" w:cs="Arial" w:eastAsia="Arial" w:hAnsi="Arial"/>
                <w:sz w:val="14"/>
                <w:szCs w:val="14"/>
                <w:color w:val="auto"/>
              </w:rPr>
              <w:t>1,107</w:t>
            </w:r>
          </w:p>
        </w:tc>
        <w:tc>
          <w:tcPr>
            <w:tcW w:w="3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148"/>
              <w:spacing w:after="0"/>
              <w:rPr>
                <w:sz w:val="20"/>
                <w:szCs w:val="20"/>
                <w:color w:val="auto"/>
              </w:rPr>
            </w:pPr>
            <w:r>
              <w:rPr>
                <w:rFonts w:ascii="Arial" w:cs="Arial" w:eastAsia="Arial" w:hAnsi="Arial"/>
                <w:sz w:val="14"/>
                <w:szCs w:val="14"/>
                <w:color w:val="auto"/>
              </w:rPr>
              <w:t>1,100</w:t>
            </w:r>
          </w:p>
        </w:tc>
        <w:tc>
          <w:tcPr>
            <w:tcW w:w="3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268"/>
              <w:spacing w:after="0"/>
              <w:rPr>
                <w:sz w:val="20"/>
                <w:szCs w:val="20"/>
                <w:color w:val="auto"/>
              </w:rPr>
            </w:pPr>
            <w:r>
              <w:rPr>
                <w:rFonts w:ascii="Arial" w:cs="Arial" w:eastAsia="Arial" w:hAnsi="Arial"/>
                <w:sz w:val="14"/>
                <w:szCs w:val="14"/>
                <w:color w:val="auto"/>
              </w:rPr>
              <w:t>864</w:t>
            </w:r>
          </w:p>
        </w:tc>
      </w:tr>
      <w:tr>
        <w:trPr>
          <w:trHeight w:val="216"/>
        </w:trPr>
        <w:tc>
          <w:tcPr>
            <w:tcW w:w="3380" w:type="dxa"/>
            <w:vAlign w:val="bottom"/>
          </w:tcPr>
          <w:p>
            <w:pPr>
              <w:ind w:left="180"/>
              <w:spacing w:after="0"/>
              <w:rPr>
                <w:sz w:val="20"/>
                <w:szCs w:val="20"/>
                <w:color w:val="auto"/>
              </w:rPr>
            </w:pPr>
            <w:r>
              <w:rPr>
                <w:rFonts w:ascii="Arial" w:cs="Arial" w:eastAsia="Arial" w:hAnsi="Arial"/>
                <w:sz w:val="14"/>
                <w:szCs w:val="14"/>
                <w:color w:val="auto"/>
              </w:rPr>
              <w:t>Short-term debt**</w:t>
            </w:r>
          </w:p>
        </w:tc>
        <w:tc>
          <w:tcPr>
            <w:tcW w:w="2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148"/>
              <w:spacing w:after="0"/>
              <w:rPr>
                <w:sz w:val="20"/>
                <w:szCs w:val="20"/>
                <w:color w:val="auto"/>
              </w:rPr>
            </w:pPr>
            <w:r>
              <w:rPr>
                <w:rFonts w:ascii="Arial" w:cs="Arial" w:eastAsia="Arial" w:hAnsi="Arial"/>
                <w:sz w:val="14"/>
                <w:szCs w:val="14"/>
                <w:color w:val="auto"/>
              </w:rPr>
              <w:t>100</w:t>
            </w:r>
          </w:p>
        </w:tc>
        <w:tc>
          <w:tcPr>
            <w:tcW w:w="360" w:type="dxa"/>
            <w:vAlign w:val="bottom"/>
          </w:tcPr>
          <w:p>
            <w:pPr>
              <w:jc w:val="right"/>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149"/>
              <w:spacing w:after="0"/>
              <w:rPr>
                <w:sz w:val="20"/>
                <w:szCs w:val="20"/>
                <w:color w:val="auto"/>
              </w:rPr>
            </w:pPr>
            <w:r>
              <w:rPr>
                <w:rFonts w:ascii="Arial" w:cs="Arial" w:eastAsia="Arial" w:hAnsi="Arial"/>
                <w:sz w:val="14"/>
                <w:szCs w:val="14"/>
                <w:color w:val="auto"/>
              </w:rPr>
              <w:t>--</w:t>
            </w:r>
          </w:p>
        </w:tc>
        <w:tc>
          <w:tcPr>
            <w:tcW w:w="360" w:type="dxa"/>
            <w:vAlign w:val="bottom"/>
          </w:tcPr>
          <w:p>
            <w:pPr>
              <w:jc w:val="right"/>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3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148"/>
              <w:spacing w:after="0"/>
              <w:rPr>
                <w:sz w:val="20"/>
                <w:szCs w:val="20"/>
                <w:color w:val="auto"/>
              </w:rPr>
            </w:pPr>
            <w:r>
              <w:rPr>
                <w:rFonts w:ascii="Arial" w:cs="Arial" w:eastAsia="Arial" w:hAnsi="Arial"/>
                <w:sz w:val="14"/>
                <w:szCs w:val="14"/>
                <w:color w:val="auto"/>
              </w:rPr>
              <w:t>96</w:t>
            </w:r>
          </w:p>
        </w:tc>
        <w:tc>
          <w:tcPr>
            <w:tcW w:w="3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268"/>
              <w:spacing w:after="0"/>
              <w:rPr>
                <w:sz w:val="20"/>
                <w:szCs w:val="20"/>
                <w:color w:val="auto"/>
              </w:rPr>
            </w:pPr>
            <w:r>
              <w:rPr>
                <w:rFonts w:ascii="Arial" w:cs="Arial" w:eastAsia="Arial" w:hAnsi="Arial"/>
                <w:sz w:val="14"/>
                <w:szCs w:val="14"/>
                <w:color w:val="auto"/>
              </w:rPr>
              <w:t>30</w:t>
            </w:r>
          </w:p>
        </w:tc>
      </w:tr>
      <w:tr>
        <w:trPr>
          <w:trHeight w:val="238"/>
        </w:trPr>
        <w:tc>
          <w:tcPr>
            <w:tcW w:w="3380" w:type="dxa"/>
            <w:vAlign w:val="bottom"/>
            <w:tcBorders>
              <w:bottom w:val="single" w:sz="8" w:color="auto"/>
            </w:tcBorders>
          </w:tcPr>
          <w:p>
            <w:pPr>
              <w:ind w:left="180"/>
              <w:spacing w:after="0"/>
              <w:rPr>
                <w:sz w:val="20"/>
                <w:szCs w:val="20"/>
                <w:color w:val="auto"/>
              </w:rPr>
            </w:pPr>
            <w:r>
              <w:rPr>
                <w:rFonts w:ascii="Arial" w:cs="Arial" w:eastAsia="Arial" w:hAnsi="Arial"/>
                <w:sz w:val="14"/>
                <w:szCs w:val="14"/>
                <w:color w:val="auto"/>
              </w:rPr>
              <w:t>Shareholders’ equity</w:t>
            </w:r>
          </w:p>
        </w:tc>
        <w:tc>
          <w:tcPr>
            <w:tcW w:w="2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1,940</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ind w:right="149"/>
              <w:spacing w:after="0"/>
              <w:rPr>
                <w:sz w:val="20"/>
                <w:szCs w:val="20"/>
                <w:color w:val="auto"/>
              </w:rPr>
            </w:pPr>
            <w:r>
              <w:rPr>
                <w:rFonts w:ascii="Arial" w:cs="Arial" w:eastAsia="Arial" w:hAnsi="Arial"/>
                <w:sz w:val="14"/>
                <w:szCs w:val="14"/>
                <w:color w:val="auto"/>
              </w:rPr>
              <w:t>1,916</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1,930</w:t>
            </w:r>
          </w:p>
        </w:tc>
        <w:tc>
          <w:tcPr>
            <w:tcW w:w="3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1,834</w:t>
            </w:r>
          </w:p>
        </w:tc>
        <w:tc>
          <w:tcPr>
            <w:tcW w:w="3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1,814</w:t>
            </w:r>
          </w:p>
        </w:tc>
      </w:tr>
      <w:tr>
        <w:trPr>
          <w:trHeight w:val="210"/>
        </w:trPr>
        <w:tc>
          <w:tcPr>
            <w:tcW w:w="3380" w:type="dxa"/>
            <w:vAlign w:val="bottom"/>
          </w:tcPr>
          <w:p>
            <w:pPr>
              <w:spacing w:after="0"/>
              <w:rPr>
                <w:sz w:val="20"/>
                <w:szCs w:val="20"/>
                <w:color w:val="auto"/>
              </w:rPr>
            </w:pPr>
            <w:r>
              <w:rPr>
                <w:rFonts w:ascii="Arial" w:cs="Arial" w:eastAsia="Arial" w:hAnsi="Arial"/>
                <w:sz w:val="14"/>
                <w:szCs w:val="14"/>
                <w:b w:val="1"/>
                <w:bCs w:val="1"/>
                <w:color w:val="auto"/>
              </w:rPr>
              <w:t>SoCalGas</w:t>
            </w: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16"/>
        </w:trPr>
        <w:tc>
          <w:tcPr>
            <w:tcW w:w="3380" w:type="dxa"/>
            <w:vAlign w:val="bottom"/>
          </w:tcPr>
          <w:p>
            <w:pPr>
              <w:spacing w:after="0"/>
              <w:rPr>
                <w:sz w:val="20"/>
                <w:szCs w:val="20"/>
                <w:color w:val="auto"/>
              </w:rPr>
            </w:pPr>
            <w:r>
              <w:rPr>
                <w:rFonts w:ascii="Arial" w:cs="Arial" w:eastAsia="Arial" w:hAnsi="Arial"/>
                <w:sz w:val="14"/>
                <w:szCs w:val="14"/>
                <w:color w:val="auto"/>
              </w:rPr>
              <w:t>Income Statement Data:</w:t>
            </w: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16"/>
        </w:trPr>
        <w:tc>
          <w:tcPr>
            <w:tcW w:w="3380" w:type="dxa"/>
            <w:vAlign w:val="bottom"/>
          </w:tcPr>
          <w:p>
            <w:pPr>
              <w:ind w:left="180"/>
              <w:spacing w:after="0"/>
              <w:rPr>
                <w:sz w:val="20"/>
                <w:szCs w:val="20"/>
                <w:color w:val="auto"/>
              </w:rPr>
            </w:pPr>
            <w:r>
              <w:rPr>
                <w:rFonts w:ascii="Arial" w:cs="Arial" w:eastAsia="Arial" w:hAnsi="Arial"/>
                <w:sz w:val="14"/>
                <w:szCs w:val="14"/>
                <w:color w:val="auto"/>
              </w:rPr>
              <w:t>Operating revenues</w:t>
            </w:r>
          </w:p>
        </w:tc>
        <w:tc>
          <w:tcPr>
            <w:tcW w:w="2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148"/>
              <w:spacing w:after="0"/>
              <w:rPr>
                <w:sz w:val="20"/>
                <w:szCs w:val="20"/>
                <w:color w:val="auto"/>
              </w:rPr>
            </w:pPr>
            <w:r>
              <w:rPr>
                <w:rFonts w:ascii="Arial" w:cs="Arial" w:eastAsia="Arial" w:hAnsi="Arial"/>
                <w:sz w:val="14"/>
                <w:szCs w:val="14"/>
                <w:color w:val="auto"/>
              </w:rPr>
              <w:t>4,768</w:t>
            </w:r>
          </w:p>
        </w:tc>
        <w:tc>
          <w:tcPr>
            <w:tcW w:w="360" w:type="dxa"/>
            <w:vAlign w:val="bottom"/>
          </w:tcPr>
          <w:p>
            <w:pPr>
              <w:jc w:val="right"/>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149"/>
              <w:spacing w:after="0"/>
              <w:rPr>
                <w:sz w:val="20"/>
                <w:szCs w:val="20"/>
                <w:color w:val="auto"/>
              </w:rPr>
            </w:pPr>
            <w:r>
              <w:rPr>
                <w:rFonts w:ascii="Arial" w:cs="Arial" w:eastAsia="Arial" w:hAnsi="Arial"/>
                <w:sz w:val="14"/>
                <w:szCs w:val="14"/>
                <w:color w:val="auto"/>
              </w:rPr>
              <w:t>4,282</w:t>
            </w:r>
          </w:p>
        </w:tc>
        <w:tc>
          <w:tcPr>
            <w:tcW w:w="360" w:type="dxa"/>
            <w:vAlign w:val="bottom"/>
          </w:tcPr>
          <w:p>
            <w:pPr>
              <w:jc w:val="right"/>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148"/>
              <w:spacing w:after="0"/>
              <w:rPr>
                <w:sz w:val="20"/>
                <w:szCs w:val="20"/>
                <w:color w:val="auto"/>
              </w:rPr>
            </w:pPr>
            <w:r>
              <w:rPr>
                <w:rFonts w:ascii="Arial" w:cs="Arial" w:eastAsia="Arial" w:hAnsi="Arial"/>
                <w:sz w:val="14"/>
                <w:szCs w:val="14"/>
                <w:color w:val="auto"/>
              </w:rPr>
              <w:t>4,181</w:t>
            </w:r>
          </w:p>
        </w:tc>
        <w:tc>
          <w:tcPr>
            <w:tcW w:w="3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148"/>
              <w:spacing w:after="0"/>
              <w:rPr>
                <w:sz w:val="20"/>
                <w:szCs w:val="20"/>
                <w:color w:val="auto"/>
              </w:rPr>
            </w:pPr>
            <w:r>
              <w:rPr>
                <w:rFonts w:ascii="Arial" w:cs="Arial" w:eastAsia="Arial" w:hAnsi="Arial"/>
                <w:sz w:val="14"/>
                <w:szCs w:val="14"/>
                <w:color w:val="auto"/>
              </w:rPr>
              <w:t>4,617</w:t>
            </w:r>
          </w:p>
        </w:tc>
        <w:tc>
          <w:tcPr>
            <w:tcW w:w="3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268"/>
              <w:spacing w:after="0"/>
              <w:rPr>
                <w:sz w:val="20"/>
                <w:szCs w:val="20"/>
                <w:color w:val="auto"/>
              </w:rPr>
            </w:pPr>
            <w:r>
              <w:rPr>
                <w:rFonts w:ascii="Arial" w:cs="Arial" w:eastAsia="Arial" w:hAnsi="Arial"/>
                <w:sz w:val="14"/>
                <w:szCs w:val="14"/>
                <w:color w:val="auto"/>
              </w:rPr>
              <w:t>3,997</w:t>
            </w:r>
          </w:p>
        </w:tc>
      </w:tr>
      <w:tr>
        <w:trPr>
          <w:trHeight w:val="216"/>
        </w:trPr>
        <w:tc>
          <w:tcPr>
            <w:tcW w:w="3380" w:type="dxa"/>
            <w:vAlign w:val="bottom"/>
          </w:tcPr>
          <w:p>
            <w:pPr>
              <w:ind w:left="180"/>
              <w:spacing w:after="0"/>
              <w:rPr>
                <w:sz w:val="20"/>
                <w:szCs w:val="20"/>
                <w:color w:val="auto"/>
              </w:rPr>
            </w:pPr>
            <w:r>
              <w:rPr>
                <w:rFonts w:ascii="Arial" w:cs="Arial" w:eastAsia="Arial" w:hAnsi="Arial"/>
                <w:sz w:val="14"/>
                <w:szCs w:val="14"/>
                <w:color w:val="auto"/>
              </w:rPr>
              <w:t>Operating income</w:t>
            </w:r>
          </w:p>
        </w:tc>
        <w:tc>
          <w:tcPr>
            <w:tcW w:w="2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148"/>
              <w:spacing w:after="0"/>
              <w:rPr>
                <w:sz w:val="20"/>
                <w:szCs w:val="20"/>
                <w:color w:val="auto"/>
              </w:rPr>
            </w:pPr>
            <w:r>
              <w:rPr>
                <w:rFonts w:ascii="Arial" w:cs="Arial" w:eastAsia="Arial" w:hAnsi="Arial"/>
                <w:sz w:val="14"/>
                <w:szCs w:val="14"/>
                <w:color w:val="auto"/>
              </w:rPr>
              <w:t>434</w:t>
            </w:r>
          </w:p>
        </w:tc>
        <w:tc>
          <w:tcPr>
            <w:tcW w:w="360" w:type="dxa"/>
            <w:vAlign w:val="bottom"/>
          </w:tcPr>
          <w:p>
            <w:pPr>
              <w:jc w:val="right"/>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149"/>
              <w:spacing w:after="0"/>
              <w:rPr>
                <w:sz w:val="20"/>
                <w:szCs w:val="20"/>
                <w:color w:val="auto"/>
              </w:rPr>
            </w:pPr>
            <w:r>
              <w:rPr>
                <w:rFonts w:ascii="Arial" w:cs="Arial" w:eastAsia="Arial" w:hAnsi="Arial"/>
                <w:sz w:val="14"/>
                <w:szCs w:val="14"/>
                <w:color w:val="auto"/>
              </w:rPr>
              <w:t>437</w:t>
            </w:r>
          </w:p>
        </w:tc>
        <w:tc>
          <w:tcPr>
            <w:tcW w:w="360" w:type="dxa"/>
            <w:vAlign w:val="bottom"/>
          </w:tcPr>
          <w:p>
            <w:pPr>
              <w:jc w:val="right"/>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148"/>
              <w:spacing w:after="0"/>
              <w:rPr>
                <w:sz w:val="20"/>
                <w:szCs w:val="20"/>
                <w:color w:val="auto"/>
              </w:rPr>
            </w:pPr>
            <w:r>
              <w:rPr>
                <w:rFonts w:ascii="Arial" w:cs="Arial" w:eastAsia="Arial" w:hAnsi="Arial"/>
                <w:sz w:val="14"/>
                <w:szCs w:val="14"/>
                <w:color w:val="auto"/>
              </w:rPr>
              <w:t>439</w:t>
            </w:r>
          </w:p>
        </w:tc>
        <w:tc>
          <w:tcPr>
            <w:tcW w:w="3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148"/>
              <w:spacing w:after="0"/>
              <w:rPr>
                <w:sz w:val="20"/>
                <w:szCs w:val="20"/>
                <w:color w:val="auto"/>
              </w:rPr>
            </w:pPr>
            <w:r>
              <w:rPr>
                <w:rFonts w:ascii="Arial" w:cs="Arial" w:eastAsia="Arial" w:hAnsi="Arial"/>
                <w:sz w:val="14"/>
                <w:szCs w:val="14"/>
                <w:color w:val="auto"/>
              </w:rPr>
              <w:t>347</w:t>
            </w:r>
          </w:p>
        </w:tc>
        <w:tc>
          <w:tcPr>
            <w:tcW w:w="3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268"/>
              <w:spacing w:after="0"/>
              <w:rPr>
                <w:sz w:val="20"/>
                <w:szCs w:val="20"/>
                <w:color w:val="auto"/>
              </w:rPr>
            </w:pPr>
            <w:r>
              <w:rPr>
                <w:rFonts w:ascii="Arial" w:cs="Arial" w:eastAsia="Arial" w:hAnsi="Arial"/>
                <w:sz w:val="14"/>
                <w:szCs w:val="14"/>
                <w:color w:val="auto"/>
              </w:rPr>
              <w:t>409</w:t>
            </w:r>
          </w:p>
        </w:tc>
      </w:tr>
      <w:tr>
        <w:trPr>
          <w:trHeight w:val="216"/>
        </w:trPr>
        <w:tc>
          <w:tcPr>
            <w:tcW w:w="3380" w:type="dxa"/>
            <w:vAlign w:val="bottom"/>
          </w:tcPr>
          <w:p>
            <w:pPr>
              <w:ind w:left="180"/>
              <w:spacing w:after="0"/>
              <w:rPr>
                <w:sz w:val="20"/>
                <w:szCs w:val="20"/>
                <w:color w:val="auto"/>
              </w:rPr>
            </w:pPr>
            <w:r>
              <w:rPr>
                <w:rFonts w:ascii="Arial" w:cs="Arial" w:eastAsia="Arial" w:hAnsi="Arial"/>
                <w:sz w:val="14"/>
                <w:szCs w:val="14"/>
                <w:color w:val="auto"/>
              </w:rPr>
              <w:t>Dividends on preferred stock</w:t>
            </w:r>
          </w:p>
        </w:tc>
        <w:tc>
          <w:tcPr>
            <w:tcW w:w="2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148"/>
              <w:spacing w:after="0"/>
              <w:rPr>
                <w:sz w:val="20"/>
                <w:szCs w:val="20"/>
                <w:color w:val="auto"/>
              </w:rPr>
            </w:pPr>
            <w:r>
              <w:rPr>
                <w:rFonts w:ascii="Arial" w:cs="Arial" w:eastAsia="Arial" w:hAnsi="Arial"/>
                <w:sz w:val="14"/>
                <w:szCs w:val="14"/>
                <w:color w:val="auto"/>
              </w:rPr>
              <w:t>1</w:t>
            </w:r>
          </w:p>
        </w:tc>
        <w:tc>
          <w:tcPr>
            <w:tcW w:w="360" w:type="dxa"/>
            <w:vAlign w:val="bottom"/>
          </w:tcPr>
          <w:p>
            <w:pPr>
              <w:jc w:val="right"/>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149"/>
              <w:spacing w:after="0"/>
              <w:rPr>
                <w:sz w:val="20"/>
                <w:szCs w:val="20"/>
                <w:color w:val="auto"/>
              </w:rPr>
            </w:pPr>
            <w:r>
              <w:rPr>
                <w:rFonts w:ascii="Arial" w:cs="Arial" w:eastAsia="Arial" w:hAnsi="Arial"/>
                <w:sz w:val="14"/>
                <w:szCs w:val="14"/>
                <w:color w:val="auto"/>
              </w:rPr>
              <w:t>1</w:t>
            </w:r>
          </w:p>
        </w:tc>
        <w:tc>
          <w:tcPr>
            <w:tcW w:w="360" w:type="dxa"/>
            <w:vAlign w:val="bottom"/>
          </w:tcPr>
          <w:p>
            <w:pPr>
              <w:jc w:val="right"/>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148"/>
              <w:spacing w:after="0"/>
              <w:rPr>
                <w:sz w:val="20"/>
                <w:szCs w:val="20"/>
                <w:color w:val="auto"/>
              </w:rPr>
            </w:pPr>
            <w:r>
              <w:rPr>
                <w:rFonts w:ascii="Arial" w:cs="Arial" w:eastAsia="Arial" w:hAnsi="Arial"/>
                <w:sz w:val="14"/>
                <w:szCs w:val="14"/>
                <w:color w:val="auto"/>
              </w:rPr>
              <w:t>1</w:t>
            </w:r>
          </w:p>
        </w:tc>
        <w:tc>
          <w:tcPr>
            <w:tcW w:w="3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148"/>
              <w:spacing w:after="0"/>
              <w:rPr>
                <w:sz w:val="20"/>
                <w:szCs w:val="20"/>
                <w:color w:val="auto"/>
              </w:rPr>
            </w:pPr>
            <w:r>
              <w:rPr>
                <w:rFonts w:ascii="Arial" w:cs="Arial" w:eastAsia="Arial" w:hAnsi="Arial"/>
                <w:sz w:val="14"/>
                <w:szCs w:val="14"/>
                <w:color w:val="auto"/>
              </w:rPr>
              <w:t>1</w:t>
            </w:r>
          </w:p>
        </w:tc>
        <w:tc>
          <w:tcPr>
            <w:tcW w:w="3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268"/>
              <w:spacing w:after="0"/>
              <w:rPr>
                <w:sz w:val="20"/>
                <w:szCs w:val="20"/>
                <w:color w:val="auto"/>
              </w:rPr>
            </w:pPr>
            <w:r>
              <w:rPr>
                <w:rFonts w:ascii="Arial" w:cs="Arial" w:eastAsia="Arial" w:hAnsi="Arial"/>
                <w:sz w:val="14"/>
                <w:szCs w:val="14"/>
                <w:color w:val="auto"/>
              </w:rPr>
              <w:t>1</w:t>
            </w:r>
          </w:p>
        </w:tc>
      </w:tr>
      <w:tr>
        <w:trPr>
          <w:trHeight w:val="216"/>
        </w:trPr>
        <w:tc>
          <w:tcPr>
            <w:tcW w:w="3380" w:type="dxa"/>
            <w:vAlign w:val="bottom"/>
          </w:tcPr>
          <w:p>
            <w:pPr>
              <w:ind w:left="180"/>
              <w:spacing w:after="0"/>
              <w:rPr>
                <w:sz w:val="20"/>
                <w:szCs w:val="20"/>
                <w:color w:val="auto"/>
              </w:rPr>
            </w:pPr>
            <w:r>
              <w:rPr>
                <w:rFonts w:ascii="Arial" w:cs="Arial" w:eastAsia="Arial" w:hAnsi="Arial"/>
                <w:sz w:val="14"/>
                <w:szCs w:val="14"/>
                <w:color w:val="auto"/>
              </w:rPr>
              <w:t>Earnings applicable to common shares</w:t>
            </w:r>
          </w:p>
        </w:tc>
        <w:tc>
          <w:tcPr>
            <w:tcW w:w="2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148"/>
              <w:spacing w:after="0"/>
              <w:rPr>
                <w:sz w:val="20"/>
                <w:szCs w:val="20"/>
                <w:color w:val="auto"/>
              </w:rPr>
            </w:pPr>
            <w:r>
              <w:rPr>
                <w:rFonts w:ascii="Arial" w:cs="Arial" w:eastAsia="Arial" w:hAnsi="Arial"/>
                <w:sz w:val="14"/>
                <w:szCs w:val="14"/>
                <w:color w:val="auto"/>
              </w:rPr>
              <w:t>244</w:t>
            </w:r>
          </w:p>
        </w:tc>
        <w:tc>
          <w:tcPr>
            <w:tcW w:w="360" w:type="dxa"/>
            <w:vAlign w:val="bottom"/>
          </w:tcPr>
          <w:p>
            <w:pPr>
              <w:jc w:val="right"/>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149"/>
              <w:spacing w:after="0"/>
              <w:rPr>
                <w:sz w:val="20"/>
                <w:szCs w:val="20"/>
                <w:color w:val="auto"/>
              </w:rPr>
            </w:pPr>
            <w:r>
              <w:rPr>
                <w:rFonts w:ascii="Arial" w:cs="Arial" w:eastAsia="Arial" w:hAnsi="Arial"/>
                <w:sz w:val="14"/>
                <w:szCs w:val="14"/>
                <w:color w:val="auto"/>
              </w:rPr>
              <w:t>230</w:t>
            </w:r>
          </w:p>
        </w:tc>
        <w:tc>
          <w:tcPr>
            <w:tcW w:w="360" w:type="dxa"/>
            <w:vAlign w:val="bottom"/>
          </w:tcPr>
          <w:p>
            <w:pPr>
              <w:jc w:val="right"/>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148"/>
              <w:spacing w:after="0"/>
              <w:rPr>
                <w:sz w:val="20"/>
                <w:szCs w:val="20"/>
                <w:color w:val="auto"/>
              </w:rPr>
            </w:pPr>
            <w:r>
              <w:rPr>
                <w:rFonts w:ascii="Arial" w:cs="Arial" w:eastAsia="Arial" w:hAnsi="Arial"/>
                <w:sz w:val="14"/>
                <w:szCs w:val="14"/>
                <w:color w:val="auto"/>
              </w:rPr>
              <w:t>223</w:t>
            </w:r>
          </w:p>
        </w:tc>
        <w:tc>
          <w:tcPr>
            <w:tcW w:w="3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148"/>
              <w:spacing w:after="0"/>
              <w:rPr>
                <w:sz w:val="20"/>
                <w:szCs w:val="20"/>
                <w:color w:val="auto"/>
              </w:rPr>
            </w:pPr>
            <w:r>
              <w:rPr>
                <w:rFonts w:ascii="Arial" w:cs="Arial" w:eastAsia="Arial" w:hAnsi="Arial"/>
                <w:sz w:val="14"/>
                <w:szCs w:val="14"/>
                <w:color w:val="auto"/>
              </w:rPr>
              <w:t>211</w:t>
            </w:r>
          </w:p>
        </w:tc>
        <w:tc>
          <w:tcPr>
            <w:tcW w:w="3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268"/>
              <w:spacing w:after="0"/>
              <w:rPr>
                <w:sz w:val="20"/>
                <w:szCs w:val="20"/>
                <w:color w:val="auto"/>
              </w:rPr>
            </w:pPr>
            <w:r>
              <w:rPr>
                <w:rFonts w:ascii="Arial" w:cs="Arial" w:eastAsia="Arial" w:hAnsi="Arial"/>
                <w:sz w:val="14"/>
                <w:szCs w:val="14"/>
                <w:color w:val="auto"/>
              </w:rPr>
              <w:t>232</w:t>
            </w:r>
          </w:p>
        </w:tc>
      </w:tr>
      <w:tr>
        <w:trPr>
          <w:trHeight w:val="432"/>
        </w:trPr>
        <w:tc>
          <w:tcPr>
            <w:tcW w:w="3380" w:type="dxa"/>
            <w:vAlign w:val="bottom"/>
          </w:tcPr>
          <w:p>
            <w:pPr>
              <w:spacing w:after="0"/>
              <w:rPr>
                <w:sz w:val="20"/>
                <w:szCs w:val="20"/>
                <w:color w:val="auto"/>
              </w:rPr>
            </w:pPr>
            <w:r>
              <w:rPr>
                <w:rFonts w:ascii="Arial" w:cs="Arial" w:eastAsia="Arial" w:hAnsi="Arial"/>
                <w:sz w:val="14"/>
                <w:szCs w:val="14"/>
                <w:color w:val="auto"/>
              </w:rPr>
              <w:t>Balance Sheet Data:</w:t>
            </w: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16"/>
        </w:trPr>
        <w:tc>
          <w:tcPr>
            <w:tcW w:w="3380" w:type="dxa"/>
            <w:vAlign w:val="bottom"/>
          </w:tcPr>
          <w:p>
            <w:pPr>
              <w:ind w:left="180"/>
              <w:spacing w:after="0"/>
              <w:rPr>
                <w:sz w:val="20"/>
                <w:szCs w:val="20"/>
                <w:color w:val="auto"/>
              </w:rPr>
            </w:pPr>
            <w:r>
              <w:rPr>
                <w:rFonts w:ascii="Arial" w:cs="Arial" w:eastAsia="Arial" w:hAnsi="Arial"/>
                <w:sz w:val="14"/>
                <w:szCs w:val="14"/>
                <w:color w:val="auto"/>
              </w:rPr>
              <w:t>Total assets*</w:t>
            </w:r>
          </w:p>
        </w:tc>
        <w:tc>
          <w:tcPr>
            <w:tcW w:w="2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148"/>
              <w:spacing w:after="0"/>
              <w:rPr>
                <w:sz w:val="20"/>
                <w:szCs w:val="20"/>
                <w:color w:val="auto"/>
              </w:rPr>
            </w:pPr>
            <w:r>
              <w:rPr>
                <w:rFonts w:ascii="Arial" w:cs="Arial" w:eastAsia="Arial" w:hAnsi="Arial"/>
                <w:sz w:val="14"/>
                <w:szCs w:val="14"/>
                <w:color w:val="auto"/>
              </w:rPr>
              <w:t>7,351</w:t>
            </w:r>
          </w:p>
        </w:tc>
        <w:tc>
          <w:tcPr>
            <w:tcW w:w="360" w:type="dxa"/>
            <w:vAlign w:val="bottom"/>
          </w:tcPr>
          <w:p>
            <w:pPr>
              <w:jc w:val="right"/>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149"/>
              <w:spacing w:after="0"/>
              <w:rPr>
                <w:sz w:val="20"/>
                <w:szCs w:val="20"/>
                <w:color w:val="auto"/>
              </w:rPr>
            </w:pPr>
            <w:r>
              <w:rPr>
                <w:rFonts w:ascii="Arial" w:cs="Arial" w:eastAsia="Arial" w:hAnsi="Arial"/>
                <w:sz w:val="14"/>
                <w:szCs w:val="14"/>
                <w:color w:val="auto"/>
              </w:rPr>
              <w:t>6,406</w:t>
            </w:r>
          </w:p>
        </w:tc>
        <w:tc>
          <w:tcPr>
            <w:tcW w:w="360" w:type="dxa"/>
            <w:vAlign w:val="bottom"/>
          </w:tcPr>
          <w:p>
            <w:pPr>
              <w:jc w:val="right"/>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148"/>
              <w:spacing w:after="0"/>
              <w:rPr>
                <w:sz w:val="20"/>
                <w:szCs w:val="20"/>
                <w:color w:val="auto"/>
              </w:rPr>
            </w:pPr>
            <w:r>
              <w:rPr>
                <w:rFonts w:ascii="Arial" w:cs="Arial" w:eastAsia="Arial" w:hAnsi="Arial"/>
                <w:sz w:val="14"/>
                <w:szCs w:val="14"/>
                <w:color w:val="auto"/>
              </w:rPr>
              <w:t>6,359</w:t>
            </w:r>
          </w:p>
        </w:tc>
        <w:tc>
          <w:tcPr>
            <w:tcW w:w="3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148"/>
              <w:spacing w:after="0"/>
              <w:rPr>
                <w:sz w:val="20"/>
                <w:szCs w:val="20"/>
                <w:color w:val="auto"/>
              </w:rPr>
            </w:pPr>
            <w:r>
              <w:rPr>
                <w:rFonts w:ascii="Arial" w:cs="Arial" w:eastAsia="Arial" w:hAnsi="Arial"/>
                <w:sz w:val="14"/>
                <w:szCs w:val="14"/>
                <w:color w:val="auto"/>
              </w:rPr>
              <w:t>6,007</w:t>
            </w:r>
          </w:p>
        </w:tc>
        <w:tc>
          <w:tcPr>
            <w:tcW w:w="3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268"/>
              <w:spacing w:after="0"/>
              <w:rPr>
                <w:sz w:val="20"/>
                <w:szCs w:val="20"/>
                <w:color w:val="auto"/>
              </w:rPr>
            </w:pPr>
            <w:r>
              <w:rPr>
                <w:rFonts w:ascii="Arial" w:cs="Arial" w:eastAsia="Arial" w:hAnsi="Arial"/>
                <w:sz w:val="14"/>
                <w:szCs w:val="14"/>
                <w:color w:val="auto"/>
              </w:rPr>
              <w:t>5,636</w:t>
            </w:r>
          </w:p>
        </w:tc>
      </w:tr>
      <w:tr>
        <w:trPr>
          <w:trHeight w:val="216"/>
        </w:trPr>
        <w:tc>
          <w:tcPr>
            <w:tcW w:w="3380" w:type="dxa"/>
            <w:vAlign w:val="bottom"/>
          </w:tcPr>
          <w:p>
            <w:pPr>
              <w:ind w:left="180"/>
              <w:spacing w:after="0"/>
              <w:rPr>
                <w:sz w:val="20"/>
                <w:szCs w:val="20"/>
                <w:color w:val="auto"/>
              </w:rPr>
            </w:pPr>
            <w:r>
              <w:rPr>
                <w:rFonts w:ascii="Arial" w:cs="Arial" w:eastAsia="Arial" w:hAnsi="Arial"/>
                <w:sz w:val="14"/>
                <w:szCs w:val="14"/>
                <w:color w:val="auto"/>
              </w:rPr>
              <w:t>Long-term debt (excludes current portion)</w:t>
            </w:r>
          </w:p>
        </w:tc>
        <w:tc>
          <w:tcPr>
            <w:tcW w:w="2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148"/>
              <w:spacing w:after="0"/>
              <w:rPr>
                <w:sz w:val="20"/>
                <w:szCs w:val="20"/>
                <w:color w:val="auto"/>
              </w:rPr>
            </w:pPr>
            <w:r>
              <w:rPr>
                <w:rFonts w:ascii="Arial" w:cs="Arial" w:eastAsia="Arial" w:hAnsi="Arial"/>
                <w:sz w:val="14"/>
                <w:szCs w:val="14"/>
                <w:color w:val="auto"/>
              </w:rPr>
              <w:t>1,270</w:t>
            </w:r>
          </w:p>
        </w:tc>
        <w:tc>
          <w:tcPr>
            <w:tcW w:w="360" w:type="dxa"/>
            <w:vAlign w:val="bottom"/>
          </w:tcPr>
          <w:p>
            <w:pPr>
              <w:jc w:val="right"/>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149"/>
              <w:spacing w:after="0"/>
              <w:rPr>
                <w:sz w:val="20"/>
                <w:szCs w:val="20"/>
                <w:color w:val="auto"/>
              </w:rPr>
            </w:pPr>
            <w:r>
              <w:rPr>
                <w:rFonts w:ascii="Arial" w:cs="Arial" w:eastAsia="Arial" w:hAnsi="Arial"/>
                <w:sz w:val="14"/>
                <w:szCs w:val="14"/>
                <w:color w:val="auto"/>
              </w:rPr>
              <w:t>1,113</w:t>
            </w:r>
          </w:p>
        </w:tc>
        <w:tc>
          <w:tcPr>
            <w:tcW w:w="360" w:type="dxa"/>
            <w:vAlign w:val="bottom"/>
          </w:tcPr>
          <w:p>
            <w:pPr>
              <w:jc w:val="right"/>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148"/>
              <w:spacing w:after="0"/>
              <w:rPr>
                <w:sz w:val="20"/>
                <w:szCs w:val="20"/>
                <w:color w:val="auto"/>
              </w:rPr>
            </w:pPr>
            <w:r>
              <w:rPr>
                <w:rFonts w:ascii="Arial" w:cs="Arial" w:eastAsia="Arial" w:hAnsi="Arial"/>
                <w:sz w:val="14"/>
                <w:szCs w:val="14"/>
                <w:color w:val="auto"/>
              </w:rPr>
              <w:t>1,107</w:t>
            </w:r>
          </w:p>
        </w:tc>
        <w:tc>
          <w:tcPr>
            <w:tcW w:w="3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148"/>
              <w:spacing w:after="0"/>
              <w:rPr>
                <w:sz w:val="20"/>
                <w:szCs w:val="20"/>
                <w:color w:val="auto"/>
              </w:rPr>
            </w:pPr>
            <w:r>
              <w:rPr>
                <w:rFonts w:ascii="Arial" w:cs="Arial" w:eastAsia="Arial" w:hAnsi="Arial"/>
                <w:sz w:val="14"/>
                <w:szCs w:val="14"/>
                <w:color w:val="auto"/>
              </w:rPr>
              <w:t>1,100</w:t>
            </w:r>
          </w:p>
        </w:tc>
        <w:tc>
          <w:tcPr>
            <w:tcW w:w="3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268"/>
              <w:spacing w:after="0"/>
              <w:rPr>
                <w:sz w:val="20"/>
                <w:szCs w:val="20"/>
                <w:color w:val="auto"/>
              </w:rPr>
            </w:pPr>
            <w:r>
              <w:rPr>
                <w:rFonts w:ascii="Arial" w:cs="Arial" w:eastAsia="Arial" w:hAnsi="Arial"/>
                <w:sz w:val="14"/>
                <w:szCs w:val="14"/>
                <w:color w:val="auto"/>
              </w:rPr>
              <w:t>864</w:t>
            </w:r>
          </w:p>
        </w:tc>
      </w:tr>
      <w:tr>
        <w:trPr>
          <w:trHeight w:val="216"/>
        </w:trPr>
        <w:tc>
          <w:tcPr>
            <w:tcW w:w="3380" w:type="dxa"/>
            <w:vAlign w:val="bottom"/>
          </w:tcPr>
          <w:p>
            <w:pPr>
              <w:ind w:left="180"/>
              <w:spacing w:after="0"/>
              <w:rPr>
                <w:sz w:val="20"/>
                <w:szCs w:val="20"/>
                <w:color w:val="auto"/>
              </w:rPr>
            </w:pPr>
            <w:r>
              <w:rPr>
                <w:rFonts w:ascii="Arial" w:cs="Arial" w:eastAsia="Arial" w:hAnsi="Arial"/>
                <w:sz w:val="14"/>
                <w:szCs w:val="14"/>
                <w:color w:val="auto"/>
              </w:rPr>
              <w:t>Short-term debt**</w:t>
            </w:r>
          </w:p>
        </w:tc>
        <w:tc>
          <w:tcPr>
            <w:tcW w:w="2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148"/>
              <w:spacing w:after="0"/>
              <w:rPr>
                <w:sz w:val="20"/>
                <w:szCs w:val="20"/>
                <w:color w:val="auto"/>
              </w:rPr>
            </w:pPr>
            <w:r>
              <w:rPr>
                <w:rFonts w:ascii="Arial" w:cs="Arial" w:eastAsia="Arial" w:hAnsi="Arial"/>
                <w:sz w:val="14"/>
                <w:szCs w:val="14"/>
                <w:color w:val="auto"/>
              </w:rPr>
              <w:t>100</w:t>
            </w:r>
          </w:p>
        </w:tc>
        <w:tc>
          <w:tcPr>
            <w:tcW w:w="360" w:type="dxa"/>
            <w:vAlign w:val="bottom"/>
          </w:tcPr>
          <w:p>
            <w:pPr>
              <w:jc w:val="right"/>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149"/>
              <w:spacing w:after="0"/>
              <w:rPr>
                <w:sz w:val="20"/>
                <w:szCs w:val="20"/>
                <w:color w:val="auto"/>
              </w:rPr>
            </w:pPr>
            <w:r>
              <w:rPr>
                <w:rFonts w:ascii="Arial" w:cs="Arial" w:eastAsia="Arial" w:hAnsi="Arial"/>
                <w:sz w:val="14"/>
                <w:szCs w:val="14"/>
                <w:color w:val="auto"/>
              </w:rPr>
              <w:t>--</w:t>
            </w:r>
          </w:p>
        </w:tc>
        <w:tc>
          <w:tcPr>
            <w:tcW w:w="360" w:type="dxa"/>
            <w:vAlign w:val="bottom"/>
          </w:tcPr>
          <w:p>
            <w:pPr>
              <w:jc w:val="right"/>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3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148"/>
              <w:spacing w:after="0"/>
              <w:rPr>
                <w:sz w:val="20"/>
                <w:szCs w:val="20"/>
                <w:color w:val="auto"/>
              </w:rPr>
            </w:pPr>
            <w:r>
              <w:rPr>
                <w:rFonts w:ascii="Arial" w:cs="Arial" w:eastAsia="Arial" w:hAnsi="Arial"/>
                <w:sz w:val="14"/>
                <w:szCs w:val="14"/>
                <w:color w:val="auto"/>
              </w:rPr>
              <w:t>96</w:t>
            </w:r>
          </w:p>
        </w:tc>
        <w:tc>
          <w:tcPr>
            <w:tcW w:w="3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268"/>
              <w:spacing w:after="0"/>
              <w:rPr>
                <w:sz w:val="20"/>
                <w:szCs w:val="20"/>
                <w:color w:val="auto"/>
              </w:rPr>
            </w:pPr>
            <w:r>
              <w:rPr>
                <w:rFonts w:ascii="Arial" w:cs="Arial" w:eastAsia="Arial" w:hAnsi="Arial"/>
                <w:sz w:val="14"/>
                <w:szCs w:val="14"/>
                <w:color w:val="auto"/>
              </w:rPr>
              <w:t>30</w:t>
            </w:r>
          </w:p>
        </w:tc>
      </w:tr>
      <w:tr>
        <w:trPr>
          <w:trHeight w:val="238"/>
        </w:trPr>
        <w:tc>
          <w:tcPr>
            <w:tcW w:w="3380" w:type="dxa"/>
            <w:vAlign w:val="bottom"/>
            <w:tcBorders>
              <w:bottom w:val="single" w:sz="8" w:color="auto"/>
            </w:tcBorders>
          </w:tcPr>
          <w:p>
            <w:pPr>
              <w:ind w:left="180"/>
              <w:spacing w:after="0"/>
              <w:rPr>
                <w:sz w:val="20"/>
                <w:szCs w:val="20"/>
                <w:color w:val="auto"/>
              </w:rPr>
            </w:pPr>
            <w:r>
              <w:rPr>
                <w:rFonts w:ascii="Arial" w:cs="Arial" w:eastAsia="Arial" w:hAnsi="Arial"/>
                <w:sz w:val="14"/>
                <w:szCs w:val="14"/>
                <w:color w:val="auto"/>
              </w:rPr>
              <w:t>Shareholders’ equity</w:t>
            </w:r>
          </w:p>
        </w:tc>
        <w:tc>
          <w:tcPr>
            <w:tcW w:w="2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1,490</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ind w:right="149"/>
              <w:spacing w:after="0"/>
              <w:rPr>
                <w:sz w:val="20"/>
                <w:szCs w:val="20"/>
                <w:color w:val="auto"/>
              </w:rPr>
            </w:pPr>
            <w:r>
              <w:rPr>
                <w:rFonts w:ascii="Arial" w:cs="Arial" w:eastAsia="Arial" w:hAnsi="Arial"/>
                <w:sz w:val="14"/>
                <w:szCs w:val="14"/>
                <w:color w:val="auto"/>
              </w:rPr>
              <w:t>1,470</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1,490</w:t>
            </w:r>
          </w:p>
        </w:tc>
        <w:tc>
          <w:tcPr>
            <w:tcW w:w="3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1,417</w:t>
            </w:r>
          </w:p>
        </w:tc>
        <w:tc>
          <w:tcPr>
            <w:tcW w:w="3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1,407</w:t>
            </w:r>
          </w:p>
        </w:tc>
      </w:tr>
    </w:tbl>
    <w:p>
      <w:pPr>
        <w:spacing w:after="0" w:line="16" w:lineRule="exact"/>
        <w:rPr>
          <w:sz w:val="20"/>
          <w:szCs w:val="20"/>
          <w:color w:val="auto"/>
        </w:rPr>
      </w:pPr>
    </w:p>
    <w:p>
      <w:pPr>
        <w:ind w:left="1760" w:hanging="370"/>
        <w:spacing w:after="0"/>
        <w:tabs>
          <w:tab w:leader="none" w:pos="1760" w:val="left"/>
        </w:tabs>
        <w:numPr>
          <w:ilvl w:val="0"/>
          <w:numId w:val="306"/>
        </w:numPr>
        <w:rPr>
          <w:rFonts w:ascii="Arial" w:cs="Arial" w:eastAsia="Arial" w:hAnsi="Arial"/>
          <w:sz w:val="13"/>
          <w:szCs w:val="13"/>
          <w:i w:val="1"/>
          <w:iCs w:val="1"/>
          <w:color w:val="auto"/>
        </w:rPr>
      </w:pPr>
      <w:r>
        <w:rPr>
          <w:rFonts w:ascii="Arial" w:cs="Arial" w:eastAsia="Arial" w:hAnsi="Arial"/>
          <w:sz w:val="13"/>
          <w:szCs w:val="13"/>
          <w:i w:val="1"/>
          <w:iCs w:val="1"/>
          <w:color w:val="auto"/>
        </w:rPr>
        <w:t>As adjusted in 2004 through 2007 for the retrospective adoption of FASB Staff Position FIN 39-1.</w:t>
      </w:r>
    </w:p>
    <w:p>
      <w:pPr>
        <w:spacing w:after="0" w:line="42" w:lineRule="exact"/>
        <w:rPr>
          <w:rFonts w:ascii="Arial" w:cs="Arial" w:eastAsia="Arial" w:hAnsi="Arial"/>
          <w:sz w:val="13"/>
          <w:szCs w:val="13"/>
          <w:i w:val="1"/>
          <w:iCs w:val="1"/>
          <w:color w:val="auto"/>
        </w:rPr>
      </w:pPr>
    </w:p>
    <w:p>
      <w:pPr>
        <w:ind w:left="1380"/>
        <w:spacing w:after="0"/>
        <w:rPr>
          <w:rFonts w:ascii="Arial" w:cs="Arial" w:eastAsia="Arial" w:hAnsi="Arial"/>
          <w:sz w:val="13"/>
          <w:szCs w:val="13"/>
          <w:i w:val="1"/>
          <w:iCs w:val="1"/>
          <w:color w:val="auto"/>
        </w:rPr>
      </w:pPr>
      <w:r>
        <w:rPr>
          <w:rFonts w:ascii="Arial" w:cs="Arial" w:eastAsia="Arial" w:hAnsi="Arial"/>
          <w:sz w:val="13"/>
          <w:szCs w:val="13"/>
          <w:i w:val="1"/>
          <w:iCs w:val="1"/>
          <w:color w:val="auto"/>
        </w:rPr>
        <w:t>**</w:t>
      </w:r>
      <w:r>
        <w:rPr>
          <w:rFonts w:ascii="Arial" w:cs="Arial" w:eastAsia="Arial" w:hAnsi="Arial"/>
          <w:sz w:val="12"/>
          <w:szCs w:val="12"/>
          <w:i w:val="1"/>
          <w:iCs w:val="1"/>
          <w:color w:val="auto"/>
        </w:rPr>
        <w:t>Includes long-term debt due within one year.</w:t>
      </w:r>
    </w:p>
    <w:p>
      <w:pPr>
        <w:spacing w:after="0" w:line="206" w:lineRule="exact"/>
        <w:rPr>
          <w:sz w:val="20"/>
          <w:szCs w:val="20"/>
          <w:color w:val="auto"/>
        </w:rPr>
      </w:pPr>
    </w:p>
    <w:p>
      <w:pPr>
        <w:spacing w:after="0"/>
        <w:rPr>
          <w:sz w:val="20"/>
          <w:szCs w:val="20"/>
          <w:color w:val="auto"/>
        </w:rPr>
      </w:pPr>
      <w:r>
        <w:rPr>
          <w:rFonts w:ascii="Arial" w:cs="Arial" w:eastAsia="Arial" w:hAnsi="Arial"/>
          <w:sz w:val="14"/>
          <w:szCs w:val="14"/>
          <w:color w:val="auto"/>
        </w:rPr>
        <w:t>We do not provide per-share data for SDG&amp;E, Pacific Enterprises and SoCalGas, since each of them is directly or indirectly wholly owned by Sempra Energy.</w:t>
      </w:r>
    </w:p>
    <w:p>
      <w:pPr>
        <w:spacing w:after="0" w:line="103" w:lineRule="exact"/>
        <w:rPr>
          <w:sz w:val="20"/>
          <w:szCs w:val="20"/>
          <w:color w:val="auto"/>
        </w:rPr>
      </w:pPr>
    </w:p>
    <w:p>
      <w:pPr>
        <w:spacing w:after="0"/>
        <w:rPr>
          <w:sz w:val="20"/>
          <w:szCs w:val="20"/>
          <w:color w:val="auto"/>
        </w:rPr>
      </w:pPr>
      <w:r>
        <w:rPr>
          <w:rFonts w:ascii="Arial" w:cs="Arial" w:eastAsia="Arial" w:hAnsi="Arial"/>
          <w:sz w:val="16"/>
          <w:szCs w:val="16"/>
          <w:color w:val="auto"/>
        </w:rPr>
        <w:t>We discuss litigation and other contingencies in Note 16 of the Notes to Consolidated Financial Statements.</w:t>
      </w: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4"/>
          <w:szCs w:val="14"/>
          <w:color w:val="auto"/>
        </w:rPr>
        <w:t>59</w:t>
      </w:r>
    </w:p>
    <w:p>
      <w:pPr>
        <w:sectPr>
          <w:pgSz w:w="11900" w:h="16838" w:orient="portrait"/>
          <w:cols w:equalWidth="0" w:num="1">
            <w:col w:w="10219"/>
          </w:cols>
          <w:pgMar w:left="240" w:top="742" w:right="1440" w:bottom="1440" w:gutter="0" w:footer="0" w:header="0"/>
        </w:sectPr>
      </w:pPr>
    </w:p>
    <w:bookmarkStart w:id="199" w:name="page200"/>
    <w:bookmarkEnd w:id="199"/>
    <w:p>
      <w:pPr>
        <w:spacing w:after="0"/>
        <w:rPr>
          <w:sz w:val="20"/>
          <w:szCs w:val="20"/>
          <w:color w:val="auto"/>
        </w:rPr>
      </w:pPr>
      <w:r>
        <w:rPr>
          <w:rFonts w:ascii="Arial" w:cs="Arial" w:eastAsia="Arial" w:hAnsi="Arial"/>
          <w:sz w:val="21"/>
          <w:szCs w:val="21"/>
          <w:color w:val="auto"/>
        </w:rPr>
        <w:t>CONTROLS AND PROCEDURES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255905</wp:posOffset>
            </wp:positionV>
            <wp:extent cx="7261860" cy="762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color w:val="auto"/>
        </w:rPr>
        <w:t>EVALUATION OF DISCLOSURE CONTROLS AND PROCEDURES</w:t>
      </w:r>
    </w:p>
    <w:p>
      <w:pPr>
        <w:spacing w:after="0" w:line="60" w:lineRule="exact"/>
        <w:rPr>
          <w:sz w:val="20"/>
          <w:szCs w:val="20"/>
          <w:color w:val="auto"/>
        </w:rPr>
      </w:pPr>
    </w:p>
    <w:p>
      <w:pPr>
        <w:ind w:right="60"/>
        <w:spacing w:after="0" w:line="276" w:lineRule="auto"/>
        <w:rPr>
          <w:sz w:val="20"/>
          <w:szCs w:val="20"/>
          <w:color w:val="auto"/>
        </w:rPr>
      </w:pPr>
      <w:r>
        <w:rPr>
          <w:rFonts w:ascii="Arial" w:cs="Arial" w:eastAsia="Arial" w:hAnsi="Arial"/>
          <w:sz w:val="15"/>
          <w:szCs w:val="15"/>
          <w:color w:val="auto"/>
        </w:rPr>
        <w:t>Sempra Energy, SDG&amp;E, PE and SoCalGas have designed and maintain disclosure controls and procedures to ensure that information required to be disclosed in their respective reports is recorded, processed, summarized and reported within the time periods specified in the rules and forms of the Securities and Exchange Commission and is accumulated and communicated to the management of each company, including each respective Chief Executive Officer and Chief Financial Officer, to allow timely decisions regarding required disclosure. In designing and evaluating these controls and procedures, the management of each company recognizes that any system of controls and procedures, no matter how well designed and operated, can provide only reasonable assurance of achieving the desired control objectives; therefore, the management of each company applies judgment in evaluating the cost-benefit relationship of other possible controls and procedures.</w:t>
      </w:r>
    </w:p>
    <w:p>
      <w:pPr>
        <w:spacing w:after="0" w:line="35" w:lineRule="exact"/>
        <w:rPr>
          <w:sz w:val="20"/>
          <w:szCs w:val="20"/>
          <w:color w:val="auto"/>
        </w:rPr>
      </w:pPr>
    </w:p>
    <w:p>
      <w:pPr>
        <w:spacing w:after="0" w:line="259" w:lineRule="auto"/>
        <w:rPr>
          <w:sz w:val="20"/>
          <w:szCs w:val="20"/>
          <w:color w:val="auto"/>
        </w:rPr>
      </w:pPr>
      <w:r>
        <w:rPr>
          <w:rFonts w:ascii="Arial" w:cs="Arial" w:eastAsia="Arial" w:hAnsi="Arial"/>
          <w:sz w:val="16"/>
          <w:szCs w:val="16"/>
          <w:color w:val="auto"/>
        </w:rPr>
        <w:t>Under the supervision and with the participation of management, including the Chief Executive Officers and Chief Financial Officers of Sempra Energy, SDG&amp;E, PE and SoCalGas, each company evaluated the effectiveness of the design and operation of its disclosure controls and procedures as of December 31, 2008, the end of the period covered by this report. Based on these evaluations, the Chief Executive Officers and Chief Financial Officers of Sempra Energy, SDG&amp;E, PE and SoCalGas concluded that their respective company's disclosure controls and procedures were effective at the reasonable assurance level.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212725</wp:posOffset>
            </wp:positionV>
            <wp:extent cx="7261860" cy="762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color w:val="auto"/>
        </w:rPr>
        <w:t>MANAGEMENT'S REPORT ON INTERNAL CONTROL OVER FINANCIAL REPORTING</w:t>
      </w:r>
    </w:p>
    <w:p>
      <w:pPr>
        <w:spacing w:after="0" w:line="24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SEMPRA ENERGY, SDG&amp;E, PE, SOCALGAS</w:t>
      </w:r>
    </w:p>
    <w:p>
      <w:pPr>
        <w:spacing w:after="0" w:line="89" w:lineRule="exact"/>
        <w:rPr>
          <w:sz w:val="20"/>
          <w:szCs w:val="20"/>
          <w:color w:val="auto"/>
        </w:rPr>
      </w:pPr>
    </w:p>
    <w:p>
      <w:pPr>
        <w:spacing w:after="0" w:line="276" w:lineRule="auto"/>
        <w:rPr>
          <w:sz w:val="20"/>
          <w:szCs w:val="20"/>
          <w:color w:val="auto"/>
        </w:rPr>
      </w:pPr>
      <w:r>
        <w:rPr>
          <w:rFonts w:ascii="Arial" w:cs="Arial" w:eastAsia="Arial" w:hAnsi="Arial"/>
          <w:sz w:val="15"/>
          <w:szCs w:val="15"/>
          <w:color w:val="auto"/>
        </w:rPr>
        <w:t xml:space="preserve">The respective management of each company is responsible for establishing and maintaining adequate internal control over financial reporting, as defined in Exchange Act Rules 13a-15(f). Under the supervision and with the participation of the management of each company, including each company's principal executive officer and principal financial officer, the effectiveness of each company's internal control over financial reporting was evaluated based on the framework in </w:t>
      </w:r>
      <w:r>
        <w:rPr>
          <w:rFonts w:ascii="Arial" w:cs="Arial" w:eastAsia="Arial" w:hAnsi="Arial"/>
          <w:sz w:val="15"/>
          <w:szCs w:val="15"/>
          <w:i w:val="1"/>
          <w:iCs w:val="1"/>
          <w:color w:val="auto"/>
        </w:rPr>
        <w:t>Internal Control - -- Integrated Framework</w:t>
      </w:r>
      <w:r>
        <w:rPr>
          <w:rFonts w:ascii="Arial" w:cs="Arial" w:eastAsia="Arial" w:hAnsi="Arial"/>
          <w:sz w:val="15"/>
          <w:szCs w:val="15"/>
          <w:color w:val="auto"/>
        </w:rPr>
        <w:t xml:space="preserve"> issued by the Committee of Sponsoring Organizations of the Treadway Commission. Based on the evaluations, each company concluded that its internal control over financial reporting was effective as of December 31, 2008. Deloitte &amp; Touche, LLP audited the effectiveness of each company's internal control over financial reporting as of December 31, 2008, as stated in their reports, which are included in this Annual Report.</w:t>
      </w:r>
    </w:p>
    <w:p>
      <w:pPr>
        <w:spacing w:after="0" w:line="35" w:lineRule="exact"/>
        <w:rPr>
          <w:sz w:val="20"/>
          <w:szCs w:val="20"/>
          <w:color w:val="auto"/>
        </w:rPr>
      </w:pPr>
    </w:p>
    <w:p>
      <w:pPr>
        <w:ind w:right="60"/>
        <w:spacing w:after="0" w:line="277" w:lineRule="auto"/>
        <w:rPr>
          <w:sz w:val="20"/>
          <w:szCs w:val="20"/>
          <w:color w:val="auto"/>
        </w:rPr>
      </w:pPr>
      <w:r>
        <w:rPr>
          <w:rFonts w:ascii="Arial" w:cs="Arial" w:eastAsia="Arial" w:hAnsi="Arial"/>
          <w:sz w:val="16"/>
          <w:szCs w:val="16"/>
          <w:color w:val="auto"/>
        </w:rPr>
        <w:t>There have been no changes in the companies' internal control over financial reporting during the most recent fiscal quarter that have materially affected, or are reasonably likely to materially affect, the companies' internal control over financial reporting.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203835</wp:posOffset>
            </wp:positionV>
            <wp:extent cx="7261860" cy="762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pacing w:after="0" w:line="357" w:lineRule="exact"/>
        <w:rPr>
          <w:sz w:val="20"/>
          <w:szCs w:val="20"/>
          <w:color w:val="auto"/>
        </w:rPr>
      </w:pPr>
    </w:p>
    <w:p>
      <w:pPr>
        <w:spacing w:after="0"/>
        <w:rPr>
          <w:sz w:val="20"/>
          <w:szCs w:val="20"/>
          <w:color w:val="auto"/>
        </w:rPr>
      </w:pPr>
      <w:r>
        <w:rPr>
          <w:rFonts w:ascii="Arial" w:cs="Arial" w:eastAsia="Arial" w:hAnsi="Arial"/>
          <w:sz w:val="18"/>
          <w:szCs w:val="18"/>
          <w:color w:val="auto"/>
        </w:rPr>
        <w:t>CHANGES IN AND DISAGREEMENTS WITH ACCOUNTANTS ON ACCOUNTING AND FINANCIAL DISCLOSURE</w:t>
      </w:r>
    </w:p>
    <w:p>
      <w:pPr>
        <w:spacing w:after="0" w:line="60" w:lineRule="exact"/>
        <w:rPr>
          <w:sz w:val="20"/>
          <w:szCs w:val="20"/>
          <w:color w:val="auto"/>
        </w:rPr>
      </w:pPr>
    </w:p>
    <w:p>
      <w:pPr>
        <w:spacing w:after="0"/>
        <w:rPr>
          <w:sz w:val="20"/>
          <w:szCs w:val="20"/>
          <w:color w:val="auto"/>
        </w:rPr>
      </w:pPr>
      <w:r>
        <w:rPr>
          <w:rFonts w:ascii="Arial" w:cs="Arial" w:eastAsia="Arial" w:hAnsi="Arial"/>
          <w:sz w:val="16"/>
          <w:szCs w:val="16"/>
          <w:color w:val="auto"/>
        </w:rPr>
        <w:t>Not applicable.</w:t>
      </w: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4"/>
          <w:szCs w:val="14"/>
          <w:color w:val="auto"/>
        </w:rPr>
        <w:t>60</w:t>
      </w:r>
    </w:p>
    <w:p>
      <w:pPr>
        <w:sectPr>
          <w:pgSz w:w="11900" w:h="16838" w:orient="portrait"/>
          <w:cols w:equalWidth="0" w:num="1">
            <w:col w:w="11400"/>
          </w:cols>
          <w:pgMar w:left="240" w:top="144" w:right="259" w:bottom="1440" w:gutter="0" w:footer="0" w:header="0"/>
        </w:sectPr>
      </w:pPr>
    </w:p>
    <w:bookmarkStart w:id="200" w:name="page201"/>
    <w:bookmarkEnd w:id="200"/>
    <w:p>
      <w:pPr>
        <w:spacing w:after="0"/>
        <w:rPr>
          <w:sz w:val="20"/>
          <w:szCs w:val="20"/>
          <w:color w:val="auto"/>
        </w:rPr>
      </w:pPr>
      <w:r>
        <w:rPr>
          <w:rFonts w:ascii="Arial" w:cs="Arial" w:eastAsia="Arial" w:hAnsi="Arial"/>
          <w:sz w:val="21"/>
          <w:szCs w:val="21"/>
          <w:color w:val="auto"/>
        </w:rPr>
        <w:t>REPORTS OF INDEPENDENT REGISTERED PUBLIC ACCOUNTING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255905</wp:posOffset>
            </wp:positionV>
            <wp:extent cx="7261860" cy="762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color w:val="auto"/>
        </w:rPr>
        <w:t>SEMPRA ENERGY</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To the Board of Directors and Shareholders of Sempra Energy:</w:t>
      </w:r>
    </w:p>
    <w:p>
      <w:pPr>
        <w:spacing w:after="0" w:line="23" w:lineRule="exact"/>
        <w:rPr>
          <w:sz w:val="20"/>
          <w:szCs w:val="20"/>
          <w:color w:val="auto"/>
        </w:rPr>
      </w:pPr>
    </w:p>
    <w:p>
      <w:pPr>
        <w:ind w:right="40"/>
        <w:spacing w:after="0" w:line="257" w:lineRule="auto"/>
        <w:rPr>
          <w:sz w:val="20"/>
          <w:szCs w:val="20"/>
          <w:color w:val="auto"/>
        </w:rPr>
      </w:pPr>
      <w:r>
        <w:rPr>
          <w:rFonts w:ascii="Arial" w:cs="Arial" w:eastAsia="Arial" w:hAnsi="Arial"/>
          <w:sz w:val="16"/>
          <w:szCs w:val="16"/>
          <w:color w:val="auto"/>
        </w:rPr>
        <w:t xml:space="preserve">We have audited the internal control over financial reporting of Sempra Energy and subsidiaries (the "Company") as of December 31, 2008, based on criteria established in </w:t>
      </w:r>
      <w:r>
        <w:rPr>
          <w:rFonts w:ascii="Arial" w:cs="Arial" w:eastAsia="Arial" w:hAnsi="Arial"/>
          <w:sz w:val="16"/>
          <w:szCs w:val="16"/>
          <w:i w:val="1"/>
          <w:iCs w:val="1"/>
          <w:color w:val="auto"/>
        </w:rPr>
        <w:t xml:space="preserve">Internal Control — Integrated Framework </w:t>
      </w:r>
      <w:r>
        <w:rPr>
          <w:rFonts w:ascii="Arial" w:cs="Arial" w:eastAsia="Arial" w:hAnsi="Arial"/>
          <w:sz w:val="16"/>
          <w:szCs w:val="16"/>
          <w:color w:val="auto"/>
        </w:rPr>
        <w:t>issued by the Committee of Sponsoring Organizations of the Treadway Commission. The Company's management is responsible for</w:t>
      </w:r>
      <w:r>
        <w:rPr>
          <w:rFonts w:ascii="Arial" w:cs="Arial" w:eastAsia="Arial" w:hAnsi="Arial"/>
          <w:sz w:val="16"/>
          <w:szCs w:val="16"/>
          <w:i w:val="1"/>
          <w:iCs w:val="1"/>
          <w:color w:val="auto"/>
        </w:rPr>
        <w:t xml:space="preserve"> </w:t>
      </w:r>
      <w:r>
        <w:rPr>
          <w:rFonts w:ascii="Arial" w:cs="Arial" w:eastAsia="Arial" w:hAnsi="Arial"/>
          <w:sz w:val="16"/>
          <w:szCs w:val="16"/>
          <w:color w:val="auto"/>
        </w:rPr>
        <w:t>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w:t>
      </w:r>
    </w:p>
    <w:p>
      <w:pPr>
        <w:spacing w:after="0" w:line="48" w:lineRule="exact"/>
        <w:rPr>
          <w:sz w:val="20"/>
          <w:szCs w:val="20"/>
          <w:color w:val="auto"/>
        </w:rPr>
      </w:pPr>
    </w:p>
    <w:p>
      <w:pPr>
        <w:ind w:right="80"/>
        <w:spacing w:after="0" w:line="257" w:lineRule="auto"/>
        <w:rPr>
          <w:sz w:val="20"/>
          <w:szCs w:val="20"/>
          <w:color w:val="auto"/>
        </w:rPr>
      </w:pPr>
      <w:r>
        <w:rPr>
          <w:rFonts w:ascii="Arial" w:cs="Arial" w:eastAsia="Arial" w:hAnsi="Arial"/>
          <w:sz w:val="16"/>
          <w:szCs w:val="16"/>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48" w:lineRule="exact"/>
        <w:rPr>
          <w:sz w:val="20"/>
          <w:szCs w:val="20"/>
          <w:color w:val="auto"/>
        </w:rPr>
      </w:pPr>
    </w:p>
    <w:p>
      <w:pPr>
        <w:spacing w:after="0" w:line="273" w:lineRule="auto"/>
        <w:rPr>
          <w:sz w:val="20"/>
          <w:szCs w:val="20"/>
          <w:color w:val="auto"/>
        </w:rPr>
      </w:pPr>
      <w:r>
        <w:rPr>
          <w:rFonts w:ascii="Arial" w:cs="Arial" w:eastAsia="Arial" w:hAnsi="Arial"/>
          <w:sz w:val="15"/>
          <w:szCs w:val="15"/>
          <w:color w:val="auto"/>
        </w:rPr>
        <w:t>A company's internal control over financial reporting is a process designed by, or under the supervision of, the company's principal executive and principal financial officers, or persons performing similar functions, and effected by the company's board of directors, management, and other personnel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40" w:lineRule="exact"/>
        <w:rPr>
          <w:sz w:val="20"/>
          <w:szCs w:val="20"/>
          <w:color w:val="auto"/>
        </w:rPr>
      </w:pPr>
    </w:p>
    <w:p>
      <w:pPr>
        <w:ind w:right="240"/>
        <w:spacing w:after="0" w:line="259" w:lineRule="auto"/>
        <w:rPr>
          <w:sz w:val="20"/>
          <w:szCs w:val="20"/>
          <w:color w:val="auto"/>
        </w:rPr>
      </w:pPr>
      <w:r>
        <w:rPr>
          <w:rFonts w:ascii="Arial" w:cs="Arial" w:eastAsia="Arial" w:hAnsi="Arial"/>
          <w:sz w:val="16"/>
          <w:szCs w:val="16"/>
          <w:color w:val="auto"/>
        </w:rPr>
        <w:t>Because of the inherent limitations of internal control over financial reporting, including the possibility of collusion or improper management override of controls, material misstatements due to error or fraud may not be prevented or detected on a timely basis. Also, projections of any evaluation of the effectiveness of the internal control over financial reporting to future periods are subject to the risk that the controls may become inadequate because of changes in conditions, or that the degree of compliance with the policies or procedures may deteriorate.</w:t>
      </w:r>
    </w:p>
    <w:p>
      <w:pPr>
        <w:spacing w:after="0" w:line="47" w:lineRule="exact"/>
        <w:rPr>
          <w:sz w:val="20"/>
          <w:szCs w:val="20"/>
          <w:color w:val="auto"/>
        </w:rPr>
      </w:pPr>
    </w:p>
    <w:p>
      <w:pPr>
        <w:ind w:right="160"/>
        <w:spacing w:after="0" w:line="277" w:lineRule="auto"/>
        <w:rPr>
          <w:sz w:val="20"/>
          <w:szCs w:val="20"/>
          <w:color w:val="auto"/>
        </w:rPr>
      </w:pPr>
      <w:r>
        <w:rPr>
          <w:rFonts w:ascii="Arial" w:cs="Arial" w:eastAsia="Arial" w:hAnsi="Arial"/>
          <w:sz w:val="16"/>
          <w:szCs w:val="16"/>
          <w:color w:val="auto"/>
        </w:rPr>
        <w:t xml:space="preserve">In our opinion, the Company maintained, in all material respects, effective internal control over financial reporting as of December 31, 2008, based on the criteria established in </w:t>
      </w:r>
      <w:r>
        <w:rPr>
          <w:rFonts w:ascii="Arial" w:cs="Arial" w:eastAsia="Arial" w:hAnsi="Arial"/>
          <w:sz w:val="16"/>
          <w:szCs w:val="16"/>
          <w:i w:val="1"/>
          <w:iCs w:val="1"/>
          <w:color w:val="auto"/>
        </w:rPr>
        <w:t xml:space="preserve">Internal Control — Integrated Framework </w:t>
      </w:r>
      <w:r>
        <w:rPr>
          <w:rFonts w:ascii="Arial" w:cs="Arial" w:eastAsia="Arial" w:hAnsi="Arial"/>
          <w:sz w:val="16"/>
          <w:szCs w:val="16"/>
          <w:color w:val="auto"/>
        </w:rPr>
        <w:t>issued by the Committee of Sponsoring Organizations of the Treadway Commission.</w:t>
      </w:r>
    </w:p>
    <w:p>
      <w:pPr>
        <w:spacing w:after="0" w:line="32" w:lineRule="exact"/>
        <w:rPr>
          <w:sz w:val="20"/>
          <w:szCs w:val="20"/>
          <w:color w:val="auto"/>
        </w:rPr>
      </w:pPr>
    </w:p>
    <w:p>
      <w:pPr>
        <w:ind w:right="220"/>
        <w:spacing w:after="0" w:line="312" w:lineRule="auto"/>
        <w:rPr>
          <w:sz w:val="20"/>
          <w:szCs w:val="20"/>
          <w:color w:val="auto"/>
        </w:rPr>
      </w:pPr>
      <w:r>
        <w:rPr>
          <w:rFonts w:ascii="Arial" w:cs="Arial" w:eastAsia="Arial" w:hAnsi="Arial"/>
          <w:sz w:val="15"/>
          <w:szCs w:val="15"/>
          <w:color w:val="auto"/>
        </w:rPr>
        <w:t>We have also audited, in accordance with the standards of the Public Company Accounting Oversight Board (United States), the consolidated financial statements as of and for the year ended December 31, 2008 of the Company and our report dated February 23, 2009, expressed an unqualified opinion on those financial statements.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 DELOITTE &amp; TOUCHE LLP</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color w:val="auto"/>
        </w:rPr>
        <w:t>San Diego, California</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February 23, 2009</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Arial" w:cs="Arial" w:eastAsia="Arial" w:hAnsi="Arial"/>
          <w:sz w:val="14"/>
          <w:szCs w:val="14"/>
          <w:color w:val="auto"/>
        </w:rPr>
        <w:t>61</w:t>
      </w:r>
    </w:p>
    <w:p>
      <w:pPr>
        <w:sectPr>
          <w:pgSz w:w="11900" w:h="16838" w:orient="portrait"/>
          <w:cols w:equalWidth="0" w:num="1">
            <w:col w:w="11440"/>
          </w:cols>
          <w:pgMar w:left="240" w:top="144" w:right="219" w:bottom="1440" w:gutter="0" w:footer="0" w:header="0"/>
        </w:sectPr>
      </w:pPr>
    </w:p>
    <w:bookmarkStart w:id="201" w:name="page202"/>
    <w:bookmarkEnd w:id="201"/>
    <w:p>
      <w:pPr>
        <w:spacing w:after="0"/>
        <w:rPr>
          <w:sz w:val="20"/>
          <w:szCs w:val="20"/>
          <w:color w:val="auto"/>
        </w:rPr>
      </w:pPr>
      <w:r>
        <w:rPr>
          <w:rFonts w:ascii="Arial" w:cs="Arial" w:eastAsia="Arial" w:hAnsi="Arial"/>
          <w:sz w:val="18"/>
          <w:szCs w:val="18"/>
          <w:b w:val="1"/>
          <w:bCs w:val="1"/>
          <w:i w:val="1"/>
          <w:iCs w:val="1"/>
          <w:color w:val="auto"/>
        </w:rPr>
        <w:t>To the Board of Directors and Shareholders of Sempra Energy:</w:t>
      </w:r>
    </w:p>
    <w:p>
      <w:pPr>
        <w:spacing w:after="0" w:line="23" w:lineRule="exact"/>
        <w:rPr>
          <w:sz w:val="20"/>
          <w:szCs w:val="20"/>
          <w:color w:val="auto"/>
        </w:rPr>
      </w:pPr>
    </w:p>
    <w:p>
      <w:pPr>
        <w:ind w:right="400"/>
        <w:spacing w:after="0" w:line="295" w:lineRule="auto"/>
        <w:rPr>
          <w:sz w:val="20"/>
          <w:szCs w:val="20"/>
          <w:color w:val="auto"/>
        </w:rPr>
      </w:pPr>
      <w:r>
        <w:rPr>
          <w:rFonts w:ascii="Arial" w:cs="Arial" w:eastAsia="Arial" w:hAnsi="Arial"/>
          <w:sz w:val="14"/>
          <w:szCs w:val="14"/>
          <w:color w:val="auto"/>
        </w:rPr>
        <w:t>We have audited the accompanying consolidated balance sheets of Sempra Energy and subsidiaries (the "Company") as of December 31, 2008 and 2007, and the related consolidated statements of income, comprehensive income and changes in shareholders' equity, and cash flows for each of the three years in the period ended December 31,</w:t>
      </w:r>
    </w:p>
    <w:p>
      <w:pPr>
        <w:spacing w:after="0" w:line="1" w:lineRule="exact"/>
        <w:rPr>
          <w:sz w:val="20"/>
          <w:szCs w:val="20"/>
          <w:color w:val="auto"/>
        </w:rPr>
      </w:pPr>
    </w:p>
    <w:p>
      <w:pPr>
        <w:ind w:right="340"/>
        <w:spacing w:after="0" w:line="261" w:lineRule="auto"/>
        <w:rPr>
          <w:sz w:val="20"/>
          <w:szCs w:val="20"/>
          <w:color w:val="auto"/>
        </w:rPr>
      </w:pPr>
      <w:r>
        <w:rPr>
          <w:rFonts w:ascii="Arial" w:cs="Arial" w:eastAsia="Arial" w:hAnsi="Arial"/>
          <w:sz w:val="16"/>
          <w:szCs w:val="16"/>
          <w:color w:val="auto"/>
        </w:rPr>
        <w:t>2008. These financial statements are the responsibility of the Company's management. Our responsibility is to express an opinion on these financial statements based on our audits.</w:t>
      </w:r>
    </w:p>
    <w:p>
      <w:pPr>
        <w:spacing w:after="0" w:line="44" w:lineRule="exact"/>
        <w:rPr>
          <w:sz w:val="20"/>
          <w:szCs w:val="20"/>
          <w:color w:val="auto"/>
        </w:rPr>
      </w:pPr>
    </w:p>
    <w:p>
      <w:pPr>
        <w:spacing w:after="0" w:line="282" w:lineRule="auto"/>
        <w:rPr>
          <w:sz w:val="20"/>
          <w:szCs w:val="20"/>
          <w:color w:val="auto"/>
        </w:rPr>
      </w:pPr>
      <w:r>
        <w:rPr>
          <w:rFonts w:ascii="Arial" w:cs="Arial" w:eastAsia="Arial" w:hAnsi="Arial"/>
          <w:sz w:val="15"/>
          <w:szCs w:val="15"/>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30" w:lineRule="exact"/>
        <w:rPr>
          <w:sz w:val="20"/>
          <w:szCs w:val="20"/>
          <w:color w:val="auto"/>
        </w:rPr>
      </w:pPr>
    </w:p>
    <w:p>
      <w:pPr>
        <w:ind w:right="220"/>
        <w:spacing w:after="0" w:line="264" w:lineRule="auto"/>
        <w:rPr>
          <w:sz w:val="20"/>
          <w:szCs w:val="20"/>
          <w:color w:val="auto"/>
        </w:rPr>
      </w:pPr>
      <w:r>
        <w:rPr>
          <w:rFonts w:ascii="Arial" w:cs="Arial" w:eastAsia="Arial" w:hAnsi="Arial"/>
          <w:sz w:val="16"/>
          <w:szCs w:val="16"/>
          <w:color w:val="auto"/>
        </w:rPr>
        <w:t>In our opinion, such consolidated financial statements present fairly, in all material respects, the financial position of Sempra Energy and subsidiaries as of December 31, 2008 and 2007, and the results of their operations and their cash flows for each of the three years in the period ended December 31, 2008, in conformity with accounting principles generally accepted in the United States of America.</w:t>
      </w:r>
    </w:p>
    <w:p>
      <w:pPr>
        <w:spacing w:after="0" w:line="42" w:lineRule="exact"/>
        <w:rPr>
          <w:sz w:val="20"/>
          <w:szCs w:val="20"/>
          <w:color w:val="auto"/>
        </w:rPr>
      </w:pPr>
    </w:p>
    <w:p>
      <w:pPr>
        <w:ind w:right="300"/>
        <w:spacing w:after="0" w:line="319" w:lineRule="auto"/>
        <w:rPr>
          <w:sz w:val="20"/>
          <w:szCs w:val="20"/>
          <w:color w:val="auto"/>
        </w:rPr>
      </w:pPr>
      <w:r>
        <w:rPr>
          <w:rFonts w:ascii="Arial" w:cs="Arial" w:eastAsia="Arial" w:hAnsi="Arial"/>
          <w:sz w:val="14"/>
          <w:szCs w:val="14"/>
          <w:color w:val="auto"/>
        </w:rPr>
        <w:t xml:space="preserve">We have also audited, in accordance with the standards of the Public Company Accounting Oversight Board (United States), the Company's internal control over financial reporting as of December 31, 2008, based on the criteria established in </w:t>
      </w:r>
      <w:r>
        <w:rPr>
          <w:rFonts w:ascii="Arial" w:cs="Arial" w:eastAsia="Arial" w:hAnsi="Arial"/>
          <w:sz w:val="14"/>
          <w:szCs w:val="14"/>
          <w:i w:val="1"/>
          <w:iCs w:val="1"/>
          <w:color w:val="auto"/>
        </w:rPr>
        <w:t>Internal Control—Integrated Framework</w:t>
      </w:r>
      <w:r>
        <w:rPr>
          <w:rFonts w:ascii="Arial" w:cs="Arial" w:eastAsia="Arial" w:hAnsi="Arial"/>
          <w:sz w:val="14"/>
          <w:szCs w:val="14"/>
          <w:color w:val="auto"/>
        </w:rPr>
        <w:t xml:space="preserve"> issued by the Committee of Sponsoring Organizations of the Treadway Commission and our report dated February 23, 2009 expressed an unqualified opinion on the Company's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 DELOITTE &amp; TOUCHE LLP</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color w:val="auto"/>
        </w:rPr>
        <w:t>San Diego, California</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February 23, 2009</w:t>
      </w: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Arial" w:cs="Arial" w:eastAsia="Arial" w:hAnsi="Arial"/>
          <w:sz w:val="14"/>
          <w:szCs w:val="14"/>
          <w:color w:val="auto"/>
        </w:rPr>
        <w:t>62</w:t>
      </w:r>
    </w:p>
    <w:p>
      <w:pPr>
        <w:sectPr>
          <w:pgSz w:w="11900" w:h="16838" w:orient="portrait"/>
          <w:cols w:equalWidth="0" w:num="1">
            <w:col w:w="11420"/>
          </w:cols>
          <w:pgMar w:left="240" w:top="293" w:right="239" w:bottom="1440" w:gutter="0" w:footer="0" w:header="0"/>
        </w:sectPr>
      </w:pPr>
    </w:p>
    <w:bookmarkStart w:id="202" w:name="page203"/>
    <w:bookmarkEnd w:id="20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149860</wp:posOffset>
            </wp:positionH>
            <wp:positionV relativeFrom="page">
              <wp:posOffset>432435</wp:posOffset>
            </wp:positionV>
            <wp:extent cx="7261860" cy="762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61860" cy="7620"/>
                    </a:xfrm>
                    <a:prstGeom prst="rect">
                      <a:avLst/>
                    </a:prstGeom>
                    <a:noFill/>
                  </pic:spPr>
                </pic:pic>
              </a:graphicData>
            </a:graphic>
          </wp:anchor>
        </w:drawing>
        <w:t>SAN DIEGO GAS &amp; ELECTRIC COMPANY</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To the Board of Directors and Shareholders of San Diego Gas &amp; Electric Company:</w:t>
      </w:r>
    </w:p>
    <w:p>
      <w:pPr>
        <w:spacing w:after="0" w:line="23" w:lineRule="exact"/>
        <w:rPr>
          <w:sz w:val="20"/>
          <w:szCs w:val="20"/>
          <w:color w:val="auto"/>
        </w:rPr>
      </w:pPr>
    </w:p>
    <w:p>
      <w:pPr>
        <w:ind w:right="20"/>
        <w:spacing w:after="0" w:line="257" w:lineRule="auto"/>
        <w:rPr>
          <w:sz w:val="20"/>
          <w:szCs w:val="20"/>
          <w:color w:val="auto"/>
        </w:rPr>
      </w:pPr>
      <w:r>
        <w:rPr>
          <w:rFonts w:ascii="Arial" w:cs="Arial" w:eastAsia="Arial" w:hAnsi="Arial"/>
          <w:sz w:val="16"/>
          <w:szCs w:val="16"/>
          <w:color w:val="auto"/>
        </w:rPr>
        <w:t xml:space="preserve">We have audited the internal control over financial reporting of San Diego Gas &amp; Electric Company and subsidiary (the "Company") as of December 31, 2008, based on criteria established in </w:t>
      </w:r>
      <w:r>
        <w:rPr>
          <w:rFonts w:ascii="Arial" w:cs="Arial" w:eastAsia="Arial" w:hAnsi="Arial"/>
          <w:sz w:val="16"/>
          <w:szCs w:val="16"/>
          <w:i w:val="1"/>
          <w:iCs w:val="1"/>
          <w:color w:val="auto"/>
        </w:rPr>
        <w:t>Internal Control — Integrated Framework</w:t>
      </w:r>
      <w:r>
        <w:rPr>
          <w:rFonts w:ascii="Arial" w:cs="Arial" w:eastAsia="Arial" w:hAnsi="Arial"/>
          <w:sz w:val="16"/>
          <w:szCs w:val="16"/>
          <w:color w:val="auto"/>
        </w:rPr>
        <w:t xml:space="preserve"> issued by the Committee of Sponsoring Organizations of the Treadway Commission. 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w:t>
      </w:r>
    </w:p>
    <w:p>
      <w:pPr>
        <w:spacing w:after="0" w:line="48" w:lineRule="exact"/>
        <w:rPr>
          <w:sz w:val="20"/>
          <w:szCs w:val="20"/>
          <w:color w:val="auto"/>
        </w:rPr>
      </w:pPr>
    </w:p>
    <w:p>
      <w:pPr>
        <w:ind w:right="80"/>
        <w:spacing w:after="0" w:line="257" w:lineRule="auto"/>
        <w:rPr>
          <w:sz w:val="20"/>
          <w:szCs w:val="20"/>
          <w:color w:val="auto"/>
        </w:rPr>
      </w:pPr>
      <w:r>
        <w:rPr>
          <w:rFonts w:ascii="Arial" w:cs="Arial" w:eastAsia="Arial" w:hAnsi="Arial"/>
          <w:sz w:val="16"/>
          <w:szCs w:val="16"/>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48" w:lineRule="exact"/>
        <w:rPr>
          <w:sz w:val="20"/>
          <w:szCs w:val="20"/>
          <w:color w:val="auto"/>
        </w:rPr>
      </w:pPr>
    </w:p>
    <w:p>
      <w:pPr>
        <w:spacing w:after="0" w:line="273" w:lineRule="auto"/>
        <w:rPr>
          <w:sz w:val="20"/>
          <w:szCs w:val="20"/>
          <w:color w:val="auto"/>
        </w:rPr>
      </w:pPr>
      <w:r>
        <w:rPr>
          <w:rFonts w:ascii="Arial" w:cs="Arial" w:eastAsia="Arial" w:hAnsi="Arial"/>
          <w:sz w:val="15"/>
          <w:szCs w:val="15"/>
          <w:color w:val="auto"/>
        </w:rPr>
        <w:t>A company's internal control over financial reporting is a process designed by, or under the supervision of, the company's principal executive and principal financial officers, or persons performing similar functions, and effected by the company's board of directors, management, and other personnel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40" w:lineRule="exact"/>
        <w:rPr>
          <w:sz w:val="20"/>
          <w:szCs w:val="20"/>
          <w:color w:val="auto"/>
        </w:rPr>
      </w:pPr>
    </w:p>
    <w:p>
      <w:pPr>
        <w:ind w:right="240"/>
        <w:spacing w:after="0" w:line="259" w:lineRule="auto"/>
        <w:rPr>
          <w:sz w:val="20"/>
          <w:szCs w:val="20"/>
          <w:color w:val="auto"/>
        </w:rPr>
      </w:pPr>
      <w:r>
        <w:rPr>
          <w:rFonts w:ascii="Arial" w:cs="Arial" w:eastAsia="Arial" w:hAnsi="Arial"/>
          <w:sz w:val="16"/>
          <w:szCs w:val="16"/>
          <w:color w:val="auto"/>
        </w:rPr>
        <w:t>Because of the inherent limitations of internal control over financial reporting, including the possibility of collusion or improper management override of controls, material misstatements due to error or fraud may not be prevented or detected on a timely basis. Also, projections of any evaluation of the effectiveness of the internal control over financial reporting to future periods are subject to the risk that the controls may become inadequate because of changes in conditions, or that the degree of compliance with the policies or procedures may deteriorate.</w:t>
      </w:r>
    </w:p>
    <w:p>
      <w:pPr>
        <w:spacing w:after="0" w:line="47" w:lineRule="exact"/>
        <w:rPr>
          <w:sz w:val="20"/>
          <w:szCs w:val="20"/>
          <w:color w:val="auto"/>
        </w:rPr>
      </w:pPr>
    </w:p>
    <w:p>
      <w:pPr>
        <w:ind w:right="160"/>
        <w:spacing w:after="0" w:line="277" w:lineRule="auto"/>
        <w:rPr>
          <w:sz w:val="20"/>
          <w:szCs w:val="20"/>
          <w:color w:val="auto"/>
        </w:rPr>
      </w:pPr>
      <w:r>
        <w:rPr>
          <w:rFonts w:ascii="Arial" w:cs="Arial" w:eastAsia="Arial" w:hAnsi="Arial"/>
          <w:sz w:val="16"/>
          <w:szCs w:val="16"/>
          <w:color w:val="auto"/>
        </w:rPr>
        <w:t xml:space="preserve">In our opinion, the Company maintained, in all material respects, effective internal control over financial reporting as of December 31, 2008, based on the criteria established in </w:t>
      </w:r>
      <w:r>
        <w:rPr>
          <w:rFonts w:ascii="Arial" w:cs="Arial" w:eastAsia="Arial" w:hAnsi="Arial"/>
          <w:sz w:val="16"/>
          <w:szCs w:val="16"/>
          <w:i w:val="1"/>
          <w:iCs w:val="1"/>
          <w:color w:val="auto"/>
        </w:rPr>
        <w:t xml:space="preserve">Internal Control — Integrated Framework </w:t>
      </w:r>
      <w:r>
        <w:rPr>
          <w:rFonts w:ascii="Arial" w:cs="Arial" w:eastAsia="Arial" w:hAnsi="Arial"/>
          <w:sz w:val="16"/>
          <w:szCs w:val="16"/>
          <w:color w:val="auto"/>
        </w:rPr>
        <w:t>issued by the Committee of Sponsoring Organizations of the Treadway Commission.</w:t>
      </w:r>
    </w:p>
    <w:p>
      <w:pPr>
        <w:spacing w:after="0" w:line="32" w:lineRule="exact"/>
        <w:rPr>
          <w:sz w:val="20"/>
          <w:szCs w:val="20"/>
          <w:color w:val="auto"/>
        </w:rPr>
      </w:pPr>
    </w:p>
    <w:p>
      <w:pPr>
        <w:ind w:right="220"/>
        <w:spacing w:after="0" w:line="312" w:lineRule="auto"/>
        <w:rPr>
          <w:sz w:val="20"/>
          <w:szCs w:val="20"/>
          <w:color w:val="auto"/>
        </w:rPr>
      </w:pPr>
      <w:r>
        <w:rPr>
          <w:rFonts w:ascii="Arial" w:cs="Arial" w:eastAsia="Arial" w:hAnsi="Arial"/>
          <w:sz w:val="15"/>
          <w:szCs w:val="15"/>
          <w:color w:val="auto"/>
        </w:rPr>
        <w:t>We have also audited, in accordance with the standards of the Public Company Accounting Oversight Board (United States), the consolidated financial statements as of and for the year ended December 31, 2008 of the Company and our report dated February 23, 2009, expressed an unqualified opinion on those financial statements.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 DELOITTE &amp; TOUCHE LLP</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color w:val="auto"/>
        </w:rPr>
        <w:t>San Diego, California</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February 23, 2009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14"/>
          <w:szCs w:val="14"/>
          <w:color w:val="auto"/>
        </w:rPr>
        <w:t>63</w:t>
      </w:r>
    </w:p>
    <w:p>
      <w:pPr>
        <w:sectPr>
          <w:pgSz w:w="11900" w:h="16838" w:orient="portrait"/>
          <w:cols w:equalWidth="0" w:num="1">
            <w:col w:w="11440"/>
          </w:cols>
          <w:pgMar w:left="240" w:top="737" w:right="219" w:bottom="1440" w:gutter="0" w:footer="0" w:header="0"/>
        </w:sectPr>
      </w:pPr>
    </w:p>
    <w:bookmarkStart w:id="203" w:name="page204"/>
    <w:bookmarkEnd w:id="203"/>
    <w:p>
      <w:pPr>
        <w:spacing w:after="0"/>
        <w:rPr>
          <w:sz w:val="20"/>
          <w:szCs w:val="20"/>
          <w:color w:val="auto"/>
        </w:rPr>
      </w:pPr>
      <w:r>
        <w:rPr>
          <w:rFonts w:ascii="Arial" w:cs="Arial" w:eastAsia="Arial" w:hAnsi="Arial"/>
          <w:sz w:val="18"/>
          <w:szCs w:val="18"/>
          <w:b w:val="1"/>
          <w:bCs w:val="1"/>
          <w:i w:val="1"/>
          <w:iCs w:val="1"/>
          <w:color w:val="auto"/>
        </w:rPr>
        <w:t>To the Board of Directors and Shareholders of San Diego Gas &amp; Electric Company:</w:t>
      </w:r>
    </w:p>
    <w:p>
      <w:pPr>
        <w:spacing w:after="0" w:line="23" w:lineRule="exact"/>
        <w:rPr>
          <w:sz w:val="20"/>
          <w:szCs w:val="20"/>
          <w:color w:val="auto"/>
        </w:rPr>
      </w:pPr>
    </w:p>
    <w:p>
      <w:pPr>
        <w:ind w:right="120"/>
        <w:spacing w:after="0" w:line="259" w:lineRule="auto"/>
        <w:rPr>
          <w:sz w:val="20"/>
          <w:szCs w:val="20"/>
          <w:color w:val="auto"/>
        </w:rPr>
      </w:pPr>
      <w:r>
        <w:rPr>
          <w:rFonts w:ascii="Arial" w:cs="Arial" w:eastAsia="Arial" w:hAnsi="Arial"/>
          <w:sz w:val="16"/>
          <w:szCs w:val="16"/>
          <w:color w:val="auto"/>
        </w:rPr>
        <w:t>We have audited the accompanying consolidated balance sheets of San Diego Gas &amp; Electric Company and subsidiary (the "Company") as of December 31, 2008 and 2007, and the related consolidated statements of income, comprehensive income and changes in shareholders' equity, and cash flows for each of the three years in the period ended December 31, 2008. These financial statements are the responsibility of the Company's management. Our responsibility is to express an opinion on these financial statements based on our audits.</w:t>
      </w:r>
    </w:p>
    <w:p>
      <w:pPr>
        <w:spacing w:after="0" w:line="47" w:lineRule="exact"/>
        <w:rPr>
          <w:sz w:val="20"/>
          <w:szCs w:val="20"/>
          <w:color w:val="auto"/>
        </w:rPr>
      </w:pPr>
    </w:p>
    <w:p>
      <w:pPr>
        <w:spacing w:after="0" w:line="282" w:lineRule="auto"/>
        <w:rPr>
          <w:sz w:val="20"/>
          <w:szCs w:val="20"/>
          <w:color w:val="auto"/>
        </w:rPr>
      </w:pPr>
      <w:r>
        <w:rPr>
          <w:rFonts w:ascii="Arial" w:cs="Arial" w:eastAsia="Arial" w:hAnsi="Arial"/>
          <w:sz w:val="15"/>
          <w:szCs w:val="15"/>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30" w:lineRule="exact"/>
        <w:rPr>
          <w:sz w:val="20"/>
          <w:szCs w:val="20"/>
          <w:color w:val="auto"/>
        </w:rPr>
      </w:pPr>
    </w:p>
    <w:p>
      <w:pPr>
        <w:ind w:right="280"/>
        <w:spacing w:after="0" w:line="264" w:lineRule="auto"/>
        <w:rPr>
          <w:sz w:val="20"/>
          <w:szCs w:val="20"/>
          <w:color w:val="auto"/>
        </w:rPr>
      </w:pPr>
      <w:r>
        <w:rPr>
          <w:rFonts w:ascii="Arial" w:cs="Arial" w:eastAsia="Arial" w:hAnsi="Arial"/>
          <w:sz w:val="16"/>
          <w:szCs w:val="16"/>
          <w:color w:val="auto"/>
        </w:rPr>
        <w:t>In our opinion, such consolidated financial statements present fairly, in all material respects, the financial position of San Diego Gas &amp; Electric Company and subsidiary as of December 31, 2008 and 2007, and the results of their operations and their cash flows for each of the three years in the period ended December 31, 2008, in conformity with accounting principles generally accepted in the United States of America.</w:t>
      </w:r>
    </w:p>
    <w:p>
      <w:pPr>
        <w:spacing w:after="0" w:line="42" w:lineRule="exact"/>
        <w:rPr>
          <w:sz w:val="20"/>
          <w:szCs w:val="20"/>
          <w:color w:val="auto"/>
        </w:rPr>
      </w:pPr>
    </w:p>
    <w:p>
      <w:pPr>
        <w:ind w:right="300"/>
        <w:spacing w:after="0" w:line="319" w:lineRule="auto"/>
        <w:rPr>
          <w:sz w:val="20"/>
          <w:szCs w:val="20"/>
          <w:color w:val="auto"/>
        </w:rPr>
      </w:pPr>
      <w:r>
        <w:rPr>
          <w:rFonts w:ascii="Arial" w:cs="Arial" w:eastAsia="Arial" w:hAnsi="Arial"/>
          <w:sz w:val="14"/>
          <w:szCs w:val="14"/>
          <w:color w:val="auto"/>
        </w:rPr>
        <w:t xml:space="preserve">We have also audited, in accordance with the standards of the Public Company Accounting Oversight Board (United States), the Company's internal control over financial reporting as of December 31, 2008, based on the criteria established in </w:t>
      </w:r>
      <w:r>
        <w:rPr>
          <w:rFonts w:ascii="Arial" w:cs="Arial" w:eastAsia="Arial" w:hAnsi="Arial"/>
          <w:sz w:val="14"/>
          <w:szCs w:val="14"/>
          <w:i w:val="1"/>
          <w:iCs w:val="1"/>
          <w:color w:val="auto"/>
        </w:rPr>
        <w:t>Internal Control—Integrated Framework</w:t>
      </w:r>
      <w:r>
        <w:rPr>
          <w:rFonts w:ascii="Arial" w:cs="Arial" w:eastAsia="Arial" w:hAnsi="Arial"/>
          <w:sz w:val="14"/>
          <w:szCs w:val="14"/>
          <w:color w:val="auto"/>
        </w:rPr>
        <w:t xml:space="preserve"> issued by the Committee of Sponsoring Organizations of the Treadway Commission and our report dated February 23, 2009 expressed an unqualified opinion on the Company's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 DELOITTE &amp; TOUCHE LLP</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color w:val="auto"/>
        </w:rPr>
        <w:t>San Diego, California</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February 23, 2009</w:t>
      </w: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Arial" w:cs="Arial" w:eastAsia="Arial" w:hAnsi="Arial"/>
          <w:sz w:val="14"/>
          <w:szCs w:val="14"/>
          <w:color w:val="auto"/>
        </w:rPr>
        <w:t>64</w:t>
      </w:r>
    </w:p>
    <w:p>
      <w:pPr>
        <w:sectPr>
          <w:pgSz w:w="11900" w:h="16838" w:orient="portrait"/>
          <w:cols w:equalWidth="0" w:num="1">
            <w:col w:w="11420"/>
          </w:cols>
          <w:pgMar w:left="240" w:top="293" w:right="239" w:bottom="1440" w:gutter="0" w:footer="0" w:header="0"/>
        </w:sectPr>
      </w:pPr>
    </w:p>
    <w:bookmarkStart w:id="204" w:name="page205"/>
    <w:bookmarkEnd w:id="20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149860</wp:posOffset>
            </wp:positionH>
            <wp:positionV relativeFrom="page">
              <wp:posOffset>432435</wp:posOffset>
            </wp:positionV>
            <wp:extent cx="7261860" cy="762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61860" cy="7620"/>
                    </a:xfrm>
                    <a:prstGeom prst="rect">
                      <a:avLst/>
                    </a:prstGeom>
                    <a:noFill/>
                  </pic:spPr>
                </pic:pic>
              </a:graphicData>
            </a:graphic>
          </wp:anchor>
        </w:drawing>
        <w:t>PACIFIC ENTERPRISES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To the Board of Directors and Shareholders of Pacific Enterprises:</w:t>
      </w:r>
    </w:p>
    <w:p>
      <w:pPr>
        <w:spacing w:after="0" w:line="23" w:lineRule="exact"/>
        <w:rPr>
          <w:sz w:val="20"/>
          <w:szCs w:val="20"/>
          <w:color w:val="auto"/>
        </w:rPr>
      </w:pPr>
    </w:p>
    <w:p>
      <w:pPr>
        <w:ind w:right="40"/>
        <w:spacing w:after="0" w:line="257" w:lineRule="auto"/>
        <w:rPr>
          <w:sz w:val="20"/>
          <w:szCs w:val="20"/>
          <w:color w:val="auto"/>
        </w:rPr>
      </w:pPr>
      <w:r>
        <w:rPr>
          <w:rFonts w:ascii="Arial" w:cs="Arial" w:eastAsia="Arial" w:hAnsi="Arial"/>
          <w:sz w:val="16"/>
          <w:szCs w:val="16"/>
          <w:color w:val="auto"/>
        </w:rPr>
        <w:t xml:space="preserve">We have audited the internal control over financial reporting of Pacific Enterprises and subsidiaries (the "Company") as of December 31, 2008, based on criteria established in </w:t>
      </w:r>
      <w:r>
        <w:rPr>
          <w:rFonts w:ascii="Arial" w:cs="Arial" w:eastAsia="Arial" w:hAnsi="Arial"/>
          <w:sz w:val="16"/>
          <w:szCs w:val="16"/>
          <w:i w:val="1"/>
          <w:iCs w:val="1"/>
          <w:color w:val="auto"/>
        </w:rPr>
        <w:t xml:space="preserve">Internal Control — Integrated Framework </w:t>
      </w:r>
      <w:r>
        <w:rPr>
          <w:rFonts w:ascii="Arial" w:cs="Arial" w:eastAsia="Arial" w:hAnsi="Arial"/>
          <w:sz w:val="16"/>
          <w:szCs w:val="16"/>
          <w:color w:val="auto"/>
        </w:rPr>
        <w:t>issued by the Committee of Sponsoring Organizations of the Treadway Commission. The Company's management is responsible for</w:t>
      </w:r>
      <w:r>
        <w:rPr>
          <w:rFonts w:ascii="Arial" w:cs="Arial" w:eastAsia="Arial" w:hAnsi="Arial"/>
          <w:sz w:val="16"/>
          <w:szCs w:val="16"/>
          <w:i w:val="1"/>
          <w:iCs w:val="1"/>
          <w:color w:val="auto"/>
        </w:rPr>
        <w:t xml:space="preserve"> </w:t>
      </w:r>
      <w:r>
        <w:rPr>
          <w:rFonts w:ascii="Arial" w:cs="Arial" w:eastAsia="Arial" w:hAnsi="Arial"/>
          <w:sz w:val="16"/>
          <w:szCs w:val="16"/>
          <w:color w:val="auto"/>
        </w:rPr>
        <w:t>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w:t>
      </w:r>
    </w:p>
    <w:p>
      <w:pPr>
        <w:spacing w:after="0" w:line="48" w:lineRule="exact"/>
        <w:rPr>
          <w:sz w:val="20"/>
          <w:szCs w:val="20"/>
          <w:color w:val="auto"/>
        </w:rPr>
      </w:pPr>
    </w:p>
    <w:p>
      <w:pPr>
        <w:ind w:right="80"/>
        <w:spacing w:after="0" w:line="257" w:lineRule="auto"/>
        <w:rPr>
          <w:sz w:val="20"/>
          <w:szCs w:val="20"/>
          <w:color w:val="auto"/>
        </w:rPr>
      </w:pPr>
      <w:r>
        <w:rPr>
          <w:rFonts w:ascii="Arial" w:cs="Arial" w:eastAsia="Arial" w:hAnsi="Arial"/>
          <w:sz w:val="16"/>
          <w:szCs w:val="16"/>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48" w:lineRule="exact"/>
        <w:rPr>
          <w:sz w:val="20"/>
          <w:szCs w:val="20"/>
          <w:color w:val="auto"/>
        </w:rPr>
      </w:pPr>
    </w:p>
    <w:p>
      <w:pPr>
        <w:spacing w:after="0" w:line="273" w:lineRule="auto"/>
        <w:rPr>
          <w:sz w:val="20"/>
          <w:szCs w:val="20"/>
          <w:color w:val="auto"/>
        </w:rPr>
      </w:pPr>
      <w:r>
        <w:rPr>
          <w:rFonts w:ascii="Arial" w:cs="Arial" w:eastAsia="Arial" w:hAnsi="Arial"/>
          <w:sz w:val="15"/>
          <w:szCs w:val="15"/>
          <w:color w:val="auto"/>
        </w:rPr>
        <w:t>A company's internal control over financial reporting is a process designed by, or under the supervision of, the company's principal executive and principal financial officers, or persons performing similar functions, and effected by the company's board of directors, management, and other personnel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40" w:lineRule="exact"/>
        <w:rPr>
          <w:sz w:val="20"/>
          <w:szCs w:val="20"/>
          <w:color w:val="auto"/>
        </w:rPr>
      </w:pPr>
    </w:p>
    <w:p>
      <w:pPr>
        <w:ind w:right="240"/>
        <w:spacing w:after="0" w:line="259" w:lineRule="auto"/>
        <w:rPr>
          <w:sz w:val="20"/>
          <w:szCs w:val="20"/>
          <w:color w:val="auto"/>
        </w:rPr>
      </w:pPr>
      <w:r>
        <w:rPr>
          <w:rFonts w:ascii="Arial" w:cs="Arial" w:eastAsia="Arial" w:hAnsi="Arial"/>
          <w:sz w:val="16"/>
          <w:szCs w:val="16"/>
          <w:color w:val="auto"/>
        </w:rPr>
        <w:t>Because of the inherent limitations of internal control over financial reporting, including the possibility of collusion or improper management override of controls, material misstatements due to error or fraud may not be prevented or detected on a timely basis. Also, projections of any evaluation of the effectiveness of the internal control over financial reporting to future periods are subject to the risk that the controls may become inadequate because of changes in conditions, or that the degree of compliance with the policies or procedures may deteriorate.</w:t>
      </w:r>
    </w:p>
    <w:p>
      <w:pPr>
        <w:spacing w:after="0" w:line="47" w:lineRule="exact"/>
        <w:rPr>
          <w:sz w:val="20"/>
          <w:szCs w:val="20"/>
          <w:color w:val="auto"/>
        </w:rPr>
      </w:pPr>
    </w:p>
    <w:p>
      <w:pPr>
        <w:ind w:right="160"/>
        <w:spacing w:after="0" w:line="277" w:lineRule="auto"/>
        <w:rPr>
          <w:sz w:val="20"/>
          <w:szCs w:val="20"/>
          <w:color w:val="auto"/>
        </w:rPr>
      </w:pPr>
      <w:r>
        <w:rPr>
          <w:rFonts w:ascii="Arial" w:cs="Arial" w:eastAsia="Arial" w:hAnsi="Arial"/>
          <w:sz w:val="16"/>
          <w:szCs w:val="16"/>
          <w:color w:val="auto"/>
        </w:rPr>
        <w:t xml:space="preserve">In our opinion, the Company maintained, in all material respects, effective internal control over financial reporting as of December 31, 2008, based on the criteria established in </w:t>
      </w:r>
      <w:r>
        <w:rPr>
          <w:rFonts w:ascii="Arial" w:cs="Arial" w:eastAsia="Arial" w:hAnsi="Arial"/>
          <w:sz w:val="16"/>
          <w:szCs w:val="16"/>
          <w:i w:val="1"/>
          <w:iCs w:val="1"/>
          <w:color w:val="auto"/>
        </w:rPr>
        <w:t xml:space="preserve">Internal Control — Integrated Framework </w:t>
      </w:r>
      <w:r>
        <w:rPr>
          <w:rFonts w:ascii="Arial" w:cs="Arial" w:eastAsia="Arial" w:hAnsi="Arial"/>
          <w:sz w:val="16"/>
          <w:szCs w:val="16"/>
          <w:color w:val="auto"/>
        </w:rPr>
        <w:t>issued by the Committee of Sponsoring Organizations of the Treadway Commission.</w:t>
      </w:r>
    </w:p>
    <w:p>
      <w:pPr>
        <w:spacing w:after="0" w:line="32" w:lineRule="exact"/>
        <w:rPr>
          <w:sz w:val="20"/>
          <w:szCs w:val="20"/>
          <w:color w:val="auto"/>
        </w:rPr>
      </w:pPr>
    </w:p>
    <w:p>
      <w:pPr>
        <w:ind w:right="220"/>
        <w:spacing w:after="0" w:line="312" w:lineRule="auto"/>
        <w:rPr>
          <w:sz w:val="20"/>
          <w:szCs w:val="20"/>
          <w:color w:val="auto"/>
        </w:rPr>
      </w:pPr>
      <w:r>
        <w:rPr>
          <w:rFonts w:ascii="Arial" w:cs="Arial" w:eastAsia="Arial" w:hAnsi="Arial"/>
          <w:sz w:val="15"/>
          <w:szCs w:val="15"/>
          <w:color w:val="auto"/>
        </w:rPr>
        <w:t>We have also audited, in accordance with the standards of the Public Company Accounting Oversight Board (United States), the consolidated financial statements as of and for the year ended December 31, 2008 of the Company and our report dated February 23, 2009, expressed an unqualified opinion on those financial statements.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 DELOITTE &amp; TOUCHE LLP</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color w:val="auto"/>
        </w:rPr>
        <w:t>San Diego, California</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February 23, 2009</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Arial" w:cs="Arial" w:eastAsia="Arial" w:hAnsi="Arial"/>
          <w:sz w:val="14"/>
          <w:szCs w:val="14"/>
          <w:color w:val="auto"/>
        </w:rPr>
        <w:t>65</w:t>
      </w:r>
    </w:p>
    <w:p>
      <w:pPr>
        <w:sectPr>
          <w:pgSz w:w="11900" w:h="16838" w:orient="portrait"/>
          <w:cols w:equalWidth="0" w:num="1">
            <w:col w:w="11440"/>
          </w:cols>
          <w:pgMar w:left="240" w:top="737" w:right="219" w:bottom="1440" w:gutter="0" w:footer="0" w:header="0"/>
        </w:sectPr>
      </w:pPr>
    </w:p>
    <w:bookmarkStart w:id="205" w:name="page206"/>
    <w:bookmarkEnd w:id="205"/>
    <w:p>
      <w:pPr>
        <w:spacing w:after="0"/>
        <w:rPr>
          <w:sz w:val="20"/>
          <w:szCs w:val="20"/>
          <w:color w:val="auto"/>
        </w:rPr>
      </w:pPr>
      <w:r>
        <w:rPr>
          <w:rFonts w:ascii="Arial" w:cs="Arial" w:eastAsia="Arial" w:hAnsi="Arial"/>
          <w:sz w:val="18"/>
          <w:szCs w:val="18"/>
          <w:b w:val="1"/>
          <w:bCs w:val="1"/>
          <w:i w:val="1"/>
          <w:iCs w:val="1"/>
          <w:color w:val="auto"/>
        </w:rPr>
        <w:t>To the Board of Directors and Shareholders of Pacific Enterprises:</w:t>
      </w:r>
    </w:p>
    <w:p>
      <w:pPr>
        <w:spacing w:after="0" w:line="23" w:lineRule="exact"/>
        <w:rPr>
          <w:sz w:val="20"/>
          <w:szCs w:val="20"/>
          <w:color w:val="auto"/>
        </w:rPr>
      </w:pPr>
    </w:p>
    <w:p>
      <w:pPr>
        <w:jc w:val="both"/>
        <w:ind w:right="400"/>
        <w:spacing w:after="0" w:line="295" w:lineRule="auto"/>
        <w:rPr>
          <w:sz w:val="20"/>
          <w:szCs w:val="20"/>
          <w:color w:val="auto"/>
        </w:rPr>
      </w:pPr>
      <w:r>
        <w:rPr>
          <w:rFonts w:ascii="Arial" w:cs="Arial" w:eastAsia="Arial" w:hAnsi="Arial"/>
          <w:sz w:val="14"/>
          <w:szCs w:val="14"/>
          <w:color w:val="auto"/>
        </w:rPr>
        <w:t>We have audited the accompanying consolidated balance sheets of Pacific Enterprises and subsidiaries (the "Company") as of December 31, 2008 and 2007, and the related consolidated statements of income, comprehensive income and changes in shareholders' equity, and cash flows for each of the three years in the period ended December 31,</w:t>
      </w:r>
    </w:p>
    <w:p>
      <w:pPr>
        <w:spacing w:after="0" w:line="1" w:lineRule="exact"/>
        <w:rPr>
          <w:sz w:val="20"/>
          <w:szCs w:val="20"/>
          <w:color w:val="auto"/>
        </w:rPr>
      </w:pPr>
    </w:p>
    <w:p>
      <w:pPr>
        <w:ind w:right="340"/>
        <w:spacing w:after="0" w:line="261" w:lineRule="auto"/>
        <w:rPr>
          <w:sz w:val="20"/>
          <w:szCs w:val="20"/>
          <w:color w:val="auto"/>
        </w:rPr>
      </w:pPr>
      <w:r>
        <w:rPr>
          <w:rFonts w:ascii="Arial" w:cs="Arial" w:eastAsia="Arial" w:hAnsi="Arial"/>
          <w:sz w:val="16"/>
          <w:szCs w:val="16"/>
          <w:color w:val="auto"/>
        </w:rPr>
        <w:t>2008. These financial statements are the responsibility of the Company's management. Our responsibility is to express an opinion on these financial statements based on our audits.</w:t>
      </w:r>
    </w:p>
    <w:p>
      <w:pPr>
        <w:spacing w:after="0" w:line="44" w:lineRule="exact"/>
        <w:rPr>
          <w:sz w:val="20"/>
          <w:szCs w:val="20"/>
          <w:color w:val="auto"/>
        </w:rPr>
      </w:pPr>
    </w:p>
    <w:p>
      <w:pPr>
        <w:spacing w:after="0" w:line="282" w:lineRule="auto"/>
        <w:rPr>
          <w:sz w:val="20"/>
          <w:szCs w:val="20"/>
          <w:color w:val="auto"/>
        </w:rPr>
      </w:pPr>
      <w:r>
        <w:rPr>
          <w:rFonts w:ascii="Arial" w:cs="Arial" w:eastAsia="Arial" w:hAnsi="Arial"/>
          <w:sz w:val="15"/>
          <w:szCs w:val="15"/>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30" w:lineRule="exact"/>
        <w:rPr>
          <w:sz w:val="20"/>
          <w:szCs w:val="20"/>
          <w:color w:val="auto"/>
        </w:rPr>
      </w:pPr>
    </w:p>
    <w:p>
      <w:pPr>
        <w:spacing w:after="0" w:line="264" w:lineRule="auto"/>
        <w:rPr>
          <w:sz w:val="20"/>
          <w:szCs w:val="20"/>
          <w:color w:val="auto"/>
        </w:rPr>
      </w:pPr>
      <w:r>
        <w:rPr>
          <w:rFonts w:ascii="Arial" w:cs="Arial" w:eastAsia="Arial" w:hAnsi="Arial"/>
          <w:sz w:val="16"/>
          <w:szCs w:val="16"/>
          <w:color w:val="auto"/>
        </w:rPr>
        <w:t>In our opinion, such consolidated financial statements present fairly, in all material respects, the financial position of Pacific Enterprises and subsidiaries as of December 31, 2008 and 2007, and the results of their operations and their cash flows for each of the three years in the period ended December 31, 2008, in conformity with accounting principles generally accepted in the United States of America.</w:t>
      </w:r>
    </w:p>
    <w:p>
      <w:pPr>
        <w:spacing w:after="0" w:line="42" w:lineRule="exact"/>
        <w:rPr>
          <w:sz w:val="20"/>
          <w:szCs w:val="20"/>
          <w:color w:val="auto"/>
        </w:rPr>
      </w:pPr>
    </w:p>
    <w:p>
      <w:pPr>
        <w:ind w:right="300"/>
        <w:spacing w:after="0" w:line="319" w:lineRule="auto"/>
        <w:rPr>
          <w:sz w:val="20"/>
          <w:szCs w:val="20"/>
          <w:color w:val="auto"/>
        </w:rPr>
      </w:pPr>
      <w:r>
        <w:rPr>
          <w:rFonts w:ascii="Arial" w:cs="Arial" w:eastAsia="Arial" w:hAnsi="Arial"/>
          <w:sz w:val="14"/>
          <w:szCs w:val="14"/>
          <w:color w:val="auto"/>
        </w:rPr>
        <w:t xml:space="preserve">We have also audited, in accordance with the standards of the Public Company Accounting Oversight Board (United States), the Company's internal control over financial reporting as of December 31, 2008, based on the criteria established in </w:t>
      </w:r>
      <w:r>
        <w:rPr>
          <w:rFonts w:ascii="Arial" w:cs="Arial" w:eastAsia="Arial" w:hAnsi="Arial"/>
          <w:sz w:val="14"/>
          <w:szCs w:val="14"/>
          <w:i w:val="1"/>
          <w:iCs w:val="1"/>
          <w:color w:val="auto"/>
        </w:rPr>
        <w:t>Internal Control—Integrated Framework</w:t>
      </w:r>
      <w:r>
        <w:rPr>
          <w:rFonts w:ascii="Arial" w:cs="Arial" w:eastAsia="Arial" w:hAnsi="Arial"/>
          <w:sz w:val="14"/>
          <w:szCs w:val="14"/>
          <w:color w:val="auto"/>
        </w:rPr>
        <w:t xml:space="preserve"> issued by the Committee of Sponsoring Organizations of the Treadway Commission and our report dated February 23, 2009 expressed an unqualified opinion on the Company's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 DELOITTE &amp; TOUCHE LLP</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color w:val="auto"/>
        </w:rPr>
        <w:t>San Diego, California</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February 23, 2009</w:t>
      </w: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Arial" w:cs="Arial" w:eastAsia="Arial" w:hAnsi="Arial"/>
          <w:sz w:val="14"/>
          <w:szCs w:val="14"/>
          <w:color w:val="auto"/>
        </w:rPr>
        <w:t>66</w:t>
      </w:r>
    </w:p>
    <w:p>
      <w:pPr>
        <w:sectPr>
          <w:pgSz w:w="11900" w:h="16838" w:orient="portrait"/>
          <w:cols w:equalWidth="0" w:num="1">
            <w:col w:w="11420"/>
          </w:cols>
          <w:pgMar w:left="240" w:top="293" w:right="239" w:bottom="1440" w:gutter="0" w:footer="0" w:header="0"/>
        </w:sectPr>
      </w:pPr>
    </w:p>
    <w:bookmarkStart w:id="206" w:name="page207"/>
    <w:bookmarkEnd w:id="20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149860</wp:posOffset>
            </wp:positionH>
            <wp:positionV relativeFrom="page">
              <wp:posOffset>432435</wp:posOffset>
            </wp:positionV>
            <wp:extent cx="7261860" cy="762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61860" cy="7620"/>
                    </a:xfrm>
                    <a:prstGeom prst="rect">
                      <a:avLst/>
                    </a:prstGeom>
                    <a:noFill/>
                  </pic:spPr>
                </pic:pic>
              </a:graphicData>
            </a:graphic>
          </wp:anchor>
        </w:drawing>
        <w:t>SOUTHERN CALIFORNIA GAS COMPANY</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To the Board of Directors and Shareholders of Southern California Gas Company:</w:t>
      </w:r>
    </w:p>
    <w:p>
      <w:pPr>
        <w:spacing w:after="0" w:line="23" w:lineRule="exact"/>
        <w:rPr>
          <w:sz w:val="20"/>
          <w:szCs w:val="20"/>
          <w:color w:val="auto"/>
        </w:rPr>
      </w:pPr>
    </w:p>
    <w:p>
      <w:pPr>
        <w:ind w:right="20"/>
        <w:spacing w:after="0" w:line="257" w:lineRule="auto"/>
        <w:rPr>
          <w:sz w:val="20"/>
          <w:szCs w:val="20"/>
          <w:color w:val="auto"/>
        </w:rPr>
      </w:pPr>
      <w:r>
        <w:rPr>
          <w:rFonts w:ascii="Arial" w:cs="Arial" w:eastAsia="Arial" w:hAnsi="Arial"/>
          <w:sz w:val="16"/>
          <w:szCs w:val="16"/>
          <w:color w:val="auto"/>
        </w:rPr>
        <w:t xml:space="preserve">We have audited the internal control over financial reporting of Southern California Gas Company and subsidiaries (the "Company") as of December 31, 2008, based on criteria established in </w:t>
      </w:r>
      <w:r>
        <w:rPr>
          <w:rFonts w:ascii="Arial" w:cs="Arial" w:eastAsia="Arial" w:hAnsi="Arial"/>
          <w:sz w:val="16"/>
          <w:szCs w:val="16"/>
          <w:i w:val="1"/>
          <w:iCs w:val="1"/>
          <w:color w:val="auto"/>
        </w:rPr>
        <w:t>Internal Control — Integrated Framework</w:t>
      </w:r>
      <w:r>
        <w:rPr>
          <w:rFonts w:ascii="Arial" w:cs="Arial" w:eastAsia="Arial" w:hAnsi="Arial"/>
          <w:sz w:val="16"/>
          <w:szCs w:val="16"/>
          <w:color w:val="auto"/>
        </w:rPr>
        <w:t xml:space="preserve"> issued by the Committee of Sponsoring Organizations of the Treadway Commission. 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w:t>
      </w:r>
    </w:p>
    <w:p>
      <w:pPr>
        <w:spacing w:after="0" w:line="48" w:lineRule="exact"/>
        <w:rPr>
          <w:sz w:val="20"/>
          <w:szCs w:val="20"/>
          <w:color w:val="auto"/>
        </w:rPr>
      </w:pPr>
    </w:p>
    <w:p>
      <w:pPr>
        <w:ind w:right="80"/>
        <w:spacing w:after="0" w:line="257" w:lineRule="auto"/>
        <w:rPr>
          <w:sz w:val="20"/>
          <w:szCs w:val="20"/>
          <w:color w:val="auto"/>
        </w:rPr>
      </w:pPr>
      <w:r>
        <w:rPr>
          <w:rFonts w:ascii="Arial" w:cs="Arial" w:eastAsia="Arial" w:hAnsi="Arial"/>
          <w:sz w:val="16"/>
          <w:szCs w:val="16"/>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48" w:lineRule="exact"/>
        <w:rPr>
          <w:sz w:val="20"/>
          <w:szCs w:val="20"/>
          <w:color w:val="auto"/>
        </w:rPr>
      </w:pPr>
    </w:p>
    <w:p>
      <w:pPr>
        <w:spacing w:after="0" w:line="273" w:lineRule="auto"/>
        <w:rPr>
          <w:sz w:val="20"/>
          <w:szCs w:val="20"/>
          <w:color w:val="auto"/>
        </w:rPr>
      </w:pPr>
      <w:r>
        <w:rPr>
          <w:rFonts w:ascii="Arial" w:cs="Arial" w:eastAsia="Arial" w:hAnsi="Arial"/>
          <w:sz w:val="15"/>
          <w:szCs w:val="15"/>
          <w:color w:val="auto"/>
        </w:rPr>
        <w:t>A company's internal control over financial reporting is a process designed by, or under the supervision of, the company's principal executive and principal financial officers, or persons performing similar functions, and effected by the company's board of directors, management, and other personnel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40" w:lineRule="exact"/>
        <w:rPr>
          <w:sz w:val="20"/>
          <w:szCs w:val="20"/>
          <w:color w:val="auto"/>
        </w:rPr>
      </w:pPr>
    </w:p>
    <w:p>
      <w:pPr>
        <w:ind w:right="240"/>
        <w:spacing w:after="0" w:line="259" w:lineRule="auto"/>
        <w:rPr>
          <w:sz w:val="20"/>
          <w:szCs w:val="20"/>
          <w:color w:val="auto"/>
        </w:rPr>
      </w:pPr>
      <w:r>
        <w:rPr>
          <w:rFonts w:ascii="Arial" w:cs="Arial" w:eastAsia="Arial" w:hAnsi="Arial"/>
          <w:sz w:val="16"/>
          <w:szCs w:val="16"/>
          <w:color w:val="auto"/>
        </w:rPr>
        <w:t>Because of the inherent limitations of internal control over financial reporting, including the possibility of collusion or improper management override of controls, material misstatements due to error or fraud may not be prevented or detected on a timely basis. Also, projections of any evaluation of the effectiveness of the internal control over financial reporting to future periods are subject to the risk that the controls may become inadequate because of changes in conditions, or that the degree of compliance with the policies or procedures may deteriorate.</w:t>
      </w:r>
    </w:p>
    <w:p>
      <w:pPr>
        <w:spacing w:after="0" w:line="47" w:lineRule="exact"/>
        <w:rPr>
          <w:sz w:val="20"/>
          <w:szCs w:val="20"/>
          <w:color w:val="auto"/>
        </w:rPr>
      </w:pPr>
    </w:p>
    <w:p>
      <w:pPr>
        <w:ind w:right="160"/>
        <w:spacing w:after="0" w:line="277" w:lineRule="auto"/>
        <w:rPr>
          <w:sz w:val="20"/>
          <w:szCs w:val="20"/>
          <w:color w:val="auto"/>
        </w:rPr>
      </w:pPr>
      <w:r>
        <w:rPr>
          <w:rFonts w:ascii="Arial" w:cs="Arial" w:eastAsia="Arial" w:hAnsi="Arial"/>
          <w:sz w:val="16"/>
          <w:szCs w:val="16"/>
          <w:color w:val="auto"/>
        </w:rPr>
        <w:t xml:space="preserve">In our opinion, the Company maintained, in all material respects, effective internal control over financial reporting as of December 31, 2008, based on the criteria established in </w:t>
      </w:r>
      <w:r>
        <w:rPr>
          <w:rFonts w:ascii="Arial" w:cs="Arial" w:eastAsia="Arial" w:hAnsi="Arial"/>
          <w:sz w:val="16"/>
          <w:szCs w:val="16"/>
          <w:i w:val="1"/>
          <w:iCs w:val="1"/>
          <w:color w:val="auto"/>
        </w:rPr>
        <w:t xml:space="preserve">Internal Control — Integrated Framework </w:t>
      </w:r>
      <w:r>
        <w:rPr>
          <w:rFonts w:ascii="Arial" w:cs="Arial" w:eastAsia="Arial" w:hAnsi="Arial"/>
          <w:sz w:val="16"/>
          <w:szCs w:val="16"/>
          <w:color w:val="auto"/>
        </w:rPr>
        <w:t>issued by the Committee of Sponsoring Organizations of the Treadway Commission.</w:t>
      </w:r>
    </w:p>
    <w:p>
      <w:pPr>
        <w:spacing w:after="0" w:line="32" w:lineRule="exact"/>
        <w:rPr>
          <w:sz w:val="20"/>
          <w:szCs w:val="20"/>
          <w:color w:val="auto"/>
        </w:rPr>
      </w:pPr>
    </w:p>
    <w:p>
      <w:pPr>
        <w:ind w:right="220"/>
        <w:spacing w:after="0" w:line="312" w:lineRule="auto"/>
        <w:rPr>
          <w:sz w:val="20"/>
          <w:szCs w:val="20"/>
          <w:color w:val="auto"/>
        </w:rPr>
      </w:pPr>
      <w:r>
        <w:rPr>
          <w:rFonts w:ascii="Arial" w:cs="Arial" w:eastAsia="Arial" w:hAnsi="Arial"/>
          <w:sz w:val="15"/>
          <w:szCs w:val="15"/>
          <w:color w:val="auto"/>
        </w:rPr>
        <w:t>We have also audited, in accordance with the standards of the Public Company Accounting Oversight Board (United States), the consolidated financial statements as of and for the year ended December 31, 2008 of the Company and our report dated February 23, 2009, expressed an unqualified opinion on those financial statements.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 DELOITTE &amp; TOUCHE LLP</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color w:val="auto"/>
        </w:rPr>
        <w:t>San Diego, California</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February 23, 2009</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Arial" w:cs="Arial" w:eastAsia="Arial" w:hAnsi="Arial"/>
          <w:sz w:val="14"/>
          <w:szCs w:val="14"/>
          <w:color w:val="auto"/>
        </w:rPr>
        <w:t>67</w:t>
      </w:r>
    </w:p>
    <w:p>
      <w:pPr>
        <w:sectPr>
          <w:pgSz w:w="11900" w:h="16838" w:orient="portrait"/>
          <w:cols w:equalWidth="0" w:num="1">
            <w:col w:w="11440"/>
          </w:cols>
          <w:pgMar w:left="240" w:top="737" w:right="219" w:bottom="1440" w:gutter="0" w:footer="0" w:header="0"/>
        </w:sectPr>
      </w:pPr>
    </w:p>
    <w:bookmarkStart w:id="207" w:name="page208"/>
    <w:bookmarkEnd w:id="207"/>
    <w:p>
      <w:pPr>
        <w:spacing w:after="0"/>
        <w:rPr>
          <w:sz w:val="20"/>
          <w:szCs w:val="20"/>
          <w:color w:val="auto"/>
        </w:rPr>
      </w:pPr>
      <w:r>
        <w:rPr>
          <w:rFonts w:ascii="Arial" w:cs="Arial" w:eastAsia="Arial" w:hAnsi="Arial"/>
          <w:sz w:val="18"/>
          <w:szCs w:val="18"/>
          <w:b w:val="1"/>
          <w:bCs w:val="1"/>
          <w:i w:val="1"/>
          <w:iCs w:val="1"/>
          <w:color w:val="auto"/>
        </w:rPr>
        <w:t>To the Board of Directors and Shareholders of Southern California Gas Company:</w:t>
      </w:r>
    </w:p>
    <w:p>
      <w:pPr>
        <w:spacing w:after="0" w:line="23" w:lineRule="exact"/>
        <w:rPr>
          <w:sz w:val="20"/>
          <w:szCs w:val="20"/>
          <w:color w:val="auto"/>
        </w:rPr>
      </w:pPr>
    </w:p>
    <w:p>
      <w:pPr>
        <w:ind w:right="120"/>
        <w:spacing w:after="0" w:line="259" w:lineRule="auto"/>
        <w:rPr>
          <w:sz w:val="20"/>
          <w:szCs w:val="20"/>
          <w:color w:val="auto"/>
        </w:rPr>
      </w:pPr>
      <w:r>
        <w:rPr>
          <w:rFonts w:ascii="Arial" w:cs="Arial" w:eastAsia="Arial" w:hAnsi="Arial"/>
          <w:sz w:val="16"/>
          <w:szCs w:val="16"/>
          <w:color w:val="auto"/>
        </w:rPr>
        <w:t>We have audited the accompanying consolidated balance sheets of Southern California Gas Company and subsidiaries (the "Company") as of December 31, 2008 and 2007, and the related consolidated statements of income, comprehensive income and changes in shareholders' equity, and cash flows for each of the three years in the period ended December 31, 2008. These financial statements are the responsibility of the Company's management. Our responsibility is to express an opinion on these financial statements based on our audits.</w:t>
      </w:r>
    </w:p>
    <w:p>
      <w:pPr>
        <w:spacing w:after="0" w:line="47" w:lineRule="exact"/>
        <w:rPr>
          <w:sz w:val="20"/>
          <w:szCs w:val="20"/>
          <w:color w:val="auto"/>
        </w:rPr>
      </w:pPr>
    </w:p>
    <w:p>
      <w:pPr>
        <w:spacing w:after="0" w:line="282" w:lineRule="auto"/>
        <w:rPr>
          <w:sz w:val="20"/>
          <w:szCs w:val="20"/>
          <w:color w:val="auto"/>
        </w:rPr>
      </w:pPr>
      <w:r>
        <w:rPr>
          <w:rFonts w:ascii="Arial" w:cs="Arial" w:eastAsia="Arial" w:hAnsi="Arial"/>
          <w:sz w:val="15"/>
          <w:szCs w:val="15"/>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30" w:lineRule="exact"/>
        <w:rPr>
          <w:sz w:val="20"/>
          <w:szCs w:val="20"/>
          <w:color w:val="auto"/>
        </w:rPr>
      </w:pPr>
    </w:p>
    <w:p>
      <w:pPr>
        <w:ind w:right="280"/>
        <w:spacing w:after="0" w:line="264" w:lineRule="auto"/>
        <w:rPr>
          <w:sz w:val="20"/>
          <w:szCs w:val="20"/>
          <w:color w:val="auto"/>
        </w:rPr>
      </w:pPr>
      <w:r>
        <w:rPr>
          <w:rFonts w:ascii="Arial" w:cs="Arial" w:eastAsia="Arial" w:hAnsi="Arial"/>
          <w:sz w:val="16"/>
          <w:szCs w:val="16"/>
          <w:color w:val="auto"/>
        </w:rPr>
        <w:t>In our opinion, such consolidated financial statements present fairly, in all material respects, the financial position of Southern California Gas Company and subsidiaries as of December 31, 2008 and 2007, and the results of their operations and their cash flows for each of the three years in the period ended December 31, 2008, in conformity with accounting principles generally accepted in the United States of America.</w:t>
      </w:r>
    </w:p>
    <w:p>
      <w:pPr>
        <w:spacing w:after="0" w:line="42" w:lineRule="exact"/>
        <w:rPr>
          <w:sz w:val="20"/>
          <w:szCs w:val="20"/>
          <w:color w:val="auto"/>
        </w:rPr>
      </w:pPr>
    </w:p>
    <w:p>
      <w:pPr>
        <w:ind w:right="300"/>
        <w:spacing w:after="0" w:line="319" w:lineRule="auto"/>
        <w:rPr>
          <w:sz w:val="20"/>
          <w:szCs w:val="20"/>
          <w:color w:val="auto"/>
        </w:rPr>
      </w:pPr>
      <w:r>
        <w:rPr>
          <w:rFonts w:ascii="Arial" w:cs="Arial" w:eastAsia="Arial" w:hAnsi="Arial"/>
          <w:sz w:val="14"/>
          <w:szCs w:val="14"/>
          <w:color w:val="auto"/>
        </w:rPr>
        <w:t xml:space="preserve">We have also audited, in accordance with the standards of the Public Company Accounting Oversight Board (United States), the Company's internal control over financial reporting as of December 31, 2008, based on the criteria established in </w:t>
      </w:r>
      <w:r>
        <w:rPr>
          <w:rFonts w:ascii="Arial" w:cs="Arial" w:eastAsia="Arial" w:hAnsi="Arial"/>
          <w:sz w:val="14"/>
          <w:szCs w:val="14"/>
          <w:i w:val="1"/>
          <w:iCs w:val="1"/>
          <w:color w:val="auto"/>
        </w:rPr>
        <w:t>Internal Control—Integrated Framework</w:t>
      </w:r>
      <w:r>
        <w:rPr>
          <w:rFonts w:ascii="Arial" w:cs="Arial" w:eastAsia="Arial" w:hAnsi="Arial"/>
          <w:sz w:val="14"/>
          <w:szCs w:val="14"/>
          <w:color w:val="auto"/>
        </w:rPr>
        <w:t xml:space="preserve"> issued by the Committee of Sponsoring Organizations of the Treadway Commission and our report dated February 23, 2009 expressed an unqualified opinion on the Company's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 DELOITTE &amp; TOUCHE LLP</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color w:val="auto"/>
        </w:rPr>
        <w:t>San Diego, California</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February 23, 2009</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4"/>
          <w:szCs w:val="14"/>
          <w:color w:val="auto"/>
        </w:rPr>
        <w:t>68</w:t>
      </w:r>
    </w:p>
    <w:p>
      <w:pPr>
        <w:sectPr>
          <w:pgSz w:w="11900" w:h="16838" w:orient="portrait"/>
          <w:cols w:equalWidth="0" w:num="1">
            <w:col w:w="11420"/>
          </w:cols>
          <w:pgMar w:left="240" w:top="293" w:right="239" w:bottom="1440" w:gutter="0" w:footer="0" w:header="0"/>
        </w:sectPr>
      </w:pPr>
    </w:p>
    <w:bookmarkStart w:id="208" w:name="page209"/>
    <w:bookmarkEnd w:id="208"/>
    <w:p>
      <w:pPr>
        <w:ind w:left="1620"/>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1179830</wp:posOffset>
            </wp:positionH>
            <wp:positionV relativeFrom="page">
              <wp:posOffset>394335</wp:posOffset>
            </wp:positionV>
            <wp:extent cx="5201920" cy="36639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5201920" cy="366395"/>
                    </a:xfrm>
                    <a:prstGeom prst="rect">
                      <a:avLst/>
                    </a:prstGeom>
                    <a:noFill/>
                  </pic:spPr>
                </pic:pic>
              </a:graphicData>
            </a:graphic>
          </wp:anchor>
        </w:drawing>
        <w:t>SEMPRA ENERGY</w:t>
      </w:r>
    </w:p>
    <w:p>
      <w:pPr>
        <w:spacing w:after="0" w:line="31" w:lineRule="exact"/>
        <w:rPr>
          <w:sz w:val="20"/>
          <w:szCs w:val="20"/>
          <w:color w:val="auto"/>
        </w:rPr>
      </w:pPr>
    </w:p>
    <w:p>
      <w:pPr>
        <w:ind w:left="1620"/>
        <w:spacing w:after="0"/>
        <w:rPr>
          <w:sz w:val="20"/>
          <w:szCs w:val="20"/>
          <w:color w:val="auto"/>
        </w:rPr>
      </w:pPr>
      <w:r>
        <w:rPr>
          <w:rFonts w:ascii="Arial" w:cs="Arial" w:eastAsia="Arial" w:hAnsi="Arial"/>
          <w:sz w:val="14"/>
          <w:szCs w:val="14"/>
          <w:b w:val="1"/>
          <w:bCs w:val="1"/>
          <w:color w:val="auto"/>
        </w:rPr>
        <w:t>STATEMENTS OF CONSOLIDATED INCOME</w:t>
      </w:r>
    </w:p>
    <w:p>
      <w:pPr>
        <w:spacing w:after="0" w:line="40" w:lineRule="exact"/>
        <w:rPr>
          <w:sz w:val="20"/>
          <w:szCs w:val="20"/>
          <w:color w:val="auto"/>
        </w:rPr>
      </w:pPr>
    </w:p>
    <w:p>
      <w:pPr>
        <w:ind w:left="1620"/>
        <w:spacing w:after="0"/>
        <w:rPr>
          <w:sz w:val="20"/>
          <w:szCs w:val="20"/>
          <w:color w:val="auto"/>
        </w:rPr>
      </w:pPr>
      <w:r>
        <w:rPr>
          <w:rFonts w:ascii="Arial" w:cs="Arial" w:eastAsia="Arial" w:hAnsi="Arial"/>
          <w:sz w:val="13"/>
          <w:szCs w:val="13"/>
          <w:i w:val="1"/>
          <w:iCs w:val="1"/>
          <w:color w:val="auto"/>
        </w:rPr>
        <w:t>(Dollars in millions, except per share amounts)</w:t>
      </w:r>
    </w:p>
    <w:p>
      <w:pPr>
        <w:spacing w:after="0" w:line="67" w:lineRule="exact"/>
        <w:rPr>
          <w:sz w:val="20"/>
          <w:szCs w:val="20"/>
          <w:color w:val="auto"/>
        </w:rPr>
      </w:pPr>
    </w:p>
    <w:p>
      <w:pPr>
        <w:jc w:val="center"/>
        <w:ind w:left="4200"/>
        <w:spacing w:after="0"/>
        <w:rPr>
          <w:sz w:val="20"/>
          <w:szCs w:val="20"/>
          <w:color w:val="auto"/>
        </w:rPr>
      </w:pPr>
      <w:r>
        <w:rPr>
          <w:rFonts w:ascii="Arial" w:cs="Arial" w:eastAsia="Arial" w:hAnsi="Arial"/>
          <w:sz w:val="13"/>
          <w:szCs w:val="13"/>
          <w:color w:val="auto"/>
        </w:rPr>
        <w:t>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3689350</wp:posOffset>
            </wp:positionH>
            <wp:positionV relativeFrom="paragraph">
              <wp:posOffset>8890</wp:posOffset>
            </wp:positionV>
            <wp:extent cx="2540000" cy="762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2540000" cy="7620"/>
                    </a:xfrm>
                    <a:prstGeom prst="rect">
                      <a:avLst/>
                    </a:prstGeom>
                    <a:noFill/>
                  </pic:spPr>
                </pic:pic>
              </a:graphicData>
            </a:graphic>
          </wp:anchor>
        </w:drawing>
      </w:r>
    </w:p>
    <w:p>
      <w:pPr>
        <w:spacing w:after="0" w:line="59" w:lineRule="exact"/>
        <w:rPr>
          <w:sz w:val="20"/>
          <w:szCs w:val="20"/>
          <w:color w:val="auto"/>
        </w:rPr>
      </w:pPr>
    </w:p>
    <w:p>
      <w:pPr>
        <w:jc w:val="both"/>
        <w:ind w:left="6340"/>
        <w:spacing w:after="0"/>
        <w:tabs>
          <w:tab w:leader="none" w:pos="7640" w:val="left"/>
          <w:tab w:leader="none" w:pos="8980" w:val="left"/>
        </w:tabs>
        <w:rPr>
          <w:sz w:val="20"/>
          <w:szCs w:val="20"/>
          <w:color w:val="auto"/>
        </w:rPr>
      </w:pPr>
      <w:r>
        <w:rPr>
          <w:rFonts w:ascii="Arial" w:cs="Arial" w:eastAsia="Arial" w:hAnsi="Arial"/>
          <w:sz w:val="13"/>
          <w:szCs w:val="13"/>
          <w:color w:val="auto"/>
        </w:rPr>
        <w:t>2008</w:t>
      </w:r>
      <w:r>
        <w:rPr>
          <w:sz w:val="20"/>
          <w:szCs w:val="20"/>
          <w:color w:val="auto"/>
        </w:rPr>
        <w:tab/>
      </w:r>
      <w:r>
        <w:rPr>
          <w:rFonts w:ascii="Arial" w:cs="Arial" w:eastAsia="Arial" w:hAnsi="Arial"/>
          <w:sz w:val="13"/>
          <w:szCs w:val="13"/>
          <w:color w:val="auto"/>
        </w:rPr>
        <w:t>2007</w:t>
      </w:r>
      <w:r>
        <w:rPr>
          <w:sz w:val="20"/>
          <w:szCs w:val="20"/>
          <w:color w:val="auto"/>
        </w:rPr>
        <w:tab/>
      </w:r>
      <w:r>
        <w:rPr>
          <w:rFonts w:ascii="Arial" w:cs="Arial" w:eastAsia="Arial" w:hAnsi="Arial"/>
          <w:sz w:val="12"/>
          <w:szCs w:val="12"/>
          <w:color w:val="auto"/>
        </w:rPr>
        <w:t>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1027430</wp:posOffset>
            </wp:positionH>
            <wp:positionV relativeFrom="paragraph">
              <wp:posOffset>8890</wp:posOffset>
            </wp:positionV>
            <wp:extent cx="5201920" cy="762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5201920" cy="7620"/>
                    </a:xfrm>
                    <a:prstGeom prst="rect">
                      <a:avLst/>
                    </a:prstGeom>
                    <a:noFill/>
                  </pic:spPr>
                </pic:pic>
              </a:graphicData>
            </a:graphic>
          </wp:anchor>
        </w:drawing>
      </w:r>
    </w:p>
    <w:p>
      <w:pPr>
        <w:sectPr>
          <w:pgSz w:w="11900" w:h="16838" w:orient="portrait"/>
          <w:cols w:equalWidth="0" w:num="1">
            <w:col w:w="10219"/>
          </w:cols>
          <w:pgMar w:left="240" w:top="628" w:right="1440" w:bottom="1440" w:gutter="0" w:footer="0" w:header="0"/>
        </w:sectPr>
      </w:pPr>
    </w:p>
    <w:p>
      <w:pPr>
        <w:spacing w:after="0" w:line="280" w:lineRule="exact"/>
        <w:rPr>
          <w:sz w:val="20"/>
          <w:szCs w:val="20"/>
          <w:color w:val="auto"/>
        </w:rPr>
      </w:pPr>
    </w:p>
    <w:p>
      <w:pPr>
        <w:ind w:left="1620"/>
        <w:spacing w:after="0"/>
        <w:rPr>
          <w:sz w:val="20"/>
          <w:szCs w:val="20"/>
          <w:color w:val="auto"/>
        </w:rPr>
      </w:pPr>
      <w:r>
        <w:rPr>
          <w:rFonts w:ascii="Arial" w:cs="Arial" w:eastAsia="Arial" w:hAnsi="Arial"/>
          <w:sz w:val="14"/>
          <w:szCs w:val="14"/>
          <w:color w:val="auto"/>
        </w:rPr>
        <w:t>REVENUES</w:t>
      </w:r>
    </w:p>
    <w:p>
      <w:pPr>
        <w:spacing w:after="0" w:line="55" w:lineRule="exact"/>
        <w:rPr>
          <w:sz w:val="20"/>
          <w:szCs w:val="20"/>
          <w:color w:val="auto"/>
        </w:rPr>
      </w:pPr>
    </w:p>
    <w:p>
      <w:pPr>
        <w:ind w:left="1620"/>
        <w:spacing w:after="0"/>
        <w:rPr>
          <w:sz w:val="20"/>
          <w:szCs w:val="20"/>
          <w:color w:val="auto"/>
        </w:rPr>
      </w:pPr>
      <w:r>
        <w:rPr>
          <w:rFonts w:ascii="Arial" w:cs="Arial" w:eastAsia="Arial" w:hAnsi="Arial"/>
          <w:sz w:val="14"/>
          <w:szCs w:val="14"/>
          <w:color w:val="auto"/>
        </w:rPr>
        <w:t>Sempra Utilities</w:t>
      </w:r>
    </w:p>
    <w:p>
      <w:pPr>
        <w:spacing w:after="0" w:line="67" w:lineRule="exact"/>
        <w:rPr>
          <w:sz w:val="20"/>
          <w:szCs w:val="20"/>
          <w:color w:val="auto"/>
        </w:rPr>
      </w:pPr>
    </w:p>
    <w:p>
      <w:pPr>
        <w:jc w:val="center"/>
        <w:ind w:right="520"/>
        <w:spacing w:after="0"/>
        <w:rPr>
          <w:sz w:val="20"/>
          <w:szCs w:val="20"/>
          <w:color w:val="auto"/>
        </w:rPr>
      </w:pPr>
      <w:r>
        <w:rPr>
          <w:rFonts w:ascii="Arial" w:cs="Arial" w:eastAsia="Arial" w:hAnsi="Arial"/>
          <w:sz w:val="14"/>
          <w:szCs w:val="14"/>
          <w:color w:val="auto"/>
        </w:rPr>
        <w:t>Sempra Global and parent</w:t>
      </w:r>
    </w:p>
    <w:p>
      <w:pPr>
        <w:spacing w:after="0" w:line="67" w:lineRule="exact"/>
        <w:rPr>
          <w:sz w:val="20"/>
          <w:szCs w:val="20"/>
          <w:color w:val="auto"/>
        </w:rPr>
      </w:pPr>
    </w:p>
    <w:p>
      <w:pPr>
        <w:jc w:val="center"/>
        <w:ind w:right="480"/>
        <w:spacing w:after="0"/>
        <w:rPr>
          <w:sz w:val="20"/>
          <w:szCs w:val="20"/>
          <w:color w:val="auto"/>
        </w:rPr>
      </w:pPr>
      <w:r>
        <w:rPr>
          <w:rFonts w:ascii="Arial" w:cs="Arial" w:eastAsia="Arial" w:hAnsi="Arial"/>
          <w:sz w:val="14"/>
          <w:szCs w:val="14"/>
          <w:color w:val="auto"/>
        </w:rPr>
        <w:t>Total revenues</w:t>
      </w:r>
    </w:p>
    <w:p>
      <w:pPr>
        <w:spacing w:after="0" w:line="271" w:lineRule="exact"/>
        <w:rPr>
          <w:sz w:val="20"/>
          <w:szCs w:val="20"/>
          <w:color w:val="auto"/>
        </w:rPr>
      </w:pPr>
    </w:p>
    <w:p>
      <w:pPr>
        <w:ind w:left="1620"/>
        <w:spacing w:after="0"/>
        <w:rPr>
          <w:sz w:val="20"/>
          <w:szCs w:val="20"/>
          <w:color w:val="auto"/>
        </w:rPr>
      </w:pPr>
      <w:r>
        <w:rPr>
          <w:rFonts w:ascii="Arial" w:cs="Arial" w:eastAsia="Arial" w:hAnsi="Arial"/>
          <w:sz w:val="14"/>
          <w:szCs w:val="14"/>
          <w:color w:val="auto"/>
        </w:rPr>
        <w:t>EXPENSES AND OTHER INCOME</w:t>
      </w:r>
    </w:p>
    <w:p>
      <w:pPr>
        <w:spacing w:after="0" w:line="55" w:lineRule="exact"/>
        <w:rPr>
          <w:sz w:val="20"/>
          <w:szCs w:val="20"/>
          <w:color w:val="auto"/>
        </w:rPr>
      </w:pPr>
    </w:p>
    <w:p>
      <w:pPr>
        <w:ind w:left="1620"/>
        <w:spacing w:after="0"/>
        <w:rPr>
          <w:sz w:val="20"/>
          <w:szCs w:val="20"/>
          <w:color w:val="auto"/>
        </w:rPr>
      </w:pPr>
      <w:r>
        <w:rPr>
          <w:rFonts w:ascii="Arial" w:cs="Arial" w:eastAsia="Arial" w:hAnsi="Arial"/>
          <w:sz w:val="14"/>
          <w:szCs w:val="14"/>
          <w:color w:val="auto"/>
        </w:rPr>
        <w:t>Sempra Utilities:</w:t>
      </w:r>
    </w:p>
    <w:p>
      <w:pPr>
        <w:spacing w:after="0" w:line="55" w:lineRule="exact"/>
        <w:rPr>
          <w:sz w:val="20"/>
          <w:szCs w:val="20"/>
          <w:color w:val="auto"/>
        </w:rPr>
      </w:pPr>
    </w:p>
    <w:p>
      <w:pPr>
        <w:ind w:left="1780"/>
        <w:spacing w:after="0"/>
        <w:rPr>
          <w:sz w:val="20"/>
          <w:szCs w:val="20"/>
          <w:color w:val="auto"/>
        </w:rPr>
      </w:pPr>
      <w:r>
        <w:rPr>
          <w:rFonts w:ascii="Arial" w:cs="Arial" w:eastAsia="Arial" w:hAnsi="Arial"/>
          <w:sz w:val="14"/>
          <w:szCs w:val="14"/>
          <w:color w:val="auto"/>
        </w:rPr>
        <w:t>Cost of natural gas</w:t>
      </w:r>
    </w:p>
    <w:p>
      <w:pPr>
        <w:spacing w:after="0" w:line="55" w:lineRule="exact"/>
        <w:rPr>
          <w:sz w:val="20"/>
          <w:szCs w:val="20"/>
          <w:color w:val="auto"/>
        </w:rPr>
      </w:pPr>
    </w:p>
    <w:p>
      <w:pPr>
        <w:ind w:left="1780"/>
        <w:spacing w:after="0"/>
        <w:rPr>
          <w:sz w:val="20"/>
          <w:szCs w:val="20"/>
          <w:color w:val="auto"/>
        </w:rPr>
      </w:pPr>
      <w:r>
        <w:rPr>
          <w:rFonts w:ascii="Arial" w:cs="Arial" w:eastAsia="Arial" w:hAnsi="Arial"/>
          <w:sz w:val="14"/>
          <w:szCs w:val="14"/>
          <w:color w:val="auto"/>
        </w:rPr>
        <w:t>Cost of electric fuel and purchased power</w:t>
      </w:r>
    </w:p>
    <w:p>
      <w:pPr>
        <w:spacing w:after="0" w:line="55" w:lineRule="exact"/>
        <w:rPr>
          <w:sz w:val="20"/>
          <w:szCs w:val="20"/>
          <w:color w:val="auto"/>
        </w:rPr>
      </w:pPr>
    </w:p>
    <w:p>
      <w:pPr>
        <w:ind w:left="1620"/>
        <w:spacing w:after="0"/>
        <w:rPr>
          <w:sz w:val="20"/>
          <w:szCs w:val="20"/>
          <w:color w:val="auto"/>
        </w:rPr>
      </w:pPr>
      <w:r>
        <w:rPr>
          <w:rFonts w:ascii="Arial" w:cs="Arial" w:eastAsia="Arial" w:hAnsi="Arial"/>
          <w:sz w:val="14"/>
          <w:szCs w:val="14"/>
          <w:color w:val="auto"/>
        </w:rPr>
        <w:t>Sempra Global and parent:</w:t>
      </w:r>
    </w:p>
    <w:p>
      <w:pPr>
        <w:spacing w:after="0" w:line="55" w:lineRule="exact"/>
        <w:rPr>
          <w:sz w:val="20"/>
          <w:szCs w:val="20"/>
          <w:color w:val="auto"/>
        </w:rPr>
      </w:pPr>
    </w:p>
    <w:p>
      <w:pPr>
        <w:ind w:left="1780" w:right="220"/>
        <w:spacing w:after="0" w:line="322" w:lineRule="auto"/>
        <w:rPr>
          <w:sz w:val="20"/>
          <w:szCs w:val="20"/>
          <w:color w:val="auto"/>
        </w:rPr>
      </w:pPr>
      <w:r>
        <w:rPr>
          <w:rFonts w:ascii="Arial" w:cs="Arial" w:eastAsia="Arial" w:hAnsi="Arial"/>
          <w:sz w:val="14"/>
          <w:szCs w:val="14"/>
          <w:color w:val="auto"/>
        </w:rPr>
        <w:t>Cost of natural gas, electric fuel and purchased power Other cost of sales</w:t>
      </w:r>
    </w:p>
    <w:p>
      <w:pPr>
        <w:ind w:left="1620"/>
        <w:spacing w:after="0"/>
        <w:rPr>
          <w:sz w:val="20"/>
          <w:szCs w:val="20"/>
          <w:color w:val="auto"/>
        </w:rPr>
      </w:pPr>
      <w:r>
        <w:rPr>
          <w:rFonts w:ascii="Arial" w:cs="Arial" w:eastAsia="Arial" w:hAnsi="Arial"/>
          <w:sz w:val="14"/>
          <w:szCs w:val="14"/>
          <w:color w:val="auto"/>
        </w:rPr>
        <w:t>Operation and maintenance</w:t>
      </w:r>
    </w:p>
    <w:p>
      <w:pPr>
        <w:spacing w:after="0" w:line="55" w:lineRule="exact"/>
        <w:rPr>
          <w:sz w:val="20"/>
          <w:szCs w:val="20"/>
          <w:color w:val="auto"/>
        </w:rPr>
      </w:pPr>
    </w:p>
    <w:p>
      <w:pPr>
        <w:ind w:left="1620"/>
        <w:spacing w:after="0"/>
        <w:rPr>
          <w:sz w:val="20"/>
          <w:szCs w:val="20"/>
          <w:color w:val="auto"/>
        </w:rPr>
      </w:pPr>
      <w:r>
        <w:rPr>
          <w:rFonts w:ascii="Arial" w:cs="Arial" w:eastAsia="Arial" w:hAnsi="Arial"/>
          <w:sz w:val="14"/>
          <w:szCs w:val="14"/>
          <w:color w:val="auto"/>
        </w:rPr>
        <w:t>Depreciation and amortization</w:t>
      </w:r>
    </w:p>
    <w:p>
      <w:pPr>
        <w:spacing w:after="0" w:line="55" w:lineRule="exact"/>
        <w:rPr>
          <w:sz w:val="20"/>
          <w:szCs w:val="20"/>
          <w:color w:val="auto"/>
        </w:rPr>
      </w:pPr>
    </w:p>
    <w:p>
      <w:pPr>
        <w:ind w:left="1620"/>
        <w:spacing w:after="0"/>
        <w:rPr>
          <w:sz w:val="20"/>
          <w:szCs w:val="20"/>
          <w:color w:val="auto"/>
        </w:rPr>
      </w:pPr>
      <w:r>
        <w:rPr>
          <w:rFonts w:ascii="Arial" w:cs="Arial" w:eastAsia="Arial" w:hAnsi="Arial"/>
          <w:sz w:val="14"/>
          <w:szCs w:val="14"/>
          <w:color w:val="auto"/>
        </w:rPr>
        <w:t>Franchise fees and other taxes</w:t>
      </w:r>
    </w:p>
    <w:p>
      <w:pPr>
        <w:spacing w:after="0" w:line="55" w:lineRule="exact"/>
        <w:rPr>
          <w:sz w:val="20"/>
          <w:szCs w:val="20"/>
          <w:color w:val="auto"/>
        </w:rPr>
      </w:pPr>
    </w:p>
    <w:p>
      <w:pPr>
        <w:ind w:left="1620"/>
        <w:spacing w:after="0"/>
        <w:rPr>
          <w:sz w:val="20"/>
          <w:szCs w:val="20"/>
          <w:color w:val="auto"/>
        </w:rPr>
      </w:pPr>
      <w:r>
        <w:rPr>
          <w:rFonts w:ascii="Arial" w:cs="Arial" w:eastAsia="Arial" w:hAnsi="Arial"/>
          <w:sz w:val="14"/>
          <w:szCs w:val="14"/>
          <w:color w:val="auto"/>
        </w:rPr>
        <w:t>Gains on sale of assets</w:t>
      </w:r>
    </w:p>
    <w:p>
      <w:pPr>
        <w:spacing w:after="0" w:line="55" w:lineRule="exact"/>
        <w:rPr>
          <w:sz w:val="20"/>
          <w:szCs w:val="20"/>
          <w:color w:val="auto"/>
        </w:rPr>
      </w:pPr>
    </w:p>
    <w:p>
      <w:pPr>
        <w:ind w:left="1620"/>
        <w:spacing w:after="0"/>
        <w:rPr>
          <w:sz w:val="20"/>
          <w:szCs w:val="20"/>
          <w:color w:val="auto"/>
        </w:rPr>
      </w:pPr>
      <w:r>
        <w:rPr>
          <w:rFonts w:ascii="Arial" w:cs="Arial" w:eastAsia="Arial" w:hAnsi="Arial"/>
          <w:sz w:val="14"/>
          <w:szCs w:val="14"/>
          <w:color w:val="auto"/>
        </w:rPr>
        <w:t>Equity earnings (losses):</w:t>
      </w:r>
    </w:p>
    <w:p>
      <w:pPr>
        <w:spacing w:after="0" w:line="55" w:lineRule="exact"/>
        <w:rPr>
          <w:sz w:val="20"/>
          <w:szCs w:val="20"/>
          <w:color w:val="auto"/>
        </w:rPr>
      </w:pPr>
    </w:p>
    <w:p>
      <w:pPr>
        <w:ind w:left="1780"/>
        <w:spacing w:after="0"/>
        <w:rPr>
          <w:sz w:val="20"/>
          <w:szCs w:val="20"/>
          <w:color w:val="auto"/>
        </w:rPr>
      </w:pPr>
      <w:r>
        <w:rPr>
          <w:rFonts w:ascii="Arial" w:cs="Arial" w:eastAsia="Arial" w:hAnsi="Arial"/>
          <w:sz w:val="14"/>
          <w:szCs w:val="14"/>
          <w:color w:val="auto"/>
        </w:rPr>
        <w:t>RBS Sempra Commodities LLP</w:t>
      </w:r>
    </w:p>
    <w:p>
      <w:pPr>
        <w:spacing w:after="0" w:line="55" w:lineRule="exact"/>
        <w:rPr>
          <w:sz w:val="20"/>
          <w:szCs w:val="20"/>
          <w:color w:val="auto"/>
        </w:rPr>
      </w:pPr>
    </w:p>
    <w:p>
      <w:pPr>
        <w:ind w:left="1780"/>
        <w:spacing w:after="0"/>
        <w:rPr>
          <w:sz w:val="20"/>
          <w:szCs w:val="20"/>
          <w:color w:val="auto"/>
        </w:rPr>
      </w:pPr>
      <w:r>
        <w:rPr>
          <w:rFonts w:ascii="Arial" w:cs="Arial" w:eastAsia="Arial" w:hAnsi="Arial"/>
          <w:sz w:val="14"/>
          <w:szCs w:val="14"/>
          <w:color w:val="auto"/>
        </w:rPr>
        <w:t>Other</w:t>
      </w:r>
    </w:p>
    <w:p>
      <w:pPr>
        <w:spacing w:after="0" w:line="55" w:lineRule="exact"/>
        <w:rPr>
          <w:sz w:val="20"/>
          <w:szCs w:val="20"/>
          <w:color w:val="auto"/>
        </w:rPr>
      </w:pPr>
    </w:p>
    <w:p>
      <w:pPr>
        <w:ind w:left="1620"/>
        <w:spacing w:after="0"/>
        <w:rPr>
          <w:sz w:val="20"/>
          <w:szCs w:val="20"/>
          <w:color w:val="auto"/>
        </w:rPr>
      </w:pPr>
      <w:r>
        <w:rPr>
          <w:rFonts w:ascii="Arial" w:cs="Arial" w:eastAsia="Arial" w:hAnsi="Arial"/>
          <w:sz w:val="14"/>
          <w:szCs w:val="14"/>
          <w:color w:val="auto"/>
        </w:rPr>
        <w:t>Other income (expense), net</w:t>
      </w:r>
    </w:p>
    <w:p>
      <w:pPr>
        <w:spacing w:after="0" w:line="55" w:lineRule="exact"/>
        <w:rPr>
          <w:sz w:val="20"/>
          <w:szCs w:val="20"/>
          <w:color w:val="auto"/>
        </w:rPr>
      </w:pPr>
    </w:p>
    <w:p>
      <w:pPr>
        <w:ind w:left="1620"/>
        <w:spacing w:after="0"/>
        <w:rPr>
          <w:sz w:val="20"/>
          <w:szCs w:val="20"/>
          <w:color w:val="auto"/>
        </w:rPr>
      </w:pPr>
      <w:r>
        <w:rPr>
          <w:rFonts w:ascii="Arial" w:cs="Arial" w:eastAsia="Arial" w:hAnsi="Arial"/>
          <w:sz w:val="14"/>
          <w:szCs w:val="14"/>
          <w:color w:val="auto"/>
        </w:rPr>
        <w:t>Interest income</w:t>
      </w:r>
    </w:p>
    <w:p>
      <w:pPr>
        <w:spacing w:after="0" w:line="55" w:lineRule="exact"/>
        <w:rPr>
          <w:sz w:val="20"/>
          <w:szCs w:val="20"/>
          <w:color w:val="auto"/>
        </w:rPr>
      </w:pPr>
    </w:p>
    <w:p>
      <w:pPr>
        <w:ind w:left="1620"/>
        <w:spacing w:after="0"/>
        <w:rPr>
          <w:sz w:val="20"/>
          <w:szCs w:val="20"/>
          <w:color w:val="auto"/>
        </w:rPr>
      </w:pPr>
      <w:r>
        <w:rPr>
          <w:rFonts w:ascii="Arial" w:cs="Arial" w:eastAsia="Arial" w:hAnsi="Arial"/>
          <w:sz w:val="14"/>
          <w:szCs w:val="14"/>
          <w:color w:val="auto"/>
        </w:rPr>
        <w:t>Interest expense</w:t>
      </w:r>
    </w:p>
    <w:p>
      <w:pPr>
        <w:spacing w:after="0" w:line="67" w:lineRule="exact"/>
        <w:rPr>
          <w:sz w:val="20"/>
          <w:szCs w:val="20"/>
          <w:color w:val="auto"/>
        </w:rPr>
      </w:pPr>
    </w:p>
    <w:p>
      <w:pPr>
        <w:ind w:left="1620"/>
        <w:spacing w:after="0"/>
        <w:rPr>
          <w:sz w:val="20"/>
          <w:szCs w:val="20"/>
          <w:color w:val="auto"/>
        </w:rPr>
      </w:pPr>
      <w:r>
        <w:rPr>
          <w:rFonts w:ascii="Arial" w:cs="Arial" w:eastAsia="Arial" w:hAnsi="Arial"/>
          <w:sz w:val="14"/>
          <w:szCs w:val="14"/>
          <w:color w:val="auto"/>
        </w:rPr>
        <w:t>Preferred dividends of subsidiaries</w:t>
      </w:r>
    </w:p>
    <w:p>
      <w:pPr>
        <w:spacing w:after="0" w:line="31" w:lineRule="exact"/>
        <w:rPr>
          <w:sz w:val="20"/>
          <w:szCs w:val="20"/>
          <w:color w:val="auto"/>
        </w:rPr>
      </w:pPr>
    </w:p>
    <w:p>
      <w:pPr>
        <w:ind w:left="1820" w:hanging="191"/>
        <w:spacing w:after="0" w:line="267" w:lineRule="auto"/>
        <w:rPr>
          <w:sz w:val="20"/>
          <w:szCs w:val="20"/>
          <w:color w:val="auto"/>
        </w:rPr>
      </w:pPr>
      <w:r>
        <w:rPr>
          <w:rFonts w:ascii="Arial" w:cs="Arial" w:eastAsia="Arial" w:hAnsi="Arial"/>
          <w:sz w:val="14"/>
          <w:szCs w:val="14"/>
          <w:color w:val="auto"/>
        </w:rPr>
        <w:t>Income from continuing operations before income taxes and equity earnings of certain unconsolidated subsidiaries</w:t>
      </w:r>
    </w:p>
    <w:p>
      <w:pPr>
        <w:spacing w:after="0" w:line="26" w:lineRule="exact"/>
        <w:rPr>
          <w:sz w:val="20"/>
          <w:szCs w:val="20"/>
          <w:color w:val="auto"/>
        </w:rPr>
      </w:pPr>
    </w:p>
    <w:p>
      <w:pPr>
        <w:ind w:left="1620"/>
        <w:spacing w:after="0"/>
        <w:rPr>
          <w:sz w:val="20"/>
          <w:szCs w:val="20"/>
          <w:color w:val="auto"/>
        </w:rPr>
      </w:pPr>
      <w:r>
        <w:rPr>
          <w:rFonts w:ascii="Arial" w:cs="Arial" w:eastAsia="Arial" w:hAnsi="Arial"/>
          <w:sz w:val="14"/>
          <w:szCs w:val="14"/>
          <w:color w:val="auto"/>
        </w:rPr>
        <w:t>Income tax expense</w:t>
      </w:r>
    </w:p>
    <w:p>
      <w:pPr>
        <w:spacing w:after="0" w:line="67" w:lineRule="exact"/>
        <w:rPr>
          <w:sz w:val="20"/>
          <w:szCs w:val="20"/>
          <w:color w:val="auto"/>
        </w:rPr>
      </w:pPr>
    </w:p>
    <w:p>
      <w:pPr>
        <w:ind w:left="1620"/>
        <w:spacing w:after="0"/>
        <w:rPr>
          <w:sz w:val="20"/>
          <w:szCs w:val="20"/>
          <w:color w:val="auto"/>
        </w:rPr>
      </w:pPr>
      <w:r>
        <w:rPr>
          <w:rFonts w:ascii="Arial" w:cs="Arial" w:eastAsia="Arial" w:hAnsi="Arial"/>
          <w:sz w:val="14"/>
          <w:szCs w:val="14"/>
          <w:color w:val="auto"/>
        </w:rPr>
        <w:t>Equity earnings (losses), net of income tax</w:t>
      </w:r>
    </w:p>
    <w:p>
      <w:pPr>
        <w:spacing w:after="0" w:line="55" w:lineRule="exact"/>
        <w:rPr>
          <w:sz w:val="20"/>
          <w:szCs w:val="20"/>
          <w:color w:val="auto"/>
        </w:rPr>
      </w:pPr>
    </w:p>
    <w:p>
      <w:pPr>
        <w:ind w:left="1620"/>
        <w:spacing w:after="0"/>
        <w:rPr>
          <w:sz w:val="20"/>
          <w:szCs w:val="20"/>
          <w:color w:val="auto"/>
        </w:rPr>
      </w:pPr>
      <w:r>
        <w:rPr>
          <w:rFonts w:ascii="Arial" w:cs="Arial" w:eastAsia="Arial" w:hAnsi="Arial"/>
          <w:sz w:val="14"/>
          <w:szCs w:val="14"/>
          <w:color w:val="auto"/>
        </w:rPr>
        <w:t>Income from continuing operations</w:t>
      </w:r>
    </w:p>
    <w:p>
      <w:pPr>
        <w:spacing w:after="0" w:line="67" w:lineRule="exact"/>
        <w:rPr>
          <w:sz w:val="20"/>
          <w:szCs w:val="20"/>
          <w:color w:val="auto"/>
        </w:rPr>
      </w:pPr>
    </w:p>
    <w:p>
      <w:pPr>
        <w:ind w:left="1620"/>
        <w:spacing w:after="0"/>
        <w:rPr>
          <w:sz w:val="20"/>
          <w:szCs w:val="20"/>
          <w:color w:val="auto"/>
        </w:rPr>
      </w:pPr>
      <w:r>
        <w:rPr>
          <w:rFonts w:ascii="Arial" w:cs="Arial" w:eastAsia="Arial" w:hAnsi="Arial"/>
          <w:sz w:val="14"/>
          <w:szCs w:val="14"/>
          <w:color w:val="auto"/>
        </w:rPr>
        <w:t>Discontinued operations, net of income tax</w:t>
      </w:r>
    </w:p>
    <w:p>
      <w:pPr>
        <w:spacing w:after="0" w:line="91" w:lineRule="exact"/>
        <w:rPr>
          <w:sz w:val="20"/>
          <w:szCs w:val="20"/>
          <w:color w:val="auto"/>
        </w:rPr>
      </w:pPr>
    </w:p>
    <w:p>
      <w:pPr>
        <w:ind w:left="1620"/>
        <w:spacing w:after="0"/>
        <w:rPr>
          <w:sz w:val="20"/>
          <w:szCs w:val="20"/>
          <w:color w:val="auto"/>
        </w:rPr>
      </w:pPr>
      <w:r>
        <w:rPr>
          <w:rFonts w:ascii="Arial" w:cs="Arial" w:eastAsia="Arial" w:hAnsi="Arial"/>
          <w:sz w:val="14"/>
          <w:szCs w:val="14"/>
          <w:color w:val="auto"/>
        </w:rPr>
        <w:t>Net income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2"/>
        </w:trPr>
        <w:tc>
          <w:tcPr>
            <w:tcW w:w="40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228"/>
              <w:spacing w:after="0"/>
              <w:rPr>
                <w:sz w:val="20"/>
                <w:szCs w:val="20"/>
                <w:color w:val="auto"/>
              </w:rPr>
            </w:pPr>
            <w:r>
              <w:rPr>
                <w:rFonts w:ascii="Arial" w:cs="Arial" w:eastAsia="Arial" w:hAnsi="Arial"/>
                <w:sz w:val="14"/>
                <w:szCs w:val="14"/>
                <w:color w:val="auto"/>
              </w:rPr>
              <w:t>7,972</w:t>
            </w:r>
          </w:p>
        </w:tc>
        <w:tc>
          <w:tcPr>
            <w:tcW w:w="4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228"/>
              <w:spacing w:after="0"/>
              <w:rPr>
                <w:sz w:val="20"/>
                <w:szCs w:val="20"/>
                <w:color w:val="auto"/>
              </w:rPr>
            </w:pPr>
            <w:r>
              <w:rPr>
                <w:rFonts w:ascii="Arial" w:cs="Arial" w:eastAsia="Arial" w:hAnsi="Arial"/>
                <w:sz w:val="14"/>
                <w:szCs w:val="14"/>
                <w:color w:val="auto"/>
              </w:rPr>
              <w:t>7,053</w:t>
            </w:r>
          </w:p>
        </w:tc>
        <w:tc>
          <w:tcPr>
            <w:tcW w:w="4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208"/>
              <w:spacing w:after="0"/>
              <w:rPr>
                <w:sz w:val="20"/>
                <w:szCs w:val="20"/>
                <w:color w:val="auto"/>
              </w:rPr>
            </w:pPr>
            <w:r>
              <w:rPr>
                <w:rFonts w:ascii="Arial" w:cs="Arial" w:eastAsia="Arial" w:hAnsi="Arial"/>
                <w:sz w:val="14"/>
                <w:szCs w:val="14"/>
                <w:color w:val="auto"/>
              </w:rPr>
              <w:t>6,899</w:t>
            </w:r>
          </w:p>
        </w:tc>
      </w:tr>
      <w:tr>
        <w:trPr>
          <w:trHeight w:val="219"/>
        </w:trPr>
        <w:tc>
          <w:tcPr>
            <w:tcW w:w="4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2,786</w:t>
            </w:r>
          </w:p>
        </w:tc>
        <w:tc>
          <w:tcPr>
            <w:tcW w:w="4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4,385</w:t>
            </w:r>
          </w:p>
        </w:tc>
        <w:tc>
          <w:tcPr>
            <w:tcW w:w="4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4,862</w:t>
            </w:r>
          </w:p>
        </w:tc>
      </w:tr>
      <w:tr>
        <w:trPr>
          <w:trHeight w:val="208"/>
        </w:trPr>
        <w:tc>
          <w:tcPr>
            <w:tcW w:w="4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10,758</w:t>
            </w:r>
          </w:p>
        </w:tc>
        <w:tc>
          <w:tcPr>
            <w:tcW w:w="4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11,438</w:t>
            </w:r>
          </w:p>
        </w:tc>
        <w:tc>
          <w:tcPr>
            <w:tcW w:w="4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11,761</w:t>
            </w:r>
          </w:p>
        </w:tc>
      </w:tr>
      <w:tr>
        <w:trPr>
          <w:trHeight w:val="854"/>
        </w:trPr>
        <w:tc>
          <w:tcPr>
            <w:tcW w:w="400" w:type="dxa"/>
            <w:vAlign w:val="bottom"/>
          </w:tcPr>
          <w:p>
            <w:pPr>
              <w:spacing w:after="0"/>
              <w:rPr>
                <w:sz w:val="24"/>
                <w:szCs w:val="24"/>
                <w:color w:val="auto"/>
              </w:rPr>
            </w:pPr>
          </w:p>
        </w:tc>
        <w:tc>
          <w:tcPr>
            <w:tcW w:w="900" w:type="dxa"/>
            <w:vAlign w:val="bottom"/>
          </w:tcPr>
          <w:p>
            <w:pPr>
              <w:jc w:val="right"/>
              <w:ind w:right="148"/>
              <w:spacing w:after="0"/>
              <w:rPr>
                <w:sz w:val="20"/>
                <w:szCs w:val="20"/>
                <w:color w:val="auto"/>
              </w:rPr>
            </w:pPr>
            <w:r>
              <w:rPr>
                <w:rFonts w:ascii="Arial" w:cs="Arial" w:eastAsia="Arial" w:hAnsi="Arial"/>
                <w:sz w:val="14"/>
                <w:szCs w:val="14"/>
                <w:color w:val="auto"/>
              </w:rPr>
              <w:t>(3,244 )</w:t>
            </w:r>
          </w:p>
        </w:tc>
        <w:tc>
          <w:tcPr>
            <w:tcW w:w="460" w:type="dxa"/>
            <w:vAlign w:val="bottom"/>
          </w:tcPr>
          <w:p>
            <w:pPr>
              <w:spacing w:after="0"/>
              <w:rPr>
                <w:sz w:val="24"/>
                <w:szCs w:val="24"/>
                <w:color w:val="auto"/>
              </w:rPr>
            </w:pPr>
          </w:p>
        </w:tc>
        <w:tc>
          <w:tcPr>
            <w:tcW w:w="900" w:type="dxa"/>
            <w:vAlign w:val="bottom"/>
          </w:tcPr>
          <w:p>
            <w:pPr>
              <w:jc w:val="right"/>
              <w:ind w:right="168"/>
              <w:spacing w:after="0"/>
              <w:rPr>
                <w:sz w:val="20"/>
                <w:szCs w:val="20"/>
                <w:color w:val="auto"/>
              </w:rPr>
            </w:pPr>
            <w:r>
              <w:rPr>
                <w:rFonts w:ascii="Arial" w:cs="Arial" w:eastAsia="Arial" w:hAnsi="Arial"/>
                <w:sz w:val="14"/>
                <w:szCs w:val="14"/>
                <w:color w:val="auto"/>
              </w:rPr>
              <w:t>(2,763 )</w:t>
            </w:r>
          </w:p>
        </w:tc>
        <w:tc>
          <w:tcPr>
            <w:tcW w:w="460" w:type="dxa"/>
            <w:vAlign w:val="bottom"/>
          </w:tcPr>
          <w:p>
            <w:pPr>
              <w:spacing w:after="0"/>
              <w:rPr>
                <w:sz w:val="24"/>
                <w:szCs w:val="24"/>
                <w:color w:val="auto"/>
              </w:rPr>
            </w:pPr>
          </w:p>
        </w:tc>
        <w:tc>
          <w:tcPr>
            <w:tcW w:w="880" w:type="dxa"/>
            <w:vAlign w:val="bottom"/>
          </w:tcPr>
          <w:p>
            <w:pPr>
              <w:jc w:val="right"/>
              <w:ind w:right="148"/>
              <w:spacing w:after="0"/>
              <w:rPr>
                <w:sz w:val="20"/>
                <w:szCs w:val="20"/>
                <w:color w:val="auto"/>
              </w:rPr>
            </w:pPr>
            <w:r>
              <w:rPr>
                <w:rFonts w:ascii="Arial" w:cs="Arial" w:eastAsia="Arial" w:hAnsi="Arial"/>
                <w:sz w:val="14"/>
                <w:szCs w:val="14"/>
                <w:color w:val="auto"/>
              </w:rPr>
              <w:t>(2,756 )</w:t>
            </w:r>
          </w:p>
        </w:tc>
      </w:tr>
      <w:tr>
        <w:trPr>
          <w:trHeight w:val="216"/>
        </w:trPr>
        <w:tc>
          <w:tcPr>
            <w:tcW w:w="400" w:type="dxa"/>
            <w:vAlign w:val="bottom"/>
          </w:tcPr>
          <w:p>
            <w:pPr>
              <w:spacing w:after="0"/>
              <w:rPr>
                <w:sz w:val="18"/>
                <w:szCs w:val="18"/>
                <w:color w:val="auto"/>
              </w:rPr>
            </w:pPr>
          </w:p>
        </w:tc>
        <w:tc>
          <w:tcPr>
            <w:tcW w:w="900" w:type="dxa"/>
            <w:vAlign w:val="bottom"/>
          </w:tcPr>
          <w:p>
            <w:pPr>
              <w:jc w:val="right"/>
              <w:ind w:right="148"/>
              <w:spacing w:after="0"/>
              <w:rPr>
                <w:sz w:val="20"/>
                <w:szCs w:val="20"/>
                <w:color w:val="auto"/>
              </w:rPr>
            </w:pPr>
            <w:r>
              <w:rPr>
                <w:rFonts w:ascii="Arial" w:cs="Arial" w:eastAsia="Arial" w:hAnsi="Arial"/>
                <w:sz w:val="14"/>
                <w:szCs w:val="14"/>
                <w:color w:val="auto"/>
              </w:rPr>
              <w:t>(900 )</w:t>
            </w:r>
          </w:p>
        </w:tc>
        <w:tc>
          <w:tcPr>
            <w:tcW w:w="460" w:type="dxa"/>
            <w:vAlign w:val="bottom"/>
          </w:tcPr>
          <w:p>
            <w:pPr>
              <w:spacing w:after="0"/>
              <w:rPr>
                <w:sz w:val="18"/>
                <w:szCs w:val="18"/>
                <w:color w:val="auto"/>
              </w:rPr>
            </w:pPr>
          </w:p>
        </w:tc>
        <w:tc>
          <w:tcPr>
            <w:tcW w:w="900" w:type="dxa"/>
            <w:vAlign w:val="bottom"/>
          </w:tcPr>
          <w:p>
            <w:pPr>
              <w:jc w:val="right"/>
              <w:ind w:right="168"/>
              <w:spacing w:after="0"/>
              <w:rPr>
                <w:sz w:val="20"/>
                <w:szCs w:val="20"/>
                <w:color w:val="auto"/>
              </w:rPr>
            </w:pPr>
            <w:r>
              <w:rPr>
                <w:rFonts w:ascii="Arial" w:cs="Arial" w:eastAsia="Arial" w:hAnsi="Arial"/>
                <w:sz w:val="14"/>
                <w:szCs w:val="14"/>
                <w:color w:val="auto"/>
              </w:rPr>
              <w:t>(699 )</w:t>
            </w:r>
          </w:p>
        </w:tc>
        <w:tc>
          <w:tcPr>
            <w:tcW w:w="460" w:type="dxa"/>
            <w:vAlign w:val="bottom"/>
          </w:tcPr>
          <w:p>
            <w:pPr>
              <w:spacing w:after="0"/>
              <w:rPr>
                <w:sz w:val="18"/>
                <w:szCs w:val="18"/>
                <w:color w:val="auto"/>
              </w:rPr>
            </w:pPr>
          </w:p>
        </w:tc>
        <w:tc>
          <w:tcPr>
            <w:tcW w:w="880" w:type="dxa"/>
            <w:vAlign w:val="bottom"/>
          </w:tcPr>
          <w:p>
            <w:pPr>
              <w:jc w:val="right"/>
              <w:ind w:right="148"/>
              <w:spacing w:after="0"/>
              <w:rPr>
                <w:sz w:val="20"/>
                <w:szCs w:val="20"/>
                <w:color w:val="auto"/>
              </w:rPr>
            </w:pPr>
            <w:r>
              <w:rPr>
                <w:rFonts w:ascii="Arial" w:cs="Arial" w:eastAsia="Arial" w:hAnsi="Arial"/>
                <w:sz w:val="14"/>
                <w:szCs w:val="14"/>
                <w:color w:val="auto"/>
              </w:rPr>
              <w:t>(721 )</w:t>
            </w:r>
          </w:p>
        </w:tc>
      </w:tr>
      <w:tr>
        <w:trPr>
          <w:trHeight w:val="432"/>
        </w:trPr>
        <w:tc>
          <w:tcPr>
            <w:tcW w:w="400" w:type="dxa"/>
            <w:vAlign w:val="bottom"/>
          </w:tcPr>
          <w:p>
            <w:pPr>
              <w:spacing w:after="0"/>
              <w:rPr>
                <w:sz w:val="24"/>
                <w:szCs w:val="24"/>
                <w:color w:val="auto"/>
              </w:rPr>
            </w:pPr>
          </w:p>
        </w:tc>
        <w:tc>
          <w:tcPr>
            <w:tcW w:w="900" w:type="dxa"/>
            <w:vAlign w:val="bottom"/>
          </w:tcPr>
          <w:p>
            <w:pPr>
              <w:jc w:val="right"/>
              <w:ind w:right="148"/>
              <w:spacing w:after="0"/>
              <w:rPr>
                <w:sz w:val="20"/>
                <w:szCs w:val="20"/>
                <w:color w:val="auto"/>
              </w:rPr>
            </w:pPr>
            <w:r>
              <w:rPr>
                <w:rFonts w:ascii="Arial" w:cs="Arial" w:eastAsia="Arial" w:hAnsi="Arial"/>
                <w:sz w:val="14"/>
                <w:szCs w:val="14"/>
                <w:color w:val="auto"/>
              </w:rPr>
              <w:t>(1,671 )</w:t>
            </w:r>
          </w:p>
        </w:tc>
        <w:tc>
          <w:tcPr>
            <w:tcW w:w="460" w:type="dxa"/>
            <w:vAlign w:val="bottom"/>
          </w:tcPr>
          <w:p>
            <w:pPr>
              <w:spacing w:after="0"/>
              <w:rPr>
                <w:sz w:val="24"/>
                <w:szCs w:val="24"/>
                <w:color w:val="auto"/>
              </w:rPr>
            </w:pPr>
          </w:p>
        </w:tc>
        <w:tc>
          <w:tcPr>
            <w:tcW w:w="900" w:type="dxa"/>
            <w:vAlign w:val="bottom"/>
          </w:tcPr>
          <w:p>
            <w:pPr>
              <w:jc w:val="right"/>
              <w:ind w:right="168"/>
              <w:spacing w:after="0"/>
              <w:rPr>
                <w:sz w:val="20"/>
                <w:szCs w:val="20"/>
                <w:color w:val="auto"/>
              </w:rPr>
            </w:pPr>
            <w:r>
              <w:rPr>
                <w:rFonts w:ascii="Arial" w:cs="Arial" w:eastAsia="Arial" w:hAnsi="Arial"/>
                <w:sz w:val="14"/>
                <w:szCs w:val="14"/>
                <w:color w:val="auto"/>
              </w:rPr>
              <w:t>(1,302 )</w:t>
            </w:r>
          </w:p>
        </w:tc>
        <w:tc>
          <w:tcPr>
            <w:tcW w:w="460" w:type="dxa"/>
            <w:vAlign w:val="bottom"/>
          </w:tcPr>
          <w:p>
            <w:pPr>
              <w:spacing w:after="0"/>
              <w:rPr>
                <w:sz w:val="24"/>
                <w:szCs w:val="24"/>
                <w:color w:val="auto"/>
              </w:rPr>
            </w:pPr>
          </w:p>
        </w:tc>
        <w:tc>
          <w:tcPr>
            <w:tcW w:w="880" w:type="dxa"/>
            <w:vAlign w:val="bottom"/>
          </w:tcPr>
          <w:p>
            <w:pPr>
              <w:jc w:val="right"/>
              <w:ind w:right="148"/>
              <w:spacing w:after="0"/>
              <w:rPr>
                <w:sz w:val="20"/>
                <w:szCs w:val="20"/>
                <w:color w:val="auto"/>
              </w:rPr>
            </w:pPr>
            <w:r>
              <w:rPr>
                <w:rFonts w:ascii="Arial" w:cs="Arial" w:eastAsia="Arial" w:hAnsi="Arial"/>
                <w:sz w:val="14"/>
                <w:szCs w:val="14"/>
                <w:color w:val="auto"/>
              </w:rPr>
              <w:t>(1,221 )</w:t>
            </w:r>
          </w:p>
        </w:tc>
      </w:tr>
      <w:tr>
        <w:trPr>
          <w:trHeight w:val="216"/>
        </w:trPr>
        <w:tc>
          <w:tcPr>
            <w:tcW w:w="400" w:type="dxa"/>
            <w:vAlign w:val="bottom"/>
          </w:tcPr>
          <w:p>
            <w:pPr>
              <w:spacing w:after="0"/>
              <w:rPr>
                <w:sz w:val="18"/>
                <w:szCs w:val="18"/>
                <w:color w:val="auto"/>
              </w:rPr>
            </w:pPr>
          </w:p>
        </w:tc>
        <w:tc>
          <w:tcPr>
            <w:tcW w:w="900" w:type="dxa"/>
            <w:vAlign w:val="bottom"/>
          </w:tcPr>
          <w:p>
            <w:pPr>
              <w:jc w:val="right"/>
              <w:ind w:right="148"/>
              <w:spacing w:after="0"/>
              <w:rPr>
                <w:sz w:val="20"/>
                <w:szCs w:val="20"/>
                <w:color w:val="auto"/>
              </w:rPr>
            </w:pPr>
            <w:r>
              <w:rPr>
                <w:rFonts w:ascii="Arial" w:cs="Arial" w:eastAsia="Arial" w:hAnsi="Arial"/>
                <w:sz w:val="14"/>
                <w:szCs w:val="14"/>
                <w:color w:val="auto"/>
              </w:rPr>
              <w:t>(182 )</w:t>
            </w:r>
          </w:p>
        </w:tc>
        <w:tc>
          <w:tcPr>
            <w:tcW w:w="460" w:type="dxa"/>
            <w:vAlign w:val="bottom"/>
          </w:tcPr>
          <w:p>
            <w:pPr>
              <w:spacing w:after="0"/>
              <w:rPr>
                <w:sz w:val="18"/>
                <w:szCs w:val="18"/>
                <w:color w:val="auto"/>
              </w:rPr>
            </w:pPr>
          </w:p>
        </w:tc>
        <w:tc>
          <w:tcPr>
            <w:tcW w:w="900" w:type="dxa"/>
            <w:vAlign w:val="bottom"/>
          </w:tcPr>
          <w:p>
            <w:pPr>
              <w:jc w:val="right"/>
              <w:ind w:right="168"/>
              <w:spacing w:after="0"/>
              <w:rPr>
                <w:sz w:val="20"/>
                <w:szCs w:val="20"/>
                <w:color w:val="auto"/>
              </w:rPr>
            </w:pPr>
            <w:r>
              <w:rPr>
                <w:rFonts w:ascii="Arial" w:cs="Arial" w:eastAsia="Arial" w:hAnsi="Arial"/>
                <w:sz w:val="14"/>
                <w:szCs w:val="14"/>
                <w:color w:val="auto"/>
              </w:rPr>
              <w:t>(988 )</w:t>
            </w:r>
          </w:p>
        </w:tc>
        <w:tc>
          <w:tcPr>
            <w:tcW w:w="460" w:type="dxa"/>
            <w:vAlign w:val="bottom"/>
          </w:tcPr>
          <w:p>
            <w:pPr>
              <w:spacing w:after="0"/>
              <w:rPr>
                <w:sz w:val="18"/>
                <w:szCs w:val="18"/>
                <w:color w:val="auto"/>
              </w:rPr>
            </w:pPr>
          </w:p>
        </w:tc>
        <w:tc>
          <w:tcPr>
            <w:tcW w:w="880" w:type="dxa"/>
            <w:vAlign w:val="bottom"/>
          </w:tcPr>
          <w:p>
            <w:pPr>
              <w:jc w:val="right"/>
              <w:ind w:right="148"/>
              <w:spacing w:after="0"/>
              <w:rPr>
                <w:sz w:val="20"/>
                <w:szCs w:val="20"/>
                <w:color w:val="auto"/>
              </w:rPr>
            </w:pPr>
            <w:r>
              <w:rPr>
                <w:rFonts w:ascii="Arial" w:cs="Arial" w:eastAsia="Arial" w:hAnsi="Arial"/>
                <w:sz w:val="14"/>
                <w:szCs w:val="14"/>
                <w:color w:val="auto"/>
              </w:rPr>
              <w:t>(1,468 )</w:t>
            </w:r>
          </w:p>
        </w:tc>
      </w:tr>
      <w:tr>
        <w:trPr>
          <w:trHeight w:val="216"/>
        </w:trPr>
        <w:tc>
          <w:tcPr>
            <w:tcW w:w="400" w:type="dxa"/>
            <w:vAlign w:val="bottom"/>
          </w:tcPr>
          <w:p>
            <w:pPr>
              <w:spacing w:after="0"/>
              <w:rPr>
                <w:sz w:val="18"/>
                <w:szCs w:val="18"/>
                <w:color w:val="auto"/>
              </w:rPr>
            </w:pPr>
          </w:p>
        </w:tc>
        <w:tc>
          <w:tcPr>
            <w:tcW w:w="900" w:type="dxa"/>
            <w:vAlign w:val="bottom"/>
          </w:tcPr>
          <w:p>
            <w:pPr>
              <w:jc w:val="right"/>
              <w:ind w:right="148"/>
              <w:spacing w:after="0"/>
              <w:rPr>
                <w:sz w:val="20"/>
                <w:szCs w:val="20"/>
                <w:color w:val="auto"/>
              </w:rPr>
            </w:pPr>
            <w:r>
              <w:rPr>
                <w:rFonts w:ascii="Arial" w:cs="Arial" w:eastAsia="Arial" w:hAnsi="Arial"/>
                <w:sz w:val="14"/>
                <w:szCs w:val="14"/>
                <w:color w:val="auto"/>
              </w:rPr>
              <w:t>(2,536 )</w:t>
            </w:r>
          </w:p>
        </w:tc>
        <w:tc>
          <w:tcPr>
            <w:tcW w:w="460" w:type="dxa"/>
            <w:vAlign w:val="bottom"/>
          </w:tcPr>
          <w:p>
            <w:pPr>
              <w:spacing w:after="0"/>
              <w:rPr>
                <w:sz w:val="18"/>
                <w:szCs w:val="18"/>
                <w:color w:val="auto"/>
              </w:rPr>
            </w:pPr>
          </w:p>
        </w:tc>
        <w:tc>
          <w:tcPr>
            <w:tcW w:w="900" w:type="dxa"/>
            <w:vAlign w:val="bottom"/>
          </w:tcPr>
          <w:p>
            <w:pPr>
              <w:jc w:val="right"/>
              <w:ind w:right="168"/>
              <w:spacing w:after="0"/>
              <w:rPr>
                <w:sz w:val="20"/>
                <w:szCs w:val="20"/>
                <w:color w:val="auto"/>
              </w:rPr>
            </w:pPr>
            <w:r>
              <w:rPr>
                <w:rFonts w:ascii="Arial" w:cs="Arial" w:eastAsia="Arial" w:hAnsi="Arial"/>
                <w:sz w:val="14"/>
                <w:szCs w:val="14"/>
                <w:color w:val="auto"/>
              </w:rPr>
              <w:t>(3,032 )</w:t>
            </w:r>
          </w:p>
        </w:tc>
        <w:tc>
          <w:tcPr>
            <w:tcW w:w="460" w:type="dxa"/>
            <w:vAlign w:val="bottom"/>
          </w:tcPr>
          <w:p>
            <w:pPr>
              <w:spacing w:after="0"/>
              <w:rPr>
                <w:sz w:val="18"/>
                <w:szCs w:val="18"/>
                <w:color w:val="auto"/>
              </w:rPr>
            </w:pPr>
          </w:p>
        </w:tc>
        <w:tc>
          <w:tcPr>
            <w:tcW w:w="880" w:type="dxa"/>
            <w:vAlign w:val="bottom"/>
          </w:tcPr>
          <w:p>
            <w:pPr>
              <w:jc w:val="right"/>
              <w:ind w:right="148"/>
              <w:spacing w:after="0"/>
              <w:rPr>
                <w:sz w:val="20"/>
                <w:szCs w:val="20"/>
                <w:color w:val="auto"/>
              </w:rPr>
            </w:pPr>
            <w:r>
              <w:rPr>
                <w:rFonts w:ascii="Arial" w:cs="Arial" w:eastAsia="Arial" w:hAnsi="Arial"/>
                <w:sz w:val="14"/>
                <w:szCs w:val="14"/>
                <w:color w:val="auto"/>
              </w:rPr>
              <w:t>(2,879 )</w:t>
            </w:r>
          </w:p>
        </w:tc>
      </w:tr>
      <w:tr>
        <w:trPr>
          <w:trHeight w:val="216"/>
        </w:trPr>
        <w:tc>
          <w:tcPr>
            <w:tcW w:w="400" w:type="dxa"/>
            <w:vAlign w:val="bottom"/>
          </w:tcPr>
          <w:p>
            <w:pPr>
              <w:spacing w:after="0"/>
              <w:rPr>
                <w:sz w:val="18"/>
                <w:szCs w:val="18"/>
                <w:color w:val="auto"/>
              </w:rPr>
            </w:pPr>
          </w:p>
        </w:tc>
        <w:tc>
          <w:tcPr>
            <w:tcW w:w="900" w:type="dxa"/>
            <w:vAlign w:val="bottom"/>
          </w:tcPr>
          <w:p>
            <w:pPr>
              <w:jc w:val="right"/>
              <w:ind w:right="148"/>
              <w:spacing w:after="0"/>
              <w:rPr>
                <w:sz w:val="20"/>
                <w:szCs w:val="20"/>
                <w:color w:val="auto"/>
              </w:rPr>
            </w:pPr>
            <w:r>
              <w:rPr>
                <w:rFonts w:ascii="Arial" w:cs="Arial" w:eastAsia="Arial" w:hAnsi="Arial"/>
                <w:sz w:val="14"/>
                <w:szCs w:val="14"/>
                <w:color w:val="auto"/>
              </w:rPr>
              <w:t>(687 )</w:t>
            </w:r>
          </w:p>
        </w:tc>
        <w:tc>
          <w:tcPr>
            <w:tcW w:w="460" w:type="dxa"/>
            <w:vAlign w:val="bottom"/>
          </w:tcPr>
          <w:p>
            <w:pPr>
              <w:spacing w:after="0"/>
              <w:rPr>
                <w:sz w:val="18"/>
                <w:szCs w:val="18"/>
                <w:color w:val="auto"/>
              </w:rPr>
            </w:pPr>
          </w:p>
        </w:tc>
        <w:tc>
          <w:tcPr>
            <w:tcW w:w="900" w:type="dxa"/>
            <w:vAlign w:val="bottom"/>
          </w:tcPr>
          <w:p>
            <w:pPr>
              <w:jc w:val="right"/>
              <w:ind w:right="168"/>
              <w:spacing w:after="0"/>
              <w:rPr>
                <w:sz w:val="20"/>
                <w:szCs w:val="20"/>
                <w:color w:val="auto"/>
              </w:rPr>
            </w:pPr>
            <w:r>
              <w:rPr>
                <w:rFonts w:ascii="Arial" w:cs="Arial" w:eastAsia="Arial" w:hAnsi="Arial"/>
                <w:sz w:val="14"/>
                <w:szCs w:val="14"/>
                <w:color w:val="auto"/>
              </w:rPr>
              <w:t>(686 )</w:t>
            </w:r>
          </w:p>
        </w:tc>
        <w:tc>
          <w:tcPr>
            <w:tcW w:w="460" w:type="dxa"/>
            <w:vAlign w:val="bottom"/>
          </w:tcPr>
          <w:p>
            <w:pPr>
              <w:spacing w:after="0"/>
              <w:rPr>
                <w:sz w:val="18"/>
                <w:szCs w:val="18"/>
                <w:color w:val="auto"/>
              </w:rPr>
            </w:pPr>
          </w:p>
        </w:tc>
        <w:tc>
          <w:tcPr>
            <w:tcW w:w="880" w:type="dxa"/>
            <w:vAlign w:val="bottom"/>
          </w:tcPr>
          <w:p>
            <w:pPr>
              <w:jc w:val="right"/>
              <w:ind w:right="148"/>
              <w:spacing w:after="0"/>
              <w:rPr>
                <w:sz w:val="20"/>
                <w:szCs w:val="20"/>
                <w:color w:val="auto"/>
              </w:rPr>
            </w:pPr>
            <w:r>
              <w:rPr>
                <w:rFonts w:ascii="Arial" w:cs="Arial" w:eastAsia="Arial" w:hAnsi="Arial"/>
                <w:sz w:val="14"/>
                <w:szCs w:val="14"/>
                <w:color w:val="auto"/>
              </w:rPr>
              <w:t>(657 )</w:t>
            </w:r>
          </w:p>
        </w:tc>
      </w:tr>
      <w:tr>
        <w:trPr>
          <w:trHeight w:val="216"/>
        </w:trPr>
        <w:tc>
          <w:tcPr>
            <w:tcW w:w="400" w:type="dxa"/>
            <w:vAlign w:val="bottom"/>
          </w:tcPr>
          <w:p>
            <w:pPr>
              <w:spacing w:after="0"/>
              <w:rPr>
                <w:sz w:val="18"/>
                <w:szCs w:val="18"/>
                <w:color w:val="auto"/>
              </w:rPr>
            </w:pPr>
          </w:p>
        </w:tc>
        <w:tc>
          <w:tcPr>
            <w:tcW w:w="900" w:type="dxa"/>
            <w:vAlign w:val="bottom"/>
          </w:tcPr>
          <w:p>
            <w:pPr>
              <w:jc w:val="right"/>
              <w:ind w:right="148"/>
              <w:spacing w:after="0"/>
              <w:rPr>
                <w:sz w:val="20"/>
                <w:szCs w:val="20"/>
                <w:color w:val="auto"/>
              </w:rPr>
            </w:pPr>
            <w:r>
              <w:rPr>
                <w:rFonts w:ascii="Arial" w:cs="Arial" w:eastAsia="Arial" w:hAnsi="Arial"/>
                <w:sz w:val="14"/>
                <w:szCs w:val="14"/>
                <w:color w:val="auto"/>
              </w:rPr>
              <w:t>(312 )</w:t>
            </w:r>
          </w:p>
        </w:tc>
        <w:tc>
          <w:tcPr>
            <w:tcW w:w="460" w:type="dxa"/>
            <w:vAlign w:val="bottom"/>
          </w:tcPr>
          <w:p>
            <w:pPr>
              <w:spacing w:after="0"/>
              <w:rPr>
                <w:sz w:val="18"/>
                <w:szCs w:val="18"/>
                <w:color w:val="auto"/>
              </w:rPr>
            </w:pPr>
          </w:p>
        </w:tc>
        <w:tc>
          <w:tcPr>
            <w:tcW w:w="900" w:type="dxa"/>
            <w:vAlign w:val="bottom"/>
          </w:tcPr>
          <w:p>
            <w:pPr>
              <w:jc w:val="right"/>
              <w:ind w:right="168"/>
              <w:spacing w:after="0"/>
              <w:rPr>
                <w:sz w:val="20"/>
                <w:szCs w:val="20"/>
                <w:color w:val="auto"/>
              </w:rPr>
            </w:pPr>
            <w:r>
              <w:rPr>
                <w:rFonts w:ascii="Arial" w:cs="Arial" w:eastAsia="Arial" w:hAnsi="Arial"/>
                <w:sz w:val="14"/>
                <w:szCs w:val="14"/>
                <w:color w:val="auto"/>
              </w:rPr>
              <w:t>(295 )</w:t>
            </w:r>
          </w:p>
        </w:tc>
        <w:tc>
          <w:tcPr>
            <w:tcW w:w="460" w:type="dxa"/>
            <w:vAlign w:val="bottom"/>
          </w:tcPr>
          <w:p>
            <w:pPr>
              <w:spacing w:after="0"/>
              <w:rPr>
                <w:sz w:val="18"/>
                <w:szCs w:val="18"/>
                <w:color w:val="auto"/>
              </w:rPr>
            </w:pPr>
          </w:p>
        </w:tc>
        <w:tc>
          <w:tcPr>
            <w:tcW w:w="880" w:type="dxa"/>
            <w:vAlign w:val="bottom"/>
          </w:tcPr>
          <w:p>
            <w:pPr>
              <w:jc w:val="right"/>
              <w:ind w:right="148"/>
              <w:spacing w:after="0"/>
              <w:rPr>
                <w:sz w:val="20"/>
                <w:szCs w:val="20"/>
                <w:color w:val="auto"/>
              </w:rPr>
            </w:pPr>
            <w:r>
              <w:rPr>
                <w:rFonts w:ascii="Arial" w:cs="Arial" w:eastAsia="Arial" w:hAnsi="Arial"/>
                <w:sz w:val="14"/>
                <w:szCs w:val="14"/>
                <w:color w:val="auto"/>
              </w:rPr>
              <w:t>(275 )</w:t>
            </w:r>
          </w:p>
        </w:tc>
      </w:tr>
      <w:tr>
        <w:trPr>
          <w:trHeight w:val="216"/>
        </w:trPr>
        <w:tc>
          <w:tcPr>
            <w:tcW w:w="400" w:type="dxa"/>
            <w:vAlign w:val="bottom"/>
          </w:tcPr>
          <w:p>
            <w:pPr>
              <w:spacing w:after="0"/>
              <w:rPr>
                <w:sz w:val="18"/>
                <w:szCs w:val="18"/>
                <w:color w:val="auto"/>
              </w:rPr>
            </w:pPr>
          </w:p>
        </w:tc>
        <w:tc>
          <w:tcPr>
            <w:tcW w:w="900" w:type="dxa"/>
            <w:vAlign w:val="bottom"/>
          </w:tcPr>
          <w:p>
            <w:pPr>
              <w:jc w:val="right"/>
              <w:ind w:right="228"/>
              <w:spacing w:after="0"/>
              <w:rPr>
                <w:sz w:val="20"/>
                <w:szCs w:val="20"/>
                <w:color w:val="auto"/>
              </w:rPr>
            </w:pPr>
            <w:r>
              <w:rPr>
                <w:rFonts w:ascii="Arial" w:cs="Arial" w:eastAsia="Arial" w:hAnsi="Arial"/>
                <w:sz w:val="14"/>
                <w:szCs w:val="14"/>
                <w:color w:val="auto"/>
              </w:rPr>
              <w:t>114</w:t>
            </w:r>
          </w:p>
        </w:tc>
        <w:tc>
          <w:tcPr>
            <w:tcW w:w="460" w:type="dxa"/>
            <w:vAlign w:val="bottom"/>
          </w:tcPr>
          <w:p>
            <w:pPr>
              <w:spacing w:after="0"/>
              <w:rPr>
                <w:sz w:val="18"/>
                <w:szCs w:val="18"/>
                <w:color w:val="auto"/>
              </w:rPr>
            </w:pPr>
          </w:p>
        </w:tc>
        <w:tc>
          <w:tcPr>
            <w:tcW w:w="900" w:type="dxa"/>
            <w:vAlign w:val="bottom"/>
          </w:tcPr>
          <w:p>
            <w:pPr>
              <w:jc w:val="right"/>
              <w:ind w:right="228"/>
              <w:spacing w:after="0"/>
              <w:rPr>
                <w:sz w:val="20"/>
                <w:szCs w:val="20"/>
                <w:color w:val="auto"/>
              </w:rPr>
            </w:pPr>
            <w:r>
              <w:rPr>
                <w:rFonts w:ascii="Arial" w:cs="Arial" w:eastAsia="Arial" w:hAnsi="Arial"/>
                <w:sz w:val="14"/>
                <w:szCs w:val="14"/>
                <w:color w:val="auto"/>
              </w:rPr>
              <w:t>6</w:t>
            </w:r>
          </w:p>
        </w:tc>
        <w:tc>
          <w:tcPr>
            <w:tcW w:w="460" w:type="dxa"/>
            <w:vAlign w:val="bottom"/>
          </w:tcPr>
          <w:p>
            <w:pPr>
              <w:spacing w:after="0"/>
              <w:rPr>
                <w:sz w:val="18"/>
                <w:szCs w:val="18"/>
                <w:color w:val="auto"/>
              </w:rPr>
            </w:pPr>
          </w:p>
        </w:tc>
        <w:tc>
          <w:tcPr>
            <w:tcW w:w="880" w:type="dxa"/>
            <w:vAlign w:val="bottom"/>
          </w:tcPr>
          <w:p>
            <w:pPr>
              <w:jc w:val="right"/>
              <w:ind w:right="208"/>
              <w:spacing w:after="0"/>
              <w:rPr>
                <w:sz w:val="20"/>
                <w:szCs w:val="20"/>
                <w:color w:val="auto"/>
              </w:rPr>
            </w:pPr>
            <w:r>
              <w:rPr>
                <w:rFonts w:ascii="Arial" w:cs="Arial" w:eastAsia="Arial" w:hAnsi="Arial"/>
                <w:sz w:val="14"/>
                <w:szCs w:val="14"/>
                <w:color w:val="auto"/>
              </w:rPr>
              <w:t>1</w:t>
            </w:r>
          </w:p>
        </w:tc>
      </w:tr>
      <w:tr>
        <w:trPr>
          <w:trHeight w:val="432"/>
        </w:trPr>
        <w:tc>
          <w:tcPr>
            <w:tcW w:w="400" w:type="dxa"/>
            <w:vAlign w:val="bottom"/>
          </w:tcPr>
          <w:p>
            <w:pPr>
              <w:spacing w:after="0"/>
              <w:rPr>
                <w:sz w:val="24"/>
                <w:szCs w:val="24"/>
                <w:color w:val="auto"/>
              </w:rPr>
            </w:pPr>
          </w:p>
        </w:tc>
        <w:tc>
          <w:tcPr>
            <w:tcW w:w="900" w:type="dxa"/>
            <w:vAlign w:val="bottom"/>
          </w:tcPr>
          <w:p>
            <w:pPr>
              <w:jc w:val="right"/>
              <w:ind w:right="228"/>
              <w:spacing w:after="0"/>
              <w:rPr>
                <w:sz w:val="20"/>
                <w:szCs w:val="20"/>
                <w:color w:val="auto"/>
              </w:rPr>
            </w:pPr>
            <w:r>
              <w:rPr>
                <w:rFonts w:ascii="Arial" w:cs="Arial" w:eastAsia="Arial" w:hAnsi="Arial"/>
                <w:sz w:val="14"/>
                <w:szCs w:val="14"/>
                <w:color w:val="auto"/>
              </w:rPr>
              <w:t>383</w:t>
            </w:r>
          </w:p>
        </w:tc>
        <w:tc>
          <w:tcPr>
            <w:tcW w:w="460" w:type="dxa"/>
            <w:vAlign w:val="bottom"/>
          </w:tcPr>
          <w:p>
            <w:pPr>
              <w:spacing w:after="0"/>
              <w:rPr>
                <w:sz w:val="24"/>
                <w:szCs w:val="24"/>
                <w:color w:val="auto"/>
              </w:rPr>
            </w:pPr>
          </w:p>
        </w:tc>
        <w:tc>
          <w:tcPr>
            <w:tcW w:w="90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24"/>
                <w:szCs w:val="24"/>
                <w:color w:val="auto"/>
              </w:rPr>
            </w:pPr>
          </w:p>
        </w:tc>
        <w:tc>
          <w:tcPr>
            <w:tcW w:w="880" w:type="dxa"/>
            <w:vAlign w:val="bottom"/>
          </w:tcPr>
          <w:p>
            <w:pPr>
              <w:jc w:val="right"/>
              <w:ind w:right="208"/>
              <w:spacing w:after="0"/>
              <w:rPr>
                <w:sz w:val="20"/>
                <w:szCs w:val="20"/>
                <w:color w:val="auto"/>
              </w:rPr>
            </w:pPr>
            <w:r>
              <w:rPr>
                <w:rFonts w:ascii="Arial" w:cs="Arial" w:eastAsia="Arial" w:hAnsi="Arial"/>
                <w:sz w:val="14"/>
                <w:szCs w:val="14"/>
                <w:color w:val="auto"/>
              </w:rPr>
              <w:t>--</w:t>
            </w:r>
          </w:p>
        </w:tc>
      </w:tr>
      <w:tr>
        <w:trPr>
          <w:trHeight w:val="216"/>
        </w:trPr>
        <w:tc>
          <w:tcPr>
            <w:tcW w:w="400" w:type="dxa"/>
            <w:vAlign w:val="bottom"/>
          </w:tcPr>
          <w:p>
            <w:pPr>
              <w:spacing w:after="0"/>
              <w:rPr>
                <w:sz w:val="18"/>
                <w:szCs w:val="18"/>
                <w:color w:val="auto"/>
              </w:rPr>
            </w:pPr>
          </w:p>
        </w:tc>
        <w:tc>
          <w:tcPr>
            <w:tcW w:w="900" w:type="dxa"/>
            <w:vAlign w:val="bottom"/>
          </w:tcPr>
          <w:p>
            <w:pPr>
              <w:jc w:val="right"/>
              <w:ind w:right="228"/>
              <w:spacing w:after="0"/>
              <w:rPr>
                <w:sz w:val="20"/>
                <w:szCs w:val="20"/>
                <w:color w:val="auto"/>
              </w:rPr>
            </w:pPr>
            <w:r>
              <w:rPr>
                <w:rFonts w:ascii="Arial" w:cs="Arial" w:eastAsia="Arial" w:hAnsi="Arial"/>
                <w:sz w:val="14"/>
                <w:szCs w:val="14"/>
                <w:color w:val="auto"/>
              </w:rPr>
              <w:t>37</w:t>
            </w:r>
          </w:p>
        </w:tc>
        <w:tc>
          <w:tcPr>
            <w:tcW w:w="460" w:type="dxa"/>
            <w:vAlign w:val="bottom"/>
          </w:tcPr>
          <w:p>
            <w:pPr>
              <w:spacing w:after="0"/>
              <w:rPr>
                <w:sz w:val="18"/>
                <w:szCs w:val="18"/>
                <w:color w:val="auto"/>
              </w:rPr>
            </w:pPr>
          </w:p>
        </w:tc>
        <w:tc>
          <w:tcPr>
            <w:tcW w:w="900" w:type="dxa"/>
            <w:vAlign w:val="bottom"/>
          </w:tcPr>
          <w:p>
            <w:pPr>
              <w:jc w:val="right"/>
              <w:ind w:right="168"/>
              <w:spacing w:after="0"/>
              <w:rPr>
                <w:sz w:val="20"/>
                <w:szCs w:val="20"/>
                <w:color w:val="auto"/>
              </w:rPr>
            </w:pPr>
            <w:r>
              <w:rPr>
                <w:rFonts w:ascii="Arial" w:cs="Arial" w:eastAsia="Arial" w:hAnsi="Arial"/>
                <w:sz w:val="14"/>
                <w:szCs w:val="14"/>
                <w:color w:val="auto"/>
              </w:rPr>
              <w:t>(9 )</w:t>
            </w:r>
          </w:p>
        </w:tc>
        <w:tc>
          <w:tcPr>
            <w:tcW w:w="460" w:type="dxa"/>
            <w:vAlign w:val="bottom"/>
          </w:tcPr>
          <w:p>
            <w:pPr>
              <w:spacing w:after="0"/>
              <w:rPr>
                <w:sz w:val="18"/>
                <w:szCs w:val="18"/>
                <w:color w:val="auto"/>
              </w:rPr>
            </w:pPr>
          </w:p>
        </w:tc>
        <w:tc>
          <w:tcPr>
            <w:tcW w:w="880" w:type="dxa"/>
            <w:vAlign w:val="bottom"/>
          </w:tcPr>
          <w:p>
            <w:pPr>
              <w:jc w:val="right"/>
              <w:ind w:right="208"/>
              <w:spacing w:after="0"/>
              <w:rPr>
                <w:sz w:val="20"/>
                <w:szCs w:val="20"/>
                <w:color w:val="auto"/>
              </w:rPr>
            </w:pPr>
            <w:r>
              <w:rPr>
                <w:rFonts w:ascii="Arial" w:cs="Arial" w:eastAsia="Arial" w:hAnsi="Arial"/>
                <w:sz w:val="14"/>
                <w:szCs w:val="14"/>
                <w:color w:val="auto"/>
              </w:rPr>
              <w:t>338</w:t>
            </w:r>
          </w:p>
        </w:tc>
      </w:tr>
      <w:tr>
        <w:trPr>
          <w:trHeight w:val="216"/>
        </w:trPr>
        <w:tc>
          <w:tcPr>
            <w:tcW w:w="400" w:type="dxa"/>
            <w:vAlign w:val="bottom"/>
          </w:tcPr>
          <w:p>
            <w:pPr>
              <w:spacing w:after="0"/>
              <w:rPr>
                <w:sz w:val="18"/>
                <w:szCs w:val="18"/>
                <w:color w:val="auto"/>
              </w:rPr>
            </w:pPr>
          </w:p>
        </w:tc>
        <w:tc>
          <w:tcPr>
            <w:tcW w:w="900" w:type="dxa"/>
            <w:vAlign w:val="bottom"/>
          </w:tcPr>
          <w:p>
            <w:pPr>
              <w:jc w:val="right"/>
              <w:ind w:right="148"/>
              <w:spacing w:after="0"/>
              <w:rPr>
                <w:sz w:val="20"/>
                <w:szCs w:val="20"/>
                <w:color w:val="auto"/>
              </w:rPr>
            </w:pPr>
            <w:r>
              <w:rPr>
                <w:rFonts w:ascii="Arial" w:cs="Arial" w:eastAsia="Arial" w:hAnsi="Arial"/>
                <w:sz w:val="14"/>
                <w:szCs w:val="14"/>
                <w:color w:val="auto"/>
              </w:rPr>
              <w:t>(54 )</w:t>
            </w:r>
          </w:p>
        </w:tc>
        <w:tc>
          <w:tcPr>
            <w:tcW w:w="460" w:type="dxa"/>
            <w:vAlign w:val="bottom"/>
          </w:tcPr>
          <w:p>
            <w:pPr>
              <w:spacing w:after="0"/>
              <w:rPr>
                <w:sz w:val="18"/>
                <w:szCs w:val="18"/>
                <w:color w:val="auto"/>
              </w:rPr>
            </w:pPr>
          </w:p>
        </w:tc>
        <w:tc>
          <w:tcPr>
            <w:tcW w:w="900" w:type="dxa"/>
            <w:vAlign w:val="bottom"/>
          </w:tcPr>
          <w:p>
            <w:pPr>
              <w:jc w:val="right"/>
              <w:ind w:right="228"/>
              <w:spacing w:after="0"/>
              <w:rPr>
                <w:sz w:val="20"/>
                <w:szCs w:val="20"/>
                <w:color w:val="auto"/>
              </w:rPr>
            </w:pPr>
            <w:r>
              <w:rPr>
                <w:rFonts w:ascii="Arial" w:cs="Arial" w:eastAsia="Arial" w:hAnsi="Arial"/>
                <w:sz w:val="14"/>
                <w:szCs w:val="14"/>
                <w:color w:val="auto"/>
              </w:rPr>
              <w:t>90</w:t>
            </w:r>
          </w:p>
        </w:tc>
        <w:tc>
          <w:tcPr>
            <w:tcW w:w="460" w:type="dxa"/>
            <w:vAlign w:val="bottom"/>
          </w:tcPr>
          <w:p>
            <w:pPr>
              <w:spacing w:after="0"/>
              <w:rPr>
                <w:sz w:val="18"/>
                <w:szCs w:val="18"/>
                <w:color w:val="auto"/>
              </w:rPr>
            </w:pPr>
          </w:p>
        </w:tc>
        <w:tc>
          <w:tcPr>
            <w:tcW w:w="880" w:type="dxa"/>
            <w:vAlign w:val="bottom"/>
          </w:tcPr>
          <w:p>
            <w:pPr>
              <w:jc w:val="right"/>
              <w:ind w:right="208"/>
              <w:spacing w:after="0"/>
              <w:rPr>
                <w:sz w:val="20"/>
                <w:szCs w:val="20"/>
                <w:color w:val="auto"/>
              </w:rPr>
            </w:pPr>
            <w:r>
              <w:rPr>
                <w:rFonts w:ascii="Arial" w:cs="Arial" w:eastAsia="Arial" w:hAnsi="Arial"/>
                <w:sz w:val="14"/>
                <w:szCs w:val="14"/>
                <w:color w:val="auto"/>
              </w:rPr>
              <w:t>43</w:t>
            </w:r>
          </w:p>
        </w:tc>
      </w:tr>
      <w:tr>
        <w:trPr>
          <w:trHeight w:val="216"/>
        </w:trPr>
        <w:tc>
          <w:tcPr>
            <w:tcW w:w="400" w:type="dxa"/>
            <w:vAlign w:val="bottom"/>
          </w:tcPr>
          <w:p>
            <w:pPr>
              <w:spacing w:after="0"/>
              <w:rPr>
                <w:sz w:val="18"/>
                <w:szCs w:val="18"/>
                <w:color w:val="auto"/>
              </w:rPr>
            </w:pPr>
          </w:p>
        </w:tc>
        <w:tc>
          <w:tcPr>
            <w:tcW w:w="900" w:type="dxa"/>
            <w:vAlign w:val="bottom"/>
          </w:tcPr>
          <w:p>
            <w:pPr>
              <w:jc w:val="right"/>
              <w:ind w:right="228"/>
              <w:spacing w:after="0"/>
              <w:rPr>
                <w:sz w:val="20"/>
                <w:szCs w:val="20"/>
                <w:color w:val="auto"/>
              </w:rPr>
            </w:pPr>
            <w:r>
              <w:rPr>
                <w:rFonts w:ascii="Arial" w:cs="Arial" w:eastAsia="Arial" w:hAnsi="Arial"/>
                <w:sz w:val="14"/>
                <w:szCs w:val="14"/>
                <w:color w:val="auto"/>
              </w:rPr>
              <w:t>45</w:t>
            </w:r>
          </w:p>
        </w:tc>
        <w:tc>
          <w:tcPr>
            <w:tcW w:w="460" w:type="dxa"/>
            <w:vAlign w:val="bottom"/>
          </w:tcPr>
          <w:p>
            <w:pPr>
              <w:spacing w:after="0"/>
              <w:rPr>
                <w:sz w:val="18"/>
                <w:szCs w:val="18"/>
                <w:color w:val="auto"/>
              </w:rPr>
            </w:pPr>
          </w:p>
        </w:tc>
        <w:tc>
          <w:tcPr>
            <w:tcW w:w="900" w:type="dxa"/>
            <w:vAlign w:val="bottom"/>
          </w:tcPr>
          <w:p>
            <w:pPr>
              <w:jc w:val="right"/>
              <w:ind w:right="228"/>
              <w:spacing w:after="0"/>
              <w:rPr>
                <w:sz w:val="20"/>
                <w:szCs w:val="20"/>
                <w:color w:val="auto"/>
              </w:rPr>
            </w:pPr>
            <w:r>
              <w:rPr>
                <w:rFonts w:ascii="Arial" w:cs="Arial" w:eastAsia="Arial" w:hAnsi="Arial"/>
                <w:sz w:val="14"/>
                <w:szCs w:val="14"/>
                <w:color w:val="auto"/>
              </w:rPr>
              <w:t>72</w:t>
            </w:r>
          </w:p>
        </w:tc>
        <w:tc>
          <w:tcPr>
            <w:tcW w:w="460" w:type="dxa"/>
            <w:vAlign w:val="bottom"/>
          </w:tcPr>
          <w:p>
            <w:pPr>
              <w:spacing w:after="0"/>
              <w:rPr>
                <w:sz w:val="18"/>
                <w:szCs w:val="18"/>
                <w:color w:val="auto"/>
              </w:rPr>
            </w:pPr>
          </w:p>
        </w:tc>
        <w:tc>
          <w:tcPr>
            <w:tcW w:w="880" w:type="dxa"/>
            <w:vAlign w:val="bottom"/>
          </w:tcPr>
          <w:p>
            <w:pPr>
              <w:jc w:val="right"/>
              <w:ind w:right="208"/>
              <w:spacing w:after="0"/>
              <w:rPr>
                <w:sz w:val="20"/>
                <w:szCs w:val="20"/>
                <w:color w:val="auto"/>
              </w:rPr>
            </w:pPr>
            <w:r>
              <w:rPr>
                <w:rFonts w:ascii="Arial" w:cs="Arial" w:eastAsia="Arial" w:hAnsi="Arial"/>
                <w:sz w:val="14"/>
                <w:szCs w:val="14"/>
                <w:color w:val="auto"/>
              </w:rPr>
              <w:t>109</w:t>
            </w:r>
          </w:p>
        </w:tc>
      </w:tr>
      <w:tr>
        <w:trPr>
          <w:trHeight w:val="216"/>
        </w:trPr>
        <w:tc>
          <w:tcPr>
            <w:tcW w:w="400" w:type="dxa"/>
            <w:vAlign w:val="bottom"/>
          </w:tcPr>
          <w:p>
            <w:pPr>
              <w:spacing w:after="0"/>
              <w:rPr>
                <w:sz w:val="18"/>
                <w:szCs w:val="18"/>
                <w:color w:val="auto"/>
              </w:rPr>
            </w:pPr>
          </w:p>
        </w:tc>
        <w:tc>
          <w:tcPr>
            <w:tcW w:w="900" w:type="dxa"/>
            <w:vAlign w:val="bottom"/>
          </w:tcPr>
          <w:p>
            <w:pPr>
              <w:jc w:val="right"/>
              <w:ind w:right="148"/>
              <w:spacing w:after="0"/>
              <w:rPr>
                <w:sz w:val="20"/>
                <w:szCs w:val="20"/>
                <w:color w:val="auto"/>
              </w:rPr>
            </w:pPr>
            <w:r>
              <w:rPr>
                <w:rFonts w:ascii="Arial" w:cs="Arial" w:eastAsia="Arial" w:hAnsi="Arial"/>
                <w:sz w:val="14"/>
                <w:szCs w:val="14"/>
                <w:color w:val="auto"/>
              </w:rPr>
              <w:t>(253 )</w:t>
            </w:r>
          </w:p>
        </w:tc>
        <w:tc>
          <w:tcPr>
            <w:tcW w:w="460" w:type="dxa"/>
            <w:vAlign w:val="bottom"/>
          </w:tcPr>
          <w:p>
            <w:pPr>
              <w:spacing w:after="0"/>
              <w:rPr>
                <w:sz w:val="18"/>
                <w:szCs w:val="18"/>
                <w:color w:val="auto"/>
              </w:rPr>
            </w:pPr>
          </w:p>
        </w:tc>
        <w:tc>
          <w:tcPr>
            <w:tcW w:w="900" w:type="dxa"/>
            <w:vAlign w:val="bottom"/>
          </w:tcPr>
          <w:p>
            <w:pPr>
              <w:jc w:val="right"/>
              <w:ind w:right="168"/>
              <w:spacing w:after="0"/>
              <w:rPr>
                <w:sz w:val="20"/>
                <w:szCs w:val="20"/>
                <w:color w:val="auto"/>
              </w:rPr>
            </w:pPr>
            <w:r>
              <w:rPr>
                <w:rFonts w:ascii="Arial" w:cs="Arial" w:eastAsia="Arial" w:hAnsi="Arial"/>
                <w:sz w:val="14"/>
                <w:szCs w:val="14"/>
                <w:color w:val="auto"/>
              </w:rPr>
              <w:t>(272 )</w:t>
            </w:r>
          </w:p>
        </w:tc>
        <w:tc>
          <w:tcPr>
            <w:tcW w:w="460" w:type="dxa"/>
            <w:vAlign w:val="bottom"/>
          </w:tcPr>
          <w:p>
            <w:pPr>
              <w:spacing w:after="0"/>
              <w:rPr>
                <w:sz w:val="18"/>
                <w:szCs w:val="18"/>
                <w:color w:val="auto"/>
              </w:rPr>
            </w:pPr>
          </w:p>
        </w:tc>
        <w:tc>
          <w:tcPr>
            <w:tcW w:w="880" w:type="dxa"/>
            <w:vAlign w:val="bottom"/>
          </w:tcPr>
          <w:p>
            <w:pPr>
              <w:jc w:val="right"/>
              <w:ind w:right="148"/>
              <w:spacing w:after="0"/>
              <w:rPr>
                <w:sz w:val="20"/>
                <w:szCs w:val="20"/>
                <w:color w:val="auto"/>
              </w:rPr>
            </w:pPr>
            <w:r>
              <w:rPr>
                <w:rFonts w:ascii="Arial" w:cs="Arial" w:eastAsia="Arial" w:hAnsi="Arial"/>
                <w:sz w:val="14"/>
                <w:szCs w:val="14"/>
                <w:color w:val="auto"/>
              </w:rPr>
              <w:t>(351 )</w:t>
            </w:r>
          </w:p>
        </w:tc>
      </w:tr>
      <w:tr>
        <w:trPr>
          <w:trHeight w:val="219"/>
        </w:trPr>
        <w:tc>
          <w:tcPr>
            <w:tcW w:w="4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(10 )</w:t>
            </w:r>
          </w:p>
        </w:tc>
        <w:tc>
          <w:tcPr>
            <w:tcW w:w="4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(10 )</w:t>
            </w:r>
          </w:p>
        </w:tc>
        <w:tc>
          <w:tcPr>
            <w:tcW w:w="4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(10 )</w:t>
            </w:r>
          </w:p>
        </w:tc>
      </w:tr>
      <w:tr>
        <w:trPr>
          <w:trHeight w:val="349"/>
        </w:trPr>
        <w:tc>
          <w:tcPr>
            <w:tcW w:w="400" w:type="dxa"/>
            <w:vAlign w:val="bottom"/>
          </w:tcPr>
          <w:p>
            <w:pPr>
              <w:spacing w:after="0"/>
              <w:rPr>
                <w:sz w:val="24"/>
                <w:szCs w:val="24"/>
                <w:color w:val="auto"/>
              </w:rPr>
            </w:pPr>
          </w:p>
        </w:tc>
        <w:tc>
          <w:tcPr>
            <w:tcW w:w="900" w:type="dxa"/>
            <w:vAlign w:val="bottom"/>
          </w:tcPr>
          <w:p>
            <w:pPr>
              <w:jc w:val="right"/>
              <w:ind w:right="228"/>
              <w:spacing w:after="0"/>
              <w:rPr>
                <w:sz w:val="20"/>
                <w:szCs w:val="20"/>
                <w:color w:val="auto"/>
              </w:rPr>
            </w:pPr>
            <w:r>
              <w:rPr>
                <w:rFonts w:ascii="Arial" w:cs="Arial" w:eastAsia="Arial" w:hAnsi="Arial"/>
                <w:sz w:val="14"/>
                <w:szCs w:val="14"/>
                <w:color w:val="auto"/>
              </w:rPr>
              <w:t>1,488</w:t>
            </w:r>
          </w:p>
        </w:tc>
        <w:tc>
          <w:tcPr>
            <w:tcW w:w="460" w:type="dxa"/>
            <w:vAlign w:val="bottom"/>
          </w:tcPr>
          <w:p>
            <w:pPr>
              <w:spacing w:after="0"/>
              <w:rPr>
                <w:sz w:val="24"/>
                <w:szCs w:val="24"/>
                <w:color w:val="auto"/>
              </w:rPr>
            </w:pPr>
          </w:p>
        </w:tc>
        <w:tc>
          <w:tcPr>
            <w:tcW w:w="900" w:type="dxa"/>
            <w:vAlign w:val="bottom"/>
          </w:tcPr>
          <w:p>
            <w:pPr>
              <w:jc w:val="right"/>
              <w:ind w:right="228"/>
              <w:spacing w:after="0"/>
              <w:rPr>
                <w:sz w:val="20"/>
                <w:szCs w:val="20"/>
                <w:color w:val="auto"/>
              </w:rPr>
            </w:pPr>
            <w:r>
              <w:rPr>
                <w:rFonts w:ascii="Arial" w:cs="Arial" w:eastAsia="Arial" w:hAnsi="Arial"/>
                <w:sz w:val="14"/>
                <w:szCs w:val="14"/>
                <w:color w:val="auto"/>
              </w:rPr>
              <w:t>1,550</w:t>
            </w:r>
          </w:p>
        </w:tc>
        <w:tc>
          <w:tcPr>
            <w:tcW w:w="460" w:type="dxa"/>
            <w:vAlign w:val="bottom"/>
          </w:tcPr>
          <w:p>
            <w:pPr>
              <w:spacing w:after="0"/>
              <w:rPr>
                <w:sz w:val="24"/>
                <w:szCs w:val="24"/>
                <w:color w:val="auto"/>
              </w:rPr>
            </w:pPr>
          </w:p>
        </w:tc>
        <w:tc>
          <w:tcPr>
            <w:tcW w:w="880" w:type="dxa"/>
            <w:vAlign w:val="bottom"/>
          </w:tcPr>
          <w:p>
            <w:pPr>
              <w:jc w:val="right"/>
              <w:ind w:right="208"/>
              <w:spacing w:after="0"/>
              <w:rPr>
                <w:sz w:val="20"/>
                <w:szCs w:val="20"/>
                <w:color w:val="auto"/>
              </w:rPr>
            </w:pPr>
            <w:r>
              <w:rPr>
                <w:rFonts w:ascii="Arial" w:cs="Arial" w:eastAsia="Arial" w:hAnsi="Arial"/>
                <w:sz w:val="14"/>
                <w:szCs w:val="14"/>
                <w:color w:val="auto"/>
              </w:rPr>
              <w:t>1,914</w:t>
            </w:r>
          </w:p>
        </w:tc>
      </w:tr>
      <w:tr>
        <w:trPr>
          <w:trHeight w:val="216"/>
        </w:trPr>
        <w:tc>
          <w:tcPr>
            <w:tcW w:w="400" w:type="dxa"/>
            <w:vAlign w:val="bottom"/>
          </w:tcPr>
          <w:p>
            <w:pPr>
              <w:spacing w:after="0"/>
              <w:rPr>
                <w:sz w:val="18"/>
                <w:szCs w:val="18"/>
                <w:color w:val="auto"/>
              </w:rPr>
            </w:pPr>
          </w:p>
        </w:tc>
        <w:tc>
          <w:tcPr>
            <w:tcW w:w="900" w:type="dxa"/>
            <w:vAlign w:val="bottom"/>
          </w:tcPr>
          <w:p>
            <w:pPr>
              <w:jc w:val="right"/>
              <w:ind w:right="148"/>
              <w:spacing w:after="0"/>
              <w:rPr>
                <w:sz w:val="20"/>
                <w:szCs w:val="20"/>
                <w:color w:val="auto"/>
              </w:rPr>
            </w:pPr>
            <w:r>
              <w:rPr>
                <w:rFonts w:ascii="Arial" w:cs="Arial" w:eastAsia="Arial" w:hAnsi="Arial"/>
                <w:sz w:val="14"/>
                <w:szCs w:val="14"/>
                <w:color w:val="auto"/>
              </w:rPr>
              <w:t>(438 )</w:t>
            </w:r>
          </w:p>
        </w:tc>
        <w:tc>
          <w:tcPr>
            <w:tcW w:w="460" w:type="dxa"/>
            <w:vAlign w:val="bottom"/>
          </w:tcPr>
          <w:p>
            <w:pPr>
              <w:spacing w:after="0"/>
              <w:rPr>
                <w:sz w:val="18"/>
                <w:szCs w:val="18"/>
                <w:color w:val="auto"/>
              </w:rPr>
            </w:pPr>
          </w:p>
        </w:tc>
        <w:tc>
          <w:tcPr>
            <w:tcW w:w="900" w:type="dxa"/>
            <w:vAlign w:val="bottom"/>
          </w:tcPr>
          <w:p>
            <w:pPr>
              <w:jc w:val="right"/>
              <w:ind w:right="168"/>
              <w:spacing w:after="0"/>
              <w:rPr>
                <w:sz w:val="20"/>
                <w:szCs w:val="20"/>
                <w:color w:val="auto"/>
              </w:rPr>
            </w:pPr>
            <w:r>
              <w:rPr>
                <w:rFonts w:ascii="Arial" w:cs="Arial" w:eastAsia="Arial" w:hAnsi="Arial"/>
                <w:sz w:val="14"/>
                <w:szCs w:val="14"/>
                <w:color w:val="auto"/>
              </w:rPr>
              <w:t>(524 )</w:t>
            </w:r>
          </w:p>
        </w:tc>
        <w:tc>
          <w:tcPr>
            <w:tcW w:w="460" w:type="dxa"/>
            <w:vAlign w:val="bottom"/>
          </w:tcPr>
          <w:p>
            <w:pPr>
              <w:spacing w:after="0"/>
              <w:rPr>
                <w:sz w:val="18"/>
                <w:szCs w:val="18"/>
                <w:color w:val="auto"/>
              </w:rPr>
            </w:pPr>
          </w:p>
        </w:tc>
        <w:tc>
          <w:tcPr>
            <w:tcW w:w="880" w:type="dxa"/>
            <w:vAlign w:val="bottom"/>
          </w:tcPr>
          <w:p>
            <w:pPr>
              <w:jc w:val="right"/>
              <w:ind w:right="148"/>
              <w:spacing w:after="0"/>
              <w:rPr>
                <w:sz w:val="20"/>
                <w:szCs w:val="20"/>
                <w:color w:val="auto"/>
              </w:rPr>
            </w:pPr>
            <w:r>
              <w:rPr>
                <w:rFonts w:ascii="Arial" w:cs="Arial" w:eastAsia="Arial" w:hAnsi="Arial"/>
                <w:sz w:val="14"/>
                <w:szCs w:val="14"/>
                <w:color w:val="auto"/>
              </w:rPr>
              <w:t>(641 )</w:t>
            </w:r>
          </w:p>
        </w:tc>
      </w:tr>
      <w:tr>
        <w:trPr>
          <w:trHeight w:val="219"/>
        </w:trPr>
        <w:tc>
          <w:tcPr>
            <w:tcW w:w="4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63</w:t>
            </w:r>
          </w:p>
        </w:tc>
        <w:tc>
          <w:tcPr>
            <w:tcW w:w="4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99</w:t>
            </w:r>
          </w:p>
        </w:tc>
        <w:tc>
          <w:tcPr>
            <w:tcW w:w="4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(182 )</w:t>
            </w:r>
          </w:p>
        </w:tc>
      </w:tr>
      <w:tr>
        <w:trPr>
          <w:trHeight w:val="205"/>
        </w:trPr>
        <w:tc>
          <w:tcPr>
            <w:tcW w:w="400" w:type="dxa"/>
            <w:vAlign w:val="bottom"/>
          </w:tcPr>
          <w:p>
            <w:pPr>
              <w:spacing w:after="0"/>
              <w:rPr>
                <w:sz w:val="17"/>
                <w:szCs w:val="17"/>
                <w:color w:val="auto"/>
              </w:rPr>
            </w:pPr>
          </w:p>
        </w:tc>
        <w:tc>
          <w:tcPr>
            <w:tcW w:w="900" w:type="dxa"/>
            <w:vAlign w:val="bottom"/>
          </w:tcPr>
          <w:p>
            <w:pPr>
              <w:jc w:val="right"/>
              <w:ind w:right="228"/>
              <w:spacing w:after="0"/>
              <w:rPr>
                <w:sz w:val="20"/>
                <w:szCs w:val="20"/>
                <w:color w:val="auto"/>
              </w:rPr>
            </w:pPr>
            <w:r>
              <w:rPr>
                <w:rFonts w:ascii="Arial" w:cs="Arial" w:eastAsia="Arial" w:hAnsi="Arial"/>
                <w:sz w:val="14"/>
                <w:szCs w:val="14"/>
                <w:color w:val="auto"/>
              </w:rPr>
              <w:t>1,113</w:t>
            </w:r>
          </w:p>
        </w:tc>
        <w:tc>
          <w:tcPr>
            <w:tcW w:w="460" w:type="dxa"/>
            <w:vAlign w:val="bottom"/>
          </w:tcPr>
          <w:p>
            <w:pPr>
              <w:spacing w:after="0"/>
              <w:rPr>
                <w:sz w:val="17"/>
                <w:szCs w:val="17"/>
                <w:color w:val="auto"/>
              </w:rPr>
            </w:pPr>
          </w:p>
        </w:tc>
        <w:tc>
          <w:tcPr>
            <w:tcW w:w="900" w:type="dxa"/>
            <w:vAlign w:val="bottom"/>
          </w:tcPr>
          <w:p>
            <w:pPr>
              <w:jc w:val="right"/>
              <w:ind w:right="228"/>
              <w:spacing w:after="0"/>
              <w:rPr>
                <w:sz w:val="20"/>
                <w:szCs w:val="20"/>
                <w:color w:val="auto"/>
              </w:rPr>
            </w:pPr>
            <w:r>
              <w:rPr>
                <w:rFonts w:ascii="Arial" w:cs="Arial" w:eastAsia="Arial" w:hAnsi="Arial"/>
                <w:sz w:val="14"/>
                <w:szCs w:val="14"/>
                <w:color w:val="auto"/>
              </w:rPr>
              <w:t>1,125</w:t>
            </w:r>
          </w:p>
        </w:tc>
        <w:tc>
          <w:tcPr>
            <w:tcW w:w="460" w:type="dxa"/>
            <w:vAlign w:val="bottom"/>
          </w:tcPr>
          <w:p>
            <w:pPr>
              <w:spacing w:after="0"/>
              <w:rPr>
                <w:sz w:val="17"/>
                <w:szCs w:val="17"/>
                <w:color w:val="auto"/>
              </w:rPr>
            </w:pPr>
          </w:p>
        </w:tc>
        <w:tc>
          <w:tcPr>
            <w:tcW w:w="880" w:type="dxa"/>
            <w:vAlign w:val="bottom"/>
          </w:tcPr>
          <w:p>
            <w:pPr>
              <w:jc w:val="right"/>
              <w:ind w:right="208"/>
              <w:spacing w:after="0"/>
              <w:rPr>
                <w:sz w:val="20"/>
                <w:szCs w:val="20"/>
                <w:color w:val="auto"/>
              </w:rPr>
            </w:pPr>
            <w:r>
              <w:rPr>
                <w:rFonts w:ascii="Arial" w:cs="Arial" w:eastAsia="Arial" w:hAnsi="Arial"/>
                <w:sz w:val="14"/>
                <w:szCs w:val="14"/>
                <w:color w:val="auto"/>
              </w:rPr>
              <w:t>1,091</w:t>
            </w:r>
          </w:p>
        </w:tc>
      </w:tr>
      <w:tr>
        <w:trPr>
          <w:trHeight w:val="219"/>
        </w:trPr>
        <w:tc>
          <w:tcPr>
            <w:tcW w:w="4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w:t>
            </w:r>
          </w:p>
        </w:tc>
        <w:tc>
          <w:tcPr>
            <w:tcW w:w="4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(26 )</w:t>
            </w:r>
          </w:p>
        </w:tc>
        <w:tc>
          <w:tcPr>
            <w:tcW w:w="4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315</w:t>
            </w:r>
          </w:p>
        </w:tc>
      </w:tr>
      <w:tr>
        <w:trPr>
          <w:trHeight w:val="227"/>
        </w:trPr>
        <w:tc>
          <w:tcPr>
            <w:tcW w:w="4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1,113</w:t>
            </w:r>
          </w:p>
        </w:tc>
        <w:tc>
          <w:tcPr>
            <w:tcW w:w="4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1,099</w:t>
            </w:r>
          </w:p>
        </w:tc>
        <w:tc>
          <w:tcPr>
            <w:tcW w:w="4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1,406</w:t>
            </w:r>
          </w:p>
        </w:tc>
      </w:tr>
    </w:tbl>
    <w:p>
      <w:pPr>
        <w:spacing w:after="0" w:line="200" w:lineRule="exact"/>
        <w:rPr>
          <w:sz w:val="20"/>
          <w:szCs w:val="20"/>
          <w:color w:val="auto"/>
        </w:rPr>
      </w:pPr>
    </w:p>
    <w:p>
      <w:pPr>
        <w:sectPr>
          <w:pgSz w:w="11900" w:h="16838" w:orient="portrait"/>
          <w:cols w:equalWidth="0" w:num="2">
            <w:col w:w="5460" w:space="360"/>
            <w:col w:w="4399"/>
          </w:cols>
          <w:pgMar w:left="240" w:top="628" w:right="1440" w:bottom="1440" w:gutter="0" w:footer="0" w:header="0"/>
          <w:type w:val="continuous"/>
        </w:sectPr>
      </w:pPr>
    </w:p>
    <w:p>
      <w:pPr>
        <w:spacing w:after="0" w:line="54" w:lineRule="exact"/>
        <w:rPr>
          <w:sz w:val="20"/>
          <w:szCs w:val="20"/>
          <w:color w:val="auto"/>
        </w:rPr>
      </w:pPr>
    </w:p>
    <w:tbl>
      <w:tblPr>
        <w:tblLayout w:type="fixed"/>
        <w:tblInd w:w="1620" w:type="dxa"/>
        <w:tblCellMar>
          <w:top w:w="0" w:type="dxa"/>
          <w:left w:w="0" w:type="dxa"/>
          <w:bottom w:w="0" w:type="dxa"/>
          <w:right w:w="0" w:type="dxa"/>
        </w:tblCellMar>
      </w:tblPr>
      <w:tr>
        <w:trPr>
          <w:trHeight w:val="172"/>
        </w:trPr>
        <w:tc>
          <w:tcPr>
            <w:tcW w:w="4200" w:type="dxa"/>
            <w:vAlign w:val="bottom"/>
          </w:tcPr>
          <w:p>
            <w:pPr>
              <w:spacing w:after="0"/>
              <w:rPr>
                <w:sz w:val="20"/>
                <w:szCs w:val="20"/>
                <w:color w:val="auto"/>
              </w:rPr>
            </w:pPr>
            <w:r>
              <w:rPr>
                <w:rFonts w:ascii="Arial" w:cs="Arial" w:eastAsia="Arial" w:hAnsi="Arial"/>
                <w:sz w:val="14"/>
                <w:szCs w:val="14"/>
                <w:color w:val="auto"/>
              </w:rPr>
              <w:t>Basic earnings per share:</w:t>
            </w: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216"/>
        </w:trPr>
        <w:tc>
          <w:tcPr>
            <w:tcW w:w="4200" w:type="dxa"/>
            <w:vAlign w:val="bottom"/>
          </w:tcPr>
          <w:p>
            <w:pPr>
              <w:ind w:left="160"/>
              <w:spacing w:after="0"/>
              <w:rPr>
                <w:sz w:val="20"/>
                <w:szCs w:val="20"/>
                <w:color w:val="auto"/>
              </w:rPr>
            </w:pPr>
            <w:r>
              <w:rPr>
                <w:rFonts w:ascii="Arial" w:cs="Arial" w:eastAsia="Arial" w:hAnsi="Arial"/>
                <w:sz w:val="14"/>
                <w:szCs w:val="14"/>
                <w:color w:val="auto"/>
              </w:rPr>
              <w:t>Income from continuing operations</w:t>
            </w:r>
          </w:p>
        </w:tc>
        <w:tc>
          <w:tcPr>
            <w:tcW w:w="3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188"/>
              <w:spacing w:after="0"/>
              <w:rPr>
                <w:sz w:val="20"/>
                <w:szCs w:val="20"/>
                <w:color w:val="auto"/>
              </w:rPr>
            </w:pPr>
            <w:r>
              <w:rPr>
                <w:rFonts w:ascii="Arial" w:cs="Arial" w:eastAsia="Arial" w:hAnsi="Arial"/>
                <w:sz w:val="14"/>
                <w:szCs w:val="14"/>
                <w:color w:val="auto"/>
              </w:rPr>
              <w:t>4.50</w:t>
            </w:r>
          </w:p>
        </w:tc>
        <w:tc>
          <w:tcPr>
            <w:tcW w:w="4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228"/>
              <w:spacing w:after="0"/>
              <w:rPr>
                <w:sz w:val="20"/>
                <w:szCs w:val="20"/>
                <w:color w:val="auto"/>
              </w:rPr>
            </w:pPr>
            <w:r>
              <w:rPr>
                <w:rFonts w:ascii="Arial" w:cs="Arial" w:eastAsia="Arial" w:hAnsi="Arial"/>
                <w:sz w:val="14"/>
                <w:szCs w:val="14"/>
                <w:color w:val="auto"/>
              </w:rPr>
              <w:t>4.34</w:t>
            </w:r>
          </w:p>
        </w:tc>
        <w:tc>
          <w:tcPr>
            <w:tcW w:w="4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208"/>
              <w:spacing w:after="0"/>
              <w:rPr>
                <w:sz w:val="20"/>
                <w:szCs w:val="20"/>
                <w:color w:val="auto"/>
              </w:rPr>
            </w:pPr>
            <w:r>
              <w:rPr>
                <w:rFonts w:ascii="Arial" w:cs="Arial" w:eastAsia="Arial" w:hAnsi="Arial"/>
                <w:sz w:val="14"/>
                <w:szCs w:val="14"/>
                <w:color w:val="auto"/>
              </w:rPr>
              <w:t>4.25</w:t>
            </w:r>
          </w:p>
        </w:tc>
      </w:tr>
      <w:tr>
        <w:trPr>
          <w:trHeight w:val="222"/>
        </w:trPr>
        <w:tc>
          <w:tcPr>
            <w:tcW w:w="4200" w:type="dxa"/>
            <w:vAlign w:val="bottom"/>
          </w:tcPr>
          <w:p>
            <w:pPr>
              <w:ind w:left="160"/>
              <w:spacing w:after="0"/>
              <w:rPr>
                <w:sz w:val="20"/>
                <w:szCs w:val="20"/>
                <w:color w:val="auto"/>
              </w:rPr>
            </w:pPr>
            <w:r>
              <w:rPr>
                <w:rFonts w:ascii="Arial" w:cs="Arial" w:eastAsia="Arial" w:hAnsi="Arial"/>
                <w:sz w:val="14"/>
                <w:szCs w:val="14"/>
                <w:color w:val="auto"/>
              </w:rPr>
              <w:t>Discontinued operations, net of income tax</w:t>
            </w:r>
          </w:p>
        </w:tc>
        <w:tc>
          <w:tcPr>
            <w:tcW w:w="3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4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(0.10 )</w:t>
            </w:r>
          </w:p>
        </w:tc>
        <w:tc>
          <w:tcPr>
            <w:tcW w:w="4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1.23</w:t>
            </w:r>
          </w:p>
        </w:tc>
      </w:tr>
      <w:tr>
        <w:trPr>
          <w:trHeight w:val="224"/>
        </w:trPr>
        <w:tc>
          <w:tcPr>
            <w:tcW w:w="4200" w:type="dxa"/>
            <w:vAlign w:val="bottom"/>
          </w:tcPr>
          <w:p>
            <w:pPr>
              <w:ind w:left="160"/>
              <w:spacing w:after="0"/>
              <w:rPr>
                <w:sz w:val="20"/>
                <w:szCs w:val="20"/>
                <w:color w:val="auto"/>
              </w:rPr>
            </w:pPr>
            <w:r>
              <w:rPr>
                <w:rFonts w:ascii="Arial" w:cs="Arial" w:eastAsia="Arial" w:hAnsi="Arial"/>
                <w:sz w:val="14"/>
                <w:szCs w:val="14"/>
                <w:color w:val="auto"/>
              </w:rPr>
              <w:t>Net income</w:t>
            </w:r>
          </w:p>
        </w:tc>
        <w:tc>
          <w:tcPr>
            <w:tcW w:w="3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4.50</w:t>
            </w:r>
          </w:p>
        </w:tc>
        <w:tc>
          <w:tcPr>
            <w:tcW w:w="4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4.24</w:t>
            </w:r>
          </w:p>
        </w:tc>
        <w:tc>
          <w:tcPr>
            <w:tcW w:w="4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5.48</w:t>
            </w:r>
          </w:p>
        </w:tc>
      </w:tr>
      <w:tr>
        <w:trPr>
          <w:trHeight w:val="232"/>
        </w:trPr>
        <w:tc>
          <w:tcPr>
            <w:tcW w:w="4200" w:type="dxa"/>
            <w:vAlign w:val="bottom"/>
          </w:tcPr>
          <w:p>
            <w:pPr>
              <w:ind w:left="160"/>
              <w:spacing w:after="0"/>
              <w:rPr>
                <w:sz w:val="20"/>
                <w:szCs w:val="20"/>
                <w:color w:val="auto"/>
              </w:rPr>
            </w:pPr>
            <w:r>
              <w:rPr>
                <w:rFonts w:ascii="Arial" w:cs="Arial" w:eastAsia="Arial" w:hAnsi="Arial"/>
                <w:sz w:val="14"/>
                <w:szCs w:val="14"/>
                <w:color w:val="auto"/>
              </w:rPr>
              <w:t>Weighted-average number of shares outstanding (thousands)</w:t>
            </w:r>
          </w:p>
        </w:tc>
        <w:tc>
          <w:tcPr>
            <w:tcW w:w="3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247,387</w:t>
            </w:r>
          </w:p>
        </w:tc>
        <w:tc>
          <w:tcPr>
            <w:tcW w:w="4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259,269</w:t>
            </w:r>
          </w:p>
        </w:tc>
        <w:tc>
          <w:tcPr>
            <w:tcW w:w="4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256,477</w:t>
            </w:r>
          </w:p>
        </w:tc>
      </w:tr>
      <w:tr>
        <w:trPr>
          <w:trHeight w:val="426"/>
        </w:trPr>
        <w:tc>
          <w:tcPr>
            <w:tcW w:w="4200" w:type="dxa"/>
            <w:vAlign w:val="bottom"/>
          </w:tcPr>
          <w:p>
            <w:pPr>
              <w:spacing w:after="0"/>
              <w:rPr>
                <w:sz w:val="20"/>
                <w:szCs w:val="20"/>
                <w:color w:val="auto"/>
              </w:rPr>
            </w:pPr>
            <w:r>
              <w:rPr>
                <w:rFonts w:ascii="Arial" w:cs="Arial" w:eastAsia="Arial" w:hAnsi="Arial"/>
                <w:sz w:val="14"/>
                <w:szCs w:val="14"/>
                <w:color w:val="auto"/>
              </w:rPr>
              <w:t>Diluted earnings per share:</w:t>
            </w: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16"/>
        </w:trPr>
        <w:tc>
          <w:tcPr>
            <w:tcW w:w="4200" w:type="dxa"/>
            <w:vAlign w:val="bottom"/>
          </w:tcPr>
          <w:p>
            <w:pPr>
              <w:ind w:left="160"/>
              <w:spacing w:after="0"/>
              <w:rPr>
                <w:sz w:val="20"/>
                <w:szCs w:val="20"/>
                <w:color w:val="auto"/>
              </w:rPr>
            </w:pPr>
            <w:r>
              <w:rPr>
                <w:rFonts w:ascii="Arial" w:cs="Arial" w:eastAsia="Arial" w:hAnsi="Arial"/>
                <w:sz w:val="14"/>
                <w:szCs w:val="14"/>
                <w:color w:val="auto"/>
              </w:rPr>
              <w:t>Income from continuing operations</w:t>
            </w:r>
          </w:p>
        </w:tc>
        <w:tc>
          <w:tcPr>
            <w:tcW w:w="3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188"/>
              <w:spacing w:after="0"/>
              <w:rPr>
                <w:sz w:val="20"/>
                <w:szCs w:val="20"/>
                <w:color w:val="auto"/>
              </w:rPr>
            </w:pPr>
            <w:r>
              <w:rPr>
                <w:rFonts w:ascii="Arial" w:cs="Arial" w:eastAsia="Arial" w:hAnsi="Arial"/>
                <w:sz w:val="14"/>
                <w:szCs w:val="14"/>
                <w:color w:val="auto"/>
              </w:rPr>
              <w:t>4.43</w:t>
            </w:r>
          </w:p>
        </w:tc>
        <w:tc>
          <w:tcPr>
            <w:tcW w:w="4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228"/>
              <w:spacing w:after="0"/>
              <w:rPr>
                <w:sz w:val="20"/>
                <w:szCs w:val="20"/>
                <w:color w:val="auto"/>
              </w:rPr>
            </w:pPr>
            <w:r>
              <w:rPr>
                <w:rFonts w:ascii="Arial" w:cs="Arial" w:eastAsia="Arial" w:hAnsi="Arial"/>
                <w:sz w:val="14"/>
                <w:szCs w:val="14"/>
                <w:color w:val="auto"/>
              </w:rPr>
              <w:t>4.26</w:t>
            </w:r>
          </w:p>
        </w:tc>
        <w:tc>
          <w:tcPr>
            <w:tcW w:w="4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208"/>
              <w:spacing w:after="0"/>
              <w:rPr>
                <w:sz w:val="20"/>
                <w:szCs w:val="20"/>
                <w:color w:val="auto"/>
              </w:rPr>
            </w:pPr>
            <w:r>
              <w:rPr>
                <w:rFonts w:ascii="Arial" w:cs="Arial" w:eastAsia="Arial" w:hAnsi="Arial"/>
                <w:sz w:val="14"/>
                <w:szCs w:val="14"/>
                <w:color w:val="auto"/>
              </w:rPr>
              <w:t>4.17</w:t>
            </w:r>
          </w:p>
        </w:tc>
      </w:tr>
      <w:tr>
        <w:trPr>
          <w:trHeight w:val="222"/>
        </w:trPr>
        <w:tc>
          <w:tcPr>
            <w:tcW w:w="4200" w:type="dxa"/>
            <w:vAlign w:val="bottom"/>
          </w:tcPr>
          <w:p>
            <w:pPr>
              <w:ind w:left="160"/>
              <w:spacing w:after="0"/>
              <w:rPr>
                <w:sz w:val="20"/>
                <w:szCs w:val="20"/>
                <w:color w:val="auto"/>
              </w:rPr>
            </w:pPr>
            <w:r>
              <w:rPr>
                <w:rFonts w:ascii="Arial" w:cs="Arial" w:eastAsia="Arial" w:hAnsi="Arial"/>
                <w:sz w:val="14"/>
                <w:szCs w:val="14"/>
                <w:color w:val="auto"/>
              </w:rPr>
              <w:t>Discontinued operations, net of income tax</w:t>
            </w:r>
          </w:p>
        </w:tc>
        <w:tc>
          <w:tcPr>
            <w:tcW w:w="3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4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(0.10 )</w:t>
            </w:r>
          </w:p>
        </w:tc>
        <w:tc>
          <w:tcPr>
            <w:tcW w:w="4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1.21</w:t>
            </w:r>
          </w:p>
        </w:tc>
      </w:tr>
      <w:tr>
        <w:trPr>
          <w:trHeight w:val="224"/>
        </w:trPr>
        <w:tc>
          <w:tcPr>
            <w:tcW w:w="4200" w:type="dxa"/>
            <w:vAlign w:val="bottom"/>
          </w:tcPr>
          <w:p>
            <w:pPr>
              <w:ind w:left="160"/>
              <w:spacing w:after="0"/>
              <w:rPr>
                <w:sz w:val="20"/>
                <w:szCs w:val="20"/>
                <w:color w:val="auto"/>
              </w:rPr>
            </w:pPr>
            <w:r>
              <w:rPr>
                <w:rFonts w:ascii="Arial" w:cs="Arial" w:eastAsia="Arial" w:hAnsi="Arial"/>
                <w:sz w:val="14"/>
                <w:szCs w:val="14"/>
                <w:color w:val="auto"/>
              </w:rPr>
              <w:t>Net income</w:t>
            </w:r>
          </w:p>
        </w:tc>
        <w:tc>
          <w:tcPr>
            <w:tcW w:w="3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4.43</w:t>
            </w:r>
          </w:p>
        </w:tc>
        <w:tc>
          <w:tcPr>
            <w:tcW w:w="4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4.16</w:t>
            </w:r>
          </w:p>
        </w:tc>
        <w:tc>
          <w:tcPr>
            <w:tcW w:w="4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5.38</w:t>
            </w:r>
          </w:p>
        </w:tc>
      </w:tr>
      <w:tr>
        <w:trPr>
          <w:trHeight w:val="232"/>
        </w:trPr>
        <w:tc>
          <w:tcPr>
            <w:tcW w:w="4200" w:type="dxa"/>
            <w:vAlign w:val="bottom"/>
          </w:tcPr>
          <w:p>
            <w:pPr>
              <w:ind w:left="160"/>
              <w:spacing w:after="0"/>
              <w:rPr>
                <w:sz w:val="20"/>
                <w:szCs w:val="20"/>
                <w:color w:val="auto"/>
              </w:rPr>
            </w:pPr>
            <w:r>
              <w:rPr>
                <w:rFonts w:ascii="Arial" w:cs="Arial" w:eastAsia="Arial" w:hAnsi="Arial"/>
                <w:sz w:val="14"/>
                <w:szCs w:val="14"/>
                <w:color w:val="auto"/>
              </w:rPr>
              <w:t>Weighted-average number of shares outstanding (thousands)</w:t>
            </w:r>
          </w:p>
        </w:tc>
        <w:tc>
          <w:tcPr>
            <w:tcW w:w="3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251,159</w:t>
            </w:r>
          </w:p>
        </w:tc>
        <w:tc>
          <w:tcPr>
            <w:tcW w:w="4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264,004</w:t>
            </w:r>
          </w:p>
        </w:tc>
        <w:tc>
          <w:tcPr>
            <w:tcW w:w="4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261,368</w:t>
            </w:r>
          </w:p>
        </w:tc>
      </w:tr>
      <w:tr>
        <w:trPr>
          <w:trHeight w:val="232"/>
        </w:trPr>
        <w:tc>
          <w:tcPr>
            <w:tcW w:w="42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Dividends declared per share of common stock</w:t>
            </w:r>
          </w:p>
        </w:tc>
        <w:tc>
          <w:tcPr>
            <w:tcW w:w="3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1.37</w:t>
            </w:r>
          </w:p>
        </w:tc>
        <w:tc>
          <w:tcPr>
            <w:tcW w:w="4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1.24</w:t>
            </w:r>
          </w:p>
        </w:tc>
        <w:tc>
          <w:tcPr>
            <w:tcW w:w="4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1.20</w:t>
            </w:r>
          </w:p>
        </w:tc>
      </w:tr>
    </w:tbl>
    <w:p>
      <w:pPr>
        <w:spacing w:after="0" w:line="220" w:lineRule="exact"/>
        <w:rPr>
          <w:sz w:val="20"/>
          <w:szCs w:val="20"/>
          <w:color w:val="auto"/>
        </w:rPr>
      </w:pPr>
    </w:p>
    <w:p>
      <w:pPr>
        <w:ind w:left="1620"/>
        <w:spacing w:after="0"/>
        <w:rPr>
          <w:sz w:val="20"/>
          <w:szCs w:val="20"/>
          <w:color w:val="auto"/>
        </w:rPr>
      </w:pPr>
      <w:r>
        <w:rPr>
          <w:rFonts w:ascii="Arial" w:cs="Arial" w:eastAsia="Arial" w:hAnsi="Arial"/>
          <w:sz w:val="13"/>
          <w:szCs w:val="13"/>
          <w:i w:val="1"/>
          <w:iCs w:val="1"/>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Arial" w:cs="Arial" w:eastAsia="Arial" w:hAnsi="Arial"/>
          <w:sz w:val="14"/>
          <w:szCs w:val="14"/>
          <w:color w:val="auto"/>
        </w:rPr>
        <w:t>69</w:t>
      </w:r>
    </w:p>
    <w:p>
      <w:pPr>
        <w:sectPr>
          <w:pgSz w:w="11900" w:h="16838" w:orient="portrait"/>
          <w:cols w:equalWidth="0" w:num="1">
            <w:col w:w="10219"/>
          </w:cols>
          <w:pgMar w:left="240" w:top="628" w:right="1440" w:bottom="1440" w:gutter="0" w:footer="0" w:header="0"/>
          <w:type w:val="continuous"/>
        </w:sectPr>
      </w:pPr>
    </w:p>
    <w:bookmarkStart w:id="209" w:name="page210"/>
    <w:bookmarkEnd w:id="209"/>
    <w:p>
      <w:pPr>
        <w:ind w:left="2060"/>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1446530</wp:posOffset>
            </wp:positionH>
            <wp:positionV relativeFrom="page">
              <wp:posOffset>226695</wp:posOffset>
            </wp:positionV>
            <wp:extent cx="4668520" cy="36639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4668520" cy="366395"/>
                    </a:xfrm>
                    <a:prstGeom prst="rect">
                      <a:avLst/>
                    </a:prstGeom>
                    <a:noFill/>
                  </pic:spPr>
                </pic:pic>
              </a:graphicData>
            </a:graphic>
          </wp:anchor>
        </w:drawing>
        <w:t>SEMPRA ENERGY</w:t>
      </w:r>
    </w:p>
    <w:p>
      <w:pPr>
        <w:spacing w:after="0" w:line="31" w:lineRule="exact"/>
        <w:rPr>
          <w:sz w:val="20"/>
          <w:szCs w:val="20"/>
          <w:color w:val="auto"/>
        </w:rPr>
      </w:pPr>
    </w:p>
    <w:p>
      <w:pPr>
        <w:ind w:left="2060"/>
        <w:spacing w:after="0"/>
        <w:rPr>
          <w:sz w:val="20"/>
          <w:szCs w:val="20"/>
          <w:color w:val="auto"/>
        </w:rPr>
      </w:pPr>
      <w:r>
        <w:rPr>
          <w:rFonts w:ascii="Arial" w:cs="Arial" w:eastAsia="Arial" w:hAnsi="Arial"/>
          <w:sz w:val="14"/>
          <w:szCs w:val="14"/>
          <w:b w:val="1"/>
          <w:bCs w:val="1"/>
          <w:color w:val="auto"/>
        </w:rPr>
        <w:t>CONSOLIDATED BALANCE SHEETS</w:t>
      </w:r>
    </w:p>
    <w:p>
      <w:pPr>
        <w:spacing w:after="0" w:line="40" w:lineRule="exact"/>
        <w:rPr>
          <w:sz w:val="20"/>
          <w:szCs w:val="20"/>
          <w:color w:val="auto"/>
        </w:rPr>
      </w:pPr>
    </w:p>
    <w:tbl>
      <w:tblPr>
        <w:tblLayout w:type="fixed"/>
        <w:tblInd w:w="2040" w:type="dxa"/>
        <w:tblCellMar>
          <w:top w:w="0" w:type="dxa"/>
          <w:left w:w="0" w:type="dxa"/>
          <w:bottom w:w="0" w:type="dxa"/>
          <w:right w:w="0" w:type="dxa"/>
        </w:tblCellMar>
      </w:tblPr>
      <w:tr>
        <w:trPr>
          <w:trHeight w:val="166"/>
        </w:trPr>
        <w:tc>
          <w:tcPr>
            <w:tcW w:w="4740" w:type="dxa"/>
            <w:vAlign w:val="bottom"/>
          </w:tcPr>
          <w:p>
            <w:pPr>
              <w:ind w:left="20"/>
              <w:spacing w:after="0"/>
              <w:rPr>
                <w:sz w:val="20"/>
                <w:szCs w:val="20"/>
                <w:color w:val="auto"/>
              </w:rPr>
            </w:pPr>
            <w:r>
              <w:rPr>
                <w:rFonts w:ascii="Arial" w:cs="Arial" w:eastAsia="Arial" w:hAnsi="Arial"/>
                <w:sz w:val="13"/>
                <w:szCs w:val="13"/>
                <w:i w:val="1"/>
                <w:iCs w:val="1"/>
                <w:color w:val="auto"/>
              </w:rPr>
              <w:t>(Dollars in millions)</w:t>
            </w: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80"/>
        </w:trPr>
        <w:tc>
          <w:tcPr>
            <w:tcW w:w="4740" w:type="dxa"/>
            <w:vAlign w:val="bottom"/>
          </w:tcPr>
          <w:p>
            <w:pPr>
              <w:spacing w:after="0"/>
              <w:rPr>
                <w:sz w:val="15"/>
                <w:szCs w:val="15"/>
                <w:color w:val="auto"/>
              </w:rPr>
            </w:pPr>
          </w:p>
        </w:tc>
        <w:tc>
          <w:tcPr>
            <w:tcW w:w="1340" w:type="dxa"/>
            <w:vAlign w:val="bottom"/>
            <w:gridSpan w:val="2"/>
          </w:tcPr>
          <w:p>
            <w:pPr>
              <w:jc w:val="right"/>
              <w:ind w:right="288"/>
              <w:spacing w:after="0"/>
              <w:rPr>
                <w:sz w:val="20"/>
                <w:szCs w:val="20"/>
                <w:color w:val="auto"/>
              </w:rPr>
            </w:pPr>
            <w:r>
              <w:rPr>
                <w:rFonts w:ascii="Arial" w:cs="Arial" w:eastAsia="Arial" w:hAnsi="Arial"/>
                <w:sz w:val="13"/>
                <w:szCs w:val="13"/>
                <w:color w:val="auto"/>
              </w:rPr>
              <w:t>December 31,</w:t>
            </w:r>
          </w:p>
        </w:tc>
        <w:tc>
          <w:tcPr>
            <w:tcW w:w="1260" w:type="dxa"/>
            <w:vAlign w:val="bottom"/>
            <w:gridSpan w:val="2"/>
          </w:tcPr>
          <w:p>
            <w:pPr>
              <w:ind w:left="280"/>
              <w:spacing w:after="0"/>
              <w:rPr>
                <w:sz w:val="20"/>
                <w:szCs w:val="20"/>
                <w:color w:val="auto"/>
              </w:rPr>
            </w:pPr>
            <w:r>
              <w:rPr>
                <w:rFonts w:ascii="Arial" w:cs="Arial" w:eastAsia="Arial" w:hAnsi="Arial"/>
                <w:sz w:val="13"/>
                <w:szCs w:val="13"/>
                <w:color w:val="auto"/>
              </w:rPr>
              <w:t>December 31,</w:t>
            </w:r>
          </w:p>
        </w:tc>
      </w:tr>
      <w:tr>
        <w:trPr>
          <w:trHeight w:val="161"/>
        </w:trPr>
        <w:tc>
          <w:tcPr>
            <w:tcW w:w="474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548"/>
              <w:spacing w:after="0"/>
              <w:rPr>
                <w:sz w:val="20"/>
                <w:szCs w:val="20"/>
                <w:color w:val="auto"/>
              </w:rPr>
            </w:pPr>
            <w:r>
              <w:rPr>
                <w:rFonts w:ascii="Arial" w:cs="Arial" w:eastAsia="Arial" w:hAnsi="Arial"/>
                <w:sz w:val="13"/>
                <w:szCs w:val="13"/>
                <w:color w:val="auto"/>
              </w:rPr>
              <w:t>2008</w:t>
            </w:r>
          </w:p>
        </w:tc>
        <w:tc>
          <w:tcPr>
            <w:tcW w:w="4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348"/>
              <w:spacing w:after="0"/>
              <w:rPr>
                <w:sz w:val="20"/>
                <w:szCs w:val="20"/>
                <w:color w:val="auto"/>
              </w:rPr>
            </w:pPr>
            <w:r>
              <w:rPr>
                <w:rFonts w:ascii="Arial" w:cs="Arial" w:eastAsia="Arial" w:hAnsi="Arial"/>
                <w:sz w:val="13"/>
                <w:szCs w:val="13"/>
                <w:color w:val="auto"/>
              </w:rPr>
              <w:t>2007*</w:t>
            </w:r>
          </w:p>
        </w:tc>
      </w:tr>
      <w:tr>
        <w:trPr>
          <w:trHeight w:val="423"/>
        </w:trPr>
        <w:tc>
          <w:tcPr>
            <w:tcW w:w="4740" w:type="dxa"/>
            <w:vAlign w:val="bottom"/>
          </w:tcPr>
          <w:p>
            <w:pPr>
              <w:ind w:left="20"/>
              <w:spacing w:after="0"/>
              <w:rPr>
                <w:sz w:val="20"/>
                <w:szCs w:val="20"/>
                <w:color w:val="auto"/>
              </w:rPr>
            </w:pPr>
            <w:r>
              <w:rPr>
                <w:rFonts w:ascii="Arial" w:cs="Arial" w:eastAsia="Arial" w:hAnsi="Arial"/>
                <w:sz w:val="14"/>
                <w:szCs w:val="14"/>
                <w:color w:val="auto"/>
              </w:rPr>
              <w:t>ASSETS</w:t>
            </w:r>
          </w:p>
        </w:tc>
        <w:tc>
          <w:tcPr>
            <w:tcW w:w="3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216"/>
        </w:trPr>
        <w:tc>
          <w:tcPr>
            <w:tcW w:w="4740" w:type="dxa"/>
            <w:vAlign w:val="bottom"/>
          </w:tcPr>
          <w:p>
            <w:pPr>
              <w:ind w:left="20"/>
              <w:spacing w:after="0"/>
              <w:rPr>
                <w:sz w:val="20"/>
                <w:szCs w:val="20"/>
                <w:color w:val="auto"/>
              </w:rPr>
            </w:pPr>
            <w:r>
              <w:rPr>
                <w:rFonts w:ascii="Arial" w:cs="Arial" w:eastAsia="Arial" w:hAnsi="Arial"/>
                <w:sz w:val="14"/>
                <w:szCs w:val="14"/>
                <w:color w:val="auto"/>
              </w:rPr>
              <w:t>Current assets:</w:t>
            </w:r>
          </w:p>
        </w:tc>
        <w:tc>
          <w:tcPr>
            <w:tcW w:w="3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16"/>
        </w:trPr>
        <w:tc>
          <w:tcPr>
            <w:tcW w:w="4740" w:type="dxa"/>
            <w:vAlign w:val="bottom"/>
          </w:tcPr>
          <w:p>
            <w:pPr>
              <w:ind w:left="220"/>
              <w:spacing w:after="0"/>
              <w:rPr>
                <w:sz w:val="20"/>
                <w:szCs w:val="20"/>
                <w:color w:val="auto"/>
              </w:rPr>
            </w:pPr>
            <w:r>
              <w:rPr>
                <w:rFonts w:ascii="Arial" w:cs="Arial" w:eastAsia="Arial" w:hAnsi="Arial"/>
                <w:sz w:val="14"/>
                <w:szCs w:val="14"/>
                <w:color w:val="auto"/>
              </w:rPr>
              <w:t>Cash and cash equivalents</w:t>
            </w:r>
          </w:p>
        </w:tc>
        <w:tc>
          <w:tcPr>
            <w:tcW w:w="360" w:type="dxa"/>
            <w:vAlign w:val="bottom"/>
          </w:tcPr>
          <w:p>
            <w:pPr>
              <w:jc w:val="right"/>
              <w:ind w:right="11"/>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288"/>
              <w:spacing w:after="0"/>
              <w:rPr>
                <w:sz w:val="20"/>
                <w:szCs w:val="20"/>
                <w:color w:val="auto"/>
              </w:rPr>
            </w:pPr>
            <w:r>
              <w:rPr>
                <w:rFonts w:ascii="Arial" w:cs="Arial" w:eastAsia="Arial" w:hAnsi="Arial"/>
                <w:sz w:val="14"/>
                <w:szCs w:val="14"/>
                <w:color w:val="auto"/>
              </w:rPr>
              <w:t>331</w:t>
            </w:r>
          </w:p>
        </w:tc>
        <w:tc>
          <w:tcPr>
            <w:tcW w:w="440" w:type="dxa"/>
            <w:vAlign w:val="bottom"/>
          </w:tcPr>
          <w:p>
            <w:pPr>
              <w:ind w:left="280"/>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668</w:t>
            </w:r>
          </w:p>
        </w:tc>
      </w:tr>
      <w:tr>
        <w:trPr>
          <w:trHeight w:val="216"/>
        </w:trPr>
        <w:tc>
          <w:tcPr>
            <w:tcW w:w="4740" w:type="dxa"/>
            <w:vAlign w:val="bottom"/>
          </w:tcPr>
          <w:p>
            <w:pPr>
              <w:ind w:left="220"/>
              <w:spacing w:after="0"/>
              <w:rPr>
                <w:sz w:val="20"/>
                <w:szCs w:val="20"/>
                <w:color w:val="auto"/>
              </w:rPr>
            </w:pPr>
            <w:r>
              <w:rPr>
                <w:rFonts w:ascii="Arial" w:cs="Arial" w:eastAsia="Arial" w:hAnsi="Arial"/>
                <w:sz w:val="14"/>
                <w:szCs w:val="14"/>
                <w:color w:val="auto"/>
              </w:rPr>
              <w:t>Short-term investments</w:t>
            </w:r>
          </w:p>
        </w:tc>
        <w:tc>
          <w:tcPr>
            <w:tcW w:w="360" w:type="dxa"/>
            <w:vAlign w:val="bottom"/>
          </w:tcPr>
          <w:p>
            <w:pPr>
              <w:spacing w:after="0"/>
              <w:rPr>
                <w:sz w:val="18"/>
                <w:szCs w:val="18"/>
                <w:color w:val="auto"/>
              </w:rPr>
            </w:pPr>
          </w:p>
        </w:tc>
        <w:tc>
          <w:tcPr>
            <w:tcW w:w="980" w:type="dxa"/>
            <w:vAlign w:val="bottom"/>
          </w:tcPr>
          <w:p>
            <w:pPr>
              <w:jc w:val="right"/>
              <w:ind w:right="288"/>
              <w:spacing w:after="0"/>
              <w:rPr>
                <w:sz w:val="20"/>
                <w:szCs w:val="20"/>
                <w:color w:val="auto"/>
              </w:rPr>
            </w:pPr>
            <w:r>
              <w:rPr>
                <w:rFonts w:ascii="Arial" w:cs="Arial" w:eastAsia="Arial" w:hAnsi="Arial"/>
                <w:sz w:val="14"/>
                <w:szCs w:val="14"/>
                <w:color w:val="auto"/>
              </w:rPr>
              <w:t>176</w:t>
            </w:r>
          </w:p>
        </w:tc>
        <w:tc>
          <w:tcPr>
            <w:tcW w:w="440" w:type="dxa"/>
            <w:vAlign w:val="bottom"/>
          </w:tcPr>
          <w:p>
            <w:pPr>
              <w:spacing w:after="0"/>
              <w:rPr>
                <w:sz w:val="18"/>
                <w:szCs w:val="18"/>
                <w:color w:val="auto"/>
              </w:rPr>
            </w:pP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w:t>
            </w:r>
          </w:p>
        </w:tc>
      </w:tr>
      <w:tr>
        <w:trPr>
          <w:trHeight w:val="216"/>
        </w:trPr>
        <w:tc>
          <w:tcPr>
            <w:tcW w:w="4740" w:type="dxa"/>
            <w:vAlign w:val="bottom"/>
          </w:tcPr>
          <w:p>
            <w:pPr>
              <w:ind w:left="220"/>
              <w:spacing w:after="0"/>
              <w:rPr>
                <w:sz w:val="20"/>
                <w:szCs w:val="20"/>
                <w:color w:val="auto"/>
              </w:rPr>
            </w:pPr>
            <w:r>
              <w:rPr>
                <w:rFonts w:ascii="Arial" w:cs="Arial" w:eastAsia="Arial" w:hAnsi="Arial"/>
                <w:sz w:val="14"/>
                <w:szCs w:val="14"/>
                <w:color w:val="auto"/>
              </w:rPr>
              <w:t>Restricted cash</w:t>
            </w:r>
          </w:p>
        </w:tc>
        <w:tc>
          <w:tcPr>
            <w:tcW w:w="360" w:type="dxa"/>
            <w:vAlign w:val="bottom"/>
          </w:tcPr>
          <w:p>
            <w:pPr>
              <w:spacing w:after="0"/>
              <w:rPr>
                <w:sz w:val="18"/>
                <w:szCs w:val="18"/>
                <w:color w:val="auto"/>
              </w:rPr>
            </w:pPr>
          </w:p>
        </w:tc>
        <w:tc>
          <w:tcPr>
            <w:tcW w:w="980" w:type="dxa"/>
            <w:vAlign w:val="bottom"/>
          </w:tcPr>
          <w:p>
            <w:pPr>
              <w:jc w:val="right"/>
              <w:ind w:right="288"/>
              <w:spacing w:after="0"/>
              <w:rPr>
                <w:sz w:val="20"/>
                <w:szCs w:val="20"/>
                <w:color w:val="auto"/>
              </w:rPr>
            </w:pPr>
            <w:r>
              <w:rPr>
                <w:rFonts w:ascii="Arial" w:cs="Arial" w:eastAsia="Arial" w:hAnsi="Arial"/>
                <w:sz w:val="14"/>
                <w:szCs w:val="14"/>
                <w:color w:val="auto"/>
              </w:rPr>
              <w:t>27</w:t>
            </w:r>
          </w:p>
        </w:tc>
        <w:tc>
          <w:tcPr>
            <w:tcW w:w="440" w:type="dxa"/>
            <w:vAlign w:val="bottom"/>
          </w:tcPr>
          <w:p>
            <w:pPr>
              <w:spacing w:after="0"/>
              <w:rPr>
                <w:sz w:val="18"/>
                <w:szCs w:val="18"/>
                <w:color w:val="auto"/>
              </w:rPr>
            </w:pP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1</w:t>
            </w:r>
          </w:p>
        </w:tc>
      </w:tr>
      <w:tr>
        <w:trPr>
          <w:trHeight w:val="216"/>
        </w:trPr>
        <w:tc>
          <w:tcPr>
            <w:tcW w:w="4740" w:type="dxa"/>
            <w:vAlign w:val="bottom"/>
          </w:tcPr>
          <w:p>
            <w:pPr>
              <w:ind w:left="220"/>
              <w:spacing w:after="0"/>
              <w:rPr>
                <w:sz w:val="20"/>
                <w:szCs w:val="20"/>
                <w:color w:val="auto"/>
              </w:rPr>
            </w:pPr>
            <w:r>
              <w:rPr>
                <w:rFonts w:ascii="Arial" w:cs="Arial" w:eastAsia="Arial" w:hAnsi="Arial"/>
                <w:sz w:val="14"/>
                <w:szCs w:val="14"/>
                <w:color w:val="auto"/>
              </w:rPr>
              <w:t>Trade accounts receivable, net</w:t>
            </w:r>
          </w:p>
        </w:tc>
        <w:tc>
          <w:tcPr>
            <w:tcW w:w="360" w:type="dxa"/>
            <w:vAlign w:val="bottom"/>
          </w:tcPr>
          <w:p>
            <w:pPr>
              <w:spacing w:after="0"/>
              <w:rPr>
                <w:sz w:val="18"/>
                <w:szCs w:val="18"/>
                <w:color w:val="auto"/>
              </w:rPr>
            </w:pPr>
          </w:p>
        </w:tc>
        <w:tc>
          <w:tcPr>
            <w:tcW w:w="980" w:type="dxa"/>
            <w:vAlign w:val="bottom"/>
          </w:tcPr>
          <w:p>
            <w:pPr>
              <w:jc w:val="right"/>
              <w:ind w:right="288"/>
              <w:spacing w:after="0"/>
              <w:rPr>
                <w:sz w:val="20"/>
                <w:szCs w:val="20"/>
                <w:color w:val="auto"/>
              </w:rPr>
            </w:pPr>
            <w:r>
              <w:rPr>
                <w:rFonts w:ascii="Arial" w:cs="Arial" w:eastAsia="Arial" w:hAnsi="Arial"/>
                <w:sz w:val="14"/>
                <w:szCs w:val="14"/>
                <w:color w:val="auto"/>
              </w:rPr>
              <w:t>903</w:t>
            </w:r>
          </w:p>
        </w:tc>
        <w:tc>
          <w:tcPr>
            <w:tcW w:w="440" w:type="dxa"/>
            <w:vAlign w:val="bottom"/>
          </w:tcPr>
          <w:p>
            <w:pPr>
              <w:spacing w:after="0"/>
              <w:rPr>
                <w:sz w:val="18"/>
                <w:szCs w:val="18"/>
                <w:color w:val="auto"/>
              </w:rPr>
            </w:pP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960</w:t>
            </w:r>
          </w:p>
        </w:tc>
      </w:tr>
      <w:tr>
        <w:trPr>
          <w:trHeight w:val="216"/>
        </w:trPr>
        <w:tc>
          <w:tcPr>
            <w:tcW w:w="4740" w:type="dxa"/>
            <w:vAlign w:val="bottom"/>
          </w:tcPr>
          <w:p>
            <w:pPr>
              <w:ind w:left="220"/>
              <w:spacing w:after="0"/>
              <w:rPr>
                <w:sz w:val="20"/>
                <w:szCs w:val="20"/>
                <w:color w:val="auto"/>
              </w:rPr>
            </w:pPr>
            <w:r>
              <w:rPr>
                <w:rFonts w:ascii="Arial" w:cs="Arial" w:eastAsia="Arial" w:hAnsi="Arial"/>
                <w:sz w:val="14"/>
                <w:szCs w:val="14"/>
                <w:color w:val="auto"/>
              </w:rPr>
              <w:t>Other accounts and notes receivable, net</w:t>
            </w:r>
          </w:p>
        </w:tc>
        <w:tc>
          <w:tcPr>
            <w:tcW w:w="360" w:type="dxa"/>
            <w:vAlign w:val="bottom"/>
          </w:tcPr>
          <w:p>
            <w:pPr>
              <w:spacing w:after="0"/>
              <w:rPr>
                <w:sz w:val="18"/>
                <w:szCs w:val="18"/>
                <w:color w:val="auto"/>
              </w:rPr>
            </w:pPr>
          </w:p>
        </w:tc>
        <w:tc>
          <w:tcPr>
            <w:tcW w:w="980" w:type="dxa"/>
            <w:vAlign w:val="bottom"/>
          </w:tcPr>
          <w:p>
            <w:pPr>
              <w:jc w:val="right"/>
              <w:ind w:right="288"/>
              <w:spacing w:after="0"/>
              <w:rPr>
                <w:sz w:val="20"/>
                <w:szCs w:val="20"/>
                <w:color w:val="auto"/>
              </w:rPr>
            </w:pPr>
            <w:r>
              <w:rPr>
                <w:rFonts w:ascii="Arial" w:cs="Arial" w:eastAsia="Arial" w:hAnsi="Arial"/>
                <w:sz w:val="14"/>
                <w:szCs w:val="14"/>
                <w:color w:val="auto"/>
              </w:rPr>
              <w:t>78</w:t>
            </w:r>
          </w:p>
        </w:tc>
        <w:tc>
          <w:tcPr>
            <w:tcW w:w="440" w:type="dxa"/>
            <w:vAlign w:val="bottom"/>
          </w:tcPr>
          <w:p>
            <w:pPr>
              <w:spacing w:after="0"/>
              <w:rPr>
                <w:sz w:val="18"/>
                <w:szCs w:val="18"/>
                <w:color w:val="auto"/>
              </w:rPr>
            </w:pP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114</w:t>
            </w:r>
          </w:p>
        </w:tc>
      </w:tr>
      <w:tr>
        <w:trPr>
          <w:trHeight w:val="216"/>
        </w:trPr>
        <w:tc>
          <w:tcPr>
            <w:tcW w:w="4740" w:type="dxa"/>
            <w:vAlign w:val="bottom"/>
          </w:tcPr>
          <w:p>
            <w:pPr>
              <w:ind w:left="220"/>
              <w:spacing w:after="0"/>
              <w:rPr>
                <w:sz w:val="20"/>
                <w:szCs w:val="20"/>
                <w:color w:val="auto"/>
              </w:rPr>
            </w:pPr>
            <w:r>
              <w:rPr>
                <w:rFonts w:ascii="Arial" w:cs="Arial" w:eastAsia="Arial" w:hAnsi="Arial"/>
                <w:sz w:val="14"/>
                <w:szCs w:val="14"/>
                <w:color w:val="auto"/>
              </w:rPr>
              <w:t>Income taxes receivable</w:t>
            </w:r>
          </w:p>
        </w:tc>
        <w:tc>
          <w:tcPr>
            <w:tcW w:w="360" w:type="dxa"/>
            <w:vAlign w:val="bottom"/>
          </w:tcPr>
          <w:p>
            <w:pPr>
              <w:spacing w:after="0"/>
              <w:rPr>
                <w:sz w:val="18"/>
                <w:szCs w:val="18"/>
                <w:color w:val="auto"/>
              </w:rPr>
            </w:pPr>
          </w:p>
        </w:tc>
        <w:tc>
          <w:tcPr>
            <w:tcW w:w="980" w:type="dxa"/>
            <w:vAlign w:val="bottom"/>
          </w:tcPr>
          <w:p>
            <w:pPr>
              <w:jc w:val="right"/>
              <w:ind w:right="288"/>
              <w:spacing w:after="0"/>
              <w:rPr>
                <w:sz w:val="20"/>
                <w:szCs w:val="20"/>
                <w:color w:val="auto"/>
              </w:rPr>
            </w:pPr>
            <w:r>
              <w:rPr>
                <w:rFonts w:ascii="Arial" w:cs="Arial" w:eastAsia="Arial" w:hAnsi="Arial"/>
                <w:sz w:val="14"/>
                <w:szCs w:val="14"/>
                <w:color w:val="auto"/>
              </w:rPr>
              <w:t>195</w:t>
            </w:r>
          </w:p>
        </w:tc>
        <w:tc>
          <w:tcPr>
            <w:tcW w:w="440" w:type="dxa"/>
            <w:vAlign w:val="bottom"/>
          </w:tcPr>
          <w:p>
            <w:pPr>
              <w:spacing w:after="0"/>
              <w:rPr>
                <w:sz w:val="18"/>
                <w:szCs w:val="18"/>
                <w:color w:val="auto"/>
              </w:rPr>
            </w:pP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99</w:t>
            </w:r>
          </w:p>
        </w:tc>
      </w:tr>
      <w:tr>
        <w:trPr>
          <w:trHeight w:val="216"/>
        </w:trPr>
        <w:tc>
          <w:tcPr>
            <w:tcW w:w="4740" w:type="dxa"/>
            <w:vAlign w:val="bottom"/>
          </w:tcPr>
          <w:p>
            <w:pPr>
              <w:ind w:left="220"/>
              <w:spacing w:after="0"/>
              <w:rPr>
                <w:sz w:val="20"/>
                <w:szCs w:val="20"/>
                <w:color w:val="auto"/>
              </w:rPr>
            </w:pPr>
            <w:r>
              <w:rPr>
                <w:rFonts w:ascii="Arial" w:cs="Arial" w:eastAsia="Arial" w:hAnsi="Arial"/>
                <w:sz w:val="14"/>
                <w:szCs w:val="14"/>
                <w:color w:val="auto"/>
              </w:rPr>
              <w:t>Deferred income taxes</w:t>
            </w:r>
          </w:p>
        </w:tc>
        <w:tc>
          <w:tcPr>
            <w:tcW w:w="360" w:type="dxa"/>
            <w:vAlign w:val="bottom"/>
          </w:tcPr>
          <w:p>
            <w:pPr>
              <w:spacing w:after="0"/>
              <w:rPr>
                <w:sz w:val="18"/>
                <w:szCs w:val="18"/>
                <w:color w:val="auto"/>
              </w:rPr>
            </w:pPr>
          </w:p>
        </w:tc>
        <w:tc>
          <w:tcPr>
            <w:tcW w:w="980" w:type="dxa"/>
            <w:vAlign w:val="bottom"/>
          </w:tcPr>
          <w:p>
            <w:pPr>
              <w:jc w:val="right"/>
              <w:ind w:right="288"/>
              <w:spacing w:after="0"/>
              <w:rPr>
                <w:sz w:val="20"/>
                <w:szCs w:val="20"/>
                <w:color w:val="auto"/>
              </w:rPr>
            </w:pPr>
            <w:r>
              <w:rPr>
                <w:rFonts w:ascii="Arial" w:cs="Arial" w:eastAsia="Arial" w:hAnsi="Arial"/>
                <w:sz w:val="14"/>
                <w:szCs w:val="14"/>
                <w:color w:val="auto"/>
              </w:rPr>
              <w:t>31</w:t>
            </w:r>
          </w:p>
        </w:tc>
        <w:tc>
          <w:tcPr>
            <w:tcW w:w="440" w:type="dxa"/>
            <w:vAlign w:val="bottom"/>
          </w:tcPr>
          <w:p>
            <w:pPr>
              <w:spacing w:after="0"/>
              <w:rPr>
                <w:sz w:val="18"/>
                <w:szCs w:val="18"/>
                <w:color w:val="auto"/>
              </w:rPr>
            </w:pP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247</w:t>
            </w:r>
          </w:p>
        </w:tc>
      </w:tr>
      <w:tr>
        <w:trPr>
          <w:trHeight w:val="216"/>
        </w:trPr>
        <w:tc>
          <w:tcPr>
            <w:tcW w:w="4740" w:type="dxa"/>
            <w:vAlign w:val="bottom"/>
          </w:tcPr>
          <w:p>
            <w:pPr>
              <w:ind w:left="220"/>
              <w:spacing w:after="0"/>
              <w:rPr>
                <w:sz w:val="20"/>
                <w:szCs w:val="20"/>
                <w:color w:val="auto"/>
              </w:rPr>
            </w:pPr>
            <w:r>
              <w:rPr>
                <w:rFonts w:ascii="Arial" w:cs="Arial" w:eastAsia="Arial" w:hAnsi="Arial"/>
                <w:sz w:val="14"/>
                <w:szCs w:val="14"/>
                <w:color w:val="auto"/>
              </w:rPr>
              <w:t>Trading-related receivables and deposits, net</w:t>
            </w:r>
          </w:p>
        </w:tc>
        <w:tc>
          <w:tcPr>
            <w:tcW w:w="360" w:type="dxa"/>
            <w:vAlign w:val="bottom"/>
          </w:tcPr>
          <w:p>
            <w:pPr>
              <w:spacing w:after="0"/>
              <w:rPr>
                <w:sz w:val="18"/>
                <w:szCs w:val="18"/>
                <w:color w:val="auto"/>
              </w:rPr>
            </w:pPr>
          </w:p>
        </w:tc>
        <w:tc>
          <w:tcPr>
            <w:tcW w:w="98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8"/>
                <w:szCs w:val="18"/>
                <w:color w:val="auto"/>
              </w:rPr>
            </w:pP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2,719</w:t>
            </w:r>
          </w:p>
        </w:tc>
      </w:tr>
      <w:tr>
        <w:trPr>
          <w:trHeight w:val="216"/>
        </w:trPr>
        <w:tc>
          <w:tcPr>
            <w:tcW w:w="4740" w:type="dxa"/>
            <w:vAlign w:val="bottom"/>
          </w:tcPr>
          <w:p>
            <w:pPr>
              <w:ind w:left="220"/>
              <w:spacing w:after="0"/>
              <w:rPr>
                <w:sz w:val="20"/>
                <w:szCs w:val="20"/>
                <w:color w:val="auto"/>
              </w:rPr>
            </w:pPr>
            <w:r>
              <w:rPr>
                <w:rFonts w:ascii="Arial" w:cs="Arial" w:eastAsia="Arial" w:hAnsi="Arial"/>
                <w:sz w:val="14"/>
                <w:szCs w:val="14"/>
                <w:color w:val="auto"/>
              </w:rPr>
              <w:t>Derivative trading instruments</w:t>
            </w:r>
          </w:p>
        </w:tc>
        <w:tc>
          <w:tcPr>
            <w:tcW w:w="360" w:type="dxa"/>
            <w:vAlign w:val="bottom"/>
          </w:tcPr>
          <w:p>
            <w:pPr>
              <w:spacing w:after="0"/>
              <w:rPr>
                <w:sz w:val="18"/>
                <w:szCs w:val="18"/>
                <w:color w:val="auto"/>
              </w:rPr>
            </w:pPr>
          </w:p>
        </w:tc>
        <w:tc>
          <w:tcPr>
            <w:tcW w:w="98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8"/>
                <w:szCs w:val="18"/>
                <w:color w:val="auto"/>
              </w:rPr>
            </w:pP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2,170</w:t>
            </w:r>
          </w:p>
        </w:tc>
      </w:tr>
      <w:tr>
        <w:trPr>
          <w:trHeight w:val="216"/>
        </w:trPr>
        <w:tc>
          <w:tcPr>
            <w:tcW w:w="4740" w:type="dxa"/>
            <w:vAlign w:val="bottom"/>
          </w:tcPr>
          <w:p>
            <w:pPr>
              <w:ind w:left="220"/>
              <w:spacing w:after="0"/>
              <w:rPr>
                <w:sz w:val="20"/>
                <w:szCs w:val="20"/>
                <w:color w:val="auto"/>
              </w:rPr>
            </w:pPr>
            <w:r>
              <w:rPr>
                <w:rFonts w:ascii="Arial" w:cs="Arial" w:eastAsia="Arial" w:hAnsi="Arial"/>
                <w:sz w:val="14"/>
                <w:szCs w:val="14"/>
                <w:color w:val="auto"/>
              </w:rPr>
              <w:t>Commodities owned</w:t>
            </w:r>
          </w:p>
        </w:tc>
        <w:tc>
          <w:tcPr>
            <w:tcW w:w="360" w:type="dxa"/>
            <w:vAlign w:val="bottom"/>
          </w:tcPr>
          <w:p>
            <w:pPr>
              <w:spacing w:after="0"/>
              <w:rPr>
                <w:sz w:val="18"/>
                <w:szCs w:val="18"/>
                <w:color w:val="auto"/>
              </w:rPr>
            </w:pPr>
          </w:p>
        </w:tc>
        <w:tc>
          <w:tcPr>
            <w:tcW w:w="98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8"/>
                <w:szCs w:val="18"/>
                <w:color w:val="auto"/>
              </w:rPr>
            </w:pP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2,231</w:t>
            </w:r>
          </w:p>
        </w:tc>
      </w:tr>
      <w:tr>
        <w:trPr>
          <w:trHeight w:val="216"/>
        </w:trPr>
        <w:tc>
          <w:tcPr>
            <w:tcW w:w="4740" w:type="dxa"/>
            <w:vAlign w:val="bottom"/>
          </w:tcPr>
          <w:p>
            <w:pPr>
              <w:ind w:left="220"/>
              <w:spacing w:after="0"/>
              <w:rPr>
                <w:sz w:val="20"/>
                <w:szCs w:val="20"/>
                <w:color w:val="auto"/>
              </w:rPr>
            </w:pPr>
            <w:r>
              <w:rPr>
                <w:rFonts w:ascii="Arial" w:cs="Arial" w:eastAsia="Arial" w:hAnsi="Arial"/>
                <w:sz w:val="14"/>
                <w:szCs w:val="14"/>
                <w:color w:val="auto"/>
              </w:rPr>
              <w:t>Inventories</w:t>
            </w:r>
          </w:p>
        </w:tc>
        <w:tc>
          <w:tcPr>
            <w:tcW w:w="360" w:type="dxa"/>
            <w:vAlign w:val="bottom"/>
          </w:tcPr>
          <w:p>
            <w:pPr>
              <w:spacing w:after="0"/>
              <w:rPr>
                <w:sz w:val="18"/>
                <w:szCs w:val="18"/>
                <w:color w:val="auto"/>
              </w:rPr>
            </w:pPr>
          </w:p>
        </w:tc>
        <w:tc>
          <w:tcPr>
            <w:tcW w:w="980" w:type="dxa"/>
            <w:vAlign w:val="bottom"/>
          </w:tcPr>
          <w:p>
            <w:pPr>
              <w:jc w:val="right"/>
              <w:ind w:right="288"/>
              <w:spacing w:after="0"/>
              <w:rPr>
                <w:sz w:val="20"/>
                <w:szCs w:val="20"/>
                <w:color w:val="auto"/>
              </w:rPr>
            </w:pPr>
            <w:r>
              <w:rPr>
                <w:rFonts w:ascii="Arial" w:cs="Arial" w:eastAsia="Arial" w:hAnsi="Arial"/>
                <w:sz w:val="14"/>
                <w:szCs w:val="14"/>
                <w:color w:val="auto"/>
              </w:rPr>
              <w:t>320</w:t>
            </w:r>
          </w:p>
        </w:tc>
        <w:tc>
          <w:tcPr>
            <w:tcW w:w="440" w:type="dxa"/>
            <w:vAlign w:val="bottom"/>
          </w:tcPr>
          <w:p>
            <w:pPr>
              <w:spacing w:after="0"/>
              <w:rPr>
                <w:sz w:val="18"/>
                <w:szCs w:val="18"/>
                <w:color w:val="auto"/>
              </w:rPr>
            </w:pP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224</w:t>
            </w:r>
          </w:p>
        </w:tc>
      </w:tr>
      <w:tr>
        <w:trPr>
          <w:trHeight w:val="216"/>
        </w:trPr>
        <w:tc>
          <w:tcPr>
            <w:tcW w:w="4740" w:type="dxa"/>
            <w:vAlign w:val="bottom"/>
          </w:tcPr>
          <w:p>
            <w:pPr>
              <w:ind w:left="220"/>
              <w:spacing w:after="0"/>
              <w:rPr>
                <w:sz w:val="20"/>
                <w:szCs w:val="20"/>
                <w:color w:val="auto"/>
              </w:rPr>
            </w:pPr>
            <w:r>
              <w:rPr>
                <w:rFonts w:ascii="Arial" w:cs="Arial" w:eastAsia="Arial" w:hAnsi="Arial"/>
                <w:sz w:val="14"/>
                <w:szCs w:val="14"/>
                <w:color w:val="auto"/>
              </w:rPr>
              <w:t>Regulatory assets</w:t>
            </w:r>
          </w:p>
        </w:tc>
        <w:tc>
          <w:tcPr>
            <w:tcW w:w="360" w:type="dxa"/>
            <w:vAlign w:val="bottom"/>
          </w:tcPr>
          <w:p>
            <w:pPr>
              <w:spacing w:after="0"/>
              <w:rPr>
                <w:sz w:val="18"/>
                <w:szCs w:val="18"/>
                <w:color w:val="auto"/>
              </w:rPr>
            </w:pPr>
          </w:p>
        </w:tc>
        <w:tc>
          <w:tcPr>
            <w:tcW w:w="980" w:type="dxa"/>
            <w:vAlign w:val="bottom"/>
          </w:tcPr>
          <w:p>
            <w:pPr>
              <w:jc w:val="right"/>
              <w:ind w:right="288"/>
              <w:spacing w:after="0"/>
              <w:rPr>
                <w:sz w:val="20"/>
                <w:szCs w:val="20"/>
                <w:color w:val="auto"/>
              </w:rPr>
            </w:pPr>
            <w:r>
              <w:rPr>
                <w:rFonts w:ascii="Arial" w:cs="Arial" w:eastAsia="Arial" w:hAnsi="Arial"/>
                <w:sz w:val="14"/>
                <w:szCs w:val="14"/>
                <w:color w:val="auto"/>
              </w:rPr>
              <w:t>121</w:t>
            </w:r>
          </w:p>
        </w:tc>
        <w:tc>
          <w:tcPr>
            <w:tcW w:w="440" w:type="dxa"/>
            <w:vAlign w:val="bottom"/>
          </w:tcPr>
          <w:p>
            <w:pPr>
              <w:spacing w:after="0"/>
              <w:rPr>
                <w:sz w:val="18"/>
                <w:szCs w:val="18"/>
                <w:color w:val="auto"/>
              </w:rPr>
            </w:pP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106</w:t>
            </w:r>
          </w:p>
        </w:tc>
      </w:tr>
      <w:tr>
        <w:trPr>
          <w:trHeight w:val="216"/>
        </w:trPr>
        <w:tc>
          <w:tcPr>
            <w:tcW w:w="4740" w:type="dxa"/>
            <w:vAlign w:val="bottom"/>
          </w:tcPr>
          <w:p>
            <w:pPr>
              <w:ind w:left="220"/>
              <w:spacing w:after="0"/>
              <w:rPr>
                <w:sz w:val="20"/>
                <w:szCs w:val="20"/>
                <w:color w:val="auto"/>
              </w:rPr>
            </w:pPr>
            <w:r>
              <w:rPr>
                <w:rFonts w:ascii="Arial" w:cs="Arial" w:eastAsia="Arial" w:hAnsi="Arial"/>
                <w:sz w:val="14"/>
                <w:szCs w:val="14"/>
                <w:color w:val="auto"/>
              </w:rPr>
              <w:t>Fixed-price contracts and other derivatives</w:t>
            </w:r>
          </w:p>
        </w:tc>
        <w:tc>
          <w:tcPr>
            <w:tcW w:w="360" w:type="dxa"/>
            <w:vAlign w:val="bottom"/>
          </w:tcPr>
          <w:p>
            <w:pPr>
              <w:spacing w:after="0"/>
              <w:rPr>
                <w:sz w:val="18"/>
                <w:szCs w:val="18"/>
                <w:color w:val="auto"/>
              </w:rPr>
            </w:pPr>
          </w:p>
        </w:tc>
        <w:tc>
          <w:tcPr>
            <w:tcW w:w="980" w:type="dxa"/>
            <w:vAlign w:val="bottom"/>
          </w:tcPr>
          <w:p>
            <w:pPr>
              <w:jc w:val="right"/>
              <w:ind w:right="288"/>
              <w:spacing w:after="0"/>
              <w:rPr>
                <w:sz w:val="20"/>
                <w:szCs w:val="20"/>
                <w:color w:val="auto"/>
              </w:rPr>
            </w:pPr>
            <w:r>
              <w:rPr>
                <w:rFonts w:ascii="Arial" w:cs="Arial" w:eastAsia="Arial" w:hAnsi="Arial"/>
                <w:sz w:val="14"/>
                <w:szCs w:val="14"/>
                <w:color w:val="auto"/>
              </w:rPr>
              <w:t>160</w:t>
            </w:r>
          </w:p>
        </w:tc>
        <w:tc>
          <w:tcPr>
            <w:tcW w:w="440" w:type="dxa"/>
            <w:vAlign w:val="bottom"/>
          </w:tcPr>
          <w:p>
            <w:pPr>
              <w:spacing w:after="0"/>
              <w:rPr>
                <w:sz w:val="18"/>
                <w:szCs w:val="18"/>
                <w:color w:val="auto"/>
              </w:rPr>
            </w:pP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28</w:t>
            </w:r>
          </w:p>
        </w:tc>
      </w:tr>
      <w:tr>
        <w:trPr>
          <w:trHeight w:val="219"/>
        </w:trPr>
        <w:tc>
          <w:tcPr>
            <w:tcW w:w="4740" w:type="dxa"/>
            <w:vAlign w:val="bottom"/>
          </w:tcPr>
          <w:p>
            <w:pPr>
              <w:ind w:left="220"/>
              <w:spacing w:after="0"/>
              <w:rPr>
                <w:sz w:val="20"/>
                <w:szCs w:val="20"/>
                <w:color w:val="auto"/>
              </w:rPr>
            </w:pPr>
            <w:r>
              <w:rPr>
                <w:rFonts w:ascii="Arial" w:cs="Arial" w:eastAsia="Arial" w:hAnsi="Arial"/>
                <w:sz w:val="14"/>
                <w:szCs w:val="14"/>
                <w:color w:val="auto"/>
              </w:rPr>
              <w:t>Other</w:t>
            </w:r>
          </w:p>
        </w:tc>
        <w:tc>
          <w:tcPr>
            <w:tcW w:w="3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134</w:t>
            </w:r>
          </w:p>
        </w:tc>
        <w:tc>
          <w:tcPr>
            <w:tcW w:w="4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397</w:t>
            </w:r>
          </w:p>
        </w:tc>
      </w:tr>
      <w:tr>
        <w:trPr>
          <w:trHeight w:val="211"/>
        </w:trPr>
        <w:tc>
          <w:tcPr>
            <w:tcW w:w="4740" w:type="dxa"/>
            <w:vAlign w:val="bottom"/>
          </w:tcPr>
          <w:p>
            <w:pPr>
              <w:ind w:left="520"/>
              <w:spacing w:after="0"/>
              <w:rPr>
                <w:sz w:val="20"/>
                <w:szCs w:val="20"/>
                <w:color w:val="auto"/>
              </w:rPr>
            </w:pPr>
            <w:r>
              <w:rPr>
                <w:rFonts w:ascii="Arial" w:cs="Arial" w:eastAsia="Arial" w:hAnsi="Arial"/>
                <w:sz w:val="14"/>
                <w:szCs w:val="14"/>
                <w:color w:val="auto"/>
              </w:rPr>
              <w:t>Total current assets</w:t>
            </w:r>
          </w:p>
        </w:tc>
        <w:tc>
          <w:tcPr>
            <w:tcW w:w="3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2,476</w:t>
            </w:r>
          </w:p>
        </w:tc>
        <w:tc>
          <w:tcPr>
            <w:tcW w:w="4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9,964</w:t>
            </w:r>
          </w:p>
        </w:tc>
      </w:tr>
      <w:tr>
        <w:trPr>
          <w:trHeight w:val="418"/>
        </w:trPr>
        <w:tc>
          <w:tcPr>
            <w:tcW w:w="4740" w:type="dxa"/>
            <w:vAlign w:val="bottom"/>
          </w:tcPr>
          <w:p>
            <w:pPr>
              <w:ind w:left="20"/>
              <w:spacing w:after="0"/>
              <w:rPr>
                <w:sz w:val="20"/>
                <w:szCs w:val="20"/>
                <w:color w:val="auto"/>
              </w:rPr>
            </w:pPr>
            <w:r>
              <w:rPr>
                <w:rFonts w:ascii="Arial" w:cs="Arial" w:eastAsia="Arial" w:hAnsi="Arial"/>
                <w:sz w:val="14"/>
                <w:szCs w:val="14"/>
                <w:color w:val="auto"/>
              </w:rPr>
              <w:t>Investments and other assets:</w:t>
            </w:r>
          </w:p>
        </w:tc>
        <w:tc>
          <w:tcPr>
            <w:tcW w:w="3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88"/>
        </w:trPr>
        <w:tc>
          <w:tcPr>
            <w:tcW w:w="4740" w:type="dxa"/>
            <w:vAlign w:val="bottom"/>
          </w:tcPr>
          <w:p>
            <w:pPr>
              <w:ind w:left="220"/>
              <w:spacing w:after="0"/>
              <w:rPr>
                <w:sz w:val="20"/>
                <w:szCs w:val="20"/>
                <w:color w:val="auto"/>
              </w:rPr>
            </w:pPr>
            <w:r>
              <w:rPr>
                <w:rFonts w:ascii="Arial" w:cs="Arial" w:eastAsia="Arial" w:hAnsi="Arial"/>
                <w:sz w:val="14"/>
                <w:szCs w:val="14"/>
                <w:color w:val="auto"/>
              </w:rPr>
              <w:t>Regulatory assets arising from fixed-price contracts and other</w:t>
            </w:r>
          </w:p>
        </w:tc>
        <w:tc>
          <w:tcPr>
            <w:tcW w:w="3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172"/>
        </w:trPr>
        <w:tc>
          <w:tcPr>
            <w:tcW w:w="4740" w:type="dxa"/>
            <w:vAlign w:val="bottom"/>
          </w:tcPr>
          <w:p>
            <w:pPr>
              <w:ind w:left="400"/>
              <w:spacing w:after="0"/>
              <w:rPr>
                <w:sz w:val="20"/>
                <w:szCs w:val="20"/>
                <w:color w:val="auto"/>
              </w:rPr>
            </w:pPr>
            <w:r>
              <w:rPr>
                <w:rFonts w:ascii="Arial" w:cs="Arial" w:eastAsia="Arial" w:hAnsi="Arial"/>
                <w:sz w:val="14"/>
                <w:szCs w:val="14"/>
                <w:color w:val="auto"/>
              </w:rPr>
              <w:t>derivatives</w:t>
            </w:r>
          </w:p>
        </w:tc>
        <w:tc>
          <w:tcPr>
            <w:tcW w:w="360" w:type="dxa"/>
            <w:vAlign w:val="bottom"/>
          </w:tcPr>
          <w:p>
            <w:pPr>
              <w:spacing w:after="0"/>
              <w:rPr>
                <w:sz w:val="14"/>
                <w:szCs w:val="14"/>
                <w:color w:val="auto"/>
              </w:rPr>
            </w:pPr>
          </w:p>
        </w:tc>
        <w:tc>
          <w:tcPr>
            <w:tcW w:w="980" w:type="dxa"/>
            <w:vAlign w:val="bottom"/>
          </w:tcPr>
          <w:p>
            <w:pPr>
              <w:jc w:val="right"/>
              <w:ind w:right="288"/>
              <w:spacing w:after="0"/>
              <w:rPr>
                <w:sz w:val="20"/>
                <w:szCs w:val="20"/>
                <w:color w:val="auto"/>
              </w:rPr>
            </w:pPr>
            <w:r>
              <w:rPr>
                <w:rFonts w:ascii="Arial" w:cs="Arial" w:eastAsia="Arial" w:hAnsi="Arial"/>
                <w:sz w:val="14"/>
                <w:szCs w:val="14"/>
                <w:color w:val="auto"/>
              </w:rPr>
              <w:t>264</w:t>
            </w:r>
          </w:p>
        </w:tc>
        <w:tc>
          <w:tcPr>
            <w:tcW w:w="440" w:type="dxa"/>
            <w:vAlign w:val="bottom"/>
          </w:tcPr>
          <w:p>
            <w:pPr>
              <w:spacing w:after="0"/>
              <w:rPr>
                <w:sz w:val="14"/>
                <w:szCs w:val="14"/>
                <w:color w:val="auto"/>
              </w:rPr>
            </w:pP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309</w:t>
            </w:r>
          </w:p>
        </w:tc>
      </w:tr>
      <w:tr>
        <w:trPr>
          <w:trHeight w:val="188"/>
        </w:trPr>
        <w:tc>
          <w:tcPr>
            <w:tcW w:w="4740" w:type="dxa"/>
            <w:vAlign w:val="bottom"/>
          </w:tcPr>
          <w:p>
            <w:pPr>
              <w:ind w:left="220"/>
              <w:spacing w:after="0"/>
              <w:rPr>
                <w:sz w:val="20"/>
                <w:szCs w:val="20"/>
                <w:color w:val="auto"/>
              </w:rPr>
            </w:pPr>
            <w:r>
              <w:rPr>
                <w:rFonts w:ascii="Arial" w:cs="Arial" w:eastAsia="Arial" w:hAnsi="Arial"/>
                <w:sz w:val="14"/>
                <w:szCs w:val="14"/>
                <w:color w:val="auto"/>
              </w:rPr>
              <w:t>Regulatory assets arising from pension and other postretirement</w:t>
            </w:r>
          </w:p>
        </w:tc>
        <w:tc>
          <w:tcPr>
            <w:tcW w:w="3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172"/>
        </w:trPr>
        <w:tc>
          <w:tcPr>
            <w:tcW w:w="4740" w:type="dxa"/>
            <w:vAlign w:val="bottom"/>
          </w:tcPr>
          <w:p>
            <w:pPr>
              <w:ind w:left="400"/>
              <w:spacing w:after="0"/>
              <w:rPr>
                <w:sz w:val="20"/>
                <w:szCs w:val="20"/>
                <w:color w:val="auto"/>
              </w:rPr>
            </w:pPr>
            <w:r>
              <w:rPr>
                <w:rFonts w:ascii="Arial" w:cs="Arial" w:eastAsia="Arial" w:hAnsi="Arial"/>
                <w:sz w:val="14"/>
                <w:szCs w:val="14"/>
                <w:color w:val="auto"/>
              </w:rPr>
              <w:t>benefit obligations</w:t>
            </w:r>
          </w:p>
        </w:tc>
        <w:tc>
          <w:tcPr>
            <w:tcW w:w="360" w:type="dxa"/>
            <w:vAlign w:val="bottom"/>
          </w:tcPr>
          <w:p>
            <w:pPr>
              <w:spacing w:after="0"/>
              <w:rPr>
                <w:sz w:val="14"/>
                <w:szCs w:val="14"/>
                <w:color w:val="auto"/>
              </w:rPr>
            </w:pPr>
          </w:p>
        </w:tc>
        <w:tc>
          <w:tcPr>
            <w:tcW w:w="980" w:type="dxa"/>
            <w:vAlign w:val="bottom"/>
          </w:tcPr>
          <w:p>
            <w:pPr>
              <w:jc w:val="right"/>
              <w:ind w:right="288"/>
              <w:spacing w:after="0"/>
              <w:rPr>
                <w:sz w:val="20"/>
                <w:szCs w:val="20"/>
                <w:color w:val="auto"/>
              </w:rPr>
            </w:pPr>
            <w:r>
              <w:rPr>
                <w:rFonts w:ascii="Arial" w:cs="Arial" w:eastAsia="Arial" w:hAnsi="Arial"/>
                <w:sz w:val="14"/>
                <w:szCs w:val="14"/>
                <w:color w:val="auto"/>
              </w:rPr>
              <w:t>1,188</w:t>
            </w:r>
          </w:p>
        </w:tc>
        <w:tc>
          <w:tcPr>
            <w:tcW w:w="440" w:type="dxa"/>
            <w:vAlign w:val="bottom"/>
          </w:tcPr>
          <w:p>
            <w:pPr>
              <w:spacing w:after="0"/>
              <w:rPr>
                <w:sz w:val="14"/>
                <w:szCs w:val="14"/>
                <w:color w:val="auto"/>
              </w:rPr>
            </w:pP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162</w:t>
            </w:r>
          </w:p>
        </w:tc>
      </w:tr>
      <w:tr>
        <w:trPr>
          <w:trHeight w:val="216"/>
        </w:trPr>
        <w:tc>
          <w:tcPr>
            <w:tcW w:w="4740" w:type="dxa"/>
            <w:vAlign w:val="bottom"/>
          </w:tcPr>
          <w:p>
            <w:pPr>
              <w:ind w:left="220"/>
              <w:spacing w:after="0"/>
              <w:rPr>
                <w:sz w:val="20"/>
                <w:szCs w:val="20"/>
                <w:color w:val="auto"/>
              </w:rPr>
            </w:pPr>
            <w:r>
              <w:rPr>
                <w:rFonts w:ascii="Arial" w:cs="Arial" w:eastAsia="Arial" w:hAnsi="Arial"/>
                <w:sz w:val="14"/>
                <w:szCs w:val="14"/>
                <w:color w:val="auto"/>
              </w:rPr>
              <w:t>Other regulatory assets</w:t>
            </w:r>
          </w:p>
        </w:tc>
        <w:tc>
          <w:tcPr>
            <w:tcW w:w="360" w:type="dxa"/>
            <w:vAlign w:val="bottom"/>
          </w:tcPr>
          <w:p>
            <w:pPr>
              <w:spacing w:after="0"/>
              <w:rPr>
                <w:sz w:val="18"/>
                <w:szCs w:val="18"/>
                <w:color w:val="auto"/>
              </w:rPr>
            </w:pPr>
          </w:p>
        </w:tc>
        <w:tc>
          <w:tcPr>
            <w:tcW w:w="980" w:type="dxa"/>
            <w:vAlign w:val="bottom"/>
          </w:tcPr>
          <w:p>
            <w:pPr>
              <w:jc w:val="right"/>
              <w:ind w:right="288"/>
              <w:spacing w:after="0"/>
              <w:rPr>
                <w:sz w:val="20"/>
                <w:szCs w:val="20"/>
                <w:color w:val="auto"/>
              </w:rPr>
            </w:pPr>
            <w:r>
              <w:rPr>
                <w:rFonts w:ascii="Arial" w:cs="Arial" w:eastAsia="Arial" w:hAnsi="Arial"/>
                <w:sz w:val="14"/>
                <w:szCs w:val="14"/>
                <w:color w:val="auto"/>
              </w:rPr>
              <w:t>534</w:t>
            </w:r>
          </w:p>
        </w:tc>
        <w:tc>
          <w:tcPr>
            <w:tcW w:w="440" w:type="dxa"/>
            <w:vAlign w:val="bottom"/>
          </w:tcPr>
          <w:p>
            <w:pPr>
              <w:spacing w:after="0"/>
              <w:rPr>
                <w:sz w:val="18"/>
                <w:szCs w:val="18"/>
                <w:color w:val="auto"/>
              </w:rPr>
            </w:pP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460</w:t>
            </w:r>
          </w:p>
        </w:tc>
      </w:tr>
      <w:tr>
        <w:trPr>
          <w:trHeight w:val="216"/>
        </w:trPr>
        <w:tc>
          <w:tcPr>
            <w:tcW w:w="4740" w:type="dxa"/>
            <w:vAlign w:val="bottom"/>
          </w:tcPr>
          <w:p>
            <w:pPr>
              <w:ind w:left="220"/>
              <w:spacing w:after="0"/>
              <w:rPr>
                <w:sz w:val="20"/>
                <w:szCs w:val="20"/>
                <w:color w:val="auto"/>
              </w:rPr>
            </w:pPr>
            <w:r>
              <w:rPr>
                <w:rFonts w:ascii="Arial" w:cs="Arial" w:eastAsia="Arial" w:hAnsi="Arial"/>
                <w:sz w:val="14"/>
                <w:szCs w:val="14"/>
                <w:color w:val="auto"/>
              </w:rPr>
              <w:t>Nuclear decommissioning trusts</w:t>
            </w:r>
          </w:p>
        </w:tc>
        <w:tc>
          <w:tcPr>
            <w:tcW w:w="360" w:type="dxa"/>
            <w:vAlign w:val="bottom"/>
          </w:tcPr>
          <w:p>
            <w:pPr>
              <w:spacing w:after="0"/>
              <w:rPr>
                <w:sz w:val="18"/>
                <w:szCs w:val="18"/>
                <w:color w:val="auto"/>
              </w:rPr>
            </w:pPr>
          </w:p>
        </w:tc>
        <w:tc>
          <w:tcPr>
            <w:tcW w:w="980" w:type="dxa"/>
            <w:vAlign w:val="bottom"/>
          </w:tcPr>
          <w:p>
            <w:pPr>
              <w:jc w:val="right"/>
              <w:ind w:right="288"/>
              <w:spacing w:after="0"/>
              <w:rPr>
                <w:sz w:val="20"/>
                <w:szCs w:val="20"/>
                <w:color w:val="auto"/>
              </w:rPr>
            </w:pPr>
            <w:r>
              <w:rPr>
                <w:rFonts w:ascii="Arial" w:cs="Arial" w:eastAsia="Arial" w:hAnsi="Arial"/>
                <w:sz w:val="14"/>
                <w:szCs w:val="14"/>
                <w:color w:val="auto"/>
              </w:rPr>
              <w:t>577</w:t>
            </w:r>
          </w:p>
        </w:tc>
        <w:tc>
          <w:tcPr>
            <w:tcW w:w="440" w:type="dxa"/>
            <w:vAlign w:val="bottom"/>
          </w:tcPr>
          <w:p>
            <w:pPr>
              <w:spacing w:after="0"/>
              <w:rPr>
                <w:sz w:val="18"/>
                <w:szCs w:val="18"/>
                <w:color w:val="auto"/>
              </w:rPr>
            </w:pP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739</w:t>
            </w:r>
          </w:p>
        </w:tc>
      </w:tr>
      <w:tr>
        <w:trPr>
          <w:trHeight w:val="216"/>
        </w:trPr>
        <w:tc>
          <w:tcPr>
            <w:tcW w:w="4740" w:type="dxa"/>
            <w:vAlign w:val="bottom"/>
          </w:tcPr>
          <w:p>
            <w:pPr>
              <w:ind w:left="220"/>
              <w:spacing w:after="0"/>
              <w:rPr>
                <w:sz w:val="20"/>
                <w:szCs w:val="20"/>
                <w:color w:val="auto"/>
              </w:rPr>
            </w:pPr>
            <w:r>
              <w:rPr>
                <w:rFonts w:ascii="Arial" w:cs="Arial" w:eastAsia="Arial" w:hAnsi="Arial"/>
                <w:sz w:val="14"/>
                <w:szCs w:val="14"/>
                <w:color w:val="auto"/>
              </w:rPr>
              <w:t>Investment in RBS Sempra Commodities LLP</w:t>
            </w:r>
          </w:p>
        </w:tc>
        <w:tc>
          <w:tcPr>
            <w:tcW w:w="360" w:type="dxa"/>
            <w:vAlign w:val="bottom"/>
          </w:tcPr>
          <w:p>
            <w:pPr>
              <w:spacing w:after="0"/>
              <w:rPr>
                <w:sz w:val="18"/>
                <w:szCs w:val="18"/>
                <w:color w:val="auto"/>
              </w:rPr>
            </w:pPr>
          </w:p>
        </w:tc>
        <w:tc>
          <w:tcPr>
            <w:tcW w:w="980" w:type="dxa"/>
            <w:vAlign w:val="bottom"/>
          </w:tcPr>
          <w:p>
            <w:pPr>
              <w:jc w:val="right"/>
              <w:ind w:right="288"/>
              <w:spacing w:after="0"/>
              <w:rPr>
                <w:sz w:val="20"/>
                <w:szCs w:val="20"/>
                <w:color w:val="auto"/>
              </w:rPr>
            </w:pPr>
            <w:r>
              <w:rPr>
                <w:rFonts w:ascii="Arial" w:cs="Arial" w:eastAsia="Arial" w:hAnsi="Arial"/>
                <w:sz w:val="14"/>
                <w:szCs w:val="14"/>
                <w:color w:val="auto"/>
              </w:rPr>
              <w:t>2,082</w:t>
            </w:r>
          </w:p>
        </w:tc>
        <w:tc>
          <w:tcPr>
            <w:tcW w:w="440" w:type="dxa"/>
            <w:vAlign w:val="bottom"/>
          </w:tcPr>
          <w:p>
            <w:pPr>
              <w:spacing w:after="0"/>
              <w:rPr>
                <w:sz w:val="18"/>
                <w:szCs w:val="18"/>
                <w:color w:val="auto"/>
              </w:rPr>
            </w:pP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w:t>
            </w:r>
          </w:p>
        </w:tc>
      </w:tr>
      <w:tr>
        <w:trPr>
          <w:trHeight w:val="216"/>
        </w:trPr>
        <w:tc>
          <w:tcPr>
            <w:tcW w:w="4740" w:type="dxa"/>
            <w:vAlign w:val="bottom"/>
          </w:tcPr>
          <w:p>
            <w:pPr>
              <w:ind w:left="220"/>
              <w:spacing w:after="0"/>
              <w:rPr>
                <w:sz w:val="20"/>
                <w:szCs w:val="20"/>
                <w:color w:val="auto"/>
              </w:rPr>
            </w:pPr>
            <w:r>
              <w:rPr>
                <w:rFonts w:ascii="Arial" w:cs="Arial" w:eastAsia="Arial" w:hAnsi="Arial"/>
                <w:sz w:val="14"/>
                <w:szCs w:val="14"/>
                <w:color w:val="auto"/>
              </w:rPr>
              <w:t>Other investments</w:t>
            </w:r>
          </w:p>
        </w:tc>
        <w:tc>
          <w:tcPr>
            <w:tcW w:w="360" w:type="dxa"/>
            <w:vAlign w:val="bottom"/>
          </w:tcPr>
          <w:p>
            <w:pPr>
              <w:spacing w:after="0"/>
              <w:rPr>
                <w:sz w:val="18"/>
                <w:szCs w:val="18"/>
                <w:color w:val="auto"/>
              </w:rPr>
            </w:pPr>
          </w:p>
        </w:tc>
        <w:tc>
          <w:tcPr>
            <w:tcW w:w="980" w:type="dxa"/>
            <w:vAlign w:val="bottom"/>
          </w:tcPr>
          <w:p>
            <w:pPr>
              <w:jc w:val="right"/>
              <w:ind w:right="288"/>
              <w:spacing w:after="0"/>
              <w:rPr>
                <w:sz w:val="20"/>
                <w:szCs w:val="20"/>
                <w:color w:val="auto"/>
              </w:rPr>
            </w:pPr>
            <w:r>
              <w:rPr>
                <w:rFonts w:ascii="Arial" w:cs="Arial" w:eastAsia="Arial" w:hAnsi="Arial"/>
                <w:sz w:val="14"/>
                <w:szCs w:val="14"/>
                <w:color w:val="auto"/>
              </w:rPr>
              <w:t>1,166</w:t>
            </w:r>
          </w:p>
        </w:tc>
        <w:tc>
          <w:tcPr>
            <w:tcW w:w="440" w:type="dxa"/>
            <w:vAlign w:val="bottom"/>
          </w:tcPr>
          <w:p>
            <w:pPr>
              <w:spacing w:after="0"/>
              <w:rPr>
                <w:sz w:val="18"/>
                <w:szCs w:val="18"/>
                <w:color w:val="auto"/>
              </w:rPr>
            </w:pP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1,243</w:t>
            </w:r>
          </w:p>
        </w:tc>
      </w:tr>
      <w:tr>
        <w:trPr>
          <w:trHeight w:val="216"/>
        </w:trPr>
        <w:tc>
          <w:tcPr>
            <w:tcW w:w="4740" w:type="dxa"/>
            <w:vAlign w:val="bottom"/>
          </w:tcPr>
          <w:p>
            <w:pPr>
              <w:ind w:left="220"/>
              <w:spacing w:after="0"/>
              <w:rPr>
                <w:sz w:val="20"/>
                <w:szCs w:val="20"/>
                <w:color w:val="auto"/>
              </w:rPr>
            </w:pPr>
            <w:r>
              <w:rPr>
                <w:rFonts w:ascii="Arial" w:cs="Arial" w:eastAsia="Arial" w:hAnsi="Arial"/>
                <w:sz w:val="14"/>
                <w:szCs w:val="14"/>
                <w:color w:val="auto"/>
              </w:rPr>
              <w:t>Goodwill and other intangible assets</w:t>
            </w:r>
          </w:p>
        </w:tc>
        <w:tc>
          <w:tcPr>
            <w:tcW w:w="360" w:type="dxa"/>
            <w:vAlign w:val="bottom"/>
          </w:tcPr>
          <w:p>
            <w:pPr>
              <w:spacing w:after="0"/>
              <w:rPr>
                <w:sz w:val="18"/>
                <w:szCs w:val="18"/>
                <w:color w:val="auto"/>
              </w:rPr>
            </w:pPr>
          </w:p>
        </w:tc>
        <w:tc>
          <w:tcPr>
            <w:tcW w:w="980" w:type="dxa"/>
            <w:vAlign w:val="bottom"/>
          </w:tcPr>
          <w:p>
            <w:pPr>
              <w:jc w:val="right"/>
              <w:ind w:right="288"/>
              <w:spacing w:after="0"/>
              <w:rPr>
                <w:sz w:val="20"/>
                <w:szCs w:val="20"/>
                <w:color w:val="auto"/>
              </w:rPr>
            </w:pPr>
            <w:r>
              <w:rPr>
                <w:rFonts w:ascii="Arial" w:cs="Arial" w:eastAsia="Arial" w:hAnsi="Arial"/>
                <w:sz w:val="14"/>
                <w:szCs w:val="14"/>
                <w:color w:val="auto"/>
              </w:rPr>
              <w:t>539</w:t>
            </w:r>
          </w:p>
        </w:tc>
        <w:tc>
          <w:tcPr>
            <w:tcW w:w="440" w:type="dxa"/>
            <w:vAlign w:val="bottom"/>
          </w:tcPr>
          <w:p>
            <w:pPr>
              <w:spacing w:after="0"/>
              <w:rPr>
                <w:sz w:val="18"/>
                <w:szCs w:val="18"/>
                <w:color w:val="auto"/>
              </w:rPr>
            </w:pP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179</w:t>
            </w:r>
          </w:p>
        </w:tc>
      </w:tr>
      <w:tr>
        <w:trPr>
          <w:trHeight w:val="222"/>
        </w:trPr>
        <w:tc>
          <w:tcPr>
            <w:tcW w:w="4740" w:type="dxa"/>
            <w:vAlign w:val="bottom"/>
          </w:tcPr>
          <w:p>
            <w:pPr>
              <w:ind w:left="220"/>
              <w:spacing w:after="0"/>
              <w:rPr>
                <w:sz w:val="20"/>
                <w:szCs w:val="20"/>
                <w:color w:val="auto"/>
              </w:rPr>
            </w:pPr>
            <w:r>
              <w:rPr>
                <w:rFonts w:ascii="Arial" w:cs="Arial" w:eastAsia="Arial" w:hAnsi="Arial"/>
                <w:sz w:val="14"/>
                <w:szCs w:val="14"/>
                <w:color w:val="auto"/>
              </w:rPr>
              <w:t>Sundry</w:t>
            </w:r>
          </w:p>
        </w:tc>
        <w:tc>
          <w:tcPr>
            <w:tcW w:w="3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709</w:t>
            </w:r>
          </w:p>
        </w:tc>
        <w:tc>
          <w:tcPr>
            <w:tcW w:w="4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777</w:t>
            </w:r>
          </w:p>
        </w:tc>
      </w:tr>
      <w:tr>
        <w:trPr>
          <w:trHeight w:val="208"/>
        </w:trPr>
        <w:tc>
          <w:tcPr>
            <w:tcW w:w="4740" w:type="dxa"/>
            <w:vAlign w:val="bottom"/>
          </w:tcPr>
          <w:p>
            <w:pPr>
              <w:ind w:left="520"/>
              <w:spacing w:after="0"/>
              <w:rPr>
                <w:sz w:val="20"/>
                <w:szCs w:val="20"/>
                <w:color w:val="auto"/>
              </w:rPr>
            </w:pPr>
            <w:r>
              <w:rPr>
                <w:rFonts w:ascii="Arial" w:cs="Arial" w:eastAsia="Arial" w:hAnsi="Arial"/>
                <w:sz w:val="14"/>
                <w:szCs w:val="14"/>
                <w:color w:val="auto"/>
              </w:rPr>
              <w:t>Total investments and other assets</w:t>
            </w:r>
          </w:p>
        </w:tc>
        <w:tc>
          <w:tcPr>
            <w:tcW w:w="3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7,059</w:t>
            </w:r>
          </w:p>
        </w:tc>
        <w:tc>
          <w:tcPr>
            <w:tcW w:w="4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3,869</w:t>
            </w:r>
          </w:p>
        </w:tc>
      </w:tr>
      <w:tr>
        <w:trPr>
          <w:trHeight w:val="418"/>
        </w:trPr>
        <w:tc>
          <w:tcPr>
            <w:tcW w:w="4740" w:type="dxa"/>
            <w:vAlign w:val="bottom"/>
          </w:tcPr>
          <w:p>
            <w:pPr>
              <w:ind w:left="20"/>
              <w:spacing w:after="0"/>
              <w:rPr>
                <w:sz w:val="20"/>
                <w:szCs w:val="20"/>
                <w:color w:val="auto"/>
              </w:rPr>
            </w:pPr>
            <w:r>
              <w:rPr>
                <w:rFonts w:ascii="Arial" w:cs="Arial" w:eastAsia="Arial" w:hAnsi="Arial"/>
                <w:sz w:val="14"/>
                <w:szCs w:val="14"/>
                <w:color w:val="auto"/>
              </w:rPr>
              <w:t>Property, plant and equipment:</w:t>
            </w:r>
          </w:p>
        </w:tc>
        <w:tc>
          <w:tcPr>
            <w:tcW w:w="3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216"/>
        </w:trPr>
        <w:tc>
          <w:tcPr>
            <w:tcW w:w="4740" w:type="dxa"/>
            <w:vAlign w:val="bottom"/>
          </w:tcPr>
          <w:p>
            <w:pPr>
              <w:ind w:left="220"/>
              <w:spacing w:after="0"/>
              <w:rPr>
                <w:sz w:val="20"/>
                <w:szCs w:val="20"/>
                <w:color w:val="auto"/>
              </w:rPr>
            </w:pPr>
            <w:r>
              <w:rPr>
                <w:rFonts w:ascii="Arial" w:cs="Arial" w:eastAsia="Arial" w:hAnsi="Arial"/>
                <w:sz w:val="14"/>
                <w:szCs w:val="14"/>
                <w:color w:val="auto"/>
              </w:rPr>
              <w:t>Property, plant and equipment</w:t>
            </w:r>
          </w:p>
        </w:tc>
        <w:tc>
          <w:tcPr>
            <w:tcW w:w="360" w:type="dxa"/>
            <w:vAlign w:val="bottom"/>
          </w:tcPr>
          <w:p>
            <w:pPr>
              <w:spacing w:after="0"/>
              <w:rPr>
                <w:sz w:val="18"/>
                <w:szCs w:val="18"/>
                <w:color w:val="auto"/>
              </w:rPr>
            </w:pPr>
          </w:p>
        </w:tc>
        <w:tc>
          <w:tcPr>
            <w:tcW w:w="980" w:type="dxa"/>
            <w:vAlign w:val="bottom"/>
          </w:tcPr>
          <w:p>
            <w:pPr>
              <w:jc w:val="right"/>
              <w:ind w:right="288"/>
              <w:spacing w:after="0"/>
              <w:rPr>
                <w:sz w:val="20"/>
                <w:szCs w:val="20"/>
                <w:color w:val="auto"/>
              </w:rPr>
            </w:pPr>
            <w:r>
              <w:rPr>
                <w:rFonts w:ascii="Arial" w:cs="Arial" w:eastAsia="Arial" w:hAnsi="Arial"/>
                <w:sz w:val="14"/>
                <w:szCs w:val="14"/>
                <w:color w:val="auto"/>
              </w:rPr>
              <w:t>23,153</w:t>
            </w:r>
          </w:p>
        </w:tc>
        <w:tc>
          <w:tcPr>
            <w:tcW w:w="440" w:type="dxa"/>
            <w:vAlign w:val="bottom"/>
          </w:tcPr>
          <w:p>
            <w:pPr>
              <w:spacing w:after="0"/>
              <w:rPr>
                <w:sz w:val="18"/>
                <w:szCs w:val="18"/>
                <w:color w:val="auto"/>
              </w:rPr>
            </w:pP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20,917</w:t>
            </w:r>
          </w:p>
        </w:tc>
      </w:tr>
      <w:tr>
        <w:trPr>
          <w:trHeight w:val="222"/>
        </w:trPr>
        <w:tc>
          <w:tcPr>
            <w:tcW w:w="4740" w:type="dxa"/>
            <w:vAlign w:val="bottom"/>
          </w:tcPr>
          <w:p>
            <w:pPr>
              <w:ind w:left="220"/>
              <w:spacing w:after="0"/>
              <w:rPr>
                <w:sz w:val="20"/>
                <w:szCs w:val="20"/>
                <w:color w:val="auto"/>
              </w:rPr>
            </w:pPr>
            <w:r>
              <w:rPr>
                <w:rFonts w:ascii="Arial" w:cs="Arial" w:eastAsia="Arial" w:hAnsi="Arial"/>
                <w:sz w:val="14"/>
                <w:szCs w:val="14"/>
                <w:color w:val="auto"/>
              </w:rPr>
              <w:t>Less accumulated depreciation and amortization</w:t>
            </w:r>
          </w:p>
        </w:tc>
        <w:tc>
          <w:tcPr>
            <w:tcW w:w="3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(6,288 )</w:t>
            </w:r>
          </w:p>
        </w:tc>
        <w:tc>
          <w:tcPr>
            <w:tcW w:w="4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(6,033 )</w:t>
            </w:r>
          </w:p>
        </w:tc>
      </w:tr>
      <w:tr>
        <w:trPr>
          <w:trHeight w:val="208"/>
        </w:trPr>
        <w:tc>
          <w:tcPr>
            <w:tcW w:w="4740" w:type="dxa"/>
            <w:vAlign w:val="bottom"/>
          </w:tcPr>
          <w:p>
            <w:pPr>
              <w:ind w:left="520"/>
              <w:spacing w:after="0"/>
              <w:rPr>
                <w:sz w:val="20"/>
                <w:szCs w:val="20"/>
                <w:color w:val="auto"/>
              </w:rPr>
            </w:pPr>
            <w:r>
              <w:rPr>
                <w:rFonts w:ascii="Arial" w:cs="Arial" w:eastAsia="Arial" w:hAnsi="Arial"/>
                <w:sz w:val="14"/>
                <w:szCs w:val="14"/>
                <w:color w:val="auto"/>
              </w:rPr>
              <w:t>Property, plant and equipment, net</w:t>
            </w:r>
          </w:p>
        </w:tc>
        <w:tc>
          <w:tcPr>
            <w:tcW w:w="3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16,865</w:t>
            </w:r>
          </w:p>
        </w:tc>
        <w:tc>
          <w:tcPr>
            <w:tcW w:w="4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14,884</w:t>
            </w:r>
          </w:p>
        </w:tc>
      </w:tr>
      <w:tr>
        <w:trPr>
          <w:trHeight w:val="224"/>
        </w:trPr>
        <w:tc>
          <w:tcPr>
            <w:tcW w:w="47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Total assets</w:t>
            </w:r>
          </w:p>
        </w:tc>
        <w:tc>
          <w:tcPr>
            <w:tcW w:w="36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26,400</w:t>
            </w:r>
          </w:p>
        </w:tc>
        <w:tc>
          <w:tcPr>
            <w:tcW w:w="440" w:type="dxa"/>
            <w:vAlign w:val="bottom"/>
            <w:tcBorders>
              <w:bottom w:val="single" w:sz="8" w:color="auto"/>
            </w:tcBorders>
          </w:tcPr>
          <w:p>
            <w:pPr>
              <w:ind w:left="280"/>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28,717</w:t>
            </w:r>
          </w:p>
        </w:tc>
      </w:tr>
    </w:tbl>
    <w:p>
      <w:pPr>
        <w:spacing w:after="0" w:line="257" w:lineRule="exact"/>
        <w:rPr>
          <w:sz w:val="20"/>
          <w:szCs w:val="20"/>
          <w:color w:val="auto"/>
        </w:rPr>
      </w:pPr>
    </w:p>
    <w:p>
      <w:pPr>
        <w:ind w:left="2120"/>
        <w:spacing w:after="0"/>
        <w:rPr>
          <w:sz w:val="20"/>
          <w:szCs w:val="20"/>
          <w:color w:val="auto"/>
        </w:rPr>
      </w:pPr>
      <w:r>
        <w:rPr>
          <w:rFonts w:ascii="Arial" w:cs="Arial" w:eastAsia="Arial" w:hAnsi="Arial"/>
          <w:sz w:val="13"/>
          <w:szCs w:val="13"/>
          <w:i w:val="1"/>
          <w:iCs w:val="1"/>
          <w:color w:val="auto"/>
        </w:rPr>
        <w:t>See Notes to Consolidated Financial Statements.</w:t>
      </w:r>
    </w:p>
    <w:p>
      <w:pPr>
        <w:spacing w:after="0" w:line="283" w:lineRule="exact"/>
        <w:rPr>
          <w:sz w:val="20"/>
          <w:szCs w:val="20"/>
          <w:color w:val="auto"/>
        </w:rPr>
      </w:pPr>
    </w:p>
    <w:p>
      <w:pPr>
        <w:ind w:left="2060"/>
        <w:spacing w:after="0"/>
        <w:rPr>
          <w:sz w:val="20"/>
          <w:szCs w:val="20"/>
          <w:color w:val="auto"/>
        </w:rPr>
      </w:pPr>
      <w:r>
        <w:rPr>
          <w:rFonts w:ascii="Arial" w:cs="Arial" w:eastAsia="Arial" w:hAnsi="Arial"/>
          <w:sz w:val="13"/>
          <w:szCs w:val="13"/>
          <w:i w:val="1"/>
          <w:iCs w:val="1"/>
          <w:color w:val="auto"/>
        </w:rPr>
        <w:t>* As adjusted for the retrospective adoption of FASB Staff Position FIN 39-1.</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Arial" w:cs="Arial" w:eastAsia="Arial" w:hAnsi="Arial"/>
          <w:sz w:val="14"/>
          <w:szCs w:val="14"/>
          <w:color w:val="auto"/>
        </w:rPr>
        <w:t>70</w:t>
      </w:r>
    </w:p>
    <w:p>
      <w:pPr>
        <w:sectPr>
          <w:pgSz w:w="11900" w:h="16838" w:orient="portrait"/>
          <w:cols w:equalWidth="0" w:num="1">
            <w:col w:w="10219"/>
          </w:cols>
          <w:pgMar w:left="240" w:top="364" w:right="1440" w:bottom="1440" w:gutter="0" w:footer="0" w:header="0"/>
        </w:sectPr>
      </w:pPr>
    </w:p>
    <w:bookmarkStart w:id="210" w:name="page211"/>
    <w:bookmarkEnd w:id="210"/>
    <w:p>
      <w:pPr>
        <w:ind w:left="2080"/>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1469390</wp:posOffset>
            </wp:positionH>
            <wp:positionV relativeFrom="page">
              <wp:posOffset>470535</wp:posOffset>
            </wp:positionV>
            <wp:extent cx="4630420" cy="36639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4630420" cy="366395"/>
                    </a:xfrm>
                    <a:prstGeom prst="rect">
                      <a:avLst/>
                    </a:prstGeom>
                    <a:noFill/>
                  </pic:spPr>
                </pic:pic>
              </a:graphicData>
            </a:graphic>
          </wp:anchor>
        </w:drawing>
        <w:t>SEMPRA ENERGY</w:t>
      </w:r>
    </w:p>
    <w:p>
      <w:pPr>
        <w:spacing w:after="0" w:line="31" w:lineRule="exact"/>
        <w:rPr>
          <w:sz w:val="20"/>
          <w:szCs w:val="20"/>
          <w:color w:val="auto"/>
        </w:rPr>
      </w:pPr>
    </w:p>
    <w:p>
      <w:pPr>
        <w:ind w:left="2080"/>
        <w:spacing w:after="0"/>
        <w:rPr>
          <w:sz w:val="20"/>
          <w:szCs w:val="20"/>
          <w:color w:val="auto"/>
        </w:rPr>
      </w:pPr>
      <w:r>
        <w:rPr>
          <w:rFonts w:ascii="Arial" w:cs="Arial" w:eastAsia="Arial" w:hAnsi="Arial"/>
          <w:sz w:val="14"/>
          <w:szCs w:val="14"/>
          <w:b w:val="1"/>
          <w:bCs w:val="1"/>
          <w:color w:val="auto"/>
        </w:rPr>
        <w:t>CONSOLIDATED BALANCE SHEETS</w:t>
      </w:r>
    </w:p>
    <w:p>
      <w:pPr>
        <w:spacing w:after="0" w:line="40" w:lineRule="exact"/>
        <w:rPr>
          <w:sz w:val="20"/>
          <w:szCs w:val="20"/>
          <w:color w:val="auto"/>
        </w:rPr>
      </w:pPr>
    </w:p>
    <w:p>
      <w:pPr>
        <w:ind w:left="2080"/>
        <w:spacing w:after="0"/>
        <w:rPr>
          <w:sz w:val="20"/>
          <w:szCs w:val="20"/>
          <w:color w:val="auto"/>
        </w:rPr>
      </w:pPr>
      <w:r>
        <w:rPr>
          <w:rFonts w:ascii="Arial" w:cs="Arial" w:eastAsia="Arial" w:hAnsi="Arial"/>
          <w:sz w:val="13"/>
          <w:szCs w:val="13"/>
          <w:i w:val="1"/>
          <w:iCs w:val="1"/>
          <w:color w:val="auto"/>
        </w:rPr>
        <w:t>(Dollars in millions)</w:t>
      </w:r>
    </w:p>
    <w:p>
      <w:pPr>
        <w:spacing w:after="0" w:line="43" w:lineRule="exact"/>
        <w:rPr>
          <w:sz w:val="20"/>
          <w:szCs w:val="20"/>
          <w:color w:val="auto"/>
        </w:rPr>
      </w:pPr>
    </w:p>
    <w:tbl>
      <w:tblPr>
        <w:tblLayout w:type="fixed"/>
        <w:tblInd w:w="2080" w:type="dxa"/>
        <w:tblCellMar>
          <w:top w:w="0" w:type="dxa"/>
          <w:left w:w="0" w:type="dxa"/>
          <w:bottom w:w="0" w:type="dxa"/>
          <w:right w:w="0" w:type="dxa"/>
        </w:tblCellMar>
      </w:tblPr>
      <w:tr>
        <w:trPr>
          <w:trHeight w:val="154"/>
        </w:trPr>
        <w:tc>
          <w:tcPr>
            <w:tcW w:w="6080" w:type="dxa"/>
            <w:vAlign w:val="bottom"/>
          </w:tcPr>
          <w:p>
            <w:pPr>
              <w:jc w:val="center"/>
              <w:ind w:left="4696"/>
              <w:spacing w:after="0"/>
              <w:rPr>
                <w:sz w:val="20"/>
                <w:szCs w:val="20"/>
                <w:color w:val="auto"/>
              </w:rPr>
            </w:pPr>
            <w:r>
              <w:rPr>
                <w:rFonts w:ascii="Arial" w:cs="Arial" w:eastAsia="Arial" w:hAnsi="Arial"/>
                <w:sz w:val="13"/>
                <w:szCs w:val="13"/>
                <w:color w:val="auto"/>
                <w:w w:val="97"/>
              </w:rPr>
              <w:t>December 31,</w:t>
            </w:r>
          </w:p>
        </w:tc>
        <w:tc>
          <w:tcPr>
            <w:tcW w:w="1200" w:type="dxa"/>
            <w:vAlign w:val="bottom"/>
          </w:tcPr>
          <w:p>
            <w:pPr>
              <w:jc w:val="center"/>
              <w:ind w:left="56"/>
              <w:spacing w:after="0"/>
              <w:rPr>
                <w:sz w:val="20"/>
                <w:szCs w:val="20"/>
                <w:color w:val="auto"/>
              </w:rPr>
            </w:pPr>
            <w:r>
              <w:rPr>
                <w:rFonts w:ascii="Arial" w:cs="Arial" w:eastAsia="Arial" w:hAnsi="Arial"/>
                <w:sz w:val="13"/>
                <w:szCs w:val="13"/>
                <w:color w:val="auto"/>
                <w:w w:val="97"/>
              </w:rPr>
              <w:t>December 31,</w:t>
            </w:r>
          </w:p>
        </w:tc>
      </w:tr>
      <w:tr>
        <w:trPr>
          <w:trHeight w:val="161"/>
        </w:trPr>
        <w:tc>
          <w:tcPr>
            <w:tcW w:w="6080" w:type="dxa"/>
            <w:vAlign w:val="bottom"/>
            <w:tcBorders>
              <w:bottom w:val="single" w:sz="8" w:color="auto"/>
            </w:tcBorders>
          </w:tcPr>
          <w:p>
            <w:pPr>
              <w:jc w:val="right"/>
              <w:ind w:right="456"/>
              <w:spacing w:after="0"/>
              <w:rPr>
                <w:sz w:val="20"/>
                <w:szCs w:val="20"/>
                <w:color w:val="auto"/>
              </w:rPr>
            </w:pPr>
            <w:r>
              <w:rPr>
                <w:rFonts w:ascii="Arial" w:cs="Arial" w:eastAsia="Arial" w:hAnsi="Arial"/>
                <w:sz w:val="13"/>
                <w:szCs w:val="13"/>
                <w:color w:val="auto"/>
              </w:rPr>
              <w:t>2008</w:t>
            </w:r>
          </w:p>
        </w:tc>
        <w:tc>
          <w:tcPr>
            <w:tcW w:w="1200" w:type="dxa"/>
            <w:vAlign w:val="bottom"/>
            <w:tcBorders>
              <w:bottom w:val="single" w:sz="8" w:color="auto"/>
            </w:tcBorders>
          </w:tcPr>
          <w:p>
            <w:pPr>
              <w:jc w:val="right"/>
              <w:ind w:right="296"/>
              <w:spacing w:after="0"/>
              <w:rPr>
                <w:sz w:val="20"/>
                <w:szCs w:val="20"/>
                <w:color w:val="auto"/>
              </w:rPr>
            </w:pPr>
            <w:r>
              <w:rPr>
                <w:rFonts w:ascii="Arial" w:cs="Arial" w:eastAsia="Arial" w:hAnsi="Arial"/>
                <w:sz w:val="13"/>
                <w:szCs w:val="13"/>
                <w:color w:val="auto"/>
              </w:rPr>
              <w:t>2007*</w:t>
            </w:r>
          </w:p>
        </w:tc>
      </w:tr>
    </w:tbl>
    <w:p>
      <w:pPr>
        <w:spacing w:after="0" w:line="200" w:lineRule="exact"/>
        <w:rPr>
          <w:sz w:val="20"/>
          <w:szCs w:val="20"/>
          <w:color w:val="auto"/>
        </w:rPr>
      </w:pPr>
    </w:p>
    <w:p>
      <w:pPr>
        <w:sectPr>
          <w:pgSz w:w="11900" w:h="16838" w:orient="portrait"/>
          <w:cols w:equalWidth="0" w:num="1">
            <w:col w:w="10219"/>
          </w:cols>
          <w:pgMar w:left="240" w:top="748" w:right="1440" w:bottom="1440" w:gutter="0" w:footer="0" w:header="0"/>
        </w:sectPr>
      </w:pPr>
    </w:p>
    <w:p>
      <w:pPr>
        <w:spacing w:after="0" w:line="54" w:lineRule="exact"/>
        <w:rPr>
          <w:sz w:val="20"/>
          <w:szCs w:val="20"/>
          <w:color w:val="auto"/>
        </w:rPr>
      </w:pPr>
    </w:p>
    <w:p>
      <w:pPr>
        <w:ind w:left="2080"/>
        <w:spacing w:after="0"/>
        <w:rPr>
          <w:sz w:val="20"/>
          <w:szCs w:val="20"/>
          <w:color w:val="auto"/>
        </w:rPr>
      </w:pPr>
      <w:r>
        <w:rPr>
          <w:rFonts w:ascii="Arial" w:cs="Arial" w:eastAsia="Arial" w:hAnsi="Arial"/>
          <w:sz w:val="14"/>
          <w:szCs w:val="14"/>
          <w:color w:val="auto"/>
        </w:rPr>
        <w:t>LIABILITIES AND SHAREHOLDERS' EQUITY</w:t>
      </w:r>
    </w:p>
    <w:p>
      <w:pPr>
        <w:spacing w:after="0" w:line="55" w:lineRule="exact"/>
        <w:rPr>
          <w:sz w:val="20"/>
          <w:szCs w:val="20"/>
          <w:color w:val="auto"/>
        </w:rPr>
      </w:pPr>
    </w:p>
    <w:p>
      <w:pPr>
        <w:ind w:left="2080"/>
        <w:spacing w:after="0"/>
        <w:rPr>
          <w:sz w:val="20"/>
          <w:szCs w:val="20"/>
          <w:color w:val="auto"/>
        </w:rPr>
      </w:pPr>
      <w:r>
        <w:rPr>
          <w:rFonts w:ascii="Arial" w:cs="Arial" w:eastAsia="Arial" w:hAnsi="Arial"/>
          <w:sz w:val="14"/>
          <w:szCs w:val="14"/>
          <w:color w:val="auto"/>
        </w:rPr>
        <w:t>Current liabilities:</w:t>
      </w:r>
    </w:p>
    <w:p>
      <w:pPr>
        <w:spacing w:after="0" w:line="55" w:lineRule="exact"/>
        <w:rPr>
          <w:sz w:val="20"/>
          <w:szCs w:val="20"/>
          <w:color w:val="auto"/>
        </w:rPr>
      </w:pPr>
    </w:p>
    <w:p>
      <w:pPr>
        <w:ind w:left="2320"/>
        <w:spacing w:after="0"/>
        <w:rPr>
          <w:sz w:val="20"/>
          <w:szCs w:val="20"/>
          <w:color w:val="auto"/>
        </w:rPr>
      </w:pPr>
      <w:r>
        <w:rPr>
          <w:rFonts w:ascii="Arial" w:cs="Arial" w:eastAsia="Arial" w:hAnsi="Arial"/>
          <w:sz w:val="14"/>
          <w:szCs w:val="14"/>
          <w:color w:val="auto"/>
        </w:rPr>
        <w:t>Short-term debt</w:t>
      </w:r>
    </w:p>
    <w:p>
      <w:pPr>
        <w:spacing w:after="0" w:line="55" w:lineRule="exact"/>
        <w:rPr>
          <w:sz w:val="20"/>
          <w:szCs w:val="20"/>
          <w:color w:val="auto"/>
        </w:rPr>
      </w:pPr>
    </w:p>
    <w:p>
      <w:pPr>
        <w:ind w:left="2320"/>
        <w:spacing w:after="0"/>
        <w:rPr>
          <w:sz w:val="20"/>
          <w:szCs w:val="20"/>
          <w:color w:val="auto"/>
        </w:rPr>
      </w:pPr>
      <w:r>
        <w:rPr>
          <w:rFonts w:ascii="Arial" w:cs="Arial" w:eastAsia="Arial" w:hAnsi="Arial"/>
          <w:sz w:val="14"/>
          <w:szCs w:val="14"/>
          <w:color w:val="auto"/>
        </w:rPr>
        <w:t>Accounts payable – trade</w:t>
      </w:r>
    </w:p>
    <w:p>
      <w:pPr>
        <w:spacing w:after="0" w:line="55" w:lineRule="exact"/>
        <w:rPr>
          <w:sz w:val="20"/>
          <w:szCs w:val="20"/>
          <w:color w:val="auto"/>
        </w:rPr>
      </w:pPr>
    </w:p>
    <w:p>
      <w:pPr>
        <w:ind w:left="2320"/>
        <w:spacing w:after="0"/>
        <w:rPr>
          <w:sz w:val="20"/>
          <w:szCs w:val="20"/>
          <w:color w:val="auto"/>
        </w:rPr>
      </w:pPr>
      <w:r>
        <w:rPr>
          <w:rFonts w:ascii="Arial" w:cs="Arial" w:eastAsia="Arial" w:hAnsi="Arial"/>
          <w:sz w:val="14"/>
          <w:szCs w:val="14"/>
          <w:color w:val="auto"/>
        </w:rPr>
        <w:t>Accounts payable – other</w:t>
      </w:r>
    </w:p>
    <w:p>
      <w:pPr>
        <w:spacing w:after="0" w:line="55" w:lineRule="exact"/>
        <w:rPr>
          <w:sz w:val="20"/>
          <w:szCs w:val="20"/>
          <w:color w:val="auto"/>
        </w:rPr>
      </w:pPr>
    </w:p>
    <w:p>
      <w:pPr>
        <w:ind w:left="2320"/>
        <w:spacing w:after="0"/>
        <w:rPr>
          <w:sz w:val="20"/>
          <w:szCs w:val="20"/>
          <w:color w:val="auto"/>
        </w:rPr>
      </w:pPr>
      <w:r>
        <w:rPr>
          <w:rFonts w:ascii="Arial" w:cs="Arial" w:eastAsia="Arial" w:hAnsi="Arial"/>
          <w:sz w:val="14"/>
          <w:szCs w:val="14"/>
          <w:color w:val="auto"/>
        </w:rPr>
        <w:t>Due to unconsolidated affiliates</w:t>
      </w:r>
    </w:p>
    <w:p>
      <w:pPr>
        <w:spacing w:after="0" w:line="55" w:lineRule="exact"/>
        <w:rPr>
          <w:sz w:val="20"/>
          <w:szCs w:val="20"/>
          <w:color w:val="auto"/>
        </w:rPr>
      </w:pPr>
    </w:p>
    <w:p>
      <w:pPr>
        <w:ind w:left="2320"/>
        <w:spacing w:after="0"/>
        <w:rPr>
          <w:sz w:val="20"/>
          <w:szCs w:val="20"/>
          <w:color w:val="auto"/>
        </w:rPr>
      </w:pPr>
      <w:r>
        <w:rPr>
          <w:rFonts w:ascii="Arial" w:cs="Arial" w:eastAsia="Arial" w:hAnsi="Arial"/>
          <w:sz w:val="14"/>
          <w:szCs w:val="14"/>
          <w:color w:val="auto"/>
        </w:rPr>
        <w:t>Trading-related payables</w:t>
      </w:r>
    </w:p>
    <w:p>
      <w:pPr>
        <w:spacing w:after="0" w:line="55" w:lineRule="exact"/>
        <w:rPr>
          <w:sz w:val="20"/>
          <w:szCs w:val="20"/>
          <w:color w:val="auto"/>
        </w:rPr>
      </w:pPr>
    </w:p>
    <w:p>
      <w:pPr>
        <w:ind w:left="2320"/>
        <w:spacing w:after="0"/>
        <w:rPr>
          <w:sz w:val="20"/>
          <w:szCs w:val="20"/>
          <w:color w:val="auto"/>
        </w:rPr>
      </w:pPr>
      <w:r>
        <w:rPr>
          <w:rFonts w:ascii="Arial" w:cs="Arial" w:eastAsia="Arial" w:hAnsi="Arial"/>
          <w:sz w:val="14"/>
          <w:szCs w:val="14"/>
          <w:color w:val="auto"/>
        </w:rPr>
        <w:t>Derivative trading instruments</w:t>
      </w:r>
    </w:p>
    <w:p>
      <w:pPr>
        <w:spacing w:after="0" w:line="55" w:lineRule="exact"/>
        <w:rPr>
          <w:sz w:val="20"/>
          <w:szCs w:val="20"/>
          <w:color w:val="auto"/>
        </w:rPr>
      </w:pPr>
    </w:p>
    <w:p>
      <w:pPr>
        <w:ind w:left="2320"/>
        <w:spacing w:after="0"/>
        <w:rPr>
          <w:sz w:val="20"/>
          <w:szCs w:val="20"/>
          <w:color w:val="auto"/>
        </w:rPr>
      </w:pPr>
      <w:r>
        <w:rPr>
          <w:rFonts w:ascii="Arial" w:cs="Arial" w:eastAsia="Arial" w:hAnsi="Arial"/>
          <w:sz w:val="14"/>
          <w:szCs w:val="14"/>
          <w:color w:val="auto"/>
        </w:rPr>
        <w:t>Commodities sold with agreement to repurchase</w:t>
      </w:r>
    </w:p>
    <w:p>
      <w:pPr>
        <w:spacing w:after="0" w:line="55" w:lineRule="exact"/>
        <w:rPr>
          <w:sz w:val="20"/>
          <w:szCs w:val="20"/>
          <w:color w:val="auto"/>
        </w:rPr>
      </w:pPr>
    </w:p>
    <w:p>
      <w:pPr>
        <w:ind w:left="2320"/>
        <w:spacing w:after="0"/>
        <w:rPr>
          <w:sz w:val="20"/>
          <w:szCs w:val="20"/>
          <w:color w:val="auto"/>
        </w:rPr>
      </w:pPr>
      <w:r>
        <w:rPr>
          <w:rFonts w:ascii="Arial" w:cs="Arial" w:eastAsia="Arial" w:hAnsi="Arial"/>
          <w:sz w:val="14"/>
          <w:szCs w:val="14"/>
          <w:color w:val="auto"/>
        </w:rPr>
        <w:t>Dividends and interest payable</w:t>
      </w:r>
    </w:p>
    <w:p>
      <w:pPr>
        <w:spacing w:after="0" w:line="55" w:lineRule="exact"/>
        <w:rPr>
          <w:sz w:val="20"/>
          <w:szCs w:val="20"/>
          <w:color w:val="auto"/>
        </w:rPr>
      </w:pPr>
    </w:p>
    <w:p>
      <w:pPr>
        <w:ind w:left="2320"/>
        <w:spacing w:after="0"/>
        <w:rPr>
          <w:sz w:val="20"/>
          <w:szCs w:val="20"/>
          <w:color w:val="auto"/>
        </w:rPr>
      </w:pPr>
      <w:r>
        <w:rPr>
          <w:rFonts w:ascii="Arial" w:cs="Arial" w:eastAsia="Arial" w:hAnsi="Arial"/>
          <w:sz w:val="14"/>
          <w:szCs w:val="14"/>
          <w:color w:val="auto"/>
        </w:rPr>
        <w:t>Accrued compensation and benefits</w:t>
      </w:r>
    </w:p>
    <w:p>
      <w:pPr>
        <w:spacing w:after="0" w:line="55" w:lineRule="exact"/>
        <w:rPr>
          <w:sz w:val="20"/>
          <w:szCs w:val="20"/>
          <w:color w:val="auto"/>
        </w:rPr>
      </w:pPr>
    </w:p>
    <w:p>
      <w:pPr>
        <w:ind w:left="2320"/>
        <w:spacing w:after="0"/>
        <w:rPr>
          <w:sz w:val="20"/>
          <w:szCs w:val="20"/>
          <w:color w:val="auto"/>
        </w:rPr>
      </w:pPr>
      <w:r>
        <w:rPr>
          <w:rFonts w:ascii="Arial" w:cs="Arial" w:eastAsia="Arial" w:hAnsi="Arial"/>
          <w:sz w:val="14"/>
          <w:szCs w:val="14"/>
          <w:color w:val="auto"/>
        </w:rPr>
        <w:t>Regulatory balancing accounts, net</w:t>
      </w:r>
    </w:p>
    <w:p>
      <w:pPr>
        <w:spacing w:after="0" w:line="55" w:lineRule="exact"/>
        <w:rPr>
          <w:sz w:val="20"/>
          <w:szCs w:val="20"/>
          <w:color w:val="auto"/>
        </w:rPr>
      </w:pPr>
    </w:p>
    <w:p>
      <w:pPr>
        <w:ind w:left="2320"/>
        <w:spacing w:after="0"/>
        <w:rPr>
          <w:sz w:val="20"/>
          <w:szCs w:val="20"/>
          <w:color w:val="auto"/>
        </w:rPr>
      </w:pPr>
      <w:r>
        <w:rPr>
          <w:rFonts w:ascii="Arial" w:cs="Arial" w:eastAsia="Arial" w:hAnsi="Arial"/>
          <w:sz w:val="14"/>
          <w:szCs w:val="14"/>
          <w:color w:val="auto"/>
        </w:rPr>
        <w:t>Current portion of long-term debt</w:t>
      </w:r>
    </w:p>
    <w:p>
      <w:pPr>
        <w:spacing w:after="0" w:line="55" w:lineRule="exact"/>
        <w:rPr>
          <w:sz w:val="20"/>
          <w:szCs w:val="20"/>
          <w:color w:val="auto"/>
        </w:rPr>
      </w:pPr>
    </w:p>
    <w:p>
      <w:pPr>
        <w:ind w:left="2320"/>
        <w:spacing w:after="0"/>
        <w:rPr>
          <w:sz w:val="20"/>
          <w:szCs w:val="20"/>
          <w:color w:val="auto"/>
        </w:rPr>
      </w:pPr>
      <w:r>
        <w:rPr>
          <w:rFonts w:ascii="Arial" w:cs="Arial" w:eastAsia="Arial" w:hAnsi="Arial"/>
          <w:sz w:val="14"/>
          <w:szCs w:val="14"/>
          <w:color w:val="auto"/>
        </w:rPr>
        <w:t>Fixed-price contracts and other derivatives</w:t>
      </w:r>
    </w:p>
    <w:p>
      <w:pPr>
        <w:spacing w:after="0" w:line="55" w:lineRule="exact"/>
        <w:rPr>
          <w:sz w:val="20"/>
          <w:szCs w:val="20"/>
          <w:color w:val="auto"/>
        </w:rPr>
      </w:pPr>
    </w:p>
    <w:p>
      <w:pPr>
        <w:ind w:left="2320"/>
        <w:spacing w:after="0"/>
        <w:rPr>
          <w:sz w:val="20"/>
          <w:szCs w:val="20"/>
          <w:color w:val="auto"/>
        </w:rPr>
      </w:pPr>
      <w:r>
        <w:rPr>
          <w:rFonts w:ascii="Arial" w:cs="Arial" w:eastAsia="Arial" w:hAnsi="Arial"/>
          <w:sz w:val="14"/>
          <w:szCs w:val="14"/>
          <w:color w:val="auto"/>
        </w:rPr>
        <w:t>Customer deposits</w:t>
      </w:r>
    </w:p>
    <w:p>
      <w:pPr>
        <w:spacing w:after="0" w:line="67" w:lineRule="exact"/>
        <w:rPr>
          <w:sz w:val="20"/>
          <w:szCs w:val="20"/>
          <w:color w:val="auto"/>
        </w:rPr>
      </w:pPr>
    </w:p>
    <w:p>
      <w:pPr>
        <w:ind w:left="2320"/>
        <w:spacing w:after="0"/>
        <w:rPr>
          <w:sz w:val="20"/>
          <w:szCs w:val="20"/>
          <w:color w:val="auto"/>
        </w:rPr>
      </w:pPr>
      <w:r>
        <w:rPr>
          <w:rFonts w:ascii="Arial" w:cs="Arial" w:eastAsia="Arial" w:hAnsi="Arial"/>
          <w:sz w:val="14"/>
          <w:szCs w:val="14"/>
          <w:color w:val="auto"/>
        </w:rPr>
        <w:t>Other</w:t>
      </w:r>
    </w:p>
    <w:p>
      <w:pPr>
        <w:spacing w:after="0" w:line="67" w:lineRule="exact"/>
        <w:rPr>
          <w:sz w:val="20"/>
          <w:szCs w:val="20"/>
          <w:color w:val="auto"/>
        </w:rPr>
      </w:pPr>
    </w:p>
    <w:p>
      <w:pPr>
        <w:ind w:left="2560"/>
        <w:spacing w:after="0"/>
        <w:rPr>
          <w:sz w:val="20"/>
          <w:szCs w:val="20"/>
          <w:color w:val="auto"/>
        </w:rPr>
      </w:pPr>
      <w:r>
        <w:rPr>
          <w:rFonts w:ascii="Arial" w:cs="Arial" w:eastAsia="Arial" w:hAnsi="Arial"/>
          <w:sz w:val="14"/>
          <w:szCs w:val="14"/>
          <w:color w:val="auto"/>
        </w:rPr>
        <w:t>Total current liabilities</w:t>
      </w:r>
    </w:p>
    <w:p>
      <w:pPr>
        <w:spacing w:after="0" w:line="283" w:lineRule="exact"/>
        <w:rPr>
          <w:sz w:val="20"/>
          <w:szCs w:val="20"/>
          <w:color w:val="auto"/>
        </w:rPr>
      </w:pPr>
    </w:p>
    <w:p>
      <w:pPr>
        <w:ind w:left="2080"/>
        <w:spacing w:after="0"/>
        <w:rPr>
          <w:sz w:val="20"/>
          <w:szCs w:val="20"/>
          <w:color w:val="auto"/>
        </w:rPr>
      </w:pPr>
      <w:r>
        <w:rPr>
          <w:rFonts w:ascii="Arial" w:cs="Arial" w:eastAsia="Arial" w:hAnsi="Arial"/>
          <w:sz w:val="14"/>
          <w:szCs w:val="14"/>
          <w:color w:val="auto"/>
        </w:rPr>
        <w:t>Long-term debt</w:t>
      </w:r>
    </w:p>
    <w:p>
      <w:pPr>
        <w:spacing w:after="0" w:line="271" w:lineRule="exact"/>
        <w:rPr>
          <w:sz w:val="20"/>
          <w:szCs w:val="20"/>
          <w:color w:val="auto"/>
        </w:rPr>
      </w:pPr>
    </w:p>
    <w:p>
      <w:pPr>
        <w:ind w:left="2080"/>
        <w:spacing w:after="0"/>
        <w:rPr>
          <w:sz w:val="20"/>
          <w:szCs w:val="20"/>
          <w:color w:val="auto"/>
        </w:rPr>
      </w:pPr>
      <w:r>
        <w:rPr>
          <w:rFonts w:ascii="Arial" w:cs="Arial" w:eastAsia="Arial" w:hAnsi="Arial"/>
          <w:sz w:val="14"/>
          <w:szCs w:val="14"/>
          <w:color w:val="auto"/>
        </w:rPr>
        <w:t>Deferred credits and other liabilities:</w:t>
      </w:r>
    </w:p>
    <w:p>
      <w:pPr>
        <w:spacing w:after="0" w:line="55" w:lineRule="exact"/>
        <w:rPr>
          <w:sz w:val="20"/>
          <w:szCs w:val="20"/>
          <w:color w:val="auto"/>
        </w:rPr>
      </w:pPr>
    </w:p>
    <w:p>
      <w:pPr>
        <w:ind w:left="2320"/>
        <w:spacing w:after="0"/>
        <w:rPr>
          <w:sz w:val="20"/>
          <w:szCs w:val="20"/>
          <w:color w:val="auto"/>
        </w:rPr>
      </w:pPr>
      <w:r>
        <w:rPr>
          <w:rFonts w:ascii="Arial" w:cs="Arial" w:eastAsia="Arial" w:hAnsi="Arial"/>
          <w:sz w:val="14"/>
          <w:szCs w:val="14"/>
          <w:color w:val="auto"/>
        </w:rPr>
        <w:t>Due to unconsolidated affiliate</w:t>
      </w:r>
    </w:p>
    <w:p>
      <w:pPr>
        <w:spacing w:after="0" w:line="55" w:lineRule="exact"/>
        <w:rPr>
          <w:sz w:val="20"/>
          <w:szCs w:val="20"/>
          <w:color w:val="auto"/>
        </w:rPr>
      </w:pPr>
    </w:p>
    <w:p>
      <w:pPr>
        <w:ind w:left="2320"/>
        <w:spacing w:after="0"/>
        <w:rPr>
          <w:sz w:val="20"/>
          <w:szCs w:val="20"/>
          <w:color w:val="auto"/>
        </w:rPr>
      </w:pPr>
      <w:r>
        <w:rPr>
          <w:rFonts w:ascii="Arial" w:cs="Arial" w:eastAsia="Arial" w:hAnsi="Arial"/>
          <w:sz w:val="14"/>
          <w:szCs w:val="14"/>
          <w:color w:val="auto"/>
        </w:rPr>
        <w:t>Customer advances for construction</w:t>
      </w:r>
    </w:p>
    <w:p>
      <w:pPr>
        <w:spacing w:after="0" w:line="31" w:lineRule="exact"/>
        <w:rPr>
          <w:sz w:val="20"/>
          <w:szCs w:val="20"/>
          <w:color w:val="auto"/>
        </w:rPr>
      </w:pPr>
    </w:p>
    <w:p>
      <w:pPr>
        <w:ind w:left="2480" w:right="200" w:hanging="167"/>
        <w:spacing w:after="0" w:line="267" w:lineRule="auto"/>
        <w:rPr>
          <w:sz w:val="20"/>
          <w:szCs w:val="20"/>
          <w:color w:val="auto"/>
        </w:rPr>
      </w:pPr>
      <w:r>
        <w:rPr>
          <w:rFonts w:ascii="Arial" w:cs="Arial" w:eastAsia="Arial" w:hAnsi="Arial"/>
          <w:sz w:val="14"/>
          <w:szCs w:val="14"/>
          <w:color w:val="auto"/>
        </w:rPr>
        <w:t>Pension and other postretirement benefit obligations, net of plan assets</w:t>
      </w:r>
    </w:p>
    <w:p>
      <w:pPr>
        <w:spacing w:after="0" w:line="26" w:lineRule="exact"/>
        <w:rPr>
          <w:sz w:val="20"/>
          <w:szCs w:val="20"/>
          <w:color w:val="auto"/>
        </w:rPr>
      </w:pPr>
    </w:p>
    <w:p>
      <w:pPr>
        <w:ind w:left="2320"/>
        <w:spacing w:after="0"/>
        <w:rPr>
          <w:sz w:val="20"/>
          <w:szCs w:val="20"/>
          <w:color w:val="auto"/>
        </w:rPr>
      </w:pPr>
      <w:r>
        <w:rPr>
          <w:rFonts w:ascii="Arial" w:cs="Arial" w:eastAsia="Arial" w:hAnsi="Arial"/>
          <w:sz w:val="14"/>
          <w:szCs w:val="14"/>
          <w:color w:val="auto"/>
        </w:rPr>
        <w:t>Deferred income taxes</w:t>
      </w:r>
    </w:p>
    <w:p>
      <w:pPr>
        <w:spacing w:after="0" w:line="55" w:lineRule="exact"/>
        <w:rPr>
          <w:sz w:val="20"/>
          <w:szCs w:val="20"/>
          <w:color w:val="auto"/>
        </w:rPr>
      </w:pPr>
    </w:p>
    <w:p>
      <w:pPr>
        <w:ind w:left="2320"/>
        <w:spacing w:after="0"/>
        <w:rPr>
          <w:sz w:val="20"/>
          <w:szCs w:val="20"/>
          <w:color w:val="auto"/>
        </w:rPr>
      </w:pPr>
      <w:r>
        <w:rPr>
          <w:rFonts w:ascii="Arial" w:cs="Arial" w:eastAsia="Arial" w:hAnsi="Arial"/>
          <w:sz w:val="14"/>
          <w:szCs w:val="14"/>
          <w:color w:val="auto"/>
        </w:rPr>
        <w:t>Deferred investment tax credits</w:t>
      </w:r>
    </w:p>
    <w:p>
      <w:pPr>
        <w:spacing w:after="0" w:line="55" w:lineRule="exact"/>
        <w:rPr>
          <w:sz w:val="20"/>
          <w:szCs w:val="20"/>
          <w:color w:val="auto"/>
        </w:rPr>
      </w:pPr>
    </w:p>
    <w:p>
      <w:pPr>
        <w:ind w:left="2320"/>
        <w:spacing w:after="0"/>
        <w:rPr>
          <w:sz w:val="20"/>
          <w:szCs w:val="20"/>
          <w:color w:val="auto"/>
        </w:rPr>
      </w:pPr>
      <w:r>
        <w:rPr>
          <w:rFonts w:ascii="Arial" w:cs="Arial" w:eastAsia="Arial" w:hAnsi="Arial"/>
          <w:sz w:val="14"/>
          <w:szCs w:val="14"/>
          <w:color w:val="auto"/>
        </w:rPr>
        <w:t>Regulatory liabilities arising from removal obligations</w:t>
      </w:r>
    </w:p>
    <w:p>
      <w:pPr>
        <w:spacing w:after="0" w:line="55" w:lineRule="exact"/>
        <w:rPr>
          <w:sz w:val="20"/>
          <w:szCs w:val="20"/>
          <w:color w:val="auto"/>
        </w:rPr>
      </w:pPr>
    </w:p>
    <w:p>
      <w:pPr>
        <w:ind w:left="2320"/>
        <w:spacing w:after="0"/>
        <w:rPr>
          <w:sz w:val="20"/>
          <w:szCs w:val="20"/>
          <w:color w:val="auto"/>
        </w:rPr>
      </w:pPr>
      <w:r>
        <w:rPr>
          <w:rFonts w:ascii="Arial" w:cs="Arial" w:eastAsia="Arial" w:hAnsi="Arial"/>
          <w:sz w:val="14"/>
          <w:szCs w:val="14"/>
          <w:color w:val="auto"/>
        </w:rPr>
        <w:t>Asset retirement obligations</w:t>
      </w:r>
    </w:p>
    <w:p>
      <w:pPr>
        <w:spacing w:after="0" w:line="55" w:lineRule="exact"/>
        <w:rPr>
          <w:sz w:val="20"/>
          <w:szCs w:val="20"/>
          <w:color w:val="auto"/>
        </w:rPr>
      </w:pPr>
    </w:p>
    <w:p>
      <w:pPr>
        <w:ind w:left="2320"/>
        <w:spacing w:after="0"/>
        <w:rPr>
          <w:sz w:val="20"/>
          <w:szCs w:val="20"/>
          <w:color w:val="auto"/>
        </w:rPr>
      </w:pPr>
      <w:r>
        <w:rPr>
          <w:rFonts w:ascii="Arial" w:cs="Arial" w:eastAsia="Arial" w:hAnsi="Arial"/>
          <w:sz w:val="14"/>
          <w:szCs w:val="14"/>
          <w:color w:val="auto"/>
        </w:rPr>
        <w:t>Other regulatory liabilities</w:t>
      </w:r>
    </w:p>
    <w:p>
      <w:pPr>
        <w:spacing w:after="0" w:line="55" w:lineRule="exact"/>
        <w:rPr>
          <w:sz w:val="20"/>
          <w:szCs w:val="20"/>
          <w:color w:val="auto"/>
        </w:rPr>
      </w:pPr>
    </w:p>
    <w:p>
      <w:pPr>
        <w:ind w:left="2320"/>
        <w:spacing w:after="0"/>
        <w:rPr>
          <w:sz w:val="20"/>
          <w:szCs w:val="20"/>
          <w:color w:val="auto"/>
        </w:rPr>
      </w:pPr>
      <w:r>
        <w:rPr>
          <w:rFonts w:ascii="Arial" w:cs="Arial" w:eastAsia="Arial" w:hAnsi="Arial"/>
          <w:sz w:val="14"/>
          <w:szCs w:val="14"/>
          <w:color w:val="auto"/>
        </w:rPr>
        <w:t>Fixed-price contracts and other derivatives</w:t>
      </w:r>
    </w:p>
    <w:p>
      <w:pPr>
        <w:spacing w:after="0" w:line="67" w:lineRule="exact"/>
        <w:rPr>
          <w:sz w:val="20"/>
          <w:szCs w:val="20"/>
          <w:color w:val="auto"/>
        </w:rPr>
      </w:pPr>
    </w:p>
    <w:p>
      <w:pPr>
        <w:ind w:left="2320"/>
        <w:spacing w:after="0"/>
        <w:rPr>
          <w:sz w:val="20"/>
          <w:szCs w:val="20"/>
          <w:color w:val="auto"/>
        </w:rPr>
      </w:pPr>
      <w:r>
        <w:rPr>
          <w:rFonts w:ascii="Arial" w:cs="Arial" w:eastAsia="Arial" w:hAnsi="Arial"/>
          <w:sz w:val="14"/>
          <w:szCs w:val="14"/>
          <w:color w:val="auto"/>
        </w:rPr>
        <w:t>Deferred credits and other</w:t>
      </w:r>
    </w:p>
    <w:p>
      <w:pPr>
        <w:spacing w:after="0" w:line="67" w:lineRule="exact"/>
        <w:rPr>
          <w:sz w:val="20"/>
          <w:szCs w:val="20"/>
          <w:color w:val="auto"/>
        </w:rPr>
      </w:pPr>
    </w:p>
    <w:p>
      <w:pPr>
        <w:ind w:left="2560"/>
        <w:spacing w:after="0"/>
        <w:rPr>
          <w:sz w:val="20"/>
          <w:szCs w:val="20"/>
          <w:color w:val="auto"/>
        </w:rPr>
      </w:pPr>
      <w:r>
        <w:rPr>
          <w:rFonts w:ascii="Arial" w:cs="Arial" w:eastAsia="Arial" w:hAnsi="Arial"/>
          <w:sz w:val="14"/>
          <w:szCs w:val="14"/>
          <w:color w:val="auto"/>
        </w:rPr>
        <w:t>Total deferred credits and other liabilities</w:t>
      </w:r>
    </w:p>
    <w:p>
      <w:pPr>
        <w:spacing w:after="0" w:line="283" w:lineRule="exact"/>
        <w:rPr>
          <w:sz w:val="20"/>
          <w:szCs w:val="20"/>
          <w:color w:val="auto"/>
        </w:rPr>
      </w:pPr>
    </w:p>
    <w:p>
      <w:pPr>
        <w:ind w:left="2080"/>
        <w:spacing w:after="0"/>
        <w:rPr>
          <w:sz w:val="20"/>
          <w:szCs w:val="20"/>
          <w:color w:val="auto"/>
        </w:rPr>
      </w:pPr>
      <w:r>
        <w:rPr>
          <w:rFonts w:ascii="Arial" w:cs="Arial" w:eastAsia="Arial" w:hAnsi="Arial"/>
          <w:sz w:val="14"/>
          <w:szCs w:val="14"/>
          <w:color w:val="auto"/>
        </w:rPr>
        <w:t>Preferred stock of subsidiaries</w:t>
      </w:r>
    </w:p>
    <w:p>
      <w:pPr>
        <w:spacing w:after="0" w:line="283" w:lineRule="exact"/>
        <w:rPr>
          <w:sz w:val="20"/>
          <w:szCs w:val="20"/>
          <w:color w:val="auto"/>
        </w:rPr>
      </w:pPr>
    </w:p>
    <w:p>
      <w:pPr>
        <w:ind w:left="2080"/>
        <w:spacing w:after="0"/>
        <w:rPr>
          <w:sz w:val="20"/>
          <w:szCs w:val="20"/>
          <w:color w:val="auto"/>
        </w:rPr>
      </w:pPr>
      <w:r>
        <w:rPr>
          <w:rFonts w:ascii="Arial" w:cs="Arial" w:eastAsia="Arial" w:hAnsi="Arial"/>
          <w:sz w:val="14"/>
          <w:szCs w:val="14"/>
          <w:color w:val="auto"/>
        </w:rPr>
        <w:t>Minority interests</w:t>
      </w:r>
    </w:p>
    <w:p>
      <w:pPr>
        <w:spacing w:after="0" w:line="271" w:lineRule="exact"/>
        <w:rPr>
          <w:sz w:val="20"/>
          <w:szCs w:val="20"/>
          <w:color w:val="auto"/>
        </w:rPr>
      </w:pPr>
    </w:p>
    <w:p>
      <w:pPr>
        <w:jc w:val="center"/>
        <w:ind w:left="300"/>
        <w:spacing w:after="0"/>
        <w:rPr>
          <w:sz w:val="20"/>
          <w:szCs w:val="20"/>
          <w:color w:val="auto"/>
        </w:rPr>
      </w:pPr>
      <w:r>
        <w:rPr>
          <w:rFonts w:ascii="Arial" w:cs="Arial" w:eastAsia="Arial" w:hAnsi="Arial"/>
          <w:sz w:val="14"/>
          <w:szCs w:val="14"/>
          <w:color w:val="auto"/>
        </w:rPr>
        <w:t>Commitments and contingencies (Note 16)</w:t>
      </w:r>
    </w:p>
    <w:p>
      <w:pPr>
        <w:spacing w:after="0" w:line="271" w:lineRule="exact"/>
        <w:rPr>
          <w:sz w:val="20"/>
          <w:szCs w:val="20"/>
          <w:color w:val="auto"/>
        </w:rPr>
      </w:pPr>
    </w:p>
    <w:p>
      <w:pPr>
        <w:ind w:left="2080"/>
        <w:spacing w:after="0"/>
        <w:rPr>
          <w:sz w:val="20"/>
          <w:szCs w:val="20"/>
          <w:color w:val="auto"/>
        </w:rPr>
      </w:pPr>
      <w:r>
        <w:rPr>
          <w:rFonts w:ascii="Arial" w:cs="Arial" w:eastAsia="Arial" w:hAnsi="Arial"/>
          <w:sz w:val="14"/>
          <w:szCs w:val="14"/>
          <w:color w:val="auto"/>
        </w:rPr>
        <w:t>Shareholders' equity:</w:t>
      </w:r>
    </w:p>
    <w:p>
      <w:pPr>
        <w:spacing w:after="0" w:line="55" w:lineRule="exact"/>
        <w:rPr>
          <w:sz w:val="20"/>
          <w:szCs w:val="20"/>
          <w:color w:val="auto"/>
        </w:rPr>
      </w:pPr>
    </w:p>
    <w:p>
      <w:pPr>
        <w:ind w:left="2320"/>
        <w:spacing w:after="0"/>
        <w:rPr>
          <w:sz w:val="20"/>
          <w:szCs w:val="20"/>
          <w:color w:val="auto"/>
        </w:rPr>
      </w:pPr>
      <w:r>
        <w:rPr>
          <w:rFonts w:ascii="Arial" w:cs="Arial" w:eastAsia="Arial" w:hAnsi="Arial"/>
          <w:sz w:val="14"/>
          <w:szCs w:val="14"/>
          <w:color w:val="auto"/>
        </w:rPr>
        <w:t>Preferred stock (50 million shares authorized; none issued)</w:t>
      </w:r>
    </w:p>
    <w:p>
      <w:pPr>
        <w:spacing w:after="0" w:line="31" w:lineRule="exact"/>
        <w:rPr>
          <w:sz w:val="20"/>
          <w:szCs w:val="20"/>
          <w:color w:val="auto"/>
        </w:rPr>
      </w:pPr>
    </w:p>
    <w:p>
      <w:pPr>
        <w:jc w:val="both"/>
        <w:ind w:left="2480" w:hanging="167"/>
        <w:spacing w:after="0" w:line="259" w:lineRule="auto"/>
        <w:rPr>
          <w:sz w:val="20"/>
          <w:szCs w:val="20"/>
          <w:color w:val="auto"/>
        </w:rPr>
      </w:pPr>
      <w:r>
        <w:rPr>
          <w:rFonts w:ascii="Arial" w:cs="Arial" w:eastAsia="Arial" w:hAnsi="Arial"/>
          <w:sz w:val="14"/>
          <w:szCs w:val="14"/>
          <w:color w:val="auto"/>
        </w:rPr>
        <w:t>Common stock (750 million shares authorized; 243 million and 261 million shares outstanding at December 31, 2008 and December 31, 2007, respectively; no par value)</w:t>
      </w:r>
    </w:p>
    <w:p>
      <w:pPr>
        <w:spacing w:after="0" w:line="31" w:lineRule="exact"/>
        <w:rPr>
          <w:sz w:val="20"/>
          <w:szCs w:val="20"/>
          <w:color w:val="auto"/>
        </w:rPr>
      </w:pPr>
    </w:p>
    <w:p>
      <w:pPr>
        <w:ind w:left="2320"/>
        <w:spacing w:after="0"/>
        <w:rPr>
          <w:sz w:val="20"/>
          <w:szCs w:val="20"/>
          <w:color w:val="auto"/>
        </w:rPr>
      </w:pPr>
      <w:r>
        <w:rPr>
          <w:rFonts w:ascii="Arial" w:cs="Arial" w:eastAsia="Arial" w:hAnsi="Arial"/>
          <w:sz w:val="14"/>
          <w:szCs w:val="14"/>
          <w:color w:val="auto"/>
        </w:rPr>
        <w:t>Retained earnings</w:t>
      </w:r>
    </w:p>
    <w:p>
      <w:pPr>
        <w:spacing w:after="0" w:line="55" w:lineRule="exact"/>
        <w:rPr>
          <w:sz w:val="20"/>
          <w:szCs w:val="20"/>
          <w:color w:val="auto"/>
        </w:rPr>
      </w:pPr>
    </w:p>
    <w:p>
      <w:pPr>
        <w:ind w:left="2320"/>
        <w:spacing w:after="0"/>
        <w:rPr>
          <w:sz w:val="20"/>
          <w:szCs w:val="20"/>
          <w:color w:val="auto"/>
        </w:rPr>
      </w:pPr>
      <w:r>
        <w:rPr>
          <w:rFonts w:ascii="Arial" w:cs="Arial" w:eastAsia="Arial" w:hAnsi="Arial"/>
          <w:sz w:val="14"/>
          <w:szCs w:val="14"/>
          <w:color w:val="auto"/>
        </w:rPr>
        <w:t>Deferred compensation</w:t>
      </w:r>
    </w:p>
    <w:p>
      <w:pPr>
        <w:spacing w:after="0" w:line="67" w:lineRule="exact"/>
        <w:rPr>
          <w:sz w:val="20"/>
          <w:szCs w:val="20"/>
          <w:color w:val="auto"/>
        </w:rPr>
      </w:pPr>
    </w:p>
    <w:p>
      <w:pPr>
        <w:ind w:left="2320"/>
        <w:spacing w:after="0"/>
        <w:rPr>
          <w:sz w:val="20"/>
          <w:szCs w:val="20"/>
          <w:color w:val="auto"/>
        </w:rPr>
      </w:pPr>
      <w:r>
        <w:rPr>
          <w:rFonts w:ascii="Arial" w:cs="Arial" w:eastAsia="Arial" w:hAnsi="Arial"/>
          <w:sz w:val="14"/>
          <w:szCs w:val="14"/>
          <w:color w:val="auto"/>
        </w:rPr>
        <w:t>Accumulated other comprehensive income (loss)</w:t>
      </w:r>
    </w:p>
    <w:p>
      <w:pPr>
        <w:spacing w:after="0" w:line="67" w:lineRule="exact"/>
        <w:rPr>
          <w:sz w:val="20"/>
          <w:szCs w:val="20"/>
          <w:color w:val="auto"/>
        </w:rPr>
      </w:pPr>
    </w:p>
    <w:p>
      <w:pPr>
        <w:ind w:left="2560"/>
        <w:spacing w:after="0"/>
        <w:rPr>
          <w:sz w:val="20"/>
          <w:szCs w:val="20"/>
          <w:color w:val="auto"/>
        </w:rPr>
      </w:pPr>
      <w:r>
        <w:rPr>
          <w:rFonts w:ascii="Arial" w:cs="Arial" w:eastAsia="Arial" w:hAnsi="Arial"/>
          <w:sz w:val="14"/>
          <w:szCs w:val="14"/>
          <w:color w:val="auto"/>
        </w:rPr>
        <w:t>Total shareholders' equity</w:t>
      </w:r>
    </w:p>
    <w:p>
      <w:pPr>
        <w:spacing w:after="0" w:line="55" w:lineRule="exact"/>
        <w:rPr>
          <w:sz w:val="20"/>
          <w:szCs w:val="20"/>
          <w:color w:val="auto"/>
        </w:rPr>
      </w:pPr>
    </w:p>
    <w:p>
      <w:pPr>
        <w:ind w:left="2080"/>
        <w:spacing w:after="0"/>
        <w:rPr>
          <w:sz w:val="20"/>
          <w:szCs w:val="20"/>
          <w:color w:val="auto"/>
        </w:rPr>
      </w:pPr>
      <w:r>
        <w:rPr>
          <w:rFonts w:ascii="Arial" w:cs="Arial" w:eastAsia="Arial" w:hAnsi="Arial"/>
          <w:sz w:val="14"/>
          <w:szCs w:val="14"/>
          <w:color w:val="auto"/>
        </w:rPr>
        <w:t>Total liabilities and shareholders'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1316990</wp:posOffset>
            </wp:positionH>
            <wp:positionV relativeFrom="paragraph">
              <wp:posOffset>11430</wp:posOffset>
            </wp:positionV>
            <wp:extent cx="4630420" cy="2286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4630420" cy="228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2"/>
        </w:trPr>
        <w:tc>
          <w:tcPr>
            <w:tcW w:w="4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248"/>
              <w:spacing w:after="0"/>
              <w:rPr>
                <w:sz w:val="20"/>
                <w:szCs w:val="20"/>
                <w:color w:val="auto"/>
              </w:rPr>
            </w:pPr>
            <w:r>
              <w:rPr>
                <w:rFonts w:ascii="Arial" w:cs="Arial" w:eastAsia="Arial" w:hAnsi="Arial"/>
                <w:sz w:val="14"/>
                <w:szCs w:val="14"/>
                <w:color w:val="auto"/>
              </w:rPr>
              <w:t>503</w:t>
            </w:r>
          </w:p>
        </w:tc>
        <w:tc>
          <w:tcPr>
            <w:tcW w:w="4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88"/>
              <w:spacing w:after="0"/>
              <w:rPr>
                <w:sz w:val="20"/>
                <w:szCs w:val="20"/>
                <w:color w:val="auto"/>
              </w:rPr>
            </w:pPr>
            <w:r>
              <w:rPr>
                <w:rFonts w:ascii="Arial" w:cs="Arial" w:eastAsia="Arial" w:hAnsi="Arial"/>
                <w:sz w:val="14"/>
                <w:szCs w:val="14"/>
                <w:color w:val="auto"/>
              </w:rPr>
              <w:t>1,064</w:t>
            </w:r>
          </w:p>
        </w:tc>
      </w:tr>
      <w:tr>
        <w:trPr>
          <w:trHeight w:val="216"/>
        </w:trPr>
        <w:tc>
          <w:tcPr>
            <w:tcW w:w="400" w:type="dxa"/>
            <w:vAlign w:val="bottom"/>
          </w:tcPr>
          <w:p>
            <w:pPr>
              <w:spacing w:after="0"/>
              <w:rPr>
                <w:sz w:val="18"/>
                <w:szCs w:val="18"/>
                <w:color w:val="auto"/>
              </w:rPr>
            </w:pPr>
          </w:p>
        </w:tc>
        <w:tc>
          <w:tcPr>
            <w:tcW w:w="880" w:type="dxa"/>
            <w:vAlign w:val="bottom"/>
          </w:tcPr>
          <w:p>
            <w:pPr>
              <w:jc w:val="right"/>
              <w:ind w:right="248"/>
              <w:spacing w:after="0"/>
              <w:rPr>
                <w:sz w:val="20"/>
                <w:szCs w:val="20"/>
                <w:color w:val="auto"/>
              </w:rPr>
            </w:pPr>
            <w:r>
              <w:rPr>
                <w:rFonts w:ascii="Arial" w:cs="Arial" w:eastAsia="Arial" w:hAnsi="Arial"/>
                <w:sz w:val="14"/>
                <w:szCs w:val="14"/>
                <w:color w:val="auto"/>
              </w:rPr>
              <w:t>606</w:t>
            </w:r>
          </w:p>
        </w:tc>
        <w:tc>
          <w:tcPr>
            <w:tcW w:w="440" w:type="dxa"/>
            <w:vAlign w:val="bottom"/>
          </w:tcPr>
          <w:p>
            <w:pPr>
              <w:spacing w:after="0"/>
              <w:rPr>
                <w:sz w:val="18"/>
                <w:szCs w:val="18"/>
                <w:color w:val="auto"/>
              </w:rPr>
            </w:pPr>
          </w:p>
        </w:tc>
        <w:tc>
          <w:tcPr>
            <w:tcW w:w="720" w:type="dxa"/>
            <w:vAlign w:val="bottom"/>
          </w:tcPr>
          <w:p>
            <w:pPr>
              <w:jc w:val="right"/>
              <w:ind w:right="88"/>
              <w:spacing w:after="0"/>
              <w:rPr>
                <w:sz w:val="20"/>
                <w:szCs w:val="20"/>
                <w:color w:val="auto"/>
              </w:rPr>
            </w:pPr>
            <w:r>
              <w:rPr>
                <w:rFonts w:ascii="Arial" w:cs="Arial" w:eastAsia="Arial" w:hAnsi="Arial"/>
                <w:sz w:val="14"/>
                <w:szCs w:val="14"/>
                <w:color w:val="auto"/>
              </w:rPr>
              <w:t>1,374</w:t>
            </w:r>
          </w:p>
        </w:tc>
      </w:tr>
      <w:tr>
        <w:trPr>
          <w:trHeight w:val="216"/>
        </w:trPr>
        <w:tc>
          <w:tcPr>
            <w:tcW w:w="400" w:type="dxa"/>
            <w:vAlign w:val="bottom"/>
          </w:tcPr>
          <w:p>
            <w:pPr>
              <w:spacing w:after="0"/>
              <w:rPr>
                <w:sz w:val="18"/>
                <w:szCs w:val="18"/>
                <w:color w:val="auto"/>
              </w:rPr>
            </w:pPr>
          </w:p>
        </w:tc>
        <w:tc>
          <w:tcPr>
            <w:tcW w:w="880" w:type="dxa"/>
            <w:vAlign w:val="bottom"/>
          </w:tcPr>
          <w:p>
            <w:pPr>
              <w:jc w:val="right"/>
              <w:ind w:right="248"/>
              <w:spacing w:after="0"/>
              <w:rPr>
                <w:sz w:val="20"/>
                <w:szCs w:val="20"/>
                <w:color w:val="auto"/>
              </w:rPr>
            </w:pPr>
            <w:r>
              <w:rPr>
                <w:rFonts w:ascii="Arial" w:cs="Arial" w:eastAsia="Arial" w:hAnsi="Arial"/>
                <w:sz w:val="14"/>
                <w:szCs w:val="14"/>
                <w:color w:val="auto"/>
              </w:rPr>
              <w:t>250</w:t>
            </w:r>
          </w:p>
        </w:tc>
        <w:tc>
          <w:tcPr>
            <w:tcW w:w="440" w:type="dxa"/>
            <w:vAlign w:val="bottom"/>
          </w:tcPr>
          <w:p>
            <w:pPr>
              <w:spacing w:after="0"/>
              <w:rPr>
                <w:sz w:val="18"/>
                <w:szCs w:val="18"/>
                <w:color w:val="auto"/>
              </w:rPr>
            </w:pPr>
          </w:p>
        </w:tc>
        <w:tc>
          <w:tcPr>
            <w:tcW w:w="720" w:type="dxa"/>
            <w:vAlign w:val="bottom"/>
          </w:tcPr>
          <w:p>
            <w:pPr>
              <w:jc w:val="right"/>
              <w:ind w:right="88"/>
              <w:spacing w:after="0"/>
              <w:rPr>
                <w:sz w:val="20"/>
                <w:szCs w:val="20"/>
                <w:color w:val="auto"/>
              </w:rPr>
            </w:pPr>
            <w:r>
              <w:rPr>
                <w:rFonts w:ascii="Arial" w:cs="Arial" w:eastAsia="Arial" w:hAnsi="Arial"/>
                <w:sz w:val="14"/>
                <w:szCs w:val="14"/>
                <w:color w:val="auto"/>
              </w:rPr>
              <w:t>189</w:t>
            </w:r>
          </w:p>
        </w:tc>
      </w:tr>
      <w:tr>
        <w:trPr>
          <w:trHeight w:val="216"/>
        </w:trPr>
        <w:tc>
          <w:tcPr>
            <w:tcW w:w="400" w:type="dxa"/>
            <w:vAlign w:val="bottom"/>
          </w:tcPr>
          <w:p>
            <w:pPr>
              <w:spacing w:after="0"/>
              <w:rPr>
                <w:sz w:val="18"/>
                <w:szCs w:val="18"/>
                <w:color w:val="auto"/>
              </w:rPr>
            </w:pPr>
          </w:p>
        </w:tc>
        <w:tc>
          <w:tcPr>
            <w:tcW w:w="880" w:type="dxa"/>
            <w:vAlign w:val="bottom"/>
          </w:tcPr>
          <w:p>
            <w:pPr>
              <w:jc w:val="right"/>
              <w:ind w:right="248"/>
              <w:spacing w:after="0"/>
              <w:rPr>
                <w:sz w:val="20"/>
                <w:szCs w:val="20"/>
                <w:color w:val="auto"/>
              </w:rPr>
            </w:pPr>
            <w:r>
              <w:rPr>
                <w:rFonts w:ascii="Arial" w:cs="Arial" w:eastAsia="Arial" w:hAnsi="Arial"/>
                <w:sz w:val="14"/>
                <w:szCs w:val="14"/>
                <w:color w:val="auto"/>
              </w:rPr>
              <w:t>38</w:t>
            </w:r>
          </w:p>
        </w:tc>
        <w:tc>
          <w:tcPr>
            <w:tcW w:w="440" w:type="dxa"/>
            <w:vAlign w:val="bottom"/>
          </w:tcPr>
          <w:p>
            <w:pPr>
              <w:spacing w:after="0"/>
              <w:rPr>
                <w:sz w:val="18"/>
                <w:szCs w:val="18"/>
                <w:color w:val="auto"/>
              </w:rPr>
            </w:pPr>
          </w:p>
        </w:tc>
        <w:tc>
          <w:tcPr>
            <w:tcW w:w="720" w:type="dxa"/>
            <w:vAlign w:val="bottom"/>
          </w:tcPr>
          <w:p>
            <w:pPr>
              <w:jc w:val="right"/>
              <w:ind w:right="88"/>
              <w:spacing w:after="0"/>
              <w:rPr>
                <w:sz w:val="20"/>
                <w:szCs w:val="20"/>
                <w:color w:val="auto"/>
              </w:rPr>
            </w:pPr>
            <w:r>
              <w:rPr>
                <w:rFonts w:ascii="Arial" w:cs="Arial" w:eastAsia="Arial" w:hAnsi="Arial"/>
                <w:sz w:val="14"/>
                <w:szCs w:val="14"/>
                <w:color w:val="auto"/>
              </w:rPr>
              <w:t>60</w:t>
            </w:r>
          </w:p>
        </w:tc>
      </w:tr>
      <w:tr>
        <w:trPr>
          <w:trHeight w:val="216"/>
        </w:trPr>
        <w:tc>
          <w:tcPr>
            <w:tcW w:w="400" w:type="dxa"/>
            <w:vAlign w:val="bottom"/>
          </w:tcPr>
          <w:p>
            <w:pPr>
              <w:spacing w:after="0"/>
              <w:rPr>
                <w:sz w:val="18"/>
                <w:szCs w:val="18"/>
                <w:color w:val="auto"/>
              </w:rPr>
            </w:pPr>
          </w:p>
        </w:tc>
        <w:tc>
          <w:tcPr>
            <w:tcW w:w="88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8"/>
                <w:szCs w:val="18"/>
                <w:color w:val="auto"/>
              </w:rPr>
            </w:pPr>
          </w:p>
        </w:tc>
        <w:tc>
          <w:tcPr>
            <w:tcW w:w="720" w:type="dxa"/>
            <w:vAlign w:val="bottom"/>
          </w:tcPr>
          <w:p>
            <w:pPr>
              <w:jc w:val="right"/>
              <w:ind w:right="88"/>
              <w:spacing w:after="0"/>
              <w:rPr>
                <w:sz w:val="20"/>
                <w:szCs w:val="20"/>
                <w:color w:val="auto"/>
              </w:rPr>
            </w:pPr>
            <w:r>
              <w:rPr>
                <w:rFonts w:ascii="Arial" w:cs="Arial" w:eastAsia="Arial" w:hAnsi="Arial"/>
                <w:sz w:val="14"/>
                <w:szCs w:val="14"/>
                <w:color w:val="auto"/>
              </w:rPr>
              <w:t>2,265</w:t>
            </w:r>
          </w:p>
        </w:tc>
      </w:tr>
      <w:tr>
        <w:trPr>
          <w:trHeight w:val="216"/>
        </w:trPr>
        <w:tc>
          <w:tcPr>
            <w:tcW w:w="400" w:type="dxa"/>
            <w:vAlign w:val="bottom"/>
          </w:tcPr>
          <w:p>
            <w:pPr>
              <w:spacing w:after="0"/>
              <w:rPr>
                <w:sz w:val="18"/>
                <w:szCs w:val="18"/>
                <w:color w:val="auto"/>
              </w:rPr>
            </w:pPr>
          </w:p>
        </w:tc>
        <w:tc>
          <w:tcPr>
            <w:tcW w:w="88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8"/>
                <w:szCs w:val="18"/>
                <w:color w:val="auto"/>
              </w:rPr>
            </w:pPr>
          </w:p>
        </w:tc>
        <w:tc>
          <w:tcPr>
            <w:tcW w:w="720" w:type="dxa"/>
            <w:vAlign w:val="bottom"/>
          </w:tcPr>
          <w:p>
            <w:pPr>
              <w:jc w:val="right"/>
              <w:ind w:right="88"/>
              <w:spacing w:after="0"/>
              <w:rPr>
                <w:sz w:val="20"/>
                <w:szCs w:val="20"/>
                <w:color w:val="auto"/>
              </w:rPr>
            </w:pPr>
            <w:r>
              <w:rPr>
                <w:rFonts w:ascii="Arial" w:cs="Arial" w:eastAsia="Arial" w:hAnsi="Arial"/>
                <w:sz w:val="14"/>
                <w:szCs w:val="14"/>
                <w:color w:val="auto"/>
              </w:rPr>
              <w:t>1,672</w:t>
            </w:r>
          </w:p>
        </w:tc>
      </w:tr>
      <w:tr>
        <w:trPr>
          <w:trHeight w:val="216"/>
        </w:trPr>
        <w:tc>
          <w:tcPr>
            <w:tcW w:w="400" w:type="dxa"/>
            <w:vAlign w:val="bottom"/>
          </w:tcPr>
          <w:p>
            <w:pPr>
              <w:spacing w:after="0"/>
              <w:rPr>
                <w:sz w:val="18"/>
                <w:szCs w:val="18"/>
                <w:color w:val="auto"/>
              </w:rPr>
            </w:pPr>
          </w:p>
        </w:tc>
        <w:tc>
          <w:tcPr>
            <w:tcW w:w="88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8"/>
                <w:szCs w:val="18"/>
                <w:color w:val="auto"/>
              </w:rPr>
            </w:pPr>
          </w:p>
        </w:tc>
        <w:tc>
          <w:tcPr>
            <w:tcW w:w="720" w:type="dxa"/>
            <w:vAlign w:val="bottom"/>
          </w:tcPr>
          <w:p>
            <w:pPr>
              <w:jc w:val="right"/>
              <w:ind w:right="88"/>
              <w:spacing w:after="0"/>
              <w:rPr>
                <w:sz w:val="20"/>
                <w:szCs w:val="20"/>
                <w:color w:val="auto"/>
              </w:rPr>
            </w:pPr>
            <w:r>
              <w:rPr>
                <w:rFonts w:ascii="Arial" w:cs="Arial" w:eastAsia="Arial" w:hAnsi="Arial"/>
                <w:sz w:val="14"/>
                <w:szCs w:val="14"/>
                <w:color w:val="auto"/>
              </w:rPr>
              <w:t>500</w:t>
            </w:r>
          </w:p>
        </w:tc>
      </w:tr>
      <w:tr>
        <w:trPr>
          <w:trHeight w:val="216"/>
        </w:trPr>
        <w:tc>
          <w:tcPr>
            <w:tcW w:w="400" w:type="dxa"/>
            <w:vAlign w:val="bottom"/>
          </w:tcPr>
          <w:p>
            <w:pPr>
              <w:spacing w:after="0"/>
              <w:rPr>
                <w:sz w:val="18"/>
                <w:szCs w:val="18"/>
                <w:color w:val="auto"/>
              </w:rPr>
            </w:pPr>
          </w:p>
        </w:tc>
        <w:tc>
          <w:tcPr>
            <w:tcW w:w="880" w:type="dxa"/>
            <w:vAlign w:val="bottom"/>
          </w:tcPr>
          <w:p>
            <w:pPr>
              <w:jc w:val="right"/>
              <w:ind w:right="248"/>
              <w:spacing w:after="0"/>
              <w:rPr>
                <w:sz w:val="20"/>
                <w:szCs w:val="20"/>
                <w:color w:val="auto"/>
              </w:rPr>
            </w:pPr>
            <w:r>
              <w:rPr>
                <w:rFonts w:ascii="Arial" w:cs="Arial" w:eastAsia="Arial" w:hAnsi="Arial"/>
                <w:sz w:val="14"/>
                <w:szCs w:val="14"/>
                <w:color w:val="auto"/>
              </w:rPr>
              <w:t>156</w:t>
            </w:r>
          </w:p>
        </w:tc>
        <w:tc>
          <w:tcPr>
            <w:tcW w:w="440" w:type="dxa"/>
            <w:vAlign w:val="bottom"/>
          </w:tcPr>
          <w:p>
            <w:pPr>
              <w:spacing w:after="0"/>
              <w:rPr>
                <w:sz w:val="18"/>
                <w:szCs w:val="18"/>
                <w:color w:val="auto"/>
              </w:rPr>
            </w:pPr>
          </w:p>
        </w:tc>
        <w:tc>
          <w:tcPr>
            <w:tcW w:w="720" w:type="dxa"/>
            <w:vAlign w:val="bottom"/>
          </w:tcPr>
          <w:p>
            <w:pPr>
              <w:jc w:val="right"/>
              <w:ind w:right="88"/>
              <w:spacing w:after="0"/>
              <w:rPr>
                <w:sz w:val="20"/>
                <w:szCs w:val="20"/>
                <w:color w:val="auto"/>
              </w:rPr>
            </w:pPr>
            <w:r>
              <w:rPr>
                <w:rFonts w:ascii="Arial" w:cs="Arial" w:eastAsia="Arial" w:hAnsi="Arial"/>
                <w:sz w:val="14"/>
                <w:szCs w:val="14"/>
                <w:color w:val="auto"/>
              </w:rPr>
              <w:t>145</w:t>
            </w:r>
          </w:p>
        </w:tc>
      </w:tr>
      <w:tr>
        <w:trPr>
          <w:trHeight w:val="216"/>
        </w:trPr>
        <w:tc>
          <w:tcPr>
            <w:tcW w:w="400" w:type="dxa"/>
            <w:vAlign w:val="bottom"/>
          </w:tcPr>
          <w:p>
            <w:pPr>
              <w:spacing w:after="0"/>
              <w:rPr>
                <w:sz w:val="18"/>
                <w:szCs w:val="18"/>
                <w:color w:val="auto"/>
              </w:rPr>
            </w:pPr>
          </w:p>
        </w:tc>
        <w:tc>
          <w:tcPr>
            <w:tcW w:w="880" w:type="dxa"/>
            <w:vAlign w:val="bottom"/>
          </w:tcPr>
          <w:p>
            <w:pPr>
              <w:jc w:val="right"/>
              <w:ind w:right="248"/>
              <w:spacing w:after="0"/>
              <w:rPr>
                <w:sz w:val="20"/>
                <w:szCs w:val="20"/>
                <w:color w:val="auto"/>
              </w:rPr>
            </w:pPr>
            <w:r>
              <w:rPr>
                <w:rFonts w:ascii="Arial" w:cs="Arial" w:eastAsia="Arial" w:hAnsi="Arial"/>
                <w:sz w:val="14"/>
                <w:szCs w:val="14"/>
                <w:color w:val="auto"/>
              </w:rPr>
              <w:t>280</w:t>
            </w:r>
          </w:p>
        </w:tc>
        <w:tc>
          <w:tcPr>
            <w:tcW w:w="440" w:type="dxa"/>
            <w:vAlign w:val="bottom"/>
          </w:tcPr>
          <w:p>
            <w:pPr>
              <w:spacing w:after="0"/>
              <w:rPr>
                <w:sz w:val="18"/>
                <w:szCs w:val="18"/>
                <w:color w:val="auto"/>
              </w:rPr>
            </w:pPr>
          </w:p>
        </w:tc>
        <w:tc>
          <w:tcPr>
            <w:tcW w:w="720" w:type="dxa"/>
            <w:vAlign w:val="bottom"/>
          </w:tcPr>
          <w:p>
            <w:pPr>
              <w:jc w:val="right"/>
              <w:ind w:right="88"/>
              <w:spacing w:after="0"/>
              <w:rPr>
                <w:sz w:val="20"/>
                <w:szCs w:val="20"/>
                <w:color w:val="auto"/>
              </w:rPr>
            </w:pPr>
            <w:r>
              <w:rPr>
                <w:rFonts w:ascii="Arial" w:cs="Arial" w:eastAsia="Arial" w:hAnsi="Arial"/>
                <w:sz w:val="14"/>
                <w:szCs w:val="14"/>
                <w:color w:val="auto"/>
              </w:rPr>
              <w:t>265</w:t>
            </w:r>
          </w:p>
        </w:tc>
      </w:tr>
      <w:tr>
        <w:trPr>
          <w:trHeight w:val="216"/>
        </w:trPr>
        <w:tc>
          <w:tcPr>
            <w:tcW w:w="400" w:type="dxa"/>
            <w:vAlign w:val="bottom"/>
          </w:tcPr>
          <w:p>
            <w:pPr>
              <w:spacing w:after="0"/>
              <w:rPr>
                <w:sz w:val="18"/>
                <w:szCs w:val="18"/>
                <w:color w:val="auto"/>
              </w:rPr>
            </w:pPr>
          </w:p>
        </w:tc>
        <w:tc>
          <w:tcPr>
            <w:tcW w:w="880" w:type="dxa"/>
            <w:vAlign w:val="bottom"/>
          </w:tcPr>
          <w:p>
            <w:pPr>
              <w:jc w:val="right"/>
              <w:ind w:right="248"/>
              <w:spacing w:after="0"/>
              <w:rPr>
                <w:sz w:val="20"/>
                <w:szCs w:val="20"/>
                <w:color w:val="auto"/>
              </w:rPr>
            </w:pPr>
            <w:r>
              <w:rPr>
                <w:rFonts w:ascii="Arial" w:cs="Arial" w:eastAsia="Arial" w:hAnsi="Arial"/>
                <w:sz w:val="14"/>
                <w:szCs w:val="14"/>
                <w:color w:val="auto"/>
              </w:rPr>
              <w:t>335</w:t>
            </w:r>
          </w:p>
        </w:tc>
        <w:tc>
          <w:tcPr>
            <w:tcW w:w="440" w:type="dxa"/>
            <w:vAlign w:val="bottom"/>
          </w:tcPr>
          <w:p>
            <w:pPr>
              <w:spacing w:after="0"/>
              <w:rPr>
                <w:sz w:val="18"/>
                <w:szCs w:val="18"/>
                <w:color w:val="auto"/>
              </w:rPr>
            </w:pPr>
          </w:p>
        </w:tc>
        <w:tc>
          <w:tcPr>
            <w:tcW w:w="720" w:type="dxa"/>
            <w:vAlign w:val="bottom"/>
          </w:tcPr>
          <w:p>
            <w:pPr>
              <w:jc w:val="right"/>
              <w:ind w:right="88"/>
              <w:spacing w:after="0"/>
              <w:rPr>
                <w:sz w:val="20"/>
                <w:szCs w:val="20"/>
                <w:color w:val="auto"/>
              </w:rPr>
            </w:pPr>
            <w:r>
              <w:rPr>
                <w:rFonts w:ascii="Arial" w:cs="Arial" w:eastAsia="Arial" w:hAnsi="Arial"/>
                <w:sz w:val="14"/>
                <w:szCs w:val="14"/>
                <w:color w:val="auto"/>
              </w:rPr>
              <w:t>481</w:t>
            </w:r>
          </w:p>
        </w:tc>
      </w:tr>
      <w:tr>
        <w:trPr>
          <w:trHeight w:val="216"/>
        </w:trPr>
        <w:tc>
          <w:tcPr>
            <w:tcW w:w="400" w:type="dxa"/>
            <w:vAlign w:val="bottom"/>
          </w:tcPr>
          <w:p>
            <w:pPr>
              <w:spacing w:after="0"/>
              <w:rPr>
                <w:sz w:val="18"/>
                <w:szCs w:val="18"/>
                <w:color w:val="auto"/>
              </w:rPr>
            </w:pPr>
          </w:p>
        </w:tc>
        <w:tc>
          <w:tcPr>
            <w:tcW w:w="880" w:type="dxa"/>
            <w:vAlign w:val="bottom"/>
          </w:tcPr>
          <w:p>
            <w:pPr>
              <w:jc w:val="right"/>
              <w:ind w:right="248"/>
              <w:spacing w:after="0"/>
              <w:rPr>
                <w:sz w:val="20"/>
                <w:szCs w:val="20"/>
                <w:color w:val="auto"/>
              </w:rPr>
            </w:pPr>
            <w:r>
              <w:rPr>
                <w:rFonts w:ascii="Arial" w:cs="Arial" w:eastAsia="Arial" w:hAnsi="Arial"/>
                <w:sz w:val="14"/>
                <w:szCs w:val="14"/>
                <w:color w:val="auto"/>
              </w:rPr>
              <w:t>410</w:t>
            </w:r>
          </w:p>
        </w:tc>
        <w:tc>
          <w:tcPr>
            <w:tcW w:w="440" w:type="dxa"/>
            <w:vAlign w:val="bottom"/>
          </w:tcPr>
          <w:p>
            <w:pPr>
              <w:spacing w:after="0"/>
              <w:rPr>
                <w:sz w:val="18"/>
                <w:szCs w:val="18"/>
                <w:color w:val="auto"/>
              </w:rPr>
            </w:pPr>
          </w:p>
        </w:tc>
        <w:tc>
          <w:tcPr>
            <w:tcW w:w="720" w:type="dxa"/>
            <w:vAlign w:val="bottom"/>
          </w:tcPr>
          <w:p>
            <w:pPr>
              <w:jc w:val="right"/>
              <w:ind w:right="88"/>
              <w:spacing w:after="0"/>
              <w:rPr>
                <w:sz w:val="20"/>
                <w:szCs w:val="20"/>
                <w:color w:val="auto"/>
              </w:rPr>
            </w:pPr>
            <w:r>
              <w:rPr>
                <w:rFonts w:ascii="Arial" w:cs="Arial" w:eastAsia="Arial" w:hAnsi="Arial"/>
                <w:sz w:val="14"/>
                <w:szCs w:val="14"/>
                <w:color w:val="auto"/>
              </w:rPr>
              <w:t>7</w:t>
            </w:r>
          </w:p>
        </w:tc>
      </w:tr>
      <w:tr>
        <w:trPr>
          <w:trHeight w:val="216"/>
        </w:trPr>
        <w:tc>
          <w:tcPr>
            <w:tcW w:w="400" w:type="dxa"/>
            <w:vAlign w:val="bottom"/>
          </w:tcPr>
          <w:p>
            <w:pPr>
              <w:spacing w:after="0"/>
              <w:rPr>
                <w:sz w:val="18"/>
                <w:szCs w:val="18"/>
                <w:color w:val="auto"/>
              </w:rPr>
            </w:pPr>
          </w:p>
        </w:tc>
        <w:tc>
          <w:tcPr>
            <w:tcW w:w="880" w:type="dxa"/>
            <w:vAlign w:val="bottom"/>
          </w:tcPr>
          <w:p>
            <w:pPr>
              <w:jc w:val="right"/>
              <w:ind w:right="248"/>
              <w:spacing w:after="0"/>
              <w:rPr>
                <w:sz w:val="20"/>
                <w:szCs w:val="20"/>
                <w:color w:val="auto"/>
              </w:rPr>
            </w:pPr>
            <w:r>
              <w:rPr>
                <w:rFonts w:ascii="Arial" w:cs="Arial" w:eastAsia="Arial" w:hAnsi="Arial"/>
                <w:sz w:val="14"/>
                <w:szCs w:val="14"/>
                <w:color w:val="auto"/>
              </w:rPr>
              <w:t>180</w:t>
            </w:r>
          </w:p>
        </w:tc>
        <w:tc>
          <w:tcPr>
            <w:tcW w:w="440" w:type="dxa"/>
            <w:vAlign w:val="bottom"/>
          </w:tcPr>
          <w:p>
            <w:pPr>
              <w:spacing w:after="0"/>
              <w:rPr>
                <w:sz w:val="18"/>
                <w:szCs w:val="18"/>
                <w:color w:val="auto"/>
              </w:rPr>
            </w:pPr>
          </w:p>
        </w:tc>
        <w:tc>
          <w:tcPr>
            <w:tcW w:w="720" w:type="dxa"/>
            <w:vAlign w:val="bottom"/>
          </w:tcPr>
          <w:p>
            <w:pPr>
              <w:jc w:val="right"/>
              <w:ind w:right="88"/>
              <w:spacing w:after="0"/>
              <w:rPr>
                <w:sz w:val="20"/>
                <w:szCs w:val="20"/>
                <w:color w:val="auto"/>
              </w:rPr>
            </w:pPr>
            <w:r>
              <w:rPr>
                <w:rFonts w:ascii="Arial" w:cs="Arial" w:eastAsia="Arial" w:hAnsi="Arial"/>
                <w:sz w:val="14"/>
                <w:szCs w:val="14"/>
                <w:color w:val="auto"/>
              </w:rPr>
              <w:t>53</w:t>
            </w:r>
          </w:p>
        </w:tc>
      </w:tr>
      <w:tr>
        <w:trPr>
          <w:trHeight w:val="216"/>
        </w:trPr>
        <w:tc>
          <w:tcPr>
            <w:tcW w:w="400" w:type="dxa"/>
            <w:vAlign w:val="bottom"/>
          </w:tcPr>
          <w:p>
            <w:pPr>
              <w:spacing w:after="0"/>
              <w:rPr>
                <w:sz w:val="18"/>
                <w:szCs w:val="18"/>
                <w:color w:val="auto"/>
              </w:rPr>
            </w:pPr>
          </w:p>
        </w:tc>
        <w:tc>
          <w:tcPr>
            <w:tcW w:w="880" w:type="dxa"/>
            <w:vAlign w:val="bottom"/>
          </w:tcPr>
          <w:p>
            <w:pPr>
              <w:jc w:val="right"/>
              <w:ind w:right="248"/>
              <w:spacing w:after="0"/>
              <w:rPr>
                <w:sz w:val="20"/>
                <w:szCs w:val="20"/>
                <w:color w:val="auto"/>
              </w:rPr>
            </w:pPr>
            <w:r>
              <w:rPr>
                <w:rFonts w:ascii="Arial" w:cs="Arial" w:eastAsia="Arial" w:hAnsi="Arial"/>
                <w:sz w:val="14"/>
                <w:szCs w:val="14"/>
                <w:color w:val="auto"/>
              </w:rPr>
              <w:t>170</w:t>
            </w:r>
          </w:p>
        </w:tc>
        <w:tc>
          <w:tcPr>
            <w:tcW w:w="440" w:type="dxa"/>
            <w:vAlign w:val="bottom"/>
          </w:tcPr>
          <w:p>
            <w:pPr>
              <w:spacing w:after="0"/>
              <w:rPr>
                <w:sz w:val="18"/>
                <w:szCs w:val="18"/>
                <w:color w:val="auto"/>
              </w:rPr>
            </w:pPr>
          </w:p>
        </w:tc>
        <w:tc>
          <w:tcPr>
            <w:tcW w:w="720" w:type="dxa"/>
            <w:vAlign w:val="bottom"/>
          </w:tcPr>
          <w:p>
            <w:pPr>
              <w:jc w:val="right"/>
              <w:ind w:right="88"/>
              <w:spacing w:after="0"/>
              <w:rPr>
                <w:sz w:val="20"/>
                <w:szCs w:val="20"/>
                <w:color w:val="auto"/>
              </w:rPr>
            </w:pPr>
            <w:r>
              <w:rPr>
                <w:rFonts w:ascii="Arial" w:cs="Arial" w:eastAsia="Arial" w:hAnsi="Arial"/>
                <w:sz w:val="14"/>
                <w:szCs w:val="14"/>
                <w:color w:val="auto"/>
              </w:rPr>
              <w:t>143</w:t>
            </w:r>
          </w:p>
        </w:tc>
      </w:tr>
      <w:tr>
        <w:trPr>
          <w:trHeight w:val="219"/>
        </w:trPr>
        <w:tc>
          <w:tcPr>
            <w:tcW w:w="4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684</w:t>
            </w:r>
          </w:p>
        </w:tc>
        <w:tc>
          <w:tcPr>
            <w:tcW w:w="4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802</w:t>
            </w:r>
          </w:p>
        </w:tc>
      </w:tr>
      <w:tr>
        <w:trPr>
          <w:trHeight w:val="208"/>
        </w:trPr>
        <w:tc>
          <w:tcPr>
            <w:tcW w:w="4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3,612</w:t>
            </w:r>
          </w:p>
        </w:tc>
        <w:tc>
          <w:tcPr>
            <w:tcW w:w="4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9,020</w:t>
            </w:r>
          </w:p>
        </w:tc>
      </w:tr>
      <w:tr>
        <w:trPr>
          <w:trHeight w:val="424"/>
        </w:trPr>
        <w:tc>
          <w:tcPr>
            <w:tcW w:w="4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6,544</w:t>
            </w:r>
          </w:p>
        </w:tc>
        <w:tc>
          <w:tcPr>
            <w:tcW w:w="4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4,553</w:t>
            </w:r>
          </w:p>
        </w:tc>
      </w:tr>
      <w:tr>
        <w:trPr>
          <w:trHeight w:val="638"/>
        </w:trPr>
        <w:tc>
          <w:tcPr>
            <w:tcW w:w="400" w:type="dxa"/>
            <w:vAlign w:val="bottom"/>
          </w:tcPr>
          <w:p>
            <w:pPr>
              <w:spacing w:after="0"/>
              <w:rPr>
                <w:sz w:val="24"/>
                <w:szCs w:val="24"/>
                <w:color w:val="auto"/>
              </w:rPr>
            </w:pPr>
          </w:p>
        </w:tc>
        <w:tc>
          <w:tcPr>
            <w:tcW w:w="880" w:type="dxa"/>
            <w:vAlign w:val="bottom"/>
          </w:tcPr>
          <w:p>
            <w:pPr>
              <w:jc w:val="right"/>
              <w:ind w:right="248"/>
              <w:spacing w:after="0"/>
              <w:rPr>
                <w:sz w:val="20"/>
                <w:szCs w:val="20"/>
                <w:color w:val="auto"/>
              </w:rPr>
            </w:pPr>
            <w:r>
              <w:rPr>
                <w:rFonts w:ascii="Arial" w:cs="Arial" w:eastAsia="Arial" w:hAnsi="Arial"/>
                <w:sz w:val="14"/>
                <w:szCs w:val="14"/>
                <w:color w:val="auto"/>
              </w:rPr>
              <w:t>102</w:t>
            </w:r>
          </w:p>
        </w:tc>
        <w:tc>
          <w:tcPr>
            <w:tcW w:w="440" w:type="dxa"/>
            <w:vAlign w:val="bottom"/>
          </w:tcPr>
          <w:p>
            <w:pPr>
              <w:spacing w:after="0"/>
              <w:rPr>
                <w:sz w:val="24"/>
                <w:szCs w:val="24"/>
                <w:color w:val="auto"/>
              </w:rPr>
            </w:pPr>
          </w:p>
        </w:tc>
        <w:tc>
          <w:tcPr>
            <w:tcW w:w="720" w:type="dxa"/>
            <w:vAlign w:val="bottom"/>
          </w:tcPr>
          <w:p>
            <w:pPr>
              <w:jc w:val="right"/>
              <w:ind w:right="88"/>
              <w:spacing w:after="0"/>
              <w:rPr>
                <w:sz w:val="20"/>
                <w:szCs w:val="20"/>
                <w:color w:val="auto"/>
              </w:rPr>
            </w:pPr>
            <w:r>
              <w:rPr>
                <w:rFonts w:ascii="Arial" w:cs="Arial" w:eastAsia="Arial" w:hAnsi="Arial"/>
                <w:sz w:val="14"/>
                <w:szCs w:val="14"/>
                <w:color w:val="auto"/>
              </w:rPr>
              <w:t>102</w:t>
            </w:r>
          </w:p>
        </w:tc>
      </w:tr>
      <w:tr>
        <w:trPr>
          <w:trHeight w:val="216"/>
        </w:trPr>
        <w:tc>
          <w:tcPr>
            <w:tcW w:w="400" w:type="dxa"/>
            <w:vAlign w:val="bottom"/>
          </w:tcPr>
          <w:p>
            <w:pPr>
              <w:spacing w:after="0"/>
              <w:rPr>
                <w:sz w:val="18"/>
                <w:szCs w:val="18"/>
                <w:color w:val="auto"/>
              </w:rPr>
            </w:pPr>
          </w:p>
        </w:tc>
        <w:tc>
          <w:tcPr>
            <w:tcW w:w="880" w:type="dxa"/>
            <w:vAlign w:val="bottom"/>
          </w:tcPr>
          <w:p>
            <w:pPr>
              <w:jc w:val="right"/>
              <w:ind w:right="248"/>
              <w:spacing w:after="0"/>
              <w:rPr>
                <w:sz w:val="20"/>
                <w:szCs w:val="20"/>
                <w:color w:val="auto"/>
              </w:rPr>
            </w:pPr>
            <w:r>
              <w:rPr>
                <w:rFonts w:ascii="Arial" w:cs="Arial" w:eastAsia="Arial" w:hAnsi="Arial"/>
                <w:sz w:val="14"/>
                <w:szCs w:val="14"/>
                <w:color w:val="auto"/>
              </w:rPr>
              <w:t>155</w:t>
            </w:r>
          </w:p>
        </w:tc>
        <w:tc>
          <w:tcPr>
            <w:tcW w:w="440" w:type="dxa"/>
            <w:vAlign w:val="bottom"/>
          </w:tcPr>
          <w:p>
            <w:pPr>
              <w:spacing w:after="0"/>
              <w:rPr>
                <w:sz w:val="18"/>
                <w:szCs w:val="18"/>
                <w:color w:val="auto"/>
              </w:rPr>
            </w:pPr>
          </w:p>
        </w:tc>
        <w:tc>
          <w:tcPr>
            <w:tcW w:w="720" w:type="dxa"/>
            <w:vAlign w:val="bottom"/>
          </w:tcPr>
          <w:p>
            <w:pPr>
              <w:jc w:val="right"/>
              <w:ind w:right="88"/>
              <w:spacing w:after="0"/>
              <w:rPr>
                <w:sz w:val="20"/>
                <w:szCs w:val="20"/>
                <w:color w:val="auto"/>
              </w:rPr>
            </w:pPr>
            <w:r>
              <w:rPr>
                <w:rFonts w:ascii="Arial" w:cs="Arial" w:eastAsia="Arial" w:hAnsi="Arial"/>
                <w:sz w:val="14"/>
                <w:szCs w:val="14"/>
                <w:color w:val="auto"/>
              </w:rPr>
              <w:t>153</w:t>
            </w:r>
          </w:p>
        </w:tc>
      </w:tr>
      <w:tr>
        <w:trPr>
          <w:trHeight w:val="360"/>
        </w:trPr>
        <w:tc>
          <w:tcPr>
            <w:tcW w:w="400" w:type="dxa"/>
            <w:vAlign w:val="bottom"/>
          </w:tcPr>
          <w:p>
            <w:pPr>
              <w:spacing w:after="0"/>
              <w:rPr>
                <w:sz w:val="24"/>
                <w:szCs w:val="24"/>
                <w:color w:val="auto"/>
              </w:rPr>
            </w:pPr>
          </w:p>
        </w:tc>
        <w:tc>
          <w:tcPr>
            <w:tcW w:w="880" w:type="dxa"/>
            <w:vAlign w:val="bottom"/>
          </w:tcPr>
          <w:p>
            <w:pPr>
              <w:jc w:val="right"/>
              <w:ind w:right="248"/>
              <w:spacing w:after="0"/>
              <w:rPr>
                <w:sz w:val="20"/>
                <w:szCs w:val="20"/>
                <w:color w:val="auto"/>
              </w:rPr>
            </w:pPr>
            <w:r>
              <w:rPr>
                <w:rFonts w:ascii="Arial" w:cs="Arial" w:eastAsia="Arial" w:hAnsi="Arial"/>
                <w:sz w:val="14"/>
                <w:szCs w:val="14"/>
                <w:color w:val="auto"/>
              </w:rPr>
              <w:t>1,487</w:t>
            </w:r>
          </w:p>
        </w:tc>
        <w:tc>
          <w:tcPr>
            <w:tcW w:w="440" w:type="dxa"/>
            <w:vAlign w:val="bottom"/>
          </w:tcPr>
          <w:p>
            <w:pPr>
              <w:spacing w:after="0"/>
              <w:rPr>
                <w:sz w:val="24"/>
                <w:szCs w:val="24"/>
                <w:color w:val="auto"/>
              </w:rPr>
            </w:pPr>
          </w:p>
        </w:tc>
        <w:tc>
          <w:tcPr>
            <w:tcW w:w="720" w:type="dxa"/>
            <w:vAlign w:val="bottom"/>
          </w:tcPr>
          <w:p>
            <w:pPr>
              <w:jc w:val="right"/>
              <w:ind w:right="88"/>
              <w:spacing w:after="0"/>
              <w:rPr>
                <w:sz w:val="20"/>
                <w:szCs w:val="20"/>
                <w:color w:val="auto"/>
              </w:rPr>
            </w:pPr>
            <w:r>
              <w:rPr>
                <w:rFonts w:ascii="Arial" w:cs="Arial" w:eastAsia="Arial" w:hAnsi="Arial"/>
                <w:sz w:val="14"/>
                <w:szCs w:val="14"/>
                <w:color w:val="auto"/>
              </w:rPr>
              <w:t>434</w:t>
            </w:r>
          </w:p>
        </w:tc>
      </w:tr>
      <w:tr>
        <w:trPr>
          <w:trHeight w:val="216"/>
        </w:trPr>
        <w:tc>
          <w:tcPr>
            <w:tcW w:w="400" w:type="dxa"/>
            <w:vAlign w:val="bottom"/>
          </w:tcPr>
          <w:p>
            <w:pPr>
              <w:spacing w:after="0"/>
              <w:rPr>
                <w:sz w:val="18"/>
                <w:szCs w:val="18"/>
                <w:color w:val="auto"/>
              </w:rPr>
            </w:pPr>
          </w:p>
        </w:tc>
        <w:tc>
          <w:tcPr>
            <w:tcW w:w="880" w:type="dxa"/>
            <w:vAlign w:val="bottom"/>
          </w:tcPr>
          <w:p>
            <w:pPr>
              <w:jc w:val="right"/>
              <w:ind w:right="248"/>
              <w:spacing w:after="0"/>
              <w:rPr>
                <w:sz w:val="20"/>
                <w:szCs w:val="20"/>
                <w:color w:val="auto"/>
              </w:rPr>
            </w:pPr>
            <w:r>
              <w:rPr>
                <w:rFonts w:ascii="Arial" w:cs="Arial" w:eastAsia="Arial" w:hAnsi="Arial"/>
                <w:sz w:val="14"/>
                <w:szCs w:val="14"/>
                <w:color w:val="auto"/>
              </w:rPr>
              <w:t>946</w:t>
            </w:r>
          </w:p>
        </w:tc>
        <w:tc>
          <w:tcPr>
            <w:tcW w:w="440" w:type="dxa"/>
            <w:vAlign w:val="bottom"/>
          </w:tcPr>
          <w:p>
            <w:pPr>
              <w:spacing w:after="0"/>
              <w:rPr>
                <w:sz w:val="18"/>
                <w:szCs w:val="18"/>
                <w:color w:val="auto"/>
              </w:rPr>
            </w:pPr>
          </w:p>
        </w:tc>
        <w:tc>
          <w:tcPr>
            <w:tcW w:w="720" w:type="dxa"/>
            <w:vAlign w:val="bottom"/>
          </w:tcPr>
          <w:p>
            <w:pPr>
              <w:jc w:val="right"/>
              <w:ind w:right="88"/>
              <w:spacing w:after="0"/>
              <w:rPr>
                <w:sz w:val="20"/>
                <w:szCs w:val="20"/>
                <w:color w:val="auto"/>
              </w:rPr>
            </w:pPr>
            <w:r>
              <w:rPr>
                <w:rFonts w:ascii="Arial" w:cs="Arial" w:eastAsia="Arial" w:hAnsi="Arial"/>
                <w:sz w:val="14"/>
                <w:szCs w:val="14"/>
                <w:color w:val="auto"/>
              </w:rPr>
              <w:t>531</w:t>
            </w:r>
          </w:p>
        </w:tc>
      </w:tr>
      <w:tr>
        <w:trPr>
          <w:trHeight w:val="216"/>
        </w:trPr>
        <w:tc>
          <w:tcPr>
            <w:tcW w:w="400" w:type="dxa"/>
            <w:vAlign w:val="bottom"/>
          </w:tcPr>
          <w:p>
            <w:pPr>
              <w:spacing w:after="0"/>
              <w:rPr>
                <w:sz w:val="18"/>
                <w:szCs w:val="18"/>
                <w:color w:val="auto"/>
              </w:rPr>
            </w:pPr>
          </w:p>
        </w:tc>
        <w:tc>
          <w:tcPr>
            <w:tcW w:w="880" w:type="dxa"/>
            <w:vAlign w:val="bottom"/>
          </w:tcPr>
          <w:p>
            <w:pPr>
              <w:jc w:val="right"/>
              <w:ind w:right="248"/>
              <w:spacing w:after="0"/>
              <w:rPr>
                <w:sz w:val="20"/>
                <w:szCs w:val="20"/>
                <w:color w:val="auto"/>
              </w:rPr>
            </w:pPr>
            <w:r>
              <w:rPr>
                <w:rFonts w:ascii="Arial" w:cs="Arial" w:eastAsia="Arial" w:hAnsi="Arial"/>
                <w:sz w:val="14"/>
                <w:szCs w:val="14"/>
                <w:color w:val="auto"/>
              </w:rPr>
              <w:t>57</w:t>
            </w:r>
          </w:p>
        </w:tc>
        <w:tc>
          <w:tcPr>
            <w:tcW w:w="440" w:type="dxa"/>
            <w:vAlign w:val="bottom"/>
          </w:tcPr>
          <w:p>
            <w:pPr>
              <w:spacing w:after="0"/>
              <w:rPr>
                <w:sz w:val="18"/>
                <w:szCs w:val="18"/>
                <w:color w:val="auto"/>
              </w:rPr>
            </w:pPr>
          </w:p>
        </w:tc>
        <w:tc>
          <w:tcPr>
            <w:tcW w:w="720" w:type="dxa"/>
            <w:vAlign w:val="bottom"/>
          </w:tcPr>
          <w:p>
            <w:pPr>
              <w:jc w:val="right"/>
              <w:ind w:right="88"/>
              <w:spacing w:after="0"/>
              <w:rPr>
                <w:sz w:val="20"/>
                <w:szCs w:val="20"/>
                <w:color w:val="auto"/>
              </w:rPr>
            </w:pPr>
            <w:r>
              <w:rPr>
                <w:rFonts w:ascii="Arial" w:cs="Arial" w:eastAsia="Arial" w:hAnsi="Arial"/>
                <w:sz w:val="14"/>
                <w:szCs w:val="14"/>
                <w:color w:val="auto"/>
              </w:rPr>
              <w:t>61</w:t>
            </w:r>
          </w:p>
        </w:tc>
      </w:tr>
      <w:tr>
        <w:trPr>
          <w:trHeight w:val="216"/>
        </w:trPr>
        <w:tc>
          <w:tcPr>
            <w:tcW w:w="400" w:type="dxa"/>
            <w:vAlign w:val="bottom"/>
          </w:tcPr>
          <w:p>
            <w:pPr>
              <w:spacing w:after="0"/>
              <w:rPr>
                <w:sz w:val="18"/>
                <w:szCs w:val="18"/>
                <w:color w:val="auto"/>
              </w:rPr>
            </w:pPr>
          </w:p>
        </w:tc>
        <w:tc>
          <w:tcPr>
            <w:tcW w:w="880" w:type="dxa"/>
            <w:vAlign w:val="bottom"/>
          </w:tcPr>
          <w:p>
            <w:pPr>
              <w:jc w:val="right"/>
              <w:ind w:right="248"/>
              <w:spacing w:after="0"/>
              <w:rPr>
                <w:sz w:val="20"/>
                <w:szCs w:val="20"/>
                <w:color w:val="auto"/>
              </w:rPr>
            </w:pPr>
            <w:r>
              <w:rPr>
                <w:rFonts w:ascii="Arial" w:cs="Arial" w:eastAsia="Arial" w:hAnsi="Arial"/>
                <w:sz w:val="14"/>
                <w:szCs w:val="14"/>
                <w:color w:val="auto"/>
              </w:rPr>
              <w:t>2,430</w:t>
            </w:r>
          </w:p>
        </w:tc>
        <w:tc>
          <w:tcPr>
            <w:tcW w:w="440" w:type="dxa"/>
            <w:vAlign w:val="bottom"/>
          </w:tcPr>
          <w:p>
            <w:pPr>
              <w:spacing w:after="0"/>
              <w:rPr>
                <w:sz w:val="18"/>
                <w:szCs w:val="18"/>
                <w:color w:val="auto"/>
              </w:rPr>
            </w:pPr>
          </w:p>
        </w:tc>
        <w:tc>
          <w:tcPr>
            <w:tcW w:w="720" w:type="dxa"/>
            <w:vAlign w:val="bottom"/>
          </w:tcPr>
          <w:p>
            <w:pPr>
              <w:jc w:val="right"/>
              <w:ind w:right="88"/>
              <w:spacing w:after="0"/>
              <w:rPr>
                <w:sz w:val="20"/>
                <w:szCs w:val="20"/>
                <w:color w:val="auto"/>
              </w:rPr>
            </w:pPr>
            <w:r>
              <w:rPr>
                <w:rFonts w:ascii="Arial" w:cs="Arial" w:eastAsia="Arial" w:hAnsi="Arial"/>
                <w:sz w:val="14"/>
                <w:szCs w:val="14"/>
                <w:color w:val="auto"/>
              </w:rPr>
              <w:t>2,522</w:t>
            </w:r>
          </w:p>
        </w:tc>
      </w:tr>
      <w:tr>
        <w:trPr>
          <w:trHeight w:val="216"/>
        </w:trPr>
        <w:tc>
          <w:tcPr>
            <w:tcW w:w="400" w:type="dxa"/>
            <w:vAlign w:val="bottom"/>
          </w:tcPr>
          <w:p>
            <w:pPr>
              <w:spacing w:after="0"/>
              <w:rPr>
                <w:sz w:val="18"/>
                <w:szCs w:val="18"/>
                <w:color w:val="auto"/>
              </w:rPr>
            </w:pPr>
          </w:p>
        </w:tc>
        <w:tc>
          <w:tcPr>
            <w:tcW w:w="880" w:type="dxa"/>
            <w:vAlign w:val="bottom"/>
          </w:tcPr>
          <w:p>
            <w:pPr>
              <w:jc w:val="right"/>
              <w:ind w:right="248"/>
              <w:spacing w:after="0"/>
              <w:rPr>
                <w:sz w:val="20"/>
                <w:szCs w:val="20"/>
                <w:color w:val="auto"/>
              </w:rPr>
            </w:pPr>
            <w:r>
              <w:rPr>
                <w:rFonts w:ascii="Arial" w:cs="Arial" w:eastAsia="Arial" w:hAnsi="Arial"/>
                <w:sz w:val="14"/>
                <w:szCs w:val="14"/>
                <w:color w:val="auto"/>
              </w:rPr>
              <w:t>1,159</w:t>
            </w:r>
          </w:p>
        </w:tc>
        <w:tc>
          <w:tcPr>
            <w:tcW w:w="440" w:type="dxa"/>
            <w:vAlign w:val="bottom"/>
          </w:tcPr>
          <w:p>
            <w:pPr>
              <w:spacing w:after="0"/>
              <w:rPr>
                <w:sz w:val="18"/>
                <w:szCs w:val="18"/>
                <w:color w:val="auto"/>
              </w:rPr>
            </w:pPr>
          </w:p>
        </w:tc>
        <w:tc>
          <w:tcPr>
            <w:tcW w:w="720" w:type="dxa"/>
            <w:vAlign w:val="bottom"/>
          </w:tcPr>
          <w:p>
            <w:pPr>
              <w:jc w:val="right"/>
              <w:ind w:right="88"/>
              <w:spacing w:after="0"/>
              <w:rPr>
                <w:sz w:val="20"/>
                <w:szCs w:val="20"/>
                <w:color w:val="auto"/>
              </w:rPr>
            </w:pPr>
            <w:r>
              <w:rPr>
                <w:rFonts w:ascii="Arial" w:cs="Arial" w:eastAsia="Arial" w:hAnsi="Arial"/>
                <w:sz w:val="14"/>
                <w:szCs w:val="14"/>
                <w:color w:val="auto"/>
              </w:rPr>
              <w:t>1,129</w:t>
            </w:r>
          </w:p>
        </w:tc>
      </w:tr>
      <w:tr>
        <w:trPr>
          <w:trHeight w:val="216"/>
        </w:trPr>
        <w:tc>
          <w:tcPr>
            <w:tcW w:w="400" w:type="dxa"/>
            <w:vAlign w:val="bottom"/>
          </w:tcPr>
          <w:p>
            <w:pPr>
              <w:spacing w:after="0"/>
              <w:rPr>
                <w:sz w:val="18"/>
                <w:szCs w:val="18"/>
                <w:color w:val="auto"/>
              </w:rPr>
            </w:pPr>
          </w:p>
        </w:tc>
        <w:tc>
          <w:tcPr>
            <w:tcW w:w="880" w:type="dxa"/>
            <w:vAlign w:val="bottom"/>
          </w:tcPr>
          <w:p>
            <w:pPr>
              <w:jc w:val="right"/>
              <w:ind w:right="248"/>
              <w:spacing w:after="0"/>
              <w:rPr>
                <w:sz w:val="20"/>
                <w:szCs w:val="20"/>
                <w:color w:val="auto"/>
              </w:rPr>
            </w:pPr>
            <w:r>
              <w:rPr>
                <w:rFonts w:ascii="Arial" w:cs="Arial" w:eastAsia="Arial" w:hAnsi="Arial"/>
                <w:sz w:val="14"/>
                <w:szCs w:val="14"/>
                <w:color w:val="auto"/>
              </w:rPr>
              <w:t>219</w:t>
            </w:r>
          </w:p>
        </w:tc>
        <w:tc>
          <w:tcPr>
            <w:tcW w:w="440" w:type="dxa"/>
            <w:vAlign w:val="bottom"/>
          </w:tcPr>
          <w:p>
            <w:pPr>
              <w:spacing w:after="0"/>
              <w:rPr>
                <w:sz w:val="18"/>
                <w:szCs w:val="18"/>
                <w:color w:val="auto"/>
              </w:rPr>
            </w:pPr>
          </w:p>
        </w:tc>
        <w:tc>
          <w:tcPr>
            <w:tcW w:w="720" w:type="dxa"/>
            <w:vAlign w:val="bottom"/>
          </w:tcPr>
          <w:p>
            <w:pPr>
              <w:jc w:val="right"/>
              <w:ind w:right="88"/>
              <w:spacing w:after="0"/>
              <w:rPr>
                <w:sz w:val="20"/>
                <w:szCs w:val="20"/>
                <w:color w:val="auto"/>
              </w:rPr>
            </w:pPr>
            <w:r>
              <w:rPr>
                <w:rFonts w:ascii="Arial" w:cs="Arial" w:eastAsia="Arial" w:hAnsi="Arial"/>
                <w:sz w:val="14"/>
                <w:szCs w:val="14"/>
                <w:color w:val="auto"/>
              </w:rPr>
              <w:t>265</w:t>
            </w:r>
          </w:p>
        </w:tc>
      </w:tr>
      <w:tr>
        <w:trPr>
          <w:trHeight w:val="216"/>
        </w:trPr>
        <w:tc>
          <w:tcPr>
            <w:tcW w:w="400" w:type="dxa"/>
            <w:vAlign w:val="bottom"/>
          </w:tcPr>
          <w:p>
            <w:pPr>
              <w:spacing w:after="0"/>
              <w:rPr>
                <w:sz w:val="18"/>
                <w:szCs w:val="18"/>
                <w:color w:val="auto"/>
              </w:rPr>
            </w:pPr>
          </w:p>
        </w:tc>
        <w:tc>
          <w:tcPr>
            <w:tcW w:w="880" w:type="dxa"/>
            <w:vAlign w:val="bottom"/>
          </w:tcPr>
          <w:p>
            <w:pPr>
              <w:jc w:val="right"/>
              <w:ind w:right="248"/>
              <w:spacing w:after="0"/>
              <w:rPr>
                <w:sz w:val="20"/>
                <w:szCs w:val="20"/>
                <w:color w:val="auto"/>
              </w:rPr>
            </w:pPr>
            <w:r>
              <w:rPr>
                <w:rFonts w:ascii="Arial" w:cs="Arial" w:eastAsia="Arial" w:hAnsi="Arial"/>
                <w:sz w:val="14"/>
                <w:szCs w:val="14"/>
                <w:color w:val="auto"/>
              </w:rPr>
              <w:t>392</w:t>
            </w:r>
          </w:p>
        </w:tc>
        <w:tc>
          <w:tcPr>
            <w:tcW w:w="440" w:type="dxa"/>
            <w:vAlign w:val="bottom"/>
          </w:tcPr>
          <w:p>
            <w:pPr>
              <w:spacing w:after="0"/>
              <w:rPr>
                <w:sz w:val="18"/>
                <w:szCs w:val="18"/>
                <w:color w:val="auto"/>
              </w:rPr>
            </w:pPr>
          </w:p>
        </w:tc>
        <w:tc>
          <w:tcPr>
            <w:tcW w:w="720" w:type="dxa"/>
            <w:vAlign w:val="bottom"/>
          </w:tcPr>
          <w:p>
            <w:pPr>
              <w:jc w:val="right"/>
              <w:ind w:right="88"/>
              <w:spacing w:after="0"/>
              <w:rPr>
                <w:sz w:val="20"/>
                <w:szCs w:val="20"/>
                <w:color w:val="auto"/>
              </w:rPr>
            </w:pPr>
            <w:r>
              <w:rPr>
                <w:rFonts w:ascii="Arial" w:cs="Arial" w:eastAsia="Arial" w:hAnsi="Arial"/>
                <w:sz w:val="14"/>
                <w:szCs w:val="14"/>
                <w:color w:val="auto"/>
              </w:rPr>
              <w:t>332</w:t>
            </w:r>
          </w:p>
        </w:tc>
      </w:tr>
      <w:tr>
        <w:trPr>
          <w:trHeight w:val="219"/>
        </w:trPr>
        <w:tc>
          <w:tcPr>
            <w:tcW w:w="4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909</w:t>
            </w:r>
          </w:p>
        </w:tc>
        <w:tc>
          <w:tcPr>
            <w:tcW w:w="4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949</w:t>
            </w:r>
          </w:p>
        </w:tc>
      </w:tr>
      <w:tr>
        <w:trPr>
          <w:trHeight w:val="208"/>
        </w:trPr>
        <w:tc>
          <w:tcPr>
            <w:tcW w:w="4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7,856</w:t>
            </w:r>
          </w:p>
        </w:tc>
        <w:tc>
          <w:tcPr>
            <w:tcW w:w="4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6,478</w:t>
            </w:r>
          </w:p>
        </w:tc>
      </w:tr>
      <w:tr>
        <w:trPr>
          <w:trHeight w:val="424"/>
        </w:trPr>
        <w:tc>
          <w:tcPr>
            <w:tcW w:w="4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179</w:t>
            </w:r>
          </w:p>
        </w:tc>
        <w:tc>
          <w:tcPr>
            <w:tcW w:w="4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179</w:t>
            </w:r>
          </w:p>
        </w:tc>
      </w:tr>
      <w:tr>
        <w:trPr>
          <w:trHeight w:val="424"/>
        </w:trPr>
        <w:tc>
          <w:tcPr>
            <w:tcW w:w="4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240</w:t>
            </w:r>
          </w:p>
        </w:tc>
        <w:tc>
          <w:tcPr>
            <w:tcW w:w="4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148</w:t>
            </w:r>
          </w:p>
        </w:tc>
      </w:tr>
      <w:tr>
        <w:trPr>
          <w:trHeight w:val="1070"/>
        </w:trPr>
        <w:tc>
          <w:tcPr>
            <w:tcW w:w="400" w:type="dxa"/>
            <w:vAlign w:val="bottom"/>
          </w:tcPr>
          <w:p>
            <w:pPr>
              <w:spacing w:after="0"/>
              <w:rPr>
                <w:sz w:val="24"/>
                <w:szCs w:val="24"/>
                <w:color w:val="auto"/>
              </w:rPr>
            </w:pPr>
          </w:p>
        </w:tc>
        <w:tc>
          <w:tcPr>
            <w:tcW w:w="88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24"/>
                <w:szCs w:val="24"/>
                <w:color w:val="auto"/>
              </w:rPr>
            </w:pPr>
          </w:p>
        </w:tc>
        <w:tc>
          <w:tcPr>
            <w:tcW w:w="720" w:type="dxa"/>
            <w:vAlign w:val="bottom"/>
          </w:tcPr>
          <w:p>
            <w:pPr>
              <w:jc w:val="right"/>
              <w:ind w:right="88"/>
              <w:spacing w:after="0"/>
              <w:rPr>
                <w:sz w:val="20"/>
                <w:szCs w:val="20"/>
                <w:color w:val="auto"/>
              </w:rPr>
            </w:pPr>
            <w:r>
              <w:rPr>
                <w:rFonts w:ascii="Arial" w:cs="Arial" w:eastAsia="Arial" w:hAnsi="Arial"/>
                <w:sz w:val="14"/>
                <w:szCs w:val="14"/>
                <w:color w:val="auto"/>
              </w:rPr>
              <w:t>--</w:t>
            </w:r>
          </w:p>
        </w:tc>
      </w:tr>
      <w:tr>
        <w:trPr>
          <w:trHeight w:val="529"/>
        </w:trPr>
        <w:tc>
          <w:tcPr>
            <w:tcW w:w="400" w:type="dxa"/>
            <w:vAlign w:val="bottom"/>
          </w:tcPr>
          <w:p>
            <w:pPr>
              <w:spacing w:after="0"/>
              <w:rPr>
                <w:sz w:val="24"/>
                <w:szCs w:val="24"/>
                <w:color w:val="auto"/>
              </w:rPr>
            </w:pPr>
          </w:p>
        </w:tc>
        <w:tc>
          <w:tcPr>
            <w:tcW w:w="880" w:type="dxa"/>
            <w:vAlign w:val="bottom"/>
          </w:tcPr>
          <w:p>
            <w:pPr>
              <w:jc w:val="right"/>
              <w:ind w:right="248"/>
              <w:spacing w:after="0"/>
              <w:rPr>
                <w:sz w:val="20"/>
                <w:szCs w:val="20"/>
                <w:color w:val="auto"/>
              </w:rPr>
            </w:pPr>
            <w:r>
              <w:rPr>
                <w:rFonts w:ascii="Arial" w:cs="Arial" w:eastAsia="Arial" w:hAnsi="Arial"/>
                <w:sz w:val="14"/>
                <w:szCs w:val="14"/>
                <w:color w:val="auto"/>
              </w:rPr>
              <w:t>2,265</w:t>
            </w:r>
          </w:p>
        </w:tc>
        <w:tc>
          <w:tcPr>
            <w:tcW w:w="440" w:type="dxa"/>
            <w:vAlign w:val="bottom"/>
          </w:tcPr>
          <w:p>
            <w:pPr>
              <w:spacing w:after="0"/>
              <w:rPr>
                <w:sz w:val="24"/>
                <w:szCs w:val="24"/>
                <w:color w:val="auto"/>
              </w:rPr>
            </w:pPr>
          </w:p>
        </w:tc>
        <w:tc>
          <w:tcPr>
            <w:tcW w:w="720" w:type="dxa"/>
            <w:vAlign w:val="bottom"/>
          </w:tcPr>
          <w:p>
            <w:pPr>
              <w:jc w:val="right"/>
              <w:ind w:right="88"/>
              <w:spacing w:after="0"/>
              <w:rPr>
                <w:sz w:val="20"/>
                <w:szCs w:val="20"/>
                <w:color w:val="auto"/>
              </w:rPr>
            </w:pPr>
            <w:r>
              <w:rPr>
                <w:rFonts w:ascii="Arial" w:cs="Arial" w:eastAsia="Arial" w:hAnsi="Arial"/>
                <w:sz w:val="14"/>
                <w:szCs w:val="14"/>
                <w:color w:val="auto"/>
              </w:rPr>
              <w:t>3,198</w:t>
            </w:r>
          </w:p>
        </w:tc>
      </w:tr>
      <w:tr>
        <w:trPr>
          <w:trHeight w:val="216"/>
        </w:trPr>
        <w:tc>
          <w:tcPr>
            <w:tcW w:w="400" w:type="dxa"/>
            <w:vAlign w:val="bottom"/>
          </w:tcPr>
          <w:p>
            <w:pPr>
              <w:spacing w:after="0"/>
              <w:rPr>
                <w:sz w:val="18"/>
                <w:szCs w:val="18"/>
                <w:color w:val="auto"/>
              </w:rPr>
            </w:pPr>
          </w:p>
        </w:tc>
        <w:tc>
          <w:tcPr>
            <w:tcW w:w="880" w:type="dxa"/>
            <w:vAlign w:val="bottom"/>
          </w:tcPr>
          <w:p>
            <w:pPr>
              <w:jc w:val="right"/>
              <w:ind w:right="248"/>
              <w:spacing w:after="0"/>
              <w:rPr>
                <w:sz w:val="20"/>
                <w:szCs w:val="20"/>
                <w:color w:val="auto"/>
              </w:rPr>
            </w:pPr>
            <w:r>
              <w:rPr>
                <w:rFonts w:ascii="Arial" w:cs="Arial" w:eastAsia="Arial" w:hAnsi="Arial"/>
                <w:sz w:val="14"/>
                <w:szCs w:val="14"/>
                <w:color w:val="auto"/>
              </w:rPr>
              <w:t>6,235</w:t>
            </w:r>
          </w:p>
        </w:tc>
        <w:tc>
          <w:tcPr>
            <w:tcW w:w="440" w:type="dxa"/>
            <w:vAlign w:val="bottom"/>
          </w:tcPr>
          <w:p>
            <w:pPr>
              <w:spacing w:after="0"/>
              <w:rPr>
                <w:sz w:val="18"/>
                <w:szCs w:val="18"/>
                <w:color w:val="auto"/>
              </w:rPr>
            </w:pPr>
          </w:p>
        </w:tc>
        <w:tc>
          <w:tcPr>
            <w:tcW w:w="720" w:type="dxa"/>
            <w:vAlign w:val="bottom"/>
          </w:tcPr>
          <w:p>
            <w:pPr>
              <w:jc w:val="right"/>
              <w:ind w:right="88"/>
              <w:spacing w:after="0"/>
              <w:rPr>
                <w:sz w:val="20"/>
                <w:szCs w:val="20"/>
                <w:color w:val="auto"/>
              </w:rPr>
            </w:pPr>
            <w:r>
              <w:rPr>
                <w:rFonts w:ascii="Arial" w:cs="Arial" w:eastAsia="Arial" w:hAnsi="Arial"/>
                <w:sz w:val="14"/>
                <w:szCs w:val="14"/>
                <w:color w:val="auto"/>
              </w:rPr>
              <w:t>5,464</w:t>
            </w:r>
          </w:p>
        </w:tc>
      </w:tr>
      <w:tr>
        <w:trPr>
          <w:trHeight w:val="216"/>
        </w:trPr>
        <w:tc>
          <w:tcPr>
            <w:tcW w:w="400" w:type="dxa"/>
            <w:vAlign w:val="bottom"/>
          </w:tcPr>
          <w:p>
            <w:pPr>
              <w:spacing w:after="0"/>
              <w:rPr>
                <w:sz w:val="18"/>
                <w:szCs w:val="18"/>
                <w:color w:val="auto"/>
              </w:rPr>
            </w:pPr>
          </w:p>
        </w:tc>
        <w:tc>
          <w:tcPr>
            <w:tcW w:w="880" w:type="dxa"/>
            <w:vAlign w:val="bottom"/>
          </w:tcPr>
          <w:p>
            <w:pPr>
              <w:jc w:val="right"/>
              <w:ind w:right="188"/>
              <w:spacing w:after="0"/>
              <w:rPr>
                <w:sz w:val="20"/>
                <w:szCs w:val="20"/>
                <w:color w:val="auto"/>
              </w:rPr>
            </w:pPr>
            <w:r>
              <w:rPr>
                <w:rFonts w:ascii="Arial" w:cs="Arial" w:eastAsia="Arial" w:hAnsi="Arial"/>
                <w:sz w:val="14"/>
                <w:szCs w:val="14"/>
                <w:color w:val="auto"/>
              </w:rPr>
              <w:t>(18 )</w:t>
            </w:r>
          </w:p>
        </w:tc>
        <w:tc>
          <w:tcPr>
            <w:tcW w:w="440" w:type="dxa"/>
            <w:vAlign w:val="bottom"/>
          </w:tcPr>
          <w:p>
            <w:pPr>
              <w:spacing w:after="0"/>
              <w:rPr>
                <w:sz w:val="18"/>
                <w:szCs w:val="18"/>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(22 )</w:t>
            </w:r>
          </w:p>
        </w:tc>
      </w:tr>
      <w:tr>
        <w:trPr>
          <w:trHeight w:val="219"/>
        </w:trPr>
        <w:tc>
          <w:tcPr>
            <w:tcW w:w="4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(513 )</w:t>
            </w:r>
          </w:p>
        </w:tc>
        <w:tc>
          <w:tcPr>
            <w:tcW w:w="4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(301 )</w:t>
            </w:r>
          </w:p>
        </w:tc>
      </w:tr>
      <w:tr>
        <w:trPr>
          <w:trHeight w:val="208"/>
        </w:trPr>
        <w:tc>
          <w:tcPr>
            <w:tcW w:w="4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7,969</w:t>
            </w:r>
          </w:p>
        </w:tc>
        <w:tc>
          <w:tcPr>
            <w:tcW w:w="4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8,339</w:t>
            </w:r>
          </w:p>
        </w:tc>
      </w:tr>
      <w:tr>
        <w:trPr>
          <w:trHeight w:val="205"/>
        </w:trPr>
        <w:tc>
          <w:tcPr>
            <w:tcW w:w="4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248"/>
              <w:spacing w:after="0"/>
              <w:rPr>
                <w:sz w:val="20"/>
                <w:szCs w:val="20"/>
                <w:color w:val="auto"/>
              </w:rPr>
            </w:pPr>
            <w:r>
              <w:rPr>
                <w:rFonts w:ascii="Arial" w:cs="Arial" w:eastAsia="Arial" w:hAnsi="Arial"/>
                <w:sz w:val="14"/>
                <w:szCs w:val="14"/>
                <w:color w:val="auto"/>
              </w:rPr>
              <w:t>26,400</w:t>
            </w:r>
          </w:p>
        </w:tc>
        <w:tc>
          <w:tcPr>
            <w:tcW w:w="4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88"/>
              <w:spacing w:after="0"/>
              <w:rPr>
                <w:sz w:val="20"/>
                <w:szCs w:val="20"/>
                <w:color w:val="auto"/>
              </w:rPr>
            </w:pPr>
            <w:r>
              <w:rPr>
                <w:rFonts w:ascii="Arial" w:cs="Arial" w:eastAsia="Arial" w:hAnsi="Arial"/>
                <w:sz w:val="14"/>
                <w:szCs w:val="14"/>
                <w:color w:val="auto"/>
              </w:rPr>
              <w:t>28,717</w:t>
            </w:r>
          </w:p>
        </w:tc>
      </w:tr>
    </w:tbl>
    <w:p>
      <w:pPr>
        <w:spacing w:after="0" w:line="200" w:lineRule="exact"/>
        <w:rPr>
          <w:sz w:val="20"/>
          <w:szCs w:val="20"/>
          <w:color w:val="auto"/>
        </w:rPr>
      </w:pPr>
    </w:p>
    <w:p>
      <w:pPr>
        <w:sectPr>
          <w:pgSz w:w="11900" w:h="16838" w:orient="portrait"/>
          <w:cols w:equalWidth="0" w:num="2">
            <w:col w:w="6600" w:space="320"/>
            <w:col w:w="3299"/>
          </w:cols>
          <w:pgMar w:left="240" w:top="748" w:right="1440" w:bottom="1440" w:gutter="0" w:footer="0" w:header="0"/>
          <w:type w:val="continuous"/>
        </w:sectPr>
      </w:pPr>
    </w:p>
    <w:p>
      <w:pPr>
        <w:spacing w:after="0" w:line="99" w:lineRule="exact"/>
        <w:rPr>
          <w:sz w:val="20"/>
          <w:szCs w:val="20"/>
          <w:color w:val="auto"/>
        </w:rPr>
      </w:pPr>
    </w:p>
    <w:p>
      <w:pPr>
        <w:ind w:left="2080"/>
        <w:spacing w:after="0"/>
        <w:rPr>
          <w:sz w:val="20"/>
          <w:szCs w:val="20"/>
          <w:color w:val="auto"/>
        </w:rPr>
      </w:pPr>
      <w:r>
        <w:rPr>
          <w:rFonts w:ascii="Arial" w:cs="Arial" w:eastAsia="Arial" w:hAnsi="Arial"/>
          <w:sz w:val="13"/>
          <w:szCs w:val="13"/>
          <w:i w:val="1"/>
          <w:iCs w:val="1"/>
          <w:color w:val="auto"/>
        </w:rPr>
        <w:t>See Notes to Consolidated Financial Statements.</w:t>
      </w:r>
    </w:p>
    <w:p>
      <w:pPr>
        <w:spacing w:after="0" w:line="283" w:lineRule="exact"/>
        <w:rPr>
          <w:sz w:val="20"/>
          <w:szCs w:val="20"/>
          <w:color w:val="auto"/>
        </w:rPr>
      </w:pPr>
    </w:p>
    <w:p>
      <w:pPr>
        <w:ind w:left="2080"/>
        <w:spacing w:after="0"/>
        <w:rPr>
          <w:sz w:val="20"/>
          <w:szCs w:val="20"/>
          <w:color w:val="auto"/>
        </w:rPr>
      </w:pPr>
      <w:r>
        <w:rPr>
          <w:rFonts w:ascii="Arial" w:cs="Arial" w:eastAsia="Arial" w:hAnsi="Arial"/>
          <w:sz w:val="12"/>
          <w:szCs w:val="12"/>
          <w:i w:val="1"/>
          <w:iCs w:val="1"/>
          <w:color w:val="auto"/>
        </w:rPr>
        <w:t>* As adjusted for the retrospective adoption of FASB Staff Position FIN 39-1.</w:t>
      </w:r>
    </w:p>
    <w:p>
      <w:pPr>
        <w:sectPr>
          <w:pgSz w:w="11900" w:h="16838" w:orient="portrait"/>
          <w:cols w:equalWidth="0" w:num="1">
            <w:col w:w="10219"/>
          </w:cols>
          <w:pgMar w:left="240" w:top="748"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2"/>
          <w:szCs w:val="12"/>
          <w:color w:val="auto"/>
        </w:rPr>
        <w:t>71</w:t>
      </w:r>
    </w:p>
    <w:p>
      <w:pPr>
        <w:sectPr>
          <w:pgSz w:w="11900" w:h="16838" w:orient="portrait"/>
          <w:cols w:equalWidth="0" w:num="1">
            <w:col w:w="10219"/>
          </w:cols>
          <w:pgMar w:left="240" w:top="748" w:right="1440" w:bottom="1440" w:gutter="0" w:footer="0" w:header="0"/>
          <w:type w:val="continuous"/>
        </w:sectPr>
      </w:pPr>
    </w:p>
    <w:bookmarkStart w:id="211" w:name="page212"/>
    <w:bookmarkEnd w:id="211"/>
    <w:p>
      <w:pPr>
        <w:ind w:left="1920"/>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1362710</wp:posOffset>
            </wp:positionH>
            <wp:positionV relativeFrom="page">
              <wp:posOffset>470535</wp:posOffset>
            </wp:positionV>
            <wp:extent cx="4843780" cy="389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4843780" cy="389255"/>
                    </a:xfrm>
                    <a:prstGeom prst="rect">
                      <a:avLst/>
                    </a:prstGeom>
                    <a:noFill/>
                  </pic:spPr>
                </pic:pic>
              </a:graphicData>
            </a:graphic>
          </wp:anchor>
        </w:drawing>
        <w:t>SEMPRA ENERGY</w:t>
      </w:r>
    </w:p>
    <w:p>
      <w:pPr>
        <w:spacing w:after="0" w:line="31" w:lineRule="exact"/>
        <w:rPr>
          <w:sz w:val="20"/>
          <w:szCs w:val="20"/>
          <w:color w:val="auto"/>
        </w:rPr>
      </w:pPr>
    </w:p>
    <w:p>
      <w:pPr>
        <w:ind w:left="1920"/>
        <w:spacing w:after="0"/>
        <w:rPr>
          <w:sz w:val="20"/>
          <w:szCs w:val="20"/>
          <w:color w:val="auto"/>
        </w:rPr>
      </w:pPr>
      <w:r>
        <w:rPr>
          <w:rFonts w:ascii="Arial" w:cs="Arial" w:eastAsia="Arial" w:hAnsi="Arial"/>
          <w:sz w:val="14"/>
          <w:szCs w:val="14"/>
          <w:b w:val="1"/>
          <w:bCs w:val="1"/>
          <w:color w:val="auto"/>
        </w:rPr>
        <w:t>STATEMENTS OF CONSOLIDATED CASH FLOWS</w:t>
      </w:r>
    </w:p>
    <w:p>
      <w:pPr>
        <w:spacing w:after="0" w:line="76" w:lineRule="exact"/>
        <w:rPr>
          <w:sz w:val="20"/>
          <w:szCs w:val="20"/>
          <w:color w:val="auto"/>
        </w:rPr>
      </w:pPr>
    </w:p>
    <w:p>
      <w:pPr>
        <w:ind w:left="1920"/>
        <w:spacing w:after="0"/>
        <w:rPr>
          <w:sz w:val="20"/>
          <w:szCs w:val="20"/>
          <w:color w:val="auto"/>
        </w:rPr>
      </w:pPr>
      <w:r>
        <w:rPr>
          <w:rFonts w:ascii="Arial" w:cs="Arial" w:eastAsia="Arial" w:hAnsi="Arial"/>
          <w:sz w:val="13"/>
          <w:szCs w:val="13"/>
          <w:i w:val="1"/>
          <w:iCs w:val="1"/>
          <w:color w:val="auto"/>
        </w:rPr>
        <w:t>(Dollars in millions)</w:t>
      </w:r>
    </w:p>
    <w:p>
      <w:pPr>
        <w:spacing w:after="0" w:line="67" w:lineRule="exact"/>
        <w:rPr>
          <w:sz w:val="20"/>
          <w:szCs w:val="20"/>
          <w:color w:val="auto"/>
        </w:rPr>
      </w:pPr>
    </w:p>
    <w:p>
      <w:pPr>
        <w:jc w:val="center"/>
        <w:ind w:left="4260"/>
        <w:spacing w:after="0"/>
        <w:rPr>
          <w:sz w:val="20"/>
          <w:szCs w:val="20"/>
          <w:color w:val="auto"/>
        </w:rPr>
      </w:pPr>
      <w:r>
        <w:rPr>
          <w:rFonts w:ascii="Arial" w:cs="Arial" w:eastAsia="Arial" w:hAnsi="Arial"/>
          <w:sz w:val="13"/>
          <w:szCs w:val="13"/>
          <w:color w:val="auto"/>
        </w:rPr>
        <w:t>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3917950</wp:posOffset>
            </wp:positionH>
            <wp:positionV relativeFrom="paragraph">
              <wp:posOffset>8890</wp:posOffset>
            </wp:positionV>
            <wp:extent cx="2135505" cy="762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2135505" cy="7620"/>
                    </a:xfrm>
                    <a:prstGeom prst="rect">
                      <a:avLst/>
                    </a:prstGeom>
                    <a:noFill/>
                  </pic:spPr>
                </pic:pic>
              </a:graphicData>
            </a:graphic>
          </wp:anchor>
        </w:drawing>
      </w:r>
    </w:p>
    <w:p>
      <w:pPr>
        <w:spacing w:after="0" w:line="59" w:lineRule="exact"/>
        <w:rPr>
          <w:sz w:val="20"/>
          <w:szCs w:val="20"/>
          <w:color w:val="auto"/>
        </w:rPr>
      </w:pPr>
    </w:p>
    <w:p>
      <w:pPr>
        <w:jc w:val="both"/>
        <w:ind w:left="6580"/>
        <w:spacing w:after="0"/>
        <w:tabs>
          <w:tab w:leader="none" w:pos="7700" w:val="left"/>
          <w:tab w:leader="none" w:pos="8840" w:val="left"/>
        </w:tabs>
        <w:rPr>
          <w:sz w:val="20"/>
          <w:szCs w:val="20"/>
          <w:color w:val="auto"/>
        </w:rPr>
      </w:pPr>
      <w:r>
        <w:rPr>
          <w:rFonts w:ascii="Arial" w:cs="Arial" w:eastAsia="Arial" w:hAnsi="Arial"/>
          <w:sz w:val="13"/>
          <w:szCs w:val="13"/>
          <w:color w:val="auto"/>
        </w:rPr>
        <w:t>2008</w:t>
      </w:r>
      <w:r>
        <w:rPr>
          <w:sz w:val="20"/>
          <w:szCs w:val="20"/>
          <w:color w:val="auto"/>
        </w:rPr>
        <w:tab/>
      </w:r>
      <w:r>
        <w:rPr>
          <w:rFonts w:ascii="Arial" w:cs="Arial" w:eastAsia="Arial" w:hAnsi="Arial"/>
          <w:sz w:val="13"/>
          <w:szCs w:val="13"/>
          <w:color w:val="auto"/>
        </w:rPr>
        <w:t>2007</w:t>
      </w:r>
      <w:r>
        <w:rPr>
          <w:sz w:val="20"/>
          <w:szCs w:val="20"/>
          <w:color w:val="auto"/>
        </w:rPr>
        <w:tab/>
      </w:r>
      <w:r>
        <w:rPr>
          <w:rFonts w:ascii="Arial" w:cs="Arial" w:eastAsia="Arial" w:hAnsi="Arial"/>
          <w:sz w:val="12"/>
          <w:szCs w:val="12"/>
          <w:color w:val="auto"/>
        </w:rPr>
        <w:t>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1210310</wp:posOffset>
            </wp:positionH>
            <wp:positionV relativeFrom="paragraph">
              <wp:posOffset>8890</wp:posOffset>
            </wp:positionV>
            <wp:extent cx="4843780" cy="762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4843780" cy="7620"/>
                    </a:xfrm>
                    <a:prstGeom prst="rect">
                      <a:avLst/>
                    </a:prstGeom>
                    <a:noFill/>
                  </pic:spPr>
                </pic:pic>
              </a:graphicData>
            </a:graphic>
          </wp:anchor>
        </w:drawing>
      </w:r>
    </w:p>
    <w:p>
      <w:pPr>
        <w:sectPr>
          <w:pgSz w:w="11900" w:h="16838" w:orient="portrait"/>
          <w:cols w:equalWidth="0" w:num="1">
            <w:col w:w="10219"/>
          </w:cols>
          <w:pgMar w:left="240" w:top="748" w:right="1440" w:bottom="1440" w:gutter="0" w:footer="0" w:header="0"/>
        </w:sectPr>
      </w:pPr>
    </w:p>
    <w:p>
      <w:pPr>
        <w:spacing w:after="0" w:line="280" w:lineRule="exact"/>
        <w:rPr>
          <w:sz w:val="20"/>
          <w:szCs w:val="20"/>
          <w:color w:val="auto"/>
        </w:rPr>
      </w:pPr>
    </w:p>
    <w:p>
      <w:pPr>
        <w:ind w:left="2160" w:right="1060" w:hanging="251"/>
        <w:spacing w:after="0" w:line="304" w:lineRule="auto"/>
        <w:rPr>
          <w:sz w:val="20"/>
          <w:szCs w:val="20"/>
          <w:color w:val="auto"/>
        </w:rPr>
      </w:pPr>
      <w:r>
        <w:rPr>
          <w:rFonts w:ascii="Arial" w:cs="Arial" w:eastAsia="Arial" w:hAnsi="Arial"/>
          <w:sz w:val="14"/>
          <w:szCs w:val="14"/>
          <w:color w:val="auto"/>
        </w:rPr>
        <w:t>CASH FLOWS FROM OPERATING ACTIVITIES Net income</w:t>
      </w:r>
    </w:p>
    <w:p>
      <w:pPr>
        <w:spacing w:after="0" w:line="1" w:lineRule="exact"/>
        <w:rPr>
          <w:sz w:val="20"/>
          <w:szCs w:val="20"/>
          <w:color w:val="auto"/>
        </w:rPr>
      </w:pPr>
    </w:p>
    <w:p>
      <w:pPr>
        <w:ind w:left="2340" w:right="80" w:hanging="167"/>
        <w:spacing w:after="0" w:line="267" w:lineRule="auto"/>
        <w:rPr>
          <w:sz w:val="20"/>
          <w:szCs w:val="20"/>
          <w:color w:val="auto"/>
        </w:rPr>
      </w:pPr>
      <w:r>
        <w:rPr>
          <w:rFonts w:ascii="Arial" w:cs="Arial" w:eastAsia="Arial" w:hAnsi="Arial"/>
          <w:sz w:val="14"/>
          <w:szCs w:val="14"/>
          <w:color w:val="auto"/>
        </w:rPr>
        <w:t>Adjustments to reconcile net income to net cash provided by operating activities:</w:t>
      </w:r>
    </w:p>
    <w:p>
      <w:pPr>
        <w:spacing w:after="0" w:line="26" w:lineRule="exact"/>
        <w:rPr>
          <w:sz w:val="20"/>
          <w:szCs w:val="20"/>
          <w:color w:val="auto"/>
        </w:rPr>
      </w:pPr>
    </w:p>
    <w:p>
      <w:pPr>
        <w:ind w:left="2640"/>
        <w:spacing w:after="0"/>
        <w:rPr>
          <w:sz w:val="20"/>
          <w:szCs w:val="20"/>
          <w:color w:val="auto"/>
        </w:rPr>
      </w:pPr>
      <w:r>
        <w:rPr>
          <w:rFonts w:ascii="Arial" w:cs="Arial" w:eastAsia="Arial" w:hAnsi="Arial"/>
          <w:sz w:val="14"/>
          <w:szCs w:val="14"/>
          <w:color w:val="auto"/>
        </w:rPr>
        <w:t>Discontinued operations</w:t>
      </w:r>
    </w:p>
    <w:p>
      <w:pPr>
        <w:spacing w:after="0" w:line="55" w:lineRule="exact"/>
        <w:rPr>
          <w:sz w:val="20"/>
          <w:szCs w:val="20"/>
          <w:color w:val="auto"/>
        </w:rPr>
      </w:pPr>
    </w:p>
    <w:p>
      <w:pPr>
        <w:ind w:left="2640"/>
        <w:spacing w:after="0"/>
        <w:rPr>
          <w:sz w:val="20"/>
          <w:szCs w:val="20"/>
          <w:color w:val="auto"/>
        </w:rPr>
      </w:pPr>
      <w:r>
        <w:rPr>
          <w:rFonts w:ascii="Arial" w:cs="Arial" w:eastAsia="Arial" w:hAnsi="Arial"/>
          <w:sz w:val="14"/>
          <w:szCs w:val="14"/>
          <w:color w:val="auto"/>
        </w:rPr>
        <w:t>Depreciation and amortization</w:t>
      </w:r>
    </w:p>
    <w:p>
      <w:pPr>
        <w:spacing w:after="0" w:line="55" w:lineRule="exact"/>
        <w:rPr>
          <w:sz w:val="20"/>
          <w:szCs w:val="20"/>
          <w:color w:val="auto"/>
        </w:rPr>
      </w:pPr>
    </w:p>
    <w:p>
      <w:pPr>
        <w:ind w:left="2640"/>
        <w:spacing w:after="0"/>
        <w:rPr>
          <w:sz w:val="20"/>
          <w:szCs w:val="20"/>
          <w:color w:val="auto"/>
        </w:rPr>
      </w:pPr>
      <w:r>
        <w:rPr>
          <w:rFonts w:ascii="Arial" w:cs="Arial" w:eastAsia="Arial" w:hAnsi="Arial"/>
          <w:sz w:val="14"/>
          <w:szCs w:val="14"/>
          <w:color w:val="auto"/>
        </w:rPr>
        <w:t>Gains on sale of assets, net</w:t>
      </w:r>
    </w:p>
    <w:p>
      <w:pPr>
        <w:spacing w:after="0" w:line="55" w:lineRule="exact"/>
        <w:rPr>
          <w:sz w:val="20"/>
          <w:szCs w:val="20"/>
          <w:color w:val="auto"/>
        </w:rPr>
      </w:pPr>
    </w:p>
    <w:p>
      <w:pPr>
        <w:ind w:left="2640"/>
        <w:spacing w:after="0"/>
        <w:rPr>
          <w:sz w:val="20"/>
          <w:szCs w:val="20"/>
          <w:color w:val="auto"/>
        </w:rPr>
      </w:pPr>
      <w:r>
        <w:rPr>
          <w:rFonts w:ascii="Arial" w:cs="Arial" w:eastAsia="Arial" w:hAnsi="Arial"/>
          <w:sz w:val="14"/>
          <w:szCs w:val="14"/>
          <w:color w:val="auto"/>
        </w:rPr>
        <w:t>Deferred income taxes and investment tax credits</w:t>
      </w:r>
    </w:p>
    <w:p>
      <w:pPr>
        <w:spacing w:after="0" w:line="55" w:lineRule="exact"/>
        <w:rPr>
          <w:sz w:val="20"/>
          <w:szCs w:val="20"/>
          <w:color w:val="auto"/>
        </w:rPr>
      </w:pPr>
    </w:p>
    <w:p>
      <w:pPr>
        <w:ind w:left="2640"/>
        <w:spacing w:after="0"/>
        <w:rPr>
          <w:sz w:val="20"/>
          <w:szCs w:val="20"/>
          <w:color w:val="auto"/>
        </w:rPr>
      </w:pPr>
      <w:r>
        <w:rPr>
          <w:rFonts w:ascii="Arial" w:cs="Arial" w:eastAsia="Arial" w:hAnsi="Arial"/>
          <w:sz w:val="14"/>
          <w:szCs w:val="14"/>
          <w:color w:val="auto"/>
        </w:rPr>
        <w:t>Noncash rate-reduction bond expense</w:t>
      </w:r>
    </w:p>
    <w:p>
      <w:pPr>
        <w:spacing w:after="0" w:line="55" w:lineRule="exact"/>
        <w:rPr>
          <w:sz w:val="20"/>
          <w:szCs w:val="20"/>
          <w:color w:val="auto"/>
        </w:rPr>
      </w:pPr>
    </w:p>
    <w:p>
      <w:pPr>
        <w:ind w:left="2640"/>
        <w:spacing w:after="0"/>
        <w:rPr>
          <w:sz w:val="20"/>
          <w:szCs w:val="20"/>
          <w:color w:val="auto"/>
        </w:rPr>
      </w:pPr>
      <w:r>
        <w:rPr>
          <w:rFonts w:ascii="Arial" w:cs="Arial" w:eastAsia="Arial" w:hAnsi="Arial"/>
          <w:sz w:val="14"/>
          <w:szCs w:val="14"/>
          <w:color w:val="auto"/>
        </w:rPr>
        <w:t>Equity earnings</w:t>
      </w:r>
    </w:p>
    <w:p>
      <w:pPr>
        <w:spacing w:after="0" w:line="55" w:lineRule="exact"/>
        <w:rPr>
          <w:sz w:val="20"/>
          <w:szCs w:val="20"/>
          <w:color w:val="auto"/>
        </w:rPr>
      </w:pPr>
    </w:p>
    <w:p>
      <w:pPr>
        <w:ind w:left="2640"/>
        <w:spacing w:after="0"/>
        <w:rPr>
          <w:sz w:val="20"/>
          <w:szCs w:val="20"/>
          <w:color w:val="auto"/>
        </w:rPr>
      </w:pPr>
      <w:r>
        <w:rPr>
          <w:rFonts w:ascii="Arial" w:cs="Arial" w:eastAsia="Arial" w:hAnsi="Arial"/>
          <w:sz w:val="14"/>
          <w:szCs w:val="14"/>
          <w:color w:val="auto"/>
        </w:rPr>
        <w:t>Other</w:t>
      </w:r>
    </w:p>
    <w:p>
      <w:pPr>
        <w:spacing w:after="0" w:line="55" w:lineRule="exact"/>
        <w:rPr>
          <w:sz w:val="20"/>
          <w:szCs w:val="20"/>
          <w:color w:val="auto"/>
        </w:rPr>
      </w:pPr>
    </w:p>
    <w:p>
      <w:pPr>
        <w:ind w:left="2160"/>
        <w:spacing w:after="0"/>
        <w:rPr>
          <w:sz w:val="20"/>
          <w:szCs w:val="20"/>
          <w:color w:val="auto"/>
        </w:rPr>
      </w:pPr>
      <w:r>
        <w:rPr>
          <w:rFonts w:ascii="Arial" w:cs="Arial" w:eastAsia="Arial" w:hAnsi="Arial"/>
          <w:sz w:val="14"/>
          <w:szCs w:val="14"/>
          <w:color w:val="auto"/>
        </w:rPr>
        <w:t>Quasi-reorganization resolution</w:t>
      </w:r>
    </w:p>
    <w:p>
      <w:pPr>
        <w:spacing w:after="0" w:line="55" w:lineRule="exact"/>
        <w:rPr>
          <w:sz w:val="20"/>
          <w:szCs w:val="20"/>
          <w:color w:val="auto"/>
        </w:rPr>
      </w:pPr>
    </w:p>
    <w:p>
      <w:pPr>
        <w:jc w:val="both"/>
        <w:ind w:left="2160" w:right="760"/>
        <w:spacing w:after="0" w:line="328" w:lineRule="auto"/>
        <w:rPr>
          <w:sz w:val="20"/>
          <w:szCs w:val="20"/>
          <w:color w:val="auto"/>
        </w:rPr>
      </w:pPr>
      <w:r>
        <w:rPr>
          <w:rFonts w:ascii="Arial" w:cs="Arial" w:eastAsia="Arial" w:hAnsi="Arial"/>
          <w:sz w:val="14"/>
          <w:szCs w:val="14"/>
          <w:color w:val="auto"/>
        </w:rPr>
        <w:t>Net changes in other working capital components Distributions from RBS Sempra Commodities LLP Changes in other assets</w:t>
      </w:r>
    </w:p>
    <w:p>
      <w:pPr>
        <w:spacing w:after="0" w:line="1" w:lineRule="exact"/>
        <w:rPr>
          <w:sz w:val="20"/>
          <w:szCs w:val="20"/>
          <w:color w:val="auto"/>
        </w:rPr>
      </w:pPr>
    </w:p>
    <w:p>
      <w:pPr>
        <w:jc w:val="center"/>
        <w:ind w:right="80"/>
        <w:spacing w:after="0"/>
        <w:rPr>
          <w:sz w:val="20"/>
          <w:szCs w:val="20"/>
          <w:color w:val="auto"/>
        </w:rPr>
      </w:pPr>
      <w:r>
        <w:rPr>
          <w:rFonts w:ascii="Arial" w:cs="Arial" w:eastAsia="Arial" w:hAnsi="Arial"/>
          <w:sz w:val="14"/>
          <w:szCs w:val="14"/>
          <w:color w:val="auto"/>
        </w:rPr>
        <w:t>Changes in other liabilities</w:t>
      </w:r>
    </w:p>
    <w:p>
      <w:pPr>
        <w:spacing w:after="0" w:line="55" w:lineRule="exact"/>
        <w:rPr>
          <w:sz w:val="20"/>
          <w:szCs w:val="20"/>
          <w:color w:val="auto"/>
        </w:rPr>
      </w:pPr>
    </w:p>
    <w:p>
      <w:pPr>
        <w:ind w:left="2400"/>
        <w:spacing w:after="0"/>
        <w:rPr>
          <w:sz w:val="20"/>
          <w:szCs w:val="20"/>
          <w:color w:val="auto"/>
        </w:rPr>
      </w:pPr>
      <w:r>
        <w:rPr>
          <w:rFonts w:ascii="Arial" w:cs="Arial" w:eastAsia="Arial" w:hAnsi="Arial"/>
          <w:sz w:val="14"/>
          <w:szCs w:val="14"/>
          <w:color w:val="auto"/>
        </w:rPr>
        <w:t>Net cash provided by continuing operations</w:t>
      </w:r>
    </w:p>
    <w:p>
      <w:pPr>
        <w:spacing w:after="0" w:line="67" w:lineRule="exact"/>
        <w:rPr>
          <w:sz w:val="20"/>
          <w:szCs w:val="20"/>
          <w:color w:val="auto"/>
        </w:rPr>
      </w:pPr>
    </w:p>
    <w:p>
      <w:pPr>
        <w:ind w:left="2400"/>
        <w:spacing w:after="0"/>
        <w:rPr>
          <w:sz w:val="20"/>
          <w:szCs w:val="20"/>
          <w:color w:val="auto"/>
        </w:rPr>
      </w:pPr>
      <w:r>
        <w:rPr>
          <w:rFonts w:ascii="Arial" w:cs="Arial" w:eastAsia="Arial" w:hAnsi="Arial"/>
          <w:sz w:val="14"/>
          <w:szCs w:val="14"/>
          <w:color w:val="auto"/>
        </w:rPr>
        <w:t>Net cash used in discontinued operations</w:t>
      </w:r>
    </w:p>
    <w:p>
      <w:pPr>
        <w:spacing w:after="0" w:line="67" w:lineRule="exact"/>
        <w:rPr>
          <w:sz w:val="20"/>
          <w:szCs w:val="20"/>
          <w:color w:val="auto"/>
        </w:rPr>
      </w:pPr>
    </w:p>
    <w:p>
      <w:pPr>
        <w:ind w:left="2400"/>
        <w:spacing w:after="0"/>
        <w:rPr>
          <w:sz w:val="20"/>
          <w:szCs w:val="20"/>
          <w:color w:val="auto"/>
        </w:rPr>
      </w:pPr>
      <w:r>
        <w:rPr>
          <w:rFonts w:ascii="Arial" w:cs="Arial" w:eastAsia="Arial" w:hAnsi="Arial"/>
          <w:sz w:val="14"/>
          <w:szCs w:val="14"/>
          <w:color w:val="auto"/>
        </w:rPr>
        <w:t>Net cash provided by operating activities</w:t>
      </w:r>
    </w:p>
    <w:p>
      <w:pPr>
        <w:spacing w:after="0" w:line="271" w:lineRule="exact"/>
        <w:rPr>
          <w:sz w:val="20"/>
          <w:szCs w:val="20"/>
          <w:color w:val="auto"/>
        </w:rPr>
      </w:pPr>
    </w:p>
    <w:p>
      <w:pPr>
        <w:ind w:left="2160" w:right="940" w:hanging="251"/>
        <w:spacing w:after="0" w:line="304" w:lineRule="auto"/>
        <w:rPr>
          <w:sz w:val="20"/>
          <w:szCs w:val="20"/>
          <w:color w:val="auto"/>
        </w:rPr>
      </w:pPr>
      <w:r>
        <w:rPr>
          <w:rFonts w:ascii="Arial" w:cs="Arial" w:eastAsia="Arial" w:hAnsi="Arial"/>
          <w:sz w:val="14"/>
          <w:szCs w:val="14"/>
          <w:color w:val="auto"/>
        </w:rPr>
        <w:t>CASH FLOWS FROM INVESTING ACTIVITIES Expenditures for property, plant and equipment</w:t>
      </w:r>
    </w:p>
    <w:p>
      <w:pPr>
        <w:spacing w:after="0" w:line="1" w:lineRule="exact"/>
        <w:rPr>
          <w:sz w:val="20"/>
          <w:szCs w:val="20"/>
          <w:color w:val="auto"/>
        </w:rPr>
      </w:pPr>
    </w:p>
    <w:p>
      <w:pPr>
        <w:ind w:left="2340" w:right="60" w:hanging="167"/>
        <w:spacing w:after="0" w:line="267" w:lineRule="auto"/>
        <w:rPr>
          <w:sz w:val="20"/>
          <w:szCs w:val="20"/>
          <w:color w:val="auto"/>
        </w:rPr>
      </w:pPr>
      <w:r>
        <w:rPr>
          <w:rFonts w:ascii="Arial" w:cs="Arial" w:eastAsia="Arial" w:hAnsi="Arial"/>
          <w:sz w:val="14"/>
          <w:szCs w:val="14"/>
          <w:color w:val="auto"/>
        </w:rPr>
        <w:t>Proceeds from sale of assets from continuing operations, net of cash sold</w:t>
      </w:r>
    </w:p>
    <w:p>
      <w:pPr>
        <w:spacing w:after="0" w:line="2" w:lineRule="exact"/>
        <w:rPr>
          <w:sz w:val="20"/>
          <w:szCs w:val="20"/>
          <w:color w:val="auto"/>
        </w:rPr>
      </w:pPr>
    </w:p>
    <w:p>
      <w:pPr>
        <w:ind w:left="2340" w:right="120" w:hanging="167"/>
        <w:spacing w:after="0" w:line="267" w:lineRule="auto"/>
        <w:rPr>
          <w:sz w:val="20"/>
          <w:szCs w:val="20"/>
          <w:color w:val="auto"/>
        </w:rPr>
      </w:pPr>
      <w:r>
        <w:rPr>
          <w:rFonts w:ascii="Arial" w:cs="Arial" w:eastAsia="Arial" w:hAnsi="Arial"/>
          <w:sz w:val="14"/>
          <w:szCs w:val="14"/>
          <w:color w:val="auto"/>
        </w:rPr>
        <w:t>Expenditures for investments and acquisition of businesses, net of cash acquired</w:t>
      </w:r>
    </w:p>
    <w:p>
      <w:pPr>
        <w:spacing w:after="0" w:line="26" w:lineRule="exact"/>
        <w:rPr>
          <w:sz w:val="20"/>
          <w:szCs w:val="20"/>
          <w:color w:val="auto"/>
        </w:rPr>
      </w:pPr>
    </w:p>
    <w:p>
      <w:pPr>
        <w:ind w:left="2160"/>
        <w:spacing w:after="0"/>
        <w:rPr>
          <w:sz w:val="20"/>
          <w:szCs w:val="20"/>
          <w:color w:val="auto"/>
        </w:rPr>
      </w:pPr>
      <w:r>
        <w:rPr>
          <w:rFonts w:ascii="Arial" w:cs="Arial" w:eastAsia="Arial" w:hAnsi="Arial"/>
          <w:sz w:val="14"/>
          <w:szCs w:val="14"/>
          <w:color w:val="auto"/>
        </w:rPr>
        <w:t>Distributions from investments</w:t>
      </w:r>
    </w:p>
    <w:p>
      <w:pPr>
        <w:spacing w:after="0" w:line="55" w:lineRule="exact"/>
        <w:rPr>
          <w:sz w:val="20"/>
          <w:szCs w:val="20"/>
          <w:color w:val="auto"/>
        </w:rPr>
      </w:pPr>
    </w:p>
    <w:p>
      <w:pPr>
        <w:ind w:left="2160"/>
        <w:spacing w:after="0"/>
        <w:rPr>
          <w:sz w:val="20"/>
          <w:szCs w:val="20"/>
          <w:color w:val="auto"/>
        </w:rPr>
      </w:pPr>
      <w:r>
        <w:rPr>
          <w:rFonts w:ascii="Arial" w:cs="Arial" w:eastAsia="Arial" w:hAnsi="Arial"/>
          <w:sz w:val="14"/>
          <w:szCs w:val="14"/>
          <w:color w:val="auto"/>
        </w:rPr>
        <w:t>Purchases of nuclear decommissioning and other trust assets</w:t>
      </w:r>
    </w:p>
    <w:p>
      <w:pPr>
        <w:spacing w:after="0" w:line="31" w:lineRule="exact"/>
        <w:rPr>
          <w:sz w:val="20"/>
          <w:szCs w:val="20"/>
          <w:color w:val="auto"/>
        </w:rPr>
      </w:pPr>
    </w:p>
    <w:p>
      <w:pPr>
        <w:ind w:left="2340" w:right="120" w:hanging="167"/>
        <w:spacing w:after="0" w:line="267" w:lineRule="auto"/>
        <w:rPr>
          <w:sz w:val="20"/>
          <w:szCs w:val="20"/>
          <w:color w:val="auto"/>
        </w:rPr>
      </w:pPr>
      <w:r>
        <w:rPr>
          <w:rFonts w:ascii="Arial" w:cs="Arial" w:eastAsia="Arial" w:hAnsi="Arial"/>
          <w:sz w:val="14"/>
          <w:szCs w:val="14"/>
          <w:color w:val="auto"/>
        </w:rPr>
        <w:t>Proceeds from sales by nuclear decommissioning and other trusts</w:t>
      </w:r>
    </w:p>
    <w:p>
      <w:pPr>
        <w:spacing w:after="0" w:line="26" w:lineRule="exact"/>
        <w:rPr>
          <w:sz w:val="20"/>
          <w:szCs w:val="20"/>
          <w:color w:val="auto"/>
        </w:rPr>
      </w:pPr>
    </w:p>
    <w:p>
      <w:pPr>
        <w:ind w:left="2160" w:right="180"/>
        <w:spacing w:after="0" w:line="328" w:lineRule="auto"/>
        <w:rPr>
          <w:sz w:val="20"/>
          <w:szCs w:val="20"/>
          <w:color w:val="auto"/>
        </w:rPr>
      </w:pPr>
      <w:r>
        <w:rPr>
          <w:rFonts w:ascii="Arial" w:cs="Arial" w:eastAsia="Arial" w:hAnsi="Arial"/>
          <w:sz w:val="14"/>
          <w:szCs w:val="14"/>
          <w:color w:val="auto"/>
        </w:rPr>
        <w:t>Dividends received from equity method investments Decrease in notes receivable from unconsolidated affiliates Other</w:t>
      </w:r>
    </w:p>
    <w:p>
      <w:pPr>
        <w:spacing w:after="0" w:line="1" w:lineRule="exact"/>
        <w:rPr>
          <w:sz w:val="20"/>
          <w:szCs w:val="20"/>
          <w:color w:val="auto"/>
        </w:rPr>
      </w:pPr>
    </w:p>
    <w:p>
      <w:pPr>
        <w:ind w:left="2400"/>
        <w:spacing w:after="0"/>
        <w:rPr>
          <w:sz w:val="20"/>
          <w:szCs w:val="20"/>
          <w:color w:val="auto"/>
        </w:rPr>
      </w:pPr>
      <w:r>
        <w:rPr>
          <w:rFonts w:ascii="Arial" w:cs="Arial" w:eastAsia="Arial" w:hAnsi="Arial"/>
          <w:sz w:val="14"/>
          <w:szCs w:val="14"/>
          <w:color w:val="auto"/>
        </w:rPr>
        <w:t>Net cash used in continuing operations</w:t>
      </w:r>
    </w:p>
    <w:p>
      <w:pPr>
        <w:spacing w:after="0" w:line="67" w:lineRule="exact"/>
        <w:rPr>
          <w:sz w:val="20"/>
          <w:szCs w:val="20"/>
          <w:color w:val="auto"/>
        </w:rPr>
      </w:pPr>
    </w:p>
    <w:p>
      <w:pPr>
        <w:ind w:left="2400"/>
        <w:spacing w:after="0"/>
        <w:rPr>
          <w:sz w:val="20"/>
          <w:szCs w:val="20"/>
          <w:color w:val="auto"/>
        </w:rPr>
      </w:pPr>
      <w:r>
        <w:rPr>
          <w:rFonts w:ascii="Arial" w:cs="Arial" w:eastAsia="Arial" w:hAnsi="Arial"/>
          <w:sz w:val="14"/>
          <w:szCs w:val="14"/>
          <w:color w:val="auto"/>
        </w:rPr>
        <w:t>Net cash provided by discontinued operations</w:t>
      </w:r>
    </w:p>
    <w:p>
      <w:pPr>
        <w:spacing w:after="0" w:line="67" w:lineRule="exact"/>
        <w:rPr>
          <w:sz w:val="20"/>
          <w:szCs w:val="20"/>
          <w:color w:val="auto"/>
        </w:rPr>
      </w:pPr>
    </w:p>
    <w:p>
      <w:pPr>
        <w:ind w:left="2400"/>
        <w:spacing w:after="0"/>
        <w:rPr>
          <w:sz w:val="20"/>
          <w:szCs w:val="20"/>
          <w:color w:val="auto"/>
        </w:rPr>
      </w:pPr>
      <w:r>
        <w:rPr>
          <w:rFonts w:ascii="Arial" w:cs="Arial" w:eastAsia="Arial" w:hAnsi="Arial"/>
          <w:sz w:val="14"/>
          <w:szCs w:val="14"/>
          <w:color w:val="auto"/>
        </w:rPr>
        <w:t>Net cash used in investing activities</w:t>
      </w:r>
    </w:p>
    <w:p>
      <w:pPr>
        <w:spacing w:after="0" w:line="271" w:lineRule="exact"/>
        <w:rPr>
          <w:sz w:val="20"/>
          <w:szCs w:val="20"/>
          <w:color w:val="auto"/>
        </w:rPr>
      </w:pPr>
    </w:p>
    <w:p>
      <w:pPr>
        <w:ind w:left="1920"/>
        <w:spacing w:after="0"/>
        <w:rPr>
          <w:sz w:val="20"/>
          <w:szCs w:val="20"/>
          <w:color w:val="auto"/>
        </w:rPr>
      </w:pPr>
      <w:r>
        <w:rPr>
          <w:rFonts w:ascii="Arial" w:cs="Arial" w:eastAsia="Arial" w:hAnsi="Arial"/>
          <w:sz w:val="14"/>
          <w:szCs w:val="14"/>
          <w:color w:val="auto"/>
        </w:rPr>
        <w:t>CASH FLOWS FROM FINANCING ACTIVITIES</w:t>
      </w:r>
    </w:p>
    <w:p>
      <w:pPr>
        <w:spacing w:after="0" w:line="55" w:lineRule="exact"/>
        <w:rPr>
          <w:sz w:val="20"/>
          <w:szCs w:val="20"/>
          <w:color w:val="auto"/>
        </w:rPr>
      </w:pPr>
    </w:p>
    <w:p>
      <w:pPr>
        <w:ind w:left="2160"/>
        <w:spacing w:after="0"/>
        <w:rPr>
          <w:sz w:val="20"/>
          <w:szCs w:val="20"/>
          <w:color w:val="auto"/>
        </w:rPr>
      </w:pPr>
      <w:r>
        <w:rPr>
          <w:rFonts w:ascii="Arial" w:cs="Arial" w:eastAsia="Arial" w:hAnsi="Arial"/>
          <w:sz w:val="14"/>
          <w:szCs w:val="14"/>
          <w:color w:val="auto"/>
        </w:rPr>
        <w:t>Common dividends paid</w:t>
      </w:r>
    </w:p>
    <w:p>
      <w:pPr>
        <w:spacing w:after="0" w:line="55" w:lineRule="exact"/>
        <w:rPr>
          <w:sz w:val="20"/>
          <w:szCs w:val="20"/>
          <w:color w:val="auto"/>
        </w:rPr>
      </w:pPr>
    </w:p>
    <w:p>
      <w:pPr>
        <w:ind w:left="2160"/>
        <w:spacing w:after="0"/>
        <w:rPr>
          <w:sz w:val="20"/>
          <w:szCs w:val="20"/>
          <w:color w:val="auto"/>
        </w:rPr>
      </w:pPr>
      <w:r>
        <w:rPr>
          <w:rFonts w:ascii="Arial" w:cs="Arial" w:eastAsia="Arial" w:hAnsi="Arial"/>
          <w:sz w:val="14"/>
          <w:szCs w:val="14"/>
          <w:color w:val="auto"/>
        </w:rPr>
        <w:t>Issuances of common stock</w:t>
      </w:r>
    </w:p>
    <w:p>
      <w:pPr>
        <w:spacing w:after="0" w:line="55" w:lineRule="exact"/>
        <w:rPr>
          <w:sz w:val="20"/>
          <w:szCs w:val="20"/>
          <w:color w:val="auto"/>
        </w:rPr>
      </w:pPr>
    </w:p>
    <w:p>
      <w:pPr>
        <w:ind w:left="2160"/>
        <w:spacing w:after="0"/>
        <w:rPr>
          <w:sz w:val="20"/>
          <w:szCs w:val="20"/>
          <w:color w:val="auto"/>
        </w:rPr>
      </w:pPr>
      <w:r>
        <w:rPr>
          <w:rFonts w:ascii="Arial" w:cs="Arial" w:eastAsia="Arial" w:hAnsi="Arial"/>
          <w:sz w:val="14"/>
          <w:szCs w:val="14"/>
          <w:color w:val="auto"/>
        </w:rPr>
        <w:t>Repurchases of common stock</w:t>
      </w:r>
    </w:p>
    <w:p>
      <w:pPr>
        <w:spacing w:after="0" w:line="55" w:lineRule="exact"/>
        <w:rPr>
          <w:sz w:val="20"/>
          <w:szCs w:val="20"/>
          <w:color w:val="auto"/>
        </w:rPr>
      </w:pPr>
    </w:p>
    <w:p>
      <w:pPr>
        <w:ind w:left="2160"/>
        <w:spacing w:after="0"/>
        <w:rPr>
          <w:sz w:val="20"/>
          <w:szCs w:val="20"/>
          <w:color w:val="auto"/>
        </w:rPr>
      </w:pPr>
      <w:r>
        <w:rPr>
          <w:rFonts w:ascii="Arial" w:cs="Arial" w:eastAsia="Arial" w:hAnsi="Arial"/>
          <w:sz w:val="14"/>
          <w:szCs w:val="14"/>
          <w:color w:val="auto"/>
        </w:rPr>
        <w:t>Issuances of long-term debt</w:t>
      </w:r>
    </w:p>
    <w:p>
      <w:pPr>
        <w:spacing w:after="0" w:line="55" w:lineRule="exact"/>
        <w:rPr>
          <w:sz w:val="20"/>
          <w:szCs w:val="20"/>
          <w:color w:val="auto"/>
        </w:rPr>
      </w:pPr>
    </w:p>
    <w:p>
      <w:pPr>
        <w:ind w:left="2160"/>
        <w:spacing w:after="0"/>
        <w:rPr>
          <w:sz w:val="20"/>
          <w:szCs w:val="20"/>
          <w:color w:val="auto"/>
        </w:rPr>
      </w:pPr>
      <w:r>
        <w:rPr>
          <w:rFonts w:ascii="Arial" w:cs="Arial" w:eastAsia="Arial" w:hAnsi="Arial"/>
          <w:sz w:val="14"/>
          <w:szCs w:val="14"/>
          <w:color w:val="auto"/>
        </w:rPr>
        <w:t>Payments on long-term debt</w:t>
      </w:r>
    </w:p>
    <w:p>
      <w:pPr>
        <w:spacing w:after="0" w:line="55" w:lineRule="exact"/>
        <w:rPr>
          <w:sz w:val="20"/>
          <w:szCs w:val="20"/>
          <w:color w:val="auto"/>
        </w:rPr>
      </w:pPr>
    </w:p>
    <w:p>
      <w:pPr>
        <w:ind w:left="2160" w:right="760"/>
        <w:spacing w:after="0" w:line="328" w:lineRule="auto"/>
        <w:rPr>
          <w:sz w:val="20"/>
          <w:szCs w:val="20"/>
          <w:color w:val="auto"/>
        </w:rPr>
      </w:pPr>
      <w:r>
        <w:rPr>
          <w:rFonts w:ascii="Arial" w:cs="Arial" w:eastAsia="Arial" w:hAnsi="Arial"/>
          <w:sz w:val="14"/>
          <w:szCs w:val="14"/>
          <w:color w:val="auto"/>
        </w:rPr>
        <w:t>Increase (decrease) in short-term debt, net Financing transaction related to Sempra Financial Other</w:t>
      </w:r>
    </w:p>
    <w:p>
      <w:pPr>
        <w:spacing w:after="0" w:line="1" w:lineRule="exact"/>
        <w:rPr>
          <w:sz w:val="20"/>
          <w:szCs w:val="20"/>
          <w:color w:val="auto"/>
        </w:rPr>
      </w:pPr>
    </w:p>
    <w:p>
      <w:pPr>
        <w:ind w:left="2400"/>
        <w:spacing w:after="0"/>
        <w:rPr>
          <w:sz w:val="20"/>
          <w:szCs w:val="20"/>
          <w:color w:val="auto"/>
        </w:rPr>
      </w:pPr>
      <w:r>
        <w:rPr>
          <w:rFonts w:ascii="Arial" w:cs="Arial" w:eastAsia="Arial" w:hAnsi="Arial"/>
          <w:sz w:val="14"/>
          <w:szCs w:val="14"/>
          <w:color w:val="auto"/>
        </w:rPr>
        <w:t>Net cash provided by (used in) continuing operations</w:t>
      </w:r>
    </w:p>
    <w:p>
      <w:pPr>
        <w:spacing w:after="0" w:line="67" w:lineRule="exact"/>
        <w:rPr>
          <w:sz w:val="20"/>
          <w:szCs w:val="20"/>
          <w:color w:val="auto"/>
        </w:rPr>
      </w:pPr>
    </w:p>
    <w:p>
      <w:pPr>
        <w:ind w:left="2400"/>
        <w:spacing w:after="0"/>
        <w:rPr>
          <w:sz w:val="20"/>
          <w:szCs w:val="20"/>
          <w:color w:val="auto"/>
        </w:rPr>
      </w:pPr>
      <w:r>
        <w:rPr>
          <w:rFonts w:ascii="Arial" w:cs="Arial" w:eastAsia="Arial" w:hAnsi="Arial"/>
          <w:sz w:val="14"/>
          <w:szCs w:val="14"/>
          <w:color w:val="auto"/>
        </w:rPr>
        <w:t>Net cash provided by discontinued operations</w:t>
      </w:r>
    </w:p>
    <w:p>
      <w:pPr>
        <w:spacing w:after="0" w:line="67" w:lineRule="exact"/>
        <w:rPr>
          <w:sz w:val="20"/>
          <w:szCs w:val="20"/>
          <w:color w:val="auto"/>
        </w:rPr>
      </w:pPr>
    </w:p>
    <w:p>
      <w:pPr>
        <w:ind w:left="2400"/>
        <w:spacing w:after="0"/>
        <w:rPr>
          <w:sz w:val="20"/>
          <w:szCs w:val="20"/>
          <w:color w:val="auto"/>
        </w:rPr>
      </w:pPr>
      <w:r>
        <w:rPr>
          <w:rFonts w:ascii="Arial" w:cs="Arial" w:eastAsia="Arial" w:hAnsi="Arial"/>
          <w:sz w:val="14"/>
          <w:szCs w:val="14"/>
          <w:color w:val="auto"/>
        </w:rPr>
        <w:t>Net cash provided by (used in) financing activities</w:t>
      </w:r>
    </w:p>
    <w:p>
      <w:pPr>
        <w:spacing w:after="0" w:line="271" w:lineRule="exact"/>
        <w:rPr>
          <w:sz w:val="20"/>
          <w:szCs w:val="20"/>
          <w:color w:val="auto"/>
        </w:rPr>
      </w:pPr>
    </w:p>
    <w:p>
      <w:pPr>
        <w:ind w:left="1920" w:right="1020"/>
        <w:spacing w:after="0" w:line="331" w:lineRule="auto"/>
        <w:rPr>
          <w:sz w:val="20"/>
          <w:szCs w:val="20"/>
          <w:color w:val="auto"/>
        </w:rPr>
      </w:pPr>
      <w:r>
        <w:rPr>
          <w:rFonts w:ascii="Arial" w:cs="Arial" w:eastAsia="Arial" w:hAnsi="Arial"/>
          <w:sz w:val="14"/>
          <w:szCs w:val="14"/>
          <w:color w:val="auto"/>
        </w:rPr>
        <w:t>Increase (decrease) in cash and cash equivalents Cash and cash equivalents, January 1</w:t>
      </w:r>
    </w:p>
    <w:p>
      <w:pPr>
        <w:ind w:left="1920" w:right="120"/>
        <w:spacing w:after="0" w:line="339" w:lineRule="auto"/>
        <w:rPr>
          <w:sz w:val="20"/>
          <w:szCs w:val="20"/>
          <w:color w:val="auto"/>
        </w:rPr>
      </w:pPr>
      <w:r>
        <w:rPr>
          <w:rFonts w:ascii="Arial" w:cs="Arial" w:eastAsia="Arial" w:hAnsi="Arial"/>
          <w:sz w:val="14"/>
          <w:szCs w:val="14"/>
          <w:color w:val="auto"/>
        </w:rPr>
        <w:t>Cash assumed in connection with FIN 46(R) initial consolidation Cash and cash equivalents,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1210310</wp:posOffset>
            </wp:positionH>
            <wp:positionV relativeFrom="paragraph">
              <wp:posOffset>-37465</wp:posOffset>
            </wp:positionV>
            <wp:extent cx="4843780" cy="2286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4843780" cy="228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2"/>
        </w:trPr>
        <w:tc>
          <w:tcPr>
            <w:tcW w:w="3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168"/>
              <w:spacing w:after="0"/>
              <w:rPr>
                <w:sz w:val="20"/>
                <w:szCs w:val="20"/>
                <w:color w:val="auto"/>
              </w:rPr>
            </w:pPr>
            <w:r>
              <w:rPr>
                <w:rFonts w:ascii="Arial" w:cs="Arial" w:eastAsia="Arial" w:hAnsi="Arial"/>
                <w:sz w:val="14"/>
                <w:szCs w:val="14"/>
                <w:color w:val="auto"/>
              </w:rPr>
              <w:t>1,113</w:t>
            </w:r>
          </w:p>
        </w:tc>
        <w:tc>
          <w:tcPr>
            <w:tcW w:w="3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168"/>
              <w:spacing w:after="0"/>
              <w:rPr>
                <w:sz w:val="20"/>
                <w:szCs w:val="20"/>
                <w:color w:val="auto"/>
              </w:rPr>
            </w:pPr>
            <w:r>
              <w:rPr>
                <w:rFonts w:ascii="Arial" w:cs="Arial" w:eastAsia="Arial" w:hAnsi="Arial"/>
                <w:sz w:val="14"/>
                <w:szCs w:val="14"/>
                <w:color w:val="auto"/>
              </w:rPr>
              <w:t>1,099</w:t>
            </w:r>
          </w:p>
        </w:tc>
        <w:tc>
          <w:tcPr>
            <w:tcW w:w="3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148"/>
              <w:spacing w:after="0"/>
              <w:rPr>
                <w:sz w:val="20"/>
                <w:szCs w:val="20"/>
                <w:color w:val="auto"/>
              </w:rPr>
            </w:pPr>
            <w:r>
              <w:rPr>
                <w:rFonts w:ascii="Arial" w:cs="Arial" w:eastAsia="Arial" w:hAnsi="Arial"/>
                <w:sz w:val="14"/>
                <w:szCs w:val="14"/>
                <w:color w:val="auto"/>
              </w:rPr>
              <w:t>1,406</w:t>
            </w:r>
          </w:p>
        </w:tc>
      </w:tr>
      <w:tr>
        <w:trPr>
          <w:trHeight w:val="577"/>
        </w:trPr>
        <w:tc>
          <w:tcPr>
            <w:tcW w:w="340" w:type="dxa"/>
            <w:vAlign w:val="bottom"/>
          </w:tcPr>
          <w:p>
            <w:pPr>
              <w:spacing w:after="0"/>
              <w:rPr>
                <w:sz w:val="24"/>
                <w:szCs w:val="24"/>
                <w:color w:val="auto"/>
              </w:rPr>
            </w:pPr>
          </w:p>
        </w:tc>
        <w:tc>
          <w:tcPr>
            <w:tcW w:w="76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24"/>
                <w:szCs w:val="24"/>
                <w:color w:val="auto"/>
              </w:rPr>
            </w:pPr>
          </w:p>
        </w:tc>
        <w:tc>
          <w:tcPr>
            <w:tcW w:w="780" w:type="dxa"/>
            <w:vAlign w:val="bottom"/>
          </w:tcPr>
          <w:p>
            <w:pPr>
              <w:jc w:val="right"/>
              <w:ind w:right="168"/>
              <w:spacing w:after="0"/>
              <w:rPr>
                <w:sz w:val="20"/>
                <w:szCs w:val="20"/>
                <w:color w:val="auto"/>
              </w:rPr>
            </w:pPr>
            <w:r>
              <w:rPr>
                <w:rFonts w:ascii="Arial" w:cs="Arial" w:eastAsia="Arial" w:hAnsi="Arial"/>
                <w:sz w:val="14"/>
                <w:szCs w:val="14"/>
                <w:color w:val="auto"/>
              </w:rPr>
              <w:t>26</w:t>
            </w:r>
          </w:p>
        </w:tc>
        <w:tc>
          <w:tcPr>
            <w:tcW w:w="340" w:type="dxa"/>
            <w:vAlign w:val="bottom"/>
          </w:tcPr>
          <w:p>
            <w:pPr>
              <w:spacing w:after="0"/>
              <w:rPr>
                <w:sz w:val="24"/>
                <w:szCs w:val="24"/>
                <w:color w:val="auto"/>
              </w:rPr>
            </w:pPr>
          </w:p>
        </w:tc>
        <w:tc>
          <w:tcPr>
            <w:tcW w:w="760" w:type="dxa"/>
            <w:vAlign w:val="bottom"/>
          </w:tcPr>
          <w:p>
            <w:pPr>
              <w:jc w:val="right"/>
              <w:ind w:right="88"/>
              <w:spacing w:after="0"/>
              <w:rPr>
                <w:sz w:val="20"/>
                <w:szCs w:val="20"/>
                <w:color w:val="auto"/>
              </w:rPr>
            </w:pPr>
            <w:r>
              <w:rPr>
                <w:rFonts w:ascii="Arial" w:cs="Arial" w:eastAsia="Arial" w:hAnsi="Arial"/>
                <w:sz w:val="14"/>
                <w:szCs w:val="14"/>
                <w:color w:val="auto"/>
              </w:rPr>
              <w:t>(315 )</w:t>
            </w:r>
          </w:p>
        </w:tc>
      </w:tr>
      <w:tr>
        <w:trPr>
          <w:trHeight w:val="216"/>
        </w:trPr>
        <w:tc>
          <w:tcPr>
            <w:tcW w:w="340" w:type="dxa"/>
            <w:vAlign w:val="bottom"/>
          </w:tcPr>
          <w:p>
            <w:pPr>
              <w:spacing w:after="0"/>
              <w:rPr>
                <w:sz w:val="18"/>
                <w:szCs w:val="18"/>
                <w:color w:val="auto"/>
              </w:rPr>
            </w:pPr>
          </w:p>
        </w:tc>
        <w:tc>
          <w:tcPr>
            <w:tcW w:w="760" w:type="dxa"/>
            <w:vAlign w:val="bottom"/>
          </w:tcPr>
          <w:p>
            <w:pPr>
              <w:jc w:val="right"/>
              <w:ind w:right="168"/>
              <w:spacing w:after="0"/>
              <w:rPr>
                <w:sz w:val="20"/>
                <w:szCs w:val="20"/>
                <w:color w:val="auto"/>
              </w:rPr>
            </w:pPr>
            <w:r>
              <w:rPr>
                <w:rFonts w:ascii="Arial" w:cs="Arial" w:eastAsia="Arial" w:hAnsi="Arial"/>
                <w:sz w:val="14"/>
                <w:szCs w:val="14"/>
                <w:color w:val="auto"/>
              </w:rPr>
              <w:t>687</w:t>
            </w:r>
          </w:p>
        </w:tc>
        <w:tc>
          <w:tcPr>
            <w:tcW w:w="380" w:type="dxa"/>
            <w:vAlign w:val="bottom"/>
          </w:tcPr>
          <w:p>
            <w:pPr>
              <w:spacing w:after="0"/>
              <w:rPr>
                <w:sz w:val="18"/>
                <w:szCs w:val="18"/>
                <w:color w:val="auto"/>
              </w:rPr>
            </w:pPr>
          </w:p>
        </w:tc>
        <w:tc>
          <w:tcPr>
            <w:tcW w:w="780" w:type="dxa"/>
            <w:vAlign w:val="bottom"/>
          </w:tcPr>
          <w:p>
            <w:pPr>
              <w:jc w:val="right"/>
              <w:ind w:right="168"/>
              <w:spacing w:after="0"/>
              <w:rPr>
                <w:sz w:val="20"/>
                <w:szCs w:val="20"/>
                <w:color w:val="auto"/>
              </w:rPr>
            </w:pPr>
            <w:r>
              <w:rPr>
                <w:rFonts w:ascii="Arial" w:cs="Arial" w:eastAsia="Arial" w:hAnsi="Arial"/>
                <w:sz w:val="14"/>
                <w:szCs w:val="14"/>
                <w:color w:val="auto"/>
              </w:rPr>
              <w:t>686</w:t>
            </w:r>
          </w:p>
        </w:tc>
        <w:tc>
          <w:tcPr>
            <w:tcW w:w="340" w:type="dxa"/>
            <w:vAlign w:val="bottom"/>
          </w:tcPr>
          <w:p>
            <w:pPr>
              <w:spacing w:after="0"/>
              <w:rPr>
                <w:sz w:val="18"/>
                <w:szCs w:val="18"/>
                <w:color w:val="auto"/>
              </w:rPr>
            </w:pPr>
          </w:p>
        </w:tc>
        <w:tc>
          <w:tcPr>
            <w:tcW w:w="760" w:type="dxa"/>
            <w:vAlign w:val="bottom"/>
          </w:tcPr>
          <w:p>
            <w:pPr>
              <w:jc w:val="right"/>
              <w:ind w:right="148"/>
              <w:spacing w:after="0"/>
              <w:rPr>
                <w:sz w:val="20"/>
                <w:szCs w:val="20"/>
                <w:color w:val="auto"/>
              </w:rPr>
            </w:pPr>
            <w:r>
              <w:rPr>
                <w:rFonts w:ascii="Arial" w:cs="Arial" w:eastAsia="Arial" w:hAnsi="Arial"/>
                <w:sz w:val="14"/>
                <w:szCs w:val="14"/>
                <w:color w:val="auto"/>
              </w:rPr>
              <w:t>657</w:t>
            </w:r>
          </w:p>
        </w:tc>
      </w:tr>
      <w:tr>
        <w:trPr>
          <w:trHeight w:val="216"/>
        </w:trPr>
        <w:tc>
          <w:tcPr>
            <w:tcW w:w="340" w:type="dxa"/>
            <w:vAlign w:val="bottom"/>
          </w:tcPr>
          <w:p>
            <w:pPr>
              <w:spacing w:after="0"/>
              <w:rPr>
                <w:sz w:val="18"/>
                <w:szCs w:val="18"/>
                <w:color w:val="auto"/>
              </w:rPr>
            </w:pPr>
          </w:p>
        </w:tc>
        <w:tc>
          <w:tcPr>
            <w:tcW w:w="760" w:type="dxa"/>
            <w:vAlign w:val="bottom"/>
          </w:tcPr>
          <w:p>
            <w:pPr>
              <w:jc w:val="right"/>
              <w:ind w:right="88"/>
              <w:spacing w:after="0"/>
              <w:rPr>
                <w:sz w:val="20"/>
                <w:szCs w:val="20"/>
                <w:color w:val="auto"/>
              </w:rPr>
            </w:pPr>
            <w:r>
              <w:rPr>
                <w:rFonts w:ascii="Arial" w:cs="Arial" w:eastAsia="Arial" w:hAnsi="Arial"/>
                <w:sz w:val="14"/>
                <w:szCs w:val="14"/>
                <w:color w:val="auto"/>
              </w:rPr>
              <w:t>(114 )</w:t>
            </w:r>
          </w:p>
        </w:tc>
        <w:tc>
          <w:tcPr>
            <w:tcW w:w="380" w:type="dxa"/>
            <w:vAlign w:val="bottom"/>
          </w:tcPr>
          <w:p>
            <w:pPr>
              <w:spacing w:after="0"/>
              <w:rPr>
                <w:sz w:val="18"/>
                <w:szCs w:val="18"/>
                <w:color w:val="auto"/>
              </w:rPr>
            </w:pPr>
          </w:p>
        </w:tc>
        <w:tc>
          <w:tcPr>
            <w:tcW w:w="780" w:type="dxa"/>
            <w:vAlign w:val="bottom"/>
          </w:tcPr>
          <w:p>
            <w:pPr>
              <w:jc w:val="right"/>
              <w:ind w:right="108"/>
              <w:spacing w:after="0"/>
              <w:rPr>
                <w:sz w:val="20"/>
                <w:szCs w:val="20"/>
                <w:color w:val="auto"/>
              </w:rPr>
            </w:pPr>
            <w:r>
              <w:rPr>
                <w:rFonts w:ascii="Arial" w:cs="Arial" w:eastAsia="Arial" w:hAnsi="Arial"/>
                <w:sz w:val="14"/>
                <w:szCs w:val="14"/>
                <w:color w:val="auto"/>
              </w:rPr>
              <w:t>(6 )</w:t>
            </w:r>
          </w:p>
        </w:tc>
        <w:tc>
          <w:tcPr>
            <w:tcW w:w="340" w:type="dxa"/>
            <w:vAlign w:val="bottom"/>
          </w:tcPr>
          <w:p>
            <w:pPr>
              <w:spacing w:after="0"/>
              <w:rPr>
                <w:sz w:val="18"/>
                <w:szCs w:val="18"/>
                <w:color w:val="auto"/>
              </w:rPr>
            </w:pPr>
          </w:p>
        </w:tc>
        <w:tc>
          <w:tcPr>
            <w:tcW w:w="760" w:type="dxa"/>
            <w:vAlign w:val="bottom"/>
          </w:tcPr>
          <w:p>
            <w:pPr>
              <w:jc w:val="right"/>
              <w:ind w:right="88"/>
              <w:spacing w:after="0"/>
              <w:rPr>
                <w:sz w:val="20"/>
                <w:szCs w:val="20"/>
                <w:color w:val="auto"/>
              </w:rPr>
            </w:pPr>
            <w:r>
              <w:rPr>
                <w:rFonts w:ascii="Arial" w:cs="Arial" w:eastAsia="Arial" w:hAnsi="Arial"/>
                <w:sz w:val="14"/>
                <w:szCs w:val="14"/>
                <w:color w:val="auto"/>
              </w:rPr>
              <w:t>(1 )</w:t>
            </w:r>
          </w:p>
        </w:tc>
      </w:tr>
      <w:tr>
        <w:trPr>
          <w:trHeight w:val="216"/>
        </w:trPr>
        <w:tc>
          <w:tcPr>
            <w:tcW w:w="340" w:type="dxa"/>
            <w:vAlign w:val="bottom"/>
          </w:tcPr>
          <w:p>
            <w:pPr>
              <w:spacing w:after="0"/>
              <w:rPr>
                <w:sz w:val="18"/>
                <w:szCs w:val="18"/>
                <w:color w:val="auto"/>
              </w:rPr>
            </w:pPr>
          </w:p>
        </w:tc>
        <w:tc>
          <w:tcPr>
            <w:tcW w:w="760" w:type="dxa"/>
            <w:vAlign w:val="bottom"/>
          </w:tcPr>
          <w:p>
            <w:pPr>
              <w:jc w:val="right"/>
              <w:ind w:right="168"/>
              <w:spacing w:after="0"/>
              <w:rPr>
                <w:sz w:val="20"/>
                <w:szCs w:val="20"/>
                <w:color w:val="auto"/>
              </w:rPr>
            </w:pPr>
            <w:r>
              <w:rPr>
                <w:rFonts w:ascii="Arial" w:cs="Arial" w:eastAsia="Arial" w:hAnsi="Arial"/>
                <w:sz w:val="14"/>
                <w:szCs w:val="14"/>
                <w:color w:val="auto"/>
              </w:rPr>
              <w:t>324</w:t>
            </w:r>
          </w:p>
        </w:tc>
        <w:tc>
          <w:tcPr>
            <w:tcW w:w="380" w:type="dxa"/>
            <w:vAlign w:val="bottom"/>
          </w:tcPr>
          <w:p>
            <w:pPr>
              <w:spacing w:after="0"/>
              <w:rPr>
                <w:sz w:val="18"/>
                <w:szCs w:val="18"/>
                <w:color w:val="auto"/>
              </w:rPr>
            </w:pPr>
          </w:p>
        </w:tc>
        <w:tc>
          <w:tcPr>
            <w:tcW w:w="780" w:type="dxa"/>
            <w:vAlign w:val="bottom"/>
          </w:tcPr>
          <w:p>
            <w:pPr>
              <w:jc w:val="right"/>
              <w:ind w:right="168"/>
              <w:spacing w:after="0"/>
              <w:rPr>
                <w:sz w:val="20"/>
                <w:szCs w:val="20"/>
                <w:color w:val="auto"/>
              </w:rPr>
            </w:pPr>
            <w:r>
              <w:rPr>
                <w:rFonts w:ascii="Arial" w:cs="Arial" w:eastAsia="Arial" w:hAnsi="Arial"/>
                <w:sz w:val="14"/>
                <w:szCs w:val="14"/>
                <w:color w:val="auto"/>
              </w:rPr>
              <w:t>149</w:t>
            </w:r>
          </w:p>
        </w:tc>
        <w:tc>
          <w:tcPr>
            <w:tcW w:w="340" w:type="dxa"/>
            <w:vAlign w:val="bottom"/>
          </w:tcPr>
          <w:p>
            <w:pPr>
              <w:spacing w:after="0"/>
              <w:rPr>
                <w:sz w:val="18"/>
                <w:szCs w:val="18"/>
                <w:color w:val="auto"/>
              </w:rPr>
            </w:pPr>
          </w:p>
        </w:tc>
        <w:tc>
          <w:tcPr>
            <w:tcW w:w="760" w:type="dxa"/>
            <w:vAlign w:val="bottom"/>
          </w:tcPr>
          <w:p>
            <w:pPr>
              <w:jc w:val="right"/>
              <w:ind w:right="148"/>
              <w:spacing w:after="0"/>
              <w:rPr>
                <w:sz w:val="20"/>
                <w:szCs w:val="20"/>
                <w:color w:val="auto"/>
              </w:rPr>
            </w:pPr>
            <w:r>
              <w:rPr>
                <w:rFonts w:ascii="Arial" w:cs="Arial" w:eastAsia="Arial" w:hAnsi="Arial"/>
                <w:sz w:val="14"/>
                <w:szCs w:val="14"/>
                <w:color w:val="auto"/>
              </w:rPr>
              <w:t>77</w:t>
            </w:r>
          </w:p>
        </w:tc>
      </w:tr>
      <w:tr>
        <w:trPr>
          <w:trHeight w:val="216"/>
        </w:trPr>
        <w:tc>
          <w:tcPr>
            <w:tcW w:w="340" w:type="dxa"/>
            <w:vAlign w:val="bottom"/>
          </w:tcPr>
          <w:p>
            <w:pPr>
              <w:spacing w:after="0"/>
              <w:rPr>
                <w:sz w:val="18"/>
                <w:szCs w:val="18"/>
                <w:color w:val="auto"/>
              </w:rPr>
            </w:pPr>
          </w:p>
        </w:tc>
        <w:tc>
          <w:tcPr>
            <w:tcW w:w="76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8"/>
                <w:szCs w:val="18"/>
                <w:color w:val="auto"/>
              </w:rPr>
            </w:pPr>
          </w:p>
        </w:tc>
        <w:tc>
          <w:tcPr>
            <w:tcW w:w="780" w:type="dxa"/>
            <w:vAlign w:val="bottom"/>
          </w:tcPr>
          <w:p>
            <w:pPr>
              <w:jc w:val="right"/>
              <w:ind w:right="168"/>
              <w:spacing w:after="0"/>
              <w:rPr>
                <w:sz w:val="20"/>
                <w:szCs w:val="20"/>
                <w:color w:val="auto"/>
              </w:rPr>
            </w:pPr>
            <w:r>
              <w:rPr>
                <w:rFonts w:ascii="Arial" w:cs="Arial" w:eastAsia="Arial" w:hAnsi="Arial"/>
                <w:sz w:val="14"/>
                <w:szCs w:val="14"/>
                <w:color w:val="auto"/>
              </w:rPr>
              <w:t>55</w:t>
            </w:r>
          </w:p>
        </w:tc>
        <w:tc>
          <w:tcPr>
            <w:tcW w:w="340" w:type="dxa"/>
            <w:vAlign w:val="bottom"/>
          </w:tcPr>
          <w:p>
            <w:pPr>
              <w:spacing w:after="0"/>
              <w:rPr>
                <w:sz w:val="18"/>
                <w:szCs w:val="18"/>
                <w:color w:val="auto"/>
              </w:rPr>
            </w:pPr>
          </w:p>
        </w:tc>
        <w:tc>
          <w:tcPr>
            <w:tcW w:w="760" w:type="dxa"/>
            <w:vAlign w:val="bottom"/>
          </w:tcPr>
          <w:p>
            <w:pPr>
              <w:jc w:val="right"/>
              <w:ind w:right="148"/>
              <w:spacing w:after="0"/>
              <w:rPr>
                <w:sz w:val="20"/>
                <w:szCs w:val="20"/>
                <w:color w:val="auto"/>
              </w:rPr>
            </w:pPr>
            <w:r>
              <w:rPr>
                <w:rFonts w:ascii="Arial" w:cs="Arial" w:eastAsia="Arial" w:hAnsi="Arial"/>
                <w:sz w:val="14"/>
                <w:szCs w:val="14"/>
                <w:color w:val="auto"/>
              </w:rPr>
              <w:t>60</w:t>
            </w:r>
          </w:p>
        </w:tc>
      </w:tr>
      <w:tr>
        <w:trPr>
          <w:trHeight w:val="216"/>
        </w:trPr>
        <w:tc>
          <w:tcPr>
            <w:tcW w:w="340" w:type="dxa"/>
            <w:vAlign w:val="bottom"/>
          </w:tcPr>
          <w:p>
            <w:pPr>
              <w:spacing w:after="0"/>
              <w:rPr>
                <w:sz w:val="18"/>
                <w:szCs w:val="18"/>
                <w:color w:val="auto"/>
              </w:rPr>
            </w:pPr>
          </w:p>
        </w:tc>
        <w:tc>
          <w:tcPr>
            <w:tcW w:w="760" w:type="dxa"/>
            <w:vAlign w:val="bottom"/>
          </w:tcPr>
          <w:p>
            <w:pPr>
              <w:jc w:val="right"/>
              <w:ind w:right="88"/>
              <w:spacing w:after="0"/>
              <w:rPr>
                <w:sz w:val="20"/>
                <w:szCs w:val="20"/>
                <w:color w:val="auto"/>
              </w:rPr>
            </w:pPr>
            <w:r>
              <w:rPr>
                <w:rFonts w:ascii="Arial" w:cs="Arial" w:eastAsia="Arial" w:hAnsi="Arial"/>
                <w:sz w:val="14"/>
                <w:szCs w:val="14"/>
                <w:color w:val="auto"/>
              </w:rPr>
              <w:t>(483 )</w:t>
            </w:r>
          </w:p>
        </w:tc>
        <w:tc>
          <w:tcPr>
            <w:tcW w:w="380" w:type="dxa"/>
            <w:vAlign w:val="bottom"/>
          </w:tcPr>
          <w:p>
            <w:pPr>
              <w:spacing w:after="0"/>
              <w:rPr>
                <w:sz w:val="18"/>
                <w:szCs w:val="18"/>
                <w:color w:val="auto"/>
              </w:rPr>
            </w:pPr>
          </w:p>
        </w:tc>
        <w:tc>
          <w:tcPr>
            <w:tcW w:w="780" w:type="dxa"/>
            <w:vAlign w:val="bottom"/>
          </w:tcPr>
          <w:p>
            <w:pPr>
              <w:jc w:val="right"/>
              <w:ind w:right="108"/>
              <w:spacing w:after="0"/>
              <w:rPr>
                <w:sz w:val="20"/>
                <w:szCs w:val="20"/>
                <w:color w:val="auto"/>
              </w:rPr>
            </w:pPr>
            <w:r>
              <w:rPr>
                <w:rFonts w:ascii="Arial" w:cs="Arial" w:eastAsia="Arial" w:hAnsi="Arial"/>
                <w:sz w:val="14"/>
                <w:szCs w:val="14"/>
                <w:color w:val="auto"/>
              </w:rPr>
              <w:t>(90 )</w:t>
            </w:r>
          </w:p>
        </w:tc>
        <w:tc>
          <w:tcPr>
            <w:tcW w:w="340" w:type="dxa"/>
            <w:vAlign w:val="bottom"/>
          </w:tcPr>
          <w:p>
            <w:pPr>
              <w:spacing w:after="0"/>
              <w:rPr>
                <w:sz w:val="18"/>
                <w:szCs w:val="18"/>
                <w:color w:val="auto"/>
              </w:rPr>
            </w:pPr>
          </w:p>
        </w:tc>
        <w:tc>
          <w:tcPr>
            <w:tcW w:w="760" w:type="dxa"/>
            <w:vAlign w:val="bottom"/>
          </w:tcPr>
          <w:p>
            <w:pPr>
              <w:jc w:val="right"/>
              <w:ind w:right="88"/>
              <w:spacing w:after="0"/>
              <w:rPr>
                <w:sz w:val="20"/>
                <w:szCs w:val="20"/>
                <w:color w:val="auto"/>
              </w:rPr>
            </w:pPr>
            <w:r>
              <w:rPr>
                <w:rFonts w:ascii="Arial" w:cs="Arial" w:eastAsia="Arial" w:hAnsi="Arial"/>
                <w:sz w:val="14"/>
                <w:szCs w:val="14"/>
                <w:color w:val="auto"/>
              </w:rPr>
              <w:t>(156 )</w:t>
            </w:r>
          </w:p>
        </w:tc>
      </w:tr>
      <w:tr>
        <w:trPr>
          <w:trHeight w:val="216"/>
        </w:trPr>
        <w:tc>
          <w:tcPr>
            <w:tcW w:w="340" w:type="dxa"/>
            <w:vAlign w:val="bottom"/>
          </w:tcPr>
          <w:p>
            <w:pPr>
              <w:spacing w:after="0"/>
              <w:rPr>
                <w:sz w:val="18"/>
                <w:szCs w:val="18"/>
                <w:color w:val="auto"/>
              </w:rPr>
            </w:pPr>
          </w:p>
        </w:tc>
        <w:tc>
          <w:tcPr>
            <w:tcW w:w="760" w:type="dxa"/>
            <w:vAlign w:val="bottom"/>
          </w:tcPr>
          <w:p>
            <w:pPr>
              <w:jc w:val="right"/>
              <w:ind w:right="168"/>
              <w:spacing w:after="0"/>
              <w:rPr>
                <w:sz w:val="20"/>
                <w:szCs w:val="20"/>
                <w:color w:val="auto"/>
              </w:rPr>
            </w:pPr>
            <w:r>
              <w:rPr>
                <w:rFonts w:ascii="Arial" w:cs="Arial" w:eastAsia="Arial" w:hAnsi="Arial"/>
                <w:sz w:val="14"/>
                <w:szCs w:val="14"/>
                <w:color w:val="auto"/>
              </w:rPr>
              <w:t>141</w:t>
            </w:r>
          </w:p>
        </w:tc>
        <w:tc>
          <w:tcPr>
            <w:tcW w:w="380" w:type="dxa"/>
            <w:vAlign w:val="bottom"/>
          </w:tcPr>
          <w:p>
            <w:pPr>
              <w:spacing w:after="0"/>
              <w:rPr>
                <w:sz w:val="18"/>
                <w:szCs w:val="18"/>
                <w:color w:val="auto"/>
              </w:rPr>
            </w:pPr>
          </w:p>
        </w:tc>
        <w:tc>
          <w:tcPr>
            <w:tcW w:w="780" w:type="dxa"/>
            <w:vAlign w:val="bottom"/>
          </w:tcPr>
          <w:p>
            <w:pPr>
              <w:jc w:val="right"/>
              <w:ind w:right="168"/>
              <w:spacing w:after="0"/>
              <w:rPr>
                <w:sz w:val="20"/>
                <w:szCs w:val="20"/>
                <w:color w:val="auto"/>
              </w:rPr>
            </w:pPr>
            <w:r>
              <w:rPr>
                <w:rFonts w:ascii="Arial" w:cs="Arial" w:eastAsia="Arial" w:hAnsi="Arial"/>
                <w:sz w:val="14"/>
                <w:szCs w:val="14"/>
                <w:color w:val="auto"/>
              </w:rPr>
              <w:t>46</w:t>
            </w:r>
          </w:p>
        </w:tc>
        <w:tc>
          <w:tcPr>
            <w:tcW w:w="340" w:type="dxa"/>
            <w:vAlign w:val="bottom"/>
          </w:tcPr>
          <w:p>
            <w:pPr>
              <w:spacing w:after="0"/>
              <w:rPr>
                <w:sz w:val="18"/>
                <w:szCs w:val="18"/>
                <w:color w:val="auto"/>
              </w:rPr>
            </w:pPr>
          </w:p>
        </w:tc>
        <w:tc>
          <w:tcPr>
            <w:tcW w:w="760" w:type="dxa"/>
            <w:vAlign w:val="bottom"/>
          </w:tcPr>
          <w:p>
            <w:pPr>
              <w:jc w:val="right"/>
              <w:ind w:right="148"/>
              <w:spacing w:after="0"/>
              <w:rPr>
                <w:sz w:val="20"/>
                <w:szCs w:val="20"/>
                <w:color w:val="auto"/>
              </w:rPr>
            </w:pPr>
            <w:r>
              <w:rPr>
                <w:rFonts w:ascii="Arial" w:cs="Arial" w:eastAsia="Arial" w:hAnsi="Arial"/>
                <w:sz w:val="14"/>
                <w:szCs w:val="14"/>
                <w:color w:val="auto"/>
              </w:rPr>
              <w:t>47</w:t>
            </w:r>
          </w:p>
        </w:tc>
      </w:tr>
      <w:tr>
        <w:trPr>
          <w:trHeight w:val="216"/>
        </w:trPr>
        <w:tc>
          <w:tcPr>
            <w:tcW w:w="340" w:type="dxa"/>
            <w:vAlign w:val="bottom"/>
          </w:tcPr>
          <w:p>
            <w:pPr>
              <w:spacing w:after="0"/>
              <w:rPr>
                <w:sz w:val="18"/>
                <w:szCs w:val="18"/>
                <w:color w:val="auto"/>
              </w:rPr>
            </w:pPr>
          </w:p>
        </w:tc>
        <w:tc>
          <w:tcPr>
            <w:tcW w:w="76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8"/>
                <w:szCs w:val="18"/>
                <w:color w:val="auto"/>
              </w:rPr>
            </w:pPr>
          </w:p>
        </w:tc>
        <w:tc>
          <w:tcPr>
            <w:tcW w:w="78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8"/>
                <w:szCs w:val="18"/>
                <w:color w:val="auto"/>
              </w:rPr>
            </w:pPr>
          </w:p>
        </w:tc>
        <w:tc>
          <w:tcPr>
            <w:tcW w:w="760" w:type="dxa"/>
            <w:vAlign w:val="bottom"/>
          </w:tcPr>
          <w:p>
            <w:pPr>
              <w:jc w:val="right"/>
              <w:ind w:right="148"/>
              <w:spacing w:after="0"/>
              <w:rPr>
                <w:sz w:val="20"/>
                <w:szCs w:val="20"/>
                <w:color w:val="auto"/>
              </w:rPr>
            </w:pPr>
            <w:r>
              <w:rPr>
                <w:rFonts w:ascii="Arial" w:cs="Arial" w:eastAsia="Arial" w:hAnsi="Arial"/>
                <w:sz w:val="14"/>
                <w:szCs w:val="14"/>
                <w:color w:val="auto"/>
              </w:rPr>
              <w:t>12</w:t>
            </w:r>
          </w:p>
        </w:tc>
      </w:tr>
      <w:tr>
        <w:trPr>
          <w:trHeight w:val="216"/>
        </w:trPr>
        <w:tc>
          <w:tcPr>
            <w:tcW w:w="340" w:type="dxa"/>
            <w:vAlign w:val="bottom"/>
          </w:tcPr>
          <w:p>
            <w:pPr>
              <w:spacing w:after="0"/>
              <w:rPr>
                <w:sz w:val="18"/>
                <w:szCs w:val="18"/>
                <w:color w:val="auto"/>
              </w:rPr>
            </w:pPr>
          </w:p>
        </w:tc>
        <w:tc>
          <w:tcPr>
            <w:tcW w:w="760" w:type="dxa"/>
            <w:vAlign w:val="bottom"/>
          </w:tcPr>
          <w:p>
            <w:pPr>
              <w:jc w:val="right"/>
              <w:ind w:right="88"/>
              <w:spacing w:after="0"/>
              <w:rPr>
                <w:sz w:val="20"/>
                <w:szCs w:val="20"/>
                <w:color w:val="auto"/>
              </w:rPr>
            </w:pPr>
            <w:r>
              <w:rPr>
                <w:rFonts w:ascii="Arial" w:cs="Arial" w:eastAsia="Arial" w:hAnsi="Arial"/>
                <w:sz w:val="14"/>
                <w:szCs w:val="14"/>
                <w:color w:val="auto"/>
              </w:rPr>
              <w:t>(483 )</w:t>
            </w:r>
          </w:p>
        </w:tc>
        <w:tc>
          <w:tcPr>
            <w:tcW w:w="380" w:type="dxa"/>
            <w:vAlign w:val="bottom"/>
          </w:tcPr>
          <w:p>
            <w:pPr>
              <w:spacing w:after="0"/>
              <w:rPr>
                <w:sz w:val="18"/>
                <w:szCs w:val="18"/>
                <w:color w:val="auto"/>
              </w:rPr>
            </w:pPr>
          </w:p>
        </w:tc>
        <w:tc>
          <w:tcPr>
            <w:tcW w:w="780" w:type="dxa"/>
            <w:vAlign w:val="bottom"/>
          </w:tcPr>
          <w:p>
            <w:pPr>
              <w:jc w:val="right"/>
              <w:ind w:right="168"/>
              <w:spacing w:after="0"/>
              <w:rPr>
                <w:sz w:val="20"/>
                <w:szCs w:val="20"/>
                <w:color w:val="auto"/>
              </w:rPr>
            </w:pPr>
            <w:r>
              <w:rPr>
                <w:rFonts w:ascii="Arial" w:cs="Arial" w:eastAsia="Arial" w:hAnsi="Arial"/>
                <w:sz w:val="14"/>
                <w:szCs w:val="14"/>
                <w:color w:val="auto"/>
              </w:rPr>
              <w:t>25</w:t>
            </w:r>
          </w:p>
        </w:tc>
        <w:tc>
          <w:tcPr>
            <w:tcW w:w="340" w:type="dxa"/>
            <w:vAlign w:val="bottom"/>
          </w:tcPr>
          <w:p>
            <w:pPr>
              <w:spacing w:after="0"/>
              <w:rPr>
                <w:sz w:val="18"/>
                <w:szCs w:val="18"/>
                <w:color w:val="auto"/>
              </w:rPr>
            </w:pPr>
          </w:p>
        </w:tc>
        <w:tc>
          <w:tcPr>
            <w:tcW w:w="760" w:type="dxa"/>
            <w:vAlign w:val="bottom"/>
          </w:tcPr>
          <w:p>
            <w:pPr>
              <w:jc w:val="right"/>
              <w:ind w:right="88"/>
              <w:spacing w:after="0"/>
              <w:rPr>
                <w:sz w:val="20"/>
                <w:szCs w:val="20"/>
                <w:color w:val="auto"/>
              </w:rPr>
            </w:pPr>
            <w:r>
              <w:rPr>
                <w:rFonts w:ascii="Arial" w:cs="Arial" w:eastAsia="Arial" w:hAnsi="Arial"/>
                <w:sz w:val="14"/>
                <w:szCs w:val="14"/>
                <w:color w:val="auto"/>
              </w:rPr>
              <w:t>(183 )</w:t>
            </w:r>
          </w:p>
        </w:tc>
      </w:tr>
      <w:tr>
        <w:trPr>
          <w:trHeight w:val="216"/>
        </w:trPr>
        <w:tc>
          <w:tcPr>
            <w:tcW w:w="340" w:type="dxa"/>
            <w:vAlign w:val="bottom"/>
          </w:tcPr>
          <w:p>
            <w:pPr>
              <w:spacing w:after="0"/>
              <w:rPr>
                <w:sz w:val="18"/>
                <w:szCs w:val="18"/>
                <w:color w:val="auto"/>
              </w:rPr>
            </w:pPr>
          </w:p>
        </w:tc>
        <w:tc>
          <w:tcPr>
            <w:tcW w:w="760" w:type="dxa"/>
            <w:vAlign w:val="bottom"/>
          </w:tcPr>
          <w:p>
            <w:pPr>
              <w:jc w:val="right"/>
              <w:ind w:right="168"/>
              <w:spacing w:after="0"/>
              <w:rPr>
                <w:sz w:val="20"/>
                <w:szCs w:val="20"/>
                <w:color w:val="auto"/>
              </w:rPr>
            </w:pPr>
            <w:r>
              <w:rPr>
                <w:rFonts w:ascii="Arial" w:cs="Arial" w:eastAsia="Arial" w:hAnsi="Arial"/>
                <w:sz w:val="14"/>
                <w:szCs w:val="14"/>
                <w:color w:val="auto"/>
              </w:rPr>
              <w:t>85</w:t>
            </w:r>
          </w:p>
        </w:tc>
        <w:tc>
          <w:tcPr>
            <w:tcW w:w="380" w:type="dxa"/>
            <w:vAlign w:val="bottom"/>
          </w:tcPr>
          <w:p>
            <w:pPr>
              <w:spacing w:after="0"/>
              <w:rPr>
                <w:sz w:val="18"/>
                <w:szCs w:val="18"/>
                <w:color w:val="auto"/>
              </w:rPr>
            </w:pPr>
          </w:p>
        </w:tc>
        <w:tc>
          <w:tcPr>
            <w:tcW w:w="78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8"/>
                <w:szCs w:val="18"/>
                <w:color w:val="auto"/>
              </w:rPr>
            </w:pPr>
          </w:p>
        </w:tc>
        <w:tc>
          <w:tcPr>
            <w:tcW w:w="760" w:type="dxa"/>
            <w:vAlign w:val="bottom"/>
          </w:tcPr>
          <w:p>
            <w:pPr>
              <w:jc w:val="right"/>
              <w:ind w:right="148"/>
              <w:spacing w:after="0"/>
              <w:rPr>
                <w:sz w:val="20"/>
                <w:szCs w:val="20"/>
                <w:color w:val="auto"/>
              </w:rPr>
            </w:pPr>
            <w:r>
              <w:rPr>
                <w:rFonts w:ascii="Arial" w:cs="Arial" w:eastAsia="Arial" w:hAnsi="Arial"/>
                <w:sz w:val="14"/>
                <w:szCs w:val="14"/>
                <w:color w:val="auto"/>
              </w:rPr>
              <w:t>--</w:t>
            </w:r>
          </w:p>
        </w:tc>
      </w:tr>
      <w:tr>
        <w:trPr>
          <w:trHeight w:val="216"/>
        </w:trPr>
        <w:tc>
          <w:tcPr>
            <w:tcW w:w="340" w:type="dxa"/>
            <w:vAlign w:val="bottom"/>
          </w:tcPr>
          <w:p>
            <w:pPr>
              <w:spacing w:after="0"/>
              <w:rPr>
                <w:sz w:val="18"/>
                <w:szCs w:val="18"/>
                <w:color w:val="auto"/>
              </w:rPr>
            </w:pPr>
          </w:p>
        </w:tc>
        <w:tc>
          <w:tcPr>
            <w:tcW w:w="760" w:type="dxa"/>
            <w:vAlign w:val="bottom"/>
          </w:tcPr>
          <w:p>
            <w:pPr>
              <w:jc w:val="right"/>
              <w:ind w:right="88"/>
              <w:spacing w:after="0"/>
              <w:rPr>
                <w:sz w:val="20"/>
                <w:szCs w:val="20"/>
                <w:color w:val="auto"/>
              </w:rPr>
            </w:pPr>
            <w:r>
              <w:rPr>
                <w:rFonts w:ascii="Arial" w:cs="Arial" w:eastAsia="Arial" w:hAnsi="Arial"/>
                <w:sz w:val="14"/>
                <w:szCs w:val="14"/>
                <w:color w:val="auto"/>
              </w:rPr>
              <w:t>(15 )</w:t>
            </w:r>
          </w:p>
        </w:tc>
        <w:tc>
          <w:tcPr>
            <w:tcW w:w="380" w:type="dxa"/>
            <w:vAlign w:val="bottom"/>
          </w:tcPr>
          <w:p>
            <w:pPr>
              <w:spacing w:after="0"/>
              <w:rPr>
                <w:sz w:val="18"/>
                <w:szCs w:val="18"/>
                <w:color w:val="auto"/>
              </w:rPr>
            </w:pPr>
          </w:p>
        </w:tc>
        <w:tc>
          <w:tcPr>
            <w:tcW w:w="780" w:type="dxa"/>
            <w:vAlign w:val="bottom"/>
          </w:tcPr>
          <w:p>
            <w:pPr>
              <w:jc w:val="right"/>
              <w:ind w:right="168"/>
              <w:spacing w:after="0"/>
              <w:rPr>
                <w:sz w:val="20"/>
                <w:szCs w:val="20"/>
                <w:color w:val="auto"/>
              </w:rPr>
            </w:pPr>
            <w:r>
              <w:rPr>
                <w:rFonts w:ascii="Arial" w:cs="Arial" w:eastAsia="Arial" w:hAnsi="Arial"/>
                <w:sz w:val="14"/>
                <w:szCs w:val="14"/>
                <w:color w:val="auto"/>
              </w:rPr>
              <w:t>22</w:t>
            </w:r>
          </w:p>
        </w:tc>
        <w:tc>
          <w:tcPr>
            <w:tcW w:w="340" w:type="dxa"/>
            <w:vAlign w:val="bottom"/>
          </w:tcPr>
          <w:p>
            <w:pPr>
              <w:spacing w:after="0"/>
              <w:rPr>
                <w:sz w:val="18"/>
                <w:szCs w:val="18"/>
                <w:color w:val="auto"/>
              </w:rPr>
            </w:pPr>
          </w:p>
        </w:tc>
        <w:tc>
          <w:tcPr>
            <w:tcW w:w="760" w:type="dxa"/>
            <w:vAlign w:val="bottom"/>
          </w:tcPr>
          <w:p>
            <w:pPr>
              <w:jc w:val="right"/>
              <w:ind w:right="148"/>
              <w:spacing w:after="0"/>
              <w:rPr>
                <w:sz w:val="20"/>
                <w:szCs w:val="20"/>
                <w:color w:val="auto"/>
              </w:rPr>
            </w:pPr>
            <w:r>
              <w:rPr>
                <w:rFonts w:ascii="Arial" w:cs="Arial" w:eastAsia="Arial" w:hAnsi="Arial"/>
                <w:sz w:val="14"/>
                <w:szCs w:val="14"/>
                <w:color w:val="auto"/>
              </w:rPr>
              <w:t>20</w:t>
            </w:r>
          </w:p>
        </w:tc>
      </w:tr>
      <w:tr>
        <w:trPr>
          <w:trHeight w:val="219"/>
        </w:trPr>
        <w:tc>
          <w:tcPr>
            <w:tcW w:w="3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(74 )</w:t>
            </w:r>
          </w:p>
        </w:tc>
        <w:tc>
          <w:tcPr>
            <w:tcW w:w="3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79</w:t>
            </w:r>
          </w:p>
        </w:tc>
        <w:tc>
          <w:tcPr>
            <w:tcW w:w="3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42</w:t>
            </w:r>
          </w:p>
        </w:tc>
      </w:tr>
      <w:tr>
        <w:trPr>
          <w:trHeight w:val="205"/>
        </w:trPr>
        <w:tc>
          <w:tcPr>
            <w:tcW w:w="340" w:type="dxa"/>
            <w:vAlign w:val="bottom"/>
          </w:tcPr>
          <w:p>
            <w:pPr>
              <w:spacing w:after="0"/>
              <w:rPr>
                <w:sz w:val="17"/>
                <w:szCs w:val="17"/>
                <w:color w:val="auto"/>
              </w:rPr>
            </w:pPr>
          </w:p>
        </w:tc>
        <w:tc>
          <w:tcPr>
            <w:tcW w:w="760" w:type="dxa"/>
            <w:vAlign w:val="bottom"/>
          </w:tcPr>
          <w:p>
            <w:pPr>
              <w:jc w:val="right"/>
              <w:ind w:right="168"/>
              <w:spacing w:after="0"/>
              <w:rPr>
                <w:sz w:val="20"/>
                <w:szCs w:val="20"/>
                <w:color w:val="auto"/>
              </w:rPr>
            </w:pPr>
            <w:r>
              <w:rPr>
                <w:rFonts w:ascii="Arial" w:cs="Arial" w:eastAsia="Arial" w:hAnsi="Arial"/>
                <w:sz w:val="14"/>
                <w:szCs w:val="14"/>
                <w:color w:val="auto"/>
              </w:rPr>
              <w:t>1,181</w:t>
            </w:r>
          </w:p>
        </w:tc>
        <w:tc>
          <w:tcPr>
            <w:tcW w:w="380" w:type="dxa"/>
            <w:vAlign w:val="bottom"/>
          </w:tcPr>
          <w:p>
            <w:pPr>
              <w:spacing w:after="0"/>
              <w:rPr>
                <w:sz w:val="17"/>
                <w:szCs w:val="17"/>
                <w:color w:val="auto"/>
              </w:rPr>
            </w:pPr>
          </w:p>
        </w:tc>
        <w:tc>
          <w:tcPr>
            <w:tcW w:w="780" w:type="dxa"/>
            <w:vAlign w:val="bottom"/>
          </w:tcPr>
          <w:p>
            <w:pPr>
              <w:jc w:val="right"/>
              <w:ind w:right="168"/>
              <w:spacing w:after="0"/>
              <w:rPr>
                <w:sz w:val="20"/>
                <w:szCs w:val="20"/>
                <w:color w:val="auto"/>
              </w:rPr>
            </w:pPr>
            <w:r>
              <w:rPr>
                <w:rFonts w:ascii="Arial" w:cs="Arial" w:eastAsia="Arial" w:hAnsi="Arial"/>
                <w:sz w:val="14"/>
                <w:szCs w:val="14"/>
                <w:color w:val="auto"/>
              </w:rPr>
              <w:t>2,091</w:t>
            </w:r>
          </w:p>
        </w:tc>
        <w:tc>
          <w:tcPr>
            <w:tcW w:w="340" w:type="dxa"/>
            <w:vAlign w:val="bottom"/>
          </w:tcPr>
          <w:p>
            <w:pPr>
              <w:spacing w:after="0"/>
              <w:rPr>
                <w:sz w:val="17"/>
                <w:szCs w:val="17"/>
                <w:color w:val="auto"/>
              </w:rPr>
            </w:pPr>
          </w:p>
        </w:tc>
        <w:tc>
          <w:tcPr>
            <w:tcW w:w="760" w:type="dxa"/>
            <w:vAlign w:val="bottom"/>
          </w:tcPr>
          <w:p>
            <w:pPr>
              <w:jc w:val="right"/>
              <w:ind w:right="148"/>
              <w:spacing w:after="0"/>
              <w:rPr>
                <w:sz w:val="20"/>
                <w:szCs w:val="20"/>
                <w:color w:val="auto"/>
              </w:rPr>
            </w:pPr>
            <w:r>
              <w:rPr>
                <w:rFonts w:ascii="Arial" w:cs="Arial" w:eastAsia="Arial" w:hAnsi="Arial"/>
                <w:sz w:val="14"/>
                <w:szCs w:val="14"/>
                <w:color w:val="auto"/>
              </w:rPr>
              <w:t>1,666</w:t>
            </w:r>
          </w:p>
        </w:tc>
      </w:tr>
      <w:tr>
        <w:trPr>
          <w:trHeight w:val="219"/>
        </w:trPr>
        <w:tc>
          <w:tcPr>
            <w:tcW w:w="3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(3 )</w:t>
            </w:r>
          </w:p>
        </w:tc>
        <w:tc>
          <w:tcPr>
            <w:tcW w:w="3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(37 )</w:t>
            </w:r>
          </w:p>
        </w:tc>
      </w:tr>
      <w:tr>
        <w:trPr>
          <w:trHeight w:val="208"/>
        </w:trPr>
        <w:tc>
          <w:tcPr>
            <w:tcW w:w="3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1,181</w:t>
            </w:r>
          </w:p>
        </w:tc>
        <w:tc>
          <w:tcPr>
            <w:tcW w:w="3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2,088</w:t>
            </w:r>
          </w:p>
        </w:tc>
        <w:tc>
          <w:tcPr>
            <w:tcW w:w="3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1,629</w:t>
            </w:r>
          </w:p>
        </w:tc>
      </w:tr>
      <w:tr>
        <w:trPr>
          <w:trHeight w:val="638"/>
        </w:trPr>
        <w:tc>
          <w:tcPr>
            <w:tcW w:w="340" w:type="dxa"/>
            <w:vAlign w:val="bottom"/>
          </w:tcPr>
          <w:p>
            <w:pPr>
              <w:spacing w:after="0"/>
              <w:rPr>
                <w:sz w:val="24"/>
                <w:szCs w:val="24"/>
                <w:color w:val="auto"/>
              </w:rPr>
            </w:pPr>
          </w:p>
        </w:tc>
        <w:tc>
          <w:tcPr>
            <w:tcW w:w="760" w:type="dxa"/>
            <w:vAlign w:val="bottom"/>
          </w:tcPr>
          <w:p>
            <w:pPr>
              <w:jc w:val="right"/>
              <w:ind w:right="88"/>
              <w:spacing w:after="0"/>
              <w:rPr>
                <w:sz w:val="20"/>
                <w:szCs w:val="20"/>
                <w:color w:val="auto"/>
              </w:rPr>
            </w:pPr>
            <w:r>
              <w:rPr>
                <w:rFonts w:ascii="Arial" w:cs="Arial" w:eastAsia="Arial" w:hAnsi="Arial"/>
                <w:sz w:val="14"/>
                <w:szCs w:val="14"/>
                <w:color w:val="auto"/>
              </w:rPr>
              <w:t>(2,061 )</w:t>
            </w:r>
          </w:p>
        </w:tc>
        <w:tc>
          <w:tcPr>
            <w:tcW w:w="380" w:type="dxa"/>
            <w:vAlign w:val="bottom"/>
          </w:tcPr>
          <w:p>
            <w:pPr>
              <w:spacing w:after="0"/>
              <w:rPr>
                <w:sz w:val="24"/>
                <w:szCs w:val="24"/>
                <w:color w:val="auto"/>
              </w:rPr>
            </w:pPr>
          </w:p>
        </w:tc>
        <w:tc>
          <w:tcPr>
            <w:tcW w:w="780" w:type="dxa"/>
            <w:vAlign w:val="bottom"/>
          </w:tcPr>
          <w:p>
            <w:pPr>
              <w:jc w:val="right"/>
              <w:ind w:right="108"/>
              <w:spacing w:after="0"/>
              <w:rPr>
                <w:sz w:val="20"/>
                <w:szCs w:val="20"/>
                <w:color w:val="auto"/>
              </w:rPr>
            </w:pPr>
            <w:r>
              <w:rPr>
                <w:rFonts w:ascii="Arial" w:cs="Arial" w:eastAsia="Arial" w:hAnsi="Arial"/>
                <w:sz w:val="14"/>
                <w:szCs w:val="14"/>
                <w:color w:val="auto"/>
              </w:rPr>
              <w:t>(2,011 )</w:t>
            </w:r>
          </w:p>
        </w:tc>
        <w:tc>
          <w:tcPr>
            <w:tcW w:w="340" w:type="dxa"/>
            <w:vAlign w:val="bottom"/>
          </w:tcPr>
          <w:p>
            <w:pPr>
              <w:spacing w:after="0"/>
              <w:rPr>
                <w:sz w:val="24"/>
                <w:szCs w:val="24"/>
                <w:color w:val="auto"/>
              </w:rPr>
            </w:pPr>
          </w:p>
        </w:tc>
        <w:tc>
          <w:tcPr>
            <w:tcW w:w="760" w:type="dxa"/>
            <w:vAlign w:val="bottom"/>
          </w:tcPr>
          <w:p>
            <w:pPr>
              <w:jc w:val="right"/>
              <w:ind w:right="88"/>
              <w:spacing w:after="0"/>
              <w:rPr>
                <w:sz w:val="20"/>
                <w:szCs w:val="20"/>
                <w:color w:val="auto"/>
              </w:rPr>
            </w:pPr>
            <w:r>
              <w:rPr>
                <w:rFonts w:ascii="Arial" w:cs="Arial" w:eastAsia="Arial" w:hAnsi="Arial"/>
                <w:sz w:val="14"/>
                <w:szCs w:val="14"/>
                <w:color w:val="auto"/>
              </w:rPr>
              <w:t>(1,907 )</w:t>
            </w:r>
          </w:p>
        </w:tc>
      </w:tr>
      <w:tr>
        <w:trPr>
          <w:trHeight w:val="360"/>
        </w:trPr>
        <w:tc>
          <w:tcPr>
            <w:tcW w:w="340" w:type="dxa"/>
            <w:vAlign w:val="bottom"/>
          </w:tcPr>
          <w:p>
            <w:pPr>
              <w:spacing w:after="0"/>
              <w:rPr>
                <w:sz w:val="24"/>
                <w:szCs w:val="24"/>
                <w:color w:val="auto"/>
              </w:rPr>
            </w:pPr>
          </w:p>
        </w:tc>
        <w:tc>
          <w:tcPr>
            <w:tcW w:w="760" w:type="dxa"/>
            <w:vAlign w:val="bottom"/>
          </w:tcPr>
          <w:p>
            <w:pPr>
              <w:jc w:val="right"/>
              <w:ind w:right="168"/>
              <w:spacing w:after="0"/>
              <w:rPr>
                <w:sz w:val="20"/>
                <w:szCs w:val="20"/>
                <w:color w:val="auto"/>
              </w:rPr>
            </w:pPr>
            <w:r>
              <w:rPr>
                <w:rFonts w:ascii="Arial" w:cs="Arial" w:eastAsia="Arial" w:hAnsi="Arial"/>
                <w:sz w:val="14"/>
                <w:szCs w:val="14"/>
                <w:color w:val="auto"/>
              </w:rPr>
              <w:t>2,295</w:t>
            </w:r>
          </w:p>
        </w:tc>
        <w:tc>
          <w:tcPr>
            <w:tcW w:w="380" w:type="dxa"/>
            <w:vAlign w:val="bottom"/>
          </w:tcPr>
          <w:p>
            <w:pPr>
              <w:spacing w:after="0"/>
              <w:rPr>
                <w:sz w:val="24"/>
                <w:szCs w:val="24"/>
                <w:color w:val="auto"/>
              </w:rPr>
            </w:pPr>
          </w:p>
        </w:tc>
        <w:tc>
          <w:tcPr>
            <w:tcW w:w="780" w:type="dxa"/>
            <w:vAlign w:val="bottom"/>
          </w:tcPr>
          <w:p>
            <w:pPr>
              <w:jc w:val="right"/>
              <w:ind w:right="168"/>
              <w:spacing w:after="0"/>
              <w:rPr>
                <w:sz w:val="20"/>
                <w:szCs w:val="20"/>
                <w:color w:val="auto"/>
              </w:rPr>
            </w:pPr>
            <w:r>
              <w:rPr>
                <w:rFonts w:ascii="Arial" w:cs="Arial" w:eastAsia="Arial" w:hAnsi="Arial"/>
                <w:sz w:val="14"/>
                <w:szCs w:val="14"/>
                <w:color w:val="auto"/>
              </w:rPr>
              <w:t>103</w:t>
            </w:r>
          </w:p>
        </w:tc>
        <w:tc>
          <w:tcPr>
            <w:tcW w:w="340" w:type="dxa"/>
            <w:vAlign w:val="bottom"/>
          </w:tcPr>
          <w:p>
            <w:pPr>
              <w:spacing w:after="0"/>
              <w:rPr>
                <w:sz w:val="24"/>
                <w:szCs w:val="24"/>
                <w:color w:val="auto"/>
              </w:rPr>
            </w:pPr>
          </w:p>
        </w:tc>
        <w:tc>
          <w:tcPr>
            <w:tcW w:w="760" w:type="dxa"/>
            <w:vAlign w:val="bottom"/>
          </w:tcPr>
          <w:p>
            <w:pPr>
              <w:jc w:val="right"/>
              <w:ind w:right="148"/>
              <w:spacing w:after="0"/>
              <w:rPr>
                <w:sz w:val="20"/>
                <w:szCs w:val="20"/>
                <w:color w:val="auto"/>
              </w:rPr>
            </w:pPr>
            <w:r>
              <w:rPr>
                <w:rFonts w:ascii="Arial" w:cs="Arial" w:eastAsia="Arial" w:hAnsi="Arial"/>
                <w:sz w:val="14"/>
                <w:szCs w:val="14"/>
                <w:color w:val="auto"/>
              </w:rPr>
              <w:t>40</w:t>
            </w:r>
          </w:p>
        </w:tc>
      </w:tr>
      <w:tr>
        <w:trPr>
          <w:trHeight w:val="360"/>
        </w:trPr>
        <w:tc>
          <w:tcPr>
            <w:tcW w:w="340" w:type="dxa"/>
            <w:vAlign w:val="bottom"/>
          </w:tcPr>
          <w:p>
            <w:pPr>
              <w:spacing w:after="0"/>
              <w:rPr>
                <w:sz w:val="24"/>
                <w:szCs w:val="24"/>
                <w:color w:val="auto"/>
              </w:rPr>
            </w:pPr>
          </w:p>
        </w:tc>
        <w:tc>
          <w:tcPr>
            <w:tcW w:w="760" w:type="dxa"/>
            <w:vAlign w:val="bottom"/>
          </w:tcPr>
          <w:p>
            <w:pPr>
              <w:jc w:val="right"/>
              <w:ind w:right="88"/>
              <w:spacing w:after="0"/>
              <w:rPr>
                <w:sz w:val="20"/>
                <w:szCs w:val="20"/>
                <w:color w:val="auto"/>
              </w:rPr>
            </w:pPr>
            <w:r>
              <w:rPr>
                <w:rFonts w:ascii="Arial" w:cs="Arial" w:eastAsia="Arial" w:hAnsi="Arial"/>
                <w:sz w:val="14"/>
                <w:szCs w:val="14"/>
                <w:color w:val="auto"/>
              </w:rPr>
              <w:t>(2,675 )</w:t>
            </w:r>
          </w:p>
        </w:tc>
        <w:tc>
          <w:tcPr>
            <w:tcW w:w="380" w:type="dxa"/>
            <w:vAlign w:val="bottom"/>
          </w:tcPr>
          <w:p>
            <w:pPr>
              <w:spacing w:after="0"/>
              <w:rPr>
                <w:sz w:val="24"/>
                <w:szCs w:val="24"/>
                <w:color w:val="auto"/>
              </w:rPr>
            </w:pPr>
          </w:p>
        </w:tc>
        <w:tc>
          <w:tcPr>
            <w:tcW w:w="780" w:type="dxa"/>
            <w:vAlign w:val="bottom"/>
          </w:tcPr>
          <w:p>
            <w:pPr>
              <w:jc w:val="right"/>
              <w:ind w:right="108"/>
              <w:spacing w:after="0"/>
              <w:rPr>
                <w:sz w:val="20"/>
                <w:szCs w:val="20"/>
                <w:color w:val="auto"/>
              </w:rPr>
            </w:pPr>
            <w:r>
              <w:rPr>
                <w:rFonts w:ascii="Arial" w:cs="Arial" w:eastAsia="Arial" w:hAnsi="Arial"/>
                <w:sz w:val="14"/>
                <w:szCs w:val="14"/>
                <w:color w:val="auto"/>
              </w:rPr>
              <w:t>(121 )</w:t>
            </w:r>
          </w:p>
        </w:tc>
        <w:tc>
          <w:tcPr>
            <w:tcW w:w="340" w:type="dxa"/>
            <w:vAlign w:val="bottom"/>
          </w:tcPr>
          <w:p>
            <w:pPr>
              <w:spacing w:after="0"/>
              <w:rPr>
                <w:sz w:val="24"/>
                <w:szCs w:val="24"/>
                <w:color w:val="auto"/>
              </w:rPr>
            </w:pPr>
          </w:p>
        </w:tc>
        <w:tc>
          <w:tcPr>
            <w:tcW w:w="760" w:type="dxa"/>
            <w:vAlign w:val="bottom"/>
          </w:tcPr>
          <w:p>
            <w:pPr>
              <w:jc w:val="right"/>
              <w:ind w:right="88"/>
              <w:spacing w:after="0"/>
              <w:rPr>
                <w:sz w:val="20"/>
                <w:szCs w:val="20"/>
                <w:color w:val="auto"/>
              </w:rPr>
            </w:pPr>
            <w:r>
              <w:rPr>
                <w:rFonts w:ascii="Arial" w:cs="Arial" w:eastAsia="Arial" w:hAnsi="Arial"/>
                <w:sz w:val="14"/>
                <w:szCs w:val="14"/>
                <w:color w:val="auto"/>
              </w:rPr>
              <w:t>(257 )</w:t>
            </w:r>
          </w:p>
        </w:tc>
      </w:tr>
      <w:tr>
        <w:trPr>
          <w:trHeight w:val="216"/>
        </w:trPr>
        <w:tc>
          <w:tcPr>
            <w:tcW w:w="340" w:type="dxa"/>
            <w:vAlign w:val="bottom"/>
          </w:tcPr>
          <w:p>
            <w:pPr>
              <w:spacing w:after="0"/>
              <w:rPr>
                <w:sz w:val="18"/>
                <w:szCs w:val="18"/>
                <w:color w:val="auto"/>
              </w:rPr>
            </w:pPr>
          </w:p>
        </w:tc>
        <w:tc>
          <w:tcPr>
            <w:tcW w:w="760" w:type="dxa"/>
            <w:vAlign w:val="bottom"/>
          </w:tcPr>
          <w:p>
            <w:pPr>
              <w:jc w:val="right"/>
              <w:ind w:right="168"/>
              <w:spacing w:after="0"/>
              <w:rPr>
                <w:sz w:val="20"/>
                <w:szCs w:val="20"/>
                <w:color w:val="auto"/>
              </w:rPr>
            </w:pPr>
            <w:r>
              <w:rPr>
                <w:rFonts w:ascii="Arial" w:cs="Arial" w:eastAsia="Arial" w:hAnsi="Arial"/>
                <w:sz w:val="14"/>
                <w:szCs w:val="14"/>
                <w:color w:val="auto"/>
              </w:rPr>
              <w:t>34</w:t>
            </w:r>
          </w:p>
        </w:tc>
        <w:tc>
          <w:tcPr>
            <w:tcW w:w="380" w:type="dxa"/>
            <w:vAlign w:val="bottom"/>
          </w:tcPr>
          <w:p>
            <w:pPr>
              <w:spacing w:after="0"/>
              <w:rPr>
                <w:sz w:val="18"/>
                <w:szCs w:val="18"/>
                <w:color w:val="auto"/>
              </w:rPr>
            </w:pPr>
          </w:p>
        </w:tc>
        <w:tc>
          <w:tcPr>
            <w:tcW w:w="780" w:type="dxa"/>
            <w:vAlign w:val="bottom"/>
          </w:tcPr>
          <w:p>
            <w:pPr>
              <w:jc w:val="right"/>
              <w:ind w:right="168"/>
              <w:spacing w:after="0"/>
              <w:rPr>
                <w:sz w:val="20"/>
                <w:szCs w:val="20"/>
                <w:color w:val="auto"/>
              </w:rPr>
            </w:pPr>
            <w:r>
              <w:rPr>
                <w:rFonts w:ascii="Arial" w:cs="Arial" w:eastAsia="Arial" w:hAnsi="Arial"/>
                <w:sz w:val="14"/>
                <w:szCs w:val="14"/>
                <w:color w:val="auto"/>
              </w:rPr>
              <w:t>18</w:t>
            </w:r>
          </w:p>
        </w:tc>
        <w:tc>
          <w:tcPr>
            <w:tcW w:w="340" w:type="dxa"/>
            <w:vAlign w:val="bottom"/>
          </w:tcPr>
          <w:p>
            <w:pPr>
              <w:spacing w:after="0"/>
              <w:rPr>
                <w:sz w:val="18"/>
                <w:szCs w:val="18"/>
                <w:color w:val="auto"/>
              </w:rPr>
            </w:pPr>
          </w:p>
        </w:tc>
        <w:tc>
          <w:tcPr>
            <w:tcW w:w="760" w:type="dxa"/>
            <w:vAlign w:val="bottom"/>
          </w:tcPr>
          <w:p>
            <w:pPr>
              <w:jc w:val="right"/>
              <w:ind w:right="148"/>
              <w:spacing w:after="0"/>
              <w:rPr>
                <w:sz w:val="20"/>
                <w:szCs w:val="20"/>
                <w:color w:val="auto"/>
              </w:rPr>
            </w:pPr>
            <w:r>
              <w:rPr>
                <w:rFonts w:ascii="Arial" w:cs="Arial" w:eastAsia="Arial" w:hAnsi="Arial"/>
                <w:sz w:val="14"/>
                <w:szCs w:val="14"/>
                <w:color w:val="auto"/>
              </w:rPr>
              <w:t>104</w:t>
            </w:r>
          </w:p>
        </w:tc>
      </w:tr>
      <w:tr>
        <w:trPr>
          <w:trHeight w:val="216"/>
        </w:trPr>
        <w:tc>
          <w:tcPr>
            <w:tcW w:w="340" w:type="dxa"/>
            <w:vAlign w:val="bottom"/>
          </w:tcPr>
          <w:p>
            <w:pPr>
              <w:spacing w:after="0"/>
              <w:rPr>
                <w:sz w:val="18"/>
                <w:szCs w:val="18"/>
                <w:color w:val="auto"/>
              </w:rPr>
            </w:pPr>
          </w:p>
        </w:tc>
        <w:tc>
          <w:tcPr>
            <w:tcW w:w="760" w:type="dxa"/>
            <w:vAlign w:val="bottom"/>
          </w:tcPr>
          <w:p>
            <w:pPr>
              <w:jc w:val="right"/>
              <w:ind w:right="88"/>
              <w:spacing w:after="0"/>
              <w:rPr>
                <w:sz w:val="20"/>
                <w:szCs w:val="20"/>
                <w:color w:val="auto"/>
              </w:rPr>
            </w:pPr>
            <w:r>
              <w:rPr>
                <w:rFonts w:ascii="Arial" w:cs="Arial" w:eastAsia="Arial" w:hAnsi="Arial"/>
                <w:sz w:val="14"/>
                <w:szCs w:val="14"/>
                <w:color w:val="auto"/>
              </w:rPr>
              <w:t>(485 )</w:t>
            </w:r>
          </w:p>
        </w:tc>
        <w:tc>
          <w:tcPr>
            <w:tcW w:w="380" w:type="dxa"/>
            <w:vAlign w:val="bottom"/>
          </w:tcPr>
          <w:p>
            <w:pPr>
              <w:spacing w:after="0"/>
              <w:rPr>
                <w:sz w:val="18"/>
                <w:szCs w:val="18"/>
                <w:color w:val="auto"/>
              </w:rPr>
            </w:pPr>
          </w:p>
        </w:tc>
        <w:tc>
          <w:tcPr>
            <w:tcW w:w="780" w:type="dxa"/>
            <w:vAlign w:val="bottom"/>
          </w:tcPr>
          <w:p>
            <w:pPr>
              <w:jc w:val="right"/>
              <w:ind w:right="108"/>
              <w:spacing w:after="0"/>
              <w:rPr>
                <w:sz w:val="20"/>
                <w:szCs w:val="20"/>
                <w:color w:val="auto"/>
              </w:rPr>
            </w:pPr>
            <w:r>
              <w:rPr>
                <w:rFonts w:ascii="Arial" w:cs="Arial" w:eastAsia="Arial" w:hAnsi="Arial"/>
                <w:sz w:val="14"/>
                <w:szCs w:val="14"/>
                <w:color w:val="auto"/>
              </w:rPr>
              <w:t>(646 )</w:t>
            </w:r>
          </w:p>
        </w:tc>
        <w:tc>
          <w:tcPr>
            <w:tcW w:w="340" w:type="dxa"/>
            <w:vAlign w:val="bottom"/>
          </w:tcPr>
          <w:p>
            <w:pPr>
              <w:spacing w:after="0"/>
              <w:rPr>
                <w:sz w:val="18"/>
                <w:szCs w:val="18"/>
                <w:color w:val="auto"/>
              </w:rPr>
            </w:pPr>
          </w:p>
        </w:tc>
        <w:tc>
          <w:tcPr>
            <w:tcW w:w="760" w:type="dxa"/>
            <w:vAlign w:val="bottom"/>
          </w:tcPr>
          <w:p>
            <w:pPr>
              <w:jc w:val="right"/>
              <w:ind w:right="88"/>
              <w:spacing w:after="0"/>
              <w:rPr>
                <w:sz w:val="20"/>
                <w:szCs w:val="20"/>
                <w:color w:val="auto"/>
              </w:rPr>
            </w:pPr>
            <w:r>
              <w:rPr>
                <w:rFonts w:ascii="Arial" w:cs="Arial" w:eastAsia="Arial" w:hAnsi="Arial"/>
                <w:sz w:val="14"/>
                <w:szCs w:val="14"/>
                <w:color w:val="auto"/>
              </w:rPr>
              <w:t>(546 )</w:t>
            </w:r>
          </w:p>
        </w:tc>
      </w:tr>
      <w:tr>
        <w:trPr>
          <w:trHeight w:val="360"/>
        </w:trPr>
        <w:tc>
          <w:tcPr>
            <w:tcW w:w="340" w:type="dxa"/>
            <w:vAlign w:val="bottom"/>
          </w:tcPr>
          <w:p>
            <w:pPr>
              <w:spacing w:after="0"/>
              <w:rPr>
                <w:sz w:val="24"/>
                <w:szCs w:val="24"/>
                <w:color w:val="auto"/>
              </w:rPr>
            </w:pPr>
          </w:p>
        </w:tc>
        <w:tc>
          <w:tcPr>
            <w:tcW w:w="760" w:type="dxa"/>
            <w:vAlign w:val="bottom"/>
          </w:tcPr>
          <w:p>
            <w:pPr>
              <w:jc w:val="right"/>
              <w:ind w:right="168"/>
              <w:spacing w:after="0"/>
              <w:rPr>
                <w:sz w:val="20"/>
                <w:szCs w:val="20"/>
                <w:color w:val="auto"/>
              </w:rPr>
            </w:pPr>
            <w:r>
              <w:rPr>
                <w:rFonts w:ascii="Arial" w:cs="Arial" w:eastAsia="Arial" w:hAnsi="Arial"/>
                <w:sz w:val="14"/>
                <w:szCs w:val="14"/>
                <w:color w:val="auto"/>
              </w:rPr>
              <w:t>469</w:t>
            </w:r>
          </w:p>
        </w:tc>
        <w:tc>
          <w:tcPr>
            <w:tcW w:w="380" w:type="dxa"/>
            <w:vAlign w:val="bottom"/>
          </w:tcPr>
          <w:p>
            <w:pPr>
              <w:spacing w:after="0"/>
              <w:rPr>
                <w:sz w:val="24"/>
                <w:szCs w:val="24"/>
                <w:color w:val="auto"/>
              </w:rPr>
            </w:pPr>
          </w:p>
        </w:tc>
        <w:tc>
          <w:tcPr>
            <w:tcW w:w="780" w:type="dxa"/>
            <w:vAlign w:val="bottom"/>
          </w:tcPr>
          <w:p>
            <w:pPr>
              <w:jc w:val="right"/>
              <w:ind w:right="168"/>
              <w:spacing w:after="0"/>
              <w:rPr>
                <w:sz w:val="20"/>
                <w:szCs w:val="20"/>
                <w:color w:val="auto"/>
              </w:rPr>
            </w:pPr>
            <w:r>
              <w:rPr>
                <w:rFonts w:ascii="Arial" w:cs="Arial" w:eastAsia="Arial" w:hAnsi="Arial"/>
                <w:sz w:val="14"/>
                <w:szCs w:val="14"/>
                <w:color w:val="auto"/>
              </w:rPr>
              <w:t>613</w:t>
            </w:r>
          </w:p>
        </w:tc>
        <w:tc>
          <w:tcPr>
            <w:tcW w:w="340" w:type="dxa"/>
            <w:vAlign w:val="bottom"/>
          </w:tcPr>
          <w:p>
            <w:pPr>
              <w:spacing w:after="0"/>
              <w:rPr>
                <w:sz w:val="24"/>
                <w:szCs w:val="24"/>
                <w:color w:val="auto"/>
              </w:rPr>
            </w:pPr>
          </w:p>
        </w:tc>
        <w:tc>
          <w:tcPr>
            <w:tcW w:w="760" w:type="dxa"/>
            <w:vAlign w:val="bottom"/>
          </w:tcPr>
          <w:p>
            <w:pPr>
              <w:jc w:val="right"/>
              <w:ind w:right="148"/>
              <w:spacing w:after="0"/>
              <w:rPr>
                <w:sz w:val="20"/>
                <w:szCs w:val="20"/>
                <w:color w:val="auto"/>
              </w:rPr>
            </w:pPr>
            <w:r>
              <w:rPr>
                <w:rFonts w:ascii="Arial" w:cs="Arial" w:eastAsia="Arial" w:hAnsi="Arial"/>
                <w:sz w:val="14"/>
                <w:szCs w:val="14"/>
                <w:color w:val="auto"/>
              </w:rPr>
              <w:t>503</w:t>
            </w:r>
          </w:p>
        </w:tc>
      </w:tr>
      <w:tr>
        <w:trPr>
          <w:trHeight w:val="216"/>
        </w:trPr>
        <w:tc>
          <w:tcPr>
            <w:tcW w:w="340" w:type="dxa"/>
            <w:vAlign w:val="bottom"/>
          </w:tcPr>
          <w:p>
            <w:pPr>
              <w:spacing w:after="0"/>
              <w:rPr>
                <w:sz w:val="18"/>
                <w:szCs w:val="18"/>
                <w:color w:val="auto"/>
              </w:rPr>
            </w:pPr>
          </w:p>
        </w:tc>
        <w:tc>
          <w:tcPr>
            <w:tcW w:w="76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8"/>
                <w:szCs w:val="18"/>
                <w:color w:val="auto"/>
              </w:rPr>
            </w:pPr>
          </w:p>
        </w:tc>
        <w:tc>
          <w:tcPr>
            <w:tcW w:w="78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8"/>
                <w:szCs w:val="18"/>
                <w:color w:val="auto"/>
              </w:rPr>
            </w:pPr>
          </w:p>
        </w:tc>
        <w:tc>
          <w:tcPr>
            <w:tcW w:w="760" w:type="dxa"/>
            <w:vAlign w:val="bottom"/>
          </w:tcPr>
          <w:p>
            <w:pPr>
              <w:jc w:val="right"/>
              <w:ind w:right="148"/>
              <w:spacing w:after="0"/>
              <w:rPr>
                <w:sz w:val="20"/>
                <w:szCs w:val="20"/>
                <w:color w:val="auto"/>
              </w:rPr>
            </w:pPr>
            <w:r>
              <w:rPr>
                <w:rFonts w:ascii="Arial" w:cs="Arial" w:eastAsia="Arial" w:hAnsi="Arial"/>
                <w:sz w:val="14"/>
                <w:szCs w:val="14"/>
                <w:color w:val="auto"/>
              </w:rPr>
              <w:t>431</w:t>
            </w:r>
          </w:p>
        </w:tc>
      </w:tr>
      <w:tr>
        <w:trPr>
          <w:trHeight w:val="216"/>
        </w:trPr>
        <w:tc>
          <w:tcPr>
            <w:tcW w:w="340" w:type="dxa"/>
            <w:vAlign w:val="bottom"/>
          </w:tcPr>
          <w:p>
            <w:pPr>
              <w:spacing w:after="0"/>
              <w:rPr>
                <w:sz w:val="18"/>
                <w:szCs w:val="18"/>
                <w:color w:val="auto"/>
              </w:rPr>
            </w:pPr>
          </w:p>
        </w:tc>
        <w:tc>
          <w:tcPr>
            <w:tcW w:w="760" w:type="dxa"/>
            <w:vAlign w:val="bottom"/>
          </w:tcPr>
          <w:p>
            <w:pPr>
              <w:jc w:val="right"/>
              <w:ind w:right="168"/>
              <w:spacing w:after="0"/>
              <w:rPr>
                <w:sz w:val="20"/>
                <w:szCs w:val="20"/>
                <w:color w:val="auto"/>
              </w:rPr>
            </w:pPr>
            <w:r>
              <w:rPr>
                <w:rFonts w:ascii="Arial" w:cs="Arial" w:eastAsia="Arial" w:hAnsi="Arial"/>
                <w:sz w:val="14"/>
                <w:szCs w:val="14"/>
                <w:color w:val="auto"/>
              </w:rPr>
              <w:t>60</w:t>
            </w:r>
          </w:p>
        </w:tc>
        <w:tc>
          <w:tcPr>
            <w:tcW w:w="380" w:type="dxa"/>
            <w:vAlign w:val="bottom"/>
          </w:tcPr>
          <w:p>
            <w:pPr>
              <w:spacing w:after="0"/>
              <w:rPr>
                <w:sz w:val="18"/>
                <w:szCs w:val="18"/>
                <w:color w:val="auto"/>
              </w:rPr>
            </w:pPr>
          </w:p>
        </w:tc>
        <w:tc>
          <w:tcPr>
            <w:tcW w:w="78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8"/>
                <w:szCs w:val="18"/>
                <w:color w:val="auto"/>
              </w:rPr>
            </w:pPr>
          </w:p>
        </w:tc>
        <w:tc>
          <w:tcPr>
            <w:tcW w:w="760" w:type="dxa"/>
            <w:vAlign w:val="bottom"/>
          </w:tcPr>
          <w:p>
            <w:pPr>
              <w:jc w:val="right"/>
              <w:ind w:right="148"/>
              <w:spacing w:after="0"/>
              <w:rPr>
                <w:sz w:val="20"/>
                <w:szCs w:val="20"/>
                <w:color w:val="auto"/>
              </w:rPr>
            </w:pPr>
            <w:r>
              <w:rPr>
                <w:rFonts w:ascii="Arial" w:cs="Arial" w:eastAsia="Arial" w:hAnsi="Arial"/>
                <w:sz w:val="14"/>
                <w:szCs w:val="14"/>
                <w:color w:val="auto"/>
              </w:rPr>
              <w:t>--</w:t>
            </w:r>
          </w:p>
        </w:tc>
      </w:tr>
      <w:tr>
        <w:trPr>
          <w:trHeight w:val="219"/>
        </w:trPr>
        <w:tc>
          <w:tcPr>
            <w:tcW w:w="3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(23 )</w:t>
            </w:r>
          </w:p>
        </w:tc>
        <w:tc>
          <w:tcPr>
            <w:tcW w:w="3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(29 )</w:t>
            </w:r>
          </w:p>
        </w:tc>
        <w:tc>
          <w:tcPr>
            <w:tcW w:w="3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(27 )</w:t>
            </w:r>
          </w:p>
        </w:tc>
      </w:tr>
      <w:tr>
        <w:trPr>
          <w:trHeight w:val="205"/>
        </w:trPr>
        <w:tc>
          <w:tcPr>
            <w:tcW w:w="340" w:type="dxa"/>
            <w:vAlign w:val="bottom"/>
          </w:tcPr>
          <w:p>
            <w:pPr>
              <w:spacing w:after="0"/>
              <w:rPr>
                <w:sz w:val="17"/>
                <w:szCs w:val="17"/>
                <w:color w:val="auto"/>
              </w:rPr>
            </w:pPr>
          </w:p>
        </w:tc>
        <w:tc>
          <w:tcPr>
            <w:tcW w:w="760" w:type="dxa"/>
            <w:vAlign w:val="bottom"/>
          </w:tcPr>
          <w:p>
            <w:pPr>
              <w:jc w:val="right"/>
              <w:ind w:right="88"/>
              <w:spacing w:after="0"/>
              <w:rPr>
                <w:sz w:val="20"/>
                <w:szCs w:val="20"/>
                <w:color w:val="auto"/>
              </w:rPr>
            </w:pPr>
            <w:r>
              <w:rPr>
                <w:rFonts w:ascii="Arial" w:cs="Arial" w:eastAsia="Arial" w:hAnsi="Arial"/>
                <w:sz w:val="14"/>
                <w:szCs w:val="14"/>
                <w:color w:val="auto"/>
              </w:rPr>
              <w:t>(2,386 )</w:t>
            </w:r>
          </w:p>
        </w:tc>
        <w:tc>
          <w:tcPr>
            <w:tcW w:w="380" w:type="dxa"/>
            <w:vAlign w:val="bottom"/>
          </w:tcPr>
          <w:p>
            <w:pPr>
              <w:spacing w:after="0"/>
              <w:rPr>
                <w:sz w:val="17"/>
                <w:szCs w:val="17"/>
                <w:color w:val="auto"/>
              </w:rPr>
            </w:pPr>
          </w:p>
        </w:tc>
        <w:tc>
          <w:tcPr>
            <w:tcW w:w="780" w:type="dxa"/>
            <w:vAlign w:val="bottom"/>
          </w:tcPr>
          <w:p>
            <w:pPr>
              <w:jc w:val="right"/>
              <w:ind w:right="108"/>
              <w:spacing w:after="0"/>
              <w:rPr>
                <w:sz w:val="20"/>
                <w:szCs w:val="20"/>
                <w:color w:val="auto"/>
              </w:rPr>
            </w:pPr>
            <w:r>
              <w:rPr>
                <w:rFonts w:ascii="Arial" w:cs="Arial" w:eastAsia="Arial" w:hAnsi="Arial"/>
                <w:sz w:val="14"/>
                <w:szCs w:val="14"/>
                <w:color w:val="auto"/>
              </w:rPr>
              <w:t>(2,073 )</w:t>
            </w:r>
          </w:p>
        </w:tc>
        <w:tc>
          <w:tcPr>
            <w:tcW w:w="340" w:type="dxa"/>
            <w:vAlign w:val="bottom"/>
          </w:tcPr>
          <w:p>
            <w:pPr>
              <w:spacing w:after="0"/>
              <w:rPr>
                <w:sz w:val="17"/>
                <w:szCs w:val="17"/>
                <w:color w:val="auto"/>
              </w:rPr>
            </w:pPr>
          </w:p>
        </w:tc>
        <w:tc>
          <w:tcPr>
            <w:tcW w:w="760" w:type="dxa"/>
            <w:vAlign w:val="bottom"/>
          </w:tcPr>
          <w:p>
            <w:pPr>
              <w:jc w:val="right"/>
              <w:ind w:right="88"/>
              <w:spacing w:after="0"/>
              <w:rPr>
                <w:sz w:val="20"/>
                <w:szCs w:val="20"/>
                <w:color w:val="auto"/>
              </w:rPr>
            </w:pPr>
            <w:r>
              <w:rPr>
                <w:rFonts w:ascii="Arial" w:cs="Arial" w:eastAsia="Arial" w:hAnsi="Arial"/>
                <w:sz w:val="14"/>
                <w:szCs w:val="14"/>
                <w:color w:val="auto"/>
              </w:rPr>
              <w:t>(1,659 )</w:t>
            </w:r>
          </w:p>
        </w:tc>
      </w:tr>
      <w:tr>
        <w:trPr>
          <w:trHeight w:val="219"/>
        </w:trPr>
        <w:tc>
          <w:tcPr>
            <w:tcW w:w="3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793</w:t>
            </w:r>
          </w:p>
        </w:tc>
      </w:tr>
      <w:tr>
        <w:trPr>
          <w:trHeight w:val="208"/>
        </w:trPr>
        <w:tc>
          <w:tcPr>
            <w:tcW w:w="3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(2,386 )</w:t>
            </w:r>
          </w:p>
        </w:tc>
        <w:tc>
          <w:tcPr>
            <w:tcW w:w="3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(2,073 )</w:t>
            </w:r>
          </w:p>
        </w:tc>
        <w:tc>
          <w:tcPr>
            <w:tcW w:w="3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(866 )</w:t>
            </w:r>
          </w:p>
        </w:tc>
      </w:tr>
      <w:tr>
        <w:trPr>
          <w:trHeight w:val="638"/>
        </w:trPr>
        <w:tc>
          <w:tcPr>
            <w:tcW w:w="340" w:type="dxa"/>
            <w:vAlign w:val="bottom"/>
          </w:tcPr>
          <w:p>
            <w:pPr>
              <w:spacing w:after="0"/>
              <w:rPr>
                <w:sz w:val="24"/>
                <w:szCs w:val="24"/>
                <w:color w:val="auto"/>
              </w:rPr>
            </w:pPr>
          </w:p>
        </w:tc>
        <w:tc>
          <w:tcPr>
            <w:tcW w:w="760" w:type="dxa"/>
            <w:vAlign w:val="bottom"/>
          </w:tcPr>
          <w:p>
            <w:pPr>
              <w:jc w:val="right"/>
              <w:ind w:right="88"/>
              <w:spacing w:after="0"/>
              <w:rPr>
                <w:sz w:val="20"/>
                <w:szCs w:val="20"/>
                <w:color w:val="auto"/>
              </w:rPr>
            </w:pPr>
            <w:r>
              <w:rPr>
                <w:rFonts w:ascii="Arial" w:cs="Arial" w:eastAsia="Arial" w:hAnsi="Arial"/>
                <w:sz w:val="14"/>
                <w:szCs w:val="14"/>
                <w:color w:val="auto"/>
              </w:rPr>
              <w:t>(339 )</w:t>
            </w:r>
          </w:p>
        </w:tc>
        <w:tc>
          <w:tcPr>
            <w:tcW w:w="380" w:type="dxa"/>
            <w:vAlign w:val="bottom"/>
          </w:tcPr>
          <w:p>
            <w:pPr>
              <w:spacing w:after="0"/>
              <w:rPr>
                <w:sz w:val="24"/>
                <w:szCs w:val="24"/>
                <w:color w:val="auto"/>
              </w:rPr>
            </w:pPr>
          </w:p>
        </w:tc>
        <w:tc>
          <w:tcPr>
            <w:tcW w:w="780" w:type="dxa"/>
            <w:vAlign w:val="bottom"/>
          </w:tcPr>
          <w:p>
            <w:pPr>
              <w:jc w:val="right"/>
              <w:ind w:right="108"/>
              <w:spacing w:after="0"/>
              <w:rPr>
                <w:sz w:val="20"/>
                <w:szCs w:val="20"/>
                <w:color w:val="auto"/>
              </w:rPr>
            </w:pPr>
            <w:r>
              <w:rPr>
                <w:rFonts w:ascii="Arial" w:cs="Arial" w:eastAsia="Arial" w:hAnsi="Arial"/>
                <w:sz w:val="14"/>
                <w:szCs w:val="14"/>
                <w:color w:val="auto"/>
              </w:rPr>
              <w:t>(316 )</w:t>
            </w:r>
          </w:p>
        </w:tc>
        <w:tc>
          <w:tcPr>
            <w:tcW w:w="340" w:type="dxa"/>
            <w:vAlign w:val="bottom"/>
          </w:tcPr>
          <w:p>
            <w:pPr>
              <w:spacing w:after="0"/>
              <w:rPr>
                <w:sz w:val="24"/>
                <w:szCs w:val="24"/>
                <w:color w:val="auto"/>
              </w:rPr>
            </w:pPr>
          </w:p>
        </w:tc>
        <w:tc>
          <w:tcPr>
            <w:tcW w:w="760" w:type="dxa"/>
            <w:vAlign w:val="bottom"/>
          </w:tcPr>
          <w:p>
            <w:pPr>
              <w:jc w:val="right"/>
              <w:ind w:right="88"/>
              <w:spacing w:after="0"/>
              <w:rPr>
                <w:sz w:val="20"/>
                <w:szCs w:val="20"/>
                <w:color w:val="auto"/>
              </w:rPr>
            </w:pPr>
            <w:r>
              <w:rPr>
                <w:rFonts w:ascii="Arial" w:cs="Arial" w:eastAsia="Arial" w:hAnsi="Arial"/>
                <w:sz w:val="14"/>
                <w:szCs w:val="14"/>
                <w:color w:val="auto"/>
              </w:rPr>
              <w:t>(283 )</w:t>
            </w:r>
          </w:p>
        </w:tc>
      </w:tr>
      <w:tr>
        <w:trPr>
          <w:trHeight w:val="216"/>
        </w:trPr>
        <w:tc>
          <w:tcPr>
            <w:tcW w:w="340" w:type="dxa"/>
            <w:vAlign w:val="bottom"/>
          </w:tcPr>
          <w:p>
            <w:pPr>
              <w:spacing w:after="0"/>
              <w:rPr>
                <w:sz w:val="18"/>
                <w:szCs w:val="18"/>
                <w:color w:val="auto"/>
              </w:rPr>
            </w:pPr>
          </w:p>
        </w:tc>
        <w:tc>
          <w:tcPr>
            <w:tcW w:w="760" w:type="dxa"/>
            <w:vAlign w:val="bottom"/>
          </w:tcPr>
          <w:p>
            <w:pPr>
              <w:jc w:val="right"/>
              <w:ind w:right="168"/>
              <w:spacing w:after="0"/>
              <w:rPr>
                <w:sz w:val="20"/>
                <w:szCs w:val="20"/>
                <w:color w:val="auto"/>
              </w:rPr>
            </w:pPr>
            <w:r>
              <w:rPr>
                <w:rFonts w:ascii="Arial" w:cs="Arial" w:eastAsia="Arial" w:hAnsi="Arial"/>
                <w:sz w:val="14"/>
                <w:szCs w:val="14"/>
                <w:color w:val="auto"/>
              </w:rPr>
              <w:t>18</w:t>
            </w:r>
          </w:p>
        </w:tc>
        <w:tc>
          <w:tcPr>
            <w:tcW w:w="380" w:type="dxa"/>
            <w:vAlign w:val="bottom"/>
          </w:tcPr>
          <w:p>
            <w:pPr>
              <w:spacing w:after="0"/>
              <w:rPr>
                <w:sz w:val="18"/>
                <w:szCs w:val="18"/>
                <w:color w:val="auto"/>
              </w:rPr>
            </w:pPr>
          </w:p>
        </w:tc>
        <w:tc>
          <w:tcPr>
            <w:tcW w:w="780" w:type="dxa"/>
            <w:vAlign w:val="bottom"/>
          </w:tcPr>
          <w:p>
            <w:pPr>
              <w:jc w:val="right"/>
              <w:ind w:right="168"/>
              <w:spacing w:after="0"/>
              <w:rPr>
                <w:sz w:val="20"/>
                <w:szCs w:val="20"/>
                <w:color w:val="auto"/>
              </w:rPr>
            </w:pPr>
            <w:r>
              <w:rPr>
                <w:rFonts w:ascii="Arial" w:cs="Arial" w:eastAsia="Arial" w:hAnsi="Arial"/>
                <w:sz w:val="14"/>
                <w:szCs w:val="14"/>
                <w:color w:val="auto"/>
              </w:rPr>
              <w:t>40</w:t>
            </w:r>
          </w:p>
        </w:tc>
        <w:tc>
          <w:tcPr>
            <w:tcW w:w="340" w:type="dxa"/>
            <w:vAlign w:val="bottom"/>
          </w:tcPr>
          <w:p>
            <w:pPr>
              <w:spacing w:after="0"/>
              <w:rPr>
                <w:sz w:val="18"/>
                <w:szCs w:val="18"/>
                <w:color w:val="auto"/>
              </w:rPr>
            </w:pPr>
          </w:p>
        </w:tc>
        <w:tc>
          <w:tcPr>
            <w:tcW w:w="760" w:type="dxa"/>
            <w:vAlign w:val="bottom"/>
          </w:tcPr>
          <w:p>
            <w:pPr>
              <w:jc w:val="right"/>
              <w:ind w:right="148"/>
              <w:spacing w:after="0"/>
              <w:rPr>
                <w:sz w:val="20"/>
                <w:szCs w:val="20"/>
                <w:color w:val="auto"/>
              </w:rPr>
            </w:pPr>
            <w:r>
              <w:rPr>
                <w:rFonts w:ascii="Arial" w:cs="Arial" w:eastAsia="Arial" w:hAnsi="Arial"/>
                <w:sz w:val="14"/>
                <w:szCs w:val="14"/>
                <w:color w:val="auto"/>
              </w:rPr>
              <w:t>97</w:t>
            </w:r>
          </w:p>
        </w:tc>
      </w:tr>
      <w:tr>
        <w:trPr>
          <w:trHeight w:val="216"/>
        </w:trPr>
        <w:tc>
          <w:tcPr>
            <w:tcW w:w="340" w:type="dxa"/>
            <w:vAlign w:val="bottom"/>
          </w:tcPr>
          <w:p>
            <w:pPr>
              <w:spacing w:after="0"/>
              <w:rPr>
                <w:sz w:val="18"/>
                <w:szCs w:val="18"/>
                <w:color w:val="auto"/>
              </w:rPr>
            </w:pPr>
          </w:p>
        </w:tc>
        <w:tc>
          <w:tcPr>
            <w:tcW w:w="760" w:type="dxa"/>
            <w:vAlign w:val="bottom"/>
          </w:tcPr>
          <w:p>
            <w:pPr>
              <w:jc w:val="right"/>
              <w:ind w:right="88"/>
              <w:spacing w:after="0"/>
              <w:rPr>
                <w:sz w:val="20"/>
                <w:szCs w:val="20"/>
                <w:color w:val="auto"/>
              </w:rPr>
            </w:pPr>
            <w:r>
              <w:rPr>
                <w:rFonts w:ascii="Arial" w:cs="Arial" w:eastAsia="Arial" w:hAnsi="Arial"/>
                <w:sz w:val="14"/>
                <w:szCs w:val="14"/>
                <w:color w:val="auto"/>
              </w:rPr>
              <w:t>(1,018 )</w:t>
            </w:r>
          </w:p>
        </w:tc>
        <w:tc>
          <w:tcPr>
            <w:tcW w:w="380" w:type="dxa"/>
            <w:vAlign w:val="bottom"/>
          </w:tcPr>
          <w:p>
            <w:pPr>
              <w:spacing w:after="0"/>
              <w:rPr>
                <w:sz w:val="18"/>
                <w:szCs w:val="18"/>
                <w:color w:val="auto"/>
              </w:rPr>
            </w:pPr>
          </w:p>
        </w:tc>
        <w:tc>
          <w:tcPr>
            <w:tcW w:w="780" w:type="dxa"/>
            <w:vAlign w:val="bottom"/>
          </w:tcPr>
          <w:p>
            <w:pPr>
              <w:jc w:val="right"/>
              <w:ind w:right="108"/>
              <w:spacing w:after="0"/>
              <w:rPr>
                <w:sz w:val="20"/>
                <w:szCs w:val="20"/>
                <w:color w:val="auto"/>
              </w:rPr>
            </w:pPr>
            <w:r>
              <w:rPr>
                <w:rFonts w:ascii="Arial" w:cs="Arial" w:eastAsia="Arial" w:hAnsi="Arial"/>
                <w:sz w:val="14"/>
                <w:szCs w:val="14"/>
                <w:color w:val="auto"/>
              </w:rPr>
              <w:t>(185 )</w:t>
            </w:r>
          </w:p>
        </w:tc>
        <w:tc>
          <w:tcPr>
            <w:tcW w:w="340" w:type="dxa"/>
            <w:vAlign w:val="bottom"/>
          </w:tcPr>
          <w:p>
            <w:pPr>
              <w:spacing w:after="0"/>
              <w:rPr>
                <w:sz w:val="18"/>
                <w:szCs w:val="18"/>
                <w:color w:val="auto"/>
              </w:rPr>
            </w:pPr>
          </w:p>
        </w:tc>
        <w:tc>
          <w:tcPr>
            <w:tcW w:w="760" w:type="dxa"/>
            <w:vAlign w:val="bottom"/>
          </w:tcPr>
          <w:p>
            <w:pPr>
              <w:jc w:val="right"/>
              <w:ind w:right="88"/>
              <w:spacing w:after="0"/>
              <w:rPr>
                <w:sz w:val="20"/>
                <w:szCs w:val="20"/>
                <w:color w:val="auto"/>
              </w:rPr>
            </w:pPr>
            <w:r>
              <w:rPr>
                <w:rFonts w:ascii="Arial" w:cs="Arial" w:eastAsia="Arial" w:hAnsi="Arial"/>
                <w:sz w:val="14"/>
                <w:szCs w:val="14"/>
                <w:color w:val="auto"/>
              </w:rPr>
              <w:t>(37 )</w:t>
            </w:r>
          </w:p>
        </w:tc>
      </w:tr>
      <w:tr>
        <w:trPr>
          <w:trHeight w:val="216"/>
        </w:trPr>
        <w:tc>
          <w:tcPr>
            <w:tcW w:w="340" w:type="dxa"/>
            <w:vAlign w:val="bottom"/>
          </w:tcPr>
          <w:p>
            <w:pPr>
              <w:spacing w:after="0"/>
              <w:rPr>
                <w:sz w:val="18"/>
                <w:szCs w:val="18"/>
                <w:color w:val="auto"/>
              </w:rPr>
            </w:pPr>
          </w:p>
        </w:tc>
        <w:tc>
          <w:tcPr>
            <w:tcW w:w="760" w:type="dxa"/>
            <w:vAlign w:val="bottom"/>
          </w:tcPr>
          <w:p>
            <w:pPr>
              <w:jc w:val="right"/>
              <w:ind w:right="168"/>
              <w:spacing w:after="0"/>
              <w:rPr>
                <w:sz w:val="20"/>
                <w:szCs w:val="20"/>
                <w:color w:val="auto"/>
              </w:rPr>
            </w:pPr>
            <w:r>
              <w:rPr>
                <w:rFonts w:ascii="Arial" w:cs="Arial" w:eastAsia="Arial" w:hAnsi="Arial"/>
                <w:sz w:val="14"/>
                <w:szCs w:val="14"/>
                <w:color w:val="auto"/>
              </w:rPr>
              <w:t>1,706</w:t>
            </w:r>
          </w:p>
        </w:tc>
        <w:tc>
          <w:tcPr>
            <w:tcW w:w="380" w:type="dxa"/>
            <w:vAlign w:val="bottom"/>
          </w:tcPr>
          <w:p>
            <w:pPr>
              <w:spacing w:after="0"/>
              <w:rPr>
                <w:sz w:val="18"/>
                <w:szCs w:val="18"/>
                <w:color w:val="auto"/>
              </w:rPr>
            </w:pPr>
          </w:p>
        </w:tc>
        <w:tc>
          <w:tcPr>
            <w:tcW w:w="780" w:type="dxa"/>
            <w:vAlign w:val="bottom"/>
          </w:tcPr>
          <w:p>
            <w:pPr>
              <w:jc w:val="right"/>
              <w:ind w:right="168"/>
              <w:spacing w:after="0"/>
              <w:rPr>
                <w:sz w:val="20"/>
                <w:szCs w:val="20"/>
                <w:color w:val="auto"/>
              </w:rPr>
            </w:pPr>
            <w:r>
              <w:rPr>
                <w:rFonts w:ascii="Arial" w:cs="Arial" w:eastAsia="Arial" w:hAnsi="Arial"/>
                <w:sz w:val="14"/>
                <w:szCs w:val="14"/>
                <w:color w:val="auto"/>
              </w:rPr>
              <w:t>404</w:t>
            </w:r>
          </w:p>
        </w:tc>
        <w:tc>
          <w:tcPr>
            <w:tcW w:w="340" w:type="dxa"/>
            <w:vAlign w:val="bottom"/>
          </w:tcPr>
          <w:p>
            <w:pPr>
              <w:spacing w:after="0"/>
              <w:rPr>
                <w:sz w:val="18"/>
                <w:szCs w:val="18"/>
                <w:color w:val="auto"/>
              </w:rPr>
            </w:pPr>
          </w:p>
        </w:tc>
        <w:tc>
          <w:tcPr>
            <w:tcW w:w="760" w:type="dxa"/>
            <w:vAlign w:val="bottom"/>
          </w:tcPr>
          <w:p>
            <w:pPr>
              <w:jc w:val="right"/>
              <w:ind w:right="148"/>
              <w:spacing w:after="0"/>
              <w:rPr>
                <w:sz w:val="20"/>
                <w:szCs w:val="20"/>
                <w:color w:val="auto"/>
              </w:rPr>
            </w:pPr>
            <w:r>
              <w:rPr>
                <w:rFonts w:ascii="Arial" w:cs="Arial" w:eastAsia="Arial" w:hAnsi="Arial"/>
                <w:sz w:val="14"/>
                <w:szCs w:val="14"/>
                <w:color w:val="auto"/>
              </w:rPr>
              <w:t>552</w:t>
            </w:r>
          </w:p>
        </w:tc>
      </w:tr>
      <w:tr>
        <w:trPr>
          <w:trHeight w:val="216"/>
        </w:trPr>
        <w:tc>
          <w:tcPr>
            <w:tcW w:w="340" w:type="dxa"/>
            <w:vAlign w:val="bottom"/>
          </w:tcPr>
          <w:p>
            <w:pPr>
              <w:spacing w:after="0"/>
              <w:rPr>
                <w:sz w:val="18"/>
                <w:szCs w:val="18"/>
                <w:color w:val="auto"/>
              </w:rPr>
            </w:pPr>
          </w:p>
        </w:tc>
        <w:tc>
          <w:tcPr>
            <w:tcW w:w="760" w:type="dxa"/>
            <w:vAlign w:val="bottom"/>
          </w:tcPr>
          <w:p>
            <w:pPr>
              <w:jc w:val="right"/>
              <w:ind w:right="88"/>
              <w:spacing w:after="0"/>
              <w:rPr>
                <w:sz w:val="20"/>
                <w:szCs w:val="20"/>
                <w:color w:val="auto"/>
              </w:rPr>
            </w:pPr>
            <w:r>
              <w:rPr>
                <w:rFonts w:ascii="Arial" w:cs="Arial" w:eastAsia="Arial" w:hAnsi="Arial"/>
                <w:sz w:val="14"/>
                <w:szCs w:val="14"/>
                <w:color w:val="auto"/>
              </w:rPr>
              <w:t>(79 )</w:t>
            </w:r>
          </w:p>
        </w:tc>
        <w:tc>
          <w:tcPr>
            <w:tcW w:w="380" w:type="dxa"/>
            <w:vAlign w:val="bottom"/>
          </w:tcPr>
          <w:p>
            <w:pPr>
              <w:spacing w:after="0"/>
              <w:rPr>
                <w:sz w:val="18"/>
                <w:szCs w:val="18"/>
                <w:color w:val="auto"/>
              </w:rPr>
            </w:pPr>
          </w:p>
        </w:tc>
        <w:tc>
          <w:tcPr>
            <w:tcW w:w="780" w:type="dxa"/>
            <w:vAlign w:val="bottom"/>
          </w:tcPr>
          <w:p>
            <w:pPr>
              <w:jc w:val="right"/>
              <w:ind w:right="108"/>
              <w:spacing w:after="0"/>
              <w:rPr>
                <w:sz w:val="20"/>
                <w:szCs w:val="20"/>
                <w:color w:val="auto"/>
              </w:rPr>
            </w:pPr>
            <w:r>
              <w:rPr>
                <w:rFonts w:ascii="Arial" w:cs="Arial" w:eastAsia="Arial" w:hAnsi="Arial"/>
                <w:sz w:val="14"/>
                <w:szCs w:val="14"/>
                <w:color w:val="auto"/>
              </w:rPr>
              <w:t>(1,072 )</w:t>
            </w:r>
          </w:p>
        </w:tc>
        <w:tc>
          <w:tcPr>
            <w:tcW w:w="340" w:type="dxa"/>
            <w:vAlign w:val="bottom"/>
          </w:tcPr>
          <w:p>
            <w:pPr>
              <w:spacing w:after="0"/>
              <w:rPr>
                <w:sz w:val="18"/>
                <w:szCs w:val="18"/>
                <w:color w:val="auto"/>
              </w:rPr>
            </w:pPr>
          </w:p>
        </w:tc>
        <w:tc>
          <w:tcPr>
            <w:tcW w:w="760" w:type="dxa"/>
            <w:vAlign w:val="bottom"/>
          </w:tcPr>
          <w:p>
            <w:pPr>
              <w:jc w:val="right"/>
              <w:ind w:right="88"/>
              <w:spacing w:after="0"/>
              <w:rPr>
                <w:sz w:val="20"/>
                <w:szCs w:val="20"/>
                <w:color w:val="auto"/>
              </w:rPr>
            </w:pPr>
            <w:r>
              <w:rPr>
                <w:rFonts w:ascii="Arial" w:cs="Arial" w:eastAsia="Arial" w:hAnsi="Arial"/>
                <w:sz w:val="14"/>
                <w:szCs w:val="14"/>
                <w:color w:val="auto"/>
              </w:rPr>
              <w:t>(263 )</w:t>
            </w:r>
          </w:p>
        </w:tc>
      </w:tr>
      <w:tr>
        <w:trPr>
          <w:trHeight w:val="216"/>
        </w:trPr>
        <w:tc>
          <w:tcPr>
            <w:tcW w:w="340" w:type="dxa"/>
            <w:vAlign w:val="bottom"/>
          </w:tcPr>
          <w:p>
            <w:pPr>
              <w:spacing w:after="0"/>
              <w:rPr>
                <w:sz w:val="18"/>
                <w:szCs w:val="18"/>
                <w:color w:val="auto"/>
              </w:rPr>
            </w:pPr>
          </w:p>
        </w:tc>
        <w:tc>
          <w:tcPr>
            <w:tcW w:w="760" w:type="dxa"/>
            <w:vAlign w:val="bottom"/>
          </w:tcPr>
          <w:p>
            <w:pPr>
              <w:jc w:val="right"/>
              <w:ind w:right="168"/>
              <w:spacing w:after="0"/>
              <w:rPr>
                <w:sz w:val="20"/>
                <w:szCs w:val="20"/>
                <w:color w:val="auto"/>
              </w:rPr>
            </w:pPr>
            <w:r>
              <w:rPr>
                <w:rFonts w:ascii="Arial" w:cs="Arial" w:eastAsia="Arial" w:hAnsi="Arial"/>
                <w:sz w:val="14"/>
                <w:szCs w:val="14"/>
                <w:color w:val="auto"/>
              </w:rPr>
              <w:t>564</w:t>
            </w:r>
          </w:p>
        </w:tc>
        <w:tc>
          <w:tcPr>
            <w:tcW w:w="380" w:type="dxa"/>
            <w:vAlign w:val="bottom"/>
          </w:tcPr>
          <w:p>
            <w:pPr>
              <w:spacing w:after="0"/>
              <w:rPr>
                <w:sz w:val="18"/>
                <w:szCs w:val="18"/>
                <w:color w:val="auto"/>
              </w:rPr>
            </w:pPr>
          </w:p>
        </w:tc>
        <w:tc>
          <w:tcPr>
            <w:tcW w:w="780" w:type="dxa"/>
            <w:vAlign w:val="bottom"/>
          </w:tcPr>
          <w:p>
            <w:pPr>
              <w:jc w:val="right"/>
              <w:ind w:right="168"/>
              <w:spacing w:after="0"/>
              <w:rPr>
                <w:sz w:val="20"/>
                <w:szCs w:val="20"/>
                <w:color w:val="auto"/>
              </w:rPr>
            </w:pPr>
            <w:r>
              <w:rPr>
                <w:rFonts w:ascii="Arial" w:cs="Arial" w:eastAsia="Arial" w:hAnsi="Arial"/>
                <w:sz w:val="14"/>
                <w:szCs w:val="14"/>
                <w:color w:val="auto"/>
              </w:rPr>
              <w:t>812</w:t>
            </w:r>
          </w:p>
        </w:tc>
        <w:tc>
          <w:tcPr>
            <w:tcW w:w="340" w:type="dxa"/>
            <w:vAlign w:val="bottom"/>
          </w:tcPr>
          <w:p>
            <w:pPr>
              <w:spacing w:after="0"/>
              <w:rPr>
                <w:sz w:val="18"/>
                <w:szCs w:val="18"/>
                <w:color w:val="auto"/>
              </w:rPr>
            </w:pPr>
          </w:p>
        </w:tc>
        <w:tc>
          <w:tcPr>
            <w:tcW w:w="760" w:type="dxa"/>
            <w:vAlign w:val="bottom"/>
          </w:tcPr>
          <w:p>
            <w:pPr>
              <w:jc w:val="right"/>
              <w:ind w:right="88"/>
              <w:spacing w:after="0"/>
              <w:rPr>
                <w:sz w:val="20"/>
                <w:szCs w:val="20"/>
                <w:color w:val="auto"/>
              </w:rPr>
            </w:pPr>
            <w:r>
              <w:rPr>
                <w:rFonts w:ascii="Arial" w:cs="Arial" w:eastAsia="Arial" w:hAnsi="Arial"/>
                <w:sz w:val="14"/>
                <w:szCs w:val="14"/>
                <w:color w:val="auto"/>
              </w:rPr>
              <w:t>(791 )</w:t>
            </w:r>
          </w:p>
        </w:tc>
      </w:tr>
      <w:tr>
        <w:trPr>
          <w:trHeight w:val="216"/>
        </w:trPr>
        <w:tc>
          <w:tcPr>
            <w:tcW w:w="340" w:type="dxa"/>
            <w:vAlign w:val="bottom"/>
          </w:tcPr>
          <w:p>
            <w:pPr>
              <w:spacing w:after="0"/>
              <w:rPr>
                <w:sz w:val="18"/>
                <w:szCs w:val="18"/>
                <w:color w:val="auto"/>
              </w:rPr>
            </w:pPr>
          </w:p>
        </w:tc>
        <w:tc>
          <w:tcPr>
            <w:tcW w:w="76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8"/>
                <w:szCs w:val="18"/>
                <w:color w:val="auto"/>
              </w:rPr>
            </w:pPr>
          </w:p>
        </w:tc>
        <w:tc>
          <w:tcPr>
            <w:tcW w:w="78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8"/>
                <w:szCs w:val="18"/>
                <w:color w:val="auto"/>
              </w:rPr>
            </w:pPr>
          </w:p>
        </w:tc>
        <w:tc>
          <w:tcPr>
            <w:tcW w:w="760" w:type="dxa"/>
            <w:vAlign w:val="bottom"/>
          </w:tcPr>
          <w:p>
            <w:pPr>
              <w:jc w:val="right"/>
              <w:ind w:right="148"/>
              <w:spacing w:after="0"/>
              <w:rPr>
                <w:sz w:val="20"/>
                <w:szCs w:val="20"/>
                <w:color w:val="auto"/>
              </w:rPr>
            </w:pPr>
            <w:r>
              <w:rPr>
                <w:rFonts w:ascii="Arial" w:cs="Arial" w:eastAsia="Arial" w:hAnsi="Arial"/>
                <w:sz w:val="14"/>
                <w:szCs w:val="14"/>
                <w:color w:val="auto"/>
              </w:rPr>
              <w:t>83</w:t>
            </w:r>
          </w:p>
        </w:tc>
      </w:tr>
      <w:tr>
        <w:trPr>
          <w:trHeight w:val="219"/>
        </w:trPr>
        <w:tc>
          <w:tcPr>
            <w:tcW w:w="3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16</w:t>
            </w:r>
          </w:p>
        </w:tc>
        <w:tc>
          <w:tcPr>
            <w:tcW w:w="3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21</w:t>
            </w:r>
          </w:p>
        </w:tc>
        <w:tc>
          <w:tcPr>
            <w:tcW w:w="3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28</w:t>
            </w:r>
          </w:p>
        </w:tc>
      </w:tr>
      <w:tr>
        <w:trPr>
          <w:trHeight w:val="205"/>
        </w:trPr>
        <w:tc>
          <w:tcPr>
            <w:tcW w:w="340" w:type="dxa"/>
            <w:vAlign w:val="bottom"/>
          </w:tcPr>
          <w:p>
            <w:pPr>
              <w:spacing w:after="0"/>
              <w:rPr>
                <w:sz w:val="17"/>
                <w:szCs w:val="17"/>
                <w:color w:val="auto"/>
              </w:rPr>
            </w:pPr>
          </w:p>
        </w:tc>
        <w:tc>
          <w:tcPr>
            <w:tcW w:w="760" w:type="dxa"/>
            <w:vAlign w:val="bottom"/>
          </w:tcPr>
          <w:p>
            <w:pPr>
              <w:jc w:val="right"/>
              <w:ind w:right="168"/>
              <w:spacing w:after="0"/>
              <w:rPr>
                <w:sz w:val="20"/>
                <w:szCs w:val="20"/>
                <w:color w:val="auto"/>
              </w:rPr>
            </w:pPr>
            <w:r>
              <w:rPr>
                <w:rFonts w:ascii="Arial" w:cs="Arial" w:eastAsia="Arial" w:hAnsi="Arial"/>
                <w:sz w:val="14"/>
                <w:szCs w:val="14"/>
                <w:color w:val="auto"/>
              </w:rPr>
              <w:t>868</w:t>
            </w:r>
          </w:p>
        </w:tc>
        <w:tc>
          <w:tcPr>
            <w:tcW w:w="380" w:type="dxa"/>
            <w:vAlign w:val="bottom"/>
          </w:tcPr>
          <w:p>
            <w:pPr>
              <w:spacing w:after="0"/>
              <w:rPr>
                <w:sz w:val="17"/>
                <w:szCs w:val="17"/>
                <w:color w:val="auto"/>
              </w:rPr>
            </w:pPr>
          </w:p>
        </w:tc>
        <w:tc>
          <w:tcPr>
            <w:tcW w:w="780" w:type="dxa"/>
            <w:vAlign w:val="bottom"/>
          </w:tcPr>
          <w:p>
            <w:pPr>
              <w:jc w:val="right"/>
              <w:ind w:right="108"/>
              <w:spacing w:after="0"/>
              <w:rPr>
                <w:sz w:val="20"/>
                <w:szCs w:val="20"/>
                <w:color w:val="auto"/>
              </w:rPr>
            </w:pPr>
            <w:r>
              <w:rPr>
                <w:rFonts w:ascii="Arial" w:cs="Arial" w:eastAsia="Arial" w:hAnsi="Arial"/>
                <w:sz w:val="14"/>
                <w:szCs w:val="14"/>
                <w:color w:val="auto"/>
              </w:rPr>
              <w:t>(296 )</w:t>
            </w:r>
          </w:p>
        </w:tc>
        <w:tc>
          <w:tcPr>
            <w:tcW w:w="340" w:type="dxa"/>
            <w:vAlign w:val="bottom"/>
          </w:tcPr>
          <w:p>
            <w:pPr>
              <w:spacing w:after="0"/>
              <w:rPr>
                <w:sz w:val="17"/>
                <w:szCs w:val="17"/>
                <w:color w:val="auto"/>
              </w:rPr>
            </w:pPr>
          </w:p>
        </w:tc>
        <w:tc>
          <w:tcPr>
            <w:tcW w:w="760" w:type="dxa"/>
            <w:vAlign w:val="bottom"/>
          </w:tcPr>
          <w:p>
            <w:pPr>
              <w:jc w:val="right"/>
              <w:ind w:right="88"/>
              <w:spacing w:after="0"/>
              <w:rPr>
                <w:sz w:val="20"/>
                <w:szCs w:val="20"/>
                <w:color w:val="auto"/>
              </w:rPr>
            </w:pPr>
            <w:r>
              <w:rPr>
                <w:rFonts w:ascii="Arial" w:cs="Arial" w:eastAsia="Arial" w:hAnsi="Arial"/>
                <w:sz w:val="14"/>
                <w:szCs w:val="14"/>
                <w:color w:val="auto"/>
              </w:rPr>
              <w:t>(614 )</w:t>
            </w:r>
          </w:p>
        </w:tc>
      </w:tr>
      <w:tr>
        <w:trPr>
          <w:trHeight w:val="219"/>
        </w:trPr>
        <w:tc>
          <w:tcPr>
            <w:tcW w:w="3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2</w:t>
            </w:r>
          </w:p>
        </w:tc>
      </w:tr>
      <w:tr>
        <w:trPr>
          <w:trHeight w:val="208"/>
        </w:trPr>
        <w:tc>
          <w:tcPr>
            <w:tcW w:w="3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868</w:t>
            </w:r>
          </w:p>
        </w:tc>
        <w:tc>
          <w:tcPr>
            <w:tcW w:w="3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(296 )</w:t>
            </w:r>
          </w:p>
        </w:tc>
        <w:tc>
          <w:tcPr>
            <w:tcW w:w="3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(612 )</w:t>
            </w:r>
          </w:p>
        </w:tc>
      </w:tr>
      <w:tr>
        <w:trPr>
          <w:trHeight w:val="421"/>
        </w:trPr>
        <w:tc>
          <w:tcPr>
            <w:tcW w:w="340" w:type="dxa"/>
            <w:vAlign w:val="bottom"/>
          </w:tcPr>
          <w:p>
            <w:pPr>
              <w:spacing w:after="0"/>
              <w:rPr>
                <w:sz w:val="24"/>
                <w:szCs w:val="24"/>
                <w:color w:val="auto"/>
              </w:rPr>
            </w:pPr>
          </w:p>
        </w:tc>
        <w:tc>
          <w:tcPr>
            <w:tcW w:w="760" w:type="dxa"/>
            <w:vAlign w:val="bottom"/>
          </w:tcPr>
          <w:p>
            <w:pPr>
              <w:jc w:val="right"/>
              <w:ind w:right="88"/>
              <w:spacing w:after="0"/>
              <w:rPr>
                <w:sz w:val="20"/>
                <w:szCs w:val="20"/>
                <w:color w:val="auto"/>
              </w:rPr>
            </w:pPr>
            <w:r>
              <w:rPr>
                <w:rFonts w:ascii="Arial" w:cs="Arial" w:eastAsia="Arial" w:hAnsi="Arial"/>
                <w:sz w:val="14"/>
                <w:szCs w:val="14"/>
                <w:color w:val="auto"/>
              </w:rPr>
              <w:t>(337 )</w:t>
            </w:r>
          </w:p>
        </w:tc>
        <w:tc>
          <w:tcPr>
            <w:tcW w:w="380" w:type="dxa"/>
            <w:vAlign w:val="bottom"/>
          </w:tcPr>
          <w:p>
            <w:pPr>
              <w:spacing w:after="0"/>
              <w:rPr>
                <w:sz w:val="24"/>
                <w:szCs w:val="24"/>
                <w:color w:val="auto"/>
              </w:rPr>
            </w:pPr>
          </w:p>
        </w:tc>
        <w:tc>
          <w:tcPr>
            <w:tcW w:w="780" w:type="dxa"/>
            <w:vAlign w:val="bottom"/>
          </w:tcPr>
          <w:p>
            <w:pPr>
              <w:jc w:val="right"/>
              <w:ind w:right="108"/>
              <w:spacing w:after="0"/>
              <w:rPr>
                <w:sz w:val="20"/>
                <w:szCs w:val="20"/>
                <w:color w:val="auto"/>
              </w:rPr>
            </w:pPr>
            <w:r>
              <w:rPr>
                <w:rFonts w:ascii="Arial" w:cs="Arial" w:eastAsia="Arial" w:hAnsi="Arial"/>
                <w:sz w:val="14"/>
                <w:szCs w:val="14"/>
                <w:color w:val="auto"/>
              </w:rPr>
              <w:t>(281 )</w:t>
            </w:r>
          </w:p>
        </w:tc>
        <w:tc>
          <w:tcPr>
            <w:tcW w:w="340" w:type="dxa"/>
            <w:vAlign w:val="bottom"/>
          </w:tcPr>
          <w:p>
            <w:pPr>
              <w:spacing w:after="0"/>
              <w:rPr>
                <w:sz w:val="24"/>
                <w:szCs w:val="24"/>
                <w:color w:val="auto"/>
              </w:rPr>
            </w:pPr>
          </w:p>
        </w:tc>
        <w:tc>
          <w:tcPr>
            <w:tcW w:w="760" w:type="dxa"/>
            <w:vAlign w:val="bottom"/>
          </w:tcPr>
          <w:p>
            <w:pPr>
              <w:jc w:val="right"/>
              <w:ind w:right="148"/>
              <w:spacing w:after="0"/>
              <w:rPr>
                <w:sz w:val="20"/>
                <w:szCs w:val="20"/>
                <w:color w:val="auto"/>
              </w:rPr>
            </w:pPr>
            <w:r>
              <w:rPr>
                <w:rFonts w:ascii="Arial" w:cs="Arial" w:eastAsia="Arial" w:hAnsi="Arial"/>
                <w:sz w:val="14"/>
                <w:szCs w:val="14"/>
                <w:color w:val="auto"/>
              </w:rPr>
              <w:t>151</w:t>
            </w:r>
          </w:p>
        </w:tc>
      </w:tr>
      <w:tr>
        <w:trPr>
          <w:trHeight w:val="216"/>
        </w:trPr>
        <w:tc>
          <w:tcPr>
            <w:tcW w:w="340" w:type="dxa"/>
            <w:vAlign w:val="bottom"/>
          </w:tcPr>
          <w:p>
            <w:pPr>
              <w:spacing w:after="0"/>
              <w:rPr>
                <w:sz w:val="18"/>
                <w:szCs w:val="18"/>
                <w:color w:val="auto"/>
              </w:rPr>
            </w:pPr>
          </w:p>
        </w:tc>
        <w:tc>
          <w:tcPr>
            <w:tcW w:w="760" w:type="dxa"/>
            <w:vAlign w:val="bottom"/>
          </w:tcPr>
          <w:p>
            <w:pPr>
              <w:jc w:val="right"/>
              <w:ind w:right="168"/>
              <w:spacing w:after="0"/>
              <w:rPr>
                <w:sz w:val="20"/>
                <w:szCs w:val="20"/>
                <w:color w:val="auto"/>
              </w:rPr>
            </w:pPr>
            <w:r>
              <w:rPr>
                <w:rFonts w:ascii="Arial" w:cs="Arial" w:eastAsia="Arial" w:hAnsi="Arial"/>
                <w:sz w:val="14"/>
                <w:szCs w:val="14"/>
                <w:color w:val="auto"/>
              </w:rPr>
              <w:t>668</w:t>
            </w:r>
          </w:p>
        </w:tc>
        <w:tc>
          <w:tcPr>
            <w:tcW w:w="380" w:type="dxa"/>
            <w:vAlign w:val="bottom"/>
          </w:tcPr>
          <w:p>
            <w:pPr>
              <w:spacing w:after="0"/>
              <w:rPr>
                <w:sz w:val="18"/>
                <w:szCs w:val="18"/>
                <w:color w:val="auto"/>
              </w:rPr>
            </w:pPr>
          </w:p>
        </w:tc>
        <w:tc>
          <w:tcPr>
            <w:tcW w:w="780" w:type="dxa"/>
            <w:vAlign w:val="bottom"/>
          </w:tcPr>
          <w:p>
            <w:pPr>
              <w:jc w:val="right"/>
              <w:ind w:right="168"/>
              <w:spacing w:after="0"/>
              <w:rPr>
                <w:sz w:val="20"/>
                <w:szCs w:val="20"/>
                <w:color w:val="auto"/>
              </w:rPr>
            </w:pPr>
            <w:r>
              <w:rPr>
                <w:rFonts w:ascii="Arial" w:cs="Arial" w:eastAsia="Arial" w:hAnsi="Arial"/>
                <w:sz w:val="14"/>
                <w:szCs w:val="14"/>
                <w:color w:val="auto"/>
              </w:rPr>
              <w:t>920</w:t>
            </w:r>
          </w:p>
        </w:tc>
        <w:tc>
          <w:tcPr>
            <w:tcW w:w="340" w:type="dxa"/>
            <w:vAlign w:val="bottom"/>
          </w:tcPr>
          <w:p>
            <w:pPr>
              <w:spacing w:after="0"/>
              <w:rPr>
                <w:sz w:val="18"/>
                <w:szCs w:val="18"/>
                <w:color w:val="auto"/>
              </w:rPr>
            </w:pPr>
          </w:p>
        </w:tc>
        <w:tc>
          <w:tcPr>
            <w:tcW w:w="760" w:type="dxa"/>
            <w:vAlign w:val="bottom"/>
          </w:tcPr>
          <w:p>
            <w:pPr>
              <w:jc w:val="right"/>
              <w:ind w:right="148"/>
              <w:spacing w:after="0"/>
              <w:rPr>
                <w:sz w:val="20"/>
                <w:szCs w:val="20"/>
                <w:color w:val="auto"/>
              </w:rPr>
            </w:pPr>
            <w:r>
              <w:rPr>
                <w:rFonts w:ascii="Arial" w:cs="Arial" w:eastAsia="Arial" w:hAnsi="Arial"/>
                <w:sz w:val="14"/>
                <w:szCs w:val="14"/>
                <w:color w:val="auto"/>
              </w:rPr>
              <w:t>769</w:t>
            </w:r>
          </w:p>
        </w:tc>
      </w:tr>
      <w:tr>
        <w:trPr>
          <w:trHeight w:val="219"/>
        </w:trPr>
        <w:tc>
          <w:tcPr>
            <w:tcW w:w="3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29</w:t>
            </w:r>
          </w:p>
        </w:tc>
        <w:tc>
          <w:tcPr>
            <w:tcW w:w="3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r>
      <w:tr>
        <w:trPr>
          <w:trHeight w:val="205"/>
        </w:trPr>
        <w:tc>
          <w:tcPr>
            <w:tcW w:w="3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168"/>
              <w:spacing w:after="0"/>
              <w:rPr>
                <w:sz w:val="20"/>
                <w:szCs w:val="20"/>
                <w:color w:val="auto"/>
              </w:rPr>
            </w:pPr>
            <w:r>
              <w:rPr>
                <w:rFonts w:ascii="Arial" w:cs="Arial" w:eastAsia="Arial" w:hAnsi="Arial"/>
                <w:sz w:val="14"/>
                <w:szCs w:val="14"/>
                <w:color w:val="auto"/>
              </w:rPr>
              <w:t>331</w:t>
            </w:r>
          </w:p>
        </w:tc>
        <w:tc>
          <w:tcPr>
            <w:tcW w:w="3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168"/>
              <w:spacing w:after="0"/>
              <w:rPr>
                <w:sz w:val="20"/>
                <w:szCs w:val="20"/>
                <w:color w:val="auto"/>
              </w:rPr>
            </w:pPr>
            <w:r>
              <w:rPr>
                <w:rFonts w:ascii="Arial" w:cs="Arial" w:eastAsia="Arial" w:hAnsi="Arial"/>
                <w:sz w:val="14"/>
                <w:szCs w:val="14"/>
                <w:color w:val="auto"/>
              </w:rPr>
              <w:t>668</w:t>
            </w:r>
          </w:p>
        </w:tc>
        <w:tc>
          <w:tcPr>
            <w:tcW w:w="3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148"/>
              <w:spacing w:after="0"/>
              <w:rPr>
                <w:sz w:val="20"/>
                <w:szCs w:val="20"/>
                <w:color w:val="auto"/>
              </w:rPr>
            </w:pPr>
            <w:r>
              <w:rPr>
                <w:rFonts w:ascii="Arial" w:cs="Arial" w:eastAsia="Arial" w:hAnsi="Arial"/>
                <w:sz w:val="14"/>
                <w:szCs w:val="14"/>
                <w:color w:val="auto"/>
              </w:rPr>
              <w:t>920</w:t>
            </w:r>
          </w:p>
        </w:tc>
      </w:tr>
    </w:tbl>
    <w:p>
      <w:pPr>
        <w:spacing w:after="0" w:line="266" w:lineRule="exact"/>
        <w:rPr>
          <w:sz w:val="20"/>
          <w:szCs w:val="20"/>
          <w:color w:val="auto"/>
        </w:rPr>
      </w:pPr>
    </w:p>
    <w:p>
      <w:pPr>
        <w:sectPr>
          <w:pgSz w:w="11900" w:h="16838" w:orient="portrait"/>
          <w:cols w:equalWidth="0" w:num="2">
            <w:col w:w="6100" w:space="80"/>
            <w:col w:w="4039"/>
          </w:cols>
          <w:pgMar w:left="240" w:top="748" w:right="1440" w:bottom="1440" w:gutter="0" w:footer="0" w:header="0"/>
          <w:type w:val="continuous"/>
        </w:sectPr>
      </w:pPr>
    </w:p>
    <w:p>
      <w:pPr>
        <w:spacing w:after="0" w:line="249" w:lineRule="exact"/>
        <w:rPr>
          <w:sz w:val="20"/>
          <w:szCs w:val="20"/>
          <w:color w:val="auto"/>
        </w:rPr>
      </w:pPr>
    </w:p>
    <w:p>
      <w:pPr>
        <w:ind w:left="1920"/>
        <w:spacing w:after="0"/>
        <w:rPr>
          <w:sz w:val="20"/>
          <w:szCs w:val="20"/>
          <w:color w:val="auto"/>
        </w:rPr>
      </w:pPr>
      <w:r>
        <w:rPr>
          <w:rFonts w:ascii="Arial" w:cs="Arial" w:eastAsia="Arial" w:hAnsi="Arial"/>
          <w:sz w:val="12"/>
          <w:szCs w:val="12"/>
          <w:i w:val="1"/>
          <w:iCs w:val="1"/>
          <w:color w:val="auto"/>
        </w:rPr>
        <w:t>See Notes to Consolidated Financial Statements.</w:t>
      </w:r>
    </w:p>
    <w:p>
      <w:pPr>
        <w:sectPr>
          <w:pgSz w:w="11900" w:h="16838" w:orient="portrait"/>
          <w:cols w:equalWidth="0" w:num="1">
            <w:col w:w="10219"/>
          </w:cols>
          <w:pgMar w:left="240" w:top="748" w:right="1440" w:bottom="1440" w:gutter="0" w:footer="0" w:header="0"/>
          <w:type w:val="continuous"/>
        </w:sect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2"/>
          <w:szCs w:val="12"/>
          <w:color w:val="auto"/>
        </w:rPr>
        <w:t>72</w:t>
      </w:r>
    </w:p>
    <w:p>
      <w:pPr>
        <w:sectPr>
          <w:pgSz w:w="11900" w:h="16838" w:orient="portrait"/>
          <w:cols w:equalWidth="0" w:num="1">
            <w:col w:w="10219"/>
          </w:cols>
          <w:pgMar w:left="240" w:top="748" w:right="1440" w:bottom="1440" w:gutter="0" w:footer="0" w:header="0"/>
          <w:type w:val="continuous"/>
        </w:sectPr>
      </w:pPr>
    </w:p>
    <w:bookmarkStart w:id="212" w:name="page213"/>
    <w:bookmarkEnd w:id="212"/>
    <w:p>
      <w:pPr>
        <w:ind w:left="1960"/>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1385570</wp:posOffset>
            </wp:positionH>
            <wp:positionV relativeFrom="page">
              <wp:posOffset>348615</wp:posOffset>
            </wp:positionV>
            <wp:extent cx="4790440" cy="389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4790440" cy="389255"/>
                    </a:xfrm>
                    <a:prstGeom prst="rect">
                      <a:avLst/>
                    </a:prstGeom>
                    <a:noFill/>
                  </pic:spPr>
                </pic:pic>
              </a:graphicData>
            </a:graphic>
          </wp:anchor>
        </w:drawing>
        <w:t>SEMPRA ENERGY</w:t>
      </w:r>
    </w:p>
    <w:p>
      <w:pPr>
        <w:spacing w:after="0" w:line="31" w:lineRule="exact"/>
        <w:rPr>
          <w:sz w:val="20"/>
          <w:szCs w:val="20"/>
          <w:color w:val="auto"/>
        </w:rPr>
      </w:pPr>
    </w:p>
    <w:p>
      <w:pPr>
        <w:ind w:left="1960"/>
        <w:spacing w:after="0"/>
        <w:rPr>
          <w:sz w:val="20"/>
          <w:szCs w:val="20"/>
          <w:color w:val="auto"/>
        </w:rPr>
      </w:pPr>
      <w:r>
        <w:rPr>
          <w:rFonts w:ascii="Arial" w:cs="Arial" w:eastAsia="Arial" w:hAnsi="Arial"/>
          <w:sz w:val="14"/>
          <w:szCs w:val="14"/>
          <w:b w:val="1"/>
          <w:bCs w:val="1"/>
          <w:color w:val="auto"/>
        </w:rPr>
        <w:t>STATEMENTS OF CONSOLIDATED CASH FLOWS</w:t>
      </w:r>
    </w:p>
    <w:p>
      <w:pPr>
        <w:spacing w:after="0" w:line="76" w:lineRule="exact"/>
        <w:rPr>
          <w:sz w:val="20"/>
          <w:szCs w:val="20"/>
          <w:color w:val="auto"/>
        </w:rPr>
      </w:pPr>
    </w:p>
    <w:tbl>
      <w:tblPr>
        <w:tblLayout w:type="fixed"/>
        <w:tblInd w:w="1940" w:type="dxa"/>
        <w:tblCellMar>
          <w:top w:w="0" w:type="dxa"/>
          <w:left w:w="0" w:type="dxa"/>
          <w:bottom w:w="0" w:type="dxa"/>
          <w:right w:w="0" w:type="dxa"/>
        </w:tblCellMar>
      </w:tblPr>
      <w:tr>
        <w:trPr>
          <w:trHeight w:val="166"/>
        </w:trPr>
        <w:tc>
          <w:tcPr>
            <w:tcW w:w="4100" w:type="dxa"/>
            <w:vAlign w:val="bottom"/>
          </w:tcPr>
          <w:p>
            <w:pPr>
              <w:ind w:left="20"/>
              <w:spacing w:after="0"/>
              <w:rPr>
                <w:sz w:val="20"/>
                <w:szCs w:val="20"/>
                <w:color w:val="auto"/>
              </w:rPr>
            </w:pPr>
            <w:r>
              <w:rPr>
                <w:rFonts w:ascii="Arial" w:cs="Arial" w:eastAsia="Arial" w:hAnsi="Arial"/>
                <w:sz w:val="13"/>
                <w:szCs w:val="13"/>
                <w:i w:val="1"/>
                <w:iCs w:val="1"/>
                <w:color w:val="auto"/>
              </w:rPr>
              <w:t>(Dollars in millions)</w:t>
            </w:r>
          </w:p>
        </w:tc>
        <w:tc>
          <w:tcPr>
            <w:tcW w:w="4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410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208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color w:val="auto"/>
              </w:rPr>
              <w:t>Years ended December 31,</w:t>
            </w: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10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49"/>
              <w:spacing w:after="0"/>
              <w:rPr>
                <w:sz w:val="20"/>
                <w:szCs w:val="20"/>
                <w:color w:val="auto"/>
              </w:rPr>
            </w:pPr>
            <w:r>
              <w:rPr>
                <w:rFonts w:ascii="Arial" w:cs="Arial" w:eastAsia="Arial" w:hAnsi="Arial"/>
                <w:sz w:val="13"/>
                <w:szCs w:val="13"/>
                <w:color w:val="auto"/>
              </w:rPr>
              <w:t>2008</w:t>
            </w:r>
          </w:p>
        </w:tc>
        <w:tc>
          <w:tcPr>
            <w:tcW w:w="3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448"/>
              <w:spacing w:after="0"/>
              <w:rPr>
                <w:sz w:val="20"/>
                <w:szCs w:val="20"/>
                <w:color w:val="auto"/>
              </w:rPr>
            </w:pPr>
            <w:r>
              <w:rPr>
                <w:rFonts w:ascii="Arial" w:cs="Arial" w:eastAsia="Arial" w:hAnsi="Arial"/>
                <w:sz w:val="13"/>
                <w:szCs w:val="13"/>
                <w:color w:val="auto"/>
              </w:rPr>
              <w:t>2007</w:t>
            </w: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288"/>
              <w:spacing w:after="0"/>
              <w:rPr>
                <w:sz w:val="20"/>
                <w:szCs w:val="20"/>
                <w:color w:val="auto"/>
              </w:rPr>
            </w:pPr>
            <w:r>
              <w:rPr>
                <w:rFonts w:ascii="Arial" w:cs="Arial" w:eastAsia="Arial" w:hAnsi="Arial"/>
                <w:sz w:val="13"/>
                <w:szCs w:val="13"/>
                <w:color w:val="auto"/>
              </w:rPr>
              <w:t>2006</w:t>
            </w:r>
          </w:p>
        </w:tc>
        <w:tc>
          <w:tcPr>
            <w:tcW w:w="0" w:type="dxa"/>
            <w:vAlign w:val="bottom"/>
          </w:tcPr>
          <w:p>
            <w:pPr>
              <w:spacing w:after="0"/>
              <w:rPr>
                <w:sz w:val="1"/>
                <w:szCs w:val="1"/>
                <w:color w:val="auto"/>
              </w:rPr>
            </w:pPr>
          </w:p>
        </w:tc>
      </w:tr>
      <w:tr>
        <w:trPr>
          <w:trHeight w:val="423"/>
        </w:trPr>
        <w:tc>
          <w:tcPr>
            <w:tcW w:w="4100" w:type="dxa"/>
            <w:vAlign w:val="bottom"/>
          </w:tcPr>
          <w:p>
            <w:pPr>
              <w:ind w:left="20"/>
              <w:spacing w:after="0"/>
              <w:rPr>
                <w:sz w:val="20"/>
                <w:szCs w:val="20"/>
                <w:color w:val="auto"/>
              </w:rPr>
            </w:pPr>
            <w:r>
              <w:rPr>
                <w:rFonts w:ascii="Arial" w:cs="Arial" w:eastAsia="Arial" w:hAnsi="Arial"/>
                <w:sz w:val="14"/>
                <w:szCs w:val="14"/>
                <w:color w:val="auto"/>
              </w:rPr>
              <w:t>CHANGES IN OTHER WORKING CAPITAL</w:t>
            </w: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100" w:type="dxa"/>
            <w:vAlign w:val="bottom"/>
          </w:tcPr>
          <w:p>
            <w:pPr>
              <w:ind w:left="260"/>
              <w:spacing w:after="0"/>
              <w:rPr>
                <w:sz w:val="20"/>
                <w:szCs w:val="20"/>
                <w:color w:val="auto"/>
              </w:rPr>
            </w:pPr>
            <w:r>
              <w:rPr>
                <w:rFonts w:ascii="Arial" w:cs="Arial" w:eastAsia="Arial" w:hAnsi="Arial"/>
                <w:sz w:val="14"/>
                <w:szCs w:val="14"/>
                <w:color w:val="auto"/>
              </w:rPr>
              <w:t>COMPONENTS</w:t>
            </w:r>
          </w:p>
        </w:tc>
        <w:tc>
          <w:tcPr>
            <w:tcW w:w="4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4100" w:type="dxa"/>
            <w:vAlign w:val="bottom"/>
          </w:tcPr>
          <w:p>
            <w:pPr>
              <w:ind w:left="20"/>
              <w:spacing w:after="0"/>
              <w:rPr>
                <w:sz w:val="20"/>
                <w:szCs w:val="20"/>
                <w:color w:val="auto"/>
              </w:rPr>
            </w:pPr>
            <w:r>
              <w:rPr>
                <w:rFonts w:ascii="Arial" w:cs="Arial" w:eastAsia="Arial" w:hAnsi="Arial"/>
                <w:sz w:val="14"/>
                <w:szCs w:val="14"/>
                <w:color w:val="auto"/>
              </w:rPr>
              <w:t>(Excluding cash and cash equivalents, and debt due within one</w:t>
            </w:r>
          </w:p>
        </w:tc>
        <w:tc>
          <w:tcPr>
            <w:tcW w:w="4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4100" w:type="dxa"/>
            <w:vAlign w:val="bottom"/>
          </w:tcPr>
          <w:p>
            <w:pPr>
              <w:ind w:left="180"/>
              <w:spacing w:after="0"/>
              <w:rPr>
                <w:sz w:val="20"/>
                <w:szCs w:val="20"/>
                <w:color w:val="auto"/>
              </w:rPr>
            </w:pPr>
            <w:r>
              <w:rPr>
                <w:rFonts w:ascii="Arial" w:cs="Arial" w:eastAsia="Arial" w:hAnsi="Arial"/>
                <w:sz w:val="14"/>
                <w:szCs w:val="14"/>
                <w:color w:val="auto"/>
              </w:rPr>
              <w:t>year)</w:t>
            </w:r>
          </w:p>
        </w:tc>
        <w:tc>
          <w:tcPr>
            <w:tcW w:w="4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100" w:type="dxa"/>
            <w:vAlign w:val="bottom"/>
          </w:tcPr>
          <w:p>
            <w:pPr>
              <w:ind w:left="500"/>
              <w:spacing w:after="0"/>
              <w:rPr>
                <w:sz w:val="20"/>
                <w:szCs w:val="20"/>
                <w:color w:val="auto"/>
              </w:rPr>
            </w:pPr>
            <w:r>
              <w:rPr>
                <w:rFonts w:ascii="Arial" w:cs="Arial" w:eastAsia="Arial" w:hAnsi="Arial"/>
                <w:sz w:val="14"/>
                <w:szCs w:val="14"/>
                <w:color w:val="auto"/>
              </w:rPr>
              <w:t>Accounts and notes receivable</w:t>
            </w:r>
          </w:p>
        </w:tc>
        <w:tc>
          <w:tcPr>
            <w:tcW w:w="4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169"/>
              <w:spacing w:after="0"/>
              <w:rPr>
                <w:sz w:val="20"/>
                <w:szCs w:val="20"/>
                <w:color w:val="auto"/>
              </w:rPr>
            </w:pPr>
            <w:r>
              <w:rPr>
                <w:rFonts w:ascii="Arial" w:cs="Arial" w:eastAsia="Arial" w:hAnsi="Arial"/>
                <w:sz w:val="14"/>
                <w:szCs w:val="14"/>
                <w:color w:val="auto"/>
              </w:rPr>
              <w:t>110</w:t>
            </w:r>
          </w:p>
        </w:tc>
        <w:tc>
          <w:tcPr>
            <w:tcW w:w="3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208"/>
              <w:spacing w:after="0"/>
              <w:rPr>
                <w:sz w:val="20"/>
                <w:szCs w:val="20"/>
                <w:color w:val="auto"/>
              </w:rPr>
            </w:pPr>
            <w:r>
              <w:rPr>
                <w:rFonts w:ascii="Arial" w:cs="Arial" w:eastAsia="Arial" w:hAnsi="Arial"/>
                <w:sz w:val="14"/>
                <w:szCs w:val="14"/>
                <w:color w:val="auto"/>
              </w:rPr>
              <w:t>(63 )</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148"/>
              <w:spacing w:after="0"/>
              <w:rPr>
                <w:sz w:val="20"/>
                <w:szCs w:val="20"/>
                <w:color w:val="auto"/>
              </w:rPr>
            </w:pPr>
            <w:r>
              <w:rPr>
                <w:rFonts w:ascii="Arial" w:cs="Arial" w:eastAsia="Arial" w:hAnsi="Arial"/>
                <w:sz w:val="14"/>
                <w:szCs w:val="14"/>
                <w:color w:val="auto"/>
              </w:rPr>
              <w:t>94</w:t>
            </w:r>
          </w:p>
        </w:tc>
        <w:tc>
          <w:tcPr>
            <w:tcW w:w="0" w:type="dxa"/>
            <w:vAlign w:val="bottom"/>
          </w:tcPr>
          <w:p>
            <w:pPr>
              <w:spacing w:after="0"/>
              <w:rPr>
                <w:sz w:val="1"/>
                <w:szCs w:val="1"/>
                <w:color w:val="auto"/>
              </w:rPr>
            </w:pPr>
          </w:p>
        </w:tc>
      </w:tr>
      <w:tr>
        <w:trPr>
          <w:trHeight w:val="216"/>
        </w:trPr>
        <w:tc>
          <w:tcPr>
            <w:tcW w:w="4100" w:type="dxa"/>
            <w:vAlign w:val="bottom"/>
          </w:tcPr>
          <w:p>
            <w:pPr>
              <w:ind w:left="500"/>
              <w:spacing w:after="0"/>
              <w:rPr>
                <w:sz w:val="20"/>
                <w:szCs w:val="20"/>
                <w:color w:val="auto"/>
              </w:rPr>
            </w:pPr>
            <w:r>
              <w:rPr>
                <w:rFonts w:ascii="Arial" w:cs="Arial" w:eastAsia="Arial" w:hAnsi="Arial"/>
                <w:sz w:val="14"/>
                <w:szCs w:val="14"/>
                <w:color w:val="auto"/>
              </w:rPr>
              <w:t>Net trading assets</w:t>
            </w:r>
          </w:p>
        </w:tc>
        <w:tc>
          <w:tcPr>
            <w:tcW w:w="440" w:type="dxa"/>
            <w:vAlign w:val="bottom"/>
          </w:tcPr>
          <w:p>
            <w:pPr>
              <w:spacing w:after="0"/>
              <w:rPr>
                <w:sz w:val="18"/>
                <w:szCs w:val="18"/>
                <w:color w:val="auto"/>
              </w:rPr>
            </w:pPr>
          </w:p>
        </w:tc>
        <w:tc>
          <w:tcPr>
            <w:tcW w:w="820" w:type="dxa"/>
            <w:vAlign w:val="bottom"/>
          </w:tcPr>
          <w:p>
            <w:pPr>
              <w:jc w:val="right"/>
              <w:ind w:right="89"/>
              <w:spacing w:after="0"/>
              <w:rPr>
                <w:sz w:val="20"/>
                <w:szCs w:val="20"/>
                <w:color w:val="auto"/>
              </w:rPr>
            </w:pPr>
            <w:r>
              <w:rPr>
                <w:rFonts w:ascii="Arial" w:cs="Arial" w:eastAsia="Arial" w:hAnsi="Arial"/>
                <w:sz w:val="14"/>
                <w:szCs w:val="14"/>
                <w:color w:val="auto"/>
              </w:rPr>
              <w:t>(4 )</w:t>
            </w:r>
          </w:p>
        </w:tc>
        <w:tc>
          <w:tcPr>
            <w:tcW w:w="340" w:type="dxa"/>
            <w:vAlign w:val="bottom"/>
          </w:tcPr>
          <w:p>
            <w:pPr>
              <w:spacing w:after="0"/>
              <w:rPr>
                <w:sz w:val="18"/>
                <w:szCs w:val="18"/>
                <w:color w:val="auto"/>
              </w:rPr>
            </w:pPr>
          </w:p>
        </w:tc>
        <w:tc>
          <w:tcPr>
            <w:tcW w:w="920" w:type="dxa"/>
            <w:vAlign w:val="bottom"/>
          </w:tcPr>
          <w:p>
            <w:pPr>
              <w:jc w:val="right"/>
              <w:ind w:right="268"/>
              <w:spacing w:after="0"/>
              <w:rPr>
                <w:sz w:val="20"/>
                <w:szCs w:val="20"/>
                <w:color w:val="auto"/>
              </w:rPr>
            </w:pPr>
            <w:r>
              <w:rPr>
                <w:rFonts w:ascii="Arial" w:cs="Arial" w:eastAsia="Arial" w:hAnsi="Arial"/>
                <w:sz w:val="14"/>
                <w:szCs w:val="14"/>
                <w:color w:val="auto"/>
              </w:rPr>
              <w:t>303</w:t>
            </w:r>
          </w:p>
        </w:tc>
        <w:tc>
          <w:tcPr>
            <w:tcW w:w="180" w:type="dxa"/>
            <w:vAlign w:val="bottom"/>
          </w:tcPr>
          <w:p>
            <w:pPr>
              <w:spacing w:after="0"/>
              <w:rPr>
                <w:sz w:val="18"/>
                <w:szCs w:val="18"/>
                <w:color w:val="auto"/>
              </w:rPr>
            </w:pPr>
          </w:p>
        </w:tc>
        <w:tc>
          <w:tcPr>
            <w:tcW w:w="740" w:type="dxa"/>
            <w:vAlign w:val="bottom"/>
          </w:tcPr>
          <w:p>
            <w:pPr>
              <w:jc w:val="right"/>
              <w:ind w:right="88"/>
              <w:spacing w:after="0"/>
              <w:rPr>
                <w:sz w:val="20"/>
                <w:szCs w:val="20"/>
                <w:color w:val="auto"/>
              </w:rPr>
            </w:pPr>
            <w:r>
              <w:rPr>
                <w:rFonts w:ascii="Arial" w:cs="Arial" w:eastAsia="Arial" w:hAnsi="Arial"/>
                <w:sz w:val="14"/>
                <w:szCs w:val="14"/>
                <w:color w:val="auto"/>
              </w:rPr>
              <w:t>(543 )</w:t>
            </w:r>
          </w:p>
        </w:tc>
        <w:tc>
          <w:tcPr>
            <w:tcW w:w="0" w:type="dxa"/>
            <w:vAlign w:val="bottom"/>
          </w:tcPr>
          <w:p>
            <w:pPr>
              <w:spacing w:after="0"/>
              <w:rPr>
                <w:sz w:val="1"/>
                <w:szCs w:val="1"/>
                <w:color w:val="auto"/>
              </w:rPr>
            </w:pPr>
          </w:p>
        </w:tc>
      </w:tr>
      <w:tr>
        <w:trPr>
          <w:trHeight w:val="216"/>
        </w:trPr>
        <w:tc>
          <w:tcPr>
            <w:tcW w:w="4100" w:type="dxa"/>
            <w:vAlign w:val="bottom"/>
          </w:tcPr>
          <w:p>
            <w:pPr>
              <w:ind w:left="500"/>
              <w:spacing w:after="0"/>
              <w:rPr>
                <w:sz w:val="20"/>
                <w:szCs w:val="20"/>
                <w:color w:val="auto"/>
              </w:rPr>
            </w:pPr>
            <w:r>
              <w:rPr>
                <w:rFonts w:ascii="Arial" w:cs="Arial" w:eastAsia="Arial" w:hAnsi="Arial"/>
                <w:sz w:val="14"/>
                <w:szCs w:val="14"/>
                <w:color w:val="auto"/>
              </w:rPr>
              <w:t>Income taxes, net</w:t>
            </w:r>
          </w:p>
        </w:tc>
        <w:tc>
          <w:tcPr>
            <w:tcW w:w="440" w:type="dxa"/>
            <w:vAlign w:val="bottom"/>
          </w:tcPr>
          <w:p>
            <w:pPr>
              <w:spacing w:after="0"/>
              <w:rPr>
                <w:sz w:val="18"/>
                <w:szCs w:val="18"/>
                <w:color w:val="auto"/>
              </w:rPr>
            </w:pPr>
          </w:p>
        </w:tc>
        <w:tc>
          <w:tcPr>
            <w:tcW w:w="820" w:type="dxa"/>
            <w:vAlign w:val="bottom"/>
          </w:tcPr>
          <w:p>
            <w:pPr>
              <w:jc w:val="right"/>
              <w:ind w:right="169"/>
              <w:spacing w:after="0"/>
              <w:rPr>
                <w:sz w:val="20"/>
                <w:szCs w:val="20"/>
                <w:color w:val="auto"/>
              </w:rPr>
            </w:pPr>
            <w:r>
              <w:rPr>
                <w:rFonts w:ascii="Arial" w:cs="Arial" w:eastAsia="Arial" w:hAnsi="Arial"/>
                <w:sz w:val="14"/>
                <w:szCs w:val="14"/>
                <w:color w:val="auto"/>
              </w:rPr>
              <w:t>13</w:t>
            </w:r>
          </w:p>
        </w:tc>
        <w:tc>
          <w:tcPr>
            <w:tcW w:w="340" w:type="dxa"/>
            <w:vAlign w:val="bottom"/>
          </w:tcPr>
          <w:p>
            <w:pPr>
              <w:spacing w:after="0"/>
              <w:rPr>
                <w:sz w:val="18"/>
                <w:szCs w:val="18"/>
                <w:color w:val="auto"/>
              </w:rPr>
            </w:pPr>
          </w:p>
        </w:tc>
        <w:tc>
          <w:tcPr>
            <w:tcW w:w="920" w:type="dxa"/>
            <w:vAlign w:val="bottom"/>
          </w:tcPr>
          <w:p>
            <w:pPr>
              <w:jc w:val="right"/>
              <w:ind w:right="208"/>
              <w:spacing w:after="0"/>
              <w:rPr>
                <w:sz w:val="20"/>
                <w:szCs w:val="20"/>
                <w:color w:val="auto"/>
              </w:rPr>
            </w:pPr>
            <w:r>
              <w:rPr>
                <w:rFonts w:ascii="Arial" w:cs="Arial" w:eastAsia="Arial" w:hAnsi="Arial"/>
                <w:sz w:val="14"/>
                <w:szCs w:val="14"/>
                <w:color w:val="auto"/>
              </w:rPr>
              <w:t>(73 )</w:t>
            </w:r>
          </w:p>
        </w:tc>
        <w:tc>
          <w:tcPr>
            <w:tcW w:w="180" w:type="dxa"/>
            <w:vAlign w:val="bottom"/>
          </w:tcPr>
          <w:p>
            <w:pPr>
              <w:spacing w:after="0"/>
              <w:rPr>
                <w:sz w:val="18"/>
                <w:szCs w:val="18"/>
                <w:color w:val="auto"/>
              </w:rPr>
            </w:pPr>
          </w:p>
        </w:tc>
        <w:tc>
          <w:tcPr>
            <w:tcW w:w="740" w:type="dxa"/>
            <w:vAlign w:val="bottom"/>
          </w:tcPr>
          <w:p>
            <w:pPr>
              <w:jc w:val="right"/>
              <w:ind w:right="88"/>
              <w:spacing w:after="0"/>
              <w:rPr>
                <w:sz w:val="20"/>
                <w:szCs w:val="20"/>
                <w:color w:val="auto"/>
              </w:rPr>
            </w:pPr>
            <w:r>
              <w:rPr>
                <w:rFonts w:ascii="Arial" w:cs="Arial" w:eastAsia="Arial" w:hAnsi="Arial"/>
                <w:sz w:val="14"/>
                <w:szCs w:val="14"/>
                <w:color w:val="auto"/>
              </w:rPr>
              <w:t>(51 )</w:t>
            </w:r>
          </w:p>
        </w:tc>
        <w:tc>
          <w:tcPr>
            <w:tcW w:w="0" w:type="dxa"/>
            <w:vAlign w:val="bottom"/>
          </w:tcPr>
          <w:p>
            <w:pPr>
              <w:spacing w:after="0"/>
              <w:rPr>
                <w:sz w:val="1"/>
                <w:szCs w:val="1"/>
                <w:color w:val="auto"/>
              </w:rPr>
            </w:pPr>
          </w:p>
        </w:tc>
      </w:tr>
      <w:tr>
        <w:trPr>
          <w:trHeight w:val="216"/>
        </w:trPr>
        <w:tc>
          <w:tcPr>
            <w:tcW w:w="4100" w:type="dxa"/>
            <w:vAlign w:val="bottom"/>
          </w:tcPr>
          <w:p>
            <w:pPr>
              <w:ind w:left="500"/>
              <w:spacing w:after="0"/>
              <w:rPr>
                <w:sz w:val="20"/>
                <w:szCs w:val="20"/>
                <w:color w:val="auto"/>
              </w:rPr>
            </w:pPr>
            <w:r>
              <w:rPr>
                <w:rFonts w:ascii="Arial" w:cs="Arial" w:eastAsia="Arial" w:hAnsi="Arial"/>
                <w:sz w:val="14"/>
                <w:szCs w:val="14"/>
                <w:color w:val="auto"/>
              </w:rPr>
              <w:t>Inventories</w:t>
            </w:r>
          </w:p>
        </w:tc>
        <w:tc>
          <w:tcPr>
            <w:tcW w:w="440" w:type="dxa"/>
            <w:vAlign w:val="bottom"/>
          </w:tcPr>
          <w:p>
            <w:pPr>
              <w:spacing w:after="0"/>
              <w:rPr>
                <w:sz w:val="18"/>
                <w:szCs w:val="18"/>
                <w:color w:val="auto"/>
              </w:rPr>
            </w:pPr>
          </w:p>
        </w:tc>
        <w:tc>
          <w:tcPr>
            <w:tcW w:w="820" w:type="dxa"/>
            <w:vAlign w:val="bottom"/>
          </w:tcPr>
          <w:p>
            <w:pPr>
              <w:jc w:val="right"/>
              <w:ind w:right="89"/>
              <w:spacing w:after="0"/>
              <w:rPr>
                <w:sz w:val="20"/>
                <w:szCs w:val="20"/>
                <w:color w:val="auto"/>
              </w:rPr>
            </w:pPr>
            <w:r>
              <w:rPr>
                <w:rFonts w:ascii="Arial" w:cs="Arial" w:eastAsia="Arial" w:hAnsi="Arial"/>
                <w:sz w:val="14"/>
                <w:szCs w:val="14"/>
                <w:color w:val="auto"/>
              </w:rPr>
              <w:t>(75 )</w:t>
            </w:r>
          </w:p>
        </w:tc>
        <w:tc>
          <w:tcPr>
            <w:tcW w:w="340" w:type="dxa"/>
            <w:vAlign w:val="bottom"/>
          </w:tcPr>
          <w:p>
            <w:pPr>
              <w:spacing w:after="0"/>
              <w:rPr>
                <w:sz w:val="18"/>
                <w:szCs w:val="18"/>
                <w:color w:val="auto"/>
              </w:rPr>
            </w:pPr>
          </w:p>
        </w:tc>
        <w:tc>
          <w:tcPr>
            <w:tcW w:w="920" w:type="dxa"/>
            <w:vAlign w:val="bottom"/>
          </w:tcPr>
          <w:p>
            <w:pPr>
              <w:jc w:val="right"/>
              <w:ind w:right="208"/>
              <w:spacing w:after="0"/>
              <w:rPr>
                <w:sz w:val="20"/>
                <w:szCs w:val="20"/>
                <w:color w:val="auto"/>
              </w:rPr>
            </w:pPr>
            <w:r>
              <w:rPr>
                <w:rFonts w:ascii="Arial" w:cs="Arial" w:eastAsia="Arial" w:hAnsi="Arial"/>
                <w:sz w:val="14"/>
                <w:szCs w:val="14"/>
                <w:color w:val="auto"/>
              </w:rPr>
              <w:t>(9 )</w:t>
            </w:r>
          </w:p>
        </w:tc>
        <w:tc>
          <w:tcPr>
            <w:tcW w:w="180" w:type="dxa"/>
            <w:vAlign w:val="bottom"/>
          </w:tcPr>
          <w:p>
            <w:pPr>
              <w:spacing w:after="0"/>
              <w:rPr>
                <w:sz w:val="18"/>
                <w:szCs w:val="18"/>
                <w:color w:val="auto"/>
              </w:rPr>
            </w:pPr>
          </w:p>
        </w:tc>
        <w:tc>
          <w:tcPr>
            <w:tcW w:w="740" w:type="dxa"/>
            <w:vAlign w:val="bottom"/>
          </w:tcPr>
          <w:p>
            <w:pPr>
              <w:jc w:val="right"/>
              <w:ind w:right="88"/>
              <w:spacing w:after="0"/>
              <w:rPr>
                <w:sz w:val="20"/>
                <w:szCs w:val="20"/>
                <w:color w:val="auto"/>
              </w:rPr>
            </w:pPr>
            <w:r>
              <w:rPr>
                <w:rFonts w:ascii="Arial" w:cs="Arial" w:eastAsia="Arial" w:hAnsi="Arial"/>
                <w:sz w:val="14"/>
                <w:szCs w:val="14"/>
                <w:color w:val="auto"/>
              </w:rPr>
              <w:t>(3 )</w:t>
            </w:r>
          </w:p>
        </w:tc>
        <w:tc>
          <w:tcPr>
            <w:tcW w:w="0" w:type="dxa"/>
            <w:vAlign w:val="bottom"/>
          </w:tcPr>
          <w:p>
            <w:pPr>
              <w:spacing w:after="0"/>
              <w:rPr>
                <w:sz w:val="1"/>
                <w:szCs w:val="1"/>
                <w:color w:val="auto"/>
              </w:rPr>
            </w:pPr>
          </w:p>
        </w:tc>
      </w:tr>
      <w:tr>
        <w:trPr>
          <w:trHeight w:val="216"/>
        </w:trPr>
        <w:tc>
          <w:tcPr>
            <w:tcW w:w="4100" w:type="dxa"/>
            <w:vAlign w:val="bottom"/>
          </w:tcPr>
          <w:p>
            <w:pPr>
              <w:ind w:left="500"/>
              <w:spacing w:after="0"/>
              <w:rPr>
                <w:sz w:val="20"/>
                <w:szCs w:val="20"/>
                <w:color w:val="auto"/>
              </w:rPr>
            </w:pPr>
            <w:r>
              <w:rPr>
                <w:rFonts w:ascii="Arial" w:cs="Arial" w:eastAsia="Arial" w:hAnsi="Arial"/>
                <w:sz w:val="14"/>
                <w:szCs w:val="14"/>
                <w:color w:val="auto"/>
              </w:rPr>
              <w:t>Regulatory balancing accounts</w:t>
            </w:r>
          </w:p>
        </w:tc>
        <w:tc>
          <w:tcPr>
            <w:tcW w:w="440" w:type="dxa"/>
            <w:vAlign w:val="bottom"/>
          </w:tcPr>
          <w:p>
            <w:pPr>
              <w:spacing w:after="0"/>
              <w:rPr>
                <w:sz w:val="18"/>
                <w:szCs w:val="18"/>
                <w:color w:val="auto"/>
              </w:rPr>
            </w:pPr>
          </w:p>
        </w:tc>
        <w:tc>
          <w:tcPr>
            <w:tcW w:w="820" w:type="dxa"/>
            <w:vAlign w:val="bottom"/>
          </w:tcPr>
          <w:p>
            <w:pPr>
              <w:jc w:val="right"/>
              <w:ind w:right="89"/>
              <w:spacing w:after="0"/>
              <w:rPr>
                <w:sz w:val="20"/>
                <w:szCs w:val="20"/>
                <w:color w:val="auto"/>
              </w:rPr>
            </w:pPr>
            <w:r>
              <w:rPr>
                <w:rFonts w:ascii="Arial" w:cs="Arial" w:eastAsia="Arial" w:hAnsi="Arial"/>
                <w:sz w:val="14"/>
                <w:szCs w:val="14"/>
                <w:color w:val="auto"/>
              </w:rPr>
              <w:t>(138 )</w:t>
            </w:r>
          </w:p>
        </w:tc>
        <w:tc>
          <w:tcPr>
            <w:tcW w:w="340" w:type="dxa"/>
            <w:vAlign w:val="bottom"/>
          </w:tcPr>
          <w:p>
            <w:pPr>
              <w:spacing w:after="0"/>
              <w:rPr>
                <w:sz w:val="18"/>
                <w:szCs w:val="18"/>
                <w:color w:val="auto"/>
              </w:rPr>
            </w:pPr>
          </w:p>
        </w:tc>
        <w:tc>
          <w:tcPr>
            <w:tcW w:w="920" w:type="dxa"/>
            <w:vAlign w:val="bottom"/>
          </w:tcPr>
          <w:p>
            <w:pPr>
              <w:jc w:val="right"/>
              <w:ind w:right="268"/>
              <w:spacing w:after="0"/>
              <w:rPr>
                <w:sz w:val="20"/>
                <w:szCs w:val="20"/>
                <w:color w:val="auto"/>
              </w:rPr>
            </w:pPr>
            <w:r>
              <w:rPr>
                <w:rFonts w:ascii="Arial" w:cs="Arial" w:eastAsia="Arial" w:hAnsi="Arial"/>
                <w:sz w:val="14"/>
                <w:szCs w:val="14"/>
                <w:color w:val="auto"/>
              </w:rPr>
              <w:t>120</w:t>
            </w:r>
          </w:p>
        </w:tc>
        <w:tc>
          <w:tcPr>
            <w:tcW w:w="180" w:type="dxa"/>
            <w:vAlign w:val="bottom"/>
          </w:tcPr>
          <w:p>
            <w:pPr>
              <w:spacing w:after="0"/>
              <w:rPr>
                <w:sz w:val="18"/>
                <w:szCs w:val="18"/>
                <w:color w:val="auto"/>
              </w:rPr>
            </w:pPr>
          </w:p>
        </w:tc>
        <w:tc>
          <w:tcPr>
            <w:tcW w:w="740" w:type="dxa"/>
            <w:vAlign w:val="bottom"/>
          </w:tcPr>
          <w:p>
            <w:pPr>
              <w:jc w:val="right"/>
              <w:ind w:right="148"/>
              <w:spacing w:after="0"/>
              <w:rPr>
                <w:sz w:val="20"/>
                <w:szCs w:val="20"/>
                <w:color w:val="auto"/>
              </w:rPr>
            </w:pPr>
            <w:r>
              <w:rPr>
                <w:rFonts w:ascii="Arial" w:cs="Arial" w:eastAsia="Arial" w:hAnsi="Arial"/>
                <w:sz w:val="14"/>
                <w:szCs w:val="14"/>
                <w:color w:val="auto"/>
              </w:rPr>
              <w:t>170</w:t>
            </w:r>
          </w:p>
        </w:tc>
        <w:tc>
          <w:tcPr>
            <w:tcW w:w="0" w:type="dxa"/>
            <w:vAlign w:val="bottom"/>
          </w:tcPr>
          <w:p>
            <w:pPr>
              <w:spacing w:after="0"/>
              <w:rPr>
                <w:sz w:val="1"/>
                <w:szCs w:val="1"/>
                <w:color w:val="auto"/>
              </w:rPr>
            </w:pPr>
          </w:p>
        </w:tc>
      </w:tr>
      <w:tr>
        <w:trPr>
          <w:trHeight w:val="216"/>
        </w:trPr>
        <w:tc>
          <w:tcPr>
            <w:tcW w:w="4100" w:type="dxa"/>
            <w:vAlign w:val="bottom"/>
          </w:tcPr>
          <w:p>
            <w:pPr>
              <w:ind w:left="500"/>
              <w:spacing w:after="0"/>
              <w:rPr>
                <w:sz w:val="20"/>
                <w:szCs w:val="20"/>
                <w:color w:val="auto"/>
              </w:rPr>
            </w:pPr>
            <w:r>
              <w:rPr>
                <w:rFonts w:ascii="Arial" w:cs="Arial" w:eastAsia="Arial" w:hAnsi="Arial"/>
                <w:sz w:val="14"/>
                <w:szCs w:val="14"/>
                <w:color w:val="auto"/>
              </w:rPr>
              <w:t>Regulatory assets and liabilities</w:t>
            </w:r>
          </w:p>
        </w:tc>
        <w:tc>
          <w:tcPr>
            <w:tcW w:w="440" w:type="dxa"/>
            <w:vAlign w:val="bottom"/>
          </w:tcPr>
          <w:p>
            <w:pPr>
              <w:spacing w:after="0"/>
              <w:rPr>
                <w:sz w:val="18"/>
                <w:szCs w:val="18"/>
                <w:color w:val="auto"/>
              </w:rPr>
            </w:pPr>
          </w:p>
        </w:tc>
        <w:tc>
          <w:tcPr>
            <w:tcW w:w="820" w:type="dxa"/>
            <w:vAlign w:val="bottom"/>
          </w:tcPr>
          <w:p>
            <w:pPr>
              <w:jc w:val="right"/>
              <w:ind w:right="169"/>
              <w:spacing w:after="0"/>
              <w:rPr>
                <w:sz w:val="20"/>
                <w:szCs w:val="20"/>
                <w:color w:val="auto"/>
              </w:rPr>
            </w:pPr>
            <w:r>
              <w:rPr>
                <w:rFonts w:ascii="Arial" w:cs="Arial" w:eastAsia="Arial" w:hAnsi="Arial"/>
                <w:sz w:val="14"/>
                <w:szCs w:val="14"/>
                <w:color w:val="auto"/>
              </w:rPr>
              <w:t>1</w:t>
            </w:r>
          </w:p>
        </w:tc>
        <w:tc>
          <w:tcPr>
            <w:tcW w:w="340" w:type="dxa"/>
            <w:vAlign w:val="bottom"/>
          </w:tcPr>
          <w:p>
            <w:pPr>
              <w:spacing w:after="0"/>
              <w:rPr>
                <w:sz w:val="18"/>
                <w:szCs w:val="18"/>
                <w:color w:val="auto"/>
              </w:rPr>
            </w:pPr>
          </w:p>
        </w:tc>
        <w:tc>
          <w:tcPr>
            <w:tcW w:w="92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740" w:type="dxa"/>
            <w:vAlign w:val="bottom"/>
          </w:tcPr>
          <w:p>
            <w:pPr>
              <w:jc w:val="right"/>
              <w:ind w:right="148"/>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216"/>
        </w:trPr>
        <w:tc>
          <w:tcPr>
            <w:tcW w:w="4100" w:type="dxa"/>
            <w:vAlign w:val="bottom"/>
          </w:tcPr>
          <w:p>
            <w:pPr>
              <w:ind w:left="500"/>
              <w:spacing w:after="0"/>
              <w:rPr>
                <w:sz w:val="20"/>
                <w:szCs w:val="20"/>
                <w:color w:val="auto"/>
              </w:rPr>
            </w:pPr>
            <w:r>
              <w:rPr>
                <w:rFonts w:ascii="Arial" w:cs="Arial" w:eastAsia="Arial" w:hAnsi="Arial"/>
                <w:sz w:val="14"/>
                <w:szCs w:val="14"/>
                <w:color w:val="auto"/>
              </w:rPr>
              <w:t>Other current assets</w:t>
            </w:r>
          </w:p>
        </w:tc>
        <w:tc>
          <w:tcPr>
            <w:tcW w:w="440" w:type="dxa"/>
            <w:vAlign w:val="bottom"/>
          </w:tcPr>
          <w:p>
            <w:pPr>
              <w:spacing w:after="0"/>
              <w:rPr>
                <w:sz w:val="18"/>
                <w:szCs w:val="18"/>
                <w:color w:val="auto"/>
              </w:rPr>
            </w:pPr>
          </w:p>
        </w:tc>
        <w:tc>
          <w:tcPr>
            <w:tcW w:w="820" w:type="dxa"/>
            <w:vAlign w:val="bottom"/>
          </w:tcPr>
          <w:p>
            <w:pPr>
              <w:jc w:val="right"/>
              <w:ind w:right="169"/>
              <w:spacing w:after="0"/>
              <w:rPr>
                <w:sz w:val="20"/>
                <w:szCs w:val="20"/>
                <w:color w:val="auto"/>
              </w:rPr>
            </w:pPr>
            <w:r>
              <w:rPr>
                <w:rFonts w:ascii="Arial" w:cs="Arial" w:eastAsia="Arial" w:hAnsi="Arial"/>
                <w:sz w:val="14"/>
                <w:szCs w:val="14"/>
                <w:color w:val="auto"/>
              </w:rPr>
              <w:t>71</w:t>
            </w:r>
          </w:p>
        </w:tc>
        <w:tc>
          <w:tcPr>
            <w:tcW w:w="340" w:type="dxa"/>
            <w:vAlign w:val="bottom"/>
          </w:tcPr>
          <w:p>
            <w:pPr>
              <w:spacing w:after="0"/>
              <w:rPr>
                <w:sz w:val="18"/>
                <w:szCs w:val="18"/>
                <w:color w:val="auto"/>
              </w:rPr>
            </w:pPr>
          </w:p>
        </w:tc>
        <w:tc>
          <w:tcPr>
            <w:tcW w:w="920" w:type="dxa"/>
            <w:vAlign w:val="bottom"/>
          </w:tcPr>
          <w:p>
            <w:pPr>
              <w:jc w:val="right"/>
              <w:ind w:right="208"/>
              <w:spacing w:after="0"/>
              <w:rPr>
                <w:sz w:val="20"/>
                <w:szCs w:val="20"/>
                <w:color w:val="auto"/>
              </w:rPr>
            </w:pPr>
            <w:r>
              <w:rPr>
                <w:rFonts w:ascii="Arial" w:cs="Arial" w:eastAsia="Arial" w:hAnsi="Arial"/>
                <w:sz w:val="14"/>
                <w:szCs w:val="14"/>
                <w:color w:val="auto"/>
              </w:rPr>
              <w:t>(109 )</w:t>
            </w:r>
          </w:p>
        </w:tc>
        <w:tc>
          <w:tcPr>
            <w:tcW w:w="180" w:type="dxa"/>
            <w:vAlign w:val="bottom"/>
          </w:tcPr>
          <w:p>
            <w:pPr>
              <w:spacing w:after="0"/>
              <w:rPr>
                <w:sz w:val="18"/>
                <w:szCs w:val="18"/>
                <w:color w:val="auto"/>
              </w:rPr>
            </w:pPr>
          </w:p>
        </w:tc>
        <w:tc>
          <w:tcPr>
            <w:tcW w:w="740" w:type="dxa"/>
            <w:vAlign w:val="bottom"/>
          </w:tcPr>
          <w:p>
            <w:pPr>
              <w:jc w:val="right"/>
              <w:ind w:right="88"/>
              <w:spacing w:after="0"/>
              <w:rPr>
                <w:sz w:val="20"/>
                <w:szCs w:val="20"/>
                <w:color w:val="auto"/>
              </w:rPr>
            </w:pPr>
            <w:r>
              <w:rPr>
                <w:rFonts w:ascii="Arial" w:cs="Arial" w:eastAsia="Arial" w:hAnsi="Arial"/>
                <w:sz w:val="14"/>
                <w:szCs w:val="14"/>
                <w:color w:val="auto"/>
              </w:rPr>
              <w:t>(2 )</w:t>
            </w:r>
          </w:p>
        </w:tc>
        <w:tc>
          <w:tcPr>
            <w:tcW w:w="0" w:type="dxa"/>
            <w:vAlign w:val="bottom"/>
          </w:tcPr>
          <w:p>
            <w:pPr>
              <w:spacing w:after="0"/>
              <w:rPr>
                <w:sz w:val="1"/>
                <w:szCs w:val="1"/>
                <w:color w:val="auto"/>
              </w:rPr>
            </w:pPr>
          </w:p>
        </w:tc>
      </w:tr>
      <w:tr>
        <w:trPr>
          <w:trHeight w:val="216"/>
        </w:trPr>
        <w:tc>
          <w:tcPr>
            <w:tcW w:w="4100" w:type="dxa"/>
            <w:vAlign w:val="bottom"/>
          </w:tcPr>
          <w:p>
            <w:pPr>
              <w:ind w:left="500"/>
              <w:spacing w:after="0"/>
              <w:rPr>
                <w:sz w:val="20"/>
                <w:szCs w:val="20"/>
                <w:color w:val="auto"/>
              </w:rPr>
            </w:pPr>
            <w:r>
              <w:rPr>
                <w:rFonts w:ascii="Arial" w:cs="Arial" w:eastAsia="Arial" w:hAnsi="Arial"/>
                <w:sz w:val="14"/>
                <w:szCs w:val="14"/>
                <w:color w:val="auto"/>
              </w:rPr>
              <w:t>Accounts payable</w:t>
            </w:r>
          </w:p>
        </w:tc>
        <w:tc>
          <w:tcPr>
            <w:tcW w:w="440" w:type="dxa"/>
            <w:vAlign w:val="bottom"/>
          </w:tcPr>
          <w:p>
            <w:pPr>
              <w:spacing w:after="0"/>
              <w:rPr>
                <w:sz w:val="18"/>
                <w:szCs w:val="18"/>
                <w:color w:val="auto"/>
              </w:rPr>
            </w:pPr>
          </w:p>
        </w:tc>
        <w:tc>
          <w:tcPr>
            <w:tcW w:w="820" w:type="dxa"/>
            <w:vAlign w:val="bottom"/>
          </w:tcPr>
          <w:p>
            <w:pPr>
              <w:jc w:val="right"/>
              <w:ind w:right="89"/>
              <w:spacing w:after="0"/>
              <w:rPr>
                <w:sz w:val="20"/>
                <w:szCs w:val="20"/>
                <w:color w:val="auto"/>
              </w:rPr>
            </w:pPr>
            <w:r>
              <w:rPr>
                <w:rFonts w:ascii="Arial" w:cs="Arial" w:eastAsia="Arial" w:hAnsi="Arial"/>
                <w:sz w:val="14"/>
                <w:szCs w:val="14"/>
                <w:color w:val="auto"/>
              </w:rPr>
              <w:t>(526 )</w:t>
            </w:r>
          </w:p>
        </w:tc>
        <w:tc>
          <w:tcPr>
            <w:tcW w:w="340" w:type="dxa"/>
            <w:vAlign w:val="bottom"/>
          </w:tcPr>
          <w:p>
            <w:pPr>
              <w:spacing w:after="0"/>
              <w:rPr>
                <w:sz w:val="18"/>
                <w:szCs w:val="18"/>
                <w:color w:val="auto"/>
              </w:rPr>
            </w:pPr>
          </w:p>
        </w:tc>
        <w:tc>
          <w:tcPr>
            <w:tcW w:w="920" w:type="dxa"/>
            <w:vAlign w:val="bottom"/>
          </w:tcPr>
          <w:p>
            <w:pPr>
              <w:jc w:val="right"/>
              <w:ind w:right="208"/>
              <w:spacing w:after="0"/>
              <w:rPr>
                <w:sz w:val="20"/>
                <w:szCs w:val="20"/>
                <w:color w:val="auto"/>
              </w:rPr>
            </w:pPr>
            <w:r>
              <w:rPr>
                <w:rFonts w:ascii="Arial" w:cs="Arial" w:eastAsia="Arial" w:hAnsi="Arial"/>
                <w:sz w:val="14"/>
                <w:szCs w:val="14"/>
                <w:color w:val="auto"/>
              </w:rPr>
              <w:t>(82 )</w:t>
            </w:r>
          </w:p>
        </w:tc>
        <w:tc>
          <w:tcPr>
            <w:tcW w:w="180" w:type="dxa"/>
            <w:vAlign w:val="bottom"/>
          </w:tcPr>
          <w:p>
            <w:pPr>
              <w:spacing w:after="0"/>
              <w:rPr>
                <w:sz w:val="18"/>
                <w:szCs w:val="18"/>
                <w:color w:val="auto"/>
              </w:rPr>
            </w:pPr>
          </w:p>
        </w:tc>
        <w:tc>
          <w:tcPr>
            <w:tcW w:w="740" w:type="dxa"/>
            <w:vAlign w:val="bottom"/>
          </w:tcPr>
          <w:p>
            <w:pPr>
              <w:jc w:val="right"/>
              <w:ind w:right="148"/>
              <w:spacing w:after="0"/>
              <w:rPr>
                <w:sz w:val="20"/>
                <w:szCs w:val="20"/>
                <w:color w:val="auto"/>
              </w:rPr>
            </w:pPr>
            <w:r>
              <w:rPr>
                <w:rFonts w:ascii="Arial" w:cs="Arial" w:eastAsia="Arial" w:hAnsi="Arial"/>
                <w:sz w:val="14"/>
                <w:szCs w:val="14"/>
                <w:color w:val="auto"/>
              </w:rPr>
              <w:t>227</w:t>
            </w:r>
          </w:p>
        </w:tc>
        <w:tc>
          <w:tcPr>
            <w:tcW w:w="0" w:type="dxa"/>
            <w:vAlign w:val="bottom"/>
          </w:tcPr>
          <w:p>
            <w:pPr>
              <w:spacing w:after="0"/>
              <w:rPr>
                <w:sz w:val="1"/>
                <w:szCs w:val="1"/>
                <w:color w:val="auto"/>
              </w:rPr>
            </w:pPr>
          </w:p>
        </w:tc>
      </w:tr>
      <w:tr>
        <w:trPr>
          <w:trHeight w:val="222"/>
        </w:trPr>
        <w:tc>
          <w:tcPr>
            <w:tcW w:w="4100" w:type="dxa"/>
            <w:vAlign w:val="bottom"/>
          </w:tcPr>
          <w:p>
            <w:pPr>
              <w:ind w:left="500"/>
              <w:spacing w:after="0"/>
              <w:rPr>
                <w:sz w:val="20"/>
                <w:szCs w:val="20"/>
                <w:color w:val="auto"/>
              </w:rPr>
            </w:pPr>
            <w:r>
              <w:rPr>
                <w:rFonts w:ascii="Arial" w:cs="Arial" w:eastAsia="Arial" w:hAnsi="Arial"/>
                <w:sz w:val="14"/>
                <w:szCs w:val="14"/>
                <w:color w:val="auto"/>
              </w:rPr>
              <w:t>Other current liabilities</w:t>
            </w:r>
          </w:p>
        </w:tc>
        <w:tc>
          <w:tcPr>
            <w:tcW w:w="4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169"/>
              <w:spacing w:after="0"/>
              <w:rPr>
                <w:sz w:val="20"/>
                <w:szCs w:val="20"/>
                <w:color w:val="auto"/>
              </w:rPr>
            </w:pPr>
            <w:r>
              <w:rPr>
                <w:rFonts w:ascii="Arial" w:cs="Arial" w:eastAsia="Arial" w:hAnsi="Arial"/>
                <w:sz w:val="14"/>
                <w:szCs w:val="14"/>
                <w:color w:val="auto"/>
              </w:rPr>
              <w:t>65</w:t>
            </w:r>
          </w:p>
        </w:tc>
        <w:tc>
          <w:tcPr>
            <w:tcW w:w="3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(62 )</w:t>
            </w: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(79 )</w:t>
            </w:r>
          </w:p>
        </w:tc>
        <w:tc>
          <w:tcPr>
            <w:tcW w:w="0" w:type="dxa"/>
            <w:vAlign w:val="bottom"/>
          </w:tcPr>
          <w:p>
            <w:pPr>
              <w:spacing w:after="0"/>
              <w:rPr>
                <w:sz w:val="1"/>
                <w:szCs w:val="1"/>
                <w:color w:val="auto"/>
              </w:rPr>
            </w:pPr>
          </w:p>
        </w:tc>
      </w:tr>
      <w:tr>
        <w:trPr>
          <w:trHeight w:val="224"/>
        </w:trPr>
        <w:tc>
          <w:tcPr>
            <w:tcW w:w="4100" w:type="dxa"/>
            <w:vAlign w:val="bottom"/>
          </w:tcPr>
          <w:p>
            <w:pPr>
              <w:ind w:left="740"/>
              <w:spacing w:after="0"/>
              <w:rPr>
                <w:sz w:val="20"/>
                <w:szCs w:val="20"/>
                <w:color w:val="auto"/>
              </w:rPr>
            </w:pPr>
            <w:r>
              <w:rPr>
                <w:rFonts w:ascii="Arial" w:cs="Arial" w:eastAsia="Arial" w:hAnsi="Arial"/>
                <w:sz w:val="14"/>
                <w:szCs w:val="14"/>
                <w:color w:val="auto"/>
              </w:rPr>
              <w:t>Net changes in other working capital components</w:t>
            </w:r>
          </w:p>
        </w:tc>
        <w:tc>
          <w:tcPr>
            <w:tcW w:w="4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rPr>
              <w:t>(483 )</w:t>
            </w:r>
          </w:p>
        </w:tc>
        <w:tc>
          <w:tcPr>
            <w:tcW w:w="3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25</w:t>
            </w: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(183 )</w:t>
            </w:r>
          </w:p>
        </w:tc>
        <w:tc>
          <w:tcPr>
            <w:tcW w:w="0" w:type="dxa"/>
            <w:vAlign w:val="bottom"/>
          </w:tcPr>
          <w:p>
            <w:pPr>
              <w:spacing w:after="0"/>
              <w:rPr>
                <w:sz w:val="1"/>
                <w:szCs w:val="1"/>
                <w:color w:val="auto"/>
              </w:rPr>
            </w:pPr>
          </w:p>
        </w:tc>
      </w:tr>
      <w:tr>
        <w:trPr>
          <w:trHeight w:val="426"/>
        </w:trPr>
        <w:tc>
          <w:tcPr>
            <w:tcW w:w="4100" w:type="dxa"/>
            <w:vAlign w:val="bottom"/>
          </w:tcPr>
          <w:p>
            <w:pPr>
              <w:ind w:left="20"/>
              <w:spacing w:after="0"/>
              <w:rPr>
                <w:sz w:val="20"/>
                <w:szCs w:val="20"/>
                <w:color w:val="auto"/>
              </w:rPr>
            </w:pPr>
            <w:r>
              <w:rPr>
                <w:rFonts w:ascii="Arial" w:cs="Arial" w:eastAsia="Arial" w:hAnsi="Arial"/>
                <w:sz w:val="14"/>
                <w:szCs w:val="14"/>
                <w:color w:val="auto"/>
              </w:rPr>
              <w:t>SUPPLEMENTAL DISCLOSURE OF CASH FLOW</w:t>
            </w: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100" w:type="dxa"/>
            <w:vAlign w:val="bottom"/>
          </w:tcPr>
          <w:p>
            <w:pPr>
              <w:ind w:left="260"/>
              <w:spacing w:after="0"/>
              <w:rPr>
                <w:sz w:val="20"/>
                <w:szCs w:val="20"/>
                <w:color w:val="auto"/>
              </w:rPr>
            </w:pPr>
            <w:r>
              <w:rPr>
                <w:rFonts w:ascii="Arial" w:cs="Arial" w:eastAsia="Arial" w:hAnsi="Arial"/>
                <w:sz w:val="14"/>
                <w:szCs w:val="14"/>
                <w:color w:val="auto"/>
              </w:rPr>
              <w:t>INFORMATION</w:t>
            </w:r>
          </w:p>
        </w:tc>
        <w:tc>
          <w:tcPr>
            <w:tcW w:w="4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4100" w:type="dxa"/>
            <w:vAlign w:val="bottom"/>
          </w:tcPr>
          <w:p>
            <w:pPr>
              <w:ind w:left="500"/>
              <w:spacing w:after="0"/>
              <w:rPr>
                <w:sz w:val="20"/>
                <w:szCs w:val="20"/>
                <w:color w:val="auto"/>
              </w:rPr>
            </w:pPr>
            <w:r>
              <w:rPr>
                <w:rFonts w:ascii="Arial" w:cs="Arial" w:eastAsia="Arial" w:hAnsi="Arial"/>
                <w:sz w:val="14"/>
                <w:szCs w:val="14"/>
                <w:color w:val="auto"/>
              </w:rPr>
              <w:t>Interest payments, net of amounts capitalized</w:t>
            </w:r>
          </w:p>
        </w:tc>
        <w:tc>
          <w:tcPr>
            <w:tcW w:w="4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169"/>
              <w:spacing w:after="0"/>
              <w:rPr>
                <w:sz w:val="20"/>
                <w:szCs w:val="20"/>
                <w:color w:val="auto"/>
              </w:rPr>
            </w:pPr>
            <w:r>
              <w:rPr>
                <w:rFonts w:ascii="Arial" w:cs="Arial" w:eastAsia="Arial" w:hAnsi="Arial"/>
                <w:sz w:val="14"/>
                <w:szCs w:val="14"/>
                <w:color w:val="auto"/>
              </w:rPr>
              <w:t>233</w:t>
            </w:r>
          </w:p>
        </w:tc>
        <w:tc>
          <w:tcPr>
            <w:tcW w:w="3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380</w:t>
            </w: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337</w:t>
            </w:r>
          </w:p>
        </w:tc>
        <w:tc>
          <w:tcPr>
            <w:tcW w:w="0" w:type="dxa"/>
            <w:vAlign w:val="bottom"/>
          </w:tcPr>
          <w:p>
            <w:pPr>
              <w:spacing w:after="0"/>
              <w:rPr>
                <w:sz w:val="1"/>
                <w:szCs w:val="1"/>
                <w:color w:val="auto"/>
              </w:rPr>
            </w:pPr>
          </w:p>
        </w:tc>
      </w:tr>
      <w:tr>
        <w:trPr>
          <w:trHeight w:val="448"/>
        </w:trPr>
        <w:tc>
          <w:tcPr>
            <w:tcW w:w="4100" w:type="dxa"/>
            <w:vAlign w:val="bottom"/>
          </w:tcPr>
          <w:p>
            <w:pPr>
              <w:ind w:left="500"/>
              <w:spacing w:after="0"/>
              <w:rPr>
                <w:sz w:val="20"/>
                <w:szCs w:val="20"/>
                <w:color w:val="auto"/>
              </w:rPr>
            </w:pPr>
            <w:r>
              <w:rPr>
                <w:rFonts w:ascii="Arial" w:cs="Arial" w:eastAsia="Arial" w:hAnsi="Arial"/>
                <w:sz w:val="14"/>
                <w:szCs w:val="14"/>
                <w:color w:val="auto"/>
              </w:rPr>
              <w:t>Income tax payments, net of refunds</w:t>
            </w:r>
          </w:p>
        </w:tc>
        <w:tc>
          <w:tcPr>
            <w:tcW w:w="4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169"/>
              <w:spacing w:after="0"/>
              <w:rPr>
                <w:sz w:val="20"/>
                <w:szCs w:val="20"/>
                <w:color w:val="auto"/>
              </w:rPr>
            </w:pPr>
            <w:r>
              <w:rPr>
                <w:rFonts w:ascii="Arial" w:cs="Arial" w:eastAsia="Arial" w:hAnsi="Arial"/>
                <w:sz w:val="14"/>
                <w:szCs w:val="14"/>
                <w:color w:val="auto"/>
              </w:rPr>
              <w:t>114</w:t>
            </w:r>
          </w:p>
        </w:tc>
        <w:tc>
          <w:tcPr>
            <w:tcW w:w="3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443</w:t>
            </w: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601</w:t>
            </w:r>
          </w:p>
        </w:tc>
        <w:tc>
          <w:tcPr>
            <w:tcW w:w="0" w:type="dxa"/>
            <w:vAlign w:val="bottom"/>
          </w:tcPr>
          <w:p>
            <w:pPr>
              <w:spacing w:after="0"/>
              <w:rPr>
                <w:sz w:val="1"/>
                <w:szCs w:val="1"/>
                <w:color w:val="auto"/>
              </w:rPr>
            </w:pPr>
          </w:p>
        </w:tc>
      </w:tr>
      <w:tr>
        <w:trPr>
          <w:trHeight w:val="426"/>
        </w:trPr>
        <w:tc>
          <w:tcPr>
            <w:tcW w:w="4100" w:type="dxa"/>
            <w:vAlign w:val="bottom"/>
          </w:tcPr>
          <w:p>
            <w:pPr>
              <w:ind w:left="20"/>
              <w:spacing w:after="0"/>
              <w:rPr>
                <w:sz w:val="20"/>
                <w:szCs w:val="20"/>
                <w:color w:val="auto"/>
              </w:rPr>
            </w:pPr>
            <w:r>
              <w:rPr>
                <w:rFonts w:ascii="Arial" w:cs="Arial" w:eastAsia="Arial" w:hAnsi="Arial"/>
                <w:sz w:val="14"/>
                <w:szCs w:val="14"/>
                <w:color w:val="auto"/>
              </w:rPr>
              <w:t>SUPPLEMENTAL DISCLOSURE OF NONCASH</w:t>
            </w: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100" w:type="dxa"/>
            <w:vAlign w:val="bottom"/>
          </w:tcPr>
          <w:p>
            <w:pPr>
              <w:ind w:left="260"/>
              <w:spacing w:after="0"/>
              <w:rPr>
                <w:sz w:val="20"/>
                <w:szCs w:val="20"/>
                <w:color w:val="auto"/>
              </w:rPr>
            </w:pPr>
            <w:r>
              <w:rPr>
                <w:rFonts w:ascii="Arial" w:cs="Arial" w:eastAsia="Arial" w:hAnsi="Arial"/>
                <w:sz w:val="14"/>
                <w:szCs w:val="14"/>
                <w:color w:val="auto"/>
              </w:rPr>
              <w:t>ACTIVITIES</w:t>
            </w:r>
          </w:p>
        </w:tc>
        <w:tc>
          <w:tcPr>
            <w:tcW w:w="4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tcPr>
          <w:p>
            <w:pPr>
              <w:ind w:left="500"/>
              <w:spacing w:after="0"/>
              <w:rPr>
                <w:sz w:val="20"/>
                <w:szCs w:val="20"/>
                <w:color w:val="auto"/>
              </w:rPr>
            </w:pPr>
            <w:r>
              <w:rPr>
                <w:rFonts w:ascii="Arial" w:cs="Arial" w:eastAsia="Arial" w:hAnsi="Arial"/>
                <w:sz w:val="14"/>
                <w:szCs w:val="14"/>
                <w:color w:val="auto"/>
              </w:rPr>
              <w:t>Acquisition of business:</w:t>
            </w:r>
          </w:p>
        </w:tc>
        <w:tc>
          <w:tcPr>
            <w:tcW w:w="4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tcPr>
          <w:p>
            <w:pPr>
              <w:ind w:left="740"/>
              <w:spacing w:after="0"/>
              <w:rPr>
                <w:sz w:val="20"/>
                <w:szCs w:val="20"/>
                <w:color w:val="auto"/>
              </w:rPr>
            </w:pPr>
            <w:r>
              <w:rPr>
                <w:rFonts w:ascii="Arial" w:cs="Arial" w:eastAsia="Arial" w:hAnsi="Arial"/>
                <w:sz w:val="14"/>
                <w:szCs w:val="14"/>
                <w:color w:val="auto"/>
              </w:rPr>
              <w:t>Assets acquired</w:t>
            </w:r>
          </w:p>
        </w:tc>
        <w:tc>
          <w:tcPr>
            <w:tcW w:w="4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169"/>
              <w:spacing w:after="0"/>
              <w:rPr>
                <w:sz w:val="20"/>
                <w:szCs w:val="20"/>
                <w:color w:val="auto"/>
              </w:rPr>
            </w:pPr>
            <w:r>
              <w:rPr>
                <w:rFonts w:ascii="Arial" w:cs="Arial" w:eastAsia="Arial" w:hAnsi="Arial"/>
                <w:sz w:val="14"/>
                <w:szCs w:val="14"/>
                <w:color w:val="auto"/>
              </w:rPr>
              <w:t>1,307</w:t>
            </w:r>
          </w:p>
        </w:tc>
        <w:tc>
          <w:tcPr>
            <w:tcW w:w="3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2"/>
        </w:trPr>
        <w:tc>
          <w:tcPr>
            <w:tcW w:w="4100" w:type="dxa"/>
            <w:vAlign w:val="bottom"/>
          </w:tcPr>
          <w:p>
            <w:pPr>
              <w:ind w:left="740"/>
              <w:spacing w:after="0"/>
              <w:rPr>
                <w:sz w:val="20"/>
                <w:szCs w:val="20"/>
                <w:color w:val="auto"/>
              </w:rPr>
            </w:pPr>
            <w:r>
              <w:rPr>
                <w:rFonts w:ascii="Arial" w:cs="Arial" w:eastAsia="Arial" w:hAnsi="Arial"/>
                <w:sz w:val="14"/>
                <w:szCs w:val="14"/>
                <w:color w:val="auto"/>
              </w:rPr>
              <w:t>Cash paid, net of cash acquired</w:t>
            </w:r>
          </w:p>
        </w:tc>
        <w:tc>
          <w:tcPr>
            <w:tcW w:w="4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rPr>
              <w:t>(495 )</w:t>
            </w:r>
          </w:p>
        </w:tc>
        <w:tc>
          <w:tcPr>
            <w:tcW w:w="3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4"/>
        </w:trPr>
        <w:tc>
          <w:tcPr>
            <w:tcW w:w="4100" w:type="dxa"/>
            <w:vAlign w:val="bottom"/>
          </w:tcPr>
          <w:p>
            <w:pPr>
              <w:ind w:left="740"/>
              <w:spacing w:after="0"/>
              <w:rPr>
                <w:sz w:val="20"/>
                <w:szCs w:val="20"/>
                <w:color w:val="auto"/>
              </w:rPr>
            </w:pPr>
            <w:r>
              <w:rPr>
                <w:rFonts w:ascii="Arial" w:cs="Arial" w:eastAsia="Arial" w:hAnsi="Arial"/>
                <w:sz w:val="14"/>
                <w:szCs w:val="14"/>
                <w:color w:val="auto"/>
              </w:rPr>
              <w:t>Liabilities assumed</w:t>
            </w:r>
          </w:p>
        </w:tc>
        <w:tc>
          <w:tcPr>
            <w:tcW w:w="4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169"/>
              <w:spacing w:after="0"/>
              <w:rPr>
                <w:sz w:val="20"/>
                <w:szCs w:val="20"/>
                <w:color w:val="auto"/>
              </w:rPr>
            </w:pPr>
            <w:r>
              <w:rPr>
                <w:rFonts w:ascii="Arial" w:cs="Arial" w:eastAsia="Arial" w:hAnsi="Arial"/>
                <w:sz w:val="14"/>
                <w:szCs w:val="14"/>
                <w:color w:val="auto"/>
              </w:rPr>
              <w:t>812</w:t>
            </w:r>
          </w:p>
        </w:tc>
        <w:tc>
          <w:tcPr>
            <w:tcW w:w="3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398"/>
        </w:trPr>
        <w:tc>
          <w:tcPr>
            <w:tcW w:w="4100" w:type="dxa"/>
            <w:vAlign w:val="bottom"/>
          </w:tcPr>
          <w:p>
            <w:pPr>
              <w:ind w:left="500"/>
              <w:spacing w:after="0"/>
              <w:rPr>
                <w:sz w:val="20"/>
                <w:szCs w:val="20"/>
                <w:color w:val="auto"/>
              </w:rPr>
            </w:pPr>
            <w:r>
              <w:rPr>
                <w:rFonts w:ascii="Arial" w:cs="Arial" w:eastAsia="Arial" w:hAnsi="Arial"/>
                <w:sz w:val="14"/>
                <w:szCs w:val="14"/>
                <w:color w:val="auto"/>
              </w:rPr>
              <w:t>Increase (decrease) in accounts payable from</w:t>
            </w:r>
          </w:p>
        </w:tc>
        <w:tc>
          <w:tcPr>
            <w:tcW w:w="44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820" w:type="dxa"/>
            <w:vAlign w:val="bottom"/>
            <w:vMerge w:val="restart"/>
          </w:tcPr>
          <w:p>
            <w:pPr>
              <w:jc w:val="right"/>
              <w:ind w:right="89"/>
              <w:spacing w:after="0"/>
              <w:rPr>
                <w:sz w:val="20"/>
                <w:szCs w:val="20"/>
                <w:color w:val="auto"/>
              </w:rPr>
            </w:pPr>
            <w:r>
              <w:rPr>
                <w:rFonts w:ascii="Arial" w:cs="Arial" w:eastAsia="Arial" w:hAnsi="Arial"/>
                <w:sz w:val="14"/>
                <w:szCs w:val="14"/>
                <w:color w:val="auto"/>
              </w:rPr>
              <w:t>(9 )</w:t>
            </w:r>
          </w:p>
        </w:tc>
        <w:tc>
          <w:tcPr>
            <w:tcW w:w="34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920" w:type="dxa"/>
            <w:vAlign w:val="bottom"/>
            <w:vMerge w:val="restart"/>
          </w:tcPr>
          <w:p>
            <w:pPr>
              <w:jc w:val="right"/>
              <w:ind w:right="268"/>
              <w:spacing w:after="0"/>
              <w:rPr>
                <w:sz w:val="20"/>
                <w:szCs w:val="20"/>
                <w:color w:val="auto"/>
              </w:rPr>
            </w:pPr>
            <w:r>
              <w:rPr>
                <w:rFonts w:ascii="Arial" w:cs="Arial" w:eastAsia="Arial" w:hAnsi="Arial"/>
                <w:sz w:val="14"/>
                <w:szCs w:val="14"/>
                <w:color w:val="auto"/>
              </w:rPr>
              <w:t>81</w:t>
            </w:r>
          </w:p>
        </w:tc>
        <w:tc>
          <w:tcPr>
            <w:tcW w:w="18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740" w:type="dxa"/>
            <w:vAlign w:val="bottom"/>
            <w:vMerge w:val="restart"/>
          </w:tcPr>
          <w:p>
            <w:pPr>
              <w:jc w:val="right"/>
              <w:ind w:right="88"/>
              <w:spacing w:after="0"/>
              <w:rPr>
                <w:sz w:val="20"/>
                <w:szCs w:val="20"/>
                <w:color w:val="auto"/>
              </w:rPr>
            </w:pPr>
            <w:r>
              <w:rPr>
                <w:rFonts w:ascii="Arial" w:cs="Arial" w:eastAsia="Arial" w:hAnsi="Arial"/>
                <w:sz w:val="14"/>
                <w:szCs w:val="14"/>
                <w:color w:val="auto"/>
              </w:rPr>
              <w:t>(43 )</w:t>
            </w:r>
          </w:p>
        </w:tc>
        <w:tc>
          <w:tcPr>
            <w:tcW w:w="0" w:type="dxa"/>
            <w:vAlign w:val="bottom"/>
          </w:tcPr>
          <w:p>
            <w:pPr>
              <w:spacing w:after="0"/>
              <w:rPr>
                <w:sz w:val="1"/>
                <w:szCs w:val="1"/>
                <w:color w:val="auto"/>
              </w:rPr>
            </w:pPr>
          </w:p>
        </w:tc>
      </w:tr>
      <w:tr>
        <w:trPr>
          <w:trHeight w:val="164"/>
        </w:trPr>
        <w:tc>
          <w:tcPr>
            <w:tcW w:w="4100" w:type="dxa"/>
            <w:vAlign w:val="bottom"/>
          </w:tcPr>
          <w:p>
            <w:pPr>
              <w:ind w:left="680"/>
              <w:spacing w:after="0" w:line="143" w:lineRule="exact"/>
              <w:rPr>
                <w:sz w:val="20"/>
                <w:szCs w:val="20"/>
                <w:color w:val="auto"/>
              </w:rPr>
            </w:pPr>
            <w:r>
              <w:rPr>
                <w:rFonts w:ascii="Arial" w:cs="Arial" w:eastAsia="Arial" w:hAnsi="Arial"/>
                <w:sz w:val="14"/>
                <w:szCs w:val="14"/>
                <w:color w:val="auto"/>
              </w:rPr>
              <w:t>investments in property, plant and equipment</w:t>
            </w:r>
          </w:p>
        </w:tc>
        <w:tc>
          <w:tcPr>
            <w:tcW w:w="440" w:type="dxa"/>
            <w:vAlign w:val="bottom"/>
            <w:tcBorders>
              <w:bottom w:val="single" w:sz="8" w:color="auto"/>
            </w:tcBorders>
            <w:vMerge w:val="continue"/>
          </w:tcPr>
          <w:p>
            <w:pPr>
              <w:spacing w:after="0"/>
              <w:rPr>
                <w:sz w:val="13"/>
                <w:szCs w:val="13"/>
                <w:color w:val="auto"/>
              </w:rPr>
            </w:pPr>
          </w:p>
        </w:tc>
        <w:tc>
          <w:tcPr>
            <w:tcW w:w="820" w:type="dxa"/>
            <w:vAlign w:val="bottom"/>
            <w:tcBorders>
              <w:bottom w:val="single" w:sz="8" w:color="auto"/>
            </w:tcBorders>
            <w:vMerge w:val="continue"/>
          </w:tcPr>
          <w:p>
            <w:pPr>
              <w:spacing w:after="0"/>
              <w:rPr>
                <w:sz w:val="13"/>
                <w:szCs w:val="13"/>
                <w:color w:val="auto"/>
              </w:rPr>
            </w:pPr>
          </w:p>
        </w:tc>
        <w:tc>
          <w:tcPr>
            <w:tcW w:w="340" w:type="dxa"/>
            <w:vAlign w:val="bottom"/>
            <w:tcBorders>
              <w:bottom w:val="single" w:sz="8" w:color="auto"/>
            </w:tcBorders>
            <w:vMerge w:val="continue"/>
          </w:tcPr>
          <w:p>
            <w:pPr>
              <w:spacing w:after="0"/>
              <w:rPr>
                <w:sz w:val="13"/>
                <w:szCs w:val="13"/>
                <w:color w:val="auto"/>
              </w:rPr>
            </w:pPr>
          </w:p>
        </w:tc>
        <w:tc>
          <w:tcPr>
            <w:tcW w:w="920" w:type="dxa"/>
            <w:vAlign w:val="bottom"/>
            <w:tcBorders>
              <w:bottom w:val="single" w:sz="8" w:color="auto"/>
            </w:tcBorders>
            <w:vMerge w:val="continue"/>
          </w:tcPr>
          <w:p>
            <w:pPr>
              <w:spacing w:after="0"/>
              <w:rPr>
                <w:sz w:val="13"/>
                <w:szCs w:val="13"/>
                <w:color w:val="auto"/>
              </w:rPr>
            </w:pPr>
          </w:p>
        </w:tc>
        <w:tc>
          <w:tcPr>
            <w:tcW w:w="180" w:type="dxa"/>
            <w:vAlign w:val="bottom"/>
            <w:tcBorders>
              <w:bottom w:val="single" w:sz="8" w:color="auto"/>
            </w:tcBorders>
            <w:vMerge w:val="continue"/>
          </w:tcPr>
          <w:p>
            <w:pPr>
              <w:spacing w:after="0"/>
              <w:rPr>
                <w:sz w:val="13"/>
                <w:szCs w:val="13"/>
                <w:color w:val="auto"/>
              </w:rPr>
            </w:pPr>
          </w:p>
        </w:tc>
        <w:tc>
          <w:tcPr>
            <w:tcW w:w="74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448"/>
        </w:trPr>
        <w:tc>
          <w:tcPr>
            <w:tcW w:w="4100" w:type="dxa"/>
            <w:vAlign w:val="bottom"/>
          </w:tcPr>
          <w:p>
            <w:pPr>
              <w:ind w:left="500"/>
              <w:spacing w:after="0"/>
              <w:rPr>
                <w:sz w:val="20"/>
                <w:szCs w:val="20"/>
                <w:color w:val="auto"/>
              </w:rPr>
            </w:pPr>
            <w:r>
              <w:rPr>
                <w:rFonts w:ascii="Arial" w:cs="Arial" w:eastAsia="Arial" w:hAnsi="Arial"/>
                <w:sz w:val="14"/>
                <w:szCs w:val="14"/>
                <w:color w:val="auto"/>
              </w:rPr>
              <w:t>Dividends declared but not paid</w:t>
            </w:r>
          </w:p>
        </w:tc>
        <w:tc>
          <w:tcPr>
            <w:tcW w:w="4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169"/>
              <w:spacing w:after="0"/>
              <w:rPr>
                <w:sz w:val="20"/>
                <w:szCs w:val="20"/>
                <w:color w:val="auto"/>
              </w:rPr>
            </w:pPr>
            <w:r>
              <w:rPr>
                <w:rFonts w:ascii="Arial" w:cs="Arial" w:eastAsia="Arial" w:hAnsi="Arial"/>
                <w:sz w:val="14"/>
                <w:szCs w:val="14"/>
                <w:color w:val="auto"/>
              </w:rPr>
              <w:t>88</w:t>
            </w:r>
          </w:p>
        </w:tc>
        <w:tc>
          <w:tcPr>
            <w:tcW w:w="3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84</w:t>
            </w: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82</w:t>
            </w:r>
          </w:p>
        </w:tc>
        <w:tc>
          <w:tcPr>
            <w:tcW w:w="0" w:type="dxa"/>
            <w:vAlign w:val="bottom"/>
          </w:tcPr>
          <w:p>
            <w:pPr>
              <w:spacing w:after="0"/>
              <w:rPr>
                <w:sz w:val="1"/>
                <w:szCs w:val="1"/>
                <w:color w:val="auto"/>
              </w:rPr>
            </w:pPr>
          </w:p>
        </w:tc>
      </w:tr>
      <w:tr>
        <w:trPr>
          <w:trHeight w:val="448"/>
        </w:trPr>
        <w:tc>
          <w:tcPr>
            <w:tcW w:w="4100" w:type="dxa"/>
            <w:vAlign w:val="bottom"/>
          </w:tcPr>
          <w:p>
            <w:pPr>
              <w:ind w:left="500"/>
              <w:spacing w:after="0"/>
              <w:rPr>
                <w:sz w:val="20"/>
                <w:szCs w:val="20"/>
                <w:color w:val="auto"/>
              </w:rPr>
            </w:pPr>
            <w:r>
              <w:rPr>
                <w:rFonts w:ascii="Arial" w:cs="Arial" w:eastAsia="Arial" w:hAnsi="Arial"/>
                <w:sz w:val="14"/>
                <w:szCs w:val="14"/>
                <w:color w:val="auto"/>
              </w:rPr>
              <w:t>Fair value of stock received for services rendered</w:t>
            </w:r>
          </w:p>
        </w:tc>
        <w:tc>
          <w:tcPr>
            <w:tcW w:w="4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169"/>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32</w:t>
            </w: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448"/>
        </w:trPr>
        <w:tc>
          <w:tcPr>
            <w:tcW w:w="4100" w:type="dxa"/>
            <w:vAlign w:val="bottom"/>
            <w:tcBorders>
              <w:bottom w:val="single" w:sz="8" w:color="auto"/>
            </w:tcBorders>
          </w:tcPr>
          <w:p>
            <w:pPr>
              <w:ind w:left="500"/>
              <w:spacing w:after="0"/>
              <w:rPr>
                <w:sz w:val="20"/>
                <w:szCs w:val="20"/>
                <w:color w:val="auto"/>
              </w:rPr>
            </w:pPr>
            <w:r>
              <w:rPr>
                <w:rFonts w:ascii="Arial" w:cs="Arial" w:eastAsia="Arial" w:hAnsi="Arial"/>
                <w:sz w:val="14"/>
                <w:szCs w:val="14"/>
                <w:color w:val="auto"/>
              </w:rPr>
              <w:t>Fair value of stock received for sale of investments</w:t>
            </w:r>
          </w:p>
        </w:tc>
        <w:tc>
          <w:tcPr>
            <w:tcW w:w="4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169"/>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26</w:t>
            </w: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73" w:lineRule="exact"/>
        <w:rPr>
          <w:sz w:val="20"/>
          <w:szCs w:val="20"/>
          <w:color w:val="auto"/>
        </w:rPr>
      </w:pPr>
    </w:p>
    <w:p>
      <w:pPr>
        <w:ind w:left="1960"/>
        <w:spacing w:after="0"/>
        <w:rPr>
          <w:sz w:val="20"/>
          <w:szCs w:val="20"/>
          <w:color w:val="auto"/>
        </w:rPr>
      </w:pPr>
      <w:r>
        <w:rPr>
          <w:rFonts w:ascii="Arial" w:cs="Arial" w:eastAsia="Arial" w:hAnsi="Arial"/>
          <w:sz w:val="13"/>
          <w:szCs w:val="13"/>
          <w:i w:val="1"/>
          <w:iCs w:val="1"/>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Arial" w:cs="Arial" w:eastAsia="Arial" w:hAnsi="Arial"/>
          <w:sz w:val="14"/>
          <w:szCs w:val="14"/>
          <w:color w:val="auto"/>
        </w:rPr>
        <w:t>73</w:t>
      </w:r>
    </w:p>
    <w:p>
      <w:pPr>
        <w:sectPr>
          <w:pgSz w:w="11900" w:h="16838" w:orient="portrait"/>
          <w:cols w:equalWidth="0" w:num="1">
            <w:col w:w="10219"/>
          </w:cols>
          <w:pgMar w:left="240" w:top="556" w:right="1440" w:bottom="1440" w:gutter="0" w:footer="0" w:header="0"/>
        </w:sectPr>
      </w:pPr>
    </w:p>
    <w:bookmarkStart w:id="213" w:name="page214"/>
    <w:bookmarkEnd w:id="213"/>
    <w:p>
      <w:pPr>
        <w:ind w:left="940"/>
        <w:spacing w:after="0"/>
        <w:rPr>
          <w:sz w:val="20"/>
          <w:szCs w:val="20"/>
          <w:color w:val="auto"/>
        </w:rPr>
      </w:pPr>
      <w:r>
        <w:rPr>
          <w:rFonts w:ascii="Arial" w:cs="Arial" w:eastAsia="Arial" w:hAnsi="Arial"/>
          <w:sz w:val="14"/>
          <w:szCs w:val="14"/>
          <w:b w:val="1"/>
          <w:bCs w:val="1"/>
          <w:color w:val="auto"/>
        </w:rPr>
        <w:t>SEMPRA ENERGY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592455</wp:posOffset>
            </wp:positionH>
            <wp:positionV relativeFrom="paragraph">
              <wp:posOffset>-99060</wp:posOffset>
            </wp:positionV>
            <wp:extent cx="6071870" cy="24384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071870" cy="243840"/>
                    </a:xfrm>
                    <a:prstGeom prst="rect">
                      <a:avLst/>
                    </a:prstGeom>
                    <a:noFill/>
                  </pic:spPr>
                </pic:pic>
              </a:graphicData>
            </a:graphic>
          </wp:anchor>
        </w:drawing>
      </w:r>
    </w:p>
    <w:p>
      <w:pPr>
        <w:spacing w:after="0" w:line="11" w:lineRule="exact"/>
        <w:rPr>
          <w:sz w:val="20"/>
          <w:szCs w:val="20"/>
          <w:color w:val="auto"/>
        </w:rPr>
      </w:pPr>
    </w:p>
    <w:p>
      <w:pPr>
        <w:ind w:left="940"/>
        <w:spacing w:after="0"/>
        <w:rPr>
          <w:sz w:val="20"/>
          <w:szCs w:val="20"/>
          <w:color w:val="auto"/>
        </w:rPr>
      </w:pPr>
      <w:r>
        <w:rPr>
          <w:rFonts w:ascii="Arial" w:cs="Arial" w:eastAsia="Arial" w:hAnsi="Arial"/>
          <w:sz w:val="14"/>
          <w:szCs w:val="14"/>
          <w:b w:val="1"/>
          <w:bCs w:val="1"/>
          <w:color w:val="auto"/>
        </w:rPr>
        <w:t>STATEMENTS OF CONSOLIDATED COMPREHENSIVE INCOME AND CHANGES IN SHAREHOLDERS' EQUITY</w:t>
      </w:r>
    </w:p>
    <w:p>
      <w:pPr>
        <w:spacing w:after="0" w:line="52" w:lineRule="exact"/>
        <w:rPr>
          <w:sz w:val="20"/>
          <w:szCs w:val="20"/>
          <w:color w:val="auto"/>
        </w:rPr>
      </w:pPr>
    </w:p>
    <w:p>
      <w:pPr>
        <w:ind w:left="940"/>
        <w:spacing w:after="0"/>
        <w:rPr>
          <w:sz w:val="20"/>
          <w:szCs w:val="20"/>
          <w:color w:val="auto"/>
        </w:rPr>
      </w:pPr>
      <w:r>
        <w:rPr>
          <w:rFonts w:ascii="Arial" w:cs="Arial" w:eastAsia="Arial" w:hAnsi="Arial"/>
          <w:sz w:val="13"/>
          <w:szCs w:val="13"/>
          <w:color w:val="auto"/>
        </w:rPr>
        <w:t>Years ended December 31, 2008, 2007 and 2006</w:t>
      </w:r>
    </w:p>
    <w:p>
      <w:pPr>
        <w:spacing w:after="0" w:line="4" w:lineRule="exact"/>
        <w:rPr>
          <w:sz w:val="20"/>
          <w:szCs w:val="20"/>
          <w:color w:val="auto"/>
        </w:rPr>
      </w:pPr>
    </w:p>
    <w:tbl>
      <w:tblPr>
        <w:tblLayout w:type="fixed"/>
        <w:tblInd w:w="940" w:type="dxa"/>
        <w:tblCellMar>
          <w:top w:w="0" w:type="dxa"/>
          <w:left w:w="0" w:type="dxa"/>
          <w:bottom w:w="0" w:type="dxa"/>
          <w:right w:w="0" w:type="dxa"/>
        </w:tblCellMar>
      </w:tblPr>
      <w:tr>
        <w:trPr>
          <w:trHeight w:val="172"/>
        </w:trPr>
        <w:tc>
          <w:tcPr>
            <w:tcW w:w="322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1180" w:type="dxa"/>
            <w:vAlign w:val="bottom"/>
            <w:tcBorders>
              <w:top w:val="single" w:sz="8" w:color="auto"/>
            </w:tcBorders>
          </w:tcPr>
          <w:p>
            <w:pPr>
              <w:jc w:val="right"/>
              <w:ind w:right="131"/>
              <w:spacing w:after="0"/>
              <w:rPr>
                <w:sz w:val="20"/>
                <w:szCs w:val="20"/>
                <w:color w:val="auto"/>
              </w:rPr>
            </w:pPr>
            <w:r>
              <w:rPr>
                <w:rFonts w:ascii="Arial" w:cs="Arial" w:eastAsia="Arial" w:hAnsi="Arial"/>
                <w:sz w:val="13"/>
                <w:szCs w:val="13"/>
                <w:color w:val="auto"/>
              </w:rPr>
              <w:t>Deferred</w:t>
            </w:r>
          </w:p>
        </w:tc>
        <w:tc>
          <w:tcPr>
            <w:tcW w:w="1220" w:type="dxa"/>
            <w:vAlign w:val="bottom"/>
            <w:tcBorders>
              <w:top w:val="single" w:sz="8" w:color="auto"/>
            </w:tcBorders>
          </w:tcPr>
          <w:p>
            <w:pPr>
              <w:jc w:val="right"/>
              <w:ind w:right="129"/>
              <w:spacing w:after="0"/>
              <w:rPr>
                <w:sz w:val="20"/>
                <w:szCs w:val="20"/>
                <w:color w:val="auto"/>
              </w:rPr>
            </w:pPr>
            <w:r>
              <w:rPr>
                <w:rFonts w:ascii="Arial" w:cs="Arial" w:eastAsia="Arial" w:hAnsi="Arial"/>
                <w:sz w:val="13"/>
                <w:szCs w:val="13"/>
                <w:color w:val="auto"/>
              </w:rPr>
              <w:t>Accumulated</w:t>
            </w:r>
          </w:p>
        </w:tc>
        <w:tc>
          <w:tcPr>
            <w:tcW w:w="102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2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180" w:type="dxa"/>
            <w:vAlign w:val="bottom"/>
          </w:tcPr>
          <w:p>
            <w:pPr>
              <w:jc w:val="right"/>
              <w:ind w:right="131"/>
              <w:spacing w:after="0"/>
              <w:rPr>
                <w:sz w:val="20"/>
                <w:szCs w:val="20"/>
                <w:color w:val="auto"/>
              </w:rPr>
            </w:pPr>
            <w:r>
              <w:rPr>
                <w:rFonts w:ascii="Arial" w:cs="Arial" w:eastAsia="Arial" w:hAnsi="Arial"/>
                <w:sz w:val="13"/>
                <w:szCs w:val="13"/>
                <w:color w:val="auto"/>
              </w:rPr>
              <w:t>Compensation</w:t>
            </w:r>
          </w:p>
        </w:tc>
        <w:tc>
          <w:tcPr>
            <w:tcW w:w="1220" w:type="dxa"/>
            <w:vAlign w:val="bottom"/>
          </w:tcPr>
          <w:p>
            <w:pPr>
              <w:jc w:val="right"/>
              <w:ind w:right="129"/>
              <w:spacing w:after="0"/>
              <w:rPr>
                <w:sz w:val="20"/>
                <w:szCs w:val="20"/>
                <w:color w:val="auto"/>
              </w:rPr>
            </w:pPr>
            <w:r>
              <w:rPr>
                <w:rFonts w:ascii="Arial" w:cs="Arial" w:eastAsia="Arial" w:hAnsi="Arial"/>
                <w:sz w:val="13"/>
                <w:szCs w:val="13"/>
                <w:color w:val="auto"/>
              </w:rPr>
              <w:t>Other</w:t>
            </w:r>
          </w:p>
        </w:tc>
        <w:tc>
          <w:tcPr>
            <w:tcW w:w="1020" w:type="dxa"/>
            <w:vAlign w:val="bottom"/>
          </w:tcPr>
          <w:p>
            <w:pPr>
              <w:jc w:val="right"/>
              <w:ind w:right="68"/>
              <w:spacing w:after="0"/>
              <w:rPr>
                <w:sz w:val="20"/>
                <w:szCs w:val="20"/>
                <w:color w:val="auto"/>
              </w:rPr>
            </w:pPr>
            <w:r>
              <w:rPr>
                <w:rFonts w:ascii="Arial" w:cs="Arial" w:eastAsia="Arial" w:hAnsi="Arial"/>
                <w:sz w:val="13"/>
                <w:szCs w:val="13"/>
                <w:color w:val="auto"/>
              </w:rPr>
              <w:t>Total</w:t>
            </w:r>
          </w:p>
        </w:tc>
        <w:tc>
          <w:tcPr>
            <w:tcW w:w="0" w:type="dxa"/>
            <w:vAlign w:val="bottom"/>
          </w:tcPr>
          <w:p>
            <w:pPr>
              <w:spacing w:after="0"/>
              <w:rPr>
                <w:sz w:val="1"/>
                <w:szCs w:val="1"/>
                <w:color w:val="auto"/>
              </w:rPr>
            </w:pPr>
          </w:p>
        </w:tc>
      </w:tr>
      <w:tr>
        <w:trPr>
          <w:trHeight w:val="156"/>
        </w:trPr>
        <w:tc>
          <w:tcPr>
            <w:tcW w:w="3220" w:type="dxa"/>
            <w:vAlign w:val="bottom"/>
            <w:vMerge w:val="restart"/>
          </w:tcPr>
          <w:p>
            <w:pPr>
              <w:spacing w:after="0"/>
              <w:rPr>
                <w:sz w:val="20"/>
                <w:szCs w:val="20"/>
                <w:color w:val="auto"/>
              </w:rPr>
            </w:pPr>
            <w:r>
              <w:rPr>
                <w:rFonts w:ascii="Arial" w:cs="Arial" w:eastAsia="Arial" w:hAnsi="Arial"/>
                <w:sz w:val="13"/>
                <w:szCs w:val="13"/>
                <w:i w:val="1"/>
                <w:iCs w:val="1"/>
                <w:color w:val="auto"/>
              </w:rPr>
              <w:t>(Dollars in millions)</w:t>
            </w:r>
          </w:p>
        </w:tc>
        <w:tc>
          <w:tcPr>
            <w:tcW w:w="1080" w:type="dxa"/>
            <w:vAlign w:val="bottom"/>
            <w:gridSpan w:val="2"/>
          </w:tcPr>
          <w:p>
            <w:pPr>
              <w:jc w:val="right"/>
              <w:ind w:right="120"/>
              <w:spacing w:after="0"/>
              <w:rPr>
                <w:sz w:val="20"/>
                <w:szCs w:val="20"/>
                <w:color w:val="auto"/>
              </w:rPr>
            </w:pPr>
            <w:r>
              <w:rPr>
                <w:rFonts w:ascii="Arial" w:cs="Arial" w:eastAsia="Arial" w:hAnsi="Arial"/>
                <w:sz w:val="13"/>
                <w:szCs w:val="13"/>
                <w:color w:val="auto"/>
              </w:rPr>
              <w:t>Comprehensive</w:t>
            </w:r>
          </w:p>
        </w:tc>
        <w:tc>
          <w:tcPr>
            <w:tcW w:w="960" w:type="dxa"/>
            <w:vAlign w:val="bottom"/>
          </w:tcPr>
          <w:p>
            <w:pPr>
              <w:jc w:val="right"/>
              <w:ind w:right="149"/>
              <w:spacing w:after="0"/>
              <w:rPr>
                <w:sz w:val="20"/>
                <w:szCs w:val="20"/>
                <w:color w:val="auto"/>
              </w:rPr>
            </w:pPr>
            <w:r>
              <w:rPr>
                <w:rFonts w:ascii="Arial" w:cs="Arial" w:eastAsia="Arial" w:hAnsi="Arial"/>
                <w:sz w:val="13"/>
                <w:szCs w:val="13"/>
                <w:color w:val="auto"/>
              </w:rPr>
              <w:t>Common</w:t>
            </w:r>
          </w:p>
        </w:tc>
        <w:tc>
          <w:tcPr>
            <w:tcW w:w="880" w:type="dxa"/>
            <w:vAlign w:val="bottom"/>
          </w:tcPr>
          <w:p>
            <w:pPr>
              <w:jc w:val="right"/>
              <w:ind w:right="169"/>
              <w:spacing w:after="0"/>
              <w:rPr>
                <w:sz w:val="20"/>
                <w:szCs w:val="20"/>
                <w:color w:val="auto"/>
              </w:rPr>
            </w:pPr>
            <w:r>
              <w:rPr>
                <w:rFonts w:ascii="Arial" w:cs="Arial" w:eastAsia="Arial" w:hAnsi="Arial"/>
                <w:sz w:val="13"/>
                <w:szCs w:val="13"/>
                <w:color w:val="auto"/>
              </w:rPr>
              <w:t>Retained</w:t>
            </w:r>
          </w:p>
        </w:tc>
        <w:tc>
          <w:tcPr>
            <w:tcW w:w="1180" w:type="dxa"/>
            <w:vAlign w:val="bottom"/>
          </w:tcPr>
          <w:p>
            <w:pPr>
              <w:jc w:val="right"/>
              <w:ind w:right="131"/>
              <w:spacing w:after="0"/>
              <w:rPr>
                <w:sz w:val="20"/>
                <w:szCs w:val="20"/>
                <w:color w:val="auto"/>
              </w:rPr>
            </w:pPr>
            <w:r>
              <w:rPr>
                <w:rFonts w:ascii="Arial" w:cs="Arial" w:eastAsia="Arial" w:hAnsi="Arial"/>
                <w:sz w:val="13"/>
                <w:szCs w:val="13"/>
                <w:color w:val="auto"/>
              </w:rPr>
              <w:t>Relating to</w:t>
            </w:r>
          </w:p>
        </w:tc>
        <w:tc>
          <w:tcPr>
            <w:tcW w:w="1220" w:type="dxa"/>
            <w:vAlign w:val="bottom"/>
          </w:tcPr>
          <w:p>
            <w:pPr>
              <w:jc w:val="right"/>
              <w:ind w:right="129"/>
              <w:spacing w:after="0"/>
              <w:rPr>
                <w:sz w:val="20"/>
                <w:szCs w:val="20"/>
                <w:color w:val="auto"/>
              </w:rPr>
            </w:pPr>
            <w:r>
              <w:rPr>
                <w:rFonts w:ascii="Arial" w:cs="Arial" w:eastAsia="Arial" w:hAnsi="Arial"/>
                <w:sz w:val="13"/>
                <w:szCs w:val="13"/>
                <w:color w:val="auto"/>
              </w:rPr>
              <w:t>Comprehensive</w:t>
            </w:r>
          </w:p>
        </w:tc>
        <w:tc>
          <w:tcPr>
            <w:tcW w:w="1020" w:type="dxa"/>
            <w:vAlign w:val="bottom"/>
          </w:tcPr>
          <w:p>
            <w:pPr>
              <w:jc w:val="right"/>
              <w:ind w:right="68"/>
              <w:spacing w:after="0"/>
              <w:rPr>
                <w:sz w:val="20"/>
                <w:szCs w:val="20"/>
                <w:color w:val="auto"/>
              </w:rPr>
            </w:pPr>
            <w:r>
              <w:rPr>
                <w:rFonts w:ascii="Arial" w:cs="Arial" w:eastAsia="Arial" w:hAnsi="Arial"/>
                <w:sz w:val="13"/>
                <w:szCs w:val="13"/>
                <w:color w:val="auto"/>
              </w:rPr>
              <w:t>Shareholders'</w:t>
            </w:r>
          </w:p>
        </w:tc>
        <w:tc>
          <w:tcPr>
            <w:tcW w:w="0" w:type="dxa"/>
            <w:vAlign w:val="bottom"/>
          </w:tcPr>
          <w:p>
            <w:pPr>
              <w:spacing w:after="0"/>
              <w:rPr>
                <w:sz w:val="1"/>
                <w:szCs w:val="1"/>
                <w:color w:val="auto"/>
              </w:rPr>
            </w:pPr>
          </w:p>
        </w:tc>
      </w:tr>
      <w:tr>
        <w:trPr>
          <w:trHeight w:val="161"/>
        </w:trPr>
        <w:tc>
          <w:tcPr>
            <w:tcW w:w="3220" w:type="dxa"/>
            <w:vAlign w:val="bottom"/>
            <w:tcBorders>
              <w:bottom w:val="single" w:sz="8" w:color="auto"/>
            </w:tcBorders>
            <w:vMerge w:val="continue"/>
          </w:tcPr>
          <w:p>
            <w:pPr>
              <w:spacing w:after="0"/>
              <w:rPr>
                <w:sz w:val="14"/>
                <w:szCs w:val="14"/>
                <w:color w:val="auto"/>
              </w:rPr>
            </w:pPr>
          </w:p>
        </w:tc>
        <w:tc>
          <w:tcPr>
            <w:tcW w:w="108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3"/>
                <w:szCs w:val="13"/>
                <w:color w:val="auto"/>
              </w:rPr>
              <w:t>Income</w:t>
            </w:r>
          </w:p>
        </w:tc>
        <w:tc>
          <w:tcPr>
            <w:tcW w:w="960" w:type="dxa"/>
            <w:vAlign w:val="bottom"/>
            <w:tcBorders>
              <w:bottom w:val="single" w:sz="8" w:color="auto"/>
            </w:tcBorders>
          </w:tcPr>
          <w:p>
            <w:pPr>
              <w:jc w:val="right"/>
              <w:ind w:right="149"/>
              <w:spacing w:after="0"/>
              <w:rPr>
                <w:sz w:val="20"/>
                <w:szCs w:val="20"/>
                <w:color w:val="auto"/>
              </w:rPr>
            </w:pPr>
            <w:r>
              <w:rPr>
                <w:rFonts w:ascii="Arial" w:cs="Arial" w:eastAsia="Arial" w:hAnsi="Arial"/>
                <w:sz w:val="13"/>
                <w:szCs w:val="13"/>
                <w:color w:val="auto"/>
              </w:rPr>
              <w:t>Stock</w:t>
            </w:r>
          </w:p>
        </w:tc>
        <w:tc>
          <w:tcPr>
            <w:tcW w:w="880" w:type="dxa"/>
            <w:vAlign w:val="bottom"/>
            <w:tcBorders>
              <w:bottom w:val="single" w:sz="8" w:color="auto"/>
            </w:tcBorders>
          </w:tcPr>
          <w:p>
            <w:pPr>
              <w:jc w:val="right"/>
              <w:ind w:right="169"/>
              <w:spacing w:after="0"/>
              <w:rPr>
                <w:sz w:val="20"/>
                <w:szCs w:val="20"/>
                <w:color w:val="auto"/>
              </w:rPr>
            </w:pPr>
            <w:r>
              <w:rPr>
                <w:rFonts w:ascii="Arial" w:cs="Arial" w:eastAsia="Arial" w:hAnsi="Arial"/>
                <w:sz w:val="13"/>
                <w:szCs w:val="13"/>
                <w:color w:val="auto"/>
              </w:rPr>
              <w:t>Earnings</w:t>
            </w:r>
          </w:p>
        </w:tc>
        <w:tc>
          <w:tcPr>
            <w:tcW w:w="1180" w:type="dxa"/>
            <w:vAlign w:val="bottom"/>
            <w:tcBorders>
              <w:bottom w:val="single" w:sz="8" w:color="auto"/>
            </w:tcBorders>
          </w:tcPr>
          <w:p>
            <w:pPr>
              <w:jc w:val="right"/>
              <w:ind w:right="131"/>
              <w:spacing w:after="0"/>
              <w:rPr>
                <w:sz w:val="20"/>
                <w:szCs w:val="20"/>
                <w:color w:val="auto"/>
              </w:rPr>
            </w:pPr>
            <w:r>
              <w:rPr>
                <w:rFonts w:ascii="Arial" w:cs="Arial" w:eastAsia="Arial" w:hAnsi="Arial"/>
                <w:sz w:val="13"/>
                <w:szCs w:val="13"/>
                <w:color w:val="auto"/>
              </w:rPr>
              <w:t>ESOP</w:t>
            </w:r>
          </w:p>
        </w:tc>
        <w:tc>
          <w:tcPr>
            <w:tcW w:w="1220" w:type="dxa"/>
            <w:vAlign w:val="bottom"/>
            <w:tcBorders>
              <w:bottom w:val="single" w:sz="8" w:color="auto"/>
            </w:tcBorders>
          </w:tcPr>
          <w:p>
            <w:pPr>
              <w:jc w:val="right"/>
              <w:ind w:right="129"/>
              <w:spacing w:after="0"/>
              <w:rPr>
                <w:sz w:val="20"/>
                <w:szCs w:val="20"/>
                <w:color w:val="auto"/>
              </w:rPr>
            </w:pPr>
            <w:r>
              <w:rPr>
                <w:rFonts w:ascii="Arial" w:cs="Arial" w:eastAsia="Arial" w:hAnsi="Arial"/>
                <w:sz w:val="13"/>
                <w:szCs w:val="13"/>
                <w:color w:val="auto"/>
              </w:rPr>
              <w:t>Income (Loss)</w:t>
            </w:r>
          </w:p>
        </w:tc>
        <w:tc>
          <w:tcPr>
            <w:tcW w:w="1020" w:type="dxa"/>
            <w:vAlign w:val="bottom"/>
            <w:tcBorders>
              <w:bottom w:val="single" w:sz="8" w:color="auto"/>
            </w:tcBorders>
          </w:tcPr>
          <w:p>
            <w:pPr>
              <w:jc w:val="right"/>
              <w:ind w:right="68"/>
              <w:spacing w:after="0"/>
              <w:rPr>
                <w:sz w:val="20"/>
                <w:szCs w:val="20"/>
                <w:color w:val="auto"/>
              </w:rPr>
            </w:pPr>
            <w:r>
              <w:rPr>
                <w:rFonts w:ascii="Arial" w:cs="Arial" w:eastAsia="Arial" w:hAnsi="Arial"/>
                <w:sz w:val="13"/>
                <w:szCs w:val="13"/>
                <w:color w:val="auto"/>
              </w:rPr>
              <w:t>Equity</w:t>
            </w:r>
          </w:p>
        </w:tc>
        <w:tc>
          <w:tcPr>
            <w:tcW w:w="0" w:type="dxa"/>
            <w:vAlign w:val="bottom"/>
          </w:tcPr>
          <w:p>
            <w:pPr>
              <w:spacing w:after="0"/>
              <w:rPr>
                <w:sz w:val="1"/>
                <w:szCs w:val="1"/>
                <w:color w:val="auto"/>
              </w:rPr>
            </w:pPr>
          </w:p>
        </w:tc>
      </w:tr>
      <w:tr>
        <w:trPr>
          <w:trHeight w:val="207"/>
        </w:trPr>
        <w:tc>
          <w:tcPr>
            <w:tcW w:w="3220" w:type="dxa"/>
            <w:vAlign w:val="bottom"/>
          </w:tcPr>
          <w:p>
            <w:pPr>
              <w:spacing w:after="0"/>
              <w:rPr>
                <w:sz w:val="20"/>
                <w:szCs w:val="20"/>
                <w:color w:val="auto"/>
              </w:rPr>
            </w:pPr>
            <w:r>
              <w:rPr>
                <w:rFonts w:ascii="Arial" w:cs="Arial" w:eastAsia="Arial" w:hAnsi="Arial"/>
                <w:sz w:val="14"/>
                <w:szCs w:val="14"/>
                <w:color w:val="auto"/>
              </w:rPr>
              <w:t>Balance at December 31, 2005</w:t>
            </w: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ind w:right="149"/>
              <w:spacing w:after="0"/>
              <w:rPr>
                <w:sz w:val="20"/>
                <w:szCs w:val="20"/>
                <w:color w:val="auto"/>
              </w:rPr>
            </w:pPr>
            <w:r>
              <w:rPr>
                <w:rFonts w:ascii="Arial" w:cs="Arial" w:eastAsia="Arial" w:hAnsi="Arial"/>
                <w:sz w:val="14"/>
                <w:szCs w:val="14"/>
                <w:color w:val="auto"/>
              </w:rPr>
              <w:t>$ 2,958</w:t>
            </w:r>
          </w:p>
        </w:tc>
        <w:tc>
          <w:tcPr>
            <w:tcW w:w="880" w:type="dxa"/>
            <w:vAlign w:val="bottom"/>
          </w:tcPr>
          <w:p>
            <w:pPr>
              <w:jc w:val="right"/>
              <w:ind w:right="169"/>
              <w:spacing w:after="0"/>
              <w:rPr>
                <w:sz w:val="20"/>
                <w:szCs w:val="20"/>
                <w:color w:val="auto"/>
              </w:rPr>
            </w:pPr>
            <w:r>
              <w:rPr>
                <w:rFonts w:ascii="Arial" w:cs="Arial" w:eastAsia="Arial" w:hAnsi="Arial"/>
                <w:sz w:val="14"/>
                <w:szCs w:val="14"/>
                <w:color w:val="auto"/>
              </w:rPr>
              <w:t>$ 3,588</w:t>
            </w:r>
          </w:p>
        </w:tc>
        <w:tc>
          <w:tcPr>
            <w:tcW w:w="1180" w:type="dxa"/>
            <w:vAlign w:val="bottom"/>
          </w:tcPr>
          <w:p>
            <w:pPr>
              <w:jc w:val="right"/>
              <w:ind w:right="71"/>
              <w:spacing w:after="0"/>
              <w:rPr>
                <w:sz w:val="20"/>
                <w:szCs w:val="20"/>
                <w:color w:val="auto"/>
              </w:rPr>
            </w:pPr>
            <w:r>
              <w:rPr>
                <w:rFonts w:ascii="Arial" w:cs="Arial" w:eastAsia="Arial" w:hAnsi="Arial"/>
                <w:sz w:val="14"/>
                <w:szCs w:val="14"/>
                <w:color w:val="auto"/>
              </w:rPr>
              <w:t>$ (28 )</w:t>
            </w:r>
          </w:p>
        </w:tc>
        <w:tc>
          <w:tcPr>
            <w:tcW w:w="1220" w:type="dxa"/>
            <w:vAlign w:val="bottom"/>
          </w:tcPr>
          <w:p>
            <w:pPr>
              <w:jc w:val="right"/>
              <w:ind w:right="49"/>
              <w:spacing w:after="0"/>
              <w:rPr>
                <w:sz w:val="20"/>
                <w:szCs w:val="20"/>
                <w:color w:val="auto"/>
              </w:rPr>
            </w:pPr>
            <w:r>
              <w:rPr>
                <w:rFonts w:ascii="Arial" w:cs="Arial" w:eastAsia="Arial" w:hAnsi="Arial"/>
                <w:sz w:val="14"/>
                <w:szCs w:val="14"/>
                <w:color w:val="auto"/>
              </w:rPr>
              <w:t>$ (358 )</w:t>
            </w:r>
          </w:p>
        </w:tc>
        <w:tc>
          <w:tcPr>
            <w:tcW w:w="1020" w:type="dxa"/>
            <w:vAlign w:val="bottom"/>
          </w:tcPr>
          <w:p>
            <w:pPr>
              <w:jc w:val="right"/>
              <w:ind w:right="68"/>
              <w:spacing w:after="0"/>
              <w:rPr>
                <w:sz w:val="20"/>
                <w:szCs w:val="20"/>
                <w:color w:val="auto"/>
              </w:rPr>
            </w:pPr>
            <w:r>
              <w:rPr>
                <w:rFonts w:ascii="Arial" w:cs="Arial" w:eastAsia="Arial" w:hAnsi="Arial"/>
                <w:sz w:val="14"/>
                <w:szCs w:val="14"/>
                <w:color w:val="auto"/>
              </w:rPr>
              <w:t>$ 6,160</w:t>
            </w:r>
          </w:p>
        </w:tc>
        <w:tc>
          <w:tcPr>
            <w:tcW w:w="0" w:type="dxa"/>
            <w:vAlign w:val="bottom"/>
          </w:tcPr>
          <w:p>
            <w:pPr>
              <w:spacing w:after="0"/>
              <w:rPr>
                <w:sz w:val="1"/>
                <w:szCs w:val="1"/>
                <w:color w:val="auto"/>
              </w:rPr>
            </w:pPr>
          </w:p>
        </w:tc>
      </w:tr>
      <w:tr>
        <w:trPr>
          <w:trHeight w:val="216"/>
        </w:trPr>
        <w:tc>
          <w:tcPr>
            <w:tcW w:w="3220" w:type="dxa"/>
            <w:vAlign w:val="bottom"/>
          </w:tcPr>
          <w:p>
            <w:pPr>
              <w:spacing w:after="0"/>
              <w:rPr>
                <w:sz w:val="20"/>
                <w:szCs w:val="20"/>
                <w:color w:val="auto"/>
              </w:rPr>
            </w:pPr>
            <w:r>
              <w:rPr>
                <w:rFonts w:ascii="Arial" w:cs="Arial" w:eastAsia="Arial" w:hAnsi="Arial"/>
                <w:sz w:val="14"/>
                <w:szCs w:val="14"/>
                <w:color w:val="auto"/>
              </w:rPr>
              <w:t>Net income</w:t>
            </w:r>
          </w:p>
        </w:tc>
        <w:tc>
          <w:tcPr>
            <w:tcW w:w="960" w:type="dxa"/>
            <w:vAlign w:val="bottom"/>
          </w:tcPr>
          <w:p>
            <w:pPr>
              <w:jc w:val="right"/>
              <w:spacing w:after="0"/>
              <w:rPr>
                <w:sz w:val="20"/>
                <w:szCs w:val="20"/>
                <w:color w:val="auto"/>
              </w:rPr>
            </w:pPr>
            <w:r>
              <w:rPr>
                <w:rFonts w:ascii="Arial" w:cs="Arial" w:eastAsia="Arial" w:hAnsi="Arial"/>
                <w:sz w:val="14"/>
                <w:szCs w:val="14"/>
                <w:color w:val="auto"/>
              </w:rPr>
              <w:t>$ 1,406</w:t>
            </w: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80" w:type="dxa"/>
            <w:vAlign w:val="bottom"/>
          </w:tcPr>
          <w:p>
            <w:pPr>
              <w:jc w:val="right"/>
              <w:ind w:right="169"/>
              <w:spacing w:after="0"/>
              <w:rPr>
                <w:sz w:val="20"/>
                <w:szCs w:val="20"/>
                <w:color w:val="auto"/>
              </w:rPr>
            </w:pPr>
            <w:r>
              <w:rPr>
                <w:rFonts w:ascii="Arial" w:cs="Arial" w:eastAsia="Arial" w:hAnsi="Arial"/>
                <w:sz w:val="14"/>
                <w:szCs w:val="14"/>
                <w:color w:val="auto"/>
              </w:rPr>
              <w:t>1,406</w:t>
            </w:r>
          </w:p>
        </w:tc>
        <w:tc>
          <w:tcPr>
            <w:tcW w:w="1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20" w:type="dxa"/>
            <w:vAlign w:val="bottom"/>
          </w:tcPr>
          <w:p>
            <w:pPr>
              <w:jc w:val="right"/>
              <w:ind w:right="68"/>
              <w:spacing w:after="0"/>
              <w:rPr>
                <w:sz w:val="20"/>
                <w:szCs w:val="20"/>
                <w:color w:val="auto"/>
              </w:rPr>
            </w:pPr>
            <w:r>
              <w:rPr>
                <w:rFonts w:ascii="Arial" w:cs="Arial" w:eastAsia="Arial" w:hAnsi="Arial"/>
                <w:sz w:val="14"/>
                <w:szCs w:val="14"/>
                <w:color w:val="auto"/>
              </w:rPr>
              <w:t>1,406</w:t>
            </w:r>
          </w:p>
        </w:tc>
        <w:tc>
          <w:tcPr>
            <w:tcW w:w="0" w:type="dxa"/>
            <w:vAlign w:val="bottom"/>
          </w:tcPr>
          <w:p>
            <w:pPr>
              <w:spacing w:after="0"/>
              <w:rPr>
                <w:sz w:val="1"/>
                <w:szCs w:val="1"/>
                <w:color w:val="auto"/>
              </w:rPr>
            </w:pPr>
          </w:p>
        </w:tc>
      </w:tr>
      <w:tr>
        <w:trPr>
          <w:trHeight w:val="216"/>
        </w:trPr>
        <w:tc>
          <w:tcPr>
            <w:tcW w:w="3220" w:type="dxa"/>
            <w:vAlign w:val="bottom"/>
          </w:tcPr>
          <w:p>
            <w:pPr>
              <w:spacing w:after="0"/>
              <w:rPr>
                <w:sz w:val="20"/>
                <w:szCs w:val="20"/>
                <w:color w:val="auto"/>
              </w:rPr>
            </w:pPr>
            <w:r>
              <w:rPr>
                <w:rFonts w:ascii="Arial" w:cs="Arial" w:eastAsia="Arial" w:hAnsi="Arial"/>
                <w:sz w:val="14"/>
                <w:szCs w:val="14"/>
                <w:color w:val="auto"/>
              </w:rPr>
              <w:t>Comprehensive income adjustments:</w:t>
            </w: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20" w:type="dxa"/>
            <w:vAlign w:val="bottom"/>
          </w:tcPr>
          <w:p>
            <w:pPr>
              <w:ind w:left="180"/>
              <w:spacing w:after="0"/>
              <w:rPr>
                <w:sz w:val="20"/>
                <w:szCs w:val="20"/>
                <w:color w:val="auto"/>
              </w:rPr>
            </w:pPr>
            <w:r>
              <w:rPr>
                <w:rFonts w:ascii="Arial" w:cs="Arial" w:eastAsia="Arial" w:hAnsi="Arial"/>
                <w:sz w:val="14"/>
                <w:szCs w:val="14"/>
                <w:color w:val="auto"/>
              </w:rPr>
              <w:t>Foreign currency translation adjustments</w:t>
            </w:r>
          </w:p>
        </w:tc>
        <w:tc>
          <w:tcPr>
            <w:tcW w:w="1080" w:type="dxa"/>
            <w:vAlign w:val="bottom"/>
            <w:gridSpan w:val="2"/>
          </w:tcPr>
          <w:p>
            <w:pPr>
              <w:jc w:val="right"/>
              <w:ind w:right="60"/>
              <w:spacing w:after="0"/>
              <w:rPr>
                <w:sz w:val="20"/>
                <w:szCs w:val="20"/>
                <w:color w:val="auto"/>
              </w:rPr>
            </w:pPr>
            <w:r>
              <w:rPr>
                <w:rFonts w:ascii="Arial" w:cs="Arial" w:eastAsia="Arial" w:hAnsi="Arial"/>
                <w:sz w:val="14"/>
                <w:szCs w:val="14"/>
                <w:color w:val="auto"/>
              </w:rPr>
              <w:t>(12 )</w:t>
            </w:r>
          </w:p>
        </w:tc>
        <w:tc>
          <w:tcPr>
            <w:tcW w:w="9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20" w:type="dxa"/>
            <w:vAlign w:val="bottom"/>
          </w:tcPr>
          <w:p>
            <w:pPr>
              <w:jc w:val="right"/>
              <w:ind w:right="49"/>
              <w:spacing w:after="0"/>
              <w:rPr>
                <w:sz w:val="20"/>
                <w:szCs w:val="20"/>
                <w:color w:val="auto"/>
              </w:rPr>
            </w:pPr>
            <w:r>
              <w:rPr>
                <w:rFonts w:ascii="Arial" w:cs="Arial" w:eastAsia="Arial" w:hAnsi="Arial"/>
                <w:sz w:val="14"/>
                <w:szCs w:val="14"/>
                <w:color w:val="auto"/>
              </w:rPr>
              <w:t>(12 )</w:t>
            </w:r>
          </w:p>
        </w:tc>
        <w:tc>
          <w:tcPr>
            <w:tcW w:w="1020" w:type="dxa"/>
            <w:vAlign w:val="bottom"/>
          </w:tcPr>
          <w:p>
            <w:pPr>
              <w:jc w:val="right"/>
              <w:spacing w:after="0"/>
              <w:rPr>
                <w:sz w:val="20"/>
                <w:szCs w:val="20"/>
                <w:color w:val="auto"/>
              </w:rPr>
            </w:pPr>
            <w:r>
              <w:rPr>
                <w:rFonts w:ascii="Arial" w:cs="Arial" w:eastAsia="Arial" w:hAnsi="Arial"/>
                <w:sz w:val="14"/>
                <w:szCs w:val="14"/>
                <w:color w:val="auto"/>
              </w:rPr>
              <w:t>(12 )</w:t>
            </w:r>
          </w:p>
        </w:tc>
        <w:tc>
          <w:tcPr>
            <w:tcW w:w="0" w:type="dxa"/>
            <w:vAlign w:val="bottom"/>
          </w:tcPr>
          <w:p>
            <w:pPr>
              <w:spacing w:after="0"/>
              <w:rPr>
                <w:sz w:val="1"/>
                <w:szCs w:val="1"/>
                <w:color w:val="auto"/>
              </w:rPr>
            </w:pPr>
          </w:p>
        </w:tc>
      </w:tr>
      <w:tr>
        <w:trPr>
          <w:trHeight w:val="216"/>
        </w:trPr>
        <w:tc>
          <w:tcPr>
            <w:tcW w:w="3220" w:type="dxa"/>
            <w:vAlign w:val="bottom"/>
          </w:tcPr>
          <w:p>
            <w:pPr>
              <w:ind w:left="180"/>
              <w:spacing w:after="0"/>
              <w:rPr>
                <w:sz w:val="20"/>
                <w:szCs w:val="20"/>
                <w:color w:val="auto"/>
              </w:rPr>
            </w:pPr>
            <w:r>
              <w:rPr>
                <w:rFonts w:ascii="Arial" w:cs="Arial" w:eastAsia="Arial" w:hAnsi="Arial"/>
                <w:sz w:val="14"/>
                <w:szCs w:val="14"/>
                <w:color w:val="auto"/>
              </w:rPr>
              <w:t>Available-for-sale securities</w:t>
            </w:r>
          </w:p>
        </w:tc>
        <w:tc>
          <w:tcPr>
            <w:tcW w:w="960" w:type="dxa"/>
            <w:vAlign w:val="bottom"/>
          </w:tcPr>
          <w:p>
            <w:pPr>
              <w:jc w:val="right"/>
              <w:spacing w:after="0"/>
              <w:rPr>
                <w:sz w:val="20"/>
                <w:szCs w:val="20"/>
                <w:color w:val="auto"/>
              </w:rPr>
            </w:pPr>
            <w:r>
              <w:rPr>
                <w:rFonts w:ascii="Arial" w:cs="Arial" w:eastAsia="Arial" w:hAnsi="Arial"/>
                <w:sz w:val="14"/>
                <w:szCs w:val="14"/>
                <w:color w:val="auto"/>
              </w:rPr>
              <w:t>18</w:t>
            </w: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20" w:type="dxa"/>
            <w:vAlign w:val="bottom"/>
          </w:tcPr>
          <w:p>
            <w:pPr>
              <w:jc w:val="right"/>
              <w:ind w:right="129"/>
              <w:spacing w:after="0"/>
              <w:rPr>
                <w:sz w:val="20"/>
                <w:szCs w:val="20"/>
                <w:color w:val="auto"/>
              </w:rPr>
            </w:pPr>
            <w:r>
              <w:rPr>
                <w:rFonts w:ascii="Arial" w:cs="Arial" w:eastAsia="Arial" w:hAnsi="Arial"/>
                <w:sz w:val="14"/>
                <w:szCs w:val="14"/>
                <w:color w:val="auto"/>
              </w:rPr>
              <w:t>18</w:t>
            </w:r>
          </w:p>
        </w:tc>
        <w:tc>
          <w:tcPr>
            <w:tcW w:w="1020" w:type="dxa"/>
            <w:vAlign w:val="bottom"/>
          </w:tcPr>
          <w:p>
            <w:pPr>
              <w:jc w:val="right"/>
              <w:ind w:right="68"/>
              <w:spacing w:after="0"/>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216"/>
        </w:trPr>
        <w:tc>
          <w:tcPr>
            <w:tcW w:w="3220" w:type="dxa"/>
            <w:vAlign w:val="bottom"/>
          </w:tcPr>
          <w:p>
            <w:pPr>
              <w:ind w:left="180"/>
              <w:spacing w:after="0"/>
              <w:rPr>
                <w:sz w:val="20"/>
                <w:szCs w:val="20"/>
                <w:color w:val="auto"/>
              </w:rPr>
            </w:pPr>
            <w:r>
              <w:rPr>
                <w:rFonts w:ascii="Arial" w:cs="Arial" w:eastAsia="Arial" w:hAnsi="Arial"/>
                <w:sz w:val="14"/>
                <w:szCs w:val="14"/>
                <w:color w:val="auto"/>
              </w:rPr>
              <w:t>Pension adjustment</w:t>
            </w:r>
          </w:p>
        </w:tc>
        <w:tc>
          <w:tcPr>
            <w:tcW w:w="1080" w:type="dxa"/>
            <w:vAlign w:val="bottom"/>
            <w:gridSpan w:val="2"/>
          </w:tcPr>
          <w:p>
            <w:pPr>
              <w:jc w:val="right"/>
              <w:ind w:right="60"/>
              <w:spacing w:after="0"/>
              <w:rPr>
                <w:sz w:val="20"/>
                <w:szCs w:val="20"/>
                <w:color w:val="auto"/>
              </w:rPr>
            </w:pPr>
            <w:r>
              <w:rPr>
                <w:rFonts w:ascii="Arial" w:cs="Arial" w:eastAsia="Arial" w:hAnsi="Arial"/>
                <w:sz w:val="14"/>
                <w:szCs w:val="14"/>
                <w:color w:val="auto"/>
              </w:rPr>
              <w:t>(7 )</w:t>
            </w:r>
          </w:p>
        </w:tc>
        <w:tc>
          <w:tcPr>
            <w:tcW w:w="9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20" w:type="dxa"/>
            <w:vAlign w:val="bottom"/>
          </w:tcPr>
          <w:p>
            <w:pPr>
              <w:jc w:val="right"/>
              <w:ind w:right="49"/>
              <w:spacing w:after="0"/>
              <w:rPr>
                <w:sz w:val="20"/>
                <w:szCs w:val="20"/>
                <w:color w:val="auto"/>
              </w:rPr>
            </w:pPr>
            <w:r>
              <w:rPr>
                <w:rFonts w:ascii="Arial" w:cs="Arial" w:eastAsia="Arial" w:hAnsi="Arial"/>
                <w:sz w:val="14"/>
                <w:szCs w:val="14"/>
                <w:color w:val="auto"/>
              </w:rPr>
              <w:t>(7 )</w:t>
            </w:r>
          </w:p>
        </w:tc>
        <w:tc>
          <w:tcPr>
            <w:tcW w:w="1020" w:type="dxa"/>
            <w:vAlign w:val="bottom"/>
          </w:tcPr>
          <w:p>
            <w:pPr>
              <w:jc w:val="right"/>
              <w:spacing w:after="0"/>
              <w:rPr>
                <w:sz w:val="20"/>
                <w:szCs w:val="20"/>
                <w:color w:val="auto"/>
              </w:rPr>
            </w:pPr>
            <w:r>
              <w:rPr>
                <w:rFonts w:ascii="Arial" w:cs="Arial" w:eastAsia="Arial" w:hAnsi="Arial"/>
                <w:sz w:val="14"/>
                <w:szCs w:val="14"/>
                <w:color w:val="auto"/>
              </w:rPr>
              <w:t>(7 )</w:t>
            </w:r>
          </w:p>
        </w:tc>
        <w:tc>
          <w:tcPr>
            <w:tcW w:w="0" w:type="dxa"/>
            <w:vAlign w:val="bottom"/>
          </w:tcPr>
          <w:p>
            <w:pPr>
              <w:spacing w:after="0"/>
              <w:rPr>
                <w:sz w:val="1"/>
                <w:szCs w:val="1"/>
                <w:color w:val="auto"/>
              </w:rPr>
            </w:pPr>
          </w:p>
        </w:tc>
      </w:tr>
      <w:tr>
        <w:trPr>
          <w:trHeight w:val="210"/>
        </w:trPr>
        <w:tc>
          <w:tcPr>
            <w:tcW w:w="3220" w:type="dxa"/>
            <w:vAlign w:val="bottom"/>
          </w:tcPr>
          <w:p>
            <w:pPr>
              <w:ind w:left="180"/>
              <w:spacing w:after="0"/>
              <w:rPr>
                <w:sz w:val="20"/>
                <w:szCs w:val="20"/>
                <w:color w:val="auto"/>
              </w:rPr>
            </w:pPr>
            <w:r>
              <w:rPr>
                <w:rFonts w:ascii="Arial" w:cs="Arial" w:eastAsia="Arial" w:hAnsi="Arial"/>
                <w:sz w:val="14"/>
                <w:szCs w:val="14"/>
                <w:color w:val="auto"/>
              </w:rPr>
              <w:t>Financial instruments</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w:t>
            </w: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20" w:type="dxa"/>
            <w:vAlign w:val="bottom"/>
          </w:tcPr>
          <w:p>
            <w:pPr>
              <w:jc w:val="right"/>
              <w:ind w:right="129"/>
              <w:spacing w:after="0"/>
              <w:rPr>
                <w:sz w:val="20"/>
                <w:szCs w:val="20"/>
                <w:color w:val="auto"/>
              </w:rPr>
            </w:pPr>
            <w:r>
              <w:rPr>
                <w:rFonts w:ascii="Arial" w:cs="Arial" w:eastAsia="Arial" w:hAnsi="Arial"/>
                <w:sz w:val="14"/>
                <w:szCs w:val="14"/>
                <w:color w:val="auto"/>
              </w:rPr>
              <w:t>8</w:t>
            </w:r>
          </w:p>
        </w:tc>
        <w:tc>
          <w:tcPr>
            <w:tcW w:w="1020" w:type="dxa"/>
            <w:vAlign w:val="bottom"/>
          </w:tcPr>
          <w:p>
            <w:pPr>
              <w:jc w:val="right"/>
              <w:ind w:right="68"/>
              <w:spacing w:after="0"/>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196"/>
        </w:trPr>
        <w:tc>
          <w:tcPr>
            <w:tcW w:w="3220" w:type="dxa"/>
            <w:vAlign w:val="bottom"/>
          </w:tcPr>
          <w:p>
            <w:pPr>
              <w:spacing w:after="0"/>
              <w:rPr>
                <w:sz w:val="20"/>
                <w:szCs w:val="20"/>
                <w:color w:val="auto"/>
              </w:rPr>
            </w:pPr>
            <w:r>
              <w:rPr>
                <w:rFonts w:ascii="Arial" w:cs="Arial" w:eastAsia="Arial" w:hAnsi="Arial"/>
                <w:sz w:val="14"/>
                <w:szCs w:val="14"/>
                <w:color w:val="auto"/>
              </w:rPr>
              <w:t>Comprehensive income</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$ 1,413</w:t>
            </w: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220" w:type="dxa"/>
            <w:vAlign w:val="bottom"/>
          </w:tcPr>
          <w:p>
            <w:pPr>
              <w:spacing w:after="0"/>
              <w:rPr>
                <w:sz w:val="20"/>
                <w:szCs w:val="20"/>
                <w:color w:val="auto"/>
              </w:rPr>
            </w:pPr>
            <w:r>
              <w:rPr>
                <w:rFonts w:ascii="Arial" w:cs="Arial" w:eastAsia="Arial" w:hAnsi="Arial"/>
                <w:sz w:val="14"/>
                <w:szCs w:val="14"/>
                <w:color w:val="auto"/>
              </w:rPr>
              <w:t>Adoption of FASB Statement No. 158</w:t>
            </w: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20" w:type="dxa"/>
            <w:vAlign w:val="bottom"/>
          </w:tcPr>
          <w:p>
            <w:pPr>
              <w:jc w:val="right"/>
              <w:ind w:right="49"/>
              <w:spacing w:after="0"/>
              <w:rPr>
                <w:sz w:val="20"/>
                <w:szCs w:val="20"/>
                <w:color w:val="auto"/>
              </w:rPr>
            </w:pPr>
            <w:r>
              <w:rPr>
                <w:rFonts w:ascii="Arial" w:cs="Arial" w:eastAsia="Arial" w:hAnsi="Arial"/>
                <w:sz w:val="14"/>
                <w:szCs w:val="14"/>
                <w:color w:val="auto"/>
              </w:rPr>
              <w:t>(39 )</w:t>
            </w:r>
          </w:p>
        </w:tc>
        <w:tc>
          <w:tcPr>
            <w:tcW w:w="1020" w:type="dxa"/>
            <w:vAlign w:val="bottom"/>
          </w:tcPr>
          <w:p>
            <w:pPr>
              <w:jc w:val="right"/>
              <w:spacing w:after="0"/>
              <w:rPr>
                <w:sz w:val="20"/>
                <w:szCs w:val="20"/>
                <w:color w:val="auto"/>
              </w:rPr>
            </w:pPr>
            <w:r>
              <w:rPr>
                <w:rFonts w:ascii="Arial" w:cs="Arial" w:eastAsia="Arial" w:hAnsi="Arial"/>
                <w:sz w:val="14"/>
                <w:szCs w:val="14"/>
                <w:color w:val="auto"/>
              </w:rPr>
              <w:t>(39 )</w:t>
            </w:r>
          </w:p>
        </w:tc>
        <w:tc>
          <w:tcPr>
            <w:tcW w:w="0" w:type="dxa"/>
            <w:vAlign w:val="bottom"/>
          </w:tcPr>
          <w:p>
            <w:pPr>
              <w:spacing w:after="0"/>
              <w:rPr>
                <w:sz w:val="1"/>
                <w:szCs w:val="1"/>
                <w:color w:val="auto"/>
              </w:rPr>
            </w:pPr>
          </w:p>
        </w:tc>
      </w:tr>
      <w:tr>
        <w:trPr>
          <w:trHeight w:val="216"/>
        </w:trPr>
        <w:tc>
          <w:tcPr>
            <w:tcW w:w="3220" w:type="dxa"/>
            <w:vAlign w:val="bottom"/>
          </w:tcPr>
          <w:p>
            <w:pPr>
              <w:spacing w:after="0"/>
              <w:rPr>
                <w:sz w:val="20"/>
                <w:szCs w:val="20"/>
                <w:color w:val="auto"/>
              </w:rPr>
            </w:pPr>
            <w:r>
              <w:rPr>
                <w:rFonts w:ascii="Arial" w:cs="Arial" w:eastAsia="Arial" w:hAnsi="Arial"/>
                <w:sz w:val="14"/>
                <w:szCs w:val="14"/>
                <w:color w:val="auto"/>
              </w:rPr>
              <w:t>Adoption of FASB Statement No. 123(R)</w:t>
            </w: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ind w:right="149"/>
              <w:spacing w:after="0"/>
              <w:rPr>
                <w:sz w:val="20"/>
                <w:szCs w:val="20"/>
                <w:color w:val="auto"/>
              </w:rPr>
            </w:pPr>
            <w:r>
              <w:rPr>
                <w:rFonts w:ascii="Arial" w:cs="Arial" w:eastAsia="Arial" w:hAnsi="Arial"/>
                <w:sz w:val="14"/>
                <w:szCs w:val="14"/>
                <w:color w:val="auto"/>
              </w:rPr>
              <w:t>96</w:t>
            </w:r>
          </w:p>
        </w:tc>
        <w:tc>
          <w:tcPr>
            <w:tcW w:w="8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20" w:type="dxa"/>
            <w:vAlign w:val="bottom"/>
          </w:tcPr>
          <w:p>
            <w:pPr>
              <w:jc w:val="right"/>
              <w:ind w:right="68"/>
              <w:spacing w:after="0"/>
              <w:rPr>
                <w:sz w:val="20"/>
                <w:szCs w:val="20"/>
                <w:color w:val="auto"/>
              </w:rPr>
            </w:pPr>
            <w:r>
              <w:rPr>
                <w:rFonts w:ascii="Arial" w:cs="Arial" w:eastAsia="Arial" w:hAnsi="Arial"/>
                <w:sz w:val="14"/>
                <w:szCs w:val="14"/>
                <w:color w:val="auto"/>
              </w:rPr>
              <w:t>96</w:t>
            </w:r>
          </w:p>
        </w:tc>
        <w:tc>
          <w:tcPr>
            <w:tcW w:w="0" w:type="dxa"/>
            <w:vAlign w:val="bottom"/>
          </w:tcPr>
          <w:p>
            <w:pPr>
              <w:spacing w:after="0"/>
              <w:rPr>
                <w:sz w:val="1"/>
                <w:szCs w:val="1"/>
                <w:color w:val="auto"/>
              </w:rPr>
            </w:pPr>
          </w:p>
        </w:tc>
      </w:tr>
      <w:tr>
        <w:trPr>
          <w:trHeight w:val="216"/>
        </w:trPr>
        <w:tc>
          <w:tcPr>
            <w:tcW w:w="3220" w:type="dxa"/>
            <w:vAlign w:val="bottom"/>
          </w:tcPr>
          <w:p>
            <w:pPr>
              <w:spacing w:after="0"/>
              <w:rPr>
                <w:sz w:val="20"/>
                <w:szCs w:val="20"/>
                <w:color w:val="auto"/>
              </w:rPr>
            </w:pPr>
            <w:r>
              <w:rPr>
                <w:rFonts w:ascii="Arial" w:cs="Arial" w:eastAsia="Arial" w:hAnsi="Arial"/>
                <w:sz w:val="14"/>
                <w:szCs w:val="14"/>
                <w:color w:val="auto"/>
              </w:rPr>
              <w:t>Common stock dividends declared</w:t>
            </w: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80" w:type="dxa"/>
            <w:vAlign w:val="bottom"/>
          </w:tcPr>
          <w:p>
            <w:pPr>
              <w:jc w:val="right"/>
              <w:ind w:right="89"/>
              <w:spacing w:after="0"/>
              <w:rPr>
                <w:sz w:val="20"/>
                <w:szCs w:val="20"/>
                <w:color w:val="auto"/>
              </w:rPr>
            </w:pPr>
            <w:r>
              <w:rPr>
                <w:rFonts w:ascii="Arial" w:cs="Arial" w:eastAsia="Arial" w:hAnsi="Arial"/>
                <w:sz w:val="14"/>
                <w:szCs w:val="14"/>
                <w:color w:val="auto"/>
              </w:rPr>
              <w:t>(313 )</w:t>
            </w:r>
          </w:p>
        </w:tc>
        <w:tc>
          <w:tcPr>
            <w:tcW w:w="1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(313 )</w:t>
            </w:r>
          </w:p>
        </w:tc>
        <w:tc>
          <w:tcPr>
            <w:tcW w:w="0" w:type="dxa"/>
            <w:vAlign w:val="bottom"/>
          </w:tcPr>
          <w:p>
            <w:pPr>
              <w:spacing w:after="0"/>
              <w:rPr>
                <w:sz w:val="1"/>
                <w:szCs w:val="1"/>
                <w:color w:val="auto"/>
              </w:rPr>
            </w:pPr>
          </w:p>
        </w:tc>
      </w:tr>
      <w:tr>
        <w:trPr>
          <w:trHeight w:val="216"/>
        </w:trPr>
        <w:tc>
          <w:tcPr>
            <w:tcW w:w="3220" w:type="dxa"/>
            <w:vAlign w:val="bottom"/>
          </w:tcPr>
          <w:p>
            <w:pPr>
              <w:spacing w:after="0"/>
              <w:rPr>
                <w:sz w:val="20"/>
                <w:szCs w:val="20"/>
                <w:color w:val="auto"/>
              </w:rPr>
            </w:pPr>
            <w:r>
              <w:rPr>
                <w:rFonts w:ascii="Arial" w:cs="Arial" w:eastAsia="Arial" w:hAnsi="Arial"/>
                <w:sz w:val="14"/>
                <w:szCs w:val="14"/>
                <w:color w:val="auto"/>
              </w:rPr>
              <w:t>Quasi-reorganization adjustment</w:t>
            </w: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ind w:right="149"/>
              <w:spacing w:after="0"/>
              <w:rPr>
                <w:sz w:val="20"/>
                <w:szCs w:val="20"/>
                <w:color w:val="auto"/>
              </w:rPr>
            </w:pPr>
            <w:r>
              <w:rPr>
                <w:rFonts w:ascii="Arial" w:cs="Arial" w:eastAsia="Arial" w:hAnsi="Arial"/>
                <w:sz w:val="14"/>
                <w:szCs w:val="14"/>
                <w:color w:val="auto"/>
              </w:rPr>
              <w:t>13</w:t>
            </w:r>
          </w:p>
        </w:tc>
        <w:tc>
          <w:tcPr>
            <w:tcW w:w="8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20" w:type="dxa"/>
            <w:vAlign w:val="bottom"/>
          </w:tcPr>
          <w:p>
            <w:pPr>
              <w:jc w:val="right"/>
              <w:ind w:right="68"/>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216"/>
        </w:trPr>
        <w:tc>
          <w:tcPr>
            <w:tcW w:w="3220" w:type="dxa"/>
            <w:vAlign w:val="bottom"/>
          </w:tcPr>
          <w:p>
            <w:pPr>
              <w:spacing w:after="0"/>
              <w:rPr>
                <w:sz w:val="20"/>
                <w:szCs w:val="20"/>
                <w:color w:val="auto"/>
              </w:rPr>
            </w:pPr>
            <w:r>
              <w:rPr>
                <w:rFonts w:ascii="Arial" w:cs="Arial" w:eastAsia="Arial" w:hAnsi="Arial"/>
                <w:sz w:val="14"/>
                <w:szCs w:val="14"/>
                <w:color w:val="auto"/>
              </w:rPr>
              <w:t>Issuance of common stock</w:t>
            </w: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ind w:right="149"/>
              <w:spacing w:after="0"/>
              <w:rPr>
                <w:sz w:val="20"/>
                <w:szCs w:val="20"/>
                <w:color w:val="auto"/>
              </w:rPr>
            </w:pPr>
            <w:r>
              <w:rPr>
                <w:rFonts w:ascii="Arial" w:cs="Arial" w:eastAsia="Arial" w:hAnsi="Arial"/>
                <w:sz w:val="14"/>
                <w:szCs w:val="14"/>
                <w:color w:val="auto"/>
              </w:rPr>
              <w:t>175</w:t>
            </w:r>
          </w:p>
        </w:tc>
        <w:tc>
          <w:tcPr>
            <w:tcW w:w="8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20" w:type="dxa"/>
            <w:vAlign w:val="bottom"/>
          </w:tcPr>
          <w:p>
            <w:pPr>
              <w:jc w:val="right"/>
              <w:ind w:right="68"/>
              <w:spacing w:after="0"/>
              <w:rPr>
                <w:sz w:val="20"/>
                <w:szCs w:val="20"/>
                <w:color w:val="auto"/>
              </w:rPr>
            </w:pPr>
            <w:r>
              <w:rPr>
                <w:rFonts w:ascii="Arial" w:cs="Arial" w:eastAsia="Arial" w:hAnsi="Arial"/>
                <w:sz w:val="14"/>
                <w:szCs w:val="14"/>
                <w:color w:val="auto"/>
              </w:rPr>
              <w:t>175</w:t>
            </w:r>
          </w:p>
        </w:tc>
        <w:tc>
          <w:tcPr>
            <w:tcW w:w="0" w:type="dxa"/>
            <w:vAlign w:val="bottom"/>
          </w:tcPr>
          <w:p>
            <w:pPr>
              <w:spacing w:after="0"/>
              <w:rPr>
                <w:sz w:val="1"/>
                <w:szCs w:val="1"/>
                <w:color w:val="auto"/>
              </w:rPr>
            </w:pPr>
          </w:p>
        </w:tc>
      </w:tr>
      <w:tr>
        <w:trPr>
          <w:trHeight w:val="216"/>
        </w:trPr>
        <w:tc>
          <w:tcPr>
            <w:tcW w:w="3220" w:type="dxa"/>
            <w:vAlign w:val="bottom"/>
          </w:tcPr>
          <w:p>
            <w:pPr>
              <w:spacing w:after="0"/>
              <w:rPr>
                <w:sz w:val="20"/>
                <w:szCs w:val="20"/>
                <w:color w:val="auto"/>
              </w:rPr>
            </w:pPr>
            <w:r>
              <w:rPr>
                <w:rFonts w:ascii="Arial" w:cs="Arial" w:eastAsia="Arial" w:hAnsi="Arial"/>
                <w:sz w:val="14"/>
                <w:szCs w:val="14"/>
                <w:color w:val="auto"/>
              </w:rPr>
              <w:t>Tax benefit related to share-based compensation</w:t>
            </w: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ind w:right="149"/>
              <w:spacing w:after="0"/>
              <w:rPr>
                <w:sz w:val="20"/>
                <w:szCs w:val="20"/>
                <w:color w:val="auto"/>
              </w:rPr>
            </w:pPr>
            <w:r>
              <w:rPr>
                <w:rFonts w:ascii="Arial" w:cs="Arial" w:eastAsia="Arial" w:hAnsi="Arial"/>
                <w:sz w:val="14"/>
                <w:szCs w:val="14"/>
                <w:color w:val="auto"/>
              </w:rPr>
              <w:t>32</w:t>
            </w:r>
          </w:p>
        </w:tc>
        <w:tc>
          <w:tcPr>
            <w:tcW w:w="8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20" w:type="dxa"/>
            <w:vAlign w:val="bottom"/>
          </w:tcPr>
          <w:p>
            <w:pPr>
              <w:jc w:val="right"/>
              <w:ind w:right="68"/>
              <w:spacing w:after="0"/>
              <w:rPr>
                <w:sz w:val="20"/>
                <w:szCs w:val="20"/>
                <w:color w:val="auto"/>
              </w:rPr>
            </w:pPr>
            <w:r>
              <w:rPr>
                <w:rFonts w:ascii="Arial" w:cs="Arial" w:eastAsia="Arial" w:hAnsi="Arial"/>
                <w:sz w:val="14"/>
                <w:szCs w:val="14"/>
                <w:color w:val="auto"/>
              </w:rPr>
              <w:t>32</w:t>
            </w:r>
          </w:p>
        </w:tc>
        <w:tc>
          <w:tcPr>
            <w:tcW w:w="0" w:type="dxa"/>
            <w:vAlign w:val="bottom"/>
          </w:tcPr>
          <w:p>
            <w:pPr>
              <w:spacing w:after="0"/>
              <w:rPr>
                <w:sz w:val="1"/>
                <w:szCs w:val="1"/>
                <w:color w:val="auto"/>
              </w:rPr>
            </w:pPr>
          </w:p>
        </w:tc>
      </w:tr>
      <w:tr>
        <w:trPr>
          <w:trHeight w:val="216"/>
        </w:trPr>
        <w:tc>
          <w:tcPr>
            <w:tcW w:w="3220" w:type="dxa"/>
            <w:vAlign w:val="bottom"/>
          </w:tcPr>
          <w:p>
            <w:pPr>
              <w:spacing w:after="0"/>
              <w:rPr>
                <w:sz w:val="20"/>
                <w:szCs w:val="20"/>
                <w:color w:val="auto"/>
              </w:rPr>
            </w:pPr>
            <w:r>
              <w:rPr>
                <w:rFonts w:ascii="Arial" w:cs="Arial" w:eastAsia="Arial" w:hAnsi="Arial"/>
                <w:sz w:val="14"/>
                <w:szCs w:val="14"/>
                <w:color w:val="auto"/>
              </w:rPr>
              <w:t>Repurchase of common stock</w:t>
            </w: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ind w:right="69"/>
              <w:spacing w:after="0"/>
              <w:rPr>
                <w:sz w:val="20"/>
                <w:szCs w:val="20"/>
                <w:color w:val="auto"/>
              </w:rPr>
            </w:pPr>
            <w:r>
              <w:rPr>
                <w:rFonts w:ascii="Arial" w:cs="Arial" w:eastAsia="Arial" w:hAnsi="Arial"/>
                <w:sz w:val="14"/>
                <w:szCs w:val="14"/>
                <w:color w:val="auto"/>
              </w:rPr>
              <w:t>(37 )</w:t>
            </w:r>
          </w:p>
        </w:tc>
        <w:tc>
          <w:tcPr>
            <w:tcW w:w="8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(37 )</w:t>
            </w:r>
          </w:p>
        </w:tc>
        <w:tc>
          <w:tcPr>
            <w:tcW w:w="0" w:type="dxa"/>
            <w:vAlign w:val="bottom"/>
          </w:tcPr>
          <w:p>
            <w:pPr>
              <w:spacing w:after="0"/>
              <w:rPr>
                <w:sz w:val="1"/>
                <w:szCs w:val="1"/>
                <w:color w:val="auto"/>
              </w:rPr>
            </w:pPr>
          </w:p>
        </w:tc>
      </w:tr>
      <w:tr>
        <w:trPr>
          <w:trHeight w:val="222"/>
        </w:trPr>
        <w:tc>
          <w:tcPr>
            <w:tcW w:w="3220" w:type="dxa"/>
            <w:vAlign w:val="bottom"/>
          </w:tcPr>
          <w:p>
            <w:pPr>
              <w:spacing w:after="0"/>
              <w:rPr>
                <w:sz w:val="20"/>
                <w:szCs w:val="20"/>
                <w:color w:val="auto"/>
              </w:rPr>
            </w:pPr>
            <w:r>
              <w:rPr>
                <w:rFonts w:ascii="Arial" w:cs="Arial" w:eastAsia="Arial" w:hAnsi="Arial"/>
                <w:sz w:val="14"/>
                <w:szCs w:val="14"/>
                <w:color w:val="auto"/>
              </w:rPr>
              <w:t>Common stock released from ESOP</w:t>
            </w: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Borders>
              <w:bottom w:val="single" w:sz="8" w:color="auto"/>
            </w:tcBorders>
          </w:tcPr>
          <w:p>
            <w:pPr>
              <w:jc w:val="right"/>
              <w:ind w:right="149"/>
              <w:spacing w:after="0"/>
              <w:rPr>
                <w:sz w:val="20"/>
                <w:szCs w:val="20"/>
                <w:color w:val="auto"/>
              </w:rPr>
            </w:pPr>
            <w:r>
              <w:rPr>
                <w:rFonts w:ascii="Arial" w:cs="Arial" w:eastAsia="Arial" w:hAnsi="Arial"/>
                <w:sz w:val="14"/>
                <w:szCs w:val="14"/>
                <w:color w:val="auto"/>
              </w:rPr>
              <w:t>8</w:t>
            </w:r>
          </w:p>
        </w:tc>
        <w:tc>
          <w:tcPr>
            <w:tcW w:w="8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color w:val="auto"/>
              </w:rPr>
              <w:t>3</w:t>
            </w:r>
          </w:p>
        </w:tc>
        <w:tc>
          <w:tcPr>
            <w:tcW w:w="1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202"/>
        </w:trPr>
        <w:tc>
          <w:tcPr>
            <w:tcW w:w="3220" w:type="dxa"/>
            <w:vAlign w:val="bottom"/>
          </w:tcPr>
          <w:p>
            <w:pPr>
              <w:spacing w:after="0"/>
              <w:rPr>
                <w:sz w:val="20"/>
                <w:szCs w:val="20"/>
                <w:color w:val="auto"/>
              </w:rPr>
            </w:pPr>
            <w:r>
              <w:rPr>
                <w:rFonts w:ascii="Arial" w:cs="Arial" w:eastAsia="Arial" w:hAnsi="Arial"/>
                <w:sz w:val="14"/>
                <w:szCs w:val="14"/>
                <w:color w:val="auto"/>
              </w:rPr>
              <w:t>Balance at December 31, 2006</w:t>
            </w: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jc w:val="right"/>
              <w:ind w:right="149"/>
              <w:spacing w:after="0"/>
              <w:rPr>
                <w:sz w:val="20"/>
                <w:szCs w:val="20"/>
                <w:color w:val="auto"/>
              </w:rPr>
            </w:pPr>
            <w:r>
              <w:rPr>
                <w:rFonts w:ascii="Arial" w:cs="Arial" w:eastAsia="Arial" w:hAnsi="Arial"/>
                <w:sz w:val="14"/>
                <w:szCs w:val="14"/>
                <w:color w:val="auto"/>
              </w:rPr>
              <w:t>3,245</w:t>
            </w:r>
          </w:p>
        </w:tc>
        <w:tc>
          <w:tcPr>
            <w:tcW w:w="880" w:type="dxa"/>
            <w:vAlign w:val="bottom"/>
          </w:tcPr>
          <w:p>
            <w:pPr>
              <w:jc w:val="right"/>
              <w:ind w:right="169"/>
              <w:spacing w:after="0"/>
              <w:rPr>
                <w:sz w:val="20"/>
                <w:szCs w:val="20"/>
                <w:color w:val="auto"/>
              </w:rPr>
            </w:pPr>
            <w:r>
              <w:rPr>
                <w:rFonts w:ascii="Arial" w:cs="Arial" w:eastAsia="Arial" w:hAnsi="Arial"/>
                <w:sz w:val="14"/>
                <w:szCs w:val="14"/>
                <w:color w:val="auto"/>
              </w:rPr>
              <w:t>4,681</w:t>
            </w:r>
          </w:p>
        </w:tc>
        <w:tc>
          <w:tcPr>
            <w:tcW w:w="1180" w:type="dxa"/>
            <w:vAlign w:val="bottom"/>
          </w:tcPr>
          <w:p>
            <w:pPr>
              <w:jc w:val="right"/>
              <w:ind w:right="71"/>
              <w:spacing w:after="0"/>
              <w:rPr>
                <w:sz w:val="20"/>
                <w:szCs w:val="20"/>
                <w:color w:val="auto"/>
              </w:rPr>
            </w:pPr>
            <w:r>
              <w:rPr>
                <w:rFonts w:ascii="Arial" w:cs="Arial" w:eastAsia="Arial" w:hAnsi="Arial"/>
                <w:sz w:val="14"/>
                <w:szCs w:val="14"/>
                <w:color w:val="auto"/>
              </w:rPr>
              <w:t>(25 )</w:t>
            </w:r>
          </w:p>
        </w:tc>
        <w:tc>
          <w:tcPr>
            <w:tcW w:w="1220" w:type="dxa"/>
            <w:vAlign w:val="bottom"/>
          </w:tcPr>
          <w:p>
            <w:pPr>
              <w:jc w:val="right"/>
              <w:ind w:right="49"/>
              <w:spacing w:after="0"/>
              <w:rPr>
                <w:sz w:val="20"/>
                <w:szCs w:val="20"/>
                <w:color w:val="auto"/>
              </w:rPr>
            </w:pPr>
            <w:r>
              <w:rPr>
                <w:rFonts w:ascii="Arial" w:cs="Arial" w:eastAsia="Arial" w:hAnsi="Arial"/>
                <w:sz w:val="14"/>
                <w:szCs w:val="14"/>
                <w:color w:val="auto"/>
              </w:rPr>
              <w:t>(390 )</w:t>
            </w:r>
          </w:p>
        </w:tc>
        <w:tc>
          <w:tcPr>
            <w:tcW w:w="1020" w:type="dxa"/>
            <w:vAlign w:val="bottom"/>
          </w:tcPr>
          <w:p>
            <w:pPr>
              <w:jc w:val="right"/>
              <w:ind w:right="68"/>
              <w:spacing w:after="0"/>
              <w:rPr>
                <w:sz w:val="20"/>
                <w:szCs w:val="20"/>
                <w:color w:val="auto"/>
              </w:rPr>
            </w:pPr>
            <w:r>
              <w:rPr>
                <w:rFonts w:ascii="Arial" w:cs="Arial" w:eastAsia="Arial" w:hAnsi="Arial"/>
                <w:sz w:val="14"/>
                <w:szCs w:val="14"/>
                <w:color w:val="auto"/>
              </w:rPr>
              <w:t>7,511</w:t>
            </w:r>
          </w:p>
        </w:tc>
        <w:tc>
          <w:tcPr>
            <w:tcW w:w="0" w:type="dxa"/>
            <w:vAlign w:val="bottom"/>
          </w:tcPr>
          <w:p>
            <w:pPr>
              <w:spacing w:after="0"/>
              <w:rPr>
                <w:sz w:val="1"/>
                <w:szCs w:val="1"/>
                <w:color w:val="auto"/>
              </w:rPr>
            </w:pPr>
          </w:p>
        </w:tc>
      </w:tr>
      <w:tr>
        <w:trPr>
          <w:trHeight w:val="216"/>
        </w:trPr>
        <w:tc>
          <w:tcPr>
            <w:tcW w:w="3220" w:type="dxa"/>
            <w:vAlign w:val="bottom"/>
          </w:tcPr>
          <w:p>
            <w:pPr>
              <w:spacing w:after="0"/>
              <w:rPr>
                <w:sz w:val="20"/>
                <w:szCs w:val="20"/>
                <w:color w:val="auto"/>
              </w:rPr>
            </w:pPr>
            <w:r>
              <w:rPr>
                <w:rFonts w:ascii="Arial" w:cs="Arial" w:eastAsia="Arial" w:hAnsi="Arial"/>
                <w:sz w:val="14"/>
                <w:szCs w:val="14"/>
                <w:color w:val="auto"/>
              </w:rPr>
              <w:t>Adoption of FASB Statement No. 157</w:t>
            </w: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80" w:type="dxa"/>
            <w:vAlign w:val="bottom"/>
          </w:tcPr>
          <w:p>
            <w:pPr>
              <w:jc w:val="right"/>
              <w:ind w:right="169"/>
              <w:spacing w:after="0"/>
              <w:rPr>
                <w:sz w:val="20"/>
                <w:szCs w:val="20"/>
                <w:color w:val="auto"/>
              </w:rPr>
            </w:pPr>
            <w:r>
              <w:rPr>
                <w:rFonts w:ascii="Arial" w:cs="Arial" w:eastAsia="Arial" w:hAnsi="Arial"/>
                <w:sz w:val="14"/>
                <w:szCs w:val="14"/>
                <w:color w:val="auto"/>
              </w:rPr>
              <w:t>12</w:t>
            </w:r>
          </w:p>
        </w:tc>
        <w:tc>
          <w:tcPr>
            <w:tcW w:w="1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20" w:type="dxa"/>
            <w:vAlign w:val="bottom"/>
          </w:tcPr>
          <w:p>
            <w:pPr>
              <w:jc w:val="right"/>
              <w:ind w:right="68"/>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216"/>
        </w:trPr>
        <w:tc>
          <w:tcPr>
            <w:tcW w:w="3220" w:type="dxa"/>
            <w:vAlign w:val="bottom"/>
          </w:tcPr>
          <w:p>
            <w:pPr>
              <w:spacing w:after="0"/>
              <w:rPr>
                <w:sz w:val="20"/>
                <w:szCs w:val="20"/>
                <w:color w:val="auto"/>
              </w:rPr>
            </w:pPr>
            <w:r>
              <w:rPr>
                <w:rFonts w:ascii="Arial" w:cs="Arial" w:eastAsia="Arial" w:hAnsi="Arial"/>
                <w:sz w:val="14"/>
                <w:szCs w:val="14"/>
                <w:color w:val="auto"/>
              </w:rPr>
              <w:t>Adoption of FIN 48</w:t>
            </w: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80" w:type="dxa"/>
            <w:vAlign w:val="bottom"/>
          </w:tcPr>
          <w:p>
            <w:pPr>
              <w:jc w:val="right"/>
              <w:ind w:right="89"/>
              <w:spacing w:after="0"/>
              <w:rPr>
                <w:sz w:val="20"/>
                <w:szCs w:val="20"/>
                <w:color w:val="auto"/>
              </w:rPr>
            </w:pPr>
            <w:r>
              <w:rPr>
                <w:rFonts w:ascii="Arial" w:cs="Arial" w:eastAsia="Arial" w:hAnsi="Arial"/>
                <w:sz w:val="14"/>
                <w:szCs w:val="14"/>
                <w:color w:val="auto"/>
              </w:rPr>
              <w:t>(2 )</w:t>
            </w:r>
          </w:p>
        </w:tc>
        <w:tc>
          <w:tcPr>
            <w:tcW w:w="1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(2 )</w:t>
            </w:r>
          </w:p>
        </w:tc>
        <w:tc>
          <w:tcPr>
            <w:tcW w:w="0" w:type="dxa"/>
            <w:vAlign w:val="bottom"/>
          </w:tcPr>
          <w:p>
            <w:pPr>
              <w:spacing w:after="0"/>
              <w:rPr>
                <w:sz w:val="1"/>
                <w:szCs w:val="1"/>
                <w:color w:val="auto"/>
              </w:rPr>
            </w:pPr>
          </w:p>
        </w:tc>
      </w:tr>
      <w:tr>
        <w:trPr>
          <w:trHeight w:val="216"/>
        </w:trPr>
        <w:tc>
          <w:tcPr>
            <w:tcW w:w="3220" w:type="dxa"/>
            <w:vAlign w:val="bottom"/>
          </w:tcPr>
          <w:p>
            <w:pPr>
              <w:spacing w:after="0"/>
              <w:rPr>
                <w:sz w:val="20"/>
                <w:szCs w:val="20"/>
                <w:color w:val="auto"/>
              </w:rPr>
            </w:pPr>
            <w:r>
              <w:rPr>
                <w:rFonts w:ascii="Arial" w:cs="Arial" w:eastAsia="Arial" w:hAnsi="Arial"/>
                <w:sz w:val="14"/>
                <w:szCs w:val="14"/>
                <w:color w:val="auto"/>
              </w:rPr>
              <w:t>Net income</w:t>
            </w:r>
          </w:p>
        </w:tc>
        <w:tc>
          <w:tcPr>
            <w:tcW w:w="960" w:type="dxa"/>
            <w:vAlign w:val="bottom"/>
          </w:tcPr>
          <w:p>
            <w:pPr>
              <w:jc w:val="right"/>
              <w:spacing w:after="0"/>
              <w:rPr>
                <w:sz w:val="20"/>
                <w:szCs w:val="20"/>
                <w:color w:val="auto"/>
              </w:rPr>
            </w:pPr>
            <w:r>
              <w:rPr>
                <w:rFonts w:ascii="Arial" w:cs="Arial" w:eastAsia="Arial" w:hAnsi="Arial"/>
                <w:sz w:val="14"/>
                <w:szCs w:val="14"/>
                <w:color w:val="auto"/>
              </w:rPr>
              <w:t>$ 1,099</w:t>
            </w: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80" w:type="dxa"/>
            <w:vAlign w:val="bottom"/>
          </w:tcPr>
          <w:p>
            <w:pPr>
              <w:jc w:val="right"/>
              <w:ind w:right="169"/>
              <w:spacing w:after="0"/>
              <w:rPr>
                <w:sz w:val="20"/>
                <w:szCs w:val="20"/>
                <w:color w:val="auto"/>
              </w:rPr>
            </w:pPr>
            <w:r>
              <w:rPr>
                <w:rFonts w:ascii="Arial" w:cs="Arial" w:eastAsia="Arial" w:hAnsi="Arial"/>
                <w:sz w:val="14"/>
                <w:szCs w:val="14"/>
                <w:color w:val="auto"/>
              </w:rPr>
              <w:t>1,099</w:t>
            </w:r>
          </w:p>
        </w:tc>
        <w:tc>
          <w:tcPr>
            <w:tcW w:w="1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20" w:type="dxa"/>
            <w:vAlign w:val="bottom"/>
          </w:tcPr>
          <w:p>
            <w:pPr>
              <w:jc w:val="right"/>
              <w:ind w:right="68"/>
              <w:spacing w:after="0"/>
              <w:rPr>
                <w:sz w:val="20"/>
                <w:szCs w:val="20"/>
                <w:color w:val="auto"/>
              </w:rPr>
            </w:pPr>
            <w:r>
              <w:rPr>
                <w:rFonts w:ascii="Arial" w:cs="Arial" w:eastAsia="Arial" w:hAnsi="Arial"/>
                <w:sz w:val="14"/>
                <w:szCs w:val="14"/>
                <w:color w:val="auto"/>
              </w:rPr>
              <w:t>1,099</w:t>
            </w:r>
          </w:p>
        </w:tc>
        <w:tc>
          <w:tcPr>
            <w:tcW w:w="0" w:type="dxa"/>
            <w:vAlign w:val="bottom"/>
          </w:tcPr>
          <w:p>
            <w:pPr>
              <w:spacing w:after="0"/>
              <w:rPr>
                <w:sz w:val="1"/>
                <w:szCs w:val="1"/>
                <w:color w:val="auto"/>
              </w:rPr>
            </w:pPr>
          </w:p>
        </w:tc>
      </w:tr>
      <w:tr>
        <w:trPr>
          <w:trHeight w:val="216"/>
        </w:trPr>
        <w:tc>
          <w:tcPr>
            <w:tcW w:w="3220" w:type="dxa"/>
            <w:vAlign w:val="bottom"/>
          </w:tcPr>
          <w:p>
            <w:pPr>
              <w:spacing w:after="0"/>
              <w:rPr>
                <w:sz w:val="20"/>
                <w:szCs w:val="20"/>
                <w:color w:val="auto"/>
              </w:rPr>
            </w:pPr>
            <w:r>
              <w:rPr>
                <w:rFonts w:ascii="Arial" w:cs="Arial" w:eastAsia="Arial" w:hAnsi="Arial"/>
                <w:sz w:val="14"/>
                <w:szCs w:val="14"/>
                <w:color w:val="auto"/>
              </w:rPr>
              <w:t>Comprehensive income adjustments:</w:t>
            </w: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20" w:type="dxa"/>
            <w:vAlign w:val="bottom"/>
          </w:tcPr>
          <w:p>
            <w:pPr>
              <w:ind w:left="180"/>
              <w:spacing w:after="0"/>
              <w:rPr>
                <w:sz w:val="20"/>
                <w:szCs w:val="20"/>
                <w:color w:val="auto"/>
              </w:rPr>
            </w:pPr>
            <w:r>
              <w:rPr>
                <w:rFonts w:ascii="Arial" w:cs="Arial" w:eastAsia="Arial" w:hAnsi="Arial"/>
                <w:sz w:val="14"/>
                <w:szCs w:val="14"/>
                <w:color w:val="auto"/>
              </w:rPr>
              <w:t>Foreign currency translation adjustments</w:t>
            </w:r>
          </w:p>
        </w:tc>
        <w:tc>
          <w:tcPr>
            <w:tcW w:w="960" w:type="dxa"/>
            <w:vAlign w:val="bottom"/>
          </w:tcPr>
          <w:p>
            <w:pPr>
              <w:jc w:val="right"/>
              <w:spacing w:after="0"/>
              <w:rPr>
                <w:sz w:val="20"/>
                <w:szCs w:val="20"/>
                <w:color w:val="auto"/>
              </w:rPr>
            </w:pPr>
            <w:r>
              <w:rPr>
                <w:rFonts w:ascii="Arial" w:cs="Arial" w:eastAsia="Arial" w:hAnsi="Arial"/>
                <w:sz w:val="14"/>
                <w:szCs w:val="14"/>
                <w:color w:val="auto"/>
              </w:rPr>
              <w:t>38</w:t>
            </w: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20" w:type="dxa"/>
            <w:vAlign w:val="bottom"/>
          </w:tcPr>
          <w:p>
            <w:pPr>
              <w:jc w:val="right"/>
              <w:ind w:right="129"/>
              <w:spacing w:after="0"/>
              <w:rPr>
                <w:sz w:val="20"/>
                <w:szCs w:val="20"/>
                <w:color w:val="auto"/>
              </w:rPr>
            </w:pPr>
            <w:r>
              <w:rPr>
                <w:rFonts w:ascii="Arial" w:cs="Arial" w:eastAsia="Arial" w:hAnsi="Arial"/>
                <w:sz w:val="14"/>
                <w:szCs w:val="14"/>
                <w:color w:val="auto"/>
              </w:rPr>
              <w:t>38</w:t>
            </w:r>
          </w:p>
        </w:tc>
        <w:tc>
          <w:tcPr>
            <w:tcW w:w="1020" w:type="dxa"/>
            <w:vAlign w:val="bottom"/>
          </w:tcPr>
          <w:p>
            <w:pPr>
              <w:jc w:val="right"/>
              <w:ind w:right="68"/>
              <w:spacing w:after="0"/>
              <w:rPr>
                <w:sz w:val="20"/>
                <w:szCs w:val="20"/>
                <w:color w:val="auto"/>
              </w:rPr>
            </w:pPr>
            <w:r>
              <w:rPr>
                <w:rFonts w:ascii="Arial" w:cs="Arial" w:eastAsia="Arial" w:hAnsi="Arial"/>
                <w:sz w:val="14"/>
                <w:szCs w:val="14"/>
                <w:color w:val="auto"/>
              </w:rPr>
              <w:t>38</w:t>
            </w:r>
          </w:p>
        </w:tc>
        <w:tc>
          <w:tcPr>
            <w:tcW w:w="0" w:type="dxa"/>
            <w:vAlign w:val="bottom"/>
          </w:tcPr>
          <w:p>
            <w:pPr>
              <w:spacing w:after="0"/>
              <w:rPr>
                <w:sz w:val="1"/>
                <w:szCs w:val="1"/>
                <w:color w:val="auto"/>
              </w:rPr>
            </w:pPr>
          </w:p>
        </w:tc>
      </w:tr>
      <w:tr>
        <w:trPr>
          <w:trHeight w:val="216"/>
        </w:trPr>
        <w:tc>
          <w:tcPr>
            <w:tcW w:w="3220" w:type="dxa"/>
            <w:vAlign w:val="bottom"/>
          </w:tcPr>
          <w:p>
            <w:pPr>
              <w:ind w:left="180"/>
              <w:spacing w:after="0"/>
              <w:rPr>
                <w:sz w:val="20"/>
                <w:szCs w:val="20"/>
                <w:color w:val="auto"/>
              </w:rPr>
            </w:pPr>
            <w:r>
              <w:rPr>
                <w:rFonts w:ascii="Arial" w:cs="Arial" w:eastAsia="Arial" w:hAnsi="Arial"/>
                <w:sz w:val="14"/>
                <w:szCs w:val="14"/>
                <w:color w:val="auto"/>
              </w:rPr>
              <w:t>Available-for-sale securities</w:t>
            </w:r>
          </w:p>
        </w:tc>
        <w:tc>
          <w:tcPr>
            <w:tcW w:w="960" w:type="dxa"/>
            <w:vAlign w:val="bottom"/>
          </w:tcPr>
          <w:p>
            <w:pPr>
              <w:jc w:val="right"/>
              <w:spacing w:after="0"/>
              <w:rPr>
                <w:sz w:val="20"/>
                <w:szCs w:val="20"/>
                <w:color w:val="auto"/>
              </w:rPr>
            </w:pPr>
            <w:r>
              <w:rPr>
                <w:rFonts w:ascii="Arial" w:cs="Arial" w:eastAsia="Arial" w:hAnsi="Arial"/>
                <w:sz w:val="14"/>
                <w:szCs w:val="14"/>
                <w:color w:val="auto"/>
              </w:rPr>
              <w:t>10</w:t>
            </w: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20" w:type="dxa"/>
            <w:vAlign w:val="bottom"/>
          </w:tcPr>
          <w:p>
            <w:pPr>
              <w:jc w:val="right"/>
              <w:ind w:right="129"/>
              <w:spacing w:after="0"/>
              <w:rPr>
                <w:sz w:val="20"/>
                <w:szCs w:val="20"/>
                <w:color w:val="auto"/>
              </w:rPr>
            </w:pPr>
            <w:r>
              <w:rPr>
                <w:rFonts w:ascii="Arial" w:cs="Arial" w:eastAsia="Arial" w:hAnsi="Arial"/>
                <w:sz w:val="14"/>
                <w:szCs w:val="14"/>
                <w:color w:val="auto"/>
              </w:rPr>
              <w:t>10</w:t>
            </w:r>
          </w:p>
        </w:tc>
        <w:tc>
          <w:tcPr>
            <w:tcW w:w="1020" w:type="dxa"/>
            <w:vAlign w:val="bottom"/>
          </w:tcPr>
          <w:p>
            <w:pPr>
              <w:jc w:val="right"/>
              <w:ind w:right="68"/>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216"/>
        </w:trPr>
        <w:tc>
          <w:tcPr>
            <w:tcW w:w="3220" w:type="dxa"/>
            <w:vAlign w:val="bottom"/>
          </w:tcPr>
          <w:p>
            <w:pPr>
              <w:ind w:left="180"/>
              <w:spacing w:after="0"/>
              <w:rPr>
                <w:sz w:val="20"/>
                <w:szCs w:val="20"/>
                <w:color w:val="auto"/>
              </w:rPr>
            </w:pPr>
            <w:r>
              <w:rPr>
                <w:rFonts w:ascii="Arial" w:cs="Arial" w:eastAsia="Arial" w:hAnsi="Arial"/>
                <w:sz w:val="14"/>
                <w:szCs w:val="14"/>
                <w:color w:val="auto"/>
              </w:rPr>
              <w:t>Pension and other post retirement benefits</w:t>
            </w:r>
          </w:p>
        </w:tc>
        <w:tc>
          <w:tcPr>
            <w:tcW w:w="960" w:type="dxa"/>
            <w:vAlign w:val="bottom"/>
          </w:tcPr>
          <w:p>
            <w:pPr>
              <w:jc w:val="right"/>
              <w:spacing w:after="0"/>
              <w:rPr>
                <w:sz w:val="20"/>
                <w:szCs w:val="20"/>
                <w:color w:val="auto"/>
              </w:rPr>
            </w:pPr>
            <w:r>
              <w:rPr>
                <w:rFonts w:ascii="Arial" w:cs="Arial" w:eastAsia="Arial" w:hAnsi="Arial"/>
                <w:sz w:val="14"/>
                <w:szCs w:val="14"/>
                <w:color w:val="auto"/>
              </w:rPr>
              <w:t>15</w:t>
            </w: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20" w:type="dxa"/>
            <w:vAlign w:val="bottom"/>
          </w:tcPr>
          <w:p>
            <w:pPr>
              <w:jc w:val="right"/>
              <w:ind w:right="129"/>
              <w:spacing w:after="0"/>
              <w:rPr>
                <w:sz w:val="20"/>
                <w:szCs w:val="20"/>
                <w:color w:val="auto"/>
              </w:rPr>
            </w:pPr>
            <w:r>
              <w:rPr>
                <w:rFonts w:ascii="Arial" w:cs="Arial" w:eastAsia="Arial" w:hAnsi="Arial"/>
                <w:sz w:val="14"/>
                <w:szCs w:val="14"/>
                <w:color w:val="auto"/>
              </w:rPr>
              <w:t>15</w:t>
            </w:r>
          </w:p>
        </w:tc>
        <w:tc>
          <w:tcPr>
            <w:tcW w:w="1020" w:type="dxa"/>
            <w:vAlign w:val="bottom"/>
          </w:tcPr>
          <w:p>
            <w:pPr>
              <w:jc w:val="right"/>
              <w:ind w:right="68"/>
              <w:spacing w:after="0"/>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210"/>
        </w:trPr>
        <w:tc>
          <w:tcPr>
            <w:tcW w:w="3220" w:type="dxa"/>
            <w:vAlign w:val="bottom"/>
          </w:tcPr>
          <w:p>
            <w:pPr>
              <w:ind w:left="180"/>
              <w:spacing w:after="0"/>
              <w:rPr>
                <w:sz w:val="20"/>
                <w:szCs w:val="20"/>
                <w:color w:val="auto"/>
              </w:rPr>
            </w:pPr>
            <w:r>
              <w:rPr>
                <w:rFonts w:ascii="Arial" w:cs="Arial" w:eastAsia="Arial" w:hAnsi="Arial"/>
                <w:sz w:val="14"/>
                <w:szCs w:val="14"/>
                <w:color w:val="auto"/>
              </w:rPr>
              <w:t>Financial instruments</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w:t>
            </w: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20" w:type="dxa"/>
            <w:vAlign w:val="bottom"/>
          </w:tcPr>
          <w:p>
            <w:pPr>
              <w:jc w:val="right"/>
              <w:ind w:right="129"/>
              <w:spacing w:after="0"/>
              <w:rPr>
                <w:sz w:val="20"/>
                <w:szCs w:val="20"/>
                <w:color w:val="auto"/>
              </w:rPr>
            </w:pPr>
            <w:r>
              <w:rPr>
                <w:rFonts w:ascii="Arial" w:cs="Arial" w:eastAsia="Arial" w:hAnsi="Arial"/>
                <w:sz w:val="14"/>
                <w:szCs w:val="14"/>
                <w:color w:val="auto"/>
              </w:rPr>
              <w:t>26</w:t>
            </w:r>
          </w:p>
        </w:tc>
        <w:tc>
          <w:tcPr>
            <w:tcW w:w="1020" w:type="dxa"/>
            <w:vAlign w:val="bottom"/>
          </w:tcPr>
          <w:p>
            <w:pPr>
              <w:jc w:val="right"/>
              <w:ind w:right="68"/>
              <w:spacing w:after="0"/>
              <w:rPr>
                <w:sz w:val="20"/>
                <w:szCs w:val="20"/>
                <w:color w:val="auto"/>
              </w:rPr>
            </w:pPr>
            <w:r>
              <w:rPr>
                <w:rFonts w:ascii="Arial" w:cs="Arial" w:eastAsia="Arial" w:hAnsi="Arial"/>
                <w:sz w:val="14"/>
                <w:szCs w:val="14"/>
                <w:color w:val="auto"/>
              </w:rPr>
              <w:t>26</w:t>
            </w:r>
          </w:p>
        </w:tc>
        <w:tc>
          <w:tcPr>
            <w:tcW w:w="0" w:type="dxa"/>
            <w:vAlign w:val="bottom"/>
          </w:tcPr>
          <w:p>
            <w:pPr>
              <w:spacing w:after="0"/>
              <w:rPr>
                <w:sz w:val="1"/>
                <w:szCs w:val="1"/>
                <w:color w:val="auto"/>
              </w:rPr>
            </w:pPr>
          </w:p>
        </w:tc>
      </w:tr>
      <w:tr>
        <w:trPr>
          <w:trHeight w:val="196"/>
        </w:trPr>
        <w:tc>
          <w:tcPr>
            <w:tcW w:w="3220" w:type="dxa"/>
            <w:vAlign w:val="bottom"/>
          </w:tcPr>
          <w:p>
            <w:pPr>
              <w:spacing w:after="0"/>
              <w:rPr>
                <w:sz w:val="20"/>
                <w:szCs w:val="20"/>
                <w:color w:val="auto"/>
              </w:rPr>
            </w:pPr>
            <w:r>
              <w:rPr>
                <w:rFonts w:ascii="Arial" w:cs="Arial" w:eastAsia="Arial" w:hAnsi="Arial"/>
                <w:sz w:val="14"/>
                <w:szCs w:val="14"/>
                <w:color w:val="auto"/>
              </w:rPr>
              <w:t>Comprehensive income</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$ 1,188</w:t>
            </w: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220" w:type="dxa"/>
            <w:vAlign w:val="bottom"/>
          </w:tcPr>
          <w:p>
            <w:pPr>
              <w:spacing w:after="0"/>
              <w:rPr>
                <w:sz w:val="20"/>
                <w:szCs w:val="20"/>
                <w:color w:val="auto"/>
              </w:rPr>
            </w:pPr>
            <w:r>
              <w:rPr>
                <w:rFonts w:ascii="Arial" w:cs="Arial" w:eastAsia="Arial" w:hAnsi="Arial"/>
                <w:sz w:val="14"/>
                <w:szCs w:val="14"/>
                <w:color w:val="auto"/>
              </w:rPr>
              <w:t>Share-based compensation expense</w:t>
            </w: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jc w:val="right"/>
              <w:ind w:right="149"/>
              <w:spacing w:after="0"/>
              <w:rPr>
                <w:sz w:val="20"/>
                <w:szCs w:val="20"/>
                <w:color w:val="auto"/>
              </w:rPr>
            </w:pPr>
            <w:r>
              <w:rPr>
                <w:rFonts w:ascii="Arial" w:cs="Arial" w:eastAsia="Arial" w:hAnsi="Arial"/>
                <w:sz w:val="14"/>
                <w:szCs w:val="14"/>
                <w:color w:val="auto"/>
              </w:rPr>
              <w:t>43</w:t>
            </w:r>
          </w:p>
        </w:tc>
        <w:tc>
          <w:tcPr>
            <w:tcW w:w="8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20" w:type="dxa"/>
            <w:vAlign w:val="bottom"/>
          </w:tcPr>
          <w:p>
            <w:pPr>
              <w:jc w:val="right"/>
              <w:ind w:right="68"/>
              <w:spacing w:after="0"/>
              <w:rPr>
                <w:sz w:val="20"/>
                <w:szCs w:val="20"/>
                <w:color w:val="auto"/>
              </w:rPr>
            </w:pPr>
            <w:r>
              <w:rPr>
                <w:rFonts w:ascii="Arial" w:cs="Arial" w:eastAsia="Arial" w:hAnsi="Arial"/>
                <w:sz w:val="14"/>
                <w:szCs w:val="14"/>
                <w:color w:val="auto"/>
              </w:rPr>
              <w:t>43</w:t>
            </w:r>
          </w:p>
        </w:tc>
        <w:tc>
          <w:tcPr>
            <w:tcW w:w="0" w:type="dxa"/>
            <w:vAlign w:val="bottom"/>
          </w:tcPr>
          <w:p>
            <w:pPr>
              <w:spacing w:after="0"/>
              <w:rPr>
                <w:sz w:val="1"/>
                <w:szCs w:val="1"/>
                <w:color w:val="auto"/>
              </w:rPr>
            </w:pPr>
          </w:p>
        </w:tc>
      </w:tr>
      <w:tr>
        <w:trPr>
          <w:trHeight w:val="216"/>
        </w:trPr>
        <w:tc>
          <w:tcPr>
            <w:tcW w:w="3220" w:type="dxa"/>
            <w:vAlign w:val="bottom"/>
          </w:tcPr>
          <w:p>
            <w:pPr>
              <w:spacing w:after="0"/>
              <w:rPr>
                <w:sz w:val="20"/>
                <w:szCs w:val="20"/>
                <w:color w:val="auto"/>
              </w:rPr>
            </w:pPr>
            <w:r>
              <w:rPr>
                <w:rFonts w:ascii="Arial" w:cs="Arial" w:eastAsia="Arial" w:hAnsi="Arial"/>
                <w:sz w:val="14"/>
                <w:szCs w:val="14"/>
                <w:color w:val="auto"/>
              </w:rPr>
              <w:t>Common stock dividends declared</w:t>
            </w: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80" w:type="dxa"/>
            <w:vAlign w:val="bottom"/>
          </w:tcPr>
          <w:p>
            <w:pPr>
              <w:jc w:val="right"/>
              <w:ind w:right="89"/>
              <w:spacing w:after="0"/>
              <w:rPr>
                <w:sz w:val="20"/>
                <w:szCs w:val="20"/>
                <w:color w:val="auto"/>
              </w:rPr>
            </w:pPr>
            <w:r>
              <w:rPr>
                <w:rFonts w:ascii="Arial" w:cs="Arial" w:eastAsia="Arial" w:hAnsi="Arial"/>
                <w:sz w:val="14"/>
                <w:szCs w:val="14"/>
                <w:color w:val="auto"/>
              </w:rPr>
              <w:t>(326 )</w:t>
            </w:r>
          </w:p>
        </w:tc>
        <w:tc>
          <w:tcPr>
            <w:tcW w:w="1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(326 )</w:t>
            </w:r>
          </w:p>
        </w:tc>
        <w:tc>
          <w:tcPr>
            <w:tcW w:w="0" w:type="dxa"/>
            <w:vAlign w:val="bottom"/>
          </w:tcPr>
          <w:p>
            <w:pPr>
              <w:spacing w:after="0"/>
              <w:rPr>
                <w:sz w:val="1"/>
                <w:szCs w:val="1"/>
                <w:color w:val="auto"/>
              </w:rPr>
            </w:pPr>
          </w:p>
        </w:tc>
      </w:tr>
      <w:tr>
        <w:trPr>
          <w:trHeight w:val="216"/>
        </w:trPr>
        <w:tc>
          <w:tcPr>
            <w:tcW w:w="3220" w:type="dxa"/>
            <w:vAlign w:val="bottom"/>
          </w:tcPr>
          <w:p>
            <w:pPr>
              <w:spacing w:after="0"/>
              <w:rPr>
                <w:sz w:val="20"/>
                <w:szCs w:val="20"/>
                <w:color w:val="auto"/>
              </w:rPr>
            </w:pPr>
            <w:r>
              <w:rPr>
                <w:rFonts w:ascii="Arial" w:cs="Arial" w:eastAsia="Arial" w:hAnsi="Arial"/>
                <w:sz w:val="14"/>
                <w:szCs w:val="14"/>
                <w:color w:val="auto"/>
              </w:rPr>
              <w:t>Quasi-reorganization adjustment</w:t>
            </w: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ind w:right="69"/>
              <w:spacing w:after="0"/>
              <w:rPr>
                <w:sz w:val="20"/>
                <w:szCs w:val="20"/>
                <w:color w:val="auto"/>
              </w:rPr>
            </w:pPr>
            <w:r>
              <w:rPr>
                <w:rFonts w:ascii="Arial" w:cs="Arial" w:eastAsia="Arial" w:hAnsi="Arial"/>
                <w:sz w:val="14"/>
                <w:szCs w:val="14"/>
                <w:color w:val="auto"/>
              </w:rPr>
              <w:t>(2 )</w:t>
            </w:r>
          </w:p>
        </w:tc>
        <w:tc>
          <w:tcPr>
            <w:tcW w:w="8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(2 )</w:t>
            </w:r>
          </w:p>
        </w:tc>
        <w:tc>
          <w:tcPr>
            <w:tcW w:w="0" w:type="dxa"/>
            <w:vAlign w:val="bottom"/>
          </w:tcPr>
          <w:p>
            <w:pPr>
              <w:spacing w:after="0"/>
              <w:rPr>
                <w:sz w:val="1"/>
                <w:szCs w:val="1"/>
                <w:color w:val="auto"/>
              </w:rPr>
            </w:pPr>
          </w:p>
        </w:tc>
      </w:tr>
      <w:tr>
        <w:trPr>
          <w:trHeight w:val="216"/>
        </w:trPr>
        <w:tc>
          <w:tcPr>
            <w:tcW w:w="3220" w:type="dxa"/>
            <w:vAlign w:val="bottom"/>
          </w:tcPr>
          <w:p>
            <w:pPr>
              <w:spacing w:after="0"/>
              <w:rPr>
                <w:sz w:val="20"/>
                <w:szCs w:val="20"/>
                <w:color w:val="auto"/>
              </w:rPr>
            </w:pPr>
            <w:r>
              <w:rPr>
                <w:rFonts w:ascii="Arial" w:cs="Arial" w:eastAsia="Arial" w:hAnsi="Arial"/>
                <w:sz w:val="14"/>
                <w:szCs w:val="14"/>
                <w:color w:val="auto"/>
              </w:rPr>
              <w:t>Issuance of common stock</w:t>
            </w: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ind w:right="149"/>
              <w:spacing w:after="0"/>
              <w:rPr>
                <w:sz w:val="20"/>
                <w:szCs w:val="20"/>
                <w:color w:val="auto"/>
              </w:rPr>
            </w:pPr>
            <w:r>
              <w:rPr>
                <w:rFonts w:ascii="Arial" w:cs="Arial" w:eastAsia="Arial" w:hAnsi="Arial"/>
                <w:sz w:val="14"/>
                <w:szCs w:val="14"/>
                <w:color w:val="auto"/>
              </w:rPr>
              <w:t>62</w:t>
            </w:r>
          </w:p>
        </w:tc>
        <w:tc>
          <w:tcPr>
            <w:tcW w:w="8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20" w:type="dxa"/>
            <w:vAlign w:val="bottom"/>
          </w:tcPr>
          <w:p>
            <w:pPr>
              <w:jc w:val="right"/>
              <w:ind w:right="68"/>
              <w:spacing w:after="0"/>
              <w:rPr>
                <w:sz w:val="20"/>
                <w:szCs w:val="20"/>
                <w:color w:val="auto"/>
              </w:rPr>
            </w:pPr>
            <w:r>
              <w:rPr>
                <w:rFonts w:ascii="Arial" w:cs="Arial" w:eastAsia="Arial" w:hAnsi="Arial"/>
                <w:sz w:val="14"/>
                <w:szCs w:val="14"/>
                <w:color w:val="auto"/>
              </w:rPr>
              <w:t>62</w:t>
            </w:r>
          </w:p>
        </w:tc>
        <w:tc>
          <w:tcPr>
            <w:tcW w:w="0" w:type="dxa"/>
            <w:vAlign w:val="bottom"/>
          </w:tcPr>
          <w:p>
            <w:pPr>
              <w:spacing w:after="0"/>
              <w:rPr>
                <w:sz w:val="1"/>
                <w:szCs w:val="1"/>
                <w:color w:val="auto"/>
              </w:rPr>
            </w:pPr>
          </w:p>
        </w:tc>
      </w:tr>
      <w:tr>
        <w:trPr>
          <w:trHeight w:val="216"/>
        </w:trPr>
        <w:tc>
          <w:tcPr>
            <w:tcW w:w="3220" w:type="dxa"/>
            <w:vAlign w:val="bottom"/>
          </w:tcPr>
          <w:p>
            <w:pPr>
              <w:spacing w:after="0"/>
              <w:rPr>
                <w:sz w:val="20"/>
                <w:szCs w:val="20"/>
                <w:color w:val="auto"/>
              </w:rPr>
            </w:pPr>
            <w:r>
              <w:rPr>
                <w:rFonts w:ascii="Arial" w:cs="Arial" w:eastAsia="Arial" w:hAnsi="Arial"/>
                <w:sz w:val="14"/>
                <w:szCs w:val="14"/>
                <w:color w:val="auto"/>
              </w:rPr>
              <w:t>Tax benefit related to share-based compensation</w:t>
            </w: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ind w:right="149"/>
              <w:spacing w:after="0"/>
              <w:rPr>
                <w:sz w:val="20"/>
                <w:szCs w:val="20"/>
                <w:color w:val="auto"/>
              </w:rPr>
            </w:pPr>
            <w:r>
              <w:rPr>
                <w:rFonts w:ascii="Arial" w:cs="Arial" w:eastAsia="Arial" w:hAnsi="Arial"/>
                <w:sz w:val="14"/>
                <w:szCs w:val="14"/>
                <w:color w:val="auto"/>
              </w:rPr>
              <w:t>26</w:t>
            </w:r>
          </w:p>
        </w:tc>
        <w:tc>
          <w:tcPr>
            <w:tcW w:w="8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20" w:type="dxa"/>
            <w:vAlign w:val="bottom"/>
          </w:tcPr>
          <w:p>
            <w:pPr>
              <w:jc w:val="right"/>
              <w:ind w:right="68"/>
              <w:spacing w:after="0"/>
              <w:rPr>
                <w:sz w:val="20"/>
                <w:szCs w:val="20"/>
                <w:color w:val="auto"/>
              </w:rPr>
            </w:pPr>
            <w:r>
              <w:rPr>
                <w:rFonts w:ascii="Arial" w:cs="Arial" w:eastAsia="Arial" w:hAnsi="Arial"/>
                <w:sz w:val="14"/>
                <w:szCs w:val="14"/>
                <w:color w:val="auto"/>
              </w:rPr>
              <w:t>26</w:t>
            </w:r>
          </w:p>
        </w:tc>
        <w:tc>
          <w:tcPr>
            <w:tcW w:w="0" w:type="dxa"/>
            <w:vAlign w:val="bottom"/>
          </w:tcPr>
          <w:p>
            <w:pPr>
              <w:spacing w:after="0"/>
              <w:rPr>
                <w:sz w:val="1"/>
                <w:szCs w:val="1"/>
                <w:color w:val="auto"/>
              </w:rPr>
            </w:pPr>
          </w:p>
        </w:tc>
      </w:tr>
      <w:tr>
        <w:trPr>
          <w:trHeight w:val="216"/>
        </w:trPr>
        <w:tc>
          <w:tcPr>
            <w:tcW w:w="3220" w:type="dxa"/>
            <w:vAlign w:val="bottom"/>
          </w:tcPr>
          <w:p>
            <w:pPr>
              <w:spacing w:after="0"/>
              <w:rPr>
                <w:sz w:val="20"/>
                <w:szCs w:val="20"/>
                <w:color w:val="auto"/>
              </w:rPr>
            </w:pPr>
            <w:r>
              <w:rPr>
                <w:rFonts w:ascii="Arial" w:cs="Arial" w:eastAsia="Arial" w:hAnsi="Arial"/>
                <w:sz w:val="14"/>
                <w:szCs w:val="14"/>
                <w:color w:val="auto"/>
              </w:rPr>
              <w:t>Repurchase of common stock</w:t>
            </w: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ind w:right="69"/>
              <w:spacing w:after="0"/>
              <w:rPr>
                <w:sz w:val="20"/>
                <w:szCs w:val="20"/>
                <w:color w:val="auto"/>
              </w:rPr>
            </w:pPr>
            <w:r>
              <w:rPr>
                <w:rFonts w:ascii="Arial" w:cs="Arial" w:eastAsia="Arial" w:hAnsi="Arial"/>
                <w:sz w:val="14"/>
                <w:szCs w:val="14"/>
                <w:color w:val="auto"/>
              </w:rPr>
              <w:t>(185 )</w:t>
            </w:r>
          </w:p>
        </w:tc>
        <w:tc>
          <w:tcPr>
            <w:tcW w:w="8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(185 )</w:t>
            </w:r>
          </w:p>
        </w:tc>
        <w:tc>
          <w:tcPr>
            <w:tcW w:w="0" w:type="dxa"/>
            <w:vAlign w:val="bottom"/>
          </w:tcPr>
          <w:p>
            <w:pPr>
              <w:spacing w:after="0"/>
              <w:rPr>
                <w:sz w:val="1"/>
                <w:szCs w:val="1"/>
                <w:color w:val="auto"/>
              </w:rPr>
            </w:pPr>
          </w:p>
        </w:tc>
      </w:tr>
      <w:tr>
        <w:trPr>
          <w:trHeight w:val="222"/>
        </w:trPr>
        <w:tc>
          <w:tcPr>
            <w:tcW w:w="3220" w:type="dxa"/>
            <w:vAlign w:val="bottom"/>
          </w:tcPr>
          <w:p>
            <w:pPr>
              <w:spacing w:after="0"/>
              <w:rPr>
                <w:sz w:val="20"/>
                <w:szCs w:val="20"/>
                <w:color w:val="auto"/>
              </w:rPr>
            </w:pPr>
            <w:r>
              <w:rPr>
                <w:rFonts w:ascii="Arial" w:cs="Arial" w:eastAsia="Arial" w:hAnsi="Arial"/>
                <w:sz w:val="14"/>
                <w:szCs w:val="14"/>
                <w:color w:val="auto"/>
              </w:rPr>
              <w:t>Common stock released from ESOP</w:t>
            </w: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Borders>
              <w:bottom w:val="single" w:sz="8" w:color="auto"/>
            </w:tcBorders>
          </w:tcPr>
          <w:p>
            <w:pPr>
              <w:jc w:val="right"/>
              <w:ind w:right="149"/>
              <w:spacing w:after="0"/>
              <w:rPr>
                <w:sz w:val="20"/>
                <w:szCs w:val="20"/>
                <w:color w:val="auto"/>
              </w:rPr>
            </w:pPr>
            <w:r>
              <w:rPr>
                <w:rFonts w:ascii="Arial" w:cs="Arial" w:eastAsia="Arial" w:hAnsi="Arial"/>
                <w:sz w:val="14"/>
                <w:szCs w:val="14"/>
                <w:color w:val="auto"/>
              </w:rPr>
              <w:t>9</w:t>
            </w:r>
          </w:p>
        </w:tc>
        <w:tc>
          <w:tcPr>
            <w:tcW w:w="8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color w:val="auto"/>
              </w:rPr>
              <w:t>3</w:t>
            </w:r>
          </w:p>
        </w:tc>
        <w:tc>
          <w:tcPr>
            <w:tcW w:w="1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202"/>
        </w:trPr>
        <w:tc>
          <w:tcPr>
            <w:tcW w:w="3220" w:type="dxa"/>
            <w:vAlign w:val="bottom"/>
          </w:tcPr>
          <w:p>
            <w:pPr>
              <w:spacing w:after="0"/>
              <w:rPr>
                <w:sz w:val="20"/>
                <w:szCs w:val="20"/>
                <w:color w:val="auto"/>
              </w:rPr>
            </w:pPr>
            <w:r>
              <w:rPr>
                <w:rFonts w:ascii="Arial" w:cs="Arial" w:eastAsia="Arial" w:hAnsi="Arial"/>
                <w:sz w:val="14"/>
                <w:szCs w:val="14"/>
                <w:color w:val="auto"/>
              </w:rPr>
              <w:t>Balance at December 31, 2007</w:t>
            </w: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jc w:val="right"/>
              <w:ind w:right="149"/>
              <w:spacing w:after="0"/>
              <w:rPr>
                <w:sz w:val="20"/>
                <w:szCs w:val="20"/>
                <w:color w:val="auto"/>
              </w:rPr>
            </w:pPr>
            <w:r>
              <w:rPr>
                <w:rFonts w:ascii="Arial" w:cs="Arial" w:eastAsia="Arial" w:hAnsi="Arial"/>
                <w:sz w:val="14"/>
                <w:szCs w:val="14"/>
                <w:color w:val="auto"/>
              </w:rPr>
              <w:t>3,198</w:t>
            </w:r>
          </w:p>
        </w:tc>
        <w:tc>
          <w:tcPr>
            <w:tcW w:w="880" w:type="dxa"/>
            <w:vAlign w:val="bottom"/>
          </w:tcPr>
          <w:p>
            <w:pPr>
              <w:jc w:val="right"/>
              <w:ind w:right="169"/>
              <w:spacing w:after="0"/>
              <w:rPr>
                <w:sz w:val="20"/>
                <w:szCs w:val="20"/>
                <w:color w:val="auto"/>
              </w:rPr>
            </w:pPr>
            <w:r>
              <w:rPr>
                <w:rFonts w:ascii="Arial" w:cs="Arial" w:eastAsia="Arial" w:hAnsi="Arial"/>
                <w:sz w:val="14"/>
                <w:szCs w:val="14"/>
                <w:color w:val="auto"/>
              </w:rPr>
              <w:t>5,464</w:t>
            </w:r>
          </w:p>
        </w:tc>
        <w:tc>
          <w:tcPr>
            <w:tcW w:w="1180" w:type="dxa"/>
            <w:vAlign w:val="bottom"/>
          </w:tcPr>
          <w:p>
            <w:pPr>
              <w:jc w:val="right"/>
              <w:ind w:right="71"/>
              <w:spacing w:after="0"/>
              <w:rPr>
                <w:sz w:val="20"/>
                <w:szCs w:val="20"/>
                <w:color w:val="auto"/>
              </w:rPr>
            </w:pPr>
            <w:r>
              <w:rPr>
                <w:rFonts w:ascii="Arial" w:cs="Arial" w:eastAsia="Arial" w:hAnsi="Arial"/>
                <w:sz w:val="14"/>
                <w:szCs w:val="14"/>
                <w:color w:val="auto"/>
              </w:rPr>
              <w:t>(22 )</w:t>
            </w:r>
          </w:p>
        </w:tc>
        <w:tc>
          <w:tcPr>
            <w:tcW w:w="1220" w:type="dxa"/>
            <w:vAlign w:val="bottom"/>
          </w:tcPr>
          <w:p>
            <w:pPr>
              <w:jc w:val="right"/>
              <w:ind w:right="49"/>
              <w:spacing w:after="0"/>
              <w:rPr>
                <w:sz w:val="20"/>
                <w:szCs w:val="20"/>
                <w:color w:val="auto"/>
              </w:rPr>
            </w:pPr>
            <w:r>
              <w:rPr>
                <w:rFonts w:ascii="Arial" w:cs="Arial" w:eastAsia="Arial" w:hAnsi="Arial"/>
                <w:sz w:val="14"/>
                <w:szCs w:val="14"/>
                <w:color w:val="auto"/>
              </w:rPr>
              <w:t>(301 )</w:t>
            </w:r>
          </w:p>
        </w:tc>
        <w:tc>
          <w:tcPr>
            <w:tcW w:w="1020" w:type="dxa"/>
            <w:vAlign w:val="bottom"/>
          </w:tcPr>
          <w:p>
            <w:pPr>
              <w:jc w:val="right"/>
              <w:ind w:right="68"/>
              <w:spacing w:after="0"/>
              <w:rPr>
                <w:sz w:val="20"/>
                <w:szCs w:val="20"/>
                <w:color w:val="auto"/>
              </w:rPr>
            </w:pPr>
            <w:r>
              <w:rPr>
                <w:rFonts w:ascii="Arial" w:cs="Arial" w:eastAsia="Arial" w:hAnsi="Arial"/>
                <w:sz w:val="14"/>
                <w:szCs w:val="14"/>
                <w:color w:val="auto"/>
              </w:rPr>
              <w:t>8,339</w:t>
            </w:r>
          </w:p>
        </w:tc>
        <w:tc>
          <w:tcPr>
            <w:tcW w:w="0" w:type="dxa"/>
            <w:vAlign w:val="bottom"/>
          </w:tcPr>
          <w:p>
            <w:pPr>
              <w:spacing w:after="0"/>
              <w:rPr>
                <w:sz w:val="1"/>
                <w:szCs w:val="1"/>
                <w:color w:val="auto"/>
              </w:rPr>
            </w:pPr>
          </w:p>
        </w:tc>
      </w:tr>
      <w:tr>
        <w:trPr>
          <w:trHeight w:val="216"/>
        </w:trPr>
        <w:tc>
          <w:tcPr>
            <w:tcW w:w="3220" w:type="dxa"/>
            <w:vAlign w:val="bottom"/>
          </w:tcPr>
          <w:p>
            <w:pPr>
              <w:spacing w:after="0"/>
              <w:rPr>
                <w:sz w:val="20"/>
                <w:szCs w:val="20"/>
                <w:color w:val="auto"/>
              </w:rPr>
            </w:pPr>
            <w:r>
              <w:rPr>
                <w:rFonts w:ascii="Arial" w:cs="Arial" w:eastAsia="Arial" w:hAnsi="Arial"/>
                <w:sz w:val="14"/>
                <w:szCs w:val="14"/>
                <w:color w:val="auto"/>
              </w:rPr>
              <w:t>Net income</w:t>
            </w:r>
          </w:p>
        </w:tc>
        <w:tc>
          <w:tcPr>
            <w:tcW w:w="960" w:type="dxa"/>
            <w:vAlign w:val="bottom"/>
          </w:tcPr>
          <w:p>
            <w:pPr>
              <w:jc w:val="right"/>
              <w:spacing w:after="0"/>
              <w:rPr>
                <w:sz w:val="20"/>
                <w:szCs w:val="20"/>
                <w:color w:val="auto"/>
              </w:rPr>
            </w:pPr>
            <w:r>
              <w:rPr>
                <w:rFonts w:ascii="Arial" w:cs="Arial" w:eastAsia="Arial" w:hAnsi="Arial"/>
                <w:sz w:val="14"/>
                <w:szCs w:val="14"/>
                <w:color w:val="auto"/>
              </w:rPr>
              <w:t>$ 1,113</w:t>
            </w: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80" w:type="dxa"/>
            <w:vAlign w:val="bottom"/>
          </w:tcPr>
          <w:p>
            <w:pPr>
              <w:jc w:val="right"/>
              <w:ind w:right="169"/>
              <w:spacing w:after="0"/>
              <w:rPr>
                <w:sz w:val="20"/>
                <w:szCs w:val="20"/>
                <w:color w:val="auto"/>
              </w:rPr>
            </w:pPr>
            <w:r>
              <w:rPr>
                <w:rFonts w:ascii="Arial" w:cs="Arial" w:eastAsia="Arial" w:hAnsi="Arial"/>
                <w:sz w:val="14"/>
                <w:szCs w:val="14"/>
                <w:color w:val="auto"/>
              </w:rPr>
              <w:t>1,113</w:t>
            </w:r>
          </w:p>
        </w:tc>
        <w:tc>
          <w:tcPr>
            <w:tcW w:w="1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20" w:type="dxa"/>
            <w:vAlign w:val="bottom"/>
          </w:tcPr>
          <w:p>
            <w:pPr>
              <w:jc w:val="right"/>
              <w:ind w:right="68"/>
              <w:spacing w:after="0"/>
              <w:rPr>
                <w:sz w:val="20"/>
                <w:szCs w:val="20"/>
                <w:color w:val="auto"/>
              </w:rPr>
            </w:pPr>
            <w:r>
              <w:rPr>
                <w:rFonts w:ascii="Arial" w:cs="Arial" w:eastAsia="Arial" w:hAnsi="Arial"/>
                <w:sz w:val="14"/>
                <w:szCs w:val="14"/>
                <w:color w:val="auto"/>
              </w:rPr>
              <w:t>1,113</w:t>
            </w:r>
          </w:p>
        </w:tc>
        <w:tc>
          <w:tcPr>
            <w:tcW w:w="0" w:type="dxa"/>
            <w:vAlign w:val="bottom"/>
          </w:tcPr>
          <w:p>
            <w:pPr>
              <w:spacing w:after="0"/>
              <w:rPr>
                <w:sz w:val="1"/>
                <w:szCs w:val="1"/>
                <w:color w:val="auto"/>
              </w:rPr>
            </w:pPr>
          </w:p>
        </w:tc>
      </w:tr>
      <w:tr>
        <w:trPr>
          <w:trHeight w:val="216"/>
        </w:trPr>
        <w:tc>
          <w:tcPr>
            <w:tcW w:w="3220" w:type="dxa"/>
            <w:vAlign w:val="bottom"/>
          </w:tcPr>
          <w:p>
            <w:pPr>
              <w:spacing w:after="0"/>
              <w:rPr>
                <w:sz w:val="20"/>
                <w:szCs w:val="20"/>
                <w:color w:val="auto"/>
              </w:rPr>
            </w:pPr>
            <w:r>
              <w:rPr>
                <w:rFonts w:ascii="Arial" w:cs="Arial" w:eastAsia="Arial" w:hAnsi="Arial"/>
                <w:sz w:val="14"/>
                <w:szCs w:val="14"/>
                <w:color w:val="auto"/>
              </w:rPr>
              <w:t>Comprehensive income adjustments:</w:t>
            </w: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20" w:type="dxa"/>
            <w:vAlign w:val="bottom"/>
          </w:tcPr>
          <w:p>
            <w:pPr>
              <w:ind w:left="180"/>
              <w:spacing w:after="0"/>
              <w:rPr>
                <w:sz w:val="20"/>
                <w:szCs w:val="20"/>
                <w:color w:val="auto"/>
              </w:rPr>
            </w:pPr>
            <w:r>
              <w:rPr>
                <w:rFonts w:ascii="Arial" w:cs="Arial" w:eastAsia="Arial" w:hAnsi="Arial"/>
                <w:sz w:val="14"/>
                <w:szCs w:val="14"/>
                <w:color w:val="auto"/>
              </w:rPr>
              <w:t>Foreign currency translation adjustments</w:t>
            </w:r>
          </w:p>
        </w:tc>
        <w:tc>
          <w:tcPr>
            <w:tcW w:w="1080" w:type="dxa"/>
            <w:vAlign w:val="bottom"/>
            <w:gridSpan w:val="2"/>
          </w:tcPr>
          <w:p>
            <w:pPr>
              <w:jc w:val="right"/>
              <w:ind w:right="60"/>
              <w:spacing w:after="0"/>
              <w:rPr>
                <w:sz w:val="20"/>
                <w:szCs w:val="20"/>
                <w:color w:val="auto"/>
              </w:rPr>
            </w:pPr>
            <w:r>
              <w:rPr>
                <w:rFonts w:ascii="Arial" w:cs="Arial" w:eastAsia="Arial" w:hAnsi="Arial"/>
                <w:sz w:val="14"/>
                <w:szCs w:val="14"/>
                <w:color w:val="auto"/>
              </w:rPr>
              <w:t>(140 )</w:t>
            </w:r>
          </w:p>
        </w:tc>
        <w:tc>
          <w:tcPr>
            <w:tcW w:w="9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20" w:type="dxa"/>
            <w:vAlign w:val="bottom"/>
          </w:tcPr>
          <w:p>
            <w:pPr>
              <w:jc w:val="right"/>
              <w:ind w:right="49"/>
              <w:spacing w:after="0"/>
              <w:rPr>
                <w:sz w:val="20"/>
                <w:szCs w:val="20"/>
                <w:color w:val="auto"/>
              </w:rPr>
            </w:pPr>
            <w:r>
              <w:rPr>
                <w:rFonts w:ascii="Arial" w:cs="Arial" w:eastAsia="Arial" w:hAnsi="Arial"/>
                <w:sz w:val="14"/>
                <w:szCs w:val="14"/>
                <w:color w:val="auto"/>
              </w:rPr>
              <w:t>(140 )</w:t>
            </w:r>
          </w:p>
        </w:tc>
        <w:tc>
          <w:tcPr>
            <w:tcW w:w="1020" w:type="dxa"/>
            <w:vAlign w:val="bottom"/>
          </w:tcPr>
          <w:p>
            <w:pPr>
              <w:jc w:val="right"/>
              <w:spacing w:after="0"/>
              <w:rPr>
                <w:sz w:val="20"/>
                <w:szCs w:val="20"/>
                <w:color w:val="auto"/>
              </w:rPr>
            </w:pPr>
            <w:r>
              <w:rPr>
                <w:rFonts w:ascii="Arial" w:cs="Arial" w:eastAsia="Arial" w:hAnsi="Arial"/>
                <w:sz w:val="14"/>
                <w:szCs w:val="14"/>
                <w:color w:val="auto"/>
              </w:rPr>
              <w:t>(140 )</w:t>
            </w:r>
          </w:p>
        </w:tc>
        <w:tc>
          <w:tcPr>
            <w:tcW w:w="0" w:type="dxa"/>
            <w:vAlign w:val="bottom"/>
          </w:tcPr>
          <w:p>
            <w:pPr>
              <w:spacing w:after="0"/>
              <w:rPr>
                <w:sz w:val="1"/>
                <w:szCs w:val="1"/>
                <w:color w:val="auto"/>
              </w:rPr>
            </w:pPr>
          </w:p>
        </w:tc>
      </w:tr>
      <w:tr>
        <w:trPr>
          <w:trHeight w:val="216"/>
        </w:trPr>
        <w:tc>
          <w:tcPr>
            <w:tcW w:w="3220" w:type="dxa"/>
            <w:vAlign w:val="bottom"/>
          </w:tcPr>
          <w:p>
            <w:pPr>
              <w:ind w:left="180"/>
              <w:spacing w:after="0"/>
              <w:rPr>
                <w:sz w:val="20"/>
                <w:szCs w:val="20"/>
                <w:color w:val="auto"/>
              </w:rPr>
            </w:pPr>
            <w:r>
              <w:rPr>
                <w:rFonts w:ascii="Arial" w:cs="Arial" w:eastAsia="Arial" w:hAnsi="Arial"/>
                <w:sz w:val="14"/>
                <w:szCs w:val="14"/>
                <w:color w:val="auto"/>
              </w:rPr>
              <w:t>Available-for-sale securities</w:t>
            </w:r>
          </w:p>
        </w:tc>
        <w:tc>
          <w:tcPr>
            <w:tcW w:w="1080" w:type="dxa"/>
            <w:vAlign w:val="bottom"/>
            <w:gridSpan w:val="2"/>
          </w:tcPr>
          <w:p>
            <w:pPr>
              <w:jc w:val="right"/>
              <w:ind w:right="60"/>
              <w:spacing w:after="0"/>
              <w:rPr>
                <w:sz w:val="20"/>
                <w:szCs w:val="20"/>
                <w:color w:val="auto"/>
              </w:rPr>
            </w:pPr>
            <w:r>
              <w:rPr>
                <w:rFonts w:ascii="Arial" w:cs="Arial" w:eastAsia="Arial" w:hAnsi="Arial"/>
                <w:sz w:val="14"/>
                <w:szCs w:val="14"/>
                <w:color w:val="auto"/>
              </w:rPr>
              <w:t>(26 )</w:t>
            </w:r>
          </w:p>
        </w:tc>
        <w:tc>
          <w:tcPr>
            <w:tcW w:w="9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20" w:type="dxa"/>
            <w:vAlign w:val="bottom"/>
          </w:tcPr>
          <w:p>
            <w:pPr>
              <w:jc w:val="right"/>
              <w:ind w:right="49"/>
              <w:spacing w:after="0"/>
              <w:rPr>
                <w:sz w:val="20"/>
                <w:szCs w:val="20"/>
                <w:color w:val="auto"/>
              </w:rPr>
            </w:pPr>
            <w:r>
              <w:rPr>
                <w:rFonts w:ascii="Arial" w:cs="Arial" w:eastAsia="Arial" w:hAnsi="Arial"/>
                <w:sz w:val="14"/>
                <w:szCs w:val="14"/>
                <w:color w:val="auto"/>
              </w:rPr>
              <w:t>(26 )</w:t>
            </w:r>
          </w:p>
        </w:tc>
        <w:tc>
          <w:tcPr>
            <w:tcW w:w="1020" w:type="dxa"/>
            <w:vAlign w:val="bottom"/>
          </w:tcPr>
          <w:p>
            <w:pPr>
              <w:jc w:val="right"/>
              <w:spacing w:after="0"/>
              <w:rPr>
                <w:sz w:val="20"/>
                <w:szCs w:val="20"/>
                <w:color w:val="auto"/>
              </w:rPr>
            </w:pPr>
            <w:r>
              <w:rPr>
                <w:rFonts w:ascii="Arial" w:cs="Arial" w:eastAsia="Arial" w:hAnsi="Arial"/>
                <w:sz w:val="14"/>
                <w:szCs w:val="14"/>
                <w:color w:val="auto"/>
              </w:rPr>
              <w:t>(26 )</w:t>
            </w:r>
          </w:p>
        </w:tc>
        <w:tc>
          <w:tcPr>
            <w:tcW w:w="0" w:type="dxa"/>
            <w:vAlign w:val="bottom"/>
          </w:tcPr>
          <w:p>
            <w:pPr>
              <w:spacing w:after="0"/>
              <w:rPr>
                <w:sz w:val="1"/>
                <w:szCs w:val="1"/>
                <w:color w:val="auto"/>
              </w:rPr>
            </w:pPr>
          </w:p>
        </w:tc>
      </w:tr>
      <w:tr>
        <w:trPr>
          <w:trHeight w:val="216"/>
        </w:trPr>
        <w:tc>
          <w:tcPr>
            <w:tcW w:w="3220" w:type="dxa"/>
            <w:vAlign w:val="bottom"/>
          </w:tcPr>
          <w:p>
            <w:pPr>
              <w:ind w:left="180"/>
              <w:spacing w:after="0"/>
              <w:rPr>
                <w:sz w:val="20"/>
                <w:szCs w:val="20"/>
                <w:color w:val="auto"/>
              </w:rPr>
            </w:pPr>
            <w:r>
              <w:rPr>
                <w:rFonts w:ascii="Arial" w:cs="Arial" w:eastAsia="Arial" w:hAnsi="Arial"/>
                <w:sz w:val="14"/>
                <w:szCs w:val="14"/>
                <w:color w:val="auto"/>
              </w:rPr>
              <w:t>Pension and other postretirement benefits</w:t>
            </w:r>
          </w:p>
        </w:tc>
        <w:tc>
          <w:tcPr>
            <w:tcW w:w="1080" w:type="dxa"/>
            <w:vAlign w:val="bottom"/>
            <w:gridSpan w:val="2"/>
          </w:tcPr>
          <w:p>
            <w:pPr>
              <w:jc w:val="right"/>
              <w:ind w:right="60"/>
              <w:spacing w:after="0"/>
              <w:rPr>
                <w:sz w:val="20"/>
                <w:szCs w:val="20"/>
                <w:color w:val="auto"/>
              </w:rPr>
            </w:pPr>
            <w:r>
              <w:rPr>
                <w:rFonts w:ascii="Arial" w:cs="Arial" w:eastAsia="Arial" w:hAnsi="Arial"/>
                <w:sz w:val="14"/>
                <w:szCs w:val="14"/>
                <w:color w:val="auto"/>
              </w:rPr>
              <w:t>(30 )</w:t>
            </w:r>
          </w:p>
        </w:tc>
        <w:tc>
          <w:tcPr>
            <w:tcW w:w="9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20" w:type="dxa"/>
            <w:vAlign w:val="bottom"/>
          </w:tcPr>
          <w:p>
            <w:pPr>
              <w:jc w:val="right"/>
              <w:ind w:right="49"/>
              <w:spacing w:after="0"/>
              <w:rPr>
                <w:sz w:val="20"/>
                <w:szCs w:val="20"/>
                <w:color w:val="auto"/>
              </w:rPr>
            </w:pPr>
            <w:r>
              <w:rPr>
                <w:rFonts w:ascii="Arial" w:cs="Arial" w:eastAsia="Arial" w:hAnsi="Arial"/>
                <w:sz w:val="14"/>
                <w:szCs w:val="14"/>
                <w:color w:val="auto"/>
              </w:rPr>
              <w:t>(30 )</w:t>
            </w:r>
          </w:p>
        </w:tc>
        <w:tc>
          <w:tcPr>
            <w:tcW w:w="1020" w:type="dxa"/>
            <w:vAlign w:val="bottom"/>
          </w:tcPr>
          <w:p>
            <w:pPr>
              <w:jc w:val="right"/>
              <w:spacing w:after="0"/>
              <w:rPr>
                <w:sz w:val="20"/>
                <w:szCs w:val="20"/>
                <w:color w:val="auto"/>
              </w:rPr>
            </w:pPr>
            <w:r>
              <w:rPr>
                <w:rFonts w:ascii="Arial" w:cs="Arial" w:eastAsia="Arial" w:hAnsi="Arial"/>
                <w:sz w:val="14"/>
                <w:szCs w:val="14"/>
                <w:color w:val="auto"/>
              </w:rPr>
              <w:t>(30 )</w:t>
            </w:r>
          </w:p>
        </w:tc>
        <w:tc>
          <w:tcPr>
            <w:tcW w:w="0" w:type="dxa"/>
            <w:vAlign w:val="bottom"/>
          </w:tcPr>
          <w:p>
            <w:pPr>
              <w:spacing w:after="0"/>
              <w:rPr>
                <w:sz w:val="1"/>
                <w:szCs w:val="1"/>
                <w:color w:val="auto"/>
              </w:rPr>
            </w:pPr>
          </w:p>
        </w:tc>
      </w:tr>
      <w:tr>
        <w:trPr>
          <w:trHeight w:val="210"/>
        </w:trPr>
        <w:tc>
          <w:tcPr>
            <w:tcW w:w="3220" w:type="dxa"/>
            <w:vAlign w:val="bottom"/>
          </w:tcPr>
          <w:p>
            <w:pPr>
              <w:ind w:left="180"/>
              <w:spacing w:after="0"/>
              <w:rPr>
                <w:sz w:val="20"/>
                <w:szCs w:val="20"/>
                <w:color w:val="auto"/>
              </w:rPr>
            </w:pPr>
            <w:r>
              <w:rPr>
                <w:rFonts w:ascii="Arial" w:cs="Arial" w:eastAsia="Arial" w:hAnsi="Arial"/>
                <w:sz w:val="14"/>
                <w:szCs w:val="14"/>
                <w:color w:val="auto"/>
              </w:rPr>
              <w:t>Financial instruments</w:t>
            </w:r>
          </w:p>
        </w:tc>
        <w:tc>
          <w:tcPr>
            <w:tcW w:w="1080" w:type="dxa"/>
            <w:vAlign w:val="bottom"/>
            <w:gridSpan w:val="2"/>
          </w:tcPr>
          <w:p>
            <w:pPr>
              <w:jc w:val="right"/>
              <w:ind w:right="60"/>
              <w:spacing w:after="0"/>
              <w:rPr>
                <w:sz w:val="20"/>
                <w:szCs w:val="20"/>
                <w:color w:val="auto"/>
              </w:rPr>
            </w:pPr>
            <w:r>
              <w:rPr>
                <w:rFonts w:ascii="Arial" w:cs="Arial" w:eastAsia="Arial" w:hAnsi="Arial"/>
                <w:sz w:val="14"/>
                <w:szCs w:val="14"/>
                <w:color w:val="auto"/>
              </w:rPr>
              <w:t>(16 )</w:t>
            </w:r>
          </w:p>
        </w:tc>
        <w:tc>
          <w:tcPr>
            <w:tcW w:w="9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20" w:type="dxa"/>
            <w:vAlign w:val="bottom"/>
          </w:tcPr>
          <w:p>
            <w:pPr>
              <w:jc w:val="right"/>
              <w:ind w:right="49"/>
              <w:spacing w:after="0"/>
              <w:rPr>
                <w:sz w:val="20"/>
                <w:szCs w:val="20"/>
                <w:color w:val="auto"/>
              </w:rPr>
            </w:pPr>
            <w:r>
              <w:rPr>
                <w:rFonts w:ascii="Arial" w:cs="Arial" w:eastAsia="Arial" w:hAnsi="Arial"/>
                <w:sz w:val="14"/>
                <w:szCs w:val="14"/>
                <w:color w:val="auto"/>
              </w:rPr>
              <w:t>(16 )</w:t>
            </w:r>
          </w:p>
        </w:tc>
        <w:tc>
          <w:tcPr>
            <w:tcW w:w="1020" w:type="dxa"/>
            <w:vAlign w:val="bottom"/>
          </w:tcPr>
          <w:p>
            <w:pPr>
              <w:jc w:val="right"/>
              <w:spacing w:after="0"/>
              <w:rPr>
                <w:sz w:val="20"/>
                <w:szCs w:val="20"/>
                <w:color w:val="auto"/>
              </w:rPr>
            </w:pPr>
            <w:r>
              <w:rPr>
                <w:rFonts w:ascii="Arial" w:cs="Arial" w:eastAsia="Arial" w:hAnsi="Arial"/>
                <w:sz w:val="14"/>
                <w:szCs w:val="14"/>
                <w:color w:val="auto"/>
              </w:rPr>
              <w:t>(16 )</w:t>
            </w:r>
          </w:p>
        </w:tc>
        <w:tc>
          <w:tcPr>
            <w:tcW w:w="0" w:type="dxa"/>
            <w:vAlign w:val="bottom"/>
          </w:tcPr>
          <w:p>
            <w:pPr>
              <w:spacing w:after="0"/>
              <w:rPr>
                <w:sz w:val="1"/>
                <w:szCs w:val="1"/>
                <w:color w:val="auto"/>
              </w:rPr>
            </w:pPr>
          </w:p>
        </w:tc>
      </w:tr>
      <w:tr>
        <w:trPr>
          <w:trHeight w:val="196"/>
        </w:trPr>
        <w:tc>
          <w:tcPr>
            <w:tcW w:w="3220" w:type="dxa"/>
            <w:vAlign w:val="bottom"/>
          </w:tcPr>
          <w:p>
            <w:pPr>
              <w:spacing w:after="0"/>
              <w:rPr>
                <w:sz w:val="20"/>
                <w:szCs w:val="20"/>
                <w:color w:val="auto"/>
              </w:rPr>
            </w:pPr>
            <w:r>
              <w:rPr>
                <w:rFonts w:ascii="Arial" w:cs="Arial" w:eastAsia="Arial" w:hAnsi="Arial"/>
                <w:sz w:val="14"/>
                <w:szCs w:val="14"/>
                <w:color w:val="auto"/>
              </w:rPr>
              <w:t>Comprehensive income</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$ 901</w:t>
            </w: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220" w:type="dxa"/>
            <w:vAlign w:val="bottom"/>
          </w:tcPr>
          <w:p>
            <w:pPr>
              <w:spacing w:after="0"/>
              <w:rPr>
                <w:sz w:val="20"/>
                <w:szCs w:val="20"/>
                <w:color w:val="auto"/>
              </w:rPr>
            </w:pPr>
            <w:r>
              <w:rPr>
                <w:rFonts w:ascii="Arial" w:cs="Arial" w:eastAsia="Arial" w:hAnsi="Arial"/>
                <w:sz w:val="14"/>
                <w:szCs w:val="14"/>
                <w:color w:val="auto"/>
              </w:rPr>
              <w:t>Share-based compensation expense</w:t>
            </w: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jc w:val="right"/>
              <w:ind w:right="149"/>
              <w:spacing w:after="0"/>
              <w:rPr>
                <w:sz w:val="20"/>
                <w:szCs w:val="20"/>
                <w:color w:val="auto"/>
              </w:rPr>
            </w:pPr>
            <w:r>
              <w:rPr>
                <w:rFonts w:ascii="Arial" w:cs="Arial" w:eastAsia="Arial" w:hAnsi="Arial"/>
                <w:sz w:val="14"/>
                <w:szCs w:val="14"/>
                <w:color w:val="auto"/>
              </w:rPr>
              <w:t>49</w:t>
            </w:r>
          </w:p>
        </w:tc>
        <w:tc>
          <w:tcPr>
            <w:tcW w:w="8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20" w:type="dxa"/>
            <w:vAlign w:val="bottom"/>
          </w:tcPr>
          <w:p>
            <w:pPr>
              <w:jc w:val="right"/>
              <w:ind w:right="68"/>
              <w:spacing w:after="0"/>
              <w:rPr>
                <w:sz w:val="20"/>
                <w:szCs w:val="20"/>
                <w:color w:val="auto"/>
              </w:rPr>
            </w:pPr>
            <w:r>
              <w:rPr>
                <w:rFonts w:ascii="Arial" w:cs="Arial" w:eastAsia="Arial" w:hAnsi="Arial"/>
                <w:sz w:val="14"/>
                <w:szCs w:val="14"/>
                <w:color w:val="auto"/>
              </w:rPr>
              <w:t>49</w:t>
            </w:r>
          </w:p>
        </w:tc>
        <w:tc>
          <w:tcPr>
            <w:tcW w:w="0" w:type="dxa"/>
            <w:vAlign w:val="bottom"/>
          </w:tcPr>
          <w:p>
            <w:pPr>
              <w:spacing w:after="0"/>
              <w:rPr>
                <w:sz w:val="1"/>
                <w:szCs w:val="1"/>
                <w:color w:val="auto"/>
              </w:rPr>
            </w:pPr>
          </w:p>
        </w:tc>
      </w:tr>
      <w:tr>
        <w:trPr>
          <w:trHeight w:val="216"/>
        </w:trPr>
        <w:tc>
          <w:tcPr>
            <w:tcW w:w="3220" w:type="dxa"/>
            <w:vAlign w:val="bottom"/>
          </w:tcPr>
          <w:p>
            <w:pPr>
              <w:spacing w:after="0"/>
              <w:rPr>
                <w:sz w:val="20"/>
                <w:szCs w:val="20"/>
                <w:color w:val="auto"/>
              </w:rPr>
            </w:pPr>
            <w:r>
              <w:rPr>
                <w:rFonts w:ascii="Arial" w:cs="Arial" w:eastAsia="Arial" w:hAnsi="Arial"/>
                <w:sz w:val="14"/>
                <w:szCs w:val="14"/>
                <w:color w:val="auto"/>
              </w:rPr>
              <w:t>Common stock dividends declared</w:t>
            </w: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80" w:type="dxa"/>
            <w:vAlign w:val="bottom"/>
          </w:tcPr>
          <w:p>
            <w:pPr>
              <w:jc w:val="right"/>
              <w:ind w:right="89"/>
              <w:spacing w:after="0"/>
              <w:rPr>
                <w:sz w:val="20"/>
                <w:szCs w:val="20"/>
                <w:color w:val="auto"/>
              </w:rPr>
            </w:pPr>
            <w:r>
              <w:rPr>
                <w:rFonts w:ascii="Arial" w:cs="Arial" w:eastAsia="Arial" w:hAnsi="Arial"/>
                <w:sz w:val="14"/>
                <w:szCs w:val="14"/>
                <w:color w:val="auto"/>
              </w:rPr>
              <w:t>(342 )</w:t>
            </w:r>
          </w:p>
        </w:tc>
        <w:tc>
          <w:tcPr>
            <w:tcW w:w="1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(342 )</w:t>
            </w:r>
          </w:p>
        </w:tc>
        <w:tc>
          <w:tcPr>
            <w:tcW w:w="0" w:type="dxa"/>
            <w:vAlign w:val="bottom"/>
          </w:tcPr>
          <w:p>
            <w:pPr>
              <w:spacing w:after="0"/>
              <w:rPr>
                <w:sz w:val="1"/>
                <w:szCs w:val="1"/>
                <w:color w:val="auto"/>
              </w:rPr>
            </w:pPr>
          </w:p>
        </w:tc>
      </w:tr>
      <w:tr>
        <w:trPr>
          <w:trHeight w:val="216"/>
        </w:trPr>
        <w:tc>
          <w:tcPr>
            <w:tcW w:w="3220" w:type="dxa"/>
            <w:vAlign w:val="bottom"/>
          </w:tcPr>
          <w:p>
            <w:pPr>
              <w:spacing w:after="0"/>
              <w:rPr>
                <w:sz w:val="20"/>
                <w:szCs w:val="20"/>
                <w:color w:val="auto"/>
              </w:rPr>
            </w:pPr>
            <w:r>
              <w:rPr>
                <w:rFonts w:ascii="Arial" w:cs="Arial" w:eastAsia="Arial" w:hAnsi="Arial"/>
                <w:sz w:val="14"/>
                <w:szCs w:val="14"/>
                <w:color w:val="auto"/>
              </w:rPr>
              <w:t>Issuance of common stock</w:t>
            </w: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ind w:right="149"/>
              <w:spacing w:after="0"/>
              <w:rPr>
                <w:sz w:val="20"/>
                <w:szCs w:val="20"/>
                <w:color w:val="auto"/>
              </w:rPr>
            </w:pPr>
            <w:r>
              <w:rPr>
                <w:rFonts w:ascii="Arial" w:cs="Arial" w:eastAsia="Arial" w:hAnsi="Arial"/>
                <w:sz w:val="14"/>
                <w:szCs w:val="14"/>
                <w:color w:val="auto"/>
              </w:rPr>
              <w:t>18</w:t>
            </w:r>
          </w:p>
        </w:tc>
        <w:tc>
          <w:tcPr>
            <w:tcW w:w="8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20" w:type="dxa"/>
            <w:vAlign w:val="bottom"/>
          </w:tcPr>
          <w:p>
            <w:pPr>
              <w:jc w:val="right"/>
              <w:ind w:right="68"/>
              <w:spacing w:after="0"/>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216"/>
        </w:trPr>
        <w:tc>
          <w:tcPr>
            <w:tcW w:w="3220" w:type="dxa"/>
            <w:vAlign w:val="bottom"/>
          </w:tcPr>
          <w:p>
            <w:pPr>
              <w:spacing w:after="0"/>
              <w:rPr>
                <w:sz w:val="20"/>
                <w:szCs w:val="20"/>
                <w:color w:val="auto"/>
              </w:rPr>
            </w:pPr>
            <w:r>
              <w:rPr>
                <w:rFonts w:ascii="Arial" w:cs="Arial" w:eastAsia="Arial" w:hAnsi="Arial"/>
                <w:sz w:val="14"/>
                <w:szCs w:val="14"/>
                <w:color w:val="auto"/>
              </w:rPr>
              <w:t>Tax benefit related to share-based compensation</w:t>
            </w: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ind w:right="149"/>
              <w:spacing w:after="0"/>
              <w:rPr>
                <w:sz w:val="20"/>
                <w:szCs w:val="20"/>
                <w:color w:val="auto"/>
              </w:rPr>
            </w:pPr>
            <w:r>
              <w:rPr>
                <w:rFonts w:ascii="Arial" w:cs="Arial" w:eastAsia="Arial" w:hAnsi="Arial"/>
                <w:sz w:val="14"/>
                <w:szCs w:val="14"/>
                <w:color w:val="auto"/>
              </w:rPr>
              <w:t>6</w:t>
            </w:r>
          </w:p>
        </w:tc>
        <w:tc>
          <w:tcPr>
            <w:tcW w:w="8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20" w:type="dxa"/>
            <w:vAlign w:val="bottom"/>
          </w:tcPr>
          <w:p>
            <w:pPr>
              <w:jc w:val="right"/>
              <w:ind w:right="68"/>
              <w:spacing w:after="0"/>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216"/>
        </w:trPr>
        <w:tc>
          <w:tcPr>
            <w:tcW w:w="3220" w:type="dxa"/>
            <w:vAlign w:val="bottom"/>
          </w:tcPr>
          <w:p>
            <w:pPr>
              <w:spacing w:after="0"/>
              <w:rPr>
                <w:sz w:val="20"/>
                <w:szCs w:val="20"/>
                <w:color w:val="auto"/>
              </w:rPr>
            </w:pPr>
            <w:r>
              <w:rPr>
                <w:rFonts w:ascii="Arial" w:cs="Arial" w:eastAsia="Arial" w:hAnsi="Arial"/>
                <w:sz w:val="14"/>
                <w:szCs w:val="14"/>
                <w:color w:val="auto"/>
              </w:rPr>
              <w:t>Repurchase of common stock</w:t>
            </w: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ind w:right="69"/>
              <w:spacing w:after="0"/>
              <w:rPr>
                <w:sz w:val="20"/>
                <w:szCs w:val="20"/>
                <w:color w:val="auto"/>
              </w:rPr>
            </w:pPr>
            <w:r>
              <w:rPr>
                <w:rFonts w:ascii="Arial" w:cs="Arial" w:eastAsia="Arial" w:hAnsi="Arial"/>
                <w:sz w:val="14"/>
                <w:szCs w:val="14"/>
                <w:color w:val="auto"/>
              </w:rPr>
              <w:t>(1,018 )</w:t>
            </w:r>
          </w:p>
        </w:tc>
        <w:tc>
          <w:tcPr>
            <w:tcW w:w="8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(1,018 )</w:t>
            </w:r>
          </w:p>
        </w:tc>
        <w:tc>
          <w:tcPr>
            <w:tcW w:w="0" w:type="dxa"/>
            <w:vAlign w:val="bottom"/>
          </w:tcPr>
          <w:p>
            <w:pPr>
              <w:spacing w:after="0"/>
              <w:rPr>
                <w:sz w:val="1"/>
                <w:szCs w:val="1"/>
                <w:color w:val="auto"/>
              </w:rPr>
            </w:pPr>
          </w:p>
        </w:tc>
      </w:tr>
      <w:tr>
        <w:trPr>
          <w:trHeight w:val="222"/>
        </w:trPr>
        <w:tc>
          <w:tcPr>
            <w:tcW w:w="3220" w:type="dxa"/>
            <w:vAlign w:val="bottom"/>
          </w:tcPr>
          <w:p>
            <w:pPr>
              <w:spacing w:after="0"/>
              <w:rPr>
                <w:sz w:val="20"/>
                <w:szCs w:val="20"/>
                <w:color w:val="auto"/>
              </w:rPr>
            </w:pPr>
            <w:r>
              <w:rPr>
                <w:rFonts w:ascii="Arial" w:cs="Arial" w:eastAsia="Arial" w:hAnsi="Arial"/>
                <w:sz w:val="14"/>
                <w:szCs w:val="14"/>
                <w:color w:val="auto"/>
              </w:rPr>
              <w:t>Common stock released from ESOP</w:t>
            </w: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Borders>
              <w:bottom w:val="single" w:sz="8" w:color="auto"/>
            </w:tcBorders>
          </w:tcPr>
          <w:p>
            <w:pPr>
              <w:jc w:val="right"/>
              <w:ind w:right="149"/>
              <w:spacing w:after="0"/>
              <w:rPr>
                <w:sz w:val="20"/>
                <w:szCs w:val="20"/>
                <w:color w:val="auto"/>
              </w:rPr>
            </w:pPr>
            <w:r>
              <w:rPr>
                <w:rFonts w:ascii="Arial" w:cs="Arial" w:eastAsia="Arial" w:hAnsi="Arial"/>
                <w:sz w:val="14"/>
                <w:szCs w:val="14"/>
                <w:color w:val="auto"/>
              </w:rPr>
              <w:t>12</w:t>
            </w:r>
          </w:p>
        </w:tc>
        <w:tc>
          <w:tcPr>
            <w:tcW w:w="8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color w:val="auto"/>
              </w:rPr>
              <w:t>4</w:t>
            </w:r>
          </w:p>
        </w:tc>
        <w:tc>
          <w:tcPr>
            <w:tcW w:w="1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224"/>
        </w:trPr>
        <w:tc>
          <w:tcPr>
            <w:tcW w:w="32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Balance at December 31, 2008</w:t>
            </w:r>
          </w:p>
        </w:tc>
        <w:tc>
          <w:tcPr>
            <w:tcW w:w="9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49"/>
              <w:spacing w:after="0"/>
              <w:rPr>
                <w:sz w:val="20"/>
                <w:szCs w:val="20"/>
                <w:color w:val="auto"/>
              </w:rPr>
            </w:pPr>
            <w:r>
              <w:rPr>
                <w:rFonts w:ascii="Arial" w:cs="Arial" w:eastAsia="Arial" w:hAnsi="Arial"/>
                <w:sz w:val="14"/>
                <w:szCs w:val="14"/>
                <w:color w:val="auto"/>
              </w:rPr>
              <w:t>$ 2,265</w:t>
            </w:r>
          </w:p>
        </w:tc>
        <w:tc>
          <w:tcPr>
            <w:tcW w:w="880" w:type="dxa"/>
            <w:vAlign w:val="bottom"/>
            <w:tcBorders>
              <w:bottom w:val="single" w:sz="8" w:color="auto"/>
            </w:tcBorders>
          </w:tcPr>
          <w:p>
            <w:pPr>
              <w:jc w:val="right"/>
              <w:ind w:right="169"/>
              <w:spacing w:after="0"/>
              <w:rPr>
                <w:sz w:val="20"/>
                <w:szCs w:val="20"/>
                <w:color w:val="auto"/>
              </w:rPr>
            </w:pPr>
            <w:r>
              <w:rPr>
                <w:rFonts w:ascii="Arial" w:cs="Arial" w:eastAsia="Arial" w:hAnsi="Arial"/>
                <w:sz w:val="14"/>
                <w:szCs w:val="14"/>
                <w:color w:val="auto"/>
              </w:rPr>
              <w:t>$ 6,235</w:t>
            </w:r>
          </w:p>
        </w:tc>
        <w:tc>
          <w:tcPr>
            <w:tcW w:w="118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color w:val="auto"/>
              </w:rPr>
              <w:t>$ (18 )</w:t>
            </w:r>
          </w:p>
        </w:tc>
        <w:tc>
          <w:tcPr>
            <w:tcW w:w="122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 (513 )</w:t>
            </w:r>
          </w:p>
        </w:tc>
        <w:tc>
          <w:tcPr>
            <w:tcW w:w="10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$ 7,969</w:t>
            </w:r>
          </w:p>
        </w:tc>
        <w:tc>
          <w:tcPr>
            <w:tcW w:w="0" w:type="dxa"/>
            <w:vAlign w:val="bottom"/>
          </w:tcPr>
          <w:p>
            <w:pPr>
              <w:spacing w:after="0"/>
              <w:rPr>
                <w:sz w:val="1"/>
                <w:szCs w:val="1"/>
                <w:color w:val="auto"/>
              </w:rPr>
            </w:pPr>
          </w:p>
        </w:tc>
      </w:tr>
    </w:tbl>
    <w:p>
      <w:pPr>
        <w:spacing w:after="0" w:line="220" w:lineRule="exact"/>
        <w:rPr>
          <w:sz w:val="20"/>
          <w:szCs w:val="20"/>
          <w:color w:val="auto"/>
        </w:rPr>
      </w:pPr>
    </w:p>
    <w:p>
      <w:pPr>
        <w:ind w:left="940"/>
        <w:spacing w:after="0"/>
        <w:rPr>
          <w:sz w:val="20"/>
          <w:szCs w:val="20"/>
          <w:color w:val="auto"/>
        </w:rPr>
      </w:pPr>
      <w:r>
        <w:rPr>
          <w:rFonts w:ascii="Arial" w:cs="Arial" w:eastAsia="Arial" w:hAnsi="Arial"/>
          <w:sz w:val="13"/>
          <w:szCs w:val="13"/>
          <w:i w:val="1"/>
          <w:iCs w:val="1"/>
          <w:color w:val="auto"/>
        </w:rPr>
        <w:t>See Notes to Consolidated Financial Statements.</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4"/>
          <w:szCs w:val="14"/>
          <w:color w:val="auto"/>
        </w:rPr>
        <w:t>74</w:t>
      </w:r>
    </w:p>
    <w:p>
      <w:pPr>
        <w:sectPr>
          <w:pgSz w:w="11900" w:h="16838" w:orient="portrait"/>
          <w:cols w:equalWidth="0" w:num="1">
            <w:col w:w="10500"/>
          </w:cols>
          <w:pgMar w:left="240" w:top="352" w:right="1159" w:bottom="1440" w:gutter="0" w:footer="0" w:header="0"/>
        </w:sectPr>
      </w:pPr>
    </w:p>
    <w:bookmarkStart w:id="214" w:name="page215"/>
    <w:bookmarkEnd w:id="214"/>
    <w:p>
      <w:pPr>
        <w:ind w:left="1600"/>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1156970</wp:posOffset>
            </wp:positionH>
            <wp:positionV relativeFrom="page">
              <wp:posOffset>470535</wp:posOffset>
            </wp:positionV>
            <wp:extent cx="5248275" cy="36639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5248275" cy="366395"/>
                    </a:xfrm>
                    <a:prstGeom prst="rect">
                      <a:avLst/>
                    </a:prstGeom>
                    <a:noFill/>
                  </pic:spPr>
                </pic:pic>
              </a:graphicData>
            </a:graphic>
          </wp:anchor>
        </w:drawing>
        <w:t>SAN DIEGO GAS &amp; ELECTRIC COMPANY AND SUBSIDIARY</w:t>
      </w:r>
    </w:p>
    <w:p>
      <w:pPr>
        <w:spacing w:after="0" w:line="31" w:lineRule="exact"/>
        <w:rPr>
          <w:sz w:val="20"/>
          <w:szCs w:val="20"/>
          <w:color w:val="auto"/>
        </w:rPr>
      </w:pPr>
    </w:p>
    <w:p>
      <w:pPr>
        <w:ind w:left="1600"/>
        <w:spacing w:after="0"/>
        <w:rPr>
          <w:sz w:val="20"/>
          <w:szCs w:val="20"/>
          <w:color w:val="auto"/>
        </w:rPr>
      </w:pPr>
      <w:r>
        <w:rPr>
          <w:rFonts w:ascii="Arial" w:cs="Arial" w:eastAsia="Arial" w:hAnsi="Arial"/>
          <w:sz w:val="14"/>
          <w:szCs w:val="14"/>
          <w:b w:val="1"/>
          <w:bCs w:val="1"/>
          <w:color w:val="auto"/>
        </w:rPr>
        <w:t>STATEMENTS OF CONSOLIDATED INCOME</w:t>
      </w:r>
    </w:p>
    <w:p>
      <w:pPr>
        <w:spacing w:after="0" w:line="40" w:lineRule="exact"/>
        <w:rPr>
          <w:sz w:val="20"/>
          <w:szCs w:val="20"/>
          <w:color w:val="auto"/>
        </w:rPr>
      </w:pPr>
    </w:p>
    <w:p>
      <w:pPr>
        <w:ind w:left="1600"/>
        <w:spacing w:after="0"/>
        <w:rPr>
          <w:sz w:val="20"/>
          <w:szCs w:val="20"/>
          <w:color w:val="auto"/>
        </w:rPr>
      </w:pPr>
      <w:r>
        <w:rPr>
          <w:rFonts w:ascii="Arial" w:cs="Arial" w:eastAsia="Arial" w:hAnsi="Arial"/>
          <w:sz w:val="13"/>
          <w:szCs w:val="13"/>
          <w:i w:val="1"/>
          <w:iCs w:val="1"/>
          <w:color w:val="auto"/>
        </w:rPr>
        <w:t>(Dollars in millions)</w:t>
      </w:r>
    </w:p>
    <w:p>
      <w:pPr>
        <w:spacing w:after="0" w:line="67" w:lineRule="exact"/>
        <w:rPr>
          <w:sz w:val="20"/>
          <w:szCs w:val="20"/>
          <w:color w:val="auto"/>
        </w:rPr>
      </w:pPr>
    </w:p>
    <w:tbl>
      <w:tblPr>
        <w:tblLayout w:type="fixed"/>
        <w:tblInd w:w="1580" w:type="dxa"/>
        <w:tblCellMar>
          <w:top w:w="0" w:type="dxa"/>
          <w:left w:w="0" w:type="dxa"/>
          <w:bottom w:w="0" w:type="dxa"/>
          <w:right w:w="0" w:type="dxa"/>
        </w:tblCellMar>
      </w:tblPr>
      <w:tr>
        <w:trPr>
          <w:trHeight w:val="159"/>
        </w:trPr>
        <w:tc>
          <w:tcPr>
            <w:tcW w:w="4200" w:type="dxa"/>
            <w:vAlign w:val="bottom"/>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168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color w:val="auto"/>
              </w:rPr>
              <w:t>Years ended December 31,</w:t>
            </w:r>
          </w:p>
        </w:tc>
        <w:tc>
          <w:tcPr>
            <w:tcW w:w="26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r>
      <w:tr>
        <w:trPr>
          <w:trHeight w:val="208"/>
        </w:trPr>
        <w:tc>
          <w:tcPr>
            <w:tcW w:w="420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88"/>
              <w:spacing w:after="0"/>
              <w:rPr>
                <w:sz w:val="20"/>
                <w:szCs w:val="20"/>
                <w:color w:val="auto"/>
              </w:rPr>
            </w:pPr>
            <w:r>
              <w:rPr>
                <w:rFonts w:ascii="Arial" w:cs="Arial" w:eastAsia="Arial" w:hAnsi="Arial"/>
                <w:sz w:val="13"/>
                <w:szCs w:val="13"/>
                <w:color w:val="auto"/>
              </w:rPr>
              <w:t>2008</w:t>
            </w:r>
          </w:p>
        </w:tc>
        <w:tc>
          <w:tcPr>
            <w:tcW w:w="5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608"/>
              <w:spacing w:after="0"/>
              <w:rPr>
                <w:sz w:val="20"/>
                <w:szCs w:val="20"/>
                <w:color w:val="auto"/>
              </w:rPr>
            </w:pPr>
            <w:r>
              <w:rPr>
                <w:rFonts w:ascii="Arial" w:cs="Arial" w:eastAsia="Arial" w:hAnsi="Arial"/>
                <w:sz w:val="13"/>
                <w:szCs w:val="13"/>
                <w:color w:val="auto"/>
              </w:rPr>
              <w:t>2007</w:t>
            </w: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468"/>
              <w:spacing w:after="0"/>
              <w:rPr>
                <w:sz w:val="20"/>
                <w:szCs w:val="20"/>
                <w:color w:val="auto"/>
              </w:rPr>
            </w:pPr>
            <w:r>
              <w:rPr>
                <w:rFonts w:ascii="Arial" w:cs="Arial" w:eastAsia="Arial" w:hAnsi="Arial"/>
                <w:sz w:val="13"/>
                <w:szCs w:val="13"/>
                <w:color w:val="auto"/>
              </w:rPr>
              <w:t>2006</w:t>
            </w:r>
          </w:p>
        </w:tc>
      </w:tr>
      <w:tr>
        <w:trPr>
          <w:trHeight w:val="423"/>
        </w:trPr>
        <w:tc>
          <w:tcPr>
            <w:tcW w:w="4200" w:type="dxa"/>
            <w:vAlign w:val="bottom"/>
          </w:tcPr>
          <w:p>
            <w:pPr>
              <w:ind w:left="20"/>
              <w:spacing w:after="0"/>
              <w:rPr>
                <w:sz w:val="20"/>
                <w:szCs w:val="20"/>
                <w:color w:val="auto"/>
              </w:rPr>
            </w:pPr>
            <w:r>
              <w:rPr>
                <w:rFonts w:ascii="Arial" w:cs="Arial" w:eastAsia="Arial" w:hAnsi="Arial"/>
                <w:sz w:val="14"/>
                <w:szCs w:val="14"/>
                <w:color w:val="auto"/>
              </w:rPr>
              <w:t>Operating revenues</w:t>
            </w: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16"/>
        </w:trPr>
        <w:tc>
          <w:tcPr>
            <w:tcW w:w="4200" w:type="dxa"/>
            <w:vAlign w:val="bottom"/>
          </w:tcPr>
          <w:p>
            <w:pPr>
              <w:ind w:left="180"/>
              <w:spacing w:after="0"/>
              <w:rPr>
                <w:sz w:val="20"/>
                <w:szCs w:val="20"/>
                <w:color w:val="auto"/>
              </w:rPr>
            </w:pPr>
            <w:r>
              <w:rPr>
                <w:rFonts w:ascii="Arial" w:cs="Arial" w:eastAsia="Arial" w:hAnsi="Arial"/>
                <w:sz w:val="14"/>
                <w:szCs w:val="14"/>
                <w:color w:val="auto"/>
              </w:rPr>
              <w:t>Electric</w:t>
            </w:r>
          </w:p>
        </w:tc>
        <w:tc>
          <w:tcPr>
            <w:tcW w:w="4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68"/>
              <w:spacing w:after="0"/>
              <w:rPr>
                <w:sz w:val="20"/>
                <w:szCs w:val="20"/>
                <w:color w:val="auto"/>
              </w:rPr>
            </w:pPr>
            <w:r>
              <w:rPr>
                <w:rFonts w:ascii="Arial" w:cs="Arial" w:eastAsia="Arial" w:hAnsi="Arial"/>
                <w:sz w:val="14"/>
                <w:szCs w:val="14"/>
                <w:color w:val="auto"/>
              </w:rPr>
              <w:t>2,562</w:t>
            </w:r>
          </w:p>
        </w:tc>
        <w:tc>
          <w:tcPr>
            <w:tcW w:w="580" w:type="dxa"/>
            <w:vAlign w:val="bottom"/>
          </w:tcPr>
          <w:p>
            <w:pPr>
              <w:jc w:val="right"/>
              <w:ind w:right="31"/>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388"/>
              <w:spacing w:after="0"/>
              <w:rPr>
                <w:sz w:val="20"/>
                <w:szCs w:val="20"/>
                <w:color w:val="auto"/>
              </w:rPr>
            </w:pPr>
            <w:r>
              <w:rPr>
                <w:rFonts w:ascii="Arial" w:cs="Arial" w:eastAsia="Arial" w:hAnsi="Arial"/>
                <w:sz w:val="14"/>
                <w:szCs w:val="14"/>
                <w:color w:val="auto"/>
              </w:rPr>
              <w:t>2,194</w:t>
            </w:r>
          </w:p>
        </w:tc>
        <w:tc>
          <w:tcPr>
            <w:tcW w:w="2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228"/>
              <w:spacing w:after="0"/>
              <w:rPr>
                <w:sz w:val="20"/>
                <w:szCs w:val="20"/>
                <w:color w:val="auto"/>
              </w:rPr>
            </w:pPr>
            <w:r>
              <w:rPr>
                <w:rFonts w:ascii="Arial" w:cs="Arial" w:eastAsia="Arial" w:hAnsi="Arial"/>
                <w:sz w:val="14"/>
                <w:szCs w:val="14"/>
                <w:color w:val="auto"/>
              </w:rPr>
              <w:t>2,147</w:t>
            </w:r>
          </w:p>
        </w:tc>
      </w:tr>
      <w:tr>
        <w:trPr>
          <w:trHeight w:val="222"/>
        </w:trPr>
        <w:tc>
          <w:tcPr>
            <w:tcW w:w="4200" w:type="dxa"/>
            <w:vAlign w:val="bottom"/>
          </w:tcPr>
          <w:p>
            <w:pPr>
              <w:ind w:left="180"/>
              <w:spacing w:after="0"/>
              <w:rPr>
                <w:sz w:val="20"/>
                <w:szCs w:val="20"/>
                <w:color w:val="auto"/>
              </w:rPr>
            </w:pPr>
            <w:r>
              <w:rPr>
                <w:rFonts w:ascii="Arial" w:cs="Arial" w:eastAsia="Arial" w:hAnsi="Arial"/>
                <w:sz w:val="14"/>
                <w:szCs w:val="14"/>
                <w:color w:val="auto"/>
              </w:rPr>
              <w:t>Natural gas</w:t>
            </w:r>
          </w:p>
        </w:tc>
        <w:tc>
          <w:tcPr>
            <w:tcW w:w="4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689</w:t>
            </w:r>
          </w:p>
        </w:tc>
        <w:tc>
          <w:tcPr>
            <w:tcW w:w="5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color w:val="auto"/>
              </w:rPr>
              <w:t>658</w:t>
            </w: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638</w:t>
            </w:r>
          </w:p>
        </w:tc>
      </w:tr>
      <w:tr>
        <w:trPr>
          <w:trHeight w:val="208"/>
        </w:trPr>
        <w:tc>
          <w:tcPr>
            <w:tcW w:w="4200" w:type="dxa"/>
            <w:vAlign w:val="bottom"/>
          </w:tcPr>
          <w:p>
            <w:pPr>
              <w:ind w:left="420"/>
              <w:spacing w:after="0"/>
              <w:rPr>
                <w:sz w:val="20"/>
                <w:szCs w:val="20"/>
                <w:color w:val="auto"/>
              </w:rPr>
            </w:pPr>
            <w:r>
              <w:rPr>
                <w:rFonts w:ascii="Arial" w:cs="Arial" w:eastAsia="Arial" w:hAnsi="Arial"/>
                <w:sz w:val="14"/>
                <w:szCs w:val="14"/>
                <w:color w:val="auto"/>
              </w:rPr>
              <w:t>Total operating revenues</w:t>
            </w:r>
          </w:p>
        </w:tc>
        <w:tc>
          <w:tcPr>
            <w:tcW w:w="4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3,251</w:t>
            </w:r>
          </w:p>
        </w:tc>
        <w:tc>
          <w:tcPr>
            <w:tcW w:w="5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color w:val="auto"/>
              </w:rPr>
              <w:t>2,852</w:t>
            </w: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2,785</w:t>
            </w:r>
          </w:p>
        </w:tc>
      </w:tr>
      <w:tr>
        <w:trPr>
          <w:trHeight w:val="418"/>
        </w:trPr>
        <w:tc>
          <w:tcPr>
            <w:tcW w:w="4200" w:type="dxa"/>
            <w:vAlign w:val="bottom"/>
          </w:tcPr>
          <w:p>
            <w:pPr>
              <w:ind w:left="20"/>
              <w:spacing w:after="0"/>
              <w:rPr>
                <w:sz w:val="20"/>
                <w:szCs w:val="20"/>
                <w:color w:val="auto"/>
              </w:rPr>
            </w:pPr>
            <w:r>
              <w:rPr>
                <w:rFonts w:ascii="Arial" w:cs="Arial" w:eastAsia="Arial" w:hAnsi="Arial"/>
                <w:sz w:val="14"/>
                <w:szCs w:val="14"/>
                <w:color w:val="auto"/>
              </w:rPr>
              <w:t>Operating expenses</w:t>
            </w: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16"/>
        </w:trPr>
        <w:tc>
          <w:tcPr>
            <w:tcW w:w="4200" w:type="dxa"/>
            <w:vAlign w:val="bottom"/>
          </w:tcPr>
          <w:p>
            <w:pPr>
              <w:ind w:left="180"/>
              <w:spacing w:after="0"/>
              <w:rPr>
                <w:sz w:val="20"/>
                <w:szCs w:val="20"/>
                <w:color w:val="auto"/>
              </w:rPr>
            </w:pPr>
            <w:r>
              <w:rPr>
                <w:rFonts w:ascii="Arial" w:cs="Arial" w:eastAsia="Arial" w:hAnsi="Arial"/>
                <w:sz w:val="14"/>
                <w:szCs w:val="14"/>
                <w:color w:val="auto"/>
              </w:rPr>
              <w:t>Cost of electric fuel and purchased power</w:t>
            </w:r>
          </w:p>
        </w:tc>
        <w:tc>
          <w:tcPr>
            <w:tcW w:w="420" w:type="dxa"/>
            <w:vAlign w:val="bottom"/>
          </w:tcPr>
          <w:p>
            <w:pPr>
              <w:spacing w:after="0"/>
              <w:rPr>
                <w:sz w:val="18"/>
                <w:szCs w:val="18"/>
                <w:color w:val="auto"/>
              </w:rPr>
            </w:pPr>
          </w:p>
        </w:tc>
        <w:tc>
          <w:tcPr>
            <w:tcW w:w="760" w:type="dxa"/>
            <w:vAlign w:val="bottom"/>
          </w:tcPr>
          <w:p>
            <w:pPr>
              <w:jc w:val="right"/>
              <w:ind w:right="68"/>
              <w:spacing w:after="0"/>
              <w:rPr>
                <w:sz w:val="20"/>
                <w:szCs w:val="20"/>
                <w:color w:val="auto"/>
              </w:rPr>
            </w:pPr>
            <w:r>
              <w:rPr>
                <w:rFonts w:ascii="Arial" w:cs="Arial" w:eastAsia="Arial" w:hAnsi="Arial"/>
                <w:sz w:val="14"/>
                <w:szCs w:val="14"/>
                <w:color w:val="auto"/>
              </w:rPr>
              <w:t>900</w:t>
            </w:r>
          </w:p>
        </w:tc>
        <w:tc>
          <w:tcPr>
            <w:tcW w:w="580" w:type="dxa"/>
            <w:vAlign w:val="bottom"/>
          </w:tcPr>
          <w:p>
            <w:pPr>
              <w:spacing w:after="0"/>
              <w:rPr>
                <w:sz w:val="18"/>
                <w:szCs w:val="18"/>
                <w:color w:val="auto"/>
              </w:rPr>
            </w:pPr>
          </w:p>
        </w:tc>
        <w:tc>
          <w:tcPr>
            <w:tcW w:w="1100" w:type="dxa"/>
            <w:vAlign w:val="bottom"/>
          </w:tcPr>
          <w:p>
            <w:pPr>
              <w:jc w:val="right"/>
              <w:ind w:right="388"/>
              <w:spacing w:after="0"/>
              <w:rPr>
                <w:sz w:val="20"/>
                <w:szCs w:val="20"/>
                <w:color w:val="auto"/>
              </w:rPr>
            </w:pPr>
            <w:r>
              <w:rPr>
                <w:rFonts w:ascii="Arial" w:cs="Arial" w:eastAsia="Arial" w:hAnsi="Arial"/>
                <w:sz w:val="14"/>
                <w:szCs w:val="14"/>
                <w:color w:val="auto"/>
              </w:rPr>
              <w:t>699</w:t>
            </w:r>
          </w:p>
        </w:tc>
        <w:tc>
          <w:tcPr>
            <w:tcW w:w="260" w:type="dxa"/>
            <w:vAlign w:val="bottom"/>
          </w:tcPr>
          <w:p>
            <w:pPr>
              <w:spacing w:after="0"/>
              <w:rPr>
                <w:sz w:val="18"/>
                <w:szCs w:val="18"/>
                <w:color w:val="auto"/>
              </w:rPr>
            </w:pPr>
          </w:p>
        </w:tc>
        <w:tc>
          <w:tcPr>
            <w:tcW w:w="940" w:type="dxa"/>
            <w:vAlign w:val="bottom"/>
          </w:tcPr>
          <w:p>
            <w:pPr>
              <w:jc w:val="right"/>
              <w:ind w:right="228"/>
              <w:spacing w:after="0"/>
              <w:rPr>
                <w:sz w:val="20"/>
                <w:szCs w:val="20"/>
                <w:color w:val="auto"/>
              </w:rPr>
            </w:pPr>
            <w:r>
              <w:rPr>
                <w:rFonts w:ascii="Arial" w:cs="Arial" w:eastAsia="Arial" w:hAnsi="Arial"/>
                <w:sz w:val="14"/>
                <w:szCs w:val="14"/>
                <w:color w:val="auto"/>
              </w:rPr>
              <w:t>721</w:t>
            </w:r>
          </w:p>
        </w:tc>
      </w:tr>
      <w:tr>
        <w:trPr>
          <w:trHeight w:val="216"/>
        </w:trPr>
        <w:tc>
          <w:tcPr>
            <w:tcW w:w="4200" w:type="dxa"/>
            <w:vAlign w:val="bottom"/>
          </w:tcPr>
          <w:p>
            <w:pPr>
              <w:ind w:left="180"/>
              <w:spacing w:after="0"/>
              <w:rPr>
                <w:sz w:val="20"/>
                <w:szCs w:val="20"/>
                <w:color w:val="auto"/>
              </w:rPr>
            </w:pPr>
            <w:r>
              <w:rPr>
                <w:rFonts w:ascii="Arial" w:cs="Arial" w:eastAsia="Arial" w:hAnsi="Arial"/>
                <w:sz w:val="14"/>
                <w:szCs w:val="14"/>
                <w:color w:val="auto"/>
              </w:rPr>
              <w:t>Cost of natural gas</w:t>
            </w:r>
          </w:p>
        </w:tc>
        <w:tc>
          <w:tcPr>
            <w:tcW w:w="420" w:type="dxa"/>
            <w:vAlign w:val="bottom"/>
          </w:tcPr>
          <w:p>
            <w:pPr>
              <w:spacing w:after="0"/>
              <w:rPr>
                <w:sz w:val="18"/>
                <w:szCs w:val="18"/>
                <w:color w:val="auto"/>
              </w:rPr>
            </w:pPr>
          </w:p>
        </w:tc>
        <w:tc>
          <w:tcPr>
            <w:tcW w:w="760" w:type="dxa"/>
            <w:vAlign w:val="bottom"/>
          </w:tcPr>
          <w:p>
            <w:pPr>
              <w:jc w:val="right"/>
              <w:ind w:right="68"/>
              <w:spacing w:after="0"/>
              <w:rPr>
                <w:sz w:val="20"/>
                <w:szCs w:val="20"/>
                <w:color w:val="auto"/>
              </w:rPr>
            </w:pPr>
            <w:r>
              <w:rPr>
                <w:rFonts w:ascii="Arial" w:cs="Arial" w:eastAsia="Arial" w:hAnsi="Arial"/>
                <w:sz w:val="14"/>
                <w:szCs w:val="14"/>
                <w:color w:val="auto"/>
              </w:rPr>
              <w:t>415</w:t>
            </w:r>
          </w:p>
        </w:tc>
        <w:tc>
          <w:tcPr>
            <w:tcW w:w="580" w:type="dxa"/>
            <w:vAlign w:val="bottom"/>
          </w:tcPr>
          <w:p>
            <w:pPr>
              <w:spacing w:after="0"/>
              <w:rPr>
                <w:sz w:val="18"/>
                <w:szCs w:val="18"/>
                <w:color w:val="auto"/>
              </w:rPr>
            </w:pPr>
          </w:p>
        </w:tc>
        <w:tc>
          <w:tcPr>
            <w:tcW w:w="1100" w:type="dxa"/>
            <w:vAlign w:val="bottom"/>
          </w:tcPr>
          <w:p>
            <w:pPr>
              <w:jc w:val="right"/>
              <w:ind w:right="388"/>
              <w:spacing w:after="0"/>
              <w:rPr>
                <w:sz w:val="20"/>
                <w:szCs w:val="20"/>
                <w:color w:val="auto"/>
              </w:rPr>
            </w:pPr>
            <w:r>
              <w:rPr>
                <w:rFonts w:ascii="Arial" w:cs="Arial" w:eastAsia="Arial" w:hAnsi="Arial"/>
                <w:sz w:val="14"/>
                <w:szCs w:val="14"/>
                <w:color w:val="auto"/>
              </w:rPr>
              <w:t>392</w:t>
            </w:r>
          </w:p>
        </w:tc>
        <w:tc>
          <w:tcPr>
            <w:tcW w:w="260" w:type="dxa"/>
            <w:vAlign w:val="bottom"/>
          </w:tcPr>
          <w:p>
            <w:pPr>
              <w:spacing w:after="0"/>
              <w:rPr>
                <w:sz w:val="18"/>
                <w:szCs w:val="18"/>
                <w:color w:val="auto"/>
              </w:rPr>
            </w:pPr>
          </w:p>
        </w:tc>
        <w:tc>
          <w:tcPr>
            <w:tcW w:w="940" w:type="dxa"/>
            <w:vAlign w:val="bottom"/>
          </w:tcPr>
          <w:p>
            <w:pPr>
              <w:jc w:val="right"/>
              <w:ind w:right="228"/>
              <w:spacing w:after="0"/>
              <w:rPr>
                <w:sz w:val="20"/>
                <w:szCs w:val="20"/>
                <w:color w:val="auto"/>
              </w:rPr>
            </w:pPr>
            <w:r>
              <w:rPr>
                <w:rFonts w:ascii="Arial" w:cs="Arial" w:eastAsia="Arial" w:hAnsi="Arial"/>
                <w:sz w:val="14"/>
                <w:szCs w:val="14"/>
                <w:color w:val="auto"/>
              </w:rPr>
              <w:t>380</w:t>
            </w:r>
          </w:p>
        </w:tc>
      </w:tr>
      <w:tr>
        <w:trPr>
          <w:trHeight w:val="216"/>
        </w:trPr>
        <w:tc>
          <w:tcPr>
            <w:tcW w:w="4200" w:type="dxa"/>
            <w:vAlign w:val="bottom"/>
          </w:tcPr>
          <w:p>
            <w:pPr>
              <w:ind w:left="180"/>
              <w:spacing w:after="0"/>
              <w:rPr>
                <w:sz w:val="20"/>
                <w:szCs w:val="20"/>
                <w:color w:val="auto"/>
              </w:rPr>
            </w:pPr>
            <w:r>
              <w:rPr>
                <w:rFonts w:ascii="Arial" w:cs="Arial" w:eastAsia="Arial" w:hAnsi="Arial"/>
                <w:sz w:val="14"/>
                <w:szCs w:val="14"/>
                <w:color w:val="auto"/>
              </w:rPr>
              <w:t>Operation and maintenance</w:t>
            </w:r>
          </w:p>
        </w:tc>
        <w:tc>
          <w:tcPr>
            <w:tcW w:w="420" w:type="dxa"/>
            <w:vAlign w:val="bottom"/>
          </w:tcPr>
          <w:p>
            <w:pPr>
              <w:spacing w:after="0"/>
              <w:rPr>
                <w:sz w:val="18"/>
                <w:szCs w:val="18"/>
                <w:color w:val="auto"/>
              </w:rPr>
            </w:pPr>
          </w:p>
        </w:tc>
        <w:tc>
          <w:tcPr>
            <w:tcW w:w="760" w:type="dxa"/>
            <w:vAlign w:val="bottom"/>
          </w:tcPr>
          <w:p>
            <w:pPr>
              <w:jc w:val="right"/>
              <w:ind w:right="68"/>
              <w:spacing w:after="0"/>
              <w:rPr>
                <w:sz w:val="20"/>
                <w:szCs w:val="20"/>
                <w:color w:val="auto"/>
              </w:rPr>
            </w:pPr>
            <w:r>
              <w:rPr>
                <w:rFonts w:ascii="Arial" w:cs="Arial" w:eastAsia="Arial" w:hAnsi="Arial"/>
                <w:sz w:val="14"/>
                <w:szCs w:val="14"/>
                <w:color w:val="auto"/>
              </w:rPr>
              <w:t>913</w:t>
            </w:r>
          </w:p>
        </w:tc>
        <w:tc>
          <w:tcPr>
            <w:tcW w:w="580" w:type="dxa"/>
            <w:vAlign w:val="bottom"/>
          </w:tcPr>
          <w:p>
            <w:pPr>
              <w:spacing w:after="0"/>
              <w:rPr>
                <w:sz w:val="18"/>
                <w:szCs w:val="18"/>
                <w:color w:val="auto"/>
              </w:rPr>
            </w:pPr>
          </w:p>
        </w:tc>
        <w:tc>
          <w:tcPr>
            <w:tcW w:w="1100" w:type="dxa"/>
            <w:vAlign w:val="bottom"/>
          </w:tcPr>
          <w:p>
            <w:pPr>
              <w:jc w:val="right"/>
              <w:ind w:right="388"/>
              <w:spacing w:after="0"/>
              <w:rPr>
                <w:sz w:val="20"/>
                <w:szCs w:val="20"/>
                <w:color w:val="auto"/>
              </w:rPr>
            </w:pPr>
            <w:r>
              <w:rPr>
                <w:rFonts w:ascii="Arial" w:cs="Arial" w:eastAsia="Arial" w:hAnsi="Arial"/>
                <w:sz w:val="14"/>
                <w:szCs w:val="14"/>
                <w:color w:val="auto"/>
              </w:rPr>
              <w:t>807</w:t>
            </w:r>
          </w:p>
        </w:tc>
        <w:tc>
          <w:tcPr>
            <w:tcW w:w="260" w:type="dxa"/>
            <w:vAlign w:val="bottom"/>
          </w:tcPr>
          <w:p>
            <w:pPr>
              <w:spacing w:after="0"/>
              <w:rPr>
                <w:sz w:val="18"/>
                <w:szCs w:val="18"/>
                <w:color w:val="auto"/>
              </w:rPr>
            </w:pPr>
          </w:p>
        </w:tc>
        <w:tc>
          <w:tcPr>
            <w:tcW w:w="940" w:type="dxa"/>
            <w:vAlign w:val="bottom"/>
          </w:tcPr>
          <w:p>
            <w:pPr>
              <w:jc w:val="right"/>
              <w:ind w:right="228"/>
              <w:spacing w:after="0"/>
              <w:rPr>
                <w:sz w:val="20"/>
                <w:szCs w:val="20"/>
                <w:color w:val="auto"/>
              </w:rPr>
            </w:pPr>
            <w:r>
              <w:rPr>
                <w:rFonts w:ascii="Arial" w:cs="Arial" w:eastAsia="Arial" w:hAnsi="Arial"/>
                <w:sz w:val="14"/>
                <w:szCs w:val="14"/>
                <w:color w:val="auto"/>
              </w:rPr>
              <w:t>777</w:t>
            </w:r>
          </w:p>
        </w:tc>
      </w:tr>
      <w:tr>
        <w:trPr>
          <w:trHeight w:val="216"/>
        </w:trPr>
        <w:tc>
          <w:tcPr>
            <w:tcW w:w="4200" w:type="dxa"/>
            <w:vAlign w:val="bottom"/>
          </w:tcPr>
          <w:p>
            <w:pPr>
              <w:ind w:left="180"/>
              <w:spacing w:after="0"/>
              <w:rPr>
                <w:sz w:val="20"/>
                <w:szCs w:val="20"/>
                <w:color w:val="auto"/>
              </w:rPr>
            </w:pPr>
            <w:r>
              <w:rPr>
                <w:rFonts w:ascii="Arial" w:cs="Arial" w:eastAsia="Arial" w:hAnsi="Arial"/>
                <w:sz w:val="14"/>
                <w:szCs w:val="14"/>
                <w:color w:val="auto"/>
              </w:rPr>
              <w:t>Depreciation and amortization</w:t>
            </w:r>
          </w:p>
        </w:tc>
        <w:tc>
          <w:tcPr>
            <w:tcW w:w="420" w:type="dxa"/>
            <w:vAlign w:val="bottom"/>
          </w:tcPr>
          <w:p>
            <w:pPr>
              <w:spacing w:after="0"/>
              <w:rPr>
                <w:sz w:val="18"/>
                <w:szCs w:val="18"/>
                <w:color w:val="auto"/>
              </w:rPr>
            </w:pPr>
          </w:p>
        </w:tc>
        <w:tc>
          <w:tcPr>
            <w:tcW w:w="760" w:type="dxa"/>
            <w:vAlign w:val="bottom"/>
          </w:tcPr>
          <w:p>
            <w:pPr>
              <w:jc w:val="right"/>
              <w:ind w:right="68"/>
              <w:spacing w:after="0"/>
              <w:rPr>
                <w:sz w:val="20"/>
                <w:szCs w:val="20"/>
                <w:color w:val="auto"/>
              </w:rPr>
            </w:pPr>
            <w:r>
              <w:rPr>
                <w:rFonts w:ascii="Arial" w:cs="Arial" w:eastAsia="Arial" w:hAnsi="Arial"/>
                <w:sz w:val="14"/>
                <w:szCs w:val="14"/>
                <w:color w:val="auto"/>
              </w:rPr>
              <w:t>298</w:t>
            </w:r>
          </w:p>
        </w:tc>
        <w:tc>
          <w:tcPr>
            <w:tcW w:w="580" w:type="dxa"/>
            <w:vAlign w:val="bottom"/>
          </w:tcPr>
          <w:p>
            <w:pPr>
              <w:spacing w:after="0"/>
              <w:rPr>
                <w:sz w:val="18"/>
                <w:szCs w:val="18"/>
                <w:color w:val="auto"/>
              </w:rPr>
            </w:pPr>
          </w:p>
        </w:tc>
        <w:tc>
          <w:tcPr>
            <w:tcW w:w="1100" w:type="dxa"/>
            <w:vAlign w:val="bottom"/>
          </w:tcPr>
          <w:p>
            <w:pPr>
              <w:jc w:val="right"/>
              <w:ind w:right="388"/>
              <w:spacing w:after="0"/>
              <w:rPr>
                <w:sz w:val="20"/>
                <w:szCs w:val="20"/>
                <w:color w:val="auto"/>
              </w:rPr>
            </w:pPr>
            <w:r>
              <w:rPr>
                <w:rFonts w:ascii="Arial" w:cs="Arial" w:eastAsia="Arial" w:hAnsi="Arial"/>
                <w:sz w:val="14"/>
                <w:szCs w:val="14"/>
                <w:color w:val="auto"/>
              </w:rPr>
              <w:t>301</w:t>
            </w:r>
          </w:p>
        </w:tc>
        <w:tc>
          <w:tcPr>
            <w:tcW w:w="260" w:type="dxa"/>
            <w:vAlign w:val="bottom"/>
          </w:tcPr>
          <w:p>
            <w:pPr>
              <w:spacing w:after="0"/>
              <w:rPr>
                <w:sz w:val="18"/>
                <w:szCs w:val="18"/>
                <w:color w:val="auto"/>
              </w:rPr>
            </w:pPr>
          </w:p>
        </w:tc>
        <w:tc>
          <w:tcPr>
            <w:tcW w:w="940" w:type="dxa"/>
            <w:vAlign w:val="bottom"/>
          </w:tcPr>
          <w:p>
            <w:pPr>
              <w:jc w:val="right"/>
              <w:ind w:right="228"/>
              <w:spacing w:after="0"/>
              <w:rPr>
                <w:sz w:val="20"/>
                <w:szCs w:val="20"/>
                <w:color w:val="auto"/>
              </w:rPr>
            </w:pPr>
            <w:r>
              <w:rPr>
                <w:rFonts w:ascii="Arial" w:cs="Arial" w:eastAsia="Arial" w:hAnsi="Arial"/>
                <w:sz w:val="14"/>
                <w:szCs w:val="14"/>
                <w:color w:val="auto"/>
              </w:rPr>
              <w:t>291</w:t>
            </w:r>
          </w:p>
        </w:tc>
      </w:tr>
      <w:tr>
        <w:trPr>
          <w:trHeight w:val="216"/>
        </w:trPr>
        <w:tc>
          <w:tcPr>
            <w:tcW w:w="4200" w:type="dxa"/>
            <w:vAlign w:val="bottom"/>
          </w:tcPr>
          <w:p>
            <w:pPr>
              <w:ind w:left="180"/>
              <w:spacing w:after="0"/>
              <w:rPr>
                <w:sz w:val="20"/>
                <w:szCs w:val="20"/>
                <w:color w:val="auto"/>
              </w:rPr>
            </w:pPr>
            <w:r>
              <w:rPr>
                <w:rFonts w:ascii="Arial" w:cs="Arial" w:eastAsia="Arial" w:hAnsi="Arial"/>
                <w:sz w:val="14"/>
                <w:szCs w:val="14"/>
                <w:color w:val="auto"/>
              </w:rPr>
              <w:t>Franchise fees and other taxes</w:t>
            </w:r>
          </w:p>
        </w:tc>
        <w:tc>
          <w:tcPr>
            <w:tcW w:w="420" w:type="dxa"/>
            <w:vAlign w:val="bottom"/>
          </w:tcPr>
          <w:p>
            <w:pPr>
              <w:spacing w:after="0"/>
              <w:rPr>
                <w:sz w:val="18"/>
                <w:szCs w:val="18"/>
                <w:color w:val="auto"/>
              </w:rPr>
            </w:pPr>
          </w:p>
        </w:tc>
        <w:tc>
          <w:tcPr>
            <w:tcW w:w="760" w:type="dxa"/>
            <w:vAlign w:val="bottom"/>
          </w:tcPr>
          <w:p>
            <w:pPr>
              <w:jc w:val="right"/>
              <w:ind w:right="68"/>
              <w:spacing w:after="0"/>
              <w:rPr>
                <w:sz w:val="20"/>
                <w:szCs w:val="20"/>
                <w:color w:val="auto"/>
              </w:rPr>
            </w:pPr>
            <w:r>
              <w:rPr>
                <w:rFonts w:ascii="Arial" w:cs="Arial" w:eastAsia="Arial" w:hAnsi="Arial"/>
                <w:sz w:val="14"/>
                <w:szCs w:val="14"/>
                <w:color w:val="auto"/>
              </w:rPr>
              <w:t>158</w:t>
            </w:r>
          </w:p>
        </w:tc>
        <w:tc>
          <w:tcPr>
            <w:tcW w:w="580" w:type="dxa"/>
            <w:vAlign w:val="bottom"/>
          </w:tcPr>
          <w:p>
            <w:pPr>
              <w:spacing w:after="0"/>
              <w:rPr>
                <w:sz w:val="18"/>
                <w:szCs w:val="18"/>
                <w:color w:val="auto"/>
              </w:rPr>
            </w:pPr>
          </w:p>
        </w:tc>
        <w:tc>
          <w:tcPr>
            <w:tcW w:w="1100" w:type="dxa"/>
            <w:vAlign w:val="bottom"/>
          </w:tcPr>
          <w:p>
            <w:pPr>
              <w:jc w:val="right"/>
              <w:ind w:right="388"/>
              <w:spacing w:after="0"/>
              <w:rPr>
                <w:sz w:val="20"/>
                <w:szCs w:val="20"/>
                <w:color w:val="auto"/>
              </w:rPr>
            </w:pPr>
            <w:r>
              <w:rPr>
                <w:rFonts w:ascii="Arial" w:cs="Arial" w:eastAsia="Arial" w:hAnsi="Arial"/>
                <w:sz w:val="14"/>
                <w:szCs w:val="14"/>
                <w:color w:val="auto"/>
              </w:rPr>
              <w:t>155</w:t>
            </w:r>
          </w:p>
        </w:tc>
        <w:tc>
          <w:tcPr>
            <w:tcW w:w="260" w:type="dxa"/>
            <w:vAlign w:val="bottom"/>
          </w:tcPr>
          <w:p>
            <w:pPr>
              <w:spacing w:after="0"/>
              <w:rPr>
                <w:sz w:val="18"/>
                <w:szCs w:val="18"/>
                <w:color w:val="auto"/>
              </w:rPr>
            </w:pPr>
          </w:p>
        </w:tc>
        <w:tc>
          <w:tcPr>
            <w:tcW w:w="940" w:type="dxa"/>
            <w:vAlign w:val="bottom"/>
          </w:tcPr>
          <w:p>
            <w:pPr>
              <w:jc w:val="right"/>
              <w:ind w:right="228"/>
              <w:spacing w:after="0"/>
              <w:rPr>
                <w:sz w:val="20"/>
                <w:szCs w:val="20"/>
                <w:color w:val="auto"/>
              </w:rPr>
            </w:pPr>
            <w:r>
              <w:rPr>
                <w:rFonts w:ascii="Arial" w:cs="Arial" w:eastAsia="Arial" w:hAnsi="Arial"/>
                <w:sz w:val="14"/>
                <w:szCs w:val="14"/>
                <w:color w:val="auto"/>
              </w:rPr>
              <w:t>140</w:t>
            </w:r>
          </w:p>
        </w:tc>
      </w:tr>
      <w:tr>
        <w:trPr>
          <w:trHeight w:val="222"/>
        </w:trPr>
        <w:tc>
          <w:tcPr>
            <w:tcW w:w="4200" w:type="dxa"/>
            <w:vAlign w:val="bottom"/>
          </w:tcPr>
          <w:p>
            <w:pPr>
              <w:ind w:left="180"/>
              <w:spacing w:after="0"/>
              <w:rPr>
                <w:sz w:val="20"/>
                <w:szCs w:val="20"/>
                <w:color w:val="auto"/>
              </w:rPr>
            </w:pPr>
            <w:r>
              <w:rPr>
                <w:rFonts w:ascii="Arial" w:cs="Arial" w:eastAsia="Arial" w:hAnsi="Arial"/>
                <w:sz w:val="14"/>
                <w:szCs w:val="14"/>
                <w:color w:val="auto"/>
              </w:rPr>
              <w:t>Gains on sale of assets</w:t>
            </w:r>
          </w:p>
        </w:tc>
        <w:tc>
          <w:tcPr>
            <w:tcW w:w="4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(3 )</w:t>
            </w:r>
          </w:p>
        </w:tc>
        <w:tc>
          <w:tcPr>
            <w:tcW w:w="5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rPr>
              <w:t>(2 )</w:t>
            </w: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(1 )</w:t>
            </w:r>
          </w:p>
        </w:tc>
      </w:tr>
      <w:tr>
        <w:trPr>
          <w:trHeight w:val="208"/>
        </w:trPr>
        <w:tc>
          <w:tcPr>
            <w:tcW w:w="4200" w:type="dxa"/>
            <w:vAlign w:val="bottom"/>
          </w:tcPr>
          <w:p>
            <w:pPr>
              <w:ind w:left="420"/>
              <w:spacing w:after="0"/>
              <w:rPr>
                <w:sz w:val="20"/>
                <w:szCs w:val="20"/>
                <w:color w:val="auto"/>
              </w:rPr>
            </w:pPr>
            <w:r>
              <w:rPr>
                <w:rFonts w:ascii="Arial" w:cs="Arial" w:eastAsia="Arial" w:hAnsi="Arial"/>
                <w:sz w:val="14"/>
                <w:szCs w:val="14"/>
                <w:color w:val="auto"/>
              </w:rPr>
              <w:t>Total operating expenses</w:t>
            </w:r>
          </w:p>
        </w:tc>
        <w:tc>
          <w:tcPr>
            <w:tcW w:w="4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2,681</w:t>
            </w:r>
          </w:p>
        </w:tc>
        <w:tc>
          <w:tcPr>
            <w:tcW w:w="5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color w:val="auto"/>
              </w:rPr>
              <w:t>2,352</w:t>
            </w: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2,308</w:t>
            </w:r>
          </w:p>
        </w:tc>
      </w:tr>
      <w:tr>
        <w:trPr>
          <w:trHeight w:val="418"/>
        </w:trPr>
        <w:tc>
          <w:tcPr>
            <w:tcW w:w="4200" w:type="dxa"/>
            <w:vAlign w:val="bottom"/>
          </w:tcPr>
          <w:p>
            <w:pPr>
              <w:ind w:left="20"/>
              <w:spacing w:after="0"/>
              <w:rPr>
                <w:sz w:val="20"/>
                <w:szCs w:val="20"/>
                <w:color w:val="auto"/>
              </w:rPr>
            </w:pPr>
            <w:r>
              <w:rPr>
                <w:rFonts w:ascii="Arial" w:cs="Arial" w:eastAsia="Arial" w:hAnsi="Arial"/>
                <w:sz w:val="14"/>
                <w:szCs w:val="14"/>
                <w:color w:val="auto"/>
              </w:rPr>
              <w:t>Operating income</w:t>
            </w:r>
          </w:p>
        </w:tc>
        <w:tc>
          <w:tcPr>
            <w:tcW w:w="420" w:type="dxa"/>
            <w:vAlign w:val="bottom"/>
          </w:tcPr>
          <w:p>
            <w:pPr>
              <w:spacing w:after="0"/>
              <w:rPr>
                <w:sz w:val="24"/>
                <w:szCs w:val="24"/>
                <w:color w:val="auto"/>
              </w:rPr>
            </w:pPr>
          </w:p>
        </w:tc>
        <w:tc>
          <w:tcPr>
            <w:tcW w:w="760" w:type="dxa"/>
            <w:vAlign w:val="bottom"/>
          </w:tcPr>
          <w:p>
            <w:pPr>
              <w:jc w:val="right"/>
              <w:ind w:right="68"/>
              <w:spacing w:after="0"/>
              <w:rPr>
                <w:sz w:val="20"/>
                <w:szCs w:val="20"/>
                <w:color w:val="auto"/>
              </w:rPr>
            </w:pPr>
            <w:r>
              <w:rPr>
                <w:rFonts w:ascii="Arial" w:cs="Arial" w:eastAsia="Arial" w:hAnsi="Arial"/>
                <w:sz w:val="14"/>
                <w:szCs w:val="14"/>
                <w:color w:val="auto"/>
              </w:rPr>
              <w:t>570</w:t>
            </w:r>
          </w:p>
        </w:tc>
        <w:tc>
          <w:tcPr>
            <w:tcW w:w="580" w:type="dxa"/>
            <w:vAlign w:val="bottom"/>
          </w:tcPr>
          <w:p>
            <w:pPr>
              <w:spacing w:after="0"/>
              <w:rPr>
                <w:sz w:val="24"/>
                <w:szCs w:val="24"/>
                <w:color w:val="auto"/>
              </w:rPr>
            </w:pPr>
          </w:p>
        </w:tc>
        <w:tc>
          <w:tcPr>
            <w:tcW w:w="1100" w:type="dxa"/>
            <w:vAlign w:val="bottom"/>
          </w:tcPr>
          <w:p>
            <w:pPr>
              <w:jc w:val="right"/>
              <w:ind w:right="388"/>
              <w:spacing w:after="0"/>
              <w:rPr>
                <w:sz w:val="20"/>
                <w:szCs w:val="20"/>
                <w:color w:val="auto"/>
              </w:rPr>
            </w:pPr>
            <w:r>
              <w:rPr>
                <w:rFonts w:ascii="Arial" w:cs="Arial" w:eastAsia="Arial" w:hAnsi="Arial"/>
                <w:sz w:val="14"/>
                <w:szCs w:val="14"/>
                <w:color w:val="auto"/>
              </w:rPr>
              <w:t>500</w:t>
            </w:r>
          </w:p>
        </w:tc>
        <w:tc>
          <w:tcPr>
            <w:tcW w:w="260" w:type="dxa"/>
            <w:vAlign w:val="bottom"/>
          </w:tcPr>
          <w:p>
            <w:pPr>
              <w:spacing w:after="0"/>
              <w:rPr>
                <w:sz w:val="24"/>
                <w:szCs w:val="24"/>
                <w:color w:val="auto"/>
              </w:rPr>
            </w:pPr>
          </w:p>
        </w:tc>
        <w:tc>
          <w:tcPr>
            <w:tcW w:w="940" w:type="dxa"/>
            <w:vAlign w:val="bottom"/>
          </w:tcPr>
          <w:p>
            <w:pPr>
              <w:jc w:val="right"/>
              <w:ind w:right="228"/>
              <w:spacing w:after="0"/>
              <w:rPr>
                <w:sz w:val="20"/>
                <w:szCs w:val="20"/>
                <w:color w:val="auto"/>
              </w:rPr>
            </w:pPr>
            <w:r>
              <w:rPr>
                <w:rFonts w:ascii="Arial" w:cs="Arial" w:eastAsia="Arial" w:hAnsi="Arial"/>
                <w:sz w:val="14"/>
                <w:szCs w:val="14"/>
                <w:color w:val="auto"/>
              </w:rPr>
              <w:t>477</w:t>
            </w:r>
          </w:p>
        </w:tc>
      </w:tr>
      <w:tr>
        <w:trPr>
          <w:trHeight w:val="432"/>
        </w:trPr>
        <w:tc>
          <w:tcPr>
            <w:tcW w:w="4200" w:type="dxa"/>
            <w:vAlign w:val="bottom"/>
          </w:tcPr>
          <w:p>
            <w:pPr>
              <w:ind w:left="20"/>
              <w:spacing w:after="0"/>
              <w:rPr>
                <w:sz w:val="20"/>
                <w:szCs w:val="20"/>
                <w:color w:val="auto"/>
              </w:rPr>
            </w:pPr>
            <w:r>
              <w:rPr>
                <w:rFonts w:ascii="Arial" w:cs="Arial" w:eastAsia="Arial" w:hAnsi="Arial"/>
                <w:sz w:val="14"/>
                <w:szCs w:val="14"/>
                <w:color w:val="auto"/>
              </w:rPr>
              <w:t>Other income, net</w:t>
            </w:r>
          </w:p>
        </w:tc>
        <w:tc>
          <w:tcPr>
            <w:tcW w:w="420" w:type="dxa"/>
            <w:vAlign w:val="bottom"/>
          </w:tcPr>
          <w:p>
            <w:pPr>
              <w:spacing w:after="0"/>
              <w:rPr>
                <w:sz w:val="24"/>
                <w:szCs w:val="24"/>
                <w:color w:val="auto"/>
              </w:rPr>
            </w:pPr>
          </w:p>
        </w:tc>
        <w:tc>
          <w:tcPr>
            <w:tcW w:w="760" w:type="dxa"/>
            <w:vAlign w:val="bottom"/>
          </w:tcPr>
          <w:p>
            <w:pPr>
              <w:jc w:val="right"/>
              <w:ind w:right="68"/>
              <w:spacing w:after="0"/>
              <w:rPr>
                <w:sz w:val="20"/>
                <w:szCs w:val="20"/>
                <w:color w:val="auto"/>
              </w:rPr>
            </w:pPr>
            <w:r>
              <w:rPr>
                <w:rFonts w:ascii="Arial" w:cs="Arial" w:eastAsia="Arial" w:hAnsi="Arial"/>
                <w:sz w:val="14"/>
                <w:szCs w:val="14"/>
                <w:color w:val="auto"/>
              </w:rPr>
              <w:t>25</w:t>
            </w:r>
          </w:p>
        </w:tc>
        <w:tc>
          <w:tcPr>
            <w:tcW w:w="580" w:type="dxa"/>
            <w:vAlign w:val="bottom"/>
          </w:tcPr>
          <w:p>
            <w:pPr>
              <w:spacing w:after="0"/>
              <w:rPr>
                <w:sz w:val="24"/>
                <w:szCs w:val="24"/>
                <w:color w:val="auto"/>
              </w:rPr>
            </w:pPr>
          </w:p>
        </w:tc>
        <w:tc>
          <w:tcPr>
            <w:tcW w:w="1100" w:type="dxa"/>
            <w:vAlign w:val="bottom"/>
          </w:tcPr>
          <w:p>
            <w:pPr>
              <w:jc w:val="right"/>
              <w:ind w:right="388"/>
              <w:spacing w:after="0"/>
              <w:rPr>
                <w:sz w:val="20"/>
                <w:szCs w:val="20"/>
                <w:color w:val="auto"/>
              </w:rPr>
            </w:pPr>
            <w:r>
              <w:rPr>
                <w:rFonts w:ascii="Arial" w:cs="Arial" w:eastAsia="Arial" w:hAnsi="Arial"/>
                <w:sz w:val="14"/>
                <w:szCs w:val="14"/>
                <w:color w:val="auto"/>
              </w:rPr>
              <w:t>11</w:t>
            </w:r>
          </w:p>
        </w:tc>
        <w:tc>
          <w:tcPr>
            <w:tcW w:w="260" w:type="dxa"/>
            <w:vAlign w:val="bottom"/>
          </w:tcPr>
          <w:p>
            <w:pPr>
              <w:spacing w:after="0"/>
              <w:rPr>
                <w:sz w:val="24"/>
                <w:szCs w:val="24"/>
                <w:color w:val="auto"/>
              </w:rPr>
            </w:pPr>
          </w:p>
        </w:tc>
        <w:tc>
          <w:tcPr>
            <w:tcW w:w="940" w:type="dxa"/>
            <w:vAlign w:val="bottom"/>
          </w:tcPr>
          <w:p>
            <w:pPr>
              <w:jc w:val="right"/>
              <w:ind w:right="228"/>
              <w:spacing w:after="0"/>
              <w:rPr>
                <w:sz w:val="20"/>
                <w:szCs w:val="20"/>
                <w:color w:val="auto"/>
              </w:rPr>
            </w:pPr>
            <w:r>
              <w:rPr>
                <w:rFonts w:ascii="Arial" w:cs="Arial" w:eastAsia="Arial" w:hAnsi="Arial"/>
                <w:sz w:val="14"/>
                <w:szCs w:val="14"/>
                <w:color w:val="auto"/>
              </w:rPr>
              <w:t>8</w:t>
            </w:r>
          </w:p>
        </w:tc>
      </w:tr>
      <w:tr>
        <w:trPr>
          <w:trHeight w:val="216"/>
        </w:trPr>
        <w:tc>
          <w:tcPr>
            <w:tcW w:w="4200" w:type="dxa"/>
            <w:vAlign w:val="bottom"/>
          </w:tcPr>
          <w:p>
            <w:pPr>
              <w:ind w:left="20"/>
              <w:spacing w:after="0"/>
              <w:rPr>
                <w:sz w:val="20"/>
                <w:szCs w:val="20"/>
                <w:color w:val="auto"/>
              </w:rPr>
            </w:pPr>
            <w:r>
              <w:rPr>
                <w:rFonts w:ascii="Arial" w:cs="Arial" w:eastAsia="Arial" w:hAnsi="Arial"/>
                <w:sz w:val="14"/>
                <w:szCs w:val="14"/>
                <w:color w:val="auto"/>
              </w:rPr>
              <w:t>Interest income</w:t>
            </w:r>
          </w:p>
        </w:tc>
        <w:tc>
          <w:tcPr>
            <w:tcW w:w="420" w:type="dxa"/>
            <w:vAlign w:val="bottom"/>
          </w:tcPr>
          <w:p>
            <w:pPr>
              <w:spacing w:after="0"/>
              <w:rPr>
                <w:sz w:val="18"/>
                <w:szCs w:val="18"/>
                <w:color w:val="auto"/>
              </w:rPr>
            </w:pPr>
          </w:p>
        </w:tc>
        <w:tc>
          <w:tcPr>
            <w:tcW w:w="760" w:type="dxa"/>
            <w:vAlign w:val="bottom"/>
          </w:tcPr>
          <w:p>
            <w:pPr>
              <w:jc w:val="right"/>
              <w:ind w:right="68"/>
              <w:spacing w:after="0"/>
              <w:rPr>
                <w:sz w:val="20"/>
                <w:szCs w:val="20"/>
                <w:color w:val="auto"/>
              </w:rPr>
            </w:pPr>
            <w:r>
              <w:rPr>
                <w:rFonts w:ascii="Arial" w:cs="Arial" w:eastAsia="Arial" w:hAnsi="Arial"/>
                <w:sz w:val="14"/>
                <w:szCs w:val="14"/>
                <w:color w:val="auto"/>
              </w:rPr>
              <w:t>6</w:t>
            </w:r>
          </w:p>
        </w:tc>
        <w:tc>
          <w:tcPr>
            <w:tcW w:w="580" w:type="dxa"/>
            <w:vAlign w:val="bottom"/>
          </w:tcPr>
          <w:p>
            <w:pPr>
              <w:spacing w:after="0"/>
              <w:rPr>
                <w:sz w:val="18"/>
                <w:szCs w:val="18"/>
                <w:color w:val="auto"/>
              </w:rPr>
            </w:pPr>
          </w:p>
        </w:tc>
        <w:tc>
          <w:tcPr>
            <w:tcW w:w="1100" w:type="dxa"/>
            <w:vAlign w:val="bottom"/>
          </w:tcPr>
          <w:p>
            <w:pPr>
              <w:jc w:val="right"/>
              <w:ind w:right="388"/>
              <w:spacing w:after="0"/>
              <w:rPr>
                <w:sz w:val="20"/>
                <w:szCs w:val="20"/>
                <w:color w:val="auto"/>
              </w:rPr>
            </w:pPr>
            <w:r>
              <w:rPr>
                <w:rFonts w:ascii="Arial" w:cs="Arial" w:eastAsia="Arial" w:hAnsi="Arial"/>
                <w:sz w:val="14"/>
                <w:szCs w:val="14"/>
                <w:color w:val="auto"/>
              </w:rPr>
              <w:t>8</w:t>
            </w:r>
          </w:p>
        </w:tc>
        <w:tc>
          <w:tcPr>
            <w:tcW w:w="260" w:type="dxa"/>
            <w:vAlign w:val="bottom"/>
          </w:tcPr>
          <w:p>
            <w:pPr>
              <w:spacing w:after="0"/>
              <w:rPr>
                <w:sz w:val="18"/>
                <w:szCs w:val="18"/>
                <w:color w:val="auto"/>
              </w:rPr>
            </w:pPr>
          </w:p>
        </w:tc>
        <w:tc>
          <w:tcPr>
            <w:tcW w:w="940" w:type="dxa"/>
            <w:vAlign w:val="bottom"/>
          </w:tcPr>
          <w:p>
            <w:pPr>
              <w:jc w:val="right"/>
              <w:ind w:right="228"/>
              <w:spacing w:after="0"/>
              <w:rPr>
                <w:sz w:val="20"/>
                <w:szCs w:val="20"/>
                <w:color w:val="auto"/>
              </w:rPr>
            </w:pPr>
            <w:r>
              <w:rPr>
                <w:rFonts w:ascii="Arial" w:cs="Arial" w:eastAsia="Arial" w:hAnsi="Arial"/>
                <w:sz w:val="14"/>
                <w:szCs w:val="14"/>
                <w:color w:val="auto"/>
              </w:rPr>
              <w:t>6</w:t>
            </w:r>
          </w:p>
        </w:tc>
      </w:tr>
      <w:tr>
        <w:trPr>
          <w:trHeight w:val="222"/>
        </w:trPr>
        <w:tc>
          <w:tcPr>
            <w:tcW w:w="4200" w:type="dxa"/>
            <w:vAlign w:val="bottom"/>
          </w:tcPr>
          <w:p>
            <w:pPr>
              <w:ind w:left="20"/>
              <w:spacing w:after="0"/>
              <w:rPr>
                <w:sz w:val="20"/>
                <w:szCs w:val="20"/>
                <w:color w:val="auto"/>
              </w:rPr>
            </w:pPr>
            <w:r>
              <w:rPr>
                <w:rFonts w:ascii="Arial" w:cs="Arial" w:eastAsia="Arial" w:hAnsi="Arial"/>
                <w:sz w:val="14"/>
                <w:szCs w:val="14"/>
                <w:color w:val="auto"/>
              </w:rPr>
              <w:t>Interest expense</w:t>
            </w:r>
          </w:p>
        </w:tc>
        <w:tc>
          <w:tcPr>
            <w:tcW w:w="4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(96 )</w:t>
            </w:r>
          </w:p>
        </w:tc>
        <w:tc>
          <w:tcPr>
            <w:tcW w:w="5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rPr>
              <w:t>(96 )</w:t>
            </w: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(97 )</w:t>
            </w:r>
          </w:p>
        </w:tc>
      </w:tr>
      <w:tr>
        <w:trPr>
          <w:trHeight w:val="202"/>
        </w:trPr>
        <w:tc>
          <w:tcPr>
            <w:tcW w:w="4200" w:type="dxa"/>
            <w:vAlign w:val="bottom"/>
          </w:tcPr>
          <w:p>
            <w:pPr>
              <w:ind w:left="20"/>
              <w:spacing w:after="0"/>
              <w:rPr>
                <w:sz w:val="20"/>
                <w:szCs w:val="20"/>
                <w:color w:val="auto"/>
              </w:rPr>
            </w:pPr>
            <w:r>
              <w:rPr>
                <w:rFonts w:ascii="Arial" w:cs="Arial" w:eastAsia="Arial" w:hAnsi="Arial"/>
                <w:sz w:val="14"/>
                <w:szCs w:val="14"/>
                <w:color w:val="auto"/>
              </w:rPr>
              <w:t>Income before income taxes</w:t>
            </w:r>
          </w:p>
        </w:tc>
        <w:tc>
          <w:tcPr>
            <w:tcW w:w="420" w:type="dxa"/>
            <w:vAlign w:val="bottom"/>
          </w:tcPr>
          <w:p>
            <w:pPr>
              <w:spacing w:after="0"/>
              <w:rPr>
                <w:sz w:val="17"/>
                <w:szCs w:val="17"/>
                <w:color w:val="auto"/>
              </w:rPr>
            </w:pPr>
          </w:p>
        </w:tc>
        <w:tc>
          <w:tcPr>
            <w:tcW w:w="760" w:type="dxa"/>
            <w:vAlign w:val="bottom"/>
          </w:tcPr>
          <w:p>
            <w:pPr>
              <w:jc w:val="right"/>
              <w:ind w:right="68"/>
              <w:spacing w:after="0"/>
              <w:rPr>
                <w:sz w:val="20"/>
                <w:szCs w:val="20"/>
                <w:color w:val="auto"/>
              </w:rPr>
            </w:pPr>
            <w:r>
              <w:rPr>
                <w:rFonts w:ascii="Arial" w:cs="Arial" w:eastAsia="Arial" w:hAnsi="Arial"/>
                <w:sz w:val="14"/>
                <w:szCs w:val="14"/>
                <w:color w:val="auto"/>
              </w:rPr>
              <w:t>505</w:t>
            </w:r>
          </w:p>
        </w:tc>
        <w:tc>
          <w:tcPr>
            <w:tcW w:w="580" w:type="dxa"/>
            <w:vAlign w:val="bottom"/>
          </w:tcPr>
          <w:p>
            <w:pPr>
              <w:spacing w:after="0"/>
              <w:rPr>
                <w:sz w:val="17"/>
                <w:szCs w:val="17"/>
                <w:color w:val="auto"/>
              </w:rPr>
            </w:pPr>
          </w:p>
        </w:tc>
        <w:tc>
          <w:tcPr>
            <w:tcW w:w="1100" w:type="dxa"/>
            <w:vAlign w:val="bottom"/>
          </w:tcPr>
          <w:p>
            <w:pPr>
              <w:jc w:val="right"/>
              <w:ind w:right="388"/>
              <w:spacing w:after="0"/>
              <w:rPr>
                <w:sz w:val="20"/>
                <w:szCs w:val="20"/>
                <w:color w:val="auto"/>
              </w:rPr>
            </w:pPr>
            <w:r>
              <w:rPr>
                <w:rFonts w:ascii="Arial" w:cs="Arial" w:eastAsia="Arial" w:hAnsi="Arial"/>
                <w:sz w:val="14"/>
                <w:szCs w:val="14"/>
                <w:color w:val="auto"/>
              </w:rPr>
              <w:t>423</w:t>
            </w:r>
          </w:p>
        </w:tc>
        <w:tc>
          <w:tcPr>
            <w:tcW w:w="260" w:type="dxa"/>
            <w:vAlign w:val="bottom"/>
          </w:tcPr>
          <w:p>
            <w:pPr>
              <w:spacing w:after="0"/>
              <w:rPr>
                <w:sz w:val="17"/>
                <w:szCs w:val="17"/>
                <w:color w:val="auto"/>
              </w:rPr>
            </w:pPr>
          </w:p>
        </w:tc>
        <w:tc>
          <w:tcPr>
            <w:tcW w:w="940" w:type="dxa"/>
            <w:vAlign w:val="bottom"/>
          </w:tcPr>
          <w:p>
            <w:pPr>
              <w:jc w:val="right"/>
              <w:ind w:right="228"/>
              <w:spacing w:after="0"/>
              <w:rPr>
                <w:sz w:val="20"/>
                <w:szCs w:val="20"/>
                <w:color w:val="auto"/>
              </w:rPr>
            </w:pPr>
            <w:r>
              <w:rPr>
                <w:rFonts w:ascii="Arial" w:cs="Arial" w:eastAsia="Arial" w:hAnsi="Arial"/>
                <w:sz w:val="14"/>
                <w:szCs w:val="14"/>
                <w:color w:val="auto"/>
              </w:rPr>
              <w:t>394</w:t>
            </w:r>
          </w:p>
        </w:tc>
      </w:tr>
      <w:tr>
        <w:trPr>
          <w:trHeight w:val="438"/>
        </w:trPr>
        <w:tc>
          <w:tcPr>
            <w:tcW w:w="4200" w:type="dxa"/>
            <w:vAlign w:val="bottom"/>
          </w:tcPr>
          <w:p>
            <w:pPr>
              <w:ind w:left="20"/>
              <w:spacing w:after="0"/>
              <w:rPr>
                <w:sz w:val="20"/>
                <w:szCs w:val="20"/>
                <w:color w:val="auto"/>
              </w:rPr>
            </w:pPr>
            <w:r>
              <w:rPr>
                <w:rFonts w:ascii="Arial" w:cs="Arial" w:eastAsia="Arial" w:hAnsi="Arial"/>
                <w:sz w:val="14"/>
                <w:szCs w:val="14"/>
                <w:color w:val="auto"/>
              </w:rPr>
              <w:t>Income tax expense</w:t>
            </w:r>
          </w:p>
        </w:tc>
        <w:tc>
          <w:tcPr>
            <w:tcW w:w="4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161</w:t>
            </w:r>
          </w:p>
        </w:tc>
        <w:tc>
          <w:tcPr>
            <w:tcW w:w="5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color w:val="auto"/>
              </w:rPr>
              <w:t>135</w:t>
            </w:r>
          </w:p>
        </w:tc>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152</w:t>
            </w:r>
          </w:p>
        </w:tc>
      </w:tr>
      <w:tr>
        <w:trPr>
          <w:trHeight w:val="418"/>
        </w:trPr>
        <w:tc>
          <w:tcPr>
            <w:tcW w:w="4200" w:type="dxa"/>
            <w:vAlign w:val="bottom"/>
          </w:tcPr>
          <w:p>
            <w:pPr>
              <w:ind w:left="20"/>
              <w:spacing w:after="0"/>
              <w:rPr>
                <w:sz w:val="20"/>
                <w:szCs w:val="20"/>
                <w:color w:val="auto"/>
              </w:rPr>
            </w:pPr>
            <w:r>
              <w:rPr>
                <w:rFonts w:ascii="Arial" w:cs="Arial" w:eastAsia="Arial" w:hAnsi="Arial"/>
                <w:sz w:val="14"/>
                <w:szCs w:val="14"/>
                <w:color w:val="auto"/>
              </w:rPr>
              <w:t>Net income</w:t>
            </w:r>
          </w:p>
        </w:tc>
        <w:tc>
          <w:tcPr>
            <w:tcW w:w="420" w:type="dxa"/>
            <w:vAlign w:val="bottom"/>
          </w:tcPr>
          <w:p>
            <w:pPr>
              <w:spacing w:after="0"/>
              <w:rPr>
                <w:sz w:val="24"/>
                <w:szCs w:val="24"/>
                <w:color w:val="auto"/>
              </w:rPr>
            </w:pPr>
          </w:p>
        </w:tc>
        <w:tc>
          <w:tcPr>
            <w:tcW w:w="760" w:type="dxa"/>
            <w:vAlign w:val="bottom"/>
          </w:tcPr>
          <w:p>
            <w:pPr>
              <w:jc w:val="right"/>
              <w:ind w:right="68"/>
              <w:spacing w:after="0"/>
              <w:rPr>
                <w:sz w:val="20"/>
                <w:szCs w:val="20"/>
                <w:color w:val="auto"/>
              </w:rPr>
            </w:pPr>
            <w:r>
              <w:rPr>
                <w:rFonts w:ascii="Arial" w:cs="Arial" w:eastAsia="Arial" w:hAnsi="Arial"/>
                <w:sz w:val="14"/>
                <w:szCs w:val="14"/>
                <w:color w:val="auto"/>
              </w:rPr>
              <w:t>344</w:t>
            </w:r>
          </w:p>
        </w:tc>
        <w:tc>
          <w:tcPr>
            <w:tcW w:w="580" w:type="dxa"/>
            <w:vAlign w:val="bottom"/>
          </w:tcPr>
          <w:p>
            <w:pPr>
              <w:spacing w:after="0"/>
              <w:rPr>
                <w:sz w:val="24"/>
                <w:szCs w:val="24"/>
                <w:color w:val="auto"/>
              </w:rPr>
            </w:pPr>
          </w:p>
        </w:tc>
        <w:tc>
          <w:tcPr>
            <w:tcW w:w="1100" w:type="dxa"/>
            <w:vAlign w:val="bottom"/>
          </w:tcPr>
          <w:p>
            <w:pPr>
              <w:jc w:val="right"/>
              <w:ind w:right="388"/>
              <w:spacing w:after="0"/>
              <w:rPr>
                <w:sz w:val="20"/>
                <w:szCs w:val="20"/>
                <w:color w:val="auto"/>
              </w:rPr>
            </w:pPr>
            <w:r>
              <w:rPr>
                <w:rFonts w:ascii="Arial" w:cs="Arial" w:eastAsia="Arial" w:hAnsi="Arial"/>
                <w:sz w:val="14"/>
                <w:szCs w:val="14"/>
                <w:color w:val="auto"/>
              </w:rPr>
              <w:t>288</w:t>
            </w:r>
          </w:p>
        </w:tc>
        <w:tc>
          <w:tcPr>
            <w:tcW w:w="260" w:type="dxa"/>
            <w:vAlign w:val="bottom"/>
          </w:tcPr>
          <w:p>
            <w:pPr>
              <w:spacing w:after="0"/>
              <w:rPr>
                <w:sz w:val="24"/>
                <w:szCs w:val="24"/>
                <w:color w:val="auto"/>
              </w:rPr>
            </w:pPr>
          </w:p>
        </w:tc>
        <w:tc>
          <w:tcPr>
            <w:tcW w:w="940" w:type="dxa"/>
            <w:vAlign w:val="bottom"/>
          </w:tcPr>
          <w:p>
            <w:pPr>
              <w:jc w:val="right"/>
              <w:ind w:right="228"/>
              <w:spacing w:after="0"/>
              <w:rPr>
                <w:sz w:val="20"/>
                <w:szCs w:val="20"/>
                <w:color w:val="auto"/>
              </w:rPr>
            </w:pPr>
            <w:r>
              <w:rPr>
                <w:rFonts w:ascii="Arial" w:cs="Arial" w:eastAsia="Arial" w:hAnsi="Arial"/>
                <w:sz w:val="14"/>
                <w:szCs w:val="14"/>
                <w:color w:val="auto"/>
              </w:rPr>
              <w:t>242</w:t>
            </w:r>
          </w:p>
        </w:tc>
      </w:tr>
      <w:tr>
        <w:trPr>
          <w:trHeight w:val="222"/>
        </w:trPr>
        <w:tc>
          <w:tcPr>
            <w:tcW w:w="4200" w:type="dxa"/>
            <w:vAlign w:val="bottom"/>
          </w:tcPr>
          <w:p>
            <w:pPr>
              <w:ind w:left="20"/>
              <w:spacing w:after="0"/>
              <w:rPr>
                <w:sz w:val="20"/>
                <w:szCs w:val="20"/>
                <w:color w:val="auto"/>
              </w:rPr>
            </w:pPr>
            <w:r>
              <w:rPr>
                <w:rFonts w:ascii="Arial" w:cs="Arial" w:eastAsia="Arial" w:hAnsi="Arial"/>
                <w:sz w:val="14"/>
                <w:szCs w:val="14"/>
                <w:color w:val="auto"/>
              </w:rPr>
              <w:t>Preferred dividend requirements</w:t>
            </w:r>
          </w:p>
        </w:tc>
        <w:tc>
          <w:tcPr>
            <w:tcW w:w="4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5</w:t>
            </w:r>
          </w:p>
        </w:tc>
        <w:tc>
          <w:tcPr>
            <w:tcW w:w="5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color w:val="auto"/>
              </w:rPr>
              <w:t>5</w:t>
            </w: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5</w:t>
            </w:r>
          </w:p>
        </w:tc>
      </w:tr>
      <w:tr>
        <w:trPr>
          <w:trHeight w:val="224"/>
        </w:trPr>
        <w:tc>
          <w:tcPr>
            <w:tcW w:w="42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Earnings applicable to common shares</w:t>
            </w:r>
          </w:p>
        </w:tc>
        <w:tc>
          <w:tcPr>
            <w:tcW w:w="4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339</w:t>
            </w:r>
          </w:p>
        </w:tc>
        <w:tc>
          <w:tcPr>
            <w:tcW w:w="58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color w:val="auto"/>
              </w:rPr>
              <w:t>283</w:t>
            </w:r>
          </w:p>
        </w:tc>
        <w:tc>
          <w:tcPr>
            <w:tcW w:w="2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237</w:t>
            </w:r>
          </w:p>
        </w:tc>
      </w:tr>
    </w:tbl>
    <w:p>
      <w:pPr>
        <w:spacing w:after="0" w:line="220" w:lineRule="exact"/>
        <w:rPr>
          <w:sz w:val="20"/>
          <w:szCs w:val="20"/>
          <w:color w:val="auto"/>
        </w:rPr>
      </w:pPr>
    </w:p>
    <w:p>
      <w:pPr>
        <w:ind w:left="1600"/>
        <w:spacing w:after="0"/>
        <w:rPr>
          <w:sz w:val="20"/>
          <w:szCs w:val="20"/>
          <w:color w:val="auto"/>
        </w:rPr>
      </w:pPr>
      <w:r>
        <w:rPr>
          <w:rFonts w:ascii="Arial" w:cs="Arial" w:eastAsia="Arial" w:hAnsi="Arial"/>
          <w:sz w:val="13"/>
          <w:szCs w:val="13"/>
          <w:i w:val="1"/>
          <w:iCs w:val="1"/>
          <w:color w:val="auto"/>
        </w:rPr>
        <w:t>See Notes to Consolidated Financial Statements.</w:t>
      </w: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Arial" w:cs="Arial" w:eastAsia="Arial" w:hAnsi="Arial"/>
          <w:sz w:val="14"/>
          <w:szCs w:val="14"/>
          <w:color w:val="auto"/>
        </w:rPr>
        <w:t>75</w:t>
      </w:r>
    </w:p>
    <w:p>
      <w:pPr>
        <w:sectPr>
          <w:pgSz w:w="11900" w:h="16838" w:orient="portrait"/>
          <w:cols w:equalWidth="0" w:num="1">
            <w:col w:w="10219"/>
          </w:cols>
          <w:pgMar w:left="240" w:top="748" w:right="1440" w:bottom="1440" w:gutter="0" w:footer="0" w:header="0"/>
        </w:sectPr>
      </w:pPr>
    </w:p>
    <w:bookmarkStart w:id="215" w:name="page216"/>
    <w:bookmarkEnd w:id="215"/>
    <w:p>
      <w:pPr>
        <w:ind w:left="2040"/>
        <w:spacing w:after="0"/>
        <w:rPr>
          <w:sz w:val="20"/>
          <w:szCs w:val="20"/>
          <w:color w:val="auto"/>
        </w:rPr>
      </w:pPr>
      <w:r>
        <w:rPr>
          <w:rFonts w:ascii="Arial" w:cs="Arial" w:eastAsia="Arial" w:hAnsi="Arial"/>
          <w:sz w:val="14"/>
          <w:szCs w:val="14"/>
          <w:b w:val="1"/>
          <w:bCs w:val="1"/>
          <w:color w:val="auto"/>
        </w:rPr>
        <w:t>SAN DIEGO GAS &amp; ELECTRIC COMPANY AND SUBSIDIARY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1286510</wp:posOffset>
            </wp:positionH>
            <wp:positionV relativeFrom="paragraph">
              <wp:posOffset>-99060</wp:posOffset>
            </wp:positionV>
            <wp:extent cx="4691380" cy="38163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4691380" cy="381635"/>
                    </a:xfrm>
                    <a:prstGeom prst="rect">
                      <a:avLst/>
                    </a:prstGeom>
                    <a:noFill/>
                  </pic:spPr>
                </pic:pic>
              </a:graphicData>
            </a:graphic>
          </wp:anchor>
        </w:drawing>
      </w:r>
    </w:p>
    <w:p>
      <w:pPr>
        <w:spacing w:after="0" w:line="11" w:lineRule="exact"/>
        <w:rPr>
          <w:sz w:val="20"/>
          <w:szCs w:val="20"/>
          <w:color w:val="auto"/>
        </w:rPr>
      </w:pPr>
    </w:p>
    <w:p>
      <w:pPr>
        <w:ind w:left="2040"/>
        <w:spacing w:after="0"/>
        <w:rPr>
          <w:sz w:val="20"/>
          <w:szCs w:val="20"/>
          <w:color w:val="auto"/>
        </w:rPr>
      </w:pPr>
      <w:r>
        <w:rPr>
          <w:rFonts w:ascii="Arial" w:cs="Arial" w:eastAsia="Arial" w:hAnsi="Arial"/>
          <w:sz w:val="14"/>
          <w:szCs w:val="14"/>
          <w:b w:val="1"/>
          <w:bCs w:val="1"/>
          <w:color w:val="auto"/>
        </w:rPr>
        <w:t>CONSOLIDATED BALANCE SHEETS</w:t>
      </w:r>
    </w:p>
    <w:p>
      <w:pPr>
        <w:spacing w:after="0" w:line="76" w:lineRule="exact"/>
        <w:rPr>
          <w:sz w:val="20"/>
          <w:szCs w:val="20"/>
          <w:color w:val="auto"/>
        </w:rPr>
      </w:pPr>
    </w:p>
    <w:tbl>
      <w:tblPr>
        <w:tblLayout w:type="fixed"/>
        <w:tblInd w:w="2020" w:type="dxa"/>
        <w:tblCellMar>
          <w:top w:w="0" w:type="dxa"/>
          <w:left w:w="0" w:type="dxa"/>
          <w:bottom w:w="0" w:type="dxa"/>
          <w:right w:w="0" w:type="dxa"/>
        </w:tblCellMar>
      </w:tblPr>
      <w:tr>
        <w:trPr>
          <w:trHeight w:val="166"/>
        </w:trPr>
        <w:tc>
          <w:tcPr>
            <w:tcW w:w="5080" w:type="dxa"/>
            <w:vAlign w:val="bottom"/>
          </w:tcPr>
          <w:p>
            <w:pPr>
              <w:ind w:left="20"/>
              <w:spacing w:after="0"/>
              <w:rPr>
                <w:sz w:val="20"/>
                <w:szCs w:val="20"/>
                <w:color w:val="auto"/>
              </w:rPr>
            </w:pPr>
            <w:r>
              <w:rPr>
                <w:rFonts w:ascii="Arial" w:cs="Arial" w:eastAsia="Arial" w:hAnsi="Arial"/>
                <w:sz w:val="13"/>
                <w:szCs w:val="13"/>
                <w:i w:val="1"/>
                <w:iCs w:val="1"/>
                <w:color w:val="auto"/>
              </w:rPr>
              <w:t>(Dollars in millions)</w:t>
            </w:r>
          </w:p>
        </w:tc>
        <w:tc>
          <w:tcPr>
            <w:tcW w:w="3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80"/>
        </w:trPr>
        <w:tc>
          <w:tcPr>
            <w:tcW w:w="5080" w:type="dxa"/>
            <w:vAlign w:val="bottom"/>
          </w:tcPr>
          <w:p>
            <w:pPr>
              <w:spacing w:after="0"/>
              <w:rPr>
                <w:sz w:val="15"/>
                <w:szCs w:val="15"/>
                <w:color w:val="auto"/>
              </w:rPr>
            </w:pPr>
          </w:p>
        </w:tc>
        <w:tc>
          <w:tcPr>
            <w:tcW w:w="1200" w:type="dxa"/>
            <w:vAlign w:val="bottom"/>
            <w:gridSpan w:val="2"/>
          </w:tcPr>
          <w:p>
            <w:pPr>
              <w:jc w:val="right"/>
              <w:ind w:right="88"/>
              <w:spacing w:after="0"/>
              <w:rPr>
                <w:sz w:val="20"/>
                <w:szCs w:val="20"/>
                <w:color w:val="auto"/>
              </w:rPr>
            </w:pPr>
            <w:r>
              <w:rPr>
                <w:rFonts w:ascii="Arial" w:cs="Arial" w:eastAsia="Arial" w:hAnsi="Arial"/>
                <w:sz w:val="13"/>
                <w:szCs w:val="13"/>
                <w:color w:val="auto"/>
              </w:rPr>
              <w:t>December 31,</w:t>
            </w:r>
          </w:p>
        </w:tc>
        <w:tc>
          <w:tcPr>
            <w:tcW w:w="1120" w:type="dxa"/>
            <w:vAlign w:val="bottom"/>
            <w:gridSpan w:val="2"/>
          </w:tcPr>
          <w:p>
            <w:pPr>
              <w:jc w:val="right"/>
              <w:ind w:right="68"/>
              <w:spacing w:after="0"/>
              <w:rPr>
                <w:sz w:val="20"/>
                <w:szCs w:val="20"/>
                <w:color w:val="auto"/>
              </w:rPr>
            </w:pPr>
            <w:r>
              <w:rPr>
                <w:rFonts w:ascii="Arial" w:cs="Arial" w:eastAsia="Arial" w:hAnsi="Arial"/>
                <w:sz w:val="13"/>
                <w:szCs w:val="13"/>
                <w:color w:val="auto"/>
              </w:rPr>
              <w:t>December 31,</w:t>
            </w:r>
          </w:p>
        </w:tc>
      </w:tr>
      <w:tr>
        <w:trPr>
          <w:trHeight w:val="161"/>
        </w:trPr>
        <w:tc>
          <w:tcPr>
            <w:tcW w:w="50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48"/>
              <w:spacing w:after="0"/>
              <w:rPr>
                <w:sz w:val="20"/>
                <w:szCs w:val="20"/>
                <w:color w:val="auto"/>
              </w:rPr>
            </w:pPr>
            <w:r>
              <w:rPr>
                <w:rFonts w:ascii="Arial" w:cs="Arial" w:eastAsia="Arial" w:hAnsi="Arial"/>
                <w:sz w:val="13"/>
                <w:szCs w:val="13"/>
                <w:color w:val="auto"/>
              </w:rPr>
              <w:t>2008</w:t>
            </w:r>
          </w:p>
        </w:tc>
        <w:tc>
          <w:tcPr>
            <w:tcW w:w="1120" w:type="dxa"/>
            <w:vAlign w:val="bottom"/>
            <w:tcBorders>
              <w:bottom w:val="single" w:sz="8" w:color="auto"/>
            </w:tcBorders>
            <w:gridSpan w:val="2"/>
          </w:tcPr>
          <w:p>
            <w:pPr>
              <w:jc w:val="right"/>
              <w:ind w:right="268"/>
              <w:spacing w:after="0"/>
              <w:rPr>
                <w:sz w:val="20"/>
                <w:szCs w:val="20"/>
                <w:color w:val="auto"/>
              </w:rPr>
            </w:pPr>
            <w:r>
              <w:rPr>
                <w:rFonts w:ascii="Arial" w:cs="Arial" w:eastAsia="Arial" w:hAnsi="Arial"/>
                <w:sz w:val="13"/>
                <w:szCs w:val="13"/>
                <w:color w:val="auto"/>
              </w:rPr>
              <w:t>2007 *</w:t>
            </w:r>
          </w:p>
        </w:tc>
      </w:tr>
      <w:tr>
        <w:trPr>
          <w:trHeight w:val="423"/>
        </w:trPr>
        <w:tc>
          <w:tcPr>
            <w:tcW w:w="5080" w:type="dxa"/>
            <w:vAlign w:val="bottom"/>
          </w:tcPr>
          <w:p>
            <w:pPr>
              <w:ind w:left="20"/>
              <w:spacing w:after="0"/>
              <w:rPr>
                <w:sz w:val="20"/>
                <w:szCs w:val="20"/>
                <w:color w:val="auto"/>
              </w:rPr>
            </w:pPr>
            <w:r>
              <w:rPr>
                <w:rFonts w:ascii="Arial" w:cs="Arial" w:eastAsia="Arial" w:hAnsi="Arial"/>
                <w:sz w:val="14"/>
                <w:szCs w:val="14"/>
                <w:color w:val="auto"/>
              </w:rPr>
              <w:t>ASSETS</w:t>
            </w:r>
          </w:p>
        </w:tc>
        <w:tc>
          <w:tcPr>
            <w:tcW w:w="3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216"/>
        </w:trPr>
        <w:tc>
          <w:tcPr>
            <w:tcW w:w="5080" w:type="dxa"/>
            <w:vAlign w:val="bottom"/>
          </w:tcPr>
          <w:p>
            <w:pPr>
              <w:ind w:left="20"/>
              <w:spacing w:after="0"/>
              <w:rPr>
                <w:sz w:val="20"/>
                <w:szCs w:val="20"/>
                <w:color w:val="auto"/>
              </w:rPr>
            </w:pPr>
            <w:r>
              <w:rPr>
                <w:rFonts w:ascii="Arial" w:cs="Arial" w:eastAsia="Arial" w:hAnsi="Arial"/>
                <w:sz w:val="14"/>
                <w:szCs w:val="14"/>
                <w:color w:val="auto"/>
              </w:rPr>
              <w:t>Current assets:</w:t>
            </w:r>
          </w:p>
        </w:tc>
        <w:tc>
          <w:tcPr>
            <w:tcW w:w="3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16"/>
        </w:trPr>
        <w:tc>
          <w:tcPr>
            <w:tcW w:w="5080" w:type="dxa"/>
            <w:vAlign w:val="bottom"/>
          </w:tcPr>
          <w:p>
            <w:pPr>
              <w:ind w:left="320"/>
              <w:spacing w:after="0"/>
              <w:rPr>
                <w:sz w:val="20"/>
                <w:szCs w:val="20"/>
                <w:color w:val="auto"/>
              </w:rPr>
            </w:pPr>
            <w:r>
              <w:rPr>
                <w:rFonts w:ascii="Arial" w:cs="Arial" w:eastAsia="Arial" w:hAnsi="Arial"/>
                <w:sz w:val="14"/>
                <w:szCs w:val="14"/>
                <w:color w:val="auto"/>
              </w:rPr>
              <w:t>Cash and cash equivalents</w:t>
            </w:r>
          </w:p>
        </w:tc>
        <w:tc>
          <w:tcPr>
            <w:tcW w:w="34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308"/>
              <w:spacing w:after="0"/>
              <w:rPr>
                <w:sz w:val="20"/>
                <w:szCs w:val="20"/>
                <w:color w:val="auto"/>
              </w:rPr>
            </w:pPr>
            <w:r>
              <w:rPr>
                <w:rFonts w:ascii="Arial" w:cs="Arial" w:eastAsia="Arial" w:hAnsi="Arial"/>
                <w:sz w:val="14"/>
                <w:szCs w:val="14"/>
                <w:color w:val="auto"/>
              </w:rPr>
              <w:t>19</w:t>
            </w:r>
          </w:p>
        </w:tc>
        <w:tc>
          <w:tcPr>
            <w:tcW w:w="460" w:type="dxa"/>
            <w:vAlign w:val="bottom"/>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128"/>
              <w:spacing w:after="0"/>
              <w:rPr>
                <w:sz w:val="20"/>
                <w:szCs w:val="20"/>
                <w:color w:val="auto"/>
              </w:rPr>
            </w:pPr>
            <w:r>
              <w:rPr>
                <w:rFonts w:ascii="Arial" w:cs="Arial" w:eastAsia="Arial" w:hAnsi="Arial"/>
                <w:sz w:val="14"/>
                <w:szCs w:val="14"/>
                <w:color w:val="auto"/>
              </w:rPr>
              <w:t>158</w:t>
            </w:r>
          </w:p>
        </w:tc>
      </w:tr>
      <w:tr>
        <w:trPr>
          <w:trHeight w:val="216"/>
        </w:trPr>
        <w:tc>
          <w:tcPr>
            <w:tcW w:w="5080" w:type="dxa"/>
            <w:vAlign w:val="bottom"/>
          </w:tcPr>
          <w:p>
            <w:pPr>
              <w:ind w:left="320"/>
              <w:spacing w:after="0"/>
              <w:rPr>
                <w:sz w:val="20"/>
                <w:szCs w:val="20"/>
                <w:color w:val="auto"/>
              </w:rPr>
            </w:pPr>
            <w:r>
              <w:rPr>
                <w:rFonts w:ascii="Arial" w:cs="Arial" w:eastAsia="Arial" w:hAnsi="Arial"/>
                <w:sz w:val="14"/>
                <w:szCs w:val="14"/>
                <w:color w:val="auto"/>
              </w:rPr>
              <w:t>Short-term investments</w:t>
            </w:r>
          </w:p>
        </w:tc>
        <w:tc>
          <w:tcPr>
            <w:tcW w:w="340" w:type="dxa"/>
            <w:vAlign w:val="bottom"/>
          </w:tcPr>
          <w:p>
            <w:pPr>
              <w:spacing w:after="0"/>
              <w:rPr>
                <w:sz w:val="18"/>
                <w:szCs w:val="18"/>
                <w:color w:val="auto"/>
              </w:rPr>
            </w:pPr>
          </w:p>
        </w:tc>
        <w:tc>
          <w:tcPr>
            <w:tcW w:w="860" w:type="dxa"/>
            <w:vAlign w:val="bottom"/>
          </w:tcPr>
          <w:p>
            <w:pPr>
              <w:jc w:val="right"/>
              <w:ind w:right="308"/>
              <w:spacing w:after="0"/>
              <w:rPr>
                <w:sz w:val="20"/>
                <w:szCs w:val="20"/>
                <w:color w:val="auto"/>
              </w:rPr>
            </w:pPr>
            <w:r>
              <w:rPr>
                <w:rFonts w:ascii="Arial" w:cs="Arial" w:eastAsia="Arial" w:hAnsi="Arial"/>
                <w:sz w:val="14"/>
                <w:szCs w:val="14"/>
                <w:color w:val="auto"/>
              </w:rPr>
              <w:t>24</w:t>
            </w:r>
          </w:p>
        </w:tc>
        <w:tc>
          <w:tcPr>
            <w:tcW w:w="460" w:type="dxa"/>
            <w:vAlign w:val="bottom"/>
          </w:tcPr>
          <w:p>
            <w:pPr>
              <w:spacing w:after="0"/>
              <w:rPr>
                <w:sz w:val="18"/>
                <w:szCs w:val="18"/>
                <w:color w:val="auto"/>
              </w:rPr>
            </w:pPr>
          </w:p>
        </w:tc>
        <w:tc>
          <w:tcPr>
            <w:tcW w:w="660" w:type="dxa"/>
            <w:vAlign w:val="bottom"/>
          </w:tcPr>
          <w:p>
            <w:pPr>
              <w:jc w:val="right"/>
              <w:ind w:right="128"/>
              <w:spacing w:after="0"/>
              <w:rPr>
                <w:sz w:val="20"/>
                <w:szCs w:val="20"/>
                <w:color w:val="auto"/>
              </w:rPr>
            </w:pPr>
            <w:r>
              <w:rPr>
                <w:rFonts w:ascii="Arial" w:cs="Arial" w:eastAsia="Arial" w:hAnsi="Arial"/>
                <w:sz w:val="14"/>
                <w:szCs w:val="14"/>
                <w:color w:val="auto"/>
              </w:rPr>
              <w:t>--</w:t>
            </w:r>
          </w:p>
        </w:tc>
      </w:tr>
      <w:tr>
        <w:trPr>
          <w:trHeight w:val="216"/>
        </w:trPr>
        <w:tc>
          <w:tcPr>
            <w:tcW w:w="5080" w:type="dxa"/>
            <w:vAlign w:val="bottom"/>
          </w:tcPr>
          <w:p>
            <w:pPr>
              <w:ind w:left="320"/>
              <w:spacing w:after="0"/>
              <w:rPr>
                <w:sz w:val="20"/>
                <w:szCs w:val="20"/>
                <w:color w:val="auto"/>
              </w:rPr>
            </w:pPr>
            <w:r>
              <w:rPr>
                <w:rFonts w:ascii="Arial" w:cs="Arial" w:eastAsia="Arial" w:hAnsi="Arial"/>
                <w:sz w:val="14"/>
                <w:szCs w:val="14"/>
                <w:color w:val="auto"/>
              </w:rPr>
              <w:t>Accounts receivable – trade</w:t>
            </w:r>
          </w:p>
        </w:tc>
        <w:tc>
          <w:tcPr>
            <w:tcW w:w="340" w:type="dxa"/>
            <w:vAlign w:val="bottom"/>
          </w:tcPr>
          <w:p>
            <w:pPr>
              <w:spacing w:after="0"/>
              <w:rPr>
                <w:sz w:val="18"/>
                <w:szCs w:val="18"/>
                <w:color w:val="auto"/>
              </w:rPr>
            </w:pPr>
          </w:p>
        </w:tc>
        <w:tc>
          <w:tcPr>
            <w:tcW w:w="860" w:type="dxa"/>
            <w:vAlign w:val="bottom"/>
          </w:tcPr>
          <w:p>
            <w:pPr>
              <w:jc w:val="right"/>
              <w:ind w:right="308"/>
              <w:spacing w:after="0"/>
              <w:rPr>
                <w:sz w:val="20"/>
                <w:szCs w:val="20"/>
                <w:color w:val="auto"/>
              </w:rPr>
            </w:pPr>
            <w:r>
              <w:rPr>
                <w:rFonts w:ascii="Arial" w:cs="Arial" w:eastAsia="Arial" w:hAnsi="Arial"/>
                <w:sz w:val="14"/>
                <w:szCs w:val="14"/>
                <w:color w:val="auto"/>
              </w:rPr>
              <w:t>225</w:t>
            </w:r>
          </w:p>
        </w:tc>
        <w:tc>
          <w:tcPr>
            <w:tcW w:w="460" w:type="dxa"/>
            <w:vAlign w:val="bottom"/>
          </w:tcPr>
          <w:p>
            <w:pPr>
              <w:spacing w:after="0"/>
              <w:rPr>
                <w:sz w:val="18"/>
                <w:szCs w:val="18"/>
                <w:color w:val="auto"/>
              </w:rPr>
            </w:pPr>
          </w:p>
        </w:tc>
        <w:tc>
          <w:tcPr>
            <w:tcW w:w="660" w:type="dxa"/>
            <w:vAlign w:val="bottom"/>
          </w:tcPr>
          <w:p>
            <w:pPr>
              <w:jc w:val="right"/>
              <w:ind w:right="128"/>
              <w:spacing w:after="0"/>
              <w:rPr>
                <w:sz w:val="20"/>
                <w:szCs w:val="20"/>
                <w:color w:val="auto"/>
              </w:rPr>
            </w:pPr>
            <w:r>
              <w:rPr>
                <w:rFonts w:ascii="Arial" w:cs="Arial" w:eastAsia="Arial" w:hAnsi="Arial"/>
                <w:sz w:val="14"/>
                <w:szCs w:val="14"/>
                <w:color w:val="auto"/>
              </w:rPr>
              <w:t>207</w:t>
            </w:r>
          </w:p>
        </w:tc>
      </w:tr>
      <w:tr>
        <w:trPr>
          <w:trHeight w:val="216"/>
        </w:trPr>
        <w:tc>
          <w:tcPr>
            <w:tcW w:w="5080" w:type="dxa"/>
            <w:vAlign w:val="bottom"/>
          </w:tcPr>
          <w:p>
            <w:pPr>
              <w:ind w:left="320"/>
              <w:spacing w:after="0"/>
              <w:rPr>
                <w:sz w:val="20"/>
                <w:szCs w:val="20"/>
                <w:color w:val="auto"/>
              </w:rPr>
            </w:pPr>
            <w:r>
              <w:rPr>
                <w:rFonts w:ascii="Arial" w:cs="Arial" w:eastAsia="Arial" w:hAnsi="Arial"/>
                <w:sz w:val="14"/>
                <w:szCs w:val="14"/>
                <w:color w:val="auto"/>
              </w:rPr>
              <w:t>Accounts receivable – other</w:t>
            </w:r>
          </w:p>
        </w:tc>
        <w:tc>
          <w:tcPr>
            <w:tcW w:w="340" w:type="dxa"/>
            <w:vAlign w:val="bottom"/>
          </w:tcPr>
          <w:p>
            <w:pPr>
              <w:spacing w:after="0"/>
              <w:rPr>
                <w:sz w:val="18"/>
                <w:szCs w:val="18"/>
                <w:color w:val="auto"/>
              </w:rPr>
            </w:pPr>
          </w:p>
        </w:tc>
        <w:tc>
          <w:tcPr>
            <w:tcW w:w="860" w:type="dxa"/>
            <w:vAlign w:val="bottom"/>
          </w:tcPr>
          <w:p>
            <w:pPr>
              <w:jc w:val="right"/>
              <w:ind w:right="308"/>
              <w:spacing w:after="0"/>
              <w:rPr>
                <w:sz w:val="20"/>
                <w:szCs w:val="20"/>
                <w:color w:val="auto"/>
              </w:rPr>
            </w:pPr>
            <w:r>
              <w:rPr>
                <w:rFonts w:ascii="Arial" w:cs="Arial" w:eastAsia="Arial" w:hAnsi="Arial"/>
                <w:sz w:val="14"/>
                <w:szCs w:val="14"/>
                <w:color w:val="auto"/>
              </w:rPr>
              <w:t>30</w:t>
            </w:r>
          </w:p>
        </w:tc>
        <w:tc>
          <w:tcPr>
            <w:tcW w:w="460" w:type="dxa"/>
            <w:vAlign w:val="bottom"/>
          </w:tcPr>
          <w:p>
            <w:pPr>
              <w:spacing w:after="0"/>
              <w:rPr>
                <w:sz w:val="18"/>
                <w:szCs w:val="18"/>
                <w:color w:val="auto"/>
              </w:rPr>
            </w:pPr>
          </w:p>
        </w:tc>
        <w:tc>
          <w:tcPr>
            <w:tcW w:w="660" w:type="dxa"/>
            <w:vAlign w:val="bottom"/>
          </w:tcPr>
          <w:p>
            <w:pPr>
              <w:jc w:val="right"/>
              <w:ind w:right="128"/>
              <w:spacing w:after="0"/>
              <w:rPr>
                <w:sz w:val="20"/>
                <w:szCs w:val="20"/>
                <w:color w:val="auto"/>
              </w:rPr>
            </w:pPr>
            <w:r>
              <w:rPr>
                <w:rFonts w:ascii="Arial" w:cs="Arial" w:eastAsia="Arial" w:hAnsi="Arial"/>
                <w:sz w:val="14"/>
                <w:szCs w:val="14"/>
                <w:color w:val="auto"/>
              </w:rPr>
              <w:t>49</w:t>
            </w:r>
          </w:p>
        </w:tc>
      </w:tr>
      <w:tr>
        <w:trPr>
          <w:trHeight w:val="216"/>
        </w:trPr>
        <w:tc>
          <w:tcPr>
            <w:tcW w:w="5080" w:type="dxa"/>
            <w:vAlign w:val="bottom"/>
          </w:tcPr>
          <w:p>
            <w:pPr>
              <w:ind w:left="320"/>
              <w:spacing w:after="0"/>
              <w:rPr>
                <w:sz w:val="20"/>
                <w:szCs w:val="20"/>
                <w:color w:val="auto"/>
              </w:rPr>
            </w:pPr>
            <w:r>
              <w:rPr>
                <w:rFonts w:ascii="Arial" w:cs="Arial" w:eastAsia="Arial" w:hAnsi="Arial"/>
                <w:sz w:val="14"/>
                <w:szCs w:val="14"/>
                <w:color w:val="auto"/>
              </w:rPr>
              <w:t>Due from unconsolidated affiliates</w:t>
            </w:r>
          </w:p>
        </w:tc>
        <w:tc>
          <w:tcPr>
            <w:tcW w:w="340" w:type="dxa"/>
            <w:vAlign w:val="bottom"/>
          </w:tcPr>
          <w:p>
            <w:pPr>
              <w:spacing w:after="0"/>
              <w:rPr>
                <w:sz w:val="18"/>
                <w:szCs w:val="18"/>
                <w:color w:val="auto"/>
              </w:rPr>
            </w:pPr>
          </w:p>
        </w:tc>
        <w:tc>
          <w:tcPr>
            <w:tcW w:w="860" w:type="dxa"/>
            <w:vAlign w:val="bottom"/>
          </w:tcPr>
          <w:p>
            <w:pPr>
              <w:jc w:val="right"/>
              <w:ind w:right="308"/>
              <w:spacing w:after="0"/>
              <w:rPr>
                <w:sz w:val="20"/>
                <w:szCs w:val="20"/>
                <w:color w:val="auto"/>
              </w:rPr>
            </w:pPr>
            <w:r>
              <w:rPr>
                <w:rFonts w:ascii="Arial" w:cs="Arial" w:eastAsia="Arial" w:hAnsi="Arial"/>
                <w:sz w:val="14"/>
                <w:szCs w:val="14"/>
                <w:color w:val="auto"/>
              </w:rPr>
              <w:t>29</w:t>
            </w:r>
          </w:p>
        </w:tc>
        <w:tc>
          <w:tcPr>
            <w:tcW w:w="460" w:type="dxa"/>
            <w:vAlign w:val="bottom"/>
          </w:tcPr>
          <w:p>
            <w:pPr>
              <w:spacing w:after="0"/>
              <w:rPr>
                <w:sz w:val="18"/>
                <w:szCs w:val="18"/>
                <w:color w:val="auto"/>
              </w:rPr>
            </w:pPr>
          </w:p>
        </w:tc>
        <w:tc>
          <w:tcPr>
            <w:tcW w:w="660" w:type="dxa"/>
            <w:vAlign w:val="bottom"/>
          </w:tcPr>
          <w:p>
            <w:pPr>
              <w:jc w:val="right"/>
              <w:ind w:right="128"/>
              <w:spacing w:after="0"/>
              <w:rPr>
                <w:sz w:val="20"/>
                <w:szCs w:val="20"/>
                <w:color w:val="auto"/>
              </w:rPr>
            </w:pPr>
            <w:r>
              <w:rPr>
                <w:rFonts w:ascii="Arial" w:cs="Arial" w:eastAsia="Arial" w:hAnsi="Arial"/>
                <w:sz w:val="14"/>
                <w:szCs w:val="14"/>
                <w:color w:val="auto"/>
              </w:rPr>
              <w:t>22</w:t>
            </w:r>
          </w:p>
        </w:tc>
      </w:tr>
      <w:tr>
        <w:trPr>
          <w:trHeight w:val="216"/>
        </w:trPr>
        <w:tc>
          <w:tcPr>
            <w:tcW w:w="5080" w:type="dxa"/>
            <w:vAlign w:val="bottom"/>
          </w:tcPr>
          <w:p>
            <w:pPr>
              <w:ind w:left="320"/>
              <w:spacing w:after="0"/>
              <w:rPr>
                <w:sz w:val="20"/>
                <w:szCs w:val="20"/>
                <w:color w:val="auto"/>
              </w:rPr>
            </w:pPr>
            <w:r>
              <w:rPr>
                <w:rFonts w:ascii="Arial" w:cs="Arial" w:eastAsia="Arial" w:hAnsi="Arial"/>
                <w:sz w:val="14"/>
                <w:szCs w:val="14"/>
                <w:color w:val="auto"/>
              </w:rPr>
              <w:t>Income taxes receivable</w:t>
            </w:r>
          </w:p>
        </w:tc>
        <w:tc>
          <w:tcPr>
            <w:tcW w:w="340" w:type="dxa"/>
            <w:vAlign w:val="bottom"/>
          </w:tcPr>
          <w:p>
            <w:pPr>
              <w:spacing w:after="0"/>
              <w:rPr>
                <w:sz w:val="18"/>
                <w:szCs w:val="18"/>
                <w:color w:val="auto"/>
              </w:rPr>
            </w:pPr>
          </w:p>
        </w:tc>
        <w:tc>
          <w:tcPr>
            <w:tcW w:w="860" w:type="dxa"/>
            <w:vAlign w:val="bottom"/>
          </w:tcPr>
          <w:p>
            <w:pPr>
              <w:jc w:val="right"/>
              <w:ind w:right="308"/>
              <w:spacing w:after="0"/>
              <w:rPr>
                <w:sz w:val="20"/>
                <w:szCs w:val="20"/>
                <w:color w:val="auto"/>
              </w:rPr>
            </w:pPr>
            <w:r>
              <w:rPr>
                <w:rFonts w:ascii="Arial" w:cs="Arial" w:eastAsia="Arial" w:hAnsi="Arial"/>
                <w:sz w:val="14"/>
                <w:szCs w:val="14"/>
                <w:color w:val="auto"/>
              </w:rPr>
              <w:t>22</w:t>
            </w:r>
          </w:p>
        </w:tc>
        <w:tc>
          <w:tcPr>
            <w:tcW w:w="460" w:type="dxa"/>
            <w:vAlign w:val="bottom"/>
          </w:tcPr>
          <w:p>
            <w:pPr>
              <w:spacing w:after="0"/>
              <w:rPr>
                <w:sz w:val="18"/>
                <w:szCs w:val="18"/>
                <w:color w:val="auto"/>
              </w:rPr>
            </w:pPr>
          </w:p>
        </w:tc>
        <w:tc>
          <w:tcPr>
            <w:tcW w:w="660" w:type="dxa"/>
            <w:vAlign w:val="bottom"/>
          </w:tcPr>
          <w:p>
            <w:pPr>
              <w:jc w:val="right"/>
              <w:ind w:right="128"/>
              <w:spacing w:after="0"/>
              <w:rPr>
                <w:sz w:val="20"/>
                <w:szCs w:val="20"/>
                <w:color w:val="auto"/>
              </w:rPr>
            </w:pPr>
            <w:r>
              <w:rPr>
                <w:rFonts w:ascii="Arial" w:cs="Arial" w:eastAsia="Arial" w:hAnsi="Arial"/>
                <w:sz w:val="14"/>
                <w:szCs w:val="14"/>
                <w:color w:val="auto"/>
              </w:rPr>
              <w:t>56</w:t>
            </w:r>
          </w:p>
        </w:tc>
      </w:tr>
      <w:tr>
        <w:trPr>
          <w:trHeight w:val="216"/>
        </w:trPr>
        <w:tc>
          <w:tcPr>
            <w:tcW w:w="5080" w:type="dxa"/>
            <w:vAlign w:val="bottom"/>
          </w:tcPr>
          <w:p>
            <w:pPr>
              <w:ind w:left="320"/>
              <w:spacing w:after="0"/>
              <w:rPr>
                <w:sz w:val="20"/>
                <w:szCs w:val="20"/>
                <w:color w:val="auto"/>
              </w:rPr>
            </w:pPr>
            <w:r>
              <w:rPr>
                <w:rFonts w:ascii="Arial" w:cs="Arial" w:eastAsia="Arial" w:hAnsi="Arial"/>
                <w:sz w:val="14"/>
                <w:szCs w:val="14"/>
                <w:color w:val="auto"/>
              </w:rPr>
              <w:t>Deferred income taxes</w:t>
            </w:r>
          </w:p>
        </w:tc>
        <w:tc>
          <w:tcPr>
            <w:tcW w:w="340" w:type="dxa"/>
            <w:vAlign w:val="bottom"/>
          </w:tcPr>
          <w:p>
            <w:pPr>
              <w:spacing w:after="0"/>
              <w:rPr>
                <w:sz w:val="18"/>
                <w:szCs w:val="18"/>
                <w:color w:val="auto"/>
              </w:rPr>
            </w:pPr>
          </w:p>
        </w:tc>
        <w:tc>
          <w:tcPr>
            <w:tcW w:w="860" w:type="dxa"/>
            <w:vAlign w:val="bottom"/>
          </w:tcPr>
          <w:p>
            <w:pPr>
              <w:jc w:val="right"/>
              <w:ind w:right="308"/>
              <w:spacing w:after="0"/>
              <w:rPr>
                <w:sz w:val="20"/>
                <w:szCs w:val="20"/>
                <w:color w:val="auto"/>
              </w:rPr>
            </w:pPr>
            <w:r>
              <w:rPr>
                <w:rFonts w:ascii="Arial" w:cs="Arial" w:eastAsia="Arial" w:hAnsi="Arial"/>
                <w:sz w:val="14"/>
                <w:szCs w:val="14"/>
                <w:color w:val="auto"/>
              </w:rPr>
              <w:t>17</w:t>
            </w:r>
          </w:p>
        </w:tc>
        <w:tc>
          <w:tcPr>
            <w:tcW w:w="460" w:type="dxa"/>
            <w:vAlign w:val="bottom"/>
          </w:tcPr>
          <w:p>
            <w:pPr>
              <w:spacing w:after="0"/>
              <w:rPr>
                <w:sz w:val="18"/>
                <w:szCs w:val="18"/>
                <w:color w:val="auto"/>
              </w:rPr>
            </w:pPr>
          </w:p>
        </w:tc>
        <w:tc>
          <w:tcPr>
            <w:tcW w:w="660" w:type="dxa"/>
            <w:vAlign w:val="bottom"/>
          </w:tcPr>
          <w:p>
            <w:pPr>
              <w:jc w:val="right"/>
              <w:ind w:right="128"/>
              <w:spacing w:after="0"/>
              <w:rPr>
                <w:sz w:val="20"/>
                <w:szCs w:val="20"/>
                <w:color w:val="auto"/>
              </w:rPr>
            </w:pPr>
            <w:r>
              <w:rPr>
                <w:rFonts w:ascii="Arial" w:cs="Arial" w:eastAsia="Arial" w:hAnsi="Arial"/>
                <w:sz w:val="14"/>
                <w:szCs w:val="14"/>
                <w:color w:val="auto"/>
              </w:rPr>
              <w:t>67</w:t>
            </w:r>
          </w:p>
        </w:tc>
      </w:tr>
      <w:tr>
        <w:trPr>
          <w:trHeight w:val="216"/>
        </w:trPr>
        <w:tc>
          <w:tcPr>
            <w:tcW w:w="5080" w:type="dxa"/>
            <w:vAlign w:val="bottom"/>
          </w:tcPr>
          <w:p>
            <w:pPr>
              <w:ind w:left="320"/>
              <w:spacing w:after="0"/>
              <w:rPr>
                <w:sz w:val="20"/>
                <w:szCs w:val="20"/>
                <w:color w:val="auto"/>
              </w:rPr>
            </w:pPr>
            <w:r>
              <w:rPr>
                <w:rFonts w:ascii="Arial" w:cs="Arial" w:eastAsia="Arial" w:hAnsi="Arial"/>
                <w:sz w:val="14"/>
                <w:szCs w:val="14"/>
                <w:color w:val="auto"/>
              </w:rPr>
              <w:t>Inventories</w:t>
            </w:r>
          </w:p>
        </w:tc>
        <w:tc>
          <w:tcPr>
            <w:tcW w:w="340" w:type="dxa"/>
            <w:vAlign w:val="bottom"/>
          </w:tcPr>
          <w:p>
            <w:pPr>
              <w:spacing w:after="0"/>
              <w:rPr>
                <w:sz w:val="18"/>
                <w:szCs w:val="18"/>
                <w:color w:val="auto"/>
              </w:rPr>
            </w:pPr>
          </w:p>
        </w:tc>
        <w:tc>
          <w:tcPr>
            <w:tcW w:w="860" w:type="dxa"/>
            <w:vAlign w:val="bottom"/>
          </w:tcPr>
          <w:p>
            <w:pPr>
              <w:jc w:val="right"/>
              <w:ind w:right="308"/>
              <w:spacing w:after="0"/>
              <w:rPr>
                <w:sz w:val="20"/>
                <w:szCs w:val="20"/>
                <w:color w:val="auto"/>
              </w:rPr>
            </w:pPr>
            <w:r>
              <w:rPr>
                <w:rFonts w:ascii="Arial" w:cs="Arial" w:eastAsia="Arial" w:hAnsi="Arial"/>
                <w:sz w:val="14"/>
                <w:szCs w:val="14"/>
                <w:color w:val="auto"/>
              </w:rPr>
              <w:t>62</w:t>
            </w:r>
          </w:p>
        </w:tc>
        <w:tc>
          <w:tcPr>
            <w:tcW w:w="460" w:type="dxa"/>
            <w:vAlign w:val="bottom"/>
          </w:tcPr>
          <w:p>
            <w:pPr>
              <w:spacing w:after="0"/>
              <w:rPr>
                <w:sz w:val="18"/>
                <w:szCs w:val="18"/>
                <w:color w:val="auto"/>
              </w:rPr>
            </w:pPr>
          </w:p>
        </w:tc>
        <w:tc>
          <w:tcPr>
            <w:tcW w:w="660" w:type="dxa"/>
            <w:vAlign w:val="bottom"/>
          </w:tcPr>
          <w:p>
            <w:pPr>
              <w:jc w:val="right"/>
              <w:ind w:right="128"/>
              <w:spacing w:after="0"/>
              <w:rPr>
                <w:sz w:val="20"/>
                <w:szCs w:val="20"/>
                <w:color w:val="auto"/>
              </w:rPr>
            </w:pPr>
            <w:r>
              <w:rPr>
                <w:rFonts w:ascii="Arial" w:cs="Arial" w:eastAsia="Arial" w:hAnsi="Arial"/>
                <w:sz w:val="14"/>
                <w:szCs w:val="14"/>
                <w:color w:val="auto"/>
              </w:rPr>
              <w:t>113</w:t>
            </w:r>
          </w:p>
        </w:tc>
      </w:tr>
      <w:tr>
        <w:trPr>
          <w:trHeight w:val="216"/>
        </w:trPr>
        <w:tc>
          <w:tcPr>
            <w:tcW w:w="5080" w:type="dxa"/>
            <w:vAlign w:val="bottom"/>
          </w:tcPr>
          <w:p>
            <w:pPr>
              <w:ind w:left="320"/>
              <w:spacing w:after="0"/>
              <w:rPr>
                <w:sz w:val="20"/>
                <w:szCs w:val="20"/>
                <w:color w:val="auto"/>
              </w:rPr>
            </w:pPr>
            <w:r>
              <w:rPr>
                <w:rFonts w:ascii="Arial" w:cs="Arial" w:eastAsia="Arial" w:hAnsi="Arial"/>
                <w:sz w:val="14"/>
                <w:szCs w:val="14"/>
                <w:color w:val="auto"/>
              </w:rPr>
              <w:t>Regulatory assets arising from fixed-price contracts and other derivatives</w:t>
            </w:r>
          </w:p>
        </w:tc>
        <w:tc>
          <w:tcPr>
            <w:tcW w:w="340" w:type="dxa"/>
            <w:vAlign w:val="bottom"/>
          </w:tcPr>
          <w:p>
            <w:pPr>
              <w:spacing w:after="0"/>
              <w:rPr>
                <w:sz w:val="18"/>
                <w:szCs w:val="18"/>
                <w:color w:val="auto"/>
              </w:rPr>
            </w:pPr>
          </w:p>
        </w:tc>
        <w:tc>
          <w:tcPr>
            <w:tcW w:w="860" w:type="dxa"/>
            <w:vAlign w:val="bottom"/>
          </w:tcPr>
          <w:p>
            <w:pPr>
              <w:jc w:val="right"/>
              <w:ind w:right="308"/>
              <w:spacing w:after="0"/>
              <w:rPr>
                <w:sz w:val="20"/>
                <w:szCs w:val="20"/>
                <w:color w:val="auto"/>
              </w:rPr>
            </w:pPr>
            <w:r>
              <w:rPr>
                <w:rFonts w:ascii="Arial" w:cs="Arial" w:eastAsia="Arial" w:hAnsi="Arial"/>
                <w:sz w:val="14"/>
                <w:szCs w:val="14"/>
                <w:color w:val="auto"/>
              </w:rPr>
              <w:t>94</w:t>
            </w:r>
          </w:p>
        </w:tc>
        <w:tc>
          <w:tcPr>
            <w:tcW w:w="460" w:type="dxa"/>
            <w:vAlign w:val="bottom"/>
          </w:tcPr>
          <w:p>
            <w:pPr>
              <w:spacing w:after="0"/>
              <w:rPr>
                <w:sz w:val="18"/>
                <w:szCs w:val="18"/>
                <w:color w:val="auto"/>
              </w:rPr>
            </w:pPr>
          </w:p>
        </w:tc>
        <w:tc>
          <w:tcPr>
            <w:tcW w:w="660" w:type="dxa"/>
            <w:vAlign w:val="bottom"/>
          </w:tcPr>
          <w:p>
            <w:pPr>
              <w:jc w:val="right"/>
              <w:ind w:right="128"/>
              <w:spacing w:after="0"/>
              <w:rPr>
                <w:sz w:val="20"/>
                <w:szCs w:val="20"/>
                <w:color w:val="auto"/>
              </w:rPr>
            </w:pPr>
            <w:r>
              <w:rPr>
                <w:rFonts w:ascii="Arial" w:cs="Arial" w:eastAsia="Arial" w:hAnsi="Arial"/>
                <w:sz w:val="14"/>
                <w:szCs w:val="14"/>
                <w:color w:val="auto"/>
              </w:rPr>
              <w:t>52</w:t>
            </w:r>
          </w:p>
        </w:tc>
      </w:tr>
      <w:tr>
        <w:trPr>
          <w:trHeight w:val="216"/>
        </w:trPr>
        <w:tc>
          <w:tcPr>
            <w:tcW w:w="5080" w:type="dxa"/>
            <w:vAlign w:val="bottom"/>
          </w:tcPr>
          <w:p>
            <w:pPr>
              <w:ind w:left="320"/>
              <w:spacing w:after="0"/>
              <w:rPr>
                <w:sz w:val="20"/>
                <w:szCs w:val="20"/>
                <w:color w:val="auto"/>
              </w:rPr>
            </w:pPr>
            <w:r>
              <w:rPr>
                <w:rFonts w:ascii="Arial" w:cs="Arial" w:eastAsia="Arial" w:hAnsi="Arial"/>
                <w:sz w:val="14"/>
                <w:szCs w:val="14"/>
                <w:color w:val="auto"/>
              </w:rPr>
              <w:t>Other regulatory assets</w:t>
            </w:r>
          </w:p>
        </w:tc>
        <w:tc>
          <w:tcPr>
            <w:tcW w:w="340" w:type="dxa"/>
            <w:vAlign w:val="bottom"/>
          </w:tcPr>
          <w:p>
            <w:pPr>
              <w:spacing w:after="0"/>
              <w:rPr>
                <w:sz w:val="18"/>
                <w:szCs w:val="18"/>
                <w:color w:val="auto"/>
              </w:rPr>
            </w:pPr>
          </w:p>
        </w:tc>
        <w:tc>
          <w:tcPr>
            <w:tcW w:w="860" w:type="dxa"/>
            <w:vAlign w:val="bottom"/>
          </w:tcPr>
          <w:p>
            <w:pPr>
              <w:jc w:val="right"/>
              <w:ind w:right="308"/>
              <w:spacing w:after="0"/>
              <w:rPr>
                <w:sz w:val="20"/>
                <w:szCs w:val="20"/>
                <w:color w:val="auto"/>
              </w:rPr>
            </w:pPr>
            <w:r>
              <w:rPr>
                <w:rFonts w:ascii="Arial" w:cs="Arial" w:eastAsia="Arial" w:hAnsi="Arial"/>
                <w:sz w:val="14"/>
                <w:szCs w:val="14"/>
                <w:color w:val="auto"/>
              </w:rPr>
              <w:t>8</w:t>
            </w:r>
          </w:p>
        </w:tc>
        <w:tc>
          <w:tcPr>
            <w:tcW w:w="460" w:type="dxa"/>
            <w:vAlign w:val="bottom"/>
          </w:tcPr>
          <w:p>
            <w:pPr>
              <w:spacing w:after="0"/>
              <w:rPr>
                <w:sz w:val="18"/>
                <w:szCs w:val="18"/>
                <w:color w:val="auto"/>
              </w:rPr>
            </w:pPr>
          </w:p>
        </w:tc>
        <w:tc>
          <w:tcPr>
            <w:tcW w:w="660" w:type="dxa"/>
            <w:vAlign w:val="bottom"/>
          </w:tcPr>
          <w:p>
            <w:pPr>
              <w:jc w:val="right"/>
              <w:ind w:right="128"/>
              <w:spacing w:after="0"/>
              <w:rPr>
                <w:sz w:val="20"/>
                <w:szCs w:val="20"/>
                <w:color w:val="auto"/>
              </w:rPr>
            </w:pPr>
            <w:r>
              <w:rPr>
                <w:rFonts w:ascii="Arial" w:cs="Arial" w:eastAsia="Arial" w:hAnsi="Arial"/>
                <w:sz w:val="14"/>
                <w:szCs w:val="14"/>
                <w:color w:val="auto"/>
              </w:rPr>
              <w:t>14</w:t>
            </w:r>
          </w:p>
        </w:tc>
      </w:tr>
      <w:tr>
        <w:trPr>
          <w:trHeight w:val="216"/>
        </w:trPr>
        <w:tc>
          <w:tcPr>
            <w:tcW w:w="5080" w:type="dxa"/>
            <w:vAlign w:val="bottom"/>
          </w:tcPr>
          <w:p>
            <w:pPr>
              <w:ind w:left="320"/>
              <w:spacing w:after="0"/>
              <w:rPr>
                <w:sz w:val="20"/>
                <w:szCs w:val="20"/>
                <w:color w:val="auto"/>
              </w:rPr>
            </w:pPr>
            <w:r>
              <w:rPr>
                <w:rFonts w:ascii="Arial" w:cs="Arial" w:eastAsia="Arial" w:hAnsi="Arial"/>
                <w:sz w:val="14"/>
                <w:szCs w:val="14"/>
                <w:color w:val="auto"/>
              </w:rPr>
              <w:t>Fixed-price contracts and other derivatives</w:t>
            </w:r>
          </w:p>
        </w:tc>
        <w:tc>
          <w:tcPr>
            <w:tcW w:w="340" w:type="dxa"/>
            <w:vAlign w:val="bottom"/>
          </w:tcPr>
          <w:p>
            <w:pPr>
              <w:spacing w:after="0"/>
              <w:rPr>
                <w:sz w:val="18"/>
                <w:szCs w:val="18"/>
                <w:color w:val="auto"/>
              </w:rPr>
            </w:pPr>
          </w:p>
        </w:tc>
        <w:tc>
          <w:tcPr>
            <w:tcW w:w="860" w:type="dxa"/>
            <w:vAlign w:val="bottom"/>
          </w:tcPr>
          <w:p>
            <w:pPr>
              <w:jc w:val="right"/>
              <w:ind w:right="308"/>
              <w:spacing w:after="0"/>
              <w:rPr>
                <w:sz w:val="20"/>
                <w:szCs w:val="20"/>
                <w:color w:val="auto"/>
              </w:rPr>
            </w:pPr>
            <w:r>
              <w:rPr>
                <w:rFonts w:ascii="Arial" w:cs="Arial" w:eastAsia="Arial" w:hAnsi="Arial"/>
                <w:sz w:val="14"/>
                <w:szCs w:val="14"/>
                <w:color w:val="auto"/>
              </w:rPr>
              <w:t>39</w:t>
            </w:r>
          </w:p>
        </w:tc>
        <w:tc>
          <w:tcPr>
            <w:tcW w:w="460" w:type="dxa"/>
            <w:vAlign w:val="bottom"/>
          </w:tcPr>
          <w:p>
            <w:pPr>
              <w:spacing w:after="0"/>
              <w:rPr>
                <w:sz w:val="18"/>
                <w:szCs w:val="18"/>
                <w:color w:val="auto"/>
              </w:rPr>
            </w:pPr>
          </w:p>
        </w:tc>
        <w:tc>
          <w:tcPr>
            <w:tcW w:w="660" w:type="dxa"/>
            <w:vAlign w:val="bottom"/>
          </w:tcPr>
          <w:p>
            <w:pPr>
              <w:jc w:val="right"/>
              <w:ind w:right="128"/>
              <w:spacing w:after="0"/>
              <w:rPr>
                <w:sz w:val="20"/>
                <w:szCs w:val="20"/>
                <w:color w:val="auto"/>
              </w:rPr>
            </w:pPr>
            <w:r>
              <w:rPr>
                <w:rFonts w:ascii="Arial" w:cs="Arial" w:eastAsia="Arial" w:hAnsi="Arial"/>
                <w:sz w:val="14"/>
                <w:szCs w:val="14"/>
                <w:color w:val="auto"/>
              </w:rPr>
              <w:t>18</w:t>
            </w:r>
          </w:p>
        </w:tc>
      </w:tr>
      <w:tr>
        <w:trPr>
          <w:trHeight w:val="222"/>
        </w:trPr>
        <w:tc>
          <w:tcPr>
            <w:tcW w:w="5080" w:type="dxa"/>
            <w:vAlign w:val="bottom"/>
          </w:tcPr>
          <w:p>
            <w:pPr>
              <w:ind w:left="320"/>
              <w:spacing w:after="0"/>
              <w:rPr>
                <w:sz w:val="20"/>
                <w:szCs w:val="20"/>
                <w:color w:val="auto"/>
              </w:rPr>
            </w:pPr>
            <w:r>
              <w:rPr>
                <w:rFonts w:ascii="Arial" w:cs="Arial" w:eastAsia="Arial" w:hAnsi="Arial"/>
                <w:sz w:val="14"/>
                <w:szCs w:val="14"/>
                <w:color w:val="auto"/>
              </w:rPr>
              <w:t>Other</w:t>
            </w:r>
          </w:p>
        </w:tc>
        <w:tc>
          <w:tcPr>
            <w:tcW w:w="3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15</w:t>
            </w:r>
          </w:p>
        </w:tc>
        <w:tc>
          <w:tcPr>
            <w:tcW w:w="4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34</w:t>
            </w:r>
          </w:p>
        </w:tc>
      </w:tr>
      <w:tr>
        <w:trPr>
          <w:trHeight w:val="208"/>
        </w:trPr>
        <w:tc>
          <w:tcPr>
            <w:tcW w:w="5080" w:type="dxa"/>
            <w:vAlign w:val="bottom"/>
          </w:tcPr>
          <w:p>
            <w:pPr>
              <w:ind w:left="660"/>
              <w:spacing w:after="0"/>
              <w:rPr>
                <w:sz w:val="20"/>
                <w:szCs w:val="20"/>
                <w:color w:val="auto"/>
              </w:rPr>
            </w:pPr>
            <w:r>
              <w:rPr>
                <w:rFonts w:ascii="Arial" w:cs="Arial" w:eastAsia="Arial" w:hAnsi="Arial"/>
                <w:sz w:val="14"/>
                <w:szCs w:val="14"/>
                <w:color w:val="auto"/>
              </w:rPr>
              <w:t>Total current assets</w:t>
            </w:r>
          </w:p>
        </w:tc>
        <w:tc>
          <w:tcPr>
            <w:tcW w:w="3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584</w:t>
            </w:r>
          </w:p>
        </w:tc>
        <w:tc>
          <w:tcPr>
            <w:tcW w:w="4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790</w:t>
            </w:r>
          </w:p>
        </w:tc>
      </w:tr>
      <w:tr>
        <w:trPr>
          <w:trHeight w:val="418"/>
        </w:trPr>
        <w:tc>
          <w:tcPr>
            <w:tcW w:w="5080" w:type="dxa"/>
            <w:vAlign w:val="bottom"/>
          </w:tcPr>
          <w:p>
            <w:pPr>
              <w:ind w:left="20"/>
              <w:spacing w:after="0"/>
              <w:rPr>
                <w:sz w:val="20"/>
                <w:szCs w:val="20"/>
                <w:color w:val="auto"/>
              </w:rPr>
            </w:pPr>
            <w:r>
              <w:rPr>
                <w:rFonts w:ascii="Arial" w:cs="Arial" w:eastAsia="Arial" w:hAnsi="Arial"/>
                <w:sz w:val="14"/>
                <w:szCs w:val="14"/>
                <w:color w:val="auto"/>
              </w:rPr>
              <w:t>Other assets:</w:t>
            </w:r>
          </w:p>
        </w:tc>
        <w:tc>
          <w:tcPr>
            <w:tcW w:w="3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216"/>
        </w:trPr>
        <w:tc>
          <w:tcPr>
            <w:tcW w:w="5080" w:type="dxa"/>
            <w:vAlign w:val="bottom"/>
          </w:tcPr>
          <w:p>
            <w:pPr>
              <w:ind w:left="320"/>
              <w:spacing w:after="0"/>
              <w:rPr>
                <w:sz w:val="20"/>
                <w:szCs w:val="20"/>
                <w:color w:val="auto"/>
              </w:rPr>
            </w:pPr>
            <w:r>
              <w:rPr>
                <w:rFonts w:ascii="Arial" w:cs="Arial" w:eastAsia="Arial" w:hAnsi="Arial"/>
                <w:sz w:val="14"/>
                <w:szCs w:val="14"/>
                <w:color w:val="auto"/>
              </w:rPr>
              <w:t>Due from unconsolidated affiliate</w:t>
            </w:r>
          </w:p>
        </w:tc>
        <w:tc>
          <w:tcPr>
            <w:tcW w:w="340" w:type="dxa"/>
            <w:vAlign w:val="bottom"/>
          </w:tcPr>
          <w:p>
            <w:pPr>
              <w:spacing w:after="0"/>
              <w:rPr>
                <w:sz w:val="18"/>
                <w:szCs w:val="18"/>
                <w:color w:val="auto"/>
              </w:rPr>
            </w:pPr>
          </w:p>
        </w:tc>
        <w:tc>
          <w:tcPr>
            <w:tcW w:w="860" w:type="dxa"/>
            <w:vAlign w:val="bottom"/>
          </w:tcPr>
          <w:p>
            <w:pPr>
              <w:jc w:val="right"/>
              <w:ind w:right="308"/>
              <w:spacing w:after="0"/>
              <w:rPr>
                <w:sz w:val="20"/>
                <w:szCs w:val="20"/>
                <w:color w:val="auto"/>
              </w:rPr>
            </w:pPr>
            <w:r>
              <w:rPr>
                <w:rFonts w:ascii="Arial" w:cs="Arial" w:eastAsia="Arial" w:hAnsi="Arial"/>
                <w:sz w:val="14"/>
                <w:szCs w:val="14"/>
                <w:color w:val="auto"/>
              </w:rPr>
              <w:t>4</w:t>
            </w:r>
          </w:p>
        </w:tc>
        <w:tc>
          <w:tcPr>
            <w:tcW w:w="460" w:type="dxa"/>
            <w:vAlign w:val="bottom"/>
          </w:tcPr>
          <w:p>
            <w:pPr>
              <w:spacing w:after="0"/>
              <w:rPr>
                <w:sz w:val="18"/>
                <w:szCs w:val="18"/>
                <w:color w:val="auto"/>
              </w:rPr>
            </w:pPr>
          </w:p>
        </w:tc>
        <w:tc>
          <w:tcPr>
            <w:tcW w:w="660" w:type="dxa"/>
            <w:vAlign w:val="bottom"/>
          </w:tcPr>
          <w:p>
            <w:pPr>
              <w:jc w:val="right"/>
              <w:ind w:right="128"/>
              <w:spacing w:after="0"/>
              <w:rPr>
                <w:sz w:val="20"/>
                <w:szCs w:val="20"/>
                <w:color w:val="auto"/>
              </w:rPr>
            </w:pPr>
            <w:r>
              <w:rPr>
                <w:rFonts w:ascii="Arial" w:cs="Arial" w:eastAsia="Arial" w:hAnsi="Arial"/>
                <w:sz w:val="14"/>
                <w:szCs w:val="14"/>
                <w:color w:val="auto"/>
              </w:rPr>
              <w:t>5</w:t>
            </w:r>
          </w:p>
        </w:tc>
      </w:tr>
      <w:tr>
        <w:trPr>
          <w:trHeight w:val="216"/>
        </w:trPr>
        <w:tc>
          <w:tcPr>
            <w:tcW w:w="5080" w:type="dxa"/>
            <w:vAlign w:val="bottom"/>
          </w:tcPr>
          <w:p>
            <w:pPr>
              <w:ind w:left="320"/>
              <w:spacing w:after="0"/>
              <w:rPr>
                <w:sz w:val="20"/>
                <w:szCs w:val="20"/>
                <w:color w:val="auto"/>
              </w:rPr>
            </w:pPr>
            <w:r>
              <w:rPr>
                <w:rFonts w:ascii="Arial" w:cs="Arial" w:eastAsia="Arial" w:hAnsi="Arial"/>
                <w:sz w:val="14"/>
                <w:szCs w:val="14"/>
                <w:color w:val="auto"/>
              </w:rPr>
              <w:t>Deferred taxes recoverable in rates</w:t>
            </w:r>
          </w:p>
        </w:tc>
        <w:tc>
          <w:tcPr>
            <w:tcW w:w="340" w:type="dxa"/>
            <w:vAlign w:val="bottom"/>
          </w:tcPr>
          <w:p>
            <w:pPr>
              <w:spacing w:after="0"/>
              <w:rPr>
                <w:sz w:val="18"/>
                <w:szCs w:val="18"/>
                <w:color w:val="auto"/>
              </w:rPr>
            </w:pPr>
          </w:p>
        </w:tc>
        <w:tc>
          <w:tcPr>
            <w:tcW w:w="860" w:type="dxa"/>
            <w:vAlign w:val="bottom"/>
          </w:tcPr>
          <w:p>
            <w:pPr>
              <w:jc w:val="right"/>
              <w:ind w:right="308"/>
              <w:spacing w:after="0"/>
              <w:rPr>
                <w:sz w:val="20"/>
                <w:szCs w:val="20"/>
                <w:color w:val="auto"/>
              </w:rPr>
            </w:pPr>
            <w:r>
              <w:rPr>
                <w:rFonts w:ascii="Arial" w:cs="Arial" w:eastAsia="Arial" w:hAnsi="Arial"/>
                <w:sz w:val="14"/>
                <w:szCs w:val="14"/>
                <w:color w:val="auto"/>
              </w:rPr>
              <w:t>369</w:t>
            </w:r>
          </w:p>
        </w:tc>
        <w:tc>
          <w:tcPr>
            <w:tcW w:w="460" w:type="dxa"/>
            <w:vAlign w:val="bottom"/>
          </w:tcPr>
          <w:p>
            <w:pPr>
              <w:spacing w:after="0"/>
              <w:rPr>
                <w:sz w:val="18"/>
                <w:szCs w:val="18"/>
                <w:color w:val="auto"/>
              </w:rPr>
            </w:pPr>
          </w:p>
        </w:tc>
        <w:tc>
          <w:tcPr>
            <w:tcW w:w="660" w:type="dxa"/>
            <w:vAlign w:val="bottom"/>
          </w:tcPr>
          <w:p>
            <w:pPr>
              <w:jc w:val="right"/>
              <w:ind w:right="128"/>
              <w:spacing w:after="0"/>
              <w:rPr>
                <w:sz w:val="20"/>
                <w:szCs w:val="20"/>
                <w:color w:val="auto"/>
              </w:rPr>
            </w:pPr>
            <w:r>
              <w:rPr>
                <w:rFonts w:ascii="Arial" w:cs="Arial" w:eastAsia="Arial" w:hAnsi="Arial"/>
                <w:sz w:val="14"/>
                <w:szCs w:val="14"/>
                <w:color w:val="auto"/>
              </w:rPr>
              <w:t>312</w:t>
            </w:r>
          </w:p>
        </w:tc>
      </w:tr>
      <w:tr>
        <w:trPr>
          <w:trHeight w:val="216"/>
        </w:trPr>
        <w:tc>
          <w:tcPr>
            <w:tcW w:w="5080" w:type="dxa"/>
            <w:vAlign w:val="bottom"/>
          </w:tcPr>
          <w:p>
            <w:pPr>
              <w:ind w:left="320"/>
              <w:spacing w:after="0"/>
              <w:rPr>
                <w:sz w:val="20"/>
                <w:szCs w:val="20"/>
                <w:color w:val="auto"/>
              </w:rPr>
            </w:pPr>
            <w:r>
              <w:rPr>
                <w:rFonts w:ascii="Arial" w:cs="Arial" w:eastAsia="Arial" w:hAnsi="Arial"/>
                <w:sz w:val="14"/>
                <w:szCs w:val="14"/>
                <w:color w:val="auto"/>
              </w:rPr>
              <w:t>Regulatory assets arising from fixed-price contracts and other derivatives</w:t>
            </w:r>
          </w:p>
        </w:tc>
        <w:tc>
          <w:tcPr>
            <w:tcW w:w="340" w:type="dxa"/>
            <w:vAlign w:val="bottom"/>
          </w:tcPr>
          <w:p>
            <w:pPr>
              <w:spacing w:after="0"/>
              <w:rPr>
                <w:sz w:val="18"/>
                <w:szCs w:val="18"/>
                <w:color w:val="auto"/>
              </w:rPr>
            </w:pPr>
          </w:p>
        </w:tc>
        <w:tc>
          <w:tcPr>
            <w:tcW w:w="860" w:type="dxa"/>
            <w:vAlign w:val="bottom"/>
          </w:tcPr>
          <w:p>
            <w:pPr>
              <w:jc w:val="right"/>
              <w:ind w:right="308"/>
              <w:spacing w:after="0"/>
              <w:rPr>
                <w:sz w:val="20"/>
                <w:szCs w:val="20"/>
                <w:color w:val="auto"/>
              </w:rPr>
            </w:pPr>
            <w:r>
              <w:rPr>
                <w:rFonts w:ascii="Arial" w:cs="Arial" w:eastAsia="Arial" w:hAnsi="Arial"/>
                <w:sz w:val="14"/>
                <w:szCs w:val="14"/>
                <w:color w:val="auto"/>
              </w:rPr>
              <w:t>264</w:t>
            </w:r>
          </w:p>
        </w:tc>
        <w:tc>
          <w:tcPr>
            <w:tcW w:w="460" w:type="dxa"/>
            <w:vAlign w:val="bottom"/>
          </w:tcPr>
          <w:p>
            <w:pPr>
              <w:spacing w:after="0"/>
              <w:rPr>
                <w:sz w:val="18"/>
                <w:szCs w:val="18"/>
                <w:color w:val="auto"/>
              </w:rPr>
            </w:pPr>
          </w:p>
        </w:tc>
        <w:tc>
          <w:tcPr>
            <w:tcW w:w="660" w:type="dxa"/>
            <w:vAlign w:val="bottom"/>
          </w:tcPr>
          <w:p>
            <w:pPr>
              <w:jc w:val="right"/>
              <w:ind w:right="128"/>
              <w:spacing w:after="0"/>
              <w:rPr>
                <w:sz w:val="20"/>
                <w:szCs w:val="20"/>
                <w:color w:val="auto"/>
              </w:rPr>
            </w:pPr>
            <w:r>
              <w:rPr>
                <w:rFonts w:ascii="Arial" w:cs="Arial" w:eastAsia="Arial" w:hAnsi="Arial"/>
                <w:sz w:val="14"/>
                <w:szCs w:val="14"/>
                <w:color w:val="auto"/>
              </w:rPr>
              <w:t>309</w:t>
            </w:r>
          </w:p>
        </w:tc>
      </w:tr>
      <w:tr>
        <w:trPr>
          <w:trHeight w:val="188"/>
        </w:trPr>
        <w:tc>
          <w:tcPr>
            <w:tcW w:w="5080" w:type="dxa"/>
            <w:vAlign w:val="bottom"/>
          </w:tcPr>
          <w:p>
            <w:pPr>
              <w:ind w:left="320"/>
              <w:spacing w:after="0"/>
              <w:rPr>
                <w:sz w:val="20"/>
                <w:szCs w:val="20"/>
                <w:color w:val="auto"/>
              </w:rPr>
            </w:pPr>
            <w:r>
              <w:rPr>
                <w:rFonts w:ascii="Arial" w:cs="Arial" w:eastAsia="Arial" w:hAnsi="Arial"/>
                <w:sz w:val="14"/>
                <w:szCs w:val="14"/>
                <w:color w:val="auto"/>
              </w:rPr>
              <w:t>Regulatory assets arising from pensions and other postretirement benefit</w:t>
            </w:r>
          </w:p>
        </w:tc>
        <w:tc>
          <w:tcPr>
            <w:tcW w:w="3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60" w:type="dxa"/>
            <w:vAlign w:val="bottom"/>
          </w:tcPr>
          <w:p>
            <w:pPr>
              <w:spacing w:after="0"/>
              <w:rPr>
                <w:sz w:val="16"/>
                <w:szCs w:val="16"/>
                <w:color w:val="auto"/>
              </w:rPr>
            </w:pPr>
          </w:p>
        </w:tc>
      </w:tr>
      <w:tr>
        <w:trPr>
          <w:trHeight w:val="172"/>
        </w:trPr>
        <w:tc>
          <w:tcPr>
            <w:tcW w:w="5080" w:type="dxa"/>
            <w:vAlign w:val="bottom"/>
          </w:tcPr>
          <w:p>
            <w:pPr>
              <w:ind w:left="540"/>
              <w:spacing w:after="0"/>
              <w:rPr>
                <w:sz w:val="20"/>
                <w:szCs w:val="20"/>
                <w:color w:val="auto"/>
              </w:rPr>
            </w:pPr>
            <w:r>
              <w:rPr>
                <w:rFonts w:ascii="Arial" w:cs="Arial" w:eastAsia="Arial" w:hAnsi="Arial"/>
                <w:sz w:val="14"/>
                <w:szCs w:val="14"/>
                <w:color w:val="auto"/>
              </w:rPr>
              <w:t>obligations</w:t>
            </w:r>
          </w:p>
        </w:tc>
        <w:tc>
          <w:tcPr>
            <w:tcW w:w="340" w:type="dxa"/>
            <w:vAlign w:val="bottom"/>
          </w:tcPr>
          <w:p>
            <w:pPr>
              <w:spacing w:after="0"/>
              <w:rPr>
                <w:sz w:val="14"/>
                <w:szCs w:val="14"/>
                <w:color w:val="auto"/>
              </w:rPr>
            </w:pPr>
          </w:p>
        </w:tc>
        <w:tc>
          <w:tcPr>
            <w:tcW w:w="860" w:type="dxa"/>
            <w:vAlign w:val="bottom"/>
          </w:tcPr>
          <w:p>
            <w:pPr>
              <w:jc w:val="right"/>
              <w:ind w:right="308"/>
              <w:spacing w:after="0"/>
              <w:rPr>
                <w:sz w:val="20"/>
                <w:szCs w:val="20"/>
                <w:color w:val="auto"/>
              </w:rPr>
            </w:pPr>
            <w:r>
              <w:rPr>
                <w:rFonts w:ascii="Arial" w:cs="Arial" w:eastAsia="Arial" w:hAnsi="Arial"/>
                <w:sz w:val="14"/>
                <w:szCs w:val="14"/>
                <w:color w:val="auto"/>
              </w:rPr>
              <w:t>393</w:t>
            </w:r>
          </w:p>
        </w:tc>
        <w:tc>
          <w:tcPr>
            <w:tcW w:w="460" w:type="dxa"/>
            <w:vAlign w:val="bottom"/>
          </w:tcPr>
          <w:p>
            <w:pPr>
              <w:spacing w:after="0"/>
              <w:rPr>
                <w:sz w:val="14"/>
                <w:szCs w:val="14"/>
                <w:color w:val="auto"/>
              </w:rPr>
            </w:pPr>
          </w:p>
        </w:tc>
        <w:tc>
          <w:tcPr>
            <w:tcW w:w="660" w:type="dxa"/>
            <w:vAlign w:val="bottom"/>
          </w:tcPr>
          <w:p>
            <w:pPr>
              <w:jc w:val="right"/>
              <w:ind w:right="128"/>
              <w:spacing w:after="0"/>
              <w:rPr>
                <w:sz w:val="20"/>
                <w:szCs w:val="20"/>
                <w:color w:val="auto"/>
              </w:rPr>
            </w:pPr>
            <w:r>
              <w:rPr>
                <w:rFonts w:ascii="Arial" w:cs="Arial" w:eastAsia="Arial" w:hAnsi="Arial"/>
                <w:sz w:val="14"/>
                <w:szCs w:val="14"/>
                <w:color w:val="auto"/>
              </w:rPr>
              <w:t>162</w:t>
            </w:r>
          </w:p>
        </w:tc>
      </w:tr>
      <w:tr>
        <w:trPr>
          <w:trHeight w:val="216"/>
        </w:trPr>
        <w:tc>
          <w:tcPr>
            <w:tcW w:w="5080" w:type="dxa"/>
            <w:vAlign w:val="bottom"/>
          </w:tcPr>
          <w:p>
            <w:pPr>
              <w:ind w:left="320"/>
              <w:spacing w:after="0"/>
              <w:rPr>
                <w:sz w:val="20"/>
                <w:szCs w:val="20"/>
                <w:color w:val="auto"/>
              </w:rPr>
            </w:pPr>
            <w:r>
              <w:rPr>
                <w:rFonts w:ascii="Arial" w:cs="Arial" w:eastAsia="Arial" w:hAnsi="Arial"/>
                <w:sz w:val="14"/>
                <w:szCs w:val="14"/>
                <w:color w:val="auto"/>
              </w:rPr>
              <w:t>Other regulatory assets</w:t>
            </w:r>
          </w:p>
        </w:tc>
        <w:tc>
          <w:tcPr>
            <w:tcW w:w="340" w:type="dxa"/>
            <w:vAlign w:val="bottom"/>
          </w:tcPr>
          <w:p>
            <w:pPr>
              <w:spacing w:after="0"/>
              <w:rPr>
                <w:sz w:val="18"/>
                <w:szCs w:val="18"/>
                <w:color w:val="auto"/>
              </w:rPr>
            </w:pPr>
          </w:p>
        </w:tc>
        <w:tc>
          <w:tcPr>
            <w:tcW w:w="860" w:type="dxa"/>
            <w:vAlign w:val="bottom"/>
          </w:tcPr>
          <w:p>
            <w:pPr>
              <w:jc w:val="right"/>
              <w:ind w:right="308"/>
              <w:spacing w:after="0"/>
              <w:rPr>
                <w:sz w:val="20"/>
                <w:szCs w:val="20"/>
                <w:color w:val="auto"/>
              </w:rPr>
            </w:pPr>
            <w:r>
              <w:rPr>
                <w:rFonts w:ascii="Arial" w:cs="Arial" w:eastAsia="Arial" w:hAnsi="Arial"/>
                <w:sz w:val="14"/>
                <w:szCs w:val="14"/>
                <w:color w:val="auto"/>
              </w:rPr>
              <w:t>59</w:t>
            </w:r>
          </w:p>
        </w:tc>
        <w:tc>
          <w:tcPr>
            <w:tcW w:w="460" w:type="dxa"/>
            <w:vAlign w:val="bottom"/>
          </w:tcPr>
          <w:p>
            <w:pPr>
              <w:spacing w:after="0"/>
              <w:rPr>
                <w:sz w:val="18"/>
                <w:szCs w:val="18"/>
                <w:color w:val="auto"/>
              </w:rPr>
            </w:pPr>
          </w:p>
        </w:tc>
        <w:tc>
          <w:tcPr>
            <w:tcW w:w="660" w:type="dxa"/>
            <w:vAlign w:val="bottom"/>
          </w:tcPr>
          <w:p>
            <w:pPr>
              <w:jc w:val="right"/>
              <w:ind w:right="128"/>
              <w:spacing w:after="0"/>
              <w:rPr>
                <w:sz w:val="20"/>
                <w:szCs w:val="20"/>
                <w:color w:val="auto"/>
              </w:rPr>
            </w:pPr>
            <w:r>
              <w:rPr>
                <w:rFonts w:ascii="Arial" w:cs="Arial" w:eastAsia="Arial" w:hAnsi="Arial"/>
                <w:sz w:val="14"/>
                <w:szCs w:val="14"/>
                <w:color w:val="auto"/>
              </w:rPr>
              <w:t>48</w:t>
            </w:r>
          </w:p>
        </w:tc>
      </w:tr>
      <w:tr>
        <w:trPr>
          <w:trHeight w:val="216"/>
        </w:trPr>
        <w:tc>
          <w:tcPr>
            <w:tcW w:w="5080" w:type="dxa"/>
            <w:vAlign w:val="bottom"/>
          </w:tcPr>
          <w:p>
            <w:pPr>
              <w:ind w:left="320"/>
              <w:spacing w:after="0"/>
              <w:rPr>
                <w:sz w:val="20"/>
                <w:szCs w:val="20"/>
                <w:color w:val="auto"/>
              </w:rPr>
            </w:pPr>
            <w:r>
              <w:rPr>
                <w:rFonts w:ascii="Arial" w:cs="Arial" w:eastAsia="Arial" w:hAnsi="Arial"/>
                <w:sz w:val="14"/>
                <w:szCs w:val="14"/>
                <w:color w:val="auto"/>
              </w:rPr>
              <w:t>Nuclear decommissioning trusts</w:t>
            </w:r>
          </w:p>
        </w:tc>
        <w:tc>
          <w:tcPr>
            <w:tcW w:w="340" w:type="dxa"/>
            <w:vAlign w:val="bottom"/>
          </w:tcPr>
          <w:p>
            <w:pPr>
              <w:spacing w:after="0"/>
              <w:rPr>
                <w:sz w:val="18"/>
                <w:szCs w:val="18"/>
                <w:color w:val="auto"/>
              </w:rPr>
            </w:pPr>
          </w:p>
        </w:tc>
        <w:tc>
          <w:tcPr>
            <w:tcW w:w="860" w:type="dxa"/>
            <w:vAlign w:val="bottom"/>
          </w:tcPr>
          <w:p>
            <w:pPr>
              <w:jc w:val="right"/>
              <w:ind w:right="308"/>
              <w:spacing w:after="0"/>
              <w:rPr>
                <w:sz w:val="20"/>
                <w:szCs w:val="20"/>
                <w:color w:val="auto"/>
              </w:rPr>
            </w:pPr>
            <w:r>
              <w:rPr>
                <w:rFonts w:ascii="Arial" w:cs="Arial" w:eastAsia="Arial" w:hAnsi="Arial"/>
                <w:sz w:val="14"/>
                <w:szCs w:val="14"/>
                <w:color w:val="auto"/>
              </w:rPr>
              <w:t>577</w:t>
            </w:r>
          </w:p>
        </w:tc>
        <w:tc>
          <w:tcPr>
            <w:tcW w:w="460" w:type="dxa"/>
            <w:vAlign w:val="bottom"/>
          </w:tcPr>
          <w:p>
            <w:pPr>
              <w:spacing w:after="0"/>
              <w:rPr>
                <w:sz w:val="18"/>
                <w:szCs w:val="18"/>
                <w:color w:val="auto"/>
              </w:rPr>
            </w:pPr>
          </w:p>
        </w:tc>
        <w:tc>
          <w:tcPr>
            <w:tcW w:w="660" w:type="dxa"/>
            <w:vAlign w:val="bottom"/>
          </w:tcPr>
          <w:p>
            <w:pPr>
              <w:jc w:val="right"/>
              <w:ind w:right="128"/>
              <w:spacing w:after="0"/>
              <w:rPr>
                <w:sz w:val="20"/>
                <w:szCs w:val="20"/>
                <w:color w:val="auto"/>
              </w:rPr>
            </w:pPr>
            <w:r>
              <w:rPr>
                <w:rFonts w:ascii="Arial" w:cs="Arial" w:eastAsia="Arial" w:hAnsi="Arial"/>
                <w:sz w:val="14"/>
                <w:szCs w:val="14"/>
                <w:color w:val="auto"/>
              </w:rPr>
              <w:t>739</w:t>
            </w:r>
          </w:p>
        </w:tc>
      </w:tr>
      <w:tr>
        <w:trPr>
          <w:trHeight w:val="222"/>
        </w:trPr>
        <w:tc>
          <w:tcPr>
            <w:tcW w:w="5080" w:type="dxa"/>
            <w:vAlign w:val="bottom"/>
          </w:tcPr>
          <w:p>
            <w:pPr>
              <w:ind w:left="320"/>
              <w:spacing w:after="0"/>
              <w:rPr>
                <w:sz w:val="20"/>
                <w:szCs w:val="20"/>
                <w:color w:val="auto"/>
              </w:rPr>
            </w:pPr>
            <w:r>
              <w:rPr>
                <w:rFonts w:ascii="Arial" w:cs="Arial" w:eastAsia="Arial" w:hAnsi="Arial"/>
                <w:sz w:val="14"/>
                <w:szCs w:val="14"/>
                <w:color w:val="auto"/>
              </w:rPr>
              <w:t>Sundry</w:t>
            </w:r>
          </w:p>
        </w:tc>
        <w:tc>
          <w:tcPr>
            <w:tcW w:w="3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154</w:t>
            </w:r>
          </w:p>
        </w:tc>
        <w:tc>
          <w:tcPr>
            <w:tcW w:w="4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123</w:t>
            </w:r>
          </w:p>
        </w:tc>
      </w:tr>
      <w:tr>
        <w:trPr>
          <w:trHeight w:val="208"/>
        </w:trPr>
        <w:tc>
          <w:tcPr>
            <w:tcW w:w="5080" w:type="dxa"/>
            <w:vAlign w:val="bottom"/>
          </w:tcPr>
          <w:p>
            <w:pPr>
              <w:ind w:left="660"/>
              <w:spacing w:after="0"/>
              <w:rPr>
                <w:sz w:val="20"/>
                <w:szCs w:val="20"/>
                <w:color w:val="auto"/>
              </w:rPr>
            </w:pPr>
            <w:r>
              <w:rPr>
                <w:rFonts w:ascii="Arial" w:cs="Arial" w:eastAsia="Arial" w:hAnsi="Arial"/>
                <w:sz w:val="14"/>
                <w:szCs w:val="14"/>
                <w:color w:val="auto"/>
              </w:rPr>
              <w:t>Total other assets</w:t>
            </w:r>
          </w:p>
        </w:tc>
        <w:tc>
          <w:tcPr>
            <w:tcW w:w="3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1,820</w:t>
            </w:r>
          </w:p>
        </w:tc>
        <w:tc>
          <w:tcPr>
            <w:tcW w:w="4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1,698</w:t>
            </w:r>
          </w:p>
        </w:tc>
      </w:tr>
      <w:tr>
        <w:trPr>
          <w:trHeight w:val="418"/>
        </w:trPr>
        <w:tc>
          <w:tcPr>
            <w:tcW w:w="5080" w:type="dxa"/>
            <w:vAlign w:val="bottom"/>
          </w:tcPr>
          <w:p>
            <w:pPr>
              <w:ind w:left="20"/>
              <w:spacing w:after="0"/>
              <w:rPr>
                <w:sz w:val="20"/>
                <w:szCs w:val="20"/>
                <w:color w:val="auto"/>
              </w:rPr>
            </w:pPr>
            <w:r>
              <w:rPr>
                <w:rFonts w:ascii="Arial" w:cs="Arial" w:eastAsia="Arial" w:hAnsi="Arial"/>
                <w:sz w:val="14"/>
                <w:szCs w:val="14"/>
                <w:color w:val="auto"/>
              </w:rPr>
              <w:t>Property, plant and equipment:</w:t>
            </w:r>
          </w:p>
        </w:tc>
        <w:tc>
          <w:tcPr>
            <w:tcW w:w="3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216"/>
        </w:trPr>
        <w:tc>
          <w:tcPr>
            <w:tcW w:w="5080" w:type="dxa"/>
            <w:vAlign w:val="bottom"/>
          </w:tcPr>
          <w:p>
            <w:pPr>
              <w:ind w:left="340"/>
              <w:spacing w:after="0"/>
              <w:rPr>
                <w:sz w:val="20"/>
                <w:szCs w:val="20"/>
                <w:color w:val="auto"/>
              </w:rPr>
            </w:pPr>
            <w:r>
              <w:rPr>
                <w:rFonts w:ascii="Arial" w:cs="Arial" w:eastAsia="Arial" w:hAnsi="Arial"/>
                <w:sz w:val="14"/>
                <w:szCs w:val="14"/>
                <w:color w:val="auto"/>
              </w:rPr>
              <w:t>Property, plant and equipment</w:t>
            </w:r>
          </w:p>
        </w:tc>
        <w:tc>
          <w:tcPr>
            <w:tcW w:w="340" w:type="dxa"/>
            <w:vAlign w:val="bottom"/>
          </w:tcPr>
          <w:p>
            <w:pPr>
              <w:spacing w:after="0"/>
              <w:rPr>
                <w:sz w:val="18"/>
                <w:szCs w:val="18"/>
                <w:color w:val="auto"/>
              </w:rPr>
            </w:pPr>
          </w:p>
        </w:tc>
        <w:tc>
          <w:tcPr>
            <w:tcW w:w="860" w:type="dxa"/>
            <w:vAlign w:val="bottom"/>
          </w:tcPr>
          <w:p>
            <w:pPr>
              <w:jc w:val="right"/>
              <w:ind w:right="308"/>
              <w:spacing w:after="0"/>
              <w:rPr>
                <w:sz w:val="20"/>
                <w:szCs w:val="20"/>
                <w:color w:val="auto"/>
              </w:rPr>
            </w:pPr>
            <w:r>
              <w:rPr>
                <w:rFonts w:ascii="Arial" w:cs="Arial" w:eastAsia="Arial" w:hAnsi="Arial"/>
                <w:sz w:val="14"/>
                <w:szCs w:val="14"/>
                <w:color w:val="auto"/>
              </w:rPr>
              <w:t>9,095</w:t>
            </w:r>
          </w:p>
        </w:tc>
        <w:tc>
          <w:tcPr>
            <w:tcW w:w="460" w:type="dxa"/>
            <w:vAlign w:val="bottom"/>
          </w:tcPr>
          <w:p>
            <w:pPr>
              <w:spacing w:after="0"/>
              <w:rPr>
                <w:sz w:val="18"/>
                <w:szCs w:val="18"/>
                <w:color w:val="auto"/>
              </w:rPr>
            </w:pPr>
          </w:p>
        </w:tc>
        <w:tc>
          <w:tcPr>
            <w:tcW w:w="660" w:type="dxa"/>
            <w:vAlign w:val="bottom"/>
          </w:tcPr>
          <w:p>
            <w:pPr>
              <w:jc w:val="right"/>
              <w:ind w:right="128"/>
              <w:spacing w:after="0"/>
              <w:rPr>
                <w:sz w:val="20"/>
                <w:szCs w:val="20"/>
                <w:color w:val="auto"/>
              </w:rPr>
            </w:pPr>
            <w:r>
              <w:rPr>
                <w:rFonts w:ascii="Arial" w:cs="Arial" w:eastAsia="Arial" w:hAnsi="Arial"/>
                <w:sz w:val="14"/>
                <w:szCs w:val="14"/>
                <w:color w:val="auto"/>
              </w:rPr>
              <w:t>8,282</w:t>
            </w:r>
          </w:p>
        </w:tc>
      </w:tr>
      <w:tr>
        <w:trPr>
          <w:trHeight w:val="222"/>
        </w:trPr>
        <w:tc>
          <w:tcPr>
            <w:tcW w:w="5080" w:type="dxa"/>
            <w:vAlign w:val="bottom"/>
          </w:tcPr>
          <w:p>
            <w:pPr>
              <w:ind w:left="340"/>
              <w:spacing w:after="0"/>
              <w:rPr>
                <w:sz w:val="20"/>
                <w:szCs w:val="20"/>
                <w:color w:val="auto"/>
              </w:rPr>
            </w:pPr>
            <w:r>
              <w:rPr>
                <w:rFonts w:ascii="Arial" w:cs="Arial" w:eastAsia="Arial" w:hAnsi="Arial"/>
                <w:sz w:val="14"/>
                <w:szCs w:val="14"/>
                <w:color w:val="auto"/>
              </w:rPr>
              <w:t>Less accumulated depreciation and amortization</w:t>
            </w:r>
          </w:p>
        </w:tc>
        <w:tc>
          <w:tcPr>
            <w:tcW w:w="3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(2,420 )</w:t>
            </w:r>
          </w:p>
        </w:tc>
        <w:tc>
          <w:tcPr>
            <w:tcW w:w="4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(2,271 )</w:t>
            </w:r>
          </w:p>
        </w:tc>
      </w:tr>
      <w:tr>
        <w:trPr>
          <w:trHeight w:val="208"/>
        </w:trPr>
        <w:tc>
          <w:tcPr>
            <w:tcW w:w="5080" w:type="dxa"/>
            <w:vAlign w:val="bottom"/>
          </w:tcPr>
          <w:p>
            <w:pPr>
              <w:ind w:left="660"/>
              <w:spacing w:after="0"/>
              <w:rPr>
                <w:sz w:val="20"/>
                <w:szCs w:val="20"/>
                <w:color w:val="auto"/>
              </w:rPr>
            </w:pPr>
            <w:r>
              <w:rPr>
                <w:rFonts w:ascii="Arial" w:cs="Arial" w:eastAsia="Arial" w:hAnsi="Arial"/>
                <w:sz w:val="14"/>
                <w:szCs w:val="14"/>
                <w:color w:val="auto"/>
              </w:rPr>
              <w:t>Property, plant and equipment, net</w:t>
            </w:r>
          </w:p>
        </w:tc>
        <w:tc>
          <w:tcPr>
            <w:tcW w:w="3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6,675</w:t>
            </w:r>
          </w:p>
        </w:tc>
        <w:tc>
          <w:tcPr>
            <w:tcW w:w="4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6,011</w:t>
            </w:r>
          </w:p>
        </w:tc>
      </w:tr>
      <w:tr>
        <w:trPr>
          <w:trHeight w:val="224"/>
        </w:trPr>
        <w:tc>
          <w:tcPr>
            <w:tcW w:w="50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Total assets</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9,079</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8,499</w:t>
            </w:r>
          </w:p>
        </w:tc>
      </w:tr>
    </w:tbl>
    <w:p>
      <w:pPr>
        <w:spacing w:after="0" w:line="257" w:lineRule="exact"/>
        <w:rPr>
          <w:sz w:val="20"/>
          <w:szCs w:val="20"/>
          <w:color w:val="auto"/>
        </w:rPr>
      </w:pPr>
    </w:p>
    <w:p>
      <w:pPr>
        <w:ind w:left="2040"/>
        <w:spacing w:after="0"/>
        <w:rPr>
          <w:sz w:val="20"/>
          <w:szCs w:val="20"/>
          <w:color w:val="auto"/>
        </w:rPr>
      </w:pPr>
      <w:r>
        <w:rPr>
          <w:rFonts w:ascii="Arial" w:cs="Arial" w:eastAsia="Arial" w:hAnsi="Arial"/>
          <w:sz w:val="13"/>
          <w:szCs w:val="13"/>
          <w:i w:val="1"/>
          <w:iCs w:val="1"/>
          <w:color w:val="auto"/>
        </w:rPr>
        <w:t>See Notes to Consolidated Financial Statements.</w:t>
      </w:r>
    </w:p>
    <w:p>
      <w:pPr>
        <w:spacing w:after="0" w:line="283" w:lineRule="exact"/>
        <w:rPr>
          <w:sz w:val="20"/>
          <w:szCs w:val="20"/>
          <w:color w:val="auto"/>
        </w:rPr>
      </w:pPr>
    </w:p>
    <w:p>
      <w:pPr>
        <w:ind w:left="2040"/>
        <w:spacing w:after="0"/>
        <w:rPr>
          <w:sz w:val="20"/>
          <w:szCs w:val="20"/>
          <w:color w:val="auto"/>
        </w:rPr>
      </w:pPr>
      <w:r>
        <w:rPr>
          <w:rFonts w:ascii="Arial" w:cs="Arial" w:eastAsia="Arial" w:hAnsi="Arial"/>
          <w:sz w:val="13"/>
          <w:szCs w:val="13"/>
          <w:i w:val="1"/>
          <w:iCs w:val="1"/>
          <w:color w:val="auto"/>
        </w:rPr>
        <w:t>* As adjusted for the retrospective adoption of FASB Staff Position FIN 39-1.</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Arial" w:cs="Arial" w:eastAsia="Arial" w:hAnsi="Arial"/>
          <w:sz w:val="14"/>
          <w:szCs w:val="14"/>
          <w:color w:val="auto"/>
        </w:rPr>
        <w:t>76</w:t>
      </w:r>
    </w:p>
    <w:p>
      <w:pPr>
        <w:sectPr>
          <w:pgSz w:w="11900" w:h="16838" w:orient="portrait"/>
          <w:cols w:equalWidth="0" w:num="1">
            <w:col w:w="10219"/>
          </w:cols>
          <w:pgMar w:left="240" w:top="544" w:right="1440" w:bottom="1440" w:gutter="0" w:footer="0" w:header="0"/>
        </w:sectPr>
      </w:pPr>
    </w:p>
    <w:bookmarkStart w:id="216" w:name="page217"/>
    <w:bookmarkEnd w:id="216"/>
    <w:p>
      <w:pPr>
        <w:ind w:left="2040"/>
        <w:spacing w:after="0"/>
        <w:rPr>
          <w:sz w:val="20"/>
          <w:szCs w:val="20"/>
          <w:color w:val="auto"/>
        </w:rPr>
      </w:pPr>
      <w:r>
        <w:rPr>
          <w:rFonts w:ascii="Arial" w:cs="Arial" w:eastAsia="Arial" w:hAnsi="Arial"/>
          <w:sz w:val="14"/>
          <w:szCs w:val="14"/>
          <w:b w:val="1"/>
          <w:bCs w:val="1"/>
          <w:color w:val="auto"/>
        </w:rPr>
        <w:t>SAN DIEGO GAS &amp; ELECTRIC COMPANY AND SUBSIDIARY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1286510</wp:posOffset>
            </wp:positionH>
            <wp:positionV relativeFrom="paragraph">
              <wp:posOffset>-99060</wp:posOffset>
            </wp:positionV>
            <wp:extent cx="4691380" cy="38163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4691380" cy="381635"/>
                    </a:xfrm>
                    <a:prstGeom prst="rect">
                      <a:avLst/>
                    </a:prstGeom>
                    <a:noFill/>
                  </pic:spPr>
                </pic:pic>
              </a:graphicData>
            </a:graphic>
          </wp:anchor>
        </w:drawing>
      </w:r>
    </w:p>
    <w:p>
      <w:pPr>
        <w:spacing w:after="0" w:line="11" w:lineRule="exact"/>
        <w:rPr>
          <w:sz w:val="20"/>
          <w:szCs w:val="20"/>
          <w:color w:val="auto"/>
        </w:rPr>
      </w:pPr>
    </w:p>
    <w:p>
      <w:pPr>
        <w:ind w:left="2040"/>
        <w:spacing w:after="0"/>
        <w:rPr>
          <w:sz w:val="20"/>
          <w:szCs w:val="20"/>
          <w:color w:val="auto"/>
        </w:rPr>
      </w:pPr>
      <w:r>
        <w:rPr>
          <w:rFonts w:ascii="Arial" w:cs="Arial" w:eastAsia="Arial" w:hAnsi="Arial"/>
          <w:sz w:val="14"/>
          <w:szCs w:val="14"/>
          <w:b w:val="1"/>
          <w:bCs w:val="1"/>
          <w:color w:val="auto"/>
        </w:rPr>
        <w:t>CONSOLIDATED BALANCE SHEETS</w:t>
      </w:r>
    </w:p>
    <w:p>
      <w:pPr>
        <w:spacing w:after="0" w:line="76" w:lineRule="exact"/>
        <w:rPr>
          <w:sz w:val="20"/>
          <w:szCs w:val="20"/>
          <w:color w:val="auto"/>
        </w:rPr>
      </w:pPr>
    </w:p>
    <w:tbl>
      <w:tblPr>
        <w:tblLayout w:type="fixed"/>
        <w:tblInd w:w="2020" w:type="dxa"/>
        <w:tblCellMar>
          <w:top w:w="0" w:type="dxa"/>
          <w:left w:w="0" w:type="dxa"/>
          <w:bottom w:w="0" w:type="dxa"/>
          <w:right w:w="0" w:type="dxa"/>
        </w:tblCellMar>
      </w:tblPr>
      <w:tr>
        <w:trPr>
          <w:trHeight w:val="166"/>
        </w:trPr>
        <w:tc>
          <w:tcPr>
            <w:tcW w:w="5020" w:type="dxa"/>
            <w:vAlign w:val="bottom"/>
          </w:tcPr>
          <w:p>
            <w:pPr>
              <w:ind w:left="20"/>
              <w:spacing w:after="0"/>
              <w:rPr>
                <w:sz w:val="20"/>
                <w:szCs w:val="20"/>
                <w:color w:val="auto"/>
              </w:rPr>
            </w:pPr>
            <w:r>
              <w:rPr>
                <w:rFonts w:ascii="Arial" w:cs="Arial" w:eastAsia="Arial" w:hAnsi="Arial"/>
                <w:sz w:val="13"/>
                <w:szCs w:val="13"/>
                <w:i w:val="1"/>
                <w:iCs w:val="1"/>
                <w:color w:val="auto"/>
              </w:rPr>
              <w:t>(Dollars in millions)</w:t>
            </w:r>
          </w:p>
        </w:tc>
        <w:tc>
          <w:tcPr>
            <w:tcW w:w="4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80"/>
        </w:trPr>
        <w:tc>
          <w:tcPr>
            <w:tcW w:w="5020" w:type="dxa"/>
            <w:vAlign w:val="bottom"/>
          </w:tcPr>
          <w:p>
            <w:pPr>
              <w:spacing w:after="0"/>
              <w:rPr>
                <w:sz w:val="15"/>
                <w:szCs w:val="15"/>
                <w:color w:val="auto"/>
              </w:rPr>
            </w:pPr>
          </w:p>
        </w:tc>
        <w:tc>
          <w:tcPr>
            <w:tcW w:w="2380" w:type="dxa"/>
            <w:vAlign w:val="bottom"/>
            <w:gridSpan w:val="4"/>
          </w:tcPr>
          <w:p>
            <w:pPr>
              <w:jc w:val="right"/>
              <w:spacing w:after="0"/>
              <w:rPr>
                <w:sz w:val="20"/>
                <w:szCs w:val="20"/>
                <w:color w:val="auto"/>
              </w:rPr>
            </w:pPr>
            <w:r>
              <w:rPr>
                <w:rFonts w:ascii="Arial" w:cs="Arial" w:eastAsia="Arial" w:hAnsi="Arial"/>
                <w:sz w:val="13"/>
                <w:szCs w:val="13"/>
                <w:color w:val="auto"/>
              </w:rPr>
              <w:t>December 31,   December 31, 2007</w:t>
            </w:r>
          </w:p>
        </w:tc>
      </w:tr>
      <w:tr>
        <w:trPr>
          <w:trHeight w:val="161"/>
        </w:trPr>
        <w:tc>
          <w:tcPr>
            <w:tcW w:w="50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428"/>
              <w:spacing w:after="0"/>
              <w:rPr>
                <w:sz w:val="20"/>
                <w:szCs w:val="20"/>
                <w:color w:val="auto"/>
              </w:rPr>
            </w:pPr>
            <w:r>
              <w:rPr>
                <w:rFonts w:ascii="Arial" w:cs="Arial" w:eastAsia="Arial" w:hAnsi="Arial"/>
                <w:sz w:val="13"/>
                <w:szCs w:val="13"/>
                <w:color w:val="auto"/>
              </w:rPr>
              <w:t>2008</w:t>
            </w:r>
          </w:p>
        </w:tc>
        <w:tc>
          <w:tcPr>
            <w:tcW w:w="4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488"/>
              <w:spacing w:after="0"/>
              <w:rPr>
                <w:sz w:val="20"/>
                <w:szCs w:val="20"/>
                <w:color w:val="auto"/>
              </w:rPr>
            </w:pPr>
            <w:r>
              <w:rPr>
                <w:rFonts w:ascii="Arial" w:cs="Arial" w:eastAsia="Arial" w:hAnsi="Arial"/>
                <w:sz w:val="13"/>
                <w:szCs w:val="13"/>
                <w:color w:val="auto"/>
              </w:rPr>
              <w:t>*</w:t>
            </w:r>
          </w:p>
        </w:tc>
      </w:tr>
      <w:tr>
        <w:trPr>
          <w:trHeight w:val="423"/>
        </w:trPr>
        <w:tc>
          <w:tcPr>
            <w:tcW w:w="5020" w:type="dxa"/>
            <w:vAlign w:val="bottom"/>
          </w:tcPr>
          <w:p>
            <w:pPr>
              <w:ind w:left="20"/>
              <w:spacing w:after="0"/>
              <w:rPr>
                <w:sz w:val="20"/>
                <w:szCs w:val="20"/>
                <w:color w:val="auto"/>
              </w:rPr>
            </w:pPr>
            <w:r>
              <w:rPr>
                <w:rFonts w:ascii="Arial" w:cs="Arial" w:eastAsia="Arial" w:hAnsi="Arial"/>
                <w:sz w:val="14"/>
                <w:szCs w:val="14"/>
                <w:color w:val="auto"/>
              </w:rPr>
              <w:t>LIABILITIES AND SHAREHOLDERS' EQUITY</w:t>
            </w: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216"/>
        </w:trPr>
        <w:tc>
          <w:tcPr>
            <w:tcW w:w="5020" w:type="dxa"/>
            <w:vAlign w:val="bottom"/>
          </w:tcPr>
          <w:p>
            <w:pPr>
              <w:ind w:left="20"/>
              <w:spacing w:after="0"/>
              <w:rPr>
                <w:sz w:val="20"/>
                <w:szCs w:val="20"/>
                <w:color w:val="auto"/>
              </w:rPr>
            </w:pPr>
            <w:r>
              <w:rPr>
                <w:rFonts w:ascii="Arial" w:cs="Arial" w:eastAsia="Arial" w:hAnsi="Arial"/>
                <w:sz w:val="14"/>
                <w:szCs w:val="14"/>
                <w:color w:val="auto"/>
              </w:rPr>
              <w:t>Current liabilities:</w:t>
            </w:r>
          </w:p>
        </w:tc>
        <w:tc>
          <w:tcPr>
            <w:tcW w:w="4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16"/>
        </w:trPr>
        <w:tc>
          <w:tcPr>
            <w:tcW w:w="5020" w:type="dxa"/>
            <w:vAlign w:val="bottom"/>
          </w:tcPr>
          <w:p>
            <w:pPr>
              <w:ind w:left="300"/>
              <w:spacing w:after="0"/>
              <w:rPr>
                <w:sz w:val="20"/>
                <w:szCs w:val="20"/>
                <w:color w:val="auto"/>
              </w:rPr>
            </w:pPr>
            <w:r>
              <w:rPr>
                <w:rFonts w:ascii="Arial" w:cs="Arial" w:eastAsia="Arial" w:hAnsi="Arial"/>
                <w:sz w:val="14"/>
                <w:szCs w:val="14"/>
                <w:color w:val="auto"/>
              </w:rPr>
              <w:t>Accounts payable</w:t>
            </w:r>
          </w:p>
        </w:tc>
        <w:tc>
          <w:tcPr>
            <w:tcW w:w="40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308"/>
              <w:spacing w:after="0"/>
              <w:rPr>
                <w:sz w:val="20"/>
                <w:szCs w:val="20"/>
                <w:color w:val="auto"/>
              </w:rPr>
            </w:pPr>
            <w:r>
              <w:rPr>
                <w:rFonts w:ascii="Arial" w:cs="Arial" w:eastAsia="Arial" w:hAnsi="Arial"/>
                <w:sz w:val="14"/>
                <w:szCs w:val="14"/>
                <w:color w:val="auto"/>
              </w:rPr>
              <w:t>261</w:t>
            </w:r>
          </w:p>
        </w:tc>
        <w:tc>
          <w:tcPr>
            <w:tcW w:w="46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148"/>
              <w:spacing w:after="0"/>
              <w:rPr>
                <w:sz w:val="20"/>
                <w:szCs w:val="20"/>
                <w:color w:val="auto"/>
              </w:rPr>
            </w:pPr>
            <w:r>
              <w:rPr>
                <w:rFonts w:ascii="Arial" w:cs="Arial" w:eastAsia="Arial" w:hAnsi="Arial"/>
                <w:sz w:val="14"/>
                <w:szCs w:val="14"/>
                <w:color w:val="auto"/>
              </w:rPr>
              <w:t>290</w:t>
            </w:r>
          </w:p>
        </w:tc>
      </w:tr>
      <w:tr>
        <w:trPr>
          <w:trHeight w:val="216"/>
        </w:trPr>
        <w:tc>
          <w:tcPr>
            <w:tcW w:w="5020" w:type="dxa"/>
            <w:vAlign w:val="bottom"/>
          </w:tcPr>
          <w:p>
            <w:pPr>
              <w:ind w:left="300"/>
              <w:spacing w:after="0"/>
              <w:rPr>
                <w:sz w:val="20"/>
                <w:szCs w:val="20"/>
                <w:color w:val="auto"/>
              </w:rPr>
            </w:pPr>
            <w:r>
              <w:rPr>
                <w:rFonts w:ascii="Arial" w:cs="Arial" w:eastAsia="Arial" w:hAnsi="Arial"/>
                <w:sz w:val="14"/>
                <w:szCs w:val="14"/>
                <w:color w:val="auto"/>
              </w:rPr>
              <w:t>Due to unconsolidated affiliates</w:t>
            </w:r>
          </w:p>
        </w:tc>
        <w:tc>
          <w:tcPr>
            <w:tcW w:w="400" w:type="dxa"/>
            <w:vAlign w:val="bottom"/>
          </w:tcPr>
          <w:p>
            <w:pPr>
              <w:spacing w:after="0"/>
              <w:rPr>
                <w:sz w:val="18"/>
                <w:szCs w:val="18"/>
                <w:color w:val="auto"/>
              </w:rPr>
            </w:pPr>
          </w:p>
        </w:tc>
        <w:tc>
          <w:tcPr>
            <w:tcW w:w="840" w:type="dxa"/>
            <w:vAlign w:val="bottom"/>
          </w:tcPr>
          <w:p>
            <w:pPr>
              <w:jc w:val="right"/>
              <w:ind w:right="308"/>
              <w:spacing w:after="0"/>
              <w:rPr>
                <w:sz w:val="20"/>
                <w:szCs w:val="20"/>
                <w:color w:val="auto"/>
              </w:rPr>
            </w:pPr>
            <w:r>
              <w:rPr>
                <w:rFonts w:ascii="Arial" w:cs="Arial" w:eastAsia="Arial" w:hAnsi="Arial"/>
                <w:sz w:val="14"/>
                <w:szCs w:val="14"/>
                <w:color w:val="auto"/>
              </w:rPr>
              <w:t>1</w:t>
            </w:r>
          </w:p>
        </w:tc>
        <w:tc>
          <w:tcPr>
            <w:tcW w:w="460" w:type="dxa"/>
            <w:vAlign w:val="bottom"/>
          </w:tcPr>
          <w:p>
            <w:pPr>
              <w:spacing w:after="0"/>
              <w:rPr>
                <w:sz w:val="18"/>
                <w:szCs w:val="18"/>
                <w:color w:val="auto"/>
              </w:rPr>
            </w:pPr>
          </w:p>
        </w:tc>
        <w:tc>
          <w:tcPr>
            <w:tcW w:w="680" w:type="dxa"/>
            <w:vAlign w:val="bottom"/>
          </w:tcPr>
          <w:p>
            <w:pPr>
              <w:jc w:val="right"/>
              <w:ind w:right="148"/>
              <w:spacing w:after="0"/>
              <w:rPr>
                <w:sz w:val="20"/>
                <w:szCs w:val="20"/>
                <w:color w:val="auto"/>
              </w:rPr>
            </w:pPr>
            <w:r>
              <w:rPr>
                <w:rFonts w:ascii="Arial" w:cs="Arial" w:eastAsia="Arial" w:hAnsi="Arial"/>
                <w:sz w:val="14"/>
                <w:szCs w:val="14"/>
                <w:color w:val="auto"/>
              </w:rPr>
              <w:t>10</w:t>
            </w:r>
          </w:p>
        </w:tc>
      </w:tr>
      <w:tr>
        <w:trPr>
          <w:trHeight w:val="216"/>
        </w:trPr>
        <w:tc>
          <w:tcPr>
            <w:tcW w:w="5020" w:type="dxa"/>
            <w:vAlign w:val="bottom"/>
          </w:tcPr>
          <w:p>
            <w:pPr>
              <w:ind w:left="300"/>
              <w:spacing w:after="0"/>
              <w:rPr>
                <w:sz w:val="20"/>
                <w:szCs w:val="20"/>
                <w:color w:val="auto"/>
              </w:rPr>
            </w:pPr>
            <w:r>
              <w:rPr>
                <w:rFonts w:ascii="Arial" w:cs="Arial" w:eastAsia="Arial" w:hAnsi="Arial"/>
                <w:sz w:val="14"/>
                <w:szCs w:val="14"/>
                <w:color w:val="auto"/>
              </w:rPr>
              <w:t>Regulatory balancing accounts, net</w:t>
            </w:r>
          </w:p>
        </w:tc>
        <w:tc>
          <w:tcPr>
            <w:tcW w:w="400" w:type="dxa"/>
            <w:vAlign w:val="bottom"/>
          </w:tcPr>
          <w:p>
            <w:pPr>
              <w:spacing w:after="0"/>
              <w:rPr>
                <w:sz w:val="18"/>
                <w:szCs w:val="18"/>
                <w:color w:val="auto"/>
              </w:rPr>
            </w:pPr>
          </w:p>
        </w:tc>
        <w:tc>
          <w:tcPr>
            <w:tcW w:w="840" w:type="dxa"/>
            <w:vAlign w:val="bottom"/>
          </w:tcPr>
          <w:p>
            <w:pPr>
              <w:jc w:val="right"/>
              <w:ind w:right="308"/>
              <w:spacing w:after="0"/>
              <w:rPr>
                <w:sz w:val="20"/>
                <w:szCs w:val="20"/>
                <w:color w:val="auto"/>
              </w:rPr>
            </w:pPr>
            <w:r>
              <w:rPr>
                <w:rFonts w:ascii="Arial" w:cs="Arial" w:eastAsia="Arial" w:hAnsi="Arial"/>
                <w:sz w:val="14"/>
                <w:szCs w:val="14"/>
                <w:color w:val="auto"/>
              </w:rPr>
              <w:t>114</w:t>
            </w:r>
          </w:p>
        </w:tc>
        <w:tc>
          <w:tcPr>
            <w:tcW w:w="460" w:type="dxa"/>
            <w:vAlign w:val="bottom"/>
          </w:tcPr>
          <w:p>
            <w:pPr>
              <w:spacing w:after="0"/>
              <w:rPr>
                <w:sz w:val="18"/>
                <w:szCs w:val="18"/>
                <w:color w:val="auto"/>
              </w:rPr>
            </w:pPr>
          </w:p>
        </w:tc>
        <w:tc>
          <w:tcPr>
            <w:tcW w:w="680" w:type="dxa"/>
            <w:vAlign w:val="bottom"/>
          </w:tcPr>
          <w:p>
            <w:pPr>
              <w:jc w:val="right"/>
              <w:ind w:right="148"/>
              <w:spacing w:after="0"/>
              <w:rPr>
                <w:sz w:val="20"/>
                <w:szCs w:val="20"/>
                <w:color w:val="auto"/>
              </w:rPr>
            </w:pPr>
            <w:r>
              <w:rPr>
                <w:rFonts w:ascii="Arial" w:cs="Arial" w:eastAsia="Arial" w:hAnsi="Arial"/>
                <w:sz w:val="14"/>
                <w:szCs w:val="14"/>
                <w:color w:val="auto"/>
              </w:rPr>
              <w:t>298</w:t>
            </w:r>
          </w:p>
        </w:tc>
      </w:tr>
      <w:tr>
        <w:trPr>
          <w:trHeight w:val="216"/>
        </w:trPr>
        <w:tc>
          <w:tcPr>
            <w:tcW w:w="5020" w:type="dxa"/>
            <w:vAlign w:val="bottom"/>
          </w:tcPr>
          <w:p>
            <w:pPr>
              <w:ind w:left="300"/>
              <w:spacing w:after="0"/>
              <w:rPr>
                <w:sz w:val="20"/>
                <w:szCs w:val="20"/>
                <w:color w:val="auto"/>
              </w:rPr>
            </w:pPr>
            <w:r>
              <w:rPr>
                <w:rFonts w:ascii="Arial" w:cs="Arial" w:eastAsia="Arial" w:hAnsi="Arial"/>
                <w:sz w:val="14"/>
                <w:szCs w:val="14"/>
                <w:color w:val="auto"/>
              </w:rPr>
              <w:t>Customer deposits</w:t>
            </w:r>
          </w:p>
        </w:tc>
        <w:tc>
          <w:tcPr>
            <w:tcW w:w="400" w:type="dxa"/>
            <w:vAlign w:val="bottom"/>
          </w:tcPr>
          <w:p>
            <w:pPr>
              <w:spacing w:after="0"/>
              <w:rPr>
                <w:sz w:val="18"/>
                <w:szCs w:val="18"/>
                <w:color w:val="auto"/>
              </w:rPr>
            </w:pPr>
          </w:p>
        </w:tc>
        <w:tc>
          <w:tcPr>
            <w:tcW w:w="840" w:type="dxa"/>
            <w:vAlign w:val="bottom"/>
          </w:tcPr>
          <w:p>
            <w:pPr>
              <w:jc w:val="right"/>
              <w:ind w:right="308"/>
              <w:spacing w:after="0"/>
              <w:rPr>
                <w:sz w:val="20"/>
                <w:szCs w:val="20"/>
                <w:color w:val="auto"/>
              </w:rPr>
            </w:pPr>
            <w:r>
              <w:rPr>
                <w:rFonts w:ascii="Arial" w:cs="Arial" w:eastAsia="Arial" w:hAnsi="Arial"/>
                <w:sz w:val="14"/>
                <w:szCs w:val="14"/>
                <w:color w:val="auto"/>
              </w:rPr>
              <w:t>53</w:t>
            </w:r>
          </w:p>
        </w:tc>
        <w:tc>
          <w:tcPr>
            <w:tcW w:w="460" w:type="dxa"/>
            <w:vAlign w:val="bottom"/>
          </w:tcPr>
          <w:p>
            <w:pPr>
              <w:spacing w:after="0"/>
              <w:rPr>
                <w:sz w:val="18"/>
                <w:szCs w:val="18"/>
                <w:color w:val="auto"/>
              </w:rPr>
            </w:pPr>
          </w:p>
        </w:tc>
        <w:tc>
          <w:tcPr>
            <w:tcW w:w="680" w:type="dxa"/>
            <w:vAlign w:val="bottom"/>
          </w:tcPr>
          <w:p>
            <w:pPr>
              <w:jc w:val="right"/>
              <w:ind w:right="148"/>
              <w:spacing w:after="0"/>
              <w:rPr>
                <w:sz w:val="20"/>
                <w:szCs w:val="20"/>
                <w:color w:val="auto"/>
              </w:rPr>
            </w:pPr>
            <w:r>
              <w:rPr>
                <w:rFonts w:ascii="Arial" w:cs="Arial" w:eastAsia="Arial" w:hAnsi="Arial"/>
                <w:sz w:val="14"/>
                <w:szCs w:val="14"/>
                <w:color w:val="auto"/>
              </w:rPr>
              <w:t>52</w:t>
            </w:r>
          </w:p>
        </w:tc>
      </w:tr>
      <w:tr>
        <w:trPr>
          <w:trHeight w:val="216"/>
        </w:trPr>
        <w:tc>
          <w:tcPr>
            <w:tcW w:w="5020" w:type="dxa"/>
            <w:vAlign w:val="bottom"/>
          </w:tcPr>
          <w:p>
            <w:pPr>
              <w:ind w:left="300"/>
              <w:spacing w:after="0"/>
              <w:rPr>
                <w:sz w:val="20"/>
                <w:szCs w:val="20"/>
                <w:color w:val="auto"/>
              </w:rPr>
            </w:pPr>
            <w:r>
              <w:rPr>
                <w:rFonts w:ascii="Arial" w:cs="Arial" w:eastAsia="Arial" w:hAnsi="Arial"/>
                <w:sz w:val="14"/>
                <w:szCs w:val="14"/>
                <w:color w:val="auto"/>
              </w:rPr>
              <w:t>Fixed-price contracts and other derivatives</w:t>
            </w:r>
          </w:p>
        </w:tc>
        <w:tc>
          <w:tcPr>
            <w:tcW w:w="400" w:type="dxa"/>
            <w:vAlign w:val="bottom"/>
          </w:tcPr>
          <w:p>
            <w:pPr>
              <w:spacing w:after="0"/>
              <w:rPr>
                <w:sz w:val="18"/>
                <w:szCs w:val="18"/>
                <w:color w:val="auto"/>
              </w:rPr>
            </w:pPr>
          </w:p>
        </w:tc>
        <w:tc>
          <w:tcPr>
            <w:tcW w:w="840" w:type="dxa"/>
            <w:vAlign w:val="bottom"/>
          </w:tcPr>
          <w:p>
            <w:pPr>
              <w:jc w:val="right"/>
              <w:ind w:right="308"/>
              <w:spacing w:after="0"/>
              <w:rPr>
                <w:sz w:val="20"/>
                <w:szCs w:val="20"/>
                <w:color w:val="auto"/>
              </w:rPr>
            </w:pPr>
            <w:r>
              <w:rPr>
                <w:rFonts w:ascii="Arial" w:cs="Arial" w:eastAsia="Arial" w:hAnsi="Arial"/>
                <w:sz w:val="14"/>
                <w:szCs w:val="14"/>
                <w:color w:val="auto"/>
              </w:rPr>
              <w:t>77</w:t>
            </w:r>
          </w:p>
        </w:tc>
        <w:tc>
          <w:tcPr>
            <w:tcW w:w="460" w:type="dxa"/>
            <w:vAlign w:val="bottom"/>
          </w:tcPr>
          <w:p>
            <w:pPr>
              <w:spacing w:after="0"/>
              <w:rPr>
                <w:sz w:val="18"/>
                <w:szCs w:val="18"/>
                <w:color w:val="auto"/>
              </w:rPr>
            </w:pPr>
          </w:p>
        </w:tc>
        <w:tc>
          <w:tcPr>
            <w:tcW w:w="680" w:type="dxa"/>
            <w:vAlign w:val="bottom"/>
          </w:tcPr>
          <w:p>
            <w:pPr>
              <w:jc w:val="right"/>
              <w:ind w:right="148"/>
              <w:spacing w:after="0"/>
              <w:rPr>
                <w:sz w:val="20"/>
                <w:szCs w:val="20"/>
                <w:color w:val="auto"/>
              </w:rPr>
            </w:pPr>
            <w:r>
              <w:rPr>
                <w:rFonts w:ascii="Arial" w:cs="Arial" w:eastAsia="Arial" w:hAnsi="Arial"/>
                <w:sz w:val="14"/>
                <w:szCs w:val="14"/>
                <w:color w:val="auto"/>
              </w:rPr>
              <w:t>52</w:t>
            </w:r>
          </w:p>
        </w:tc>
      </w:tr>
      <w:tr>
        <w:trPr>
          <w:trHeight w:val="216"/>
        </w:trPr>
        <w:tc>
          <w:tcPr>
            <w:tcW w:w="5020" w:type="dxa"/>
            <w:vAlign w:val="bottom"/>
          </w:tcPr>
          <w:p>
            <w:pPr>
              <w:ind w:left="300"/>
              <w:spacing w:after="0"/>
              <w:rPr>
                <w:sz w:val="20"/>
                <w:szCs w:val="20"/>
                <w:color w:val="auto"/>
              </w:rPr>
            </w:pPr>
            <w:r>
              <w:rPr>
                <w:rFonts w:ascii="Arial" w:cs="Arial" w:eastAsia="Arial" w:hAnsi="Arial"/>
                <w:sz w:val="14"/>
                <w:szCs w:val="14"/>
                <w:color w:val="auto"/>
              </w:rPr>
              <w:t>Accrued compensation and benefits</w:t>
            </w:r>
          </w:p>
        </w:tc>
        <w:tc>
          <w:tcPr>
            <w:tcW w:w="400" w:type="dxa"/>
            <w:vAlign w:val="bottom"/>
          </w:tcPr>
          <w:p>
            <w:pPr>
              <w:spacing w:after="0"/>
              <w:rPr>
                <w:sz w:val="18"/>
                <w:szCs w:val="18"/>
                <w:color w:val="auto"/>
              </w:rPr>
            </w:pPr>
          </w:p>
        </w:tc>
        <w:tc>
          <w:tcPr>
            <w:tcW w:w="840" w:type="dxa"/>
            <w:vAlign w:val="bottom"/>
          </w:tcPr>
          <w:p>
            <w:pPr>
              <w:jc w:val="right"/>
              <w:ind w:right="308"/>
              <w:spacing w:after="0"/>
              <w:rPr>
                <w:sz w:val="20"/>
                <w:szCs w:val="20"/>
                <w:color w:val="auto"/>
              </w:rPr>
            </w:pPr>
            <w:r>
              <w:rPr>
                <w:rFonts w:ascii="Arial" w:cs="Arial" w:eastAsia="Arial" w:hAnsi="Arial"/>
                <w:sz w:val="14"/>
                <w:szCs w:val="14"/>
                <w:color w:val="auto"/>
              </w:rPr>
              <w:t>105</w:t>
            </w:r>
          </w:p>
        </w:tc>
        <w:tc>
          <w:tcPr>
            <w:tcW w:w="460" w:type="dxa"/>
            <w:vAlign w:val="bottom"/>
          </w:tcPr>
          <w:p>
            <w:pPr>
              <w:spacing w:after="0"/>
              <w:rPr>
                <w:sz w:val="18"/>
                <w:szCs w:val="18"/>
                <w:color w:val="auto"/>
              </w:rPr>
            </w:pPr>
          </w:p>
        </w:tc>
        <w:tc>
          <w:tcPr>
            <w:tcW w:w="680" w:type="dxa"/>
            <w:vAlign w:val="bottom"/>
          </w:tcPr>
          <w:p>
            <w:pPr>
              <w:jc w:val="right"/>
              <w:ind w:right="148"/>
              <w:spacing w:after="0"/>
              <w:rPr>
                <w:sz w:val="20"/>
                <w:szCs w:val="20"/>
                <w:color w:val="auto"/>
              </w:rPr>
            </w:pPr>
            <w:r>
              <w:rPr>
                <w:rFonts w:ascii="Arial" w:cs="Arial" w:eastAsia="Arial" w:hAnsi="Arial"/>
                <w:sz w:val="14"/>
                <w:szCs w:val="14"/>
                <w:color w:val="auto"/>
              </w:rPr>
              <w:t>98</w:t>
            </w:r>
          </w:p>
        </w:tc>
      </w:tr>
      <w:tr>
        <w:trPr>
          <w:trHeight w:val="216"/>
        </w:trPr>
        <w:tc>
          <w:tcPr>
            <w:tcW w:w="5020" w:type="dxa"/>
            <w:vAlign w:val="bottom"/>
          </w:tcPr>
          <w:p>
            <w:pPr>
              <w:ind w:left="300"/>
              <w:spacing w:after="0"/>
              <w:rPr>
                <w:sz w:val="20"/>
                <w:szCs w:val="20"/>
                <w:color w:val="auto"/>
              </w:rPr>
            </w:pPr>
            <w:r>
              <w:rPr>
                <w:rFonts w:ascii="Arial" w:cs="Arial" w:eastAsia="Arial" w:hAnsi="Arial"/>
                <w:sz w:val="14"/>
                <w:szCs w:val="14"/>
                <w:color w:val="auto"/>
              </w:rPr>
              <w:t>Mandatorily redeemable preferred securities</w:t>
            </w:r>
          </w:p>
        </w:tc>
        <w:tc>
          <w:tcPr>
            <w:tcW w:w="400" w:type="dxa"/>
            <w:vAlign w:val="bottom"/>
          </w:tcPr>
          <w:p>
            <w:pPr>
              <w:spacing w:after="0"/>
              <w:rPr>
                <w:sz w:val="18"/>
                <w:szCs w:val="18"/>
                <w:color w:val="auto"/>
              </w:rPr>
            </w:pPr>
          </w:p>
        </w:tc>
        <w:tc>
          <w:tcPr>
            <w:tcW w:w="840" w:type="dxa"/>
            <w:vAlign w:val="bottom"/>
          </w:tcPr>
          <w:p>
            <w:pPr>
              <w:jc w:val="right"/>
              <w:ind w:right="308"/>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8"/>
                <w:szCs w:val="18"/>
                <w:color w:val="auto"/>
              </w:rPr>
            </w:pPr>
          </w:p>
        </w:tc>
        <w:tc>
          <w:tcPr>
            <w:tcW w:w="680" w:type="dxa"/>
            <w:vAlign w:val="bottom"/>
          </w:tcPr>
          <w:p>
            <w:pPr>
              <w:jc w:val="right"/>
              <w:ind w:right="148"/>
              <w:spacing w:after="0"/>
              <w:rPr>
                <w:sz w:val="20"/>
                <w:szCs w:val="20"/>
                <w:color w:val="auto"/>
              </w:rPr>
            </w:pPr>
            <w:r>
              <w:rPr>
                <w:rFonts w:ascii="Arial" w:cs="Arial" w:eastAsia="Arial" w:hAnsi="Arial"/>
                <w:sz w:val="14"/>
                <w:szCs w:val="14"/>
                <w:color w:val="auto"/>
              </w:rPr>
              <w:t>14</w:t>
            </w:r>
          </w:p>
        </w:tc>
      </w:tr>
      <w:tr>
        <w:trPr>
          <w:trHeight w:val="216"/>
        </w:trPr>
        <w:tc>
          <w:tcPr>
            <w:tcW w:w="5020" w:type="dxa"/>
            <w:vAlign w:val="bottom"/>
          </w:tcPr>
          <w:p>
            <w:pPr>
              <w:ind w:left="300"/>
              <w:spacing w:after="0"/>
              <w:rPr>
                <w:sz w:val="20"/>
                <w:szCs w:val="20"/>
                <w:color w:val="auto"/>
              </w:rPr>
            </w:pPr>
            <w:r>
              <w:rPr>
                <w:rFonts w:ascii="Arial" w:cs="Arial" w:eastAsia="Arial" w:hAnsi="Arial"/>
                <w:sz w:val="14"/>
                <w:szCs w:val="14"/>
                <w:color w:val="auto"/>
              </w:rPr>
              <w:t>Current portion of long-term debt</w:t>
            </w:r>
          </w:p>
        </w:tc>
        <w:tc>
          <w:tcPr>
            <w:tcW w:w="400" w:type="dxa"/>
            <w:vAlign w:val="bottom"/>
          </w:tcPr>
          <w:p>
            <w:pPr>
              <w:spacing w:after="0"/>
              <w:rPr>
                <w:sz w:val="18"/>
                <w:szCs w:val="18"/>
                <w:color w:val="auto"/>
              </w:rPr>
            </w:pPr>
          </w:p>
        </w:tc>
        <w:tc>
          <w:tcPr>
            <w:tcW w:w="840" w:type="dxa"/>
            <w:vAlign w:val="bottom"/>
          </w:tcPr>
          <w:p>
            <w:pPr>
              <w:jc w:val="right"/>
              <w:ind w:right="308"/>
              <w:spacing w:after="0"/>
              <w:rPr>
                <w:sz w:val="20"/>
                <w:szCs w:val="20"/>
                <w:color w:val="auto"/>
              </w:rPr>
            </w:pPr>
            <w:r>
              <w:rPr>
                <w:rFonts w:ascii="Arial" w:cs="Arial" w:eastAsia="Arial" w:hAnsi="Arial"/>
                <w:sz w:val="14"/>
                <w:szCs w:val="14"/>
                <w:color w:val="auto"/>
              </w:rPr>
              <w:t>2</w:t>
            </w:r>
          </w:p>
        </w:tc>
        <w:tc>
          <w:tcPr>
            <w:tcW w:w="460" w:type="dxa"/>
            <w:vAlign w:val="bottom"/>
          </w:tcPr>
          <w:p>
            <w:pPr>
              <w:spacing w:after="0"/>
              <w:rPr>
                <w:sz w:val="18"/>
                <w:szCs w:val="18"/>
                <w:color w:val="auto"/>
              </w:rPr>
            </w:pPr>
          </w:p>
        </w:tc>
        <w:tc>
          <w:tcPr>
            <w:tcW w:w="680" w:type="dxa"/>
            <w:vAlign w:val="bottom"/>
          </w:tcPr>
          <w:p>
            <w:pPr>
              <w:jc w:val="right"/>
              <w:ind w:right="148"/>
              <w:spacing w:after="0"/>
              <w:rPr>
                <w:sz w:val="20"/>
                <w:szCs w:val="20"/>
                <w:color w:val="auto"/>
              </w:rPr>
            </w:pPr>
            <w:r>
              <w:rPr>
                <w:rFonts w:ascii="Arial" w:cs="Arial" w:eastAsia="Arial" w:hAnsi="Arial"/>
                <w:sz w:val="14"/>
                <w:szCs w:val="14"/>
                <w:color w:val="auto"/>
              </w:rPr>
              <w:t>--</w:t>
            </w:r>
          </w:p>
        </w:tc>
      </w:tr>
      <w:tr>
        <w:trPr>
          <w:trHeight w:val="222"/>
        </w:trPr>
        <w:tc>
          <w:tcPr>
            <w:tcW w:w="5020" w:type="dxa"/>
            <w:vAlign w:val="bottom"/>
          </w:tcPr>
          <w:p>
            <w:pPr>
              <w:ind w:left="300"/>
              <w:spacing w:after="0"/>
              <w:rPr>
                <w:sz w:val="20"/>
                <w:szCs w:val="20"/>
                <w:color w:val="auto"/>
              </w:rPr>
            </w:pPr>
            <w:r>
              <w:rPr>
                <w:rFonts w:ascii="Arial" w:cs="Arial" w:eastAsia="Arial" w:hAnsi="Arial"/>
                <w:sz w:val="14"/>
                <w:szCs w:val="14"/>
                <w:color w:val="auto"/>
              </w:rPr>
              <w:t>Other</w:t>
            </w:r>
          </w:p>
        </w:tc>
        <w:tc>
          <w:tcPr>
            <w:tcW w:w="4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163</w:t>
            </w:r>
          </w:p>
        </w:tc>
        <w:tc>
          <w:tcPr>
            <w:tcW w:w="4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161</w:t>
            </w:r>
          </w:p>
        </w:tc>
      </w:tr>
      <w:tr>
        <w:trPr>
          <w:trHeight w:val="208"/>
        </w:trPr>
        <w:tc>
          <w:tcPr>
            <w:tcW w:w="5020" w:type="dxa"/>
            <w:vAlign w:val="bottom"/>
          </w:tcPr>
          <w:p>
            <w:pPr>
              <w:ind w:left="640"/>
              <w:spacing w:after="0"/>
              <w:rPr>
                <w:sz w:val="20"/>
                <w:szCs w:val="20"/>
                <w:color w:val="auto"/>
              </w:rPr>
            </w:pPr>
            <w:r>
              <w:rPr>
                <w:rFonts w:ascii="Arial" w:cs="Arial" w:eastAsia="Arial" w:hAnsi="Arial"/>
                <w:sz w:val="14"/>
                <w:szCs w:val="14"/>
                <w:color w:val="auto"/>
              </w:rPr>
              <w:t>Total current liabilities</w:t>
            </w:r>
          </w:p>
        </w:tc>
        <w:tc>
          <w:tcPr>
            <w:tcW w:w="4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776</w:t>
            </w:r>
          </w:p>
        </w:tc>
        <w:tc>
          <w:tcPr>
            <w:tcW w:w="4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975</w:t>
            </w:r>
          </w:p>
        </w:tc>
      </w:tr>
      <w:tr>
        <w:trPr>
          <w:trHeight w:val="424"/>
        </w:trPr>
        <w:tc>
          <w:tcPr>
            <w:tcW w:w="5020" w:type="dxa"/>
            <w:vAlign w:val="bottom"/>
          </w:tcPr>
          <w:p>
            <w:pPr>
              <w:ind w:left="20"/>
              <w:spacing w:after="0"/>
              <w:rPr>
                <w:sz w:val="20"/>
                <w:szCs w:val="20"/>
                <w:color w:val="auto"/>
              </w:rPr>
            </w:pPr>
            <w:r>
              <w:rPr>
                <w:rFonts w:ascii="Arial" w:cs="Arial" w:eastAsia="Arial" w:hAnsi="Arial"/>
                <w:sz w:val="14"/>
                <w:szCs w:val="14"/>
                <w:color w:val="auto"/>
              </w:rPr>
              <w:t>Long-term debt</w:t>
            </w:r>
          </w:p>
        </w:tc>
        <w:tc>
          <w:tcPr>
            <w:tcW w:w="4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2,142</w:t>
            </w:r>
          </w:p>
        </w:tc>
        <w:tc>
          <w:tcPr>
            <w:tcW w:w="4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1,958</w:t>
            </w:r>
          </w:p>
        </w:tc>
      </w:tr>
      <w:tr>
        <w:trPr>
          <w:trHeight w:val="418"/>
        </w:trPr>
        <w:tc>
          <w:tcPr>
            <w:tcW w:w="5020" w:type="dxa"/>
            <w:vAlign w:val="bottom"/>
          </w:tcPr>
          <w:p>
            <w:pPr>
              <w:ind w:left="20"/>
              <w:spacing w:after="0"/>
              <w:rPr>
                <w:sz w:val="20"/>
                <w:szCs w:val="20"/>
                <w:color w:val="auto"/>
              </w:rPr>
            </w:pPr>
            <w:r>
              <w:rPr>
                <w:rFonts w:ascii="Arial" w:cs="Arial" w:eastAsia="Arial" w:hAnsi="Arial"/>
                <w:sz w:val="14"/>
                <w:szCs w:val="14"/>
                <w:color w:val="auto"/>
              </w:rPr>
              <w:t>Deferred credits and other liabilities:</w:t>
            </w: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216"/>
        </w:trPr>
        <w:tc>
          <w:tcPr>
            <w:tcW w:w="5020" w:type="dxa"/>
            <w:vAlign w:val="bottom"/>
          </w:tcPr>
          <w:p>
            <w:pPr>
              <w:ind w:left="300"/>
              <w:spacing w:after="0"/>
              <w:rPr>
                <w:sz w:val="20"/>
                <w:szCs w:val="20"/>
                <w:color w:val="auto"/>
              </w:rPr>
            </w:pPr>
            <w:r>
              <w:rPr>
                <w:rFonts w:ascii="Arial" w:cs="Arial" w:eastAsia="Arial" w:hAnsi="Arial"/>
                <w:sz w:val="14"/>
                <w:szCs w:val="14"/>
                <w:color w:val="auto"/>
              </w:rPr>
              <w:t>Customer advances for construction</w:t>
            </w:r>
          </w:p>
        </w:tc>
        <w:tc>
          <w:tcPr>
            <w:tcW w:w="400" w:type="dxa"/>
            <w:vAlign w:val="bottom"/>
          </w:tcPr>
          <w:p>
            <w:pPr>
              <w:spacing w:after="0"/>
              <w:rPr>
                <w:sz w:val="18"/>
                <w:szCs w:val="18"/>
                <w:color w:val="auto"/>
              </w:rPr>
            </w:pPr>
          </w:p>
        </w:tc>
        <w:tc>
          <w:tcPr>
            <w:tcW w:w="840" w:type="dxa"/>
            <w:vAlign w:val="bottom"/>
          </w:tcPr>
          <w:p>
            <w:pPr>
              <w:jc w:val="right"/>
              <w:ind w:right="308"/>
              <w:spacing w:after="0"/>
              <w:rPr>
                <w:sz w:val="20"/>
                <w:szCs w:val="20"/>
                <w:color w:val="auto"/>
              </w:rPr>
            </w:pPr>
            <w:r>
              <w:rPr>
                <w:rFonts w:ascii="Arial" w:cs="Arial" w:eastAsia="Arial" w:hAnsi="Arial"/>
                <w:sz w:val="14"/>
                <w:szCs w:val="14"/>
                <w:color w:val="auto"/>
              </w:rPr>
              <w:t>26</w:t>
            </w:r>
          </w:p>
        </w:tc>
        <w:tc>
          <w:tcPr>
            <w:tcW w:w="460" w:type="dxa"/>
            <w:vAlign w:val="bottom"/>
          </w:tcPr>
          <w:p>
            <w:pPr>
              <w:spacing w:after="0"/>
              <w:rPr>
                <w:sz w:val="18"/>
                <w:szCs w:val="18"/>
                <w:color w:val="auto"/>
              </w:rPr>
            </w:pPr>
          </w:p>
        </w:tc>
        <w:tc>
          <w:tcPr>
            <w:tcW w:w="680" w:type="dxa"/>
            <w:vAlign w:val="bottom"/>
          </w:tcPr>
          <w:p>
            <w:pPr>
              <w:jc w:val="right"/>
              <w:ind w:right="148"/>
              <w:spacing w:after="0"/>
              <w:rPr>
                <w:sz w:val="20"/>
                <w:szCs w:val="20"/>
                <w:color w:val="auto"/>
              </w:rPr>
            </w:pPr>
            <w:r>
              <w:rPr>
                <w:rFonts w:ascii="Arial" w:cs="Arial" w:eastAsia="Arial" w:hAnsi="Arial"/>
                <w:sz w:val="14"/>
                <w:szCs w:val="14"/>
                <w:color w:val="auto"/>
              </w:rPr>
              <w:t>33</w:t>
            </w:r>
          </w:p>
        </w:tc>
      </w:tr>
      <w:tr>
        <w:trPr>
          <w:trHeight w:val="216"/>
        </w:trPr>
        <w:tc>
          <w:tcPr>
            <w:tcW w:w="5020" w:type="dxa"/>
            <w:vAlign w:val="bottom"/>
          </w:tcPr>
          <w:p>
            <w:pPr>
              <w:ind w:left="300"/>
              <w:spacing w:after="0"/>
              <w:rPr>
                <w:sz w:val="20"/>
                <w:szCs w:val="20"/>
                <w:color w:val="auto"/>
              </w:rPr>
            </w:pPr>
            <w:r>
              <w:rPr>
                <w:rFonts w:ascii="Arial" w:cs="Arial" w:eastAsia="Arial" w:hAnsi="Arial"/>
                <w:sz w:val="14"/>
                <w:szCs w:val="14"/>
                <w:color w:val="auto"/>
              </w:rPr>
              <w:t>Pension and other postretirement benefit obligations, net of plan assets</w:t>
            </w:r>
          </w:p>
        </w:tc>
        <w:tc>
          <w:tcPr>
            <w:tcW w:w="400" w:type="dxa"/>
            <w:vAlign w:val="bottom"/>
          </w:tcPr>
          <w:p>
            <w:pPr>
              <w:spacing w:after="0"/>
              <w:rPr>
                <w:sz w:val="18"/>
                <w:szCs w:val="18"/>
                <w:color w:val="auto"/>
              </w:rPr>
            </w:pPr>
          </w:p>
        </w:tc>
        <w:tc>
          <w:tcPr>
            <w:tcW w:w="840" w:type="dxa"/>
            <w:vAlign w:val="bottom"/>
          </w:tcPr>
          <w:p>
            <w:pPr>
              <w:jc w:val="right"/>
              <w:ind w:right="308"/>
              <w:spacing w:after="0"/>
              <w:rPr>
                <w:sz w:val="20"/>
                <w:szCs w:val="20"/>
                <w:color w:val="auto"/>
              </w:rPr>
            </w:pPr>
            <w:r>
              <w:rPr>
                <w:rFonts w:ascii="Arial" w:cs="Arial" w:eastAsia="Arial" w:hAnsi="Arial"/>
                <w:sz w:val="14"/>
                <w:szCs w:val="14"/>
                <w:color w:val="auto"/>
              </w:rPr>
              <w:t>419</w:t>
            </w:r>
          </w:p>
        </w:tc>
        <w:tc>
          <w:tcPr>
            <w:tcW w:w="460" w:type="dxa"/>
            <w:vAlign w:val="bottom"/>
          </w:tcPr>
          <w:p>
            <w:pPr>
              <w:spacing w:after="0"/>
              <w:rPr>
                <w:sz w:val="18"/>
                <w:szCs w:val="18"/>
                <w:color w:val="auto"/>
              </w:rPr>
            </w:pPr>
          </w:p>
        </w:tc>
        <w:tc>
          <w:tcPr>
            <w:tcW w:w="680" w:type="dxa"/>
            <w:vAlign w:val="bottom"/>
          </w:tcPr>
          <w:p>
            <w:pPr>
              <w:jc w:val="right"/>
              <w:ind w:right="148"/>
              <w:spacing w:after="0"/>
              <w:rPr>
                <w:sz w:val="20"/>
                <w:szCs w:val="20"/>
                <w:color w:val="auto"/>
              </w:rPr>
            </w:pPr>
            <w:r>
              <w:rPr>
                <w:rFonts w:ascii="Arial" w:cs="Arial" w:eastAsia="Arial" w:hAnsi="Arial"/>
                <w:sz w:val="14"/>
                <w:szCs w:val="14"/>
                <w:color w:val="auto"/>
              </w:rPr>
              <w:t>190</w:t>
            </w:r>
          </w:p>
        </w:tc>
      </w:tr>
      <w:tr>
        <w:trPr>
          <w:trHeight w:val="216"/>
        </w:trPr>
        <w:tc>
          <w:tcPr>
            <w:tcW w:w="5020" w:type="dxa"/>
            <w:vAlign w:val="bottom"/>
          </w:tcPr>
          <w:p>
            <w:pPr>
              <w:ind w:left="300"/>
              <w:spacing w:after="0"/>
              <w:rPr>
                <w:sz w:val="20"/>
                <w:szCs w:val="20"/>
                <w:color w:val="auto"/>
              </w:rPr>
            </w:pPr>
            <w:r>
              <w:rPr>
                <w:rFonts w:ascii="Arial" w:cs="Arial" w:eastAsia="Arial" w:hAnsi="Arial"/>
                <w:sz w:val="14"/>
                <w:szCs w:val="14"/>
                <w:color w:val="auto"/>
              </w:rPr>
              <w:t>Deferred income taxes</w:t>
            </w:r>
          </w:p>
        </w:tc>
        <w:tc>
          <w:tcPr>
            <w:tcW w:w="400" w:type="dxa"/>
            <w:vAlign w:val="bottom"/>
          </w:tcPr>
          <w:p>
            <w:pPr>
              <w:spacing w:after="0"/>
              <w:rPr>
                <w:sz w:val="18"/>
                <w:szCs w:val="18"/>
                <w:color w:val="auto"/>
              </w:rPr>
            </w:pPr>
          </w:p>
        </w:tc>
        <w:tc>
          <w:tcPr>
            <w:tcW w:w="840" w:type="dxa"/>
            <w:vAlign w:val="bottom"/>
          </w:tcPr>
          <w:p>
            <w:pPr>
              <w:jc w:val="right"/>
              <w:ind w:right="308"/>
              <w:spacing w:after="0"/>
              <w:rPr>
                <w:sz w:val="20"/>
                <w:szCs w:val="20"/>
                <w:color w:val="auto"/>
              </w:rPr>
            </w:pPr>
            <w:r>
              <w:rPr>
                <w:rFonts w:ascii="Arial" w:cs="Arial" w:eastAsia="Arial" w:hAnsi="Arial"/>
                <w:sz w:val="14"/>
                <w:szCs w:val="14"/>
                <w:color w:val="auto"/>
              </w:rPr>
              <w:t>628</w:t>
            </w:r>
          </w:p>
        </w:tc>
        <w:tc>
          <w:tcPr>
            <w:tcW w:w="460" w:type="dxa"/>
            <w:vAlign w:val="bottom"/>
          </w:tcPr>
          <w:p>
            <w:pPr>
              <w:spacing w:after="0"/>
              <w:rPr>
                <w:sz w:val="18"/>
                <w:szCs w:val="18"/>
                <w:color w:val="auto"/>
              </w:rPr>
            </w:pPr>
          </w:p>
        </w:tc>
        <w:tc>
          <w:tcPr>
            <w:tcW w:w="680" w:type="dxa"/>
            <w:vAlign w:val="bottom"/>
          </w:tcPr>
          <w:p>
            <w:pPr>
              <w:jc w:val="right"/>
              <w:ind w:right="148"/>
              <w:spacing w:after="0"/>
              <w:rPr>
                <w:sz w:val="20"/>
                <w:szCs w:val="20"/>
                <w:color w:val="auto"/>
              </w:rPr>
            </w:pPr>
            <w:r>
              <w:rPr>
                <w:rFonts w:ascii="Arial" w:cs="Arial" w:eastAsia="Arial" w:hAnsi="Arial"/>
                <w:sz w:val="14"/>
                <w:szCs w:val="14"/>
                <w:color w:val="auto"/>
              </w:rPr>
              <w:t>506</w:t>
            </w:r>
          </w:p>
        </w:tc>
      </w:tr>
      <w:tr>
        <w:trPr>
          <w:trHeight w:val="216"/>
        </w:trPr>
        <w:tc>
          <w:tcPr>
            <w:tcW w:w="5020" w:type="dxa"/>
            <w:vAlign w:val="bottom"/>
          </w:tcPr>
          <w:p>
            <w:pPr>
              <w:ind w:left="300"/>
              <w:spacing w:after="0"/>
              <w:rPr>
                <w:sz w:val="20"/>
                <w:szCs w:val="20"/>
                <w:color w:val="auto"/>
              </w:rPr>
            </w:pPr>
            <w:r>
              <w:rPr>
                <w:rFonts w:ascii="Arial" w:cs="Arial" w:eastAsia="Arial" w:hAnsi="Arial"/>
                <w:sz w:val="14"/>
                <w:szCs w:val="14"/>
                <w:color w:val="auto"/>
              </w:rPr>
              <w:t>Deferred investment tax credits</w:t>
            </w:r>
          </w:p>
        </w:tc>
        <w:tc>
          <w:tcPr>
            <w:tcW w:w="400" w:type="dxa"/>
            <w:vAlign w:val="bottom"/>
          </w:tcPr>
          <w:p>
            <w:pPr>
              <w:spacing w:after="0"/>
              <w:rPr>
                <w:sz w:val="18"/>
                <w:szCs w:val="18"/>
                <w:color w:val="auto"/>
              </w:rPr>
            </w:pPr>
          </w:p>
        </w:tc>
        <w:tc>
          <w:tcPr>
            <w:tcW w:w="840" w:type="dxa"/>
            <w:vAlign w:val="bottom"/>
          </w:tcPr>
          <w:p>
            <w:pPr>
              <w:jc w:val="right"/>
              <w:ind w:right="308"/>
              <w:spacing w:after="0"/>
              <w:rPr>
                <w:sz w:val="20"/>
                <w:szCs w:val="20"/>
                <w:color w:val="auto"/>
              </w:rPr>
            </w:pPr>
            <w:r>
              <w:rPr>
                <w:rFonts w:ascii="Arial" w:cs="Arial" w:eastAsia="Arial" w:hAnsi="Arial"/>
                <w:sz w:val="14"/>
                <w:szCs w:val="14"/>
                <w:color w:val="auto"/>
              </w:rPr>
              <w:t>26</w:t>
            </w:r>
          </w:p>
        </w:tc>
        <w:tc>
          <w:tcPr>
            <w:tcW w:w="460" w:type="dxa"/>
            <w:vAlign w:val="bottom"/>
          </w:tcPr>
          <w:p>
            <w:pPr>
              <w:spacing w:after="0"/>
              <w:rPr>
                <w:sz w:val="18"/>
                <w:szCs w:val="18"/>
                <w:color w:val="auto"/>
              </w:rPr>
            </w:pPr>
          </w:p>
        </w:tc>
        <w:tc>
          <w:tcPr>
            <w:tcW w:w="680" w:type="dxa"/>
            <w:vAlign w:val="bottom"/>
          </w:tcPr>
          <w:p>
            <w:pPr>
              <w:jc w:val="right"/>
              <w:ind w:right="148"/>
              <w:spacing w:after="0"/>
              <w:rPr>
                <w:sz w:val="20"/>
                <w:szCs w:val="20"/>
                <w:color w:val="auto"/>
              </w:rPr>
            </w:pPr>
            <w:r>
              <w:rPr>
                <w:rFonts w:ascii="Arial" w:cs="Arial" w:eastAsia="Arial" w:hAnsi="Arial"/>
                <w:sz w:val="14"/>
                <w:szCs w:val="14"/>
                <w:color w:val="auto"/>
              </w:rPr>
              <w:t>29</w:t>
            </w:r>
          </w:p>
        </w:tc>
      </w:tr>
      <w:tr>
        <w:trPr>
          <w:trHeight w:val="216"/>
        </w:trPr>
        <w:tc>
          <w:tcPr>
            <w:tcW w:w="5020" w:type="dxa"/>
            <w:vAlign w:val="bottom"/>
          </w:tcPr>
          <w:p>
            <w:pPr>
              <w:ind w:left="300"/>
              <w:spacing w:after="0"/>
              <w:rPr>
                <w:sz w:val="20"/>
                <w:szCs w:val="20"/>
                <w:color w:val="auto"/>
              </w:rPr>
            </w:pPr>
            <w:r>
              <w:rPr>
                <w:rFonts w:ascii="Arial" w:cs="Arial" w:eastAsia="Arial" w:hAnsi="Arial"/>
                <w:sz w:val="14"/>
                <w:szCs w:val="14"/>
                <w:color w:val="auto"/>
              </w:rPr>
              <w:t>Regulatory liabilities arising from removal obligations</w:t>
            </w:r>
          </w:p>
        </w:tc>
        <w:tc>
          <w:tcPr>
            <w:tcW w:w="400" w:type="dxa"/>
            <w:vAlign w:val="bottom"/>
          </w:tcPr>
          <w:p>
            <w:pPr>
              <w:spacing w:after="0"/>
              <w:rPr>
                <w:sz w:val="18"/>
                <w:szCs w:val="18"/>
                <w:color w:val="auto"/>
              </w:rPr>
            </w:pPr>
          </w:p>
        </w:tc>
        <w:tc>
          <w:tcPr>
            <w:tcW w:w="840" w:type="dxa"/>
            <w:vAlign w:val="bottom"/>
          </w:tcPr>
          <w:p>
            <w:pPr>
              <w:jc w:val="right"/>
              <w:ind w:right="308"/>
              <w:spacing w:after="0"/>
              <w:rPr>
                <w:sz w:val="20"/>
                <w:szCs w:val="20"/>
                <w:color w:val="auto"/>
              </w:rPr>
            </w:pPr>
            <w:r>
              <w:rPr>
                <w:rFonts w:ascii="Arial" w:cs="Arial" w:eastAsia="Arial" w:hAnsi="Arial"/>
                <w:sz w:val="14"/>
                <w:szCs w:val="14"/>
                <w:color w:val="auto"/>
              </w:rPr>
              <w:t>1,212</w:t>
            </w:r>
          </w:p>
        </w:tc>
        <w:tc>
          <w:tcPr>
            <w:tcW w:w="460" w:type="dxa"/>
            <w:vAlign w:val="bottom"/>
          </w:tcPr>
          <w:p>
            <w:pPr>
              <w:spacing w:after="0"/>
              <w:rPr>
                <w:sz w:val="18"/>
                <w:szCs w:val="18"/>
                <w:color w:val="auto"/>
              </w:rPr>
            </w:pPr>
          </w:p>
        </w:tc>
        <w:tc>
          <w:tcPr>
            <w:tcW w:w="680" w:type="dxa"/>
            <w:vAlign w:val="bottom"/>
          </w:tcPr>
          <w:p>
            <w:pPr>
              <w:jc w:val="right"/>
              <w:ind w:right="148"/>
              <w:spacing w:after="0"/>
              <w:rPr>
                <w:sz w:val="20"/>
                <w:szCs w:val="20"/>
                <w:color w:val="auto"/>
              </w:rPr>
            </w:pPr>
            <w:r>
              <w:rPr>
                <w:rFonts w:ascii="Arial" w:cs="Arial" w:eastAsia="Arial" w:hAnsi="Arial"/>
                <w:sz w:val="14"/>
                <w:szCs w:val="14"/>
                <w:color w:val="auto"/>
              </w:rPr>
              <w:t>1,335</w:t>
            </w:r>
          </w:p>
        </w:tc>
      </w:tr>
      <w:tr>
        <w:trPr>
          <w:trHeight w:val="216"/>
        </w:trPr>
        <w:tc>
          <w:tcPr>
            <w:tcW w:w="5020" w:type="dxa"/>
            <w:vAlign w:val="bottom"/>
          </w:tcPr>
          <w:p>
            <w:pPr>
              <w:ind w:left="300"/>
              <w:spacing w:after="0"/>
              <w:rPr>
                <w:sz w:val="20"/>
                <w:szCs w:val="20"/>
                <w:color w:val="auto"/>
              </w:rPr>
            </w:pPr>
            <w:r>
              <w:rPr>
                <w:rFonts w:ascii="Arial" w:cs="Arial" w:eastAsia="Arial" w:hAnsi="Arial"/>
                <w:sz w:val="14"/>
                <w:szCs w:val="14"/>
                <w:color w:val="auto"/>
              </w:rPr>
              <w:t>Asset retirement obligations</w:t>
            </w:r>
          </w:p>
        </w:tc>
        <w:tc>
          <w:tcPr>
            <w:tcW w:w="400" w:type="dxa"/>
            <w:vAlign w:val="bottom"/>
          </w:tcPr>
          <w:p>
            <w:pPr>
              <w:spacing w:after="0"/>
              <w:rPr>
                <w:sz w:val="18"/>
                <w:szCs w:val="18"/>
                <w:color w:val="auto"/>
              </w:rPr>
            </w:pPr>
          </w:p>
        </w:tc>
        <w:tc>
          <w:tcPr>
            <w:tcW w:w="840" w:type="dxa"/>
            <w:vAlign w:val="bottom"/>
          </w:tcPr>
          <w:p>
            <w:pPr>
              <w:jc w:val="right"/>
              <w:ind w:right="308"/>
              <w:spacing w:after="0"/>
              <w:rPr>
                <w:sz w:val="20"/>
                <w:szCs w:val="20"/>
                <w:color w:val="auto"/>
              </w:rPr>
            </w:pPr>
            <w:r>
              <w:rPr>
                <w:rFonts w:ascii="Arial" w:cs="Arial" w:eastAsia="Arial" w:hAnsi="Arial"/>
                <w:sz w:val="14"/>
                <w:szCs w:val="14"/>
                <w:color w:val="auto"/>
              </w:rPr>
              <w:t>550</w:t>
            </w:r>
          </w:p>
        </w:tc>
        <w:tc>
          <w:tcPr>
            <w:tcW w:w="460" w:type="dxa"/>
            <w:vAlign w:val="bottom"/>
          </w:tcPr>
          <w:p>
            <w:pPr>
              <w:spacing w:after="0"/>
              <w:rPr>
                <w:sz w:val="18"/>
                <w:szCs w:val="18"/>
                <w:color w:val="auto"/>
              </w:rPr>
            </w:pPr>
          </w:p>
        </w:tc>
        <w:tc>
          <w:tcPr>
            <w:tcW w:w="680" w:type="dxa"/>
            <w:vAlign w:val="bottom"/>
          </w:tcPr>
          <w:p>
            <w:pPr>
              <w:jc w:val="right"/>
              <w:ind w:right="148"/>
              <w:spacing w:after="0"/>
              <w:rPr>
                <w:sz w:val="20"/>
                <w:szCs w:val="20"/>
                <w:color w:val="auto"/>
              </w:rPr>
            </w:pPr>
            <w:r>
              <w:rPr>
                <w:rFonts w:ascii="Arial" w:cs="Arial" w:eastAsia="Arial" w:hAnsi="Arial"/>
                <w:sz w:val="14"/>
                <w:szCs w:val="14"/>
                <w:color w:val="auto"/>
              </w:rPr>
              <w:t>554</w:t>
            </w:r>
          </w:p>
        </w:tc>
      </w:tr>
      <w:tr>
        <w:trPr>
          <w:trHeight w:val="216"/>
        </w:trPr>
        <w:tc>
          <w:tcPr>
            <w:tcW w:w="5020" w:type="dxa"/>
            <w:vAlign w:val="bottom"/>
          </w:tcPr>
          <w:p>
            <w:pPr>
              <w:ind w:left="300"/>
              <w:spacing w:after="0"/>
              <w:rPr>
                <w:sz w:val="20"/>
                <w:szCs w:val="20"/>
                <w:color w:val="auto"/>
              </w:rPr>
            </w:pPr>
            <w:r>
              <w:rPr>
                <w:rFonts w:ascii="Arial" w:cs="Arial" w:eastAsia="Arial" w:hAnsi="Arial"/>
                <w:sz w:val="14"/>
                <w:szCs w:val="14"/>
                <w:color w:val="auto"/>
              </w:rPr>
              <w:t>Fixed-price contracts and other derivatives</w:t>
            </w:r>
          </w:p>
        </w:tc>
        <w:tc>
          <w:tcPr>
            <w:tcW w:w="400" w:type="dxa"/>
            <w:vAlign w:val="bottom"/>
          </w:tcPr>
          <w:p>
            <w:pPr>
              <w:spacing w:after="0"/>
              <w:rPr>
                <w:sz w:val="18"/>
                <w:szCs w:val="18"/>
                <w:color w:val="auto"/>
              </w:rPr>
            </w:pPr>
          </w:p>
        </w:tc>
        <w:tc>
          <w:tcPr>
            <w:tcW w:w="840" w:type="dxa"/>
            <w:vAlign w:val="bottom"/>
          </w:tcPr>
          <w:p>
            <w:pPr>
              <w:jc w:val="right"/>
              <w:ind w:right="308"/>
              <w:spacing w:after="0"/>
              <w:rPr>
                <w:sz w:val="20"/>
                <w:szCs w:val="20"/>
                <w:color w:val="auto"/>
              </w:rPr>
            </w:pPr>
            <w:r>
              <w:rPr>
                <w:rFonts w:ascii="Arial" w:cs="Arial" w:eastAsia="Arial" w:hAnsi="Arial"/>
                <w:sz w:val="14"/>
                <w:szCs w:val="14"/>
                <w:color w:val="auto"/>
              </w:rPr>
              <w:t>347</w:t>
            </w:r>
          </w:p>
        </w:tc>
        <w:tc>
          <w:tcPr>
            <w:tcW w:w="460" w:type="dxa"/>
            <w:vAlign w:val="bottom"/>
          </w:tcPr>
          <w:p>
            <w:pPr>
              <w:spacing w:after="0"/>
              <w:rPr>
                <w:sz w:val="18"/>
                <w:szCs w:val="18"/>
                <w:color w:val="auto"/>
              </w:rPr>
            </w:pPr>
          </w:p>
        </w:tc>
        <w:tc>
          <w:tcPr>
            <w:tcW w:w="680" w:type="dxa"/>
            <w:vAlign w:val="bottom"/>
          </w:tcPr>
          <w:p>
            <w:pPr>
              <w:jc w:val="right"/>
              <w:ind w:right="148"/>
              <w:spacing w:after="0"/>
              <w:rPr>
                <w:sz w:val="20"/>
                <w:szCs w:val="20"/>
                <w:color w:val="auto"/>
              </w:rPr>
            </w:pPr>
            <w:r>
              <w:rPr>
                <w:rFonts w:ascii="Arial" w:cs="Arial" w:eastAsia="Arial" w:hAnsi="Arial"/>
                <w:sz w:val="14"/>
                <w:szCs w:val="14"/>
                <w:color w:val="auto"/>
              </w:rPr>
              <w:t>329</w:t>
            </w:r>
          </w:p>
        </w:tc>
      </w:tr>
      <w:tr>
        <w:trPr>
          <w:trHeight w:val="222"/>
        </w:trPr>
        <w:tc>
          <w:tcPr>
            <w:tcW w:w="5020" w:type="dxa"/>
            <w:vAlign w:val="bottom"/>
          </w:tcPr>
          <w:p>
            <w:pPr>
              <w:ind w:left="300"/>
              <w:spacing w:after="0"/>
              <w:rPr>
                <w:sz w:val="20"/>
                <w:szCs w:val="20"/>
                <w:color w:val="auto"/>
              </w:rPr>
            </w:pPr>
            <w:r>
              <w:rPr>
                <w:rFonts w:ascii="Arial" w:cs="Arial" w:eastAsia="Arial" w:hAnsi="Arial"/>
                <w:sz w:val="14"/>
                <w:szCs w:val="14"/>
                <w:color w:val="auto"/>
              </w:rPr>
              <w:t>Deferred credits and other</w:t>
            </w:r>
          </w:p>
        </w:tc>
        <w:tc>
          <w:tcPr>
            <w:tcW w:w="4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204</w:t>
            </w:r>
          </w:p>
        </w:tc>
        <w:tc>
          <w:tcPr>
            <w:tcW w:w="4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176</w:t>
            </w:r>
          </w:p>
        </w:tc>
      </w:tr>
      <w:tr>
        <w:trPr>
          <w:trHeight w:val="208"/>
        </w:trPr>
        <w:tc>
          <w:tcPr>
            <w:tcW w:w="5020" w:type="dxa"/>
            <w:vAlign w:val="bottom"/>
          </w:tcPr>
          <w:p>
            <w:pPr>
              <w:ind w:left="640"/>
              <w:spacing w:after="0"/>
              <w:rPr>
                <w:sz w:val="20"/>
                <w:szCs w:val="20"/>
                <w:color w:val="auto"/>
              </w:rPr>
            </w:pPr>
            <w:r>
              <w:rPr>
                <w:rFonts w:ascii="Arial" w:cs="Arial" w:eastAsia="Arial" w:hAnsi="Arial"/>
                <w:sz w:val="14"/>
                <w:szCs w:val="14"/>
                <w:color w:val="auto"/>
              </w:rPr>
              <w:t>Total deferred credits and other liabilities</w:t>
            </w:r>
          </w:p>
        </w:tc>
        <w:tc>
          <w:tcPr>
            <w:tcW w:w="4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3,412</w:t>
            </w:r>
          </w:p>
        </w:tc>
        <w:tc>
          <w:tcPr>
            <w:tcW w:w="4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3,152</w:t>
            </w:r>
          </w:p>
        </w:tc>
      </w:tr>
      <w:tr>
        <w:trPr>
          <w:trHeight w:val="424"/>
        </w:trPr>
        <w:tc>
          <w:tcPr>
            <w:tcW w:w="5020" w:type="dxa"/>
            <w:vAlign w:val="bottom"/>
          </w:tcPr>
          <w:p>
            <w:pPr>
              <w:ind w:left="20"/>
              <w:spacing w:after="0"/>
              <w:rPr>
                <w:sz w:val="20"/>
                <w:szCs w:val="20"/>
                <w:color w:val="auto"/>
              </w:rPr>
            </w:pPr>
            <w:r>
              <w:rPr>
                <w:rFonts w:ascii="Arial" w:cs="Arial" w:eastAsia="Arial" w:hAnsi="Arial"/>
                <w:sz w:val="14"/>
                <w:szCs w:val="14"/>
                <w:color w:val="auto"/>
              </w:rPr>
              <w:t>Minority interest</w:t>
            </w:r>
          </w:p>
        </w:tc>
        <w:tc>
          <w:tcPr>
            <w:tcW w:w="4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128</w:t>
            </w:r>
          </w:p>
        </w:tc>
        <w:tc>
          <w:tcPr>
            <w:tcW w:w="4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135</w:t>
            </w:r>
          </w:p>
        </w:tc>
      </w:tr>
      <w:tr>
        <w:trPr>
          <w:trHeight w:val="418"/>
        </w:trPr>
        <w:tc>
          <w:tcPr>
            <w:tcW w:w="5020" w:type="dxa"/>
            <w:vAlign w:val="bottom"/>
          </w:tcPr>
          <w:p>
            <w:pPr>
              <w:ind w:left="20"/>
              <w:spacing w:after="0"/>
              <w:rPr>
                <w:sz w:val="20"/>
                <w:szCs w:val="20"/>
                <w:color w:val="auto"/>
              </w:rPr>
            </w:pPr>
            <w:r>
              <w:rPr>
                <w:rFonts w:ascii="Arial" w:cs="Arial" w:eastAsia="Arial" w:hAnsi="Arial"/>
                <w:sz w:val="14"/>
                <w:szCs w:val="14"/>
                <w:color w:val="auto"/>
              </w:rPr>
              <w:t>Commitments and contingencies (Note 16)</w:t>
            </w: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432"/>
        </w:trPr>
        <w:tc>
          <w:tcPr>
            <w:tcW w:w="5020" w:type="dxa"/>
            <w:vAlign w:val="bottom"/>
          </w:tcPr>
          <w:p>
            <w:pPr>
              <w:ind w:left="20"/>
              <w:spacing w:after="0"/>
              <w:rPr>
                <w:sz w:val="20"/>
                <w:szCs w:val="20"/>
                <w:color w:val="auto"/>
              </w:rPr>
            </w:pPr>
            <w:r>
              <w:rPr>
                <w:rFonts w:ascii="Arial" w:cs="Arial" w:eastAsia="Arial" w:hAnsi="Arial"/>
                <w:sz w:val="14"/>
                <w:szCs w:val="14"/>
                <w:color w:val="auto"/>
              </w:rPr>
              <w:t>Shareholders' equity:</w:t>
            </w: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216"/>
        </w:trPr>
        <w:tc>
          <w:tcPr>
            <w:tcW w:w="5020" w:type="dxa"/>
            <w:vAlign w:val="bottom"/>
          </w:tcPr>
          <w:p>
            <w:pPr>
              <w:ind w:left="320"/>
              <w:spacing w:after="0"/>
              <w:rPr>
                <w:sz w:val="20"/>
                <w:szCs w:val="20"/>
                <w:color w:val="auto"/>
              </w:rPr>
            </w:pPr>
            <w:r>
              <w:rPr>
                <w:rFonts w:ascii="Arial" w:cs="Arial" w:eastAsia="Arial" w:hAnsi="Arial"/>
                <w:sz w:val="14"/>
                <w:szCs w:val="14"/>
                <w:color w:val="auto"/>
              </w:rPr>
              <w:t>Preferred stock not subject to mandatory redemption</w:t>
            </w:r>
          </w:p>
        </w:tc>
        <w:tc>
          <w:tcPr>
            <w:tcW w:w="400" w:type="dxa"/>
            <w:vAlign w:val="bottom"/>
          </w:tcPr>
          <w:p>
            <w:pPr>
              <w:spacing w:after="0"/>
              <w:rPr>
                <w:sz w:val="18"/>
                <w:szCs w:val="18"/>
                <w:color w:val="auto"/>
              </w:rPr>
            </w:pPr>
          </w:p>
        </w:tc>
        <w:tc>
          <w:tcPr>
            <w:tcW w:w="840" w:type="dxa"/>
            <w:vAlign w:val="bottom"/>
          </w:tcPr>
          <w:p>
            <w:pPr>
              <w:jc w:val="right"/>
              <w:ind w:right="308"/>
              <w:spacing w:after="0"/>
              <w:rPr>
                <w:sz w:val="20"/>
                <w:szCs w:val="20"/>
                <w:color w:val="auto"/>
              </w:rPr>
            </w:pPr>
            <w:r>
              <w:rPr>
                <w:rFonts w:ascii="Arial" w:cs="Arial" w:eastAsia="Arial" w:hAnsi="Arial"/>
                <w:sz w:val="14"/>
                <w:szCs w:val="14"/>
                <w:color w:val="auto"/>
              </w:rPr>
              <w:t>79</w:t>
            </w:r>
          </w:p>
        </w:tc>
        <w:tc>
          <w:tcPr>
            <w:tcW w:w="460" w:type="dxa"/>
            <w:vAlign w:val="bottom"/>
          </w:tcPr>
          <w:p>
            <w:pPr>
              <w:spacing w:after="0"/>
              <w:rPr>
                <w:sz w:val="18"/>
                <w:szCs w:val="18"/>
                <w:color w:val="auto"/>
              </w:rPr>
            </w:pPr>
          </w:p>
        </w:tc>
        <w:tc>
          <w:tcPr>
            <w:tcW w:w="680" w:type="dxa"/>
            <w:vAlign w:val="bottom"/>
          </w:tcPr>
          <w:p>
            <w:pPr>
              <w:jc w:val="right"/>
              <w:ind w:right="148"/>
              <w:spacing w:after="0"/>
              <w:rPr>
                <w:sz w:val="20"/>
                <w:szCs w:val="20"/>
                <w:color w:val="auto"/>
              </w:rPr>
            </w:pPr>
            <w:r>
              <w:rPr>
                <w:rFonts w:ascii="Arial" w:cs="Arial" w:eastAsia="Arial" w:hAnsi="Arial"/>
                <w:sz w:val="14"/>
                <w:szCs w:val="14"/>
                <w:color w:val="auto"/>
              </w:rPr>
              <w:t>79</w:t>
            </w:r>
          </w:p>
        </w:tc>
      </w:tr>
      <w:tr>
        <w:trPr>
          <w:trHeight w:val="188"/>
        </w:trPr>
        <w:tc>
          <w:tcPr>
            <w:tcW w:w="5020" w:type="dxa"/>
            <w:vAlign w:val="bottom"/>
          </w:tcPr>
          <w:p>
            <w:pPr>
              <w:ind w:left="320"/>
              <w:spacing w:after="0"/>
              <w:rPr>
                <w:sz w:val="20"/>
                <w:szCs w:val="20"/>
                <w:color w:val="auto"/>
              </w:rPr>
            </w:pPr>
            <w:r>
              <w:rPr>
                <w:rFonts w:ascii="Arial" w:cs="Arial" w:eastAsia="Arial" w:hAnsi="Arial"/>
                <w:sz w:val="14"/>
                <w:szCs w:val="14"/>
                <w:color w:val="auto"/>
              </w:rPr>
              <w:t>Common stock (255 million shares authorized; 117 million shares</w:t>
            </w:r>
          </w:p>
        </w:tc>
        <w:tc>
          <w:tcPr>
            <w:tcW w:w="4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172"/>
        </w:trPr>
        <w:tc>
          <w:tcPr>
            <w:tcW w:w="5020" w:type="dxa"/>
            <w:vAlign w:val="bottom"/>
          </w:tcPr>
          <w:p>
            <w:pPr>
              <w:ind w:left="400"/>
              <w:spacing w:after="0"/>
              <w:rPr>
                <w:sz w:val="20"/>
                <w:szCs w:val="20"/>
                <w:color w:val="auto"/>
              </w:rPr>
            </w:pPr>
            <w:r>
              <w:rPr>
                <w:rFonts w:ascii="Arial" w:cs="Arial" w:eastAsia="Arial" w:hAnsi="Arial"/>
                <w:sz w:val="14"/>
                <w:szCs w:val="14"/>
                <w:color w:val="auto"/>
              </w:rPr>
              <w:t>outstanding; no par value)</w:t>
            </w:r>
          </w:p>
        </w:tc>
        <w:tc>
          <w:tcPr>
            <w:tcW w:w="400" w:type="dxa"/>
            <w:vAlign w:val="bottom"/>
          </w:tcPr>
          <w:p>
            <w:pPr>
              <w:spacing w:after="0"/>
              <w:rPr>
                <w:sz w:val="14"/>
                <w:szCs w:val="14"/>
                <w:color w:val="auto"/>
              </w:rPr>
            </w:pPr>
          </w:p>
        </w:tc>
        <w:tc>
          <w:tcPr>
            <w:tcW w:w="840" w:type="dxa"/>
            <w:vAlign w:val="bottom"/>
          </w:tcPr>
          <w:p>
            <w:pPr>
              <w:jc w:val="right"/>
              <w:ind w:right="308"/>
              <w:spacing w:after="0"/>
              <w:rPr>
                <w:sz w:val="20"/>
                <w:szCs w:val="20"/>
                <w:color w:val="auto"/>
              </w:rPr>
            </w:pPr>
            <w:r>
              <w:rPr>
                <w:rFonts w:ascii="Arial" w:cs="Arial" w:eastAsia="Arial" w:hAnsi="Arial"/>
                <w:sz w:val="14"/>
                <w:szCs w:val="14"/>
                <w:color w:val="auto"/>
              </w:rPr>
              <w:t>1,138</w:t>
            </w:r>
          </w:p>
        </w:tc>
        <w:tc>
          <w:tcPr>
            <w:tcW w:w="460" w:type="dxa"/>
            <w:vAlign w:val="bottom"/>
          </w:tcPr>
          <w:p>
            <w:pPr>
              <w:spacing w:after="0"/>
              <w:rPr>
                <w:sz w:val="14"/>
                <w:szCs w:val="14"/>
                <w:color w:val="auto"/>
              </w:rPr>
            </w:pPr>
          </w:p>
        </w:tc>
        <w:tc>
          <w:tcPr>
            <w:tcW w:w="680" w:type="dxa"/>
            <w:vAlign w:val="bottom"/>
          </w:tcPr>
          <w:p>
            <w:pPr>
              <w:jc w:val="right"/>
              <w:ind w:right="148"/>
              <w:spacing w:after="0"/>
              <w:rPr>
                <w:sz w:val="20"/>
                <w:szCs w:val="20"/>
                <w:color w:val="auto"/>
              </w:rPr>
            </w:pPr>
            <w:r>
              <w:rPr>
                <w:rFonts w:ascii="Arial" w:cs="Arial" w:eastAsia="Arial" w:hAnsi="Arial"/>
                <w:sz w:val="14"/>
                <w:szCs w:val="14"/>
                <w:color w:val="auto"/>
              </w:rPr>
              <w:t>1,138</w:t>
            </w:r>
          </w:p>
        </w:tc>
      </w:tr>
      <w:tr>
        <w:trPr>
          <w:trHeight w:val="216"/>
        </w:trPr>
        <w:tc>
          <w:tcPr>
            <w:tcW w:w="5020" w:type="dxa"/>
            <w:vAlign w:val="bottom"/>
          </w:tcPr>
          <w:p>
            <w:pPr>
              <w:ind w:left="320"/>
              <w:spacing w:after="0"/>
              <w:rPr>
                <w:sz w:val="20"/>
                <w:szCs w:val="20"/>
                <w:color w:val="auto"/>
              </w:rPr>
            </w:pPr>
            <w:r>
              <w:rPr>
                <w:rFonts w:ascii="Arial" w:cs="Arial" w:eastAsia="Arial" w:hAnsi="Arial"/>
                <w:sz w:val="14"/>
                <w:szCs w:val="14"/>
                <w:color w:val="auto"/>
              </w:rPr>
              <w:t>Retained earnings</w:t>
            </w:r>
          </w:p>
        </w:tc>
        <w:tc>
          <w:tcPr>
            <w:tcW w:w="400" w:type="dxa"/>
            <w:vAlign w:val="bottom"/>
          </w:tcPr>
          <w:p>
            <w:pPr>
              <w:spacing w:after="0"/>
              <w:rPr>
                <w:sz w:val="18"/>
                <w:szCs w:val="18"/>
                <w:color w:val="auto"/>
              </w:rPr>
            </w:pPr>
          </w:p>
        </w:tc>
        <w:tc>
          <w:tcPr>
            <w:tcW w:w="840" w:type="dxa"/>
            <w:vAlign w:val="bottom"/>
          </w:tcPr>
          <w:p>
            <w:pPr>
              <w:jc w:val="right"/>
              <w:ind w:right="308"/>
              <w:spacing w:after="0"/>
              <w:rPr>
                <w:sz w:val="20"/>
                <w:szCs w:val="20"/>
                <w:color w:val="auto"/>
              </w:rPr>
            </w:pPr>
            <w:r>
              <w:rPr>
                <w:rFonts w:ascii="Arial" w:cs="Arial" w:eastAsia="Arial" w:hAnsi="Arial"/>
                <w:sz w:val="14"/>
                <w:szCs w:val="14"/>
                <w:color w:val="auto"/>
              </w:rPr>
              <w:t>1,417</w:t>
            </w:r>
          </w:p>
        </w:tc>
        <w:tc>
          <w:tcPr>
            <w:tcW w:w="460" w:type="dxa"/>
            <w:vAlign w:val="bottom"/>
          </w:tcPr>
          <w:p>
            <w:pPr>
              <w:spacing w:after="0"/>
              <w:rPr>
                <w:sz w:val="18"/>
                <w:szCs w:val="18"/>
                <w:color w:val="auto"/>
              </w:rPr>
            </w:pPr>
          </w:p>
        </w:tc>
        <w:tc>
          <w:tcPr>
            <w:tcW w:w="680" w:type="dxa"/>
            <w:vAlign w:val="bottom"/>
          </w:tcPr>
          <w:p>
            <w:pPr>
              <w:jc w:val="right"/>
              <w:ind w:right="148"/>
              <w:spacing w:after="0"/>
              <w:rPr>
                <w:sz w:val="20"/>
                <w:szCs w:val="20"/>
                <w:color w:val="auto"/>
              </w:rPr>
            </w:pPr>
            <w:r>
              <w:rPr>
                <w:rFonts w:ascii="Arial" w:cs="Arial" w:eastAsia="Arial" w:hAnsi="Arial"/>
                <w:sz w:val="14"/>
                <w:szCs w:val="14"/>
                <w:color w:val="auto"/>
              </w:rPr>
              <w:t>1,078</w:t>
            </w:r>
          </w:p>
        </w:tc>
      </w:tr>
      <w:tr>
        <w:trPr>
          <w:trHeight w:val="222"/>
        </w:trPr>
        <w:tc>
          <w:tcPr>
            <w:tcW w:w="5020" w:type="dxa"/>
            <w:vAlign w:val="bottom"/>
          </w:tcPr>
          <w:p>
            <w:pPr>
              <w:ind w:left="320"/>
              <w:spacing w:after="0"/>
              <w:rPr>
                <w:sz w:val="20"/>
                <w:szCs w:val="20"/>
                <w:color w:val="auto"/>
              </w:rPr>
            </w:pPr>
            <w:r>
              <w:rPr>
                <w:rFonts w:ascii="Arial" w:cs="Arial" w:eastAsia="Arial" w:hAnsi="Arial"/>
                <w:sz w:val="14"/>
                <w:szCs w:val="14"/>
                <w:color w:val="auto"/>
              </w:rPr>
              <w:t>Accumulated other comprehensive income (loss)</w:t>
            </w:r>
          </w:p>
        </w:tc>
        <w:tc>
          <w:tcPr>
            <w:tcW w:w="4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(13 )</w:t>
            </w:r>
          </w:p>
        </w:tc>
        <w:tc>
          <w:tcPr>
            <w:tcW w:w="4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(16 )</w:t>
            </w:r>
          </w:p>
        </w:tc>
      </w:tr>
      <w:tr>
        <w:trPr>
          <w:trHeight w:val="208"/>
        </w:trPr>
        <w:tc>
          <w:tcPr>
            <w:tcW w:w="5020" w:type="dxa"/>
            <w:vAlign w:val="bottom"/>
          </w:tcPr>
          <w:p>
            <w:pPr>
              <w:ind w:left="480"/>
              <w:spacing w:after="0"/>
              <w:rPr>
                <w:sz w:val="20"/>
                <w:szCs w:val="20"/>
                <w:color w:val="auto"/>
              </w:rPr>
            </w:pPr>
            <w:r>
              <w:rPr>
                <w:rFonts w:ascii="Arial" w:cs="Arial" w:eastAsia="Arial" w:hAnsi="Arial"/>
                <w:sz w:val="14"/>
                <w:szCs w:val="14"/>
                <w:color w:val="auto"/>
              </w:rPr>
              <w:t>Total shareholders' equity</w:t>
            </w:r>
          </w:p>
        </w:tc>
        <w:tc>
          <w:tcPr>
            <w:tcW w:w="4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2,621</w:t>
            </w:r>
          </w:p>
        </w:tc>
        <w:tc>
          <w:tcPr>
            <w:tcW w:w="4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2,279</w:t>
            </w:r>
          </w:p>
        </w:tc>
      </w:tr>
      <w:tr>
        <w:trPr>
          <w:trHeight w:val="224"/>
        </w:trPr>
        <w:tc>
          <w:tcPr>
            <w:tcW w:w="50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Total liabilities and shareholders' equity</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9,079</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8,499</w:t>
            </w:r>
          </w:p>
        </w:tc>
      </w:tr>
    </w:tbl>
    <w:p>
      <w:pPr>
        <w:spacing w:after="0" w:line="257" w:lineRule="exact"/>
        <w:rPr>
          <w:sz w:val="20"/>
          <w:szCs w:val="20"/>
          <w:color w:val="auto"/>
        </w:rPr>
      </w:pPr>
    </w:p>
    <w:p>
      <w:pPr>
        <w:ind w:left="2040"/>
        <w:spacing w:after="0"/>
        <w:rPr>
          <w:sz w:val="20"/>
          <w:szCs w:val="20"/>
          <w:color w:val="auto"/>
        </w:rPr>
      </w:pPr>
      <w:r>
        <w:rPr>
          <w:rFonts w:ascii="Arial" w:cs="Arial" w:eastAsia="Arial" w:hAnsi="Arial"/>
          <w:sz w:val="13"/>
          <w:szCs w:val="13"/>
          <w:i w:val="1"/>
          <w:iCs w:val="1"/>
          <w:color w:val="auto"/>
        </w:rPr>
        <w:t>See Notes to Consolidated Financial Statements.</w:t>
      </w:r>
    </w:p>
    <w:p>
      <w:pPr>
        <w:spacing w:after="0" w:line="283" w:lineRule="exact"/>
        <w:rPr>
          <w:sz w:val="20"/>
          <w:szCs w:val="20"/>
          <w:color w:val="auto"/>
        </w:rPr>
      </w:pPr>
    </w:p>
    <w:p>
      <w:pPr>
        <w:ind w:left="2040"/>
        <w:spacing w:after="0"/>
        <w:rPr>
          <w:sz w:val="20"/>
          <w:szCs w:val="20"/>
          <w:color w:val="auto"/>
        </w:rPr>
      </w:pPr>
      <w:r>
        <w:rPr>
          <w:rFonts w:ascii="Arial" w:cs="Arial" w:eastAsia="Arial" w:hAnsi="Arial"/>
          <w:sz w:val="13"/>
          <w:szCs w:val="13"/>
          <w:i w:val="1"/>
          <w:iCs w:val="1"/>
          <w:color w:val="auto"/>
        </w:rPr>
        <w:t>* As adjusted for the retrospective adoption of FASB Staff Position FIN 39-1.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4"/>
          <w:szCs w:val="14"/>
          <w:color w:val="auto"/>
        </w:rPr>
        <w:t>77</w:t>
      </w:r>
    </w:p>
    <w:p>
      <w:pPr>
        <w:sectPr>
          <w:pgSz w:w="11900" w:h="16838" w:orient="portrait"/>
          <w:cols w:equalWidth="0" w:num="1">
            <w:col w:w="10219"/>
          </w:cols>
          <w:pgMar w:left="240" w:top="352" w:right="1440" w:bottom="1440" w:gutter="0" w:footer="0" w:header="0"/>
        </w:sectPr>
      </w:pPr>
    </w:p>
    <w:bookmarkStart w:id="217" w:name="page218"/>
    <w:bookmarkEnd w:id="217"/>
    <w:p>
      <w:pPr>
        <w:ind w:left="1880"/>
        <w:spacing w:after="0"/>
        <w:rPr>
          <w:sz w:val="20"/>
          <w:szCs w:val="20"/>
          <w:color w:val="auto"/>
        </w:rPr>
      </w:pPr>
      <w:r>
        <w:rPr>
          <w:rFonts w:ascii="Arial" w:cs="Arial" w:eastAsia="Arial" w:hAnsi="Arial"/>
          <w:sz w:val="14"/>
          <w:szCs w:val="14"/>
          <w:b w:val="1"/>
          <w:bCs w:val="1"/>
          <w:color w:val="auto"/>
        </w:rPr>
        <w:t>SAN DIEGO GAS &amp; ELECTRIC COMPANY AND SUBSIDIARY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1187450</wp:posOffset>
            </wp:positionH>
            <wp:positionV relativeFrom="paragraph">
              <wp:posOffset>-99060</wp:posOffset>
            </wp:positionV>
            <wp:extent cx="4889500" cy="38163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4889500" cy="381635"/>
                    </a:xfrm>
                    <a:prstGeom prst="rect">
                      <a:avLst/>
                    </a:prstGeom>
                    <a:noFill/>
                  </pic:spPr>
                </pic:pic>
              </a:graphicData>
            </a:graphic>
          </wp:anchor>
        </w:drawing>
      </w:r>
    </w:p>
    <w:p>
      <w:pPr>
        <w:spacing w:after="0" w:line="11" w:lineRule="exact"/>
        <w:rPr>
          <w:sz w:val="20"/>
          <w:szCs w:val="20"/>
          <w:color w:val="auto"/>
        </w:rPr>
      </w:pPr>
    </w:p>
    <w:p>
      <w:pPr>
        <w:ind w:left="1880"/>
        <w:spacing w:after="0"/>
        <w:rPr>
          <w:sz w:val="20"/>
          <w:szCs w:val="20"/>
          <w:color w:val="auto"/>
        </w:rPr>
      </w:pPr>
      <w:r>
        <w:rPr>
          <w:rFonts w:ascii="Arial" w:cs="Arial" w:eastAsia="Arial" w:hAnsi="Arial"/>
          <w:sz w:val="14"/>
          <w:szCs w:val="14"/>
          <w:b w:val="1"/>
          <w:bCs w:val="1"/>
          <w:color w:val="auto"/>
        </w:rPr>
        <w:t>STATEMENTS OF CONSOLIDATED CASH FLOWS</w:t>
      </w:r>
    </w:p>
    <w:p>
      <w:pPr>
        <w:spacing w:after="0" w:line="76" w:lineRule="exact"/>
        <w:rPr>
          <w:sz w:val="20"/>
          <w:szCs w:val="20"/>
          <w:color w:val="auto"/>
        </w:rPr>
      </w:pPr>
    </w:p>
    <w:p>
      <w:pPr>
        <w:ind w:left="1880"/>
        <w:spacing w:after="0"/>
        <w:rPr>
          <w:sz w:val="20"/>
          <w:szCs w:val="20"/>
          <w:color w:val="auto"/>
        </w:rPr>
      </w:pPr>
      <w:r>
        <w:rPr>
          <w:rFonts w:ascii="Arial" w:cs="Arial" w:eastAsia="Arial" w:hAnsi="Arial"/>
          <w:sz w:val="13"/>
          <w:szCs w:val="13"/>
          <w:i w:val="1"/>
          <w:iCs w:val="1"/>
          <w:color w:val="auto"/>
        </w:rPr>
        <w:t>(Dollars in millions)</w:t>
      </w:r>
    </w:p>
    <w:p>
      <w:pPr>
        <w:spacing w:after="0" w:line="67" w:lineRule="exact"/>
        <w:rPr>
          <w:sz w:val="20"/>
          <w:szCs w:val="20"/>
          <w:color w:val="auto"/>
        </w:rPr>
      </w:pPr>
    </w:p>
    <w:p>
      <w:pPr>
        <w:jc w:val="center"/>
        <w:ind w:left="4340"/>
        <w:spacing w:after="0"/>
        <w:rPr>
          <w:sz w:val="20"/>
          <w:szCs w:val="20"/>
          <w:color w:val="auto"/>
        </w:rPr>
      </w:pPr>
      <w:r>
        <w:rPr>
          <w:rFonts w:ascii="Arial" w:cs="Arial" w:eastAsia="Arial" w:hAnsi="Arial"/>
          <w:sz w:val="13"/>
          <w:szCs w:val="13"/>
          <w:color w:val="auto"/>
        </w:rPr>
        <w:t>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3941445</wp:posOffset>
            </wp:positionH>
            <wp:positionV relativeFrom="paragraph">
              <wp:posOffset>8890</wp:posOffset>
            </wp:positionV>
            <wp:extent cx="2135505" cy="762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2135505" cy="7620"/>
                    </a:xfrm>
                    <a:prstGeom prst="rect">
                      <a:avLst/>
                    </a:prstGeom>
                    <a:noFill/>
                  </pic:spPr>
                </pic:pic>
              </a:graphicData>
            </a:graphic>
          </wp:anchor>
        </w:drawing>
      </w:r>
    </w:p>
    <w:p>
      <w:pPr>
        <w:spacing w:after="0" w:line="59" w:lineRule="exact"/>
        <w:rPr>
          <w:sz w:val="20"/>
          <w:szCs w:val="20"/>
          <w:color w:val="auto"/>
        </w:rPr>
      </w:pPr>
    </w:p>
    <w:p>
      <w:pPr>
        <w:jc w:val="both"/>
        <w:ind w:left="6620"/>
        <w:spacing w:after="0"/>
        <w:tabs>
          <w:tab w:leader="none" w:pos="7740" w:val="left"/>
          <w:tab w:leader="none" w:pos="8880" w:val="left"/>
        </w:tabs>
        <w:rPr>
          <w:sz w:val="20"/>
          <w:szCs w:val="20"/>
          <w:color w:val="auto"/>
        </w:rPr>
      </w:pPr>
      <w:r>
        <w:rPr>
          <w:rFonts w:ascii="Arial" w:cs="Arial" w:eastAsia="Arial" w:hAnsi="Arial"/>
          <w:sz w:val="13"/>
          <w:szCs w:val="13"/>
          <w:color w:val="auto"/>
        </w:rPr>
        <w:t>2008</w:t>
      </w:r>
      <w:r>
        <w:rPr>
          <w:sz w:val="20"/>
          <w:szCs w:val="20"/>
          <w:color w:val="auto"/>
        </w:rPr>
        <w:tab/>
      </w:r>
      <w:r>
        <w:rPr>
          <w:rFonts w:ascii="Arial" w:cs="Arial" w:eastAsia="Arial" w:hAnsi="Arial"/>
          <w:sz w:val="13"/>
          <w:szCs w:val="13"/>
          <w:color w:val="auto"/>
        </w:rPr>
        <w:t>2007</w:t>
      </w:r>
      <w:r>
        <w:rPr>
          <w:sz w:val="20"/>
          <w:szCs w:val="20"/>
          <w:color w:val="auto"/>
        </w:rPr>
        <w:tab/>
      </w:r>
      <w:r>
        <w:rPr>
          <w:rFonts w:ascii="Arial" w:cs="Arial" w:eastAsia="Arial" w:hAnsi="Arial"/>
          <w:sz w:val="12"/>
          <w:szCs w:val="12"/>
          <w:color w:val="auto"/>
        </w:rPr>
        <w:t>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1187450</wp:posOffset>
            </wp:positionH>
            <wp:positionV relativeFrom="paragraph">
              <wp:posOffset>8890</wp:posOffset>
            </wp:positionV>
            <wp:extent cx="4889500" cy="762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4889500" cy="7620"/>
                    </a:xfrm>
                    <a:prstGeom prst="rect">
                      <a:avLst/>
                    </a:prstGeom>
                    <a:noFill/>
                  </pic:spPr>
                </pic:pic>
              </a:graphicData>
            </a:graphic>
          </wp:anchor>
        </w:drawing>
      </w:r>
    </w:p>
    <w:p>
      <w:pPr>
        <w:sectPr>
          <w:pgSz w:w="11900" w:h="16838" w:orient="portrait"/>
          <w:cols w:equalWidth="0" w:num="1">
            <w:col w:w="10219"/>
          </w:cols>
          <w:pgMar w:left="240" w:top="352" w:right="1440" w:bottom="1440" w:gutter="0" w:footer="0" w:header="0"/>
        </w:sectPr>
      </w:pPr>
    </w:p>
    <w:p>
      <w:pPr>
        <w:spacing w:after="0" w:line="280" w:lineRule="exact"/>
        <w:rPr>
          <w:sz w:val="20"/>
          <w:szCs w:val="20"/>
          <w:color w:val="auto"/>
        </w:rPr>
      </w:pPr>
    </w:p>
    <w:p>
      <w:pPr>
        <w:ind w:left="2200" w:right="1040" w:hanging="323"/>
        <w:spacing w:after="0" w:line="304" w:lineRule="auto"/>
        <w:rPr>
          <w:sz w:val="20"/>
          <w:szCs w:val="20"/>
          <w:color w:val="auto"/>
        </w:rPr>
      </w:pPr>
      <w:r>
        <w:rPr>
          <w:rFonts w:ascii="Arial" w:cs="Arial" w:eastAsia="Arial" w:hAnsi="Arial"/>
          <w:sz w:val="14"/>
          <w:szCs w:val="14"/>
          <w:color w:val="auto"/>
        </w:rPr>
        <w:t>CASH FLOWS FROM OPERATING ACTIVITIES Net income</w:t>
      </w:r>
    </w:p>
    <w:p>
      <w:pPr>
        <w:spacing w:after="0" w:line="1" w:lineRule="exact"/>
        <w:rPr>
          <w:sz w:val="20"/>
          <w:szCs w:val="20"/>
          <w:color w:val="auto"/>
        </w:rPr>
      </w:pPr>
    </w:p>
    <w:p>
      <w:pPr>
        <w:ind w:left="2360" w:hanging="167"/>
        <w:spacing w:after="0" w:line="267" w:lineRule="auto"/>
        <w:rPr>
          <w:sz w:val="20"/>
          <w:szCs w:val="20"/>
          <w:color w:val="auto"/>
        </w:rPr>
      </w:pPr>
      <w:r>
        <w:rPr>
          <w:rFonts w:ascii="Arial" w:cs="Arial" w:eastAsia="Arial" w:hAnsi="Arial"/>
          <w:sz w:val="14"/>
          <w:szCs w:val="14"/>
          <w:color w:val="auto"/>
        </w:rPr>
        <w:t>Adjustments to reconcile net income to net cash provided by operating activities</w:t>
      </w:r>
    </w:p>
    <w:p>
      <w:pPr>
        <w:spacing w:after="0" w:line="26" w:lineRule="exact"/>
        <w:rPr>
          <w:sz w:val="20"/>
          <w:szCs w:val="20"/>
          <w:color w:val="auto"/>
        </w:rPr>
      </w:pPr>
    </w:p>
    <w:p>
      <w:pPr>
        <w:ind w:left="2680"/>
        <w:spacing w:after="0"/>
        <w:rPr>
          <w:sz w:val="20"/>
          <w:szCs w:val="20"/>
          <w:color w:val="auto"/>
        </w:rPr>
      </w:pPr>
      <w:r>
        <w:rPr>
          <w:rFonts w:ascii="Arial" w:cs="Arial" w:eastAsia="Arial" w:hAnsi="Arial"/>
          <w:sz w:val="14"/>
          <w:szCs w:val="14"/>
          <w:color w:val="auto"/>
        </w:rPr>
        <w:t>Depreciation and amortization</w:t>
      </w:r>
    </w:p>
    <w:p>
      <w:pPr>
        <w:spacing w:after="0" w:line="55" w:lineRule="exact"/>
        <w:rPr>
          <w:sz w:val="20"/>
          <w:szCs w:val="20"/>
          <w:color w:val="auto"/>
        </w:rPr>
      </w:pPr>
    </w:p>
    <w:p>
      <w:pPr>
        <w:ind w:left="2680" w:right="200"/>
        <w:spacing w:after="0" w:line="361" w:lineRule="auto"/>
        <w:rPr>
          <w:sz w:val="20"/>
          <w:szCs w:val="20"/>
          <w:color w:val="auto"/>
        </w:rPr>
      </w:pPr>
      <w:r>
        <w:rPr>
          <w:rFonts w:ascii="Arial" w:cs="Arial" w:eastAsia="Arial" w:hAnsi="Arial"/>
          <w:sz w:val="14"/>
          <w:szCs w:val="14"/>
          <w:color w:val="auto"/>
        </w:rPr>
        <w:t>Deferred income taxes and investment tax credits Noncash rate-reduction bond expense Other</w:t>
      </w:r>
    </w:p>
    <w:p>
      <w:pPr>
        <w:spacing w:after="0" w:line="164" w:lineRule="exact"/>
        <w:rPr>
          <w:sz w:val="20"/>
          <w:szCs w:val="20"/>
          <w:color w:val="auto"/>
        </w:rPr>
      </w:pPr>
    </w:p>
    <w:p>
      <w:pPr>
        <w:ind w:left="2200"/>
        <w:spacing w:after="0"/>
        <w:rPr>
          <w:sz w:val="20"/>
          <w:szCs w:val="20"/>
          <w:color w:val="auto"/>
        </w:rPr>
      </w:pPr>
      <w:r>
        <w:rPr>
          <w:rFonts w:ascii="Arial" w:cs="Arial" w:eastAsia="Arial" w:hAnsi="Arial"/>
          <w:sz w:val="14"/>
          <w:szCs w:val="14"/>
          <w:color w:val="auto"/>
        </w:rPr>
        <w:t>Changes in other assets</w:t>
      </w:r>
    </w:p>
    <w:p>
      <w:pPr>
        <w:spacing w:after="0" w:line="55" w:lineRule="exact"/>
        <w:rPr>
          <w:sz w:val="20"/>
          <w:szCs w:val="20"/>
          <w:color w:val="auto"/>
        </w:rPr>
      </w:pPr>
    </w:p>
    <w:p>
      <w:pPr>
        <w:ind w:left="2200"/>
        <w:spacing w:after="0"/>
        <w:rPr>
          <w:sz w:val="20"/>
          <w:szCs w:val="20"/>
          <w:color w:val="auto"/>
        </w:rPr>
      </w:pPr>
      <w:r>
        <w:rPr>
          <w:rFonts w:ascii="Arial" w:cs="Arial" w:eastAsia="Arial" w:hAnsi="Arial"/>
          <w:sz w:val="14"/>
          <w:szCs w:val="14"/>
          <w:color w:val="auto"/>
        </w:rPr>
        <w:t>Changes in other liabilities</w:t>
      </w:r>
    </w:p>
    <w:p>
      <w:pPr>
        <w:spacing w:after="0" w:line="55" w:lineRule="exact"/>
        <w:rPr>
          <w:sz w:val="20"/>
          <w:szCs w:val="20"/>
          <w:color w:val="auto"/>
        </w:rPr>
      </w:pPr>
    </w:p>
    <w:p>
      <w:pPr>
        <w:ind w:left="2200"/>
        <w:spacing w:after="0"/>
        <w:rPr>
          <w:sz w:val="20"/>
          <w:szCs w:val="20"/>
          <w:color w:val="auto"/>
        </w:rPr>
      </w:pPr>
      <w:r>
        <w:rPr>
          <w:rFonts w:ascii="Arial" w:cs="Arial" w:eastAsia="Arial" w:hAnsi="Arial"/>
          <w:sz w:val="14"/>
          <w:szCs w:val="14"/>
          <w:color w:val="auto"/>
        </w:rPr>
        <w:t>Changes in working capital components:</w:t>
      </w:r>
    </w:p>
    <w:p>
      <w:pPr>
        <w:spacing w:after="0" w:line="55" w:lineRule="exact"/>
        <w:rPr>
          <w:sz w:val="20"/>
          <w:szCs w:val="20"/>
          <w:color w:val="auto"/>
        </w:rPr>
      </w:pPr>
    </w:p>
    <w:p>
      <w:pPr>
        <w:ind w:left="2440"/>
        <w:spacing w:after="0"/>
        <w:rPr>
          <w:sz w:val="20"/>
          <w:szCs w:val="20"/>
          <w:color w:val="auto"/>
        </w:rPr>
      </w:pPr>
      <w:r>
        <w:rPr>
          <w:rFonts w:ascii="Arial" w:cs="Arial" w:eastAsia="Arial" w:hAnsi="Arial"/>
          <w:sz w:val="14"/>
          <w:szCs w:val="14"/>
          <w:color w:val="auto"/>
        </w:rPr>
        <w:t>Accounts receivable</w:t>
      </w:r>
    </w:p>
    <w:p>
      <w:pPr>
        <w:spacing w:after="0" w:line="55" w:lineRule="exact"/>
        <w:rPr>
          <w:sz w:val="20"/>
          <w:szCs w:val="20"/>
          <w:color w:val="auto"/>
        </w:rPr>
      </w:pPr>
    </w:p>
    <w:p>
      <w:pPr>
        <w:ind w:left="2440"/>
        <w:spacing w:after="0"/>
        <w:rPr>
          <w:sz w:val="20"/>
          <w:szCs w:val="20"/>
          <w:color w:val="auto"/>
        </w:rPr>
      </w:pPr>
      <w:r>
        <w:rPr>
          <w:rFonts w:ascii="Arial" w:cs="Arial" w:eastAsia="Arial" w:hAnsi="Arial"/>
          <w:sz w:val="14"/>
          <w:szCs w:val="14"/>
          <w:color w:val="auto"/>
        </w:rPr>
        <w:t>Interest receivable</w:t>
      </w:r>
    </w:p>
    <w:p>
      <w:pPr>
        <w:spacing w:after="0" w:line="55" w:lineRule="exact"/>
        <w:rPr>
          <w:sz w:val="20"/>
          <w:szCs w:val="20"/>
          <w:color w:val="auto"/>
        </w:rPr>
      </w:pPr>
    </w:p>
    <w:p>
      <w:pPr>
        <w:ind w:left="2440"/>
        <w:spacing w:after="0"/>
        <w:rPr>
          <w:sz w:val="20"/>
          <w:szCs w:val="20"/>
          <w:color w:val="auto"/>
        </w:rPr>
      </w:pPr>
      <w:r>
        <w:rPr>
          <w:rFonts w:ascii="Arial" w:cs="Arial" w:eastAsia="Arial" w:hAnsi="Arial"/>
          <w:sz w:val="14"/>
          <w:szCs w:val="14"/>
          <w:color w:val="auto"/>
        </w:rPr>
        <w:t>Due to/from affiliates, net</w:t>
      </w:r>
    </w:p>
    <w:p>
      <w:pPr>
        <w:spacing w:after="0" w:line="55" w:lineRule="exact"/>
        <w:rPr>
          <w:sz w:val="20"/>
          <w:szCs w:val="20"/>
          <w:color w:val="auto"/>
        </w:rPr>
      </w:pPr>
    </w:p>
    <w:p>
      <w:pPr>
        <w:ind w:left="2440"/>
        <w:spacing w:after="0"/>
        <w:rPr>
          <w:sz w:val="20"/>
          <w:szCs w:val="20"/>
          <w:color w:val="auto"/>
        </w:rPr>
      </w:pPr>
      <w:r>
        <w:rPr>
          <w:rFonts w:ascii="Arial" w:cs="Arial" w:eastAsia="Arial" w:hAnsi="Arial"/>
          <w:sz w:val="14"/>
          <w:szCs w:val="14"/>
          <w:color w:val="auto"/>
        </w:rPr>
        <w:t>Inventories</w:t>
      </w:r>
    </w:p>
    <w:p>
      <w:pPr>
        <w:spacing w:after="0" w:line="55" w:lineRule="exact"/>
        <w:rPr>
          <w:sz w:val="20"/>
          <w:szCs w:val="20"/>
          <w:color w:val="auto"/>
        </w:rPr>
      </w:pPr>
    </w:p>
    <w:p>
      <w:pPr>
        <w:ind w:left="2440"/>
        <w:spacing w:after="0"/>
        <w:rPr>
          <w:sz w:val="20"/>
          <w:szCs w:val="20"/>
          <w:color w:val="auto"/>
        </w:rPr>
      </w:pPr>
      <w:r>
        <w:rPr>
          <w:rFonts w:ascii="Arial" w:cs="Arial" w:eastAsia="Arial" w:hAnsi="Arial"/>
          <w:sz w:val="14"/>
          <w:szCs w:val="14"/>
          <w:color w:val="auto"/>
        </w:rPr>
        <w:t>Other current assets</w:t>
      </w:r>
    </w:p>
    <w:p>
      <w:pPr>
        <w:spacing w:after="0" w:line="55" w:lineRule="exact"/>
        <w:rPr>
          <w:sz w:val="20"/>
          <w:szCs w:val="20"/>
          <w:color w:val="auto"/>
        </w:rPr>
      </w:pPr>
    </w:p>
    <w:p>
      <w:pPr>
        <w:ind w:left="2440"/>
        <w:spacing w:after="0"/>
        <w:rPr>
          <w:sz w:val="20"/>
          <w:szCs w:val="20"/>
          <w:color w:val="auto"/>
        </w:rPr>
      </w:pPr>
      <w:r>
        <w:rPr>
          <w:rFonts w:ascii="Arial" w:cs="Arial" w:eastAsia="Arial" w:hAnsi="Arial"/>
          <w:sz w:val="14"/>
          <w:szCs w:val="14"/>
          <w:color w:val="auto"/>
        </w:rPr>
        <w:t>Income taxes</w:t>
      </w:r>
    </w:p>
    <w:p>
      <w:pPr>
        <w:spacing w:after="0" w:line="55" w:lineRule="exact"/>
        <w:rPr>
          <w:sz w:val="20"/>
          <w:szCs w:val="20"/>
          <w:color w:val="auto"/>
        </w:rPr>
      </w:pPr>
    </w:p>
    <w:p>
      <w:pPr>
        <w:ind w:left="2440"/>
        <w:spacing w:after="0"/>
        <w:rPr>
          <w:sz w:val="20"/>
          <w:szCs w:val="20"/>
          <w:color w:val="auto"/>
        </w:rPr>
      </w:pPr>
      <w:r>
        <w:rPr>
          <w:rFonts w:ascii="Arial" w:cs="Arial" w:eastAsia="Arial" w:hAnsi="Arial"/>
          <w:sz w:val="14"/>
          <w:szCs w:val="14"/>
          <w:color w:val="auto"/>
        </w:rPr>
        <w:t>Accounts payable</w:t>
      </w:r>
    </w:p>
    <w:p>
      <w:pPr>
        <w:spacing w:after="0" w:line="55" w:lineRule="exact"/>
        <w:rPr>
          <w:sz w:val="20"/>
          <w:szCs w:val="20"/>
          <w:color w:val="auto"/>
        </w:rPr>
      </w:pPr>
    </w:p>
    <w:p>
      <w:pPr>
        <w:ind w:left="2440"/>
        <w:spacing w:after="0"/>
        <w:rPr>
          <w:sz w:val="20"/>
          <w:szCs w:val="20"/>
          <w:color w:val="auto"/>
        </w:rPr>
      </w:pPr>
      <w:r>
        <w:rPr>
          <w:rFonts w:ascii="Arial" w:cs="Arial" w:eastAsia="Arial" w:hAnsi="Arial"/>
          <w:sz w:val="14"/>
          <w:szCs w:val="14"/>
          <w:color w:val="auto"/>
        </w:rPr>
        <w:t>Regulatory balancing accounts</w:t>
      </w:r>
    </w:p>
    <w:p>
      <w:pPr>
        <w:spacing w:after="0" w:line="67" w:lineRule="exact"/>
        <w:rPr>
          <w:sz w:val="20"/>
          <w:szCs w:val="20"/>
          <w:color w:val="auto"/>
        </w:rPr>
      </w:pPr>
    </w:p>
    <w:p>
      <w:pPr>
        <w:ind w:left="2440"/>
        <w:spacing w:after="0"/>
        <w:rPr>
          <w:sz w:val="20"/>
          <w:szCs w:val="20"/>
          <w:color w:val="auto"/>
        </w:rPr>
      </w:pPr>
      <w:r>
        <w:rPr>
          <w:rFonts w:ascii="Arial" w:cs="Arial" w:eastAsia="Arial" w:hAnsi="Arial"/>
          <w:sz w:val="14"/>
          <w:szCs w:val="14"/>
          <w:color w:val="auto"/>
        </w:rPr>
        <w:t>Other current liabilities</w:t>
      </w:r>
    </w:p>
    <w:p>
      <w:pPr>
        <w:spacing w:after="0" w:line="67" w:lineRule="exact"/>
        <w:rPr>
          <w:sz w:val="20"/>
          <w:szCs w:val="20"/>
          <w:color w:val="auto"/>
        </w:rPr>
      </w:pPr>
    </w:p>
    <w:p>
      <w:pPr>
        <w:ind w:left="2680"/>
        <w:spacing w:after="0"/>
        <w:rPr>
          <w:sz w:val="20"/>
          <w:szCs w:val="20"/>
          <w:color w:val="auto"/>
        </w:rPr>
      </w:pPr>
      <w:r>
        <w:rPr>
          <w:rFonts w:ascii="Arial" w:cs="Arial" w:eastAsia="Arial" w:hAnsi="Arial"/>
          <w:sz w:val="14"/>
          <w:szCs w:val="14"/>
          <w:color w:val="auto"/>
        </w:rPr>
        <w:t>Net cash provided by operating activities</w:t>
      </w:r>
    </w:p>
    <w:p>
      <w:pPr>
        <w:spacing w:after="0" w:line="271" w:lineRule="exact"/>
        <w:rPr>
          <w:sz w:val="20"/>
          <w:szCs w:val="20"/>
          <w:color w:val="auto"/>
        </w:rPr>
      </w:pPr>
    </w:p>
    <w:p>
      <w:pPr>
        <w:ind w:left="2200" w:right="280" w:hanging="323"/>
        <w:spacing w:after="0" w:line="327" w:lineRule="auto"/>
        <w:rPr>
          <w:sz w:val="20"/>
          <w:szCs w:val="20"/>
          <w:color w:val="auto"/>
        </w:rPr>
      </w:pPr>
      <w:r>
        <w:rPr>
          <w:rFonts w:ascii="Arial" w:cs="Arial" w:eastAsia="Arial" w:hAnsi="Arial"/>
          <w:sz w:val="14"/>
          <w:szCs w:val="14"/>
          <w:color w:val="auto"/>
        </w:rPr>
        <w:t>CASH FLOWS FROM INVESTING ACTIVITIES Expenditures for property, plant and equipment Expenditures for short-term investments Proceeds from sale of short-term investments Purchases of nuclear decommissioning trust assets Proceeds from sales by nuclear decommissioning trusts Increase in loans to affiliates, net</w:t>
      </w:r>
    </w:p>
    <w:p>
      <w:pPr>
        <w:spacing w:after="0" w:line="209" w:lineRule="exact"/>
        <w:rPr>
          <w:sz w:val="20"/>
          <w:szCs w:val="20"/>
          <w:color w:val="auto"/>
        </w:rPr>
      </w:pPr>
    </w:p>
    <w:p>
      <w:pPr>
        <w:ind w:left="2200"/>
        <w:spacing w:after="0"/>
        <w:rPr>
          <w:sz w:val="20"/>
          <w:szCs w:val="20"/>
          <w:color w:val="auto"/>
        </w:rPr>
      </w:pPr>
      <w:r>
        <w:rPr>
          <w:rFonts w:ascii="Arial" w:cs="Arial" w:eastAsia="Arial" w:hAnsi="Arial"/>
          <w:sz w:val="14"/>
          <w:szCs w:val="14"/>
          <w:color w:val="auto"/>
        </w:rPr>
        <w:t>Proceeds from sale of assets</w:t>
      </w:r>
    </w:p>
    <w:p>
      <w:pPr>
        <w:spacing w:after="0" w:line="67" w:lineRule="exact"/>
        <w:rPr>
          <w:sz w:val="20"/>
          <w:szCs w:val="20"/>
          <w:color w:val="auto"/>
        </w:rPr>
      </w:pPr>
    </w:p>
    <w:p>
      <w:pPr>
        <w:ind w:left="2680"/>
        <w:spacing w:after="0"/>
        <w:rPr>
          <w:sz w:val="20"/>
          <w:szCs w:val="20"/>
          <w:color w:val="auto"/>
        </w:rPr>
      </w:pPr>
      <w:r>
        <w:rPr>
          <w:rFonts w:ascii="Arial" w:cs="Arial" w:eastAsia="Arial" w:hAnsi="Arial"/>
          <w:sz w:val="14"/>
          <w:szCs w:val="14"/>
          <w:color w:val="auto"/>
        </w:rPr>
        <w:t>Net cash used in investing activities</w:t>
      </w:r>
    </w:p>
    <w:p>
      <w:pPr>
        <w:spacing w:after="0" w:line="271" w:lineRule="exact"/>
        <w:rPr>
          <w:sz w:val="20"/>
          <w:szCs w:val="20"/>
          <w:color w:val="auto"/>
        </w:rPr>
      </w:pPr>
    </w:p>
    <w:p>
      <w:pPr>
        <w:ind w:left="1880"/>
        <w:spacing w:after="0"/>
        <w:rPr>
          <w:sz w:val="20"/>
          <w:szCs w:val="20"/>
          <w:color w:val="auto"/>
        </w:rPr>
      </w:pPr>
      <w:r>
        <w:rPr>
          <w:rFonts w:ascii="Arial" w:cs="Arial" w:eastAsia="Arial" w:hAnsi="Arial"/>
          <w:sz w:val="14"/>
          <w:szCs w:val="14"/>
          <w:color w:val="auto"/>
        </w:rPr>
        <w:t>CASH FLOWS FROM FINANCING ACTIVITIES</w:t>
      </w:r>
    </w:p>
    <w:p>
      <w:pPr>
        <w:spacing w:after="0" w:line="55" w:lineRule="exact"/>
        <w:rPr>
          <w:sz w:val="20"/>
          <w:szCs w:val="20"/>
          <w:color w:val="auto"/>
        </w:rPr>
      </w:pPr>
    </w:p>
    <w:p>
      <w:pPr>
        <w:ind w:left="2200"/>
        <w:spacing w:after="0"/>
        <w:rPr>
          <w:sz w:val="20"/>
          <w:szCs w:val="20"/>
          <w:color w:val="auto"/>
        </w:rPr>
      </w:pPr>
      <w:r>
        <w:rPr>
          <w:rFonts w:ascii="Arial" w:cs="Arial" w:eastAsia="Arial" w:hAnsi="Arial"/>
          <w:sz w:val="14"/>
          <w:szCs w:val="14"/>
          <w:color w:val="auto"/>
        </w:rPr>
        <w:t>Capital contribution</w:t>
      </w:r>
    </w:p>
    <w:p>
      <w:pPr>
        <w:spacing w:after="0" w:line="55" w:lineRule="exact"/>
        <w:rPr>
          <w:sz w:val="20"/>
          <w:szCs w:val="20"/>
          <w:color w:val="auto"/>
        </w:rPr>
      </w:pPr>
    </w:p>
    <w:p>
      <w:pPr>
        <w:ind w:left="2200"/>
        <w:spacing w:after="0"/>
        <w:rPr>
          <w:sz w:val="20"/>
          <w:szCs w:val="20"/>
          <w:color w:val="auto"/>
        </w:rPr>
      </w:pPr>
      <w:r>
        <w:rPr>
          <w:rFonts w:ascii="Arial" w:cs="Arial" w:eastAsia="Arial" w:hAnsi="Arial"/>
          <w:sz w:val="14"/>
          <w:szCs w:val="14"/>
          <w:color w:val="auto"/>
        </w:rPr>
        <w:t>Preferred dividends paid</w:t>
      </w:r>
    </w:p>
    <w:p>
      <w:pPr>
        <w:spacing w:after="0" w:line="55" w:lineRule="exact"/>
        <w:rPr>
          <w:sz w:val="20"/>
          <w:szCs w:val="20"/>
          <w:color w:val="auto"/>
        </w:rPr>
      </w:pPr>
    </w:p>
    <w:p>
      <w:pPr>
        <w:ind w:left="2200"/>
        <w:spacing w:after="0"/>
        <w:rPr>
          <w:sz w:val="20"/>
          <w:szCs w:val="20"/>
          <w:color w:val="auto"/>
        </w:rPr>
      </w:pPr>
      <w:r>
        <w:rPr>
          <w:rFonts w:ascii="Arial" w:cs="Arial" w:eastAsia="Arial" w:hAnsi="Arial"/>
          <w:sz w:val="14"/>
          <w:szCs w:val="14"/>
          <w:color w:val="auto"/>
        </w:rPr>
        <w:t>Redemptions of preferred stock</w:t>
      </w:r>
    </w:p>
    <w:p>
      <w:pPr>
        <w:spacing w:after="0" w:line="55" w:lineRule="exact"/>
        <w:rPr>
          <w:sz w:val="20"/>
          <w:szCs w:val="20"/>
          <w:color w:val="auto"/>
        </w:rPr>
      </w:pPr>
    </w:p>
    <w:p>
      <w:pPr>
        <w:ind w:left="2200"/>
        <w:spacing w:after="0"/>
        <w:rPr>
          <w:sz w:val="20"/>
          <w:szCs w:val="20"/>
          <w:color w:val="auto"/>
        </w:rPr>
      </w:pPr>
      <w:r>
        <w:rPr>
          <w:rFonts w:ascii="Arial" w:cs="Arial" w:eastAsia="Arial" w:hAnsi="Arial"/>
          <w:sz w:val="14"/>
          <w:szCs w:val="14"/>
          <w:color w:val="auto"/>
        </w:rPr>
        <w:t>Issuances of long-term debt</w:t>
      </w:r>
    </w:p>
    <w:p>
      <w:pPr>
        <w:spacing w:after="0" w:line="55" w:lineRule="exact"/>
        <w:rPr>
          <w:sz w:val="20"/>
          <w:szCs w:val="20"/>
          <w:color w:val="auto"/>
        </w:rPr>
      </w:pPr>
    </w:p>
    <w:p>
      <w:pPr>
        <w:ind w:left="2200"/>
        <w:spacing w:after="0"/>
        <w:rPr>
          <w:sz w:val="20"/>
          <w:szCs w:val="20"/>
          <w:color w:val="auto"/>
        </w:rPr>
      </w:pPr>
      <w:r>
        <w:rPr>
          <w:rFonts w:ascii="Arial" w:cs="Arial" w:eastAsia="Arial" w:hAnsi="Arial"/>
          <w:sz w:val="14"/>
          <w:szCs w:val="14"/>
          <w:color w:val="auto"/>
        </w:rPr>
        <w:t>Payments on long-term debt</w:t>
      </w:r>
    </w:p>
    <w:p>
      <w:pPr>
        <w:spacing w:after="0" w:line="55" w:lineRule="exact"/>
        <w:rPr>
          <w:sz w:val="20"/>
          <w:szCs w:val="20"/>
          <w:color w:val="auto"/>
        </w:rPr>
      </w:pPr>
    </w:p>
    <w:p>
      <w:pPr>
        <w:ind w:left="2200"/>
        <w:spacing w:after="0"/>
        <w:rPr>
          <w:sz w:val="20"/>
          <w:szCs w:val="20"/>
          <w:color w:val="auto"/>
        </w:rPr>
      </w:pPr>
      <w:r>
        <w:rPr>
          <w:rFonts w:ascii="Arial" w:cs="Arial" w:eastAsia="Arial" w:hAnsi="Arial"/>
          <w:sz w:val="14"/>
          <w:szCs w:val="14"/>
          <w:color w:val="auto"/>
        </w:rPr>
        <w:t>Increase (decrease) in short-term debt, net</w:t>
      </w:r>
    </w:p>
    <w:p>
      <w:pPr>
        <w:spacing w:after="0" w:line="55" w:lineRule="exact"/>
        <w:rPr>
          <w:sz w:val="20"/>
          <w:szCs w:val="20"/>
          <w:color w:val="auto"/>
        </w:rPr>
      </w:pPr>
    </w:p>
    <w:p>
      <w:pPr>
        <w:ind w:left="2200"/>
        <w:spacing w:after="0"/>
        <w:rPr>
          <w:sz w:val="20"/>
          <w:szCs w:val="20"/>
          <w:color w:val="auto"/>
        </w:rPr>
      </w:pPr>
      <w:r>
        <w:rPr>
          <w:rFonts w:ascii="Arial" w:cs="Arial" w:eastAsia="Arial" w:hAnsi="Arial"/>
          <w:sz w:val="14"/>
          <w:szCs w:val="14"/>
          <w:color w:val="auto"/>
        </w:rPr>
        <w:t>Capital contribution received by Otay Mesa VIE</w:t>
      </w:r>
    </w:p>
    <w:p>
      <w:pPr>
        <w:spacing w:after="0" w:line="67" w:lineRule="exact"/>
        <w:rPr>
          <w:sz w:val="20"/>
          <w:szCs w:val="20"/>
          <w:color w:val="auto"/>
        </w:rPr>
      </w:pPr>
    </w:p>
    <w:p>
      <w:pPr>
        <w:ind w:left="2200"/>
        <w:spacing w:after="0"/>
        <w:rPr>
          <w:sz w:val="20"/>
          <w:szCs w:val="20"/>
          <w:color w:val="auto"/>
        </w:rPr>
      </w:pPr>
      <w:r>
        <w:rPr>
          <w:rFonts w:ascii="Arial" w:cs="Arial" w:eastAsia="Arial" w:hAnsi="Arial"/>
          <w:sz w:val="14"/>
          <w:szCs w:val="14"/>
          <w:color w:val="auto"/>
        </w:rPr>
        <w:t>Other</w:t>
      </w:r>
    </w:p>
    <w:p>
      <w:pPr>
        <w:spacing w:after="0" w:line="67" w:lineRule="exact"/>
        <w:rPr>
          <w:sz w:val="20"/>
          <w:szCs w:val="20"/>
          <w:color w:val="auto"/>
        </w:rPr>
      </w:pPr>
    </w:p>
    <w:p>
      <w:pPr>
        <w:ind w:left="2680"/>
        <w:spacing w:after="0"/>
        <w:rPr>
          <w:sz w:val="20"/>
          <w:szCs w:val="20"/>
          <w:color w:val="auto"/>
        </w:rPr>
      </w:pPr>
      <w:r>
        <w:rPr>
          <w:rFonts w:ascii="Arial" w:cs="Arial" w:eastAsia="Arial" w:hAnsi="Arial"/>
          <w:sz w:val="14"/>
          <w:szCs w:val="14"/>
          <w:color w:val="auto"/>
        </w:rPr>
        <w:t>Net cash provided by financing activities</w:t>
      </w:r>
    </w:p>
    <w:p>
      <w:pPr>
        <w:spacing w:after="0" w:line="271" w:lineRule="exact"/>
        <w:rPr>
          <w:sz w:val="20"/>
          <w:szCs w:val="20"/>
          <w:color w:val="auto"/>
        </w:rPr>
      </w:pPr>
    </w:p>
    <w:p>
      <w:pPr>
        <w:ind w:left="1880" w:right="1000"/>
        <w:spacing w:after="0" w:line="331" w:lineRule="auto"/>
        <w:rPr>
          <w:sz w:val="20"/>
          <w:szCs w:val="20"/>
          <w:color w:val="auto"/>
        </w:rPr>
      </w:pPr>
      <w:r>
        <w:rPr>
          <w:rFonts w:ascii="Arial" w:cs="Arial" w:eastAsia="Arial" w:hAnsi="Arial"/>
          <w:sz w:val="14"/>
          <w:szCs w:val="14"/>
          <w:color w:val="auto"/>
        </w:rPr>
        <w:t>Increase (decrease) in cash and cash equivalents Cash and cash equivalents, January 1</w:t>
      </w:r>
    </w:p>
    <w:p>
      <w:pPr>
        <w:ind w:left="1880" w:right="100"/>
        <w:spacing w:after="0" w:line="339" w:lineRule="auto"/>
        <w:rPr>
          <w:sz w:val="20"/>
          <w:szCs w:val="20"/>
          <w:color w:val="auto"/>
        </w:rPr>
      </w:pPr>
      <w:r>
        <w:rPr>
          <w:rFonts w:ascii="Arial" w:cs="Arial" w:eastAsia="Arial" w:hAnsi="Arial"/>
          <w:sz w:val="14"/>
          <w:szCs w:val="14"/>
          <w:color w:val="auto"/>
        </w:rPr>
        <w:t>Cash assumed in connection with FIN 46(R) initial consolidation Cash and cash equivalents,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1187450</wp:posOffset>
            </wp:positionH>
            <wp:positionV relativeFrom="paragraph">
              <wp:posOffset>-37465</wp:posOffset>
            </wp:positionV>
            <wp:extent cx="4889500" cy="2286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4889500" cy="228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2"/>
        </w:trPr>
        <w:tc>
          <w:tcPr>
            <w:tcW w:w="40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168"/>
              <w:spacing w:after="0"/>
              <w:rPr>
                <w:sz w:val="20"/>
                <w:szCs w:val="20"/>
                <w:color w:val="auto"/>
              </w:rPr>
            </w:pPr>
            <w:r>
              <w:rPr>
                <w:rFonts w:ascii="Arial" w:cs="Arial" w:eastAsia="Arial" w:hAnsi="Arial"/>
                <w:sz w:val="14"/>
                <w:szCs w:val="14"/>
                <w:color w:val="auto"/>
              </w:rPr>
              <w:t>344</w:t>
            </w:r>
          </w:p>
        </w:tc>
        <w:tc>
          <w:tcPr>
            <w:tcW w:w="44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148"/>
              <w:spacing w:after="0"/>
              <w:rPr>
                <w:sz w:val="20"/>
                <w:szCs w:val="20"/>
                <w:color w:val="auto"/>
              </w:rPr>
            </w:pPr>
            <w:r>
              <w:rPr>
                <w:rFonts w:ascii="Arial" w:cs="Arial" w:eastAsia="Arial" w:hAnsi="Arial"/>
                <w:sz w:val="14"/>
                <w:szCs w:val="14"/>
                <w:color w:val="auto"/>
              </w:rPr>
              <w:t>288</w:t>
            </w:r>
          </w:p>
        </w:tc>
        <w:tc>
          <w:tcPr>
            <w:tcW w:w="3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148"/>
              <w:spacing w:after="0"/>
              <w:rPr>
                <w:sz w:val="20"/>
                <w:szCs w:val="20"/>
                <w:color w:val="auto"/>
              </w:rPr>
            </w:pPr>
            <w:r>
              <w:rPr>
                <w:rFonts w:ascii="Arial" w:cs="Arial" w:eastAsia="Arial" w:hAnsi="Arial"/>
                <w:sz w:val="14"/>
                <w:szCs w:val="14"/>
                <w:color w:val="auto"/>
              </w:rPr>
              <w:t>242</w:t>
            </w:r>
          </w:p>
        </w:tc>
      </w:tr>
      <w:tr>
        <w:trPr>
          <w:trHeight w:val="577"/>
        </w:trPr>
        <w:tc>
          <w:tcPr>
            <w:tcW w:w="400" w:type="dxa"/>
            <w:vAlign w:val="bottom"/>
          </w:tcPr>
          <w:p>
            <w:pPr>
              <w:spacing w:after="0"/>
              <w:rPr>
                <w:sz w:val="24"/>
                <w:szCs w:val="24"/>
                <w:color w:val="auto"/>
              </w:rPr>
            </w:pPr>
          </w:p>
        </w:tc>
        <w:tc>
          <w:tcPr>
            <w:tcW w:w="720" w:type="dxa"/>
            <w:vAlign w:val="bottom"/>
          </w:tcPr>
          <w:p>
            <w:pPr>
              <w:jc w:val="right"/>
              <w:ind w:right="168"/>
              <w:spacing w:after="0"/>
              <w:rPr>
                <w:sz w:val="20"/>
                <w:szCs w:val="20"/>
                <w:color w:val="auto"/>
              </w:rPr>
            </w:pPr>
            <w:r>
              <w:rPr>
                <w:rFonts w:ascii="Arial" w:cs="Arial" w:eastAsia="Arial" w:hAnsi="Arial"/>
                <w:sz w:val="14"/>
                <w:szCs w:val="14"/>
                <w:color w:val="auto"/>
              </w:rPr>
              <w:t>298</w:t>
            </w:r>
          </w:p>
        </w:tc>
        <w:tc>
          <w:tcPr>
            <w:tcW w:w="440" w:type="dxa"/>
            <w:vAlign w:val="bottom"/>
          </w:tcPr>
          <w:p>
            <w:pPr>
              <w:spacing w:after="0"/>
              <w:rPr>
                <w:sz w:val="24"/>
                <w:szCs w:val="24"/>
                <w:color w:val="auto"/>
              </w:rPr>
            </w:pPr>
          </w:p>
        </w:tc>
        <w:tc>
          <w:tcPr>
            <w:tcW w:w="700" w:type="dxa"/>
            <w:vAlign w:val="bottom"/>
          </w:tcPr>
          <w:p>
            <w:pPr>
              <w:jc w:val="right"/>
              <w:ind w:right="148"/>
              <w:spacing w:after="0"/>
              <w:rPr>
                <w:sz w:val="20"/>
                <w:szCs w:val="20"/>
                <w:color w:val="auto"/>
              </w:rPr>
            </w:pPr>
            <w:r>
              <w:rPr>
                <w:rFonts w:ascii="Arial" w:cs="Arial" w:eastAsia="Arial" w:hAnsi="Arial"/>
                <w:sz w:val="14"/>
                <w:szCs w:val="14"/>
                <w:color w:val="auto"/>
              </w:rPr>
              <w:t>301</w:t>
            </w:r>
          </w:p>
        </w:tc>
        <w:tc>
          <w:tcPr>
            <w:tcW w:w="360" w:type="dxa"/>
            <w:vAlign w:val="bottom"/>
          </w:tcPr>
          <w:p>
            <w:pPr>
              <w:spacing w:after="0"/>
              <w:rPr>
                <w:sz w:val="24"/>
                <w:szCs w:val="24"/>
                <w:color w:val="auto"/>
              </w:rPr>
            </w:pPr>
          </w:p>
        </w:tc>
        <w:tc>
          <w:tcPr>
            <w:tcW w:w="740" w:type="dxa"/>
            <w:vAlign w:val="bottom"/>
          </w:tcPr>
          <w:p>
            <w:pPr>
              <w:jc w:val="right"/>
              <w:ind w:right="148"/>
              <w:spacing w:after="0"/>
              <w:rPr>
                <w:sz w:val="20"/>
                <w:szCs w:val="20"/>
                <w:color w:val="auto"/>
              </w:rPr>
            </w:pPr>
            <w:r>
              <w:rPr>
                <w:rFonts w:ascii="Arial" w:cs="Arial" w:eastAsia="Arial" w:hAnsi="Arial"/>
                <w:sz w:val="14"/>
                <w:szCs w:val="14"/>
                <w:color w:val="auto"/>
              </w:rPr>
              <w:t>291</w:t>
            </w:r>
          </w:p>
        </w:tc>
      </w:tr>
      <w:tr>
        <w:trPr>
          <w:trHeight w:val="216"/>
        </w:trPr>
        <w:tc>
          <w:tcPr>
            <w:tcW w:w="400" w:type="dxa"/>
            <w:vAlign w:val="bottom"/>
          </w:tcPr>
          <w:p>
            <w:pPr>
              <w:spacing w:after="0"/>
              <w:rPr>
                <w:sz w:val="18"/>
                <w:szCs w:val="18"/>
                <w:color w:val="auto"/>
              </w:rPr>
            </w:pPr>
          </w:p>
        </w:tc>
        <w:tc>
          <w:tcPr>
            <w:tcW w:w="720" w:type="dxa"/>
            <w:vAlign w:val="bottom"/>
          </w:tcPr>
          <w:p>
            <w:pPr>
              <w:jc w:val="right"/>
              <w:ind w:right="168"/>
              <w:spacing w:after="0"/>
              <w:rPr>
                <w:sz w:val="20"/>
                <w:szCs w:val="20"/>
                <w:color w:val="auto"/>
              </w:rPr>
            </w:pPr>
            <w:r>
              <w:rPr>
                <w:rFonts w:ascii="Arial" w:cs="Arial" w:eastAsia="Arial" w:hAnsi="Arial"/>
                <w:sz w:val="14"/>
                <w:szCs w:val="14"/>
                <w:color w:val="auto"/>
              </w:rPr>
              <w:t>113</w:t>
            </w:r>
          </w:p>
        </w:tc>
        <w:tc>
          <w:tcPr>
            <w:tcW w:w="440" w:type="dxa"/>
            <w:vAlign w:val="bottom"/>
          </w:tcPr>
          <w:p>
            <w:pPr>
              <w:spacing w:after="0"/>
              <w:rPr>
                <w:sz w:val="18"/>
                <w:szCs w:val="18"/>
                <w:color w:val="auto"/>
              </w:rPr>
            </w:pPr>
          </w:p>
        </w:tc>
        <w:tc>
          <w:tcPr>
            <w:tcW w:w="700" w:type="dxa"/>
            <w:vAlign w:val="bottom"/>
          </w:tcPr>
          <w:p>
            <w:pPr>
              <w:jc w:val="right"/>
              <w:ind w:right="88"/>
              <w:spacing w:after="0"/>
              <w:rPr>
                <w:sz w:val="20"/>
                <w:szCs w:val="20"/>
                <w:color w:val="auto"/>
              </w:rPr>
            </w:pPr>
            <w:r>
              <w:rPr>
                <w:rFonts w:ascii="Arial" w:cs="Arial" w:eastAsia="Arial" w:hAnsi="Arial"/>
                <w:sz w:val="14"/>
                <w:szCs w:val="14"/>
                <w:color w:val="auto"/>
              </w:rPr>
              <w:t>(40 )</w:t>
            </w:r>
          </w:p>
        </w:tc>
        <w:tc>
          <w:tcPr>
            <w:tcW w:w="360" w:type="dxa"/>
            <w:vAlign w:val="bottom"/>
          </w:tcPr>
          <w:p>
            <w:pPr>
              <w:spacing w:after="0"/>
              <w:rPr>
                <w:sz w:val="18"/>
                <w:szCs w:val="18"/>
                <w:color w:val="auto"/>
              </w:rPr>
            </w:pPr>
          </w:p>
        </w:tc>
        <w:tc>
          <w:tcPr>
            <w:tcW w:w="740" w:type="dxa"/>
            <w:vAlign w:val="bottom"/>
          </w:tcPr>
          <w:p>
            <w:pPr>
              <w:jc w:val="right"/>
              <w:ind w:right="68"/>
              <w:spacing w:after="0"/>
              <w:rPr>
                <w:sz w:val="20"/>
                <w:szCs w:val="20"/>
                <w:color w:val="auto"/>
              </w:rPr>
            </w:pPr>
            <w:r>
              <w:rPr>
                <w:rFonts w:ascii="Arial" w:cs="Arial" w:eastAsia="Arial" w:hAnsi="Arial"/>
                <w:sz w:val="14"/>
                <w:szCs w:val="14"/>
                <w:color w:val="auto"/>
              </w:rPr>
              <w:t>(130 )</w:t>
            </w:r>
          </w:p>
        </w:tc>
      </w:tr>
      <w:tr>
        <w:trPr>
          <w:trHeight w:val="216"/>
        </w:trPr>
        <w:tc>
          <w:tcPr>
            <w:tcW w:w="400" w:type="dxa"/>
            <w:vAlign w:val="bottom"/>
          </w:tcPr>
          <w:p>
            <w:pPr>
              <w:spacing w:after="0"/>
              <w:rPr>
                <w:sz w:val="18"/>
                <w:szCs w:val="18"/>
                <w:color w:val="auto"/>
              </w:rPr>
            </w:pPr>
          </w:p>
        </w:tc>
        <w:tc>
          <w:tcPr>
            <w:tcW w:w="72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8"/>
                <w:szCs w:val="18"/>
                <w:color w:val="auto"/>
              </w:rPr>
            </w:pPr>
          </w:p>
        </w:tc>
        <w:tc>
          <w:tcPr>
            <w:tcW w:w="700" w:type="dxa"/>
            <w:vAlign w:val="bottom"/>
          </w:tcPr>
          <w:p>
            <w:pPr>
              <w:jc w:val="right"/>
              <w:ind w:right="148"/>
              <w:spacing w:after="0"/>
              <w:rPr>
                <w:sz w:val="20"/>
                <w:szCs w:val="20"/>
                <w:color w:val="auto"/>
              </w:rPr>
            </w:pPr>
            <w:r>
              <w:rPr>
                <w:rFonts w:ascii="Arial" w:cs="Arial" w:eastAsia="Arial" w:hAnsi="Arial"/>
                <w:sz w:val="14"/>
                <w:szCs w:val="14"/>
                <w:color w:val="auto"/>
              </w:rPr>
              <w:t>55</w:t>
            </w:r>
          </w:p>
        </w:tc>
        <w:tc>
          <w:tcPr>
            <w:tcW w:w="360" w:type="dxa"/>
            <w:vAlign w:val="bottom"/>
          </w:tcPr>
          <w:p>
            <w:pPr>
              <w:spacing w:after="0"/>
              <w:rPr>
                <w:sz w:val="18"/>
                <w:szCs w:val="18"/>
                <w:color w:val="auto"/>
              </w:rPr>
            </w:pPr>
          </w:p>
        </w:tc>
        <w:tc>
          <w:tcPr>
            <w:tcW w:w="740" w:type="dxa"/>
            <w:vAlign w:val="bottom"/>
          </w:tcPr>
          <w:p>
            <w:pPr>
              <w:jc w:val="right"/>
              <w:ind w:right="148"/>
              <w:spacing w:after="0"/>
              <w:rPr>
                <w:sz w:val="20"/>
                <w:szCs w:val="20"/>
                <w:color w:val="auto"/>
              </w:rPr>
            </w:pPr>
            <w:r>
              <w:rPr>
                <w:rFonts w:ascii="Arial" w:cs="Arial" w:eastAsia="Arial" w:hAnsi="Arial"/>
                <w:sz w:val="14"/>
                <w:szCs w:val="14"/>
                <w:color w:val="auto"/>
              </w:rPr>
              <w:t>60</w:t>
            </w:r>
          </w:p>
        </w:tc>
      </w:tr>
      <w:tr>
        <w:trPr>
          <w:trHeight w:val="216"/>
        </w:trPr>
        <w:tc>
          <w:tcPr>
            <w:tcW w:w="400" w:type="dxa"/>
            <w:vAlign w:val="bottom"/>
          </w:tcPr>
          <w:p>
            <w:pPr>
              <w:spacing w:after="0"/>
              <w:rPr>
                <w:sz w:val="18"/>
                <w:szCs w:val="18"/>
                <w:color w:val="auto"/>
              </w:rPr>
            </w:pPr>
          </w:p>
        </w:tc>
        <w:tc>
          <w:tcPr>
            <w:tcW w:w="720" w:type="dxa"/>
            <w:vAlign w:val="bottom"/>
          </w:tcPr>
          <w:p>
            <w:pPr>
              <w:jc w:val="right"/>
              <w:ind w:right="108"/>
              <w:spacing w:after="0"/>
              <w:rPr>
                <w:sz w:val="20"/>
                <w:szCs w:val="20"/>
                <w:color w:val="auto"/>
              </w:rPr>
            </w:pPr>
            <w:r>
              <w:rPr>
                <w:rFonts w:ascii="Arial" w:cs="Arial" w:eastAsia="Arial" w:hAnsi="Arial"/>
                <w:sz w:val="14"/>
                <w:szCs w:val="14"/>
                <w:color w:val="auto"/>
              </w:rPr>
              <w:t>(3 )</w:t>
            </w:r>
          </w:p>
        </w:tc>
        <w:tc>
          <w:tcPr>
            <w:tcW w:w="440" w:type="dxa"/>
            <w:vAlign w:val="bottom"/>
          </w:tcPr>
          <w:p>
            <w:pPr>
              <w:spacing w:after="0"/>
              <w:rPr>
                <w:sz w:val="18"/>
                <w:szCs w:val="18"/>
                <w:color w:val="auto"/>
              </w:rPr>
            </w:pPr>
          </w:p>
        </w:tc>
        <w:tc>
          <w:tcPr>
            <w:tcW w:w="700" w:type="dxa"/>
            <w:vAlign w:val="bottom"/>
          </w:tcPr>
          <w:p>
            <w:pPr>
              <w:jc w:val="right"/>
              <w:ind w:right="148"/>
              <w:spacing w:after="0"/>
              <w:rPr>
                <w:sz w:val="20"/>
                <w:szCs w:val="20"/>
                <w:color w:val="auto"/>
              </w:rPr>
            </w:pPr>
            <w:r>
              <w:rPr>
                <w:rFonts w:ascii="Arial" w:cs="Arial" w:eastAsia="Arial" w:hAnsi="Arial"/>
                <w:sz w:val="14"/>
                <w:szCs w:val="14"/>
                <w:color w:val="auto"/>
              </w:rPr>
              <w:t>12</w:t>
            </w:r>
          </w:p>
        </w:tc>
        <w:tc>
          <w:tcPr>
            <w:tcW w:w="360" w:type="dxa"/>
            <w:vAlign w:val="bottom"/>
          </w:tcPr>
          <w:p>
            <w:pPr>
              <w:spacing w:after="0"/>
              <w:rPr>
                <w:sz w:val="18"/>
                <w:szCs w:val="18"/>
                <w:color w:val="auto"/>
              </w:rPr>
            </w:pPr>
          </w:p>
        </w:tc>
        <w:tc>
          <w:tcPr>
            <w:tcW w:w="740" w:type="dxa"/>
            <w:vAlign w:val="bottom"/>
          </w:tcPr>
          <w:p>
            <w:pPr>
              <w:jc w:val="right"/>
              <w:ind w:right="148"/>
              <w:spacing w:after="0"/>
              <w:rPr>
                <w:sz w:val="20"/>
                <w:szCs w:val="20"/>
                <w:color w:val="auto"/>
              </w:rPr>
            </w:pPr>
            <w:r>
              <w:rPr>
                <w:rFonts w:ascii="Arial" w:cs="Arial" w:eastAsia="Arial" w:hAnsi="Arial"/>
                <w:sz w:val="14"/>
                <w:szCs w:val="14"/>
                <w:color w:val="auto"/>
              </w:rPr>
              <w:t>3</w:t>
            </w:r>
          </w:p>
        </w:tc>
      </w:tr>
      <w:tr>
        <w:trPr>
          <w:trHeight w:val="216"/>
        </w:trPr>
        <w:tc>
          <w:tcPr>
            <w:tcW w:w="400" w:type="dxa"/>
            <w:vAlign w:val="bottom"/>
          </w:tcPr>
          <w:p>
            <w:pPr>
              <w:spacing w:after="0"/>
              <w:rPr>
                <w:sz w:val="18"/>
                <w:szCs w:val="18"/>
                <w:color w:val="auto"/>
              </w:rPr>
            </w:pPr>
          </w:p>
        </w:tc>
        <w:tc>
          <w:tcPr>
            <w:tcW w:w="720" w:type="dxa"/>
            <w:vAlign w:val="bottom"/>
          </w:tcPr>
          <w:p>
            <w:pPr>
              <w:jc w:val="right"/>
              <w:ind w:right="168"/>
              <w:spacing w:after="0"/>
              <w:rPr>
                <w:sz w:val="20"/>
                <w:szCs w:val="20"/>
                <w:color w:val="auto"/>
              </w:rPr>
            </w:pPr>
            <w:r>
              <w:rPr>
                <w:rFonts w:ascii="Arial" w:cs="Arial" w:eastAsia="Arial" w:hAnsi="Arial"/>
                <w:sz w:val="14"/>
                <w:szCs w:val="14"/>
                <w:color w:val="auto"/>
              </w:rPr>
              <w:t>19</w:t>
            </w:r>
          </w:p>
        </w:tc>
        <w:tc>
          <w:tcPr>
            <w:tcW w:w="440" w:type="dxa"/>
            <w:vAlign w:val="bottom"/>
          </w:tcPr>
          <w:p>
            <w:pPr>
              <w:spacing w:after="0"/>
              <w:rPr>
                <w:sz w:val="18"/>
                <w:szCs w:val="18"/>
                <w:color w:val="auto"/>
              </w:rPr>
            </w:pPr>
          </w:p>
        </w:tc>
        <w:tc>
          <w:tcPr>
            <w:tcW w:w="700" w:type="dxa"/>
            <w:vAlign w:val="bottom"/>
          </w:tcPr>
          <w:p>
            <w:pPr>
              <w:jc w:val="right"/>
              <w:ind w:right="148"/>
              <w:spacing w:after="0"/>
              <w:rPr>
                <w:sz w:val="20"/>
                <w:szCs w:val="20"/>
                <w:color w:val="auto"/>
              </w:rPr>
            </w:pPr>
            <w:r>
              <w:rPr>
                <w:rFonts w:ascii="Arial" w:cs="Arial" w:eastAsia="Arial" w:hAnsi="Arial"/>
                <w:sz w:val="14"/>
                <w:szCs w:val="14"/>
                <w:color w:val="auto"/>
              </w:rPr>
              <w:t>5</w:t>
            </w:r>
          </w:p>
        </w:tc>
        <w:tc>
          <w:tcPr>
            <w:tcW w:w="360" w:type="dxa"/>
            <w:vAlign w:val="bottom"/>
          </w:tcPr>
          <w:p>
            <w:pPr>
              <w:spacing w:after="0"/>
              <w:rPr>
                <w:sz w:val="18"/>
                <w:szCs w:val="18"/>
                <w:color w:val="auto"/>
              </w:rPr>
            </w:pPr>
          </w:p>
        </w:tc>
        <w:tc>
          <w:tcPr>
            <w:tcW w:w="740" w:type="dxa"/>
            <w:vAlign w:val="bottom"/>
          </w:tcPr>
          <w:p>
            <w:pPr>
              <w:jc w:val="right"/>
              <w:ind w:right="148"/>
              <w:spacing w:after="0"/>
              <w:rPr>
                <w:sz w:val="20"/>
                <w:szCs w:val="20"/>
                <w:color w:val="auto"/>
              </w:rPr>
            </w:pPr>
            <w:r>
              <w:rPr>
                <w:rFonts w:ascii="Arial" w:cs="Arial" w:eastAsia="Arial" w:hAnsi="Arial"/>
                <w:sz w:val="14"/>
                <w:szCs w:val="14"/>
                <w:color w:val="auto"/>
              </w:rPr>
              <w:t>9</w:t>
            </w:r>
          </w:p>
        </w:tc>
      </w:tr>
      <w:tr>
        <w:trPr>
          <w:trHeight w:val="216"/>
        </w:trPr>
        <w:tc>
          <w:tcPr>
            <w:tcW w:w="400" w:type="dxa"/>
            <w:vAlign w:val="bottom"/>
          </w:tcPr>
          <w:p>
            <w:pPr>
              <w:spacing w:after="0"/>
              <w:rPr>
                <w:sz w:val="18"/>
                <w:szCs w:val="18"/>
                <w:color w:val="auto"/>
              </w:rPr>
            </w:pPr>
          </w:p>
        </w:tc>
        <w:tc>
          <w:tcPr>
            <w:tcW w:w="720" w:type="dxa"/>
            <w:vAlign w:val="bottom"/>
          </w:tcPr>
          <w:p>
            <w:pPr>
              <w:jc w:val="right"/>
              <w:ind w:right="108"/>
              <w:spacing w:after="0"/>
              <w:rPr>
                <w:sz w:val="20"/>
                <w:szCs w:val="20"/>
                <w:color w:val="auto"/>
              </w:rPr>
            </w:pPr>
            <w:r>
              <w:rPr>
                <w:rFonts w:ascii="Arial" w:cs="Arial" w:eastAsia="Arial" w:hAnsi="Arial"/>
                <w:sz w:val="14"/>
                <w:szCs w:val="14"/>
                <w:color w:val="auto"/>
              </w:rPr>
              <w:t>(23 )</w:t>
            </w:r>
          </w:p>
        </w:tc>
        <w:tc>
          <w:tcPr>
            <w:tcW w:w="440" w:type="dxa"/>
            <w:vAlign w:val="bottom"/>
          </w:tcPr>
          <w:p>
            <w:pPr>
              <w:spacing w:after="0"/>
              <w:rPr>
                <w:sz w:val="18"/>
                <w:szCs w:val="18"/>
                <w:color w:val="auto"/>
              </w:rPr>
            </w:pPr>
          </w:p>
        </w:tc>
        <w:tc>
          <w:tcPr>
            <w:tcW w:w="700" w:type="dxa"/>
            <w:vAlign w:val="bottom"/>
          </w:tcPr>
          <w:p>
            <w:pPr>
              <w:jc w:val="right"/>
              <w:ind w:right="88"/>
              <w:spacing w:after="0"/>
              <w:rPr>
                <w:sz w:val="20"/>
                <w:szCs w:val="20"/>
                <w:color w:val="auto"/>
              </w:rPr>
            </w:pPr>
            <w:r>
              <w:rPr>
                <w:rFonts w:ascii="Arial" w:cs="Arial" w:eastAsia="Arial" w:hAnsi="Arial"/>
                <w:sz w:val="14"/>
                <w:szCs w:val="14"/>
                <w:color w:val="auto"/>
              </w:rPr>
              <w:t>(5 )</w:t>
            </w:r>
          </w:p>
        </w:tc>
        <w:tc>
          <w:tcPr>
            <w:tcW w:w="360" w:type="dxa"/>
            <w:vAlign w:val="bottom"/>
          </w:tcPr>
          <w:p>
            <w:pPr>
              <w:spacing w:after="0"/>
              <w:rPr>
                <w:sz w:val="18"/>
                <w:szCs w:val="18"/>
                <w:color w:val="auto"/>
              </w:rPr>
            </w:pPr>
          </w:p>
        </w:tc>
        <w:tc>
          <w:tcPr>
            <w:tcW w:w="740" w:type="dxa"/>
            <w:vAlign w:val="bottom"/>
          </w:tcPr>
          <w:p>
            <w:pPr>
              <w:jc w:val="right"/>
              <w:ind w:right="68"/>
              <w:spacing w:after="0"/>
              <w:rPr>
                <w:sz w:val="20"/>
                <w:szCs w:val="20"/>
                <w:color w:val="auto"/>
              </w:rPr>
            </w:pPr>
            <w:r>
              <w:rPr>
                <w:rFonts w:ascii="Arial" w:cs="Arial" w:eastAsia="Arial" w:hAnsi="Arial"/>
                <w:sz w:val="14"/>
                <w:szCs w:val="14"/>
                <w:color w:val="auto"/>
              </w:rPr>
              <w:t>(16 )</w:t>
            </w:r>
          </w:p>
        </w:tc>
      </w:tr>
      <w:tr>
        <w:trPr>
          <w:trHeight w:val="432"/>
        </w:trPr>
        <w:tc>
          <w:tcPr>
            <w:tcW w:w="400" w:type="dxa"/>
            <w:vAlign w:val="bottom"/>
          </w:tcPr>
          <w:p>
            <w:pPr>
              <w:spacing w:after="0"/>
              <w:rPr>
                <w:sz w:val="24"/>
                <w:szCs w:val="24"/>
                <w:color w:val="auto"/>
              </w:rPr>
            </w:pPr>
          </w:p>
        </w:tc>
        <w:tc>
          <w:tcPr>
            <w:tcW w:w="720" w:type="dxa"/>
            <w:vAlign w:val="bottom"/>
          </w:tcPr>
          <w:p>
            <w:pPr>
              <w:jc w:val="right"/>
              <w:ind w:right="168"/>
              <w:spacing w:after="0"/>
              <w:rPr>
                <w:sz w:val="20"/>
                <w:szCs w:val="20"/>
                <w:color w:val="auto"/>
              </w:rPr>
            </w:pPr>
            <w:r>
              <w:rPr>
                <w:rFonts w:ascii="Arial" w:cs="Arial" w:eastAsia="Arial" w:hAnsi="Arial"/>
                <w:sz w:val="14"/>
                <w:szCs w:val="14"/>
                <w:color w:val="auto"/>
              </w:rPr>
              <w:t>1</w:t>
            </w:r>
          </w:p>
        </w:tc>
        <w:tc>
          <w:tcPr>
            <w:tcW w:w="440" w:type="dxa"/>
            <w:vAlign w:val="bottom"/>
          </w:tcPr>
          <w:p>
            <w:pPr>
              <w:spacing w:after="0"/>
              <w:rPr>
                <w:sz w:val="24"/>
                <w:szCs w:val="24"/>
                <w:color w:val="auto"/>
              </w:rPr>
            </w:pPr>
          </w:p>
        </w:tc>
        <w:tc>
          <w:tcPr>
            <w:tcW w:w="700" w:type="dxa"/>
            <w:vAlign w:val="bottom"/>
          </w:tcPr>
          <w:p>
            <w:pPr>
              <w:jc w:val="right"/>
              <w:ind w:right="88"/>
              <w:spacing w:after="0"/>
              <w:rPr>
                <w:sz w:val="20"/>
                <w:szCs w:val="20"/>
                <w:color w:val="auto"/>
              </w:rPr>
            </w:pPr>
            <w:r>
              <w:rPr>
                <w:rFonts w:ascii="Arial" w:cs="Arial" w:eastAsia="Arial" w:hAnsi="Arial"/>
                <w:sz w:val="14"/>
                <w:szCs w:val="14"/>
                <w:color w:val="auto"/>
              </w:rPr>
              <w:t>(43 )</w:t>
            </w:r>
          </w:p>
        </w:tc>
        <w:tc>
          <w:tcPr>
            <w:tcW w:w="360" w:type="dxa"/>
            <w:vAlign w:val="bottom"/>
          </w:tcPr>
          <w:p>
            <w:pPr>
              <w:spacing w:after="0"/>
              <w:rPr>
                <w:sz w:val="24"/>
                <w:szCs w:val="24"/>
                <w:color w:val="auto"/>
              </w:rPr>
            </w:pPr>
          </w:p>
        </w:tc>
        <w:tc>
          <w:tcPr>
            <w:tcW w:w="740" w:type="dxa"/>
            <w:vAlign w:val="bottom"/>
          </w:tcPr>
          <w:p>
            <w:pPr>
              <w:jc w:val="right"/>
              <w:ind w:right="148"/>
              <w:spacing w:after="0"/>
              <w:rPr>
                <w:sz w:val="20"/>
                <w:szCs w:val="20"/>
                <w:color w:val="auto"/>
              </w:rPr>
            </w:pPr>
            <w:r>
              <w:rPr>
                <w:rFonts w:ascii="Arial" w:cs="Arial" w:eastAsia="Arial" w:hAnsi="Arial"/>
                <w:sz w:val="14"/>
                <w:szCs w:val="14"/>
                <w:color w:val="auto"/>
              </w:rPr>
              <w:t>39</w:t>
            </w:r>
          </w:p>
        </w:tc>
      </w:tr>
      <w:tr>
        <w:trPr>
          <w:trHeight w:val="216"/>
        </w:trPr>
        <w:tc>
          <w:tcPr>
            <w:tcW w:w="400" w:type="dxa"/>
            <w:vAlign w:val="bottom"/>
          </w:tcPr>
          <w:p>
            <w:pPr>
              <w:spacing w:after="0"/>
              <w:rPr>
                <w:sz w:val="18"/>
                <w:szCs w:val="18"/>
                <w:color w:val="auto"/>
              </w:rPr>
            </w:pPr>
          </w:p>
        </w:tc>
        <w:tc>
          <w:tcPr>
            <w:tcW w:w="720" w:type="dxa"/>
            <w:vAlign w:val="bottom"/>
          </w:tcPr>
          <w:p>
            <w:pPr>
              <w:jc w:val="right"/>
              <w:ind w:right="168"/>
              <w:spacing w:after="0"/>
              <w:rPr>
                <w:sz w:val="20"/>
                <w:szCs w:val="20"/>
                <w:color w:val="auto"/>
              </w:rPr>
            </w:pPr>
            <w:r>
              <w:rPr>
                <w:rFonts w:ascii="Arial" w:cs="Arial" w:eastAsia="Arial" w:hAnsi="Arial"/>
                <w:sz w:val="14"/>
                <w:szCs w:val="14"/>
                <w:color w:val="auto"/>
              </w:rPr>
              <w:t>1</w:t>
            </w:r>
          </w:p>
        </w:tc>
        <w:tc>
          <w:tcPr>
            <w:tcW w:w="440" w:type="dxa"/>
            <w:vAlign w:val="bottom"/>
          </w:tcPr>
          <w:p>
            <w:pPr>
              <w:spacing w:after="0"/>
              <w:rPr>
                <w:sz w:val="18"/>
                <w:szCs w:val="18"/>
                <w:color w:val="auto"/>
              </w:rPr>
            </w:pPr>
          </w:p>
        </w:tc>
        <w:tc>
          <w:tcPr>
            <w:tcW w:w="700" w:type="dxa"/>
            <w:vAlign w:val="bottom"/>
          </w:tcPr>
          <w:p>
            <w:pPr>
              <w:jc w:val="right"/>
              <w:ind w:right="88"/>
              <w:spacing w:after="0"/>
              <w:rPr>
                <w:sz w:val="20"/>
                <w:szCs w:val="20"/>
                <w:color w:val="auto"/>
              </w:rPr>
            </w:pPr>
            <w:r>
              <w:rPr>
                <w:rFonts w:ascii="Arial" w:cs="Arial" w:eastAsia="Arial" w:hAnsi="Arial"/>
                <w:sz w:val="14"/>
                <w:szCs w:val="14"/>
                <w:color w:val="auto"/>
              </w:rPr>
              <w:t>(1 )</w:t>
            </w:r>
          </w:p>
        </w:tc>
        <w:tc>
          <w:tcPr>
            <w:tcW w:w="360" w:type="dxa"/>
            <w:vAlign w:val="bottom"/>
          </w:tcPr>
          <w:p>
            <w:pPr>
              <w:spacing w:after="0"/>
              <w:rPr>
                <w:sz w:val="18"/>
                <w:szCs w:val="18"/>
                <w:color w:val="auto"/>
              </w:rPr>
            </w:pPr>
          </w:p>
        </w:tc>
        <w:tc>
          <w:tcPr>
            <w:tcW w:w="740" w:type="dxa"/>
            <w:vAlign w:val="bottom"/>
          </w:tcPr>
          <w:p>
            <w:pPr>
              <w:jc w:val="right"/>
              <w:ind w:right="148"/>
              <w:spacing w:after="0"/>
              <w:rPr>
                <w:sz w:val="20"/>
                <w:szCs w:val="20"/>
                <w:color w:val="auto"/>
              </w:rPr>
            </w:pPr>
            <w:r>
              <w:rPr>
                <w:rFonts w:ascii="Arial" w:cs="Arial" w:eastAsia="Arial" w:hAnsi="Arial"/>
                <w:sz w:val="14"/>
                <w:szCs w:val="14"/>
                <w:color w:val="auto"/>
              </w:rPr>
              <w:t>2</w:t>
            </w:r>
          </w:p>
        </w:tc>
      </w:tr>
      <w:tr>
        <w:trPr>
          <w:trHeight w:val="216"/>
        </w:trPr>
        <w:tc>
          <w:tcPr>
            <w:tcW w:w="400" w:type="dxa"/>
            <w:vAlign w:val="bottom"/>
          </w:tcPr>
          <w:p>
            <w:pPr>
              <w:spacing w:after="0"/>
              <w:rPr>
                <w:sz w:val="18"/>
                <w:szCs w:val="18"/>
                <w:color w:val="auto"/>
              </w:rPr>
            </w:pPr>
          </w:p>
        </w:tc>
        <w:tc>
          <w:tcPr>
            <w:tcW w:w="720" w:type="dxa"/>
            <w:vAlign w:val="bottom"/>
          </w:tcPr>
          <w:p>
            <w:pPr>
              <w:jc w:val="right"/>
              <w:ind w:right="168"/>
              <w:spacing w:after="0"/>
              <w:rPr>
                <w:sz w:val="20"/>
                <w:szCs w:val="20"/>
                <w:color w:val="auto"/>
              </w:rPr>
            </w:pPr>
            <w:r>
              <w:rPr>
                <w:rFonts w:ascii="Arial" w:cs="Arial" w:eastAsia="Arial" w:hAnsi="Arial"/>
                <w:sz w:val="14"/>
                <w:szCs w:val="14"/>
                <w:color w:val="auto"/>
              </w:rPr>
              <w:t>18</w:t>
            </w:r>
          </w:p>
        </w:tc>
        <w:tc>
          <w:tcPr>
            <w:tcW w:w="440" w:type="dxa"/>
            <w:vAlign w:val="bottom"/>
          </w:tcPr>
          <w:p>
            <w:pPr>
              <w:spacing w:after="0"/>
              <w:rPr>
                <w:sz w:val="18"/>
                <w:szCs w:val="18"/>
                <w:color w:val="auto"/>
              </w:rPr>
            </w:pPr>
          </w:p>
        </w:tc>
        <w:tc>
          <w:tcPr>
            <w:tcW w:w="700" w:type="dxa"/>
            <w:vAlign w:val="bottom"/>
          </w:tcPr>
          <w:p>
            <w:pPr>
              <w:jc w:val="right"/>
              <w:ind w:right="148"/>
              <w:spacing w:after="0"/>
              <w:rPr>
                <w:sz w:val="20"/>
                <w:szCs w:val="20"/>
                <w:color w:val="auto"/>
              </w:rPr>
            </w:pPr>
            <w:r>
              <w:rPr>
                <w:rFonts w:ascii="Arial" w:cs="Arial" w:eastAsia="Arial" w:hAnsi="Arial"/>
                <w:sz w:val="14"/>
                <w:szCs w:val="14"/>
                <w:color w:val="auto"/>
              </w:rPr>
              <w:t>7</w:t>
            </w:r>
          </w:p>
        </w:tc>
        <w:tc>
          <w:tcPr>
            <w:tcW w:w="360" w:type="dxa"/>
            <w:vAlign w:val="bottom"/>
          </w:tcPr>
          <w:p>
            <w:pPr>
              <w:spacing w:after="0"/>
              <w:rPr>
                <w:sz w:val="18"/>
                <w:szCs w:val="18"/>
                <w:color w:val="auto"/>
              </w:rPr>
            </w:pPr>
          </w:p>
        </w:tc>
        <w:tc>
          <w:tcPr>
            <w:tcW w:w="740" w:type="dxa"/>
            <w:vAlign w:val="bottom"/>
          </w:tcPr>
          <w:p>
            <w:pPr>
              <w:jc w:val="right"/>
              <w:ind w:right="68"/>
              <w:spacing w:after="0"/>
              <w:rPr>
                <w:sz w:val="20"/>
                <w:szCs w:val="20"/>
                <w:color w:val="auto"/>
              </w:rPr>
            </w:pPr>
            <w:r>
              <w:rPr>
                <w:rFonts w:ascii="Arial" w:cs="Arial" w:eastAsia="Arial" w:hAnsi="Arial"/>
                <w:sz w:val="14"/>
                <w:szCs w:val="14"/>
                <w:color w:val="auto"/>
              </w:rPr>
              <w:t>(12 )</w:t>
            </w:r>
          </w:p>
        </w:tc>
      </w:tr>
      <w:tr>
        <w:trPr>
          <w:trHeight w:val="216"/>
        </w:trPr>
        <w:tc>
          <w:tcPr>
            <w:tcW w:w="400" w:type="dxa"/>
            <w:vAlign w:val="bottom"/>
          </w:tcPr>
          <w:p>
            <w:pPr>
              <w:spacing w:after="0"/>
              <w:rPr>
                <w:sz w:val="18"/>
                <w:szCs w:val="18"/>
                <w:color w:val="auto"/>
              </w:rPr>
            </w:pPr>
          </w:p>
        </w:tc>
        <w:tc>
          <w:tcPr>
            <w:tcW w:w="720" w:type="dxa"/>
            <w:vAlign w:val="bottom"/>
          </w:tcPr>
          <w:p>
            <w:pPr>
              <w:jc w:val="right"/>
              <w:ind w:right="168"/>
              <w:spacing w:after="0"/>
              <w:rPr>
                <w:sz w:val="20"/>
                <w:szCs w:val="20"/>
                <w:color w:val="auto"/>
              </w:rPr>
            </w:pPr>
            <w:r>
              <w:rPr>
                <w:rFonts w:ascii="Arial" w:cs="Arial" w:eastAsia="Arial" w:hAnsi="Arial"/>
                <w:sz w:val="14"/>
                <w:szCs w:val="14"/>
                <w:color w:val="auto"/>
              </w:rPr>
              <w:t>51</w:t>
            </w:r>
          </w:p>
        </w:tc>
        <w:tc>
          <w:tcPr>
            <w:tcW w:w="440" w:type="dxa"/>
            <w:vAlign w:val="bottom"/>
          </w:tcPr>
          <w:p>
            <w:pPr>
              <w:spacing w:after="0"/>
              <w:rPr>
                <w:sz w:val="18"/>
                <w:szCs w:val="18"/>
                <w:color w:val="auto"/>
              </w:rPr>
            </w:pPr>
          </w:p>
        </w:tc>
        <w:tc>
          <w:tcPr>
            <w:tcW w:w="700" w:type="dxa"/>
            <w:vAlign w:val="bottom"/>
          </w:tcPr>
          <w:p>
            <w:pPr>
              <w:jc w:val="right"/>
              <w:ind w:right="88"/>
              <w:spacing w:after="0"/>
              <w:rPr>
                <w:sz w:val="20"/>
                <w:szCs w:val="20"/>
                <w:color w:val="auto"/>
              </w:rPr>
            </w:pPr>
            <w:r>
              <w:rPr>
                <w:rFonts w:ascii="Arial" w:cs="Arial" w:eastAsia="Arial" w:hAnsi="Arial"/>
                <w:sz w:val="14"/>
                <w:szCs w:val="14"/>
                <w:color w:val="auto"/>
              </w:rPr>
              <w:t>(16 )</w:t>
            </w:r>
          </w:p>
        </w:tc>
        <w:tc>
          <w:tcPr>
            <w:tcW w:w="360" w:type="dxa"/>
            <w:vAlign w:val="bottom"/>
          </w:tcPr>
          <w:p>
            <w:pPr>
              <w:spacing w:after="0"/>
              <w:rPr>
                <w:sz w:val="18"/>
                <w:szCs w:val="18"/>
                <w:color w:val="auto"/>
              </w:rPr>
            </w:pPr>
          </w:p>
        </w:tc>
        <w:tc>
          <w:tcPr>
            <w:tcW w:w="740" w:type="dxa"/>
            <w:vAlign w:val="bottom"/>
          </w:tcPr>
          <w:p>
            <w:pPr>
              <w:jc w:val="right"/>
              <w:ind w:right="68"/>
              <w:spacing w:after="0"/>
              <w:rPr>
                <w:sz w:val="20"/>
                <w:szCs w:val="20"/>
                <w:color w:val="auto"/>
              </w:rPr>
            </w:pPr>
            <w:r>
              <w:rPr>
                <w:rFonts w:ascii="Arial" w:cs="Arial" w:eastAsia="Arial" w:hAnsi="Arial"/>
                <w:sz w:val="14"/>
                <w:szCs w:val="14"/>
                <w:color w:val="auto"/>
              </w:rPr>
              <w:t>(19 )</w:t>
            </w:r>
          </w:p>
        </w:tc>
      </w:tr>
      <w:tr>
        <w:trPr>
          <w:trHeight w:val="216"/>
        </w:trPr>
        <w:tc>
          <w:tcPr>
            <w:tcW w:w="400" w:type="dxa"/>
            <w:vAlign w:val="bottom"/>
          </w:tcPr>
          <w:p>
            <w:pPr>
              <w:spacing w:after="0"/>
              <w:rPr>
                <w:sz w:val="18"/>
                <w:szCs w:val="18"/>
                <w:color w:val="auto"/>
              </w:rPr>
            </w:pPr>
          </w:p>
        </w:tc>
        <w:tc>
          <w:tcPr>
            <w:tcW w:w="720" w:type="dxa"/>
            <w:vAlign w:val="bottom"/>
          </w:tcPr>
          <w:p>
            <w:pPr>
              <w:jc w:val="right"/>
              <w:ind w:right="108"/>
              <w:spacing w:after="0"/>
              <w:rPr>
                <w:sz w:val="20"/>
                <w:szCs w:val="20"/>
                <w:color w:val="auto"/>
              </w:rPr>
            </w:pPr>
            <w:r>
              <w:rPr>
                <w:rFonts w:ascii="Arial" w:cs="Arial" w:eastAsia="Arial" w:hAnsi="Arial"/>
                <w:sz w:val="14"/>
                <w:szCs w:val="14"/>
                <w:color w:val="auto"/>
              </w:rPr>
              <w:t>(49 )</w:t>
            </w:r>
          </w:p>
        </w:tc>
        <w:tc>
          <w:tcPr>
            <w:tcW w:w="440" w:type="dxa"/>
            <w:vAlign w:val="bottom"/>
          </w:tcPr>
          <w:p>
            <w:pPr>
              <w:spacing w:after="0"/>
              <w:rPr>
                <w:sz w:val="18"/>
                <w:szCs w:val="18"/>
                <w:color w:val="auto"/>
              </w:rPr>
            </w:pPr>
          </w:p>
        </w:tc>
        <w:tc>
          <w:tcPr>
            <w:tcW w:w="700" w:type="dxa"/>
            <w:vAlign w:val="bottom"/>
          </w:tcPr>
          <w:p>
            <w:pPr>
              <w:jc w:val="right"/>
              <w:ind w:right="148"/>
              <w:spacing w:after="0"/>
              <w:rPr>
                <w:sz w:val="20"/>
                <w:szCs w:val="20"/>
                <w:color w:val="auto"/>
              </w:rPr>
            </w:pPr>
            <w:r>
              <w:rPr>
                <w:rFonts w:ascii="Arial" w:cs="Arial" w:eastAsia="Arial" w:hAnsi="Arial"/>
                <w:sz w:val="14"/>
                <w:szCs w:val="14"/>
                <w:color w:val="auto"/>
              </w:rPr>
              <w:t>6</w:t>
            </w:r>
          </w:p>
        </w:tc>
        <w:tc>
          <w:tcPr>
            <w:tcW w:w="360" w:type="dxa"/>
            <w:vAlign w:val="bottom"/>
          </w:tcPr>
          <w:p>
            <w:pPr>
              <w:spacing w:after="0"/>
              <w:rPr>
                <w:sz w:val="18"/>
                <w:szCs w:val="18"/>
                <w:color w:val="auto"/>
              </w:rPr>
            </w:pPr>
          </w:p>
        </w:tc>
        <w:tc>
          <w:tcPr>
            <w:tcW w:w="740" w:type="dxa"/>
            <w:vAlign w:val="bottom"/>
          </w:tcPr>
          <w:p>
            <w:pPr>
              <w:jc w:val="right"/>
              <w:ind w:right="68"/>
              <w:spacing w:after="0"/>
              <w:rPr>
                <w:sz w:val="20"/>
                <w:szCs w:val="20"/>
                <w:color w:val="auto"/>
              </w:rPr>
            </w:pPr>
            <w:r>
              <w:rPr>
                <w:rFonts w:ascii="Arial" w:cs="Arial" w:eastAsia="Arial" w:hAnsi="Arial"/>
                <w:sz w:val="14"/>
                <w:szCs w:val="14"/>
                <w:color w:val="auto"/>
              </w:rPr>
              <w:t>(19 )</w:t>
            </w:r>
          </w:p>
        </w:tc>
      </w:tr>
      <w:tr>
        <w:trPr>
          <w:trHeight w:val="216"/>
        </w:trPr>
        <w:tc>
          <w:tcPr>
            <w:tcW w:w="400" w:type="dxa"/>
            <w:vAlign w:val="bottom"/>
          </w:tcPr>
          <w:p>
            <w:pPr>
              <w:spacing w:after="0"/>
              <w:rPr>
                <w:sz w:val="18"/>
                <w:szCs w:val="18"/>
                <w:color w:val="auto"/>
              </w:rPr>
            </w:pPr>
          </w:p>
        </w:tc>
        <w:tc>
          <w:tcPr>
            <w:tcW w:w="720" w:type="dxa"/>
            <w:vAlign w:val="bottom"/>
          </w:tcPr>
          <w:p>
            <w:pPr>
              <w:jc w:val="right"/>
              <w:ind w:right="168"/>
              <w:spacing w:after="0"/>
              <w:rPr>
                <w:sz w:val="20"/>
                <w:szCs w:val="20"/>
                <w:color w:val="auto"/>
              </w:rPr>
            </w:pPr>
            <w:r>
              <w:rPr>
                <w:rFonts w:ascii="Arial" w:cs="Arial" w:eastAsia="Arial" w:hAnsi="Arial"/>
                <w:sz w:val="14"/>
                <w:szCs w:val="14"/>
                <w:color w:val="auto"/>
              </w:rPr>
              <w:t>44</w:t>
            </w:r>
          </w:p>
        </w:tc>
        <w:tc>
          <w:tcPr>
            <w:tcW w:w="440" w:type="dxa"/>
            <w:vAlign w:val="bottom"/>
          </w:tcPr>
          <w:p>
            <w:pPr>
              <w:spacing w:after="0"/>
              <w:rPr>
                <w:sz w:val="18"/>
                <w:szCs w:val="18"/>
                <w:color w:val="auto"/>
              </w:rPr>
            </w:pPr>
          </w:p>
        </w:tc>
        <w:tc>
          <w:tcPr>
            <w:tcW w:w="700" w:type="dxa"/>
            <w:vAlign w:val="bottom"/>
          </w:tcPr>
          <w:p>
            <w:pPr>
              <w:jc w:val="right"/>
              <w:ind w:right="88"/>
              <w:spacing w:after="0"/>
              <w:rPr>
                <w:sz w:val="20"/>
                <w:szCs w:val="20"/>
                <w:color w:val="auto"/>
              </w:rPr>
            </w:pPr>
            <w:r>
              <w:rPr>
                <w:rFonts w:ascii="Arial" w:cs="Arial" w:eastAsia="Arial" w:hAnsi="Arial"/>
                <w:sz w:val="14"/>
                <w:szCs w:val="14"/>
                <w:color w:val="auto"/>
              </w:rPr>
              <w:t>(31 )</w:t>
            </w:r>
          </w:p>
        </w:tc>
        <w:tc>
          <w:tcPr>
            <w:tcW w:w="360" w:type="dxa"/>
            <w:vAlign w:val="bottom"/>
          </w:tcPr>
          <w:p>
            <w:pPr>
              <w:spacing w:after="0"/>
              <w:rPr>
                <w:sz w:val="18"/>
                <w:szCs w:val="18"/>
                <w:color w:val="auto"/>
              </w:rPr>
            </w:pPr>
          </w:p>
        </w:tc>
        <w:tc>
          <w:tcPr>
            <w:tcW w:w="740" w:type="dxa"/>
            <w:vAlign w:val="bottom"/>
          </w:tcPr>
          <w:p>
            <w:pPr>
              <w:jc w:val="right"/>
              <w:ind w:right="68"/>
              <w:spacing w:after="0"/>
              <w:rPr>
                <w:sz w:val="20"/>
                <w:szCs w:val="20"/>
                <w:color w:val="auto"/>
              </w:rPr>
            </w:pPr>
            <w:r>
              <w:rPr>
                <w:rFonts w:ascii="Arial" w:cs="Arial" w:eastAsia="Arial" w:hAnsi="Arial"/>
                <w:sz w:val="14"/>
                <w:szCs w:val="14"/>
                <w:color w:val="auto"/>
              </w:rPr>
              <w:t>(32 )</w:t>
            </w:r>
          </w:p>
        </w:tc>
      </w:tr>
      <w:tr>
        <w:trPr>
          <w:trHeight w:val="216"/>
        </w:trPr>
        <w:tc>
          <w:tcPr>
            <w:tcW w:w="400" w:type="dxa"/>
            <w:vAlign w:val="bottom"/>
          </w:tcPr>
          <w:p>
            <w:pPr>
              <w:spacing w:after="0"/>
              <w:rPr>
                <w:sz w:val="18"/>
                <w:szCs w:val="18"/>
                <w:color w:val="auto"/>
              </w:rPr>
            </w:pPr>
          </w:p>
        </w:tc>
        <w:tc>
          <w:tcPr>
            <w:tcW w:w="720" w:type="dxa"/>
            <w:vAlign w:val="bottom"/>
          </w:tcPr>
          <w:p>
            <w:pPr>
              <w:jc w:val="right"/>
              <w:ind w:right="108"/>
              <w:spacing w:after="0"/>
              <w:rPr>
                <w:sz w:val="20"/>
                <w:szCs w:val="20"/>
                <w:color w:val="auto"/>
              </w:rPr>
            </w:pPr>
            <w:r>
              <w:rPr>
                <w:rFonts w:ascii="Arial" w:cs="Arial" w:eastAsia="Arial" w:hAnsi="Arial"/>
                <w:sz w:val="14"/>
                <w:szCs w:val="14"/>
                <w:color w:val="auto"/>
              </w:rPr>
              <w:t>(70 )</w:t>
            </w:r>
          </w:p>
        </w:tc>
        <w:tc>
          <w:tcPr>
            <w:tcW w:w="440" w:type="dxa"/>
            <w:vAlign w:val="bottom"/>
          </w:tcPr>
          <w:p>
            <w:pPr>
              <w:spacing w:after="0"/>
              <w:rPr>
                <w:sz w:val="18"/>
                <w:szCs w:val="18"/>
                <w:color w:val="auto"/>
              </w:rPr>
            </w:pPr>
          </w:p>
        </w:tc>
        <w:tc>
          <w:tcPr>
            <w:tcW w:w="700" w:type="dxa"/>
            <w:vAlign w:val="bottom"/>
          </w:tcPr>
          <w:p>
            <w:pPr>
              <w:jc w:val="right"/>
              <w:ind w:right="148"/>
              <w:spacing w:after="0"/>
              <w:rPr>
                <w:sz w:val="20"/>
                <w:szCs w:val="20"/>
                <w:color w:val="auto"/>
              </w:rPr>
            </w:pPr>
            <w:r>
              <w:rPr>
                <w:rFonts w:ascii="Arial" w:cs="Arial" w:eastAsia="Arial" w:hAnsi="Arial"/>
                <w:sz w:val="14"/>
                <w:szCs w:val="14"/>
                <w:color w:val="auto"/>
              </w:rPr>
              <w:t>10</w:t>
            </w:r>
          </w:p>
        </w:tc>
        <w:tc>
          <w:tcPr>
            <w:tcW w:w="360" w:type="dxa"/>
            <w:vAlign w:val="bottom"/>
          </w:tcPr>
          <w:p>
            <w:pPr>
              <w:spacing w:after="0"/>
              <w:rPr>
                <w:sz w:val="18"/>
                <w:szCs w:val="18"/>
                <w:color w:val="auto"/>
              </w:rPr>
            </w:pPr>
          </w:p>
        </w:tc>
        <w:tc>
          <w:tcPr>
            <w:tcW w:w="740" w:type="dxa"/>
            <w:vAlign w:val="bottom"/>
          </w:tcPr>
          <w:p>
            <w:pPr>
              <w:jc w:val="right"/>
              <w:ind w:right="148"/>
              <w:spacing w:after="0"/>
              <w:rPr>
                <w:sz w:val="20"/>
                <w:szCs w:val="20"/>
                <w:color w:val="auto"/>
              </w:rPr>
            </w:pPr>
            <w:r>
              <w:rPr>
                <w:rFonts w:ascii="Arial" w:cs="Arial" w:eastAsia="Arial" w:hAnsi="Arial"/>
                <w:sz w:val="14"/>
                <w:szCs w:val="14"/>
                <w:color w:val="auto"/>
              </w:rPr>
              <w:t>9</w:t>
            </w:r>
          </w:p>
        </w:tc>
      </w:tr>
      <w:tr>
        <w:trPr>
          <w:trHeight w:val="216"/>
        </w:trPr>
        <w:tc>
          <w:tcPr>
            <w:tcW w:w="400" w:type="dxa"/>
            <w:vAlign w:val="bottom"/>
          </w:tcPr>
          <w:p>
            <w:pPr>
              <w:spacing w:after="0"/>
              <w:rPr>
                <w:sz w:val="18"/>
                <w:szCs w:val="18"/>
                <w:color w:val="auto"/>
              </w:rPr>
            </w:pPr>
          </w:p>
        </w:tc>
        <w:tc>
          <w:tcPr>
            <w:tcW w:w="720" w:type="dxa"/>
            <w:vAlign w:val="bottom"/>
          </w:tcPr>
          <w:p>
            <w:pPr>
              <w:jc w:val="right"/>
              <w:ind w:right="108"/>
              <w:spacing w:after="0"/>
              <w:rPr>
                <w:sz w:val="20"/>
                <w:szCs w:val="20"/>
                <w:color w:val="auto"/>
              </w:rPr>
            </w:pPr>
            <w:r>
              <w:rPr>
                <w:rFonts w:ascii="Arial" w:cs="Arial" w:eastAsia="Arial" w:hAnsi="Arial"/>
                <w:sz w:val="14"/>
                <w:szCs w:val="14"/>
                <w:color w:val="auto"/>
              </w:rPr>
              <w:t>(184 )</w:t>
            </w:r>
          </w:p>
        </w:tc>
        <w:tc>
          <w:tcPr>
            <w:tcW w:w="440" w:type="dxa"/>
            <w:vAlign w:val="bottom"/>
          </w:tcPr>
          <w:p>
            <w:pPr>
              <w:spacing w:after="0"/>
              <w:rPr>
                <w:sz w:val="18"/>
                <w:szCs w:val="18"/>
                <w:color w:val="auto"/>
              </w:rPr>
            </w:pPr>
          </w:p>
        </w:tc>
        <w:tc>
          <w:tcPr>
            <w:tcW w:w="700" w:type="dxa"/>
            <w:vAlign w:val="bottom"/>
          </w:tcPr>
          <w:p>
            <w:pPr>
              <w:jc w:val="right"/>
              <w:ind w:right="148"/>
              <w:spacing w:after="0"/>
              <w:rPr>
                <w:sz w:val="20"/>
                <w:szCs w:val="20"/>
                <w:color w:val="auto"/>
              </w:rPr>
            </w:pPr>
            <w:r>
              <w:rPr>
                <w:rFonts w:ascii="Arial" w:cs="Arial" w:eastAsia="Arial" w:hAnsi="Arial"/>
                <w:sz w:val="14"/>
                <w:szCs w:val="14"/>
                <w:color w:val="auto"/>
              </w:rPr>
              <w:t>133</w:t>
            </w:r>
          </w:p>
        </w:tc>
        <w:tc>
          <w:tcPr>
            <w:tcW w:w="360" w:type="dxa"/>
            <w:vAlign w:val="bottom"/>
          </w:tcPr>
          <w:p>
            <w:pPr>
              <w:spacing w:after="0"/>
              <w:rPr>
                <w:sz w:val="18"/>
                <w:szCs w:val="18"/>
                <w:color w:val="auto"/>
              </w:rPr>
            </w:pPr>
          </w:p>
        </w:tc>
        <w:tc>
          <w:tcPr>
            <w:tcW w:w="740" w:type="dxa"/>
            <w:vAlign w:val="bottom"/>
          </w:tcPr>
          <w:p>
            <w:pPr>
              <w:jc w:val="right"/>
              <w:ind w:right="68"/>
              <w:spacing w:after="0"/>
              <w:rPr>
                <w:sz w:val="20"/>
                <w:szCs w:val="20"/>
                <w:color w:val="auto"/>
              </w:rPr>
            </w:pPr>
            <w:r>
              <w:rPr>
                <w:rFonts w:ascii="Arial" w:cs="Arial" w:eastAsia="Arial" w:hAnsi="Arial"/>
                <w:sz w:val="14"/>
                <w:szCs w:val="14"/>
                <w:color w:val="auto"/>
              </w:rPr>
              <w:t>(14 )</w:t>
            </w:r>
          </w:p>
        </w:tc>
      </w:tr>
      <w:tr>
        <w:trPr>
          <w:trHeight w:val="219"/>
        </w:trPr>
        <w:tc>
          <w:tcPr>
            <w:tcW w:w="4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59</w:t>
            </w:r>
          </w:p>
        </w:tc>
        <w:tc>
          <w:tcPr>
            <w:tcW w:w="4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(21 )</w:t>
            </w:r>
          </w:p>
        </w:tc>
        <w:tc>
          <w:tcPr>
            <w:tcW w:w="3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(16 )</w:t>
            </w:r>
          </w:p>
        </w:tc>
      </w:tr>
      <w:tr>
        <w:trPr>
          <w:trHeight w:val="208"/>
        </w:trPr>
        <w:tc>
          <w:tcPr>
            <w:tcW w:w="4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619</w:t>
            </w:r>
          </w:p>
        </w:tc>
        <w:tc>
          <w:tcPr>
            <w:tcW w:w="4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660</w:t>
            </w:r>
          </w:p>
        </w:tc>
        <w:tc>
          <w:tcPr>
            <w:tcW w:w="3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397</w:t>
            </w:r>
          </w:p>
        </w:tc>
      </w:tr>
      <w:tr>
        <w:trPr>
          <w:trHeight w:val="638"/>
        </w:trPr>
        <w:tc>
          <w:tcPr>
            <w:tcW w:w="400" w:type="dxa"/>
            <w:vAlign w:val="bottom"/>
          </w:tcPr>
          <w:p>
            <w:pPr>
              <w:spacing w:after="0"/>
              <w:rPr>
                <w:sz w:val="24"/>
                <w:szCs w:val="24"/>
                <w:color w:val="auto"/>
              </w:rPr>
            </w:pPr>
          </w:p>
        </w:tc>
        <w:tc>
          <w:tcPr>
            <w:tcW w:w="720" w:type="dxa"/>
            <w:vAlign w:val="bottom"/>
          </w:tcPr>
          <w:p>
            <w:pPr>
              <w:jc w:val="right"/>
              <w:ind w:right="108"/>
              <w:spacing w:after="0"/>
              <w:rPr>
                <w:sz w:val="20"/>
                <w:szCs w:val="20"/>
                <w:color w:val="auto"/>
              </w:rPr>
            </w:pPr>
            <w:r>
              <w:rPr>
                <w:rFonts w:ascii="Arial" w:cs="Arial" w:eastAsia="Arial" w:hAnsi="Arial"/>
                <w:sz w:val="14"/>
                <w:szCs w:val="14"/>
                <w:color w:val="auto"/>
              </w:rPr>
              <w:t>(884 )</w:t>
            </w:r>
          </w:p>
        </w:tc>
        <w:tc>
          <w:tcPr>
            <w:tcW w:w="440" w:type="dxa"/>
            <w:vAlign w:val="bottom"/>
          </w:tcPr>
          <w:p>
            <w:pPr>
              <w:spacing w:after="0"/>
              <w:rPr>
                <w:sz w:val="24"/>
                <w:szCs w:val="24"/>
                <w:color w:val="auto"/>
              </w:rPr>
            </w:pPr>
          </w:p>
        </w:tc>
        <w:tc>
          <w:tcPr>
            <w:tcW w:w="700" w:type="dxa"/>
            <w:vAlign w:val="bottom"/>
          </w:tcPr>
          <w:p>
            <w:pPr>
              <w:jc w:val="right"/>
              <w:ind w:right="88"/>
              <w:spacing w:after="0"/>
              <w:rPr>
                <w:sz w:val="20"/>
                <w:szCs w:val="20"/>
                <w:color w:val="auto"/>
              </w:rPr>
            </w:pPr>
            <w:r>
              <w:rPr>
                <w:rFonts w:ascii="Arial" w:cs="Arial" w:eastAsia="Arial" w:hAnsi="Arial"/>
                <w:sz w:val="14"/>
                <w:szCs w:val="14"/>
                <w:color w:val="auto"/>
              </w:rPr>
              <w:t>(714 )</w:t>
            </w:r>
          </w:p>
        </w:tc>
        <w:tc>
          <w:tcPr>
            <w:tcW w:w="360" w:type="dxa"/>
            <w:vAlign w:val="bottom"/>
          </w:tcPr>
          <w:p>
            <w:pPr>
              <w:spacing w:after="0"/>
              <w:rPr>
                <w:sz w:val="24"/>
                <w:szCs w:val="24"/>
                <w:color w:val="auto"/>
              </w:rPr>
            </w:pPr>
          </w:p>
        </w:tc>
        <w:tc>
          <w:tcPr>
            <w:tcW w:w="740" w:type="dxa"/>
            <w:vAlign w:val="bottom"/>
          </w:tcPr>
          <w:p>
            <w:pPr>
              <w:jc w:val="right"/>
              <w:ind w:right="68"/>
              <w:spacing w:after="0"/>
              <w:rPr>
                <w:sz w:val="20"/>
                <w:szCs w:val="20"/>
                <w:color w:val="auto"/>
              </w:rPr>
            </w:pPr>
            <w:r>
              <w:rPr>
                <w:rFonts w:ascii="Arial" w:cs="Arial" w:eastAsia="Arial" w:hAnsi="Arial"/>
                <w:sz w:val="14"/>
                <w:szCs w:val="14"/>
                <w:color w:val="auto"/>
              </w:rPr>
              <w:t>(1,070 )</w:t>
            </w:r>
          </w:p>
        </w:tc>
      </w:tr>
      <w:tr>
        <w:trPr>
          <w:trHeight w:val="216"/>
        </w:trPr>
        <w:tc>
          <w:tcPr>
            <w:tcW w:w="400" w:type="dxa"/>
            <w:vAlign w:val="bottom"/>
          </w:tcPr>
          <w:p>
            <w:pPr>
              <w:spacing w:after="0"/>
              <w:rPr>
                <w:sz w:val="18"/>
                <w:szCs w:val="18"/>
                <w:color w:val="auto"/>
              </w:rPr>
            </w:pPr>
          </w:p>
        </w:tc>
        <w:tc>
          <w:tcPr>
            <w:tcW w:w="720" w:type="dxa"/>
            <w:vAlign w:val="bottom"/>
          </w:tcPr>
          <w:p>
            <w:pPr>
              <w:jc w:val="right"/>
              <w:ind w:right="108"/>
              <w:spacing w:after="0"/>
              <w:rPr>
                <w:sz w:val="20"/>
                <w:szCs w:val="20"/>
                <w:color w:val="auto"/>
              </w:rPr>
            </w:pPr>
            <w:r>
              <w:rPr>
                <w:rFonts w:ascii="Arial" w:cs="Arial" w:eastAsia="Arial" w:hAnsi="Arial"/>
                <w:sz w:val="14"/>
                <w:szCs w:val="14"/>
                <w:color w:val="auto"/>
              </w:rPr>
              <w:t>(488 )</w:t>
            </w:r>
          </w:p>
        </w:tc>
        <w:tc>
          <w:tcPr>
            <w:tcW w:w="440" w:type="dxa"/>
            <w:vAlign w:val="bottom"/>
          </w:tcPr>
          <w:p>
            <w:pPr>
              <w:spacing w:after="0"/>
              <w:rPr>
                <w:sz w:val="18"/>
                <w:szCs w:val="18"/>
                <w:color w:val="auto"/>
              </w:rPr>
            </w:pPr>
          </w:p>
        </w:tc>
        <w:tc>
          <w:tcPr>
            <w:tcW w:w="70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8"/>
                <w:szCs w:val="18"/>
                <w:color w:val="auto"/>
              </w:rPr>
            </w:pPr>
          </w:p>
        </w:tc>
        <w:tc>
          <w:tcPr>
            <w:tcW w:w="740" w:type="dxa"/>
            <w:vAlign w:val="bottom"/>
          </w:tcPr>
          <w:p>
            <w:pPr>
              <w:jc w:val="right"/>
              <w:ind w:right="148"/>
              <w:spacing w:after="0"/>
              <w:rPr>
                <w:sz w:val="20"/>
                <w:szCs w:val="20"/>
                <w:color w:val="auto"/>
              </w:rPr>
            </w:pPr>
            <w:r>
              <w:rPr>
                <w:rFonts w:ascii="Arial" w:cs="Arial" w:eastAsia="Arial" w:hAnsi="Arial"/>
                <w:sz w:val="14"/>
                <w:szCs w:val="14"/>
                <w:color w:val="auto"/>
              </w:rPr>
              <w:t>--</w:t>
            </w:r>
          </w:p>
        </w:tc>
      </w:tr>
      <w:tr>
        <w:trPr>
          <w:trHeight w:val="216"/>
        </w:trPr>
        <w:tc>
          <w:tcPr>
            <w:tcW w:w="400" w:type="dxa"/>
            <w:vAlign w:val="bottom"/>
          </w:tcPr>
          <w:p>
            <w:pPr>
              <w:spacing w:after="0"/>
              <w:rPr>
                <w:sz w:val="18"/>
                <w:szCs w:val="18"/>
                <w:color w:val="auto"/>
              </w:rPr>
            </w:pPr>
          </w:p>
        </w:tc>
        <w:tc>
          <w:tcPr>
            <w:tcW w:w="720" w:type="dxa"/>
            <w:vAlign w:val="bottom"/>
          </w:tcPr>
          <w:p>
            <w:pPr>
              <w:jc w:val="right"/>
              <w:ind w:right="168"/>
              <w:spacing w:after="0"/>
              <w:rPr>
                <w:sz w:val="20"/>
                <w:szCs w:val="20"/>
                <w:color w:val="auto"/>
              </w:rPr>
            </w:pPr>
            <w:r>
              <w:rPr>
                <w:rFonts w:ascii="Arial" w:cs="Arial" w:eastAsia="Arial" w:hAnsi="Arial"/>
                <w:sz w:val="14"/>
                <w:szCs w:val="14"/>
                <w:color w:val="auto"/>
              </w:rPr>
              <w:t>464</w:t>
            </w:r>
          </w:p>
        </w:tc>
        <w:tc>
          <w:tcPr>
            <w:tcW w:w="440" w:type="dxa"/>
            <w:vAlign w:val="bottom"/>
          </w:tcPr>
          <w:p>
            <w:pPr>
              <w:spacing w:after="0"/>
              <w:rPr>
                <w:sz w:val="18"/>
                <w:szCs w:val="18"/>
                <w:color w:val="auto"/>
              </w:rPr>
            </w:pPr>
          </w:p>
        </w:tc>
        <w:tc>
          <w:tcPr>
            <w:tcW w:w="70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8"/>
                <w:szCs w:val="18"/>
                <w:color w:val="auto"/>
              </w:rPr>
            </w:pPr>
          </w:p>
        </w:tc>
        <w:tc>
          <w:tcPr>
            <w:tcW w:w="740" w:type="dxa"/>
            <w:vAlign w:val="bottom"/>
          </w:tcPr>
          <w:p>
            <w:pPr>
              <w:jc w:val="right"/>
              <w:ind w:right="148"/>
              <w:spacing w:after="0"/>
              <w:rPr>
                <w:sz w:val="20"/>
                <w:szCs w:val="20"/>
                <w:color w:val="auto"/>
              </w:rPr>
            </w:pPr>
            <w:r>
              <w:rPr>
                <w:rFonts w:ascii="Arial" w:cs="Arial" w:eastAsia="Arial" w:hAnsi="Arial"/>
                <w:sz w:val="14"/>
                <w:szCs w:val="14"/>
                <w:color w:val="auto"/>
              </w:rPr>
              <w:t>--</w:t>
            </w:r>
          </w:p>
        </w:tc>
      </w:tr>
      <w:tr>
        <w:trPr>
          <w:trHeight w:val="216"/>
        </w:trPr>
        <w:tc>
          <w:tcPr>
            <w:tcW w:w="400" w:type="dxa"/>
            <w:vAlign w:val="bottom"/>
          </w:tcPr>
          <w:p>
            <w:pPr>
              <w:spacing w:after="0"/>
              <w:rPr>
                <w:sz w:val="18"/>
                <w:szCs w:val="18"/>
                <w:color w:val="auto"/>
              </w:rPr>
            </w:pPr>
          </w:p>
        </w:tc>
        <w:tc>
          <w:tcPr>
            <w:tcW w:w="720" w:type="dxa"/>
            <w:vAlign w:val="bottom"/>
          </w:tcPr>
          <w:p>
            <w:pPr>
              <w:jc w:val="right"/>
              <w:ind w:right="108"/>
              <w:spacing w:after="0"/>
              <w:rPr>
                <w:sz w:val="20"/>
                <w:szCs w:val="20"/>
                <w:color w:val="auto"/>
              </w:rPr>
            </w:pPr>
            <w:r>
              <w:rPr>
                <w:rFonts w:ascii="Arial" w:cs="Arial" w:eastAsia="Arial" w:hAnsi="Arial"/>
                <w:sz w:val="14"/>
                <w:szCs w:val="14"/>
                <w:color w:val="auto"/>
              </w:rPr>
              <w:t>(468 )</w:t>
            </w:r>
          </w:p>
        </w:tc>
        <w:tc>
          <w:tcPr>
            <w:tcW w:w="440" w:type="dxa"/>
            <w:vAlign w:val="bottom"/>
          </w:tcPr>
          <w:p>
            <w:pPr>
              <w:spacing w:after="0"/>
              <w:rPr>
                <w:sz w:val="18"/>
                <w:szCs w:val="18"/>
                <w:color w:val="auto"/>
              </w:rPr>
            </w:pPr>
          </w:p>
        </w:tc>
        <w:tc>
          <w:tcPr>
            <w:tcW w:w="700" w:type="dxa"/>
            <w:vAlign w:val="bottom"/>
          </w:tcPr>
          <w:p>
            <w:pPr>
              <w:jc w:val="right"/>
              <w:ind w:right="88"/>
              <w:spacing w:after="0"/>
              <w:rPr>
                <w:sz w:val="20"/>
                <w:szCs w:val="20"/>
                <w:color w:val="auto"/>
              </w:rPr>
            </w:pPr>
            <w:r>
              <w:rPr>
                <w:rFonts w:ascii="Arial" w:cs="Arial" w:eastAsia="Arial" w:hAnsi="Arial"/>
                <w:sz w:val="14"/>
                <w:szCs w:val="14"/>
                <w:color w:val="auto"/>
              </w:rPr>
              <w:t>(587 )</w:t>
            </w:r>
          </w:p>
        </w:tc>
        <w:tc>
          <w:tcPr>
            <w:tcW w:w="360" w:type="dxa"/>
            <w:vAlign w:val="bottom"/>
          </w:tcPr>
          <w:p>
            <w:pPr>
              <w:spacing w:after="0"/>
              <w:rPr>
                <w:sz w:val="18"/>
                <w:szCs w:val="18"/>
                <w:color w:val="auto"/>
              </w:rPr>
            </w:pPr>
          </w:p>
        </w:tc>
        <w:tc>
          <w:tcPr>
            <w:tcW w:w="740" w:type="dxa"/>
            <w:vAlign w:val="bottom"/>
          </w:tcPr>
          <w:p>
            <w:pPr>
              <w:jc w:val="right"/>
              <w:ind w:right="68"/>
              <w:spacing w:after="0"/>
              <w:rPr>
                <w:sz w:val="20"/>
                <w:szCs w:val="20"/>
                <w:color w:val="auto"/>
              </w:rPr>
            </w:pPr>
            <w:r>
              <w:rPr>
                <w:rFonts w:ascii="Arial" w:cs="Arial" w:eastAsia="Arial" w:hAnsi="Arial"/>
                <w:sz w:val="14"/>
                <w:szCs w:val="14"/>
                <w:color w:val="auto"/>
              </w:rPr>
              <w:t>(481 )</w:t>
            </w:r>
          </w:p>
        </w:tc>
      </w:tr>
      <w:tr>
        <w:trPr>
          <w:trHeight w:val="216"/>
        </w:trPr>
        <w:tc>
          <w:tcPr>
            <w:tcW w:w="400" w:type="dxa"/>
            <w:vAlign w:val="bottom"/>
          </w:tcPr>
          <w:p>
            <w:pPr>
              <w:spacing w:after="0"/>
              <w:rPr>
                <w:sz w:val="18"/>
                <w:szCs w:val="18"/>
                <w:color w:val="auto"/>
              </w:rPr>
            </w:pPr>
          </w:p>
        </w:tc>
        <w:tc>
          <w:tcPr>
            <w:tcW w:w="720" w:type="dxa"/>
            <w:vAlign w:val="bottom"/>
          </w:tcPr>
          <w:p>
            <w:pPr>
              <w:jc w:val="right"/>
              <w:ind w:right="168"/>
              <w:spacing w:after="0"/>
              <w:rPr>
                <w:sz w:val="20"/>
                <w:szCs w:val="20"/>
                <w:color w:val="auto"/>
              </w:rPr>
            </w:pPr>
            <w:r>
              <w:rPr>
                <w:rFonts w:ascii="Arial" w:cs="Arial" w:eastAsia="Arial" w:hAnsi="Arial"/>
                <w:sz w:val="14"/>
                <w:szCs w:val="14"/>
                <w:color w:val="auto"/>
              </w:rPr>
              <w:t>468</w:t>
            </w:r>
          </w:p>
        </w:tc>
        <w:tc>
          <w:tcPr>
            <w:tcW w:w="440" w:type="dxa"/>
            <w:vAlign w:val="bottom"/>
          </w:tcPr>
          <w:p>
            <w:pPr>
              <w:spacing w:after="0"/>
              <w:rPr>
                <w:sz w:val="18"/>
                <w:szCs w:val="18"/>
                <w:color w:val="auto"/>
              </w:rPr>
            </w:pPr>
          </w:p>
        </w:tc>
        <w:tc>
          <w:tcPr>
            <w:tcW w:w="700" w:type="dxa"/>
            <w:vAlign w:val="bottom"/>
          </w:tcPr>
          <w:p>
            <w:pPr>
              <w:jc w:val="right"/>
              <w:ind w:right="148"/>
              <w:spacing w:after="0"/>
              <w:rPr>
                <w:sz w:val="20"/>
                <w:szCs w:val="20"/>
                <w:color w:val="auto"/>
              </w:rPr>
            </w:pPr>
            <w:r>
              <w:rPr>
                <w:rFonts w:ascii="Arial" w:cs="Arial" w:eastAsia="Arial" w:hAnsi="Arial"/>
                <w:sz w:val="14"/>
                <w:szCs w:val="14"/>
                <w:color w:val="auto"/>
              </w:rPr>
              <w:t>592</w:t>
            </w:r>
          </w:p>
        </w:tc>
        <w:tc>
          <w:tcPr>
            <w:tcW w:w="360" w:type="dxa"/>
            <w:vAlign w:val="bottom"/>
          </w:tcPr>
          <w:p>
            <w:pPr>
              <w:spacing w:after="0"/>
              <w:rPr>
                <w:sz w:val="18"/>
                <w:szCs w:val="18"/>
                <w:color w:val="auto"/>
              </w:rPr>
            </w:pPr>
          </w:p>
        </w:tc>
        <w:tc>
          <w:tcPr>
            <w:tcW w:w="740" w:type="dxa"/>
            <w:vAlign w:val="bottom"/>
          </w:tcPr>
          <w:p>
            <w:pPr>
              <w:jc w:val="right"/>
              <w:ind w:right="148"/>
              <w:spacing w:after="0"/>
              <w:rPr>
                <w:sz w:val="20"/>
                <w:szCs w:val="20"/>
                <w:color w:val="auto"/>
              </w:rPr>
            </w:pPr>
            <w:r>
              <w:rPr>
                <w:rFonts w:ascii="Arial" w:cs="Arial" w:eastAsia="Arial" w:hAnsi="Arial"/>
                <w:sz w:val="14"/>
                <w:szCs w:val="14"/>
                <w:color w:val="auto"/>
              </w:rPr>
              <w:t>484</w:t>
            </w:r>
          </w:p>
        </w:tc>
      </w:tr>
      <w:tr>
        <w:trPr>
          <w:trHeight w:val="216"/>
        </w:trPr>
        <w:tc>
          <w:tcPr>
            <w:tcW w:w="400" w:type="dxa"/>
            <w:vAlign w:val="bottom"/>
          </w:tcPr>
          <w:p>
            <w:pPr>
              <w:spacing w:after="0"/>
              <w:rPr>
                <w:sz w:val="18"/>
                <w:szCs w:val="18"/>
                <w:color w:val="auto"/>
              </w:rPr>
            </w:pPr>
          </w:p>
        </w:tc>
        <w:tc>
          <w:tcPr>
            <w:tcW w:w="720" w:type="dxa"/>
            <w:vAlign w:val="bottom"/>
          </w:tcPr>
          <w:p>
            <w:pPr>
              <w:jc w:val="right"/>
              <w:ind w:right="108"/>
              <w:spacing w:after="0"/>
              <w:rPr>
                <w:sz w:val="20"/>
                <w:szCs w:val="20"/>
                <w:color w:val="auto"/>
              </w:rPr>
            </w:pPr>
            <w:r>
              <w:rPr>
                <w:rFonts w:ascii="Arial" w:cs="Arial" w:eastAsia="Arial" w:hAnsi="Arial"/>
                <w:sz w:val="14"/>
                <w:szCs w:val="14"/>
                <w:color w:val="auto"/>
              </w:rPr>
              <w:t>(33 )</w:t>
            </w:r>
          </w:p>
        </w:tc>
        <w:tc>
          <w:tcPr>
            <w:tcW w:w="440" w:type="dxa"/>
            <w:vAlign w:val="bottom"/>
          </w:tcPr>
          <w:p>
            <w:pPr>
              <w:spacing w:after="0"/>
              <w:rPr>
                <w:sz w:val="18"/>
                <w:szCs w:val="18"/>
                <w:color w:val="auto"/>
              </w:rPr>
            </w:pPr>
          </w:p>
        </w:tc>
        <w:tc>
          <w:tcPr>
            <w:tcW w:w="70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8"/>
                <w:szCs w:val="18"/>
                <w:color w:val="auto"/>
              </w:rPr>
            </w:pPr>
          </w:p>
        </w:tc>
        <w:tc>
          <w:tcPr>
            <w:tcW w:w="740" w:type="dxa"/>
            <w:vAlign w:val="bottom"/>
          </w:tcPr>
          <w:p>
            <w:pPr>
              <w:jc w:val="right"/>
              <w:ind w:right="68"/>
              <w:spacing w:after="0"/>
              <w:rPr>
                <w:sz w:val="20"/>
                <w:szCs w:val="20"/>
                <w:color w:val="auto"/>
              </w:rPr>
            </w:pPr>
            <w:r>
              <w:rPr>
                <w:rFonts w:ascii="Arial" w:cs="Arial" w:eastAsia="Arial" w:hAnsi="Arial"/>
                <w:sz w:val="14"/>
                <w:szCs w:val="14"/>
                <w:color w:val="auto"/>
              </w:rPr>
              <w:t>(1 )</w:t>
            </w:r>
          </w:p>
        </w:tc>
      </w:tr>
      <w:tr>
        <w:trPr>
          <w:trHeight w:val="219"/>
        </w:trPr>
        <w:tc>
          <w:tcPr>
            <w:tcW w:w="4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1</w:t>
            </w:r>
          </w:p>
        </w:tc>
        <w:tc>
          <w:tcPr>
            <w:tcW w:w="4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2</w:t>
            </w:r>
          </w:p>
        </w:tc>
        <w:tc>
          <w:tcPr>
            <w:tcW w:w="3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1</w:t>
            </w:r>
          </w:p>
        </w:tc>
      </w:tr>
      <w:tr>
        <w:trPr>
          <w:trHeight w:val="208"/>
        </w:trPr>
        <w:tc>
          <w:tcPr>
            <w:tcW w:w="4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(940 )</w:t>
            </w:r>
          </w:p>
        </w:tc>
        <w:tc>
          <w:tcPr>
            <w:tcW w:w="4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(707 )</w:t>
            </w:r>
          </w:p>
        </w:tc>
        <w:tc>
          <w:tcPr>
            <w:tcW w:w="3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(1,067 )</w:t>
            </w:r>
          </w:p>
        </w:tc>
      </w:tr>
      <w:tr>
        <w:trPr>
          <w:trHeight w:val="638"/>
        </w:trPr>
        <w:tc>
          <w:tcPr>
            <w:tcW w:w="400" w:type="dxa"/>
            <w:vAlign w:val="bottom"/>
          </w:tcPr>
          <w:p>
            <w:pPr>
              <w:spacing w:after="0"/>
              <w:rPr>
                <w:sz w:val="24"/>
                <w:szCs w:val="24"/>
                <w:color w:val="auto"/>
              </w:rPr>
            </w:pPr>
          </w:p>
        </w:tc>
        <w:tc>
          <w:tcPr>
            <w:tcW w:w="72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24"/>
                <w:szCs w:val="24"/>
                <w:color w:val="auto"/>
              </w:rPr>
            </w:pPr>
          </w:p>
        </w:tc>
        <w:tc>
          <w:tcPr>
            <w:tcW w:w="70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24"/>
                <w:szCs w:val="24"/>
                <w:color w:val="auto"/>
              </w:rPr>
            </w:pPr>
          </w:p>
        </w:tc>
        <w:tc>
          <w:tcPr>
            <w:tcW w:w="740" w:type="dxa"/>
            <w:vAlign w:val="bottom"/>
          </w:tcPr>
          <w:p>
            <w:pPr>
              <w:jc w:val="right"/>
              <w:ind w:right="148"/>
              <w:spacing w:after="0"/>
              <w:rPr>
                <w:sz w:val="20"/>
                <w:szCs w:val="20"/>
                <w:color w:val="auto"/>
              </w:rPr>
            </w:pPr>
            <w:r>
              <w:rPr>
                <w:rFonts w:ascii="Arial" w:cs="Arial" w:eastAsia="Arial" w:hAnsi="Arial"/>
                <w:sz w:val="14"/>
                <w:szCs w:val="14"/>
                <w:color w:val="auto"/>
              </w:rPr>
              <w:t>200</w:t>
            </w:r>
          </w:p>
        </w:tc>
      </w:tr>
      <w:tr>
        <w:trPr>
          <w:trHeight w:val="216"/>
        </w:trPr>
        <w:tc>
          <w:tcPr>
            <w:tcW w:w="400" w:type="dxa"/>
            <w:vAlign w:val="bottom"/>
          </w:tcPr>
          <w:p>
            <w:pPr>
              <w:spacing w:after="0"/>
              <w:rPr>
                <w:sz w:val="18"/>
                <w:szCs w:val="18"/>
                <w:color w:val="auto"/>
              </w:rPr>
            </w:pPr>
          </w:p>
        </w:tc>
        <w:tc>
          <w:tcPr>
            <w:tcW w:w="720" w:type="dxa"/>
            <w:vAlign w:val="bottom"/>
          </w:tcPr>
          <w:p>
            <w:pPr>
              <w:jc w:val="right"/>
              <w:ind w:right="108"/>
              <w:spacing w:after="0"/>
              <w:rPr>
                <w:sz w:val="20"/>
                <w:szCs w:val="20"/>
                <w:color w:val="auto"/>
              </w:rPr>
            </w:pPr>
            <w:r>
              <w:rPr>
                <w:rFonts w:ascii="Arial" w:cs="Arial" w:eastAsia="Arial" w:hAnsi="Arial"/>
                <w:sz w:val="14"/>
                <w:szCs w:val="14"/>
                <w:color w:val="auto"/>
              </w:rPr>
              <w:t>(5 )</w:t>
            </w:r>
          </w:p>
        </w:tc>
        <w:tc>
          <w:tcPr>
            <w:tcW w:w="440" w:type="dxa"/>
            <w:vAlign w:val="bottom"/>
          </w:tcPr>
          <w:p>
            <w:pPr>
              <w:spacing w:after="0"/>
              <w:rPr>
                <w:sz w:val="18"/>
                <w:szCs w:val="18"/>
                <w:color w:val="auto"/>
              </w:rPr>
            </w:pPr>
          </w:p>
        </w:tc>
        <w:tc>
          <w:tcPr>
            <w:tcW w:w="700" w:type="dxa"/>
            <w:vAlign w:val="bottom"/>
          </w:tcPr>
          <w:p>
            <w:pPr>
              <w:jc w:val="right"/>
              <w:ind w:right="88"/>
              <w:spacing w:after="0"/>
              <w:rPr>
                <w:sz w:val="20"/>
                <w:szCs w:val="20"/>
                <w:color w:val="auto"/>
              </w:rPr>
            </w:pPr>
            <w:r>
              <w:rPr>
                <w:rFonts w:ascii="Arial" w:cs="Arial" w:eastAsia="Arial" w:hAnsi="Arial"/>
                <w:sz w:val="14"/>
                <w:szCs w:val="14"/>
                <w:color w:val="auto"/>
              </w:rPr>
              <w:t>(5 )</w:t>
            </w:r>
          </w:p>
        </w:tc>
        <w:tc>
          <w:tcPr>
            <w:tcW w:w="360" w:type="dxa"/>
            <w:vAlign w:val="bottom"/>
          </w:tcPr>
          <w:p>
            <w:pPr>
              <w:spacing w:after="0"/>
              <w:rPr>
                <w:sz w:val="18"/>
                <w:szCs w:val="18"/>
                <w:color w:val="auto"/>
              </w:rPr>
            </w:pPr>
          </w:p>
        </w:tc>
        <w:tc>
          <w:tcPr>
            <w:tcW w:w="740" w:type="dxa"/>
            <w:vAlign w:val="bottom"/>
          </w:tcPr>
          <w:p>
            <w:pPr>
              <w:jc w:val="right"/>
              <w:ind w:right="68"/>
              <w:spacing w:after="0"/>
              <w:rPr>
                <w:sz w:val="20"/>
                <w:szCs w:val="20"/>
                <w:color w:val="auto"/>
              </w:rPr>
            </w:pPr>
            <w:r>
              <w:rPr>
                <w:rFonts w:ascii="Arial" w:cs="Arial" w:eastAsia="Arial" w:hAnsi="Arial"/>
                <w:sz w:val="14"/>
                <w:szCs w:val="14"/>
                <w:color w:val="auto"/>
              </w:rPr>
              <w:t>(5 )</w:t>
            </w:r>
          </w:p>
        </w:tc>
      </w:tr>
      <w:tr>
        <w:trPr>
          <w:trHeight w:val="216"/>
        </w:trPr>
        <w:tc>
          <w:tcPr>
            <w:tcW w:w="400" w:type="dxa"/>
            <w:vAlign w:val="bottom"/>
          </w:tcPr>
          <w:p>
            <w:pPr>
              <w:spacing w:after="0"/>
              <w:rPr>
                <w:sz w:val="18"/>
                <w:szCs w:val="18"/>
                <w:color w:val="auto"/>
              </w:rPr>
            </w:pPr>
          </w:p>
        </w:tc>
        <w:tc>
          <w:tcPr>
            <w:tcW w:w="720" w:type="dxa"/>
            <w:vAlign w:val="bottom"/>
          </w:tcPr>
          <w:p>
            <w:pPr>
              <w:jc w:val="right"/>
              <w:ind w:right="108"/>
              <w:spacing w:after="0"/>
              <w:rPr>
                <w:sz w:val="20"/>
                <w:szCs w:val="20"/>
                <w:color w:val="auto"/>
              </w:rPr>
            </w:pPr>
            <w:r>
              <w:rPr>
                <w:rFonts w:ascii="Arial" w:cs="Arial" w:eastAsia="Arial" w:hAnsi="Arial"/>
                <w:sz w:val="14"/>
                <w:szCs w:val="14"/>
                <w:color w:val="auto"/>
              </w:rPr>
              <w:t>(14 )</w:t>
            </w:r>
          </w:p>
        </w:tc>
        <w:tc>
          <w:tcPr>
            <w:tcW w:w="440" w:type="dxa"/>
            <w:vAlign w:val="bottom"/>
          </w:tcPr>
          <w:p>
            <w:pPr>
              <w:spacing w:after="0"/>
              <w:rPr>
                <w:sz w:val="18"/>
                <w:szCs w:val="18"/>
                <w:color w:val="auto"/>
              </w:rPr>
            </w:pPr>
          </w:p>
        </w:tc>
        <w:tc>
          <w:tcPr>
            <w:tcW w:w="700" w:type="dxa"/>
            <w:vAlign w:val="bottom"/>
          </w:tcPr>
          <w:p>
            <w:pPr>
              <w:jc w:val="right"/>
              <w:ind w:right="88"/>
              <w:spacing w:after="0"/>
              <w:rPr>
                <w:sz w:val="20"/>
                <w:szCs w:val="20"/>
                <w:color w:val="auto"/>
              </w:rPr>
            </w:pPr>
            <w:r>
              <w:rPr>
                <w:rFonts w:ascii="Arial" w:cs="Arial" w:eastAsia="Arial" w:hAnsi="Arial"/>
                <w:sz w:val="14"/>
                <w:szCs w:val="14"/>
                <w:color w:val="auto"/>
              </w:rPr>
              <w:t>(3 )</w:t>
            </w:r>
          </w:p>
        </w:tc>
        <w:tc>
          <w:tcPr>
            <w:tcW w:w="360" w:type="dxa"/>
            <w:vAlign w:val="bottom"/>
          </w:tcPr>
          <w:p>
            <w:pPr>
              <w:spacing w:after="0"/>
              <w:rPr>
                <w:sz w:val="18"/>
                <w:szCs w:val="18"/>
                <w:color w:val="auto"/>
              </w:rPr>
            </w:pPr>
          </w:p>
        </w:tc>
        <w:tc>
          <w:tcPr>
            <w:tcW w:w="740" w:type="dxa"/>
            <w:vAlign w:val="bottom"/>
          </w:tcPr>
          <w:p>
            <w:pPr>
              <w:jc w:val="right"/>
              <w:ind w:right="68"/>
              <w:spacing w:after="0"/>
              <w:rPr>
                <w:sz w:val="20"/>
                <w:szCs w:val="20"/>
                <w:color w:val="auto"/>
              </w:rPr>
            </w:pPr>
            <w:r>
              <w:rPr>
                <w:rFonts w:ascii="Arial" w:cs="Arial" w:eastAsia="Arial" w:hAnsi="Arial"/>
                <w:sz w:val="14"/>
                <w:szCs w:val="14"/>
                <w:color w:val="auto"/>
              </w:rPr>
              <w:t>(3 )</w:t>
            </w:r>
          </w:p>
        </w:tc>
      </w:tr>
      <w:tr>
        <w:trPr>
          <w:trHeight w:val="216"/>
        </w:trPr>
        <w:tc>
          <w:tcPr>
            <w:tcW w:w="400" w:type="dxa"/>
            <w:vAlign w:val="bottom"/>
          </w:tcPr>
          <w:p>
            <w:pPr>
              <w:spacing w:after="0"/>
              <w:rPr>
                <w:sz w:val="18"/>
                <w:szCs w:val="18"/>
                <w:color w:val="auto"/>
              </w:rPr>
            </w:pPr>
          </w:p>
        </w:tc>
        <w:tc>
          <w:tcPr>
            <w:tcW w:w="720" w:type="dxa"/>
            <w:vAlign w:val="bottom"/>
          </w:tcPr>
          <w:p>
            <w:pPr>
              <w:jc w:val="right"/>
              <w:ind w:right="168"/>
              <w:spacing w:after="0"/>
              <w:rPr>
                <w:sz w:val="20"/>
                <w:szCs w:val="20"/>
                <w:color w:val="auto"/>
              </w:rPr>
            </w:pPr>
            <w:r>
              <w:rPr>
                <w:rFonts w:ascii="Arial" w:cs="Arial" w:eastAsia="Arial" w:hAnsi="Arial"/>
                <w:sz w:val="14"/>
                <w:szCs w:val="14"/>
                <w:color w:val="auto"/>
              </w:rPr>
              <w:t>193</w:t>
            </w:r>
          </w:p>
        </w:tc>
        <w:tc>
          <w:tcPr>
            <w:tcW w:w="440" w:type="dxa"/>
            <w:vAlign w:val="bottom"/>
          </w:tcPr>
          <w:p>
            <w:pPr>
              <w:spacing w:after="0"/>
              <w:rPr>
                <w:sz w:val="18"/>
                <w:szCs w:val="18"/>
                <w:color w:val="auto"/>
              </w:rPr>
            </w:pPr>
          </w:p>
        </w:tc>
        <w:tc>
          <w:tcPr>
            <w:tcW w:w="700" w:type="dxa"/>
            <w:vAlign w:val="bottom"/>
          </w:tcPr>
          <w:p>
            <w:pPr>
              <w:jc w:val="right"/>
              <w:ind w:right="148"/>
              <w:spacing w:after="0"/>
              <w:rPr>
                <w:sz w:val="20"/>
                <w:szCs w:val="20"/>
                <w:color w:val="auto"/>
              </w:rPr>
            </w:pPr>
            <w:r>
              <w:rPr>
                <w:rFonts w:ascii="Arial" w:cs="Arial" w:eastAsia="Arial" w:hAnsi="Arial"/>
                <w:sz w:val="14"/>
                <w:szCs w:val="14"/>
                <w:color w:val="auto"/>
              </w:rPr>
              <w:t>313</w:t>
            </w:r>
          </w:p>
        </w:tc>
        <w:tc>
          <w:tcPr>
            <w:tcW w:w="360" w:type="dxa"/>
            <w:vAlign w:val="bottom"/>
          </w:tcPr>
          <w:p>
            <w:pPr>
              <w:spacing w:after="0"/>
              <w:rPr>
                <w:sz w:val="18"/>
                <w:szCs w:val="18"/>
                <w:color w:val="auto"/>
              </w:rPr>
            </w:pPr>
          </w:p>
        </w:tc>
        <w:tc>
          <w:tcPr>
            <w:tcW w:w="740" w:type="dxa"/>
            <w:vAlign w:val="bottom"/>
          </w:tcPr>
          <w:p>
            <w:pPr>
              <w:jc w:val="right"/>
              <w:ind w:right="148"/>
              <w:spacing w:after="0"/>
              <w:rPr>
                <w:sz w:val="20"/>
                <w:szCs w:val="20"/>
                <w:color w:val="auto"/>
              </w:rPr>
            </w:pPr>
            <w:r>
              <w:rPr>
                <w:rFonts w:ascii="Arial" w:cs="Arial" w:eastAsia="Arial" w:hAnsi="Arial"/>
                <w:sz w:val="14"/>
                <w:szCs w:val="14"/>
                <w:color w:val="auto"/>
              </w:rPr>
              <w:t>411</w:t>
            </w:r>
          </w:p>
        </w:tc>
      </w:tr>
      <w:tr>
        <w:trPr>
          <w:trHeight w:val="216"/>
        </w:trPr>
        <w:tc>
          <w:tcPr>
            <w:tcW w:w="400" w:type="dxa"/>
            <w:vAlign w:val="bottom"/>
          </w:tcPr>
          <w:p>
            <w:pPr>
              <w:spacing w:after="0"/>
              <w:rPr>
                <w:sz w:val="18"/>
                <w:szCs w:val="18"/>
                <w:color w:val="auto"/>
              </w:rPr>
            </w:pPr>
          </w:p>
        </w:tc>
        <w:tc>
          <w:tcPr>
            <w:tcW w:w="72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8"/>
                <w:szCs w:val="18"/>
                <w:color w:val="auto"/>
              </w:rPr>
            </w:pPr>
          </w:p>
        </w:tc>
        <w:tc>
          <w:tcPr>
            <w:tcW w:w="700" w:type="dxa"/>
            <w:vAlign w:val="bottom"/>
          </w:tcPr>
          <w:p>
            <w:pPr>
              <w:jc w:val="right"/>
              <w:ind w:right="88"/>
              <w:spacing w:after="0"/>
              <w:rPr>
                <w:sz w:val="20"/>
                <w:szCs w:val="20"/>
                <w:color w:val="auto"/>
              </w:rPr>
            </w:pPr>
            <w:r>
              <w:rPr>
                <w:rFonts w:ascii="Arial" w:cs="Arial" w:eastAsia="Arial" w:hAnsi="Arial"/>
                <w:sz w:val="14"/>
                <w:szCs w:val="14"/>
                <w:color w:val="auto"/>
              </w:rPr>
              <w:t>(66 )</w:t>
            </w:r>
          </w:p>
        </w:tc>
        <w:tc>
          <w:tcPr>
            <w:tcW w:w="360" w:type="dxa"/>
            <w:vAlign w:val="bottom"/>
          </w:tcPr>
          <w:p>
            <w:pPr>
              <w:spacing w:after="0"/>
              <w:rPr>
                <w:sz w:val="18"/>
                <w:szCs w:val="18"/>
                <w:color w:val="auto"/>
              </w:rPr>
            </w:pPr>
          </w:p>
        </w:tc>
        <w:tc>
          <w:tcPr>
            <w:tcW w:w="740" w:type="dxa"/>
            <w:vAlign w:val="bottom"/>
          </w:tcPr>
          <w:p>
            <w:pPr>
              <w:jc w:val="right"/>
              <w:ind w:right="68"/>
              <w:spacing w:after="0"/>
              <w:rPr>
                <w:sz w:val="20"/>
                <w:szCs w:val="20"/>
                <w:color w:val="auto"/>
              </w:rPr>
            </w:pPr>
            <w:r>
              <w:rPr>
                <w:rFonts w:ascii="Arial" w:cs="Arial" w:eastAsia="Arial" w:hAnsi="Arial"/>
                <w:sz w:val="14"/>
                <w:szCs w:val="14"/>
                <w:color w:val="auto"/>
              </w:rPr>
              <w:t>(227 )</w:t>
            </w:r>
          </w:p>
        </w:tc>
      </w:tr>
      <w:tr>
        <w:trPr>
          <w:trHeight w:val="216"/>
        </w:trPr>
        <w:tc>
          <w:tcPr>
            <w:tcW w:w="400" w:type="dxa"/>
            <w:vAlign w:val="bottom"/>
          </w:tcPr>
          <w:p>
            <w:pPr>
              <w:spacing w:after="0"/>
              <w:rPr>
                <w:sz w:val="18"/>
                <w:szCs w:val="18"/>
                <w:color w:val="auto"/>
              </w:rPr>
            </w:pPr>
          </w:p>
        </w:tc>
        <w:tc>
          <w:tcPr>
            <w:tcW w:w="72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8"/>
                <w:szCs w:val="18"/>
                <w:color w:val="auto"/>
              </w:rPr>
            </w:pPr>
          </w:p>
        </w:tc>
        <w:tc>
          <w:tcPr>
            <w:tcW w:w="700" w:type="dxa"/>
            <w:vAlign w:val="bottom"/>
          </w:tcPr>
          <w:p>
            <w:pPr>
              <w:jc w:val="right"/>
              <w:ind w:right="88"/>
              <w:spacing w:after="0"/>
              <w:rPr>
                <w:sz w:val="20"/>
                <w:szCs w:val="20"/>
                <w:color w:val="auto"/>
              </w:rPr>
            </w:pPr>
            <w:r>
              <w:rPr>
                <w:rFonts w:ascii="Arial" w:cs="Arial" w:eastAsia="Arial" w:hAnsi="Arial"/>
                <w:sz w:val="14"/>
                <w:szCs w:val="14"/>
                <w:color w:val="auto"/>
              </w:rPr>
              <w:t>(72 )</w:t>
            </w:r>
          </w:p>
        </w:tc>
        <w:tc>
          <w:tcPr>
            <w:tcW w:w="360" w:type="dxa"/>
            <w:vAlign w:val="bottom"/>
          </w:tcPr>
          <w:p>
            <w:pPr>
              <w:spacing w:after="0"/>
              <w:rPr>
                <w:sz w:val="18"/>
                <w:szCs w:val="18"/>
                <w:color w:val="auto"/>
              </w:rPr>
            </w:pPr>
          </w:p>
        </w:tc>
        <w:tc>
          <w:tcPr>
            <w:tcW w:w="740" w:type="dxa"/>
            <w:vAlign w:val="bottom"/>
          </w:tcPr>
          <w:p>
            <w:pPr>
              <w:jc w:val="right"/>
              <w:ind w:right="148"/>
              <w:spacing w:after="0"/>
              <w:rPr>
                <w:sz w:val="20"/>
                <w:szCs w:val="20"/>
                <w:color w:val="auto"/>
              </w:rPr>
            </w:pPr>
            <w:r>
              <w:rPr>
                <w:rFonts w:ascii="Arial" w:cs="Arial" w:eastAsia="Arial" w:hAnsi="Arial"/>
                <w:sz w:val="14"/>
                <w:szCs w:val="14"/>
                <w:color w:val="auto"/>
              </w:rPr>
              <w:t>72</w:t>
            </w:r>
          </w:p>
        </w:tc>
      </w:tr>
      <w:tr>
        <w:trPr>
          <w:trHeight w:val="216"/>
        </w:trPr>
        <w:tc>
          <w:tcPr>
            <w:tcW w:w="400" w:type="dxa"/>
            <w:vAlign w:val="bottom"/>
          </w:tcPr>
          <w:p>
            <w:pPr>
              <w:spacing w:after="0"/>
              <w:rPr>
                <w:sz w:val="18"/>
                <w:szCs w:val="18"/>
                <w:color w:val="auto"/>
              </w:rPr>
            </w:pPr>
          </w:p>
        </w:tc>
        <w:tc>
          <w:tcPr>
            <w:tcW w:w="720" w:type="dxa"/>
            <w:vAlign w:val="bottom"/>
          </w:tcPr>
          <w:p>
            <w:pPr>
              <w:jc w:val="right"/>
              <w:ind w:right="168"/>
              <w:spacing w:after="0"/>
              <w:rPr>
                <w:sz w:val="20"/>
                <w:szCs w:val="20"/>
                <w:color w:val="auto"/>
              </w:rPr>
            </w:pPr>
            <w:r>
              <w:rPr>
                <w:rFonts w:ascii="Arial" w:cs="Arial" w:eastAsia="Arial" w:hAnsi="Arial"/>
                <w:sz w:val="14"/>
                <w:szCs w:val="14"/>
                <w:color w:val="auto"/>
              </w:rPr>
              <w:t>9</w:t>
            </w:r>
          </w:p>
        </w:tc>
        <w:tc>
          <w:tcPr>
            <w:tcW w:w="440" w:type="dxa"/>
            <w:vAlign w:val="bottom"/>
          </w:tcPr>
          <w:p>
            <w:pPr>
              <w:spacing w:after="0"/>
              <w:rPr>
                <w:sz w:val="18"/>
                <w:szCs w:val="18"/>
                <w:color w:val="auto"/>
              </w:rPr>
            </w:pPr>
          </w:p>
        </w:tc>
        <w:tc>
          <w:tcPr>
            <w:tcW w:w="70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8"/>
                <w:szCs w:val="18"/>
                <w:color w:val="auto"/>
              </w:rPr>
            </w:pPr>
          </w:p>
        </w:tc>
        <w:tc>
          <w:tcPr>
            <w:tcW w:w="740" w:type="dxa"/>
            <w:vAlign w:val="bottom"/>
          </w:tcPr>
          <w:p>
            <w:pPr>
              <w:jc w:val="right"/>
              <w:ind w:right="148"/>
              <w:spacing w:after="0"/>
              <w:rPr>
                <w:sz w:val="20"/>
                <w:szCs w:val="20"/>
                <w:color w:val="auto"/>
              </w:rPr>
            </w:pPr>
            <w:r>
              <w:rPr>
                <w:rFonts w:ascii="Arial" w:cs="Arial" w:eastAsia="Arial" w:hAnsi="Arial"/>
                <w:sz w:val="14"/>
                <w:szCs w:val="14"/>
                <w:color w:val="auto"/>
              </w:rPr>
              <w:t>--</w:t>
            </w:r>
          </w:p>
        </w:tc>
      </w:tr>
      <w:tr>
        <w:trPr>
          <w:trHeight w:val="219"/>
        </w:trPr>
        <w:tc>
          <w:tcPr>
            <w:tcW w:w="4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(1 )</w:t>
            </w:r>
          </w:p>
        </w:tc>
        <w:tc>
          <w:tcPr>
            <w:tcW w:w="4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(5 )</w:t>
            </w:r>
          </w:p>
        </w:tc>
      </w:tr>
      <w:tr>
        <w:trPr>
          <w:trHeight w:val="208"/>
        </w:trPr>
        <w:tc>
          <w:tcPr>
            <w:tcW w:w="4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182</w:t>
            </w:r>
          </w:p>
        </w:tc>
        <w:tc>
          <w:tcPr>
            <w:tcW w:w="4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167</w:t>
            </w:r>
          </w:p>
        </w:tc>
        <w:tc>
          <w:tcPr>
            <w:tcW w:w="3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443</w:t>
            </w:r>
          </w:p>
        </w:tc>
      </w:tr>
      <w:tr>
        <w:trPr>
          <w:trHeight w:val="421"/>
        </w:trPr>
        <w:tc>
          <w:tcPr>
            <w:tcW w:w="400" w:type="dxa"/>
            <w:vAlign w:val="bottom"/>
          </w:tcPr>
          <w:p>
            <w:pPr>
              <w:spacing w:after="0"/>
              <w:rPr>
                <w:sz w:val="24"/>
                <w:szCs w:val="24"/>
                <w:color w:val="auto"/>
              </w:rPr>
            </w:pPr>
          </w:p>
        </w:tc>
        <w:tc>
          <w:tcPr>
            <w:tcW w:w="720" w:type="dxa"/>
            <w:vAlign w:val="bottom"/>
          </w:tcPr>
          <w:p>
            <w:pPr>
              <w:jc w:val="right"/>
              <w:ind w:right="108"/>
              <w:spacing w:after="0"/>
              <w:rPr>
                <w:sz w:val="20"/>
                <w:szCs w:val="20"/>
                <w:color w:val="auto"/>
              </w:rPr>
            </w:pPr>
            <w:r>
              <w:rPr>
                <w:rFonts w:ascii="Arial" w:cs="Arial" w:eastAsia="Arial" w:hAnsi="Arial"/>
                <w:sz w:val="14"/>
                <w:szCs w:val="14"/>
                <w:color w:val="auto"/>
              </w:rPr>
              <w:t>(139 )</w:t>
            </w:r>
          </w:p>
        </w:tc>
        <w:tc>
          <w:tcPr>
            <w:tcW w:w="440" w:type="dxa"/>
            <w:vAlign w:val="bottom"/>
          </w:tcPr>
          <w:p>
            <w:pPr>
              <w:spacing w:after="0"/>
              <w:rPr>
                <w:sz w:val="24"/>
                <w:szCs w:val="24"/>
                <w:color w:val="auto"/>
              </w:rPr>
            </w:pPr>
          </w:p>
        </w:tc>
        <w:tc>
          <w:tcPr>
            <w:tcW w:w="700" w:type="dxa"/>
            <w:vAlign w:val="bottom"/>
          </w:tcPr>
          <w:p>
            <w:pPr>
              <w:jc w:val="right"/>
              <w:ind w:right="148"/>
              <w:spacing w:after="0"/>
              <w:rPr>
                <w:sz w:val="20"/>
                <w:szCs w:val="20"/>
                <w:color w:val="auto"/>
              </w:rPr>
            </w:pPr>
            <w:r>
              <w:rPr>
                <w:rFonts w:ascii="Arial" w:cs="Arial" w:eastAsia="Arial" w:hAnsi="Arial"/>
                <w:sz w:val="14"/>
                <w:szCs w:val="14"/>
                <w:color w:val="auto"/>
              </w:rPr>
              <w:t>120</w:t>
            </w:r>
          </w:p>
        </w:tc>
        <w:tc>
          <w:tcPr>
            <w:tcW w:w="360" w:type="dxa"/>
            <w:vAlign w:val="bottom"/>
          </w:tcPr>
          <w:p>
            <w:pPr>
              <w:spacing w:after="0"/>
              <w:rPr>
                <w:sz w:val="24"/>
                <w:szCs w:val="24"/>
                <w:color w:val="auto"/>
              </w:rPr>
            </w:pPr>
          </w:p>
        </w:tc>
        <w:tc>
          <w:tcPr>
            <w:tcW w:w="740" w:type="dxa"/>
            <w:vAlign w:val="bottom"/>
          </w:tcPr>
          <w:p>
            <w:pPr>
              <w:jc w:val="right"/>
              <w:ind w:right="68"/>
              <w:spacing w:after="0"/>
              <w:rPr>
                <w:sz w:val="20"/>
                <w:szCs w:val="20"/>
                <w:color w:val="auto"/>
              </w:rPr>
            </w:pPr>
            <w:r>
              <w:rPr>
                <w:rFonts w:ascii="Arial" w:cs="Arial" w:eastAsia="Arial" w:hAnsi="Arial"/>
                <w:sz w:val="14"/>
                <w:szCs w:val="14"/>
                <w:color w:val="auto"/>
              </w:rPr>
              <w:t>(227 )</w:t>
            </w:r>
          </w:p>
        </w:tc>
      </w:tr>
      <w:tr>
        <w:trPr>
          <w:trHeight w:val="216"/>
        </w:trPr>
        <w:tc>
          <w:tcPr>
            <w:tcW w:w="400" w:type="dxa"/>
            <w:vAlign w:val="bottom"/>
          </w:tcPr>
          <w:p>
            <w:pPr>
              <w:spacing w:after="0"/>
              <w:rPr>
                <w:sz w:val="18"/>
                <w:szCs w:val="18"/>
                <w:color w:val="auto"/>
              </w:rPr>
            </w:pPr>
          </w:p>
        </w:tc>
        <w:tc>
          <w:tcPr>
            <w:tcW w:w="720" w:type="dxa"/>
            <w:vAlign w:val="bottom"/>
          </w:tcPr>
          <w:p>
            <w:pPr>
              <w:jc w:val="right"/>
              <w:ind w:right="168"/>
              <w:spacing w:after="0"/>
              <w:rPr>
                <w:sz w:val="20"/>
                <w:szCs w:val="20"/>
                <w:color w:val="auto"/>
              </w:rPr>
            </w:pPr>
            <w:r>
              <w:rPr>
                <w:rFonts w:ascii="Arial" w:cs="Arial" w:eastAsia="Arial" w:hAnsi="Arial"/>
                <w:sz w:val="14"/>
                <w:szCs w:val="14"/>
                <w:color w:val="auto"/>
              </w:rPr>
              <w:t>158</w:t>
            </w:r>
          </w:p>
        </w:tc>
        <w:tc>
          <w:tcPr>
            <w:tcW w:w="440" w:type="dxa"/>
            <w:vAlign w:val="bottom"/>
          </w:tcPr>
          <w:p>
            <w:pPr>
              <w:spacing w:after="0"/>
              <w:rPr>
                <w:sz w:val="18"/>
                <w:szCs w:val="18"/>
                <w:color w:val="auto"/>
              </w:rPr>
            </w:pPr>
          </w:p>
        </w:tc>
        <w:tc>
          <w:tcPr>
            <w:tcW w:w="700" w:type="dxa"/>
            <w:vAlign w:val="bottom"/>
          </w:tcPr>
          <w:p>
            <w:pPr>
              <w:jc w:val="right"/>
              <w:ind w:right="148"/>
              <w:spacing w:after="0"/>
              <w:rPr>
                <w:sz w:val="20"/>
                <w:szCs w:val="20"/>
                <w:color w:val="auto"/>
              </w:rPr>
            </w:pPr>
            <w:r>
              <w:rPr>
                <w:rFonts w:ascii="Arial" w:cs="Arial" w:eastAsia="Arial" w:hAnsi="Arial"/>
                <w:sz w:val="14"/>
                <w:szCs w:val="14"/>
                <w:color w:val="auto"/>
              </w:rPr>
              <w:t>9</w:t>
            </w:r>
          </w:p>
        </w:tc>
        <w:tc>
          <w:tcPr>
            <w:tcW w:w="360" w:type="dxa"/>
            <w:vAlign w:val="bottom"/>
          </w:tcPr>
          <w:p>
            <w:pPr>
              <w:spacing w:after="0"/>
              <w:rPr>
                <w:sz w:val="18"/>
                <w:szCs w:val="18"/>
                <w:color w:val="auto"/>
              </w:rPr>
            </w:pPr>
          </w:p>
        </w:tc>
        <w:tc>
          <w:tcPr>
            <w:tcW w:w="740" w:type="dxa"/>
            <w:vAlign w:val="bottom"/>
          </w:tcPr>
          <w:p>
            <w:pPr>
              <w:jc w:val="right"/>
              <w:ind w:right="148"/>
              <w:spacing w:after="0"/>
              <w:rPr>
                <w:sz w:val="20"/>
                <w:szCs w:val="20"/>
                <w:color w:val="auto"/>
              </w:rPr>
            </w:pPr>
            <w:r>
              <w:rPr>
                <w:rFonts w:ascii="Arial" w:cs="Arial" w:eastAsia="Arial" w:hAnsi="Arial"/>
                <w:sz w:val="14"/>
                <w:szCs w:val="14"/>
                <w:color w:val="auto"/>
              </w:rPr>
              <w:t>236</w:t>
            </w:r>
          </w:p>
        </w:tc>
      </w:tr>
      <w:tr>
        <w:trPr>
          <w:trHeight w:val="219"/>
        </w:trPr>
        <w:tc>
          <w:tcPr>
            <w:tcW w:w="4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4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29</w:t>
            </w:r>
          </w:p>
        </w:tc>
        <w:tc>
          <w:tcPr>
            <w:tcW w:w="3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r>
      <w:tr>
        <w:trPr>
          <w:trHeight w:val="205"/>
        </w:trPr>
        <w:tc>
          <w:tcPr>
            <w:tcW w:w="40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168"/>
              <w:spacing w:after="0"/>
              <w:rPr>
                <w:sz w:val="20"/>
                <w:szCs w:val="20"/>
                <w:color w:val="auto"/>
              </w:rPr>
            </w:pPr>
            <w:r>
              <w:rPr>
                <w:rFonts w:ascii="Arial" w:cs="Arial" w:eastAsia="Arial" w:hAnsi="Arial"/>
                <w:sz w:val="14"/>
                <w:szCs w:val="14"/>
                <w:color w:val="auto"/>
              </w:rPr>
              <w:t>19</w:t>
            </w:r>
          </w:p>
        </w:tc>
        <w:tc>
          <w:tcPr>
            <w:tcW w:w="44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148"/>
              <w:spacing w:after="0"/>
              <w:rPr>
                <w:sz w:val="20"/>
                <w:szCs w:val="20"/>
                <w:color w:val="auto"/>
              </w:rPr>
            </w:pPr>
            <w:r>
              <w:rPr>
                <w:rFonts w:ascii="Arial" w:cs="Arial" w:eastAsia="Arial" w:hAnsi="Arial"/>
                <w:sz w:val="14"/>
                <w:szCs w:val="14"/>
                <w:color w:val="auto"/>
              </w:rPr>
              <w:t>158</w:t>
            </w:r>
          </w:p>
        </w:tc>
        <w:tc>
          <w:tcPr>
            <w:tcW w:w="3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148"/>
              <w:spacing w:after="0"/>
              <w:rPr>
                <w:sz w:val="20"/>
                <w:szCs w:val="20"/>
                <w:color w:val="auto"/>
              </w:rPr>
            </w:pPr>
            <w:r>
              <w:rPr>
                <w:rFonts w:ascii="Arial" w:cs="Arial" w:eastAsia="Arial" w:hAnsi="Arial"/>
                <w:sz w:val="14"/>
                <w:szCs w:val="14"/>
                <w:color w:val="auto"/>
              </w:rPr>
              <w:t>9</w:t>
            </w:r>
          </w:p>
        </w:tc>
      </w:tr>
    </w:tbl>
    <w:p>
      <w:pPr>
        <w:spacing w:after="0" w:line="266" w:lineRule="exact"/>
        <w:rPr>
          <w:sz w:val="20"/>
          <w:szCs w:val="20"/>
          <w:color w:val="auto"/>
        </w:rPr>
      </w:pPr>
    </w:p>
    <w:p>
      <w:pPr>
        <w:sectPr>
          <w:pgSz w:w="11900" w:h="16838" w:orient="portrait"/>
          <w:cols w:equalWidth="0" w:num="2">
            <w:col w:w="6040" w:space="160"/>
            <w:col w:w="4019"/>
          </w:cols>
          <w:pgMar w:left="240" w:top="352" w:right="1440" w:bottom="1440" w:gutter="0" w:footer="0" w:header="0"/>
          <w:type w:val="continuous"/>
        </w:sectPr>
      </w:pPr>
    </w:p>
    <w:p>
      <w:pPr>
        <w:spacing w:after="0" w:line="32" w:lineRule="exact"/>
        <w:rPr>
          <w:sz w:val="20"/>
          <w:szCs w:val="20"/>
          <w:color w:val="auto"/>
        </w:rPr>
      </w:pPr>
    </w:p>
    <w:p>
      <w:pPr>
        <w:jc w:val="right"/>
        <w:ind w:right="5559"/>
        <w:spacing w:after="0"/>
        <w:rPr>
          <w:sz w:val="20"/>
          <w:szCs w:val="20"/>
          <w:color w:val="auto"/>
        </w:rPr>
      </w:pPr>
      <w:r>
        <w:rPr>
          <w:rFonts w:ascii="Arial" w:cs="Arial" w:eastAsia="Arial" w:hAnsi="Arial"/>
          <w:sz w:val="13"/>
          <w:szCs w:val="13"/>
          <w:i w:val="1"/>
          <w:iCs w:val="1"/>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4"/>
          <w:szCs w:val="14"/>
          <w:color w:val="auto"/>
        </w:rPr>
        <w:t>78</w:t>
      </w:r>
    </w:p>
    <w:p>
      <w:pPr>
        <w:sectPr>
          <w:pgSz w:w="11900" w:h="16838" w:orient="portrait"/>
          <w:cols w:equalWidth="0" w:num="1">
            <w:col w:w="10219"/>
          </w:cols>
          <w:pgMar w:left="240" w:top="352" w:right="1440" w:bottom="1440" w:gutter="0" w:footer="0" w:header="0"/>
          <w:type w:val="continuous"/>
        </w:sectPr>
      </w:pPr>
    </w:p>
    <w:bookmarkStart w:id="218" w:name="page219"/>
    <w:bookmarkEnd w:id="218"/>
    <w:p>
      <w:pPr>
        <w:ind w:left="1900"/>
        <w:spacing w:after="0"/>
        <w:rPr>
          <w:sz w:val="20"/>
          <w:szCs w:val="20"/>
          <w:color w:val="auto"/>
        </w:rPr>
      </w:pPr>
      <w:r>
        <w:rPr>
          <w:rFonts w:ascii="Arial" w:cs="Arial" w:eastAsia="Arial" w:hAnsi="Arial"/>
          <w:sz w:val="14"/>
          <w:szCs w:val="14"/>
          <w:b w:val="1"/>
          <w:bCs w:val="1"/>
          <w:color w:val="auto"/>
        </w:rPr>
        <w:t>SAN DIEGO GAS &amp; ELECTRIC COMPANY AND SUBSIDIARY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1195070</wp:posOffset>
            </wp:positionH>
            <wp:positionV relativeFrom="paragraph">
              <wp:posOffset>-99060</wp:posOffset>
            </wp:positionV>
            <wp:extent cx="4866640" cy="38163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4866640" cy="381635"/>
                    </a:xfrm>
                    <a:prstGeom prst="rect">
                      <a:avLst/>
                    </a:prstGeom>
                    <a:noFill/>
                  </pic:spPr>
                </pic:pic>
              </a:graphicData>
            </a:graphic>
          </wp:anchor>
        </w:drawing>
      </w:r>
    </w:p>
    <w:p>
      <w:pPr>
        <w:spacing w:after="0" w:line="11" w:lineRule="exact"/>
        <w:rPr>
          <w:sz w:val="20"/>
          <w:szCs w:val="20"/>
          <w:color w:val="auto"/>
        </w:rPr>
      </w:pPr>
    </w:p>
    <w:p>
      <w:pPr>
        <w:ind w:left="1900"/>
        <w:spacing w:after="0"/>
        <w:rPr>
          <w:sz w:val="20"/>
          <w:szCs w:val="20"/>
          <w:color w:val="auto"/>
        </w:rPr>
      </w:pPr>
      <w:r>
        <w:rPr>
          <w:rFonts w:ascii="Arial" w:cs="Arial" w:eastAsia="Arial" w:hAnsi="Arial"/>
          <w:sz w:val="14"/>
          <w:szCs w:val="14"/>
          <w:b w:val="1"/>
          <w:bCs w:val="1"/>
          <w:color w:val="auto"/>
        </w:rPr>
        <w:t>STATEMENTS OF CONSOLIDATED CASH FLOWS</w:t>
      </w:r>
    </w:p>
    <w:p>
      <w:pPr>
        <w:spacing w:after="0" w:line="76" w:lineRule="exact"/>
        <w:rPr>
          <w:sz w:val="20"/>
          <w:szCs w:val="20"/>
          <w:color w:val="auto"/>
        </w:rPr>
      </w:pPr>
    </w:p>
    <w:tbl>
      <w:tblPr>
        <w:tblLayout w:type="fixed"/>
        <w:tblInd w:w="1880" w:type="dxa"/>
        <w:tblCellMar>
          <w:top w:w="0" w:type="dxa"/>
          <w:left w:w="0" w:type="dxa"/>
          <w:bottom w:w="0" w:type="dxa"/>
          <w:right w:w="0" w:type="dxa"/>
        </w:tblCellMar>
      </w:tblPr>
      <w:tr>
        <w:trPr>
          <w:trHeight w:val="166"/>
        </w:trPr>
        <w:tc>
          <w:tcPr>
            <w:tcW w:w="4340" w:type="dxa"/>
            <w:vAlign w:val="bottom"/>
          </w:tcPr>
          <w:p>
            <w:pPr>
              <w:ind w:left="20"/>
              <w:spacing w:after="0"/>
              <w:rPr>
                <w:sz w:val="20"/>
                <w:szCs w:val="20"/>
                <w:color w:val="auto"/>
              </w:rPr>
            </w:pPr>
            <w:r>
              <w:rPr>
                <w:rFonts w:ascii="Arial" w:cs="Arial" w:eastAsia="Arial" w:hAnsi="Arial"/>
                <w:sz w:val="13"/>
                <w:szCs w:val="13"/>
                <w:i w:val="1"/>
                <w:iCs w:val="1"/>
                <w:color w:val="auto"/>
              </w:rPr>
              <w:t>(Dollars in millions)</w:t>
            </w:r>
          </w:p>
        </w:tc>
        <w:tc>
          <w:tcPr>
            <w:tcW w:w="7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4340" w:type="dxa"/>
            <w:vAlign w:val="bottom"/>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gridSpan w:val="4"/>
          </w:tcPr>
          <w:p>
            <w:pPr>
              <w:jc w:val="right"/>
              <w:ind w:right="68"/>
              <w:spacing w:after="0"/>
              <w:rPr>
                <w:sz w:val="20"/>
                <w:szCs w:val="20"/>
                <w:color w:val="auto"/>
              </w:rPr>
            </w:pPr>
            <w:r>
              <w:rPr>
                <w:rFonts w:ascii="Arial" w:cs="Arial" w:eastAsia="Arial" w:hAnsi="Arial"/>
                <w:sz w:val="13"/>
                <w:szCs w:val="13"/>
                <w:color w:val="auto"/>
              </w:rPr>
              <w:t>Years ended December 31,</w:t>
            </w:r>
          </w:p>
        </w:tc>
        <w:tc>
          <w:tcPr>
            <w:tcW w:w="7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3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2008</w:t>
            </w:r>
          </w:p>
        </w:tc>
        <w:tc>
          <w:tcPr>
            <w:tcW w:w="38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90"/>
              <w:spacing w:after="0"/>
              <w:rPr>
                <w:sz w:val="20"/>
                <w:szCs w:val="20"/>
                <w:color w:val="auto"/>
              </w:rPr>
            </w:pPr>
            <w:r>
              <w:rPr>
                <w:rFonts w:ascii="Arial" w:cs="Arial" w:eastAsia="Arial" w:hAnsi="Arial"/>
                <w:sz w:val="13"/>
                <w:szCs w:val="13"/>
                <w:color w:val="auto"/>
              </w:rPr>
              <w:t>2007</w:t>
            </w:r>
          </w:p>
        </w:tc>
        <w:tc>
          <w:tcPr>
            <w:tcW w:w="3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290"/>
              <w:spacing w:after="0"/>
              <w:rPr>
                <w:sz w:val="20"/>
                <w:szCs w:val="20"/>
                <w:color w:val="auto"/>
              </w:rPr>
            </w:pPr>
            <w:r>
              <w:rPr>
                <w:rFonts w:ascii="Arial" w:cs="Arial" w:eastAsia="Arial" w:hAnsi="Arial"/>
                <w:sz w:val="13"/>
                <w:szCs w:val="13"/>
                <w:color w:val="auto"/>
              </w:rPr>
              <w:t>2006</w:t>
            </w:r>
          </w:p>
        </w:tc>
        <w:tc>
          <w:tcPr>
            <w:tcW w:w="0" w:type="dxa"/>
            <w:vAlign w:val="bottom"/>
          </w:tcPr>
          <w:p>
            <w:pPr>
              <w:spacing w:after="0"/>
              <w:rPr>
                <w:sz w:val="1"/>
                <w:szCs w:val="1"/>
                <w:color w:val="auto"/>
              </w:rPr>
            </w:pPr>
          </w:p>
        </w:tc>
      </w:tr>
      <w:tr>
        <w:trPr>
          <w:trHeight w:val="423"/>
        </w:trPr>
        <w:tc>
          <w:tcPr>
            <w:tcW w:w="4340" w:type="dxa"/>
            <w:vAlign w:val="bottom"/>
          </w:tcPr>
          <w:p>
            <w:pPr>
              <w:ind w:left="20"/>
              <w:spacing w:after="0"/>
              <w:rPr>
                <w:sz w:val="20"/>
                <w:szCs w:val="20"/>
                <w:color w:val="auto"/>
              </w:rPr>
            </w:pPr>
            <w:r>
              <w:rPr>
                <w:rFonts w:ascii="Arial" w:cs="Arial" w:eastAsia="Arial" w:hAnsi="Arial"/>
                <w:sz w:val="14"/>
                <w:szCs w:val="14"/>
                <w:color w:val="auto"/>
              </w:rPr>
              <w:t>SUPPLEMENTAL DISCLOSURE OF CASH FLOW INFORMATION</w:t>
            </w:r>
          </w:p>
        </w:tc>
        <w:tc>
          <w:tcPr>
            <w:tcW w:w="7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4340" w:type="dxa"/>
            <w:vAlign w:val="bottom"/>
          </w:tcPr>
          <w:p>
            <w:pPr>
              <w:ind w:left="620"/>
              <w:spacing w:after="0"/>
              <w:rPr>
                <w:sz w:val="20"/>
                <w:szCs w:val="20"/>
                <w:color w:val="auto"/>
              </w:rPr>
            </w:pPr>
            <w:r>
              <w:rPr>
                <w:rFonts w:ascii="Arial" w:cs="Arial" w:eastAsia="Arial" w:hAnsi="Arial"/>
                <w:sz w:val="14"/>
                <w:szCs w:val="14"/>
                <w:color w:val="auto"/>
              </w:rPr>
              <w:t>Interest payments, net of amounts capitalized</w:t>
            </w:r>
          </w:p>
        </w:tc>
        <w:tc>
          <w:tcPr>
            <w:tcW w:w="720" w:type="dxa"/>
            <w:vAlign w:val="bottom"/>
            <w:tcBorders>
              <w:bottom w:val="single" w:sz="8" w:color="auto"/>
            </w:tcBorders>
          </w:tcPr>
          <w:p>
            <w:pPr>
              <w:jc w:val="right"/>
              <w:ind w:right="430"/>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auto"/>
            </w:tcBorders>
          </w:tcPr>
          <w:p>
            <w:pPr>
              <w:jc w:val="right"/>
              <w:ind w:right="130"/>
              <w:spacing w:after="0"/>
              <w:rPr>
                <w:sz w:val="20"/>
                <w:szCs w:val="20"/>
                <w:color w:val="auto"/>
              </w:rPr>
            </w:pPr>
            <w:r>
              <w:rPr>
                <w:rFonts w:ascii="Arial" w:cs="Arial" w:eastAsia="Arial" w:hAnsi="Arial"/>
                <w:sz w:val="14"/>
                <w:szCs w:val="14"/>
                <w:color w:val="auto"/>
              </w:rPr>
              <w:t>92</w:t>
            </w:r>
          </w:p>
        </w:tc>
        <w:tc>
          <w:tcPr>
            <w:tcW w:w="3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ind w:right="110"/>
              <w:spacing w:after="0"/>
              <w:rPr>
                <w:sz w:val="20"/>
                <w:szCs w:val="20"/>
                <w:color w:val="auto"/>
              </w:rPr>
            </w:pPr>
            <w:r>
              <w:rPr>
                <w:rFonts w:ascii="Arial" w:cs="Arial" w:eastAsia="Arial" w:hAnsi="Arial"/>
                <w:sz w:val="14"/>
                <w:szCs w:val="14"/>
                <w:color w:val="auto"/>
              </w:rPr>
              <w:t>85</w:t>
            </w:r>
          </w:p>
        </w:tc>
        <w:tc>
          <w:tcPr>
            <w:tcW w:w="3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ind w:right="150"/>
              <w:spacing w:after="0"/>
              <w:rPr>
                <w:sz w:val="20"/>
                <w:szCs w:val="20"/>
                <w:color w:val="auto"/>
              </w:rPr>
            </w:pPr>
            <w:r>
              <w:rPr>
                <w:rFonts w:ascii="Arial" w:cs="Arial" w:eastAsia="Arial" w:hAnsi="Arial"/>
                <w:sz w:val="14"/>
                <w:szCs w:val="14"/>
                <w:color w:val="auto"/>
              </w:rPr>
              <w:t>91</w:t>
            </w:r>
          </w:p>
        </w:tc>
        <w:tc>
          <w:tcPr>
            <w:tcW w:w="0" w:type="dxa"/>
            <w:vAlign w:val="bottom"/>
          </w:tcPr>
          <w:p>
            <w:pPr>
              <w:spacing w:after="0"/>
              <w:rPr>
                <w:sz w:val="1"/>
                <w:szCs w:val="1"/>
                <w:color w:val="auto"/>
              </w:rPr>
            </w:pPr>
          </w:p>
        </w:tc>
      </w:tr>
      <w:tr>
        <w:trPr>
          <w:trHeight w:val="448"/>
        </w:trPr>
        <w:tc>
          <w:tcPr>
            <w:tcW w:w="4340" w:type="dxa"/>
            <w:vAlign w:val="bottom"/>
          </w:tcPr>
          <w:p>
            <w:pPr>
              <w:ind w:left="620"/>
              <w:spacing w:after="0"/>
              <w:rPr>
                <w:sz w:val="20"/>
                <w:szCs w:val="20"/>
                <w:color w:val="auto"/>
              </w:rPr>
            </w:pPr>
            <w:r>
              <w:rPr>
                <w:rFonts w:ascii="Arial" w:cs="Arial" w:eastAsia="Arial" w:hAnsi="Arial"/>
                <w:sz w:val="14"/>
                <w:szCs w:val="14"/>
                <w:color w:val="auto"/>
              </w:rPr>
              <w:t>Income tax payments, net of refunds</w:t>
            </w:r>
          </w:p>
        </w:tc>
        <w:tc>
          <w:tcPr>
            <w:tcW w:w="720" w:type="dxa"/>
            <w:vAlign w:val="bottom"/>
            <w:tcBorders>
              <w:bottom w:val="single" w:sz="8" w:color="auto"/>
            </w:tcBorders>
          </w:tcPr>
          <w:p>
            <w:pPr>
              <w:jc w:val="right"/>
              <w:ind w:right="430"/>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auto"/>
            </w:tcBorders>
          </w:tcPr>
          <w:p>
            <w:pPr>
              <w:jc w:val="right"/>
              <w:ind w:right="130"/>
              <w:spacing w:after="0"/>
              <w:rPr>
                <w:sz w:val="20"/>
                <w:szCs w:val="20"/>
                <w:color w:val="auto"/>
              </w:rPr>
            </w:pPr>
            <w:r>
              <w:rPr>
                <w:rFonts w:ascii="Arial" w:cs="Arial" w:eastAsia="Arial" w:hAnsi="Arial"/>
                <w:sz w:val="14"/>
                <w:szCs w:val="14"/>
                <w:color w:val="auto"/>
              </w:rPr>
              <w:t>3</w:t>
            </w:r>
          </w:p>
        </w:tc>
        <w:tc>
          <w:tcPr>
            <w:tcW w:w="3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ind w:right="110"/>
              <w:spacing w:after="0"/>
              <w:rPr>
                <w:sz w:val="20"/>
                <w:szCs w:val="20"/>
                <w:color w:val="auto"/>
              </w:rPr>
            </w:pPr>
            <w:r>
              <w:rPr>
                <w:rFonts w:ascii="Arial" w:cs="Arial" w:eastAsia="Arial" w:hAnsi="Arial"/>
                <w:sz w:val="14"/>
                <w:szCs w:val="14"/>
                <w:color w:val="auto"/>
              </w:rPr>
              <w:t>206</w:t>
            </w:r>
          </w:p>
        </w:tc>
        <w:tc>
          <w:tcPr>
            <w:tcW w:w="3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ind w:right="150"/>
              <w:spacing w:after="0"/>
              <w:rPr>
                <w:sz w:val="20"/>
                <w:szCs w:val="20"/>
                <w:color w:val="auto"/>
              </w:rPr>
            </w:pPr>
            <w:r>
              <w:rPr>
                <w:rFonts w:ascii="Arial" w:cs="Arial" w:eastAsia="Arial" w:hAnsi="Arial"/>
                <w:sz w:val="14"/>
                <w:szCs w:val="14"/>
                <w:color w:val="auto"/>
              </w:rPr>
              <w:t>313</w:t>
            </w:r>
          </w:p>
        </w:tc>
        <w:tc>
          <w:tcPr>
            <w:tcW w:w="0" w:type="dxa"/>
            <w:vAlign w:val="bottom"/>
          </w:tcPr>
          <w:p>
            <w:pPr>
              <w:spacing w:after="0"/>
              <w:rPr>
                <w:sz w:val="1"/>
                <w:szCs w:val="1"/>
                <w:color w:val="auto"/>
              </w:rPr>
            </w:pPr>
          </w:p>
        </w:tc>
      </w:tr>
      <w:tr>
        <w:trPr>
          <w:trHeight w:val="426"/>
        </w:trPr>
        <w:tc>
          <w:tcPr>
            <w:tcW w:w="4340" w:type="dxa"/>
            <w:vAlign w:val="bottom"/>
          </w:tcPr>
          <w:p>
            <w:pPr>
              <w:ind w:left="20"/>
              <w:spacing w:after="0"/>
              <w:rPr>
                <w:sz w:val="20"/>
                <w:szCs w:val="20"/>
                <w:color w:val="auto"/>
              </w:rPr>
            </w:pPr>
            <w:r>
              <w:rPr>
                <w:rFonts w:ascii="Arial" w:cs="Arial" w:eastAsia="Arial" w:hAnsi="Arial"/>
                <w:sz w:val="14"/>
                <w:szCs w:val="14"/>
                <w:color w:val="auto"/>
              </w:rPr>
              <w:t>SUPPLEMENTAL DISCLOSURE OF NONCASH ACTIVITIES</w:t>
            </w:r>
          </w:p>
        </w:tc>
        <w:tc>
          <w:tcPr>
            <w:tcW w:w="7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4340" w:type="dxa"/>
            <w:vAlign w:val="bottom"/>
          </w:tcPr>
          <w:p>
            <w:pPr>
              <w:ind w:left="620"/>
              <w:spacing w:after="0"/>
              <w:rPr>
                <w:sz w:val="20"/>
                <w:szCs w:val="20"/>
                <w:color w:val="auto"/>
              </w:rPr>
            </w:pPr>
            <w:r>
              <w:rPr>
                <w:rFonts w:ascii="Arial" w:cs="Arial" w:eastAsia="Arial" w:hAnsi="Arial"/>
                <w:sz w:val="14"/>
                <w:szCs w:val="14"/>
                <w:color w:val="auto"/>
              </w:rPr>
              <w:t>Increase in accounts payable from investments in</w:t>
            </w:r>
          </w:p>
        </w:tc>
        <w:tc>
          <w:tcPr>
            <w:tcW w:w="720" w:type="dxa"/>
            <w:vAlign w:val="bottom"/>
            <w:vMerge w:val="restart"/>
          </w:tcPr>
          <w:p>
            <w:pPr>
              <w:jc w:val="right"/>
              <w:ind w:right="430"/>
              <w:spacing w:after="0"/>
              <w:rPr>
                <w:sz w:val="20"/>
                <w:szCs w:val="20"/>
                <w:color w:val="auto"/>
              </w:rPr>
            </w:pPr>
            <w:r>
              <w:rPr>
                <w:rFonts w:ascii="Arial" w:cs="Arial" w:eastAsia="Arial" w:hAnsi="Arial"/>
                <w:sz w:val="14"/>
                <w:szCs w:val="14"/>
                <w:color w:val="auto"/>
              </w:rPr>
              <w:t>$</w:t>
            </w:r>
          </w:p>
        </w:tc>
        <w:tc>
          <w:tcPr>
            <w:tcW w:w="380" w:type="dxa"/>
            <w:vAlign w:val="bottom"/>
            <w:vMerge w:val="restart"/>
          </w:tcPr>
          <w:p>
            <w:pPr>
              <w:jc w:val="right"/>
              <w:ind w:right="130"/>
              <w:spacing w:after="0"/>
              <w:rPr>
                <w:sz w:val="20"/>
                <w:szCs w:val="20"/>
                <w:color w:val="auto"/>
              </w:rPr>
            </w:pPr>
            <w:r>
              <w:rPr>
                <w:rFonts w:ascii="Arial" w:cs="Arial" w:eastAsia="Arial" w:hAnsi="Arial"/>
                <w:sz w:val="14"/>
                <w:szCs w:val="14"/>
                <w:color w:val="auto"/>
              </w:rPr>
              <w:t>33</w:t>
            </w:r>
          </w:p>
        </w:tc>
        <w:tc>
          <w:tcPr>
            <w:tcW w:w="38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760" w:type="dxa"/>
            <w:vAlign w:val="bottom"/>
            <w:vMerge w:val="restart"/>
          </w:tcPr>
          <w:p>
            <w:pPr>
              <w:jc w:val="right"/>
              <w:ind w:right="110"/>
              <w:spacing w:after="0"/>
              <w:rPr>
                <w:sz w:val="20"/>
                <w:szCs w:val="20"/>
                <w:color w:val="auto"/>
              </w:rPr>
            </w:pPr>
            <w:r>
              <w:rPr>
                <w:rFonts w:ascii="Arial" w:cs="Arial" w:eastAsia="Arial" w:hAnsi="Arial"/>
                <w:sz w:val="14"/>
                <w:szCs w:val="14"/>
                <w:color w:val="auto"/>
              </w:rPr>
              <w:t>37</w:t>
            </w:r>
          </w:p>
        </w:tc>
        <w:tc>
          <w:tcPr>
            <w:tcW w:w="34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740" w:type="dxa"/>
            <w:vAlign w:val="bottom"/>
            <w:vMerge w:val="restart"/>
          </w:tcPr>
          <w:p>
            <w:pPr>
              <w:jc w:val="right"/>
              <w:ind w:right="150"/>
              <w:spacing w:after="0"/>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164"/>
        </w:trPr>
        <w:tc>
          <w:tcPr>
            <w:tcW w:w="4340" w:type="dxa"/>
            <w:vAlign w:val="bottom"/>
          </w:tcPr>
          <w:p>
            <w:pPr>
              <w:ind w:left="800"/>
              <w:spacing w:after="0" w:line="143" w:lineRule="exact"/>
              <w:rPr>
                <w:sz w:val="20"/>
                <w:szCs w:val="20"/>
                <w:color w:val="auto"/>
              </w:rPr>
            </w:pPr>
            <w:r>
              <w:rPr>
                <w:rFonts w:ascii="Arial" w:cs="Arial" w:eastAsia="Arial" w:hAnsi="Arial"/>
                <w:sz w:val="14"/>
                <w:szCs w:val="14"/>
                <w:color w:val="auto"/>
              </w:rPr>
              <w:t>property, plant and equipment</w:t>
            </w:r>
          </w:p>
        </w:tc>
        <w:tc>
          <w:tcPr>
            <w:tcW w:w="720" w:type="dxa"/>
            <w:vAlign w:val="bottom"/>
            <w:tcBorders>
              <w:bottom w:val="single" w:sz="8" w:color="auto"/>
            </w:tcBorders>
            <w:vMerge w:val="continue"/>
          </w:tcPr>
          <w:p>
            <w:pPr>
              <w:spacing w:after="0"/>
              <w:rPr>
                <w:sz w:val="13"/>
                <w:szCs w:val="13"/>
                <w:color w:val="auto"/>
              </w:rPr>
            </w:pPr>
          </w:p>
        </w:tc>
        <w:tc>
          <w:tcPr>
            <w:tcW w:w="380" w:type="dxa"/>
            <w:vAlign w:val="bottom"/>
            <w:tcBorders>
              <w:bottom w:val="single" w:sz="8" w:color="auto"/>
            </w:tcBorders>
            <w:vMerge w:val="continue"/>
          </w:tcPr>
          <w:p>
            <w:pPr>
              <w:spacing w:after="0"/>
              <w:rPr>
                <w:sz w:val="13"/>
                <w:szCs w:val="13"/>
                <w:color w:val="auto"/>
              </w:rPr>
            </w:pPr>
          </w:p>
        </w:tc>
        <w:tc>
          <w:tcPr>
            <w:tcW w:w="380" w:type="dxa"/>
            <w:vAlign w:val="bottom"/>
            <w:tcBorders>
              <w:bottom w:val="single" w:sz="8" w:color="auto"/>
            </w:tcBorders>
            <w:vMerge w:val="continue"/>
          </w:tcPr>
          <w:p>
            <w:pPr>
              <w:spacing w:after="0"/>
              <w:rPr>
                <w:sz w:val="13"/>
                <w:szCs w:val="13"/>
                <w:color w:val="auto"/>
              </w:rPr>
            </w:pPr>
          </w:p>
        </w:tc>
        <w:tc>
          <w:tcPr>
            <w:tcW w:w="760" w:type="dxa"/>
            <w:vAlign w:val="bottom"/>
            <w:tcBorders>
              <w:bottom w:val="single" w:sz="8" w:color="auto"/>
            </w:tcBorders>
            <w:vMerge w:val="continue"/>
          </w:tcPr>
          <w:p>
            <w:pPr>
              <w:spacing w:after="0"/>
              <w:rPr>
                <w:sz w:val="13"/>
                <w:szCs w:val="13"/>
                <w:color w:val="auto"/>
              </w:rPr>
            </w:pPr>
          </w:p>
        </w:tc>
        <w:tc>
          <w:tcPr>
            <w:tcW w:w="340" w:type="dxa"/>
            <w:vAlign w:val="bottom"/>
            <w:tcBorders>
              <w:bottom w:val="single" w:sz="8" w:color="auto"/>
            </w:tcBorders>
            <w:vMerge w:val="continue"/>
          </w:tcPr>
          <w:p>
            <w:pPr>
              <w:spacing w:after="0"/>
              <w:rPr>
                <w:sz w:val="13"/>
                <w:szCs w:val="13"/>
                <w:color w:val="auto"/>
              </w:rPr>
            </w:pPr>
          </w:p>
        </w:tc>
        <w:tc>
          <w:tcPr>
            <w:tcW w:w="74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448"/>
        </w:trPr>
        <w:tc>
          <w:tcPr>
            <w:tcW w:w="4340" w:type="dxa"/>
            <w:vAlign w:val="bottom"/>
            <w:tcBorders>
              <w:bottom w:val="single" w:sz="8" w:color="auto"/>
            </w:tcBorders>
          </w:tcPr>
          <w:p>
            <w:pPr>
              <w:ind w:left="620"/>
              <w:spacing w:after="0"/>
              <w:rPr>
                <w:sz w:val="20"/>
                <w:szCs w:val="20"/>
                <w:color w:val="auto"/>
              </w:rPr>
            </w:pPr>
            <w:r>
              <w:rPr>
                <w:rFonts w:ascii="Arial" w:cs="Arial" w:eastAsia="Arial" w:hAnsi="Arial"/>
                <w:sz w:val="14"/>
                <w:szCs w:val="14"/>
                <w:color w:val="auto"/>
              </w:rPr>
              <w:t>Dividends declared but not paid</w:t>
            </w:r>
          </w:p>
        </w:tc>
        <w:tc>
          <w:tcPr>
            <w:tcW w:w="720" w:type="dxa"/>
            <w:vAlign w:val="bottom"/>
            <w:tcBorders>
              <w:bottom w:val="single" w:sz="8" w:color="auto"/>
            </w:tcBorders>
          </w:tcPr>
          <w:p>
            <w:pPr>
              <w:jc w:val="right"/>
              <w:ind w:right="430"/>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auto"/>
            </w:tcBorders>
          </w:tcPr>
          <w:p>
            <w:pPr>
              <w:jc w:val="right"/>
              <w:ind w:right="130"/>
              <w:spacing w:after="0"/>
              <w:rPr>
                <w:sz w:val="20"/>
                <w:szCs w:val="20"/>
                <w:color w:val="auto"/>
              </w:rPr>
            </w:pPr>
            <w:r>
              <w:rPr>
                <w:rFonts w:ascii="Arial" w:cs="Arial" w:eastAsia="Arial" w:hAnsi="Arial"/>
                <w:sz w:val="14"/>
                <w:szCs w:val="14"/>
                <w:color w:val="auto"/>
              </w:rPr>
              <w:t>1</w:t>
            </w:r>
          </w:p>
        </w:tc>
        <w:tc>
          <w:tcPr>
            <w:tcW w:w="3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ind w:right="110"/>
              <w:spacing w:after="0"/>
              <w:rPr>
                <w:sz w:val="20"/>
                <w:szCs w:val="20"/>
                <w:color w:val="auto"/>
              </w:rPr>
            </w:pPr>
            <w:r>
              <w:rPr>
                <w:rFonts w:ascii="Arial" w:cs="Arial" w:eastAsia="Arial" w:hAnsi="Arial"/>
                <w:sz w:val="14"/>
                <w:szCs w:val="14"/>
                <w:color w:val="auto"/>
              </w:rPr>
              <w:t>1</w:t>
            </w:r>
          </w:p>
        </w:tc>
        <w:tc>
          <w:tcPr>
            <w:tcW w:w="3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ind w:right="150"/>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bl>
    <w:p>
      <w:pPr>
        <w:spacing w:after="0" w:line="257" w:lineRule="exact"/>
        <w:rPr>
          <w:sz w:val="20"/>
          <w:szCs w:val="20"/>
          <w:color w:val="auto"/>
        </w:rPr>
      </w:pPr>
    </w:p>
    <w:p>
      <w:pPr>
        <w:ind w:left="1900"/>
        <w:spacing w:after="0"/>
        <w:rPr>
          <w:sz w:val="20"/>
          <w:szCs w:val="20"/>
          <w:color w:val="auto"/>
        </w:rPr>
      </w:pPr>
      <w:r>
        <w:rPr>
          <w:rFonts w:ascii="Arial" w:cs="Arial" w:eastAsia="Arial" w:hAnsi="Arial"/>
          <w:sz w:val="13"/>
          <w:szCs w:val="13"/>
          <w:i w:val="1"/>
          <w:iCs w:val="1"/>
          <w:color w:val="auto"/>
        </w:rPr>
        <w:t>See Notes to Consolidated Financial Statements.</w:t>
      </w: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Arial" w:cs="Arial" w:eastAsia="Arial" w:hAnsi="Arial"/>
          <w:sz w:val="14"/>
          <w:szCs w:val="14"/>
          <w:color w:val="auto"/>
        </w:rPr>
        <w:t>79</w:t>
      </w:r>
    </w:p>
    <w:p>
      <w:pPr>
        <w:sectPr>
          <w:pgSz w:w="11900" w:h="16838" w:orient="portrait"/>
          <w:cols w:equalWidth="0" w:num="1">
            <w:col w:w="10219"/>
          </w:cols>
          <w:pgMar w:left="240" w:top="352" w:right="1440" w:bottom="1440" w:gutter="0" w:footer="0" w:header="0"/>
        </w:sectPr>
      </w:pPr>
    </w:p>
    <w:bookmarkStart w:id="219" w:name="page220"/>
    <w:bookmarkEnd w:id="219"/>
    <w:p>
      <w:pPr>
        <w:ind w:left="1340"/>
        <w:spacing w:after="0"/>
        <w:rPr>
          <w:sz w:val="20"/>
          <w:szCs w:val="20"/>
          <w:color w:val="auto"/>
        </w:rPr>
      </w:pPr>
      <w:r>
        <w:rPr>
          <w:rFonts w:ascii="Arial" w:cs="Arial" w:eastAsia="Arial" w:hAnsi="Arial"/>
          <w:sz w:val="14"/>
          <w:szCs w:val="14"/>
          <w:b w:val="1"/>
          <w:bCs w:val="1"/>
          <w:color w:val="auto"/>
        </w:rPr>
        <w:t>SAN DIEGO GAS &amp; ELECTRIC COMPANY AND SUBSIDIARY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843915</wp:posOffset>
            </wp:positionH>
            <wp:positionV relativeFrom="paragraph">
              <wp:posOffset>-99060</wp:posOffset>
            </wp:positionV>
            <wp:extent cx="5568315" cy="24384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5568315" cy="243840"/>
                    </a:xfrm>
                    <a:prstGeom prst="rect">
                      <a:avLst/>
                    </a:prstGeom>
                    <a:noFill/>
                  </pic:spPr>
                </pic:pic>
              </a:graphicData>
            </a:graphic>
          </wp:anchor>
        </w:drawing>
      </w:r>
    </w:p>
    <w:p>
      <w:pPr>
        <w:spacing w:after="0" w:line="11" w:lineRule="exact"/>
        <w:rPr>
          <w:sz w:val="20"/>
          <w:szCs w:val="20"/>
          <w:color w:val="auto"/>
        </w:rPr>
      </w:pPr>
    </w:p>
    <w:p>
      <w:pPr>
        <w:ind w:left="1340"/>
        <w:spacing w:after="0"/>
        <w:rPr>
          <w:sz w:val="20"/>
          <w:szCs w:val="20"/>
          <w:color w:val="auto"/>
        </w:rPr>
      </w:pPr>
      <w:r>
        <w:rPr>
          <w:rFonts w:ascii="Arial" w:cs="Arial" w:eastAsia="Arial" w:hAnsi="Arial"/>
          <w:sz w:val="14"/>
          <w:szCs w:val="14"/>
          <w:b w:val="1"/>
          <w:bCs w:val="1"/>
          <w:color w:val="auto"/>
        </w:rPr>
        <w:t>STATEMENTS OF CONSOLIDATED COMPREHENSIVE INCOME AND CHANGES IN SHAREHOLDERS' EQUITY</w:t>
      </w:r>
    </w:p>
    <w:p>
      <w:pPr>
        <w:spacing w:after="0" w:line="52" w:lineRule="exact"/>
        <w:rPr>
          <w:sz w:val="20"/>
          <w:szCs w:val="20"/>
          <w:color w:val="auto"/>
        </w:rPr>
      </w:pPr>
    </w:p>
    <w:p>
      <w:pPr>
        <w:ind w:left="1340"/>
        <w:spacing w:after="0"/>
        <w:rPr>
          <w:sz w:val="20"/>
          <w:szCs w:val="20"/>
          <w:color w:val="auto"/>
        </w:rPr>
      </w:pPr>
      <w:r>
        <w:rPr>
          <w:rFonts w:ascii="Arial" w:cs="Arial" w:eastAsia="Arial" w:hAnsi="Arial"/>
          <w:sz w:val="13"/>
          <w:szCs w:val="13"/>
          <w:color w:val="auto"/>
        </w:rPr>
        <w:t>Years ended December 31, 2008, 2007 and 2006</w:t>
      </w:r>
    </w:p>
    <w:p>
      <w:pPr>
        <w:spacing w:after="0" w:line="4" w:lineRule="exact"/>
        <w:rPr>
          <w:sz w:val="20"/>
          <w:szCs w:val="20"/>
          <w:color w:val="auto"/>
        </w:rPr>
      </w:pPr>
    </w:p>
    <w:tbl>
      <w:tblPr>
        <w:tblLayout w:type="fixed"/>
        <w:tblInd w:w="1320" w:type="dxa"/>
        <w:tblCellMar>
          <w:top w:w="0" w:type="dxa"/>
          <w:left w:w="0" w:type="dxa"/>
          <w:bottom w:w="0" w:type="dxa"/>
          <w:right w:w="0" w:type="dxa"/>
        </w:tblCellMar>
      </w:tblPr>
      <w:tr>
        <w:trPr>
          <w:trHeight w:val="172"/>
        </w:trPr>
        <w:tc>
          <w:tcPr>
            <w:tcW w:w="258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jc w:val="right"/>
              <w:ind w:right="52"/>
              <w:spacing w:after="0"/>
              <w:rPr>
                <w:sz w:val="20"/>
                <w:szCs w:val="20"/>
                <w:color w:val="auto"/>
              </w:rPr>
            </w:pPr>
            <w:r>
              <w:rPr>
                <w:rFonts w:ascii="Arial" w:cs="Arial" w:eastAsia="Arial" w:hAnsi="Arial"/>
                <w:sz w:val="13"/>
                <w:szCs w:val="13"/>
                <w:color w:val="auto"/>
              </w:rPr>
              <w:t>Preferred Stock</w:t>
            </w:r>
          </w:p>
        </w:tc>
        <w:tc>
          <w:tcPr>
            <w:tcW w:w="74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132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5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jc w:val="right"/>
              <w:ind w:right="52"/>
              <w:spacing w:after="0"/>
              <w:rPr>
                <w:sz w:val="20"/>
                <w:szCs w:val="20"/>
                <w:color w:val="auto"/>
              </w:rPr>
            </w:pPr>
            <w:r>
              <w:rPr>
                <w:rFonts w:ascii="Arial" w:cs="Arial" w:eastAsia="Arial" w:hAnsi="Arial"/>
                <w:sz w:val="13"/>
                <w:szCs w:val="13"/>
                <w:color w:val="auto"/>
              </w:rPr>
              <w:t>Not Subject to</w:t>
            </w:r>
          </w:p>
        </w:tc>
        <w:tc>
          <w:tcPr>
            <w:tcW w:w="7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320" w:type="dxa"/>
            <w:vAlign w:val="bottom"/>
          </w:tcPr>
          <w:p>
            <w:pPr>
              <w:jc w:val="right"/>
              <w:ind w:right="110"/>
              <w:spacing w:after="0"/>
              <w:rPr>
                <w:sz w:val="20"/>
                <w:szCs w:val="20"/>
                <w:color w:val="auto"/>
              </w:rPr>
            </w:pPr>
            <w:r>
              <w:rPr>
                <w:rFonts w:ascii="Arial" w:cs="Arial" w:eastAsia="Arial" w:hAnsi="Arial"/>
                <w:sz w:val="13"/>
                <w:szCs w:val="13"/>
                <w:color w:val="auto"/>
              </w:rPr>
              <w:t>Accumulated Other</w:t>
            </w:r>
          </w:p>
        </w:tc>
        <w:tc>
          <w:tcPr>
            <w:tcW w:w="1100" w:type="dxa"/>
            <w:vAlign w:val="bottom"/>
          </w:tcPr>
          <w:p>
            <w:pPr>
              <w:jc w:val="right"/>
              <w:ind w:right="129"/>
              <w:spacing w:after="0"/>
              <w:rPr>
                <w:sz w:val="20"/>
                <w:szCs w:val="20"/>
                <w:color w:val="auto"/>
              </w:rPr>
            </w:pPr>
            <w:r>
              <w:rPr>
                <w:rFonts w:ascii="Arial" w:cs="Arial" w:eastAsia="Arial" w:hAnsi="Arial"/>
                <w:sz w:val="13"/>
                <w:szCs w:val="13"/>
                <w:color w:val="auto"/>
              </w:rPr>
              <w:t>Total</w:t>
            </w:r>
          </w:p>
        </w:tc>
        <w:tc>
          <w:tcPr>
            <w:tcW w:w="0" w:type="dxa"/>
            <w:vAlign w:val="bottom"/>
          </w:tcPr>
          <w:p>
            <w:pPr>
              <w:spacing w:after="0"/>
              <w:rPr>
                <w:sz w:val="1"/>
                <w:szCs w:val="1"/>
                <w:color w:val="auto"/>
              </w:rPr>
            </w:pPr>
          </w:p>
        </w:tc>
      </w:tr>
      <w:tr>
        <w:trPr>
          <w:trHeight w:val="156"/>
        </w:trPr>
        <w:tc>
          <w:tcPr>
            <w:tcW w:w="2580" w:type="dxa"/>
            <w:vAlign w:val="bottom"/>
            <w:vMerge w:val="restart"/>
          </w:tcPr>
          <w:p>
            <w:pPr>
              <w:ind w:left="20"/>
              <w:spacing w:after="0"/>
              <w:rPr>
                <w:sz w:val="20"/>
                <w:szCs w:val="20"/>
                <w:color w:val="auto"/>
              </w:rPr>
            </w:pPr>
            <w:r>
              <w:rPr>
                <w:rFonts w:ascii="Arial" w:cs="Arial" w:eastAsia="Arial" w:hAnsi="Arial"/>
                <w:sz w:val="13"/>
                <w:szCs w:val="13"/>
                <w:i w:val="1"/>
                <w:iCs w:val="1"/>
                <w:color w:val="auto"/>
              </w:rPr>
              <w:t>(Dollars in millions)</w:t>
            </w:r>
          </w:p>
        </w:tc>
        <w:tc>
          <w:tcPr>
            <w:tcW w:w="1160" w:type="dxa"/>
            <w:vAlign w:val="bottom"/>
            <w:gridSpan w:val="2"/>
          </w:tcPr>
          <w:p>
            <w:pPr>
              <w:jc w:val="right"/>
              <w:ind w:right="120"/>
              <w:spacing w:after="0"/>
              <w:rPr>
                <w:sz w:val="20"/>
                <w:szCs w:val="20"/>
                <w:color w:val="auto"/>
              </w:rPr>
            </w:pPr>
            <w:r>
              <w:rPr>
                <w:rFonts w:ascii="Arial" w:cs="Arial" w:eastAsia="Arial" w:hAnsi="Arial"/>
                <w:sz w:val="13"/>
                <w:szCs w:val="13"/>
                <w:color w:val="auto"/>
              </w:rPr>
              <w:t>Comprehensive</w:t>
            </w:r>
          </w:p>
        </w:tc>
        <w:tc>
          <w:tcPr>
            <w:tcW w:w="1100" w:type="dxa"/>
            <w:vAlign w:val="bottom"/>
          </w:tcPr>
          <w:p>
            <w:pPr>
              <w:jc w:val="right"/>
              <w:ind w:right="52"/>
              <w:spacing w:after="0"/>
              <w:rPr>
                <w:sz w:val="20"/>
                <w:szCs w:val="20"/>
                <w:color w:val="auto"/>
              </w:rPr>
            </w:pPr>
            <w:r>
              <w:rPr>
                <w:rFonts w:ascii="Arial" w:cs="Arial" w:eastAsia="Arial" w:hAnsi="Arial"/>
                <w:sz w:val="13"/>
                <w:szCs w:val="13"/>
                <w:color w:val="auto"/>
              </w:rPr>
              <w:t>Mandatory</w:t>
            </w:r>
          </w:p>
        </w:tc>
        <w:tc>
          <w:tcPr>
            <w:tcW w:w="740" w:type="dxa"/>
            <w:vAlign w:val="bottom"/>
          </w:tcPr>
          <w:p>
            <w:pPr>
              <w:jc w:val="right"/>
              <w:ind w:right="50"/>
              <w:spacing w:after="0"/>
              <w:rPr>
                <w:sz w:val="20"/>
                <w:szCs w:val="20"/>
                <w:color w:val="auto"/>
              </w:rPr>
            </w:pPr>
            <w:r>
              <w:rPr>
                <w:rFonts w:ascii="Arial" w:cs="Arial" w:eastAsia="Arial" w:hAnsi="Arial"/>
                <w:sz w:val="13"/>
                <w:szCs w:val="13"/>
                <w:color w:val="auto"/>
              </w:rPr>
              <w:t>Common</w:t>
            </w:r>
          </w:p>
        </w:tc>
        <w:tc>
          <w:tcPr>
            <w:tcW w:w="780" w:type="dxa"/>
            <w:vAlign w:val="bottom"/>
          </w:tcPr>
          <w:p>
            <w:pPr>
              <w:jc w:val="right"/>
              <w:ind w:right="69"/>
              <w:spacing w:after="0"/>
              <w:rPr>
                <w:sz w:val="20"/>
                <w:szCs w:val="20"/>
                <w:color w:val="auto"/>
              </w:rPr>
            </w:pPr>
            <w:r>
              <w:rPr>
                <w:rFonts w:ascii="Arial" w:cs="Arial" w:eastAsia="Arial" w:hAnsi="Arial"/>
                <w:sz w:val="13"/>
                <w:szCs w:val="13"/>
                <w:color w:val="auto"/>
              </w:rPr>
              <w:t>Retained</w:t>
            </w:r>
          </w:p>
        </w:tc>
        <w:tc>
          <w:tcPr>
            <w:tcW w:w="1320" w:type="dxa"/>
            <w:vAlign w:val="bottom"/>
          </w:tcPr>
          <w:p>
            <w:pPr>
              <w:jc w:val="right"/>
              <w:ind w:right="110"/>
              <w:spacing w:after="0"/>
              <w:rPr>
                <w:sz w:val="20"/>
                <w:szCs w:val="20"/>
                <w:color w:val="auto"/>
              </w:rPr>
            </w:pPr>
            <w:r>
              <w:rPr>
                <w:rFonts w:ascii="Arial" w:cs="Arial" w:eastAsia="Arial" w:hAnsi="Arial"/>
                <w:sz w:val="13"/>
                <w:szCs w:val="13"/>
                <w:color w:val="auto"/>
              </w:rPr>
              <w:t>Comprehensive</w:t>
            </w:r>
          </w:p>
        </w:tc>
        <w:tc>
          <w:tcPr>
            <w:tcW w:w="1100" w:type="dxa"/>
            <w:vAlign w:val="bottom"/>
          </w:tcPr>
          <w:p>
            <w:pPr>
              <w:jc w:val="right"/>
              <w:ind w:right="129"/>
              <w:spacing w:after="0"/>
              <w:rPr>
                <w:sz w:val="20"/>
                <w:szCs w:val="20"/>
                <w:color w:val="auto"/>
              </w:rPr>
            </w:pPr>
            <w:r>
              <w:rPr>
                <w:rFonts w:ascii="Arial" w:cs="Arial" w:eastAsia="Arial" w:hAnsi="Arial"/>
                <w:sz w:val="13"/>
                <w:szCs w:val="13"/>
                <w:color w:val="auto"/>
              </w:rPr>
              <w:t>Shareholders'</w:t>
            </w:r>
          </w:p>
        </w:tc>
        <w:tc>
          <w:tcPr>
            <w:tcW w:w="0" w:type="dxa"/>
            <w:vAlign w:val="bottom"/>
          </w:tcPr>
          <w:p>
            <w:pPr>
              <w:spacing w:after="0"/>
              <w:rPr>
                <w:sz w:val="1"/>
                <w:szCs w:val="1"/>
                <w:color w:val="auto"/>
              </w:rPr>
            </w:pPr>
          </w:p>
        </w:tc>
      </w:tr>
      <w:tr>
        <w:trPr>
          <w:trHeight w:val="161"/>
        </w:trPr>
        <w:tc>
          <w:tcPr>
            <w:tcW w:w="2580" w:type="dxa"/>
            <w:vAlign w:val="bottom"/>
            <w:tcBorders>
              <w:bottom w:val="single" w:sz="8" w:color="auto"/>
            </w:tcBorders>
            <w:vMerge w:val="continue"/>
          </w:tcPr>
          <w:p>
            <w:pPr>
              <w:spacing w:after="0"/>
              <w:rPr>
                <w:sz w:val="14"/>
                <w:szCs w:val="14"/>
                <w:color w:val="auto"/>
              </w:rPr>
            </w:pPr>
          </w:p>
        </w:tc>
        <w:tc>
          <w:tcPr>
            <w:tcW w:w="116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3"/>
                <w:szCs w:val="13"/>
                <w:color w:val="auto"/>
              </w:rPr>
              <w:t>Income</w:t>
            </w:r>
          </w:p>
        </w:tc>
        <w:tc>
          <w:tcPr>
            <w:tcW w:w="1100" w:type="dxa"/>
            <w:vAlign w:val="bottom"/>
            <w:tcBorders>
              <w:bottom w:val="single" w:sz="8" w:color="auto"/>
            </w:tcBorders>
          </w:tcPr>
          <w:p>
            <w:pPr>
              <w:jc w:val="right"/>
              <w:ind w:right="52"/>
              <w:spacing w:after="0"/>
              <w:rPr>
                <w:sz w:val="20"/>
                <w:szCs w:val="20"/>
                <w:color w:val="auto"/>
              </w:rPr>
            </w:pPr>
            <w:r>
              <w:rPr>
                <w:rFonts w:ascii="Arial" w:cs="Arial" w:eastAsia="Arial" w:hAnsi="Arial"/>
                <w:sz w:val="13"/>
                <w:szCs w:val="13"/>
                <w:color w:val="auto"/>
              </w:rPr>
              <w:t>Redemption</w:t>
            </w:r>
          </w:p>
        </w:tc>
        <w:tc>
          <w:tcPr>
            <w:tcW w:w="740" w:type="dxa"/>
            <w:vAlign w:val="bottom"/>
            <w:tcBorders>
              <w:bottom w:val="single" w:sz="8" w:color="auto"/>
            </w:tcBorders>
          </w:tcPr>
          <w:p>
            <w:pPr>
              <w:jc w:val="right"/>
              <w:ind w:right="50"/>
              <w:spacing w:after="0"/>
              <w:rPr>
                <w:sz w:val="20"/>
                <w:szCs w:val="20"/>
                <w:color w:val="auto"/>
              </w:rPr>
            </w:pPr>
            <w:r>
              <w:rPr>
                <w:rFonts w:ascii="Arial" w:cs="Arial" w:eastAsia="Arial" w:hAnsi="Arial"/>
                <w:sz w:val="13"/>
                <w:szCs w:val="13"/>
                <w:color w:val="auto"/>
              </w:rPr>
              <w:t>Stock</w:t>
            </w:r>
          </w:p>
        </w:tc>
        <w:tc>
          <w:tcPr>
            <w:tcW w:w="780" w:type="dxa"/>
            <w:vAlign w:val="bottom"/>
            <w:tcBorders>
              <w:bottom w:val="single" w:sz="8" w:color="auto"/>
            </w:tcBorders>
          </w:tcPr>
          <w:p>
            <w:pPr>
              <w:jc w:val="right"/>
              <w:ind w:right="69"/>
              <w:spacing w:after="0"/>
              <w:rPr>
                <w:sz w:val="20"/>
                <w:szCs w:val="20"/>
                <w:color w:val="auto"/>
              </w:rPr>
            </w:pPr>
            <w:r>
              <w:rPr>
                <w:rFonts w:ascii="Arial" w:cs="Arial" w:eastAsia="Arial" w:hAnsi="Arial"/>
                <w:sz w:val="13"/>
                <w:szCs w:val="13"/>
                <w:color w:val="auto"/>
              </w:rPr>
              <w:t>Earnings</w:t>
            </w:r>
          </w:p>
        </w:tc>
        <w:tc>
          <w:tcPr>
            <w:tcW w:w="1320" w:type="dxa"/>
            <w:vAlign w:val="bottom"/>
            <w:tcBorders>
              <w:bottom w:val="single" w:sz="8" w:color="auto"/>
            </w:tcBorders>
          </w:tcPr>
          <w:p>
            <w:pPr>
              <w:jc w:val="right"/>
              <w:ind w:right="110"/>
              <w:spacing w:after="0"/>
              <w:rPr>
                <w:sz w:val="20"/>
                <w:szCs w:val="20"/>
                <w:color w:val="auto"/>
              </w:rPr>
            </w:pPr>
            <w:r>
              <w:rPr>
                <w:rFonts w:ascii="Arial" w:cs="Arial" w:eastAsia="Arial" w:hAnsi="Arial"/>
                <w:sz w:val="13"/>
                <w:szCs w:val="13"/>
                <w:color w:val="auto"/>
              </w:rPr>
              <w:t>Income (Loss)</w:t>
            </w:r>
          </w:p>
        </w:tc>
        <w:tc>
          <w:tcPr>
            <w:tcW w:w="1100" w:type="dxa"/>
            <w:vAlign w:val="bottom"/>
            <w:tcBorders>
              <w:bottom w:val="single" w:sz="8" w:color="auto"/>
            </w:tcBorders>
          </w:tcPr>
          <w:p>
            <w:pPr>
              <w:jc w:val="right"/>
              <w:ind w:right="129"/>
              <w:spacing w:after="0"/>
              <w:rPr>
                <w:sz w:val="20"/>
                <w:szCs w:val="20"/>
                <w:color w:val="auto"/>
              </w:rPr>
            </w:pPr>
            <w:r>
              <w:rPr>
                <w:rFonts w:ascii="Arial" w:cs="Arial" w:eastAsia="Arial" w:hAnsi="Arial"/>
                <w:sz w:val="13"/>
                <w:szCs w:val="13"/>
                <w:color w:val="auto"/>
              </w:rPr>
              <w:t>Equity</w:t>
            </w:r>
          </w:p>
        </w:tc>
        <w:tc>
          <w:tcPr>
            <w:tcW w:w="0" w:type="dxa"/>
            <w:vAlign w:val="bottom"/>
          </w:tcPr>
          <w:p>
            <w:pPr>
              <w:spacing w:after="0"/>
              <w:rPr>
                <w:sz w:val="1"/>
                <w:szCs w:val="1"/>
                <w:color w:val="auto"/>
              </w:rPr>
            </w:pPr>
          </w:p>
        </w:tc>
      </w:tr>
      <w:tr>
        <w:trPr>
          <w:trHeight w:val="207"/>
        </w:trPr>
        <w:tc>
          <w:tcPr>
            <w:tcW w:w="2580" w:type="dxa"/>
            <w:vAlign w:val="bottom"/>
          </w:tcPr>
          <w:p>
            <w:pPr>
              <w:ind w:left="20"/>
              <w:spacing w:after="0"/>
              <w:rPr>
                <w:sz w:val="20"/>
                <w:szCs w:val="20"/>
                <w:color w:val="auto"/>
              </w:rPr>
            </w:pPr>
            <w:r>
              <w:rPr>
                <w:rFonts w:ascii="Arial" w:cs="Arial" w:eastAsia="Arial" w:hAnsi="Arial"/>
                <w:sz w:val="14"/>
                <w:szCs w:val="14"/>
                <w:color w:val="auto"/>
              </w:rPr>
              <w:t>Balance at December 31, 2005</w:t>
            </w: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ind w:right="52"/>
              <w:spacing w:after="0"/>
              <w:rPr>
                <w:sz w:val="20"/>
                <w:szCs w:val="20"/>
                <w:color w:val="auto"/>
              </w:rPr>
            </w:pPr>
            <w:r>
              <w:rPr>
                <w:rFonts w:ascii="Arial" w:cs="Arial" w:eastAsia="Arial" w:hAnsi="Arial"/>
                <w:sz w:val="14"/>
                <w:szCs w:val="14"/>
                <w:color w:val="auto"/>
              </w:rPr>
              <w:t>$ 79</w:t>
            </w:r>
          </w:p>
        </w:tc>
        <w:tc>
          <w:tcPr>
            <w:tcW w:w="740" w:type="dxa"/>
            <w:vAlign w:val="bottom"/>
          </w:tcPr>
          <w:p>
            <w:pPr>
              <w:jc w:val="right"/>
              <w:ind w:right="50"/>
              <w:spacing w:after="0"/>
              <w:rPr>
                <w:sz w:val="20"/>
                <w:szCs w:val="20"/>
                <w:color w:val="auto"/>
              </w:rPr>
            </w:pPr>
            <w:r>
              <w:rPr>
                <w:rFonts w:ascii="Arial" w:cs="Arial" w:eastAsia="Arial" w:hAnsi="Arial"/>
                <w:sz w:val="14"/>
                <w:szCs w:val="14"/>
                <w:color w:val="auto"/>
              </w:rPr>
              <w:t>$ 938</w:t>
            </w:r>
          </w:p>
        </w:tc>
        <w:tc>
          <w:tcPr>
            <w:tcW w:w="780" w:type="dxa"/>
            <w:vAlign w:val="bottom"/>
          </w:tcPr>
          <w:p>
            <w:pPr>
              <w:jc w:val="right"/>
              <w:ind w:right="69"/>
              <w:spacing w:after="0"/>
              <w:rPr>
                <w:sz w:val="20"/>
                <w:szCs w:val="20"/>
                <w:color w:val="auto"/>
              </w:rPr>
            </w:pPr>
            <w:r>
              <w:rPr>
                <w:rFonts w:ascii="Arial" w:cs="Arial" w:eastAsia="Arial" w:hAnsi="Arial"/>
                <w:sz w:val="14"/>
                <w:szCs w:val="14"/>
                <w:color w:val="auto"/>
              </w:rPr>
              <w:t>$ 559</w:t>
            </w:r>
          </w:p>
        </w:tc>
        <w:tc>
          <w:tcPr>
            <w:tcW w:w="1320" w:type="dxa"/>
            <w:vAlign w:val="bottom"/>
          </w:tcPr>
          <w:p>
            <w:pPr>
              <w:jc w:val="right"/>
              <w:ind w:right="30"/>
              <w:spacing w:after="0"/>
              <w:rPr>
                <w:sz w:val="20"/>
                <w:szCs w:val="20"/>
                <w:color w:val="auto"/>
              </w:rPr>
            </w:pPr>
            <w:r>
              <w:rPr>
                <w:rFonts w:ascii="Arial" w:cs="Arial" w:eastAsia="Arial" w:hAnsi="Arial"/>
                <w:sz w:val="14"/>
                <w:szCs w:val="14"/>
                <w:color w:val="auto"/>
              </w:rPr>
              <w:t>$ (14 )</w:t>
            </w:r>
          </w:p>
        </w:tc>
        <w:tc>
          <w:tcPr>
            <w:tcW w:w="1100" w:type="dxa"/>
            <w:vAlign w:val="bottom"/>
          </w:tcPr>
          <w:p>
            <w:pPr>
              <w:jc w:val="right"/>
              <w:ind w:right="129"/>
              <w:spacing w:after="0"/>
              <w:rPr>
                <w:sz w:val="20"/>
                <w:szCs w:val="20"/>
                <w:color w:val="auto"/>
              </w:rPr>
            </w:pPr>
            <w:r>
              <w:rPr>
                <w:rFonts w:ascii="Arial" w:cs="Arial" w:eastAsia="Arial" w:hAnsi="Arial"/>
                <w:sz w:val="14"/>
                <w:szCs w:val="14"/>
                <w:color w:val="auto"/>
              </w:rPr>
              <w:t>$ 1,562</w:t>
            </w:r>
          </w:p>
        </w:tc>
        <w:tc>
          <w:tcPr>
            <w:tcW w:w="0" w:type="dxa"/>
            <w:vAlign w:val="bottom"/>
          </w:tcPr>
          <w:p>
            <w:pPr>
              <w:spacing w:after="0"/>
              <w:rPr>
                <w:sz w:val="1"/>
                <w:szCs w:val="1"/>
                <w:color w:val="auto"/>
              </w:rPr>
            </w:pPr>
          </w:p>
        </w:tc>
      </w:tr>
      <w:tr>
        <w:trPr>
          <w:trHeight w:val="216"/>
        </w:trPr>
        <w:tc>
          <w:tcPr>
            <w:tcW w:w="2580" w:type="dxa"/>
            <w:vAlign w:val="bottom"/>
          </w:tcPr>
          <w:p>
            <w:pPr>
              <w:ind w:left="20"/>
              <w:spacing w:after="0"/>
              <w:rPr>
                <w:sz w:val="20"/>
                <w:szCs w:val="20"/>
                <w:color w:val="auto"/>
              </w:rPr>
            </w:pPr>
            <w:r>
              <w:rPr>
                <w:rFonts w:ascii="Arial" w:cs="Arial" w:eastAsia="Arial" w:hAnsi="Arial"/>
                <w:sz w:val="14"/>
                <w:szCs w:val="14"/>
                <w:color w:val="auto"/>
              </w:rPr>
              <w:t>Net income</w:t>
            </w:r>
          </w:p>
        </w:tc>
        <w:tc>
          <w:tcPr>
            <w:tcW w:w="1040" w:type="dxa"/>
            <w:vAlign w:val="bottom"/>
          </w:tcPr>
          <w:p>
            <w:pPr>
              <w:jc w:val="right"/>
              <w:spacing w:after="0"/>
              <w:rPr>
                <w:sz w:val="20"/>
                <w:szCs w:val="20"/>
                <w:color w:val="auto"/>
              </w:rPr>
            </w:pPr>
            <w:r>
              <w:rPr>
                <w:rFonts w:ascii="Arial" w:cs="Arial" w:eastAsia="Arial" w:hAnsi="Arial"/>
                <w:sz w:val="14"/>
                <w:szCs w:val="14"/>
                <w:color w:val="auto"/>
              </w:rPr>
              <w:t>$ 242</w:t>
            </w: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80" w:type="dxa"/>
            <w:vAlign w:val="bottom"/>
          </w:tcPr>
          <w:p>
            <w:pPr>
              <w:jc w:val="right"/>
              <w:ind w:right="69"/>
              <w:spacing w:after="0"/>
              <w:rPr>
                <w:sz w:val="20"/>
                <w:szCs w:val="20"/>
                <w:color w:val="auto"/>
              </w:rPr>
            </w:pPr>
            <w:r>
              <w:rPr>
                <w:rFonts w:ascii="Arial" w:cs="Arial" w:eastAsia="Arial" w:hAnsi="Arial"/>
                <w:sz w:val="14"/>
                <w:szCs w:val="14"/>
                <w:color w:val="auto"/>
              </w:rPr>
              <w:t>242</w:t>
            </w:r>
          </w:p>
        </w:tc>
        <w:tc>
          <w:tcPr>
            <w:tcW w:w="1320" w:type="dxa"/>
            <w:vAlign w:val="bottom"/>
          </w:tcPr>
          <w:p>
            <w:pPr>
              <w:spacing w:after="0"/>
              <w:rPr>
                <w:sz w:val="18"/>
                <w:szCs w:val="18"/>
                <w:color w:val="auto"/>
              </w:rPr>
            </w:pPr>
          </w:p>
        </w:tc>
        <w:tc>
          <w:tcPr>
            <w:tcW w:w="1100" w:type="dxa"/>
            <w:vAlign w:val="bottom"/>
          </w:tcPr>
          <w:p>
            <w:pPr>
              <w:jc w:val="right"/>
              <w:ind w:right="129"/>
              <w:spacing w:after="0"/>
              <w:rPr>
                <w:sz w:val="20"/>
                <w:szCs w:val="20"/>
                <w:color w:val="auto"/>
              </w:rPr>
            </w:pPr>
            <w:r>
              <w:rPr>
                <w:rFonts w:ascii="Arial" w:cs="Arial" w:eastAsia="Arial" w:hAnsi="Arial"/>
                <w:sz w:val="14"/>
                <w:szCs w:val="14"/>
                <w:color w:val="auto"/>
              </w:rPr>
              <w:t>242</w:t>
            </w:r>
          </w:p>
        </w:tc>
        <w:tc>
          <w:tcPr>
            <w:tcW w:w="0" w:type="dxa"/>
            <w:vAlign w:val="bottom"/>
          </w:tcPr>
          <w:p>
            <w:pPr>
              <w:spacing w:after="0"/>
              <w:rPr>
                <w:sz w:val="1"/>
                <w:szCs w:val="1"/>
                <w:color w:val="auto"/>
              </w:rPr>
            </w:pPr>
          </w:p>
        </w:tc>
      </w:tr>
      <w:tr>
        <w:trPr>
          <w:trHeight w:val="210"/>
        </w:trPr>
        <w:tc>
          <w:tcPr>
            <w:tcW w:w="2580" w:type="dxa"/>
            <w:vAlign w:val="bottom"/>
          </w:tcPr>
          <w:p>
            <w:pPr>
              <w:ind w:left="220"/>
              <w:spacing w:after="0"/>
              <w:rPr>
                <w:sz w:val="20"/>
                <w:szCs w:val="20"/>
                <w:color w:val="auto"/>
              </w:rPr>
            </w:pPr>
            <w:r>
              <w:rPr>
                <w:rFonts w:ascii="Arial" w:cs="Arial" w:eastAsia="Arial" w:hAnsi="Arial"/>
                <w:sz w:val="14"/>
                <w:szCs w:val="14"/>
                <w:color w:val="auto"/>
              </w:rPr>
              <w:t>Pension adjustment</w:t>
            </w:r>
          </w:p>
        </w:tc>
        <w:tc>
          <w:tcPr>
            <w:tcW w:w="1160" w:type="dxa"/>
            <w:vAlign w:val="bottom"/>
            <w:gridSpan w:val="2"/>
          </w:tcPr>
          <w:p>
            <w:pPr>
              <w:jc w:val="right"/>
              <w:ind w:right="60"/>
              <w:spacing w:after="0"/>
              <w:rPr>
                <w:sz w:val="20"/>
                <w:szCs w:val="20"/>
                <w:color w:val="auto"/>
              </w:rPr>
            </w:pPr>
            <w:r>
              <w:rPr>
                <w:rFonts w:ascii="Arial" w:cs="Arial" w:eastAsia="Arial" w:hAnsi="Arial"/>
                <w:sz w:val="14"/>
                <w:szCs w:val="14"/>
                <w:color w:val="auto"/>
              </w:rPr>
              <w:t>(2 )</w:t>
            </w:r>
          </w:p>
        </w:tc>
        <w:tc>
          <w:tcPr>
            <w:tcW w:w="1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320" w:type="dxa"/>
            <w:vAlign w:val="bottom"/>
          </w:tcPr>
          <w:p>
            <w:pPr>
              <w:jc w:val="right"/>
              <w:ind w:right="30"/>
              <w:spacing w:after="0"/>
              <w:rPr>
                <w:sz w:val="20"/>
                <w:szCs w:val="20"/>
                <w:color w:val="auto"/>
              </w:rPr>
            </w:pPr>
            <w:r>
              <w:rPr>
                <w:rFonts w:ascii="Arial" w:cs="Arial" w:eastAsia="Arial" w:hAnsi="Arial"/>
                <w:sz w:val="14"/>
                <w:szCs w:val="14"/>
                <w:color w:val="auto"/>
              </w:rPr>
              <w:t>(2 )</w:t>
            </w:r>
          </w:p>
        </w:tc>
        <w:tc>
          <w:tcPr>
            <w:tcW w:w="1100" w:type="dxa"/>
            <w:vAlign w:val="bottom"/>
          </w:tcPr>
          <w:p>
            <w:pPr>
              <w:jc w:val="right"/>
              <w:ind w:right="69"/>
              <w:spacing w:after="0"/>
              <w:rPr>
                <w:sz w:val="20"/>
                <w:szCs w:val="20"/>
                <w:color w:val="auto"/>
              </w:rPr>
            </w:pPr>
            <w:r>
              <w:rPr>
                <w:rFonts w:ascii="Arial" w:cs="Arial" w:eastAsia="Arial" w:hAnsi="Arial"/>
                <w:sz w:val="14"/>
                <w:szCs w:val="14"/>
                <w:color w:val="auto"/>
              </w:rPr>
              <w:t>(2 )</w:t>
            </w:r>
          </w:p>
        </w:tc>
        <w:tc>
          <w:tcPr>
            <w:tcW w:w="0" w:type="dxa"/>
            <w:vAlign w:val="bottom"/>
          </w:tcPr>
          <w:p>
            <w:pPr>
              <w:spacing w:after="0"/>
              <w:rPr>
                <w:sz w:val="1"/>
                <w:szCs w:val="1"/>
                <w:color w:val="auto"/>
              </w:rPr>
            </w:pPr>
          </w:p>
        </w:tc>
      </w:tr>
      <w:tr>
        <w:trPr>
          <w:trHeight w:val="196"/>
        </w:trPr>
        <w:tc>
          <w:tcPr>
            <w:tcW w:w="2580" w:type="dxa"/>
            <w:vAlign w:val="bottom"/>
          </w:tcPr>
          <w:p>
            <w:pPr>
              <w:ind w:left="20"/>
              <w:spacing w:after="0"/>
              <w:rPr>
                <w:sz w:val="20"/>
                <w:szCs w:val="20"/>
                <w:color w:val="auto"/>
              </w:rPr>
            </w:pPr>
            <w:r>
              <w:rPr>
                <w:rFonts w:ascii="Arial" w:cs="Arial" w:eastAsia="Arial" w:hAnsi="Arial"/>
                <w:sz w:val="14"/>
                <w:szCs w:val="14"/>
                <w:color w:val="auto"/>
              </w:rPr>
              <w:t>Comprehensive income</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$ 240</w:t>
            </w: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580" w:type="dxa"/>
            <w:vAlign w:val="bottom"/>
          </w:tcPr>
          <w:p>
            <w:pPr>
              <w:ind w:left="20"/>
              <w:spacing w:after="0"/>
              <w:rPr>
                <w:sz w:val="20"/>
                <w:szCs w:val="20"/>
                <w:color w:val="auto"/>
              </w:rPr>
            </w:pPr>
            <w:r>
              <w:rPr>
                <w:rFonts w:ascii="Arial" w:cs="Arial" w:eastAsia="Arial" w:hAnsi="Arial"/>
                <w:sz w:val="14"/>
                <w:szCs w:val="14"/>
                <w:color w:val="auto"/>
              </w:rPr>
              <w:t>Adoption of FASB Statement No. 158</w:t>
            </w: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320" w:type="dxa"/>
            <w:vAlign w:val="bottom"/>
          </w:tcPr>
          <w:p>
            <w:pPr>
              <w:jc w:val="right"/>
              <w:ind w:right="30"/>
              <w:spacing w:after="0"/>
              <w:rPr>
                <w:sz w:val="20"/>
                <w:szCs w:val="20"/>
                <w:color w:val="auto"/>
              </w:rPr>
            </w:pPr>
            <w:r>
              <w:rPr>
                <w:rFonts w:ascii="Arial" w:cs="Arial" w:eastAsia="Arial" w:hAnsi="Arial"/>
                <w:sz w:val="14"/>
                <w:szCs w:val="14"/>
                <w:color w:val="auto"/>
              </w:rPr>
              <w:t>(3 )</w:t>
            </w:r>
          </w:p>
        </w:tc>
        <w:tc>
          <w:tcPr>
            <w:tcW w:w="1100" w:type="dxa"/>
            <w:vAlign w:val="bottom"/>
          </w:tcPr>
          <w:p>
            <w:pPr>
              <w:jc w:val="right"/>
              <w:ind w:right="69"/>
              <w:spacing w:after="0"/>
              <w:rPr>
                <w:sz w:val="20"/>
                <w:szCs w:val="20"/>
                <w:color w:val="auto"/>
              </w:rPr>
            </w:pPr>
            <w:r>
              <w:rPr>
                <w:rFonts w:ascii="Arial" w:cs="Arial" w:eastAsia="Arial" w:hAnsi="Arial"/>
                <w:sz w:val="14"/>
                <w:szCs w:val="14"/>
                <w:color w:val="auto"/>
              </w:rPr>
              <w:t>(3 )</w:t>
            </w:r>
          </w:p>
        </w:tc>
        <w:tc>
          <w:tcPr>
            <w:tcW w:w="0" w:type="dxa"/>
            <w:vAlign w:val="bottom"/>
          </w:tcPr>
          <w:p>
            <w:pPr>
              <w:spacing w:after="0"/>
              <w:rPr>
                <w:sz w:val="1"/>
                <w:szCs w:val="1"/>
                <w:color w:val="auto"/>
              </w:rPr>
            </w:pPr>
          </w:p>
        </w:tc>
      </w:tr>
      <w:tr>
        <w:trPr>
          <w:trHeight w:val="216"/>
        </w:trPr>
        <w:tc>
          <w:tcPr>
            <w:tcW w:w="2580" w:type="dxa"/>
            <w:vAlign w:val="bottom"/>
          </w:tcPr>
          <w:p>
            <w:pPr>
              <w:ind w:left="20"/>
              <w:spacing w:after="0"/>
              <w:rPr>
                <w:sz w:val="20"/>
                <w:szCs w:val="20"/>
                <w:color w:val="auto"/>
              </w:rPr>
            </w:pPr>
            <w:r>
              <w:rPr>
                <w:rFonts w:ascii="Arial" w:cs="Arial" w:eastAsia="Arial" w:hAnsi="Arial"/>
                <w:sz w:val="14"/>
                <w:szCs w:val="14"/>
                <w:color w:val="auto"/>
              </w:rPr>
              <w:t>Preferred stock dividends declared</w:t>
            </w: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(5 )</w:t>
            </w:r>
          </w:p>
        </w:tc>
        <w:tc>
          <w:tcPr>
            <w:tcW w:w="1320" w:type="dxa"/>
            <w:vAlign w:val="bottom"/>
          </w:tcPr>
          <w:p>
            <w:pPr>
              <w:spacing w:after="0"/>
              <w:rPr>
                <w:sz w:val="18"/>
                <w:szCs w:val="18"/>
                <w:color w:val="auto"/>
              </w:rPr>
            </w:pPr>
          </w:p>
        </w:tc>
        <w:tc>
          <w:tcPr>
            <w:tcW w:w="1100" w:type="dxa"/>
            <w:vAlign w:val="bottom"/>
          </w:tcPr>
          <w:p>
            <w:pPr>
              <w:jc w:val="right"/>
              <w:ind w:right="69"/>
              <w:spacing w:after="0"/>
              <w:rPr>
                <w:sz w:val="20"/>
                <w:szCs w:val="20"/>
                <w:color w:val="auto"/>
              </w:rPr>
            </w:pPr>
            <w:r>
              <w:rPr>
                <w:rFonts w:ascii="Arial" w:cs="Arial" w:eastAsia="Arial" w:hAnsi="Arial"/>
                <w:sz w:val="14"/>
                <w:szCs w:val="14"/>
                <w:color w:val="auto"/>
              </w:rPr>
              <w:t>(5 )</w:t>
            </w:r>
          </w:p>
        </w:tc>
        <w:tc>
          <w:tcPr>
            <w:tcW w:w="0" w:type="dxa"/>
            <w:vAlign w:val="bottom"/>
          </w:tcPr>
          <w:p>
            <w:pPr>
              <w:spacing w:after="0"/>
              <w:rPr>
                <w:sz w:val="1"/>
                <w:szCs w:val="1"/>
                <w:color w:val="auto"/>
              </w:rPr>
            </w:pPr>
          </w:p>
        </w:tc>
      </w:tr>
      <w:tr>
        <w:trPr>
          <w:trHeight w:val="222"/>
        </w:trPr>
        <w:tc>
          <w:tcPr>
            <w:tcW w:w="2580" w:type="dxa"/>
            <w:vAlign w:val="bottom"/>
          </w:tcPr>
          <w:p>
            <w:pPr>
              <w:ind w:left="20"/>
              <w:spacing w:after="0"/>
              <w:rPr>
                <w:sz w:val="20"/>
                <w:szCs w:val="20"/>
                <w:color w:val="auto"/>
              </w:rPr>
            </w:pPr>
            <w:r>
              <w:rPr>
                <w:rFonts w:ascii="Arial" w:cs="Arial" w:eastAsia="Arial" w:hAnsi="Arial"/>
                <w:sz w:val="14"/>
                <w:szCs w:val="14"/>
                <w:color w:val="auto"/>
              </w:rPr>
              <w:t>Capital contribution</w:t>
            </w: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200</w:t>
            </w:r>
          </w:p>
        </w:tc>
        <w:tc>
          <w:tcPr>
            <w:tcW w:w="7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29"/>
              <w:spacing w:after="0"/>
              <w:rPr>
                <w:sz w:val="20"/>
                <w:szCs w:val="20"/>
                <w:color w:val="auto"/>
              </w:rPr>
            </w:pPr>
            <w:r>
              <w:rPr>
                <w:rFonts w:ascii="Arial" w:cs="Arial" w:eastAsia="Arial" w:hAnsi="Arial"/>
                <w:sz w:val="14"/>
                <w:szCs w:val="14"/>
                <w:color w:val="auto"/>
              </w:rPr>
              <w:t>200</w:t>
            </w:r>
          </w:p>
        </w:tc>
        <w:tc>
          <w:tcPr>
            <w:tcW w:w="0" w:type="dxa"/>
            <w:vAlign w:val="bottom"/>
          </w:tcPr>
          <w:p>
            <w:pPr>
              <w:spacing w:after="0"/>
              <w:rPr>
                <w:sz w:val="1"/>
                <w:szCs w:val="1"/>
                <w:color w:val="auto"/>
              </w:rPr>
            </w:pPr>
          </w:p>
        </w:tc>
      </w:tr>
      <w:tr>
        <w:trPr>
          <w:trHeight w:val="202"/>
        </w:trPr>
        <w:tc>
          <w:tcPr>
            <w:tcW w:w="2580" w:type="dxa"/>
            <w:vAlign w:val="bottom"/>
          </w:tcPr>
          <w:p>
            <w:pPr>
              <w:ind w:left="20"/>
              <w:spacing w:after="0"/>
              <w:rPr>
                <w:sz w:val="20"/>
                <w:szCs w:val="20"/>
                <w:color w:val="auto"/>
              </w:rPr>
            </w:pPr>
            <w:r>
              <w:rPr>
                <w:rFonts w:ascii="Arial" w:cs="Arial" w:eastAsia="Arial" w:hAnsi="Arial"/>
                <w:sz w:val="14"/>
                <w:szCs w:val="14"/>
                <w:color w:val="auto"/>
              </w:rPr>
              <w:t>Balance at December 31, 2006</w:t>
            </w: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jc w:val="right"/>
              <w:ind w:right="52"/>
              <w:spacing w:after="0"/>
              <w:rPr>
                <w:sz w:val="20"/>
                <w:szCs w:val="20"/>
                <w:color w:val="auto"/>
              </w:rPr>
            </w:pPr>
            <w:r>
              <w:rPr>
                <w:rFonts w:ascii="Arial" w:cs="Arial" w:eastAsia="Arial" w:hAnsi="Arial"/>
                <w:sz w:val="14"/>
                <w:szCs w:val="14"/>
                <w:color w:val="auto"/>
              </w:rPr>
              <w:t>79</w:t>
            </w:r>
          </w:p>
        </w:tc>
        <w:tc>
          <w:tcPr>
            <w:tcW w:w="740" w:type="dxa"/>
            <w:vAlign w:val="bottom"/>
          </w:tcPr>
          <w:p>
            <w:pPr>
              <w:jc w:val="right"/>
              <w:ind w:right="50"/>
              <w:spacing w:after="0"/>
              <w:rPr>
                <w:sz w:val="20"/>
                <w:szCs w:val="20"/>
                <w:color w:val="auto"/>
              </w:rPr>
            </w:pPr>
            <w:r>
              <w:rPr>
                <w:rFonts w:ascii="Arial" w:cs="Arial" w:eastAsia="Arial" w:hAnsi="Arial"/>
                <w:sz w:val="14"/>
                <w:szCs w:val="14"/>
                <w:color w:val="auto"/>
              </w:rPr>
              <w:t>1,138</w:t>
            </w:r>
          </w:p>
        </w:tc>
        <w:tc>
          <w:tcPr>
            <w:tcW w:w="780" w:type="dxa"/>
            <w:vAlign w:val="bottom"/>
          </w:tcPr>
          <w:p>
            <w:pPr>
              <w:jc w:val="right"/>
              <w:ind w:right="69"/>
              <w:spacing w:after="0"/>
              <w:rPr>
                <w:sz w:val="20"/>
                <w:szCs w:val="20"/>
                <w:color w:val="auto"/>
              </w:rPr>
            </w:pPr>
            <w:r>
              <w:rPr>
                <w:rFonts w:ascii="Arial" w:cs="Arial" w:eastAsia="Arial" w:hAnsi="Arial"/>
                <w:sz w:val="14"/>
                <w:szCs w:val="14"/>
                <w:color w:val="auto"/>
              </w:rPr>
              <w:t>796</w:t>
            </w:r>
          </w:p>
        </w:tc>
        <w:tc>
          <w:tcPr>
            <w:tcW w:w="1320" w:type="dxa"/>
            <w:vAlign w:val="bottom"/>
          </w:tcPr>
          <w:p>
            <w:pPr>
              <w:jc w:val="right"/>
              <w:ind w:right="30"/>
              <w:spacing w:after="0"/>
              <w:rPr>
                <w:sz w:val="20"/>
                <w:szCs w:val="20"/>
                <w:color w:val="auto"/>
              </w:rPr>
            </w:pPr>
            <w:r>
              <w:rPr>
                <w:rFonts w:ascii="Arial" w:cs="Arial" w:eastAsia="Arial" w:hAnsi="Arial"/>
                <w:sz w:val="14"/>
                <w:szCs w:val="14"/>
                <w:color w:val="auto"/>
              </w:rPr>
              <w:t>(19 )</w:t>
            </w:r>
          </w:p>
        </w:tc>
        <w:tc>
          <w:tcPr>
            <w:tcW w:w="1100" w:type="dxa"/>
            <w:vAlign w:val="bottom"/>
          </w:tcPr>
          <w:p>
            <w:pPr>
              <w:jc w:val="right"/>
              <w:ind w:right="129"/>
              <w:spacing w:after="0"/>
              <w:rPr>
                <w:sz w:val="20"/>
                <w:szCs w:val="20"/>
                <w:color w:val="auto"/>
              </w:rPr>
            </w:pPr>
            <w:r>
              <w:rPr>
                <w:rFonts w:ascii="Arial" w:cs="Arial" w:eastAsia="Arial" w:hAnsi="Arial"/>
                <w:sz w:val="14"/>
                <w:szCs w:val="14"/>
                <w:color w:val="auto"/>
              </w:rPr>
              <w:t>1,994</w:t>
            </w:r>
          </w:p>
        </w:tc>
        <w:tc>
          <w:tcPr>
            <w:tcW w:w="0" w:type="dxa"/>
            <w:vAlign w:val="bottom"/>
          </w:tcPr>
          <w:p>
            <w:pPr>
              <w:spacing w:after="0"/>
              <w:rPr>
                <w:sz w:val="1"/>
                <w:szCs w:val="1"/>
                <w:color w:val="auto"/>
              </w:rPr>
            </w:pPr>
          </w:p>
        </w:tc>
      </w:tr>
      <w:tr>
        <w:trPr>
          <w:trHeight w:val="216"/>
        </w:trPr>
        <w:tc>
          <w:tcPr>
            <w:tcW w:w="2580" w:type="dxa"/>
            <w:vAlign w:val="bottom"/>
          </w:tcPr>
          <w:p>
            <w:pPr>
              <w:ind w:left="20"/>
              <w:spacing w:after="0"/>
              <w:rPr>
                <w:sz w:val="20"/>
                <w:szCs w:val="20"/>
                <w:color w:val="auto"/>
              </w:rPr>
            </w:pPr>
            <w:r>
              <w:rPr>
                <w:rFonts w:ascii="Arial" w:cs="Arial" w:eastAsia="Arial" w:hAnsi="Arial"/>
                <w:sz w:val="14"/>
                <w:szCs w:val="14"/>
                <w:color w:val="auto"/>
              </w:rPr>
              <w:t>Adoption of FIN 48</w:t>
            </w: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(1 )</w:t>
            </w:r>
          </w:p>
        </w:tc>
        <w:tc>
          <w:tcPr>
            <w:tcW w:w="1320" w:type="dxa"/>
            <w:vAlign w:val="bottom"/>
          </w:tcPr>
          <w:p>
            <w:pPr>
              <w:spacing w:after="0"/>
              <w:rPr>
                <w:sz w:val="18"/>
                <w:szCs w:val="18"/>
                <w:color w:val="auto"/>
              </w:rPr>
            </w:pPr>
          </w:p>
        </w:tc>
        <w:tc>
          <w:tcPr>
            <w:tcW w:w="1100" w:type="dxa"/>
            <w:vAlign w:val="bottom"/>
          </w:tcPr>
          <w:p>
            <w:pPr>
              <w:jc w:val="right"/>
              <w:ind w:right="69"/>
              <w:spacing w:after="0"/>
              <w:rPr>
                <w:sz w:val="20"/>
                <w:szCs w:val="20"/>
                <w:color w:val="auto"/>
              </w:rPr>
            </w:pPr>
            <w:r>
              <w:rPr>
                <w:rFonts w:ascii="Arial" w:cs="Arial" w:eastAsia="Arial" w:hAnsi="Arial"/>
                <w:sz w:val="14"/>
                <w:szCs w:val="14"/>
                <w:color w:val="auto"/>
              </w:rPr>
              <w:t>(1 )</w:t>
            </w:r>
          </w:p>
        </w:tc>
        <w:tc>
          <w:tcPr>
            <w:tcW w:w="0" w:type="dxa"/>
            <w:vAlign w:val="bottom"/>
          </w:tcPr>
          <w:p>
            <w:pPr>
              <w:spacing w:after="0"/>
              <w:rPr>
                <w:sz w:val="1"/>
                <w:szCs w:val="1"/>
                <w:color w:val="auto"/>
              </w:rPr>
            </w:pPr>
          </w:p>
        </w:tc>
      </w:tr>
      <w:tr>
        <w:trPr>
          <w:trHeight w:val="216"/>
        </w:trPr>
        <w:tc>
          <w:tcPr>
            <w:tcW w:w="2580" w:type="dxa"/>
            <w:vAlign w:val="bottom"/>
          </w:tcPr>
          <w:p>
            <w:pPr>
              <w:ind w:left="20"/>
              <w:spacing w:after="0"/>
              <w:rPr>
                <w:sz w:val="20"/>
                <w:szCs w:val="20"/>
                <w:color w:val="auto"/>
              </w:rPr>
            </w:pPr>
            <w:r>
              <w:rPr>
                <w:rFonts w:ascii="Arial" w:cs="Arial" w:eastAsia="Arial" w:hAnsi="Arial"/>
                <w:sz w:val="14"/>
                <w:szCs w:val="14"/>
                <w:color w:val="auto"/>
              </w:rPr>
              <w:t>Net income</w:t>
            </w:r>
          </w:p>
        </w:tc>
        <w:tc>
          <w:tcPr>
            <w:tcW w:w="1040" w:type="dxa"/>
            <w:vAlign w:val="bottom"/>
          </w:tcPr>
          <w:p>
            <w:pPr>
              <w:jc w:val="right"/>
              <w:spacing w:after="0"/>
              <w:rPr>
                <w:sz w:val="20"/>
                <w:szCs w:val="20"/>
                <w:color w:val="auto"/>
              </w:rPr>
            </w:pPr>
            <w:r>
              <w:rPr>
                <w:rFonts w:ascii="Arial" w:cs="Arial" w:eastAsia="Arial" w:hAnsi="Arial"/>
                <w:sz w:val="14"/>
                <w:szCs w:val="14"/>
                <w:color w:val="auto"/>
              </w:rPr>
              <w:t>$ 288</w:t>
            </w: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80" w:type="dxa"/>
            <w:vAlign w:val="bottom"/>
          </w:tcPr>
          <w:p>
            <w:pPr>
              <w:jc w:val="right"/>
              <w:ind w:right="69"/>
              <w:spacing w:after="0"/>
              <w:rPr>
                <w:sz w:val="20"/>
                <w:szCs w:val="20"/>
                <w:color w:val="auto"/>
              </w:rPr>
            </w:pPr>
            <w:r>
              <w:rPr>
                <w:rFonts w:ascii="Arial" w:cs="Arial" w:eastAsia="Arial" w:hAnsi="Arial"/>
                <w:sz w:val="14"/>
                <w:szCs w:val="14"/>
                <w:color w:val="auto"/>
              </w:rPr>
              <w:t>288</w:t>
            </w:r>
          </w:p>
        </w:tc>
        <w:tc>
          <w:tcPr>
            <w:tcW w:w="1320" w:type="dxa"/>
            <w:vAlign w:val="bottom"/>
          </w:tcPr>
          <w:p>
            <w:pPr>
              <w:spacing w:after="0"/>
              <w:rPr>
                <w:sz w:val="18"/>
                <w:szCs w:val="18"/>
                <w:color w:val="auto"/>
              </w:rPr>
            </w:pPr>
          </w:p>
        </w:tc>
        <w:tc>
          <w:tcPr>
            <w:tcW w:w="1100" w:type="dxa"/>
            <w:vAlign w:val="bottom"/>
          </w:tcPr>
          <w:p>
            <w:pPr>
              <w:jc w:val="right"/>
              <w:ind w:right="129"/>
              <w:spacing w:after="0"/>
              <w:rPr>
                <w:sz w:val="20"/>
                <w:szCs w:val="20"/>
                <w:color w:val="auto"/>
              </w:rPr>
            </w:pPr>
            <w:r>
              <w:rPr>
                <w:rFonts w:ascii="Arial" w:cs="Arial" w:eastAsia="Arial" w:hAnsi="Arial"/>
                <w:sz w:val="14"/>
                <w:szCs w:val="14"/>
                <w:color w:val="auto"/>
              </w:rPr>
              <w:t>288</w:t>
            </w:r>
          </w:p>
        </w:tc>
        <w:tc>
          <w:tcPr>
            <w:tcW w:w="0" w:type="dxa"/>
            <w:vAlign w:val="bottom"/>
          </w:tcPr>
          <w:p>
            <w:pPr>
              <w:spacing w:after="0"/>
              <w:rPr>
                <w:sz w:val="1"/>
                <w:szCs w:val="1"/>
                <w:color w:val="auto"/>
              </w:rPr>
            </w:pPr>
          </w:p>
        </w:tc>
      </w:tr>
      <w:tr>
        <w:trPr>
          <w:trHeight w:val="216"/>
        </w:trPr>
        <w:tc>
          <w:tcPr>
            <w:tcW w:w="2580" w:type="dxa"/>
            <w:vAlign w:val="bottom"/>
          </w:tcPr>
          <w:p>
            <w:pPr>
              <w:ind w:left="220"/>
              <w:spacing w:after="0"/>
              <w:rPr>
                <w:sz w:val="20"/>
                <w:szCs w:val="20"/>
                <w:color w:val="auto"/>
              </w:rPr>
            </w:pPr>
            <w:r>
              <w:rPr>
                <w:rFonts w:ascii="Arial" w:cs="Arial" w:eastAsia="Arial" w:hAnsi="Arial"/>
                <w:sz w:val="14"/>
                <w:szCs w:val="14"/>
                <w:color w:val="auto"/>
              </w:rPr>
              <w:t>Financial instruments</w:t>
            </w:r>
          </w:p>
        </w:tc>
        <w:tc>
          <w:tcPr>
            <w:tcW w:w="1160" w:type="dxa"/>
            <w:vAlign w:val="bottom"/>
            <w:gridSpan w:val="2"/>
          </w:tcPr>
          <w:p>
            <w:pPr>
              <w:jc w:val="right"/>
              <w:ind w:right="60"/>
              <w:spacing w:after="0"/>
              <w:rPr>
                <w:sz w:val="20"/>
                <w:szCs w:val="20"/>
                <w:color w:val="auto"/>
              </w:rPr>
            </w:pPr>
            <w:r>
              <w:rPr>
                <w:rFonts w:ascii="Arial" w:cs="Arial" w:eastAsia="Arial" w:hAnsi="Arial"/>
                <w:sz w:val="14"/>
                <w:szCs w:val="14"/>
                <w:color w:val="auto"/>
              </w:rPr>
              <w:t>(1 )</w:t>
            </w:r>
          </w:p>
        </w:tc>
        <w:tc>
          <w:tcPr>
            <w:tcW w:w="1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320" w:type="dxa"/>
            <w:vAlign w:val="bottom"/>
          </w:tcPr>
          <w:p>
            <w:pPr>
              <w:jc w:val="right"/>
              <w:ind w:right="30"/>
              <w:spacing w:after="0"/>
              <w:rPr>
                <w:sz w:val="20"/>
                <w:szCs w:val="20"/>
                <w:color w:val="auto"/>
              </w:rPr>
            </w:pPr>
            <w:r>
              <w:rPr>
                <w:rFonts w:ascii="Arial" w:cs="Arial" w:eastAsia="Arial" w:hAnsi="Arial"/>
                <w:sz w:val="14"/>
                <w:szCs w:val="14"/>
                <w:color w:val="auto"/>
              </w:rPr>
              <w:t>(1 )</w:t>
            </w:r>
          </w:p>
        </w:tc>
        <w:tc>
          <w:tcPr>
            <w:tcW w:w="1100" w:type="dxa"/>
            <w:vAlign w:val="bottom"/>
          </w:tcPr>
          <w:p>
            <w:pPr>
              <w:jc w:val="right"/>
              <w:ind w:right="69"/>
              <w:spacing w:after="0"/>
              <w:rPr>
                <w:sz w:val="20"/>
                <w:szCs w:val="20"/>
                <w:color w:val="auto"/>
              </w:rPr>
            </w:pPr>
            <w:r>
              <w:rPr>
                <w:rFonts w:ascii="Arial" w:cs="Arial" w:eastAsia="Arial" w:hAnsi="Arial"/>
                <w:sz w:val="14"/>
                <w:szCs w:val="14"/>
                <w:color w:val="auto"/>
              </w:rPr>
              <w:t>(1 )</w:t>
            </w:r>
          </w:p>
        </w:tc>
        <w:tc>
          <w:tcPr>
            <w:tcW w:w="0" w:type="dxa"/>
            <w:vAlign w:val="bottom"/>
          </w:tcPr>
          <w:p>
            <w:pPr>
              <w:spacing w:after="0"/>
              <w:rPr>
                <w:sz w:val="1"/>
                <w:szCs w:val="1"/>
                <w:color w:val="auto"/>
              </w:rPr>
            </w:pPr>
          </w:p>
        </w:tc>
      </w:tr>
      <w:tr>
        <w:trPr>
          <w:trHeight w:val="210"/>
        </w:trPr>
        <w:tc>
          <w:tcPr>
            <w:tcW w:w="2580" w:type="dxa"/>
            <w:vAlign w:val="bottom"/>
          </w:tcPr>
          <w:p>
            <w:pPr>
              <w:ind w:left="220"/>
              <w:spacing w:after="0"/>
              <w:rPr>
                <w:sz w:val="20"/>
                <w:szCs w:val="20"/>
                <w:color w:val="auto"/>
              </w:rPr>
            </w:pPr>
            <w:r>
              <w:rPr>
                <w:rFonts w:ascii="Arial" w:cs="Arial" w:eastAsia="Arial" w:hAnsi="Arial"/>
                <w:sz w:val="14"/>
                <w:szCs w:val="14"/>
                <w:color w:val="auto"/>
              </w:rPr>
              <w:t>Pension adjustment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320" w:type="dxa"/>
            <w:vAlign w:val="bottom"/>
          </w:tcPr>
          <w:p>
            <w:pPr>
              <w:jc w:val="right"/>
              <w:ind w:right="110"/>
              <w:spacing w:after="0"/>
              <w:rPr>
                <w:sz w:val="20"/>
                <w:szCs w:val="20"/>
                <w:color w:val="auto"/>
              </w:rPr>
            </w:pPr>
            <w:r>
              <w:rPr>
                <w:rFonts w:ascii="Arial" w:cs="Arial" w:eastAsia="Arial" w:hAnsi="Arial"/>
                <w:sz w:val="14"/>
                <w:szCs w:val="14"/>
                <w:color w:val="auto"/>
              </w:rPr>
              <w:t>4</w:t>
            </w:r>
          </w:p>
        </w:tc>
        <w:tc>
          <w:tcPr>
            <w:tcW w:w="1100" w:type="dxa"/>
            <w:vAlign w:val="bottom"/>
          </w:tcPr>
          <w:p>
            <w:pPr>
              <w:jc w:val="right"/>
              <w:ind w:right="129"/>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96"/>
        </w:trPr>
        <w:tc>
          <w:tcPr>
            <w:tcW w:w="2580" w:type="dxa"/>
            <w:vAlign w:val="bottom"/>
          </w:tcPr>
          <w:p>
            <w:pPr>
              <w:ind w:left="20"/>
              <w:spacing w:after="0"/>
              <w:rPr>
                <w:sz w:val="20"/>
                <w:szCs w:val="20"/>
                <w:color w:val="auto"/>
              </w:rPr>
            </w:pPr>
            <w:r>
              <w:rPr>
                <w:rFonts w:ascii="Arial" w:cs="Arial" w:eastAsia="Arial" w:hAnsi="Arial"/>
                <w:sz w:val="14"/>
                <w:szCs w:val="14"/>
                <w:color w:val="auto"/>
              </w:rPr>
              <w:t>Comprehensive income</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$ 291</w:t>
            </w: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2580" w:type="dxa"/>
            <w:vAlign w:val="bottom"/>
          </w:tcPr>
          <w:p>
            <w:pPr>
              <w:ind w:left="20"/>
              <w:spacing w:after="0"/>
              <w:rPr>
                <w:sz w:val="20"/>
                <w:szCs w:val="20"/>
                <w:color w:val="auto"/>
              </w:rPr>
            </w:pPr>
            <w:r>
              <w:rPr>
                <w:rFonts w:ascii="Arial" w:cs="Arial" w:eastAsia="Arial" w:hAnsi="Arial"/>
                <w:sz w:val="14"/>
                <w:szCs w:val="14"/>
                <w:color w:val="auto"/>
              </w:rPr>
              <w:t>Preferred stock dividends declared</w:t>
            </w: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(5 )</w:t>
            </w:r>
          </w:p>
        </w:tc>
        <w:tc>
          <w:tcPr>
            <w:tcW w:w="1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(5 )</w:t>
            </w:r>
          </w:p>
        </w:tc>
        <w:tc>
          <w:tcPr>
            <w:tcW w:w="0" w:type="dxa"/>
            <w:vAlign w:val="bottom"/>
          </w:tcPr>
          <w:p>
            <w:pPr>
              <w:spacing w:after="0"/>
              <w:rPr>
                <w:sz w:val="1"/>
                <w:szCs w:val="1"/>
                <w:color w:val="auto"/>
              </w:rPr>
            </w:pPr>
          </w:p>
        </w:tc>
      </w:tr>
      <w:tr>
        <w:trPr>
          <w:trHeight w:val="202"/>
        </w:trPr>
        <w:tc>
          <w:tcPr>
            <w:tcW w:w="2580" w:type="dxa"/>
            <w:vAlign w:val="bottom"/>
          </w:tcPr>
          <w:p>
            <w:pPr>
              <w:ind w:left="20"/>
              <w:spacing w:after="0"/>
              <w:rPr>
                <w:sz w:val="20"/>
                <w:szCs w:val="20"/>
                <w:color w:val="auto"/>
              </w:rPr>
            </w:pPr>
            <w:r>
              <w:rPr>
                <w:rFonts w:ascii="Arial" w:cs="Arial" w:eastAsia="Arial" w:hAnsi="Arial"/>
                <w:sz w:val="14"/>
                <w:szCs w:val="14"/>
                <w:color w:val="auto"/>
              </w:rPr>
              <w:t>Balance at December 31, 2007</w:t>
            </w: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jc w:val="right"/>
              <w:ind w:right="52"/>
              <w:spacing w:after="0"/>
              <w:rPr>
                <w:sz w:val="20"/>
                <w:szCs w:val="20"/>
                <w:color w:val="auto"/>
              </w:rPr>
            </w:pPr>
            <w:r>
              <w:rPr>
                <w:rFonts w:ascii="Arial" w:cs="Arial" w:eastAsia="Arial" w:hAnsi="Arial"/>
                <w:sz w:val="14"/>
                <w:szCs w:val="14"/>
                <w:color w:val="auto"/>
              </w:rPr>
              <w:t>79</w:t>
            </w:r>
          </w:p>
        </w:tc>
        <w:tc>
          <w:tcPr>
            <w:tcW w:w="740" w:type="dxa"/>
            <w:vAlign w:val="bottom"/>
          </w:tcPr>
          <w:p>
            <w:pPr>
              <w:jc w:val="right"/>
              <w:ind w:right="50"/>
              <w:spacing w:after="0"/>
              <w:rPr>
                <w:sz w:val="20"/>
                <w:szCs w:val="20"/>
                <w:color w:val="auto"/>
              </w:rPr>
            </w:pPr>
            <w:r>
              <w:rPr>
                <w:rFonts w:ascii="Arial" w:cs="Arial" w:eastAsia="Arial" w:hAnsi="Arial"/>
                <w:sz w:val="14"/>
                <w:szCs w:val="14"/>
                <w:color w:val="auto"/>
              </w:rPr>
              <w:t>1,138</w:t>
            </w:r>
          </w:p>
        </w:tc>
        <w:tc>
          <w:tcPr>
            <w:tcW w:w="780" w:type="dxa"/>
            <w:vAlign w:val="bottom"/>
          </w:tcPr>
          <w:p>
            <w:pPr>
              <w:jc w:val="right"/>
              <w:ind w:right="69"/>
              <w:spacing w:after="0"/>
              <w:rPr>
                <w:sz w:val="20"/>
                <w:szCs w:val="20"/>
                <w:color w:val="auto"/>
              </w:rPr>
            </w:pPr>
            <w:r>
              <w:rPr>
                <w:rFonts w:ascii="Arial" w:cs="Arial" w:eastAsia="Arial" w:hAnsi="Arial"/>
                <w:sz w:val="14"/>
                <w:szCs w:val="14"/>
                <w:color w:val="auto"/>
              </w:rPr>
              <w:t>1,078</w:t>
            </w:r>
          </w:p>
        </w:tc>
        <w:tc>
          <w:tcPr>
            <w:tcW w:w="1320" w:type="dxa"/>
            <w:vAlign w:val="bottom"/>
          </w:tcPr>
          <w:p>
            <w:pPr>
              <w:jc w:val="right"/>
              <w:ind w:right="30"/>
              <w:spacing w:after="0"/>
              <w:rPr>
                <w:sz w:val="20"/>
                <w:szCs w:val="20"/>
                <w:color w:val="auto"/>
              </w:rPr>
            </w:pPr>
            <w:r>
              <w:rPr>
                <w:rFonts w:ascii="Arial" w:cs="Arial" w:eastAsia="Arial" w:hAnsi="Arial"/>
                <w:sz w:val="14"/>
                <w:szCs w:val="14"/>
                <w:color w:val="auto"/>
              </w:rPr>
              <w:t>(16 )</w:t>
            </w:r>
          </w:p>
        </w:tc>
        <w:tc>
          <w:tcPr>
            <w:tcW w:w="1100" w:type="dxa"/>
            <w:vAlign w:val="bottom"/>
          </w:tcPr>
          <w:p>
            <w:pPr>
              <w:jc w:val="right"/>
              <w:ind w:right="129"/>
              <w:spacing w:after="0"/>
              <w:rPr>
                <w:sz w:val="20"/>
                <w:szCs w:val="20"/>
                <w:color w:val="auto"/>
              </w:rPr>
            </w:pPr>
            <w:r>
              <w:rPr>
                <w:rFonts w:ascii="Arial" w:cs="Arial" w:eastAsia="Arial" w:hAnsi="Arial"/>
                <w:sz w:val="14"/>
                <w:szCs w:val="14"/>
                <w:color w:val="auto"/>
              </w:rPr>
              <w:t>2,279</w:t>
            </w:r>
          </w:p>
        </w:tc>
        <w:tc>
          <w:tcPr>
            <w:tcW w:w="0" w:type="dxa"/>
            <w:vAlign w:val="bottom"/>
          </w:tcPr>
          <w:p>
            <w:pPr>
              <w:spacing w:after="0"/>
              <w:rPr>
                <w:sz w:val="1"/>
                <w:szCs w:val="1"/>
                <w:color w:val="auto"/>
              </w:rPr>
            </w:pPr>
          </w:p>
        </w:tc>
      </w:tr>
      <w:tr>
        <w:trPr>
          <w:trHeight w:val="216"/>
        </w:trPr>
        <w:tc>
          <w:tcPr>
            <w:tcW w:w="2580" w:type="dxa"/>
            <w:vAlign w:val="bottom"/>
          </w:tcPr>
          <w:p>
            <w:pPr>
              <w:ind w:left="20"/>
              <w:spacing w:after="0"/>
              <w:rPr>
                <w:sz w:val="20"/>
                <w:szCs w:val="20"/>
                <w:color w:val="auto"/>
              </w:rPr>
            </w:pPr>
            <w:r>
              <w:rPr>
                <w:rFonts w:ascii="Arial" w:cs="Arial" w:eastAsia="Arial" w:hAnsi="Arial"/>
                <w:sz w:val="14"/>
                <w:szCs w:val="14"/>
                <w:color w:val="auto"/>
              </w:rPr>
              <w:t>Net income</w:t>
            </w:r>
          </w:p>
        </w:tc>
        <w:tc>
          <w:tcPr>
            <w:tcW w:w="1040" w:type="dxa"/>
            <w:vAlign w:val="bottom"/>
          </w:tcPr>
          <w:p>
            <w:pPr>
              <w:jc w:val="right"/>
              <w:spacing w:after="0"/>
              <w:rPr>
                <w:sz w:val="20"/>
                <w:szCs w:val="20"/>
                <w:color w:val="auto"/>
              </w:rPr>
            </w:pPr>
            <w:r>
              <w:rPr>
                <w:rFonts w:ascii="Arial" w:cs="Arial" w:eastAsia="Arial" w:hAnsi="Arial"/>
                <w:sz w:val="14"/>
                <w:szCs w:val="14"/>
                <w:color w:val="auto"/>
              </w:rPr>
              <w:t>$ 344</w:t>
            </w: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80" w:type="dxa"/>
            <w:vAlign w:val="bottom"/>
          </w:tcPr>
          <w:p>
            <w:pPr>
              <w:jc w:val="right"/>
              <w:ind w:right="69"/>
              <w:spacing w:after="0"/>
              <w:rPr>
                <w:sz w:val="20"/>
                <w:szCs w:val="20"/>
                <w:color w:val="auto"/>
              </w:rPr>
            </w:pPr>
            <w:r>
              <w:rPr>
                <w:rFonts w:ascii="Arial" w:cs="Arial" w:eastAsia="Arial" w:hAnsi="Arial"/>
                <w:sz w:val="14"/>
                <w:szCs w:val="14"/>
                <w:color w:val="auto"/>
              </w:rPr>
              <w:t>344</w:t>
            </w:r>
          </w:p>
        </w:tc>
        <w:tc>
          <w:tcPr>
            <w:tcW w:w="1320" w:type="dxa"/>
            <w:vAlign w:val="bottom"/>
          </w:tcPr>
          <w:p>
            <w:pPr>
              <w:spacing w:after="0"/>
              <w:rPr>
                <w:sz w:val="18"/>
                <w:szCs w:val="18"/>
                <w:color w:val="auto"/>
              </w:rPr>
            </w:pPr>
          </w:p>
        </w:tc>
        <w:tc>
          <w:tcPr>
            <w:tcW w:w="1100" w:type="dxa"/>
            <w:vAlign w:val="bottom"/>
          </w:tcPr>
          <w:p>
            <w:pPr>
              <w:jc w:val="right"/>
              <w:ind w:right="129"/>
              <w:spacing w:after="0"/>
              <w:rPr>
                <w:sz w:val="20"/>
                <w:szCs w:val="20"/>
                <w:color w:val="auto"/>
              </w:rPr>
            </w:pPr>
            <w:r>
              <w:rPr>
                <w:rFonts w:ascii="Arial" w:cs="Arial" w:eastAsia="Arial" w:hAnsi="Arial"/>
                <w:sz w:val="14"/>
                <w:szCs w:val="14"/>
                <w:color w:val="auto"/>
              </w:rPr>
              <w:t>344</w:t>
            </w:r>
          </w:p>
        </w:tc>
        <w:tc>
          <w:tcPr>
            <w:tcW w:w="0" w:type="dxa"/>
            <w:vAlign w:val="bottom"/>
          </w:tcPr>
          <w:p>
            <w:pPr>
              <w:spacing w:after="0"/>
              <w:rPr>
                <w:sz w:val="1"/>
                <w:szCs w:val="1"/>
                <w:color w:val="auto"/>
              </w:rPr>
            </w:pPr>
          </w:p>
        </w:tc>
      </w:tr>
      <w:tr>
        <w:trPr>
          <w:trHeight w:val="210"/>
        </w:trPr>
        <w:tc>
          <w:tcPr>
            <w:tcW w:w="2580" w:type="dxa"/>
            <w:vAlign w:val="bottom"/>
          </w:tcPr>
          <w:p>
            <w:pPr>
              <w:ind w:left="180"/>
              <w:spacing w:after="0"/>
              <w:rPr>
                <w:sz w:val="20"/>
                <w:szCs w:val="20"/>
                <w:color w:val="auto"/>
              </w:rPr>
            </w:pPr>
            <w:r>
              <w:rPr>
                <w:rFonts w:ascii="Arial" w:cs="Arial" w:eastAsia="Arial" w:hAnsi="Arial"/>
                <w:sz w:val="14"/>
                <w:szCs w:val="14"/>
                <w:color w:val="auto"/>
              </w:rPr>
              <w:t>Pension adjustment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320" w:type="dxa"/>
            <w:vAlign w:val="bottom"/>
          </w:tcPr>
          <w:p>
            <w:pPr>
              <w:jc w:val="right"/>
              <w:ind w:right="110"/>
              <w:spacing w:after="0"/>
              <w:rPr>
                <w:sz w:val="20"/>
                <w:szCs w:val="20"/>
                <w:color w:val="auto"/>
              </w:rPr>
            </w:pPr>
            <w:r>
              <w:rPr>
                <w:rFonts w:ascii="Arial" w:cs="Arial" w:eastAsia="Arial" w:hAnsi="Arial"/>
                <w:sz w:val="14"/>
                <w:szCs w:val="14"/>
                <w:color w:val="auto"/>
              </w:rPr>
              <w:t>3</w:t>
            </w:r>
          </w:p>
        </w:tc>
        <w:tc>
          <w:tcPr>
            <w:tcW w:w="1100" w:type="dxa"/>
            <w:vAlign w:val="bottom"/>
          </w:tcPr>
          <w:p>
            <w:pPr>
              <w:jc w:val="right"/>
              <w:ind w:right="129"/>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96"/>
        </w:trPr>
        <w:tc>
          <w:tcPr>
            <w:tcW w:w="2580" w:type="dxa"/>
            <w:vAlign w:val="bottom"/>
          </w:tcPr>
          <w:p>
            <w:pPr>
              <w:ind w:left="20"/>
              <w:spacing w:after="0"/>
              <w:rPr>
                <w:sz w:val="20"/>
                <w:szCs w:val="20"/>
                <w:color w:val="auto"/>
              </w:rPr>
            </w:pPr>
            <w:r>
              <w:rPr>
                <w:rFonts w:ascii="Arial" w:cs="Arial" w:eastAsia="Arial" w:hAnsi="Arial"/>
                <w:sz w:val="14"/>
                <w:szCs w:val="14"/>
                <w:color w:val="auto"/>
              </w:rPr>
              <w:t>Comprehensive income</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$ 347</w:t>
            </w: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2580" w:type="dxa"/>
            <w:vAlign w:val="bottom"/>
          </w:tcPr>
          <w:p>
            <w:pPr>
              <w:ind w:left="20"/>
              <w:spacing w:after="0"/>
              <w:rPr>
                <w:sz w:val="20"/>
                <w:szCs w:val="20"/>
                <w:color w:val="auto"/>
              </w:rPr>
            </w:pPr>
            <w:r>
              <w:rPr>
                <w:rFonts w:ascii="Arial" w:cs="Arial" w:eastAsia="Arial" w:hAnsi="Arial"/>
                <w:sz w:val="14"/>
                <w:szCs w:val="14"/>
                <w:color w:val="auto"/>
              </w:rPr>
              <w:t>Preferred stock dividends declared</w:t>
            </w: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(5 )</w:t>
            </w:r>
          </w:p>
        </w:tc>
        <w:tc>
          <w:tcPr>
            <w:tcW w:w="1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(5 )</w:t>
            </w:r>
          </w:p>
        </w:tc>
        <w:tc>
          <w:tcPr>
            <w:tcW w:w="0" w:type="dxa"/>
            <w:vAlign w:val="bottom"/>
          </w:tcPr>
          <w:p>
            <w:pPr>
              <w:spacing w:after="0"/>
              <w:rPr>
                <w:sz w:val="1"/>
                <w:szCs w:val="1"/>
                <w:color w:val="auto"/>
              </w:rPr>
            </w:pPr>
          </w:p>
        </w:tc>
      </w:tr>
      <w:tr>
        <w:trPr>
          <w:trHeight w:val="224"/>
        </w:trPr>
        <w:tc>
          <w:tcPr>
            <w:tcW w:w="25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Balance at December 31, 2008</w:t>
            </w:r>
          </w:p>
        </w:tc>
        <w:tc>
          <w:tcPr>
            <w:tcW w:w="10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color w:val="auto"/>
              </w:rPr>
              <w:t>$ 79</w:t>
            </w:r>
          </w:p>
        </w:tc>
        <w:tc>
          <w:tcPr>
            <w:tcW w:w="74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$ 1,138</w:t>
            </w:r>
          </w:p>
        </w:tc>
        <w:tc>
          <w:tcPr>
            <w:tcW w:w="78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$1,417</w:t>
            </w:r>
          </w:p>
        </w:tc>
        <w:tc>
          <w:tcPr>
            <w:tcW w:w="132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 (13 )</w:t>
            </w:r>
          </w:p>
        </w:tc>
        <w:tc>
          <w:tcPr>
            <w:tcW w:w="1100" w:type="dxa"/>
            <w:vAlign w:val="bottom"/>
            <w:tcBorders>
              <w:bottom w:val="single" w:sz="8" w:color="auto"/>
            </w:tcBorders>
          </w:tcPr>
          <w:p>
            <w:pPr>
              <w:jc w:val="right"/>
              <w:ind w:right="129"/>
              <w:spacing w:after="0"/>
              <w:rPr>
                <w:sz w:val="20"/>
                <w:szCs w:val="20"/>
                <w:color w:val="auto"/>
              </w:rPr>
            </w:pPr>
            <w:r>
              <w:rPr>
                <w:rFonts w:ascii="Arial" w:cs="Arial" w:eastAsia="Arial" w:hAnsi="Arial"/>
                <w:sz w:val="14"/>
                <w:szCs w:val="14"/>
                <w:color w:val="auto"/>
              </w:rPr>
              <w:t>$ 2,621</w:t>
            </w:r>
          </w:p>
        </w:tc>
        <w:tc>
          <w:tcPr>
            <w:tcW w:w="0" w:type="dxa"/>
            <w:vAlign w:val="bottom"/>
          </w:tcPr>
          <w:p>
            <w:pPr>
              <w:spacing w:after="0"/>
              <w:rPr>
                <w:sz w:val="1"/>
                <w:szCs w:val="1"/>
                <w:color w:val="auto"/>
              </w:rPr>
            </w:pPr>
          </w:p>
        </w:tc>
      </w:tr>
    </w:tbl>
    <w:p>
      <w:pPr>
        <w:spacing w:after="0" w:line="220" w:lineRule="exact"/>
        <w:rPr>
          <w:sz w:val="20"/>
          <w:szCs w:val="20"/>
          <w:color w:val="auto"/>
        </w:rPr>
      </w:pPr>
    </w:p>
    <w:p>
      <w:pPr>
        <w:ind w:left="1340"/>
        <w:spacing w:after="0"/>
        <w:rPr>
          <w:sz w:val="20"/>
          <w:szCs w:val="20"/>
          <w:color w:val="auto"/>
        </w:rPr>
      </w:pPr>
      <w:r>
        <w:rPr>
          <w:rFonts w:ascii="Arial" w:cs="Arial" w:eastAsia="Arial" w:hAnsi="Arial"/>
          <w:sz w:val="13"/>
          <w:szCs w:val="13"/>
          <w:i w:val="1"/>
          <w:iCs w:val="1"/>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4"/>
          <w:szCs w:val="14"/>
          <w:color w:val="auto"/>
        </w:rPr>
        <w:t>80</w:t>
      </w:r>
    </w:p>
    <w:p>
      <w:pPr>
        <w:sectPr>
          <w:pgSz w:w="11900" w:h="16838" w:orient="portrait"/>
          <w:cols w:equalWidth="0" w:num="1">
            <w:col w:w="10219"/>
          </w:cols>
          <w:pgMar w:left="240" w:top="544" w:right="1440" w:bottom="1440" w:gutter="0" w:footer="0" w:header="0"/>
        </w:sectPr>
      </w:pPr>
    </w:p>
    <w:bookmarkStart w:id="220" w:name="page221"/>
    <w:bookmarkEnd w:id="220"/>
    <w:p>
      <w:pPr>
        <w:ind w:left="1600"/>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1156970</wp:posOffset>
            </wp:positionH>
            <wp:positionV relativeFrom="page">
              <wp:posOffset>226060</wp:posOffset>
            </wp:positionV>
            <wp:extent cx="5248275" cy="36639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5248275" cy="366395"/>
                    </a:xfrm>
                    <a:prstGeom prst="rect">
                      <a:avLst/>
                    </a:prstGeom>
                    <a:noFill/>
                  </pic:spPr>
                </pic:pic>
              </a:graphicData>
            </a:graphic>
          </wp:anchor>
        </w:drawing>
        <w:t>PACIFIC ENTERPRISES AND SUBSIDIARIES</w:t>
      </w:r>
    </w:p>
    <w:p>
      <w:pPr>
        <w:spacing w:after="0" w:line="31" w:lineRule="exact"/>
        <w:rPr>
          <w:sz w:val="20"/>
          <w:szCs w:val="20"/>
          <w:color w:val="auto"/>
        </w:rPr>
      </w:pPr>
    </w:p>
    <w:p>
      <w:pPr>
        <w:ind w:left="1600"/>
        <w:spacing w:after="0"/>
        <w:rPr>
          <w:sz w:val="20"/>
          <w:szCs w:val="20"/>
          <w:color w:val="auto"/>
        </w:rPr>
      </w:pPr>
      <w:r>
        <w:rPr>
          <w:rFonts w:ascii="Arial" w:cs="Arial" w:eastAsia="Arial" w:hAnsi="Arial"/>
          <w:sz w:val="14"/>
          <w:szCs w:val="14"/>
          <w:b w:val="1"/>
          <w:bCs w:val="1"/>
          <w:color w:val="auto"/>
        </w:rPr>
        <w:t>STATEMENTS OF CONSOLIDATED INCOME</w:t>
      </w:r>
    </w:p>
    <w:p>
      <w:pPr>
        <w:spacing w:after="0" w:line="40" w:lineRule="exact"/>
        <w:rPr>
          <w:sz w:val="20"/>
          <w:szCs w:val="20"/>
          <w:color w:val="auto"/>
        </w:rPr>
      </w:pPr>
    </w:p>
    <w:p>
      <w:pPr>
        <w:ind w:left="1600"/>
        <w:spacing w:after="0"/>
        <w:rPr>
          <w:sz w:val="20"/>
          <w:szCs w:val="20"/>
          <w:color w:val="auto"/>
        </w:rPr>
      </w:pPr>
      <w:r>
        <w:rPr>
          <w:rFonts w:ascii="Arial" w:cs="Arial" w:eastAsia="Arial" w:hAnsi="Arial"/>
          <w:sz w:val="13"/>
          <w:szCs w:val="13"/>
          <w:i w:val="1"/>
          <w:iCs w:val="1"/>
          <w:color w:val="auto"/>
        </w:rPr>
        <w:t>(Dollars in millions)</w:t>
      </w:r>
    </w:p>
    <w:p>
      <w:pPr>
        <w:spacing w:after="0" w:line="67" w:lineRule="exact"/>
        <w:rPr>
          <w:sz w:val="20"/>
          <w:szCs w:val="20"/>
          <w:color w:val="auto"/>
        </w:rPr>
      </w:pPr>
    </w:p>
    <w:tbl>
      <w:tblPr>
        <w:tblLayout w:type="fixed"/>
        <w:tblInd w:w="1580" w:type="dxa"/>
        <w:tblCellMar>
          <w:top w:w="0" w:type="dxa"/>
          <w:left w:w="0" w:type="dxa"/>
          <w:bottom w:w="0" w:type="dxa"/>
          <w:right w:w="0" w:type="dxa"/>
        </w:tblCellMar>
      </w:tblPr>
      <w:tr>
        <w:trPr>
          <w:trHeight w:val="159"/>
        </w:trPr>
        <w:tc>
          <w:tcPr>
            <w:tcW w:w="4200" w:type="dxa"/>
            <w:vAlign w:val="bottom"/>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168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color w:val="auto"/>
              </w:rPr>
              <w:t>Years ended December 31,</w:t>
            </w:r>
          </w:p>
        </w:tc>
        <w:tc>
          <w:tcPr>
            <w:tcW w:w="26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r>
      <w:tr>
        <w:trPr>
          <w:trHeight w:val="208"/>
        </w:trPr>
        <w:tc>
          <w:tcPr>
            <w:tcW w:w="420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88"/>
              <w:spacing w:after="0"/>
              <w:rPr>
                <w:sz w:val="20"/>
                <w:szCs w:val="20"/>
                <w:color w:val="auto"/>
              </w:rPr>
            </w:pPr>
            <w:r>
              <w:rPr>
                <w:rFonts w:ascii="Arial" w:cs="Arial" w:eastAsia="Arial" w:hAnsi="Arial"/>
                <w:sz w:val="13"/>
                <w:szCs w:val="13"/>
                <w:color w:val="auto"/>
              </w:rPr>
              <w:t>2008</w:t>
            </w:r>
          </w:p>
        </w:tc>
        <w:tc>
          <w:tcPr>
            <w:tcW w:w="5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608"/>
              <w:spacing w:after="0"/>
              <w:rPr>
                <w:sz w:val="20"/>
                <w:szCs w:val="20"/>
                <w:color w:val="auto"/>
              </w:rPr>
            </w:pPr>
            <w:r>
              <w:rPr>
                <w:rFonts w:ascii="Arial" w:cs="Arial" w:eastAsia="Arial" w:hAnsi="Arial"/>
                <w:sz w:val="13"/>
                <w:szCs w:val="13"/>
                <w:color w:val="auto"/>
              </w:rPr>
              <w:t>2007</w:t>
            </w: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468"/>
              <w:spacing w:after="0"/>
              <w:rPr>
                <w:sz w:val="20"/>
                <w:szCs w:val="20"/>
                <w:color w:val="auto"/>
              </w:rPr>
            </w:pPr>
            <w:r>
              <w:rPr>
                <w:rFonts w:ascii="Arial" w:cs="Arial" w:eastAsia="Arial" w:hAnsi="Arial"/>
                <w:sz w:val="13"/>
                <w:szCs w:val="13"/>
                <w:color w:val="auto"/>
              </w:rPr>
              <w:t>2006</w:t>
            </w:r>
          </w:p>
        </w:tc>
      </w:tr>
      <w:tr>
        <w:trPr>
          <w:trHeight w:val="429"/>
        </w:trPr>
        <w:tc>
          <w:tcPr>
            <w:tcW w:w="4200" w:type="dxa"/>
            <w:vAlign w:val="bottom"/>
          </w:tcPr>
          <w:p>
            <w:pPr>
              <w:ind w:left="20"/>
              <w:spacing w:after="0"/>
              <w:rPr>
                <w:sz w:val="20"/>
                <w:szCs w:val="20"/>
                <w:color w:val="auto"/>
              </w:rPr>
            </w:pPr>
            <w:r>
              <w:rPr>
                <w:rFonts w:ascii="Arial" w:cs="Arial" w:eastAsia="Arial" w:hAnsi="Arial"/>
                <w:sz w:val="14"/>
                <w:szCs w:val="14"/>
                <w:color w:val="auto"/>
              </w:rPr>
              <w:t>Operating revenues</w:t>
            </w:r>
          </w:p>
        </w:tc>
        <w:tc>
          <w:tcPr>
            <w:tcW w:w="4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4,768</w:t>
            </w:r>
          </w:p>
        </w:tc>
        <w:tc>
          <w:tcPr>
            <w:tcW w:w="58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color w:val="auto"/>
              </w:rPr>
              <w:t>4,282</w:t>
            </w:r>
          </w:p>
        </w:tc>
        <w:tc>
          <w:tcPr>
            <w:tcW w:w="2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4,181</w:t>
            </w:r>
          </w:p>
        </w:tc>
      </w:tr>
      <w:tr>
        <w:trPr>
          <w:trHeight w:val="418"/>
        </w:trPr>
        <w:tc>
          <w:tcPr>
            <w:tcW w:w="4200" w:type="dxa"/>
            <w:vAlign w:val="bottom"/>
          </w:tcPr>
          <w:p>
            <w:pPr>
              <w:ind w:left="20"/>
              <w:spacing w:after="0"/>
              <w:rPr>
                <w:sz w:val="20"/>
                <w:szCs w:val="20"/>
                <w:color w:val="auto"/>
              </w:rPr>
            </w:pPr>
            <w:r>
              <w:rPr>
                <w:rFonts w:ascii="Arial" w:cs="Arial" w:eastAsia="Arial" w:hAnsi="Arial"/>
                <w:sz w:val="14"/>
                <w:szCs w:val="14"/>
                <w:color w:val="auto"/>
              </w:rPr>
              <w:t>Operating expenses</w:t>
            </w: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16"/>
        </w:trPr>
        <w:tc>
          <w:tcPr>
            <w:tcW w:w="4200" w:type="dxa"/>
            <w:vAlign w:val="bottom"/>
          </w:tcPr>
          <w:p>
            <w:pPr>
              <w:ind w:left="180"/>
              <w:spacing w:after="0"/>
              <w:rPr>
                <w:sz w:val="20"/>
                <w:szCs w:val="20"/>
                <w:color w:val="auto"/>
              </w:rPr>
            </w:pPr>
            <w:r>
              <w:rPr>
                <w:rFonts w:ascii="Arial" w:cs="Arial" w:eastAsia="Arial" w:hAnsi="Arial"/>
                <w:sz w:val="14"/>
                <w:szCs w:val="14"/>
                <w:color w:val="auto"/>
              </w:rPr>
              <w:t>Cost of natural gas</w:t>
            </w:r>
          </w:p>
        </w:tc>
        <w:tc>
          <w:tcPr>
            <w:tcW w:w="420" w:type="dxa"/>
            <w:vAlign w:val="bottom"/>
          </w:tcPr>
          <w:p>
            <w:pPr>
              <w:spacing w:after="0"/>
              <w:rPr>
                <w:sz w:val="18"/>
                <w:szCs w:val="18"/>
                <w:color w:val="auto"/>
              </w:rPr>
            </w:pPr>
          </w:p>
        </w:tc>
        <w:tc>
          <w:tcPr>
            <w:tcW w:w="760" w:type="dxa"/>
            <w:vAlign w:val="bottom"/>
          </w:tcPr>
          <w:p>
            <w:pPr>
              <w:jc w:val="right"/>
              <w:ind w:right="68"/>
              <w:spacing w:after="0"/>
              <w:rPr>
                <w:sz w:val="20"/>
                <w:szCs w:val="20"/>
                <w:color w:val="auto"/>
              </w:rPr>
            </w:pPr>
            <w:r>
              <w:rPr>
                <w:rFonts w:ascii="Arial" w:cs="Arial" w:eastAsia="Arial" w:hAnsi="Arial"/>
                <w:sz w:val="14"/>
                <w:szCs w:val="14"/>
                <w:color w:val="auto"/>
              </w:rPr>
              <w:t>2,841</w:t>
            </w:r>
          </w:p>
        </w:tc>
        <w:tc>
          <w:tcPr>
            <w:tcW w:w="580" w:type="dxa"/>
            <w:vAlign w:val="bottom"/>
          </w:tcPr>
          <w:p>
            <w:pPr>
              <w:spacing w:after="0"/>
              <w:rPr>
                <w:sz w:val="18"/>
                <w:szCs w:val="18"/>
                <w:color w:val="auto"/>
              </w:rPr>
            </w:pPr>
          </w:p>
        </w:tc>
        <w:tc>
          <w:tcPr>
            <w:tcW w:w="1100" w:type="dxa"/>
            <w:vAlign w:val="bottom"/>
          </w:tcPr>
          <w:p>
            <w:pPr>
              <w:jc w:val="right"/>
              <w:ind w:right="388"/>
              <w:spacing w:after="0"/>
              <w:rPr>
                <w:sz w:val="20"/>
                <w:szCs w:val="20"/>
                <w:color w:val="auto"/>
              </w:rPr>
            </w:pPr>
            <w:r>
              <w:rPr>
                <w:rFonts w:ascii="Arial" w:cs="Arial" w:eastAsia="Arial" w:hAnsi="Arial"/>
                <w:sz w:val="14"/>
                <w:szCs w:val="14"/>
                <w:color w:val="auto"/>
              </w:rPr>
              <w:t>2,420</w:t>
            </w:r>
          </w:p>
        </w:tc>
        <w:tc>
          <w:tcPr>
            <w:tcW w:w="260" w:type="dxa"/>
            <w:vAlign w:val="bottom"/>
          </w:tcPr>
          <w:p>
            <w:pPr>
              <w:spacing w:after="0"/>
              <w:rPr>
                <w:sz w:val="18"/>
                <w:szCs w:val="18"/>
                <w:color w:val="auto"/>
              </w:rPr>
            </w:pPr>
          </w:p>
        </w:tc>
        <w:tc>
          <w:tcPr>
            <w:tcW w:w="940" w:type="dxa"/>
            <w:vAlign w:val="bottom"/>
          </w:tcPr>
          <w:p>
            <w:pPr>
              <w:jc w:val="right"/>
              <w:ind w:right="228"/>
              <w:spacing w:after="0"/>
              <w:rPr>
                <w:sz w:val="20"/>
                <w:szCs w:val="20"/>
                <w:color w:val="auto"/>
              </w:rPr>
            </w:pPr>
            <w:r>
              <w:rPr>
                <w:rFonts w:ascii="Arial" w:cs="Arial" w:eastAsia="Arial" w:hAnsi="Arial"/>
                <w:sz w:val="14"/>
                <w:szCs w:val="14"/>
                <w:color w:val="auto"/>
              </w:rPr>
              <w:t>2,410</w:t>
            </w:r>
          </w:p>
        </w:tc>
      </w:tr>
      <w:tr>
        <w:trPr>
          <w:trHeight w:val="216"/>
        </w:trPr>
        <w:tc>
          <w:tcPr>
            <w:tcW w:w="4200" w:type="dxa"/>
            <w:vAlign w:val="bottom"/>
          </w:tcPr>
          <w:p>
            <w:pPr>
              <w:ind w:left="180"/>
              <w:spacing w:after="0"/>
              <w:rPr>
                <w:sz w:val="20"/>
                <w:szCs w:val="20"/>
                <w:color w:val="auto"/>
              </w:rPr>
            </w:pPr>
            <w:r>
              <w:rPr>
                <w:rFonts w:ascii="Arial" w:cs="Arial" w:eastAsia="Arial" w:hAnsi="Arial"/>
                <w:sz w:val="14"/>
                <w:szCs w:val="14"/>
                <w:color w:val="auto"/>
              </w:rPr>
              <w:t>Operation and maintenance</w:t>
            </w:r>
          </w:p>
        </w:tc>
        <w:tc>
          <w:tcPr>
            <w:tcW w:w="420" w:type="dxa"/>
            <w:vAlign w:val="bottom"/>
          </w:tcPr>
          <w:p>
            <w:pPr>
              <w:spacing w:after="0"/>
              <w:rPr>
                <w:sz w:val="18"/>
                <w:szCs w:val="18"/>
                <w:color w:val="auto"/>
              </w:rPr>
            </w:pPr>
          </w:p>
        </w:tc>
        <w:tc>
          <w:tcPr>
            <w:tcW w:w="760" w:type="dxa"/>
            <w:vAlign w:val="bottom"/>
          </w:tcPr>
          <w:p>
            <w:pPr>
              <w:jc w:val="right"/>
              <w:ind w:right="68"/>
              <w:spacing w:after="0"/>
              <w:rPr>
                <w:sz w:val="20"/>
                <w:szCs w:val="20"/>
                <w:color w:val="auto"/>
              </w:rPr>
            </w:pPr>
            <w:r>
              <w:rPr>
                <w:rFonts w:ascii="Arial" w:cs="Arial" w:eastAsia="Arial" w:hAnsi="Arial"/>
                <w:sz w:val="14"/>
                <w:szCs w:val="14"/>
                <w:color w:val="auto"/>
              </w:rPr>
              <w:t>1,077</w:t>
            </w:r>
          </w:p>
        </w:tc>
        <w:tc>
          <w:tcPr>
            <w:tcW w:w="580" w:type="dxa"/>
            <w:vAlign w:val="bottom"/>
          </w:tcPr>
          <w:p>
            <w:pPr>
              <w:spacing w:after="0"/>
              <w:rPr>
                <w:sz w:val="18"/>
                <w:szCs w:val="18"/>
                <w:color w:val="auto"/>
              </w:rPr>
            </w:pPr>
          </w:p>
        </w:tc>
        <w:tc>
          <w:tcPr>
            <w:tcW w:w="1100" w:type="dxa"/>
            <w:vAlign w:val="bottom"/>
          </w:tcPr>
          <w:p>
            <w:pPr>
              <w:jc w:val="right"/>
              <w:ind w:right="388"/>
              <w:spacing w:after="0"/>
              <w:rPr>
                <w:sz w:val="20"/>
                <w:szCs w:val="20"/>
                <w:color w:val="auto"/>
              </w:rPr>
            </w:pPr>
            <w:r>
              <w:rPr>
                <w:rFonts w:ascii="Arial" w:cs="Arial" w:eastAsia="Arial" w:hAnsi="Arial"/>
                <w:sz w:val="14"/>
                <w:szCs w:val="14"/>
                <w:color w:val="auto"/>
              </w:rPr>
              <w:t>1,022</w:t>
            </w:r>
          </w:p>
        </w:tc>
        <w:tc>
          <w:tcPr>
            <w:tcW w:w="260" w:type="dxa"/>
            <w:vAlign w:val="bottom"/>
          </w:tcPr>
          <w:p>
            <w:pPr>
              <w:spacing w:after="0"/>
              <w:rPr>
                <w:sz w:val="18"/>
                <w:szCs w:val="18"/>
                <w:color w:val="auto"/>
              </w:rPr>
            </w:pPr>
          </w:p>
        </w:tc>
        <w:tc>
          <w:tcPr>
            <w:tcW w:w="940" w:type="dxa"/>
            <w:vAlign w:val="bottom"/>
          </w:tcPr>
          <w:p>
            <w:pPr>
              <w:jc w:val="right"/>
              <w:ind w:right="228"/>
              <w:spacing w:after="0"/>
              <w:rPr>
                <w:sz w:val="20"/>
                <w:szCs w:val="20"/>
                <w:color w:val="auto"/>
              </w:rPr>
            </w:pPr>
            <w:r>
              <w:rPr>
                <w:rFonts w:ascii="Arial" w:cs="Arial" w:eastAsia="Arial" w:hAnsi="Arial"/>
                <w:sz w:val="14"/>
                <w:szCs w:val="14"/>
                <w:color w:val="auto"/>
              </w:rPr>
              <w:t>949</w:t>
            </w:r>
          </w:p>
        </w:tc>
      </w:tr>
      <w:tr>
        <w:trPr>
          <w:trHeight w:val="216"/>
        </w:trPr>
        <w:tc>
          <w:tcPr>
            <w:tcW w:w="4200" w:type="dxa"/>
            <w:vAlign w:val="bottom"/>
          </w:tcPr>
          <w:p>
            <w:pPr>
              <w:ind w:left="180"/>
              <w:spacing w:after="0"/>
              <w:rPr>
                <w:sz w:val="20"/>
                <w:szCs w:val="20"/>
                <w:color w:val="auto"/>
              </w:rPr>
            </w:pPr>
            <w:r>
              <w:rPr>
                <w:rFonts w:ascii="Arial" w:cs="Arial" w:eastAsia="Arial" w:hAnsi="Arial"/>
                <w:sz w:val="14"/>
                <w:szCs w:val="14"/>
                <w:color w:val="auto"/>
              </w:rPr>
              <w:t>Depreciation</w:t>
            </w:r>
          </w:p>
        </w:tc>
        <w:tc>
          <w:tcPr>
            <w:tcW w:w="420" w:type="dxa"/>
            <w:vAlign w:val="bottom"/>
          </w:tcPr>
          <w:p>
            <w:pPr>
              <w:spacing w:after="0"/>
              <w:rPr>
                <w:sz w:val="18"/>
                <w:szCs w:val="18"/>
                <w:color w:val="auto"/>
              </w:rPr>
            </w:pPr>
          </w:p>
        </w:tc>
        <w:tc>
          <w:tcPr>
            <w:tcW w:w="760" w:type="dxa"/>
            <w:vAlign w:val="bottom"/>
          </w:tcPr>
          <w:p>
            <w:pPr>
              <w:jc w:val="right"/>
              <w:ind w:right="68"/>
              <w:spacing w:after="0"/>
              <w:rPr>
                <w:sz w:val="20"/>
                <w:szCs w:val="20"/>
                <w:color w:val="auto"/>
              </w:rPr>
            </w:pPr>
            <w:r>
              <w:rPr>
                <w:rFonts w:ascii="Arial" w:cs="Arial" w:eastAsia="Arial" w:hAnsi="Arial"/>
                <w:sz w:val="14"/>
                <w:szCs w:val="14"/>
                <w:color w:val="auto"/>
              </w:rPr>
              <w:t>280</w:t>
            </w:r>
          </w:p>
        </w:tc>
        <w:tc>
          <w:tcPr>
            <w:tcW w:w="580" w:type="dxa"/>
            <w:vAlign w:val="bottom"/>
          </w:tcPr>
          <w:p>
            <w:pPr>
              <w:spacing w:after="0"/>
              <w:rPr>
                <w:sz w:val="18"/>
                <w:szCs w:val="18"/>
                <w:color w:val="auto"/>
              </w:rPr>
            </w:pPr>
          </w:p>
        </w:tc>
        <w:tc>
          <w:tcPr>
            <w:tcW w:w="1100" w:type="dxa"/>
            <w:vAlign w:val="bottom"/>
          </w:tcPr>
          <w:p>
            <w:pPr>
              <w:jc w:val="right"/>
              <w:ind w:right="388"/>
              <w:spacing w:after="0"/>
              <w:rPr>
                <w:sz w:val="20"/>
                <w:szCs w:val="20"/>
                <w:color w:val="auto"/>
              </w:rPr>
            </w:pPr>
            <w:r>
              <w:rPr>
                <w:rFonts w:ascii="Arial" w:cs="Arial" w:eastAsia="Arial" w:hAnsi="Arial"/>
                <w:sz w:val="14"/>
                <w:szCs w:val="14"/>
                <w:color w:val="auto"/>
              </w:rPr>
              <w:t>281</w:t>
            </w:r>
          </w:p>
        </w:tc>
        <w:tc>
          <w:tcPr>
            <w:tcW w:w="260" w:type="dxa"/>
            <w:vAlign w:val="bottom"/>
          </w:tcPr>
          <w:p>
            <w:pPr>
              <w:spacing w:after="0"/>
              <w:rPr>
                <w:sz w:val="18"/>
                <w:szCs w:val="18"/>
                <w:color w:val="auto"/>
              </w:rPr>
            </w:pPr>
          </w:p>
        </w:tc>
        <w:tc>
          <w:tcPr>
            <w:tcW w:w="940" w:type="dxa"/>
            <w:vAlign w:val="bottom"/>
          </w:tcPr>
          <w:p>
            <w:pPr>
              <w:jc w:val="right"/>
              <w:ind w:right="228"/>
              <w:spacing w:after="0"/>
              <w:rPr>
                <w:sz w:val="20"/>
                <w:szCs w:val="20"/>
                <w:color w:val="auto"/>
              </w:rPr>
            </w:pPr>
            <w:r>
              <w:rPr>
                <w:rFonts w:ascii="Arial" w:cs="Arial" w:eastAsia="Arial" w:hAnsi="Arial"/>
                <w:sz w:val="14"/>
                <w:szCs w:val="14"/>
                <w:color w:val="auto"/>
              </w:rPr>
              <w:t>267</w:t>
            </w:r>
          </w:p>
        </w:tc>
      </w:tr>
      <w:tr>
        <w:trPr>
          <w:trHeight w:val="216"/>
        </w:trPr>
        <w:tc>
          <w:tcPr>
            <w:tcW w:w="4200" w:type="dxa"/>
            <w:vAlign w:val="bottom"/>
          </w:tcPr>
          <w:p>
            <w:pPr>
              <w:ind w:left="180"/>
              <w:spacing w:after="0"/>
              <w:rPr>
                <w:sz w:val="20"/>
                <w:szCs w:val="20"/>
                <w:color w:val="auto"/>
              </w:rPr>
            </w:pPr>
            <w:r>
              <w:rPr>
                <w:rFonts w:ascii="Arial" w:cs="Arial" w:eastAsia="Arial" w:hAnsi="Arial"/>
                <w:sz w:val="14"/>
                <w:szCs w:val="14"/>
                <w:color w:val="auto"/>
              </w:rPr>
              <w:t>Franchise fees and other taxes</w:t>
            </w:r>
          </w:p>
        </w:tc>
        <w:tc>
          <w:tcPr>
            <w:tcW w:w="420" w:type="dxa"/>
            <w:vAlign w:val="bottom"/>
          </w:tcPr>
          <w:p>
            <w:pPr>
              <w:spacing w:after="0"/>
              <w:rPr>
                <w:sz w:val="18"/>
                <w:szCs w:val="18"/>
                <w:color w:val="auto"/>
              </w:rPr>
            </w:pPr>
          </w:p>
        </w:tc>
        <w:tc>
          <w:tcPr>
            <w:tcW w:w="760" w:type="dxa"/>
            <w:vAlign w:val="bottom"/>
          </w:tcPr>
          <w:p>
            <w:pPr>
              <w:jc w:val="right"/>
              <w:ind w:right="68"/>
              <w:spacing w:after="0"/>
              <w:rPr>
                <w:sz w:val="20"/>
                <w:szCs w:val="20"/>
                <w:color w:val="auto"/>
              </w:rPr>
            </w:pPr>
            <w:r>
              <w:rPr>
                <w:rFonts w:ascii="Arial" w:cs="Arial" w:eastAsia="Arial" w:hAnsi="Arial"/>
                <w:sz w:val="14"/>
                <w:szCs w:val="14"/>
                <w:color w:val="auto"/>
              </w:rPr>
              <w:t>135</w:t>
            </w:r>
          </w:p>
        </w:tc>
        <w:tc>
          <w:tcPr>
            <w:tcW w:w="580" w:type="dxa"/>
            <w:vAlign w:val="bottom"/>
          </w:tcPr>
          <w:p>
            <w:pPr>
              <w:spacing w:after="0"/>
              <w:rPr>
                <w:sz w:val="18"/>
                <w:szCs w:val="18"/>
                <w:color w:val="auto"/>
              </w:rPr>
            </w:pPr>
          </w:p>
        </w:tc>
        <w:tc>
          <w:tcPr>
            <w:tcW w:w="1100" w:type="dxa"/>
            <w:vAlign w:val="bottom"/>
          </w:tcPr>
          <w:p>
            <w:pPr>
              <w:jc w:val="right"/>
              <w:ind w:right="388"/>
              <w:spacing w:after="0"/>
              <w:rPr>
                <w:sz w:val="20"/>
                <w:szCs w:val="20"/>
                <w:color w:val="auto"/>
              </w:rPr>
            </w:pPr>
            <w:r>
              <w:rPr>
                <w:rFonts w:ascii="Arial" w:cs="Arial" w:eastAsia="Arial" w:hAnsi="Arial"/>
                <w:sz w:val="14"/>
                <w:szCs w:val="14"/>
                <w:color w:val="auto"/>
              </w:rPr>
              <w:t>125</w:t>
            </w:r>
          </w:p>
        </w:tc>
        <w:tc>
          <w:tcPr>
            <w:tcW w:w="260" w:type="dxa"/>
            <w:vAlign w:val="bottom"/>
          </w:tcPr>
          <w:p>
            <w:pPr>
              <w:spacing w:after="0"/>
              <w:rPr>
                <w:sz w:val="18"/>
                <w:szCs w:val="18"/>
                <w:color w:val="auto"/>
              </w:rPr>
            </w:pPr>
          </w:p>
        </w:tc>
        <w:tc>
          <w:tcPr>
            <w:tcW w:w="940" w:type="dxa"/>
            <w:vAlign w:val="bottom"/>
          </w:tcPr>
          <w:p>
            <w:pPr>
              <w:jc w:val="right"/>
              <w:ind w:right="228"/>
              <w:spacing w:after="0"/>
              <w:rPr>
                <w:sz w:val="20"/>
                <w:szCs w:val="20"/>
                <w:color w:val="auto"/>
              </w:rPr>
            </w:pPr>
            <w:r>
              <w:rPr>
                <w:rFonts w:ascii="Arial" w:cs="Arial" w:eastAsia="Arial" w:hAnsi="Arial"/>
                <w:sz w:val="14"/>
                <w:szCs w:val="14"/>
                <w:color w:val="auto"/>
              </w:rPr>
              <w:t>121</w:t>
            </w:r>
          </w:p>
        </w:tc>
      </w:tr>
      <w:tr>
        <w:trPr>
          <w:trHeight w:val="222"/>
        </w:trPr>
        <w:tc>
          <w:tcPr>
            <w:tcW w:w="4200" w:type="dxa"/>
            <w:vAlign w:val="bottom"/>
          </w:tcPr>
          <w:p>
            <w:pPr>
              <w:ind w:left="180"/>
              <w:spacing w:after="0"/>
              <w:rPr>
                <w:sz w:val="20"/>
                <w:szCs w:val="20"/>
                <w:color w:val="auto"/>
              </w:rPr>
            </w:pPr>
            <w:r>
              <w:rPr>
                <w:rFonts w:ascii="Arial" w:cs="Arial" w:eastAsia="Arial" w:hAnsi="Arial"/>
                <w:sz w:val="14"/>
                <w:szCs w:val="14"/>
                <w:color w:val="auto"/>
              </w:rPr>
              <w:t>Gains on sale of assets</w:t>
            </w:r>
          </w:p>
        </w:tc>
        <w:tc>
          <w:tcPr>
            <w:tcW w:w="4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rPr>
              <w:t>(2 )</w:t>
            </w: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(5 )</w:t>
            </w:r>
          </w:p>
        </w:tc>
      </w:tr>
      <w:tr>
        <w:trPr>
          <w:trHeight w:val="208"/>
        </w:trPr>
        <w:tc>
          <w:tcPr>
            <w:tcW w:w="4200" w:type="dxa"/>
            <w:vAlign w:val="bottom"/>
          </w:tcPr>
          <w:p>
            <w:pPr>
              <w:ind w:left="420"/>
              <w:spacing w:after="0"/>
              <w:rPr>
                <w:sz w:val="20"/>
                <w:szCs w:val="20"/>
                <w:color w:val="auto"/>
              </w:rPr>
            </w:pPr>
            <w:r>
              <w:rPr>
                <w:rFonts w:ascii="Arial" w:cs="Arial" w:eastAsia="Arial" w:hAnsi="Arial"/>
                <w:sz w:val="14"/>
                <w:szCs w:val="14"/>
                <w:color w:val="auto"/>
              </w:rPr>
              <w:t>Total operating expenses</w:t>
            </w:r>
          </w:p>
        </w:tc>
        <w:tc>
          <w:tcPr>
            <w:tcW w:w="4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4,333</w:t>
            </w:r>
          </w:p>
        </w:tc>
        <w:tc>
          <w:tcPr>
            <w:tcW w:w="5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color w:val="auto"/>
              </w:rPr>
              <w:t>3,846</w:t>
            </w: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3,742</w:t>
            </w:r>
          </w:p>
        </w:tc>
      </w:tr>
      <w:tr>
        <w:trPr>
          <w:trHeight w:val="418"/>
        </w:trPr>
        <w:tc>
          <w:tcPr>
            <w:tcW w:w="4200" w:type="dxa"/>
            <w:vAlign w:val="bottom"/>
          </w:tcPr>
          <w:p>
            <w:pPr>
              <w:ind w:left="20"/>
              <w:spacing w:after="0"/>
              <w:rPr>
                <w:sz w:val="20"/>
                <w:szCs w:val="20"/>
                <w:color w:val="auto"/>
              </w:rPr>
            </w:pPr>
            <w:r>
              <w:rPr>
                <w:rFonts w:ascii="Arial" w:cs="Arial" w:eastAsia="Arial" w:hAnsi="Arial"/>
                <w:sz w:val="14"/>
                <w:szCs w:val="14"/>
                <w:color w:val="auto"/>
              </w:rPr>
              <w:t>Operating income</w:t>
            </w:r>
          </w:p>
        </w:tc>
        <w:tc>
          <w:tcPr>
            <w:tcW w:w="420" w:type="dxa"/>
            <w:vAlign w:val="bottom"/>
          </w:tcPr>
          <w:p>
            <w:pPr>
              <w:spacing w:after="0"/>
              <w:rPr>
                <w:sz w:val="24"/>
                <w:szCs w:val="24"/>
                <w:color w:val="auto"/>
              </w:rPr>
            </w:pPr>
          </w:p>
        </w:tc>
        <w:tc>
          <w:tcPr>
            <w:tcW w:w="760" w:type="dxa"/>
            <w:vAlign w:val="bottom"/>
          </w:tcPr>
          <w:p>
            <w:pPr>
              <w:jc w:val="right"/>
              <w:ind w:right="68"/>
              <w:spacing w:after="0"/>
              <w:rPr>
                <w:sz w:val="20"/>
                <w:szCs w:val="20"/>
                <w:color w:val="auto"/>
              </w:rPr>
            </w:pPr>
            <w:r>
              <w:rPr>
                <w:rFonts w:ascii="Arial" w:cs="Arial" w:eastAsia="Arial" w:hAnsi="Arial"/>
                <w:sz w:val="14"/>
                <w:szCs w:val="14"/>
                <w:color w:val="auto"/>
              </w:rPr>
              <w:t>435</w:t>
            </w:r>
          </w:p>
        </w:tc>
        <w:tc>
          <w:tcPr>
            <w:tcW w:w="580" w:type="dxa"/>
            <w:vAlign w:val="bottom"/>
          </w:tcPr>
          <w:p>
            <w:pPr>
              <w:spacing w:after="0"/>
              <w:rPr>
                <w:sz w:val="24"/>
                <w:szCs w:val="24"/>
                <w:color w:val="auto"/>
              </w:rPr>
            </w:pPr>
          </w:p>
        </w:tc>
        <w:tc>
          <w:tcPr>
            <w:tcW w:w="1100" w:type="dxa"/>
            <w:vAlign w:val="bottom"/>
          </w:tcPr>
          <w:p>
            <w:pPr>
              <w:jc w:val="right"/>
              <w:ind w:right="388"/>
              <w:spacing w:after="0"/>
              <w:rPr>
                <w:sz w:val="20"/>
                <w:szCs w:val="20"/>
                <w:color w:val="auto"/>
              </w:rPr>
            </w:pPr>
            <w:r>
              <w:rPr>
                <w:rFonts w:ascii="Arial" w:cs="Arial" w:eastAsia="Arial" w:hAnsi="Arial"/>
                <w:sz w:val="14"/>
                <w:szCs w:val="14"/>
                <w:color w:val="auto"/>
              </w:rPr>
              <w:t>436</w:t>
            </w:r>
          </w:p>
        </w:tc>
        <w:tc>
          <w:tcPr>
            <w:tcW w:w="260" w:type="dxa"/>
            <w:vAlign w:val="bottom"/>
          </w:tcPr>
          <w:p>
            <w:pPr>
              <w:spacing w:after="0"/>
              <w:rPr>
                <w:sz w:val="24"/>
                <w:szCs w:val="24"/>
                <w:color w:val="auto"/>
              </w:rPr>
            </w:pPr>
          </w:p>
        </w:tc>
        <w:tc>
          <w:tcPr>
            <w:tcW w:w="940" w:type="dxa"/>
            <w:vAlign w:val="bottom"/>
          </w:tcPr>
          <w:p>
            <w:pPr>
              <w:jc w:val="right"/>
              <w:ind w:right="228"/>
              <w:spacing w:after="0"/>
              <w:rPr>
                <w:sz w:val="20"/>
                <w:szCs w:val="20"/>
                <w:color w:val="auto"/>
              </w:rPr>
            </w:pPr>
            <w:r>
              <w:rPr>
                <w:rFonts w:ascii="Arial" w:cs="Arial" w:eastAsia="Arial" w:hAnsi="Arial"/>
                <w:sz w:val="14"/>
                <w:szCs w:val="14"/>
                <w:color w:val="auto"/>
              </w:rPr>
              <w:t>439</w:t>
            </w:r>
          </w:p>
        </w:tc>
      </w:tr>
      <w:tr>
        <w:trPr>
          <w:trHeight w:val="432"/>
        </w:trPr>
        <w:tc>
          <w:tcPr>
            <w:tcW w:w="4200" w:type="dxa"/>
            <w:vAlign w:val="bottom"/>
          </w:tcPr>
          <w:p>
            <w:pPr>
              <w:ind w:left="20"/>
              <w:spacing w:after="0"/>
              <w:rPr>
                <w:sz w:val="20"/>
                <w:szCs w:val="20"/>
                <w:color w:val="auto"/>
              </w:rPr>
            </w:pPr>
            <w:r>
              <w:rPr>
                <w:rFonts w:ascii="Arial" w:cs="Arial" w:eastAsia="Arial" w:hAnsi="Arial"/>
                <w:sz w:val="14"/>
                <w:szCs w:val="14"/>
                <w:color w:val="auto"/>
              </w:rPr>
              <w:t>Other income (expense), net</w:t>
            </w:r>
          </w:p>
        </w:tc>
        <w:tc>
          <w:tcPr>
            <w:tcW w:w="420" w:type="dxa"/>
            <w:vAlign w:val="bottom"/>
          </w:tcPr>
          <w:p>
            <w:pPr>
              <w:spacing w:after="0"/>
              <w:rPr>
                <w:sz w:val="24"/>
                <w:szCs w:val="24"/>
                <w:color w:val="auto"/>
              </w:rPr>
            </w:pPr>
          </w:p>
        </w:tc>
        <w:tc>
          <w:tcPr>
            <w:tcW w:w="760" w:type="dxa"/>
            <w:vAlign w:val="bottom"/>
          </w:tcPr>
          <w:p>
            <w:pPr>
              <w:jc w:val="right"/>
              <w:ind w:right="68"/>
              <w:spacing w:after="0"/>
              <w:rPr>
                <w:sz w:val="20"/>
                <w:szCs w:val="20"/>
                <w:color w:val="auto"/>
              </w:rPr>
            </w:pPr>
            <w:r>
              <w:rPr>
                <w:rFonts w:ascii="Arial" w:cs="Arial" w:eastAsia="Arial" w:hAnsi="Arial"/>
                <w:sz w:val="14"/>
                <w:szCs w:val="14"/>
                <w:color w:val="auto"/>
              </w:rPr>
              <w:t>1</w:t>
            </w:r>
          </w:p>
        </w:tc>
        <w:tc>
          <w:tcPr>
            <w:tcW w:w="580" w:type="dxa"/>
            <w:vAlign w:val="bottom"/>
          </w:tcPr>
          <w:p>
            <w:pPr>
              <w:spacing w:after="0"/>
              <w:rPr>
                <w:sz w:val="24"/>
                <w:szCs w:val="24"/>
                <w:color w:val="auto"/>
              </w:rPr>
            </w:pPr>
          </w:p>
        </w:tc>
        <w:tc>
          <w:tcPr>
            <w:tcW w:w="1100" w:type="dxa"/>
            <w:vAlign w:val="bottom"/>
          </w:tcPr>
          <w:p>
            <w:pPr>
              <w:jc w:val="right"/>
              <w:ind w:right="328"/>
              <w:spacing w:after="0"/>
              <w:rPr>
                <w:sz w:val="20"/>
                <w:szCs w:val="20"/>
                <w:color w:val="auto"/>
              </w:rPr>
            </w:pPr>
            <w:r>
              <w:rPr>
                <w:rFonts w:ascii="Arial" w:cs="Arial" w:eastAsia="Arial" w:hAnsi="Arial"/>
                <w:sz w:val="14"/>
                <w:szCs w:val="14"/>
                <w:color w:val="auto"/>
              </w:rPr>
              <w:t>(4 )</w:t>
            </w:r>
          </w:p>
        </w:tc>
        <w:tc>
          <w:tcPr>
            <w:tcW w:w="260" w:type="dxa"/>
            <w:vAlign w:val="bottom"/>
          </w:tcPr>
          <w:p>
            <w:pPr>
              <w:spacing w:after="0"/>
              <w:rPr>
                <w:sz w:val="24"/>
                <w:szCs w:val="24"/>
                <w:color w:val="auto"/>
              </w:rPr>
            </w:pPr>
          </w:p>
        </w:tc>
        <w:tc>
          <w:tcPr>
            <w:tcW w:w="940" w:type="dxa"/>
            <w:vAlign w:val="bottom"/>
          </w:tcPr>
          <w:p>
            <w:pPr>
              <w:jc w:val="right"/>
              <w:ind w:right="168"/>
              <w:spacing w:after="0"/>
              <w:rPr>
                <w:sz w:val="20"/>
                <w:szCs w:val="20"/>
                <w:color w:val="auto"/>
              </w:rPr>
            </w:pPr>
            <w:r>
              <w:rPr>
                <w:rFonts w:ascii="Arial" w:cs="Arial" w:eastAsia="Arial" w:hAnsi="Arial"/>
                <w:sz w:val="14"/>
                <w:szCs w:val="14"/>
                <w:color w:val="auto"/>
              </w:rPr>
              <w:t>(2 )</w:t>
            </w:r>
          </w:p>
        </w:tc>
      </w:tr>
      <w:tr>
        <w:trPr>
          <w:trHeight w:val="216"/>
        </w:trPr>
        <w:tc>
          <w:tcPr>
            <w:tcW w:w="4200" w:type="dxa"/>
            <w:vAlign w:val="bottom"/>
          </w:tcPr>
          <w:p>
            <w:pPr>
              <w:ind w:left="20"/>
              <w:spacing w:after="0"/>
              <w:rPr>
                <w:sz w:val="20"/>
                <w:szCs w:val="20"/>
                <w:color w:val="auto"/>
              </w:rPr>
            </w:pPr>
            <w:r>
              <w:rPr>
                <w:rFonts w:ascii="Arial" w:cs="Arial" w:eastAsia="Arial" w:hAnsi="Arial"/>
                <w:sz w:val="14"/>
                <w:szCs w:val="14"/>
                <w:color w:val="auto"/>
              </w:rPr>
              <w:t>Interest income</w:t>
            </w:r>
          </w:p>
        </w:tc>
        <w:tc>
          <w:tcPr>
            <w:tcW w:w="420" w:type="dxa"/>
            <w:vAlign w:val="bottom"/>
          </w:tcPr>
          <w:p>
            <w:pPr>
              <w:spacing w:after="0"/>
              <w:rPr>
                <w:sz w:val="18"/>
                <w:szCs w:val="18"/>
                <w:color w:val="auto"/>
              </w:rPr>
            </w:pPr>
          </w:p>
        </w:tc>
        <w:tc>
          <w:tcPr>
            <w:tcW w:w="760" w:type="dxa"/>
            <w:vAlign w:val="bottom"/>
          </w:tcPr>
          <w:p>
            <w:pPr>
              <w:jc w:val="right"/>
              <w:ind w:right="68"/>
              <w:spacing w:after="0"/>
              <w:rPr>
                <w:sz w:val="20"/>
                <w:szCs w:val="20"/>
                <w:color w:val="auto"/>
              </w:rPr>
            </w:pPr>
            <w:r>
              <w:rPr>
                <w:rFonts w:ascii="Arial" w:cs="Arial" w:eastAsia="Arial" w:hAnsi="Arial"/>
                <w:sz w:val="14"/>
                <w:szCs w:val="14"/>
                <w:color w:val="auto"/>
              </w:rPr>
              <w:t>22</w:t>
            </w:r>
          </w:p>
        </w:tc>
        <w:tc>
          <w:tcPr>
            <w:tcW w:w="580" w:type="dxa"/>
            <w:vAlign w:val="bottom"/>
          </w:tcPr>
          <w:p>
            <w:pPr>
              <w:spacing w:after="0"/>
              <w:rPr>
                <w:sz w:val="18"/>
                <w:szCs w:val="18"/>
                <w:color w:val="auto"/>
              </w:rPr>
            </w:pPr>
          </w:p>
        </w:tc>
        <w:tc>
          <w:tcPr>
            <w:tcW w:w="1100" w:type="dxa"/>
            <w:vAlign w:val="bottom"/>
          </w:tcPr>
          <w:p>
            <w:pPr>
              <w:jc w:val="right"/>
              <w:ind w:right="388"/>
              <w:spacing w:after="0"/>
              <w:rPr>
                <w:sz w:val="20"/>
                <w:szCs w:val="20"/>
                <w:color w:val="auto"/>
              </w:rPr>
            </w:pPr>
            <w:r>
              <w:rPr>
                <w:rFonts w:ascii="Arial" w:cs="Arial" w:eastAsia="Arial" w:hAnsi="Arial"/>
                <w:sz w:val="14"/>
                <w:szCs w:val="14"/>
                <w:color w:val="auto"/>
              </w:rPr>
              <w:t>51</w:t>
            </w:r>
          </w:p>
        </w:tc>
        <w:tc>
          <w:tcPr>
            <w:tcW w:w="260" w:type="dxa"/>
            <w:vAlign w:val="bottom"/>
          </w:tcPr>
          <w:p>
            <w:pPr>
              <w:spacing w:after="0"/>
              <w:rPr>
                <w:sz w:val="18"/>
                <w:szCs w:val="18"/>
                <w:color w:val="auto"/>
              </w:rPr>
            </w:pPr>
          </w:p>
        </w:tc>
        <w:tc>
          <w:tcPr>
            <w:tcW w:w="940" w:type="dxa"/>
            <w:vAlign w:val="bottom"/>
          </w:tcPr>
          <w:p>
            <w:pPr>
              <w:jc w:val="right"/>
              <w:ind w:right="228"/>
              <w:spacing w:after="0"/>
              <w:rPr>
                <w:sz w:val="20"/>
                <w:szCs w:val="20"/>
                <w:color w:val="auto"/>
              </w:rPr>
            </w:pPr>
            <w:r>
              <w:rPr>
                <w:rFonts w:ascii="Arial" w:cs="Arial" w:eastAsia="Arial" w:hAnsi="Arial"/>
                <w:sz w:val="14"/>
                <w:szCs w:val="14"/>
                <w:color w:val="auto"/>
              </w:rPr>
              <w:t>64</w:t>
            </w:r>
          </w:p>
        </w:tc>
      </w:tr>
      <w:tr>
        <w:trPr>
          <w:trHeight w:val="222"/>
        </w:trPr>
        <w:tc>
          <w:tcPr>
            <w:tcW w:w="4200" w:type="dxa"/>
            <w:vAlign w:val="bottom"/>
          </w:tcPr>
          <w:p>
            <w:pPr>
              <w:ind w:left="20"/>
              <w:spacing w:after="0"/>
              <w:rPr>
                <w:sz w:val="20"/>
                <w:szCs w:val="20"/>
                <w:color w:val="auto"/>
              </w:rPr>
            </w:pPr>
            <w:r>
              <w:rPr>
                <w:rFonts w:ascii="Arial" w:cs="Arial" w:eastAsia="Arial" w:hAnsi="Arial"/>
                <w:sz w:val="14"/>
                <w:szCs w:val="14"/>
                <w:color w:val="auto"/>
              </w:rPr>
              <w:t>Interest expense</w:t>
            </w:r>
          </w:p>
        </w:tc>
        <w:tc>
          <w:tcPr>
            <w:tcW w:w="4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(65 )</w:t>
            </w:r>
          </w:p>
        </w:tc>
        <w:tc>
          <w:tcPr>
            <w:tcW w:w="5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rPr>
              <w:t>(76 )</w:t>
            </w: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(76 )</w:t>
            </w:r>
          </w:p>
        </w:tc>
      </w:tr>
      <w:tr>
        <w:trPr>
          <w:trHeight w:val="202"/>
        </w:trPr>
        <w:tc>
          <w:tcPr>
            <w:tcW w:w="4200" w:type="dxa"/>
            <w:vAlign w:val="bottom"/>
          </w:tcPr>
          <w:p>
            <w:pPr>
              <w:ind w:left="20"/>
              <w:spacing w:after="0"/>
              <w:rPr>
                <w:sz w:val="20"/>
                <w:szCs w:val="20"/>
                <w:color w:val="auto"/>
              </w:rPr>
            </w:pPr>
            <w:r>
              <w:rPr>
                <w:rFonts w:ascii="Arial" w:cs="Arial" w:eastAsia="Arial" w:hAnsi="Arial"/>
                <w:sz w:val="14"/>
                <w:szCs w:val="14"/>
                <w:color w:val="auto"/>
              </w:rPr>
              <w:t>Income before income taxes</w:t>
            </w:r>
          </w:p>
        </w:tc>
        <w:tc>
          <w:tcPr>
            <w:tcW w:w="420" w:type="dxa"/>
            <w:vAlign w:val="bottom"/>
          </w:tcPr>
          <w:p>
            <w:pPr>
              <w:spacing w:after="0"/>
              <w:rPr>
                <w:sz w:val="17"/>
                <w:szCs w:val="17"/>
                <w:color w:val="auto"/>
              </w:rPr>
            </w:pPr>
          </w:p>
        </w:tc>
        <w:tc>
          <w:tcPr>
            <w:tcW w:w="760" w:type="dxa"/>
            <w:vAlign w:val="bottom"/>
          </w:tcPr>
          <w:p>
            <w:pPr>
              <w:jc w:val="right"/>
              <w:ind w:right="68"/>
              <w:spacing w:after="0"/>
              <w:rPr>
                <w:sz w:val="20"/>
                <w:szCs w:val="20"/>
                <w:color w:val="auto"/>
              </w:rPr>
            </w:pPr>
            <w:r>
              <w:rPr>
                <w:rFonts w:ascii="Arial" w:cs="Arial" w:eastAsia="Arial" w:hAnsi="Arial"/>
                <w:sz w:val="14"/>
                <w:szCs w:val="14"/>
                <w:color w:val="auto"/>
              </w:rPr>
              <w:t>393</w:t>
            </w:r>
          </w:p>
        </w:tc>
        <w:tc>
          <w:tcPr>
            <w:tcW w:w="580" w:type="dxa"/>
            <w:vAlign w:val="bottom"/>
          </w:tcPr>
          <w:p>
            <w:pPr>
              <w:spacing w:after="0"/>
              <w:rPr>
                <w:sz w:val="17"/>
                <w:szCs w:val="17"/>
                <w:color w:val="auto"/>
              </w:rPr>
            </w:pPr>
          </w:p>
        </w:tc>
        <w:tc>
          <w:tcPr>
            <w:tcW w:w="1100" w:type="dxa"/>
            <w:vAlign w:val="bottom"/>
          </w:tcPr>
          <w:p>
            <w:pPr>
              <w:jc w:val="right"/>
              <w:ind w:right="388"/>
              <w:spacing w:after="0"/>
              <w:rPr>
                <w:sz w:val="20"/>
                <w:szCs w:val="20"/>
                <w:color w:val="auto"/>
              </w:rPr>
            </w:pPr>
            <w:r>
              <w:rPr>
                <w:rFonts w:ascii="Arial" w:cs="Arial" w:eastAsia="Arial" w:hAnsi="Arial"/>
                <w:sz w:val="14"/>
                <w:szCs w:val="14"/>
                <w:color w:val="auto"/>
              </w:rPr>
              <w:t>407</w:t>
            </w:r>
          </w:p>
        </w:tc>
        <w:tc>
          <w:tcPr>
            <w:tcW w:w="260" w:type="dxa"/>
            <w:vAlign w:val="bottom"/>
          </w:tcPr>
          <w:p>
            <w:pPr>
              <w:spacing w:after="0"/>
              <w:rPr>
                <w:sz w:val="17"/>
                <w:szCs w:val="17"/>
                <w:color w:val="auto"/>
              </w:rPr>
            </w:pPr>
          </w:p>
        </w:tc>
        <w:tc>
          <w:tcPr>
            <w:tcW w:w="940" w:type="dxa"/>
            <w:vAlign w:val="bottom"/>
          </w:tcPr>
          <w:p>
            <w:pPr>
              <w:jc w:val="right"/>
              <w:ind w:right="228"/>
              <w:spacing w:after="0"/>
              <w:rPr>
                <w:sz w:val="20"/>
                <w:szCs w:val="20"/>
                <w:color w:val="auto"/>
              </w:rPr>
            </w:pPr>
            <w:r>
              <w:rPr>
                <w:rFonts w:ascii="Arial" w:cs="Arial" w:eastAsia="Arial" w:hAnsi="Arial"/>
                <w:sz w:val="14"/>
                <w:szCs w:val="14"/>
                <w:color w:val="auto"/>
              </w:rPr>
              <w:t>425</w:t>
            </w:r>
          </w:p>
        </w:tc>
      </w:tr>
      <w:tr>
        <w:trPr>
          <w:trHeight w:val="438"/>
        </w:trPr>
        <w:tc>
          <w:tcPr>
            <w:tcW w:w="4200" w:type="dxa"/>
            <w:vAlign w:val="bottom"/>
          </w:tcPr>
          <w:p>
            <w:pPr>
              <w:ind w:left="20"/>
              <w:spacing w:after="0"/>
              <w:rPr>
                <w:sz w:val="20"/>
                <w:szCs w:val="20"/>
                <w:color w:val="auto"/>
              </w:rPr>
            </w:pPr>
            <w:r>
              <w:rPr>
                <w:rFonts w:ascii="Arial" w:cs="Arial" w:eastAsia="Arial" w:hAnsi="Arial"/>
                <w:sz w:val="14"/>
                <w:szCs w:val="14"/>
                <w:color w:val="auto"/>
              </w:rPr>
              <w:t>Income tax expense</w:t>
            </w:r>
          </w:p>
        </w:tc>
        <w:tc>
          <w:tcPr>
            <w:tcW w:w="4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141</w:t>
            </w:r>
          </w:p>
        </w:tc>
        <w:tc>
          <w:tcPr>
            <w:tcW w:w="5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color w:val="auto"/>
              </w:rPr>
              <w:t>165</w:t>
            </w:r>
          </w:p>
        </w:tc>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186</w:t>
            </w:r>
          </w:p>
        </w:tc>
      </w:tr>
      <w:tr>
        <w:trPr>
          <w:trHeight w:val="418"/>
        </w:trPr>
        <w:tc>
          <w:tcPr>
            <w:tcW w:w="4200" w:type="dxa"/>
            <w:vAlign w:val="bottom"/>
          </w:tcPr>
          <w:p>
            <w:pPr>
              <w:ind w:left="20"/>
              <w:spacing w:after="0"/>
              <w:rPr>
                <w:sz w:val="20"/>
                <w:szCs w:val="20"/>
                <w:color w:val="auto"/>
              </w:rPr>
            </w:pPr>
            <w:r>
              <w:rPr>
                <w:rFonts w:ascii="Arial" w:cs="Arial" w:eastAsia="Arial" w:hAnsi="Arial"/>
                <w:sz w:val="14"/>
                <w:szCs w:val="14"/>
                <w:color w:val="auto"/>
              </w:rPr>
              <w:t>Net income</w:t>
            </w:r>
          </w:p>
        </w:tc>
        <w:tc>
          <w:tcPr>
            <w:tcW w:w="420" w:type="dxa"/>
            <w:vAlign w:val="bottom"/>
          </w:tcPr>
          <w:p>
            <w:pPr>
              <w:spacing w:after="0"/>
              <w:rPr>
                <w:sz w:val="24"/>
                <w:szCs w:val="24"/>
                <w:color w:val="auto"/>
              </w:rPr>
            </w:pPr>
          </w:p>
        </w:tc>
        <w:tc>
          <w:tcPr>
            <w:tcW w:w="760" w:type="dxa"/>
            <w:vAlign w:val="bottom"/>
          </w:tcPr>
          <w:p>
            <w:pPr>
              <w:jc w:val="right"/>
              <w:ind w:right="68"/>
              <w:spacing w:after="0"/>
              <w:rPr>
                <w:sz w:val="20"/>
                <w:szCs w:val="20"/>
                <w:color w:val="auto"/>
              </w:rPr>
            </w:pPr>
            <w:r>
              <w:rPr>
                <w:rFonts w:ascii="Arial" w:cs="Arial" w:eastAsia="Arial" w:hAnsi="Arial"/>
                <w:sz w:val="14"/>
                <w:szCs w:val="14"/>
                <w:color w:val="auto"/>
              </w:rPr>
              <w:t>252</w:t>
            </w:r>
          </w:p>
        </w:tc>
        <w:tc>
          <w:tcPr>
            <w:tcW w:w="580" w:type="dxa"/>
            <w:vAlign w:val="bottom"/>
          </w:tcPr>
          <w:p>
            <w:pPr>
              <w:spacing w:after="0"/>
              <w:rPr>
                <w:sz w:val="24"/>
                <w:szCs w:val="24"/>
                <w:color w:val="auto"/>
              </w:rPr>
            </w:pPr>
          </w:p>
        </w:tc>
        <w:tc>
          <w:tcPr>
            <w:tcW w:w="1100" w:type="dxa"/>
            <w:vAlign w:val="bottom"/>
          </w:tcPr>
          <w:p>
            <w:pPr>
              <w:jc w:val="right"/>
              <w:ind w:right="388"/>
              <w:spacing w:after="0"/>
              <w:rPr>
                <w:sz w:val="20"/>
                <w:szCs w:val="20"/>
                <w:color w:val="auto"/>
              </w:rPr>
            </w:pPr>
            <w:r>
              <w:rPr>
                <w:rFonts w:ascii="Arial" w:cs="Arial" w:eastAsia="Arial" w:hAnsi="Arial"/>
                <w:sz w:val="14"/>
                <w:szCs w:val="14"/>
                <w:color w:val="auto"/>
              </w:rPr>
              <w:t>242</w:t>
            </w:r>
          </w:p>
        </w:tc>
        <w:tc>
          <w:tcPr>
            <w:tcW w:w="260" w:type="dxa"/>
            <w:vAlign w:val="bottom"/>
          </w:tcPr>
          <w:p>
            <w:pPr>
              <w:spacing w:after="0"/>
              <w:rPr>
                <w:sz w:val="24"/>
                <w:szCs w:val="24"/>
                <w:color w:val="auto"/>
              </w:rPr>
            </w:pPr>
          </w:p>
        </w:tc>
        <w:tc>
          <w:tcPr>
            <w:tcW w:w="940" w:type="dxa"/>
            <w:vAlign w:val="bottom"/>
          </w:tcPr>
          <w:p>
            <w:pPr>
              <w:jc w:val="right"/>
              <w:ind w:right="228"/>
              <w:spacing w:after="0"/>
              <w:rPr>
                <w:sz w:val="20"/>
                <w:szCs w:val="20"/>
                <w:color w:val="auto"/>
              </w:rPr>
            </w:pPr>
            <w:r>
              <w:rPr>
                <w:rFonts w:ascii="Arial" w:cs="Arial" w:eastAsia="Arial" w:hAnsi="Arial"/>
                <w:sz w:val="14"/>
                <w:szCs w:val="14"/>
                <w:color w:val="auto"/>
              </w:rPr>
              <w:t>239</w:t>
            </w:r>
          </w:p>
        </w:tc>
      </w:tr>
      <w:tr>
        <w:trPr>
          <w:trHeight w:val="222"/>
        </w:trPr>
        <w:tc>
          <w:tcPr>
            <w:tcW w:w="4200" w:type="dxa"/>
            <w:vAlign w:val="bottom"/>
          </w:tcPr>
          <w:p>
            <w:pPr>
              <w:ind w:left="20"/>
              <w:spacing w:after="0"/>
              <w:rPr>
                <w:sz w:val="20"/>
                <w:szCs w:val="20"/>
                <w:color w:val="auto"/>
              </w:rPr>
            </w:pPr>
            <w:r>
              <w:rPr>
                <w:rFonts w:ascii="Arial" w:cs="Arial" w:eastAsia="Arial" w:hAnsi="Arial"/>
                <w:sz w:val="14"/>
                <w:szCs w:val="14"/>
                <w:color w:val="auto"/>
              </w:rPr>
              <w:t>Preferred dividend requirements</w:t>
            </w:r>
          </w:p>
        </w:tc>
        <w:tc>
          <w:tcPr>
            <w:tcW w:w="4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4</w:t>
            </w:r>
          </w:p>
        </w:tc>
        <w:tc>
          <w:tcPr>
            <w:tcW w:w="5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color w:val="auto"/>
              </w:rPr>
              <w:t>4</w:t>
            </w: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4</w:t>
            </w:r>
          </w:p>
        </w:tc>
      </w:tr>
      <w:tr>
        <w:trPr>
          <w:trHeight w:val="224"/>
        </w:trPr>
        <w:tc>
          <w:tcPr>
            <w:tcW w:w="42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Earnings applicable to common shares</w:t>
            </w:r>
          </w:p>
        </w:tc>
        <w:tc>
          <w:tcPr>
            <w:tcW w:w="4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248</w:t>
            </w:r>
          </w:p>
        </w:tc>
        <w:tc>
          <w:tcPr>
            <w:tcW w:w="58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color w:val="auto"/>
              </w:rPr>
              <w:t>238</w:t>
            </w:r>
          </w:p>
        </w:tc>
        <w:tc>
          <w:tcPr>
            <w:tcW w:w="2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235</w:t>
            </w:r>
          </w:p>
        </w:tc>
      </w:tr>
    </w:tbl>
    <w:p>
      <w:pPr>
        <w:spacing w:after="0" w:line="220" w:lineRule="exact"/>
        <w:rPr>
          <w:sz w:val="20"/>
          <w:szCs w:val="20"/>
          <w:color w:val="auto"/>
        </w:rPr>
      </w:pPr>
    </w:p>
    <w:p>
      <w:pPr>
        <w:ind w:left="1600"/>
        <w:spacing w:after="0"/>
        <w:rPr>
          <w:sz w:val="20"/>
          <w:szCs w:val="20"/>
          <w:color w:val="auto"/>
        </w:rPr>
      </w:pPr>
      <w:r>
        <w:rPr>
          <w:rFonts w:ascii="Arial" w:cs="Arial" w:eastAsia="Arial" w:hAnsi="Arial"/>
          <w:sz w:val="13"/>
          <w:szCs w:val="13"/>
          <w:i w:val="1"/>
          <w:iCs w:val="1"/>
          <w:color w:val="auto"/>
        </w:rPr>
        <w:t>See Notes to Consolidated Financial Statements.</w:t>
      </w: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Arial" w:cs="Arial" w:eastAsia="Arial" w:hAnsi="Arial"/>
          <w:sz w:val="14"/>
          <w:szCs w:val="14"/>
          <w:color w:val="auto"/>
        </w:rPr>
        <w:t>81</w:t>
      </w:r>
    </w:p>
    <w:p>
      <w:pPr>
        <w:sectPr>
          <w:pgSz w:w="11900" w:h="16838" w:orient="portrait"/>
          <w:cols w:equalWidth="0" w:num="1">
            <w:col w:w="10219"/>
          </w:cols>
          <w:pgMar w:left="240" w:top="364" w:right="1440" w:bottom="1440" w:gutter="0" w:footer="0" w:header="0"/>
        </w:sectPr>
      </w:pPr>
    </w:p>
    <w:bookmarkStart w:id="221" w:name="page222"/>
    <w:bookmarkEnd w:id="221"/>
    <w:p>
      <w:pPr>
        <w:ind w:left="1940"/>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1377950</wp:posOffset>
            </wp:positionH>
            <wp:positionV relativeFrom="page">
              <wp:posOffset>226695</wp:posOffset>
            </wp:positionV>
            <wp:extent cx="4805680" cy="36639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4805680" cy="366395"/>
                    </a:xfrm>
                    <a:prstGeom prst="rect">
                      <a:avLst/>
                    </a:prstGeom>
                    <a:noFill/>
                  </pic:spPr>
                </pic:pic>
              </a:graphicData>
            </a:graphic>
          </wp:anchor>
        </w:drawing>
        <w:t>PACIFIC ENTERPRISES AND SUBSIDIARIES</w:t>
      </w:r>
    </w:p>
    <w:p>
      <w:pPr>
        <w:spacing w:after="0" w:line="31" w:lineRule="exact"/>
        <w:rPr>
          <w:sz w:val="20"/>
          <w:szCs w:val="20"/>
          <w:color w:val="auto"/>
        </w:rPr>
      </w:pPr>
    </w:p>
    <w:p>
      <w:pPr>
        <w:ind w:left="1940"/>
        <w:spacing w:after="0"/>
        <w:rPr>
          <w:sz w:val="20"/>
          <w:szCs w:val="20"/>
          <w:color w:val="auto"/>
        </w:rPr>
      </w:pPr>
      <w:r>
        <w:rPr>
          <w:rFonts w:ascii="Arial" w:cs="Arial" w:eastAsia="Arial" w:hAnsi="Arial"/>
          <w:sz w:val="14"/>
          <w:szCs w:val="14"/>
          <w:b w:val="1"/>
          <w:bCs w:val="1"/>
          <w:color w:val="auto"/>
        </w:rPr>
        <w:t>CONSOLIDATED BALANCE SHEETS</w:t>
      </w:r>
    </w:p>
    <w:p>
      <w:pPr>
        <w:spacing w:after="0" w:line="40" w:lineRule="exact"/>
        <w:rPr>
          <w:sz w:val="20"/>
          <w:szCs w:val="20"/>
          <w:color w:val="auto"/>
        </w:rPr>
      </w:pPr>
    </w:p>
    <w:p>
      <w:pPr>
        <w:ind w:left="1940"/>
        <w:spacing w:after="0"/>
        <w:rPr>
          <w:sz w:val="20"/>
          <w:szCs w:val="20"/>
          <w:color w:val="auto"/>
        </w:rPr>
      </w:pPr>
      <w:r>
        <w:rPr>
          <w:rFonts w:ascii="Arial" w:cs="Arial" w:eastAsia="Arial" w:hAnsi="Arial"/>
          <w:sz w:val="13"/>
          <w:szCs w:val="13"/>
          <w:i w:val="1"/>
          <w:iCs w:val="1"/>
          <w:color w:val="auto"/>
        </w:rPr>
        <w:t>(Dollars in millions)</w:t>
      </w:r>
    </w:p>
    <w:p>
      <w:pPr>
        <w:spacing w:after="0" w:line="79" w:lineRule="exact"/>
        <w:rPr>
          <w:sz w:val="20"/>
          <w:szCs w:val="20"/>
          <w:color w:val="auto"/>
        </w:rPr>
      </w:pPr>
    </w:p>
    <w:p>
      <w:pPr>
        <w:jc w:val="right"/>
        <w:ind w:right="739"/>
        <w:spacing w:after="0"/>
        <w:tabs>
          <w:tab w:leader="none" w:pos="780" w:val="left"/>
        </w:tabs>
        <w:rPr>
          <w:sz w:val="20"/>
          <w:szCs w:val="20"/>
          <w:color w:val="auto"/>
        </w:rPr>
      </w:pPr>
      <w:r>
        <w:rPr>
          <w:rFonts w:ascii="Arial" w:cs="Arial" w:eastAsia="Arial" w:hAnsi="Arial"/>
          <w:sz w:val="13"/>
          <w:szCs w:val="13"/>
          <w:color w:val="auto"/>
        </w:rPr>
        <w:t>December 31,</w:t>
      </w:r>
      <w:r>
        <w:rPr>
          <w:sz w:val="20"/>
          <w:szCs w:val="20"/>
          <w:color w:val="auto"/>
        </w:rPr>
        <w:tab/>
      </w:r>
      <w:r>
        <w:rPr>
          <w:rFonts w:ascii="Arial" w:cs="Arial" w:eastAsia="Arial" w:hAnsi="Arial"/>
          <w:sz w:val="12"/>
          <w:szCs w:val="12"/>
          <w:color w:val="auto"/>
        </w:rPr>
        <w:t>December 31,</w:t>
      </w:r>
    </w:p>
    <w:p>
      <w:pPr>
        <w:spacing w:after="0" w:line="67" w:lineRule="exact"/>
        <w:rPr>
          <w:sz w:val="20"/>
          <w:szCs w:val="20"/>
          <w:color w:val="auto"/>
        </w:rPr>
      </w:pPr>
    </w:p>
    <w:p>
      <w:pPr>
        <w:ind w:left="7520"/>
        <w:spacing w:after="0"/>
        <w:tabs>
          <w:tab w:leader="none" w:pos="8920" w:val="left"/>
        </w:tabs>
        <w:rPr>
          <w:sz w:val="20"/>
          <w:szCs w:val="20"/>
          <w:color w:val="auto"/>
        </w:rPr>
      </w:pPr>
      <w:r>
        <w:rPr>
          <w:rFonts w:ascii="Arial" w:cs="Arial" w:eastAsia="Arial" w:hAnsi="Arial"/>
          <w:sz w:val="13"/>
          <w:szCs w:val="13"/>
          <w:color w:val="auto"/>
        </w:rPr>
        <w:t>2008</w:t>
      </w:r>
      <w:r>
        <w:rPr>
          <w:sz w:val="20"/>
          <w:szCs w:val="20"/>
          <w:color w:val="auto"/>
        </w:rPr>
        <w:tab/>
      </w:r>
      <w:r>
        <w:rPr>
          <w:rFonts w:ascii="Arial" w:cs="Arial" w:eastAsia="Arial" w:hAnsi="Arial"/>
          <w:sz w:val="13"/>
          <w:szCs w:val="13"/>
          <w:color w:val="auto"/>
        </w:rPr>
        <w:t>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1225550</wp:posOffset>
            </wp:positionH>
            <wp:positionV relativeFrom="paragraph">
              <wp:posOffset>8890</wp:posOffset>
            </wp:positionV>
            <wp:extent cx="4805680" cy="762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4805680" cy="7620"/>
                    </a:xfrm>
                    <a:prstGeom prst="rect">
                      <a:avLst/>
                    </a:prstGeom>
                    <a:noFill/>
                  </pic:spPr>
                </pic:pic>
              </a:graphicData>
            </a:graphic>
          </wp:anchor>
        </w:drawing>
      </w:r>
    </w:p>
    <w:p>
      <w:pPr>
        <w:sectPr>
          <w:pgSz w:w="11900" w:h="16838" w:orient="portrait"/>
          <w:cols w:equalWidth="0" w:num="1">
            <w:col w:w="10219"/>
          </w:cols>
          <w:pgMar w:left="240" w:top="364" w:right="1440" w:bottom="1440" w:gutter="0" w:footer="0" w:header="0"/>
        </w:sectPr>
      </w:pPr>
    </w:p>
    <w:p>
      <w:pPr>
        <w:spacing w:after="0" w:line="280" w:lineRule="exact"/>
        <w:rPr>
          <w:sz w:val="20"/>
          <w:szCs w:val="20"/>
          <w:color w:val="auto"/>
        </w:rPr>
      </w:pPr>
    </w:p>
    <w:p>
      <w:pPr>
        <w:ind w:left="1940"/>
        <w:spacing w:after="0"/>
        <w:rPr>
          <w:sz w:val="20"/>
          <w:szCs w:val="20"/>
          <w:color w:val="auto"/>
        </w:rPr>
      </w:pPr>
      <w:r>
        <w:rPr>
          <w:rFonts w:ascii="Arial" w:cs="Arial" w:eastAsia="Arial" w:hAnsi="Arial"/>
          <w:sz w:val="14"/>
          <w:szCs w:val="14"/>
          <w:color w:val="auto"/>
        </w:rPr>
        <w:t>ASSETS</w:t>
      </w:r>
    </w:p>
    <w:p>
      <w:pPr>
        <w:spacing w:after="0" w:line="55" w:lineRule="exact"/>
        <w:rPr>
          <w:sz w:val="20"/>
          <w:szCs w:val="20"/>
          <w:color w:val="auto"/>
        </w:rPr>
      </w:pPr>
    </w:p>
    <w:p>
      <w:pPr>
        <w:ind w:left="1940"/>
        <w:spacing w:after="0"/>
        <w:rPr>
          <w:sz w:val="20"/>
          <w:szCs w:val="20"/>
          <w:color w:val="auto"/>
        </w:rPr>
      </w:pPr>
      <w:r>
        <w:rPr>
          <w:rFonts w:ascii="Arial" w:cs="Arial" w:eastAsia="Arial" w:hAnsi="Arial"/>
          <w:sz w:val="14"/>
          <w:szCs w:val="14"/>
          <w:color w:val="auto"/>
        </w:rPr>
        <w:t>Current assets:</w:t>
      </w:r>
    </w:p>
    <w:p>
      <w:pPr>
        <w:spacing w:after="0" w:line="55" w:lineRule="exact"/>
        <w:rPr>
          <w:sz w:val="20"/>
          <w:szCs w:val="20"/>
          <w:color w:val="auto"/>
        </w:rPr>
      </w:pPr>
    </w:p>
    <w:p>
      <w:pPr>
        <w:ind w:left="2120"/>
        <w:spacing w:after="0"/>
        <w:rPr>
          <w:sz w:val="20"/>
          <w:szCs w:val="20"/>
          <w:color w:val="auto"/>
        </w:rPr>
      </w:pPr>
      <w:r>
        <w:rPr>
          <w:rFonts w:ascii="Arial" w:cs="Arial" w:eastAsia="Arial" w:hAnsi="Arial"/>
          <w:sz w:val="14"/>
          <w:szCs w:val="14"/>
          <w:color w:val="auto"/>
        </w:rPr>
        <w:t>Cash and cash equivalents</w:t>
      </w:r>
    </w:p>
    <w:p>
      <w:pPr>
        <w:spacing w:after="0" w:line="55" w:lineRule="exact"/>
        <w:rPr>
          <w:sz w:val="20"/>
          <w:szCs w:val="20"/>
          <w:color w:val="auto"/>
        </w:rPr>
      </w:pPr>
    </w:p>
    <w:p>
      <w:pPr>
        <w:ind w:left="2120"/>
        <w:spacing w:after="0"/>
        <w:rPr>
          <w:sz w:val="20"/>
          <w:szCs w:val="20"/>
          <w:color w:val="auto"/>
        </w:rPr>
      </w:pPr>
      <w:r>
        <w:rPr>
          <w:rFonts w:ascii="Arial" w:cs="Arial" w:eastAsia="Arial" w:hAnsi="Arial"/>
          <w:sz w:val="14"/>
          <w:szCs w:val="14"/>
          <w:color w:val="auto"/>
        </w:rPr>
        <w:t>Accounts receivable – trade</w:t>
      </w:r>
    </w:p>
    <w:p>
      <w:pPr>
        <w:spacing w:after="0" w:line="55" w:lineRule="exact"/>
        <w:rPr>
          <w:sz w:val="20"/>
          <w:szCs w:val="20"/>
          <w:color w:val="auto"/>
        </w:rPr>
      </w:pPr>
    </w:p>
    <w:p>
      <w:pPr>
        <w:ind w:left="2120"/>
        <w:spacing w:after="0"/>
        <w:rPr>
          <w:sz w:val="20"/>
          <w:szCs w:val="20"/>
          <w:color w:val="auto"/>
        </w:rPr>
      </w:pPr>
      <w:r>
        <w:rPr>
          <w:rFonts w:ascii="Arial" w:cs="Arial" w:eastAsia="Arial" w:hAnsi="Arial"/>
          <w:sz w:val="14"/>
          <w:szCs w:val="14"/>
          <w:color w:val="auto"/>
        </w:rPr>
        <w:t>Accounts receivable – other</w:t>
      </w:r>
    </w:p>
    <w:p>
      <w:pPr>
        <w:spacing w:after="0" w:line="55" w:lineRule="exact"/>
        <w:rPr>
          <w:sz w:val="20"/>
          <w:szCs w:val="20"/>
          <w:color w:val="auto"/>
        </w:rPr>
      </w:pPr>
    </w:p>
    <w:p>
      <w:pPr>
        <w:ind w:left="2120"/>
        <w:spacing w:after="0"/>
        <w:rPr>
          <w:sz w:val="20"/>
          <w:szCs w:val="20"/>
          <w:color w:val="auto"/>
        </w:rPr>
      </w:pPr>
      <w:r>
        <w:rPr>
          <w:rFonts w:ascii="Arial" w:cs="Arial" w:eastAsia="Arial" w:hAnsi="Arial"/>
          <w:sz w:val="14"/>
          <w:szCs w:val="14"/>
          <w:color w:val="auto"/>
        </w:rPr>
        <w:t>Due from unconsolidated affiliates</w:t>
      </w:r>
    </w:p>
    <w:p>
      <w:pPr>
        <w:spacing w:after="0" w:line="55" w:lineRule="exact"/>
        <w:rPr>
          <w:sz w:val="20"/>
          <w:szCs w:val="20"/>
          <w:color w:val="auto"/>
        </w:rPr>
      </w:pPr>
    </w:p>
    <w:p>
      <w:pPr>
        <w:ind w:left="2120"/>
        <w:spacing w:after="0"/>
        <w:rPr>
          <w:sz w:val="20"/>
          <w:szCs w:val="20"/>
          <w:color w:val="auto"/>
        </w:rPr>
      </w:pPr>
      <w:r>
        <w:rPr>
          <w:rFonts w:ascii="Arial" w:cs="Arial" w:eastAsia="Arial" w:hAnsi="Arial"/>
          <w:sz w:val="14"/>
          <w:szCs w:val="14"/>
          <w:color w:val="auto"/>
        </w:rPr>
        <w:t>Income taxes receivable</w:t>
      </w:r>
    </w:p>
    <w:p>
      <w:pPr>
        <w:spacing w:after="0" w:line="55" w:lineRule="exact"/>
        <w:rPr>
          <w:sz w:val="20"/>
          <w:szCs w:val="20"/>
          <w:color w:val="auto"/>
        </w:rPr>
      </w:pPr>
    </w:p>
    <w:p>
      <w:pPr>
        <w:ind w:left="2120"/>
        <w:spacing w:after="0"/>
        <w:rPr>
          <w:sz w:val="20"/>
          <w:szCs w:val="20"/>
          <w:color w:val="auto"/>
        </w:rPr>
      </w:pPr>
      <w:r>
        <w:rPr>
          <w:rFonts w:ascii="Arial" w:cs="Arial" w:eastAsia="Arial" w:hAnsi="Arial"/>
          <w:sz w:val="14"/>
          <w:szCs w:val="14"/>
          <w:color w:val="auto"/>
        </w:rPr>
        <w:t>Deferred income taxes</w:t>
      </w:r>
    </w:p>
    <w:p>
      <w:pPr>
        <w:spacing w:after="0" w:line="55" w:lineRule="exact"/>
        <w:rPr>
          <w:sz w:val="20"/>
          <w:szCs w:val="20"/>
          <w:color w:val="auto"/>
        </w:rPr>
      </w:pPr>
    </w:p>
    <w:p>
      <w:pPr>
        <w:ind w:left="2120"/>
        <w:spacing w:after="0"/>
        <w:rPr>
          <w:sz w:val="20"/>
          <w:szCs w:val="20"/>
          <w:color w:val="auto"/>
        </w:rPr>
      </w:pPr>
      <w:r>
        <w:rPr>
          <w:rFonts w:ascii="Arial" w:cs="Arial" w:eastAsia="Arial" w:hAnsi="Arial"/>
          <w:sz w:val="14"/>
          <w:szCs w:val="14"/>
          <w:color w:val="auto"/>
        </w:rPr>
        <w:t>Inventories</w:t>
      </w:r>
    </w:p>
    <w:p>
      <w:pPr>
        <w:spacing w:after="0" w:line="55" w:lineRule="exact"/>
        <w:rPr>
          <w:sz w:val="20"/>
          <w:szCs w:val="20"/>
          <w:color w:val="auto"/>
        </w:rPr>
      </w:pPr>
    </w:p>
    <w:p>
      <w:pPr>
        <w:ind w:left="2120"/>
        <w:spacing w:after="0"/>
        <w:rPr>
          <w:sz w:val="20"/>
          <w:szCs w:val="20"/>
          <w:color w:val="auto"/>
        </w:rPr>
      </w:pPr>
      <w:r>
        <w:rPr>
          <w:rFonts w:ascii="Arial" w:cs="Arial" w:eastAsia="Arial" w:hAnsi="Arial"/>
          <w:sz w:val="14"/>
          <w:szCs w:val="14"/>
          <w:color w:val="auto"/>
        </w:rPr>
        <w:t>Other regulatory assets</w:t>
      </w:r>
    </w:p>
    <w:p>
      <w:pPr>
        <w:spacing w:after="0" w:line="67" w:lineRule="exact"/>
        <w:rPr>
          <w:sz w:val="20"/>
          <w:szCs w:val="20"/>
          <w:color w:val="auto"/>
        </w:rPr>
      </w:pPr>
    </w:p>
    <w:p>
      <w:pPr>
        <w:ind w:left="2120"/>
        <w:spacing w:after="0"/>
        <w:rPr>
          <w:sz w:val="20"/>
          <w:szCs w:val="20"/>
          <w:color w:val="auto"/>
        </w:rPr>
      </w:pPr>
      <w:r>
        <w:rPr>
          <w:rFonts w:ascii="Arial" w:cs="Arial" w:eastAsia="Arial" w:hAnsi="Arial"/>
          <w:sz w:val="14"/>
          <w:szCs w:val="14"/>
          <w:color w:val="auto"/>
        </w:rPr>
        <w:t>Other</w:t>
      </w:r>
    </w:p>
    <w:p>
      <w:pPr>
        <w:spacing w:after="0" w:line="67" w:lineRule="exact"/>
        <w:rPr>
          <w:sz w:val="20"/>
          <w:szCs w:val="20"/>
          <w:color w:val="auto"/>
        </w:rPr>
      </w:pPr>
    </w:p>
    <w:p>
      <w:pPr>
        <w:ind w:left="2320"/>
        <w:spacing w:after="0"/>
        <w:rPr>
          <w:sz w:val="20"/>
          <w:szCs w:val="20"/>
          <w:color w:val="auto"/>
        </w:rPr>
      </w:pPr>
      <w:r>
        <w:rPr>
          <w:rFonts w:ascii="Arial" w:cs="Arial" w:eastAsia="Arial" w:hAnsi="Arial"/>
          <w:sz w:val="14"/>
          <w:szCs w:val="14"/>
          <w:color w:val="auto"/>
        </w:rPr>
        <w:t>Total current assets</w:t>
      </w:r>
    </w:p>
    <w:p>
      <w:pPr>
        <w:spacing w:after="0" w:line="271" w:lineRule="exact"/>
        <w:rPr>
          <w:sz w:val="20"/>
          <w:szCs w:val="20"/>
          <w:color w:val="auto"/>
        </w:rPr>
      </w:pPr>
    </w:p>
    <w:p>
      <w:pPr>
        <w:ind w:left="1940"/>
        <w:spacing w:after="0"/>
        <w:rPr>
          <w:sz w:val="20"/>
          <w:szCs w:val="20"/>
          <w:color w:val="auto"/>
        </w:rPr>
      </w:pPr>
      <w:r>
        <w:rPr>
          <w:rFonts w:ascii="Arial" w:cs="Arial" w:eastAsia="Arial" w:hAnsi="Arial"/>
          <w:sz w:val="14"/>
          <w:szCs w:val="14"/>
          <w:color w:val="auto"/>
        </w:rPr>
        <w:t>Other assets:</w:t>
      </w:r>
    </w:p>
    <w:p>
      <w:pPr>
        <w:spacing w:after="0" w:line="55" w:lineRule="exact"/>
        <w:rPr>
          <w:sz w:val="20"/>
          <w:szCs w:val="20"/>
          <w:color w:val="auto"/>
        </w:rPr>
      </w:pPr>
    </w:p>
    <w:p>
      <w:pPr>
        <w:ind w:left="2120"/>
        <w:spacing w:after="0"/>
        <w:rPr>
          <w:sz w:val="20"/>
          <w:szCs w:val="20"/>
          <w:color w:val="auto"/>
        </w:rPr>
      </w:pPr>
      <w:r>
        <w:rPr>
          <w:rFonts w:ascii="Arial" w:cs="Arial" w:eastAsia="Arial" w:hAnsi="Arial"/>
          <w:sz w:val="14"/>
          <w:szCs w:val="14"/>
          <w:color w:val="auto"/>
        </w:rPr>
        <w:t>Due from unconsolidated affiliates</w:t>
      </w:r>
    </w:p>
    <w:p>
      <w:pPr>
        <w:spacing w:after="0" w:line="31" w:lineRule="exact"/>
        <w:rPr>
          <w:sz w:val="20"/>
          <w:szCs w:val="20"/>
          <w:color w:val="auto"/>
        </w:rPr>
      </w:pPr>
    </w:p>
    <w:p>
      <w:pPr>
        <w:ind w:left="2300" w:right="80" w:hanging="167"/>
        <w:spacing w:after="0" w:line="267" w:lineRule="auto"/>
        <w:rPr>
          <w:sz w:val="20"/>
          <w:szCs w:val="20"/>
          <w:color w:val="auto"/>
        </w:rPr>
      </w:pPr>
      <w:r>
        <w:rPr>
          <w:rFonts w:ascii="Arial" w:cs="Arial" w:eastAsia="Arial" w:hAnsi="Arial"/>
          <w:sz w:val="14"/>
          <w:szCs w:val="14"/>
          <w:color w:val="auto"/>
        </w:rPr>
        <w:t>Regulatory assets arising from pension and other postretirement benefit obligations</w:t>
      </w:r>
    </w:p>
    <w:p>
      <w:pPr>
        <w:spacing w:after="0" w:line="26" w:lineRule="exact"/>
        <w:rPr>
          <w:sz w:val="20"/>
          <w:szCs w:val="20"/>
          <w:color w:val="auto"/>
        </w:rPr>
      </w:pPr>
    </w:p>
    <w:p>
      <w:pPr>
        <w:ind w:left="2120"/>
        <w:spacing w:after="0"/>
        <w:rPr>
          <w:sz w:val="20"/>
          <w:szCs w:val="20"/>
          <w:color w:val="auto"/>
        </w:rPr>
      </w:pPr>
      <w:r>
        <w:rPr>
          <w:rFonts w:ascii="Arial" w:cs="Arial" w:eastAsia="Arial" w:hAnsi="Arial"/>
          <w:sz w:val="14"/>
          <w:szCs w:val="14"/>
          <w:color w:val="auto"/>
        </w:rPr>
        <w:t>Other regulatory assets</w:t>
      </w:r>
    </w:p>
    <w:p>
      <w:pPr>
        <w:spacing w:after="0" w:line="55" w:lineRule="exact"/>
        <w:rPr>
          <w:sz w:val="20"/>
          <w:szCs w:val="20"/>
          <w:color w:val="auto"/>
        </w:rPr>
      </w:pPr>
    </w:p>
    <w:p>
      <w:pPr>
        <w:ind w:left="2120"/>
        <w:spacing w:after="0"/>
        <w:rPr>
          <w:sz w:val="20"/>
          <w:szCs w:val="20"/>
          <w:color w:val="auto"/>
        </w:rPr>
      </w:pPr>
      <w:r>
        <w:rPr>
          <w:rFonts w:ascii="Arial" w:cs="Arial" w:eastAsia="Arial" w:hAnsi="Arial"/>
          <w:sz w:val="14"/>
          <w:szCs w:val="14"/>
          <w:color w:val="auto"/>
        </w:rPr>
        <w:t>Pension plan assets in excess of benefit obligations</w:t>
      </w:r>
    </w:p>
    <w:p>
      <w:pPr>
        <w:spacing w:after="0" w:line="67" w:lineRule="exact"/>
        <w:rPr>
          <w:sz w:val="20"/>
          <w:szCs w:val="20"/>
          <w:color w:val="auto"/>
        </w:rPr>
      </w:pPr>
    </w:p>
    <w:p>
      <w:pPr>
        <w:ind w:left="2120"/>
        <w:spacing w:after="0"/>
        <w:rPr>
          <w:sz w:val="20"/>
          <w:szCs w:val="20"/>
          <w:color w:val="auto"/>
        </w:rPr>
      </w:pPr>
      <w:r>
        <w:rPr>
          <w:rFonts w:ascii="Arial" w:cs="Arial" w:eastAsia="Arial" w:hAnsi="Arial"/>
          <w:sz w:val="14"/>
          <w:szCs w:val="14"/>
          <w:color w:val="auto"/>
        </w:rPr>
        <w:t>Sundry</w:t>
      </w:r>
    </w:p>
    <w:p>
      <w:pPr>
        <w:spacing w:after="0" w:line="67" w:lineRule="exact"/>
        <w:rPr>
          <w:sz w:val="20"/>
          <w:szCs w:val="20"/>
          <w:color w:val="auto"/>
        </w:rPr>
      </w:pPr>
    </w:p>
    <w:p>
      <w:pPr>
        <w:ind w:left="2320"/>
        <w:spacing w:after="0"/>
        <w:rPr>
          <w:sz w:val="20"/>
          <w:szCs w:val="20"/>
          <w:color w:val="auto"/>
        </w:rPr>
      </w:pPr>
      <w:r>
        <w:rPr>
          <w:rFonts w:ascii="Arial" w:cs="Arial" w:eastAsia="Arial" w:hAnsi="Arial"/>
          <w:sz w:val="14"/>
          <w:szCs w:val="14"/>
          <w:color w:val="auto"/>
        </w:rPr>
        <w:t>Total other assets</w:t>
      </w:r>
    </w:p>
    <w:p>
      <w:pPr>
        <w:spacing w:after="0" w:line="271" w:lineRule="exact"/>
        <w:rPr>
          <w:sz w:val="20"/>
          <w:szCs w:val="20"/>
          <w:color w:val="auto"/>
        </w:rPr>
      </w:pPr>
    </w:p>
    <w:p>
      <w:pPr>
        <w:ind w:left="1940"/>
        <w:spacing w:after="0"/>
        <w:rPr>
          <w:sz w:val="20"/>
          <w:szCs w:val="20"/>
          <w:color w:val="auto"/>
        </w:rPr>
      </w:pPr>
      <w:r>
        <w:rPr>
          <w:rFonts w:ascii="Arial" w:cs="Arial" w:eastAsia="Arial" w:hAnsi="Arial"/>
          <w:sz w:val="14"/>
          <w:szCs w:val="14"/>
          <w:color w:val="auto"/>
        </w:rPr>
        <w:t>Property, plant and equipment:</w:t>
      </w:r>
    </w:p>
    <w:p>
      <w:pPr>
        <w:spacing w:after="0" w:line="55" w:lineRule="exact"/>
        <w:rPr>
          <w:sz w:val="20"/>
          <w:szCs w:val="20"/>
          <w:color w:val="auto"/>
        </w:rPr>
      </w:pPr>
    </w:p>
    <w:p>
      <w:pPr>
        <w:ind w:left="2120"/>
        <w:spacing w:after="0"/>
        <w:rPr>
          <w:sz w:val="20"/>
          <w:szCs w:val="20"/>
          <w:color w:val="auto"/>
        </w:rPr>
      </w:pPr>
      <w:r>
        <w:rPr>
          <w:rFonts w:ascii="Arial" w:cs="Arial" w:eastAsia="Arial" w:hAnsi="Arial"/>
          <w:sz w:val="14"/>
          <w:szCs w:val="14"/>
          <w:color w:val="auto"/>
        </w:rPr>
        <w:t>Property, plant and equipment</w:t>
      </w:r>
    </w:p>
    <w:p>
      <w:pPr>
        <w:spacing w:after="0" w:line="67" w:lineRule="exact"/>
        <w:rPr>
          <w:sz w:val="20"/>
          <w:szCs w:val="20"/>
          <w:color w:val="auto"/>
        </w:rPr>
      </w:pPr>
    </w:p>
    <w:p>
      <w:pPr>
        <w:ind w:left="2120"/>
        <w:spacing w:after="0"/>
        <w:rPr>
          <w:sz w:val="20"/>
          <w:szCs w:val="20"/>
          <w:color w:val="auto"/>
        </w:rPr>
      </w:pPr>
      <w:r>
        <w:rPr>
          <w:rFonts w:ascii="Arial" w:cs="Arial" w:eastAsia="Arial" w:hAnsi="Arial"/>
          <w:sz w:val="14"/>
          <w:szCs w:val="14"/>
          <w:color w:val="auto"/>
        </w:rPr>
        <w:t>Less accumulated depreciation</w:t>
      </w:r>
    </w:p>
    <w:p>
      <w:pPr>
        <w:spacing w:after="0" w:line="67" w:lineRule="exact"/>
        <w:rPr>
          <w:sz w:val="20"/>
          <w:szCs w:val="20"/>
          <w:color w:val="auto"/>
        </w:rPr>
      </w:pPr>
    </w:p>
    <w:p>
      <w:pPr>
        <w:ind w:left="2320"/>
        <w:spacing w:after="0"/>
        <w:rPr>
          <w:sz w:val="20"/>
          <w:szCs w:val="20"/>
          <w:color w:val="auto"/>
        </w:rPr>
      </w:pPr>
      <w:r>
        <w:rPr>
          <w:rFonts w:ascii="Arial" w:cs="Arial" w:eastAsia="Arial" w:hAnsi="Arial"/>
          <w:sz w:val="14"/>
          <w:szCs w:val="14"/>
          <w:color w:val="auto"/>
        </w:rPr>
        <w:t>Property, plant and equipment, net</w:t>
      </w:r>
    </w:p>
    <w:p>
      <w:pPr>
        <w:spacing w:after="0" w:line="55" w:lineRule="exact"/>
        <w:rPr>
          <w:sz w:val="20"/>
          <w:szCs w:val="20"/>
          <w:color w:val="auto"/>
        </w:rPr>
      </w:pPr>
    </w:p>
    <w:p>
      <w:pPr>
        <w:ind w:left="1940"/>
        <w:spacing w:after="0"/>
        <w:rPr>
          <w:sz w:val="20"/>
          <w:szCs w:val="20"/>
          <w:color w:val="auto"/>
        </w:rPr>
      </w:pPr>
      <w:r>
        <w:rPr>
          <w:rFonts w:ascii="Arial" w:cs="Arial" w:eastAsia="Arial" w:hAnsi="Arial"/>
          <w:sz w:val="14"/>
          <w:szCs w:val="14"/>
          <w:color w:val="auto"/>
        </w:rPr>
        <w:t>Total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1225550</wp:posOffset>
            </wp:positionH>
            <wp:positionV relativeFrom="paragraph">
              <wp:posOffset>11430</wp:posOffset>
            </wp:positionV>
            <wp:extent cx="4805680" cy="2286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4805680" cy="228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2"/>
        </w:trPr>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188"/>
              <w:spacing w:after="0"/>
              <w:rPr>
                <w:sz w:val="20"/>
                <w:szCs w:val="20"/>
                <w:color w:val="auto"/>
              </w:rPr>
            </w:pPr>
            <w:r>
              <w:rPr>
                <w:rFonts w:ascii="Arial" w:cs="Arial" w:eastAsia="Arial" w:hAnsi="Arial"/>
                <w:sz w:val="14"/>
                <w:szCs w:val="14"/>
                <w:color w:val="auto"/>
              </w:rPr>
              <w:t>206</w:t>
            </w:r>
          </w:p>
        </w:tc>
        <w:tc>
          <w:tcPr>
            <w:tcW w:w="5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59</w:t>
            </w:r>
          </w:p>
        </w:tc>
      </w:tr>
      <w:tr>
        <w:trPr>
          <w:trHeight w:val="216"/>
        </w:trPr>
        <w:tc>
          <w:tcPr>
            <w:tcW w:w="320" w:type="dxa"/>
            <w:vAlign w:val="bottom"/>
          </w:tcPr>
          <w:p>
            <w:pPr>
              <w:spacing w:after="0"/>
              <w:rPr>
                <w:sz w:val="18"/>
                <w:szCs w:val="18"/>
                <w:color w:val="auto"/>
              </w:rPr>
            </w:pPr>
          </w:p>
        </w:tc>
        <w:tc>
          <w:tcPr>
            <w:tcW w:w="900" w:type="dxa"/>
            <w:vAlign w:val="bottom"/>
          </w:tcPr>
          <w:p>
            <w:pPr>
              <w:jc w:val="right"/>
              <w:ind w:right="188"/>
              <w:spacing w:after="0"/>
              <w:rPr>
                <w:sz w:val="20"/>
                <w:szCs w:val="20"/>
                <w:color w:val="auto"/>
              </w:rPr>
            </w:pPr>
            <w:r>
              <w:rPr>
                <w:rFonts w:ascii="Arial" w:cs="Arial" w:eastAsia="Arial" w:hAnsi="Arial"/>
                <w:sz w:val="14"/>
                <w:szCs w:val="14"/>
                <w:color w:val="auto"/>
              </w:rPr>
              <w:t>572</w:t>
            </w:r>
          </w:p>
        </w:tc>
        <w:tc>
          <w:tcPr>
            <w:tcW w:w="520" w:type="dxa"/>
            <w:vAlign w:val="bottom"/>
          </w:tcPr>
          <w:p>
            <w:pPr>
              <w:spacing w:after="0"/>
              <w:rPr>
                <w:sz w:val="18"/>
                <w:szCs w:val="18"/>
                <w:color w:val="auto"/>
              </w:rPr>
            </w:pP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671</w:t>
            </w:r>
          </w:p>
        </w:tc>
      </w:tr>
      <w:tr>
        <w:trPr>
          <w:trHeight w:val="216"/>
        </w:trPr>
        <w:tc>
          <w:tcPr>
            <w:tcW w:w="320" w:type="dxa"/>
            <w:vAlign w:val="bottom"/>
          </w:tcPr>
          <w:p>
            <w:pPr>
              <w:spacing w:after="0"/>
              <w:rPr>
                <w:sz w:val="18"/>
                <w:szCs w:val="18"/>
                <w:color w:val="auto"/>
              </w:rPr>
            </w:pPr>
          </w:p>
        </w:tc>
        <w:tc>
          <w:tcPr>
            <w:tcW w:w="900" w:type="dxa"/>
            <w:vAlign w:val="bottom"/>
          </w:tcPr>
          <w:p>
            <w:pPr>
              <w:jc w:val="right"/>
              <w:ind w:right="188"/>
              <w:spacing w:after="0"/>
              <w:rPr>
                <w:sz w:val="20"/>
                <w:szCs w:val="20"/>
                <w:color w:val="auto"/>
              </w:rPr>
            </w:pPr>
            <w:r>
              <w:rPr>
                <w:rFonts w:ascii="Arial" w:cs="Arial" w:eastAsia="Arial" w:hAnsi="Arial"/>
                <w:sz w:val="14"/>
                <w:szCs w:val="14"/>
                <w:color w:val="auto"/>
              </w:rPr>
              <w:t>20</w:t>
            </w:r>
          </w:p>
        </w:tc>
        <w:tc>
          <w:tcPr>
            <w:tcW w:w="520" w:type="dxa"/>
            <w:vAlign w:val="bottom"/>
          </w:tcPr>
          <w:p>
            <w:pPr>
              <w:spacing w:after="0"/>
              <w:rPr>
                <w:sz w:val="18"/>
                <w:szCs w:val="18"/>
                <w:color w:val="auto"/>
              </w:rPr>
            </w:pP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22</w:t>
            </w:r>
          </w:p>
        </w:tc>
      </w:tr>
      <w:tr>
        <w:trPr>
          <w:trHeight w:val="216"/>
        </w:trPr>
        <w:tc>
          <w:tcPr>
            <w:tcW w:w="320" w:type="dxa"/>
            <w:vAlign w:val="bottom"/>
          </w:tcPr>
          <w:p>
            <w:pPr>
              <w:spacing w:after="0"/>
              <w:rPr>
                <w:sz w:val="18"/>
                <w:szCs w:val="18"/>
                <w:color w:val="auto"/>
              </w:rPr>
            </w:pPr>
          </w:p>
        </w:tc>
        <w:tc>
          <w:tcPr>
            <w:tcW w:w="900" w:type="dxa"/>
            <w:vAlign w:val="bottom"/>
          </w:tcPr>
          <w:p>
            <w:pPr>
              <w:jc w:val="right"/>
              <w:ind w:right="188"/>
              <w:spacing w:after="0"/>
              <w:rPr>
                <w:sz w:val="20"/>
                <w:szCs w:val="20"/>
                <w:color w:val="auto"/>
              </w:rPr>
            </w:pPr>
            <w:r>
              <w:rPr>
                <w:rFonts w:ascii="Arial" w:cs="Arial" w:eastAsia="Arial" w:hAnsi="Arial"/>
                <w:sz w:val="14"/>
                <w:szCs w:val="14"/>
                <w:color w:val="auto"/>
              </w:rPr>
              <w:t>5</w:t>
            </w:r>
          </w:p>
        </w:tc>
        <w:tc>
          <w:tcPr>
            <w:tcW w:w="520" w:type="dxa"/>
            <w:vAlign w:val="bottom"/>
          </w:tcPr>
          <w:p>
            <w:pPr>
              <w:spacing w:after="0"/>
              <w:rPr>
                <w:sz w:val="18"/>
                <w:szCs w:val="18"/>
                <w:color w:val="auto"/>
              </w:rPr>
            </w:pP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5</w:t>
            </w:r>
          </w:p>
        </w:tc>
      </w:tr>
      <w:tr>
        <w:trPr>
          <w:trHeight w:val="216"/>
        </w:trPr>
        <w:tc>
          <w:tcPr>
            <w:tcW w:w="320" w:type="dxa"/>
            <w:vAlign w:val="bottom"/>
          </w:tcPr>
          <w:p>
            <w:pPr>
              <w:spacing w:after="0"/>
              <w:rPr>
                <w:sz w:val="18"/>
                <w:szCs w:val="18"/>
                <w:color w:val="auto"/>
              </w:rPr>
            </w:pPr>
          </w:p>
        </w:tc>
        <w:tc>
          <w:tcPr>
            <w:tcW w:w="900" w:type="dxa"/>
            <w:vAlign w:val="bottom"/>
          </w:tcPr>
          <w:p>
            <w:pPr>
              <w:jc w:val="right"/>
              <w:ind w:right="188"/>
              <w:spacing w:after="0"/>
              <w:rPr>
                <w:sz w:val="20"/>
                <w:szCs w:val="20"/>
                <w:color w:val="auto"/>
              </w:rPr>
            </w:pPr>
            <w:r>
              <w:rPr>
                <w:rFonts w:ascii="Arial" w:cs="Arial" w:eastAsia="Arial" w:hAnsi="Arial"/>
                <w:sz w:val="14"/>
                <w:szCs w:val="14"/>
                <w:color w:val="auto"/>
              </w:rPr>
              <w:t>108</w:t>
            </w:r>
          </w:p>
        </w:tc>
        <w:tc>
          <w:tcPr>
            <w:tcW w:w="520" w:type="dxa"/>
            <w:vAlign w:val="bottom"/>
          </w:tcPr>
          <w:p>
            <w:pPr>
              <w:spacing w:after="0"/>
              <w:rPr>
                <w:sz w:val="18"/>
                <w:szCs w:val="18"/>
                <w:color w:val="auto"/>
              </w:rPr>
            </w:pP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37</w:t>
            </w:r>
          </w:p>
        </w:tc>
      </w:tr>
      <w:tr>
        <w:trPr>
          <w:trHeight w:val="216"/>
        </w:trPr>
        <w:tc>
          <w:tcPr>
            <w:tcW w:w="320" w:type="dxa"/>
            <w:vAlign w:val="bottom"/>
          </w:tcPr>
          <w:p>
            <w:pPr>
              <w:spacing w:after="0"/>
              <w:rPr>
                <w:sz w:val="18"/>
                <w:szCs w:val="18"/>
                <w:color w:val="auto"/>
              </w:rPr>
            </w:pPr>
          </w:p>
        </w:tc>
        <w:tc>
          <w:tcPr>
            <w:tcW w:w="90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520" w:type="dxa"/>
            <w:vAlign w:val="bottom"/>
          </w:tcPr>
          <w:p>
            <w:pPr>
              <w:spacing w:after="0"/>
              <w:rPr>
                <w:sz w:val="18"/>
                <w:szCs w:val="18"/>
                <w:color w:val="auto"/>
              </w:rPr>
            </w:pP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33</w:t>
            </w:r>
          </w:p>
        </w:tc>
      </w:tr>
      <w:tr>
        <w:trPr>
          <w:trHeight w:val="216"/>
        </w:trPr>
        <w:tc>
          <w:tcPr>
            <w:tcW w:w="320" w:type="dxa"/>
            <w:vAlign w:val="bottom"/>
          </w:tcPr>
          <w:p>
            <w:pPr>
              <w:spacing w:after="0"/>
              <w:rPr>
                <w:sz w:val="18"/>
                <w:szCs w:val="18"/>
                <w:color w:val="auto"/>
              </w:rPr>
            </w:pPr>
          </w:p>
        </w:tc>
        <w:tc>
          <w:tcPr>
            <w:tcW w:w="900" w:type="dxa"/>
            <w:vAlign w:val="bottom"/>
          </w:tcPr>
          <w:p>
            <w:pPr>
              <w:jc w:val="right"/>
              <w:ind w:right="188"/>
              <w:spacing w:after="0"/>
              <w:rPr>
                <w:sz w:val="20"/>
                <w:szCs w:val="20"/>
                <w:color w:val="auto"/>
              </w:rPr>
            </w:pPr>
            <w:r>
              <w:rPr>
                <w:rFonts w:ascii="Arial" w:cs="Arial" w:eastAsia="Arial" w:hAnsi="Arial"/>
                <w:sz w:val="14"/>
                <w:szCs w:val="14"/>
                <w:color w:val="auto"/>
              </w:rPr>
              <w:t>167</w:t>
            </w:r>
          </w:p>
        </w:tc>
        <w:tc>
          <w:tcPr>
            <w:tcW w:w="520" w:type="dxa"/>
            <w:vAlign w:val="bottom"/>
          </w:tcPr>
          <w:p>
            <w:pPr>
              <w:spacing w:after="0"/>
              <w:rPr>
                <w:sz w:val="18"/>
                <w:szCs w:val="18"/>
                <w:color w:val="auto"/>
              </w:rPr>
            </w:pP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98</w:t>
            </w:r>
          </w:p>
        </w:tc>
      </w:tr>
      <w:tr>
        <w:trPr>
          <w:trHeight w:val="216"/>
        </w:trPr>
        <w:tc>
          <w:tcPr>
            <w:tcW w:w="320" w:type="dxa"/>
            <w:vAlign w:val="bottom"/>
          </w:tcPr>
          <w:p>
            <w:pPr>
              <w:spacing w:after="0"/>
              <w:rPr>
                <w:sz w:val="18"/>
                <w:szCs w:val="18"/>
                <w:color w:val="auto"/>
              </w:rPr>
            </w:pPr>
          </w:p>
        </w:tc>
        <w:tc>
          <w:tcPr>
            <w:tcW w:w="900" w:type="dxa"/>
            <w:vAlign w:val="bottom"/>
          </w:tcPr>
          <w:p>
            <w:pPr>
              <w:jc w:val="right"/>
              <w:ind w:right="188"/>
              <w:spacing w:after="0"/>
              <w:rPr>
                <w:sz w:val="20"/>
                <w:szCs w:val="20"/>
                <w:color w:val="auto"/>
              </w:rPr>
            </w:pPr>
            <w:r>
              <w:rPr>
                <w:rFonts w:ascii="Arial" w:cs="Arial" w:eastAsia="Arial" w:hAnsi="Arial"/>
                <w:sz w:val="14"/>
                <w:szCs w:val="14"/>
                <w:color w:val="auto"/>
              </w:rPr>
              <w:t>18</w:t>
            </w:r>
          </w:p>
        </w:tc>
        <w:tc>
          <w:tcPr>
            <w:tcW w:w="520" w:type="dxa"/>
            <w:vAlign w:val="bottom"/>
          </w:tcPr>
          <w:p>
            <w:pPr>
              <w:spacing w:after="0"/>
              <w:rPr>
                <w:sz w:val="18"/>
                <w:szCs w:val="18"/>
                <w:color w:val="auto"/>
              </w:rPr>
            </w:pP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40</w:t>
            </w:r>
          </w:p>
        </w:tc>
      </w:tr>
      <w:tr>
        <w:trPr>
          <w:trHeight w:val="219"/>
        </w:trPr>
        <w:tc>
          <w:tcPr>
            <w:tcW w:w="3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37</w:t>
            </w:r>
          </w:p>
        </w:tc>
        <w:tc>
          <w:tcPr>
            <w:tcW w:w="5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23</w:t>
            </w:r>
          </w:p>
        </w:tc>
      </w:tr>
      <w:tr>
        <w:trPr>
          <w:trHeight w:val="208"/>
        </w:trPr>
        <w:tc>
          <w:tcPr>
            <w:tcW w:w="3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1,133</w:t>
            </w:r>
          </w:p>
        </w:tc>
        <w:tc>
          <w:tcPr>
            <w:tcW w:w="5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988</w:t>
            </w:r>
          </w:p>
        </w:tc>
      </w:tr>
      <w:tr>
        <w:trPr>
          <w:trHeight w:val="638"/>
        </w:trPr>
        <w:tc>
          <w:tcPr>
            <w:tcW w:w="320" w:type="dxa"/>
            <w:vAlign w:val="bottom"/>
          </w:tcPr>
          <w:p>
            <w:pPr>
              <w:spacing w:after="0"/>
              <w:rPr>
                <w:sz w:val="24"/>
                <w:szCs w:val="24"/>
                <w:color w:val="auto"/>
              </w:rPr>
            </w:pPr>
          </w:p>
        </w:tc>
        <w:tc>
          <w:tcPr>
            <w:tcW w:w="900" w:type="dxa"/>
            <w:vAlign w:val="bottom"/>
          </w:tcPr>
          <w:p>
            <w:pPr>
              <w:jc w:val="right"/>
              <w:ind w:right="188"/>
              <w:spacing w:after="0"/>
              <w:rPr>
                <w:sz w:val="20"/>
                <w:szCs w:val="20"/>
                <w:color w:val="auto"/>
              </w:rPr>
            </w:pPr>
            <w:r>
              <w:rPr>
                <w:rFonts w:ascii="Arial" w:cs="Arial" w:eastAsia="Arial" w:hAnsi="Arial"/>
                <w:sz w:val="14"/>
                <w:szCs w:val="14"/>
                <w:color w:val="auto"/>
              </w:rPr>
              <w:t>457</w:t>
            </w:r>
          </w:p>
        </w:tc>
        <w:tc>
          <w:tcPr>
            <w:tcW w:w="520" w:type="dxa"/>
            <w:vAlign w:val="bottom"/>
          </w:tcPr>
          <w:p>
            <w:pPr>
              <w:spacing w:after="0"/>
              <w:rPr>
                <w:sz w:val="24"/>
                <w:szCs w:val="24"/>
                <w:color w:val="auto"/>
              </w:rPr>
            </w:pP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457</w:t>
            </w:r>
          </w:p>
        </w:tc>
      </w:tr>
      <w:tr>
        <w:trPr>
          <w:trHeight w:val="360"/>
        </w:trPr>
        <w:tc>
          <w:tcPr>
            <w:tcW w:w="320" w:type="dxa"/>
            <w:vAlign w:val="bottom"/>
          </w:tcPr>
          <w:p>
            <w:pPr>
              <w:spacing w:after="0"/>
              <w:rPr>
                <w:sz w:val="24"/>
                <w:szCs w:val="24"/>
                <w:color w:val="auto"/>
              </w:rPr>
            </w:pPr>
          </w:p>
        </w:tc>
        <w:tc>
          <w:tcPr>
            <w:tcW w:w="900" w:type="dxa"/>
            <w:vAlign w:val="bottom"/>
          </w:tcPr>
          <w:p>
            <w:pPr>
              <w:jc w:val="right"/>
              <w:ind w:right="188"/>
              <w:spacing w:after="0"/>
              <w:rPr>
                <w:sz w:val="20"/>
                <w:szCs w:val="20"/>
                <w:color w:val="auto"/>
              </w:rPr>
            </w:pPr>
            <w:r>
              <w:rPr>
                <w:rFonts w:ascii="Arial" w:cs="Arial" w:eastAsia="Arial" w:hAnsi="Arial"/>
                <w:sz w:val="14"/>
                <w:szCs w:val="14"/>
                <w:color w:val="auto"/>
              </w:rPr>
              <w:t>795</w:t>
            </w:r>
          </w:p>
        </w:tc>
        <w:tc>
          <w:tcPr>
            <w:tcW w:w="520" w:type="dxa"/>
            <w:vAlign w:val="bottom"/>
          </w:tcPr>
          <w:p>
            <w:pPr>
              <w:spacing w:after="0"/>
              <w:rPr>
                <w:sz w:val="24"/>
                <w:szCs w:val="24"/>
                <w:color w:val="auto"/>
              </w:rPr>
            </w:pP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w:t>
            </w:r>
          </w:p>
        </w:tc>
      </w:tr>
      <w:tr>
        <w:trPr>
          <w:trHeight w:val="216"/>
        </w:trPr>
        <w:tc>
          <w:tcPr>
            <w:tcW w:w="320" w:type="dxa"/>
            <w:vAlign w:val="bottom"/>
          </w:tcPr>
          <w:p>
            <w:pPr>
              <w:spacing w:after="0"/>
              <w:rPr>
                <w:sz w:val="18"/>
                <w:szCs w:val="18"/>
                <w:color w:val="auto"/>
              </w:rPr>
            </w:pPr>
          </w:p>
        </w:tc>
        <w:tc>
          <w:tcPr>
            <w:tcW w:w="900" w:type="dxa"/>
            <w:vAlign w:val="bottom"/>
          </w:tcPr>
          <w:p>
            <w:pPr>
              <w:jc w:val="right"/>
              <w:ind w:right="188"/>
              <w:spacing w:after="0"/>
              <w:rPr>
                <w:sz w:val="20"/>
                <w:szCs w:val="20"/>
                <w:color w:val="auto"/>
              </w:rPr>
            </w:pPr>
            <w:r>
              <w:rPr>
                <w:rFonts w:ascii="Arial" w:cs="Arial" w:eastAsia="Arial" w:hAnsi="Arial"/>
                <w:sz w:val="14"/>
                <w:szCs w:val="14"/>
                <w:color w:val="auto"/>
              </w:rPr>
              <w:t>105</w:t>
            </w:r>
          </w:p>
        </w:tc>
        <w:tc>
          <w:tcPr>
            <w:tcW w:w="520" w:type="dxa"/>
            <w:vAlign w:val="bottom"/>
          </w:tcPr>
          <w:p>
            <w:pPr>
              <w:spacing w:after="0"/>
              <w:rPr>
                <w:sz w:val="18"/>
                <w:szCs w:val="18"/>
                <w:color w:val="auto"/>
              </w:rPr>
            </w:pP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100</w:t>
            </w:r>
          </w:p>
        </w:tc>
      </w:tr>
      <w:tr>
        <w:trPr>
          <w:trHeight w:val="216"/>
        </w:trPr>
        <w:tc>
          <w:tcPr>
            <w:tcW w:w="320" w:type="dxa"/>
            <w:vAlign w:val="bottom"/>
          </w:tcPr>
          <w:p>
            <w:pPr>
              <w:spacing w:after="0"/>
              <w:rPr>
                <w:sz w:val="18"/>
                <w:szCs w:val="18"/>
                <w:color w:val="auto"/>
              </w:rPr>
            </w:pPr>
          </w:p>
        </w:tc>
        <w:tc>
          <w:tcPr>
            <w:tcW w:w="90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520" w:type="dxa"/>
            <w:vAlign w:val="bottom"/>
          </w:tcPr>
          <w:p>
            <w:pPr>
              <w:spacing w:after="0"/>
              <w:rPr>
                <w:sz w:val="18"/>
                <w:szCs w:val="18"/>
                <w:color w:val="auto"/>
              </w:rPr>
            </w:pP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62</w:t>
            </w:r>
          </w:p>
        </w:tc>
      </w:tr>
      <w:tr>
        <w:trPr>
          <w:trHeight w:val="219"/>
        </w:trPr>
        <w:tc>
          <w:tcPr>
            <w:tcW w:w="3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49</w:t>
            </w:r>
          </w:p>
        </w:tc>
        <w:tc>
          <w:tcPr>
            <w:tcW w:w="5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39</w:t>
            </w:r>
          </w:p>
        </w:tc>
      </w:tr>
      <w:tr>
        <w:trPr>
          <w:trHeight w:val="208"/>
        </w:trPr>
        <w:tc>
          <w:tcPr>
            <w:tcW w:w="3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1,406</w:t>
            </w:r>
          </w:p>
        </w:tc>
        <w:tc>
          <w:tcPr>
            <w:tcW w:w="5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658</w:t>
            </w:r>
          </w:p>
        </w:tc>
      </w:tr>
      <w:tr>
        <w:trPr>
          <w:trHeight w:val="638"/>
        </w:trPr>
        <w:tc>
          <w:tcPr>
            <w:tcW w:w="320" w:type="dxa"/>
            <w:vAlign w:val="bottom"/>
          </w:tcPr>
          <w:p>
            <w:pPr>
              <w:spacing w:after="0"/>
              <w:rPr>
                <w:sz w:val="24"/>
                <w:szCs w:val="24"/>
                <w:color w:val="auto"/>
              </w:rPr>
            </w:pPr>
          </w:p>
        </w:tc>
        <w:tc>
          <w:tcPr>
            <w:tcW w:w="900" w:type="dxa"/>
            <w:vAlign w:val="bottom"/>
          </w:tcPr>
          <w:p>
            <w:pPr>
              <w:jc w:val="right"/>
              <w:ind w:right="188"/>
              <w:spacing w:after="0"/>
              <w:rPr>
                <w:sz w:val="20"/>
                <w:szCs w:val="20"/>
                <w:color w:val="auto"/>
              </w:rPr>
            </w:pPr>
            <w:r>
              <w:rPr>
                <w:rFonts w:ascii="Arial" w:cs="Arial" w:eastAsia="Arial" w:hAnsi="Arial"/>
                <w:sz w:val="14"/>
                <w:szCs w:val="14"/>
                <w:color w:val="auto"/>
              </w:rPr>
              <w:t>8,816</w:t>
            </w:r>
          </w:p>
        </w:tc>
        <w:tc>
          <w:tcPr>
            <w:tcW w:w="520" w:type="dxa"/>
            <w:vAlign w:val="bottom"/>
          </w:tcPr>
          <w:p>
            <w:pPr>
              <w:spacing w:after="0"/>
              <w:rPr>
                <w:sz w:val="24"/>
                <w:szCs w:val="24"/>
                <w:color w:val="auto"/>
              </w:rPr>
            </w:pP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8,448</w:t>
            </w:r>
          </w:p>
        </w:tc>
      </w:tr>
      <w:tr>
        <w:trPr>
          <w:trHeight w:val="219"/>
        </w:trPr>
        <w:tc>
          <w:tcPr>
            <w:tcW w:w="3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(3,448 )</w:t>
            </w:r>
          </w:p>
        </w:tc>
        <w:tc>
          <w:tcPr>
            <w:tcW w:w="5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(3,292 )</w:t>
            </w:r>
          </w:p>
        </w:tc>
      </w:tr>
      <w:tr>
        <w:trPr>
          <w:trHeight w:val="208"/>
        </w:trPr>
        <w:tc>
          <w:tcPr>
            <w:tcW w:w="3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5,368</w:t>
            </w:r>
          </w:p>
        </w:tc>
        <w:tc>
          <w:tcPr>
            <w:tcW w:w="5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5,156</w:t>
            </w:r>
          </w:p>
        </w:tc>
      </w:tr>
      <w:tr>
        <w:trPr>
          <w:trHeight w:val="205"/>
        </w:trPr>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188"/>
              <w:spacing w:after="0"/>
              <w:rPr>
                <w:sz w:val="20"/>
                <w:szCs w:val="20"/>
                <w:color w:val="auto"/>
              </w:rPr>
            </w:pPr>
            <w:r>
              <w:rPr>
                <w:rFonts w:ascii="Arial" w:cs="Arial" w:eastAsia="Arial" w:hAnsi="Arial"/>
                <w:sz w:val="14"/>
                <w:szCs w:val="14"/>
                <w:color w:val="auto"/>
              </w:rPr>
              <w:t>7,907</w:t>
            </w:r>
          </w:p>
        </w:tc>
        <w:tc>
          <w:tcPr>
            <w:tcW w:w="5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6,802</w:t>
            </w:r>
          </w:p>
        </w:tc>
      </w:tr>
    </w:tbl>
    <w:p>
      <w:pPr>
        <w:spacing w:after="0" w:line="200" w:lineRule="exact"/>
        <w:rPr>
          <w:sz w:val="20"/>
          <w:szCs w:val="20"/>
          <w:color w:val="auto"/>
        </w:rPr>
      </w:pPr>
    </w:p>
    <w:p>
      <w:pPr>
        <w:sectPr>
          <w:pgSz w:w="11900" w:h="16838" w:orient="portrait"/>
          <w:cols w:equalWidth="0" w:num="2">
            <w:col w:w="6300" w:space="720"/>
            <w:col w:w="3199"/>
          </w:cols>
          <w:pgMar w:left="240" w:top="364" w:right="1440" w:bottom="1440" w:gutter="0" w:footer="0" w:header="0"/>
          <w:type w:val="continuous"/>
        </w:sectPr>
      </w:pPr>
    </w:p>
    <w:p>
      <w:pPr>
        <w:spacing w:after="0" w:line="99" w:lineRule="exact"/>
        <w:rPr>
          <w:sz w:val="20"/>
          <w:szCs w:val="20"/>
          <w:color w:val="auto"/>
        </w:rPr>
      </w:pPr>
    </w:p>
    <w:p>
      <w:pPr>
        <w:jc w:val="right"/>
        <w:ind w:right="5479"/>
        <w:spacing w:after="0"/>
        <w:rPr>
          <w:sz w:val="20"/>
          <w:szCs w:val="20"/>
          <w:color w:val="auto"/>
        </w:rPr>
      </w:pPr>
      <w:r>
        <w:rPr>
          <w:rFonts w:ascii="Arial" w:cs="Arial" w:eastAsia="Arial" w:hAnsi="Arial"/>
          <w:sz w:val="13"/>
          <w:szCs w:val="13"/>
          <w:i w:val="1"/>
          <w:iCs w:val="1"/>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4"/>
          <w:szCs w:val="14"/>
          <w:color w:val="auto"/>
        </w:rPr>
        <w:t>82</w:t>
      </w:r>
    </w:p>
    <w:p>
      <w:pPr>
        <w:sectPr>
          <w:pgSz w:w="11900" w:h="16838" w:orient="portrait"/>
          <w:cols w:equalWidth="0" w:num="1">
            <w:col w:w="10219"/>
          </w:cols>
          <w:pgMar w:left="240" w:top="364" w:right="1440" w:bottom="1440" w:gutter="0" w:footer="0" w:header="0"/>
          <w:type w:val="continuous"/>
        </w:sectPr>
      </w:pPr>
    </w:p>
    <w:bookmarkStart w:id="222" w:name="page223"/>
    <w:bookmarkEnd w:id="222"/>
    <w:p>
      <w:pPr>
        <w:ind w:left="2040"/>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1438910</wp:posOffset>
            </wp:positionH>
            <wp:positionV relativeFrom="page">
              <wp:posOffset>226695</wp:posOffset>
            </wp:positionV>
            <wp:extent cx="4683760" cy="37401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4683760" cy="374015"/>
                    </a:xfrm>
                    <a:prstGeom prst="rect">
                      <a:avLst/>
                    </a:prstGeom>
                    <a:noFill/>
                  </pic:spPr>
                </pic:pic>
              </a:graphicData>
            </a:graphic>
          </wp:anchor>
        </w:drawing>
        <w:t>PACIFIC ENTERPRISES AND SUBSIDIARIES</w:t>
      </w:r>
    </w:p>
    <w:p>
      <w:pPr>
        <w:spacing w:after="0" w:line="31" w:lineRule="exact"/>
        <w:rPr>
          <w:sz w:val="20"/>
          <w:szCs w:val="20"/>
          <w:color w:val="auto"/>
        </w:rPr>
      </w:pPr>
    </w:p>
    <w:p>
      <w:pPr>
        <w:ind w:left="2040"/>
        <w:spacing w:after="0"/>
        <w:rPr>
          <w:sz w:val="20"/>
          <w:szCs w:val="20"/>
          <w:color w:val="auto"/>
        </w:rPr>
      </w:pPr>
      <w:r>
        <w:rPr>
          <w:rFonts w:ascii="Arial" w:cs="Arial" w:eastAsia="Arial" w:hAnsi="Arial"/>
          <w:sz w:val="14"/>
          <w:szCs w:val="14"/>
          <w:b w:val="1"/>
          <w:bCs w:val="1"/>
          <w:color w:val="auto"/>
        </w:rPr>
        <w:t>CONSOLIDATED BALANCE SHEETS</w:t>
      </w:r>
    </w:p>
    <w:p>
      <w:pPr>
        <w:spacing w:after="0" w:line="35" w:lineRule="exact"/>
        <w:rPr>
          <w:sz w:val="20"/>
          <w:szCs w:val="20"/>
          <w:color w:val="auto"/>
        </w:rPr>
      </w:pPr>
    </w:p>
    <w:p>
      <w:pPr>
        <w:ind w:left="2040"/>
        <w:spacing w:after="0"/>
        <w:rPr>
          <w:sz w:val="20"/>
          <w:szCs w:val="20"/>
          <w:color w:val="auto"/>
        </w:rPr>
      </w:pPr>
      <w:r>
        <w:rPr>
          <w:rFonts w:ascii="Arial" w:cs="Arial" w:eastAsia="Arial" w:hAnsi="Arial"/>
          <w:sz w:val="14"/>
          <w:szCs w:val="14"/>
          <w:i w:val="1"/>
          <w:iCs w:val="1"/>
          <w:color w:val="auto"/>
        </w:rPr>
        <w:t>(Dollars in millions)</w:t>
      </w:r>
    </w:p>
    <w:p>
      <w:pPr>
        <w:spacing w:after="0" w:line="84" w:lineRule="exact"/>
        <w:rPr>
          <w:sz w:val="20"/>
          <w:szCs w:val="20"/>
          <w:color w:val="auto"/>
        </w:rPr>
      </w:pPr>
    </w:p>
    <w:tbl>
      <w:tblPr>
        <w:tblLayout w:type="fixed"/>
        <w:tblInd w:w="2020" w:type="dxa"/>
        <w:tblCellMar>
          <w:top w:w="0" w:type="dxa"/>
          <w:left w:w="0" w:type="dxa"/>
          <w:bottom w:w="0" w:type="dxa"/>
          <w:right w:w="0" w:type="dxa"/>
        </w:tblCellMar>
      </w:tblPr>
      <w:tr>
        <w:trPr>
          <w:trHeight w:val="154"/>
        </w:trPr>
        <w:tc>
          <w:tcPr>
            <w:tcW w:w="4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jc w:val="right"/>
              <w:ind w:right="248"/>
              <w:spacing w:after="0"/>
              <w:rPr>
                <w:sz w:val="20"/>
                <w:szCs w:val="20"/>
                <w:color w:val="auto"/>
              </w:rPr>
            </w:pPr>
            <w:r>
              <w:rPr>
                <w:rFonts w:ascii="Arial" w:cs="Arial" w:eastAsia="Arial" w:hAnsi="Arial"/>
                <w:sz w:val="13"/>
                <w:szCs w:val="13"/>
                <w:color w:val="auto"/>
                <w:w w:val="97"/>
              </w:rPr>
              <w:t>December 31,</w:t>
            </w:r>
          </w:p>
        </w:tc>
        <w:tc>
          <w:tcPr>
            <w:tcW w:w="320" w:type="dxa"/>
            <w:vAlign w:val="bottom"/>
          </w:tcPr>
          <w:p>
            <w:pPr>
              <w:spacing w:after="0"/>
              <w:rPr>
                <w:sz w:val="13"/>
                <w:szCs w:val="13"/>
                <w:color w:val="auto"/>
              </w:rPr>
            </w:pPr>
          </w:p>
        </w:tc>
        <w:tc>
          <w:tcPr>
            <w:tcW w:w="940" w:type="dxa"/>
            <w:vAlign w:val="bottom"/>
          </w:tcPr>
          <w:p>
            <w:pPr>
              <w:jc w:val="right"/>
              <w:ind w:right="48"/>
              <w:spacing w:after="0"/>
              <w:rPr>
                <w:sz w:val="20"/>
                <w:szCs w:val="20"/>
                <w:color w:val="auto"/>
              </w:rPr>
            </w:pPr>
            <w:r>
              <w:rPr>
                <w:rFonts w:ascii="Arial" w:cs="Arial" w:eastAsia="Arial" w:hAnsi="Arial"/>
                <w:sz w:val="13"/>
                <w:szCs w:val="13"/>
                <w:color w:val="auto"/>
                <w:w w:val="97"/>
              </w:rPr>
              <w:t>December 31,</w:t>
            </w:r>
          </w:p>
        </w:tc>
      </w:tr>
      <w:tr>
        <w:trPr>
          <w:trHeight w:val="221"/>
        </w:trPr>
        <w:tc>
          <w:tcPr>
            <w:tcW w:w="48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508"/>
              <w:spacing w:after="0"/>
              <w:rPr>
                <w:sz w:val="20"/>
                <w:szCs w:val="20"/>
                <w:color w:val="auto"/>
              </w:rPr>
            </w:pPr>
            <w:r>
              <w:rPr>
                <w:rFonts w:ascii="Arial" w:cs="Arial" w:eastAsia="Arial" w:hAnsi="Arial"/>
                <w:sz w:val="13"/>
                <w:szCs w:val="13"/>
                <w:color w:val="auto"/>
              </w:rPr>
              <w:t>2008</w:t>
            </w:r>
          </w:p>
        </w:tc>
        <w:tc>
          <w:tcPr>
            <w:tcW w:w="3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08"/>
              <w:spacing w:after="0"/>
              <w:rPr>
                <w:sz w:val="20"/>
                <w:szCs w:val="20"/>
                <w:color w:val="auto"/>
              </w:rPr>
            </w:pPr>
            <w:r>
              <w:rPr>
                <w:rFonts w:ascii="Arial" w:cs="Arial" w:eastAsia="Arial" w:hAnsi="Arial"/>
                <w:sz w:val="13"/>
                <w:szCs w:val="13"/>
                <w:color w:val="auto"/>
              </w:rPr>
              <w:t>2007</w:t>
            </w:r>
          </w:p>
        </w:tc>
      </w:tr>
      <w:tr>
        <w:trPr>
          <w:trHeight w:val="423"/>
        </w:trPr>
        <w:tc>
          <w:tcPr>
            <w:tcW w:w="4860" w:type="dxa"/>
            <w:vAlign w:val="bottom"/>
          </w:tcPr>
          <w:p>
            <w:pPr>
              <w:ind w:left="20"/>
              <w:spacing w:after="0"/>
              <w:rPr>
                <w:sz w:val="20"/>
                <w:szCs w:val="20"/>
                <w:color w:val="auto"/>
              </w:rPr>
            </w:pPr>
            <w:r>
              <w:rPr>
                <w:rFonts w:ascii="Arial" w:cs="Arial" w:eastAsia="Arial" w:hAnsi="Arial"/>
                <w:sz w:val="14"/>
                <w:szCs w:val="14"/>
                <w:color w:val="auto"/>
              </w:rPr>
              <w:t>LIABILITIES AND SHAREHOLDERS' EQUITY</w:t>
            </w: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16"/>
        </w:trPr>
        <w:tc>
          <w:tcPr>
            <w:tcW w:w="4860" w:type="dxa"/>
            <w:vAlign w:val="bottom"/>
          </w:tcPr>
          <w:p>
            <w:pPr>
              <w:ind w:left="20"/>
              <w:spacing w:after="0"/>
              <w:rPr>
                <w:sz w:val="20"/>
                <w:szCs w:val="20"/>
                <w:color w:val="auto"/>
              </w:rPr>
            </w:pPr>
            <w:r>
              <w:rPr>
                <w:rFonts w:ascii="Arial" w:cs="Arial" w:eastAsia="Arial" w:hAnsi="Arial"/>
                <w:sz w:val="14"/>
                <w:szCs w:val="14"/>
                <w:color w:val="auto"/>
              </w:rPr>
              <w:t>Current liabilities:</w:t>
            </w: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6"/>
        </w:trPr>
        <w:tc>
          <w:tcPr>
            <w:tcW w:w="4860" w:type="dxa"/>
            <w:vAlign w:val="bottom"/>
          </w:tcPr>
          <w:p>
            <w:pPr>
              <w:ind w:left="200"/>
              <w:spacing w:after="0"/>
              <w:rPr>
                <w:sz w:val="20"/>
                <w:szCs w:val="20"/>
                <w:color w:val="auto"/>
              </w:rPr>
            </w:pPr>
            <w:r>
              <w:rPr>
                <w:rFonts w:ascii="Arial" w:cs="Arial" w:eastAsia="Arial" w:hAnsi="Arial"/>
                <w:sz w:val="14"/>
                <w:szCs w:val="14"/>
                <w:color w:val="auto"/>
              </w:rPr>
              <w:t>Accounts payable – trade</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208"/>
              <w:spacing w:after="0"/>
              <w:rPr>
                <w:sz w:val="20"/>
                <w:szCs w:val="20"/>
                <w:color w:val="auto"/>
              </w:rPr>
            </w:pPr>
            <w:r>
              <w:rPr>
                <w:rFonts w:ascii="Arial" w:cs="Arial" w:eastAsia="Arial" w:hAnsi="Arial"/>
                <w:sz w:val="14"/>
                <w:szCs w:val="14"/>
                <w:color w:val="auto"/>
              </w:rPr>
              <w:t>257</w:t>
            </w:r>
          </w:p>
        </w:tc>
        <w:tc>
          <w:tcPr>
            <w:tcW w:w="320" w:type="dxa"/>
            <w:vAlign w:val="bottom"/>
          </w:tcPr>
          <w:p>
            <w:pPr>
              <w:jc w:val="right"/>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300</w:t>
            </w:r>
          </w:p>
        </w:tc>
      </w:tr>
      <w:tr>
        <w:trPr>
          <w:trHeight w:val="216"/>
        </w:trPr>
        <w:tc>
          <w:tcPr>
            <w:tcW w:w="4860" w:type="dxa"/>
            <w:vAlign w:val="bottom"/>
          </w:tcPr>
          <w:p>
            <w:pPr>
              <w:ind w:left="200"/>
              <w:spacing w:after="0"/>
              <w:rPr>
                <w:sz w:val="20"/>
                <w:szCs w:val="20"/>
                <w:color w:val="auto"/>
              </w:rPr>
            </w:pPr>
            <w:r>
              <w:rPr>
                <w:rFonts w:ascii="Arial" w:cs="Arial" w:eastAsia="Arial" w:hAnsi="Arial"/>
                <w:sz w:val="14"/>
                <w:szCs w:val="14"/>
                <w:color w:val="auto"/>
              </w:rPr>
              <w:t>Accounts payable – other</w:t>
            </w:r>
          </w:p>
        </w:tc>
        <w:tc>
          <w:tcPr>
            <w:tcW w:w="120" w:type="dxa"/>
            <w:vAlign w:val="bottom"/>
          </w:tcPr>
          <w:p>
            <w:pPr>
              <w:spacing w:after="0"/>
              <w:rPr>
                <w:sz w:val="18"/>
                <w:szCs w:val="18"/>
                <w:color w:val="auto"/>
              </w:rPr>
            </w:pPr>
          </w:p>
        </w:tc>
        <w:tc>
          <w:tcPr>
            <w:tcW w:w="1140" w:type="dxa"/>
            <w:vAlign w:val="bottom"/>
          </w:tcPr>
          <w:p>
            <w:pPr>
              <w:jc w:val="right"/>
              <w:ind w:right="208"/>
              <w:spacing w:after="0"/>
              <w:rPr>
                <w:sz w:val="20"/>
                <w:szCs w:val="20"/>
                <w:color w:val="auto"/>
              </w:rPr>
            </w:pPr>
            <w:r>
              <w:rPr>
                <w:rFonts w:ascii="Arial" w:cs="Arial" w:eastAsia="Arial" w:hAnsi="Arial"/>
                <w:sz w:val="14"/>
                <w:szCs w:val="14"/>
                <w:color w:val="auto"/>
              </w:rPr>
              <w:t>163</w:t>
            </w:r>
          </w:p>
        </w:tc>
        <w:tc>
          <w:tcPr>
            <w:tcW w:w="320" w:type="dxa"/>
            <w:vAlign w:val="bottom"/>
          </w:tcPr>
          <w:p>
            <w:pPr>
              <w:spacing w:after="0"/>
              <w:rPr>
                <w:sz w:val="18"/>
                <w:szCs w:val="18"/>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130</w:t>
            </w:r>
          </w:p>
        </w:tc>
      </w:tr>
      <w:tr>
        <w:trPr>
          <w:trHeight w:val="216"/>
        </w:trPr>
        <w:tc>
          <w:tcPr>
            <w:tcW w:w="4860" w:type="dxa"/>
            <w:vAlign w:val="bottom"/>
          </w:tcPr>
          <w:p>
            <w:pPr>
              <w:ind w:left="200"/>
              <w:spacing w:after="0"/>
              <w:rPr>
                <w:sz w:val="20"/>
                <w:szCs w:val="20"/>
                <w:color w:val="auto"/>
              </w:rPr>
            </w:pPr>
            <w:r>
              <w:rPr>
                <w:rFonts w:ascii="Arial" w:cs="Arial" w:eastAsia="Arial" w:hAnsi="Arial"/>
                <w:sz w:val="14"/>
                <w:szCs w:val="14"/>
                <w:color w:val="auto"/>
              </w:rPr>
              <w:t>Due to unconsolidated affiliates</w:t>
            </w:r>
          </w:p>
        </w:tc>
        <w:tc>
          <w:tcPr>
            <w:tcW w:w="120" w:type="dxa"/>
            <w:vAlign w:val="bottom"/>
          </w:tcPr>
          <w:p>
            <w:pPr>
              <w:spacing w:after="0"/>
              <w:rPr>
                <w:sz w:val="18"/>
                <w:szCs w:val="18"/>
                <w:color w:val="auto"/>
              </w:rPr>
            </w:pPr>
          </w:p>
        </w:tc>
        <w:tc>
          <w:tcPr>
            <w:tcW w:w="1140" w:type="dxa"/>
            <w:vAlign w:val="bottom"/>
          </w:tcPr>
          <w:p>
            <w:pPr>
              <w:jc w:val="right"/>
              <w:ind w:right="208"/>
              <w:spacing w:after="0"/>
              <w:rPr>
                <w:sz w:val="20"/>
                <w:szCs w:val="20"/>
                <w:color w:val="auto"/>
              </w:rPr>
            </w:pPr>
            <w:r>
              <w:rPr>
                <w:rFonts w:ascii="Arial" w:cs="Arial" w:eastAsia="Arial" w:hAnsi="Arial"/>
                <w:sz w:val="14"/>
                <w:szCs w:val="14"/>
                <w:color w:val="auto"/>
              </w:rPr>
              <w:t>106</w:t>
            </w:r>
          </w:p>
        </w:tc>
        <w:tc>
          <w:tcPr>
            <w:tcW w:w="320" w:type="dxa"/>
            <w:vAlign w:val="bottom"/>
          </w:tcPr>
          <w:p>
            <w:pPr>
              <w:spacing w:after="0"/>
              <w:rPr>
                <w:sz w:val="18"/>
                <w:szCs w:val="18"/>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125</w:t>
            </w:r>
          </w:p>
        </w:tc>
      </w:tr>
      <w:tr>
        <w:trPr>
          <w:trHeight w:val="216"/>
        </w:trPr>
        <w:tc>
          <w:tcPr>
            <w:tcW w:w="4860" w:type="dxa"/>
            <w:vAlign w:val="bottom"/>
          </w:tcPr>
          <w:p>
            <w:pPr>
              <w:ind w:left="200"/>
              <w:spacing w:after="0"/>
              <w:rPr>
                <w:sz w:val="20"/>
                <w:szCs w:val="20"/>
                <w:color w:val="auto"/>
              </w:rPr>
            </w:pPr>
            <w:r>
              <w:rPr>
                <w:rFonts w:ascii="Arial" w:cs="Arial" w:eastAsia="Arial" w:hAnsi="Arial"/>
                <w:sz w:val="14"/>
                <w:szCs w:val="14"/>
                <w:color w:val="auto"/>
              </w:rPr>
              <w:t>Deferred income taxes</w:t>
            </w:r>
          </w:p>
        </w:tc>
        <w:tc>
          <w:tcPr>
            <w:tcW w:w="120" w:type="dxa"/>
            <w:vAlign w:val="bottom"/>
          </w:tcPr>
          <w:p>
            <w:pPr>
              <w:spacing w:after="0"/>
              <w:rPr>
                <w:sz w:val="18"/>
                <w:szCs w:val="18"/>
                <w:color w:val="auto"/>
              </w:rPr>
            </w:pPr>
          </w:p>
        </w:tc>
        <w:tc>
          <w:tcPr>
            <w:tcW w:w="1140" w:type="dxa"/>
            <w:vAlign w:val="bottom"/>
          </w:tcPr>
          <w:p>
            <w:pPr>
              <w:jc w:val="right"/>
              <w:ind w:right="208"/>
              <w:spacing w:after="0"/>
              <w:rPr>
                <w:sz w:val="20"/>
                <w:szCs w:val="20"/>
                <w:color w:val="auto"/>
              </w:rPr>
            </w:pPr>
            <w:r>
              <w:rPr>
                <w:rFonts w:ascii="Arial" w:cs="Arial" w:eastAsia="Arial" w:hAnsi="Arial"/>
                <w:sz w:val="14"/>
                <w:szCs w:val="14"/>
                <w:color w:val="auto"/>
              </w:rPr>
              <w:t>6</w:t>
            </w:r>
          </w:p>
        </w:tc>
        <w:tc>
          <w:tcPr>
            <w:tcW w:w="320" w:type="dxa"/>
            <w:vAlign w:val="bottom"/>
          </w:tcPr>
          <w:p>
            <w:pPr>
              <w:spacing w:after="0"/>
              <w:rPr>
                <w:sz w:val="18"/>
                <w:szCs w:val="18"/>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16"/>
        </w:trPr>
        <w:tc>
          <w:tcPr>
            <w:tcW w:w="4860" w:type="dxa"/>
            <w:vAlign w:val="bottom"/>
          </w:tcPr>
          <w:p>
            <w:pPr>
              <w:ind w:left="200"/>
              <w:spacing w:after="0"/>
              <w:rPr>
                <w:sz w:val="20"/>
                <w:szCs w:val="20"/>
                <w:color w:val="auto"/>
              </w:rPr>
            </w:pPr>
            <w:r>
              <w:rPr>
                <w:rFonts w:ascii="Arial" w:cs="Arial" w:eastAsia="Arial" w:hAnsi="Arial"/>
                <w:sz w:val="14"/>
                <w:szCs w:val="14"/>
                <w:color w:val="auto"/>
              </w:rPr>
              <w:t>Regulatory balancing accounts, net</w:t>
            </w:r>
          </w:p>
        </w:tc>
        <w:tc>
          <w:tcPr>
            <w:tcW w:w="120" w:type="dxa"/>
            <w:vAlign w:val="bottom"/>
          </w:tcPr>
          <w:p>
            <w:pPr>
              <w:spacing w:after="0"/>
              <w:rPr>
                <w:sz w:val="18"/>
                <w:szCs w:val="18"/>
                <w:color w:val="auto"/>
              </w:rPr>
            </w:pPr>
          </w:p>
        </w:tc>
        <w:tc>
          <w:tcPr>
            <w:tcW w:w="1140" w:type="dxa"/>
            <w:vAlign w:val="bottom"/>
          </w:tcPr>
          <w:p>
            <w:pPr>
              <w:jc w:val="right"/>
              <w:ind w:right="208"/>
              <w:spacing w:after="0"/>
              <w:rPr>
                <w:sz w:val="20"/>
                <w:szCs w:val="20"/>
                <w:color w:val="auto"/>
              </w:rPr>
            </w:pPr>
            <w:r>
              <w:rPr>
                <w:rFonts w:ascii="Arial" w:cs="Arial" w:eastAsia="Arial" w:hAnsi="Arial"/>
                <w:sz w:val="14"/>
                <w:szCs w:val="14"/>
                <w:color w:val="auto"/>
              </w:rPr>
              <w:t>221</w:t>
            </w:r>
          </w:p>
        </w:tc>
        <w:tc>
          <w:tcPr>
            <w:tcW w:w="320" w:type="dxa"/>
            <w:vAlign w:val="bottom"/>
          </w:tcPr>
          <w:p>
            <w:pPr>
              <w:spacing w:after="0"/>
              <w:rPr>
                <w:sz w:val="18"/>
                <w:szCs w:val="18"/>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183</w:t>
            </w:r>
          </w:p>
        </w:tc>
      </w:tr>
      <w:tr>
        <w:trPr>
          <w:trHeight w:val="216"/>
        </w:trPr>
        <w:tc>
          <w:tcPr>
            <w:tcW w:w="4860" w:type="dxa"/>
            <w:vAlign w:val="bottom"/>
          </w:tcPr>
          <w:p>
            <w:pPr>
              <w:ind w:left="200"/>
              <w:spacing w:after="0"/>
              <w:rPr>
                <w:sz w:val="20"/>
                <w:szCs w:val="20"/>
                <w:color w:val="auto"/>
              </w:rPr>
            </w:pPr>
            <w:r>
              <w:rPr>
                <w:rFonts w:ascii="Arial" w:cs="Arial" w:eastAsia="Arial" w:hAnsi="Arial"/>
                <w:sz w:val="14"/>
                <w:szCs w:val="14"/>
                <w:color w:val="auto"/>
              </w:rPr>
              <w:t>Customer deposits</w:t>
            </w:r>
          </w:p>
        </w:tc>
        <w:tc>
          <w:tcPr>
            <w:tcW w:w="120" w:type="dxa"/>
            <w:vAlign w:val="bottom"/>
          </w:tcPr>
          <w:p>
            <w:pPr>
              <w:spacing w:after="0"/>
              <w:rPr>
                <w:sz w:val="18"/>
                <w:szCs w:val="18"/>
                <w:color w:val="auto"/>
              </w:rPr>
            </w:pPr>
          </w:p>
        </w:tc>
        <w:tc>
          <w:tcPr>
            <w:tcW w:w="1140" w:type="dxa"/>
            <w:vAlign w:val="bottom"/>
          </w:tcPr>
          <w:p>
            <w:pPr>
              <w:jc w:val="right"/>
              <w:ind w:right="208"/>
              <w:spacing w:after="0"/>
              <w:rPr>
                <w:sz w:val="20"/>
                <w:szCs w:val="20"/>
                <w:color w:val="auto"/>
              </w:rPr>
            </w:pPr>
            <w:r>
              <w:rPr>
                <w:rFonts w:ascii="Arial" w:cs="Arial" w:eastAsia="Arial" w:hAnsi="Arial"/>
                <w:sz w:val="14"/>
                <w:szCs w:val="14"/>
                <w:color w:val="auto"/>
              </w:rPr>
              <w:t>114</w:t>
            </w:r>
          </w:p>
        </w:tc>
        <w:tc>
          <w:tcPr>
            <w:tcW w:w="320" w:type="dxa"/>
            <w:vAlign w:val="bottom"/>
          </w:tcPr>
          <w:p>
            <w:pPr>
              <w:spacing w:after="0"/>
              <w:rPr>
                <w:sz w:val="18"/>
                <w:szCs w:val="18"/>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90</w:t>
            </w:r>
          </w:p>
        </w:tc>
      </w:tr>
      <w:tr>
        <w:trPr>
          <w:trHeight w:val="216"/>
        </w:trPr>
        <w:tc>
          <w:tcPr>
            <w:tcW w:w="4860" w:type="dxa"/>
            <w:vAlign w:val="bottom"/>
          </w:tcPr>
          <w:p>
            <w:pPr>
              <w:ind w:left="200"/>
              <w:spacing w:after="0"/>
              <w:rPr>
                <w:sz w:val="20"/>
                <w:szCs w:val="20"/>
                <w:color w:val="auto"/>
              </w:rPr>
            </w:pPr>
            <w:r>
              <w:rPr>
                <w:rFonts w:ascii="Arial" w:cs="Arial" w:eastAsia="Arial" w:hAnsi="Arial"/>
                <w:sz w:val="14"/>
                <w:szCs w:val="14"/>
                <w:color w:val="auto"/>
              </w:rPr>
              <w:t>Accrued compensation and benefits</w:t>
            </w:r>
          </w:p>
        </w:tc>
        <w:tc>
          <w:tcPr>
            <w:tcW w:w="120" w:type="dxa"/>
            <w:vAlign w:val="bottom"/>
          </w:tcPr>
          <w:p>
            <w:pPr>
              <w:spacing w:after="0"/>
              <w:rPr>
                <w:sz w:val="18"/>
                <w:szCs w:val="18"/>
                <w:color w:val="auto"/>
              </w:rPr>
            </w:pPr>
          </w:p>
        </w:tc>
        <w:tc>
          <w:tcPr>
            <w:tcW w:w="1140" w:type="dxa"/>
            <w:vAlign w:val="bottom"/>
          </w:tcPr>
          <w:p>
            <w:pPr>
              <w:jc w:val="right"/>
              <w:ind w:right="208"/>
              <w:spacing w:after="0"/>
              <w:rPr>
                <w:sz w:val="20"/>
                <w:szCs w:val="20"/>
                <w:color w:val="auto"/>
              </w:rPr>
            </w:pPr>
            <w:r>
              <w:rPr>
                <w:rFonts w:ascii="Arial" w:cs="Arial" w:eastAsia="Arial" w:hAnsi="Arial"/>
                <w:sz w:val="14"/>
                <w:szCs w:val="14"/>
                <w:color w:val="auto"/>
              </w:rPr>
              <w:t>92</w:t>
            </w:r>
          </w:p>
        </w:tc>
        <w:tc>
          <w:tcPr>
            <w:tcW w:w="320" w:type="dxa"/>
            <w:vAlign w:val="bottom"/>
          </w:tcPr>
          <w:p>
            <w:pPr>
              <w:spacing w:after="0"/>
              <w:rPr>
                <w:sz w:val="18"/>
                <w:szCs w:val="18"/>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87</w:t>
            </w:r>
          </w:p>
        </w:tc>
      </w:tr>
      <w:tr>
        <w:trPr>
          <w:trHeight w:val="216"/>
        </w:trPr>
        <w:tc>
          <w:tcPr>
            <w:tcW w:w="4860" w:type="dxa"/>
            <w:vAlign w:val="bottom"/>
          </w:tcPr>
          <w:p>
            <w:pPr>
              <w:ind w:left="200"/>
              <w:spacing w:after="0"/>
              <w:rPr>
                <w:sz w:val="20"/>
                <w:szCs w:val="20"/>
                <w:color w:val="auto"/>
              </w:rPr>
            </w:pPr>
            <w:r>
              <w:rPr>
                <w:rFonts w:ascii="Arial" w:cs="Arial" w:eastAsia="Arial" w:hAnsi="Arial"/>
                <w:sz w:val="14"/>
                <w:szCs w:val="14"/>
                <w:color w:val="auto"/>
              </w:rPr>
              <w:t>Current portion of long-term debt</w:t>
            </w:r>
          </w:p>
        </w:tc>
        <w:tc>
          <w:tcPr>
            <w:tcW w:w="120" w:type="dxa"/>
            <w:vAlign w:val="bottom"/>
          </w:tcPr>
          <w:p>
            <w:pPr>
              <w:spacing w:after="0"/>
              <w:rPr>
                <w:sz w:val="18"/>
                <w:szCs w:val="18"/>
                <w:color w:val="auto"/>
              </w:rPr>
            </w:pPr>
          </w:p>
        </w:tc>
        <w:tc>
          <w:tcPr>
            <w:tcW w:w="1140" w:type="dxa"/>
            <w:vAlign w:val="bottom"/>
          </w:tcPr>
          <w:p>
            <w:pPr>
              <w:jc w:val="right"/>
              <w:ind w:right="208"/>
              <w:spacing w:after="0"/>
              <w:rPr>
                <w:sz w:val="20"/>
                <w:szCs w:val="20"/>
                <w:color w:val="auto"/>
              </w:rPr>
            </w:pPr>
            <w:r>
              <w:rPr>
                <w:rFonts w:ascii="Arial" w:cs="Arial" w:eastAsia="Arial" w:hAnsi="Arial"/>
                <w:sz w:val="14"/>
                <w:szCs w:val="14"/>
                <w:color w:val="auto"/>
              </w:rPr>
              <w:t>100</w:t>
            </w:r>
          </w:p>
        </w:tc>
        <w:tc>
          <w:tcPr>
            <w:tcW w:w="320" w:type="dxa"/>
            <w:vAlign w:val="bottom"/>
          </w:tcPr>
          <w:p>
            <w:pPr>
              <w:spacing w:after="0"/>
              <w:rPr>
                <w:sz w:val="18"/>
                <w:szCs w:val="18"/>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22"/>
        </w:trPr>
        <w:tc>
          <w:tcPr>
            <w:tcW w:w="4860" w:type="dxa"/>
            <w:vAlign w:val="bottom"/>
          </w:tcPr>
          <w:p>
            <w:pPr>
              <w:ind w:left="200"/>
              <w:spacing w:after="0"/>
              <w:rPr>
                <w:sz w:val="20"/>
                <w:szCs w:val="20"/>
                <w:color w:val="auto"/>
              </w:rPr>
            </w:pPr>
            <w:r>
              <w:rPr>
                <w:rFonts w:ascii="Arial" w:cs="Arial" w:eastAsia="Arial" w:hAnsi="Arial"/>
                <w:sz w:val="14"/>
                <w:szCs w:val="14"/>
                <w:color w:val="auto"/>
              </w:rPr>
              <w:t>Other</w:t>
            </w: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213</w:t>
            </w:r>
          </w:p>
        </w:tc>
        <w:tc>
          <w:tcPr>
            <w:tcW w:w="3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223</w:t>
            </w:r>
          </w:p>
        </w:tc>
      </w:tr>
      <w:tr>
        <w:trPr>
          <w:trHeight w:val="208"/>
        </w:trPr>
        <w:tc>
          <w:tcPr>
            <w:tcW w:w="4860" w:type="dxa"/>
            <w:vAlign w:val="bottom"/>
          </w:tcPr>
          <w:p>
            <w:pPr>
              <w:ind w:left="380"/>
              <w:spacing w:after="0"/>
              <w:rPr>
                <w:sz w:val="20"/>
                <w:szCs w:val="20"/>
                <w:color w:val="auto"/>
              </w:rPr>
            </w:pPr>
            <w:r>
              <w:rPr>
                <w:rFonts w:ascii="Arial" w:cs="Arial" w:eastAsia="Arial" w:hAnsi="Arial"/>
                <w:sz w:val="14"/>
                <w:szCs w:val="14"/>
                <w:color w:val="auto"/>
              </w:rPr>
              <w:t>Total current liabilities</w:t>
            </w: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1,272</w:t>
            </w:r>
          </w:p>
        </w:tc>
        <w:tc>
          <w:tcPr>
            <w:tcW w:w="3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1,138</w:t>
            </w:r>
          </w:p>
        </w:tc>
      </w:tr>
      <w:tr>
        <w:trPr>
          <w:trHeight w:val="424"/>
        </w:trPr>
        <w:tc>
          <w:tcPr>
            <w:tcW w:w="4860" w:type="dxa"/>
            <w:vAlign w:val="bottom"/>
          </w:tcPr>
          <w:p>
            <w:pPr>
              <w:ind w:left="20"/>
              <w:spacing w:after="0"/>
              <w:rPr>
                <w:sz w:val="20"/>
                <w:szCs w:val="20"/>
                <w:color w:val="auto"/>
              </w:rPr>
            </w:pPr>
            <w:r>
              <w:rPr>
                <w:rFonts w:ascii="Arial" w:cs="Arial" w:eastAsia="Arial" w:hAnsi="Arial"/>
                <w:sz w:val="14"/>
                <w:szCs w:val="14"/>
                <w:color w:val="auto"/>
              </w:rPr>
              <w:t>Long-term debt</w:t>
            </w:r>
          </w:p>
        </w:tc>
        <w:tc>
          <w:tcPr>
            <w:tcW w:w="1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1,270</w:t>
            </w:r>
          </w:p>
        </w:tc>
        <w:tc>
          <w:tcPr>
            <w:tcW w:w="3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1,113</w:t>
            </w:r>
          </w:p>
        </w:tc>
      </w:tr>
      <w:tr>
        <w:trPr>
          <w:trHeight w:val="418"/>
        </w:trPr>
        <w:tc>
          <w:tcPr>
            <w:tcW w:w="4860" w:type="dxa"/>
            <w:vAlign w:val="bottom"/>
          </w:tcPr>
          <w:p>
            <w:pPr>
              <w:ind w:left="20"/>
              <w:spacing w:after="0"/>
              <w:rPr>
                <w:sz w:val="20"/>
                <w:szCs w:val="20"/>
                <w:color w:val="auto"/>
              </w:rPr>
            </w:pPr>
            <w:r>
              <w:rPr>
                <w:rFonts w:ascii="Arial" w:cs="Arial" w:eastAsia="Arial" w:hAnsi="Arial"/>
                <w:sz w:val="14"/>
                <w:szCs w:val="14"/>
                <w:color w:val="auto"/>
              </w:rPr>
              <w:t>Deferred credits and other liabilities:</w:t>
            </w: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16"/>
        </w:trPr>
        <w:tc>
          <w:tcPr>
            <w:tcW w:w="4860" w:type="dxa"/>
            <w:vAlign w:val="bottom"/>
          </w:tcPr>
          <w:p>
            <w:pPr>
              <w:ind w:left="200"/>
              <w:spacing w:after="0"/>
              <w:rPr>
                <w:sz w:val="20"/>
                <w:szCs w:val="20"/>
                <w:color w:val="auto"/>
              </w:rPr>
            </w:pPr>
            <w:r>
              <w:rPr>
                <w:rFonts w:ascii="Arial" w:cs="Arial" w:eastAsia="Arial" w:hAnsi="Arial"/>
                <w:sz w:val="14"/>
                <w:szCs w:val="14"/>
                <w:color w:val="auto"/>
              </w:rPr>
              <w:t>Customer advances for construction</w:t>
            </w:r>
          </w:p>
        </w:tc>
        <w:tc>
          <w:tcPr>
            <w:tcW w:w="120" w:type="dxa"/>
            <w:vAlign w:val="bottom"/>
          </w:tcPr>
          <w:p>
            <w:pPr>
              <w:spacing w:after="0"/>
              <w:rPr>
                <w:sz w:val="18"/>
                <w:szCs w:val="18"/>
                <w:color w:val="auto"/>
              </w:rPr>
            </w:pPr>
          </w:p>
        </w:tc>
        <w:tc>
          <w:tcPr>
            <w:tcW w:w="1140" w:type="dxa"/>
            <w:vAlign w:val="bottom"/>
          </w:tcPr>
          <w:p>
            <w:pPr>
              <w:jc w:val="right"/>
              <w:ind w:right="208"/>
              <w:spacing w:after="0"/>
              <w:rPr>
                <w:sz w:val="20"/>
                <w:szCs w:val="20"/>
                <w:color w:val="auto"/>
              </w:rPr>
            </w:pPr>
            <w:r>
              <w:rPr>
                <w:rFonts w:ascii="Arial" w:cs="Arial" w:eastAsia="Arial" w:hAnsi="Arial"/>
                <w:sz w:val="14"/>
                <w:szCs w:val="14"/>
                <w:color w:val="auto"/>
              </w:rPr>
              <w:t>131</w:t>
            </w:r>
          </w:p>
        </w:tc>
        <w:tc>
          <w:tcPr>
            <w:tcW w:w="320" w:type="dxa"/>
            <w:vAlign w:val="bottom"/>
          </w:tcPr>
          <w:p>
            <w:pPr>
              <w:spacing w:after="0"/>
              <w:rPr>
                <w:sz w:val="18"/>
                <w:szCs w:val="18"/>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123</w:t>
            </w:r>
          </w:p>
        </w:tc>
      </w:tr>
      <w:tr>
        <w:trPr>
          <w:trHeight w:val="188"/>
        </w:trPr>
        <w:tc>
          <w:tcPr>
            <w:tcW w:w="4860" w:type="dxa"/>
            <w:vAlign w:val="bottom"/>
          </w:tcPr>
          <w:p>
            <w:pPr>
              <w:ind w:left="200"/>
              <w:spacing w:after="0"/>
              <w:rPr>
                <w:sz w:val="20"/>
                <w:szCs w:val="20"/>
                <w:color w:val="auto"/>
              </w:rPr>
            </w:pPr>
            <w:r>
              <w:rPr>
                <w:rFonts w:ascii="Arial" w:cs="Arial" w:eastAsia="Arial" w:hAnsi="Arial"/>
                <w:sz w:val="14"/>
                <w:szCs w:val="14"/>
                <w:color w:val="auto"/>
              </w:rPr>
              <w:t>Pension and other postretirement benefit obligations, net of plan</w:t>
            </w: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172"/>
        </w:trPr>
        <w:tc>
          <w:tcPr>
            <w:tcW w:w="4860" w:type="dxa"/>
            <w:vAlign w:val="bottom"/>
          </w:tcPr>
          <w:p>
            <w:pPr>
              <w:ind w:left="360"/>
              <w:spacing w:after="0"/>
              <w:rPr>
                <w:sz w:val="20"/>
                <w:szCs w:val="20"/>
                <w:color w:val="auto"/>
              </w:rPr>
            </w:pPr>
            <w:r>
              <w:rPr>
                <w:rFonts w:ascii="Arial" w:cs="Arial" w:eastAsia="Arial" w:hAnsi="Arial"/>
                <w:sz w:val="14"/>
                <w:szCs w:val="14"/>
                <w:color w:val="auto"/>
              </w:rPr>
              <w:t>assets</w:t>
            </w:r>
          </w:p>
        </w:tc>
        <w:tc>
          <w:tcPr>
            <w:tcW w:w="120" w:type="dxa"/>
            <w:vAlign w:val="bottom"/>
          </w:tcPr>
          <w:p>
            <w:pPr>
              <w:spacing w:after="0"/>
              <w:rPr>
                <w:sz w:val="14"/>
                <w:szCs w:val="14"/>
                <w:color w:val="auto"/>
              </w:rPr>
            </w:pPr>
          </w:p>
        </w:tc>
        <w:tc>
          <w:tcPr>
            <w:tcW w:w="1140" w:type="dxa"/>
            <w:vAlign w:val="bottom"/>
          </w:tcPr>
          <w:p>
            <w:pPr>
              <w:jc w:val="right"/>
              <w:ind w:right="208"/>
              <w:spacing w:after="0"/>
              <w:rPr>
                <w:sz w:val="20"/>
                <w:szCs w:val="20"/>
                <w:color w:val="auto"/>
              </w:rPr>
            </w:pPr>
            <w:r>
              <w:rPr>
                <w:rFonts w:ascii="Arial" w:cs="Arial" w:eastAsia="Arial" w:hAnsi="Arial"/>
                <w:sz w:val="14"/>
                <w:szCs w:val="14"/>
                <w:color w:val="auto"/>
              </w:rPr>
              <w:t>823</w:t>
            </w:r>
          </w:p>
        </w:tc>
        <w:tc>
          <w:tcPr>
            <w:tcW w:w="320" w:type="dxa"/>
            <w:vAlign w:val="bottom"/>
          </w:tcPr>
          <w:p>
            <w:pPr>
              <w:spacing w:after="0"/>
              <w:rPr>
                <w:sz w:val="14"/>
                <w:szCs w:val="14"/>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58</w:t>
            </w:r>
          </w:p>
        </w:tc>
      </w:tr>
      <w:tr>
        <w:trPr>
          <w:trHeight w:val="216"/>
        </w:trPr>
        <w:tc>
          <w:tcPr>
            <w:tcW w:w="4860" w:type="dxa"/>
            <w:vAlign w:val="bottom"/>
          </w:tcPr>
          <w:p>
            <w:pPr>
              <w:ind w:left="200"/>
              <w:spacing w:after="0"/>
              <w:rPr>
                <w:sz w:val="20"/>
                <w:szCs w:val="20"/>
                <w:color w:val="auto"/>
              </w:rPr>
            </w:pPr>
            <w:r>
              <w:rPr>
                <w:rFonts w:ascii="Arial" w:cs="Arial" w:eastAsia="Arial" w:hAnsi="Arial"/>
                <w:sz w:val="14"/>
                <w:szCs w:val="14"/>
                <w:color w:val="auto"/>
              </w:rPr>
              <w:t>Deferred income taxes</w:t>
            </w:r>
          </w:p>
        </w:tc>
        <w:tc>
          <w:tcPr>
            <w:tcW w:w="120" w:type="dxa"/>
            <w:vAlign w:val="bottom"/>
          </w:tcPr>
          <w:p>
            <w:pPr>
              <w:spacing w:after="0"/>
              <w:rPr>
                <w:sz w:val="18"/>
                <w:szCs w:val="18"/>
                <w:color w:val="auto"/>
              </w:rPr>
            </w:pPr>
          </w:p>
        </w:tc>
        <w:tc>
          <w:tcPr>
            <w:tcW w:w="1140" w:type="dxa"/>
            <w:vAlign w:val="bottom"/>
          </w:tcPr>
          <w:p>
            <w:pPr>
              <w:jc w:val="right"/>
              <w:ind w:right="208"/>
              <w:spacing w:after="0"/>
              <w:rPr>
                <w:sz w:val="20"/>
                <w:szCs w:val="20"/>
                <w:color w:val="auto"/>
              </w:rPr>
            </w:pPr>
            <w:r>
              <w:rPr>
                <w:rFonts w:ascii="Arial" w:cs="Arial" w:eastAsia="Arial" w:hAnsi="Arial"/>
                <w:sz w:val="14"/>
                <w:szCs w:val="14"/>
                <w:color w:val="auto"/>
              </w:rPr>
              <w:t>157</w:t>
            </w:r>
          </w:p>
        </w:tc>
        <w:tc>
          <w:tcPr>
            <w:tcW w:w="320" w:type="dxa"/>
            <w:vAlign w:val="bottom"/>
          </w:tcPr>
          <w:p>
            <w:pPr>
              <w:spacing w:after="0"/>
              <w:rPr>
                <w:sz w:val="18"/>
                <w:szCs w:val="18"/>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102</w:t>
            </w:r>
          </w:p>
        </w:tc>
      </w:tr>
      <w:tr>
        <w:trPr>
          <w:trHeight w:val="216"/>
        </w:trPr>
        <w:tc>
          <w:tcPr>
            <w:tcW w:w="4860" w:type="dxa"/>
            <w:vAlign w:val="bottom"/>
          </w:tcPr>
          <w:p>
            <w:pPr>
              <w:ind w:left="200"/>
              <w:spacing w:after="0"/>
              <w:rPr>
                <w:sz w:val="20"/>
                <w:szCs w:val="20"/>
                <w:color w:val="auto"/>
              </w:rPr>
            </w:pPr>
            <w:r>
              <w:rPr>
                <w:rFonts w:ascii="Arial" w:cs="Arial" w:eastAsia="Arial" w:hAnsi="Arial"/>
                <w:sz w:val="14"/>
                <w:szCs w:val="14"/>
                <w:color w:val="auto"/>
              </w:rPr>
              <w:t>Deferred investment tax credits</w:t>
            </w:r>
          </w:p>
        </w:tc>
        <w:tc>
          <w:tcPr>
            <w:tcW w:w="120" w:type="dxa"/>
            <w:vAlign w:val="bottom"/>
          </w:tcPr>
          <w:p>
            <w:pPr>
              <w:spacing w:after="0"/>
              <w:rPr>
                <w:sz w:val="18"/>
                <w:szCs w:val="18"/>
                <w:color w:val="auto"/>
              </w:rPr>
            </w:pPr>
          </w:p>
        </w:tc>
        <w:tc>
          <w:tcPr>
            <w:tcW w:w="1140" w:type="dxa"/>
            <w:vAlign w:val="bottom"/>
          </w:tcPr>
          <w:p>
            <w:pPr>
              <w:jc w:val="right"/>
              <w:ind w:right="208"/>
              <w:spacing w:after="0"/>
              <w:rPr>
                <w:sz w:val="20"/>
                <w:szCs w:val="20"/>
                <w:color w:val="auto"/>
              </w:rPr>
            </w:pPr>
            <w:r>
              <w:rPr>
                <w:rFonts w:ascii="Arial" w:cs="Arial" w:eastAsia="Arial" w:hAnsi="Arial"/>
                <w:sz w:val="14"/>
                <w:szCs w:val="14"/>
                <w:color w:val="auto"/>
              </w:rPr>
              <w:t>30</w:t>
            </w:r>
          </w:p>
        </w:tc>
        <w:tc>
          <w:tcPr>
            <w:tcW w:w="320" w:type="dxa"/>
            <w:vAlign w:val="bottom"/>
          </w:tcPr>
          <w:p>
            <w:pPr>
              <w:spacing w:after="0"/>
              <w:rPr>
                <w:sz w:val="18"/>
                <w:szCs w:val="18"/>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33</w:t>
            </w:r>
          </w:p>
        </w:tc>
      </w:tr>
      <w:tr>
        <w:trPr>
          <w:trHeight w:val="216"/>
        </w:trPr>
        <w:tc>
          <w:tcPr>
            <w:tcW w:w="4860" w:type="dxa"/>
            <w:vAlign w:val="bottom"/>
          </w:tcPr>
          <w:p>
            <w:pPr>
              <w:ind w:left="200"/>
              <w:spacing w:after="0"/>
              <w:rPr>
                <w:sz w:val="20"/>
                <w:szCs w:val="20"/>
                <w:color w:val="auto"/>
              </w:rPr>
            </w:pPr>
            <w:r>
              <w:rPr>
                <w:rFonts w:ascii="Arial" w:cs="Arial" w:eastAsia="Arial" w:hAnsi="Arial"/>
                <w:sz w:val="14"/>
                <w:szCs w:val="14"/>
                <w:color w:val="auto"/>
              </w:rPr>
              <w:t>Regulatory liabilities arising from removal obligations</w:t>
            </w:r>
          </w:p>
        </w:tc>
        <w:tc>
          <w:tcPr>
            <w:tcW w:w="120" w:type="dxa"/>
            <w:vAlign w:val="bottom"/>
          </w:tcPr>
          <w:p>
            <w:pPr>
              <w:spacing w:after="0"/>
              <w:rPr>
                <w:sz w:val="18"/>
                <w:szCs w:val="18"/>
                <w:color w:val="auto"/>
              </w:rPr>
            </w:pPr>
          </w:p>
        </w:tc>
        <w:tc>
          <w:tcPr>
            <w:tcW w:w="1140" w:type="dxa"/>
            <w:vAlign w:val="bottom"/>
          </w:tcPr>
          <w:p>
            <w:pPr>
              <w:jc w:val="right"/>
              <w:ind w:right="208"/>
              <w:spacing w:after="0"/>
              <w:rPr>
                <w:sz w:val="20"/>
                <w:szCs w:val="20"/>
                <w:color w:val="auto"/>
              </w:rPr>
            </w:pPr>
            <w:r>
              <w:rPr>
                <w:rFonts w:ascii="Arial" w:cs="Arial" w:eastAsia="Arial" w:hAnsi="Arial"/>
                <w:sz w:val="14"/>
                <w:szCs w:val="14"/>
                <w:color w:val="auto"/>
              </w:rPr>
              <w:t>1,218</w:t>
            </w:r>
          </w:p>
        </w:tc>
        <w:tc>
          <w:tcPr>
            <w:tcW w:w="320" w:type="dxa"/>
            <w:vAlign w:val="bottom"/>
          </w:tcPr>
          <w:p>
            <w:pPr>
              <w:spacing w:after="0"/>
              <w:rPr>
                <w:sz w:val="18"/>
                <w:szCs w:val="18"/>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1,187</w:t>
            </w:r>
          </w:p>
        </w:tc>
      </w:tr>
      <w:tr>
        <w:trPr>
          <w:trHeight w:val="188"/>
        </w:trPr>
        <w:tc>
          <w:tcPr>
            <w:tcW w:w="4860" w:type="dxa"/>
            <w:vAlign w:val="bottom"/>
          </w:tcPr>
          <w:p>
            <w:pPr>
              <w:ind w:left="200"/>
              <w:spacing w:after="0"/>
              <w:rPr>
                <w:sz w:val="20"/>
                <w:szCs w:val="20"/>
                <w:color w:val="auto"/>
              </w:rPr>
            </w:pPr>
            <w:r>
              <w:rPr>
                <w:rFonts w:ascii="Arial" w:cs="Arial" w:eastAsia="Arial" w:hAnsi="Arial"/>
                <w:sz w:val="14"/>
                <w:szCs w:val="14"/>
                <w:color w:val="auto"/>
              </w:rPr>
              <w:t>Regulatory liabilities arising from pension and other</w:t>
            </w: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172"/>
        </w:trPr>
        <w:tc>
          <w:tcPr>
            <w:tcW w:w="4860" w:type="dxa"/>
            <w:vAlign w:val="bottom"/>
          </w:tcPr>
          <w:p>
            <w:pPr>
              <w:ind w:left="360"/>
              <w:spacing w:after="0"/>
              <w:rPr>
                <w:sz w:val="20"/>
                <w:szCs w:val="20"/>
                <w:color w:val="auto"/>
              </w:rPr>
            </w:pPr>
            <w:r>
              <w:rPr>
                <w:rFonts w:ascii="Arial" w:cs="Arial" w:eastAsia="Arial" w:hAnsi="Arial"/>
                <w:sz w:val="14"/>
                <w:szCs w:val="14"/>
                <w:color w:val="auto"/>
              </w:rPr>
              <w:t>postretirement benefit obligations</w:t>
            </w:r>
          </w:p>
        </w:tc>
        <w:tc>
          <w:tcPr>
            <w:tcW w:w="120" w:type="dxa"/>
            <w:vAlign w:val="bottom"/>
          </w:tcPr>
          <w:p>
            <w:pPr>
              <w:spacing w:after="0"/>
              <w:rPr>
                <w:sz w:val="14"/>
                <w:szCs w:val="14"/>
                <w:color w:val="auto"/>
              </w:rPr>
            </w:pPr>
          </w:p>
        </w:tc>
        <w:tc>
          <w:tcPr>
            <w:tcW w:w="114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4"/>
                <w:szCs w:val="14"/>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34</w:t>
            </w:r>
          </w:p>
        </w:tc>
      </w:tr>
      <w:tr>
        <w:trPr>
          <w:trHeight w:val="216"/>
        </w:trPr>
        <w:tc>
          <w:tcPr>
            <w:tcW w:w="4860" w:type="dxa"/>
            <w:vAlign w:val="bottom"/>
          </w:tcPr>
          <w:p>
            <w:pPr>
              <w:ind w:left="200"/>
              <w:spacing w:after="0"/>
              <w:rPr>
                <w:sz w:val="20"/>
                <w:szCs w:val="20"/>
                <w:color w:val="auto"/>
              </w:rPr>
            </w:pPr>
            <w:r>
              <w:rPr>
                <w:rFonts w:ascii="Arial" w:cs="Arial" w:eastAsia="Arial" w:hAnsi="Arial"/>
                <w:sz w:val="14"/>
                <w:szCs w:val="14"/>
                <w:color w:val="auto"/>
              </w:rPr>
              <w:t>Asset retirement obligations</w:t>
            </w:r>
          </w:p>
        </w:tc>
        <w:tc>
          <w:tcPr>
            <w:tcW w:w="120" w:type="dxa"/>
            <w:vAlign w:val="bottom"/>
          </w:tcPr>
          <w:p>
            <w:pPr>
              <w:spacing w:after="0"/>
              <w:rPr>
                <w:sz w:val="18"/>
                <w:szCs w:val="18"/>
                <w:color w:val="auto"/>
              </w:rPr>
            </w:pPr>
          </w:p>
        </w:tc>
        <w:tc>
          <w:tcPr>
            <w:tcW w:w="1140" w:type="dxa"/>
            <w:vAlign w:val="bottom"/>
          </w:tcPr>
          <w:p>
            <w:pPr>
              <w:jc w:val="right"/>
              <w:ind w:right="208"/>
              <w:spacing w:after="0"/>
              <w:rPr>
                <w:sz w:val="20"/>
                <w:szCs w:val="20"/>
                <w:color w:val="auto"/>
              </w:rPr>
            </w:pPr>
            <w:r>
              <w:rPr>
                <w:rFonts w:ascii="Arial" w:cs="Arial" w:eastAsia="Arial" w:hAnsi="Arial"/>
                <w:sz w:val="14"/>
                <w:szCs w:val="14"/>
                <w:color w:val="auto"/>
              </w:rPr>
              <w:t>581</w:t>
            </w:r>
          </w:p>
        </w:tc>
        <w:tc>
          <w:tcPr>
            <w:tcW w:w="320" w:type="dxa"/>
            <w:vAlign w:val="bottom"/>
          </w:tcPr>
          <w:p>
            <w:pPr>
              <w:spacing w:after="0"/>
              <w:rPr>
                <w:sz w:val="18"/>
                <w:szCs w:val="18"/>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562</w:t>
            </w:r>
          </w:p>
        </w:tc>
      </w:tr>
      <w:tr>
        <w:trPr>
          <w:trHeight w:val="216"/>
        </w:trPr>
        <w:tc>
          <w:tcPr>
            <w:tcW w:w="4860" w:type="dxa"/>
            <w:vAlign w:val="bottom"/>
          </w:tcPr>
          <w:p>
            <w:pPr>
              <w:ind w:left="200"/>
              <w:spacing w:after="0"/>
              <w:rPr>
                <w:sz w:val="20"/>
                <w:szCs w:val="20"/>
                <w:color w:val="auto"/>
              </w:rPr>
            </w:pPr>
            <w:r>
              <w:rPr>
                <w:rFonts w:ascii="Arial" w:cs="Arial" w:eastAsia="Arial" w:hAnsi="Arial"/>
                <w:sz w:val="14"/>
                <w:szCs w:val="14"/>
                <w:color w:val="auto"/>
              </w:rPr>
              <w:t>Deferred taxes refundable in rates</w:t>
            </w:r>
          </w:p>
        </w:tc>
        <w:tc>
          <w:tcPr>
            <w:tcW w:w="120" w:type="dxa"/>
            <w:vAlign w:val="bottom"/>
          </w:tcPr>
          <w:p>
            <w:pPr>
              <w:spacing w:after="0"/>
              <w:rPr>
                <w:sz w:val="18"/>
                <w:szCs w:val="18"/>
                <w:color w:val="auto"/>
              </w:rPr>
            </w:pPr>
          </w:p>
        </w:tc>
        <w:tc>
          <w:tcPr>
            <w:tcW w:w="1140" w:type="dxa"/>
            <w:vAlign w:val="bottom"/>
          </w:tcPr>
          <w:p>
            <w:pPr>
              <w:jc w:val="right"/>
              <w:ind w:right="208"/>
              <w:spacing w:after="0"/>
              <w:rPr>
                <w:sz w:val="20"/>
                <w:szCs w:val="20"/>
                <w:color w:val="auto"/>
              </w:rPr>
            </w:pPr>
            <w:r>
              <w:rPr>
                <w:rFonts w:ascii="Arial" w:cs="Arial" w:eastAsia="Arial" w:hAnsi="Arial"/>
                <w:sz w:val="14"/>
                <w:szCs w:val="14"/>
                <w:color w:val="auto"/>
              </w:rPr>
              <w:t>214</w:t>
            </w:r>
          </w:p>
        </w:tc>
        <w:tc>
          <w:tcPr>
            <w:tcW w:w="320" w:type="dxa"/>
            <w:vAlign w:val="bottom"/>
          </w:tcPr>
          <w:p>
            <w:pPr>
              <w:spacing w:after="0"/>
              <w:rPr>
                <w:sz w:val="18"/>
                <w:szCs w:val="18"/>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231</w:t>
            </w:r>
          </w:p>
        </w:tc>
      </w:tr>
      <w:tr>
        <w:trPr>
          <w:trHeight w:val="216"/>
        </w:trPr>
        <w:tc>
          <w:tcPr>
            <w:tcW w:w="4860" w:type="dxa"/>
            <w:vAlign w:val="bottom"/>
          </w:tcPr>
          <w:p>
            <w:pPr>
              <w:ind w:left="200"/>
              <w:spacing w:after="0"/>
              <w:rPr>
                <w:sz w:val="20"/>
                <w:szCs w:val="20"/>
                <w:color w:val="auto"/>
              </w:rPr>
            </w:pPr>
            <w:r>
              <w:rPr>
                <w:rFonts w:ascii="Arial" w:cs="Arial" w:eastAsia="Arial" w:hAnsi="Arial"/>
                <w:sz w:val="14"/>
                <w:szCs w:val="14"/>
                <w:color w:val="auto"/>
              </w:rPr>
              <w:t>Preferred stock of subsidiary</w:t>
            </w:r>
          </w:p>
        </w:tc>
        <w:tc>
          <w:tcPr>
            <w:tcW w:w="120" w:type="dxa"/>
            <w:vAlign w:val="bottom"/>
          </w:tcPr>
          <w:p>
            <w:pPr>
              <w:spacing w:after="0"/>
              <w:rPr>
                <w:sz w:val="18"/>
                <w:szCs w:val="18"/>
                <w:color w:val="auto"/>
              </w:rPr>
            </w:pPr>
          </w:p>
        </w:tc>
        <w:tc>
          <w:tcPr>
            <w:tcW w:w="1140" w:type="dxa"/>
            <w:vAlign w:val="bottom"/>
          </w:tcPr>
          <w:p>
            <w:pPr>
              <w:jc w:val="right"/>
              <w:ind w:right="208"/>
              <w:spacing w:after="0"/>
              <w:rPr>
                <w:sz w:val="20"/>
                <w:szCs w:val="20"/>
                <w:color w:val="auto"/>
              </w:rPr>
            </w:pPr>
            <w:r>
              <w:rPr>
                <w:rFonts w:ascii="Arial" w:cs="Arial" w:eastAsia="Arial" w:hAnsi="Arial"/>
                <w:sz w:val="14"/>
                <w:szCs w:val="14"/>
                <w:color w:val="auto"/>
              </w:rPr>
              <w:t>20</w:t>
            </w:r>
          </w:p>
        </w:tc>
        <w:tc>
          <w:tcPr>
            <w:tcW w:w="320" w:type="dxa"/>
            <w:vAlign w:val="bottom"/>
          </w:tcPr>
          <w:p>
            <w:pPr>
              <w:spacing w:after="0"/>
              <w:rPr>
                <w:sz w:val="18"/>
                <w:szCs w:val="18"/>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20</w:t>
            </w:r>
          </w:p>
        </w:tc>
      </w:tr>
      <w:tr>
        <w:trPr>
          <w:trHeight w:val="222"/>
        </w:trPr>
        <w:tc>
          <w:tcPr>
            <w:tcW w:w="4860" w:type="dxa"/>
            <w:vAlign w:val="bottom"/>
          </w:tcPr>
          <w:p>
            <w:pPr>
              <w:ind w:left="200"/>
              <w:spacing w:after="0"/>
              <w:rPr>
                <w:sz w:val="20"/>
                <w:szCs w:val="20"/>
                <w:color w:val="auto"/>
              </w:rPr>
            </w:pPr>
            <w:r>
              <w:rPr>
                <w:rFonts w:ascii="Arial" w:cs="Arial" w:eastAsia="Arial" w:hAnsi="Arial"/>
                <w:sz w:val="14"/>
                <w:szCs w:val="14"/>
                <w:color w:val="auto"/>
              </w:rPr>
              <w:t>Deferred credits and other</w:t>
            </w: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251</w:t>
            </w:r>
          </w:p>
        </w:tc>
        <w:tc>
          <w:tcPr>
            <w:tcW w:w="3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285</w:t>
            </w:r>
          </w:p>
        </w:tc>
      </w:tr>
      <w:tr>
        <w:trPr>
          <w:trHeight w:val="208"/>
        </w:trPr>
        <w:tc>
          <w:tcPr>
            <w:tcW w:w="4860" w:type="dxa"/>
            <w:vAlign w:val="bottom"/>
          </w:tcPr>
          <w:p>
            <w:pPr>
              <w:ind w:left="380"/>
              <w:spacing w:after="0"/>
              <w:rPr>
                <w:sz w:val="20"/>
                <w:szCs w:val="20"/>
                <w:color w:val="auto"/>
              </w:rPr>
            </w:pPr>
            <w:r>
              <w:rPr>
                <w:rFonts w:ascii="Arial" w:cs="Arial" w:eastAsia="Arial" w:hAnsi="Arial"/>
                <w:sz w:val="14"/>
                <w:szCs w:val="14"/>
                <w:color w:val="auto"/>
              </w:rPr>
              <w:t>Total deferred credits and other liabilities</w:t>
            </w: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3,425</w:t>
            </w:r>
          </w:p>
        </w:tc>
        <w:tc>
          <w:tcPr>
            <w:tcW w:w="3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2,635</w:t>
            </w:r>
          </w:p>
        </w:tc>
      </w:tr>
      <w:tr>
        <w:trPr>
          <w:trHeight w:val="418"/>
        </w:trPr>
        <w:tc>
          <w:tcPr>
            <w:tcW w:w="4860" w:type="dxa"/>
            <w:vAlign w:val="bottom"/>
          </w:tcPr>
          <w:p>
            <w:pPr>
              <w:ind w:left="20"/>
              <w:spacing w:after="0"/>
              <w:rPr>
                <w:sz w:val="20"/>
                <w:szCs w:val="20"/>
                <w:color w:val="auto"/>
              </w:rPr>
            </w:pPr>
            <w:r>
              <w:rPr>
                <w:rFonts w:ascii="Arial" w:cs="Arial" w:eastAsia="Arial" w:hAnsi="Arial"/>
                <w:sz w:val="14"/>
                <w:szCs w:val="14"/>
                <w:color w:val="auto"/>
              </w:rPr>
              <w:t>Commitments and contingencies (Note 16)</w:t>
            </w: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432"/>
        </w:trPr>
        <w:tc>
          <w:tcPr>
            <w:tcW w:w="4860" w:type="dxa"/>
            <w:vAlign w:val="bottom"/>
          </w:tcPr>
          <w:p>
            <w:pPr>
              <w:ind w:left="20"/>
              <w:spacing w:after="0"/>
              <w:rPr>
                <w:sz w:val="20"/>
                <w:szCs w:val="20"/>
                <w:color w:val="auto"/>
              </w:rPr>
            </w:pPr>
            <w:r>
              <w:rPr>
                <w:rFonts w:ascii="Arial" w:cs="Arial" w:eastAsia="Arial" w:hAnsi="Arial"/>
                <w:sz w:val="14"/>
                <w:szCs w:val="14"/>
                <w:color w:val="auto"/>
              </w:rPr>
              <w:t>Shareholders' equity:</w:t>
            </w: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16"/>
        </w:trPr>
        <w:tc>
          <w:tcPr>
            <w:tcW w:w="4860" w:type="dxa"/>
            <w:vAlign w:val="bottom"/>
          </w:tcPr>
          <w:p>
            <w:pPr>
              <w:ind w:left="200"/>
              <w:spacing w:after="0"/>
              <w:rPr>
                <w:sz w:val="20"/>
                <w:szCs w:val="20"/>
                <w:color w:val="auto"/>
              </w:rPr>
            </w:pPr>
            <w:r>
              <w:rPr>
                <w:rFonts w:ascii="Arial" w:cs="Arial" w:eastAsia="Arial" w:hAnsi="Arial"/>
                <w:sz w:val="14"/>
                <w:szCs w:val="14"/>
                <w:color w:val="auto"/>
              </w:rPr>
              <w:t>Preferred stock</w:t>
            </w:r>
          </w:p>
        </w:tc>
        <w:tc>
          <w:tcPr>
            <w:tcW w:w="120" w:type="dxa"/>
            <w:vAlign w:val="bottom"/>
          </w:tcPr>
          <w:p>
            <w:pPr>
              <w:spacing w:after="0"/>
              <w:rPr>
                <w:sz w:val="18"/>
                <w:szCs w:val="18"/>
                <w:color w:val="auto"/>
              </w:rPr>
            </w:pPr>
          </w:p>
        </w:tc>
        <w:tc>
          <w:tcPr>
            <w:tcW w:w="1140" w:type="dxa"/>
            <w:vAlign w:val="bottom"/>
          </w:tcPr>
          <w:p>
            <w:pPr>
              <w:jc w:val="right"/>
              <w:ind w:right="208"/>
              <w:spacing w:after="0"/>
              <w:rPr>
                <w:sz w:val="20"/>
                <w:szCs w:val="20"/>
                <w:color w:val="auto"/>
              </w:rPr>
            </w:pPr>
            <w:r>
              <w:rPr>
                <w:rFonts w:ascii="Arial" w:cs="Arial" w:eastAsia="Arial" w:hAnsi="Arial"/>
                <w:sz w:val="14"/>
                <w:szCs w:val="14"/>
                <w:color w:val="auto"/>
              </w:rPr>
              <w:t>80</w:t>
            </w:r>
          </w:p>
        </w:tc>
        <w:tc>
          <w:tcPr>
            <w:tcW w:w="320" w:type="dxa"/>
            <w:vAlign w:val="bottom"/>
          </w:tcPr>
          <w:p>
            <w:pPr>
              <w:spacing w:after="0"/>
              <w:rPr>
                <w:sz w:val="18"/>
                <w:szCs w:val="18"/>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80</w:t>
            </w:r>
          </w:p>
        </w:tc>
      </w:tr>
      <w:tr>
        <w:trPr>
          <w:trHeight w:val="188"/>
        </w:trPr>
        <w:tc>
          <w:tcPr>
            <w:tcW w:w="4860" w:type="dxa"/>
            <w:vAlign w:val="bottom"/>
          </w:tcPr>
          <w:p>
            <w:pPr>
              <w:ind w:left="200"/>
              <w:spacing w:after="0"/>
              <w:rPr>
                <w:sz w:val="20"/>
                <w:szCs w:val="20"/>
                <w:color w:val="auto"/>
              </w:rPr>
            </w:pPr>
            <w:r>
              <w:rPr>
                <w:rFonts w:ascii="Arial" w:cs="Arial" w:eastAsia="Arial" w:hAnsi="Arial"/>
                <w:sz w:val="14"/>
                <w:szCs w:val="14"/>
                <w:color w:val="auto"/>
              </w:rPr>
              <w:t>Common stock (600 million shares authorized; 84 million shares</w:t>
            </w: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172"/>
        </w:trPr>
        <w:tc>
          <w:tcPr>
            <w:tcW w:w="4860" w:type="dxa"/>
            <w:vAlign w:val="bottom"/>
          </w:tcPr>
          <w:p>
            <w:pPr>
              <w:ind w:left="360"/>
              <w:spacing w:after="0"/>
              <w:rPr>
                <w:sz w:val="20"/>
                <w:szCs w:val="20"/>
                <w:color w:val="auto"/>
              </w:rPr>
            </w:pPr>
            <w:r>
              <w:rPr>
                <w:rFonts w:ascii="Arial" w:cs="Arial" w:eastAsia="Arial" w:hAnsi="Arial"/>
                <w:sz w:val="14"/>
                <w:szCs w:val="14"/>
                <w:color w:val="auto"/>
              </w:rPr>
              <w:t>outstanding; no par value)</w:t>
            </w:r>
          </w:p>
        </w:tc>
        <w:tc>
          <w:tcPr>
            <w:tcW w:w="120" w:type="dxa"/>
            <w:vAlign w:val="bottom"/>
          </w:tcPr>
          <w:p>
            <w:pPr>
              <w:spacing w:after="0"/>
              <w:rPr>
                <w:sz w:val="14"/>
                <w:szCs w:val="14"/>
                <w:color w:val="auto"/>
              </w:rPr>
            </w:pPr>
          </w:p>
        </w:tc>
        <w:tc>
          <w:tcPr>
            <w:tcW w:w="1140" w:type="dxa"/>
            <w:vAlign w:val="bottom"/>
          </w:tcPr>
          <w:p>
            <w:pPr>
              <w:jc w:val="right"/>
              <w:ind w:right="208"/>
              <w:spacing w:after="0"/>
              <w:rPr>
                <w:sz w:val="20"/>
                <w:szCs w:val="20"/>
                <w:color w:val="auto"/>
              </w:rPr>
            </w:pPr>
            <w:r>
              <w:rPr>
                <w:rFonts w:ascii="Arial" w:cs="Arial" w:eastAsia="Arial" w:hAnsi="Arial"/>
                <w:sz w:val="14"/>
                <w:szCs w:val="14"/>
                <w:color w:val="auto"/>
              </w:rPr>
              <w:t>1,462</w:t>
            </w:r>
          </w:p>
        </w:tc>
        <w:tc>
          <w:tcPr>
            <w:tcW w:w="320" w:type="dxa"/>
            <w:vAlign w:val="bottom"/>
          </w:tcPr>
          <w:p>
            <w:pPr>
              <w:spacing w:after="0"/>
              <w:rPr>
                <w:sz w:val="14"/>
                <w:szCs w:val="14"/>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1,462</w:t>
            </w:r>
          </w:p>
        </w:tc>
      </w:tr>
      <w:tr>
        <w:trPr>
          <w:trHeight w:val="216"/>
        </w:trPr>
        <w:tc>
          <w:tcPr>
            <w:tcW w:w="4860" w:type="dxa"/>
            <w:vAlign w:val="bottom"/>
          </w:tcPr>
          <w:p>
            <w:pPr>
              <w:ind w:left="200"/>
              <w:spacing w:after="0"/>
              <w:rPr>
                <w:sz w:val="20"/>
                <w:szCs w:val="20"/>
                <w:color w:val="auto"/>
              </w:rPr>
            </w:pPr>
            <w:r>
              <w:rPr>
                <w:rFonts w:ascii="Arial" w:cs="Arial" w:eastAsia="Arial" w:hAnsi="Arial"/>
                <w:sz w:val="14"/>
                <w:szCs w:val="14"/>
                <w:color w:val="auto"/>
              </w:rPr>
              <w:t>Retained earnings</w:t>
            </w:r>
          </w:p>
        </w:tc>
        <w:tc>
          <w:tcPr>
            <w:tcW w:w="120" w:type="dxa"/>
            <w:vAlign w:val="bottom"/>
          </w:tcPr>
          <w:p>
            <w:pPr>
              <w:spacing w:after="0"/>
              <w:rPr>
                <w:sz w:val="18"/>
                <w:szCs w:val="18"/>
                <w:color w:val="auto"/>
              </w:rPr>
            </w:pPr>
          </w:p>
        </w:tc>
        <w:tc>
          <w:tcPr>
            <w:tcW w:w="1140" w:type="dxa"/>
            <w:vAlign w:val="bottom"/>
          </w:tcPr>
          <w:p>
            <w:pPr>
              <w:jc w:val="right"/>
              <w:ind w:right="208"/>
              <w:spacing w:after="0"/>
              <w:rPr>
                <w:sz w:val="20"/>
                <w:szCs w:val="20"/>
                <w:color w:val="auto"/>
              </w:rPr>
            </w:pPr>
            <w:r>
              <w:rPr>
                <w:rFonts w:ascii="Arial" w:cs="Arial" w:eastAsia="Arial" w:hAnsi="Arial"/>
                <w:sz w:val="14"/>
                <w:szCs w:val="14"/>
                <w:color w:val="auto"/>
              </w:rPr>
              <w:t>426</w:t>
            </w:r>
          </w:p>
        </w:tc>
        <w:tc>
          <w:tcPr>
            <w:tcW w:w="320" w:type="dxa"/>
            <w:vAlign w:val="bottom"/>
          </w:tcPr>
          <w:p>
            <w:pPr>
              <w:spacing w:after="0"/>
              <w:rPr>
                <w:sz w:val="18"/>
                <w:szCs w:val="18"/>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378</w:t>
            </w:r>
          </w:p>
        </w:tc>
      </w:tr>
      <w:tr>
        <w:trPr>
          <w:trHeight w:val="222"/>
        </w:trPr>
        <w:tc>
          <w:tcPr>
            <w:tcW w:w="4860" w:type="dxa"/>
            <w:vAlign w:val="bottom"/>
          </w:tcPr>
          <w:p>
            <w:pPr>
              <w:ind w:left="200"/>
              <w:spacing w:after="0"/>
              <w:rPr>
                <w:sz w:val="20"/>
                <w:szCs w:val="20"/>
                <w:color w:val="auto"/>
              </w:rPr>
            </w:pPr>
            <w:r>
              <w:rPr>
                <w:rFonts w:ascii="Arial" w:cs="Arial" w:eastAsia="Arial" w:hAnsi="Arial"/>
                <w:sz w:val="14"/>
                <w:szCs w:val="14"/>
                <w:color w:val="auto"/>
              </w:rPr>
              <w:t>Accumulated other comprehensive income (loss)</w:t>
            </w: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(28 )</w:t>
            </w:r>
          </w:p>
        </w:tc>
        <w:tc>
          <w:tcPr>
            <w:tcW w:w="3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(4 )</w:t>
            </w:r>
          </w:p>
        </w:tc>
      </w:tr>
      <w:tr>
        <w:trPr>
          <w:trHeight w:val="208"/>
        </w:trPr>
        <w:tc>
          <w:tcPr>
            <w:tcW w:w="4860" w:type="dxa"/>
            <w:vAlign w:val="bottom"/>
          </w:tcPr>
          <w:p>
            <w:pPr>
              <w:ind w:left="380"/>
              <w:spacing w:after="0"/>
              <w:rPr>
                <w:sz w:val="20"/>
                <w:szCs w:val="20"/>
                <w:color w:val="auto"/>
              </w:rPr>
            </w:pPr>
            <w:r>
              <w:rPr>
                <w:rFonts w:ascii="Arial" w:cs="Arial" w:eastAsia="Arial" w:hAnsi="Arial"/>
                <w:sz w:val="14"/>
                <w:szCs w:val="14"/>
                <w:color w:val="auto"/>
              </w:rPr>
              <w:t>Total shareholders' equity</w:t>
            </w: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1,940</w:t>
            </w:r>
          </w:p>
        </w:tc>
        <w:tc>
          <w:tcPr>
            <w:tcW w:w="3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1,916</w:t>
            </w:r>
          </w:p>
        </w:tc>
      </w:tr>
      <w:tr>
        <w:trPr>
          <w:trHeight w:val="224"/>
        </w:trPr>
        <w:tc>
          <w:tcPr>
            <w:tcW w:w="48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Total liabilities and shareholders' equity</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7,907</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6,802</w:t>
            </w:r>
          </w:p>
        </w:tc>
      </w:tr>
    </w:tbl>
    <w:p>
      <w:pPr>
        <w:spacing w:after="0" w:line="257" w:lineRule="exact"/>
        <w:rPr>
          <w:sz w:val="20"/>
          <w:szCs w:val="20"/>
          <w:color w:val="auto"/>
        </w:rPr>
      </w:pPr>
    </w:p>
    <w:p>
      <w:pPr>
        <w:ind w:left="2040"/>
        <w:spacing w:after="0"/>
        <w:rPr>
          <w:sz w:val="20"/>
          <w:szCs w:val="20"/>
          <w:color w:val="auto"/>
        </w:rPr>
      </w:pPr>
      <w:r>
        <w:rPr>
          <w:rFonts w:ascii="Arial" w:cs="Arial" w:eastAsia="Arial" w:hAnsi="Arial"/>
          <w:sz w:val="13"/>
          <w:szCs w:val="13"/>
          <w:i w:val="1"/>
          <w:iCs w:val="1"/>
          <w:color w:val="auto"/>
        </w:rPr>
        <w:t>See Notes to Consolidated Financial Statements.</w:t>
      </w: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Arial" w:cs="Arial" w:eastAsia="Arial" w:hAnsi="Arial"/>
          <w:sz w:val="14"/>
          <w:szCs w:val="14"/>
          <w:color w:val="auto"/>
        </w:rPr>
        <w:t>83</w:t>
      </w:r>
    </w:p>
    <w:p>
      <w:pPr>
        <w:sectPr>
          <w:pgSz w:w="11900" w:h="16838" w:orient="portrait"/>
          <w:cols w:equalWidth="0" w:num="1">
            <w:col w:w="10219"/>
          </w:cols>
          <w:pgMar w:left="240" w:top="364" w:right="1440" w:bottom="1440" w:gutter="0" w:footer="0" w:header="0"/>
        </w:sectPr>
      </w:pPr>
    </w:p>
    <w:bookmarkStart w:id="223" w:name="page224"/>
    <w:bookmarkEnd w:id="223"/>
    <w:p>
      <w:pPr>
        <w:ind w:left="1920"/>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1362710</wp:posOffset>
            </wp:positionH>
            <wp:positionV relativeFrom="page">
              <wp:posOffset>226695</wp:posOffset>
            </wp:positionV>
            <wp:extent cx="4843780" cy="389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4843780" cy="389255"/>
                    </a:xfrm>
                    <a:prstGeom prst="rect">
                      <a:avLst/>
                    </a:prstGeom>
                    <a:noFill/>
                  </pic:spPr>
                </pic:pic>
              </a:graphicData>
            </a:graphic>
          </wp:anchor>
        </w:drawing>
        <w:t>PACIFIC ENTERPRISES AND SUBSIDIARIES</w:t>
      </w:r>
    </w:p>
    <w:p>
      <w:pPr>
        <w:spacing w:after="0" w:line="31" w:lineRule="exact"/>
        <w:rPr>
          <w:sz w:val="20"/>
          <w:szCs w:val="20"/>
          <w:color w:val="auto"/>
        </w:rPr>
      </w:pPr>
    </w:p>
    <w:p>
      <w:pPr>
        <w:ind w:left="1920"/>
        <w:spacing w:after="0"/>
        <w:rPr>
          <w:sz w:val="20"/>
          <w:szCs w:val="20"/>
          <w:color w:val="auto"/>
        </w:rPr>
      </w:pPr>
      <w:r>
        <w:rPr>
          <w:rFonts w:ascii="Arial" w:cs="Arial" w:eastAsia="Arial" w:hAnsi="Arial"/>
          <w:sz w:val="14"/>
          <w:szCs w:val="14"/>
          <w:b w:val="1"/>
          <w:bCs w:val="1"/>
          <w:color w:val="auto"/>
        </w:rPr>
        <w:t>STATEMENTS OF CONSOLIDATED CASH FLOWS</w:t>
      </w:r>
    </w:p>
    <w:p>
      <w:pPr>
        <w:spacing w:after="0" w:line="76" w:lineRule="exact"/>
        <w:rPr>
          <w:sz w:val="20"/>
          <w:szCs w:val="20"/>
          <w:color w:val="auto"/>
        </w:rPr>
      </w:pPr>
    </w:p>
    <w:tbl>
      <w:tblPr>
        <w:tblLayout w:type="fixed"/>
        <w:tblInd w:w="1900" w:type="dxa"/>
        <w:tblCellMar>
          <w:top w:w="0" w:type="dxa"/>
          <w:left w:w="0" w:type="dxa"/>
          <w:bottom w:w="0" w:type="dxa"/>
          <w:right w:w="0" w:type="dxa"/>
        </w:tblCellMar>
      </w:tblPr>
      <w:tr>
        <w:trPr>
          <w:trHeight w:val="166"/>
        </w:trPr>
        <w:tc>
          <w:tcPr>
            <w:tcW w:w="4280" w:type="dxa"/>
            <w:vAlign w:val="bottom"/>
          </w:tcPr>
          <w:p>
            <w:pPr>
              <w:ind w:left="20"/>
              <w:spacing w:after="0"/>
              <w:rPr>
                <w:sz w:val="20"/>
                <w:szCs w:val="20"/>
                <w:color w:val="auto"/>
              </w:rPr>
            </w:pPr>
            <w:r>
              <w:rPr>
                <w:rFonts w:ascii="Arial" w:cs="Arial" w:eastAsia="Arial" w:hAnsi="Arial"/>
                <w:sz w:val="13"/>
                <w:szCs w:val="13"/>
                <w:i w:val="1"/>
                <w:iCs w:val="1"/>
                <w:color w:val="auto"/>
              </w:rPr>
              <w:t>(Dollars in millions)</w:t>
            </w:r>
          </w:p>
        </w:tc>
        <w:tc>
          <w:tcPr>
            <w:tcW w:w="3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209"/>
        </w:trPr>
        <w:tc>
          <w:tcPr>
            <w:tcW w:w="42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280" w:type="dxa"/>
            <w:vAlign w:val="bottom"/>
            <w:tcBorders>
              <w:bottom w:val="single" w:sz="8" w:color="auto"/>
            </w:tcBorders>
            <w:gridSpan w:val="4"/>
          </w:tcPr>
          <w:p>
            <w:pPr>
              <w:jc w:val="right"/>
              <w:ind w:right="68"/>
              <w:spacing w:after="0"/>
              <w:rPr>
                <w:sz w:val="20"/>
                <w:szCs w:val="20"/>
                <w:color w:val="auto"/>
              </w:rPr>
            </w:pPr>
            <w:r>
              <w:rPr>
                <w:rFonts w:ascii="Arial" w:cs="Arial" w:eastAsia="Arial" w:hAnsi="Arial"/>
                <w:sz w:val="13"/>
                <w:szCs w:val="13"/>
                <w:color w:val="auto"/>
              </w:rPr>
              <w:t>Years ended December 31,</w:t>
            </w:r>
          </w:p>
        </w:tc>
        <w:tc>
          <w:tcPr>
            <w:tcW w:w="780" w:type="dxa"/>
            <w:vAlign w:val="bottom"/>
            <w:tcBorders>
              <w:bottom w:val="single" w:sz="8" w:color="auto"/>
            </w:tcBorders>
          </w:tcPr>
          <w:p>
            <w:pPr>
              <w:spacing w:after="0"/>
              <w:rPr>
                <w:sz w:val="18"/>
                <w:szCs w:val="18"/>
                <w:color w:val="auto"/>
              </w:rPr>
            </w:pPr>
          </w:p>
        </w:tc>
      </w:tr>
      <w:tr>
        <w:trPr>
          <w:trHeight w:val="208"/>
        </w:trPr>
        <w:tc>
          <w:tcPr>
            <w:tcW w:w="428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328"/>
              <w:spacing w:after="0"/>
              <w:rPr>
                <w:sz w:val="20"/>
                <w:szCs w:val="20"/>
                <w:color w:val="auto"/>
              </w:rPr>
            </w:pPr>
            <w:r>
              <w:rPr>
                <w:rFonts w:ascii="Arial" w:cs="Arial" w:eastAsia="Arial" w:hAnsi="Arial"/>
                <w:sz w:val="13"/>
                <w:szCs w:val="13"/>
                <w:color w:val="auto"/>
              </w:rPr>
              <w:t>2008</w:t>
            </w:r>
          </w:p>
        </w:tc>
        <w:tc>
          <w:tcPr>
            <w:tcW w:w="3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48"/>
              <w:spacing w:after="0"/>
              <w:rPr>
                <w:sz w:val="20"/>
                <w:szCs w:val="20"/>
                <w:color w:val="auto"/>
              </w:rPr>
            </w:pPr>
            <w:r>
              <w:rPr>
                <w:rFonts w:ascii="Arial" w:cs="Arial" w:eastAsia="Arial" w:hAnsi="Arial"/>
                <w:sz w:val="13"/>
                <w:szCs w:val="13"/>
                <w:color w:val="auto"/>
              </w:rPr>
              <w:t>2007</w:t>
            </w:r>
          </w:p>
        </w:tc>
        <w:tc>
          <w:tcPr>
            <w:tcW w:w="3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328"/>
              <w:spacing w:after="0"/>
              <w:rPr>
                <w:sz w:val="20"/>
                <w:szCs w:val="20"/>
                <w:color w:val="auto"/>
              </w:rPr>
            </w:pPr>
            <w:r>
              <w:rPr>
                <w:rFonts w:ascii="Arial" w:cs="Arial" w:eastAsia="Arial" w:hAnsi="Arial"/>
                <w:sz w:val="13"/>
                <w:szCs w:val="13"/>
                <w:color w:val="auto"/>
              </w:rPr>
              <w:t>2006</w:t>
            </w:r>
          </w:p>
        </w:tc>
      </w:tr>
      <w:tr>
        <w:trPr>
          <w:trHeight w:val="423"/>
        </w:trPr>
        <w:tc>
          <w:tcPr>
            <w:tcW w:w="4280" w:type="dxa"/>
            <w:vAlign w:val="bottom"/>
          </w:tcPr>
          <w:p>
            <w:pPr>
              <w:ind w:left="20"/>
              <w:spacing w:after="0"/>
              <w:rPr>
                <w:sz w:val="20"/>
                <w:szCs w:val="20"/>
                <w:color w:val="auto"/>
              </w:rPr>
            </w:pPr>
            <w:r>
              <w:rPr>
                <w:rFonts w:ascii="Arial" w:cs="Arial" w:eastAsia="Arial" w:hAnsi="Arial"/>
                <w:sz w:val="14"/>
                <w:szCs w:val="14"/>
                <w:color w:val="auto"/>
              </w:rPr>
              <w:t>CASH FLOWS FROM OPERATING ACTIVITIES</w:t>
            </w: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16"/>
        </w:trPr>
        <w:tc>
          <w:tcPr>
            <w:tcW w:w="4280" w:type="dxa"/>
            <w:vAlign w:val="bottom"/>
          </w:tcPr>
          <w:p>
            <w:pPr>
              <w:ind w:left="260"/>
              <w:spacing w:after="0"/>
              <w:rPr>
                <w:sz w:val="20"/>
                <w:szCs w:val="20"/>
                <w:color w:val="auto"/>
              </w:rPr>
            </w:pPr>
            <w:r>
              <w:rPr>
                <w:rFonts w:ascii="Arial" w:cs="Arial" w:eastAsia="Arial" w:hAnsi="Arial"/>
                <w:sz w:val="14"/>
                <w:szCs w:val="14"/>
                <w:color w:val="auto"/>
              </w:rPr>
              <w:t>Net income</w:t>
            </w:r>
          </w:p>
        </w:tc>
        <w:tc>
          <w:tcPr>
            <w:tcW w:w="3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168"/>
              <w:spacing w:after="0"/>
              <w:rPr>
                <w:sz w:val="20"/>
                <w:szCs w:val="20"/>
                <w:color w:val="auto"/>
              </w:rPr>
            </w:pPr>
            <w:r>
              <w:rPr>
                <w:rFonts w:ascii="Arial" w:cs="Arial" w:eastAsia="Arial" w:hAnsi="Arial"/>
                <w:sz w:val="14"/>
                <w:szCs w:val="14"/>
                <w:color w:val="auto"/>
              </w:rPr>
              <w:t>252</w:t>
            </w:r>
          </w:p>
        </w:tc>
        <w:tc>
          <w:tcPr>
            <w:tcW w:w="3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168"/>
              <w:spacing w:after="0"/>
              <w:rPr>
                <w:sz w:val="20"/>
                <w:szCs w:val="20"/>
                <w:color w:val="auto"/>
              </w:rPr>
            </w:pPr>
            <w:r>
              <w:rPr>
                <w:rFonts w:ascii="Arial" w:cs="Arial" w:eastAsia="Arial" w:hAnsi="Arial"/>
                <w:sz w:val="14"/>
                <w:szCs w:val="14"/>
                <w:color w:val="auto"/>
              </w:rPr>
              <w:t>242</w:t>
            </w:r>
          </w:p>
        </w:tc>
        <w:tc>
          <w:tcPr>
            <w:tcW w:w="3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148"/>
              <w:spacing w:after="0"/>
              <w:rPr>
                <w:sz w:val="20"/>
                <w:szCs w:val="20"/>
                <w:color w:val="auto"/>
              </w:rPr>
            </w:pPr>
            <w:r>
              <w:rPr>
                <w:rFonts w:ascii="Arial" w:cs="Arial" w:eastAsia="Arial" w:hAnsi="Arial"/>
                <w:sz w:val="14"/>
                <w:szCs w:val="14"/>
                <w:color w:val="auto"/>
              </w:rPr>
              <w:t>239</w:t>
            </w:r>
          </w:p>
        </w:tc>
      </w:tr>
      <w:tr>
        <w:trPr>
          <w:trHeight w:val="188"/>
        </w:trPr>
        <w:tc>
          <w:tcPr>
            <w:tcW w:w="4280" w:type="dxa"/>
            <w:vAlign w:val="bottom"/>
          </w:tcPr>
          <w:p>
            <w:pPr>
              <w:ind w:left="260"/>
              <w:spacing w:after="0"/>
              <w:rPr>
                <w:sz w:val="20"/>
                <w:szCs w:val="20"/>
                <w:color w:val="auto"/>
              </w:rPr>
            </w:pPr>
            <w:r>
              <w:rPr>
                <w:rFonts w:ascii="Arial" w:cs="Arial" w:eastAsia="Arial" w:hAnsi="Arial"/>
                <w:sz w:val="14"/>
                <w:szCs w:val="14"/>
                <w:color w:val="auto"/>
              </w:rPr>
              <w:t>Adjustments to reconcile net income to net cash provided by</w:t>
            </w:r>
          </w:p>
        </w:tc>
        <w:tc>
          <w:tcPr>
            <w:tcW w:w="3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72"/>
        </w:trPr>
        <w:tc>
          <w:tcPr>
            <w:tcW w:w="4280" w:type="dxa"/>
            <w:vAlign w:val="bottom"/>
          </w:tcPr>
          <w:p>
            <w:pPr>
              <w:ind w:left="440"/>
              <w:spacing w:after="0"/>
              <w:rPr>
                <w:sz w:val="20"/>
                <w:szCs w:val="20"/>
                <w:color w:val="auto"/>
              </w:rPr>
            </w:pPr>
            <w:r>
              <w:rPr>
                <w:rFonts w:ascii="Arial" w:cs="Arial" w:eastAsia="Arial" w:hAnsi="Arial"/>
                <w:sz w:val="14"/>
                <w:szCs w:val="14"/>
                <w:color w:val="auto"/>
              </w:rPr>
              <w:t>operating activities</w:t>
            </w:r>
          </w:p>
        </w:tc>
        <w:tc>
          <w:tcPr>
            <w:tcW w:w="3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216"/>
        </w:trPr>
        <w:tc>
          <w:tcPr>
            <w:tcW w:w="4280" w:type="dxa"/>
            <w:vAlign w:val="bottom"/>
          </w:tcPr>
          <w:p>
            <w:pPr>
              <w:ind w:left="740"/>
              <w:spacing w:after="0"/>
              <w:rPr>
                <w:sz w:val="20"/>
                <w:szCs w:val="20"/>
                <w:color w:val="auto"/>
              </w:rPr>
            </w:pPr>
            <w:r>
              <w:rPr>
                <w:rFonts w:ascii="Arial" w:cs="Arial" w:eastAsia="Arial" w:hAnsi="Arial"/>
                <w:sz w:val="14"/>
                <w:szCs w:val="14"/>
                <w:color w:val="auto"/>
              </w:rPr>
              <w:t>Depreciation</w:t>
            </w:r>
          </w:p>
        </w:tc>
        <w:tc>
          <w:tcPr>
            <w:tcW w:w="300" w:type="dxa"/>
            <w:vAlign w:val="bottom"/>
          </w:tcPr>
          <w:p>
            <w:pPr>
              <w:spacing w:after="0"/>
              <w:rPr>
                <w:sz w:val="18"/>
                <w:szCs w:val="18"/>
                <w:color w:val="auto"/>
              </w:rPr>
            </w:pPr>
          </w:p>
        </w:tc>
        <w:tc>
          <w:tcPr>
            <w:tcW w:w="800" w:type="dxa"/>
            <w:vAlign w:val="bottom"/>
          </w:tcPr>
          <w:p>
            <w:pPr>
              <w:jc w:val="right"/>
              <w:ind w:right="168"/>
              <w:spacing w:after="0"/>
              <w:rPr>
                <w:sz w:val="20"/>
                <w:szCs w:val="20"/>
                <w:color w:val="auto"/>
              </w:rPr>
            </w:pPr>
            <w:r>
              <w:rPr>
                <w:rFonts w:ascii="Arial" w:cs="Arial" w:eastAsia="Arial" w:hAnsi="Arial"/>
                <w:sz w:val="14"/>
                <w:szCs w:val="14"/>
                <w:color w:val="auto"/>
              </w:rPr>
              <w:t>280</w:t>
            </w:r>
          </w:p>
        </w:tc>
        <w:tc>
          <w:tcPr>
            <w:tcW w:w="340" w:type="dxa"/>
            <w:vAlign w:val="bottom"/>
          </w:tcPr>
          <w:p>
            <w:pPr>
              <w:spacing w:after="0"/>
              <w:rPr>
                <w:sz w:val="18"/>
                <w:szCs w:val="18"/>
                <w:color w:val="auto"/>
              </w:rPr>
            </w:pPr>
          </w:p>
        </w:tc>
        <w:tc>
          <w:tcPr>
            <w:tcW w:w="820" w:type="dxa"/>
            <w:vAlign w:val="bottom"/>
          </w:tcPr>
          <w:p>
            <w:pPr>
              <w:jc w:val="right"/>
              <w:ind w:right="168"/>
              <w:spacing w:after="0"/>
              <w:rPr>
                <w:sz w:val="20"/>
                <w:szCs w:val="20"/>
                <w:color w:val="auto"/>
              </w:rPr>
            </w:pPr>
            <w:r>
              <w:rPr>
                <w:rFonts w:ascii="Arial" w:cs="Arial" w:eastAsia="Arial" w:hAnsi="Arial"/>
                <w:sz w:val="14"/>
                <w:szCs w:val="14"/>
                <w:color w:val="auto"/>
              </w:rPr>
              <w:t>281</w:t>
            </w:r>
          </w:p>
        </w:tc>
        <w:tc>
          <w:tcPr>
            <w:tcW w:w="320" w:type="dxa"/>
            <w:vAlign w:val="bottom"/>
          </w:tcPr>
          <w:p>
            <w:pPr>
              <w:spacing w:after="0"/>
              <w:rPr>
                <w:sz w:val="18"/>
                <w:szCs w:val="18"/>
                <w:color w:val="auto"/>
              </w:rPr>
            </w:pPr>
          </w:p>
        </w:tc>
        <w:tc>
          <w:tcPr>
            <w:tcW w:w="780" w:type="dxa"/>
            <w:vAlign w:val="bottom"/>
          </w:tcPr>
          <w:p>
            <w:pPr>
              <w:jc w:val="right"/>
              <w:ind w:right="148"/>
              <w:spacing w:after="0"/>
              <w:rPr>
                <w:sz w:val="20"/>
                <w:szCs w:val="20"/>
                <w:color w:val="auto"/>
              </w:rPr>
            </w:pPr>
            <w:r>
              <w:rPr>
                <w:rFonts w:ascii="Arial" w:cs="Arial" w:eastAsia="Arial" w:hAnsi="Arial"/>
                <w:sz w:val="14"/>
                <w:szCs w:val="14"/>
                <w:color w:val="auto"/>
              </w:rPr>
              <w:t>267</w:t>
            </w:r>
          </w:p>
        </w:tc>
      </w:tr>
      <w:tr>
        <w:trPr>
          <w:trHeight w:val="216"/>
        </w:trPr>
        <w:tc>
          <w:tcPr>
            <w:tcW w:w="4280" w:type="dxa"/>
            <w:vAlign w:val="bottom"/>
          </w:tcPr>
          <w:p>
            <w:pPr>
              <w:ind w:left="740"/>
              <w:spacing w:after="0"/>
              <w:rPr>
                <w:sz w:val="20"/>
                <w:szCs w:val="20"/>
                <w:color w:val="auto"/>
              </w:rPr>
            </w:pPr>
            <w:r>
              <w:rPr>
                <w:rFonts w:ascii="Arial" w:cs="Arial" w:eastAsia="Arial" w:hAnsi="Arial"/>
                <w:sz w:val="14"/>
                <w:szCs w:val="14"/>
                <w:color w:val="auto"/>
              </w:rPr>
              <w:t>Deferred income taxes and investment tax credits</w:t>
            </w:r>
          </w:p>
        </w:tc>
        <w:tc>
          <w:tcPr>
            <w:tcW w:w="300" w:type="dxa"/>
            <w:vAlign w:val="bottom"/>
          </w:tcPr>
          <w:p>
            <w:pPr>
              <w:spacing w:after="0"/>
              <w:rPr>
                <w:sz w:val="18"/>
                <w:szCs w:val="18"/>
                <w:color w:val="auto"/>
              </w:rPr>
            </w:pPr>
          </w:p>
        </w:tc>
        <w:tc>
          <w:tcPr>
            <w:tcW w:w="800" w:type="dxa"/>
            <w:vAlign w:val="bottom"/>
          </w:tcPr>
          <w:p>
            <w:pPr>
              <w:jc w:val="right"/>
              <w:ind w:right="168"/>
              <w:spacing w:after="0"/>
              <w:rPr>
                <w:sz w:val="20"/>
                <w:szCs w:val="20"/>
                <w:color w:val="auto"/>
              </w:rPr>
            </w:pPr>
            <w:r>
              <w:rPr>
                <w:rFonts w:ascii="Arial" w:cs="Arial" w:eastAsia="Arial" w:hAnsi="Arial"/>
                <w:sz w:val="14"/>
                <w:szCs w:val="14"/>
                <w:color w:val="auto"/>
              </w:rPr>
              <w:t>92</w:t>
            </w:r>
          </w:p>
        </w:tc>
        <w:tc>
          <w:tcPr>
            <w:tcW w:w="340" w:type="dxa"/>
            <w:vAlign w:val="bottom"/>
          </w:tcPr>
          <w:p>
            <w:pPr>
              <w:spacing w:after="0"/>
              <w:rPr>
                <w:sz w:val="18"/>
                <w:szCs w:val="18"/>
                <w:color w:val="auto"/>
              </w:rPr>
            </w:pPr>
          </w:p>
        </w:tc>
        <w:tc>
          <w:tcPr>
            <w:tcW w:w="820" w:type="dxa"/>
            <w:vAlign w:val="bottom"/>
          </w:tcPr>
          <w:p>
            <w:pPr>
              <w:jc w:val="right"/>
              <w:ind w:right="168"/>
              <w:spacing w:after="0"/>
              <w:rPr>
                <w:sz w:val="20"/>
                <w:szCs w:val="20"/>
                <w:color w:val="auto"/>
              </w:rPr>
            </w:pPr>
            <w:r>
              <w:rPr>
                <w:rFonts w:ascii="Arial" w:cs="Arial" w:eastAsia="Arial" w:hAnsi="Arial"/>
                <w:sz w:val="14"/>
                <w:szCs w:val="14"/>
                <w:color w:val="auto"/>
              </w:rPr>
              <w:t>10</w:t>
            </w:r>
          </w:p>
        </w:tc>
        <w:tc>
          <w:tcPr>
            <w:tcW w:w="320" w:type="dxa"/>
            <w:vAlign w:val="bottom"/>
          </w:tcPr>
          <w:p>
            <w:pPr>
              <w:spacing w:after="0"/>
              <w:rPr>
                <w:sz w:val="18"/>
                <w:szCs w:val="18"/>
                <w:color w:val="auto"/>
              </w:rPr>
            </w:pPr>
          </w:p>
        </w:tc>
        <w:tc>
          <w:tcPr>
            <w:tcW w:w="780" w:type="dxa"/>
            <w:vAlign w:val="bottom"/>
          </w:tcPr>
          <w:p>
            <w:pPr>
              <w:jc w:val="right"/>
              <w:ind w:right="88"/>
              <w:spacing w:after="0"/>
              <w:rPr>
                <w:sz w:val="20"/>
                <w:szCs w:val="20"/>
                <w:color w:val="auto"/>
              </w:rPr>
            </w:pPr>
            <w:r>
              <w:rPr>
                <w:rFonts w:ascii="Arial" w:cs="Arial" w:eastAsia="Arial" w:hAnsi="Arial"/>
                <w:sz w:val="14"/>
                <w:szCs w:val="14"/>
                <w:color w:val="auto"/>
              </w:rPr>
              <w:t>(26 )</w:t>
            </w:r>
          </w:p>
        </w:tc>
      </w:tr>
      <w:tr>
        <w:trPr>
          <w:trHeight w:val="216"/>
        </w:trPr>
        <w:tc>
          <w:tcPr>
            <w:tcW w:w="4280" w:type="dxa"/>
            <w:vAlign w:val="bottom"/>
          </w:tcPr>
          <w:p>
            <w:pPr>
              <w:ind w:left="740"/>
              <w:spacing w:after="0"/>
              <w:rPr>
                <w:sz w:val="20"/>
                <w:szCs w:val="20"/>
                <w:color w:val="auto"/>
              </w:rPr>
            </w:pPr>
            <w:r>
              <w:rPr>
                <w:rFonts w:ascii="Arial" w:cs="Arial" w:eastAsia="Arial" w:hAnsi="Arial"/>
                <w:sz w:val="14"/>
                <w:szCs w:val="14"/>
                <w:color w:val="auto"/>
              </w:rPr>
              <w:t>Gains on sale of assets, net</w:t>
            </w:r>
          </w:p>
        </w:tc>
        <w:tc>
          <w:tcPr>
            <w:tcW w:w="300" w:type="dxa"/>
            <w:vAlign w:val="bottom"/>
          </w:tcPr>
          <w:p>
            <w:pPr>
              <w:spacing w:after="0"/>
              <w:rPr>
                <w:sz w:val="18"/>
                <w:szCs w:val="18"/>
                <w:color w:val="auto"/>
              </w:rPr>
            </w:pPr>
          </w:p>
        </w:tc>
        <w:tc>
          <w:tcPr>
            <w:tcW w:w="80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8"/>
                <w:szCs w:val="18"/>
                <w:color w:val="auto"/>
              </w:rPr>
            </w:pPr>
          </w:p>
        </w:tc>
        <w:tc>
          <w:tcPr>
            <w:tcW w:w="820" w:type="dxa"/>
            <w:vAlign w:val="bottom"/>
          </w:tcPr>
          <w:p>
            <w:pPr>
              <w:jc w:val="right"/>
              <w:ind w:right="108"/>
              <w:spacing w:after="0"/>
              <w:rPr>
                <w:sz w:val="20"/>
                <w:szCs w:val="20"/>
                <w:color w:val="auto"/>
              </w:rPr>
            </w:pPr>
            <w:r>
              <w:rPr>
                <w:rFonts w:ascii="Arial" w:cs="Arial" w:eastAsia="Arial" w:hAnsi="Arial"/>
                <w:sz w:val="14"/>
                <w:szCs w:val="14"/>
                <w:color w:val="auto"/>
              </w:rPr>
              <w:t>(2 )</w:t>
            </w:r>
          </w:p>
        </w:tc>
        <w:tc>
          <w:tcPr>
            <w:tcW w:w="320" w:type="dxa"/>
            <w:vAlign w:val="bottom"/>
          </w:tcPr>
          <w:p>
            <w:pPr>
              <w:spacing w:after="0"/>
              <w:rPr>
                <w:sz w:val="18"/>
                <w:szCs w:val="18"/>
                <w:color w:val="auto"/>
              </w:rPr>
            </w:pPr>
          </w:p>
        </w:tc>
        <w:tc>
          <w:tcPr>
            <w:tcW w:w="780" w:type="dxa"/>
            <w:vAlign w:val="bottom"/>
          </w:tcPr>
          <w:p>
            <w:pPr>
              <w:jc w:val="right"/>
              <w:ind w:right="88"/>
              <w:spacing w:after="0"/>
              <w:rPr>
                <w:sz w:val="20"/>
                <w:szCs w:val="20"/>
                <w:color w:val="auto"/>
              </w:rPr>
            </w:pPr>
            <w:r>
              <w:rPr>
                <w:rFonts w:ascii="Arial" w:cs="Arial" w:eastAsia="Arial" w:hAnsi="Arial"/>
                <w:sz w:val="14"/>
                <w:szCs w:val="14"/>
                <w:color w:val="auto"/>
              </w:rPr>
              <w:t>(5 )</w:t>
            </w:r>
          </w:p>
        </w:tc>
      </w:tr>
      <w:tr>
        <w:trPr>
          <w:trHeight w:val="216"/>
        </w:trPr>
        <w:tc>
          <w:tcPr>
            <w:tcW w:w="4280" w:type="dxa"/>
            <w:vAlign w:val="bottom"/>
          </w:tcPr>
          <w:p>
            <w:pPr>
              <w:ind w:left="740"/>
              <w:spacing w:after="0"/>
              <w:rPr>
                <w:sz w:val="20"/>
                <w:szCs w:val="20"/>
                <w:color w:val="auto"/>
              </w:rPr>
            </w:pPr>
            <w:r>
              <w:rPr>
                <w:rFonts w:ascii="Arial" w:cs="Arial" w:eastAsia="Arial" w:hAnsi="Arial"/>
                <w:sz w:val="14"/>
                <w:szCs w:val="14"/>
                <w:color w:val="auto"/>
              </w:rPr>
              <w:t>Other</w:t>
            </w:r>
          </w:p>
        </w:tc>
        <w:tc>
          <w:tcPr>
            <w:tcW w:w="300" w:type="dxa"/>
            <w:vAlign w:val="bottom"/>
          </w:tcPr>
          <w:p>
            <w:pPr>
              <w:spacing w:after="0"/>
              <w:rPr>
                <w:sz w:val="18"/>
                <w:szCs w:val="18"/>
                <w:color w:val="auto"/>
              </w:rPr>
            </w:pPr>
          </w:p>
        </w:tc>
        <w:tc>
          <w:tcPr>
            <w:tcW w:w="800" w:type="dxa"/>
            <w:vAlign w:val="bottom"/>
          </w:tcPr>
          <w:p>
            <w:pPr>
              <w:jc w:val="right"/>
              <w:ind w:right="88"/>
              <w:spacing w:after="0"/>
              <w:rPr>
                <w:sz w:val="20"/>
                <w:szCs w:val="20"/>
                <w:color w:val="auto"/>
              </w:rPr>
            </w:pPr>
            <w:r>
              <w:rPr>
                <w:rFonts w:ascii="Arial" w:cs="Arial" w:eastAsia="Arial" w:hAnsi="Arial"/>
                <w:sz w:val="14"/>
                <w:szCs w:val="14"/>
                <w:color w:val="auto"/>
              </w:rPr>
              <w:t>(2 )</w:t>
            </w:r>
          </w:p>
        </w:tc>
        <w:tc>
          <w:tcPr>
            <w:tcW w:w="340" w:type="dxa"/>
            <w:vAlign w:val="bottom"/>
          </w:tcPr>
          <w:p>
            <w:pPr>
              <w:spacing w:after="0"/>
              <w:rPr>
                <w:sz w:val="18"/>
                <w:szCs w:val="18"/>
                <w:color w:val="auto"/>
              </w:rPr>
            </w:pPr>
          </w:p>
        </w:tc>
        <w:tc>
          <w:tcPr>
            <w:tcW w:w="820" w:type="dxa"/>
            <w:vAlign w:val="bottom"/>
          </w:tcPr>
          <w:p>
            <w:pPr>
              <w:jc w:val="right"/>
              <w:ind w:right="168"/>
              <w:spacing w:after="0"/>
              <w:rPr>
                <w:sz w:val="20"/>
                <w:szCs w:val="20"/>
                <w:color w:val="auto"/>
              </w:rPr>
            </w:pPr>
            <w:r>
              <w:rPr>
                <w:rFonts w:ascii="Arial" w:cs="Arial" w:eastAsia="Arial" w:hAnsi="Arial"/>
                <w:sz w:val="14"/>
                <w:szCs w:val="14"/>
                <w:color w:val="auto"/>
              </w:rPr>
              <w:t>2</w:t>
            </w:r>
          </w:p>
        </w:tc>
        <w:tc>
          <w:tcPr>
            <w:tcW w:w="320" w:type="dxa"/>
            <w:vAlign w:val="bottom"/>
          </w:tcPr>
          <w:p>
            <w:pPr>
              <w:spacing w:after="0"/>
              <w:rPr>
                <w:sz w:val="18"/>
                <w:szCs w:val="18"/>
                <w:color w:val="auto"/>
              </w:rPr>
            </w:pPr>
          </w:p>
        </w:tc>
        <w:tc>
          <w:tcPr>
            <w:tcW w:w="780" w:type="dxa"/>
            <w:vAlign w:val="bottom"/>
          </w:tcPr>
          <w:p>
            <w:pPr>
              <w:jc w:val="right"/>
              <w:ind w:right="148"/>
              <w:spacing w:after="0"/>
              <w:rPr>
                <w:sz w:val="20"/>
                <w:szCs w:val="20"/>
                <w:color w:val="auto"/>
              </w:rPr>
            </w:pPr>
            <w:r>
              <w:rPr>
                <w:rFonts w:ascii="Arial" w:cs="Arial" w:eastAsia="Arial" w:hAnsi="Arial"/>
                <w:sz w:val="14"/>
                <w:szCs w:val="14"/>
                <w:color w:val="auto"/>
              </w:rPr>
              <w:t>3</w:t>
            </w:r>
          </w:p>
        </w:tc>
      </w:tr>
      <w:tr>
        <w:trPr>
          <w:trHeight w:val="216"/>
        </w:trPr>
        <w:tc>
          <w:tcPr>
            <w:tcW w:w="4280" w:type="dxa"/>
            <w:vAlign w:val="bottom"/>
          </w:tcPr>
          <w:p>
            <w:pPr>
              <w:ind w:left="260"/>
              <w:spacing w:after="0"/>
              <w:rPr>
                <w:sz w:val="20"/>
                <w:szCs w:val="20"/>
                <w:color w:val="auto"/>
              </w:rPr>
            </w:pPr>
            <w:r>
              <w:rPr>
                <w:rFonts w:ascii="Arial" w:cs="Arial" w:eastAsia="Arial" w:hAnsi="Arial"/>
                <w:sz w:val="14"/>
                <w:szCs w:val="14"/>
                <w:color w:val="auto"/>
              </w:rPr>
              <w:t>Quasi-reorganization resolution</w:t>
            </w:r>
          </w:p>
        </w:tc>
        <w:tc>
          <w:tcPr>
            <w:tcW w:w="300" w:type="dxa"/>
            <w:vAlign w:val="bottom"/>
          </w:tcPr>
          <w:p>
            <w:pPr>
              <w:spacing w:after="0"/>
              <w:rPr>
                <w:sz w:val="18"/>
                <w:szCs w:val="18"/>
                <w:color w:val="auto"/>
              </w:rPr>
            </w:pPr>
          </w:p>
        </w:tc>
        <w:tc>
          <w:tcPr>
            <w:tcW w:w="80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8"/>
                <w:szCs w:val="18"/>
                <w:color w:val="auto"/>
              </w:rPr>
            </w:pPr>
          </w:p>
        </w:tc>
        <w:tc>
          <w:tcPr>
            <w:tcW w:w="82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8"/>
                <w:szCs w:val="18"/>
                <w:color w:val="auto"/>
              </w:rPr>
            </w:pPr>
          </w:p>
        </w:tc>
        <w:tc>
          <w:tcPr>
            <w:tcW w:w="780" w:type="dxa"/>
            <w:vAlign w:val="bottom"/>
          </w:tcPr>
          <w:p>
            <w:pPr>
              <w:jc w:val="right"/>
              <w:ind w:right="148"/>
              <w:spacing w:after="0"/>
              <w:rPr>
                <w:sz w:val="20"/>
                <w:szCs w:val="20"/>
                <w:color w:val="auto"/>
              </w:rPr>
            </w:pPr>
            <w:r>
              <w:rPr>
                <w:rFonts w:ascii="Arial" w:cs="Arial" w:eastAsia="Arial" w:hAnsi="Arial"/>
                <w:sz w:val="14"/>
                <w:szCs w:val="14"/>
                <w:color w:val="auto"/>
              </w:rPr>
              <w:t>12</w:t>
            </w:r>
          </w:p>
        </w:tc>
      </w:tr>
      <w:tr>
        <w:trPr>
          <w:trHeight w:val="216"/>
        </w:trPr>
        <w:tc>
          <w:tcPr>
            <w:tcW w:w="4280" w:type="dxa"/>
            <w:vAlign w:val="bottom"/>
          </w:tcPr>
          <w:p>
            <w:pPr>
              <w:ind w:left="260"/>
              <w:spacing w:after="0"/>
              <w:rPr>
                <w:sz w:val="20"/>
                <w:szCs w:val="20"/>
                <w:color w:val="auto"/>
              </w:rPr>
            </w:pPr>
            <w:r>
              <w:rPr>
                <w:rFonts w:ascii="Arial" w:cs="Arial" w:eastAsia="Arial" w:hAnsi="Arial"/>
                <w:sz w:val="14"/>
                <w:szCs w:val="14"/>
                <w:color w:val="auto"/>
              </w:rPr>
              <w:t>Changes in other assets</w:t>
            </w:r>
          </w:p>
        </w:tc>
        <w:tc>
          <w:tcPr>
            <w:tcW w:w="300" w:type="dxa"/>
            <w:vAlign w:val="bottom"/>
          </w:tcPr>
          <w:p>
            <w:pPr>
              <w:spacing w:after="0"/>
              <w:rPr>
                <w:sz w:val="18"/>
                <w:szCs w:val="18"/>
                <w:color w:val="auto"/>
              </w:rPr>
            </w:pPr>
          </w:p>
        </w:tc>
        <w:tc>
          <w:tcPr>
            <w:tcW w:w="800" w:type="dxa"/>
            <w:vAlign w:val="bottom"/>
          </w:tcPr>
          <w:p>
            <w:pPr>
              <w:jc w:val="right"/>
              <w:ind w:right="88"/>
              <w:spacing w:after="0"/>
              <w:rPr>
                <w:sz w:val="20"/>
                <w:szCs w:val="20"/>
                <w:color w:val="auto"/>
              </w:rPr>
            </w:pPr>
            <w:r>
              <w:rPr>
                <w:rFonts w:ascii="Arial" w:cs="Arial" w:eastAsia="Arial" w:hAnsi="Arial"/>
                <w:sz w:val="14"/>
                <w:szCs w:val="14"/>
                <w:color w:val="auto"/>
              </w:rPr>
              <w:t>(30 )</w:t>
            </w:r>
          </w:p>
        </w:tc>
        <w:tc>
          <w:tcPr>
            <w:tcW w:w="340" w:type="dxa"/>
            <w:vAlign w:val="bottom"/>
          </w:tcPr>
          <w:p>
            <w:pPr>
              <w:spacing w:after="0"/>
              <w:rPr>
                <w:sz w:val="18"/>
                <w:szCs w:val="18"/>
                <w:color w:val="auto"/>
              </w:rPr>
            </w:pPr>
          </w:p>
        </w:tc>
        <w:tc>
          <w:tcPr>
            <w:tcW w:w="820" w:type="dxa"/>
            <w:vAlign w:val="bottom"/>
          </w:tcPr>
          <w:p>
            <w:pPr>
              <w:jc w:val="right"/>
              <w:ind w:right="168"/>
              <w:spacing w:after="0"/>
              <w:rPr>
                <w:sz w:val="20"/>
                <w:szCs w:val="20"/>
                <w:color w:val="auto"/>
              </w:rPr>
            </w:pPr>
            <w:r>
              <w:rPr>
                <w:rFonts w:ascii="Arial" w:cs="Arial" w:eastAsia="Arial" w:hAnsi="Arial"/>
                <w:sz w:val="14"/>
                <w:szCs w:val="14"/>
                <w:color w:val="auto"/>
              </w:rPr>
              <w:t>4</w:t>
            </w:r>
          </w:p>
        </w:tc>
        <w:tc>
          <w:tcPr>
            <w:tcW w:w="320" w:type="dxa"/>
            <w:vAlign w:val="bottom"/>
          </w:tcPr>
          <w:p>
            <w:pPr>
              <w:spacing w:after="0"/>
              <w:rPr>
                <w:sz w:val="18"/>
                <w:szCs w:val="18"/>
                <w:color w:val="auto"/>
              </w:rPr>
            </w:pPr>
          </w:p>
        </w:tc>
        <w:tc>
          <w:tcPr>
            <w:tcW w:w="780" w:type="dxa"/>
            <w:vAlign w:val="bottom"/>
          </w:tcPr>
          <w:p>
            <w:pPr>
              <w:jc w:val="right"/>
              <w:ind w:right="88"/>
              <w:spacing w:after="0"/>
              <w:rPr>
                <w:sz w:val="20"/>
                <w:szCs w:val="20"/>
                <w:color w:val="auto"/>
              </w:rPr>
            </w:pPr>
            <w:r>
              <w:rPr>
                <w:rFonts w:ascii="Arial" w:cs="Arial" w:eastAsia="Arial" w:hAnsi="Arial"/>
                <w:sz w:val="14"/>
                <w:szCs w:val="14"/>
                <w:color w:val="auto"/>
              </w:rPr>
              <w:t>(2 )</w:t>
            </w:r>
          </w:p>
        </w:tc>
      </w:tr>
      <w:tr>
        <w:trPr>
          <w:trHeight w:val="216"/>
        </w:trPr>
        <w:tc>
          <w:tcPr>
            <w:tcW w:w="4280" w:type="dxa"/>
            <w:vAlign w:val="bottom"/>
          </w:tcPr>
          <w:p>
            <w:pPr>
              <w:ind w:left="260"/>
              <w:spacing w:after="0"/>
              <w:rPr>
                <w:sz w:val="20"/>
                <w:szCs w:val="20"/>
                <w:color w:val="auto"/>
              </w:rPr>
            </w:pPr>
            <w:r>
              <w:rPr>
                <w:rFonts w:ascii="Arial" w:cs="Arial" w:eastAsia="Arial" w:hAnsi="Arial"/>
                <w:sz w:val="14"/>
                <w:szCs w:val="14"/>
                <w:color w:val="auto"/>
              </w:rPr>
              <w:t>Changes in other liabilities</w:t>
            </w:r>
          </w:p>
        </w:tc>
        <w:tc>
          <w:tcPr>
            <w:tcW w:w="300" w:type="dxa"/>
            <w:vAlign w:val="bottom"/>
          </w:tcPr>
          <w:p>
            <w:pPr>
              <w:spacing w:after="0"/>
              <w:rPr>
                <w:sz w:val="18"/>
                <w:szCs w:val="18"/>
                <w:color w:val="auto"/>
              </w:rPr>
            </w:pPr>
          </w:p>
        </w:tc>
        <w:tc>
          <w:tcPr>
            <w:tcW w:w="800" w:type="dxa"/>
            <w:vAlign w:val="bottom"/>
          </w:tcPr>
          <w:p>
            <w:pPr>
              <w:jc w:val="right"/>
              <w:ind w:right="88"/>
              <w:spacing w:after="0"/>
              <w:rPr>
                <w:sz w:val="20"/>
                <w:szCs w:val="20"/>
                <w:color w:val="auto"/>
              </w:rPr>
            </w:pPr>
            <w:r>
              <w:rPr>
                <w:rFonts w:ascii="Arial" w:cs="Arial" w:eastAsia="Arial" w:hAnsi="Arial"/>
                <w:sz w:val="14"/>
                <w:szCs w:val="14"/>
                <w:color w:val="auto"/>
              </w:rPr>
              <w:t>(56 )</w:t>
            </w:r>
          </w:p>
        </w:tc>
        <w:tc>
          <w:tcPr>
            <w:tcW w:w="340" w:type="dxa"/>
            <w:vAlign w:val="bottom"/>
          </w:tcPr>
          <w:p>
            <w:pPr>
              <w:spacing w:after="0"/>
              <w:rPr>
                <w:sz w:val="18"/>
                <w:szCs w:val="18"/>
                <w:color w:val="auto"/>
              </w:rPr>
            </w:pPr>
          </w:p>
        </w:tc>
        <w:tc>
          <w:tcPr>
            <w:tcW w:w="820" w:type="dxa"/>
            <w:vAlign w:val="bottom"/>
          </w:tcPr>
          <w:p>
            <w:pPr>
              <w:jc w:val="right"/>
              <w:ind w:right="168"/>
              <w:spacing w:after="0"/>
              <w:rPr>
                <w:sz w:val="20"/>
                <w:szCs w:val="20"/>
                <w:color w:val="auto"/>
              </w:rPr>
            </w:pPr>
            <w:r>
              <w:rPr>
                <w:rFonts w:ascii="Arial" w:cs="Arial" w:eastAsia="Arial" w:hAnsi="Arial"/>
                <w:sz w:val="14"/>
                <w:szCs w:val="14"/>
                <w:color w:val="auto"/>
              </w:rPr>
              <w:t>29</w:t>
            </w:r>
          </w:p>
        </w:tc>
        <w:tc>
          <w:tcPr>
            <w:tcW w:w="320" w:type="dxa"/>
            <w:vAlign w:val="bottom"/>
          </w:tcPr>
          <w:p>
            <w:pPr>
              <w:spacing w:after="0"/>
              <w:rPr>
                <w:sz w:val="18"/>
                <w:szCs w:val="18"/>
                <w:color w:val="auto"/>
              </w:rPr>
            </w:pPr>
          </w:p>
        </w:tc>
        <w:tc>
          <w:tcPr>
            <w:tcW w:w="780" w:type="dxa"/>
            <w:vAlign w:val="bottom"/>
          </w:tcPr>
          <w:p>
            <w:pPr>
              <w:jc w:val="right"/>
              <w:ind w:right="148"/>
              <w:spacing w:after="0"/>
              <w:rPr>
                <w:sz w:val="20"/>
                <w:szCs w:val="20"/>
                <w:color w:val="auto"/>
              </w:rPr>
            </w:pPr>
            <w:r>
              <w:rPr>
                <w:rFonts w:ascii="Arial" w:cs="Arial" w:eastAsia="Arial" w:hAnsi="Arial"/>
                <w:sz w:val="14"/>
                <w:szCs w:val="14"/>
                <w:color w:val="auto"/>
              </w:rPr>
              <w:t>26</w:t>
            </w:r>
          </w:p>
        </w:tc>
      </w:tr>
      <w:tr>
        <w:trPr>
          <w:trHeight w:val="216"/>
        </w:trPr>
        <w:tc>
          <w:tcPr>
            <w:tcW w:w="4280" w:type="dxa"/>
            <w:vAlign w:val="bottom"/>
          </w:tcPr>
          <w:p>
            <w:pPr>
              <w:ind w:left="260"/>
              <w:spacing w:after="0"/>
              <w:rPr>
                <w:sz w:val="20"/>
                <w:szCs w:val="20"/>
                <w:color w:val="auto"/>
              </w:rPr>
            </w:pPr>
            <w:r>
              <w:rPr>
                <w:rFonts w:ascii="Arial" w:cs="Arial" w:eastAsia="Arial" w:hAnsi="Arial"/>
                <w:sz w:val="14"/>
                <w:szCs w:val="14"/>
                <w:color w:val="auto"/>
              </w:rPr>
              <w:t>Changes in working capital components:</w:t>
            </w: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16"/>
        </w:trPr>
        <w:tc>
          <w:tcPr>
            <w:tcW w:w="4280" w:type="dxa"/>
            <w:vAlign w:val="bottom"/>
          </w:tcPr>
          <w:p>
            <w:pPr>
              <w:ind w:left="500"/>
              <w:spacing w:after="0"/>
              <w:rPr>
                <w:sz w:val="20"/>
                <w:szCs w:val="20"/>
                <w:color w:val="auto"/>
              </w:rPr>
            </w:pPr>
            <w:r>
              <w:rPr>
                <w:rFonts w:ascii="Arial" w:cs="Arial" w:eastAsia="Arial" w:hAnsi="Arial"/>
                <w:sz w:val="14"/>
                <w:szCs w:val="14"/>
                <w:color w:val="auto"/>
              </w:rPr>
              <w:t>Accounts receivable</w:t>
            </w:r>
          </w:p>
        </w:tc>
        <w:tc>
          <w:tcPr>
            <w:tcW w:w="300" w:type="dxa"/>
            <w:vAlign w:val="bottom"/>
          </w:tcPr>
          <w:p>
            <w:pPr>
              <w:spacing w:after="0"/>
              <w:rPr>
                <w:sz w:val="18"/>
                <w:szCs w:val="18"/>
                <w:color w:val="auto"/>
              </w:rPr>
            </w:pPr>
          </w:p>
        </w:tc>
        <w:tc>
          <w:tcPr>
            <w:tcW w:w="800" w:type="dxa"/>
            <w:vAlign w:val="bottom"/>
          </w:tcPr>
          <w:p>
            <w:pPr>
              <w:jc w:val="right"/>
              <w:ind w:right="168"/>
              <w:spacing w:after="0"/>
              <w:rPr>
                <w:sz w:val="20"/>
                <w:szCs w:val="20"/>
                <w:color w:val="auto"/>
              </w:rPr>
            </w:pPr>
            <w:r>
              <w:rPr>
                <w:rFonts w:ascii="Arial" w:cs="Arial" w:eastAsia="Arial" w:hAnsi="Arial"/>
                <w:sz w:val="14"/>
                <w:szCs w:val="14"/>
                <w:color w:val="auto"/>
              </w:rPr>
              <w:t>102</w:t>
            </w:r>
          </w:p>
        </w:tc>
        <w:tc>
          <w:tcPr>
            <w:tcW w:w="340" w:type="dxa"/>
            <w:vAlign w:val="bottom"/>
          </w:tcPr>
          <w:p>
            <w:pPr>
              <w:spacing w:after="0"/>
              <w:rPr>
                <w:sz w:val="18"/>
                <w:szCs w:val="18"/>
                <w:color w:val="auto"/>
              </w:rPr>
            </w:pPr>
          </w:p>
        </w:tc>
        <w:tc>
          <w:tcPr>
            <w:tcW w:w="820" w:type="dxa"/>
            <w:vAlign w:val="bottom"/>
          </w:tcPr>
          <w:p>
            <w:pPr>
              <w:jc w:val="right"/>
              <w:ind w:right="108"/>
              <w:spacing w:after="0"/>
              <w:rPr>
                <w:sz w:val="20"/>
                <w:szCs w:val="20"/>
                <w:color w:val="auto"/>
              </w:rPr>
            </w:pPr>
            <w:r>
              <w:rPr>
                <w:rFonts w:ascii="Arial" w:cs="Arial" w:eastAsia="Arial" w:hAnsi="Arial"/>
                <w:sz w:val="14"/>
                <w:szCs w:val="14"/>
                <w:color w:val="auto"/>
              </w:rPr>
              <w:t>(31 )</w:t>
            </w:r>
          </w:p>
        </w:tc>
        <w:tc>
          <w:tcPr>
            <w:tcW w:w="320" w:type="dxa"/>
            <w:vAlign w:val="bottom"/>
          </w:tcPr>
          <w:p>
            <w:pPr>
              <w:spacing w:after="0"/>
              <w:rPr>
                <w:sz w:val="18"/>
                <w:szCs w:val="18"/>
                <w:color w:val="auto"/>
              </w:rPr>
            </w:pPr>
          </w:p>
        </w:tc>
        <w:tc>
          <w:tcPr>
            <w:tcW w:w="780" w:type="dxa"/>
            <w:vAlign w:val="bottom"/>
          </w:tcPr>
          <w:p>
            <w:pPr>
              <w:jc w:val="right"/>
              <w:ind w:right="148"/>
              <w:spacing w:after="0"/>
              <w:rPr>
                <w:sz w:val="20"/>
                <w:szCs w:val="20"/>
                <w:color w:val="auto"/>
              </w:rPr>
            </w:pPr>
            <w:r>
              <w:rPr>
                <w:rFonts w:ascii="Arial" w:cs="Arial" w:eastAsia="Arial" w:hAnsi="Arial"/>
                <w:sz w:val="14"/>
                <w:szCs w:val="14"/>
                <w:color w:val="auto"/>
              </w:rPr>
              <w:t>52</w:t>
            </w:r>
          </w:p>
        </w:tc>
      </w:tr>
      <w:tr>
        <w:trPr>
          <w:trHeight w:val="216"/>
        </w:trPr>
        <w:tc>
          <w:tcPr>
            <w:tcW w:w="4280" w:type="dxa"/>
            <w:vAlign w:val="bottom"/>
          </w:tcPr>
          <w:p>
            <w:pPr>
              <w:ind w:left="500"/>
              <w:spacing w:after="0"/>
              <w:rPr>
                <w:sz w:val="20"/>
                <w:szCs w:val="20"/>
                <w:color w:val="auto"/>
              </w:rPr>
            </w:pPr>
            <w:r>
              <w:rPr>
                <w:rFonts w:ascii="Arial" w:cs="Arial" w:eastAsia="Arial" w:hAnsi="Arial"/>
                <w:sz w:val="14"/>
                <w:szCs w:val="14"/>
                <w:color w:val="auto"/>
              </w:rPr>
              <w:t>Interest receivable</w:t>
            </w:r>
          </w:p>
        </w:tc>
        <w:tc>
          <w:tcPr>
            <w:tcW w:w="300" w:type="dxa"/>
            <w:vAlign w:val="bottom"/>
          </w:tcPr>
          <w:p>
            <w:pPr>
              <w:spacing w:after="0"/>
              <w:rPr>
                <w:sz w:val="18"/>
                <w:szCs w:val="18"/>
                <w:color w:val="auto"/>
              </w:rPr>
            </w:pPr>
          </w:p>
        </w:tc>
        <w:tc>
          <w:tcPr>
            <w:tcW w:w="80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8"/>
                <w:szCs w:val="18"/>
                <w:color w:val="auto"/>
              </w:rPr>
            </w:pPr>
          </w:p>
        </w:tc>
        <w:tc>
          <w:tcPr>
            <w:tcW w:w="820" w:type="dxa"/>
            <w:vAlign w:val="bottom"/>
          </w:tcPr>
          <w:p>
            <w:pPr>
              <w:jc w:val="right"/>
              <w:ind w:right="168"/>
              <w:spacing w:after="0"/>
              <w:rPr>
                <w:sz w:val="20"/>
                <w:szCs w:val="20"/>
                <w:color w:val="auto"/>
              </w:rPr>
            </w:pPr>
            <w:r>
              <w:rPr>
                <w:rFonts w:ascii="Arial" w:cs="Arial" w:eastAsia="Arial" w:hAnsi="Arial"/>
                <w:sz w:val="14"/>
                <w:szCs w:val="14"/>
                <w:color w:val="auto"/>
              </w:rPr>
              <w:t>10</w:t>
            </w:r>
          </w:p>
        </w:tc>
        <w:tc>
          <w:tcPr>
            <w:tcW w:w="320" w:type="dxa"/>
            <w:vAlign w:val="bottom"/>
          </w:tcPr>
          <w:p>
            <w:pPr>
              <w:spacing w:after="0"/>
              <w:rPr>
                <w:sz w:val="18"/>
                <w:szCs w:val="18"/>
                <w:color w:val="auto"/>
              </w:rPr>
            </w:pPr>
          </w:p>
        </w:tc>
        <w:tc>
          <w:tcPr>
            <w:tcW w:w="780" w:type="dxa"/>
            <w:vAlign w:val="bottom"/>
          </w:tcPr>
          <w:p>
            <w:pPr>
              <w:jc w:val="right"/>
              <w:ind w:right="88"/>
              <w:spacing w:after="0"/>
              <w:rPr>
                <w:sz w:val="20"/>
                <w:szCs w:val="20"/>
                <w:color w:val="auto"/>
              </w:rPr>
            </w:pPr>
            <w:r>
              <w:rPr>
                <w:rFonts w:ascii="Arial" w:cs="Arial" w:eastAsia="Arial" w:hAnsi="Arial"/>
                <w:sz w:val="14"/>
                <w:szCs w:val="14"/>
                <w:color w:val="auto"/>
              </w:rPr>
              <w:t>(1 )</w:t>
            </w:r>
          </w:p>
        </w:tc>
      </w:tr>
      <w:tr>
        <w:trPr>
          <w:trHeight w:val="216"/>
        </w:trPr>
        <w:tc>
          <w:tcPr>
            <w:tcW w:w="4280" w:type="dxa"/>
            <w:vAlign w:val="bottom"/>
          </w:tcPr>
          <w:p>
            <w:pPr>
              <w:ind w:left="500"/>
              <w:spacing w:after="0"/>
              <w:rPr>
                <w:sz w:val="20"/>
                <w:szCs w:val="20"/>
                <w:color w:val="auto"/>
              </w:rPr>
            </w:pPr>
            <w:r>
              <w:rPr>
                <w:rFonts w:ascii="Arial" w:cs="Arial" w:eastAsia="Arial" w:hAnsi="Arial"/>
                <w:sz w:val="14"/>
                <w:szCs w:val="14"/>
                <w:color w:val="auto"/>
              </w:rPr>
              <w:t>Inventories</w:t>
            </w:r>
          </w:p>
        </w:tc>
        <w:tc>
          <w:tcPr>
            <w:tcW w:w="300" w:type="dxa"/>
            <w:vAlign w:val="bottom"/>
          </w:tcPr>
          <w:p>
            <w:pPr>
              <w:spacing w:after="0"/>
              <w:rPr>
                <w:sz w:val="18"/>
                <w:szCs w:val="18"/>
                <w:color w:val="auto"/>
              </w:rPr>
            </w:pPr>
          </w:p>
        </w:tc>
        <w:tc>
          <w:tcPr>
            <w:tcW w:w="800" w:type="dxa"/>
            <w:vAlign w:val="bottom"/>
          </w:tcPr>
          <w:p>
            <w:pPr>
              <w:jc w:val="right"/>
              <w:ind w:right="88"/>
              <w:spacing w:after="0"/>
              <w:rPr>
                <w:sz w:val="20"/>
                <w:szCs w:val="20"/>
                <w:color w:val="auto"/>
              </w:rPr>
            </w:pPr>
            <w:r>
              <w:rPr>
                <w:rFonts w:ascii="Arial" w:cs="Arial" w:eastAsia="Arial" w:hAnsi="Arial"/>
                <w:sz w:val="14"/>
                <w:szCs w:val="14"/>
                <w:color w:val="auto"/>
              </w:rPr>
              <w:t>(69 )</w:t>
            </w:r>
          </w:p>
        </w:tc>
        <w:tc>
          <w:tcPr>
            <w:tcW w:w="340" w:type="dxa"/>
            <w:vAlign w:val="bottom"/>
          </w:tcPr>
          <w:p>
            <w:pPr>
              <w:spacing w:after="0"/>
              <w:rPr>
                <w:sz w:val="18"/>
                <w:szCs w:val="18"/>
                <w:color w:val="auto"/>
              </w:rPr>
            </w:pPr>
          </w:p>
        </w:tc>
        <w:tc>
          <w:tcPr>
            <w:tcW w:w="820" w:type="dxa"/>
            <w:vAlign w:val="bottom"/>
          </w:tcPr>
          <w:p>
            <w:pPr>
              <w:jc w:val="right"/>
              <w:ind w:right="168"/>
              <w:spacing w:after="0"/>
              <w:rPr>
                <w:sz w:val="20"/>
                <w:szCs w:val="20"/>
                <w:color w:val="auto"/>
              </w:rPr>
            </w:pPr>
            <w:r>
              <w:rPr>
                <w:rFonts w:ascii="Arial" w:cs="Arial" w:eastAsia="Arial" w:hAnsi="Arial"/>
                <w:sz w:val="14"/>
                <w:szCs w:val="14"/>
                <w:color w:val="auto"/>
              </w:rPr>
              <w:t>8</w:t>
            </w:r>
          </w:p>
        </w:tc>
        <w:tc>
          <w:tcPr>
            <w:tcW w:w="320" w:type="dxa"/>
            <w:vAlign w:val="bottom"/>
          </w:tcPr>
          <w:p>
            <w:pPr>
              <w:spacing w:after="0"/>
              <w:rPr>
                <w:sz w:val="18"/>
                <w:szCs w:val="18"/>
                <w:color w:val="auto"/>
              </w:rPr>
            </w:pPr>
          </w:p>
        </w:tc>
        <w:tc>
          <w:tcPr>
            <w:tcW w:w="780" w:type="dxa"/>
            <w:vAlign w:val="bottom"/>
          </w:tcPr>
          <w:p>
            <w:pPr>
              <w:jc w:val="right"/>
              <w:ind w:right="148"/>
              <w:spacing w:after="0"/>
              <w:rPr>
                <w:sz w:val="20"/>
                <w:szCs w:val="20"/>
                <w:color w:val="auto"/>
              </w:rPr>
            </w:pPr>
            <w:r>
              <w:rPr>
                <w:rFonts w:ascii="Arial" w:cs="Arial" w:eastAsia="Arial" w:hAnsi="Arial"/>
                <w:sz w:val="14"/>
                <w:szCs w:val="14"/>
                <w:color w:val="auto"/>
              </w:rPr>
              <w:t>18</w:t>
            </w:r>
          </w:p>
        </w:tc>
      </w:tr>
      <w:tr>
        <w:trPr>
          <w:trHeight w:val="216"/>
        </w:trPr>
        <w:tc>
          <w:tcPr>
            <w:tcW w:w="4280" w:type="dxa"/>
            <w:vAlign w:val="bottom"/>
          </w:tcPr>
          <w:p>
            <w:pPr>
              <w:ind w:left="500"/>
              <w:spacing w:after="0"/>
              <w:rPr>
                <w:sz w:val="20"/>
                <w:szCs w:val="20"/>
                <w:color w:val="auto"/>
              </w:rPr>
            </w:pPr>
            <w:r>
              <w:rPr>
                <w:rFonts w:ascii="Arial" w:cs="Arial" w:eastAsia="Arial" w:hAnsi="Arial"/>
                <w:sz w:val="14"/>
                <w:szCs w:val="14"/>
                <w:color w:val="auto"/>
              </w:rPr>
              <w:t>Other current assets</w:t>
            </w:r>
          </w:p>
        </w:tc>
        <w:tc>
          <w:tcPr>
            <w:tcW w:w="300" w:type="dxa"/>
            <w:vAlign w:val="bottom"/>
          </w:tcPr>
          <w:p>
            <w:pPr>
              <w:spacing w:after="0"/>
              <w:rPr>
                <w:sz w:val="18"/>
                <w:szCs w:val="18"/>
                <w:color w:val="auto"/>
              </w:rPr>
            </w:pPr>
          </w:p>
        </w:tc>
        <w:tc>
          <w:tcPr>
            <w:tcW w:w="800" w:type="dxa"/>
            <w:vAlign w:val="bottom"/>
          </w:tcPr>
          <w:p>
            <w:pPr>
              <w:jc w:val="right"/>
              <w:ind w:right="88"/>
              <w:spacing w:after="0"/>
              <w:rPr>
                <w:sz w:val="20"/>
                <w:szCs w:val="20"/>
                <w:color w:val="auto"/>
              </w:rPr>
            </w:pPr>
            <w:r>
              <w:rPr>
                <w:rFonts w:ascii="Arial" w:cs="Arial" w:eastAsia="Arial" w:hAnsi="Arial"/>
                <w:sz w:val="14"/>
                <w:szCs w:val="14"/>
                <w:color w:val="auto"/>
              </w:rPr>
              <w:t>(23 )</w:t>
            </w:r>
          </w:p>
        </w:tc>
        <w:tc>
          <w:tcPr>
            <w:tcW w:w="340" w:type="dxa"/>
            <w:vAlign w:val="bottom"/>
          </w:tcPr>
          <w:p>
            <w:pPr>
              <w:spacing w:after="0"/>
              <w:rPr>
                <w:sz w:val="18"/>
                <w:szCs w:val="18"/>
                <w:color w:val="auto"/>
              </w:rPr>
            </w:pPr>
          </w:p>
        </w:tc>
        <w:tc>
          <w:tcPr>
            <w:tcW w:w="820" w:type="dxa"/>
            <w:vAlign w:val="bottom"/>
          </w:tcPr>
          <w:p>
            <w:pPr>
              <w:jc w:val="right"/>
              <w:ind w:right="108"/>
              <w:spacing w:after="0"/>
              <w:rPr>
                <w:sz w:val="20"/>
                <w:szCs w:val="20"/>
                <w:color w:val="auto"/>
              </w:rPr>
            </w:pPr>
            <w:r>
              <w:rPr>
                <w:rFonts w:ascii="Arial" w:cs="Arial" w:eastAsia="Arial" w:hAnsi="Arial"/>
                <w:sz w:val="14"/>
                <w:szCs w:val="14"/>
                <w:color w:val="auto"/>
              </w:rPr>
              <w:t>(2 )</w:t>
            </w:r>
          </w:p>
        </w:tc>
        <w:tc>
          <w:tcPr>
            <w:tcW w:w="320" w:type="dxa"/>
            <w:vAlign w:val="bottom"/>
          </w:tcPr>
          <w:p>
            <w:pPr>
              <w:spacing w:after="0"/>
              <w:rPr>
                <w:sz w:val="18"/>
                <w:szCs w:val="18"/>
                <w:color w:val="auto"/>
              </w:rPr>
            </w:pPr>
          </w:p>
        </w:tc>
        <w:tc>
          <w:tcPr>
            <w:tcW w:w="780" w:type="dxa"/>
            <w:vAlign w:val="bottom"/>
          </w:tcPr>
          <w:p>
            <w:pPr>
              <w:jc w:val="right"/>
              <w:ind w:right="88"/>
              <w:spacing w:after="0"/>
              <w:rPr>
                <w:sz w:val="20"/>
                <w:szCs w:val="20"/>
                <w:color w:val="auto"/>
              </w:rPr>
            </w:pPr>
            <w:r>
              <w:rPr>
                <w:rFonts w:ascii="Arial" w:cs="Arial" w:eastAsia="Arial" w:hAnsi="Arial"/>
                <w:sz w:val="14"/>
                <w:szCs w:val="14"/>
                <w:color w:val="auto"/>
              </w:rPr>
              <w:t>(7 )</w:t>
            </w:r>
          </w:p>
        </w:tc>
      </w:tr>
      <w:tr>
        <w:trPr>
          <w:trHeight w:val="216"/>
        </w:trPr>
        <w:tc>
          <w:tcPr>
            <w:tcW w:w="4280" w:type="dxa"/>
            <w:vAlign w:val="bottom"/>
          </w:tcPr>
          <w:p>
            <w:pPr>
              <w:ind w:left="500"/>
              <w:spacing w:after="0"/>
              <w:rPr>
                <w:sz w:val="20"/>
                <w:szCs w:val="20"/>
                <w:color w:val="auto"/>
              </w:rPr>
            </w:pPr>
            <w:r>
              <w:rPr>
                <w:rFonts w:ascii="Arial" w:cs="Arial" w:eastAsia="Arial" w:hAnsi="Arial"/>
                <w:sz w:val="14"/>
                <w:szCs w:val="14"/>
                <w:color w:val="auto"/>
              </w:rPr>
              <w:t>Accounts payable</w:t>
            </w:r>
          </w:p>
        </w:tc>
        <w:tc>
          <w:tcPr>
            <w:tcW w:w="300" w:type="dxa"/>
            <w:vAlign w:val="bottom"/>
          </w:tcPr>
          <w:p>
            <w:pPr>
              <w:spacing w:after="0"/>
              <w:rPr>
                <w:sz w:val="18"/>
                <w:szCs w:val="18"/>
                <w:color w:val="auto"/>
              </w:rPr>
            </w:pPr>
          </w:p>
        </w:tc>
        <w:tc>
          <w:tcPr>
            <w:tcW w:w="800" w:type="dxa"/>
            <w:vAlign w:val="bottom"/>
          </w:tcPr>
          <w:p>
            <w:pPr>
              <w:jc w:val="right"/>
              <w:ind w:right="168"/>
              <w:spacing w:after="0"/>
              <w:rPr>
                <w:sz w:val="20"/>
                <w:szCs w:val="20"/>
                <w:color w:val="auto"/>
              </w:rPr>
            </w:pPr>
            <w:r>
              <w:rPr>
                <w:rFonts w:ascii="Arial" w:cs="Arial" w:eastAsia="Arial" w:hAnsi="Arial"/>
                <w:sz w:val="14"/>
                <w:szCs w:val="14"/>
                <w:color w:val="auto"/>
              </w:rPr>
              <w:t>7</w:t>
            </w:r>
          </w:p>
        </w:tc>
        <w:tc>
          <w:tcPr>
            <w:tcW w:w="340" w:type="dxa"/>
            <w:vAlign w:val="bottom"/>
          </w:tcPr>
          <w:p>
            <w:pPr>
              <w:spacing w:after="0"/>
              <w:rPr>
                <w:sz w:val="18"/>
                <w:szCs w:val="18"/>
                <w:color w:val="auto"/>
              </w:rPr>
            </w:pPr>
          </w:p>
        </w:tc>
        <w:tc>
          <w:tcPr>
            <w:tcW w:w="820" w:type="dxa"/>
            <w:vAlign w:val="bottom"/>
          </w:tcPr>
          <w:p>
            <w:pPr>
              <w:jc w:val="right"/>
              <w:ind w:right="108"/>
              <w:spacing w:after="0"/>
              <w:rPr>
                <w:sz w:val="20"/>
                <w:szCs w:val="20"/>
                <w:color w:val="auto"/>
              </w:rPr>
            </w:pPr>
            <w:r>
              <w:rPr>
                <w:rFonts w:ascii="Arial" w:cs="Arial" w:eastAsia="Arial" w:hAnsi="Arial"/>
                <w:sz w:val="14"/>
                <w:szCs w:val="14"/>
                <w:color w:val="auto"/>
              </w:rPr>
              <w:t>(79 )</w:t>
            </w:r>
          </w:p>
        </w:tc>
        <w:tc>
          <w:tcPr>
            <w:tcW w:w="320" w:type="dxa"/>
            <w:vAlign w:val="bottom"/>
          </w:tcPr>
          <w:p>
            <w:pPr>
              <w:spacing w:after="0"/>
              <w:rPr>
                <w:sz w:val="18"/>
                <w:szCs w:val="18"/>
                <w:color w:val="auto"/>
              </w:rPr>
            </w:pPr>
          </w:p>
        </w:tc>
        <w:tc>
          <w:tcPr>
            <w:tcW w:w="780" w:type="dxa"/>
            <w:vAlign w:val="bottom"/>
          </w:tcPr>
          <w:p>
            <w:pPr>
              <w:jc w:val="right"/>
              <w:ind w:right="148"/>
              <w:spacing w:after="0"/>
              <w:rPr>
                <w:sz w:val="20"/>
                <w:szCs w:val="20"/>
                <w:color w:val="auto"/>
              </w:rPr>
            </w:pPr>
            <w:r>
              <w:rPr>
                <w:rFonts w:ascii="Arial" w:cs="Arial" w:eastAsia="Arial" w:hAnsi="Arial"/>
                <w:sz w:val="14"/>
                <w:szCs w:val="14"/>
                <w:color w:val="auto"/>
              </w:rPr>
              <w:t>83</w:t>
            </w:r>
          </w:p>
        </w:tc>
      </w:tr>
      <w:tr>
        <w:trPr>
          <w:trHeight w:val="216"/>
        </w:trPr>
        <w:tc>
          <w:tcPr>
            <w:tcW w:w="4280" w:type="dxa"/>
            <w:vAlign w:val="bottom"/>
          </w:tcPr>
          <w:p>
            <w:pPr>
              <w:ind w:left="500"/>
              <w:spacing w:after="0"/>
              <w:rPr>
                <w:sz w:val="20"/>
                <w:szCs w:val="20"/>
                <w:color w:val="auto"/>
              </w:rPr>
            </w:pPr>
            <w:r>
              <w:rPr>
                <w:rFonts w:ascii="Arial" w:cs="Arial" w:eastAsia="Arial" w:hAnsi="Arial"/>
                <w:sz w:val="14"/>
                <w:szCs w:val="14"/>
                <w:color w:val="auto"/>
              </w:rPr>
              <w:t>Income taxes</w:t>
            </w:r>
          </w:p>
        </w:tc>
        <w:tc>
          <w:tcPr>
            <w:tcW w:w="300" w:type="dxa"/>
            <w:vAlign w:val="bottom"/>
          </w:tcPr>
          <w:p>
            <w:pPr>
              <w:spacing w:after="0"/>
              <w:rPr>
                <w:sz w:val="18"/>
                <w:szCs w:val="18"/>
                <w:color w:val="auto"/>
              </w:rPr>
            </w:pPr>
          </w:p>
        </w:tc>
        <w:tc>
          <w:tcPr>
            <w:tcW w:w="800" w:type="dxa"/>
            <w:vAlign w:val="bottom"/>
          </w:tcPr>
          <w:p>
            <w:pPr>
              <w:jc w:val="right"/>
              <w:ind w:right="88"/>
              <w:spacing w:after="0"/>
              <w:rPr>
                <w:sz w:val="20"/>
                <w:szCs w:val="20"/>
                <w:color w:val="auto"/>
              </w:rPr>
            </w:pPr>
            <w:r>
              <w:rPr>
                <w:rFonts w:ascii="Arial" w:cs="Arial" w:eastAsia="Arial" w:hAnsi="Arial"/>
                <w:sz w:val="14"/>
                <w:szCs w:val="14"/>
                <w:color w:val="auto"/>
              </w:rPr>
              <w:t>(71 )</w:t>
            </w:r>
          </w:p>
        </w:tc>
        <w:tc>
          <w:tcPr>
            <w:tcW w:w="340" w:type="dxa"/>
            <w:vAlign w:val="bottom"/>
          </w:tcPr>
          <w:p>
            <w:pPr>
              <w:spacing w:after="0"/>
              <w:rPr>
                <w:sz w:val="18"/>
                <w:szCs w:val="18"/>
                <w:color w:val="auto"/>
              </w:rPr>
            </w:pPr>
          </w:p>
        </w:tc>
        <w:tc>
          <w:tcPr>
            <w:tcW w:w="820" w:type="dxa"/>
            <w:vAlign w:val="bottom"/>
          </w:tcPr>
          <w:p>
            <w:pPr>
              <w:jc w:val="right"/>
              <w:ind w:right="168"/>
              <w:spacing w:after="0"/>
              <w:rPr>
                <w:sz w:val="20"/>
                <w:szCs w:val="20"/>
                <w:color w:val="auto"/>
              </w:rPr>
            </w:pPr>
            <w:r>
              <w:rPr>
                <w:rFonts w:ascii="Arial" w:cs="Arial" w:eastAsia="Arial" w:hAnsi="Arial"/>
                <w:sz w:val="14"/>
                <w:szCs w:val="14"/>
                <w:color w:val="auto"/>
              </w:rPr>
              <w:t>42</w:t>
            </w:r>
          </w:p>
        </w:tc>
        <w:tc>
          <w:tcPr>
            <w:tcW w:w="320" w:type="dxa"/>
            <w:vAlign w:val="bottom"/>
          </w:tcPr>
          <w:p>
            <w:pPr>
              <w:spacing w:after="0"/>
              <w:rPr>
                <w:sz w:val="18"/>
                <w:szCs w:val="18"/>
                <w:color w:val="auto"/>
              </w:rPr>
            </w:pPr>
          </w:p>
        </w:tc>
        <w:tc>
          <w:tcPr>
            <w:tcW w:w="780" w:type="dxa"/>
            <w:vAlign w:val="bottom"/>
          </w:tcPr>
          <w:p>
            <w:pPr>
              <w:jc w:val="right"/>
              <w:ind w:right="148"/>
              <w:spacing w:after="0"/>
              <w:rPr>
                <w:sz w:val="20"/>
                <w:szCs w:val="20"/>
                <w:color w:val="auto"/>
              </w:rPr>
            </w:pPr>
            <w:r>
              <w:rPr>
                <w:rFonts w:ascii="Arial" w:cs="Arial" w:eastAsia="Arial" w:hAnsi="Arial"/>
                <w:sz w:val="14"/>
                <w:szCs w:val="14"/>
                <w:color w:val="auto"/>
              </w:rPr>
              <w:t>113</w:t>
            </w:r>
          </w:p>
        </w:tc>
      </w:tr>
      <w:tr>
        <w:trPr>
          <w:trHeight w:val="216"/>
        </w:trPr>
        <w:tc>
          <w:tcPr>
            <w:tcW w:w="4280" w:type="dxa"/>
            <w:vAlign w:val="bottom"/>
          </w:tcPr>
          <w:p>
            <w:pPr>
              <w:ind w:left="500"/>
              <w:spacing w:after="0"/>
              <w:rPr>
                <w:sz w:val="20"/>
                <w:szCs w:val="20"/>
                <w:color w:val="auto"/>
              </w:rPr>
            </w:pPr>
            <w:r>
              <w:rPr>
                <w:rFonts w:ascii="Arial" w:cs="Arial" w:eastAsia="Arial" w:hAnsi="Arial"/>
                <w:sz w:val="14"/>
                <w:szCs w:val="14"/>
                <w:color w:val="auto"/>
              </w:rPr>
              <w:t>Due to/from affiliates, net</w:t>
            </w:r>
          </w:p>
        </w:tc>
        <w:tc>
          <w:tcPr>
            <w:tcW w:w="300" w:type="dxa"/>
            <w:vAlign w:val="bottom"/>
          </w:tcPr>
          <w:p>
            <w:pPr>
              <w:spacing w:after="0"/>
              <w:rPr>
                <w:sz w:val="18"/>
                <w:szCs w:val="18"/>
                <w:color w:val="auto"/>
              </w:rPr>
            </w:pPr>
          </w:p>
        </w:tc>
        <w:tc>
          <w:tcPr>
            <w:tcW w:w="800" w:type="dxa"/>
            <w:vAlign w:val="bottom"/>
          </w:tcPr>
          <w:p>
            <w:pPr>
              <w:jc w:val="right"/>
              <w:ind w:right="88"/>
              <w:spacing w:after="0"/>
              <w:rPr>
                <w:sz w:val="20"/>
                <w:szCs w:val="20"/>
                <w:color w:val="auto"/>
              </w:rPr>
            </w:pPr>
            <w:r>
              <w:rPr>
                <w:rFonts w:ascii="Arial" w:cs="Arial" w:eastAsia="Arial" w:hAnsi="Arial"/>
                <w:sz w:val="14"/>
                <w:szCs w:val="14"/>
                <w:color w:val="auto"/>
              </w:rPr>
              <w:t>(4 )</w:t>
            </w:r>
          </w:p>
        </w:tc>
        <w:tc>
          <w:tcPr>
            <w:tcW w:w="340" w:type="dxa"/>
            <w:vAlign w:val="bottom"/>
          </w:tcPr>
          <w:p>
            <w:pPr>
              <w:spacing w:after="0"/>
              <w:rPr>
                <w:sz w:val="18"/>
                <w:szCs w:val="18"/>
                <w:color w:val="auto"/>
              </w:rPr>
            </w:pPr>
          </w:p>
        </w:tc>
        <w:tc>
          <w:tcPr>
            <w:tcW w:w="820" w:type="dxa"/>
            <w:vAlign w:val="bottom"/>
          </w:tcPr>
          <w:p>
            <w:pPr>
              <w:jc w:val="right"/>
              <w:ind w:right="168"/>
              <w:spacing w:after="0"/>
              <w:rPr>
                <w:sz w:val="20"/>
                <w:szCs w:val="20"/>
                <w:color w:val="auto"/>
              </w:rPr>
            </w:pPr>
            <w:r>
              <w:rPr>
                <w:rFonts w:ascii="Arial" w:cs="Arial" w:eastAsia="Arial" w:hAnsi="Arial"/>
                <w:sz w:val="14"/>
                <w:szCs w:val="14"/>
                <w:color w:val="auto"/>
              </w:rPr>
              <w:t>4</w:t>
            </w:r>
          </w:p>
        </w:tc>
        <w:tc>
          <w:tcPr>
            <w:tcW w:w="320" w:type="dxa"/>
            <w:vAlign w:val="bottom"/>
          </w:tcPr>
          <w:p>
            <w:pPr>
              <w:spacing w:after="0"/>
              <w:rPr>
                <w:sz w:val="18"/>
                <w:szCs w:val="18"/>
                <w:color w:val="auto"/>
              </w:rPr>
            </w:pPr>
          </w:p>
        </w:tc>
        <w:tc>
          <w:tcPr>
            <w:tcW w:w="780" w:type="dxa"/>
            <w:vAlign w:val="bottom"/>
          </w:tcPr>
          <w:p>
            <w:pPr>
              <w:jc w:val="right"/>
              <w:ind w:right="88"/>
              <w:spacing w:after="0"/>
              <w:rPr>
                <w:sz w:val="20"/>
                <w:szCs w:val="20"/>
                <w:color w:val="auto"/>
              </w:rPr>
            </w:pPr>
            <w:r>
              <w:rPr>
                <w:rFonts w:ascii="Arial" w:cs="Arial" w:eastAsia="Arial" w:hAnsi="Arial"/>
                <w:sz w:val="14"/>
                <w:szCs w:val="14"/>
                <w:color w:val="auto"/>
              </w:rPr>
              <w:t>(19 )</w:t>
            </w:r>
          </w:p>
        </w:tc>
      </w:tr>
      <w:tr>
        <w:trPr>
          <w:trHeight w:val="216"/>
        </w:trPr>
        <w:tc>
          <w:tcPr>
            <w:tcW w:w="4280" w:type="dxa"/>
            <w:vAlign w:val="bottom"/>
          </w:tcPr>
          <w:p>
            <w:pPr>
              <w:ind w:left="500"/>
              <w:spacing w:after="0"/>
              <w:rPr>
                <w:sz w:val="20"/>
                <w:szCs w:val="20"/>
                <w:color w:val="auto"/>
              </w:rPr>
            </w:pPr>
            <w:r>
              <w:rPr>
                <w:rFonts w:ascii="Arial" w:cs="Arial" w:eastAsia="Arial" w:hAnsi="Arial"/>
                <w:sz w:val="14"/>
                <w:szCs w:val="14"/>
                <w:color w:val="auto"/>
              </w:rPr>
              <w:t>Regulatory balancing accounts</w:t>
            </w:r>
          </w:p>
        </w:tc>
        <w:tc>
          <w:tcPr>
            <w:tcW w:w="300" w:type="dxa"/>
            <w:vAlign w:val="bottom"/>
          </w:tcPr>
          <w:p>
            <w:pPr>
              <w:spacing w:after="0"/>
              <w:rPr>
                <w:sz w:val="18"/>
                <w:szCs w:val="18"/>
                <w:color w:val="auto"/>
              </w:rPr>
            </w:pPr>
          </w:p>
        </w:tc>
        <w:tc>
          <w:tcPr>
            <w:tcW w:w="800" w:type="dxa"/>
            <w:vAlign w:val="bottom"/>
          </w:tcPr>
          <w:p>
            <w:pPr>
              <w:jc w:val="right"/>
              <w:ind w:right="168"/>
              <w:spacing w:after="0"/>
              <w:rPr>
                <w:sz w:val="20"/>
                <w:szCs w:val="20"/>
                <w:color w:val="auto"/>
              </w:rPr>
            </w:pPr>
            <w:r>
              <w:rPr>
                <w:rFonts w:ascii="Arial" w:cs="Arial" w:eastAsia="Arial" w:hAnsi="Arial"/>
                <w:sz w:val="14"/>
                <w:szCs w:val="14"/>
                <w:color w:val="auto"/>
              </w:rPr>
              <w:t>46</w:t>
            </w:r>
          </w:p>
        </w:tc>
        <w:tc>
          <w:tcPr>
            <w:tcW w:w="340" w:type="dxa"/>
            <w:vAlign w:val="bottom"/>
          </w:tcPr>
          <w:p>
            <w:pPr>
              <w:spacing w:after="0"/>
              <w:rPr>
                <w:sz w:val="18"/>
                <w:szCs w:val="18"/>
                <w:color w:val="auto"/>
              </w:rPr>
            </w:pPr>
          </w:p>
        </w:tc>
        <w:tc>
          <w:tcPr>
            <w:tcW w:w="820" w:type="dxa"/>
            <w:vAlign w:val="bottom"/>
          </w:tcPr>
          <w:p>
            <w:pPr>
              <w:jc w:val="right"/>
              <w:ind w:right="108"/>
              <w:spacing w:after="0"/>
              <w:rPr>
                <w:sz w:val="20"/>
                <w:szCs w:val="20"/>
                <w:color w:val="auto"/>
              </w:rPr>
            </w:pPr>
            <w:r>
              <w:rPr>
                <w:rFonts w:ascii="Arial" w:cs="Arial" w:eastAsia="Arial" w:hAnsi="Arial"/>
                <w:sz w:val="14"/>
                <w:szCs w:val="14"/>
                <w:color w:val="auto"/>
              </w:rPr>
              <w:t>(13 )</w:t>
            </w:r>
          </w:p>
        </w:tc>
        <w:tc>
          <w:tcPr>
            <w:tcW w:w="320" w:type="dxa"/>
            <w:vAlign w:val="bottom"/>
          </w:tcPr>
          <w:p>
            <w:pPr>
              <w:spacing w:after="0"/>
              <w:rPr>
                <w:sz w:val="18"/>
                <w:szCs w:val="18"/>
                <w:color w:val="auto"/>
              </w:rPr>
            </w:pPr>
          </w:p>
        </w:tc>
        <w:tc>
          <w:tcPr>
            <w:tcW w:w="780" w:type="dxa"/>
            <w:vAlign w:val="bottom"/>
          </w:tcPr>
          <w:p>
            <w:pPr>
              <w:jc w:val="right"/>
              <w:ind w:right="148"/>
              <w:spacing w:after="0"/>
              <w:rPr>
                <w:sz w:val="20"/>
                <w:szCs w:val="20"/>
                <w:color w:val="auto"/>
              </w:rPr>
            </w:pPr>
            <w:r>
              <w:rPr>
                <w:rFonts w:ascii="Arial" w:cs="Arial" w:eastAsia="Arial" w:hAnsi="Arial"/>
                <w:sz w:val="14"/>
                <w:szCs w:val="14"/>
                <w:color w:val="auto"/>
              </w:rPr>
              <w:t>185</w:t>
            </w:r>
          </w:p>
        </w:tc>
      </w:tr>
      <w:tr>
        <w:trPr>
          <w:trHeight w:val="216"/>
        </w:trPr>
        <w:tc>
          <w:tcPr>
            <w:tcW w:w="4280" w:type="dxa"/>
            <w:vAlign w:val="bottom"/>
          </w:tcPr>
          <w:p>
            <w:pPr>
              <w:ind w:left="500"/>
              <w:spacing w:after="0"/>
              <w:rPr>
                <w:sz w:val="20"/>
                <w:szCs w:val="20"/>
                <w:color w:val="auto"/>
              </w:rPr>
            </w:pPr>
            <w:r>
              <w:rPr>
                <w:rFonts w:ascii="Arial" w:cs="Arial" w:eastAsia="Arial" w:hAnsi="Arial"/>
                <w:sz w:val="14"/>
                <w:szCs w:val="14"/>
                <w:color w:val="auto"/>
              </w:rPr>
              <w:t>Customer deposits</w:t>
            </w:r>
          </w:p>
        </w:tc>
        <w:tc>
          <w:tcPr>
            <w:tcW w:w="300" w:type="dxa"/>
            <w:vAlign w:val="bottom"/>
          </w:tcPr>
          <w:p>
            <w:pPr>
              <w:spacing w:after="0"/>
              <w:rPr>
                <w:sz w:val="18"/>
                <w:szCs w:val="18"/>
                <w:color w:val="auto"/>
              </w:rPr>
            </w:pPr>
          </w:p>
        </w:tc>
        <w:tc>
          <w:tcPr>
            <w:tcW w:w="800" w:type="dxa"/>
            <w:vAlign w:val="bottom"/>
          </w:tcPr>
          <w:p>
            <w:pPr>
              <w:jc w:val="right"/>
              <w:ind w:right="168"/>
              <w:spacing w:after="0"/>
              <w:rPr>
                <w:sz w:val="20"/>
                <w:szCs w:val="20"/>
                <w:color w:val="auto"/>
              </w:rPr>
            </w:pPr>
            <w:r>
              <w:rPr>
                <w:rFonts w:ascii="Arial" w:cs="Arial" w:eastAsia="Arial" w:hAnsi="Arial"/>
                <w:sz w:val="14"/>
                <w:szCs w:val="14"/>
                <w:color w:val="auto"/>
              </w:rPr>
              <w:t>24</w:t>
            </w:r>
          </w:p>
        </w:tc>
        <w:tc>
          <w:tcPr>
            <w:tcW w:w="340" w:type="dxa"/>
            <w:vAlign w:val="bottom"/>
          </w:tcPr>
          <w:p>
            <w:pPr>
              <w:spacing w:after="0"/>
              <w:rPr>
                <w:sz w:val="18"/>
                <w:szCs w:val="18"/>
                <w:color w:val="auto"/>
              </w:rPr>
            </w:pPr>
          </w:p>
        </w:tc>
        <w:tc>
          <w:tcPr>
            <w:tcW w:w="820" w:type="dxa"/>
            <w:vAlign w:val="bottom"/>
          </w:tcPr>
          <w:p>
            <w:pPr>
              <w:jc w:val="right"/>
              <w:ind w:right="168"/>
              <w:spacing w:after="0"/>
              <w:rPr>
                <w:sz w:val="20"/>
                <w:szCs w:val="20"/>
                <w:color w:val="auto"/>
              </w:rPr>
            </w:pPr>
            <w:r>
              <w:rPr>
                <w:rFonts w:ascii="Arial" w:cs="Arial" w:eastAsia="Arial" w:hAnsi="Arial"/>
                <w:sz w:val="14"/>
                <w:szCs w:val="14"/>
                <w:color w:val="auto"/>
              </w:rPr>
              <w:t>3</w:t>
            </w:r>
          </w:p>
        </w:tc>
        <w:tc>
          <w:tcPr>
            <w:tcW w:w="320" w:type="dxa"/>
            <w:vAlign w:val="bottom"/>
          </w:tcPr>
          <w:p>
            <w:pPr>
              <w:spacing w:after="0"/>
              <w:rPr>
                <w:sz w:val="18"/>
                <w:szCs w:val="18"/>
                <w:color w:val="auto"/>
              </w:rPr>
            </w:pPr>
          </w:p>
        </w:tc>
        <w:tc>
          <w:tcPr>
            <w:tcW w:w="780" w:type="dxa"/>
            <w:vAlign w:val="bottom"/>
          </w:tcPr>
          <w:p>
            <w:pPr>
              <w:jc w:val="right"/>
              <w:ind w:right="148"/>
              <w:spacing w:after="0"/>
              <w:rPr>
                <w:sz w:val="20"/>
                <w:szCs w:val="20"/>
                <w:color w:val="auto"/>
              </w:rPr>
            </w:pPr>
            <w:r>
              <w:rPr>
                <w:rFonts w:ascii="Arial" w:cs="Arial" w:eastAsia="Arial" w:hAnsi="Arial"/>
                <w:sz w:val="14"/>
                <w:szCs w:val="14"/>
                <w:color w:val="auto"/>
              </w:rPr>
              <w:t>8</w:t>
            </w:r>
          </w:p>
        </w:tc>
      </w:tr>
      <w:tr>
        <w:trPr>
          <w:trHeight w:val="222"/>
        </w:trPr>
        <w:tc>
          <w:tcPr>
            <w:tcW w:w="4280" w:type="dxa"/>
            <w:vAlign w:val="bottom"/>
          </w:tcPr>
          <w:p>
            <w:pPr>
              <w:ind w:left="500"/>
              <w:spacing w:after="0"/>
              <w:rPr>
                <w:sz w:val="20"/>
                <w:szCs w:val="20"/>
                <w:color w:val="auto"/>
              </w:rPr>
            </w:pPr>
            <w:r>
              <w:rPr>
                <w:rFonts w:ascii="Arial" w:cs="Arial" w:eastAsia="Arial" w:hAnsi="Arial"/>
                <w:sz w:val="14"/>
                <w:szCs w:val="14"/>
                <w:color w:val="auto"/>
              </w:rPr>
              <w:t>Other current liabilities</w:t>
            </w:r>
          </w:p>
        </w:tc>
        <w:tc>
          <w:tcPr>
            <w:tcW w:w="3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24</w:t>
            </w:r>
          </w:p>
        </w:tc>
        <w:tc>
          <w:tcPr>
            <w:tcW w:w="3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(17 )</w:t>
            </w:r>
          </w:p>
        </w:tc>
        <w:tc>
          <w:tcPr>
            <w:tcW w:w="3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(35 )</w:t>
            </w:r>
          </w:p>
        </w:tc>
      </w:tr>
      <w:tr>
        <w:trPr>
          <w:trHeight w:val="208"/>
        </w:trPr>
        <w:tc>
          <w:tcPr>
            <w:tcW w:w="4280" w:type="dxa"/>
            <w:vAlign w:val="bottom"/>
          </w:tcPr>
          <w:p>
            <w:pPr>
              <w:ind w:left="740"/>
              <w:spacing w:after="0"/>
              <w:rPr>
                <w:sz w:val="20"/>
                <w:szCs w:val="20"/>
                <w:color w:val="auto"/>
              </w:rPr>
            </w:pPr>
            <w:r>
              <w:rPr>
                <w:rFonts w:ascii="Arial" w:cs="Arial" w:eastAsia="Arial" w:hAnsi="Arial"/>
                <w:sz w:val="14"/>
                <w:szCs w:val="14"/>
                <w:color w:val="auto"/>
              </w:rPr>
              <w:t>Net cash provided by operating activities</w:t>
            </w:r>
          </w:p>
        </w:tc>
        <w:tc>
          <w:tcPr>
            <w:tcW w:w="3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572</w:t>
            </w:r>
          </w:p>
        </w:tc>
        <w:tc>
          <w:tcPr>
            <w:tcW w:w="3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491</w:t>
            </w:r>
          </w:p>
        </w:tc>
        <w:tc>
          <w:tcPr>
            <w:tcW w:w="3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911</w:t>
            </w:r>
          </w:p>
        </w:tc>
      </w:tr>
      <w:tr>
        <w:trPr>
          <w:trHeight w:val="418"/>
        </w:trPr>
        <w:tc>
          <w:tcPr>
            <w:tcW w:w="4280" w:type="dxa"/>
            <w:vAlign w:val="bottom"/>
          </w:tcPr>
          <w:p>
            <w:pPr>
              <w:ind w:left="20"/>
              <w:spacing w:after="0"/>
              <w:rPr>
                <w:sz w:val="20"/>
                <w:szCs w:val="20"/>
                <w:color w:val="auto"/>
              </w:rPr>
            </w:pPr>
            <w:r>
              <w:rPr>
                <w:rFonts w:ascii="Arial" w:cs="Arial" w:eastAsia="Arial" w:hAnsi="Arial"/>
                <w:sz w:val="14"/>
                <w:szCs w:val="14"/>
                <w:color w:val="auto"/>
              </w:rPr>
              <w:t>CASH FLOWS FROM INVESTING ACTIVITIES</w:t>
            </w: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16"/>
        </w:trPr>
        <w:tc>
          <w:tcPr>
            <w:tcW w:w="4280" w:type="dxa"/>
            <w:vAlign w:val="bottom"/>
          </w:tcPr>
          <w:p>
            <w:pPr>
              <w:ind w:left="260"/>
              <w:spacing w:after="0"/>
              <w:rPr>
                <w:sz w:val="20"/>
                <w:szCs w:val="20"/>
                <w:color w:val="auto"/>
              </w:rPr>
            </w:pPr>
            <w:r>
              <w:rPr>
                <w:rFonts w:ascii="Arial" w:cs="Arial" w:eastAsia="Arial" w:hAnsi="Arial"/>
                <w:sz w:val="14"/>
                <w:szCs w:val="14"/>
                <w:color w:val="auto"/>
              </w:rPr>
              <w:t>Expenditures for property, plant and equipment</w:t>
            </w:r>
          </w:p>
        </w:tc>
        <w:tc>
          <w:tcPr>
            <w:tcW w:w="300" w:type="dxa"/>
            <w:vAlign w:val="bottom"/>
          </w:tcPr>
          <w:p>
            <w:pPr>
              <w:spacing w:after="0"/>
              <w:rPr>
                <w:sz w:val="18"/>
                <w:szCs w:val="18"/>
                <w:color w:val="auto"/>
              </w:rPr>
            </w:pPr>
          </w:p>
        </w:tc>
        <w:tc>
          <w:tcPr>
            <w:tcW w:w="800" w:type="dxa"/>
            <w:vAlign w:val="bottom"/>
          </w:tcPr>
          <w:p>
            <w:pPr>
              <w:jc w:val="right"/>
              <w:ind w:right="88"/>
              <w:spacing w:after="0"/>
              <w:rPr>
                <w:sz w:val="20"/>
                <w:szCs w:val="20"/>
                <w:color w:val="auto"/>
              </w:rPr>
            </w:pPr>
            <w:r>
              <w:rPr>
                <w:rFonts w:ascii="Arial" w:cs="Arial" w:eastAsia="Arial" w:hAnsi="Arial"/>
                <w:sz w:val="14"/>
                <w:szCs w:val="14"/>
                <w:color w:val="auto"/>
              </w:rPr>
              <w:t>(454 )</w:t>
            </w:r>
          </w:p>
        </w:tc>
        <w:tc>
          <w:tcPr>
            <w:tcW w:w="340" w:type="dxa"/>
            <w:vAlign w:val="bottom"/>
          </w:tcPr>
          <w:p>
            <w:pPr>
              <w:spacing w:after="0"/>
              <w:rPr>
                <w:sz w:val="18"/>
                <w:szCs w:val="18"/>
                <w:color w:val="auto"/>
              </w:rPr>
            </w:pPr>
          </w:p>
        </w:tc>
        <w:tc>
          <w:tcPr>
            <w:tcW w:w="820" w:type="dxa"/>
            <w:vAlign w:val="bottom"/>
          </w:tcPr>
          <w:p>
            <w:pPr>
              <w:jc w:val="right"/>
              <w:ind w:right="108"/>
              <w:spacing w:after="0"/>
              <w:rPr>
                <w:sz w:val="20"/>
                <w:szCs w:val="20"/>
                <w:color w:val="auto"/>
              </w:rPr>
            </w:pPr>
            <w:r>
              <w:rPr>
                <w:rFonts w:ascii="Arial" w:cs="Arial" w:eastAsia="Arial" w:hAnsi="Arial"/>
                <w:sz w:val="14"/>
                <w:szCs w:val="14"/>
                <w:color w:val="auto"/>
              </w:rPr>
              <w:t>(457 )</w:t>
            </w:r>
          </w:p>
        </w:tc>
        <w:tc>
          <w:tcPr>
            <w:tcW w:w="320" w:type="dxa"/>
            <w:vAlign w:val="bottom"/>
          </w:tcPr>
          <w:p>
            <w:pPr>
              <w:spacing w:after="0"/>
              <w:rPr>
                <w:sz w:val="18"/>
                <w:szCs w:val="18"/>
                <w:color w:val="auto"/>
              </w:rPr>
            </w:pPr>
          </w:p>
        </w:tc>
        <w:tc>
          <w:tcPr>
            <w:tcW w:w="780" w:type="dxa"/>
            <w:vAlign w:val="bottom"/>
          </w:tcPr>
          <w:p>
            <w:pPr>
              <w:jc w:val="right"/>
              <w:ind w:right="88"/>
              <w:spacing w:after="0"/>
              <w:rPr>
                <w:sz w:val="20"/>
                <w:szCs w:val="20"/>
                <w:color w:val="auto"/>
              </w:rPr>
            </w:pPr>
            <w:r>
              <w:rPr>
                <w:rFonts w:ascii="Arial" w:cs="Arial" w:eastAsia="Arial" w:hAnsi="Arial"/>
                <w:sz w:val="14"/>
                <w:szCs w:val="14"/>
                <w:color w:val="auto"/>
              </w:rPr>
              <w:t>(413 )</w:t>
            </w:r>
          </w:p>
        </w:tc>
      </w:tr>
      <w:tr>
        <w:trPr>
          <w:trHeight w:val="216"/>
        </w:trPr>
        <w:tc>
          <w:tcPr>
            <w:tcW w:w="4280" w:type="dxa"/>
            <w:vAlign w:val="bottom"/>
          </w:tcPr>
          <w:p>
            <w:pPr>
              <w:ind w:left="260"/>
              <w:spacing w:after="0"/>
              <w:rPr>
                <w:sz w:val="20"/>
                <w:szCs w:val="20"/>
                <w:color w:val="auto"/>
              </w:rPr>
            </w:pPr>
            <w:r>
              <w:rPr>
                <w:rFonts w:ascii="Arial" w:cs="Arial" w:eastAsia="Arial" w:hAnsi="Arial"/>
                <w:sz w:val="14"/>
                <w:szCs w:val="14"/>
                <w:color w:val="auto"/>
              </w:rPr>
              <w:t>Decrease (increase) in loans to affiliates, net</w:t>
            </w:r>
          </w:p>
        </w:tc>
        <w:tc>
          <w:tcPr>
            <w:tcW w:w="300" w:type="dxa"/>
            <w:vAlign w:val="bottom"/>
          </w:tcPr>
          <w:p>
            <w:pPr>
              <w:spacing w:after="0"/>
              <w:rPr>
                <w:sz w:val="18"/>
                <w:szCs w:val="18"/>
                <w:color w:val="auto"/>
              </w:rPr>
            </w:pPr>
          </w:p>
        </w:tc>
        <w:tc>
          <w:tcPr>
            <w:tcW w:w="800" w:type="dxa"/>
            <w:vAlign w:val="bottom"/>
          </w:tcPr>
          <w:p>
            <w:pPr>
              <w:jc w:val="right"/>
              <w:ind w:right="168"/>
              <w:spacing w:after="0"/>
              <w:rPr>
                <w:sz w:val="20"/>
                <w:szCs w:val="20"/>
                <w:color w:val="auto"/>
              </w:rPr>
            </w:pPr>
            <w:r>
              <w:rPr>
                <w:rFonts w:ascii="Arial" w:cs="Arial" w:eastAsia="Arial" w:hAnsi="Arial"/>
                <w:sz w:val="14"/>
                <w:szCs w:val="14"/>
                <w:color w:val="auto"/>
              </w:rPr>
              <w:t>136</w:t>
            </w:r>
          </w:p>
        </w:tc>
        <w:tc>
          <w:tcPr>
            <w:tcW w:w="340" w:type="dxa"/>
            <w:vAlign w:val="bottom"/>
          </w:tcPr>
          <w:p>
            <w:pPr>
              <w:spacing w:after="0"/>
              <w:rPr>
                <w:sz w:val="18"/>
                <w:szCs w:val="18"/>
                <w:color w:val="auto"/>
              </w:rPr>
            </w:pPr>
          </w:p>
        </w:tc>
        <w:tc>
          <w:tcPr>
            <w:tcW w:w="820" w:type="dxa"/>
            <w:vAlign w:val="bottom"/>
          </w:tcPr>
          <w:p>
            <w:pPr>
              <w:jc w:val="right"/>
              <w:ind w:right="108"/>
              <w:spacing w:after="0"/>
              <w:rPr>
                <w:sz w:val="20"/>
                <w:szCs w:val="20"/>
                <w:color w:val="auto"/>
              </w:rPr>
            </w:pPr>
            <w:r>
              <w:rPr>
                <w:rFonts w:ascii="Arial" w:cs="Arial" w:eastAsia="Arial" w:hAnsi="Arial"/>
                <w:sz w:val="14"/>
                <w:szCs w:val="14"/>
                <w:color w:val="auto"/>
              </w:rPr>
              <w:t>(34 )</w:t>
            </w:r>
          </w:p>
        </w:tc>
        <w:tc>
          <w:tcPr>
            <w:tcW w:w="320" w:type="dxa"/>
            <w:vAlign w:val="bottom"/>
          </w:tcPr>
          <w:p>
            <w:pPr>
              <w:spacing w:after="0"/>
              <w:rPr>
                <w:sz w:val="18"/>
                <w:szCs w:val="18"/>
                <w:color w:val="auto"/>
              </w:rPr>
            </w:pPr>
          </w:p>
        </w:tc>
        <w:tc>
          <w:tcPr>
            <w:tcW w:w="780" w:type="dxa"/>
            <w:vAlign w:val="bottom"/>
          </w:tcPr>
          <w:p>
            <w:pPr>
              <w:jc w:val="right"/>
              <w:ind w:right="88"/>
              <w:spacing w:after="0"/>
              <w:rPr>
                <w:sz w:val="20"/>
                <w:szCs w:val="20"/>
                <w:color w:val="auto"/>
              </w:rPr>
            </w:pPr>
            <w:r>
              <w:rPr>
                <w:rFonts w:ascii="Arial" w:cs="Arial" w:eastAsia="Arial" w:hAnsi="Arial"/>
                <w:sz w:val="14"/>
                <w:szCs w:val="14"/>
                <w:color w:val="auto"/>
              </w:rPr>
              <w:t>(145 )</w:t>
            </w:r>
          </w:p>
        </w:tc>
      </w:tr>
      <w:tr>
        <w:trPr>
          <w:trHeight w:val="216"/>
        </w:trPr>
        <w:tc>
          <w:tcPr>
            <w:tcW w:w="4280" w:type="dxa"/>
            <w:vAlign w:val="bottom"/>
          </w:tcPr>
          <w:p>
            <w:pPr>
              <w:ind w:left="260"/>
              <w:spacing w:after="0"/>
              <w:rPr>
                <w:sz w:val="20"/>
                <w:szCs w:val="20"/>
                <w:color w:val="auto"/>
              </w:rPr>
            </w:pPr>
            <w:r>
              <w:rPr>
                <w:rFonts w:ascii="Arial" w:cs="Arial" w:eastAsia="Arial" w:hAnsi="Arial"/>
                <w:sz w:val="14"/>
                <w:szCs w:val="14"/>
                <w:color w:val="auto"/>
              </w:rPr>
              <w:t>Proceeds from sale of assets</w:t>
            </w:r>
          </w:p>
        </w:tc>
        <w:tc>
          <w:tcPr>
            <w:tcW w:w="300" w:type="dxa"/>
            <w:vAlign w:val="bottom"/>
          </w:tcPr>
          <w:p>
            <w:pPr>
              <w:spacing w:after="0"/>
              <w:rPr>
                <w:sz w:val="18"/>
                <w:szCs w:val="18"/>
                <w:color w:val="auto"/>
              </w:rPr>
            </w:pPr>
          </w:p>
        </w:tc>
        <w:tc>
          <w:tcPr>
            <w:tcW w:w="80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8"/>
                <w:szCs w:val="18"/>
                <w:color w:val="auto"/>
              </w:rPr>
            </w:pPr>
          </w:p>
        </w:tc>
        <w:tc>
          <w:tcPr>
            <w:tcW w:w="820" w:type="dxa"/>
            <w:vAlign w:val="bottom"/>
          </w:tcPr>
          <w:p>
            <w:pPr>
              <w:jc w:val="right"/>
              <w:ind w:right="168"/>
              <w:spacing w:after="0"/>
              <w:rPr>
                <w:sz w:val="20"/>
                <w:szCs w:val="20"/>
                <w:color w:val="auto"/>
              </w:rPr>
            </w:pPr>
            <w:r>
              <w:rPr>
                <w:rFonts w:ascii="Arial" w:cs="Arial" w:eastAsia="Arial" w:hAnsi="Arial"/>
                <w:sz w:val="14"/>
                <w:szCs w:val="14"/>
                <w:color w:val="auto"/>
              </w:rPr>
              <w:t>2</w:t>
            </w:r>
          </w:p>
        </w:tc>
        <w:tc>
          <w:tcPr>
            <w:tcW w:w="320" w:type="dxa"/>
            <w:vAlign w:val="bottom"/>
          </w:tcPr>
          <w:p>
            <w:pPr>
              <w:spacing w:after="0"/>
              <w:rPr>
                <w:sz w:val="18"/>
                <w:szCs w:val="18"/>
                <w:color w:val="auto"/>
              </w:rPr>
            </w:pPr>
          </w:p>
        </w:tc>
        <w:tc>
          <w:tcPr>
            <w:tcW w:w="780" w:type="dxa"/>
            <w:vAlign w:val="bottom"/>
          </w:tcPr>
          <w:p>
            <w:pPr>
              <w:jc w:val="right"/>
              <w:ind w:right="148"/>
              <w:spacing w:after="0"/>
              <w:rPr>
                <w:sz w:val="20"/>
                <w:szCs w:val="20"/>
                <w:color w:val="auto"/>
              </w:rPr>
            </w:pPr>
            <w:r>
              <w:rPr>
                <w:rFonts w:ascii="Arial" w:cs="Arial" w:eastAsia="Arial" w:hAnsi="Arial"/>
                <w:sz w:val="14"/>
                <w:szCs w:val="14"/>
                <w:color w:val="auto"/>
              </w:rPr>
              <w:t>11</w:t>
            </w:r>
          </w:p>
        </w:tc>
      </w:tr>
      <w:tr>
        <w:trPr>
          <w:trHeight w:val="222"/>
        </w:trPr>
        <w:tc>
          <w:tcPr>
            <w:tcW w:w="4280" w:type="dxa"/>
            <w:vAlign w:val="bottom"/>
          </w:tcPr>
          <w:p>
            <w:pPr>
              <w:ind w:left="260"/>
              <w:spacing w:after="0"/>
              <w:rPr>
                <w:sz w:val="20"/>
                <w:szCs w:val="20"/>
                <w:color w:val="auto"/>
              </w:rPr>
            </w:pPr>
            <w:r>
              <w:rPr>
                <w:rFonts w:ascii="Arial" w:cs="Arial" w:eastAsia="Arial" w:hAnsi="Arial"/>
                <w:sz w:val="14"/>
                <w:szCs w:val="14"/>
                <w:color w:val="auto"/>
              </w:rPr>
              <w:t>Other</w:t>
            </w:r>
          </w:p>
        </w:tc>
        <w:tc>
          <w:tcPr>
            <w:tcW w:w="3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(1 )</w:t>
            </w:r>
          </w:p>
        </w:tc>
        <w:tc>
          <w:tcPr>
            <w:tcW w:w="3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(1 )</w:t>
            </w:r>
          </w:p>
        </w:tc>
      </w:tr>
      <w:tr>
        <w:trPr>
          <w:trHeight w:val="208"/>
        </w:trPr>
        <w:tc>
          <w:tcPr>
            <w:tcW w:w="4280" w:type="dxa"/>
            <w:vAlign w:val="bottom"/>
          </w:tcPr>
          <w:p>
            <w:pPr>
              <w:ind w:left="740"/>
              <w:spacing w:after="0"/>
              <w:rPr>
                <w:sz w:val="20"/>
                <w:szCs w:val="20"/>
                <w:color w:val="auto"/>
              </w:rPr>
            </w:pPr>
            <w:r>
              <w:rPr>
                <w:rFonts w:ascii="Arial" w:cs="Arial" w:eastAsia="Arial" w:hAnsi="Arial"/>
                <w:sz w:val="14"/>
                <w:szCs w:val="14"/>
                <w:color w:val="auto"/>
              </w:rPr>
              <w:t>Net cash used in investing activities</w:t>
            </w:r>
          </w:p>
        </w:tc>
        <w:tc>
          <w:tcPr>
            <w:tcW w:w="3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(319 )</w:t>
            </w:r>
          </w:p>
        </w:tc>
        <w:tc>
          <w:tcPr>
            <w:tcW w:w="3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(489 )</w:t>
            </w:r>
          </w:p>
        </w:tc>
        <w:tc>
          <w:tcPr>
            <w:tcW w:w="3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(548 )</w:t>
            </w:r>
          </w:p>
        </w:tc>
      </w:tr>
      <w:tr>
        <w:trPr>
          <w:trHeight w:val="418"/>
        </w:trPr>
        <w:tc>
          <w:tcPr>
            <w:tcW w:w="4280" w:type="dxa"/>
            <w:vAlign w:val="bottom"/>
          </w:tcPr>
          <w:p>
            <w:pPr>
              <w:ind w:left="20"/>
              <w:spacing w:after="0"/>
              <w:rPr>
                <w:sz w:val="20"/>
                <w:szCs w:val="20"/>
                <w:color w:val="auto"/>
              </w:rPr>
            </w:pPr>
            <w:r>
              <w:rPr>
                <w:rFonts w:ascii="Arial" w:cs="Arial" w:eastAsia="Arial" w:hAnsi="Arial"/>
                <w:sz w:val="14"/>
                <w:szCs w:val="14"/>
                <w:color w:val="auto"/>
              </w:rPr>
              <w:t>CASH FLOWS FROM FINANCING ACTIVITIES</w:t>
            </w: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16"/>
        </w:trPr>
        <w:tc>
          <w:tcPr>
            <w:tcW w:w="4280" w:type="dxa"/>
            <w:vAlign w:val="bottom"/>
          </w:tcPr>
          <w:p>
            <w:pPr>
              <w:ind w:left="260"/>
              <w:spacing w:after="0"/>
              <w:rPr>
                <w:sz w:val="20"/>
                <w:szCs w:val="20"/>
                <w:color w:val="auto"/>
              </w:rPr>
            </w:pPr>
            <w:r>
              <w:rPr>
                <w:rFonts w:ascii="Arial" w:cs="Arial" w:eastAsia="Arial" w:hAnsi="Arial"/>
                <w:sz w:val="14"/>
                <w:szCs w:val="14"/>
                <w:color w:val="auto"/>
              </w:rPr>
              <w:t>Common dividends paid</w:t>
            </w:r>
          </w:p>
        </w:tc>
        <w:tc>
          <w:tcPr>
            <w:tcW w:w="300" w:type="dxa"/>
            <w:vAlign w:val="bottom"/>
          </w:tcPr>
          <w:p>
            <w:pPr>
              <w:spacing w:after="0"/>
              <w:rPr>
                <w:sz w:val="18"/>
                <w:szCs w:val="18"/>
                <w:color w:val="auto"/>
              </w:rPr>
            </w:pPr>
          </w:p>
        </w:tc>
        <w:tc>
          <w:tcPr>
            <w:tcW w:w="800" w:type="dxa"/>
            <w:vAlign w:val="bottom"/>
          </w:tcPr>
          <w:p>
            <w:pPr>
              <w:jc w:val="right"/>
              <w:ind w:right="88"/>
              <w:spacing w:after="0"/>
              <w:rPr>
                <w:sz w:val="20"/>
                <w:szCs w:val="20"/>
                <w:color w:val="auto"/>
              </w:rPr>
            </w:pPr>
            <w:r>
              <w:rPr>
                <w:rFonts w:ascii="Arial" w:cs="Arial" w:eastAsia="Arial" w:hAnsi="Arial"/>
                <w:sz w:val="14"/>
                <w:szCs w:val="14"/>
                <w:color w:val="auto"/>
              </w:rPr>
              <w:t>(350 )</w:t>
            </w:r>
          </w:p>
        </w:tc>
        <w:tc>
          <w:tcPr>
            <w:tcW w:w="340" w:type="dxa"/>
            <w:vAlign w:val="bottom"/>
          </w:tcPr>
          <w:p>
            <w:pPr>
              <w:spacing w:after="0"/>
              <w:rPr>
                <w:sz w:val="18"/>
                <w:szCs w:val="18"/>
                <w:color w:val="auto"/>
              </w:rPr>
            </w:pPr>
          </w:p>
        </w:tc>
        <w:tc>
          <w:tcPr>
            <w:tcW w:w="820" w:type="dxa"/>
            <w:vAlign w:val="bottom"/>
          </w:tcPr>
          <w:p>
            <w:pPr>
              <w:jc w:val="right"/>
              <w:ind w:right="108"/>
              <w:spacing w:after="0"/>
              <w:rPr>
                <w:sz w:val="20"/>
                <w:szCs w:val="20"/>
                <w:color w:val="auto"/>
              </w:rPr>
            </w:pPr>
            <w:r>
              <w:rPr>
                <w:rFonts w:ascii="Arial" w:cs="Arial" w:eastAsia="Arial" w:hAnsi="Arial"/>
                <w:sz w:val="14"/>
                <w:szCs w:val="14"/>
                <w:color w:val="auto"/>
              </w:rPr>
              <w:t>(150 )</w:t>
            </w:r>
          </w:p>
        </w:tc>
        <w:tc>
          <w:tcPr>
            <w:tcW w:w="320" w:type="dxa"/>
            <w:vAlign w:val="bottom"/>
          </w:tcPr>
          <w:p>
            <w:pPr>
              <w:spacing w:after="0"/>
              <w:rPr>
                <w:sz w:val="18"/>
                <w:szCs w:val="18"/>
                <w:color w:val="auto"/>
              </w:rPr>
            </w:pPr>
          </w:p>
        </w:tc>
        <w:tc>
          <w:tcPr>
            <w:tcW w:w="780" w:type="dxa"/>
            <w:vAlign w:val="bottom"/>
          </w:tcPr>
          <w:p>
            <w:pPr>
              <w:jc w:val="right"/>
              <w:ind w:right="88"/>
              <w:spacing w:after="0"/>
              <w:rPr>
                <w:sz w:val="20"/>
                <w:szCs w:val="20"/>
                <w:color w:val="auto"/>
              </w:rPr>
            </w:pPr>
            <w:r>
              <w:rPr>
                <w:rFonts w:ascii="Arial" w:cs="Arial" w:eastAsia="Arial" w:hAnsi="Arial"/>
                <w:sz w:val="14"/>
                <w:szCs w:val="14"/>
                <w:color w:val="auto"/>
              </w:rPr>
              <w:t>(150 )</w:t>
            </w:r>
          </w:p>
        </w:tc>
      </w:tr>
      <w:tr>
        <w:trPr>
          <w:trHeight w:val="216"/>
        </w:trPr>
        <w:tc>
          <w:tcPr>
            <w:tcW w:w="4280" w:type="dxa"/>
            <w:vAlign w:val="bottom"/>
          </w:tcPr>
          <w:p>
            <w:pPr>
              <w:ind w:left="260"/>
              <w:spacing w:after="0"/>
              <w:rPr>
                <w:sz w:val="20"/>
                <w:szCs w:val="20"/>
                <w:color w:val="auto"/>
              </w:rPr>
            </w:pPr>
            <w:r>
              <w:rPr>
                <w:rFonts w:ascii="Arial" w:cs="Arial" w:eastAsia="Arial" w:hAnsi="Arial"/>
                <w:sz w:val="14"/>
                <w:szCs w:val="14"/>
                <w:color w:val="auto"/>
              </w:rPr>
              <w:t>Preferred dividends paid</w:t>
            </w:r>
          </w:p>
        </w:tc>
        <w:tc>
          <w:tcPr>
            <w:tcW w:w="300" w:type="dxa"/>
            <w:vAlign w:val="bottom"/>
          </w:tcPr>
          <w:p>
            <w:pPr>
              <w:spacing w:after="0"/>
              <w:rPr>
                <w:sz w:val="18"/>
                <w:szCs w:val="18"/>
                <w:color w:val="auto"/>
              </w:rPr>
            </w:pPr>
          </w:p>
        </w:tc>
        <w:tc>
          <w:tcPr>
            <w:tcW w:w="800" w:type="dxa"/>
            <w:vAlign w:val="bottom"/>
          </w:tcPr>
          <w:p>
            <w:pPr>
              <w:jc w:val="right"/>
              <w:ind w:right="88"/>
              <w:spacing w:after="0"/>
              <w:rPr>
                <w:sz w:val="20"/>
                <w:szCs w:val="20"/>
                <w:color w:val="auto"/>
              </w:rPr>
            </w:pPr>
            <w:r>
              <w:rPr>
                <w:rFonts w:ascii="Arial" w:cs="Arial" w:eastAsia="Arial" w:hAnsi="Arial"/>
                <w:sz w:val="14"/>
                <w:szCs w:val="14"/>
                <w:color w:val="auto"/>
              </w:rPr>
              <w:t>(4 )</w:t>
            </w:r>
          </w:p>
        </w:tc>
        <w:tc>
          <w:tcPr>
            <w:tcW w:w="340" w:type="dxa"/>
            <w:vAlign w:val="bottom"/>
          </w:tcPr>
          <w:p>
            <w:pPr>
              <w:spacing w:after="0"/>
              <w:rPr>
                <w:sz w:val="18"/>
                <w:szCs w:val="18"/>
                <w:color w:val="auto"/>
              </w:rPr>
            </w:pPr>
          </w:p>
        </w:tc>
        <w:tc>
          <w:tcPr>
            <w:tcW w:w="820" w:type="dxa"/>
            <w:vAlign w:val="bottom"/>
          </w:tcPr>
          <w:p>
            <w:pPr>
              <w:jc w:val="right"/>
              <w:ind w:right="108"/>
              <w:spacing w:after="0"/>
              <w:rPr>
                <w:sz w:val="20"/>
                <w:szCs w:val="20"/>
                <w:color w:val="auto"/>
              </w:rPr>
            </w:pPr>
            <w:r>
              <w:rPr>
                <w:rFonts w:ascii="Arial" w:cs="Arial" w:eastAsia="Arial" w:hAnsi="Arial"/>
                <w:sz w:val="14"/>
                <w:szCs w:val="14"/>
                <w:color w:val="auto"/>
              </w:rPr>
              <w:t>(4 )</w:t>
            </w:r>
          </w:p>
        </w:tc>
        <w:tc>
          <w:tcPr>
            <w:tcW w:w="320" w:type="dxa"/>
            <w:vAlign w:val="bottom"/>
          </w:tcPr>
          <w:p>
            <w:pPr>
              <w:spacing w:after="0"/>
              <w:rPr>
                <w:sz w:val="18"/>
                <w:szCs w:val="18"/>
                <w:color w:val="auto"/>
              </w:rPr>
            </w:pPr>
          </w:p>
        </w:tc>
        <w:tc>
          <w:tcPr>
            <w:tcW w:w="780" w:type="dxa"/>
            <w:vAlign w:val="bottom"/>
          </w:tcPr>
          <w:p>
            <w:pPr>
              <w:jc w:val="right"/>
              <w:ind w:right="88"/>
              <w:spacing w:after="0"/>
              <w:rPr>
                <w:sz w:val="20"/>
                <w:szCs w:val="20"/>
                <w:color w:val="auto"/>
              </w:rPr>
            </w:pPr>
            <w:r>
              <w:rPr>
                <w:rFonts w:ascii="Arial" w:cs="Arial" w:eastAsia="Arial" w:hAnsi="Arial"/>
                <w:sz w:val="14"/>
                <w:szCs w:val="14"/>
                <w:color w:val="auto"/>
              </w:rPr>
              <w:t>(4 )</w:t>
            </w:r>
          </w:p>
        </w:tc>
      </w:tr>
      <w:tr>
        <w:trPr>
          <w:trHeight w:val="216"/>
        </w:trPr>
        <w:tc>
          <w:tcPr>
            <w:tcW w:w="4280" w:type="dxa"/>
            <w:vAlign w:val="bottom"/>
          </w:tcPr>
          <w:p>
            <w:pPr>
              <w:ind w:left="260"/>
              <w:spacing w:after="0"/>
              <w:rPr>
                <w:sz w:val="20"/>
                <w:szCs w:val="20"/>
                <w:color w:val="auto"/>
              </w:rPr>
            </w:pPr>
            <w:r>
              <w:rPr>
                <w:rFonts w:ascii="Arial" w:cs="Arial" w:eastAsia="Arial" w:hAnsi="Arial"/>
                <w:sz w:val="14"/>
                <w:szCs w:val="14"/>
                <w:color w:val="auto"/>
              </w:rPr>
              <w:t>Issuances of long-term debt</w:t>
            </w:r>
          </w:p>
        </w:tc>
        <w:tc>
          <w:tcPr>
            <w:tcW w:w="300" w:type="dxa"/>
            <w:vAlign w:val="bottom"/>
          </w:tcPr>
          <w:p>
            <w:pPr>
              <w:spacing w:after="0"/>
              <w:rPr>
                <w:sz w:val="18"/>
                <w:szCs w:val="18"/>
                <w:color w:val="auto"/>
              </w:rPr>
            </w:pPr>
          </w:p>
        </w:tc>
        <w:tc>
          <w:tcPr>
            <w:tcW w:w="800" w:type="dxa"/>
            <w:vAlign w:val="bottom"/>
          </w:tcPr>
          <w:p>
            <w:pPr>
              <w:jc w:val="right"/>
              <w:ind w:right="168"/>
              <w:spacing w:after="0"/>
              <w:rPr>
                <w:sz w:val="20"/>
                <w:szCs w:val="20"/>
                <w:color w:val="auto"/>
              </w:rPr>
            </w:pPr>
            <w:r>
              <w:rPr>
                <w:rFonts w:ascii="Arial" w:cs="Arial" w:eastAsia="Arial" w:hAnsi="Arial"/>
                <w:sz w:val="14"/>
                <w:szCs w:val="14"/>
                <w:color w:val="auto"/>
              </w:rPr>
              <w:t>250</w:t>
            </w:r>
          </w:p>
        </w:tc>
        <w:tc>
          <w:tcPr>
            <w:tcW w:w="340" w:type="dxa"/>
            <w:vAlign w:val="bottom"/>
          </w:tcPr>
          <w:p>
            <w:pPr>
              <w:spacing w:after="0"/>
              <w:rPr>
                <w:sz w:val="18"/>
                <w:szCs w:val="18"/>
                <w:color w:val="auto"/>
              </w:rPr>
            </w:pPr>
          </w:p>
        </w:tc>
        <w:tc>
          <w:tcPr>
            <w:tcW w:w="82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8"/>
                <w:szCs w:val="18"/>
                <w:color w:val="auto"/>
              </w:rPr>
            </w:pPr>
          </w:p>
        </w:tc>
        <w:tc>
          <w:tcPr>
            <w:tcW w:w="780" w:type="dxa"/>
            <w:vAlign w:val="bottom"/>
          </w:tcPr>
          <w:p>
            <w:pPr>
              <w:jc w:val="right"/>
              <w:ind w:right="148"/>
              <w:spacing w:after="0"/>
              <w:rPr>
                <w:sz w:val="20"/>
                <w:szCs w:val="20"/>
                <w:color w:val="auto"/>
              </w:rPr>
            </w:pPr>
            <w:r>
              <w:rPr>
                <w:rFonts w:ascii="Arial" w:cs="Arial" w:eastAsia="Arial" w:hAnsi="Arial"/>
                <w:sz w:val="14"/>
                <w:szCs w:val="14"/>
                <w:color w:val="auto"/>
              </w:rPr>
              <w:t>--</w:t>
            </w:r>
          </w:p>
        </w:tc>
      </w:tr>
      <w:tr>
        <w:trPr>
          <w:trHeight w:val="216"/>
        </w:trPr>
        <w:tc>
          <w:tcPr>
            <w:tcW w:w="4280" w:type="dxa"/>
            <w:vAlign w:val="bottom"/>
          </w:tcPr>
          <w:p>
            <w:pPr>
              <w:ind w:left="260"/>
              <w:spacing w:after="0"/>
              <w:rPr>
                <w:sz w:val="20"/>
                <w:szCs w:val="20"/>
                <w:color w:val="auto"/>
              </w:rPr>
            </w:pPr>
            <w:r>
              <w:rPr>
                <w:rFonts w:ascii="Arial" w:cs="Arial" w:eastAsia="Arial" w:hAnsi="Arial"/>
                <w:sz w:val="14"/>
                <w:szCs w:val="14"/>
                <w:color w:val="auto"/>
              </w:rPr>
              <w:t>Decrease in short-term debt, net</w:t>
            </w:r>
          </w:p>
        </w:tc>
        <w:tc>
          <w:tcPr>
            <w:tcW w:w="300" w:type="dxa"/>
            <w:vAlign w:val="bottom"/>
          </w:tcPr>
          <w:p>
            <w:pPr>
              <w:spacing w:after="0"/>
              <w:rPr>
                <w:sz w:val="18"/>
                <w:szCs w:val="18"/>
                <w:color w:val="auto"/>
              </w:rPr>
            </w:pPr>
          </w:p>
        </w:tc>
        <w:tc>
          <w:tcPr>
            <w:tcW w:w="80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8"/>
                <w:szCs w:val="18"/>
                <w:color w:val="auto"/>
              </w:rPr>
            </w:pPr>
          </w:p>
        </w:tc>
        <w:tc>
          <w:tcPr>
            <w:tcW w:w="82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8"/>
                <w:szCs w:val="18"/>
                <w:color w:val="auto"/>
              </w:rPr>
            </w:pPr>
          </w:p>
        </w:tc>
        <w:tc>
          <w:tcPr>
            <w:tcW w:w="780" w:type="dxa"/>
            <w:vAlign w:val="bottom"/>
          </w:tcPr>
          <w:p>
            <w:pPr>
              <w:jc w:val="right"/>
              <w:ind w:right="88"/>
              <w:spacing w:after="0"/>
              <w:rPr>
                <w:sz w:val="20"/>
                <w:szCs w:val="20"/>
                <w:color w:val="auto"/>
              </w:rPr>
            </w:pPr>
            <w:r>
              <w:rPr>
                <w:rFonts w:ascii="Arial" w:cs="Arial" w:eastAsia="Arial" w:hAnsi="Arial"/>
                <w:sz w:val="14"/>
                <w:szCs w:val="14"/>
                <w:color w:val="auto"/>
              </w:rPr>
              <w:t>(88 )</w:t>
            </w:r>
          </w:p>
        </w:tc>
      </w:tr>
      <w:tr>
        <w:trPr>
          <w:trHeight w:val="222"/>
        </w:trPr>
        <w:tc>
          <w:tcPr>
            <w:tcW w:w="4280" w:type="dxa"/>
            <w:vAlign w:val="bottom"/>
          </w:tcPr>
          <w:p>
            <w:pPr>
              <w:ind w:left="260"/>
              <w:spacing w:after="0"/>
              <w:rPr>
                <w:sz w:val="20"/>
                <w:szCs w:val="20"/>
                <w:color w:val="auto"/>
              </w:rPr>
            </w:pPr>
            <w:r>
              <w:rPr>
                <w:rFonts w:ascii="Arial" w:cs="Arial" w:eastAsia="Arial" w:hAnsi="Arial"/>
                <w:sz w:val="14"/>
                <w:szCs w:val="14"/>
                <w:color w:val="auto"/>
              </w:rPr>
              <w:t>Other</w:t>
            </w:r>
          </w:p>
        </w:tc>
        <w:tc>
          <w:tcPr>
            <w:tcW w:w="3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(2 )</w:t>
            </w:r>
          </w:p>
        </w:tc>
        <w:tc>
          <w:tcPr>
            <w:tcW w:w="3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r>
      <w:tr>
        <w:trPr>
          <w:trHeight w:val="208"/>
        </w:trPr>
        <w:tc>
          <w:tcPr>
            <w:tcW w:w="4280" w:type="dxa"/>
            <w:vAlign w:val="bottom"/>
          </w:tcPr>
          <w:p>
            <w:pPr>
              <w:ind w:left="740"/>
              <w:spacing w:after="0"/>
              <w:rPr>
                <w:sz w:val="20"/>
                <w:szCs w:val="20"/>
                <w:color w:val="auto"/>
              </w:rPr>
            </w:pPr>
            <w:r>
              <w:rPr>
                <w:rFonts w:ascii="Arial" w:cs="Arial" w:eastAsia="Arial" w:hAnsi="Arial"/>
                <w:sz w:val="14"/>
                <w:szCs w:val="14"/>
                <w:color w:val="auto"/>
              </w:rPr>
              <w:t>Net cash used in financing activities</w:t>
            </w:r>
          </w:p>
        </w:tc>
        <w:tc>
          <w:tcPr>
            <w:tcW w:w="3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(106 )</w:t>
            </w:r>
          </w:p>
        </w:tc>
        <w:tc>
          <w:tcPr>
            <w:tcW w:w="3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(154 )</w:t>
            </w:r>
          </w:p>
        </w:tc>
        <w:tc>
          <w:tcPr>
            <w:tcW w:w="3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(242 )</w:t>
            </w:r>
          </w:p>
        </w:tc>
      </w:tr>
      <w:tr>
        <w:trPr>
          <w:trHeight w:val="418"/>
        </w:trPr>
        <w:tc>
          <w:tcPr>
            <w:tcW w:w="4280" w:type="dxa"/>
            <w:vAlign w:val="bottom"/>
          </w:tcPr>
          <w:p>
            <w:pPr>
              <w:ind w:left="20"/>
              <w:spacing w:after="0"/>
              <w:rPr>
                <w:sz w:val="20"/>
                <w:szCs w:val="20"/>
                <w:color w:val="auto"/>
              </w:rPr>
            </w:pPr>
            <w:r>
              <w:rPr>
                <w:rFonts w:ascii="Arial" w:cs="Arial" w:eastAsia="Arial" w:hAnsi="Arial"/>
                <w:sz w:val="14"/>
                <w:szCs w:val="14"/>
                <w:color w:val="auto"/>
              </w:rPr>
              <w:t>Increase (decrease) in cash and cash equivalents</w:t>
            </w:r>
          </w:p>
        </w:tc>
        <w:tc>
          <w:tcPr>
            <w:tcW w:w="300" w:type="dxa"/>
            <w:vAlign w:val="bottom"/>
          </w:tcPr>
          <w:p>
            <w:pPr>
              <w:spacing w:after="0"/>
              <w:rPr>
                <w:sz w:val="24"/>
                <w:szCs w:val="24"/>
                <w:color w:val="auto"/>
              </w:rPr>
            </w:pPr>
          </w:p>
        </w:tc>
        <w:tc>
          <w:tcPr>
            <w:tcW w:w="800" w:type="dxa"/>
            <w:vAlign w:val="bottom"/>
          </w:tcPr>
          <w:p>
            <w:pPr>
              <w:jc w:val="right"/>
              <w:ind w:right="168"/>
              <w:spacing w:after="0"/>
              <w:rPr>
                <w:sz w:val="20"/>
                <w:szCs w:val="20"/>
                <w:color w:val="auto"/>
              </w:rPr>
            </w:pPr>
            <w:r>
              <w:rPr>
                <w:rFonts w:ascii="Arial" w:cs="Arial" w:eastAsia="Arial" w:hAnsi="Arial"/>
                <w:sz w:val="14"/>
                <w:szCs w:val="14"/>
                <w:color w:val="auto"/>
              </w:rPr>
              <w:t>147</w:t>
            </w:r>
          </w:p>
        </w:tc>
        <w:tc>
          <w:tcPr>
            <w:tcW w:w="340" w:type="dxa"/>
            <w:vAlign w:val="bottom"/>
          </w:tcPr>
          <w:p>
            <w:pPr>
              <w:spacing w:after="0"/>
              <w:rPr>
                <w:sz w:val="24"/>
                <w:szCs w:val="24"/>
                <w:color w:val="auto"/>
              </w:rPr>
            </w:pPr>
          </w:p>
        </w:tc>
        <w:tc>
          <w:tcPr>
            <w:tcW w:w="820" w:type="dxa"/>
            <w:vAlign w:val="bottom"/>
          </w:tcPr>
          <w:p>
            <w:pPr>
              <w:jc w:val="right"/>
              <w:ind w:right="108"/>
              <w:spacing w:after="0"/>
              <w:rPr>
                <w:sz w:val="20"/>
                <w:szCs w:val="20"/>
                <w:color w:val="auto"/>
              </w:rPr>
            </w:pPr>
            <w:r>
              <w:rPr>
                <w:rFonts w:ascii="Arial" w:cs="Arial" w:eastAsia="Arial" w:hAnsi="Arial"/>
                <w:sz w:val="14"/>
                <w:szCs w:val="14"/>
                <w:color w:val="auto"/>
              </w:rPr>
              <w:t>(152 )</w:t>
            </w:r>
          </w:p>
        </w:tc>
        <w:tc>
          <w:tcPr>
            <w:tcW w:w="320" w:type="dxa"/>
            <w:vAlign w:val="bottom"/>
          </w:tcPr>
          <w:p>
            <w:pPr>
              <w:spacing w:after="0"/>
              <w:rPr>
                <w:sz w:val="24"/>
                <w:szCs w:val="24"/>
                <w:color w:val="auto"/>
              </w:rPr>
            </w:pPr>
          </w:p>
        </w:tc>
        <w:tc>
          <w:tcPr>
            <w:tcW w:w="780" w:type="dxa"/>
            <w:vAlign w:val="bottom"/>
          </w:tcPr>
          <w:p>
            <w:pPr>
              <w:jc w:val="right"/>
              <w:ind w:right="148"/>
              <w:spacing w:after="0"/>
              <w:rPr>
                <w:sz w:val="20"/>
                <w:szCs w:val="20"/>
                <w:color w:val="auto"/>
              </w:rPr>
            </w:pPr>
            <w:r>
              <w:rPr>
                <w:rFonts w:ascii="Arial" w:cs="Arial" w:eastAsia="Arial" w:hAnsi="Arial"/>
                <w:sz w:val="14"/>
                <w:szCs w:val="14"/>
                <w:color w:val="auto"/>
              </w:rPr>
              <w:t>121</w:t>
            </w:r>
          </w:p>
        </w:tc>
      </w:tr>
      <w:tr>
        <w:trPr>
          <w:trHeight w:val="219"/>
        </w:trPr>
        <w:tc>
          <w:tcPr>
            <w:tcW w:w="4280" w:type="dxa"/>
            <w:vAlign w:val="bottom"/>
          </w:tcPr>
          <w:p>
            <w:pPr>
              <w:ind w:left="20"/>
              <w:spacing w:after="0"/>
              <w:rPr>
                <w:sz w:val="20"/>
                <w:szCs w:val="20"/>
                <w:color w:val="auto"/>
              </w:rPr>
            </w:pPr>
            <w:r>
              <w:rPr>
                <w:rFonts w:ascii="Arial" w:cs="Arial" w:eastAsia="Arial" w:hAnsi="Arial"/>
                <w:sz w:val="14"/>
                <w:szCs w:val="14"/>
                <w:color w:val="auto"/>
              </w:rPr>
              <w:t>Cash and cash equivalents, January 1</w:t>
            </w:r>
          </w:p>
        </w:tc>
        <w:tc>
          <w:tcPr>
            <w:tcW w:w="3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59</w:t>
            </w:r>
          </w:p>
        </w:tc>
        <w:tc>
          <w:tcPr>
            <w:tcW w:w="3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211</w:t>
            </w:r>
          </w:p>
        </w:tc>
        <w:tc>
          <w:tcPr>
            <w:tcW w:w="3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90</w:t>
            </w:r>
          </w:p>
        </w:tc>
      </w:tr>
      <w:tr>
        <w:trPr>
          <w:trHeight w:val="227"/>
        </w:trPr>
        <w:tc>
          <w:tcPr>
            <w:tcW w:w="42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Cash and cash equivalents, December 31</w:t>
            </w:r>
          </w:p>
        </w:tc>
        <w:tc>
          <w:tcPr>
            <w:tcW w:w="3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206</w:t>
            </w:r>
          </w:p>
        </w:tc>
        <w:tc>
          <w:tcPr>
            <w:tcW w:w="3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59</w:t>
            </w:r>
          </w:p>
        </w:tc>
        <w:tc>
          <w:tcPr>
            <w:tcW w:w="3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211</w:t>
            </w:r>
          </w:p>
        </w:tc>
      </w:tr>
    </w:tbl>
    <w:p>
      <w:pPr>
        <w:spacing w:after="0" w:line="257" w:lineRule="exact"/>
        <w:rPr>
          <w:sz w:val="20"/>
          <w:szCs w:val="20"/>
          <w:color w:val="auto"/>
        </w:rPr>
      </w:pPr>
    </w:p>
    <w:p>
      <w:pPr>
        <w:ind w:left="1920"/>
        <w:spacing w:after="0"/>
        <w:rPr>
          <w:sz w:val="20"/>
          <w:szCs w:val="20"/>
          <w:color w:val="auto"/>
        </w:rPr>
      </w:pPr>
      <w:r>
        <w:rPr>
          <w:rFonts w:ascii="Arial" w:cs="Arial" w:eastAsia="Arial" w:hAnsi="Arial"/>
          <w:sz w:val="13"/>
          <w:szCs w:val="13"/>
          <w:i w:val="1"/>
          <w:iCs w:val="1"/>
          <w:color w:val="auto"/>
        </w:rPr>
        <w:t>See Notes to Consolidated Financial Statements.</w:t>
      </w: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Arial" w:cs="Arial" w:eastAsia="Arial" w:hAnsi="Arial"/>
          <w:sz w:val="14"/>
          <w:szCs w:val="14"/>
          <w:color w:val="auto"/>
        </w:rPr>
        <w:t>84</w:t>
      </w:r>
    </w:p>
    <w:p>
      <w:pPr>
        <w:sectPr>
          <w:pgSz w:w="11900" w:h="16838" w:orient="portrait"/>
          <w:cols w:equalWidth="0" w:num="1">
            <w:col w:w="10219"/>
          </w:cols>
          <w:pgMar w:left="240" w:top="364" w:right="1440" w:bottom="1440" w:gutter="0" w:footer="0" w:header="0"/>
        </w:sectPr>
      </w:pPr>
    </w:p>
    <w:bookmarkStart w:id="224" w:name="page225"/>
    <w:bookmarkEnd w:id="224"/>
    <w:p>
      <w:pPr>
        <w:ind w:left="1820"/>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1301750</wp:posOffset>
            </wp:positionH>
            <wp:positionV relativeFrom="page">
              <wp:posOffset>226060</wp:posOffset>
            </wp:positionV>
            <wp:extent cx="4958080" cy="389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4958080" cy="389255"/>
                    </a:xfrm>
                    <a:prstGeom prst="rect">
                      <a:avLst/>
                    </a:prstGeom>
                    <a:noFill/>
                  </pic:spPr>
                </pic:pic>
              </a:graphicData>
            </a:graphic>
          </wp:anchor>
        </w:drawing>
        <w:t>PACIFIC ENTERPRISES AND SUBSIDIARIES</w:t>
      </w:r>
    </w:p>
    <w:p>
      <w:pPr>
        <w:spacing w:after="0" w:line="31" w:lineRule="exact"/>
        <w:rPr>
          <w:sz w:val="20"/>
          <w:szCs w:val="20"/>
          <w:color w:val="auto"/>
        </w:rPr>
      </w:pPr>
    </w:p>
    <w:p>
      <w:pPr>
        <w:ind w:left="1820"/>
        <w:spacing w:after="0"/>
        <w:rPr>
          <w:sz w:val="20"/>
          <w:szCs w:val="20"/>
          <w:color w:val="auto"/>
        </w:rPr>
      </w:pPr>
      <w:r>
        <w:rPr>
          <w:rFonts w:ascii="Arial" w:cs="Arial" w:eastAsia="Arial" w:hAnsi="Arial"/>
          <w:sz w:val="14"/>
          <w:szCs w:val="14"/>
          <w:b w:val="1"/>
          <w:bCs w:val="1"/>
          <w:color w:val="auto"/>
        </w:rPr>
        <w:t>STATEMENTS OF CONSOLIDATED CASH FLOWS</w:t>
      </w:r>
    </w:p>
    <w:p>
      <w:pPr>
        <w:spacing w:after="0" w:line="76" w:lineRule="exact"/>
        <w:rPr>
          <w:sz w:val="20"/>
          <w:szCs w:val="20"/>
          <w:color w:val="auto"/>
        </w:rPr>
      </w:pPr>
    </w:p>
    <w:tbl>
      <w:tblPr>
        <w:tblLayout w:type="fixed"/>
        <w:tblInd w:w="1800" w:type="dxa"/>
        <w:tblCellMar>
          <w:top w:w="0" w:type="dxa"/>
          <w:left w:w="0" w:type="dxa"/>
          <w:bottom w:w="0" w:type="dxa"/>
          <w:right w:w="0" w:type="dxa"/>
        </w:tblCellMar>
      </w:tblPr>
      <w:tr>
        <w:trPr>
          <w:trHeight w:val="166"/>
        </w:trPr>
        <w:tc>
          <w:tcPr>
            <w:tcW w:w="4500" w:type="dxa"/>
            <w:vAlign w:val="bottom"/>
          </w:tcPr>
          <w:p>
            <w:pPr>
              <w:ind w:left="20"/>
              <w:spacing w:after="0"/>
              <w:rPr>
                <w:sz w:val="20"/>
                <w:szCs w:val="20"/>
                <w:color w:val="auto"/>
              </w:rPr>
            </w:pPr>
            <w:r>
              <w:rPr>
                <w:rFonts w:ascii="Arial" w:cs="Arial" w:eastAsia="Arial" w:hAnsi="Arial"/>
                <w:sz w:val="13"/>
                <w:szCs w:val="13"/>
                <w:i w:val="1"/>
                <w:iCs w:val="1"/>
                <w:color w:val="auto"/>
              </w:rPr>
              <w:t>(Dollars in millions)</w:t>
            </w:r>
          </w:p>
        </w:tc>
        <w:tc>
          <w:tcPr>
            <w:tcW w:w="3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209"/>
        </w:trPr>
        <w:tc>
          <w:tcPr>
            <w:tcW w:w="45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260" w:type="dxa"/>
            <w:vAlign w:val="bottom"/>
            <w:tcBorders>
              <w:bottom w:val="single" w:sz="8" w:color="auto"/>
            </w:tcBorders>
            <w:gridSpan w:val="4"/>
          </w:tcPr>
          <w:p>
            <w:pPr>
              <w:jc w:val="right"/>
              <w:ind w:right="68"/>
              <w:spacing w:after="0"/>
              <w:rPr>
                <w:sz w:val="20"/>
                <w:szCs w:val="20"/>
                <w:color w:val="auto"/>
              </w:rPr>
            </w:pPr>
            <w:r>
              <w:rPr>
                <w:rFonts w:ascii="Arial" w:cs="Arial" w:eastAsia="Arial" w:hAnsi="Arial"/>
                <w:sz w:val="13"/>
                <w:szCs w:val="13"/>
                <w:color w:val="auto"/>
              </w:rPr>
              <w:t>Years ended December 31,</w:t>
            </w:r>
          </w:p>
        </w:tc>
        <w:tc>
          <w:tcPr>
            <w:tcW w:w="740" w:type="dxa"/>
            <w:vAlign w:val="bottom"/>
            <w:tcBorders>
              <w:bottom w:val="single" w:sz="8" w:color="auto"/>
            </w:tcBorders>
          </w:tcPr>
          <w:p>
            <w:pPr>
              <w:spacing w:after="0"/>
              <w:rPr>
                <w:sz w:val="18"/>
                <w:szCs w:val="18"/>
                <w:color w:val="auto"/>
              </w:rPr>
            </w:pPr>
          </w:p>
        </w:tc>
      </w:tr>
      <w:tr>
        <w:trPr>
          <w:trHeight w:val="208"/>
        </w:trPr>
        <w:tc>
          <w:tcPr>
            <w:tcW w:w="45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351"/>
              <w:spacing w:after="0"/>
              <w:rPr>
                <w:sz w:val="20"/>
                <w:szCs w:val="20"/>
                <w:color w:val="auto"/>
              </w:rPr>
            </w:pPr>
            <w:r>
              <w:rPr>
                <w:rFonts w:ascii="Arial" w:cs="Arial" w:eastAsia="Arial" w:hAnsi="Arial"/>
                <w:sz w:val="13"/>
                <w:szCs w:val="13"/>
                <w:color w:val="auto"/>
              </w:rPr>
              <w:t>2008</w:t>
            </w:r>
          </w:p>
        </w:tc>
        <w:tc>
          <w:tcPr>
            <w:tcW w:w="3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290"/>
              <w:spacing w:after="0"/>
              <w:rPr>
                <w:sz w:val="20"/>
                <w:szCs w:val="20"/>
                <w:color w:val="auto"/>
              </w:rPr>
            </w:pPr>
            <w:r>
              <w:rPr>
                <w:rFonts w:ascii="Arial" w:cs="Arial" w:eastAsia="Arial" w:hAnsi="Arial"/>
                <w:sz w:val="13"/>
                <w:szCs w:val="13"/>
                <w:color w:val="auto"/>
              </w:rPr>
              <w:t>2007</w:t>
            </w:r>
          </w:p>
        </w:tc>
        <w:tc>
          <w:tcPr>
            <w:tcW w:w="3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310"/>
              <w:spacing w:after="0"/>
              <w:rPr>
                <w:sz w:val="20"/>
                <w:szCs w:val="20"/>
                <w:color w:val="auto"/>
              </w:rPr>
            </w:pPr>
            <w:r>
              <w:rPr>
                <w:rFonts w:ascii="Arial" w:cs="Arial" w:eastAsia="Arial" w:hAnsi="Arial"/>
                <w:sz w:val="13"/>
                <w:szCs w:val="13"/>
                <w:color w:val="auto"/>
              </w:rPr>
              <w:t>2006</w:t>
            </w:r>
          </w:p>
        </w:tc>
      </w:tr>
      <w:tr>
        <w:trPr>
          <w:trHeight w:val="423"/>
        </w:trPr>
        <w:tc>
          <w:tcPr>
            <w:tcW w:w="4500" w:type="dxa"/>
            <w:vAlign w:val="bottom"/>
          </w:tcPr>
          <w:p>
            <w:pPr>
              <w:ind w:left="20"/>
              <w:spacing w:after="0"/>
              <w:rPr>
                <w:sz w:val="20"/>
                <w:szCs w:val="20"/>
                <w:color w:val="auto"/>
              </w:rPr>
            </w:pPr>
            <w:r>
              <w:rPr>
                <w:rFonts w:ascii="Arial" w:cs="Arial" w:eastAsia="Arial" w:hAnsi="Arial"/>
                <w:sz w:val="14"/>
                <w:szCs w:val="14"/>
                <w:color w:val="auto"/>
              </w:rPr>
              <w:t>SUPPLEMENTAL DISCLOSURE OF CASH FLOW INFORMATION</w:t>
            </w: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38"/>
        </w:trPr>
        <w:tc>
          <w:tcPr>
            <w:tcW w:w="4500" w:type="dxa"/>
            <w:vAlign w:val="bottom"/>
          </w:tcPr>
          <w:p>
            <w:pPr>
              <w:ind w:left="580"/>
              <w:spacing w:after="0"/>
              <w:rPr>
                <w:sz w:val="20"/>
                <w:szCs w:val="20"/>
                <w:color w:val="auto"/>
              </w:rPr>
            </w:pPr>
            <w:r>
              <w:rPr>
                <w:rFonts w:ascii="Arial" w:cs="Arial" w:eastAsia="Arial" w:hAnsi="Arial"/>
                <w:sz w:val="14"/>
                <w:szCs w:val="14"/>
                <w:color w:val="auto"/>
              </w:rPr>
              <w:t>Interest payments, net of amounts capitalized</w:t>
            </w:r>
          </w:p>
        </w:tc>
        <w:tc>
          <w:tcPr>
            <w:tcW w:w="3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ind w:right="151"/>
              <w:spacing w:after="0"/>
              <w:rPr>
                <w:sz w:val="20"/>
                <w:szCs w:val="20"/>
                <w:color w:val="auto"/>
              </w:rPr>
            </w:pPr>
            <w:r>
              <w:rPr>
                <w:rFonts w:ascii="Arial" w:cs="Arial" w:eastAsia="Arial" w:hAnsi="Arial"/>
                <w:sz w:val="14"/>
                <w:szCs w:val="14"/>
                <w:color w:val="auto"/>
              </w:rPr>
              <w:t>61</w:t>
            </w:r>
          </w:p>
        </w:tc>
        <w:tc>
          <w:tcPr>
            <w:tcW w:w="3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ind w:right="110"/>
              <w:spacing w:after="0"/>
              <w:rPr>
                <w:sz w:val="20"/>
                <w:szCs w:val="20"/>
                <w:color w:val="auto"/>
              </w:rPr>
            </w:pPr>
            <w:r>
              <w:rPr>
                <w:rFonts w:ascii="Arial" w:cs="Arial" w:eastAsia="Arial" w:hAnsi="Arial"/>
                <w:sz w:val="14"/>
                <w:szCs w:val="14"/>
                <w:color w:val="auto"/>
              </w:rPr>
              <w:t>72</w:t>
            </w:r>
          </w:p>
        </w:tc>
        <w:tc>
          <w:tcPr>
            <w:tcW w:w="3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ind w:right="170"/>
              <w:spacing w:after="0"/>
              <w:rPr>
                <w:sz w:val="20"/>
                <w:szCs w:val="20"/>
                <w:color w:val="auto"/>
              </w:rPr>
            </w:pPr>
            <w:r>
              <w:rPr>
                <w:rFonts w:ascii="Arial" w:cs="Arial" w:eastAsia="Arial" w:hAnsi="Arial"/>
                <w:sz w:val="14"/>
                <w:szCs w:val="14"/>
                <w:color w:val="auto"/>
              </w:rPr>
              <w:t>69</w:t>
            </w:r>
          </w:p>
        </w:tc>
      </w:tr>
      <w:tr>
        <w:trPr>
          <w:trHeight w:val="448"/>
        </w:trPr>
        <w:tc>
          <w:tcPr>
            <w:tcW w:w="4500" w:type="dxa"/>
            <w:vAlign w:val="bottom"/>
          </w:tcPr>
          <w:p>
            <w:pPr>
              <w:ind w:left="580"/>
              <w:spacing w:after="0"/>
              <w:rPr>
                <w:sz w:val="20"/>
                <w:szCs w:val="20"/>
                <w:color w:val="auto"/>
              </w:rPr>
            </w:pPr>
            <w:r>
              <w:rPr>
                <w:rFonts w:ascii="Arial" w:cs="Arial" w:eastAsia="Arial" w:hAnsi="Arial"/>
                <w:sz w:val="14"/>
                <w:szCs w:val="14"/>
                <w:color w:val="auto"/>
              </w:rPr>
              <w:t>Income tax payments, net of refunds</w:t>
            </w:r>
          </w:p>
        </w:tc>
        <w:tc>
          <w:tcPr>
            <w:tcW w:w="3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ind w:right="151"/>
              <w:spacing w:after="0"/>
              <w:rPr>
                <w:sz w:val="20"/>
                <w:szCs w:val="20"/>
                <w:color w:val="auto"/>
              </w:rPr>
            </w:pPr>
            <w:r>
              <w:rPr>
                <w:rFonts w:ascii="Arial" w:cs="Arial" w:eastAsia="Arial" w:hAnsi="Arial"/>
                <w:sz w:val="14"/>
                <w:szCs w:val="14"/>
                <w:color w:val="auto"/>
              </w:rPr>
              <w:t>120</w:t>
            </w:r>
          </w:p>
        </w:tc>
        <w:tc>
          <w:tcPr>
            <w:tcW w:w="3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ind w:right="110"/>
              <w:spacing w:after="0"/>
              <w:rPr>
                <w:sz w:val="20"/>
                <w:szCs w:val="20"/>
                <w:color w:val="auto"/>
              </w:rPr>
            </w:pPr>
            <w:r>
              <w:rPr>
                <w:rFonts w:ascii="Arial" w:cs="Arial" w:eastAsia="Arial" w:hAnsi="Arial"/>
                <w:sz w:val="14"/>
                <w:szCs w:val="14"/>
                <w:color w:val="auto"/>
              </w:rPr>
              <w:t>114</w:t>
            </w:r>
          </w:p>
        </w:tc>
        <w:tc>
          <w:tcPr>
            <w:tcW w:w="3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ind w:right="170"/>
              <w:spacing w:after="0"/>
              <w:rPr>
                <w:sz w:val="20"/>
                <w:szCs w:val="20"/>
                <w:color w:val="auto"/>
              </w:rPr>
            </w:pPr>
            <w:r>
              <w:rPr>
                <w:rFonts w:ascii="Arial" w:cs="Arial" w:eastAsia="Arial" w:hAnsi="Arial"/>
                <w:sz w:val="14"/>
                <w:szCs w:val="14"/>
                <w:color w:val="auto"/>
              </w:rPr>
              <w:t>99</w:t>
            </w:r>
          </w:p>
        </w:tc>
      </w:tr>
      <w:tr>
        <w:trPr>
          <w:trHeight w:val="426"/>
        </w:trPr>
        <w:tc>
          <w:tcPr>
            <w:tcW w:w="4500" w:type="dxa"/>
            <w:vAlign w:val="bottom"/>
          </w:tcPr>
          <w:p>
            <w:pPr>
              <w:ind w:left="20"/>
              <w:spacing w:after="0"/>
              <w:rPr>
                <w:sz w:val="20"/>
                <w:szCs w:val="20"/>
                <w:color w:val="auto"/>
              </w:rPr>
            </w:pPr>
            <w:r>
              <w:rPr>
                <w:rFonts w:ascii="Arial" w:cs="Arial" w:eastAsia="Arial" w:hAnsi="Arial"/>
                <w:sz w:val="14"/>
                <w:szCs w:val="14"/>
                <w:color w:val="auto"/>
              </w:rPr>
              <w:t>SUPPLEMENTAL DISCLOSURE OF NONCASH ACTIVITIES</w:t>
            </w: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88"/>
        </w:trPr>
        <w:tc>
          <w:tcPr>
            <w:tcW w:w="4500" w:type="dxa"/>
            <w:vAlign w:val="bottom"/>
          </w:tcPr>
          <w:p>
            <w:pPr>
              <w:ind w:left="340"/>
              <w:spacing w:after="0"/>
              <w:rPr>
                <w:sz w:val="20"/>
                <w:szCs w:val="20"/>
                <w:color w:val="auto"/>
              </w:rPr>
            </w:pPr>
            <w:r>
              <w:rPr>
                <w:rFonts w:ascii="Arial" w:cs="Arial" w:eastAsia="Arial" w:hAnsi="Arial"/>
                <w:sz w:val="14"/>
                <w:szCs w:val="14"/>
                <w:color w:val="auto"/>
              </w:rPr>
              <w:t>Increase (decrease) in accounts payable from investments in</w:t>
            </w:r>
          </w:p>
        </w:tc>
        <w:tc>
          <w:tcPr>
            <w:tcW w:w="3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195"/>
        </w:trPr>
        <w:tc>
          <w:tcPr>
            <w:tcW w:w="4500" w:type="dxa"/>
            <w:vAlign w:val="bottom"/>
          </w:tcPr>
          <w:p>
            <w:pPr>
              <w:ind w:left="520"/>
              <w:spacing w:after="0"/>
              <w:rPr>
                <w:sz w:val="20"/>
                <w:szCs w:val="20"/>
                <w:color w:val="auto"/>
              </w:rPr>
            </w:pPr>
            <w:r>
              <w:rPr>
                <w:rFonts w:ascii="Arial" w:cs="Arial" w:eastAsia="Arial" w:hAnsi="Arial"/>
                <w:sz w:val="14"/>
                <w:szCs w:val="14"/>
                <w:color w:val="auto"/>
              </w:rPr>
              <w:t>property, plant and equipment</w:t>
            </w:r>
          </w:p>
        </w:tc>
        <w:tc>
          <w:tcPr>
            <w:tcW w:w="3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ind w:right="91"/>
              <w:spacing w:after="0"/>
              <w:rPr>
                <w:sz w:val="20"/>
                <w:szCs w:val="20"/>
                <w:color w:val="auto"/>
              </w:rPr>
            </w:pPr>
            <w:r>
              <w:rPr>
                <w:rFonts w:ascii="Arial" w:cs="Arial" w:eastAsia="Arial" w:hAnsi="Arial"/>
                <w:sz w:val="14"/>
                <w:szCs w:val="14"/>
                <w:color w:val="auto"/>
              </w:rPr>
              <w:t>(17 )</w:t>
            </w:r>
          </w:p>
        </w:tc>
        <w:tc>
          <w:tcPr>
            <w:tcW w:w="3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ind w:right="110"/>
              <w:spacing w:after="0"/>
              <w:rPr>
                <w:sz w:val="20"/>
                <w:szCs w:val="20"/>
                <w:color w:val="auto"/>
              </w:rPr>
            </w:pPr>
            <w:r>
              <w:rPr>
                <w:rFonts w:ascii="Arial" w:cs="Arial" w:eastAsia="Arial" w:hAnsi="Arial"/>
                <w:sz w:val="14"/>
                <w:szCs w:val="14"/>
                <w:color w:val="auto"/>
              </w:rPr>
              <w:t>5</w:t>
            </w:r>
          </w:p>
        </w:tc>
        <w:tc>
          <w:tcPr>
            <w:tcW w:w="3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ind w:right="170"/>
              <w:spacing w:after="0"/>
              <w:rPr>
                <w:sz w:val="20"/>
                <w:szCs w:val="20"/>
                <w:color w:val="auto"/>
              </w:rPr>
            </w:pPr>
            <w:r>
              <w:rPr>
                <w:rFonts w:ascii="Arial" w:cs="Arial" w:eastAsia="Arial" w:hAnsi="Arial"/>
                <w:sz w:val="14"/>
                <w:szCs w:val="14"/>
                <w:color w:val="auto"/>
              </w:rPr>
              <w:t>4</w:t>
            </w:r>
          </w:p>
        </w:tc>
      </w:tr>
      <w:tr>
        <w:trPr>
          <w:trHeight w:val="448"/>
        </w:trPr>
        <w:tc>
          <w:tcPr>
            <w:tcW w:w="4500" w:type="dxa"/>
            <w:vAlign w:val="bottom"/>
            <w:tcBorders>
              <w:bottom w:val="single" w:sz="8" w:color="auto"/>
            </w:tcBorders>
          </w:tcPr>
          <w:p>
            <w:pPr>
              <w:ind w:left="340"/>
              <w:spacing w:after="0"/>
              <w:rPr>
                <w:sz w:val="20"/>
                <w:szCs w:val="20"/>
                <w:color w:val="auto"/>
              </w:rPr>
            </w:pPr>
            <w:r>
              <w:rPr>
                <w:rFonts w:ascii="Arial" w:cs="Arial" w:eastAsia="Arial" w:hAnsi="Arial"/>
                <w:sz w:val="14"/>
                <w:szCs w:val="14"/>
                <w:color w:val="auto"/>
              </w:rPr>
              <w:t>Dividends declared but not paid</w:t>
            </w:r>
          </w:p>
        </w:tc>
        <w:tc>
          <w:tcPr>
            <w:tcW w:w="3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ind w:right="151"/>
              <w:spacing w:after="0"/>
              <w:rPr>
                <w:sz w:val="20"/>
                <w:szCs w:val="20"/>
                <w:color w:val="auto"/>
              </w:rPr>
            </w:pPr>
            <w:r>
              <w:rPr>
                <w:rFonts w:ascii="Arial" w:cs="Arial" w:eastAsia="Arial" w:hAnsi="Arial"/>
                <w:sz w:val="14"/>
                <w:szCs w:val="14"/>
                <w:color w:val="auto"/>
              </w:rPr>
              <w:t>1</w:t>
            </w:r>
          </w:p>
        </w:tc>
        <w:tc>
          <w:tcPr>
            <w:tcW w:w="3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ind w:right="110"/>
              <w:spacing w:after="0"/>
              <w:rPr>
                <w:sz w:val="20"/>
                <w:szCs w:val="20"/>
                <w:color w:val="auto"/>
              </w:rPr>
            </w:pPr>
            <w:r>
              <w:rPr>
                <w:rFonts w:ascii="Arial" w:cs="Arial" w:eastAsia="Arial" w:hAnsi="Arial"/>
                <w:sz w:val="14"/>
                <w:szCs w:val="14"/>
                <w:color w:val="auto"/>
              </w:rPr>
              <w:t>151</w:t>
            </w:r>
          </w:p>
        </w:tc>
        <w:tc>
          <w:tcPr>
            <w:tcW w:w="3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ind w:right="170"/>
              <w:spacing w:after="0"/>
              <w:rPr>
                <w:sz w:val="20"/>
                <w:szCs w:val="20"/>
                <w:color w:val="auto"/>
              </w:rPr>
            </w:pPr>
            <w:r>
              <w:rPr>
                <w:rFonts w:ascii="Arial" w:cs="Arial" w:eastAsia="Arial" w:hAnsi="Arial"/>
                <w:sz w:val="14"/>
                <w:szCs w:val="14"/>
                <w:color w:val="auto"/>
              </w:rPr>
              <w:t>51</w:t>
            </w:r>
          </w:p>
        </w:tc>
      </w:tr>
      <w:tr>
        <w:trPr>
          <w:trHeight w:val="422"/>
        </w:trPr>
        <w:tc>
          <w:tcPr>
            <w:tcW w:w="4500" w:type="dxa"/>
            <w:vAlign w:val="bottom"/>
          </w:tcPr>
          <w:p>
            <w:pPr>
              <w:ind w:left="20"/>
              <w:spacing w:after="0"/>
              <w:rPr>
                <w:sz w:val="20"/>
                <w:szCs w:val="20"/>
                <w:color w:val="auto"/>
              </w:rPr>
            </w:pPr>
            <w:r>
              <w:rPr>
                <w:rFonts w:ascii="Arial" w:cs="Arial" w:eastAsia="Arial" w:hAnsi="Arial"/>
                <w:sz w:val="13"/>
                <w:szCs w:val="13"/>
                <w:i w:val="1"/>
                <w:iCs w:val="1"/>
                <w:color w:val="auto"/>
              </w:rPr>
              <w:t>See Notes to Consolidated Financial Statements.</w:t>
            </w: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Arial" w:cs="Arial" w:eastAsia="Arial" w:hAnsi="Arial"/>
          <w:sz w:val="14"/>
          <w:szCs w:val="14"/>
          <w:color w:val="auto"/>
        </w:rPr>
        <w:t>85</w:t>
      </w:r>
    </w:p>
    <w:p>
      <w:pPr>
        <w:sectPr>
          <w:pgSz w:w="11900" w:h="16838" w:orient="portrait"/>
          <w:cols w:equalWidth="0" w:num="1">
            <w:col w:w="10219"/>
          </w:cols>
          <w:pgMar w:left="240" w:top="364" w:right="1440" w:bottom="1440" w:gutter="0" w:footer="0" w:header="0"/>
        </w:sectPr>
      </w:pPr>
    </w:p>
    <w:bookmarkStart w:id="225" w:name="page226"/>
    <w:bookmarkEnd w:id="225"/>
    <w:p>
      <w:pPr>
        <w:ind w:left="1200"/>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904875</wp:posOffset>
            </wp:positionH>
            <wp:positionV relativeFrom="page">
              <wp:posOffset>348615</wp:posOffset>
            </wp:positionV>
            <wp:extent cx="5751195" cy="25146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5751195" cy="251460"/>
                    </a:xfrm>
                    <a:prstGeom prst="rect">
                      <a:avLst/>
                    </a:prstGeom>
                    <a:noFill/>
                  </pic:spPr>
                </pic:pic>
              </a:graphicData>
            </a:graphic>
          </wp:anchor>
        </w:drawing>
        <w:t>PACIFIC ENTERPRISES AND SUBSIDIARIES</w:t>
      </w:r>
    </w:p>
    <w:p>
      <w:pPr>
        <w:spacing w:after="0" w:line="31" w:lineRule="exact"/>
        <w:rPr>
          <w:sz w:val="20"/>
          <w:szCs w:val="20"/>
          <w:color w:val="auto"/>
        </w:rPr>
      </w:pPr>
    </w:p>
    <w:p>
      <w:pPr>
        <w:ind w:left="1200"/>
        <w:spacing w:after="0"/>
        <w:rPr>
          <w:sz w:val="20"/>
          <w:szCs w:val="20"/>
          <w:color w:val="auto"/>
        </w:rPr>
      </w:pPr>
      <w:r>
        <w:rPr>
          <w:rFonts w:ascii="Arial" w:cs="Arial" w:eastAsia="Arial" w:hAnsi="Arial"/>
          <w:sz w:val="14"/>
          <w:szCs w:val="14"/>
          <w:b w:val="1"/>
          <w:bCs w:val="1"/>
          <w:color w:val="auto"/>
        </w:rPr>
        <w:t>STATEMENTS OF CONSOLIDATED COMPREHENSIVE INCOME AND CHANGES IN SHAREHOLDERS’ EQUITY</w:t>
      </w:r>
    </w:p>
    <w:p>
      <w:pPr>
        <w:spacing w:after="0" w:line="52" w:lineRule="exact"/>
        <w:rPr>
          <w:sz w:val="20"/>
          <w:szCs w:val="20"/>
          <w:color w:val="auto"/>
        </w:rPr>
      </w:pPr>
    </w:p>
    <w:p>
      <w:pPr>
        <w:ind w:left="1200"/>
        <w:spacing w:after="0"/>
        <w:rPr>
          <w:sz w:val="20"/>
          <w:szCs w:val="20"/>
          <w:color w:val="auto"/>
        </w:rPr>
      </w:pPr>
      <w:r>
        <w:rPr>
          <w:rFonts w:ascii="Arial" w:cs="Arial" w:eastAsia="Arial" w:hAnsi="Arial"/>
          <w:sz w:val="13"/>
          <w:szCs w:val="13"/>
          <w:color w:val="auto"/>
        </w:rPr>
        <w:t>Years ended December 31, 2008, 2007 and 2006</w:t>
      </w:r>
    </w:p>
    <w:p>
      <w:pPr>
        <w:spacing w:after="0" w:line="4" w:lineRule="exact"/>
        <w:rPr>
          <w:sz w:val="20"/>
          <w:szCs w:val="20"/>
          <w:color w:val="auto"/>
        </w:rPr>
      </w:pPr>
    </w:p>
    <w:tbl>
      <w:tblPr>
        <w:tblLayout w:type="fixed"/>
        <w:tblInd w:w="1180" w:type="dxa"/>
        <w:tblCellMar>
          <w:top w:w="0" w:type="dxa"/>
          <w:left w:w="0" w:type="dxa"/>
          <w:bottom w:w="0" w:type="dxa"/>
          <w:right w:w="0" w:type="dxa"/>
        </w:tblCellMar>
      </w:tblPr>
      <w:tr>
        <w:trPr>
          <w:trHeight w:val="172"/>
        </w:trPr>
        <w:tc>
          <w:tcPr>
            <w:tcW w:w="258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118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1260" w:type="dxa"/>
            <w:vAlign w:val="bottom"/>
            <w:tcBorders>
              <w:top w:val="single" w:sz="8" w:color="auto"/>
            </w:tcBorders>
          </w:tcPr>
          <w:p>
            <w:pPr>
              <w:jc w:val="right"/>
              <w:ind w:right="150"/>
              <w:spacing w:after="0"/>
              <w:rPr>
                <w:sz w:val="20"/>
                <w:szCs w:val="20"/>
                <w:color w:val="auto"/>
              </w:rPr>
            </w:pPr>
            <w:r>
              <w:rPr>
                <w:rFonts w:ascii="Arial" w:cs="Arial" w:eastAsia="Arial" w:hAnsi="Arial"/>
                <w:sz w:val="13"/>
                <w:szCs w:val="13"/>
                <w:color w:val="auto"/>
              </w:rPr>
              <w:t>Accumulated</w:t>
            </w:r>
          </w:p>
        </w:tc>
        <w:tc>
          <w:tcPr>
            <w:tcW w:w="108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5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60" w:type="dxa"/>
            <w:vAlign w:val="bottom"/>
          </w:tcPr>
          <w:p>
            <w:pPr>
              <w:jc w:val="right"/>
              <w:ind w:right="150"/>
              <w:spacing w:after="0"/>
              <w:rPr>
                <w:sz w:val="20"/>
                <w:szCs w:val="20"/>
                <w:color w:val="auto"/>
              </w:rPr>
            </w:pPr>
            <w:r>
              <w:rPr>
                <w:rFonts w:ascii="Arial" w:cs="Arial" w:eastAsia="Arial" w:hAnsi="Arial"/>
                <w:sz w:val="13"/>
                <w:szCs w:val="13"/>
                <w:color w:val="auto"/>
              </w:rPr>
              <w:t>Other</w:t>
            </w:r>
          </w:p>
        </w:tc>
        <w:tc>
          <w:tcPr>
            <w:tcW w:w="1080" w:type="dxa"/>
            <w:vAlign w:val="bottom"/>
          </w:tcPr>
          <w:p>
            <w:pPr>
              <w:jc w:val="right"/>
              <w:ind w:right="89"/>
              <w:spacing w:after="0"/>
              <w:rPr>
                <w:sz w:val="20"/>
                <w:szCs w:val="20"/>
                <w:color w:val="auto"/>
              </w:rPr>
            </w:pPr>
            <w:r>
              <w:rPr>
                <w:rFonts w:ascii="Arial" w:cs="Arial" w:eastAsia="Arial" w:hAnsi="Arial"/>
                <w:sz w:val="13"/>
                <w:szCs w:val="13"/>
                <w:color w:val="auto"/>
              </w:rPr>
              <w:t>Total</w:t>
            </w:r>
          </w:p>
        </w:tc>
        <w:tc>
          <w:tcPr>
            <w:tcW w:w="0" w:type="dxa"/>
            <w:vAlign w:val="bottom"/>
          </w:tcPr>
          <w:p>
            <w:pPr>
              <w:spacing w:after="0"/>
              <w:rPr>
                <w:sz w:val="1"/>
                <w:szCs w:val="1"/>
                <w:color w:val="auto"/>
              </w:rPr>
            </w:pPr>
          </w:p>
        </w:tc>
      </w:tr>
      <w:tr>
        <w:trPr>
          <w:trHeight w:val="156"/>
        </w:trPr>
        <w:tc>
          <w:tcPr>
            <w:tcW w:w="2580" w:type="dxa"/>
            <w:vAlign w:val="bottom"/>
            <w:vMerge w:val="restart"/>
          </w:tcPr>
          <w:p>
            <w:pPr>
              <w:ind w:left="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Dollars in millions</w:t>
            </w:r>
            <w:r>
              <w:rPr>
                <w:rFonts w:ascii="Arial" w:cs="Arial" w:eastAsia="Arial" w:hAnsi="Arial"/>
                <w:sz w:val="13"/>
                <w:szCs w:val="13"/>
                <w:color w:val="auto"/>
              </w:rPr>
              <w:t>)</w:t>
            </w:r>
          </w:p>
        </w:tc>
        <w:tc>
          <w:tcPr>
            <w:tcW w:w="1260" w:type="dxa"/>
            <w:vAlign w:val="bottom"/>
            <w:gridSpan w:val="2"/>
          </w:tcPr>
          <w:p>
            <w:pPr>
              <w:jc w:val="right"/>
              <w:ind w:right="180"/>
              <w:spacing w:after="0"/>
              <w:rPr>
                <w:sz w:val="20"/>
                <w:szCs w:val="20"/>
                <w:color w:val="auto"/>
              </w:rPr>
            </w:pPr>
            <w:r>
              <w:rPr>
                <w:rFonts w:ascii="Arial" w:cs="Arial" w:eastAsia="Arial" w:hAnsi="Arial"/>
                <w:sz w:val="13"/>
                <w:szCs w:val="13"/>
                <w:color w:val="auto"/>
              </w:rPr>
              <w:t>Comprehensive</w:t>
            </w:r>
          </w:p>
        </w:tc>
        <w:tc>
          <w:tcPr>
            <w:tcW w:w="800" w:type="dxa"/>
            <w:vAlign w:val="bottom"/>
          </w:tcPr>
          <w:p>
            <w:pPr>
              <w:jc w:val="right"/>
              <w:ind w:right="31"/>
              <w:spacing w:after="0"/>
              <w:rPr>
                <w:sz w:val="20"/>
                <w:szCs w:val="20"/>
                <w:color w:val="auto"/>
              </w:rPr>
            </w:pPr>
            <w:r>
              <w:rPr>
                <w:rFonts w:ascii="Arial" w:cs="Arial" w:eastAsia="Arial" w:hAnsi="Arial"/>
                <w:sz w:val="13"/>
                <w:szCs w:val="13"/>
                <w:color w:val="auto"/>
              </w:rPr>
              <w:t>Preferred</w:t>
            </w:r>
          </w:p>
        </w:tc>
        <w:tc>
          <w:tcPr>
            <w:tcW w:w="1180" w:type="dxa"/>
            <w:vAlign w:val="bottom"/>
          </w:tcPr>
          <w:p>
            <w:pPr>
              <w:spacing w:after="0"/>
              <w:rPr>
                <w:sz w:val="13"/>
                <w:szCs w:val="13"/>
                <w:color w:val="auto"/>
              </w:rPr>
            </w:pPr>
          </w:p>
        </w:tc>
        <w:tc>
          <w:tcPr>
            <w:tcW w:w="900" w:type="dxa"/>
            <w:vAlign w:val="bottom"/>
          </w:tcPr>
          <w:p>
            <w:pPr>
              <w:jc w:val="right"/>
              <w:ind w:right="169"/>
              <w:spacing w:after="0"/>
              <w:rPr>
                <w:sz w:val="20"/>
                <w:szCs w:val="20"/>
                <w:color w:val="auto"/>
              </w:rPr>
            </w:pPr>
            <w:r>
              <w:rPr>
                <w:rFonts w:ascii="Arial" w:cs="Arial" w:eastAsia="Arial" w:hAnsi="Arial"/>
                <w:sz w:val="13"/>
                <w:szCs w:val="13"/>
                <w:color w:val="auto"/>
              </w:rPr>
              <w:t>Retained</w:t>
            </w:r>
          </w:p>
        </w:tc>
        <w:tc>
          <w:tcPr>
            <w:tcW w:w="1260" w:type="dxa"/>
            <w:vAlign w:val="bottom"/>
          </w:tcPr>
          <w:p>
            <w:pPr>
              <w:jc w:val="right"/>
              <w:ind w:right="150"/>
              <w:spacing w:after="0"/>
              <w:rPr>
                <w:sz w:val="20"/>
                <w:szCs w:val="20"/>
                <w:color w:val="auto"/>
              </w:rPr>
            </w:pPr>
            <w:r>
              <w:rPr>
                <w:rFonts w:ascii="Arial" w:cs="Arial" w:eastAsia="Arial" w:hAnsi="Arial"/>
                <w:sz w:val="13"/>
                <w:szCs w:val="13"/>
                <w:color w:val="auto"/>
              </w:rPr>
              <w:t>Comprehensive</w:t>
            </w:r>
          </w:p>
        </w:tc>
        <w:tc>
          <w:tcPr>
            <w:tcW w:w="1080" w:type="dxa"/>
            <w:vAlign w:val="bottom"/>
          </w:tcPr>
          <w:p>
            <w:pPr>
              <w:jc w:val="right"/>
              <w:ind w:right="89"/>
              <w:spacing w:after="0"/>
              <w:rPr>
                <w:sz w:val="20"/>
                <w:szCs w:val="20"/>
                <w:color w:val="auto"/>
              </w:rPr>
            </w:pPr>
            <w:r>
              <w:rPr>
                <w:rFonts w:ascii="Arial" w:cs="Arial" w:eastAsia="Arial" w:hAnsi="Arial"/>
                <w:sz w:val="13"/>
                <w:szCs w:val="13"/>
                <w:color w:val="auto"/>
              </w:rPr>
              <w:t>Shareholders'</w:t>
            </w:r>
          </w:p>
        </w:tc>
        <w:tc>
          <w:tcPr>
            <w:tcW w:w="0" w:type="dxa"/>
            <w:vAlign w:val="bottom"/>
          </w:tcPr>
          <w:p>
            <w:pPr>
              <w:spacing w:after="0"/>
              <w:rPr>
                <w:sz w:val="1"/>
                <w:szCs w:val="1"/>
                <w:color w:val="auto"/>
              </w:rPr>
            </w:pPr>
          </w:p>
        </w:tc>
      </w:tr>
      <w:tr>
        <w:trPr>
          <w:trHeight w:val="161"/>
        </w:trPr>
        <w:tc>
          <w:tcPr>
            <w:tcW w:w="2580" w:type="dxa"/>
            <w:vAlign w:val="bottom"/>
            <w:tcBorders>
              <w:bottom w:val="single" w:sz="8" w:color="auto"/>
            </w:tcBorders>
            <w:vMerge w:val="continue"/>
          </w:tcPr>
          <w:p>
            <w:pPr>
              <w:spacing w:after="0"/>
              <w:rPr>
                <w:sz w:val="14"/>
                <w:szCs w:val="14"/>
                <w:color w:val="auto"/>
              </w:rPr>
            </w:pPr>
          </w:p>
        </w:tc>
        <w:tc>
          <w:tcPr>
            <w:tcW w:w="126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3"/>
                <w:szCs w:val="13"/>
                <w:color w:val="auto"/>
              </w:rPr>
              <w:t>Income</w:t>
            </w:r>
          </w:p>
        </w:tc>
        <w:tc>
          <w:tcPr>
            <w:tcW w:w="800" w:type="dxa"/>
            <w:vAlign w:val="bottom"/>
            <w:tcBorders>
              <w:bottom w:val="single" w:sz="8" w:color="auto"/>
            </w:tcBorders>
          </w:tcPr>
          <w:p>
            <w:pPr>
              <w:jc w:val="right"/>
              <w:ind w:right="31"/>
              <w:spacing w:after="0"/>
              <w:rPr>
                <w:sz w:val="20"/>
                <w:szCs w:val="20"/>
                <w:color w:val="auto"/>
              </w:rPr>
            </w:pPr>
            <w:r>
              <w:rPr>
                <w:rFonts w:ascii="Arial" w:cs="Arial" w:eastAsia="Arial" w:hAnsi="Arial"/>
                <w:sz w:val="13"/>
                <w:szCs w:val="13"/>
                <w:color w:val="auto"/>
              </w:rPr>
              <w:t>Stock</w:t>
            </w:r>
          </w:p>
        </w:tc>
        <w:tc>
          <w:tcPr>
            <w:tcW w:w="1180" w:type="dxa"/>
            <w:vAlign w:val="bottom"/>
            <w:tcBorders>
              <w:bottom w:val="single" w:sz="8" w:color="auto"/>
            </w:tcBorders>
          </w:tcPr>
          <w:p>
            <w:pPr>
              <w:jc w:val="right"/>
              <w:ind w:right="149"/>
              <w:spacing w:after="0"/>
              <w:rPr>
                <w:sz w:val="20"/>
                <w:szCs w:val="20"/>
                <w:color w:val="auto"/>
              </w:rPr>
            </w:pPr>
            <w:r>
              <w:rPr>
                <w:rFonts w:ascii="Arial" w:cs="Arial" w:eastAsia="Arial" w:hAnsi="Arial"/>
                <w:sz w:val="13"/>
                <w:szCs w:val="13"/>
                <w:color w:val="auto"/>
              </w:rPr>
              <w:t>Common Stock</w:t>
            </w:r>
          </w:p>
        </w:tc>
        <w:tc>
          <w:tcPr>
            <w:tcW w:w="900" w:type="dxa"/>
            <w:vAlign w:val="bottom"/>
            <w:tcBorders>
              <w:bottom w:val="single" w:sz="8" w:color="auto"/>
            </w:tcBorders>
          </w:tcPr>
          <w:p>
            <w:pPr>
              <w:jc w:val="right"/>
              <w:ind w:right="169"/>
              <w:spacing w:after="0"/>
              <w:rPr>
                <w:sz w:val="20"/>
                <w:szCs w:val="20"/>
                <w:color w:val="auto"/>
              </w:rPr>
            </w:pPr>
            <w:r>
              <w:rPr>
                <w:rFonts w:ascii="Arial" w:cs="Arial" w:eastAsia="Arial" w:hAnsi="Arial"/>
                <w:sz w:val="13"/>
                <w:szCs w:val="13"/>
                <w:color w:val="auto"/>
              </w:rPr>
              <w:t>Earnings</w:t>
            </w:r>
          </w:p>
        </w:tc>
        <w:tc>
          <w:tcPr>
            <w:tcW w:w="1260" w:type="dxa"/>
            <w:vAlign w:val="bottom"/>
            <w:tcBorders>
              <w:bottom w:val="single" w:sz="8" w:color="auto"/>
            </w:tcBorders>
          </w:tcPr>
          <w:p>
            <w:pPr>
              <w:jc w:val="right"/>
              <w:ind w:right="150"/>
              <w:spacing w:after="0"/>
              <w:rPr>
                <w:sz w:val="20"/>
                <w:szCs w:val="20"/>
                <w:color w:val="auto"/>
              </w:rPr>
            </w:pPr>
            <w:r>
              <w:rPr>
                <w:rFonts w:ascii="Arial" w:cs="Arial" w:eastAsia="Arial" w:hAnsi="Arial"/>
                <w:sz w:val="13"/>
                <w:szCs w:val="13"/>
                <w:color w:val="auto"/>
              </w:rPr>
              <w:t>Income (Loss)</w:t>
            </w:r>
          </w:p>
        </w:tc>
        <w:tc>
          <w:tcPr>
            <w:tcW w:w="1080" w:type="dxa"/>
            <w:vAlign w:val="bottom"/>
            <w:tcBorders>
              <w:bottom w:val="single" w:sz="8" w:color="auto"/>
            </w:tcBorders>
          </w:tcPr>
          <w:p>
            <w:pPr>
              <w:jc w:val="right"/>
              <w:ind w:right="89"/>
              <w:spacing w:after="0"/>
              <w:rPr>
                <w:sz w:val="20"/>
                <w:szCs w:val="20"/>
                <w:color w:val="auto"/>
              </w:rPr>
            </w:pPr>
            <w:r>
              <w:rPr>
                <w:rFonts w:ascii="Arial" w:cs="Arial" w:eastAsia="Arial" w:hAnsi="Arial"/>
                <w:sz w:val="13"/>
                <w:szCs w:val="13"/>
                <w:color w:val="auto"/>
              </w:rPr>
              <w:t>Equity</w:t>
            </w:r>
          </w:p>
        </w:tc>
        <w:tc>
          <w:tcPr>
            <w:tcW w:w="0" w:type="dxa"/>
            <w:vAlign w:val="bottom"/>
          </w:tcPr>
          <w:p>
            <w:pPr>
              <w:spacing w:after="0"/>
              <w:rPr>
                <w:sz w:val="1"/>
                <w:szCs w:val="1"/>
                <w:color w:val="auto"/>
              </w:rPr>
            </w:pPr>
          </w:p>
        </w:tc>
      </w:tr>
      <w:tr>
        <w:trPr>
          <w:trHeight w:val="207"/>
        </w:trPr>
        <w:tc>
          <w:tcPr>
            <w:tcW w:w="2580" w:type="dxa"/>
            <w:vAlign w:val="bottom"/>
          </w:tcPr>
          <w:p>
            <w:pPr>
              <w:ind w:left="20"/>
              <w:spacing w:after="0"/>
              <w:rPr>
                <w:sz w:val="20"/>
                <w:szCs w:val="20"/>
                <w:color w:val="auto"/>
              </w:rPr>
            </w:pPr>
            <w:r>
              <w:rPr>
                <w:rFonts w:ascii="Arial" w:cs="Arial" w:eastAsia="Arial" w:hAnsi="Arial"/>
                <w:sz w:val="14"/>
                <w:szCs w:val="14"/>
                <w:color w:val="auto"/>
              </w:rPr>
              <w:t>Balance at December 31, 2005</w:t>
            </w: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ind w:right="31"/>
              <w:spacing w:after="0"/>
              <w:rPr>
                <w:sz w:val="20"/>
                <w:szCs w:val="20"/>
                <w:color w:val="auto"/>
              </w:rPr>
            </w:pPr>
            <w:r>
              <w:rPr>
                <w:rFonts w:ascii="Arial" w:cs="Arial" w:eastAsia="Arial" w:hAnsi="Arial"/>
                <w:sz w:val="14"/>
                <w:szCs w:val="14"/>
                <w:color w:val="auto"/>
              </w:rPr>
              <w:t>$ 80</w:t>
            </w:r>
          </w:p>
        </w:tc>
        <w:tc>
          <w:tcPr>
            <w:tcW w:w="1180" w:type="dxa"/>
            <w:vAlign w:val="bottom"/>
          </w:tcPr>
          <w:p>
            <w:pPr>
              <w:jc w:val="right"/>
              <w:ind w:right="149"/>
              <w:spacing w:after="0"/>
              <w:rPr>
                <w:sz w:val="20"/>
                <w:szCs w:val="20"/>
                <w:color w:val="auto"/>
              </w:rPr>
            </w:pPr>
            <w:r>
              <w:rPr>
                <w:rFonts w:ascii="Arial" w:cs="Arial" w:eastAsia="Arial" w:hAnsi="Arial"/>
                <w:sz w:val="14"/>
                <w:szCs w:val="14"/>
                <w:color w:val="auto"/>
              </w:rPr>
              <w:t>$ 1,453</w:t>
            </w:r>
          </w:p>
        </w:tc>
        <w:tc>
          <w:tcPr>
            <w:tcW w:w="900" w:type="dxa"/>
            <w:vAlign w:val="bottom"/>
          </w:tcPr>
          <w:p>
            <w:pPr>
              <w:jc w:val="right"/>
              <w:ind w:right="169"/>
              <w:spacing w:after="0"/>
              <w:rPr>
                <w:sz w:val="20"/>
                <w:szCs w:val="20"/>
                <w:color w:val="auto"/>
              </w:rPr>
            </w:pPr>
            <w:r>
              <w:rPr>
                <w:rFonts w:ascii="Arial" w:cs="Arial" w:eastAsia="Arial" w:hAnsi="Arial"/>
                <w:sz w:val="14"/>
                <w:szCs w:val="14"/>
                <w:color w:val="auto"/>
              </w:rPr>
              <w:t>$ 306</w:t>
            </w:r>
          </w:p>
        </w:tc>
        <w:tc>
          <w:tcPr>
            <w:tcW w:w="1260" w:type="dxa"/>
            <w:vAlign w:val="bottom"/>
          </w:tcPr>
          <w:p>
            <w:pPr>
              <w:jc w:val="right"/>
              <w:ind w:right="70"/>
              <w:spacing w:after="0"/>
              <w:rPr>
                <w:sz w:val="20"/>
                <w:szCs w:val="20"/>
                <w:color w:val="auto"/>
              </w:rPr>
            </w:pPr>
            <w:r>
              <w:rPr>
                <w:rFonts w:ascii="Arial" w:cs="Arial" w:eastAsia="Arial" w:hAnsi="Arial"/>
                <w:sz w:val="14"/>
                <w:szCs w:val="14"/>
                <w:color w:val="auto"/>
              </w:rPr>
              <w:t>$ (5 )</w:t>
            </w:r>
          </w:p>
        </w:tc>
        <w:tc>
          <w:tcPr>
            <w:tcW w:w="1080" w:type="dxa"/>
            <w:vAlign w:val="bottom"/>
          </w:tcPr>
          <w:p>
            <w:pPr>
              <w:jc w:val="right"/>
              <w:ind w:right="89"/>
              <w:spacing w:after="0"/>
              <w:rPr>
                <w:sz w:val="20"/>
                <w:szCs w:val="20"/>
                <w:color w:val="auto"/>
              </w:rPr>
            </w:pPr>
            <w:r>
              <w:rPr>
                <w:rFonts w:ascii="Arial" w:cs="Arial" w:eastAsia="Arial" w:hAnsi="Arial"/>
                <w:sz w:val="14"/>
                <w:szCs w:val="14"/>
                <w:color w:val="auto"/>
              </w:rPr>
              <w:t>$ 1,834</w:t>
            </w:r>
          </w:p>
        </w:tc>
        <w:tc>
          <w:tcPr>
            <w:tcW w:w="0" w:type="dxa"/>
            <w:vAlign w:val="bottom"/>
          </w:tcPr>
          <w:p>
            <w:pPr>
              <w:spacing w:after="0"/>
              <w:rPr>
                <w:sz w:val="1"/>
                <w:szCs w:val="1"/>
                <w:color w:val="auto"/>
              </w:rPr>
            </w:pPr>
          </w:p>
        </w:tc>
      </w:tr>
      <w:tr>
        <w:trPr>
          <w:trHeight w:val="216"/>
        </w:trPr>
        <w:tc>
          <w:tcPr>
            <w:tcW w:w="2580" w:type="dxa"/>
            <w:vAlign w:val="bottom"/>
          </w:tcPr>
          <w:p>
            <w:pPr>
              <w:ind w:left="20"/>
              <w:spacing w:after="0"/>
              <w:rPr>
                <w:sz w:val="20"/>
                <w:szCs w:val="20"/>
                <w:color w:val="auto"/>
              </w:rPr>
            </w:pPr>
            <w:r>
              <w:rPr>
                <w:rFonts w:ascii="Arial" w:cs="Arial" w:eastAsia="Arial" w:hAnsi="Arial"/>
                <w:sz w:val="14"/>
                <w:szCs w:val="14"/>
                <w:color w:val="auto"/>
              </w:rPr>
              <w:t>Net income</w:t>
            </w:r>
          </w:p>
        </w:tc>
        <w:tc>
          <w:tcPr>
            <w:tcW w:w="1100" w:type="dxa"/>
            <w:vAlign w:val="bottom"/>
          </w:tcPr>
          <w:p>
            <w:pPr>
              <w:jc w:val="right"/>
              <w:spacing w:after="0"/>
              <w:rPr>
                <w:sz w:val="20"/>
                <w:szCs w:val="20"/>
                <w:color w:val="auto"/>
              </w:rPr>
            </w:pPr>
            <w:r>
              <w:rPr>
                <w:rFonts w:ascii="Arial" w:cs="Arial" w:eastAsia="Arial" w:hAnsi="Arial"/>
                <w:sz w:val="14"/>
                <w:szCs w:val="14"/>
                <w:color w:val="auto"/>
              </w:rPr>
              <w:t>$ 239</w:t>
            </w: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900" w:type="dxa"/>
            <w:vAlign w:val="bottom"/>
          </w:tcPr>
          <w:p>
            <w:pPr>
              <w:jc w:val="right"/>
              <w:ind w:right="169"/>
              <w:spacing w:after="0"/>
              <w:rPr>
                <w:sz w:val="20"/>
                <w:szCs w:val="20"/>
                <w:color w:val="auto"/>
              </w:rPr>
            </w:pPr>
            <w:r>
              <w:rPr>
                <w:rFonts w:ascii="Arial" w:cs="Arial" w:eastAsia="Arial" w:hAnsi="Arial"/>
                <w:sz w:val="14"/>
                <w:szCs w:val="14"/>
                <w:color w:val="auto"/>
              </w:rPr>
              <w:t>239</w:t>
            </w:r>
          </w:p>
        </w:tc>
        <w:tc>
          <w:tcPr>
            <w:tcW w:w="1260" w:type="dxa"/>
            <w:vAlign w:val="bottom"/>
          </w:tcPr>
          <w:p>
            <w:pPr>
              <w:spacing w:after="0"/>
              <w:rPr>
                <w:sz w:val="18"/>
                <w:szCs w:val="18"/>
                <w:color w:val="auto"/>
              </w:rPr>
            </w:pPr>
          </w:p>
        </w:tc>
        <w:tc>
          <w:tcPr>
            <w:tcW w:w="1080" w:type="dxa"/>
            <w:vAlign w:val="bottom"/>
          </w:tcPr>
          <w:p>
            <w:pPr>
              <w:jc w:val="right"/>
              <w:ind w:right="89"/>
              <w:spacing w:after="0"/>
              <w:rPr>
                <w:sz w:val="20"/>
                <w:szCs w:val="20"/>
                <w:color w:val="auto"/>
              </w:rPr>
            </w:pPr>
            <w:r>
              <w:rPr>
                <w:rFonts w:ascii="Arial" w:cs="Arial" w:eastAsia="Arial" w:hAnsi="Arial"/>
                <w:sz w:val="14"/>
                <w:szCs w:val="14"/>
                <w:color w:val="auto"/>
              </w:rPr>
              <w:t>239</w:t>
            </w:r>
          </w:p>
        </w:tc>
        <w:tc>
          <w:tcPr>
            <w:tcW w:w="0" w:type="dxa"/>
            <w:vAlign w:val="bottom"/>
          </w:tcPr>
          <w:p>
            <w:pPr>
              <w:spacing w:after="0"/>
              <w:rPr>
                <w:sz w:val="1"/>
                <w:szCs w:val="1"/>
                <w:color w:val="auto"/>
              </w:rPr>
            </w:pPr>
          </w:p>
        </w:tc>
      </w:tr>
      <w:tr>
        <w:trPr>
          <w:trHeight w:val="210"/>
        </w:trPr>
        <w:tc>
          <w:tcPr>
            <w:tcW w:w="2580" w:type="dxa"/>
            <w:vAlign w:val="bottom"/>
          </w:tcPr>
          <w:p>
            <w:pPr>
              <w:ind w:left="180"/>
              <w:spacing w:after="0"/>
              <w:rPr>
                <w:sz w:val="20"/>
                <w:szCs w:val="20"/>
                <w:color w:val="auto"/>
              </w:rPr>
            </w:pPr>
            <w:r>
              <w:rPr>
                <w:rFonts w:ascii="Arial" w:cs="Arial" w:eastAsia="Arial" w:hAnsi="Arial"/>
                <w:sz w:val="14"/>
                <w:szCs w:val="14"/>
                <w:color w:val="auto"/>
              </w:rPr>
              <w:t>Pension adjustment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w:t>
            </w: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60" w:type="dxa"/>
            <w:vAlign w:val="bottom"/>
          </w:tcPr>
          <w:p>
            <w:pPr>
              <w:jc w:val="right"/>
              <w:ind w:right="150"/>
              <w:spacing w:after="0"/>
              <w:rPr>
                <w:sz w:val="20"/>
                <w:szCs w:val="20"/>
                <w:color w:val="auto"/>
              </w:rPr>
            </w:pPr>
            <w:r>
              <w:rPr>
                <w:rFonts w:ascii="Arial" w:cs="Arial" w:eastAsia="Arial" w:hAnsi="Arial"/>
                <w:sz w:val="14"/>
                <w:szCs w:val="14"/>
                <w:color w:val="auto"/>
              </w:rPr>
              <w:t>2</w:t>
            </w:r>
          </w:p>
        </w:tc>
        <w:tc>
          <w:tcPr>
            <w:tcW w:w="1080" w:type="dxa"/>
            <w:vAlign w:val="bottom"/>
          </w:tcPr>
          <w:p>
            <w:pPr>
              <w:jc w:val="right"/>
              <w:ind w:right="89"/>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96"/>
        </w:trPr>
        <w:tc>
          <w:tcPr>
            <w:tcW w:w="2580" w:type="dxa"/>
            <w:vAlign w:val="bottom"/>
          </w:tcPr>
          <w:p>
            <w:pPr>
              <w:ind w:left="20"/>
              <w:spacing w:after="0"/>
              <w:rPr>
                <w:sz w:val="20"/>
                <w:szCs w:val="20"/>
                <w:color w:val="auto"/>
              </w:rPr>
            </w:pPr>
            <w:r>
              <w:rPr>
                <w:rFonts w:ascii="Arial" w:cs="Arial" w:eastAsia="Arial" w:hAnsi="Arial"/>
                <w:sz w:val="14"/>
                <w:szCs w:val="14"/>
                <w:color w:val="auto"/>
              </w:rPr>
              <w:t>Comprehensive income</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$ 241</w:t>
            </w: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580" w:type="dxa"/>
            <w:vAlign w:val="bottom"/>
          </w:tcPr>
          <w:p>
            <w:pPr>
              <w:ind w:left="20"/>
              <w:spacing w:after="0"/>
              <w:rPr>
                <w:sz w:val="20"/>
                <w:szCs w:val="20"/>
                <w:color w:val="auto"/>
              </w:rPr>
            </w:pPr>
            <w:r>
              <w:rPr>
                <w:rFonts w:ascii="Arial" w:cs="Arial" w:eastAsia="Arial" w:hAnsi="Arial"/>
                <w:sz w:val="14"/>
                <w:szCs w:val="14"/>
                <w:color w:val="auto"/>
              </w:rPr>
              <w:t>Adoption of FASB Statement No. 158</w:t>
            </w: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60" w:type="dxa"/>
            <w:vAlign w:val="bottom"/>
          </w:tcPr>
          <w:p>
            <w:pPr>
              <w:jc w:val="right"/>
              <w:ind w:right="70"/>
              <w:spacing w:after="0"/>
              <w:rPr>
                <w:sz w:val="20"/>
                <w:szCs w:val="20"/>
                <w:color w:val="auto"/>
              </w:rPr>
            </w:pPr>
            <w:r>
              <w:rPr>
                <w:rFonts w:ascii="Arial" w:cs="Arial" w:eastAsia="Arial" w:hAnsi="Arial"/>
                <w:sz w:val="14"/>
                <w:szCs w:val="14"/>
                <w:color w:val="auto"/>
              </w:rPr>
              <w:t>(2 )</w:t>
            </w:r>
          </w:p>
        </w:tc>
        <w:tc>
          <w:tcPr>
            <w:tcW w:w="1080" w:type="dxa"/>
            <w:vAlign w:val="bottom"/>
          </w:tcPr>
          <w:p>
            <w:pPr>
              <w:jc w:val="right"/>
              <w:ind w:right="29"/>
              <w:spacing w:after="0"/>
              <w:rPr>
                <w:sz w:val="20"/>
                <w:szCs w:val="20"/>
                <w:color w:val="auto"/>
              </w:rPr>
            </w:pPr>
            <w:r>
              <w:rPr>
                <w:rFonts w:ascii="Arial" w:cs="Arial" w:eastAsia="Arial" w:hAnsi="Arial"/>
                <w:sz w:val="14"/>
                <w:szCs w:val="14"/>
                <w:color w:val="auto"/>
              </w:rPr>
              <w:t>(2 )</w:t>
            </w:r>
          </w:p>
        </w:tc>
        <w:tc>
          <w:tcPr>
            <w:tcW w:w="0" w:type="dxa"/>
            <w:vAlign w:val="bottom"/>
          </w:tcPr>
          <w:p>
            <w:pPr>
              <w:spacing w:after="0"/>
              <w:rPr>
                <w:sz w:val="1"/>
                <w:szCs w:val="1"/>
                <w:color w:val="auto"/>
              </w:rPr>
            </w:pPr>
          </w:p>
        </w:tc>
      </w:tr>
      <w:tr>
        <w:trPr>
          <w:trHeight w:val="216"/>
        </w:trPr>
        <w:tc>
          <w:tcPr>
            <w:tcW w:w="2580" w:type="dxa"/>
            <w:vAlign w:val="bottom"/>
          </w:tcPr>
          <w:p>
            <w:pPr>
              <w:ind w:left="20"/>
              <w:spacing w:after="0"/>
              <w:rPr>
                <w:sz w:val="20"/>
                <w:szCs w:val="20"/>
                <w:color w:val="auto"/>
              </w:rPr>
            </w:pPr>
            <w:r>
              <w:rPr>
                <w:rFonts w:ascii="Arial" w:cs="Arial" w:eastAsia="Arial" w:hAnsi="Arial"/>
                <w:sz w:val="14"/>
                <w:szCs w:val="14"/>
                <w:color w:val="auto"/>
              </w:rPr>
              <w:t>Quasi-reorganization adjustment</w:t>
            </w: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80" w:type="dxa"/>
            <w:vAlign w:val="bottom"/>
          </w:tcPr>
          <w:p>
            <w:pPr>
              <w:jc w:val="right"/>
              <w:ind w:right="149"/>
              <w:spacing w:after="0"/>
              <w:rPr>
                <w:sz w:val="20"/>
                <w:szCs w:val="20"/>
                <w:color w:val="auto"/>
              </w:rPr>
            </w:pPr>
            <w:r>
              <w:rPr>
                <w:rFonts w:ascii="Arial" w:cs="Arial" w:eastAsia="Arial" w:hAnsi="Arial"/>
                <w:sz w:val="14"/>
                <w:szCs w:val="14"/>
                <w:color w:val="auto"/>
              </w:rPr>
              <w:t>11</w:t>
            </w:r>
          </w:p>
        </w:tc>
        <w:tc>
          <w:tcPr>
            <w:tcW w:w="9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80" w:type="dxa"/>
            <w:vAlign w:val="bottom"/>
          </w:tcPr>
          <w:p>
            <w:pPr>
              <w:jc w:val="right"/>
              <w:ind w:right="89"/>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216"/>
        </w:trPr>
        <w:tc>
          <w:tcPr>
            <w:tcW w:w="2580" w:type="dxa"/>
            <w:vAlign w:val="bottom"/>
          </w:tcPr>
          <w:p>
            <w:pPr>
              <w:ind w:left="20"/>
              <w:spacing w:after="0"/>
              <w:rPr>
                <w:sz w:val="20"/>
                <w:szCs w:val="20"/>
                <w:color w:val="auto"/>
              </w:rPr>
            </w:pPr>
            <w:r>
              <w:rPr>
                <w:rFonts w:ascii="Arial" w:cs="Arial" w:eastAsia="Arial" w:hAnsi="Arial"/>
                <w:sz w:val="14"/>
                <w:szCs w:val="14"/>
                <w:color w:val="auto"/>
              </w:rPr>
              <w:t>Preferred stock dividends declared</w:t>
            </w: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900" w:type="dxa"/>
            <w:vAlign w:val="bottom"/>
          </w:tcPr>
          <w:p>
            <w:pPr>
              <w:jc w:val="right"/>
              <w:ind w:right="89"/>
              <w:spacing w:after="0"/>
              <w:rPr>
                <w:sz w:val="20"/>
                <w:szCs w:val="20"/>
                <w:color w:val="auto"/>
              </w:rPr>
            </w:pPr>
            <w:r>
              <w:rPr>
                <w:rFonts w:ascii="Arial" w:cs="Arial" w:eastAsia="Arial" w:hAnsi="Arial"/>
                <w:sz w:val="14"/>
                <w:szCs w:val="14"/>
                <w:color w:val="auto"/>
              </w:rPr>
              <w:t>(4 )</w:t>
            </w:r>
          </w:p>
        </w:tc>
        <w:tc>
          <w:tcPr>
            <w:tcW w:w="1260" w:type="dxa"/>
            <w:vAlign w:val="bottom"/>
          </w:tcPr>
          <w:p>
            <w:pPr>
              <w:spacing w:after="0"/>
              <w:rPr>
                <w:sz w:val="18"/>
                <w:szCs w:val="18"/>
                <w:color w:val="auto"/>
              </w:rPr>
            </w:pPr>
          </w:p>
        </w:tc>
        <w:tc>
          <w:tcPr>
            <w:tcW w:w="1080" w:type="dxa"/>
            <w:vAlign w:val="bottom"/>
          </w:tcPr>
          <w:p>
            <w:pPr>
              <w:jc w:val="right"/>
              <w:ind w:right="29"/>
              <w:spacing w:after="0"/>
              <w:rPr>
                <w:sz w:val="20"/>
                <w:szCs w:val="20"/>
                <w:color w:val="auto"/>
              </w:rPr>
            </w:pPr>
            <w:r>
              <w:rPr>
                <w:rFonts w:ascii="Arial" w:cs="Arial" w:eastAsia="Arial" w:hAnsi="Arial"/>
                <w:sz w:val="14"/>
                <w:szCs w:val="14"/>
                <w:color w:val="auto"/>
              </w:rPr>
              <w:t>(4 )</w:t>
            </w:r>
          </w:p>
        </w:tc>
        <w:tc>
          <w:tcPr>
            <w:tcW w:w="0" w:type="dxa"/>
            <w:vAlign w:val="bottom"/>
          </w:tcPr>
          <w:p>
            <w:pPr>
              <w:spacing w:after="0"/>
              <w:rPr>
                <w:sz w:val="1"/>
                <w:szCs w:val="1"/>
                <w:color w:val="auto"/>
              </w:rPr>
            </w:pPr>
          </w:p>
        </w:tc>
      </w:tr>
      <w:tr>
        <w:trPr>
          <w:trHeight w:val="222"/>
        </w:trPr>
        <w:tc>
          <w:tcPr>
            <w:tcW w:w="2580" w:type="dxa"/>
            <w:vAlign w:val="bottom"/>
          </w:tcPr>
          <w:p>
            <w:pPr>
              <w:ind w:left="20"/>
              <w:spacing w:after="0"/>
              <w:rPr>
                <w:sz w:val="20"/>
                <w:szCs w:val="20"/>
                <w:color w:val="auto"/>
              </w:rPr>
            </w:pPr>
            <w:r>
              <w:rPr>
                <w:rFonts w:ascii="Arial" w:cs="Arial" w:eastAsia="Arial" w:hAnsi="Arial"/>
                <w:sz w:val="14"/>
                <w:szCs w:val="14"/>
                <w:color w:val="auto"/>
              </w:rPr>
              <w:t>Common stock dividends declared</w:t>
            </w:r>
          </w:p>
        </w:tc>
        <w:tc>
          <w:tcPr>
            <w:tcW w:w="1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rPr>
              <w:t>(150 )</w:t>
            </w:r>
          </w:p>
        </w:tc>
        <w:tc>
          <w:tcPr>
            <w:tcW w:w="1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(150 )</w:t>
            </w:r>
          </w:p>
        </w:tc>
        <w:tc>
          <w:tcPr>
            <w:tcW w:w="0" w:type="dxa"/>
            <w:vAlign w:val="bottom"/>
          </w:tcPr>
          <w:p>
            <w:pPr>
              <w:spacing w:after="0"/>
              <w:rPr>
                <w:sz w:val="1"/>
                <w:szCs w:val="1"/>
                <w:color w:val="auto"/>
              </w:rPr>
            </w:pPr>
          </w:p>
        </w:tc>
      </w:tr>
      <w:tr>
        <w:trPr>
          <w:trHeight w:val="202"/>
        </w:trPr>
        <w:tc>
          <w:tcPr>
            <w:tcW w:w="2580" w:type="dxa"/>
            <w:vAlign w:val="bottom"/>
          </w:tcPr>
          <w:p>
            <w:pPr>
              <w:ind w:left="20"/>
              <w:spacing w:after="0"/>
              <w:rPr>
                <w:sz w:val="20"/>
                <w:szCs w:val="20"/>
                <w:color w:val="auto"/>
              </w:rPr>
            </w:pPr>
            <w:r>
              <w:rPr>
                <w:rFonts w:ascii="Arial" w:cs="Arial" w:eastAsia="Arial" w:hAnsi="Arial"/>
                <w:sz w:val="14"/>
                <w:szCs w:val="14"/>
                <w:color w:val="auto"/>
              </w:rPr>
              <w:t>Balance at December 31, 2006</w:t>
            </w: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jc w:val="right"/>
              <w:ind w:right="31"/>
              <w:spacing w:after="0"/>
              <w:rPr>
                <w:sz w:val="20"/>
                <w:szCs w:val="20"/>
                <w:color w:val="auto"/>
              </w:rPr>
            </w:pPr>
            <w:r>
              <w:rPr>
                <w:rFonts w:ascii="Arial" w:cs="Arial" w:eastAsia="Arial" w:hAnsi="Arial"/>
                <w:sz w:val="14"/>
                <w:szCs w:val="14"/>
                <w:color w:val="auto"/>
              </w:rPr>
              <w:t>80</w:t>
            </w:r>
          </w:p>
        </w:tc>
        <w:tc>
          <w:tcPr>
            <w:tcW w:w="1180" w:type="dxa"/>
            <w:vAlign w:val="bottom"/>
          </w:tcPr>
          <w:p>
            <w:pPr>
              <w:jc w:val="right"/>
              <w:ind w:right="149"/>
              <w:spacing w:after="0"/>
              <w:rPr>
                <w:sz w:val="20"/>
                <w:szCs w:val="20"/>
                <w:color w:val="auto"/>
              </w:rPr>
            </w:pPr>
            <w:r>
              <w:rPr>
                <w:rFonts w:ascii="Arial" w:cs="Arial" w:eastAsia="Arial" w:hAnsi="Arial"/>
                <w:sz w:val="14"/>
                <w:szCs w:val="14"/>
                <w:color w:val="auto"/>
              </w:rPr>
              <w:t>1,464</w:t>
            </w:r>
          </w:p>
        </w:tc>
        <w:tc>
          <w:tcPr>
            <w:tcW w:w="900" w:type="dxa"/>
            <w:vAlign w:val="bottom"/>
          </w:tcPr>
          <w:p>
            <w:pPr>
              <w:jc w:val="right"/>
              <w:ind w:right="169"/>
              <w:spacing w:after="0"/>
              <w:rPr>
                <w:sz w:val="20"/>
                <w:szCs w:val="20"/>
                <w:color w:val="auto"/>
              </w:rPr>
            </w:pPr>
            <w:r>
              <w:rPr>
                <w:rFonts w:ascii="Arial" w:cs="Arial" w:eastAsia="Arial" w:hAnsi="Arial"/>
                <w:sz w:val="14"/>
                <w:szCs w:val="14"/>
                <w:color w:val="auto"/>
              </w:rPr>
              <w:t>391</w:t>
            </w:r>
          </w:p>
        </w:tc>
        <w:tc>
          <w:tcPr>
            <w:tcW w:w="1260" w:type="dxa"/>
            <w:vAlign w:val="bottom"/>
          </w:tcPr>
          <w:p>
            <w:pPr>
              <w:jc w:val="right"/>
              <w:ind w:right="70"/>
              <w:spacing w:after="0"/>
              <w:rPr>
                <w:sz w:val="20"/>
                <w:szCs w:val="20"/>
                <w:color w:val="auto"/>
              </w:rPr>
            </w:pPr>
            <w:r>
              <w:rPr>
                <w:rFonts w:ascii="Arial" w:cs="Arial" w:eastAsia="Arial" w:hAnsi="Arial"/>
                <w:sz w:val="14"/>
                <w:szCs w:val="14"/>
                <w:color w:val="auto"/>
              </w:rPr>
              <w:t>(5 )</w:t>
            </w:r>
          </w:p>
        </w:tc>
        <w:tc>
          <w:tcPr>
            <w:tcW w:w="1080" w:type="dxa"/>
            <w:vAlign w:val="bottom"/>
          </w:tcPr>
          <w:p>
            <w:pPr>
              <w:jc w:val="right"/>
              <w:ind w:right="89"/>
              <w:spacing w:after="0"/>
              <w:rPr>
                <w:sz w:val="20"/>
                <w:szCs w:val="20"/>
                <w:color w:val="auto"/>
              </w:rPr>
            </w:pPr>
            <w:r>
              <w:rPr>
                <w:rFonts w:ascii="Arial" w:cs="Arial" w:eastAsia="Arial" w:hAnsi="Arial"/>
                <w:sz w:val="14"/>
                <w:szCs w:val="14"/>
                <w:color w:val="auto"/>
              </w:rPr>
              <w:t>1,930</w:t>
            </w:r>
          </w:p>
        </w:tc>
        <w:tc>
          <w:tcPr>
            <w:tcW w:w="0" w:type="dxa"/>
            <w:vAlign w:val="bottom"/>
          </w:tcPr>
          <w:p>
            <w:pPr>
              <w:spacing w:after="0"/>
              <w:rPr>
                <w:sz w:val="1"/>
                <w:szCs w:val="1"/>
                <w:color w:val="auto"/>
              </w:rPr>
            </w:pPr>
          </w:p>
        </w:tc>
      </w:tr>
      <w:tr>
        <w:trPr>
          <w:trHeight w:val="216"/>
        </w:trPr>
        <w:tc>
          <w:tcPr>
            <w:tcW w:w="2580" w:type="dxa"/>
            <w:vAlign w:val="bottom"/>
          </w:tcPr>
          <w:p>
            <w:pPr>
              <w:ind w:left="20"/>
              <w:spacing w:after="0"/>
              <w:rPr>
                <w:sz w:val="20"/>
                <w:szCs w:val="20"/>
                <w:color w:val="auto"/>
              </w:rPr>
            </w:pPr>
            <w:r>
              <w:rPr>
                <w:rFonts w:ascii="Arial" w:cs="Arial" w:eastAsia="Arial" w:hAnsi="Arial"/>
                <w:sz w:val="14"/>
                <w:szCs w:val="14"/>
                <w:color w:val="auto"/>
              </w:rPr>
              <w:t>Adoption of FIN 48</w:t>
            </w: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900" w:type="dxa"/>
            <w:vAlign w:val="bottom"/>
          </w:tcPr>
          <w:p>
            <w:pPr>
              <w:jc w:val="right"/>
              <w:ind w:right="89"/>
              <w:spacing w:after="0"/>
              <w:rPr>
                <w:sz w:val="20"/>
                <w:szCs w:val="20"/>
                <w:color w:val="auto"/>
              </w:rPr>
            </w:pPr>
            <w:r>
              <w:rPr>
                <w:rFonts w:ascii="Arial" w:cs="Arial" w:eastAsia="Arial" w:hAnsi="Arial"/>
                <w:sz w:val="14"/>
                <w:szCs w:val="14"/>
                <w:color w:val="auto"/>
              </w:rPr>
              <w:t>(1 )</w:t>
            </w:r>
          </w:p>
        </w:tc>
        <w:tc>
          <w:tcPr>
            <w:tcW w:w="1260" w:type="dxa"/>
            <w:vAlign w:val="bottom"/>
          </w:tcPr>
          <w:p>
            <w:pPr>
              <w:spacing w:after="0"/>
              <w:rPr>
                <w:sz w:val="18"/>
                <w:szCs w:val="18"/>
                <w:color w:val="auto"/>
              </w:rPr>
            </w:pPr>
          </w:p>
        </w:tc>
        <w:tc>
          <w:tcPr>
            <w:tcW w:w="1080" w:type="dxa"/>
            <w:vAlign w:val="bottom"/>
          </w:tcPr>
          <w:p>
            <w:pPr>
              <w:jc w:val="right"/>
              <w:ind w:right="29"/>
              <w:spacing w:after="0"/>
              <w:rPr>
                <w:sz w:val="20"/>
                <w:szCs w:val="20"/>
                <w:color w:val="auto"/>
              </w:rPr>
            </w:pPr>
            <w:r>
              <w:rPr>
                <w:rFonts w:ascii="Arial" w:cs="Arial" w:eastAsia="Arial" w:hAnsi="Arial"/>
                <w:sz w:val="14"/>
                <w:szCs w:val="14"/>
                <w:color w:val="auto"/>
              </w:rPr>
              <w:t>(1 )</w:t>
            </w:r>
          </w:p>
        </w:tc>
        <w:tc>
          <w:tcPr>
            <w:tcW w:w="0" w:type="dxa"/>
            <w:vAlign w:val="bottom"/>
          </w:tcPr>
          <w:p>
            <w:pPr>
              <w:spacing w:after="0"/>
              <w:rPr>
                <w:sz w:val="1"/>
                <w:szCs w:val="1"/>
                <w:color w:val="auto"/>
              </w:rPr>
            </w:pPr>
          </w:p>
        </w:tc>
      </w:tr>
      <w:tr>
        <w:trPr>
          <w:trHeight w:val="216"/>
        </w:trPr>
        <w:tc>
          <w:tcPr>
            <w:tcW w:w="2580" w:type="dxa"/>
            <w:vAlign w:val="bottom"/>
          </w:tcPr>
          <w:p>
            <w:pPr>
              <w:ind w:left="20"/>
              <w:spacing w:after="0"/>
              <w:rPr>
                <w:sz w:val="20"/>
                <w:szCs w:val="20"/>
                <w:color w:val="auto"/>
              </w:rPr>
            </w:pPr>
            <w:r>
              <w:rPr>
                <w:rFonts w:ascii="Arial" w:cs="Arial" w:eastAsia="Arial" w:hAnsi="Arial"/>
                <w:sz w:val="14"/>
                <w:szCs w:val="14"/>
                <w:color w:val="auto"/>
              </w:rPr>
              <w:t>Net income</w:t>
            </w:r>
          </w:p>
        </w:tc>
        <w:tc>
          <w:tcPr>
            <w:tcW w:w="1100" w:type="dxa"/>
            <w:vAlign w:val="bottom"/>
          </w:tcPr>
          <w:p>
            <w:pPr>
              <w:jc w:val="right"/>
              <w:spacing w:after="0"/>
              <w:rPr>
                <w:sz w:val="20"/>
                <w:szCs w:val="20"/>
                <w:color w:val="auto"/>
              </w:rPr>
            </w:pPr>
            <w:r>
              <w:rPr>
                <w:rFonts w:ascii="Arial" w:cs="Arial" w:eastAsia="Arial" w:hAnsi="Arial"/>
                <w:sz w:val="14"/>
                <w:szCs w:val="14"/>
                <w:color w:val="auto"/>
              </w:rPr>
              <w:t>$ 242</w:t>
            </w: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900" w:type="dxa"/>
            <w:vAlign w:val="bottom"/>
          </w:tcPr>
          <w:p>
            <w:pPr>
              <w:jc w:val="right"/>
              <w:ind w:right="169"/>
              <w:spacing w:after="0"/>
              <w:rPr>
                <w:sz w:val="20"/>
                <w:szCs w:val="20"/>
                <w:color w:val="auto"/>
              </w:rPr>
            </w:pPr>
            <w:r>
              <w:rPr>
                <w:rFonts w:ascii="Arial" w:cs="Arial" w:eastAsia="Arial" w:hAnsi="Arial"/>
                <w:sz w:val="14"/>
                <w:szCs w:val="14"/>
                <w:color w:val="auto"/>
              </w:rPr>
              <w:t>242</w:t>
            </w:r>
          </w:p>
        </w:tc>
        <w:tc>
          <w:tcPr>
            <w:tcW w:w="1260" w:type="dxa"/>
            <w:vAlign w:val="bottom"/>
          </w:tcPr>
          <w:p>
            <w:pPr>
              <w:spacing w:after="0"/>
              <w:rPr>
                <w:sz w:val="18"/>
                <w:szCs w:val="18"/>
                <w:color w:val="auto"/>
              </w:rPr>
            </w:pPr>
          </w:p>
        </w:tc>
        <w:tc>
          <w:tcPr>
            <w:tcW w:w="1080" w:type="dxa"/>
            <w:vAlign w:val="bottom"/>
          </w:tcPr>
          <w:p>
            <w:pPr>
              <w:jc w:val="right"/>
              <w:ind w:right="89"/>
              <w:spacing w:after="0"/>
              <w:rPr>
                <w:sz w:val="20"/>
                <w:szCs w:val="20"/>
                <w:color w:val="auto"/>
              </w:rPr>
            </w:pPr>
            <w:r>
              <w:rPr>
                <w:rFonts w:ascii="Arial" w:cs="Arial" w:eastAsia="Arial" w:hAnsi="Arial"/>
                <w:sz w:val="14"/>
                <w:szCs w:val="14"/>
                <w:color w:val="auto"/>
              </w:rPr>
              <w:t>242</w:t>
            </w:r>
          </w:p>
        </w:tc>
        <w:tc>
          <w:tcPr>
            <w:tcW w:w="0" w:type="dxa"/>
            <w:vAlign w:val="bottom"/>
          </w:tcPr>
          <w:p>
            <w:pPr>
              <w:spacing w:after="0"/>
              <w:rPr>
                <w:sz w:val="1"/>
                <w:szCs w:val="1"/>
                <w:color w:val="auto"/>
              </w:rPr>
            </w:pPr>
          </w:p>
        </w:tc>
      </w:tr>
      <w:tr>
        <w:trPr>
          <w:trHeight w:val="210"/>
        </w:trPr>
        <w:tc>
          <w:tcPr>
            <w:tcW w:w="2580" w:type="dxa"/>
            <w:vAlign w:val="bottom"/>
          </w:tcPr>
          <w:p>
            <w:pPr>
              <w:ind w:left="180"/>
              <w:spacing w:after="0"/>
              <w:rPr>
                <w:sz w:val="20"/>
                <w:szCs w:val="20"/>
                <w:color w:val="auto"/>
              </w:rPr>
            </w:pPr>
            <w:r>
              <w:rPr>
                <w:rFonts w:ascii="Arial" w:cs="Arial" w:eastAsia="Arial" w:hAnsi="Arial"/>
                <w:sz w:val="14"/>
                <w:szCs w:val="14"/>
                <w:color w:val="auto"/>
              </w:rPr>
              <w:t>Financial instruments</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60" w:type="dxa"/>
            <w:vAlign w:val="bottom"/>
          </w:tcPr>
          <w:p>
            <w:pPr>
              <w:jc w:val="right"/>
              <w:ind w:right="150"/>
              <w:spacing w:after="0"/>
              <w:rPr>
                <w:sz w:val="20"/>
                <w:szCs w:val="20"/>
                <w:color w:val="auto"/>
              </w:rPr>
            </w:pPr>
            <w:r>
              <w:rPr>
                <w:rFonts w:ascii="Arial" w:cs="Arial" w:eastAsia="Arial" w:hAnsi="Arial"/>
                <w:sz w:val="14"/>
                <w:szCs w:val="14"/>
                <w:color w:val="auto"/>
              </w:rPr>
              <w:t>1</w:t>
            </w:r>
          </w:p>
        </w:tc>
        <w:tc>
          <w:tcPr>
            <w:tcW w:w="1080" w:type="dxa"/>
            <w:vAlign w:val="bottom"/>
          </w:tcPr>
          <w:p>
            <w:pPr>
              <w:jc w:val="right"/>
              <w:ind w:right="89"/>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96"/>
        </w:trPr>
        <w:tc>
          <w:tcPr>
            <w:tcW w:w="2580" w:type="dxa"/>
            <w:vAlign w:val="bottom"/>
          </w:tcPr>
          <w:p>
            <w:pPr>
              <w:ind w:left="20"/>
              <w:spacing w:after="0"/>
              <w:rPr>
                <w:sz w:val="20"/>
                <w:szCs w:val="20"/>
                <w:color w:val="auto"/>
              </w:rPr>
            </w:pPr>
            <w:r>
              <w:rPr>
                <w:rFonts w:ascii="Arial" w:cs="Arial" w:eastAsia="Arial" w:hAnsi="Arial"/>
                <w:sz w:val="14"/>
                <w:szCs w:val="14"/>
                <w:color w:val="auto"/>
              </w:rPr>
              <w:t>Comprehensive income</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$ 243</w:t>
            </w: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580" w:type="dxa"/>
            <w:vAlign w:val="bottom"/>
          </w:tcPr>
          <w:p>
            <w:pPr>
              <w:ind w:left="20"/>
              <w:spacing w:after="0"/>
              <w:rPr>
                <w:sz w:val="20"/>
                <w:szCs w:val="20"/>
                <w:color w:val="auto"/>
              </w:rPr>
            </w:pPr>
            <w:r>
              <w:rPr>
                <w:rFonts w:ascii="Arial" w:cs="Arial" w:eastAsia="Arial" w:hAnsi="Arial"/>
                <w:sz w:val="14"/>
                <w:szCs w:val="14"/>
                <w:color w:val="auto"/>
              </w:rPr>
              <w:t>Quasi-reorganization adjustment</w:t>
            </w: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180" w:type="dxa"/>
            <w:vAlign w:val="bottom"/>
          </w:tcPr>
          <w:p>
            <w:pPr>
              <w:jc w:val="right"/>
              <w:ind w:right="69"/>
              <w:spacing w:after="0"/>
              <w:rPr>
                <w:sz w:val="20"/>
                <w:szCs w:val="20"/>
                <w:color w:val="auto"/>
              </w:rPr>
            </w:pPr>
            <w:r>
              <w:rPr>
                <w:rFonts w:ascii="Arial" w:cs="Arial" w:eastAsia="Arial" w:hAnsi="Arial"/>
                <w:sz w:val="14"/>
                <w:szCs w:val="14"/>
                <w:color w:val="auto"/>
              </w:rPr>
              <w:t>(2 )</w:t>
            </w:r>
          </w:p>
        </w:tc>
        <w:tc>
          <w:tcPr>
            <w:tcW w:w="9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80" w:type="dxa"/>
            <w:vAlign w:val="bottom"/>
          </w:tcPr>
          <w:p>
            <w:pPr>
              <w:jc w:val="right"/>
              <w:ind w:right="29"/>
              <w:spacing w:after="0"/>
              <w:rPr>
                <w:sz w:val="20"/>
                <w:szCs w:val="20"/>
                <w:color w:val="auto"/>
              </w:rPr>
            </w:pPr>
            <w:r>
              <w:rPr>
                <w:rFonts w:ascii="Arial" w:cs="Arial" w:eastAsia="Arial" w:hAnsi="Arial"/>
                <w:sz w:val="14"/>
                <w:szCs w:val="14"/>
                <w:color w:val="auto"/>
              </w:rPr>
              <w:t>(2 )</w:t>
            </w:r>
          </w:p>
        </w:tc>
        <w:tc>
          <w:tcPr>
            <w:tcW w:w="0" w:type="dxa"/>
            <w:vAlign w:val="bottom"/>
          </w:tcPr>
          <w:p>
            <w:pPr>
              <w:spacing w:after="0"/>
              <w:rPr>
                <w:sz w:val="1"/>
                <w:szCs w:val="1"/>
                <w:color w:val="auto"/>
              </w:rPr>
            </w:pPr>
          </w:p>
        </w:tc>
      </w:tr>
      <w:tr>
        <w:trPr>
          <w:trHeight w:val="216"/>
        </w:trPr>
        <w:tc>
          <w:tcPr>
            <w:tcW w:w="2580" w:type="dxa"/>
            <w:vAlign w:val="bottom"/>
          </w:tcPr>
          <w:p>
            <w:pPr>
              <w:ind w:left="20"/>
              <w:spacing w:after="0"/>
              <w:rPr>
                <w:sz w:val="20"/>
                <w:szCs w:val="20"/>
                <w:color w:val="auto"/>
              </w:rPr>
            </w:pPr>
            <w:r>
              <w:rPr>
                <w:rFonts w:ascii="Arial" w:cs="Arial" w:eastAsia="Arial" w:hAnsi="Arial"/>
                <w:sz w:val="14"/>
                <w:szCs w:val="14"/>
                <w:color w:val="auto"/>
              </w:rPr>
              <w:t>Preferred stock dividends declared</w:t>
            </w: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900" w:type="dxa"/>
            <w:vAlign w:val="bottom"/>
          </w:tcPr>
          <w:p>
            <w:pPr>
              <w:jc w:val="right"/>
              <w:ind w:right="89"/>
              <w:spacing w:after="0"/>
              <w:rPr>
                <w:sz w:val="20"/>
                <w:szCs w:val="20"/>
                <w:color w:val="auto"/>
              </w:rPr>
            </w:pPr>
            <w:r>
              <w:rPr>
                <w:rFonts w:ascii="Arial" w:cs="Arial" w:eastAsia="Arial" w:hAnsi="Arial"/>
                <w:sz w:val="14"/>
                <w:szCs w:val="14"/>
                <w:color w:val="auto"/>
              </w:rPr>
              <w:t>(4 )</w:t>
            </w:r>
          </w:p>
        </w:tc>
        <w:tc>
          <w:tcPr>
            <w:tcW w:w="1260" w:type="dxa"/>
            <w:vAlign w:val="bottom"/>
          </w:tcPr>
          <w:p>
            <w:pPr>
              <w:spacing w:after="0"/>
              <w:rPr>
                <w:sz w:val="18"/>
                <w:szCs w:val="18"/>
                <w:color w:val="auto"/>
              </w:rPr>
            </w:pPr>
          </w:p>
        </w:tc>
        <w:tc>
          <w:tcPr>
            <w:tcW w:w="1080" w:type="dxa"/>
            <w:vAlign w:val="bottom"/>
          </w:tcPr>
          <w:p>
            <w:pPr>
              <w:jc w:val="right"/>
              <w:ind w:right="29"/>
              <w:spacing w:after="0"/>
              <w:rPr>
                <w:sz w:val="20"/>
                <w:szCs w:val="20"/>
                <w:color w:val="auto"/>
              </w:rPr>
            </w:pPr>
            <w:r>
              <w:rPr>
                <w:rFonts w:ascii="Arial" w:cs="Arial" w:eastAsia="Arial" w:hAnsi="Arial"/>
                <w:sz w:val="14"/>
                <w:szCs w:val="14"/>
                <w:color w:val="auto"/>
              </w:rPr>
              <w:t>(4 )</w:t>
            </w:r>
          </w:p>
        </w:tc>
        <w:tc>
          <w:tcPr>
            <w:tcW w:w="0" w:type="dxa"/>
            <w:vAlign w:val="bottom"/>
          </w:tcPr>
          <w:p>
            <w:pPr>
              <w:spacing w:after="0"/>
              <w:rPr>
                <w:sz w:val="1"/>
                <w:szCs w:val="1"/>
                <w:color w:val="auto"/>
              </w:rPr>
            </w:pPr>
          </w:p>
        </w:tc>
      </w:tr>
      <w:tr>
        <w:trPr>
          <w:trHeight w:val="222"/>
        </w:trPr>
        <w:tc>
          <w:tcPr>
            <w:tcW w:w="2580" w:type="dxa"/>
            <w:vAlign w:val="bottom"/>
          </w:tcPr>
          <w:p>
            <w:pPr>
              <w:ind w:left="20"/>
              <w:spacing w:after="0"/>
              <w:rPr>
                <w:sz w:val="20"/>
                <w:szCs w:val="20"/>
                <w:color w:val="auto"/>
              </w:rPr>
            </w:pPr>
            <w:r>
              <w:rPr>
                <w:rFonts w:ascii="Arial" w:cs="Arial" w:eastAsia="Arial" w:hAnsi="Arial"/>
                <w:sz w:val="14"/>
                <w:szCs w:val="14"/>
                <w:color w:val="auto"/>
              </w:rPr>
              <w:t>Common stock dividends declared</w:t>
            </w:r>
          </w:p>
        </w:tc>
        <w:tc>
          <w:tcPr>
            <w:tcW w:w="1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rPr>
              <w:t>(250 )</w:t>
            </w:r>
          </w:p>
        </w:tc>
        <w:tc>
          <w:tcPr>
            <w:tcW w:w="1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(250 )</w:t>
            </w:r>
          </w:p>
        </w:tc>
        <w:tc>
          <w:tcPr>
            <w:tcW w:w="0" w:type="dxa"/>
            <w:vAlign w:val="bottom"/>
          </w:tcPr>
          <w:p>
            <w:pPr>
              <w:spacing w:after="0"/>
              <w:rPr>
                <w:sz w:val="1"/>
                <w:szCs w:val="1"/>
                <w:color w:val="auto"/>
              </w:rPr>
            </w:pPr>
          </w:p>
        </w:tc>
      </w:tr>
      <w:tr>
        <w:trPr>
          <w:trHeight w:val="202"/>
        </w:trPr>
        <w:tc>
          <w:tcPr>
            <w:tcW w:w="2580" w:type="dxa"/>
            <w:vAlign w:val="bottom"/>
          </w:tcPr>
          <w:p>
            <w:pPr>
              <w:ind w:left="20"/>
              <w:spacing w:after="0"/>
              <w:rPr>
                <w:sz w:val="20"/>
                <w:szCs w:val="20"/>
                <w:color w:val="auto"/>
              </w:rPr>
            </w:pPr>
            <w:r>
              <w:rPr>
                <w:rFonts w:ascii="Arial" w:cs="Arial" w:eastAsia="Arial" w:hAnsi="Arial"/>
                <w:sz w:val="14"/>
                <w:szCs w:val="14"/>
                <w:color w:val="auto"/>
              </w:rPr>
              <w:t>Balance at December 31, 2007</w:t>
            </w: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jc w:val="right"/>
              <w:ind w:right="31"/>
              <w:spacing w:after="0"/>
              <w:rPr>
                <w:sz w:val="20"/>
                <w:szCs w:val="20"/>
                <w:color w:val="auto"/>
              </w:rPr>
            </w:pPr>
            <w:r>
              <w:rPr>
                <w:rFonts w:ascii="Arial" w:cs="Arial" w:eastAsia="Arial" w:hAnsi="Arial"/>
                <w:sz w:val="14"/>
                <w:szCs w:val="14"/>
                <w:color w:val="auto"/>
              </w:rPr>
              <w:t>80</w:t>
            </w:r>
          </w:p>
        </w:tc>
        <w:tc>
          <w:tcPr>
            <w:tcW w:w="1180" w:type="dxa"/>
            <w:vAlign w:val="bottom"/>
          </w:tcPr>
          <w:p>
            <w:pPr>
              <w:jc w:val="right"/>
              <w:ind w:right="149"/>
              <w:spacing w:after="0"/>
              <w:rPr>
                <w:sz w:val="20"/>
                <w:szCs w:val="20"/>
                <w:color w:val="auto"/>
              </w:rPr>
            </w:pPr>
            <w:r>
              <w:rPr>
                <w:rFonts w:ascii="Arial" w:cs="Arial" w:eastAsia="Arial" w:hAnsi="Arial"/>
                <w:sz w:val="14"/>
                <w:szCs w:val="14"/>
                <w:color w:val="auto"/>
              </w:rPr>
              <w:t>1,462</w:t>
            </w:r>
          </w:p>
        </w:tc>
        <w:tc>
          <w:tcPr>
            <w:tcW w:w="900" w:type="dxa"/>
            <w:vAlign w:val="bottom"/>
          </w:tcPr>
          <w:p>
            <w:pPr>
              <w:jc w:val="right"/>
              <w:ind w:right="169"/>
              <w:spacing w:after="0"/>
              <w:rPr>
                <w:sz w:val="20"/>
                <w:szCs w:val="20"/>
                <w:color w:val="auto"/>
              </w:rPr>
            </w:pPr>
            <w:r>
              <w:rPr>
                <w:rFonts w:ascii="Arial" w:cs="Arial" w:eastAsia="Arial" w:hAnsi="Arial"/>
                <w:sz w:val="14"/>
                <w:szCs w:val="14"/>
                <w:color w:val="auto"/>
              </w:rPr>
              <w:t>378</w:t>
            </w:r>
          </w:p>
        </w:tc>
        <w:tc>
          <w:tcPr>
            <w:tcW w:w="1260" w:type="dxa"/>
            <w:vAlign w:val="bottom"/>
          </w:tcPr>
          <w:p>
            <w:pPr>
              <w:jc w:val="right"/>
              <w:ind w:right="70"/>
              <w:spacing w:after="0"/>
              <w:rPr>
                <w:sz w:val="20"/>
                <w:szCs w:val="20"/>
                <w:color w:val="auto"/>
              </w:rPr>
            </w:pPr>
            <w:r>
              <w:rPr>
                <w:rFonts w:ascii="Arial" w:cs="Arial" w:eastAsia="Arial" w:hAnsi="Arial"/>
                <w:sz w:val="14"/>
                <w:szCs w:val="14"/>
                <w:color w:val="auto"/>
              </w:rPr>
              <w:t>(4 )</w:t>
            </w:r>
          </w:p>
        </w:tc>
        <w:tc>
          <w:tcPr>
            <w:tcW w:w="1080" w:type="dxa"/>
            <w:vAlign w:val="bottom"/>
          </w:tcPr>
          <w:p>
            <w:pPr>
              <w:jc w:val="right"/>
              <w:ind w:right="89"/>
              <w:spacing w:after="0"/>
              <w:rPr>
                <w:sz w:val="20"/>
                <w:szCs w:val="20"/>
                <w:color w:val="auto"/>
              </w:rPr>
            </w:pPr>
            <w:r>
              <w:rPr>
                <w:rFonts w:ascii="Arial" w:cs="Arial" w:eastAsia="Arial" w:hAnsi="Arial"/>
                <w:sz w:val="14"/>
                <w:szCs w:val="14"/>
                <w:color w:val="auto"/>
              </w:rPr>
              <w:t>1,916</w:t>
            </w:r>
          </w:p>
        </w:tc>
        <w:tc>
          <w:tcPr>
            <w:tcW w:w="0" w:type="dxa"/>
            <w:vAlign w:val="bottom"/>
          </w:tcPr>
          <w:p>
            <w:pPr>
              <w:spacing w:after="0"/>
              <w:rPr>
                <w:sz w:val="1"/>
                <w:szCs w:val="1"/>
                <w:color w:val="auto"/>
              </w:rPr>
            </w:pPr>
          </w:p>
        </w:tc>
      </w:tr>
      <w:tr>
        <w:trPr>
          <w:trHeight w:val="216"/>
        </w:trPr>
        <w:tc>
          <w:tcPr>
            <w:tcW w:w="2580" w:type="dxa"/>
            <w:vAlign w:val="bottom"/>
          </w:tcPr>
          <w:p>
            <w:pPr>
              <w:ind w:left="20"/>
              <w:spacing w:after="0"/>
              <w:rPr>
                <w:sz w:val="20"/>
                <w:szCs w:val="20"/>
                <w:color w:val="auto"/>
              </w:rPr>
            </w:pPr>
            <w:r>
              <w:rPr>
                <w:rFonts w:ascii="Arial" w:cs="Arial" w:eastAsia="Arial" w:hAnsi="Arial"/>
                <w:sz w:val="14"/>
                <w:szCs w:val="14"/>
                <w:color w:val="auto"/>
              </w:rPr>
              <w:t>Net income</w:t>
            </w:r>
          </w:p>
        </w:tc>
        <w:tc>
          <w:tcPr>
            <w:tcW w:w="1100" w:type="dxa"/>
            <w:vAlign w:val="bottom"/>
          </w:tcPr>
          <w:p>
            <w:pPr>
              <w:jc w:val="right"/>
              <w:spacing w:after="0"/>
              <w:rPr>
                <w:sz w:val="20"/>
                <w:szCs w:val="20"/>
                <w:color w:val="auto"/>
              </w:rPr>
            </w:pPr>
            <w:r>
              <w:rPr>
                <w:rFonts w:ascii="Arial" w:cs="Arial" w:eastAsia="Arial" w:hAnsi="Arial"/>
                <w:sz w:val="14"/>
                <w:szCs w:val="14"/>
                <w:color w:val="auto"/>
              </w:rPr>
              <w:t>$ 252</w:t>
            </w: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900" w:type="dxa"/>
            <w:vAlign w:val="bottom"/>
          </w:tcPr>
          <w:p>
            <w:pPr>
              <w:jc w:val="right"/>
              <w:ind w:right="169"/>
              <w:spacing w:after="0"/>
              <w:rPr>
                <w:sz w:val="20"/>
                <w:szCs w:val="20"/>
                <w:color w:val="auto"/>
              </w:rPr>
            </w:pPr>
            <w:r>
              <w:rPr>
                <w:rFonts w:ascii="Arial" w:cs="Arial" w:eastAsia="Arial" w:hAnsi="Arial"/>
                <w:sz w:val="14"/>
                <w:szCs w:val="14"/>
                <w:color w:val="auto"/>
              </w:rPr>
              <w:t>252</w:t>
            </w:r>
          </w:p>
        </w:tc>
        <w:tc>
          <w:tcPr>
            <w:tcW w:w="1260" w:type="dxa"/>
            <w:vAlign w:val="bottom"/>
          </w:tcPr>
          <w:p>
            <w:pPr>
              <w:spacing w:after="0"/>
              <w:rPr>
                <w:sz w:val="18"/>
                <w:szCs w:val="18"/>
                <w:color w:val="auto"/>
              </w:rPr>
            </w:pPr>
          </w:p>
        </w:tc>
        <w:tc>
          <w:tcPr>
            <w:tcW w:w="1080" w:type="dxa"/>
            <w:vAlign w:val="bottom"/>
          </w:tcPr>
          <w:p>
            <w:pPr>
              <w:jc w:val="right"/>
              <w:ind w:right="89"/>
              <w:spacing w:after="0"/>
              <w:rPr>
                <w:sz w:val="20"/>
                <w:szCs w:val="20"/>
                <w:color w:val="auto"/>
              </w:rPr>
            </w:pPr>
            <w:r>
              <w:rPr>
                <w:rFonts w:ascii="Arial" w:cs="Arial" w:eastAsia="Arial" w:hAnsi="Arial"/>
                <w:sz w:val="14"/>
                <w:szCs w:val="14"/>
                <w:color w:val="auto"/>
              </w:rPr>
              <w:t>252</w:t>
            </w:r>
          </w:p>
        </w:tc>
        <w:tc>
          <w:tcPr>
            <w:tcW w:w="0" w:type="dxa"/>
            <w:vAlign w:val="bottom"/>
          </w:tcPr>
          <w:p>
            <w:pPr>
              <w:spacing w:after="0"/>
              <w:rPr>
                <w:sz w:val="1"/>
                <w:szCs w:val="1"/>
                <w:color w:val="auto"/>
              </w:rPr>
            </w:pPr>
          </w:p>
        </w:tc>
      </w:tr>
      <w:tr>
        <w:trPr>
          <w:trHeight w:val="216"/>
        </w:trPr>
        <w:tc>
          <w:tcPr>
            <w:tcW w:w="2580" w:type="dxa"/>
            <w:vAlign w:val="bottom"/>
          </w:tcPr>
          <w:p>
            <w:pPr>
              <w:ind w:left="180"/>
              <w:spacing w:after="0"/>
              <w:rPr>
                <w:sz w:val="20"/>
                <w:szCs w:val="20"/>
                <w:color w:val="auto"/>
              </w:rPr>
            </w:pPr>
            <w:r>
              <w:rPr>
                <w:rFonts w:ascii="Arial" w:cs="Arial" w:eastAsia="Arial" w:hAnsi="Arial"/>
                <w:sz w:val="14"/>
                <w:szCs w:val="14"/>
                <w:color w:val="auto"/>
              </w:rPr>
              <w:t>Financial instruments</w:t>
            </w:r>
          </w:p>
        </w:tc>
        <w:tc>
          <w:tcPr>
            <w:tcW w:w="1260" w:type="dxa"/>
            <w:vAlign w:val="bottom"/>
            <w:gridSpan w:val="2"/>
          </w:tcPr>
          <w:p>
            <w:pPr>
              <w:jc w:val="right"/>
              <w:ind w:right="100"/>
              <w:spacing w:after="0"/>
              <w:rPr>
                <w:sz w:val="20"/>
                <w:szCs w:val="20"/>
                <w:color w:val="auto"/>
              </w:rPr>
            </w:pPr>
            <w:r>
              <w:rPr>
                <w:rFonts w:ascii="Arial" w:cs="Arial" w:eastAsia="Arial" w:hAnsi="Arial"/>
                <w:sz w:val="14"/>
                <w:szCs w:val="14"/>
                <w:color w:val="auto"/>
              </w:rPr>
              <w:t>(25 )</w:t>
            </w:r>
          </w:p>
        </w:tc>
        <w:tc>
          <w:tcPr>
            <w:tcW w:w="8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60" w:type="dxa"/>
            <w:vAlign w:val="bottom"/>
          </w:tcPr>
          <w:p>
            <w:pPr>
              <w:jc w:val="right"/>
              <w:ind w:right="70"/>
              <w:spacing w:after="0"/>
              <w:rPr>
                <w:sz w:val="20"/>
                <w:szCs w:val="20"/>
                <w:color w:val="auto"/>
              </w:rPr>
            </w:pPr>
            <w:r>
              <w:rPr>
                <w:rFonts w:ascii="Arial" w:cs="Arial" w:eastAsia="Arial" w:hAnsi="Arial"/>
                <w:sz w:val="14"/>
                <w:szCs w:val="14"/>
                <w:color w:val="auto"/>
              </w:rPr>
              <w:t>(25 )</w:t>
            </w:r>
          </w:p>
        </w:tc>
        <w:tc>
          <w:tcPr>
            <w:tcW w:w="1080" w:type="dxa"/>
            <w:vAlign w:val="bottom"/>
          </w:tcPr>
          <w:p>
            <w:pPr>
              <w:jc w:val="right"/>
              <w:ind w:right="29"/>
              <w:spacing w:after="0"/>
              <w:rPr>
                <w:sz w:val="20"/>
                <w:szCs w:val="20"/>
                <w:color w:val="auto"/>
              </w:rPr>
            </w:pPr>
            <w:r>
              <w:rPr>
                <w:rFonts w:ascii="Arial" w:cs="Arial" w:eastAsia="Arial" w:hAnsi="Arial"/>
                <w:sz w:val="14"/>
                <w:szCs w:val="14"/>
                <w:color w:val="auto"/>
              </w:rPr>
              <w:t>(25 )</w:t>
            </w:r>
          </w:p>
        </w:tc>
        <w:tc>
          <w:tcPr>
            <w:tcW w:w="0" w:type="dxa"/>
            <w:vAlign w:val="bottom"/>
          </w:tcPr>
          <w:p>
            <w:pPr>
              <w:spacing w:after="0"/>
              <w:rPr>
                <w:sz w:val="1"/>
                <w:szCs w:val="1"/>
                <w:color w:val="auto"/>
              </w:rPr>
            </w:pPr>
          </w:p>
        </w:tc>
      </w:tr>
      <w:tr>
        <w:trPr>
          <w:trHeight w:val="210"/>
        </w:trPr>
        <w:tc>
          <w:tcPr>
            <w:tcW w:w="2580" w:type="dxa"/>
            <w:vAlign w:val="bottom"/>
          </w:tcPr>
          <w:p>
            <w:pPr>
              <w:ind w:left="180"/>
              <w:spacing w:after="0"/>
              <w:rPr>
                <w:sz w:val="20"/>
                <w:szCs w:val="20"/>
                <w:color w:val="auto"/>
              </w:rPr>
            </w:pPr>
            <w:r>
              <w:rPr>
                <w:rFonts w:ascii="Arial" w:cs="Arial" w:eastAsia="Arial" w:hAnsi="Arial"/>
                <w:sz w:val="14"/>
                <w:szCs w:val="14"/>
                <w:color w:val="auto"/>
              </w:rPr>
              <w:t>Pension adjustment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60" w:type="dxa"/>
            <w:vAlign w:val="bottom"/>
          </w:tcPr>
          <w:p>
            <w:pPr>
              <w:jc w:val="right"/>
              <w:ind w:right="150"/>
              <w:spacing w:after="0"/>
              <w:rPr>
                <w:sz w:val="20"/>
                <w:szCs w:val="20"/>
                <w:color w:val="auto"/>
              </w:rPr>
            </w:pPr>
            <w:r>
              <w:rPr>
                <w:rFonts w:ascii="Arial" w:cs="Arial" w:eastAsia="Arial" w:hAnsi="Arial"/>
                <w:sz w:val="14"/>
                <w:szCs w:val="14"/>
                <w:color w:val="auto"/>
              </w:rPr>
              <w:t>1</w:t>
            </w:r>
          </w:p>
        </w:tc>
        <w:tc>
          <w:tcPr>
            <w:tcW w:w="1080" w:type="dxa"/>
            <w:vAlign w:val="bottom"/>
          </w:tcPr>
          <w:p>
            <w:pPr>
              <w:jc w:val="right"/>
              <w:ind w:right="89"/>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96"/>
        </w:trPr>
        <w:tc>
          <w:tcPr>
            <w:tcW w:w="2580" w:type="dxa"/>
            <w:vAlign w:val="bottom"/>
          </w:tcPr>
          <w:p>
            <w:pPr>
              <w:ind w:left="20"/>
              <w:spacing w:after="0"/>
              <w:rPr>
                <w:sz w:val="20"/>
                <w:szCs w:val="20"/>
                <w:color w:val="auto"/>
              </w:rPr>
            </w:pPr>
            <w:r>
              <w:rPr>
                <w:rFonts w:ascii="Arial" w:cs="Arial" w:eastAsia="Arial" w:hAnsi="Arial"/>
                <w:sz w:val="14"/>
                <w:szCs w:val="14"/>
                <w:color w:val="auto"/>
              </w:rPr>
              <w:t>Comprehensive income</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$ 228</w:t>
            </w: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580" w:type="dxa"/>
            <w:vAlign w:val="bottom"/>
          </w:tcPr>
          <w:p>
            <w:pPr>
              <w:ind w:left="20"/>
              <w:spacing w:after="0"/>
              <w:rPr>
                <w:sz w:val="20"/>
                <w:szCs w:val="20"/>
                <w:color w:val="auto"/>
              </w:rPr>
            </w:pPr>
            <w:r>
              <w:rPr>
                <w:rFonts w:ascii="Arial" w:cs="Arial" w:eastAsia="Arial" w:hAnsi="Arial"/>
                <w:sz w:val="14"/>
                <w:szCs w:val="14"/>
                <w:color w:val="auto"/>
              </w:rPr>
              <w:t>Preferred stock dividends declared</w:t>
            </w: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900" w:type="dxa"/>
            <w:vAlign w:val="bottom"/>
          </w:tcPr>
          <w:p>
            <w:pPr>
              <w:jc w:val="right"/>
              <w:ind w:right="89"/>
              <w:spacing w:after="0"/>
              <w:rPr>
                <w:sz w:val="20"/>
                <w:szCs w:val="20"/>
                <w:color w:val="auto"/>
              </w:rPr>
            </w:pPr>
            <w:r>
              <w:rPr>
                <w:rFonts w:ascii="Arial" w:cs="Arial" w:eastAsia="Arial" w:hAnsi="Arial"/>
                <w:sz w:val="14"/>
                <w:szCs w:val="14"/>
                <w:color w:val="auto"/>
              </w:rPr>
              <w:t>(4 )</w:t>
            </w:r>
          </w:p>
        </w:tc>
        <w:tc>
          <w:tcPr>
            <w:tcW w:w="1260" w:type="dxa"/>
            <w:vAlign w:val="bottom"/>
          </w:tcPr>
          <w:p>
            <w:pPr>
              <w:spacing w:after="0"/>
              <w:rPr>
                <w:sz w:val="17"/>
                <w:szCs w:val="17"/>
                <w:color w:val="auto"/>
              </w:rPr>
            </w:pPr>
          </w:p>
        </w:tc>
        <w:tc>
          <w:tcPr>
            <w:tcW w:w="1080" w:type="dxa"/>
            <w:vAlign w:val="bottom"/>
          </w:tcPr>
          <w:p>
            <w:pPr>
              <w:jc w:val="right"/>
              <w:ind w:right="29"/>
              <w:spacing w:after="0"/>
              <w:rPr>
                <w:sz w:val="20"/>
                <w:szCs w:val="20"/>
                <w:color w:val="auto"/>
              </w:rPr>
            </w:pPr>
            <w:r>
              <w:rPr>
                <w:rFonts w:ascii="Arial" w:cs="Arial" w:eastAsia="Arial" w:hAnsi="Arial"/>
                <w:sz w:val="14"/>
                <w:szCs w:val="14"/>
                <w:color w:val="auto"/>
              </w:rPr>
              <w:t>(4 )</w:t>
            </w:r>
          </w:p>
        </w:tc>
        <w:tc>
          <w:tcPr>
            <w:tcW w:w="0" w:type="dxa"/>
            <w:vAlign w:val="bottom"/>
          </w:tcPr>
          <w:p>
            <w:pPr>
              <w:spacing w:after="0"/>
              <w:rPr>
                <w:sz w:val="1"/>
                <w:szCs w:val="1"/>
                <w:color w:val="auto"/>
              </w:rPr>
            </w:pPr>
          </w:p>
        </w:tc>
      </w:tr>
      <w:tr>
        <w:trPr>
          <w:trHeight w:val="222"/>
        </w:trPr>
        <w:tc>
          <w:tcPr>
            <w:tcW w:w="2580" w:type="dxa"/>
            <w:vAlign w:val="bottom"/>
          </w:tcPr>
          <w:p>
            <w:pPr>
              <w:ind w:left="20"/>
              <w:spacing w:after="0"/>
              <w:rPr>
                <w:sz w:val="20"/>
                <w:szCs w:val="20"/>
                <w:color w:val="auto"/>
              </w:rPr>
            </w:pPr>
            <w:r>
              <w:rPr>
                <w:rFonts w:ascii="Arial" w:cs="Arial" w:eastAsia="Arial" w:hAnsi="Arial"/>
                <w:sz w:val="14"/>
                <w:szCs w:val="14"/>
                <w:color w:val="auto"/>
              </w:rPr>
              <w:t>Common stock dividends declared</w:t>
            </w:r>
          </w:p>
        </w:tc>
        <w:tc>
          <w:tcPr>
            <w:tcW w:w="1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rPr>
              <w:t>(200 )</w:t>
            </w:r>
          </w:p>
        </w:tc>
        <w:tc>
          <w:tcPr>
            <w:tcW w:w="1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(200 )</w:t>
            </w:r>
          </w:p>
        </w:tc>
        <w:tc>
          <w:tcPr>
            <w:tcW w:w="0" w:type="dxa"/>
            <w:vAlign w:val="bottom"/>
          </w:tcPr>
          <w:p>
            <w:pPr>
              <w:spacing w:after="0"/>
              <w:rPr>
                <w:sz w:val="1"/>
                <w:szCs w:val="1"/>
                <w:color w:val="auto"/>
              </w:rPr>
            </w:pPr>
          </w:p>
        </w:tc>
      </w:tr>
      <w:tr>
        <w:trPr>
          <w:trHeight w:val="224"/>
        </w:trPr>
        <w:tc>
          <w:tcPr>
            <w:tcW w:w="25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Balance at December 31, 2008</w:t>
            </w:r>
          </w:p>
        </w:tc>
        <w:tc>
          <w:tcPr>
            <w:tcW w:w="1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color w:val="auto"/>
              </w:rPr>
              <w:t>$ 80</w:t>
            </w:r>
          </w:p>
        </w:tc>
        <w:tc>
          <w:tcPr>
            <w:tcW w:w="1180" w:type="dxa"/>
            <w:vAlign w:val="bottom"/>
            <w:tcBorders>
              <w:bottom w:val="single" w:sz="8" w:color="auto"/>
            </w:tcBorders>
          </w:tcPr>
          <w:p>
            <w:pPr>
              <w:jc w:val="right"/>
              <w:ind w:right="149"/>
              <w:spacing w:after="0"/>
              <w:rPr>
                <w:sz w:val="20"/>
                <w:szCs w:val="20"/>
                <w:color w:val="auto"/>
              </w:rPr>
            </w:pPr>
            <w:r>
              <w:rPr>
                <w:rFonts w:ascii="Arial" w:cs="Arial" w:eastAsia="Arial" w:hAnsi="Arial"/>
                <w:sz w:val="14"/>
                <w:szCs w:val="14"/>
                <w:color w:val="auto"/>
              </w:rPr>
              <w:t>$ 1,462</w:t>
            </w:r>
          </w:p>
        </w:tc>
        <w:tc>
          <w:tcPr>
            <w:tcW w:w="900" w:type="dxa"/>
            <w:vAlign w:val="bottom"/>
            <w:tcBorders>
              <w:bottom w:val="single" w:sz="8" w:color="auto"/>
            </w:tcBorders>
          </w:tcPr>
          <w:p>
            <w:pPr>
              <w:jc w:val="right"/>
              <w:ind w:right="169"/>
              <w:spacing w:after="0"/>
              <w:rPr>
                <w:sz w:val="20"/>
                <w:szCs w:val="20"/>
                <w:color w:val="auto"/>
              </w:rPr>
            </w:pPr>
            <w:r>
              <w:rPr>
                <w:rFonts w:ascii="Arial" w:cs="Arial" w:eastAsia="Arial" w:hAnsi="Arial"/>
                <w:sz w:val="14"/>
                <w:szCs w:val="14"/>
                <w:color w:val="auto"/>
              </w:rPr>
              <w:t>$ 426</w:t>
            </w:r>
          </w:p>
        </w:tc>
        <w:tc>
          <w:tcPr>
            <w:tcW w:w="1260" w:type="dxa"/>
            <w:vAlign w:val="bottom"/>
            <w:tcBorders>
              <w:bottom w:val="single" w:sz="8" w:color="auto"/>
            </w:tcBorders>
          </w:tcPr>
          <w:p>
            <w:pPr>
              <w:jc w:val="right"/>
              <w:ind w:right="70"/>
              <w:spacing w:after="0"/>
              <w:rPr>
                <w:sz w:val="20"/>
                <w:szCs w:val="20"/>
                <w:color w:val="auto"/>
              </w:rPr>
            </w:pPr>
            <w:r>
              <w:rPr>
                <w:rFonts w:ascii="Arial" w:cs="Arial" w:eastAsia="Arial" w:hAnsi="Arial"/>
                <w:sz w:val="14"/>
                <w:szCs w:val="14"/>
                <w:color w:val="auto"/>
              </w:rPr>
              <w:t>$ (28 )</w:t>
            </w:r>
          </w:p>
        </w:tc>
        <w:tc>
          <w:tcPr>
            <w:tcW w:w="108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rPr>
              <w:t>$ 1,940</w:t>
            </w:r>
          </w:p>
        </w:tc>
        <w:tc>
          <w:tcPr>
            <w:tcW w:w="0" w:type="dxa"/>
            <w:vAlign w:val="bottom"/>
          </w:tcPr>
          <w:p>
            <w:pPr>
              <w:spacing w:after="0"/>
              <w:rPr>
                <w:sz w:val="1"/>
                <w:szCs w:val="1"/>
                <w:color w:val="auto"/>
              </w:rPr>
            </w:pPr>
          </w:p>
        </w:tc>
      </w:tr>
    </w:tbl>
    <w:p>
      <w:pPr>
        <w:spacing w:after="0" w:line="220" w:lineRule="exact"/>
        <w:rPr>
          <w:sz w:val="20"/>
          <w:szCs w:val="20"/>
          <w:color w:val="auto"/>
        </w:rPr>
      </w:pPr>
    </w:p>
    <w:p>
      <w:pPr>
        <w:ind w:left="1200"/>
        <w:spacing w:after="0"/>
        <w:rPr>
          <w:sz w:val="20"/>
          <w:szCs w:val="20"/>
          <w:color w:val="auto"/>
        </w:rPr>
      </w:pPr>
      <w:r>
        <w:rPr>
          <w:rFonts w:ascii="Arial" w:cs="Arial" w:eastAsia="Arial" w:hAnsi="Arial"/>
          <w:sz w:val="13"/>
          <w:szCs w:val="13"/>
          <w:i w:val="1"/>
          <w:iCs w:val="1"/>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14"/>
          <w:szCs w:val="14"/>
          <w:color w:val="auto"/>
        </w:rPr>
        <w:t>86</w:t>
      </w:r>
    </w:p>
    <w:p>
      <w:pPr>
        <w:sectPr>
          <w:pgSz w:w="11900" w:h="16838" w:orient="portrait"/>
          <w:cols w:equalWidth="0" w:num="1">
            <w:col w:w="10240"/>
          </w:cols>
          <w:pgMar w:left="240" w:top="556" w:right="1419" w:bottom="1440" w:gutter="0" w:footer="0" w:header="0"/>
        </w:sectPr>
      </w:pPr>
    </w:p>
    <w:bookmarkStart w:id="226" w:name="page227"/>
    <w:bookmarkEnd w:id="226"/>
    <w:p>
      <w:pPr>
        <w:ind w:left="1600"/>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1156970</wp:posOffset>
            </wp:positionH>
            <wp:positionV relativeFrom="page">
              <wp:posOffset>226060</wp:posOffset>
            </wp:positionV>
            <wp:extent cx="5248275" cy="36639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5248275" cy="366395"/>
                    </a:xfrm>
                    <a:prstGeom prst="rect">
                      <a:avLst/>
                    </a:prstGeom>
                    <a:noFill/>
                  </pic:spPr>
                </pic:pic>
              </a:graphicData>
            </a:graphic>
          </wp:anchor>
        </w:drawing>
        <w:t>SOUTHERN CALIFORNIA GAS COMPANY AND SUBSIDIARIES</w:t>
      </w:r>
    </w:p>
    <w:p>
      <w:pPr>
        <w:spacing w:after="0" w:line="31" w:lineRule="exact"/>
        <w:rPr>
          <w:sz w:val="20"/>
          <w:szCs w:val="20"/>
          <w:color w:val="auto"/>
        </w:rPr>
      </w:pPr>
    </w:p>
    <w:p>
      <w:pPr>
        <w:ind w:left="1600"/>
        <w:spacing w:after="0"/>
        <w:rPr>
          <w:sz w:val="20"/>
          <w:szCs w:val="20"/>
          <w:color w:val="auto"/>
        </w:rPr>
      </w:pPr>
      <w:r>
        <w:rPr>
          <w:rFonts w:ascii="Arial" w:cs="Arial" w:eastAsia="Arial" w:hAnsi="Arial"/>
          <w:sz w:val="14"/>
          <w:szCs w:val="14"/>
          <w:b w:val="1"/>
          <w:bCs w:val="1"/>
          <w:color w:val="auto"/>
        </w:rPr>
        <w:t>STATEMENTS OF CONSOLIDATED INCOME</w:t>
      </w:r>
    </w:p>
    <w:p>
      <w:pPr>
        <w:spacing w:after="0" w:line="40" w:lineRule="exact"/>
        <w:rPr>
          <w:sz w:val="20"/>
          <w:szCs w:val="20"/>
          <w:color w:val="auto"/>
        </w:rPr>
      </w:pPr>
    </w:p>
    <w:tbl>
      <w:tblPr>
        <w:tblLayout w:type="fixed"/>
        <w:tblInd w:w="1580" w:type="dxa"/>
        <w:tblCellMar>
          <w:top w:w="0" w:type="dxa"/>
          <w:left w:w="0" w:type="dxa"/>
          <w:bottom w:w="0" w:type="dxa"/>
          <w:right w:w="0" w:type="dxa"/>
        </w:tblCellMar>
      </w:tblPr>
      <w:tr>
        <w:trPr>
          <w:trHeight w:val="166"/>
        </w:trPr>
        <w:tc>
          <w:tcPr>
            <w:tcW w:w="4200" w:type="dxa"/>
            <w:vAlign w:val="bottom"/>
          </w:tcPr>
          <w:p>
            <w:pPr>
              <w:ind w:left="20"/>
              <w:spacing w:after="0"/>
              <w:rPr>
                <w:sz w:val="20"/>
                <w:szCs w:val="20"/>
                <w:color w:val="auto"/>
              </w:rPr>
            </w:pPr>
            <w:r>
              <w:rPr>
                <w:rFonts w:ascii="Arial" w:cs="Arial" w:eastAsia="Arial" w:hAnsi="Arial"/>
                <w:sz w:val="13"/>
                <w:szCs w:val="13"/>
                <w:i w:val="1"/>
                <w:iCs w:val="1"/>
                <w:color w:val="auto"/>
              </w:rPr>
              <w:t>(Dollars in millions)</w:t>
            </w: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209"/>
        </w:trPr>
        <w:tc>
          <w:tcPr>
            <w:tcW w:w="420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color w:val="auto"/>
              </w:rPr>
              <w:t>Years ended December 31,</w:t>
            </w: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r>
      <w:tr>
        <w:trPr>
          <w:trHeight w:val="208"/>
        </w:trPr>
        <w:tc>
          <w:tcPr>
            <w:tcW w:w="420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88"/>
              <w:spacing w:after="0"/>
              <w:rPr>
                <w:sz w:val="20"/>
                <w:szCs w:val="20"/>
                <w:color w:val="auto"/>
              </w:rPr>
            </w:pPr>
            <w:r>
              <w:rPr>
                <w:rFonts w:ascii="Arial" w:cs="Arial" w:eastAsia="Arial" w:hAnsi="Arial"/>
                <w:sz w:val="13"/>
                <w:szCs w:val="13"/>
                <w:color w:val="auto"/>
              </w:rPr>
              <w:t>2008</w:t>
            </w:r>
          </w:p>
        </w:tc>
        <w:tc>
          <w:tcPr>
            <w:tcW w:w="5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608"/>
              <w:spacing w:after="0"/>
              <w:rPr>
                <w:sz w:val="20"/>
                <w:szCs w:val="20"/>
                <w:color w:val="auto"/>
              </w:rPr>
            </w:pPr>
            <w:r>
              <w:rPr>
                <w:rFonts w:ascii="Arial" w:cs="Arial" w:eastAsia="Arial" w:hAnsi="Arial"/>
                <w:sz w:val="13"/>
                <w:szCs w:val="13"/>
                <w:color w:val="auto"/>
              </w:rPr>
              <w:t>2007</w:t>
            </w: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468"/>
              <w:spacing w:after="0"/>
              <w:rPr>
                <w:sz w:val="20"/>
                <w:szCs w:val="20"/>
                <w:color w:val="auto"/>
              </w:rPr>
            </w:pPr>
            <w:r>
              <w:rPr>
                <w:rFonts w:ascii="Arial" w:cs="Arial" w:eastAsia="Arial" w:hAnsi="Arial"/>
                <w:sz w:val="13"/>
                <w:szCs w:val="13"/>
                <w:color w:val="auto"/>
              </w:rPr>
              <w:t>2006</w:t>
            </w:r>
          </w:p>
        </w:tc>
      </w:tr>
      <w:tr>
        <w:trPr>
          <w:trHeight w:val="429"/>
        </w:trPr>
        <w:tc>
          <w:tcPr>
            <w:tcW w:w="4200" w:type="dxa"/>
            <w:vAlign w:val="bottom"/>
          </w:tcPr>
          <w:p>
            <w:pPr>
              <w:ind w:left="20"/>
              <w:spacing w:after="0"/>
              <w:rPr>
                <w:sz w:val="20"/>
                <w:szCs w:val="20"/>
                <w:color w:val="auto"/>
              </w:rPr>
            </w:pPr>
            <w:r>
              <w:rPr>
                <w:rFonts w:ascii="Arial" w:cs="Arial" w:eastAsia="Arial" w:hAnsi="Arial"/>
                <w:sz w:val="14"/>
                <w:szCs w:val="14"/>
                <w:color w:val="auto"/>
              </w:rPr>
              <w:t>Operating revenues</w:t>
            </w:r>
          </w:p>
        </w:tc>
        <w:tc>
          <w:tcPr>
            <w:tcW w:w="4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4,768</w:t>
            </w:r>
          </w:p>
        </w:tc>
        <w:tc>
          <w:tcPr>
            <w:tcW w:w="58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color w:val="auto"/>
              </w:rPr>
              <w:t>4,282</w:t>
            </w:r>
          </w:p>
        </w:tc>
        <w:tc>
          <w:tcPr>
            <w:tcW w:w="2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4,181</w:t>
            </w:r>
          </w:p>
        </w:tc>
      </w:tr>
      <w:tr>
        <w:trPr>
          <w:trHeight w:val="418"/>
        </w:trPr>
        <w:tc>
          <w:tcPr>
            <w:tcW w:w="4200" w:type="dxa"/>
            <w:vAlign w:val="bottom"/>
          </w:tcPr>
          <w:p>
            <w:pPr>
              <w:ind w:left="20"/>
              <w:spacing w:after="0"/>
              <w:rPr>
                <w:sz w:val="20"/>
                <w:szCs w:val="20"/>
                <w:color w:val="auto"/>
              </w:rPr>
            </w:pPr>
            <w:r>
              <w:rPr>
                <w:rFonts w:ascii="Arial" w:cs="Arial" w:eastAsia="Arial" w:hAnsi="Arial"/>
                <w:sz w:val="14"/>
                <w:szCs w:val="14"/>
                <w:color w:val="auto"/>
              </w:rPr>
              <w:t>Operating expenses</w:t>
            </w: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16"/>
        </w:trPr>
        <w:tc>
          <w:tcPr>
            <w:tcW w:w="4200" w:type="dxa"/>
            <w:vAlign w:val="bottom"/>
          </w:tcPr>
          <w:p>
            <w:pPr>
              <w:ind w:left="180"/>
              <w:spacing w:after="0"/>
              <w:rPr>
                <w:sz w:val="20"/>
                <w:szCs w:val="20"/>
                <w:color w:val="auto"/>
              </w:rPr>
            </w:pPr>
            <w:r>
              <w:rPr>
                <w:rFonts w:ascii="Arial" w:cs="Arial" w:eastAsia="Arial" w:hAnsi="Arial"/>
                <w:sz w:val="14"/>
                <w:szCs w:val="14"/>
                <w:color w:val="auto"/>
              </w:rPr>
              <w:t>Cost of natural gas</w:t>
            </w:r>
          </w:p>
        </w:tc>
        <w:tc>
          <w:tcPr>
            <w:tcW w:w="420" w:type="dxa"/>
            <w:vAlign w:val="bottom"/>
          </w:tcPr>
          <w:p>
            <w:pPr>
              <w:spacing w:after="0"/>
              <w:rPr>
                <w:sz w:val="18"/>
                <w:szCs w:val="18"/>
                <w:color w:val="auto"/>
              </w:rPr>
            </w:pPr>
          </w:p>
        </w:tc>
        <w:tc>
          <w:tcPr>
            <w:tcW w:w="760" w:type="dxa"/>
            <w:vAlign w:val="bottom"/>
          </w:tcPr>
          <w:p>
            <w:pPr>
              <w:jc w:val="right"/>
              <w:ind w:right="68"/>
              <w:spacing w:after="0"/>
              <w:rPr>
                <w:sz w:val="20"/>
                <w:szCs w:val="20"/>
                <w:color w:val="auto"/>
              </w:rPr>
            </w:pPr>
            <w:r>
              <w:rPr>
                <w:rFonts w:ascii="Arial" w:cs="Arial" w:eastAsia="Arial" w:hAnsi="Arial"/>
                <w:sz w:val="14"/>
                <w:szCs w:val="14"/>
                <w:color w:val="auto"/>
              </w:rPr>
              <w:t>2,841</w:t>
            </w:r>
          </w:p>
        </w:tc>
        <w:tc>
          <w:tcPr>
            <w:tcW w:w="580" w:type="dxa"/>
            <w:vAlign w:val="bottom"/>
          </w:tcPr>
          <w:p>
            <w:pPr>
              <w:spacing w:after="0"/>
              <w:rPr>
                <w:sz w:val="18"/>
                <w:szCs w:val="18"/>
                <w:color w:val="auto"/>
              </w:rPr>
            </w:pPr>
          </w:p>
        </w:tc>
        <w:tc>
          <w:tcPr>
            <w:tcW w:w="1100" w:type="dxa"/>
            <w:vAlign w:val="bottom"/>
          </w:tcPr>
          <w:p>
            <w:pPr>
              <w:jc w:val="right"/>
              <w:ind w:right="388"/>
              <w:spacing w:after="0"/>
              <w:rPr>
                <w:sz w:val="20"/>
                <w:szCs w:val="20"/>
                <w:color w:val="auto"/>
              </w:rPr>
            </w:pPr>
            <w:r>
              <w:rPr>
                <w:rFonts w:ascii="Arial" w:cs="Arial" w:eastAsia="Arial" w:hAnsi="Arial"/>
                <w:sz w:val="14"/>
                <w:szCs w:val="14"/>
                <w:color w:val="auto"/>
              </w:rPr>
              <w:t>2,420</w:t>
            </w:r>
          </w:p>
        </w:tc>
        <w:tc>
          <w:tcPr>
            <w:tcW w:w="260" w:type="dxa"/>
            <w:vAlign w:val="bottom"/>
          </w:tcPr>
          <w:p>
            <w:pPr>
              <w:spacing w:after="0"/>
              <w:rPr>
                <w:sz w:val="18"/>
                <w:szCs w:val="18"/>
                <w:color w:val="auto"/>
              </w:rPr>
            </w:pPr>
          </w:p>
        </w:tc>
        <w:tc>
          <w:tcPr>
            <w:tcW w:w="940" w:type="dxa"/>
            <w:vAlign w:val="bottom"/>
          </w:tcPr>
          <w:p>
            <w:pPr>
              <w:jc w:val="right"/>
              <w:ind w:right="228"/>
              <w:spacing w:after="0"/>
              <w:rPr>
                <w:sz w:val="20"/>
                <w:szCs w:val="20"/>
                <w:color w:val="auto"/>
              </w:rPr>
            </w:pPr>
            <w:r>
              <w:rPr>
                <w:rFonts w:ascii="Arial" w:cs="Arial" w:eastAsia="Arial" w:hAnsi="Arial"/>
                <w:sz w:val="14"/>
                <w:szCs w:val="14"/>
                <w:color w:val="auto"/>
              </w:rPr>
              <w:t>2,410</w:t>
            </w:r>
          </w:p>
        </w:tc>
      </w:tr>
      <w:tr>
        <w:trPr>
          <w:trHeight w:val="216"/>
        </w:trPr>
        <w:tc>
          <w:tcPr>
            <w:tcW w:w="4200" w:type="dxa"/>
            <w:vAlign w:val="bottom"/>
          </w:tcPr>
          <w:p>
            <w:pPr>
              <w:ind w:left="180"/>
              <w:spacing w:after="0"/>
              <w:rPr>
                <w:sz w:val="20"/>
                <w:szCs w:val="20"/>
                <w:color w:val="auto"/>
              </w:rPr>
            </w:pPr>
            <w:r>
              <w:rPr>
                <w:rFonts w:ascii="Arial" w:cs="Arial" w:eastAsia="Arial" w:hAnsi="Arial"/>
                <w:sz w:val="14"/>
                <w:szCs w:val="14"/>
                <w:color w:val="auto"/>
              </w:rPr>
              <w:t>Operation and maintenance</w:t>
            </w:r>
          </w:p>
        </w:tc>
        <w:tc>
          <w:tcPr>
            <w:tcW w:w="420" w:type="dxa"/>
            <w:vAlign w:val="bottom"/>
          </w:tcPr>
          <w:p>
            <w:pPr>
              <w:spacing w:after="0"/>
              <w:rPr>
                <w:sz w:val="18"/>
                <w:szCs w:val="18"/>
                <w:color w:val="auto"/>
              </w:rPr>
            </w:pPr>
          </w:p>
        </w:tc>
        <w:tc>
          <w:tcPr>
            <w:tcW w:w="760" w:type="dxa"/>
            <w:vAlign w:val="bottom"/>
          </w:tcPr>
          <w:p>
            <w:pPr>
              <w:jc w:val="right"/>
              <w:ind w:right="68"/>
              <w:spacing w:after="0"/>
              <w:rPr>
                <w:sz w:val="20"/>
                <w:szCs w:val="20"/>
                <w:color w:val="auto"/>
              </w:rPr>
            </w:pPr>
            <w:r>
              <w:rPr>
                <w:rFonts w:ascii="Arial" w:cs="Arial" w:eastAsia="Arial" w:hAnsi="Arial"/>
                <w:sz w:val="14"/>
                <w:szCs w:val="14"/>
                <w:color w:val="auto"/>
              </w:rPr>
              <w:t>1,078</w:t>
            </w:r>
          </w:p>
        </w:tc>
        <w:tc>
          <w:tcPr>
            <w:tcW w:w="580" w:type="dxa"/>
            <w:vAlign w:val="bottom"/>
          </w:tcPr>
          <w:p>
            <w:pPr>
              <w:spacing w:after="0"/>
              <w:rPr>
                <w:sz w:val="18"/>
                <w:szCs w:val="18"/>
                <w:color w:val="auto"/>
              </w:rPr>
            </w:pPr>
          </w:p>
        </w:tc>
        <w:tc>
          <w:tcPr>
            <w:tcW w:w="1100" w:type="dxa"/>
            <w:vAlign w:val="bottom"/>
          </w:tcPr>
          <w:p>
            <w:pPr>
              <w:jc w:val="right"/>
              <w:ind w:right="388"/>
              <w:spacing w:after="0"/>
              <w:rPr>
                <w:sz w:val="20"/>
                <w:szCs w:val="20"/>
                <w:color w:val="auto"/>
              </w:rPr>
            </w:pPr>
            <w:r>
              <w:rPr>
                <w:rFonts w:ascii="Arial" w:cs="Arial" w:eastAsia="Arial" w:hAnsi="Arial"/>
                <w:sz w:val="14"/>
                <w:szCs w:val="14"/>
                <w:color w:val="auto"/>
              </w:rPr>
              <w:t>1,021</w:t>
            </w:r>
          </w:p>
        </w:tc>
        <w:tc>
          <w:tcPr>
            <w:tcW w:w="260" w:type="dxa"/>
            <w:vAlign w:val="bottom"/>
          </w:tcPr>
          <w:p>
            <w:pPr>
              <w:spacing w:after="0"/>
              <w:rPr>
                <w:sz w:val="18"/>
                <w:szCs w:val="18"/>
                <w:color w:val="auto"/>
              </w:rPr>
            </w:pPr>
          </w:p>
        </w:tc>
        <w:tc>
          <w:tcPr>
            <w:tcW w:w="940" w:type="dxa"/>
            <w:vAlign w:val="bottom"/>
          </w:tcPr>
          <w:p>
            <w:pPr>
              <w:jc w:val="right"/>
              <w:ind w:right="228"/>
              <w:spacing w:after="0"/>
              <w:rPr>
                <w:sz w:val="20"/>
                <w:szCs w:val="20"/>
                <w:color w:val="auto"/>
              </w:rPr>
            </w:pPr>
            <w:r>
              <w:rPr>
                <w:rFonts w:ascii="Arial" w:cs="Arial" w:eastAsia="Arial" w:hAnsi="Arial"/>
                <w:sz w:val="14"/>
                <w:szCs w:val="14"/>
                <w:color w:val="auto"/>
              </w:rPr>
              <w:t>949</w:t>
            </w:r>
          </w:p>
        </w:tc>
      </w:tr>
      <w:tr>
        <w:trPr>
          <w:trHeight w:val="216"/>
        </w:trPr>
        <w:tc>
          <w:tcPr>
            <w:tcW w:w="4200" w:type="dxa"/>
            <w:vAlign w:val="bottom"/>
          </w:tcPr>
          <w:p>
            <w:pPr>
              <w:ind w:left="180"/>
              <w:spacing w:after="0"/>
              <w:rPr>
                <w:sz w:val="20"/>
                <w:szCs w:val="20"/>
                <w:color w:val="auto"/>
              </w:rPr>
            </w:pPr>
            <w:r>
              <w:rPr>
                <w:rFonts w:ascii="Arial" w:cs="Arial" w:eastAsia="Arial" w:hAnsi="Arial"/>
                <w:sz w:val="14"/>
                <w:szCs w:val="14"/>
                <w:color w:val="auto"/>
              </w:rPr>
              <w:t>Depreciation</w:t>
            </w:r>
          </w:p>
        </w:tc>
        <w:tc>
          <w:tcPr>
            <w:tcW w:w="420" w:type="dxa"/>
            <w:vAlign w:val="bottom"/>
          </w:tcPr>
          <w:p>
            <w:pPr>
              <w:spacing w:after="0"/>
              <w:rPr>
                <w:sz w:val="18"/>
                <w:szCs w:val="18"/>
                <w:color w:val="auto"/>
              </w:rPr>
            </w:pPr>
          </w:p>
        </w:tc>
        <w:tc>
          <w:tcPr>
            <w:tcW w:w="760" w:type="dxa"/>
            <w:vAlign w:val="bottom"/>
          </w:tcPr>
          <w:p>
            <w:pPr>
              <w:jc w:val="right"/>
              <w:ind w:right="68"/>
              <w:spacing w:after="0"/>
              <w:rPr>
                <w:sz w:val="20"/>
                <w:szCs w:val="20"/>
                <w:color w:val="auto"/>
              </w:rPr>
            </w:pPr>
            <w:r>
              <w:rPr>
                <w:rFonts w:ascii="Arial" w:cs="Arial" w:eastAsia="Arial" w:hAnsi="Arial"/>
                <w:sz w:val="14"/>
                <w:szCs w:val="14"/>
                <w:color w:val="auto"/>
              </w:rPr>
              <w:t>280</w:t>
            </w:r>
          </w:p>
        </w:tc>
        <w:tc>
          <w:tcPr>
            <w:tcW w:w="580" w:type="dxa"/>
            <w:vAlign w:val="bottom"/>
          </w:tcPr>
          <w:p>
            <w:pPr>
              <w:spacing w:after="0"/>
              <w:rPr>
                <w:sz w:val="18"/>
                <w:szCs w:val="18"/>
                <w:color w:val="auto"/>
              </w:rPr>
            </w:pPr>
          </w:p>
        </w:tc>
        <w:tc>
          <w:tcPr>
            <w:tcW w:w="1100" w:type="dxa"/>
            <w:vAlign w:val="bottom"/>
          </w:tcPr>
          <w:p>
            <w:pPr>
              <w:jc w:val="right"/>
              <w:ind w:right="388"/>
              <w:spacing w:after="0"/>
              <w:rPr>
                <w:sz w:val="20"/>
                <w:szCs w:val="20"/>
                <w:color w:val="auto"/>
              </w:rPr>
            </w:pPr>
            <w:r>
              <w:rPr>
                <w:rFonts w:ascii="Arial" w:cs="Arial" w:eastAsia="Arial" w:hAnsi="Arial"/>
                <w:sz w:val="14"/>
                <w:szCs w:val="14"/>
                <w:color w:val="auto"/>
              </w:rPr>
              <w:t>281</w:t>
            </w:r>
          </w:p>
        </w:tc>
        <w:tc>
          <w:tcPr>
            <w:tcW w:w="260" w:type="dxa"/>
            <w:vAlign w:val="bottom"/>
          </w:tcPr>
          <w:p>
            <w:pPr>
              <w:spacing w:after="0"/>
              <w:rPr>
                <w:sz w:val="18"/>
                <w:szCs w:val="18"/>
                <w:color w:val="auto"/>
              </w:rPr>
            </w:pPr>
          </w:p>
        </w:tc>
        <w:tc>
          <w:tcPr>
            <w:tcW w:w="940" w:type="dxa"/>
            <w:vAlign w:val="bottom"/>
          </w:tcPr>
          <w:p>
            <w:pPr>
              <w:jc w:val="right"/>
              <w:ind w:right="228"/>
              <w:spacing w:after="0"/>
              <w:rPr>
                <w:sz w:val="20"/>
                <w:szCs w:val="20"/>
                <w:color w:val="auto"/>
              </w:rPr>
            </w:pPr>
            <w:r>
              <w:rPr>
                <w:rFonts w:ascii="Arial" w:cs="Arial" w:eastAsia="Arial" w:hAnsi="Arial"/>
                <w:sz w:val="14"/>
                <w:szCs w:val="14"/>
                <w:color w:val="auto"/>
              </w:rPr>
              <w:t>267</w:t>
            </w:r>
          </w:p>
        </w:tc>
      </w:tr>
      <w:tr>
        <w:trPr>
          <w:trHeight w:val="216"/>
        </w:trPr>
        <w:tc>
          <w:tcPr>
            <w:tcW w:w="4200" w:type="dxa"/>
            <w:vAlign w:val="bottom"/>
          </w:tcPr>
          <w:p>
            <w:pPr>
              <w:ind w:left="180"/>
              <w:spacing w:after="0"/>
              <w:rPr>
                <w:sz w:val="20"/>
                <w:szCs w:val="20"/>
                <w:color w:val="auto"/>
              </w:rPr>
            </w:pPr>
            <w:r>
              <w:rPr>
                <w:rFonts w:ascii="Arial" w:cs="Arial" w:eastAsia="Arial" w:hAnsi="Arial"/>
                <w:sz w:val="14"/>
                <w:szCs w:val="14"/>
                <w:color w:val="auto"/>
              </w:rPr>
              <w:t>Franchise fees and other taxes</w:t>
            </w:r>
          </w:p>
        </w:tc>
        <w:tc>
          <w:tcPr>
            <w:tcW w:w="420" w:type="dxa"/>
            <w:vAlign w:val="bottom"/>
          </w:tcPr>
          <w:p>
            <w:pPr>
              <w:spacing w:after="0"/>
              <w:rPr>
                <w:sz w:val="18"/>
                <w:szCs w:val="18"/>
                <w:color w:val="auto"/>
              </w:rPr>
            </w:pPr>
          </w:p>
        </w:tc>
        <w:tc>
          <w:tcPr>
            <w:tcW w:w="760" w:type="dxa"/>
            <w:vAlign w:val="bottom"/>
          </w:tcPr>
          <w:p>
            <w:pPr>
              <w:jc w:val="right"/>
              <w:ind w:right="68"/>
              <w:spacing w:after="0"/>
              <w:rPr>
                <w:sz w:val="20"/>
                <w:szCs w:val="20"/>
                <w:color w:val="auto"/>
              </w:rPr>
            </w:pPr>
            <w:r>
              <w:rPr>
                <w:rFonts w:ascii="Arial" w:cs="Arial" w:eastAsia="Arial" w:hAnsi="Arial"/>
                <w:sz w:val="14"/>
                <w:szCs w:val="14"/>
                <w:color w:val="auto"/>
              </w:rPr>
              <w:t>135</w:t>
            </w:r>
          </w:p>
        </w:tc>
        <w:tc>
          <w:tcPr>
            <w:tcW w:w="580" w:type="dxa"/>
            <w:vAlign w:val="bottom"/>
          </w:tcPr>
          <w:p>
            <w:pPr>
              <w:spacing w:after="0"/>
              <w:rPr>
                <w:sz w:val="18"/>
                <w:szCs w:val="18"/>
                <w:color w:val="auto"/>
              </w:rPr>
            </w:pPr>
          </w:p>
        </w:tc>
        <w:tc>
          <w:tcPr>
            <w:tcW w:w="1100" w:type="dxa"/>
            <w:vAlign w:val="bottom"/>
          </w:tcPr>
          <w:p>
            <w:pPr>
              <w:jc w:val="right"/>
              <w:ind w:right="388"/>
              <w:spacing w:after="0"/>
              <w:rPr>
                <w:sz w:val="20"/>
                <w:szCs w:val="20"/>
                <w:color w:val="auto"/>
              </w:rPr>
            </w:pPr>
            <w:r>
              <w:rPr>
                <w:rFonts w:ascii="Arial" w:cs="Arial" w:eastAsia="Arial" w:hAnsi="Arial"/>
                <w:sz w:val="14"/>
                <w:szCs w:val="14"/>
                <w:color w:val="auto"/>
              </w:rPr>
              <w:t>125</w:t>
            </w:r>
          </w:p>
        </w:tc>
        <w:tc>
          <w:tcPr>
            <w:tcW w:w="260" w:type="dxa"/>
            <w:vAlign w:val="bottom"/>
          </w:tcPr>
          <w:p>
            <w:pPr>
              <w:spacing w:after="0"/>
              <w:rPr>
                <w:sz w:val="18"/>
                <w:szCs w:val="18"/>
                <w:color w:val="auto"/>
              </w:rPr>
            </w:pPr>
          </w:p>
        </w:tc>
        <w:tc>
          <w:tcPr>
            <w:tcW w:w="940" w:type="dxa"/>
            <w:vAlign w:val="bottom"/>
          </w:tcPr>
          <w:p>
            <w:pPr>
              <w:jc w:val="right"/>
              <w:ind w:right="228"/>
              <w:spacing w:after="0"/>
              <w:rPr>
                <w:sz w:val="20"/>
                <w:szCs w:val="20"/>
                <w:color w:val="auto"/>
              </w:rPr>
            </w:pPr>
            <w:r>
              <w:rPr>
                <w:rFonts w:ascii="Arial" w:cs="Arial" w:eastAsia="Arial" w:hAnsi="Arial"/>
                <w:sz w:val="14"/>
                <w:szCs w:val="14"/>
                <w:color w:val="auto"/>
              </w:rPr>
              <w:t>121</w:t>
            </w:r>
          </w:p>
        </w:tc>
      </w:tr>
      <w:tr>
        <w:trPr>
          <w:trHeight w:val="222"/>
        </w:trPr>
        <w:tc>
          <w:tcPr>
            <w:tcW w:w="4200" w:type="dxa"/>
            <w:vAlign w:val="bottom"/>
          </w:tcPr>
          <w:p>
            <w:pPr>
              <w:ind w:left="180"/>
              <w:spacing w:after="0"/>
              <w:rPr>
                <w:sz w:val="20"/>
                <w:szCs w:val="20"/>
                <w:color w:val="auto"/>
              </w:rPr>
            </w:pPr>
            <w:r>
              <w:rPr>
                <w:rFonts w:ascii="Arial" w:cs="Arial" w:eastAsia="Arial" w:hAnsi="Arial"/>
                <w:sz w:val="14"/>
                <w:szCs w:val="14"/>
                <w:color w:val="auto"/>
              </w:rPr>
              <w:t>Gains on sale of assets</w:t>
            </w:r>
          </w:p>
        </w:tc>
        <w:tc>
          <w:tcPr>
            <w:tcW w:w="4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rPr>
              <w:t>(2 )</w:t>
            </w: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(5 )</w:t>
            </w:r>
          </w:p>
        </w:tc>
      </w:tr>
      <w:tr>
        <w:trPr>
          <w:trHeight w:val="208"/>
        </w:trPr>
        <w:tc>
          <w:tcPr>
            <w:tcW w:w="4200" w:type="dxa"/>
            <w:vAlign w:val="bottom"/>
          </w:tcPr>
          <w:p>
            <w:pPr>
              <w:ind w:left="420"/>
              <w:spacing w:after="0"/>
              <w:rPr>
                <w:sz w:val="20"/>
                <w:szCs w:val="20"/>
                <w:color w:val="auto"/>
              </w:rPr>
            </w:pPr>
            <w:r>
              <w:rPr>
                <w:rFonts w:ascii="Arial" w:cs="Arial" w:eastAsia="Arial" w:hAnsi="Arial"/>
                <w:sz w:val="14"/>
                <w:szCs w:val="14"/>
                <w:color w:val="auto"/>
              </w:rPr>
              <w:t>Total operating expenses</w:t>
            </w:r>
          </w:p>
        </w:tc>
        <w:tc>
          <w:tcPr>
            <w:tcW w:w="4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4,334</w:t>
            </w:r>
          </w:p>
        </w:tc>
        <w:tc>
          <w:tcPr>
            <w:tcW w:w="5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color w:val="auto"/>
              </w:rPr>
              <w:t>3,845</w:t>
            </w: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3,742</w:t>
            </w:r>
          </w:p>
        </w:tc>
      </w:tr>
      <w:tr>
        <w:trPr>
          <w:trHeight w:val="418"/>
        </w:trPr>
        <w:tc>
          <w:tcPr>
            <w:tcW w:w="4200" w:type="dxa"/>
            <w:vAlign w:val="bottom"/>
          </w:tcPr>
          <w:p>
            <w:pPr>
              <w:ind w:left="20"/>
              <w:spacing w:after="0"/>
              <w:rPr>
                <w:sz w:val="20"/>
                <w:szCs w:val="20"/>
                <w:color w:val="auto"/>
              </w:rPr>
            </w:pPr>
            <w:r>
              <w:rPr>
                <w:rFonts w:ascii="Arial" w:cs="Arial" w:eastAsia="Arial" w:hAnsi="Arial"/>
                <w:sz w:val="14"/>
                <w:szCs w:val="14"/>
                <w:color w:val="auto"/>
              </w:rPr>
              <w:t>Operating income</w:t>
            </w:r>
          </w:p>
        </w:tc>
        <w:tc>
          <w:tcPr>
            <w:tcW w:w="420" w:type="dxa"/>
            <w:vAlign w:val="bottom"/>
          </w:tcPr>
          <w:p>
            <w:pPr>
              <w:spacing w:after="0"/>
              <w:rPr>
                <w:sz w:val="24"/>
                <w:szCs w:val="24"/>
                <w:color w:val="auto"/>
              </w:rPr>
            </w:pPr>
          </w:p>
        </w:tc>
        <w:tc>
          <w:tcPr>
            <w:tcW w:w="760" w:type="dxa"/>
            <w:vAlign w:val="bottom"/>
          </w:tcPr>
          <w:p>
            <w:pPr>
              <w:jc w:val="right"/>
              <w:ind w:right="68"/>
              <w:spacing w:after="0"/>
              <w:rPr>
                <w:sz w:val="20"/>
                <w:szCs w:val="20"/>
                <w:color w:val="auto"/>
              </w:rPr>
            </w:pPr>
            <w:r>
              <w:rPr>
                <w:rFonts w:ascii="Arial" w:cs="Arial" w:eastAsia="Arial" w:hAnsi="Arial"/>
                <w:sz w:val="14"/>
                <w:szCs w:val="14"/>
                <w:color w:val="auto"/>
              </w:rPr>
              <w:t>434</w:t>
            </w:r>
          </w:p>
        </w:tc>
        <w:tc>
          <w:tcPr>
            <w:tcW w:w="580" w:type="dxa"/>
            <w:vAlign w:val="bottom"/>
          </w:tcPr>
          <w:p>
            <w:pPr>
              <w:spacing w:after="0"/>
              <w:rPr>
                <w:sz w:val="24"/>
                <w:szCs w:val="24"/>
                <w:color w:val="auto"/>
              </w:rPr>
            </w:pPr>
          </w:p>
        </w:tc>
        <w:tc>
          <w:tcPr>
            <w:tcW w:w="1100" w:type="dxa"/>
            <w:vAlign w:val="bottom"/>
          </w:tcPr>
          <w:p>
            <w:pPr>
              <w:jc w:val="right"/>
              <w:ind w:right="388"/>
              <w:spacing w:after="0"/>
              <w:rPr>
                <w:sz w:val="20"/>
                <w:szCs w:val="20"/>
                <w:color w:val="auto"/>
              </w:rPr>
            </w:pPr>
            <w:r>
              <w:rPr>
                <w:rFonts w:ascii="Arial" w:cs="Arial" w:eastAsia="Arial" w:hAnsi="Arial"/>
                <w:sz w:val="14"/>
                <w:szCs w:val="14"/>
                <w:color w:val="auto"/>
              </w:rPr>
              <w:t>437</w:t>
            </w:r>
          </w:p>
        </w:tc>
        <w:tc>
          <w:tcPr>
            <w:tcW w:w="260" w:type="dxa"/>
            <w:vAlign w:val="bottom"/>
          </w:tcPr>
          <w:p>
            <w:pPr>
              <w:spacing w:after="0"/>
              <w:rPr>
                <w:sz w:val="24"/>
                <w:szCs w:val="24"/>
                <w:color w:val="auto"/>
              </w:rPr>
            </w:pPr>
          </w:p>
        </w:tc>
        <w:tc>
          <w:tcPr>
            <w:tcW w:w="940" w:type="dxa"/>
            <w:vAlign w:val="bottom"/>
          </w:tcPr>
          <w:p>
            <w:pPr>
              <w:jc w:val="right"/>
              <w:ind w:right="228"/>
              <w:spacing w:after="0"/>
              <w:rPr>
                <w:sz w:val="20"/>
                <w:szCs w:val="20"/>
                <w:color w:val="auto"/>
              </w:rPr>
            </w:pPr>
            <w:r>
              <w:rPr>
                <w:rFonts w:ascii="Arial" w:cs="Arial" w:eastAsia="Arial" w:hAnsi="Arial"/>
                <w:sz w:val="14"/>
                <w:szCs w:val="14"/>
                <w:color w:val="auto"/>
              </w:rPr>
              <w:t>439</w:t>
            </w:r>
          </w:p>
        </w:tc>
      </w:tr>
      <w:tr>
        <w:trPr>
          <w:trHeight w:val="432"/>
        </w:trPr>
        <w:tc>
          <w:tcPr>
            <w:tcW w:w="4200" w:type="dxa"/>
            <w:vAlign w:val="bottom"/>
          </w:tcPr>
          <w:p>
            <w:pPr>
              <w:ind w:left="20"/>
              <w:spacing w:after="0"/>
              <w:rPr>
                <w:sz w:val="20"/>
                <w:szCs w:val="20"/>
                <w:color w:val="auto"/>
              </w:rPr>
            </w:pPr>
            <w:r>
              <w:rPr>
                <w:rFonts w:ascii="Arial" w:cs="Arial" w:eastAsia="Arial" w:hAnsi="Arial"/>
                <w:sz w:val="14"/>
                <w:szCs w:val="14"/>
                <w:color w:val="auto"/>
              </w:rPr>
              <w:t>Other income (expense), net</w:t>
            </w:r>
          </w:p>
        </w:tc>
        <w:tc>
          <w:tcPr>
            <w:tcW w:w="420" w:type="dxa"/>
            <w:vAlign w:val="bottom"/>
          </w:tcPr>
          <w:p>
            <w:pPr>
              <w:spacing w:after="0"/>
              <w:rPr>
                <w:sz w:val="24"/>
                <w:szCs w:val="24"/>
                <w:color w:val="auto"/>
              </w:rPr>
            </w:pPr>
          </w:p>
        </w:tc>
        <w:tc>
          <w:tcPr>
            <w:tcW w:w="760" w:type="dxa"/>
            <w:vAlign w:val="bottom"/>
          </w:tcPr>
          <w:p>
            <w:pPr>
              <w:jc w:val="right"/>
              <w:ind w:right="68"/>
              <w:spacing w:after="0"/>
              <w:rPr>
                <w:sz w:val="20"/>
                <w:szCs w:val="20"/>
                <w:color w:val="auto"/>
              </w:rPr>
            </w:pPr>
            <w:r>
              <w:rPr>
                <w:rFonts w:ascii="Arial" w:cs="Arial" w:eastAsia="Arial" w:hAnsi="Arial"/>
                <w:sz w:val="14"/>
                <w:szCs w:val="14"/>
                <w:color w:val="auto"/>
              </w:rPr>
              <w:t>2</w:t>
            </w:r>
          </w:p>
        </w:tc>
        <w:tc>
          <w:tcPr>
            <w:tcW w:w="580" w:type="dxa"/>
            <w:vAlign w:val="bottom"/>
          </w:tcPr>
          <w:p>
            <w:pPr>
              <w:spacing w:after="0"/>
              <w:rPr>
                <w:sz w:val="24"/>
                <w:szCs w:val="24"/>
                <w:color w:val="auto"/>
              </w:rPr>
            </w:pPr>
          </w:p>
        </w:tc>
        <w:tc>
          <w:tcPr>
            <w:tcW w:w="1100" w:type="dxa"/>
            <w:vAlign w:val="bottom"/>
          </w:tcPr>
          <w:p>
            <w:pPr>
              <w:jc w:val="right"/>
              <w:ind w:right="328"/>
              <w:spacing w:after="0"/>
              <w:rPr>
                <w:sz w:val="20"/>
                <w:szCs w:val="20"/>
                <w:color w:val="auto"/>
              </w:rPr>
            </w:pPr>
            <w:r>
              <w:rPr>
                <w:rFonts w:ascii="Arial" w:cs="Arial" w:eastAsia="Arial" w:hAnsi="Arial"/>
                <w:sz w:val="14"/>
                <w:szCs w:val="14"/>
                <w:color w:val="auto"/>
              </w:rPr>
              <w:t>(3 )</w:t>
            </w:r>
          </w:p>
        </w:tc>
        <w:tc>
          <w:tcPr>
            <w:tcW w:w="260" w:type="dxa"/>
            <w:vAlign w:val="bottom"/>
          </w:tcPr>
          <w:p>
            <w:pPr>
              <w:spacing w:after="0"/>
              <w:rPr>
                <w:sz w:val="24"/>
                <w:szCs w:val="24"/>
                <w:color w:val="auto"/>
              </w:rPr>
            </w:pPr>
          </w:p>
        </w:tc>
        <w:tc>
          <w:tcPr>
            <w:tcW w:w="940" w:type="dxa"/>
            <w:vAlign w:val="bottom"/>
          </w:tcPr>
          <w:p>
            <w:pPr>
              <w:jc w:val="right"/>
              <w:ind w:right="168"/>
              <w:spacing w:after="0"/>
              <w:rPr>
                <w:sz w:val="20"/>
                <w:szCs w:val="20"/>
                <w:color w:val="auto"/>
              </w:rPr>
            </w:pPr>
            <w:r>
              <w:rPr>
                <w:rFonts w:ascii="Arial" w:cs="Arial" w:eastAsia="Arial" w:hAnsi="Arial"/>
                <w:sz w:val="14"/>
                <w:szCs w:val="14"/>
                <w:color w:val="auto"/>
              </w:rPr>
              <w:t>(1 )</w:t>
            </w:r>
          </w:p>
        </w:tc>
      </w:tr>
      <w:tr>
        <w:trPr>
          <w:trHeight w:val="216"/>
        </w:trPr>
        <w:tc>
          <w:tcPr>
            <w:tcW w:w="4200" w:type="dxa"/>
            <w:vAlign w:val="bottom"/>
          </w:tcPr>
          <w:p>
            <w:pPr>
              <w:ind w:left="20"/>
              <w:spacing w:after="0"/>
              <w:rPr>
                <w:sz w:val="20"/>
                <w:szCs w:val="20"/>
                <w:color w:val="auto"/>
              </w:rPr>
            </w:pPr>
            <w:r>
              <w:rPr>
                <w:rFonts w:ascii="Arial" w:cs="Arial" w:eastAsia="Arial" w:hAnsi="Arial"/>
                <w:sz w:val="14"/>
                <w:szCs w:val="14"/>
                <w:color w:val="auto"/>
              </w:rPr>
              <w:t>Interest income</w:t>
            </w:r>
          </w:p>
        </w:tc>
        <w:tc>
          <w:tcPr>
            <w:tcW w:w="420" w:type="dxa"/>
            <w:vAlign w:val="bottom"/>
          </w:tcPr>
          <w:p>
            <w:pPr>
              <w:spacing w:after="0"/>
              <w:rPr>
                <w:sz w:val="18"/>
                <w:szCs w:val="18"/>
                <w:color w:val="auto"/>
              </w:rPr>
            </w:pPr>
          </w:p>
        </w:tc>
        <w:tc>
          <w:tcPr>
            <w:tcW w:w="760" w:type="dxa"/>
            <w:vAlign w:val="bottom"/>
          </w:tcPr>
          <w:p>
            <w:pPr>
              <w:jc w:val="right"/>
              <w:ind w:right="68"/>
              <w:spacing w:after="0"/>
              <w:rPr>
                <w:sz w:val="20"/>
                <w:szCs w:val="20"/>
                <w:color w:val="auto"/>
              </w:rPr>
            </w:pPr>
            <w:r>
              <w:rPr>
                <w:rFonts w:ascii="Arial" w:cs="Arial" w:eastAsia="Arial" w:hAnsi="Arial"/>
                <w:sz w:val="14"/>
                <w:szCs w:val="14"/>
                <w:color w:val="auto"/>
              </w:rPr>
              <w:t>11</w:t>
            </w:r>
          </w:p>
        </w:tc>
        <w:tc>
          <w:tcPr>
            <w:tcW w:w="580" w:type="dxa"/>
            <w:vAlign w:val="bottom"/>
          </w:tcPr>
          <w:p>
            <w:pPr>
              <w:spacing w:after="0"/>
              <w:rPr>
                <w:sz w:val="18"/>
                <w:szCs w:val="18"/>
                <w:color w:val="auto"/>
              </w:rPr>
            </w:pPr>
          </w:p>
        </w:tc>
        <w:tc>
          <w:tcPr>
            <w:tcW w:w="1100" w:type="dxa"/>
            <w:vAlign w:val="bottom"/>
          </w:tcPr>
          <w:p>
            <w:pPr>
              <w:jc w:val="right"/>
              <w:ind w:right="388"/>
              <w:spacing w:after="0"/>
              <w:rPr>
                <w:sz w:val="20"/>
                <w:szCs w:val="20"/>
                <w:color w:val="auto"/>
              </w:rPr>
            </w:pPr>
            <w:r>
              <w:rPr>
                <w:rFonts w:ascii="Arial" w:cs="Arial" w:eastAsia="Arial" w:hAnsi="Arial"/>
                <w:sz w:val="14"/>
                <w:szCs w:val="14"/>
                <w:color w:val="auto"/>
              </w:rPr>
              <w:t>27</w:t>
            </w:r>
          </w:p>
        </w:tc>
        <w:tc>
          <w:tcPr>
            <w:tcW w:w="260" w:type="dxa"/>
            <w:vAlign w:val="bottom"/>
          </w:tcPr>
          <w:p>
            <w:pPr>
              <w:spacing w:after="0"/>
              <w:rPr>
                <w:sz w:val="18"/>
                <w:szCs w:val="18"/>
                <w:color w:val="auto"/>
              </w:rPr>
            </w:pPr>
          </w:p>
        </w:tc>
        <w:tc>
          <w:tcPr>
            <w:tcW w:w="940" w:type="dxa"/>
            <w:vAlign w:val="bottom"/>
          </w:tcPr>
          <w:p>
            <w:pPr>
              <w:jc w:val="right"/>
              <w:ind w:right="228"/>
              <w:spacing w:after="0"/>
              <w:rPr>
                <w:sz w:val="20"/>
                <w:szCs w:val="20"/>
                <w:color w:val="auto"/>
              </w:rPr>
            </w:pPr>
            <w:r>
              <w:rPr>
                <w:rFonts w:ascii="Arial" w:cs="Arial" w:eastAsia="Arial" w:hAnsi="Arial"/>
                <w:sz w:val="14"/>
                <w:szCs w:val="14"/>
                <w:color w:val="auto"/>
              </w:rPr>
              <w:t>29</w:t>
            </w:r>
          </w:p>
        </w:tc>
      </w:tr>
      <w:tr>
        <w:trPr>
          <w:trHeight w:val="222"/>
        </w:trPr>
        <w:tc>
          <w:tcPr>
            <w:tcW w:w="4200" w:type="dxa"/>
            <w:vAlign w:val="bottom"/>
          </w:tcPr>
          <w:p>
            <w:pPr>
              <w:ind w:left="20"/>
              <w:spacing w:after="0"/>
              <w:rPr>
                <w:sz w:val="20"/>
                <w:szCs w:val="20"/>
                <w:color w:val="auto"/>
              </w:rPr>
            </w:pPr>
            <w:r>
              <w:rPr>
                <w:rFonts w:ascii="Arial" w:cs="Arial" w:eastAsia="Arial" w:hAnsi="Arial"/>
                <w:sz w:val="14"/>
                <w:szCs w:val="14"/>
                <w:color w:val="auto"/>
              </w:rPr>
              <w:t>Interest expense</w:t>
            </w:r>
          </w:p>
        </w:tc>
        <w:tc>
          <w:tcPr>
            <w:tcW w:w="4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(62 )</w:t>
            </w:r>
          </w:p>
        </w:tc>
        <w:tc>
          <w:tcPr>
            <w:tcW w:w="5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rPr>
              <w:t>(70 )</w:t>
            </w: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(70 )</w:t>
            </w:r>
          </w:p>
        </w:tc>
      </w:tr>
      <w:tr>
        <w:trPr>
          <w:trHeight w:val="202"/>
        </w:trPr>
        <w:tc>
          <w:tcPr>
            <w:tcW w:w="4200" w:type="dxa"/>
            <w:vAlign w:val="bottom"/>
          </w:tcPr>
          <w:p>
            <w:pPr>
              <w:ind w:left="20"/>
              <w:spacing w:after="0"/>
              <w:rPr>
                <w:sz w:val="20"/>
                <w:szCs w:val="20"/>
                <w:color w:val="auto"/>
              </w:rPr>
            </w:pPr>
            <w:r>
              <w:rPr>
                <w:rFonts w:ascii="Arial" w:cs="Arial" w:eastAsia="Arial" w:hAnsi="Arial"/>
                <w:sz w:val="14"/>
                <w:szCs w:val="14"/>
                <w:color w:val="auto"/>
              </w:rPr>
              <w:t>Income before income taxes</w:t>
            </w:r>
          </w:p>
        </w:tc>
        <w:tc>
          <w:tcPr>
            <w:tcW w:w="420" w:type="dxa"/>
            <w:vAlign w:val="bottom"/>
          </w:tcPr>
          <w:p>
            <w:pPr>
              <w:spacing w:after="0"/>
              <w:rPr>
                <w:sz w:val="17"/>
                <w:szCs w:val="17"/>
                <w:color w:val="auto"/>
              </w:rPr>
            </w:pPr>
          </w:p>
        </w:tc>
        <w:tc>
          <w:tcPr>
            <w:tcW w:w="760" w:type="dxa"/>
            <w:vAlign w:val="bottom"/>
          </w:tcPr>
          <w:p>
            <w:pPr>
              <w:jc w:val="right"/>
              <w:ind w:right="68"/>
              <w:spacing w:after="0"/>
              <w:rPr>
                <w:sz w:val="20"/>
                <w:szCs w:val="20"/>
                <w:color w:val="auto"/>
              </w:rPr>
            </w:pPr>
            <w:r>
              <w:rPr>
                <w:rFonts w:ascii="Arial" w:cs="Arial" w:eastAsia="Arial" w:hAnsi="Arial"/>
                <w:sz w:val="14"/>
                <w:szCs w:val="14"/>
                <w:color w:val="auto"/>
              </w:rPr>
              <w:t>385</w:t>
            </w:r>
          </w:p>
        </w:tc>
        <w:tc>
          <w:tcPr>
            <w:tcW w:w="580" w:type="dxa"/>
            <w:vAlign w:val="bottom"/>
          </w:tcPr>
          <w:p>
            <w:pPr>
              <w:spacing w:after="0"/>
              <w:rPr>
                <w:sz w:val="17"/>
                <w:szCs w:val="17"/>
                <w:color w:val="auto"/>
              </w:rPr>
            </w:pPr>
          </w:p>
        </w:tc>
        <w:tc>
          <w:tcPr>
            <w:tcW w:w="1100" w:type="dxa"/>
            <w:vAlign w:val="bottom"/>
          </w:tcPr>
          <w:p>
            <w:pPr>
              <w:jc w:val="right"/>
              <w:ind w:right="388"/>
              <w:spacing w:after="0"/>
              <w:rPr>
                <w:sz w:val="20"/>
                <w:szCs w:val="20"/>
                <w:color w:val="auto"/>
              </w:rPr>
            </w:pPr>
            <w:r>
              <w:rPr>
                <w:rFonts w:ascii="Arial" w:cs="Arial" w:eastAsia="Arial" w:hAnsi="Arial"/>
                <w:sz w:val="14"/>
                <w:szCs w:val="14"/>
                <w:color w:val="auto"/>
              </w:rPr>
              <w:t>391</w:t>
            </w:r>
          </w:p>
        </w:tc>
        <w:tc>
          <w:tcPr>
            <w:tcW w:w="260" w:type="dxa"/>
            <w:vAlign w:val="bottom"/>
          </w:tcPr>
          <w:p>
            <w:pPr>
              <w:spacing w:after="0"/>
              <w:rPr>
                <w:sz w:val="17"/>
                <w:szCs w:val="17"/>
                <w:color w:val="auto"/>
              </w:rPr>
            </w:pPr>
          </w:p>
        </w:tc>
        <w:tc>
          <w:tcPr>
            <w:tcW w:w="940" w:type="dxa"/>
            <w:vAlign w:val="bottom"/>
          </w:tcPr>
          <w:p>
            <w:pPr>
              <w:jc w:val="right"/>
              <w:ind w:right="228"/>
              <w:spacing w:after="0"/>
              <w:rPr>
                <w:sz w:val="20"/>
                <w:szCs w:val="20"/>
                <w:color w:val="auto"/>
              </w:rPr>
            </w:pPr>
            <w:r>
              <w:rPr>
                <w:rFonts w:ascii="Arial" w:cs="Arial" w:eastAsia="Arial" w:hAnsi="Arial"/>
                <w:sz w:val="14"/>
                <w:szCs w:val="14"/>
                <w:color w:val="auto"/>
              </w:rPr>
              <w:t>397</w:t>
            </w:r>
          </w:p>
        </w:tc>
      </w:tr>
      <w:tr>
        <w:trPr>
          <w:trHeight w:val="438"/>
        </w:trPr>
        <w:tc>
          <w:tcPr>
            <w:tcW w:w="4200" w:type="dxa"/>
            <w:vAlign w:val="bottom"/>
          </w:tcPr>
          <w:p>
            <w:pPr>
              <w:ind w:left="20"/>
              <w:spacing w:after="0"/>
              <w:rPr>
                <w:sz w:val="20"/>
                <w:szCs w:val="20"/>
                <w:color w:val="auto"/>
              </w:rPr>
            </w:pPr>
            <w:r>
              <w:rPr>
                <w:rFonts w:ascii="Arial" w:cs="Arial" w:eastAsia="Arial" w:hAnsi="Arial"/>
                <w:sz w:val="14"/>
                <w:szCs w:val="14"/>
                <w:color w:val="auto"/>
              </w:rPr>
              <w:t>Income tax expense</w:t>
            </w:r>
          </w:p>
        </w:tc>
        <w:tc>
          <w:tcPr>
            <w:tcW w:w="4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140</w:t>
            </w:r>
          </w:p>
        </w:tc>
        <w:tc>
          <w:tcPr>
            <w:tcW w:w="5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color w:val="auto"/>
              </w:rPr>
              <w:t>160</w:t>
            </w:r>
          </w:p>
        </w:tc>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173</w:t>
            </w:r>
          </w:p>
        </w:tc>
      </w:tr>
      <w:tr>
        <w:trPr>
          <w:trHeight w:val="418"/>
        </w:trPr>
        <w:tc>
          <w:tcPr>
            <w:tcW w:w="4200" w:type="dxa"/>
            <w:vAlign w:val="bottom"/>
          </w:tcPr>
          <w:p>
            <w:pPr>
              <w:ind w:left="20"/>
              <w:spacing w:after="0"/>
              <w:rPr>
                <w:sz w:val="20"/>
                <w:szCs w:val="20"/>
                <w:color w:val="auto"/>
              </w:rPr>
            </w:pPr>
            <w:r>
              <w:rPr>
                <w:rFonts w:ascii="Arial" w:cs="Arial" w:eastAsia="Arial" w:hAnsi="Arial"/>
                <w:sz w:val="14"/>
                <w:szCs w:val="14"/>
                <w:color w:val="auto"/>
              </w:rPr>
              <w:t>Net income</w:t>
            </w:r>
          </w:p>
        </w:tc>
        <w:tc>
          <w:tcPr>
            <w:tcW w:w="420" w:type="dxa"/>
            <w:vAlign w:val="bottom"/>
          </w:tcPr>
          <w:p>
            <w:pPr>
              <w:spacing w:after="0"/>
              <w:rPr>
                <w:sz w:val="24"/>
                <w:szCs w:val="24"/>
                <w:color w:val="auto"/>
              </w:rPr>
            </w:pPr>
          </w:p>
        </w:tc>
        <w:tc>
          <w:tcPr>
            <w:tcW w:w="760" w:type="dxa"/>
            <w:vAlign w:val="bottom"/>
          </w:tcPr>
          <w:p>
            <w:pPr>
              <w:jc w:val="right"/>
              <w:ind w:right="68"/>
              <w:spacing w:after="0"/>
              <w:rPr>
                <w:sz w:val="20"/>
                <w:szCs w:val="20"/>
                <w:color w:val="auto"/>
              </w:rPr>
            </w:pPr>
            <w:r>
              <w:rPr>
                <w:rFonts w:ascii="Arial" w:cs="Arial" w:eastAsia="Arial" w:hAnsi="Arial"/>
                <w:sz w:val="14"/>
                <w:szCs w:val="14"/>
                <w:color w:val="auto"/>
              </w:rPr>
              <w:t>245</w:t>
            </w:r>
          </w:p>
        </w:tc>
        <w:tc>
          <w:tcPr>
            <w:tcW w:w="580" w:type="dxa"/>
            <w:vAlign w:val="bottom"/>
          </w:tcPr>
          <w:p>
            <w:pPr>
              <w:spacing w:after="0"/>
              <w:rPr>
                <w:sz w:val="24"/>
                <w:szCs w:val="24"/>
                <w:color w:val="auto"/>
              </w:rPr>
            </w:pPr>
          </w:p>
        </w:tc>
        <w:tc>
          <w:tcPr>
            <w:tcW w:w="1100" w:type="dxa"/>
            <w:vAlign w:val="bottom"/>
          </w:tcPr>
          <w:p>
            <w:pPr>
              <w:jc w:val="right"/>
              <w:ind w:right="388"/>
              <w:spacing w:after="0"/>
              <w:rPr>
                <w:sz w:val="20"/>
                <w:szCs w:val="20"/>
                <w:color w:val="auto"/>
              </w:rPr>
            </w:pPr>
            <w:r>
              <w:rPr>
                <w:rFonts w:ascii="Arial" w:cs="Arial" w:eastAsia="Arial" w:hAnsi="Arial"/>
                <w:sz w:val="14"/>
                <w:szCs w:val="14"/>
                <w:color w:val="auto"/>
              </w:rPr>
              <w:t>231</w:t>
            </w:r>
          </w:p>
        </w:tc>
        <w:tc>
          <w:tcPr>
            <w:tcW w:w="260" w:type="dxa"/>
            <w:vAlign w:val="bottom"/>
          </w:tcPr>
          <w:p>
            <w:pPr>
              <w:spacing w:after="0"/>
              <w:rPr>
                <w:sz w:val="24"/>
                <w:szCs w:val="24"/>
                <w:color w:val="auto"/>
              </w:rPr>
            </w:pPr>
          </w:p>
        </w:tc>
        <w:tc>
          <w:tcPr>
            <w:tcW w:w="940" w:type="dxa"/>
            <w:vAlign w:val="bottom"/>
          </w:tcPr>
          <w:p>
            <w:pPr>
              <w:jc w:val="right"/>
              <w:ind w:right="228"/>
              <w:spacing w:after="0"/>
              <w:rPr>
                <w:sz w:val="20"/>
                <w:szCs w:val="20"/>
                <w:color w:val="auto"/>
              </w:rPr>
            </w:pPr>
            <w:r>
              <w:rPr>
                <w:rFonts w:ascii="Arial" w:cs="Arial" w:eastAsia="Arial" w:hAnsi="Arial"/>
                <w:sz w:val="14"/>
                <w:szCs w:val="14"/>
                <w:color w:val="auto"/>
              </w:rPr>
              <w:t>224</w:t>
            </w:r>
          </w:p>
        </w:tc>
      </w:tr>
      <w:tr>
        <w:trPr>
          <w:trHeight w:val="222"/>
        </w:trPr>
        <w:tc>
          <w:tcPr>
            <w:tcW w:w="4200" w:type="dxa"/>
            <w:vAlign w:val="bottom"/>
          </w:tcPr>
          <w:p>
            <w:pPr>
              <w:ind w:left="20"/>
              <w:spacing w:after="0"/>
              <w:rPr>
                <w:sz w:val="20"/>
                <w:szCs w:val="20"/>
                <w:color w:val="auto"/>
              </w:rPr>
            </w:pPr>
            <w:r>
              <w:rPr>
                <w:rFonts w:ascii="Arial" w:cs="Arial" w:eastAsia="Arial" w:hAnsi="Arial"/>
                <w:sz w:val="14"/>
                <w:szCs w:val="14"/>
                <w:color w:val="auto"/>
              </w:rPr>
              <w:t>Preferred dividend requirements</w:t>
            </w:r>
          </w:p>
        </w:tc>
        <w:tc>
          <w:tcPr>
            <w:tcW w:w="4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w:t>
            </w:r>
          </w:p>
        </w:tc>
        <w:tc>
          <w:tcPr>
            <w:tcW w:w="5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color w:val="auto"/>
              </w:rPr>
              <w:t>1</w:t>
            </w: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1</w:t>
            </w:r>
          </w:p>
        </w:tc>
      </w:tr>
      <w:tr>
        <w:trPr>
          <w:trHeight w:val="224"/>
        </w:trPr>
        <w:tc>
          <w:tcPr>
            <w:tcW w:w="42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Earnings applicable to common shares</w:t>
            </w:r>
          </w:p>
        </w:tc>
        <w:tc>
          <w:tcPr>
            <w:tcW w:w="4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244</w:t>
            </w:r>
          </w:p>
        </w:tc>
        <w:tc>
          <w:tcPr>
            <w:tcW w:w="58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color w:val="auto"/>
              </w:rPr>
              <w:t>230</w:t>
            </w:r>
          </w:p>
        </w:tc>
        <w:tc>
          <w:tcPr>
            <w:tcW w:w="2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223</w:t>
            </w:r>
          </w:p>
        </w:tc>
      </w:tr>
    </w:tbl>
    <w:p>
      <w:pPr>
        <w:spacing w:after="0" w:line="220" w:lineRule="exact"/>
        <w:rPr>
          <w:sz w:val="20"/>
          <w:szCs w:val="20"/>
          <w:color w:val="auto"/>
        </w:rPr>
      </w:pPr>
    </w:p>
    <w:p>
      <w:pPr>
        <w:ind w:left="1600"/>
        <w:spacing w:after="0"/>
        <w:rPr>
          <w:sz w:val="20"/>
          <w:szCs w:val="20"/>
          <w:color w:val="auto"/>
        </w:rPr>
      </w:pPr>
      <w:r>
        <w:rPr>
          <w:rFonts w:ascii="Arial" w:cs="Arial" w:eastAsia="Arial" w:hAnsi="Arial"/>
          <w:sz w:val="13"/>
          <w:szCs w:val="13"/>
          <w:i w:val="1"/>
          <w:iCs w:val="1"/>
          <w:color w:val="auto"/>
        </w:rPr>
        <w:t>See Notes to Consolidated Financial Statements.</w:t>
      </w: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Arial" w:cs="Arial" w:eastAsia="Arial" w:hAnsi="Arial"/>
          <w:sz w:val="14"/>
          <w:szCs w:val="14"/>
          <w:color w:val="auto"/>
        </w:rPr>
        <w:t>87</w:t>
      </w:r>
    </w:p>
    <w:p>
      <w:pPr>
        <w:sectPr>
          <w:pgSz w:w="11900" w:h="16838" w:orient="portrait"/>
          <w:cols w:equalWidth="0" w:num="1">
            <w:col w:w="10219"/>
          </w:cols>
          <w:pgMar w:left="240" w:top="364" w:right="1440" w:bottom="1440" w:gutter="0" w:footer="0" w:header="0"/>
        </w:sectPr>
      </w:pPr>
    </w:p>
    <w:bookmarkStart w:id="227" w:name="page228"/>
    <w:bookmarkEnd w:id="227"/>
    <w:p>
      <w:pPr>
        <w:ind w:left="2060"/>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1461770</wp:posOffset>
            </wp:positionH>
            <wp:positionV relativeFrom="page">
              <wp:posOffset>226695</wp:posOffset>
            </wp:positionV>
            <wp:extent cx="4645660" cy="389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4645660" cy="389255"/>
                    </a:xfrm>
                    <a:prstGeom prst="rect">
                      <a:avLst/>
                    </a:prstGeom>
                    <a:noFill/>
                  </pic:spPr>
                </pic:pic>
              </a:graphicData>
            </a:graphic>
          </wp:anchor>
        </w:drawing>
        <w:t>SOUTHERN CALIFORNIA GAS COMPANY AND SUBSIDIARIES</w:t>
      </w:r>
    </w:p>
    <w:p>
      <w:pPr>
        <w:spacing w:after="0" w:line="31" w:lineRule="exact"/>
        <w:rPr>
          <w:sz w:val="20"/>
          <w:szCs w:val="20"/>
          <w:color w:val="auto"/>
        </w:rPr>
      </w:pPr>
    </w:p>
    <w:p>
      <w:pPr>
        <w:ind w:left="2060"/>
        <w:spacing w:after="0"/>
        <w:rPr>
          <w:sz w:val="20"/>
          <w:szCs w:val="20"/>
          <w:color w:val="auto"/>
        </w:rPr>
      </w:pPr>
      <w:r>
        <w:rPr>
          <w:rFonts w:ascii="Arial" w:cs="Arial" w:eastAsia="Arial" w:hAnsi="Arial"/>
          <w:sz w:val="14"/>
          <w:szCs w:val="14"/>
          <w:b w:val="1"/>
          <w:bCs w:val="1"/>
          <w:color w:val="auto"/>
        </w:rPr>
        <w:t>CONSOLIDATED BALANCE SHEETS</w:t>
      </w:r>
    </w:p>
    <w:p>
      <w:pPr>
        <w:spacing w:after="0" w:line="76" w:lineRule="exact"/>
        <w:rPr>
          <w:sz w:val="20"/>
          <w:szCs w:val="20"/>
          <w:color w:val="auto"/>
        </w:rPr>
      </w:pPr>
    </w:p>
    <w:tbl>
      <w:tblPr>
        <w:tblLayout w:type="fixed"/>
        <w:tblInd w:w="2060" w:type="dxa"/>
        <w:tblCellMar>
          <w:top w:w="0" w:type="dxa"/>
          <w:left w:w="0" w:type="dxa"/>
          <w:bottom w:w="0" w:type="dxa"/>
          <w:right w:w="0" w:type="dxa"/>
        </w:tblCellMar>
      </w:tblPr>
      <w:tr>
        <w:trPr>
          <w:trHeight w:val="166"/>
        </w:trPr>
        <w:tc>
          <w:tcPr>
            <w:tcW w:w="4980" w:type="dxa"/>
            <w:vAlign w:val="bottom"/>
          </w:tcPr>
          <w:p>
            <w:pPr>
              <w:spacing w:after="0"/>
              <w:rPr>
                <w:sz w:val="20"/>
                <w:szCs w:val="20"/>
                <w:color w:val="auto"/>
              </w:rPr>
            </w:pPr>
            <w:r>
              <w:rPr>
                <w:rFonts w:ascii="Arial" w:cs="Arial" w:eastAsia="Arial" w:hAnsi="Arial"/>
                <w:sz w:val="13"/>
                <w:szCs w:val="13"/>
                <w:i w:val="1"/>
                <w:iCs w:val="1"/>
                <w:color w:val="auto"/>
              </w:rPr>
              <w:t>(Dollars in millions)</w:t>
            </w: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216"/>
        </w:trPr>
        <w:tc>
          <w:tcPr>
            <w:tcW w:w="4980" w:type="dxa"/>
            <w:vAlign w:val="bottom"/>
          </w:tcPr>
          <w:p>
            <w:pPr>
              <w:spacing w:after="0"/>
              <w:rPr>
                <w:sz w:val="18"/>
                <w:szCs w:val="18"/>
                <w:color w:val="auto"/>
              </w:rPr>
            </w:pPr>
          </w:p>
        </w:tc>
        <w:tc>
          <w:tcPr>
            <w:tcW w:w="1140" w:type="dxa"/>
            <w:vAlign w:val="bottom"/>
            <w:gridSpan w:val="2"/>
          </w:tcPr>
          <w:p>
            <w:pPr>
              <w:jc w:val="right"/>
              <w:ind w:right="168"/>
              <w:spacing w:after="0"/>
              <w:rPr>
                <w:sz w:val="20"/>
                <w:szCs w:val="20"/>
                <w:color w:val="auto"/>
              </w:rPr>
            </w:pPr>
            <w:r>
              <w:rPr>
                <w:rFonts w:ascii="Arial" w:cs="Arial" w:eastAsia="Arial" w:hAnsi="Arial"/>
                <w:sz w:val="13"/>
                <w:szCs w:val="13"/>
                <w:color w:val="auto"/>
              </w:rPr>
              <w:t>December 31,</w:t>
            </w:r>
          </w:p>
        </w:tc>
        <w:tc>
          <w:tcPr>
            <w:tcW w:w="1200" w:type="dxa"/>
            <w:vAlign w:val="bottom"/>
            <w:gridSpan w:val="2"/>
          </w:tcPr>
          <w:p>
            <w:pPr>
              <w:jc w:val="right"/>
              <w:ind w:right="68"/>
              <w:spacing w:after="0"/>
              <w:rPr>
                <w:sz w:val="20"/>
                <w:szCs w:val="20"/>
                <w:color w:val="auto"/>
              </w:rPr>
            </w:pPr>
            <w:r>
              <w:rPr>
                <w:rFonts w:ascii="Arial" w:cs="Arial" w:eastAsia="Arial" w:hAnsi="Arial"/>
                <w:sz w:val="13"/>
                <w:szCs w:val="13"/>
                <w:color w:val="auto"/>
              </w:rPr>
              <w:t>December 31,</w:t>
            </w:r>
          </w:p>
        </w:tc>
      </w:tr>
      <w:tr>
        <w:trPr>
          <w:trHeight w:val="221"/>
        </w:trPr>
        <w:tc>
          <w:tcPr>
            <w:tcW w:w="498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428"/>
              <w:spacing w:after="0"/>
              <w:rPr>
                <w:sz w:val="20"/>
                <w:szCs w:val="20"/>
                <w:color w:val="auto"/>
              </w:rPr>
            </w:pPr>
            <w:r>
              <w:rPr>
                <w:rFonts w:ascii="Arial" w:cs="Arial" w:eastAsia="Arial" w:hAnsi="Arial"/>
                <w:sz w:val="13"/>
                <w:szCs w:val="13"/>
                <w:color w:val="auto"/>
              </w:rPr>
              <w:t>2008</w:t>
            </w:r>
          </w:p>
        </w:tc>
        <w:tc>
          <w:tcPr>
            <w:tcW w:w="4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28"/>
              <w:spacing w:after="0"/>
              <w:rPr>
                <w:sz w:val="20"/>
                <w:szCs w:val="20"/>
                <w:color w:val="auto"/>
              </w:rPr>
            </w:pPr>
            <w:r>
              <w:rPr>
                <w:rFonts w:ascii="Arial" w:cs="Arial" w:eastAsia="Arial" w:hAnsi="Arial"/>
                <w:sz w:val="13"/>
                <w:szCs w:val="13"/>
                <w:color w:val="auto"/>
              </w:rPr>
              <w:t>2007</w:t>
            </w:r>
          </w:p>
        </w:tc>
      </w:tr>
      <w:tr>
        <w:trPr>
          <w:trHeight w:val="423"/>
        </w:trPr>
        <w:tc>
          <w:tcPr>
            <w:tcW w:w="4980" w:type="dxa"/>
            <w:vAlign w:val="bottom"/>
          </w:tcPr>
          <w:p>
            <w:pPr>
              <w:spacing w:after="0"/>
              <w:rPr>
                <w:sz w:val="20"/>
                <w:szCs w:val="20"/>
                <w:color w:val="auto"/>
              </w:rPr>
            </w:pPr>
            <w:r>
              <w:rPr>
                <w:rFonts w:ascii="Arial" w:cs="Arial" w:eastAsia="Arial" w:hAnsi="Arial"/>
                <w:sz w:val="14"/>
                <w:szCs w:val="14"/>
                <w:color w:val="auto"/>
              </w:rPr>
              <w:t>ASSETS</w:t>
            </w: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16"/>
        </w:trPr>
        <w:tc>
          <w:tcPr>
            <w:tcW w:w="4980" w:type="dxa"/>
            <w:vAlign w:val="bottom"/>
          </w:tcPr>
          <w:p>
            <w:pPr>
              <w:spacing w:after="0"/>
              <w:rPr>
                <w:sz w:val="20"/>
                <w:szCs w:val="20"/>
                <w:color w:val="auto"/>
              </w:rPr>
            </w:pPr>
            <w:r>
              <w:rPr>
                <w:rFonts w:ascii="Arial" w:cs="Arial" w:eastAsia="Arial" w:hAnsi="Arial"/>
                <w:sz w:val="14"/>
                <w:szCs w:val="14"/>
                <w:color w:val="auto"/>
              </w:rPr>
              <w:t>Current assets:</w:t>
            </w: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16"/>
        </w:trPr>
        <w:tc>
          <w:tcPr>
            <w:tcW w:w="4980" w:type="dxa"/>
            <w:vAlign w:val="bottom"/>
          </w:tcPr>
          <w:p>
            <w:pPr>
              <w:ind w:left="220"/>
              <w:spacing w:after="0"/>
              <w:rPr>
                <w:sz w:val="20"/>
                <w:szCs w:val="20"/>
                <w:color w:val="auto"/>
              </w:rPr>
            </w:pPr>
            <w:r>
              <w:rPr>
                <w:rFonts w:ascii="Arial" w:cs="Arial" w:eastAsia="Arial" w:hAnsi="Arial"/>
                <w:sz w:val="14"/>
                <w:szCs w:val="14"/>
                <w:color w:val="auto"/>
              </w:rPr>
              <w:t>Cash and cash equivalents</w:t>
            </w:r>
          </w:p>
        </w:tc>
        <w:tc>
          <w:tcPr>
            <w:tcW w:w="260" w:type="dxa"/>
            <w:vAlign w:val="bottom"/>
          </w:tcPr>
          <w:p>
            <w:pPr>
              <w:jc w:val="right"/>
              <w:ind w:right="51"/>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208"/>
              <w:spacing w:after="0"/>
              <w:rPr>
                <w:sz w:val="20"/>
                <w:szCs w:val="20"/>
                <w:color w:val="auto"/>
              </w:rPr>
            </w:pPr>
            <w:r>
              <w:rPr>
                <w:rFonts w:ascii="Arial" w:cs="Arial" w:eastAsia="Arial" w:hAnsi="Arial"/>
                <w:sz w:val="14"/>
                <w:szCs w:val="14"/>
                <w:color w:val="auto"/>
              </w:rPr>
              <w:t>206</w:t>
            </w:r>
          </w:p>
        </w:tc>
        <w:tc>
          <w:tcPr>
            <w:tcW w:w="400" w:type="dxa"/>
            <w:vAlign w:val="bottom"/>
          </w:tcPr>
          <w:p>
            <w:pPr>
              <w:jc w:val="right"/>
              <w:ind w:right="71"/>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168"/>
              <w:spacing w:after="0"/>
              <w:rPr>
                <w:sz w:val="20"/>
                <w:szCs w:val="20"/>
                <w:color w:val="auto"/>
              </w:rPr>
            </w:pPr>
            <w:r>
              <w:rPr>
                <w:rFonts w:ascii="Arial" w:cs="Arial" w:eastAsia="Arial" w:hAnsi="Arial"/>
                <w:sz w:val="14"/>
                <w:szCs w:val="14"/>
                <w:color w:val="auto"/>
              </w:rPr>
              <w:t>59</w:t>
            </w:r>
          </w:p>
        </w:tc>
      </w:tr>
      <w:tr>
        <w:trPr>
          <w:trHeight w:val="216"/>
        </w:trPr>
        <w:tc>
          <w:tcPr>
            <w:tcW w:w="4980" w:type="dxa"/>
            <w:vAlign w:val="bottom"/>
          </w:tcPr>
          <w:p>
            <w:pPr>
              <w:ind w:left="220"/>
              <w:spacing w:after="0"/>
              <w:rPr>
                <w:sz w:val="20"/>
                <w:szCs w:val="20"/>
                <w:color w:val="auto"/>
              </w:rPr>
            </w:pPr>
            <w:r>
              <w:rPr>
                <w:rFonts w:ascii="Arial" w:cs="Arial" w:eastAsia="Arial" w:hAnsi="Arial"/>
                <w:sz w:val="14"/>
                <w:szCs w:val="14"/>
                <w:color w:val="auto"/>
              </w:rPr>
              <w:t>Accounts receivable – trade</w:t>
            </w:r>
          </w:p>
        </w:tc>
        <w:tc>
          <w:tcPr>
            <w:tcW w:w="260" w:type="dxa"/>
            <w:vAlign w:val="bottom"/>
          </w:tcPr>
          <w:p>
            <w:pPr>
              <w:spacing w:after="0"/>
              <w:rPr>
                <w:sz w:val="18"/>
                <w:szCs w:val="18"/>
                <w:color w:val="auto"/>
              </w:rPr>
            </w:pPr>
          </w:p>
        </w:tc>
        <w:tc>
          <w:tcPr>
            <w:tcW w:w="880" w:type="dxa"/>
            <w:vAlign w:val="bottom"/>
          </w:tcPr>
          <w:p>
            <w:pPr>
              <w:jc w:val="right"/>
              <w:ind w:right="208"/>
              <w:spacing w:after="0"/>
              <w:rPr>
                <w:sz w:val="20"/>
                <w:szCs w:val="20"/>
                <w:color w:val="auto"/>
              </w:rPr>
            </w:pPr>
            <w:r>
              <w:rPr>
                <w:rFonts w:ascii="Arial" w:cs="Arial" w:eastAsia="Arial" w:hAnsi="Arial"/>
                <w:sz w:val="14"/>
                <w:szCs w:val="14"/>
                <w:color w:val="auto"/>
              </w:rPr>
              <w:t>572</w:t>
            </w:r>
          </w:p>
        </w:tc>
        <w:tc>
          <w:tcPr>
            <w:tcW w:w="400" w:type="dxa"/>
            <w:vAlign w:val="bottom"/>
          </w:tcPr>
          <w:p>
            <w:pPr>
              <w:spacing w:after="0"/>
              <w:rPr>
                <w:sz w:val="18"/>
                <w:szCs w:val="18"/>
                <w:color w:val="auto"/>
              </w:rPr>
            </w:pPr>
          </w:p>
        </w:tc>
        <w:tc>
          <w:tcPr>
            <w:tcW w:w="800" w:type="dxa"/>
            <w:vAlign w:val="bottom"/>
          </w:tcPr>
          <w:p>
            <w:pPr>
              <w:jc w:val="right"/>
              <w:ind w:right="168"/>
              <w:spacing w:after="0"/>
              <w:rPr>
                <w:sz w:val="20"/>
                <w:szCs w:val="20"/>
                <w:color w:val="auto"/>
              </w:rPr>
            </w:pPr>
            <w:r>
              <w:rPr>
                <w:rFonts w:ascii="Arial" w:cs="Arial" w:eastAsia="Arial" w:hAnsi="Arial"/>
                <w:sz w:val="14"/>
                <w:szCs w:val="14"/>
                <w:color w:val="auto"/>
              </w:rPr>
              <w:t>671</w:t>
            </w:r>
          </w:p>
        </w:tc>
      </w:tr>
      <w:tr>
        <w:trPr>
          <w:trHeight w:val="216"/>
        </w:trPr>
        <w:tc>
          <w:tcPr>
            <w:tcW w:w="4980" w:type="dxa"/>
            <w:vAlign w:val="bottom"/>
          </w:tcPr>
          <w:p>
            <w:pPr>
              <w:ind w:left="220"/>
              <w:spacing w:after="0"/>
              <w:rPr>
                <w:sz w:val="20"/>
                <w:szCs w:val="20"/>
                <w:color w:val="auto"/>
              </w:rPr>
            </w:pPr>
            <w:r>
              <w:rPr>
                <w:rFonts w:ascii="Arial" w:cs="Arial" w:eastAsia="Arial" w:hAnsi="Arial"/>
                <w:sz w:val="14"/>
                <w:szCs w:val="14"/>
                <w:color w:val="auto"/>
              </w:rPr>
              <w:t>Accounts receivable – other</w:t>
            </w:r>
          </w:p>
        </w:tc>
        <w:tc>
          <w:tcPr>
            <w:tcW w:w="260" w:type="dxa"/>
            <w:vAlign w:val="bottom"/>
          </w:tcPr>
          <w:p>
            <w:pPr>
              <w:spacing w:after="0"/>
              <w:rPr>
                <w:sz w:val="18"/>
                <w:szCs w:val="18"/>
                <w:color w:val="auto"/>
              </w:rPr>
            </w:pPr>
          </w:p>
        </w:tc>
        <w:tc>
          <w:tcPr>
            <w:tcW w:w="880" w:type="dxa"/>
            <w:vAlign w:val="bottom"/>
          </w:tcPr>
          <w:p>
            <w:pPr>
              <w:jc w:val="right"/>
              <w:ind w:right="208"/>
              <w:spacing w:after="0"/>
              <w:rPr>
                <w:sz w:val="20"/>
                <w:szCs w:val="20"/>
                <w:color w:val="auto"/>
              </w:rPr>
            </w:pPr>
            <w:r>
              <w:rPr>
                <w:rFonts w:ascii="Arial" w:cs="Arial" w:eastAsia="Arial" w:hAnsi="Arial"/>
                <w:sz w:val="14"/>
                <w:szCs w:val="14"/>
                <w:color w:val="auto"/>
              </w:rPr>
              <w:t>20</w:t>
            </w:r>
          </w:p>
        </w:tc>
        <w:tc>
          <w:tcPr>
            <w:tcW w:w="400" w:type="dxa"/>
            <w:vAlign w:val="bottom"/>
          </w:tcPr>
          <w:p>
            <w:pPr>
              <w:spacing w:after="0"/>
              <w:rPr>
                <w:sz w:val="18"/>
                <w:szCs w:val="18"/>
                <w:color w:val="auto"/>
              </w:rPr>
            </w:pPr>
          </w:p>
        </w:tc>
        <w:tc>
          <w:tcPr>
            <w:tcW w:w="800" w:type="dxa"/>
            <w:vAlign w:val="bottom"/>
          </w:tcPr>
          <w:p>
            <w:pPr>
              <w:jc w:val="right"/>
              <w:ind w:right="168"/>
              <w:spacing w:after="0"/>
              <w:rPr>
                <w:sz w:val="20"/>
                <w:szCs w:val="20"/>
                <w:color w:val="auto"/>
              </w:rPr>
            </w:pPr>
            <w:r>
              <w:rPr>
                <w:rFonts w:ascii="Arial" w:cs="Arial" w:eastAsia="Arial" w:hAnsi="Arial"/>
                <w:sz w:val="14"/>
                <w:szCs w:val="14"/>
                <w:color w:val="auto"/>
              </w:rPr>
              <w:t>22</w:t>
            </w:r>
          </w:p>
        </w:tc>
      </w:tr>
      <w:tr>
        <w:trPr>
          <w:trHeight w:val="216"/>
        </w:trPr>
        <w:tc>
          <w:tcPr>
            <w:tcW w:w="4980" w:type="dxa"/>
            <w:vAlign w:val="bottom"/>
          </w:tcPr>
          <w:p>
            <w:pPr>
              <w:ind w:left="220"/>
              <w:spacing w:after="0"/>
              <w:rPr>
                <w:sz w:val="20"/>
                <w:szCs w:val="20"/>
                <w:color w:val="auto"/>
              </w:rPr>
            </w:pPr>
            <w:r>
              <w:rPr>
                <w:rFonts w:ascii="Arial" w:cs="Arial" w:eastAsia="Arial" w:hAnsi="Arial"/>
                <w:sz w:val="14"/>
                <w:szCs w:val="14"/>
                <w:color w:val="auto"/>
              </w:rPr>
              <w:t>Due from unconsolidated affiliates</w:t>
            </w:r>
          </w:p>
        </w:tc>
        <w:tc>
          <w:tcPr>
            <w:tcW w:w="260" w:type="dxa"/>
            <w:vAlign w:val="bottom"/>
          </w:tcPr>
          <w:p>
            <w:pPr>
              <w:spacing w:after="0"/>
              <w:rPr>
                <w:sz w:val="18"/>
                <w:szCs w:val="18"/>
                <w:color w:val="auto"/>
              </w:rPr>
            </w:pPr>
          </w:p>
        </w:tc>
        <w:tc>
          <w:tcPr>
            <w:tcW w:w="8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8"/>
                <w:szCs w:val="18"/>
                <w:color w:val="auto"/>
              </w:rPr>
            </w:pPr>
          </w:p>
        </w:tc>
        <w:tc>
          <w:tcPr>
            <w:tcW w:w="800" w:type="dxa"/>
            <w:vAlign w:val="bottom"/>
          </w:tcPr>
          <w:p>
            <w:pPr>
              <w:jc w:val="right"/>
              <w:ind w:right="168"/>
              <w:spacing w:after="0"/>
              <w:rPr>
                <w:sz w:val="20"/>
                <w:szCs w:val="20"/>
                <w:color w:val="auto"/>
              </w:rPr>
            </w:pPr>
            <w:r>
              <w:rPr>
                <w:rFonts w:ascii="Arial" w:cs="Arial" w:eastAsia="Arial" w:hAnsi="Arial"/>
                <w:sz w:val="14"/>
                <w:szCs w:val="14"/>
                <w:color w:val="auto"/>
              </w:rPr>
              <w:t>129</w:t>
            </w:r>
          </w:p>
        </w:tc>
      </w:tr>
      <w:tr>
        <w:trPr>
          <w:trHeight w:val="216"/>
        </w:trPr>
        <w:tc>
          <w:tcPr>
            <w:tcW w:w="4980" w:type="dxa"/>
            <w:vAlign w:val="bottom"/>
          </w:tcPr>
          <w:p>
            <w:pPr>
              <w:ind w:left="220"/>
              <w:spacing w:after="0"/>
              <w:rPr>
                <w:sz w:val="20"/>
                <w:szCs w:val="20"/>
                <w:color w:val="auto"/>
              </w:rPr>
            </w:pPr>
            <w:r>
              <w:rPr>
                <w:rFonts w:ascii="Arial" w:cs="Arial" w:eastAsia="Arial" w:hAnsi="Arial"/>
                <w:sz w:val="14"/>
                <w:szCs w:val="14"/>
                <w:color w:val="auto"/>
              </w:rPr>
              <w:t>Income taxes receivable</w:t>
            </w:r>
          </w:p>
        </w:tc>
        <w:tc>
          <w:tcPr>
            <w:tcW w:w="260" w:type="dxa"/>
            <w:vAlign w:val="bottom"/>
          </w:tcPr>
          <w:p>
            <w:pPr>
              <w:spacing w:after="0"/>
              <w:rPr>
                <w:sz w:val="18"/>
                <w:szCs w:val="18"/>
                <w:color w:val="auto"/>
              </w:rPr>
            </w:pPr>
          </w:p>
        </w:tc>
        <w:tc>
          <w:tcPr>
            <w:tcW w:w="880" w:type="dxa"/>
            <w:vAlign w:val="bottom"/>
          </w:tcPr>
          <w:p>
            <w:pPr>
              <w:jc w:val="right"/>
              <w:ind w:right="208"/>
              <w:spacing w:after="0"/>
              <w:rPr>
                <w:sz w:val="20"/>
                <w:szCs w:val="20"/>
                <w:color w:val="auto"/>
              </w:rPr>
            </w:pPr>
            <w:r>
              <w:rPr>
                <w:rFonts w:ascii="Arial" w:cs="Arial" w:eastAsia="Arial" w:hAnsi="Arial"/>
                <w:sz w:val="14"/>
                <w:szCs w:val="14"/>
                <w:color w:val="auto"/>
              </w:rPr>
              <w:t>41</w:t>
            </w:r>
          </w:p>
        </w:tc>
        <w:tc>
          <w:tcPr>
            <w:tcW w:w="400" w:type="dxa"/>
            <w:vAlign w:val="bottom"/>
          </w:tcPr>
          <w:p>
            <w:pPr>
              <w:spacing w:after="0"/>
              <w:rPr>
                <w:sz w:val="18"/>
                <w:szCs w:val="18"/>
                <w:color w:val="auto"/>
              </w:rPr>
            </w:pPr>
          </w:p>
        </w:tc>
        <w:tc>
          <w:tcPr>
            <w:tcW w:w="800" w:type="dxa"/>
            <w:vAlign w:val="bottom"/>
          </w:tcPr>
          <w:p>
            <w:pPr>
              <w:jc w:val="right"/>
              <w:ind w:right="168"/>
              <w:spacing w:after="0"/>
              <w:rPr>
                <w:sz w:val="20"/>
                <w:szCs w:val="20"/>
                <w:color w:val="auto"/>
              </w:rPr>
            </w:pPr>
            <w:r>
              <w:rPr>
                <w:rFonts w:ascii="Arial" w:cs="Arial" w:eastAsia="Arial" w:hAnsi="Arial"/>
                <w:sz w:val="14"/>
                <w:szCs w:val="14"/>
                <w:color w:val="auto"/>
              </w:rPr>
              <w:t>--</w:t>
            </w:r>
          </w:p>
        </w:tc>
      </w:tr>
      <w:tr>
        <w:trPr>
          <w:trHeight w:val="216"/>
        </w:trPr>
        <w:tc>
          <w:tcPr>
            <w:tcW w:w="4980" w:type="dxa"/>
            <w:vAlign w:val="bottom"/>
          </w:tcPr>
          <w:p>
            <w:pPr>
              <w:ind w:left="220"/>
              <w:spacing w:after="0"/>
              <w:rPr>
                <w:sz w:val="20"/>
                <w:szCs w:val="20"/>
                <w:color w:val="auto"/>
              </w:rPr>
            </w:pPr>
            <w:r>
              <w:rPr>
                <w:rFonts w:ascii="Arial" w:cs="Arial" w:eastAsia="Arial" w:hAnsi="Arial"/>
                <w:sz w:val="14"/>
                <w:szCs w:val="14"/>
                <w:color w:val="auto"/>
              </w:rPr>
              <w:t>Deferred income taxes</w:t>
            </w:r>
          </w:p>
        </w:tc>
        <w:tc>
          <w:tcPr>
            <w:tcW w:w="260" w:type="dxa"/>
            <w:vAlign w:val="bottom"/>
          </w:tcPr>
          <w:p>
            <w:pPr>
              <w:spacing w:after="0"/>
              <w:rPr>
                <w:sz w:val="18"/>
                <w:szCs w:val="18"/>
                <w:color w:val="auto"/>
              </w:rPr>
            </w:pPr>
          </w:p>
        </w:tc>
        <w:tc>
          <w:tcPr>
            <w:tcW w:w="8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8"/>
                <w:szCs w:val="18"/>
                <w:color w:val="auto"/>
              </w:rPr>
            </w:pPr>
          </w:p>
        </w:tc>
        <w:tc>
          <w:tcPr>
            <w:tcW w:w="800" w:type="dxa"/>
            <w:vAlign w:val="bottom"/>
          </w:tcPr>
          <w:p>
            <w:pPr>
              <w:jc w:val="right"/>
              <w:ind w:right="168"/>
              <w:spacing w:after="0"/>
              <w:rPr>
                <w:sz w:val="20"/>
                <w:szCs w:val="20"/>
                <w:color w:val="auto"/>
              </w:rPr>
            </w:pPr>
            <w:r>
              <w:rPr>
                <w:rFonts w:ascii="Arial" w:cs="Arial" w:eastAsia="Arial" w:hAnsi="Arial"/>
                <w:sz w:val="14"/>
                <w:szCs w:val="14"/>
                <w:color w:val="auto"/>
              </w:rPr>
              <w:t>33</w:t>
            </w:r>
          </w:p>
        </w:tc>
      </w:tr>
      <w:tr>
        <w:trPr>
          <w:trHeight w:val="216"/>
        </w:trPr>
        <w:tc>
          <w:tcPr>
            <w:tcW w:w="4980" w:type="dxa"/>
            <w:vAlign w:val="bottom"/>
          </w:tcPr>
          <w:p>
            <w:pPr>
              <w:ind w:left="220"/>
              <w:spacing w:after="0"/>
              <w:rPr>
                <w:sz w:val="20"/>
                <w:szCs w:val="20"/>
                <w:color w:val="auto"/>
              </w:rPr>
            </w:pPr>
            <w:r>
              <w:rPr>
                <w:rFonts w:ascii="Arial" w:cs="Arial" w:eastAsia="Arial" w:hAnsi="Arial"/>
                <w:sz w:val="14"/>
                <w:szCs w:val="14"/>
                <w:color w:val="auto"/>
              </w:rPr>
              <w:t>Inventories</w:t>
            </w:r>
          </w:p>
        </w:tc>
        <w:tc>
          <w:tcPr>
            <w:tcW w:w="260" w:type="dxa"/>
            <w:vAlign w:val="bottom"/>
          </w:tcPr>
          <w:p>
            <w:pPr>
              <w:spacing w:after="0"/>
              <w:rPr>
                <w:sz w:val="18"/>
                <w:szCs w:val="18"/>
                <w:color w:val="auto"/>
              </w:rPr>
            </w:pPr>
          </w:p>
        </w:tc>
        <w:tc>
          <w:tcPr>
            <w:tcW w:w="880" w:type="dxa"/>
            <w:vAlign w:val="bottom"/>
          </w:tcPr>
          <w:p>
            <w:pPr>
              <w:jc w:val="right"/>
              <w:ind w:right="208"/>
              <w:spacing w:after="0"/>
              <w:rPr>
                <w:sz w:val="20"/>
                <w:szCs w:val="20"/>
                <w:color w:val="auto"/>
              </w:rPr>
            </w:pPr>
            <w:r>
              <w:rPr>
                <w:rFonts w:ascii="Arial" w:cs="Arial" w:eastAsia="Arial" w:hAnsi="Arial"/>
                <w:sz w:val="14"/>
                <w:szCs w:val="14"/>
                <w:color w:val="auto"/>
              </w:rPr>
              <w:t>167</w:t>
            </w:r>
          </w:p>
        </w:tc>
        <w:tc>
          <w:tcPr>
            <w:tcW w:w="400" w:type="dxa"/>
            <w:vAlign w:val="bottom"/>
          </w:tcPr>
          <w:p>
            <w:pPr>
              <w:spacing w:after="0"/>
              <w:rPr>
                <w:sz w:val="18"/>
                <w:szCs w:val="18"/>
                <w:color w:val="auto"/>
              </w:rPr>
            </w:pPr>
          </w:p>
        </w:tc>
        <w:tc>
          <w:tcPr>
            <w:tcW w:w="800" w:type="dxa"/>
            <w:vAlign w:val="bottom"/>
          </w:tcPr>
          <w:p>
            <w:pPr>
              <w:jc w:val="right"/>
              <w:ind w:right="168"/>
              <w:spacing w:after="0"/>
              <w:rPr>
                <w:sz w:val="20"/>
                <w:szCs w:val="20"/>
                <w:color w:val="auto"/>
              </w:rPr>
            </w:pPr>
            <w:r>
              <w:rPr>
                <w:rFonts w:ascii="Arial" w:cs="Arial" w:eastAsia="Arial" w:hAnsi="Arial"/>
                <w:sz w:val="14"/>
                <w:szCs w:val="14"/>
                <w:color w:val="auto"/>
              </w:rPr>
              <w:t>98</w:t>
            </w:r>
          </w:p>
        </w:tc>
      </w:tr>
      <w:tr>
        <w:trPr>
          <w:trHeight w:val="216"/>
        </w:trPr>
        <w:tc>
          <w:tcPr>
            <w:tcW w:w="4980" w:type="dxa"/>
            <w:vAlign w:val="bottom"/>
          </w:tcPr>
          <w:p>
            <w:pPr>
              <w:ind w:left="220"/>
              <w:spacing w:after="0"/>
              <w:rPr>
                <w:sz w:val="20"/>
                <w:szCs w:val="20"/>
                <w:color w:val="auto"/>
              </w:rPr>
            </w:pPr>
            <w:r>
              <w:rPr>
                <w:rFonts w:ascii="Arial" w:cs="Arial" w:eastAsia="Arial" w:hAnsi="Arial"/>
                <w:sz w:val="14"/>
                <w:szCs w:val="14"/>
                <w:color w:val="auto"/>
              </w:rPr>
              <w:t>Other regulatory assets</w:t>
            </w:r>
          </w:p>
        </w:tc>
        <w:tc>
          <w:tcPr>
            <w:tcW w:w="260" w:type="dxa"/>
            <w:vAlign w:val="bottom"/>
          </w:tcPr>
          <w:p>
            <w:pPr>
              <w:spacing w:after="0"/>
              <w:rPr>
                <w:sz w:val="18"/>
                <w:szCs w:val="18"/>
                <w:color w:val="auto"/>
              </w:rPr>
            </w:pPr>
          </w:p>
        </w:tc>
        <w:tc>
          <w:tcPr>
            <w:tcW w:w="880" w:type="dxa"/>
            <w:vAlign w:val="bottom"/>
          </w:tcPr>
          <w:p>
            <w:pPr>
              <w:jc w:val="right"/>
              <w:ind w:right="208"/>
              <w:spacing w:after="0"/>
              <w:rPr>
                <w:sz w:val="20"/>
                <w:szCs w:val="20"/>
                <w:color w:val="auto"/>
              </w:rPr>
            </w:pPr>
            <w:r>
              <w:rPr>
                <w:rFonts w:ascii="Arial" w:cs="Arial" w:eastAsia="Arial" w:hAnsi="Arial"/>
                <w:sz w:val="14"/>
                <w:szCs w:val="14"/>
                <w:color w:val="auto"/>
              </w:rPr>
              <w:t>18</w:t>
            </w:r>
          </w:p>
        </w:tc>
        <w:tc>
          <w:tcPr>
            <w:tcW w:w="400" w:type="dxa"/>
            <w:vAlign w:val="bottom"/>
          </w:tcPr>
          <w:p>
            <w:pPr>
              <w:spacing w:after="0"/>
              <w:rPr>
                <w:sz w:val="18"/>
                <w:szCs w:val="18"/>
                <w:color w:val="auto"/>
              </w:rPr>
            </w:pPr>
          </w:p>
        </w:tc>
        <w:tc>
          <w:tcPr>
            <w:tcW w:w="800" w:type="dxa"/>
            <w:vAlign w:val="bottom"/>
          </w:tcPr>
          <w:p>
            <w:pPr>
              <w:jc w:val="right"/>
              <w:ind w:right="168"/>
              <w:spacing w:after="0"/>
              <w:rPr>
                <w:sz w:val="20"/>
                <w:szCs w:val="20"/>
                <w:color w:val="auto"/>
              </w:rPr>
            </w:pPr>
            <w:r>
              <w:rPr>
                <w:rFonts w:ascii="Arial" w:cs="Arial" w:eastAsia="Arial" w:hAnsi="Arial"/>
                <w:sz w:val="14"/>
                <w:szCs w:val="14"/>
                <w:color w:val="auto"/>
              </w:rPr>
              <w:t>40</w:t>
            </w:r>
          </w:p>
        </w:tc>
      </w:tr>
      <w:tr>
        <w:trPr>
          <w:trHeight w:val="222"/>
        </w:trPr>
        <w:tc>
          <w:tcPr>
            <w:tcW w:w="4980" w:type="dxa"/>
            <w:vAlign w:val="bottom"/>
          </w:tcPr>
          <w:p>
            <w:pPr>
              <w:ind w:left="220"/>
              <w:spacing w:after="0"/>
              <w:rPr>
                <w:sz w:val="20"/>
                <w:szCs w:val="20"/>
                <w:color w:val="auto"/>
              </w:rPr>
            </w:pPr>
            <w:r>
              <w:rPr>
                <w:rFonts w:ascii="Arial" w:cs="Arial" w:eastAsia="Arial" w:hAnsi="Arial"/>
                <w:sz w:val="14"/>
                <w:szCs w:val="14"/>
                <w:color w:val="auto"/>
              </w:rPr>
              <w:t>Other</w:t>
            </w: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37</w:t>
            </w:r>
          </w:p>
        </w:tc>
        <w:tc>
          <w:tcPr>
            <w:tcW w:w="4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22</w:t>
            </w:r>
          </w:p>
        </w:tc>
      </w:tr>
      <w:tr>
        <w:trPr>
          <w:trHeight w:val="208"/>
        </w:trPr>
        <w:tc>
          <w:tcPr>
            <w:tcW w:w="4980" w:type="dxa"/>
            <w:vAlign w:val="bottom"/>
          </w:tcPr>
          <w:p>
            <w:pPr>
              <w:ind w:left="440"/>
              <w:spacing w:after="0"/>
              <w:rPr>
                <w:sz w:val="20"/>
                <w:szCs w:val="20"/>
                <w:color w:val="auto"/>
              </w:rPr>
            </w:pPr>
            <w:r>
              <w:rPr>
                <w:rFonts w:ascii="Arial" w:cs="Arial" w:eastAsia="Arial" w:hAnsi="Arial"/>
                <w:sz w:val="14"/>
                <w:szCs w:val="14"/>
                <w:color w:val="auto"/>
              </w:rPr>
              <w:t>Total current assets</w:t>
            </w: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1,061</w:t>
            </w:r>
          </w:p>
        </w:tc>
        <w:tc>
          <w:tcPr>
            <w:tcW w:w="4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1,074</w:t>
            </w:r>
          </w:p>
        </w:tc>
      </w:tr>
      <w:tr>
        <w:trPr>
          <w:trHeight w:val="418"/>
        </w:trPr>
        <w:tc>
          <w:tcPr>
            <w:tcW w:w="4980" w:type="dxa"/>
            <w:vAlign w:val="bottom"/>
          </w:tcPr>
          <w:p>
            <w:pPr>
              <w:spacing w:after="0"/>
              <w:rPr>
                <w:sz w:val="20"/>
                <w:szCs w:val="20"/>
                <w:color w:val="auto"/>
              </w:rPr>
            </w:pPr>
            <w:r>
              <w:rPr>
                <w:rFonts w:ascii="Arial" w:cs="Arial" w:eastAsia="Arial" w:hAnsi="Arial"/>
                <w:sz w:val="14"/>
                <w:szCs w:val="14"/>
                <w:color w:val="auto"/>
              </w:rPr>
              <w:t>Other assets:</w:t>
            </w: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404"/>
        </w:trPr>
        <w:tc>
          <w:tcPr>
            <w:tcW w:w="4980" w:type="dxa"/>
            <w:vAlign w:val="bottom"/>
          </w:tcPr>
          <w:p>
            <w:pPr>
              <w:ind w:left="220"/>
              <w:spacing w:after="0"/>
              <w:rPr>
                <w:sz w:val="20"/>
                <w:szCs w:val="20"/>
                <w:color w:val="auto"/>
              </w:rPr>
            </w:pPr>
            <w:r>
              <w:rPr>
                <w:rFonts w:ascii="Arial" w:cs="Arial" w:eastAsia="Arial" w:hAnsi="Arial"/>
                <w:sz w:val="14"/>
                <w:szCs w:val="14"/>
                <w:color w:val="auto"/>
              </w:rPr>
              <w:t>Regulatory assets arising from pension and other postretirement</w:t>
            </w: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72"/>
        </w:trPr>
        <w:tc>
          <w:tcPr>
            <w:tcW w:w="4980" w:type="dxa"/>
            <w:vAlign w:val="bottom"/>
          </w:tcPr>
          <w:p>
            <w:pPr>
              <w:ind w:left="400"/>
              <w:spacing w:after="0"/>
              <w:rPr>
                <w:sz w:val="20"/>
                <w:szCs w:val="20"/>
                <w:color w:val="auto"/>
              </w:rPr>
            </w:pPr>
            <w:r>
              <w:rPr>
                <w:rFonts w:ascii="Arial" w:cs="Arial" w:eastAsia="Arial" w:hAnsi="Arial"/>
                <w:sz w:val="14"/>
                <w:szCs w:val="14"/>
                <w:color w:val="auto"/>
              </w:rPr>
              <w:t>benefit obligations</w:t>
            </w:r>
          </w:p>
        </w:tc>
        <w:tc>
          <w:tcPr>
            <w:tcW w:w="260" w:type="dxa"/>
            <w:vAlign w:val="bottom"/>
          </w:tcPr>
          <w:p>
            <w:pPr>
              <w:spacing w:after="0"/>
              <w:rPr>
                <w:sz w:val="14"/>
                <w:szCs w:val="14"/>
                <w:color w:val="auto"/>
              </w:rPr>
            </w:pPr>
          </w:p>
        </w:tc>
        <w:tc>
          <w:tcPr>
            <w:tcW w:w="880" w:type="dxa"/>
            <w:vAlign w:val="bottom"/>
          </w:tcPr>
          <w:p>
            <w:pPr>
              <w:jc w:val="right"/>
              <w:ind w:right="208"/>
              <w:spacing w:after="0"/>
              <w:rPr>
                <w:sz w:val="20"/>
                <w:szCs w:val="20"/>
                <w:color w:val="auto"/>
              </w:rPr>
            </w:pPr>
            <w:r>
              <w:rPr>
                <w:rFonts w:ascii="Arial" w:cs="Arial" w:eastAsia="Arial" w:hAnsi="Arial"/>
                <w:sz w:val="14"/>
                <w:szCs w:val="14"/>
                <w:color w:val="auto"/>
              </w:rPr>
              <w:t>795</w:t>
            </w:r>
          </w:p>
        </w:tc>
        <w:tc>
          <w:tcPr>
            <w:tcW w:w="400" w:type="dxa"/>
            <w:vAlign w:val="bottom"/>
          </w:tcPr>
          <w:p>
            <w:pPr>
              <w:spacing w:after="0"/>
              <w:rPr>
                <w:sz w:val="14"/>
                <w:szCs w:val="14"/>
                <w:color w:val="auto"/>
              </w:rPr>
            </w:pPr>
          </w:p>
        </w:tc>
        <w:tc>
          <w:tcPr>
            <w:tcW w:w="800" w:type="dxa"/>
            <w:vAlign w:val="bottom"/>
          </w:tcPr>
          <w:p>
            <w:pPr>
              <w:jc w:val="right"/>
              <w:ind w:right="168"/>
              <w:spacing w:after="0"/>
              <w:rPr>
                <w:sz w:val="20"/>
                <w:szCs w:val="20"/>
                <w:color w:val="auto"/>
              </w:rPr>
            </w:pPr>
            <w:r>
              <w:rPr>
                <w:rFonts w:ascii="Arial" w:cs="Arial" w:eastAsia="Arial" w:hAnsi="Arial"/>
                <w:sz w:val="14"/>
                <w:szCs w:val="14"/>
                <w:color w:val="auto"/>
              </w:rPr>
              <w:t>--</w:t>
            </w:r>
          </w:p>
        </w:tc>
      </w:tr>
      <w:tr>
        <w:trPr>
          <w:trHeight w:val="216"/>
        </w:trPr>
        <w:tc>
          <w:tcPr>
            <w:tcW w:w="4980" w:type="dxa"/>
            <w:vAlign w:val="bottom"/>
          </w:tcPr>
          <w:p>
            <w:pPr>
              <w:ind w:left="220"/>
              <w:spacing w:after="0"/>
              <w:rPr>
                <w:sz w:val="20"/>
                <w:szCs w:val="20"/>
                <w:color w:val="auto"/>
              </w:rPr>
            </w:pPr>
            <w:r>
              <w:rPr>
                <w:rFonts w:ascii="Arial" w:cs="Arial" w:eastAsia="Arial" w:hAnsi="Arial"/>
                <w:sz w:val="14"/>
                <w:szCs w:val="14"/>
                <w:color w:val="auto"/>
              </w:rPr>
              <w:t>Other regulatory assets</w:t>
            </w:r>
          </w:p>
        </w:tc>
        <w:tc>
          <w:tcPr>
            <w:tcW w:w="260" w:type="dxa"/>
            <w:vAlign w:val="bottom"/>
          </w:tcPr>
          <w:p>
            <w:pPr>
              <w:spacing w:after="0"/>
              <w:rPr>
                <w:sz w:val="18"/>
                <w:szCs w:val="18"/>
                <w:color w:val="auto"/>
              </w:rPr>
            </w:pPr>
          </w:p>
        </w:tc>
        <w:tc>
          <w:tcPr>
            <w:tcW w:w="880" w:type="dxa"/>
            <w:vAlign w:val="bottom"/>
          </w:tcPr>
          <w:p>
            <w:pPr>
              <w:jc w:val="right"/>
              <w:ind w:right="208"/>
              <w:spacing w:after="0"/>
              <w:rPr>
                <w:sz w:val="20"/>
                <w:szCs w:val="20"/>
                <w:color w:val="auto"/>
              </w:rPr>
            </w:pPr>
            <w:r>
              <w:rPr>
                <w:rFonts w:ascii="Arial" w:cs="Arial" w:eastAsia="Arial" w:hAnsi="Arial"/>
                <w:sz w:val="14"/>
                <w:szCs w:val="14"/>
                <w:color w:val="auto"/>
              </w:rPr>
              <w:t>105</w:t>
            </w:r>
          </w:p>
        </w:tc>
        <w:tc>
          <w:tcPr>
            <w:tcW w:w="400" w:type="dxa"/>
            <w:vAlign w:val="bottom"/>
          </w:tcPr>
          <w:p>
            <w:pPr>
              <w:spacing w:after="0"/>
              <w:rPr>
                <w:sz w:val="18"/>
                <w:szCs w:val="18"/>
                <w:color w:val="auto"/>
              </w:rPr>
            </w:pPr>
          </w:p>
        </w:tc>
        <w:tc>
          <w:tcPr>
            <w:tcW w:w="800" w:type="dxa"/>
            <w:vAlign w:val="bottom"/>
          </w:tcPr>
          <w:p>
            <w:pPr>
              <w:jc w:val="right"/>
              <w:ind w:right="168"/>
              <w:spacing w:after="0"/>
              <w:rPr>
                <w:sz w:val="20"/>
                <w:szCs w:val="20"/>
                <w:color w:val="auto"/>
              </w:rPr>
            </w:pPr>
            <w:r>
              <w:rPr>
                <w:rFonts w:ascii="Arial" w:cs="Arial" w:eastAsia="Arial" w:hAnsi="Arial"/>
                <w:sz w:val="14"/>
                <w:szCs w:val="14"/>
                <w:color w:val="auto"/>
              </w:rPr>
              <w:t>100</w:t>
            </w:r>
          </w:p>
        </w:tc>
      </w:tr>
      <w:tr>
        <w:trPr>
          <w:trHeight w:val="216"/>
        </w:trPr>
        <w:tc>
          <w:tcPr>
            <w:tcW w:w="4980" w:type="dxa"/>
            <w:vAlign w:val="bottom"/>
          </w:tcPr>
          <w:p>
            <w:pPr>
              <w:ind w:left="220"/>
              <w:spacing w:after="0"/>
              <w:rPr>
                <w:sz w:val="20"/>
                <w:szCs w:val="20"/>
                <w:color w:val="auto"/>
              </w:rPr>
            </w:pPr>
            <w:r>
              <w:rPr>
                <w:rFonts w:ascii="Arial" w:cs="Arial" w:eastAsia="Arial" w:hAnsi="Arial"/>
                <w:sz w:val="14"/>
                <w:szCs w:val="14"/>
                <w:color w:val="auto"/>
              </w:rPr>
              <w:t>Pension plan assets in excess of benefit obligations</w:t>
            </w:r>
          </w:p>
        </w:tc>
        <w:tc>
          <w:tcPr>
            <w:tcW w:w="260" w:type="dxa"/>
            <w:vAlign w:val="bottom"/>
          </w:tcPr>
          <w:p>
            <w:pPr>
              <w:spacing w:after="0"/>
              <w:rPr>
                <w:sz w:val="18"/>
                <w:szCs w:val="18"/>
                <w:color w:val="auto"/>
              </w:rPr>
            </w:pPr>
          </w:p>
        </w:tc>
        <w:tc>
          <w:tcPr>
            <w:tcW w:w="8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8"/>
                <w:szCs w:val="18"/>
                <w:color w:val="auto"/>
              </w:rPr>
            </w:pPr>
          </w:p>
        </w:tc>
        <w:tc>
          <w:tcPr>
            <w:tcW w:w="800" w:type="dxa"/>
            <w:vAlign w:val="bottom"/>
          </w:tcPr>
          <w:p>
            <w:pPr>
              <w:jc w:val="right"/>
              <w:ind w:right="168"/>
              <w:spacing w:after="0"/>
              <w:rPr>
                <w:sz w:val="20"/>
                <w:szCs w:val="20"/>
                <w:color w:val="auto"/>
              </w:rPr>
            </w:pPr>
            <w:r>
              <w:rPr>
                <w:rFonts w:ascii="Arial" w:cs="Arial" w:eastAsia="Arial" w:hAnsi="Arial"/>
                <w:sz w:val="14"/>
                <w:szCs w:val="14"/>
                <w:color w:val="auto"/>
              </w:rPr>
              <w:t>62</w:t>
            </w:r>
          </w:p>
        </w:tc>
      </w:tr>
      <w:tr>
        <w:trPr>
          <w:trHeight w:val="222"/>
        </w:trPr>
        <w:tc>
          <w:tcPr>
            <w:tcW w:w="4980" w:type="dxa"/>
            <w:vAlign w:val="bottom"/>
          </w:tcPr>
          <w:p>
            <w:pPr>
              <w:ind w:left="220"/>
              <w:spacing w:after="0"/>
              <w:rPr>
                <w:sz w:val="20"/>
                <w:szCs w:val="20"/>
                <w:color w:val="auto"/>
              </w:rPr>
            </w:pPr>
            <w:r>
              <w:rPr>
                <w:rFonts w:ascii="Arial" w:cs="Arial" w:eastAsia="Arial" w:hAnsi="Arial"/>
                <w:sz w:val="14"/>
                <w:szCs w:val="14"/>
                <w:color w:val="auto"/>
              </w:rPr>
              <w:t>Sundry</w:t>
            </w: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24</w:t>
            </w:r>
          </w:p>
        </w:tc>
        <w:tc>
          <w:tcPr>
            <w:tcW w:w="4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16</w:t>
            </w:r>
          </w:p>
        </w:tc>
      </w:tr>
      <w:tr>
        <w:trPr>
          <w:trHeight w:val="208"/>
        </w:trPr>
        <w:tc>
          <w:tcPr>
            <w:tcW w:w="4980" w:type="dxa"/>
            <w:vAlign w:val="bottom"/>
          </w:tcPr>
          <w:p>
            <w:pPr>
              <w:ind w:left="440"/>
              <w:spacing w:after="0"/>
              <w:rPr>
                <w:sz w:val="20"/>
                <w:szCs w:val="20"/>
                <w:color w:val="auto"/>
              </w:rPr>
            </w:pPr>
            <w:r>
              <w:rPr>
                <w:rFonts w:ascii="Arial" w:cs="Arial" w:eastAsia="Arial" w:hAnsi="Arial"/>
                <w:sz w:val="14"/>
                <w:szCs w:val="14"/>
                <w:color w:val="auto"/>
              </w:rPr>
              <w:t>Total other assets</w:t>
            </w: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924</w:t>
            </w:r>
          </w:p>
        </w:tc>
        <w:tc>
          <w:tcPr>
            <w:tcW w:w="4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178</w:t>
            </w:r>
          </w:p>
        </w:tc>
      </w:tr>
      <w:tr>
        <w:trPr>
          <w:trHeight w:val="418"/>
        </w:trPr>
        <w:tc>
          <w:tcPr>
            <w:tcW w:w="4980" w:type="dxa"/>
            <w:vAlign w:val="bottom"/>
          </w:tcPr>
          <w:p>
            <w:pPr>
              <w:spacing w:after="0"/>
              <w:rPr>
                <w:sz w:val="20"/>
                <w:szCs w:val="20"/>
                <w:color w:val="auto"/>
              </w:rPr>
            </w:pPr>
            <w:r>
              <w:rPr>
                <w:rFonts w:ascii="Arial" w:cs="Arial" w:eastAsia="Arial" w:hAnsi="Arial"/>
                <w:sz w:val="14"/>
                <w:szCs w:val="14"/>
                <w:color w:val="auto"/>
              </w:rPr>
              <w:t>Property, plant and equipment:</w:t>
            </w: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16"/>
        </w:trPr>
        <w:tc>
          <w:tcPr>
            <w:tcW w:w="4980" w:type="dxa"/>
            <w:vAlign w:val="bottom"/>
          </w:tcPr>
          <w:p>
            <w:pPr>
              <w:ind w:left="220"/>
              <w:spacing w:after="0"/>
              <w:rPr>
                <w:sz w:val="20"/>
                <w:szCs w:val="20"/>
                <w:color w:val="auto"/>
              </w:rPr>
            </w:pPr>
            <w:r>
              <w:rPr>
                <w:rFonts w:ascii="Arial" w:cs="Arial" w:eastAsia="Arial" w:hAnsi="Arial"/>
                <w:sz w:val="14"/>
                <w:szCs w:val="14"/>
                <w:color w:val="auto"/>
              </w:rPr>
              <w:t>Property, plant and equipment</w:t>
            </w:r>
          </w:p>
        </w:tc>
        <w:tc>
          <w:tcPr>
            <w:tcW w:w="260" w:type="dxa"/>
            <w:vAlign w:val="bottom"/>
          </w:tcPr>
          <w:p>
            <w:pPr>
              <w:spacing w:after="0"/>
              <w:rPr>
                <w:sz w:val="18"/>
                <w:szCs w:val="18"/>
                <w:color w:val="auto"/>
              </w:rPr>
            </w:pPr>
          </w:p>
        </w:tc>
        <w:tc>
          <w:tcPr>
            <w:tcW w:w="880" w:type="dxa"/>
            <w:vAlign w:val="bottom"/>
          </w:tcPr>
          <w:p>
            <w:pPr>
              <w:jc w:val="right"/>
              <w:ind w:right="208"/>
              <w:spacing w:after="0"/>
              <w:rPr>
                <w:sz w:val="20"/>
                <w:szCs w:val="20"/>
                <w:color w:val="auto"/>
              </w:rPr>
            </w:pPr>
            <w:r>
              <w:rPr>
                <w:rFonts w:ascii="Arial" w:cs="Arial" w:eastAsia="Arial" w:hAnsi="Arial"/>
                <w:sz w:val="14"/>
                <w:szCs w:val="14"/>
                <w:color w:val="auto"/>
              </w:rPr>
              <w:t>8,814</w:t>
            </w:r>
          </w:p>
        </w:tc>
        <w:tc>
          <w:tcPr>
            <w:tcW w:w="400" w:type="dxa"/>
            <w:vAlign w:val="bottom"/>
          </w:tcPr>
          <w:p>
            <w:pPr>
              <w:spacing w:after="0"/>
              <w:rPr>
                <w:sz w:val="18"/>
                <w:szCs w:val="18"/>
                <w:color w:val="auto"/>
              </w:rPr>
            </w:pPr>
          </w:p>
        </w:tc>
        <w:tc>
          <w:tcPr>
            <w:tcW w:w="800" w:type="dxa"/>
            <w:vAlign w:val="bottom"/>
          </w:tcPr>
          <w:p>
            <w:pPr>
              <w:jc w:val="right"/>
              <w:ind w:right="168"/>
              <w:spacing w:after="0"/>
              <w:rPr>
                <w:sz w:val="20"/>
                <w:szCs w:val="20"/>
                <w:color w:val="auto"/>
              </w:rPr>
            </w:pPr>
            <w:r>
              <w:rPr>
                <w:rFonts w:ascii="Arial" w:cs="Arial" w:eastAsia="Arial" w:hAnsi="Arial"/>
                <w:sz w:val="14"/>
                <w:szCs w:val="14"/>
                <w:color w:val="auto"/>
              </w:rPr>
              <w:t>8,446</w:t>
            </w:r>
          </w:p>
        </w:tc>
      </w:tr>
      <w:tr>
        <w:trPr>
          <w:trHeight w:val="222"/>
        </w:trPr>
        <w:tc>
          <w:tcPr>
            <w:tcW w:w="4980" w:type="dxa"/>
            <w:vAlign w:val="bottom"/>
          </w:tcPr>
          <w:p>
            <w:pPr>
              <w:ind w:left="220"/>
              <w:spacing w:after="0"/>
              <w:rPr>
                <w:sz w:val="20"/>
                <w:szCs w:val="20"/>
                <w:color w:val="auto"/>
              </w:rPr>
            </w:pPr>
            <w:r>
              <w:rPr>
                <w:rFonts w:ascii="Arial" w:cs="Arial" w:eastAsia="Arial" w:hAnsi="Arial"/>
                <w:sz w:val="14"/>
                <w:szCs w:val="14"/>
                <w:color w:val="auto"/>
              </w:rPr>
              <w:t>Less accumulated depreciation and amortization</w:t>
            </w: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(3,448 )</w:t>
            </w:r>
          </w:p>
        </w:tc>
        <w:tc>
          <w:tcPr>
            <w:tcW w:w="4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(3,292 )</w:t>
            </w:r>
          </w:p>
        </w:tc>
      </w:tr>
      <w:tr>
        <w:trPr>
          <w:trHeight w:val="208"/>
        </w:trPr>
        <w:tc>
          <w:tcPr>
            <w:tcW w:w="4980" w:type="dxa"/>
            <w:vAlign w:val="bottom"/>
          </w:tcPr>
          <w:p>
            <w:pPr>
              <w:ind w:left="440"/>
              <w:spacing w:after="0"/>
              <w:rPr>
                <w:sz w:val="20"/>
                <w:szCs w:val="20"/>
                <w:color w:val="auto"/>
              </w:rPr>
            </w:pPr>
            <w:r>
              <w:rPr>
                <w:rFonts w:ascii="Arial" w:cs="Arial" w:eastAsia="Arial" w:hAnsi="Arial"/>
                <w:sz w:val="14"/>
                <w:szCs w:val="14"/>
                <w:color w:val="auto"/>
              </w:rPr>
              <w:t>Property, plant and equipment, net</w:t>
            </w: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5,366</w:t>
            </w:r>
          </w:p>
        </w:tc>
        <w:tc>
          <w:tcPr>
            <w:tcW w:w="4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5,154</w:t>
            </w:r>
          </w:p>
        </w:tc>
      </w:tr>
      <w:tr>
        <w:trPr>
          <w:trHeight w:val="224"/>
        </w:trPr>
        <w:tc>
          <w:tcPr>
            <w:tcW w:w="49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Total assets</w:t>
            </w:r>
          </w:p>
        </w:tc>
        <w:tc>
          <w:tcPr>
            <w:tcW w:w="26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7,351</w:t>
            </w:r>
          </w:p>
        </w:tc>
        <w:tc>
          <w:tcPr>
            <w:tcW w:w="400" w:type="dxa"/>
            <w:vAlign w:val="bottom"/>
            <w:tcBorders>
              <w:bottom w:val="single" w:sz="8" w:color="auto"/>
            </w:tcBorders>
          </w:tcPr>
          <w:p>
            <w:pPr>
              <w:jc w:val="right"/>
              <w:ind w:right="71"/>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6,406</w:t>
            </w:r>
          </w:p>
        </w:tc>
      </w:tr>
    </w:tbl>
    <w:p>
      <w:pPr>
        <w:spacing w:after="0" w:line="257" w:lineRule="exact"/>
        <w:rPr>
          <w:sz w:val="20"/>
          <w:szCs w:val="20"/>
          <w:color w:val="auto"/>
        </w:rPr>
      </w:pPr>
    </w:p>
    <w:p>
      <w:pPr>
        <w:ind w:left="2140"/>
        <w:spacing w:after="0"/>
        <w:rPr>
          <w:sz w:val="20"/>
          <w:szCs w:val="20"/>
          <w:color w:val="auto"/>
        </w:rPr>
      </w:pPr>
      <w:r>
        <w:rPr>
          <w:rFonts w:ascii="Arial" w:cs="Arial" w:eastAsia="Arial" w:hAnsi="Arial"/>
          <w:sz w:val="13"/>
          <w:szCs w:val="13"/>
          <w:i w:val="1"/>
          <w:iCs w:val="1"/>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Arial" w:cs="Arial" w:eastAsia="Arial" w:hAnsi="Arial"/>
          <w:sz w:val="14"/>
          <w:szCs w:val="14"/>
          <w:color w:val="auto"/>
        </w:rPr>
        <w:t>88</w:t>
      </w:r>
    </w:p>
    <w:p>
      <w:pPr>
        <w:sectPr>
          <w:pgSz w:w="11900" w:h="16838" w:orient="portrait"/>
          <w:cols w:equalWidth="0" w:num="1">
            <w:col w:w="10219"/>
          </w:cols>
          <w:pgMar w:left="240" w:top="364" w:right="1440" w:bottom="1440" w:gutter="0" w:footer="0" w:header="0"/>
        </w:sectPr>
      </w:pPr>
    </w:p>
    <w:bookmarkStart w:id="228" w:name="page229"/>
    <w:bookmarkEnd w:id="228"/>
    <w:p>
      <w:pPr>
        <w:ind w:left="2020"/>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1431290</wp:posOffset>
            </wp:positionH>
            <wp:positionV relativeFrom="page">
              <wp:posOffset>470535</wp:posOffset>
            </wp:positionV>
            <wp:extent cx="4706620" cy="389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4706620" cy="389255"/>
                    </a:xfrm>
                    <a:prstGeom prst="rect">
                      <a:avLst/>
                    </a:prstGeom>
                    <a:noFill/>
                  </pic:spPr>
                </pic:pic>
              </a:graphicData>
            </a:graphic>
          </wp:anchor>
        </w:drawing>
        <w:t>SOUTHERN CALIFORNIA GAS COMPANY AND SUBSIDIARIES</w:t>
      </w:r>
    </w:p>
    <w:p>
      <w:pPr>
        <w:spacing w:after="0" w:line="31" w:lineRule="exact"/>
        <w:rPr>
          <w:sz w:val="20"/>
          <w:szCs w:val="20"/>
          <w:color w:val="auto"/>
        </w:rPr>
      </w:pPr>
    </w:p>
    <w:p>
      <w:pPr>
        <w:ind w:left="2020"/>
        <w:spacing w:after="0"/>
        <w:rPr>
          <w:sz w:val="20"/>
          <w:szCs w:val="20"/>
          <w:color w:val="auto"/>
        </w:rPr>
      </w:pPr>
      <w:r>
        <w:rPr>
          <w:rFonts w:ascii="Arial" w:cs="Arial" w:eastAsia="Arial" w:hAnsi="Arial"/>
          <w:sz w:val="14"/>
          <w:szCs w:val="14"/>
          <w:b w:val="1"/>
          <w:bCs w:val="1"/>
          <w:color w:val="auto"/>
        </w:rPr>
        <w:t>CONSOLIDATED BALANCE SHEETS</w:t>
      </w:r>
    </w:p>
    <w:p>
      <w:pPr>
        <w:spacing w:after="0" w:line="76" w:lineRule="exact"/>
        <w:rPr>
          <w:sz w:val="20"/>
          <w:szCs w:val="20"/>
          <w:color w:val="auto"/>
        </w:rPr>
      </w:pPr>
    </w:p>
    <w:tbl>
      <w:tblPr>
        <w:tblLayout w:type="fixed"/>
        <w:tblInd w:w="2020" w:type="dxa"/>
        <w:tblCellMar>
          <w:top w:w="0" w:type="dxa"/>
          <w:left w:w="0" w:type="dxa"/>
          <w:bottom w:w="0" w:type="dxa"/>
          <w:right w:w="0" w:type="dxa"/>
        </w:tblCellMar>
      </w:tblPr>
      <w:tr>
        <w:trPr>
          <w:trHeight w:val="166"/>
        </w:trPr>
        <w:tc>
          <w:tcPr>
            <w:tcW w:w="5060" w:type="dxa"/>
            <w:vAlign w:val="bottom"/>
          </w:tcPr>
          <w:p>
            <w:pPr>
              <w:spacing w:after="0"/>
              <w:rPr>
                <w:sz w:val="20"/>
                <w:szCs w:val="20"/>
                <w:color w:val="auto"/>
              </w:rPr>
            </w:pPr>
            <w:r>
              <w:rPr>
                <w:rFonts w:ascii="Arial" w:cs="Arial" w:eastAsia="Arial" w:hAnsi="Arial"/>
                <w:sz w:val="13"/>
                <w:szCs w:val="13"/>
                <w:i w:val="1"/>
                <w:iCs w:val="1"/>
                <w:color w:val="auto"/>
              </w:rPr>
              <w:t>(Dollars in millions)</w:t>
            </w: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216"/>
        </w:trPr>
        <w:tc>
          <w:tcPr>
            <w:tcW w:w="5060" w:type="dxa"/>
            <w:vAlign w:val="bottom"/>
          </w:tcPr>
          <w:p>
            <w:pPr>
              <w:spacing w:after="0"/>
              <w:rPr>
                <w:sz w:val="18"/>
                <w:szCs w:val="18"/>
                <w:color w:val="auto"/>
              </w:rPr>
            </w:pPr>
          </w:p>
        </w:tc>
        <w:tc>
          <w:tcPr>
            <w:tcW w:w="1120" w:type="dxa"/>
            <w:vAlign w:val="bottom"/>
            <w:gridSpan w:val="2"/>
          </w:tcPr>
          <w:p>
            <w:pPr>
              <w:jc w:val="right"/>
              <w:ind w:right="148"/>
              <w:spacing w:after="0"/>
              <w:rPr>
                <w:sz w:val="20"/>
                <w:szCs w:val="20"/>
                <w:color w:val="auto"/>
              </w:rPr>
            </w:pPr>
            <w:r>
              <w:rPr>
                <w:rFonts w:ascii="Arial" w:cs="Arial" w:eastAsia="Arial" w:hAnsi="Arial"/>
                <w:sz w:val="13"/>
                <w:szCs w:val="13"/>
                <w:color w:val="auto"/>
              </w:rPr>
              <w:t>December 31,</w:t>
            </w:r>
          </w:p>
        </w:tc>
        <w:tc>
          <w:tcPr>
            <w:tcW w:w="280" w:type="dxa"/>
            <w:vAlign w:val="bottom"/>
          </w:tcPr>
          <w:p>
            <w:pPr>
              <w:spacing w:after="0"/>
              <w:rPr>
                <w:sz w:val="18"/>
                <w:szCs w:val="18"/>
                <w:color w:val="auto"/>
              </w:rPr>
            </w:pPr>
          </w:p>
        </w:tc>
        <w:tc>
          <w:tcPr>
            <w:tcW w:w="940" w:type="dxa"/>
            <w:vAlign w:val="bottom"/>
          </w:tcPr>
          <w:p>
            <w:pPr>
              <w:jc w:val="right"/>
              <w:ind w:right="68"/>
              <w:spacing w:after="0"/>
              <w:rPr>
                <w:sz w:val="20"/>
                <w:szCs w:val="20"/>
                <w:color w:val="auto"/>
              </w:rPr>
            </w:pPr>
            <w:r>
              <w:rPr>
                <w:rFonts w:ascii="Arial" w:cs="Arial" w:eastAsia="Arial" w:hAnsi="Arial"/>
                <w:sz w:val="13"/>
                <w:szCs w:val="13"/>
                <w:color w:val="auto"/>
                <w:w w:val="95"/>
              </w:rPr>
              <w:t>December 31,</w:t>
            </w:r>
          </w:p>
        </w:tc>
      </w:tr>
      <w:tr>
        <w:trPr>
          <w:trHeight w:val="221"/>
        </w:trPr>
        <w:tc>
          <w:tcPr>
            <w:tcW w:w="506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408"/>
              <w:spacing w:after="0"/>
              <w:rPr>
                <w:sz w:val="20"/>
                <w:szCs w:val="20"/>
                <w:color w:val="auto"/>
              </w:rPr>
            </w:pPr>
            <w:r>
              <w:rPr>
                <w:rFonts w:ascii="Arial" w:cs="Arial" w:eastAsia="Arial" w:hAnsi="Arial"/>
                <w:sz w:val="13"/>
                <w:szCs w:val="13"/>
                <w:color w:val="auto"/>
              </w:rPr>
              <w:t>2008</w:t>
            </w: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28"/>
              <w:spacing w:after="0"/>
              <w:rPr>
                <w:sz w:val="20"/>
                <w:szCs w:val="20"/>
                <w:color w:val="auto"/>
              </w:rPr>
            </w:pPr>
            <w:r>
              <w:rPr>
                <w:rFonts w:ascii="Arial" w:cs="Arial" w:eastAsia="Arial" w:hAnsi="Arial"/>
                <w:sz w:val="13"/>
                <w:szCs w:val="13"/>
                <w:color w:val="auto"/>
              </w:rPr>
              <w:t>2007</w:t>
            </w:r>
          </w:p>
        </w:tc>
      </w:tr>
      <w:tr>
        <w:trPr>
          <w:trHeight w:val="423"/>
        </w:trPr>
        <w:tc>
          <w:tcPr>
            <w:tcW w:w="5060" w:type="dxa"/>
            <w:vAlign w:val="bottom"/>
          </w:tcPr>
          <w:p>
            <w:pPr>
              <w:spacing w:after="0"/>
              <w:rPr>
                <w:sz w:val="20"/>
                <w:szCs w:val="20"/>
                <w:color w:val="auto"/>
              </w:rPr>
            </w:pPr>
            <w:r>
              <w:rPr>
                <w:rFonts w:ascii="Arial" w:cs="Arial" w:eastAsia="Arial" w:hAnsi="Arial"/>
                <w:sz w:val="14"/>
                <w:szCs w:val="14"/>
                <w:color w:val="auto"/>
              </w:rPr>
              <w:t>LIABILITIES AND SHAREHOLDERS' EQUITY</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16"/>
        </w:trPr>
        <w:tc>
          <w:tcPr>
            <w:tcW w:w="5060" w:type="dxa"/>
            <w:vAlign w:val="bottom"/>
          </w:tcPr>
          <w:p>
            <w:pPr>
              <w:spacing w:after="0"/>
              <w:rPr>
                <w:sz w:val="20"/>
                <w:szCs w:val="20"/>
                <w:color w:val="auto"/>
              </w:rPr>
            </w:pPr>
            <w:r>
              <w:rPr>
                <w:rFonts w:ascii="Arial" w:cs="Arial" w:eastAsia="Arial" w:hAnsi="Arial"/>
                <w:sz w:val="14"/>
                <w:szCs w:val="14"/>
                <w:color w:val="auto"/>
              </w:rPr>
              <w:t>Current liabilities: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6"/>
        </w:trPr>
        <w:tc>
          <w:tcPr>
            <w:tcW w:w="5060" w:type="dxa"/>
            <w:vAlign w:val="bottom"/>
          </w:tcPr>
          <w:p>
            <w:pPr>
              <w:ind w:left="220"/>
              <w:spacing w:after="0"/>
              <w:rPr>
                <w:sz w:val="20"/>
                <w:szCs w:val="20"/>
                <w:color w:val="auto"/>
              </w:rPr>
            </w:pPr>
            <w:r>
              <w:rPr>
                <w:rFonts w:ascii="Arial" w:cs="Arial" w:eastAsia="Arial" w:hAnsi="Arial"/>
                <w:sz w:val="14"/>
                <w:szCs w:val="14"/>
                <w:color w:val="auto"/>
              </w:rPr>
              <w:t>Accounts payable – trade</w:t>
            </w:r>
          </w:p>
        </w:tc>
        <w:tc>
          <w:tcPr>
            <w:tcW w:w="240" w:type="dxa"/>
            <w:vAlign w:val="bottom"/>
          </w:tcPr>
          <w:p>
            <w:pPr>
              <w:jc w:val="right"/>
              <w:ind w:right="31"/>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248"/>
              <w:spacing w:after="0"/>
              <w:rPr>
                <w:sz w:val="20"/>
                <w:szCs w:val="20"/>
                <w:color w:val="auto"/>
              </w:rPr>
            </w:pPr>
            <w:r>
              <w:rPr>
                <w:rFonts w:ascii="Arial" w:cs="Arial" w:eastAsia="Arial" w:hAnsi="Arial"/>
                <w:sz w:val="14"/>
                <w:szCs w:val="14"/>
                <w:color w:val="auto"/>
              </w:rPr>
              <w:t>257</w:t>
            </w:r>
          </w:p>
        </w:tc>
        <w:tc>
          <w:tcPr>
            <w:tcW w:w="280" w:type="dxa"/>
            <w:vAlign w:val="bottom"/>
          </w:tcPr>
          <w:p>
            <w:pPr>
              <w:jc w:val="right"/>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168"/>
              <w:spacing w:after="0"/>
              <w:rPr>
                <w:sz w:val="20"/>
                <w:szCs w:val="20"/>
                <w:color w:val="auto"/>
              </w:rPr>
            </w:pPr>
            <w:r>
              <w:rPr>
                <w:rFonts w:ascii="Arial" w:cs="Arial" w:eastAsia="Arial" w:hAnsi="Arial"/>
                <w:sz w:val="14"/>
                <w:szCs w:val="14"/>
                <w:color w:val="auto"/>
              </w:rPr>
              <w:t>300</w:t>
            </w:r>
          </w:p>
        </w:tc>
      </w:tr>
      <w:tr>
        <w:trPr>
          <w:trHeight w:val="216"/>
        </w:trPr>
        <w:tc>
          <w:tcPr>
            <w:tcW w:w="5060" w:type="dxa"/>
            <w:vAlign w:val="bottom"/>
          </w:tcPr>
          <w:p>
            <w:pPr>
              <w:ind w:left="220"/>
              <w:spacing w:after="0"/>
              <w:rPr>
                <w:sz w:val="20"/>
                <w:szCs w:val="20"/>
                <w:color w:val="auto"/>
              </w:rPr>
            </w:pPr>
            <w:r>
              <w:rPr>
                <w:rFonts w:ascii="Arial" w:cs="Arial" w:eastAsia="Arial" w:hAnsi="Arial"/>
                <w:sz w:val="14"/>
                <w:szCs w:val="14"/>
                <w:color w:val="auto"/>
              </w:rPr>
              <w:t>Accounts payable – other</w:t>
            </w:r>
          </w:p>
        </w:tc>
        <w:tc>
          <w:tcPr>
            <w:tcW w:w="240" w:type="dxa"/>
            <w:vAlign w:val="bottom"/>
          </w:tcPr>
          <w:p>
            <w:pPr>
              <w:spacing w:after="0"/>
              <w:rPr>
                <w:sz w:val="18"/>
                <w:szCs w:val="18"/>
                <w:color w:val="auto"/>
              </w:rPr>
            </w:pPr>
          </w:p>
        </w:tc>
        <w:tc>
          <w:tcPr>
            <w:tcW w:w="880" w:type="dxa"/>
            <w:vAlign w:val="bottom"/>
          </w:tcPr>
          <w:p>
            <w:pPr>
              <w:jc w:val="right"/>
              <w:ind w:right="248"/>
              <w:spacing w:after="0"/>
              <w:rPr>
                <w:sz w:val="20"/>
                <w:szCs w:val="20"/>
                <w:color w:val="auto"/>
              </w:rPr>
            </w:pPr>
            <w:r>
              <w:rPr>
                <w:rFonts w:ascii="Arial" w:cs="Arial" w:eastAsia="Arial" w:hAnsi="Arial"/>
                <w:sz w:val="14"/>
                <w:szCs w:val="14"/>
                <w:color w:val="auto"/>
              </w:rPr>
              <w:t>163</w:t>
            </w:r>
          </w:p>
        </w:tc>
        <w:tc>
          <w:tcPr>
            <w:tcW w:w="280" w:type="dxa"/>
            <w:vAlign w:val="bottom"/>
          </w:tcPr>
          <w:p>
            <w:pPr>
              <w:spacing w:after="0"/>
              <w:rPr>
                <w:sz w:val="18"/>
                <w:szCs w:val="18"/>
                <w:color w:val="auto"/>
              </w:rPr>
            </w:pPr>
          </w:p>
        </w:tc>
        <w:tc>
          <w:tcPr>
            <w:tcW w:w="940" w:type="dxa"/>
            <w:vAlign w:val="bottom"/>
          </w:tcPr>
          <w:p>
            <w:pPr>
              <w:jc w:val="right"/>
              <w:ind w:right="168"/>
              <w:spacing w:after="0"/>
              <w:rPr>
                <w:sz w:val="20"/>
                <w:szCs w:val="20"/>
                <w:color w:val="auto"/>
              </w:rPr>
            </w:pPr>
            <w:r>
              <w:rPr>
                <w:rFonts w:ascii="Arial" w:cs="Arial" w:eastAsia="Arial" w:hAnsi="Arial"/>
                <w:sz w:val="14"/>
                <w:szCs w:val="14"/>
                <w:color w:val="auto"/>
              </w:rPr>
              <w:t>130</w:t>
            </w:r>
          </w:p>
        </w:tc>
      </w:tr>
      <w:tr>
        <w:trPr>
          <w:trHeight w:val="216"/>
        </w:trPr>
        <w:tc>
          <w:tcPr>
            <w:tcW w:w="5060" w:type="dxa"/>
            <w:vAlign w:val="bottom"/>
          </w:tcPr>
          <w:p>
            <w:pPr>
              <w:ind w:left="220"/>
              <w:spacing w:after="0"/>
              <w:rPr>
                <w:sz w:val="20"/>
                <w:szCs w:val="20"/>
                <w:color w:val="auto"/>
              </w:rPr>
            </w:pPr>
            <w:r>
              <w:rPr>
                <w:rFonts w:ascii="Arial" w:cs="Arial" w:eastAsia="Arial" w:hAnsi="Arial"/>
                <w:sz w:val="14"/>
                <w:szCs w:val="14"/>
                <w:color w:val="auto"/>
              </w:rPr>
              <w:t>Due to unconsolidated affiliates</w:t>
            </w:r>
          </w:p>
        </w:tc>
        <w:tc>
          <w:tcPr>
            <w:tcW w:w="240" w:type="dxa"/>
            <w:vAlign w:val="bottom"/>
          </w:tcPr>
          <w:p>
            <w:pPr>
              <w:spacing w:after="0"/>
              <w:rPr>
                <w:sz w:val="18"/>
                <w:szCs w:val="18"/>
                <w:color w:val="auto"/>
              </w:rPr>
            </w:pPr>
          </w:p>
        </w:tc>
        <w:tc>
          <w:tcPr>
            <w:tcW w:w="880" w:type="dxa"/>
            <w:vAlign w:val="bottom"/>
          </w:tcPr>
          <w:p>
            <w:pPr>
              <w:jc w:val="right"/>
              <w:ind w:right="248"/>
              <w:spacing w:after="0"/>
              <w:rPr>
                <w:sz w:val="20"/>
                <w:szCs w:val="20"/>
                <w:color w:val="auto"/>
              </w:rPr>
            </w:pPr>
            <w:r>
              <w:rPr>
                <w:rFonts w:ascii="Arial" w:cs="Arial" w:eastAsia="Arial" w:hAnsi="Arial"/>
                <w:sz w:val="14"/>
                <w:szCs w:val="14"/>
                <w:color w:val="auto"/>
              </w:rPr>
              <w:t>23</w:t>
            </w:r>
          </w:p>
        </w:tc>
        <w:tc>
          <w:tcPr>
            <w:tcW w:w="280" w:type="dxa"/>
            <w:vAlign w:val="bottom"/>
          </w:tcPr>
          <w:p>
            <w:pPr>
              <w:spacing w:after="0"/>
              <w:rPr>
                <w:sz w:val="18"/>
                <w:szCs w:val="18"/>
                <w:color w:val="auto"/>
              </w:rPr>
            </w:pPr>
          </w:p>
        </w:tc>
        <w:tc>
          <w:tcPr>
            <w:tcW w:w="940" w:type="dxa"/>
            <w:vAlign w:val="bottom"/>
          </w:tcPr>
          <w:p>
            <w:pPr>
              <w:jc w:val="right"/>
              <w:ind w:right="168"/>
              <w:spacing w:after="0"/>
              <w:rPr>
                <w:sz w:val="20"/>
                <w:szCs w:val="20"/>
                <w:color w:val="auto"/>
              </w:rPr>
            </w:pPr>
            <w:r>
              <w:rPr>
                <w:rFonts w:ascii="Arial" w:cs="Arial" w:eastAsia="Arial" w:hAnsi="Arial"/>
                <w:sz w:val="14"/>
                <w:szCs w:val="14"/>
                <w:color w:val="auto"/>
              </w:rPr>
              <w:t>171</w:t>
            </w:r>
          </w:p>
        </w:tc>
      </w:tr>
      <w:tr>
        <w:trPr>
          <w:trHeight w:val="216"/>
        </w:trPr>
        <w:tc>
          <w:tcPr>
            <w:tcW w:w="5060" w:type="dxa"/>
            <w:vAlign w:val="bottom"/>
          </w:tcPr>
          <w:p>
            <w:pPr>
              <w:ind w:left="220"/>
              <w:spacing w:after="0"/>
              <w:rPr>
                <w:sz w:val="20"/>
                <w:szCs w:val="20"/>
                <w:color w:val="auto"/>
              </w:rPr>
            </w:pPr>
            <w:r>
              <w:rPr>
                <w:rFonts w:ascii="Arial" w:cs="Arial" w:eastAsia="Arial" w:hAnsi="Arial"/>
                <w:sz w:val="14"/>
                <w:szCs w:val="14"/>
                <w:color w:val="auto"/>
              </w:rPr>
              <w:t>Deferred income taxes</w:t>
            </w:r>
          </w:p>
        </w:tc>
        <w:tc>
          <w:tcPr>
            <w:tcW w:w="240" w:type="dxa"/>
            <w:vAlign w:val="bottom"/>
          </w:tcPr>
          <w:p>
            <w:pPr>
              <w:spacing w:after="0"/>
              <w:rPr>
                <w:sz w:val="18"/>
                <w:szCs w:val="18"/>
                <w:color w:val="auto"/>
              </w:rPr>
            </w:pPr>
          </w:p>
        </w:tc>
        <w:tc>
          <w:tcPr>
            <w:tcW w:w="880" w:type="dxa"/>
            <w:vAlign w:val="bottom"/>
          </w:tcPr>
          <w:p>
            <w:pPr>
              <w:jc w:val="right"/>
              <w:ind w:right="248"/>
              <w:spacing w:after="0"/>
              <w:rPr>
                <w:sz w:val="20"/>
                <w:szCs w:val="20"/>
                <w:color w:val="auto"/>
              </w:rPr>
            </w:pPr>
            <w:r>
              <w:rPr>
                <w:rFonts w:ascii="Arial" w:cs="Arial" w:eastAsia="Arial" w:hAnsi="Arial"/>
                <w:sz w:val="14"/>
                <w:szCs w:val="14"/>
                <w:color w:val="auto"/>
              </w:rPr>
              <w:t>6</w:t>
            </w:r>
          </w:p>
        </w:tc>
        <w:tc>
          <w:tcPr>
            <w:tcW w:w="280" w:type="dxa"/>
            <w:vAlign w:val="bottom"/>
          </w:tcPr>
          <w:p>
            <w:pPr>
              <w:spacing w:after="0"/>
              <w:rPr>
                <w:sz w:val="18"/>
                <w:szCs w:val="18"/>
                <w:color w:val="auto"/>
              </w:rPr>
            </w:pPr>
          </w:p>
        </w:tc>
        <w:tc>
          <w:tcPr>
            <w:tcW w:w="940" w:type="dxa"/>
            <w:vAlign w:val="bottom"/>
          </w:tcPr>
          <w:p>
            <w:pPr>
              <w:jc w:val="right"/>
              <w:ind w:right="168"/>
              <w:spacing w:after="0"/>
              <w:rPr>
                <w:sz w:val="20"/>
                <w:szCs w:val="20"/>
                <w:color w:val="auto"/>
              </w:rPr>
            </w:pPr>
            <w:r>
              <w:rPr>
                <w:rFonts w:ascii="Arial" w:cs="Arial" w:eastAsia="Arial" w:hAnsi="Arial"/>
                <w:sz w:val="14"/>
                <w:szCs w:val="14"/>
                <w:color w:val="auto"/>
              </w:rPr>
              <w:t>--</w:t>
            </w:r>
          </w:p>
        </w:tc>
      </w:tr>
      <w:tr>
        <w:trPr>
          <w:trHeight w:val="216"/>
        </w:trPr>
        <w:tc>
          <w:tcPr>
            <w:tcW w:w="5060" w:type="dxa"/>
            <w:vAlign w:val="bottom"/>
          </w:tcPr>
          <w:p>
            <w:pPr>
              <w:ind w:left="220"/>
              <w:spacing w:after="0"/>
              <w:rPr>
                <w:sz w:val="20"/>
                <w:szCs w:val="20"/>
                <w:color w:val="auto"/>
              </w:rPr>
            </w:pPr>
            <w:r>
              <w:rPr>
                <w:rFonts w:ascii="Arial" w:cs="Arial" w:eastAsia="Arial" w:hAnsi="Arial"/>
                <w:sz w:val="14"/>
                <w:szCs w:val="14"/>
                <w:color w:val="auto"/>
              </w:rPr>
              <w:t>Income taxes payable</w:t>
            </w:r>
          </w:p>
        </w:tc>
        <w:tc>
          <w:tcPr>
            <w:tcW w:w="240" w:type="dxa"/>
            <w:vAlign w:val="bottom"/>
          </w:tcPr>
          <w:p>
            <w:pPr>
              <w:spacing w:after="0"/>
              <w:rPr>
                <w:sz w:val="18"/>
                <w:szCs w:val="18"/>
                <w:color w:val="auto"/>
              </w:rPr>
            </w:pPr>
          </w:p>
        </w:tc>
        <w:tc>
          <w:tcPr>
            <w:tcW w:w="88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8"/>
                <w:szCs w:val="18"/>
                <w:color w:val="auto"/>
              </w:rPr>
            </w:pPr>
          </w:p>
        </w:tc>
        <w:tc>
          <w:tcPr>
            <w:tcW w:w="940" w:type="dxa"/>
            <w:vAlign w:val="bottom"/>
          </w:tcPr>
          <w:p>
            <w:pPr>
              <w:jc w:val="right"/>
              <w:ind w:right="168"/>
              <w:spacing w:after="0"/>
              <w:rPr>
                <w:sz w:val="20"/>
                <w:szCs w:val="20"/>
                <w:color w:val="auto"/>
              </w:rPr>
            </w:pPr>
            <w:r>
              <w:rPr>
                <w:rFonts w:ascii="Arial" w:cs="Arial" w:eastAsia="Arial" w:hAnsi="Arial"/>
                <w:sz w:val="14"/>
                <w:szCs w:val="14"/>
                <w:color w:val="auto"/>
              </w:rPr>
              <w:t>26</w:t>
            </w:r>
          </w:p>
        </w:tc>
      </w:tr>
      <w:tr>
        <w:trPr>
          <w:trHeight w:val="216"/>
        </w:trPr>
        <w:tc>
          <w:tcPr>
            <w:tcW w:w="5060" w:type="dxa"/>
            <w:vAlign w:val="bottom"/>
          </w:tcPr>
          <w:p>
            <w:pPr>
              <w:ind w:left="220"/>
              <w:spacing w:after="0"/>
              <w:rPr>
                <w:sz w:val="20"/>
                <w:szCs w:val="20"/>
                <w:color w:val="auto"/>
              </w:rPr>
            </w:pPr>
            <w:r>
              <w:rPr>
                <w:rFonts w:ascii="Arial" w:cs="Arial" w:eastAsia="Arial" w:hAnsi="Arial"/>
                <w:sz w:val="14"/>
                <w:szCs w:val="14"/>
                <w:color w:val="auto"/>
              </w:rPr>
              <w:t>Regulatory balancing accounts, net</w:t>
            </w:r>
          </w:p>
        </w:tc>
        <w:tc>
          <w:tcPr>
            <w:tcW w:w="240" w:type="dxa"/>
            <w:vAlign w:val="bottom"/>
          </w:tcPr>
          <w:p>
            <w:pPr>
              <w:spacing w:after="0"/>
              <w:rPr>
                <w:sz w:val="18"/>
                <w:szCs w:val="18"/>
                <w:color w:val="auto"/>
              </w:rPr>
            </w:pPr>
          </w:p>
        </w:tc>
        <w:tc>
          <w:tcPr>
            <w:tcW w:w="880" w:type="dxa"/>
            <w:vAlign w:val="bottom"/>
          </w:tcPr>
          <w:p>
            <w:pPr>
              <w:jc w:val="right"/>
              <w:ind w:right="248"/>
              <w:spacing w:after="0"/>
              <w:rPr>
                <w:sz w:val="20"/>
                <w:szCs w:val="20"/>
                <w:color w:val="auto"/>
              </w:rPr>
            </w:pPr>
            <w:r>
              <w:rPr>
                <w:rFonts w:ascii="Arial" w:cs="Arial" w:eastAsia="Arial" w:hAnsi="Arial"/>
                <w:sz w:val="14"/>
                <w:szCs w:val="14"/>
                <w:color w:val="auto"/>
              </w:rPr>
              <w:t>221</w:t>
            </w:r>
          </w:p>
        </w:tc>
        <w:tc>
          <w:tcPr>
            <w:tcW w:w="280" w:type="dxa"/>
            <w:vAlign w:val="bottom"/>
          </w:tcPr>
          <w:p>
            <w:pPr>
              <w:spacing w:after="0"/>
              <w:rPr>
                <w:sz w:val="18"/>
                <w:szCs w:val="18"/>
                <w:color w:val="auto"/>
              </w:rPr>
            </w:pPr>
          </w:p>
        </w:tc>
        <w:tc>
          <w:tcPr>
            <w:tcW w:w="940" w:type="dxa"/>
            <w:vAlign w:val="bottom"/>
          </w:tcPr>
          <w:p>
            <w:pPr>
              <w:jc w:val="right"/>
              <w:ind w:right="168"/>
              <w:spacing w:after="0"/>
              <w:rPr>
                <w:sz w:val="20"/>
                <w:szCs w:val="20"/>
                <w:color w:val="auto"/>
              </w:rPr>
            </w:pPr>
            <w:r>
              <w:rPr>
                <w:rFonts w:ascii="Arial" w:cs="Arial" w:eastAsia="Arial" w:hAnsi="Arial"/>
                <w:sz w:val="14"/>
                <w:szCs w:val="14"/>
                <w:color w:val="auto"/>
              </w:rPr>
              <w:t>183</w:t>
            </w:r>
          </w:p>
        </w:tc>
      </w:tr>
      <w:tr>
        <w:trPr>
          <w:trHeight w:val="216"/>
        </w:trPr>
        <w:tc>
          <w:tcPr>
            <w:tcW w:w="5060" w:type="dxa"/>
            <w:vAlign w:val="bottom"/>
          </w:tcPr>
          <w:p>
            <w:pPr>
              <w:ind w:left="220"/>
              <w:spacing w:after="0"/>
              <w:rPr>
                <w:sz w:val="20"/>
                <w:szCs w:val="20"/>
                <w:color w:val="auto"/>
              </w:rPr>
            </w:pPr>
            <w:r>
              <w:rPr>
                <w:rFonts w:ascii="Arial" w:cs="Arial" w:eastAsia="Arial" w:hAnsi="Arial"/>
                <w:sz w:val="14"/>
                <w:szCs w:val="14"/>
                <w:color w:val="auto"/>
              </w:rPr>
              <w:t>Customer deposits</w:t>
            </w:r>
          </w:p>
        </w:tc>
        <w:tc>
          <w:tcPr>
            <w:tcW w:w="240" w:type="dxa"/>
            <w:vAlign w:val="bottom"/>
          </w:tcPr>
          <w:p>
            <w:pPr>
              <w:spacing w:after="0"/>
              <w:rPr>
                <w:sz w:val="18"/>
                <w:szCs w:val="18"/>
                <w:color w:val="auto"/>
              </w:rPr>
            </w:pPr>
          </w:p>
        </w:tc>
        <w:tc>
          <w:tcPr>
            <w:tcW w:w="880" w:type="dxa"/>
            <w:vAlign w:val="bottom"/>
          </w:tcPr>
          <w:p>
            <w:pPr>
              <w:jc w:val="right"/>
              <w:ind w:right="248"/>
              <w:spacing w:after="0"/>
              <w:rPr>
                <w:sz w:val="20"/>
                <w:szCs w:val="20"/>
                <w:color w:val="auto"/>
              </w:rPr>
            </w:pPr>
            <w:r>
              <w:rPr>
                <w:rFonts w:ascii="Arial" w:cs="Arial" w:eastAsia="Arial" w:hAnsi="Arial"/>
                <w:sz w:val="14"/>
                <w:szCs w:val="14"/>
                <w:color w:val="auto"/>
              </w:rPr>
              <w:t>114</w:t>
            </w:r>
          </w:p>
        </w:tc>
        <w:tc>
          <w:tcPr>
            <w:tcW w:w="280" w:type="dxa"/>
            <w:vAlign w:val="bottom"/>
          </w:tcPr>
          <w:p>
            <w:pPr>
              <w:spacing w:after="0"/>
              <w:rPr>
                <w:sz w:val="18"/>
                <w:szCs w:val="18"/>
                <w:color w:val="auto"/>
              </w:rPr>
            </w:pPr>
          </w:p>
        </w:tc>
        <w:tc>
          <w:tcPr>
            <w:tcW w:w="940" w:type="dxa"/>
            <w:vAlign w:val="bottom"/>
          </w:tcPr>
          <w:p>
            <w:pPr>
              <w:jc w:val="right"/>
              <w:ind w:right="168"/>
              <w:spacing w:after="0"/>
              <w:rPr>
                <w:sz w:val="20"/>
                <w:szCs w:val="20"/>
                <w:color w:val="auto"/>
              </w:rPr>
            </w:pPr>
            <w:r>
              <w:rPr>
                <w:rFonts w:ascii="Arial" w:cs="Arial" w:eastAsia="Arial" w:hAnsi="Arial"/>
                <w:sz w:val="14"/>
                <w:szCs w:val="14"/>
                <w:color w:val="auto"/>
              </w:rPr>
              <w:t>90</w:t>
            </w:r>
          </w:p>
        </w:tc>
      </w:tr>
      <w:tr>
        <w:trPr>
          <w:trHeight w:val="216"/>
        </w:trPr>
        <w:tc>
          <w:tcPr>
            <w:tcW w:w="5060" w:type="dxa"/>
            <w:vAlign w:val="bottom"/>
          </w:tcPr>
          <w:p>
            <w:pPr>
              <w:ind w:left="220"/>
              <w:spacing w:after="0"/>
              <w:rPr>
                <w:sz w:val="20"/>
                <w:szCs w:val="20"/>
                <w:color w:val="auto"/>
              </w:rPr>
            </w:pPr>
            <w:r>
              <w:rPr>
                <w:rFonts w:ascii="Arial" w:cs="Arial" w:eastAsia="Arial" w:hAnsi="Arial"/>
                <w:sz w:val="14"/>
                <w:szCs w:val="14"/>
                <w:color w:val="auto"/>
              </w:rPr>
              <w:t>Accrued compensation and benefits</w:t>
            </w:r>
          </w:p>
        </w:tc>
        <w:tc>
          <w:tcPr>
            <w:tcW w:w="240" w:type="dxa"/>
            <w:vAlign w:val="bottom"/>
          </w:tcPr>
          <w:p>
            <w:pPr>
              <w:spacing w:after="0"/>
              <w:rPr>
                <w:sz w:val="18"/>
                <w:szCs w:val="18"/>
                <w:color w:val="auto"/>
              </w:rPr>
            </w:pPr>
          </w:p>
        </w:tc>
        <w:tc>
          <w:tcPr>
            <w:tcW w:w="880" w:type="dxa"/>
            <w:vAlign w:val="bottom"/>
          </w:tcPr>
          <w:p>
            <w:pPr>
              <w:jc w:val="right"/>
              <w:ind w:right="248"/>
              <w:spacing w:after="0"/>
              <w:rPr>
                <w:sz w:val="20"/>
                <w:szCs w:val="20"/>
                <w:color w:val="auto"/>
              </w:rPr>
            </w:pPr>
            <w:r>
              <w:rPr>
                <w:rFonts w:ascii="Arial" w:cs="Arial" w:eastAsia="Arial" w:hAnsi="Arial"/>
                <w:sz w:val="14"/>
                <w:szCs w:val="14"/>
                <w:color w:val="auto"/>
              </w:rPr>
              <w:t>92</w:t>
            </w:r>
          </w:p>
        </w:tc>
        <w:tc>
          <w:tcPr>
            <w:tcW w:w="280" w:type="dxa"/>
            <w:vAlign w:val="bottom"/>
          </w:tcPr>
          <w:p>
            <w:pPr>
              <w:spacing w:after="0"/>
              <w:rPr>
                <w:sz w:val="18"/>
                <w:szCs w:val="18"/>
                <w:color w:val="auto"/>
              </w:rPr>
            </w:pPr>
          </w:p>
        </w:tc>
        <w:tc>
          <w:tcPr>
            <w:tcW w:w="940" w:type="dxa"/>
            <w:vAlign w:val="bottom"/>
          </w:tcPr>
          <w:p>
            <w:pPr>
              <w:jc w:val="right"/>
              <w:ind w:right="168"/>
              <w:spacing w:after="0"/>
              <w:rPr>
                <w:sz w:val="20"/>
                <w:szCs w:val="20"/>
                <w:color w:val="auto"/>
              </w:rPr>
            </w:pPr>
            <w:r>
              <w:rPr>
                <w:rFonts w:ascii="Arial" w:cs="Arial" w:eastAsia="Arial" w:hAnsi="Arial"/>
                <w:sz w:val="14"/>
                <w:szCs w:val="14"/>
                <w:color w:val="auto"/>
              </w:rPr>
              <w:t>87</w:t>
            </w:r>
          </w:p>
        </w:tc>
      </w:tr>
      <w:tr>
        <w:trPr>
          <w:trHeight w:val="216"/>
        </w:trPr>
        <w:tc>
          <w:tcPr>
            <w:tcW w:w="5060" w:type="dxa"/>
            <w:vAlign w:val="bottom"/>
          </w:tcPr>
          <w:p>
            <w:pPr>
              <w:ind w:left="220"/>
              <w:spacing w:after="0"/>
              <w:rPr>
                <w:sz w:val="20"/>
                <w:szCs w:val="20"/>
                <w:color w:val="auto"/>
              </w:rPr>
            </w:pPr>
            <w:r>
              <w:rPr>
                <w:rFonts w:ascii="Arial" w:cs="Arial" w:eastAsia="Arial" w:hAnsi="Arial"/>
                <w:sz w:val="14"/>
                <w:szCs w:val="14"/>
                <w:color w:val="auto"/>
              </w:rPr>
              <w:t>Current portion of long-term debt</w:t>
            </w:r>
          </w:p>
        </w:tc>
        <w:tc>
          <w:tcPr>
            <w:tcW w:w="240" w:type="dxa"/>
            <w:vAlign w:val="bottom"/>
          </w:tcPr>
          <w:p>
            <w:pPr>
              <w:spacing w:after="0"/>
              <w:rPr>
                <w:sz w:val="18"/>
                <w:szCs w:val="18"/>
                <w:color w:val="auto"/>
              </w:rPr>
            </w:pPr>
          </w:p>
        </w:tc>
        <w:tc>
          <w:tcPr>
            <w:tcW w:w="880" w:type="dxa"/>
            <w:vAlign w:val="bottom"/>
          </w:tcPr>
          <w:p>
            <w:pPr>
              <w:jc w:val="right"/>
              <w:ind w:right="248"/>
              <w:spacing w:after="0"/>
              <w:rPr>
                <w:sz w:val="20"/>
                <w:szCs w:val="20"/>
                <w:color w:val="auto"/>
              </w:rPr>
            </w:pPr>
            <w:r>
              <w:rPr>
                <w:rFonts w:ascii="Arial" w:cs="Arial" w:eastAsia="Arial" w:hAnsi="Arial"/>
                <w:sz w:val="14"/>
                <w:szCs w:val="14"/>
                <w:color w:val="auto"/>
              </w:rPr>
              <w:t>100</w:t>
            </w:r>
          </w:p>
        </w:tc>
        <w:tc>
          <w:tcPr>
            <w:tcW w:w="280" w:type="dxa"/>
            <w:vAlign w:val="bottom"/>
          </w:tcPr>
          <w:p>
            <w:pPr>
              <w:spacing w:after="0"/>
              <w:rPr>
                <w:sz w:val="18"/>
                <w:szCs w:val="18"/>
                <w:color w:val="auto"/>
              </w:rPr>
            </w:pPr>
          </w:p>
        </w:tc>
        <w:tc>
          <w:tcPr>
            <w:tcW w:w="940" w:type="dxa"/>
            <w:vAlign w:val="bottom"/>
          </w:tcPr>
          <w:p>
            <w:pPr>
              <w:jc w:val="right"/>
              <w:ind w:right="168"/>
              <w:spacing w:after="0"/>
              <w:rPr>
                <w:sz w:val="20"/>
                <w:szCs w:val="20"/>
                <w:color w:val="auto"/>
              </w:rPr>
            </w:pPr>
            <w:r>
              <w:rPr>
                <w:rFonts w:ascii="Arial" w:cs="Arial" w:eastAsia="Arial" w:hAnsi="Arial"/>
                <w:sz w:val="14"/>
                <w:szCs w:val="14"/>
                <w:color w:val="auto"/>
              </w:rPr>
              <w:t>--</w:t>
            </w:r>
          </w:p>
        </w:tc>
      </w:tr>
      <w:tr>
        <w:trPr>
          <w:trHeight w:val="222"/>
        </w:trPr>
        <w:tc>
          <w:tcPr>
            <w:tcW w:w="5060" w:type="dxa"/>
            <w:vAlign w:val="bottom"/>
          </w:tcPr>
          <w:p>
            <w:pPr>
              <w:ind w:left="220"/>
              <w:spacing w:after="0"/>
              <w:rPr>
                <w:sz w:val="20"/>
                <w:szCs w:val="20"/>
                <w:color w:val="auto"/>
              </w:rPr>
            </w:pPr>
            <w:r>
              <w:rPr>
                <w:rFonts w:ascii="Arial" w:cs="Arial" w:eastAsia="Arial" w:hAnsi="Arial"/>
                <w:sz w:val="14"/>
                <w:szCs w:val="14"/>
                <w:color w:val="auto"/>
              </w:rPr>
              <w:t>Other</w:t>
            </w: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211</w:t>
            </w: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223</w:t>
            </w:r>
          </w:p>
        </w:tc>
      </w:tr>
      <w:tr>
        <w:trPr>
          <w:trHeight w:val="208"/>
        </w:trPr>
        <w:tc>
          <w:tcPr>
            <w:tcW w:w="5060" w:type="dxa"/>
            <w:vAlign w:val="bottom"/>
          </w:tcPr>
          <w:p>
            <w:pPr>
              <w:ind w:left="440"/>
              <w:spacing w:after="0"/>
              <w:rPr>
                <w:sz w:val="20"/>
                <w:szCs w:val="20"/>
                <w:color w:val="auto"/>
              </w:rPr>
            </w:pPr>
            <w:r>
              <w:rPr>
                <w:rFonts w:ascii="Arial" w:cs="Arial" w:eastAsia="Arial" w:hAnsi="Arial"/>
                <w:sz w:val="14"/>
                <w:szCs w:val="14"/>
                <w:color w:val="auto"/>
              </w:rPr>
              <w:t>Total current liabilities</w:t>
            </w: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1,187</w:t>
            </w: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1,210</w:t>
            </w:r>
          </w:p>
        </w:tc>
      </w:tr>
      <w:tr>
        <w:trPr>
          <w:trHeight w:val="424"/>
        </w:trPr>
        <w:tc>
          <w:tcPr>
            <w:tcW w:w="5060" w:type="dxa"/>
            <w:vAlign w:val="bottom"/>
          </w:tcPr>
          <w:p>
            <w:pPr>
              <w:spacing w:after="0"/>
              <w:rPr>
                <w:sz w:val="20"/>
                <w:szCs w:val="20"/>
                <w:color w:val="auto"/>
              </w:rPr>
            </w:pPr>
            <w:r>
              <w:rPr>
                <w:rFonts w:ascii="Arial" w:cs="Arial" w:eastAsia="Arial" w:hAnsi="Arial"/>
                <w:sz w:val="14"/>
                <w:szCs w:val="14"/>
                <w:color w:val="auto"/>
              </w:rPr>
              <w:t>Long-term debt</w:t>
            </w: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1,270</w:t>
            </w:r>
          </w:p>
        </w:tc>
        <w:tc>
          <w:tcPr>
            <w:tcW w:w="2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1,113</w:t>
            </w:r>
          </w:p>
        </w:tc>
      </w:tr>
      <w:tr>
        <w:trPr>
          <w:trHeight w:val="418"/>
        </w:trPr>
        <w:tc>
          <w:tcPr>
            <w:tcW w:w="5060" w:type="dxa"/>
            <w:vAlign w:val="bottom"/>
          </w:tcPr>
          <w:p>
            <w:pPr>
              <w:spacing w:after="0"/>
              <w:rPr>
                <w:sz w:val="20"/>
                <w:szCs w:val="20"/>
                <w:color w:val="auto"/>
              </w:rPr>
            </w:pPr>
            <w:r>
              <w:rPr>
                <w:rFonts w:ascii="Arial" w:cs="Arial" w:eastAsia="Arial" w:hAnsi="Arial"/>
                <w:sz w:val="14"/>
                <w:szCs w:val="14"/>
                <w:color w:val="auto"/>
              </w:rPr>
              <w:t>Deferred credits and other liabilities:</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16"/>
        </w:trPr>
        <w:tc>
          <w:tcPr>
            <w:tcW w:w="5060" w:type="dxa"/>
            <w:vAlign w:val="bottom"/>
          </w:tcPr>
          <w:p>
            <w:pPr>
              <w:ind w:left="220"/>
              <w:spacing w:after="0"/>
              <w:rPr>
                <w:sz w:val="20"/>
                <w:szCs w:val="20"/>
                <w:color w:val="auto"/>
              </w:rPr>
            </w:pPr>
            <w:r>
              <w:rPr>
                <w:rFonts w:ascii="Arial" w:cs="Arial" w:eastAsia="Arial" w:hAnsi="Arial"/>
                <w:sz w:val="14"/>
                <w:szCs w:val="14"/>
                <w:color w:val="auto"/>
              </w:rPr>
              <w:t>Customer advances for construction</w:t>
            </w:r>
          </w:p>
        </w:tc>
        <w:tc>
          <w:tcPr>
            <w:tcW w:w="240" w:type="dxa"/>
            <w:vAlign w:val="bottom"/>
          </w:tcPr>
          <w:p>
            <w:pPr>
              <w:spacing w:after="0"/>
              <w:rPr>
                <w:sz w:val="18"/>
                <w:szCs w:val="18"/>
                <w:color w:val="auto"/>
              </w:rPr>
            </w:pPr>
          </w:p>
        </w:tc>
        <w:tc>
          <w:tcPr>
            <w:tcW w:w="880" w:type="dxa"/>
            <w:vAlign w:val="bottom"/>
          </w:tcPr>
          <w:p>
            <w:pPr>
              <w:jc w:val="right"/>
              <w:ind w:right="248"/>
              <w:spacing w:after="0"/>
              <w:rPr>
                <w:sz w:val="20"/>
                <w:szCs w:val="20"/>
                <w:color w:val="auto"/>
              </w:rPr>
            </w:pPr>
            <w:r>
              <w:rPr>
                <w:rFonts w:ascii="Arial" w:cs="Arial" w:eastAsia="Arial" w:hAnsi="Arial"/>
                <w:sz w:val="14"/>
                <w:szCs w:val="14"/>
                <w:color w:val="auto"/>
              </w:rPr>
              <w:t>131</w:t>
            </w:r>
          </w:p>
        </w:tc>
        <w:tc>
          <w:tcPr>
            <w:tcW w:w="280" w:type="dxa"/>
            <w:vAlign w:val="bottom"/>
          </w:tcPr>
          <w:p>
            <w:pPr>
              <w:spacing w:after="0"/>
              <w:rPr>
                <w:sz w:val="18"/>
                <w:szCs w:val="18"/>
                <w:color w:val="auto"/>
              </w:rPr>
            </w:pPr>
          </w:p>
        </w:tc>
        <w:tc>
          <w:tcPr>
            <w:tcW w:w="940" w:type="dxa"/>
            <w:vAlign w:val="bottom"/>
          </w:tcPr>
          <w:p>
            <w:pPr>
              <w:jc w:val="right"/>
              <w:ind w:right="168"/>
              <w:spacing w:after="0"/>
              <w:rPr>
                <w:sz w:val="20"/>
                <w:szCs w:val="20"/>
                <w:color w:val="auto"/>
              </w:rPr>
            </w:pPr>
            <w:r>
              <w:rPr>
                <w:rFonts w:ascii="Arial" w:cs="Arial" w:eastAsia="Arial" w:hAnsi="Arial"/>
                <w:sz w:val="14"/>
                <w:szCs w:val="14"/>
                <w:color w:val="auto"/>
              </w:rPr>
              <w:t>123</w:t>
            </w:r>
          </w:p>
        </w:tc>
      </w:tr>
      <w:tr>
        <w:trPr>
          <w:trHeight w:val="216"/>
        </w:trPr>
        <w:tc>
          <w:tcPr>
            <w:tcW w:w="5060" w:type="dxa"/>
            <w:vAlign w:val="bottom"/>
          </w:tcPr>
          <w:p>
            <w:pPr>
              <w:ind w:left="220"/>
              <w:spacing w:after="0"/>
              <w:rPr>
                <w:sz w:val="20"/>
                <w:szCs w:val="20"/>
                <w:color w:val="auto"/>
              </w:rPr>
            </w:pPr>
            <w:r>
              <w:rPr>
                <w:rFonts w:ascii="Arial" w:cs="Arial" w:eastAsia="Arial" w:hAnsi="Arial"/>
                <w:sz w:val="14"/>
                <w:szCs w:val="14"/>
                <w:color w:val="auto"/>
              </w:rPr>
              <w:t>Pension and other postretirement benefit obligations, net of plan assets</w:t>
            </w:r>
          </w:p>
        </w:tc>
        <w:tc>
          <w:tcPr>
            <w:tcW w:w="240" w:type="dxa"/>
            <w:vAlign w:val="bottom"/>
          </w:tcPr>
          <w:p>
            <w:pPr>
              <w:spacing w:after="0"/>
              <w:rPr>
                <w:sz w:val="18"/>
                <w:szCs w:val="18"/>
                <w:color w:val="auto"/>
              </w:rPr>
            </w:pPr>
          </w:p>
        </w:tc>
        <w:tc>
          <w:tcPr>
            <w:tcW w:w="880" w:type="dxa"/>
            <w:vAlign w:val="bottom"/>
          </w:tcPr>
          <w:p>
            <w:pPr>
              <w:jc w:val="right"/>
              <w:ind w:right="248"/>
              <w:spacing w:after="0"/>
              <w:rPr>
                <w:sz w:val="20"/>
                <w:szCs w:val="20"/>
                <w:color w:val="auto"/>
              </w:rPr>
            </w:pPr>
            <w:r>
              <w:rPr>
                <w:rFonts w:ascii="Arial" w:cs="Arial" w:eastAsia="Arial" w:hAnsi="Arial"/>
                <w:sz w:val="14"/>
                <w:szCs w:val="14"/>
                <w:color w:val="auto"/>
              </w:rPr>
              <w:t>823</w:t>
            </w:r>
          </w:p>
        </w:tc>
        <w:tc>
          <w:tcPr>
            <w:tcW w:w="280" w:type="dxa"/>
            <w:vAlign w:val="bottom"/>
          </w:tcPr>
          <w:p>
            <w:pPr>
              <w:spacing w:after="0"/>
              <w:rPr>
                <w:sz w:val="18"/>
                <w:szCs w:val="18"/>
                <w:color w:val="auto"/>
              </w:rPr>
            </w:pPr>
          </w:p>
        </w:tc>
        <w:tc>
          <w:tcPr>
            <w:tcW w:w="940" w:type="dxa"/>
            <w:vAlign w:val="bottom"/>
          </w:tcPr>
          <w:p>
            <w:pPr>
              <w:jc w:val="right"/>
              <w:ind w:right="168"/>
              <w:spacing w:after="0"/>
              <w:rPr>
                <w:sz w:val="20"/>
                <w:szCs w:val="20"/>
                <w:color w:val="auto"/>
              </w:rPr>
            </w:pPr>
            <w:r>
              <w:rPr>
                <w:rFonts w:ascii="Arial" w:cs="Arial" w:eastAsia="Arial" w:hAnsi="Arial"/>
                <w:sz w:val="14"/>
                <w:szCs w:val="14"/>
                <w:color w:val="auto"/>
              </w:rPr>
              <w:t>58</w:t>
            </w:r>
          </w:p>
        </w:tc>
      </w:tr>
      <w:tr>
        <w:trPr>
          <w:trHeight w:val="216"/>
        </w:trPr>
        <w:tc>
          <w:tcPr>
            <w:tcW w:w="5060" w:type="dxa"/>
            <w:vAlign w:val="bottom"/>
          </w:tcPr>
          <w:p>
            <w:pPr>
              <w:ind w:left="220"/>
              <w:spacing w:after="0"/>
              <w:rPr>
                <w:sz w:val="20"/>
                <w:szCs w:val="20"/>
                <w:color w:val="auto"/>
              </w:rPr>
            </w:pPr>
            <w:r>
              <w:rPr>
                <w:rFonts w:ascii="Arial" w:cs="Arial" w:eastAsia="Arial" w:hAnsi="Arial"/>
                <w:sz w:val="14"/>
                <w:szCs w:val="14"/>
                <w:color w:val="auto"/>
              </w:rPr>
              <w:t>Deferred income taxes</w:t>
            </w:r>
          </w:p>
        </w:tc>
        <w:tc>
          <w:tcPr>
            <w:tcW w:w="240" w:type="dxa"/>
            <w:vAlign w:val="bottom"/>
          </w:tcPr>
          <w:p>
            <w:pPr>
              <w:spacing w:after="0"/>
              <w:rPr>
                <w:sz w:val="18"/>
                <w:szCs w:val="18"/>
                <w:color w:val="auto"/>
              </w:rPr>
            </w:pPr>
          </w:p>
        </w:tc>
        <w:tc>
          <w:tcPr>
            <w:tcW w:w="880" w:type="dxa"/>
            <w:vAlign w:val="bottom"/>
          </w:tcPr>
          <w:p>
            <w:pPr>
              <w:jc w:val="right"/>
              <w:ind w:right="248"/>
              <w:spacing w:after="0"/>
              <w:rPr>
                <w:sz w:val="20"/>
                <w:szCs w:val="20"/>
                <w:color w:val="auto"/>
              </w:rPr>
            </w:pPr>
            <w:r>
              <w:rPr>
                <w:rFonts w:ascii="Arial" w:cs="Arial" w:eastAsia="Arial" w:hAnsi="Arial"/>
                <w:sz w:val="14"/>
                <w:szCs w:val="14"/>
                <w:color w:val="auto"/>
              </w:rPr>
              <w:t>167</w:t>
            </w:r>
          </w:p>
        </w:tc>
        <w:tc>
          <w:tcPr>
            <w:tcW w:w="280" w:type="dxa"/>
            <w:vAlign w:val="bottom"/>
          </w:tcPr>
          <w:p>
            <w:pPr>
              <w:spacing w:after="0"/>
              <w:rPr>
                <w:sz w:val="18"/>
                <w:szCs w:val="18"/>
                <w:color w:val="auto"/>
              </w:rPr>
            </w:pPr>
          </w:p>
        </w:tc>
        <w:tc>
          <w:tcPr>
            <w:tcW w:w="940" w:type="dxa"/>
            <w:vAlign w:val="bottom"/>
          </w:tcPr>
          <w:p>
            <w:pPr>
              <w:jc w:val="right"/>
              <w:ind w:right="168"/>
              <w:spacing w:after="0"/>
              <w:rPr>
                <w:sz w:val="20"/>
                <w:szCs w:val="20"/>
                <w:color w:val="auto"/>
              </w:rPr>
            </w:pPr>
            <w:r>
              <w:rPr>
                <w:rFonts w:ascii="Arial" w:cs="Arial" w:eastAsia="Arial" w:hAnsi="Arial"/>
                <w:sz w:val="14"/>
                <w:szCs w:val="14"/>
                <w:color w:val="auto"/>
              </w:rPr>
              <w:t>117</w:t>
            </w:r>
          </w:p>
        </w:tc>
      </w:tr>
      <w:tr>
        <w:trPr>
          <w:trHeight w:val="216"/>
        </w:trPr>
        <w:tc>
          <w:tcPr>
            <w:tcW w:w="5060" w:type="dxa"/>
            <w:vAlign w:val="bottom"/>
          </w:tcPr>
          <w:p>
            <w:pPr>
              <w:ind w:left="220"/>
              <w:spacing w:after="0"/>
              <w:rPr>
                <w:sz w:val="20"/>
                <w:szCs w:val="20"/>
                <w:color w:val="auto"/>
              </w:rPr>
            </w:pPr>
            <w:r>
              <w:rPr>
                <w:rFonts w:ascii="Arial" w:cs="Arial" w:eastAsia="Arial" w:hAnsi="Arial"/>
                <w:sz w:val="14"/>
                <w:szCs w:val="14"/>
                <w:color w:val="auto"/>
              </w:rPr>
              <w:t>Deferred investment tax credits</w:t>
            </w:r>
          </w:p>
        </w:tc>
        <w:tc>
          <w:tcPr>
            <w:tcW w:w="240" w:type="dxa"/>
            <w:vAlign w:val="bottom"/>
          </w:tcPr>
          <w:p>
            <w:pPr>
              <w:spacing w:after="0"/>
              <w:rPr>
                <w:sz w:val="18"/>
                <w:szCs w:val="18"/>
                <w:color w:val="auto"/>
              </w:rPr>
            </w:pPr>
          </w:p>
        </w:tc>
        <w:tc>
          <w:tcPr>
            <w:tcW w:w="880" w:type="dxa"/>
            <w:vAlign w:val="bottom"/>
          </w:tcPr>
          <w:p>
            <w:pPr>
              <w:jc w:val="right"/>
              <w:ind w:right="248"/>
              <w:spacing w:after="0"/>
              <w:rPr>
                <w:sz w:val="20"/>
                <w:szCs w:val="20"/>
                <w:color w:val="auto"/>
              </w:rPr>
            </w:pPr>
            <w:r>
              <w:rPr>
                <w:rFonts w:ascii="Arial" w:cs="Arial" w:eastAsia="Arial" w:hAnsi="Arial"/>
                <w:sz w:val="14"/>
                <w:szCs w:val="14"/>
                <w:color w:val="auto"/>
              </w:rPr>
              <w:t>30</w:t>
            </w:r>
          </w:p>
        </w:tc>
        <w:tc>
          <w:tcPr>
            <w:tcW w:w="280" w:type="dxa"/>
            <w:vAlign w:val="bottom"/>
          </w:tcPr>
          <w:p>
            <w:pPr>
              <w:spacing w:after="0"/>
              <w:rPr>
                <w:sz w:val="18"/>
                <w:szCs w:val="18"/>
                <w:color w:val="auto"/>
              </w:rPr>
            </w:pPr>
          </w:p>
        </w:tc>
        <w:tc>
          <w:tcPr>
            <w:tcW w:w="940" w:type="dxa"/>
            <w:vAlign w:val="bottom"/>
          </w:tcPr>
          <w:p>
            <w:pPr>
              <w:jc w:val="right"/>
              <w:ind w:right="168"/>
              <w:spacing w:after="0"/>
              <w:rPr>
                <w:sz w:val="20"/>
                <w:szCs w:val="20"/>
                <w:color w:val="auto"/>
              </w:rPr>
            </w:pPr>
            <w:r>
              <w:rPr>
                <w:rFonts w:ascii="Arial" w:cs="Arial" w:eastAsia="Arial" w:hAnsi="Arial"/>
                <w:sz w:val="14"/>
                <w:szCs w:val="14"/>
                <w:color w:val="auto"/>
              </w:rPr>
              <w:t>33</w:t>
            </w:r>
          </w:p>
        </w:tc>
      </w:tr>
      <w:tr>
        <w:trPr>
          <w:trHeight w:val="216"/>
        </w:trPr>
        <w:tc>
          <w:tcPr>
            <w:tcW w:w="5060" w:type="dxa"/>
            <w:vAlign w:val="bottom"/>
          </w:tcPr>
          <w:p>
            <w:pPr>
              <w:ind w:left="220"/>
              <w:spacing w:after="0"/>
              <w:rPr>
                <w:sz w:val="20"/>
                <w:szCs w:val="20"/>
                <w:color w:val="auto"/>
              </w:rPr>
            </w:pPr>
            <w:r>
              <w:rPr>
                <w:rFonts w:ascii="Arial" w:cs="Arial" w:eastAsia="Arial" w:hAnsi="Arial"/>
                <w:sz w:val="14"/>
                <w:szCs w:val="14"/>
                <w:color w:val="auto"/>
              </w:rPr>
              <w:t>Regulatory liabilities arising from removal obligations</w:t>
            </w:r>
          </w:p>
        </w:tc>
        <w:tc>
          <w:tcPr>
            <w:tcW w:w="240" w:type="dxa"/>
            <w:vAlign w:val="bottom"/>
          </w:tcPr>
          <w:p>
            <w:pPr>
              <w:spacing w:after="0"/>
              <w:rPr>
                <w:sz w:val="18"/>
                <w:szCs w:val="18"/>
                <w:color w:val="auto"/>
              </w:rPr>
            </w:pPr>
          </w:p>
        </w:tc>
        <w:tc>
          <w:tcPr>
            <w:tcW w:w="880" w:type="dxa"/>
            <w:vAlign w:val="bottom"/>
          </w:tcPr>
          <w:p>
            <w:pPr>
              <w:jc w:val="right"/>
              <w:ind w:right="248"/>
              <w:spacing w:after="0"/>
              <w:rPr>
                <w:sz w:val="20"/>
                <w:szCs w:val="20"/>
                <w:color w:val="auto"/>
              </w:rPr>
            </w:pPr>
            <w:r>
              <w:rPr>
                <w:rFonts w:ascii="Arial" w:cs="Arial" w:eastAsia="Arial" w:hAnsi="Arial"/>
                <w:sz w:val="14"/>
                <w:szCs w:val="14"/>
                <w:color w:val="auto"/>
              </w:rPr>
              <w:t>1,218</w:t>
            </w:r>
          </w:p>
        </w:tc>
        <w:tc>
          <w:tcPr>
            <w:tcW w:w="280" w:type="dxa"/>
            <w:vAlign w:val="bottom"/>
          </w:tcPr>
          <w:p>
            <w:pPr>
              <w:spacing w:after="0"/>
              <w:rPr>
                <w:sz w:val="18"/>
                <w:szCs w:val="18"/>
                <w:color w:val="auto"/>
              </w:rPr>
            </w:pPr>
          </w:p>
        </w:tc>
        <w:tc>
          <w:tcPr>
            <w:tcW w:w="940" w:type="dxa"/>
            <w:vAlign w:val="bottom"/>
          </w:tcPr>
          <w:p>
            <w:pPr>
              <w:jc w:val="right"/>
              <w:ind w:right="168"/>
              <w:spacing w:after="0"/>
              <w:rPr>
                <w:sz w:val="20"/>
                <w:szCs w:val="20"/>
                <w:color w:val="auto"/>
              </w:rPr>
            </w:pPr>
            <w:r>
              <w:rPr>
                <w:rFonts w:ascii="Arial" w:cs="Arial" w:eastAsia="Arial" w:hAnsi="Arial"/>
                <w:sz w:val="14"/>
                <w:szCs w:val="14"/>
                <w:color w:val="auto"/>
              </w:rPr>
              <w:t>1,187</w:t>
            </w:r>
          </w:p>
        </w:tc>
      </w:tr>
      <w:tr>
        <w:trPr>
          <w:trHeight w:val="188"/>
        </w:trPr>
        <w:tc>
          <w:tcPr>
            <w:tcW w:w="5060" w:type="dxa"/>
            <w:vAlign w:val="bottom"/>
          </w:tcPr>
          <w:p>
            <w:pPr>
              <w:ind w:left="220"/>
              <w:spacing w:after="0"/>
              <w:rPr>
                <w:sz w:val="20"/>
                <w:szCs w:val="20"/>
                <w:color w:val="auto"/>
              </w:rPr>
            </w:pPr>
            <w:r>
              <w:rPr>
                <w:rFonts w:ascii="Arial" w:cs="Arial" w:eastAsia="Arial" w:hAnsi="Arial"/>
                <w:sz w:val="14"/>
                <w:szCs w:val="14"/>
                <w:color w:val="auto"/>
              </w:rPr>
              <w:t>Regulatory liabilities arising from pension and other postretirement</w:t>
            </w: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172"/>
        </w:trPr>
        <w:tc>
          <w:tcPr>
            <w:tcW w:w="5060" w:type="dxa"/>
            <w:vAlign w:val="bottom"/>
          </w:tcPr>
          <w:p>
            <w:pPr>
              <w:ind w:left="400"/>
              <w:spacing w:after="0"/>
              <w:rPr>
                <w:sz w:val="20"/>
                <w:szCs w:val="20"/>
                <w:color w:val="auto"/>
              </w:rPr>
            </w:pPr>
            <w:r>
              <w:rPr>
                <w:rFonts w:ascii="Arial" w:cs="Arial" w:eastAsia="Arial" w:hAnsi="Arial"/>
                <w:sz w:val="14"/>
                <w:szCs w:val="14"/>
                <w:color w:val="auto"/>
              </w:rPr>
              <w:t>benefit obligations</w:t>
            </w:r>
          </w:p>
        </w:tc>
        <w:tc>
          <w:tcPr>
            <w:tcW w:w="240" w:type="dxa"/>
            <w:vAlign w:val="bottom"/>
          </w:tcPr>
          <w:p>
            <w:pPr>
              <w:spacing w:after="0"/>
              <w:rPr>
                <w:sz w:val="14"/>
                <w:szCs w:val="14"/>
                <w:color w:val="auto"/>
              </w:rPr>
            </w:pPr>
          </w:p>
        </w:tc>
        <w:tc>
          <w:tcPr>
            <w:tcW w:w="88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940" w:type="dxa"/>
            <w:vAlign w:val="bottom"/>
          </w:tcPr>
          <w:p>
            <w:pPr>
              <w:jc w:val="right"/>
              <w:ind w:right="168"/>
              <w:spacing w:after="0"/>
              <w:rPr>
                <w:sz w:val="20"/>
                <w:szCs w:val="20"/>
                <w:color w:val="auto"/>
              </w:rPr>
            </w:pPr>
            <w:r>
              <w:rPr>
                <w:rFonts w:ascii="Arial" w:cs="Arial" w:eastAsia="Arial" w:hAnsi="Arial"/>
                <w:sz w:val="14"/>
                <w:szCs w:val="14"/>
                <w:color w:val="auto"/>
              </w:rPr>
              <w:t>34</w:t>
            </w:r>
          </w:p>
        </w:tc>
      </w:tr>
      <w:tr>
        <w:trPr>
          <w:trHeight w:val="216"/>
        </w:trPr>
        <w:tc>
          <w:tcPr>
            <w:tcW w:w="5060" w:type="dxa"/>
            <w:vAlign w:val="bottom"/>
          </w:tcPr>
          <w:p>
            <w:pPr>
              <w:ind w:left="220"/>
              <w:spacing w:after="0"/>
              <w:rPr>
                <w:sz w:val="20"/>
                <w:szCs w:val="20"/>
                <w:color w:val="auto"/>
              </w:rPr>
            </w:pPr>
            <w:r>
              <w:rPr>
                <w:rFonts w:ascii="Arial" w:cs="Arial" w:eastAsia="Arial" w:hAnsi="Arial"/>
                <w:sz w:val="14"/>
                <w:szCs w:val="14"/>
                <w:color w:val="auto"/>
              </w:rPr>
              <w:t>Asset retirement obligations</w:t>
            </w:r>
          </w:p>
        </w:tc>
        <w:tc>
          <w:tcPr>
            <w:tcW w:w="240" w:type="dxa"/>
            <w:vAlign w:val="bottom"/>
          </w:tcPr>
          <w:p>
            <w:pPr>
              <w:spacing w:after="0"/>
              <w:rPr>
                <w:sz w:val="18"/>
                <w:szCs w:val="18"/>
                <w:color w:val="auto"/>
              </w:rPr>
            </w:pPr>
          </w:p>
        </w:tc>
        <w:tc>
          <w:tcPr>
            <w:tcW w:w="880" w:type="dxa"/>
            <w:vAlign w:val="bottom"/>
          </w:tcPr>
          <w:p>
            <w:pPr>
              <w:jc w:val="right"/>
              <w:ind w:right="248"/>
              <w:spacing w:after="0"/>
              <w:rPr>
                <w:sz w:val="20"/>
                <w:szCs w:val="20"/>
                <w:color w:val="auto"/>
              </w:rPr>
            </w:pPr>
            <w:r>
              <w:rPr>
                <w:rFonts w:ascii="Arial" w:cs="Arial" w:eastAsia="Arial" w:hAnsi="Arial"/>
                <w:sz w:val="14"/>
                <w:szCs w:val="14"/>
                <w:color w:val="auto"/>
              </w:rPr>
              <w:t>581</w:t>
            </w:r>
          </w:p>
        </w:tc>
        <w:tc>
          <w:tcPr>
            <w:tcW w:w="280" w:type="dxa"/>
            <w:vAlign w:val="bottom"/>
          </w:tcPr>
          <w:p>
            <w:pPr>
              <w:spacing w:after="0"/>
              <w:rPr>
                <w:sz w:val="18"/>
                <w:szCs w:val="18"/>
                <w:color w:val="auto"/>
              </w:rPr>
            </w:pPr>
          </w:p>
        </w:tc>
        <w:tc>
          <w:tcPr>
            <w:tcW w:w="940" w:type="dxa"/>
            <w:vAlign w:val="bottom"/>
          </w:tcPr>
          <w:p>
            <w:pPr>
              <w:jc w:val="right"/>
              <w:ind w:right="168"/>
              <w:spacing w:after="0"/>
              <w:rPr>
                <w:sz w:val="20"/>
                <w:szCs w:val="20"/>
                <w:color w:val="auto"/>
              </w:rPr>
            </w:pPr>
            <w:r>
              <w:rPr>
                <w:rFonts w:ascii="Arial" w:cs="Arial" w:eastAsia="Arial" w:hAnsi="Arial"/>
                <w:sz w:val="14"/>
                <w:szCs w:val="14"/>
                <w:color w:val="auto"/>
              </w:rPr>
              <w:t>562</w:t>
            </w:r>
          </w:p>
        </w:tc>
      </w:tr>
      <w:tr>
        <w:trPr>
          <w:trHeight w:val="216"/>
        </w:trPr>
        <w:tc>
          <w:tcPr>
            <w:tcW w:w="5060" w:type="dxa"/>
            <w:vAlign w:val="bottom"/>
          </w:tcPr>
          <w:p>
            <w:pPr>
              <w:ind w:left="220"/>
              <w:spacing w:after="0"/>
              <w:rPr>
                <w:sz w:val="20"/>
                <w:szCs w:val="20"/>
                <w:color w:val="auto"/>
              </w:rPr>
            </w:pPr>
            <w:r>
              <w:rPr>
                <w:rFonts w:ascii="Arial" w:cs="Arial" w:eastAsia="Arial" w:hAnsi="Arial"/>
                <w:sz w:val="14"/>
                <w:szCs w:val="14"/>
                <w:color w:val="auto"/>
              </w:rPr>
              <w:t>Deferred taxes refundable in rates</w:t>
            </w:r>
          </w:p>
        </w:tc>
        <w:tc>
          <w:tcPr>
            <w:tcW w:w="240" w:type="dxa"/>
            <w:vAlign w:val="bottom"/>
          </w:tcPr>
          <w:p>
            <w:pPr>
              <w:spacing w:after="0"/>
              <w:rPr>
                <w:sz w:val="18"/>
                <w:szCs w:val="18"/>
                <w:color w:val="auto"/>
              </w:rPr>
            </w:pPr>
          </w:p>
        </w:tc>
        <w:tc>
          <w:tcPr>
            <w:tcW w:w="880" w:type="dxa"/>
            <w:vAlign w:val="bottom"/>
          </w:tcPr>
          <w:p>
            <w:pPr>
              <w:jc w:val="right"/>
              <w:ind w:right="248"/>
              <w:spacing w:after="0"/>
              <w:rPr>
                <w:sz w:val="20"/>
                <w:szCs w:val="20"/>
                <w:color w:val="auto"/>
              </w:rPr>
            </w:pPr>
            <w:r>
              <w:rPr>
                <w:rFonts w:ascii="Arial" w:cs="Arial" w:eastAsia="Arial" w:hAnsi="Arial"/>
                <w:sz w:val="14"/>
                <w:szCs w:val="14"/>
                <w:color w:val="auto"/>
              </w:rPr>
              <w:t>214</w:t>
            </w:r>
          </w:p>
        </w:tc>
        <w:tc>
          <w:tcPr>
            <w:tcW w:w="280" w:type="dxa"/>
            <w:vAlign w:val="bottom"/>
          </w:tcPr>
          <w:p>
            <w:pPr>
              <w:spacing w:after="0"/>
              <w:rPr>
                <w:sz w:val="18"/>
                <w:szCs w:val="18"/>
                <w:color w:val="auto"/>
              </w:rPr>
            </w:pPr>
          </w:p>
        </w:tc>
        <w:tc>
          <w:tcPr>
            <w:tcW w:w="940" w:type="dxa"/>
            <w:vAlign w:val="bottom"/>
          </w:tcPr>
          <w:p>
            <w:pPr>
              <w:jc w:val="right"/>
              <w:ind w:right="168"/>
              <w:spacing w:after="0"/>
              <w:rPr>
                <w:sz w:val="20"/>
                <w:szCs w:val="20"/>
                <w:color w:val="auto"/>
              </w:rPr>
            </w:pPr>
            <w:r>
              <w:rPr>
                <w:rFonts w:ascii="Arial" w:cs="Arial" w:eastAsia="Arial" w:hAnsi="Arial"/>
                <w:sz w:val="14"/>
                <w:szCs w:val="14"/>
                <w:color w:val="auto"/>
              </w:rPr>
              <w:t>231</w:t>
            </w:r>
          </w:p>
        </w:tc>
      </w:tr>
      <w:tr>
        <w:trPr>
          <w:trHeight w:val="222"/>
        </w:trPr>
        <w:tc>
          <w:tcPr>
            <w:tcW w:w="5060" w:type="dxa"/>
            <w:vAlign w:val="bottom"/>
          </w:tcPr>
          <w:p>
            <w:pPr>
              <w:ind w:left="220"/>
              <w:spacing w:after="0"/>
              <w:rPr>
                <w:sz w:val="20"/>
                <w:szCs w:val="20"/>
                <w:color w:val="auto"/>
              </w:rPr>
            </w:pPr>
            <w:r>
              <w:rPr>
                <w:rFonts w:ascii="Arial" w:cs="Arial" w:eastAsia="Arial" w:hAnsi="Arial"/>
                <w:sz w:val="14"/>
                <w:szCs w:val="14"/>
                <w:color w:val="auto"/>
              </w:rPr>
              <w:t>Deferred credits and other</w:t>
            </w: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240</w:t>
            </w: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268</w:t>
            </w:r>
          </w:p>
        </w:tc>
      </w:tr>
      <w:tr>
        <w:trPr>
          <w:trHeight w:val="208"/>
        </w:trPr>
        <w:tc>
          <w:tcPr>
            <w:tcW w:w="5060" w:type="dxa"/>
            <w:vAlign w:val="bottom"/>
          </w:tcPr>
          <w:p>
            <w:pPr>
              <w:ind w:left="440"/>
              <w:spacing w:after="0"/>
              <w:rPr>
                <w:sz w:val="20"/>
                <w:szCs w:val="20"/>
                <w:color w:val="auto"/>
              </w:rPr>
            </w:pPr>
            <w:r>
              <w:rPr>
                <w:rFonts w:ascii="Arial" w:cs="Arial" w:eastAsia="Arial" w:hAnsi="Arial"/>
                <w:sz w:val="14"/>
                <w:szCs w:val="14"/>
                <w:color w:val="auto"/>
              </w:rPr>
              <w:t>Total deferred credits and other liabilities</w:t>
            </w: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3,404</w:t>
            </w: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2,613</w:t>
            </w:r>
          </w:p>
        </w:tc>
      </w:tr>
      <w:tr>
        <w:trPr>
          <w:trHeight w:val="418"/>
        </w:trPr>
        <w:tc>
          <w:tcPr>
            <w:tcW w:w="5060" w:type="dxa"/>
            <w:vAlign w:val="bottom"/>
          </w:tcPr>
          <w:p>
            <w:pPr>
              <w:spacing w:after="0"/>
              <w:rPr>
                <w:sz w:val="20"/>
                <w:szCs w:val="20"/>
                <w:color w:val="auto"/>
              </w:rPr>
            </w:pPr>
            <w:r>
              <w:rPr>
                <w:rFonts w:ascii="Arial" w:cs="Arial" w:eastAsia="Arial" w:hAnsi="Arial"/>
                <w:sz w:val="14"/>
                <w:szCs w:val="14"/>
                <w:color w:val="auto"/>
              </w:rPr>
              <w:t>Commitments and contingencies (Note 16)</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432"/>
        </w:trPr>
        <w:tc>
          <w:tcPr>
            <w:tcW w:w="5060" w:type="dxa"/>
            <w:vAlign w:val="bottom"/>
          </w:tcPr>
          <w:p>
            <w:pPr>
              <w:spacing w:after="0"/>
              <w:rPr>
                <w:sz w:val="20"/>
                <w:szCs w:val="20"/>
                <w:color w:val="auto"/>
              </w:rPr>
            </w:pPr>
            <w:r>
              <w:rPr>
                <w:rFonts w:ascii="Arial" w:cs="Arial" w:eastAsia="Arial" w:hAnsi="Arial"/>
                <w:sz w:val="14"/>
                <w:szCs w:val="14"/>
                <w:color w:val="auto"/>
              </w:rPr>
              <w:t>Shareholders’ equity:</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16"/>
        </w:trPr>
        <w:tc>
          <w:tcPr>
            <w:tcW w:w="5060" w:type="dxa"/>
            <w:vAlign w:val="bottom"/>
          </w:tcPr>
          <w:p>
            <w:pPr>
              <w:ind w:left="220"/>
              <w:spacing w:after="0"/>
              <w:rPr>
                <w:sz w:val="20"/>
                <w:szCs w:val="20"/>
                <w:color w:val="auto"/>
              </w:rPr>
            </w:pPr>
            <w:r>
              <w:rPr>
                <w:rFonts w:ascii="Arial" w:cs="Arial" w:eastAsia="Arial" w:hAnsi="Arial"/>
                <w:sz w:val="14"/>
                <w:szCs w:val="14"/>
                <w:color w:val="auto"/>
              </w:rPr>
              <w:t>Preferred stock</w:t>
            </w:r>
          </w:p>
        </w:tc>
        <w:tc>
          <w:tcPr>
            <w:tcW w:w="240" w:type="dxa"/>
            <w:vAlign w:val="bottom"/>
          </w:tcPr>
          <w:p>
            <w:pPr>
              <w:spacing w:after="0"/>
              <w:rPr>
                <w:sz w:val="18"/>
                <w:szCs w:val="18"/>
                <w:color w:val="auto"/>
              </w:rPr>
            </w:pPr>
          </w:p>
        </w:tc>
        <w:tc>
          <w:tcPr>
            <w:tcW w:w="880" w:type="dxa"/>
            <w:vAlign w:val="bottom"/>
          </w:tcPr>
          <w:p>
            <w:pPr>
              <w:jc w:val="right"/>
              <w:ind w:right="248"/>
              <w:spacing w:after="0"/>
              <w:rPr>
                <w:sz w:val="20"/>
                <w:szCs w:val="20"/>
                <w:color w:val="auto"/>
              </w:rPr>
            </w:pPr>
            <w:r>
              <w:rPr>
                <w:rFonts w:ascii="Arial" w:cs="Arial" w:eastAsia="Arial" w:hAnsi="Arial"/>
                <w:sz w:val="14"/>
                <w:szCs w:val="14"/>
                <w:color w:val="auto"/>
              </w:rPr>
              <w:t>22</w:t>
            </w:r>
          </w:p>
        </w:tc>
        <w:tc>
          <w:tcPr>
            <w:tcW w:w="280" w:type="dxa"/>
            <w:vAlign w:val="bottom"/>
          </w:tcPr>
          <w:p>
            <w:pPr>
              <w:spacing w:after="0"/>
              <w:rPr>
                <w:sz w:val="18"/>
                <w:szCs w:val="18"/>
                <w:color w:val="auto"/>
              </w:rPr>
            </w:pPr>
          </w:p>
        </w:tc>
        <w:tc>
          <w:tcPr>
            <w:tcW w:w="940" w:type="dxa"/>
            <w:vAlign w:val="bottom"/>
          </w:tcPr>
          <w:p>
            <w:pPr>
              <w:jc w:val="right"/>
              <w:ind w:right="168"/>
              <w:spacing w:after="0"/>
              <w:rPr>
                <w:sz w:val="20"/>
                <w:szCs w:val="20"/>
                <w:color w:val="auto"/>
              </w:rPr>
            </w:pPr>
            <w:r>
              <w:rPr>
                <w:rFonts w:ascii="Arial" w:cs="Arial" w:eastAsia="Arial" w:hAnsi="Arial"/>
                <w:sz w:val="14"/>
                <w:szCs w:val="14"/>
                <w:color w:val="auto"/>
              </w:rPr>
              <w:t>22</w:t>
            </w:r>
          </w:p>
        </w:tc>
      </w:tr>
      <w:tr>
        <w:trPr>
          <w:trHeight w:val="188"/>
        </w:trPr>
        <w:tc>
          <w:tcPr>
            <w:tcW w:w="5060" w:type="dxa"/>
            <w:vAlign w:val="bottom"/>
          </w:tcPr>
          <w:p>
            <w:pPr>
              <w:ind w:left="220"/>
              <w:spacing w:after="0"/>
              <w:rPr>
                <w:sz w:val="20"/>
                <w:szCs w:val="20"/>
                <w:color w:val="auto"/>
              </w:rPr>
            </w:pPr>
            <w:r>
              <w:rPr>
                <w:rFonts w:ascii="Arial" w:cs="Arial" w:eastAsia="Arial" w:hAnsi="Arial"/>
                <w:sz w:val="14"/>
                <w:szCs w:val="14"/>
                <w:color w:val="auto"/>
              </w:rPr>
              <w:t>Common stock (100 million shares authorized; 91 million shares</w:t>
            </w: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172"/>
        </w:trPr>
        <w:tc>
          <w:tcPr>
            <w:tcW w:w="5060" w:type="dxa"/>
            <w:vAlign w:val="bottom"/>
          </w:tcPr>
          <w:p>
            <w:pPr>
              <w:ind w:left="400"/>
              <w:spacing w:after="0"/>
              <w:rPr>
                <w:sz w:val="20"/>
                <w:szCs w:val="20"/>
                <w:color w:val="auto"/>
              </w:rPr>
            </w:pPr>
            <w:r>
              <w:rPr>
                <w:rFonts w:ascii="Arial" w:cs="Arial" w:eastAsia="Arial" w:hAnsi="Arial"/>
                <w:sz w:val="14"/>
                <w:szCs w:val="14"/>
                <w:color w:val="auto"/>
              </w:rPr>
              <w:t>outstanding; no par value)</w:t>
            </w:r>
          </w:p>
        </w:tc>
        <w:tc>
          <w:tcPr>
            <w:tcW w:w="240" w:type="dxa"/>
            <w:vAlign w:val="bottom"/>
          </w:tcPr>
          <w:p>
            <w:pPr>
              <w:spacing w:after="0"/>
              <w:rPr>
                <w:sz w:val="14"/>
                <w:szCs w:val="14"/>
                <w:color w:val="auto"/>
              </w:rPr>
            </w:pPr>
          </w:p>
        </w:tc>
        <w:tc>
          <w:tcPr>
            <w:tcW w:w="880" w:type="dxa"/>
            <w:vAlign w:val="bottom"/>
          </w:tcPr>
          <w:p>
            <w:pPr>
              <w:jc w:val="right"/>
              <w:ind w:right="248"/>
              <w:spacing w:after="0"/>
              <w:rPr>
                <w:sz w:val="20"/>
                <w:szCs w:val="20"/>
                <w:color w:val="auto"/>
              </w:rPr>
            </w:pPr>
            <w:r>
              <w:rPr>
                <w:rFonts w:ascii="Arial" w:cs="Arial" w:eastAsia="Arial" w:hAnsi="Arial"/>
                <w:sz w:val="14"/>
                <w:szCs w:val="14"/>
                <w:color w:val="auto"/>
              </w:rPr>
              <w:t>866</w:t>
            </w:r>
          </w:p>
        </w:tc>
        <w:tc>
          <w:tcPr>
            <w:tcW w:w="280" w:type="dxa"/>
            <w:vAlign w:val="bottom"/>
          </w:tcPr>
          <w:p>
            <w:pPr>
              <w:spacing w:after="0"/>
              <w:rPr>
                <w:sz w:val="14"/>
                <w:szCs w:val="14"/>
                <w:color w:val="auto"/>
              </w:rPr>
            </w:pPr>
          </w:p>
        </w:tc>
        <w:tc>
          <w:tcPr>
            <w:tcW w:w="940" w:type="dxa"/>
            <w:vAlign w:val="bottom"/>
          </w:tcPr>
          <w:p>
            <w:pPr>
              <w:jc w:val="right"/>
              <w:ind w:right="168"/>
              <w:spacing w:after="0"/>
              <w:rPr>
                <w:sz w:val="20"/>
                <w:szCs w:val="20"/>
                <w:color w:val="auto"/>
              </w:rPr>
            </w:pPr>
            <w:r>
              <w:rPr>
                <w:rFonts w:ascii="Arial" w:cs="Arial" w:eastAsia="Arial" w:hAnsi="Arial"/>
                <w:sz w:val="14"/>
                <w:szCs w:val="14"/>
                <w:color w:val="auto"/>
              </w:rPr>
              <w:t>866</w:t>
            </w:r>
          </w:p>
        </w:tc>
      </w:tr>
      <w:tr>
        <w:trPr>
          <w:trHeight w:val="216"/>
        </w:trPr>
        <w:tc>
          <w:tcPr>
            <w:tcW w:w="5060" w:type="dxa"/>
            <w:vAlign w:val="bottom"/>
          </w:tcPr>
          <w:p>
            <w:pPr>
              <w:ind w:left="220"/>
              <w:spacing w:after="0"/>
              <w:rPr>
                <w:sz w:val="20"/>
                <w:szCs w:val="20"/>
                <w:color w:val="auto"/>
              </w:rPr>
            </w:pPr>
            <w:r>
              <w:rPr>
                <w:rFonts w:ascii="Arial" w:cs="Arial" w:eastAsia="Arial" w:hAnsi="Arial"/>
                <w:sz w:val="14"/>
                <w:szCs w:val="14"/>
                <w:color w:val="auto"/>
              </w:rPr>
              <w:t>Retained earnings</w:t>
            </w:r>
          </w:p>
        </w:tc>
        <w:tc>
          <w:tcPr>
            <w:tcW w:w="240" w:type="dxa"/>
            <w:vAlign w:val="bottom"/>
          </w:tcPr>
          <w:p>
            <w:pPr>
              <w:spacing w:after="0"/>
              <w:rPr>
                <w:sz w:val="18"/>
                <w:szCs w:val="18"/>
                <w:color w:val="auto"/>
              </w:rPr>
            </w:pPr>
          </w:p>
        </w:tc>
        <w:tc>
          <w:tcPr>
            <w:tcW w:w="880" w:type="dxa"/>
            <w:vAlign w:val="bottom"/>
          </w:tcPr>
          <w:p>
            <w:pPr>
              <w:jc w:val="right"/>
              <w:ind w:right="248"/>
              <w:spacing w:after="0"/>
              <w:rPr>
                <w:sz w:val="20"/>
                <w:szCs w:val="20"/>
                <w:color w:val="auto"/>
              </w:rPr>
            </w:pPr>
            <w:r>
              <w:rPr>
                <w:rFonts w:ascii="Arial" w:cs="Arial" w:eastAsia="Arial" w:hAnsi="Arial"/>
                <w:sz w:val="14"/>
                <w:szCs w:val="14"/>
                <w:color w:val="auto"/>
              </w:rPr>
              <w:t>630</w:t>
            </w:r>
          </w:p>
        </w:tc>
        <w:tc>
          <w:tcPr>
            <w:tcW w:w="280" w:type="dxa"/>
            <w:vAlign w:val="bottom"/>
          </w:tcPr>
          <w:p>
            <w:pPr>
              <w:spacing w:after="0"/>
              <w:rPr>
                <w:sz w:val="18"/>
                <w:szCs w:val="18"/>
                <w:color w:val="auto"/>
              </w:rPr>
            </w:pPr>
          </w:p>
        </w:tc>
        <w:tc>
          <w:tcPr>
            <w:tcW w:w="940" w:type="dxa"/>
            <w:vAlign w:val="bottom"/>
          </w:tcPr>
          <w:p>
            <w:pPr>
              <w:jc w:val="right"/>
              <w:ind w:right="168"/>
              <w:spacing w:after="0"/>
              <w:rPr>
                <w:sz w:val="20"/>
                <w:szCs w:val="20"/>
                <w:color w:val="auto"/>
              </w:rPr>
            </w:pPr>
            <w:r>
              <w:rPr>
                <w:rFonts w:ascii="Arial" w:cs="Arial" w:eastAsia="Arial" w:hAnsi="Arial"/>
                <w:sz w:val="14"/>
                <w:szCs w:val="14"/>
                <w:color w:val="auto"/>
              </w:rPr>
              <w:t>586</w:t>
            </w:r>
          </w:p>
        </w:tc>
      </w:tr>
      <w:tr>
        <w:trPr>
          <w:trHeight w:val="222"/>
        </w:trPr>
        <w:tc>
          <w:tcPr>
            <w:tcW w:w="5060" w:type="dxa"/>
            <w:vAlign w:val="bottom"/>
          </w:tcPr>
          <w:p>
            <w:pPr>
              <w:ind w:left="220"/>
              <w:spacing w:after="0"/>
              <w:rPr>
                <w:sz w:val="20"/>
                <w:szCs w:val="20"/>
                <w:color w:val="auto"/>
              </w:rPr>
            </w:pPr>
            <w:r>
              <w:rPr>
                <w:rFonts w:ascii="Arial" w:cs="Arial" w:eastAsia="Arial" w:hAnsi="Arial"/>
                <w:sz w:val="14"/>
                <w:szCs w:val="14"/>
                <w:color w:val="auto"/>
              </w:rPr>
              <w:t>Accumulated other comprehensive income (loss)</w:t>
            </w: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(28 )</w:t>
            </w: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(4 )</w:t>
            </w:r>
          </w:p>
        </w:tc>
      </w:tr>
      <w:tr>
        <w:trPr>
          <w:trHeight w:val="208"/>
        </w:trPr>
        <w:tc>
          <w:tcPr>
            <w:tcW w:w="5060" w:type="dxa"/>
            <w:vAlign w:val="bottom"/>
          </w:tcPr>
          <w:p>
            <w:pPr>
              <w:ind w:left="440"/>
              <w:spacing w:after="0"/>
              <w:rPr>
                <w:sz w:val="20"/>
                <w:szCs w:val="20"/>
                <w:color w:val="auto"/>
              </w:rPr>
            </w:pPr>
            <w:r>
              <w:rPr>
                <w:rFonts w:ascii="Arial" w:cs="Arial" w:eastAsia="Arial" w:hAnsi="Arial"/>
                <w:sz w:val="14"/>
                <w:szCs w:val="14"/>
                <w:color w:val="auto"/>
              </w:rPr>
              <w:t>Total shareholders' equity</w:t>
            </w: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1,490</w:t>
            </w: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1,470</w:t>
            </w:r>
          </w:p>
        </w:tc>
      </w:tr>
      <w:tr>
        <w:trPr>
          <w:trHeight w:val="224"/>
        </w:trPr>
        <w:tc>
          <w:tcPr>
            <w:tcW w:w="50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Total liabilities and shareholders' equity</w:t>
            </w:r>
          </w:p>
        </w:tc>
        <w:tc>
          <w:tcPr>
            <w:tcW w:w="24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7,351</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6,406</w:t>
            </w:r>
          </w:p>
        </w:tc>
      </w:tr>
    </w:tbl>
    <w:p>
      <w:pPr>
        <w:spacing w:after="0" w:line="257" w:lineRule="exact"/>
        <w:rPr>
          <w:sz w:val="20"/>
          <w:szCs w:val="20"/>
          <w:color w:val="auto"/>
        </w:rPr>
      </w:pPr>
    </w:p>
    <w:p>
      <w:pPr>
        <w:ind w:left="2020"/>
        <w:spacing w:after="0"/>
        <w:rPr>
          <w:sz w:val="20"/>
          <w:szCs w:val="20"/>
          <w:color w:val="auto"/>
        </w:rPr>
      </w:pPr>
      <w:r>
        <w:rPr>
          <w:rFonts w:ascii="Arial" w:cs="Arial" w:eastAsia="Arial" w:hAnsi="Arial"/>
          <w:sz w:val="13"/>
          <w:szCs w:val="13"/>
          <w:i w:val="1"/>
          <w:iCs w:val="1"/>
          <w:color w:val="auto"/>
        </w:rPr>
        <w:t>See Notes to Consolidated Financial Statements.</w:t>
      </w: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Arial" w:cs="Arial" w:eastAsia="Arial" w:hAnsi="Arial"/>
          <w:sz w:val="14"/>
          <w:szCs w:val="14"/>
          <w:color w:val="auto"/>
        </w:rPr>
        <w:t>89</w:t>
      </w:r>
    </w:p>
    <w:p>
      <w:pPr>
        <w:sectPr>
          <w:pgSz w:w="11900" w:h="16838" w:orient="portrait"/>
          <w:cols w:equalWidth="0" w:num="1">
            <w:col w:w="10219"/>
          </w:cols>
          <w:pgMar w:left="240" w:top="748" w:right="1440" w:bottom="1440" w:gutter="0" w:footer="0" w:header="0"/>
        </w:sectPr>
      </w:pPr>
    </w:p>
    <w:bookmarkStart w:id="229" w:name="page230"/>
    <w:bookmarkEnd w:id="229"/>
    <w:p>
      <w:pPr>
        <w:ind w:left="1720"/>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1240790</wp:posOffset>
            </wp:positionH>
            <wp:positionV relativeFrom="page">
              <wp:posOffset>226060</wp:posOffset>
            </wp:positionV>
            <wp:extent cx="5080000" cy="389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5080000" cy="389255"/>
                    </a:xfrm>
                    <a:prstGeom prst="rect">
                      <a:avLst/>
                    </a:prstGeom>
                    <a:noFill/>
                  </pic:spPr>
                </pic:pic>
              </a:graphicData>
            </a:graphic>
          </wp:anchor>
        </w:drawing>
        <w:t>SOUTHERN CALIFORNIA GAS COMPANY AND SUBSIDIARIES</w:t>
      </w:r>
    </w:p>
    <w:p>
      <w:pPr>
        <w:spacing w:after="0" w:line="31" w:lineRule="exact"/>
        <w:rPr>
          <w:sz w:val="20"/>
          <w:szCs w:val="20"/>
          <w:color w:val="auto"/>
        </w:rPr>
      </w:pPr>
    </w:p>
    <w:p>
      <w:pPr>
        <w:ind w:left="1720"/>
        <w:spacing w:after="0"/>
        <w:rPr>
          <w:sz w:val="20"/>
          <w:szCs w:val="20"/>
          <w:color w:val="auto"/>
        </w:rPr>
      </w:pPr>
      <w:r>
        <w:rPr>
          <w:rFonts w:ascii="Arial" w:cs="Arial" w:eastAsia="Arial" w:hAnsi="Arial"/>
          <w:sz w:val="14"/>
          <w:szCs w:val="14"/>
          <w:b w:val="1"/>
          <w:bCs w:val="1"/>
          <w:color w:val="auto"/>
        </w:rPr>
        <w:t>STATEMENTS OF CONSOLIDATED CASH FLOWS</w:t>
      </w:r>
    </w:p>
    <w:p>
      <w:pPr>
        <w:spacing w:after="0" w:line="76" w:lineRule="exact"/>
        <w:rPr>
          <w:sz w:val="20"/>
          <w:szCs w:val="20"/>
          <w:color w:val="auto"/>
        </w:rPr>
      </w:pPr>
    </w:p>
    <w:tbl>
      <w:tblPr>
        <w:tblLayout w:type="fixed"/>
        <w:tblInd w:w="1720" w:type="dxa"/>
        <w:tblCellMar>
          <w:top w:w="0" w:type="dxa"/>
          <w:left w:w="0" w:type="dxa"/>
          <w:bottom w:w="0" w:type="dxa"/>
          <w:right w:w="0" w:type="dxa"/>
        </w:tblCellMar>
      </w:tblPr>
      <w:tr>
        <w:trPr>
          <w:trHeight w:val="166"/>
        </w:trPr>
        <w:tc>
          <w:tcPr>
            <w:tcW w:w="4640" w:type="dxa"/>
            <w:vAlign w:val="bottom"/>
          </w:tcPr>
          <w:p>
            <w:pPr>
              <w:spacing w:after="0"/>
              <w:rPr>
                <w:sz w:val="20"/>
                <w:szCs w:val="20"/>
                <w:color w:val="auto"/>
              </w:rPr>
            </w:pPr>
            <w:r>
              <w:rPr>
                <w:rFonts w:ascii="Arial" w:cs="Arial" w:eastAsia="Arial" w:hAnsi="Arial"/>
                <w:sz w:val="13"/>
                <w:szCs w:val="13"/>
                <w:i w:val="1"/>
                <w:iCs w:val="1"/>
                <w:color w:val="auto"/>
              </w:rPr>
              <w:t>(Dollars in millions)</w:t>
            </w:r>
          </w:p>
        </w:tc>
        <w:tc>
          <w:tcPr>
            <w:tcW w:w="3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209"/>
        </w:trPr>
        <w:tc>
          <w:tcPr>
            <w:tcW w:w="46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280" w:type="dxa"/>
            <w:vAlign w:val="bottom"/>
            <w:tcBorders>
              <w:bottom w:val="single" w:sz="8" w:color="auto"/>
            </w:tcBorders>
            <w:gridSpan w:val="4"/>
          </w:tcPr>
          <w:p>
            <w:pPr>
              <w:jc w:val="right"/>
              <w:ind w:right="88"/>
              <w:spacing w:after="0"/>
              <w:rPr>
                <w:sz w:val="20"/>
                <w:szCs w:val="20"/>
                <w:color w:val="auto"/>
              </w:rPr>
            </w:pPr>
            <w:r>
              <w:rPr>
                <w:rFonts w:ascii="Arial" w:cs="Arial" w:eastAsia="Arial" w:hAnsi="Arial"/>
                <w:sz w:val="13"/>
                <w:szCs w:val="13"/>
                <w:color w:val="auto"/>
              </w:rPr>
              <w:t>Years ended December 31,</w:t>
            </w:r>
          </w:p>
        </w:tc>
        <w:tc>
          <w:tcPr>
            <w:tcW w:w="760" w:type="dxa"/>
            <w:vAlign w:val="bottom"/>
            <w:tcBorders>
              <w:bottom w:val="single" w:sz="8" w:color="auto"/>
            </w:tcBorders>
          </w:tcPr>
          <w:p>
            <w:pPr>
              <w:spacing w:after="0"/>
              <w:rPr>
                <w:sz w:val="18"/>
                <w:szCs w:val="18"/>
                <w:color w:val="auto"/>
              </w:rPr>
            </w:pPr>
          </w:p>
        </w:tc>
      </w:tr>
      <w:tr>
        <w:trPr>
          <w:trHeight w:val="208"/>
        </w:trPr>
        <w:tc>
          <w:tcPr>
            <w:tcW w:w="464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328"/>
              <w:spacing w:after="0"/>
              <w:rPr>
                <w:sz w:val="20"/>
                <w:szCs w:val="20"/>
                <w:color w:val="auto"/>
              </w:rPr>
            </w:pPr>
            <w:r>
              <w:rPr>
                <w:rFonts w:ascii="Arial" w:cs="Arial" w:eastAsia="Arial" w:hAnsi="Arial"/>
                <w:sz w:val="13"/>
                <w:szCs w:val="13"/>
                <w:color w:val="auto"/>
              </w:rPr>
              <w:t>2008</w:t>
            </w:r>
          </w:p>
        </w:tc>
        <w:tc>
          <w:tcPr>
            <w:tcW w:w="3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348"/>
              <w:spacing w:after="0"/>
              <w:rPr>
                <w:sz w:val="20"/>
                <w:szCs w:val="20"/>
                <w:color w:val="auto"/>
              </w:rPr>
            </w:pPr>
            <w:r>
              <w:rPr>
                <w:rFonts w:ascii="Arial" w:cs="Arial" w:eastAsia="Arial" w:hAnsi="Arial"/>
                <w:sz w:val="13"/>
                <w:szCs w:val="13"/>
                <w:color w:val="auto"/>
              </w:rPr>
              <w:t>2007</w:t>
            </w:r>
          </w:p>
        </w:tc>
        <w:tc>
          <w:tcPr>
            <w:tcW w:w="3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308"/>
              <w:spacing w:after="0"/>
              <w:rPr>
                <w:sz w:val="20"/>
                <w:szCs w:val="20"/>
                <w:color w:val="auto"/>
              </w:rPr>
            </w:pPr>
            <w:r>
              <w:rPr>
                <w:rFonts w:ascii="Arial" w:cs="Arial" w:eastAsia="Arial" w:hAnsi="Arial"/>
                <w:sz w:val="13"/>
                <w:szCs w:val="13"/>
                <w:color w:val="auto"/>
              </w:rPr>
              <w:t>2006</w:t>
            </w:r>
          </w:p>
        </w:tc>
      </w:tr>
      <w:tr>
        <w:trPr>
          <w:trHeight w:val="423"/>
        </w:trPr>
        <w:tc>
          <w:tcPr>
            <w:tcW w:w="4640" w:type="dxa"/>
            <w:vAlign w:val="bottom"/>
          </w:tcPr>
          <w:p>
            <w:pPr>
              <w:spacing w:after="0"/>
              <w:rPr>
                <w:sz w:val="20"/>
                <w:szCs w:val="20"/>
                <w:color w:val="auto"/>
              </w:rPr>
            </w:pPr>
            <w:r>
              <w:rPr>
                <w:rFonts w:ascii="Arial" w:cs="Arial" w:eastAsia="Arial" w:hAnsi="Arial"/>
                <w:sz w:val="14"/>
                <w:szCs w:val="14"/>
                <w:color w:val="auto"/>
              </w:rPr>
              <w:t>CASH FLOWS FROM OPERATING ACTIVITIES</w:t>
            </w: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216"/>
        </w:trPr>
        <w:tc>
          <w:tcPr>
            <w:tcW w:w="4640" w:type="dxa"/>
            <w:vAlign w:val="bottom"/>
          </w:tcPr>
          <w:p>
            <w:pPr>
              <w:ind w:left="280"/>
              <w:spacing w:after="0"/>
              <w:rPr>
                <w:sz w:val="20"/>
                <w:szCs w:val="20"/>
                <w:color w:val="auto"/>
              </w:rPr>
            </w:pPr>
            <w:r>
              <w:rPr>
                <w:rFonts w:ascii="Arial" w:cs="Arial" w:eastAsia="Arial" w:hAnsi="Arial"/>
                <w:sz w:val="14"/>
                <w:szCs w:val="14"/>
                <w:color w:val="auto"/>
              </w:rPr>
              <w:t>Net income</w:t>
            </w:r>
          </w:p>
        </w:tc>
        <w:tc>
          <w:tcPr>
            <w:tcW w:w="3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168"/>
              <w:spacing w:after="0"/>
              <w:rPr>
                <w:sz w:val="20"/>
                <w:szCs w:val="20"/>
                <w:color w:val="auto"/>
              </w:rPr>
            </w:pPr>
            <w:r>
              <w:rPr>
                <w:rFonts w:ascii="Arial" w:cs="Arial" w:eastAsia="Arial" w:hAnsi="Arial"/>
                <w:sz w:val="14"/>
                <w:szCs w:val="14"/>
                <w:color w:val="auto"/>
              </w:rPr>
              <w:t>245</w:t>
            </w:r>
          </w:p>
        </w:tc>
        <w:tc>
          <w:tcPr>
            <w:tcW w:w="3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168"/>
              <w:spacing w:after="0"/>
              <w:rPr>
                <w:sz w:val="20"/>
                <w:szCs w:val="20"/>
                <w:color w:val="auto"/>
              </w:rPr>
            </w:pPr>
            <w:r>
              <w:rPr>
                <w:rFonts w:ascii="Arial" w:cs="Arial" w:eastAsia="Arial" w:hAnsi="Arial"/>
                <w:sz w:val="14"/>
                <w:szCs w:val="14"/>
                <w:color w:val="auto"/>
              </w:rPr>
              <w:t>231</w:t>
            </w:r>
          </w:p>
        </w:tc>
        <w:tc>
          <w:tcPr>
            <w:tcW w:w="3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148"/>
              <w:spacing w:after="0"/>
              <w:rPr>
                <w:sz w:val="20"/>
                <w:szCs w:val="20"/>
                <w:color w:val="auto"/>
              </w:rPr>
            </w:pPr>
            <w:r>
              <w:rPr>
                <w:rFonts w:ascii="Arial" w:cs="Arial" w:eastAsia="Arial" w:hAnsi="Arial"/>
                <w:sz w:val="14"/>
                <w:szCs w:val="14"/>
                <w:color w:val="auto"/>
              </w:rPr>
              <w:t>224</w:t>
            </w:r>
          </w:p>
        </w:tc>
      </w:tr>
      <w:tr>
        <w:trPr>
          <w:trHeight w:val="188"/>
        </w:trPr>
        <w:tc>
          <w:tcPr>
            <w:tcW w:w="4640" w:type="dxa"/>
            <w:vAlign w:val="bottom"/>
          </w:tcPr>
          <w:p>
            <w:pPr>
              <w:ind w:left="280"/>
              <w:spacing w:after="0"/>
              <w:rPr>
                <w:sz w:val="20"/>
                <w:szCs w:val="20"/>
                <w:color w:val="auto"/>
              </w:rPr>
            </w:pPr>
            <w:r>
              <w:rPr>
                <w:rFonts w:ascii="Arial" w:cs="Arial" w:eastAsia="Arial" w:hAnsi="Arial"/>
                <w:sz w:val="14"/>
                <w:szCs w:val="14"/>
                <w:color w:val="auto"/>
              </w:rPr>
              <w:t>Adjustments to reconcile net income to net cash provided by</w:t>
            </w:r>
          </w:p>
        </w:tc>
        <w:tc>
          <w:tcPr>
            <w:tcW w:w="3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172"/>
        </w:trPr>
        <w:tc>
          <w:tcPr>
            <w:tcW w:w="4640" w:type="dxa"/>
            <w:vAlign w:val="bottom"/>
          </w:tcPr>
          <w:p>
            <w:pPr>
              <w:ind w:left="460"/>
              <w:spacing w:after="0"/>
              <w:rPr>
                <w:sz w:val="20"/>
                <w:szCs w:val="20"/>
                <w:color w:val="auto"/>
              </w:rPr>
            </w:pPr>
            <w:r>
              <w:rPr>
                <w:rFonts w:ascii="Arial" w:cs="Arial" w:eastAsia="Arial" w:hAnsi="Arial"/>
                <w:sz w:val="14"/>
                <w:szCs w:val="14"/>
                <w:color w:val="auto"/>
              </w:rPr>
              <w:t>operating activities</w:t>
            </w:r>
          </w:p>
        </w:tc>
        <w:tc>
          <w:tcPr>
            <w:tcW w:w="3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216"/>
        </w:trPr>
        <w:tc>
          <w:tcPr>
            <w:tcW w:w="4640" w:type="dxa"/>
            <w:vAlign w:val="bottom"/>
          </w:tcPr>
          <w:p>
            <w:pPr>
              <w:ind w:left="760"/>
              <w:spacing w:after="0"/>
              <w:rPr>
                <w:sz w:val="20"/>
                <w:szCs w:val="20"/>
                <w:color w:val="auto"/>
              </w:rPr>
            </w:pPr>
            <w:r>
              <w:rPr>
                <w:rFonts w:ascii="Arial" w:cs="Arial" w:eastAsia="Arial" w:hAnsi="Arial"/>
                <w:sz w:val="14"/>
                <w:szCs w:val="14"/>
                <w:color w:val="auto"/>
              </w:rPr>
              <w:t>Depreciation</w:t>
            </w:r>
          </w:p>
        </w:tc>
        <w:tc>
          <w:tcPr>
            <w:tcW w:w="320" w:type="dxa"/>
            <w:vAlign w:val="bottom"/>
          </w:tcPr>
          <w:p>
            <w:pPr>
              <w:spacing w:after="0"/>
              <w:rPr>
                <w:sz w:val="18"/>
                <w:szCs w:val="18"/>
                <w:color w:val="auto"/>
              </w:rPr>
            </w:pPr>
          </w:p>
        </w:tc>
        <w:tc>
          <w:tcPr>
            <w:tcW w:w="780" w:type="dxa"/>
            <w:vAlign w:val="bottom"/>
          </w:tcPr>
          <w:p>
            <w:pPr>
              <w:jc w:val="right"/>
              <w:ind w:right="168"/>
              <w:spacing w:after="0"/>
              <w:rPr>
                <w:sz w:val="20"/>
                <w:szCs w:val="20"/>
                <w:color w:val="auto"/>
              </w:rPr>
            </w:pPr>
            <w:r>
              <w:rPr>
                <w:rFonts w:ascii="Arial" w:cs="Arial" w:eastAsia="Arial" w:hAnsi="Arial"/>
                <w:sz w:val="14"/>
                <w:szCs w:val="14"/>
                <w:color w:val="auto"/>
              </w:rPr>
              <w:t>280</w:t>
            </w:r>
          </w:p>
        </w:tc>
        <w:tc>
          <w:tcPr>
            <w:tcW w:w="360" w:type="dxa"/>
            <w:vAlign w:val="bottom"/>
          </w:tcPr>
          <w:p>
            <w:pPr>
              <w:spacing w:after="0"/>
              <w:rPr>
                <w:sz w:val="18"/>
                <w:szCs w:val="18"/>
                <w:color w:val="auto"/>
              </w:rPr>
            </w:pPr>
          </w:p>
        </w:tc>
        <w:tc>
          <w:tcPr>
            <w:tcW w:w="800" w:type="dxa"/>
            <w:vAlign w:val="bottom"/>
          </w:tcPr>
          <w:p>
            <w:pPr>
              <w:jc w:val="right"/>
              <w:ind w:right="168"/>
              <w:spacing w:after="0"/>
              <w:rPr>
                <w:sz w:val="20"/>
                <w:szCs w:val="20"/>
                <w:color w:val="auto"/>
              </w:rPr>
            </w:pPr>
            <w:r>
              <w:rPr>
                <w:rFonts w:ascii="Arial" w:cs="Arial" w:eastAsia="Arial" w:hAnsi="Arial"/>
                <w:sz w:val="14"/>
                <w:szCs w:val="14"/>
                <w:color w:val="auto"/>
              </w:rPr>
              <w:t>281</w:t>
            </w:r>
          </w:p>
        </w:tc>
        <w:tc>
          <w:tcPr>
            <w:tcW w:w="340" w:type="dxa"/>
            <w:vAlign w:val="bottom"/>
          </w:tcPr>
          <w:p>
            <w:pPr>
              <w:spacing w:after="0"/>
              <w:rPr>
                <w:sz w:val="18"/>
                <w:szCs w:val="18"/>
                <w:color w:val="auto"/>
              </w:rPr>
            </w:pPr>
          </w:p>
        </w:tc>
        <w:tc>
          <w:tcPr>
            <w:tcW w:w="760" w:type="dxa"/>
            <w:vAlign w:val="bottom"/>
          </w:tcPr>
          <w:p>
            <w:pPr>
              <w:jc w:val="right"/>
              <w:ind w:right="148"/>
              <w:spacing w:after="0"/>
              <w:rPr>
                <w:sz w:val="20"/>
                <w:szCs w:val="20"/>
                <w:color w:val="auto"/>
              </w:rPr>
            </w:pPr>
            <w:r>
              <w:rPr>
                <w:rFonts w:ascii="Arial" w:cs="Arial" w:eastAsia="Arial" w:hAnsi="Arial"/>
                <w:sz w:val="14"/>
                <w:szCs w:val="14"/>
                <w:color w:val="auto"/>
              </w:rPr>
              <w:t>267</w:t>
            </w:r>
          </w:p>
        </w:tc>
      </w:tr>
      <w:tr>
        <w:trPr>
          <w:trHeight w:val="216"/>
        </w:trPr>
        <w:tc>
          <w:tcPr>
            <w:tcW w:w="4640" w:type="dxa"/>
            <w:vAlign w:val="bottom"/>
          </w:tcPr>
          <w:p>
            <w:pPr>
              <w:ind w:left="760"/>
              <w:spacing w:after="0"/>
              <w:rPr>
                <w:sz w:val="20"/>
                <w:szCs w:val="20"/>
                <w:color w:val="auto"/>
              </w:rPr>
            </w:pPr>
            <w:r>
              <w:rPr>
                <w:rFonts w:ascii="Arial" w:cs="Arial" w:eastAsia="Arial" w:hAnsi="Arial"/>
                <w:sz w:val="14"/>
                <w:szCs w:val="14"/>
                <w:color w:val="auto"/>
              </w:rPr>
              <w:t>Deferred income taxes and investment tax credits</w:t>
            </w:r>
          </w:p>
        </w:tc>
        <w:tc>
          <w:tcPr>
            <w:tcW w:w="320" w:type="dxa"/>
            <w:vAlign w:val="bottom"/>
          </w:tcPr>
          <w:p>
            <w:pPr>
              <w:spacing w:after="0"/>
              <w:rPr>
                <w:sz w:val="18"/>
                <w:szCs w:val="18"/>
                <w:color w:val="auto"/>
              </w:rPr>
            </w:pPr>
          </w:p>
        </w:tc>
        <w:tc>
          <w:tcPr>
            <w:tcW w:w="780" w:type="dxa"/>
            <w:vAlign w:val="bottom"/>
          </w:tcPr>
          <w:p>
            <w:pPr>
              <w:jc w:val="right"/>
              <w:ind w:right="168"/>
              <w:spacing w:after="0"/>
              <w:rPr>
                <w:sz w:val="20"/>
                <w:szCs w:val="20"/>
                <w:color w:val="auto"/>
              </w:rPr>
            </w:pPr>
            <w:r>
              <w:rPr>
                <w:rFonts w:ascii="Arial" w:cs="Arial" w:eastAsia="Arial" w:hAnsi="Arial"/>
                <w:sz w:val="14"/>
                <w:szCs w:val="14"/>
                <w:color w:val="auto"/>
              </w:rPr>
              <w:t>87</w:t>
            </w:r>
          </w:p>
        </w:tc>
        <w:tc>
          <w:tcPr>
            <w:tcW w:w="360" w:type="dxa"/>
            <w:vAlign w:val="bottom"/>
          </w:tcPr>
          <w:p>
            <w:pPr>
              <w:spacing w:after="0"/>
              <w:rPr>
                <w:sz w:val="18"/>
                <w:szCs w:val="18"/>
                <w:color w:val="auto"/>
              </w:rPr>
            </w:pPr>
          </w:p>
        </w:tc>
        <w:tc>
          <w:tcPr>
            <w:tcW w:w="800" w:type="dxa"/>
            <w:vAlign w:val="bottom"/>
          </w:tcPr>
          <w:p>
            <w:pPr>
              <w:jc w:val="right"/>
              <w:ind w:right="168"/>
              <w:spacing w:after="0"/>
              <w:rPr>
                <w:sz w:val="20"/>
                <w:szCs w:val="20"/>
                <w:color w:val="auto"/>
              </w:rPr>
            </w:pPr>
            <w:r>
              <w:rPr>
                <w:rFonts w:ascii="Arial" w:cs="Arial" w:eastAsia="Arial" w:hAnsi="Arial"/>
                <w:sz w:val="14"/>
                <w:szCs w:val="14"/>
                <w:color w:val="auto"/>
              </w:rPr>
              <w:t>8</w:t>
            </w:r>
          </w:p>
        </w:tc>
        <w:tc>
          <w:tcPr>
            <w:tcW w:w="340" w:type="dxa"/>
            <w:vAlign w:val="bottom"/>
          </w:tcPr>
          <w:p>
            <w:pPr>
              <w:spacing w:after="0"/>
              <w:rPr>
                <w:sz w:val="18"/>
                <w:szCs w:val="18"/>
                <w:color w:val="auto"/>
              </w:rPr>
            </w:pPr>
          </w:p>
        </w:tc>
        <w:tc>
          <w:tcPr>
            <w:tcW w:w="760" w:type="dxa"/>
            <w:vAlign w:val="bottom"/>
          </w:tcPr>
          <w:p>
            <w:pPr>
              <w:jc w:val="right"/>
              <w:ind w:right="68"/>
              <w:spacing w:after="0"/>
              <w:rPr>
                <w:sz w:val="20"/>
                <w:szCs w:val="20"/>
                <w:color w:val="auto"/>
              </w:rPr>
            </w:pPr>
            <w:r>
              <w:rPr>
                <w:rFonts w:ascii="Arial" w:cs="Arial" w:eastAsia="Arial" w:hAnsi="Arial"/>
                <w:sz w:val="14"/>
                <w:szCs w:val="14"/>
                <w:color w:val="auto"/>
              </w:rPr>
              <w:t>(24 )</w:t>
            </w:r>
          </w:p>
        </w:tc>
      </w:tr>
      <w:tr>
        <w:trPr>
          <w:trHeight w:val="216"/>
        </w:trPr>
        <w:tc>
          <w:tcPr>
            <w:tcW w:w="4640" w:type="dxa"/>
            <w:vAlign w:val="bottom"/>
          </w:tcPr>
          <w:p>
            <w:pPr>
              <w:ind w:left="760"/>
              <w:spacing w:after="0"/>
              <w:rPr>
                <w:sz w:val="20"/>
                <w:szCs w:val="20"/>
                <w:color w:val="auto"/>
              </w:rPr>
            </w:pPr>
            <w:r>
              <w:rPr>
                <w:rFonts w:ascii="Arial" w:cs="Arial" w:eastAsia="Arial" w:hAnsi="Arial"/>
                <w:sz w:val="14"/>
                <w:szCs w:val="14"/>
                <w:color w:val="auto"/>
              </w:rPr>
              <w:t>Gains on sale of assets, net</w:t>
            </w:r>
          </w:p>
        </w:tc>
        <w:tc>
          <w:tcPr>
            <w:tcW w:w="320" w:type="dxa"/>
            <w:vAlign w:val="bottom"/>
          </w:tcPr>
          <w:p>
            <w:pPr>
              <w:spacing w:after="0"/>
              <w:rPr>
                <w:sz w:val="18"/>
                <w:szCs w:val="18"/>
                <w:color w:val="auto"/>
              </w:rPr>
            </w:pPr>
          </w:p>
        </w:tc>
        <w:tc>
          <w:tcPr>
            <w:tcW w:w="78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8"/>
                <w:szCs w:val="18"/>
                <w:color w:val="auto"/>
              </w:rPr>
            </w:pPr>
          </w:p>
        </w:tc>
        <w:tc>
          <w:tcPr>
            <w:tcW w:w="800" w:type="dxa"/>
            <w:vAlign w:val="bottom"/>
          </w:tcPr>
          <w:p>
            <w:pPr>
              <w:jc w:val="right"/>
              <w:ind w:right="88"/>
              <w:spacing w:after="0"/>
              <w:rPr>
                <w:sz w:val="20"/>
                <w:szCs w:val="20"/>
                <w:color w:val="auto"/>
              </w:rPr>
            </w:pPr>
            <w:r>
              <w:rPr>
                <w:rFonts w:ascii="Arial" w:cs="Arial" w:eastAsia="Arial" w:hAnsi="Arial"/>
                <w:sz w:val="14"/>
                <w:szCs w:val="14"/>
                <w:color w:val="auto"/>
              </w:rPr>
              <w:t>(2 )</w:t>
            </w:r>
          </w:p>
        </w:tc>
        <w:tc>
          <w:tcPr>
            <w:tcW w:w="340" w:type="dxa"/>
            <w:vAlign w:val="bottom"/>
          </w:tcPr>
          <w:p>
            <w:pPr>
              <w:spacing w:after="0"/>
              <w:rPr>
                <w:sz w:val="18"/>
                <w:szCs w:val="18"/>
                <w:color w:val="auto"/>
              </w:rPr>
            </w:pPr>
          </w:p>
        </w:tc>
        <w:tc>
          <w:tcPr>
            <w:tcW w:w="760" w:type="dxa"/>
            <w:vAlign w:val="bottom"/>
          </w:tcPr>
          <w:p>
            <w:pPr>
              <w:jc w:val="right"/>
              <w:ind w:right="68"/>
              <w:spacing w:after="0"/>
              <w:rPr>
                <w:sz w:val="20"/>
                <w:szCs w:val="20"/>
                <w:color w:val="auto"/>
              </w:rPr>
            </w:pPr>
            <w:r>
              <w:rPr>
                <w:rFonts w:ascii="Arial" w:cs="Arial" w:eastAsia="Arial" w:hAnsi="Arial"/>
                <w:sz w:val="14"/>
                <w:szCs w:val="14"/>
                <w:color w:val="auto"/>
              </w:rPr>
              <w:t>(5 )</w:t>
            </w:r>
          </w:p>
        </w:tc>
      </w:tr>
      <w:tr>
        <w:trPr>
          <w:trHeight w:val="216"/>
        </w:trPr>
        <w:tc>
          <w:tcPr>
            <w:tcW w:w="4640" w:type="dxa"/>
            <w:vAlign w:val="bottom"/>
          </w:tcPr>
          <w:p>
            <w:pPr>
              <w:ind w:left="760"/>
              <w:spacing w:after="0"/>
              <w:rPr>
                <w:sz w:val="20"/>
                <w:szCs w:val="20"/>
                <w:color w:val="auto"/>
              </w:rPr>
            </w:pPr>
            <w:r>
              <w:rPr>
                <w:rFonts w:ascii="Arial" w:cs="Arial" w:eastAsia="Arial" w:hAnsi="Arial"/>
                <w:sz w:val="14"/>
                <w:szCs w:val="14"/>
                <w:color w:val="auto"/>
              </w:rPr>
              <w:t>Other</w:t>
            </w:r>
          </w:p>
        </w:tc>
        <w:tc>
          <w:tcPr>
            <w:tcW w:w="320" w:type="dxa"/>
            <w:vAlign w:val="bottom"/>
          </w:tcPr>
          <w:p>
            <w:pPr>
              <w:spacing w:after="0"/>
              <w:rPr>
                <w:sz w:val="18"/>
                <w:szCs w:val="18"/>
                <w:color w:val="auto"/>
              </w:rPr>
            </w:pPr>
          </w:p>
        </w:tc>
        <w:tc>
          <w:tcPr>
            <w:tcW w:w="780" w:type="dxa"/>
            <w:vAlign w:val="bottom"/>
          </w:tcPr>
          <w:p>
            <w:pPr>
              <w:jc w:val="right"/>
              <w:ind w:right="168"/>
              <w:spacing w:after="0"/>
              <w:rPr>
                <w:sz w:val="20"/>
                <w:szCs w:val="20"/>
                <w:color w:val="auto"/>
              </w:rPr>
            </w:pPr>
            <w:r>
              <w:rPr>
                <w:rFonts w:ascii="Arial" w:cs="Arial" w:eastAsia="Arial" w:hAnsi="Arial"/>
                <w:sz w:val="14"/>
                <w:szCs w:val="14"/>
                <w:color w:val="auto"/>
              </w:rPr>
              <w:t>2</w:t>
            </w:r>
          </w:p>
        </w:tc>
        <w:tc>
          <w:tcPr>
            <w:tcW w:w="360" w:type="dxa"/>
            <w:vAlign w:val="bottom"/>
          </w:tcPr>
          <w:p>
            <w:pPr>
              <w:spacing w:after="0"/>
              <w:rPr>
                <w:sz w:val="18"/>
                <w:szCs w:val="18"/>
                <w:color w:val="auto"/>
              </w:rPr>
            </w:pPr>
          </w:p>
        </w:tc>
        <w:tc>
          <w:tcPr>
            <w:tcW w:w="800" w:type="dxa"/>
            <w:vAlign w:val="bottom"/>
          </w:tcPr>
          <w:p>
            <w:pPr>
              <w:jc w:val="right"/>
              <w:ind w:right="168"/>
              <w:spacing w:after="0"/>
              <w:rPr>
                <w:sz w:val="20"/>
                <w:szCs w:val="20"/>
                <w:color w:val="auto"/>
              </w:rPr>
            </w:pPr>
            <w:r>
              <w:rPr>
                <w:rFonts w:ascii="Arial" w:cs="Arial" w:eastAsia="Arial" w:hAnsi="Arial"/>
                <w:sz w:val="14"/>
                <w:szCs w:val="14"/>
                <w:color w:val="auto"/>
              </w:rPr>
              <w:t>5</w:t>
            </w:r>
          </w:p>
        </w:tc>
        <w:tc>
          <w:tcPr>
            <w:tcW w:w="340" w:type="dxa"/>
            <w:vAlign w:val="bottom"/>
          </w:tcPr>
          <w:p>
            <w:pPr>
              <w:spacing w:after="0"/>
              <w:rPr>
                <w:sz w:val="18"/>
                <w:szCs w:val="18"/>
                <w:color w:val="auto"/>
              </w:rPr>
            </w:pPr>
          </w:p>
        </w:tc>
        <w:tc>
          <w:tcPr>
            <w:tcW w:w="760" w:type="dxa"/>
            <w:vAlign w:val="bottom"/>
          </w:tcPr>
          <w:p>
            <w:pPr>
              <w:jc w:val="right"/>
              <w:ind w:right="148"/>
              <w:spacing w:after="0"/>
              <w:rPr>
                <w:sz w:val="20"/>
                <w:szCs w:val="20"/>
                <w:color w:val="auto"/>
              </w:rPr>
            </w:pPr>
            <w:r>
              <w:rPr>
                <w:rFonts w:ascii="Arial" w:cs="Arial" w:eastAsia="Arial" w:hAnsi="Arial"/>
                <w:sz w:val="14"/>
                <w:szCs w:val="14"/>
                <w:color w:val="auto"/>
              </w:rPr>
              <w:t>6</w:t>
            </w:r>
          </w:p>
        </w:tc>
      </w:tr>
      <w:tr>
        <w:trPr>
          <w:trHeight w:val="216"/>
        </w:trPr>
        <w:tc>
          <w:tcPr>
            <w:tcW w:w="4640" w:type="dxa"/>
            <w:vAlign w:val="bottom"/>
          </w:tcPr>
          <w:p>
            <w:pPr>
              <w:ind w:left="280"/>
              <w:spacing w:after="0"/>
              <w:rPr>
                <w:sz w:val="20"/>
                <w:szCs w:val="20"/>
                <w:color w:val="auto"/>
              </w:rPr>
            </w:pPr>
            <w:r>
              <w:rPr>
                <w:rFonts w:ascii="Arial" w:cs="Arial" w:eastAsia="Arial" w:hAnsi="Arial"/>
                <w:sz w:val="14"/>
                <w:szCs w:val="14"/>
                <w:color w:val="auto"/>
              </w:rPr>
              <w:t>Changes in other assets</w:t>
            </w:r>
          </w:p>
        </w:tc>
        <w:tc>
          <w:tcPr>
            <w:tcW w:w="320" w:type="dxa"/>
            <w:vAlign w:val="bottom"/>
          </w:tcPr>
          <w:p>
            <w:pPr>
              <w:spacing w:after="0"/>
              <w:rPr>
                <w:sz w:val="18"/>
                <w:szCs w:val="18"/>
                <w:color w:val="auto"/>
              </w:rPr>
            </w:pPr>
          </w:p>
        </w:tc>
        <w:tc>
          <w:tcPr>
            <w:tcW w:w="780" w:type="dxa"/>
            <w:vAlign w:val="bottom"/>
          </w:tcPr>
          <w:p>
            <w:pPr>
              <w:jc w:val="right"/>
              <w:ind w:right="88"/>
              <w:spacing w:after="0"/>
              <w:rPr>
                <w:sz w:val="20"/>
                <w:szCs w:val="20"/>
                <w:color w:val="auto"/>
              </w:rPr>
            </w:pPr>
            <w:r>
              <w:rPr>
                <w:rFonts w:ascii="Arial" w:cs="Arial" w:eastAsia="Arial" w:hAnsi="Arial"/>
                <w:sz w:val="14"/>
                <w:szCs w:val="14"/>
                <w:color w:val="auto"/>
              </w:rPr>
              <w:t>(33 )</w:t>
            </w:r>
          </w:p>
        </w:tc>
        <w:tc>
          <w:tcPr>
            <w:tcW w:w="360" w:type="dxa"/>
            <w:vAlign w:val="bottom"/>
          </w:tcPr>
          <w:p>
            <w:pPr>
              <w:spacing w:after="0"/>
              <w:rPr>
                <w:sz w:val="18"/>
                <w:szCs w:val="18"/>
                <w:color w:val="auto"/>
              </w:rPr>
            </w:pPr>
          </w:p>
        </w:tc>
        <w:tc>
          <w:tcPr>
            <w:tcW w:w="80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8"/>
                <w:szCs w:val="18"/>
                <w:color w:val="auto"/>
              </w:rPr>
            </w:pPr>
          </w:p>
        </w:tc>
        <w:tc>
          <w:tcPr>
            <w:tcW w:w="760" w:type="dxa"/>
            <w:vAlign w:val="bottom"/>
          </w:tcPr>
          <w:p>
            <w:pPr>
              <w:jc w:val="right"/>
              <w:ind w:right="68"/>
              <w:spacing w:after="0"/>
              <w:rPr>
                <w:sz w:val="20"/>
                <w:szCs w:val="20"/>
                <w:color w:val="auto"/>
              </w:rPr>
            </w:pPr>
            <w:r>
              <w:rPr>
                <w:rFonts w:ascii="Arial" w:cs="Arial" w:eastAsia="Arial" w:hAnsi="Arial"/>
                <w:sz w:val="14"/>
                <w:szCs w:val="14"/>
                <w:color w:val="auto"/>
              </w:rPr>
              <w:t>(5 )</w:t>
            </w:r>
          </w:p>
        </w:tc>
      </w:tr>
      <w:tr>
        <w:trPr>
          <w:trHeight w:val="216"/>
        </w:trPr>
        <w:tc>
          <w:tcPr>
            <w:tcW w:w="4640" w:type="dxa"/>
            <w:vAlign w:val="bottom"/>
          </w:tcPr>
          <w:p>
            <w:pPr>
              <w:ind w:left="280"/>
              <w:spacing w:after="0"/>
              <w:rPr>
                <w:sz w:val="20"/>
                <w:szCs w:val="20"/>
                <w:color w:val="auto"/>
              </w:rPr>
            </w:pPr>
            <w:r>
              <w:rPr>
                <w:rFonts w:ascii="Arial" w:cs="Arial" w:eastAsia="Arial" w:hAnsi="Arial"/>
                <w:sz w:val="14"/>
                <w:szCs w:val="14"/>
                <w:color w:val="auto"/>
              </w:rPr>
              <w:t>Changes in other liabilities</w:t>
            </w:r>
          </w:p>
        </w:tc>
        <w:tc>
          <w:tcPr>
            <w:tcW w:w="320" w:type="dxa"/>
            <w:vAlign w:val="bottom"/>
          </w:tcPr>
          <w:p>
            <w:pPr>
              <w:spacing w:after="0"/>
              <w:rPr>
                <w:sz w:val="18"/>
                <w:szCs w:val="18"/>
                <w:color w:val="auto"/>
              </w:rPr>
            </w:pPr>
          </w:p>
        </w:tc>
        <w:tc>
          <w:tcPr>
            <w:tcW w:w="780" w:type="dxa"/>
            <w:vAlign w:val="bottom"/>
          </w:tcPr>
          <w:p>
            <w:pPr>
              <w:jc w:val="right"/>
              <w:ind w:right="88"/>
              <w:spacing w:after="0"/>
              <w:rPr>
                <w:sz w:val="20"/>
                <w:szCs w:val="20"/>
                <w:color w:val="auto"/>
              </w:rPr>
            </w:pPr>
            <w:r>
              <w:rPr>
                <w:rFonts w:ascii="Arial" w:cs="Arial" w:eastAsia="Arial" w:hAnsi="Arial"/>
                <w:sz w:val="14"/>
                <w:szCs w:val="14"/>
                <w:color w:val="auto"/>
              </w:rPr>
              <w:t>(51 )</w:t>
            </w:r>
          </w:p>
        </w:tc>
        <w:tc>
          <w:tcPr>
            <w:tcW w:w="360" w:type="dxa"/>
            <w:vAlign w:val="bottom"/>
          </w:tcPr>
          <w:p>
            <w:pPr>
              <w:spacing w:after="0"/>
              <w:rPr>
                <w:sz w:val="18"/>
                <w:szCs w:val="18"/>
                <w:color w:val="auto"/>
              </w:rPr>
            </w:pPr>
          </w:p>
        </w:tc>
        <w:tc>
          <w:tcPr>
            <w:tcW w:w="800" w:type="dxa"/>
            <w:vAlign w:val="bottom"/>
          </w:tcPr>
          <w:p>
            <w:pPr>
              <w:jc w:val="right"/>
              <w:ind w:right="168"/>
              <w:spacing w:after="0"/>
              <w:rPr>
                <w:sz w:val="20"/>
                <w:szCs w:val="20"/>
                <w:color w:val="auto"/>
              </w:rPr>
            </w:pPr>
            <w:r>
              <w:rPr>
                <w:rFonts w:ascii="Arial" w:cs="Arial" w:eastAsia="Arial" w:hAnsi="Arial"/>
                <w:sz w:val="14"/>
                <w:szCs w:val="14"/>
                <w:color w:val="auto"/>
              </w:rPr>
              <w:t>37</w:t>
            </w:r>
          </w:p>
        </w:tc>
        <w:tc>
          <w:tcPr>
            <w:tcW w:w="340" w:type="dxa"/>
            <w:vAlign w:val="bottom"/>
          </w:tcPr>
          <w:p>
            <w:pPr>
              <w:spacing w:after="0"/>
              <w:rPr>
                <w:sz w:val="18"/>
                <w:szCs w:val="18"/>
                <w:color w:val="auto"/>
              </w:rPr>
            </w:pPr>
          </w:p>
        </w:tc>
        <w:tc>
          <w:tcPr>
            <w:tcW w:w="760" w:type="dxa"/>
            <w:vAlign w:val="bottom"/>
          </w:tcPr>
          <w:p>
            <w:pPr>
              <w:jc w:val="right"/>
              <w:ind w:right="148"/>
              <w:spacing w:after="0"/>
              <w:rPr>
                <w:sz w:val="20"/>
                <w:szCs w:val="20"/>
                <w:color w:val="auto"/>
              </w:rPr>
            </w:pPr>
            <w:r>
              <w:rPr>
                <w:rFonts w:ascii="Arial" w:cs="Arial" w:eastAsia="Arial" w:hAnsi="Arial"/>
                <w:sz w:val="14"/>
                <w:szCs w:val="14"/>
                <w:color w:val="auto"/>
              </w:rPr>
              <w:t>31</w:t>
            </w:r>
          </w:p>
        </w:tc>
      </w:tr>
      <w:tr>
        <w:trPr>
          <w:trHeight w:val="216"/>
        </w:trPr>
        <w:tc>
          <w:tcPr>
            <w:tcW w:w="4640" w:type="dxa"/>
            <w:vAlign w:val="bottom"/>
          </w:tcPr>
          <w:p>
            <w:pPr>
              <w:ind w:left="280"/>
              <w:spacing w:after="0"/>
              <w:rPr>
                <w:sz w:val="20"/>
                <w:szCs w:val="20"/>
                <w:color w:val="auto"/>
              </w:rPr>
            </w:pPr>
            <w:r>
              <w:rPr>
                <w:rFonts w:ascii="Arial" w:cs="Arial" w:eastAsia="Arial" w:hAnsi="Arial"/>
                <w:sz w:val="14"/>
                <w:szCs w:val="14"/>
                <w:color w:val="auto"/>
              </w:rPr>
              <w:t>Changes in working capital components:</w:t>
            </w: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16"/>
        </w:trPr>
        <w:tc>
          <w:tcPr>
            <w:tcW w:w="4640" w:type="dxa"/>
            <w:vAlign w:val="bottom"/>
          </w:tcPr>
          <w:p>
            <w:pPr>
              <w:ind w:left="520"/>
              <w:spacing w:after="0"/>
              <w:rPr>
                <w:sz w:val="20"/>
                <w:szCs w:val="20"/>
                <w:color w:val="auto"/>
              </w:rPr>
            </w:pPr>
            <w:r>
              <w:rPr>
                <w:rFonts w:ascii="Arial" w:cs="Arial" w:eastAsia="Arial" w:hAnsi="Arial"/>
                <w:sz w:val="14"/>
                <w:szCs w:val="14"/>
                <w:color w:val="auto"/>
              </w:rPr>
              <w:t>Accounts receivable</w:t>
            </w:r>
          </w:p>
        </w:tc>
        <w:tc>
          <w:tcPr>
            <w:tcW w:w="320" w:type="dxa"/>
            <w:vAlign w:val="bottom"/>
          </w:tcPr>
          <w:p>
            <w:pPr>
              <w:spacing w:after="0"/>
              <w:rPr>
                <w:sz w:val="18"/>
                <w:szCs w:val="18"/>
                <w:color w:val="auto"/>
              </w:rPr>
            </w:pPr>
          </w:p>
        </w:tc>
        <w:tc>
          <w:tcPr>
            <w:tcW w:w="780" w:type="dxa"/>
            <w:vAlign w:val="bottom"/>
          </w:tcPr>
          <w:p>
            <w:pPr>
              <w:jc w:val="right"/>
              <w:ind w:right="168"/>
              <w:spacing w:after="0"/>
              <w:rPr>
                <w:sz w:val="20"/>
                <w:szCs w:val="20"/>
                <w:color w:val="auto"/>
              </w:rPr>
            </w:pPr>
            <w:r>
              <w:rPr>
                <w:rFonts w:ascii="Arial" w:cs="Arial" w:eastAsia="Arial" w:hAnsi="Arial"/>
                <w:sz w:val="14"/>
                <w:szCs w:val="14"/>
                <w:color w:val="auto"/>
              </w:rPr>
              <w:t>102</w:t>
            </w:r>
          </w:p>
        </w:tc>
        <w:tc>
          <w:tcPr>
            <w:tcW w:w="360" w:type="dxa"/>
            <w:vAlign w:val="bottom"/>
          </w:tcPr>
          <w:p>
            <w:pPr>
              <w:spacing w:after="0"/>
              <w:rPr>
                <w:sz w:val="18"/>
                <w:szCs w:val="18"/>
                <w:color w:val="auto"/>
              </w:rPr>
            </w:pPr>
          </w:p>
        </w:tc>
        <w:tc>
          <w:tcPr>
            <w:tcW w:w="800" w:type="dxa"/>
            <w:vAlign w:val="bottom"/>
          </w:tcPr>
          <w:p>
            <w:pPr>
              <w:jc w:val="right"/>
              <w:ind w:right="88"/>
              <w:spacing w:after="0"/>
              <w:rPr>
                <w:sz w:val="20"/>
                <w:szCs w:val="20"/>
                <w:color w:val="auto"/>
              </w:rPr>
            </w:pPr>
            <w:r>
              <w:rPr>
                <w:rFonts w:ascii="Arial" w:cs="Arial" w:eastAsia="Arial" w:hAnsi="Arial"/>
                <w:sz w:val="14"/>
                <w:szCs w:val="14"/>
                <w:color w:val="auto"/>
              </w:rPr>
              <w:t>(31 )</w:t>
            </w:r>
          </w:p>
        </w:tc>
        <w:tc>
          <w:tcPr>
            <w:tcW w:w="340" w:type="dxa"/>
            <w:vAlign w:val="bottom"/>
          </w:tcPr>
          <w:p>
            <w:pPr>
              <w:spacing w:after="0"/>
              <w:rPr>
                <w:sz w:val="18"/>
                <w:szCs w:val="18"/>
                <w:color w:val="auto"/>
              </w:rPr>
            </w:pPr>
          </w:p>
        </w:tc>
        <w:tc>
          <w:tcPr>
            <w:tcW w:w="760" w:type="dxa"/>
            <w:vAlign w:val="bottom"/>
          </w:tcPr>
          <w:p>
            <w:pPr>
              <w:jc w:val="right"/>
              <w:ind w:right="148"/>
              <w:spacing w:after="0"/>
              <w:rPr>
                <w:sz w:val="20"/>
                <w:szCs w:val="20"/>
                <w:color w:val="auto"/>
              </w:rPr>
            </w:pPr>
            <w:r>
              <w:rPr>
                <w:rFonts w:ascii="Arial" w:cs="Arial" w:eastAsia="Arial" w:hAnsi="Arial"/>
                <w:sz w:val="14"/>
                <w:szCs w:val="14"/>
                <w:color w:val="auto"/>
              </w:rPr>
              <w:t>52</w:t>
            </w:r>
          </w:p>
        </w:tc>
      </w:tr>
      <w:tr>
        <w:trPr>
          <w:trHeight w:val="216"/>
        </w:trPr>
        <w:tc>
          <w:tcPr>
            <w:tcW w:w="4640" w:type="dxa"/>
            <w:vAlign w:val="bottom"/>
          </w:tcPr>
          <w:p>
            <w:pPr>
              <w:ind w:left="520"/>
              <w:spacing w:after="0"/>
              <w:rPr>
                <w:sz w:val="20"/>
                <w:szCs w:val="20"/>
                <w:color w:val="auto"/>
              </w:rPr>
            </w:pPr>
            <w:r>
              <w:rPr>
                <w:rFonts w:ascii="Arial" w:cs="Arial" w:eastAsia="Arial" w:hAnsi="Arial"/>
                <w:sz w:val="14"/>
                <w:szCs w:val="14"/>
                <w:color w:val="auto"/>
              </w:rPr>
              <w:t>Interest receivable</w:t>
            </w:r>
          </w:p>
        </w:tc>
        <w:tc>
          <w:tcPr>
            <w:tcW w:w="320" w:type="dxa"/>
            <w:vAlign w:val="bottom"/>
          </w:tcPr>
          <w:p>
            <w:pPr>
              <w:spacing w:after="0"/>
              <w:rPr>
                <w:sz w:val="18"/>
                <w:szCs w:val="18"/>
                <w:color w:val="auto"/>
              </w:rPr>
            </w:pPr>
          </w:p>
        </w:tc>
        <w:tc>
          <w:tcPr>
            <w:tcW w:w="78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8"/>
                <w:szCs w:val="18"/>
                <w:color w:val="auto"/>
              </w:rPr>
            </w:pPr>
          </w:p>
        </w:tc>
        <w:tc>
          <w:tcPr>
            <w:tcW w:w="800" w:type="dxa"/>
            <w:vAlign w:val="bottom"/>
          </w:tcPr>
          <w:p>
            <w:pPr>
              <w:jc w:val="right"/>
              <w:ind w:right="168"/>
              <w:spacing w:after="0"/>
              <w:rPr>
                <w:sz w:val="20"/>
                <w:szCs w:val="20"/>
                <w:color w:val="auto"/>
              </w:rPr>
            </w:pPr>
            <w:r>
              <w:rPr>
                <w:rFonts w:ascii="Arial" w:cs="Arial" w:eastAsia="Arial" w:hAnsi="Arial"/>
                <w:sz w:val="14"/>
                <w:szCs w:val="14"/>
                <w:color w:val="auto"/>
              </w:rPr>
              <w:t>10</w:t>
            </w:r>
          </w:p>
        </w:tc>
        <w:tc>
          <w:tcPr>
            <w:tcW w:w="340" w:type="dxa"/>
            <w:vAlign w:val="bottom"/>
          </w:tcPr>
          <w:p>
            <w:pPr>
              <w:spacing w:after="0"/>
              <w:rPr>
                <w:sz w:val="18"/>
                <w:szCs w:val="18"/>
                <w:color w:val="auto"/>
              </w:rPr>
            </w:pPr>
          </w:p>
        </w:tc>
        <w:tc>
          <w:tcPr>
            <w:tcW w:w="760" w:type="dxa"/>
            <w:vAlign w:val="bottom"/>
          </w:tcPr>
          <w:p>
            <w:pPr>
              <w:jc w:val="right"/>
              <w:ind w:right="68"/>
              <w:spacing w:after="0"/>
              <w:rPr>
                <w:sz w:val="20"/>
                <w:szCs w:val="20"/>
                <w:color w:val="auto"/>
              </w:rPr>
            </w:pPr>
            <w:r>
              <w:rPr>
                <w:rFonts w:ascii="Arial" w:cs="Arial" w:eastAsia="Arial" w:hAnsi="Arial"/>
                <w:sz w:val="14"/>
                <w:szCs w:val="14"/>
                <w:color w:val="auto"/>
              </w:rPr>
              <w:t>(1 )</w:t>
            </w:r>
          </w:p>
        </w:tc>
      </w:tr>
      <w:tr>
        <w:trPr>
          <w:trHeight w:val="216"/>
        </w:trPr>
        <w:tc>
          <w:tcPr>
            <w:tcW w:w="4640" w:type="dxa"/>
            <w:vAlign w:val="bottom"/>
          </w:tcPr>
          <w:p>
            <w:pPr>
              <w:ind w:left="520"/>
              <w:spacing w:after="0"/>
              <w:rPr>
                <w:sz w:val="20"/>
                <w:szCs w:val="20"/>
                <w:color w:val="auto"/>
              </w:rPr>
            </w:pPr>
            <w:r>
              <w:rPr>
                <w:rFonts w:ascii="Arial" w:cs="Arial" w:eastAsia="Arial" w:hAnsi="Arial"/>
                <w:sz w:val="14"/>
                <w:szCs w:val="14"/>
                <w:color w:val="auto"/>
              </w:rPr>
              <w:t>Inventories</w:t>
            </w:r>
          </w:p>
        </w:tc>
        <w:tc>
          <w:tcPr>
            <w:tcW w:w="320" w:type="dxa"/>
            <w:vAlign w:val="bottom"/>
          </w:tcPr>
          <w:p>
            <w:pPr>
              <w:spacing w:after="0"/>
              <w:rPr>
                <w:sz w:val="18"/>
                <w:szCs w:val="18"/>
                <w:color w:val="auto"/>
              </w:rPr>
            </w:pPr>
          </w:p>
        </w:tc>
        <w:tc>
          <w:tcPr>
            <w:tcW w:w="780" w:type="dxa"/>
            <w:vAlign w:val="bottom"/>
          </w:tcPr>
          <w:p>
            <w:pPr>
              <w:jc w:val="right"/>
              <w:ind w:right="88"/>
              <w:spacing w:after="0"/>
              <w:rPr>
                <w:sz w:val="20"/>
                <w:szCs w:val="20"/>
                <w:color w:val="auto"/>
              </w:rPr>
            </w:pPr>
            <w:r>
              <w:rPr>
                <w:rFonts w:ascii="Arial" w:cs="Arial" w:eastAsia="Arial" w:hAnsi="Arial"/>
                <w:sz w:val="14"/>
                <w:szCs w:val="14"/>
                <w:color w:val="auto"/>
              </w:rPr>
              <w:t>(69 )</w:t>
            </w:r>
          </w:p>
        </w:tc>
        <w:tc>
          <w:tcPr>
            <w:tcW w:w="360" w:type="dxa"/>
            <w:vAlign w:val="bottom"/>
          </w:tcPr>
          <w:p>
            <w:pPr>
              <w:spacing w:after="0"/>
              <w:rPr>
                <w:sz w:val="18"/>
                <w:szCs w:val="18"/>
                <w:color w:val="auto"/>
              </w:rPr>
            </w:pPr>
          </w:p>
        </w:tc>
        <w:tc>
          <w:tcPr>
            <w:tcW w:w="800" w:type="dxa"/>
            <w:vAlign w:val="bottom"/>
          </w:tcPr>
          <w:p>
            <w:pPr>
              <w:jc w:val="right"/>
              <w:ind w:right="168"/>
              <w:spacing w:after="0"/>
              <w:rPr>
                <w:sz w:val="20"/>
                <w:szCs w:val="20"/>
                <w:color w:val="auto"/>
              </w:rPr>
            </w:pPr>
            <w:r>
              <w:rPr>
                <w:rFonts w:ascii="Arial" w:cs="Arial" w:eastAsia="Arial" w:hAnsi="Arial"/>
                <w:sz w:val="14"/>
                <w:szCs w:val="14"/>
                <w:color w:val="auto"/>
              </w:rPr>
              <w:t>8</w:t>
            </w:r>
          </w:p>
        </w:tc>
        <w:tc>
          <w:tcPr>
            <w:tcW w:w="340" w:type="dxa"/>
            <w:vAlign w:val="bottom"/>
          </w:tcPr>
          <w:p>
            <w:pPr>
              <w:spacing w:after="0"/>
              <w:rPr>
                <w:sz w:val="18"/>
                <w:szCs w:val="18"/>
                <w:color w:val="auto"/>
              </w:rPr>
            </w:pPr>
          </w:p>
        </w:tc>
        <w:tc>
          <w:tcPr>
            <w:tcW w:w="760" w:type="dxa"/>
            <w:vAlign w:val="bottom"/>
          </w:tcPr>
          <w:p>
            <w:pPr>
              <w:jc w:val="right"/>
              <w:ind w:right="148"/>
              <w:spacing w:after="0"/>
              <w:rPr>
                <w:sz w:val="20"/>
                <w:szCs w:val="20"/>
                <w:color w:val="auto"/>
              </w:rPr>
            </w:pPr>
            <w:r>
              <w:rPr>
                <w:rFonts w:ascii="Arial" w:cs="Arial" w:eastAsia="Arial" w:hAnsi="Arial"/>
                <w:sz w:val="14"/>
                <w:szCs w:val="14"/>
                <w:color w:val="auto"/>
              </w:rPr>
              <w:t>18</w:t>
            </w:r>
          </w:p>
        </w:tc>
      </w:tr>
      <w:tr>
        <w:trPr>
          <w:trHeight w:val="216"/>
        </w:trPr>
        <w:tc>
          <w:tcPr>
            <w:tcW w:w="4640" w:type="dxa"/>
            <w:vAlign w:val="bottom"/>
          </w:tcPr>
          <w:p>
            <w:pPr>
              <w:ind w:left="520"/>
              <w:spacing w:after="0"/>
              <w:rPr>
                <w:sz w:val="20"/>
                <w:szCs w:val="20"/>
                <w:color w:val="auto"/>
              </w:rPr>
            </w:pPr>
            <w:r>
              <w:rPr>
                <w:rFonts w:ascii="Arial" w:cs="Arial" w:eastAsia="Arial" w:hAnsi="Arial"/>
                <w:sz w:val="14"/>
                <w:szCs w:val="14"/>
                <w:color w:val="auto"/>
              </w:rPr>
              <w:t>Other current assets</w:t>
            </w:r>
          </w:p>
        </w:tc>
        <w:tc>
          <w:tcPr>
            <w:tcW w:w="320" w:type="dxa"/>
            <w:vAlign w:val="bottom"/>
          </w:tcPr>
          <w:p>
            <w:pPr>
              <w:spacing w:after="0"/>
              <w:rPr>
                <w:sz w:val="18"/>
                <w:szCs w:val="18"/>
                <w:color w:val="auto"/>
              </w:rPr>
            </w:pPr>
          </w:p>
        </w:tc>
        <w:tc>
          <w:tcPr>
            <w:tcW w:w="780" w:type="dxa"/>
            <w:vAlign w:val="bottom"/>
          </w:tcPr>
          <w:p>
            <w:pPr>
              <w:jc w:val="right"/>
              <w:ind w:right="88"/>
              <w:spacing w:after="0"/>
              <w:rPr>
                <w:sz w:val="20"/>
                <w:szCs w:val="20"/>
                <w:color w:val="auto"/>
              </w:rPr>
            </w:pPr>
            <w:r>
              <w:rPr>
                <w:rFonts w:ascii="Arial" w:cs="Arial" w:eastAsia="Arial" w:hAnsi="Arial"/>
                <w:sz w:val="14"/>
                <w:szCs w:val="14"/>
                <w:color w:val="auto"/>
              </w:rPr>
              <w:t>(23 )</w:t>
            </w:r>
          </w:p>
        </w:tc>
        <w:tc>
          <w:tcPr>
            <w:tcW w:w="360" w:type="dxa"/>
            <w:vAlign w:val="bottom"/>
          </w:tcPr>
          <w:p>
            <w:pPr>
              <w:spacing w:after="0"/>
              <w:rPr>
                <w:sz w:val="18"/>
                <w:szCs w:val="18"/>
                <w:color w:val="auto"/>
              </w:rPr>
            </w:pPr>
          </w:p>
        </w:tc>
        <w:tc>
          <w:tcPr>
            <w:tcW w:w="800" w:type="dxa"/>
            <w:vAlign w:val="bottom"/>
          </w:tcPr>
          <w:p>
            <w:pPr>
              <w:jc w:val="right"/>
              <w:ind w:right="88"/>
              <w:spacing w:after="0"/>
              <w:rPr>
                <w:sz w:val="20"/>
                <w:szCs w:val="20"/>
                <w:color w:val="auto"/>
              </w:rPr>
            </w:pPr>
            <w:r>
              <w:rPr>
                <w:rFonts w:ascii="Arial" w:cs="Arial" w:eastAsia="Arial" w:hAnsi="Arial"/>
                <w:sz w:val="14"/>
                <w:szCs w:val="14"/>
                <w:color w:val="auto"/>
              </w:rPr>
              <w:t>(2 )</w:t>
            </w:r>
          </w:p>
        </w:tc>
        <w:tc>
          <w:tcPr>
            <w:tcW w:w="340" w:type="dxa"/>
            <w:vAlign w:val="bottom"/>
          </w:tcPr>
          <w:p>
            <w:pPr>
              <w:spacing w:after="0"/>
              <w:rPr>
                <w:sz w:val="18"/>
                <w:szCs w:val="18"/>
                <w:color w:val="auto"/>
              </w:rPr>
            </w:pPr>
          </w:p>
        </w:tc>
        <w:tc>
          <w:tcPr>
            <w:tcW w:w="760" w:type="dxa"/>
            <w:vAlign w:val="bottom"/>
          </w:tcPr>
          <w:p>
            <w:pPr>
              <w:jc w:val="right"/>
              <w:ind w:right="68"/>
              <w:spacing w:after="0"/>
              <w:rPr>
                <w:sz w:val="20"/>
                <w:szCs w:val="20"/>
                <w:color w:val="auto"/>
              </w:rPr>
            </w:pPr>
            <w:r>
              <w:rPr>
                <w:rFonts w:ascii="Arial" w:cs="Arial" w:eastAsia="Arial" w:hAnsi="Arial"/>
                <w:sz w:val="14"/>
                <w:szCs w:val="14"/>
                <w:color w:val="auto"/>
              </w:rPr>
              <w:t>(7 )</w:t>
            </w:r>
          </w:p>
        </w:tc>
      </w:tr>
      <w:tr>
        <w:trPr>
          <w:trHeight w:val="216"/>
        </w:trPr>
        <w:tc>
          <w:tcPr>
            <w:tcW w:w="4640" w:type="dxa"/>
            <w:vAlign w:val="bottom"/>
          </w:tcPr>
          <w:p>
            <w:pPr>
              <w:ind w:left="520"/>
              <w:spacing w:after="0"/>
              <w:rPr>
                <w:sz w:val="20"/>
                <w:szCs w:val="20"/>
                <w:color w:val="auto"/>
              </w:rPr>
            </w:pPr>
            <w:r>
              <w:rPr>
                <w:rFonts w:ascii="Arial" w:cs="Arial" w:eastAsia="Arial" w:hAnsi="Arial"/>
                <w:sz w:val="14"/>
                <w:szCs w:val="14"/>
                <w:color w:val="auto"/>
              </w:rPr>
              <w:t>Accounts payable</w:t>
            </w:r>
          </w:p>
        </w:tc>
        <w:tc>
          <w:tcPr>
            <w:tcW w:w="320" w:type="dxa"/>
            <w:vAlign w:val="bottom"/>
          </w:tcPr>
          <w:p>
            <w:pPr>
              <w:spacing w:after="0"/>
              <w:rPr>
                <w:sz w:val="18"/>
                <w:szCs w:val="18"/>
                <w:color w:val="auto"/>
              </w:rPr>
            </w:pPr>
          </w:p>
        </w:tc>
        <w:tc>
          <w:tcPr>
            <w:tcW w:w="780" w:type="dxa"/>
            <w:vAlign w:val="bottom"/>
          </w:tcPr>
          <w:p>
            <w:pPr>
              <w:jc w:val="right"/>
              <w:ind w:right="168"/>
              <w:spacing w:after="0"/>
              <w:rPr>
                <w:sz w:val="20"/>
                <w:szCs w:val="20"/>
                <w:color w:val="auto"/>
              </w:rPr>
            </w:pPr>
            <w:r>
              <w:rPr>
                <w:rFonts w:ascii="Arial" w:cs="Arial" w:eastAsia="Arial" w:hAnsi="Arial"/>
                <w:sz w:val="14"/>
                <w:szCs w:val="14"/>
                <w:color w:val="auto"/>
              </w:rPr>
              <w:t>7</w:t>
            </w:r>
          </w:p>
        </w:tc>
        <w:tc>
          <w:tcPr>
            <w:tcW w:w="360" w:type="dxa"/>
            <w:vAlign w:val="bottom"/>
          </w:tcPr>
          <w:p>
            <w:pPr>
              <w:spacing w:after="0"/>
              <w:rPr>
                <w:sz w:val="18"/>
                <w:szCs w:val="18"/>
                <w:color w:val="auto"/>
              </w:rPr>
            </w:pPr>
          </w:p>
        </w:tc>
        <w:tc>
          <w:tcPr>
            <w:tcW w:w="800" w:type="dxa"/>
            <w:vAlign w:val="bottom"/>
          </w:tcPr>
          <w:p>
            <w:pPr>
              <w:jc w:val="right"/>
              <w:ind w:right="88"/>
              <w:spacing w:after="0"/>
              <w:rPr>
                <w:sz w:val="20"/>
                <w:szCs w:val="20"/>
                <w:color w:val="auto"/>
              </w:rPr>
            </w:pPr>
            <w:r>
              <w:rPr>
                <w:rFonts w:ascii="Arial" w:cs="Arial" w:eastAsia="Arial" w:hAnsi="Arial"/>
                <w:sz w:val="14"/>
                <w:szCs w:val="14"/>
                <w:color w:val="auto"/>
              </w:rPr>
              <w:t>(79 )</w:t>
            </w:r>
          </w:p>
        </w:tc>
        <w:tc>
          <w:tcPr>
            <w:tcW w:w="340" w:type="dxa"/>
            <w:vAlign w:val="bottom"/>
          </w:tcPr>
          <w:p>
            <w:pPr>
              <w:spacing w:after="0"/>
              <w:rPr>
                <w:sz w:val="18"/>
                <w:szCs w:val="18"/>
                <w:color w:val="auto"/>
              </w:rPr>
            </w:pPr>
          </w:p>
        </w:tc>
        <w:tc>
          <w:tcPr>
            <w:tcW w:w="760" w:type="dxa"/>
            <w:vAlign w:val="bottom"/>
          </w:tcPr>
          <w:p>
            <w:pPr>
              <w:jc w:val="right"/>
              <w:ind w:right="148"/>
              <w:spacing w:after="0"/>
              <w:rPr>
                <w:sz w:val="20"/>
                <w:szCs w:val="20"/>
                <w:color w:val="auto"/>
              </w:rPr>
            </w:pPr>
            <w:r>
              <w:rPr>
                <w:rFonts w:ascii="Arial" w:cs="Arial" w:eastAsia="Arial" w:hAnsi="Arial"/>
                <w:sz w:val="14"/>
                <w:szCs w:val="14"/>
                <w:color w:val="auto"/>
              </w:rPr>
              <w:t>83</w:t>
            </w:r>
          </w:p>
        </w:tc>
      </w:tr>
      <w:tr>
        <w:trPr>
          <w:trHeight w:val="216"/>
        </w:trPr>
        <w:tc>
          <w:tcPr>
            <w:tcW w:w="4640" w:type="dxa"/>
            <w:vAlign w:val="bottom"/>
          </w:tcPr>
          <w:p>
            <w:pPr>
              <w:ind w:left="520"/>
              <w:spacing w:after="0"/>
              <w:rPr>
                <w:sz w:val="20"/>
                <w:szCs w:val="20"/>
                <w:color w:val="auto"/>
              </w:rPr>
            </w:pPr>
            <w:r>
              <w:rPr>
                <w:rFonts w:ascii="Arial" w:cs="Arial" w:eastAsia="Arial" w:hAnsi="Arial"/>
                <w:sz w:val="14"/>
                <w:szCs w:val="14"/>
                <w:color w:val="auto"/>
              </w:rPr>
              <w:t>Income taxes</w:t>
            </w:r>
          </w:p>
        </w:tc>
        <w:tc>
          <w:tcPr>
            <w:tcW w:w="320" w:type="dxa"/>
            <w:vAlign w:val="bottom"/>
          </w:tcPr>
          <w:p>
            <w:pPr>
              <w:spacing w:after="0"/>
              <w:rPr>
                <w:sz w:val="18"/>
                <w:szCs w:val="18"/>
                <w:color w:val="auto"/>
              </w:rPr>
            </w:pPr>
          </w:p>
        </w:tc>
        <w:tc>
          <w:tcPr>
            <w:tcW w:w="780" w:type="dxa"/>
            <w:vAlign w:val="bottom"/>
          </w:tcPr>
          <w:p>
            <w:pPr>
              <w:jc w:val="right"/>
              <w:ind w:right="88"/>
              <w:spacing w:after="0"/>
              <w:rPr>
                <w:sz w:val="20"/>
                <w:szCs w:val="20"/>
                <w:color w:val="auto"/>
              </w:rPr>
            </w:pPr>
            <w:r>
              <w:rPr>
                <w:rFonts w:ascii="Arial" w:cs="Arial" w:eastAsia="Arial" w:hAnsi="Arial"/>
                <w:sz w:val="14"/>
                <w:szCs w:val="14"/>
                <w:color w:val="auto"/>
              </w:rPr>
              <w:t>(67 )</w:t>
            </w:r>
          </w:p>
        </w:tc>
        <w:tc>
          <w:tcPr>
            <w:tcW w:w="360" w:type="dxa"/>
            <w:vAlign w:val="bottom"/>
          </w:tcPr>
          <w:p>
            <w:pPr>
              <w:spacing w:after="0"/>
              <w:rPr>
                <w:sz w:val="18"/>
                <w:szCs w:val="18"/>
                <w:color w:val="auto"/>
              </w:rPr>
            </w:pPr>
          </w:p>
        </w:tc>
        <w:tc>
          <w:tcPr>
            <w:tcW w:w="800" w:type="dxa"/>
            <w:vAlign w:val="bottom"/>
          </w:tcPr>
          <w:p>
            <w:pPr>
              <w:jc w:val="right"/>
              <w:ind w:right="168"/>
              <w:spacing w:after="0"/>
              <w:rPr>
                <w:sz w:val="20"/>
                <w:szCs w:val="20"/>
                <w:color w:val="auto"/>
              </w:rPr>
            </w:pPr>
            <w:r>
              <w:rPr>
                <w:rFonts w:ascii="Arial" w:cs="Arial" w:eastAsia="Arial" w:hAnsi="Arial"/>
                <w:sz w:val="14"/>
                <w:szCs w:val="14"/>
                <w:color w:val="auto"/>
              </w:rPr>
              <w:t>38</w:t>
            </w:r>
          </w:p>
        </w:tc>
        <w:tc>
          <w:tcPr>
            <w:tcW w:w="340" w:type="dxa"/>
            <w:vAlign w:val="bottom"/>
          </w:tcPr>
          <w:p>
            <w:pPr>
              <w:spacing w:after="0"/>
              <w:rPr>
                <w:sz w:val="18"/>
                <w:szCs w:val="18"/>
                <w:color w:val="auto"/>
              </w:rPr>
            </w:pPr>
          </w:p>
        </w:tc>
        <w:tc>
          <w:tcPr>
            <w:tcW w:w="760" w:type="dxa"/>
            <w:vAlign w:val="bottom"/>
          </w:tcPr>
          <w:p>
            <w:pPr>
              <w:jc w:val="right"/>
              <w:ind w:right="148"/>
              <w:spacing w:after="0"/>
              <w:rPr>
                <w:sz w:val="20"/>
                <w:szCs w:val="20"/>
                <w:color w:val="auto"/>
              </w:rPr>
            </w:pPr>
            <w:r>
              <w:rPr>
                <w:rFonts w:ascii="Arial" w:cs="Arial" w:eastAsia="Arial" w:hAnsi="Arial"/>
                <w:sz w:val="14"/>
                <w:szCs w:val="14"/>
                <w:color w:val="auto"/>
              </w:rPr>
              <w:t>98</w:t>
            </w:r>
          </w:p>
        </w:tc>
      </w:tr>
      <w:tr>
        <w:trPr>
          <w:trHeight w:val="216"/>
        </w:trPr>
        <w:tc>
          <w:tcPr>
            <w:tcW w:w="4640" w:type="dxa"/>
            <w:vAlign w:val="bottom"/>
          </w:tcPr>
          <w:p>
            <w:pPr>
              <w:ind w:left="520"/>
              <w:spacing w:after="0"/>
              <w:rPr>
                <w:sz w:val="20"/>
                <w:szCs w:val="20"/>
                <w:color w:val="auto"/>
              </w:rPr>
            </w:pPr>
            <w:r>
              <w:rPr>
                <w:rFonts w:ascii="Arial" w:cs="Arial" w:eastAsia="Arial" w:hAnsi="Arial"/>
                <w:sz w:val="14"/>
                <w:szCs w:val="14"/>
                <w:color w:val="auto"/>
              </w:rPr>
              <w:t>Due to/from affiliates, net</w:t>
            </w:r>
          </w:p>
        </w:tc>
        <w:tc>
          <w:tcPr>
            <w:tcW w:w="320" w:type="dxa"/>
            <w:vAlign w:val="bottom"/>
          </w:tcPr>
          <w:p>
            <w:pPr>
              <w:spacing w:after="0"/>
              <w:rPr>
                <w:sz w:val="18"/>
                <w:szCs w:val="18"/>
                <w:color w:val="auto"/>
              </w:rPr>
            </w:pPr>
          </w:p>
        </w:tc>
        <w:tc>
          <w:tcPr>
            <w:tcW w:w="780" w:type="dxa"/>
            <w:vAlign w:val="bottom"/>
          </w:tcPr>
          <w:p>
            <w:pPr>
              <w:jc w:val="right"/>
              <w:ind w:right="88"/>
              <w:spacing w:after="0"/>
              <w:rPr>
                <w:sz w:val="20"/>
                <w:szCs w:val="20"/>
                <w:color w:val="auto"/>
              </w:rPr>
            </w:pPr>
            <w:r>
              <w:rPr>
                <w:rFonts w:ascii="Arial" w:cs="Arial" w:eastAsia="Arial" w:hAnsi="Arial"/>
                <w:sz w:val="14"/>
                <w:szCs w:val="14"/>
                <w:color w:val="auto"/>
              </w:rPr>
              <w:t>(6 )</w:t>
            </w:r>
          </w:p>
        </w:tc>
        <w:tc>
          <w:tcPr>
            <w:tcW w:w="360" w:type="dxa"/>
            <w:vAlign w:val="bottom"/>
          </w:tcPr>
          <w:p>
            <w:pPr>
              <w:spacing w:after="0"/>
              <w:rPr>
                <w:sz w:val="18"/>
                <w:szCs w:val="18"/>
                <w:color w:val="auto"/>
              </w:rPr>
            </w:pPr>
          </w:p>
        </w:tc>
        <w:tc>
          <w:tcPr>
            <w:tcW w:w="800" w:type="dxa"/>
            <w:vAlign w:val="bottom"/>
          </w:tcPr>
          <w:p>
            <w:pPr>
              <w:jc w:val="right"/>
              <w:ind w:right="168"/>
              <w:spacing w:after="0"/>
              <w:rPr>
                <w:sz w:val="20"/>
                <w:szCs w:val="20"/>
                <w:color w:val="auto"/>
              </w:rPr>
            </w:pPr>
            <w:r>
              <w:rPr>
                <w:rFonts w:ascii="Arial" w:cs="Arial" w:eastAsia="Arial" w:hAnsi="Arial"/>
                <w:sz w:val="14"/>
                <w:szCs w:val="14"/>
                <w:color w:val="auto"/>
              </w:rPr>
              <w:t>1</w:t>
            </w:r>
          </w:p>
        </w:tc>
        <w:tc>
          <w:tcPr>
            <w:tcW w:w="340" w:type="dxa"/>
            <w:vAlign w:val="bottom"/>
          </w:tcPr>
          <w:p>
            <w:pPr>
              <w:spacing w:after="0"/>
              <w:rPr>
                <w:sz w:val="18"/>
                <w:szCs w:val="18"/>
                <w:color w:val="auto"/>
              </w:rPr>
            </w:pPr>
          </w:p>
        </w:tc>
        <w:tc>
          <w:tcPr>
            <w:tcW w:w="760" w:type="dxa"/>
            <w:vAlign w:val="bottom"/>
          </w:tcPr>
          <w:p>
            <w:pPr>
              <w:jc w:val="right"/>
              <w:ind w:right="68"/>
              <w:spacing w:after="0"/>
              <w:rPr>
                <w:sz w:val="20"/>
                <w:szCs w:val="20"/>
                <w:color w:val="auto"/>
              </w:rPr>
            </w:pPr>
            <w:r>
              <w:rPr>
                <w:rFonts w:ascii="Arial" w:cs="Arial" w:eastAsia="Arial" w:hAnsi="Arial"/>
                <w:sz w:val="14"/>
                <w:szCs w:val="14"/>
                <w:color w:val="auto"/>
              </w:rPr>
              <w:t>(22 )</w:t>
            </w:r>
          </w:p>
        </w:tc>
      </w:tr>
      <w:tr>
        <w:trPr>
          <w:trHeight w:val="216"/>
        </w:trPr>
        <w:tc>
          <w:tcPr>
            <w:tcW w:w="4640" w:type="dxa"/>
            <w:vAlign w:val="bottom"/>
          </w:tcPr>
          <w:p>
            <w:pPr>
              <w:ind w:left="520"/>
              <w:spacing w:after="0"/>
              <w:rPr>
                <w:sz w:val="20"/>
                <w:szCs w:val="20"/>
                <w:color w:val="auto"/>
              </w:rPr>
            </w:pPr>
            <w:r>
              <w:rPr>
                <w:rFonts w:ascii="Arial" w:cs="Arial" w:eastAsia="Arial" w:hAnsi="Arial"/>
                <w:sz w:val="14"/>
                <w:szCs w:val="14"/>
                <w:color w:val="auto"/>
              </w:rPr>
              <w:t>Regulatory balancing accounts</w:t>
            </w:r>
          </w:p>
        </w:tc>
        <w:tc>
          <w:tcPr>
            <w:tcW w:w="320" w:type="dxa"/>
            <w:vAlign w:val="bottom"/>
          </w:tcPr>
          <w:p>
            <w:pPr>
              <w:spacing w:after="0"/>
              <w:rPr>
                <w:sz w:val="18"/>
                <w:szCs w:val="18"/>
                <w:color w:val="auto"/>
              </w:rPr>
            </w:pPr>
          </w:p>
        </w:tc>
        <w:tc>
          <w:tcPr>
            <w:tcW w:w="780" w:type="dxa"/>
            <w:vAlign w:val="bottom"/>
          </w:tcPr>
          <w:p>
            <w:pPr>
              <w:jc w:val="right"/>
              <w:ind w:right="168"/>
              <w:spacing w:after="0"/>
              <w:rPr>
                <w:sz w:val="20"/>
                <w:szCs w:val="20"/>
                <w:color w:val="auto"/>
              </w:rPr>
            </w:pPr>
            <w:r>
              <w:rPr>
                <w:rFonts w:ascii="Arial" w:cs="Arial" w:eastAsia="Arial" w:hAnsi="Arial"/>
                <w:sz w:val="14"/>
                <w:szCs w:val="14"/>
                <w:color w:val="auto"/>
              </w:rPr>
              <w:t>46</w:t>
            </w:r>
          </w:p>
        </w:tc>
        <w:tc>
          <w:tcPr>
            <w:tcW w:w="360" w:type="dxa"/>
            <w:vAlign w:val="bottom"/>
          </w:tcPr>
          <w:p>
            <w:pPr>
              <w:spacing w:after="0"/>
              <w:rPr>
                <w:sz w:val="18"/>
                <w:szCs w:val="18"/>
                <w:color w:val="auto"/>
              </w:rPr>
            </w:pPr>
          </w:p>
        </w:tc>
        <w:tc>
          <w:tcPr>
            <w:tcW w:w="800" w:type="dxa"/>
            <w:vAlign w:val="bottom"/>
          </w:tcPr>
          <w:p>
            <w:pPr>
              <w:jc w:val="right"/>
              <w:ind w:right="88"/>
              <w:spacing w:after="0"/>
              <w:rPr>
                <w:sz w:val="20"/>
                <w:szCs w:val="20"/>
                <w:color w:val="auto"/>
              </w:rPr>
            </w:pPr>
            <w:r>
              <w:rPr>
                <w:rFonts w:ascii="Arial" w:cs="Arial" w:eastAsia="Arial" w:hAnsi="Arial"/>
                <w:sz w:val="14"/>
                <w:szCs w:val="14"/>
                <w:color w:val="auto"/>
              </w:rPr>
              <w:t>(13 )</w:t>
            </w:r>
          </w:p>
        </w:tc>
        <w:tc>
          <w:tcPr>
            <w:tcW w:w="340" w:type="dxa"/>
            <w:vAlign w:val="bottom"/>
          </w:tcPr>
          <w:p>
            <w:pPr>
              <w:spacing w:after="0"/>
              <w:rPr>
                <w:sz w:val="18"/>
                <w:szCs w:val="18"/>
                <w:color w:val="auto"/>
              </w:rPr>
            </w:pPr>
          </w:p>
        </w:tc>
        <w:tc>
          <w:tcPr>
            <w:tcW w:w="760" w:type="dxa"/>
            <w:vAlign w:val="bottom"/>
          </w:tcPr>
          <w:p>
            <w:pPr>
              <w:jc w:val="right"/>
              <w:ind w:right="148"/>
              <w:spacing w:after="0"/>
              <w:rPr>
                <w:sz w:val="20"/>
                <w:szCs w:val="20"/>
                <w:color w:val="auto"/>
              </w:rPr>
            </w:pPr>
            <w:r>
              <w:rPr>
                <w:rFonts w:ascii="Arial" w:cs="Arial" w:eastAsia="Arial" w:hAnsi="Arial"/>
                <w:sz w:val="14"/>
                <w:szCs w:val="14"/>
                <w:color w:val="auto"/>
              </w:rPr>
              <w:t>185</w:t>
            </w:r>
          </w:p>
        </w:tc>
      </w:tr>
      <w:tr>
        <w:trPr>
          <w:trHeight w:val="216"/>
        </w:trPr>
        <w:tc>
          <w:tcPr>
            <w:tcW w:w="4640" w:type="dxa"/>
            <w:vAlign w:val="bottom"/>
          </w:tcPr>
          <w:p>
            <w:pPr>
              <w:ind w:left="520"/>
              <w:spacing w:after="0"/>
              <w:rPr>
                <w:sz w:val="20"/>
                <w:szCs w:val="20"/>
                <w:color w:val="auto"/>
              </w:rPr>
            </w:pPr>
            <w:r>
              <w:rPr>
                <w:rFonts w:ascii="Arial" w:cs="Arial" w:eastAsia="Arial" w:hAnsi="Arial"/>
                <w:sz w:val="14"/>
                <w:szCs w:val="14"/>
                <w:color w:val="auto"/>
              </w:rPr>
              <w:t>Customer deposits</w:t>
            </w:r>
          </w:p>
        </w:tc>
        <w:tc>
          <w:tcPr>
            <w:tcW w:w="320" w:type="dxa"/>
            <w:vAlign w:val="bottom"/>
          </w:tcPr>
          <w:p>
            <w:pPr>
              <w:spacing w:after="0"/>
              <w:rPr>
                <w:sz w:val="18"/>
                <w:szCs w:val="18"/>
                <w:color w:val="auto"/>
              </w:rPr>
            </w:pPr>
          </w:p>
        </w:tc>
        <w:tc>
          <w:tcPr>
            <w:tcW w:w="780" w:type="dxa"/>
            <w:vAlign w:val="bottom"/>
          </w:tcPr>
          <w:p>
            <w:pPr>
              <w:jc w:val="right"/>
              <w:ind w:right="168"/>
              <w:spacing w:after="0"/>
              <w:rPr>
                <w:sz w:val="20"/>
                <w:szCs w:val="20"/>
                <w:color w:val="auto"/>
              </w:rPr>
            </w:pPr>
            <w:r>
              <w:rPr>
                <w:rFonts w:ascii="Arial" w:cs="Arial" w:eastAsia="Arial" w:hAnsi="Arial"/>
                <w:sz w:val="14"/>
                <w:szCs w:val="14"/>
                <w:color w:val="auto"/>
              </w:rPr>
              <w:t>24</w:t>
            </w:r>
          </w:p>
        </w:tc>
        <w:tc>
          <w:tcPr>
            <w:tcW w:w="360" w:type="dxa"/>
            <w:vAlign w:val="bottom"/>
          </w:tcPr>
          <w:p>
            <w:pPr>
              <w:spacing w:after="0"/>
              <w:rPr>
                <w:sz w:val="18"/>
                <w:szCs w:val="18"/>
                <w:color w:val="auto"/>
              </w:rPr>
            </w:pPr>
          </w:p>
        </w:tc>
        <w:tc>
          <w:tcPr>
            <w:tcW w:w="800" w:type="dxa"/>
            <w:vAlign w:val="bottom"/>
          </w:tcPr>
          <w:p>
            <w:pPr>
              <w:jc w:val="right"/>
              <w:ind w:right="168"/>
              <w:spacing w:after="0"/>
              <w:rPr>
                <w:sz w:val="20"/>
                <w:szCs w:val="20"/>
                <w:color w:val="auto"/>
              </w:rPr>
            </w:pPr>
            <w:r>
              <w:rPr>
                <w:rFonts w:ascii="Arial" w:cs="Arial" w:eastAsia="Arial" w:hAnsi="Arial"/>
                <w:sz w:val="14"/>
                <w:szCs w:val="14"/>
                <w:color w:val="auto"/>
              </w:rPr>
              <w:t>3</w:t>
            </w:r>
          </w:p>
        </w:tc>
        <w:tc>
          <w:tcPr>
            <w:tcW w:w="340" w:type="dxa"/>
            <w:vAlign w:val="bottom"/>
          </w:tcPr>
          <w:p>
            <w:pPr>
              <w:spacing w:after="0"/>
              <w:rPr>
                <w:sz w:val="18"/>
                <w:szCs w:val="18"/>
                <w:color w:val="auto"/>
              </w:rPr>
            </w:pPr>
          </w:p>
        </w:tc>
        <w:tc>
          <w:tcPr>
            <w:tcW w:w="760" w:type="dxa"/>
            <w:vAlign w:val="bottom"/>
          </w:tcPr>
          <w:p>
            <w:pPr>
              <w:jc w:val="right"/>
              <w:ind w:right="148"/>
              <w:spacing w:after="0"/>
              <w:rPr>
                <w:sz w:val="20"/>
                <w:szCs w:val="20"/>
                <w:color w:val="auto"/>
              </w:rPr>
            </w:pPr>
            <w:r>
              <w:rPr>
                <w:rFonts w:ascii="Arial" w:cs="Arial" w:eastAsia="Arial" w:hAnsi="Arial"/>
                <w:sz w:val="14"/>
                <w:szCs w:val="14"/>
                <w:color w:val="auto"/>
              </w:rPr>
              <w:t>8</w:t>
            </w:r>
          </w:p>
        </w:tc>
      </w:tr>
      <w:tr>
        <w:trPr>
          <w:trHeight w:val="222"/>
        </w:trPr>
        <w:tc>
          <w:tcPr>
            <w:tcW w:w="4640" w:type="dxa"/>
            <w:vAlign w:val="bottom"/>
          </w:tcPr>
          <w:p>
            <w:pPr>
              <w:ind w:left="520"/>
              <w:spacing w:after="0"/>
              <w:rPr>
                <w:sz w:val="20"/>
                <w:szCs w:val="20"/>
                <w:color w:val="auto"/>
              </w:rPr>
            </w:pPr>
            <w:r>
              <w:rPr>
                <w:rFonts w:ascii="Arial" w:cs="Arial" w:eastAsia="Arial" w:hAnsi="Arial"/>
                <w:sz w:val="14"/>
                <w:szCs w:val="14"/>
                <w:color w:val="auto"/>
              </w:rPr>
              <w:t>Other current liabilities</w:t>
            </w:r>
          </w:p>
        </w:tc>
        <w:tc>
          <w:tcPr>
            <w:tcW w:w="3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24</w:t>
            </w:r>
          </w:p>
        </w:tc>
        <w:tc>
          <w:tcPr>
            <w:tcW w:w="3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(17 )</w:t>
            </w:r>
          </w:p>
        </w:tc>
        <w:tc>
          <w:tcPr>
            <w:tcW w:w="3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(35 )</w:t>
            </w:r>
          </w:p>
        </w:tc>
      </w:tr>
      <w:tr>
        <w:trPr>
          <w:trHeight w:val="208"/>
        </w:trPr>
        <w:tc>
          <w:tcPr>
            <w:tcW w:w="4640" w:type="dxa"/>
            <w:vAlign w:val="bottom"/>
          </w:tcPr>
          <w:p>
            <w:pPr>
              <w:ind w:left="760"/>
              <w:spacing w:after="0"/>
              <w:rPr>
                <w:sz w:val="20"/>
                <w:szCs w:val="20"/>
                <w:color w:val="auto"/>
              </w:rPr>
            </w:pPr>
            <w:r>
              <w:rPr>
                <w:rFonts w:ascii="Arial" w:cs="Arial" w:eastAsia="Arial" w:hAnsi="Arial"/>
                <w:sz w:val="14"/>
                <w:szCs w:val="14"/>
                <w:color w:val="auto"/>
              </w:rPr>
              <w:t>Net cash provided by operating activities</w:t>
            </w:r>
          </w:p>
        </w:tc>
        <w:tc>
          <w:tcPr>
            <w:tcW w:w="3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568</w:t>
            </w:r>
          </w:p>
        </w:tc>
        <w:tc>
          <w:tcPr>
            <w:tcW w:w="3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478</w:t>
            </w:r>
          </w:p>
        </w:tc>
        <w:tc>
          <w:tcPr>
            <w:tcW w:w="3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873</w:t>
            </w:r>
          </w:p>
        </w:tc>
      </w:tr>
      <w:tr>
        <w:trPr>
          <w:trHeight w:val="418"/>
        </w:trPr>
        <w:tc>
          <w:tcPr>
            <w:tcW w:w="4640" w:type="dxa"/>
            <w:vAlign w:val="bottom"/>
          </w:tcPr>
          <w:p>
            <w:pPr>
              <w:spacing w:after="0"/>
              <w:rPr>
                <w:sz w:val="20"/>
                <w:szCs w:val="20"/>
                <w:color w:val="auto"/>
              </w:rPr>
            </w:pPr>
            <w:r>
              <w:rPr>
                <w:rFonts w:ascii="Arial" w:cs="Arial" w:eastAsia="Arial" w:hAnsi="Arial"/>
                <w:sz w:val="14"/>
                <w:szCs w:val="14"/>
                <w:color w:val="auto"/>
              </w:rPr>
              <w:t>CASH FLOWS FROM INVESTING ACTIVITIES</w:t>
            </w: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216"/>
        </w:trPr>
        <w:tc>
          <w:tcPr>
            <w:tcW w:w="4640" w:type="dxa"/>
            <w:vAlign w:val="bottom"/>
          </w:tcPr>
          <w:p>
            <w:pPr>
              <w:ind w:left="280"/>
              <w:spacing w:after="0"/>
              <w:rPr>
                <w:sz w:val="20"/>
                <w:szCs w:val="20"/>
                <w:color w:val="auto"/>
              </w:rPr>
            </w:pPr>
            <w:r>
              <w:rPr>
                <w:rFonts w:ascii="Arial" w:cs="Arial" w:eastAsia="Arial" w:hAnsi="Arial"/>
                <w:sz w:val="14"/>
                <w:szCs w:val="14"/>
                <w:color w:val="auto"/>
              </w:rPr>
              <w:t>Expenditures for property, plant and equipment</w:t>
            </w:r>
          </w:p>
        </w:tc>
        <w:tc>
          <w:tcPr>
            <w:tcW w:w="320" w:type="dxa"/>
            <w:vAlign w:val="bottom"/>
          </w:tcPr>
          <w:p>
            <w:pPr>
              <w:spacing w:after="0"/>
              <w:rPr>
                <w:sz w:val="18"/>
                <w:szCs w:val="18"/>
                <w:color w:val="auto"/>
              </w:rPr>
            </w:pPr>
          </w:p>
        </w:tc>
        <w:tc>
          <w:tcPr>
            <w:tcW w:w="780" w:type="dxa"/>
            <w:vAlign w:val="bottom"/>
          </w:tcPr>
          <w:p>
            <w:pPr>
              <w:jc w:val="right"/>
              <w:ind w:right="88"/>
              <w:spacing w:after="0"/>
              <w:rPr>
                <w:sz w:val="20"/>
                <w:szCs w:val="20"/>
                <w:color w:val="auto"/>
              </w:rPr>
            </w:pPr>
            <w:r>
              <w:rPr>
                <w:rFonts w:ascii="Arial" w:cs="Arial" w:eastAsia="Arial" w:hAnsi="Arial"/>
                <w:sz w:val="14"/>
                <w:szCs w:val="14"/>
                <w:color w:val="auto"/>
              </w:rPr>
              <w:t>(454 )</w:t>
            </w:r>
          </w:p>
        </w:tc>
        <w:tc>
          <w:tcPr>
            <w:tcW w:w="360" w:type="dxa"/>
            <w:vAlign w:val="bottom"/>
          </w:tcPr>
          <w:p>
            <w:pPr>
              <w:spacing w:after="0"/>
              <w:rPr>
                <w:sz w:val="18"/>
                <w:szCs w:val="18"/>
                <w:color w:val="auto"/>
              </w:rPr>
            </w:pPr>
          </w:p>
        </w:tc>
        <w:tc>
          <w:tcPr>
            <w:tcW w:w="800" w:type="dxa"/>
            <w:vAlign w:val="bottom"/>
          </w:tcPr>
          <w:p>
            <w:pPr>
              <w:jc w:val="right"/>
              <w:ind w:right="88"/>
              <w:spacing w:after="0"/>
              <w:rPr>
                <w:sz w:val="20"/>
                <w:szCs w:val="20"/>
                <w:color w:val="auto"/>
              </w:rPr>
            </w:pPr>
            <w:r>
              <w:rPr>
                <w:rFonts w:ascii="Arial" w:cs="Arial" w:eastAsia="Arial" w:hAnsi="Arial"/>
                <w:sz w:val="14"/>
                <w:szCs w:val="14"/>
                <w:color w:val="auto"/>
              </w:rPr>
              <w:t>(457 )</w:t>
            </w:r>
          </w:p>
        </w:tc>
        <w:tc>
          <w:tcPr>
            <w:tcW w:w="340" w:type="dxa"/>
            <w:vAlign w:val="bottom"/>
          </w:tcPr>
          <w:p>
            <w:pPr>
              <w:spacing w:after="0"/>
              <w:rPr>
                <w:sz w:val="18"/>
                <w:szCs w:val="18"/>
                <w:color w:val="auto"/>
              </w:rPr>
            </w:pPr>
          </w:p>
        </w:tc>
        <w:tc>
          <w:tcPr>
            <w:tcW w:w="760" w:type="dxa"/>
            <w:vAlign w:val="bottom"/>
          </w:tcPr>
          <w:p>
            <w:pPr>
              <w:jc w:val="right"/>
              <w:ind w:right="68"/>
              <w:spacing w:after="0"/>
              <w:rPr>
                <w:sz w:val="20"/>
                <w:szCs w:val="20"/>
                <w:color w:val="auto"/>
              </w:rPr>
            </w:pPr>
            <w:r>
              <w:rPr>
                <w:rFonts w:ascii="Arial" w:cs="Arial" w:eastAsia="Arial" w:hAnsi="Arial"/>
                <w:sz w:val="14"/>
                <w:szCs w:val="14"/>
                <w:color w:val="auto"/>
              </w:rPr>
              <w:t>(413 )</w:t>
            </w:r>
          </w:p>
        </w:tc>
      </w:tr>
      <w:tr>
        <w:trPr>
          <w:trHeight w:val="216"/>
        </w:trPr>
        <w:tc>
          <w:tcPr>
            <w:tcW w:w="4640" w:type="dxa"/>
            <w:vAlign w:val="bottom"/>
          </w:tcPr>
          <w:p>
            <w:pPr>
              <w:ind w:left="280"/>
              <w:spacing w:after="0"/>
              <w:rPr>
                <w:sz w:val="20"/>
                <w:szCs w:val="20"/>
                <w:color w:val="auto"/>
              </w:rPr>
            </w:pPr>
            <w:r>
              <w:rPr>
                <w:rFonts w:ascii="Arial" w:cs="Arial" w:eastAsia="Arial" w:hAnsi="Arial"/>
                <w:sz w:val="14"/>
                <w:szCs w:val="14"/>
                <w:color w:val="auto"/>
              </w:rPr>
              <w:t>Decrease (increase) in loans to affiliates, net</w:t>
            </w:r>
          </w:p>
        </w:tc>
        <w:tc>
          <w:tcPr>
            <w:tcW w:w="320" w:type="dxa"/>
            <w:vAlign w:val="bottom"/>
          </w:tcPr>
          <w:p>
            <w:pPr>
              <w:spacing w:after="0"/>
              <w:rPr>
                <w:sz w:val="18"/>
                <w:szCs w:val="18"/>
                <w:color w:val="auto"/>
              </w:rPr>
            </w:pPr>
          </w:p>
        </w:tc>
        <w:tc>
          <w:tcPr>
            <w:tcW w:w="780" w:type="dxa"/>
            <w:vAlign w:val="bottom"/>
          </w:tcPr>
          <w:p>
            <w:pPr>
              <w:jc w:val="right"/>
              <w:ind w:right="168"/>
              <w:spacing w:after="0"/>
              <w:rPr>
                <w:sz w:val="20"/>
                <w:szCs w:val="20"/>
                <w:color w:val="auto"/>
              </w:rPr>
            </w:pPr>
            <w:r>
              <w:rPr>
                <w:rFonts w:ascii="Arial" w:cs="Arial" w:eastAsia="Arial" w:hAnsi="Arial"/>
                <w:sz w:val="14"/>
                <w:szCs w:val="14"/>
                <w:color w:val="auto"/>
              </w:rPr>
              <w:t>136</w:t>
            </w:r>
          </w:p>
        </w:tc>
        <w:tc>
          <w:tcPr>
            <w:tcW w:w="360" w:type="dxa"/>
            <w:vAlign w:val="bottom"/>
          </w:tcPr>
          <w:p>
            <w:pPr>
              <w:spacing w:after="0"/>
              <w:rPr>
                <w:sz w:val="18"/>
                <w:szCs w:val="18"/>
                <w:color w:val="auto"/>
              </w:rPr>
            </w:pPr>
          </w:p>
        </w:tc>
        <w:tc>
          <w:tcPr>
            <w:tcW w:w="800" w:type="dxa"/>
            <w:vAlign w:val="bottom"/>
          </w:tcPr>
          <w:p>
            <w:pPr>
              <w:jc w:val="right"/>
              <w:ind w:right="88"/>
              <w:spacing w:after="0"/>
              <w:rPr>
                <w:sz w:val="20"/>
                <w:szCs w:val="20"/>
                <w:color w:val="auto"/>
              </w:rPr>
            </w:pPr>
            <w:r>
              <w:rPr>
                <w:rFonts w:ascii="Arial" w:cs="Arial" w:eastAsia="Arial" w:hAnsi="Arial"/>
                <w:sz w:val="14"/>
                <w:szCs w:val="14"/>
                <w:color w:val="auto"/>
              </w:rPr>
              <w:t>(24 )</w:t>
            </w:r>
          </w:p>
        </w:tc>
        <w:tc>
          <w:tcPr>
            <w:tcW w:w="340" w:type="dxa"/>
            <w:vAlign w:val="bottom"/>
          </w:tcPr>
          <w:p>
            <w:pPr>
              <w:spacing w:after="0"/>
              <w:rPr>
                <w:sz w:val="18"/>
                <w:szCs w:val="18"/>
                <w:color w:val="auto"/>
              </w:rPr>
            </w:pPr>
          </w:p>
        </w:tc>
        <w:tc>
          <w:tcPr>
            <w:tcW w:w="760" w:type="dxa"/>
            <w:vAlign w:val="bottom"/>
          </w:tcPr>
          <w:p>
            <w:pPr>
              <w:jc w:val="right"/>
              <w:ind w:right="68"/>
              <w:spacing w:after="0"/>
              <w:rPr>
                <w:sz w:val="20"/>
                <w:szCs w:val="20"/>
                <w:color w:val="auto"/>
              </w:rPr>
            </w:pPr>
            <w:r>
              <w:rPr>
                <w:rFonts w:ascii="Arial" w:cs="Arial" w:eastAsia="Arial" w:hAnsi="Arial"/>
                <w:sz w:val="14"/>
                <w:szCs w:val="14"/>
                <w:color w:val="auto"/>
              </w:rPr>
              <w:t>(111 )</w:t>
            </w:r>
          </w:p>
        </w:tc>
      </w:tr>
      <w:tr>
        <w:trPr>
          <w:trHeight w:val="222"/>
        </w:trPr>
        <w:tc>
          <w:tcPr>
            <w:tcW w:w="4640" w:type="dxa"/>
            <w:vAlign w:val="bottom"/>
          </w:tcPr>
          <w:p>
            <w:pPr>
              <w:ind w:left="280"/>
              <w:spacing w:after="0"/>
              <w:rPr>
                <w:sz w:val="20"/>
                <w:szCs w:val="20"/>
                <w:color w:val="auto"/>
              </w:rPr>
            </w:pPr>
            <w:r>
              <w:rPr>
                <w:rFonts w:ascii="Arial" w:cs="Arial" w:eastAsia="Arial" w:hAnsi="Arial"/>
                <w:sz w:val="14"/>
                <w:szCs w:val="14"/>
                <w:color w:val="auto"/>
              </w:rPr>
              <w:t>Proceeds from sale of assets</w:t>
            </w:r>
          </w:p>
        </w:tc>
        <w:tc>
          <w:tcPr>
            <w:tcW w:w="3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2</w:t>
            </w:r>
          </w:p>
        </w:tc>
        <w:tc>
          <w:tcPr>
            <w:tcW w:w="3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11</w:t>
            </w:r>
          </w:p>
        </w:tc>
      </w:tr>
      <w:tr>
        <w:trPr>
          <w:trHeight w:val="208"/>
        </w:trPr>
        <w:tc>
          <w:tcPr>
            <w:tcW w:w="4640" w:type="dxa"/>
            <w:vAlign w:val="bottom"/>
          </w:tcPr>
          <w:p>
            <w:pPr>
              <w:ind w:left="760"/>
              <w:spacing w:after="0"/>
              <w:rPr>
                <w:sz w:val="20"/>
                <w:szCs w:val="20"/>
                <w:color w:val="auto"/>
              </w:rPr>
            </w:pPr>
            <w:r>
              <w:rPr>
                <w:rFonts w:ascii="Arial" w:cs="Arial" w:eastAsia="Arial" w:hAnsi="Arial"/>
                <w:sz w:val="14"/>
                <w:szCs w:val="14"/>
                <w:color w:val="auto"/>
              </w:rPr>
              <w:t>Net cash used in investing activities</w:t>
            </w:r>
          </w:p>
        </w:tc>
        <w:tc>
          <w:tcPr>
            <w:tcW w:w="3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(318 )</w:t>
            </w:r>
          </w:p>
        </w:tc>
        <w:tc>
          <w:tcPr>
            <w:tcW w:w="3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(479 )</w:t>
            </w:r>
          </w:p>
        </w:tc>
        <w:tc>
          <w:tcPr>
            <w:tcW w:w="3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(513 )</w:t>
            </w:r>
          </w:p>
        </w:tc>
      </w:tr>
      <w:tr>
        <w:trPr>
          <w:trHeight w:val="418"/>
        </w:trPr>
        <w:tc>
          <w:tcPr>
            <w:tcW w:w="4640" w:type="dxa"/>
            <w:vAlign w:val="bottom"/>
          </w:tcPr>
          <w:p>
            <w:pPr>
              <w:spacing w:after="0"/>
              <w:rPr>
                <w:sz w:val="20"/>
                <w:szCs w:val="20"/>
                <w:color w:val="auto"/>
              </w:rPr>
            </w:pPr>
            <w:r>
              <w:rPr>
                <w:rFonts w:ascii="Arial" w:cs="Arial" w:eastAsia="Arial" w:hAnsi="Arial"/>
                <w:sz w:val="14"/>
                <w:szCs w:val="14"/>
                <w:color w:val="auto"/>
              </w:rPr>
              <w:t>CASH FLOWS FROM FINANCING ACTIVITIES</w:t>
            </w: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216"/>
        </w:trPr>
        <w:tc>
          <w:tcPr>
            <w:tcW w:w="4640" w:type="dxa"/>
            <w:vAlign w:val="bottom"/>
          </w:tcPr>
          <w:p>
            <w:pPr>
              <w:ind w:left="280"/>
              <w:spacing w:after="0"/>
              <w:rPr>
                <w:sz w:val="20"/>
                <w:szCs w:val="20"/>
                <w:color w:val="auto"/>
              </w:rPr>
            </w:pPr>
            <w:r>
              <w:rPr>
                <w:rFonts w:ascii="Arial" w:cs="Arial" w:eastAsia="Arial" w:hAnsi="Arial"/>
                <w:sz w:val="14"/>
                <w:szCs w:val="14"/>
                <w:color w:val="auto"/>
              </w:rPr>
              <w:t>Common dividends paid</w:t>
            </w:r>
          </w:p>
        </w:tc>
        <w:tc>
          <w:tcPr>
            <w:tcW w:w="320" w:type="dxa"/>
            <w:vAlign w:val="bottom"/>
          </w:tcPr>
          <w:p>
            <w:pPr>
              <w:spacing w:after="0"/>
              <w:rPr>
                <w:sz w:val="18"/>
                <w:szCs w:val="18"/>
                <w:color w:val="auto"/>
              </w:rPr>
            </w:pPr>
          </w:p>
        </w:tc>
        <w:tc>
          <w:tcPr>
            <w:tcW w:w="780" w:type="dxa"/>
            <w:vAlign w:val="bottom"/>
          </w:tcPr>
          <w:p>
            <w:pPr>
              <w:jc w:val="right"/>
              <w:ind w:right="88"/>
              <w:spacing w:after="0"/>
              <w:rPr>
                <w:sz w:val="20"/>
                <w:szCs w:val="20"/>
                <w:color w:val="auto"/>
              </w:rPr>
            </w:pPr>
            <w:r>
              <w:rPr>
                <w:rFonts w:ascii="Arial" w:cs="Arial" w:eastAsia="Arial" w:hAnsi="Arial"/>
                <w:sz w:val="14"/>
                <w:szCs w:val="14"/>
                <w:color w:val="auto"/>
              </w:rPr>
              <w:t>(350 )</w:t>
            </w:r>
          </w:p>
        </w:tc>
        <w:tc>
          <w:tcPr>
            <w:tcW w:w="360" w:type="dxa"/>
            <w:vAlign w:val="bottom"/>
          </w:tcPr>
          <w:p>
            <w:pPr>
              <w:spacing w:after="0"/>
              <w:rPr>
                <w:sz w:val="18"/>
                <w:szCs w:val="18"/>
                <w:color w:val="auto"/>
              </w:rPr>
            </w:pPr>
          </w:p>
        </w:tc>
        <w:tc>
          <w:tcPr>
            <w:tcW w:w="800" w:type="dxa"/>
            <w:vAlign w:val="bottom"/>
          </w:tcPr>
          <w:p>
            <w:pPr>
              <w:jc w:val="right"/>
              <w:ind w:right="88"/>
              <w:spacing w:after="0"/>
              <w:rPr>
                <w:sz w:val="20"/>
                <w:szCs w:val="20"/>
                <w:color w:val="auto"/>
              </w:rPr>
            </w:pPr>
            <w:r>
              <w:rPr>
                <w:rFonts w:ascii="Arial" w:cs="Arial" w:eastAsia="Arial" w:hAnsi="Arial"/>
                <w:sz w:val="14"/>
                <w:szCs w:val="14"/>
                <w:color w:val="auto"/>
              </w:rPr>
              <w:t>(150 )</w:t>
            </w:r>
          </w:p>
        </w:tc>
        <w:tc>
          <w:tcPr>
            <w:tcW w:w="340" w:type="dxa"/>
            <w:vAlign w:val="bottom"/>
          </w:tcPr>
          <w:p>
            <w:pPr>
              <w:spacing w:after="0"/>
              <w:rPr>
                <w:sz w:val="18"/>
                <w:szCs w:val="18"/>
                <w:color w:val="auto"/>
              </w:rPr>
            </w:pPr>
          </w:p>
        </w:tc>
        <w:tc>
          <w:tcPr>
            <w:tcW w:w="760" w:type="dxa"/>
            <w:vAlign w:val="bottom"/>
          </w:tcPr>
          <w:p>
            <w:pPr>
              <w:jc w:val="right"/>
              <w:ind w:right="68"/>
              <w:spacing w:after="0"/>
              <w:rPr>
                <w:sz w:val="20"/>
                <w:szCs w:val="20"/>
                <w:color w:val="auto"/>
              </w:rPr>
            </w:pPr>
            <w:r>
              <w:rPr>
                <w:rFonts w:ascii="Arial" w:cs="Arial" w:eastAsia="Arial" w:hAnsi="Arial"/>
                <w:sz w:val="14"/>
                <w:szCs w:val="14"/>
                <w:color w:val="auto"/>
              </w:rPr>
              <w:t>(150 )</w:t>
            </w:r>
          </w:p>
        </w:tc>
      </w:tr>
      <w:tr>
        <w:trPr>
          <w:trHeight w:val="216"/>
        </w:trPr>
        <w:tc>
          <w:tcPr>
            <w:tcW w:w="4640" w:type="dxa"/>
            <w:vAlign w:val="bottom"/>
          </w:tcPr>
          <w:p>
            <w:pPr>
              <w:ind w:left="280"/>
              <w:spacing w:after="0"/>
              <w:rPr>
                <w:sz w:val="20"/>
                <w:szCs w:val="20"/>
                <w:color w:val="auto"/>
              </w:rPr>
            </w:pPr>
            <w:r>
              <w:rPr>
                <w:rFonts w:ascii="Arial" w:cs="Arial" w:eastAsia="Arial" w:hAnsi="Arial"/>
                <w:sz w:val="14"/>
                <w:szCs w:val="14"/>
                <w:color w:val="auto"/>
              </w:rPr>
              <w:t>Preferred dividends paid</w:t>
            </w:r>
          </w:p>
        </w:tc>
        <w:tc>
          <w:tcPr>
            <w:tcW w:w="320" w:type="dxa"/>
            <w:vAlign w:val="bottom"/>
          </w:tcPr>
          <w:p>
            <w:pPr>
              <w:spacing w:after="0"/>
              <w:rPr>
                <w:sz w:val="18"/>
                <w:szCs w:val="18"/>
                <w:color w:val="auto"/>
              </w:rPr>
            </w:pPr>
          </w:p>
        </w:tc>
        <w:tc>
          <w:tcPr>
            <w:tcW w:w="780" w:type="dxa"/>
            <w:vAlign w:val="bottom"/>
          </w:tcPr>
          <w:p>
            <w:pPr>
              <w:jc w:val="right"/>
              <w:ind w:right="88"/>
              <w:spacing w:after="0"/>
              <w:rPr>
                <w:sz w:val="20"/>
                <w:szCs w:val="20"/>
                <w:color w:val="auto"/>
              </w:rPr>
            </w:pPr>
            <w:r>
              <w:rPr>
                <w:rFonts w:ascii="Arial" w:cs="Arial" w:eastAsia="Arial" w:hAnsi="Arial"/>
                <w:sz w:val="14"/>
                <w:szCs w:val="14"/>
                <w:color w:val="auto"/>
              </w:rPr>
              <w:t>(1 )</w:t>
            </w:r>
          </w:p>
        </w:tc>
        <w:tc>
          <w:tcPr>
            <w:tcW w:w="360" w:type="dxa"/>
            <w:vAlign w:val="bottom"/>
          </w:tcPr>
          <w:p>
            <w:pPr>
              <w:spacing w:after="0"/>
              <w:rPr>
                <w:sz w:val="18"/>
                <w:szCs w:val="18"/>
                <w:color w:val="auto"/>
              </w:rPr>
            </w:pPr>
          </w:p>
        </w:tc>
        <w:tc>
          <w:tcPr>
            <w:tcW w:w="800" w:type="dxa"/>
            <w:vAlign w:val="bottom"/>
          </w:tcPr>
          <w:p>
            <w:pPr>
              <w:jc w:val="right"/>
              <w:ind w:right="88"/>
              <w:spacing w:after="0"/>
              <w:rPr>
                <w:sz w:val="20"/>
                <w:szCs w:val="20"/>
                <w:color w:val="auto"/>
              </w:rPr>
            </w:pPr>
            <w:r>
              <w:rPr>
                <w:rFonts w:ascii="Arial" w:cs="Arial" w:eastAsia="Arial" w:hAnsi="Arial"/>
                <w:sz w:val="14"/>
                <w:szCs w:val="14"/>
                <w:color w:val="auto"/>
              </w:rPr>
              <w:t>(1 )</w:t>
            </w:r>
          </w:p>
        </w:tc>
        <w:tc>
          <w:tcPr>
            <w:tcW w:w="340" w:type="dxa"/>
            <w:vAlign w:val="bottom"/>
          </w:tcPr>
          <w:p>
            <w:pPr>
              <w:spacing w:after="0"/>
              <w:rPr>
                <w:sz w:val="18"/>
                <w:szCs w:val="18"/>
                <w:color w:val="auto"/>
              </w:rPr>
            </w:pPr>
          </w:p>
        </w:tc>
        <w:tc>
          <w:tcPr>
            <w:tcW w:w="760" w:type="dxa"/>
            <w:vAlign w:val="bottom"/>
          </w:tcPr>
          <w:p>
            <w:pPr>
              <w:jc w:val="right"/>
              <w:ind w:right="68"/>
              <w:spacing w:after="0"/>
              <w:rPr>
                <w:sz w:val="20"/>
                <w:szCs w:val="20"/>
                <w:color w:val="auto"/>
              </w:rPr>
            </w:pPr>
            <w:r>
              <w:rPr>
                <w:rFonts w:ascii="Arial" w:cs="Arial" w:eastAsia="Arial" w:hAnsi="Arial"/>
                <w:sz w:val="14"/>
                <w:szCs w:val="14"/>
                <w:color w:val="auto"/>
              </w:rPr>
              <w:t>(1 )</w:t>
            </w:r>
          </w:p>
        </w:tc>
      </w:tr>
      <w:tr>
        <w:trPr>
          <w:trHeight w:val="216"/>
        </w:trPr>
        <w:tc>
          <w:tcPr>
            <w:tcW w:w="4640" w:type="dxa"/>
            <w:vAlign w:val="bottom"/>
          </w:tcPr>
          <w:p>
            <w:pPr>
              <w:ind w:left="280"/>
              <w:spacing w:after="0"/>
              <w:rPr>
                <w:sz w:val="20"/>
                <w:szCs w:val="20"/>
                <w:color w:val="auto"/>
              </w:rPr>
            </w:pPr>
            <w:r>
              <w:rPr>
                <w:rFonts w:ascii="Arial" w:cs="Arial" w:eastAsia="Arial" w:hAnsi="Arial"/>
                <w:sz w:val="14"/>
                <w:szCs w:val="14"/>
                <w:color w:val="auto"/>
              </w:rPr>
              <w:t>Issuances of long-term debt</w:t>
            </w:r>
          </w:p>
        </w:tc>
        <w:tc>
          <w:tcPr>
            <w:tcW w:w="320" w:type="dxa"/>
            <w:vAlign w:val="bottom"/>
          </w:tcPr>
          <w:p>
            <w:pPr>
              <w:spacing w:after="0"/>
              <w:rPr>
                <w:sz w:val="18"/>
                <w:szCs w:val="18"/>
                <w:color w:val="auto"/>
              </w:rPr>
            </w:pPr>
          </w:p>
        </w:tc>
        <w:tc>
          <w:tcPr>
            <w:tcW w:w="780" w:type="dxa"/>
            <w:vAlign w:val="bottom"/>
          </w:tcPr>
          <w:p>
            <w:pPr>
              <w:jc w:val="right"/>
              <w:ind w:right="168"/>
              <w:spacing w:after="0"/>
              <w:rPr>
                <w:sz w:val="20"/>
                <w:szCs w:val="20"/>
                <w:color w:val="auto"/>
              </w:rPr>
            </w:pPr>
            <w:r>
              <w:rPr>
                <w:rFonts w:ascii="Arial" w:cs="Arial" w:eastAsia="Arial" w:hAnsi="Arial"/>
                <w:sz w:val="14"/>
                <w:szCs w:val="14"/>
                <w:color w:val="auto"/>
              </w:rPr>
              <w:t>250</w:t>
            </w:r>
          </w:p>
        </w:tc>
        <w:tc>
          <w:tcPr>
            <w:tcW w:w="360" w:type="dxa"/>
            <w:vAlign w:val="bottom"/>
          </w:tcPr>
          <w:p>
            <w:pPr>
              <w:spacing w:after="0"/>
              <w:rPr>
                <w:sz w:val="18"/>
                <w:szCs w:val="18"/>
                <w:color w:val="auto"/>
              </w:rPr>
            </w:pPr>
          </w:p>
        </w:tc>
        <w:tc>
          <w:tcPr>
            <w:tcW w:w="80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8"/>
                <w:szCs w:val="18"/>
                <w:color w:val="auto"/>
              </w:rPr>
            </w:pPr>
          </w:p>
        </w:tc>
        <w:tc>
          <w:tcPr>
            <w:tcW w:w="760" w:type="dxa"/>
            <w:vAlign w:val="bottom"/>
          </w:tcPr>
          <w:p>
            <w:pPr>
              <w:jc w:val="right"/>
              <w:ind w:right="148"/>
              <w:spacing w:after="0"/>
              <w:rPr>
                <w:sz w:val="20"/>
                <w:szCs w:val="20"/>
                <w:color w:val="auto"/>
              </w:rPr>
            </w:pPr>
            <w:r>
              <w:rPr>
                <w:rFonts w:ascii="Arial" w:cs="Arial" w:eastAsia="Arial" w:hAnsi="Arial"/>
                <w:sz w:val="14"/>
                <w:szCs w:val="14"/>
                <w:color w:val="auto"/>
              </w:rPr>
              <w:t>--</w:t>
            </w:r>
          </w:p>
        </w:tc>
      </w:tr>
      <w:tr>
        <w:trPr>
          <w:trHeight w:val="216"/>
        </w:trPr>
        <w:tc>
          <w:tcPr>
            <w:tcW w:w="4640" w:type="dxa"/>
            <w:vAlign w:val="bottom"/>
          </w:tcPr>
          <w:p>
            <w:pPr>
              <w:ind w:left="280"/>
              <w:spacing w:after="0"/>
              <w:rPr>
                <w:sz w:val="20"/>
                <w:szCs w:val="20"/>
                <w:color w:val="auto"/>
              </w:rPr>
            </w:pPr>
            <w:r>
              <w:rPr>
                <w:rFonts w:ascii="Arial" w:cs="Arial" w:eastAsia="Arial" w:hAnsi="Arial"/>
                <w:sz w:val="14"/>
                <w:szCs w:val="14"/>
                <w:color w:val="auto"/>
              </w:rPr>
              <w:t>Decrease in short-term debt, net</w:t>
            </w:r>
          </w:p>
        </w:tc>
        <w:tc>
          <w:tcPr>
            <w:tcW w:w="320" w:type="dxa"/>
            <w:vAlign w:val="bottom"/>
          </w:tcPr>
          <w:p>
            <w:pPr>
              <w:spacing w:after="0"/>
              <w:rPr>
                <w:sz w:val="18"/>
                <w:szCs w:val="18"/>
                <w:color w:val="auto"/>
              </w:rPr>
            </w:pPr>
          </w:p>
        </w:tc>
        <w:tc>
          <w:tcPr>
            <w:tcW w:w="78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8"/>
                <w:szCs w:val="18"/>
                <w:color w:val="auto"/>
              </w:rPr>
            </w:pPr>
          </w:p>
        </w:tc>
        <w:tc>
          <w:tcPr>
            <w:tcW w:w="80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8"/>
                <w:szCs w:val="18"/>
                <w:color w:val="auto"/>
              </w:rPr>
            </w:pPr>
          </w:p>
        </w:tc>
        <w:tc>
          <w:tcPr>
            <w:tcW w:w="760" w:type="dxa"/>
            <w:vAlign w:val="bottom"/>
          </w:tcPr>
          <w:p>
            <w:pPr>
              <w:jc w:val="right"/>
              <w:ind w:right="68"/>
              <w:spacing w:after="0"/>
              <w:rPr>
                <w:sz w:val="20"/>
                <w:szCs w:val="20"/>
                <w:color w:val="auto"/>
              </w:rPr>
            </w:pPr>
            <w:r>
              <w:rPr>
                <w:rFonts w:ascii="Arial" w:cs="Arial" w:eastAsia="Arial" w:hAnsi="Arial"/>
                <w:sz w:val="14"/>
                <w:szCs w:val="14"/>
                <w:color w:val="auto"/>
              </w:rPr>
              <w:t>(88 )</w:t>
            </w:r>
          </w:p>
        </w:tc>
      </w:tr>
      <w:tr>
        <w:trPr>
          <w:trHeight w:val="222"/>
        </w:trPr>
        <w:tc>
          <w:tcPr>
            <w:tcW w:w="4640" w:type="dxa"/>
            <w:vAlign w:val="bottom"/>
          </w:tcPr>
          <w:p>
            <w:pPr>
              <w:ind w:left="280"/>
              <w:spacing w:after="0"/>
              <w:rPr>
                <w:sz w:val="20"/>
                <w:szCs w:val="20"/>
                <w:color w:val="auto"/>
              </w:rPr>
            </w:pPr>
            <w:r>
              <w:rPr>
                <w:rFonts w:ascii="Arial" w:cs="Arial" w:eastAsia="Arial" w:hAnsi="Arial"/>
                <w:sz w:val="14"/>
                <w:szCs w:val="14"/>
                <w:color w:val="auto"/>
              </w:rPr>
              <w:t>Other</w:t>
            </w:r>
          </w:p>
        </w:tc>
        <w:tc>
          <w:tcPr>
            <w:tcW w:w="3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(2 )</w:t>
            </w:r>
          </w:p>
        </w:tc>
        <w:tc>
          <w:tcPr>
            <w:tcW w:w="3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r>
      <w:tr>
        <w:trPr>
          <w:trHeight w:val="208"/>
        </w:trPr>
        <w:tc>
          <w:tcPr>
            <w:tcW w:w="4640" w:type="dxa"/>
            <w:vAlign w:val="bottom"/>
          </w:tcPr>
          <w:p>
            <w:pPr>
              <w:ind w:left="760"/>
              <w:spacing w:after="0"/>
              <w:rPr>
                <w:sz w:val="20"/>
                <w:szCs w:val="20"/>
                <w:color w:val="auto"/>
              </w:rPr>
            </w:pPr>
            <w:r>
              <w:rPr>
                <w:rFonts w:ascii="Arial" w:cs="Arial" w:eastAsia="Arial" w:hAnsi="Arial"/>
                <w:sz w:val="14"/>
                <w:szCs w:val="14"/>
                <w:color w:val="auto"/>
              </w:rPr>
              <w:t>Net cash used in financing activities</w:t>
            </w:r>
          </w:p>
        </w:tc>
        <w:tc>
          <w:tcPr>
            <w:tcW w:w="3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(103 )</w:t>
            </w:r>
          </w:p>
        </w:tc>
        <w:tc>
          <w:tcPr>
            <w:tcW w:w="3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(151 )</w:t>
            </w:r>
          </w:p>
        </w:tc>
        <w:tc>
          <w:tcPr>
            <w:tcW w:w="3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(239 )</w:t>
            </w:r>
          </w:p>
        </w:tc>
      </w:tr>
      <w:tr>
        <w:trPr>
          <w:trHeight w:val="418"/>
        </w:trPr>
        <w:tc>
          <w:tcPr>
            <w:tcW w:w="4640" w:type="dxa"/>
            <w:vAlign w:val="bottom"/>
          </w:tcPr>
          <w:p>
            <w:pPr>
              <w:spacing w:after="0"/>
              <w:rPr>
                <w:sz w:val="20"/>
                <w:szCs w:val="20"/>
                <w:color w:val="auto"/>
              </w:rPr>
            </w:pPr>
            <w:r>
              <w:rPr>
                <w:rFonts w:ascii="Arial" w:cs="Arial" w:eastAsia="Arial" w:hAnsi="Arial"/>
                <w:sz w:val="14"/>
                <w:szCs w:val="14"/>
                <w:color w:val="auto"/>
              </w:rPr>
              <w:t>Increase (decrease) in cash and cash equivalents</w:t>
            </w:r>
          </w:p>
        </w:tc>
        <w:tc>
          <w:tcPr>
            <w:tcW w:w="320" w:type="dxa"/>
            <w:vAlign w:val="bottom"/>
          </w:tcPr>
          <w:p>
            <w:pPr>
              <w:spacing w:after="0"/>
              <w:rPr>
                <w:sz w:val="24"/>
                <w:szCs w:val="24"/>
                <w:color w:val="auto"/>
              </w:rPr>
            </w:pPr>
          </w:p>
        </w:tc>
        <w:tc>
          <w:tcPr>
            <w:tcW w:w="780" w:type="dxa"/>
            <w:vAlign w:val="bottom"/>
          </w:tcPr>
          <w:p>
            <w:pPr>
              <w:jc w:val="right"/>
              <w:ind w:right="168"/>
              <w:spacing w:after="0"/>
              <w:rPr>
                <w:sz w:val="20"/>
                <w:szCs w:val="20"/>
                <w:color w:val="auto"/>
              </w:rPr>
            </w:pPr>
            <w:r>
              <w:rPr>
                <w:rFonts w:ascii="Arial" w:cs="Arial" w:eastAsia="Arial" w:hAnsi="Arial"/>
                <w:sz w:val="14"/>
                <w:szCs w:val="14"/>
                <w:color w:val="auto"/>
              </w:rPr>
              <w:t>147</w:t>
            </w:r>
          </w:p>
        </w:tc>
        <w:tc>
          <w:tcPr>
            <w:tcW w:w="360" w:type="dxa"/>
            <w:vAlign w:val="bottom"/>
          </w:tcPr>
          <w:p>
            <w:pPr>
              <w:spacing w:after="0"/>
              <w:rPr>
                <w:sz w:val="24"/>
                <w:szCs w:val="24"/>
                <w:color w:val="auto"/>
              </w:rPr>
            </w:pPr>
          </w:p>
        </w:tc>
        <w:tc>
          <w:tcPr>
            <w:tcW w:w="800" w:type="dxa"/>
            <w:vAlign w:val="bottom"/>
          </w:tcPr>
          <w:p>
            <w:pPr>
              <w:jc w:val="right"/>
              <w:ind w:right="88"/>
              <w:spacing w:after="0"/>
              <w:rPr>
                <w:sz w:val="20"/>
                <w:szCs w:val="20"/>
                <w:color w:val="auto"/>
              </w:rPr>
            </w:pPr>
            <w:r>
              <w:rPr>
                <w:rFonts w:ascii="Arial" w:cs="Arial" w:eastAsia="Arial" w:hAnsi="Arial"/>
                <w:sz w:val="14"/>
                <w:szCs w:val="14"/>
                <w:color w:val="auto"/>
              </w:rPr>
              <w:t>(152 )</w:t>
            </w:r>
          </w:p>
        </w:tc>
        <w:tc>
          <w:tcPr>
            <w:tcW w:w="340" w:type="dxa"/>
            <w:vAlign w:val="bottom"/>
          </w:tcPr>
          <w:p>
            <w:pPr>
              <w:spacing w:after="0"/>
              <w:rPr>
                <w:sz w:val="24"/>
                <w:szCs w:val="24"/>
                <w:color w:val="auto"/>
              </w:rPr>
            </w:pPr>
          </w:p>
        </w:tc>
        <w:tc>
          <w:tcPr>
            <w:tcW w:w="760" w:type="dxa"/>
            <w:vAlign w:val="bottom"/>
          </w:tcPr>
          <w:p>
            <w:pPr>
              <w:jc w:val="right"/>
              <w:ind w:right="148"/>
              <w:spacing w:after="0"/>
              <w:rPr>
                <w:sz w:val="20"/>
                <w:szCs w:val="20"/>
                <w:color w:val="auto"/>
              </w:rPr>
            </w:pPr>
            <w:r>
              <w:rPr>
                <w:rFonts w:ascii="Arial" w:cs="Arial" w:eastAsia="Arial" w:hAnsi="Arial"/>
                <w:sz w:val="14"/>
                <w:szCs w:val="14"/>
                <w:color w:val="auto"/>
              </w:rPr>
              <w:t>121</w:t>
            </w:r>
          </w:p>
        </w:tc>
      </w:tr>
      <w:tr>
        <w:trPr>
          <w:trHeight w:val="219"/>
        </w:trPr>
        <w:tc>
          <w:tcPr>
            <w:tcW w:w="4640" w:type="dxa"/>
            <w:vAlign w:val="bottom"/>
          </w:tcPr>
          <w:p>
            <w:pPr>
              <w:spacing w:after="0"/>
              <w:rPr>
                <w:sz w:val="20"/>
                <w:szCs w:val="20"/>
                <w:color w:val="auto"/>
              </w:rPr>
            </w:pPr>
            <w:r>
              <w:rPr>
                <w:rFonts w:ascii="Arial" w:cs="Arial" w:eastAsia="Arial" w:hAnsi="Arial"/>
                <w:sz w:val="14"/>
                <w:szCs w:val="14"/>
                <w:color w:val="auto"/>
              </w:rPr>
              <w:t>Cash and cash equivalents, January 1</w:t>
            </w:r>
          </w:p>
        </w:tc>
        <w:tc>
          <w:tcPr>
            <w:tcW w:w="3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59</w:t>
            </w:r>
          </w:p>
        </w:tc>
        <w:tc>
          <w:tcPr>
            <w:tcW w:w="3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211</w:t>
            </w:r>
          </w:p>
        </w:tc>
        <w:tc>
          <w:tcPr>
            <w:tcW w:w="3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90</w:t>
            </w:r>
          </w:p>
        </w:tc>
      </w:tr>
      <w:tr>
        <w:trPr>
          <w:trHeight w:val="227"/>
        </w:trPr>
        <w:tc>
          <w:tcPr>
            <w:tcW w:w="46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Cash and cash equivalents, December 31</w:t>
            </w:r>
          </w:p>
        </w:tc>
        <w:tc>
          <w:tcPr>
            <w:tcW w:w="3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206</w:t>
            </w:r>
          </w:p>
        </w:tc>
        <w:tc>
          <w:tcPr>
            <w:tcW w:w="3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59</w:t>
            </w:r>
          </w:p>
        </w:tc>
        <w:tc>
          <w:tcPr>
            <w:tcW w:w="3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211</w:t>
            </w:r>
          </w:p>
        </w:tc>
      </w:tr>
    </w:tbl>
    <w:p>
      <w:pPr>
        <w:spacing w:after="0" w:line="257" w:lineRule="exact"/>
        <w:rPr>
          <w:sz w:val="20"/>
          <w:szCs w:val="20"/>
          <w:color w:val="auto"/>
        </w:rPr>
      </w:pPr>
    </w:p>
    <w:p>
      <w:pPr>
        <w:ind w:left="1720"/>
        <w:spacing w:after="0"/>
        <w:rPr>
          <w:sz w:val="20"/>
          <w:szCs w:val="20"/>
          <w:color w:val="auto"/>
        </w:rPr>
      </w:pPr>
      <w:r>
        <w:rPr>
          <w:rFonts w:ascii="Arial" w:cs="Arial" w:eastAsia="Arial" w:hAnsi="Arial"/>
          <w:sz w:val="13"/>
          <w:szCs w:val="13"/>
          <w:i w:val="1"/>
          <w:iCs w:val="1"/>
          <w:color w:val="auto"/>
        </w:rPr>
        <w:t>See Notes to Consolidated Financial Statements.</w:t>
      </w: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Arial" w:cs="Arial" w:eastAsia="Arial" w:hAnsi="Arial"/>
          <w:sz w:val="14"/>
          <w:szCs w:val="14"/>
          <w:color w:val="auto"/>
        </w:rPr>
        <w:t>90</w:t>
      </w:r>
    </w:p>
    <w:p>
      <w:pPr>
        <w:sectPr>
          <w:pgSz w:w="11900" w:h="16838" w:orient="portrait"/>
          <w:cols w:equalWidth="0" w:num="1">
            <w:col w:w="10219"/>
          </w:cols>
          <w:pgMar w:left="240" w:top="364" w:right="1440" w:bottom="1440" w:gutter="0" w:footer="0" w:header="0"/>
        </w:sectPr>
      </w:pPr>
    </w:p>
    <w:bookmarkStart w:id="230" w:name="page231"/>
    <w:bookmarkEnd w:id="230"/>
    <w:p>
      <w:pPr>
        <w:ind w:left="1820"/>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1301750</wp:posOffset>
            </wp:positionH>
            <wp:positionV relativeFrom="page">
              <wp:posOffset>226060</wp:posOffset>
            </wp:positionV>
            <wp:extent cx="4958080" cy="389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4958080" cy="389255"/>
                    </a:xfrm>
                    <a:prstGeom prst="rect">
                      <a:avLst/>
                    </a:prstGeom>
                    <a:noFill/>
                  </pic:spPr>
                </pic:pic>
              </a:graphicData>
            </a:graphic>
          </wp:anchor>
        </w:drawing>
        <w:t>SOUTHERN CALIFORNIA GAS COMPANY AND SUBSIDIARIES</w:t>
      </w:r>
    </w:p>
    <w:p>
      <w:pPr>
        <w:spacing w:after="0" w:line="31" w:lineRule="exact"/>
        <w:rPr>
          <w:sz w:val="20"/>
          <w:szCs w:val="20"/>
          <w:color w:val="auto"/>
        </w:rPr>
      </w:pPr>
    </w:p>
    <w:p>
      <w:pPr>
        <w:ind w:left="1820"/>
        <w:spacing w:after="0"/>
        <w:rPr>
          <w:sz w:val="20"/>
          <w:szCs w:val="20"/>
          <w:color w:val="auto"/>
        </w:rPr>
      </w:pPr>
      <w:r>
        <w:rPr>
          <w:rFonts w:ascii="Arial" w:cs="Arial" w:eastAsia="Arial" w:hAnsi="Arial"/>
          <w:sz w:val="14"/>
          <w:szCs w:val="14"/>
          <w:b w:val="1"/>
          <w:bCs w:val="1"/>
          <w:color w:val="auto"/>
        </w:rPr>
        <w:t>STATEMENTS OF CONSOLIDATED CASH FLOWS</w:t>
      </w:r>
    </w:p>
    <w:p>
      <w:pPr>
        <w:spacing w:after="0" w:line="76" w:lineRule="exact"/>
        <w:rPr>
          <w:sz w:val="20"/>
          <w:szCs w:val="20"/>
          <w:color w:val="auto"/>
        </w:rPr>
      </w:pPr>
    </w:p>
    <w:tbl>
      <w:tblPr>
        <w:tblLayout w:type="fixed"/>
        <w:tblInd w:w="1800" w:type="dxa"/>
        <w:tblCellMar>
          <w:top w:w="0" w:type="dxa"/>
          <w:left w:w="0" w:type="dxa"/>
          <w:bottom w:w="0" w:type="dxa"/>
          <w:right w:w="0" w:type="dxa"/>
        </w:tblCellMar>
      </w:tblPr>
      <w:tr>
        <w:trPr>
          <w:trHeight w:val="166"/>
        </w:trPr>
        <w:tc>
          <w:tcPr>
            <w:tcW w:w="4500" w:type="dxa"/>
            <w:vAlign w:val="bottom"/>
          </w:tcPr>
          <w:p>
            <w:pPr>
              <w:ind w:left="20"/>
              <w:spacing w:after="0"/>
              <w:rPr>
                <w:sz w:val="20"/>
                <w:szCs w:val="20"/>
                <w:color w:val="auto"/>
              </w:rPr>
            </w:pPr>
            <w:r>
              <w:rPr>
                <w:rFonts w:ascii="Arial" w:cs="Arial" w:eastAsia="Arial" w:hAnsi="Arial"/>
                <w:sz w:val="13"/>
                <w:szCs w:val="13"/>
                <w:i w:val="1"/>
                <w:iCs w:val="1"/>
                <w:color w:val="auto"/>
              </w:rPr>
              <w:t>(Dollars in millions)</w:t>
            </w:r>
          </w:p>
        </w:tc>
        <w:tc>
          <w:tcPr>
            <w:tcW w:w="3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209"/>
        </w:trPr>
        <w:tc>
          <w:tcPr>
            <w:tcW w:w="45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260" w:type="dxa"/>
            <w:vAlign w:val="bottom"/>
            <w:tcBorders>
              <w:bottom w:val="single" w:sz="8" w:color="auto"/>
            </w:tcBorders>
            <w:gridSpan w:val="4"/>
          </w:tcPr>
          <w:p>
            <w:pPr>
              <w:jc w:val="right"/>
              <w:ind w:right="68"/>
              <w:spacing w:after="0"/>
              <w:rPr>
                <w:sz w:val="20"/>
                <w:szCs w:val="20"/>
                <w:color w:val="auto"/>
              </w:rPr>
            </w:pPr>
            <w:r>
              <w:rPr>
                <w:rFonts w:ascii="Arial" w:cs="Arial" w:eastAsia="Arial" w:hAnsi="Arial"/>
                <w:sz w:val="13"/>
                <w:szCs w:val="13"/>
                <w:color w:val="auto"/>
              </w:rPr>
              <w:t>Years ended December 31,</w:t>
            </w:r>
          </w:p>
        </w:tc>
        <w:tc>
          <w:tcPr>
            <w:tcW w:w="740" w:type="dxa"/>
            <w:vAlign w:val="bottom"/>
            <w:tcBorders>
              <w:bottom w:val="single" w:sz="8" w:color="auto"/>
            </w:tcBorders>
          </w:tcPr>
          <w:p>
            <w:pPr>
              <w:spacing w:after="0"/>
              <w:rPr>
                <w:sz w:val="18"/>
                <w:szCs w:val="18"/>
                <w:color w:val="auto"/>
              </w:rPr>
            </w:pPr>
          </w:p>
        </w:tc>
      </w:tr>
      <w:tr>
        <w:trPr>
          <w:trHeight w:val="208"/>
        </w:trPr>
        <w:tc>
          <w:tcPr>
            <w:tcW w:w="45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351"/>
              <w:spacing w:after="0"/>
              <w:rPr>
                <w:sz w:val="20"/>
                <w:szCs w:val="20"/>
                <w:color w:val="auto"/>
              </w:rPr>
            </w:pPr>
            <w:r>
              <w:rPr>
                <w:rFonts w:ascii="Arial" w:cs="Arial" w:eastAsia="Arial" w:hAnsi="Arial"/>
                <w:sz w:val="13"/>
                <w:szCs w:val="13"/>
                <w:color w:val="auto"/>
              </w:rPr>
              <w:t>2008</w:t>
            </w:r>
          </w:p>
        </w:tc>
        <w:tc>
          <w:tcPr>
            <w:tcW w:w="3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290"/>
              <w:spacing w:after="0"/>
              <w:rPr>
                <w:sz w:val="20"/>
                <w:szCs w:val="20"/>
                <w:color w:val="auto"/>
              </w:rPr>
            </w:pPr>
            <w:r>
              <w:rPr>
                <w:rFonts w:ascii="Arial" w:cs="Arial" w:eastAsia="Arial" w:hAnsi="Arial"/>
                <w:sz w:val="13"/>
                <w:szCs w:val="13"/>
                <w:color w:val="auto"/>
              </w:rPr>
              <w:t>2007</w:t>
            </w:r>
          </w:p>
        </w:tc>
        <w:tc>
          <w:tcPr>
            <w:tcW w:w="3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310"/>
              <w:spacing w:after="0"/>
              <w:rPr>
                <w:sz w:val="20"/>
                <w:szCs w:val="20"/>
                <w:color w:val="auto"/>
              </w:rPr>
            </w:pPr>
            <w:r>
              <w:rPr>
                <w:rFonts w:ascii="Arial" w:cs="Arial" w:eastAsia="Arial" w:hAnsi="Arial"/>
                <w:sz w:val="13"/>
                <w:szCs w:val="13"/>
                <w:color w:val="auto"/>
              </w:rPr>
              <w:t>2006</w:t>
            </w:r>
          </w:p>
        </w:tc>
      </w:tr>
      <w:tr>
        <w:trPr>
          <w:trHeight w:val="423"/>
        </w:trPr>
        <w:tc>
          <w:tcPr>
            <w:tcW w:w="4500" w:type="dxa"/>
            <w:vAlign w:val="bottom"/>
          </w:tcPr>
          <w:p>
            <w:pPr>
              <w:ind w:left="20"/>
              <w:spacing w:after="0"/>
              <w:rPr>
                <w:sz w:val="20"/>
                <w:szCs w:val="20"/>
                <w:color w:val="auto"/>
              </w:rPr>
            </w:pPr>
            <w:r>
              <w:rPr>
                <w:rFonts w:ascii="Arial" w:cs="Arial" w:eastAsia="Arial" w:hAnsi="Arial"/>
                <w:sz w:val="14"/>
                <w:szCs w:val="14"/>
                <w:color w:val="auto"/>
              </w:rPr>
              <w:t>SUPPLEMENTAL DISCLOSURE OF CASH FLOW INFORMATION</w:t>
            </w: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38"/>
        </w:trPr>
        <w:tc>
          <w:tcPr>
            <w:tcW w:w="4500" w:type="dxa"/>
            <w:vAlign w:val="bottom"/>
          </w:tcPr>
          <w:p>
            <w:pPr>
              <w:ind w:left="580"/>
              <w:spacing w:after="0"/>
              <w:rPr>
                <w:sz w:val="20"/>
                <w:szCs w:val="20"/>
                <w:color w:val="auto"/>
              </w:rPr>
            </w:pPr>
            <w:r>
              <w:rPr>
                <w:rFonts w:ascii="Arial" w:cs="Arial" w:eastAsia="Arial" w:hAnsi="Arial"/>
                <w:sz w:val="14"/>
                <w:szCs w:val="14"/>
                <w:color w:val="auto"/>
              </w:rPr>
              <w:t>Interest payments, net of amounts capitalized</w:t>
            </w:r>
          </w:p>
        </w:tc>
        <w:tc>
          <w:tcPr>
            <w:tcW w:w="3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ind w:right="151"/>
              <w:spacing w:after="0"/>
              <w:rPr>
                <w:sz w:val="20"/>
                <w:szCs w:val="20"/>
                <w:color w:val="auto"/>
              </w:rPr>
            </w:pPr>
            <w:r>
              <w:rPr>
                <w:rFonts w:ascii="Arial" w:cs="Arial" w:eastAsia="Arial" w:hAnsi="Arial"/>
                <w:sz w:val="14"/>
                <w:szCs w:val="14"/>
                <w:color w:val="auto"/>
              </w:rPr>
              <w:t>58</w:t>
            </w:r>
          </w:p>
        </w:tc>
        <w:tc>
          <w:tcPr>
            <w:tcW w:w="3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ind w:right="110"/>
              <w:spacing w:after="0"/>
              <w:rPr>
                <w:sz w:val="20"/>
                <w:szCs w:val="20"/>
                <w:color w:val="auto"/>
              </w:rPr>
            </w:pPr>
            <w:r>
              <w:rPr>
                <w:rFonts w:ascii="Arial" w:cs="Arial" w:eastAsia="Arial" w:hAnsi="Arial"/>
                <w:sz w:val="14"/>
                <w:szCs w:val="14"/>
                <w:color w:val="auto"/>
              </w:rPr>
              <w:t>66</w:t>
            </w:r>
          </w:p>
        </w:tc>
        <w:tc>
          <w:tcPr>
            <w:tcW w:w="3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ind w:right="170"/>
              <w:spacing w:after="0"/>
              <w:rPr>
                <w:sz w:val="20"/>
                <w:szCs w:val="20"/>
                <w:color w:val="auto"/>
              </w:rPr>
            </w:pPr>
            <w:r>
              <w:rPr>
                <w:rFonts w:ascii="Arial" w:cs="Arial" w:eastAsia="Arial" w:hAnsi="Arial"/>
                <w:sz w:val="14"/>
                <w:szCs w:val="14"/>
                <w:color w:val="auto"/>
              </w:rPr>
              <w:t>63</w:t>
            </w:r>
          </w:p>
        </w:tc>
      </w:tr>
      <w:tr>
        <w:trPr>
          <w:trHeight w:val="448"/>
        </w:trPr>
        <w:tc>
          <w:tcPr>
            <w:tcW w:w="4500" w:type="dxa"/>
            <w:vAlign w:val="bottom"/>
          </w:tcPr>
          <w:p>
            <w:pPr>
              <w:ind w:left="580"/>
              <w:spacing w:after="0"/>
              <w:rPr>
                <w:sz w:val="20"/>
                <w:szCs w:val="20"/>
                <w:color w:val="auto"/>
              </w:rPr>
            </w:pPr>
            <w:r>
              <w:rPr>
                <w:rFonts w:ascii="Arial" w:cs="Arial" w:eastAsia="Arial" w:hAnsi="Arial"/>
                <w:sz w:val="14"/>
                <w:szCs w:val="14"/>
                <w:color w:val="auto"/>
              </w:rPr>
              <w:t>Income tax payments, net of refunds</w:t>
            </w:r>
          </w:p>
        </w:tc>
        <w:tc>
          <w:tcPr>
            <w:tcW w:w="3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ind w:right="151"/>
              <w:spacing w:after="0"/>
              <w:rPr>
                <w:sz w:val="20"/>
                <w:szCs w:val="20"/>
                <w:color w:val="auto"/>
              </w:rPr>
            </w:pPr>
            <w:r>
              <w:rPr>
                <w:rFonts w:ascii="Arial" w:cs="Arial" w:eastAsia="Arial" w:hAnsi="Arial"/>
                <w:sz w:val="14"/>
                <w:szCs w:val="14"/>
                <w:color w:val="auto"/>
              </w:rPr>
              <w:t>120</w:t>
            </w:r>
          </w:p>
        </w:tc>
        <w:tc>
          <w:tcPr>
            <w:tcW w:w="3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ind w:right="110"/>
              <w:spacing w:after="0"/>
              <w:rPr>
                <w:sz w:val="20"/>
                <w:szCs w:val="20"/>
                <w:color w:val="auto"/>
              </w:rPr>
            </w:pPr>
            <w:r>
              <w:rPr>
                <w:rFonts w:ascii="Arial" w:cs="Arial" w:eastAsia="Arial" w:hAnsi="Arial"/>
                <w:sz w:val="14"/>
                <w:szCs w:val="14"/>
                <w:color w:val="auto"/>
              </w:rPr>
              <w:t>114</w:t>
            </w:r>
          </w:p>
        </w:tc>
        <w:tc>
          <w:tcPr>
            <w:tcW w:w="3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ind w:right="170"/>
              <w:spacing w:after="0"/>
              <w:rPr>
                <w:sz w:val="20"/>
                <w:szCs w:val="20"/>
                <w:color w:val="auto"/>
              </w:rPr>
            </w:pPr>
            <w:r>
              <w:rPr>
                <w:rFonts w:ascii="Arial" w:cs="Arial" w:eastAsia="Arial" w:hAnsi="Arial"/>
                <w:sz w:val="14"/>
                <w:szCs w:val="14"/>
                <w:color w:val="auto"/>
              </w:rPr>
              <w:t>99</w:t>
            </w:r>
          </w:p>
        </w:tc>
      </w:tr>
      <w:tr>
        <w:trPr>
          <w:trHeight w:val="426"/>
        </w:trPr>
        <w:tc>
          <w:tcPr>
            <w:tcW w:w="4500" w:type="dxa"/>
            <w:vAlign w:val="bottom"/>
          </w:tcPr>
          <w:p>
            <w:pPr>
              <w:ind w:left="20"/>
              <w:spacing w:after="0"/>
              <w:rPr>
                <w:sz w:val="20"/>
                <w:szCs w:val="20"/>
                <w:color w:val="auto"/>
              </w:rPr>
            </w:pPr>
            <w:r>
              <w:rPr>
                <w:rFonts w:ascii="Arial" w:cs="Arial" w:eastAsia="Arial" w:hAnsi="Arial"/>
                <w:sz w:val="14"/>
                <w:szCs w:val="14"/>
                <w:color w:val="auto"/>
              </w:rPr>
              <w:t>SUPPLEMENTAL DISCLOSURE OF NONCASH ACTIVITIES</w:t>
            </w: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88"/>
        </w:trPr>
        <w:tc>
          <w:tcPr>
            <w:tcW w:w="4500" w:type="dxa"/>
            <w:vAlign w:val="bottom"/>
          </w:tcPr>
          <w:p>
            <w:pPr>
              <w:ind w:left="340"/>
              <w:spacing w:after="0"/>
              <w:rPr>
                <w:sz w:val="20"/>
                <w:szCs w:val="20"/>
                <w:color w:val="auto"/>
              </w:rPr>
            </w:pPr>
            <w:r>
              <w:rPr>
                <w:rFonts w:ascii="Arial" w:cs="Arial" w:eastAsia="Arial" w:hAnsi="Arial"/>
                <w:sz w:val="14"/>
                <w:szCs w:val="14"/>
                <w:color w:val="auto"/>
              </w:rPr>
              <w:t>Increase (decrease) in accounts payable from investments in</w:t>
            </w:r>
          </w:p>
        </w:tc>
        <w:tc>
          <w:tcPr>
            <w:tcW w:w="3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195"/>
        </w:trPr>
        <w:tc>
          <w:tcPr>
            <w:tcW w:w="4500" w:type="dxa"/>
            <w:vAlign w:val="bottom"/>
          </w:tcPr>
          <w:p>
            <w:pPr>
              <w:ind w:left="520"/>
              <w:spacing w:after="0"/>
              <w:rPr>
                <w:sz w:val="20"/>
                <w:szCs w:val="20"/>
                <w:color w:val="auto"/>
              </w:rPr>
            </w:pPr>
            <w:r>
              <w:rPr>
                <w:rFonts w:ascii="Arial" w:cs="Arial" w:eastAsia="Arial" w:hAnsi="Arial"/>
                <w:sz w:val="14"/>
                <w:szCs w:val="14"/>
                <w:color w:val="auto"/>
              </w:rPr>
              <w:t>property, plant and equipment</w:t>
            </w:r>
          </w:p>
        </w:tc>
        <w:tc>
          <w:tcPr>
            <w:tcW w:w="3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ind w:right="91"/>
              <w:spacing w:after="0"/>
              <w:rPr>
                <w:sz w:val="20"/>
                <w:szCs w:val="20"/>
                <w:color w:val="auto"/>
              </w:rPr>
            </w:pPr>
            <w:r>
              <w:rPr>
                <w:rFonts w:ascii="Arial" w:cs="Arial" w:eastAsia="Arial" w:hAnsi="Arial"/>
                <w:sz w:val="14"/>
                <w:szCs w:val="14"/>
                <w:color w:val="auto"/>
              </w:rPr>
              <w:t>(17 )</w:t>
            </w:r>
          </w:p>
        </w:tc>
        <w:tc>
          <w:tcPr>
            <w:tcW w:w="3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ind w:right="110"/>
              <w:spacing w:after="0"/>
              <w:rPr>
                <w:sz w:val="20"/>
                <w:szCs w:val="20"/>
                <w:color w:val="auto"/>
              </w:rPr>
            </w:pPr>
            <w:r>
              <w:rPr>
                <w:rFonts w:ascii="Arial" w:cs="Arial" w:eastAsia="Arial" w:hAnsi="Arial"/>
                <w:sz w:val="14"/>
                <w:szCs w:val="14"/>
                <w:color w:val="auto"/>
              </w:rPr>
              <w:t>5</w:t>
            </w:r>
          </w:p>
        </w:tc>
        <w:tc>
          <w:tcPr>
            <w:tcW w:w="3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ind w:right="170"/>
              <w:spacing w:after="0"/>
              <w:rPr>
                <w:sz w:val="20"/>
                <w:szCs w:val="20"/>
                <w:color w:val="auto"/>
              </w:rPr>
            </w:pPr>
            <w:r>
              <w:rPr>
                <w:rFonts w:ascii="Arial" w:cs="Arial" w:eastAsia="Arial" w:hAnsi="Arial"/>
                <w:sz w:val="14"/>
                <w:szCs w:val="14"/>
                <w:color w:val="auto"/>
              </w:rPr>
              <w:t>4</w:t>
            </w:r>
          </w:p>
        </w:tc>
      </w:tr>
      <w:tr>
        <w:trPr>
          <w:trHeight w:val="448"/>
        </w:trPr>
        <w:tc>
          <w:tcPr>
            <w:tcW w:w="4500" w:type="dxa"/>
            <w:vAlign w:val="bottom"/>
            <w:tcBorders>
              <w:bottom w:val="single" w:sz="8" w:color="auto"/>
            </w:tcBorders>
          </w:tcPr>
          <w:p>
            <w:pPr>
              <w:ind w:left="340"/>
              <w:spacing w:after="0"/>
              <w:rPr>
                <w:sz w:val="20"/>
                <w:szCs w:val="20"/>
                <w:color w:val="auto"/>
              </w:rPr>
            </w:pPr>
            <w:r>
              <w:rPr>
                <w:rFonts w:ascii="Arial" w:cs="Arial" w:eastAsia="Arial" w:hAnsi="Arial"/>
                <w:sz w:val="14"/>
                <w:szCs w:val="14"/>
                <w:color w:val="auto"/>
              </w:rPr>
              <w:t>Dividends declared but not paid</w:t>
            </w:r>
          </w:p>
        </w:tc>
        <w:tc>
          <w:tcPr>
            <w:tcW w:w="3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ind w:right="151"/>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ind w:right="110"/>
              <w:spacing w:after="0"/>
              <w:rPr>
                <w:sz w:val="20"/>
                <w:szCs w:val="20"/>
                <w:color w:val="auto"/>
              </w:rPr>
            </w:pPr>
            <w:r>
              <w:rPr>
                <w:rFonts w:ascii="Arial" w:cs="Arial" w:eastAsia="Arial" w:hAnsi="Arial"/>
                <w:sz w:val="14"/>
                <w:szCs w:val="14"/>
                <w:color w:val="auto"/>
              </w:rPr>
              <w:t>150</w:t>
            </w:r>
          </w:p>
        </w:tc>
        <w:tc>
          <w:tcPr>
            <w:tcW w:w="3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ind w:right="170"/>
              <w:spacing w:after="0"/>
              <w:rPr>
                <w:sz w:val="20"/>
                <w:szCs w:val="20"/>
                <w:color w:val="auto"/>
              </w:rPr>
            </w:pPr>
            <w:r>
              <w:rPr>
                <w:rFonts w:ascii="Arial" w:cs="Arial" w:eastAsia="Arial" w:hAnsi="Arial"/>
                <w:sz w:val="14"/>
                <w:szCs w:val="14"/>
                <w:color w:val="auto"/>
              </w:rPr>
              <w:t>50</w:t>
            </w:r>
          </w:p>
        </w:tc>
      </w:tr>
      <w:tr>
        <w:trPr>
          <w:trHeight w:val="422"/>
        </w:trPr>
        <w:tc>
          <w:tcPr>
            <w:tcW w:w="4500" w:type="dxa"/>
            <w:vAlign w:val="bottom"/>
          </w:tcPr>
          <w:p>
            <w:pPr>
              <w:ind w:left="20"/>
              <w:spacing w:after="0"/>
              <w:rPr>
                <w:sz w:val="20"/>
                <w:szCs w:val="20"/>
                <w:color w:val="auto"/>
              </w:rPr>
            </w:pPr>
            <w:r>
              <w:rPr>
                <w:rFonts w:ascii="Arial" w:cs="Arial" w:eastAsia="Arial" w:hAnsi="Arial"/>
                <w:sz w:val="13"/>
                <w:szCs w:val="13"/>
                <w:i w:val="1"/>
                <w:iCs w:val="1"/>
                <w:color w:val="auto"/>
              </w:rPr>
              <w:t>See Notes to Consolidated Financial Statements.</w:t>
            </w: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Arial" w:cs="Arial" w:eastAsia="Arial" w:hAnsi="Arial"/>
          <w:sz w:val="14"/>
          <w:szCs w:val="14"/>
          <w:color w:val="auto"/>
        </w:rPr>
        <w:t>91</w:t>
      </w:r>
    </w:p>
    <w:p>
      <w:pPr>
        <w:sectPr>
          <w:pgSz w:w="11900" w:h="16838" w:orient="portrait"/>
          <w:cols w:equalWidth="0" w:num="1">
            <w:col w:w="10219"/>
          </w:cols>
          <w:pgMar w:left="240" w:top="364" w:right="1440" w:bottom="1440" w:gutter="0" w:footer="0" w:header="0"/>
        </w:sectPr>
      </w:pPr>
    </w:p>
    <w:bookmarkStart w:id="231" w:name="page232"/>
    <w:bookmarkEnd w:id="231"/>
    <w:p>
      <w:pPr>
        <w:ind w:left="1340"/>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996315</wp:posOffset>
            </wp:positionH>
            <wp:positionV relativeFrom="page">
              <wp:posOffset>226060</wp:posOffset>
            </wp:positionV>
            <wp:extent cx="5568315" cy="25146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5568315" cy="251460"/>
                    </a:xfrm>
                    <a:prstGeom prst="rect">
                      <a:avLst/>
                    </a:prstGeom>
                    <a:noFill/>
                  </pic:spPr>
                </pic:pic>
              </a:graphicData>
            </a:graphic>
          </wp:anchor>
        </w:drawing>
        <w:t>SOUTHERN CALIFORNIA GAS COMPANY AND SUBSIDIARIES</w:t>
      </w:r>
    </w:p>
    <w:p>
      <w:pPr>
        <w:spacing w:after="0" w:line="31" w:lineRule="exact"/>
        <w:rPr>
          <w:sz w:val="20"/>
          <w:szCs w:val="20"/>
          <w:color w:val="auto"/>
        </w:rPr>
      </w:pPr>
    </w:p>
    <w:p>
      <w:pPr>
        <w:ind w:left="1340"/>
        <w:spacing w:after="0"/>
        <w:rPr>
          <w:sz w:val="20"/>
          <w:szCs w:val="20"/>
          <w:color w:val="auto"/>
        </w:rPr>
      </w:pPr>
      <w:r>
        <w:rPr>
          <w:rFonts w:ascii="Arial" w:cs="Arial" w:eastAsia="Arial" w:hAnsi="Arial"/>
          <w:sz w:val="14"/>
          <w:szCs w:val="14"/>
          <w:b w:val="1"/>
          <w:bCs w:val="1"/>
          <w:color w:val="auto"/>
        </w:rPr>
        <w:t>STATEMENTS OF CONSOLIDATED COMPREHENSIVE INCOME AND CHANGES IN SHAREHOLDERS’ EQUITY</w:t>
      </w:r>
    </w:p>
    <w:p>
      <w:pPr>
        <w:spacing w:after="0" w:line="52" w:lineRule="exact"/>
        <w:rPr>
          <w:sz w:val="20"/>
          <w:szCs w:val="20"/>
          <w:color w:val="auto"/>
        </w:rPr>
      </w:pPr>
    </w:p>
    <w:p>
      <w:pPr>
        <w:ind w:left="1340"/>
        <w:spacing w:after="0"/>
        <w:rPr>
          <w:sz w:val="20"/>
          <w:szCs w:val="20"/>
          <w:color w:val="auto"/>
        </w:rPr>
      </w:pPr>
      <w:r>
        <w:rPr>
          <w:rFonts w:ascii="Arial" w:cs="Arial" w:eastAsia="Arial" w:hAnsi="Arial"/>
          <w:sz w:val="13"/>
          <w:szCs w:val="13"/>
          <w:color w:val="auto"/>
        </w:rPr>
        <w:t>Years ended December 31, 2008, 2007 and 2006</w:t>
      </w:r>
    </w:p>
    <w:p>
      <w:pPr>
        <w:spacing w:after="0" w:line="4" w:lineRule="exact"/>
        <w:rPr>
          <w:sz w:val="20"/>
          <w:szCs w:val="20"/>
          <w:color w:val="auto"/>
        </w:rPr>
      </w:pPr>
    </w:p>
    <w:tbl>
      <w:tblPr>
        <w:tblLayout w:type="fixed"/>
        <w:tblInd w:w="1320" w:type="dxa"/>
        <w:tblCellMar>
          <w:top w:w="0" w:type="dxa"/>
          <w:left w:w="0" w:type="dxa"/>
          <w:bottom w:w="0" w:type="dxa"/>
          <w:right w:w="0" w:type="dxa"/>
        </w:tblCellMar>
      </w:tblPr>
      <w:tr>
        <w:trPr>
          <w:trHeight w:val="172"/>
        </w:trPr>
        <w:tc>
          <w:tcPr>
            <w:tcW w:w="270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tcPr>
          <w:p>
            <w:pPr>
              <w:jc w:val="right"/>
              <w:ind w:right="110"/>
              <w:spacing w:after="0"/>
              <w:rPr>
                <w:sz w:val="20"/>
                <w:szCs w:val="20"/>
                <w:color w:val="auto"/>
              </w:rPr>
            </w:pPr>
            <w:r>
              <w:rPr>
                <w:rFonts w:ascii="Arial" w:cs="Arial" w:eastAsia="Arial" w:hAnsi="Arial"/>
                <w:sz w:val="13"/>
                <w:szCs w:val="13"/>
                <w:color w:val="auto"/>
              </w:rPr>
              <w:t>Accumulated</w:t>
            </w:r>
          </w:p>
        </w:tc>
        <w:tc>
          <w:tcPr>
            <w:tcW w:w="102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7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0" w:type="dxa"/>
            <w:vAlign w:val="bottom"/>
          </w:tcPr>
          <w:p>
            <w:pPr>
              <w:jc w:val="right"/>
              <w:ind w:right="110"/>
              <w:spacing w:after="0"/>
              <w:rPr>
                <w:sz w:val="20"/>
                <w:szCs w:val="20"/>
                <w:color w:val="auto"/>
              </w:rPr>
            </w:pPr>
            <w:r>
              <w:rPr>
                <w:rFonts w:ascii="Arial" w:cs="Arial" w:eastAsia="Arial" w:hAnsi="Arial"/>
                <w:sz w:val="13"/>
                <w:szCs w:val="13"/>
                <w:color w:val="auto"/>
              </w:rPr>
              <w:t>Other</w:t>
            </w:r>
          </w:p>
        </w:tc>
        <w:tc>
          <w:tcPr>
            <w:tcW w:w="1020" w:type="dxa"/>
            <w:vAlign w:val="bottom"/>
          </w:tcPr>
          <w:p>
            <w:pPr>
              <w:jc w:val="right"/>
              <w:ind w:right="69"/>
              <w:spacing w:after="0"/>
              <w:rPr>
                <w:sz w:val="20"/>
                <w:szCs w:val="20"/>
                <w:color w:val="auto"/>
              </w:rPr>
            </w:pPr>
            <w:r>
              <w:rPr>
                <w:rFonts w:ascii="Arial" w:cs="Arial" w:eastAsia="Arial" w:hAnsi="Arial"/>
                <w:sz w:val="13"/>
                <w:szCs w:val="13"/>
                <w:color w:val="auto"/>
              </w:rPr>
              <w:t>Total</w:t>
            </w:r>
          </w:p>
        </w:tc>
        <w:tc>
          <w:tcPr>
            <w:tcW w:w="0" w:type="dxa"/>
            <w:vAlign w:val="bottom"/>
          </w:tcPr>
          <w:p>
            <w:pPr>
              <w:spacing w:after="0"/>
              <w:rPr>
                <w:sz w:val="1"/>
                <w:szCs w:val="1"/>
                <w:color w:val="auto"/>
              </w:rPr>
            </w:pPr>
          </w:p>
        </w:tc>
      </w:tr>
      <w:tr>
        <w:trPr>
          <w:trHeight w:val="156"/>
        </w:trPr>
        <w:tc>
          <w:tcPr>
            <w:tcW w:w="2700" w:type="dxa"/>
            <w:vAlign w:val="bottom"/>
            <w:vMerge w:val="restart"/>
          </w:tcPr>
          <w:p>
            <w:pPr>
              <w:ind w:left="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Dollars in millions</w:t>
            </w:r>
            <w:r>
              <w:rPr>
                <w:rFonts w:ascii="Arial" w:cs="Arial" w:eastAsia="Arial" w:hAnsi="Arial"/>
                <w:sz w:val="13"/>
                <w:szCs w:val="13"/>
                <w:color w:val="auto"/>
              </w:rPr>
              <w:t>)</w:t>
            </w:r>
          </w:p>
        </w:tc>
        <w:tc>
          <w:tcPr>
            <w:tcW w:w="1240" w:type="dxa"/>
            <w:vAlign w:val="bottom"/>
            <w:gridSpan w:val="2"/>
          </w:tcPr>
          <w:p>
            <w:pPr>
              <w:jc w:val="right"/>
              <w:ind w:right="180"/>
              <w:spacing w:after="0"/>
              <w:rPr>
                <w:sz w:val="20"/>
                <w:szCs w:val="20"/>
                <w:color w:val="auto"/>
              </w:rPr>
            </w:pPr>
            <w:r>
              <w:rPr>
                <w:rFonts w:ascii="Arial" w:cs="Arial" w:eastAsia="Arial" w:hAnsi="Arial"/>
                <w:sz w:val="13"/>
                <w:szCs w:val="13"/>
                <w:color w:val="auto"/>
              </w:rPr>
              <w:t>Comprehensive</w:t>
            </w:r>
          </w:p>
        </w:tc>
        <w:tc>
          <w:tcPr>
            <w:tcW w:w="860" w:type="dxa"/>
            <w:vAlign w:val="bottom"/>
          </w:tcPr>
          <w:p>
            <w:pPr>
              <w:jc w:val="right"/>
              <w:ind w:right="51"/>
              <w:spacing w:after="0"/>
              <w:rPr>
                <w:sz w:val="20"/>
                <w:szCs w:val="20"/>
                <w:color w:val="auto"/>
              </w:rPr>
            </w:pPr>
            <w:r>
              <w:rPr>
                <w:rFonts w:ascii="Arial" w:cs="Arial" w:eastAsia="Arial" w:hAnsi="Arial"/>
                <w:sz w:val="13"/>
                <w:szCs w:val="13"/>
                <w:color w:val="auto"/>
              </w:rPr>
              <w:t>Preferred</w:t>
            </w:r>
          </w:p>
        </w:tc>
        <w:tc>
          <w:tcPr>
            <w:tcW w:w="860" w:type="dxa"/>
            <w:vAlign w:val="bottom"/>
          </w:tcPr>
          <w:p>
            <w:pPr>
              <w:jc w:val="right"/>
              <w:ind w:right="131"/>
              <w:spacing w:after="0"/>
              <w:rPr>
                <w:sz w:val="20"/>
                <w:szCs w:val="20"/>
                <w:color w:val="auto"/>
              </w:rPr>
            </w:pPr>
            <w:r>
              <w:rPr>
                <w:rFonts w:ascii="Arial" w:cs="Arial" w:eastAsia="Arial" w:hAnsi="Arial"/>
                <w:sz w:val="13"/>
                <w:szCs w:val="13"/>
                <w:color w:val="auto"/>
              </w:rPr>
              <w:t>Common</w:t>
            </w:r>
          </w:p>
        </w:tc>
        <w:tc>
          <w:tcPr>
            <w:tcW w:w="900" w:type="dxa"/>
            <w:vAlign w:val="bottom"/>
          </w:tcPr>
          <w:p>
            <w:pPr>
              <w:jc w:val="right"/>
              <w:ind w:right="129"/>
              <w:spacing w:after="0"/>
              <w:rPr>
                <w:sz w:val="20"/>
                <w:szCs w:val="20"/>
                <w:color w:val="auto"/>
              </w:rPr>
            </w:pPr>
            <w:r>
              <w:rPr>
                <w:rFonts w:ascii="Arial" w:cs="Arial" w:eastAsia="Arial" w:hAnsi="Arial"/>
                <w:sz w:val="13"/>
                <w:szCs w:val="13"/>
                <w:color w:val="auto"/>
              </w:rPr>
              <w:t>Retained</w:t>
            </w:r>
          </w:p>
        </w:tc>
        <w:tc>
          <w:tcPr>
            <w:tcW w:w="1200" w:type="dxa"/>
            <w:vAlign w:val="bottom"/>
          </w:tcPr>
          <w:p>
            <w:pPr>
              <w:jc w:val="right"/>
              <w:ind w:right="110"/>
              <w:spacing w:after="0"/>
              <w:rPr>
                <w:sz w:val="20"/>
                <w:szCs w:val="20"/>
                <w:color w:val="auto"/>
              </w:rPr>
            </w:pPr>
            <w:r>
              <w:rPr>
                <w:rFonts w:ascii="Arial" w:cs="Arial" w:eastAsia="Arial" w:hAnsi="Arial"/>
                <w:sz w:val="13"/>
                <w:szCs w:val="13"/>
                <w:color w:val="auto"/>
              </w:rPr>
              <w:t>Comprehensive</w:t>
            </w:r>
          </w:p>
        </w:tc>
        <w:tc>
          <w:tcPr>
            <w:tcW w:w="1020" w:type="dxa"/>
            <w:vAlign w:val="bottom"/>
          </w:tcPr>
          <w:p>
            <w:pPr>
              <w:jc w:val="right"/>
              <w:ind w:right="69"/>
              <w:spacing w:after="0"/>
              <w:rPr>
                <w:sz w:val="20"/>
                <w:szCs w:val="20"/>
                <w:color w:val="auto"/>
              </w:rPr>
            </w:pPr>
            <w:r>
              <w:rPr>
                <w:rFonts w:ascii="Arial" w:cs="Arial" w:eastAsia="Arial" w:hAnsi="Arial"/>
                <w:sz w:val="13"/>
                <w:szCs w:val="13"/>
                <w:color w:val="auto"/>
              </w:rPr>
              <w:t>Shareholders'</w:t>
            </w:r>
          </w:p>
        </w:tc>
        <w:tc>
          <w:tcPr>
            <w:tcW w:w="0" w:type="dxa"/>
            <w:vAlign w:val="bottom"/>
          </w:tcPr>
          <w:p>
            <w:pPr>
              <w:spacing w:after="0"/>
              <w:rPr>
                <w:sz w:val="1"/>
                <w:szCs w:val="1"/>
                <w:color w:val="auto"/>
              </w:rPr>
            </w:pPr>
          </w:p>
        </w:tc>
      </w:tr>
      <w:tr>
        <w:trPr>
          <w:trHeight w:val="161"/>
        </w:trPr>
        <w:tc>
          <w:tcPr>
            <w:tcW w:w="2700" w:type="dxa"/>
            <w:vAlign w:val="bottom"/>
            <w:tcBorders>
              <w:bottom w:val="single" w:sz="8" w:color="auto"/>
            </w:tcBorders>
            <w:vMerge w:val="continue"/>
          </w:tcPr>
          <w:p>
            <w:pPr>
              <w:spacing w:after="0"/>
              <w:rPr>
                <w:sz w:val="14"/>
                <w:szCs w:val="14"/>
                <w:color w:val="auto"/>
              </w:rPr>
            </w:pPr>
          </w:p>
        </w:tc>
        <w:tc>
          <w:tcPr>
            <w:tcW w:w="124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3"/>
                <w:szCs w:val="13"/>
                <w:color w:val="auto"/>
              </w:rPr>
              <w:t>Income</w:t>
            </w:r>
          </w:p>
        </w:tc>
        <w:tc>
          <w:tcPr>
            <w:tcW w:w="860" w:type="dxa"/>
            <w:vAlign w:val="bottom"/>
            <w:tcBorders>
              <w:bottom w:val="single" w:sz="8" w:color="auto"/>
            </w:tcBorders>
          </w:tcPr>
          <w:p>
            <w:pPr>
              <w:jc w:val="right"/>
              <w:ind w:right="51"/>
              <w:spacing w:after="0"/>
              <w:rPr>
                <w:sz w:val="20"/>
                <w:szCs w:val="20"/>
                <w:color w:val="auto"/>
              </w:rPr>
            </w:pPr>
            <w:r>
              <w:rPr>
                <w:rFonts w:ascii="Arial" w:cs="Arial" w:eastAsia="Arial" w:hAnsi="Arial"/>
                <w:sz w:val="13"/>
                <w:szCs w:val="13"/>
                <w:color w:val="auto"/>
              </w:rPr>
              <w:t>Stock</w:t>
            </w:r>
          </w:p>
        </w:tc>
        <w:tc>
          <w:tcPr>
            <w:tcW w:w="860" w:type="dxa"/>
            <w:vAlign w:val="bottom"/>
            <w:tcBorders>
              <w:bottom w:val="single" w:sz="8" w:color="auto"/>
            </w:tcBorders>
          </w:tcPr>
          <w:p>
            <w:pPr>
              <w:jc w:val="right"/>
              <w:ind w:right="131"/>
              <w:spacing w:after="0"/>
              <w:rPr>
                <w:sz w:val="20"/>
                <w:szCs w:val="20"/>
                <w:color w:val="auto"/>
              </w:rPr>
            </w:pPr>
            <w:r>
              <w:rPr>
                <w:rFonts w:ascii="Arial" w:cs="Arial" w:eastAsia="Arial" w:hAnsi="Arial"/>
                <w:sz w:val="13"/>
                <w:szCs w:val="13"/>
                <w:color w:val="auto"/>
              </w:rPr>
              <w:t>Stock</w:t>
            </w:r>
          </w:p>
        </w:tc>
        <w:tc>
          <w:tcPr>
            <w:tcW w:w="900" w:type="dxa"/>
            <w:vAlign w:val="bottom"/>
            <w:tcBorders>
              <w:bottom w:val="single" w:sz="8" w:color="auto"/>
            </w:tcBorders>
          </w:tcPr>
          <w:p>
            <w:pPr>
              <w:jc w:val="right"/>
              <w:ind w:right="129"/>
              <w:spacing w:after="0"/>
              <w:rPr>
                <w:sz w:val="20"/>
                <w:szCs w:val="20"/>
                <w:color w:val="auto"/>
              </w:rPr>
            </w:pPr>
            <w:r>
              <w:rPr>
                <w:rFonts w:ascii="Arial" w:cs="Arial" w:eastAsia="Arial" w:hAnsi="Arial"/>
                <w:sz w:val="13"/>
                <w:szCs w:val="13"/>
                <w:color w:val="auto"/>
              </w:rPr>
              <w:t>Earnings</w:t>
            </w:r>
          </w:p>
        </w:tc>
        <w:tc>
          <w:tcPr>
            <w:tcW w:w="1200" w:type="dxa"/>
            <w:vAlign w:val="bottom"/>
            <w:tcBorders>
              <w:bottom w:val="single" w:sz="8" w:color="auto"/>
            </w:tcBorders>
          </w:tcPr>
          <w:p>
            <w:pPr>
              <w:jc w:val="right"/>
              <w:ind w:right="110"/>
              <w:spacing w:after="0"/>
              <w:rPr>
                <w:sz w:val="20"/>
                <w:szCs w:val="20"/>
                <w:color w:val="auto"/>
              </w:rPr>
            </w:pPr>
            <w:r>
              <w:rPr>
                <w:rFonts w:ascii="Arial" w:cs="Arial" w:eastAsia="Arial" w:hAnsi="Arial"/>
                <w:sz w:val="13"/>
                <w:szCs w:val="13"/>
                <w:color w:val="auto"/>
              </w:rPr>
              <w:t>Income (Loss)</w:t>
            </w:r>
          </w:p>
        </w:tc>
        <w:tc>
          <w:tcPr>
            <w:tcW w:w="1020" w:type="dxa"/>
            <w:vAlign w:val="bottom"/>
            <w:tcBorders>
              <w:bottom w:val="single" w:sz="8" w:color="auto"/>
            </w:tcBorders>
          </w:tcPr>
          <w:p>
            <w:pPr>
              <w:jc w:val="right"/>
              <w:ind w:right="69"/>
              <w:spacing w:after="0"/>
              <w:rPr>
                <w:sz w:val="20"/>
                <w:szCs w:val="20"/>
                <w:color w:val="auto"/>
              </w:rPr>
            </w:pPr>
            <w:r>
              <w:rPr>
                <w:rFonts w:ascii="Arial" w:cs="Arial" w:eastAsia="Arial" w:hAnsi="Arial"/>
                <w:sz w:val="13"/>
                <w:szCs w:val="13"/>
                <w:color w:val="auto"/>
              </w:rPr>
              <w:t>Equity</w:t>
            </w:r>
          </w:p>
        </w:tc>
        <w:tc>
          <w:tcPr>
            <w:tcW w:w="0" w:type="dxa"/>
            <w:vAlign w:val="bottom"/>
          </w:tcPr>
          <w:p>
            <w:pPr>
              <w:spacing w:after="0"/>
              <w:rPr>
                <w:sz w:val="1"/>
                <w:szCs w:val="1"/>
                <w:color w:val="auto"/>
              </w:rPr>
            </w:pPr>
          </w:p>
        </w:tc>
      </w:tr>
      <w:tr>
        <w:trPr>
          <w:trHeight w:val="183"/>
        </w:trPr>
        <w:tc>
          <w:tcPr>
            <w:tcW w:w="2700" w:type="dxa"/>
            <w:vAlign w:val="bottom"/>
          </w:tcPr>
          <w:p>
            <w:pPr>
              <w:ind w:left="20"/>
              <w:spacing w:after="0"/>
              <w:rPr>
                <w:sz w:val="20"/>
                <w:szCs w:val="20"/>
                <w:color w:val="auto"/>
              </w:rPr>
            </w:pPr>
            <w:r>
              <w:rPr>
                <w:rFonts w:ascii="Arial" w:cs="Arial" w:eastAsia="Arial" w:hAnsi="Arial"/>
                <w:sz w:val="14"/>
                <w:szCs w:val="14"/>
                <w:color w:val="auto"/>
              </w:rPr>
              <w:t>Balance at December 31, 2005</w:t>
            </w:r>
          </w:p>
        </w:tc>
        <w:tc>
          <w:tcPr>
            <w:tcW w:w="10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jc w:val="right"/>
              <w:ind w:right="51"/>
              <w:spacing w:after="0"/>
              <w:rPr>
                <w:sz w:val="20"/>
                <w:szCs w:val="20"/>
                <w:color w:val="auto"/>
              </w:rPr>
            </w:pPr>
            <w:r>
              <w:rPr>
                <w:rFonts w:ascii="Arial" w:cs="Arial" w:eastAsia="Arial" w:hAnsi="Arial"/>
                <w:sz w:val="14"/>
                <w:szCs w:val="14"/>
                <w:color w:val="auto"/>
              </w:rPr>
              <w:t>$ 22</w:t>
            </w:r>
          </w:p>
        </w:tc>
        <w:tc>
          <w:tcPr>
            <w:tcW w:w="860" w:type="dxa"/>
            <w:vAlign w:val="bottom"/>
          </w:tcPr>
          <w:p>
            <w:pPr>
              <w:jc w:val="right"/>
              <w:ind w:right="131"/>
              <w:spacing w:after="0"/>
              <w:rPr>
                <w:sz w:val="20"/>
                <w:szCs w:val="20"/>
                <w:color w:val="auto"/>
              </w:rPr>
            </w:pPr>
            <w:r>
              <w:rPr>
                <w:rFonts w:ascii="Arial" w:cs="Arial" w:eastAsia="Arial" w:hAnsi="Arial"/>
                <w:sz w:val="14"/>
                <w:szCs w:val="14"/>
                <w:color w:val="auto"/>
              </w:rPr>
              <w:t>$ 866</w:t>
            </w:r>
          </w:p>
        </w:tc>
        <w:tc>
          <w:tcPr>
            <w:tcW w:w="900" w:type="dxa"/>
            <w:vAlign w:val="bottom"/>
          </w:tcPr>
          <w:p>
            <w:pPr>
              <w:jc w:val="right"/>
              <w:ind w:right="129"/>
              <w:spacing w:after="0"/>
              <w:rPr>
                <w:sz w:val="20"/>
                <w:szCs w:val="20"/>
                <w:color w:val="auto"/>
              </w:rPr>
            </w:pPr>
            <w:r>
              <w:rPr>
                <w:rFonts w:ascii="Arial" w:cs="Arial" w:eastAsia="Arial" w:hAnsi="Arial"/>
                <w:sz w:val="14"/>
                <w:szCs w:val="14"/>
                <w:color w:val="auto"/>
              </w:rPr>
              <w:t>$ 534</w:t>
            </w:r>
          </w:p>
        </w:tc>
        <w:tc>
          <w:tcPr>
            <w:tcW w:w="1200" w:type="dxa"/>
            <w:vAlign w:val="bottom"/>
          </w:tcPr>
          <w:p>
            <w:pPr>
              <w:jc w:val="right"/>
              <w:ind w:right="50"/>
              <w:spacing w:after="0"/>
              <w:rPr>
                <w:sz w:val="20"/>
                <w:szCs w:val="20"/>
                <w:color w:val="auto"/>
              </w:rPr>
            </w:pPr>
            <w:r>
              <w:rPr>
                <w:rFonts w:ascii="Arial" w:cs="Arial" w:eastAsia="Arial" w:hAnsi="Arial"/>
                <w:sz w:val="14"/>
                <w:szCs w:val="14"/>
                <w:color w:val="auto"/>
              </w:rPr>
              <w:t>$ (5 )</w:t>
            </w:r>
          </w:p>
        </w:tc>
        <w:tc>
          <w:tcPr>
            <w:tcW w:w="1020" w:type="dxa"/>
            <w:vAlign w:val="bottom"/>
          </w:tcPr>
          <w:p>
            <w:pPr>
              <w:jc w:val="right"/>
              <w:ind w:right="69"/>
              <w:spacing w:after="0"/>
              <w:rPr>
                <w:sz w:val="20"/>
                <w:szCs w:val="20"/>
                <w:color w:val="auto"/>
              </w:rPr>
            </w:pPr>
            <w:r>
              <w:rPr>
                <w:rFonts w:ascii="Arial" w:cs="Arial" w:eastAsia="Arial" w:hAnsi="Arial"/>
                <w:sz w:val="14"/>
                <w:szCs w:val="14"/>
                <w:color w:val="auto"/>
              </w:rPr>
              <w:t>$ 1,417</w:t>
            </w:r>
          </w:p>
        </w:tc>
        <w:tc>
          <w:tcPr>
            <w:tcW w:w="0" w:type="dxa"/>
            <w:vAlign w:val="bottom"/>
          </w:tcPr>
          <w:p>
            <w:pPr>
              <w:spacing w:after="0"/>
              <w:rPr>
                <w:sz w:val="1"/>
                <w:szCs w:val="1"/>
                <w:color w:val="auto"/>
              </w:rPr>
            </w:pPr>
          </w:p>
        </w:tc>
      </w:tr>
      <w:tr>
        <w:trPr>
          <w:trHeight w:val="216"/>
        </w:trPr>
        <w:tc>
          <w:tcPr>
            <w:tcW w:w="2700" w:type="dxa"/>
            <w:vAlign w:val="bottom"/>
          </w:tcPr>
          <w:p>
            <w:pPr>
              <w:ind w:left="20"/>
              <w:spacing w:after="0"/>
              <w:rPr>
                <w:sz w:val="20"/>
                <w:szCs w:val="20"/>
                <w:color w:val="auto"/>
              </w:rPr>
            </w:pPr>
            <w:r>
              <w:rPr>
                <w:rFonts w:ascii="Arial" w:cs="Arial" w:eastAsia="Arial" w:hAnsi="Arial"/>
                <w:sz w:val="14"/>
                <w:szCs w:val="14"/>
                <w:color w:val="auto"/>
              </w:rPr>
              <w:t>Net income</w:t>
            </w:r>
          </w:p>
        </w:tc>
        <w:tc>
          <w:tcPr>
            <w:tcW w:w="1060" w:type="dxa"/>
            <w:vAlign w:val="bottom"/>
          </w:tcPr>
          <w:p>
            <w:pPr>
              <w:jc w:val="right"/>
              <w:spacing w:after="0"/>
              <w:rPr>
                <w:sz w:val="20"/>
                <w:szCs w:val="20"/>
                <w:color w:val="auto"/>
              </w:rPr>
            </w:pPr>
            <w:r>
              <w:rPr>
                <w:rFonts w:ascii="Arial" w:cs="Arial" w:eastAsia="Arial" w:hAnsi="Arial"/>
                <w:sz w:val="14"/>
                <w:szCs w:val="14"/>
                <w:color w:val="auto"/>
              </w:rPr>
              <w:t>$ 224</w:t>
            </w: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900" w:type="dxa"/>
            <w:vAlign w:val="bottom"/>
          </w:tcPr>
          <w:p>
            <w:pPr>
              <w:jc w:val="right"/>
              <w:ind w:right="129"/>
              <w:spacing w:after="0"/>
              <w:rPr>
                <w:sz w:val="20"/>
                <w:szCs w:val="20"/>
                <w:color w:val="auto"/>
              </w:rPr>
            </w:pPr>
            <w:r>
              <w:rPr>
                <w:rFonts w:ascii="Arial" w:cs="Arial" w:eastAsia="Arial" w:hAnsi="Arial"/>
                <w:sz w:val="14"/>
                <w:szCs w:val="14"/>
                <w:color w:val="auto"/>
              </w:rPr>
              <w:t>224</w:t>
            </w:r>
          </w:p>
        </w:tc>
        <w:tc>
          <w:tcPr>
            <w:tcW w:w="1200" w:type="dxa"/>
            <w:vAlign w:val="bottom"/>
          </w:tcPr>
          <w:p>
            <w:pPr>
              <w:spacing w:after="0"/>
              <w:rPr>
                <w:sz w:val="18"/>
                <w:szCs w:val="18"/>
                <w:color w:val="auto"/>
              </w:rPr>
            </w:pPr>
          </w:p>
        </w:tc>
        <w:tc>
          <w:tcPr>
            <w:tcW w:w="1020" w:type="dxa"/>
            <w:vAlign w:val="bottom"/>
          </w:tcPr>
          <w:p>
            <w:pPr>
              <w:jc w:val="right"/>
              <w:ind w:right="69"/>
              <w:spacing w:after="0"/>
              <w:rPr>
                <w:sz w:val="20"/>
                <w:szCs w:val="20"/>
                <w:color w:val="auto"/>
              </w:rPr>
            </w:pPr>
            <w:r>
              <w:rPr>
                <w:rFonts w:ascii="Arial" w:cs="Arial" w:eastAsia="Arial" w:hAnsi="Arial"/>
                <w:sz w:val="14"/>
                <w:szCs w:val="14"/>
                <w:color w:val="auto"/>
              </w:rPr>
              <w:t>224</w:t>
            </w:r>
          </w:p>
        </w:tc>
        <w:tc>
          <w:tcPr>
            <w:tcW w:w="0" w:type="dxa"/>
            <w:vAlign w:val="bottom"/>
          </w:tcPr>
          <w:p>
            <w:pPr>
              <w:spacing w:after="0"/>
              <w:rPr>
                <w:sz w:val="1"/>
                <w:szCs w:val="1"/>
                <w:color w:val="auto"/>
              </w:rPr>
            </w:pPr>
          </w:p>
        </w:tc>
      </w:tr>
      <w:tr>
        <w:trPr>
          <w:trHeight w:val="234"/>
        </w:trPr>
        <w:tc>
          <w:tcPr>
            <w:tcW w:w="2700" w:type="dxa"/>
            <w:vAlign w:val="bottom"/>
          </w:tcPr>
          <w:p>
            <w:pPr>
              <w:ind w:left="180"/>
              <w:spacing w:after="0"/>
              <w:rPr>
                <w:sz w:val="20"/>
                <w:szCs w:val="20"/>
                <w:color w:val="auto"/>
              </w:rPr>
            </w:pPr>
            <w:r>
              <w:rPr>
                <w:rFonts w:ascii="Arial" w:cs="Arial" w:eastAsia="Arial" w:hAnsi="Arial"/>
                <w:sz w:val="14"/>
                <w:szCs w:val="14"/>
                <w:color w:val="auto"/>
              </w:rPr>
              <w:t>Pension adjustment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w:t>
            </w: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0" w:type="dxa"/>
            <w:vAlign w:val="bottom"/>
          </w:tcPr>
          <w:p>
            <w:pPr>
              <w:jc w:val="right"/>
              <w:ind w:right="110"/>
              <w:spacing w:after="0"/>
              <w:rPr>
                <w:sz w:val="20"/>
                <w:szCs w:val="20"/>
                <w:color w:val="auto"/>
              </w:rPr>
            </w:pPr>
            <w:r>
              <w:rPr>
                <w:rFonts w:ascii="Arial" w:cs="Arial" w:eastAsia="Arial" w:hAnsi="Arial"/>
                <w:sz w:val="14"/>
                <w:szCs w:val="14"/>
                <w:color w:val="auto"/>
              </w:rPr>
              <w:t>2</w:t>
            </w:r>
          </w:p>
        </w:tc>
        <w:tc>
          <w:tcPr>
            <w:tcW w:w="1020" w:type="dxa"/>
            <w:vAlign w:val="bottom"/>
          </w:tcPr>
          <w:p>
            <w:pPr>
              <w:jc w:val="right"/>
              <w:ind w:right="69"/>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90"/>
        </w:trPr>
        <w:tc>
          <w:tcPr>
            <w:tcW w:w="2700" w:type="dxa"/>
            <w:vAlign w:val="bottom"/>
          </w:tcPr>
          <w:p>
            <w:pPr>
              <w:ind w:left="20"/>
              <w:spacing w:after="0"/>
              <w:rPr>
                <w:sz w:val="20"/>
                <w:szCs w:val="20"/>
                <w:color w:val="auto"/>
              </w:rPr>
            </w:pPr>
            <w:r>
              <w:rPr>
                <w:rFonts w:ascii="Arial" w:cs="Arial" w:eastAsia="Arial" w:hAnsi="Arial"/>
                <w:sz w:val="14"/>
                <w:szCs w:val="14"/>
                <w:color w:val="auto"/>
              </w:rPr>
              <w:t>Comprehensive income</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$ 226</w:t>
            </w: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2700" w:type="dxa"/>
            <w:vAlign w:val="bottom"/>
          </w:tcPr>
          <w:p>
            <w:pPr>
              <w:ind w:left="20"/>
              <w:spacing w:after="0"/>
              <w:rPr>
                <w:sz w:val="20"/>
                <w:szCs w:val="20"/>
                <w:color w:val="auto"/>
              </w:rPr>
            </w:pPr>
            <w:r>
              <w:rPr>
                <w:rFonts w:ascii="Arial" w:cs="Arial" w:eastAsia="Arial" w:hAnsi="Arial"/>
                <w:sz w:val="14"/>
                <w:szCs w:val="14"/>
                <w:color w:val="auto"/>
              </w:rPr>
              <w:t>Adoption of FASB Statement No. 158</w:t>
            </w: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0" w:type="dxa"/>
            <w:vAlign w:val="bottom"/>
          </w:tcPr>
          <w:p>
            <w:pPr>
              <w:jc w:val="right"/>
              <w:ind w:right="50"/>
              <w:spacing w:after="0"/>
              <w:rPr>
                <w:sz w:val="20"/>
                <w:szCs w:val="20"/>
                <w:color w:val="auto"/>
              </w:rPr>
            </w:pPr>
            <w:r>
              <w:rPr>
                <w:rFonts w:ascii="Arial" w:cs="Arial" w:eastAsia="Arial" w:hAnsi="Arial"/>
                <w:sz w:val="14"/>
                <w:szCs w:val="14"/>
                <w:color w:val="auto"/>
              </w:rPr>
              <w:t>(2 )</w:t>
            </w:r>
          </w:p>
        </w:tc>
        <w:tc>
          <w:tcPr>
            <w:tcW w:w="1020" w:type="dxa"/>
            <w:vAlign w:val="bottom"/>
          </w:tcPr>
          <w:p>
            <w:pPr>
              <w:jc w:val="right"/>
              <w:spacing w:after="0"/>
              <w:rPr>
                <w:sz w:val="20"/>
                <w:szCs w:val="20"/>
                <w:color w:val="auto"/>
              </w:rPr>
            </w:pPr>
            <w:r>
              <w:rPr>
                <w:rFonts w:ascii="Arial" w:cs="Arial" w:eastAsia="Arial" w:hAnsi="Arial"/>
                <w:sz w:val="14"/>
                <w:szCs w:val="14"/>
                <w:color w:val="auto"/>
              </w:rPr>
              <w:t>(2 )</w:t>
            </w:r>
          </w:p>
        </w:tc>
        <w:tc>
          <w:tcPr>
            <w:tcW w:w="0" w:type="dxa"/>
            <w:vAlign w:val="bottom"/>
          </w:tcPr>
          <w:p>
            <w:pPr>
              <w:spacing w:after="0"/>
              <w:rPr>
                <w:sz w:val="1"/>
                <w:szCs w:val="1"/>
                <w:color w:val="auto"/>
              </w:rPr>
            </w:pPr>
          </w:p>
        </w:tc>
      </w:tr>
      <w:tr>
        <w:trPr>
          <w:trHeight w:val="192"/>
        </w:trPr>
        <w:tc>
          <w:tcPr>
            <w:tcW w:w="2700" w:type="dxa"/>
            <w:vAlign w:val="bottom"/>
          </w:tcPr>
          <w:p>
            <w:pPr>
              <w:ind w:left="20"/>
              <w:spacing w:after="0"/>
              <w:rPr>
                <w:sz w:val="20"/>
                <w:szCs w:val="20"/>
                <w:color w:val="auto"/>
              </w:rPr>
            </w:pPr>
            <w:r>
              <w:rPr>
                <w:rFonts w:ascii="Arial" w:cs="Arial" w:eastAsia="Arial" w:hAnsi="Arial"/>
                <w:sz w:val="14"/>
                <w:szCs w:val="14"/>
                <w:color w:val="auto"/>
              </w:rPr>
              <w:t>Preferred stock dividends declared</w:t>
            </w:r>
          </w:p>
        </w:tc>
        <w:tc>
          <w:tcPr>
            <w:tcW w:w="10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900" w:type="dxa"/>
            <w:vAlign w:val="bottom"/>
          </w:tcPr>
          <w:p>
            <w:pPr>
              <w:jc w:val="right"/>
              <w:ind w:right="49"/>
              <w:spacing w:after="0"/>
              <w:rPr>
                <w:sz w:val="20"/>
                <w:szCs w:val="20"/>
                <w:color w:val="auto"/>
              </w:rPr>
            </w:pPr>
            <w:r>
              <w:rPr>
                <w:rFonts w:ascii="Arial" w:cs="Arial" w:eastAsia="Arial" w:hAnsi="Arial"/>
                <w:sz w:val="14"/>
                <w:szCs w:val="14"/>
                <w:color w:val="auto"/>
              </w:rPr>
              <w:t>(1 )</w:t>
            </w:r>
          </w:p>
        </w:tc>
        <w:tc>
          <w:tcPr>
            <w:tcW w:w="12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(1 )</w:t>
            </w:r>
          </w:p>
        </w:tc>
        <w:tc>
          <w:tcPr>
            <w:tcW w:w="0" w:type="dxa"/>
            <w:vAlign w:val="bottom"/>
          </w:tcPr>
          <w:p>
            <w:pPr>
              <w:spacing w:after="0"/>
              <w:rPr>
                <w:sz w:val="1"/>
                <w:szCs w:val="1"/>
                <w:color w:val="auto"/>
              </w:rPr>
            </w:pPr>
          </w:p>
        </w:tc>
      </w:tr>
      <w:tr>
        <w:trPr>
          <w:trHeight w:val="216"/>
        </w:trPr>
        <w:tc>
          <w:tcPr>
            <w:tcW w:w="2700" w:type="dxa"/>
            <w:vAlign w:val="bottom"/>
          </w:tcPr>
          <w:p>
            <w:pPr>
              <w:ind w:left="20"/>
              <w:spacing w:after="0"/>
              <w:rPr>
                <w:sz w:val="20"/>
                <w:szCs w:val="20"/>
                <w:color w:val="auto"/>
              </w:rPr>
            </w:pPr>
            <w:r>
              <w:rPr>
                <w:rFonts w:ascii="Arial" w:cs="Arial" w:eastAsia="Arial" w:hAnsi="Arial"/>
                <w:sz w:val="14"/>
                <w:szCs w:val="14"/>
                <w:color w:val="auto"/>
              </w:rPr>
              <w:t>Common stock dividends declared</w:t>
            </w: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900" w:type="dxa"/>
            <w:vAlign w:val="bottom"/>
          </w:tcPr>
          <w:p>
            <w:pPr>
              <w:jc w:val="right"/>
              <w:ind w:right="49"/>
              <w:spacing w:after="0"/>
              <w:rPr>
                <w:sz w:val="20"/>
                <w:szCs w:val="20"/>
                <w:color w:val="auto"/>
              </w:rPr>
            </w:pPr>
            <w:r>
              <w:rPr>
                <w:rFonts w:ascii="Arial" w:cs="Arial" w:eastAsia="Arial" w:hAnsi="Arial"/>
                <w:sz w:val="14"/>
                <w:szCs w:val="14"/>
                <w:color w:val="auto"/>
              </w:rPr>
              <w:t>(150 )</w:t>
            </w:r>
          </w:p>
        </w:tc>
        <w:tc>
          <w:tcPr>
            <w:tcW w:w="1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(150 )</w:t>
            </w:r>
          </w:p>
        </w:tc>
        <w:tc>
          <w:tcPr>
            <w:tcW w:w="0" w:type="dxa"/>
            <w:vAlign w:val="bottom"/>
          </w:tcPr>
          <w:p>
            <w:pPr>
              <w:spacing w:after="0"/>
              <w:rPr>
                <w:sz w:val="1"/>
                <w:szCs w:val="1"/>
                <w:color w:val="auto"/>
              </w:rPr>
            </w:pPr>
          </w:p>
        </w:tc>
      </w:tr>
      <w:tr>
        <w:trPr>
          <w:trHeight w:val="30"/>
        </w:trPr>
        <w:tc>
          <w:tcPr>
            <w:tcW w:w="27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8"/>
        </w:trPr>
        <w:tc>
          <w:tcPr>
            <w:tcW w:w="2700" w:type="dxa"/>
            <w:vAlign w:val="bottom"/>
          </w:tcPr>
          <w:p>
            <w:pPr>
              <w:ind w:left="20"/>
              <w:spacing w:after="0"/>
              <w:rPr>
                <w:sz w:val="20"/>
                <w:szCs w:val="20"/>
                <w:color w:val="auto"/>
              </w:rPr>
            </w:pPr>
            <w:r>
              <w:rPr>
                <w:rFonts w:ascii="Arial" w:cs="Arial" w:eastAsia="Arial" w:hAnsi="Arial"/>
                <w:sz w:val="14"/>
                <w:szCs w:val="14"/>
                <w:color w:val="auto"/>
              </w:rPr>
              <w:t>Balance at December 31, 2006</w:t>
            </w:r>
          </w:p>
        </w:tc>
        <w:tc>
          <w:tcPr>
            <w:tcW w:w="10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jc w:val="right"/>
              <w:ind w:right="51"/>
              <w:spacing w:after="0"/>
              <w:rPr>
                <w:sz w:val="20"/>
                <w:szCs w:val="20"/>
                <w:color w:val="auto"/>
              </w:rPr>
            </w:pPr>
            <w:r>
              <w:rPr>
                <w:rFonts w:ascii="Arial" w:cs="Arial" w:eastAsia="Arial" w:hAnsi="Arial"/>
                <w:sz w:val="14"/>
                <w:szCs w:val="14"/>
                <w:color w:val="auto"/>
              </w:rPr>
              <w:t>22</w:t>
            </w:r>
          </w:p>
        </w:tc>
        <w:tc>
          <w:tcPr>
            <w:tcW w:w="860" w:type="dxa"/>
            <w:vAlign w:val="bottom"/>
          </w:tcPr>
          <w:p>
            <w:pPr>
              <w:jc w:val="right"/>
              <w:ind w:right="131"/>
              <w:spacing w:after="0"/>
              <w:rPr>
                <w:sz w:val="20"/>
                <w:szCs w:val="20"/>
                <w:color w:val="auto"/>
              </w:rPr>
            </w:pPr>
            <w:r>
              <w:rPr>
                <w:rFonts w:ascii="Arial" w:cs="Arial" w:eastAsia="Arial" w:hAnsi="Arial"/>
                <w:sz w:val="14"/>
                <w:szCs w:val="14"/>
                <w:color w:val="auto"/>
              </w:rPr>
              <w:t>866</w:t>
            </w:r>
          </w:p>
        </w:tc>
        <w:tc>
          <w:tcPr>
            <w:tcW w:w="900" w:type="dxa"/>
            <w:vAlign w:val="bottom"/>
          </w:tcPr>
          <w:p>
            <w:pPr>
              <w:jc w:val="right"/>
              <w:ind w:right="129"/>
              <w:spacing w:after="0"/>
              <w:rPr>
                <w:sz w:val="20"/>
                <w:szCs w:val="20"/>
                <w:color w:val="auto"/>
              </w:rPr>
            </w:pPr>
            <w:r>
              <w:rPr>
                <w:rFonts w:ascii="Arial" w:cs="Arial" w:eastAsia="Arial" w:hAnsi="Arial"/>
                <w:sz w:val="14"/>
                <w:szCs w:val="14"/>
                <w:color w:val="auto"/>
              </w:rPr>
              <w:t>607</w:t>
            </w:r>
          </w:p>
        </w:tc>
        <w:tc>
          <w:tcPr>
            <w:tcW w:w="1200" w:type="dxa"/>
            <w:vAlign w:val="bottom"/>
          </w:tcPr>
          <w:p>
            <w:pPr>
              <w:jc w:val="right"/>
              <w:ind w:right="50"/>
              <w:spacing w:after="0"/>
              <w:rPr>
                <w:sz w:val="20"/>
                <w:szCs w:val="20"/>
                <w:color w:val="auto"/>
              </w:rPr>
            </w:pPr>
            <w:r>
              <w:rPr>
                <w:rFonts w:ascii="Arial" w:cs="Arial" w:eastAsia="Arial" w:hAnsi="Arial"/>
                <w:sz w:val="14"/>
                <w:szCs w:val="14"/>
                <w:color w:val="auto"/>
              </w:rPr>
              <w:t>(5 )</w:t>
            </w:r>
          </w:p>
        </w:tc>
        <w:tc>
          <w:tcPr>
            <w:tcW w:w="1020" w:type="dxa"/>
            <w:vAlign w:val="bottom"/>
          </w:tcPr>
          <w:p>
            <w:pPr>
              <w:jc w:val="right"/>
              <w:ind w:right="69"/>
              <w:spacing w:after="0"/>
              <w:rPr>
                <w:sz w:val="20"/>
                <w:szCs w:val="20"/>
                <w:color w:val="auto"/>
              </w:rPr>
            </w:pPr>
            <w:r>
              <w:rPr>
                <w:rFonts w:ascii="Arial" w:cs="Arial" w:eastAsia="Arial" w:hAnsi="Arial"/>
                <w:sz w:val="14"/>
                <w:szCs w:val="14"/>
                <w:color w:val="auto"/>
              </w:rPr>
              <w:t>1,490</w:t>
            </w:r>
          </w:p>
        </w:tc>
        <w:tc>
          <w:tcPr>
            <w:tcW w:w="0" w:type="dxa"/>
            <w:vAlign w:val="bottom"/>
          </w:tcPr>
          <w:p>
            <w:pPr>
              <w:spacing w:after="0"/>
              <w:rPr>
                <w:sz w:val="1"/>
                <w:szCs w:val="1"/>
                <w:color w:val="auto"/>
              </w:rPr>
            </w:pPr>
          </w:p>
        </w:tc>
      </w:tr>
      <w:tr>
        <w:trPr>
          <w:trHeight w:val="216"/>
        </w:trPr>
        <w:tc>
          <w:tcPr>
            <w:tcW w:w="2700" w:type="dxa"/>
            <w:vAlign w:val="bottom"/>
          </w:tcPr>
          <w:p>
            <w:pPr>
              <w:ind w:left="20"/>
              <w:spacing w:after="0"/>
              <w:rPr>
                <w:sz w:val="20"/>
                <w:szCs w:val="20"/>
                <w:color w:val="auto"/>
              </w:rPr>
            </w:pPr>
            <w:r>
              <w:rPr>
                <w:rFonts w:ascii="Arial" w:cs="Arial" w:eastAsia="Arial" w:hAnsi="Arial"/>
                <w:sz w:val="14"/>
                <w:szCs w:val="14"/>
                <w:color w:val="auto"/>
              </w:rPr>
              <w:t>Adoption of FIN 48</w:t>
            </w: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900" w:type="dxa"/>
            <w:vAlign w:val="bottom"/>
          </w:tcPr>
          <w:p>
            <w:pPr>
              <w:jc w:val="right"/>
              <w:ind w:right="49"/>
              <w:spacing w:after="0"/>
              <w:rPr>
                <w:sz w:val="20"/>
                <w:szCs w:val="20"/>
                <w:color w:val="auto"/>
              </w:rPr>
            </w:pPr>
            <w:r>
              <w:rPr>
                <w:rFonts w:ascii="Arial" w:cs="Arial" w:eastAsia="Arial" w:hAnsi="Arial"/>
                <w:sz w:val="14"/>
                <w:szCs w:val="14"/>
                <w:color w:val="auto"/>
              </w:rPr>
              <w:t>(1 )</w:t>
            </w:r>
          </w:p>
        </w:tc>
        <w:tc>
          <w:tcPr>
            <w:tcW w:w="1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(1 )</w:t>
            </w:r>
          </w:p>
        </w:tc>
        <w:tc>
          <w:tcPr>
            <w:tcW w:w="0" w:type="dxa"/>
            <w:vAlign w:val="bottom"/>
          </w:tcPr>
          <w:p>
            <w:pPr>
              <w:spacing w:after="0"/>
              <w:rPr>
                <w:sz w:val="1"/>
                <w:szCs w:val="1"/>
                <w:color w:val="auto"/>
              </w:rPr>
            </w:pPr>
          </w:p>
        </w:tc>
      </w:tr>
      <w:tr>
        <w:trPr>
          <w:trHeight w:val="216"/>
        </w:trPr>
        <w:tc>
          <w:tcPr>
            <w:tcW w:w="2700" w:type="dxa"/>
            <w:vAlign w:val="bottom"/>
          </w:tcPr>
          <w:p>
            <w:pPr>
              <w:ind w:left="20"/>
              <w:spacing w:after="0"/>
              <w:rPr>
                <w:sz w:val="20"/>
                <w:szCs w:val="20"/>
                <w:color w:val="auto"/>
              </w:rPr>
            </w:pPr>
            <w:r>
              <w:rPr>
                <w:rFonts w:ascii="Arial" w:cs="Arial" w:eastAsia="Arial" w:hAnsi="Arial"/>
                <w:sz w:val="14"/>
                <w:szCs w:val="14"/>
                <w:color w:val="auto"/>
              </w:rPr>
              <w:t>Net income</w:t>
            </w:r>
          </w:p>
        </w:tc>
        <w:tc>
          <w:tcPr>
            <w:tcW w:w="1060" w:type="dxa"/>
            <w:vAlign w:val="bottom"/>
          </w:tcPr>
          <w:p>
            <w:pPr>
              <w:jc w:val="right"/>
              <w:spacing w:after="0"/>
              <w:rPr>
                <w:sz w:val="20"/>
                <w:szCs w:val="20"/>
                <w:color w:val="auto"/>
              </w:rPr>
            </w:pPr>
            <w:r>
              <w:rPr>
                <w:rFonts w:ascii="Arial" w:cs="Arial" w:eastAsia="Arial" w:hAnsi="Arial"/>
                <w:sz w:val="14"/>
                <w:szCs w:val="14"/>
                <w:color w:val="auto"/>
              </w:rPr>
              <w:t>$ 231</w:t>
            </w: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900" w:type="dxa"/>
            <w:vAlign w:val="bottom"/>
          </w:tcPr>
          <w:p>
            <w:pPr>
              <w:jc w:val="right"/>
              <w:ind w:right="129"/>
              <w:spacing w:after="0"/>
              <w:rPr>
                <w:sz w:val="20"/>
                <w:szCs w:val="20"/>
                <w:color w:val="auto"/>
              </w:rPr>
            </w:pPr>
            <w:r>
              <w:rPr>
                <w:rFonts w:ascii="Arial" w:cs="Arial" w:eastAsia="Arial" w:hAnsi="Arial"/>
                <w:sz w:val="14"/>
                <w:szCs w:val="14"/>
                <w:color w:val="auto"/>
              </w:rPr>
              <w:t>231</w:t>
            </w:r>
          </w:p>
        </w:tc>
        <w:tc>
          <w:tcPr>
            <w:tcW w:w="1200" w:type="dxa"/>
            <w:vAlign w:val="bottom"/>
          </w:tcPr>
          <w:p>
            <w:pPr>
              <w:spacing w:after="0"/>
              <w:rPr>
                <w:sz w:val="18"/>
                <w:szCs w:val="18"/>
                <w:color w:val="auto"/>
              </w:rPr>
            </w:pPr>
          </w:p>
        </w:tc>
        <w:tc>
          <w:tcPr>
            <w:tcW w:w="1020" w:type="dxa"/>
            <w:vAlign w:val="bottom"/>
          </w:tcPr>
          <w:p>
            <w:pPr>
              <w:jc w:val="right"/>
              <w:ind w:right="69"/>
              <w:spacing w:after="0"/>
              <w:rPr>
                <w:sz w:val="20"/>
                <w:szCs w:val="20"/>
                <w:color w:val="auto"/>
              </w:rPr>
            </w:pPr>
            <w:r>
              <w:rPr>
                <w:rFonts w:ascii="Arial" w:cs="Arial" w:eastAsia="Arial" w:hAnsi="Arial"/>
                <w:sz w:val="14"/>
                <w:szCs w:val="14"/>
                <w:color w:val="auto"/>
              </w:rPr>
              <w:t>231</w:t>
            </w:r>
          </w:p>
        </w:tc>
        <w:tc>
          <w:tcPr>
            <w:tcW w:w="0" w:type="dxa"/>
            <w:vAlign w:val="bottom"/>
          </w:tcPr>
          <w:p>
            <w:pPr>
              <w:spacing w:after="0"/>
              <w:rPr>
                <w:sz w:val="1"/>
                <w:szCs w:val="1"/>
                <w:color w:val="auto"/>
              </w:rPr>
            </w:pPr>
          </w:p>
        </w:tc>
      </w:tr>
      <w:tr>
        <w:trPr>
          <w:trHeight w:val="234"/>
        </w:trPr>
        <w:tc>
          <w:tcPr>
            <w:tcW w:w="2700" w:type="dxa"/>
            <w:vAlign w:val="bottom"/>
          </w:tcPr>
          <w:p>
            <w:pPr>
              <w:ind w:left="180"/>
              <w:spacing w:after="0"/>
              <w:rPr>
                <w:sz w:val="20"/>
                <w:szCs w:val="20"/>
                <w:color w:val="auto"/>
              </w:rPr>
            </w:pPr>
            <w:r>
              <w:rPr>
                <w:rFonts w:ascii="Arial" w:cs="Arial" w:eastAsia="Arial" w:hAnsi="Arial"/>
                <w:sz w:val="14"/>
                <w:szCs w:val="14"/>
                <w:color w:val="auto"/>
              </w:rPr>
              <w:t>Financial instruments</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0" w:type="dxa"/>
            <w:vAlign w:val="bottom"/>
          </w:tcPr>
          <w:p>
            <w:pPr>
              <w:jc w:val="right"/>
              <w:ind w:right="110"/>
              <w:spacing w:after="0"/>
              <w:rPr>
                <w:sz w:val="20"/>
                <w:szCs w:val="20"/>
                <w:color w:val="auto"/>
              </w:rPr>
            </w:pPr>
            <w:r>
              <w:rPr>
                <w:rFonts w:ascii="Arial" w:cs="Arial" w:eastAsia="Arial" w:hAnsi="Arial"/>
                <w:sz w:val="14"/>
                <w:szCs w:val="14"/>
                <w:color w:val="auto"/>
              </w:rPr>
              <w:t>1</w:t>
            </w:r>
          </w:p>
        </w:tc>
        <w:tc>
          <w:tcPr>
            <w:tcW w:w="1020" w:type="dxa"/>
            <w:vAlign w:val="bottom"/>
          </w:tcPr>
          <w:p>
            <w:pPr>
              <w:jc w:val="right"/>
              <w:ind w:right="69"/>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90"/>
        </w:trPr>
        <w:tc>
          <w:tcPr>
            <w:tcW w:w="2700" w:type="dxa"/>
            <w:vAlign w:val="bottom"/>
          </w:tcPr>
          <w:p>
            <w:pPr>
              <w:ind w:left="20"/>
              <w:spacing w:after="0"/>
              <w:rPr>
                <w:sz w:val="20"/>
                <w:szCs w:val="20"/>
                <w:color w:val="auto"/>
              </w:rPr>
            </w:pPr>
            <w:r>
              <w:rPr>
                <w:rFonts w:ascii="Arial" w:cs="Arial" w:eastAsia="Arial" w:hAnsi="Arial"/>
                <w:sz w:val="14"/>
                <w:szCs w:val="14"/>
                <w:color w:val="auto"/>
              </w:rPr>
              <w:t>Comprehensive income</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$ 232</w:t>
            </w: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700" w:type="dxa"/>
            <w:vAlign w:val="bottom"/>
          </w:tcPr>
          <w:p>
            <w:pPr>
              <w:ind w:left="20"/>
              <w:spacing w:after="0"/>
              <w:rPr>
                <w:sz w:val="20"/>
                <w:szCs w:val="20"/>
                <w:color w:val="auto"/>
              </w:rPr>
            </w:pPr>
            <w:r>
              <w:rPr>
                <w:rFonts w:ascii="Arial" w:cs="Arial" w:eastAsia="Arial" w:hAnsi="Arial"/>
                <w:sz w:val="14"/>
                <w:szCs w:val="14"/>
                <w:color w:val="auto"/>
              </w:rPr>
              <w:t>Preferred stock dividends declared</w:t>
            </w:r>
          </w:p>
        </w:tc>
        <w:tc>
          <w:tcPr>
            <w:tcW w:w="10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900" w:type="dxa"/>
            <w:vAlign w:val="bottom"/>
          </w:tcPr>
          <w:p>
            <w:pPr>
              <w:jc w:val="right"/>
              <w:ind w:right="49"/>
              <w:spacing w:after="0"/>
              <w:rPr>
                <w:sz w:val="20"/>
                <w:szCs w:val="20"/>
                <w:color w:val="auto"/>
              </w:rPr>
            </w:pPr>
            <w:r>
              <w:rPr>
                <w:rFonts w:ascii="Arial" w:cs="Arial" w:eastAsia="Arial" w:hAnsi="Arial"/>
                <w:sz w:val="14"/>
                <w:szCs w:val="14"/>
                <w:color w:val="auto"/>
              </w:rPr>
              <w:t>(1 )</w:t>
            </w:r>
          </w:p>
        </w:tc>
        <w:tc>
          <w:tcPr>
            <w:tcW w:w="12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(1 )</w:t>
            </w:r>
          </w:p>
        </w:tc>
        <w:tc>
          <w:tcPr>
            <w:tcW w:w="0" w:type="dxa"/>
            <w:vAlign w:val="bottom"/>
          </w:tcPr>
          <w:p>
            <w:pPr>
              <w:spacing w:after="0"/>
              <w:rPr>
                <w:sz w:val="1"/>
                <w:szCs w:val="1"/>
                <w:color w:val="auto"/>
              </w:rPr>
            </w:pPr>
          </w:p>
        </w:tc>
      </w:tr>
      <w:tr>
        <w:trPr>
          <w:trHeight w:val="216"/>
        </w:trPr>
        <w:tc>
          <w:tcPr>
            <w:tcW w:w="2700" w:type="dxa"/>
            <w:vAlign w:val="bottom"/>
          </w:tcPr>
          <w:p>
            <w:pPr>
              <w:ind w:left="20"/>
              <w:spacing w:after="0"/>
              <w:rPr>
                <w:sz w:val="20"/>
                <w:szCs w:val="20"/>
                <w:color w:val="auto"/>
              </w:rPr>
            </w:pPr>
            <w:r>
              <w:rPr>
                <w:rFonts w:ascii="Arial" w:cs="Arial" w:eastAsia="Arial" w:hAnsi="Arial"/>
                <w:sz w:val="14"/>
                <w:szCs w:val="14"/>
                <w:color w:val="auto"/>
              </w:rPr>
              <w:t>Common stock dividends declared</w:t>
            </w: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900" w:type="dxa"/>
            <w:vAlign w:val="bottom"/>
          </w:tcPr>
          <w:p>
            <w:pPr>
              <w:jc w:val="right"/>
              <w:ind w:right="49"/>
              <w:spacing w:after="0"/>
              <w:rPr>
                <w:sz w:val="20"/>
                <w:szCs w:val="20"/>
                <w:color w:val="auto"/>
              </w:rPr>
            </w:pPr>
            <w:r>
              <w:rPr>
                <w:rFonts w:ascii="Arial" w:cs="Arial" w:eastAsia="Arial" w:hAnsi="Arial"/>
                <w:sz w:val="14"/>
                <w:szCs w:val="14"/>
                <w:color w:val="auto"/>
              </w:rPr>
              <w:t>(250 )</w:t>
            </w:r>
          </w:p>
        </w:tc>
        <w:tc>
          <w:tcPr>
            <w:tcW w:w="1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(250 )</w:t>
            </w:r>
          </w:p>
        </w:tc>
        <w:tc>
          <w:tcPr>
            <w:tcW w:w="0" w:type="dxa"/>
            <w:vAlign w:val="bottom"/>
          </w:tcPr>
          <w:p>
            <w:pPr>
              <w:spacing w:after="0"/>
              <w:rPr>
                <w:sz w:val="1"/>
                <w:szCs w:val="1"/>
                <w:color w:val="auto"/>
              </w:rPr>
            </w:pPr>
          </w:p>
        </w:tc>
      </w:tr>
      <w:tr>
        <w:trPr>
          <w:trHeight w:val="30"/>
        </w:trPr>
        <w:tc>
          <w:tcPr>
            <w:tcW w:w="27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8"/>
        </w:trPr>
        <w:tc>
          <w:tcPr>
            <w:tcW w:w="2700" w:type="dxa"/>
            <w:vAlign w:val="bottom"/>
          </w:tcPr>
          <w:p>
            <w:pPr>
              <w:ind w:left="20"/>
              <w:spacing w:after="0"/>
              <w:rPr>
                <w:sz w:val="20"/>
                <w:szCs w:val="20"/>
                <w:color w:val="auto"/>
              </w:rPr>
            </w:pPr>
            <w:r>
              <w:rPr>
                <w:rFonts w:ascii="Arial" w:cs="Arial" w:eastAsia="Arial" w:hAnsi="Arial"/>
                <w:sz w:val="14"/>
                <w:szCs w:val="14"/>
                <w:color w:val="auto"/>
              </w:rPr>
              <w:t>Balance at December 31, 2007</w:t>
            </w:r>
          </w:p>
        </w:tc>
        <w:tc>
          <w:tcPr>
            <w:tcW w:w="10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jc w:val="right"/>
              <w:ind w:right="51"/>
              <w:spacing w:after="0"/>
              <w:rPr>
                <w:sz w:val="20"/>
                <w:szCs w:val="20"/>
                <w:color w:val="auto"/>
              </w:rPr>
            </w:pPr>
            <w:r>
              <w:rPr>
                <w:rFonts w:ascii="Arial" w:cs="Arial" w:eastAsia="Arial" w:hAnsi="Arial"/>
                <w:sz w:val="14"/>
                <w:szCs w:val="14"/>
                <w:color w:val="auto"/>
              </w:rPr>
              <w:t>22</w:t>
            </w:r>
          </w:p>
        </w:tc>
        <w:tc>
          <w:tcPr>
            <w:tcW w:w="860" w:type="dxa"/>
            <w:vAlign w:val="bottom"/>
          </w:tcPr>
          <w:p>
            <w:pPr>
              <w:jc w:val="right"/>
              <w:ind w:right="131"/>
              <w:spacing w:after="0"/>
              <w:rPr>
                <w:sz w:val="20"/>
                <w:szCs w:val="20"/>
                <w:color w:val="auto"/>
              </w:rPr>
            </w:pPr>
            <w:r>
              <w:rPr>
                <w:rFonts w:ascii="Arial" w:cs="Arial" w:eastAsia="Arial" w:hAnsi="Arial"/>
                <w:sz w:val="14"/>
                <w:szCs w:val="14"/>
                <w:color w:val="auto"/>
              </w:rPr>
              <w:t>866</w:t>
            </w:r>
          </w:p>
        </w:tc>
        <w:tc>
          <w:tcPr>
            <w:tcW w:w="900" w:type="dxa"/>
            <w:vAlign w:val="bottom"/>
          </w:tcPr>
          <w:p>
            <w:pPr>
              <w:jc w:val="right"/>
              <w:ind w:right="129"/>
              <w:spacing w:after="0"/>
              <w:rPr>
                <w:sz w:val="20"/>
                <w:szCs w:val="20"/>
                <w:color w:val="auto"/>
              </w:rPr>
            </w:pPr>
            <w:r>
              <w:rPr>
                <w:rFonts w:ascii="Arial" w:cs="Arial" w:eastAsia="Arial" w:hAnsi="Arial"/>
                <w:sz w:val="14"/>
                <w:szCs w:val="14"/>
                <w:color w:val="auto"/>
              </w:rPr>
              <w:t>586</w:t>
            </w:r>
          </w:p>
        </w:tc>
        <w:tc>
          <w:tcPr>
            <w:tcW w:w="1200" w:type="dxa"/>
            <w:vAlign w:val="bottom"/>
          </w:tcPr>
          <w:p>
            <w:pPr>
              <w:jc w:val="right"/>
              <w:ind w:right="50"/>
              <w:spacing w:after="0"/>
              <w:rPr>
                <w:sz w:val="20"/>
                <w:szCs w:val="20"/>
                <w:color w:val="auto"/>
              </w:rPr>
            </w:pPr>
            <w:r>
              <w:rPr>
                <w:rFonts w:ascii="Arial" w:cs="Arial" w:eastAsia="Arial" w:hAnsi="Arial"/>
                <w:sz w:val="14"/>
                <w:szCs w:val="14"/>
                <w:color w:val="auto"/>
              </w:rPr>
              <w:t>(4 )</w:t>
            </w:r>
          </w:p>
        </w:tc>
        <w:tc>
          <w:tcPr>
            <w:tcW w:w="1020" w:type="dxa"/>
            <w:vAlign w:val="bottom"/>
          </w:tcPr>
          <w:p>
            <w:pPr>
              <w:jc w:val="right"/>
              <w:ind w:right="69"/>
              <w:spacing w:after="0"/>
              <w:rPr>
                <w:sz w:val="20"/>
                <w:szCs w:val="20"/>
                <w:color w:val="auto"/>
              </w:rPr>
            </w:pPr>
            <w:r>
              <w:rPr>
                <w:rFonts w:ascii="Arial" w:cs="Arial" w:eastAsia="Arial" w:hAnsi="Arial"/>
                <w:sz w:val="14"/>
                <w:szCs w:val="14"/>
                <w:color w:val="auto"/>
              </w:rPr>
              <w:t>1,470</w:t>
            </w:r>
          </w:p>
        </w:tc>
        <w:tc>
          <w:tcPr>
            <w:tcW w:w="0" w:type="dxa"/>
            <w:vAlign w:val="bottom"/>
          </w:tcPr>
          <w:p>
            <w:pPr>
              <w:spacing w:after="0"/>
              <w:rPr>
                <w:sz w:val="1"/>
                <w:szCs w:val="1"/>
                <w:color w:val="auto"/>
              </w:rPr>
            </w:pPr>
          </w:p>
        </w:tc>
      </w:tr>
      <w:tr>
        <w:trPr>
          <w:trHeight w:val="216"/>
        </w:trPr>
        <w:tc>
          <w:tcPr>
            <w:tcW w:w="2700" w:type="dxa"/>
            <w:vAlign w:val="bottom"/>
          </w:tcPr>
          <w:p>
            <w:pPr>
              <w:ind w:left="20"/>
              <w:spacing w:after="0"/>
              <w:rPr>
                <w:sz w:val="20"/>
                <w:szCs w:val="20"/>
                <w:color w:val="auto"/>
              </w:rPr>
            </w:pPr>
            <w:r>
              <w:rPr>
                <w:rFonts w:ascii="Arial" w:cs="Arial" w:eastAsia="Arial" w:hAnsi="Arial"/>
                <w:sz w:val="14"/>
                <w:szCs w:val="14"/>
                <w:color w:val="auto"/>
              </w:rPr>
              <w:t>Net income</w:t>
            </w:r>
          </w:p>
        </w:tc>
        <w:tc>
          <w:tcPr>
            <w:tcW w:w="1060" w:type="dxa"/>
            <w:vAlign w:val="bottom"/>
          </w:tcPr>
          <w:p>
            <w:pPr>
              <w:jc w:val="right"/>
              <w:spacing w:after="0"/>
              <w:rPr>
                <w:sz w:val="20"/>
                <w:szCs w:val="20"/>
                <w:color w:val="auto"/>
              </w:rPr>
            </w:pPr>
            <w:r>
              <w:rPr>
                <w:rFonts w:ascii="Arial" w:cs="Arial" w:eastAsia="Arial" w:hAnsi="Arial"/>
                <w:sz w:val="14"/>
                <w:szCs w:val="14"/>
                <w:color w:val="auto"/>
              </w:rPr>
              <w:t>$ 245</w:t>
            </w: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900" w:type="dxa"/>
            <w:vAlign w:val="bottom"/>
          </w:tcPr>
          <w:p>
            <w:pPr>
              <w:jc w:val="right"/>
              <w:ind w:right="129"/>
              <w:spacing w:after="0"/>
              <w:rPr>
                <w:sz w:val="20"/>
                <w:szCs w:val="20"/>
                <w:color w:val="auto"/>
              </w:rPr>
            </w:pPr>
            <w:r>
              <w:rPr>
                <w:rFonts w:ascii="Arial" w:cs="Arial" w:eastAsia="Arial" w:hAnsi="Arial"/>
                <w:sz w:val="14"/>
                <w:szCs w:val="14"/>
                <w:color w:val="auto"/>
              </w:rPr>
              <w:t>245</w:t>
            </w:r>
          </w:p>
        </w:tc>
        <w:tc>
          <w:tcPr>
            <w:tcW w:w="1200" w:type="dxa"/>
            <w:vAlign w:val="bottom"/>
          </w:tcPr>
          <w:p>
            <w:pPr>
              <w:spacing w:after="0"/>
              <w:rPr>
                <w:sz w:val="18"/>
                <w:szCs w:val="18"/>
                <w:color w:val="auto"/>
              </w:rPr>
            </w:pPr>
          </w:p>
        </w:tc>
        <w:tc>
          <w:tcPr>
            <w:tcW w:w="1020" w:type="dxa"/>
            <w:vAlign w:val="bottom"/>
          </w:tcPr>
          <w:p>
            <w:pPr>
              <w:jc w:val="right"/>
              <w:ind w:right="69"/>
              <w:spacing w:after="0"/>
              <w:rPr>
                <w:sz w:val="20"/>
                <w:szCs w:val="20"/>
                <w:color w:val="auto"/>
              </w:rPr>
            </w:pPr>
            <w:r>
              <w:rPr>
                <w:rFonts w:ascii="Arial" w:cs="Arial" w:eastAsia="Arial" w:hAnsi="Arial"/>
                <w:sz w:val="14"/>
                <w:szCs w:val="14"/>
                <w:color w:val="auto"/>
              </w:rPr>
              <w:t>245</w:t>
            </w:r>
          </w:p>
        </w:tc>
        <w:tc>
          <w:tcPr>
            <w:tcW w:w="0" w:type="dxa"/>
            <w:vAlign w:val="bottom"/>
          </w:tcPr>
          <w:p>
            <w:pPr>
              <w:spacing w:after="0"/>
              <w:rPr>
                <w:sz w:val="1"/>
                <w:szCs w:val="1"/>
                <w:color w:val="auto"/>
              </w:rPr>
            </w:pPr>
          </w:p>
        </w:tc>
      </w:tr>
      <w:tr>
        <w:trPr>
          <w:trHeight w:val="240"/>
        </w:trPr>
        <w:tc>
          <w:tcPr>
            <w:tcW w:w="2700" w:type="dxa"/>
            <w:vAlign w:val="bottom"/>
          </w:tcPr>
          <w:p>
            <w:pPr>
              <w:ind w:left="180"/>
              <w:spacing w:after="0"/>
              <w:rPr>
                <w:sz w:val="20"/>
                <w:szCs w:val="20"/>
                <w:color w:val="auto"/>
              </w:rPr>
            </w:pPr>
            <w:r>
              <w:rPr>
                <w:rFonts w:ascii="Arial" w:cs="Arial" w:eastAsia="Arial" w:hAnsi="Arial"/>
                <w:sz w:val="14"/>
                <w:szCs w:val="14"/>
                <w:color w:val="auto"/>
              </w:rPr>
              <w:t>Financial instruments</w:t>
            </w:r>
          </w:p>
        </w:tc>
        <w:tc>
          <w:tcPr>
            <w:tcW w:w="1240" w:type="dxa"/>
            <w:vAlign w:val="bottom"/>
            <w:gridSpan w:val="2"/>
          </w:tcPr>
          <w:p>
            <w:pPr>
              <w:jc w:val="right"/>
              <w:ind w:right="120"/>
              <w:spacing w:after="0"/>
              <w:rPr>
                <w:sz w:val="20"/>
                <w:szCs w:val="20"/>
                <w:color w:val="auto"/>
              </w:rPr>
            </w:pPr>
            <w:r>
              <w:rPr>
                <w:rFonts w:ascii="Arial" w:cs="Arial" w:eastAsia="Arial" w:hAnsi="Arial"/>
                <w:sz w:val="14"/>
                <w:szCs w:val="14"/>
                <w:color w:val="auto"/>
              </w:rPr>
              <w:t>(25 )</w:t>
            </w:r>
          </w:p>
        </w:tc>
        <w:tc>
          <w:tcPr>
            <w:tcW w:w="8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0" w:type="dxa"/>
            <w:vAlign w:val="bottom"/>
          </w:tcPr>
          <w:p>
            <w:pPr>
              <w:jc w:val="right"/>
              <w:ind w:right="50"/>
              <w:spacing w:after="0"/>
              <w:rPr>
                <w:sz w:val="20"/>
                <w:szCs w:val="20"/>
                <w:color w:val="auto"/>
              </w:rPr>
            </w:pPr>
            <w:r>
              <w:rPr>
                <w:rFonts w:ascii="Arial" w:cs="Arial" w:eastAsia="Arial" w:hAnsi="Arial"/>
                <w:sz w:val="14"/>
                <w:szCs w:val="14"/>
                <w:color w:val="auto"/>
              </w:rPr>
              <w:t>(25 )</w:t>
            </w:r>
          </w:p>
        </w:tc>
        <w:tc>
          <w:tcPr>
            <w:tcW w:w="1020" w:type="dxa"/>
            <w:vAlign w:val="bottom"/>
          </w:tcPr>
          <w:p>
            <w:pPr>
              <w:jc w:val="right"/>
              <w:spacing w:after="0"/>
              <w:rPr>
                <w:sz w:val="20"/>
                <w:szCs w:val="20"/>
                <w:color w:val="auto"/>
              </w:rPr>
            </w:pPr>
            <w:r>
              <w:rPr>
                <w:rFonts w:ascii="Arial" w:cs="Arial" w:eastAsia="Arial" w:hAnsi="Arial"/>
                <w:sz w:val="14"/>
                <w:szCs w:val="14"/>
                <w:color w:val="auto"/>
              </w:rPr>
              <w:t>(25 )</w:t>
            </w:r>
          </w:p>
        </w:tc>
        <w:tc>
          <w:tcPr>
            <w:tcW w:w="0" w:type="dxa"/>
            <w:vAlign w:val="bottom"/>
          </w:tcPr>
          <w:p>
            <w:pPr>
              <w:spacing w:after="0"/>
              <w:rPr>
                <w:sz w:val="1"/>
                <w:szCs w:val="1"/>
                <w:color w:val="auto"/>
              </w:rPr>
            </w:pPr>
          </w:p>
        </w:tc>
      </w:tr>
      <w:tr>
        <w:trPr>
          <w:trHeight w:val="204"/>
        </w:trPr>
        <w:tc>
          <w:tcPr>
            <w:tcW w:w="2700" w:type="dxa"/>
            <w:vAlign w:val="bottom"/>
          </w:tcPr>
          <w:p>
            <w:pPr>
              <w:ind w:left="180"/>
              <w:spacing w:after="0"/>
              <w:rPr>
                <w:sz w:val="20"/>
                <w:szCs w:val="20"/>
                <w:color w:val="auto"/>
              </w:rPr>
            </w:pPr>
            <w:r>
              <w:rPr>
                <w:rFonts w:ascii="Arial" w:cs="Arial" w:eastAsia="Arial" w:hAnsi="Arial"/>
                <w:sz w:val="14"/>
                <w:szCs w:val="14"/>
                <w:color w:val="auto"/>
              </w:rPr>
              <w:t>Pension adjustment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0" w:type="dxa"/>
            <w:vAlign w:val="bottom"/>
          </w:tcPr>
          <w:p>
            <w:pPr>
              <w:jc w:val="right"/>
              <w:ind w:right="110"/>
              <w:spacing w:after="0"/>
              <w:rPr>
                <w:sz w:val="20"/>
                <w:szCs w:val="20"/>
                <w:color w:val="auto"/>
              </w:rPr>
            </w:pPr>
            <w:r>
              <w:rPr>
                <w:rFonts w:ascii="Arial" w:cs="Arial" w:eastAsia="Arial" w:hAnsi="Arial"/>
                <w:sz w:val="14"/>
                <w:szCs w:val="14"/>
                <w:color w:val="auto"/>
              </w:rPr>
              <w:t>1</w:t>
            </w:r>
          </w:p>
        </w:tc>
        <w:tc>
          <w:tcPr>
            <w:tcW w:w="1020" w:type="dxa"/>
            <w:vAlign w:val="bottom"/>
          </w:tcPr>
          <w:p>
            <w:pPr>
              <w:jc w:val="right"/>
              <w:ind w:right="69"/>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96"/>
        </w:trPr>
        <w:tc>
          <w:tcPr>
            <w:tcW w:w="2700" w:type="dxa"/>
            <w:vAlign w:val="bottom"/>
          </w:tcPr>
          <w:p>
            <w:pPr>
              <w:ind w:left="20"/>
              <w:spacing w:after="0"/>
              <w:rPr>
                <w:sz w:val="20"/>
                <w:szCs w:val="20"/>
                <w:color w:val="auto"/>
              </w:rPr>
            </w:pPr>
            <w:r>
              <w:rPr>
                <w:rFonts w:ascii="Arial" w:cs="Arial" w:eastAsia="Arial" w:hAnsi="Arial"/>
                <w:sz w:val="14"/>
                <w:szCs w:val="14"/>
                <w:color w:val="auto"/>
              </w:rPr>
              <w:t>Comprehensive income</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$ 221</w:t>
            </w: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2700" w:type="dxa"/>
            <w:vAlign w:val="bottom"/>
          </w:tcPr>
          <w:p>
            <w:pPr>
              <w:ind w:left="20"/>
              <w:spacing w:after="0"/>
              <w:rPr>
                <w:sz w:val="20"/>
                <w:szCs w:val="20"/>
                <w:color w:val="auto"/>
              </w:rPr>
            </w:pPr>
            <w:r>
              <w:rPr>
                <w:rFonts w:ascii="Arial" w:cs="Arial" w:eastAsia="Arial" w:hAnsi="Arial"/>
                <w:sz w:val="14"/>
                <w:szCs w:val="14"/>
                <w:color w:val="auto"/>
              </w:rPr>
              <w:t>Preferred stock dividends declared</w:t>
            </w:r>
          </w:p>
        </w:tc>
        <w:tc>
          <w:tcPr>
            <w:tcW w:w="10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900" w:type="dxa"/>
            <w:vAlign w:val="bottom"/>
          </w:tcPr>
          <w:p>
            <w:pPr>
              <w:jc w:val="right"/>
              <w:ind w:right="49"/>
              <w:spacing w:after="0"/>
              <w:rPr>
                <w:sz w:val="20"/>
                <w:szCs w:val="20"/>
                <w:color w:val="auto"/>
              </w:rPr>
            </w:pPr>
            <w:r>
              <w:rPr>
                <w:rFonts w:ascii="Arial" w:cs="Arial" w:eastAsia="Arial" w:hAnsi="Arial"/>
                <w:sz w:val="14"/>
                <w:szCs w:val="14"/>
                <w:color w:val="auto"/>
              </w:rPr>
              <w:t>(1 )</w:t>
            </w:r>
          </w:p>
        </w:tc>
        <w:tc>
          <w:tcPr>
            <w:tcW w:w="12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(1 )</w:t>
            </w:r>
          </w:p>
        </w:tc>
        <w:tc>
          <w:tcPr>
            <w:tcW w:w="0" w:type="dxa"/>
            <w:vAlign w:val="bottom"/>
          </w:tcPr>
          <w:p>
            <w:pPr>
              <w:spacing w:after="0"/>
              <w:rPr>
                <w:sz w:val="1"/>
                <w:szCs w:val="1"/>
                <w:color w:val="auto"/>
              </w:rPr>
            </w:pPr>
          </w:p>
        </w:tc>
      </w:tr>
      <w:tr>
        <w:trPr>
          <w:trHeight w:val="216"/>
        </w:trPr>
        <w:tc>
          <w:tcPr>
            <w:tcW w:w="2700" w:type="dxa"/>
            <w:vAlign w:val="bottom"/>
          </w:tcPr>
          <w:p>
            <w:pPr>
              <w:ind w:left="20"/>
              <w:spacing w:after="0"/>
              <w:rPr>
                <w:sz w:val="20"/>
                <w:szCs w:val="20"/>
                <w:color w:val="auto"/>
              </w:rPr>
            </w:pPr>
            <w:r>
              <w:rPr>
                <w:rFonts w:ascii="Arial" w:cs="Arial" w:eastAsia="Arial" w:hAnsi="Arial"/>
                <w:sz w:val="14"/>
                <w:szCs w:val="14"/>
                <w:color w:val="auto"/>
              </w:rPr>
              <w:t>Common stock dividends declared</w:t>
            </w: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900" w:type="dxa"/>
            <w:vAlign w:val="bottom"/>
          </w:tcPr>
          <w:p>
            <w:pPr>
              <w:jc w:val="right"/>
              <w:ind w:right="49"/>
              <w:spacing w:after="0"/>
              <w:rPr>
                <w:sz w:val="20"/>
                <w:szCs w:val="20"/>
                <w:color w:val="auto"/>
              </w:rPr>
            </w:pPr>
            <w:r>
              <w:rPr>
                <w:rFonts w:ascii="Arial" w:cs="Arial" w:eastAsia="Arial" w:hAnsi="Arial"/>
                <w:sz w:val="14"/>
                <w:szCs w:val="14"/>
                <w:color w:val="auto"/>
              </w:rPr>
              <w:t>(200 )</w:t>
            </w:r>
          </w:p>
        </w:tc>
        <w:tc>
          <w:tcPr>
            <w:tcW w:w="1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(200 )</w:t>
            </w:r>
          </w:p>
        </w:tc>
        <w:tc>
          <w:tcPr>
            <w:tcW w:w="0" w:type="dxa"/>
            <w:vAlign w:val="bottom"/>
          </w:tcPr>
          <w:p>
            <w:pPr>
              <w:spacing w:after="0"/>
              <w:rPr>
                <w:sz w:val="1"/>
                <w:szCs w:val="1"/>
                <w:color w:val="auto"/>
              </w:rPr>
            </w:pPr>
          </w:p>
        </w:tc>
      </w:tr>
      <w:tr>
        <w:trPr>
          <w:trHeight w:val="30"/>
        </w:trPr>
        <w:tc>
          <w:tcPr>
            <w:tcW w:w="27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8"/>
        </w:trPr>
        <w:tc>
          <w:tcPr>
            <w:tcW w:w="2700" w:type="dxa"/>
            <w:vAlign w:val="bottom"/>
          </w:tcPr>
          <w:p>
            <w:pPr>
              <w:ind w:left="20"/>
              <w:spacing w:after="0"/>
              <w:rPr>
                <w:sz w:val="20"/>
                <w:szCs w:val="20"/>
                <w:color w:val="auto"/>
              </w:rPr>
            </w:pPr>
            <w:r>
              <w:rPr>
                <w:rFonts w:ascii="Arial" w:cs="Arial" w:eastAsia="Arial" w:hAnsi="Arial"/>
                <w:sz w:val="14"/>
                <w:szCs w:val="14"/>
                <w:color w:val="auto"/>
              </w:rPr>
              <w:t>Balance at December 31, 2008</w:t>
            </w:r>
          </w:p>
        </w:tc>
        <w:tc>
          <w:tcPr>
            <w:tcW w:w="10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jc w:val="right"/>
              <w:ind w:right="51"/>
              <w:spacing w:after="0"/>
              <w:rPr>
                <w:sz w:val="20"/>
                <w:szCs w:val="20"/>
                <w:color w:val="auto"/>
              </w:rPr>
            </w:pPr>
            <w:r>
              <w:rPr>
                <w:rFonts w:ascii="Arial" w:cs="Arial" w:eastAsia="Arial" w:hAnsi="Arial"/>
                <w:sz w:val="14"/>
                <w:szCs w:val="14"/>
                <w:color w:val="auto"/>
              </w:rPr>
              <w:t>$ 22</w:t>
            </w:r>
          </w:p>
        </w:tc>
        <w:tc>
          <w:tcPr>
            <w:tcW w:w="860" w:type="dxa"/>
            <w:vAlign w:val="bottom"/>
          </w:tcPr>
          <w:p>
            <w:pPr>
              <w:jc w:val="right"/>
              <w:ind w:right="131"/>
              <w:spacing w:after="0"/>
              <w:rPr>
                <w:sz w:val="20"/>
                <w:szCs w:val="20"/>
                <w:color w:val="auto"/>
              </w:rPr>
            </w:pPr>
            <w:r>
              <w:rPr>
                <w:rFonts w:ascii="Arial" w:cs="Arial" w:eastAsia="Arial" w:hAnsi="Arial"/>
                <w:sz w:val="14"/>
                <w:szCs w:val="14"/>
                <w:color w:val="auto"/>
              </w:rPr>
              <w:t>$ 866</w:t>
            </w:r>
          </w:p>
        </w:tc>
        <w:tc>
          <w:tcPr>
            <w:tcW w:w="900" w:type="dxa"/>
            <w:vAlign w:val="bottom"/>
          </w:tcPr>
          <w:p>
            <w:pPr>
              <w:jc w:val="right"/>
              <w:ind w:right="129"/>
              <w:spacing w:after="0"/>
              <w:rPr>
                <w:sz w:val="20"/>
                <w:szCs w:val="20"/>
                <w:color w:val="auto"/>
              </w:rPr>
            </w:pPr>
            <w:r>
              <w:rPr>
                <w:rFonts w:ascii="Arial" w:cs="Arial" w:eastAsia="Arial" w:hAnsi="Arial"/>
                <w:sz w:val="14"/>
                <w:szCs w:val="14"/>
                <w:color w:val="auto"/>
              </w:rPr>
              <w:t>$ 630</w:t>
            </w:r>
          </w:p>
        </w:tc>
        <w:tc>
          <w:tcPr>
            <w:tcW w:w="1200" w:type="dxa"/>
            <w:vAlign w:val="bottom"/>
          </w:tcPr>
          <w:p>
            <w:pPr>
              <w:jc w:val="right"/>
              <w:ind w:right="50"/>
              <w:spacing w:after="0"/>
              <w:rPr>
                <w:sz w:val="20"/>
                <w:szCs w:val="20"/>
                <w:color w:val="auto"/>
              </w:rPr>
            </w:pPr>
            <w:r>
              <w:rPr>
                <w:rFonts w:ascii="Arial" w:cs="Arial" w:eastAsia="Arial" w:hAnsi="Arial"/>
                <w:sz w:val="14"/>
                <w:szCs w:val="14"/>
                <w:color w:val="auto"/>
              </w:rPr>
              <w:t>$ (28 )</w:t>
            </w:r>
          </w:p>
        </w:tc>
        <w:tc>
          <w:tcPr>
            <w:tcW w:w="1020" w:type="dxa"/>
            <w:vAlign w:val="bottom"/>
          </w:tcPr>
          <w:p>
            <w:pPr>
              <w:jc w:val="right"/>
              <w:ind w:right="69"/>
              <w:spacing w:after="0"/>
              <w:rPr>
                <w:sz w:val="20"/>
                <w:szCs w:val="20"/>
                <w:color w:val="auto"/>
              </w:rPr>
            </w:pPr>
            <w:r>
              <w:rPr>
                <w:rFonts w:ascii="Arial" w:cs="Arial" w:eastAsia="Arial" w:hAnsi="Arial"/>
                <w:sz w:val="14"/>
                <w:szCs w:val="14"/>
                <w:color w:val="auto"/>
              </w:rPr>
              <w:t>$ 1,490</w:t>
            </w:r>
          </w:p>
        </w:tc>
        <w:tc>
          <w:tcPr>
            <w:tcW w:w="0" w:type="dxa"/>
            <w:vAlign w:val="bottom"/>
          </w:tcPr>
          <w:p>
            <w:pPr>
              <w:spacing w:after="0"/>
              <w:rPr>
                <w:sz w:val="1"/>
                <w:szCs w:val="1"/>
                <w:color w:val="auto"/>
              </w:rPr>
            </w:pPr>
          </w:p>
        </w:tc>
      </w:tr>
      <w:tr>
        <w:trPr>
          <w:trHeight w:val="46"/>
        </w:trPr>
        <w:tc>
          <w:tcPr>
            <w:tcW w:w="270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44" w:lineRule="exact"/>
        <w:rPr>
          <w:sz w:val="20"/>
          <w:szCs w:val="20"/>
          <w:color w:val="auto"/>
        </w:rPr>
      </w:pPr>
    </w:p>
    <w:p>
      <w:pPr>
        <w:ind w:left="1340"/>
        <w:spacing w:after="0"/>
        <w:rPr>
          <w:sz w:val="20"/>
          <w:szCs w:val="20"/>
          <w:color w:val="auto"/>
        </w:rPr>
      </w:pPr>
      <w:r>
        <w:rPr>
          <w:rFonts w:ascii="Arial" w:cs="Arial" w:eastAsia="Arial" w:hAnsi="Arial"/>
          <w:sz w:val="13"/>
          <w:szCs w:val="13"/>
          <w:i w:val="1"/>
          <w:iCs w:val="1"/>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4"/>
          <w:szCs w:val="14"/>
          <w:color w:val="auto"/>
        </w:rPr>
        <w:t>92</w:t>
      </w:r>
    </w:p>
    <w:p>
      <w:pPr>
        <w:sectPr>
          <w:pgSz w:w="11900" w:h="16838" w:orient="portrait"/>
          <w:cols w:equalWidth="0" w:num="1">
            <w:col w:w="10219"/>
          </w:cols>
          <w:pgMar w:left="240" w:top="364" w:right="1440" w:bottom="1440" w:gutter="0" w:footer="0" w:header="0"/>
        </w:sectPr>
      </w:pPr>
    </w:p>
    <w:bookmarkStart w:id="232" w:name="page233"/>
    <w:bookmarkEnd w:id="232"/>
    <w:p>
      <w:pPr>
        <w:ind w:left="4"/>
        <w:spacing w:after="0"/>
        <w:rPr>
          <w:sz w:val="20"/>
          <w:szCs w:val="20"/>
          <w:color w:val="auto"/>
        </w:rPr>
      </w:pPr>
      <w:r>
        <w:rPr>
          <w:rFonts w:ascii="Arial" w:cs="Arial" w:eastAsia="Arial" w:hAnsi="Arial"/>
          <w:sz w:val="21"/>
          <w:szCs w:val="21"/>
          <w:color w:val="auto"/>
        </w:rPr>
        <w:t>SEMPRA ENERGY AND SUBSIDIARIES</w:t>
      </w:r>
    </w:p>
    <w:p>
      <w:pPr>
        <w:ind w:left="4"/>
        <w:spacing w:after="0"/>
        <w:rPr>
          <w:sz w:val="20"/>
          <w:szCs w:val="20"/>
          <w:color w:val="auto"/>
        </w:rPr>
      </w:pPr>
      <w:r>
        <w:rPr>
          <w:rFonts w:ascii="Arial" w:cs="Arial" w:eastAsia="Arial" w:hAnsi="Arial"/>
          <w:sz w:val="21"/>
          <w:szCs w:val="2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255905</wp:posOffset>
            </wp:positionV>
            <wp:extent cx="7261860" cy="762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pacing w:after="0" w:line="200" w:lineRule="exact"/>
        <w:rPr>
          <w:sz w:val="20"/>
          <w:szCs w:val="20"/>
          <w:color w:val="auto"/>
        </w:rPr>
      </w:pPr>
    </w:p>
    <w:p>
      <w:pPr>
        <w:spacing w:after="0" w:line="240" w:lineRule="exact"/>
        <w:rPr>
          <w:sz w:val="20"/>
          <w:szCs w:val="20"/>
          <w:color w:val="auto"/>
        </w:rPr>
      </w:pPr>
    </w:p>
    <w:p>
      <w:pPr>
        <w:ind w:left="4"/>
        <w:spacing w:after="0"/>
        <w:rPr>
          <w:sz w:val="20"/>
          <w:szCs w:val="20"/>
          <w:color w:val="auto"/>
        </w:rPr>
      </w:pPr>
      <w:r>
        <w:rPr>
          <w:rFonts w:ascii="Arial" w:cs="Arial" w:eastAsia="Arial" w:hAnsi="Arial"/>
          <w:sz w:val="18"/>
          <w:szCs w:val="18"/>
          <w:color w:val="auto"/>
        </w:rPr>
        <w:t>NOTE 1. SIGNIFICANT ACCOUNTING POLICIES AND OTHER FINANCIAL DATA</w:t>
      </w:r>
    </w:p>
    <w:p>
      <w:pPr>
        <w:spacing w:after="0" w:line="244"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auto"/>
        </w:rPr>
        <w:t>PRINCIPLES OF CONSOLIDATION</w:t>
      </w:r>
    </w:p>
    <w:p>
      <w:pPr>
        <w:spacing w:after="0" w:line="182" w:lineRule="exact"/>
        <w:rPr>
          <w:sz w:val="20"/>
          <w:szCs w:val="20"/>
          <w:color w:val="auto"/>
        </w:rPr>
      </w:pPr>
    </w:p>
    <w:p>
      <w:pPr>
        <w:ind w:left="4"/>
        <w:spacing w:after="0"/>
        <w:rPr>
          <w:sz w:val="20"/>
          <w:szCs w:val="20"/>
          <w:color w:val="auto"/>
        </w:rPr>
      </w:pPr>
      <w:r>
        <w:rPr>
          <w:rFonts w:ascii="Arial" w:cs="Arial" w:eastAsia="Arial" w:hAnsi="Arial"/>
          <w:sz w:val="18"/>
          <w:szCs w:val="18"/>
          <w:b w:val="1"/>
          <w:bCs w:val="1"/>
          <w:i w:val="1"/>
          <w:iCs w:val="1"/>
          <w:color w:val="auto"/>
        </w:rPr>
        <w:t>Sempra Energy</w:t>
      </w:r>
    </w:p>
    <w:p>
      <w:pPr>
        <w:spacing w:after="0" w:line="23" w:lineRule="exact"/>
        <w:rPr>
          <w:sz w:val="20"/>
          <w:szCs w:val="20"/>
          <w:color w:val="auto"/>
        </w:rPr>
      </w:pPr>
    </w:p>
    <w:p>
      <w:pPr>
        <w:ind w:left="4" w:right="20"/>
        <w:spacing w:after="0" w:line="274" w:lineRule="auto"/>
        <w:rPr>
          <w:sz w:val="20"/>
          <w:szCs w:val="20"/>
          <w:color w:val="auto"/>
        </w:rPr>
      </w:pPr>
      <w:r>
        <w:rPr>
          <w:rFonts w:ascii="Arial" w:cs="Arial" w:eastAsia="Arial" w:hAnsi="Arial"/>
          <w:sz w:val="16"/>
          <w:szCs w:val="16"/>
          <w:color w:val="auto"/>
        </w:rPr>
        <w:t>Sempra Energy's Consolidated Financial Statements include the accounts of Sempra Energy, a California-based Fortune 500 holding company, its consolidated subsidiaries, and a variable interest entity. Sempra Energy’s principal subsidiaries are the following:</w:t>
      </w:r>
    </w:p>
    <w:p>
      <w:pPr>
        <w:ind w:left="144" w:hanging="144"/>
        <w:spacing w:after="0"/>
        <w:tabs>
          <w:tab w:leader="none" w:pos="144" w:val="left"/>
        </w:tabs>
        <w:numPr>
          <w:ilvl w:val="0"/>
          <w:numId w:val="307"/>
        </w:numPr>
        <w:rPr>
          <w:rFonts w:ascii="Arial" w:cs="Arial" w:eastAsia="Arial" w:hAnsi="Arial"/>
          <w:sz w:val="16"/>
          <w:szCs w:val="16"/>
          <w:color w:val="auto"/>
        </w:rPr>
      </w:pPr>
      <w:r>
        <w:rPr>
          <w:rFonts w:ascii="Arial" w:cs="Arial" w:eastAsia="Arial" w:hAnsi="Arial"/>
          <w:sz w:val="16"/>
          <w:szCs w:val="16"/>
          <w:color w:val="auto"/>
        </w:rPr>
        <w:t>San Diego Gas &amp; Electric Company (SDG&amp;E) and Southern California Gas Company (SoCalGas), which we collectively refer to as the Sempra Utilities; and</w:t>
      </w:r>
    </w:p>
    <w:p>
      <w:pPr>
        <w:spacing w:after="0" w:line="44" w:lineRule="exact"/>
        <w:rPr>
          <w:rFonts w:ascii="Arial" w:cs="Arial" w:eastAsia="Arial" w:hAnsi="Arial"/>
          <w:sz w:val="16"/>
          <w:szCs w:val="16"/>
          <w:color w:val="auto"/>
        </w:rPr>
      </w:pPr>
    </w:p>
    <w:p>
      <w:pPr>
        <w:ind w:left="144" w:right="1320" w:hanging="144"/>
        <w:spacing w:after="0" w:line="277" w:lineRule="auto"/>
        <w:tabs>
          <w:tab w:leader="none" w:pos="144" w:val="left"/>
        </w:tabs>
        <w:numPr>
          <w:ilvl w:val="0"/>
          <w:numId w:val="307"/>
        </w:numPr>
        <w:rPr>
          <w:rFonts w:ascii="Arial" w:cs="Arial" w:eastAsia="Arial" w:hAnsi="Arial"/>
          <w:sz w:val="16"/>
          <w:szCs w:val="16"/>
          <w:color w:val="auto"/>
        </w:rPr>
      </w:pPr>
      <w:r>
        <w:rPr>
          <w:rFonts w:ascii="Arial" w:cs="Arial" w:eastAsia="Arial" w:hAnsi="Arial"/>
          <w:sz w:val="16"/>
          <w:szCs w:val="16"/>
          <w:color w:val="auto"/>
        </w:rPr>
        <w:t>Sempra Global, which is the holding company for Sempra Commodities, Sempra Generation, Sempra Pipelines &amp; Storage, Sempra LNG and other, smaller businesses.</w:t>
      </w:r>
    </w:p>
    <w:p>
      <w:pPr>
        <w:spacing w:after="0" w:line="80" w:lineRule="exact"/>
        <w:rPr>
          <w:sz w:val="20"/>
          <w:szCs w:val="20"/>
          <w:color w:val="auto"/>
        </w:rPr>
      </w:pPr>
    </w:p>
    <w:p>
      <w:pPr>
        <w:ind w:left="4" w:right="280"/>
        <w:spacing w:after="0" w:line="277" w:lineRule="auto"/>
        <w:rPr>
          <w:sz w:val="20"/>
          <w:szCs w:val="20"/>
          <w:color w:val="auto"/>
        </w:rPr>
      </w:pPr>
      <w:r>
        <w:rPr>
          <w:rFonts w:ascii="Arial" w:cs="Arial" w:eastAsia="Arial" w:hAnsi="Arial"/>
          <w:sz w:val="16"/>
          <w:szCs w:val="16"/>
          <w:color w:val="auto"/>
        </w:rPr>
        <w:t>Sempra Energy uses the equity method to account for investments in affiliated companies over which we have the ability to exercise significant influence, but not control. We discuss our investments in unconsolidated subsidiaries in Notes 3 and 4.</w:t>
      </w:r>
    </w:p>
    <w:p>
      <w:pPr>
        <w:spacing w:after="0" w:line="126" w:lineRule="exact"/>
        <w:rPr>
          <w:sz w:val="20"/>
          <w:szCs w:val="20"/>
          <w:color w:val="auto"/>
        </w:rPr>
      </w:pPr>
    </w:p>
    <w:p>
      <w:pPr>
        <w:ind w:left="4"/>
        <w:spacing w:after="0"/>
        <w:rPr>
          <w:sz w:val="20"/>
          <w:szCs w:val="20"/>
          <w:color w:val="auto"/>
        </w:rPr>
      </w:pPr>
      <w:r>
        <w:rPr>
          <w:rFonts w:ascii="Arial" w:cs="Arial" w:eastAsia="Arial" w:hAnsi="Arial"/>
          <w:sz w:val="18"/>
          <w:szCs w:val="18"/>
          <w:b w:val="1"/>
          <w:bCs w:val="1"/>
          <w:i w:val="1"/>
          <w:iCs w:val="1"/>
          <w:color w:val="auto"/>
        </w:rPr>
        <w:t>SDG&amp;E</w:t>
      </w:r>
    </w:p>
    <w:p>
      <w:pPr>
        <w:spacing w:after="0" w:line="23" w:lineRule="exact"/>
        <w:rPr>
          <w:sz w:val="20"/>
          <w:szCs w:val="20"/>
          <w:color w:val="auto"/>
        </w:rPr>
      </w:pPr>
    </w:p>
    <w:p>
      <w:pPr>
        <w:jc w:val="both"/>
        <w:ind w:left="4" w:right="20"/>
        <w:spacing w:after="0" w:line="259" w:lineRule="auto"/>
        <w:rPr>
          <w:sz w:val="20"/>
          <w:szCs w:val="20"/>
          <w:color w:val="auto"/>
        </w:rPr>
      </w:pPr>
      <w:r>
        <w:rPr>
          <w:rFonts w:ascii="Arial" w:cs="Arial" w:eastAsia="Arial" w:hAnsi="Arial"/>
          <w:sz w:val="16"/>
          <w:szCs w:val="16"/>
          <w:color w:val="auto"/>
        </w:rPr>
        <w:t>SDG&amp;E's Consolidated Financial Statements include its accounts, the accounts of its sole subsidiary, SDG&amp;E Funding LLC, and the accounts of Otay Mesa Energy Center LLC (Otay Mesa VIE), a variable interest entity of which SDG&amp;E is the primary beneficiary, as discussed below under "Variable Interest Entities." SDG&amp;E’s common stock is wholly owned by Enova Corporation, which is a wholly owned subsidiary of Sempra Energy. The activities of SDG&amp;E Funding LLC were substantially complete in 2007, and the entity was dissolved in 2008.</w:t>
      </w:r>
    </w:p>
    <w:p>
      <w:pPr>
        <w:spacing w:after="0" w:line="141" w:lineRule="exact"/>
        <w:rPr>
          <w:sz w:val="20"/>
          <w:szCs w:val="20"/>
          <w:color w:val="auto"/>
        </w:rPr>
      </w:pPr>
    </w:p>
    <w:p>
      <w:pPr>
        <w:ind w:left="4"/>
        <w:spacing w:after="0"/>
        <w:rPr>
          <w:sz w:val="20"/>
          <w:szCs w:val="20"/>
          <w:color w:val="auto"/>
        </w:rPr>
      </w:pPr>
      <w:r>
        <w:rPr>
          <w:rFonts w:ascii="Arial" w:cs="Arial" w:eastAsia="Arial" w:hAnsi="Arial"/>
          <w:sz w:val="18"/>
          <w:szCs w:val="18"/>
          <w:b w:val="1"/>
          <w:bCs w:val="1"/>
          <w:i w:val="1"/>
          <w:iCs w:val="1"/>
          <w:color w:val="auto"/>
        </w:rPr>
        <w:t>Pacific Enterprises and SoCalGas</w:t>
      </w:r>
    </w:p>
    <w:p>
      <w:pPr>
        <w:spacing w:after="0" w:line="23" w:lineRule="exact"/>
        <w:rPr>
          <w:sz w:val="20"/>
          <w:szCs w:val="20"/>
          <w:color w:val="auto"/>
        </w:rPr>
      </w:pPr>
    </w:p>
    <w:p>
      <w:pPr>
        <w:jc w:val="both"/>
        <w:ind w:left="4" w:right="140"/>
        <w:spacing w:after="0" w:line="264" w:lineRule="auto"/>
        <w:rPr>
          <w:sz w:val="20"/>
          <w:szCs w:val="20"/>
          <w:color w:val="auto"/>
        </w:rPr>
      </w:pPr>
      <w:r>
        <w:rPr>
          <w:rFonts w:ascii="Arial" w:cs="Arial" w:eastAsia="Arial" w:hAnsi="Arial"/>
          <w:sz w:val="16"/>
          <w:szCs w:val="16"/>
          <w:color w:val="auto"/>
        </w:rPr>
        <w:t>The Consolidated Financial Statements of Pacific Enterprises include the accounts of Pacific Enterprises (PE) and its subsidiary, SoCalGas. Sempra Energy wholly owns PE’s common stock and PE owns all of SoCalGas’ common stock. SoCalGas’ Consolidated Financial Statements include its subsidiaries, which comprise less than one percent of its consolidated financial position and results of operations.</w:t>
      </w:r>
    </w:p>
    <w:p>
      <w:pPr>
        <w:spacing w:after="0" w:line="42" w:lineRule="exact"/>
        <w:rPr>
          <w:sz w:val="20"/>
          <w:szCs w:val="20"/>
          <w:color w:val="auto"/>
        </w:rPr>
      </w:pPr>
    </w:p>
    <w:p>
      <w:pPr>
        <w:ind w:left="4"/>
        <w:spacing w:after="0"/>
        <w:rPr>
          <w:sz w:val="20"/>
          <w:szCs w:val="20"/>
          <w:color w:val="auto"/>
        </w:rPr>
      </w:pPr>
      <w:r>
        <w:rPr>
          <w:rFonts w:ascii="Arial" w:cs="Arial" w:eastAsia="Arial" w:hAnsi="Arial"/>
          <w:sz w:val="14"/>
          <w:szCs w:val="14"/>
          <w:color w:val="auto"/>
        </w:rPr>
        <w:t>PE's operations consist solely of those of SoCalGas and additional items (e.g., cash, intercompany accounts and equity) attributable to being a holding company for SoCalGas.</w:t>
      </w:r>
    </w:p>
    <w:p>
      <w:pPr>
        <w:spacing w:after="0" w:line="299"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auto"/>
        </w:rPr>
        <w:t>BASIS OF PRESENTATION</w:t>
      </w:r>
    </w:p>
    <w:p>
      <w:pPr>
        <w:spacing w:after="0" w:line="89" w:lineRule="exact"/>
        <w:rPr>
          <w:sz w:val="20"/>
          <w:szCs w:val="20"/>
          <w:color w:val="auto"/>
        </w:rPr>
      </w:pPr>
    </w:p>
    <w:p>
      <w:pPr>
        <w:jc w:val="both"/>
        <w:ind w:left="4"/>
        <w:spacing w:after="0" w:line="319" w:lineRule="auto"/>
        <w:rPr>
          <w:sz w:val="20"/>
          <w:szCs w:val="20"/>
          <w:color w:val="auto"/>
        </w:rPr>
      </w:pPr>
      <w:r>
        <w:rPr>
          <w:rFonts w:ascii="Arial" w:cs="Arial" w:eastAsia="Arial" w:hAnsi="Arial"/>
          <w:sz w:val="14"/>
          <w:szCs w:val="14"/>
          <w:color w:val="auto"/>
        </w:rPr>
        <w:t>This is a combined report of Sempra Energy, SDG&amp;E, PE and SoCalGas. We provide separate information for SDG&amp;E, PE and SoCalGas as required. When only information for SoCalGas is provided, it is the same for PE. References in this report to "we," "our" and "Sempra Energy Consolidated" are to Sempra Energy and its consolidated entities, unless otherwise indicated by the context. We have eliminated intercompany accounts and transactions within each set of consolidated financial statements.</w:t>
      </w:r>
    </w:p>
    <w:p>
      <w:pPr>
        <w:spacing w:after="0" w:line="203"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auto"/>
        </w:rPr>
        <w:t>QUASI-REORGANIZATION</w:t>
      </w:r>
    </w:p>
    <w:p>
      <w:pPr>
        <w:spacing w:after="0" w:line="89" w:lineRule="exact"/>
        <w:rPr>
          <w:sz w:val="20"/>
          <w:szCs w:val="20"/>
          <w:color w:val="auto"/>
        </w:rPr>
      </w:pPr>
    </w:p>
    <w:p>
      <w:pPr>
        <w:ind w:left="4" w:right="320"/>
        <w:spacing w:after="0" w:line="264" w:lineRule="auto"/>
        <w:rPr>
          <w:sz w:val="20"/>
          <w:szCs w:val="20"/>
          <w:color w:val="auto"/>
        </w:rPr>
      </w:pPr>
      <w:r>
        <w:rPr>
          <w:rFonts w:ascii="Arial" w:cs="Arial" w:eastAsia="Arial" w:hAnsi="Arial"/>
          <w:sz w:val="16"/>
          <w:szCs w:val="16"/>
          <w:color w:val="auto"/>
        </w:rPr>
        <w:t>In 1993, PE effected a quasi-reorganization for financial reporting purposes as of December 31, 1992. A quasi-reorganization permits a company, for accounting purposes, to adjust its financial statements and proceed on much the same basis as if it had been legally reorganized. In 2006, PE favorably resolved certain liabilities established in connection with the quasi-reorganization, resulting in increases in common equity. Also in 2006, we reported cash</w:t>
      </w:r>
    </w:p>
    <w:p>
      <w:pPr>
        <w:spacing w:after="0" w:line="200" w:lineRule="exact"/>
        <w:rPr>
          <w:sz w:val="20"/>
          <w:szCs w:val="20"/>
          <w:color w:val="auto"/>
        </w:rPr>
      </w:pPr>
    </w:p>
    <w:p>
      <w:pPr>
        <w:spacing w:after="0" w:line="302" w:lineRule="exact"/>
        <w:rPr>
          <w:sz w:val="20"/>
          <w:szCs w:val="20"/>
          <w:color w:val="auto"/>
        </w:rPr>
      </w:pPr>
    </w:p>
    <w:p>
      <w:pPr>
        <w:ind w:left="4"/>
        <w:spacing w:after="0"/>
        <w:rPr>
          <w:sz w:val="20"/>
          <w:szCs w:val="20"/>
          <w:color w:val="auto"/>
        </w:rPr>
      </w:pPr>
      <w:r>
        <w:rPr>
          <w:rFonts w:ascii="Arial" w:cs="Arial" w:eastAsia="Arial" w:hAnsi="Arial"/>
          <w:sz w:val="14"/>
          <w:szCs w:val="14"/>
          <w:color w:val="auto"/>
        </w:rPr>
        <w:t>93</w:t>
      </w:r>
    </w:p>
    <w:p>
      <w:pPr>
        <w:sectPr>
          <w:pgSz w:w="11900" w:h="16838" w:orient="portrait"/>
          <w:cols w:equalWidth="0" w:num="1">
            <w:col w:w="11424"/>
          </w:cols>
          <w:pgMar w:left="236" w:top="143" w:right="239" w:bottom="1440" w:gutter="0" w:footer="0" w:header="0"/>
        </w:sectPr>
      </w:pPr>
    </w:p>
    <w:bookmarkStart w:id="233" w:name="page234"/>
    <w:bookmarkEnd w:id="233"/>
    <w:p>
      <w:pPr>
        <w:ind w:right="60"/>
        <w:spacing w:after="0" w:line="264" w:lineRule="auto"/>
        <w:rPr>
          <w:sz w:val="20"/>
          <w:szCs w:val="20"/>
          <w:color w:val="auto"/>
        </w:rPr>
      </w:pPr>
      <w:r>
        <w:rPr>
          <w:rFonts w:ascii="Arial" w:cs="Arial" w:eastAsia="Arial" w:hAnsi="Arial"/>
          <w:sz w:val="16"/>
          <w:szCs w:val="16"/>
          <w:color w:val="auto"/>
        </w:rPr>
        <w:t>received in 2006 from the resolution of an insurance claim related to quasi-reorganization issues in Quasi-Reorganization Resolution on the Statements of Consolidated Cash Flows. In 2007, an adjustment to the liabilities resulted in a decrease to equity. The remaining liabilities of $11 million will be resolved in future years. We believe the provisions established for these matters are adequate.</w:t>
      </w:r>
    </w:p>
    <w:p>
      <w:pPr>
        <w:spacing w:after="0" w:line="23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USE OF ESTIMATES IN THE PREPARATION OF THE FINANCIAL STATEMENTS</w:t>
      </w:r>
    </w:p>
    <w:p>
      <w:pPr>
        <w:spacing w:after="0" w:line="89" w:lineRule="exact"/>
        <w:rPr>
          <w:sz w:val="20"/>
          <w:szCs w:val="20"/>
          <w:color w:val="auto"/>
        </w:rPr>
      </w:pPr>
    </w:p>
    <w:p>
      <w:pPr>
        <w:spacing w:after="0" w:line="319" w:lineRule="auto"/>
        <w:rPr>
          <w:sz w:val="20"/>
          <w:szCs w:val="20"/>
          <w:color w:val="auto"/>
        </w:rPr>
      </w:pPr>
      <w:r>
        <w:rPr>
          <w:rFonts w:ascii="Arial" w:cs="Arial" w:eastAsia="Arial" w:hAnsi="Arial"/>
          <w:sz w:val="14"/>
          <w:szCs w:val="14"/>
          <w:color w:val="auto"/>
        </w:rPr>
        <w:t>We prepare our financial statements in conformity with accounting principles generally accepted in the United States of America (GAAP). This requires us to make estimates and assumptions that affect the amounts reported in the financial statements and accompanying notes, including the disclosure of contingent assets and liabilities at the date of the financial statements. Although we believe the estimates and assumptions are reasonable, actual amounts ultimately may differ significantly from those estimates.</w:t>
      </w:r>
    </w:p>
    <w:p>
      <w:pPr>
        <w:spacing w:after="0" w:line="20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REGULATORY MATTERS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Effects of Regulation</w:t>
      </w:r>
    </w:p>
    <w:p>
      <w:pPr>
        <w:spacing w:after="0" w:line="23" w:lineRule="exact"/>
        <w:rPr>
          <w:sz w:val="20"/>
          <w:szCs w:val="20"/>
          <w:color w:val="auto"/>
        </w:rPr>
      </w:pPr>
    </w:p>
    <w:p>
      <w:pPr>
        <w:ind w:right="480"/>
        <w:spacing w:after="0" w:line="277" w:lineRule="auto"/>
        <w:rPr>
          <w:sz w:val="20"/>
          <w:szCs w:val="20"/>
          <w:color w:val="auto"/>
        </w:rPr>
      </w:pPr>
      <w:r>
        <w:rPr>
          <w:rFonts w:ascii="Arial" w:cs="Arial" w:eastAsia="Arial" w:hAnsi="Arial"/>
          <w:sz w:val="16"/>
          <w:szCs w:val="16"/>
          <w:color w:val="auto"/>
        </w:rPr>
        <w:t>The accounting policies of our principal regulated utility subsidiaries, SDG&amp;E and SoCalGas, conform with GAAP for regulated enterprises and reflect the policies of the California Public Utilities Commission (CPUC) and the Federal Energy Regulatory Commission (FERC).</w:t>
      </w:r>
    </w:p>
    <w:p>
      <w:pPr>
        <w:spacing w:after="0" w:line="32" w:lineRule="exact"/>
        <w:rPr>
          <w:sz w:val="20"/>
          <w:szCs w:val="20"/>
          <w:color w:val="auto"/>
        </w:rPr>
      </w:pPr>
    </w:p>
    <w:p>
      <w:pPr>
        <w:ind w:right="40"/>
        <w:spacing w:after="0" w:line="278" w:lineRule="auto"/>
        <w:rPr>
          <w:sz w:val="20"/>
          <w:szCs w:val="20"/>
          <w:color w:val="auto"/>
        </w:rPr>
      </w:pPr>
      <w:r>
        <w:rPr>
          <w:rFonts w:ascii="Arial" w:cs="Arial" w:eastAsia="Arial" w:hAnsi="Arial"/>
          <w:sz w:val="15"/>
          <w:szCs w:val="15"/>
          <w:color w:val="auto"/>
        </w:rPr>
        <w:t>The Sempra Utilities prepare their financial statements in accordance with the provisions of Statement of Financial Accounting Standards (SFAS) 71</w:t>
      </w:r>
      <w:r>
        <w:rPr>
          <w:rFonts w:ascii="Arial" w:cs="Arial" w:eastAsia="Arial" w:hAnsi="Arial"/>
          <w:sz w:val="15"/>
          <w:szCs w:val="15"/>
          <w:i w:val="1"/>
          <w:iCs w:val="1"/>
          <w:color w:val="auto"/>
        </w:rPr>
        <w:t>, Accounting for the Effects</w:t>
      </w:r>
      <w:r>
        <w:rPr>
          <w:rFonts w:ascii="Arial" w:cs="Arial" w:eastAsia="Arial" w:hAnsi="Arial"/>
          <w:sz w:val="15"/>
          <w:szCs w:val="15"/>
          <w:color w:val="auto"/>
        </w:rPr>
        <w:t xml:space="preserve"> </w:t>
      </w:r>
      <w:r>
        <w:rPr>
          <w:rFonts w:ascii="Arial" w:cs="Arial" w:eastAsia="Arial" w:hAnsi="Arial"/>
          <w:sz w:val="15"/>
          <w:szCs w:val="15"/>
          <w:i w:val="1"/>
          <w:iCs w:val="1"/>
          <w:color w:val="auto"/>
        </w:rPr>
        <w:t xml:space="preserve">of Certain Types of Regulation </w:t>
      </w:r>
      <w:r>
        <w:rPr>
          <w:rFonts w:ascii="Arial" w:cs="Arial" w:eastAsia="Arial" w:hAnsi="Arial"/>
          <w:sz w:val="15"/>
          <w:szCs w:val="15"/>
          <w:color w:val="auto"/>
        </w:rPr>
        <w:t>(SFAS 71). Under SFAS 71, a regulated utility records a regulatory asset if it is probable that, through the ratemaking process, the utility will</w:t>
      </w:r>
      <w:r>
        <w:rPr>
          <w:rFonts w:ascii="Arial" w:cs="Arial" w:eastAsia="Arial" w:hAnsi="Arial"/>
          <w:sz w:val="15"/>
          <w:szCs w:val="15"/>
          <w:i w:val="1"/>
          <w:iCs w:val="1"/>
          <w:color w:val="auto"/>
        </w:rPr>
        <w:t xml:space="preserve"> </w:t>
      </w:r>
      <w:r>
        <w:rPr>
          <w:rFonts w:ascii="Arial" w:cs="Arial" w:eastAsia="Arial" w:hAnsi="Arial"/>
          <w:sz w:val="15"/>
          <w:szCs w:val="15"/>
          <w:color w:val="auto"/>
        </w:rPr>
        <w:t>recover that asset from customers. To the extent that recovery is no longer probable as a result of changes in regulation or the utility's competitive position, the related regulatory assets are written off. Regulatory liabilities represent amounts collected from customers in advance of the actual expenditure by the utility. If the actual expenditures are less than amounts previously collected from ratepayers, the excess would be refunded to customers, generally by reducing future rates.</w:t>
      </w:r>
    </w:p>
    <w:p>
      <w:pPr>
        <w:spacing w:after="0" w:line="34" w:lineRule="exact"/>
        <w:rPr>
          <w:sz w:val="20"/>
          <w:szCs w:val="20"/>
          <w:color w:val="auto"/>
        </w:rPr>
      </w:pPr>
    </w:p>
    <w:p>
      <w:pPr>
        <w:ind w:right="460"/>
        <w:spacing w:after="0" w:line="277" w:lineRule="auto"/>
        <w:rPr>
          <w:sz w:val="20"/>
          <w:szCs w:val="20"/>
          <w:color w:val="auto"/>
        </w:rPr>
      </w:pPr>
      <w:r>
        <w:rPr>
          <w:rFonts w:ascii="Arial" w:cs="Arial" w:eastAsia="Arial" w:hAnsi="Arial"/>
          <w:sz w:val="16"/>
          <w:szCs w:val="16"/>
          <w:color w:val="auto"/>
        </w:rPr>
        <w:t>Mobile Gas Service Corporation (Mobile Gas), a subsidiary of Sempra Pipelines &amp; Storage acquired in October 2008, is a small regulated natural gas distribution utility in Southwest Alabama. It also applies SFAS 71 to its operations.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We provide information concerning regulatory assets and liabilities below in "Regulatory Balancing Accounts" and "Regulatory Assets and Liabilities."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Regulatory Balancing Accounts</w:t>
      </w:r>
    </w:p>
    <w:p>
      <w:pPr>
        <w:spacing w:after="0" w:line="23" w:lineRule="exact"/>
        <w:rPr>
          <w:sz w:val="20"/>
          <w:szCs w:val="20"/>
          <w:color w:val="auto"/>
        </w:rPr>
      </w:pPr>
    </w:p>
    <w:p>
      <w:pPr>
        <w:ind w:right="320"/>
        <w:spacing w:after="0" w:line="277" w:lineRule="auto"/>
        <w:rPr>
          <w:sz w:val="20"/>
          <w:szCs w:val="20"/>
          <w:color w:val="auto"/>
        </w:rPr>
      </w:pPr>
      <w:r>
        <w:rPr>
          <w:rFonts w:ascii="Arial" w:cs="Arial" w:eastAsia="Arial" w:hAnsi="Arial"/>
          <w:sz w:val="16"/>
          <w:szCs w:val="16"/>
          <w:color w:val="auto"/>
        </w:rPr>
        <w:t>The following table summarizes our regulatory balancing accounts at December 31. The net payables (payables net of receivables) will be returned to customers by reducing future rates.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1423670</wp:posOffset>
            </wp:positionH>
            <wp:positionV relativeFrom="paragraph">
              <wp:posOffset>226695</wp:posOffset>
            </wp:positionV>
            <wp:extent cx="4408805" cy="24384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4408805" cy="243840"/>
                    </a:xfrm>
                    <a:prstGeom prst="rect">
                      <a:avLst/>
                    </a:prstGeom>
                    <a:noFill/>
                  </pic:spPr>
                </pic:pic>
              </a:graphicData>
            </a:graphic>
          </wp:anchor>
        </w:drawing>
      </w:r>
    </w:p>
    <w:p>
      <w:pPr>
        <w:spacing w:after="0" w:line="344" w:lineRule="exact"/>
        <w:rPr>
          <w:sz w:val="20"/>
          <w:szCs w:val="20"/>
          <w:color w:val="auto"/>
        </w:rPr>
      </w:pPr>
    </w:p>
    <w:p>
      <w:pPr>
        <w:ind w:left="2260"/>
        <w:spacing w:after="0"/>
        <w:rPr>
          <w:sz w:val="20"/>
          <w:szCs w:val="20"/>
          <w:color w:val="auto"/>
        </w:rPr>
      </w:pPr>
      <w:r>
        <w:rPr>
          <w:rFonts w:ascii="Arial" w:cs="Arial" w:eastAsia="Arial" w:hAnsi="Arial"/>
          <w:sz w:val="14"/>
          <w:szCs w:val="14"/>
          <w:b w:val="1"/>
          <w:bCs w:val="1"/>
          <w:color w:val="auto"/>
        </w:rPr>
        <w:t>SUMMARY OF REGULATORY BALANCING ACCOUNTS AT DECEMBER 31</w:t>
      </w:r>
    </w:p>
    <w:p>
      <w:pPr>
        <w:spacing w:after="0" w:line="40" w:lineRule="exact"/>
        <w:rPr>
          <w:sz w:val="20"/>
          <w:szCs w:val="20"/>
          <w:color w:val="auto"/>
        </w:rPr>
      </w:pPr>
    </w:p>
    <w:tbl>
      <w:tblPr>
        <w:tblLayout w:type="fixed"/>
        <w:tblInd w:w="2240" w:type="dxa"/>
        <w:tblCellMar>
          <w:top w:w="0" w:type="dxa"/>
          <w:left w:w="0" w:type="dxa"/>
          <w:bottom w:w="0" w:type="dxa"/>
          <w:right w:w="0" w:type="dxa"/>
        </w:tblCellMar>
      </w:tblPr>
      <w:tr>
        <w:trPr>
          <w:trHeight w:val="166"/>
        </w:trPr>
        <w:tc>
          <w:tcPr>
            <w:tcW w:w="1760" w:type="dxa"/>
            <w:vAlign w:val="bottom"/>
          </w:tcPr>
          <w:p>
            <w:pPr>
              <w:ind w:left="20"/>
              <w:spacing w:after="0"/>
              <w:rPr>
                <w:sz w:val="20"/>
                <w:szCs w:val="20"/>
                <w:color w:val="auto"/>
              </w:rPr>
            </w:pPr>
            <w:r>
              <w:rPr>
                <w:rFonts w:ascii="Arial" w:cs="Arial" w:eastAsia="Arial" w:hAnsi="Arial"/>
                <w:sz w:val="13"/>
                <w:szCs w:val="13"/>
                <w:i w:val="1"/>
                <w:iCs w:val="1"/>
                <w:color w:val="auto"/>
              </w:rPr>
              <w:t>(Dollars in millions)</w:t>
            </w:r>
          </w:p>
        </w:tc>
        <w:tc>
          <w:tcPr>
            <w:tcW w:w="3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80"/>
        </w:trPr>
        <w:tc>
          <w:tcPr>
            <w:tcW w:w="17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300" w:type="dxa"/>
            <w:vAlign w:val="bottom"/>
            <w:gridSpan w:val="3"/>
          </w:tcPr>
          <w:p>
            <w:pPr>
              <w:jc w:val="right"/>
              <w:ind w:right="290"/>
              <w:spacing w:after="0"/>
              <w:rPr>
                <w:sz w:val="20"/>
                <w:szCs w:val="20"/>
                <w:color w:val="auto"/>
              </w:rPr>
            </w:pPr>
            <w:r>
              <w:rPr>
                <w:rFonts w:ascii="Arial" w:cs="Arial" w:eastAsia="Arial" w:hAnsi="Arial"/>
                <w:sz w:val="13"/>
                <w:szCs w:val="13"/>
                <w:color w:val="auto"/>
              </w:rPr>
              <w:t>Sempra Energy</w:t>
            </w: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80" w:type="dxa"/>
            <w:vAlign w:val="bottom"/>
          </w:tcPr>
          <w:p>
            <w:pPr>
              <w:spacing w:after="0"/>
              <w:rPr>
                <w:sz w:val="15"/>
                <w:szCs w:val="15"/>
                <w:color w:val="auto"/>
              </w:rPr>
            </w:pPr>
          </w:p>
        </w:tc>
      </w:tr>
      <w:tr>
        <w:trPr>
          <w:trHeight w:val="161"/>
        </w:trPr>
        <w:tc>
          <w:tcPr>
            <w:tcW w:w="176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color w:val="auto"/>
              </w:rPr>
              <w:t>Consolidated</w:t>
            </w:r>
          </w:p>
        </w:tc>
        <w:tc>
          <w:tcPr>
            <w:tcW w:w="44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color w:val="auto"/>
              </w:rPr>
              <w:t>SDG&amp;E</w:t>
            </w:r>
          </w:p>
        </w:tc>
        <w:tc>
          <w:tcPr>
            <w:tcW w:w="52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color w:val="auto"/>
              </w:rPr>
              <w:t>SoCalGas</w:t>
            </w:r>
          </w:p>
        </w:tc>
        <w:tc>
          <w:tcPr>
            <w:tcW w:w="480" w:type="dxa"/>
            <w:vAlign w:val="bottom"/>
            <w:tcBorders>
              <w:bottom w:val="single" w:sz="8" w:color="auto"/>
            </w:tcBorders>
          </w:tcPr>
          <w:p>
            <w:pPr>
              <w:spacing w:after="0"/>
              <w:rPr>
                <w:sz w:val="14"/>
                <w:szCs w:val="14"/>
                <w:color w:val="auto"/>
              </w:rPr>
            </w:pPr>
          </w:p>
        </w:tc>
      </w:tr>
      <w:tr>
        <w:trPr>
          <w:trHeight w:val="208"/>
        </w:trPr>
        <w:tc>
          <w:tcPr>
            <w:tcW w:w="17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ind w:right="92"/>
              <w:spacing w:after="0"/>
              <w:rPr>
                <w:sz w:val="20"/>
                <w:szCs w:val="20"/>
                <w:color w:val="auto"/>
              </w:rPr>
            </w:pPr>
            <w:r>
              <w:rPr>
                <w:rFonts w:ascii="Arial" w:cs="Arial" w:eastAsia="Arial" w:hAnsi="Arial"/>
                <w:sz w:val="13"/>
                <w:szCs w:val="13"/>
                <w:color w:val="auto"/>
              </w:rPr>
              <w:t>2008</w:t>
            </w:r>
          </w:p>
        </w:tc>
        <w:tc>
          <w:tcPr>
            <w:tcW w:w="32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ind w:right="70"/>
              <w:spacing w:after="0"/>
              <w:rPr>
                <w:sz w:val="20"/>
                <w:szCs w:val="20"/>
                <w:color w:val="auto"/>
              </w:rPr>
            </w:pPr>
            <w:r>
              <w:rPr>
                <w:rFonts w:ascii="Arial" w:cs="Arial" w:eastAsia="Arial" w:hAnsi="Arial"/>
                <w:sz w:val="13"/>
                <w:szCs w:val="13"/>
                <w:color w:val="auto"/>
                <w:w w:val="96"/>
              </w:rPr>
              <w:t>2007</w:t>
            </w:r>
          </w:p>
        </w:tc>
        <w:tc>
          <w:tcPr>
            <w:tcW w:w="1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ind w:right="111"/>
              <w:spacing w:after="0"/>
              <w:rPr>
                <w:sz w:val="20"/>
                <w:szCs w:val="20"/>
                <w:color w:val="auto"/>
              </w:rPr>
            </w:pPr>
            <w:r>
              <w:rPr>
                <w:rFonts w:ascii="Arial" w:cs="Arial" w:eastAsia="Arial" w:hAnsi="Arial"/>
                <w:sz w:val="13"/>
                <w:szCs w:val="13"/>
                <w:color w:val="auto"/>
              </w:rPr>
              <w:t>2008</w:t>
            </w:r>
          </w:p>
        </w:tc>
        <w:tc>
          <w:tcPr>
            <w:tcW w:w="2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ind w:right="90"/>
              <w:spacing w:after="0"/>
              <w:rPr>
                <w:sz w:val="20"/>
                <w:szCs w:val="20"/>
                <w:color w:val="auto"/>
              </w:rPr>
            </w:pPr>
            <w:r>
              <w:rPr>
                <w:rFonts w:ascii="Arial" w:cs="Arial" w:eastAsia="Arial" w:hAnsi="Arial"/>
                <w:sz w:val="13"/>
                <w:szCs w:val="13"/>
                <w:color w:val="auto"/>
              </w:rPr>
              <w:t>2007</w:t>
            </w:r>
          </w:p>
        </w:tc>
        <w:tc>
          <w:tcPr>
            <w:tcW w:w="14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ind w:right="111"/>
              <w:spacing w:after="0"/>
              <w:rPr>
                <w:sz w:val="20"/>
                <w:szCs w:val="20"/>
                <w:color w:val="auto"/>
              </w:rPr>
            </w:pPr>
            <w:r>
              <w:rPr>
                <w:rFonts w:ascii="Arial" w:cs="Arial" w:eastAsia="Arial" w:hAnsi="Arial"/>
                <w:sz w:val="13"/>
                <w:szCs w:val="13"/>
                <w:color w:val="auto"/>
              </w:rPr>
              <w:t>2008</w:t>
            </w:r>
          </w:p>
        </w:tc>
        <w:tc>
          <w:tcPr>
            <w:tcW w:w="28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ind w:right="90"/>
              <w:spacing w:after="0"/>
              <w:rPr>
                <w:sz w:val="20"/>
                <w:szCs w:val="20"/>
                <w:color w:val="auto"/>
              </w:rPr>
            </w:pPr>
            <w:r>
              <w:rPr>
                <w:rFonts w:ascii="Arial" w:cs="Arial" w:eastAsia="Arial" w:hAnsi="Arial"/>
                <w:sz w:val="13"/>
                <w:szCs w:val="13"/>
                <w:color w:val="auto"/>
              </w:rPr>
              <w:t>2007</w:t>
            </w:r>
          </w:p>
        </w:tc>
      </w:tr>
      <w:tr>
        <w:trPr>
          <w:trHeight w:val="207"/>
        </w:trPr>
        <w:tc>
          <w:tcPr>
            <w:tcW w:w="1760" w:type="dxa"/>
            <w:vAlign w:val="bottom"/>
          </w:tcPr>
          <w:p>
            <w:pPr>
              <w:ind w:left="20"/>
              <w:spacing w:after="0"/>
              <w:rPr>
                <w:sz w:val="20"/>
                <w:szCs w:val="20"/>
                <w:color w:val="auto"/>
              </w:rPr>
            </w:pPr>
            <w:r>
              <w:rPr>
                <w:rFonts w:ascii="Arial" w:cs="Arial" w:eastAsia="Arial" w:hAnsi="Arial"/>
                <w:sz w:val="14"/>
                <w:szCs w:val="14"/>
                <w:color w:val="auto"/>
              </w:rPr>
              <w:t>Over-collected</w:t>
            </w:r>
          </w:p>
        </w:tc>
        <w:tc>
          <w:tcPr>
            <w:tcW w:w="320" w:type="dxa"/>
            <w:vAlign w:val="bottom"/>
          </w:tcPr>
          <w:p>
            <w:pPr>
              <w:jc w:val="right"/>
              <w:spacing w:after="0"/>
              <w:rPr>
                <w:sz w:val="20"/>
                <w:szCs w:val="20"/>
                <w:color w:val="auto"/>
              </w:rPr>
            </w:pPr>
            <w:r>
              <w:rPr>
                <w:rFonts w:ascii="Arial" w:cs="Arial" w:eastAsia="Arial" w:hAnsi="Arial"/>
                <w:sz w:val="14"/>
                <w:szCs w:val="14"/>
                <w:color w:val="auto"/>
              </w:rPr>
              <w:t>$</w:t>
            </w:r>
          </w:p>
        </w:tc>
        <w:tc>
          <w:tcPr>
            <w:tcW w:w="540" w:type="dxa"/>
            <w:vAlign w:val="bottom"/>
          </w:tcPr>
          <w:p>
            <w:pPr>
              <w:jc w:val="right"/>
              <w:ind w:right="92"/>
              <w:spacing w:after="0"/>
              <w:rPr>
                <w:sz w:val="20"/>
                <w:szCs w:val="20"/>
                <w:color w:val="auto"/>
              </w:rPr>
            </w:pPr>
            <w:r>
              <w:rPr>
                <w:rFonts w:ascii="Arial" w:cs="Arial" w:eastAsia="Arial" w:hAnsi="Arial"/>
                <w:sz w:val="14"/>
                <w:szCs w:val="14"/>
                <w:color w:val="auto"/>
              </w:rPr>
              <w:t>728</w:t>
            </w:r>
          </w:p>
        </w:tc>
        <w:tc>
          <w:tcPr>
            <w:tcW w:w="3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440" w:type="dxa"/>
            <w:vAlign w:val="bottom"/>
          </w:tcPr>
          <w:p>
            <w:pPr>
              <w:jc w:val="right"/>
              <w:ind w:right="70"/>
              <w:spacing w:after="0"/>
              <w:rPr>
                <w:sz w:val="20"/>
                <w:szCs w:val="20"/>
                <w:color w:val="auto"/>
              </w:rPr>
            </w:pPr>
            <w:r>
              <w:rPr>
                <w:rFonts w:ascii="Arial" w:cs="Arial" w:eastAsia="Arial" w:hAnsi="Arial"/>
                <w:sz w:val="14"/>
                <w:szCs w:val="14"/>
                <w:color w:val="auto"/>
              </w:rPr>
              <w:t>721</w:t>
            </w:r>
          </w:p>
        </w:tc>
        <w:tc>
          <w:tcPr>
            <w:tcW w:w="4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540" w:type="dxa"/>
            <w:vAlign w:val="bottom"/>
          </w:tcPr>
          <w:p>
            <w:pPr>
              <w:jc w:val="right"/>
              <w:ind w:right="111"/>
              <w:spacing w:after="0"/>
              <w:rPr>
                <w:sz w:val="20"/>
                <w:szCs w:val="20"/>
                <w:color w:val="auto"/>
              </w:rPr>
            </w:pPr>
            <w:r>
              <w:rPr>
                <w:rFonts w:ascii="Arial" w:cs="Arial" w:eastAsia="Arial" w:hAnsi="Arial"/>
                <w:sz w:val="14"/>
                <w:szCs w:val="14"/>
                <w:color w:val="auto"/>
              </w:rPr>
              <w:t>364</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520" w:type="dxa"/>
            <w:vAlign w:val="bottom"/>
          </w:tcPr>
          <w:p>
            <w:pPr>
              <w:jc w:val="right"/>
              <w:ind w:right="90"/>
              <w:spacing w:after="0"/>
              <w:rPr>
                <w:sz w:val="20"/>
                <w:szCs w:val="20"/>
                <w:color w:val="auto"/>
              </w:rPr>
            </w:pPr>
            <w:r>
              <w:rPr>
                <w:rFonts w:ascii="Arial" w:cs="Arial" w:eastAsia="Arial" w:hAnsi="Arial"/>
                <w:sz w:val="14"/>
                <w:szCs w:val="14"/>
                <w:color w:val="auto"/>
              </w:rPr>
              <w:t>455</w:t>
            </w:r>
          </w:p>
        </w:tc>
        <w:tc>
          <w:tcPr>
            <w:tcW w:w="50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540" w:type="dxa"/>
            <w:vAlign w:val="bottom"/>
          </w:tcPr>
          <w:p>
            <w:pPr>
              <w:jc w:val="right"/>
              <w:ind w:right="111"/>
              <w:spacing w:after="0"/>
              <w:rPr>
                <w:sz w:val="20"/>
                <w:szCs w:val="20"/>
                <w:color w:val="auto"/>
              </w:rPr>
            </w:pPr>
            <w:r>
              <w:rPr>
                <w:rFonts w:ascii="Arial" w:cs="Arial" w:eastAsia="Arial" w:hAnsi="Arial"/>
                <w:sz w:val="14"/>
                <w:szCs w:val="14"/>
                <w:color w:val="auto"/>
              </w:rPr>
              <w:t>364</w:t>
            </w:r>
          </w:p>
        </w:tc>
        <w:tc>
          <w:tcPr>
            <w:tcW w:w="2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480" w:type="dxa"/>
            <w:vAlign w:val="bottom"/>
          </w:tcPr>
          <w:p>
            <w:pPr>
              <w:jc w:val="right"/>
              <w:ind w:right="90"/>
              <w:spacing w:after="0"/>
              <w:rPr>
                <w:sz w:val="20"/>
                <w:szCs w:val="20"/>
                <w:color w:val="auto"/>
              </w:rPr>
            </w:pPr>
            <w:r>
              <w:rPr>
                <w:rFonts w:ascii="Arial" w:cs="Arial" w:eastAsia="Arial" w:hAnsi="Arial"/>
                <w:sz w:val="14"/>
                <w:szCs w:val="14"/>
                <w:color w:val="auto"/>
              </w:rPr>
              <w:t>266</w:t>
            </w:r>
          </w:p>
        </w:tc>
      </w:tr>
      <w:tr>
        <w:trPr>
          <w:trHeight w:val="222"/>
        </w:trPr>
        <w:tc>
          <w:tcPr>
            <w:tcW w:w="1760" w:type="dxa"/>
            <w:vAlign w:val="bottom"/>
          </w:tcPr>
          <w:p>
            <w:pPr>
              <w:ind w:left="20"/>
              <w:spacing w:after="0"/>
              <w:rPr>
                <w:sz w:val="20"/>
                <w:szCs w:val="20"/>
                <w:color w:val="auto"/>
              </w:rPr>
            </w:pPr>
            <w:r>
              <w:rPr>
                <w:rFonts w:ascii="Arial" w:cs="Arial" w:eastAsia="Arial" w:hAnsi="Arial"/>
                <w:sz w:val="14"/>
                <w:szCs w:val="14"/>
                <w:color w:val="auto"/>
              </w:rPr>
              <w:t>Under-collected</w:t>
            </w:r>
          </w:p>
        </w:tc>
        <w:tc>
          <w:tcPr>
            <w:tcW w:w="3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(393 )</w:t>
            </w:r>
          </w:p>
        </w:tc>
        <w:tc>
          <w:tcPr>
            <w:tcW w:w="3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w w:val="92"/>
              </w:rPr>
              <w:t>(240 )</w:t>
            </w:r>
          </w:p>
        </w:tc>
        <w:tc>
          <w:tcPr>
            <w:tcW w:w="14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color w:val="auto"/>
              </w:rPr>
              <w:t>(250 )</w:t>
            </w:r>
          </w:p>
        </w:tc>
        <w:tc>
          <w:tcPr>
            <w:tcW w:w="2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(157 )</w:t>
            </w:r>
          </w:p>
        </w:tc>
        <w:tc>
          <w:tcPr>
            <w:tcW w:w="14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color w:val="auto"/>
              </w:rPr>
              <w:t>(143 )</w:t>
            </w:r>
          </w:p>
        </w:tc>
        <w:tc>
          <w:tcPr>
            <w:tcW w:w="2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(83 )</w:t>
            </w:r>
          </w:p>
        </w:tc>
      </w:tr>
      <w:tr>
        <w:trPr>
          <w:trHeight w:val="224"/>
        </w:trPr>
        <w:tc>
          <w:tcPr>
            <w:tcW w:w="17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Net payable</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color w:val="auto"/>
              </w:rPr>
              <w:t>335</w:t>
            </w:r>
          </w:p>
        </w:tc>
        <w:tc>
          <w:tcPr>
            <w:tcW w:w="3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440" w:type="dxa"/>
            <w:vAlign w:val="bottom"/>
            <w:tcBorders>
              <w:bottom w:val="single" w:sz="8" w:color="auto"/>
            </w:tcBorders>
          </w:tcPr>
          <w:p>
            <w:pPr>
              <w:jc w:val="right"/>
              <w:ind w:right="70"/>
              <w:spacing w:after="0"/>
              <w:rPr>
                <w:sz w:val="20"/>
                <w:szCs w:val="20"/>
                <w:color w:val="auto"/>
              </w:rPr>
            </w:pPr>
            <w:r>
              <w:rPr>
                <w:rFonts w:ascii="Arial" w:cs="Arial" w:eastAsia="Arial" w:hAnsi="Arial"/>
                <w:sz w:val="14"/>
                <w:szCs w:val="14"/>
                <w:color w:val="auto"/>
              </w:rPr>
              <w:t>481</w:t>
            </w:r>
          </w:p>
        </w:tc>
        <w:tc>
          <w:tcPr>
            <w:tcW w:w="4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color w:val="auto"/>
              </w:rPr>
              <w:t>114</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auto"/>
            </w:tcBorders>
          </w:tcPr>
          <w:p>
            <w:pPr>
              <w:jc w:val="right"/>
              <w:ind w:right="90"/>
              <w:spacing w:after="0"/>
              <w:rPr>
                <w:sz w:val="20"/>
                <w:szCs w:val="20"/>
                <w:color w:val="auto"/>
              </w:rPr>
            </w:pPr>
            <w:r>
              <w:rPr>
                <w:rFonts w:ascii="Arial" w:cs="Arial" w:eastAsia="Arial" w:hAnsi="Arial"/>
                <w:sz w:val="14"/>
                <w:szCs w:val="14"/>
                <w:color w:val="auto"/>
              </w:rPr>
              <w:t>298</w:t>
            </w:r>
          </w:p>
        </w:tc>
        <w:tc>
          <w:tcPr>
            <w:tcW w:w="50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color w:val="auto"/>
              </w:rPr>
              <w:t>221</w:t>
            </w:r>
          </w:p>
        </w:tc>
        <w:tc>
          <w:tcPr>
            <w:tcW w:w="2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480" w:type="dxa"/>
            <w:vAlign w:val="bottom"/>
            <w:tcBorders>
              <w:bottom w:val="single" w:sz="8" w:color="auto"/>
            </w:tcBorders>
          </w:tcPr>
          <w:p>
            <w:pPr>
              <w:jc w:val="right"/>
              <w:ind w:right="90"/>
              <w:spacing w:after="0"/>
              <w:rPr>
                <w:sz w:val="20"/>
                <w:szCs w:val="20"/>
                <w:color w:val="auto"/>
              </w:rPr>
            </w:pPr>
            <w:r>
              <w:rPr>
                <w:rFonts w:ascii="Arial" w:cs="Arial" w:eastAsia="Arial" w:hAnsi="Arial"/>
                <w:sz w:val="14"/>
                <w:szCs w:val="14"/>
                <w:color w:val="auto"/>
              </w:rPr>
              <w:t>183</w:t>
            </w:r>
          </w:p>
        </w:tc>
      </w:tr>
    </w:tbl>
    <w:p>
      <w:pPr>
        <w:spacing w:after="0" w:line="180" w:lineRule="exact"/>
        <w:rPr>
          <w:sz w:val="20"/>
          <w:szCs w:val="20"/>
          <w:color w:val="auto"/>
        </w:rPr>
      </w:pPr>
    </w:p>
    <w:p>
      <w:pPr>
        <w:ind w:right="100"/>
        <w:spacing w:after="0" w:line="264" w:lineRule="auto"/>
        <w:rPr>
          <w:sz w:val="20"/>
          <w:szCs w:val="20"/>
          <w:color w:val="auto"/>
        </w:rPr>
      </w:pPr>
      <w:r>
        <w:rPr>
          <w:rFonts w:ascii="Arial" w:cs="Arial" w:eastAsia="Arial" w:hAnsi="Arial"/>
          <w:sz w:val="16"/>
          <w:szCs w:val="16"/>
          <w:color w:val="auto"/>
        </w:rPr>
        <w:t>Over- and under-collected regulatory balancing accounts reflect the difference between customer billings and recorded or CPUC-authorized costs, primarily commodity costs. Amounts in the balancing accounts are recoverable or refundable in future rates, subject to CPUC approval. Balancing account treatment eliminates the impact on earnings from variances in the covered costs from authorized amounts. Absent balancing account treatment,</w:t>
      </w: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14"/>
          <w:szCs w:val="14"/>
          <w:color w:val="auto"/>
        </w:rPr>
        <w:t>94</w:t>
      </w:r>
    </w:p>
    <w:p>
      <w:pPr>
        <w:sectPr>
          <w:pgSz w:w="11900" w:h="16838" w:orient="portrait"/>
          <w:cols w:equalWidth="0" w:num="1">
            <w:col w:w="11400"/>
          </w:cols>
          <w:pgMar w:left="240" w:top="128" w:right="259" w:bottom="1440" w:gutter="0" w:footer="0" w:header="0"/>
        </w:sectPr>
      </w:pPr>
    </w:p>
    <w:bookmarkStart w:id="234" w:name="page235"/>
    <w:bookmarkEnd w:id="234"/>
    <w:p>
      <w:pPr>
        <w:spacing w:after="0"/>
        <w:rPr>
          <w:sz w:val="20"/>
          <w:szCs w:val="20"/>
          <w:color w:val="auto"/>
        </w:rPr>
      </w:pPr>
      <w:r>
        <w:rPr>
          <w:rFonts w:ascii="Arial" w:cs="Arial" w:eastAsia="Arial" w:hAnsi="Arial"/>
          <w:sz w:val="16"/>
          <w:szCs w:val="16"/>
          <w:color w:val="auto"/>
        </w:rPr>
        <w:t>variations in operating and maintenance costs from amounts approved by the CPUC may increase volatility in utility earnings.</w:t>
      </w:r>
    </w:p>
    <w:p>
      <w:pPr>
        <w:spacing w:after="0" w:line="80" w:lineRule="exact"/>
        <w:rPr>
          <w:sz w:val="20"/>
          <w:szCs w:val="20"/>
          <w:color w:val="auto"/>
        </w:rPr>
      </w:pPr>
    </w:p>
    <w:p>
      <w:pPr>
        <w:spacing w:after="0"/>
        <w:rPr>
          <w:sz w:val="20"/>
          <w:szCs w:val="20"/>
          <w:color w:val="auto"/>
        </w:rPr>
      </w:pPr>
      <w:r>
        <w:rPr>
          <w:rFonts w:ascii="Arial" w:cs="Arial" w:eastAsia="Arial" w:hAnsi="Arial"/>
          <w:sz w:val="16"/>
          <w:szCs w:val="16"/>
          <w:color w:val="auto"/>
        </w:rPr>
        <w:t>We provide additional information about regulatory matters in Notes 14 and 15.</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Regulatory Assets and Liabilities</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We show the details of regulatory assets and liabilities in the following table, and discuss each of them separately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1400810</wp:posOffset>
            </wp:positionH>
            <wp:positionV relativeFrom="paragraph">
              <wp:posOffset>196215</wp:posOffset>
            </wp:positionV>
            <wp:extent cx="4454525" cy="2667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4454525" cy="266700"/>
                    </a:xfrm>
                    <a:prstGeom prst="rect">
                      <a:avLst/>
                    </a:prstGeom>
                    <a:noFill/>
                  </pic:spPr>
                </pic:pic>
              </a:graphicData>
            </a:graphic>
          </wp:anchor>
        </w:drawing>
      </w:r>
    </w:p>
    <w:p>
      <w:pPr>
        <w:spacing w:after="0" w:line="297" w:lineRule="exact"/>
        <w:rPr>
          <w:sz w:val="20"/>
          <w:szCs w:val="20"/>
          <w:color w:val="auto"/>
        </w:rPr>
      </w:pPr>
    </w:p>
    <w:p>
      <w:pPr>
        <w:ind w:left="2220"/>
        <w:spacing w:after="0"/>
        <w:rPr>
          <w:sz w:val="20"/>
          <w:szCs w:val="20"/>
          <w:color w:val="auto"/>
        </w:rPr>
      </w:pPr>
      <w:r>
        <w:rPr>
          <w:rFonts w:ascii="Arial" w:cs="Arial" w:eastAsia="Arial" w:hAnsi="Arial"/>
          <w:sz w:val="14"/>
          <w:szCs w:val="14"/>
          <w:b w:val="1"/>
          <w:bCs w:val="1"/>
          <w:color w:val="auto"/>
        </w:rPr>
        <w:t>REGULATORY ASSETS AND LIABILITIES AT DECEMBER 31</w:t>
      </w:r>
    </w:p>
    <w:p>
      <w:pPr>
        <w:spacing w:after="0" w:line="76" w:lineRule="exact"/>
        <w:rPr>
          <w:sz w:val="20"/>
          <w:szCs w:val="20"/>
          <w:color w:val="auto"/>
        </w:rPr>
      </w:pPr>
    </w:p>
    <w:tbl>
      <w:tblPr>
        <w:tblLayout w:type="fixed"/>
        <w:tblInd w:w="2200" w:type="dxa"/>
        <w:tblCellMar>
          <w:top w:w="0" w:type="dxa"/>
          <w:left w:w="0" w:type="dxa"/>
          <w:bottom w:w="0" w:type="dxa"/>
          <w:right w:w="0" w:type="dxa"/>
        </w:tblCellMar>
      </w:tblPr>
      <w:tr>
        <w:trPr>
          <w:trHeight w:val="166"/>
        </w:trPr>
        <w:tc>
          <w:tcPr>
            <w:tcW w:w="3820" w:type="dxa"/>
            <w:vAlign w:val="bottom"/>
            <w:gridSpan w:val="2"/>
          </w:tcPr>
          <w:p>
            <w:pPr>
              <w:ind w:left="20"/>
              <w:spacing w:after="0"/>
              <w:rPr>
                <w:sz w:val="20"/>
                <w:szCs w:val="20"/>
                <w:color w:val="auto"/>
              </w:rPr>
            </w:pPr>
            <w:r>
              <w:rPr>
                <w:rFonts w:ascii="Arial" w:cs="Arial" w:eastAsia="Arial" w:hAnsi="Arial"/>
                <w:sz w:val="13"/>
                <w:szCs w:val="13"/>
                <w:i w:val="1"/>
                <w:iCs w:val="1"/>
                <w:color w:val="auto"/>
              </w:rPr>
              <w:t>(Dollars in millions)</w:t>
            </w: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221"/>
        </w:trPr>
        <w:tc>
          <w:tcPr>
            <w:tcW w:w="960" w:type="dxa"/>
            <w:vAlign w:val="bottom"/>
            <w:tcBorders>
              <w:bottom w:val="single" w:sz="8" w:color="auto"/>
            </w:tcBorders>
          </w:tcPr>
          <w:p>
            <w:pPr>
              <w:spacing w:after="0"/>
              <w:rPr>
                <w:sz w:val="19"/>
                <w:szCs w:val="19"/>
                <w:color w:val="auto"/>
              </w:rPr>
            </w:pPr>
          </w:p>
        </w:tc>
        <w:tc>
          <w:tcPr>
            <w:tcW w:w="28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268"/>
              <w:spacing w:after="0"/>
              <w:rPr>
                <w:sz w:val="20"/>
                <w:szCs w:val="20"/>
                <w:color w:val="auto"/>
              </w:rPr>
            </w:pPr>
            <w:r>
              <w:rPr>
                <w:rFonts w:ascii="Arial" w:cs="Arial" w:eastAsia="Arial" w:hAnsi="Arial"/>
                <w:sz w:val="13"/>
                <w:szCs w:val="13"/>
                <w:color w:val="auto"/>
              </w:rPr>
              <w:t>2008</w:t>
            </w:r>
          </w:p>
        </w:tc>
        <w:tc>
          <w:tcPr>
            <w:tcW w:w="5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468"/>
              <w:spacing w:after="0"/>
              <w:rPr>
                <w:sz w:val="20"/>
                <w:szCs w:val="20"/>
                <w:color w:val="auto"/>
              </w:rPr>
            </w:pPr>
            <w:r>
              <w:rPr>
                <w:rFonts w:ascii="Arial" w:cs="Arial" w:eastAsia="Arial" w:hAnsi="Arial"/>
                <w:sz w:val="13"/>
                <w:szCs w:val="13"/>
                <w:color w:val="auto"/>
              </w:rPr>
              <w:t>2007</w:t>
            </w:r>
          </w:p>
        </w:tc>
      </w:tr>
      <w:tr>
        <w:trPr>
          <w:trHeight w:val="198"/>
        </w:trPr>
        <w:tc>
          <w:tcPr>
            <w:tcW w:w="9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SDG&amp;E</w:t>
            </w:r>
          </w:p>
        </w:tc>
        <w:tc>
          <w:tcPr>
            <w:tcW w:w="2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05"/>
        </w:trPr>
        <w:tc>
          <w:tcPr>
            <w:tcW w:w="3820" w:type="dxa"/>
            <w:vAlign w:val="bottom"/>
            <w:gridSpan w:val="2"/>
          </w:tcPr>
          <w:p>
            <w:pPr>
              <w:ind w:left="20"/>
              <w:spacing w:after="0"/>
              <w:rPr>
                <w:sz w:val="20"/>
                <w:szCs w:val="20"/>
                <w:color w:val="auto"/>
              </w:rPr>
            </w:pPr>
            <w:r>
              <w:rPr>
                <w:rFonts w:ascii="Arial" w:cs="Arial" w:eastAsia="Arial" w:hAnsi="Arial"/>
                <w:sz w:val="14"/>
                <w:szCs w:val="14"/>
                <w:color w:val="auto"/>
              </w:rPr>
              <w:t>Fixed-price contracts and other derivatives</w:t>
            </w: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358</w:t>
            </w:r>
          </w:p>
        </w:tc>
        <w:tc>
          <w:tcPr>
            <w:tcW w:w="580" w:type="dxa"/>
            <w:vAlign w:val="bottom"/>
          </w:tcPr>
          <w:p>
            <w:pPr>
              <w:spacing w:after="0"/>
              <w:rPr>
                <w:sz w:val="17"/>
                <w:szCs w:val="17"/>
                <w:color w:val="auto"/>
              </w:rPr>
            </w:pPr>
          </w:p>
        </w:tc>
        <w:tc>
          <w:tcPr>
            <w:tcW w:w="68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188"/>
              <w:spacing w:after="0"/>
              <w:rPr>
                <w:sz w:val="20"/>
                <w:szCs w:val="20"/>
                <w:color w:val="auto"/>
              </w:rPr>
            </w:pPr>
            <w:r>
              <w:rPr>
                <w:rFonts w:ascii="Arial" w:cs="Arial" w:eastAsia="Arial" w:hAnsi="Arial"/>
                <w:sz w:val="14"/>
                <w:szCs w:val="14"/>
                <w:color w:val="auto"/>
              </w:rPr>
              <w:t>361</w:t>
            </w:r>
          </w:p>
        </w:tc>
      </w:tr>
      <w:tr>
        <w:trPr>
          <w:trHeight w:val="216"/>
        </w:trPr>
        <w:tc>
          <w:tcPr>
            <w:tcW w:w="3820" w:type="dxa"/>
            <w:vAlign w:val="bottom"/>
            <w:gridSpan w:val="2"/>
          </w:tcPr>
          <w:p>
            <w:pPr>
              <w:ind w:left="20"/>
              <w:spacing w:after="0"/>
              <w:rPr>
                <w:sz w:val="20"/>
                <w:szCs w:val="20"/>
                <w:color w:val="auto"/>
              </w:rPr>
            </w:pPr>
            <w:r>
              <w:rPr>
                <w:rFonts w:ascii="Arial" w:cs="Arial" w:eastAsia="Arial" w:hAnsi="Arial"/>
                <w:sz w:val="14"/>
                <w:szCs w:val="14"/>
                <w:color w:val="auto"/>
              </w:rPr>
              <w:t>Deferred taxes recoverable in rates</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369</w:t>
            </w:r>
          </w:p>
        </w:tc>
        <w:tc>
          <w:tcPr>
            <w:tcW w:w="5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80" w:type="dxa"/>
            <w:vAlign w:val="bottom"/>
          </w:tcPr>
          <w:p>
            <w:pPr>
              <w:jc w:val="right"/>
              <w:ind w:right="188"/>
              <w:spacing w:after="0"/>
              <w:rPr>
                <w:sz w:val="20"/>
                <w:szCs w:val="20"/>
                <w:color w:val="auto"/>
              </w:rPr>
            </w:pPr>
            <w:r>
              <w:rPr>
                <w:rFonts w:ascii="Arial" w:cs="Arial" w:eastAsia="Arial" w:hAnsi="Arial"/>
                <w:sz w:val="14"/>
                <w:szCs w:val="14"/>
                <w:color w:val="auto"/>
              </w:rPr>
              <w:t>312</w:t>
            </w:r>
          </w:p>
        </w:tc>
      </w:tr>
      <w:tr>
        <w:trPr>
          <w:trHeight w:val="216"/>
        </w:trPr>
        <w:tc>
          <w:tcPr>
            <w:tcW w:w="3820" w:type="dxa"/>
            <w:vAlign w:val="bottom"/>
            <w:gridSpan w:val="2"/>
          </w:tcPr>
          <w:p>
            <w:pPr>
              <w:ind w:left="20"/>
              <w:spacing w:after="0"/>
              <w:rPr>
                <w:sz w:val="20"/>
                <w:szCs w:val="20"/>
                <w:color w:val="auto"/>
              </w:rPr>
            </w:pPr>
            <w:r>
              <w:rPr>
                <w:rFonts w:ascii="Arial" w:cs="Arial" w:eastAsia="Arial" w:hAnsi="Arial"/>
                <w:sz w:val="14"/>
                <w:szCs w:val="14"/>
                <w:color w:val="auto"/>
              </w:rPr>
              <w:t>Unamortized loss on reacquired debt, net</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30</w:t>
            </w:r>
          </w:p>
        </w:tc>
        <w:tc>
          <w:tcPr>
            <w:tcW w:w="5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80" w:type="dxa"/>
            <w:vAlign w:val="bottom"/>
          </w:tcPr>
          <w:p>
            <w:pPr>
              <w:jc w:val="right"/>
              <w:ind w:right="188"/>
              <w:spacing w:after="0"/>
              <w:rPr>
                <w:sz w:val="20"/>
                <w:szCs w:val="20"/>
                <w:color w:val="auto"/>
              </w:rPr>
            </w:pPr>
            <w:r>
              <w:rPr>
                <w:rFonts w:ascii="Arial" w:cs="Arial" w:eastAsia="Arial" w:hAnsi="Arial"/>
                <w:sz w:val="14"/>
                <w:szCs w:val="14"/>
                <w:color w:val="auto"/>
              </w:rPr>
              <w:t>34</w:t>
            </w:r>
          </w:p>
        </w:tc>
      </w:tr>
      <w:tr>
        <w:trPr>
          <w:trHeight w:val="216"/>
        </w:trPr>
        <w:tc>
          <w:tcPr>
            <w:tcW w:w="3820" w:type="dxa"/>
            <w:vAlign w:val="bottom"/>
            <w:gridSpan w:val="2"/>
          </w:tcPr>
          <w:p>
            <w:pPr>
              <w:ind w:left="20"/>
              <w:spacing w:after="0"/>
              <w:rPr>
                <w:sz w:val="20"/>
                <w:szCs w:val="20"/>
                <w:color w:val="auto"/>
              </w:rPr>
            </w:pPr>
            <w:r>
              <w:rPr>
                <w:rFonts w:ascii="Arial" w:cs="Arial" w:eastAsia="Arial" w:hAnsi="Arial"/>
                <w:sz w:val="14"/>
                <w:szCs w:val="14"/>
                <w:color w:val="auto"/>
              </w:rPr>
              <w:t>Pension and other postretirement benefit obligations</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393</w:t>
            </w:r>
          </w:p>
        </w:tc>
        <w:tc>
          <w:tcPr>
            <w:tcW w:w="580" w:type="dxa"/>
            <w:vAlign w:val="bottom"/>
          </w:tcPr>
          <w:p>
            <w:pPr>
              <w:jc w:val="right"/>
              <w:ind w:right="368"/>
              <w:spacing w:after="0"/>
              <w:rPr>
                <w:sz w:val="20"/>
                <w:szCs w:val="20"/>
                <w:color w:val="auto"/>
              </w:rPr>
            </w:pPr>
            <w:r>
              <w:rPr>
                <w:rFonts w:ascii="Arial" w:cs="Arial" w:eastAsia="Arial" w:hAnsi="Arial"/>
                <w:sz w:val="14"/>
                <w:szCs w:val="14"/>
                <w:color w:val="auto"/>
              </w:rPr>
              <w:t>**</w:t>
            </w:r>
          </w:p>
        </w:tc>
        <w:tc>
          <w:tcPr>
            <w:tcW w:w="680" w:type="dxa"/>
            <w:vAlign w:val="bottom"/>
          </w:tcPr>
          <w:p>
            <w:pPr>
              <w:spacing w:after="0"/>
              <w:rPr>
                <w:sz w:val="18"/>
                <w:szCs w:val="18"/>
                <w:color w:val="auto"/>
              </w:rPr>
            </w:pPr>
          </w:p>
        </w:tc>
        <w:tc>
          <w:tcPr>
            <w:tcW w:w="980" w:type="dxa"/>
            <w:vAlign w:val="bottom"/>
          </w:tcPr>
          <w:p>
            <w:pPr>
              <w:jc w:val="right"/>
              <w:ind w:right="188"/>
              <w:spacing w:after="0"/>
              <w:rPr>
                <w:sz w:val="20"/>
                <w:szCs w:val="20"/>
                <w:color w:val="auto"/>
              </w:rPr>
            </w:pPr>
            <w:r>
              <w:rPr>
                <w:rFonts w:ascii="Arial" w:cs="Arial" w:eastAsia="Arial" w:hAnsi="Arial"/>
                <w:sz w:val="14"/>
                <w:szCs w:val="14"/>
                <w:color w:val="auto"/>
              </w:rPr>
              <w:t>162</w:t>
            </w:r>
          </w:p>
        </w:tc>
      </w:tr>
      <w:tr>
        <w:trPr>
          <w:trHeight w:val="216"/>
        </w:trPr>
        <w:tc>
          <w:tcPr>
            <w:tcW w:w="3820" w:type="dxa"/>
            <w:vAlign w:val="bottom"/>
            <w:gridSpan w:val="2"/>
          </w:tcPr>
          <w:p>
            <w:pPr>
              <w:ind w:left="20"/>
              <w:spacing w:after="0"/>
              <w:rPr>
                <w:sz w:val="20"/>
                <w:szCs w:val="20"/>
                <w:color w:val="auto"/>
              </w:rPr>
            </w:pPr>
            <w:r>
              <w:rPr>
                <w:rFonts w:ascii="Arial" w:cs="Arial" w:eastAsia="Arial" w:hAnsi="Arial"/>
                <w:sz w:val="14"/>
                <w:szCs w:val="14"/>
                <w:color w:val="auto"/>
              </w:rPr>
              <w:t>Removal obligations*</w:t>
            </w:r>
          </w:p>
        </w:tc>
        <w:tc>
          <w:tcPr>
            <w:tcW w:w="220" w:type="dxa"/>
            <w:vAlign w:val="bottom"/>
          </w:tcPr>
          <w:p>
            <w:pPr>
              <w:spacing w:after="0"/>
              <w:rPr>
                <w:sz w:val="18"/>
                <w:szCs w:val="18"/>
                <w:color w:val="auto"/>
              </w:rPr>
            </w:pPr>
          </w:p>
        </w:tc>
        <w:tc>
          <w:tcPr>
            <w:tcW w:w="1320" w:type="dxa"/>
            <w:vAlign w:val="bottom"/>
            <w:gridSpan w:val="2"/>
          </w:tcPr>
          <w:p>
            <w:pPr>
              <w:jc w:val="right"/>
              <w:ind w:right="448"/>
              <w:spacing w:after="0"/>
              <w:rPr>
                <w:sz w:val="20"/>
                <w:szCs w:val="20"/>
                <w:color w:val="auto"/>
              </w:rPr>
            </w:pPr>
            <w:r>
              <w:rPr>
                <w:rFonts w:ascii="Arial" w:cs="Arial" w:eastAsia="Arial" w:hAnsi="Arial"/>
                <w:sz w:val="14"/>
                <w:szCs w:val="14"/>
                <w:color w:val="auto"/>
              </w:rPr>
              <w:t>(1,212 )</w:t>
            </w:r>
          </w:p>
        </w:tc>
        <w:tc>
          <w:tcPr>
            <w:tcW w:w="680" w:type="dxa"/>
            <w:vAlign w:val="bottom"/>
          </w:tcPr>
          <w:p>
            <w:pPr>
              <w:spacing w:after="0"/>
              <w:rPr>
                <w:sz w:val="18"/>
                <w:szCs w:val="18"/>
                <w:color w:val="auto"/>
              </w:rPr>
            </w:pPr>
          </w:p>
        </w:tc>
        <w:tc>
          <w:tcPr>
            <w:tcW w:w="980" w:type="dxa"/>
            <w:vAlign w:val="bottom"/>
          </w:tcPr>
          <w:p>
            <w:pPr>
              <w:jc w:val="right"/>
              <w:ind w:right="128"/>
              <w:spacing w:after="0"/>
              <w:rPr>
                <w:sz w:val="20"/>
                <w:szCs w:val="20"/>
                <w:color w:val="auto"/>
              </w:rPr>
            </w:pPr>
            <w:r>
              <w:rPr>
                <w:rFonts w:ascii="Arial" w:cs="Arial" w:eastAsia="Arial" w:hAnsi="Arial"/>
                <w:sz w:val="14"/>
                <w:szCs w:val="14"/>
                <w:color w:val="auto"/>
              </w:rPr>
              <w:t>(1,335 )</w:t>
            </w:r>
          </w:p>
        </w:tc>
      </w:tr>
      <w:tr>
        <w:trPr>
          <w:trHeight w:val="216"/>
        </w:trPr>
        <w:tc>
          <w:tcPr>
            <w:tcW w:w="3820" w:type="dxa"/>
            <w:vAlign w:val="bottom"/>
            <w:gridSpan w:val="2"/>
          </w:tcPr>
          <w:p>
            <w:pPr>
              <w:ind w:left="20"/>
              <w:spacing w:after="0"/>
              <w:rPr>
                <w:sz w:val="20"/>
                <w:szCs w:val="20"/>
                <w:color w:val="auto"/>
              </w:rPr>
            </w:pPr>
            <w:r>
              <w:rPr>
                <w:rFonts w:ascii="Arial" w:cs="Arial" w:eastAsia="Arial" w:hAnsi="Arial"/>
                <w:sz w:val="14"/>
                <w:szCs w:val="14"/>
                <w:color w:val="auto"/>
              </w:rPr>
              <w:t>Environmental costs</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21</w:t>
            </w:r>
          </w:p>
        </w:tc>
        <w:tc>
          <w:tcPr>
            <w:tcW w:w="5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80" w:type="dxa"/>
            <w:vAlign w:val="bottom"/>
          </w:tcPr>
          <w:p>
            <w:pPr>
              <w:jc w:val="right"/>
              <w:ind w:right="188"/>
              <w:spacing w:after="0"/>
              <w:rPr>
                <w:sz w:val="20"/>
                <w:szCs w:val="20"/>
                <w:color w:val="auto"/>
              </w:rPr>
            </w:pPr>
            <w:r>
              <w:rPr>
                <w:rFonts w:ascii="Arial" w:cs="Arial" w:eastAsia="Arial" w:hAnsi="Arial"/>
                <w:sz w:val="14"/>
                <w:szCs w:val="14"/>
                <w:color w:val="auto"/>
              </w:rPr>
              <w:t>11</w:t>
            </w:r>
          </w:p>
        </w:tc>
      </w:tr>
      <w:tr>
        <w:trPr>
          <w:trHeight w:val="222"/>
        </w:trPr>
        <w:tc>
          <w:tcPr>
            <w:tcW w:w="3820" w:type="dxa"/>
            <w:vAlign w:val="bottom"/>
            <w:gridSpan w:val="2"/>
          </w:tcPr>
          <w:p>
            <w:pPr>
              <w:ind w:left="20"/>
              <w:spacing w:after="0"/>
              <w:rPr>
                <w:sz w:val="20"/>
                <w:szCs w:val="20"/>
                <w:color w:val="auto"/>
              </w:rPr>
            </w:pPr>
            <w:r>
              <w:rPr>
                <w:rFonts w:ascii="Arial" w:cs="Arial" w:eastAsia="Arial" w:hAnsi="Arial"/>
                <w:sz w:val="14"/>
                <w:szCs w:val="14"/>
                <w:color w:val="auto"/>
              </w:rPr>
              <w:t>Other</w:t>
            </w:r>
          </w:p>
        </w:tc>
        <w:tc>
          <w:tcPr>
            <w:tcW w:w="2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w:t>
            </w:r>
          </w:p>
        </w:tc>
        <w:tc>
          <w:tcPr>
            <w:tcW w:w="5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17</w:t>
            </w:r>
          </w:p>
        </w:tc>
      </w:tr>
      <w:tr>
        <w:trPr>
          <w:trHeight w:val="208"/>
        </w:trPr>
        <w:tc>
          <w:tcPr>
            <w:tcW w:w="3820" w:type="dxa"/>
            <w:vAlign w:val="bottom"/>
            <w:gridSpan w:val="2"/>
          </w:tcPr>
          <w:p>
            <w:pPr>
              <w:ind w:left="240"/>
              <w:spacing w:after="0"/>
              <w:rPr>
                <w:sz w:val="20"/>
                <w:szCs w:val="20"/>
                <w:color w:val="auto"/>
              </w:rPr>
            </w:pPr>
            <w:r>
              <w:rPr>
                <w:rFonts w:ascii="Arial" w:cs="Arial" w:eastAsia="Arial" w:hAnsi="Arial"/>
                <w:sz w:val="14"/>
                <w:szCs w:val="14"/>
                <w:color w:val="auto"/>
              </w:rPr>
              <w:t>Total SDG&amp;E</w:t>
            </w:r>
          </w:p>
        </w:tc>
        <w:tc>
          <w:tcPr>
            <w:tcW w:w="2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gridSpan w:val="2"/>
          </w:tcPr>
          <w:p>
            <w:pPr>
              <w:jc w:val="right"/>
              <w:ind w:right="448"/>
              <w:spacing w:after="0"/>
              <w:rPr>
                <w:sz w:val="20"/>
                <w:szCs w:val="20"/>
                <w:color w:val="auto"/>
              </w:rPr>
            </w:pPr>
            <w:r>
              <w:rPr>
                <w:rFonts w:ascii="Arial" w:cs="Arial" w:eastAsia="Arial" w:hAnsi="Arial"/>
                <w:sz w:val="14"/>
                <w:szCs w:val="14"/>
                <w:color w:val="auto"/>
              </w:rPr>
              <w:t>(25 )</w:t>
            </w:r>
          </w:p>
        </w:tc>
        <w:tc>
          <w:tcPr>
            <w:tcW w:w="6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(438 )</w:t>
            </w:r>
          </w:p>
        </w:tc>
      </w:tr>
      <w:tr>
        <w:trPr>
          <w:trHeight w:val="409"/>
        </w:trPr>
        <w:tc>
          <w:tcPr>
            <w:tcW w:w="9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SoCalGas</w:t>
            </w:r>
          </w:p>
        </w:tc>
        <w:tc>
          <w:tcPr>
            <w:tcW w:w="2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05"/>
        </w:trPr>
        <w:tc>
          <w:tcPr>
            <w:tcW w:w="3820" w:type="dxa"/>
            <w:vAlign w:val="bottom"/>
            <w:gridSpan w:val="2"/>
          </w:tcPr>
          <w:p>
            <w:pPr>
              <w:ind w:left="20"/>
              <w:spacing w:after="0"/>
              <w:rPr>
                <w:sz w:val="20"/>
                <w:szCs w:val="20"/>
                <w:color w:val="auto"/>
              </w:rPr>
            </w:pPr>
            <w:r>
              <w:rPr>
                <w:rFonts w:ascii="Arial" w:cs="Arial" w:eastAsia="Arial" w:hAnsi="Arial"/>
                <w:sz w:val="14"/>
                <w:szCs w:val="14"/>
                <w:color w:val="auto"/>
              </w:rPr>
              <w:t>Environmental costs</w:t>
            </w:r>
          </w:p>
        </w:tc>
        <w:tc>
          <w:tcPr>
            <w:tcW w:w="2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36</w:t>
            </w:r>
          </w:p>
        </w:tc>
        <w:tc>
          <w:tcPr>
            <w:tcW w:w="5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80" w:type="dxa"/>
            <w:vAlign w:val="bottom"/>
          </w:tcPr>
          <w:p>
            <w:pPr>
              <w:jc w:val="right"/>
              <w:ind w:right="188"/>
              <w:spacing w:after="0"/>
              <w:rPr>
                <w:sz w:val="20"/>
                <w:szCs w:val="20"/>
                <w:color w:val="auto"/>
              </w:rPr>
            </w:pPr>
            <w:r>
              <w:rPr>
                <w:rFonts w:ascii="Arial" w:cs="Arial" w:eastAsia="Arial" w:hAnsi="Arial"/>
                <w:sz w:val="14"/>
                <w:szCs w:val="14"/>
                <w:color w:val="auto"/>
              </w:rPr>
              <w:t>43</w:t>
            </w:r>
          </w:p>
        </w:tc>
      </w:tr>
      <w:tr>
        <w:trPr>
          <w:trHeight w:val="216"/>
        </w:trPr>
        <w:tc>
          <w:tcPr>
            <w:tcW w:w="3820" w:type="dxa"/>
            <w:vAlign w:val="bottom"/>
            <w:gridSpan w:val="2"/>
          </w:tcPr>
          <w:p>
            <w:pPr>
              <w:ind w:left="20"/>
              <w:spacing w:after="0"/>
              <w:rPr>
                <w:sz w:val="20"/>
                <w:szCs w:val="20"/>
                <w:color w:val="auto"/>
              </w:rPr>
            </w:pPr>
            <w:r>
              <w:rPr>
                <w:rFonts w:ascii="Arial" w:cs="Arial" w:eastAsia="Arial" w:hAnsi="Arial"/>
                <w:sz w:val="14"/>
                <w:szCs w:val="14"/>
                <w:color w:val="auto"/>
              </w:rPr>
              <w:t>Unamortized loss on reacquired debt, net</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30</w:t>
            </w:r>
          </w:p>
        </w:tc>
        <w:tc>
          <w:tcPr>
            <w:tcW w:w="5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80" w:type="dxa"/>
            <w:vAlign w:val="bottom"/>
          </w:tcPr>
          <w:p>
            <w:pPr>
              <w:jc w:val="right"/>
              <w:ind w:right="188"/>
              <w:spacing w:after="0"/>
              <w:rPr>
                <w:sz w:val="20"/>
                <w:szCs w:val="20"/>
                <w:color w:val="auto"/>
              </w:rPr>
            </w:pPr>
            <w:r>
              <w:rPr>
                <w:rFonts w:ascii="Arial" w:cs="Arial" w:eastAsia="Arial" w:hAnsi="Arial"/>
                <w:sz w:val="14"/>
                <w:szCs w:val="14"/>
                <w:color w:val="auto"/>
              </w:rPr>
              <w:t>34</w:t>
            </w:r>
          </w:p>
        </w:tc>
      </w:tr>
      <w:tr>
        <w:trPr>
          <w:trHeight w:val="216"/>
        </w:trPr>
        <w:tc>
          <w:tcPr>
            <w:tcW w:w="3820" w:type="dxa"/>
            <w:vAlign w:val="bottom"/>
            <w:gridSpan w:val="2"/>
          </w:tcPr>
          <w:p>
            <w:pPr>
              <w:ind w:left="20"/>
              <w:spacing w:after="0"/>
              <w:rPr>
                <w:sz w:val="20"/>
                <w:szCs w:val="20"/>
                <w:color w:val="auto"/>
              </w:rPr>
            </w:pPr>
            <w:r>
              <w:rPr>
                <w:rFonts w:ascii="Arial" w:cs="Arial" w:eastAsia="Arial" w:hAnsi="Arial"/>
                <w:sz w:val="14"/>
                <w:szCs w:val="14"/>
                <w:color w:val="auto"/>
              </w:rPr>
              <w:t>Removal obligations*</w:t>
            </w:r>
          </w:p>
        </w:tc>
        <w:tc>
          <w:tcPr>
            <w:tcW w:w="220" w:type="dxa"/>
            <w:vAlign w:val="bottom"/>
          </w:tcPr>
          <w:p>
            <w:pPr>
              <w:spacing w:after="0"/>
              <w:rPr>
                <w:sz w:val="18"/>
                <w:szCs w:val="18"/>
                <w:color w:val="auto"/>
              </w:rPr>
            </w:pPr>
          </w:p>
        </w:tc>
        <w:tc>
          <w:tcPr>
            <w:tcW w:w="1320" w:type="dxa"/>
            <w:vAlign w:val="bottom"/>
            <w:gridSpan w:val="2"/>
          </w:tcPr>
          <w:p>
            <w:pPr>
              <w:jc w:val="right"/>
              <w:ind w:right="448"/>
              <w:spacing w:after="0"/>
              <w:rPr>
                <w:sz w:val="20"/>
                <w:szCs w:val="20"/>
                <w:color w:val="auto"/>
              </w:rPr>
            </w:pPr>
            <w:r>
              <w:rPr>
                <w:rFonts w:ascii="Arial" w:cs="Arial" w:eastAsia="Arial" w:hAnsi="Arial"/>
                <w:sz w:val="14"/>
                <w:szCs w:val="14"/>
                <w:color w:val="auto"/>
              </w:rPr>
              <w:t>(1,218 )</w:t>
            </w:r>
          </w:p>
        </w:tc>
        <w:tc>
          <w:tcPr>
            <w:tcW w:w="680" w:type="dxa"/>
            <w:vAlign w:val="bottom"/>
          </w:tcPr>
          <w:p>
            <w:pPr>
              <w:spacing w:after="0"/>
              <w:rPr>
                <w:sz w:val="18"/>
                <w:szCs w:val="18"/>
                <w:color w:val="auto"/>
              </w:rPr>
            </w:pPr>
          </w:p>
        </w:tc>
        <w:tc>
          <w:tcPr>
            <w:tcW w:w="980" w:type="dxa"/>
            <w:vAlign w:val="bottom"/>
          </w:tcPr>
          <w:p>
            <w:pPr>
              <w:jc w:val="right"/>
              <w:ind w:right="128"/>
              <w:spacing w:after="0"/>
              <w:rPr>
                <w:sz w:val="20"/>
                <w:szCs w:val="20"/>
                <w:color w:val="auto"/>
              </w:rPr>
            </w:pPr>
            <w:r>
              <w:rPr>
                <w:rFonts w:ascii="Arial" w:cs="Arial" w:eastAsia="Arial" w:hAnsi="Arial"/>
                <w:sz w:val="14"/>
                <w:szCs w:val="14"/>
                <w:color w:val="auto"/>
              </w:rPr>
              <w:t>(1,187 )</w:t>
            </w:r>
          </w:p>
        </w:tc>
      </w:tr>
      <w:tr>
        <w:trPr>
          <w:trHeight w:val="216"/>
        </w:trPr>
        <w:tc>
          <w:tcPr>
            <w:tcW w:w="3820" w:type="dxa"/>
            <w:vAlign w:val="bottom"/>
            <w:gridSpan w:val="2"/>
          </w:tcPr>
          <w:p>
            <w:pPr>
              <w:ind w:left="20"/>
              <w:spacing w:after="0"/>
              <w:rPr>
                <w:sz w:val="20"/>
                <w:szCs w:val="20"/>
                <w:color w:val="auto"/>
              </w:rPr>
            </w:pPr>
            <w:r>
              <w:rPr>
                <w:rFonts w:ascii="Arial" w:cs="Arial" w:eastAsia="Arial" w:hAnsi="Arial"/>
                <w:sz w:val="14"/>
                <w:szCs w:val="14"/>
                <w:color w:val="auto"/>
              </w:rPr>
              <w:t>Deferred taxes refundable in rates</w:t>
            </w:r>
          </w:p>
        </w:tc>
        <w:tc>
          <w:tcPr>
            <w:tcW w:w="220" w:type="dxa"/>
            <w:vAlign w:val="bottom"/>
          </w:tcPr>
          <w:p>
            <w:pPr>
              <w:spacing w:after="0"/>
              <w:rPr>
                <w:sz w:val="18"/>
                <w:szCs w:val="18"/>
                <w:color w:val="auto"/>
              </w:rPr>
            </w:pPr>
          </w:p>
        </w:tc>
        <w:tc>
          <w:tcPr>
            <w:tcW w:w="1320" w:type="dxa"/>
            <w:vAlign w:val="bottom"/>
            <w:gridSpan w:val="2"/>
          </w:tcPr>
          <w:p>
            <w:pPr>
              <w:jc w:val="right"/>
              <w:ind w:right="448"/>
              <w:spacing w:after="0"/>
              <w:rPr>
                <w:sz w:val="20"/>
                <w:szCs w:val="20"/>
                <w:color w:val="auto"/>
              </w:rPr>
            </w:pPr>
            <w:r>
              <w:rPr>
                <w:rFonts w:ascii="Arial" w:cs="Arial" w:eastAsia="Arial" w:hAnsi="Arial"/>
                <w:sz w:val="14"/>
                <w:szCs w:val="14"/>
                <w:color w:val="auto"/>
              </w:rPr>
              <w:t>(214 )</w:t>
            </w:r>
          </w:p>
        </w:tc>
        <w:tc>
          <w:tcPr>
            <w:tcW w:w="680" w:type="dxa"/>
            <w:vAlign w:val="bottom"/>
          </w:tcPr>
          <w:p>
            <w:pPr>
              <w:spacing w:after="0"/>
              <w:rPr>
                <w:sz w:val="18"/>
                <w:szCs w:val="18"/>
                <w:color w:val="auto"/>
              </w:rPr>
            </w:pPr>
          </w:p>
        </w:tc>
        <w:tc>
          <w:tcPr>
            <w:tcW w:w="980" w:type="dxa"/>
            <w:vAlign w:val="bottom"/>
          </w:tcPr>
          <w:p>
            <w:pPr>
              <w:jc w:val="right"/>
              <w:ind w:right="128"/>
              <w:spacing w:after="0"/>
              <w:rPr>
                <w:sz w:val="20"/>
                <w:szCs w:val="20"/>
                <w:color w:val="auto"/>
              </w:rPr>
            </w:pPr>
            <w:r>
              <w:rPr>
                <w:rFonts w:ascii="Arial" w:cs="Arial" w:eastAsia="Arial" w:hAnsi="Arial"/>
                <w:sz w:val="14"/>
                <w:szCs w:val="14"/>
                <w:color w:val="auto"/>
              </w:rPr>
              <w:t>(231 )</w:t>
            </w:r>
          </w:p>
        </w:tc>
      </w:tr>
      <w:tr>
        <w:trPr>
          <w:trHeight w:val="216"/>
        </w:trPr>
        <w:tc>
          <w:tcPr>
            <w:tcW w:w="3820" w:type="dxa"/>
            <w:vAlign w:val="bottom"/>
            <w:gridSpan w:val="2"/>
          </w:tcPr>
          <w:p>
            <w:pPr>
              <w:ind w:left="20"/>
              <w:spacing w:after="0"/>
              <w:rPr>
                <w:sz w:val="20"/>
                <w:szCs w:val="20"/>
                <w:color w:val="auto"/>
              </w:rPr>
            </w:pPr>
            <w:r>
              <w:rPr>
                <w:rFonts w:ascii="Arial" w:cs="Arial" w:eastAsia="Arial" w:hAnsi="Arial"/>
                <w:sz w:val="14"/>
                <w:szCs w:val="14"/>
                <w:color w:val="auto"/>
              </w:rPr>
              <w:t>Employee benefit costs</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46</w:t>
            </w:r>
          </w:p>
        </w:tc>
        <w:tc>
          <w:tcPr>
            <w:tcW w:w="5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80" w:type="dxa"/>
            <w:vAlign w:val="bottom"/>
          </w:tcPr>
          <w:p>
            <w:pPr>
              <w:jc w:val="right"/>
              <w:ind w:right="188"/>
              <w:spacing w:after="0"/>
              <w:rPr>
                <w:sz w:val="20"/>
                <w:szCs w:val="20"/>
                <w:color w:val="auto"/>
              </w:rPr>
            </w:pPr>
            <w:r>
              <w:rPr>
                <w:rFonts w:ascii="Arial" w:cs="Arial" w:eastAsia="Arial" w:hAnsi="Arial"/>
                <w:sz w:val="14"/>
                <w:szCs w:val="14"/>
                <w:color w:val="auto"/>
              </w:rPr>
              <w:t>41</w:t>
            </w:r>
          </w:p>
        </w:tc>
      </w:tr>
      <w:tr>
        <w:trPr>
          <w:trHeight w:val="216"/>
        </w:trPr>
        <w:tc>
          <w:tcPr>
            <w:tcW w:w="3820" w:type="dxa"/>
            <w:vAlign w:val="bottom"/>
            <w:gridSpan w:val="2"/>
          </w:tcPr>
          <w:p>
            <w:pPr>
              <w:ind w:left="20"/>
              <w:spacing w:after="0"/>
              <w:rPr>
                <w:sz w:val="20"/>
                <w:szCs w:val="20"/>
                <w:color w:val="auto"/>
              </w:rPr>
            </w:pPr>
            <w:r>
              <w:rPr>
                <w:rFonts w:ascii="Arial" w:cs="Arial" w:eastAsia="Arial" w:hAnsi="Arial"/>
                <w:sz w:val="14"/>
                <w:szCs w:val="14"/>
                <w:color w:val="auto"/>
              </w:rPr>
              <w:t>Pension and other postretirement benefit obligations</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795</w:t>
            </w:r>
          </w:p>
        </w:tc>
        <w:tc>
          <w:tcPr>
            <w:tcW w:w="580" w:type="dxa"/>
            <w:vAlign w:val="bottom"/>
          </w:tcPr>
          <w:p>
            <w:pPr>
              <w:jc w:val="right"/>
              <w:ind w:right="368"/>
              <w:spacing w:after="0"/>
              <w:rPr>
                <w:sz w:val="20"/>
                <w:szCs w:val="20"/>
                <w:color w:val="auto"/>
              </w:rPr>
            </w:pPr>
            <w:r>
              <w:rPr>
                <w:rFonts w:ascii="Arial" w:cs="Arial" w:eastAsia="Arial" w:hAnsi="Arial"/>
                <w:sz w:val="14"/>
                <w:szCs w:val="14"/>
                <w:color w:val="auto"/>
              </w:rPr>
              <w:t>**</w:t>
            </w:r>
          </w:p>
        </w:tc>
        <w:tc>
          <w:tcPr>
            <w:tcW w:w="680" w:type="dxa"/>
            <w:vAlign w:val="bottom"/>
          </w:tcPr>
          <w:p>
            <w:pPr>
              <w:spacing w:after="0"/>
              <w:rPr>
                <w:sz w:val="18"/>
                <w:szCs w:val="18"/>
                <w:color w:val="auto"/>
              </w:rPr>
            </w:pPr>
          </w:p>
        </w:tc>
        <w:tc>
          <w:tcPr>
            <w:tcW w:w="980" w:type="dxa"/>
            <w:vAlign w:val="bottom"/>
          </w:tcPr>
          <w:p>
            <w:pPr>
              <w:jc w:val="right"/>
              <w:ind w:right="128"/>
              <w:spacing w:after="0"/>
              <w:rPr>
                <w:sz w:val="20"/>
                <w:szCs w:val="20"/>
                <w:color w:val="auto"/>
              </w:rPr>
            </w:pPr>
            <w:r>
              <w:rPr>
                <w:rFonts w:ascii="Arial" w:cs="Arial" w:eastAsia="Arial" w:hAnsi="Arial"/>
                <w:sz w:val="14"/>
                <w:szCs w:val="14"/>
                <w:color w:val="auto"/>
              </w:rPr>
              <w:t>(34 )</w:t>
            </w:r>
          </w:p>
        </w:tc>
      </w:tr>
      <w:tr>
        <w:trPr>
          <w:trHeight w:val="222"/>
        </w:trPr>
        <w:tc>
          <w:tcPr>
            <w:tcW w:w="3820" w:type="dxa"/>
            <w:vAlign w:val="bottom"/>
            <w:gridSpan w:val="2"/>
          </w:tcPr>
          <w:p>
            <w:pPr>
              <w:ind w:left="20"/>
              <w:spacing w:after="0"/>
              <w:rPr>
                <w:sz w:val="20"/>
                <w:szCs w:val="20"/>
                <w:color w:val="auto"/>
              </w:rPr>
            </w:pPr>
            <w:r>
              <w:rPr>
                <w:rFonts w:ascii="Arial" w:cs="Arial" w:eastAsia="Arial" w:hAnsi="Arial"/>
                <w:sz w:val="14"/>
                <w:szCs w:val="14"/>
                <w:color w:val="auto"/>
              </w:rPr>
              <w:t>Other</w:t>
            </w:r>
          </w:p>
        </w:tc>
        <w:tc>
          <w:tcPr>
            <w:tcW w:w="2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w:t>
            </w:r>
          </w:p>
        </w:tc>
        <w:tc>
          <w:tcPr>
            <w:tcW w:w="5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21</w:t>
            </w:r>
          </w:p>
        </w:tc>
      </w:tr>
      <w:tr>
        <w:trPr>
          <w:trHeight w:val="208"/>
        </w:trPr>
        <w:tc>
          <w:tcPr>
            <w:tcW w:w="3820" w:type="dxa"/>
            <w:vAlign w:val="bottom"/>
            <w:gridSpan w:val="2"/>
          </w:tcPr>
          <w:p>
            <w:pPr>
              <w:ind w:left="240"/>
              <w:spacing w:after="0"/>
              <w:rPr>
                <w:sz w:val="20"/>
                <w:szCs w:val="20"/>
                <w:color w:val="auto"/>
              </w:rPr>
            </w:pPr>
            <w:r>
              <w:rPr>
                <w:rFonts w:ascii="Arial" w:cs="Arial" w:eastAsia="Arial" w:hAnsi="Arial"/>
                <w:sz w:val="14"/>
                <w:szCs w:val="14"/>
                <w:color w:val="auto"/>
              </w:rPr>
              <w:t>Total SoCalGas</w:t>
            </w:r>
          </w:p>
        </w:tc>
        <w:tc>
          <w:tcPr>
            <w:tcW w:w="2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gridSpan w:val="2"/>
          </w:tcPr>
          <w:p>
            <w:pPr>
              <w:jc w:val="right"/>
              <w:ind w:right="448"/>
              <w:spacing w:after="0"/>
              <w:rPr>
                <w:sz w:val="20"/>
                <w:szCs w:val="20"/>
                <w:color w:val="auto"/>
              </w:rPr>
            </w:pPr>
            <w:r>
              <w:rPr>
                <w:rFonts w:ascii="Arial" w:cs="Arial" w:eastAsia="Arial" w:hAnsi="Arial"/>
                <w:sz w:val="14"/>
                <w:szCs w:val="14"/>
                <w:color w:val="auto"/>
              </w:rPr>
              <w:t>(517 )</w:t>
            </w:r>
          </w:p>
        </w:tc>
        <w:tc>
          <w:tcPr>
            <w:tcW w:w="6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(1,313 )</w:t>
            </w:r>
          </w:p>
        </w:tc>
      </w:tr>
      <w:tr>
        <w:trPr>
          <w:trHeight w:val="424"/>
        </w:trPr>
        <w:tc>
          <w:tcPr>
            <w:tcW w:w="3820" w:type="dxa"/>
            <w:vAlign w:val="bottom"/>
            <w:gridSpan w:val="2"/>
          </w:tcPr>
          <w:p>
            <w:pPr>
              <w:ind w:left="240"/>
              <w:spacing w:after="0"/>
              <w:rPr>
                <w:sz w:val="20"/>
                <w:szCs w:val="20"/>
                <w:color w:val="auto"/>
              </w:rPr>
            </w:pPr>
            <w:r>
              <w:rPr>
                <w:rFonts w:ascii="Arial" w:cs="Arial" w:eastAsia="Arial" w:hAnsi="Arial"/>
                <w:sz w:val="14"/>
                <w:szCs w:val="14"/>
                <w:color w:val="auto"/>
              </w:rPr>
              <w:t>Other – Mobile Gas</w:t>
            </w:r>
          </w:p>
        </w:tc>
        <w:tc>
          <w:tcPr>
            <w:tcW w:w="22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gridSpan w:val="2"/>
          </w:tcPr>
          <w:p>
            <w:pPr>
              <w:jc w:val="right"/>
              <w:ind w:right="448"/>
              <w:spacing w:after="0"/>
              <w:rPr>
                <w:sz w:val="20"/>
                <w:szCs w:val="20"/>
                <w:color w:val="auto"/>
              </w:rPr>
            </w:pPr>
            <w:r>
              <w:rPr>
                <w:rFonts w:ascii="Arial" w:cs="Arial" w:eastAsia="Arial" w:hAnsi="Arial"/>
                <w:sz w:val="14"/>
                <w:szCs w:val="14"/>
                <w:color w:val="auto"/>
              </w:rPr>
              <w:t>(3 )</w:t>
            </w:r>
          </w:p>
        </w:tc>
        <w:tc>
          <w:tcPr>
            <w:tcW w:w="6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r>
      <w:tr>
        <w:trPr>
          <w:trHeight w:val="440"/>
        </w:trPr>
        <w:tc>
          <w:tcPr>
            <w:tcW w:w="382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Total Sempra Energy Consolidated</w:t>
            </w:r>
          </w:p>
        </w:tc>
        <w:tc>
          <w:tcPr>
            <w:tcW w:w="2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w w:val="76"/>
              </w:rPr>
              <w:t>$</w:t>
            </w:r>
          </w:p>
        </w:tc>
        <w:tc>
          <w:tcPr>
            <w:tcW w:w="1320" w:type="dxa"/>
            <w:vAlign w:val="bottom"/>
            <w:tcBorders>
              <w:bottom w:val="single" w:sz="8" w:color="auto"/>
            </w:tcBorders>
            <w:gridSpan w:val="2"/>
          </w:tcPr>
          <w:p>
            <w:pPr>
              <w:jc w:val="right"/>
              <w:ind w:right="448"/>
              <w:spacing w:after="0"/>
              <w:rPr>
                <w:sz w:val="20"/>
                <w:szCs w:val="20"/>
                <w:color w:val="auto"/>
              </w:rPr>
            </w:pPr>
            <w:r>
              <w:rPr>
                <w:rFonts w:ascii="Arial" w:cs="Arial" w:eastAsia="Arial" w:hAnsi="Arial"/>
                <w:sz w:val="14"/>
                <w:szCs w:val="14"/>
                <w:color w:val="auto"/>
              </w:rPr>
              <w:t>(545 )</w:t>
            </w:r>
          </w:p>
        </w:tc>
        <w:tc>
          <w:tcPr>
            <w:tcW w:w="6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(1,751 )</w:t>
            </w:r>
          </w:p>
        </w:tc>
      </w:tr>
    </w:tbl>
    <w:p>
      <w:pPr>
        <w:spacing w:after="0" w:line="16" w:lineRule="exact"/>
        <w:rPr>
          <w:sz w:val="20"/>
          <w:szCs w:val="20"/>
          <w:color w:val="auto"/>
        </w:rPr>
      </w:pPr>
    </w:p>
    <w:p>
      <w:pPr>
        <w:ind w:left="2480" w:right="1639" w:hanging="262"/>
        <w:spacing w:after="0" w:line="277" w:lineRule="auto"/>
        <w:tabs>
          <w:tab w:leader="none" w:pos="2480" w:val="left"/>
        </w:tabs>
        <w:numPr>
          <w:ilvl w:val="0"/>
          <w:numId w:val="308"/>
        </w:numPr>
        <w:rPr>
          <w:rFonts w:ascii="Arial" w:cs="Arial" w:eastAsia="Arial" w:hAnsi="Arial"/>
          <w:sz w:val="13"/>
          <w:szCs w:val="13"/>
          <w:i w:val="1"/>
          <w:iCs w:val="1"/>
          <w:color w:val="auto"/>
        </w:rPr>
      </w:pPr>
      <w:r>
        <w:rPr>
          <w:rFonts w:ascii="Arial" w:cs="Arial" w:eastAsia="Arial" w:hAnsi="Arial"/>
          <w:sz w:val="13"/>
          <w:szCs w:val="13"/>
          <w:i w:val="1"/>
          <w:iCs w:val="1"/>
          <w:color w:val="auto"/>
        </w:rPr>
        <w:t>This is related to SFAS 143, Accounting for Asset Retirement Obligations, which we discuss below in "Asset Retirement Obligations."</w:t>
      </w:r>
    </w:p>
    <w:p>
      <w:pPr>
        <w:spacing w:after="0" w:line="3" w:lineRule="exact"/>
        <w:rPr>
          <w:sz w:val="20"/>
          <w:szCs w:val="20"/>
          <w:color w:val="auto"/>
        </w:rPr>
      </w:pPr>
    </w:p>
    <w:p>
      <w:pPr>
        <w:jc w:val="both"/>
        <w:ind w:left="2480" w:right="1099" w:hanging="262"/>
        <w:spacing w:after="0" w:line="263" w:lineRule="auto"/>
        <w:tabs>
          <w:tab w:leader="none" w:pos="2480" w:val="left"/>
        </w:tabs>
        <w:numPr>
          <w:ilvl w:val="0"/>
          <w:numId w:val="309"/>
        </w:numPr>
        <w:rPr>
          <w:rFonts w:ascii="Arial" w:cs="Arial" w:eastAsia="Arial" w:hAnsi="Arial"/>
          <w:sz w:val="13"/>
          <w:szCs w:val="13"/>
          <w:i w:val="1"/>
          <w:iCs w:val="1"/>
          <w:color w:val="auto"/>
        </w:rPr>
      </w:pPr>
      <w:r>
        <w:rPr>
          <w:rFonts w:ascii="Arial" w:cs="Arial" w:eastAsia="Arial" w:hAnsi="Arial"/>
          <w:sz w:val="13"/>
          <w:szCs w:val="13"/>
          <w:i w:val="1"/>
          <w:iCs w:val="1"/>
          <w:color w:val="auto"/>
        </w:rPr>
        <w:t>Recent market turmoil resulted in significant losses in the value of assets in pension and postretirement benefit plans. At the Sempra Utilities, the impact of this loss in value is recoverable in rates, which caused an increase in regulatory assets for pension and other postretirement benefit plans in 2008.</w:t>
      </w: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4"/>
          <w:szCs w:val="14"/>
          <w:color w:val="auto"/>
        </w:rPr>
        <w:t>95</w:t>
      </w:r>
    </w:p>
    <w:p>
      <w:pPr>
        <w:sectPr>
          <w:pgSz w:w="11900" w:h="16838" w:orient="portrait"/>
          <w:cols w:equalWidth="0" w:num="1">
            <w:col w:w="10219"/>
          </w:cols>
          <w:pgMar w:left="240" w:top="127" w:right="1440" w:bottom="1440" w:gutter="0" w:footer="0" w:header="0"/>
        </w:sectPr>
      </w:pPr>
    </w:p>
    <w:bookmarkStart w:id="235" w:name="page236"/>
    <w:bookmarkEnd w:id="235"/>
    <w:p>
      <w:pPr>
        <w:ind w:left="1624"/>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1172210</wp:posOffset>
            </wp:positionH>
            <wp:positionV relativeFrom="page">
              <wp:posOffset>226695</wp:posOffset>
            </wp:positionV>
            <wp:extent cx="5224780" cy="389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5224780" cy="389255"/>
                    </a:xfrm>
                    <a:prstGeom prst="rect">
                      <a:avLst/>
                    </a:prstGeom>
                    <a:noFill/>
                  </pic:spPr>
                </pic:pic>
              </a:graphicData>
            </a:graphic>
          </wp:anchor>
        </w:drawing>
        <w:t>NET REGULATORY ASSETS (LIABILITIES) AS PRESENTED ON THE</w:t>
      </w:r>
    </w:p>
    <w:p>
      <w:pPr>
        <w:spacing w:after="0" w:line="31" w:lineRule="exact"/>
        <w:rPr>
          <w:sz w:val="20"/>
          <w:szCs w:val="20"/>
          <w:color w:val="auto"/>
        </w:rPr>
      </w:pPr>
    </w:p>
    <w:p>
      <w:pPr>
        <w:ind w:left="1624"/>
        <w:spacing w:after="0"/>
        <w:rPr>
          <w:sz w:val="20"/>
          <w:szCs w:val="20"/>
          <w:color w:val="auto"/>
        </w:rPr>
      </w:pPr>
      <w:r>
        <w:rPr>
          <w:rFonts w:ascii="Arial" w:cs="Arial" w:eastAsia="Arial" w:hAnsi="Arial"/>
          <w:sz w:val="14"/>
          <w:szCs w:val="14"/>
          <w:b w:val="1"/>
          <w:bCs w:val="1"/>
          <w:color w:val="auto"/>
        </w:rPr>
        <w:t>CONSOLIDATED BALANCE SHEETS AT DECEMBER 31</w:t>
      </w:r>
    </w:p>
    <w:p>
      <w:pPr>
        <w:spacing w:after="0" w:line="76" w:lineRule="exact"/>
        <w:rPr>
          <w:sz w:val="20"/>
          <w:szCs w:val="20"/>
          <w:color w:val="auto"/>
        </w:rPr>
      </w:pPr>
    </w:p>
    <w:tbl>
      <w:tblPr>
        <w:tblLayout w:type="fixed"/>
        <w:tblInd w:w="1604" w:type="dxa"/>
        <w:tblCellMar>
          <w:top w:w="0" w:type="dxa"/>
          <w:left w:w="0" w:type="dxa"/>
          <w:bottom w:w="0" w:type="dxa"/>
          <w:right w:w="0" w:type="dxa"/>
        </w:tblCellMar>
      </w:tblPr>
      <w:tr>
        <w:trPr>
          <w:trHeight w:val="166"/>
        </w:trPr>
        <w:tc>
          <w:tcPr>
            <w:tcW w:w="2320" w:type="dxa"/>
            <w:vAlign w:val="bottom"/>
          </w:tcPr>
          <w:p>
            <w:pPr>
              <w:ind w:left="20"/>
              <w:spacing w:after="0"/>
              <w:rPr>
                <w:sz w:val="20"/>
                <w:szCs w:val="20"/>
                <w:color w:val="auto"/>
              </w:rPr>
            </w:pPr>
            <w:r>
              <w:rPr>
                <w:rFonts w:ascii="Arial" w:cs="Arial" w:eastAsia="Arial" w:hAnsi="Arial"/>
                <w:sz w:val="13"/>
                <w:szCs w:val="13"/>
                <w:i w:val="1"/>
                <w:iCs w:val="1"/>
                <w:color w:val="auto"/>
              </w:rPr>
              <w:t>(Dollars in millions)</w:t>
            </w:r>
          </w:p>
        </w:tc>
        <w:tc>
          <w:tcPr>
            <w:tcW w:w="3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209"/>
        </w:trPr>
        <w:tc>
          <w:tcPr>
            <w:tcW w:w="23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289"/>
              <w:spacing w:after="0"/>
              <w:rPr>
                <w:sz w:val="20"/>
                <w:szCs w:val="20"/>
                <w:color w:val="auto"/>
              </w:rPr>
            </w:pPr>
            <w:r>
              <w:rPr>
                <w:rFonts w:ascii="Arial" w:cs="Arial" w:eastAsia="Arial" w:hAnsi="Arial"/>
                <w:sz w:val="13"/>
                <w:szCs w:val="13"/>
                <w:color w:val="auto"/>
              </w:rPr>
              <w:t>2008</w:t>
            </w:r>
          </w:p>
        </w:tc>
        <w:tc>
          <w:tcPr>
            <w:tcW w:w="2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329"/>
              <w:spacing w:after="0"/>
              <w:rPr>
                <w:sz w:val="20"/>
                <w:szCs w:val="20"/>
                <w:color w:val="auto"/>
              </w:rPr>
            </w:pPr>
            <w:r>
              <w:rPr>
                <w:rFonts w:ascii="Arial" w:cs="Arial" w:eastAsia="Arial" w:hAnsi="Arial"/>
                <w:sz w:val="13"/>
                <w:szCs w:val="13"/>
                <w:color w:val="auto"/>
                <w:w w:val="96"/>
              </w:rPr>
              <w:t>2007</w:t>
            </w:r>
          </w:p>
        </w:tc>
        <w:tc>
          <w:tcPr>
            <w:tcW w:w="2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r>
      <w:tr>
        <w:trPr>
          <w:trHeight w:val="167"/>
        </w:trPr>
        <w:tc>
          <w:tcPr>
            <w:tcW w:w="2320" w:type="dxa"/>
            <w:vAlign w:val="bottom"/>
          </w:tcPr>
          <w:p>
            <w:pPr>
              <w:spacing w:after="0"/>
              <w:rPr>
                <w:sz w:val="14"/>
                <w:szCs w:val="14"/>
                <w:color w:val="auto"/>
              </w:rPr>
            </w:pPr>
          </w:p>
        </w:tc>
        <w:tc>
          <w:tcPr>
            <w:tcW w:w="1040" w:type="dxa"/>
            <w:vAlign w:val="bottom"/>
            <w:gridSpan w:val="2"/>
          </w:tcPr>
          <w:p>
            <w:pPr>
              <w:jc w:val="right"/>
              <w:ind w:right="48"/>
              <w:spacing w:after="0"/>
              <w:rPr>
                <w:sz w:val="20"/>
                <w:szCs w:val="20"/>
                <w:color w:val="auto"/>
              </w:rPr>
            </w:pPr>
            <w:r>
              <w:rPr>
                <w:rFonts w:ascii="Arial" w:cs="Arial" w:eastAsia="Arial" w:hAnsi="Arial"/>
                <w:sz w:val="13"/>
                <w:szCs w:val="13"/>
                <w:color w:val="auto"/>
                <w:w w:val="99"/>
              </w:rPr>
              <w:t>Sempra Energy</w:t>
            </w: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tcPr>
          <w:p>
            <w:pPr>
              <w:jc w:val="right"/>
              <w:ind w:right="68"/>
              <w:spacing w:after="0"/>
              <w:rPr>
                <w:sz w:val="20"/>
                <w:szCs w:val="20"/>
                <w:color w:val="auto"/>
              </w:rPr>
            </w:pPr>
            <w:r>
              <w:rPr>
                <w:rFonts w:ascii="Arial" w:cs="Arial" w:eastAsia="Arial" w:hAnsi="Arial"/>
                <w:sz w:val="13"/>
                <w:szCs w:val="13"/>
                <w:color w:val="auto"/>
              </w:rPr>
              <w:t>Sempra Energy</w:t>
            </w: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61"/>
        </w:trPr>
        <w:tc>
          <w:tcPr>
            <w:tcW w:w="23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2"/>
          </w:tcPr>
          <w:p>
            <w:pPr>
              <w:jc w:val="right"/>
              <w:ind w:right="128"/>
              <w:spacing w:after="0"/>
              <w:rPr>
                <w:sz w:val="20"/>
                <w:szCs w:val="20"/>
                <w:color w:val="auto"/>
              </w:rPr>
            </w:pPr>
            <w:r>
              <w:rPr>
                <w:rFonts w:ascii="Arial" w:cs="Arial" w:eastAsia="Arial" w:hAnsi="Arial"/>
                <w:sz w:val="13"/>
                <w:szCs w:val="13"/>
                <w:color w:val="auto"/>
              </w:rPr>
              <w:t>Consolidated</w:t>
            </w:r>
          </w:p>
        </w:tc>
        <w:tc>
          <w:tcPr>
            <w:tcW w:w="880" w:type="dxa"/>
            <w:vAlign w:val="bottom"/>
            <w:tcBorders>
              <w:bottom w:val="single" w:sz="8" w:color="auto"/>
            </w:tcBorders>
            <w:gridSpan w:val="2"/>
          </w:tcPr>
          <w:p>
            <w:pPr>
              <w:jc w:val="right"/>
              <w:ind w:right="189"/>
              <w:spacing w:after="0"/>
              <w:rPr>
                <w:sz w:val="20"/>
                <w:szCs w:val="20"/>
                <w:color w:val="auto"/>
              </w:rPr>
            </w:pPr>
            <w:r>
              <w:rPr>
                <w:rFonts w:ascii="Arial" w:cs="Arial" w:eastAsia="Arial" w:hAnsi="Arial"/>
                <w:sz w:val="13"/>
                <w:szCs w:val="13"/>
                <w:color w:val="auto"/>
              </w:rPr>
              <w:t>SDG&amp;E</w:t>
            </w:r>
          </w:p>
        </w:tc>
        <w:tc>
          <w:tcPr>
            <w:tcW w:w="920" w:type="dxa"/>
            <w:vAlign w:val="bottom"/>
            <w:tcBorders>
              <w:bottom w:val="single" w:sz="8" w:color="auto"/>
            </w:tcBorders>
            <w:gridSpan w:val="2"/>
          </w:tcPr>
          <w:p>
            <w:pPr>
              <w:ind w:left="160"/>
              <w:spacing w:after="0"/>
              <w:rPr>
                <w:sz w:val="20"/>
                <w:szCs w:val="20"/>
                <w:color w:val="auto"/>
              </w:rPr>
            </w:pPr>
            <w:r>
              <w:rPr>
                <w:rFonts w:ascii="Arial" w:cs="Arial" w:eastAsia="Arial" w:hAnsi="Arial"/>
                <w:sz w:val="13"/>
                <w:szCs w:val="13"/>
                <w:color w:val="auto"/>
              </w:rPr>
              <w:t>SoCalGas</w:t>
            </w:r>
          </w:p>
        </w:tc>
        <w:tc>
          <w:tcPr>
            <w:tcW w:w="1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2"/>
          </w:tcPr>
          <w:p>
            <w:pPr>
              <w:jc w:val="right"/>
              <w:ind w:right="128"/>
              <w:spacing w:after="0"/>
              <w:rPr>
                <w:sz w:val="20"/>
                <w:szCs w:val="20"/>
                <w:color w:val="auto"/>
              </w:rPr>
            </w:pPr>
            <w:r>
              <w:rPr>
                <w:rFonts w:ascii="Arial" w:cs="Arial" w:eastAsia="Arial" w:hAnsi="Arial"/>
                <w:sz w:val="13"/>
                <w:szCs w:val="13"/>
                <w:color w:val="auto"/>
              </w:rPr>
              <w:t>Consolidated</w:t>
            </w:r>
          </w:p>
        </w:tc>
        <w:tc>
          <w:tcPr>
            <w:tcW w:w="920" w:type="dxa"/>
            <w:vAlign w:val="bottom"/>
            <w:tcBorders>
              <w:bottom w:val="single" w:sz="8" w:color="auto"/>
            </w:tcBorders>
            <w:gridSpan w:val="2"/>
          </w:tcPr>
          <w:p>
            <w:pPr>
              <w:jc w:val="right"/>
              <w:ind w:right="209"/>
              <w:spacing w:after="0"/>
              <w:rPr>
                <w:sz w:val="20"/>
                <w:szCs w:val="20"/>
                <w:color w:val="auto"/>
              </w:rPr>
            </w:pPr>
            <w:r>
              <w:rPr>
                <w:rFonts w:ascii="Arial" w:cs="Arial" w:eastAsia="Arial" w:hAnsi="Arial"/>
                <w:sz w:val="13"/>
                <w:szCs w:val="13"/>
                <w:color w:val="auto"/>
              </w:rPr>
              <w:t>SDG&amp;E</w:t>
            </w:r>
          </w:p>
        </w:tc>
        <w:tc>
          <w:tcPr>
            <w:tcW w:w="940" w:type="dxa"/>
            <w:vAlign w:val="bottom"/>
            <w:tcBorders>
              <w:bottom w:val="single" w:sz="8" w:color="auto"/>
            </w:tcBorders>
            <w:gridSpan w:val="2"/>
          </w:tcPr>
          <w:p>
            <w:pPr>
              <w:ind w:left="160"/>
              <w:spacing w:after="0"/>
              <w:rPr>
                <w:sz w:val="20"/>
                <w:szCs w:val="20"/>
                <w:color w:val="auto"/>
              </w:rPr>
            </w:pPr>
            <w:r>
              <w:rPr>
                <w:rFonts w:ascii="Arial" w:cs="Arial" w:eastAsia="Arial" w:hAnsi="Arial"/>
                <w:sz w:val="13"/>
                <w:szCs w:val="13"/>
                <w:color w:val="auto"/>
              </w:rPr>
              <w:t>SoCalGas</w:t>
            </w:r>
          </w:p>
        </w:tc>
      </w:tr>
      <w:tr>
        <w:trPr>
          <w:trHeight w:val="207"/>
        </w:trPr>
        <w:tc>
          <w:tcPr>
            <w:tcW w:w="2320" w:type="dxa"/>
            <w:vAlign w:val="bottom"/>
          </w:tcPr>
          <w:p>
            <w:pPr>
              <w:ind w:left="20"/>
              <w:spacing w:after="0"/>
              <w:rPr>
                <w:sz w:val="20"/>
                <w:szCs w:val="20"/>
                <w:color w:val="auto"/>
              </w:rPr>
            </w:pPr>
            <w:r>
              <w:rPr>
                <w:rFonts w:ascii="Arial" w:cs="Arial" w:eastAsia="Arial" w:hAnsi="Arial"/>
                <w:sz w:val="14"/>
                <w:szCs w:val="14"/>
                <w:color w:val="auto"/>
              </w:rPr>
              <w:t>Current regulatory assets</w:t>
            </w:r>
          </w:p>
        </w:tc>
        <w:tc>
          <w:tcPr>
            <w:tcW w:w="30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208"/>
              <w:spacing w:after="0"/>
              <w:rPr>
                <w:sz w:val="20"/>
                <w:szCs w:val="20"/>
                <w:color w:val="auto"/>
              </w:rPr>
            </w:pPr>
            <w:r>
              <w:rPr>
                <w:rFonts w:ascii="Arial" w:cs="Arial" w:eastAsia="Arial" w:hAnsi="Arial"/>
                <w:sz w:val="14"/>
                <w:szCs w:val="14"/>
                <w:color w:val="auto"/>
              </w:rPr>
              <w:t>121</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149"/>
              <w:spacing w:after="0"/>
              <w:rPr>
                <w:sz w:val="20"/>
                <w:szCs w:val="20"/>
                <w:color w:val="auto"/>
              </w:rPr>
            </w:pPr>
            <w:r>
              <w:rPr>
                <w:rFonts w:ascii="Arial" w:cs="Arial" w:eastAsia="Arial" w:hAnsi="Arial"/>
                <w:sz w:val="14"/>
                <w:szCs w:val="14"/>
                <w:color w:val="auto"/>
              </w:rPr>
              <w:t>102</w:t>
            </w:r>
          </w:p>
        </w:tc>
        <w:tc>
          <w:tcPr>
            <w:tcW w:w="280" w:type="dxa"/>
            <w:vAlign w:val="bottom"/>
          </w:tcPr>
          <w:p>
            <w:pPr>
              <w:ind w:left="160"/>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148"/>
              <w:spacing w:after="0"/>
              <w:rPr>
                <w:sz w:val="20"/>
                <w:szCs w:val="20"/>
                <w:color w:val="auto"/>
              </w:rPr>
            </w:pPr>
            <w:r>
              <w:rPr>
                <w:rFonts w:ascii="Arial" w:cs="Arial" w:eastAsia="Arial" w:hAnsi="Arial"/>
                <w:sz w:val="14"/>
                <w:szCs w:val="14"/>
                <w:color w:val="auto"/>
              </w:rPr>
              <w:t>18</w:t>
            </w:r>
          </w:p>
        </w:tc>
        <w:tc>
          <w:tcPr>
            <w:tcW w:w="5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188"/>
              <w:spacing w:after="0"/>
              <w:rPr>
                <w:sz w:val="20"/>
                <w:szCs w:val="20"/>
                <w:color w:val="auto"/>
              </w:rPr>
            </w:pPr>
            <w:r>
              <w:rPr>
                <w:rFonts w:ascii="Arial" w:cs="Arial" w:eastAsia="Arial" w:hAnsi="Arial"/>
                <w:sz w:val="14"/>
                <w:szCs w:val="14"/>
                <w:color w:val="auto"/>
              </w:rPr>
              <w:t>106</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169"/>
              <w:spacing w:after="0"/>
              <w:rPr>
                <w:sz w:val="20"/>
                <w:szCs w:val="20"/>
                <w:color w:val="auto"/>
              </w:rPr>
            </w:pPr>
            <w:r>
              <w:rPr>
                <w:rFonts w:ascii="Arial" w:cs="Arial" w:eastAsia="Arial" w:hAnsi="Arial"/>
                <w:sz w:val="14"/>
                <w:szCs w:val="14"/>
                <w:color w:val="auto"/>
              </w:rPr>
              <w:t>66</w:t>
            </w:r>
          </w:p>
        </w:tc>
        <w:tc>
          <w:tcPr>
            <w:tcW w:w="260" w:type="dxa"/>
            <w:vAlign w:val="bottom"/>
          </w:tcPr>
          <w:p>
            <w:pPr>
              <w:ind w:left="160"/>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168"/>
              <w:spacing w:after="0"/>
              <w:rPr>
                <w:sz w:val="20"/>
                <w:szCs w:val="20"/>
                <w:color w:val="auto"/>
              </w:rPr>
            </w:pPr>
            <w:r>
              <w:rPr>
                <w:rFonts w:ascii="Arial" w:cs="Arial" w:eastAsia="Arial" w:hAnsi="Arial"/>
                <w:sz w:val="14"/>
                <w:szCs w:val="14"/>
                <w:color w:val="auto"/>
              </w:rPr>
              <w:t>40</w:t>
            </w:r>
          </w:p>
        </w:tc>
      </w:tr>
      <w:tr>
        <w:trPr>
          <w:trHeight w:val="216"/>
        </w:trPr>
        <w:tc>
          <w:tcPr>
            <w:tcW w:w="2320" w:type="dxa"/>
            <w:vAlign w:val="bottom"/>
          </w:tcPr>
          <w:p>
            <w:pPr>
              <w:ind w:left="20"/>
              <w:spacing w:after="0"/>
              <w:rPr>
                <w:sz w:val="20"/>
                <w:szCs w:val="20"/>
                <w:color w:val="auto"/>
              </w:rPr>
            </w:pPr>
            <w:r>
              <w:rPr>
                <w:rFonts w:ascii="Arial" w:cs="Arial" w:eastAsia="Arial" w:hAnsi="Arial"/>
                <w:sz w:val="14"/>
                <w:szCs w:val="14"/>
                <w:color w:val="auto"/>
              </w:rPr>
              <w:t>Noncurrent regulatory assets</w:t>
            </w:r>
          </w:p>
        </w:tc>
        <w:tc>
          <w:tcPr>
            <w:tcW w:w="300" w:type="dxa"/>
            <w:vAlign w:val="bottom"/>
          </w:tcPr>
          <w:p>
            <w:pPr>
              <w:spacing w:after="0"/>
              <w:rPr>
                <w:sz w:val="18"/>
                <w:szCs w:val="18"/>
                <w:color w:val="auto"/>
              </w:rPr>
            </w:pPr>
          </w:p>
        </w:tc>
        <w:tc>
          <w:tcPr>
            <w:tcW w:w="740" w:type="dxa"/>
            <w:vAlign w:val="bottom"/>
          </w:tcPr>
          <w:p>
            <w:pPr>
              <w:jc w:val="right"/>
              <w:ind w:right="208"/>
              <w:spacing w:after="0"/>
              <w:rPr>
                <w:sz w:val="20"/>
                <w:szCs w:val="20"/>
                <w:color w:val="auto"/>
              </w:rPr>
            </w:pPr>
            <w:r>
              <w:rPr>
                <w:rFonts w:ascii="Arial" w:cs="Arial" w:eastAsia="Arial" w:hAnsi="Arial"/>
                <w:sz w:val="14"/>
                <w:szCs w:val="14"/>
                <w:color w:val="auto"/>
              </w:rPr>
              <w:t>1,986</w:t>
            </w:r>
          </w:p>
        </w:tc>
        <w:tc>
          <w:tcPr>
            <w:tcW w:w="200" w:type="dxa"/>
            <w:vAlign w:val="bottom"/>
          </w:tcPr>
          <w:p>
            <w:pPr>
              <w:spacing w:after="0"/>
              <w:rPr>
                <w:sz w:val="18"/>
                <w:szCs w:val="18"/>
                <w:color w:val="auto"/>
              </w:rPr>
            </w:pPr>
          </w:p>
        </w:tc>
        <w:tc>
          <w:tcPr>
            <w:tcW w:w="680" w:type="dxa"/>
            <w:vAlign w:val="bottom"/>
          </w:tcPr>
          <w:p>
            <w:pPr>
              <w:jc w:val="right"/>
              <w:ind w:right="149"/>
              <w:spacing w:after="0"/>
              <w:rPr>
                <w:sz w:val="20"/>
                <w:szCs w:val="20"/>
                <w:color w:val="auto"/>
              </w:rPr>
            </w:pPr>
            <w:r>
              <w:rPr>
                <w:rFonts w:ascii="Arial" w:cs="Arial" w:eastAsia="Arial" w:hAnsi="Arial"/>
                <w:sz w:val="14"/>
                <w:szCs w:val="14"/>
                <w:color w:val="auto"/>
              </w:rPr>
              <w:t>1,085</w:t>
            </w:r>
          </w:p>
        </w:tc>
        <w:tc>
          <w:tcPr>
            <w:tcW w:w="280" w:type="dxa"/>
            <w:vAlign w:val="bottom"/>
          </w:tcPr>
          <w:p>
            <w:pPr>
              <w:spacing w:after="0"/>
              <w:rPr>
                <w:sz w:val="18"/>
                <w:szCs w:val="18"/>
                <w:color w:val="auto"/>
              </w:rPr>
            </w:pPr>
          </w:p>
        </w:tc>
        <w:tc>
          <w:tcPr>
            <w:tcW w:w="640" w:type="dxa"/>
            <w:vAlign w:val="bottom"/>
          </w:tcPr>
          <w:p>
            <w:pPr>
              <w:jc w:val="right"/>
              <w:ind w:right="148"/>
              <w:spacing w:after="0"/>
              <w:rPr>
                <w:sz w:val="20"/>
                <w:szCs w:val="20"/>
                <w:color w:val="auto"/>
              </w:rPr>
            </w:pPr>
            <w:r>
              <w:rPr>
                <w:rFonts w:ascii="Arial" w:cs="Arial" w:eastAsia="Arial" w:hAnsi="Arial"/>
                <w:sz w:val="14"/>
                <w:szCs w:val="14"/>
                <w:color w:val="auto"/>
              </w:rPr>
              <w:t>900</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20" w:type="dxa"/>
            <w:vAlign w:val="bottom"/>
          </w:tcPr>
          <w:p>
            <w:pPr>
              <w:jc w:val="right"/>
              <w:ind w:right="188"/>
              <w:spacing w:after="0"/>
              <w:rPr>
                <w:sz w:val="20"/>
                <w:szCs w:val="20"/>
                <w:color w:val="auto"/>
              </w:rPr>
            </w:pPr>
            <w:r>
              <w:rPr>
                <w:rFonts w:ascii="Arial" w:cs="Arial" w:eastAsia="Arial" w:hAnsi="Arial"/>
                <w:sz w:val="14"/>
                <w:szCs w:val="14"/>
                <w:color w:val="auto"/>
              </w:rPr>
              <w:t>931</w:t>
            </w:r>
          </w:p>
        </w:tc>
        <w:tc>
          <w:tcPr>
            <w:tcW w:w="220" w:type="dxa"/>
            <w:vAlign w:val="bottom"/>
          </w:tcPr>
          <w:p>
            <w:pPr>
              <w:spacing w:after="0"/>
              <w:rPr>
                <w:sz w:val="18"/>
                <w:szCs w:val="18"/>
                <w:color w:val="auto"/>
              </w:rPr>
            </w:pPr>
          </w:p>
        </w:tc>
        <w:tc>
          <w:tcPr>
            <w:tcW w:w="700" w:type="dxa"/>
            <w:vAlign w:val="bottom"/>
          </w:tcPr>
          <w:p>
            <w:pPr>
              <w:jc w:val="right"/>
              <w:ind w:right="169"/>
              <w:spacing w:after="0"/>
              <w:rPr>
                <w:sz w:val="20"/>
                <w:szCs w:val="20"/>
                <w:color w:val="auto"/>
              </w:rPr>
            </w:pPr>
            <w:r>
              <w:rPr>
                <w:rFonts w:ascii="Arial" w:cs="Arial" w:eastAsia="Arial" w:hAnsi="Arial"/>
                <w:sz w:val="14"/>
                <w:szCs w:val="14"/>
                <w:color w:val="auto"/>
              </w:rPr>
              <w:t>831</w:t>
            </w:r>
          </w:p>
        </w:tc>
        <w:tc>
          <w:tcPr>
            <w:tcW w:w="260" w:type="dxa"/>
            <w:vAlign w:val="bottom"/>
          </w:tcPr>
          <w:p>
            <w:pPr>
              <w:spacing w:after="0"/>
              <w:rPr>
                <w:sz w:val="18"/>
                <w:szCs w:val="18"/>
                <w:color w:val="auto"/>
              </w:rPr>
            </w:pPr>
          </w:p>
        </w:tc>
        <w:tc>
          <w:tcPr>
            <w:tcW w:w="680" w:type="dxa"/>
            <w:vAlign w:val="bottom"/>
          </w:tcPr>
          <w:p>
            <w:pPr>
              <w:jc w:val="right"/>
              <w:ind w:right="168"/>
              <w:spacing w:after="0"/>
              <w:rPr>
                <w:sz w:val="20"/>
                <w:szCs w:val="20"/>
                <w:color w:val="auto"/>
              </w:rPr>
            </w:pPr>
            <w:r>
              <w:rPr>
                <w:rFonts w:ascii="Arial" w:cs="Arial" w:eastAsia="Arial" w:hAnsi="Arial"/>
                <w:sz w:val="14"/>
                <w:szCs w:val="14"/>
                <w:color w:val="auto"/>
              </w:rPr>
              <w:t>100</w:t>
            </w:r>
          </w:p>
        </w:tc>
      </w:tr>
      <w:tr>
        <w:trPr>
          <w:trHeight w:val="216"/>
        </w:trPr>
        <w:tc>
          <w:tcPr>
            <w:tcW w:w="2320" w:type="dxa"/>
            <w:vAlign w:val="bottom"/>
          </w:tcPr>
          <w:p>
            <w:pPr>
              <w:ind w:left="20"/>
              <w:spacing w:after="0"/>
              <w:rPr>
                <w:sz w:val="20"/>
                <w:szCs w:val="20"/>
                <w:color w:val="auto"/>
              </w:rPr>
            </w:pPr>
            <w:r>
              <w:rPr>
                <w:rFonts w:ascii="Arial" w:cs="Arial" w:eastAsia="Arial" w:hAnsi="Arial"/>
                <w:sz w:val="14"/>
                <w:szCs w:val="14"/>
                <w:color w:val="auto"/>
              </w:rPr>
              <w:t>Current regulatory liabilities*</w:t>
            </w:r>
          </w:p>
        </w:tc>
        <w:tc>
          <w:tcPr>
            <w:tcW w:w="300" w:type="dxa"/>
            <w:vAlign w:val="bottom"/>
          </w:tcPr>
          <w:p>
            <w:pPr>
              <w:spacing w:after="0"/>
              <w:rPr>
                <w:sz w:val="18"/>
                <w:szCs w:val="18"/>
                <w:color w:val="auto"/>
              </w:rPr>
            </w:pPr>
          </w:p>
        </w:tc>
        <w:tc>
          <w:tcPr>
            <w:tcW w:w="740" w:type="dxa"/>
            <w:vAlign w:val="bottom"/>
          </w:tcPr>
          <w:p>
            <w:pPr>
              <w:jc w:val="right"/>
              <w:ind w:right="148"/>
              <w:spacing w:after="0"/>
              <w:rPr>
                <w:sz w:val="20"/>
                <w:szCs w:val="20"/>
                <w:color w:val="auto"/>
              </w:rPr>
            </w:pPr>
            <w:r>
              <w:rPr>
                <w:rFonts w:ascii="Arial" w:cs="Arial" w:eastAsia="Arial" w:hAnsi="Arial"/>
                <w:sz w:val="14"/>
                <w:szCs w:val="14"/>
                <w:color w:val="auto"/>
              </w:rPr>
              <w:t>(3 )</w:t>
            </w:r>
          </w:p>
        </w:tc>
        <w:tc>
          <w:tcPr>
            <w:tcW w:w="200" w:type="dxa"/>
            <w:vAlign w:val="bottom"/>
          </w:tcPr>
          <w:p>
            <w:pPr>
              <w:spacing w:after="0"/>
              <w:rPr>
                <w:sz w:val="18"/>
                <w:szCs w:val="18"/>
                <w:color w:val="auto"/>
              </w:rPr>
            </w:pPr>
          </w:p>
        </w:tc>
        <w:tc>
          <w:tcPr>
            <w:tcW w:w="680" w:type="dxa"/>
            <w:vAlign w:val="bottom"/>
          </w:tcPr>
          <w:p>
            <w:pPr>
              <w:jc w:val="right"/>
              <w:ind w:right="149"/>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8"/>
                <w:szCs w:val="18"/>
                <w:color w:val="auto"/>
              </w:rPr>
            </w:pPr>
          </w:p>
        </w:tc>
        <w:tc>
          <w:tcPr>
            <w:tcW w:w="640" w:type="dxa"/>
            <w:vAlign w:val="bottom"/>
          </w:tcPr>
          <w:p>
            <w:pPr>
              <w:jc w:val="right"/>
              <w:ind w:right="68"/>
              <w:spacing w:after="0"/>
              <w:rPr>
                <w:sz w:val="20"/>
                <w:szCs w:val="20"/>
                <w:color w:val="auto"/>
              </w:rPr>
            </w:pPr>
            <w:r>
              <w:rPr>
                <w:rFonts w:ascii="Arial" w:cs="Arial" w:eastAsia="Arial" w:hAnsi="Arial"/>
                <w:sz w:val="14"/>
                <w:szCs w:val="14"/>
                <w:color w:val="auto"/>
              </w:rPr>
              <w:t>(3 )</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20" w:type="dxa"/>
            <w:vAlign w:val="bottom"/>
          </w:tcPr>
          <w:p>
            <w:pPr>
              <w:jc w:val="right"/>
              <w:ind w:right="108"/>
              <w:spacing w:after="0"/>
              <w:rPr>
                <w:sz w:val="20"/>
                <w:szCs w:val="20"/>
                <w:color w:val="auto"/>
              </w:rPr>
            </w:pPr>
            <w:r>
              <w:rPr>
                <w:rFonts w:ascii="Arial" w:cs="Arial" w:eastAsia="Arial" w:hAnsi="Arial"/>
                <w:sz w:val="14"/>
                <w:szCs w:val="14"/>
                <w:color w:val="auto"/>
              </w:rPr>
              <w:t>(1 )</w:t>
            </w:r>
          </w:p>
        </w:tc>
        <w:tc>
          <w:tcPr>
            <w:tcW w:w="220" w:type="dxa"/>
            <w:vAlign w:val="bottom"/>
          </w:tcPr>
          <w:p>
            <w:pPr>
              <w:spacing w:after="0"/>
              <w:rPr>
                <w:sz w:val="18"/>
                <w:szCs w:val="18"/>
                <w:color w:val="auto"/>
              </w:rPr>
            </w:pPr>
          </w:p>
        </w:tc>
        <w:tc>
          <w:tcPr>
            <w:tcW w:w="700" w:type="dxa"/>
            <w:vAlign w:val="bottom"/>
          </w:tcPr>
          <w:p>
            <w:pPr>
              <w:jc w:val="right"/>
              <w:ind w:right="169"/>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8"/>
                <w:szCs w:val="18"/>
                <w:color w:val="auto"/>
              </w:rPr>
            </w:pPr>
          </w:p>
        </w:tc>
        <w:tc>
          <w:tcPr>
            <w:tcW w:w="680" w:type="dxa"/>
            <w:vAlign w:val="bottom"/>
          </w:tcPr>
          <w:p>
            <w:pPr>
              <w:jc w:val="right"/>
              <w:ind w:right="88"/>
              <w:spacing w:after="0"/>
              <w:rPr>
                <w:sz w:val="20"/>
                <w:szCs w:val="20"/>
                <w:color w:val="auto"/>
              </w:rPr>
            </w:pPr>
            <w:r>
              <w:rPr>
                <w:rFonts w:ascii="Arial" w:cs="Arial" w:eastAsia="Arial" w:hAnsi="Arial"/>
                <w:sz w:val="14"/>
                <w:szCs w:val="14"/>
                <w:color w:val="auto"/>
              </w:rPr>
              <w:t>(1 )</w:t>
            </w:r>
          </w:p>
        </w:tc>
      </w:tr>
      <w:tr>
        <w:trPr>
          <w:trHeight w:val="222"/>
        </w:trPr>
        <w:tc>
          <w:tcPr>
            <w:tcW w:w="2320" w:type="dxa"/>
            <w:vAlign w:val="bottom"/>
          </w:tcPr>
          <w:p>
            <w:pPr>
              <w:ind w:left="20"/>
              <w:spacing w:after="0"/>
              <w:rPr>
                <w:sz w:val="20"/>
                <w:szCs w:val="20"/>
                <w:color w:val="auto"/>
              </w:rPr>
            </w:pPr>
            <w:r>
              <w:rPr>
                <w:rFonts w:ascii="Arial" w:cs="Arial" w:eastAsia="Arial" w:hAnsi="Arial"/>
                <w:sz w:val="14"/>
                <w:szCs w:val="14"/>
                <w:color w:val="auto"/>
              </w:rPr>
              <w:t>Noncurrent regulatory liabilities</w:t>
            </w:r>
          </w:p>
        </w:tc>
        <w:tc>
          <w:tcPr>
            <w:tcW w:w="3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(2,649 )</w:t>
            </w:r>
          </w:p>
        </w:tc>
        <w:tc>
          <w:tcPr>
            <w:tcW w:w="2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rPr>
              <w:t>(1,212 )</w:t>
            </w:r>
          </w:p>
        </w:tc>
        <w:tc>
          <w:tcPr>
            <w:tcW w:w="2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w w:val="99"/>
              </w:rPr>
              <w:t>(1,432 )</w:t>
            </w:r>
          </w:p>
        </w:tc>
        <w:tc>
          <w:tcPr>
            <w:tcW w:w="1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(2,787 )</w:t>
            </w:r>
          </w:p>
        </w:tc>
        <w:tc>
          <w:tcPr>
            <w:tcW w:w="2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rPr>
              <w:t>(1,335 )</w:t>
            </w:r>
          </w:p>
        </w:tc>
        <w:tc>
          <w:tcPr>
            <w:tcW w:w="2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(1,452 )</w:t>
            </w:r>
          </w:p>
        </w:tc>
      </w:tr>
      <w:tr>
        <w:trPr>
          <w:trHeight w:val="224"/>
        </w:trPr>
        <w:tc>
          <w:tcPr>
            <w:tcW w:w="23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Total</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(545 )</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rPr>
              <w:t>(25 )</w:t>
            </w:r>
          </w:p>
        </w:tc>
        <w:tc>
          <w:tcPr>
            <w:tcW w:w="280" w:type="dxa"/>
            <w:vAlign w:val="bottom"/>
            <w:tcBorders>
              <w:bottom w:val="single" w:sz="8" w:color="auto"/>
            </w:tcBorders>
          </w:tcPr>
          <w:p>
            <w:pPr>
              <w:ind w:left="160"/>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(517 )</w:t>
            </w:r>
          </w:p>
        </w:tc>
        <w:tc>
          <w:tcPr>
            <w:tcW w:w="5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(1,751 )</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rPr>
              <w:t>(438 )</w:t>
            </w:r>
          </w:p>
        </w:tc>
        <w:tc>
          <w:tcPr>
            <w:tcW w:w="260" w:type="dxa"/>
            <w:vAlign w:val="bottom"/>
            <w:tcBorders>
              <w:bottom w:val="single" w:sz="8" w:color="auto"/>
            </w:tcBorders>
          </w:tcPr>
          <w:p>
            <w:pPr>
              <w:ind w:left="160"/>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(1,313 )</w:t>
            </w:r>
          </w:p>
        </w:tc>
      </w:tr>
    </w:tbl>
    <w:p>
      <w:pPr>
        <w:spacing w:after="0" w:line="16" w:lineRule="exact"/>
        <w:rPr>
          <w:sz w:val="20"/>
          <w:szCs w:val="20"/>
          <w:color w:val="auto"/>
        </w:rPr>
      </w:pPr>
    </w:p>
    <w:p>
      <w:pPr>
        <w:ind w:left="1944" w:hanging="328"/>
        <w:spacing w:after="0"/>
        <w:tabs>
          <w:tab w:leader="none" w:pos="1944" w:val="left"/>
        </w:tabs>
        <w:numPr>
          <w:ilvl w:val="0"/>
          <w:numId w:val="310"/>
        </w:numPr>
        <w:rPr>
          <w:rFonts w:ascii="Arial" w:cs="Arial" w:eastAsia="Arial" w:hAnsi="Arial"/>
          <w:sz w:val="13"/>
          <w:szCs w:val="13"/>
          <w:i w:val="1"/>
          <w:iCs w:val="1"/>
          <w:color w:val="auto"/>
        </w:rPr>
      </w:pPr>
      <w:r>
        <w:rPr>
          <w:rFonts w:ascii="Arial" w:cs="Arial" w:eastAsia="Arial" w:hAnsi="Arial"/>
          <w:sz w:val="13"/>
          <w:szCs w:val="13"/>
          <w:i w:val="1"/>
          <w:iCs w:val="1"/>
          <w:color w:val="auto"/>
        </w:rPr>
        <w:t>Included in Other Current Liabilities.</w:t>
      </w:r>
    </w:p>
    <w:p>
      <w:pPr>
        <w:spacing w:after="0" w:line="206" w:lineRule="exact"/>
        <w:rPr>
          <w:sz w:val="20"/>
          <w:szCs w:val="20"/>
          <w:color w:val="auto"/>
        </w:rPr>
      </w:pPr>
    </w:p>
    <w:p>
      <w:pPr>
        <w:ind w:left="4"/>
        <w:spacing w:after="0"/>
        <w:rPr>
          <w:sz w:val="20"/>
          <w:szCs w:val="20"/>
          <w:color w:val="auto"/>
        </w:rPr>
      </w:pPr>
      <w:r>
        <w:rPr>
          <w:rFonts w:ascii="Arial" w:cs="Arial" w:eastAsia="Arial" w:hAnsi="Arial"/>
          <w:sz w:val="16"/>
          <w:szCs w:val="16"/>
          <w:color w:val="auto"/>
        </w:rPr>
        <w:t>In the tables above:</w:t>
      </w:r>
    </w:p>
    <w:p>
      <w:pPr>
        <w:spacing w:after="0" w:line="44" w:lineRule="exact"/>
        <w:rPr>
          <w:sz w:val="20"/>
          <w:szCs w:val="20"/>
          <w:color w:val="auto"/>
        </w:rPr>
      </w:pPr>
    </w:p>
    <w:p>
      <w:pPr>
        <w:ind w:left="144" w:right="1140" w:hanging="144"/>
        <w:spacing w:after="0" w:line="292" w:lineRule="auto"/>
        <w:tabs>
          <w:tab w:leader="none" w:pos="144" w:val="left"/>
        </w:tabs>
        <w:numPr>
          <w:ilvl w:val="0"/>
          <w:numId w:val="311"/>
        </w:numPr>
        <w:rPr>
          <w:rFonts w:ascii="Arial" w:cs="Arial" w:eastAsia="Arial" w:hAnsi="Arial"/>
          <w:sz w:val="15"/>
          <w:szCs w:val="15"/>
          <w:color w:val="auto"/>
        </w:rPr>
      </w:pPr>
      <w:r>
        <w:rPr>
          <w:rFonts w:ascii="Arial" w:cs="Arial" w:eastAsia="Arial" w:hAnsi="Arial"/>
          <w:sz w:val="15"/>
          <w:szCs w:val="15"/>
          <w:color w:val="auto"/>
        </w:rPr>
        <w:t>Regulatory assets arising from fixed-price contracts and other derivatives are offset by corresponding liabilities arising from purchased power and natural gas transportation contracts. The regulatory asset is reduced as payments are made for commodities and services under these contracts.</w:t>
      </w:r>
    </w:p>
    <w:p>
      <w:pPr>
        <w:ind w:left="144" w:right="1280" w:hanging="144"/>
        <w:spacing w:after="0" w:line="264" w:lineRule="auto"/>
        <w:tabs>
          <w:tab w:leader="none" w:pos="144" w:val="left"/>
        </w:tabs>
        <w:numPr>
          <w:ilvl w:val="0"/>
          <w:numId w:val="311"/>
        </w:numPr>
        <w:rPr>
          <w:rFonts w:ascii="Arial" w:cs="Arial" w:eastAsia="Arial" w:hAnsi="Arial"/>
          <w:sz w:val="16"/>
          <w:szCs w:val="16"/>
          <w:color w:val="auto"/>
        </w:rPr>
      </w:pPr>
      <w:r>
        <w:rPr>
          <w:rFonts w:ascii="Arial" w:cs="Arial" w:eastAsia="Arial" w:hAnsi="Arial"/>
          <w:sz w:val="16"/>
          <w:szCs w:val="16"/>
          <w:color w:val="auto"/>
        </w:rPr>
        <w:t>Deferred taxes recoverable/refundable in rates are based on current regulatory ratemaking and income tax laws. SDG&amp;E and SoCalGas expect to recover/refund net regulatory assets/liabilities related to deferred income taxes over the lives of the assets that give rise to the accumulated deferred income tax liabilities/assets.</w:t>
      </w:r>
    </w:p>
    <w:p>
      <w:pPr>
        <w:spacing w:after="0" w:line="5" w:lineRule="exact"/>
        <w:rPr>
          <w:rFonts w:ascii="Arial" w:cs="Arial" w:eastAsia="Arial" w:hAnsi="Arial"/>
          <w:sz w:val="16"/>
          <w:szCs w:val="16"/>
          <w:color w:val="auto"/>
        </w:rPr>
      </w:pPr>
    </w:p>
    <w:p>
      <w:pPr>
        <w:ind w:left="144" w:right="1300" w:hanging="144"/>
        <w:spacing w:after="0" w:line="274" w:lineRule="auto"/>
        <w:tabs>
          <w:tab w:leader="none" w:pos="144" w:val="left"/>
        </w:tabs>
        <w:numPr>
          <w:ilvl w:val="0"/>
          <w:numId w:val="311"/>
        </w:numPr>
        <w:rPr>
          <w:rFonts w:ascii="Arial" w:cs="Arial" w:eastAsia="Arial" w:hAnsi="Arial"/>
          <w:sz w:val="16"/>
          <w:szCs w:val="16"/>
          <w:color w:val="auto"/>
        </w:rPr>
      </w:pPr>
      <w:r>
        <w:rPr>
          <w:rFonts w:ascii="Arial" w:cs="Arial" w:eastAsia="Arial" w:hAnsi="Arial"/>
          <w:sz w:val="16"/>
          <w:szCs w:val="16"/>
          <w:color w:val="auto"/>
        </w:rPr>
        <w:t>Regulatory assets related to unamortized losses on reacquired debt are recovered over the remaining original amortization periods of the loss on reacquired debt. These periods range from 3 months to 19 years for SDG&amp;E and from 4 to 17 years for SoCalGas.</w:t>
      </w:r>
    </w:p>
    <w:p>
      <w:pPr>
        <w:ind w:left="144" w:right="1540" w:hanging="144"/>
        <w:spacing w:after="0" w:line="313" w:lineRule="auto"/>
        <w:tabs>
          <w:tab w:leader="none" w:pos="144" w:val="left"/>
        </w:tabs>
        <w:numPr>
          <w:ilvl w:val="0"/>
          <w:numId w:val="311"/>
        </w:numPr>
        <w:rPr>
          <w:rFonts w:ascii="Arial" w:cs="Arial" w:eastAsia="Arial" w:hAnsi="Arial"/>
          <w:sz w:val="14"/>
          <w:szCs w:val="14"/>
          <w:color w:val="auto"/>
        </w:rPr>
      </w:pPr>
      <w:r>
        <w:rPr>
          <w:rFonts w:ascii="Arial" w:cs="Arial" w:eastAsia="Arial" w:hAnsi="Arial"/>
          <w:sz w:val="14"/>
          <w:szCs w:val="14"/>
          <w:color w:val="auto"/>
        </w:rPr>
        <w:t>Regulatory assets related to environmental costs represent the portion of our environmental liability recognized at the end of the period in excess of the amount that has been recovered through rates charged to customers. We expect this amount to be recovered in future rates as expenditures are made.</w:t>
      </w:r>
    </w:p>
    <w:p>
      <w:pPr>
        <w:ind w:left="144" w:right="1160" w:hanging="144"/>
        <w:spacing w:after="0" w:line="277" w:lineRule="auto"/>
        <w:tabs>
          <w:tab w:leader="none" w:pos="144" w:val="left"/>
        </w:tabs>
        <w:numPr>
          <w:ilvl w:val="0"/>
          <w:numId w:val="311"/>
        </w:numPr>
        <w:rPr>
          <w:rFonts w:ascii="Arial" w:cs="Arial" w:eastAsia="Arial" w:hAnsi="Arial"/>
          <w:sz w:val="16"/>
          <w:szCs w:val="16"/>
          <w:color w:val="auto"/>
        </w:rPr>
      </w:pPr>
      <w:r>
        <w:rPr>
          <w:rFonts w:ascii="Arial" w:cs="Arial" w:eastAsia="Arial" w:hAnsi="Arial"/>
          <w:sz w:val="16"/>
          <w:szCs w:val="16"/>
          <w:color w:val="auto"/>
        </w:rPr>
        <w:t>Regulatory assets related to pension and other postretirement benefit obligations are offset by corresponding liabilities and are being recovered in rates as the costs are incurred.</w:t>
      </w:r>
    </w:p>
    <w:p>
      <w:pPr>
        <w:spacing w:after="0" w:line="80" w:lineRule="exact"/>
        <w:rPr>
          <w:sz w:val="20"/>
          <w:szCs w:val="20"/>
          <w:color w:val="auto"/>
        </w:rPr>
      </w:pPr>
    </w:p>
    <w:p>
      <w:pPr>
        <w:ind w:left="4"/>
        <w:spacing w:after="0"/>
        <w:rPr>
          <w:sz w:val="20"/>
          <w:szCs w:val="20"/>
          <w:color w:val="auto"/>
        </w:rPr>
      </w:pPr>
      <w:r>
        <w:rPr>
          <w:rFonts w:ascii="Arial" w:cs="Arial" w:eastAsia="Arial" w:hAnsi="Arial"/>
          <w:sz w:val="14"/>
          <w:szCs w:val="14"/>
          <w:color w:val="auto"/>
        </w:rPr>
        <w:t>All of these assets either earn a return, generally at short-term rates, or the cash has not yet been expended and the assets are offset by liabilities that do not incur a carrying cost.</w:t>
      </w:r>
    </w:p>
    <w:p>
      <w:pPr>
        <w:spacing w:after="0" w:line="299"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auto"/>
        </w:rPr>
        <w:t>FAIR VALUE MEASUREMENTS</w:t>
      </w:r>
    </w:p>
    <w:p>
      <w:pPr>
        <w:spacing w:after="0" w:line="89" w:lineRule="exact"/>
        <w:rPr>
          <w:sz w:val="20"/>
          <w:szCs w:val="20"/>
          <w:color w:val="auto"/>
        </w:rPr>
      </w:pPr>
    </w:p>
    <w:p>
      <w:pPr>
        <w:jc w:val="both"/>
        <w:ind w:left="4"/>
        <w:spacing w:after="0" w:line="264" w:lineRule="auto"/>
        <w:rPr>
          <w:sz w:val="20"/>
          <w:szCs w:val="20"/>
          <w:color w:val="auto"/>
        </w:rPr>
      </w:pPr>
      <w:r>
        <w:rPr>
          <w:rFonts w:ascii="Arial" w:cs="Arial" w:eastAsia="Arial" w:hAnsi="Arial"/>
          <w:sz w:val="16"/>
          <w:szCs w:val="16"/>
          <w:color w:val="auto"/>
        </w:rPr>
        <w:t>We apply recurring fair value measurements to certain assets and liabilities, primarily nuclear decommissioning trusts, marketable securities and other miscellaneous derivatives. Prior to the formation of RBS Sempra Commodities LLP (RBS Sempra Commodities) on April 1, 2008, as we discuss in Notes 3 and 4, we also applied fair value measurements to trading derivatives and certain trading inventories.</w:t>
      </w:r>
    </w:p>
    <w:p>
      <w:pPr>
        <w:spacing w:after="0" w:line="42" w:lineRule="exact"/>
        <w:rPr>
          <w:sz w:val="20"/>
          <w:szCs w:val="20"/>
          <w:color w:val="auto"/>
        </w:rPr>
      </w:pPr>
    </w:p>
    <w:p>
      <w:pPr>
        <w:ind w:left="4"/>
        <w:spacing w:after="0"/>
        <w:rPr>
          <w:sz w:val="20"/>
          <w:szCs w:val="20"/>
          <w:color w:val="auto"/>
        </w:rPr>
      </w:pPr>
      <w:r>
        <w:rPr>
          <w:rFonts w:ascii="Arial" w:cs="Arial" w:eastAsia="Arial" w:hAnsi="Arial"/>
          <w:sz w:val="16"/>
          <w:szCs w:val="16"/>
          <w:color w:val="auto"/>
        </w:rPr>
        <w:t xml:space="preserve">The valuation techniques we use to determine fair value are in accordance with SFAS 157, </w:t>
      </w:r>
      <w:r>
        <w:rPr>
          <w:rFonts w:ascii="Arial" w:cs="Arial" w:eastAsia="Arial" w:hAnsi="Arial"/>
          <w:sz w:val="16"/>
          <w:szCs w:val="16"/>
          <w:i w:val="1"/>
          <w:iCs w:val="1"/>
          <w:color w:val="auto"/>
        </w:rPr>
        <w:t>Fair Value Measurements</w:t>
      </w:r>
      <w:r>
        <w:rPr>
          <w:rFonts w:ascii="Arial" w:cs="Arial" w:eastAsia="Arial" w:hAnsi="Arial"/>
          <w:sz w:val="16"/>
          <w:szCs w:val="16"/>
          <w:color w:val="auto"/>
        </w:rPr>
        <w:t xml:space="preserve"> (SFAS 157).</w:t>
      </w:r>
    </w:p>
    <w:p>
      <w:pPr>
        <w:spacing w:after="0" w:line="80" w:lineRule="exact"/>
        <w:rPr>
          <w:sz w:val="20"/>
          <w:szCs w:val="20"/>
          <w:color w:val="auto"/>
        </w:rPr>
      </w:pPr>
    </w:p>
    <w:p>
      <w:pPr>
        <w:ind w:left="4" w:right="540"/>
        <w:spacing w:after="0" w:line="277" w:lineRule="auto"/>
        <w:rPr>
          <w:sz w:val="20"/>
          <w:szCs w:val="20"/>
          <w:color w:val="auto"/>
        </w:rPr>
      </w:pPr>
      <w:r>
        <w:rPr>
          <w:rFonts w:ascii="Arial" w:cs="Arial" w:eastAsia="Arial" w:hAnsi="Arial"/>
          <w:sz w:val="16"/>
          <w:szCs w:val="16"/>
          <w:color w:val="auto"/>
        </w:rPr>
        <w:t>SFAS 157 defines "fair value" as the price that would be received to sell an asset or paid to transfer a liability in an orderly transaction between market participants at the measurement date (exit price).</w:t>
      </w:r>
    </w:p>
    <w:p>
      <w:pPr>
        <w:spacing w:after="0" w:line="32" w:lineRule="exact"/>
        <w:rPr>
          <w:sz w:val="20"/>
          <w:szCs w:val="20"/>
          <w:color w:val="auto"/>
        </w:rPr>
      </w:pPr>
    </w:p>
    <w:p>
      <w:pPr>
        <w:ind w:left="4"/>
        <w:spacing w:after="0" w:line="264" w:lineRule="auto"/>
        <w:rPr>
          <w:sz w:val="20"/>
          <w:szCs w:val="20"/>
          <w:color w:val="auto"/>
        </w:rPr>
      </w:pPr>
      <w:r>
        <w:rPr>
          <w:rFonts w:ascii="Arial" w:cs="Arial" w:eastAsia="Arial" w:hAnsi="Arial"/>
          <w:sz w:val="16"/>
          <w:szCs w:val="16"/>
          <w:color w:val="auto"/>
        </w:rPr>
        <w:t>SFAS 157 requires that a fair value measurement reflect the assumptions market participants would use in pricing an asset or liability based on the best available information. These assumptions include the risk inherent in a particular valuation technique (such as a pricing model) and the risks inherent in the inputs to the model. SFAS 157 also clarifies that an issuer's credit standing should be considered when measuring liabilities at fair value.</w:t>
      </w:r>
    </w:p>
    <w:p>
      <w:pPr>
        <w:spacing w:after="0" w:line="200" w:lineRule="exact"/>
        <w:rPr>
          <w:sz w:val="20"/>
          <w:szCs w:val="20"/>
          <w:color w:val="auto"/>
        </w:rPr>
      </w:pPr>
    </w:p>
    <w:p>
      <w:pPr>
        <w:spacing w:after="0" w:line="302" w:lineRule="exact"/>
        <w:rPr>
          <w:sz w:val="20"/>
          <w:szCs w:val="20"/>
          <w:color w:val="auto"/>
        </w:rPr>
      </w:pPr>
    </w:p>
    <w:p>
      <w:pPr>
        <w:ind w:left="4"/>
        <w:spacing w:after="0"/>
        <w:rPr>
          <w:sz w:val="20"/>
          <w:szCs w:val="20"/>
          <w:color w:val="auto"/>
        </w:rPr>
      </w:pPr>
      <w:r>
        <w:rPr>
          <w:rFonts w:ascii="Arial" w:cs="Arial" w:eastAsia="Arial" w:hAnsi="Arial"/>
          <w:sz w:val="14"/>
          <w:szCs w:val="14"/>
          <w:color w:val="auto"/>
        </w:rPr>
        <w:t>96</w:t>
      </w:r>
    </w:p>
    <w:p>
      <w:pPr>
        <w:sectPr>
          <w:pgSz w:w="11900" w:h="16838" w:orient="portrait"/>
          <w:cols w:equalWidth="0" w:num="1">
            <w:col w:w="11364"/>
          </w:cols>
          <w:pgMar w:left="236" w:top="364" w:right="299" w:bottom="1440" w:gutter="0" w:footer="0" w:header="0"/>
        </w:sectPr>
      </w:pPr>
    </w:p>
    <w:bookmarkStart w:id="236" w:name="page237"/>
    <w:bookmarkEnd w:id="236"/>
    <w:p>
      <w:pPr>
        <w:ind w:left="4" w:right="20"/>
        <w:spacing w:after="0" w:line="264" w:lineRule="auto"/>
        <w:rPr>
          <w:sz w:val="20"/>
          <w:szCs w:val="20"/>
          <w:color w:val="auto"/>
        </w:rPr>
      </w:pPr>
      <w:r>
        <w:rPr>
          <w:rFonts w:ascii="Arial" w:cs="Arial" w:eastAsia="Arial" w:hAnsi="Arial"/>
          <w:sz w:val="16"/>
          <w:szCs w:val="16"/>
          <w:color w:val="auto"/>
        </w:rPr>
        <w:t>SFAS 157 establishes a fair value hierarchy that prioritizes the inputs used to measure fair value. The hierarchy gives the highest priority to unadjusted quoted prices in active markets for identical assets or liabilities (Level 1 measurement) and the lowest priority to unobservable inputs (Level 3 measurement). The three levels of the fair value hierarchy defined by SFAS 157 are as follows:</w:t>
      </w:r>
    </w:p>
    <w:p>
      <w:pPr>
        <w:spacing w:after="0" w:line="42" w:lineRule="exact"/>
        <w:rPr>
          <w:sz w:val="20"/>
          <w:szCs w:val="20"/>
          <w:color w:val="auto"/>
        </w:rPr>
      </w:pPr>
    </w:p>
    <w:p>
      <w:pPr>
        <w:jc w:val="both"/>
        <w:ind w:left="4" w:right="300"/>
        <w:spacing w:after="0" w:line="264" w:lineRule="auto"/>
        <w:rPr>
          <w:sz w:val="20"/>
          <w:szCs w:val="20"/>
          <w:color w:val="auto"/>
        </w:rPr>
      </w:pPr>
      <w:r>
        <w:rPr>
          <w:rFonts w:ascii="Arial" w:cs="Arial" w:eastAsia="Arial" w:hAnsi="Arial"/>
          <w:sz w:val="16"/>
          <w:szCs w:val="16"/>
          <w:i w:val="1"/>
          <w:iCs w:val="1"/>
          <w:color w:val="auto"/>
        </w:rPr>
        <w:t xml:space="preserve">Level 1 </w:t>
      </w:r>
      <w:r>
        <w:rPr>
          <w:rFonts w:ascii="Arial" w:cs="Arial" w:eastAsia="Arial" w:hAnsi="Arial"/>
          <w:sz w:val="16"/>
          <w:szCs w:val="16"/>
          <w:color w:val="auto"/>
        </w:rPr>
        <w:t>– Quoted prices are available in active markets for identical assets or liabilities as of the reporting date. Active markets are those in which transactions for the asset or</w:t>
      </w:r>
      <w:r>
        <w:rPr>
          <w:rFonts w:ascii="Arial" w:cs="Arial" w:eastAsia="Arial" w:hAnsi="Arial"/>
          <w:sz w:val="16"/>
          <w:szCs w:val="16"/>
          <w:i w:val="1"/>
          <w:iCs w:val="1"/>
          <w:color w:val="auto"/>
        </w:rPr>
        <w:t xml:space="preserve"> </w:t>
      </w:r>
      <w:r>
        <w:rPr>
          <w:rFonts w:ascii="Arial" w:cs="Arial" w:eastAsia="Arial" w:hAnsi="Arial"/>
          <w:sz w:val="16"/>
          <w:szCs w:val="16"/>
          <w:color w:val="auto"/>
        </w:rPr>
        <w:t>liability occur in sufficient frequency and volume to provide pricing information on an ongoing basis. Our Level 1 financial instruments primarily consist of exchange-traded derivatives, listed equities and U.S. government treasury securities.</w:t>
      </w:r>
    </w:p>
    <w:p>
      <w:pPr>
        <w:spacing w:after="0" w:line="42" w:lineRule="exact"/>
        <w:rPr>
          <w:sz w:val="20"/>
          <w:szCs w:val="20"/>
          <w:color w:val="auto"/>
        </w:rPr>
      </w:pPr>
    </w:p>
    <w:p>
      <w:pPr>
        <w:ind w:left="4" w:right="200"/>
        <w:spacing w:after="0" w:line="264" w:lineRule="auto"/>
        <w:rPr>
          <w:sz w:val="20"/>
          <w:szCs w:val="20"/>
          <w:color w:val="auto"/>
        </w:rPr>
      </w:pPr>
      <w:r>
        <w:rPr>
          <w:rFonts w:ascii="Arial" w:cs="Arial" w:eastAsia="Arial" w:hAnsi="Arial"/>
          <w:sz w:val="16"/>
          <w:szCs w:val="16"/>
          <w:i w:val="1"/>
          <w:iCs w:val="1"/>
          <w:color w:val="auto"/>
        </w:rPr>
        <w:t xml:space="preserve">Level 2 </w:t>
      </w:r>
      <w:r>
        <w:rPr>
          <w:rFonts w:ascii="Arial" w:cs="Arial" w:eastAsia="Arial" w:hAnsi="Arial"/>
          <w:sz w:val="16"/>
          <w:szCs w:val="16"/>
          <w:color w:val="auto"/>
        </w:rPr>
        <w:t>– Pricing inputs are other than quoted prices in active markets included in Level 1, which are either directly or indirectly observable as of the reporting date. Level 2</w:t>
      </w:r>
      <w:r>
        <w:rPr>
          <w:rFonts w:ascii="Arial" w:cs="Arial" w:eastAsia="Arial" w:hAnsi="Arial"/>
          <w:sz w:val="16"/>
          <w:szCs w:val="16"/>
          <w:i w:val="1"/>
          <w:iCs w:val="1"/>
          <w:color w:val="auto"/>
        </w:rPr>
        <w:t xml:space="preserve"> </w:t>
      </w:r>
      <w:r>
        <w:rPr>
          <w:rFonts w:ascii="Arial" w:cs="Arial" w:eastAsia="Arial" w:hAnsi="Arial"/>
          <w:sz w:val="16"/>
          <w:szCs w:val="16"/>
          <w:color w:val="auto"/>
        </w:rPr>
        <w:t>includes those financial instruments that are valued using models or other valuation methodologies. These models are primarily industry-standard models that consider various assumptions, including:</w:t>
      </w:r>
    </w:p>
    <w:p>
      <w:pPr>
        <w:spacing w:after="0" w:line="5" w:lineRule="exact"/>
        <w:rPr>
          <w:sz w:val="20"/>
          <w:szCs w:val="20"/>
          <w:color w:val="auto"/>
        </w:rPr>
      </w:pPr>
    </w:p>
    <w:p>
      <w:pPr>
        <w:ind w:left="144" w:hanging="144"/>
        <w:spacing w:after="0"/>
        <w:tabs>
          <w:tab w:leader="none" w:pos="144" w:val="left"/>
        </w:tabs>
        <w:numPr>
          <w:ilvl w:val="0"/>
          <w:numId w:val="312"/>
        </w:numPr>
        <w:rPr>
          <w:rFonts w:ascii="Arial" w:cs="Arial" w:eastAsia="Arial" w:hAnsi="Arial"/>
          <w:sz w:val="16"/>
          <w:szCs w:val="16"/>
          <w:color w:val="auto"/>
        </w:rPr>
      </w:pPr>
      <w:r>
        <w:rPr>
          <w:rFonts w:ascii="Arial" w:cs="Arial" w:eastAsia="Arial" w:hAnsi="Arial"/>
          <w:sz w:val="16"/>
          <w:szCs w:val="16"/>
          <w:color w:val="auto"/>
        </w:rPr>
        <w:t>quoted forward prices for commodities</w:t>
      </w:r>
    </w:p>
    <w:p>
      <w:pPr>
        <w:spacing w:after="0" w:line="44" w:lineRule="exact"/>
        <w:rPr>
          <w:rFonts w:ascii="Arial" w:cs="Arial" w:eastAsia="Arial" w:hAnsi="Arial"/>
          <w:sz w:val="16"/>
          <w:szCs w:val="16"/>
          <w:color w:val="auto"/>
        </w:rPr>
      </w:pPr>
    </w:p>
    <w:p>
      <w:pPr>
        <w:ind w:left="144" w:hanging="144"/>
        <w:spacing w:after="0"/>
        <w:tabs>
          <w:tab w:leader="none" w:pos="144" w:val="left"/>
        </w:tabs>
        <w:numPr>
          <w:ilvl w:val="0"/>
          <w:numId w:val="312"/>
        </w:numPr>
        <w:rPr>
          <w:rFonts w:ascii="Arial" w:cs="Arial" w:eastAsia="Arial" w:hAnsi="Arial"/>
          <w:sz w:val="16"/>
          <w:szCs w:val="16"/>
          <w:color w:val="auto"/>
        </w:rPr>
      </w:pPr>
      <w:r>
        <w:rPr>
          <w:rFonts w:ascii="Arial" w:cs="Arial" w:eastAsia="Arial" w:hAnsi="Arial"/>
          <w:sz w:val="16"/>
          <w:szCs w:val="16"/>
          <w:color w:val="auto"/>
        </w:rPr>
        <w:t>time value</w:t>
      </w:r>
    </w:p>
    <w:p>
      <w:pPr>
        <w:spacing w:after="0" w:line="44" w:lineRule="exact"/>
        <w:rPr>
          <w:rFonts w:ascii="Arial" w:cs="Arial" w:eastAsia="Arial" w:hAnsi="Arial"/>
          <w:sz w:val="16"/>
          <w:szCs w:val="16"/>
          <w:color w:val="auto"/>
        </w:rPr>
      </w:pPr>
    </w:p>
    <w:p>
      <w:pPr>
        <w:ind w:left="144" w:hanging="144"/>
        <w:spacing w:after="0"/>
        <w:tabs>
          <w:tab w:leader="none" w:pos="144" w:val="left"/>
        </w:tabs>
        <w:numPr>
          <w:ilvl w:val="0"/>
          <w:numId w:val="312"/>
        </w:numPr>
        <w:rPr>
          <w:rFonts w:ascii="Arial" w:cs="Arial" w:eastAsia="Arial" w:hAnsi="Arial"/>
          <w:sz w:val="16"/>
          <w:szCs w:val="16"/>
          <w:color w:val="auto"/>
        </w:rPr>
      </w:pPr>
      <w:r>
        <w:rPr>
          <w:rFonts w:ascii="Arial" w:cs="Arial" w:eastAsia="Arial" w:hAnsi="Arial"/>
          <w:sz w:val="16"/>
          <w:szCs w:val="16"/>
          <w:color w:val="auto"/>
        </w:rPr>
        <w:t>volatility factors</w:t>
      </w:r>
    </w:p>
    <w:p>
      <w:pPr>
        <w:spacing w:after="0" w:line="44" w:lineRule="exact"/>
        <w:rPr>
          <w:rFonts w:ascii="Arial" w:cs="Arial" w:eastAsia="Arial" w:hAnsi="Arial"/>
          <w:sz w:val="16"/>
          <w:szCs w:val="16"/>
          <w:color w:val="auto"/>
        </w:rPr>
      </w:pPr>
    </w:p>
    <w:p>
      <w:pPr>
        <w:ind w:left="144" w:hanging="144"/>
        <w:spacing w:after="0"/>
        <w:tabs>
          <w:tab w:leader="none" w:pos="144" w:val="left"/>
        </w:tabs>
        <w:numPr>
          <w:ilvl w:val="0"/>
          <w:numId w:val="312"/>
        </w:numPr>
        <w:rPr>
          <w:rFonts w:ascii="Arial" w:cs="Arial" w:eastAsia="Arial" w:hAnsi="Arial"/>
          <w:sz w:val="16"/>
          <w:szCs w:val="16"/>
          <w:color w:val="auto"/>
        </w:rPr>
      </w:pPr>
      <w:r>
        <w:rPr>
          <w:rFonts w:ascii="Arial" w:cs="Arial" w:eastAsia="Arial" w:hAnsi="Arial"/>
          <w:sz w:val="16"/>
          <w:szCs w:val="16"/>
          <w:color w:val="auto"/>
        </w:rPr>
        <w:t>current market and contractual prices for the underlying instruments</w:t>
      </w:r>
    </w:p>
    <w:p>
      <w:pPr>
        <w:spacing w:after="0" w:line="44" w:lineRule="exact"/>
        <w:rPr>
          <w:rFonts w:ascii="Arial" w:cs="Arial" w:eastAsia="Arial" w:hAnsi="Arial"/>
          <w:sz w:val="16"/>
          <w:szCs w:val="16"/>
          <w:color w:val="auto"/>
        </w:rPr>
      </w:pPr>
    </w:p>
    <w:p>
      <w:pPr>
        <w:ind w:left="144" w:hanging="144"/>
        <w:spacing w:after="0"/>
        <w:tabs>
          <w:tab w:leader="none" w:pos="144" w:val="left"/>
        </w:tabs>
        <w:numPr>
          <w:ilvl w:val="0"/>
          <w:numId w:val="312"/>
        </w:numPr>
        <w:rPr>
          <w:rFonts w:ascii="Arial" w:cs="Arial" w:eastAsia="Arial" w:hAnsi="Arial"/>
          <w:sz w:val="16"/>
          <w:szCs w:val="16"/>
          <w:color w:val="auto"/>
        </w:rPr>
      </w:pPr>
      <w:r>
        <w:rPr>
          <w:rFonts w:ascii="Arial" w:cs="Arial" w:eastAsia="Arial" w:hAnsi="Arial"/>
          <w:sz w:val="16"/>
          <w:szCs w:val="16"/>
          <w:color w:val="auto"/>
        </w:rPr>
        <w:t>other relevant economic measures</w:t>
      </w:r>
    </w:p>
    <w:p>
      <w:pPr>
        <w:spacing w:after="0" w:line="128" w:lineRule="exact"/>
        <w:rPr>
          <w:sz w:val="20"/>
          <w:szCs w:val="20"/>
          <w:color w:val="auto"/>
        </w:rPr>
      </w:pPr>
    </w:p>
    <w:p>
      <w:pPr>
        <w:ind w:left="4" w:right="320"/>
        <w:spacing w:after="0" w:line="264" w:lineRule="auto"/>
        <w:rPr>
          <w:sz w:val="20"/>
          <w:szCs w:val="20"/>
          <w:color w:val="auto"/>
        </w:rPr>
      </w:pPr>
      <w:r>
        <w:rPr>
          <w:rFonts w:ascii="Arial" w:cs="Arial" w:eastAsia="Arial" w:hAnsi="Arial"/>
          <w:sz w:val="16"/>
          <w:szCs w:val="16"/>
          <w:color w:val="auto"/>
        </w:rPr>
        <w:t>Substantially all of these assumptions are observable in the marketplace throughout the full term of the instrument, can be derived from observable data or are supported by observable levels at which transactions are executed in the marketplace. Our financial instruments in this category include non-exchange-traded derivatives such as over-the-counter (OTC) forwards and options.</w:t>
      </w:r>
    </w:p>
    <w:p>
      <w:pPr>
        <w:spacing w:after="0" w:line="42" w:lineRule="exact"/>
        <w:rPr>
          <w:sz w:val="20"/>
          <w:szCs w:val="20"/>
          <w:color w:val="auto"/>
        </w:rPr>
      </w:pPr>
    </w:p>
    <w:p>
      <w:pPr>
        <w:ind w:left="4" w:right="160"/>
        <w:spacing w:after="0" w:line="277" w:lineRule="auto"/>
        <w:rPr>
          <w:sz w:val="20"/>
          <w:szCs w:val="20"/>
          <w:color w:val="auto"/>
        </w:rPr>
      </w:pPr>
      <w:r>
        <w:rPr>
          <w:rFonts w:ascii="Arial" w:cs="Arial" w:eastAsia="Arial" w:hAnsi="Arial"/>
          <w:sz w:val="16"/>
          <w:szCs w:val="16"/>
          <w:i w:val="1"/>
          <w:iCs w:val="1"/>
          <w:color w:val="auto"/>
        </w:rPr>
        <w:t xml:space="preserve">Level 3 </w:t>
      </w:r>
      <w:r>
        <w:rPr>
          <w:rFonts w:ascii="Arial" w:cs="Arial" w:eastAsia="Arial" w:hAnsi="Arial"/>
          <w:sz w:val="16"/>
          <w:szCs w:val="16"/>
          <w:color w:val="auto"/>
        </w:rPr>
        <w:t>– Pricing inputs include significant inputs that are generally less observable from objective sources. These inputs may be used with internally developed methodologies</w:t>
      </w:r>
      <w:r>
        <w:rPr>
          <w:rFonts w:ascii="Arial" w:cs="Arial" w:eastAsia="Arial" w:hAnsi="Arial"/>
          <w:sz w:val="16"/>
          <w:szCs w:val="16"/>
          <w:i w:val="1"/>
          <w:iCs w:val="1"/>
          <w:color w:val="auto"/>
        </w:rPr>
        <w:t xml:space="preserve"> </w:t>
      </w:r>
      <w:r>
        <w:rPr>
          <w:rFonts w:ascii="Arial" w:cs="Arial" w:eastAsia="Arial" w:hAnsi="Arial"/>
          <w:sz w:val="16"/>
          <w:szCs w:val="16"/>
          <w:color w:val="auto"/>
        </w:rPr>
        <w:t>that result in management’s best estimate of fair value from the perspective of a market participant.</w:t>
      </w:r>
    </w:p>
    <w:p>
      <w:pPr>
        <w:spacing w:after="0" w:line="32" w:lineRule="exact"/>
        <w:rPr>
          <w:sz w:val="20"/>
          <w:szCs w:val="20"/>
          <w:color w:val="auto"/>
        </w:rPr>
      </w:pPr>
    </w:p>
    <w:p>
      <w:pPr>
        <w:ind w:left="4" w:right="160"/>
        <w:spacing w:after="0" w:line="277" w:lineRule="auto"/>
        <w:rPr>
          <w:sz w:val="20"/>
          <w:szCs w:val="20"/>
          <w:color w:val="auto"/>
        </w:rPr>
      </w:pPr>
      <w:r>
        <w:rPr>
          <w:rFonts w:ascii="Arial" w:cs="Arial" w:eastAsia="Arial" w:hAnsi="Arial"/>
          <w:sz w:val="16"/>
          <w:szCs w:val="16"/>
          <w:color w:val="auto"/>
        </w:rPr>
        <w:t>We elected to early-adopt SFAS 157 in the first quarter of 2007. As required, we applied the provisions of SFAS 157 prospectively, except for the initial impact of certain items specified by the pronouncement.</w:t>
      </w:r>
    </w:p>
    <w:p>
      <w:pPr>
        <w:spacing w:after="0" w:line="32" w:lineRule="exact"/>
        <w:rPr>
          <w:sz w:val="20"/>
          <w:szCs w:val="20"/>
          <w:color w:val="auto"/>
        </w:rPr>
      </w:pPr>
    </w:p>
    <w:p>
      <w:pPr>
        <w:jc w:val="both"/>
        <w:ind w:left="4"/>
        <w:spacing w:after="0" w:line="264" w:lineRule="auto"/>
        <w:rPr>
          <w:sz w:val="20"/>
          <w:szCs w:val="20"/>
          <w:color w:val="auto"/>
        </w:rPr>
      </w:pPr>
      <w:r>
        <w:rPr>
          <w:rFonts w:ascii="Arial" w:cs="Arial" w:eastAsia="Arial" w:hAnsi="Arial"/>
          <w:sz w:val="16"/>
          <w:szCs w:val="16"/>
          <w:color w:val="auto"/>
        </w:rPr>
        <w:t>As required under SFAS 157, we recorded the adjustments for these items as a transition adjustment to beginning retained earnings in 2007. The transition adjustment to Sempra Energy’s beginning retained earnings in 2007 was a gain of $12 million, net of income tax. There was no transition adjustment as a result of the adoption of SFAS 157 at SDG&amp;E or SoCalGas.</w:t>
      </w:r>
    </w:p>
    <w:p>
      <w:pPr>
        <w:spacing w:after="0" w:line="237"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auto"/>
        </w:rPr>
        <w:t>CASH AND CASH EQUIVALENTS</w:t>
      </w:r>
    </w:p>
    <w:p>
      <w:pPr>
        <w:spacing w:after="0" w:line="89" w:lineRule="exact"/>
        <w:rPr>
          <w:sz w:val="20"/>
          <w:szCs w:val="20"/>
          <w:color w:val="auto"/>
        </w:rPr>
      </w:pPr>
    </w:p>
    <w:p>
      <w:pPr>
        <w:ind w:left="4"/>
        <w:spacing w:after="0"/>
        <w:rPr>
          <w:sz w:val="20"/>
          <w:szCs w:val="20"/>
          <w:color w:val="auto"/>
        </w:rPr>
      </w:pPr>
      <w:r>
        <w:rPr>
          <w:rFonts w:ascii="Arial" w:cs="Arial" w:eastAsia="Arial" w:hAnsi="Arial"/>
          <w:sz w:val="16"/>
          <w:szCs w:val="16"/>
          <w:color w:val="auto"/>
        </w:rPr>
        <w:t>Cash equivalents are highly liquid investments with maturities of three months or less at the date of purchase.</w:t>
      </w:r>
    </w:p>
    <w:p>
      <w:pPr>
        <w:spacing w:after="0" w:line="276"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auto"/>
        </w:rPr>
        <w:t>RESTRICTED CASH</w:t>
      </w:r>
    </w:p>
    <w:p>
      <w:pPr>
        <w:spacing w:after="0" w:line="89" w:lineRule="exact"/>
        <w:rPr>
          <w:sz w:val="20"/>
          <w:szCs w:val="20"/>
          <w:color w:val="auto"/>
        </w:rPr>
      </w:pPr>
    </w:p>
    <w:p>
      <w:pPr>
        <w:ind w:left="4" w:right="580"/>
        <w:spacing w:after="0" w:line="351" w:lineRule="auto"/>
        <w:rPr>
          <w:sz w:val="20"/>
          <w:szCs w:val="20"/>
          <w:color w:val="auto"/>
        </w:rPr>
      </w:pPr>
      <w:r>
        <w:rPr>
          <w:rFonts w:ascii="Arial" w:cs="Arial" w:eastAsia="Arial" w:hAnsi="Arial"/>
          <w:sz w:val="14"/>
          <w:szCs w:val="14"/>
          <w:color w:val="auto"/>
        </w:rPr>
        <w:t>Restricted cash at Sempra Energy was $27 million in 2008 and $1 million in 2007 at December 31. In 2008, restricted cash represents funds held in trust for construction financing of certain natural gas storage facilities of Sempra Pipelines &amp; Storage. In 2007, restricted cash served as cash collateral for certain debt agreements.</w:t>
      </w:r>
    </w:p>
    <w:p>
      <w:pPr>
        <w:spacing w:after="0" w:line="182"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auto"/>
        </w:rPr>
        <w:t>COLLECTION ALLOWANCES</w:t>
      </w:r>
    </w:p>
    <w:p>
      <w:pPr>
        <w:spacing w:after="0" w:line="89" w:lineRule="exact"/>
        <w:rPr>
          <w:sz w:val="20"/>
          <w:szCs w:val="20"/>
          <w:color w:val="auto"/>
        </w:rPr>
      </w:pPr>
    </w:p>
    <w:p>
      <w:pPr>
        <w:ind w:left="4" w:right="60"/>
        <w:spacing w:after="0" w:line="264" w:lineRule="auto"/>
        <w:rPr>
          <w:sz w:val="20"/>
          <w:szCs w:val="20"/>
          <w:color w:val="auto"/>
        </w:rPr>
      </w:pPr>
      <w:r>
        <w:rPr>
          <w:rFonts w:ascii="Arial" w:cs="Arial" w:eastAsia="Arial" w:hAnsi="Arial"/>
          <w:sz w:val="16"/>
          <w:szCs w:val="16"/>
          <w:color w:val="auto"/>
        </w:rPr>
        <w:t>We record allowances for the collection of receivables and, prior to the sale of our commodities-marketing businesses, realization of trading assets (discussed below under "Trading Instruments"). The allowances for collection of receivables include allowances for doubtful customer accounts and for other receivables. The changes in allowances for collection of receivables and realization of trading assets are shown in the table below:</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4"/>
        <w:spacing w:after="0"/>
        <w:rPr>
          <w:sz w:val="20"/>
          <w:szCs w:val="20"/>
          <w:color w:val="auto"/>
        </w:rPr>
      </w:pPr>
      <w:r>
        <w:rPr>
          <w:rFonts w:ascii="Arial" w:cs="Arial" w:eastAsia="Arial" w:hAnsi="Arial"/>
          <w:sz w:val="14"/>
          <w:szCs w:val="14"/>
          <w:color w:val="auto"/>
        </w:rPr>
        <w:t>97</w:t>
      </w:r>
    </w:p>
    <w:p>
      <w:pPr>
        <w:sectPr>
          <w:pgSz w:w="11900" w:h="16838" w:orient="portrait"/>
          <w:cols w:equalWidth="0" w:num="1">
            <w:col w:w="11404"/>
          </w:cols>
          <w:pgMar w:left="236" w:top="127" w:right="259" w:bottom="1440" w:gutter="0" w:footer="0" w:header="0"/>
        </w:sectPr>
      </w:pPr>
    </w:p>
    <w:bookmarkStart w:id="237" w:name="page238"/>
    <w:bookmarkEnd w:id="237"/>
    <w:p>
      <w:pPr>
        <w:ind w:left="1844"/>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1316990</wp:posOffset>
            </wp:positionH>
            <wp:positionV relativeFrom="page">
              <wp:posOffset>470535</wp:posOffset>
            </wp:positionV>
            <wp:extent cx="4927600" cy="24384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4927600" cy="243840"/>
                    </a:xfrm>
                    <a:prstGeom prst="rect">
                      <a:avLst/>
                    </a:prstGeom>
                    <a:noFill/>
                  </pic:spPr>
                </pic:pic>
              </a:graphicData>
            </a:graphic>
          </wp:anchor>
        </w:drawing>
        <w:t>COLLECTION ALLOWANCES</w:t>
      </w:r>
    </w:p>
    <w:p>
      <w:pPr>
        <w:spacing w:after="0" w:line="40" w:lineRule="exact"/>
        <w:rPr>
          <w:sz w:val="20"/>
          <w:szCs w:val="20"/>
          <w:color w:val="auto"/>
        </w:rPr>
      </w:pPr>
    </w:p>
    <w:p>
      <w:pPr>
        <w:ind w:left="1844"/>
        <w:spacing w:after="0"/>
        <w:rPr>
          <w:sz w:val="20"/>
          <w:szCs w:val="20"/>
          <w:color w:val="auto"/>
        </w:rPr>
      </w:pPr>
      <w:r>
        <w:rPr>
          <w:rFonts w:ascii="Arial" w:cs="Arial" w:eastAsia="Arial" w:hAnsi="Arial"/>
          <w:sz w:val="13"/>
          <w:szCs w:val="13"/>
          <w:i w:val="1"/>
          <w:iCs w:val="1"/>
          <w:color w:val="auto"/>
        </w:rPr>
        <w:t>(Dollars in millions)</w:t>
      </w:r>
    </w:p>
    <w:p>
      <w:pPr>
        <w:spacing w:after="0" w:line="79" w:lineRule="exact"/>
        <w:rPr>
          <w:sz w:val="20"/>
          <w:szCs w:val="20"/>
          <w:color w:val="auto"/>
        </w:rPr>
      </w:pPr>
    </w:p>
    <w:tbl>
      <w:tblPr>
        <w:tblLayout w:type="fixed"/>
        <w:tblInd w:w="1844" w:type="dxa"/>
        <w:tblCellMar>
          <w:top w:w="0" w:type="dxa"/>
          <w:left w:w="0" w:type="dxa"/>
          <w:bottom w:w="0" w:type="dxa"/>
          <w:right w:w="0" w:type="dxa"/>
        </w:tblCellMar>
      </w:tblPr>
      <w:tr>
        <w:trPr>
          <w:trHeight w:val="159"/>
        </w:trPr>
        <w:tc>
          <w:tcPr>
            <w:tcW w:w="466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1700" w:type="dxa"/>
            <w:vAlign w:val="bottom"/>
            <w:tcBorders>
              <w:bottom w:val="single" w:sz="8" w:color="auto"/>
            </w:tcBorders>
            <w:gridSpan w:val="3"/>
          </w:tcPr>
          <w:p>
            <w:pPr>
              <w:jc w:val="right"/>
              <w:ind w:right="28"/>
              <w:spacing w:after="0"/>
              <w:rPr>
                <w:sz w:val="20"/>
                <w:szCs w:val="20"/>
                <w:color w:val="auto"/>
              </w:rPr>
            </w:pPr>
            <w:r>
              <w:rPr>
                <w:rFonts w:ascii="Arial" w:cs="Arial" w:eastAsia="Arial" w:hAnsi="Arial"/>
                <w:sz w:val="13"/>
                <w:szCs w:val="13"/>
                <w:color w:val="auto"/>
                <w:w w:val="99"/>
              </w:rPr>
              <w:t>Years ended December 31,</w:t>
            </w:r>
          </w:p>
        </w:tc>
        <w:tc>
          <w:tcPr>
            <w:tcW w:w="560" w:type="dxa"/>
            <w:vAlign w:val="bottom"/>
            <w:tcBorders>
              <w:bottom w:val="single" w:sz="8" w:color="auto"/>
            </w:tcBorders>
          </w:tcPr>
          <w:p>
            <w:pPr>
              <w:spacing w:after="0"/>
              <w:rPr>
                <w:sz w:val="13"/>
                <w:szCs w:val="13"/>
                <w:color w:val="auto"/>
              </w:rPr>
            </w:pPr>
          </w:p>
        </w:tc>
      </w:tr>
      <w:tr>
        <w:trPr>
          <w:trHeight w:val="208"/>
        </w:trPr>
        <w:tc>
          <w:tcPr>
            <w:tcW w:w="466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48"/>
              <w:spacing w:after="0"/>
              <w:rPr>
                <w:sz w:val="20"/>
                <w:szCs w:val="20"/>
                <w:color w:val="auto"/>
              </w:rPr>
            </w:pPr>
            <w:r>
              <w:rPr>
                <w:rFonts w:ascii="Arial" w:cs="Arial" w:eastAsia="Arial" w:hAnsi="Arial"/>
                <w:sz w:val="13"/>
                <w:szCs w:val="13"/>
                <w:color w:val="auto"/>
              </w:rPr>
              <w:t>2008</w:t>
            </w:r>
          </w:p>
        </w:tc>
        <w:tc>
          <w:tcPr>
            <w:tcW w:w="5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48"/>
              <w:spacing w:after="0"/>
              <w:rPr>
                <w:sz w:val="20"/>
                <w:szCs w:val="20"/>
                <w:color w:val="auto"/>
              </w:rPr>
            </w:pPr>
            <w:r>
              <w:rPr>
                <w:rFonts w:ascii="Arial" w:cs="Arial" w:eastAsia="Arial" w:hAnsi="Arial"/>
                <w:sz w:val="13"/>
                <w:szCs w:val="13"/>
                <w:color w:val="auto"/>
              </w:rPr>
              <w:t>2007</w:t>
            </w:r>
          </w:p>
        </w:tc>
        <w:tc>
          <w:tcPr>
            <w:tcW w:w="4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ind w:right="108"/>
              <w:spacing w:after="0"/>
              <w:rPr>
                <w:sz w:val="20"/>
                <w:szCs w:val="20"/>
                <w:color w:val="auto"/>
              </w:rPr>
            </w:pPr>
            <w:r>
              <w:rPr>
                <w:rFonts w:ascii="Arial" w:cs="Arial" w:eastAsia="Arial" w:hAnsi="Arial"/>
                <w:sz w:val="13"/>
                <w:szCs w:val="13"/>
                <w:color w:val="auto"/>
              </w:rPr>
              <w:t>2006</w:t>
            </w:r>
          </w:p>
        </w:tc>
      </w:tr>
      <w:tr>
        <w:trPr>
          <w:trHeight w:val="207"/>
        </w:trPr>
        <w:tc>
          <w:tcPr>
            <w:tcW w:w="4660" w:type="dxa"/>
            <w:vAlign w:val="bottom"/>
          </w:tcPr>
          <w:p>
            <w:pPr>
              <w:spacing w:after="0"/>
              <w:rPr>
                <w:sz w:val="20"/>
                <w:szCs w:val="20"/>
                <w:color w:val="auto"/>
              </w:rPr>
            </w:pPr>
            <w:r>
              <w:rPr>
                <w:rFonts w:ascii="Arial" w:cs="Arial" w:eastAsia="Arial" w:hAnsi="Arial"/>
                <w:sz w:val="14"/>
                <w:szCs w:val="14"/>
                <w:b w:val="1"/>
                <w:bCs w:val="1"/>
                <w:color w:val="auto"/>
              </w:rPr>
              <w:t>Sempra Energy Consolidated</w:t>
            </w:r>
          </w:p>
        </w:tc>
        <w:tc>
          <w:tcPr>
            <w:tcW w:w="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4660" w:type="dxa"/>
            <w:vAlign w:val="bottom"/>
          </w:tcPr>
          <w:p>
            <w:pPr>
              <w:spacing w:after="0"/>
              <w:rPr>
                <w:sz w:val="20"/>
                <w:szCs w:val="20"/>
                <w:color w:val="auto"/>
              </w:rPr>
            </w:pPr>
            <w:r>
              <w:rPr>
                <w:rFonts w:ascii="Arial" w:cs="Arial" w:eastAsia="Arial" w:hAnsi="Arial"/>
                <w:sz w:val="14"/>
                <w:szCs w:val="14"/>
                <w:color w:val="auto"/>
              </w:rPr>
              <w:t>Allowances for collection of receivables at January 1</w:t>
            </w:r>
          </w:p>
        </w:tc>
        <w:tc>
          <w:tcPr>
            <w:tcW w:w="260" w:type="dxa"/>
            <w:vAlign w:val="bottom"/>
          </w:tcPr>
          <w:p>
            <w:pPr>
              <w:jc w:val="right"/>
              <w:ind w:right="108"/>
              <w:spacing w:after="0"/>
              <w:rPr>
                <w:sz w:val="20"/>
                <w:szCs w:val="20"/>
                <w:color w:val="auto"/>
              </w:rPr>
            </w:pPr>
            <w:r>
              <w:rPr>
                <w:rFonts w:ascii="Arial" w:cs="Arial" w:eastAsia="Arial" w:hAnsi="Arial"/>
                <w:sz w:val="14"/>
                <w:szCs w:val="14"/>
                <w:color w:val="auto"/>
                <w:w w:val="76"/>
              </w:rPr>
              <w:t>$</w:t>
            </w:r>
          </w:p>
        </w:tc>
        <w:tc>
          <w:tcPr>
            <w:tcW w:w="580" w:type="dxa"/>
            <w:vAlign w:val="bottom"/>
          </w:tcPr>
          <w:p>
            <w:pPr>
              <w:jc w:val="right"/>
              <w:ind w:right="48"/>
              <w:spacing w:after="0"/>
              <w:rPr>
                <w:sz w:val="20"/>
                <w:szCs w:val="20"/>
                <w:color w:val="auto"/>
              </w:rPr>
            </w:pPr>
            <w:r>
              <w:rPr>
                <w:rFonts w:ascii="Arial" w:cs="Arial" w:eastAsia="Arial" w:hAnsi="Arial"/>
                <w:sz w:val="14"/>
                <w:szCs w:val="14"/>
                <w:color w:val="auto"/>
              </w:rPr>
              <w:t>16</w:t>
            </w:r>
          </w:p>
        </w:tc>
        <w:tc>
          <w:tcPr>
            <w:tcW w:w="540" w:type="dxa"/>
            <w:vAlign w:val="bottom"/>
          </w:tcPr>
          <w:p>
            <w:pPr>
              <w:jc w:val="right"/>
              <w:ind w:right="109"/>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148"/>
              <w:spacing w:after="0"/>
              <w:rPr>
                <w:sz w:val="20"/>
                <w:szCs w:val="20"/>
                <w:color w:val="auto"/>
              </w:rPr>
            </w:pPr>
            <w:r>
              <w:rPr>
                <w:rFonts w:ascii="Arial" w:cs="Arial" w:eastAsia="Arial" w:hAnsi="Arial"/>
                <w:sz w:val="14"/>
                <w:szCs w:val="14"/>
                <w:color w:val="auto"/>
              </w:rPr>
              <w:t>15</w:t>
            </w:r>
          </w:p>
        </w:tc>
        <w:tc>
          <w:tcPr>
            <w:tcW w:w="48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560" w:type="dxa"/>
            <w:vAlign w:val="bottom"/>
          </w:tcPr>
          <w:p>
            <w:pPr>
              <w:jc w:val="right"/>
              <w:ind w:right="108"/>
              <w:spacing w:after="0"/>
              <w:rPr>
                <w:sz w:val="20"/>
                <w:szCs w:val="20"/>
                <w:color w:val="auto"/>
              </w:rPr>
            </w:pPr>
            <w:r>
              <w:rPr>
                <w:rFonts w:ascii="Arial" w:cs="Arial" w:eastAsia="Arial" w:hAnsi="Arial"/>
                <w:sz w:val="14"/>
                <w:szCs w:val="14"/>
                <w:color w:val="auto"/>
              </w:rPr>
              <w:t>15</w:t>
            </w:r>
          </w:p>
        </w:tc>
      </w:tr>
      <w:tr>
        <w:trPr>
          <w:trHeight w:val="216"/>
        </w:trPr>
        <w:tc>
          <w:tcPr>
            <w:tcW w:w="4660" w:type="dxa"/>
            <w:vAlign w:val="bottom"/>
          </w:tcPr>
          <w:p>
            <w:pPr>
              <w:spacing w:after="0"/>
              <w:rPr>
                <w:sz w:val="20"/>
                <w:szCs w:val="20"/>
                <w:color w:val="auto"/>
              </w:rPr>
            </w:pPr>
            <w:r>
              <w:rPr>
                <w:rFonts w:ascii="Arial" w:cs="Arial" w:eastAsia="Arial" w:hAnsi="Arial"/>
                <w:sz w:val="14"/>
                <w:szCs w:val="14"/>
                <w:color w:val="auto"/>
              </w:rPr>
              <w:t>Provisions for uncollectible accounts</w:t>
            </w:r>
          </w:p>
        </w:tc>
        <w:tc>
          <w:tcPr>
            <w:tcW w:w="260" w:type="dxa"/>
            <w:vAlign w:val="bottom"/>
          </w:tcPr>
          <w:p>
            <w:pPr>
              <w:spacing w:after="0"/>
              <w:rPr>
                <w:sz w:val="18"/>
                <w:szCs w:val="18"/>
                <w:color w:val="auto"/>
              </w:rPr>
            </w:pPr>
          </w:p>
        </w:tc>
        <w:tc>
          <w:tcPr>
            <w:tcW w:w="580" w:type="dxa"/>
            <w:vAlign w:val="bottom"/>
          </w:tcPr>
          <w:p>
            <w:pPr>
              <w:jc w:val="right"/>
              <w:ind w:right="48"/>
              <w:spacing w:after="0"/>
              <w:rPr>
                <w:sz w:val="20"/>
                <w:szCs w:val="20"/>
                <w:color w:val="auto"/>
              </w:rPr>
            </w:pPr>
            <w:r>
              <w:rPr>
                <w:rFonts w:ascii="Arial" w:cs="Arial" w:eastAsia="Arial" w:hAnsi="Arial"/>
                <w:sz w:val="14"/>
                <w:szCs w:val="14"/>
                <w:color w:val="auto"/>
              </w:rPr>
              <w:t>36</w:t>
            </w:r>
          </w:p>
        </w:tc>
        <w:tc>
          <w:tcPr>
            <w:tcW w:w="540" w:type="dxa"/>
            <w:vAlign w:val="bottom"/>
          </w:tcPr>
          <w:p>
            <w:pPr>
              <w:spacing w:after="0"/>
              <w:rPr>
                <w:sz w:val="18"/>
                <w:szCs w:val="18"/>
                <w:color w:val="auto"/>
              </w:rPr>
            </w:pPr>
          </w:p>
        </w:tc>
        <w:tc>
          <w:tcPr>
            <w:tcW w:w="680" w:type="dxa"/>
            <w:vAlign w:val="bottom"/>
          </w:tcPr>
          <w:p>
            <w:pPr>
              <w:jc w:val="right"/>
              <w:ind w:right="148"/>
              <w:spacing w:after="0"/>
              <w:rPr>
                <w:sz w:val="20"/>
                <w:szCs w:val="20"/>
                <w:color w:val="auto"/>
              </w:rPr>
            </w:pPr>
            <w:r>
              <w:rPr>
                <w:rFonts w:ascii="Arial" w:cs="Arial" w:eastAsia="Arial" w:hAnsi="Arial"/>
                <w:sz w:val="14"/>
                <w:szCs w:val="14"/>
                <w:color w:val="auto"/>
              </w:rPr>
              <w:t>20</w:t>
            </w:r>
          </w:p>
        </w:tc>
        <w:tc>
          <w:tcPr>
            <w:tcW w:w="480" w:type="dxa"/>
            <w:vAlign w:val="bottom"/>
          </w:tcPr>
          <w:p>
            <w:pPr>
              <w:spacing w:after="0"/>
              <w:rPr>
                <w:sz w:val="18"/>
                <w:szCs w:val="18"/>
                <w:color w:val="auto"/>
              </w:rPr>
            </w:pPr>
          </w:p>
        </w:tc>
        <w:tc>
          <w:tcPr>
            <w:tcW w:w="560" w:type="dxa"/>
            <w:vAlign w:val="bottom"/>
          </w:tcPr>
          <w:p>
            <w:pPr>
              <w:jc w:val="right"/>
              <w:ind w:right="108"/>
              <w:spacing w:after="0"/>
              <w:rPr>
                <w:sz w:val="20"/>
                <w:szCs w:val="20"/>
                <w:color w:val="auto"/>
              </w:rPr>
            </w:pPr>
            <w:r>
              <w:rPr>
                <w:rFonts w:ascii="Arial" w:cs="Arial" w:eastAsia="Arial" w:hAnsi="Arial"/>
                <w:sz w:val="14"/>
                <w:szCs w:val="14"/>
                <w:color w:val="auto"/>
              </w:rPr>
              <w:t>19</w:t>
            </w:r>
          </w:p>
        </w:tc>
      </w:tr>
      <w:tr>
        <w:trPr>
          <w:trHeight w:val="216"/>
        </w:trPr>
        <w:tc>
          <w:tcPr>
            <w:tcW w:w="4660" w:type="dxa"/>
            <w:vAlign w:val="bottom"/>
          </w:tcPr>
          <w:p>
            <w:pPr>
              <w:spacing w:after="0"/>
              <w:rPr>
                <w:sz w:val="20"/>
                <w:szCs w:val="20"/>
                <w:color w:val="auto"/>
              </w:rPr>
            </w:pPr>
            <w:r>
              <w:rPr>
                <w:rFonts w:ascii="Arial" w:cs="Arial" w:eastAsia="Arial" w:hAnsi="Arial"/>
                <w:sz w:val="14"/>
                <w:szCs w:val="14"/>
                <w:color w:val="auto"/>
              </w:rPr>
              <w:t>Write-offs of uncollectible accounts</w:t>
            </w:r>
          </w:p>
        </w:tc>
        <w:tc>
          <w:tcPr>
            <w:tcW w:w="2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(25 )</w:t>
            </w:r>
          </w:p>
        </w:tc>
        <w:tc>
          <w:tcPr>
            <w:tcW w:w="540" w:type="dxa"/>
            <w:vAlign w:val="bottom"/>
          </w:tcPr>
          <w:p>
            <w:pPr>
              <w:spacing w:after="0"/>
              <w:rPr>
                <w:sz w:val="18"/>
                <w:szCs w:val="18"/>
                <w:color w:val="auto"/>
              </w:rPr>
            </w:pPr>
          </w:p>
        </w:tc>
        <w:tc>
          <w:tcPr>
            <w:tcW w:w="680" w:type="dxa"/>
            <w:vAlign w:val="bottom"/>
          </w:tcPr>
          <w:p>
            <w:pPr>
              <w:jc w:val="right"/>
              <w:ind w:right="88"/>
              <w:spacing w:after="0"/>
              <w:rPr>
                <w:sz w:val="20"/>
                <w:szCs w:val="20"/>
                <w:color w:val="auto"/>
              </w:rPr>
            </w:pPr>
            <w:r>
              <w:rPr>
                <w:rFonts w:ascii="Arial" w:cs="Arial" w:eastAsia="Arial" w:hAnsi="Arial"/>
                <w:sz w:val="14"/>
                <w:szCs w:val="14"/>
                <w:color w:val="auto"/>
              </w:rPr>
              <w:t>(19 )</w:t>
            </w:r>
          </w:p>
        </w:tc>
        <w:tc>
          <w:tcPr>
            <w:tcW w:w="480" w:type="dxa"/>
            <w:vAlign w:val="bottom"/>
          </w:tcPr>
          <w:p>
            <w:pPr>
              <w:spacing w:after="0"/>
              <w:rPr>
                <w:sz w:val="18"/>
                <w:szCs w:val="18"/>
                <w:color w:val="auto"/>
              </w:rPr>
            </w:pPr>
          </w:p>
        </w:tc>
        <w:tc>
          <w:tcPr>
            <w:tcW w:w="560" w:type="dxa"/>
            <w:vAlign w:val="bottom"/>
          </w:tcPr>
          <w:p>
            <w:pPr>
              <w:jc w:val="right"/>
              <w:ind w:right="28"/>
              <w:spacing w:after="0"/>
              <w:rPr>
                <w:sz w:val="20"/>
                <w:szCs w:val="20"/>
                <w:color w:val="auto"/>
              </w:rPr>
            </w:pPr>
            <w:r>
              <w:rPr>
                <w:rFonts w:ascii="Arial" w:cs="Arial" w:eastAsia="Arial" w:hAnsi="Arial"/>
                <w:sz w:val="14"/>
                <w:szCs w:val="14"/>
                <w:color w:val="auto"/>
              </w:rPr>
              <w:t>(19 )</w:t>
            </w:r>
          </w:p>
        </w:tc>
      </w:tr>
      <w:tr>
        <w:trPr>
          <w:trHeight w:val="222"/>
        </w:trPr>
        <w:tc>
          <w:tcPr>
            <w:tcW w:w="4660" w:type="dxa"/>
            <w:vAlign w:val="bottom"/>
          </w:tcPr>
          <w:p>
            <w:pPr>
              <w:spacing w:after="0"/>
              <w:rPr>
                <w:sz w:val="20"/>
                <w:szCs w:val="20"/>
                <w:color w:val="auto"/>
              </w:rPr>
            </w:pPr>
            <w:r>
              <w:rPr>
                <w:rFonts w:ascii="Arial" w:cs="Arial" w:eastAsia="Arial" w:hAnsi="Arial"/>
                <w:sz w:val="14"/>
                <w:szCs w:val="14"/>
                <w:color w:val="auto"/>
              </w:rPr>
              <w:t>Acquisition of EnergySouth (see Note 3)</w:t>
            </w:r>
          </w:p>
        </w:tc>
        <w:tc>
          <w:tcPr>
            <w:tcW w:w="2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w:t>
            </w:r>
          </w:p>
        </w:tc>
        <w:tc>
          <w:tcPr>
            <w:tcW w:w="5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4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r>
      <w:tr>
        <w:trPr>
          <w:trHeight w:val="224"/>
        </w:trPr>
        <w:tc>
          <w:tcPr>
            <w:tcW w:w="4660" w:type="dxa"/>
            <w:vAlign w:val="bottom"/>
          </w:tcPr>
          <w:p>
            <w:pPr>
              <w:spacing w:after="0"/>
              <w:rPr>
                <w:sz w:val="20"/>
                <w:szCs w:val="20"/>
                <w:color w:val="auto"/>
              </w:rPr>
            </w:pPr>
            <w:r>
              <w:rPr>
                <w:rFonts w:ascii="Arial" w:cs="Arial" w:eastAsia="Arial" w:hAnsi="Arial"/>
                <w:sz w:val="14"/>
                <w:szCs w:val="14"/>
                <w:color w:val="auto"/>
              </w:rPr>
              <w:t>Allowances for collection of receivables at December 31</w:t>
            </w:r>
          </w:p>
        </w:tc>
        <w:tc>
          <w:tcPr>
            <w:tcW w:w="2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w w:val="76"/>
              </w:rPr>
              <w:t>$</w:t>
            </w:r>
          </w:p>
        </w:tc>
        <w:tc>
          <w:tcPr>
            <w:tcW w:w="5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29</w:t>
            </w:r>
          </w:p>
        </w:tc>
        <w:tc>
          <w:tcPr>
            <w:tcW w:w="54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16</w:t>
            </w:r>
          </w:p>
        </w:tc>
        <w:tc>
          <w:tcPr>
            <w:tcW w:w="48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15</w:t>
            </w:r>
          </w:p>
        </w:tc>
      </w:tr>
      <w:tr>
        <w:trPr>
          <w:trHeight w:val="426"/>
        </w:trPr>
        <w:tc>
          <w:tcPr>
            <w:tcW w:w="4660" w:type="dxa"/>
            <w:vAlign w:val="bottom"/>
          </w:tcPr>
          <w:p>
            <w:pPr>
              <w:spacing w:after="0"/>
              <w:rPr>
                <w:sz w:val="20"/>
                <w:szCs w:val="20"/>
                <w:color w:val="auto"/>
              </w:rPr>
            </w:pPr>
            <w:r>
              <w:rPr>
                <w:rFonts w:ascii="Arial" w:cs="Arial" w:eastAsia="Arial" w:hAnsi="Arial"/>
                <w:sz w:val="14"/>
                <w:szCs w:val="14"/>
                <w:color w:val="auto"/>
              </w:rPr>
              <w:t>Allowance for realization of trading assets at January 1</w:t>
            </w:r>
          </w:p>
        </w:tc>
        <w:tc>
          <w:tcPr>
            <w:tcW w:w="260" w:type="dxa"/>
            <w:vAlign w:val="bottom"/>
          </w:tcPr>
          <w:p>
            <w:pPr>
              <w:jc w:val="right"/>
              <w:ind w:right="108"/>
              <w:spacing w:after="0"/>
              <w:rPr>
                <w:sz w:val="20"/>
                <w:szCs w:val="20"/>
                <w:color w:val="auto"/>
              </w:rPr>
            </w:pPr>
            <w:r>
              <w:rPr>
                <w:rFonts w:ascii="Arial" w:cs="Arial" w:eastAsia="Arial" w:hAnsi="Arial"/>
                <w:sz w:val="14"/>
                <w:szCs w:val="14"/>
                <w:color w:val="auto"/>
                <w:w w:val="76"/>
              </w:rPr>
              <w:t>$</w:t>
            </w:r>
          </w:p>
        </w:tc>
        <w:tc>
          <w:tcPr>
            <w:tcW w:w="580" w:type="dxa"/>
            <w:vAlign w:val="bottom"/>
          </w:tcPr>
          <w:p>
            <w:pPr>
              <w:jc w:val="right"/>
              <w:ind w:right="48"/>
              <w:spacing w:after="0"/>
              <w:rPr>
                <w:sz w:val="20"/>
                <w:szCs w:val="20"/>
                <w:color w:val="auto"/>
              </w:rPr>
            </w:pPr>
            <w:r>
              <w:rPr>
                <w:rFonts w:ascii="Arial" w:cs="Arial" w:eastAsia="Arial" w:hAnsi="Arial"/>
                <w:sz w:val="14"/>
                <w:szCs w:val="14"/>
                <w:color w:val="auto"/>
              </w:rPr>
              <w:t>48</w:t>
            </w:r>
          </w:p>
        </w:tc>
        <w:tc>
          <w:tcPr>
            <w:tcW w:w="540" w:type="dxa"/>
            <w:vAlign w:val="bottom"/>
          </w:tcPr>
          <w:p>
            <w:pPr>
              <w:jc w:val="right"/>
              <w:ind w:right="109"/>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148"/>
              <w:spacing w:after="0"/>
              <w:rPr>
                <w:sz w:val="20"/>
                <w:szCs w:val="20"/>
                <w:color w:val="auto"/>
              </w:rPr>
            </w:pPr>
            <w:r>
              <w:rPr>
                <w:rFonts w:ascii="Arial" w:cs="Arial" w:eastAsia="Arial" w:hAnsi="Arial"/>
                <w:sz w:val="14"/>
                <w:szCs w:val="14"/>
                <w:color w:val="auto"/>
              </w:rPr>
              <w:t>53</w:t>
            </w:r>
          </w:p>
        </w:tc>
        <w:tc>
          <w:tcPr>
            <w:tcW w:w="48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560" w:type="dxa"/>
            <w:vAlign w:val="bottom"/>
          </w:tcPr>
          <w:p>
            <w:pPr>
              <w:jc w:val="right"/>
              <w:ind w:right="108"/>
              <w:spacing w:after="0"/>
              <w:rPr>
                <w:sz w:val="20"/>
                <w:szCs w:val="20"/>
                <w:color w:val="auto"/>
              </w:rPr>
            </w:pPr>
            <w:r>
              <w:rPr>
                <w:rFonts w:ascii="Arial" w:cs="Arial" w:eastAsia="Arial" w:hAnsi="Arial"/>
                <w:sz w:val="14"/>
                <w:szCs w:val="14"/>
                <w:color w:val="auto"/>
              </w:rPr>
              <w:t>64</w:t>
            </w:r>
          </w:p>
        </w:tc>
      </w:tr>
      <w:tr>
        <w:trPr>
          <w:trHeight w:val="216"/>
        </w:trPr>
        <w:tc>
          <w:tcPr>
            <w:tcW w:w="4660" w:type="dxa"/>
            <w:vAlign w:val="bottom"/>
          </w:tcPr>
          <w:p>
            <w:pPr>
              <w:spacing w:after="0"/>
              <w:rPr>
                <w:sz w:val="20"/>
                <w:szCs w:val="20"/>
                <w:color w:val="auto"/>
              </w:rPr>
            </w:pPr>
            <w:r>
              <w:rPr>
                <w:rFonts w:ascii="Arial" w:cs="Arial" w:eastAsia="Arial" w:hAnsi="Arial"/>
                <w:sz w:val="14"/>
                <w:szCs w:val="14"/>
                <w:color w:val="auto"/>
              </w:rPr>
              <w:t>Provisions for (recovery of) uncollectible accounts</w:t>
            </w:r>
          </w:p>
        </w:tc>
        <w:tc>
          <w:tcPr>
            <w:tcW w:w="260" w:type="dxa"/>
            <w:vAlign w:val="bottom"/>
          </w:tcPr>
          <w:p>
            <w:pPr>
              <w:spacing w:after="0"/>
              <w:rPr>
                <w:sz w:val="18"/>
                <w:szCs w:val="18"/>
                <w:color w:val="auto"/>
              </w:rPr>
            </w:pPr>
          </w:p>
        </w:tc>
        <w:tc>
          <w:tcPr>
            <w:tcW w:w="580" w:type="dxa"/>
            <w:vAlign w:val="bottom"/>
          </w:tcPr>
          <w:p>
            <w:pPr>
              <w:jc w:val="right"/>
              <w:ind w:right="48"/>
              <w:spacing w:after="0"/>
              <w:rPr>
                <w:sz w:val="20"/>
                <w:szCs w:val="20"/>
                <w:color w:val="auto"/>
              </w:rPr>
            </w:pPr>
            <w:r>
              <w:rPr>
                <w:rFonts w:ascii="Arial" w:cs="Arial" w:eastAsia="Arial" w:hAnsi="Arial"/>
                <w:sz w:val="14"/>
                <w:szCs w:val="14"/>
                <w:color w:val="auto"/>
              </w:rPr>
              <w:t>42</w:t>
            </w:r>
          </w:p>
        </w:tc>
        <w:tc>
          <w:tcPr>
            <w:tcW w:w="540" w:type="dxa"/>
            <w:vAlign w:val="bottom"/>
          </w:tcPr>
          <w:p>
            <w:pPr>
              <w:spacing w:after="0"/>
              <w:rPr>
                <w:sz w:val="18"/>
                <w:szCs w:val="18"/>
                <w:color w:val="auto"/>
              </w:rPr>
            </w:pPr>
          </w:p>
        </w:tc>
        <w:tc>
          <w:tcPr>
            <w:tcW w:w="680" w:type="dxa"/>
            <w:vAlign w:val="bottom"/>
          </w:tcPr>
          <w:p>
            <w:pPr>
              <w:jc w:val="right"/>
              <w:ind w:right="88"/>
              <w:spacing w:after="0"/>
              <w:rPr>
                <w:sz w:val="20"/>
                <w:szCs w:val="20"/>
                <w:color w:val="auto"/>
              </w:rPr>
            </w:pPr>
            <w:r>
              <w:rPr>
                <w:rFonts w:ascii="Arial" w:cs="Arial" w:eastAsia="Arial" w:hAnsi="Arial"/>
                <w:sz w:val="14"/>
                <w:szCs w:val="14"/>
                <w:color w:val="auto"/>
              </w:rPr>
              <w:t>(2 )</w:t>
            </w:r>
          </w:p>
        </w:tc>
        <w:tc>
          <w:tcPr>
            <w:tcW w:w="480" w:type="dxa"/>
            <w:vAlign w:val="bottom"/>
          </w:tcPr>
          <w:p>
            <w:pPr>
              <w:spacing w:after="0"/>
              <w:rPr>
                <w:sz w:val="18"/>
                <w:szCs w:val="18"/>
                <w:color w:val="auto"/>
              </w:rPr>
            </w:pPr>
          </w:p>
        </w:tc>
        <w:tc>
          <w:tcPr>
            <w:tcW w:w="560" w:type="dxa"/>
            <w:vAlign w:val="bottom"/>
          </w:tcPr>
          <w:p>
            <w:pPr>
              <w:jc w:val="right"/>
              <w:ind w:right="108"/>
              <w:spacing w:after="0"/>
              <w:rPr>
                <w:sz w:val="20"/>
                <w:szCs w:val="20"/>
                <w:color w:val="auto"/>
              </w:rPr>
            </w:pPr>
            <w:r>
              <w:rPr>
                <w:rFonts w:ascii="Arial" w:cs="Arial" w:eastAsia="Arial" w:hAnsi="Arial"/>
                <w:sz w:val="14"/>
                <w:szCs w:val="14"/>
                <w:color w:val="auto"/>
              </w:rPr>
              <w:t>15</w:t>
            </w:r>
          </w:p>
        </w:tc>
      </w:tr>
      <w:tr>
        <w:trPr>
          <w:trHeight w:val="216"/>
        </w:trPr>
        <w:tc>
          <w:tcPr>
            <w:tcW w:w="4660" w:type="dxa"/>
            <w:vAlign w:val="bottom"/>
          </w:tcPr>
          <w:p>
            <w:pPr>
              <w:spacing w:after="0"/>
              <w:rPr>
                <w:sz w:val="20"/>
                <w:szCs w:val="20"/>
                <w:color w:val="auto"/>
              </w:rPr>
            </w:pPr>
            <w:r>
              <w:rPr>
                <w:rFonts w:ascii="Arial" w:cs="Arial" w:eastAsia="Arial" w:hAnsi="Arial"/>
                <w:sz w:val="14"/>
                <w:szCs w:val="14"/>
                <w:color w:val="auto"/>
              </w:rPr>
              <w:t>Write-offs of uncollectible accounts</w:t>
            </w:r>
          </w:p>
        </w:tc>
        <w:tc>
          <w:tcPr>
            <w:tcW w:w="260" w:type="dxa"/>
            <w:vAlign w:val="bottom"/>
          </w:tcPr>
          <w:p>
            <w:pPr>
              <w:spacing w:after="0"/>
              <w:rPr>
                <w:sz w:val="18"/>
                <w:szCs w:val="18"/>
                <w:color w:val="auto"/>
              </w:rPr>
            </w:pPr>
          </w:p>
        </w:tc>
        <w:tc>
          <w:tcPr>
            <w:tcW w:w="5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540" w:type="dxa"/>
            <w:vAlign w:val="bottom"/>
          </w:tcPr>
          <w:p>
            <w:pPr>
              <w:spacing w:after="0"/>
              <w:rPr>
                <w:sz w:val="18"/>
                <w:szCs w:val="18"/>
                <w:color w:val="auto"/>
              </w:rPr>
            </w:pPr>
          </w:p>
        </w:tc>
        <w:tc>
          <w:tcPr>
            <w:tcW w:w="680" w:type="dxa"/>
            <w:vAlign w:val="bottom"/>
          </w:tcPr>
          <w:p>
            <w:pPr>
              <w:jc w:val="right"/>
              <w:ind w:right="88"/>
              <w:spacing w:after="0"/>
              <w:rPr>
                <w:sz w:val="20"/>
                <w:szCs w:val="20"/>
                <w:color w:val="auto"/>
              </w:rPr>
            </w:pPr>
            <w:r>
              <w:rPr>
                <w:rFonts w:ascii="Arial" w:cs="Arial" w:eastAsia="Arial" w:hAnsi="Arial"/>
                <w:sz w:val="14"/>
                <w:szCs w:val="14"/>
                <w:color w:val="auto"/>
              </w:rPr>
              <w:t>(3 )</w:t>
            </w:r>
          </w:p>
        </w:tc>
        <w:tc>
          <w:tcPr>
            <w:tcW w:w="480" w:type="dxa"/>
            <w:vAlign w:val="bottom"/>
          </w:tcPr>
          <w:p>
            <w:pPr>
              <w:spacing w:after="0"/>
              <w:rPr>
                <w:sz w:val="18"/>
                <w:szCs w:val="18"/>
                <w:color w:val="auto"/>
              </w:rPr>
            </w:pPr>
          </w:p>
        </w:tc>
        <w:tc>
          <w:tcPr>
            <w:tcW w:w="560" w:type="dxa"/>
            <w:vAlign w:val="bottom"/>
          </w:tcPr>
          <w:p>
            <w:pPr>
              <w:jc w:val="right"/>
              <w:ind w:right="28"/>
              <w:spacing w:after="0"/>
              <w:rPr>
                <w:sz w:val="20"/>
                <w:szCs w:val="20"/>
                <w:color w:val="auto"/>
              </w:rPr>
            </w:pPr>
            <w:r>
              <w:rPr>
                <w:rFonts w:ascii="Arial" w:cs="Arial" w:eastAsia="Arial" w:hAnsi="Arial"/>
                <w:sz w:val="14"/>
                <w:szCs w:val="14"/>
                <w:color w:val="auto"/>
              </w:rPr>
              <w:t>(26 )</w:t>
            </w:r>
          </w:p>
        </w:tc>
      </w:tr>
      <w:tr>
        <w:trPr>
          <w:trHeight w:val="222"/>
        </w:trPr>
        <w:tc>
          <w:tcPr>
            <w:tcW w:w="4660" w:type="dxa"/>
            <w:vAlign w:val="bottom"/>
          </w:tcPr>
          <w:p>
            <w:pPr>
              <w:spacing w:after="0"/>
              <w:rPr>
                <w:sz w:val="20"/>
                <w:szCs w:val="20"/>
                <w:color w:val="auto"/>
              </w:rPr>
            </w:pPr>
            <w:r>
              <w:rPr>
                <w:rFonts w:ascii="Arial" w:cs="Arial" w:eastAsia="Arial" w:hAnsi="Arial"/>
                <w:sz w:val="14"/>
                <w:szCs w:val="14"/>
                <w:color w:val="auto"/>
              </w:rPr>
              <w:t>Sale of commodities-marketing businesses (see Note 3)</w:t>
            </w:r>
          </w:p>
        </w:tc>
        <w:tc>
          <w:tcPr>
            <w:tcW w:w="2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(90 )</w:t>
            </w:r>
          </w:p>
        </w:tc>
        <w:tc>
          <w:tcPr>
            <w:tcW w:w="5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4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r>
      <w:tr>
        <w:trPr>
          <w:trHeight w:val="224"/>
        </w:trPr>
        <w:tc>
          <w:tcPr>
            <w:tcW w:w="46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Allowance for realization of trading assets at December 31</w:t>
            </w:r>
          </w:p>
        </w:tc>
        <w:tc>
          <w:tcPr>
            <w:tcW w:w="2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w w:val="76"/>
              </w:rPr>
              <w:t>$</w:t>
            </w:r>
          </w:p>
        </w:tc>
        <w:tc>
          <w:tcPr>
            <w:tcW w:w="5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48</w:t>
            </w:r>
          </w:p>
        </w:tc>
        <w:tc>
          <w:tcPr>
            <w:tcW w:w="48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53</w:t>
            </w:r>
          </w:p>
        </w:tc>
      </w:tr>
      <w:tr>
        <w:trPr>
          <w:trHeight w:val="210"/>
        </w:trPr>
        <w:tc>
          <w:tcPr>
            <w:tcW w:w="4660" w:type="dxa"/>
            <w:vAlign w:val="bottom"/>
          </w:tcPr>
          <w:p>
            <w:pPr>
              <w:spacing w:after="0"/>
              <w:rPr>
                <w:sz w:val="20"/>
                <w:szCs w:val="20"/>
                <w:color w:val="auto"/>
              </w:rPr>
            </w:pPr>
            <w:r>
              <w:rPr>
                <w:rFonts w:ascii="Arial" w:cs="Arial" w:eastAsia="Arial" w:hAnsi="Arial"/>
                <w:sz w:val="14"/>
                <w:szCs w:val="14"/>
                <w:b w:val="1"/>
                <w:bCs w:val="1"/>
                <w:color w:val="auto"/>
              </w:rPr>
              <w:t>SDG&amp;E</w:t>
            </w:r>
          </w:p>
        </w:tc>
        <w:tc>
          <w:tcPr>
            <w:tcW w:w="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4660" w:type="dxa"/>
            <w:vAlign w:val="bottom"/>
          </w:tcPr>
          <w:p>
            <w:pPr>
              <w:spacing w:after="0"/>
              <w:rPr>
                <w:sz w:val="20"/>
                <w:szCs w:val="20"/>
                <w:color w:val="auto"/>
              </w:rPr>
            </w:pPr>
            <w:r>
              <w:rPr>
                <w:rFonts w:ascii="Arial" w:cs="Arial" w:eastAsia="Arial" w:hAnsi="Arial"/>
                <w:sz w:val="14"/>
                <w:szCs w:val="14"/>
                <w:color w:val="auto"/>
              </w:rPr>
              <w:t>Allowances for collection of receivables at January 1</w:t>
            </w:r>
          </w:p>
        </w:tc>
        <w:tc>
          <w:tcPr>
            <w:tcW w:w="260" w:type="dxa"/>
            <w:vAlign w:val="bottom"/>
          </w:tcPr>
          <w:p>
            <w:pPr>
              <w:jc w:val="right"/>
              <w:ind w:right="108"/>
              <w:spacing w:after="0"/>
              <w:rPr>
                <w:sz w:val="20"/>
                <w:szCs w:val="20"/>
                <w:color w:val="auto"/>
              </w:rPr>
            </w:pPr>
            <w:r>
              <w:rPr>
                <w:rFonts w:ascii="Arial" w:cs="Arial" w:eastAsia="Arial" w:hAnsi="Arial"/>
                <w:sz w:val="14"/>
                <w:szCs w:val="14"/>
                <w:color w:val="auto"/>
                <w:w w:val="76"/>
              </w:rPr>
              <w:t>$</w:t>
            </w:r>
          </w:p>
        </w:tc>
        <w:tc>
          <w:tcPr>
            <w:tcW w:w="580" w:type="dxa"/>
            <w:vAlign w:val="bottom"/>
          </w:tcPr>
          <w:p>
            <w:pPr>
              <w:jc w:val="right"/>
              <w:ind w:right="48"/>
              <w:spacing w:after="0"/>
              <w:rPr>
                <w:sz w:val="20"/>
                <w:szCs w:val="20"/>
                <w:color w:val="auto"/>
              </w:rPr>
            </w:pPr>
            <w:r>
              <w:rPr>
                <w:rFonts w:ascii="Arial" w:cs="Arial" w:eastAsia="Arial" w:hAnsi="Arial"/>
                <w:sz w:val="14"/>
                <w:szCs w:val="14"/>
                <w:color w:val="auto"/>
              </w:rPr>
              <w:t>5</w:t>
            </w:r>
          </w:p>
        </w:tc>
        <w:tc>
          <w:tcPr>
            <w:tcW w:w="540" w:type="dxa"/>
            <w:vAlign w:val="bottom"/>
          </w:tcPr>
          <w:p>
            <w:pPr>
              <w:jc w:val="right"/>
              <w:ind w:right="109"/>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148"/>
              <w:spacing w:after="0"/>
              <w:rPr>
                <w:sz w:val="20"/>
                <w:szCs w:val="20"/>
                <w:color w:val="auto"/>
              </w:rPr>
            </w:pPr>
            <w:r>
              <w:rPr>
                <w:rFonts w:ascii="Arial" w:cs="Arial" w:eastAsia="Arial" w:hAnsi="Arial"/>
                <w:sz w:val="14"/>
                <w:szCs w:val="14"/>
                <w:color w:val="auto"/>
              </w:rPr>
              <w:t>5</w:t>
            </w:r>
          </w:p>
        </w:tc>
        <w:tc>
          <w:tcPr>
            <w:tcW w:w="48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560" w:type="dxa"/>
            <w:vAlign w:val="bottom"/>
          </w:tcPr>
          <w:p>
            <w:pPr>
              <w:jc w:val="right"/>
              <w:ind w:right="108"/>
              <w:spacing w:after="0"/>
              <w:rPr>
                <w:sz w:val="20"/>
                <w:szCs w:val="20"/>
                <w:color w:val="auto"/>
              </w:rPr>
            </w:pPr>
            <w:r>
              <w:rPr>
                <w:rFonts w:ascii="Arial" w:cs="Arial" w:eastAsia="Arial" w:hAnsi="Arial"/>
                <w:sz w:val="14"/>
                <w:szCs w:val="14"/>
                <w:color w:val="auto"/>
              </w:rPr>
              <w:t>4</w:t>
            </w:r>
          </w:p>
        </w:tc>
      </w:tr>
      <w:tr>
        <w:trPr>
          <w:trHeight w:val="216"/>
        </w:trPr>
        <w:tc>
          <w:tcPr>
            <w:tcW w:w="4660" w:type="dxa"/>
            <w:vAlign w:val="bottom"/>
          </w:tcPr>
          <w:p>
            <w:pPr>
              <w:spacing w:after="0"/>
              <w:rPr>
                <w:sz w:val="20"/>
                <w:szCs w:val="20"/>
                <w:color w:val="auto"/>
              </w:rPr>
            </w:pPr>
            <w:r>
              <w:rPr>
                <w:rFonts w:ascii="Arial" w:cs="Arial" w:eastAsia="Arial" w:hAnsi="Arial"/>
                <w:sz w:val="14"/>
                <w:szCs w:val="14"/>
                <w:color w:val="auto"/>
              </w:rPr>
              <w:t>Provisions for uncollectible accounts</w:t>
            </w:r>
          </w:p>
        </w:tc>
        <w:tc>
          <w:tcPr>
            <w:tcW w:w="260" w:type="dxa"/>
            <w:vAlign w:val="bottom"/>
          </w:tcPr>
          <w:p>
            <w:pPr>
              <w:spacing w:after="0"/>
              <w:rPr>
                <w:sz w:val="18"/>
                <w:szCs w:val="18"/>
                <w:color w:val="auto"/>
              </w:rPr>
            </w:pPr>
          </w:p>
        </w:tc>
        <w:tc>
          <w:tcPr>
            <w:tcW w:w="580" w:type="dxa"/>
            <w:vAlign w:val="bottom"/>
          </w:tcPr>
          <w:p>
            <w:pPr>
              <w:jc w:val="right"/>
              <w:ind w:right="48"/>
              <w:spacing w:after="0"/>
              <w:rPr>
                <w:sz w:val="20"/>
                <w:szCs w:val="20"/>
                <w:color w:val="auto"/>
              </w:rPr>
            </w:pPr>
            <w:r>
              <w:rPr>
                <w:rFonts w:ascii="Arial" w:cs="Arial" w:eastAsia="Arial" w:hAnsi="Arial"/>
                <w:sz w:val="14"/>
                <w:szCs w:val="14"/>
                <w:color w:val="auto"/>
              </w:rPr>
              <w:t>12</w:t>
            </w:r>
          </w:p>
        </w:tc>
        <w:tc>
          <w:tcPr>
            <w:tcW w:w="540" w:type="dxa"/>
            <w:vAlign w:val="bottom"/>
          </w:tcPr>
          <w:p>
            <w:pPr>
              <w:spacing w:after="0"/>
              <w:rPr>
                <w:sz w:val="18"/>
                <w:szCs w:val="18"/>
                <w:color w:val="auto"/>
              </w:rPr>
            </w:pPr>
          </w:p>
        </w:tc>
        <w:tc>
          <w:tcPr>
            <w:tcW w:w="680" w:type="dxa"/>
            <w:vAlign w:val="bottom"/>
          </w:tcPr>
          <w:p>
            <w:pPr>
              <w:jc w:val="right"/>
              <w:ind w:right="148"/>
              <w:spacing w:after="0"/>
              <w:rPr>
                <w:sz w:val="20"/>
                <w:szCs w:val="20"/>
                <w:color w:val="auto"/>
              </w:rPr>
            </w:pPr>
            <w:r>
              <w:rPr>
                <w:rFonts w:ascii="Arial" w:cs="Arial" w:eastAsia="Arial" w:hAnsi="Arial"/>
                <w:sz w:val="14"/>
                <w:szCs w:val="14"/>
                <w:color w:val="auto"/>
              </w:rPr>
              <w:t>8</w:t>
            </w:r>
          </w:p>
        </w:tc>
        <w:tc>
          <w:tcPr>
            <w:tcW w:w="480" w:type="dxa"/>
            <w:vAlign w:val="bottom"/>
          </w:tcPr>
          <w:p>
            <w:pPr>
              <w:spacing w:after="0"/>
              <w:rPr>
                <w:sz w:val="18"/>
                <w:szCs w:val="18"/>
                <w:color w:val="auto"/>
              </w:rPr>
            </w:pPr>
          </w:p>
        </w:tc>
        <w:tc>
          <w:tcPr>
            <w:tcW w:w="560" w:type="dxa"/>
            <w:vAlign w:val="bottom"/>
          </w:tcPr>
          <w:p>
            <w:pPr>
              <w:jc w:val="right"/>
              <w:ind w:right="108"/>
              <w:spacing w:after="0"/>
              <w:rPr>
                <w:sz w:val="20"/>
                <w:szCs w:val="20"/>
                <w:color w:val="auto"/>
              </w:rPr>
            </w:pPr>
            <w:r>
              <w:rPr>
                <w:rFonts w:ascii="Arial" w:cs="Arial" w:eastAsia="Arial" w:hAnsi="Arial"/>
                <w:sz w:val="14"/>
                <w:szCs w:val="14"/>
                <w:color w:val="auto"/>
              </w:rPr>
              <w:t>9</w:t>
            </w:r>
          </w:p>
        </w:tc>
      </w:tr>
      <w:tr>
        <w:trPr>
          <w:trHeight w:val="222"/>
        </w:trPr>
        <w:tc>
          <w:tcPr>
            <w:tcW w:w="4660" w:type="dxa"/>
            <w:vAlign w:val="bottom"/>
          </w:tcPr>
          <w:p>
            <w:pPr>
              <w:spacing w:after="0"/>
              <w:rPr>
                <w:sz w:val="20"/>
                <w:szCs w:val="20"/>
                <w:color w:val="auto"/>
              </w:rPr>
            </w:pPr>
            <w:r>
              <w:rPr>
                <w:rFonts w:ascii="Arial" w:cs="Arial" w:eastAsia="Arial" w:hAnsi="Arial"/>
                <w:sz w:val="14"/>
                <w:szCs w:val="14"/>
                <w:color w:val="auto"/>
              </w:rPr>
              <w:t>Write-offs of uncollectible accounts</w:t>
            </w:r>
          </w:p>
        </w:tc>
        <w:tc>
          <w:tcPr>
            <w:tcW w:w="2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(11 )</w:t>
            </w:r>
          </w:p>
        </w:tc>
        <w:tc>
          <w:tcPr>
            <w:tcW w:w="5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(8 )</w:t>
            </w:r>
          </w:p>
        </w:tc>
        <w:tc>
          <w:tcPr>
            <w:tcW w:w="4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(8 )</w:t>
            </w:r>
          </w:p>
        </w:tc>
      </w:tr>
      <w:tr>
        <w:trPr>
          <w:trHeight w:val="224"/>
        </w:trPr>
        <w:tc>
          <w:tcPr>
            <w:tcW w:w="46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Allowances for collection of receivables at December 31</w:t>
            </w:r>
          </w:p>
        </w:tc>
        <w:tc>
          <w:tcPr>
            <w:tcW w:w="2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w w:val="76"/>
              </w:rPr>
              <w:t>$</w:t>
            </w:r>
          </w:p>
        </w:tc>
        <w:tc>
          <w:tcPr>
            <w:tcW w:w="5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w:t>
            </w:r>
          </w:p>
        </w:tc>
        <w:tc>
          <w:tcPr>
            <w:tcW w:w="54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5</w:t>
            </w:r>
          </w:p>
        </w:tc>
        <w:tc>
          <w:tcPr>
            <w:tcW w:w="48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5</w:t>
            </w:r>
          </w:p>
        </w:tc>
      </w:tr>
      <w:tr>
        <w:trPr>
          <w:trHeight w:val="210"/>
        </w:trPr>
        <w:tc>
          <w:tcPr>
            <w:tcW w:w="4660" w:type="dxa"/>
            <w:vAlign w:val="bottom"/>
          </w:tcPr>
          <w:p>
            <w:pPr>
              <w:spacing w:after="0"/>
              <w:rPr>
                <w:sz w:val="20"/>
                <w:szCs w:val="20"/>
                <w:color w:val="auto"/>
              </w:rPr>
            </w:pPr>
            <w:r>
              <w:rPr>
                <w:rFonts w:ascii="Arial" w:cs="Arial" w:eastAsia="Arial" w:hAnsi="Arial"/>
                <w:sz w:val="14"/>
                <w:szCs w:val="14"/>
                <w:b w:val="1"/>
                <w:bCs w:val="1"/>
                <w:color w:val="auto"/>
              </w:rPr>
              <w:t>SoCalGas</w:t>
            </w:r>
          </w:p>
        </w:tc>
        <w:tc>
          <w:tcPr>
            <w:tcW w:w="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4660" w:type="dxa"/>
            <w:vAlign w:val="bottom"/>
          </w:tcPr>
          <w:p>
            <w:pPr>
              <w:spacing w:after="0"/>
              <w:rPr>
                <w:sz w:val="20"/>
                <w:szCs w:val="20"/>
                <w:color w:val="auto"/>
              </w:rPr>
            </w:pPr>
            <w:r>
              <w:rPr>
                <w:rFonts w:ascii="Arial" w:cs="Arial" w:eastAsia="Arial" w:hAnsi="Arial"/>
                <w:sz w:val="14"/>
                <w:szCs w:val="14"/>
                <w:color w:val="auto"/>
              </w:rPr>
              <w:t>Allowances for collection of receivables at January 1</w:t>
            </w:r>
          </w:p>
        </w:tc>
        <w:tc>
          <w:tcPr>
            <w:tcW w:w="260" w:type="dxa"/>
            <w:vAlign w:val="bottom"/>
          </w:tcPr>
          <w:p>
            <w:pPr>
              <w:jc w:val="right"/>
              <w:ind w:right="108"/>
              <w:spacing w:after="0"/>
              <w:rPr>
                <w:sz w:val="20"/>
                <w:szCs w:val="20"/>
                <w:color w:val="auto"/>
              </w:rPr>
            </w:pPr>
            <w:r>
              <w:rPr>
                <w:rFonts w:ascii="Arial" w:cs="Arial" w:eastAsia="Arial" w:hAnsi="Arial"/>
                <w:sz w:val="14"/>
                <w:szCs w:val="14"/>
                <w:color w:val="auto"/>
                <w:w w:val="76"/>
              </w:rPr>
              <w:t>$</w:t>
            </w:r>
          </w:p>
        </w:tc>
        <w:tc>
          <w:tcPr>
            <w:tcW w:w="580" w:type="dxa"/>
            <w:vAlign w:val="bottom"/>
          </w:tcPr>
          <w:p>
            <w:pPr>
              <w:jc w:val="right"/>
              <w:ind w:right="48"/>
              <w:spacing w:after="0"/>
              <w:rPr>
                <w:sz w:val="20"/>
                <w:szCs w:val="20"/>
                <w:color w:val="auto"/>
              </w:rPr>
            </w:pPr>
            <w:r>
              <w:rPr>
                <w:rFonts w:ascii="Arial" w:cs="Arial" w:eastAsia="Arial" w:hAnsi="Arial"/>
                <w:sz w:val="14"/>
                <w:szCs w:val="14"/>
                <w:color w:val="auto"/>
              </w:rPr>
              <w:t>9</w:t>
            </w:r>
          </w:p>
        </w:tc>
        <w:tc>
          <w:tcPr>
            <w:tcW w:w="540" w:type="dxa"/>
            <w:vAlign w:val="bottom"/>
          </w:tcPr>
          <w:p>
            <w:pPr>
              <w:jc w:val="right"/>
              <w:ind w:right="109"/>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148"/>
              <w:spacing w:after="0"/>
              <w:rPr>
                <w:sz w:val="20"/>
                <w:szCs w:val="20"/>
                <w:color w:val="auto"/>
              </w:rPr>
            </w:pPr>
            <w:r>
              <w:rPr>
                <w:rFonts w:ascii="Arial" w:cs="Arial" w:eastAsia="Arial" w:hAnsi="Arial"/>
                <w:sz w:val="14"/>
                <w:szCs w:val="14"/>
                <w:color w:val="auto"/>
              </w:rPr>
              <w:t>8</w:t>
            </w:r>
          </w:p>
        </w:tc>
        <w:tc>
          <w:tcPr>
            <w:tcW w:w="48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560" w:type="dxa"/>
            <w:vAlign w:val="bottom"/>
          </w:tcPr>
          <w:p>
            <w:pPr>
              <w:jc w:val="right"/>
              <w:ind w:right="108"/>
              <w:spacing w:after="0"/>
              <w:rPr>
                <w:sz w:val="20"/>
                <w:szCs w:val="20"/>
                <w:color w:val="auto"/>
              </w:rPr>
            </w:pPr>
            <w:r>
              <w:rPr>
                <w:rFonts w:ascii="Arial" w:cs="Arial" w:eastAsia="Arial" w:hAnsi="Arial"/>
                <w:sz w:val="14"/>
                <w:szCs w:val="14"/>
                <w:color w:val="auto"/>
              </w:rPr>
              <w:t>9</w:t>
            </w:r>
          </w:p>
        </w:tc>
      </w:tr>
      <w:tr>
        <w:trPr>
          <w:trHeight w:val="216"/>
        </w:trPr>
        <w:tc>
          <w:tcPr>
            <w:tcW w:w="4660" w:type="dxa"/>
            <w:vAlign w:val="bottom"/>
          </w:tcPr>
          <w:p>
            <w:pPr>
              <w:spacing w:after="0"/>
              <w:rPr>
                <w:sz w:val="20"/>
                <w:szCs w:val="20"/>
                <w:color w:val="auto"/>
              </w:rPr>
            </w:pPr>
            <w:r>
              <w:rPr>
                <w:rFonts w:ascii="Arial" w:cs="Arial" w:eastAsia="Arial" w:hAnsi="Arial"/>
                <w:sz w:val="14"/>
                <w:szCs w:val="14"/>
                <w:color w:val="auto"/>
              </w:rPr>
              <w:t>Provisions for uncollectible accounts</w:t>
            </w:r>
          </w:p>
        </w:tc>
        <w:tc>
          <w:tcPr>
            <w:tcW w:w="260" w:type="dxa"/>
            <w:vAlign w:val="bottom"/>
          </w:tcPr>
          <w:p>
            <w:pPr>
              <w:spacing w:after="0"/>
              <w:rPr>
                <w:sz w:val="18"/>
                <w:szCs w:val="18"/>
                <w:color w:val="auto"/>
              </w:rPr>
            </w:pPr>
          </w:p>
        </w:tc>
        <w:tc>
          <w:tcPr>
            <w:tcW w:w="580" w:type="dxa"/>
            <w:vAlign w:val="bottom"/>
          </w:tcPr>
          <w:p>
            <w:pPr>
              <w:jc w:val="right"/>
              <w:ind w:right="48"/>
              <w:spacing w:after="0"/>
              <w:rPr>
                <w:sz w:val="20"/>
                <w:szCs w:val="20"/>
                <w:color w:val="auto"/>
              </w:rPr>
            </w:pPr>
            <w:r>
              <w:rPr>
                <w:rFonts w:ascii="Arial" w:cs="Arial" w:eastAsia="Arial" w:hAnsi="Arial"/>
                <w:sz w:val="14"/>
                <w:szCs w:val="14"/>
                <w:color w:val="auto"/>
              </w:rPr>
              <w:t>23</w:t>
            </w:r>
          </w:p>
        </w:tc>
        <w:tc>
          <w:tcPr>
            <w:tcW w:w="540" w:type="dxa"/>
            <w:vAlign w:val="bottom"/>
          </w:tcPr>
          <w:p>
            <w:pPr>
              <w:spacing w:after="0"/>
              <w:rPr>
                <w:sz w:val="18"/>
                <w:szCs w:val="18"/>
                <w:color w:val="auto"/>
              </w:rPr>
            </w:pPr>
          </w:p>
        </w:tc>
        <w:tc>
          <w:tcPr>
            <w:tcW w:w="680" w:type="dxa"/>
            <w:vAlign w:val="bottom"/>
          </w:tcPr>
          <w:p>
            <w:pPr>
              <w:jc w:val="right"/>
              <w:ind w:right="148"/>
              <w:spacing w:after="0"/>
              <w:rPr>
                <w:sz w:val="20"/>
                <w:szCs w:val="20"/>
                <w:color w:val="auto"/>
              </w:rPr>
            </w:pPr>
            <w:r>
              <w:rPr>
                <w:rFonts w:ascii="Arial" w:cs="Arial" w:eastAsia="Arial" w:hAnsi="Arial"/>
                <w:sz w:val="14"/>
                <w:szCs w:val="14"/>
                <w:color w:val="auto"/>
              </w:rPr>
              <w:t>12</w:t>
            </w:r>
          </w:p>
        </w:tc>
        <w:tc>
          <w:tcPr>
            <w:tcW w:w="480" w:type="dxa"/>
            <w:vAlign w:val="bottom"/>
          </w:tcPr>
          <w:p>
            <w:pPr>
              <w:spacing w:after="0"/>
              <w:rPr>
                <w:sz w:val="18"/>
                <w:szCs w:val="18"/>
                <w:color w:val="auto"/>
              </w:rPr>
            </w:pPr>
          </w:p>
        </w:tc>
        <w:tc>
          <w:tcPr>
            <w:tcW w:w="560" w:type="dxa"/>
            <w:vAlign w:val="bottom"/>
          </w:tcPr>
          <w:p>
            <w:pPr>
              <w:jc w:val="right"/>
              <w:ind w:right="108"/>
              <w:spacing w:after="0"/>
              <w:rPr>
                <w:sz w:val="20"/>
                <w:szCs w:val="20"/>
                <w:color w:val="auto"/>
              </w:rPr>
            </w:pPr>
            <w:r>
              <w:rPr>
                <w:rFonts w:ascii="Arial" w:cs="Arial" w:eastAsia="Arial" w:hAnsi="Arial"/>
                <w:sz w:val="14"/>
                <w:szCs w:val="14"/>
                <w:color w:val="auto"/>
              </w:rPr>
              <w:t>10</w:t>
            </w:r>
          </w:p>
        </w:tc>
      </w:tr>
      <w:tr>
        <w:trPr>
          <w:trHeight w:val="222"/>
        </w:trPr>
        <w:tc>
          <w:tcPr>
            <w:tcW w:w="4660" w:type="dxa"/>
            <w:vAlign w:val="bottom"/>
          </w:tcPr>
          <w:p>
            <w:pPr>
              <w:spacing w:after="0"/>
              <w:rPr>
                <w:sz w:val="20"/>
                <w:szCs w:val="20"/>
                <w:color w:val="auto"/>
              </w:rPr>
            </w:pPr>
            <w:r>
              <w:rPr>
                <w:rFonts w:ascii="Arial" w:cs="Arial" w:eastAsia="Arial" w:hAnsi="Arial"/>
                <w:sz w:val="14"/>
                <w:szCs w:val="14"/>
                <w:color w:val="auto"/>
              </w:rPr>
              <w:t>Write-offs of uncollectible accounts</w:t>
            </w:r>
          </w:p>
        </w:tc>
        <w:tc>
          <w:tcPr>
            <w:tcW w:w="2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(14 )</w:t>
            </w:r>
          </w:p>
        </w:tc>
        <w:tc>
          <w:tcPr>
            <w:tcW w:w="5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(11 )</w:t>
            </w:r>
          </w:p>
        </w:tc>
        <w:tc>
          <w:tcPr>
            <w:tcW w:w="4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(11 )</w:t>
            </w:r>
          </w:p>
        </w:tc>
      </w:tr>
      <w:tr>
        <w:trPr>
          <w:trHeight w:val="224"/>
        </w:trPr>
        <w:tc>
          <w:tcPr>
            <w:tcW w:w="46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Allowances for collection of receivables at December 31</w:t>
            </w:r>
          </w:p>
        </w:tc>
        <w:tc>
          <w:tcPr>
            <w:tcW w:w="2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w w:val="76"/>
              </w:rPr>
              <w:t>$</w:t>
            </w:r>
          </w:p>
        </w:tc>
        <w:tc>
          <w:tcPr>
            <w:tcW w:w="5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18</w:t>
            </w:r>
          </w:p>
        </w:tc>
        <w:tc>
          <w:tcPr>
            <w:tcW w:w="54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9</w:t>
            </w:r>
          </w:p>
        </w:tc>
        <w:tc>
          <w:tcPr>
            <w:tcW w:w="48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8</w:t>
            </w:r>
          </w:p>
        </w:tc>
      </w:tr>
    </w:tbl>
    <w:p>
      <w:pPr>
        <w:spacing w:after="0" w:line="256"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auto"/>
        </w:rPr>
        <w:t>TRADING INSTRUMENTS</w:t>
      </w:r>
    </w:p>
    <w:p>
      <w:pPr>
        <w:spacing w:after="0" w:line="89" w:lineRule="exact"/>
        <w:rPr>
          <w:sz w:val="20"/>
          <w:szCs w:val="20"/>
          <w:color w:val="auto"/>
        </w:rPr>
      </w:pPr>
    </w:p>
    <w:p>
      <w:pPr>
        <w:ind w:left="4"/>
        <w:spacing w:after="0" w:line="277" w:lineRule="auto"/>
        <w:rPr>
          <w:sz w:val="20"/>
          <w:szCs w:val="20"/>
          <w:color w:val="auto"/>
        </w:rPr>
      </w:pPr>
      <w:r>
        <w:rPr>
          <w:rFonts w:ascii="Arial" w:cs="Arial" w:eastAsia="Arial" w:hAnsi="Arial"/>
          <w:sz w:val="16"/>
          <w:szCs w:val="16"/>
          <w:color w:val="auto"/>
        </w:rPr>
        <w:t>Trading instruments on the 2007 Sempra Energy Consolidated Balance Sheet related to our commodities-marketing businesses, which we sold into RBS Sempra Commodities in April 2008. We discuss this transaction in Note 3.</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6"/>
          <w:szCs w:val="16"/>
          <w:color w:val="auto"/>
        </w:rPr>
        <w:t>Trading assets and trading liabilities (described further in Note 11) include</w:t>
      </w:r>
    </w:p>
    <w:p>
      <w:pPr>
        <w:spacing w:after="0" w:line="44" w:lineRule="exact"/>
        <w:rPr>
          <w:sz w:val="20"/>
          <w:szCs w:val="20"/>
          <w:color w:val="auto"/>
        </w:rPr>
      </w:pPr>
    </w:p>
    <w:p>
      <w:pPr>
        <w:ind w:left="144" w:hanging="144"/>
        <w:spacing w:after="0"/>
        <w:tabs>
          <w:tab w:leader="none" w:pos="144" w:val="left"/>
        </w:tabs>
        <w:numPr>
          <w:ilvl w:val="0"/>
          <w:numId w:val="313"/>
        </w:numPr>
        <w:rPr>
          <w:rFonts w:ascii="Arial" w:cs="Arial" w:eastAsia="Arial" w:hAnsi="Arial"/>
          <w:sz w:val="16"/>
          <w:szCs w:val="16"/>
          <w:color w:val="auto"/>
        </w:rPr>
      </w:pPr>
      <w:r>
        <w:rPr>
          <w:rFonts w:ascii="Arial" w:cs="Arial" w:eastAsia="Arial" w:hAnsi="Arial"/>
          <w:sz w:val="16"/>
          <w:szCs w:val="16"/>
          <w:color w:val="auto"/>
        </w:rPr>
        <w:t>option premiums paid and received</w:t>
      </w:r>
    </w:p>
    <w:p>
      <w:pPr>
        <w:spacing w:after="0" w:line="44" w:lineRule="exact"/>
        <w:rPr>
          <w:rFonts w:ascii="Arial" w:cs="Arial" w:eastAsia="Arial" w:hAnsi="Arial"/>
          <w:sz w:val="16"/>
          <w:szCs w:val="16"/>
          <w:color w:val="auto"/>
        </w:rPr>
      </w:pPr>
    </w:p>
    <w:p>
      <w:pPr>
        <w:ind w:left="144" w:hanging="144"/>
        <w:spacing w:after="0"/>
        <w:tabs>
          <w:tab w:leader="none" w:pos="144" w:val="left"/>
        </w:tabs>
        <w:numPr>
          <w:ilvl w:val="0"/>
          <w:numId w:val="313"/>
        </w:numPr>
        <w:rPr>
          <w:rFonts w:ascii="Arial" w:cs="Arial" w:eastAsia="Arial" w:hAnsi="Arial"/>
          <w:sz w:val="16"/>
          <w:szCs w:val="16"/>
          <w:color w:val="auto"/>
        </w:rPr>
      </w:pPr>
      <w:r>
        <w:rPr>
          <w:rFonts w:ascii="Arial" w:cs="Arial" w:eastAsia="Arial" w:hAnsi="Arial"/>
          <w:sz w:val="16"/>
          <w:szCs w:val="16"/>
          <w:color w:val="auto"/>
        </w:rPr>
        <w:t>unrealized gains and losses from exchange-traded futures and options</w:t>
      </w:r>
    </w:p>
    <w:p>
      <w:pPr>
        <w:spacing w:after="0" w:line="44" w:lineRule="exact"/>
        <w:rPr>
          <w:rFonts w:ascii="Arial" w:cs="Arial" w:eastAsia="Arial" w:hAnsi="Arial"/>
          <w:sz w:val="16"/>
          <w:szCs w:val="16"/>
          <w:color w:val="auto"/>
        </w:rPr>
      </w:pPr>
    </w:p>
    <w:p>
      <w:pPr>
        <w:ind w:left="144" w:hanging="144"/>
        <w:spacing w:after="0"/>
        <w:tabs>
          <w:tab w:leader="none" w:pos="144" w:val="left"/>
        </w:tabs>
        <w:numPr>
          <w:ilvl w:val="0"/>
          <w:numId w:val="313"/>
        </w:numPr>
        <w:rPr>
          <w:rFonts w:ascii="Arial" w:cs="Arial" w:eastAsia="Arial" w:hAnsi="Arial"/>
          <w:sz w:val="16"/>
          <w:szCs w:val="16"/>
          <w:color w:val="auto"/>
        </w:rPr>
      </w:pPr>
      <w:r>
        <w:rPr>
          <w:rFonts w:ascii="Arial" w:cs="Arial" w:eastAsia="Arial" w:hAnsi="Arial"/>
          <w:sz w:val="16"/>
          <w:szCs w:val="16"/>
          <w:color w:val="auto"/>
        </w:rPr>
        <w:t>OTC swaps, forwards and options</w:t>
      </w:r>
    </w:p>
    <w:p>
      <w:pPr>
        <w:spacing w:after="0" w:line="44" w:lineRule="exact"/>
        <w:rPr>
          <w:rFonts w:ascii="Arial" w:cs="Arial" w:eastAsia="Arial" w:hAnsi="Arial"/>
          <w:sz w:val="16"/>
          <w:szCs w:val="16"/>
          <w:color w:val="auto"/>
        </w:rPr>
      </w:pPr>
    </w:p>
    <w:p>
      <w:pPr>
        <w:ind w:left="144" w:hanging="144"/>
        <w:spacing w:after="0"/>
        <w:tabs>
          <w:tab w:leader="none" w:pos="144" w:val="left"/>
        </w:tabs>
        <w:numPr>
          <w:ilvl w:val="0"/>
          <w:numId w:val="313"/>
        </w:numPr>
        <w:rPr>
          <w:rFonts w:ascii="Arial" w:cs="Arial" w:eastAsia="Arial" w:hAnsi="Arial"/>
          <w:sz w:val="16"/>
          <w:szCs w:val="16"/>
          <w:color w:val="auto"/>
        </w:rPr>
      </w:pPr>
      <w:r>
        <w:rPr>
          <w:rFonts w:ascii="Arial" w:cs="Arial" w:eastAsia="Arial" w:hAnsi="Arial"/>
          <w:sz w:val="16"/>
          <w:szCs w:val="16"/>
          <w:color w:val="auto"/>
        </w:rPr>
        <w:t>physical commodities</w:t>
      </w:r>
    </w:p>
    <w:p>
      <w:pPr>
        <w:spacing w:after="0" w:line="128" w:lineRule="exact"/>
        <w:rPr>
          <w:sz w:val="20"/>
          <w:szCs w:val="20"/>
          <w:color w:val="auto"/>
        </w:rPr>
      </w:pPr>
    </w:p>
    <w:p>
      <w:pPr>
        <w:jc w:val="both"/>
        <w:ind w:left="4" w:right="80"/>
        <w:spacing w:after="0" w:line="289" w:lineRule="auto"/>
        <w:rPr>
          <w:sz w:val="20"/>
          <w:szCs w:val="20"/>
          <w:color w:val="auto"/>
        </w:rPr>
      </w:pPr>
      <w:r>
        <w:rPr>
          <w:rFonts w:ascii="Arial" w:cs="Arial" w:eastAsia="Arial" w:hAnsi="Arial"/>
          <w:sz w:val="15"/>
          <w:szCs w:val="15"/>
          <w:color w:val="auto"/>
        </w:rPr>
        <w:t>Trading instruments are recorded on a trade-date basis and the majority of such derivative instruments are adjusted daily to current market value. Unrealized gains and losses on OTC transactions reflect amounts that would be received from or paid to a third party upon net settlement of the contracts. Unrealized gains and losses on OTC transactions are reported separately as assets and liabilities unless a legal right of setoff exists under an enforceable netting arrangement.</w:t>
      </w:r>
    </w:p>
    <w:p>
      <w:pPr>
        <w:spacing w:after="0" w:line="26" w:lineRule="exact"/>
        <w:rPr>
          <w:sz w:val="20"/>
          <w:szCs w:val="20"/>
          <w:color w:val="auto"/>
        </w:rPr>
      </w:pPr>
    </w:p>
    <w:p>
      <w:pPr>
        <w:ind w:left="4" w:right="60"/>
        <w:spacing w:after="0" w:line="319" w:lineRule="auto"/>
        <w:rPr>
          <w:sz w:val="20"/>
          <w:szCs w:val="20"/>
          <w:color w:val="auto"/>
        </w:rPr>
      </w:pPr>
      <w:r>
        <w:rPr>
          <w:rFonts w:ascii="Arial" w:cs="Arial" w:eastAsia="Arial" w:hAnsi="Arial"/>
          <w:sz w:val="14"/>
          <w:szCs w:val="14"/>
          <w:color w:val="auto"/>
        </w:rPr>
        <w:t>We discuss the valuation of trading derivatives and commodity trading inventories in Note 11. Due to the nature, size and timing of transactions, estimated values may differ significantly from realized values. Changes in fair values are reflected in net income. Although trading instruments may have scheduled maturities later than one year, the actual settlement of these transactions can occur sooner. Because of this, we classify trading assets and liabilities as current on the Consolidated Balance Sheets.</w:t>
      </w:r>
    </w:p>
    <w:p>
      <w:pPr>
        <w:spacing w:after="0" w:line="7" w:lineRule="exact"/>
        <w:rPr>
          <w:sz w:val="20"/>
          <w:szCs w:val="20"/>
          <w:color w:val="auto"/>
        </w:rPr>
      </w:pPr>
    </w:p>
    <w:p>
      <w:pPr>
        <w:ind w:left="4" w:right="460"/>
        <w:spacing w:after="0" w:line="277" w:lineRule="auto"/>
        <w:rPr>
          <w:sz w:val="20"/>
          <w:szCs w:val="20"/>
          <w:color w:val="auto"/>
        </w:rPr>
      </w:pPr>
      <w:r>
        <w:rPr>
          <w:rFonts w:ascii="Arial" w:cs="Arial" w:eastAsia="Arial" w:hAnsi="Arial"/>
          <w:sz w:val="16"/>
          <w:szCs w:val="16"/>
          <w:color w:val="auto"/>
        </w:rPr>
        <w:t>Energy transportation and storage contracts are recorded on an accrual basis, and energy commodity inventory is recorded at the lower of cost or market. Fair value hedge accounting may be applied to a portion of these inventories. Metals inventories are recorded at fair value.</w:t>
      </w:r>
    </w:p>
    <w:p>
      <w:pPr>
        <w:spacing w:after="0" w:line="200" w:lineRule="exact"/>
        <w:rPr>
          <w:sz w:val="20"/>
          <w:szCs w:val="20"/>
          <w:color w:val="auto"/>
        </w:rPr>
      </w:pPr>
    </w:p>
    <w:p>
      <w:pPr>
        <w:spacing w:after="0" w:line="292" w:lineRule="exact"/>
        <w:rPr>
          <w:sz w:val="20"/>
          <w:szCs w:val="20"/>
          <w:color w:val="auto"/>
        </w:rPr>
      </w:pPr>
    </w:p>
    <w:p>
      <w:pPr>
        <w:ind w:left="4"/>
        <w:spacing w:after="0"/>
        <w:rPr>
          <w:sz w:val="20"/>
          <w:szCs w:val="20"/>
          <w:color w:val="auto"/>
        </w:rPr>
      </w:pPr>
      <w:r>
        <w:rPr>
          <w:rFonts w:ascii="Arial" w:cs="Arial" w:eastAsia="Arial" w:hAnsi="Arial"/>
          <w:sz w:val="14"/>
          <w:szCs w:val="14"/>
          <w:color w:val="auto"/>
        </w:rPr>
        <w:t>98</w:t>
      </w:r>
    </w:p>
    <w:p>
      <w:pPr>
        <w:sectPr>
          <w:pgSz w:w="11900" w:h="16838" w:orient="portrait"/>
          <w:cols w:equalWidth="0" w:num="1">
            <w:col w:w="11364"/>
          </w:cols>
          <w:pgMar w:left="236" w:top="748" w:right="299" w:bottom="1440" w:gutter="0" w:footer="0" w:header="0"/>
        </w:sectPr>
      </w:pPr>
    </w:p>
    <w:bookmarkStart w:id="238" w:name="page239"/>
    <w:bookmarkEnd w:id="238"/>
    <w:p>
      <w:pPr>
        <w:ind w:left="4"/>
        <w:spacing w:after="0"/>
        <w:rPr>
          <w:sz w:val="20"/>
          <w:szCs w:val="20"/>
          <w:color w:val="auto"/>
        </w:rPr>
      </w:pPr>
      <w:r>
        <w:rPr>
          <w:rFonts w:ascii="Arial" w:cs="Arial" w:eastAsia="Arial" w:hAnsi="Arial"/>
          <w:sz w:val="18"/>
          <w:szCs w:val="18"/>
          <w:b w:val="1"/>
          <w:bCs w:val="1"/>
          <w:i w:val="1"/>
          <w:iCs w:val="1"/>
          <w:color w:val="auto"/>
        </w:rPr>
        <w:t>Trading Securities</w:t>
      </w:r>
    </w:p>
    <w:p>
      <w:pPr>
        <w:spacing w:after="0" w:line="23" w:lineRule="exact"/>
        <w:rPr>
          <w:sz w:val="20"/>
          <w:szCs w:val="20"/>
          <w:color w:val="auto"/>
        </w:rPr>
      </w:pPr>
    </w:p>
    <w:p>
      <w:pPr>
        <w:ind w:left="4"/>
        <w:spacing w:after="0" w:line="264" w:lineRule="auto"/>
        <w:rPr>
          <w:sz w:val="20"/>
          <w:szCs w:val="20"/>
          <w:color w:val="auto"/>
        </w:rPr>
      </w:pPr>
      <w:r>
        <w:rPr>
          <w:rFonts w:ascii="Arial" w:cs="Arial" w:eastAsia="Arial" w:hAnsi="Arial"/>
          <w:sz w:val="16"/>
          <w:szCs w:val="16"/>
          <w:color w:val="auto"/>
        </w:rPr>
        <w:t>In the first quarter of 2008, Sempra Commodities recorded $2 million of pretax losses related to trading securities, including a pretax gain of $3 million resulting from sales and an unrealized pretax loss of $5 million related to securities held at March 31, 2008. Sempra Commodities had securities of $16 million classified as trading securities at December 31, 2007.</w:t>
      </w:r>
    </w:p>
    <w:p>
      <w:pPr>
        <w:spacing w:after="0" w:line="42" w:lineRule="exact"/>
        <w:rPr>
          <w:sz w:val="20"/>
          <w:szCs w:val="20"/>
          <w:color w:val="auto"/>
        </w:rPr>
      </w:pPr>
    </w:p>
    <w:p>
      <w:pPr>
        <w:ind w:left="4" w:right="80"/>
        <w:spacing w:after="0" w:line="264" w:lineRule="auto"/>
        <w:rPr>
          <w:sz w:val="20"/>
          <w:szCs w:val="20"/>
          <w:color w:val="auto"/>
        </w:rPr>
      </w:pPr>
      <w:r>
        <w:rPr>
          <w:rFonts w:ascii="Arial" w:cs="Arial" w:eastAsia="Arial" w:hAnsi="Arial"/>
          <w:sz w:val="16"/>
          <w:szCs w:val="16"/>
          <w:color w:val="auto"/>
        </w:rPr>
        <w:t>In 2007, Sempra Commodities recorded $14 million of pretax gains related to trading securities, including a pretax gain of $6 million resulting from sales, an unrealized pretax gain of $8 million from transfers to trading securities from available-for-sale securities due to changes in their status, and an unrealized pretax loss of a negligible amount related to securities held at December 31, 2007.</w:t>
      </w:r>
    </w:p>
    <w:p>
      <w:pPr>
        <w:spacing w:after="0" w:line="262"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auto"/>
        </w:rPr>
        <w:t>INVENTORIES</w:t>
      </w:r>
    </w:p>
    <w:p>
      <w:pPr>
        <w:spacing w:after="0" w:line="101" w:lineRule="exact"/>
        <w:rPr>
          <w:sz w:val="20"/>
          <w:szCs w:val="20"/>
          <w:color w:val="auto"/>
        </w:rPr>
      </w:pPr>
    </w:p>
    <w:p>
      <w:pPr>
        <w:ind w:left="4" w:right="520"/>
        <w:spacing w:after="0" w:line="340" w:lineRule="auto"/>
        <w:rPr>
          <w:sz w:val="20"/>
          <w:szCs w:val="20"/>
          <w:color w:val="auto"/>
        </w:rPr>
      </w:pPr>
      <w:r>
        <w:rPr>
          <w:rFonts w:ascii="Arial" w:cs="Arial" w:eastAsia="Arial" w:hAnsi="Arial"/>
          <w:sz w:val="14"/>
          <w:szCs w:val="14"/>
          <w:color w:val="auto"/>
        </w:rPr>
        <w:t>The Sempra Utilities value natural gas inventory by the last-in first-out (LIFO) method. As inventories are sold, differences between the LIFO valuation and the estimated replacement cost are reflected in customer rates. Materials and supplies at the Sempra Utilities are generally valued at the lower of average cost or market.</w:t>
      </w:r>
    </w:p>
    <w:p>
      <w:pPr>
        <w:ind w:left="4"/>
        <w:spacing w:after="0"/>
        <w:rPr>
          <w:sz w:val="20"/>
          <w:szCs w:val="20"/>
          <w:color w:val="auto"/>
        </w:rPr>
      </w:pPr>
      <w:r>
        <w:rPr>
          <w:rFonts w:ascii="Arial" w:cs="Arial" w:eastAsia="Arial" w:hAnsi="Arial"/>
          <w:sz w:val="16"/>
          <w:szCs w:val="16"/>
          <w:color w:val="auto"/>
        </w:rPr>
        <w:t>At December 31, 2008, Sempra Pipelines &amp; Storage has $39 million of natural gas inventory recorded at lower of average cost or market.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1182370</wp:posOffset>
            </wp:positionH>
            <wp:positionV relativeFrom="paragraph">
              <wp:posOffset>196215</wp:posOffset>
            </wp:positionV>
            <wp:extent cx="4897120" cy="24384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4897120" cy="243840"/>
                    </a:xfrm>
                    <a:prstGeom prst="rect">
                      <a:avLst/>
                    </a:prstGeom>
                    <a:noFill/>
                  </pic:spPr>
                </pic:pic>
              </a:graphicData>
            </a:graphic>
          </wp:anchor>
        </w:drawing>
      </w:r>
    </w:p>
    <w:p>
      <w:pPr>
        <w:spacing w:after="0" w:line="297" w:lineRule="exact"/>
        <w:rPr>
          <w:sz w:val="20"/>
          <w:szCs w:val="20"/>
          <w:color w:val="auto"/>
        </w:rPr>
      </w:pPr>
    </w:p>
    <w:p>
      <w:pPr>
        <w:ind w:left="1884"/>
        <w:spacing w:after="0"/>
        <w:rPr>
          <w:sz w:val="20"/>
          <w:szCs w:val="20"/>
          <w:color w:val="auto"/>
        </w:rPr>
      </w:pPr>
      <w:r>
        <w:rPr>
          <w:rFonts w:ascii="Arial" w:cs="Arial" w:eastAsia="Arial" w:hAnsi="Arial"/>
          <w:sz w:val="14"/>
          <w:szCs w:val="14"/>
          <w:b w:val="1"/>
          <w:bCs w:val="1"/>
          <w:color w:val="auto"/>
        </w:rPr>
        <w:t>INVENTORY BALANCES AT DECEMBER 31</w:t>
      </w:r>
    </w:p>
    <w:p>
      <w:pPr>
        <w:spacing w:after="0" w:line="40" w:lineRule="exact"/>
        <w:rPr>
          <w:sz w:val="20"/>
          <w:szCs w:val="20"/>
          <w:color w:val="auto"/>
        </w:rPr>
      </w:pPr>
    </w:p>
    <w:tbl>
      <w:tblPr>
        <w:tblLayout w:type="fixed"/>
        <w:tblInd w:w="1864" w:type="dxa"/>
        <w:tblCellMar>
          <w:top w:w="0" w:type="dxa"/>
          <w:left w:w="0" w:type="dxa"/>
          <w:bottom w:w="0" w:type="dxa"/>
          <w:right w:w="0" w:type="dxa"/>
        </w:tblCellMar>
      </w:tblPr>
      <w:tr>
        <w:trPr>
          <w:trHeight w:val="166"/>
        </w:trPr>
        <w:tc>
          <w:tcPr>
            <w:tcW w:w="3640" w:type="dxa"/>
            <w:vAlign w:val="bottom"/>
          </w:tcPr>
          <w:p>
            <w:pPr>
              <w:ind w:left="20"/>
              <w:spacing w:after="0"/>
              <w:rPr>
                <w:sz w:val="20"/>
                <w:szCs w:val="20"/>
                <w:color w:val="auto"/>
              </w:rPr>
            </w:pPr>
            <w:r>
              <w:rPr>
                <w:rFonts w:ascii="Arial" w:cs="Arial" w:eastAsia="Arial" w:hAnsi="Arial"/>
                <w:sz w:val="13"/>
                <w:szCs w:val="13"/>
                <w:i w:val="1"/>
                <w:iCs w:val="1"/>
                <w:color w:val="auto"/>
              </w:rPr>
              <w:t>(Dollars in millions)</w:t>
            </w:r>
          </w:p>
        </w:tc>
        <w:tc>
          <w:tcPr>
            <w:tcW w:w="4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80"/>
        </w:trPr>
        <w:tc>
          <w:tcPr>
            <w:tcW w:w="3640" w:type="dxa"/>
            <w:vAlign w:val="bottom"/>
          </w:tcPr>
          <w:p>
            <w:pPr>
              <w:spacing w:after="0"/>
              <w:rPr>
                <w:sz w:val="15"/>
                <w:szCs w:val="15"/>
                <w:color w:val="auto"/>
              </w:rPr>
            </w:pPr>
          </w:p>
        </w:tc>
        <w:tc>
          <w:tcPr>
            <w:tcW w:w="1160" w:type="dxa"/>
            <w:vAlign w:val="bottom"/>
            <w:gridSpan w:val="3"/>
          </w:tcPr>
          <w:p>
            <w:pPr>
              <w:jc w:val="right"/>
              <w:spacing w:after="0"/>
              <w:rPr>
                <w:sz w:val="20"/>
                <w:szCs w:val="20"/>
                <w:color w:val="auto"/>
              </w:rPr>
            </w:pPr>
            <w:r>
              <w:rPr>
                <w:rFonts w:ascii="Arial" w:cs="Arial" w:eastAsia="Arial" w:hAnsi="Arial"/>
                <w:sz w:val="13"/>
                <w:szCs w:val="13"/>
                <w:color w:val="auto"/>
              </w:rPr>
              <w:t>Sempra Energy</w:t>
            </w:r>
          </w:p>
        </w:tc>
        <w:tc>
          <w:tcPr>
            <w:tcW w:w="260" w:type="dxa"/>
            <w:vAlign w:val="bottom"/>
            <w:tcBorders>
              <w:right w:val="single" w:sz="8" w:color="auto"/>
            </w:tcBorders>
          </w:tcPr>
          <w:p>
            <w:pPr>
              <w:spacing w:after="0"/>
              <w:rPr>
                <w:sz w:val="15"/>
                <w:szCs w:val="15"/>
                <w:color w:val="auto"/>
              </w:rPr>
            </w:pPr>
          </w:p>
        </w:tc>
        <w:tc>
          <w:tcPr>
            <w:tcW w:w="3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20" w:type="dxa"/>
            <w:vAlign w:val="bottom"/>
            <w:tcBorders>
              <w:right w:val="single" w:sz="8" w:color="auto"/>
            </w:tcBorders>
          </w:tcPr>
          <w:p>
            <w:pPr>
              <w:spacing w:after="0"/>
              <w:rPr>
                <w:sz w:val="15"/>
                <w:szCs w:val="15"/>
                <w:color w:val="auto"/>
              </w:rPr>
            </w:pPr>
          </w:p>
        </w:tc>
        <w:tc>
          <w:tcPr>
            <w:tcW w:w="3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60" w:type="dxa"/>
            <w:vAlign w:val="bottom"/>
          </w:tcPr>
          <w:p>
            <w:pPr>
              <w:spacing w:after="0"/>
              <w:rPr>
                <w:sz w:val="15"/>
                <w:szCs w:val="15"/>
                <w:color w:val="auto"/>
              </w:rPr>
            </w:pPr>
          </w:p>
        </w:tc>
      </w:tr>
      <w:tr>
        <w:trPr>
          <w:trHeight w:val="161"/>
        </w:trPr>
        <w:tc>
          <w:tcPr>
            <w:tcW w:w="3640" w:type="dxa"/>
            <w:vAlign w:val="bottom"/>
          </w:tcPr>
          <w:p>
            <w:pPr>
              <w:spacing w:after="0"/>
              <w:rPr>
                <w:sz w:val="14"/>
                <w:szCs w:val="14"/>
                <w:color w:val="auto"/>
              </w:rPr>
            </w:pPr>
          </w:p>
        </w:tc>
        <w:tc>
          <w:tcPr>
            <w:tcW w:w="1160" w:type="dxa"/>
            <w:vAlign w:val="bottom"/>
            <w:tcBorders>
              <w:bottom w:val="single" w:sz="8" w:color="auto"/>
            </w:tcBorders>
            <w:gridSpan w:val="3"/>
          </w:tcPr>
          <w:p>
            <w:pPr>
              <w:jc w:val="right"/>
              <w:ind w:right="11"/>
              <w:spacing w:after="0"/>
              <w:rPr>
                <w:sz w:val="20"/>
                <w:szCs w:val="20"/>
                <w:color w:val="auto"/>
              </w:rPr>
            </w:pPr>
            <w:r>
              <w:rPr>
                <w:rFonts w:ascii="Arial" w:cs="Arial" w:eastAsia="Arial" w:hAnsi="Arial"/>
                <w:sz w:val="13"/>
                <w:szCs w:val="13"/>
                <w:color w:val="auto"/>
              </w:rPr>
              <w:t>Consolidated</w:t>
            </w:r>
          </w:p>
        </w:tc>
        <w:tc>
          <w:tcPr>
            <w:tcW w:w="260" w:type="dxa"/>
            <w:vAlign w:val="bottom"/>
            <w:tcBorders>
              <w:bottom w:val="single" w:sz="8" w:color="auto"/>
              <w:right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gridSpan w:val="2"/>
          </w:tcPr>
          <w:p>
            <w:pPr>
              <w:jc w:val="right"/>
              <w:ind w:right="71"/>
              <w:spacing w:after="0"/>
              <w:rPr>
                <w:sz w:val="20"/>
                <w:szCs w:val="20"/>
                <w:color w:val="auto"/>
              </w:rPr>
            </w:pPr>
            <w:r>
              <w:rPr>
                <w:rFonts w:ascii="Arial" w:cs="Arial" w:eastAsia="Arial" w:hAnsi="Arial"/>
                <w:sz w:val="13"/>
                <w:szCs w:val="13"/>
                <w:color w:val="auto"/>
              </w:rPr>
              <w:t>SDG&amp;E</w:t>
            </w:r>
          </w:p>
        </w:tc>
        <w:tc>
          <w:tcPr>
            <w:tcW w:w="320" w:type="dxa"/>
            <w:vAlign w:val="bottom"/>
            <w:tcBorders>
              <w:bottom w:val="single" w:sz="8" w:color="auto"/>
              <w:right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gridSpan w:val="2"/>
          </w:tcPr>
          <w:p>
            <w:pPr>
              <w:ind w:left="20"/>
              <w:spacing w:after="0"/>
              <w:rPr>
                <w:sz w:val="20"/>
                <w:szCs w:val="20"/>
                <w:color w:val="auto"/>
              </w:rPr>
            </w:pPr>
            <w:r>
              <w:rPr>
                <w:rFonts w:ascii="Arial" w:cs="Arial" w:eastAsia="Arial" w:hAnsi="Arial"/>
                <w:sz w:val="13"/>
                <w:szCs w:val="13"/>
                <w:color w:val="auto"/>
              </w:rPr>
              <w:t>SoCalGas</w:t>
            </w:r>
          </w:p>
        </w:tc>
        <w:tc>
          <w:tcPr>
            <w:tcW w:w="160" w:type="dxa"/>
            <w:vAlign w:val="bottom"/>
            <w:tcBorders>
              <w:bottom w:val="single" w:sz="8" w:color="auto"/>
            </w:tcBorders>
          </w:tcPr>
          <w:p>
            <w:pPr>
              <w:spacing w:after="0"/>
              <w:rPr>
                <w:sz w:val="14"/>
                <w:szCs w:val="14"/>
                <w:color w:val="auto"/>
              </w:rPr>
            </w:pPr>
          </w:p>
        </w:tc>
      </w:tr>
      <w:tr>
        <w:trPr>
          <w:trHeight w:val="208"/>
        </w:trPr>
        <w:tc>
          <w:tcPr>
            <w:tcW w:w="36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gridSpan w:val="2"/>
          </w:tcPr>
          <w:p>
            <w:pPr>
              <w:jc w:val="right"/>
              <w:ind w:right="228"/>
              <w:spacing w:after="0"/>
              <w:rPr>
                <w:sz w:val="20"/>
                <w:szCs w:val="20"/>
                <w:color w:val="auto"/>
              </w:rPr>
            </w:pPr>
            <w:r>
              <w:rPr>
                <w:rFonts w:ascii="Arial" w:cs="Arial" w:eastAsia="Arial" w:hAnsi="Arial"/>
                <w:sz w:val="13"/>
                <w:szCs w:val="13"/>
                <w:color w:val="auto"/>
              </w:rPr>
              <w:t>2008</w:t>
            </w:r>
          </w:p>
        </w:tc>
        <w:tc>
          <w:tcPr>
            <w:tcW w:w="620" w:type="dxa"/>
            <w:vAlign w:val="bottom"/>
            <w:tcBorders>
              <w:bottom w:val="single" w:sz="8" w:color="auto"/>
              <w:right w:val="single" w:sz="8" w:color="auto"/>
            </w:tcBorders>
            <w:gridSpan w:val="2"/>
          </w:tcPr>
          <w:p>
            <w:pPr>
              <w:jc w:val="right"/>
              <w:ind w:right="148"/>
              <w:spacing w:after="0"/>
              <w:rPr>
                <w:sz w:val="20"/>
                <w:szCs w:val="20"/>
                <w:color w:val="auto"/>
              </w:rPr>
            </w:pPr>
            <w:r>
              <w:rPr>
                <w:rFonts w:ascii="Arial" w:cs="Arial" w:eastAsia="Arial" w:hAnsi="Arial"/>
                <w:sz w:val="13"/>
                <w:szCs w:val="13"/>
                <w:color w:val="auto"/>
              </w:rPr>
              <w:t>2007</w:t>
            </w:r>
          </w:p>
        </w:tc>
        <w:tc>
          <w:tcPr>
            <w:tcW w:w="720" w:type="dxa"/>
            <w:vAlign w:val="bottom"/>
            <w:tcBorders>
              <w:bottom w:val="single" w:sz="8" w:color="auto"/>
            </w:tcBorders>
            <w:gridSpan w:val="2"/>
          </w:tcPr>
          <w:p>
            <w:pPr>
              <w:jc w:val="right"/>
              <w:ind w:right="190"/>
              <w:spacing w:after="0"/>
              <w:rPr>
                <w:sz w:val="20"/>
                <w:szCs w:val="20"/>
                <w:color w:val="auto"/>
              </w:rPr>
            </w:pPr>
            <w:r>
              <w:rPr>
                <w:rFonts w:ascii="Arial" w:cs="Arial" w:eastAsia="Arial" w:hAnsi="Arial"/>
                <w:sz w:val="13"/>
                <w:szCs w:val="13"/>
                <w:color w:val="auto"/>
              </w:rPr>
              <w:t>2008</w:t>
            </w:r>
          </w:p>
        </w:tc>
        <w:tc>
          <w:tcPr>
            <w:tcW w:w="620" w:type="dxa"/>
            <w:vAlign w:val="bottom"/>
            <w:tcBorders>
              <w:bottom w:val="single" w:sz="8" w:color="auto"/>
              <w:right w:val="single" w:sz="8" w:color="auto"/>
            </w:tcBorders>
            <w:gridSpan w:val="2"/>
          </w:tcPr>
          <w:p>
            <w:pPr>
              <w:jc w:val="right"/>
              <w:ind w:right="148"/>
              <w:spacing w:after="0"/>
              <w:rPr>
                <w:sz w:val="20"/>
                <w:szCs w:val="20"/>
                <w:color w:val="auto"/>
              </w:rPr>
            </w:pPr>
            <w:r>
              <w:rPr>
                <w:rFonts w:ascii="Arial" w:cs="Arial" w:eastAsia="Arial" w:hAnsi="Arial"/>
                <w:sz w:val="13"/>
                <w:szCs w:val="13"/>
                <w:color w:val="auto"/>
              </w:rPr>
              <w:t>2007</w:t>
            </w:r>
          </w:p>
        </w:tc>
        <w:tc>
          <w:tcPr>
            <w:tcW w:w="760" w:type="dxa"/>
            <w:vAlign w:val="bottom"/>
            <w:tcBorders>
              <w:bottom w:val="single" w:sz="8" w:color="auto"/>
            </w:tcBorders>
            <w:gridSpan w:val="2"/>
          </w:tcPr>
          <w:p>
            <w:pPr>
              <w:jc w:val="right"/>
              <w:ind w:right="210"/>
              <w:spacing w:after="0"/>
              <w:rPr>
                <w:sz w:val="20"/>
                <w:szCs w:val="20"/>
                <w:color w:val="auto"/>
              </w:rPr>
            </w:pPr>
            <w:r>
              <w:rPr>
                <w:rFonts w:ascii="Arial" w:cs="Arial" w:eastAsia="Arial" w:hAnsi="Arial"/>
                <w:sz w:val="13"/>
                <w:szCs w:val="13"/>
                <w:color w:val="auto"/>
              </w:rPr>
              <w:t>2008</w:t>
            </w:r>
          </w:p>
        </w:tc>
        <w:tc>
          <w:tcPr>
            <w:tcW w:w="380" w:type="dxa"/>
            <w:vAlign w:val="bottom"/>
            <w:tcBorders>
              <w:bottom w:val="single" w:sz="8" w:color="auto"/>
            </w:tcBorders>
          </w:tcPr>
          <w:p>
            <w:pPr>
              <w:jc w:val="center"/>
              <w:ind w:left="11"/>
              <w:spacing w:after="0"/>
              <w:rPr>
                <w:sz w:val="20"/>
                <w:szCs w:val="20"/>
                <w:color w:val="auto"/>
              </w:rPr>
            </w:pPr>
            <w:r>
              <w:rPr>
                <w:rFonts w:ascii="Arial" w:cs="Arial" w:eastAsia="Arial" w:hAnsi="Arial"/>
                <w:sz w:val="13"/>
                <w:szCs w:val="13"/>
                <w:color w:val="auto"/>
              </w:rPr>
              <w:t>2007</w:t>
            </w:r>
          </w:p>
        </w:tc>
        <w:tc>
          <w:tcPr>
            <w:tcW w:w="160" w:type="dxa"/>
            <w:vAlign w:val="bottom"/>
            <w:tcBorders>
              <w:bottom w:val="single" w:sz="8" w:color="auto"/>
            </w:tcBorders>
          </w:tcPr>
          <w:p>
            <w:pPr>
              <w:spacing w:after="0"/>
              <w:rPr>
                <w:sz w:val="18"/>
                <w:szCs w:val="18"/>
                <w:color w:val="auto"/>
              </w:rPr>
            </w:pPr>
          </w:p>
        </w:tc>
      </w:tr>
      <w:tr>
        <w:trPr>
          <w:trHeight w:val="183"/>
        </w:trPr>
        <w:tc>
          <w:tcPr>
            <w:tcW w:w="3640" w:type="dxa"/>
            <w:vAlign w:val="bottom"/>
          </w:tcPr>
          <w:p>
            <w:pPr>
              <w:ind w:left="20"/>
              <w:spacing w:after="0"/>
              <w:rPr>
                <w:sz w:val="20"/>
                <w:szCs w:val="20"/>
                <w:color w:val="auto"/>
              </w:rPr>
            </w:pPr>
            <w:r>
              <w:rPr>
                <w:rFonts w:ascii="Arial" w:cs="Arial" w:eastAsia="Arial" w:hAnsi="Arial"/>
                <w:sz w:val="14"/>
                <w:szCs w:val="14"/>
                <w:color w:val="auto"/>
              </w:rPr>
              <w:t>Natural gas</w:t>
            </w:r>
          </w:p>
        </w:tc>
        <w:tc>
          <w:tcPr>
            <w:tcW w:w="420" w:type="dxa"/>
            <w:vAlign w:val="bottom"/>
          </w:tcPr>
          <w:p>
            <w:pPr>
              <w:jc w:val="right"/>
              <w:spacing w:after="0"/>
              <w:rPr>
                <w:sz w:val="20"/>
                <w:szCs w:val="20"/>
                <w:color w:val="auto"/>
              </w:rPr>
            </w:pPr>
            <w:r>
              <w:rPr>
                <w:rFonts w:ascii="Arial" w:cs="Arial" w:eastAsia="Arial" w:hAnsi="Arial"/>
                <w:sz w:val="14"/>
                <w:szCs w:val="14"/>
                <w:color w:val="auto"/>
              </w:rPr>
              <w:t>$</w:t>
            </w:r>
          </w:p>
        </w:tc>
        <w:tc>
          <w:tcPr>
            <w:tcW w:w="380" w:type="dxa"/>
            <w:vAlign w:val="bottom"/>
          </w:tcPr>
          <w:p>
            <w:pPr>
              <w:jc w:val="right"/>
              <w:ind w:right="28"/>
              <w:spacing w:after="0"/>
              <w:rPr>
                <w:sz w:val="20"/>
                <w:szCs w:val="20"/>
                <w:color w:val="auto"/>
              </w:rPr>
            </w:pPr>
            <w:r>
              <w:rPr>
                <w:rFonts w:ascii="Arial" w:cs="Arial" w:eastAsia="Arial" w:hAnsi="Arial"/>
                <w:sz w:val="14"/>
                <w:szCs w:val="14"/>
                <w:color w:val="auto"/>
              </w:rPr>
              <w:t>201</w:t>
            </w:r>
          </w:p>
        </w:tc>
        <w:tc>
          <w:tcPr>
            <w:tcW w:w="360" w:type="dxa"/>
            <w:vAlign w:val="bottom"/>
          </w:tcPr>
          <w:p>
            <w:pPr>
              <w:jc w:val="right"/>
              <w:ind w:right="11"/>
              <w:spacing w:after="0"/>
              <w:rPr>
                <w:sz w:val="20"/>
                <w:szCs w:val="20"/>
                <w:color w:val="auto"/>
              </w:rPr>
            </w:pPr>
            <w:r>
              <w:rPr>
                <w:rFonts w:ascii="Arial" w:cs="Arial" w:eastAsia="Arial" w:hAnsi="Arial"/>
                <w:sz w:val="14"/>
                <w:szCs w:val="14"/>
                <w:color w:val="auto"/>
              </w:rPr>
              <w:t>$</w:t>
            </w:r>
          </w:p>
        </w:tc>
        <w:tc>
          <w:tcPr>
            <w:tcW w:w="26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w w:val="94"/>
              </w:rPr>
              <w:t>130</w:t>
            </w:r>
          </w:p>
        </w:tc>
        <w:tc>
          <w:tcPr>
            <w:tcW w:w="380" w:type="dxa"/>
            <w:vAlign w:val="bottom"/>
          </w:tcPr>
          <w:p>
            <w:pPr>
              <w:jc w:val="right"/>
              <w:spacing w:after="0"/>
              <w:rPr>
                <w:sz w:val="20"/>
                <w:szCs w:val="20"/>
                <w:color w:val="auto"/>
              </w:rPr>
            </w:pPr>
            <w:r>
              <w:rPr>
                <w:rFonts w:ascii="Arial" w:cs="Arial" w:eastAsia="Arial" w:hAnsi="Arial"/>
                <w:sz w:val="14"/>
                <w:szCs w:val="14"/>
                <w:color w:val="auto"/>
              </w:rPr>
              <w:t>$</w:t>
            </w:r>
          </w:p>
        </w:tc>
        <w:tc>
          <w:tcPr>
            <w:tcW w:w="34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300" w:type="dxa"/>
            <w:vAlign w:val="bottom"/>
          </w:tcPr>
          <w:p>
            <w:pPr>
              <w:jc w:val="right"/>
              <w:spacing w:after="0"/>
              <w:rPr>
                <w:sz w:val="20"/>
                <w:szCs w:val="20"/>
                <w:color w:val="auto"/>
              </w:rPr>
            </w:pPr>
            <w:r>
              <w:rPr>
                <w:rFonts w:ascii="Arial" w:cs="Arial" w:eastAsia="Arial" w:hAnsi="Arial"/>
                <w:sz w:val="14"/>
                <w:szCs w:val="14"/>
                <w:color w:val="auto"/>
              </w:rPr>
              <w:t>$</w:t>
            </w:r>
          </w:p>
        </w:tc>
        <w:tc>
          <w:tcPr>
            <w:tcW w:w="32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49</w:t>
            </w:r>
          </w:p>
        </w:tc>
        <w:tc>
          <w:tcPr>
            <w:tcW w:w="340" w:type="dxa"/>
            <w:vAlign w:val="bottom"/>
          </w:tcPr>
          <w:p>
            <w:pPr>
              <w:jc w:val="right"/>
              <w:spacing w:after="0"/>
              <w:rPr>
                <w:sz w:val="20"/>
                <w:szCs w:val="20"/>
                <w:color w:val="auto"/>
              </w:rPr>
            </w:pPr>
            <w:r>
              <w:rPr>
                <w:rFonts w:ascii="Arial" w:cs="Arial" w:eastAsia="Arial" w:hAnsi="Arial"/>
                <w:sz w:val="14"/>
                <w:szCs w:val="14"/>
                <w:color w:val="auto"/>
              </w:rPr>
              <w:t>$</w:t>
            </w:r>
          </w:p>
        </w:tc>
        <w:tc>
          <w:tcPr>
            <w:tcW w:w="420" w:type="dxa"/>
            <w:vAlign w:val="bottom"/>
          </w:tcPr>
          <w:p>
            <w:pPr>
              <w:jc w:val="right"/>
              <w:ind w:right="30"/>
              <w:spacing w:after="0"/>
              <w:rPr>
                <w:sz w:val="20"/>
                <w:szCs w:val="20"/>
                <w:color w:val="auto"/>
              </w:rPr>
            </w:pPr>
            <w:r>
              <w:rPr>
                <w:rFonts w:ascii="Arial" w:cs="Arial" w:eastAsia="Arial" w:hAnsi="Arial"/>
                <w:sz w:val="14"/>
                <w:szCs w:val="14"/>
                <w:color w:val="auto"/>
              </w:rPr>
              <w:t>143</w:t>
            </w:r>
          </w:p>
        </w:tc>
        <w:tc>
          <w:tcPr>
            <w:tcW w:w="380" w:type="dxa"/>
            <w:vAlign w:val="bottom"/>
          </w:tcPr>
          <w:p>
            <w:pPr>
              <w:jc w:val="center"/>
              <w:spacing w:after="0"/>
              <w:rPr>
                <w:sz w:val="20"/>
                <w:szCs w:val="20"/>
                <w:color w:val="auto"/>
              </w:rPr>
            </w:pPr>
            <w:r>
              <w:rPr>
                <w:rFonts w:ascii="Arial" w:cs="Arial" w:eastAsia="Arial" w:hAnsi="Arial"/>
                <w:sz w:val="14"/>
                <w:szCs w:val="14"/>
                <w:color w:val="auto"/>
              </w:rPr>
              <w:t>$</w:t>
            </w:r>
          </w:p>
        </w:tc>
        <w:tc>
          <w:tcPr>
            <w:tcW w:w="160" w:type="dxa"/>
            <w:vAlign w:val="bottom"/>
          </w:tcPr>
          <w:p>
            <w:pPr>
              <w:jc w:val="right"/>
              <w:spacing w:after="0"/>
              <w:rPr>
                <w:sz w:val="20"/>
                <w:szCs w:val="20"/>
                <w:color w:val="auto"/>
              </w:rPr>
            </w:pPr>
            <w:r>
              <w:rPr>
                <w:rFonts w:ascii="Arial" w:cs="Arial" w:eastAsia="Arial" w:hAnsi="Arial"/>
                <w:sz w:val="14"/>
                <w:szCs w:val="14"/>
                <w:color w:val="auto"/>
                <w:w w:val="89"/>
              </w:rPr>
              <w:t>80</w:t>
            </w:r>
          </w:p>
        </w:tc>
      </w:tr>
      <w:tr>
        <w:trPr>
          <w:trHeight w:val="198"/>
        </w:trPr>
        <w:tc>
          <w:tcPr>
            <w:tcW w:w="3640" w:type="dxa"/>
            <w:vAlign w:val="bottom"/>
          </w:tcPr>
          <w:p>
            <w:pPr>
              <w:ind w:left="20"/>
              <w:spacing w:after="0"/>
              <w:rPr>
                <w:sz w:val="20"/>
                <w:szCs w:val="20"/>
                <w:color w:val="auto"/>
              </w:rPr>
            </w:pPr>
            <w:r>
              <w:rPr>
                <w:rFonts w:ascii="Arial" w:cs="Arial" w:eastAsia="Arial" w:hAnsi="Arial"/>
                <w:sz w:val="14"/>
                <w:szCs w:val="14"/>
                <w:color w:val="auto"/>
              </w:rPr>
              <w:t>Materials and supplies</w:t>
            </w:r>
          </w:p>
        </w:tc>
        <w:tc>
          <w:tcPr>
            <w:tcW w:w="42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119</w:t>
            </w:r>
          </w:p>
        </w:tc>
        <w:tc>
          <w:tcPr>
            <w:tcW w:w="360" w:type="dxa"/>
            <w:vAlign w:val="bottom"/>
            <w:tcBorders>
              <w:bottom w:val="single" w:sz="8" w:color="auto"/>
            </w:tcBorders>
          </w:tcPr>
          <w:p>
            <w:pPr>
              <w:spacing w:after="0"/>
              <w:rPr>
                <w:sz w:val="17"/>
                <w:szCs w:val="17"/>
                <w:color w:val="auto"/>
              </w:rPr>
            </w:pPr>
          </w:p>
        </w:tc>
        <w:tc>
          <w:tcPr>
            <w:tcW w:w="2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94</w:t>
            </w:r>
          </w:p>
        </w:tc>
        <w:tc>
          <w:tcPr>
            <w:tcW w:w="38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62</w:t>
            </w:r>
          </w:p>
        </w:tc>
        <w:tc>
          <w:tcPr>
            <w:tcW w:w="300" w:type="dxa"/>
            <w:vAlign w:val="bottom"/>
            <w:tcBorders>
              <w:bottom w:val="single" w:sz="8" w:color="auto"/>
            </w:tcBorders>
          </w:tcPr>
          <w:p>
            <w:pPr>
              <w:spacing w:after="0"/>
              <w:rPr>
                <w:sz w:val="17"/>
                <w:szCs w:val="17"/>
                <w:color w:val="auto"/>
              </w:rPr>
            </w:pPr>
          </w:p>
        </w:tc>
        <w:tc>
          <w:tcPr>
            <w:tcW w:w="3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64</w:t>
            </w:r>
          </w:p>
        </w:tc>
        <w:tc>
          <w:tcPr>
            <w:tcW w:w="34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24</w:t>
            </w:r>
          </w:p>
        </w:tc>
        <w:tc>
          <w:tcPr>
            <w:tcW w:w="38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89"/>
              </w:rPr>
              <w:t>18</w:t>
            </w:r>
          </w:p>
        </w:tc>
      </w:tr>
      <w:tr>
        <w:trPr>
          <w:trHeight w:val="200"/>
        </w:trPr>
        <w:tc>
          <w:tcPr>
            <w:tcW w:w="36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Total</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320</w:t>
            </w:r>
          </w:p>
        </w:tc>
        <w:tc>
          <w:tcPr>
            <w:tcW w:w="36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w w:val="94"/>
              </w:rPr>
              <w:t>224</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62</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113</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42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167</w:t>
            </w:r>
          </w:p>
        </w:tc>
        <w:tc>
          <w:tcPr>
            <w:tcW w:w="3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89"/>
              </w:rPr>
              <w:t>98</w:t>
            </w:r>
          </w:p>
        </w:tc>
      </w:tr>
    </w:tbl>
    <w:p>
      <w:pPr>
        <w:spacing w:after="0" w:line="256"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auto"/>
        </w:rPr>
        <w:t>INCOME TAXES</w:t>
      </w:r>
    </w:p>
    <w:p>
      <w:pPr>
        <w:spacing w:after="0" w:line="89" w:lineRule="exact"/>
        <w:rPr>
          <w:sz w:val="20"/>
          <w:szCs w:val="20"/>
          <w:color w:val="auto"/>
        </w:rPr>
      </w:pPr>
    </w:p>
    <w:p>
      <w:pPr>
        <w:ind w:left="4" w:right="60"/>
        <w:spacing w:after="0" w:line="282" w:lineRule="auto"/>
        <w:rPr>
          <w:sz w:val="20"/>
          <w:szCs w:val="20"/>
          <w:color w:val="auto"/>
        </w:rPr>
      </w:pPr>
      <w:r>
        <w:rPr>
          <w:rFonts w:ascii="Arial" w:cs="Arial" w:eastAsia="Arial" w:hAnsi="Arial"/>
          <w:sz w:val="15"/>
          <w:szCs w:val="15"/>
          <w:color w:val="auto"/>
        </w:rPr>
        <w:t xml:space="preserve">Income tax expense includes current and deferred income taxes from operations during the year. In accordance with SFAS 109, </w:t>
      </w:r>
      <w:r>
        <w:rPr>
          <w:rFonts w:ascii="Arial" w:cs="Arial" w:eastAsia="Arial" w:hAnsi="Arial"/>
          <w:sz w:val="15"/>
          <w:szCs w:val="15"/>
          <w:i w:val="1"/>
          <w:iCs w:val="1"/>
          <w:color w:val="auto"/>
        </w:rPr>
        <w:t>Accounting for Income Taxes</w:t>
      </w:r>
      <w:r>
        <w:rPr>
          <w:rFonts w:ascii="Arial" w:cs="Arial" w:eastAsia="Arial" w:hAnsi="Arial"/>
          <w:sz w:val="15"/>
          <w:szCs w:val="15"/>
          <w:color w:val="auto"/>
        </w:rPr>
        <w:t xml:space="preserve"> (SFAS 109), we record deferred income taxes for temporary differences between the book and the tax bases of assets and liabilities. Investment tax credits from prior years are amortized to income by the Sempra Utilities over the estimated service lives of the properties as required by the CPUC. At Sempra Global and Parent, investment tax credits and other credits, mainly low-income housing and synthetic fuels tax credits in 2007 and 2006, are recognized in income as earned.</w:t>
      </w:r>
    </w:p>
    <w:p>
      <w:pPr>
        <w:spacing w:after="0" w:line="30" w:lineRule="exact"/>
        <w:rPr>
          <w:sz w:val="20"/>
          <w:szCs w:val="20"/>
          <w:color w:val="auto"/>
        </w:rPr>
      </w:pPr>
    </w:p>
    <w:p>
      <w:pPr>
        <w:ind w:left="4"/>
        <w:spacing w:after="0"/>
        <w:rPr>
          <w:sz w:val="20"/>
          <w:szCs w:val="20"/>
          <w:color w:val="auto"/>
        </w:rPr>
      </w:pPr>
      <w:r>
        <w:rPr>
          <w:rFonts w:ascii="Arial" w:cs="Arial" w:eastAsia="Arial" w:hAnsi="Arial"/>
          <w:sz w:val="16"/>
          <w:szCs w:val="16"/>
          <w:color w:val="auto"/>
        </w:rPr>
        <w:t>We follow certain provisions of SFAS 109 that require regulated enterprises to recognize</w:t>
      </w:r>
    </w:p>
    <w:p>
      <w:pPr>
        <w:spacing w:after="0" w:line="44" w:lineRule="exact"/>
        <w:rPr>
          <w:sz w:val="20"/>
          <w:szCs w:val="20"/>
          <w:color w:val="auto"/>
        </w:rPr>
      </w:pPr>
    </w:p>
    <w:p>
      <w:pPr>
        <w:ind w:left="144" w:hanging="144"/>
        <w:spacing w:after="0"/>
        <w:tabs>
          <w:tab w:leader="none" w:pos="144" w:val="left"/>
        </w:tabs>
        <w:numPr>
          <w:ilvl w:val="0"/>
          <w:numId w:val="314"/>
        </w:numPr>
        <w:rPr>
          <w:rFonts w:ascii="Arial" w:cs="Arial" w:eastAsia="Arial" w:hAnsi="Arial"/>
          <w:sz w:val="16"/>
          <w:szCs w:val="16"/>
          <w:color w:val="auto"/>
        </w:rPr>
      </w:pPr>
      <w:r>
        <w:rPr>
          <w:rFonts w:ascii="Arial" w:cs="Arial" w:eastAsia="Arial" w:hAnsi="Arial"/>
          <w:sz w:val="16"/>
          <w:szCs w:val="16"/>
          <w:color w:val="auto"/>
        </w:rPr>
        <w:t>regulatory assets to offset deferred tax liabilities if it is probable that the amounts will be recovered from customers; and</w:t>
      </w:r>
    </w:p>
    <w:p>
      <w:pPr>
        <w:spacing w:after="0" w:line="44" w:lineRule="exact"/>
        <w:rPr>
          <w:rFonts w:ascii="Arial" w:cs="Arial" w:eastAsia="Arial" w:hAnsi="Arial"/>
          <w:sz w:val="16"/>
          <w:szCs w:val="16"/>
          <w:color w:val="auto"/>
        </w:rPr>
      </w:pPr>
    </w:p>
    <w:p>
      <w:pPr>
        <w:ind w:left="144" w:hanging="144"/>
        <w:spacing w:after="0"/>
        <w:tabs>
          <w:tab w:leader="none" w:pos="144" w:val="left"/>
        </w:tabs>
        <w:numPr>
          <w:ilvl w:val="0"/>
          <w:numId w:val="314"/>
        </w:numPr>
        <w:rPr>
          <w:rFonts w:ascii="Arial" w:cs="Arial" w:eastAsia="Arial" w:hAnsi="Arial"/>
          <w:sz w:val="16"/>
          <w:szCs w:val="16"/>
          <w:color w:val="auto"/>
        </w:rPr>
      </w:pPr>
      <w:r>
        <w:rPr>
          <w:rFonts w:ascii="Arial" w:cs="Arial" w:eastAsia="Arial" w:hAnsi="Arial"/>
          <w:sz w:val="16"/>
          <w:szCs w:val="16"/>
          <w:color w:val="auto"/>
        </w:rPr>
        <w:t>regulatory liabilities to offset deferred tax assets if it is probable that the amounts will be returned to customers.</w:t>
      </w:r>
    </w:p>
    <w:p>
      <w:pPr>
        <w:spacing w:after="0" w:line="128" w:lineRule="exact"/>
        <w:rPr>
          <w:sz w:val="20"/>
          <w:szCs w:val="20"/>
          <w:color w:val="auto"/>
        </w:rPr>
      </w:pPr>
    </w:p>
    <w:p>
      <w:pPr>
        <w:ind w:left="4"/>
        <w:spacing w:after="0"/>
        <w:rPr>
          <w:sz w:val="20"/>
          <w:szCs w:val="20"/>
          <w:color w:val="auto"/>
        </w:rPr>
      </w:pPr>
      <w:r>
        <w:rPr>
          <w:rFonts w:ascii="Arial" w:cs="Arial" w:eastAsia="Arial" w:hAnsi="Arial"/>
          <w:sz w:val="16"/>
          <w:szCs w:val="16"/>
          <w:color w:val="auto"/>
        </w:rPr>
        <w:t>We also follow</w:t>
      </w:r>
    </w:p>
    <w:p>
      <w:pPr>
        <w:spacing w:after="0" w:line="44" w:lineRule="exact"/>
        <w:rPr>
          <w:sz w:val="20"/>
          <w:szCs w:val="20"/>
          <w:color w:val="auto"/>
        </w:rPr>
      </w:pPr>
    </w:p>
    <w:p>
      <w:pPr>
        <w:ind w:left="144" w:right="1700" w:hanging="144"/>
        <w:spacing w:after="0" w:line="274" w:lineRule="auto"/>
        <w:tabs>
          <w:tab w:leader="none" w:pos="144" w:val="left"/>
        </w:tabs>
        <w:numPr>
          <w:ilvl w:val="0"/>
          <w:numId w:val="315"/>
        </w:numPr>
        <w:rPr>
          <w:rFonts w:ascii="Arial" w:cs="Arial" w:eastAsia="Arial" w:hAnsi="Arial"/>
          <w:sz w:val="16"/>
          <w:szCs w:val="16"/>
          <w:color w:val="auto"/>
        </w:rPr>
      </w:pPr>
      <w:r>
        <w:rPr>
          <w:rFonts w:ascii="Arial" w:cs="Arial" w:eastAsia="Arial" w:hAnsi="Arial"/>
          <w:sz w:val="16"/>
          <w:szCs w:val="16"/>
          <w:color w:val="auto"/>
        </w:rPr>
        <w:t xml:space="preserve">Accounting Principles Board (APB) Opinion 23, </w:t>
      </w:r>
      <w:r>
        <w:rPr>
          <w:rFonts w:ascii="Arial" w:cs="Arial" w:eastAsia="Arial" w:hAnsi="Arial"/>
          <w:sz w:val="16"/>
          <w:szCs w:val="16"/>
          <w:i w:val="1"/>
          <w:iCs w:val="1"/>
          <w:color w:val="auto"/>
        </w:rPr>
        <w:t>Accounting for Income Taxes -- Special Areas</w:t>
      </w:r>
      <w:r>
        <w:rPr>
          <w:rFonts w:ascii="Arial" w:cs="Arial" w:eastAsia="Arial" w:hAnsi="Arial"/>
          <w:sz w:val="16"/>
          <w:szCs w:val="16"/>
          <w:color w:val="auto"/>
        </w:rPr>
        <w:t>, in recording deferred taxes for investments in foreign subsidiaries and the undistributed earnings of foreign subsidiaries</w:t>
      </w:r>
    </w:p>
    <w:p>
      <w:pPr>
        <w:ind w:left="144" w:right="1780" w:hanging="144"/>
        <w:spacing w:after="0" w:line="277" w:lineRule="auto"/>
        <w:tabs>
          <w:tab w:leader="none" w:pos="144" w:val="left"/>
        </w:tabs>
        <w:numPr>
          <w:ilvl w:val="0"/>
          <w:numId w:val="315"/>
        </w:numPr>
        <w:rPr>
          <w:rFonts w:ascii="Arial" w:cs="Arial" w:eastAsia="Arial" w:hAnsi="Arial"/>
          <w:sz w:val="16"/>
          <w:szCs w:val="16"/>
          <w:color w:val="auto"/>
        </w:rPr>
      </w:pPr>
      <w:r>
        <w:rPr>
          <w:rFonts w:ascii="Arial" w:cs="Arial" w:eastAsia="Arial" w:hAnsi="Arial"/>
          <w:sz w:val="16"/>
          <w:szCs w:val="16"/>
          <w:color w:val="auto"/>
        </w:rPr>
        <w:t xml:space="preserve">Financial Accounting Standards Board (FASB) Interpretation (FIN) No. 48, </w:t>
      </w:r>
      <w:r>
        <w:rPr>
          <w:rFonts w:ascii="Arial" w:cs="Arial" w:eastAsia="Arial" w:hAnsi="Arial"/>
          <w:sz w:val="16"/>
          <w:szCs w:val="16"/>
          <w:i w:val="1"/>
          <w:iCs w:val="1"/>
          <w:color w:val="auto"/>
        </w:rPr>
        <w:t>Accounting for Uncertainty in Income Taxes - an interpretation of FASB</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Statement No. 109 </w:t>
      </w:r>
      <w:r>
        <w:rPr>
          <w:rFonts w:ascii="Arial" w:cs="Arial" w:eastAsia="Arial" w:hAnsi="Arial"/>
          <w:sz w:val="16"/>
          <w:szCs w:val="16"/>
          <w:color w:val="auto"/>
        </w:rPr>
        <w:t>(FIN 48)</w:t>
      </w:r>
    </w:p>
    <w:p>
      <w:pPr>
        <w:spacing w:after="0" w:line="80" w:lineRule="exact"/>
        <w:rPr>
          <w:sz w:val="20"/>
          <w:szCs w:val="20"/>
          <w:color w:val="auto"/>
        </w:rPr>
      </w:pPr>
    </w:p>
    <w:p>
      <w:pPr>
        <w:ind w:left="4"/>
        <w:spacing w:after="0"/>
        <w:rPr>
          <w:sz w:val="20"/>
          <w:szCs w:val="20"/>
          <w:color w:val="auto"/>
        </w:rPr>
      </w:pPr>
      <w:r>
        <w:rPr>
          <w:rFonts w:ascii="Arial" w:cs="Arial" w:eastAsia="Arial" w:hAnsi="Arial"/>
          <w:sz w:val="16"/>
          <w:szCs w:val="16"/>
          <w:color w:val="auto"/>
        </w:rPr>
        <w:t>We provide additional information about income taxes in Note 8.</w:t>
      </w:r>
    </w:p>
    <w:p>
      <w:pPr>
        <w:spacing w:after="0" w:line="200" w:lineRule="exact"/>
        <w:rPr>
          <w:sz w:val="20"/>
          <w:szCs w:val="20"/>
          <w:color w:val="auto"/>
        </w:rPr>
      </w:pPr>
    </w:p>
    <w:p>
      <w:pPr>
        <w:spacing w:after="0" w:line="341" w:lineRule="exact"/>
        <w:rPr>
          <w:sz w:val="20"/>
          <w:szCs w:val="20"/>
          <w:color w:val="auto"/>
        </w:rPr>
      </w:pPr>
    </w:p>
    <w:p>
      <w:pPr>
        <w:ind w:left="4"/>
        <w:spacing w:after="0"/>
        <w:rPr>
          <w:sz w:val="20"/>
          <w:szCs w:val="20"/>
          <w:color w:val="auto"/>
        </w:rPr>
      </w:pPr>
      <w:r>
        <w:rPr>
          <w:rFonts w:ascii="Arial" w:cs="Arial" w:eastAsia="Arial" w:hAnsi="Arial"/>
          <w:sz w:val="14"/>
          <w:szCs w:val="14"/>
          <w:color w:val="auto"/>
        </w:rPr>
        <w:t>99</w:t>
      </w:r>
    </w:p>
    <w:p>
      <w:pPr>
        <w:sectPr>
          <w:pgSz w:w="11900" w:h="16838" w:orient="portrait"/>
          <w:cols w:equalWidth="0" w:num="1">
            <w:col w:w="11424"/>
          </w:cols>
          <w:pgMar w:left="236" w:top="294" w:right="239" w:bottom="1440" w:gutter="0" w:footer="0" w:header="0"/>
        </w:sectPr>
      </w:pPr>
    </w:p>
    <w:bookmarkStart w:id="239" w:name="page240"/>
    <w:bookmarkEnd w:id="239"/>
    <w:p>
      <w:pPr>
        <w:ind w:left="4"/>
        <w:spacing w:after="0"/>
        <w:rPr>
          <w:sz w:val="20"/>
          <w:szCs w:val="20"/>
          <w:color w:val="auto"/>
        </w:rPr>
      </w:pPr>
      <w:r>
        <w:rPr>
          <w:rFonts w:ascii="Arial" w:cs="Arial" w:eastAsia="Arial" w:hAnsi="Arial"/>
          <w:sz w:val="16"/>
          <w:szCs w:val="16"/>
          <w:b w:val="1"/>
          <w:bCs w:val="1"/>
          <w:color w:val="auto"/>
        </w:rPr>
        <w:t>PROPERTY, PLANT AND EQUIPMENT</w:t>
      </w:r>
    </w:p>
    <w:p>
      <w:pPr>
        <w:spacing w:after="0" w:line="89" w:lineRule="exact"/>
        <w:rPr>
          <w:sz w:val="20"/>
          <w:szCs w:val="20"/>
          <w:color w:val="auto"/>
        </w:rPr>
      </w:pPr>
    </w:p>
    <w:p>
      <w:pPr>
        <w:ind w:left="4"/>
        <w:spacing w:after="0" w:line="340" w:lineRule="auto"/>
        <w:rPr>
          <w:sz w:val="20"/>
          <w:szCs w:val="20"/>
          <w:color w:val="auto"/>
        </w:rPr>
      </w:pPr>
      <w:r>
        <w:rPr>
          <w:rFonts w:ascii="Arial" w:cs="Arial" w:eastAsia="Arial" w:hAnsi="Arial"/>
          <w:sz w:val="14"/>
          <w:szCs w:val="14"/>
          <w:color w:val="auto"/>
        </w:rPr>
        <w:t>Property, plant and equipment primarily represents the buildings, equipment and other facilities used by the Sempra Utilities to provide natural gas and electric utility services, and by Sempra Generation, Sempra LNG and Sempra Pipelines &amp; Storage. It also reflects projects included in construction work in progress at these business units.</w:t>
      </w:r>
    </w:p>
    <w:p>
      <w:pPr>
        <w:ind w:left="4"/>
        <w:spacing w:after="0"/>
        <w:rPr>
          <w:sz w:val="20"/>
          <w:szCs w:val="20"/>
          <w:color w:val="auto"/>
        </w:rPr>
      </w:pPr>
      <w:r>
        <w:rPr>
          <w:rFonts w:ascii="Arial" w:cs="Arial" w:eastAsia="Arial" w:hAnsi="Arial"/>
          <w:sz w:val="16"/>
          <w:szCs w:val="16"/>
          <w:color w:val="auto"/>
        </w:rPr>
        <w:t>Our plant costs include</w:t>
      </w:r>
    </w:p>
    <w:p>
      <w:pPr>
        <w:spacing w:after="0" w:line="44" w:lineRule="exact"/>
        <w:rPr>
          <w:sz w:val="20"/>
          <w:szCs w:val="20"/>
          <w:color w:val="auto"/>
        </w:rPr>
      </w:pPr>
    </w:p>
    <w:p>
      <w:pPr>
        <w:ind w:left="144" w:hanging="144"/>
        <w:spacing w:after="0"/>
        <w:tabs>
          <w:tab w:leader="none" w:pos="144" w:val="left"/>
        </w:tabs>
        <w:numPr>
          <w:ilvl w:val="0"/>
          <w:numId w:val="316"/>
        </w:numPr>
        <w:rPr>
          <w:rFonts w:ascii="Arial" w:cs="Arial" w:eastAsia="Arial" w:hAnsi="Arial"/>
          <w:sz w:val="16"/>
          <w:szCs w:val="16"/>
          <w:color w:val="auto"/>
        </w:rPr>
      </w:pPr>
      <w:r>
        <w:rPr>
          <w:rFonts w:ascii="Arial" w:cs="Arial" w:eastAsia="Arial" w:hAnsi="Arial"/>
          <w:sz w:val="16"/>
          <w:szCs w:val="16"/>
          <w:color w:val="auto"/>
        </w:rPr>
        <w:t>labor</w:t>
      </w:r>
    </w:p>
    <w:p>
      <w:pPr>
        <w:spacing w:after="0" w:line="44" w:lineRule="exact"/>
        <w:rPr>
          <w:rFonts w:ascii="Arial" w:cs="Arial" w:eastAsia="Arial" w:hAnsi="Arial"/>
          <w:sz w:val="16"/>
          <w:szCs w:val="16"/>
          <w:color w:val="auto"/>
        </w:rPr>
      </w:pPr>
    </w:p>
    <w:p>
      <w:pPr>
        <w:ind w:left="144" w:hanging="144"/>
        <w:spacing w:after="0"/>
        <w:tabs>
          <w:tab w:leader="none" w:pos="144" w:val="left"/>
        </w:tabs>
        <w:numPr>
          <w:ilvl w:val="0"/>
          <w:numId w:val="316"/>
        </w:numPr>
        <w:rPr>
          <w:rFonts w:ascii="Arial" w:cs="Arial" w:eastAsia="Arial" w:hAnsi="Arial"/>
          <w:sz w:val="16"/>
          <w:szCs w:val="16"/>
          <w:color w:val="auto"/>
        </w:rPr>
      </w:pPr>
      <w:r>
        <w:rPr>
          <w:rFonts w:ascii="Arial" w:cs="Arial" w:eastAsia="Arial" w:hAnsi="Arial"/>
          <w:sz w:val="16"/>
          <w:szCs w:val="16"/>
          <w:color w:val="auto"/>
        </w:rPr>
        <w:t>materials and contract services</w:t>
      </w:r>
    </w:p>
    <w:p>
      <w:pPr>
        <w:spacing w:after="0" w:line="44" w:lineRule="exact"/>
        <w:rPr>
          <w:rFonts w:ascii="Arial" w:cs="Arial" w:eastAsia="Arial" w:hAnsi="Arial"/>
          <w:sz w:val="16"/>
          <w:szCs w:val="16"/>
          <w:color w:val="auto"/>
        </w:rPr>
      </w:pPr>
    </w:p>
    <w:p>
      <w:pPr>
        <w:ind w:left="144" w:hanging="144"/>
        <w:spacing w:after="0"/>
        <w:tabs>
          <w:tab w:leader="none" w:pos="144" w:val="left"/>
        </w:tabs>
        <w:numPr>
          <w:ilvl w:val="0"/>
          <w:numId w:val="316"/>
        </w:numPr>
        <w:rPr>
          <w:rFonts w:ascii="Arial" w:cs="Arial" w:eastAsia="Arial" w:hAnsi="Arial"/>
          <w:sz w:val="16"/>
          <w:szCs w:val="16"/>
          <w:color w:val="auto"/>
        </w:rPr>
      </w:pPr>
      <w:r>
        <w:rPr>
          <w:rFonts w:ascii="Arial" w:cs="Arial" w:eastAsia="Arial" w:hAnsi="Arial"/>
          <w:sz w:val="16"/>
          <w:szCs w:val="16"/>
          <w:color w:val="auto"/>
        </w:rPr>
        <w:t>expenditures for replacement parts incurred during a major maintenance outage of a generating plant</w:t>
      </w:r>
    </w:p>
    <w:p>
      <w:pPr>
        <w:spacing w:after="0" w:line="128" w:lineRule="exact"/>
        <w:rPr>
          <w:sz w:val="20"/>
          <w:szCs w:val="20"/>
          <w:color w:val="auto"/>
        </w:rPr>
      </w:pPr>
    </w:p>
    <w:p>
      <w:pPr>
        <w:ind w:left="4"/>
        <w:spacing w:after="0"/>
        <w:rPr>
          <w:sz w:val="20"/>
          <w:szCs w:val="20"/>
          <w:color w:val="auto"/>
        </w:rPr>
      </w:pPr>
      <w:r>
        <w:rPr>
          <w:rFonts w:ascii="Arial" w:cs="Arial" w:eastAsia="Arial" w:hAnsi="Arial"/>
          <w:sz w:val="16"/>
          <w:szCs w:val="16"/>
          <w:color w:val="auto"/>
        </w:rPr>
        <w:t>Maintenance costs are expensed as incurred. The cost of most retired depreciable utility plant minus salvage value is charged to accumulated depreciation.</w:t>
      </w:r>
    </w:p>
    <w:p>
      <w:pPr>
        <w:spacing w:after="0" w:line="80" w:lineRule="exact"/>
        <w:rPr>
          <w:sz w:val="20"/>
          <w:szCs w:val="20"/>
          <w:color w:val="auto"/>
        </w:rPr>
      </w:pPr>
    </w:p>
    <w:p>
      <w:pPr>
        <w:ind w:left="4" w:right="40"/>
        <w:spacing w:after="0" w:line="277" w:lineRule="auto"/>
        <w:rPr>
          <w:sz w:val="20"/>
          <w:szCs w:val="20"/>
          <w:color w:val="auto"/>
        </w:rPr>
      </w:pPr>
      <w:r>
        <w:rPr>
          <w:rFonts w:ascii="Arial" w:cs="Arial" w:eastAsia="Arial" w:hAnsi="Arial"/>
          <w:sz w:val="16"/>
          <w:szCs w:val="16"/>
          <w:color w:val="auto"/>
        </w:rPr>
        <w:t>The cost of our utility plant includes an allowance for funds used during construction (AFUDC). AFUDC is discussed below. The cost of non-utility plant includes capitalized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1167130</wp:posOffset>
            </wp:positionH>
            <wp:positionV relativeFrom="paragraph">
              <wp:posOffset>165735</wp:posOffset>
            </wp:positionV>
            <wp:extent cx="4935220" cy="24384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4935220" cy="243840"/>
                    </a:xfrm>
                    <a:prstGeom prst="rect">
                      <a:avLst/>
                    </a:prstGeom>
                    <a:noFill/>
                  </pic:spPr>
                </pic:pic>
              </a:graphicData>
            </a:graphic>
          </wp:anchor>
        </w:drawing>
      </w:r>
    </w:p>
    <w:p>
      <w:pPr>
        <w:spacing w:after="0" w:line="248" w:lineRule="exact"/>
        <w:rPr>
          <w:sz w:val="20"/>
          <w:szCs w:val="20"/>
          <w:color w:val="auto"/>
        </w:rPr>
      </w:pPr>
    </w:p>
    <w:p>
      <w:pPr>
        <w:ind w:left="1844"/>
        <w:spacing w:after="0"/>
        <w:rPr>
          <w:sz w:val="20"/>
          <w:szCs w:val="20"/>
          <w:color w:val="auto"/>
        </w:rPr>
      </w:pPr>
      <w:r>
        <w:rPr>
          <w:rFonts w:ascii="Arial" w:cs="Arial" w:eastAsia="Arial" w:hAnsi="Arial"/>
          <w:sz w:val="14"/>
          <w:szCs w:val="14"/>
          <w:b w:val="1"/>
          <w:bCs w:val="1"/>
          <w:color w:val="auto"/>
        </w:rPr>
        <w:t>PROPERTY, PLANT AND EQUIPMENT BY MAJOR FUNCTIONAL CATEGORY</w:t>
      </w:r>
    </w:p>
    <w:p>
      <w:pPr>
        <w:spacing w:after="0" w:line="40" w:lineRule="exact"/>
        <w:rPr>
          <w:sz w:val="20"/>
          <w:szCs w:val="20"/>
          <w:color w:val="auto"/>
        </w:rPr>
      </w:pPr>
    </w:p>
    <w:p>
      <w:pPr>
        <w:ind w:left="1844"/>
        <w:spacing w:after="0"/>
        <w:rPr>
          <w:sz w:val="20"/>
          <w:szCs w:val="20"/>
          <w:color w:val="auto"/>
        </w:rPr>
      </w:pPr>
      <w:r>
        <w:rPr>
          <w:rFonts w:ascii="Arial" w:cs="Arial" w:eastAsia="Arial" w:hAnsi="Arial"/>
          <w:sz w:val="13"/>
          <w:szCs w:val="13"/>
          <w:i w:val="1"/>
          <w:iCs w:val="1"/>
          <w:color w:val="auto"/>
        </w:rPr>
        <w:t>(Dollars in billions)</w:t>
      </w:r>
    </w:p>
    <w:p>
      <w:pPr>
        <w:spacing w:after="0" w:line="43" w:lineRule="exact"/>
        <w:rPr>
          <w:sz w:val="20"/>
          <w:szCs w:val="20"/>
          <w:color w:val="auto"/>
        </w:rPr>
      </w:pPr>
    </w:p>
    <w:tbl>
      <w:tblPr>
        <w:tblLayout w:type="fixed"/>
        <w:tblInd w:w="1844" w:type="dxa"/>
        <w:tblCellMar>
          <w:top w:w="0" w:type="dxa"/>
          <w:left w:w="0" w:type="dxa"/>
          <w:bottom w:w="0" w:type="dxa"/>
          <w:right w:w="0" w:type="dxa"/>
        </w:tblCellMar>
      </w:tblPr>
      <w:tr>
        <w:trPr>
          <w:trHeight w:val="154"/>
        </w:trPr>
        <w:tc>
          <w:tcPr>
            <w:tcW w:w="3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40" w:type="dxa"/>
            <w:vAlign w:val="bottom"/>
            <w:gridSpan w:val="2"/>
          </w:tcPr>
          <w:p>
            <w:pPr>
              <w:jc w:val="center"/>
              <w:spacing w:after="0"/>
              <w:rPr>
                <w:sz w:val="20"/>
                <w:szCs w:val="20"/>
                <w:color w:val="auto"/>
              </w:rPr>
            </w:pPr>
            <w:r>
              <w:rPr>
                <w:rFonts w:ascii="Arial" w:cs="Arial" w:eastAsia="Arial" w:hAnsi="Arial"/>
                <w:sz w:val="13"/>
                <w:szCs w:val="13"/>
                <w:color w:val="auto"/>
                <w:w w:val="97"/>
              </w:rPr>
              <w:t>Property, Plant</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620" w:type="dxa"/>
            <w:vAlign w:val="bottom"/>
          </w:tcPr>
          <w:p>
            <w:pPr>
              <w:spacing w:after="0"/>
              <w:rPr>
                <w:sz w:val="13"/>
                <w:szCs w:val="13"/>
                <w:color w:val="auto"/>
              </w:rPr>
            </w:pPr>
          </w:p>
        </w:tc>
      </w:tr>
      <w:tr>
        <w:trPr>
          <w:trHeight w:val="156"/>
        </w:trPr>
        <w:tc>
          <w:tcPr>
            <w:tcW w:w="3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40" w:type="dxa"/>
            <w:vAlign w:val="bottom"/>
            <w:gridSpan w:val="2"/>
          </w:tcPr>
          <w:p>
            <w:pPr>
              <w:jc w:val="center"/>
              <w:spacing w:after="0"/>
              <w:rPr>
                <w:sz w:val="20"/>
                <w:szCs w:val="20"/>
                <w:color w:val="auto"/>
              </w:rPr>
            </w:pPr>
            <w:r>
              <w:rPr>
                <w:rFonts w:ascii="Arial" w:cs="Arial" w:eastAsia="Arial" w:hAnsi="Arial"/>
                <w:sz w:val="13"/>
                <w:szCs w:val="13"/>
                <w:color w:val="auto"/>
                <w:w w:val="98"/>
              </w:rPr>
              <w:t>and Equipment at</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740" w:type="dxa"/>
            <w:vAlign w:val="bottom"/>
            <w:gridSpan w:val="3"/>
          </w:tcPr>
          <w:p>
            <w:pPr>
              <w:jc w:val="center"/>
              <w:spacing w:after="0"/>
              <w:rPr>
                <w:sz w:val="20"/>
                <w:szCs w:val="20"/>
                <w:color w:val="auto"/>
              </w:rPr>
            </w:pPr>
            <w:r>
              <w:rPr>
                <w:rFonts w:ascii="Arial" w:cs="Arial" w:eastAsia="Arial" w:hAnsi="Arial"/>
                <w:sz w:val="13"/>
                <w:szCs w:val="13"/>
                <w:color w:val="auto"/>
                <w:w w:val="99"/>
              </w:rPr>
              <w:t>Depreciation rates for years ended</w:t>
            </w:r>
          </w:p>
        </w:tc>
      </w:tr>
      <w:tr>
        <w:trPr>
          <w:trHeight w:val="161"/>
        </w:trPr>
        <w:tc>
          <w:tcPr>
            <w:tcW w:w="318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color w:val="auto"/>
                <w:w w:val="97"/>
              </w:rPr>
              <w:t>December 31,</w:t>
            </w:r>
          </w:p>
        </w:tc>
        <w:tc>
          <w:tcPr>
            <w:tcW w:w="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center"/>
              <w:ind w:right="129"/>
              <w:spacing w:after="0"/>
              <w:rPr>
                <w:sz w:val="20"/>
                <w:szCs w:val="20"/>
                <w:color w:val="auto"/>
              </w:rPr>
            </w:pPr>
            <w:r>
              <w:rPr>
                <w:rFonts w:ascii="Arial" w:cs="Arial" w:eastAsia="Arial" w:hAnsi="Arial"/>
                <w:sz w:val="13"/>
                <w:szCs w:val="13"/>
                <w:color w:val="auto"/>
              </w:rPr>
              <w:t>December 31,</w:t>
            </w:r>
          </w:p>
        </w:tc>
        <w:tc>
          <w:tcPr>
            <w:tcW w:w="620" w:type="dxa"/>
            <w:vAlign w:val="bottom"/>
            <w:tcBorders>
              <w:bottom w:val="single" w:sz="8" w:color="auto"/>
            </w:tcBorders>
          </w:tcPr>
          <w:p>
            <w:pPr>
              <w:spacing w:after="0"/>
              <w:rPr>
                <w:sz w:val="14"/>
                <w:szCs w:val="14"/>
                <w:color w:val="auto"/>
              </w:rPr>
            </w:pPr>
          </w:p>
        </w:tc>
      </w:tr>
      <w:tr>
        <w:trPr>
          <w:trHeight w:val="196"/>
        </w:trPr>
        <w:tc>
          <w:tcPr>
            <w:tcW w:w="318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249"/>
              <w:spacing w:after="0"/>
              <w:rPr>
                <w:sz w:val="20"/>
                <w:szCs w:val="20"/>
                <w:color w:val="auto"/>
              </w:rPr>
            </w:pPr>
            <w:r>
              <w:rPr>
                <w:rFonts w:ascii="Arial" w:cs="Arial" w:eastAsia="Arial" w:hAnsi="Arial"/>
                <w:sz w:val="13"/>
                <w:szCs w:val="13"/>
                <w:color w:val="auto"/>
              </w:rPr>
              <w:t>2008</w:t>
            </w:r>
          </w:p>
        </w:tc>
        <w:tc>
          <w:tcPr>
            <w:tcW w:w="48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color w:val="auto"/>
              </w:rPr>
              <w:t>2007</w:t>
            </w:r>
          </w:p>
        </w:tc>
        <w:tc>
          <w:tcPr>
            <w:tcW w:w="2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gridSpan w:val="2"/>
          </w:tcPr>
          <w:p>
            <w:pPr>
              <w:jc w:val="right"/>
              <w:ind w:right="150"/>
              <w:spacing w:after="0"/>
              <w:rPr>
                <w:sz w:val="20"/>
                <w:szCs w:val="20"/>
                <w:color w:val="auto"/>
              </w:rPr>
            </w:pPr>
            <w:r>
              <w:rPr>
                <w:rFonts w:ascii="Arial" w:cs="Arial" w:eastAsia="Arial" w:hAnsi="Arial"/>
                <w:sz w:val="13"/>
                <w:szCs w:val="13"/>
                <w:color w:val="auto"/>
              </w:rPr>
              <w:t>2008</w:t>
            </w:r>
          </w:p>
        </w:tc>
        <w:tc>
          <w:tcPr>
            <w:tcW w:w="1300" w:type="dxa"/>
            <w:vAlign w:val="bottom"/>
            <w:tcBorders>
              <w:bottom w:val="single" w:sz="8" w:color="auto"/>
            </w:tcBorders>
          </w:tcPr>
          <w:p>
            <w:pPr>
              <w:jc w:val="center"/>
              <w:ind w:right="69"/>
              <w:spacing w:after="0"/>
              <w:rPr>
                <w:sz w:val="20"/>
                <w:szCs w:val="20"/>
                <w:color w:val="auto"/>
              </w:rPr>
            </w:pPr>
            <w:r>
              <w:rPr>
                <w:rFonts w:ascii="Arial" w:cs="Arial" w:eastAsia="Arial" w:hAnsi="Arial"/>
                <w:sz w:val="13"/>
                <w:szCs w:val="13"/>
                <w:color w:val="auto"/>
                <w:w w:val="96"/>
              </w:rPr>
              <w:t>2007</w:t>
            </w:r>
          </w:p>
        </w:tc>
        <w:tc>
          <w:tcPr>
            <w:tcW w:w="620" w:type="dxa"/>
            <w:vAlign w:val="bottom"/>
            <w:tcBorders>
              <w:bottom w:val="single" w:sz="8" w:color="auto"/>
            </w:tcBorders>
          </w:tcPr>
          <w:p>
            <w:pPr>
              <w:jc w:val="center"/>
              <w:ind w:right="149"/>
              <w:spacing w:after="0"/>
              <w:rPr>
                <w:sz w:val="20"/>
                <w:szCs w:val="20"/>
                <w:color w:val="auto"/>
              </w:rPr>
            </w:pPr>
            <w:r>
              <w:rPr>
                <w:rFonts w:ascii="Arial" w:cs="Arial" w:eastAsia="Arial" w:hAnsi="Arial"/>
                <w:sz w:val="13"/>
                <w:szCs w:val="13"/>
                <w:color w:val="auto"/>
                <w:w w:val="96"/>
              </w:rPr>
              <w:t>2006</w:t>
            </w:r>
          </w:p>
        </w:tc>
      </w:tr>
      <w:tr>
        <w:trPr>
          <w:trHeight w:val="207"/>
        </w:trPr>
        <w:tc>
          <w:tcPr>
            <w:tcW w:w="3180" w:type="dxa"/>
            <w:vAlign w:val="bottom"/>
          </w:tcPr>
          <w:p>
            <w:pPr>
              <w:spacing w:after="0"/>
              <w:rPr>
                <w:sz w:val="20"/>
                <w:szCs w:val="20"/>
                <w:color w:val="auto"/>
              </w:rPr>
            </w:pPr>
            <w:r>
              <w:rPr>
                <w:rFonts w:ascii="Arial" w:cs="Arial" w:eastAsia="Arial" w:hAnsi="Arial"/>
                <w:sz w:val="14"/>
                <w:szCs w:val="14"/>
                <w:b w:val="1"/>
                <w:bCs w:val="1"/>
                <w:color w:val="auto"/>
              </w:rPr>
              <w:t>SDG&amp;E:</w:t>
            </w: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620" w:type="dxa"/>
            <w:vAlign w:val="bottom"/>
          </w:tcPr>
          <w:p>
            <w:pPr>
              <w:spacing w:after="0"/>
              <w:rPr>
                <w:sz w:val="18"/>
                <w:szCs w:val="18"/>
                <w:color w:val="auto"/>
              </w:rPr>
            </w:pPr>
          </w:p>
        </w:tc>
      </w:tr>
      <w:tr>
        <w:trPr>
          <w:trHeight w:val="216"/>
        </w:trPr>
        <w:tc>
          <w:tcPr>
            <w:tcW w:w="3180" w:type="dxa"/>
            <w:vAlign w:val="bottom"/>
          </w:tcPr>
          <w:p>
            <w:pPr>
              <w:ind w:left="160"/>
              <w:spacing w:after="0"/>
              <w:rPr>
                <w:sz w:val="20"/>
                <w:szCs w:val="20"/>
                <w:color w:val="auto"/>
              </w:rPr>
            </w:pPr>
            <w:r>
              <w:rPr>
                <w:rFonts w:ascii="Arial" w:cs="Arial" w:eastAsia="Arial" w:hAnsi="Arial"/>
                <w:sz w:val="14"/>
                <w:szCs w:val="14"/>
                <w:color w:val="auto"/>
              </w:rPr>
              <w:t>Natural gas operations</w:t>
            </w:r>
          </w:p>
        </w:tc>
        <w:tc>
          <w:tcPr>
            <w:tcW w:w="280" w:type="dxa"/>
            <w:vAlign w:val="bottom"/>
          </w:tcPr>
          <w:p>
            <w:pPr>
              <w:jc w:val="right"/>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29"/>
              <w:spacing w:after="0"/>
              <w:rPr>
                <w:sz w:val="20"/>
                <w:szCs w:val="20"/>
                <w:color w:val="auto"/>
              </w:rPr>
            </w:pPr>
            <w:r>
              <w:rPr>
                <w:rFonts w:ascii="Arial" w:cs="Arial" w:eastAsia="Arial" w:hAnsi="Arial"/>
                <w:sz w:val="14"/>
                <w:szCs w:val="14"/>
                <w:color w:val="auto"/>
              </w:rPr>
              <w:t>1.1</w:t>
            </w:r>
          </w:p>
        </w:tc>
        <w:tc>
          <w:tcPr>
            <w:tcW w:w="400" w:type="dxa"/>
            <w:vAlign w:val="bottom"/>
          </w:tcPr>
          <w:p>
            <w:pPr>
              <w:jc w:val="right"/>
              <w:ind w:right="151"/>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Arial" w:cs="Arial" w:eastAsia="Arial" w:hAnsi="Arial"/>
                <w:sz w:val="14"/>
                <w:szCs w:val="14"/>
                <w:color w:val="auto"/>
              </w:rPr>
              <w:t>1.1</w:t>
            </w:r>
          </w:p>
        </w:tc>
        <w:tc>
          <w:tcPr>
            <w:tcW w:w="1020" w:type="dxa"/>
            <w:vAlign w:val="bottom"/>
            <w:gridSpan w:val="2"/>
          </w:tcPr>
          <w:p>
            <w:pPr>
              <w:ind w:left="540"/>
              <w:spacing w:after="0"/>
              <w:rPr>
                <w:sz w:val="20"/>
                <w:szCs w:val="20"/>
                <w:color w:val="auto"/>
              </w:rPr>
            </w:pPr>
            <w:r>
              <w:rPr>
                <w:rFonts w:ascii="Arial" w:cs="Arial" w:eastAsia="Arial" w:hAnsi="Arial"/>
                <w:sz w:val="14"/>
                <w:szCs w:val="14"/>
                <w:color w:val="auto"/>
              </w:rPr>
              <w:t>2.80 %</w:t>
            </w:r>
          </w:p>
        </w:tc>
        <w:tc>
          <w:tcPr>
            <w:tcW w:w="1300" w:type="dxa"/>
            <w:vAlign w:val="bottom"/>
          </w:tcPr>
          <w:p>
            <w:pPr>
              <w:ind w:left="420"/>
              <w:spacing w:after="0"/>
              <w:rPr>
                <w:sz w:val="20"/>
                <w:szCs w:val="20"/>
                <w:color w:val="auto"/>
              </w:rPr>
            </w:pPr>
            <w:r>
              <w:rPr>
                <w:rFonts w:ascii="Arial" w:cs="Arial" w:eastAsia="Arial" w:hAnsi="Arial"/>
                <w:sz w:val="14"/>
                <w:szCs w:val="14"/>
                <w:color w:val="auto"/>
              </w:rPr>
              <w:t>3.43 %</w:t>
            </w:r>
          </w:p>
        </w:tc>
        <w:tc>
          <w:tcPr>
            <w:tcW w:w="620" w:type="dxa"/>
            <w:vAlign w:val="bottom"/>
          </w:tcPr>
          <w:p>
            <w:pPr>
              <w:ind w:left="20"/>
              <w:spacing w:after="0"/>
              <w:rPr>
                <w:sz w:val="20"/>
                <w:szCs w:val="20"/>
                <w:color w:val="auto"/>
              </w:rPr>
            </w:pPr>
            <w:r>
              <w:rPr>
                <w:rFonts w:ascii="Arial" w:cs="Arial" w:eastAsia="Arial" w:hAnsi="Arial"/>
                <w:sz w:val="14"/>
                <w:szCs w:val="14"/>
                <w:color w:val="auto"/>
              </w:rPr>
              <w:t>3.42 %</w:t>
            </w:r>
          </w:p>
        </w:tc>
      </w:tr>
      <w:tr>
        <w:trPr>
          <w:trHeight w:val="216"/>
        </w:trPr>
        <w:tc>
          <w:tcPr>
            <w:tcW w:w="3180" w:type="dxa"/>
            <w:vAlign w:val="bottom"/>
          </w:tcPr>
          <w:p>
            <w:pPr>
              <w:ind w:left="160"/>
              <w:spacing w:after="0"/>
              <w:rPr>
                <w:sz w:val="20"/>
                <w:szCs w:val="20"/>
                <w:color w:val="auto"/>
              </w:rPr>
            </w:pPr>
            <w:r>
              <w:rPr>
                <w:rFonts w:ascii="Arial" w:cs="Arial" w:eastAsia="Arial" w:hAnsi="Arial"/>
                <w:sz w:val="14"/>
                <w:szCs w:val="14"/>
                <w:color w:val="auto"/>
              </w:rPr>
              <w:t>Electric distribution</w:t>
            </w:r>
          </w:p>
        </w:tc>
        <w:tc>
          <w:tcPr>
            <w:tcW w:w="280" w:type="dxa"/>
            <w:vAlign w:val="bottom"/>
          </w:tcPr>
          <w:p>
            <w:pPr>
              <w:spacing w:after="0"/>
              <w:rPr>
                <w:sz w:val="18"/>
                <w:szCs w:val="18"/>
                <w:color w:val="auto"/>
              </w:rPr>
            </w:pPr>
          </w:p>
        </w:tc>
        <w:tc>
          <w:tcPr>
            <w:tcW w:w="640" w:type="dxa"/>
            <w:vAlign w:val="bottom"/>
          </w:tcPr>
          <w:p>
            <w:pPr>
              <w:jc w:val="right"/>
              <w:ind w:right="29"/>
              <w:spacing w:after="0"/>
              <w:rPr>
                <w:sz w:val="20"/>
                <w:szCs w:val="20"/>
                <w:color w:val="auto"/>
              </w:rPr>
            </w:pPr>
            <w:r>
              <w:rPr>
                <w:rFonts w:ascii="Arial" w:cs="Arial" w:eastAsia="Arial" w:hAnsi="Arial"/>
                <w:sz w:val="14"/>
                <w:szCs w:val="14"/>
                <w:color w:val="auto"/>
              </w:rPr>
              <w:t>4.2</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Arial" w:cs="Arial" w:eastAsia="Arial" w:hAnsi="Arial"/>
                <w:sz w:val="14"/>
                <w:szCs w:val="14"/>
                <w:color w:val="auto"/>
              </w:rPr>
              <w:t>4.0</w:t>
            </w:r>
          </w:p>
        </w:tc>
        <w:tc>
          <w:tcPr>
            <w:tcW w:w="1020" w:type="dxa"/>
            <w:vAlign w:val="bottom"/>
            <w:gridSpan w:val="2"/>
          </w:tcPr>
          <w:p>
            <w:pPr>
              <w:ind w:left="540"/>
              <w:spacing w:after="0"/>
              <w:rPr>
                <w:sz w:val="20"/>
                <w:szCs w:val="20"/>
                <w:color w:val="auto"/>
              </w:rPr>
            </w:pPr>
            <w:r>
              <w:rPr>
                <w:rFonts w:ascii="Arial" w:cs="Arial" w:eastAsia="Arial" w:hAnsi="Arial"/>
                <w:sz w:val="14"/>
                <w:szCs w:val="14"/>
                <w:color w:val="auto"/>
              </w:rPr>
              <w:t>3.95</w:t>
            </w:r>
          </w:p>
        </w:tc>
        <w:tc>
          <w:tcPr>
            <w:tcW w:w="1300" w:type="dxa"/>
            <w:vAlign w:val="bottom"/>
          </w:tcPr>
          <w:p>
            <w:pPr>
              <w:ind w:left="420"/>
              <w:spacing w:after="0"/>
              <w:rPr>
                <w:sz w:val="20"/>
                <w:szCs w:val="20"/>
                <w:color w:val="auto"/>
              </w:rPr>
            </w:pPr>
            <w:r>
              <w:rPr>
                <w:rFonts w:ascii="Arial" w:cs="Arial" w:eastAsia="Arial" w:hAnsi="Arial"/>
                <w:sz w:val="14"/>
                <w:szCs w:val="14"/>
                <w:color w:val="auto"/>
              </w:rPr>
              <w:t>4.15</w:t>
            </w:r>
          </w:p>
        </w:tc>
        <w:tc>
          <w:tcPr>
            <w:tcW w:w="620" w:type="dxa"/>
            <w:vAlign w:val="bottom"/>
          </w:tcPr>
          <w:p>
            <w:pPr>
              <w:ind w:left="20"/>
              <w:spacing w:after="0"/>
              <w:rPr>
                <w:sz w:val="20"/>
                <w:szCs w:val="20"/>
                <w:color w:val="auto"/>
              </w:rPr>
            </w:pPr>
            <w:r>
              <w:rPr>
                <w:rFonts w:ascii="Arial" w:cs="Arial" w:eastAsia="Arial" w:hAnsi="Arial"/>
                <w:sz w:val="14"/>
                <w:szCs w:val="14"/>
                <w:color w:val="auto"/>
              </w:rPr>
              <w:t>4.13</w:t>
            </w:r>
          </w:p>
        </w:tc>
      </w:tr>
      <w:tr>
        <w:trPr>
          <w:trHeight w:val="216"/>
        </w:trPr>
        <w:tc>
          <w:tcPr>
            <w:tcW w:w="3180" w:type="dxa"/>
            <w:vAlign w:val="bottom"/>
          </w:tcPr>
          <w:p>
            <w:pPr>
              <w:ind w:left="160"/>
              <w:spacing w:after="0"/>
              <w:rPr>
                <w:sz w:val="20"/>
                <w:szCs w:val="20"/>
                <w:color w:val="auto"/>
              </w:rPr>
            </w:pPr>
            <w:r>
              <w:rPr>
                <w:rFonts w:ascii="Arial" w:cs="Arial" w:eastAsia="Arial" w:hAnsi="Arial"/>
                <w:sz w:val="14"/>
                <w:szCs w:val="14"/>
                <w:color w:val="auto"/>
              </w:rPr>
              <w:t>Electric transmission</w:t>
            </w:r>
          </w:p>
        </w:tc>
        <w:tc>
          <w:tcPr>
            <w:tcW w:w="280" w:type="dxa"/>
            <w:vAlign w:val="bottom"/>
          </w:tcPr>
          <w:p>
            <w:pPr>
              <w:spacing w:after="0"/>
              <w:rPr>
                <w:sz w:val="18"/>
                <w:szCs w:val="18"/>
                <w:color w:val="auto"/>
              </w:rPr>
            </w:pPr>
          </w:p>
        </w:tc>
        <w:tc>
          <w:tcPr>
            <w:tcW w:w="640" w:type="dxa"/>
            <w:vAlign w:val="bottom"/>
          </w:tcPr>
          <w:p>
            <w:pPr>
              <w:jc w:val="right"/>
              <w:ind w:right="29"/>
              <w:spacing w:after="0"/>
              <w:rPr>
                <w:sz w:val="20"/>
                <w:szCs w:val="20"/>
                <w:color w:val="auto"/>
              </w:rPr>
            </w:pPr>
            <w:r>
              <w:rPr>
                <w:rFonts w:ascii="Arial" w:cs="Arial" w:eastAsia="Arial" w:hAnsi="Arial"/>
                <w:sz w:val="14"/>
                <w:szCs w:val="14"/>
                <w:color w:val="auto"/>
              </w:rPr>
              <w:t>1.5</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Arial" w:cs="Arial" w:eastAsia="Arial" w:hAnsi="Arial"/>
                <w:sz w:val="14"/>
                <w:szCs w:val="14"/>
                <w:color w:val="auto"/>
              </w:rPr>
              <w:t>1.4</w:t>
            </w:r>
          </w:p>
        </w:tc>
        <w:tc>
          <w:tcPr>
            <w:tcW w:w="1020" w:type="dxa"/>
            <w:vAlign w:val="bottom"/>
            <w:gridSpan w:val="2"/>
          </w:tcPr>
          <w:p>
            <w:pPr>
              <w:ind w:left="540"/>
              <w:spacing w:after="0"/>
              <w:rPr>
                <w:sz w:val="20"/>
                <w:szCs w:val="20"/>
                <w:color w:val="auto"/>
              </w:rPr>
            </w:pPr>
            <w:r>
              <w:rPr>
                <w:rFonts w:ascii="Arial" w:cs="Arial" w:eastAsia="Arial" w:hAnsi="Arial"/>
                <w:sz w:val="14"/>
                <w:szCs w:val="14"/>
                <w:color w:val="auto"/>
              </w:rPr>
              <w:t>2.67</w:t>
            </w:r>
          </w:p>
        </w:tc>
        <w:tc>
          <w:tcPr>
            <w:tcW w:w="1300" w:type="dxa"/>
            <w:vAlign w:val="bottom"/>
          </w:tcPr>
          <w:p>
            <w:pPr>
              <w:ind w:left="420"/>
              <w:spacing w:after="0"/>
              <w:rPr>
                <w:sz w:val="20"/>
                <w:szCs w:val="20"/>
                <w:color w:val="auto"/>
              </w:rPr>
            </w:pPr>
            <w:r>
              <w:rPr>
                <w:rFonts w:ascii="Arial" w:cs="Arial" w:eastAsia="Arial" w:hAnsi="Arial"/>
                <w:sz w:val="14"/>
                <w:szCs w:val="14"/>
                <w:color w:val="auto"/>
              </w:rPr>
              <w:t>2.84</w:t>
            </w:r>
          </w:p>
        </w:tc>
        <w:tc>
          <w:tcPr>
            <w:tcW w:w="620" w:type="dxa"/>
            <w:vAlign w:val="bottom"/>
          </w:tcPr>
          <w:p>
            <w:pPr>
              <w:ind w:left="20"/>
              <w:spacing w:after="0"/>
              <w:rPr>
                <w:sz w:val="20"/>
                <w:szCs w:val="20"/>
                <w:color w:val="auto"/>
              </w:rPr>
            </w:pPr>
            <w:r>
              <w:rPr>
                <w:rFonts w:ascii="Arial" w:cs="Arial" w:eastAsia="Arial" w:hAnsi="Arial"/>
                <w:sz w:val="14"/>
                <w:szCs w:val="14"/>
                <w:color w:val="auto"/>
              </w:rPr>
              <w:t>3.07</w:t>
            </w:r>
          </w:p>
        </w:tc>
      </w:tr>
      <w:tr>
        <w:trPr>
          <w:trHeight w:val="216"/>
        </w:trPr>
        <w:tc>
          <w:tcPr>
            <w:tcW w:w="3180" w:type="dxa"/>
            <w:vAlign w:val="bottom"/>
          </w:tcPr>
          <w:p>
            <w:pPr>
              <w:ind w:left="160"/>
              <w:spacing w:after="0"/>
              <w:rPr>
                <w:sz w:val="20"/>
                <w:szCs w:val="20"/>
                <w:color w:val="auto"/>
              </w:rPr>
            </w:pPr>
            <w:r>
              <w:rPr>
                <w:rFonts w:ascii="Arial" w:cs="Arial" w:eastAsia="Arial" w:hAnsi="Arial"/>
                <w:sz w:val="14"/>
                <w:szCs w:val="14"/>
                <w:color w:val="auto"/>
              </w:rPr>
              <w:t>Electric generation</w:t>
            </w:r>
          </w:p>
        </w:tc>
        <w:tc>
          <w:tcPr>
            <w:tcW w:w="280" w:type="dxa"/>
            <w:vAlign w:val="bottom"/>
          </w:tcPr>
          <w:p>
            <w:pPr>
              <w:spacing w:after="0"/>
              <w:rPr>
                <w:sz w:val="18"/>
                <w:szCs w:val="18"/>
                <w:color w:val="auto"/>
              </w:rPr>
            </w:pPr>
          </w:p>
        </w:tc>
        <w:tc>
          <w:tcPr>
            <w:tcW w:w="640" w:type="dxa"/>
            <w:vAlign w:val="bottom"/>
          </w:tcPr>
          <w:p>
            <w:pPr>
              <w:jc w:val="right"/>
              <w:ind w:right="29"/>
              <w:spacing w:after="0"/>
              <w:rPr>
                <w:sz w:val="20"/>
                <w:szCs w:val="20"/>
                <w:color w:val="auto"/>
              </w:rPr>
            </w:pPr>
            <w:r>
              <w:rPr>
                <w:rFonts w:ascii="Arial" w:cs="Arial" w:eastAsia="Arial" w:hAnsi="Arial"/>
                <w:sz w:val="14"/>
                <w:szCs w:val="14"/>
                <w:color w:val="auto"/>
              </w:rPr>
              <w:t>0.9</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Arial" w:cs="Arial" w:eastAsia="Arial" w:hAnsi="Arial"/>
                <w:sz w:val="14"/>
                <w:szCs w:val="14"/>
                <w:color w:val="auto"/>
              </w:rPr>
              <w:t>0.8</w:t>
            </w:r>
          </w:p>
        </w:tc>
        <w:tc>
          <w:tcPr>
            <w:tcW w:w="1020" w:type="dxa"/>
            <w:vAlign w:val="bottom"/>
            <w:gridSpan w:val="2"/>
          </w:tcPr>
          <w:p>
            <w:pPr>
              <w:ind w:left="540"/>
              <w:spacing w:after="0"/>
              <w:rPr>
                <w:sz w:val="20"/>
                <w:szCs w:val="20"/>
                <w:color w:val="auto"/>
              </w:rPr>
            </w:pPr>
            <w:r>
              <w:rPr>
                <w:rFonts w:ascii="Arial" w:cs="Arial" w:eastAsia="Arial" w:hAnsi="Arial"/>
                <w:sz w:val="14"/>
                <w:szCs w:val="14"/>
                <w:color w:val="auto"/>
              </w:rPr>
              <w:t>3.77</w:t>
            </w:r>
          </w:p>
        </w:tc>
        <w:tc>
          <w:tcPr>
            <w:tcW w:w="1300" w:type="dxa"/>
            <w:vAlign w:val="bottom"/>
          </w:tcPr>
          <w:p>
            <w:pPr>
              <w:ind w:left="420"/>
              <w:spacing w:after="0"/>
              <w:rPr>
                <w:sz w:val="20"/>
                <w:szCs w:val="20"/>
                <w:color w:val="auto"/>
              </w:rPr>
            </w:pPr>
            <w:r>
              <w:rPr>
                <w:rFonts w:ascii="Arial" w:cs="Arial" w:eastAsia="Arial" w:hAnsi="Arial"/>
                <w:sz w:val="14"/>
                <w:szCs w:val="14"/>
                <w:color w:val="auto"/>
              </w:rPr>
              <w:t>3.67</w:t>
            </w:r>
          </w:p>
        </w:tc>
        <w:tc>
          <w:tcPr>
            <w:tcW w:w="620" w:type="dxa"/>
            <w:vAlign w:val="bottom"/>
          </w:tcPr>
          <w:p>
            <w:pPr>
              <w:ind w:left="20"/>
              <w:spacing w:after="0"/>
              <w:rPr>
                <w:sz w:val="20"/>
                <w:szCs w:val="20"/>
                <w:color w:val="auto"/>
              </w:rPr>
            </w:pPr>
            <w:r>
              <w:rPr>
                <w:rFonts w:ascii="Arial" w:cs="Arial" w:eastAsia="Arial" w:hAnsi="Arial"/>
                <w:sz w:val="14"/>
                <w:szCs w:val="14"/>
                <w:color w:val="auto"/>
              </w:rPr>
              <w:t>4.44</w:t>
            </w:r>
          </w:p>
        </w:tc>
      </w:tr>
      <w:tr>
        <w:trPr>
          <w:trHeight w:val="216"/>
        </w:trPr>
        <w:tc>
          <w:tcPr>
            <w:tcW w:w="3180" w:type="dxa"/>
            <w:vAlign w:val="bottom"/>
          </w:tcPr>
          <w:p>
            <w:pPr>
              <w:ind w:left="160"/>
              <w:spacing w:after="0"/>
              <w:rPr>
                <w:sz w:val="20"/>
                <w:szCs w:val="20"/>
                <w:color w:val="auto"/>
              </w:rPr>
            </w:pPr>
            <w:r>
              <w:rPr>
                <w:rFonts w:ascii="Arial" w:cs="Arial" w:eastAsia="Arial" w:hAnsi="Arial"/>
                <w:sz w:val="14"/>
                <w:szCs w:val="14"/>
                <w:color w:val="auto"/>
              </w:rPr>
              <w:t>Other electric</w:t>
            </w:r>
          </w:p>
        </w:tc>
        <w:tc>
          <w:tcPr>
            <w:tcW w:w="280" w:type="dxa"/>
            <w:vAlign w:val="bottom"/>
          </w:tcPr>
          <w:p>
            <w:pPr>
              <w:spacing w:after="0"/>
              <w:rPr>
                <w:sz w:val="18"/>
                <w:szCs w:val="18"/>
                <w:color w:val="auto"/>
              </w:rPr>
            </w:pPr>
          </w:p>
        </w:tc>
        <w:tc>
          <w:tcPr>
            <w:tcW w:w="640" w:type="dxa"/>
            <w:vAlign w:val="bottom"/>
          </w:tcPr>
          <w:p>
            <w:pPr>
              <w:jc w:val="right"/>
              <w:ind w:right="29"/>
              <w:spacing w:after="0"/>
              <w:rPr>
                <w:sz w:val="20"/>
                <w:szCs w:val="20"/>
                <w:color w:val="auto"/>
              </w:rPr>
            </w:pPr>
            <w:r>
              <w:rPr>
                <w:rFonts w:ascii="Arial" w:cs="Arial" w:eastAsia="Arial" w:hAnsi="Arial"/>
                <w:sz w:val="14"/>
                <w:szCs w:val="14"/>
                <w:color w:val="auto"/>
              </w:rPr>
              <w:t>0.5</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Arial" w:cs="Arial" w:eastAsia="Arial" w:hAnsi="Arial"/>
                <w:sz w:val="14"/>
                <w:szCs w:val="14"/>
                <w:color w:val="auto"/>
              </w:rPr>
              <w:t>0.5</w:t>
            </w:r>
          </w:p>
        </w:tc>
        <w:tc>
          <w:tcPr>
            <w:tcW w:w="1020" w:type="dxa"/>
            <w:vAlign w:val="bottom"/>
            <w:gridSpan w:val="2"/>
          </w:tcPr>
          <w:p>
            <w:pPr>
              <w:ind w:left="540"/>
              <w:spacing w:after="0"/>
              <w:rPr>
                <w:sz w:val="20"/>
                <w:szCs w:val="20"/>
                <w:color w:val="auto"/>
              </w:rPr>
            </w:pPr>
            <w:r>
              <w:rPr>
                <w:rFonts w:ascii="Arial" w:cs="Arial" w:eastAsia="Arial" w:hAnsi="Arial"/>
                <w:sz w:val="14"/>
                <w:szCs w:val="14"/>
                <w:color w:val="auto"/>
              </w:rPr>
              <w:t>8.13</w:t>
            </w:r>
          </w:p>
        </w:tc>
        <w:tc>
          <w:tcPr>
            <w:tcW w:w="1300" w:type="dxa"/>
            <w:vAlign w:val="bottom"/>
          </w:tcPr>
          <w:p>
            <w:pPr>
              <w:ind w:left="420"/>
              <w:spacing w:after="0"/>
              <w:rPr>
                <w:sz w:val="20"/>
                <w:szCs w:val="20"/>
                <w:color w:val="auto"/>
              </w:rPr>
            </w:pPr>
            <w:r>
              <w:rPr>
                <w:rFonts w:ascii="Arial" w:cs="Arial" w:eastAsia="Arial" w:hAnsi="Arial"/>
                <w:sz w:val="14"/>
                <w:szCs w:val="14"/>
                <w:color w:val="auto"/>
              </w:rPr>
              <w:t>8.50</w:t>
            </w:r>
          </w:p>
        </w:tc>
        <w:tc>
          <w:tcPr>
            <w:tcW w:w="620" w:type="dxa"/>
            <w:vAlign w:val="bottom"/>
          </w:tcPr>
          <w:p>
            <w:pPr>
              <w:ind w:left="20"/>
              <w:spacing w:after="0"/>
              <w:rPr>
                <w:sz w:val="20"/>
                <w:szCs w:val="20"/>
                <w:color w:val="auto"/>
              </w:rPr>
            </w:pPr>
            <w:r>
              <w:rPr>
                <w:rFonts w:ascii="Arial" w:cs="Arial" w:eastAsia="Arial" w:hAnsi="Arial"/>
                <w:sz w:val="14"/>
                <w:szCs w:val="14"/>
                <w:color w:val="auto"/>
              </w:rPr>
              <w:t>8.70</w:t>
            </w:r>
          </w:p>
        </w:tc>
      </w:tr>
      <w:tr>
        <w:trPr>
          <w:trHeight w:val="222"/>
        </w:trPr>
        <w:tc>
          <w:tcPr>
            <w:tcW w:w="3180" w:type="dxa"/>
            <w:vAlign w:val="bottom"/>
          </w:tcPr>
          <w:p>
            <w:pPr>
              <w:ind w:left="160"/>
              <w:spacing w:after="0"/>
              <w:rPr>
                <w:sz w:val="20"/>
                <w:szCs w:val="20"/>
                <w:color w:val="auto"/>
              </w:rPr>
            </w:pPr>
            <w:r>
              <w:rPr>
                <w:rFonts w:ascii="Arial" w:cs="Arial" w:eastAsia="Arial" w:hAnsi="Arial"/>
                <w:sz w:val="14"/>
                <w:szCs w:val="14"/>
                <w:color w:val="auto"/>
              </w:rPr>
              <w:t>Construction work in progress</w:t>
            </w:r>
          </w:p>
        </w:tc>
        <w:tc>
          <w:tcPr>
            <w:tcW w:w="2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0.9</w:t>
            </w:r>
          </w:p>
        </w:tc>
        <w:tc>
          <w:tcPr>
            <w:tcW w:w="4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0.5</w:t>
            </w:r>
          </w:p>
        </w:tc>
        <w:tc>
          <w:tcPr>
            <w:tcW w:w="200" w:type="dxa"/>
            <w:vAlign w:val="bottom"/>
          </w:tcPr>
          <w:p>
            <w:pPr>
              <w:spacing w:after="0"/>
              <w:rPr>
                <w:sz w:val="19"/>
                <w:szCs w:val="19"/>
                <w:color w:val="auto"/>
              </w:rPr>
            </w:pPr>
          </w:p>
        </w:tc>
        <w:tc>
          <w:tcPr>
            <w:tcW w:w="820" w:type="dxa"/>
            <w:vAlign w:val="bottom"/>
          </w:tcPr>
          <w:p>
            <w:pPr>
              <w:ind w:left="420"/>
              <w:spacing w:after="0"/>
              <w:rPr>
                <w:sz w:val="20"/>
                <w:szCs w:val="20"/>
                <w:color w:val="auto"/>
              </w:rPr>
            </w:pPr>
            <w:r>
              <w:rPr>
                <w:rFonts w:ascii="Arial" w:cs="Arial" w:eastAsia="Arial" w:hAnsi="Arial"/>
                <w:sz w:val="14"/>
                <w:szCs w:val="14"/>
                <w:color w:val="auto"/>
              </w:rPr>
              <w:t>NA</w:t>
            </w:r>
          </w:p>
        </w:tc>
        <w:tc>
          <w:tcPr>
            <w:tcW w:w="1300" w:type="dxa"/>
            <w:vAlign w:val="bottom"/>
          </w:tcPr>
          <w:p>
            <w:pPr>
              <w:jc w:val="center"/>
              <w:ind w:right="29"/>
              <w:spacing w:after="0"/>
              <w:rPr>
                <w:sz w:val="20"/>
                <w:szCs w:val="20"/>
                <w:color w:val="auto"/>
              </w:rPr>
            </w:pPr>
            <w:r>
              <w:rPr>
                <w:rFonts w:ascii="Arial" w:cs="Arial" w:eastAsia="Arial" w:hAnsi="Arial"/>
                <w:sz w:val="14"/>
                <w:szCs w:val="14"/>
                <w:color w:val="auto"/>
              </w:rPr>
              <w:t>NA</w:t>
            </w:r>
          </w:p>
        </w:tc>
        <w:tc>
          <w:tcPr>
            <w:tcW w:w="620" w:type="dxa"/>
            <w:vAlign w:val="bottom"/>
          </w:tcPr>
          <w:p>
            <w:pPr>
              <w:jc w:val="center"/>
              <w:ind w:right="149"/>
              <w:spacing w:after="0"/>
              <w:rPr>
                <w:sz w:val="20"/>
                <w:szCs w:val="20"/>
                <w:color w:val="auto"/>
              </w:rPr>
            </w:pPr>
            <w:r>
              <w:rPr>
                <w:rFonts w:ascii="Arial" w:cs="Arial" w:eastAsia="Arial" w:hAnsi="Arial"/>
                <w:sz w:val="14"/>
                <w:szCs w:val="14"/>
                <w:color w:val="auto"/>
              </w:rPr>
              <w:t>NA</w:t>
            </w:r>
          </w:p>
        </w:tc>
      </w:tr>
      <w:tr>
        <w:trPr>
          <w:trHeight w:val="208"/>
        </w:trPr>
        <w:tc>
          <w:tcPr>
            <w:tcW w:w="3180" w:type="dxa"/>
            <w:vAlign w:val="bottom"/>
          </w:tcPr>
          <w:p>
            <w:pPr>
              <w:ind w:left="340"/>
              <w:spacing w:after="0"/>
              <w:rPr>
                <w:sz w:val="20"/>
                <w:szCs w:val="20"/>
                <w:color w:val="auto"/>
              </w:rPr>
            </w:pPr>
            <w:r>
              <w:rPr>
                <w:rFonts w:ascii="Arial" w:cs="Arial" w:eastAsia="Arial" w:hAnsi="Arial"/>
                <w:sz w:val="14"/>
                <w:szCs w:val="14"/>
                <w:color w:val="auto"/>
              </w:rPr>
              <w:t>Total SDG&amp;E</w:t>
            </w:r>
          </w:p>
        </w:tc>
        <w:tc>
          <w:tcPr>
            <w:tcW w:w="2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9.1</w:t>
            </w:r>
          </w:p>
        </w:tc>
        <w:tc>
          <w:tcPr>
            <w:tcW w:w="4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8.3</w:t>
            </w: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620" w:type="dxa"/>
            <w:vAlign w:val="bottom"/>
          </w:tcPr>
          <w:p>
            <w:pPr>
              <w:spacing w:after="0"/>
              <w:rPr>
                <w:sz w:val="18"/>
                <w:szCs w:val="18"/>
                <w:color w:val="auto"/>
              </w:rPr>
            </w:pPr>
          </w:p>
        </w:tc>
      </w:tr>
      <w:tr>
        <w:trPr>
          <w:trHeight w:val="418"/>
        </w:trPr>
        <w:tc>
          <w:tcPr>
            <w:tcW w:w="3180" w:type="dxa"/>
            <w:vAlign w:val="bottom"/>
          </w:tcPr>
          <w:p>
            <w:pPr>
              <w:spacing w:after="0"/>
              <w:rPr>
                <w:sz w:val="20"/>
                <w:szCs w:val="20"/>
                <w:color w:val="auto"/>
              </w:rPr>
            </w:pPr>
            <w:r>
              <w:rPr>
                <w:rFonts w:ascii="Arial" w:cs="Arial" w:eastAsia="Arial" w:hAnsi="Arial"/>
                <w:sz w:val="14"/>
                <w:szCs w:val="14"/>
                <w:b w:val="1"/>
                <w:bCs w:val="1"/>
                <w:color w:val="auto"/>
              </w:rPr>
              <w:t>SoCalGas:</w:t>
            </w: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216"/>
        </w:trPr>
        <w:tc>
          <w:tcPr>
            <w:tcW w:w="3180" w:type="dxa"/>
            <w:vAlign w:val="bottom"/>
          </w:tcPr>
          <w:p>
            <w:pPr>
              <w:ind w:left="160"/>
              <w:spacing w:after="0"/>
              <w:rPr>
                <w:sz w:val="20"/>
                <w:szCs w:val="20"/>
                <w:color w:val="auto"/>
              </w:rPr>
            </w:pPr>
            <w:r>
              <w:rPr>
                <w:rFonts w:ascii="Arial" w:cs="Arial" w:eastAsia="Arial" w:hAnsi="Arial"/>
                <w:sz w:val="14"/>
                <w:szCs w:val="14"/>
                <w:color w:val="auto"/>
              </w:rPr>
              <w:t>Natural gas operations</w:t>
            </w:r>
          </w:p>
        </w:tc>
        <w:tc>
          <w:tcPr>
            <w:tcW w:w="280" w:type="dxa"/>
            <w:vAlign w:val="bottom"/>
          </w:tcPr>
          <w:p>
            <w:pPr>
              <w:spacing w:after="0"/>
              <w:rPr>
                <w:sz w:val="18"/>
                <w:szCs w:val="18"/>
                <w:color w:val="auto"/>
              </w:rPr>
            </w:pPr>
          </w:p>
        </w:tc>
        <w:tc>
          <w:tcPr>
            <w:tcW w:w="640" w:type="dxa"/>
            <w:vAlign w:val="bottom"/>
          </w:tcPr>
          <w:p>
            <w:pPr>
              <w:jc w:val="right"/>
              <w:ind w:right="29"/>
              <w:spacing w:after="0"/>
              <w:rPr>
                <w:sz w:val="20"/>
                <w:szCs w:val="20"/>
                <w:color w:val="auto"/>
              </w:rPr>
            </w:pPr>
            <w:r>
              <w:rPr>
                <w:rFonts w:ascii="Arial" w:cs="Arial" w:eastAsia="Arial" w:hAnsi="Arial"/>
                <w:sz w:val="14"/>
                <w:szCs w:val="14"/>
                <w:color w:val="auto"/>
              </w:rPr>
              <w:t>8.5</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Arial" w:cs="Arial" w:eastAsia="Arial" w:hAnsi="Arial"/>
                <w:sz w:val="14"/>
                <w:szCs w:val="14"/>
                <w:color w:val="auto"/>
              </w:rPr>
              <w:t>8.2</w:t>
            </w:r>
          </w:p>
        </w:tc>
        <w:tc>
          <w:tcPr>
            <w:tcW w:w="1020" w:type="dxa"/>
            <w:vAlign w:val="bottom"/>
            <w:gridSpan w:val="2"/>
          </w:tcPr>
          <w:p>
            <w:pPr>
              <w:ind w:left="540"/>
              <w:spacing w:after="0"/>
              <w:rPr>
                <w:sz w:val="20"/>
                <w:szCs w:val="20"/>
                <w:color w:val="auto"/>
              </w:rPr>
            </w:pPr>
            <w:r>
              <w:rPr>
                <w:rFonts w:ascii="Arial" w:cs="Arial" w:eastAsia="Arial" w:hAnsi="Arial"/>
                <w:sz w:val="14"/>
                <w:szCs w:val="14"/>
                <w:color w:val="auto"/>
              </w:rPr>
              <w:t>3.49</w:t>
            </w:r>
          </w:p>
        </w:tc>
        <w:tc>
          <w:tcPr>
            <w:tcW w:w="1300" w:type="dxa"/>
            <w:vAlign w:val="bottom"/>
          </w:tcPr>
          <w:p>
            <w:pPr>
              <w:ind w:left="420"/>
              <w:spacing w:after="0"/>
              <w:rPr>
                <w:sz w:val="20"/>
                <w:szCs w:val="20"/>
                <w:color w:val="auto"/>
              </w:rPr>
            </w:pPr>
            <w:r>
              <w:rPr>
                <w:rFonts w:ascii="Arial" w:cs="Arial" w:eastAsia="Arial" w:hAnsi="Arial"/>
                <w:sz w:val="14"/>
                <w:szCs w:val="14"/>
                <w:color w:val="auto"/>
              </w:rPr>
              <w:t>3.63</w:t>
            </w:r>
          </w:p>
        </w:tc>
        <w:tc>
          <w:tcPr>
            <w:tcW w:w="620" w:type="dxa"/>
            <w:vAlign w:val="bottom"/>
          </w:tcPr>
          <w:p>
            <w:pPr>
              <w:ind w:left="20"/>
              <w:spacing w:after="0"/>
              <w:rPr>
                <w:sz w:val="20"/>
                <w:szCs w:val="20"/>
                <w:color w:val="auto"/>
              </w:rPr>
            </w:pPr>
            <w:r>
              <w:rPr>
                <w:rFonts w:ascii="Arial" w:cs="Arial" w:eastAsia="Arial" w:hAnsi="Arial"/>
                <w:sz w:val="14"/>
                <w:szCs w:val="14"/>
                <w:color w:val="auto"/>
              </w:rPr>
              <w:t>3.58</w:t>
            </w:r>
          </w:p>
        </w:tc>
      </w:tr>
      <w:tr>
        <w:trPr>
          <w:trHeight w:val="216"/>
        </w:trPr>
        <w:tc>
          <w:tcPr>
            <w:tcW w:w="3180" w:type="dxa"/>
            <w:vAlign w:val="bottom"/>
          </w:tcPr>
          <w:p>
            <w:pPr>
              <w:ind w:left="160"/>
              <w:spacing w:after="0"/>
              <w:rPr>
                <w:sz w:val="20"/>
                <w:szCs w:val="20"/>
                <w:color w:val="auto"/>
              </w:rPr>
            </w:pPr>
            <w:r>
              <w:rPr>
                <w:rFonts w:ascii="Arial" w:cs="Arial" w:eastAsia="Arial" w:hAnsi="Arial"/>
                <w:sz w:val="14"/>
                <w:szCs w:val="14"/>
                <w:color w:val="auto"/>
              </w:rPr>
              <w:t>Other non-utility</w:t>
            </w:r>
          </w:p>
        </w:tc>
        <w:tc>
          <w:tcPr>
            <w:tcW w:w="280" w:type="dxa"/>
            <w:vAlign w:val="bottom"/>
          </w:tcPr>
          <w:p>
            <w:pPr>
              <w:spacing w:after="0"/>
              <w:rPr>
                <w:sz w:val="18"/>
                <w:szCs w:val="18"/>
                <w:color w:val="auto"/>
              </w:rPr>
            </w:pPr>
          </w:p>
        </w:tc>
        <w:tc>
          <w:tcPr>
            <w:tcW w:w="640" w:type="dxa"/>
            <w:vAlign w:val="bottom"/>
          </w:tcPr>
          <w:p>
            <w:pPr>
              <w:jc w:val="right"/>
              <w:ind w:right="29"/>
              <w:spacing w:after="0"/>
              <w:rPr>
                <w:sz w:val="20"/>
                <w:szCs w:val="20"/>
                <w:color w:val="auto"/>
              </w:rPr>
            </w:pPr>
            <w:r>
              <w:rPr>
                <w:rFonts w:ascii="Arial" w:cs="Arial" w:eastAsia="Arial" w:hAnsi="Arial"/>
                <w:sz w:val="14"/>
                <w:szCs w:val="14"/>
                <w:color w:val="auto"/>
              </w:rPr>
              <w:t>0.1</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1020" w:type="dxa"/>
            <w:vAlign w:val="bottom"/>
            <w:gridSpan w:val="2"/>
          </w:tcPr>
          <w:p>
            <w:pPr>
              <w:ind w:left="540"/>
              <w:spacing w:after="0"/>
              <w:rPr>
                <w:sz w:val="20"/>
                <w:szCs w:val="20"/>
                <w:color w:val="auto"/>
              </w:rPr>
            </w:pPr>
            <w:r>
              <w:rPr>
                <w:rFonts w:ascii="Arial" w:cs="Arial" w:eastAsia="Arial" w:hAnsi="Arial"/>
                <w:sz w:val="14"/>
                <w:szCs w:val="14"/>
                <w:color w:val="auto"/>
              </w:rPr>
              <w:t>1.55</w:t>
            </w:r>
          </w:p>
        </w:tc>
        <w:tc>
          <w:tcPr>
            <w:tcW w:w="1300" w:type="dxa"/>
            <w:vAlign w:val="bottom"/>
          </w:tcPr>
          <w:p>
            <w:pPr>
              <w:ind w:left="420"/>
              <w:spacing w:after="0"/>
              <w:rPr>
                <w:sz w:val="20"/>
                <w:szCs w:val="20"/>
                <w:color w:val="auto"/>
              </w:rPr>
            </w:pPr>
            <w:r>
              <w:rPr>
                <w:rFonts w:ascii="Arial" w:cs="Arial" w:eastAsia="Arial" w:hAnsi="Arial"/>
                <w:sz w:val="14"/>
                <w:szCs w:val="14"/>
                <w:color w:val="auto"/>
              </w:rPr>
              <w:t>4.28</w:t>
            </w:r>
          </w:p>
        </w:tc>
        <w:tc>
          <w:tcPr>
            <w:tcW w:w="620" w:type="dxa"/>
            <w:vAlign w:val="bottom"/>
          </w:tcPr>
          <w:p>
            <w:pPr>
              <w:ind w:left="20"/>
              <w:spacing w:after="0"/>
              <w:rPr>
                <w:sz w:val="20"/>
                <w:szCs w:val="20"/>
                <w:color w:val="auto"/>
              </w:rPr>
            </w:pPr>
            <w:r>
              <w:rPr>
                <w:rFonts w:ascii="Arial" w:cs="Arial" w:eastAsia="Arial" w:hAnsi="Arial"/>
                <w:sz w:val="14"/>
                <w:szCs w:val="14"/>
                <w:color w:val="auto"/>
              </w:rPr>
              <w:t>3.47</w:t>
            </w:r>
          </w:p>
        </w:tc>
      </w:tr>
      <w:tr>
        <w:trPr>
          <w:trHeight w:val="219"/>
        </w:trPr>
        <w:tc>
          <w:tcPr>
            <w:tcW w:w="3180" w:type="dxa"/>
            <w:vAlign w:val="bottom"/>
          </w:tcPr>
          <w:p>
            <w:pPr>
              <w:ind w:left="160"/>
              <w:spacing w:after="0"/>
              <w:rPr>
                <w:sz w:val="20"/>
                <w:szCs w:val="20"/>
                <w:color w:val="auto"/>
              </w:rPr>
            </w:pPr>
            <w:r>
              <w:rPr>
                <w:rFonts w:ascii="Arial" w:cs="Arial" w:eastAsia="Arial" w:hAnsi="Arial"/>
                <w:sz w:val="14"/>
                <w:szCs w:val="14"/>
                <w:color w:val="auto"/>
              </w:rPr>
              <w:t>Construction work in progress</w:t>
            </w:r>
          </w:p>
        </w:tc>
        <w:tc>
          <w:tcPr>
            <w:tcW w:w="2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0.2</w:t>
            </w:r>
          </w:p>
        </w:tc>
        <w:tc>
          <w:tcPr>
            <w:tcW w:w="4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0.2</w:t>
            </w:r>
          </w:p>
        </w:tc>
        <w:tc>
          <w:tcPr>
            <w:tcW w:w="200" w:type="dxa"/>
            <w:vAlign w:val="bottom"/>
          </w:tcPr>
          <w:p>
            <w:pPr>
              <w:spacing w:after="0"/>
              <w:rPr>
                <w:sz w:val="19"/>
                <w:szCs w:val="19"/>
                <w:color w:val="auto"/>
              </w:rPr>
            </w:pPr>
          </w:p>
        </w:tc>
        <w:tc>
          <w:tcPr>
            <w:tcW w:w="820" w:type="dxa"/>
            <w:vAlign w:val="bottom"/>
          </w:tcPr>
          <w:p>
            <w:pPr>
              <w:ind w:left="420"/>
              <w:spacing w:after="0"/>
              <w:rPr>
                <w:sz w:val="20"/>
                <w:szCs w:val="20"/>
                <w:color w:val="auto"/>
              </w:rPr>
            </w:pPr>
            <w:r>
              <w:rPr>
                <w:rFonts w:ascii="Arial" w:cs="Arial" w:eastAsia="Arial" w:hAnsi="Arial"/>
                <w:sz w:val="14"/>
                <w:szCs w:val="14"/>
                <w:color w:val="auto"/>
              </w:rPr>
              <w:t>NA</w:t>
            </w:r>
          </w:p>
        </w:tc>
        <w:tc>
          <w:tcPr>
            <w:tcW w:w="1300" w:type="dxa"/>
            <w:vAlign w:val="bottom"/>
          </w:tcPr>
          <w:p>
            <w:pPr>
              <w:jc w:val="center"/>
              <w:ind w:right="29"/>
              <w:spacing w:after="0"/>
              <w:rPr>
                <w:sz w:val="20"/>
                <w:szCs w:val="20"/>
                <w:color w:val="auto"/>
              </w:rPr>
            </w:pPr>
            <w:r>
              <w:rPr>
                <w:rFonts w:ascii="Arial" w:cs="Arial" w:eastAsia="Arial" w:hAnsi="Arial"/>
                <w:sz w:val="14"/>
                <w:szCs w:val="14"/>
                <w:color w:val="auto"/>
              </w:rPr>
              <w:t>NA</w:t>
            </w:r>
          </w:p>
        </w:tc>
        <w:tc>
          <w:tcPr>
            <w:tcW w:w="620" w:type="dxa"/>
            <w:vAlign w:val="bottom"/>
          </w:tcPr>
          <w:p>
            <w:pPr>
              <w:jc w:val="center"/>
              <w:ind w:right="149"/>
              <w:spacing w:after="0"/>
              <w:rPr>
                <w:sz w:val="20"/>
                <w:szCs w:val="20"/>
                <w:color w:val="auto"/>
              </w:rPr>
            </w:pPr>
            <w:r>
              <w:rPr>
                <w:rFonts w:ascii="Arial" w:cs="Arial" w:eastAsia="Arial" w:hAnsi="Arial"/>
                <w:sz w:val="14"/>
                <w:szCs w:val="14"/>
                <w:color w:val="auto"/>
              </w:rPr>
              <w:t>NA</w:t>
            </w:r>
          </w:p>
        </w:tc>
      </w:tr>
      <w:tr>
        <w:trPr>
          <w:trHeight w:val="211"/>
        </w:trPr>
        <w:tc>
          <w:tcPr>
            <w:tcW w:w="3180" w:type="dxa"/>
            <w:vAlign w:val="bottom"/>
          </w:tcPr>
          <w:p>
            <w:pPr>
              <w:ind w:left="340"/>
              <w:spacing w:after="0"/>
              <w:rPr>
                <w:sz w:val="20"/>
                <w:szCs w:val="20"/>
                <w:color w:val="auto"/>
              </w:rPr>
            </w:pPr>
            <w:r>
              <w:rPr>
                <w:rFonts w:ascii="Arial" w:cs="Arial" w:eastAsia="Arial" w:hAnsi="Arial"/>
                <w:sz w:val="14"/>
                <w:szCs w:val="14"/>
                <w:color w:val="auto"/>
              </w:rPr>
              <w:t>Total SoCalGas</w:t>
            </w:r>
          </w:p>
        </w:tc>
        <w:tc>
          <w:tcPr>
            <w:tcW w:w="2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8.8</w:t>
            </w:r>
          </w:p>
        </w:tc>
        <w:tc>
          <w:tcPr>
            <w:tcW w:w="4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8.4</w:t>
            </w: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620" w:type="dxa"/>
            <w:vAlign w:val="bottom"/>
          </w:tcPr>
          <w:p>
            <w:pPr>
              <w:spacing w:after="0"/>
              <w:rPr>
                <w:sz w:val="18"/>
                <w:szCs w:val="18"/>
                <w:color w:val="auto"/>
              </w:rPr>
            </w:pPr>
          </w:p>
        </w:tc>
      </w:tr>
      <w:tr>
        <w:trPr>
          <w:trHeight w:val="406"/>
        </w:trPr>
        <w:tc>
          <w:tcPr>
            <w:tcW w:w="3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120" w:type="dxa"/>
            <w:vAlign w:val="bottom"/>
            <w:tcBorders>
              <w:bottom w:val="single" w:sz="8" w:color="auto"/>
            </w:tcBorders>
            <w:gridSpan w:val="2"/>
          </w:tcPr>
          <w:p>
            <w:pPr>
              <w:jc w:val="center"/>
              <w:ind w:left="550"/>
              <w:spacing w:after="0"/>
              <w:rPr>
                <w:sz w:val="20"/>
                <w:szCs w:val="20"/>
                <w:color w:val="auto"/>
              </w:rPr>
            </w:pPr>
            <w:r>
              <w:rPr>
                <w:rFonts w:ascii="Arial" w:cs="Arial" w:eastAsia="Arial" w:hAnsi="Arial"/>
                <w:sz w:val="14"/>
                <w:szCs w:val="14"/>
                <w:color w:val="auto"/>
              </w:rPr>
              <w:t>Estimated Useful Lives</w:t>
            </w:r>
          </w:p>
        </w:tc>
        <w:tc>
          <w:tcPr>
            <w:tcW w:w="620" w:type="dxa"/>
            <w:vAlign w:val="bottom"/>
            <w:tcBorders>
              <w:bottom w:val="single" w:sz="8" w:color="auto"/>
            </w:tcBorders>
          </w:tcPr>
          <w:p>
            <w:pPr>
              <w:spacing w:after="0"/>
              <w:rPr>
                <w:sz w:val="24"/>
                <w:szCs w:val="24"/>
                <w:color w:val="auto"/>
              </w:rPr>
            </w:pPr>
          </w:p>
        </w:tc>
      </w:tr>
      <w:tr>
        <w:trPr>
          <w:trHeight w:val="208"/>
        </w:trPr>
        <w:tc>
          <w:tcPr>
            <w:tcW w:w="3180" w:type="dxa"/>
            <w:vAlign w:val="bottom"/>
          </w:tcPr>
          <w:p>
            <w:pPr>
              <w:spacing w:after="0"/>
              <w:rPr>
                <w:sz w:val="20"/>
                <w:szCs w:val="20"/>
                <w:color w:val="auto"/>
              </w:rPr>
            </w:pPr>
            <w:r>
              <w:rPr>
                <w:rFonts w:ascii="Arial" w:cs="Arial" w:eastAsia="Arial" w:hAnsi="Arial"/>
                <w:sz w:val="14"/>
                <w:szCs w:val="14"/>
                <w:b w:val="1"/>
                <w:bCs w:val="1"/>
                <w:color w:val="auto"/>
              </w:rPr>
              <w:t>Sempra Global and Parent:</w:t>
            </w: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620" w:type="dxa"/>
            <w:vAlign w:val="bottom"/>
          </w:tcPr>
          <w:p>
            <w:pPr>
              <w:spacing w:after="0"/>
              <w:rPr>
                <w:sz w:val="18"/>
                <w:szCs w:val="18"/>
                <w:color w:val="auto"/>
              </w:rPr>
            </w:pPr>
          </w:p>
        </w:tc>
      </w:tr>
      <w:tr>
        <w:trPr>
          <w:trHeight w:val="216"/>
        </w:trPr>
        <w:tc>
          <w:tcPr>
            <w:tcW w:w="3180" w:type="dxa"/>
            <w:vAlign w:val="bottom"/>
          </w:tcPr>
          <w:p>
            <w:pPr>
              <w:ind w:left="160"/>
              <w:spacing w:after="0"/>
              <w:rPr>
                <w:sz w:val="20"/>
                <w:szCs w:val="20"/>
                <w:color w:val="auto"/>
              </w:rPr>
            </w:pPr>
            <w:r>
              <w:rPr>
                <w:rFonts w:ascii="Arial" w:cs="Arial" w:eastAsia="Arial" w:hAnsi="Arial"/>
                <w:sz w:val="14"/>
                <w:szCs w:val="14"/>
                <w:color w:val="auto"/>
              </w:rPr>
              <w:t>Land and land rights</w:t>
            </w:r>
          </w:p>
        </w:tc>
        <w:tc>
          <w:tcPr>
            <w:tcW w:w="280" w:type="dxa"/>
            <w:vAlign w:val="bottom"/>
          </w:tcPr>
          <w:p>
            <w:pPr>
              <w:spacing w:after="0"/>
              <w:rPr>
                <w:sz w:val="18"/>
                <w:szCs w:val="18"/>
                <w:color w:val="auto"/>
              </w:rPr>
            </w:pPr>
          </w:p>
        </w:tc>
        <w:tc>
          <w:tcPr>
            <w:tcW w:w="640" w:type="dxa"/>
            <w:vAlign w:val="bottom"/>
          </w:tcPr>
          <w:p>
            <w:pPr>
              <w:jc w:val="right"/>
              <w:ind w:right="29"/>
              <w:spacing w:after="0"/>
              <w:rPr>
                <w:sz w:val="20"/>
                <w:szCs w:val="20"/>
                <w:color w:val="auto"/>
              </w:rPr>
            </w:pPr>
            <w:r>
              <w:rPr>
                <w:rFonts w:ascii="Arial" w:cs="Arial" w:eastAsia="Arial" w:hAnsi="Arial"/>
                <w:sz w:val="14"/>
                <w:szCs w:val="14"/>
                <w:color w:val="auto"/>
              </w:rPr>
              <w:t>0.2</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Arial" w:cs="Arial" w:eastAsia="Arial" w:hAnsi="Arial"/>
                <w:sz w:val="14"/>
                <w:szCs w:val="14"/>
                <w:color w:val="auto"/>
              </w:rPr>
              <w:t>0.1</w:t>
            </w: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300" w:type="dxa"/>
            <w:vAlign w:val="bottom"/>
          </w:tcPr>
          <w:p>
            <w:pPr>
              <w:jc w:val="center"/>
              <w:ind w:right="129"/>
              <w:spacing w:after="0"/>
              <w:rPr>
                <w:sz w:val="20"/>
                <w:szCs w:val="20"/>
                <w:color w:val="auto"/>
              </w:rPr>
            </w:pPr>
            <w:r>
              <w:rPr>
                <w:rFonts w:ascii="Arial" w:cs="Arial" w:eastAsia="Arial" w:hAnsi="Arial"/>
                <w:sz w:val="14"/>
                <w:szCs w:val="14"/>
                <w:color w:val="auto"/>
              </w:rPr>
              <w:t>25 to 50 years*</w:t>
            </w:r>
          </w:p>
        </w:tc>
        <w:tc>
          <w:tcPr>
            <w:tcW w:w="620" w:type="dxa"/>
            <w:vAlign w:val="bottom"/>
          </w:tcPr>
          <w:p>
            <w:pPr>
              <w:spacing w:after="0"/>
              <w:rPr>
                <w:sz w:val="18"/>
                <w:szCs w:val="18"/>
                <w:color w:val="auto"/>
              </w:rPr>
            </w:pPr>
          </w:p>
        </w:tc>
      </w:tr>
      <w:tr>
        <w:trPr>
          <w:trHeight w:val="216"/>
        </w:trPr>
        <w:tc>
          <w:tcPr>
            <w:tcW w:w="3180" w:type="dxa"/>
            <w:vAlign w:val="bottom"/>
          </w:tcPr>
          <w:p>
            <w:pPr>
              <w:ind w:left="160"/>
              <w:spacing w:after="0"/>
              <w:rPr>
                <w:sz w:val="20"/>
                <w:szCs w:val="20"/>
                <w:color w:val="auto"/>
              </w:rPr>
            </w:pPr>
            <w:r>
              <w:rPr>
                <w:rFonts w:ascii="Arial" w:cs="Arial" w:eastAsia="Arial" w:hAnsi="Arial"/>
                <w:sz w:val="14"/>
                <w:szCs w:val="14"/>
                <w:color w:val="auto"/>
              </w:rPr>
              <w:t>Machinery and equipment</w:t>
            </w: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620" w:type="dxa"/>
            <w:vAlign w:val="bottom"/>
          </w:tcPr>
          <w:p>
            <w:pPr>
              <w:spacing w:after="0"/>
              <w:rPr>
                <w:sz w:val="18"/>
                <w:szCs w:val="18"/>
                <w:color w:val="auto"/>
              </w:rPr>
            </w:pPr>
          </w:p>
        </w:tc>
      </w:tr>
      <w:tr>
        <w:trPr>
          <w:trHeight w:val="216"/>
        </w:trPr>
        <w:tc>
          <w:tcPr>
            <w:tcW w:w="3180" w:type="dxa"/>
            <w:vAlign w:val="bottom"/>
          </w:tcPr>
          <w:p>
            <w:pPr>
              <w:ind w:left="340"/>
              <w:spacing w:after="0"/>
              <w:rPr>
                <w:sz w:val="20"/>
                <w:szCs w:val="20"/>
                <w:color w:val="auto"/>
              </w:rPr>
            </w:pPr>
            <w:r>
              <w:rPr>
                <w:rFonts w:ascii="Arial" w:cs="Arial" w:eastAsia="Arial" w:hAnsi="Arial"/>
                <w:sz w:val="14"/>
                <w:szCs w:val="14"/>
                <w:color w:val="auto"/>
              </w:rPr>
              <w:t>Generating plant</w:t>
            </w:r>
          </w:p>
        </w:tc>
        <w:tc>
          <w:tcPr>
            <w:tcW w:w="280" w:type="dxa"/>
            <w:vAlign w:val="bottom"/>
          </w:tcPr>
          <w:p>
            <w:pPr>
              <w:spacing w:after="0"/>
              <w:rPr>
                <w:sz w:val="18"/>
                <w:szCs w:val="18"/>
                <w:color w:val="auto"/>
              </w:rPr>
            </w:pPr>
          </w:p>
        </w:tc>
        <w:tc>
          <w:tcPr>
            <w:tcW w:w="640" w:type="dxa"/>
            <w:vAlign w:val="bottom"/>
          </w:tcPr>
          <w:p>
            <w:pPr>
              <w:jc w:val="right"/>
              <w:ind w:right="29"/>
              <w:spacing w:after="0"/>
              <w:rPr>
                <w:sz w:val="20"/>
                <w:szCs w:val="20"/>
                <w:color w:val="auto"/>
              </w:rPr>
            </w:pPr>
            <w:r>
              <w:rPr>
                <w:rFonts w:ascii="Arial" w:cs="Arial" w:eastAsia="Arial" w:hAnsi="Arial"/>
                <w:sz w:val="14"/>
                <w:szCs w:val="14"/>
                <w:color w:val="auto"/>
              </w:rPr>
              <w:t>1.4</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Arial" w:cs="Arial" w:eastAsia="Arial" w:hAnsi="Arial"/>
                <w:sz w:val="14"/>
                <w:szCs w:val="14"/>
                <w:color w:val="auto"/>
              </w:rPr>
              <w:t>1.4</w:t>
            </w: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300" w:type="dxa"/>
            <w:vAlign w:val="bottom"/>
          </w:tcPr>
          <w:p>
            <w:pPr>
              <w:jc w:val="center"/>
              <w:ind w:right="129"/>
              <w:spacing w:after="0"/>
              <w:rPr>
                <w:sz w:val="20"/>
                <w:szCs w:val="20"/>
                <w:color w:val="auto"/>
              </w:rPr>
            </w:pPr>
            <w:r>
              <w:rPr>
                <w:rFonts w:ascii="Arial" w:cs="Arial" w:eastAsia="Arial" w:hAnsi="Arial"/>
                <w:sz w:val="14"/>
                <w:szCs w:val="14"/>
                <w:color w:val="auto"/>
              </w:rPr>
              <w:t>4 to 35 years</w:t>
            </w:r>
          </w:p>
        </w:tc>
        <w:tc>
          <w:tcPr>
            <w:tcW w:w="620" w:type="dxa"/>
            <w:vAlign w:val="bottom"/>
          </w:tcPr>
          <w:p>
            <w:pPr>
              <w:spacing w:after="0"/>
              <w:rPr>
                <w:sz w:val="18"/>
                <w:szCs w:val="18"/>
                <w:color w:val="auto"/>
              </w:rPr>
            </w:pPr>
          </w:p>
        </w:tc>
      </w:tr>
      <w:tr>
        <w:trPr>
          <w:trHeight w:val="216"/>
        </w:trPr>
        <w:tc>
          <w:tcPr>
            <w:tcW w:w="3180" w:type="dxa"/>
            <w:vAlign w:val="bottom"/>
          </w:tcPr>
          <w:p>
            <w:pPr>
              <w:ind w:left="340"/>
              <w:spacing w:after="0"/>
              <w:rPr>
                <w:sz w:val="20"/>
                <w:szCs w:val="20"/>
                <w:color w:val="auto"/>
              </w:rPr>
            </w:pPr>
            <w:r>
              <w:rPr>
                <w:rFonts w:ascii="Arial" w:cs="Arial" w:eastAsia="Arial" w:hAnsi="Arial"/>
                <w:sz w:val="14"/>
                <w:szCs w:val="14"/>
                <w:color w:val="auto"/>
              </w:rPr>
              <w:t>LNG** receipt terminal</w:t>
            </w:r>
          </w:p>
        </w:tc>
        <w:tc>
          <w:tcPr>
            <w:tcW w:w="280" w:type="dxa"/>
            <w:vAlign w:val="bottom"/>
          </w:tcPr>
          <w:p>
            <w:pPr>
              <w:spacing w:after="0"/>
              <w:rPr>
                <w:sz w:val="18"/>
                <w:szCs w:val="18"/>
                <w:color w:val="auto"/>
              </w:rPr>
            </w:pPr>
          </w:p>
        </w:tc>
        <w:tc>
          <w:tcPr>
            <w:tcW w:w="640" w:type="dxa"/>
            <w:vAlign w:val="bottom"/>
          </w:tcPr>
          <w:p>
            <w:pPr>
              <w:jc w:val="right"/>
              <w:ind w:right="29"/>
              <w:spacing w:after="0"/>
              <w:rPr>
                <w:sz w:val="20"/>
                <w:szCs w:val="20"/>
                <w:color w:val="auto"/>
              </w:rPr>
            </w:pPr>
            <w:r>
              <w:rPr>
                <w:rFonts w:ascii="Arial" w:cs="Arial" w:eastAsia="Arial" w:hAnsi="Arial"/>
                <w:sz w:val="14"/>
                <w:szCs w:val="14"/>
                <w:color w:val="auto"/>
              </w:rPr>
              <w:t>1.0</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300" w:type="dxa"/>
            <w:vAlign w:val="bottom"/>
          </w:tcPr>
          <w:p>
            <w:pPr>
              <w:jc w:val="center"/>
              <w:ind w:right="129"/>
              <w:spacing w:after="0"/>
              <w:rPr>
                <w:sz w:val="20"/>
                <w:szCs w:val="20"/>
                <w:color w:val="auto"/>
              </w:rPr>
            </w:pPr>
            <w:r>
              <w:rPr>
                <w:rFonts w:ascii="Arial" w:cs="Arial" w:eastAsia="Arial" w:hAnsi="Arial"/>
                <w:sz w:val="14"/>
                <w:szCs w:val="14"/>
                <w:color w:val="auto"/>
              </w:rPr>
              <w:t>5 to 45 years</w:t>
            </w:r>
          </w:p>
        </w:tc>
        <w:tc>
          <w:tcPr>
            <w:tcW w:w="620" w:type="dxa"/>
            <w:vAlign w:val="bottom"/>
          </w:tcPr>
          <w:p>
            <w:pPr>
              <w:spacing w:after="0"/>
              <w:rPr>
                <w:sz w:val="18"/>
                <w:szCs w:val="18"/>
                <w:color w:val="auto"/>
              </w:rPr>
            </w:pPr>
          </w:p>
        </w:tc>
      </w:tr>
      <w:tr>
        <w:trPr>
          <w:trHeight w:val="216"/>
        </w:trPr>
        <w:tc>
          <w:tcPr>
            <w:tcW w:w="3180" w:type="dxa"/>
            <w:vAlign w:val="bottom"/>
          </w:tcPr>
          <w:p>
            <w:pPr>
              <w:ind w:left="340"/>
              <w:spacing w:after="0"/>
              <w:rPr>
                <w:sz w:val="20"/>
                <w:szCs w:val="20"/>
                <w:color w:val="auto"/>
              </w:rPr>
            </w:pPr>
            <w:r>
              <w:rPr>
                <w:rFonts w:ascii="Arial" w:cs="Arial" w:eastAsia="Arial" w:hAnsi="Arial"/>
                <w:sz w:val="14"/>
                <w:szCs w:val="14"/>
                <w:color w:val="auto"/>
              </w:rPr>
              <w:t>Pipelines</w:t>
            </w:r>
          </w:p>
        </w:tc>
        <w:tc>
          <w:tcPr>
            <w:tcW w:w="280" w:type="dxa"/>
            <w:vAlign w:val="bottom"/>
          </w:tcPr>
          <w:p>
            <w:pPr>
              <w:spacing w:after="0"/>
              <w:rPr>
                <w:sz w:val="18"/>
                <w:szCs w:val="18"/>
                <w:color w:val="auto"/>
              </w:rPr>
            </w:pPr>
          </w:p>
        </w:tc>
        <w:tc>
          <w:tcPr>
            <w:tcW w:w="640" w:type="dxa"/>
            <w:vAlign w:val="bottom"/>
          </w:tcPr>
          <w:p>
            <w:pPr>
              <w:jc w:val="right"/>
              <w:ind w:right="29"/>
              <w:spacing w:after="0"/>
              <w:rPr>
                <w:sz w:val="20"/>
                <w:szCs w:val="20"/>
                <w:color w:val="auto"/>
              </w:rPr>
            </w:pPr>
            <w:r>
              <w:rPr>
                <w:rFonts w:ascii="Arial" w:cs="Arial" w:eastAsia="Arial" w:hAnsi="Arial"/>
                <w:sz w:val="14"/>
                <w:szCs w:val="14"/>
                <w:color w:val="auto"/>
              </w:rPr>
              <w:t>0.8</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Arial" w:cs="Arial" w:eastAsia="Arial" w:hAnsi="Arial"/>
                <w:sz w:val="14"/>
                <w:szCs w:val="14"/>
                <w:color w:val="auto"/>
              </w:rPr>
              <w:t>0.3</w:t>
            </w: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300" w:type="dxa"/>
            <w:vAlign w:val="bottom"/>
          </w:tcPr>
          <w:p>
            <w:pPr>
              <w:jc w:val="center"/>
              <w:ind w:right="129"/>
              <w:spacing w:after="0"/>
              <w:rPr>
                <w:sz w:val="20"/>
                <w:szCs w:val="20"/>
                <w:color w:val="auto"/>
              </w:rPr>
            </w:pPr>
            <w:r>
              <w:rPr>
                <w:rFonts w:ascii="Arial" w:cs="Arial" w:eastAsia="Arial" w:hAnsi="Arial"/>
                <w:sz w:val="14"/>
                <w:szCs w:val="14"/>
                <w:color w:val="auto"/>
              </w:rPr>
              <w:t>4 to 50 years</w:t>
            </w:r>
          </w:p>
        </w:tc>
        <w:tc>
          <w:tcPr>
            <w:tcW w:w="620" w:type="dxa"/>
            <w:vAlign w:val="bottom"/>
          </w:tcPr>
          <w:p>
            <w:pPr>
              <w:spacing w:after="0"/>
              <w:rPr>
                <w:sz w:val="18"/>
                <w:szCs w:val="18"/>
                <w:color w:val="auto"/>
              </w:rPr>
            </w:pPr>
          </w:p>
        </w:tc>
      </w:tr>
      <w:tr>
        <w:trPr>
          <w:trHeight w:val="216"/>
        </w:trPr>
        <w:tc>
          <w:tcPr>
            <w:tcW w:w="3180" w:type="dxa"/>
            <w:vAlign w:val="bottom"/>
          </w:tcPr>
          <w:p>
            <w:pPr>
              <w:ind w:left="340"/>
              <w:spacing w:after="0"/>
              <w:rPr>
                <w:sz w:val="20"/>
                <w:szCs w:val="20"/>
                <w:color w:val="auto"/>
              </w:rPr>
            </w:pPr>
            <w:r>
              <w:rPr>
                <w:rFonts w:ascii="Arial" w:cs="Arial" w:eastAsia="Arial" w:hAnsi="Arial"/>
                <w:sz w:val="14"/>
                <w:szCs w:val="14"/>
                <w:color w:val="auto"/>
              </w:rPr>
              <w:t>Other</w:t>
            </w:r>
          </w:p>
        </w:tc>
        <w:tc>
          <w:tcPr>
            <w:tcW w:w="280" w:type="dxa"/>
            <w:vAlign w:val="bottom"/>
          </w:tcPr>
          <w:p>
            <w:pPr>
              <w:spacing w:after="0"/>
              <w:rPr>
                <w:sz w:val="18"/>
                <w:szCs w:val="18"/>
                <w:color w:val="auto"/>
              </w:rPr>
            </w:pPr>
          </w:p>
        </w:tc>
        <w:tc>
          <w:tcPr>
            <w:tcW w:w="640" w:type="dxa"/>
            <w:vAlign w:val="bottom"/>
          </w:tcPr>
          <w:p>
            <w:pPr>
              <w:jc w:val="right"/>
              <w:ind w:right="29"/>
              <w:spacing w:after="0"/>
              <w:rPr>
                <w:sz w:val="20"/>
                <w:szCs w:val="20"/>
                <w:color w:val="auto"/>
              </w:rPr>
            </w:pPr>
            <w:r>
              <w:rPr>
                <w:rFonts w:ascii="Arial" w:cs="Arial" w:eastAsia="Arial" w:hAnsi="Arial"/>
                <w:sz w:val="14"/>
                <w:szCs w:val="14"/>
                <w:color w:val="auto"/>
              </w:rPr>
              <w:t>0.1</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Arial" w:cs="Arial" w:eastAsia="Arial" w:hAnsi="Arial"/>
                <w:sz w:val="14"/>
                <w:szCs w:val="14"/>
                <w:color w:val="auto"/>
              </w:rPr>
              <w:t>0.3</w:t>
            </w: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300" w:type="dxa"/>
            <w:vAlign w:val="bottom"/>
          </w:tcPr>
          <w:p>
            <w:pPr>
              <w:jc w:val="center"/>
              <w:ind w:right="129"/>
              <w:spacing w:after="0"/>
              <w:rPr>
                <w:sz w:val="20"/>
                <w:szCs w:val="20"/>
                <w:color w:val="auto"/>
              </w:rPr>
            </w:pPr>
            <w:r>
              <w:rPr>
                <w:rFonts w:ascii="Arial" w:cs="Arial" w:eastAsia="Arial" w:hAnsi="Arial"/>
                <w:sz w:val="14"/>
                <w:szCs w:val="14"/>
                <w:color w:val="auto"/>
              </w:rPr>
              <w:t>3 to 10 years</w:t>
            </w:r>
          </w:p>
        </w:tc>
        <w:tc>
          <w:tcPr>
            <w:tcW w:w="620" w:type="dxa"/>
            <w:vAlign w:val="bottom"/>
          </w:tcPr>
          <w:p>
            <w:pPr>
              <w:spacing w:after="0"/>
              <w:rPr>
                <w:sz w:val="18"/>
                <w:szCs w:val="18"/>
                <w:color w:val="auto"/>
              </w:rPr>
            </w:pPr>
          </w:p>
        </w:tc>
      </w:tr>
      <w:tr>
        <w:trPr>
          <w:trHeight w:val="216"/>
        </w:trPr>
        <w:tc>
          <w:tcPr>
            <w:tcW w:w="3180" w:type="dxa"/>
            <w:vAlign w:val="bottom"/>
          </w:tcPr>
          <w:p>
            <w:pPr>
              <w:ind w:left="160"/>
              <w:spacing w:after="0"/>
              <w:rPr>
                <w:sz w:val="20"/>
                <w:szCs w:val="20"/>
                <w:color w:val="auto"/>
              </w:rPr>
            </w:pPr>
            <w:r>
              <w:rPr>
                <w:rFonts w:ascii="Arial" w:cs="Arial" w:eastAsia="Arial" w:hAnsi="Arial"/>
                <w:sz w:val="14"/>
                <w:szCs w:val="14"/>
                <w:color w:val="auto"/>
              </w:rPr>
              <w:t>Construction work in progress</w:t>
            </w: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620" w:type="dxa"/>
            <w:vAlign w:val="bottom"/>
          </w:tcPr>
          <w:p>
            <w:pPr>
              <w:spacing w:after="0"/>
              <w:rPr>
                <w:sz w:val="18"/>
                <w:szCs w:val="18"/>
                <w:color w:val="auto"/>
              </w:rPr>
            </w:pPr>
          </w:p>
        </w:tc>
      </w:tr>
      <w:tr>
        <w:trPr>
          <w:trHeight w:val="216"/>
        </w:trPr>
        <w:tc>
          <w:tcPr>
            <w:tcW w:w="3180" w:type="dxa"/>
            <w:vAlign w:val="bottom"/>
          </w:tcPr>
          <w:p>
            <w:pPr>
              <w:ind w:left="340"/>
              <w:spacing w:after="0"/>
              <w:rPr>
                <w:sz w:val="20"/>
                <w:szCs w:val="20"/>
                <w:color w:val="auto"/>
              </w:rPr>
            </w:pPr>
            <w:r>
              <w:rPr>
                <w:rFonts w:ascii="Arial" w:cs="Arial" w:eastAsia="Arial" w:hAnsi="Arial"/>
                <w:sz w:val="14"/>
                <w:szCs w:val="14"/>
                <w:color w:val="auto"/>
              </w:rPr>
              <w:t>LNG facilities</w:t>
            </w:r>
          </w:p>
        </w:tc>
        <w:tc>
          <w:tcPr>
            <w:tcW w:w="280" w:type="dxa"/>
            <w:vAlign w:val="bottom"/>
          </w:tcPr>
          <w:p>
            <w:pPr>
              <w:spacing w:after="0"/>
              <w:rPr>
                <w:sz w:val="18"/>
                <w:szCs w:val="18"/>
                <w:color w:val="auto"/>
              </w:rPr>
            </w:pPr>
          </w:p>
        </w:tc>
        <w:tc>
          <w:tcPr>
            <w:tcW w:w="640" w:type="dxa"/>
            <w:vAlign w:val="bottom"/>
          </w:tcPr>
          <w:p>
            <w:pPr>
              <w:jc w:val="right"/>
              <w:ind w:right="29"/>
              <w:spacing w:after="0"/>
              <w:rPr>
                <w:sz w:val="20"/>
                <w:szCs w:val="20"/>
                <w:color w:val="auto"/>
              </w:rPr>
            </w:pPr>
            <w:r>
              <w:rPr>
                <w:rFonts w:ascii="Arial" w:cs="Arial" w:eastAsia="Arial" w:hAnsi="Arial"/>
                <w:sz w:val="14"/>
                <w:szCs w:val="14"/>
                <w:color w:val="auto"/>
              </w:rPr>
              <w:t>0.9</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Arial" w:cs="Arial" w:eastAsia="Arial" w:hAnsi="Arial"/>
                <w:sz w:val="14"/>
                <w:szCs w:val="14"/>
                <w:color w:val="auto"/>
              </w:rPr>
              <w:t>1.5</w:t>
            </w: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300" w:type="dxa"/>
            <w:vAlign w:val="bottom"/>
          </w:tcPr>
          <w:p>
            <w:pPr>
              <w:jc w:val="center"/>
              <w:ind w:right="109"/>
              <w:spacing w:after="0"/>
              <w:rPr>
                <w:sz w:val="20"/>
                <w:szCs w:val="20"/>
                <w:color w:val="auto"/>
              </w:rPr>
            </w:pPr>
            <w:r>
              <w:rPr>
                <w:rFonts w:ascii="Arial" w:cs="Arial" w:eastAsia="Arial" w:hAnsi="Arial"/>
                <w:sz w:val="14"/>
                <w:szCs w:val="14"/>
                <w:color w:val="auto"/>
              </w:rPr>
              <w:t>NA</w:t>
            </w:r>
          </w:p>
        </w:tc>
        <w:tc>
          <w:tcPr>
            <w:tcW w:w="620" w:type="dxa"/>
            <w:vAlign w:val="bottom"/>
          </w:tcPr>
          <w:p>
            <w:pPr>
              <w:spacing w:after="0"/>
              <w:rPr>
                <w:sz w:val="18"/>
                <w:szCs w:val="18"/>
                <w:color w:val="auto"/>
              </w:rPr>
            </w:pPr>
          </w:p>
        </w:tc>
      </w:tr>
      <w:tr>
        <w:trPr>
          <w:trHeight w:val="216"/>
        </w:trPr>
        <w:tc>
          <w:tcPr>
            <w:tcW w:w="3180" w:type="dxa"/>
            <w:vAlign w:val="bottom"/>
          </w:tcPr>
          <w:p>
            <w:pPr>
              <w:ind w:left="340"/>
              <w:spacing w:after="0"/>
              <w:rPr>
                <w:sz w:val="20"/>
                <w:szCs w:val="20"/>
                <w:color w:val="auto"/>
              </w:rPr>
            </w:pPr>
            <w:r>
              <w:rPr>
                <w:rFonts w:ascii="Arial" w:cs="Arial" w:eastAsia="Arial" w:hAnsi="Arial"/>
                <w:sz w:val="14"/>
                <w:szCs w:val="14"/>
                <w:color w:val="auto"/>
              </w:rPr>
              <w:t>Other</w:t>
            </w:r>
          </w:p>
        </w:tc>
        <w:tc>
          <w:tcPr>
            <w:tcW w:w="280" w:type="dxa"/>
            <w:vAlign w:val="bottom"/>
          </w:tcPr>
          <w:p>
            <w:pPr>
              <w:spacing w:after="0"/>
              <w:rPr>
                <w:sz w:val="18"/>
                <w:szCs w:val="18"/>
                <w:color w:val="auto"/>
              </w:rPr>
            </w:pPr>
          </w:p>
        </w:tc>
        <w:tc>
          <w:tcPr>
            <w:tcW w:w="640" w:type="dxa"/>
            <w:vAlign w:val="bottom"/>
          </w:tcPr>
          <w:p>
            <w:pPr>
              <w:jc w:val="right"/>
              <w:ind w:right="29"/>
              <w:spacing w:after="0"/>
              <w:rPr>
                <w:sz w:val="20"/>
                <w:szCs w:val="20"/>
                <w:color w:val="auto"/>
              </w:rPr>
            </w:pPr>
            <w:r>
              <w:rPr>
                <w:rFonts w:ascii="Arial" w:cs="Arial" w:eastAsia="Arial" w:hAnsi="Arial"/>
                <w:sz w:val="14"/>
                <w:szCs w:val="14"/>
                <w:color w:val="auto"/>
              </w:rPr>
              <w:t>0.7</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Arial" w:cs="Arial" w:eastAsia="Arial" w:hAnsi="Arial"/>
                <w:sz w:val="14"/>
                <w:szCs w:val="14"/>
                <w:color w:val="auto"/>
              </w:rPr>
              <w:t>0.4</w:t>
            </w: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300" w:type="dxa"/>
            <w:vAlign w:val="bottom"/>
          </w:tcPr>
          <w:p>
            <w:pPr>
              <w:jc w:val="center"/>
              <w:ind w:right="109"/>
              <w:spacing w:after="0"/>
              <w:rPr>
                <w:sz w:val="20"/>
                <w:szCs w:val="20"/>
                <w:color w:val="auto"/>
              </w:rPr>
            </w:pPr>
            <w:r>
              <w:rPr>
                <w:rFonts w:ascii="Arial" w:cs="Arial" w:eastAsia="Arial" w:hAnsi="Arial"/>
                <w:sz w:val="14"/>
                <w:szCs w:val="14"/>
                <w:color w:val="auto"/>
              </w:rPr>
              <w:t>NA</w:t>
            </w:r>
          </w:p>
        </w:tc>
        <w:tc>
          <w:tcPr>
            <w:tcW w:w="620" w:type="dxa"/>
            <w:vAlign w:val="bottom"/>
          </w:tcPr>
          <w:p>
            <w:pPr>
              <w:spacing w:after="0"/>
              <w:rPr>
                <w:sz w:val="18"/>
                <w:szCs w:val="18"/>
                <w:color w:val="auto"/>
              </w:rPr>
            </w:pPr>
          </w:p>
        </w:tc>
      </w:tr>
      <w:tr>
        <w:trPr>
          <w:trHeight w:val="222"/>
        </w:trPr>
        <w:tc>
          <w:tcPr>
            <w:tcW w:w="3180" w:type="dxa"/>
            <w:vAlign w:val="bottom"/>
          </w:tcPr>
          <w:p>
            <w:pPr>
              <w:ind w:left="160"/>
              <w:spacing w:after="0"/>
              <w:rPr>
                <w:sz w:val="20"/>
                <w:szCs w:val="20"/>
                <w:color w:val="auto"/>
              </w:rPr>
            </w:pPr>
            <w:r>
              <w:rPr>
                <w:rFonts w:ascii="Arial" w:cs="Arial" w:eastAsia="Arial" w:hAnsi="Arial"/>
                <w:sz w:val="14"/>
                <w:szCs w:val="14"/>
                <w:color w:val="auto"/>
              </w:rPr>
              <w:t>Other</w:t>
            </w:r>
          </w:p>
        </w:tc>
        <w:tc>
          <w:tcPr>
            <w:tcW w:w="2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0.2</w:t>
            </w:r>
          </w:p>
        </w:tc>
        <w:tc>
          <w:tcPr>
            <w:tcW w:w="4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0.2</w:t>
            </w: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300" w:type="dxa"/>
            <w:vAlign w:val="bottom"/>
          </w:tcPr>
          <w:p>
            <w:pPr>
              <w:jc w:val="center"/>
              <w:ind w:right="129"/>
              <w:spacing w:after="0"/>
              <w:rPr>
                <w:sz w:val="20"/>
                <w:szCs w:val="20"/>
                <w:color w:val="auto"/>
              </w:rPr>
            </w:pPr>
            <w:r>
              <w:rPr>
                <w:rFonts w:ascii="Arial" w:cs="Arial" w:eastAsia="Arial" w:hAnsi="Arial"/>
                <w:sz w:val="14"/>
                <w:szCs w:val="14"/>
                <w:color w:val="auto"/>
              </w:rPr>
              <w:t>4 to 50 years</w:t>
            </w:r>
          </w:p>
        </w:tc>
        <w:tc>
          <w:tcPr>
            <w:tcW w:w="620" w:type="dxa"/>
            <w:vAlign w:val="bottom"/>
          </w:tcPr>
          <w:p>
            <w:pPr>
              <w:spacing w:after="0"/>
              <w:rPr>
                <w:sz w:val="19"/>
                <w:szCs w:val="19"/>
                <w:color w:val="auto"/>
              </w:rPr>
            </w:pPr>
          </w:p>
        </w:tc>
      </w:tr>
      <w:tr>
        <w:trPr>
          <w:trHeight w:val="202"/>
        </w:trPr>
        <w:tc>
          <w:tcPr>
            <w:tcW w:w="318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5.3</w:t>
            </w:r>
          </w:p>
        </w:tc>
        <w:tc>
          <w:tcPr>
            <w:tcW w:w="4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4.2</w:t>
            </w: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230"/>
        </w:trPr>
        <w:tc>
          <w:tcPr>
            <w:tcW w:w="3180" w:type="dxa"/>
            <w:vAlign w:val="bottom"/>
            <w:tcBorders>
              <w:bottom w:val="single" w:sz="8" w:color="auto"/>
            </w:tcBorders>
          </w:tcPr>
          <w:p>
            <w:pPr>
              <w:ind w:left="340"/>
              <w:spacing w:after="0"/>
              <w:rPr>
                <w:sz w:val="20"/>
                <w:szCs w:val="20"/>
                <w:color w:val="auto"/>
              </w:rPr>
            </w:pPr>
            <w:r>
              <w:rPr>
                <w:rFonts w:ascii="Arial" w:cs="Arial" w:eastAsia="Arial" w:hAnsi="Arial"/>
                <w:sz w:val="14"/>
                <w:szCs w:val="14"/>
                <w:b w:val="1"/>
                <w:bCs w:val="1"/>
                <w:color w:val="auto"/>
              </w:rPr>
              <w:t>Total Sempra Energy Consolidated</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23.2</w:t>
            </w:r>
          </w:p>
        </w:tc>
        <w:tc>
          <w:tcPr>
            <w:tcW w:w="400" w:type="dxa"/>
            <w:vAlign w:val="bottom"/>
            <w:tcBorders>
              <w:bottom w:val="single" w:sz="8" w:color="auto"/>
            </w:tcBorders>
          </w:tcPr>
          <w:p>
            <w:pPr>
              <w:jc w:val="right"/>
              <w:ind w:right="151"/>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20.9</w:t>
            </w:r>
          </w:p>
        </w:tc>
        <w:tc>
          <w:tcPr>
            <w:tcW w:w="2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r>
    </w:tbl>
    <w:p>
      <w:pPr>
        <w:spacing w:after="0" w:line="16" w:lineRule="exact"/>
        <w:rPr>
          <w:sz w:val="20"/>
          <w:szCs w:val="20"/>
          <w:color w:val="auto"/>
        </w:rPr>
      </w:pPr>
    </w:p>
    <w:p>
      <w:pPr>
        <w:ind w:left="1844" w:right="6960"/>
        <w:spacing w:after="0" w:line="334" w:lineRule="auto"/>
        <w:tabs>
          <w:tab w:leader="none" w:pos="1965" w:val="left"/>
        </w:tabs>
        <w:numPr>
          <w:ilvl w:val="0"/>
          <w:numId w:val="317"/>
        </w:numPr>
        <w:rPr>
          <w:rFonts w:ascii="Arial" w:cs="Arial" w:eastAsia="Arial" w:hAnsi="Arial"/>
          <w:sz w:val="13"/>
          <w:szCs w:val="13"/>
          <w:i w:val="1"/>
          <w:iCs w:val="1"/>
          <w:color w:val="auto"/>
        </w:rPr>
      </w:pPr>
      <w:r>
        <w:rPr>
          <w:rFonts w:ascii="Arial" w:cs="Arial" w:eastAsia="Arial" w:hAnsi="Arial"/>
          <w:sz w:val="13"/>
          <w:szCs w:val="13"/>
          <w:i w:val="1"/>
          <w:iCs w:val="1"/>
          <w:color w:val="auto"/>
        </w:rPr>
        <w:t>Estimated useful lives are for land rights ** Liquefied natural gas</w:t>
      </w:r>
    </w:p>
    <w:p>
      <w:pPr>
        <w:spacing w:after="0" w:line="200" w:lineRule="exact"/>
        <w:rPr>
          <w:sz w:val="20"/>
          <w:szCs w:val="20"/>
          <w:color w:val="auto"/>
        </w:rPr>
      </w:pPr>
    </w:p>
    <w:p>
      <w:pPr>
        <w:spacing w:after="0" w:line="320" w:lineRule="exact"/>
        <w:rPr>
          <w:sz w:val="20"/>
          <w:szCs w:val="20"/>
          <w:color w:val="auto"/>
        </w:rPr>
      </w:pPr>
    </w:p>
    <w:p>
      <w:pPr>
        <w:ind w:left="4"/>
        <w:spacing w:after="0"/>
        <w:rPr>
          <w:sz w:val="20"/>
          <w:szCs w:val="20"/>
          <w:color w:val="auto"/>
        </w:rPr>
      </w:pPr>
      <w:r>
        <w:rPr>
          <w:rFonts w:ascii="Arial" w:cs="Arial" w:eastAsia="Arial" w:hAnsi="Arial"/>
          <w:sz w:val="14"/>
          <w:szCs w:val="14"/>
          <w:color w:val="auto"/>
        </w:rPr>
        <w:t>100</w:t>
      </w:r>
    </w:p>
    <w:p>
      <w:pPr>
        <w:sectPr>
          <w:pgSz w:w="11900" w:h="16838" w:orient="portrait"/>
          <w:cols w:equalWidth="0" w:num="1">
            <w:col w:w="11204"/>
          </w:cols>
          <w:pgMar w:left="236" w:top="395" w:right="459" w:bottom="1440" w:gutter="0" w:footer="0" w:header="0"/>
        </w:sectPr>
      </w:pPr>
    </w:p>
    <w:bookmarkStart w:id="240" w:name="page241"/>
    <w:bookmarkEnd w:id="240"/>
    <w:p>
      <w:pPr>
        <w:ind w:right="120"/>
        <w:spacing w:after="0" w:line="340" w:lineRule="auto"/>
        <w:rPr>
          <w:sz w:val="20"/>
          <w:szCs w:val="20"/>
          <w:color w:val="auto"/>
        </w:rPr>
      </w:pPr>
      <w:r>
        <w:rPr>
          <w:rFonts w:ascii="Arial" w:cs="Arial" w:eastAsia="Arial" w:hAnsi="Arial"/>
          <w:sz w:val="14"/>
          <w:szCs w:val="14"/>
          <w:color w:val="auto"/>
        </w:rPr>
        <w:t>Depreciation expense is based on the straight-line method over the useful lives of the assets or, for the Sempra Utilities, a shorter period prescribed by the CPUC. Depreciation expense is computed using the straight-line method over the asset's estimated original composite useful life or the remaining term of the site leases, whichever is shorter.</w:t>
      </w:r>
    </w:p>
    <w:p>
      <w:pPr>
        <w:spacing w:after="0"/>
        <w:rPr>
          <w:sz w:val="20"/>
          <w:szCs w:val="20"/>
          <w:color w:val="auto"/>
        </w:rPr>
      </w:pPr>
      <w:r>
        <w:rPr>
          <w:rFonts w:ascii="Arial" w:cs="Arial" w:eastAsia="Arial" w:hAnsi="Arial"/>
          <w:sz w:val="16"/>
          <w:szCs w:val="16"/>
          <w:color w:val="auto"/>
        </w:rPr>
        <w:t>The accumulated depreciation and decommissioning amounts on our Consolidated Balance Sheets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1210310</wp:posOffset>
            </wp:positionH>
            <wp:positionV relativeFrom="paragraph">
              <wp:posOffset>196215</wp:posOffset>
            </wp:positionV>
            <wp:extent cx="4843780" cy="24384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4843780" cy="243840"/>
                    </a:xfrm>
                    <a:prstGeom prst="rect">
                      <a:avLst/>
                    </a:prstGeom>
                    <a:noFill/>
                  </pic:spPr>
                </pic:pic>
              </a:graphicData>
            </a:graphic>
          </wp:anchor>
        </w:drawing>
      </w:r>
    </w:p>
    <w:p>
      <w:pPr>
        <w:spacing w:after="0" w:line="297" w:lineRule="exact"/>
        <w:rPr>
          <w:sz w:val="20"/>
          <w:szCs w:val="20"/>
          <w:color w:val="auto"/>
        </w:rPr>
      </w:pPr>
    </w:p>
    <w:p>
      <w:pPr>
        <w:ind w:left="1920"/>
        <w:spacing w:after="0"/>
        <w:rPr>
          <w:sz w:val="20"/>
          <w:szCs w:val="20"/>
          <w:color w:val="auto"/>
        </w:rPr>
      </w:pPr>
      <w:r>
        <w:rPr>
          <w:rFonts w:ascii="Arial" w:cs="Arial" w:eastAsia="Arial" w:hAnsi="Arial"/>
          <w:sz w:val="14"/>
          <w:szCs w:val="14"/>
          <w:b w:val="1"/>
          <w:bCs w:val="1"/>
          <w:color w:val="auto"/>
        </w:rPr>
        <w:t>ACCUMULATED DEPRECIATION AND DECOMMISSIONING AMOUNTS</w:t>
      </w:r>
    </w:p>
    <w:p>
      <w:pPr>
        <w:spacing w:after="0" w:line="40" w:lineRule="exact"/>
        <w:rPr>
          <w:sz w:val="20"/>
          <w:szCs w:val="20"/>
          <w:color w:val="auto"/>
        </w:rPr>
      </w:pPr>
    </w:p>
    <w:p>
      <w:pPr>
        <w:ind w:left="1920"/>
        <w:spacing w:after="0"/>
        <w:rPr>
          <w:sz w:val="20"/>
          <w:szCs w:val="20"/>
          <w:color w:val="auto"/>
        </w:rPr>
      </w:pPr>
      <w:r>
        <w:rPr>
          <w:rFonts w:ascii="Arial" w:cs="Arial" w:eastAsia="Arial" w:hAnsi="Arial"/>
          <w:sz w:val="13"/>
          <w:szCs w:val="13"/>
          <w:i w:val="1"/>
          <w:iCs w:val="1"/>
          <w:color w:val="auto"/>
        </w:rPr>
        <w:t>(Dollars in billions)</w:t>
      </w:r>
    </w:p>
    <w:p>
      <w:pPr>
        <w:spacing w:after="0" w:line="67" w:lineRule="exact"/>
        <w:rPr>
          <w:sz w:val="20"/>
          <w:szCs w:val="20"/>
          <w:color w:val="auto"/>
        </w:rPr>
      </w:pPr>
    </w:p>
    <w:tbl>
      <w:tblPr>
        <w:tblLayout w:type="fixed"/>
        <w:tblInd w:w="1900" w:type="dxa"/>
        <w:tblCellMar>
          <w:top w:w="0" w:type="dxa"/>
          <w:left w:w="0" w:type="dxa"/>
          <w:bottom w:w="0" w:type="dxa"/>
          <w:right w:w="0" w:type="dxa"/>
        </w:tblCellMar>
      </w:tblPr>
      <w:tr>
        <w:trPr>
          <w:trHeight w:val="159"/>
        </w:trPr>
        <w:tc>
          <w:tcPr>
            <w:tcW w:w="5340" w:type="dxa"/>
            <w:vAlign w:val="bottom"/>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color w:val="auto"/>
              </w:rPr>
              <w:t>At December 31,</w:t>
            </w:r>
          </w:p>
        </w:tc>
        <w:tc>
          <w:tcPr>
            <w:tcW w:w="640" w:type="dxa"/>
            <w:vAlign w:val="bottom"/>
            <w:tcBorders>
              <w:bottom w:val="single" w:sz="8" w:color="auto"/>
            </w:tcBorders>
          </w:tcPr>
          <w:p>
            <w:pPr>
              <w:spacing w:after="0"/>
              <w:rPr>
                <w:sz w:val="13"/>
                <w:szCs w:val="13"/>
                <w:color w:val="auto"/>
              </w:rPr>
            </w:pPr>
          </w:p>
        </w:tc>
      </w:tr>
      <w:tr>
        <w:trPr>
          <w:trHeight w:val="208"/>
        </w:trPr>
        <w:tc>
          <w:tcPr>
            <w:tcW w:w="534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11"/>
              <w:spacing w:after="0"/>
              <w:rPr>
                <w:sz w:val="20"/>
                <w:szCs w:val="20"/>
                <w:color w:val="auto"/>
              </w:rPr>
            </w:pPr>
            <w:r>
              <w:rPr>
                <w:rFonts w:ascii="Arial" w:cs="Arial" w:eastAsia="Arial" w:hAnsi="Arial"/>
                <w:sz w:val="13"/>
                <w:szCs w:val="13"/>
                <w:color w:val="auto"/>
              </w:rPr>
              <w:t>2008</w:t>
            </w:r>
          </w:p>
        </w:tc>
        <w:tc>
          <w:tcPr>
            <w:tcW w:w="4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230"/>
              <w:spacing w:after="0"/>
              <w:rPr>
                <w:sz w:val="20"/>
                <w:szCs w:val="20"/>
                <w:color w:val="auto"/>
              </w:rPr>
            </w:pPr>
            <w:r>
              <w:rPr>
                <w:rFonts w:ascii="Arial" w:cs="Arial" w:eastAsia="Arial" w:hAnsi="Arial"/>
                <w:sz w:val="13"/>
                <w:szCs w:val="13"/>
                <w:color w:val="auto"/>
              </w:rPr>
              <w:t>2007</w:t>
            </w:r>
          </w:p>
        </w:tc>
      </w:tr>
      <w:tr>
        <w:trPr>
          <w:trHeight w:val="207"/>
        </w:trPr>
        <w:tc>
          <w:tcPr>
            <w:tcW w:w="5340" w:type="dxa"/>
            <w:vAlign w:val="bottom"/>
          </w:tcPr>
          <w:p>
            <w:pPr>
              <w:ind w:left="20"/>
              <w:spacing w:after="0"/>
              <w:rPr>
                <w:sz w:val="20"/>
                <w:szCs w:val="20"/>
                <w:color w:val="auto"/>
              </w:rPr>
            </w:pPr>
            <w:r>
              <w:rPr>
                <w:rFonts w:ascii="Arial" w:cs="Arial" w:eastAsia="Arial" w:hAnsi="Arial"/>
                <w:sz w:val="14"/>
                <w:szCs w:val="14"/>
                <w:b w:val="1"/>
                <w:bCs w:val="1"/>
                <w:color w:val="auto"/>
              </w:rPr>
              <w:t>SDG&amp;E:</w:t>
            </w:r>
          </w:p>
        </w:tc>
        <w:tc>
          <w:tcPr>
            <w:tcW w:w="4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16"/>
        </w:trPr>
        <w:tc>
          <w:tcPr>
            <w:tcW w:w="5340" w:type="dxa"/>
            <w:vAlign w:val="bottom"/>
          </w:tcPr>
          <w:p>
            <w:pPr>
              <w:ind w:left="240"/>
              <w:spacing w:after="0"/>
              <w:rPr>
                <w:sz w:val="20"/>
                <w:szCs w:val="20"/>
                <w:color w:val="auto"/>
              </w:rPr>
            </w:pPr>
            <w:r>
              <w:rPr>
                <w:rFonts w:ascii="Arial" w:cs="Arial" w:eastAsia="Arial" w:hAnsi="Arial"/>
                <w:sz w:val="14"/>
                <w:szCs w:val="14"/>
                <w:color w:val="auto"/>
              </w:rPr>
              <w:t>Accumulated depreciation and decommissioning of utility plant in service:</w:t>
            </w:r>
          </w:p>
        </w:tc>
        <w:tc>
          <w:tcPr>
            <w:tcW w:w="4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192"/>
        </w:trPr>
        <w:tc>
          <w:tcPr>
            <w:tcW w:w="5340" w:type="dxa"/>
            <w:vAlign w:val="bottom"/>
          </w:tcPr>
          <w:p>
            <w:pPr>
              <w:ind w:left="580"/>
              <w:spacing w:after="0"/>
              <w:rPr>
                <w:sz w:val="20"/>
                <w:szCs w:val="20"/>
                <w:color w:val="auto"/>
              </w:rPr>
            </w:pPr>
            <w:r>
              <w:rPr>
                <w:rFonts w:ascii="Arial" w:cs="Arial" w:eastAsia="Arial" w:hAnsi="Arial"/>
                <w:sz w:val="14"/>
                <w:szCs w:val="14"/>
                <w:color w:val="auto"/>
              </w:rPr>
              <w:t>Electric</w:t>
            </w:r>
          </w:p>
        </w:tc>
        <w:tc>
          <w:tcPr>
            <w:tcW w:w="40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31"/>
              <w:spacing w:after="0"/>
              <w:rPr>
                <w:sz w:val="20"/>
                <w:szCs w:val="20"/>
                <w:color w:val="auto"/>
              </w:rPr>
            </w:pPr>
            <w:r>
              <w:rPr>
                <w:rFonts w:ascii="Arial" w:cs="Arial" w:eastAsia="Arial" w:hAnsi="Arial"/>
                <w:sz w:val="14"/>
                <w:szCs w:val="14"/>
                <w:color w:val="auto"/>
              </w:rPr>
              <w:t>1.9</w:t>
            </w:r>
          </w:p>
        </w:tc>
        <w:tc>
          <w:tcPr>
            <w:tcW w:w="4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1.8</w:t>
            </w:r>
          </w:p>
        </w:tc>
      </w:tr>
      <w:tr>
        <w:trPr>
          <w:trHeight w:val="222"/>
        </w:trPr>
        <w:tc>
          <w:tcPr>
            <w:tcW w:w="5340" w:type="dxa"/>
            <w:vAlign w:val="bottom"/>
          </w:tcPr>
          <w:p>
            <w:pPr>
              <w:ind w:left="580"/>
              <w:spacing w:after="0"/>
              <w:rPr>
                <w:sz w:val="20"/>
                <w:szCs w:val="20"/>
                <w:color w:val="auto"/>
              </w:rPr>
            </w:pPr>
            <w:r>
              <w:rPr>
                <w:rFonts w:ascii="Arial" w:cs="Arial" w:eastAsia="Arial" w:hAnsi="Arial"/>
                <w:sz w:val="14"/>
                <w:szCs w:val="14"/>
                <w:color w:val="auto"/>
              </w:rPr>
              <w:t>Natural gas</w:t>
            </w:r>
          </w:p>
        </w:tc>
        <w:tc>
          <w:tcPr>
            <w:tcW w:w="4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color w:val="auto"/>
              </w:rPr>
              <w:t>0.5</w:t>
            </w:r>
          </w:p>
        </w:tc>
        <w:tc>
          <w:tcPr>
            <w:tcW w:w="4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0.5</w:t>
            </w:r>
          </w:p>
        </w:tc>
      </w:tr>
      <w:tr>
        <w:trPr>
          <w:trHeight w:val="208"/>
        </w:trPr>
        <w:tc>
          <w:tcPr>
            <w:tcW w:w="5340" w:type="dxa"/>
            <w:vAlign w:val="bottom"/>
          </w:tcPr>
          <w:p>
            <w:pPr>
              <w:ind w:left="700"/>
              <w:spacing w:after="0"/>
              <w:rPr>
                <w:sz w:val="20"/>
                <w:szCs w:val="20"/>
                <w:color w:val="auto"/>
              </w:rPr>
            </w:pPr>
            <w:r>
              <w:rPr>
                <w:rFonts w:ascii="Arial" w:cs="Arial" w:eastAsia="Arial" w:hAnsi="Arial"/>
                <w:sz w:val="14"/>
                <w:szCs w:val="14"/>
                <w:color w:val="auto"/>
              </w:rPr>
              <w:t>Total SDG&amp;E</w:t>
            </w:r>
          </w:p>
        </w:tc>
        <w:tc>
          <w:tcPr>
            <w:tcW w:w="4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color w:val="auto"/>
              </w:rPr>
              <w:t>2.4</w:t>
            </w:r>
          </w:p>
        </w:tc>
        <w:tc>
          <w:tcPr>
            <w:tcW w:w="4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w:t>
            </w:r>
          </w:p>
        </w:tc>
      </w:tr>
    </w:tbl>
    <w:p>
      <w:pPr>
        <w:spacing w:after="0" w:line="200" w:lineRule="exact"/>
        <w:rPr>
          <w:sz w:val="20"/>
          <w:szCs w:val="20"/>
          <w:color w:val="auto"/>
        </w:rPr>
      </w:pPr>
    </w:p>
    <w:p>
      <w:pPr>
        <w:sectPr>
          <w:pgSz w:w="11900" w:h="16838" w:orient="portrait"/>
          <w:cols w:equalWidth="0" w:num="1">
            <w:col w:w="11320"/>
          </w:cols>
          <w:pgMar w:left="240" w:top="127" w:right="339" w:bottom="1440" w:gutter="0" w:footer="0" w:header="0"/>
        </w:sectPr>
      </w:pPr>
    </w:p>
    <w:p>
      <w:pPr>
        <w:spacing w:after="0" w:line="36" w:lineRule="exact"/>
        <w:rPr>
          <w:sz w:val="20"/>
          <w:szCs w:val="20"/>
          <w:color w:val="auto"/>
        </w:rPr>
      </w:pPr>
    </w:p>
    <w:p>
      <w:pPr>
        <w:ind w:left="1920"/>
        <w:spacing w:after="0"/>
        <w:rPr>
          <w:sz w:val="20"/>
          <w:szCs w:val="20"/>
          <w:color w:val="auto"/>
        </w:rPr>
      </w:pPr>
      <w:r>
        <w:rPr>
          <w:rFonts w:ascii="Arial" w:cs="Arial" w:eastAsia="Arial" w:hAnsi="Arial"/>
          <w:sz w:val="14"/>
          <w:szCs w:val="14"/>
          <w:b w:val="1"/>
          <w:bCs w:val="1"/>
          <w:color w:val="auto"/>
        </w:rPr>
        <w:t>SoCalGas:</w:t>
      </w:r>
    </w:p>
    <w:p>
      <w:pPr>
        <w:spacing w:after="0" w:line="73" w:lineRule="exact"/>
        <w:rPr>
          <w:sz w:val="20"/>
          <w:szCs w:val="20"/>
          <w:color w:val="auto"/>
        </w:rPr>
      </w:pPr>
    </w:p>
    <w:p>
      <w:pPr>
        <w:ind w:left="2140" w:right="440"/>
        <w:spacing w:after="0" w:line="340" w:lineRule="auto"/>
        <w:rPr>
          <w:sz w:val="20"/>
          <w:szCs w:val="20"/>
          <w:color w:val="auto"/>
        </w:rPr>
      </w:pPr>
      <w:r>
        <w:rPr>
          <w:rFonts w:ascii="Arial" w:cs="Arial" w:eastAsia="Arial" w:hAnsi="Arial"/>
          <w:sz w:val="14"/>
          <w:szCs w:val="14"/>
          <w:color w:val="auto"/>
        </w:rPr>
        <w:t>Accumulated depreciation of natural gas utility plant in service Accumulated depreciation – other non-utility</w:t>
      </w:r>
    </w:p>
    <w:p>
      <w:pPr>
        <w:ind w:left="2600"/>
        <w:spacing w:after="0"/>
        <w:rPr>
          <w:sz w:val="20"/>
          <w:szCs w:val="20"/>
          <w:color w:val="auto"/>
        </w:rPr>
      </w:pPr>
      <w:r>
        <w:rPr>
          <w:rFonts w:ascii="Arial" w:cs="Arial" w:eastAsia="Arial" w:hAnsi="Arial"/>
          <w:sz w:val="14"/>
          <w:szCs w:val="14"/>
          <w:color w:val="auto"/>
        </w:rPr>
        <w:t>Total SoCalGas</w:t>
      </w:r>
    </w:p>
    <w:p>
      <w:pPr>
        <w:spacing w:after="0" w:line="20" w:lineRule="exact"/>
        <w:rPr>
          <w:sz w:val="20"/>
          <w:szCs w:val="20"/>
          <w:color w:val="auto"/>
        </w:rPr>
      </w:pPr>
      <w:r>
        <w:rPr>
          <w:sz w:val="20"/>
          <w:szCs w:val="20"/>
          <w:color w:val="auto"/>
        </w:rPr>
        <w:br w:type="column"/>
      </w:r>
    </w:p>
    <w:p>
      <w:pPr>
        <w:spacing w:after="0" w:line="25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2"/>
        </w:trPr>
        <w:tc>
          <w:tcPr>
            <w:tcW w:w="1600" w:type="dxa"/>
            <w:vAlign w:val="bottom"/>
          </w:tcPr>
          <w:p>
            <w:pPr>
              <w:jc w:val="right"/>
              <w:ind w:right="408"/>
              <w:spacing w:after="0"/>
              <w:rPr>
                <w:sz w:val="20"/>
                <w:szCs w:val="20"/>
                <w:color w:val="auto"/>
              </w:rPr>
            </w:pPr>
            <w:r>
              <w:rPr>
                <w:rFonts w:ascii="Arial" w:cs="Arial" w:eastAsia="Arial" w:hAnsi="Arial"/>
                <w:sz w:val="14"/>
                <w:szCs w:val="14"/>
                <w:color w:val="auto"/>
              </w:rPr>
              <w:t>3.4</w:t>
            </w:r>
          </w:p>
        </w:tc>
        <w:tc>
          <w:tcPr>
            <w:tcW w:w="700" w:type="dxa"/>
            <w:vAlign w:val="bottom"/>
          </w:tcPr>
          <w:p>
            <w:pPr>
              <w:jc w:val="right"/>
              <w:spacing w:after="0"/>
              <w:rPr>
                <w:sz w:val="20"/>
                <w:szCs w:val="20"/>
                <w:color w:val="auto"/>
              </w:rPr>
            </w:pPr>
            <w:r>
              <w:rPr>
                <w:rFonts w:ascii="Arial" w:cs="Arial" w:eastAsia="Arial" w:hAnsi="Arial"/>
                <w:sz w:val="14"/>
                <w:szCs w:val="14"/>
                <w:color w:val="auto"/>
              </w:rPr>
              <w:t>3.3</w:t>
            </w:r>
          </w:p>
        </w:tc>
      </w:tr>
      <w:tr>
        <w:trPr>
          <w:trHeight w:val="219"/>
        </w:trPr>
        <w:tc>
          <w:tcPr>
            <w:tcW w:w="160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color w:val="auto"/>
              </w:rPr>
              <w:t>0.1</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r>
      <w:tr>
        <w:trPr>
          <w:trHeight w:val="208"/>
        </w:trPr>
        <w:tc>
          <w:tcPr>
            <w:tcW w:w="160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color w:val="auto"/>
              </w:rPr>
              <w:t>3.5</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w:t>
            </w:r>
          </w:p>
        </w:tc>
      </w:tr>
    </w:tbl>
    <w:p>
      <w:pPr>
        <w:spacing w:after="0" w:line="200" w:lineRule="exact"/>
        <w:rPr>
          <w:sz w:val="20"/>
          <w:szCs w:val="20"/>
          <w:color w:val="auto"/>
        </w:rPr>
      </w:pPr>
    </w:p>
    <w:p>
      <w:pPr>
        <w:sectPr>
          <w:pgSz w:w="11900" w:h="16838" w:orient="portrait"/>
          <w:cols w:equalWidth="0" w:num="2">
            <w:col w:w="6520" w:space="720"/>
            <w:col w:w="4080"/>
          </w:cols>
          <w:pgMar w:left="240" w:top="127" w:right="339" w:bottom="1440" w:gutter="0" w:footer="0" w:header="0"/>
          <w:type w:val="continuous"/>
        </w:sectPr>
      </w:pPr>
    </w:p>
    <w:p>
      <w:pPr>
        <w:spacing w:after="0" w:line="36" w:lineRule="exact"/>
        <w:rPr>
          <w:sz w:val="20"/>
          <w:szCs w:val="20"/>
          <w:color w:val="auto"/>
        </w:rPr>
      </w:pPr>
    </w:p>
    <w:tbl>
      <w:tblPr>
        <w:tblLayout w:type="fixed"/>
        <w:tblInd w:w="1900" w:type="dxa"/>
        <w:tblCellMar>
          <w:top w:w="0" w:type="dxa"/>
          <w:left w:w="0" w:type="dxa"/>
          <w:bottom w:w="0" w:type="dxa"/>
          <w:right w:w="0" w:type="dxa"/>
        </w:tblCellMar>
      </w:tblPr>
      <w:tr>
        <w:trPr>
          <w:trHeight w:val="190"/>
        </w:trPr>
        <w:tc>
          <w:tcPr>
            <w:tcW w:w="5340" w:type="dxa"/>
            <w:vAlign w:val="bottom"/>
          </w:tcPr>
          <w:p>
            <w:pPr>
              <w:ind w:left="20"/>
              <w:spacing w:after="0"/>
              <w:rPr>
                <w:sz w:val="20"/>
                <w:szCs w:val="20"/>
                <w:color w:val="auto"/>
              </w:rPr>
            </w:pPr>
            <w:r>
              <w:rPr>
                <w:rFonts w:ascii="Arial" w:cs="Arial" w:eastAsia="Arial" w:hAnsi="Arial"/>
                <w:sz w:val="14"/>
                <w:szCs w:val="14"/>
                <w:b w:val="1"/>
                <w:bCs w:val="1"/>
                <w:color w:val="auto"/>
              </w:rPr>
              <w:t>Sempra Global and Parent:</w:t>
            </w:r>
          </w:p>
        </w:tc>
        <w:tc>
          <w:tcPr>
            <w:tcW w:w="6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60" w:type="dxa"/>
            <w:vAlign w:val="bottom"/>
          </w:tcPr>
          <w:p>
            <w:pPr>
              <w:spacing w:after="0"/>
              <w:rPr>
                <w:sz w:val="16"/>
                <w:szCs w:val="16"/>
                <w:color w:val="auto"/>
              </w:rPr>
            </w:pPr>
          </w:p>
        </w:tc>
      </w:tr>
      <w:tr>
        <w:trPr>
          <w:trHeight w:val="222"/>
        </w:trPr>
        <w:tc>
          <w:tcPr>
            <w:tcW w:w="5340" w:type="dxa"/>
            <w:vAlign w:val="bottom"/>
          </w:tcPr>
          <w:p>
            <w:pPr>
              <w:ind w:left="240"/>
              <w:spacing w:after="0"/>
              <w:rPr>
                <w:sz w:val="20"/>
                <w:szCs w:val="20"/>
                <w:color w:val="auto"/>
              </w:rPr>
            </w:pPr>
            <w:r>
              <w:rPr>
                <w:rFonts w:ascii="Arial" w:cs="Arial" w:eastAsia="Arial" w:hAnsi="Arial"/>
                <w:sz w:val="14"/>
                <w:szCs w:val="14"/>
                <w:color w:val="auto"/>
              </w:rPr>
              <w:t>Accumulated depreciation</w:t>
            </w:r>
          </w:p>
        </w:tc>
        <w:tc>
          <w:tcPr>
            <w:tcW w:w="6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0.4</w:t>
            </w:r>
          </w:p>
        </w:tc>
        <w:tc>
          <w:tcPr>
            <w:tcW w:w="5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0.4</w:t>
            </w:r>
          </w:p>
        </w:tc>
      </w:tr>
      <w:tr>
        <w:trPr>
          <w:trHeight w:val="200"/>
        </w:trPr>
        <w:tc>
          <w:tcPr>
            <w:tcW w:w="53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Total Sempra Energy Consolidated</w:t>
            </w:r>
          </w:p>
        </w:tc>
        <w:tc>
          <w:tcPr>
            <w:tcW w:w="60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6.3</w:t>
            </w:r>
          </w:p>
        </w:tc>
        <w:tc>
          <w:tcPr>
            <w:tcW w:w="5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6.0</w:t>
            </w:r>
          </w:p>
        </w:tc>
      </w:tr>
    </w:tbl>
    <w:p>
      <w:pPr>
        <w:spacing w:after="0" w:line="180" w:lineRule="exact"/>
        <w:rPr>
          <w:sz w:val="20"/>
          <w:szCs w:val="20"/>
          <w:color w:val="auto"/>
        </w:rPr>
      </w:pPr>
    </w:p>
    <w:p>
      <w:pPr>
        <w:spacing w:after="0" w:line="264" w:lineRule="auto"/>
        <w:rPr>
          <w:sz w:val="20"/>
          <w:szCs w:val="20"/>
          <w:color w:val="auto"/>
        </w:rPr>
      </w:pPr>
      <w:r>
        <w:rPr>
          <w:rFonts w:ascii="Arial" w:cs="Arial" w:eastAsia="Arial" w:hAnsi="Arial"/>
          <w:sz w:val="16"/>
          <w:szCs w:val="16"/>
          <w:color w:val="auto"/>
        </w:rPr>
        <w:t>The Sempra Utilities finance their construction projects with borrowed funds and equity funds. The CPUC allows the recovery of the cost of these funds as part of the cost of construction projects by recording AFUDC, which is calculated using rates authorized by the CPUC. The Sempra Utilities recover the AFUDC from their customers, plus earn a return on the allowance after the utility property is placed in service.</w:t>
      </w:r>
    </w:p>
    <w:p>
      <w:pPr>
        <w:spacing w:after="0" w:line="42" w:lineRule="exact"/>
        <w:rPr>
          <w:sz w:val="20"/>
          <w:szCs w:val="20"/>
          <w:color w:val="auto"/>
        </w:rPr>
      </w:pPr>
    </w:p>
    <w:p>
      <w:pPr>
        <w:ind w:right="400"/>
        <w:spacing w:after="0" w:line="277" w:lineRule="auto"/>
        <w:rPr>
          <w:sz w:val="20"/>
          <w:szCs w:val="20"/>
          <w:color w:val="auto"/>
        </w:rPr>
      </w:pPr>
      <w:r>
        <w:rPr>
          <w:rFonts w:ascii="Arial" w:cs="Arial" w:eastAsia="Arial" w:hAnsi="Arial"/>
          <w:sz w:val="16"/>
          <w:szCs w:val="16"/>
          <w:color w:val="auto"/>
        </w:rPr>
        <w:t xml:space="preserve">Sempra Global businesses capitalize interest costs incurred to finance capital projects under SFAS 34, </w:t>
      </w:r>
      <w:r>
        <w:rPr>
          <w:rFonts w:ascii="Arial" w:cs="Arial" w:eastAsia="Arial" w:hAnsi="Arial"/>
          <w:sz w:val="16"/>
          <w:szCs w:val="16"/>
          <w:i w:val="1"/>
          <w:iCs w:val="1"/>
          <w:color w:val="auto"/>
        </w:rPr>
        <w:t>Capitalization of Interest Cost</w:t>
      </w:r>
      <w:r>
        <w:rPr>
          <w:rFonts w:ascii="Arial" w:cs="Arial" w:eastAsia="Arial" w:hAnsi="Arial"/>
          <w:sz w:val="16"/>
          <w:szCs w:val="16"/>
          <w:color w:val="auto"/>
        </w:rPr>
        <w:t xml:space="preserve"> (SFAS 34)</w:t>
      </w:r>
      <w:r>
        <w:rPr>
          <w:rFonts w:ascii="Arial" w:cs="Arial" w:eastAsia="Arial" w:hAnsi="Arial"/>
          <w:sz w:val="16"/>
          <w:szCs w:val="16"/>
          <w:i w:val="1"/>
          <w:iCs w:val="1"/>
          <w:color w:val="auto"/>
        </w:rPr>
        <w:t>.</w:t>
      </w:r>
      <w:r>
        <w:rPr>
          <w:rFonts w:ascii="Arial" w:cs="Arial" w:eastAsia="Arial" w:hAnsi="Arial"/>
          <w:sz w:val="16"/>
          <w:szCs w:val="16"/>
          <w:color w:val="auto"/>
        </w:rPr>
        <w:t xml:space="preserve"> The Sempra Utilities also capitalize certain interest costs under SFAS 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1202690</wp:posOffset>
            </wp:positionH>
            <wp:positionV relativeFrom="paragraph">
              <wp:posOffset>165735</wp:posOffset>
            </wp:positionV>
            <wp:extent cx="4851400" cy="24384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4851400" cy="243840"/>
                    </a:xfrm>
                    <a:prstGeom prst="rect">
                      <a:avLst/>
                    </a:prstGeom>
                    <a:noFill/>
                  </pic:spPr>
                </pic:pic>
              </a:graphicData>
            </a:graphic>
          </wp:anchor>
        </w:drawing>
      </w:r>
    </w:p>
    <w:p>
      <w:pPr>
        <w:spacing w:after="0" w:line="248" w:lineRule="exact"/>
        <w:rPr>
          <w:sz w:val="20"/>
          <w:szCs w:val="20"/>
          <w:color w:val="auto"/>
        </w:rPr>
      </w:pPr>
    </w:p>
    <w:p>
      <w:pPr>
        <w:ind w:left="1900"/>
        <w:spacing w:after="0"/>
        <w:rPr>
          <w:sz w:val="20"/>
          <w:szCs w:val="20"/>
          <w:color w:val="auto"/>
        </w:rPr>
      </w:pPr>
      <w:r>
        <w:rPr>
          <w:rFonts w:ascii="Arial" w:cs="Arial" w:eastAsia="Arial" w:hAnsi="Arial"/>
          <w:sz w:val="14"/>
          <w:szCs w:val="14"/>
          <w:b w:val="1"/>
          <w:bCs w:val="1"/>
          <w:color w:val="auto"/>
        </w:rPr>
        <w:t>CAPITALIZED FINANCING COSTS</w:t>
      </w:r>
    </w:p>
    <w:p>
      <w:pPr>
        <w:spacing w:after="0" w:line="40" w:lineRule="exact"/>
        <w:rPr>
          <w:sz w:val="20"/>
          <w:szCs w:val="20"/>
          <w:color w:val="auto"/>
        </w:rPr>
      </w:pPr>
    </w:p>
    <w:p>
      <w:pPr>
        <w:ind w:left="1900"/>
        <w:spacing w:after="0"/>
        <w:rPr>
          <w:sz w:val="20"/>
          <w:szCs w:val="20"/>
          <w:color w:val="auto"/>
        </w:rPr>
      </w:pPr>
      <w:r>
        <w:rPr>
          <w:rFonts w:ascii="Arial" w:cs="Arial" w:eastAsia="Arial" w:hAnsi="Arial"/>
          <w:sz w:val="13"/>
          <w:szCs w:val="13"/>
          <w:i w:val="1"/>
          <w:iCs w:val="1"/>
          <w:color w:val="auto"/>
        </w:rPr>
        <w:t>(Dollars in millions)</w:t>
      </w:r>
    </w:p>
    <w:p>
      <w:pPr>
        <w:spacing w:after="0" w:line="67" w:lineRule="exact"/>
        <w:rPr>
          <w:sz w:val="20"/>
          <w:szCs w:val="20"/>
          <w:color w:val="auto"/>
        </w:rPr>
      </w:pPr>
    </w:p>
    <w:tbl>
      <w:tblPr>
        <w:tblLayout w:type="fixed"/>
        <w:tblInd w:w="1900" w:type="dxa"/>
        <w:tblCellMar>
          <w:top w:w="0" w:type="dxa"/>
          <w:left w:w="0" w:type="dxa"/>
          <w:bottom w:w="0" w:type="dxa"/>
          <w:right w:w="0" w:type="dxa"/>
        </w:tblCellMar>
      </w:tblPr>
      <w:tr>
        <w:trPr>
          <w:trHeight w:val="159"/>
        </w:trPr>
        <w:tc>
          <w:tcPr>
            <w:tcW w:w="490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840" w:type="dxa"/>
            <w:vAlign w:val="bottom"/>
            <w:tcBorders>
              <w:bottom w:val="single" w:sz="8" w:color="auto"/>
            </w:tcBorders>
            <w:gridSpan w:val="4"/>
          </w:tcPr>
          <w:p>
            <w:pPr>
              <w:jc w:val="right"/>
              <w:spacing w:after="0"/>
              <w:rPr>
                <w:sz w:val="20"/>
                <w:szCs w:val="20"/>
                <w:color w:val="auto"/>
              </w:rPr>
            </w:pPr>
            <w:r>
              <w:rPr>
                <w:rFonts w:ascii="Arial" w:cs="Arial" w:eastAsia="Arial" w:hAnsi="Arial"/>
                <w:sz w:val="13"/>
                <w:szCs w:val="13"/>
                <w:color w:val="auto"/>
              </w:rPr>
              <w:t>Years ended December 31,</w:t>
            </w:r>
          </w:p>
        </w:tc>
        <w:tc>
          <w:tcPr>
            <w:tcW w:w="540" w:type="dxa"/>
            <w:vAlign w:val="bottom"/>
            <w:tcBorders>
              <w:bottom w:val="single" w:sz="8" w:color="auto"/>
            </w:tcBorders>
          </w:tcPr>
          <w:p>
            <w:pPr>
              <w:spacing w:after="0"/>
              <w:rPr>
                <w:sz w:val="13"/>
                <w:szCs w:val="13"/>
                <w:color w:val="auto"/>
              </w:rPr>
            </w:pPr>
          </w:p>
        </w:tc>
      </w:tr>
      <w:tr>
        <w:trPr>
          <w:trHeight w:val="208"/>
        </w:trPr>
        <w:tc>
          <w:tcPr>
            <w:tcW w:w="490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189"/>
              <w:spacing w:after="0"/>
              <w:rPr>
                <w:sz w:val="20"/>
                <w:szCs w:val="20"/>
                <w:color w:val="auto"/>
              </w:rPr>
            </w:pPr>
            <w:r>
              <w:rPr>
                <w:rFonts w:ascii="Arial" w:cs="Arial" w:eastAsia="Arial" w:hAnsi="Arial"/>
                <w:sz w:val="13"/>
                <w:szCs w:val="13"/>
                <w:color w:val="auto"/>
              </w:rPr>
              <w:t>2008</w:t>
            </w:r>
          </w:p>
        </w:tc>
        <w:tc>
          <w:tcPr>
            <w:tcW w:w="2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189"/>
              <w:spacing w:after="0"/>
              <w:rPr>
                <w:sz w:val="20"/>
                <w:szCs w:val="20"/>
                <w:color w:val="auto"/>
              </w:rPr>
            </w:pPr>
            <w:r>
              <w:rPr>
                <w:rFonts w:ascii="Arial" w:cs="Arial" w:eastAsia="Arial" w:hAnsi="Arial"/>
                <w:sz w:val="13"/>
                <w:szCs w:val="13"/>
                <w:color w:val="auto"/>
              </w:rPr>
              <w:t>2007</w:t>
            </w:r>
          </w:p>
        </w:tc>
        <w:tc>
          <w:tcPr>
            <w:tcW w:w="3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ind w:right="109"/>
              <w:spacing w:after="0"/>
              <w:rPr>
                <w:sz w:val="20"/>
                <w:szCs w:val="20"/>
                <w:color w:val="auto"/>
              </w:rPr>
            </w:pPr>
            <w:r>
              <w:rPr>
                <w:rFonts w:ascii="Arial" w:cs="Arial" w:eastAsia="Arial" w:hAnsi="Arial"/>
                <w:sz w:val="13"/>
                <w:szCs w:val="13"/>
                <w:color w:val="auto"/>
              </w:rPr>
              <w:t>2006</w:t>
            </w:r>
          </w:p>
        </w:tc>
      </w:tr>
      <w:tr>
        <w:trPr>
          <w:trHeight w:val="207"/>
        </w:trPr>
        <w:tc>
          <w:tcPr>
            <w:tcW w:w="4900" w:type="dxa"/>
            <w:vAlign w:val="bottom"/>
          </w:tcPr>
          <w:p>
            <w:pPr>
              <w:spacing w:after="0"/>
              <w:rPr>
                <w:sz w:val="20"/>
                <w:szCs w:val="20"/>
                <w:color w:val="auto"/>
              </w:rPr>
            </w:pPr>
            <w:r>
              <w:rPr>
                <w:rFonts w:ascii="Arial" w:cs="Arial" w:eastAsia="Arial" w:hAnsi="Arial"/>
                <w:sz w:val="14"/>
                <w:szCs w:val="14"/>
                <w:b w:val="1"/>
                <w:bCs w:val="1"/>
                <w:color w:val="auto"/>
              </w:rPr>
              <w:t>SDG&amp;E:</w:t>
            </w:r>
          </w:p>
        </w:tc>
        <w:tc>
          <w:tcPr>
            <w:tcW w:w="3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r>
      <w:tr>
        <w:trPr>
          <w:trHeight w:val="192"/>
        </w:trPr>
        <w:tc>
          <w:tcPr>
            <w:tcW w:w="4900" w:type="dxa"/>
            <w:vAlign w:val="bottom"/>
          </w:tcPr>
          <w:p>
            <w:pPr>
              <w:ind w:left="240"/>
              <w:spacing w:after="0"/>
              <w:rPr>
                <w:sz w:val="20"/>
                <w:szCs w:val="20"/>
                <w:color w:val="auto"/>
              </w:rPr>
            </w:pPr>
            <w:r>
              <w:rPr>
                <w:rFonts w:ascii="Arial" w:cs="Arial" w:eastAsia="Arial" w:hAnsi="Arial"/>
                <w:sz w:val="14"/>
                <w:szCs w:val="14"/>
                <w:color w:val="auto"/>
              </w:rPr>
              <w:t>AFUDC related to debt</w:t>
            </w:r>
          </w:p>
        </w:tc>
        <w:tc>
          <w:tcPr>
            <w:tcW w:w="3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29"/>
              <w:spacing w:after="0"/>
              <w:rPr>
                <w:sz w:val="20"/>
                <w:szCs w:val="20"/>
                <w:color w:val="auto"/>
              </w:rPr>
            </w:pPr>
            <w:r>
              <w:rPr>
                <w:rFonts w:ascii="Arial" w:cs="Arial" w:eastAsia="Arial" w:hAnsi="Arial"/>
                <w:sz w:val="14"/>
                <w:szCs w:val="14"/>
                <w:color w:val="auto"/>
              </w:rPr>
              <w:t>10</w:t>
            </w:r>
          </w:p>
        </w:tc>
        <w:tc>
          <w:tcPr>
            <w:tcW w:w="2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29"/>
              <w:spacing w:after="0"/>
              <w:rPr>
                <w:sz w:val="20"/>
                <w:szCs w:val="20"/>
                <w:color w:val="auto"/>
              </w:rPr>
            </w:pPr>
            <w:r>
              <w:rPr>
                <w:rFonts w:ascii="Arial" w:cs="Arial" w:eastAsia="Arial" w:hAnsi="Arial"/>
                <w:sz w:val="14"/>
                <w:szCs w:val="14"/>
                <w:color w:val="auto"/>
              </w:rPr>
              <w:t>7</w:t>
            </w:r>
          </w:p>
        </w:tc>
        <w:tc>
          <w:tcPr>
            <w:tcW w:w="3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5</w:t>
            </w:r>
          </w:p>
        </w:tc>
      </w:tr>
      <w:tr>
        <w:trPr>
          <w:trHeight w:val="216"/>
        </w:trPr>
        <w:tc>
          <w:tcPr>
            <w:tcW w:w="4900" w:type="dxa"/>
            <w:vAlign w:val="bottom"/>
          </w:tcPr>
          <w:p>
            <w:pPr>
              <w:ind w:left="240"/>
              <w:spacing w:after="0"/>
              <w:rPr>
                <w:sz w:val="20"/>
                <w:szCs w:val="20"/>
                <w:color w:val="auto"/>
              </w:rPr>
            </w:pPr>
            <w:r>
              <w:rPr>
                <w:rFonts w:ascii="Arial" w:cs="Arial" w:eastAsia="Arial" w:hAnsi="Arial"/>
                <w:sz w:val="14"/>
                <w:szCs w:val="14"/>
                <w:color w:val="auto"/>
              </w:rPr>
              <w:t>AFUDC related to equity</w:t>
            </w:r>
          </w:p>
        </w:tc>
        <w:tc>
          <w:tcPr>
            <w:tcW w:w="360" w:type="dxa"/>
            <w:vAlign w:val="bottom"/>
          </w:tcPr>
          <w:p>
            <w:pPr>
              <w:spacing w:after="0"/>
              <w:rPr>
                <w:sz w:val="18"/>
                <w:szCs w:val="18"/>
                <w:color w:val="auto"/>
              </w:rPr>
            </w:pPr>
          </w:p>
        </w:tc>
        <w:tc>
          <w:tcPr>
            <w:tcW w:w="640" w:type="dxa"/>
            <w:vAlign w:val="bottom"/>
          </w:tcPr>
          <w:p>
            <w:pPr>
              <w:jc w:val="right"/>
              <w:ind w:right="29"/>
              <w:spacing w:after="0"/>
              <w:rPr>
                <w:sz w:val="20"/>
                <w:szCs w:val="20"/>
                <w:color w:val="auto"/>
              </w:rPr>
            </w:pPr>
            <w:r>
              <w:rPr>
                <w:rFonts w:ascii="Arial" w:cs="Arial" w:eastAsia="Arial" w:hAnsi="Arial"/>
                <w:sz w:val="14"/>
                <w:szCs w:val="14"/>
                <w:color w:val="auto"/>
              </w:rPr>
              <w:t>27</w:t>
            </w:r>
          </w:p>
        </w:tc>
        <w:tc>
          <w:tcPr>
            <w:tcW w:w="260" w:type="dxa"/>
            <w:vAlign w:val="bottom"/>
          </w:tcPr>
          <w:p>
            <w:pPr>
              <w:spacing w:after="0"/>
              <w:rPr>
                <w:sz w:val="18"/>
                <w:szCs w:val="18"/>
                <w:color w:val="auto"/>
              </w:rPr>
            </w:pPr>
          </w:p>
        </w:tc>
        <w:tc>
          <w:tcPr>
            <w:tcW w:w="640" w:type="dxa"/>
            <w:vAlign w:val="bottom"/>
          </w:tcPr>
          <w:p>
            <w:pPr>
              <w:jc w:val="right"/>
              <w:ind w:right="29"/>
              <w:spacing w:after="0"/>
              <w:rPr>
                <w:sz w:val="20"/>
                <w:szCs w:val="20"/>
                <w:color w:val="auto"/>
              </w:rPr>
            </w:pPr>
            <w:r>
              <w:rPr>
                <w:rFonts w:ascii="Arial" w:cs="Arial" w:eastAsia="Arial" w:hAnsi="Arial"/>
                <w:sz w:val="14"/>
                <w:szCs w:val="14"/>
                <w:color w:val="auto"/>
              </w:rPr>
              <w:t>17</w:t>
            </w:r>
          </w:p>
        </w:tc>
        <w:tc>
          <w:tcPr>
            <w:tcW w:w="3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10</w:t>
            </w:r>
          </w:p>
        </w:tc>
      </w:tr>
      <w:tr>
        <w:trPr>
          <w:trHeight w:val="222"/>
        </w:trPr>
        <w:tc>
          <w:tcPr>
            <w:tcW w:w="4900" w:type="dxa"/>
            <w:vAlign w:val="bottom"/>
          </w:tcPr>
          <w:p>
            <w:pPr>
              <w:ind w:left="240"/>
              <w:spacing w:after="0"/>
              <w:rPr>
                <w:sz w:val="20"/>
                <w:szCs w:val="20"/>
                <w:color w:val="auto"/>
              </w:rPr>
            </w:pPr>
            <w:r>
              <w:rPr>
                <w:rFonts w:ascii="Arial" w:cs="Arial" w:eastAsia="Arial" w:hAnsi="Arial"/>
                <w:sz w:val="14"/>
                <w:szCs w:val="14"/>
                <w:color w:val="auto"/>
              </w:rPr>
              <w:t>Other capitalized financing costs</w:t>
            </w:r>
          </w:p>
        </w:tc>
        <w:tc>
          <w:tcPr>
            <w:tcW w:w="3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13</w:t>
            </w:r>
          </w:p>
        </w:tc>
        <w:tc>
          <w:tcPr>
            <w:tcW w:w="2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3</w:t>
            </w:r>
          </w:p>
        </w:tc>
        <w:tc>
          <w:tcPr>
            <w:tcW w:w="3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w:t>
            </w:r>
          </w:p>
        </w:tc>
      </w:tr>
      <w:tr>
        <w:trPr>
          <w:trHeight w:val="208"/>
        </w:trPr>
        <w:tc>
          <w:tcPr>
            <w:tcW w:w="4900" w:type="dxa"/>
            <w:vAlign w:val="bottom"/>
          </w:tcPr>
          <w:p>
            <w:pPr>
              <w:ind w:left="460"/>
              <w:spacing w:after="0"/>
              <w:rPr>
                <w:sz w:val="20"/>
                <w:szCs w:val="20"/>
                <w:color w:val="auto"/>
              </w:rPr>
            </w:pPr>
            <w:r>
              <w:rPr>
                <w:rFonts w:ascii="Arial" w:cs="Arial" w:eastAsia="Arial" w:hAnsi="Arial"/>
                <w:sz w:val="14"/>
                <w:szCs w:val="14"/>
                <w:color w:val="auto"/>
              </w:rPr>
              <w:t>Total SDG&amp;E</w:t>
            </w:r>
          </w:p>
        </w:tc>
        <w:tc>
          <w:tcPr>
            <w:tcW w:w="3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50</w:t>
            </w:r>
          </w:p>
        </w:tc>
        <w:tc>
          <w:tcPr>
            <w:tcW w:w="2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27</w:t>
            </w:r>
          </w:p>
        </w:tc>
        <w:tc>
          <w:tcPr>
            <w:tcW w:w="3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w:t>
            </w:r>
          </w:p>
        </w:tc>
      </w:tr>
      <w:tr>
        <w:trPr>
          <w:trHeight w:val="418"/>
        </w:trPr>
        <w:tc>
          <w:tcPr>
            <w:tcW w:w="4900" w:type="dxa"/>
            <w:vAlign w:val="bottom"/>
          </w:tcPr>
          <w:p>
            <w:pPr>
              <w:spacing w:after="0"/>
              <w:rPr>
                <w:sz w:val="20"/>
                <w:szCs w:val="20"/>
                <w:color w:val="auto"/>
              </w:rPr>
            </w:pPr>
            <w:r>
              <w:rPr>
                <w:rFonts w:ascii="Arial" w:cs="Arial" w:eastAsia="Arial" w:hAnsi="Arial"/>
                <w:sz w:val="14"/>
                <w:szCs w:val="14"/>
                <w:b w:val="1"/>
                <w:bCs w:val="1"/>
                <w:color w:val="auto"/>
              </w:rPr>
              <w:t>SoCalGas:</w:t>
            </w:r>
          </w:p>
        </w:tc>
        <w:tc>
          <w:tcPr>
            <w:tcW w:w="3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216"/>
        </w:trPr>
        <w:tc>
          <w:tcPr>
            <w:tcW w:w="4900" w:type="dxa"/>
            <w:vAlign w:val="bottom"/>
          </w:tcPr>
          <w:p>
            <w:pPr>
              <w:ind w:left="240"/>
              <w:spacing w:after="0"/>
              <w:rPr>
                <w:sz w:val="20"/>
                <w:szCs w:val="20"/>
                <w:color w:val="auto"/>
              </w:rPr>
            </w:pPr>
            <w:r>
              <w:rPr>
                <w:rFonts w:ascii="Arial" w:cs="Arial" w:eastAsia="Arial" w:hAnsi="Arial"/>
                <w:sz w:val="14"/>
                <w:szCs w:val="14"/>
                <w:color w:val="auto"/>
              </w:rPr>
              <w:t>AFUDC related to debt</w:t>
            </w:r>
          </w:p>
        </w:tc>
        <w:tc>
          <w:tcPr>
            <w:tcW w:w="360" w:type="dxa"/>
            <w:vAlign w:val="bottom"/>
          </w:tcPr>
          <w:p>
            <w:pPr>
              <w:spacing w:after="0"/>
              <w:rPr>
                <w:sz w:val="18"/>
                <w:szCs w:val="18"/>
                <w:color w:val="auto"/>
              </w:rPr>
            </w:pPr>
          </w:p>
        </w:tc>
        <w:tc>
          <w:tcPr>
            <w:tcW w:w="640" w:type="dxa"/>
            <w:vAlign w:val="bottom"/>
          </w:tcPr>
          <w:p>
            <w:pPr>
              <w:jc w:val="right"/>
              <w:ind w:right="29"/>
              <w:spacing w:after="0"/>
              <w:rPr>
                <w:sz w:val="20"/>
                <w:szCs w:val="20"/>
                <w:color w:val="auto"/>
              </w:rPr>
            </w:pPr>
            <w:r>
              <w:rPr>
                <w:rFonts w:ascii="Arial" w:cs="Arial" w:eastAsia="Arial" w:hAnsi="Arial"/>
                <w:sz w:val="14"/>
                <w:szCs w:val="14"/>
                <w:color w:val="auto"/>
              </w:rPr>
              <w:t>3</w:t>
            </w:r>
          </w:p>
        </w:tc>
        <w:tc>
          <w:tcPr>
            <w:tcW w:w="260" w:type="dxa"/>
            <w:vAlign w:val="bottom"/>
          </w:tcPr>
          <w:p>
            <w:pPr>
              <w:spacing w:after="0"/>
              <w:rPr>
                <w:sz w:val="18"/>
                <w:szCs w:val="18"/>
                <w:color w:val="auto"/>
              </w:rPr>
            </w:pPr>
          </w:p>
        </w:tc>
        <w:tc>
          <w:tcPr>
            <w:tcW w:w="640" w:type="dxa"/>
            <w:vAlign w:val="bottom"/>
          </w:tcPr>
          <w:p>
            <w:pPr>
              <w:jc w:val="right"/>
              <w:ind w:right="29"/>
              <w:spacing w:after="0"/>
              <w:rPr>
                <w:sz w:val="20"/>
                <w:szCs w:val="20"/>
                <w:color w:val="auto"/>
              </w:rPr>
            </w:pPr>
            <w:r>
              <w:rPr>
                <w:rFonts w:ascii="Arial" w:cs="Arial" w:eastAsia="Arial" w:hAnsi="Arial"/>
                <w:sz w:val="14"/>
                <w:szCs w:val="14"/>
                <w:color w:val="auto"/>
              </w:rPr>
              <w:t>2</w:t>
            </w:r>
          </w:p>
        </w:tc>
        <w:tc>
          <w:tcPr>
            <w:tcW w:w="3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2</w:t>
            </w:r>
          </w:p>
        </w:tc>
      </w:tr>
      <w:tr>
        <w:trPr>
          <w:trHeight w:val="216"/>
        </w:trPr>
        <w:tc>
          <w:tcPr>
            <w:tcW w:w="4900" w:type="dxa"/>
            <w:vAlign w:val="bottom"/>
          </w:tcPr>
          <w:p>
            <w:pPr>
              <w:ind w:left="240"/>
              <w:spacing w:after="0"/>
              <w:rPr>
                <w:sz w:val="20"/>
                <w:szCs w:val="20"/>
                <w:color w:val="auto"/>
              </w:rPr>
            </w:pPr>
            <w:r>
              <w:rPr>
                <w:rFonts w:ascii="Arial" w:cs="Arial" w:eastAsia="Arial" w:hAnsi="Arial"/>
                <w:sz w:val="14"/>
                <w:szCs w:val="14"/>
                <w:color w:val="auto"/>
              </w:rPr>
              <w:t>AFUDC related to equity</w:t>
            </w:r>
          </w:p>
        </w:tc>
        <w:tc>
          <w:tcPr>
            <w:tcW w:w="360" w:type="dxa"/>
            <w:vAlign w:val="bottom"/>
          </w:tcPr>
          <w:p>
            <w:pPr>
              <w:spacing w:after="0"/>
              <w:rPr>
                <w:sz w:val="18"/>
                <w:szCs w:val="18"/>
                <w:color w:val="auto"/>
              </w:rPr>
            </w:pPr>
          </w:p>
        </w:tc>
        <w:tc>
          <w:tcPr>
            <w:tcW w:w="640" w:type="dxa"/>
            <w:vAlign w:val="bottom"/>
          </w:tcPr>
          <w:p>
            <w:pPr>
              <w:jc w:val="right"/>
              <w:ind w:right="29"/>
              <w:spacing w:after="0"/>
              <w:rPr>
                <w:sz w:val="20"/>
                <w:szCs w:val="20"/>
                <w:color w:val="auto"/>
              </w:rPr>
            </w:pPr>
            <w:r>
              <w:rPr>
                <w:rFonts w:ascii="Arial" w:cs="Arial" w:eastAsia="Arial" w:hAnsi="Arial"/>
                <w:sz w:val="14"/>
                <w:szCs w:val="14"/>
                <w:color w:val="auto"/>
              </w:rPr>
              <w:t>8</w:t>
            </w:r>
          </w:p>
        </w:tc>
        <w:tc>
          <w:tcPr>
            <w:tcW w:w="260" w:type="dxa"/>
            <w:vAlign w:val="bottom"/>
          </w:tcPr>
          <w:p>
            <w:pPr>
              <w:spacing w:after="0"/>
              <w:rPr>
                <w:sz w:val="18"/>
                <w:szCs w:val="18"/>
                <w:color w:val="auto"/>
              </w:rPr>
            </w:pPr>
          </w:p>
        </w:tc>
        <w:tc>
          <w:tcPr>
            <w:tcW w:w="640" w:type="dxa"/>
            <w:vAlign w:val="bottom"/>
          </w:tcPr>
          <w:p>
            <w:pPr>
              <w:jc w:val="right"/>
              <w:ind w:right="29"/>
              <w:spacing w:after="0"/>
              <w:rPr>
                <w:sz w:val="20"/>
                <w:szCs w:val="20"/>
                <w:color w:val="auto"/>
              </w:rPr>
            </w:pPr>
            <w:r>
              <w:rPr>
                <w:rFonts w:ascii="Arial" w:cs="Arial" w:eastAsia="Arial" w:hAnsi="Arial"/>
                <w:sz w:val="14"/>
                <w:szCs w:val="14"/>
                <w:color w:val="auto"/>
              </w:rPr>
              <w:t>5</w:t>
            </w:r>
          </w:p>
        </w:tc>
        <w:tc>
          <w:tcPr>
            <w:tcW w:w="3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6</w:t>
            </w:r>
          </w:p>
        </w:tc>
      </w:tr>
      <w:tr>
        <w:trPr>
          <w:trHeight w:val="222"/>
        </w:trPr>
        <w:tc>
          <w:tcPr>
            <w:tcW w:w="4900" w:type="dxa"/>
            <w:vAlign w:val="bottom"/>
          </w:tcPr>
          <w:p>
            <w:pPr>
              <w:ind w:left="240"/>
              <w:spacing w:after="0"/>
              <w:rPr>
                <w:sz w:val="20"/>
                <w:szCs w:val="20"/>
                <w:color w:val="auto"/>
              </w:rPr>
            </w:pPr>
            <w:r>
              <w:rPr>
                <w:rFonts w:ascii="Arial" w:cs="Arial" w:eastAsia="Arial" w:hAnsi="Arial"/>
                <w:sz w:val="14"/>
                <w:szCs w:val="14"/>
                <w:color w:val="auto"/>
              </w:rPr>
              <w:t>Other capitalized financing costs</w:t>
            </w:r>
          </w:p>
        </w:tc>
        <w:tc>
          <w:tcPr>
            <w:tcW w:w="3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1</w:t>
            </w:r>
          </w:p>
        </w:tc>
        <w:tc>
          <w:tcPr>
            <w:tcW w:w="3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w:t>
            </w:r>
          </w:p>
        </w:tc>
      </w:tr>
      <w:tr>
        <w:trPr>
          <w:trHeight w:val="208"/>
        </w:trPr>
        <w:tc>
          <w:tcPr>
            <w:tcW w:w="4900" w:type="dxa"/>
            <w:vAlign w:val="bottom"/>
          </w:tcPr>
          <w:p>
            <w:pPr>
              <w:ind w:left="460"/>
              <w:spacing w:after="0"/>
              <w:rPr>
                <w:sz w:val="20"/>
                <w:szCs w:val="20"/>
                <w:color w:val="auto"/>
              </w:rPr>
            </w:pPr>
            <w:r>
              <w:rPr>
                <w:rFonts w:ascii="Arial" w:cs="Arial" w:eastAsia="Arial" w:hAnsi="Arial"/>
                <w:sz w:val="14"/>
                <w:szCs w:val="14"/>
                <w:color w:val="auto"/>
              </w:rPr>
              <w:t>Total SoCalGas</w:t>
            </w:r>
          </w:p>
        </w:tc>
        <w:tc>
          <w:tcPr>
            <w:tcW w:w="3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11</w:t>
            </w:r>
          </w:p>
        </w:tc>
        <w:tc>
          <w:tcPr>
            <w:tcW w:w="2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8</w:t>
            </w:r>
          </w:p>
        </w:tc>
        <w:tc>
          <w:tcPr>
            <w:tcW w:w="3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w:t>
            </w:r>
          </w:p>
        </w:tc>
      </w:tr>
      <w:tr>
        <w:trPr>
          <w:trHeight w:val="418"/>
        </w:trPr>
        <w:tc>
          <w:tcPr>
            <w:tcW w:w="4900" w:type="dxa"/>
            <w:vAlign w:val="bottom"/>
          </w:tcPr>
          <w:p>
            <w:pPr>
              <w:spacing w:after="0"/>
              <w:rPr>
                <w:sz w:val="20"/>
                <w:szCs w:val="20"/>
                <w:color w:val="auto"/>
              </w:rPr>
            </w:pPr>
            <w:r>
              <w:rPr>
                <w:rFonts w:ascii="Arial" w:cs="Arial" w:eastAsia="Arial" w:hAnsi="Arial"/>
                <w:sz w:val="14"/>
                <w:szCs w:val="14"/>
                <w:b w:val="1"/>
                <w:bCs w:val="1"/>
                <w:color w:val="auto"/>
              </w:rPr>
              <w:t>Sempra Global:</w:t>
            </w:r>
          </w:p>
        </w:tc>
        <w:tc>
          <w:tcPr>
            <w:tcW w:w="3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222"/>
        </w:trPr>
        <w:tc>
          <w:tcPr>
            <w:tcW w:w="4900" w:type="dxa"/>
            <w:vAlign w:val="bottom"/>
          </w:tcPr>
          <w:p>
            <w:pPr>
              <w:ind w:left="240"/>
              <w:spacing w:after="0"/>
              <w:rPr>
                <w:sz w:val="20"/>
                <w:szCs w:val="20"/>
                <w:color w:val="auto"/>
              </w:rPr>
            </w:pPr>
            <w:r>
              <w:rPr>
                <w:rFonts w:ascii="Arial" w:cs="Arial" w:eastAsia="Arial" w:hAnsi="Arial"/>
                <w:sz w:val="14"/>
                <w:szCs w:val="14"/>
                <w:color w:val="auto"/>
              </w:rPr>
              <w:t>Capitalized financing costs</w:t>
            </w:r>
          </w:p>
        </w:tc>
        <w:tc>
          <w:tcPr>
            <w:tcW w:w="3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87</w:t>
            </w:r>
          </w:p>
        </w:tc>
        <w:tc>
          <w:tcPr>
            <w:tcW w:w="2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96</w:t>
            </w:r>
          </w:p>
        </w:tc>
        <w:tc>
          <w:tcPr>
            <w:tcW w:w="3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56</w:t>
            </w:r>
          </w:p>
        </w:tc>
      </w:tr>
      <w:tr>
        <w:trPr>
          <w:trHeight w:val="200"/>
        </w:trPr>
        <w:tc>
          <w:tcPr>
            <w:tcW w:w="49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Total Sempra Energy Consolidated</w:t>
            </w:r>
          </w:p>
        </w:tc>
        <w:tc>
          <w:tcPr>
            <w:tcW w:w="3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148</w:t>
            </w:r>
          </w:p>
        </w:tc>
        <w:tc>
          <w:tcPr>
            <w:tcW w:w="2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131</w:t>
            </w:r>
          </w:p>
        </w:tc>
        <w:tc>
          <w:tcPr>
            <w:tcW w:w="3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Arial" w:cs="Arial" w:eastAsia="Arial" w:hAnsi="Arial"/>
          <w:sz w:val="14"/>
          <w:szCs w:val="14"/>
          <w:color w:val="auto"/>
        </w:rPr>
        <w:t>101</w:t>
      </w:r>
    </w:p>
    <w:p>
      <w:pPr>
        <w:sectPr>
          <w:pgSz w:w="11900" w:h="16838" w:orient="portrait"/>
          <w:cols w:equalWidth="0" w:num="1">
            <w:col w:w="11320"/>
          </w:cols>
          <w:pgMar w:left="240" w:top="127" w:right="339" w:bottom="1440" w:gutter="0" w:footer="0" w:header="0"/>
          <w:type w:val="continuous"/>
        </w:sectPr>
      </w:pPr>
    </w:p>
    <w:bookmarkStart w:id="241" w:name="page242"/>
    <w:bookmarkEnd w:id="241"/>
    <w:p>
      <w:pPr>
        <w:ind w:left="4"/>
        <w:spacing w:after="0"/>
        <w:rPr>
          <w:sz w:val="20"/>
          <w:szCs w:val="20"/>
          <w:color w:val="auto"/>
        </w:rPr>
      </w:pPr>
      <w:r>
        <w:rPr>
          <w:rFonts w:ascii="Arial" w:cs="Arial" w:eastAsia="Arial" w:hAnsi="Arial"/>
          <w:sz w:val="16"/>
          <w:szCs w:val="16"/>
          <w:b w:val="1"/>
          <w:bCs w:val="1"/>
          <w:color w:val="auto"/>
        </w:rPr>
        <w:t>ASSETS HELD FOR SALE</w:t>
      </w:r>
    </w:p>
    <w:p>
      <w:pPr>
        <w:spacing w:after="0" w:line="100" w:lineRule="exact"/>
        <w:rPr>
          <w:sz w:val="20"/>
          <w:szCs w:val="20"/>
          <w:color w:val="auto"/>
        </w:rPr>
      </w:pPr>
    </w:p>
    <w:p>
      <w:pPr>
        <w:ind w:left="4" w:right="60"/>
        <w:spacing w:after="0" w:line="264" w:lineRule="auto"/>
        <w:rPr>
          <w:sz w:val="20"/>
          <w:szCs w:val="20"/>
          <w:color w:val="auto"/>
        </w:rPr>
      </w:pPr>
      <w:r>
        <w:rPr>
          <w:rFonts w:ascii="Arial" w:cs="Arial" w:eastAsia="Arial" w:hAnsi="Arial"/>
          <w:sz w:val="16"/>
          <w:szCs w:val="16"/>
          <w:color w:val="auto"/>
        </w:rPr>
        <w:t>We classify assets as held for sale when management approves and commits to a formal plan to actively market an asset for sale and the sale is expected to close within the next twelve months. Upon classifying an asset as held for sale, we record the asset at the lower of its carrying value or its estimated fair value reduced for selling costs. We cease to record depreciation expense on an asset when it is classified as held for sale.</w:t>
      </w:r>
    </w:p>
    <w:p>
      <w:pPr>
        <w:spacing w:after="0" w:line="42" w:lineRule="exact"/>
        <w:rPr>
          <w:sz w:val="20"/>
          <w:szCs w:val="20"/>
          <w:color w:val="auto"/>
        </w:rPr>
      </w:pPr>
    </w:p>
    <w:p>
      <w:pPr>
        <w:ind w:left="4"/>
        <w:spacing w:after="0"/>
        <w:rPr>
          <w:sz w:val="20"/>
          <w:szCs w:val="20"/>
          <w:color w:val="auto"/>
        </w:rPr>
      </w:pPr>
      <w:r>
        <w:rPr>
          <w:rFonts w:ascii="Arial" w:cs="Arial" w:eastAsia="Arial" w:hAnsi="Arial"/>
          <w:sz w:val="16"/>
          <w:szCs w:val="16"/>
          <w:color w:val="auto"/>
        </w:rPr>
        <w:t>During 2008, management approved and committed to a formal plan to dispose of certain Sempra Generation assets as follows:</w:t>
      </w:r>
    </w:p>
    <w:p>
      <w:pPr>
        <w:spacing w:after="0" w:line="145" w:lineRule="exact"/>
        <w:rPr>
          <w:sz w:val="20"/>
          <w:szCs w:val="20"/>
          <w:color w:val="auto"/>
        </w:rPr>
      </w:pPr>
    </w:p>
    <w:tbl>
      <w:tblPr>
        <w:tblLayout w:type="fixed"/>
        <w:tblInd w:w="3824" w:type="dxa"/>
        <w:tblCellMar>
          <w:top w:w="0" w:type="dxa"/>
          <w:left w:w="0" w:type="dxa"/>
          <w:bottom w:w="0" w:type="dxa"/>
          <w:right w:w="0" w:type="dxa"/>
        </w:tblCellMar>
      </w:tblPr>
      <w:tr>
        <w:trPr>
          <w:trHeight w:val="154"/>
        </w:trPr>
        <w:tc>
          <w:tcPr>
            <w:tcW w:w="2200" w:type="dxa"/>
            <w:vAlign w:val="bottom"/>
            <w:vMerge w:val="restart"/>
          </w:tcPr>
          <w:p>
            <w:pPr>
              <w:ind w:left="20"/>
              <w:spacing w:after="0"/>
              <w:rPr>
                <w:sz w:val="20"/>
                <w:szCs w:val="20"/>
                <w:color w:val="auto"/>
              </w:rPr>
            </w:pPr>
            <w:r>
              <w:rPr>
                <w:rFonts w:ascii="Arial" w:cs="Arial" w:eastAsia="Arial" w:hAnsi="Arial"/>
                <w:sz w:val="13"/>
                <w:szCs w:val="13"/>
                <w:i w:val="1"/>
                <w:iCs w:val="1"/>
                <w:color w:val="auto"/>
              </w:rPr>
              <w:t>(Dollars in millions)</w:t>
            </w:r>
          </w:p>
        </w:tc>
        <w:tc>
          <w:tcPr>
            <w:tcW w:w="340" w:type="dxa"/>
            <w:vAlign w:val="bottom"/>
          </w:tcPr>
          <w:p>
            <w:pPr>
              <w:spacing w:after="0"/>
              <w:rPr>
                <w:sz w:val="13"/>
                <w:szCs w:val="13"/>
                <w:color w:val="auto"/>
              </w:rPr>
            </w:pPr>
          </w:p>
        </w:tc>
        <w:tc>
          <w:tcPr>
            <w:tcW w:w="1240" w:type="dxa"/>
            <w:vAlign w:val="bottom"/>
          </w:tcPr>
          <w:p>
            <w:pPr>
              <w:jc w:val="right"/>
              <w:ind w:right="191"/>
              <w:spacing w:after="0"/>
              <w:rPr>
                <w:sz w:val="20"/>
                <w:szCs w:val="20"/>
                <w:color w:val="auto"/>
              </w:rPr>
            </w:pPr>
            <w:r>
              <w:rPr>
                <w:rFonts w:ascii="Arial" w:cs="Arial" w:eastAsia="Arial" w:hAnsi="Arial"/>
                <w:sz w:val="13"/>
                <w:szCs w:val="13"/>
                <w:color w:val="auto"/>
              </w:rPr>
              <w:t>December 31,</w:t>
            </w:r>
          </w:p>
        </w:tc>
        <w:tc>
          <w:tcPr>
            <w:tcW w:w="0" w:type="dxa"/>
            <w:vAlign w:val="bottom"/>
          </w:tcPr>
          <w:p>
            <w:pPr>
              <w:spacing w:after="0"/>
              <w:rPr>
                <w:sz w:val="1"/>
                <w:szCs w:val="1"/>
                <w:color w:val="auto"/>
              </w:rPr>
            </w:pPr>
          </w:p>
        </w:tc>
      </w:tr>
      <w:tr>
        <w:trPr>
          <w:trHeight w:val="161"/>
        </w:trPr>
        <w:tc>
          <w:tcPr>
            <w:tcW w:w="2200" w:type="dxa"/>
            <w:vAlign w:val="bottom"/>
            <w:tcBorders>
              <w:bottom w:val="single" w:sz="8" w:color="auto"/>
            </w:tcBorders>
            <w:vMerge w:val="continue"/>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451"/>
              <w:spacing w:after="0"/>
              <w:rPr>
                <w:sz w:val="20"/>
                <w:szCs w:val="20"/>
                <w:color w:val="auto"/>
              </w:rPr>
            </w:pPr>
            <w:r>
              <w:rPr>
                <w:rFonts w:ascii="Arial" w:cs="Arial" w:eastAsia="Arial" w:hAnsi="Arial"/>
                <w:sz w:val="13"/>
                <w:szCs w:val="13"/>
                <w:color w:val="auto"/>
              </w:rPr>
              <w:t>2008</w:t>
            </w:r>
          </w:p>
        </w:tc>
        <w:tc>
          <w:tcPr>
            <w:tcW w:w="0" w:type="dxa"/>
            <w:vAlign w:val="bottom"/>
          </w:tcPr>
          <w:p>
            <w:pPr>
              <w:spacing w:after="0"/>
              <w:rPr>
                <w:sz w:val="1"/>
                <w:szCs w:val="1"/>
                <w:color w:val="auto"/>
              </w:rPr>
            </w:pPr>
          </w:p>
        </w:tc>
      </w:tr>
      <w:tr>
        <w:trPr>
          <w:trHeight w:val="207"/>
        </w:trPr>
        <w:tc>
          <w:tcPr>
            <w:tcW w:w="2200" w:type="dxa"/>
            <w:vAlign w:val="bottom"/>
          </w:tcPr>
          <w:p>
            <w:pPr>
              <w:ind w:left="20"/>
              <w:spacing w:after="0"/>
              <w:rPr>
                <w:sz w:val="20"/>
                <w:szCs w:val="20"/>
                <w:color w:val="auto"/>
              </w:rPr>
            </w:pPr>
            <w:r>
              <w:rPr>
                <w:rFonts w:ascii="Arial" w:cs="Arial" w:eastAsia="Arial" w:hAnsi="Arial"/>
                <w:sz w:val="14"/>
                <w:szCs w:val="14"/>
                <w:color w:val="auto"/>
              </w:rPr>
              <w:t>Gas turbine</w:t>
            </w:r>
          </w:p>
        </w:tc>
        <w:tc>
          <w:tcPr>
            <w:tcW w:w="34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271"/>
              <w:spacing w:after="0"/>
              <w:rPr>
                <w:sz w:val="20"/>
                <w:szCs w:val="20"/>
                <w:color w:val="auto"/>
              </w:rPr>
            </w:pPr>
            <w:r>
              <w:rPr>
                <w:rFonts w:ascii="Arial" w:cs="Arial" w:eastAsia="Arial" w:hAnsi="Arial"/>
                <w:sz w:val="14"/>
                <w:szCs w:val="14"/>
                <w:color w:val="auto"/>
              </w:rPr>
              <w:t>34</w:t>
            </w:r>
          </w:p>
        </w:tc>
        <w:tc>
          <w:tcPr>
            <w:tcW w:w="0" w:type="dxa"/>
            <w:vAlign w:val="bottom"/>
          </w:tcPr>
          <w:p>
            <w:pPr>
              <w:spacing w:after="0"/>
              <w:rPr>
                <w:sz w:val="1"/>
                <w:szCs w:val="1"/>
                <w:color w:val="auto"/>
              </w:rPr>
            </w:pPr>
          </w:p>
        </w:tc>
      </w:tr>
      <w:tr>
        <w:trPr>
          <w:trHeight w:val="216"/>
        </w:trPr>
        <w:tc>
          <w:tcPr>
            <w:tcW w:w="2200" w:type="dxa"/>
            <w:vAlign w:val="bottom"/>
          </w:tcPr>
          <w:p>
            <w:pPr>
              <w:ind w:left="20"/>
              <w:spacing w:after="0"/>
              <w:rPr>
                <w:sz w:val="20"/>
                <w:szCs w:val="20"/>
                <w:color w:val="auto"/>
              </w:rPr>
            </w:pPr>
            <w:r>
              <w:rPr>
                <w:rFonts w:ascii="Arial" w:cs="Arial" w:eastAsia="Arial" w:hAnsi="Arial"/>
                <w:sz w:val="14"/>
                <w:szCs w:val="14"/>
                <w:color w:val="auto"/>
              </w:rPr>
              <w:t>Steam turbine</w:t>
            </w:r>
          </w:p>
        </w:tc>
        <w:tc>
          <w:tcPr>
            <w:tcW w:w="340" w:type="dxa"/>
            <w:vAlign w:val="bottom"/>
          </w:tcPr>
          <w:p>
            <w:pPr>
              <w:spacing w:after="0"/>
              <w:rPr>
                <w:sz w:val="18"/>
                <w:szCs w:val="18"/>
                <w:color w:val="auto"/>
              </w:rPr>
            </w:pPr>
          </w:p>
        </w:tc>
        <w:tc>
          <w:tcPr>
            <w:tcW w:w="1240" w:type="dxa"/>
            <w:vAlign w:val="bottom"/>
          </w:tcPr>
          <w:p>
            <w:pPr>
              <w:jc w:val="right"/>
              <w:ind w:right="271"/>
              <w:spacing w:after="0"/>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222"/>
        </w:trPr>
        <w:tc>
          <w:tcPr>
            <w:tcW w:w="2200" w:type="dxa"/>
            <w:vAlign w:val="bottom"/>
          </w:tcPr>
          <w:p>
            <w:pPr>
              <w:ind w:left="20"/>
              <w:spacing w:after="0"/>
              <w:rPr>
                <w:sz w:val="20"/>
                <w:szCs w:val="20"/>
                <w:color w:val="auto"/>
              </w:rPr>
            </w:pPr>
            <w:r>
              <w:rPr>
                <w:rFonts w:ascii="Arial" w:cs="Arial" w:eastAsia="Arial" w:hAnsi="Arial"/>
                <w:sz w:val="14"/>
                <w:szCs w:val="14"/>
                <w:color w:val="auto"/>
              </w:rPr>
              <w:t>Emission reduction credits</w:t>
            </w:r>
          </w:p>
        </w:tc>
        <w:tc>
          <w:tcPr>
            <w:tcW w:w="3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271"/>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24"/>
        </w:trPr>
        <w:tc>
          <w:tcPr>
            <w:tcW w:w="22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tcPr>
          <w:p>
            <w:pPr>
              <w:jc w:val="right"/>
              <w:ind w:right="271"/>
              <w:spacing w:after="0"/>
              <w:rPr>
                <w:sz w:val="20"/>
                <w:szCs w:val="20"/>
                <w:color w:val="auto"/>
              </w:rPr>
            </w:pPr>
            <w:r>
              <w:rPr>
                <w:rFonts w:ascii="Arial" w:cs="Arial" w:eastAsia="Arial" w:hAnsi="Arial"/>
                <w:sz w:val="14"/>
                <w:szCs w:val="14"/>
                <w:color w:val="auto"/>
              </w:rPr>
              <w:t>41</w:t>
            </w:r>
          </w:p>
        </w:tc>
        <w:tc>
          <w:tcPr>
            <w:tcW w:w="0" w:type="dxa"/>
            <w:vAlign w:val="bottom"/>
          </w:tcPr>
          <w:p>
            <w:pPr>
              <w:spacing w:after="0"/>
              <w:rPr>
                <w:sz w:val="1"/>
                <w:szCs w:val="1"/>
                <w:color w:val="auto"/>
              </w:rPr>
            </w:pPr>
          </w:p>
        </w:tc>
      </w:tr>
    </w:tbl>
    <w:p>
      <w:pPr>
        <w:spacing w:after="0" w:line="180" w:lineRule="exact"/>
        <w:rPr>
          <w:sz w:val="20"/>
          <w:szCs w:val="20"/>
          <w:color w:val="auto"/>
        </w:rPr>
      </w:pPr>
    </w:p>
    <w:p>
      <w:pPr>
        <w:ind w:left="4"/>
        <w:spacing w:after="0" w:line="259" w:lineRule="auto"/>
        <w:rPr>
          <w:sz w:val="20"/>
          <w:szCs w:val="20"/>
          <w:color w:val="auto"/>
        </w:rPr>
      </w:pPr>
      <w:r>
        <w:rPr>
          <w:rFonts w:ascii="Arial" w:cs="Arial" w:eastAsia="Arial" w:hAnsi="Arial"/>
          <w:sz w:val="16"/>
          <w:szCs w:val="16"/>
          <w:color w:val="auto"/>
        </w:rPr>
        <w:t>We classified these assets as held for sale as of December 31, 2008. They are included in Other Current Assets on the Consolidated Balance Sheets. For the years ended December 31, 2008 and 2007, there was no impairment of the assets held for sale nor do the assets held for sale generate operating income. We continue to evaluate the assets in our total portfolio for whether events or circumstances have occurred that may affect recoverability or estimated useful life, and continue to pursue disposal of our assets held for sale.</w:t>
      </w:r>
    </w:p>
    <w:p>
      <w:pPr>
        <w:spacing w:after="0" w:line="243"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auto"/>
        </w:rPr>
        <w:t>GOODWILL AND OTHER INTANGIBLE ASSETS</w:t>
      </w:r>
    </w:p>
    <w:p>
      <w:pPr>
        <w:spacing w:after="0" w:line="182" w:lineRule="exact"/>
        <w:rPr>
          <w:sz w:val="20"/>
          <w:szCs w:val="20"/>
          <w:color w:val="auto"/>
        </w:rPr>
      </w:pPr>
    </w:p>
    <w:p>
      <w:pPr>
        <w:ind w:left="4"/>
        <w:spacing w:after="0"/>
        <w:rPr>
          <w:sz w:val="20"/>
          <w:szCs w:val="20"/>
          <w:color w:val="auto"/>
        </w:rPr>
      </w:pPr>
      <w:r>
        <w:rPr>
          <w:rFonts w:ascii="Arial" w:cs="Arial" w:eastAsia="Arial" w:hAnsi="Arial"/>
          <w:sz w:val="18"/>
          <w:szCs w:val="18"/>
          <w:b w:val="1"/>
          <w:bCs w:val="1"/>
          <w:i w:val="1"/>
          <w:iCs w:val="1"/>
          <w:color w:val="auto"/>
        </w:rPr>
        <w:t>Goodwill</w:t>
      </w:r>
    </w:p>
    <w:p>
      <w:pPr>
        <w:spacing w:after="0" w:line="23" w:lineRule="exact"/>
        <w:rPr>
          <w:sz w:val="20"/>
          <w:szCs w:val="20"/>
          <w:color w:val="auto"/>
        </w:rPr>
      </w:pPr>
    </w:p>
    <w:p>
      <w:pPr>
        <w:ind w:left="4" w:right="500"/>
        <w:spacing w:after="0" w:line="277" w:lineRule="auto"/>
        <w:rPr>
          <w:sz w:val="20"/>
          <w:szCs w:val="20"/>
          <w:color w:val="auto"/>
        </w:rPr>
      </w:pPr>
      <w:r>
        <w:rPr>
          <w:rFonts w:ascii="Arial" w:cs="Arial" w:eastAsia="Arial" w:hAnsi="Arial"/>
          <w:sz w:val="16"/>
          <w:szCs w:val="16"/>
          <w:color w:val="auto"/>
        </w:rPr>
        <w:t xml:space="preserve">Goodwill is the excess of the purchase price over the fair value of the net assets of acquired companies. Goodwill is not amortized but is tested annually on October 1 for impairment in accordance with SFAS 142, </w:t>
      </w:r>
      <w:r>
        <w:rPr>
          <w:rFonts w:ascii="Arial" w:cs="Arial" w:eastAsia="Arial" w:hAnsi="Arial"/>
          <w:sz w:val="16"/>
          <w:szCs w:val="16"/>
          <w:i w:val="1"/>
          <w:iCs w:val="1"/>
          <w:color w:val="auto"/>
        </w:rPr>
        <w:t>Goodwill and Other Intangible Assets</w:t>
      </w:r>
      <w:r>
        <w:rPr>
          <w:rFonts w:ascii="Arial" w:cs="Arial" w:eastAsia="Arial" w:hAnsi="Arial"/>
          <w:sz w:val="16"/>
          <w:szCs w:val="16"/>
          <w:color w:val="auto"/>
        </w:rPr>
        <w:t xml:space="preserve"> (SFAS 142).</w:t>
      </w:r>
    </w:p>
    <w:p>
      <w:pPr>
        <w:spacing w:after="0" w:line="32" w:lineRule="exact"/>
        <w:rPr>
          <w:sz w:val="20"/>
          <w:szCs w:val="20"/>
          <w:color w:val="auto"/>
        </w:rPr>
      </w:pPr>
    </w:p>
    <w:p>
      <w:pPr>
        <w:ind w:left="4" w:right="140"/>
        <w:spacing w:after="0" w:line="277" w:lineRule="auto"/>
        <w:rPr>
          <w:sz w:val="20"/>
          <w:szCs w:val="20"/>
          <w:color w:val="auto"/>
        </w:rPr>
      </w:pPr>
      <w:r>
        <w:rPr>
          <w:rFonts w:ascii="Arial" w:cs="Arial" w:eastAsia="Arial" w:hAnsi="Arial"/>
          <w:sz w:val="16"/>
          <w:szCs w:val="16"/>
          <w:color w:val="auto"/>
        </w:rPr>
        <w:t>As a result of the formation of RBS Sempra Commodities (as we discuss in Notes 3 and 4), goodwill associated with the commodities-marketing businesses that were a part of our Sempra Commodities segment was reclassified to Investment in RBS Sempra Commodities LLP on the Consolidated Balance Sheets.</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6"/>
          <w:szCs w:val="16"/>
          <w:color w:val="auto"/>
        </w:rPr>
        <w:t>In connection with the acquisition of EnergySouth in October 2008, as we discuss in Note 3, Sempra Pipelines &amp; Storage recorded goodwill of $67 million.</w:t>
      </w:r>
    </w:p>
    <w:p>
      <w:pPr>
        <w:spacing w:after="0" w:line="80" w:lineRule="exact"/>
        <w:rPr>
          <w:sz w:val="20"/>
          <w:szCs w:val="20"/>
          <w:color w:val="auto"/>
        </w:rPr>
      </w:pPr>
    </w:p>
    <w:p>
      <w:pPr>
        <w:ind w:left="4"/>
        <w:spacing w:after="0"/>
        <w:rPr>
          <w:sz w:val="20"/>
          <w:szCs w:val="20"/>
          <w:color w:val="auto"/>
        </w:rPr>
      </w:pPr>
      <w:r>
        <w:rPr>
          <w:rFonts w:ascii="Arial" w:cs="Arial" w:eastAsia="Arial" w:hAnsi="Arial"/>
          <w:sz w:val="16"/>
          <w:szCs w:val="16"/>
          <w:color w:val="auto"/>
        </w:rPr>
        <w:t>Goodwill included in Goodwill and Other Intangible Assets on the Sempra Energy Consolidated Balance Sheets is recorded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2036445</wp:posOffset>
            </wp:positionH>
            <wp:positionV relativeFrom="paragraph">
              <wp:posOffset>196215</wp:posOffset>
            </wp:positionV>
            <wp:extent cx="3188335" cy="24384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3188335" cy="243840"/>
                    </a:xfrm>
                    <a:prstGeom prst="rect">
                      <a:avLst/>
                    </a:prstGeom>
                    <a:noFill/>
                  </pic:spPr>
                </pic:pic>
              </a:graphicData>
            </a:graphic>
          </wp:anchor>
        </w:drawing>
      </w:r>
    </w:p>
    <w:p>
      <w:pPr>
        <w:spacing w:after="0" w:line="297" w:lineRule="exact"/>
        <w:rPr>
          <w:sz w:val="20"/>
          <w:szCs w:val="20"/>
          <w:color w:val="auto"/>
        </w:rPr>
      </w:pPr>
    </w:p>
    <w:p>
      <w:pPr>
        <w:ind w:left="3224"/>
        <w:spacing w:after="0"/>
        <w:rPr>
          <w:sz w:val="20"/>
          <w:szCs w:val="20"/>
          <w:color w:val="auto"/>
        </w:rPr>
      </w:pPr>
      <w:r>
        <w:rPr>
          <w:rFonts w:ascii="Arial" w:cs="Arial" w:eastAsia="Arial" w:hAnsi="Arial"/>
          <w:sz w:val="14"/>
          <w:szCs w:val="14"/>
          <w:b w:val="1"/>
          <w:bCs w:val="1"/>
          <w:color w:val="auto"/>
        </w:rPr>
        <w:t>GOODWILL</w:t>
      </w:r>
    </w:p>
    <w:p>
      <w:pPr>
        <w:spacing w:after="0" w:line="40" w:lineRule="exact"/>
        <w:rPr>
          <w:sz w:val="20"/>
          <w:szCs w:val="20"/>
          <w:color w:val="auto"/>
        </w:rPr>
      </w:pPr>
    </w:p>
    <w:tbl>
      <w:tblPr>
        <w:tblLayout w:type="fixed"/>
        <w:tblInd w:w="3204" w:type="dxa"/>
        <w:tblCellMar>
          <w:top w:w="0" w:type="dxa"/>
          <w:left w:w="0" w:type="dxa"/>
          <w:bottom w:w="0" w:type="dxa"/>
          <w:right w:w="0" w:type="dxa"/>
        </w:tblCellMar>
      </w:tblPr>
      <w:tr>
        <w:trPr>
          <w:trHeight w:val="166"/>
        </w:trPr>
        <w:tc>
          <w:tcPr>
            <w:tcW w:w="2500" w:type="dxa"/>
            <w:vAlign w:val="bottom"/>
          </w:tcPr>
          <w:p>
            <w:pPr>
              <w:ind w:left="20"/>
              <w:spacing w:after="0"/>
              <w:rPr>
                <w:sz w:val="20"/>
                <w:szCs w:val="20"/>
                <w:color w:val="auto"/>
              </w:rPr>
            </w:pPr>
            <w:r>
              <w:rPr>
                <w:rFonts w:ascii="Arial" w:cs="Arial" w:eastAsia="Arial" w:hAnsi="Arial"/>
                <w:sz w:val="13"/>
                <w:szCs w:val="13"/>
                <w:i w:val="1"/>
                <w:iCs w:val="1"/>
                <w:color w:val="auto"/>
              </w:rPr>
              <w:t>(Dollars in millions)</w:t>
            </w: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80"/>
        </w:trPr>
        <w:tc>
          <w:tcPr>
            <w:tcW w:w="2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tcPr>
          <w:p>
            <w:pPr>
              <w:jc w:val="right"/>
              <w:ind w:right="31"/>
              <w:spacing w:after="0"/>
              <w:rPr>
                <w:sz w:val="20"/>
                <w:szCs w:val="20"/>
                <w:color w:val="auto"/>
              </w:rPr>
            </w:pPr>
            <w:r>
              <w:rPr>
                <w:rFonts w:ascii="Arial" w:cs="Arial" w:eastAsia="Arial" w:hAnsi="Arial"/>
                <w:sz w:val="13"/>
                <w:szCs w:val="13"/>
                <w:color w:val="auto"/>
              </w:rPr>
              <w:t>December 31,</w:t>
            </w:r>
          </w:p>
        </w:tc>
        <w:tc>
          <w:tcPr>
            <w:tcW w:w="260" w:type="dxa"/>
            <w:vAlign w:val="bottom"/>
          </w:tcPr>
          <w:p>
            <w:pPr>
              <w:spacing w:after="0"/>
              <w:rPr>
                <w:sz w:val="15"/>
                <w:szCs w:val="15"/>
                <w:color w:val="auto"/>
              </w:rPr>
            </w:pPr>
          </w:p>
        </w:tc>
        <w:tc>
          <w:tcPr>
            <w:tcW w:w="1060" w:type="dxa"/>
            <w:vAlign w:val="bottom"/>
          </w:tcPr>
          <w:p>
            <w:pPr>
              <w:jc w:val="right"/>
              <w:ind w:right="91"/>
              <w:spacing w:after="0"/>
              <w:rPr>
                <w:sz w:val="20"/>
                <w:szCs w:val="20"/>
                <w:color w:val="auto"/>
              </w:rPr>
            </w:pPr>
            <w:r>
              <w:rPr>
                <w:rFonts w:ascii="Arial" w:cs="Arial" w:eastAsia="Arial" w:hAnsi="Arial"/>
                <w:sz w:val="13"/>
                <w:szCs w:val="13"/>
                <w:color w:val="auto"/>
              </w:rPr>
              <w:t>December 31,</w:t>
            </w:r>
          </w:p>
        </w:tc>
      </w:tr>
      <w:tr>
        <w:trPr>
          <w:trHeight w:val="161"/>
        </w:trPr>
        <w:tc>
          <w:tcPr>
            <w:tcW w:w="25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291"/>
              <w:spacing w:after="0"/>
              <w:rPr>
                <w:sz w:val="20"/>
                <w:szCs w:val="20"/>
                <w:color w:val="auto"/>
              </w:rPr>
            </w:pPr>
            <w:r>
              <w:rPr>
                <w:rFonts w:ascii="Arial" w:cs="Arial" w:eastAsia="Arial" w:hAnsi="Arial"/>
                <w:sz w:val="13"/>
                <w:szCs w:val="13"/>
                <w:color w:val="auto"/>
              </w:rPr>
              <w:t>2008</w:t>
            </w:r>
          </w:p>
        </w:tc>
        <w:tc>
          <w:tcPr>
            <w:tcW w:w="26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351"/>
              <w:spacing w:after="0"/>
              <w:rPr>
                <w:sz w:val="20"/>
                <w:szCs w:val="20"/>
                <w:color w:val="auto"/>
              </w:rPr>
            </w:pPr>
            <w:r>
              <w:rPr>
                <w:rFonts w:ascii="Arial" w:cs="Arial" w:eastAsia="Arial" w:hAnsi="Arial"/>
                <w:sz w:val="13"/>
                <w:szCs w:val="13"/>
                <w:color w:val="auto"/>
              </w:rPr>
              <w:t>2007</w:t>
            </w:r>
          </w:p>
        </w:tc>
      </w:tr>
      <w:tr>
        <w:trPr>
          <w:trHeight w:val="207"/>
        </w:trPr>
        <w:tc>
          <w:tcPr>
            <w:tcW w:w="2500" w:type="dxa"/>
            <w:vAlign w:val="bottom"/>
          </w:tcPr>
          <w:p>
            <w:pPr>
              <w:ind w:left="20"/>
              <w:spacing w:after="0"/>
              <w:rPr>
                <w:sz w:val="20"/>
                <w:szCs w:val="20"/>
                <w:color w:val="auto"/>
              </w:rPr>
            </w:pPr>
            <w:r>
              <w:rPr>
                <w:rFonts w:ascii="Arial" w:cs="Arial" w:eastAsia="Arial" w:hAnsi="Arial"/>
                <w:sz w:val="14"/>
                <w:szCs w:val="14"/>
                <w:color w:val="auto"/>
              </w:rPr>
              <w:t>Sempra Commodities</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231"/>
              <w:spacing w:after="0"/>
              <w:rPr>
                <w:sz w:val="20"/>
                <w:szCs w:val="20"/>
                <w:color w:val="auto"/>
              </w:rPr>
            </w:pPr>
            <w:r>
              <w:rPr>
                <w:rFonts w:ascii="Arial" w:cs="Arial" w:eastAsia="Arial" w:hAnsi="Arial"/>
                <w:sz w:val="14"/>
                <w:szCs w:val="14"/>
                <w:color w:val="auto"/>
              </w:rPr>
              <w:t>--</w:t>
            </w:r>
          </w:p>
        </w:tc>
        <w:tc>
          <w:tcPr>
            <w:tcW w:w="2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251"/>
              <w:spacing w:after="0"/>
              <w:rPr>
                <w:sz w:val="20"/>
                <w:szCs w:val="20"/>
                <w:color w:val="auto"/>
              </w:rPr>
            </w:pPr>
            <w:r>
              <w:rPr>
                <w:rFonts w:ascii="Arial" w:cs="Arial" w:eastAsia="Arial" w:hAnsi="Arial"/>
                <w:sz w:val="14"/>
                <w:szCs w:val="14"/>
                <w:color w:val="auto"/>
              </w:rPr>
              <w:t>164</w:t>
            </w:r>
          </w:p>
        </w:tc>
      </w:tr>
      <w:tr>
        <w:trPr>
          <w:trHeight w:val="216"/>
        </w:trPr>
        <w:tc>
          <w:tcPr>
            <w:tcW w:w="2500" w:type="dxa"/>
            <w:vAlign w:val="bottom"/>
          </w:tcPr>
          <w:p>
            <w:pPr>
              <w:ind w:left="20"/>
              <w:spacing w:after="0"/>
              <w:rPr>
                <w:sz w:val="20"/>
                <w:szCs w:val="20"/>
                <w:color w:val="auto"/>
              </w:rPr>
            </w:pPr>
            <w:r>
              <w:rPr>
                <w:rFonts w:ascii="Arial" w:cs="Arial" w:eastAsia="Arial" w:hAnsi="Arial"/>
                <w:sz w:val="14"/>
                <w:szCs w:val="14"/>
                <w:color w:val="auto"/>
              </w:rPr>
              <w:t>Sempra Pipelines &amp; Storage</w:t>
            </w:r>
          </w:p>
        </w:tc>
        <w:tc>
          <w:tcPr>
            <w:tcW w:w="220" w:type="dxa"/>
            <w:vAlign w:val="bottom"/>
          </w:tcPr>
          <w:p>
            <w:pPr>
              <w:spacing w:after="0"/>
              <w:rPr>
                <w:sz w:val="18"/>
                <w:szCs w:val="18"/>
                <w:color w:val="auto"/>
              </w:rPr>
            </w:pPr>
          </w:p>
        </w:tc>
        <w:tc>
          <w:tcPr>
            <w:tcW w:w="980" w:type="dxa"/>
            <w:vAlign w:val="bottom"/>
          </w:tcPr>
          <w:p>
            <w:pPr>
              <w:jc w:val="right"/>
              <w:ind w:right="231"/>
              <w:spacing w:after="0"/>
              <w:rPr>
                <w:sz w:val="20"/>
                <w:szCs w:val="20"/>
                <w:color w:val="auto"/>
              </w:rPr>
            </w:pPr>
            <w:r>
              <w:rPr>
                <w:rFonts w:ascii="Arial" w:cs="Arial" w:eastAsia="Arial" w:hAnsi="Arial"/>
                <w:sz w:val="14"/>
                <w:szCs w:val="14"/>
                <w:color w:val="auto"/>
              </w:rPr>
              <w:t>67</w:t>
            </w:r>
          </w:p>
        </w:tc>
        <w:tc>
          <w:tcPr>
            <w:tcW w:w="260" w:type="dxa"/>
            <w:vAlign w:val="bottom"/>
          </w:tcPr>
          <w:p>
            <w:pPr>
              <w:spacing w:after="0"/>
              <w:rPr>
                <w:sz w:val="18"/>
                <w:szCs w:val="18"/>
                <w:color w:val="auto"/>
              </w:rPr>
            </w:pPr>
          </w:p>
        </w:tc>
        <w:tc>
          <w:tcPr>
            <w:tcW w:w="1060" w:type="dxa"/>
            <w:vAlign w:val="bottom"/>
          </w:tcPr>
          <w:p>
            <w:pPr>
              <w:jc w:val="right"/>
              <w:ind w:right="251"/>
              <w:spacing w:after="0"/>
              <w:rPr>
                <w:sz w:val="20"/>
                <w:szCs w:val="20"/>
                <w:color w:val="auto"/>
              </w:rPr>
            </w:pPr>
            <w:r>
              <w:rPr>
                <w:rFonts w:ascii="Arial" w:cs="Arial" w:eastAsia="Arial" w:hAnsi="Arial"/>
                <w:sz w:val="14"/>
                <w:szCs w:val="14"/>
                <w:color w:val="auto"/>
              </w:rPr>
              <w:t>--</w:t>
            </w:r>
          </w:p>
        </w:tc>
      </w:tr>
      <w:tr>
        <w:trPr>
          <w:trHeight w:val="222"/>
        </w:trPr>
        <w:tc>
          <w:tcPr>
            <w:tcW w:w="2500" w:type="dxa"/>
            <w:vAlign w:val="bottom"/>
          </w:tcPr>
          <w:p>
            <w:pPr>
              <w:ind w:left="20"/>
              <w:spacing w:after="0"/>
              <w:rPr>
                <w:sz w:val="20"/>
                <w:szCs w:val="20"/>
                <w:color w:val="auto"/>
              </w:rPr>
            </w:pPr>
            <w:r>
              <w:rPr>
                <w:rFonts w:ascii="Arial" w:cs="Arial" w:eastAsia="Arial" w:hAnsi="Arial"/>
                <w:sz w:val="14"/>
                <w:szCs w:val="14"/>
                <w:color w:val="auto"/>
              </w:rPr>
              <w:t>Parent and Other</w:t>
            </w: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color w:val="auto"/>
              </w:rPr>
              <w:t>6</w:t>
            </w: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251"/>
              <w:spacing w:after="0"/>
              <w:rPr>
                <w:sz w:val="20"/>
                <w:szCs w:val="20"/>
                <w:color w:val="auto"/>
              </w:rPr>
            </w:pPr>
            <w:r>
              <w:rPr>
                <w:rFonts w:ascii="Arial" w:cs="Arial" w:eastAsia="Arial" w:hAnsi="Arial"/>
                <w:sz w:val="14"/>
                <w:szCs w:val="14"/>
                <w:color w:val="auto"/>
              </w:rPr>
              <w:t>6</w:t>
            </w:r>
          </w:p>
        </w:tc>
      </w:tr>
      <w:tr>
        <w:trPr>
          <w:trHeight w:val="224"/>
        </w:trPr>
        <w:tc>
          <w:tcPr>
            <w:tcW w:w="25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color w:val="auto"/>
              </w:rPr>
              <w:t>73</w:t>
            </w:r>
          </w:p>
        </w:tc>
        <w:tc>
          <w:tcPr>
            <w:tcW w:w="2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ind w:right="251"/>
              <w:spacing w:after="0"/>
              <w:rPr>
                <w:sz w:val="20"/>
                <w:szCs w:val="20"/>
                <w:color w:val="auto"/>
              </w:rPr>
            </w:pPr>
            <w:r>
              <w:rPr>
                <w:rFonts w:ascii="Arial" w:cs="Arial" w:eastAsia="Arial" w:hAnsi="Arial"/>
                <w:sz w:val="14"/>
                <w:szCs w:val="14"/>
                <w:color w:val="auto"/>
              </w:rPr>
              <w:t>170</w:t>
            </w:r>
          </w:p>
        </w:tc>
      </w:tr>
    </w:tbl>
    <w:p>
      <w:pPr>
        <w:spacing w:after="0" w:line="180" w:lineRule="exact"/>
        <w:rPr>
          <w:sz w:val="20"/>
          <w:szCs w:val="20"/>
          <w:color w:val="auto"/>
        </w:rPr>
      </w:pPr>
    </w:p>
    <w:p>
      <w:pPr>
        <w:ind w:left="4" w:right="20"/>
        <w:spacing w:after="0" w:line="264" w:lineRule="auto"/>
        <w:rPr>
          <w:sz w:val="20"/>
          <w:szCs w:val="20"/>
          <w:color w:val="auto"/>
        </w:rPr>
      </w:pPr>
      <w:r>
        <w:rPr>
          <w:rFonts w:ascii="Arial" w:cs="Arial" w:eastAsia="Arial" w:hAnsi="Arial"/>
          <w:sz w:val="16"/>
          <w:szCs w:val="16"/>
          <w:color w:val="auto"/>
        </w:rPr>
        <w:t>Goodwill related to our other unconsolidated subsidiaries, primarily those located in South America, is included in Other Investments on the Sempra Energy Consolidated Balance Sheets. These amounts, before foreign-currency translation adjustments, were $254 million at both December 31, 2008 and 2007. Including foreign-currency translation adjustments, these amounts were</w:t>
      </w:r>
    </w:p>
    <w:p>
      <w:pPr>
        <w:spacing w:after="0" w:line="5" w:lineRule="exact"/>
        <w:rPr>
          <w:sz w:val="20"/>
          <w:szCs w:val="20"/>
          <w:color w:val="auto"/>
        </w:rPr>
      </w:pPr>
    </w:p>
    <w:p>
      <w:pPr>
        <w:ind w:left="144" w:hanging="144"/>
        <w:spacing w:after="0"/>
        <w:tabs>
          <w:tab w:leader="none" w:pos="144" w:val="left"/>
        </w:tabs>
        <w:numPr>
          <w:ilvl w:val="0"/>
          <w:numId w:val="318"/>
        </w:numPr>
        <w:rPr>
          <w:rFonts w:ascii="Arial" w:cs="Arial" w:eastAsia="Arial" w:hAnsi="Arial"/>
          <w:sz w:val="16"/>
          <w:szCs w:val="16"/>
          <w:color w:val="auto"/>
        </w:rPr>
      </w:pPr>
      <w:r>
        <w:rPr>
          <w:rFonts w:ascii="Arial" w:cs="Arial" w:eastAsia="Arial" w:hAnsi="Arial"/>
          <w:sz w:val="16"/>
          <w:szCs w:val="16"/>
          <w:color w:val="auto"/>
        </w:rPr>
        <w:t>$213 million at December 31, 2008</w:t>
      </w:r>
    </w:p>
    <w:p>
      <w:pPr>
        <w:spacing w:after="0" w:line="44" w:lineRule="exact"/>
        <w:rPr>
          <w:rFonts w:ascii="Arial" w:cs="Arial" w:eastAsia="Arial" w:hAnsi="Arial"/>
          <w:sz w:val="16"/>
          <w:szCs w:val="16"/>
          <w:color w:val="auto"/>
        </w:rPr>
      </w:pPr>
    </w:p>
    <w:p>
      <w:pPr>
        <w:ind w:left="144" w:hanging="144"/>
        <w:spacing w:after="0"/>
        <w:tabs>
          <w:tab w:leader="none" w:pos="144" w:val="left"/>
        </w:tabs>
        <w:numPr>
          <w:ilvl w:val="0"/>
          <w:numId w:val="318"/>
        </w:numPr>
        <w:rPr>
          <w:rFonts w:ascii="Arial" w:cs="Arial" w:eastAsia="Arial" w:hAnsi="Arial"/>
          <w:sz w:val="16"/>
          <w:szCs w:val="16"/>
          <w:color w:val="auto"/>
        </w:rPr>
      </w:pPr>
      <w:r>
        <w:rPr>
          <w:rFonts w:ascii="Arial" w:cs="Arial" w:eastAsia="Arial" w:hAnsi="Arial"/>
          <w:sz w:val="16"/>
          <w:szCs w:val="16"/>
          <w:color w:val="auto"/>
        </w:rPr>
        <w:t>$262 million at December 31, 2007</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4"/>
        <w:spacing w:after="0"/>
        <w:rPr>
          <w:sz w:val="20"/>
          <w:szCs w:val="20"/>
          <w:color w:val="auto"/>
        </w:rPr>
      </w:pPr>
      <w:r>
        <w:rPr>
          <w:rFonts w:ascii="Arial" w:cs="Arial" w:eastAsia="Arial" w:hAnsi="Arial"/>
          <w:sz w:val="14"/>
          <w:szCs w:val="14"/>
          <w:color w:val="auto"/>
        </w:rPr>
        <w:t>102</w:t>
      </w:r>
    </w:p>
    <w:p>
      <w:pPr>
        <w:sectPr>
          <w:pgSz w:w="11900" w:h="16838" w:orient="portrait"/>
          <w:cols w:equalWidth="0" w:num="1">
            <w:col w:w="11344"/>
          </w:cols>
          <w:pgMar w:left="236" w:top="120" w:right="319" w:bottom="1440" w:gutter="0" w:footer="0" w:header="0"/>
        </w:sectPr>
      </w:pPr>
    </w:p>
    <w:bookmarkStart w:id="242" w:name="page243"/>
    <w:bookmarkEnd w:id="242"/>
    <w:p>
      <w:pPr>
        <w:ind w:left="4"/>
        <w:spacing w:after="0"/>
        <w:rPr>
          <w:sz w:val="20"/>
          <w:szCs w:val="20"/>
          <w:color w:val="auto"/>
        </w:rPr>
      </w:pPr>
      <w:r>
        <w:rPr>
          <w:rFonts w:ascii="Arial" w:cs="Arial" w:eastAsia="Arial" w:hAnsi="Arial"/>
          <w:sz w:val="16"/>
          <w:szCs w:val="16"/>
          <w:color w:val="auto"/>
        </w:rPr>
        <w:t>We provide additional information concerning the impairment of investments in unconsolidated subsidiaries in Note 4.</w:t>
      </w:r>
    </w:p>
    <w:p>
      <w:pPr>
        <w:spacing w:after="0" w:line="174" w:lineRule="exact"/>
        <w:rPr>
          <w:sz w:val="20"/>
          <w:szCs w:val="20"/>
          <w:color w:val="auto"/>
        </w:rPr>
      </w:pPr>
    </w:p>
    <w:p>
      <w:pPr>
        <w:ind w:left="4"/>
        <w:spacing w:after="0"/>
        <w:rPr>
          <w:sz w:val="20"/>
          <w:szCs w:val="20"/>
          <w:color w:val="auto"/>
        </w:rPr>
      </w:pPr>
      <w:r>
        <w:rPr>
          <w:rFonts w:ascii="Arial" w:cs="Arial" w:eastAsia="Arial" w:hAnsi="Arial"/>
          <w:sz w:val="18"/>
          <w:szCs w:val="18"/>
          <w:b w:val="1"/>
          <w:bCs w:val="1"/>
          <w:i w:val="1"/>
          <w:iCs w:val="1"/>
          <w:color w:val="auto"/>
        </w:rPr>
        <w:t>Other Intangible Assets</w:t>
      </w:r>
    </w:p>
    <w:p>
      <w:pPr>
        <w:spacing w:after="0" w:line="23" w:lineRule="exact"/>
        <w:rPr>
          <w:sz w:val="20"/>
          <w:szCs w:val="20"/>
          <w:color w:val="auto"/>
        </w:rPr>
      </w:pPr>
    </w:p>
    <w:p>
      <w:pPr>
        <w:ind w:left="4"/>
        <w:spacing w:after="0" w:line="282" w:lineRule="auto"/>
        <w:rPr>
          <w:sz w:val="20"/>
          <w:szCs w:val="20"/>
          <w:color w:val="auto"/>
        </w:rPr>
      </w:pPr>
      <w:r>
        <w:rPr>
          <w:rFonts w:ascii="Arial" w:cs="Arial" w:eastAsia="Arial" w:hAnsi="Arial"/>
          <w:sz w:val="15"/>
          <w:szCs w:val="15"/>
          <w:color w:val="auto"/>
        </w:rPr>
        <w:t>Sempra Pipelines &amp; Storage recorded $460 million of intangible assets in connection with the acquisition of EnergySouth. These intangible assets represent storage and development rights related to the Bay Gas and Mississippi Hub natural gas storage facilities and were recorded at estimated fair value as of the date of the acquisition using discounted cash flows analysis. Our important assumptions in determining fair value include estimated future cash flows, the estimated useful life of the intangible assets and our use of appropriate discount rates. We are amortizing these intangible assets over their estimated useful lives as shown in the table below.</w:t>
      </w:r>
    </w:p>
    <w:p>
      <w:pPr>
        <w:spacing w:after="0" w:line="30" w:lineRule="exact"/>
        <w:rPr>
          <w:sz w:val="20"/>
          <w:szCs w:val="20"/>
          <w:color w:val="auto"/>
        </w:rPr>
      </w:pPr>
    </w:p>
    <w:p>
      <w:pPr>
        <w:ind w:left="4"/>
        <w:spacing w:after="0"/>
        <w:rPr>
          <w:sz w:val="20"/>
          <w:szCs w:val="20"/>
          <w:color w:val="auto"/>
        </w:rPr>
      </w:pPr>
      <w:r>
        <w:rPr>
          <w:rFonts w:ascii="Arial" w:cs="Arial" w:eastAsia="Arial" w:hAnsi="Arial"/>
          <w:sz w:val="16"/>
          <w:szCs w:val="16"/>
          <w:color w:val="auto"/>
        </w:rPr>
        <w:t>Intangible assets included in Goodwill and Other Intangible Assets on the Sempra Energy Consolidated Balance Sheets are recorded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1197610</wp:posOffset>
            </wp:positionH>
            <wp:positionV relativeFrom="paragraph">
              <wp:posOffset>196215</wp:posOffset>
            </wp:positionV>
            <wp:extent cx="4866640" cy="24384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4866640" cy="243840"/>
                    </a:xfrm>
                    <a:prstGeom prst="rect">
                      <a:avLst/>
                    </a:prstGeom>
                    <a:noFill/>
                  </pic:spPr>
                </pic:pic>
              </a:graphicData>
            </a:graphic>
          </wp:anchor>
        </w:drawing>
      </w:r>
    </w:p>
    <w:p>
      <w:pPr>
        <w:spacing w:after="0" w:line="297" w:lineRule="exact"/>
        <w:rPr>
          <w:sz w:val="20"/>
          <w:szCs w:val="20"/>
          <w:color w:val="auto"/>
        </w:rPr>
      </w:pPr>
    </w:p>
    <w:p>
      <w:pPr>
        <w:ind w:left="1904"/>
        <w:spacing w:after="0"/>
        <w:rPr>
          <w:sz w:val="20"/>
          <w:szCs w:val="20"/>
          <w:color w:val="auto"/>
        </w:rPr>
      </w:pPr>
      <w:r>
        <w:rPr>
          <w:rFonts w:ascii="Arial" w:cs="Arial" w:eastAsia="Arial" w:hAnsi="Arial"/>
          <w:sz w:val="14"/>
          <w:szCs w:val="14"/>
          <w:b w:val="1"/>
          <w:bCs w:val="1"/>
          <w:color w:val="auto"/>
        </w:rPr>
        <w:t>OTHER INTANGIBLE ASSETS</w:t>
      </w:r>
    </w:p>
    <w:p>
      <w:pPr>
        <w:spacing w:after="0" w:line="40" w:lineRule="exact"/>
        <w:rPr>
          <w:sz w:val="20"/>
          <w:szCs w:val="20"/>
          <w:color w:val="auto"/>
        </w:rPr>
      </w:pPr>
    </w:p>
    <w:tbl>
      <w:tblPr>
        <w:tblLayout w:type="fixed"/>
        <w:tblInd w:w="1884" w:type="dxa"/>
        <w:tblCellMar>
          <w:top w:w="0" w:type="dxa"/>
          <w:left w:w="0" w:type="dxa"/>
          <w:bottom w:w="0" w:type="dxa"/>
          <w:right w:w="0" w:type="dxa"/>
        </w:tblCellMar>
      </w:tblPr>
      <w:tr>
        <w:trPr>
          <w:trHeight w:val="166"/>
        </w:trPr>
        <w:tc>
          <w:tcPr>
            <w:tcW w:w="2620" w:type="dxa"/>
            <w:vAlign w:val="bottom"/>
          </w:tcPr>
          <w:p>
            <w:pPr>
              <w:ind w:left="20"/>
              <w:spacing w:after="0"/>
              <w:rPr>
                <w:sz w:val="20"/>
                <w:szCs w:val="20"/>
                <w:color w:val="auto"/>
              </w:rPr>
            </w:pPr>
            <w:r>
              <w:rPr>
                <w:rFonts w:ascii="Arial" w:cs="Arial" w:eastAsia="Arial" w:hAnsi="Arial"/>
                <w:sz w:val="13"/>
                <w:szCs w:val="13"/>
                <w:i w:val="1"/>
                <w:iCs w:val="1"/>
                <w:color w:val="auto"/>
              </w:rPr>
              <w:t>(Dollars in millions)</w:t>
            </w:r>
          </w:p>
        </w:tc>
        <w:tc>
          <w:tcPr>
            <w:tcW w:w="20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80"/>
        </w:trPr>
        <w:tc>
          <w:tcPr>
            <w:tcW w:w="2620" w:type="dxa"/>
            <w:vAlign w:val="bottom"/>
          </w:tcPr>
          <w:p>
            <w:pPr>
              <w:spacing w:after="0"/>
              <w:rPr>
                <w:sz w:val="15"/>
                <w:szCs w:val="15"/>
                <w:color w:val="auto"/>
              </w:rPr>
            </w:pPr>
          </w:p>
        </w:tc>
        <w:tc>
          <w:tcPr>
            <w:tcW w:w="2080" w:type="dxa"/>
            <w:vAlign w:val="bottom"/>
          </w:tcPr>
          <w:p>
            <w:pPr>
              <w:jc w:val="center"/>
              <w:ind w:left="191"/>
              <w:spacing w:after="0"/>
              <w:rPr>
                <w:sz w:val="20"/>
                <w:szCs w:val="20"/>
                <w:color w:val="auto"/>
              </w:rPr>
            </w:pPr>
            <w:r>
              <w:rPr>
                <w:rFonts w:ascii="Arial" w:cs="Arial" w:eastAsia="Arial" w:hAnsi="Arial"/>
                <w:sz w:val="13"/>
                <w:szCs w:val="13"/>
                <w:color w:val="auto"/>
                <w:w w:val="98"/>
              </w:rPr>
              <w:t>Amortization period</w:t>
            </w:r>
          </w:p>
        </w:tc>
        <w:tc>
          <w:tcPr>
            <w:tcW w:w="2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161"/>
        </w:trPr>
        <w:tc>
          <w:tcPr>
            <w:tcW w:w="2620" w:type="dxa"/>
            <w:vAlign w:val="bottom"/>
            <w:tcBorders>
              <w:bottom w:val="single" w:sz="8" w:color="auto"/>
            </w:tcBorders>
          </w:tcPr>
          <w:p>
            <w:pPr>
              <w:spacing w:after="0"/>
              <w:rPr>
                <w:sz w:val="14"/>
                <w:szCs w:val="14"/>
                <w:color w:val="auto"/>
              </w:rPr>
            </w:pPr>
          </w:p>
        </w:tc>
        <w:tc>
          <w:tcPr>
            <w:tcW w:w="2080" w:type="dxa"/>
            <w:vAlign w:val="bottom"/>
            <w:tcBorders>
              <w:bottom w:val="single" w:sz="8" w:color="auto"/>
            </w:tcBorders>
          </w:tcPr>
          <w:p>
            <w:pPr>
              <w:jc w:val="center"/>
              <w:ind w:left="231"/>
              <w:spacing w:after="0"/>
              <w:rPr>
                <w:sz w:val="20"/>
                <w:szCs w:val="20"/>
                <w:color w:val="auto"/>
              </w:rPr>
            </w:pPr>
            <w:r>
              <w:rPr>
                <w:rFonts w:ascii="Arial" w:cs="Arial" w:eastAsia="Arial" w:hAnsi="Arial"/>
                <w:sz w:val="13"/>
                <w:szCs w:val="13"/>
                <w:color w:val="auto"/>
                <w:w w:val="93"/>
              </w:rPr>
              <w:t>(years)</w:t>
            </w:r>
          </w:p>
        </w:tc>
        <w:tc>
          <w:tcPr>
            <w:tcW w:w="2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29"/>
              <w:spacing w:after="0"/>
              <w:rPr>
                <w:sz w:val="20"/>
                <w:szCs w:val="20"/>
                <w:color w:val="auto"/>
              </w:rPr>
            </w:pPr>
            <w:r>
              <w:rPr>
                <w:rFonts w:ascii="Arial" w:cs="Arial" w:eastAsia="Arial" w:hAnsi="Arial"/>
                <w:sz w:val="13"/>
                <w:szCs w:val="13"/>
                <w:color w:val="auto"/>
                <w:w w:val="99"/>
              </w:rPr>
              <w:t>December 31, 2008</w:t>
            </w:r>
          </w:p>
        </w:tc>
        <w:tc>
          <w:tcPr>
            <w:tcW w:w="22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99"/>
              </w:rPr>
              <w:t>December 31, 2007</w:t>
            </w:r>
          </w:p>
        </w:tc>
      </w:tr>
      <w:tr>
        <w:trPr>
          <w:trHeight w:val="207"/>
        </w:trPr>
        <w:tc>
          <w:tcPr>
            <w:tcW w:w="2620" w:type="dxa"/>
            <w:vAlign w:val="bottom"/>
          </w:tcPr>
          <w:p>
            <w:pPr>
              <w:ind w:left="20"/>
              <w:spacing w:after="0"/>
              <w:rPr>
                <w:sz w:val="20"/>
                <w:szCs w:val="20"/>
                <w:color w:val="auto"/>
              </w:rPr>
            </w:pPr>
            <w:r>
              <w:rPr>
                <w:rFonts w:ascii="Arial" w:cs="Arial" w:eastAsia="Arial" w:hAnsi="Arial"/>
                <w:sz w:val="14"/>
                <w:szCs w:val="14"/>
                <w:color w:val="auto"/>
              </w:rPr>
              <w:t>Storage rights</w:t>
            </w:r>
          </w:p>
        </w:tc>
        <w:tc>
          <w:tcPr>
            <w:tcW w:w="2080" w:type="dxa"/>
            <w:vAlign w:val="bottom"/>
          </w:tcPr>
          <w:p>
            <w:pPr>
              <w:jc w:val="center"/>
              <w:ind w:left="231"/>
              <w:spacing w:after="0"/>
              <w:rPr>
                <w:sz w:val="20"/>
                <w:szCs w:val="20"/>
                <w:color w:val="auto"/>
              </w:rPr>
            </w:pPr>
            <w:r>
              <w:rPr>
                <w:rFonts w:ascii="Arial" w:cs="Arial" w:eastAsia="Arial" w:hAnsi="Arial"/>
                <w:sz w:val="14"/>
                <w:szCs w:val="14"/>
                <w:color w:val="auto"/>
              </w:rPr>
              <w:t>46</w:t>
            </w:r>
          </w:p>
        </w:tc>
        <w:tc>
          <w:tcPr>
            <w:tcW w:w="280" w:type="dxa"/>
            <w:vAlign w:val="bottom"/>
          </w:tcPr>
          <w:p>
            <w:pPr>
              <w:jc w:val="right"/>
              <w:spacing w:after="0"/>
              <w:rPr>
                <w:sz w:val="20"/>
                <w:szCs w:val="20"/>
                <w:color w:val="auto"/>
              </w:rPr>
            </w:pPr>
            <w:r>
              <w:rPr>
                <w:rFonts w:ascii="Arial" w:cs="Arial" w:eastAsia="Arial" w:hAnsi="Arial"/>
                <w:sz w:val="14"/>
                <w:szCs w:val="14"/>
                <w:color w:val="auto"/>
              </w:rPr>
              <w:t>$</w:t>
            </w:r>
          </w:p>
        </w:tc>
        <w:tc>
          <w:tcPr>
            <w:tcW w:w="1260" w:type="dxa"/>
            <w:vAlign w:val="bottom"/>
          </w:tcPr>
          <w:p>
            <w:pPr>
              <w:jc w:val="right"/>
              <w:ind w:right="349"/>
              <w:spacing w:after="0"/>
              <w:rPr>
                <w:sz w:val="20"/>
                <w:szCs w:val="20"/>
                <w:color w:val="auto"/>
              </w:rPr>
            </w:pPr>
            <w:r>
              <w:rPr>
                <w:rFonts w:ascii="Arial" w:cs="Arial" w:eastAsia="Arial" w:hAnsi="Arial"/>
                <w:sz w:val="14"/>
                <w:szCs w:val="14"/>
                <w:color w:val="auto"/>
              </w:rPr>
              <w:t>138</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289"/>
              <w:spacing w:after="0"/>
              <w:rPr>
                <w:sz w:val="20"/>
                <w:szCs w:val="20"/>
                <w:color w:val="auto"/>
              </w:rPr>
            </w:pPr>
            <w:r>
              <w:rPr>
                <w:rFonts w:ascii="Arial" w:cs="Arial" w:eastAsia="Arial" w:hAnsi="Arial"/>
                <w:sz w:val="14"/>
                <w:szCs w:val="14"/>
                <w:color w:val="auto"/>
              </w:rPr>
              <w:t>--</w:t>
            </w:r>
          </w:p>
        </w:tc>
      </w:tr>
      <w:tr>
        <w:trPr>
          <w:trHeight w:val="216"/>
        </w:trPr>
        <w:tc>
          <w:tcPr>
            <w:tcW w:w="2620" w:type="dxa"/>
            <w:vAlign w:val="bottom"/>
          </w:tcPr>
          <w:p>
            <w:pPr>
              <w:ind w:left="20"/>
              <w:spacing w:after="0"/>
              <w:rPr>
                <w:sz w:val="20"/>
                <w:szCs w:val="20"/>
                <w:color w:val="auto"/>
              </w:rPr>
            </w:pPr>
            <w:r>
              <w:rPr>
                <w:rFonts w:ascii="Arial" w:cs="Arial" w:eastAsia="Arial" w:hAnsi="Arial"/>
                <w:sz w:val="14"/>
                <w:szCs w:val="14"/>
                <w:color w:val="auto"/>
              </w:rPr>
              <w:t>Development rights</w:t>
            </w:r>
          </w:p>
        </w:tc>
        <w:tc>
          <w:tcPr>
            <w:tcW w:w="2080" w:type="dxa"/>
            <w:vAlign w:val="bottom"/>
          </w:tcPr>
          <w:p>
            <w:pPr>
              <w:jc w:val="center"/>
              <w:ind w:left="231"/>
              <w:spacing w:after="0"/>
              <w:rPr>
                <w:sz w:val="20"/>
                <w:szCs w:val="20"/>
                <w:color w:val="auto"/>
              </w:rPr>
            </w:pPr>
            <w:r>
              <w:rPr>
                <w:rFonts w:ascii="Arial" w:cs="Arial" w:eastAsia="Arial" w:hAnsi="Arial"/>
                <w:sz w:val="14"/>
                <w:szCs w:val="14"/>
                <w:color w:val="auto"/>
              </w:rPr>
              <w:t>50</w:t>
            </w:r>
          </w:p>
        </w:tc>
        <w:tc>
          <w:tcPr>
            <w:tcW w:w="280" w:type="dxa"/>
            <w:vAlign w:val="bottom"/>
          </w:tcPr>
          <w:p>
            <w:pPr>
              <w:spacing w:after="0"/>
              <w:rPr>
                <w:sz w:val="18"/>
                <w:szCs w:val="18"/>
                <w:color w:val="auto"/>
              </w:rPr>
            </w:pPr>
          </w:p>
        </w:tc>
        <w:tc>
          <w:tcPr>
            <w:tcW w:w="1260" w:type="dxa"/>
            <w:vAlign w:val="bottom"/>
          </w:tcPr>
          <w:p>
            <w:pPr>
              <w:jc w:val="right"/>
              <w:ind w:right="349"/>
              <w:spacing w:after="0"/>
              <w:rPr>
                <w:sz w:val="20"/>
                <w:szCs w:val="20"/>
                <w:color w:val="auto"/>
              </w:rPr>
            </w:pPr>
            <w:r>
              <w:rPr>
                <w:rFonts w:ascii="Arial" w:cs="Arial" w:eastAsia="Arial" w:hAnsi="Arial"/>
                <w:sz w:val="14"/>
                <w:szCs w:val="14"/>
                <w:color w:val="auto"/>
              </w:rPr>
              <w:t>322</w:t>
            </w:r>
          </w:p>
        </w:tc>
        <w:tc>
          <w:tcPr>
            <w:tcW w:w="220" w:type="dxa"/>
            <w:vAlign w:val="bottom"/>
          </w:tcPr>
          <w:p>
            <w:pPr>
              <w:spacing w:after="0"/>
              <w:rPr>
                <w:sz w:val="18"/>
                <w:szCs w:val="18"/>
                <w:color w:val="auto"/>
              </w:rPr>
            </w:pPr>
          </w:p>
        </w:tc>
        <w:tc>
          <w:tcPr>
            <w:tcW w:w="1200" w:type="dxa"/>
            <w:vAlign w:val="bottom"/>
          </w:tcPr>
          <w:p>
            <w:pPr>
              <w:jc w:val="right"/>
              <w:ind w:right="289"/>
              <w:spacing w:after="0"/>
              <w:rPr>
                <w:sz w:val="20"/>
                <w:szCs w:val="20"/>
                <w:color w:val="auto"/>
              </w:rPr>
            </w:pPr>
            <w:r>
              <w:rPr>
                <w:rFonts w:ascii="Arial" w:cs="Arial" w:eastAsia="Arial" w:hAnsi="Arial"/>
                <w:sz w:val="14"/>
                <w:szCs w:val="14"/>
                <w:color w:val="auto"/>
              </w:rPr>
              <w:t>--</w:t>
            </w:r>
          </w:p>
        </w:tc>
      </w:tr>
      <w:tr>
        <w:trPr>
          <w:trHeight w:val="219"/>
        </w:trPr>
        <w:tc>
          <w:tcPr>
            <w:tcW w:w="2620" w:type="dxa"/>
            <w:vAlign w:val="bottom"/>
          </w:tcPr>
          <w:p>
            <w:pPr>
              <w:ind w:left="20"/>
              <w:spacing w:after="0"/>
              <w:rPr>
                <w:sz w:val="20"/>
                <w:szCs w:val="20"/>
                <w:color w:val="auto"/>
              </w:rPr>
            </w:pPr>
            <w:r>
              <w:rPr>
                <w:rFonts w:ascii="Arial" w:cs="Arial" w:eastAsia="Arial" w:hAnsi="Arial"/>
                <w:sz w:val="14"/>
                <w:szCs w:val="14"/>
                <w:color w:val="auto"/>
              </w:rPr>
              <w:t>Other</w:t>
            </w:r>
          </w:p>
        </w:tc>
        <w:tc>
          <w:tcPr>
            <w:tcW w:w="2080" w:type="dxa"/>
            <w:vAlign w:val="bottom"/>
          </w:tcPr>
          <w:p>
            <w:pPr>
              <w:jc w:val="center"/>
              <w:ind w:left="231"/>
              <w:spacing w:after="0"/>
              <w:rPr>
                <w:sz w:val="20"/>
                <w:szCs w:val="20"/>
                <w:color w:val="auto"/>
              </w:rPr>
            </w:pPr>
            <w:r>
              <w:rPr>
                <w:rFonts w:ascii="Arial" w:cs="Arial" w:eastAsia="Arial" w:hAnsi="Arial"/>
                <w:sz w:val="14"/>
                <w:szCs w:val="14"/>
                <w:color w:val="auto"/>
              </w:rPr>
              <w:t>15 yrs to indefinite</w:t>
            </w:r>
          </w:p>
        </w:tc>
        <w:tc>
          <w:tcPr>
            <w:tcW w:w="2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349"/>
              <w:spacing w:after="0"/>
              <w:rPr>
                <w:sz w:val="20"/>
                <w:szCs w:val="20"/>
                <w:color w:val="auto"/>
              </w:rPr>
            </w:pPr>
            <w:r>
              <w:rPr>
                <w:rFonts w:ascii="Arial" w:cs="Arial" w:eastAsia="Arial" w:hAnsi="Arial"/>
                <w:sz w:val="14"/>
                <w:szCs w:val="14"/>
                <w:color w:val="auto"/>
              </w:rPr>
              <w:t>9</w:t>
            </w: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289"/>
              <w:spacing w:after="0"/>
              <w:rPr>
                <w:sz w:val="20"/>
                <w:szCs w:val="20"/>
                <w:color w:val="auto"/>
              </w:rPr>
            </w:pPr>
            <w:r>
              <w:rPr>
                <w:rFonts w:ascii="Arial" w:cs="Arial" w:eastAsia="Arial" w:hAnsi="Arial"/>
                <w:sz w:val="14"/>
                <w:szCs w:val="14"/>
                <w:color w:val="auto"/>
              </w:rPr>
              <w:t>9</w:t>
            </w:r>
          </w:p>
        </w:tc>
      </w:tr>
      <w:tr>
        <w:trPr>
          <w:trHeight w:val="205"/>
        </w:trPr>
        <w:tc>
          <w:tcPr>
            <w:tcW w:w="2620" w:type="dxa"/>
            <w:vAlign w:val="bottom"/>
          </w:tcPr>
          <w:p>
            <w:pPr>
              <w:ind w:left="220"/>
              <w:spacing w:after="0"/>
              <w:rPr>
                <w:sz w:val="20"/>
                <w:szCs w:val="20"/>
                <w:color w:val="auto"/>
              </w:rPr>
            </w:pPr>
            <w:r>
              <w:rPr>
                <w:rFonts w:ascii="Arial" w:cs="Arial" w:eastAsia="Arial" w:hAnsi="Arial"/>
                <w:sz w:val="14"/>
                <w:szCs w:val="14"/>
                <w:color w:val="auto"/>
              </w:rPr>
              <w:t>Total</w:t>
            </w:r>
          </w:p>
        </w:tc>
        <w:tc>
          <w:tcPr>
            <w:tcW w:w="20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60" w:type="dxa"/>
            <w:vAlign w:val="bottom"/>
          </w:tcPr>
          <w:p>
            <w:pPr>
              <w:jc w:val="right"/>
              <w:ind w:right="349"/>
              <w:spacing w:after="0"/>
              <w:rPr>
                <w:sz w:val="20"/>
                <w:szCs w:val="20"/>
                <w:color w:val="auto"/>
              </w:rPr>
            </w:pPr>
            <w:r>
              <w:rPr>
                <w:rFonts w:ascii="Arial" w:cs="Arial" w:eastAsia="Arial" w:hAnsi="Arial"/>
                <w:sz w:val="14"/>
                <w:szCs w:val="14"/>
                <w:color w:val="auto"/>
              </w:rPr>
              <w:t>469</w:t>
            </w:r>
          </w:p>
        </w:tc>
        <w:tc>
          <w:tcPr>
            <w:tcW w:w="220" w:type="dxa"/>
            <w:vAlign w:val="bottom"/>
          </w:tcPr>
          <w:p>
            <w:pPr>
              <w:spacing w:after="0"/>
              <w:rPr>
                <w:sz w:val="17"/>
                <w:szCs w:val="17"/>
                <w:color w:val="auto"/>
              </w:rPr>
            </w:pPr>
          </w:p>
        </w:tc>
        <w:tc>
          <w:tcPr>
            <w:tcW w:w="1200" w:type="dxa"/>
            <w:vAlign w:val="bottom"/>
          </w:tcPr>
          <w:p>
            <w:pPr>
              <w:jc w:val="right"/>
              <w:ind w:right="289"/>
              <w:spacing w:after="0"/>
              <w:rPr>
                <w:sz w:val="20"/>
                <w:szCs w:val="20"/>
                <w:color w:val="auto"/>
              </w:rPr>
            </w:pPr>
            <w:r>
              <w:rPr>
                <w:rFonts w:ascii="Arial" w:cs="Arial" w:eastAsia="Arial" w:hAnsi="Arial"/>
                <w:sz w:val="14"/>
                <w:szCs w:val="14"/>
                <w:color w:val="auto"/>
              </w:rPr>
              <w:t>9</w:t>
            </w:r>
          </w:p>
        </w:tc>
      </w:tr>
      <w:tr>
        <w:trPr>
          <w:trHeight w:val="222"/>
        </w:trPr>
        <w:tc>
          <w:tcPr>
            <w:tcW w:w="2620" w:type="dxa"/>
            <w:vAlign w:val="bottom"/>
          </w:tcPr>
          <w:p>
            <w:pPr>
              <w:ind w:left="20"/>
              <w:spacing w:after="0"/>
              <w:rPr>
                <w:sz w:val="20"/>
                <w:szCs w:val="20"/>
                <w:color w:val="auto"/>
              </w:rPr>
            </w:pPr>
            <w:r>
              <w:rPr>
                <w:rFonts w:ascii="Arial" w:cs="Arial" w:eastAsia="Arial" w:hAnsi="Arial"/>
                <w:sz w:val="14"/>
                <w:szCs w:val="14"/>
                <w:color w:val="auto"/>
              </w:rPr>
              <w:t>Less accumulated amortization</w:t>
            </w:r>
          </w:p>
        </w:tc>
        <w:tc>
          <w:tcPr>
            <w:tcW w:w="20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269"/>
              <w:spacing w:after="0"/>
              <w:rPr>
                <w:sz w:val="20"/>
                <w:szCs w:val="20"/>
                <w:color w:val="auto"/>
              </w:rPr>
            </w:pPr>
            <w:r>
              <w:rPr>
                <w:rFonts w:ascii="Arial" w:cs="Arial" w:eastAsia="Arial" w:hAnsi="Arial"/>
                <w:sz w:val="14"/>
                <w:szCs w:val="14"/>
                <w:color w:val="auto"/>
              </w:rPr>
              <w:t>(3 )</w:t>
            </w: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289"/>
              <w:spacing w:after="0"/>
              <w:rPr>
                <w:sz w:val="20"/>
                <w:szCs w:val="20"/>
                <w:color w:val="auto"/>
              </w:rPr>
            </w:pPr>
            <w:r>
              <w:rPr>
                <w:rFonts w:ascii="Arial" w:cs="Arial" w:eastAsia="Arial" w:hAnsi="Arial"/>
                <w:sz w:val="14"/>
                <w:szCs w:val="14"/>
                <w:color w:val="auto"/>
              </w:rPr>
              <w:t>--</w:t>
            </w:r>
          </w:p>
        </w:tc>
      </w:tr>
      <w:tr>
        <w:trPr>
          <w:trHeight w:val="224"/>
        </w:trPr>
        <w:tc>
          <w:tcPr>
            <w:tcW w:w="2620" w:type="dxa"/>
            <w:vAlign w:val="bottom"/>
            <w:tcBorders>
              <w:bottom w:val="single" w:sz="8" w:color="auto"/>
            </w:tcBorders>
          </w:tcPr>
          <w:p>
            <w:pPr>
              <w:ind w:left="220"/>
              <w:spacing w:after="0"/>
              <w:rPr>
                <w:sz w:val="20"/>
                <w:szCs w:val="20"/>
                <w:color w:val="auto"/>
              </w:rPr>
            </w:pPr>
            <w:r>
              <w:rPr>
                <w:rFonts w:ascii="Arial" w:cs="Arial" w:eastAsia="Arial" w:hAnsi="Arial"/>
                <w:sz w:val="14"/>
                <w:szCs w:val="14"/>
                <w:color w:val="auto"/>
              </w:rPr>
              <w:t>Total</w:t>
            </w:r>
          </w:p>
        </w:tc>
        <w:tc>
          <w:tcPr>
            <w:tcW w:w="208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tcPr>
          <w:p>
            <w:pPr>
              <w:jc w:val="right"/>
              <w:ind w:right="349"/>
              <w:spacing w:after="0"/>
              <w:rPr>
                <w:sz w:val="20"/>
                <w:szCs w:val="20"/>
                <w:color w:val="auto"/>
              </w:rPr>
            </w:pPr>
            <w:r>
              <w:rPr>
                <w:rFonts w:ascii="Arial" w:cs="Arial" w:eastAsia="Arial" w:hAnsi="Arial"/>
                <w:sz w:val="14"/>
                <w:szCs w:val="14"/>
                <w:color w:val="auto"/>
              </w:rPr>
              <w:t>466</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tcPr>
          <w:p>
            <w:pPr>
              <w:jc w:val="right"/>
              <w:ind w:right="289"/>
              <w:spacing w:after="0"/>
              <w:rPr>
                <w:sz w:val="20"/>
                <w:szCs w:val="20"/>
                <w:color w:val="auto"/>
              </w:rPr>
            </w:pPr>
            <w:r>
              <w:rPr>
                <w:rFonts w:ascii="Arial" w:cs="Arial" w:eastAsia="Arial" w:hAnsi="Arial"/>
                <w:sz w:val="14"/>
                <w:szCs w:val="14"/>
                <w:color w:val="auto"/>
              </w:rPr>
              <w:t>9</w:t>
            </w:r>
          </w:p>
        </w:tc>
      </w:tr>
    </w:tbl>
    <w:p>
      <w:pPr>
        <w:spacing w:after="0" w:line="180" w:lineRule="exact"/>
        <w:rPr>
          <w:sz w:val="20"/>
          <w:szCs w:val="20"/>
          <w:color w:val="auto"/>
        </w:rPr>
      </w:pPr>
    </w:p>
    <w:p>
      <w:pPr>
        <w:ind w:left="4"/>
        <w:spacing w:after="0" w:line="277" w:lineRule="auto"/>
        <w:rPr>
          <w:sz w:val="20"/>
          <w:szCs w:val="20"/>
          <w:color w:val="auto"/>
        </w:rPr>
      </w:pPr>
      <w:r>
        <w:rPr>
          <w:rFonts w:ascii="Arial" w:cs="Arial" w:eastAsia="Arial" w:hAnsi="Arial"/>
          <w:sz w:val="16"/>
          <w:szCs w:val="16"/>
          <w:color w:val="auto"/>
        </w:rPr>
        <w:t>Amortization expense related to the above intangible assets was $3 million in 2008 and a negligible amount in 2007. We estimate the aggregate amortization expense for the next five years to be $9 million per year.</w:t>
      </w:r>
    </w:p>
    <w:p>
      <w:pPr>
        <w:spacing w:after="0" w:line="228"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auto"/>
        </w:rPr>
        <w:t>LONG-LIVED ASSETS</w:t>
      </w:r>
    </w:p>
    <w:p>
      <w:pPr>
        <w:spacing w:after="0" w:line="89" w:lineRule="exact"/>
        <w:rPr>
          <w:sz w:val="20"/>
          <w:szCs w:val="20"/>
          <w:color w:val="auto"/>
        </w:rPr>
      </w:pPr>
    </w:p>
    <w:p>
      <w:pPr>
        <w:ind w:left="4" w:right="60"/>
        <w:spacing w:after="0" w:line="302" w:lineRule="auto"/>
        <w:rPr>
          <w:sz w:val="20"/>
          <w:szCs w:val="20"/>
          <w:color w:val="auto"/>
        </w:rPr>
      </w:pPr>
      <w:r>
        <w:rPr>
          <w:rFonts w:ascii="Arial" w:cs="Arial" w:eastAsia="Arial" w:hAnsi="Arial"/>
          <w:sz w:val="14"/>
          <w:szCs w:val="14"/>
          <w:color w:val="auto"/>
        </w:rPr>
        <w:t xml:space="preserve">In accordance with SFAS 144, </w:t>
      </w:r>
      <w:r>
        <w:rPr>
          <w:rFonts w:ascii="Arial" w:cs="Arial" w:eastAsia="Arial" w:hAnsi="Arial"/>
          <w:sz w:val="14"/>
          <w:szCs w:val="14"/>
          <w:i w:val="1"/>
          <w:iCs w:val="1"/>
          <w:color w:val="auto"/>
        </w:rPr>
        <w:t>Accounting for the Impairment or Disposal of Long-lived Assets</w:t>
      </w:r>
      <w:r>
        <w:rPr>
          <w:rFonts w:ascii="Arial" w:cs="Arial" w:eastAsia="Arial" w:hAnsi="Arial"/>
          <w:sz w:val="14"/>
          <w:szCs w:val="14"/>
          <w:color w:val="auto"/>
        </w:rPr>
        <w:t xml:space="preserve"> (SFAS 144), we periodically evaluate whether events or circumstances have occurred that may affect the recoverability or the estimated useful lives of long-lived assets, the definition of which includes intangible assets subject to amortization in accordance with SFAS 142, but does not include unconsolidated subsidiaries. Impairment of long-lived assets occurs when the estimated future undiscounted cash flows are less than the carrying amount of the assets. If that comparison indicates that the assets' carrying value may be permanently impaired, the potential impairment is measured based on the difference between the carrying amount and the fair value of the assets. This calculation is performed at the lowest level for which separately identifiable cash flows exist.</w:t>
      </w:r>
    </w:p>
    <w:p>
      <w:pPr>
        <w:spacing w:after="0" w:line="20" w:lineRule="exact"/>
        <w:rPr>
          <w:sz w:val="20"/>
          <w:szCs w:val="20"/>
          <w:color w:val="auto"/>
        </w:rPr>
      </w:pPr>
    </w:p>
    <w:p>
      <w:pPr>
        <w:ind w:left="4"/>
        <w:spacing w:after="0"/>
        <w:rPr>
          <w:sz w:val="20"/>
          <w:szCs w:val="20"/>
          <w:color w:val="auto"/>
        </w:rPr>
      </w:pPr>
      <w:r>
        <w:rPr>
          <w:rFonts w:ascii="Arial" w:cs="Arial" w:eastAsia="Arial" w:hAnsi="Arial"/>
          <w:sz w:val="16"/>
          <w:szCs w:val="16"/>
          <w:color w:val="auto"/>
        </w:rPr>
        <w:t>We provide additional information about impairment of long-lived assets in Note 5.</w:t>
      </w:r>
    </w:p>
    <w:p>
      <w:pPr>
        <w:spacing w:after="0" w:line="276"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auto"/>
        </w:rPr>
        <w:t>VARIABLE INTEREST ENTITIES</w:t>
      </w:r>
    </w:p>
    <w:p>
      <w:pPr>
        <w:spacing w:after="0" w:line="89" w:lineRule="exact"/>
        <w:rPr>
          <w:sz w:val="20"/>
          <w:szCs w:val="20"/>
          <w:color w:val="auto"/>
        </w:rPr>
      </w:pPr>
    </w:p>
    <w:p>
      <w:pPr>
        <w:ind w:left="4" w:right="280"/>
        <w:spacing w:after="0" w:line="264" w:lineRule="auto"/>
        <w:rPr>
          <w:sz w:val="20"/>
          <w:szCs w:val="20"/>
          <w:color w:val="auto"/>
        </w:rPr>
      </w:pPr>
      <w:r>
        <w:rPr>
          <w:rFonts w:ascii="Arial" w:cs="Arial" w:eastAsia="Arial" w:hAnsi="Arial"/>
          <w:sz w:val="16"/>
          <w:szCs w:val="16"/>
          <w:color w:val="auto"/>
        </w:rPr>
        <w:t xml:space="preserve">FIN 46 (revised December 2003), </w:t>
      </w:r>
      <w:r>
        <w:rPr>
          <w:rFonts w:ascii="Arial" w:cs="Arial" w:eastAsia="Arial" w:hAnsi="Arial"/>
          <w:sz w:val="16"/>
          <w:szCs w:val="16"/>
          <w:i w:val="1"/>
          <w:iCs w:val="1"/>
          <w:color w:val="auto"/>
        </w:rPr>
        <w:t>Consolidation of Variable Interest Entities - an interpretation</w:t>
      </w:r>
      <w:r>
        <w:rPr>
          <w:rFonts w:ascii="Arial" w:cs="Arial" w:eastAsia="Arial" w:hAnsi="Arial"/>
          <w:sz w:val="16"/>
          <w:szCs w:val="16"/>
          <w:color w:val="auto"/>
        </w:rPr>
        <w:t xml:space="preserve"> of </w:t>
      </w:r>
      <w:r>
        <w:rPr>
          <w:rFonts w:ascii="Arial" w:cs="Arial" w:eastAsia="Arial" w:hAnsi="Arial"/>
          <w:sz w:val="16"/>
          <w:szCs w:val="16"/>
          <w:i w:val="1"/>
          <w:iCs w:val="1"/>
          <w:color w:val="auto"/>
        </w:rPr>
        <w:t>ARB No. 51</w:t>
      </w:r>
      <w:r>
        <w:rPr>
          <w:rFonts w:ascii="Arial" w:cs="Arial" w:eastAsia="Arial" w:hAnsi="Arial"/>
          <w:sz w:val="16"/>
          <w:szCs w:val="16"/>
          <w:color w:val="auto"/>
        </w:rPr>
        <w:t xml:space="preserve"> (FIN 46(R)), requires an enterprise to consolidate a variable interest entity (VIE), as defined in FIN 46(R), if the company is the primary beneficiary of a VIE’s activities. Our determination of whether we are the primary beneficiary is based upon qualitative and quantitative analyses, which assess</w:t>
      </w:r>
    </w:p>
    <w:p>
      <w:pPr>
        <w:spacing w:after="0" w:line="5" w:lineRule="exact"/>
        <w:rPr>
          <w:sz w:val="20"/>
          <w:szCs w:val="20"/>
          <w:color w:val="auto"/>
        </w:rPr>
      </w:pPr>
    </w:p>
    <w:p>
      <w:pPr>
        <w:ind w:left="144" w:hanging="144"/>
        <w:spacing w:after="0"/>
        <w:tabs>
          <w:tab w:leader="none" w:pos="144" w:val="left"/>
        </w:tabs>
        <w:numPr>
          <w:ilvl w:val="0"/>
          <w:numId w:val="319"/>
        </w:numPr>
        <w:rPr>
          <w:rFonts w:ascii="Arial" w:cs="Arial" w:eastAsia="Arial" w:hAnsi="Arial"/>
          <w:sz w:val="16"/>
          <w:szCs w:val="16"/>
          <w:color w:val="auto"/>
        </w:rPr>
      </w:pPr>
      <w:r>
        <w:rPr>
          <w:rFonts w:ascii="Arial" w:cs="Arial" w:eastAsia="Arial" w:hAnsi="Arial"/>
          <w:sz w:val="16"/>
          <w:szCs w:val="16"/>
          <w:color w:val="auto"/>
        </w:rPr>
        <w:t>the purpose and design of the VIE;</w:t>
      </w:r>
    </w:p>
    <w:p>
      <w:pPr>
        <w:spacing w:after="0" w:line="44" w:lineRule="exact"/>
        <w:rPr>
          <w:rFonts w:ascii="Arial" w:cs="Arial" w:eastAsia="Arial" w:hAnsi="Arial"/>
          <w:sz w:val="16"/>
          <w:szCs w:val="16"/>
          <w:color w:val="auto"/>
        </w:rPr>
      </w:pPr>
    </w:p>
    <w:p>
      <w:pPr>
        <w:ind w:left="144" w:hanging="144"/>
        <w:spacing w:after="0"/>
        <w:tabs>
          <w:tab w:leader="none" w:pos="144" w:val="left"/>
        </w:tabs>
        <w:numPr>
          <w:ilvl w:val="0"/>
          <w:numId w:val="319"/>
        </w:numPr>
        <w:rPr>
          <w:rFonts w:ascii="Arial" w:cs="Arial" w:eastAsia="Arial" w:hAnsi="Arial"/>
          <w:sz w:val="16"/>
          <w:szCs w:val="16"/>
          <w:color w:val="auto"/>
        </w:rPr>
      </w:pPr>
      <w:r>
        <w:rPr>
          <w:rFonts w:ascii="Arial" w:cs="Arial" w:eastAsia="Arial" w:hAnsi="Arial"/>
          <w:sz w:val="16"/>
          <w:szCs w:val="16"/>
          <w:color w:val="auto"/>
        </w:rPr>
        <w:t>the nature of the VIE's risks and the risks we absorb; and</w:t>
      </w:r>
    </w:p>
    <w:p>
      <w:pPr>
        <w:spacing w:after="0" w:line="44" w:lineRule="exact"/>
        <w:rPr>
          <w:rFonts w:ascii="Arial" w:cs="Arial" w:eastAsia="Arial" w:hAnsi="Arial"/>
          <w:sz w:val="16"/>
          <w:szCs w:val="16"/>
          <w:color w:val="auto"/>
        </w:rPr>
      </w:pPr>
    </w:p>
    <w:p>
      <w:pPr>
        <w:ind w:left="144" w:hanging="144"/>
        <w:spacing w:after="0"/>
        <w:tabs>
          <w:tab w:leader="none" w:pos="144" w:val="left"/>
        </w:tabs>
        <w:numPr>
          <w:ilvl w:val="0"/>
          <w:numId w:val="319"/>
        </w:numPr>
        <w:rPr>
          <w:rFonts w:ascii="Arial" w:cs="Arial" w:eastAsia="Arial" w:hAnsi="Arial"/>
          <w:sz w:val="16"/>
          <w:szCs w:val="16"/>
          <w:color w:val="auto"/>
        </w:rPr>
      </w:pPr>
      <w:r>
        <w:rPr>
          <w:rFonts w:ascii="Arial" w:cs="Arial" w:eastAsia="Arial" w:hAnsi="Arial"/>
          <w:sz w:val="16"/>
          <w:szCs w:val="16"/>
          <w:color w:val="auto"/>
        </w:rPr>
        <w:t>whether the variable interest holders will absorb a majority of the VIE's expected losses or receive a majority of its expected residual returns (or both).</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4"/>
        <w:spacing w:after="0"/>
        <w:rPr>
          <w:sz w:val="20"/>
          <w:szCs w:val="20"/>
          <w:color w:val="auto"/>
        </w:rPr>
      </w:pPr>
      <w:r>
        <w:rPr>
          <w:rFonts w:ascii="Arial" w:cs="Arial" w:eastAsia="Arial" w:hAnsi="Arial"/>
          <w:sz w:val="14"/>
          <w:szCs w:val="14"/>
          <w:color w:val="auto"/>
        </w:rPr>
        <w:t>103</w:t>
      </w:r>
    </w:p>
    <w:p>
      <w:pPr>
        <w:sectPr>
          <w:pgSz w:w="11900" w:h="16838" w:orient="portrait"/>
          <w:cols w:equalWidth="0" w:num="1">
            <w:col w:w="11364"/>
          </w:cols>
          <w:pgMar w:left="236" w:top="127" w:right="299" w:bottom="1440" w:gutter="0" w:footer="0" w:header="0"/>
        </w:sectPr>
      </w:pPr>
    </w:p>
    <w:bookmarkStart w:id="243" w:name="page244"/>
    <w:bookmarkEnd w:id="243"/>
    <w:p>
      <w:pPr>
        <w:ind w:right="40"/>
        <w:spacing w:after="0" w:line="257" w:lineRule="auto"/>
        <w:rPr>
          <w:sz w:val="20"/>
          <w:szCs w:val="20"/>
          <w:color w:val="auto"/>
        </w:rPr>
      </w:pPr>
      <w:r>
        <w:rPr>
          <w:rFonts w:ascii="Arial" w:cs="Arial" w:eastAsia="Arial" w:hAnsi="Arial"/>
          <w:sz w:val="16"/>
          <w:szCs w:val="16"/>
          <w:color w:val="auto"/>
        </w:rPr>
        <w:t>SDG&amp;E has a 10-year agreement to purchase power to be generated at the Otay Mesa Energy Center (OMEC), a 573-megawatt (MW) generating facility currently under construction and expected to be in commercial operation in the fourth quarter of 2009. SDG&amp;E will supply all of the natural gas to fuel the power plant and purchase its electric generation output (i.e. tolling). The agreement provides SDG&amp;E with the option to purchase the power plant at the end of the contract term in 2019, or upon earlier termination of the purchase power agreement, at a predetermined price subject to adjustments based on performance of the facility. If SDG&amp;E does not exercise its option, under certain circumstances, it may be required to purchase the power plant at a predetermined price.</w:t>
      </w:r>
    </w:p>
    <w:p>
      <w:pPr>
        <w:spacing w:after="0" w:line="48" w:lineRule="exact"/>
        <w:rPr>
          <w:sz w:val="20"/>
          <w:szCs w:val="20"/>
          <w:color w:val="auto"/>
        </w:rPr>
      </w:pPr>
    </w:p>
    <w:p>
      <w:pPr>
        <w:ind w:right="100"/>
        <w:spacing w:after="0" w:line="277" w:lineRule="auto"/>
        <w:rPr>
          <w:sz w:val="20"/>
          <w:szCs w:val="20"/>
          <w:color w:val="auto"/>
        </w:rPr>
      </w:pPr>
      <w:r>
        <w:rPr>
          <w:rFonts w:ascii="Arial" w:cs="Arial" w:eastAsia="Arial" w:hAnsi="Arial"/>
          <w:sz w:val="16"/>
          <w:szCs w:val="16"/>
          <w:color w:val="auto"/>
        </w:rPr>
        <w:t>As defined in FIN 46(R), the facility owner, Otay Mesa Energy Center LLC (OMEC LLC), is a VIE (Otay Mesa VIE), of which SDG&amp;E is the primary beneficiary. SDG&amp;E has no OMEC LLC voting rights and does not operate OMEC.</w:t>
      </w:r>
    </w:p>
    <w:p>
      <w:pPr>
        <w:spacing w:after="0" w:line="32" w:lineRule="exact"/>
        <w:rPr>
          <w:sz w:val="20"/>
          <w:szCs w:val="20"/>
          <w:color w:val="auto"/>
        </w:rPr>
      </w:pPr>
    </w:p>
    <w:p>
      <w:pPr>
        <w:ind w:right="60"/>
        <w:spacing w:after="0" w:line="282" w:lineRule="auto"/>
        <w:rPr>
          <w:sz w:val="20"/>
          <w:szCs w:val="20"/>
          <w:color w:val="auto"/>
        </w:rPr>
      </w:pPr>
      <w:r>
        <w:rPr>
          <w:rFonts w:ascii="Arial" w:cs="Arial" w:eastAsia="Arial" w:hAnsi="Arial"/>
          <w:sz w:val="15"/>
          <w:szCs w:val="15"/>
          <w:color w:val="auto"/>
        </w:rPr>
        <w:t>Based upon our analysis, SDG&amp;E absorbs the majority of risk from the Otay Mesa VIE under the combination of the tolling agreement and the put and call options. Accordingly, we and SDG&amp;E have consolidated Otay Mesa VIE since the second quarter of 2007. The CPUC has approved an additional financial return to SDG&amp;E to compensate it for the effect on its financial ratios from the requirement to consolidate Otay Mesa VIE in accordance with FIN 46(R). Otay Mesa VIE's equity of $128 million and $135 million is included in Minority Interests at December 31, 2008 and 2007, respectively, on the Sempra Energy and SDG&amp;E Consolidated Balance Sheets.</w:t>
      </w:r>
    </w:p>
    <w:p>
      <w:pPr>
        <w:spacing w:after="0" w:line="30" w:lineRule="exact"/>
        <w:rPr>
          <w:sz w:val="20"/>
          <w:szCs w:val="20"/>
          <w:color w:val="auto"/>
        </w:rPr>
      </w:pPr>
    </w:p>
    <w:p>
      <w:pPr>
        <w:spacing w:after="0" w:line="257" w:lineRule="auto"/>
        <w:rPr>
          <w:sz w:val="20"/>
          <w:szCs w:val="20"/>
          <w:color w:val="auto"/>
        </w:rPr>
      </w:pPr>
      <w:r>
        <w:rPr>
          <w:rFonts w:ascii="Arial" w:cs="Arial" w:eastAsia="Arial" w:hAnsi="Arial"/>
          <w:sz w:val="16"/>
          <w:szCs w:val="16"/>
          <w:color w:val="auto"/>
        </w:rPr>
        <w:t>OMEC LLC has a project finance credit facility with third party lenders, secured by its assets, that provides for up to $377 million for the construction of OMEC. SDG&amp;E is not a party to the credit agreement and does not have any additional implicit or explicit financial responsibility to Otay Mesa VIE. The loan matures in April 2019. Borrowings under the facility bear interest at rates varying with market rates. OMEC LLC had $256 million of outstanding borrowings under this facility at December 31, 2008. In addition, OMEC LLC has entered into interest-rate swap agreements to moderate its exposure to interest-rate changes on this facility. We provide additional information concerning the interest-rate swaps in Note 11.</w:t>
      </w: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color w:val="auto"/>
        </w:rPr>
        <w:t>The Consolidated Financial Statements of Sempra Energy and SDG&amp;E include the following amounts associated with Otay Mesa VIE: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1691005</wp:posOffset>
            </wp:positionH>
            <wp:positionV relativeFrom="paragraph">
              <wp:posOffset>196215</wp:posOffset>
            </wp:positionV>
            <wp:extent cx="3874770" cy="2667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3874770" cy="266700"/>
                    </a:xfrm>
                    <a:prstGeom prst="rect">
                      <a:avLst/>
                    </a:prstGeom>
                    <a:noFill/>
                  </pic:spPr>
                </pic:pic>
              </a:graphicData>
            </a:graphic>
          </wp:anchor>
        </w:drawing>
      </w:r>
    </w:p>
    <w:p>
      <w:pPr>
        <w:spacing w:after="0" w:line="297" w:lineRule="exact"/>
        <w:rPr>
          <w:sz w:val="20"/>
          <w:szCs w:val="20"/>
          <w:color w:val="auto"/>
        </w:rPr>
      </w:pPr>
    </w:p>
    <w:p>
      <w:pPr>
        <w:ind w:left="2680"/>
        <w:spacing w:after="0"/>
        <w:rPr>
          <w:sz w:val="20"/>
          <w:szCs w:val="20"/>
          <w:color w:val="auto"/>
        </w:rPr>
      </w:pPr>
      <w:r>
        <w:rPr>
          <w:rFonts w:ascii="Arial" w:cs="Arial" w:eastAsia="Arial" w:hAnsi="Arial"/>
          <w:sz w:val="14"/>
          <w:szCs w:val="14"/>
          <w:b w:val="1"/>
          <w:bCs w:val="1"/>
          <w:color w:val="auto"/>
        </w:rPr>
        <w:t>AMOUNTS ASSOCIATED WITH OTAY MESA VIE</w:t>
      </w:r>
    </w:p>
    <w:p>
      <w:pPr>
        <w:spacing w:after="0" w:line="76" w:lineRule="exact"/>
        <w:rPr>
          <w:sz w:val="20"/>
          <w:szCs w:val="20"/>
          <w:color w:val="auto"/>
        </w:rPr>
      </w:pPr>
    </w:p>
    <w:tbl>
      <w:tblPr>
        <w:tblLayout w:type="fixed"/>
        <w:tblInd w:w="2660" w:type="dxa"/>
        <w:tblCellMar>
          <w:top w:w="0" w:type="dxa"/>
          <w:left w:w="0" w:type="dxa"/>
          <w:bottom w:w="0" w:type="dxa"/>
          <w:right w:w="0" w:type="dxa"/>
        </w:tblCellMar>
      </w:tblPr>
      <w:tr>
        <w:trPr>
          <w:trHeight w:val="166"/>
        </w:trPr>
        <w:tc>
          <w:tcPr>
            <w:tcW w:w="3640" w:type="dxa"/>
            <w:vAlign w:val="bottom"/>
          </w:tcPr>
          <w:p>
            <w:pPr>
              <w:ind w:left="20"/>
              <w:spacing w:after="0"/>
              <w:rPr>
                <w:sz w:val="20"/>
                <w:szCs w:val="20"/>
                <w:color w:val="auto"/>
              </w:rPr>
            </w:pPr>
            <w:r>
              <w:rPr>
                <w:rFonts w:ascii="Arial" w:cs="Arial" w:eastAsia="Arial" w:hAnsi="Arial"/>
                <w:sz w:val="13"/>
                <w:szCs w:val="13"/>
                <w:i w:val="1"/>
                <w:iCs w:val="1"/>
                <w:color w:val="auto"/>
              </w:rPr>
              <w:t>(Dollars in millions)</w:t>
            </w: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21"/>
        </w:trPr>
        <w:tc>
          <w:tcPr>
            <w:tcW w:w="3640" w:type="dxa"/>
            <w:vAlign w:val="bottom"/>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gridSpan w:val="3"/>
          </w:tcPr>
          <w:p>
            <w:pPr>
              <w:jc w:val="right"/>
              <w:ind w:right="350"/>
              <w:spacing w:after="0"/>
              <w:rPr>
                <w:sz w:val="20"/>
                <w:szCs w:val="20"/>
                <w:color w:val="auto"/>
              </w:rPr>
            </w:pPr>
            <w:r>
              <w:rPr>
                <w:rFonts w:ascii="Arial" w:cs="Arial" w:eastAsia="Arial" w:hAnsi="Arial"/>
                <w:sz w:val="13"/>
                <w:szCs w:val="13"/>
                <w:color w:val="auto"/>
              </w:rPr>
              <w:t>December 31,</w:t>
            </w:r>
          </w:p>
        </w:tc>
        <w:tc>
          <w:tcPr>
            <w:tcW w:w="26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r>
      <w:tr>
        <w:trPr>
          <w:trHeight w:val="208"/>
        </w:trPr>
        <w:tc>
          <w:tcPr>
            <w:tcW w:w="36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2008</w:t>
            </w:r>
          </w:p>
        </w:tc>
        <w:tc>
          <w:tcPr>
            <w:tcW w:w="26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2007</w:t>
            </w:r>
          </w:p>
        </w:tc>
        <w:tc>
          <w:tcPr>
            <w:tcW w:w="26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r>
      <w:tr>
        <w:trPr>
          <w:trHeight w:val="207"/>
        </w:trPr>
        <w:tc>
          <w:tcPr>
            <w:tcW w:w="3640" w:type="dxa"/>
            <w:vAlign w:val="bottom"/>
          </w:tcPr>
          <w:p>
            <w:pPr>
              <w:ind w:left="20"/>
              <w:spacing w:after="0"/>
              <w:rPr>
                <w:sz w:val="20"/>
                <w:szCs w:val="20"/>
                <w:color w:val="auto"/>
              </w:rPr>
            </w:pPr>
            <w:r>
              <w:rPr>
                <w:rFonts w:ascii="Arial" w:cs="Arial" w:eastAsia="Arial" w:hAnsi="Arial"/>
                <w:sz w:val="14"/>
                <w:szCs w:val="14"/>
                <w:color w:val="auto"/>
              </w:rPr>
              <w:t>Cash and cash equivalents</w:t>
            </w:r>
          </w:p>
        </w:tc>
        <w:tc>
          <w:tcPr>
            <w:tcW w:w="780" w:type="dxa"/>
            <w:vAlign w:val="bottom"/>
          </w:tcPr>
          <w:p>
            <w:pPr>
              <w:jc w:val="right"/>
              <w:ind w:right="571"/>
              <w:spacing w:after="0"/>
              <w:rPr>
                <w:sz w:val="20"/>
                <w:szCs w:val="20"/>
                <w:color w:val="auto"/>
              </w:rPr>
            </w:pPr>
            <w:r>
              <w:rPr>
                <w:rFonts w:ascii="Arial" w:cs="Arial" w:eastAsia="Arial" w:hAnsi="Arial"/>
                <w:sz w:val="14"/>
                <w:szCs w:val="14"/>
                <w:color w:val="auto"/>
              </w:rPr>
              <w:t>$</w:t>
            </w:r>
          </w:p>
        </w:tc>
        <w:tc>
          <w:tcPr>
            <w:tcW w:w="260" w:type="dxa"/>
            <w:vAlign w:val="bottom"/>
          </w:tcPr>
          <w:p>
            <w:pPr>
              <w:jc w:val="right"/>
              <w:spacing w:after="0"/>
              <w:rPr>
                <w:sz w:val="20"/>
                <w:szCs w:val="20"/>
                <w:color w:val="auto"/>
              </w:rPr>
            </w:pPr>
            <w:r>
              <w:rPr>
                <w:rFonts w:ascii="Arial" w:cs="Arial" w:eastAsia="Arial" w:hAnsi="Arial"/>
                <w:sz w:val="14"/>
                <w:szCs w:val="14"/>
                <w:color w:val="auto"/>
              </w:rPr>
              <w:t>11</w:t>
            </w:r>
          </w:p>
        </w:tc>
        <w:tc>
          <w:tcPr>
            <w:tcW w:w="320" w:type="dxa"/>
            <w:vAlign w:val="bottom"/>
          </w:tcPr>
          <w:p>
            <w:pPr>
              <w:spacing w:after="0"/>
              <w:rPr>
                <w:sz w:val="18"/>
                <w:szCs w:val="18"/>
                <w:color w:val="auto"/>
              </w:rPr>
            </w:pPr>
          </w:p>
        </w:tc>
        <w:tc>
          <w:tcPr>
            <w:tcW w:w="680" w:type="dxa"/>
            <w:vAlign w:val="bottom"/>
          </w:tcPr>
          <w:p>
            <w:pPr>
              <w:jc w:val="right"/>
              <w:ind w:right="510"/>
              <w:spacing w:after="0"/>
              <w:rPr>
                <w:sz w:val="20"/>
                <w:szCs w:val="20"/>
                <w:color w:val="auto"/>
              </w:rPr>
            </w:pPr>
            <w:r>
              <w:rPr>
                <w:rFonts w:ascii="Arial" w:cs="Arial" w:eastAsia="Arial" w:hAnsi="Arial"/>
                <w:sz w:val="14"/>
                <w:szCs w:val="14"/>
                <w:color w:val="auto"/>
              </w:rPr>
              <w:t>$</w:t>
            </w:r>
          </w:p>
        </w:tc>
        <w:tc>
          <w:tcPr>
            <w:tcW w:w="260" w:type="dxa"/>
            <w:vAlign w:val="bottom"/>
          </w:tcPr>
          <w:p>
            <w:pPr>
              <w:jc w:val="right"/>
              <w:spacing w:after="0"/>
              <w:rPr>
                <w:sz w:val="20"/>
                <w:szCs w:val="20"/>
                <w:color w:val="auto"/>
              </w:rPr>
            </w:pPr>
            <w:r>
              <w:rPr>
                <w:rFonts w:ascii="Arial" w:cs="Arial" w:eastAsia="Arial" w:hAnsi="Arial"/>
                <w:sz w:val="14"/>
                <w:szCs w:val="14"/>
                <w:color w:val="auto"/>
              </w:rPr>
              <w:t>1</w:t>
            </w:r>
          </w:p>
        </w:tc>
        <w:tc>
          <w:tcPr>
            <w:tcW w:w="60" w:type="dxa"/>
            <w:vAlign w:val="bottom"/>
          </w:tcPr>
          <w:p>
            <w:pPr>
              <w:spacing w:after="0"/>
              <w:rPr>
                <w:sz w:val="18"/>
                <w:szCs w:val="18"/>
                <w:color w:val="auto"/>
              </w:rPr>
            </w:pPr>
          </w:p>
        </w:tc>
      </w:tr>
      <w:tr>
        <w:trPr>
          <w:trHeight w:val="222"/>
        </w:trPr>
        <w:tc>
          <w:tcPr>
            <w:tcW w:w="3640" w:type="dxa"/>
            <w:vAlign w:val="bottom"/>
          </w:tcPr>
          <w:p>
            <w:pPr>
              <w:ind w:left="20"/>
              <w:spacing w:after="0"/>
              <w:rPr>
                <w:sz w:val="20"/>
                <w:szCs w:val="20"/>
                <w:color w:val="auto"/>
              </w:rPr>
            </w:pPr>
            <w:r>
              <w:rPr>
                <w:rFonts w:ascii="Arial" w:cs="Arial" w:eastAsia="Arial" w:hAnsi="Arial"/>
                <w:sz w:val="14"/>
                <w:szCs w:val="14"/>
                <w:color w:val="auto"/>
              </w:rPr>
              <w:t>Other current assets</w:t>
            </w:r>
          </w:p>
        </w:tc>
        <w:tc>
          <w:tcPr>
            <w:tcW w:w="78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w:t>
            </w:r>
          </w:p>
        </w:tc>
        <w:tc>
          <w:tcPr>
            <w:tcW w:w="320" w:type="dxa"/>
            <w:vAlign w:val="bottom"/>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w:t>
            </w:r>
          </w:p>
        </w:tc>
        <w:tc>
          <w:tcPr>
            <w:tcW w:w="60" w:type="dxa"/>
            <w:vAlign w:val="bottom"/>
          </w:tcPr>
          <w:p>
            <w:pPr>
              <w:spacing w:after="0"/>
              <w:rPr>
                <w:sz w:val="19"/>
                <w:szCs w:val="19"/>
                <w:color w:val="auto"/>
              </w:rPr>
            </w:pPr>
          </w:p>
        </w:tc>
      </w:tr>
      <w:tr>
        <w:trPr>
          <w:trHeight w:val="202"/>
        </w:trPr>
        <w:tc>
          <w:tcPr>
            <w:tcW w:w="3640" w:type="dxa"/>
            <w:vAlign w:val="bottom"/>
          </w:tcPr>
          <w:p>
            <w:pPr>
              <w:ind w:left="180"/>
              <w:spacing w:after="0"/>
              <w:rPr>
                <w:sz w:val="20"/>
                <w:szCs w:val="20"/>
                <w:color w:val="auto"/>
              </w:rPr>
            </w:pPr>
            <w:r>
              <w:rPr>
                <w:rFonts w:ascii="Arial" w:cs="Arial" w:eastAsia="Arial" w:hAnsi="Arial"/>
                <w:sz w:val="14"/>
                <w:szCs w:val="14"/>
                <w:color w:val="auto"/>
              </w:rPr>
              <w:t>Total current assets</w:t>
            </w:r>
          </w:p>
        </w:tc>
        <w:tc>
          <w:tcPr>
            <w:tcW w:w="780" w:type="dxa"/>
            <w:vAlign w:val="bottom"/>
          </w:tcPr>
          <w:p>
            <w:pPr>
              <w:spacing w:after="0"/>
              <w:rPr>
                <w:sz w:val="17"/>
                <w:szCs w:val="17"/>
                <w:color w:val="auto"/>
              </w:rPr>
            </w:pPr>
          </w:p>
        </w:tc>
        <w:tc>
          <w:tcPr>
            <w:tcW w:w="260" w:type="dxa"/>
            <w:vAlign w:val="bottom"/>
          </w:tcPr>
          <w:p>
            <w:pPr>
              <w:jc w:val="right"/>
              <w:spacing w:after="0"/>
              <w:rPr>
                <w:sz w:val="20"/>
                <w:szCs w:val="20"/>
                <w:color w:val="auto"/>
              </w:rPr>
            </w:pPr>
            <w:r>
              <w:rPr>
                <w:rFonts w:ascii="Arial" w:cs="Arial" w:eastAsia="Arial" w:hAnsi="Arial"/>
                <w:sz w:val="14"/>
                <w:szCs w:val="14"/>
                <w:color w:val="auto"/>
              </w:rPr>
              <w:t>34</w:t>
            </w:r>
          </w:p>
        </w:tc>
        <w:tc>
          <w:tcPr>
            <w:tcW w:w="3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60" w:type="dxa"/>
            <w:vAlign w:val="bottom"/>
          </w:tcPr>
          <w:p>
            <w:pPr>
              <w:jc w:val="right"/>
              <w:spacing w:after="0"/>
              <w:rPr>
                <w:sz w:val="20"/>
                <w:szCs w:val="20"/>
                <w:color w:val="auto"/>
              </w:rPr>
            </w:pPr>
            <w:r>
              <w:rPr>
                <w:rFonts w:ascii="Arial" w:cs="Arial" w:eastAsia="Arial" w:hAnsi="Arial"/>
                <w:sz w:val="14"/>
                <w:szCs w:val="14"/>
                <w:color w:val="auto"/>
              </w:rPr>
              <w:t>4</w:t>
            </w:r>
          </w:p>
        </w:tc>
        <w:tc>
          <w:tcPr>
            <w:tcW w:w="60" w:type="dxa"/>
            <w:vAlign w:val="bottom"/>
          </w:tcPr>
          <w:p>
            <w:pPr>
              <w:spacing w:after="0"/>
              <w:rPr>
                <w:sz w:val="17"/>
                <w:szCs w:val="17"/>
                <w:color w:val="auto"/>
              </w:rPr>
            </w:pPr>
          </w:p>
        </w:tc>
      </w:tr>
      <w:tr>
        <w:trPr>
          <w:trHeight w:val="216"/>
        </w:trPr>
        <w:tc>
          <w:tcPr>
            <w:tcW w:w="3640" w:type="dxa"/>
            <w:vAlign w:val="bottom"/>
          </w:tcPr>
          <w:p>
            <w:pPr>
              <w:ind w:left="20"/>
              <w:spacing w:after="0"/>
              <w:rPr>
                <w:sz w:val="20"/>
                <w:szCs w:val="20"/>
                <w:color w:val="auto"/>
              </w:rPr>
            </w:pPr>
            <w:r>
              <w:rPr>
                <w:rFonts w:ascii="Arial" w:cs="Arial" w:eastAsia="Arial" w:hAnsi="Arial"/>
                <w:sz w:val="14"/>
                <w:szCs w:val="14"/>
                <w:color w:val="auto"/>
              </w:rPr>
              <w:t>Property, plant and equipment</w:t>
            </w:r>
          </w:p>
        </w:tc>
        <w:tc>
          <w:tcPr>
            <w:tcW w:w="78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4"/>
                <w:szCs w:val="14"/>
                <w:color w:val="auto"/>
              </w:rPr>
              <w:t>464</w:t>
            </w: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4"/>
                <w:szCs w:val="14"/>
                <w:color w:val="auto"/>
                <w:w w:val="94"/>
              </w:rPr>
              <w:t>232</w:t>
            </w:r>
          </w:p>
        </w:tc>
        <w:tc>
          <w:tcPr>
            <w:tcW w:w="60" w:type="dxa"/>
            <w:vAlign w:val="bottom"/>
          </w:tcPr>
          <w:p>
            <w:pPr>
              <w:spacing w:after="0"/>
              <w:rPr>
                <w:sz w:val="18"/>
                <w:szCs w:val="18"/>
                <w:color w:val="auto"/>
              </w:rPr>
            </w:pPr>
          </w:p>
        </w:tc>
      </w:tr>
      <w:tr>
        <w:trPr>
          <w:trHeight w:val="222"/>
        </w:trPr>
        <w:tc>
          <w:tcPr>
            <w:tcW w:w="3640" w:type="dxa"/>
            <w:vAlign w:val="bottom"/>
          </w:tcPr>
          <w:p>
            <w:pPr>
              <w:ind w:left="20"/>
              <w:spacing w:after="0"/>
              <w:rPr>
                <w:sz w:val="20"/>
                <w:szCs w:val="20"/>
                <w:color w:val="auto"/>
              </w:rPr>
            </w:pPr>
            <w:r>
              <w:rPr>
                <w:rFonts w:ascii="Arial" w:cs="Arial" w:eastAsia="Arial" w:hAnsi="Arial"/>
                <w:sz w:val="14"/>
                <w:szCs w:val="14"/>
                <w:color w:val="auto"/>
              </w:rPr>
              <w:t>Sundry</w:t>
            </w:r>
          </w:p>
        </w:tc>
        <w:tc>
          <w:tcPr>
            <w:tcW w:w="78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w:t>
            </w:r>
          </w:p>
        </w:tc>
        <w:tc>
          <w:tcPr>
            <w:tcW w:w="320" w:type="dxa"/>
            <w:vAlign w:val="bottom"/>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w:t>
            </w:r>
          </w:p>
        </w:tc>
        <w:tc>
          <w:tcPr>
            <w:tcW w:w="60" w:type="dxa"/>
            <w:vAlign w:val="bottom"/>
          </w:tcPr>
          <w:p>
            <w:pPr>
              <w:spacing w:after="0"/>
              <w:rPr>
                <w:sz w:val="19"/>
                <w:szCs w:val="19"/>
                <w:color w:val="auto"/>
              </w:rPr>
            </w:pPr>
          </w:p>
        </w:tc>
      </w:tr>
      <w:tr>
        <w:trPr>
          <w:trHeight w:val="200"/>
        </w:trPr>
        <w:tc>
          <w:tcPr>
            <w:tcW w:w="3640" w:type="dxa"/>
            <w:vAlign w:val="bottom"/>
          </w:tcPr>
          <w:p>
            <w:pPr>
              <w:ind w:left="180"/>
              <w:spacing w:after="0"/>
              <w:rPr>
                <w:sz w:val="20"/>
                <w:szCs w:val="20"/>
                <w:color w:val="auto"/>
              </w:rPr>
            </w:pPr>
            <w:r>
              <w:rPr>
                <w:rFonts w:ascii="Arial" w:cs="Arial" w:eastAsia="Arial" w:hAnsi="Arial"/>
                <w:sz w:val="14"/>
                <w:szCs w:val="14"/>
                <w:color w:val="auto"/>
              </w:rPr>
              <w:t>Total assets</w:t>
            </w:r>
          </w:p>
        </w:tc>
        <w:tc>
          <w:tcPr>
            <w:tcW w:w="78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506</w:t>
            </w:r>
          </w:p>
        </w:tc>
        <w:tc>
          <w:tcPr>
            <w:tcW w:w="320" w:type="dxa"/>
            <w:vAlign w:val="bottom"/>
          </w:tcPr>
          <w:p>
            <w:pPr>
              <w:spacing w:after="0"/>
              <w:rPr>
                <w:sz w:val="17"/>
                <w:szCs w:val="17"/>
                <w:color w:val="auto"/>
              </w:rPr>
            </w:pPr>
          </w:p>
        </w:tc>
        <w:tc>
          <w:tcPr>
            <w:tcW w:w="680" w:type="dxa"/>
            <w:vAlign w:val="bottom"/>
            <w:tcBorders>
              <w:bottom w:val="single" w:sz="8" w:color="auto"/>
            </w:tcBorders>
          </w:tcPr>
          <w:p>
            <w:pPr>
              <w:jc w:val="right"/>
              <w:ind w:right="510"/>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4"/>
              </w:rPr>
              <w:t>245</w:t>
            </w:r>
          </w:p>
        </w:tc>
        <w:tc>
          <w:tcPr>
            <w:tcW w:w="60" w:type="dxa"/>
            <w:vAlign w:val="bottom"/>
          </w:tcPr>
          <w:p>
            <w:pPr>
              <w:spacing w:after="0"/>
              <w:rPr>
                <w:sz w:val="17"/>
                <w:szCs w:val="17"/>
                <w:color w:val="auto"/>
              </w:rPr>
            </w:pPr>
          </w:p>
        </w:tc>
      </w:tr>
      <w:tr>
        <w:trPr>
          <w:trHeight w:val="426"/>
        </w:trPr>
        <w:tc>
          <w:tcPr>
            <w:tcW w:w="3640" w:type="dxa"/>
            <w:vAlign w:val="bottom"/>
          </w:tcPr>
          <w:p>
            <w:pPr>
              <w:ind w:left="20"/>
              <w:spacing w:after="0"/>
              <w:rPr>
                <w:sz w:val="20"/>
                <w:szCs w:val="20"/>
                <w:color w:val="auto"/>
              </w:rPr>
            </w:pPr>
            <w:r>
              <w:rPr>
                <w:rFonts w:ascii="Arial" w:cs="Arial" w:eastAsia="Arial" w:hAnsi="Arial"/>
                <w:sz w:val="14"/>
                <w:szCs w:val="14"/>
                <w:color w:val="auto"/>
              </w:rPr>
              <w:t>Accounts payable</w:t>
            </w:r>
          </w:p>
        </w:tc>
        <w:tc>
          <w:tcPr>
            <w:tcW w:w="780" w:type="dxa"/>
            <w:vAlign w:val="bottom"/>
          </w:tcPr>
          <w:p>
            <w:pPr>
              <w:jc w:val="right"/>
              <w:ind w:right="571"/>
              <w:spacing w:after="0"/>
              <w:rPr>
                <w:sz w:val="20"/>
                <w:szCs w:val="20"/>
                <w:color w:val="auto"/>
              </w:rPr>
            </w:pPr>
            <w:r>
              <w:rPr>
                <w:rFonts w:ascii="Arial" w:cs="Arial" w:eastAsia="Arial" w:hAnsi="Arial"/>
                <w:sz w:val="14"/>
                <w:szCs w:val="14"/>
                <w:color w:val="auto"/>
              </w:rPr>
              <w:t>$</w:t>
            </w:r>
          </w:p>
        </w:tc>
        <w:tc>
          <w:tcPr>
            <w:tcW w:w="260" w:type="dxa"/>
            <w:vAlign w:val="bottom"/>
          </w:tcPr>
          <w:p>
            <w:pPr>
              <w:jc w:val="right"/>
              <w:spacing w:after="0"/>
              <w:rPr>
                <w:sz w:val="20"/>
                <w:szCs w:val="20"/>
                <w:color w:val="auto"/>
              </w:rPr>
            </w:pPr>
            <w:r>
              <w:rPr>
                <w:rFonts w:ascii="Arial" w:cs="Arial" w:eastAsia="Arial" w:hAnsi="Arial"/>
                <w:sz w:val="14"/>
                <w:szCs w:val="14"/>
                <w:color w:val="auto"/>
              </w:rPr>
              <w:t>35</w:t>
            </w:r>
          </w:p>
        </w:tc>
        <w:tc>
          <w:tcPr>
            <w:tcW w:w="320" w:type="dxa"/>
            <w:vAlign w:val="bottom"/>
          </w:tcPr>
          <w:p>
            <w:pPr>
              <w:spacing w:after="0"/>
              <w:rPr>
                <w:sz w:val="24"/>
                <w:szCs w:val="24"/>
                <w:color w:val="auto"/>
              </w:rPr>
            </w:pPr>
          </w:p>
        </w:tc>
        <w:tc>
          <w:tcPr>
            <w:tcW w:w="680" w:type="dxa"/>
            <w:vAlign w:val="bottom"/>
          </w:tcPr>
          <w:p>
            <w:pPr>
              <w:jc w:val="right"/>
              <w:ind w:right="510"/>
              <w:spacing w:after="0"/>
              <w:rPr>
                <w:sz w:val="20"/>
                <w:szCs w:val="20"/>
                <w:color w:val="auto"/>
              </w:rPr>
            </w:pPr>
            <w:r>
              <w:rPr>
                <w:rFonts w:ascii="Arial" w:cs="Arial" w:eastAsia="Arial" w:hAnsi="Arial"/>
                <w:sz w:val="14"/>
                <w:szCs w:val="14"/>
                <w:color w:val="auto"/>
              </w:rPr>
              <w:t>$</w:t>
            </w:r>
          </w:p>
        </w:tc>
        <w:tc>
          <w:tcPr>
            <w:tcW w:w="260" w:type="dxa"/>
            <w:vAlign w:val="bottom"/>
          </w:tcPr>
          <w:p>
            <w:pPr>
              <w:jc w:val="right"/>
              <w:spacing w:after="0"/>
              <w:rPr>
                <w:sz w:val="20"/>
                <w:szCs w:val="20"/>
                <w:color w:val="auto"/>
              </w:rPr>
            </w:pPr>
            <w:r>
              <w:rPr>
                <w:rFonts w:ascii="Arial" w:cs="Arial" w:eastAsia="Arial" w:hAnsi="Arial"/>
                <w:sz w:val="14"/>
                <w:szCs w:val="14"/>
                <w:color w:val="auto"/>
              </w:rPr>
              <w:t>15</w:t>
            </w:r>
          </w:p>
        </w:tc>
        <w:tc>
          <w:tcPr>
            <w:tcW w:w="60" w:type="dxa"/>
            <w:vAlign w:val="bottom"/>
          </w:tcPr>
          <w:p>
            <w:pPr>
              <w:spacing w:after="0"/>
              <w:rPr>
                <w:sz w:val="24"/>
                <w:szCs w:val="24"/>
                <w:color w:val="auto"/>
              </w:rPr>
            </w:pPr>
          </w:p>
        </w:tc>
      </w:tr>
      <w:tr>
        <w:trPr>
          <w:trHeight w:val="216"/>
        </w:trPr>
        <w:tc>
          <w:tcPr>
            <w:tcW w:w="3640" w:type="dxa"/>
            <w:vAlign w:val="bottom"/>
          </w:tcPr>
          <w:p>
            <w:pPr>
              <w:ind w:left="20"/>
              <w:spacing w:after="0"/>
              <w:rPr>
                <w:sz w:val="20"/>
                <w:szCs w:val="20"/>
                <w:color w:val="auto"/>
              </w:rPr>
            </w:pPr>
            <w:r>
              <w:rPr>
                <w:rFonts w:ascii="Arial" w:cs="Arial" w:eastAsia="Arial" w:hAnsi="Arial"/>
                <w:sz w:val="14"/>
                <w:szCs w:val="14"/>
                <w:color w:val="auto"/>
              </w:rPr>
              <w:t>Current portion of long-term debt</w:t>
            </w:r>
          </w:p>
        </w:tc>
        <w:tc>
          <w:tcPr>
            <w:tcW w:w="78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4"/>
                <w:szCs w:val="14"/>
                <w:color w:val="auto"/>
              </w:rPr>
              <w:t>2</w:t>
            </w: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8"/>
                <w:szCs w:val="18"/>
                <w:color w:val="auto"/>
              </w:rPr>
            </w:pPr>
          </w:p>
        </w:tc>
      </w:tr>
      <w:tr>
        <w:trPr>
          <w:trHeight w:val="216"/>
        </w:trPr>
        <w:tc>
          <w:tcPr>
            <w:tcW w:w="3640" w:type="dxa"/>
            <w:vAlign w:val="bottom"/>
          </w:tcPr>
          <w:p>
            <w:pPr>
              <w:ind w:left="20"/>
              <w:spacing w:after="0"/>
              <w:rPr>
                <w:sz w:val="20"/>
                <w:szCs w:val="20"/>
                <w:color w:val="auto"/>
              </w:rPr>
            </w:pPr>
            <w:r>
              <w:rPr>
                <w:rFonts w:ascii="Arial" w:cs="Arial" w:eastAsia="Arial" w:hAnsi="Arial"/>
                <w:sz w:val="14"/>
                <w:szCs w:val="14"/>
                <w:color w:val="auto"/>
              </w:rPr>
              <w:t>Other current liabilities</w:t>
            </w:r>
          </w:p>
        </w:tc>
        <w:tc>
          <w:tcPr>
            <w:tcW w:w="78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4"/>
                <w:szCs w:val="14"/>
                <w:color w:val="auto"/>
              </w:rPr>
              <w:t>13</w:t>
            </w: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4"/>
                <w:szCs w:val="14"/>
                <w:color w:val="auto"/>
              </w:rPr>
              <w:t>2</w:t>
            </w:r>
          </w:p>
        </w:tc>
        <w:tc>
          <w:tcPr>
            <w:tcW w:w="60" w:type="dxa"/>
            <w:vAlign w:val="bottom"/>
          </w:tcPr>
          <w:p>
            <w:pPr>
              <w:spacing w:after="0"/>
              <w:rPr>
                <w:sz w:val="18"/>
                <w:szCs w:val="18"/>
                <w:color w:val="auto"/>
              </w:rPr>
            </w:pPr>
          </w:p>
        </w:tc>
      </w:tr>
      <w:tr>
        <w:trPr>
          <w:trHeight w:val="216"/>
        </w:trPr>
        <w:tc>
          <w:tcPr>
            <w:tcW w:w="3640" w:type="dxa"/>
            <w:vAlign w:val="bottom"/>
          </w:tcPr>
          <w:p>
            <w:pPr>
              <w:ind w:left="20"/>
              <w:spacing w:after="0"/>
              <w:rPr>
                <w:sz w:val="20"/>
                <w:szCs w:val="20"/>
                <w:color w:val="auto"/>
              </w:rPr>
            </w:pPr>
            <w:r>
              <w:rPr>
                <w:rFonts w:ascii="Arial" w:cs="Arial" w:eastAsia="Arial" w:hAnsi="Arial"/>
                <w:sz w:val="14"/>
                <w:szCs w:val="14"/>
                <w:color w:val="auto"/>
              </w:rPr>
              <w:t>Long-term debt</w:t>
            </w:r>
          </w:p>
        </w:tc>
        <w:tc>
          <w:tcPr>
            <w:tcW w:w="78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4"/>
                <w:szCs w:val="14"/>
                <w:color w:val="auto"/>
              </w:rPr>
              <w:t>254</w:t>
            </w: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4"/>
                <w:szCs w:val="14"/>
                <w:color w:val="auto"/>
              </w:rPr>
              <w:t>70</w:t>
            </w:r>
          </w:p>
        </w:tc>
        <w:tc>
          <w:tcPr>
            <w:tcW w:w="60" w:type="dxa"/>
            <w:vAlign w:val="bottom"/>
          </w:tcPr>
          <w:p>
            <w:pPr>
              <w:spacing w:after="0"/>
              <w:rPr>
                <w:sz w:val="18"/>
                <w:szCs w:val="18"/>
                <w:color w:val="auto"/>
              </w:rPr>
            </w:pPr>
          </w:p>
        </w:tc>
      </w:tr>
      <w:tr>
        <w:trPr>
          <w:trHeight w:val="216"/>
        </w:trPr>
        <w:tc>
          <w:tcPr>
            <w:tcW w:w="3640" w:type="dxa"/>
            <w:vAlign w:val="bottom"/>
          </w:tcPr>
          <w:p>
            <w:pPr>
              <w:ind w:left="20"/>
              <w:spacing w:after="0"/>
              <w:rPr>
                <w:sz w:val="20"/>
                <w:szCs w:val="20"/>
                <w:color w:val="auto"/>
              </w:rPr>
            </w:pPr>
            <w:r>
              <w:rPr>
                <w:rFonts w:ascii="Arial" w:cs="Arial" w:eastAsia="Arial" w:hAnsi="Arial"/>
                <w:sz w:val="14"/>
                <w:szCs w:val="14"/>
                <w:color w:val="auto"/>
              </w:rPr>
              <w:t>Fixed-price contracts and other derivatives</w:t>
            </w:r>
          </w:p>
        </w:tc>
        <w:tc>
          <w:tcPr>
            <w:tcW w:w="78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4"/>
                <w:szCs w:val="14"/>
                <w:color w:val="auto"/>
              </w:rPr>
              <w:t>73</w:t>
            </w: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4"/>
                <w:szCs w:val="14"/>
                <w:color w:val="auto"/>
              </w:rPr>
              <w:t>16</w:t>
            </w:r>
          </w:p>
        </w:tc>
        <w:tc>
          <w:tcPr>
            <w:tcW w:w="60" w:type="dxa"/>
            <w:vAlign w:val="bottom"/>
          </w:tcPr>
          <w:p>
            <w:pPr>
              <w:spacing w:after="0"/>
              <w:rPr>
                <w:sz w:val="18"/>
                <w:szCs w:val="18"/>
                <w:color w:val="auto"/>
              </w:rPr>
            </w:pPr>
          </w:p>
        </w:tc>
      </w:tr>
      <w:tr>
        <w:trPr>
          <w:trHeight w:val="216"/>
        </w:trPr>
        <w:tc>
          <w:tcPr>
            <w:tcW w:w="3640" w:type="dxa"/>
            <w:vAlign w:val="bottom"/>
          </w:tcPr>
          <w:p>
            <w:pPr>
              <w:ind w:left="20"/>
              <w:spacing w:after="0"/>
              <w:rPr>
                <w:sz w:val="20"/>
                <w:szCs w:val="20"/>
                <w:color w:val="auto"/>
              </w:rPr>
            </w:pPr>
            <w:r>
              <w:rPr>
                <w:rFonts w:ascii="Arial" w:cs="Arial" w:eastAsia="Arial" w:hAnsi="Arial"/>
                <w:sz w:val="14"/>
                <w:szCs w:val="14"/>
                <w:color w:val="auto"/>
              </w:rPr>
              <w:t>Minority interest</w:t>
            </w:r>
          </w:p>
        </w:tc>
        <w:tc>
          <w:tcPr>
            <w:tcW w:w="78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4"/>
                <w:szCs w:val="14"/>
                <w:color w:val="auto"/>
              </w:rPr>
              <w:t>128</w:t>
            </w: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4"/>
                <w:szCs w:val="14"/>
                <w:color w:val="auto"/>
                <w:w w:val="94"/>
              </w:rPr>
              <w:t>135</w:t>
            </w:r>
          </w:p>
        </w:tc>
        <w:tc>
          <w:tcPr>
            <w:tcW w:w="60" w:type="dxa"/>
            <w:vAlign w:val="bottom"/>
          </w:tcPr>
          <w:p>
            <w:pPr>
              <w:spacing w:after="0"/>
              <w:rPr>
                <w:sz w:val="18"/>
                <w:szCs w:val="18"/>
                <w:color w:val="auto"/>
              </w:rPr>
            </w:pPr>
          </w:p>
        </w:tc>
      </w:tr>
      <w:tr>
        <w:trPr>
          <w:trHeight w:val="222"/>
        </w:trPr>
        <w:tc>
          <w:tcPr>
            <w:tcW w:w="3640" w:type="dxa"/>
            <w:vAlign w:val="bottom"/>
          </w:tcPr>
          <w:p>
            <w:pPr>
              <w:ind w:left="20"/>
              <w:spacing w:after="0"/>
              <w:rPr>
                <w:sz w:val="20"/>
                <w:szCs w:val="20"/>
                <w:color w:val="auto"/>
              </w:rPr>
            </w:pPr>
            <w:r>
              <w:rPr>
                <w:rFonts w:ascii="Arial" w:cs="Arial" w:eastAsia="Arial" w:hAnsi="Arial"/>
                <w:sz w:val="14"/>
                <w:szCs w:val="14"/>
                <w:color w:val="auto"/>
              </w:rPr>
              <w:t>Other</w:t>
            </w:r>
          </w:p>
        </w:tc>
        <w:tc>
          <w:tcPr>
            <w:tcW w:w="78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320" w:type="dxa"/>
            <w:vAlign w:val="bottom"/>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w:t>
            </w:r>
          </w:p>
        </w:tc>
        <w:tc>
          <w:tcPr>
            <w:tcW w:w="60" w:type="dxa"/>
            <w:vAlign w:val="bottom"/>
          </w:tcPr>
          <w:p>
            <w:pPr>
              <w:spacing w:after="0"/>
              <w:rPr>
                <w:sz w:val="19"/>
                <w:szCs w:val="19"/>
                <w:color w:val="auto"/>
              </w:rPr>
            </w:pPr>
          </w:p>
        </w:tc>
      </w:tr>
      <w:tr>
        <w:trPr>
          <w:trHeight w:val="224"/>
        </w:trPr>
        <w:tc>
          <w:tcPr>
            <w:tcW w:w="3640" w:type="dxa"/>
            <w:vAlign w:val="bottom"/>
            <w:tcBorders>
              <w:bottom w:val="single" w:sz="8" w:color="auto"/>
            </w:tcBorders>
          </w:tcPr>
          <w:p>
            <w:pPr>
              <w:ind w:left="180"/>
              <w:spacing w:after="0"/>
              <w:rPr>
                <w:sz w:val="20"/>
                <w:szCs w:val="20"/>
                <w:color w:val="auto"/>
              </w:rPr>
            </w:pPr>
            <w:r>
              <w:rPr>
                <w:rFonts w:ascii="Arial" w:cs="Arial" w:eastAsia="Arial" w:hAnsi="Arial"/>
                <w:sz w:val="14"/>
                <w:szCs w:val="14"/>
                <w:color w:val="auto"/>
              </w:rPr>
              <w:t>Total liabilities and shareholders’ equity</w:t>
            </w:r>
          </w:p>
        </w:tc>
        <w:tc>
          <w:tcPr>
            <w:tcW w:w="78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506</w:t>
            </w:r>
          </w:p>
        </w:tc>
        <w:tc>
          <w:tcPr>
            <w:tcW w:w="3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510"/>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4"/>
              </w:rPr>
              <w:t>245</w:t>
            </w:r>
          </w:p>
        </w:tc>
        <w:tc>
          <w:tcPr>
            <w:tcW w:w="60" w:type="dxa"/>
            <w:vAlign w:val="bottom"/>
          </w:tcPr>
          <w:p>
            <w:pPr>
              <w:spacing w:after="0"/>
              <w:rPr>
                <w:sz w:val="19"/>
                <w:szCs w:val="19"/>
                <w:color w:val="auto"/>
              </w:rPr>
            </w:pPr>
          </w:p>
        </w:tc>
      </w:tr>
      <w:tr>
        <w:trPr>
          <w:trHeight w:val="422"/>
        </w:trPr>
        <w:tc>
          <w:tcPr>
            <w:tcW w:w="3640" w:type="dxa"/>
            <w:vAlign w:val="bottom"/>
          </w:tcPr>
          <w:p>
            <w:pPr>
              <w:spacing w:after="0"/>
              <w:rPr>
                <w:sz w:val="24"/>
                <w:szCs w:val="24"/>
                <w:color w:val="auto"/>
              </w:rPr>
            </w:pPr>
          </w:p>
        </w:tc>
        <w:tc>
          <w:tcPr>
            <w:tcW w:w="2040" w:type="dxa"/>
            <w:vAlign w:val="bottom"/>
            <w:gridSpan w:val="4"/>
          </w:tcPr>
          <w:p>
            <w:pPr>
              <w:jc w:val="right"/>
              <w:spacing w:after="0"/>
              <w:rPr>
                <w:sz w:val="20"/>
                <w:szCs w:val="20"/>
                <w:color w:val="auto"/>
              </w:rPr>
            </w:pPr>
            <w:r>
              <w:rPr>
                <w:rFonts w:ascii="Arial" w:cs="Arial" w:eastAsia="Arial" w:hAnsi="Arial"/>
                <w:sz w:val="13"/>
                <w:szCs w:val="13"/>
                <w:color w:val="auto"/>
              </w:rPr>
              <w:t>Years ended December 31,</w:t>
            </w: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21"/>
        </w:trPr>
        <w:tc>
          <w:tcPr>
            <w:tcW w:w="36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2008</w:t>
            </w:r>
          </w:p>
        </w:tc>
        <w:tc>
          <w:tcPr>
            <w:tcW w:w="26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2007</w:t>
            </w:r>
          </w:p>
        </w:tc>
        <w:tc>
          <w:tcPr>
            <w:tcW w:w="26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r>
      <w:tr>
        <w:trPr>
          <w:trHeight w:val="183"/>
        </w:trPr>
        <w:tc>
          <w:tcPr>
            <w:tcW w:w="3640" w:type="dxa"/>
            <w:vAlign w:val="bottom"/>
          </w:tcPr>
          <w:p>
            <w:pPr>
              <w:ind w:left="20"/>
              <w:spacing w:after="0"/>
              <w:rPr>
                <w:sz w:val="20"/>
                <w:szCs w:val="20"/>
                <w:color w:val="auto"/>
              </w:rPr>
            </w:pPr>
            <w:r>
              <w:rPr>
                <w:rFonts w:ascii="Arial" w:cs="Arial" w:eastAsia="Arial" w:hAnsi="Arial"/>
                <w:sz w:val="14"/>
                <w:szCs w:val="14"/>
                <w:color w:val="auto"/>
              </w:rPr>
              <w:t>Loss on interest-rate swaps</w:t>
            </w:r>
          </w:p>
        </w:tc>
        <w:tc>
          <w:tcPr>
            <w:tcW w:w="780" w:type="dxa"/>
            <w:vAlign w:val="bottom"/>
          </w:tcPr>
          <w:p>
            <w:pPr>
              <w:jc w:val="right"/>
              <w:ind w:right="571"/>
              <w:spacing w:after="0"/>
              <w:rPr>
                <w:sz w:val="20"/>
                <w:szCs w:val="20"/>
                <w:color w:val="auto"/>
              </w:rPr>
            </w:pPr>
            <w:r>
              <w:rPr>
                <w:rFonts w:ascii="Arial" w:cs="Arial" w:eastAsia="Arial" w:hAnsi="Arial"/>
                <w:sz w:val="14"/>
                <w:szCs w:val="14"/>
                <w:color w:val="auto"/>
              </w:rPr>
              <w:t>$</w:t>
            </w:r>
          </w:p>
        </w:tc>
        <w:tc>
          <w:tcPr>
            <w:tcW w:w="580" w:type="dxa"/>
            <w:vAlign w:val="bottom"/>
            <w:gridSpan w:val="2"/>
          </w:tcPr>
          <w:p>
            <w:pPr>
              <w:jc w:val="right"/>
              <w:ind w:right="260"/>
              <w:spacing w:after="0"/>
              <w:rPr>
                <w:sz w:val="20"/>
                <w:szCs w:val="20"/>
                <w:color w:val="auto"/>
              </w:rPr>
            </w:pPr>
            <w:r>
              <w:rPr>
                <w:rFonts w:ascii="Arial" w:cs="Arial" w:eastAsia="Arial" w:hAnsi="Arial"/>
                <w:sz w:val="14"/>
                <w:szCs w:val="14"/>
                <w:color w:val="auto"/>
              </w:rPr>
              <w:t>(54 )</w:t>
            </w:r>
          </w:p>
        </w:tc>
        <w:tc>
          <w:tcPr>
            <w:tcW w:w="680" w:type="dxa"/>
            <w:vAlign w:val="bottom"/>
          </w:tcPr>
          <w:p>
            <w:pPr>
              <w:jc w:val="right"/>
              <w:ind w:right="510"/>
              <w:spacing w:after="0"/>
              <w:rPr>
                <w:sz w:val="20"/>
                <w:szCs w:val="20"/>
                <w:color w:val="auto"/>
              </w:rPr>
            </w:pPr>
            <w:r>
              <w:rPr>
                <w:rFonts w:ascii="Arial" w:cs="Arial" w:eastAsia="Arial" w:hAnsi="Arial"/>
                <w:sz w:val="14"/>
                <w:szCs w:val="14"/>
                <w:color w:val="auto"/>
              </w:rPr>
              <w:t>$</w:t>
            </w:r>
          </w:p>
        </w:tc>
        <w:tc>
          <w:tcPr>
            <w:tcW w:w="320" w:type="dxa"/>
            <w:vAlign w:val="bottom"/>
            <w:gridSpan w:val="2"/>
          </w:tcPr>
          <w:p>
            <w:pPr>
              <w:jc w:val="right"/>
              <w:spacing w:after="0"/>
              <w:rPr>
                <w:sz w:val="20"/>
                <w:szCs w:val="20"/>
                <w:color w:val="auto"/>
              </w:rPr>
            </w:pPr>
            <w:r>
              <w:rPr>
                <w:rFonts w:ascii="Arial" w:cs="Arial" w:eastAsia="Arial" w:hAnsi="Arial"/>
                <w:sz w:val="14"/>
                <w:szCs w:val="14"/>
                <w:color w:val="auto"/>
              </w:rPr>
              <w:t>(17 )</w:t>
            </w:r>
          </w:p>
        </w:tc>
      </w:tr>
      <w:tr>
        <w:trPr>
          <w:trHeight w:val="222"/>
        </w:trPr>
        <w:tc>
          <w:tcPr>
            <w:tcW w:w="3640" w:type="dxa"/>
            <w:vAlign w:val="bottom"/>
          </w:tcPr>
          <w:p>
            <w:pPr>
              <w:ind w:left="20"/>
              <w:spacing w:after="0"/>
              <w:rPr>
                <w:sz w:val="20"/>
                <w:szCs w:val="20"/>
                <w:color w:val="auto"/>
              </w:rPr>
            </w:pPr>
            <w:r>
              <w:rPr>
                <w:rFonts w:ascii="Arial" w:cs="Arial" w:eastAsia="Arial" w:hAnsi="Arial"/>
                <w:sz w:val="14"/>
                <w:szCs w:val="14"/>
                <w:color w:val="auto"/>
              </w:rPr>
              <w:t>Minority interest</w:t>
            </w:r>
          </w:p>
        </w:tc>
        <w:tc>
          <w:tcPr>
            <w:tcW w:w="78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54</w:t>
            </w:r>
          </w:p>
        </w:tc>
        <w:tc>
          <w:tcPr>
            <w:tcW w:w="320" w:type="dxa"/>
            <w:vAlign w:val="bottom"/>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w:t>
            </w:r>
          </w:p>
        </w:tc>
        <w:tc>
          <w:tcPr>
            <w:tcW w:w="60" w:type="dxa"/>
            <w:vAlign w:val="bottom"/>
          </w:tcPr>
          <w:p>
            <w:pPr>
              <w:spacing w:after="0"/>
              <w:rPr>
                <w:sz w:val="19"/>
                <w:szCs w:val="19"/>
                <w:color w:val="auto"/>
              </w:rPr>
            </w:pPr>
          </w:p>
        </w:tc>
      </w:tr>
      <w:tr>
        <w:trPr>
          <w:trHeight w:val="208"/>
        </w:trPr>
        <w:tc>
          <w:tcPr>
            <w:tcW w:w="3640" w:type="dxa"/>
            <w:vAlign w:val="bottom"/>
          </w:tcPr>
          <w:p>
            <w:pPr>
              <w:ind w:left="180"/>
              <w:spacing w:after="0"/>
              <w:rPr>
                <w:sz w:val="20"/>
                <w:szCs w:val="20"/>
                <w:color w:val="auto"/>
              </w:rPr>
            </w:pPr>
            <w:r>
              <w:rPr>
                <w:rFonts w:ascii="Arial" w:cs="Arial" w:eastAsia="Arial" w:hAnsi="Arial"/>
                <w:sz w:val="14"/>
                <w:szCs w:val="14"/>
                <w:color w:val="auto"/>
              </w:rPr>
              <w:t>Other income, net</w:t>
            </w:r>
          </w:p>
        </w:tc>
        <w:tc>
          <w:tcPr>
            <w:tcW w:w="7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8"/>
                <w:szCs w:val="18"/>
                <w:color w:val="auto"/>
              </w:rPr>
            </w:pPr>
          </w:p>
        </w:tc>
      </w:tr>
      <w:tr>
        <w:trPr>
          <w:trHeight w:val="224"/>
        </w:trPr>
        <w:tc>
          <w:tcPr>
            <w:tcW w:w="3640" w:type="dxa"/>
            <w:vAlign w:val="bottom"/>
            <w:tcBorders>
              <w:bottom w:val="single" w:sz="8" w:color="auto"/>
            </w:tcBorders>
          </w:tcPr>
          <w:p>
            <w:pPr>
              <w:ind w:left="180"/>
              <w:spacing w:after="0"/>
              <w:rPr>
                <w:sz w:val="20"/>
                <w:szCs w:val="20"/>
                <w:color w:val="auto"/>
              </w:rPr>
            </w:pPr>
            <w:r>
              <w:rPr>
                <w:rFonts w:ascii="Arial" w:cs="Arial" w:eastAsia="Arial" w:hAnsi="Arial"/>
                <w:sz w:val="14"/>
                <w:szCs w:val="14"/>
                <w:color w:val="auto"/>
              </w:rPr>
              <w:t>Net income</w:t>
            </w:r>
          </w:p>
        </w:tc>
        <w:tc>
          <w:tcPr>
            <w:tcW w:w="78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510"/>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9"/>
                <w:szCs w:val="19"/>
                <w:color w:val="auto"/>
              </w:rPr>
            </w:pPr>
          </w:p>
        </w:tc>
      </w:tr>
    </w:tbl>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14"/>
          <w:szCs w:val="14"/>
          <w:color w:val="auto"/>
        </w:rPr>
        <w:t>104</w:t>
      </w:r>
    </w:p>
    <w:p>
      <w:pPr>
        <w:sectPr>
          <w:pgSz w:w="11900" w:h="16838" w:orient="portrait"/>
          <w:cols w:equalWidth="0" w:num="1">
            <w:col w:w="11440"/>
          </w:cols>
          <w:pgMar w:left="240" w:top="127" w:right="219" w:bottom="1440" w:gutter="0" w:footer="0" w:header="0"/>
        </w:sectPr>
      </w:pPr>
    </w:p>
    <w:bookmarkStart w:id="244" w:name="page245"/>
    <w:bookmarkEnd w:id="244"/>
    <w:p>
      <w:pPr>
        <w:ind w:right="40"/>
        <w:spacing w:after="0" w:line="257" w:lineRule="auto"/>
        <w:rPr>
          <w:sz w:val="20"/>
          <w:szCs w:val="20"/>
          <w:color w:val="auto"/>
        </w:rPr>
      </w:pPr>
      <w:r>
        <w:rPr>
          <w:rFonts w:ascii="Arial" w:cs="Arial" w:eastAsia="Arial" w:hAnsi="Arial"/>
          <w:sz w:val="16"/>
          <w:szCs w:val="16"/>
          <w:color w:val="auto"/>
        </w:rPr>
        <w:t>Contracts, under which SDG&amp;E acquires power from generation facilities otherwise unrelated to SDG&amp;E, could result in a requirement for SDG&amp;E to consolidate the entity that owns the facility. In accordance with FIN 46(R), SDG&amp;E continues the process of determining if it has any such situations and, if so, gathering the information that would be needed to perform the consolidation. However, such information has not been made available to us and an evaluation of variable interests has not been completed for these entities that are grandfathered pursuant to FIN 46(R). The effects of any required consolidation are not expected to significantly affect the financial position, results of operations or liquidity of SDG&amp;E.</w:t>
      </w:r>
    </w:p>
    <w:p>
      <w:pPr>
        <w:spacing w:after="0" w:line="24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ASSET RETIREMENT OBLIGATIONS</w:t>
      </w:r>
    </w:p>
    <w:p>
      <w:pPr>
        <w:spacing w:after="0" w:line="89" w:lineRule="exact"/>
        <w:rPr>
          <w:sz w:val="20"/>
          <w:szCs w:val="20"/>
          <w:color w:val="auto"/>
        </w:rPr>
      </w:pPr>
    </w:p>
    <w:p>
      <w:pPr>
        <w:spacing w:after="0" w:line="254" w:lineRule="auto"/>
        <w:rPr>
          <w:sz w:val="20"/>
          <w:szCs w:val="20"/>
          <w:color w:val="auto"/>
        </w:rPr>
      </w:pPr>
      <w:r>
        <w:rPr>
          <w:rFonts w:ascii="Arial" w:cs="Arial" w:eastAsia="Arial" w:hAnsi="Arial"/>
          <w:sz w:val="16"/>
          <w:szCs w:val="16"/>
          <w:color w:val="auto"/>
        </w:rPr>
        <w:t xml:space="preserve">We account for tangible long-lived assets in accordance with SFAS 143, </w:t>
      </w:r>
      <w:r>
        <w:rPr>
          <w:rFonts w:ascii="Arial" w:cs="Arial" w:eastAsia="Arial" w:hAnsi="Arial"/>
          <w:sz w:val="16"/>
          <w:szCs w:val="16"/>
          <w:i w:val="1"/>
          <w:iCs w:val="1"/>
          <w:color w:val="auto"/>
        </w:rPr>
        <w:t>Accounting for Asset Retirement Obligations</w:t>
      </w:r>
      <w:r>
        <w:rPr>
          <w:rFonts w:ascii="Arial" w:cs="Arial" w:eastAsia="Arial" w:hAnsi="Arial"/>
          <w:sz w:val="16"/>
          <w:szCs w:val="16"/>
          <w:color w:val="auto"/>
        </w:rPr>
        <w:t xml:space="preserve"> (SFAS 143), and FIN 47, </w:t>
      </w:r>
      <w:r>
        <w:rPr>
          <w:rFonts w:ascii="Arial" w:cs="Arial" w:eastAsia="Arial" w:hAnsi="Arial"/>
          <w:sz w:val="16"/>
          <w:szCs w:val="16"/>
          <w:i w:val="1"/>
          <w:iCs w:val="1"/>
          <w:color w:val="auto"/>
        </w:rPr>
        <w:t>Accounting for Conditional Asset</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Retirement Obligations, an interpretation of FASB Statement No. 143 </w:t>
      </w:r>
      <w:r>
        <w:rPr>
          <w:rFonts w:ascii="Arial" w:cs="Arial" w:eastAsia="Arial" w:hAnsi="Arial"/>
          <w:sz w:val="16"/>
          <w:szCs w:val="16"/>
          <w:color w:val="auto"/>
        </w:rPr>
        <w:t>(FIN 47). SFAS 143 and FIN 47 require us to record an asset retirement obligation for the present value of</w:t>
      </w:r>
      <w:r>
        <w:rPr>
          <w:rFonts w:ascii="Arial" w:cs="Arial" w:eastAsia="Arial" w:hAnsi="Arial"/>
          <w:sz w:val="16"/>
          <w:szCs w:val="16"/>
          <w:i w:val="1"/>
          <w:iCs w:val="1"/>
          <w:color w:val="auto"/>
        </w:rPr>
        <w:t xml:space="preserve"> </w:t>
      </w:r>
      <w:r>
        <w:rPr>
          <w:rFonts w:ascii="Arial" w:cs="Arial" w:eastAsia="Arial" w:hAnsi="Arial"/>
          <w:sz w:val="16"/>
          <w:szCs w:val="16"/>
          <w:color w:val="auto"/>
        </w:rPr>
        <w:t>liabilities of future costs expected to be incurred when assets are retired from service, if the retirement process is legally required and if a reasonable estimate of fair value can be made. We record the estimated retirement cost over the life of the related asset by depreciating the present value of the obligation (measured at the time of the asset's acquisition) and accreting the discount until the liability is settled. Rate-regulated entities may record regulatory assets or liabilities as a result of the timing difference between the recognition of costs as recorded in accordance with SFAS 143 and FIN 47, and costs recovered through the rate-making process. We have recorded a regulatory liability to show that the Sempra Utilities have collected funds from customers more quickly and for larger amounts than SFAS 143 and FIN 47 would accrete the retirement liability and depreciate the asset.</w:t>
      </w:r>
    </w:p>
    <w:p>
      <w:pPr>
        <w:spacing w:after="0" w:line="52" w:lineRule="exact"/>
        <w:rPr>
          <w:sz w:val="20"/>
          <w:szCs w:val="20"/>
          <w:color w:val="auto"/>
        </w:rPr>
      </w:pPr>
    </w:p>
    <w:p>
      <w:pPr>
        <w:spacing w:after="0"/>
        <w:rPr>
          <w:sz w:val="20"/>
          <w:szCs w:val="20"/>
          <w:color w:val="auto"/>
        </w:rPr>
      </w:pPr>
      <w:r>
        <w:rPr>
          <w:rFonts w:ascii="Arial" w:cs="Arial" w:eastAsia="Arial" w:hAnsi="Arial"/>
          <w:sz w:val="16"/>
          <w:szCs w:val="16"/>
          <w:color w:val="auto"/>
        </w:rPr>
        <w:t>We have recorded asset retirement obligations related to various assets including:</w:t>
      </w:r>
    </w:p>
    <w:p>
      <w:pPr>
        <w:spacing w:after="0" w:line="8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SDG&amp;E and SoCalGas</w:t>
      </w:r>
    </w:p>
    <w:p>
      <w:pPr>
        <w:spacing w:after="0" w:line="32" w:lineRule="exact"/>
        <w:rPr>
          <w:sz w:val="20"/>
          <w:szCs w:val="20"/>
          <w:color w:val="auto"/>
        </w:rPr>
      </w:pPr>
    </w:p>
    <w:p>
      <w:pPr>
        <w:ind w:left="460" w:hanging="140"/>
        <w:spacing w:after="0"/>
        <w:tabs>
          <w:tab w:leader="none" w:pos="460" w:val="left"/>
        </w:tabs>
        <w:numPr>
          <w:ilvl w:val="0"/>
          <w:numId w:val="320"/>
        </w:numPr>
        <w:rPr>
          <w:rFonts w:ascii="Arial" w:cs="Arial" w:eastAsia="Arial" w:hAnsi="Arial"/>
          <w:sz w:val="16"/>
          <w:szCs w:val="16"/>
          <w:color w:val="auto"/>
        </w:rPr>
      </w:pPr>
      <w:r>
        <w:rPr>
          <w:rFonts w:ascii="Arial" w:cs="Arial" w:eastAsia="Arial" w:hAnsi="Arial"/>
          <w:sz w:val="16"/>
          <w:szCs w:val="16"/>
          <w:color w:val="auto"/>
        </w:rPr>
        <w:t>fuel and storage tanks</w:t>
      </w:r>
    </w:p>
    <w:p>
      <w:pPr>
        <w:spacing w:after="0" w:line="68" w:lineRule="exact"/>
        <w:rPr>
          <w:rFonts w:ascii="Arial" w:cs="Arial" w:eastAsia="Arial" w:hAnsi="Arial"/>
          <w:sz w:val="16"/>
          <w:szCs w:val="16"/>
          <w:color w:val="auto"/>
        </w:rPr>
      </w:pPr>
    </w:p>
    <w:p>
      <w:pPr>
        <w:ind w:left="460" w:hanging="140"/>
        <w:spacing w:after="0"/>
        <w:tabs>
          <w:tab w:leader="none" w:pos="460" w:val="left"/>
        </w:tabs>
        <w:numPr>
          <w:ilvl w:val="0"/>
          <w:numId w:val="320"/>
        </w:numPr>
        <w:rPr>
          <w:rFonts w:ascii="Arial" w:cs="Arial" w:eastAsia="Arial" w:hAnsi="Arial"/>
          <w:sz w:val="16"/>
          <w:szCs w:val="16"/>
          <w:color w:val="auto"/>
        </w:rPr>
      </w:pPr>
      <w:r>
        <w:rPr>
          <w:rFonts w:ascii="Arial" w:cs="Arial" w:eastAsia="Arial" w:hAnsi="Arial"/>
          <w:sz w:val="16"/>
          <w:szCs w:val="16"/>
          <w:color w:val="auto"/>
        </w:rPr>
        <w:t>natural gas distribution system</w:t>
      </w:r>
    </w:p>
    <w:p>
      <w:pPr>
        <w:spacing w:after="0" w:line="68" w:lineRule="exact"/>
        <w:rPr>
          <w:rFonts w:ascii="Arial" w:cs="Arial" w:eastAsia="Arial" w:hAnsi="Arial"/>
          <w:sz w:val="16"/>
          <w:szCs w:val="16"/>
          <w:color w:val="auto"/>
        </w:rPr>
      </w:pPr>
    </w:p>
    <w:p>
      <w:pPr>
        <w:ind w:left="460" w:hanging="140"/>
        <w:spacing w:after="0"/>
        <w:tabs>
          <w:tab w:leader="none" w:pos="460" w:val="left"/>
        </w:tabs>
        <w:numPr>
          <w:ilvl w:val="0"/>
          <w:numId w:val="320"/>
        </w:numPr>
        <w:rPr>
          <w:rFonts w:ascii="Arial" w:cs="Arial" w:eastAsia="Arial" w:hAnsi="Arial"/>
          <w:sz w:val="16"/>
          <w:szCs w:val="16"/>
          <w:color w:val="auto"/>
        </w:rPr>
      </w:pPr>
      <w:r>
        <w:rPr>
          <w:rFonts w:ascii="Arial" w:cs="Arial" w:eastAsia="Arial" w:hAnsi="Arial"/>
          <w:sz w:val="16"/>
          <w:szCs w:val="16"/>
          <w:color w:val="auto"/>
        </w:rPr>
        <w:t>hazardous waste storage facilities</w:t>
      </w:r>
    </w:p>
    <w:p>
      <w:pPr>
        <w:spacing w:after="0" w:line="68" w:lineRule="exact"/>
        <w:rPr>
          <w:rFonts w:ascii="Arial" w:cs="Arial" w:eastAsia="Arial" w:hAnsi="Arial"/>
          <w:sz w:val="16"/>
          <w:szCs w:val="16"/>
          <w:color w:val="auto"/>
        </w:rPr>
      </w:pPr>
    </w:p>
    <w:p>
      <w:pPr>
        <w:ind w:left="460" w:hanging="140"/>
        <w:spacing w:after="0"/>
        <w:tabs>
          <w:tab w:leader="none" w:pos="460" w:val="left"/>
        </w:tabs>
        <w:numPr>
          <w:ilvl w:val="0"/>
          <w:numId w:val="320"/>
        </w:numPr>
        <w:rPr>
          <w:rFonts w:ascii="Arial" w:cs="Arial" w:eastAsia="Arial" w:hAnsi="Arial"/>
          <w:sz w:val="16"/>
          <w:szCs w:val="16"/>
          <w:color w:val="auto"/>
        </w:rPr>
      </w:pPr>
      <w:r>
        <w:rPr>
          <w:rFonts w:ascii="Arial" w:cs="Arial" w:eastAsia="Arial" w:hAnsi="Arial"/>
          <w:sz w:val="16"/>
          <w:szCs w:val="16"/>
          <w:color w:val="auto"/>
        </w:rPr>
        <w:t>asbestos-containing construction materials</w:t>
      </w:r>
    </w:p>
    <w:p>
      <w:pPr>
        <w:spacing w:after="0" w:line="6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SDG&amp;E</w:t>
      </w:r>
    </w:p>
    <w:p>
      <w:pPr>
        <w:spacing w:after="0" w:line="32" w:lineRule="exact"/>
        <w:rPr>
          <w:sz w:val="20"/>
          <w:szCs w:val="20"/>
          <w:color w:val="auto"/>
        </w:rPr>
      </w:pPr>
    </w:p>
    <w:p>
      <w:pPr>
        <w:ind w:left="460" w:hanging="140"/>
        <w:spacing w:after="0"/>
        <w:tabs>
          <w:tab w:leader="none" w:pos="460" w:val="left"/>
        </w:tabs>
        <w:numPr>
          <w:ilvl w:val="0"/>
          <w:numId w:val="321"/>
        </w:numPr>
        <w:rPr>
          <w:rFonts w:ascii="Arial" w:cs="Arial" w:eastAsia="Arial" w:hAnsi="Arial"/>
          <w:sz w:val="16"/>
          <w:szCs w:val="16"/>
          <w:color w:val="auto"/>
        </w:rPr>
      </w:pPr>
      <w:r>
        <w:rPr>
          <w:rFonts w:ascii="Arial" w:cs="Arial" w:eastAsia="Arial" w:hAnsi="Arial"/>
          <w:sz w:val="16"/>
          <w:szCs w:val="16"/>
          <w:color w:val="auto"/>
        </w:rPr>
        <w:t>decommissioning of nuclear power facilities</w:t>
      </w:r>
    </w:p>
    <w:p>
      <w:pPr>
        <w:spacing w:after="0" w:line="68" w:lineRule="exact"/>
        <w:rPr>
          <w:rFonts w:ascii="Arial" w:cs="Arial" w:eastAsia="Arial" w:hAnsi="Arial"/>
          <w:sz w:val="16"/>
          <w:szCs w:val="16"/>
          <w:color w:val="auto"/>
        </w:rPr>
      </w:pPr>
    </w:p>
    <w:p>
      <w:pPr>
        <w:ind w:left="460" w:hanging="140"/>
        <w:spacing w:after="0"/>
        <w:tabs>
          <w:tab w:leader="none" w:pos="460" w:val="left"/>
        </w:tabs>
        <w:numPr>
          <w:ilvl w:val="0"/>
          <w:numId w:val="321"/>
        </w:numPr>
        <w:rPr>
          <w:rFonts w:ascii="Arial" w:cs="Arial" w:eastAsia="Arial" w:hAnsi="Arial"/>
          <w:sz w:val="16"/>
          <w:szCs w:val="16"/>
          <w:color w:val="auto"/>
        </w:rPr>
      </w:pPr>
      <w:r>
        <w:rPr>
          <w:rFonts w:ascii="Arial" w:cs="Arial" w:eastAsia="Arial" w:hAnsi="Arial"/>
          <w:sz w:val="16"/>
          <w:szCs w:val="16"/>
          <w:color w:val="auto"/>
        </w:rPr>
        <w:t>electric distribution and transmission systems</w:t>
      </w:r>
    </w:p>
    <w:p>
      <w:pPr>
        <w:spacing w:after="0" w:line="68" w:lineRule="exact"/>
        <w:rPr>
          <w:rFonts w:ascii="Arial" w:cs="Arial" w:eastAsia="Arial" w:hAnsi="Arial"/>
          <w:sz w:val="16"/>
          <w:szCs w:val="16"/>
          <w:color w:val="auto"/>
        </w:rPr>
      </w:pPr>
    </w:p>
    <w:p>
      <w:pPr>
        <w:ind w:left="460" w:hanging="140"/>
        <w:spacing w:after="0"/>
        <w:tabs>
          <w:tab w:leader="none" w:pos="460" w:val="left"/>
        </w:tabs>
        <w:numPr>
          <w:ilvl w:val="0"/>
          <w:numId w:val="321"/>
        </w:numPr>
        <w:rPr>
          <w:rFonts w:ascii="Arial" w:cs="Arial" w:eastAsia="Arial" w:hAnsi="Arial"/>
          <w:sz w:val="16"/>
          <w:szCs w:val="16"/>
          <w:color w:val="auto"/>
        </w:rPr>
      </w:pPr>
      <w:r>
        <w:rPr>
          <w:rFonts w:ascii="Arial" w:cs="Arial" w:eastAsia="Arial" w:hAnsi="Arial"/>
          <w:sz w:val="16"/>
          <w:szCs w:val="16"/>
          <w:color w:val="auto"/>
        </w:rPr>
        <w:t>site restoration of a former power plant</w:t>
      </w:r>
    </w:p>
    <w:p>
      <w:pPr>
        <w:spacing w:after="0" w:line="6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SoCalGas</w:t>
      </w:r>
    </w:p>
    <w:p>
      <w:pPr>
        <w:spacing w:after="0" w:line="32" w:lineRule="exact"/>
        <w:rPr>
          <w:sz w:val="20"/>
          <w:szCs w:val="20"/>
          <w:color w:val="auto"/>
        </w:rPr>
      </w:pPr>
    </w:p>
    <w:p>
      <w:pPr>
        <w:ind w:left="460" w:hanging="140"/>
        <w:spacing w:after="0"/>
        <w:tabs>
          <w:tab w:leader="none" w:pos="460" w:val="left"/>
        </w:tabs>
        <w:numPr>
          <w:ilvl w:val="0"/>
          <w:numId w:val="322"/>
        </w:numPr>
        <w:rPr>
          <w:rFonts w:ascii="Arial" w:cs="Arial" w:eastAsia="Arial" w:hAnsi="Arial"/>
          <w:sz w:val="16"/>
          <w:szCs w:val="16"/>
          <w:color w:val="auto"/>
        </w:rPr>
      </w:pPr>
      <w:r>
        <w:rPr>
          <w:rFonts w:ascii="Arial" w:cs="Arial" w:eastAsia="Arial" w:hAnsi="Arial"/>
          <w:sz w:val="16"/>
          <w:szCs w:val="16"/>
          <w:color w:val="auto"/>
        </w:rPr>
        <w:t>natural gas transmission pipeline</w:t>
      </w:r>
    </w:p>
    <w:p>
      <w:pPr>
        <w:spacing w:after="0" w:line="68" w:lineRule="exact"/>
        <w:rPr>
          <w:rFonts w:ascii="Arial" w:cs="Arial" w:eastAsia="Arial" w:hAnsi="Arial"/>
          <w:sz w:val="16"/>
          <w:szCs w:val="16"/>
          <w:color w:val="auto"/>
        </w:rPr>
      </w:pPr>
    </w:p>
    <w:p>
      <w:pPr>
        <w:ind w:left="460" w:hanging="140"/>
        <w:spacing w:after="0"/>
        <w:tabs>
          <w:tab w:leader="none" w:pos="460" w:val="left"/>
        </w:tabs>
        <w:numPr>
          <w:ilvl w:val="0"/>
          <w:numId w:val="322"/>
        </w:numPr>
        <w:rPr>
          <w:rFonts w:ascii="Arial" w:cs="Arial" w:eastAsia="Arial" w:hAnsi="Arial"/>
          <w:sz w:val="16"/>
          <w:szCs w:val="16"/>
          <w:color w:val="auto"/>
        </w:rPr>
      </w:pPr>
      <w:r>
        <w:rPr>
          <w:rFonts w:ascii="Arial" w:cs="Arial" w:eastAsia="Arial" w:hAnsi="Arial"/>
          <w:sz w:val="16"/>
          <w:szCs w:val="16"/>
          <w:color w:val="auto"/>
        </w:rPr>
        <w:t>underground natural gas storage facilities and wells</w:t>
      </w:r>
    </w:p>
    <w:p>
      <w:pPr>
        <w:spacing w:after="0" w:line="6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Sempra Global</w:t>
      </w:r>
    </w:p>
    <w:p>
      <w:pPr>
        <w:spacing w:after="0" w:line="32" w:lineRule="exact"/>
        <w:rPr>
          <w:sz w:val="20"/>
          <w:szCs w:val="20"/>
          <w:color w:val="auto"/>
        </w:rPr>
      </w:pPr>
    </w:p>
    <w:p>
      <w:pPr>
        <w:ind w:left="460" w:hanging="140"/>
        <w:spacing w:after="0"/>
        <w:tabs>
          <w:tab w:leader="none" w:pos="460" w:val="left"/>
        </w:tabs>
        <w:numPr>
          <w:ilvl w:val="0"/>
          <w:numId w:val="323"/>
        </w:numPr>
        <w:rPr>
          <w:rFonts w:ascii="Arial" w:cs="Arial" w:eastAsia="Arial" w:hAnsi="Arial"/>
          <w:sz w:val="16"/>
          <w:szCs w:val="16"/>
          <w:color w:val="auto"/>
        </w:rPr>
      </w:pPr>
      <w:r>
        <w:rPr>
          <w:rFonts w:ascii="Arial" w:cs="Arial" w:eastAsia="Arial" w:hAnsi="Arial"/>
          <w:sz w:val="16"/>
          <w:szCs w:val="16"/>
          <w:color w:val="auto"/>
        </w:rPr>
        <w:t>certain power generation plants (natural gas and solar)</w:t>
      </w:r>
    </w:p>
    <w:p>
      <w:pPr>
        <w:spacing w:after="0" w:line="68" w:lineRule="exact"/>
        <w:rPr>
          <w:rFonts w:ascii="Arial" w:cs="Arial" w:eastAsia="Arial" w:hAnsi="Arial"/>
          <w:sz w:val="16"/>
          <w:szCs w:val="16"/>
          <w:color w:val="auto"/>
        </w:rPr>
      </w:pPr>
    </w:p>
    <w:p>
      <w:pPr>
        <w:ind w:left="460" w:hanging="140"/>
        <w:spacing w:after="0"/>
        <w:tabs>
          <w:tab w:leader="none" w:pos="460" w:val="left"/>
        </w:tabs>
        <w:numPr>
          <w:ilvl w:val="0"/>
          <w:numId w:val="323"/>
        </w:numPr>
        <w:rPr>
          <w:rFonts w:ascii="Arial" w:cs="Arial" w:eastAsia="Arial" w:hAnsi="Arial"/>
          <w:sz w:val="16"/>
          <w:szCs w:val="16"/>
          <w:color w:val="auto"/>
        </w:rPr>
      </w:pPr>
      <w:r>
        <w:rPr>
          <w:rFonts w:ascii="Arial" w:cs="Arial" w:eastAsia="Arial" w:hAnsi="Arial"/>
          <w:sz w:val="16"/>
          <w:szCs w:val="16"/>
          <w:color w:val="auto"/>
        </w:rPr>
        <w:t>natural gas distribution and transportation systems</w:t>
      </w:r>
    </w:p>
    <w:p>
      <w:pPr>
        <w:spacing w:after="0" w:line="68" w:lineRule="exact"/>
        <w:rPr>
          <w:rFonts w:ascii="Arial" w:cs="Arial" w:eastAsia="Arial" w:hAnsi="Arial"/>
          <w:sz w:val="16"/>
          <w:szCs w:val="16"/>
          <w:color w:val="auto"/>
        </w:rPr>
      </w:pPr>
    </w:p>
    <w:p>
      <w:pPr>
        <w:ind w:left="460" w:hanging="140"/>
        <w:spacing w:after="0"/>
        <w:tabs>
          <w:tab w:leader="none" w:pos="460" w:val="left"/>
        </w:tabs>
        <w:numPr>
          <w:ilvl w:val="0"/>
          <w:numId w:val="323"/>
        </w:numPr>
        <w:rPr>
          <w:rFonts w:ascii="Arial" w:cs="Arial" w:eastAsia="Arial" w:hAnsi="Arial"/>
          <w:sz w:val="16"/>
          <w:szCs w:val="16"/>
          <w:color w:val="auto"/>
        </w:rPr>
      </w:pPr>
      <w:r>
        <w:rPr>
          <w:rFonts w:ascii="Arial" w:cs="Arial" w:eastAsia="Arial" w:hAnsi="Arial"/>
          <w:sz w:val="16"/>
          <w:szCs w:val="16"/>
          <w:color w:val="auto"/>
        </w:rPr>
        <w:t>LNG regasification plant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4"/>
          <w:szCs w:val="14"/>
          <w:color w:val="auto"/>
        </w:rPr>
        <w:t>105</w:t>
      </w:r>
    </w:p>
    <w:p>
      <w:pPr>
        <w:sectPr>
          <w:pgSz w:w="11900" w:h="16838" w:orient="portrait"/>
          <w:cols w:equalWidth="0" w:num="1">
            <w:col w:w="11400"/>
          </w:cols>
          <w:pgMar w:left="240" w:top="127" w:right="259" w:bottom="1440" w:gutter="0" w:footer="0" w:header="0"/>
        </w:sectPr>
      </w:pPr>
    </w:p>
    <w:bookmarkStart w:id="245" w:name="page246"/>
    <w:bookmarkEnd w:id="245"/>
    <w:p>
      <w:pPr>
        <w:ind w:left="4"/>
        <w:spacing w:after="0"/>
        <w:rPr>
          <w:sz w:val="20"/>
          <w:szCs w:val="20"/>
          <w:color w:val="auto"/>
        </w:rPr>
      </w:pPr>
      <w:r>
        <w:rPr>
          <w:rFonts w:ascii="Arial" w:cs="Arial" w:eastAsia="Arial" w:hAnsi="Arial"/>
          <w:sz w:val="16"/>
          <w:szCs w:val="16"/>
          <w:color w:val="auto"/>
        </w:rPr>
        <w:t>The changes in asset retirement obligations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1068070</wp:posOffset>
            </wp:positionH>
            <wp:positionV relativeFrom="paragraph">
              <wp:posOffset>196215</wp:posOffset>
            </wp:positionV>
            <wp:extent cx="5133340" cy="24384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5133340" cy="243840"/>
                    </a:xfrm>
                    <a:prstGeom prst="rect">
                      <a:avLst/>
                    </a:prstGeom>
                    <a:noFill/>
                  </pic:spPr>
                </pic:pic>
              </a:graphicData>
            </a:graphic>
          </wp:anchor>
        </w:drawing>
      </w:r>
    </w:p>
    <w:p>
      <w:pPr>
        <w:spacing w:after="0" w:line="297" w:lineRule="exact"/>
        <w:rPr>
          <w:sz w:val="20"/>
          <w:szCs w:val="20"/>
          <w:color w:val="auto"/>
        </w:rPr>
      </w:pPr>
    </w:p>
    <w:p>
      <w:pPr>
        <w:ind w:left="1684"/>
        <w:spacing w:after="0"/>
        <w:rPr>
          <w:sz w:val="20"/>
          <w:szCs w:val="20"/>
          <w:color w:val="auto"/>
        </w:rPr>
      </w:pPr>
      <w:r>
        <w:rPr>
          <w:rFonts w:ascii="Arial" w:cs="Arial" w:eastAsia="Arial" w:hAnsi="Arial"/>
          <w:sz w:val="14"/>
          <w:szCs w:val="14"/>
          <w:b w:val="1"/>
          <w:bCs w:val="1"/>
          <w:color w:val="auto"/>
        </w:rPr>
        <w:t>CHANGES IN ASSET RETIREMENT OBLIGATIONS</w:t>
      </w:r>
    </w:p>
    <w:p>
      <w:pPr>
        <w:spacing w:after="0" w:line="40" w:lineRule="exact"/>
        <w:rPr>
          <w:sz w:val="20"/>
          <w:szCs w:val="20"/>
          <w:color w:val="auto"/>
        </w:rPr>
      </w:pPr>
    </w:p>
    <w:tbl>
      <w:tblPr>
        <w:tblLayout w:type="fixed"/>
        <w:tblInd w:w="1684" w:type="dxa"/>
        <w:tblCellMar>
          <w:top w:w="0" w:type="dxa"/>
          <w:left w:w="0" w:type="dxa"/>
          <w:bottom w:w="0" w:type="dxa"/>
          <w:right w:w="0" w:type="dxa"/>
        </w:tblCellMar>
      </w:tblPr>
      <w:tr>
        <w:trPr>
          <w:trHeight w:val="166"/>
        </w:trPr>
        <w:tc>
          <w:tcPr>
            <w:tcW w:w="2880" w:type="dxa"/>
            <w:vAlign w:val="bottom"/>
          </w:tcPr>
          <w:p>
            <w:pPr>
              <w:spacing w:after="0"/>
              <w:rPr>
                <w:sz w:val="20"/>
                <w:szCs w:val="20"/>
                <w:color w:val="auto"/>
              </w:rPr>
            </w:pPr>
            <w:r>
              <w:rPr>
                <w:rFonts w:ascii="Arial" w:cs="Arial" w:eastAsia="Arial" w:hAnsi="Arial"/>
                <w:sz w:val="13"/>
                <w:szCs w:val="13"/>
                <w:i w:val="1"/>
                <w:iCs w:val="1"/>
                <w:color w:val="auto"/>
              </w:rPr>
              <w:t>(Dollars in millions)</w:t>
            </w: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80"/>
        </w:trPr>
        <w:tc>
          <w:tcPr>
            <w:tcW w:w="2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40" w:type="dxa"/>
            <w:vAlign w:val="bottom"/>
            <w:gridSpan w:val="4"/>
          </w:tcPr>
          <w:p>
            <w:pPr>
              <w:jc w:val="right"/>
              <w:ind w:right="520"/>
              <w:spacing w:after="0"/>
              <w:rPr>
                <w:sz w:val="20"/>
                <w:szCs w:val="20"/>
                <w:color w:val="auto"/>
              </w:rPr>
            </w:pPr>
            <w:r>
              <w:rPr>
                <w:rFonts w:ascii="Arial" w:cs="Arial" w:eastAsia="Arial" w:hAnsi="Arial"/>
                <w:sz w:val="13"/>
                <w:szCs w:val="13"/>
                <w:color w:val="auto"/>
              </w:rPr>
              <w:t>Sempra Energy</w:t>
            </w:r>
          </w:p>
        </w:tc>
        <w:tc>
          <w:tcPr>
            <w:tcW w:w="2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0" w:type="dxa"/>
            <w:vAlign w:val="bottom"/>
          </w:tcPr>
          <w:p>
            <w:pPr>
              <w:spacing w:after="0"/>
              <w:rPr>
                <w:sz w:val="15"/>
                <w:szCs w:val="15"/>
                <w:color w:val="auto"/>
              </w:rPr>
            </w:pPr>
          </w:p>
        </w:tc>
      </w:tr>
      <w:tr>
        <w:trPr>
          <w:trHeight w:val="161"/>
        </w:trPr>
        <w:tc>
          <w:tcPr>
            <w:tcW w:w="28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color w:val="auto"/>
              </w:rPr>
              <w:t>Consolidated</w:t>
            </w:r>
          </w:p>
        </w:tc>
        <w:tc>
          <w:tcPr>
            <w:tcW w:w="4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gridSpan w:val="2"/>
          </w:tcPr>
          <w:p>
            <w:pPr>
              <w:jc w:val="right"/>
              <w:ind w:right="8"/>
              <w:spacing w:after="0"/>
              <w:rPr>
                <w:sz w:val="20"/>
                <w:szCs w:val="20"/>
                <w:color w:val="auto"/>
              </w:rPr>
            </w:pPr>
            <w:r>
              <w:rPr>
                <w:rFonts w:ascii="Arial" w:cs="Arial" w:eastAsia="Arial" w:hAnsi="Arial"/>
                <w:sz w:val="13"/>
                <w:szCs w:val="13"/>
                <w:color w:val="auto"/>
              </w:rPr>
              <w:t>SDG&amp;E</w:t>
            </w:r>
          </w:p>
        </w:tc>
        <w:tc>
          <w:tcPr>
            <w:tcW w:w="4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color w:val="auto"/>
              </w:rPr>
              <w:t>SoCalGas</w:t>
            </w:r>
          </w:p>
        </w:tc>
        <w:tc>
          <w:tcPr>
            <w:tcW w:w="600" w:type="dxa"/>
            <w:vAlign w:val="bottom"/>
            <w:tcBorders>
              <w:bottom w:val="single" w:sz="8" w:color="auto"/>
            </w:tcBorders>
          </w:tcPr>
          <w:p>
            <w:pPr>
              <w:spacing w:after="0"/>
              <w:rPr>
                <w:sz w:val="14"/>
                <w:szCs w:val="14"/>
                <w:color w:val="auto"/>
              </w:rPr>
            </w:pPr>
          </w:p>
        </w:tc>
      </w:tr>
      <w:tr>
        <w:trPr>
          <w:trHeight w:val="203"/>
        </w:trPr>
        <w:tc>
          <w:tcPr>
            <w:tcW w:w="2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40" w:type="dxa"/>
            <w:vAlign w:val="bottom"/>
            <w:gridSpan w:val="4"/>
          </w:tcPr>
          <w:p>
            <w:pPr>
              <w:jc w:val="right"/>
              <w:ind w:right="520"/>
              <w:spacing w:after="0"/>
              <w:rPr>
                <w:sz w:val="20"/>
                <w:szCs w:val="20"/>
                <w:color w:val="auto"/>
              </w:rPr>
            </w:pPr>
            <w:r>
              <w:rPr>
                <w:rFonts w:ascii="Arial" w:cs="Arial" w:eastAsia="Arial" w:hAnsi="Arial"/>
                <w:sz w:val="13"/>
                <w:szCs w:val="13"/>
                <w:color w:val="auto"/>
              </w:rPr>
              <w:t>December 31,</w:t>
            </w:r>
          </w:p>
        </w:tc>
        <w:tc>
          <w:tcPr>
            <w:tcW w:w="200" w:type="dxa"/>
            <w:vAlign w:val="bottom"/>
          </w:tcPr>
          <w:p>
            <w:pPr>
              <w:spacing w:after="0"/>
              <w:rPr>
                <w:sz w:val="17"/>
                <w:szCs w:val="17"/>
                <w:color w:val="auto"/>
              </w:rPr>
            </w:pPr>
          </w:p>
        </w:tc>
        <w:tc>
          <w:tcPr>
            <w:tcW w:w="1520" w:type="dxa"/>
            <w:vAlign w:val="bottom"/>
            <w:gridSpan w:val="4"/>
          </w:tcPr>
          <w:p>
            <w:pPr>
              <w:jc w:val="right"/>
              <w:ind w:right="500"/>
              <w:spacing w:after="0"/>
              <w:rPr>
                <w:sz w:val="20"/>
                <w:szCs w:val="20"/>
                <w:color w:val="auto"/>
              </w:rPr>
            </w:pPr>
            <w:r>
              <w:rPr>
                <w:rFonts w:ascii="Arial" w:cs="Arial" w:eastAsia="Arial" w:hAnsi="Arial"/>
                <w:sz w:val="13"/>
                <w:szCs w:val="13"/>
                <w:color w:val="auto"/>
              </w:rPr>
              <w:t>December 31,</w:t>
            </w:r>
          </w:p>
        </w:tc>
        <w:tc>
          <w:tcPr>
            <w:tcW w:w="220" w:type="dxa"/>
            <w:vAlign w:val="bottom"/>
          </w:tcPr>
          <w:p>
            <w:pPr>
              <w:spacing w:after="0"/>
              <w:rPr>
                <w:sz w:val="17"/>
                <w:szCs w:val="17"/>
                <w:color w:val="auto"/>
              </w:rPr>
            </w:pPr>
          </w:p>
        </w:tc>
        <w:tc>
          <w:tcPr>
            <w:tcW w:w="1500" w:type="dxa"/>
            <w:vAlign w:val="bottom"/>
            <w:gridSpan w:val="3"/>
          </w:tcPr>
          <w:p>
            <w:pPr>
              <w:jc w:val="right"/>
              <w:ind w:right="429"/>
              <w:spacing w:after="0"/>
              <w:rPr>
                <w:sz w:val="20"/>
                <w:szCs w:val="20"/>
                <w:color w:val="auto"/>
              </w:rPr>
            </w:pPr>
            <w:r>
              <w:rPr>
                <w:rFonts w:ascii="Arial" w:cs="Arial" w:eastAsia="Arial" w:hAnsi="Arial"/>
                <w:sz w:val="13"/>
                <w:szCs w:val="13"/>
                <w:color w:val="auto"/>
              </w:rPr>
              <w:t>December 31,</w:t>
            </w:r>
          </w:p>
        </w:tc>
      </w:tr>
      <w:tr>
        <w:trPr>
          <w:trHeight w:val="221"/>
        </w:trPr>
        <w:tc>
          <w:tcPr>
            <w:tcW w:w="28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211"/>
              <w:spacing w:after="0"/>
              <w:rPr>
                <w:sz w:val="20"/>
                <w:szCs w:val="20"/>
                <w:color w:val="auto"/>
              </w:rPr>
            </w:pPr>
            <w:r>
              <w:rPr>
                <w:rFonts w:ascii="Arial" w:cs="Arial" w:eastAsia="Arial" w:hAnsi="Arial"/>
                <w:sz w:val="13"/>
                <w:szCs w:val="13"/>
                <w:color w:val="auto"/>
              </w:rPr>
              <w:t>2008</w:t>
            </w:r>
          </w:p>
        </w:tc>
        <w:tc>
          <w:tcPr>
            <w:tcW w:w="3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ind w:right="69"/>
              <w:spacing w:after="0"/>
              <w:rPr>
                <w:sz w:val="20"/>
                <w:szCs w:val="20"/>
                <w:color w:val="auto"/>
              </w:rPr>
            </w:pPr>
            <w:r>
              <w:rPr>
                <w:rFonts w:ascii="Arial" w:cs="Arial" w:eastAsia="Arial" w:hAnsi="Arial"/>
                <w:sz w:val="13"/>
                <w:szCs w:val="13"/>
                <w:color w:val="auto"/>
                <w:w w:val="96"/>
              </w:rPr>
              <w:t>2007</w:t>
            </w:r>
          </w:p>
        </w:tc>
        <w:tc>
          <w:tcPr>
            <w:tcW w:w="16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210"/>
              <w:spacing w:after="0"/>
              <w:rPr>
                <w:sz w:val="20"/>
                <w:szCs w:val="20"/>
                <w:color w:val="auto"/>
              </w:rPr>
            </w:pPr>
            <w:r>
              <w:rPr>
                <w:rFonts w:ascii="Arial" w:cs="Arial" w:eastAsia="Arial" w:hAnsi="Arial"/>
                <w:sz w:val="13"/>
                <w:szCs w:val="13"/>
                <w:color w:val="auto"/>
              </w:rPr>
              <w:t>2008</w:t>
            </w:r>
          </w:p>
        </w:tc>
        <w:tc>
          <w:tcPr>
            <w:tcW w:w="24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ind w:right="69"/>
              <w:spacing w:after="0"/>
              <w:rPr>
                <w:sz w:val="20"/>
                <w:szCs w:val="20"/>
                <w:color w:val="auto"/>
              </w:rPr>
            </w:pPr>
            <w:r>
              <w:rPr>
                <w:rFonts w:ascii="Arial" w:cs="Arial" w:eastAsia="Arial" w:hAnsi="Arial"/>
                <w:sz w:val="13"/>
                <w:szCs w:val="13"/>
                <w:color w:val="auto"/>
              </w:rPr>
              <w:t>2007</w:t>
            </w:r>
          </w:p>
        </w:tc>
        <w:tc>
          <w:tcPr>
            <w:tcW w:w="1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190"/>
              <w:spacing w:after="0"/>
              <w:rPr>
                <w:sz w:val="20"/>
                <w:szCs w:val="20"/>
                <w:color w:val="auto"/>
              </w:rPr>
            </w:pPr>
            <w:r>
              <w:rPr>
                <w:rFonts w:ascii="Arial" w:cs="Arial" w:eastAsia="Arial" w:hAnsi="Arial"/>
                <w:sz w:val="13"/>
                <w:szCs w:val="13"/>
                <w:color w:val="auto"/>
              </w:rPr>
              <w:t>2008</w:t>
            </w:r>
          </w:p>
        </w:tc>
        <w:tc>
          <w:tcPr>
            <w:tcW w:w="2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209"/>
              <w:spacing w:after="0"/>
              <w:rPr>
                <w:sz w:val="20"/>
                <w:szCs w:val="20"/>
                <w:color w:val="auto"/>
              </w:rPr>
            </w:pPr>
            <w:r>
              <w:rPr>
                <w:rFonts w:ascii="Arial" w:cs="Arial" w:eastAsia="Arial" w:hAnsi="Arial"/>
                <w:sz w:val="13"/>
                <w:szCs w:val="13"/>
                <w:color w:val="auto"/>
              </w:rPr>
              <w:t>2007</w:t>
            </w:r>
          </w:p>
        </w:tc>
      </w:tr>
      <w:tr>
        <w:trPr>
          <w:trHeight w:val="423"/>
        </w:trPr>
        <w:tc>
          <w:tcPr>
            <w:tcW w:w="2880" w:type="dxa"/>
            <w:vAlign w:val="bottom"/>
          </w:tcPr>
          <w:p>
            <w:pPr>
              <w:spacing w:after="0"/>
              <w:rPr>
                <w:sz w:val="20"/>
                <w:szCs w:val="20"/>
                <w:color w:val="auto"/>
              </w:rPr>
            </w:pPr>
            <w:r>
              <w:rPr>
                <w:rFonts w:ascii="Arial" w:cs="Arial" w:eastAsia="Arial" w:hAnsi="Arial"/>
                <w:sz w:val="14"/>
                <w:szCs w:val="14"/>
                <w:color w:val="auto"/>
              </w:rPr>
              <w:t>Balance as of January 1*</w:t>
            </w:r>
          </w:p>
        </w:tc>
        <w:tc>
          <w:tcPr>
            <w:tcW w:w="2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71"/>
              <w:spacing w:after="0"/>
              <w:rPr>
                <w:sz w:val="20"/>
                <w:szCs w:val="20"/>
                <w:color w:val="auto"/>
              </w:rPr>
            </w:pPr>
            <w:r>
              <w:rPr>
                <w:rFonts w:ascii="Arial" w:cs="Arial" w:eastAsia="Arial" w:hAnsi="Arial"/>
                <w:sz w:val="14"/>
                <w:szCs w:val="14"/>
                <w:color w:val="auto"/>
              </w:rPr>
              <w:t>1,158</w:t>
            </w:r>
          </w:p>
        </w:tc>
        <w:tc>
          <w:tcPr>
            <w:tcW w:w="3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440" w:type="dxa"/>
            <w:vAlign w:val="bottom"/>
          </w:tcPr>
          <w:p>
            <w:pPr>
              <w:jc w:val="right"/>
              <w:spacing w:after="0"/>
              <w:rPr>
                <w:sz w:val="20"/>
                <w:szCs w:val="20"/>
                <w:color w:val="auto"/>
              </w:rPr>
            </w:pPr>
            <w:r>
              <w:rPr>
                <w:rFonts w:ascii="Arial" w:cs="Arial" w:eastAsia="Arial" w:hAnsi="Arial"/>
                <w:sz w:val="14"/>
                <w:szCs w:val="14"/>
                <w:color w:val="auto"/>
              </w:rPr>
              <w:t>1,163</w:t>
            </w:r>
          </w:p>
        </w:tc>
        <w:tc>
          <w:tcPr>
            <w:tcW w:w="16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90"/>
              <w:spacing w:after="0"/>
              <w:rPr>
                <w:sz w:val="20"/>
                <w:szCs w:val="20"/>
                <w:color w:val="auto"/>
              </w:rPr>
            </w:pPr>
            <w:r>
              <w:rPr>
                <w:rFonts w:ascii="Arial" w:cs="Arial" w:eastAsia="Arial" w:hAnsi="Arial"/>
                <w:sz w:val="14"/>
                <w:szCs w:val="14"/>
                <w:color w:val="auto"/>
              </w:rPr>
              <w:t>568</w:t>
            </w:r>
          </w:p>
        </w:tc>
        <w:tc>
          <w:tcPr>
            <w:tcW w:w="2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480" w:type="dxa"/>
            <w:vAlign w:val="bottom"/>
          </w:tcPr>
          <w:p>
            <w:pPr>
              <w:jc w:val="right"/>
              <w:spacing w:after="0"/>
              <w:rPr>
                <w:sz w:val="20"/>
                <w:szCs w:val="20"/>
                <w:color w:val="auto"/>
              </w:rPr>
            </w:pPr>
            <w:r>
              <w:rPr>
                <w:rFonts w:ascii="Arial" w:cs="Arial" w:eastAsia="Arial" w:hAnsi="Arial"/>
                <w:sz w:val="14"/>
                <w:szCs w:val="14"/>
                <w:color w:val="auto"/>
              </w:rPr>
              <w:t>483</w:t>
            </w:r>
          </w:p>
        </w:tc>
        <w:tc>
          <w:tcPr>
            <w:tcW w:w="160" w:type="dxa"/>
            <w:vAlign w:val="bottom"/>
          </w:tcPr>
          <w:p>
            <w:pPr>
              <w:spacing w:after="0"/>
              <w:rPr>
                <w:sz w:val="24"/>
                <w:szCs w:val="24"/>
                <w:color w:val="auto"/>
              </w:rPr>
            </w:pPr>
          </w:p>
        </w:tc>
        <w:tc>
          <w:tcPr>
            <w:tcW w:w="2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70"/>
              <w:spacing w:after="0"/>
              <w:rPr>
                <w:sz w:val="20"/>
                <w:szCs w:val="20"/>
                <w:color w:val="auto"/>
              </w:rPr>
            </w:pPr>
            <w:r>
              <w:rPr>
                <w:rFonts w:ascii="Arial" w:cs="Arial" w:eastAsia="Arial" w:hAnsi="Arial"/>
                <w:sz w:val="14"/>
                <w:szCs w:val="14"/>
                <w:color w:val="auto"/>
              </w:rPr>
              <w:t>577</w:t>
            </w:r>
          </w:p>
        </w:tc>
        <w:tc>
          <w:tcPr>
            <w:tcW w:w="2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89"/>
              <w:spacing w:after="0"/>
              <w:rPr>
                <w:sz w:val="20"/>
                <w:szCs w:val="20"/>
                <w:color w:val="auto"/>
              </w:rPr>
            </w:pPr>
            <w:r>
              <w:rPr>
                <w:rFonts w:ascii="Arial" w:cs="Arial" w:eastAsia="Arial" w:hAnsi="Arial"/>
                <w:sz w:val="14"/>
                <w:szCs w:val="14"/>
                <w:color w:val="auto"/>
              </w:rPr>
              <w:t>669</w:t>
            </w:r>
          </w:p>
        </w:tc>
      </w:tr>
      <w:tr>
        <w:trPr>
          <w:trHeight w:val="216"/>
        </w:trPr>
        <w:tc>
          <w:tcPr>
            <w:tcW w:w="2880" w:type="dxa"/>
            <w:vAlign w:val="bottom"/>
          </w:tcPr>
          <w:p>
            <w:pPr>
              <w:spacing w:after="0"/>
              <w:rPr>
                <w:sz w:val="20"/>
                <w:szCs w:val="20"/>
                <w:color w:val="auto"/>
              </w:rPr>
            </w:pPr>
            <w:r>
              <w:rPr>
                <w:rFonts w:ascii="Arial" w:cs="Arial" w:eastAsia="Arial" w:hAnsi="Arial"/>
                <w:sz w:val="14"/>
                <w:szCs w:val="14"/>
                <w:color w:val="auto"/>
              </w:rPr>
              <w:t>Accretion expense</w:t>
            </w:r>
          </w:p>
        </w:tc>
        <w:tc>
          <w:tcPr>
            <w:tcW w:w="220" w:type="dxa"/>
            <w:vAlign w:val="bottom"/>
          </w:tcPr>
          <w:p>
            <w:pPr>
              <w:spacing w:after="0"/>
              <w:rPr>
                <w:sz w:val="18"/>
                <w:szCs w:val="18"/>
                <w:color w:val="auto"/>
              </w:rPr>
            </w:pPr>
          </w:p>
        </w:tc>
        <w:tc>
          <w:tcPr>
            <w:tcW w:w="620" w:type="dxa"/>
            <w:vAlign w:val="bottom"/>
          </w:tcPr>
          <w:p>
            <w:pPr>
              <w:jc w:val="right"/>
              <w:ind w:right="71"/>
              <w:spacing w:after="0"/>
              <w:rPr>
                <w:sz w:val="20"/>
                <w:szCs w:val="20"/>
                <w:color w:val="auto"/>
              </w:rPr>
            </w:pPr>
            <w:r>
              <w:rPr>
                <w:rFonts w:ascii="Arial" w:cs="Arial" w:eastAsia="Arial" w:hAnsi="Arial"/>
                <w:sz w:val="14"/>
                <w:szCs w:val="14"/>
                <w:color w:val="auto"/>
              </w:rPr>
              <w:t>74</w:t>
            </w:r>
          </w:p>
        </w:tc>
        <w:tc>
          <w:tcPr>
            <w:tcW w:w="3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78</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jc w:val="right"/>
              <w:ind w:right="90"/>
              <w:spacing w:after="0"/>
              <w:rPr>
                <w:sz w:val="20"/>
                <w:szCs w:val="20"/>
                <w:color w:val="auto"/>
              </w:rPr>
            </w:pPr>
            <w:r>
              <w:rPr>
                <w:rFonts w:ascii="Arial" w:cs="Arial" w:eastAsia="Arial" w:hAnsi="Arial"/>
                <w:sz w:val="14"/>
                <w:szCs w:val="14"/>
                <w:color w:val="auto"/>
              </w:rPr>
              <w:t>37</w:t>
            </w:r>
          </w:p>
        </w:tc>
        <w:tc>
          <w:tcPr>
            <w:tcW w:w="2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35</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jc w:val="right"/>
              <w:ind w:right="70"/>
              <w:spacing w:after="0"/>
              <w:rPr>
                <w:sz w:val="20"/>
                <w:szCs w:val="20"/>
                <w:color w:val="auto"/>
              </w:rPr>
            </w:pPr>
            <w:r>
              <w:rPr>
                <w:rFonts w:ascii="Arial" w:cs="Arial" w:eastAsia="Arial" w:hAnsi="Arial"/>
                <w:sz w:val="14"/>
                <w:szCs w:val="14"/>
                <w:color w:val="auto"/>
              </w:rPr>
              <w:t>36</w:t>
            </w:r>
          </w:p>
        </w:tc>
        <w:tc>
          <w:tcPr>
            <w:tcW w:w="280" w:type="dxa"/>
            <w:vAlign w:val="bottom"/>
          </w:tcPr>
          <w:p>
            <w:pPr>
              <w:spacing w:after="0"/>
              <w:rPr>
                <w:sz w:val="18"/>
                <w:szCs w:val="18"/>
                <w:color w:val="auto"/>
              </w:rPr>
            </w:pPr>
          </w:p>
        </w:tc>
        <w:tc>
          <w:tcPr>
            <w:tcW w:w="600" w:type="dxa"/>
            <w:vAlign w:val="bottom"/>
          </w:tcPr>
          <w:p>
            <w:pPr>
              <w:jc w:val="right"/>
              <w:ind w:right="89"/>
              <w:spacing w:after="0"/>
              <w:rPr>
                <w:sz w:val="20"/>
                <w:szCs w:val="20"/>
                <w:color w:val="auto"/>
              </w:rPr>
            </w:pPr>
            <w:r>
              <w:rPr>
                <w:rFonts w:ascii="Arial" w:cs="Arial" w:eastAsia="Arial" w:hAnsi="Arial"/>
                <w:sz w:val="14"/>
                <w:szCs w:val="14"/>
                <w:color w:val="auto"/>
              </w:rPr>
              <w:t>41</w:t>
            </w:r>
          </w:p>
        </w:tc>
      </w:tr>
      <w:tr>
        <w:trPr>
          <w:trHeight w:val="216"/>
        </w:trPr>
        <w:tc>
          <w:tcPr>
            <w:tcW w:w="2880" w:type="dxa"/>
            <w:vAlign w:val="bottom"/>
          </w:tcPr>
          <w:p>
            <w:pPr>
              <w:spacing w:after="0"/>
              <w:rPr>
                <w:sz w:val="20"/>
                <w:szCs w:val="20"/>
                <w:color w:val="auto"/>
              </w:rPr>
            </w:pPr>
            <w:r>
              <w:rPr>
                <w:rFonts w:ascii="Arial" w:cs="Arial" w:eastAsia="Arial" w:hAnsi="Arial"/>
                <w:sz w:val="14"/>
                <w:szCs w:val="14"/>
                <w:color w:val="auto"/>
              </w:rPr>
              <w:t>Liabilities incurred</w:t>
            </w:r>
          </w:p>
        </w:tc>
        <w:tc>
          <w:tcPr>
            <w:tcW w:w="220" w:type="dxa"/>
            <w:vAlign w:val="bottom"/>
          </w:tcPr>
          <w:p>
            <w:pPr>
              <w:spacing w:after="0"/>
              <w:rPr>
                <w:sz w:val="18"/>
                <w:szCs w:val="18"/>
                <w:color w:val="auto"/>
              </w:rPr>
            </w:pPr>
          </w:p>
        </w:tc>
        <w:tc>
          <w:tcPr>
            <w:tcW w:w="620" w:type="dxa"/>
            <w:vAlign w:val="bottom"/>
          </w:tcPr>
          <w:p>
            <w:pPr>
              <w:jc w:val="right"/>
              <w:ind w:right="71"/>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2</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jc w:val="right"/>
              <w:ind w:right="9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1</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jc w:val="right"/>
              <w:ind w:right="7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8"/>
                <w:szCs w:val="18"/>
                <w:color w:val="auto"/>
              </w:rPr>
            </w:pPr>
          </w:p>
        </w:tc>
        <w:tc>
          <w:tcPr>
            <w:tcW w:w="600" w:type="dxa"/>
            <w:vAlign w:val="bottom"/>
          </w:tcPr>
          <w:p>
            <w:pPr>
              <w:jc w:val="right"/>
              <w:ind w:right="89"/>
              <w:spacing w:after="0"/>
              <w:rPr>
                <w:sz w:val="20"/>
                <w:szCs w:val="20"/>
                <w:color w:val="auto"/>
              </w:rPr>
            </w:pPr>
            <w:r>
              <w:rPr>
                <w:rFonts w:ascii="Arial" w:cs="Arial" w:eastAsia="Arial" w:hAnsi="Arial"/>
                <w:sz w:val="14"/>
                <w:szCs w:val="14"/>
                <w:color w:val="auto"/>
              </w:rPr>
              <w:t>1</w:t>
            </w:r>
          </w:p>
        </w:tc>
      </w:tr>
      <w:tr>
        <w:trPr>
          <w:trHeight w:val="216"/>
        </w:trPr>
        <w:tc>
          <w:tcPr>
            <w:tcW w:w="2880" w:type="dxa"/>
            <w:vAlign w:val="bottom"/>
          </w:tcPr>
          <w:p>
            <w:pPr>
              <w:spacing w:after="0"/>
              <w:rPr>
                <w:sz w:val="20"/>
                <w:szCs w:val="20"/>
                <w:color w:val="auto"/>
              </w:rPr>
            </w:pPr>
            <w:r>
              <w:rPr>
                <w:rFonts w:ascii="Arial" w:cs="Arial" w:eastAsia="Arial" w:hAnsi="Arial"/>
                <w:sz w:val="14"/>
                <w:szCs w:val="14"/>
                <w:color w:val="auto"/>
              </w:rPr>
              <w:t>Payments</w:t>
            </w:r>
          </w:p>
        </w:tc>
        <w:tc>
          <w:tcPr>
            <w:tcW w:w="220" w:type="dxa"/>
            <w:vAlign w:val="bottom"/>
          </w:tcPr>
          <w:p>
            <w:pPr>
              <w:spacing w:after="0"/>
              <w:rPr>
                <w:sz w:val="18"/>
                <w:szCs w:val="18"/>
                <w:color w:val="auto"/>
              </w:rPr>
            </w:pPr>
          </w:p>
        </w:tc>
        <w:tc>
          <w:tcPr>
            <w:tcW w:w="620" w:type="dxa"/>
            <w:vAlign w:val="bottom"/>
          </w:tcPr>
          <w:p>
            <w:pPr>
              <w:jc w:val="right"/>
              <w:ind w:right="11"/>
              <w:spacing w:after="0"/>
              <w:rPr>
                <w:sz w:val="20"/>
                <w:szCs w:val="20"/>
                <w:color w:val="auto"/>
              </w:rPr>
            </w:pPr>
            <w:r>
              <w:rPr>
                <w:rFonts w:ascii="Arial" w:cs="Arial" w:eastAsia="Arial" w:hAnsi="Arial"/>
                <w:sz w:val="14"/>
                <w:szCs w:val="14"/>
                <w:color w:val="auto"/>
              </w:rPr>
              <w:t>(11 )</w:t>
            </w:r>
          </w:p>
        </w:tc>
        <w:tc>
          <w:tcPr>
            <w:tcW w:w="32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4"/>
                <w:szCs w:val="14"/>
                <w:color w:val="auto"/>
              </w:rPr>
              <w:t>(21 )</w:t>
            </w:r>
          </w:p>
        </w:tc>
        <w:tc>
          <w:tcPr>
            <w:tcW w:w="200" w:type="dxa"/>
            <w:vAlign w:val="bottom"/>
          </w:tcPr>
          <w:p>
            <w:pPr>
              <w:spacing w:after="0"/>
              <w:rPr>
                <w:sz w:val="18"/>
                <w:szCs w:val="18"/>
                <w:color w:val="auto"/>
              </w:rPr>
            </w:pPr>
          </w:p>
        </w:tc>
        <w:tc>
          <w:tcPr>
            <w:tcW w:w="640" w:type="dxa"/>
            <w:vAlign w:val="bottom"/>
          </w:tcPr>
          <w:p>
            <w:pPr>
              <w:jc w:val="right"/>
              <w:ind w:right="10"/>
              <w:spacing w:after="0"/>
              <w:rPr>
                <w:sz w:val="20"/>
                <w:szCs w:val="20"/>
                <w:color w:val="auto"/>
              </w:rPr>
            </w:pPr>
            <w:r>
              <w:rPr>
                <w:rFonts w:ascii="Arial" w:cs="Arial" w:eastAsia="Arial" w:hAnsi="Arial"/>
                <w:sz w:val="14"/>
                <w:szCs w:val="14"/>
                <w:color w:val="auto"/>
              </w:rPr>
              <w:t>(10 )</w:t>
            </w:r>
          </w:p>
        </w:tc>
        <w:tc>
          <w:tcPr>
            <w:tcW w:w="2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4"/>
                <w:szCs w:val="14"/>
                <w:color w:val="auto"/>
              </w:rPr>
              <w:t>(20 )</w:t>
            </w:r>
          </w:p>
        </w:tc>
        <w:tc>
          <w:tcPr>
            <w:tcW w:w="220" w:type="dxa"/>
            <w:vAlign w:val="bottom"/>
          </w:tcPr>
          <w:p>
            <w:pPr>
              <w:spacing w:after="0"/>
              <w:rPr>
                <w:sz w:val="18"/>
                <w:szCs w:val="18"/>
                <w:color w:val="auto"/>
              </w:rPr>
            </w:pPr>
          </w:p>
        </w:tc>
        <w:tc>
          <w:tcPr>
            <w:tcW w:w="620" w:type="dxa"/>
            <w:vAlign w:val="bottom"/>
          </w:tcPr>
          <w:p>
            <w:pPr>
              <w:jc w:val="right"/>
              <w:ind w:right="10"/>
              <w:spacing w:after="0"/>
              <w:rPr>
                <w:sz w:val="20"/>
                <w:szCs w:val="20"/>
                <w:color w:val="auto"/>
              </w:rPr>
            </w:pPr>
            <w:r>
              <w:rPr>
                <w:rFonts w:ascii="Arial" w:cs="Arial" w:eastAsia="Arial" w:hAnsi="Arial"/>
                <w:sz w:val="14"/>
                <w:szCs w:val="14"/>
                <w:color w:val="auto"/>
              </w:rPr>
              <w:t>(1 )</w:t>
            </w:r>
          </w:p>
        </w:tc>
        <w:tc>
          <w:tcPr>
            <w:tcW w:w="280" w:type="dxa"/>
            <w:vAlign w:val="bottom"/>
          </w:tcPr>
          <w:p>
            <w:pPr>
              <w:spacing w:after="0"/>
              <w:rPr>
                <w:sz w:val="18"/>
                <w:szCs w:val="18"/>
                <w:color w:val="auto"/>
              </w:rPr>
            </w:pPr>
          </w:p>
        </w:tc>
        <w:tc>
          <w:tcPr>
            <w:tcW w:w="600" w:type="dxa"/>
            <w:vAlign w:val="bottom"/>
          </w:tcPr>
          <w:p>
            <w:pPr>
              <w:jc w:val="right"/>
              <w:ind w:right="9"/>
              <w:spacing w:after="0"/>
              <w:rPr>
                <w:sz w:val="20"/>
                <w:szCs w:val="20"/>
                <w:color w:val="auto"/>
              </w:rPr>
            </w:pPr>
            <w:r>
              <w:rPr>
                <w:rFonts w:ascii="Arial" w:cs="Arial" w:eastAsia="Arial" w:hAnsi="Arial"/>
                <w:sz w:val="14"/>
                <w:szCs w:val="14"/>
                <w:color w:val="auto"/>
              </w:rPr>
              <w:t>(1 )</w:t>
            </w:r>
          </w:p>
        </w:tc>
      </w:tr>
      <w:tr>
        <w:trPr>
          <w:trHeight w:val="216"/>
        </w:trPr>
        <w:tc>
          <w:tcPr>
            <w:tcW w:w="2880" w:type="dxa"/>
            <w:vAlign w:val="bottom"/>
          </w:tcPr>
          <w:p>
            <w:pPr>
              <w:spacing w:after="0"/>
              <w:rPr>
                <w:sz w:val="20"/>
                <w:szCs w:val="20"/>
                <w:color w:val="auto"/>
              </w:rPr>
            </w:pPr>
            <w:r>
              <w:rPr>
                <w:rFonts w:ascii="Arial" w:cs="Arial" w:eastAsia="Arial" w:hAnsi="Arial"/>
                <w:sz w:val="14"/>
                <w:szCs w:val="14"/>
                <w:color w:val="auto"/>
              </w:rPr>
              <w:t>Revision to estimated cash flows</w:t>
            </w:r>
          </w:p>
        </w:tc>
        <w:tc>
          <w:tcPr>
            <w:tcW w:w="220" w:type="dxa"/>
            <w:vAlign w:val="bottom"/>
          </w:tcPr>
          <w:p>
            <w:pPr>
              <w:spacing w:after="0"/>
              <w:rPr>
                <w:sz w:val="18"/>
                <w:szCs w:val="18"/>
                <w:color w:val="auto"/>
              </w:rPr>
            </w:pPr>
          </w:p>
        </w:tc>
        <w:tc>
          <w:tcPr>
            <w:tcW w:w="620" w:type="dxa"/>
            <w:vAlign w:val="bottom"/>
          </w:tcPr>
          <w:p>
            <w:pPr>
              <w:jc w:val="right"/>
              <w:ind w:right="11"/>
              <w:spacing w:after="0"/>
              <w:rPr>
                <w:sz w:val="20"/>
                <w:szCs w:val="20"/>
                <w:color w:val="auto"/>
              </w:rPr>
            </w:pPr>
            <w:r>
              <w:rPr>
                <w:rFonts w:ascii="Arial" w:cs="Arial" w:eastAsia="Arial" w:hAnsi="Arial"/>
                <w:sz w:val="14"/>
                <w:szCs w:val="14"/>
                <w:color w:val="auto"/>
              </w:rPr>
              <w:t>(57 )</w:t>
            </w:r>
          </w:p>
        </w:tc>
        <w:tc>
          <w:tcPr>
            <w:tcW w:w="32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4"/>
                <w:szCs w:val="14"/>
                <w:color w:val="auto"/>
              </w:rPr>
              <w:t>(64 )</w:t>
            </w:r>
          </w:p>
        </w:tc>
        <w:tc>
          <w:tcPr>
            <w:tcW w:w="200" w:type="dxa"/>
            <w:vAlign w:val="bottom"/>
          </w:tcPr>
          <w:p>
            <w:pPr>
              <w:spacing w:after="0"/>
              <w:rPr>
                <w:sz w:val="18"/>
                <w:szCs w:val="18"/>
                <w:color w:val="auto"/>
              </w:rPr>
            </w:pPr>
          </w:p>
        </w:tc>
        <w:tc>
          <w:tcPr>
            <w:tcW w:w="640" w:type="dxa"/>
            <w:vAlign w:val="bottom"/>
          </w:tcPr>
          <w:p>
            <w:pPr>
              <w:jc w:val="right"/>
              <w:ind w:right="10"/>
              <w:spacing w:after="0"/>
              <w:rPr>
                <w:sz w:val="20"/>
                <w:szCs w:val="20"/>
                <w:color w:val="auto"/>
              </w:rPr>
            </w:pPr>
            <w:r>
              <w:rPr>
                <w:rFonts w:ascii="Arial" w:cs="Arial" w:eastAsia="Arial" w:hAnsi="Arial"/>
                <w:sz w:val="14"/>
                <w:szCs w:val="14"/>
                <w:color w:val="auto"/>
              </w:rPr>
              <w:t>(41 )</w:t>
            </w:r>
          </w:p>
        </w:tc>
        <w:tc>
          <w:tcPr>
            <w:tcW w:w="2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69</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jc w:val="right"/>
              <w:ind w:right="10"/>
              <w:spacing w:after="0"/>
              <w:rPr>
                <w:sz w:val="20"/>
                <w:szCs w:val="20"/>
                <w:color w:val="auto"/>
              </w:rPr>
            </w:pPr>
            <w:r>
              <w:rPr>
                <w:rFonts w:ascii="Arial" w:cs="Arial" w:eastAsia="Arial" w:hAnsi="Arial"/>
                <w:sz w:val="14"/>
                <w:szCs w:val="14"/>
                <w:color w:val="auto"/>
              </w:rPr>
              <w:t>(17 )</w:t>
            </w:r>
          </w:p>
        </w:tc>
        <w:tc>
          <w:tcPr>
            <w:tcW w:w="280" w:type="dxa"/>
            <w:vAlign w:val="bottom"/>
          </w:tcPr>
          <w:p>
            <w:pPr>
              <w:spacing w:after="0"/>
              <w:rPr>
                <w:sz w:val="18"/>
                <w:szCs w:val="18"/>
                <w:color w:val="auto"/>
              </w:rPr>
            </w:pPr>
          </w:p>
        </w:tc>
        <w:tc>
          <w:tcPr>
            <w:tcW w:w="600" w:type="dxa"/>
            <w:vAlign w:val="bottom"/>
          </w:tcPr>
          <w:p>
            <w:pPr>
              <w:jc w:val="right"/>
              <w:ind w:right="9"/>
              <w:spacing w:after="0"/>
              <w:rPr>
                <w:sz w:val="20"/>
                <w:szCs w:val="20"/>
                <w:color w:val="auto"/>
              </w:rPr>
            </w:pPr>
            <w:r>
              <w:rPr>
                <w:rFonts w:ascii="Arial" w:cs="Arial" w:eastAsia="Arial" w:hAnsi="Arial"/>
                <w:sz w:val="14"/>
                <w:szCs w:val="14"/>
                <w:color w:val="auto"/>
              </w:rPr>
              <w:t>(133 )</w:t>
            </w:r>
          </w:p>
        </w:tc>
      </w:tr>
      <w:tr>
        <w:trPr>
          <w:trHeight w:val="216"/>
        </w:trPr>
        <w:tc>
          <w:tcPr>
            <w:tcW w:w="2880" w:type="dxa"/>
            <w:vAlign w:val="bottom"/>
          </w:tcPr>
          <w:p>
            <w:pPr>
              <w:spacing w:after="0"/>
              <w:rPr>
                <w:sz w:val="20"/>
                <w:szCs w:val="20"/>
                <w:color w:val="auto"/>
              </w:rPr>
            </w:pPr>
            <w:r>
              <w:rPr>
                <w:rFonts w:ascii="Arial" w:cs="Arial" w:eastAsia="Arial" w:hAnsi="Arial"/>
                <w:sz w:val="14"/>
                <w:szCs w:val="14"/>
                <w:color w:val="auto"/>
              </w:rPr>
              <w:t>Additions</w:t>
            </w:r>
          </w:p>
        </w:tc>
        <w:tc>
          <w:tcPr>
            <w:tcW w:w="220" w:type="dxa"/>
            <w:vAlign w:val="bottom"/>
          </w:tcPr>
          <w:p>
            <w:pPr>
              <w:spacing w:after="0"/>
              <w:rPr>
                <w:sz w:val="18"/>
                <w:szCs w:val="18"/>
                <w:color w:val="auto"/>
              </w:rPr>
            </w:pPr>
          </w:p>
        </w:tc>
        <w:tc>
          <w:tcPr>
            <w:tcW w:w="620" w:type="dxa"/>
            <w:vAlign w:val="bottom"/>
          </w:tcPr>
          <w:p>
            <w:pPr>
              <w:jc w:val="right"/>
              <w:ind w:right="71"/>
              <w:spacing w:after="0"/>
              <w:rPr>
                <w:sz w:val="20"/>
                <w:szCs w:val="20"/>
                <w:color w:val="auto"/>
              </w:rPr>
            </w:pPr>
            <w:r>
              <w:rPr>
                <w:rFonts w:ascii="Arial" w:cs="Arial" w:eastAsia="Arial" w:hAnsi="Arial"/>
                <w:sz w:val="14"/>
                <w:szCs w:val="14"/>
                <w:color w:val="auto"/>
              </w:rPr>
              <w:t>7</w:t>
            </w:r>
          </w:p>
        </w:tc>
        <w:tc>
          <w:tcPr>
            <w:tcW w:w="3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jc w:val="right"/>
              <w:ind w:right="9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jc w:val="right"/>
              <w:ind w:right="7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8"/>
                <w:szCs w:val="18"/>
                <w:color w:val="auto"/>
              </w:rPr>
            </w:pPr>
          </w:p>
        </w:tc>
        <w:tc>
          <w:tcPr>
            <w:tcW w:w="600" w:type="dxa"/>
            <w:vAlign w:val="bottom"/>
          </w:tcPr>
          <w:p>
            <w:pPr>
              <w:jc w:val="right"/>
              <w:ind w:right="89"/>
              <w:spacing w:after="0"/>
              <w:rPr>
                <w:sz w:val="20"/>
                <w:szCs w:val="20"/>
                <w:color w:val="auto"/>
              </w:rPr>
            </w:pPr>
            <w:r>
              <w:rPr>
                <w:rFonts w:ascii="Arial" w:cs="Arial" w:eastAsia="Arial" w:hAnsi="Arial"/>
                <w:sz w:val="14"/>
                <w:szCs w:val="14"/>
                <w:color w:val="auto"/>
              </w:rPr>
              <w:t>--</w:t>
            </w:r>
          </w:p>
        </w:tc>
      </w:tr>
      <w:tr>
        <w:trPr>
          <w:trHeight w:val="219"/>
        </w:trPr>
        <w:tc>
          <w:tcPr>
            <w:tcW w:w="28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Acquisition of EnergySouth (see Note 3)</w:t>
            </w:r>
          </w:p>
        </w:tc>
        <w:tc>
          <w:tcPr>
            <w:tcW w:w="2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71"/>
              <w:spacing w:after="0"/>
              <w:rPr>
                <w:sz w:val="20"/>
                <w:szCs w:val="20"/>
                <w:color w:val="auto"/>
              </w:rPr>
            </w:pPr>
            <w:r>
              <w:rPr>
                <w:rFonts w:ascii="Arial" w:cs="Arial" w:eastAsia="Arial" w:hAnsi="Arial"/>
                <w:sz w:val="14"/>
                <w:szCs w:val="14"/>
                <w:color w:val="auto"/>
              </w:rPr>
              <w:t>6</w:t>
            </w:r>
          </w:p>
        </w:tc>
        <w:tc>
          <w:tcPr>
            <w:tcW w:w="3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90"/>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70"/>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rPr>
              <w:t>--</w:t>
            </w:r>
          </w:p>
        </w:tc>
      </w:tr>
      <w:tr>
        <w:trPr>
          <w:trHeight w:val="227"/>
        </w:trPr>
        <w:tc>
          <w:tcPr>
            <w:tcW w:w="28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Balance as of December 31*</w:t>
            </w:r>
          </w:p>
        </w:tc>
        <w:tc>
          <w:tcPr>
            <w:tcW w:w="2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tcPr>
          <w:p>
            <w:pPr>
              <w:jc w:val="right"/>
              <w:ind w:right="71"/>
              <w:spacing w:after="0"/>
              <w:rPr>
                <w:sz w:val="20"/>
                <w:szCs w:val="20"/>
                <w:color w:val="auto"/>
              </w:rPr>
            </w:pPr>
            <w:r>
              <w:rPr>
                <w:rFonts w:ascii="Arial" w:cs="Arial" w:eastAsia="Arial" w:hAnsi="Arial"/>
                <w:sz w:val="14"/>
                <w:szCs w:val="14"/>
                <w:color w:val="auto"/>
              </w:rPr>
              <w:t>1,177</w:t>
            </w:r>
          </w:p>
        </w:tc>
        <w:tc>
          <w:tcPr>
            <w:tcW w:w="3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1,158</w:t>
            </w:r>
          </w:p>
        </w:tc>
        <w:tc>
          <w:tcPr>
            <w:tcW w:w="16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tcPr>
          <w:p>
            <w:pPr>
              <w:jc w:val="right"/>
              <w:ind w:right="90"/>
              <w:spacing w:after="0"/>
              <w:rPr>
                <w:sz w:val="20"/>
                <w:szCs w:val="20"/>
                <w:color w:val="auto"/>
              </w:rPr>
            </w:pPr>
            <w:r>
              <w:rPr>
                <w:rFonts w:ascii="Arial" w:cs="Arial" w:eastAsia="Arial" w:hAnsi="Arial"/>
                <w:sz w:val="14"/>
                <w:szCs w:val="14"/>
                <w:color w:val="auto"/>
              </w:rPr>
              <w:t>554</w:t>
            </w:r>
          </w:p>
        </w:tc>
        <w:tc>
          <w:tcPr>
            <w:tcW w:w="2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568</w:t>
            </w:r>
          </w:p>
        </w:tc>
        <w:tc>
          <w:tcPr>
            <w:tcW w:w="1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tcPr>
          <w:p>
            <w:pPr>
              <w:jc w:val="right"/>
              <w:ind w:right="70"/>
              <w:spacing w:after="0"/>
              <w:rPr>
                <w:sz w:val="20"/>
                <w:szCs w:val="20"/>
                <w:color w:val="auto"/>
              </w:rPr>
            </w:pPr>
            <w:r>
              <w:rPr>
                <w:rFonts w:ascii="Arial" w:cs="Arial" w:eastAsia="Arial" w:hAnsi="Arial"/>
                <w:sz w:val="14"/>
                <w:szCs w:val="14"/>
                <w:color w:val="auto"/>
              </w:rPr>
              <w:t>595</w:t>
            </w:r>
          </w:p>
        </w:tc>
        <w:tc>
          <w:tcPr>
            <w:tcW w:w="2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rPr>
              <w:t>577</w:t>
            </w:r>
          </w:p>
        </w:tc>
      </w:tr>
    </w:tbl>
    <w:p>
      <w:pPr>
        <w:spacing w:after="0" w:line="16" w:lineRule="exact"/>
        <w:rPr>
          <w:sz w:val="20"/>
          <w:szCs w:val="20"/>
          <w:color w:val="auto"/>
        </w:rPr>
      </w:pPr>
    </w:p>
    <w:p>
      <w:pPr>
        <w:ind w:left="2004" w:hanging="316"/>
        <w:spacing w:after="0"/>
        <w:tabs>
          <w:tab w:leader="none" w:pos="2004" w:val="left"/>
        </w:tabs>
        <w:numPr>
          <w:ilvl w:val="0"/>
          <w:numId w:val="324"/>
        </w:numPr>
        <w:rPr>
          <w:rFonts w:ascii="Arial" w:cs="Arial" w:eastAsia="Arial" w:hAnsi="Arial"/>
          <w:sz w:val="13"/>
          <w:szCs w:val="13"/>
          <w:i w:val="1"/>
          <w:iCs w:val="1"/>
          <w:color w:val="auto"/>
        </w:rPr>
      </w:pPr>
      <w:r>
        <w:rPr>
          <w:rFonts w:ascii="Arial" w:cs="Arial" w:eastAsia="Arial" w:hAnsi="Arial"/>
          <w:sz w:val="13"/>
          <w:szCs w:val="13"/>
          <w:i w:val="1"/>
          <w:iCs w:val="1"/>
          <w:color w:val="auto"/>
        </w:rPr>
        <w:t>The current portions of the obligations are included in Other Current Liabilities on the Consolidated Balance Sheets.</w:t>
      </w:r>
    </w:p>
    <w:p>
      <w:pPr>
        <w:spacing w:after="0" w:line="282"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auto"/>
        </w:rPr>
        <w:t>LEGAL FEES</w:t>
      </w:r>
    </w:p>
    <w:p>
      <w:pPr>
        <w:spacing w:after="0" w:line="89" w:lineRule="exact"/>
        <w:rPr>
          <w:sz w:val="20"/>
          <w:szCs w:val="20"/>
          <w:color w:val="auto"/>
        </w:rPr>
      </w:pPr>
    </w:p>
    <w:p>
      <w:pPr>
        <w:ind w:left="4"/>
        <w:spacing w:after="0"/>
        <w:rPr>
          <w:sz w:val="20"/>
          <w:szCs w:val="20"/>
          <w:color w:val="auto"/>
        </w:rPr>
      </w:pPr>
      <w:r>
        <w:rPr>
          <w:rFonts w:ascii="Arial" w:cs="Arial" w:eastAsia="Arial" w:hAnsi="Arial"/>
          <w:sz w:val="16"/>
          <w:szCs w:val="16"/>
          <w:color w:val="auto"/>
        </w:rPr>
        <w:t>Legal fees that are associated with a past event for which a liability has been recorded are accrued when it is probable that fees also will be incurred.</w:t>
      </w:r>
    </w:p>
    <w:p>
      <w:pPr>
        <w:spacing w:after="0" w:line="276"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auto"/>
        </w:rPr>
        <w:t>COMPREHENSIVE INCOME</w:t>
      </w:r>
    </w:p>
    <w:p>
      <w:pPr>
        <w:spacing w:after="0" w:line="89" w:lineRule="exact"/>
        <w:rPr>
          <w:sz w:val="20"/>
          <w:szCs w:val="20"/>
          <w:color w:val="auto"/>
        </w:rPr>
      </w:pPr>
    </w:p>
    <w:p>
      <w:pPr>
        <w:ind w:left="4"/>
        <w:spacing w:after="0"/>
        <w:rPr>
          <w:sz w:val="20"/>
          <w:szCs w:val="20"/>
          <w:color w:val="auto"/>
        </w:rPr>
      </w:pPr>
      <w:r>
        <w:rPr>
          <w:rFonts w:ascii="Arial" w:cs="Arial" w:eastAsia="Arial" w:hAnsi="Arial"/>
          <w:sz w:val="14"/>
          <w:szCs w:val="14"/>
          <w:color w:val="auto"/>
        </w:rPr>
        <w:t>Comprehensive income includes all changes in the equity of a business enterprise (except those resulting from investments by owners and distributions to owners), including:</w:t>
      </w:r>
    </w:p>
    <w:p>
      <w:pPr>
        <w:spacing w:after="0" w:line="67" w:lineRule="exact"/>
        <w:rPr>
          <w:sz w:val="20"/>
          <w:szCs w:val="20"/>
          <w:color w:val="auto"/>
        </w:rPr>
      </w:pPr>
    </w:p>
    <w:p>
      <w:pPr>
        <w:ind w:left="144" w:hanging="144"/>
        <w:spacing w:after="0"/>
        <w:tabs>
          <w:tab w:leader="none" w:pos="144" w:val="left"/>
        </w:tabs>
        <w:numPr>
          <w:ilvl w:val="0"/>
          <w:numId w:val="325"/>
        </w:numPr>
        <w:rPr>
          <w:rFonts w:ascii="Arial" w:cs="Arial" w:eastAsia="Arial" w:hAnsi="Arial"/>
          <w:sz w:val="16"/>
          <w:szCs w:val="16"/>
          <w:color w:val="auto"/>
        </w:rPr>
      </w:pPr>
      <w:r>
        <w:rPr>
          <w:rFonts w:ascii="Arial" w:cs="Arial" w:eastAsia="Arial" w:hAnsi="Arial"/>
          <w:sz w:val="16"/>
          <w:szCs w:val="16"/>
          <w:color w:val="auto"/>
        </w:rPr>
        <w:t>foreign-currency translation adjustments</w:t>
      </w:r>
    </w:p>
    <w:p>
      <w:pPr>
        <w:spacing w:after="0" w:line="44" w:lineRule="exact"/>
        <w:rPr>
          <w:rFonts w:ascii="Arial" w:cs="Arial" w:eastAsia="Arial" w:hAnsi="Arial"/>
          <w:sz w:val="16"/>
          <w:szCs w:val="16"/>
          <w:color w:val="auto"/>
        </w:rPr>
      </w:pPr>
    </w:p>
    <w:p>
      <w:pPr>
        <w:ind w:left="144" w:hanging="144"/>
        <w:spacing w:after="0"/>
        <w:tabs>
          <w:tab w:leader="none" w:pos="144" w:val="left"/>
        </w:tabs>
        <w:numPr>
          <w:ilvl w:val="0"/>
          <w:numId w:val="325"/>
        </w:numPr>
        <w:rPr>
          <w:rFonts w:ascii="Arial" w:cs="Arial" w:eastAsia="Arial" w:hAnsi="Arial"/>
          <w:sz w:val="16"/>
          <w:szCs w:val="16"/>
          <w:color w:val="auto"/>
        </w:rPr>
      </w:pPr>
      <w:r>
        <w:rPr>
          <w:rFonts w:ascii="Arial" w:cs="Arial" w:eastAsia="Arial" w:hAnsi="Arial"/>
          <w:sz w:val="16"/>
          <w:szCs w:val="16"/>
          <w:color w:val="auto"/>
        </w:rPr>
        <w:t>amortization of net actuarial loss and prior service cost related to pension and other postretirement benefits plans</w:t>
      </w:r>
    </w:p>
    <w:p>
      <w:pPr>
        <w:spacing w:after="0" w:line="44" w:lineRule="exact"/>
        <w:rPr>
          <w:rFonts w:ascii="Arial" w:cs="Arial" w:eastAsia="Arial" w:hAnsi="Arial"/>
          <w:sz w:val="16"/>
          <w:szCs w:val="16"/>
          <w:color w:val="auto"/>
        </w:rPr>
      </w:pPr>
    </w:p>
    <w:p>
      <w:pPr>
        <w:ind w:left="144" w:hanging="144"/>
        <w:spacing w:after="0"/>
        <w:tabs>
          <w:tab w:leader="none" w:pos="144" w:val="left"/>
        </w:tabs>
        <w:numPr>
          <w:ilvl w:val="0"/>
          <w:numId w:val="325"/>
        </w:numPr>
        <w:rPr>
          <w:rFonts w:ascii="Arial" w:cs="Arial" w:eastAsia="Arial" w:hAnsi="Arial"/>
          <w:sz w:val="16"/>
          <w:szCs w:val="16"/>
          <w:color w:val="auto"/>
        </w:rPr>
      </w:pPr>
      <w:r>
        <w:rPr>
          <w:rFonts w:ascii="Arial" w:cs="Arial" w:eastAsia="Arial" w:hAnsi="Arial"/>
          <w:sz w:val="16"/>
          <w:szCs w:val="16"/>
          <w:color w:val="auto"/>
        </w:rPr>
        <w:t>changes in minimum pension liability</w:t>
      </w:r>
    </w:p>
    <w:p>
      <w:pPr>
        <w:spacing w:after="0" w:line="44" w:lineRule="exact"/>
        <w:rPr>
          <w:rFonts w:ascii="Arial" w:cs="Arial" w:eastAsia="Arial" w:hAnsi="Arial"/>
          <w:sz w:val="16"/>
          <w:szCs w:val="16"/>
          <w:color w:val="auto"/>
        </w:rPr>
      </w:pPr>
    </w:p>
    <w:p>
      <w:pPr>
        <w:ind w:left="144" w:hanging="144"/>
        <w:spacing w:after="0"/>
        <w:tabs>
          <w:tab w:leader="none" w:pos="144" w:val="left"/>
        </w:tabs>
        <w:numPr>
          <w:ilvl w:val="0"/>
          <w:numId w:val="325"/>
        </w:numPr>
        <w:rPr>
          <w:rFonts w:ascii="Arial" w:cs="Arial" w:eastAsia="Arial" w:hAnsi="Arial"/>
          <w:sz w:val="16"/>
          <w:szCs w:val="16"/>
          <w:color w:val="auto"/>
        </w:rPr>
      </w:pPr>
      <w:r>
        <w:rPr>
          <w:rFonts w:ascii="Arial" w:cs="Arial" w:eastAsia="Arial" w:hAnsi="Arial"/>
          <w:sz w:val="16"/>
          <w:szCs w:val="16"/>
          <w:color w:val="auto"/>
        </w:rPr>
        <w:t>certain hedging activities</w:t>
      </w:r>
    </w:p>
    <w:p>
      <w:pPr>
        <w:spacing w:after="0" w:line="200" w:lineRule="exact"/>
        <w:rPr>
          <w:sz w:val="20"/>
          <w:szCs w:val="20"/>
          <w:color w:val="auto"/>
        </w:rPr>
      </w:pPr>
    </w:p>
    <w:p>
      <w:pPr>
        <w:spacing w:after="0" w:line="389" w:lineRule="exact"/>
        <w:rPr>
          <w:sz w:val="20"/>
          <w:szCs w:val="20"/>
          <w:color w:val="auto"/>
        </w:rPr>
      </w:pPr>
    </w:p>
    <w:p>
      <w:pPr>
        <w:ind w:left="4"/>
        <w:spacing w:after="0"/>
        <w:rPr>
          <w:sz w:val="20"/>
          <w:szCs w:val="20"/>
          <w:color w:val="auto"/>
        </w:rPr>
      </w:pPr>
      <w:r>
        <w:rPr>
          <w:rFonts w:ascii="Arial" w:cs="Arial" w:eastAsia="Arial" w:hAnsi="Arial"/>
          <w:sz w:val="14"/>
          <w:szCs w:val="14"/>
          <w:color w:val="auto"/>
        </w:rPr>
        <w:t>106</w:t>
      </w:r>
    </w:p>
    <w:p>
      <w:pPr>
        <w:sectPr>
          <w:pgSz w:w="11900" w:h="16838" w:orient="portrait"/>
          <w:cols w:equalWidth="0" w:num="1">
            <w:col w:w="11124"/>
          </w:cols>
          <w:pgMar w:left="236" w:top="127" w:right="539" w:bottom="1440" w:gutter="0" w:footer="0" w:header="0"/>
        </w:sectPr>
      </w:pPr>
    </w:p>
    <w:bookmarkStart w:id="246" w:name="page247"/>
    <w:bookmarkEnd w:id="246"/>
    <w:p>
      <w:pPr>
        <w:ind w:right="100"/>
        <w:spacing w:after="0" w:line="264" w:lineRule="auto"/>
        <w:rPr>
          <w:sz w:val="20"/>
          <w:szCs w:val="20"/>
          <w:color w:val="auto"/>
        </w:rPr>
      </w:pPr>
      <w:r>
        <w:rPr>
          <w:rFonts w:ascii="Arial" w:cs="Arial" w:eastAsia="Arial" w:hAnsi="Arial"/>
          <w:sz w:val="16"/>
          <w:szCs w:val="16"/>
          <w:color w:val="auto"/>
        </w:rPr>
        <w:t>The Statements of Consolidated Comprehensive Income and Changes in Shareholders' Equity show the changes in the components of other comprehensive income. The components of Accumulated Other Comprehensive Income (Loss), shown net of income taxes, and the related income tax expense (benefit) at December 31, 2008 and 2007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1149350</wp:posOffset>
            </wp:positionH>
            <wp:positionV relativeFrom="paragraph">
              <wp:posOffset>171450</wp:posOffset>
            </wp:positionV>
            <wp:extent cx="4965700" cy="389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4965700" cy="389255"/>
                    </a:xfrm>
                    <a:prstGeom prst="rect">
                      <a:avLst/>
                    </a:prstGeom>
                    <a:noFill/>
                  </pic:spPr>
                </pic:pic>
              </a:graphicData>
            </a:graphic>
          </wp:anchor>
        </w:drawing>
      </w:r>
    </w:p>
    <w:p>
      <w:pPr>
        <w:spacing w:after="0" w:line="258" w:lineRule="exact"/>
        <w:rPr>
          <w:sz w:val="20"/>
          <w:szCs w:val="20"/>
          <w:color w:val="auto"/>
        </w:rPr>
      </w:pPr>
    </w:p>
    <w:p>
      <w:pPr>
        <w:ind w:left="1820"/>
        <w:spacing w:after="0"/>
        <w:rPr>
          <w:sz w:val="20"/>
          <w:szCs w:val="20"/>
          <w:color w:val="auto"/>
        </w:rPr>
      </w:pPr>
      <w:r>
        <w:rPr>
          <w:rFonts w:ascii="Arial" w:cs="Arial" w:eastAsia="Arial" w:hAnsi="Arial"/>
          <w:sz w:val="14"/>
          <w:szCs w:val="14"/>
          <w:b w:val="1"/>
          <w:bCs w:val="1"/>
          <w:color w:val="auto"/>
        </w:rPr>
        <w:t>ACCUMULATED OTHER COMPREHENSIVE INCOME (LOSS) AND</w:t>
      </w:r>
    </w:p>
    <w:p>
      <w:pPr>
        <w:spacing w:after="0" w:line="31" w:lineRule="exact"/>
        <w:rPr>
          <w:sz w:val="20"/>
          <w:szCs w:val="20"/>
          <w:color w:val="auto"/>
        </w:rPr>
      </w:pPr>
    </w:p>
    <w:p>
      <w:pPr>
        <w:ind w:left="1820"/>
        <w:spacing w:after="0"/>
        <w:rPr>
          <w:sz w:val="20"/>
          <w:szCs w:val="20"/>
          <w:color w:val="auto"/>
        </w:rPr>
      </w:pPr>
      <w:r>
        <w:rPr>
          <w:rFonts w:ascii="Arial" w:cs="Arial" w:eastAsia="Arial" w:hAnsi="Arial"/>
          <w:sz w:val="14"/>
          <w:szCs w:val="14"/>
          <w:b w:val="1"/>
          <w:bCs w:val="1"/>
          <w:color w:val="auto"/>
        </w:rPr>
        <w:t>ASSOCIATED INCOME TAX EXPENSE (BENEFIT)</w:t>
      </w:r>
    </w:p>
    <w:p>
      <w:pPr>
        <w:spacing w:after="0" w:line="76" w:lineRule="exact"/>
        <w:rPr>
          <w:sz w:val="20"/>
          <w:szCs w:val="20"/>
          <w:color w:val="auto"/>
        </w:rPr>
      </w:pPr>
    </w:p>
    <w:tbl>
      <w:tblPr>
        <w:tblLayout w:type="fixed"/>
        <w:tblInd w:w="1800" w:type="dxa"/>
        <w:tblCellMar>
          <w:top w:w="0" w:type="dxa"/>
          <w:left w:w="0" w:type="dxa"/>
          <w:bottom w:w="0" w:type="dxa"/>
          <w:right w:w="0" w:type="dxa"/>
        </w:tblCellMar>
      </w:tblPr>
      <w:tr>
        <w:trPr>
          <w:trHeight w:val="166"/>
        </w:trPr>
        <w:tc>
          <w:tcPr>
            <w:tcW w:w="3320" w:type="dxa"/>
            <w:vAlign w:val="bottom"/>
          </w:tcPr>
          <w:p>
            <w:pPr>
              <w:ind w:left="20"/>
              <w:spacing w:after="0"/>
              <w:rPr>
                <w:sz w:val="20"/>
                <w:szCs w:val="20"/>
                <w:color w:val="auto"/>
              </w:rPr>
            </w:pPr>
            <w:r>
              <w:rPr>
                <w:rFonts w:ascii="Arial" w:cs="Arial" w:eastAsia="Arial" w:hAnsi="Arial"/>
                <w:sz w:val="13"/>
                <w:szCs w:val="13"/>
                <w:i w:val="1"/>
                <w:iCs w:val="1"/>
                <w:color w:val="auto"/>
              </w:rPr>
              <w:t>(Dollars in millions)</w:t>
            </w: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80"/>
        </w:trPr>
        <w:tc>
          <w:tcPr>
            <w:tcW w:w="3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0" w:type="dxa"/>
            <w:vAlign w:val="bottom"/>
            <w:gridSpan w:val="3"/>
          </w:tcPr>
          <w:p>
            <w:pPr>
              <w:jc w:val="center"/>
              <w:ind w:right="308"/>
              <w:spacing w:after="0"/>
              <w:rPr>
                <w:sz w:val="20"/>
                <w:szCs w:val="20"/>
                <w:color w:val="auto"/>
              </w:rPr>
            </w:pPr>
            <w:r>
              <w:rPr>
                <w:rFonts w:ascii="Arial" w:cs="Arial" w:eastAsia="Arial" w:hAnsi="Arial"/>
                <w:sz w:val="13"/>
                <w:szCs w:val="13"/>
                <w:color w:val="auto"/>
                <w:w w:val="98"/>
              </w:rPr>
              <w:t>Accumulated Other</w:t>
            </w:r>
          </w:p>
        </w:tc>
        <w:tc>
          <w:tcPr>
            <w:tcW w:w="5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156"/>
        </w:trPr>
        <w:tc>
          <w:tcPr>
            <w:tcW w:w="33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60" w:type="dxa"/>
            <w:vAlign w:val="bottom"/>
            <w:gridSpan w:val="2"/>
          </w:tcPr>
          <w:p>
            <w:pPr>
              <w:jc w:val="center"/>
              <w:ind w:left="250"/>
              <w:spacing w:after="0"/>
              <w:rPr>
                <w:sz w:val="20"/>
                <w:szCs w:val="20"/>
                <w:color w:val="auto"/>
              </w:rPr>
            </w:pPr>
            <w:r>
              <w:rPr>
                <w:rFonts w:ascii="Arial" w:cs="Arial" w:eastAsia="Arial" w:hAnsi="Arial"/>
                <w:sz w:val="13"/>
                <w:szCs w:val="13"/>
                <w:color w:val="auto"/>
                <w:w w:val="98"/>
              </w:rPr>
              <w:t>Comprehensive</w:t>
            </w:r>
          </w:p>
        </w:tc>
        <w:tc>
          <w:tcPr>
            <w:tcW w:w="7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160" w:type="dxa"/>
            <w:vAlign w:val="bottom"/>
            <w:gridSpan w:val="2"/>
          </w:tcPr>
          <w:p>
            <w:pPr>
              <w:jc w:val="right"/>
              <w:ind w:right="8"/>
              <w:spacing w:after="0"/>
              <w:rPr>
                <w:sz w:val="20"/>
                <w:szCs w:val="20"/>
                <w:color w:val="auto"/>
              </w:rPr>
            </w:pPr>
            <w:r>
              <w:rPr>
                <w:rFonts w:ascii="Arial" w:cs="Arial" w:eastAsia="Arial" w:hAnsi="Arial"/>
                <w:sz w:val="13"/>
                <w:szCs w:val="13"/>
                <w:color w:val="auto"/>
              </w:rPr>
              <w:t>Income Tax</w:t>
            </w:r>
          </w:p>
        </w:tc>
        <w:tc>
          <w:tcPr>
            <w:tcW w:w="660" w:type="dxa"/>
            <w:vAlign w:val="bottom"/>
          </w:tcPr>
          <w:p>
            <w:pPr>
              <w:spacing w:after="0"/>
              <w:rPr>
                <w:sz w:val="13"/>
                <w:szCs w:val="13"/>
                <w:color w:val="auto"/>
              </w:rPr>
            </w:pPr>
          </w:p>
        </w:tc>
      </w:tr>
      <w:tr>
        <w:trPr>
          <w:trHeight w:val="161"/>
        </w:trPr>
        <w:tc>
          <w:tcPr>
            <w:tcW w:w="33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2"/>
          </w:tcPr>
          <w:p>
            <w:pPr>
              <w:jc w:val="center"/>
              <w:ind w:left="290"/>
              <w:spacing w:after="0"/>
              <w:rPr>
                <w:sz w:val="20"/>
                <w:szCs w:val="20"/>
                <w:color w:val="auto"/>
              </w:rPr>
            </w:pPr>
            <w:r>
              <w:rPr>
                <w:rFonts w:ascii="Arial" w:cs="Arial" w:eastAsia="Arial" w:hAnsi="Arial"/>
                <w:sz w:val="13"/>
                <w:szCs w:val="13"/>
                <w:color w:val="auto"/>
                <w:w w:val="99"/>
              </w:rPr>
              <w:t>Income (Loss)</w:t>
            </w:r>
          </w:p>
        </w:tc>
        <w:tc>
          <w:tcPr>
            <w:tcW w:w="7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3"/>
          </w:tcPr>
          <w:p>
            <w:pPr>
              <w:jc w:val="right"/>
              <w:ind w:right="468"/>
              <w:spacing w:after="0"/>
              <w:rPr>
                <w:sz w:val="20"/>
                <w:szCs w:val="20"/>
                <w:color w:val="auto"/>
              </w:rPr>
            </w:pPr>
            <w:r>
              <w:rPr>
                <w:rFonts w:ascii="Arial" w:cs="Arial" w:eastAsia="Arial" w:hAnsi="Arial"/>
                <w:sz w:val="13"/>
                <w:szCs w:val="13"/>
                <w:color w:val="auto"/>
              </w:rPr>
              <w:t>Expense (Benefit)</w:t>
            </w:r>
          </w:p>
        </w:tc>
      </w:tr>
      <w:tr>
        <w:trPr>
          <w:trHeight w:val="208"/>
        </w:trPr>
        <w:tc>
          <w:tcPr>
            <w:tcW w:w="33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310"/>
              <w:spacing w:after="0"/>
              <w:rPr>
                <w:sz w:val="20"/>
                <w:szCs w:val="20"/>
                <w:color w:val="auto"/>
              </w:rPr>
            </w:pPr>
            <w:r>
              <w:rPr>
                <w:rFonts w:ascii="Arial" w:cs="Arial" w:eastAsia="Arial" w:hAnsi="Arial"/>
                <w:sz w:val="13"/>
                <w:szCs w:val="13"/>
                <w:color w:val="auto"/>
              </w:rPr>
              <w:t>2008</w:t>
            </w:r>
          </w:p>
        </w:tc>
        <w:tc>
          <w:tcPr>
            <w:tcW w:w="1260" w:type="dxa"/>
            <w:vAlign w:val="bottom"/>
            <w:tcBorders>
              <w:bottom w:val="single" w:sz="8" w:color="auto"/>
            </w:tcBorders>
            <w:gridSpan w:val="2"/>
          </w:tcPr>
          <w:p>
            <w:pPr>
              <w:jc w:val="right"/>
              <w:ind w:right="448"/>
              <w:spacing w:after="0"/>
              <w:rPr>
                <w:sz w:val="20"/>
                <w:szCs w:val="20"/>
                <w:color w:val="auto"/>
              </w:rPr>
            </w:pPr>
            <w:r>
              <w:rPr>
                <w:rFonts w:ascii="Arial" w:cs="Arial" w:eastAsia="Arial" w:hAnsi="Arial"/>
                <w:sz w:val="13"/>
                <w:szCs w:val="13"/>
                <w:color w:val="auto"/>
              </w:rPr>
              <w:t>2007</w:t>
            </w:r>
          </w:p>
        </w:tc>
        <w:tc>
          <w:tcPr>
            <w:tcW w:w="5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349"/>
              <w:spacing w:after="0"/>
              <w:rPr>
                <w:sz w:val="20"/>
                <w:szCs w:val="20"/>
                <w:color w:val="auto"/>
              </w:rPr>
            </w:pPr>
            <w:r>
              <w:rPr>
                <w:rFonts w:ascii="Arial" w:cs="Arial" w:eastAsia="Arial" w:hAnsi="Arial"/>
                <w:sz w:val="13"/>
                <w:szCs w:val="13"/>
                <w:color w:val="auto"/>
              </w:rPr>
              <w:t>2008</w:t>
            </w:r>
          </w:p>
        </w:tc>
        <w:tc>
          <w:tcPr>
            <w:tcW w:w="4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248"/>
              <w:spacing w:after="0"/>
              <w:rPr>
                <w:sz w:val="20"/>
                <w:szCs w:val="20"/>
                <w:color w:val="auto"/>
              </w:rPr>
            </w:pPr>
            <w:r>
              <w:rPr>
                <w:rFonts w:ascii="Arial" w:cs="Arial" w:eastAsia="Arial" w:hAnsi="Arial"/>
                <w:sz w:val="13"/>
                <w:szCs w:val="13"/>
                <w:color w:val="auto"/>
              </w:rPr>
              <w:t>2007</w:t>
            </w:r>
          </w:p>
        </w:tc>
      </w:tr>
      <w:tr>
        <w:trPr>
          <w:trHeight w:val="207"/>
        </w:trPr>
        <w:tc>
          <w:tcPr>
            <w:tcW w:w="3320" w:type="dxa"/>
            <w:vAlign w:val="bottom"/>
          </w:tcPr>
          <w:p>
            <w:pPr>
              <w:ind w:left="20"/>
              <w:spacing w:after="0"/>
              <w:rPr>
                <w:sz w:val="20"/>
                <w:szCs w:val="20"/>
                <w:color w:val="auto"/>
              </w:rPr>
            </w:pPr>
            <w:r>
              <w:rPr>
                <w:rFonts w:ascii="Arial" w:cs="Arial" w:eastAsia="Arial" w:hAnsi="Arial"/>
                <w:sz w:val="14"/>
                <w:szCs w:val="14"/>
                <w:b w:val="1"/>
                <w:bCs w:val="1"/>
                <w:color w:val="auto"/>
              </w:rPr>
              <w:t>Sempra Energy Consolidated</w:t>
            </w: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16"/>
        </w:trPr>
        <w:tc>
          <w:tcPr>
            <w:tcW w:w="3320" w:type="dxa"/>
            <w:vAlign w:val="bottom"/>
          </w:tcPr>
          <w:p>
            <w:pPr>
              <w:ind w:left="20"/>
              <w:spacing w:after="0"/>
              <w:rPr>
                <w:sz w:val="20"/>
                <w:szCs w:val="20"/>
                <w:color w:val="auto"/>
              </w:rPr>
            </w:pPr>
            <w:r>
              <w:rPr>
                <w:rFonts w:ascii="Arial" w:cs="Arial" w:eastAsia="Arial" w:hAnsi="Arial"/>
                <w:sz w:val="14"/>
                <w:szCs w:val="14"/>
                <w:color w:val="auto"/>
              </w:rPr>
              <w:t>Foreign currency translation loss</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210"/>
              <w:spacing w:after="0"/>
              <w:rPr>
                <w:sz w:val="20"/>
                <w:szCs w:val="20"/>
                <w:color w:val="auto"/>
              </w:rPr>
            </w:pPr>
            <w:r>
              <w:rPr>
                <w:rFonts w:ascii="Arial" w:cs="Arial" w:eastAsia="Arial" w:hAnsi="Arial"/>
                <w:sz w:val="14"/>
                <w:szCs w:val="14"/>
                <w:color w:val="auto"/>
              </w:rPr>
              <w:t>(378 )</w:t>
            </w:r>
          </w:p>
        </w:tc>
        <w:tc>
          <w:tcPr>
            <w:tcW w:w="52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288"/>
              <w:spacing w:after="0"/>
              <w:rPr>
                <w:sz w:val="20"/>
                <w:szCs w:val="20"/>
                <w:color w:val="auto"/>
              </w:rPr>
            </w:pPr>
            <w:r>
              <w:rPr>
                <w:rFonts w:ascii="Arial" w:cs="Arial" w:eastAsia="Arial" w:hAnsi="Arial"/>
                <w:sz w:val="14"/>
                <w:szCs w:val="14"/>
                <w:color w:val="auto"/>
                <w:w w:val="98"/>
              </w:rPr>
              <w:t>(238 )</w:t>
            </w:r>
          </w:p>
        </w:tc>
        <w:tc>
          <w:tcPr>
            <w:tcW w:w="52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269"/>
              <w:spacing w:after="0"/>
              <w:rPr>
                <w:sz w:val="20"/>
                <w:szCs w:val="20"/>
                <w:color w:val="auto"/>
              </w:rPr>
            </w:pPr>
            <w:r>
              <w:rPr>
                <w:rFonts w:ascii="Arial" w:cs="Arial" w:eastAsia="Arial" w:hAnsi="Arial"/>
                <w:sz w:val="14"/>
                <w:szCs w:val="14"/>
                <w:color w:val="auto"/>
              </w:rPr>
              <w:t>--</w:t>
            </w:r>
          </w:p>
        </w:tc>
        <w:tc>
          <w:tcPr>
            <w:tcW w:w="400" w:type="dxa"/>
            <w:vAlign w:val="bottom"/>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168"/>
              <w:spacing w:after="0"/>
              <w:rPr>
                <w:sz w:val="20"/>
                <w:szCs w:val="20"/>
                <w:color w:val="auto"/>
              </w:rPr>
            </w:pPr>
            <w:r>
              <w:rPr>
                <w:rFonts w:ascii="Arial" w:cs="Arial" w:eastAsia="Arial" w:hAnsi="Arial"/>
                <w:sz w:val="14"/>
                <w:szCs w:val="14"/>
                <w:color w:val="auto"/>
              </w:rPr>
              <w:t>--</w:t>
            </w:r>
          </w:p>
        </w:tc>
      </w:tr>
      <w:tr>
        <w:trPr>
          <w:trHeight w:val="216"/>
        </w:trPr>
        <w:tc>
          <w:tcPr>
            <w:tcW w:w="3320" w:type="dxa"/>
            <w:vAlign w:val="bottom"/>
          </w:tcPr>
          <w:p>
            <w:pPr>
              <w:ind w:left="20"/>
              <w:spacing w:after="0"/>
              <w:rPr>
                <w:sz w:val="20"/>
                <w:szCs w:val="20"/>
                <w:color w:val="auto"/>
              </w:rPr>
            </w:pPr>
            <w:r>
              <w:rPr>
                <w:rFonts w:ascii="Arial" w:cs="Arial" w:eastAsia="Arial" w:hAnsi="Arial"/>
                <w:sz w:val="14"/>
                <w:szCs w:val="14"/>
                <w:color w:val="auto"/>
              </w:rPr>
              <w:t>Financial instruments</w:t>
            </w:r>
          </w:p>
        </w:tc>
        <w:tc>
          <w:tcPr>
            <w:tcW w:w="180" w:type="dxa"/>
            <w:vAlign w:val="bottom"/>
          </w:tcPr>
          <w:p>
            <w:pPr>
              <w:spacing w:after="0"/>
              <w:rPr>
                <w:sz w:val="18"/>
                <w:szCs w:val="18"/>
                <w:color w:val="auto"/>
              </w:rPr>
            </w:pPr>
          </w:p>
        </w:tc>
        <w:tc>
          <w:tcPr>
            <w:tcW w:w="740" w:type="dxa"/>
            <w:vAlign w:val="bottom"/>
          </w:tcPr>
          <w:p>
            <w:pPr>
              <w:jc w:val="right"/>
              <w:ind w:right="210"/>
              <w:spacing w:after="0"/>
              <w:rPr>
                <w:sz w:val="20"/>
                <w:szCs w:val="20"/>
                <w:color w:val="auto"/>
              </w:rPr>
            </w:pPr>
            <w:r>
              <w:rPr>
                <w:rFonts w:ascii="Arial" w:cs="Arial" w:eastAsia="Arial" w:hAnsi="Arial"/>
                <w:sz w:val="14"/>
                <w:szCs w:val="14"/>
                <w:color w:val="auto"/>
              </w:rPr>
              <w:t>(40 )</w:t>
            </w:r>
          </w:p>
        </w:tc>
        <w:tc>
          <w:tcPr>
            <w:tcW w:w="520" w:type="dxa"/>
            <w:vAlign w:val="bottom"/>
          </w:tcPr>
          <w:p>
            <w:pPr>
              <w:spacing w:after="0"/>
              <w:rPr>
                <w:sz w:val="18"/>
                <w:szCs w:val="18"/>
                <w:color w:val="auto"/>
              </w:rPr>
            </w:pPr>
          </w:p>
        </w:tc>
        <w:tc>
          <w:tcPr>
            <w:tcW w:w="740" w:type="dxa"/>
            <w:vAlign w:val="bottom"/>
          </w:tcPr>
          <w:p>
            <w:pPr>
              <w:jc w:val="right"/>
              <w:ind w:right="288"/>
              <w:spacing w:after="0"/>
              <w:rPr>
                <w:sz w:val="20"/>
                <w:szCs w:val="20"/>
                <w:color w:val="auto"/>
              </w:rPr>
            </w:pPr>
            <w:r>
              <w:rPr>
                <w:rFonts w:ascii="Arial" w:cs="Arial" w:eastAsia="Arial" w:hAnsi="Arial"/>
                <w:sz w:val="14"/>
                <w:szCs w:val="14"/>
                <w:color w:val="auto"/>
              </w:rPr>
              <w:t>(24 )</w:t>
            </w:r>
          </w:p>
        </w:tc>
        <w:tc>
          <w:tcPr>
            <w:tcW w:w="520" w:type="dxa"/>
            <w:vAlign w:val="bottom"/>
          </w:tcPr>
          <w:p>
            <w:pPr>
              <w:spacing w:after="0"/>
              <w:rPr>
                <w:sz w:val="18"/>
                <w:szCs w:val="18"/>
                <w:color w:val="auto"/>
              </w:rPr>
            </w:pPr>
          </w:p>
        </w:tc>
        <w:tc>
          <w:tcPr>
            <w:tcW w:w="760" w:type="dxa"/>
            <w:vAlign w:val="bottom"/>
          </w:tcPr>
          <w:p>
            <w:pPr>
              <w:jc w:val="right"/>
              <w:ind w:right="209"/>
              <w:spacing w:after="0"/>
              <w:rPr>
                <w:sz w:val="20"/>
                <w:szCs w:val="20"/>
                <w:color w:val="auto"/>
              </w:rPr>
            </w:pPr>
            <w:r>
              <w:rPr>
                <w:rFonts w:ascii="Arial" w:cs="Arial" w:eastAsia="Arial" w:hAnsi="Arial"/>
                <w:sz w:val="14"/>
                <w:szCs w:val="14"/>
                <w:color w:val="auto"/>
              </w:rPr>
              <w:t>(25 )</w:t>
            </w:r>
          </w:p>
        </w:tc>
        <w:tc>
          <w:tcPr>
            <w:tcW w:w="400" w:type="dxa"/>
            <w:vAlign w:val="bottom"/>
          </w:tcPr>
          <w:p>
            <w:pPr>
              <w:spacing w:after="0"/>
              <w:rPr>
                <w:sz w:val="18"/>
                <w:szCs w:val="18"/>
                <w:color w:val="auto"/>
              </w:rPr>
            </w:pPr>
          </w:p>
        </w:tc>
        <w:tc>
          <w:tcPr>
            <w:tcW w:w="660" w:type="dxa"/>
            <w:vAlign w:val="bottom"/>
          </w:tcPr>
          <w:p>
            <w:pPr>
              <w:jc w:val="right"/>
              <w:ind w:right="108"/>
              <w:spacing w:after="0"/>
              <w:rPr>
                <w:sz w:val="20"/>
                <w:szCs w:val="20"/>
                <w:color w:val="auto"/>
              </w:rPr>
            </w:pPr>
            <w:r>
              <w:rPr>
                <w:rFonts w:ascii="Arial" w:cs="Arial" w:eastAsia="Arial" w:hAnsi="Arial"/>
                <w:sz w:val="14"/>
                <w:szCs w:val="14"/>
                <w:color w:val="auto"/>
              </w:rPr>
              <w:t>(11 )</w:t>
            </w:r>
          </w:p>
        </w:tc>
      </w:tr>
      <w:tr>
        <w:trPr>
          <w:trHeight w:val="216"/>
        </w:trPr>
        <w:tc>
          <w:tcPr>
            <w:tcW w:w="3320" w:type="dxa"/>
            <w:vAlign w:val="bottom"/>
          </w:tcPr>
          <w:p>
            <w:pPr>
              <w:ind w:left="20"/>
              <w:spacing w:after="0"/>
              <w:rPr>
                <w:sz w:val="20"/>
                <w:szCs w:val="20"/>
                <w:color w:val="auto"/>
              </w:rPr>
            </w:pPr>
            <w:r>
              <w:rPr>
                <w:rFonts w:ascii="Arial" w:cs="Arial" w:eastAsia="Arial" w:hAnsi="Arial"/>
                <w:sz w:val="14"/>
                <w:szCs w:val="14"/>
                <w:color w:val="auto"/>
              </w:rPr>
              <w:t>Unrealized gains on available-for-sale securities</w:t>
            </w:r>
          </w:p>
        </w:tc>
        <w:tc>
          <w:tcPr>
            <w:tcW w:w="180" w:type="dxa"/>
            <w:vAlign w:val="bottom"/>
          </w:tcPr>
          <w:p>
            <w:pPr>
              <w:spacing w:after="0"/>
              <w:rPr>
                <w:sz w:val="18"/>
                <w:szCs w:val="18"/>
                <w:color w:val="auto"/>
              </w:rPr>
            </w:pPr>
          </w:p>
        </w:tc>
        <w:tc>
          <w:tcPr>
            <w:tcW w:w="740" w:type="dxa"/>
            <w:vAlign w:val="bottom"/>
          </w:tcPr>
          <w:p>
            <w:pPr>
              <w:jc w:val="right"/>
              <w:ind w:right="270"/>
              <w:spacing w:after="0"/>
              <w:rPr>
                <w:sz w:val="20"/>
                <w:szCs w:val="20"/>
                <w:color w:val="auto"/>
              </w:rPr>
            </w:pPr>
            <w:r>
              <w:rPr>
                <w:rFonts w:ascii="Arial" w:cs="Arial" w:eastAsia="Arial" w:hAnsi="Arial"/>
                <w:sz w:val="14"/>
                <w:szCs w:val="14"/>
                <w:color w:val="auto"/>
              </w:rPr>
              <w:t>2</w:t>
            </w:r>
          </w:p>
        </w:tc>
        <w:tc>
          <w:tcPr>
            <w:tcW w:w="520" w:type="dxa"/>
            <w:vAlign w:val="bottom"/>
          </w:tcPr>
          <w:p>
            <w:pPr>
              <w:spacing w:after="0"/>
              <w:rPr>
                <w:sz w:val="18"/>
                <w:szCs w:val="18"/>
                <w:color w:val="auto"/>
              </w:rPr>
            </w:pPr>
          </w:p>
        </w:tc>
        <w:tc>
          <w:tcPr>
            <w:tcW w:w="740" w:type="dxa"/>
            <w:vAlign w:val="bottom"/>
          </w:tcPr>
          <w:p>
            <w:pPr>
              <w:jc w:val="right"/>
              <w:ind w:right="368"/>
              <w:spacing w:after="0"/>
              <w:rPr>
                <w:sz w:val="20"/>
                <w:szCs w:val="20"/>
                <w:color w:val="auto"/>
              </w:rPr>
            </w:pPr>
            <w:r>
              <w:rPr>
                <w:rFonts w:ascii="Arial" w:cs="Arial" w:eastAsia="Arial" w:hAnsi="Arial"/>
                <w:sz w:val="14"/>
                <w:szCs w:val="14"/>
                <w:color w:val="auto"/>
              </w:rPr>
              <w:t>28</w:t>
            </w:r>
          </w:p>
        </w:tc>
        <w:tc>
          <w:tcPr>
            <w:tcW w:w="520" w:type="dxa"/>
            <w:vAlign w:val="bottom"/>
          </w:tcPr>
          <w:p>
            <w:pPr>
              <w:spacing w:after="0"/>
              <w:rPr>
                <w:sz w:val="18"/>
                <w:szCs w:val="18"/>
                <w:color w:val="auto"/>
              </w:rPr>
            </w:pPr>
          </w:p>
        </w:tc>
        <w:tc>
          <w:tcPr>
            <w:tcW w:w="760" w:type="dxa"/>
            <w:vAlign w:val="bottom"/>
          </w:tcPr>
          <w:p>
            <w:pPr>
              <w:jc w:val="right"/>
              <w:ind w:right="269"/>
              <w:spacing w:after="0"/>
              <w:rPr>
                <w:sz w:val="20"/>
                <w:szCs w:val="20"/>
                <w:color w:val="auto"/>
              </w:rPr>
            </w:pPr>
            <w:r>
              <w:rPr>
                <w:rFonts w:ascii="Arial" w:cs="Arial" w:eastAsia="Arial" w:hAnsi="Arial"/>
                <w:sz w:val="14"/>
                <w:szCs w:val="14"/>
                <w:color w:val="auto"/>
              </w:rPr>
              <w:t>1</w:t>
            </w:r>
          </w:p>
        </w:tc>
        <w:tc>
          <w:tcPr>
            <w:tcW w:w="400" w:type="dxa"/>
            <w:vAlign w:val="bottom"/>
          </w:tcPr>
          <w:p>
            <w:pPr>
              <w:spacing w:after="0"/>
              <w:rPr>
                <w:sz w:val="18"/>
                <w:szCs w:val="18"/>
                <w:color w:val="auto"/>
              </w:rPr>
            </w:pPr>
          </w:p>
        </w:tc>
        <w:tc>
          <w:tcPr>
            <w:tcW w:w="660" w:type="dxa"/>
            <w:vAlign w:val="bottom"/>
          </w:tcPr>
          <w:p>
            <w:pPr>
              <w:jc w:val="right"/>
              <w:ind w:right="168"/>
              <w:spacing w:after="0"/>
              <w:rPr>
                <w:sz w:val="20"/>
                <w:szCs w:val="20"/>
                <w:color w:val="auto"/>
              </w:rPr>
            </w:pPr>
            <w:r>
              <w:rPr>
                <w:rFonts w:ascii="Arial" w:cs="Arial" w:eastAsia="Arial" w:hAnsi="Arial"/>
                <w:sz w:val="14"/>
                <w:szCs w:val="14"/>
                <w:color w:val="auto"/>
              </w:rPr>
              <w:t>16</w:t>
            </w:r>
          </w:p>
        </w:tc>
      </w:tr>
      <w:tr>
        <w:trPr>
          <w:trHeight w:val="216"/>
        </w:trPr>
        <w:tc>
          <w:tcPr>
            <w:tcW w:w="3320" w:type="dxa"/>
            <w:vAlign w:val="bottom"/>
          </w:tcPr>
          <w:p>
            <w:pPr>
              <w:ind w:left="20"/>
              <w:spacing w:after="0"/>
              <w:rPr>
                <w:sz w:val="20"/>
                <w:szCs w:val="20"/>
                <w:color w:val="auto"/>
              </w:rPr>
            </w:pPr>
            <w:r>
              <w:rPr>
                <w:rFonts w:ascii="Arial" w:cs="Arial" w:eastAsia="Arial" w:hAnsi="Arial"/>
                <w:sz w:val="14"/>
                <w:szCs w:val="14"/>
                <w:color w:val="auto"/>
              </w:rPr>
              <w:t>Unamortized net actuarial loss</w:t>
            </w:r>
          </w:p>
        </w:tc>
        <w:tc>
          <w:tcPr>
            <w:tcW w:w="180" w:type="dxa"/>
            <w:vAlign w:val="bottom"/>
          </w:tcPr>
          <w:p>
            <w:pPr>
              <w:spacing w:after="0"/>
              <w:rPr>
                <w:sz w:val="18"/>
                <w:szCs w:val="18"/>
                <w:color w:val="auto"/>
              </w:rPr>
            </w:pPr>
          </w:p>
        </w:tc>
        <w:tc>
          <w:tcPr>
            <w:tcW w:w="740" w:type="dxa"/>
            <w:vAlign w:val="bottom"/>
          </w:tcPr>
          <w:p>
            <w:pPr>
              <w:jc w:val="right"/>
              <w:ind w:right="210"/>
              <w:spacing w:after="0"/>
              <w:rPr>
                <w:sz w:val="20"/>
                <w:szCs w:val="20"/>
                <w:color w:val="auto"/>
              </w:rPr>
            </w:pPr>
            <w:r>
              <w:rPr>
                <w:rFonts w:ascii="Arial" w:cs="Arial" w:eastAsia="Arial" w:hAnsi="Arial"/>
                <w:sz w:val="14"/>
                <w:szCs w:val="14"/>
                <w:color w:val="auto"/>
              </w:rPr>
              <w:t>(99 )</w:t>
            </w:r>
          </w:p>
        </w:tc>
        <w:tc>
          <w:tcPr>
            <w:tcW w:w="520" w:type="dxa"/>
            <w:vAlign w:val="bottom"/>
          </w:tcPr>
          <w:p>
            <w:pPr>
              <w:spacing w:after="0"/>
              <w:rPr>
                <w:sz w:val="18"/>
                <w:szCs w:val="18"/>
                <w:color w:val="auto"/>
              </w:rPr>
            </w:pPr>
          </w:p>
        </w:tc>
        <w:tc>
          <w:tcPr>
            <w:tcW w:w="740" w:type="dxa"/>
            <w:vAlign w:val="bottom"/>
          </w:tcPr>
          <w:p>
            <w:pPr>
              <w:jc w:val="right"/>
              <w:ind w:right="288"/>
              <w:spacing w:after="0"/>
              <w:rPr>
                <w:sz w:val="20"/>
                <w:szCs w:val="20"/>
                <w:color w:val="auto"/>
              </w:rPr>
            </w:pPr>
            <w:r>
              <w:rPr>
                <w:rFonts w:ascii="Arial" w:cs="Arial" w:eastAsia="Arial" w:hAnsi="Arial"/>
                <w:sz w:val="14"/>
                <w:szCs w:val="14"/>
                <w:color w:val="auto"/>
              </w:rPr>
              <w:t>(72 )</w:t>
            </w:r>
          </w:p>
        </w:tc>
        <w:tc>
          <w:tcPr>
            <w:tcW w:w="520" w:type="dxa"/>
            <w:vAlign w:val="bottom"/>
          </w:tcPr>
          <w:p>
            <w:pPr>
              <w:spacing w:after="0"/>
              <w:rPr>
                <w:sz w:val="18"/>
                <w:szCs w:val="18"/>
                <w:color w:val="auto"/>
              </w:rPr>
            </w:pPr>
          </w:p>
        </w:tc>
        <w:tc>
          <w:tcPr>
            <w:tcW w:w="760" w:type="dxa"/>
            <w:vAlign w:val="bottom"/>
          </w:tcPr>
          <w:p>
            <w:pPr>
              <w:jc w:val="right"/>
              <w:ind w:right="209"/>
              <w:spacing w:after="0"/>
              <w:rPr>
                <w:sz w:val="20"/>
                <w:szCs w:val="20"/>
                <w:color w:val="auto"/>
              </w:rPr>
            </w:pPr>
            <w:r>
              <w:rPr>
                <w:rFonts w:ascii="Arial" w:cs="Arial" w:eastAsia="Arial" w:hAnsi="Arial"/>
                <w:sz w:val="14"/>
                <w:szCs w:val="14"/>
                <w:color w:val="auto"/>
              </w:rPr>
              <w:t>(68 )</w:t>
            </w:r>
          </w:p>
        </w:tc>
        <w:tc>
          <w:tcPr>
            <w:tcW w:w="400" w:type="dxa"/>
            <w:vAlign w:val="bottom"/>
          </w:tcPr>
          <w:p>
            <w:pPr>
              <w:spacing w:after="0"/>
              <w:rPr>
                <w:sz w:val="18"/>
                <w:szCs w:val="18"/>
                <w:color w:val="auto"/>
              </w:rPr>
            </w:pPr>
          </w:p>
        </w:tc>
        <w:tc>
          <w:tcPr>
            <w:tcW w:w="660" w:type="dxa"/>
            <w:vAlign w:val="bottom"/>
          </w:tcPr>
          <w:p>
            <w:pPr>
              <w:jc w:val="right"/>
              <w:ind w:right="108"/>
              <w:spacing w:after="0"/>
              <w:rPr>
                <w:sz w:val="20"/>
                <w:szCs w:val="20"/>
                <w:color w:val="auto"/>
              </w:rPr>
            </w:pPr>
            <w:r>
              <w:rPr>
                <w:rFonts w:ascii="Arial" w:cs="Arial" w:eastAsia="Arial" w:hAnsi="Arial"/>
                <w:sz w:val="14"/>
                <w:szCs w:val="14"/>
                <w:color w:val="auto"/>
              </w:rPr>
              <w:t>(50 )</w:t>
            </w:r>
          </w:p>
        </w:tc>
      </w:tr>
      <w:tr>
        <w:trPr>
          <w:trHeight w:val="222"/>
        </w:trPr>
        <w:tc>
          <w:tcPr>
            <w:tcW w:w="3320" w:type="dxa"/>
            <w:vAlign w:val="bottom"/>
          </w:tcPr>
          <w:p>
            <w:pPr>
              <w:ind w:left="20"/>
              <w:spacing w:after="0"/>
              <w:rPr>
                <w:sz w:val="20"/>
                <w:szCs w:val="20"/>
                <w:color w:val="auto"/>
              </w:rPr>
            </w:pPr>
            <w:r>
              <w:rPr>
                <w:rFonts w:ascii="Arial" w:cs="Arial" w:eastAsia="Arial" w:hAnsi="Arial"/>
                <w:sz w:val="14"/>
                <w:szCs w:val="14"/>
                <w:color w:val="auto"/>
              </w:rPr>
              <w:t>Unamortized prior service credit</w:t>
            </w: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270"/>
              <w:spacing w:after="0"/>
              <w:rPr>
                <w:sz w:val="20"/>
                <w:szCs w:val="20"/>
                <w:color w:val="auto"/>
              </w:rPr>
            </w:pPr>
            <w:r>
              <w:rPr>
                <w:rFonts w:ascii="Arial" w:cs="Arial" w:eastAsia="Arial" w:hAnsi="Arial"/>
                <w:sz w:val="14"/>
                <w:szCs w:val="14"/>
                <w:color w:val="auto"/>
              </w:rPr>
              <w:t>2</w:t>
            </w:r>
          </w:p>
        </w:tc>
        <w:tc>
          <w:tcPr>
            <w:tcW w:w="5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color w:val="auto"/>
              </w:rPr>
              <w:t>5</w:t>
            </w:r>
          </w:p>
        </w:tc>
        <w:tc>
          <w:tcPr>
            <w:tcW w:w="5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269"/>
              <w:spacing w:after="0"/>
              <w:rPr>
                <w:sz w:val="20"/>
                <w:szCs w:val="20"/>
                <w:color w:val="auto"/>
              </w:rPr>
            </w:pPr>
            <w:r>
              <w:rPr>
                <w:rFonts w:ascii="Arial" w:cs="Arial" w:eastAsia="Arial" w:hAnsi="Arial"/>
                <w:sz w:val="14"/>
                <w:szCs w:val="14"/>
                <w:color w:val="auto"/>
              </w:rPr>
              <w:t>2</w:t>
            </w:r>
          </w:p>
        </w:tc>
        <w:tc>
          <w:tcPr>
            <w:tcW w:w="4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4</w:t>
            </w:r>
          </w:p>
        </w:tc>
      </w:tr>
      <w:tr>
        <w:trPr>
          <w:trHeight w:val="224"/>
        </w:trPr>
        <w:tc>
          <w:tcPr>
            <w:tcW w:w="33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Balance as of December 31</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ind w:right="210"/>
              <w:spacing w:after="0"/>
              <w:rPr>
                <w:sz w:val="20"/>
                <w:szCs w:val="20"/>
                <w:color w:val="auto"/>
              </w:rPr>
            </w:pPr>
            <w:r>
              <w:rPr>
                <w:rFonts w:ascii="Arial" w:cs="Arial" w:eastAsia="Arial" w:hAnsi="Arial"/>
                <w:sz w:val="14"/>
                <w:szCs w:val="14"/>
                <w:color w:val="auto"/>
              </w:rPr>
              <w:t>(513 )</w:t>
            </w:r>
          </w:p>
        </w:tc>
        <w:tc>
          <w:tcPr>
            <w:tcW w:w="52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w w:val="98"/>
              </w:rPr>
              <w:t>(301 )</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ind w:right="209"/>
              <w:spacing w:after="0"/>
              <w:rPr>
                <w:sz w:val="20"/>
                <w:szCs w:val="20"/>
                <w:color w:val="auto"/>
              </w:rPr>
            </w:pPr>
            <w:r>
              <w:rPr>
                <w:rFonts w:ascii="Arial" w:cs="Arial" w:eastAsia="Arial" w:hAnsi="Arial"/>
                <w:sz w:val="14"/>
                <w:szCs w:val="14"/>
                <w:color w:val="auto"/>
              </w:rPr>
              <w:t>(90 )</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(41 )</w:t>
            </w:r>
          </w:p>
        </w:tc>
      </w:tr>
      <w:tr>
        <w:trPr>
          <w:trHeight w:val="210"/>
        </w:trPr>
        <w:tc>
          <w:tcPr>
            <w:tcW w:w="3320" w:type="dxa"/>
            <w:vAlign w:val="bottom"/>
          </w:tcPr>
          <w:p>
            <w:pPr>
              <w:ind w:left="20"/>
              <w:spacing w:after="0"/>
              <w:rPr>
                <w:sz w:val="20"/>
                <w:szCs w:val="20"/>
                <w:color w:val="auto"/>
              </w:rPr>
            </w:pPr>
            <w:r>
              <w:rPr>
                <w:rFonts w:ascii="Arial" w:cs="Arial" w:eastAsia="Arial" w:hAnsi="Arial"/>
                <w:sz w:val="14"/>
                <w:szCs w:val="14"/>
                <w:b w:val="1"/>
                <w:bCs w:val="1"/>
                <w:color w:val="auto"/>
              </w:rPr>
              <w:t>SDG&amp;E</w:t>
            </w: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16"/>
        </w:trPr>
        <w:tc>
          <w:tcPr>
            <w:tcW w:w="3320" w:type="dxa"/>
            <w:vAlign w:val="bottom"/>
          </w:tcPr>
          <w:p>
            <w:pPr>
              <w:ind w:left="20"/>
              <w:spacing w:after="0"/>
              <w:rPr>
                <w:sz w:val="20"/>
                <w:szCs w:val="20"/>
                <w:color w:val="auto"/>
              </w:rPr>
            </w:pPr>
            <w:r>
              <w:rPr>
                <w:rFonts w:ascii="Arial" w:cs="Arial" w:eastAsia="Arial" w:hAnsi="Arial"/>
                <w:sz w:val="14"/>
                <w:szCs w:val="14"/>
                <w:color w:val="auto"/>
              </w:rPr>
              <w:t>Unamortized net actuarial loss</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210"/>
              <w:spacing w:after="0"/>
              <w:rPr>
                <w:sz w:val="20"/>
                <w:szCs w:val="20"/>
                <w:color w:val="auto"/>
              </w:rPr>
            </w:pPr>
            <w:r>
              <w:rPr>
                <w:rFonts w:ascii="Arial" w:cs="Arial" w:eastAsia="Arial" w:hAnsi="Arial"/>
                <w:sz w:val="14"/>
                <w:szCs w:val="14"/>
                <w:color w:val="auto"/>
              </w:rPr>
              <w:t>(13 )</w:t>
            </w:r>
          </w:p>
        </w:tc>
        <w:tc>
          <w:tcPr>
            <w:tcW w:w="52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288"/>
              <w:spacing w:after="0"/>
              <w:rPr>
                <w:sz w:val="20"/>
                <w:szCs w:val="20"/>
                <w:color w:val="auto"/>
              </w:rPr>
            </w:pPr>
            <w:r>
              <w:rPr>
                <w:rFonts w:ascii="Arial" w:cs="Arial" w:eastAsia="Arial" w:hAnsi="Arial"/>
                <w:sz w:val="14"/>
                <w:szCs w:val="14"/>
                <w:color w:val="auto"/>
              </w:rPr>
              <w:t>(16 )</w:t>
            </w:r>
          </w:p>
        </w:tc>
        <w:tc>
          <w:tcPr>
            <w:tcW w:w="52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209"/>
              <w:spacing w:after="0"/>
              <w:rPr>
                <w:sz w:val="20"/>
                <w:szCs w:val="20"/>
                <w:color w:val="auto"/>
              </w:rPr>
            </w:pPr>
            <w:r>
              <w:rPr>
                <w:rFonts w:ascii="Arial" w:cs="Arial" w:eastAsia="Arial" w:hAnsi="Arial"/>
                <w:sz w:val="14"/>
                <w:szCs w:val="14"/>
                <w:color w:val="auto"/>
              </w:rPr>
              <w:t>(8 )</w:t>
            </w:r>
          </w:p>
        </w:tc>
        <w:tc>
          <w:tcPr>
            <w:tcW w:w="400" w:type="dxa"/>
            <w:vAlign w:val="bottom"/>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108"/>
              <w:spacing w:after="0"/>
              <w:rPr>
                <w:sz w:val="20"/>
                <w:szCs w:val="20"/>
                <w:color w:val="auto"/>
              </w:rPr>
            </w:pPr>
            <w:r>
              <w:rPr>
                <w:rFonts w:ascii="Arial" w:cs="Arial" w:eastAsia="Arial" w:hAnsi="Arial"/>
                <w:sz w:val="14"/>
                <w:szCs w:val="14"/>
                <w:color w:val="auto"/>
              </w:rPr>
              <w:t>(11 )</w:t>
            </w:r>
          </w:p>
        </w:tc>
      </w:tr>
      <w:tr>
        <w:trPr>
          <w:trHeight w:val="216"/>
        </w:trPr>
        <w:tc>
          <w:tcPr>
            <w:tcW w:w="3320" w:type="dxa"/>
            <w:vAlign w:val="bottom"/>
          </w:tcPr>
          <w:p>
            <w:pPr>
              <w:ind w:left="20"/>
              <w:spacing w:after="0"/>
              <w:rPr>
                <w:sz w:val="20"/>
                <w:szCs w:val="20"/>
                <w:color w:val="auto"/>
              </w:rPr>
            </w:pPr>
            <w:r>
              <w:rPr>
                <w:rFonts w:ascii="Arial" w:cs="Arial" w:eastAsia="Arial" w:hAnsi="Arial"/>
                <w:sz w:val="14"/>
                <w:szCs w:val="14"/>
                <w:color w:val="auto"/>
              </w:rPr>
              <w:t>Unamortized prior service credit</w:t>
            </w:r>
          </w:p>
        </w:tc>
        <w:tc>
          <w:tcPr>
            <w:tcW w:w="180" w:type="dxa"/>
            <w:vAlign w:val="bottom"/>
          </w:tcPr>
          <w:p>
            <w:pPr>
              <w:spacing w:after="0"/>
              <w:rPr>
                <w:sz w:val="18"/>
                <w:szCs w:val="18"/>
                <w:color w:val="auto"/>
              </w:rPr>
            </w:pPr>
          </w:p>
        </w:tc>
        <w:tc>
          <w:tcPr>
            <w:tcW w:w="740" w:type="dxa"/>
            <w:vAlign w:val="bottom"/>
          </w:tcPr>
          <w:p>
            <w:pPr>
              <w:jc w:val="right"/>
              <w:ind w:right="270"/>
              <w:spacing w:after="0"/>
              <w:rPr>
                <w:sz w:val="20"/>
                <w:szCs w:val="20"/>
                <w:color w:val="auto"/>
              </w:rPr>
            </w:pPr>
            <w:r>
              <w:rPr>
                <w:rFonts w:ascii="Arial" w:cs="Arial" w:eastAsia="Arial" w:hAnsi="Arial"/>
                <w:sz w:val="14"/>
                <w:szCs w:val="14"/>
                <w:color w:val="auto"/>
              </w:rPr>
              <w:t>1</w:t>
            </w:r>
          </w:p>
        </w:tc>
        <w:tc>
          <w:tcPr>
            <w:tcW w:w="520" w:type="dxa"/>
            <w:vAlign w:val="bottom"/>
          </w:tcPr>
          <w:p>
            <w:pPr>
              <w:spacing w:after="0"/>
              <w:rPr>
                <w:sz w:val="18"/>
                <w:szCs w:val="18"/>
                <w:color w:val="auto"/>
              </w:rPr>
            </w:pPr>
          </w:p>
        </w:tc>
        <w:tc>
          <w:tcPr>
            <w:tcW w:w="740" w:type="dxa"/>
            <w:vAlign w:val="bottom"/>
          </w:tcPr>
          <w:p>
            <w:pPr>
              <w:jc w:val="right"/>
              <w:ind w:right="368"/>
              <w:spacing w:after="0"/>
              <w:rPr>
                <w:sz w:val="20"/>
                <w:szCs w:val="20"/>
                <w:color w:val="auto"/>
              </w:rPr>
            </w:pPr>
            <w:r>
              <w:rPr>
                <w:rFonts w:ascii="Arial" w:cs="Arial" w:eastAsia="Arial" w:hAnsi="Arial"/>
                <w:sz w:val="14"/>
                <w:szCs w:val="14"/>
                <w:color w:val="auto"/>
              </w:rPr>
              <w:t>1</w:t>
            </w:r>
          </w:p>
        </w:tc>
        <w:tc>
          <w:tcPr>
            <w:tcW w:w="520" w:type="dxa"/>
            <w:vAlign w:val="bottom"/>
          </w:tcPr>
          <w:p>
            <w:pPr>
              <w:spacing w:after="0"/>
              <w:rPr>
                <w:sz w:val="18"/>
                <w:szCs w:val="18"/>
                <w:color w:val="auto"/>
              </w:rPr>
            </w:pPr>
          </w:p>
        </w:tc>
        <w:tc>
          <w:tcPr>
            <w:tcW w:w="760" w:type="dxa"/>
            <w:vAlign w:val="bottom"/>
          </w:tcPr>
          <w:p>
            <w:pPr>
              <w:jc w:val="right"/>
              <w:ind w:right="269"/>
              <w:spacing w:after="0"/>
              <w:rPr>
                <w:sz w:val="20"/>
                <w:szCs w:val="20"/>
                <w:color w:val="auto"/>
              </w:rPr>
            </w:pPr>
            <w:r>
              <w:rPr>
                <w:rFonts w:ascii="Arial" w:cs="Arial" w:eastAsia="Arial" w:hAnsi="Arial"/>
                <w:sz w:val="14"/>
                <w:szCs w:val="14"/>
                <w:color w:val="auto"/>
              </w:rPr>
              <w:t>1</w:t>
            </w:r>
          </w:p>
        </w:tc>
        <w:tc>
          <w:tcPr>
            <w:tcW w:w="400" w:type="dxa"/>
            <w:vAlign w:val="bottom"/>
          </w:tcPr>
          <w:p>
            <w:pPr>
              <w:spacing w:after="0"/>
              <w:rPr>
                <w:sz w:val="18"/>
                <w:szCs w:val="18"/>
                <w:color w:val="auto"/>
              </w:rPr>
            </w:pPr>
          </w:p>
        </w:tc>
        <w:tc>
          <w:tcPr>
            <w:tcW w:w="660" w:type="dxa"/>
            <w:vAlign w:val="bottom"/>
          </w:tcPr>
          <w:p>
            <w:pPr>
              <w:jc w:val="right"/>
              <w:ind w:right="168"/>
              <w:spacing w:after="0"/>
              <w:rPr>
                <w:sz w:val="20"/>
                <w:szCs w:val="20"/>
                <w:color w:val="auto"/>
              </w:rPr>
            </w:pPr>
            <w:r>
              <w:rPr>
                <w:rFonts w:ascii="Arial" w:cs="Arial" w:eastAsia="Arial" w:hAnsi="Arial"/>
                <w:sz w:val="14"/>
                <w:szCs w:val="14"/>
                <w:color w:val="auto"/>
              </w:rPr>
              <w:t>1</w:t>
            </w:r>
          </w:p>
        </w:tc>
      </w:tr>
      <w:tr>
        <w:trPr>
          <w:trHeight w:val="222"/>
        </w:trPr>
        <w:tc>
          <w:tcPr>
            <w:tcW w:w="3320" w:type="dxa"/>
            <w:vAlign w:val="bottom"/>
          </w:tcPr>
          <w:p>
            <w:pPr>
              <w:ind w:left="20"/>
              <w:spacing w:after="0"/>
              <w:rPr>
                <w:sz w:val="20"/>
                <w:szCs w:val="20"/>
                <w:color w:val="auto"/>
              </w:rPr>
            </w:pPr>
            <w:r>
              <w:rPr>
                <w:rFonts w:ascii="Arial" w:cs="Arial" w:eastAsia="Arial" w:hAnsi="Arial"/>
                <w:sz w:val="14"/>
                <w:szCs w:val="14"/>
                <w:color w:val="auto"/>
              </w:rPr>
              <w:t>Financial instruments</w:t>
            </w: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210"/>
              <w:spacing w:after="0"/>
              <w:rPr>
                <w:sz w:val="20"/>
                <w:szCs w:val="20"/>
                <w:color w:val="auto"/>
              </w:rPr>
            </w:pPr>
            <w:r>
              <w:rPr>
                <w:rFonts w:ascii="Arial" w:cs="Arial" w:eastAsia="Arial" w:hAnsi="Arial"/>
                <w:sz w:val="14"/>
                <w:szCs w:val="14"/>
                <w:color w:val="auto"/>
              </w:rPr>
              <w:t>(1 )</w:t>
            </w:r>
          </w:p>
        </w:tc>
        <w:tc>
          <w:tcPr>
            <w:tcW w:w="5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(1 )</w:t>
            </w:r>
          </w:p>
        </w:tc>
        <w:tc>
          <w:tcPr>
            <w:tcW w:w="5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209"/>
              <w:spacing w:after="0"/>
              <w:rPr>
                <w:sz w:val="20"/>
                <w:szCs w:val="20"/>
                <w:color w:val="auto"/>
              </w:rPr>
            </w:pPr>
            <w:r>
              <w:rPr>
                <w:rFonts w:ascii="Arial" w:cs="Arial" w:eastAsia="Arial" w:hAnsi="Arial"/>
                <w:sz w:val="14"/>
                <w:szCs w:val="14"/>
                <w:color w:val="auto"/>
              </w:rPr>
              <w:t>(1 )</w:t>
            </w:r>
          </w:p>
        </w:tc>
        <w:tc>
          <w:tcPr>
            <w:tcW w:w="4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(1 )</w:t>
            </w:r>
          </w:p>
        </w:tc>
      </w:tr>
      <w:tr>
        <w:trPr>
          <w:trHeight w:val="224"/>
        </w:trPr>
        <w:tc>
          <w:tcPr>
            <w:tcW w:w="33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Balance as of December 31</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ind w:right="210"/>
              <w:spacing w:after="0"/>
              <w:rPr>
                <w:sz w:val="20"/>
                <w:szCs w:val="20"/>
                <w:color w:val="auto"/>
              </w:rPr>
            </w:pPr>
            <w:r>
              <w:rPr>
                <w:rFonts w:ascii="Arial" w:cs="Arial" w:eastAsia="Arial" w:hAnsi="Arial"/>
                <w:sz w:val="14"/>
                <w:szCs w:val="14"/>
                <w:color w:val="auto"/>
              </w:rPr>
              <w:t>(13 )</w:t>
            </w:r>
          </w:p>
        </w:tc>
        <w:tc>
          <w:tcPr>
            <w:tcW w:w="52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(16 )</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ind w:right="209"/>
              <w:spacing w:after="0"/>
              <w:rPr>
                <w:sz w:val="20"/>
                <w:szCs w:val="20"/>
                <w:color w:val="auto"/>
              </w:rPr>
            </w:pPr>
            <w:r>
              <w:rPr>
                <w:rFonts w:ascii="Arial" w:cs="Arial" w:eastAsia="Arial" w:hAnsi="Arial"/>
                <w:sz w:val="14"/>
                <w:szCs w:val="14"/>
                <w:color w:val="auto"/>
              </w:rPr>
              <w:t>(8 )</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(11 )</w:t>
            </w:r>
          </w:p>
        </w:tc>
      </w:tr>
      <w:tr>
        <w:trPr>
          <w:trHeight w:val="210"/>
        </w:trPr>
        <w:tc>
          <w:tcPr>
            <w:tcW w:w="3320" w:type="dxa"/>
            <w:vAlign w:val="bottom"/>
          </w:tcPr>
          <w:p>
            <w:pPr>
              <w:ind w:left="20"/>
              <w:spacing w:after="0"/>
              <w:rPr>
                <w:sz w:val="20"/>
                <w:szCs w:val="20"/>
                <w:color w:val="auto"/>
              </w:rPr>
            </w:pPr>
            <w:r>
              <w:rPr>
                <w:rFonts w:ascii="Arial" w:cs="Arial" w:eastAsia="Arial" w:hAnsi="Arial"/>
                <w:sz w:val="14"/>
                <w:szCs w:val="14"/>
                <w:b w:val="1"/>
                <w:bCs w:val="1"/>
                <w:color w:val="auto"/>
              </w:rPr>
              <w:t>SoCalGas</w:t>
            </w: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16"/>
        </w:trPr>
        <w:tc>
          <w:tcPr>
            <w:tcW w:w="3320" w:type="dxa"/>
            <w:vAlign w:val="bottom"/>
          </w:tcPr>
          <w:p>
            <w:pPr>
              <w:ind w:left="20"/>
              <w:spacing w:after="0"/>
              <w:rPr>
                <w:sz w:val="20"/>
                <w:szCs w:val="20"/>
                <w:color w:val="auto"/>
              </w:rPr>
            </w:pPr>
            <w:r>
              <w:rPr>
                <w:rFonts w:ascii="Arial" w:cs="Arial" w:eastAsia="Arial" w:hAnsi="Arial"/>
                <w:sz w:val="14"/>
                <w:szCs w:val="14"/>
                <w:color w:val="auto"/>
              </w:rPr>
              <w:t>Unamortized net actuarial loss</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210"/>
              <w:spacing w:after="0"/>
              <w:rPr>
                <w:sz w:val="20"/>
                <w:szCs w:val="20"/>
                <w:color w:val="auto"/>
              </w:rPr>
            </w:pPr>
            <w:r>
              <w:rPr>
                <w:rFonts w:ascii="Arial" w:cs="Arial" w:eastAsia="Arial" w:hAnsi="Arial"/>
                <w:sz w:val="14"/>
                <w:szCs w:val="14"/>
                <w:color w:val="auto"/>
              </w:rPr>
              <w:t>(5 )</w:t>
            </w:r>
          </w:p>
        </w:tc>
        <w:tc>
          <w:tcPr>
            <w:tcW w:w="52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288"/>
              <w:spacing w:after="0"/>
              <w:rPr>
                <w:sz w:val="20"/>
                <w:szCs w:val="20"/>
                <w:color w:val="auto"/>
              </w:rPr>
            </w:pPr>
            <w:r>
              <w:rPr>
                <w:rFonts w:ascii="Arial" w:cs="Arial" w:eastAsia="Arial" w:hAnsi="Arial"/>
                <w:sz w:val="14"/>
                <w:szCs w:val="14"/>
                <w:color w:val="auto"/>
              </w:rPr>
              <w:t>(6 )</w:t>
            </w:r>
          </w:p>
        </w:tc>
        <w:tc>
          <w:tcPr>
            <w:tcW w:w="52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209"/>
              <w:spacing w:after="0"/>
              <w:rPr>
                <w:sz w:val="20"/>
                <w:szCs w:val="20"/>
                <w:color w:val="auto"/>
              </w:rPr>
            </w:pPr>
            <w:r>
              <w:rPr>
                <w:rFonts w:ascii="Arial" w:cs="Arial" w:eastAsia="Arial" w:hAnsi="Arial"/>
                <w:sz w:val="14"/>
                <w:szCs w:val="14"/>
                <w:color w:val="auto"/>
              </w:rPr>
              <w:t>(4 )</w:t>
            </w:r>
          </w:p>
        </w:tc>
        <w:tc>
          <w:tcPr>
            <w:tcW w:w="400" w:type="dxa"/>
            <w:vAlign w:val="bottom"/>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108"/>
              <w:spacing w:after="0"/>
              <w:rPr>
                <w:sz w:val="20"/>
                <w:szCs w:val="20"/>
                <w:color w:val="auto"/>
              </w:rPr>
            </w:pPr>
            <w:r>
              <w:rPr>
                <w:rFonts w:ascii="Arial" w:cs="Arial" w:eastAsia="Arial" w:hAnsi="Arial"/>
                <w:sz w:val="14"/>
                <w:szCs w:val="14"/>
                <w:color w:val="auto"/>
              </w:rPr>
              <w:t>(4 )</w:t>
            </w:r>
          </w:p>
        </w:tc>
      </w:tr>
      <w:tr>
        <w:trPr>
          <w:trHeight w:val="216"/>
        </w:trPr>
        <w:tc>
          <w:tcPr>
            <w:tcW w:w="3320" w:type="dxa"/>
            <w:vAlign w:val="bottom"/>
          </w:tcPr>
          <w:p>
            <w:pPr>
              <w:ind w:left="20"/>
              <w:spacing w:after="0"/>
              <w:rPr>
                <w:sz w:val="20"/>
                <w:szCs w:val="20"/>
                <w:color w:val="auto"/>
              </w:rPr>
            </w:pPr>
            <w:r>
              <w:rPr>
                <w:rFonts w:ascii="Arial" w:cs="Arial" w:eastAsia="Arial" w:hAnsi="Arial"/>
                <w:sz w:val="14"/>
                <w:szCs w:val="14"/>
                <w:color w:val="auto"/>
              </w:rPr>
              <w:t>Unamortized prior service credit</w:t>
            </w:r>
          </w:p>
        </w:tc>
        <w:tc>
          <w:tcPr>
            <w:tcW w:w="180" w:type="dxa"/>
            <w:vAlign w:val="bottom"/>
          </w:tcPr>
          <w:p>
            <w:pPr>
              <w:spacing w:after="0"/>
              <w:rPr>
                <w:sz w:val="18"/>
                <w:szCs w:val="18"/>
                <w:color w:val="auto"/>
              </w:rPr>
            </w:pPr>
          </w:p>
        </w:tc>
        <w:tc>
          <w:tcPr>
            <w:tcW w:w="740" w:type="dxa"/>
            <w:vAlign w:val="bottom"/>
          </w:tcPr>
          <w:p>
            <w:pPr>
              <w:jc w:val="right"/>
              <w:ind w:right="270"/>
              <w:spacing w:after="0"/>
              <w:rPr>
                <w:sz w:val="20"/>
                <w:szCs w:val="20"/>
                <w:color w:val="auto"/>
              </w:rPr>
            </w:pPr>
            <w:r>
              <w:rPr>
                <w:rFonts w:ascii="Arial" w:cs="Arial" w:eastAsia="Arial" w:hAnsi="Arial"/>
                <w:sz w:val="14"/>
                <w:szCs w:val="14"/>
                <w:color w:val="auto"/>
              </w:rPr>
              <w:t>1</w:t>
            </w:r>
          </w:p>
        </w:tc>
        <w:tc>
          <w:tcPr>
            <w:tcW w:w="520" w:type="dxa"/>
            <w:vAlign w:val="bottom"/>
          </w:tcPr>
          <w:p>
            <w:pPr>
              <w:spacing w:after="0"/>
              <w:rPr>
                <w:sz w:val="18"/>
                <w:szCs w:val="18"/>
                <w:color w:val="auto"/>
              </w:rPr>
            </w:pPr>
          </w:p>
        </w:tc>
        <w:tc>
          <w:tcPr>
            <w:tcW w:w="740" w:type="dxa"/>
            <w:vAlign w:val="bottom"/>
          </w:tcPr>
          <w:p>
            <w:pPr>
              <w:jc w:val="right"/>
              <w:ind w:right="368"/>
              <w:spacing w:after="0"/>
              <w:rPr>
                <w:sz w:val="20"/>
                <w:szCs w:val="20"/>
                <w:color w:val="auto"/>
              </w:rPr>
            </w:pPr>
            <w:r>
              <w:rPr>
                <w:rFonts w:ascii="Arial" w:cs="Arial" w:eastAsia="Arial" w:hAnsi="Arial"/>
                <w:sz w:val="14"/>
                <w:szCs w:val="14"/>
                <w:color w:val="auto"/>
              </w:rPr>
              <w:t>1</w:t>
            </w:r>
          </w:p>
        </w:tc>
        <w:tc>
          <w:tcPr>
            <w:tcW w:w="520" w:type="dxa"/>
            <w:vAlign w:val="bottom"/>
          </w:tcPr>
          <w:p>
            <w:pPr>
              <w:spacing w:after="0"/>
              <w:rPr>
                <w:sz w:val="18"/>
                <w:szCs w:val="18"/>
                <w:color w:val="auto"/>
              </w:rPr>
            </w:pPr>
          </w:p>
        </w:tc>
        <w:tc>
          <w:tcPr>
            <w:tcW w:w="760" w:type="dxa"/>
            <w:vAlign w:val="bottom"/>
          </w:tcPr>
          <w:p>
            <w:pPr>
              <w:jc w:val="right"/>
              <w:ind w:right="269"/>
              <w:spacing w:after="0"/>
              <w:rPr>
                <w:sz w:val="20"/>
                <w:szCs w:val="20"/>
                <w:color w:val="auto"/>
              </w:rPr>
            </w:pPr>
            <w:r>
              <w:rPr>
                <w:rFonts w:ascii="Arial" w:cs="Arial" w:eastAsia="Arial" w:hAnsi="Arial"/>
                <w:sz w:val="14"/>
                <w:szCs w:val="14"/>
                <w:color w:val="auto"/>
              </w:rPr>
              <w:t>1</w:t>
            </w:r>
          </w:p>
        </w:tc>
        <w:tc>
          <w:tcPr>
            <w:tcW w:w="400" w:type="dxa"/>
            <w:vAlign w:val="bottom"/>
          </w:tcPr>
          <w:p>
            <w:pPr>
              <w:spacing w:after="0"/>
              <w:rPr>
                <w:sz w:val="18"/>
                <w:szCs w:val="18"/>
                <w:color w:val="auto"/>
              </w:rPr>
            </w:pPr>
          </w:p>
        </w:tc>
        <w:tc>
          <w:tcPr>
            <w:tcW w:w="660" w:type="dxa"/>
            <w:vAlign w:val="bottom"/>
          </w:tcPr>
          <w:p>
            <w:pPr>
              <w:jc w:val="right"/>
              <w:ind w:right="168"/>
              <w:spacing w:after="0"/>
              <w:rPr>
                <w:sz w:val="20"/>
                <w:szCs w:val="20"/>
                <w:color w:val="auto"/>
              </w:rPr>
            </w:pPr>
            <w:r>
              <w:rPr>
                <w:rFonts w:ascii="Arial" w:cs="Arial" w:eastAsia="Arial" w:hAnsi="Arial"/>
                <w:sz w:val="14"/>
                <w:szCs w:val="14"/>
                <w:color w:val="auto"/>
              </w:rPr>
              <w:t>1</w:t>
            </w:r>
          </w:p>
        </w:tc>
      </w:tr>
      <w:tr>
        <w:trPr>
          <w:trHeight w:val="222"/>
        </w:trPr>
        <w:tc>
          <w:tcPr>
            <w:tcW w:w="3320" w:type="dxa"/>
            <w:vAlign w:val="bottom"/>
          </w:tcPr>
          <w:p>
            <w:pPr>
              <w:ind w:left="20"/>
              <w:spacing w:after="0"/>
              <w:rPr>
                <w:sz w:val="20"/>
                <w:szCs w:val="20"/>
                <w:color w:val="auto"/>
              </w:rPr>
            </w:pPr>
            <w:r>
              <w:rPr>
                <w:rFonts w:ascii="Arial" w:cs="Arial" w:eastAsia="Arial" w:hAnsi="Arial"/>
                <w:sz w:val="14"/>
                <w:szCs w:val="14"/>
                <w:color w:val="auto"/>
              </w:rPr>
              <w:t>Financial instruments</w:t>
            </w: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210"/>
              <w:spacing w:after="0"/>
              <w:rPr>
                <w:sz w:val="20"/>
                <w:szCs w:val="20"/>
                <w:color w:val="auto"/>
              </w:rPr>
            </w:pPr>
            <w:r>
              <w:rPr>
                <w:rFonts w:ascii="Arial" w:cs="Arial" w:eastAsia="Arial" w:hAnsi="Arial"/>
                <w:sz w:val="14"/>
                <w:szCs w:val="14"/>
                <w:color w:val="auto"/>
              </w:rPr>
              <w:t>(24 )</w:t>
            </w:r>
          </w:p>
        </w:tc>
        <w:tc>
          <w:tcPr>
            <w:tcW w:w="5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color w:val="auto"/>
              </w:rPr>
              <w:t>1</w:t>
            </w:r>
          </w:p>
        </w:tc>
        <w:tc>
          <w:tcPr>
            <w:tcW w:w="5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209"/>
              <w:spacing w:after="0"/>
              <w:rPr>
                <w:sz w:val="20"/>
                <w:szCs w:val="20"/>
                <w:color w:val="auto"/>
              </w:rPr>
            </w:pPr>
            <w:r>
              <w:rPr>
                <w:rFonts w:ascii="Arial" w:cs="Arial" w:eastAsia="Arial" w:hAnsi="Arial"/>
                <w:sz w:val="14"/>
                <w:szCs w:val="14"/>
                <w:color w:val="auto"/>
              </w:rPr>
              <w:t>(16 )</w:t>
            </w:r>
          </w:p>
        </w:tc>
        <w:tc>
          <w:tcPr>
            <w:tcW w:w="4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1</w:t>
            </w:r>
          </w:p>
        </w:tc>
      </w:tr>
      <w:tr>
        <w:trPr>
          <w:trHeight w:val="224"/>
        </w:trPr>
        <w:tc>
          <w:tcPr>
            <w:tcW w:w="33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Balance as of December 31</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ind w:right="210"/>
              <w:spacing w:after="0"/>
              <w:rPr>
                <w:sz w:val="20"/>
                <w:szCs w:val="20"/>
                <w:color w:val="auto"/>
              </w:rPr>
            </w:pPr>
            <w:r>
              <w:rPr>
                <w:rFonts w:ascii="Arial" w:cs="Arial" w:eastAsia="Arial" w:hAnsi="Arial"/>
                <w:sz w:val="14"/>
                <w:szCs w:val="14"/>
                <w:color w:val="auto"/>
              </w:rPr>
              <w:t>(28 )</w:t>
            </w:r>
          </w:p>
        </w:tc>
        <w:tc>
          <w:tcPr>
            <w:tcW w:w="52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(4 )</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ind w:right="209"/>
              <w:spacing w:after="0"/>
              <w:rPr>
                <w:sz w:val="20"/>
                <w:szCs w:val="20"/>
                <w:color w:val="auto"/>
              </w:rPr>
            </w:pPr>
            <w:r>
              <w:rPr>
                <w:rFonts w:ascii="Arial" w:cs="Arial" w:eastAsia="Arial" w:hAnsi="Arial"/>
                <w:sz w:val="14"/>
                <w:szCs w:val="14"/>
                <w:color w:val="auto"/>
              </w:rPr>
              <w:t>(19 )</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(2 )</w:t>
            </w:r>
          </w:p>
        </w:tc>
      </w:tr>
    </w:tbl>
    <w:p>
      <w:pPr>
        <w:spacing w:after="0" w:line="2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REVENUES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Sempra Utilities</w:t>
      </w:r>
    </w:p>
    <w:p>
      <w:pPr>
        <w:spacing w:after="0" w:line="23" w:lineRule="exact"/>
        <w:rPr>
          <w:sz w:val="20"/>
          <w:szCs w:val="20"/>
          <w:color w:val="auto"/>
        </w:rPr>
      </w:pPr>
    </w:p>
    <w:p>
      <w:pPr>
        <w:jc w:val="both"/>
        <w:ind w:right="180"/>
        <w:spacing w:after="0" w:line="289" w:lineRule="auto"/>
        <w:rPr>
          <w:sz w:val="20"/>
          <w:szCs w:val="20"/>
          <w:color w:val="auto"/>
        </w:rPr>
      </w:pPr>
      <w:r>
        <w:rPr>
          <w:rFonts w:ascii="Arial" w:cs="Arial" w:eastAsia="Arial" w:hAnsi="Arial"/>
          <w:sz w:val="15"/>
          <w:szCs w:val="15"/>
          <w:color w:val="auto"/>
        </w:rPr>
        <w:t>The Sempra Utilities generate revenues primarily from deliveries to their customers of electricity by SDG&amp;E and natural gas by both SoCalGas and SDG&amp;E, and from related services. They record these revenues under the accrual method and recognize them upon delivery and performance. They also record revenue from incentive awards, which is recognized upon approval of the award by the CPUC. We provide additional discussion on utility incentive awards in Note 14.</w:t>
      </w:r>
    </w:p>
    <w:p>
      <w:pPr>
        <w:spacing w:after="0" w:line="26" w:lineRule="exact"/>
        <w:rPr>
          <w:sz w:val="20"/>
          <w:szCs w:val="20"/>
          <w:color w:val="auto"/>
        </w:rPr>
      </w:pPr>
    </w:p>
    <w:p>
      <w:pPr>
        <w:spacing w:after="0" w:line="308" w:lineRule="auto"/>
        <w:rPr>
          <w:sz w:val="20"/>
          <w:szCs w:val="20"/>
          <w:color w:val="auto"/>
        </w:rPr>
      </w:pPr>
      <w:r>
        <w:rPr>
          <w:rFonts w:ascii="Arial" w:cs="Arial" w:eastAsia="Arial" w:hAnsi="Arial"/>
          <w:sz w:val="14"/>
          <w:szCs w:val="14"/>
          <w:color w:val="auto"/>
        </w:rPr>
        <w:t>Under an operating agreement with the California Department of Water Resources (DWR), SDG&amp;E acts as a limited agent on behalf of the DWR in the administration of energy contracts, including natural gas procurement functions under the DWR contracts allocated to SDG&amp;E's customers. The legal and financial responsibilities associated with these activities continue to reside with the DWR. Therefore, the commodity costs associated with long-term contracts allocated to SDG&amp;E from the DWR (and the revenues to recover those costs) are not included in our Statements of Consolidated Income. We provide discussion on electric industry restructuring related to the DWR in Note 14.</w:t>
      </w:r>
    </w:p>
    <w:p>
      <w:pPr>
        <w:spacing w:after="0" w:line="14" w:lineRule="exact"/>
        <w:rPr>
          <w:sz w:val="20"/>
          <w:szCs w:val="20"/>
          <w:color w:val="auto"/>
        </w:rPr>
      </w:pPr>
    </w:p>
    <w:p>
      <w:pPr>
        <w:ind w:right="280"/>
        <w:spacing w:after="0" w:line="277" w:lineRule="auto"/>
        <w:rPr>
          <w:sz w:val="20"/>
          <w:szCs w:val="20"/>
          <w:color w:val="auto"/>
        </w:rPr>
      </w:pPr>
      <w:r>
        <w:rPr>
          <w:rFonts w:ascii="Arial" w:cs="Arial" w:eastAsia="Arial" w:hAnsi="Arial"/>
          <w:sz w:val="16"/>
          <w:szCs w:val="16"/>
          <w:color w:val="auto"/>
        </w:rPr>
        <w:t>On a monthly basis, SoCalGas accrues natural gas storage contract revenues, which consist of reservation, storage and injection charges based on negotiated agreements with terms of up to 15 years.</w:t>
      </w: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14"/>
          <w:szCs w:val="14"/>
          <w:color w:val="auto"/>
        </w:rPr>
        <w:t>107</w:t>
      </w:r>
    </w:p>
    <w:p>
      <w:pPr>
        <w:sectPr>
          <w:pgSz w:w="11900" w:h="16838" w:orient="portrait"/>
          <w:cols w:equalWidth="0" w:num="1">
            <w:col w:w="11380"/>
          </w:cols>
          <w:pgMar w:left="240" w:top="127" w:right="279" w:bottom="1440" w:gutter="0" w:footer="0" w:header="0"/>
        </w:sectPr>
      </w:pPr>
    </w:p>
    <w:bookmarkStart w:id="247" w:name="page248"/>
    <w:bookmarkEnd w:id="247"/>
    <w:p>
      <w:pPr>
        <w:ind w:right="60"/>
        <w:spacing w:after="0" w:line="312" w:lineRule="auto"/>
        <w:rPr>
          <w:sz w:val="20"/>
          <w:szCs w:val="20"/>
          <w:color w:val="auto"/>
        </w:rPr>
      </w:pPr>
      <w:r>
        <w:rPr>
          <w:rFonts w:ascii="Arial" w:cs="Arial" w:eastAsia="Arial" w:hAnsi="Arial"/>
          <w:sz w:val="15"/>
          <w:szCs w:val="15"/>
          <w:color w:val="auto"/>
        </w:rPr>
        <w:t>The table below shows the total revenues from the Sempra Utilities in Sempra Energy's Statements of Consolidated Income, which are net of sales taxes, for each of the last three years. The revenues include amounts for services rendered but unbilled (approximately one-half month's deliveries) at the end of each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1134110</wp:posOffset>
            </wp:positionH>
            <wp:positionV relativeFrom="paragraph">
              <wp:posOffset>196215</wp:posOffset>
            </wp:positionV>
            <wp:extent cx="4996180" cy="26670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4996180" cy="266700"/>
                    </a:xfrm>
                    <a:prstGeom prst="rect">
                      <a:avLst/>
                    </a:prstGeom>
                    <a:noFill/>
                  </pic:spPr>
                </pic:pic>
              </a:graphicData>
            </a:graphic>
          </wp:anchor>
        </w:drawing>
      </w:r>
    </w:p>
    <w:p>
      <w:pPr>
        <w:spacing w:after="0" w:line="297" w:lineRule="exact"/>
        <w:rPr>
          <w:sz w:val="20"/>
          <w:szCs w:val="20"/>
          <w:color w:val="auto"/>
        </w:rPr>
      </w:pPr>
    </w:p>
    <w:p>
      <w:pPr>
        <w:ind w:left="1800"/>
        <w:spacing w:after="0"/>
        <w:rPr>
          <w:sz w:val="20"/>
          <w:szCs w:val="20"/>
          <w:color w:val="auto"/>
        </w:rPr>
      </w:pPr>
      <w:r>
        <w:rPr>
          <w:rFonts w:ascii="Arial" w:cs="Arial" w:eastAsia="Arial" w:hAnsi="Arial"/>
          <w:sz w:val="14"/>
          <w:szCs w:val="14"/>
          <w:b w:val="1"/>
          <w:bCs w:val="1"/>
          <w:color w:val="auto"/>
        </w:rPr>
        <w:t>TOTAL SEMPRA UTILITIES REVENUES AT SEMPRA ENERGY CONSOLIDATED*</w:t>
      </w:r>
    </w:p>
    <w:p>
      <w:pPr>
        <w:spacing w:after="0" w:line="76" w:lineRule="exact"/>
        <w:rPr>
          <w:sz w:val="20"/>
          <w:szCs w:val="20"/>
          <w:color w:val="auto"/>
        </w:rPr>
      </w:pPr>
    </w:p>
    <w:tbl>
      <w:tblPr>
        <w:tblLayout w:type="fixed"/>
        <w:tblInd w:w="1780" w:type="dxa"/>
        <w:tblCellMar>
          <w:top w:w="0" w:type="dxa"/>
          <w:left w:w="0" w:type="dxa"/>
          <w:bottom w:w="0" w:type="dxa"/>
          <w:right w:w="0" w:type="dxa"/>
        </w:tblCellMar>
      </w:tblPr>
      <w:tr>
        <w:trPr>
          <w:trHeight w:val="166"/>
        </w:trPr>
        <w:tc>
          <w:tcPr>
            <w:tcW w:w="2260" w:type="dxa"/>
            <w:vAlign w:val="bottom"/>
          </w:tcPr>
          <w:p>
            <w:pPr>
              <w:ind w:left="20"/>
              <w:spacing w:after="0"/>
              <w:rPr>
                <w:sz w:val="20"/>
                <w:szCs w:val="20"/>
                <w:color w:val="auto"/>
              </w:rPr>
            </w:pPr>
            <w:r>
              <w:rPr>
                <w:rFonts w:ascii="Arial" w:cs="Arial" w:eastAsia="Arial" w:hAnsi="Arial"/>
                <w:sz w:val="13"/>
                <w:szCs w:val="13"/>
                <w:i w:val="1"/>
                <w:iCs w:val="1"/>
                <w:color w:val="auto"/>
              </w:rPr>
              <w:t>(Dollars in billions)</w:t>
            </w: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209"/>
        </w:trPr>
        <w:tc>
          <w:tcPr>
            <w:tcW w:w="2260" w:type="dxa"/>
            <w:vAlign w:val="bottom"/>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2320" w:type="dxa"/>
            <w:vAlign w:val="bottom"/>
            <w:tcBorders>
              <w:bottom w:val="single" w:sz="8" w:color="auto"/>
            </w:tcBorders>
            <w:gridSpan w:val="2"/>
          </w:tcPr>
          <w:p>
            <w:pPr>
              <w:jc w:val="right"/>
              <w:ind w:right="290"/>
              <w:spacing w:after="0"/>
              <w:rPr>
                <w:sz w:val="20"/>
                <w:szCs w:val="20"/>
                <w:color w:val="auto"/>
              </w:rPr>
            </w:pPr>
            <w:r>
              <w:rPr>
                <w:rFonts w:ascii="Arial" w:cs="Arial" w:eastAsia="Arial" w:hAnsi="Arial"/>
                <w:sz w:val="13"/>
                <w:szCs w:val="13"/>
                <w:color w:val="auto"/>
              </w:rPr>
              <w:t>Years ended December 31,</w:t>
            </w:r>
          </w:p>
        </w:tc>
        <w:tc>
          <w:tcPr>
            <w:tcW w:w="5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r>
      <w:tr>
        <w:trPr>
          <w:trHeight w:val="208"/>
        </w:trPr>
        <w:tc>
          <w:tcPr>
            <w:tcW w:w="22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470"/>
              <w:spacing w:after="0"/>
              <w:rPr>
                <w:sz w:val="20"/>
                <w:szCs w:val="20"/>
                <w:color w:val="auto"/>
              </w:rPr>
            </w:pPr>
            <w:r>
              <w:rPr>
                <w:rFonts w:ascii="Arial" w:cs="Arial" w:eastAsia="Arial" w:hAnsi="Arial"/>
                <w:sz w:val="13"/>
                <w:szCs w:val="13"/>
                <w:color w:val="auto"/>
              </w:rPr>
              <w:t>2008</w:t>
            </w:r>
          </w:p>
        </w:tc>
        <w:tc>
          <w:tcPr>
            <w:tcW w:w="9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930"/>
              <w:spacing w:after="0"/>
              <w:rPr>
                <w:sz w:val="20"/>
                <w:szCs w:val="20"/>
                <w:color w:val="auto"/>
              </w:rPr>
            </w:pPr>
            <w:r>
              <w:rPr>
                <w:rFonts w:ascii="Arial" w:cs="Arial" w:eastAsia="Arial" w:hAnsi="Arial"/>
                <w:sz w:val="13"/>
                <w:szCs w:val="13"/>
                <w:color w:val="auto"/>
              </w:rPr>
              <w:t>2007</w:t>
            </w:r>
          </w:p>
        </w:tc>
        <w:tc>
          <w:tcPr>
            <w:tcW w:w="5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750"/>
              <w:spacing w:after="0"/>
              <w:rPr>
                <w:sz w:val="20"/>
                <w:szCs w:val="20"/>
                <w:color w:val="auto"/>
              </w:rPr>
            </w:pPr>
            <w:r>
              <w:rPr>
                <w:rFonts w:ascii="Arial" w:cs="Arial" w:eastAsia="Arial" w:hAnsi="Arial"/>
                <w:sz w:val="13"/>
                <w:szCs w:val="13"/>
                <w:color w:val="auto"/>
              </w:rPr>
              <w:t>2006</w:t>
            </w:r>
          </w:p>
        </w:tc>
      </w:tr>
      <w:tr>
        <w:trPr>
          <w:trHeight w:val="207"/>
        </w:trPr>
        <w:tc>
          <w:tcPr>
            <w:tcW w:w="2260" w:type="dxa"/>
            <w:vAlign w:val="bottom"/>
          </w:tcPr>
          <w:p>
            <w:pPr>
              <w:ind w:left="20"/>
              <w:spacing w:after="0"/>
              <w:rPr>
                <w:sz w:val="20"/>
                <w:szCs w:val="20"/>
                <w:color w:val="auto"/>
              </w:rPr>
            </w:pPr>
            <w:r>
              <w:rPr>
                <w:rFonts w:ascii="Arial" w:cs="Arial" w:eastAsia="Arial" w:hAnsi="Arial"/>
                <w:sz w:val="14"/>
                <w:szCs w:val="14"/>
                <w:color w:val="auto"/>
              </w:rPr>
              <w:t>Natural gas revenues</w:t>
            </w: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330"/>
              <w:spacing w:after="0"/>
              <w:rPr>
                <w:sz w:val="20"/>
                <w:szCs w:val="20"/>
                <w:color w:val="auto"/>
              </w:rPr>
            </w:pPr>
            <w:r>
              <w:rPr>
                <w:rFonts w:ascii="Arial" w:cs="Arial" w:eastAsia="Arial" w:hAnsi="Arial"/>
                <w:sz w:val="14"/>
                <w:szCs w:val="14"/>
                <w:color w:val="auto"/>
              </w:rPr>
              <w:t>5.4</w:t>
            </w:r>
          </w:p>
        </w:tc>
        <w:tc>
          <w:tcPr>
            <w:tcW w:w="960" w:type="dxa"/>
            <w:vAlign w:val="bottom"/>
          </w:tcPr>
          <w:p>
            <w:pPr>
              <w:jc w:val="right"/>
              <w:ind w:right="31"/>
              <w:spacing w:after="0"/>
              <w:rPr>
                <w:sz w:val="20"/>
                <w:szCs w:val="20"/>
                <w:color w:val="auto"/>
              </w:rPr>
            </w:pPr>
            <w:r>
              <w:rPr>
                <w:rFonts w:ascii="Arial" w:cs="Arial" w:eastAsia="Arial" w:hAnsi="Arial"/>
                <w:sz w:val="14"/>
                <w:szCs w:val="14"/>
                <w:color w:val="auto"/>
              </w:rPr>
              <w:t>$</w:t>
            </w:r>
          </w:p>
        </w:tc>
        <w:tc>
          <w:tcPr>
            <w:tcW w:w="1360" w:type="dxa"/>
            <w:vAlign w:val="bottom"/>
          </w:tcPr>
          <w:p>
            <w:pPr>
              <w:jc w:val="right"/>
              <w:ind w:right="770"/>
              <w:spacing w:after="0"/>
              <w:rPr>
                <w:sz w:val="20"/>
                <w:szCs w:val="20"/>
                <w:color w:val="auto"/>
              </w:rPr>
            </w:pPr>
            <w:r>
              <w:rPr>
                <w:rFonts w:ascii="Arial" w:cs="Arial" w:eastAsia="Arial" w:hAnsi="Arial"/>
                <w:sz w:val="14"/>
                <w:szCs w:val="14"/>
                <w:color w:val="auto"/>
              </w:rPr>
              <w:t>4.9</w:t>
            </w:r>
          </w:p>
        </w:tc>
        <w:tc>
          <w:tcPr>
            <w:tcW w:w="500" w:type="dxa"/>
            <w:vAlign w:val="bottom"/>
          </w:tcPr>
          <w:p>
            <w:pPr>
              <w:jc w:val="right"/>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570"/>
              <w:spacing w:after="0"/>
              <w:rPr>
                <w:sz w:val="20"/>
                <w:szCs w:val="20"/>
                <w:color w:val="auto"/>
              </w:rPr>
            </w:pPr>
            <w:r>
              <w:rPr>
                <w:rFonts w:ascii="Arial" w:cs="Arial" w:eastAsia="Arial" w:hAnsi="Arial"/>
                <w:sz w:val="14"/>
                <w:szCs w:val="14"/>
                <w:color w:val="auto"/>
              </w:rPr>
              <w:t>4.8</w:t>
            </w:r>
          </w:p>
        </w:tc>
      </w:tr>
      <w:tr>
        <w:trPr>
          <w:trHeight w:val="222"/>
        </w:trPr>
        <w:tc>
          <w:tcPr>
            <w:tcW w:w="2260" w:type="dxa"/>
            <w:vAlign w:val="bottom"/>
          </w:tcPr>
          <w:p>
            <w:pPr>
              <w:ind w:left="20"/>
              <w:spacing w:after="0"/>
              <w:rPr>
                <w:sz w:val="20"/>
                <w:szCs w:val="20"/>
                <w:color w:val="auto"/>
              </w:rPr>
            </w:pPr>
            <w:r>
              <w:rPr>
                <w:rFonts w:ascii="Arial" w:cs="Arial" w:eastAsia="Arial" w:hAnsi="Arial"/>
                <w:sz w:val="14"/>
                <w:szCs w:val="14"/>
                <w:color w:val="auto"/>
              </w:rPr>
              <w:t>Electric revenues</w:t>
            </w:r>
          </w:p>
        </w:tc>
        <w:tc>
          <w:tcPr>
            <w:tcW w:w="7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30"/>
              <w:spacing w:after="0"/>
              <w:rPr>
                <w:sz w:val="20"/>
                <w:szCs w:val="20"/>
                <w:color w:val="auto"/>
              </w:rPr>
            </w:pPr>
            <w:r>
              <w:rPr>
                <w:rFonts w:ascii="Arial" w:cs="Arial" w:eastAsia="Arial" w:hAnsi="Arial"/>
                <w:sz w:val="14"/>
                <w:szCs w:val="14"/>
                <w:color w:val="auto"/>
              </w:rPr>
              <w:t>2.6</w:t>
            </w:r>
          </w:p>
        </w:tc>
        <w:tc>
          <w:tcPr>
            <w:tcW w:w="9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770"/>
              <w:spacing w:after="0"/>
              <w:rPr>
                <w:sz w:val="20"/>
                <w:szCs w:val="20"/>
                <w:color w:val="auto"/>
              </w:rPr>
            </w:pPr>
            <w:r>
              <w:rPr>
                <w:rFonts w:ascii="Arial" w:cs="Arial" w:eastAsia="Arial" w:hAnsi="Arial"/>
                <w:sz w:val="14"/>
                <w:szCs w:val="14"/>
                <w:color w:val="auto"/>
              </w:rPr>
              <w:t>2.2</w:t>
            </w:r>
          </w:p>
        </w:tc>
        <w:tc>
          <w:tcPr>
            <w:tcW w:w="5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570"/>
              <w:spacing w:after="0"/>
              <w:rPr>
                <w:sz w:val="20"/>
                <w:szCs w:val="20"/>
                <w:color w:val="auto"/>
              </w:rPr>
            </w:pPr>
            <w:r>
              <w:rPr>
                <w:rFonts w:ascii="Arial" w:cs="Arial" w:eastAsia="Arial" w:hAnsi="Arial"/>
                <w:sz w:val="14"/>
                <w:szCs w:val="14"/>
                <w:color w:val="auto"/>
              </w:rPr>
              <w:t>2.1</w:t>
            </w:r>
          </w:p>
        </w:tc>
      </w:tr>
      <w:tr>
        <w:trPr>
          <w:trHeight w:val="224"/>
        </w:trPr>
        <w:tc>
          <w:tcPr>
            <w:tcW w:w="22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Total</w:t>
            </w:r>
          </w:p>
        </w:tc>
        <w:tc>
          <w:tcPr>
            <w:tcW w:w="7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ind w:right="330"/>
              <w:spacing w:after="0"/>
              <w:rPr>
                <w:sz w:val="20"/>
                <w:szCs w:val="20"/>
                <w:color w:val="auto"/>
              </w:rPr>
            </w:pPr>
            <w:r>
              <w:rPr>
                <w:rFonts w:ascii="Arial" w:cs="Arial" w:eastAsia="Arial" w:hAnsi="Arial"/>
                <w:sz w:val="14"/>
                <w:szCs w:val="14"/>
                <w:color w:val="auto"/>
              </w:rPr>
              <w:t>8.0</w:t>
            </w:r>
          </w:p>
        </w:tc>
        <w:tc>
          <w:tcPr>
            <w:tcW w:w="96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color w:val="auto"/>
              </w:rPr>
              <w:t>$</w:t>
            </w:r>
          </w:p>
        </w:tc>
        <w:tc>
          <w:tcPr>
            <w:tcW w:w="1360" w:type="dxa"/>
            <w:vAlign w:val="bottom"/>
            <w:tcBorders>
              <w:bottom w:val="single" w:sz="8" w:color="auto"/>
            </w:tcBorders>
          </w:tcPr>
          <w:p>
            <w:pPr>
              <w:jc w:val="right"/>
              <w:ind w:right="770"/>
              <w:spacing w:after="0"/>
              <w:rPr>
                <w:sz w:val="20"/>
                <w:szCs w:val="20"/>
                <w:color w:val="auto"/>
              </w:rPr>
            </w:pPr>
            <w:r>
              <w:rPr>
                <w:rFonts w:ascii="Arial" w:cs="Arial" w:eastAsia="Arial" w:hAnsi="Arial"/>
                <w:sz w:val="14"/>
                <w:szCs w:val="14"/>
                <w:color w:val="auto"/>
              </w:rPr>
              <w:t>7.1</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tcPr>
          <w:p>
            <w:pPr>
              <w:jc w:val="right"/>
              <w:ind w:right="570"/>
              <w:spacing w:after="0"/>
              <w:rPr>
                <w:sz w:val="20"/>
                <w:szCs w:val="20"/>
                <w:color w:val="auto"/>
              </w:rPr>
            </w:pPr>
            <w:r>
              <w:rPr>
                <w:rFonts w:ascii="Arial" w:cs="Arial" w:eastAsia="Arial" w:hAnsi="Arial"/>
                <w:sz w:val="14"/>
                <w:szCs w:val="14"/>
                <w:color w:val="auto"/>
              </w:rPr>
              <w:t>6.9</w:t>
            </w:r>
          </w:p>
        </w:tc>
      </w:tr>
    </w:tbl>
    <w:p>
      <w:pPr>
        <w:spacing w:after="0" w:line="16" w:lineRule="exact"/>
        <w:rPr>
          <w:sz w:val="20"/>
          <w:szCs w:val="20"/>
          <w:color w:val="auto"/>
        </w:rPr>
      </w:pPr>
    </w:p>
    <w:p>
      <w:pPr>
        <w:ind w:left="2100" w:hanging="308"/>
        <w:spacing w:after="0"/>
        <w:tabs>
          <w:tab w:leader="none" w:pos="2100" w:val="left"/>
        </w:tabs>
        <w:numPr>
          <w:ilvl w:val="0"/>
          <w:numId w:val="326"/>
        </w:numPr>
        <w:rPr>
          <w:rFonts w:ascii="Arial" w:cs="Arial" w:eastAsia="Arial" w:hAnsi="Arial"/>
          <w:sz w:val="13"/>
          <w:szCs w:val="13"/>
          <w:i w:val="1"/>
          <w:iCs w:val="1"/>
          <w:color w:val="auto"/>
        </w:rPr>
      </w:pPr>
      <w:r>
        <w:rPr>
          <w:rFonts w:ascii="Arial" w:cs="Arial" w:eastAsia="Arial" w:hAnsi="Arial"/>
          <w:sz w:val="13"/>
          <w:szCs w:val="13"/>
          <w:i w:val="1"/>
          <w:iCs w:val="1"/>
          <w:color w:val="auto"/>
        </w:rPr>
        <w:t>Excludes intercompany revenues.</w:t>
      </w:r>
    </w:p>
    <w:p>
      <w:pPr>
        <w:spacing w:after="0" w:line="206" w:lineRule="exact"/>
        <w:rPr>
          <w:sz w:val="20"/>
          <w:szCs w:val="20"/>
          <w:color w:val="auto"/>
        </w:rPr>
      </w:pPr>
    </w:p>
    <w:p>
      <w:pPr>
        <w:jc w:val="both"/>
        <w:ind w:right="240"/>
        <w:spacing w:after="0" w:line="289" w:lineRule="auto"/>
        <w:rPr>
          <w:sz w:val="20"/>
          <w:szCs w:val="20"/>
          <w:color w:val="auto"/>
        </w:rPr>
      </w:pPr>
      <w:r>
        <w:rPr>
          <w:rFonts w:ascii="Arial" w:cs="Arial" w:eastAsia="Arial" w:hAnsi="Arial"/>
          <w:sz w:val="15"/>
          <w:szCs w:val="15"/>
          <w:color w:val="auto"/>
        </w:rPr>
        <w:t>As discussed in Note 15, beginning April 1, 2008, the SDG&amp;E and SoCalGas core natural gas supply portfolios were combined and are managed by SoCalGas. Effective as of that date, SoCalGas procures natural gas for SDG&amp;E’s core customers. Core customers are primarily residential and small commercial and industrial customers. This core gas procurement function is considered a shared service, therefore amounts related to SDG&amp;E are not included in SoCalGas' income statement.</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color w:val="auto"/>
        </w:rPr>
        <w:t>We provide additional information concerning utility revenue recognition in "Regulatory Matters" above.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Sempra Global</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Sempra Commodities</w:t>
      </w:r>
    </w:p>
    <w:p>
      <w:pPr>
        <w:spacing w:after="0" w:line="23" w:lineRule="exact"/>
        <w:rPr>
          <w:sz w:val="20"/>
          <w:szCs w:val="20"/>
          <w:color w:val="auto"/>
        </w:rPr>
      </w:pPr>
    </w:p>
    <w:p>
      <w:pPr>
        <w:ind w:right="20"/>
        <w:spacing w:after="0" w:line="256" w:lineRule="auto"/>
        <w:rPr>
          <w:sz w:val="20"/>
          <w:szCs w:val="20"/>
          <w:color w:val="auto"/>
        </w:rPr>
      </w:pPr>
      <w:r>
        <w:rPr>
          <w:rFonts w:ascii="Arial" w:cs="Arial" w:eastAsia="Arial" w:hAnsi="Arial"/>
          <w:sz w:val="16"/>
          <w:szCs w:val="16"/>
          <w:color w:val="auto"/>
        </w:rPr>
        <w:t>As we discuss in Notes 3 and 4, on April 1, 2008, our commodities-marketing businesses, previously wholly owned subsidiaries of Sempra Energy, were sold into RBS Sempra Commodities, a partnership jointly owned by Sempra Energy and The Royal Bank of Scotland. Therefore, beginning April 1, 2008, we account for our earnings in the partnership under the equity method. RBS Sempra Commodities generates most of its revenues from trading and marketing activities in natural gas, electricity, petroleum, petroleum products, base metals and other commodities. RBS Sempra Commodities quotes bid and ask prices to end users and other market makers. It also earns trading profits as a dealer by structuring and executing transactions. Principal transaction revenues are recognized on a trade-date basis and include realized gains and losses and the net change in unrealized gains and losses.</w:t>
      </w:r>
    </w:p>
    <w:p>
      <w:pPr>
        <w:spacing w:after="0" w:line="48" w:lineRule="exact"/>
        <w:rPr>
          <w:sz w:val="20"/>
          <w:szCs w:val="20"/>
          <w:color w:val="auto"/>
        </w:rPr>
      </w:pPr>
    </w:p>
    <w:p>
      <w:pPr>
        <w:ind w:right="380"/>
        <w:spacing w:after="0" w:line="277" w:lineRule="auto"/>
        <w:rPr>
          <w:sz w:val="20"/>
          <w:szCs w:val="20"/>
          <w:color w:val="auto"/>
        </w:rPr>
      </w:pPr>
      <w:r>
        <w:rPr>
          <w:rFonts w:ascii="Arial" w:cs="Arial" w:eastAsia="Arial" w:hAnsi="Arial"/>
          <w:sz w:val="16"/>
          <w:szCs w:val="16"/>
          <w:color w:val="auto"/>
        </w:rPr>
        <w:t>RBS Sempra Commodities uses derivative instruments (which we discuss further in Note 11) to reduce its exposure to unfavorable changes in market prices. Non-derivative contracts are accounted for on an accrual basis and the related profit or loss is recognized as the contracts are settled.</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Sempra Generation</w:t>
      </w:r>
    </w:p>
    <w:p>
      <w:pPr>
        <w:spacing w:after="0" w:line="23" w:lineRule="exact"/>
        <w:rPr>
          <w:sz w:val="20"/>
          <w:szCs w:val="20"/>
          <w:color w:val="auto"/>
        </w:rPr>
      </w:pPr>
    </w:p>
    <w:p>
      <w:pPr>
        <w:jc w:val="both"/>
        <w:spacing w:after="0" w:line="319" w:lineRule="auto"/>
        <w:rPr>
          <w:sz w:val="20"/>
          <w:szCs w:val="20"/>
          <w:color w:val="auto"/>
        </w:rPr>
      </w:pPr>
      <w:r>
        <w:rPr>
          <w:rFonts w:ascii="Arial" w:cs="Arial" w:eastAsia="Arial" w:hAnsi="Arial"/>
          <w:sz w:val="14"/>
          <w:szCs w:val="14"/>
          <w:color w:val="auto"/>
        </w:rPr>
        <w:t>Sempra Generation generates revenues primarily from selling electricity to governmental and wholesale power marketing entities. These revenues are recognized as the electricity is delivered. In each of 2008, 2007 and 2006, Sempra Generation's electricity sales to the DWR accounted for a significant portion of its revenues. Sempra Generation’s revenues also include net realized gains and losses and the net change in the fair value of unrealized gains and losses on derivative contracts for power and natural gas.</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Sempra Pipelines &amp; Storage</w:t>
      </w:r>
    </w:p>
    <w:p>
      <w:pPr>
        <w:spacing w:after="0" w:line="23" w:lineRule="exact"/>
        <w:rPr>
          <w:sz w:val="20"/>
          <w:szCs w:val="20"/>
          <w:color w:val="auto"/>
        </w:rPr>
      </w:pPr>
    </w:p>
    <w:p>
      <w:pPr>
        <w:ind w:right="140"/>
        <w:spacing w:after="0" w:line="264" w:lineRule="auto"/>
        <w:rPr>
          <w:sz w:val="20"/>
          <w:szCs w:val="20"/>
          <w:color w:val="auto"/>
        </w:rPr>
      </w:pPr>
      <w:r>
        <w:rPr>
          <w:rFonts w:ascii="Arial" w:cs="Arial" w:eastAsia="Arial" w:hAnsi="Arial"/>
          <w:sz w:val="16"/>
          <w:szCs w:val="16"/>
          <w:color w:val="auto"/>
        </w:rPr>
        <w:t>Sempra Pipelines &amp; Storage has consolidated foreign subsidiaries in Mexico that recognize revenues on the sale, transportation and distribution of natural gas as deliveries are made. Sempra Pipelines &amp; Storage's natural gas storage and transportation operations recognize revenues when they provide services in accordance with contractual agreements for the storage and transportation services.</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4"/>
          <w:szCs w:val="14"/>
          <w:color w:val="auto"/>
        </w:rPr>
        <w:t>108</w:t>
      </w:r>
    </w:p>
    <w:p>
      <w:pPr>
        <w:sectPr>
          <w:pgSz w:w="11900" w:h="16838" w:orient="portrait"/>
          <w:cols w:equalWidth="0" w:num="1">
            <w:col w:w="11440"/>
          </w:cols>
          <w:pgMar w:left="240" w:top="127" w:right="219" w:bottom="1440" w:gutter="0" w:footer="0" w:header="0"/>
        </w:sectPr>
      </w:pPr>
    </w:p>
    <w:bookmarkStart w:id="248" w:name="page249"/>
    <w:bookmarkEnd w:id="248"/>
    <w:p>
      <w:pPr>
        <w:spacing w:after="0"/>
        <w:rPr>
          <w:sz w:val="20"/>
          <w:szCs w:val="20"/>
          <w:color w:val="auto"/>
        </w:rPr>
      </w:pPr>
      <w:r>
        <w:rPr>
          <w:rFonts w:ascii="Arial" w:cs="Arial" w:eastAsia="Arial" w:hAnsi="Arial"/>
          <w:sz w:val="18"/>
          <w:szCs w:val="18"/>
          <w:i w:val="1"/>
          <w:iCs w:val="1"/>
          <w:color w:val="auto"/>
        </w:rPr>
        <w:t>Sempra LNG</w:t>
      </w:r>
    </w:p>
    <w:p>
      <w:pPr>
        <w:spacing w:after="0" w:line="23" w:lineRule="exact"/>
        <w:rPr>
          <w:sz w:val="20"/>
          <w:szCs w:val="20"/>
          <w:color w:val="auto"/>
        </w:rPr>
      </w:pPr>
    </w:p>
    <w:p>
      <w:pPr>
        <w:ind w:right="420"/>
        <w:spacing w:after="0" w:line="351" w:lineRule="auto"/>
        <w:rPr>
          <w:sz w:val="20"/>
          <w:szCs w:val="20"/>
          <w:color w:val="auto"/>
        </w:rPr>
      </w:pPr>
      <w:r>
        <w:rPr>
          <w:rFonts w:ascii="Arial" w:cs="Arial" w:eastAsia="Arial" w:hAnsi="Arial"/>
          <w:sz w:val="14"/>
          <w:szCs w:val="14"/>
          <w:color w:val="auto"/>
        </w:rPr>
        <w:t>Sempra LNG recognizes revenues on the sale of natural gas as deliveries are made and under capacity agreements as regasification services are performed. Sempra LNG’s revenues also include net realized gains and losses and the net change in the fair value of unrealized gains and losses on derivative contracts for natural gas.</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OTHER COST OF SALES</w:t>
      </w:r>
    </w:p>
    <w:p>
      <w:pPr>
        <w:spacing w:after="0" w:line="89" w:lineRule="exact"/>
        <w:rPr>
          <w:sz w:val="20"/>
          <w:szCs w:val="20"/>
          <w:color w:val="auto"/>
        </w:rPr>
      </w:pPr>
    </w:p>
    <w:p>
      <w:pPr>
        <w:ind w:right="200"/>
        <w:spacing w:after="0" w:line="277" w:lineRule="auto"/>
        <w:rPr>
          <w:sz w:val="20"/>
          <w:szCs w:val="20"/>
          <w:color w:val="auto"/>
        </w:rPr>
      </w:pPr>
      <w:r>
        <w:rPr>
          <w:rFonts w:ascii="Arial" w:cs="Arial" w:eastAsia="Arial" w:hAnsi="Arial"/>
          <w:sz w:val="16"/>
          <w:szCs w:val="16"/>
          <w:color w:val="auto"/>
        </w:rPr>
        <w:t>Other Cost of Sales primarily includes the transportation and storage costs incurred at Sempra Commodities prior to April 1, 2008 and transportation costs incurred at Sempra LNG.</w:t>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OPERATION AND MAINTENANCE EXPENSES</w:t>
      </w:r>
    </w:p>
    <w:p>
      <w:pPr>
        <w:spacing w:after="0" w:line="89" w:lineRule="exact"/>
        <w:rPr>
          <w:sz w:val="20"/>
          <w:szCs w:val="20"/>
          <w:color w:val="auto"/>
        </w:rPr>
      </w:pPr>
    </w:p>
    <w:p>
      <w:pPr>
        <w:ind w:right="40"/>
        <w:spacing w:after="0" w:line="277" w:lineRule="auto"/>
        <w:rPr>
          <w:sz w:val="20"/>
          <w:szCs w:val="20"/>
          <w:color w:val="auto"/>
        </w:rPr>
      </w:pPr>
      <w:r>
        <w:rPr>
          <w:rFonts w:ascii="Arial" w:cs="Arial" w:eastAsia="Arial" w:hAnsi="Arial"/>
          <w:sz w:val="16"/>
          <w:szCs w:val="16"/>
          <w:color w:val="auto"/>
        </w:rPr>
        <w:t>Operation and Maintenance includes operating and maintenance costs, and general and administrative costs, which consist primarily of personnel costs, purchased materials and services, and rent.</w:t>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FOREIGN CURRENCY TRANSLATION</w:t>
      </w:r>
    </w:p>
    <w:p>
      <w:pPr>
        <w:spacing w:after="0" w:line="89" w:lineRule="exact"/>
        <w:rPr>
          <w:sz w:val="20"/>
          <w:szCs w:val="20"/>
          <w:color w:val="auto"/>
        </w:rPr>
      </w:pPr>
    </w:p>
    <w:p>
      <w:pPr>
        <w:spacing w:after="0" w:line="259" w:lineRule="auto"/>
        <w:rPr>
          <w:sz w:val="20"/>
          <w:szCs w:val="20"/>
          <w:color w:val="auto"/>
        </w:rPr>
      </w:pPr>
      <w:r>
        <w:rPr>
          <w:rFonts w:ascii="Arial" w:cs="Arial" w:eastAsia="Arial" w:hAnsi="Arial"/>
          <w:sz w:val="16"/>
          <w:szCs w:val="16"/>
          <w:color w:val="auto"/>
        </w:rPr>
        <w:t>Our foreign operations generally use their local currency as their functional currency. The assets and liabilities of our foreign operations are translated into U.S. dollars at current exchange rates at the end of the reporting period, and revenues and expenses are translated at average exchange rates for the year. Resulting translation adjustments do not enter into the calculation of net income or retained earnings (unless the operation is being discontinued), but are reflected in Comprehensive Income and in Accumulated Other Comprehensive Income (Loss), a component of shareholders' equity.</w:t>
      </w:r>
    </w:p>
    <w:p>
      <w:pPr>
        <w:spacing w:after="0" w:line="47" w:lineRule="exact"/>
        <w:rPr>
          <w:sz w:val="20"/>
          <w:szCs w:val="20"/>
          <w:color w:val="auto"/>
        </w:rPr>
      </w:pPr>
    </w:p>
    <w:p>
      <w:pPr>
        <w:ind w:right="480"/>
        <w:spacing w:after="0" w:line="277" w:lineRule="auto"/>
        <w:rPr>
          <w:sz w:val="20"/>
          <w:szCs w:val="20"/>
          <w:color w:val="auto"/>
        </w:rPr>
      </w:pPr>
      <w:r>
        <w:rPr>
          <w:rFonts w:ascii="Arial" w:cs="Arial" w:eastAsia="Arial" w:hAnsi="Arial"/>
          <w:sz w:val="16"/>
          <w:szCs w:val="16"/>
          <w:color w:val="auto"/>
        </w:rPr>
        <w:t>To reflect the fluctuations in the values of functional currencies of Sempra Pipelines &amp; Storage’s South American investments accounted for under the equity method, the following adjustments were made to the carrying value of these investments (dollars in millions):</w:t>
      </w:r>
    </w:p>
    <w:p>
      <w:pPr>
        <w:spacing w:after="0" w:line="85" w:lineRule="exact"/>
        <w:rPr>
          <w:sz w:val="20"/>
          <w:szCs w:val="20"/>
          <w:color w:val="auto"/>
        </w:rPr>
      </w:pPr>
    </w:p>
    <w:tbl>
      <w:tblPr>
        <w:tblLayout w:type="fixed"/>
        <w:tblInd w:w="3280" w:type="dxa"/>
        <w:tblCellMar>
          <w:top w:w="0" w:type="dxa"/>
          <w:left w:w="0" w:type="dxa"/>
          <w:bottom w:w="0" w:type="dxa"/>
          <w:right w:w="0" w:type="dxa"/>
        </w:tblCellMar>
      </w:tblPr>
      <w:tr>
        <w:trPr>
          <w:trHeight w:val="154"/>
        </w:trPr>
        <w:tc>
          <w:tcPr>
            <w:tcW w:w="96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1900" w:type="dxa"/>
            <w:vAlign w:val="bottom"/>
            <w:gridSpan w:val="3"/>
          </w:tcPr>
          <w:p>
            <w:pPr>
              <w:jc w:val="right"/>
              <w:spacing w:after="0"/>
              <w:rPr>
                <w:sz w:val="20"/>
                <w:szCs w:val="20"/>
                <w:color w:val="auto"/>
              </w:rPr>
            </w:pPr>
            <w:r>
              <w:rPr>
                <w:rFonts w:ascii="Arial" w:cs="Arial" w:eastAsia="Arial" w:hAnsi="Arial"/>
                <w:sz w:val="13"/>
                <w:szCs w:val="13"/>
                <w:color w:val="auto"/>
                <w:w w:val="99"/>
              </w:rPr>
              <w:t>Upward (downward) adjustment</w:t>
            </w:r>
          </w:p>
        </w:tc>
      </w:tr>
      <w:tr>
        <w:trPr>
          <w:trHeight w:val="161"/>
        </w:trPr>
        <w:tc>
          <w:tcPr>
            <w:tcW w:w="96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40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color w:val="auto"/>
              </w:rPr>
              <w:t>to investments</w:t>
            </w:r>
          </w:p>
        </w:tc>
        <w:tc>
          <w:tcPr>
            <w:tcW w:w="500" w:type="dxa"/>
            <w:vAlign w:val="bottom"/>
            <w:tcBorders>
              <w:bottom w:val="single" w:sz="8" w:color="auto"/>
            </w:tcBorders>
          </w:tcPr>
          <w:p>
            <w:pPr>
              <w:spacing w:after="0"/>
              <w:rPr>
                <w:sz w:val="14"/>
                <w:szCs w:val="14"/>
                <w:color w:val="auto"/>
              </w:rPr>
            </w:pPr>
          </w:p>
        </w:tc>
      </w:tr>
      <w:tr>
        <w:trPr>
          <w:trHeight w:val="208"/>
        </w:trPr>
        <w:tc>
          <w:tcPr>
            <w:tcW w:w="96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Investment</w:t>
            </w:r>
          </w:p>
        </w:tc>
        <w:tc>
          <w:tcPr>
            <w:tcW w:w="2020" w:type="dxa"/>
            <w:vAlign w:val="bottom"/>
            <w:tcBorders>
              <w:bottom w:val="single" w:sz="8" w:color="auto"/>
            </w:tcBorders>
          </w:tcPr>
          <w:p>
            <w:pPr>
              <w:ind w:left="340"/>
              <w:spacing w:after="0"/>
              <w:rPr>
                <w:sz w:val="20"/>
                <w:szCs w:val="20"/>
                <w:color w:val="auto"/>
              </w:rPr>
            </w:pPr>
            <w:r>
              <w:rPr>
                <w:rFonts w:ascii="Arial" w:cs="Arial" w:eastAsia="Arial" w:hAnsi="Arial"/>
                <w:sz w:val="13"/>
                <w:szCs w:val="13"/>
                <w:color w:val="auto"/>
              </w:rPr>
              <w:t>Currency</w:t>
            </w:r>
          </w:p>
        </w:tc>
        <w:tc>
          <w:tcPr>
            <w:tcW w:w="760" w:type="dxa"/>
            <w:vAlign w:val="bottom"/>
            <w:tcBorders>
              <w:bottom w:val="single" w:sz="8" w:color="auto"/>
            </w:tcBorders>
          </w:tcPr>
          <w:p>
            <w:pPr>
              <w:jc w:val="right"/>
              <w:ind w:right="212"/>
              <w:spacing w:after="0"/>
              <w:rPr>
                <w:sz w:val="20"/>
                <w:szCs w:val="20"/>
                <w:color w:val="auto"/>
              </w:rPr>
            </w:pPr>
            <w:r>
              <w:rPr>
                <w:rFonts w:ascii="Arial" w:cs="Arial" w:eastAsia="Arial" w:hAnsi="Arial"/>
                <w:sz w:val="13"/>
                <w:szCs w:val="13"/>
                <w:color w:val="auto"/>
              </w:rPr>
              <w:t>2008</w:t>
            </w:r>
          </w:p>
        </w:tc>
        <w:tc>
          <w:tcPr>
            <w:tcW w:w="640" w:type="dxa"/>
            <w:vAlign w:val="bottom"/>
            <w:tcBorders>
              <w:bottom w:val="single" w:sz="8" w:color="auto"/>
            </w:tcBorders>
          </w:tcPr>
          <w:p>
            <w:pPr>
              <w:jc w:val="right"/>
              <w:ind w:right="210"/>
              <w:spacing w:after="0"/>
              <w:rPr>
                <w:sz w:val="20"/>
                <w:szCs w:val="20"/>
                <w:color w:val="auto"/>
              </w:rPr>
            </w:pPr>
            <w:r>
              <w:rPr>
                <w:rFonts w:ascii="Arial" w:cs="Arial" w:eastAsia="Arial" w:hAnsi="Arial"/>
                <w:sz w:val="13"/>
                <w:szCs w:val="13"/>
                <w:color w:val="auto"/>
              </w:rPr>
              <w:t>2007</w:t>
            </w:r>
          </w:p>
        </w:tc>
        <w:tc>
          <w:tcPr>
            <w:tcW w:w="500" w:type="dxa"/>
            <w:vAlign w:val="bottom"/>
            <w:tcBorders>
              <w:bottom w:val="single" w:sz="8" w:color="auto"/>
            </w:tcBorders>
          </w:tcPr>
          <w:p>
            <w:pPr>
              <w:jc w:val="right"/>
              <w:ind w:right="110"/>
              <w:spacing w:after="0"/>
              <w:rPr>
                <w:sz w:val="20"/>
                <w:szCs w:val="20"/>
                <w:color w:val="auto"/>
              </w:rPr>
            </w:pPr>
            <w:r>
              <w:rPr>
                <w:rFonts w:ascii="Arial" w:cs="Arial" w:eastAsia="Arial" w:hAnsi="Arial"/>
                <w:sz w:val="13"/>
                <w:szCs w:val="13"/>
                <w:color w:val="auto"/>
              </w:rPr>
              <w:t>2006</w:t>
            </w:r>
          </w:p>
        </w:tc>
      </w:tr>
      <w:tr>
        <w:trPr>
          <w:trHeight w:val="207"/>
        </w:trPr>
        <w:tc>
          <w:tcPr>
            <w:tcW w:w="960" w:type="dxa"/>
            <w:vAlign w:val="bottom"/>
          </w:tcPr>
          <w:p>
            <w:pPr>
              <w:ind w:left="20"/>
              <w:spacing w:after="0"/>
              <w:rPr>
                <w:sz w:val="20"/>
                <w:szCs w:val="20"/>
                <w:color w:val="auto"/>
              </w:rPr>
            </w:pPr>
            <w:r>
              <w:rPr>
                <w:rFonts w:ascii="Arial" w:cs="Arial" w:eastAsia="Arial" w:hAnsi="Arial"/>
                <w:sz w:val="14"/>
                <w:szCs w:val="14"/>
                <w:color w:val="auto"/>
              </w:rPr>
              <w:t>Chile</w:t>
            </w:r>
          </w:p>
        </w:tc>
        <w:tc>
          <w:tcPr>
            <w:tcW w:w="2020" w:type="dxa"/>
            <w:vAlign w:val="bottom"/>
          </w:tcPr>
          <w:p>
            <w:pPr>
              <w:ind w:left="340"/>
              <w:spacing w:after="0"/>
              <w:rPr>
                <w:sz w:val="20"/>
                <w:szCs w:val="20"/>
                <w:color w:val="auto"/>
              </w:rPr>
            </w:pPr>
            <w:r>
              <w:rPr>
                <w:rFonts w:ascii="Arial" w:cs="Arial" w:eastAsia="Arial" w:hAnsi="Arial"/>
                <w:sz w:val="14"/>
                <w:szCs w:val="14"/>
                <w:color w:val="auto"/>
              </w:rPr>
              <w:t>Chilean Peso</w:t>
            </w:r>
          </w:p>
        </w:tc>
        <w:tc>
          <w:tcPr>
            <w:tcW w:w="760" w:type="dxa"/>
            <w:vAlign w:val="bottom"/>
          </w:tcPr>
          <w:p>
            <w:pPr>
              <w:jc w:val="right"/>
              <w:ind w:right="12"/>
              <w:spacing w:after="0"/>
              <w:rPr>
                <w:sz w:val="20"/>
                <w:szCs w:val="20"/>
                <w:color w:val="auto"/>
              </w:rPr>
            </w:pPr>
            <w:r>
              <w:rPr>
                <w:rFonts w:ascii="Arial" w:cs="Arial" w:eastAsia="Arial" w:hAnsi="Arial"/>
                <w:sz w:val="14"/>
                <w:szCs w:val="14"/>
                <w:color w:val="auto"/>
              </w:rPr>
              <w:t>$ (101)</w:t>
            </w:r>
          </w:p>
        </w:tc>
        <w:tc>
          <w:tcPr>
            <w:tcW w:w="640" w:type="dxa"/>
            <w:vAlign w:val="bottom"/>
          </w:tcPr>
          <w:p>
            <w:pPr>
              <w:jc w:val="right"/>
              <w:ind w:right="110"/>
              <w:spacing w:after="0"/>
              <w:rPr>
                <w:sz w:val="20"/>
                <w:szCs w:val="20"/>
                <w:color w:val="auto"/>
              </w:rPr>
            </w:pPr>
            <w:r>
              <w:rPr>
                <w:rFonts w:ascii="Arial" w:cs="Arial" w:eastAsia="Arial" w:hAnsi="Arial"/>
                <w:sz w:val="14"/>
                <w:szCs w:val="14"/>
                <w:color w:val="auto"/>
              </w:rPr>
              <w:t>$ 29</w:t>
            </w:r>
          </w:p>
        </w:tc>
        <w:tc>
          <w:tcPr>
            <w:tcW w:w="500" w:type="dxa"/>
            <w:vAlign w:val="bottom"/>
          </w:tcPr>
          <w:p>
            <w:pPr>
              <w:jc w:val="right"/>
              <w:spacing w:after="0"/>
              <w:rPr>
                <w:sz w:val="20"/>
                <w:szCs w:val="20"/>
                <w:color w:val="auto"/>
              </w:rPr>
            </w:pPr>
            <w:r>
              <w:rPr>
                <w:rFonts w:ascii="Arial" w:cs="Arial" w:eastAsia="Arial" w:hAnsi="Arial"/>
                <w:sz w:val="14"/>
                <w:szCs w:val="14"/>
                <w:color w:val="auto"/>
              </w:rPr>
              <w:t>$ (15)</w:t>
            </w:r>
          </w:p>
        </w:tc>
      </w:tr>
      <w:tr>
        <w:trPr>
          <w:trHeight w:val="216"/>
        </w:trPr>
        <w:tc>
          <w:tcPr>
            <w:tcW w:w="960" w:type="dxa"/>
            <w:vAlign w:val="bottom"/>
          </w:tcPr>
          <w:p>
            <w:pPr>
              <w:ind w:left="20"/>
              <w:spacing w:after="0"/>
              <w:rPr>
                <w:sz w:val="20"/>
                <w:szCs w:val="20"/>
                <w:color w:val="auto"/>
              </w:rPr>
            </w:pPr>
            <w:r>
              <w:rPr>
                <w:rFonts w:ascii="Arial" w:cs="Arial" w:eastAsia="Arial" w:hAnsi="Arial"/>
                <w:sz w:val="14"/>
                <w:szCs w:val="14"/>
                <w:color w:val="auto"/>
              </w:rPr>
              <w:t>Peru</w:t>
            </w:r>
          </w:p>
        </w:tc>
        <w:tc>
          <w:tcPr>
            <w:tcW w:w="2020" w:type="dxa"/>
            <w:vAlign w:val="bottom"/>
          </w:tcPr>
          <w:p>
            <w:pPr>
              <w:ind w:left="340"/>
              <w:spacing w:after="0"/>
              <w:rPr>
                <w:sz w:val="20"/>
                <w:szCs w:val="20"/>
                <w:color w:val="auto"/>
              </w:rPr>
            </w:pPr>
            <w:r>
              <w:rPr>
                <w:rFonts w:ascii="Arial" w:cs="Arial" w:eastAsia="Arial" w:hAnsi="Arial"/>
                <w:sz w:val="14"/>
                <w:szCs w:val="14"/>
                <w:color w:val="auto"/>
              </w:rPr>
              <w:t>Peruvian Nuevo Sol</w:t>
            </w:r>
          </w:p>
        </w:tc>
        <w:tc>
          <w:tcPr>
            <w:tcW w:w="760" w:type="dxa"/>
            <w:vAlign w:val="bottom"/>
          </w:tcPr>
          <w:p>
            <w:pPr>
              <w:jc w:val="right"/>
              <w:ind w:right="12"/>
              <w:spacing w:after="0"/>
              <w:rPr>
                <w:sz w:val="20"/>
                <w:szCs w:val="20"/>
                <w:color w:val="auto"/>
              </w:rPr>
            </w:pPr>
            <w:r>
              <w:rPr>
                <w:rFonts w:ascii="Arial" w:cs="Arial" w:eastAsia="Arial" w:hAnsi="Arial"/>
                <w:sz w:val="14"/>
                <w:szCs w:val="14"/>
                <w:color w:val="auto"/>
              </w:rPr>
              <w:t>(7)</w:t>
            </w:r>
          </w:p>
        </w:tc>
        <w:tc>
          <w:tcPr>
            <w:tcW w:w="640" w:type="dxa"/>
            <w:vAlign w:val="bottom"/>
          </w:tcPr>
          <w:p>
            <w:pPr>
              <w:jc w:val="right"/>
              <w:ind w:right="110"/>
              <w:spacing w:after="0"/>
              <w:rPr>
                <w:sz w:val="20"/>
                <w:szCs w:val="20"/>
                <w:color w:val="auto"/>
              </w:rPr>
            </w:pPr>
            <w:r>
              <w:rPr>
                <w:rFonts w:ascii="Arial" w:cs="Arial" w:eastAsia="Arial" w:hAnsi="Arial"/>
                <w:sz w:val="14"/>
                <w:szCs w:val="14"/>
                <w:color w:val="auto"/>
              </w:rPr>
              <w:t>8</w:t>
            </w:r>
          </w:p>
        </w:tc>
        <w:tc>
          <w:tcPr>
            <w:tcW w:w="500" w:type="dxa"/>
            <w:vAlign w:val="bottom"/>
          </w:tcPr>
          <w:p>
            <w:pPr>
              <w:jc w:val="right"/>
              <w:spacing w:after="0"/>
              <w:rPr>
                <w:sz w:val="20"/>
                <w:szCs w:val="20"/>
                <w:color w:val="auto"/>
              </w:rPr>
            </w:pPr>
            <w:r>
              <w:rPr>
                <w:rFonts w:ascii="Arial" w:cs="Arial" w:eastAsia="Arial" w:hAnsi="Arial"/>
                <w:sz w:val="14"/>
                <w:szCs w:val="14"/>
                <w:color w:val="auto"/>
              </w:rPr>
              <w:t>7</w:t>
            </w:r>
          </w:p>
        </w:tc>
      </w:tr>
      <w:tr>
        <w:trPr>
          <w:trHeight w:val="250"/>
        </w:trPr>
        <w:tc>
          <w:tcPr>
            <w:tcW w:w="960" w:type="dxa"/>
            <w:vAlign w:val="bottom"/>
            <w:tcBorders>
              <w:bottom w:val="single" w:sz="8" w:color="DFDFDF"/>
            </w:tcBorders>
          </w:tcPr>
          <w:p>
            <w:pPr>
              <w:ind w:left="20"/>
              <w:spacing w:after="0"/>
              <w:rPr>
                <w:sz w:val="20"/>
                <w:szCs w:val="20"/>
                <w:color w:val="auto"/>
              </w:rPr>
            </w:pPr>
            <w:r>
              <w:rPr>
                <w:rFonts w:ascii="Arial" w:cs="Arial" w:eastAsia="Arial" w:hAnsi="Arial"/>
                <w:sz w:val="14"/>
                <w:szCs w:val="14"/>
                <w:color w:val="auto"/>
              </w:rPr>
              <w:t>Argentina</w:t>
            </w:r>
          </w:p>
        </w:tc>
        <w:tc>
          <w:tcPr>
            <w:tcW w:w="2020" w:type="dxa"/>
            <w:vAlign w:val="bottom"/>
            <w:tcBorders>
              <w:bottom w:val="single" w:sz="8" w:color="DFDFDF"/>
            </w:tcBorders>
          </w:tcPr>
          <w:p>
            <w:pPr>
              <w:ind w:left="340"/>
              <w:spacing w:after="0"/>
              <w:rPr>
                <w:sz w:val="20"/>
                <w:szCs w:val="20"/>
                <w:color w:val="auto"/>
              </w:rPr>
            </w:pPr>
            <w:r>
              <w:rPr>
                <w:rFonts w:ascii="Arial" w:cs="Arial" w:eastAsia="Arial" w:hAnsi="Arial"/>
                <w:sz w:val="14"/>
                <w:szCs w:val="14"/>
                <w:color w:val="auto"/>
              </w:rPr>
              <w:t>Argentine Peso</w:t>
            </w:r>
          </w:p>
        </w:tc>
        <w:tc>
          <w:tcPr>
            <w:tcW w:w="760" w:type="dxa"/>
            <w:vAlign w:val="bottom"/>
            <w:tcBorders>
              <w:bottom w:val="single" w:sz="8" w:color="DFDFDF"/>
            </w:tcBorders>
          </w:tcPr>
          <w:p>
            <w:pPr>
              <w:jc w:val="right"/>
              <w:ind w:right="12"/>
              <w:spacing w:after="0"/>
              <w:rPr>
                <w:sz w:val="20"/>
                <w:szCs w:val="20"/>
                <w:color w:val="auto"/>
              </w:rPr>
            </w:pPr>
            <w:r>
              <w:rPr>
                <w:rFonts w:ascii="Arial" w:cs="Arial" w:eastAsia="Arial" w:hAnsi="Arial"/>
                <w:sz w:val="14"/>
                <w:szCs w:val="14"/>
                <w:color w:val="auto"/>
              </w:rPr>
              <w:t>(8)</w:t>
            </w:r>
          </w:p>
        </w:tc>
        <w:tc>
          <w:tcPr>
            <w:tcW w:w="640" w:type="dxa"/>
            <w:vAlign w:val="bottom"/>
            <w:tcBorders>
              <w:bottom w:val="single" w:sz="8" w:color="DFDFDF"/>
            </w:tcBorders>
          </w:tcPr>
          <w:p>
            <w:pPr>
              <w:jc w:val="right"/>
              <w:ind w:right="70"/>
              <w:spacing w:after="0"/>
              <w:rPr>
                <w:sz w:val="20"/>
                <w:szCs w:val="20"/>
                <w:color w:val="auto"/>
              </w:rPr>
            </w:pPr>
            <w:r>
              <w:rPr>
                <w:rFonts w:ascii="Arial" w:cs="Arial" w:eastAsia="Arial" w:hAnsi="Arial"/>
                <w:sz w:val="14"/>
                <w:szCs w:val="14"/>
                <w:color w:val="auto"/>
              </w:rPr>
              <w:t>(2)</w:t>
            </w:r>
          </w:p>
        </w:tc>
        <w:tc>
          <w:tcPr>
            <w:tcW w:w="500" w:type="dxa"/>
            <w:vAlign w:val="bottom"/>
            <w:tcBorders>
              <w:bottom w:val="single" w:sz="8" w:color="DFDFDF"/>
            </w:tcBorders>
          </w:tcPr>
          <w:p>
            <w:pPr>
              <w:jc w:val="right"/>
              <w:spacing w:after="0"/>
              <w:rPr>
                <w:sz w:val="20"/>
                <w:szCs w:val="20"/>
                <w:color w:val="auto"/>
              </w:rPr>
            </w:pPr>
            <w:r>
              <w:rPr>
                <w:rFonts w:ascii="Arial" w:cs="Arial" w:eastAsia="Arial" w:hAnsi="Arial"/>
                <w:sz w:val="14"/>
                <w:szCs w:val="14"/>
                <w:color w:val="auto"/>
              </w:rPr>
              <w:t>(2)</w:t>
            </w:r>
          </w:p>
        </w:tc>
      </w:tr>
    </w:tbl>
    <w:p>
      <w:pPr>
        <w:spacing w:after="0" w:line="252" w:lineRule="exact"/>
        <w:rPr>
          <w:sz w:val="20"/>
          <w:szCs w:val="20"/>
          <w:color w:val="auto"/>
        </w:rPr>
      </w:pPr>
    </w:p>
    <w:p>
      <w:pPr>
        <w:ind w:right="180"/>
        <w:spacing w:after="0" w:line="340" w:lineRule="auto"/>
        <w:rPr>
          <w:sz w:val="20"/>
          <w:szCs w:val="20"/>
          <w:color w:val="auto"/>
        </w:rPr>
      </w:pPr>
      <w:r>
        <w:rPr>
          <w:rFonts w:ascii="Arial" w:cs="Arial" w:eastAsia="Arial" w:hAnsi="Arial"/>
          <w:sz w:val="14"/>
          <w:szCs w:val="14"/>
          <w:color w:val="auto"/>
        </w:rPr>
        <w:t>These noncash adjustments did not affect net income, but they did affect Comprehensive Income and Accumulated Other Comprehensive Income (Loss). Smaller adjustments have been made to other operations where the U.S. dollar is not the functional currency. We provide additional information concerning these investments in Note 4.</w:t>
      </w:r>
    </w:p>
    <w:p>
      <w:pPr>
        <w:ind w:right="260"/>
        <w:spacing w:after="0" w:line="277" w:lineRule="auto"/>
        <w:rPr>
          <w:sz w:val="20"/>
          <w:szCs w:val="20"/>
          <w:color w:val="auto"/>
        </w:rPr>
      </w:pPr>
      <w:r>
        <w:rPr>
          <w:rFonts w:ascii="Arial" w:cs="Arial" w:eastAsia="Arial" w:hAnsi="Arial"/>
          <w:sz w:val="16"/>
          <w:szCs w:val="16"/>
          <w:color w:val="auto"/>
        </w:rPr>
        <w:t>Currency transaction gains and losses in a currency other than the entity's functional currency are included in the calculation of consolidated net income at Sempra Energy as follows:</w:t>
      </w:r>
    </w:p>
    <w:p>
      <w:pPr>
        <w:spacing w:after="0" w:line="277" w:lineRule="exact"/>
        <w:rPr>
          <w:sz w:val="20"/>
          <w:szCs w:val="20"/>
          <w:color w:val="auto"/>
        </w:rPr>
      </w:pPr>
    </w:p>
    <w:tbl>
      <w:tblPr>
        <w:tblLayout w:type="fixed"/>
        <w:tblInd w:w="3020" w:type="dxa"/>
        <w:tblCellMar>
          <w:top w:w="0" w:type="dxa"/>
          <w:left w:w="0" w:type="dxa"/>
          <w:bottom w:w="0" w:type="dxa"/>
          <w:right w:w="0" w:type="dxa"/>
        </w:tblCellMar>
      </w:tblPr>
      <w:tr>
        <w:trPr>
          <w:trHeight w:val="154"/>
        </w:trPr>
        <w:tc>
          <w:tcPr>
            <w:tcW w:w="3240" w:type="dxa"/>
            <w:vAlign w:val="bottom"/>
          </w:tcPr>
          <w:p>
            <w:pPr>
              <w:spacing w:after="0"/>
              <w:rPr>
                <w:sz w:val="13"/>
                <w:szCs w:val="13"/>
                <w:color w:val="auto"/>
              </w:rPr>
            </w:pPr>
          </w:p>
        </w:tc>
        <w:tc>
          <w:tcPr>
            <w:tcW w:w="2160" w:type="dxa"/>
            <w:vAlign w:val="bottom"/>
            <w:gridSpan w:val="3"/>
          </w:tcPr>
          <w:p>
            <w:pPr>
              <w:ind w:left="300"/>
              <w:spacing w:after="0"/>
              <w:rPr>
                <w:sz w:val="20"/>
                <w:szCs w:val="20"/>
                <w:color w:val="auto"/>
              </w:rPr>
            </w:pPr>
            <w:r>
              <w:rPr>
                <w:rFonts w:ascii="Arial" w:cs="Arial" w:eastAsia="Arial" w:hAnsi="Arial"/>
                <w:sz w:val="13"/>
                <w:szCs w:val="13"/>
                <w:color w:val="auto"/>
              </w:rPr>
              <w:t>Years ended December 31,</w:t>
            </w:r>
          </w:p>
        </w:tc>
        <w:tc>
          <w:tcPr>
            <w:tcW w:w="0" w:type="dxa"/>
            <w:vAlign w:val="bottom"/>
          </w:tcPr>
          <w:p>
            <w:pPr>
              <w:spacing w:after="0"/>
              <w:rPr>
                <w:sz w:val="1"/>
                <w:szCs w:val="1"/>
                <w:color w:val="auto"/>
              </w:rPr>
            </w:pPr>
          </w:p>
        </w:tc>
      </w:tr>
      <w:tr>
        <w:trPr>
          <w:trHeight w:val="34"/>
        </w:trPr>
        <w:tc>
          <w:tcPr>
            <w:tcW w:w="3240" w:type="dxa"/>
            <w:vAlign w:val="bottom"/>
            <w:vMerge w:val="restart"/>
          </w:tcPr>
          <w:p>
            <w:pPr>
              <w:spacing w:after="0"/>
              <w:rPr>
                <w:sz w:val="20"/>
                <w:szCs w:val="20"/>
                <w:color w:val="auto"/>
              </w:rPr>
            </w:pPr>
            <w:r>
              <w:rPr>
                <w:rFonts w:ascii="Arial" w:cs="Arial" w:eastAsia="Arial" w:hAnsi="Arial"/>
                <w:sz w:val="13"/>
                <w:szCs w:val="13"/>
                <w:i w:val="1"/>
                <w:iCs w:val="1"/>
                <w:color w:val="auto"/>
              </w:rPr>
              <w:t>(Dollars in millions)</w:t>
            </w:r>
          </w:p>
        </w:tc>
        <w:tc>
          <w:tcPr>
            <w:tcW w:w="8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3240" w:type="dxa"/>
            <w:vAlign w:val="bottom"/>
            <w:tcBorders>
              <w:bottom w:val="single" w:sz="8" w:color="auto"/>
            </w:tcBorders>
            <w:vMerge w:val="continue"/>
          </w:tcPr>
          <w:p>
            <w:pPr>
              <w:spacing w:after="0"/>
              <w:rPr>
                <w:sz w:val="14"/>
                <w:szCs w:val="14"/>
                <w:color w:val="auto"/>
              </w:rPr>
            </w:pPr>
          </w:p>
        </w:tc>
        <w:tc>
          <w:tcPr>
            <w:tcW w:w="820" w:type="dxa"/>
            <w:vAlign w:val="bottom"/>
            <w:tcBorders>
              <w:bottom w:val="single" w:sz="8" w:color="auto"/>
            </w:tcBorders>
          </w:tcPr>
          <w:p>
            <w:pPr>
              <w:ind w:left="300"/>
              <w:spacing w:after="0"/>
              <w:rPr>
                <w:sz w:val="20"/>
                <w:szCs w:val="20"/>
                <w:color w:val="auto"/>
              </w:rPr>
            </w:pPr>
            <w:r>
              <w:rPr>
                <w:rFonts w:ascii="Arial" w:cs="Arial" w:eastAsia="Arial" w:hAnsi="Arial"/>
                <w:sz w:val="13"/>
                <w:szCs w:val="13"/>
                <w:color w:val="auto"/>
              </w:rPr>
              <w:t>2008</w:t>
            </w:r>
          </w:p>
        </w:tc>
        <w:tc>
          <w:tcPr>
            <w:tcW w:w="700" w:type="dxa"/>
            <w:vAlign w:val="bottom"/>
            <w:tcBorders>
              <w:bottom w:val="single" w:sz="8" w:color="auto"/>
            </w:tcBorders>
          </w:tcPr>
          <w:p>
            <w:pPr>
              <w:jc w:val="right"/>
              <w:ind w:right="112"/>
              <w:spacing w:after="0"/>
              <w:rPr>
                <w:sz w:val="20"/>
                <w:szCs w:val="20"/>
                <w:color w:val="auto"/>
              </w:rPr>
            </w:pPr>
            <w:r>
              <w:rPr>
                <w:rFonts w:ascii="Arial" w:cs="Arial" w:eastAsia="Arial" w:hAnsi="Arial"/>
                <w:sz w:val="13"/>
                <w:szCs w:val="13"/>
                <w:color w:val="auto"/>
              </w:rPr>
              <w:t>2007</w:t>
            </w:r>
          </w:p>
        </w:tc>
        <w:tc>
          <w:tcPr>
            <w:tcW w:w="640" w:type="dxa"/>
            <w:vAlign w:val="bottom"/>
            <w:tcBorders>
              <w:bottom w:val="single" w:sz="8" w:color="auto"/>
            </w:tcBorders>
          </w:tcPr>
          <w:p>
            <w:pPr>
              <w:jc w:val="right"/>
              <w:ind w:right="112"/>
              <w:spacing w:after="0"/>
              <w:rPr>
                <w:sz w:val="20"/>
                <w:szCs w:val="20"/>
                <w:color w:val="auto"/>
              </w:rPr>
            </w:pPr>
            <w:r>
              <w:rPr>
                <w:rFonts w:ascii="Arial" w:cs="Arial" w:eastAsia="Arial" w:hAnsi="Arial"/>
                <w:sz w:val="13"/>
                <w:szCs w:val="13"/>
                <w:color w:val="auto"/>
              </w:rPr>
              <w:t>2006</w:t>
            </w:r>
          </w:p>
        </w:tc>
        <w:tc>
          <w:tcPr>
            <w:tcW w:w="0" w:type="dxa"/>
            <w:vAlign w:val="bottom"/>
          </w:tcPr>
          <w:p>
            <w:pPr>
              <w:spacing w:after="0"/>
              <w:rPr>
                <w:sz w:val="1"/>
                <w:szCs w:val="1"/>
                <w:color w:val="auto"/>
              </w:rPr>
            </w:pPr>
          </w:p>
        </w:tc>
      </w:tr>
      <w:tr>
        <w:trPr>
          <w:trHeight w:val="217"/>
        </w:trPr>
        <w:tc>
          <w:tcPr>
            <w:tcW w:w="3240" w:type="dxa"/>
            <w:vAlign w:val="bottom"/>
            <w:tcBorders>
              <w:bottom w:val="single" w:sz="8" w:color="DFDFDF"/>
            </w:tcBorders>
          </w:tcPr>
          <w:p>
            <w:pPr>
              <w:spacing w:after="0"/>
              <w:rPr>
                <w:sz w:val="20"/>
                <w:szCs w:val="20"/>
                <w:color w:val="auto"/>
              </w:rPr>
            </w:pPr>
            <w:r>
              <w:rPr>
                <w:rFonts w:ascii="Arial" w:cs="Arial" w:eastAsia="Arial" w:hAnsi="Arial"/>
                <w:sz w:val="14"/>
                <w:szCs w:val="14"/>
                <w:color w:val="auto"/>
              </w:rPr>
              <w:t>Currency transaction gains (loss)</w:t>
            </w:r>
          </w:p>
        </w:tc>
        <w:tc>
          <w:tcPr>
            <w:tcW w:w="820" w:type="dxa"/>
            <w:vAlign w:val="bottom"/>
            <w:tcBorders>
              <w:bottom w:val="single" w:sz="8" w:color="DFDFDF"/>
            </w:tcBorders>
          </w:tcPr>
          <w:p>
            <w:pPr>
              <w:ind w:left="300"/>
              <w:spacing w:after="0"/>
              <w:rPr>
                <w:sz w:val="20"/>
                <w:szCs w:val="20"/>
                <w:color w:val="auto"/>
              </w:rPr>
            </w:pPr>
            <w:r>
              <w:rPr>
                <w:rFonts w:ascii="Arial" w:cs="Arial" w:eastAsia="Arial" w:hAnsi="Arial"/>
                <w:sz w:val="14"/>
                <w:szCs w:val="14"/>
                <w:color w:val="auto"/>
              </w:rPr>
              <w:t>$ (2)</w:t>
            </w:r>
          </w:p>
        </w:tc>
        <w:tc>
          <w:tcPr>
            <w:tcW w:w="700" w:type="dxa"/>
            <w:vAlign w:val="bottom"/>
            <w:tcBorders>
              <w:bottom w:val="single" w:sz="8" w:color="DFDFDF"/>
            </w:tcBorders>
          </w:tcPr>
          <w:p>
            <w:pPr>
              <w:jc w:val="right"/>
              <w:ind w:right="132"/>
              <w:spacing w:after="0"/>
              <w:rPr>
                <w:sz w:val="20"/>
                <w:szCs w:val="20"/>
                <w:color w:val="auto"/>
              </w:rPr>
            </w:pPr>
            <w:r>
              <w:rPr>
                <w:rFonts w:ascii="Arial" w:cs="Arial" w:eastAsia="Arial" w:hAnsi="Arial"/>
                <w:sz w:val="14"/>
                <w:szCs w:val="14"/>
                <w:color w:val="auto"/>
              </w:rPr>
              <w:t>$ --</w:t>
            </w:r>
          </w:p>
        </w:tc>
        <w:tc>
          <w:tcPr>
            <w:tcW w:w="640" w:type="dxa"/>
            <w:vAlign w:val="bottom"/>
            <w:tcBorders>
              <w:bottom w:val="single" w:sz="8" w:color="DFDFDF"/>
            </w:tcBorders>
          </w:tcPr>
          <w:p>
            <w:pPr>
              <w:jc w:val="right"/>
              <w:ind w:right="112"/>
              <w:spacing w:after="0"/>
              <w:rPr>
                <w:sz w:val="20"/>
                <w:szCs w:val="20"/>
                <w:color w:val="auto"/>
              </w:rPr>
            </w:pPr>
            <w:r>
              <w:rPr>
                <w:rFonts w:ascii="Arial" w:cs="Arial" w:eastAsia="Arial" w:hAnsi="Arial"/>
                <w:sz w:val="14"/>
                <w:szCs w:val="14"/>
                <w:color w:val="auto"/>
              </w:rPr>
              <w:t>$ (1)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Arial" w:cs="Arial" w:eastAsia="Arial" w:hAnsi="Arial"/>
          <w:sz w:val="14"/>
          <w:szCs w:val="14"/>
          <w:color w:val="auto"/>
        </w:rPr>
        <w:t>109</w:t>
      </w:r>
    </w:p>
    <w:p>
      <w:pPr>
        <w:sectPr>
          <w:pgSz w:w="11900" w:h="16838" w:orient="portrait"/>
          <w:cols w:equalWidth="0" w:num="1">
            <w:col w:w="11340"/>
          </w:cols>
          <w:pgMar w:left="240" w:top="293" w:right="319" w:bottom="1440" w:gutter="0" w:footer="0" w:header="0"/>
        </w:sectPr>
      </w:pPr>
    </w:p>
    <w:bookmarkStart w:id="249" w:name="page250"/>
    <w:bookmarkEnd w:id="249"/>
    <w:p>
      <w:pPr>
        <w:spacing w:after="0"/>
        <w:rPr>
          <w:sz w:val="20"/>
          <w:szCs w:val="20"/>
          <w:color w:val="auto"/>
        </w:rPr>
      </w:pPr>
      <w:r>
        <w:rPr>
          <w:rFonts w:ascii="Arial" w:cs="Arial" w:eastAsia="Arial" w:hAnsi="Arial"/>
          <w:sz w:val="16"/>
          <w:szCs w:val="16"/>
          <w:b w:val="1"/>
          <w:bCs w:val="1"/>
          <w:color w:val="auto"/>
        </w:rPr>
        <w:t>TRANSACTIONS WITH AFFILIATES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Loans to Unconsolidated Affiliates</w:t>
      </w:r>
    </w:p>
    <w:p>
      <w:pPr>
        <w:spacing w:after="0" w:line="23" w:lineRule="exact"/>
        <w:rPr>
          <w:sz w:val="20"/>
          <w:szCs w:val="20"/>
          <w:color w:val="auto"/>
        </w:rPr>
      </w:pPr>
    </w:p>
    <w:p>
      <w:pPr>
        <w:jc w:val="both"/>
        <w:ind w:right="20"/>
        <w:spacing w:after="0" w:line="259" w:lineRule="auto"/>
        <w:rPr>
          <w:sz w:val="20"/>
          <w:szCs w:val="20"/>
          <w:color w:val="auto"/>
        </w:rPr>
      </w:pPr>
      <w:r>
        <w:rPr>
          <w:rFonts w:ascii="Arial" w:cs="Arial" w:eastAsia="Arial" w:hAnsi="Arial"/>
          <w:sz w:val="16"/>
          <w:szCs w:val="16"/>
          <w:color w:val="auto"/>
        </w:rPr>
        <w:t>In December 2001, Sempra Pipelines &amp; Storage issued two U.S. dollar-denominated loans to affiliates: $35 million to Camuzzi Gas Pampeana S.A. and $22 million to Camuzzi Gas del Sur S.A. These companies are affiliates of Sempra Pipelines &amp; Storage’s Argentine investments discussed in Note 4. In June 2006, Sempra Pipelines &amp; Storage collected the outstanding balance from Camuzzi Gas Pampeana S.A. The loan to Camuzzi Gas del Sur S.A. has a $25 million balance outstanding at a variable interest rate (11.05 percent at December 31, 2008). The loan is due in June 2009 and is fully reserved at December 31, 2008.</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Loans from Unconsolidated Affiliates</w:t>
      </w:r>
    </w:p>
    <w:p>
      <w:pPr>
        <w:spacing w:after="0" w:line="23" w:lineRule="exact"/>
        <w:rPr>
          <w:sz w:val="20"/>
          <w:szCs w:val="20"/>
          <w:color w:val="auto"/>
        </w:rPr>
      </w:pPr>
    </w:p>
    <w:p>
      <w:pPr>
        <w:spacing w:after="0" w:line="351" w:lineRule="auto"/>
        <w:rPr>
          <w:sz w:val="20"/>
          <w:szCs w:val="20"/>
          <w:color w:val="auto"/>
        </w:rPr>
      </w:pPr>
      <w:r>
        <w:rPr>
          <w:rFonts w:ascii="Arial" w:cs="Arial" w:eastAsia="Arial" w:hAnsi="Arial"/>
          <w:sz w:val="14"/>
          <w:szCs w:val="14"/>
          <w:color w:val="auto"/>
        </w:rPr>
        <w:t>At December 31, 2008 and 2007, Sempra Pipelines &amp; Storage had notes payable due to Chilquinta Energía Finance Co. LLC, an unconsolidated affiliate. These notes are secured by Sempra Pipelines &amp; Storage’s investments in Chilquinta Energía S.A. and Luz del Sur S.A.A. (Luz del Sur), which we discuss in Note 4. The amounts due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1691005</wp:posOffset>
            </wp:positionH>
            <wp:positionV relativeFrom="paragraph">
              <wp:posOffset>135890</wp:posOffset>
            </wp:positionV>
            <wp:extent cx="3882390" cy="26670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3882390" cy="266700"/>
                    </a:xfrm>
                    <a:prstGeom prst="rect">
                      <a:avLst/>
                    </a:prstGeom>
                    <a:noFill/>
                  </pic:spPr>
                </pic:pic>
              </a:graphicData>
            </a:graphic>
          </wp:anchor>
        </w:drawing>
      </w:r>
    </w:p>
    <w:p>
      <w:pPr>
        <w:spacing w:after="0" w:line="202" w:lineRule="exact"/>
        <w:rPr>
          <w:sz w:val="20"/>
          <w:szCs w:val="20"/>
          <w:color w:val="auto"/>
        </w:rPr>
      </w:pPr>
    </w:p>
    <w:p>
      <w:pPr>
        <w:ind w:left="2660"/>
        <w:spacing w:after="0"/>
        <w:rPr>
          <w:sz w:val="20"/>
          <w:szCs w:val="20"/>
          <w:color w:val="auto"/>
        </w:rPr>
      </w:pPr>
      <w:r>
        <w:rPr>
          <w:rFonts w:ascii="Arial" w:cs="Arial" w:eastAsia="Arial" w:hAnsi="Arial"/>
          <w:sz w:val="14"/>
          <w:szCs w:val="14"/>
          <w:b w:val="1"/>
          <w:bCs w:val="1"/>
          <w:color w:val="auto"/>
        </w:rPr>
        <w:t>SEMPRA ENERGY - LOANS FROM UNCONSOLIDATED AFFILIATES</w:t>
      </w:r>
    </w:p>
    <w:p>
      <w:pPr>
        <w:spacing w:after="0" w:line="76" w:lineRule="exact"/>
        <w:rPr>
          <w:sz w:val="20"/>
          <w:szCs w:val="20"/>
          <w:color w:val="auto"/>
        </w:rPr>
      </w:pPr>
    </w:p>
    <w:tbl>
      <w:tblPr>
        <w:tblLayout w:type="fixed"/>
        <w:tblInd w:w="2660" w:type="dxa"/>
        <w:tblCellMar>
          <w:top w:w="0" w:type="dxa"/>
          <w:left w:w="0" w:type="dxa"/>
          <w:bottom w:w="0" w:type="dxa"/>
          <w:right w:w="0" w:type="dxa"/>
        </w:tblCellMar>
      </w:tblPr>
      <w:tr>
        <w:trPr>
          <w:trHeight w:val="166"/>
        </w:trPr>
        <w:tc>
          <w:tcPr>
            <w:tcW w:w="3160" w:type="dxa"/>
            <w:vAlign w:val="bottom"/>
          </w:tcPr>
          <w:p>
            <w:pPr>
              <w:spacing w:after="0"/>
              <w:rPr>
                <w:sz w:val="20"/>
                <w:szCs w:val="20"/>
                <w:color w:val="auto"/>
              </w:rPr>
            </w:pPr>
            <w:r>
              <w:rPr>
                <w:rFonts w:ascii="Arial" w:cs="Arial" w:eastAsia="Arial" w:hAnsi="Arial"/>
                <w:sz w:val="13"/>
                <w:szCs w:val="13"/>
                <w:i w:val="1"/>
                <w:iCs w:val="1"/>
                <w:color w:val="auto"/>
              </w:rPr>
              <w:t>(Dollars in millions)</w:t>
            </w:r>
          </w:p>
        </w:tc>
        <w:tc>
          <w:tcPr>
            <w:tcW w:w="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209"/>
        </w:trPr>
        <w:tc>
          <w:tcPr>
            <w:tcW w:w="3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80" w:type="dxa"/>
            <w:vAlign w:val="bottom"/>
            <w:tcBorders>
              <w:bottom w:val="single" w:sz="8" w:color="auto"/>
            </w:tcBorders>
            <w:gridSpan w:val="2"/>
          </w:tcPr>
          <w:p>
            <w:pPr>
              <w:jc w:val="right"/>
              <w:ind w:right="28"/>
              <w:spacing w:after="0"/>
              <w:rPr>
                <w:sz w:val="20"/>
                <w:szCs w:val="20"/>
                <w:color w:val="auto"/>
              </w:rPr>
            </w:pPr>
            <w:r>
              <w:rPr>
                <w:rFonts w:ascii="Arial" w:cs="Arial" w:eastAsia="Arial" w:hAnsi="Arial"/>
                <w:sz w:val="13"/>
                <w:szCs w:val="13"/>
                <w:color w:val="auto"/>
              </w:rPr>
              <w:t>December 31,</w:t>
            </w:r>
          </w:p>
        </w:tc>
        <w:tc>
          <w:tcPr>
            <w:tcW w:w="900" w:type="dxa"/>
            <w:vAlign w:val="bottom"/>
            <w:tcBorders>
              <w:bottom w:val="single" w:sz="8" w:color="auto"/>
            </w:tcBorders>
          </w:tcPr>
          <w:p>
            <w:pPr>
              <w:spacing w:after="0"/>
              <w:rPr>
                <w:sz w:val="18"/>
                <w:szCs w:val="18"/>
                <w:color w:val="auto"/>
              </w:rPr>
            </w:pPr>
          </w:p>
        </w:tc>
      </w:tr>
      <w:tr>
        <w:trPr>
          <w:trHeight w:val="208"/>
        </w:trPr>
        <w:tc>
          <w:tcPr>
            <w:tcW w:w="31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351"/>
              <w:spacing w:after="0"/>
              <w:rPr>
                <w:sz w:val="20"/>
                <w:szCs w:val="20"/>
                <w:color w:val="auto"/>
              </w:rPr>
            </w:pPr>
            <w:r>
              <w:rPr>
                <w:rFonts w:ascii="Arial" w:cs="Arial" w:eastAsia="Arial" w:hAnsi="Arial"/>
                <w:sz w:val="13"/>
                <w:szCs w:val="13"/>
                <w:color w:val="auto"/>
              </w:rPr>
              <w:t>2008</w:t>
            </w:r>
          </w:p>
        </w:tc>
        <w:tc>
          <w:tcPr>
            <w:tcW w:w="7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430"/>
              <w:spacing w:after="0"/>
              <w:rPr>
                <w:sz w:val="20"/>
                <w:szCs w:val="20"/>
                <w:color w:val="auto"/>
              </w:rPr>
            </w:pPr>
            <w:r>
              <w:rPr>
                <w:rFonts w:ascii="Arial" w:cs="Arial" w:eastAsia="Arial" w:hAnsi="Arial"/>
                <w:sz w:val="13"/>
                <w:szCs w:val="13"/>
                <w:color w:val="auto"/>
              </w:rPr>
              <w:t>2007</w:t>
            </w:r>
          </w:p>
        </w:tc>
      </w:tr>
      <w:tr>
        <w:trPr>
          <w:trHeight w:val="207"/>
        </w:trPr>
        <w:tc>
          <w:tcPr>
            <w:tcW w:w="3160" w:type="dxa"/>
            <w:vAlign w:val="bottom"/>
          </w:tcPr>
          <w:p>
            <w:pPr>
              <w:spacing w:after="0"/>
              <w:rPr>
                <w:sz w:val="20"/>
                <w:szCs w:val="20"/>
                <w:color w:val="auto"/>
              </w:rPr>
            </w:pPr>
            <w:r>
              <w:rPr>
                <w:rFonts w:ascii="Arial" w:cs="Arial" w:eastAsia="Arial" w:hAnsi="Arial"/>
                <w:sz w:val="14"/>
                <w:szCs w:val="14"/>
                <w:color w:val="auto"/>
              </w:rPr>
              <w:t>6.57% Note due April 1, 2008</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131"/>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32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230"/>
              <w:spacing w:after="0"/>
              <w:rPr>
                <w:sz w:val="20"/>
                <w:szCs w:val="20"/>
                <w:color w:val="auto"/>
              </w:rPr>
            </w:pPr>
            <w:r>
              <w:rPr>
                <w:rFonts w:ascii="Arial" w:cs="Arial" w:eastAsia="Arial" w:hAnsi="Arial"/>
                <w:sz w:val="14"/>
                <w:szCs w:val="14"/>
                <w:color w:val="auto"/>
              </w:rPr>
              <w:t>60</w:t>
            </w:r>
          </w:p>
        </w:tc>
      </w:tr>
      <w:tr>
        <w:trPr>
          <w:trHeight w:val="219"/>
        </w:trPr>
        <w:tc>
          <w:tcPr>
            <w:tcW w:w="3160" w:type="dxa"/>
            <w:vAlign w:val="bottom"/>
          </w:tcPr>
          <w:p>
            <w:pPr>
              <w:spacing w:after="0"/>
              <w:rPr>
                <w:sz w:val="20"/>
                <w:szCs w:val="20"/>
                <w:color w:val="auto"/>
              </w:rPr>
            </w:pPr>
            <w:r>
              <w:rPr>
                <w:rFonts w:ascii="Arial" w:cs="Arial" w:eastAsia="Arial" w:hAnsi="Arial"/>
                <w:sz w:val="14"/>
                <w:szCs w:val="14"/>
                <w:color w:val="auto"/>
              </w:rPr>
              <w:t>6.73% Note due April 1, 2011</w:t>
            </w: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color w:val="auto"/>
              </w:rPr>
              <w:t>100</w:t>
            </w:r>
          </w:p>
        </w:tc>
        <w:tc>
          <w:tcPr>
            <w:tcW w:w="7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30"/>
              <w:spacing w:after="0"/>
              <w:rPr>
                <w:sz w:val="20"/>
                <w:szCs w:val="20"/>
                <w:color w:val="auto"/>
              </w:rPr>
            </w:pPr>
            <w:r>
              <w:rPr>
                <w:rFonts w:ascii="Arial" w:cs="Arial" w:eastAsia="Arial" w:hAnsi="Arial"/>
                <w:sz w:val="14"/>
                <w:szCs w:val="14"/>
                <w:color w:val="auto"/>
              </w:rPr>
              <w:t>100</w:t>
            </w:r>
          </w:p>
        </w:tc>
      </w:tr>
      <w:tr>
        <w:trPr>
          <w:trHeight w:val="227"/>
        </w:trPr>
        <w:tc>
          <w:tcPr>
            <w:tcW w:w="31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Total</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color w:val="auto"/>
              </w:rPr>
              <w:t>100</w:t>
            </w:r>
          </w:p>
        </w:tc>
        <w:tc>
          <w:tcPr>
            <w:tcW w:w="70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230"/>
              <w:spacing w:after="0"/>
              <w:rPr>
                <w:sz w:val="20"/>
                <w:szCs w:val="20"/>
                <w:color w:val="auto"/>
              </w:rPr>
            </w:pPr>
            <w:r>
              <w:rPr>
                <w:rFonts w:ascii="Arial" w:cs="Arial" w:eastAsia="Arial" w:hAnsi="Arial"/>
                <w:sz w:val="14"/>
                <w:szCs w:val="14"/>
                <w:color w:val="auto"/>
              </w:rPr>
              <w:t>160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14"/>
          <w:szCs w:val="14"/>
          <w:color w:val="auto"/>
        </w:rPr>
        <w:t>110</w:t>
      </w:r>
    </w:p>
    <w:p>
      <w:pPr>
        <w:sectPr>
          <w:pgSz w:w="11900" w:h="16838" w:orient="portrait"/>
          <w:cols w:equalWidth="0" w:num="1">
            <w:col w:w="11380"/>
          </w:cols>
          <w:pgMar w:left="240" w:top="395" w:right="279" w:bottom="1440" w:gutter="0" w:footer="0" w:header="0"/>
        </w:sectPr>
      </w:pPr>
    </w:p>
    <w:bookmarkStart w:id="250" w:name="page251"/>
    <w:bookmarkEnd w:id="250"/>
    <w:p>
      <w:pPr>
        <w:spacing w:after="0"/>
        <w:rPr>
          <w:sz w:val="20"/>
          <w:szCs w:val="20"/>
          <w:color w:val="auto"/>
        </w:rPr>
      </w:pPr>
      <w:r>
        <w:rPr>
          <w:rFonts w:ascii="Arial" w:cs="Arial" w:eastAsia="Arial" w:hAnsi="Arial"/>
          <w:sz w:val="18"/>
          <w:szCs w:val="18"/>
          <w:b w:val="1"/>
          <w:bCs w:val="1"/>
          <w:i w:val="1"/>
          <w:iCs w:val="1"/>
          <w:color w:val="auto"/>
        </w:rPr>
        <w:t>Other Affiliate Transactions</w:t>
      </w:r>
    </w:p>
    <w:p>
      <w:pPr>
        <w:spacing w:after="0" w:line="23" w:lineRule="exact"/>
        <w:rPr>
          <w:sz w:val="20"/>
          <w:szCs w:val="20"/>
          <w:color w:val="auto"/>
        </w:rPr>
      </w:pPr>
    </w:p>
    <w:p>
      <w:pPr>
        <w:spacing w:after="0" w:line="277" w:lineRule="auto"/>
        <w:rPr>
          <w:sz w:val="20"/>
          <w:szCs w:val="20"/>
          <w:color w:val="auto"/>
        </w:rPr>
      </w:pPr>
      <w:r>
        <w:rPr>
          <w:rFonts w:ascii="Arial" w:cs="Arial" w:eastAsia="Arial" w:hAnsi="Arial"/>
          <w:sz w:val="16"/>
          <w:szCs w:val="16"/>
          <w:color w:val="auto"/>
        </w:rPr>
        <w:t>Sempra Energy, SDG&amp;E and SoCalGas provide certain services to each other, which are charged an allocable share of the cost of such services. Amounts due to/from affiliates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1423670</wp:posOffset>
            </wp:positionH>
            <wp:positionV relativeFrom="paragraph">
              <wp:posOffset>165735</wp:posOffset>
            </wp:positionV>
            <wp:extent cx="4416425" cy="24384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4416425" cy="243840"/>
                    </a:xfrm>
                    <a:prstGeom prst="rect">
                      <a:avLst/>
                    </a:prstGeom>
                    <a:noFill/>
                  </pic:spPr>
                </pic:pic>
              </a:graphicData>
            </a:graphic>
          </wp:anchor>
        </w:drawing>
      </w:r>
    </w:p>
    <w:p>
      <w:pPr>
        <w:spacing w:after="0" w:line="248" w:lineRule="exact"/>
        <w:rPr>
          <w:sz w:val="20"/>
          <w:szCs w:val="20"/>
          <w:color w:val="auto"/>
        </w:rPr>
      </w:pPr>
    </w:p>
    <w:p>
      <w:pPr>
        <w:ind w:left="2240"/>
        <w:spacing w:after="0"/>
        <w:rPr>
          <w:sz w:val="20"/>
          <w:szCs w:val="20"/>
          <w:color w:val="auto"/>
        </w:rPr>
      </w:pPr>
      <w:r>
        <w:rPr>
          <w:rFonts w:ascii="Arial" w:cs="Arial" w:eastAsia="Arial" w:hAnsi="Arial"/>
          <w:sz w:val="14"/>
          <w:szCs w:val="14"/>
          <w:b w:val="1"/>
          <w:bCs w:val="1"/>
          <w:color w:val="auto"/>
        </w:rPr>
        <w:t>AMOUNTS DUE TO AND FROM AFFILIATES AT SDG&amp;E, PE AND SOCALGAS</w:t>
      </w:r>
    </w:p>
    <w:p>
      <w:pPr>
        <w:spacing w:after="0" w:line="40" w:lineRule="exact"/>
        <w:rPr>
          <w:sz w:val="20"/>
          <w:szCs w:val="20"/>
          <w:color w:val="auto"/>
        </w:rPr>
      </w:pPr>
    </w:p>
    <w:tbl>
      <w:tblPr>
        <w:tblLayout w:type="fixed"/>
        <w:tblInd w:w="2240" w:type="dxa"/>
        <w:tblCellMar>
          <w:top w:w="0" w:type="dxa"/>
          <w:left w:w="0" w:type="dxa"/>
          <w:bottom w:w="0" w:type="dxa"/>
          <w:right w:w="0" w:type="dxa"/>
        </w:tblCellMar>
      </w:tblPr>
      <w:tr>
        <w:trPr>
          <w:trHeight w:val="166"/>
        </w:trPr>
        <w:tc>
          <w:tcPr>
            <w:tcW w:w="5340" w:type="dxa"/>
            <w:vAlign w:val="bottom"/>
          </w:tcPr>
          <w:p>
            <w:pPr>
              <w:spacing w:after="0"/>
              <w:rPr>
                <w:sz w:val="20"/>
                <w:szCs w:val="20"/>
                <w:color w:val="auto"/>
              </w:rPr>
            </w:pPr>
            <w:r>
              <w:rPr>
                <w:rFonts w:ascii="Arial" w:cs="Arial" w:eastAsia="Arial" w:hAnsi="Arial"/>
                <w:sz w:val="13"/>
                <w:szCs w:val="13"/>
                <w:i w:val="1"/>
                <w:iCs w:val="1"/>
                <w:color w:val="auto"/>
              </w:rPr>
              <w:t>(Dollars in millions)</w:t>
            </w: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53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gridSpan w:val="3"/>
          </w:tcPr>
          <w:p>
            <w:pPr>
              <w:jc w:val="right"/>
              <w:ind w:right="288"/>
              <w:spacing w:after="0"/>
              <w:rPr>
                <w:sz w:val="20"/>
                <w:szCs w:val="20"/>
                <w:color w:val="auto"/>
              </w:rPr>
            </w:pPr>
            <w:r>
              <w:rPr>
                <w:rFonts w:ascii="Arial" w:cs="Arial" w:eastAsia="Arial" w:hAnsi="Arial"/>
                <w:sz w:val="13"/>
                <w:szCs w:val="13"/>
                <w:color w:val="auto"/>
              </w:rPr>
              <w:t>December 31,</w:t>
            </w:r>
          </w:p>
        </w:tc>
        <w:tc>
          <w:tcPr>
            <w:tcW w:w="0" w:type="dxa"/>
            <w:vAlign w:val="bottom"/>
          </w:tcPr>
          <w:p>
            <w:pPr>
              <w:spacing w:after="0"/>
              <w:rPr>
                <w:sz w:val="1"/>
                <w:szCs w:val="1"/>
                <w:color w:val="auto"/>
              </w:rPr>
            </w:pPr>
          </w:p>
        </w:tc>
      </w:tr>
      <w:tr>
        <w:trPr>
          <w:trHeight w:val="208"/>
        </w:trPr>
        <w:tc>
          <w:tcPr>
            <w:tcW w:w="53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189"/>
              <w:spacing w:after="0"/>
              <w:rPr>
                <w:sz w:val="20"/>
                <w:szCs w:val="20"/>
                <w:color w:val="auto"/>
              </w:rPr>
            </w:pPr>
            <w:r>
              <w:rPr>
                <w:rFonts w:ascii="Arial" w:cs="Arial" w:eastAsia="Arial" w:hAnsi="Arial"/>
                <w:sz w:val="13"/>
                <w:szCs w:val="13"/>
                <w:color w:val="auto"/>
              </w:rPr>
              <w:t>2008</w:t>
            </w:r>
          </w:p>
        </w:tc>
        <w:tc>
          <w:tcPr>
            <w:tcW w:w="2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ind w:right="128"/>
              <w:spacing w:after="0"/>
              <w:rPr>
                <w:sz w:val="20"/>
                <w:szCs w:val="20"/>
                <w:color w:val="auto"/>
              </w:rPr>
            </w:pPr>
            <w:r>
              <w:rPr>
                <w:rFonts w:ascii="Arial" w:cs="Arial" w:eastAsia="Arial" w:hAnsi="Arial"/>
                <w:sz w:val="13"/>
                <w:szCs w:val="13"/>
                <w:color w:val="auto"/>
              </w:rPr>
              <w:t>2007</w:t>
            </w:r>
          </w:p>
        </w:tc>
        <w:tc>
          <w:tcPr>
            <w:tcW w:w="0" w:type="dxa"/>
            <w:vAlign w:val="bottom"/>
          </w:tcPr>
          <w:p>
            <w:pPr>
              <w:spacing w:after="0"/>
              <w:rPr>
                <w:sz w:val="1"/>
                <w:szCs w:val="1"/>
                <w:color w:val="auto"/>
              </w:rPr>
            </w:pPr>
          </w:p>
        </w:tc>
      </w:tr>
      <w:tr>
        <w:trPr>
          <w:trHeight w:val="207"/>
        </w:trPr>
        <w:tc>
          <w:tcPr>
            <w:tcW w:w="5340" w:type="dxa"/>
            <w:vAlign w:val="bottom"/>
          </w:tcPr>
          <w:p>
            <w:pPr>
              <w:spacing w:after="0"/>
              <w:rPr>
                <w:sz w:val="20"/>
                <w:szCs w:val="20"/>
                <w:color w:val="auto"/>
              </w:rPr>
            </w:pPr>
            <w:r>
              <w:rPr>
                <w:rFonts w:ascii="Arial" w:cs="Arial" w:eastAsia="Arial" w:hAnsi="Arial"/>
                <w:sz w:val="14"/>
                <w:szCs w:val="14"/>
                <w:b w:val="1"/>
                <w:bCs w:val="1"/>
                <w:color w:val="auto"/>
              </w:rPr>
              <w:t>SDG&amp;E</w:t>
            </w: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40" w:type="dxa"/>
            <w:vAlign w:val="bottom"/>
          </w:tcPr>
          <w:p>
            <w:pPr>
              <w:spacing w:after="0"/>
              <w:rPr>
                <w:sz w:val="20"/>
                <w:szCs w:val="20"/>
                <w:color w:val="auto"/>
              </w:rPr>
            </w:pPr>
            <w:r>
              <w:rPr>
                <w:rFonts w:ascii="Arial" w:cs="Arial" w:eastAsia="Arial" w:hAnsi="Arial"/>
                <w:sz w:val="14"/>
                <w:szCs w:val="14"/>
                <w:color w:val="auto"/>
              </w:rPr>
              <w:t>Current:</w:t>
            </w: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40" w:type="dxa"/>
            <w:vAlign w:val="bottom"/>
          </w:tcPr>
          <w:p>
            <w:pPr>
              <w:ind w:left="180"/>
              <w:spacing w:after="0"/>
              <w:rPr>
                <w:sz w:val="20"/>
                <w:szCs w:val="20"/>
                <w:color w:val="auto"/>
              </w:rPr>
            </w:pPr>
            <w:r>
              <w:rPr>
                <w:rFonts w:ascii="Arial" w:cs="Arial" w:eastAsia="Arial" w:hAnsi="Arial"/>
                <w:sz w:val="14"/>
                <w:szCs w:val="14"/>
                <w:color w:val="auto"/>
              </w:rPr>
              <w:t>Due from Sempra Energy</w:t>
            </w:r>
          </w:p>
        </w:tc>
        <w:tc>
          <w:tcPr>
            <w:tcW w:w="2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89"/>
              <w:spacing w:after="0"/>
              <w:rPr>
                <w:sz w:val="20"/>
                <w:szCs w:val="20"/>
                <w:color w:val="auto"/>
              </w:rPr>
            </w:pPr>
            <w:r>
              <w:rPr>
                <w:rFonts w:ascii="Arial" w:cs="Arial" w:eastAsia="Arial" w:hAnsi="Arial"/>
                <w:sz w:val="14"/>
                <w:szCs w:val="14"/>
                <w:color w:val="auto"/>
              </w:rPr>
              <w:t>20</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5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6"/>
        </w:trPr>
        <w:tc>
          <w:tcPr>
            <w:tcW w:w="5340" w:type="dxa"/>
            <w:vAlign w:val="bottom"/>
          </w:tcPr>
          <w:p>
            <w:pPr>
              <w:ind w:left="180"/>
              <w:spacing w:after="0"/>
              <w:rPr>
                <w:sz w:val="20"/>
                <w:szCs w:val="20"/>
                <w:color w:val="auto"/>
              </w:rPr>
            </w:pPr>
            <w:r>
              <w:rPr>
                <w:rFonts w:ascii="Arial" w:cs="Arial" w:eastAsia="Arial" w:hAnsi="Arial"/>
                <w:sz w:val="14"/>
                <w:szCs w:val="14"/>
                <w:color w:val="auto"/>
              </w:rPr>
              <w:t>Due from SoCalGas</w:t>
            </w:r>
          </w:p>
        </w:tc>
        <w:tc>
          <w:tcPr>
            <w:tcW w:w="220" w:type="dxa"/>
            <w:vAlign w:val="bottom"/>
          </w:tcPr>
          <w:p>
            <w:pPr>
              <w:spacing w:after="0"/>
              <w:rPr>
                <w:sz w:val="18"/>
                <w:szCs w:val="18"/>
                <w:color w:val="auto"/>
              </w:rPr>
            </w:pPr>
          </w:p>
        </w:tc>
        <w:tc>
          <w:tcPr>
            <w:tcW w:w="620" w:type="dxa"/>
            <w:vAlign w:val="bottom"/>
          </w:tcPr>
          <w:p>
            <w:pPr>
              <w:jc w:val="right"/>
              <w:ind w:right="89"/>
              <w:spacing w:after="0"/>
              <w:rPr>
                <w:sz w:val="20"/>
                <w:szCs w:val="20"/>
                <w:color w:val="auto"/>
              </w:rPr>
            </w:pPr>
            <w:r>
              <w:rPr>
                <w:rFonts w:ascii="Arial" w:cs="Arial" w:eastAsia="Arial" w:hAnsi="Arial"/>
                <w:sz w:val="14"/>
                <w:szCs w:val="14"/>
                <w:color w:val="auto"/>
              </w:rPr>
              <w:t>8</w:t>
            </w:r>
          </w:p>
        </w:tc>
        <w:tc>
          <w:tcPr>
            <w:tcW w:w="220" w:type="dxa"/>
            <w:vAlign w:val="bottom"/>
          </w:tcPr>
          <w:p>
            <w:pPr>
              <w:spacing w:after="0"/>
              <w:rPr>
                <w:sz w:val="18"/>
                <w:szCs w:val="18"/>
                <w:color w:val="auto"/>
              </w:rPr>
            </w:pPr>
          </w:p>
        </w:tc>
        <w:tc>
          <w:tcPr>
            <w:tcW w:w="560" w:type="dxa"/>
            <w:vAlign w:val="bottom"/>
          </w:tcPr>
          <w:p>
            <w:pPr>
              <w:jc w:val="right"/>
              <w:ind w:right="28"/>
              <w:spacing w:after="0"/>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222"/>
        </w:trPr>
        <w:tc>
          <w:tcPr>
            <w:tcW w:w="5340" w:type="dxa"/>
            <w:vAlign w:val="bottom"/>
          </w:tcPr>
          <w:p>
            <w:pPr>
              <w:ind w:left="180"/>
              <w:spacing w:after="0"/>
              <w:rPr>
                <w:sz w:val="20"/>
                <w:szCs w:val="20"/>
                <w:color w:val="auto"/>
              </w:rPr>
            </w:pPr>
            <w:r>
              <w:rPr>
                <w:rFonts w:ascii="Arial" w:cs="Arial" w:eastAsia="Arial" w:hAnsi="Arial"/>
                <w:sz w:val="14"/>
                <w:szCs w:val="14"/>
                <w:color w:val="auto"/>
              </w:rPr>
              <w:t>Due from various affiliates</w:t>
            </w:r>
          </w:p>
        </w:tc>
        <w:tc>
          <w:tcPr>
            <w:tcW w:w="2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rPr>
              <w:t>1</w:t>
            </w:r>
          </w:p>
        </w:tc>
        <w:tc>
          <w:tcPr>
            <w:tcW w:w="2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12"/>
        </w:trPr>
        <w:tc>
          <w:tcPr>
            <w:tcW w:w="5340" w:type="dxa"/>
            <w:vAlign w:val="bottom"/>
          </w:tcPr>
          <w:p>
            <w:pPr>
              <w:spacing w:after="0"/>
              <w:rPr>
                <w:sz w:val="18"/>
                <w:szCs w:val="18"/>
                <w:color w:val="auto"/>
              </w:rPr>
            </w:pPr>
          </w:p>
        </w:tc>
        <w:tc>
          <w:tcPr>
            <w:tcW w:w="2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rPr>
              <w:t>29</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22</w:t>
            </w:r>
          </w:p>
        </w:tc>
        <w:tc>
          <w:tcPr>
            <w:tcW w:w="0" w:type="dxa"/>
            <w:vAlign w:val="bottom"/>
          </w:tcPr>
          <w:p>
            <w:pPr>
              <w:spacing w:after="0"/>
              <w:rPr>
                <w:sz w:val="1"/>
                <w:szCs w:val="1"/>
                <w:color w:val="auto"/>
              </w:rPr>
            </w:pPr>
          </w:p>
        </w:tc>
      </w:tr>
      <w:tr>
        <w:trPr>
          <w:trHeight w:val="426"/>
        </w:trPr>
        <w:tc>
          <w:tcPr>
            <w:tcW w:w="5340" w:type="dxa"/>
            <w:vAlign w:val="bottom"/>
          </w:tcPr>
          <w:p>
            <w:pPr>
              <w:ind w:left="180"/>
              <w:spacing w:after="0"/>
              <w:rPr>
                <w:sz w:val="20"/>
                <w:szCs w:val="20"/>
                <w:color w:val="auto"/>
              </w:rPr>
            </w:pPr>
            <w:r>
              <w:rPr>
                <w:rFonts w:ascii="Arial" w:cs="Arial" w:eastAsia="Arial" w:hAnsi="Arial"/>
                <w:sz w:val="14"/>
                <w:szCs w:val="14"/>
                <w:color w:val="auto"/>
              </w:rPr>
              <w:t>Due to various affiliates</w:t>
            </w:r>
          </w:p>
        </w:tc>
        <w:tc>
          <w:tcPr>
            <w:tcW w:w="2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89"/>
              <w:spacing w:after="0"/>
              <w:rPr>
                <w:sz w:val="20"/>
                <w:szCs w:val="20"/>
                <w:color w:val="auto"/>
              </w:rPr>
            </w:pPr>
            <w:r>
              <w:rPr>
                <w:rFonts w:ascii="Arial" w:cs="Arial" w:eastAsia="Arial" w:hAnsi="Arial"/>
                <w:sz w:val="14"/>
                <w:szCs w:val="14"/>
                <w:color w:val="auto"/>
              </w:rPr>
              <w:t>1</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560" w:type="dxa"/>
            <w:vAlign w:val="bottom"/>
          </w:tcPr>
          <w:p>
            <w:pPr>
              <w:jc w:val="right"/>
              <w:ind w:right="28"/>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22"/>
        </w:trPr>
        <w:tc>
          <w:tcPr>
            <w:tcW w:w="5340" w:type="dxa"/>
            <w:vAlign w:val="bottom"/>
          </w:tcPr>
          <w:p>
            <w:pPr>
              <w:ind w:left="180"/>
              <w:spacing w:after="0"/>
              <w:rPr>
                <w:sz w:val="20"/>
                <w:szCs w:val="20"/>
                <w:color w:val="auto"/>
              </w:rPr>
            </w:pPr>
            <w:r>
              <w:rPr>
                <w:rFonts w:ascii="Arial" w:cs="Arial" w:eastAsia="Arial" w:hAnsi="Arial"/>
                <w:sz w:val="14"/>
                <w:szCs w:val="14"/>
                <w:color w:val="auto"/>
              </w:rPr>
              <w:t>Due to Sempra Energy</w:t>
            </w:r>
          </w:p>
        </w:tc>
        <w:tc>
          <w:tcPr>
            <w:tcW w:w="2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212"/>
        </w:trPr>
        <w:tc>
          <w:tcPr>
            <w:tcW w:w="5340" w:type="dxa"/>
            <w:vAlign w:val="bottom"/>
          </w:tcPr>
          <w:p>
            <w:pPr>
              <w:spacing w:after="0"/>
              <w:rPr>
                <w:sz w:val="18"/>
                <w:szCs w:val="18"/>
                <w:color w:val="auto"/>
              </w:rPr>
            </w:pPr>
          </w:p>
        </w:tc>
        <w:tc>
          <w:tcPr>
            <w:tcW w:w="2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rPr>
              <w:t>1</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436"/>
        </w:trPr>
        <w:tc>
          <w:tcPr>
            <w:tcW w:w="5340" w:type="dxa"/>
            <w:vAlign w:val="bottom"/>
          </w:tcPr>
          <w:p>
            <w:pPr>
              <w:ind w:left="180"/>
              <w:spacing w:after="0"/>
              <w:rPr>
                <w:sz w:val="20"/>
                <w:szCs w:val="20"/>
                <w:color w:val="auto"/>
              </w:rPr>
            </w:pPr>
            <w:r>
              <w:rPr>
                <w:rFonts w:ascii="Arial" w:cs="Arial" w:eastAsia="Arial" w:hAnsi="Arial"/>
                <w:sz w:val="14"/>
                <w:szCs w:val="14"/>
                <w:color w:val="auto"/>
              </w:rPr>
              <w:t>Income taxes due to (from) Sempra Energy*</w:t>
            </w:r>
          </w:p>
        </w:tc>
        <w:tc>
          <w:tcPr>
            <w:tcW w:w="2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rPr>
              <w:t>7</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(38 )</w:t>
            </w:r>
          </w:p>
        </w:tc>
        <w:tc>
          <w:tcPr>
            <w:tcW w:w="0" w:type="dxa"/>
            <w:vAlign w:val="bottom"/>
          </w:tcPr>
          <w:p>
            <w:pPr>
              <w:spacing w:after="0"/>
              <w:rPr>
                <w:sz w:val="1"/>
                <w:szCs w:val="1"/>
                <w:color w:val="auto"/>
              </w:rPr>
            </w:pPr>
          </w:p>
        </w:tc>
      </w:tr>
      <w:tr>
        <w:trPr>
          <w:trHeight w:val="426"/>
        </w:trPr>
        <w:tc>
          <w:tcPr>
            <w:tcW w:w="5340" w:type="dxa"/>
            <w:vAlign w:val="bottom"/>
          </w:tcPr>
          <w:p>
            <w:pPr>
              <w:spacing w:after="0"/>
              <w:rPr>
                <w:sz w:val="20"/>
                <w:szCs w:val="20"/>
                <w:color w:val="auto"/>
              </w:rPr>
            </w:pPr>
            <w:r>
              <w:rPr>
                <w:rFonts w:ascii="Arial" w:cs="Arial" w:eastAsia="Arial" w:hAnsi="Arial"/>
                <w:sz w:val="14"/>
                <w:szCs w:val="14"/>
                <w:color w:val="auto"/>
              </w:rPr>
              <w:t>Noncurrent:</w:t>
            </w: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5340" w:type="dxa"/>
            <w:vAlign w:val="bottom"/>
          </w:tcPr>
          <w:p>
            <w:pPr>
              <w:ind w:left="180"/>
              <w:spacing w:after="0"/>
              <w:rPr>
                <w:sz w:val="20"/>
                <w:szCs w:val="20"/>
                <w:color w:val="auto"/>
              </w:rPr>
            </w:pPr>
            <w:r>
              <w:rPr>
                <w:rFonts w:ascii="Arial" w:cs="Arial" w:eastAsia="Arial" w:hAnsi="Arial"/>
                <w:sz w:val="14"/>
                <w:szCs w:val="14"/>
                <w:color w:val="auto"/>
              </w:rPr>
              <w:t>Promissory note due from Sempra Energy, variable rate based on short-term</w:t>
            </w:r>
          </w:p>
        </w:tc>
        <w:tc>
          <w:tcPr>
            <w:tcW w:w="22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620" w:type="dxa"/>
            <w:vAlign w:val="bottom"/>
            <w:vMerge w:val="restart"/>
          </w:tcPr>
          <w:p>
            <w:pPr>
              <w:jc w:val="right"/>
              <w:ind w:right="89"/>
              <w:spacing w:after="0"/>
              <w:rPr>
                <w:sz w:val="20"/>
                <w:szCs w:val="20"/>
                <w:color w:val="auto"/>
              </w:rPr>
            </w:pPr>
            <w:r>
              <w:rPr>
                <w:rFonts w:ascii="Arial" w:cs="Arial" w:eastAsia="Arial" w:hAnsi="Arial"/>
                <w:sz w:val="14"/>
                <w:szCs w:val="14"/>
                <w:color w:val="auto"/>
              </w:rPr>
              <w:t>4</w:t>
            </w:r>
          </w:p>
        </w:tc>
        <w:tc>
          <w:tcPr>
            <w:tcW w:w="2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560" w:type="dxa"/>
            <w:vAlign w:val="bottom"/>
            <w:vMerge w:val="restart"/>
          </w:tcPr>
          <w:p>
            <w:pPr>
              <w:jc w:val="right"/>
              <w:ind w:right="28"/>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164"/>
        </w:trPr>
        <w:tc>
          <w:tcPr>
            <w:tcW w:w="5340" w:type="dxa"/>
            <w:vAlign w:val="bottom"/>
          </w:tcPr>
          <w:p>
            <w:pPr>
              <w:ind w:left="360"/>
              <w:spacing w:after="0" w:line="155" w:lineRule="exact"/>
              <w:rPr>
                <w:sz w:val="20"/>
                <w:szCs w:val="20"/>
                <w:color w:val="auto"/>
              </w:rPr>
            </w:pPr>
            <w:r>
              <w:rPr>
                <w:rFonts w:ascii="Arial" w:cs="Arial" w:eastAsia="Arial" w:hAnsi="Arial"/>
                <w:sz w:val="14"/>
                <w:szCs w:val="14"/>
                <w:color w:val="auto"/>
              </w:rPr>
              <w:t>commercial paper rate (0.12% at December 31, 2008)</w:t>
            </w:r>
          </w:p>
        </w:tc>
        <w:tc>
          <w:tcPr>
            <w:tcW w:w="220" w:type="dxa"/>
            <w:vAlign w:val="bottom"/>
            <w:tcBorders>
              <w:bottom w:val="single" w:sz="8" w:color="auto"/>
            </w:tcBorders>
            <w:vMerge w:val="continue"/>
          </w:tcPr>
          <w:p>
            <w:pPr>
              <w:spacing w:after="0"/>
              <w:rPr>
                <w:sz w:val="13"/>
                <w:szCs w:val="13"/>
                <w:color w:val="auto"/>
              </w:rPr>
            </w:pPr>
          </w:p>
        </w:tc>
        <w:tc>
          <w:tcPr>
            <w:tcW w:w="620" w:type="dxa"/>
            <w:vAlign w:val="bottom"/>
            <w:tcBorders>
              <w:bottom w:val="single" w:sz="8" w:color="auto"/>
            </w:tcBorders>
            <w:vMerge w:val="continue"/>
          </w:tcPr>
          <w:p>
            <w:pPr>
              <w:spacing w:after="0"/>
              <w:rPr>
                <w:sz w:val="13"/>
                <w:szCs w:val="13"/>
                <w:color w:val="auto"/>
              </w:rPr>
            </w:pPr>
          </w:p>
        </w:tc>
        <w:tc>
          <w:tcPr>
            <w:tcW w:w="220" w:type="dxa"/>
            <w:vAlign w:val="bottom"/>
            <w:tcBorders>
              <w:bottom w:val="single" w:sz="8" w:color="auto"/>
            </w:tcBorders>
            <w:vMerge w:val="continue"/>
          </w:tcPr>
          <w:p>
            <w:pPr>
              <w:spacing w:after="0"/>
              <w:rPr>
                <w:sz w:val="13"/>
                <w:szCs w:val="13"/>
                <w:color w:val="auto"/>
              </w:rPr>
            </w:pPr>
          </w:p>
        </w:tc>
        <w:tc>
          <w:tcPr>
            <w:tcW w:w="56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426"/>
        </w:trPr>
        <w:tc>
          <w:tcPr>
            <w:tcW w:w="5340" w:type="dxa"/>
            <w:vAlign w:val="bottom"/>
          </w:tcPr>
          <w:p>
            <w:pPr>
              <w:spacing w:after="0"/>
              <w:rPr>
                <w:sz w:val="20"/>
                <w:szCs w:val="20"/>
                <w:color w:val="auto"/>
              </w:rPr>
            </w:pPr>
            <w:r>
              <w:rPr>
                <w:rFonts w:ascii="Arial" w:cs="Arial" w:eastAsia="Arial" w:hAnsi="Arial"/>
                <w:sz w:val="14"/>
                <w:szCs w:val="14"/>
                <w:b w:val="1"/>
                <w:bCs w:val="1"/>
                <w:color w:val="auto"/>
              </w:rPr>
              <w:t>Pacific Enterprises</w:t>
            </w: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340" w:type="dxa"/>
            <w:vAlign w:val="bottom"/>
          </w:tcPr>
          <w:p>
            <w:pPr>
              <w:spacing w:after="0"/>
              <w:rPr>
                <w:sz w:val="20"/>
                <w:szCs w:val="20"/>
                <w:color w:val="auto"/>
              </w:rPr>
            </w:pPr>
            <w:r>
              <w:rPr>
                <w:rFonts w:ascii="Arial" w:cs="Arial" w:eastAsia="Arial" w:hAnsi="Arial"/>
                <w:sz w:val="14"/>
                <w:szCs w:val="14"/>
                <w:color w:val="auto"/>
              </w:rPr>
              <w:t>Current:</w:t>
            </w: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5340" w:type="dxa"/>
            <w:vAlign w:val="bottom"/>
          </w:tcPr>
          <w:p>
            <w:pPr>
              <w:ind w:left="180"/>
              <w:spacing w:after="0"/>
              <w:rPr>
                <w:sz w:val="20"/>
                <w:szCs w:val="20"/>
                <w:color w:val="auto"/>
              </w:rPr>
            </w:pPr>
            <w:r>
              <w:rPr>
                <w:rFonts w:ascii="Arial" w:cs="Arial" w:eastAsia="Arial" w:hAnsi="Arial"/>
                <w:sz w:val="14"/>
                <w:szCs w:val="14"/>
                <w:color w:val="auto"/>
              </w:rPr>
              <w:t>Due from various affiliates</w:t>
            </w:r>
          </w:p>
        </w:tc>
        <w:tc>
          <w:tcPr>
            <w:tcW w:w="2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rPr>
              <w:t>5</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426"/>
        </w:trPr>
        <w:tc>
          <w:tcPr>
            <w:tcW w:w="5340" w:type="dxa"/>
            <w:vAlign w:val="bottom"/>
          </w:tcPr>
          <w:p>
            <w:pPr>
              <w:ind w:left="180"/>
              <w:spacing w:after="0"/>
              <w:rPr>
                <w:sz w:val="20"/>
                <w:szCs w:val="20"/>
                <w:color w:val="auto"/>
              </w:rPr>
            </w:pPr>
            <w:r>
              <w:rPr>
                <w:rFonts w:ascii="Arial" w:cs="Arial" w:eastAsia="Arial" w:hAnsi="Arial"/>
                <w:sz w:val="14"/>
                <w:szCs w:val="14"/>
                <w:color w:val="auto"/>
              </w:rPr>
              <w:t>Due to affiliate</w:t>
            </w:r>
          </w:p>
        </w:tc>
        <w:tc>
          <w:tcPr>
            <w:tcW w:w="2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89"/>
              <w:spacing w:after="0"/>
              <w:rPr>
                <w:sz w:val="20"/>
                <w:szCs w:val="20"/>
                <w:color w:val="auto"/>
              </w:rPr>
            </w:pPr>
            <w:r>
              <w:rPr>
                <w:rFonts w:ascii="Arial" w:cs="Arial" w:eastAsia="Arial" w:hAnsi="Arial"/>
                <w:sz w:val="14"/>
                <w:szCs w:val="14"/>
                <w:color w:val="auto"/>
              </w:rPr>
              <w:t>83</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560" w:type="dxa"/>
            <w:vAlign w:val="bottom"/>
          </w:tcPr>
          <w:p>
            <w:pPr>
              <w:jc w:val="right"/>
              <w:ind w:right="28"/>
              <w:spacing w:after="0"/>
              <w:rPr>
                <w:sz w:val="20"/>
                <w:szCs w:val="20"/>
                <w:color w:val="auto"/>
              </w:rPr>
            </w:pPr>
            <w:r>
              <w:rPr>
                <w:rFonts w:ascii="Arial" w:cs="Arial" w:eastAsia="Arial" w:hAnsi="Arial"/>
                <w:sz w:val="14"/>
                <w:szCs w:val="14"/>
                <w:color w:val="auto"/>
              </w:rPr>
              <w:t>82</w:t>
            </w:r>
          </w:p>
        </w:tc>
        <w:tc>
          <w:tcPr>
            <w:tcW w:w="0" w:type="dxa"/>
            <w:vAlign w:val="bottom"/>
          </w:tcPr>
          <w:p>
            <w:pPr>
              <w:spacing w:after="0"/>
              <w:rPr>
                <w:sz w:val="1"/>
                <w:szCs w:val="1"/>
                <w:color w:val="auto"/>
              </w:rPr>
            </w:pPr>
          </w:p>
        </w:tc>
      </w:tr>
      <w:tr>
        <w:trPr>
          <w:trHeight w:val="216"/>
        </w:trPr>
        <w:tc>
          <w:tcPr>
            <w:tcW w:w="5340" w:type="dxa"/>
            <w:vAlign w:val="bottom"/>
          </w:tcPr>
          <w:p>
            <w:pPr>
              <w:ind w:left="180"/>
              <w:spacing w:after="0"/>
              <w:rPr>
                <w:sz w:val="20"/>
                <w:szCs w:val="20"/>
                <w:color w:val="auto"/>
              </w:rPr>
            </w:pPr>
            <w:r>
              <w:rPr>
                <w:rFonts w:ascii="Arial" w:cs="Arial" w:eastAsia="Arial" w:hAnsi="Arial"/>
                <w:sz w:val="14"/>
                <w:szCs w:val="14"/>
                <w:color w:val="auto"/>
              </w:rPr>
              <w:t>Due to (from) Sempra Energy</w:t>
            </w:r>
          </w:p>
        </w:tc>
        <w:tc>
          <w:tcPr>
            <w:tcW w:w="220" w:type="dxa"/>
            <w:vAlign w:val="bottom"/>
          </w:tcPr>
          <w:p>
            <w:pPr>
              <w:spacing w:after="0"/>
              <w:rPr>
                <w:sz w:val="18"/>
                <w:szCs w:val="18"/>
                <w:color w:val="auto"/>
              </w:rPr>
            </w:pPr>
          </w:p>
        </w:tc>
        <w:tc>
          <w:tcPr>
            <w:tcW w:w="620" w:type="dxa"/>
            <w:vAlign w:val="bottom"/>
          </w:tcPr>
          <w:p>
            <w:pPr>
              <w:jc w:val="right"/>
              <w:ind w:right="89"/>
              <w:spacing w:after="0"/>
              <w:rPr>
                <w:sz w:val="20"/>
                <w:szCs w:val="20"/>
                <w:color w:val="auto"/>
              </w:rPr>
            </w:pPr>
            <w:r>
              <w:rPr>
                <w:rFonts w:ascii="Arial" w:cs="Arial" w:eastAsia="Arial" w:hAnsi="Arial"/>
                <w:sz w:val="14"/>
                <w:szCs w:val="14"/>
                <w:color w:val="auto"/>
              </w:rPr>
              <w:t>15</w:t>
            </w:r>
          </w:p>
        </w:tc>
        <w:tc>
          <w:tcPr>
            <w:tcW w:w="2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(128 )</w:t>
            </w:r>
          </w:p>
        </w:tc>
        <w:tc>
          <w:tcPr>
            <w:tcW w:w="0" w:type="dxa"/>
            <w:vAlign w:val="bottom"/>
          </w:tcPr>
          <w:p>
            <w:pPr>
              <w:spacing w:after="0"/>
              <w:rPr>
                <w:sz w:val="1"/>
                <w:szCs w:val="1"/>
                <w:color w:val="auto"/>
              </w:rPr>
            </w:pPr>
          </w:p>
        </w:tc>
      </w:tr>
      <w:tr>
        <w:trPr>
          <w:trHeight w:val="216"/>
        </w:trPr>
        <w:tc>
          <w:tcPr>
            <w:tcW w:w="5340" w:type="dxa"/>
            <w:vAlign w:val="bottom"/>
          </w:tcPr>
          <w:p>
            <w:pPr>
              <w:ind w:left="180"/>
              <w:spacing w:after="0"/>
              <w:rPr>
                <w:sz w:val="20"/>
                <w:szCs w:val="20"/>
                <w:color w:val="auto"/>
              </w:rPr>
            </w:pPr>
            <w:r>
              <w:rPr>
                <w:rFonts w:ascii="Arial" w:cs="Arial" w:eastAsia="Arial" w:hAnsi="Arial"/>
                <w:sz w:val="14"/>
                <w:szCs w:val="14"/>
                <w:color w:val="auto"/>
              </w:rPr>
              <w:t>Due to SDG&amp;E</w:t>
            </w:r>
          </w:p>
        </w:tc>
        <w:tc>
          <w:tcPr>
            <w:tcW w:w="220" w:type="dxa"/>
            <w:vAlign w:val="bottom"/>
          </w:tcPr>
          <w:p>
            <w:pPr>
              <w:spacing w:after="0"/>
              <w:rPr>
                <w:sz w:val="18"/>
                <w:szCs w:val="18"/>
                <w:color w:val="auto"/>
              </w:rPr>
            </w:pPr>
          </w:p>
        </w:tc>
        <w:tc>
          <w:tcPr>
            <w:tcW w:w="620" w:type="dxa"/>
            <w:vAlign w:val="bottom"/>
          </w:tcPr>
          <w:p>
            <w:pPr>
              <w:jc w:val="right"/>
              <w:ind w:right="89"/>
              <w:spacing w:after="0"/>
              <w:rPr>
                <w:sz w:val="20"/>
                <w:szCs w:val="20"/>
                <w:color w:val="auto"/>
              </w:rPr>
            </w:pPr>
            <w:r>
              <w:rPr>
                <w:rFonts w:ascii="Arial" w:cs="Arial" w:eastAsia="Arial" w:hAnsi="Arial"/>
                <w:sz w:val="14"/>
                <w:szCs w:val="14"/>
                <w:color w:val="auto"/>
              </w:rPr>
              <w:t>8</w:t>
            </w:r>
          </w:p>
        </w:tc>
        <w:tc>
          <w:tcPr>
            <w:tcW w:w="220" w:type="dxa"/>
            <w:vAlign w:val="bottom"/>
          </w:tcPr>
          <w:p>
            <w:pPr>
              <w:spacing w:after="0"/>
              <w:rPr>
                <w:sz w:val="18"/>
                <w:szCs w:val="18"/>
                <w:color w:val="auto"/>
              </w:rPr>
            </w:pPr>
          </w:p>
        </w:tc>
        <w:tc>
          <w:tcPr>
            <w:tcW w:w="560" w:type="dxa"/>
            <w:vAlign w:val="bottom"/>
          </w:tcPr>
          <w:p>
            <w:pPr>
              <w:jc w:val="right"/>
              <w:ind w:right="28"/>
              <w:spacing w:after="0"/>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222"/>
        </w:trPr>
        <w:tc>
          <w:tcPr>
            <w:tcW w:w="5340" w:type="dxa"/>
            <w:vAlign w:val="bottom"/>
          </w:tcPr>
          <w:p>
            <w:pPr>
              <w:ind w:left="180"/>
              <w:spacing w:after="0"/>
              <w:rPr>
                <w:sz w:val="20"/>
                <w:szCs w:val="20"/>
                <w:color w:val="auto"/>
              </w:rPr>
            </w:pPr>
            <w:r>
              <w:rPr>
                <w:rFonts w:ascii="Arial" w:cs="Arial" w:eastAsia="Arial" w:hAnsi="Arial"/>
                <w:sz w:val="14"/>
                <w:szCs w:val="14"/>
                <w:color w:val="auto"/>
              </w:rPr>
              <w:t>Dividends payable to Sempra Energy</w:t>
            </w:r>
          </w:p>
        </w:tc>
        <w:tc>
          <w:tcPr>
            <w:tcW w:w="2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150</w:t>
            </w:r>
          </w:p>
        </w:tc>
        <w:tc>
          <w:tcPr>
            <w:tcW w:w="0" w:type="dxa"/>
            <w:vAlign w:val="bottom"/>
          </w:tcPr>
          <w:p>
            <w:pPr>
              <w:spacing w:after="0"/>
              <w:rPr>
                <w:sz w:val="1"/>
                <w:szCs w:val="1"/>
                <w:color w:val="auto"/>
              </w:rPr>
            </w:pPr>
          </w:p>
        </w:tc>
      </w:tr>
      <w:tr>
        <w:trPr>
          <w:trHeight w:val="212"/>
        </w:trPr>
        <w:tc>
          <w:tcPr>
            <w:tcW w:w="5340" w:type="dxa"/>
            <w:vAlign w:val="bottom"/>
          </w:tcPr>
          <w:p>
            <w:pPr>
              <w:spacing w:after="0"/>
              <w:rPr>
                <w:sz w:val="18"/>
                <w:szCs w:val="18"/>
                <w:color w:val="auto"/>
              </w:rPr>
            </w:pPr>
          </w:p>
        </w:tc>
        <w:tc>
          <w:tcPr>
            <w:tcW w:w="2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rPr>
              <w:t>106</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125</w:t>
            </w:r>
          </w:p>
        </w:tc>
        <w:tc>
          <w:tcPr>
            <w:tcW w:w="0" w:type="dxa"/>
            <w:vAlign w:val="bottom"/>
          </w:tcPr>
          <w:p>
            <w:pPr>
              <w:spacing w:after="0"/>
              <w:rPr>
                <w:sz w:val="1"/>
                <w:szCs w:val="1"/>
                <w:color w:val="auto"/>
              </w:rPr>
            </w:pPr>
          </w:p>
        </w:tc>
      </w:tr>
      <w:tr>
        <w:trPr>
          <w:trHeight w:val="436"/>
        </w:trPr>
        <w:tc>
          <w:tcPr>
            <w:tcW w:w="5340" w:type="dxa"/>
            <w:vAlign w:val="bottom"/>
          </w:tcPr>
          <w:p>
            <w:pPr>
              <w:ind w:left="180"/>
              <w:spacing w:after="0"/>
              <w:rPr>
                <w:sz w:val="20"/>
                <w:szCs w:val="20"/>
                <w:color w:val="auto"/>
              </w:rPr>
            </w:pPr>
            <w:r>
              <w:rPr>
                <w:rFonts w:ascii="Arial" w:cs="Arial" w:eastAsia="Arial" w:hAnsi="Arial"/>
                <w:sz w:val="14"/>
                <w:szCs w:val="14"/>
                <w:color w:val="auto"/>
              </w:rPr>
              <w:t>Income taxes due to (from) Sempra Energy*</w:t>
            </w:r>
          </w:p>
        </w:tc>
        <w:tc>
          <w:tcPr>
            <w:tcW w:w="2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(66 )</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426"/>
        </w:trPr>
        <w:tc>
          <w:tcPr>
            <w:tcW w:w="5340" w:type="dxa"/>
            <w:vAlign w:val="bottom"/>
          </w:tcPr>
          <w:p>
            <w:pPr>
              <w:spacing w:after="0"/>
              <w:rPr>
                <w:sz w:val="20"/>
                <w:szCs w:val="20"/>
                <w:color w:val="auto"/>
              </w:rPr>
            </w:pPr>
            <w:r>
              <w:rPr>
                <w:rFonts w:ascii="Arial" w:cs="Arial" w:eastAsia="Arial" w:hAnsi="Arial"/>
                <w:sz w:val="14"/>
                <w:szCs w:val="14"/>
                <w:color w:val="auto"/>
              </w:rPr>
              <w:t>Noncurrent:</w:t>
            </w: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5340" w:type="dxa"/>
            <w:vAlign w:val="bottom"/>
          </w:tcPr>
          <w:p>
            <w:pPr>
              <w:ind w:left="180"/>
              <w:spacing w:after="0"/>
              <w:rPr>
                <w:sz w:val="20"/>
                <w:szCs w:val="20"/>
                <w:color w:val="auto"/>
              </w:rPr>
            </w:pPr>
            <w:r>
              <w:rPr>
                <w:rFonts w:ascii="Arial" w:cs="Arial" w:eastAsia="Arial" w:hAnsi="Arial"/>
                <w:sz w:val="14"/>
                <w:szCs w:val="14"/>
                <w:color w:val="auto"/>
              </w:rPr>
              <w:t>Promissory note due from Sempra Energy, variable rate based on short-term</w:t>
            </w:r>
          </w:p>
        </w:tc>
        <w:tc>
          <w:tcPr>
            <w:tcW w:w="22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620" w:type="dxa"/>
            <w:vAlign w:val="bottom"/>
            <w:vMerge w:val="restart"/>
          </w:tcPr>
          <w:p>
            <w:pPr>
              <w:jc w:val="right"/>
              <w:ind w:right="89"/>
              <w:spacing w:after="0"/>
              <w:rPr>
                <w:sz w:val="20"/>
                <w:szCs w:val="20"/>
                <w:color w:val="auto"/>
              </w:rPr>
            </w:pPr>
            <w:r>
              <w:rPr>
                <w:rFonts w:ascii="Arial" w:cs="Arial" w:eastAsia="Arial" w:hAnsi="Arial"/>
                <w:sz w:val="14"/>
                <w:szCs w:val="14"/>
                <w:color w:val="auto"/>
              </w:rPr>
              <w:t>457</w:t>
            </w:r>
          </w:p>
        </w:tc>
        <w:tc>
          <w:tcPr>
            <w:tcW w:w="2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560" w:type="dxa"/>
            <w:vAlign w:val="bottom"/>
            <w:vMerge w:val="restart"/>
          </w:tcPr>
          <w:p>
            <w:pPr>
              <w:jc w:val="right"/>
              <w:ind w:right="28"/>
              <w:spacing w:after="0"/>
              <w:rPr>
                <w:sz w:val="20"/>
                <w:szCs w:val="20"/>
                <w:color w:val="auto"/>
              </w:rPr>
            </w:pPr>
            <w:r>
              <w:rPr>
                <w:rFonts w:ascii="Arial" w:cs="Arial" w:eastAsia="Arial" w:hAnsi="Arial"/>
                <w:sz w:val="14"/>
                <w:szCs w:val="14"/>
                <w:color w:val="auto"/>
              </w:rPr>
              <w:t>457</w:t>
            </w:r>
          </w:p>
        </w:tc>
        <w:tc>
          <w:tcPr>
            <w:tcW w:w="0" w:type="dxa"/>
            <w:vAlign w:val="bottom"/>
          </w:tcPr>
          <w:p>
            <w:pPr>
              <w:spacing w:after="0"/>
              <w:rPr>
                <w:sz w:val="1"/>
                <w:szCs w:val="1"/>
                <w:color w:val="auto"/>
              </w:rPr>
            </w:pPr>
          </w:p>
        </w:tc>
      </w:tr>
      <w:tr>
        <w:trPr>
          <w:trHeight w:val="164"/>
        </w:trPr>
        <w:tc>
          <w:tcPr>
            <w:tcW w:w="5340" w:type="dxa"/>
            <w:vAlign w:val="bottom"/>
          </w:tcPr>
          <w:p>
            <w:pPr>
              <w:ind w:left="360"/>
              <w:spacing w:after="0" w:line="155" w:lineRule="exact"/>
              <w:rPr>
                <w:sz w:val="20"/>
                <w:szCs w:val="20"/>
                <w:color w:val="auto"/>
              </w:rPr>
            </w:pPr>
            <w:r>
              <w:rPr>
                <w:rFonts w:ascii="Arial" w:cs="Arial" w:eastAsia="Arial" w:hAnsi="Arial"/>
                <w:sz w:val="14"/>
                <w:szCs w:val="14"/>
                <w:color w:val="auto"/>
              </w:rPr>
              <w:t>commercial paper rate (0.12% at December 31, 2008)</w:t>
            </w:r>
          </w:p>
        </w:tc>
        <w:tc>
          <w:tcPr>
            <w:tcW w:w="220" w:type="dxa"/>
            <w:vAlign w:val="bottom"/>
            <w:tcBorders>
              <w:bottom w:val="single" w:sz="8" w:color="auto"/>
            </w:tcBorders>
            <w:vMerge w:val="continue"/>
          </w:tcPr>
          <w:p>
            <w:pPr>
              <w:spacing w:after="0"/>
              <w:rPr>
                <w:sz w:val="13"/>
                <w:szCs w:val="13"/>
                <w:color w:val="auto"/>
              </w:rPr>
            </w:pPr>
          </w:p>
        </w:tc>
        <w:tc>
          <w:tcPr>
            <w:tcW w:w="620" w:type="dxa"/>
            <w:vAlign w:val="bottom"/>
            <w:tcBorders>
              <w:bottom w:val="single" w:sz="8" w:color="auto"/>
            </w:tcBorders>
            <w:vMerge w:val="continue"/>
          </w:tcPr>
          <w:p>
            <w:pPr>
              <w:spacing w:after="0"/>
              <w:rPr>
                <w:sz w:val="13"/>
                <w:szCs w:val="13"/>
                <w:color w:val="auto"/>
              </w:rPr>
            </w:pPr>
          </w:p>
        </w:tc>
        <w:tc>
          <w:tcPr>
            <w:tcW w:w="220" w:type="dxa"/>
            <w:vAlign w:val="bottom"/>
            <w:tcBorders>
              <w:bottom w:val="single" w:sz="8" w:color="auto"/>
            </w:tcBorders>
            <w:vMerge w:val="continue"/>
          </w:tcPr>
          <w:p>
            <w:pPr>
              <w:spacing w:after="0"/>
              <w:rPr>
                <w:sz w:val="13"/>
                <w:szCs w:val="13"/>
                <w:color w:val="auto"/>
              </w:rPr>
            </w:pPr>
          </w:p>
        </w:tc>
        <w:tc>
          <w:tcPr>
            <w:tcW w:w="56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426"/>
        </w:trPr>
        <w:tc>
          <w:tcPr>
            <w:tcW w:w="5340" w:type="dxa"/>
            <w:vAlign w:val="bottom"/>
          </w:tcPr>
          <w:p>
            <w:pPr>
              <w:spacing w:after="0"/>
              <w:rPr>
                <w:sz w:val="20"/>
                <w:szCs w:val="20"/>
                <w:color w:val="auto"/>
              </w:rPr>
            </w:pPr>
            <w:r>
              <w:rPr>
                <w:rFonts w:ascii="Arial" w:cs="Arial" w:eastAsia="Arial" w:hAnsi="Arial"/>
                <w:sz w:val="14"/>
                <w:szCs w:val="14"/>
                <w:b w:val="1"/>
                <w:bCs w:val="1"/>
                <w:color w:val="auto"/>
              </w:rPr>
              <w:t>SoCalGas</w:t>
            </w: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340" w:type="dxa"/>
            <w:vAlign w:val="bottom"/>
          </w:tcPr>
          <w:p>
            <w:pPr>
              <w:spacing w:after="0"/>
              <w:rPr>
                <w:sz w:val="20"/>
                <w:szCs w:val="20"/>
                <w:color w:val="auto"/>
              </w:rPr>
            </w:pPr>
            <w:r>
              <w:rPr>
                <w:rFonts w:ascii="Arial" w:cs="Arial" w:eastAsia="Arial" w:hAnsi="Arial"/>
                <w:sz w:val="14"/>
                <w:szCs w:val="14"/>
                <w:color w:val="auto"/>
              </w:rPr>
              <w:t>Current:</w:t>
            </w: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5340" w:type="dxa"/>
            <w:vAlign w:val="bottom"/>
          </w:tcPr>
          <w:p>
            <w:pPr>
              <w:ind w:left="180"/>
              <w:spacing w:after="0"/>
              <w:rPr>
                <w:sz w:val="20"/>
                <w:szCs w:val="20"/>
                <w:color w:val="auto"/>
              </w:rPr>
            </w:pPr>
            <w:r>
              <w:rPr>
                <w:rFonts w:ascii="Arial" w:cs="Arial" w:eastAsia="Arial" w:hAnsi="Arial"/>
                <w:sz w:val="14"/>
                <w:szCs w:val="14"/>
                <w:color w:val="auto"/>
              </w:rPr>
              <w:t>Due from Sempra Energy</w:t>
            </w:r>
          </w:p>
        </w:tc>
        <w:tc>
          <w:tcPr>
            <w:tcW w:w="2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129</w:t>
            </w:r>
          </w:p>
        </w:tc>
        <w:tc>
          <w:tcPr>
            <w:tcW w:w="0" w:type="dxa"/>
            <w:vAlign w:val="bottom"/>
          </w:tcPr>
          <w:p>
            <w:pPr>
              <w:spacing w:after="0"/>
              <w:rPr>
                <w:sz w:val="1"/>
                <w:szCs w:val="1"/>
                <w:color w:val="auto"/>
              </w:rPr>
            </w:pPr>
          </w:p>
        </w:tc>
      </w:tr>
      <w:tr>
        <w:trPr>
          <w:trHeight w:val="426"/>
        </w:trPr>
        <w:tc>
          <w:tcPr>
            <w:tcW w:w="5340" w:type="dxa"/>
            <w:vAlign w:val="bottom"/>
          </w:tcPr>
          <w:p>
            <w:pPr>
              <w:ind w:left="180"/>
              <w:spacing w:after="0"/>
              <w:rPr>
                <w:sz w:val="20"/>
                <w:szCs w:val="20"/>
                <w:color w:val="auto"/>
              </w:rPr>
            </w:pPr>
            <w:r>
              <w:rPr>
                <w:rFonts w:ascii="Arial" w:cs="Arial" w:eastAsia="Arial" w:hAnsi="Arial"/>
                <w:sz w:val="14"/>
                <w:szCs w:val="14"/>
                <w:color w:val="auto"/>
              </w:rPr>
              <w:t>Due to Sempra Energy</w:t>
            </w:r>
          </w:p>
        </w:tc>
        <w:tc>
          <w:tcPr>
            <w:tcW w:w="2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89"/>
              <w:spacing w:after="0"/>
              <w:rPr>
                <w:sz w:val="20"/>
                <w:szCs w:val="20"/>
                <w:color w:val="auto"/>
              </w:rPr>
            </w:pPr>
            <w:r>
              <w:rPr>
                <w:rFonts w:ascii="Arial" w:cs="Arial" w:eastAsia="Arial" w:hAnsi="Arial"/>
                <w:sz w:val="14"/>
                <w:szCs w:val="14"/>
                <w:color w:val="auto"/>
              </w:rPr>
              <w:t>15</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5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6"/>
        </w:trPr>
        <w:tc>
          <w:tcPr>
            <w:tcW w:w="5340" w:type="dxa"/>
            <w:vAlign w:val="bottom"/>
          </w:tcPr>
          <w:p>
            <w:pPr>
              <w:ind w:left="180"/>
              <w:spacing w:after="0"/>
              <w:rPr>
                <w:sz w:val="20"/>
                <w:szCs w:val="20"/>
                <w:color w:val="auto"/>
              </w:rPr>
            </w:pPr>
            <w:r>
              <w:rPr>
                <w:rFonts w:ascii="Arial" w:cs="Arial" w:eastAsia="Arial" w:hAnsi="Arial"/>
                <w:sz w:val="14"/>
                <w:szCs w:val="14"/>
                <w:color w:val="auto"/>
              </w:rPr>
              <w:t>Due to SDG&amp;E</w:t>
            </w:r>
          </w:p>
        </w:tc>
        <w:tc>
          <w:tcPr>
            <w:tcW w:w="220" w:type="dxa"/>
            <w:vAlign w:val="bottom"/>
          </w:tcPr>
          <w:p>
            <w:pPr>
              <w:spacing w:after="0"/>
              <w:rPr>
                <w:sz w:val="18"/>
                <w:szCs w:val="18"/>
                <w:color w:val="auto"/>
              </w:rPr>
            </w:pPr>
          </w:p>
        </w:tc>
        <w:tc>
          <w:tcPr>
            <w:tcW w:w="620" w:type="dxa"/>
            <w:vAlign w:val="bottom"/>
          </w:tcPr>
          <w:p>
            <w:pPr>
              <w:jc w:val="right"/>
              <w:ind w:right="89"/>
              <w:spacing w:after="0"/>
              <w:rPr>
                <w:sz w:val="20"/>
                <w:szCs w:val="20"/>
                <w:color w:val="auto"/>
              </w:rPr>
            </w:pPr>
            <w:r>
              <w:rPr>
                <w:rFonts w:ascii="Arial" w:cs="Arial" w:eastAsia="Arial" w:hAnsi="Arial"/>
                <w:sz w:val="14"/>
                <w:szCs w:val="14"/>
                <w:color w:val="auto"/>
              </w:rPr>
              <w:t>8</w:t>
            </w:r>
          </w:p>
        </w:tc>
        <w:tc>
          <w:tcPr>
            <w:tcW w:w="220" w:type="dxa"/>
            <w:vAlign w:val="bottom"/>
          </w:tcPr>
          <w:p>
            <w:pPr>
              <w:spacing w:after="0"/>
              <w:rPr>
                <w:sz w:val="18"/>
                <w:szCs w:val="18"/>
                <w:color w:val="auto"/>
              </w:rPr>
            </w:pPr>
          </w:p>
        </w:tc>
        <w:tc>
          <w:tcPr>
            <w:tcW w:w="560" w:type="dxa"/>
            <w:vAlign w:val="bottom"/>
          </w:tcPr>
          <w:p>
            <w:pPr>
              <w:jc w:val="right"/>
              <w:ind w:right="28"/>
              <w:spacing w:after="0"/>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222"/>
        </w:trPr>
        <w:tc>
          <w:tcPr>
            <w:tcW w:w="5340" w:type="dxa"/>
            <w:vAlign w:val="bottom"/>
          </w:tcPr>
          <w:p>
            <w:pPr>
              <w:ind w:left="180"/>
              <w:spacing w:after="0"/>
              <w:rPr>
                <w:sz w:val="20"/>
                <w:szCs w:val="20"/>
                <w:color w:val="auto"/>
              </w:rPr>
            </w:pPr>
            <w:r>
              <w:rPr>
                <w:rFonts w:ascii="Arial" w:cs="Arial" w:eastAsia="Arial" w:hAnsi="Arial"/>
                <w:sz w:val="14"/>
                <w:szCs w:val="14"/>
                <w:color w:val="auto"/>
              </w:rPr>
              <w:t>Dividends payable to PE</w:t>
            </w:r>
          </w:p>
        </w:tc>
        <w:tc>
          <w:tcPr>
            <w:tcW w:w="2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150</w:t>
            </w:r>
          </w:p>
        </w:tc>
        <w:tc>
          <w:tcPr>
            <w:tcW w:w="0" w:type="dxa"/>
            <w:vAlign w:val="bottom"/>
          </w:tcPr>
          <w:p>
            <w:pPr>
              <w:spacing w:after="0"/>
              <w:rPr>
                <w:sz w:val="1"/>
                <w:szCs w:val="1"/>
                <w:color w:val="auto"/>
              </w:rPr>
            </w:pPr>
          </w:p>
        </w:tc>
      </w:tr>
      <w:tr>
        <w:trPr>
          <w:trHeight w:val="212"/>
        </w:trPr>
        <w:tc>
          <w:tcPr>
            <w:tcW w:w="5340" w:type="dxa"/>
            <w:vAlign w:val="bottom"/>
          </w:tcPr>
          <w:p>
            <w:pPr>
              <w:spacing w:after="0"/>
              <w:rPr>
                <w:sz w:val="18"/>
                <w:szCs w:val="18"/>
                <w:color w:val="auto"/>
              </w:rPr>
            </w:pPr>
          </w:p>
        </w:tc>
        <w:tc>
          <w:tcPr>
            <w:tcW w:w="2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rPr>
              <w:t>23</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171</w:t>
            </w:r>
          </w:p>
        </w:tc>
        <w:tc>
          <w:tcPr>
            <w:tcW w:w="0" w:type="dxa"/>
            <w:vAlign w:val="bottom"/>
          </w:tcPr>
          <w:p>
            <w:pPr>
              <w:spacing w:after="0"/>
              <w:rPr>
                <w:sz w:val="1"/>
                <w:szCs w:val="1"/>
                <w:color w:val="auto"/>
              </w:rPr>
            </w:pPr>
          </w:p>
        </w:tc>
      </w:tr>
      <w:tr>
        <w:trPr>
          <w:trHeight w:val="448"/>
        </w:trPr>
        <w:tc>
          <w:tcPr>
            <w:tcW w:w="5340" w:type="dxa"/>
            <w:vAlign w:val="bottom"/>
            <w:tcBorders>
              <w:bottom w:val="single" w:sz="8" w:color="auto"/>
            </w:tcBorders>
          </w:tcPr>
          <w:p>
            <w:pPr>
              <w:ind w:left="180"/>
              <w:spacing w:after="0"/>
              <w:rPr>
                <w:sz w:val="20"/>
                <w:szCs w:val="20"/>
                <w:color w:val="auto"/>
              </w:rPr>
            </w:pPr>
            <w:r>
              <w:rPr>
                <w:rFonts w:ascii="Arial" w:cs="Arial" w:eastAsia="Arial" w:hAnsi="Arial"/>
                <w:sz w:val="14"/>
                <w:szCs w:val="14"/>
                <w:color w:val="auto"/>
              </w:rPr>
              <w:t>Income taxes due to Sempra Energy*</w:t>
            </w:r>
          </w:p>
        </w:tc>
        <w:tc>
          <w:tcPr>
            <w:tcW w:w="2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rPr>
              <w:t>1</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67</w:t>
            </w:r>
          </w:p>
        </w:tc>
        <w:tc>
          <w:tcPr>
            <w:tcW w:w="0" w:type="dxa"/>
            <w:vAlign w:val="bottom"/>
          </w:tcPr>
          <w:p>
            <w:pPr>
              <w:spacing w:after="0"/>
              <w:rPr>
                <w:sz w:val="1"/>
                <w:szCs w:val="1"/>
                <w:color w:val="auto"/>
              </w:rPr>
            </w:pPr>
          </w:p>
        </w:tc>
      </w:tr>
    </w:tbl>
    <w:p>
      <w:pPr>
        <w:spacing w:after="0" w:line="16" w:lineRule="exact"/>
        <w:rPr>
          <w:sz w:val="20"/>
          <w:szCs w:val="20"/>
          <w:color w:val="auto"/>
        </w:rPr>
      </w:pPr>
    </w:p>
    <w:p>
      <w:pPr>
        <w:ind w:left="2420" w:right="2260" w:hanging="172"/>
        <w:spacing w:after="0" w:line="263" w:lineRule="auto"/>
        <w:tabs>
          <w:tab w:leader="none" w:pos="2420" w:val="left"/>
        </w:tabs>
        <w:numPr>
          <w:ilvl w:val="0"/>
          <w:numId w:val="327"/>
        </w:numPr>
        <w:rPr>
          <w:rFonts w:ascii="Arial" w:cs="Arial" w:eastAsia="Arial" w:hAnsi="Arial"/>
          <w:sz w:val="13"/>
          <w:szCs w:val="13"/>
          <w:i w:val="1"/>
          <w:iCs w:val="1"/>
          <w:color w:val="auto"/>
        </w:rPr>
      </w:pPr>
      <w:r>
        <w:rPr>
          <w:rFonts w:ascii="Arial" w:cs="Arial" w:eastAsia="Arial" w:hAnsi="Arial"/>
          <w:sz w:val="13"/>
          <w:szCs w:val="13"/>
          <w:i w:val="1"/>
          <w:iCs w:val="1"/>
          <w:color w:val="auto"/>
        </w:rPr>
        <w:t>SDG&amp;E, PE and SoCalGas are included in the consolidated income tax return of Sempra Energy and are allocated income tax expense from Sempra Energy in an amount equal to that which would result from the companies' having always filed a separate return.</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4"/>
          <w:szCs w:val="14"/>
          <w:color w:val="auto"/>
        </w:rPr>
        <w:t>111</w:t>
      </w:r>
    </w:p>
    <w:p>
      <w:pPr>
        <w:sectPr>
          <w:pgSz w:w="11900" w:h="16838" w:orient="portrait"/>
          <w:cols w:equalWidth="0" w:num="1">
            <w:col w:w="11240"/>
          </w:cols>
          <w:pgMar w:left="240" w:top="389" w:right="419" w:bottom="1440" w:gutter="0" w:footer="0" w:header="0"/>
        </w:sectPr>
      </w:pPr>
    </w:p>
    <w:bookmarkStart w:id="251" w:name="page252"/>
    <w:bookmarkEnd w:id="251"/>
    <w:p>
      <w:pPr>
        <w:spacing w:after="0"/>
        <w:rPr>
          <w:sz w:val="20"/>
          <w:szCs w:val="20"/>
          <w:color w:val="auto"/>
        </w:rPr>
      </w:pPr>
      <w:r>
        <w:rPr>
          <w:rFonts w:ascii="Arial" w:cs="Arial" w:eastAsia="Arial" w:hAnsi="Arial"/>
          <w:sz w:val="16"/>
          <w:szCs w:val="16"/>
          <w:color w:val="auto"/>
        </w:rPr>
        <w:t>Revenues from unconsolidated affiliates at the Sempra Utilities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1515745</wp:posOffset>
            </wp:positionH>
            <wp:positionV relativeFrom="paragraph">
              <wp:posOffset>196215</wp:posOffset>
            </wp:positionV>
            <wp:extent cx="4225925" cy="26670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4225925" cy="266700"/>
                    </a:xfrm>
                    <a:prstGeom prst="rect">
                      <a:avLst/>
                    </a:prstGeom>
                    <a:noFill/>
                  </pic:spPr>
                </pic:pic>
              </a:graphicData>
            </a:graphic>
          </wp:anchor>
        </w:drawing>
      </w:r>
    </w:p>
    <w:p>
      <w:pPr>
        <w:spacing w:after="0" w:line="297" w:lineRule="exact"/>
        <w:rPr>
          <w:sz w:val="20"/>
          <w:szCs w:val="20"/>
          <w:color w:val="auto"/>
        </w:rPr>
      </w:pPr>
    </w:p>
    <w:p>
      <w:pPr>
        <w:ind w:left="2400"/>
        <w:spacing w:after="0"/>
        <w:rPr>
          <w:sz w:val="20"/>
          <w:szCs w:val="20"/>
          <w:color w:val="auto"/>
        </w:rPr>
      </w:pPr>
      <w:r>
        <w:rPr>
          <w:rFonts w:ascii="Arial" w:cs="Arial" w:eastAsia="Arial" w:hAnsi="Arial"/>
          <w:sz w:val="14"/>
          <w:szCs w:val="14"/>
          <w:b w:val="1"/>
          <w:bCs w:val="1"/>
          <w:color w:val="auto"/>
        </w:rPr>
        <w:t>REVENUES FROM UNCONSOLIDATED AFFILIATES AT THE SEMPRA UTILITIES</w:t>
      </w:r>
    </w:p>
    <w:p>
      <w:pPr>
        <w:spacing w:after="0" w:line="76" w:lineRule="exact"/>
        <w:rPr>
          <w:sz w:val="20"/>
          <w:szCs w:val="20"/>
          <w:color w:val="auto"/>
        </w:rPr>
      </w:pPr>
    </w:p>
    <w:tbl>
      <w:tblPr>
        <w:tblLayout w:type="fixed"/>
        <w:tblInd w:w="2380" w:type="dxa"/>
        <w:tblCellMar>
          <w:top w:w="0" w:type="dxa"/>
          <w:left w:w="0" w:type="dxa"/>
          <w:bottom w:w="0" w:type="dxa"/>
          <w:right w:w="0" w:type="dxa"/>
        </w:tblCellMar>
      </w:tblPr>
      <w:tr>
        <w:trPr>
          <w:trHeight w:val="166"/>
        </w:trPr>
        <w:tc>
          <w:tcPr>
            <w:tcW w:w="2940" w:type="dxa"/>
            <w:vAlign w:val="bottom"/>
          </w:tcPr>
          <w:p>
            <w:pPr>
              <w:ind w:left="20"/>
              <w:spacing w:after="0"/>
              <w:rPr>
                <w:sz w:val="20"/>
                <w:szCs w:val="20"/>
                <w:color w:val="auto"/>
              </w:rPr>
            </w:pPr>
            <w:r>
              <w:rPr>
                <w:rFonts w:ascii="Arial" w:cs="Arial" w:eastAsia="Arial" w:hAnsi="Arial"/>
                <w:sz w:val="13"/>
                <w:szCs w:val="13"/>
                <w:i w:val="1"/>
                <w:iCs w:val="1"/>
                <w:color w:val="auto"/>
              </w:rPr>
              <w:t>(Dollars in millions)</w:t>
            </w: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221"/>
        </w:trPr>
        <w:tc>
          <w:tcPr>
            <w:tcW w:w="294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211"/>
              <w:spacing w:after="0"/>
              <w:rPr>
                <w:sz w:val="20"/>
                <w:szCs w:val="20"/>
                <w:color w:val="auto"/>
              </w:rPr>
            </w:pPr>
            <w:r>
              <w:rPr>
                <w:rFonts w:ascii="Arial" w:cs="Arial" w:eastAsia="Arial" w:hAnsi="Arial"/>
                <w:sz w:val="13"/>
                <w:szCs w:val="13"/>
                <w:color w:val="auto"/>
              </w:rPr>
              <w:t>2008</w:t>
            </w:r>
          </w:p>
        </w:tc>
        <w:tc>
          <w:tcPr>
            <w:tcW w:w="5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231"/>
              <w:spacing w:after="0"/>
              <w:rPr>
                <w:sz w:val="20"/>
                <w:szCs w:val="20"/>
                <w:color w:val="auto"/>
              </w:rPr>
            </w:pPr>
            <w:r>
              <w:rPr>
                <w:rFonts w:ascii="Arial" w:cs="Arial" w:eastAsia="Arial" w:hAnsi="Arial"/>
                <w:sz w:val="13"/>
                <w:szCs w:val="13"/>
                <w:color w:val="auto"/>
              </w:rPr>
              <w:t>2007</w:t>
            </w:r>
          </w:p>
        </w:tc>
        <w:tc>
          <w:tcPr>
            <w:tcW w:w="5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191"/>
              <w:spacing w:after="0"/>
              <w:rPr>
                <w:sz w:val="20"/>
                <w:szCs w:val="20"/>
                <w:color w:val="auto"/>
              </w:rPr>
            </w:pPr>
            <w:r>
              <w:rPr>
                <w:rFonts w:ascii="Arial" w:cs="Arial" w:eastAsia="Arial" w:hAnsi="Arial"/>
                <w:sz w:val="13"/>
                <w:szCs w:val="13"/>
                <w:color w:val="auto"/>
              </w:rPr>
              <w:t>2006</w:t>
            </w:r>
          </w:p>
        </w:tc>
      </w:tr>
      <w:tr>
        <w:trPr>
          <w:trHeight w:val="207"/>
        </w:trPr>
        <w:tc>
          <w:tcPr>
            <w:tcW w:w="2940" w:type="dxa"/>
            <w:vAlign w:val="bottom"/>
          </w:tcPr>
          <w:p>
            <w:pPr>
              <w:ind w:left="20"/>
              <w:spacing w:after="0"/>
              <w:rPr>
                <w:sz w:val="20"/>
                <w:szCs w:val="20"/>
                <w:color w:val="auto"/>
              </w:rPr>
            </w:pPr>
            <w:r>
              <w:rPr>
                <w:rFonts w:ascii="Arial" w:cs="Arial" w:eastAsia="Arial" w:hAnsi="Arial"/>
                <w:sz w:val="14"/>
                <w:szCs w:val="14"/>
                <w:color w:val="auto"/>
              </w:rPr>
              <w:t>SDG&amp;E</w:t>
            </w:r>
          </w:p>
        </w:tc>
        <w:tc>
          <w:tcPr>
            <w:tcW w:w="4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211"/>
              <w:spacing w:after="0"/>
              <w:rPr>
                <w:sz w:val="20"/>
                <w:szCs w:val="20"/>
                <w:color w:val="auto"/>
              </w:rPr>
            </w:pPr>
            <w:r>
              <w:rPr>
                <w:rFonts w:ascii="Arial" w:cs="Arial" w:eastAsia="Arial" w:hAnsi="Arial"/>
                <w:sz w:val="14"/>
                <w:szCs w:val="14"/>
                <w:color w:val="auto"/>
              </w:rPr>
              <w:t>11</w:t>
            </w:r>
          </w:p>
        </w:tc>
        <w:tc>
          <w:tcPr>
            <w:tcW w:w="54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231"/>
              <w:spacing w:after="0"/>
              <w:rPr>
                <w:sz w:val="20"/>
                <w:szCs w:val="20"/>
                <w:color w:val="auto"/>
              </w:rPr>
            </w:pPr>
            <w:r>
              <w:rPr>
                <w:rFonts w:ascii="Arial" w:cs="Arial" w:eastAsia="Arial" w:hAnsi="Arial"/>
                <w:sz w:val="14"/>
                <w:szCs w:val="14"/>
                <w:color w:val="auto"/>
              </w:rPr>
              <w:t>13</w:t>
            </w:r>
          </w:p>
        </w:tc>
        <w:tc>
          <w:tcPr>
            <w:tcW w:w="54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191"/>
              <w:spacing w:after="0"/>
              <w:rPr>
                <w:sz w:val="20"/>
                <w:szCs w:val="20"/>
                <w:color w:val="auto"/>
              </w:rPr>
            </w:pPr>
            <w:r>
              <w:rPr>
                <w:rFonts w:ascii="Arial" w:cs="Arial" w:eastAsia="Arial" w:hAnsi="Arial"/>
                <w:sz w:val="14"/>
                <w:szCs w:val="14"/>
                <w:color w:val="auto"/>
              </w:rPr>
              <w:t>15</w:t>
            </w:r>
          </w:p>
        </w:tc>
      </w:tr>
      <w:tr>
        <w:trPr>
          <w:trHeight w:val="250"/>
        </w:trPr>
        <w:tc>
          <w:tcPr>
            <w:tcW w:w="2940" w:type="dxa"/>
            <w:vAlign w:val="bottom"/>
            <w:tcBorders>
              <w:bottom w:val="single" w:sz="8" w:color="DFDFDF"/>
            </w:tcBorders>
          </w:tcPr>
          <w:p>
            <w:pPr>
              <w:ind w:left="20"/>
              <w:spacing w:after="0"/>
              <w:rPr>
                <w:sz w:val="20"/>
                <w:szCs w:val="20"/>
                <w:color w:val="auto"/>
              </w:rPr>
            </w:pPr>
            <w:r>
              <w:rPr>
                <w:rFonts w:ascii="Arial" w:cs="Arial" w:eastAsia="Arial" w:hAnsi="Arial"/>
                <w:sz w:val="14"/>
                <w:szCs w:val="14"/>
                <w:color w:val="auto"/>
              </w:rPr>
              <w:t>SoCalGas</w:t>
            </w:r>
          </w:p>
        </w:tc>
        <w:tc>
          <w:tcPr>
            <w:tcW w:w="460" w:type="dxa"/>
            <w:vAlign w:val="bottom"/>
            <w:tcBorders>
              <w:bottom w:val="single" w:sz="8" w:color="DFDFDF"/>
            </w:tcBorders>
          </w:tcPr>
          <w:p>
            <w:pPr>
              <w:spacing w:after="0"/>
              <w:rPr>
                <w:sz w:val="21"/>
                <w:szCs w:val="21"/>
                <w:color w:val="auto"/>
              </w:rPr>
            </w:pPr>
          </w:p>
        </w:tc>
        <w:tc>
          <w:tcPr>
            <w:tcW w:w="740" w:type="dxa"/>
            <w:vAlign w:val="bottom"/>
            <w:tcBorders>
              <w:bottom w:val="single" w:sz="8" w:color="DFDFDF"/>
            </w:tcBorders>
          </w:tcPr>
          <w:p>
            <w:pPr>
              <w:jc w:val="right"/>
              <w:ind w:right="211"/>
              <w:spacing w:after="0"/>
              <w:rPr>
                <w:sz w:val="20"/>
                <w:szCs w:val="20"/>
                <w:color w:val="auto"/>
              </w:rPr>
            </w:pPr>
            <w:r>
              <w:rPr>
                <w:rFonts w:ascii="Arial" w:cs="Arial" w:eastAsia="Arial" w:hAnsi="Arial"/>
                <w:sz w:val="14"/>
                <w:szCs w:val="14"/>
                <w:color w:val="auto"/>
              </w:rPr>
              <w:t>36</w:t>
            </w:r>
          </w:p>
        </w:tc>
        <w:tc>
          <w:tcPr>
            <w:tcW w:w="540" w:type="dxa"/>
            <w:vAlign w:val="bottom"/>
            <w:tcBorders>
              <w:bottom w:val="single" w:sz="8" w:color="DFDFDF"/>
            </w:tcBorders>
          </w:tcPr>
          <w:p>
            <w:pPr>
              <w:spacing w:after="0"/>
              <w:rPr>
                <w:sz w:val="21"/>
                <w:szCs w:val="21"/>
                <w:color w:val="auto"/>
              </w:rPr>
            </w:pPr>
          </w:p>
        </w:tc>
        <w:tc>
          <w:tcPr>
            <w:tcW w:w="740" w:type="dxa"/>
            <w:vAlign w:val="bottom"/>
            <w:tcBorders>
              <w:bottom w:val="single" w:sz="8" w:color="DFDFDF"/>
            </w:tcBorders>
          </w:tcPr>
          <w:p>
            <w:pPr>
              <w:jc w:val="right"/>
              <w:ind w:right="231"/>
              <w:spacing w:after="0"/>
              <w:rPr>
                <w:sz w:val="20"/>
                <w:szCs w:val="20"/>
                <w:color w:val="auto"/>
              </w:rPr>
            </w:pPr>
            <w:r>
              <w:rPr>
                <w:rFonts w:ascii="Arial" w:cs="Arial" w:eastAsia="Arial" w:hAnsi="Arial"/>
                <w:sz w:val="14"/>
                <w:szCs w:val="14"/>
                <w:color w:val="auto"/>
              </w:rPr>
              <w:t>68</w:t>
            </w:r>
          </w:p>
        </w:tc>
        <w:tc>
          <w:tcPr>
            <w:tcW w:w="540" w:type="dxa"/>
            <w:vAlign w:val="bottom"/>
            <w:tcBorders>
              <w:bottom w:val="single" w:sz="8" w:color="DFDFDF"/>
            </w:tcBorders>
          </w:tcPr>
          <w:p>
            <w:pPr>
              <w:spacing w:after="0"/>
              <w:rPr>
                <w:sz w:val="21"/>
                <w:szCs w:val="21"/>
                <w:color w:val="auto"/>
              </w:rPr>
            </w:pPr>
          </w:p>
        </w:tc>
        <w:tc>
          <w:tcPr>
            <w:tcW w:w="700" w:type="dxa"/>
            <w:vAlign w:val="bottom"/>
            <w:tcBorders>
              <w:bottom w:val="single" w:sz="8" w:color="DFDFDF"/>
            </w:tcBorders>
          </w:tcPr>
          <w:p>
            <w:pPr>
              <w:jc w:val="right"/>
              <w:ind w:right="191"/>
              <w:spacing w:after="0"/>
              <w:rPr>
                <w:sz w:val="20"/>
                <w:szCs w:val="20"/>
                <w:color w:val="auto"/>
              </w:rPr>
            </w:pPr>
            <w:r>
              <w:rPr>
                <w:rFonts w:ascii="Arial" w:cs="Arial" w:eastAsia="Arial" w:hAnsi="Arial"/>
                <w:sz w:val="14"/>
                <w:szCs w:val="14"/>
                <w:color w:val="auto"/>
              </w:rPr>
              <w:t>52</w:t>
            </w:r>
          </w:p>
        </w:tc>
      </w:tr>
    </w:tbl>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Transactions with RBS Sempra Commodities</w:t>
      </w:r>
    </w:p>
    <w:p>
      <w:pPr>
        <w:spacing w:after="0" w:line="23" w:lineRule="exact"/>
        <w:rPr>
          <w:sz w:val="20"/>
          <w:szCs w:val="20"/>
          <w:color w:val="auto"/>
        </w:rPr>
      </w:pPr>
    </w:p>
    <w:p>
      <w:pPr>
        <w:ind w:right="320"/>
        <w:spacing w:after="0" w:line="277" w:lineRule="auto"/>
        <w:rPr>
          <w:sz w:val="20"/>
          <w:szCs w:val="20"/>
          <w:color w:val="auto"/>
        </w:rPr>
      </w:pPr>
      <w:r>
        <w:rPr>
          <w:rFonts w:ascii="Arial" w:cs="Arial" w:eastAsia="Arial" w:hAnsi="Arial"/>
          <w:sz w:val="16"/>
          <w:szCs w:val="16"/>
          <w:color w:val="auto"/>
        </w:rPr>
        <w:t>Several of our business units engage in transactions with RBS Sempra Commodities. Amounts in our Consolidated Financial Statements related to these transactions are as follows:</w:t>
      </w:r>
    </w:p>
    <w:p>
      <w:pPr>
        <w:spacing w:after="0" w:line="328" w:lineRule="exact"/>
        <w:rPr>
          <w:sz w:val="20"/>
          <w:szCs w:val="20"/>
          <w:color w:val="auto"/>
        </w:rPr>
      </w:pPr>
    </w:p>
    <w:p>
      <w:pPr>
        <w:ind w:left="2620"/>
        <w:spacing w:after="0"/>
        <w:rPr>
          <w:sz w:val="20"/>
          <w:szCs w:val="20"/>
          <w:color w:val="auto"/>
        </w:rPr>
      </w:pPr>
      <w:r>
        <w:rPr>
          <w:rFonts w:ascii="Arial" w:cs="Arial" w:eastAsia="Arial" w:hAnsi="Arial"/>
          <w:sz w:val="14"/>
          <w:szCs w:val="14"/>
          <w:b w:val="1"/>
          <w:bCs w:val="1"/>
          <w:color w:val="auto"/>
        </w:rPr>
        <w:t>AMOUNTS RECORDED FOR TRANSACTIONS WITH RBS SEMPRA COMMODITIES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1660525</wp:posOffset>
            </wp:positionH>
            <wp:positionV relativeFrom="paragraph">
              <wp:posOffset>-99060</wp:posOffset>
            </wp:positionV>
            <wp:extent cx="3943350" cy="25908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3943350" cy="259080"/>
                    </a:xfrm>
                    <a:prstGeom prst="rect">
                      <a:avLst/>
                    </a:prstGeom>
                    <a:noFill/>
                  </pic:spPr>
                </pic:pic>
              </a:graphicData>
            </a:graphic>
          </wp:anchor>
        </w:drawing>
      </w:r>
    </w:p>
    <w:p>
      <w:pPr>
        <w:spacing w:after="0" w:line="56" w:lineRule="exact"/>
        <w:rPr>
          <w:sz w:val="20"/>
          <w:szCs w:val="20"/>
          <w:color w:val="auto"/>
        </w:rPr>
      </w:pPr>
    </w:p>
    <w:p>
      <w:pPr>
        <w:ind w:left="2620"/>
        <w:spacing w:after="0"/>
        <w:rPr>
          <w:sz w:val="20"/>
          <w:szCs w:val="20"/>
          <w:color w:val="auto"/>
        </w:rPr>
      </w:pPr>
      <w:r>
        <w:rPr>
          <w:rFonts w:ascii="Arial" w:cs="Arial" w:eastAsia="Arial" w:hAnsi="Arial"/>
          <w:sz w:val="13"/>
          <w:szCs w:val="13"/>
          <w:i w:val="1"/>
          <w:iCs w:val="1"/>
          <w:color w:val="auto"/>
        </w:rPr>
        <w:t>(Dollars in millions)</w:t>
      </w:r>
    </w:p>
    <w:p>
      <w:pPr>
        <w:spacing w:after="0" w:line="79" w:lineRule="exact"/>
        <w:rPr>
          <w:sz w:val="20"/>
          <w:szCs w:val="20"/>
          <w:color w:val="auto"/>
        </w:rPr>
      </w:pPr>
    </w:p>
    <w:tbl>
      <w:tblPr>
        <w:tblLayout w:type="fixed"/>
        <w:tblInd w:w="2620" w:type="dxa"/>
        <w:tblCellMar>
          <w:top w:w="0" w:type="dxa"/>
          <w:left w:w="0" w:type="dxa"/>
          <w:bottom w:w="0" w:type="dxa"/>
          <w:right w:w="0" w:type="dxa"/>
        </w:tblCellMar>
      </w:tblPr>
      <w:tr>
        <w:trPr>
          <w:trHeight w:val="159"/>
        </w:trPr>
        <w:tc>
          <w:tcPr>
            <w:tcW w:w="474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188"/>
              <w:spacing w:after="0"/>
              <w:rPr>
                <w:sz w:val="20"/>
                <w:szCs w:val="20"/>
                <w:color w:val="auto"/>
              </w:rPr>
            </w:pPr>
            <w:r>
              <w:rPr>
                <w:rFonts w:ascii="Arial" w:cs="Arial" w:eastAsia="Arial" w:hAnsi="Arial"/>
                <w:sz w:val="13"/>
                <w:szCs w:val="13"/>
                <w:color w:val="auto"/>
              </w:rPr>
              <w:t>2008*</w:t>
            </w:r>
          </w:p>
        </w:tc>
      </w:tr>
      <w:tr>
        <w:trPr>
          <w:trHeight w:val="207"/>
        </w:trPr>
        <w:tc>
          <w:tcPr>
            <w:tcW w:w="4740" w:type="dxa"/>
            <w:vAlign w:val="bottom"/>
          </w:tcPr>
          <w:p>
            <w:pPr>
              <w:spacing w:after="0"/>
              <w:rPr>
                <w:sz w:val="20"/>
                <w:szCs w:val="20"/>
                <w:color w:val="auto"/>
              </w:rPr>
            </w:pPr>
            <w:r>
              <w:rPr>
                <w:rFonts w:ascii="Arial" w:cs="Arial" w:eastAsia="Arial" w:hAnsi="Arial"/>
                <w:sz w:val="14"/>
                <w:szCs w:val="14"/>
                <w:color w:val="auto"/>
              </w:rPr>
              <w:t>Revenues:</w:t>
            </w: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16"/>
        </w:trPr>
        <w:tc>
          <w:tcPr>
            <w:tcW w:w="4740" w:type="dxa"/>
            <w:vAlign w:val="bottom"/>
          </w:tcPr>
          <w:p>
            <w:pPr>
              <w:ind w:left="300"/>
              <w:spacing w:after="0"/>
              <w:rPr>
                <w:sz w:val="20"/>
                <w:szCs w:val="20"/>
                <w:color w:val="auto"/>
              </w:rPr>
            </w:pPr>
            <w:r>
              <w:rPr>
                <w:rFonts w:ascii="Arial" w:cs="Arial" w:eastAsia="Arial" w:hAnsi="Arial"/>
                <w:sz w:val="14"/>
                <w:szCs w:val="14"/>
                <w:color w:val="auto"/>
              </w:rPr>
              <w:t>SoCalGas</w:t>
            </w:r>
          </w:p>
        </w:tc>
        <w:tc>
          <w:tcPr>
            <w:tcW w:w="80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88"/>
              <w:spacing w:after="0"/>
              <w:rPr>
                <w:sz w:val="20"/>
                <w:szCs w:val="20"/>
                <w:color w:val="auto"/>
              </w:rPr>
            </w:pPr>
            <w:r>
              <w:rPr>
                <w:rFonts w:ascii="Arial" w:cs="Arial" w:eastAsia="Arial" w:hAnsi="Arial"/>
                <w:sz w:val="14"/>
                <w:szCs w:val="14"/>
                <w:color w:val="auto"/>
              </w:rPr>
              <w:t>12</w:t>
            </w:r>
          </w:p>
        </w:tc>
      </w:tr>
      <w:tr>
        <w:trPr>
          <w:trHeight w:val="216"/>
        </w:trPr>
        <w:tc>
          <w:tcPr>
            <w:tcW w:w="4740" w:type="dxa"/>
            <w:vAlign w:val="bottom"/>
          </w:tcPr>
          <w:p>
            <w:pPr>
              <w:ind w:left="300"/>
              <w:spacing w:after="0"/>
              <w:rPr>
                <w:sz w:val="20"/>
                <w:szCs w:val="20"/>
                <w:color w:val="auto"/>
              </w:rPr>
            </w:pPr>
            <w:r>
              <w:rPr>
                <w:rFonts w:ascii="Arial" w:cs="Arial" w:eastAsia="Arial" w:hAnsi="Arial"/>
                <w:sz w:val="14"/>
                <w:szCs w:val="14"/>
                <w:color w:val="auto"/>
              </w:rPr>
              <w:t>Sempra Commodities</w:t>
            </w: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ind w:right="88"/>
              <w:spacing w:after="0"/>
              <w:rPr>
                <w:sz w:val="20"/>
                <w:szCs w:val="20"/>
                <w:color w:val="auto"/>
              </w:rPr>
            </w:pPr>
            <w:r>
              <w:rPr>
                <w:rFonts w:ascii="Arial" w:cs="Arial" w:eastAsia="Arial" w:hAnsi="Arial"/>
                <w:sz w:val="14"/>
                <w:szCs w:val="14"/>
                <w:color w:val="auto"/>
              </w:rPr>
              <w:t>8</w:t>
            </w:r>
          </w:p>
        </w:tc>
      </w:tr>
      <w:tr>
        <w:trPr>
          <w:trHeight w:val="216"/>
        </w:trPr>
        <w:tc>
          <w:tcPr>
            <w:tcW w:w="4740" w:type="dxa"/>
            <w:vAlign w:val="bottom"/>
          </w:tcPr>
          <w:p>
            <w:pPr>
              <w:ind w:left="300"/>
              <w:spacing w:after="0"/>
              <w:rPr>
                <w:sz w:val="20"/>
                <w:szCs w:val="20"/>
                <w:color w:val="auto"/>
              </w:rPr>
            </w:pPr>
            <w:r>
              <w:rPr>
                <w:rFonts w:ascii="Arial" w:cs="Arial" w:eastAsia="Arial" w:hAnsi="Arial"/>
                <w:sz w:val="14"/>
                <w:szCs w:val="14"/>
                <w:color w:val="auto"/>
              </w:rPr>
              <w:t>Sempra Generation</w:t>
            </w: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ind w:right="88"/>
              <w:spacing w:after="0"/>
              <w:rPr>
                <w:sz w:val="20"/>
                <w:szCs w:val="20"/>
                <w:color w:val="auto"/>
              </w:rPr>
            </w:pPr>
            <w:r>
              <w:rPr>
                <w:rFonts w:ascii="Arial" w:cs="Arial" w:eastAsia="Arial" w:hAnsi="Arial"/>
                <w:sz w:val="14"/>
                <w:szCs w:val="14"/>
                <w:color w:val="auto"/>
              </w:rPr>
              <w:t>23</w:t>
            </w:r>
          </w:p>
        </w:tc>
      </w:tr>
      <w:tr>
        <w:trPr>
          <w:trHeight w:val="222"/>
        </w:trPr>
        <w:tc>
          <w:tcPr>
            <w:tcW w:w="4740" w:type="dxa"/>
            <w:vAlign w:val="bottom"/>
          </w:tcPr>
          <w:p>
            <w:pPr>
              <w:ind w:left="300"/>
              <w:spacing w:after="0"/>
              <w:rPr>
                <w:sz w:val="20"/>
                <w:szCs w:val="20"/>
                <w:color w:val="auto"/>
              </w:rPr>
            </w:pPr>
            <w:r>
              <w:rPr>
                <w:rFonts w:ascii="Arial" w:cs="Arial" w:eastAsia="Arial" w:hAnsi="Arial"/>
                <w:sz w:val="14"/>
                <w:szCs w:val="14"/>
                <w:color w:val="auto"/>
              </w:rPr>
              <w:t>Sempra LNG**</w:t>
            </w:r>
          </w:p>
        </w:tc>
        <w:tc>
          <w:tcPr>
            <w:tcW w:w="6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33</w:t>
            </w:r>
          </w:p>
        </w:tc>
      </w:tr>
      <w:tr>
        <w:trPr>
          <w:trHeight w:val="224"/>
        </w:trPr>
        <w:tc>
          <w:tcPr>
            <w:tcW w:w="4740" w:type="dxa"/>
            <w:vAlign w:val="bottom"/>
          </w:tcPr>
          <w:p>
            <w:pPr>
              <w:ind w:left="480"/>
              <w:spacing w:after="0"/>
              <w:rPr>
                <w:sz w:val="20"/>
                <w:szCs w:val="20"/>
                <w:color w:val="auto"/>
              </w:rPr>
            </w:pPr>
            <w:r>
              <w:rPr>
                <w:rFonts w:ascii="Arial" w:cs="Arial" w:eastAsia="Arial" w:hAnsi="Arial"/>
                <w:sz w:val="14"/>
                <w:szCs w:val="14"/>
                <w:color w:val="auto"/>
              </w:rPr>
              <w:t>Total revenues</w:t>
            </w:r>
          </w:p>
        </w:tc>
        <w:tc>
          <w:tcPr>
            <w:tcW w:w="80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88"/>
              <w:spacing w:after="0"/>
              <w:rPr>
                <w:sz w:val="20"/>
                <w:szCs w:val="20"/>
                <w:color w:val="auto"/>
              </w:rPr>
            </w:pPr>
            <w:r>
              <w:rPr>
                <w:rFonts w:ascii="Arial" w:cs="Arial" w:eastAsia="Arial" w:hAnsi="Arial"/>
                <w:sz w:val="14"/>
                <w:szCs w:val="14"/>
                <w:color w:val="auto"/>
              </w:rPr>
              <w:t>76</w:t>
            </w:r>
          </w:p>
        </w:tc>
      </w:tr>
      <w:tr>
        <w:trPr>
          <w:trHeight w:val="426"/>
        </w:trPr>
        <w:tc>
          <w:tcPr>
            <w:tcW w:w="4740" w:type="dxa"/>
            <w:vAlign w:val="bottom"/>
          </w:tcPr>
          <w:p>
            <w:pPr>
              <w:spacing w:after="0"/>
              <w:rPr>
                <w:sz w:val="20"/>
                <w:szCs w:val="20"/>
                <w:color w:val="auto"/>
              </w:rPr>
            </w:pPr>
            <w:r>
              <w:rPr>
                <w:rFonts w:ascii="Arial" w:cs="Arial" w:eastAsia="Arial" w:hAnsi="Arial"/>
                <w:sz w:val="14"/>
                <w:szCs w:val="14"/>
                <w:color w:val="auto"/>
              </w:rPr>
              <w:t>Cost of natural gas:</w:t>
            </w:r>
          </w:p>
        </w:tc>
        <w:tc>
          <w:tcPr>
            <w:tcW w:w="6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r>
      <w:tr>
        <w:trPr>
          <w:trHeight w:val="216"/>
        </w:trPr>
        <w:tc>
          <w:tcPr>
            <w:tcW w:w="4740" w:type="dxa"/>
            <w:vAlign w:val="bottom"/>
          </w:tcPr>
          <w:p>
            <w:pPr>
              <w:ind w:left="300"/>
              <w:spacing w:after="0"/>
              <w:rPr>
                <w:sz w:val="20"/>
                <w:szCs w:val="20"/>
                <w:color w:val="auto"/>
              </w:rPr>
            </w:pPr>
            <w:r>
              <w:rPr>
                <w:rFonts w:ascii="Arial" w:cs="Arial" w:eastAsia="Arial" w:hAnsi="Arial"/>
                <w:sz w:val="14"/>
                <w:szCs w:val="14"/>
                <w:color w:val="auto"/>
              </w:rPr>
              <w:t>SoCalGas</w:t>
            </w:r>
          </w:p>
        </w:tc>
        <w:tc>
          <w:tcPr>
            <w:tcW w:w="80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88"/>
              <w:spacing w:after="0"/>
              <w:rPr>
                <w:sz w:val="20"/>
                <w:szCs w:val="20"/>
                <w:color w:val="auto"/>
              </w:rPr>
            </w:pPr>
            <w:r>
              <w:rPr>
                <w:rFonts w:ascii="Arial" w:cs="Arial" w:eastAsia="Arial" w:hAnsi="Arial"/>
                <w:sz w:val="14"/>
                <w:szCs w:val="14"/>
                <w:color w:val="auto"/>
              </w:rPr>
              <w:t>22</w:t>
            </w:r>
          </w:p>
        </w:tc>
      </w:tr>
      <w:tr>
        <w:trPr>
          <w:trHeight w:val="222"/>
        </w:trPr>
        <w:tc>
          <w:tcPr>
            <w:tcW w:w="4740" w:type="dxa"/>
            <w:vAlign w:val="bottom"/>
          </w:tcPr>
          <w:p>
            <w:pPr>
              <w:ind w:left="300"/>
              <w:spacing w:after="0"/>
              <w:rPr>
                <w:sz w:val="20"/>
                <w:szCs w:val="20"/>
                <w:color w:val="auto"/>
              </w:rPr>
            </w:pPr>
            <w:r>
              <w:rPr>
                <w:rFonts w:ascii="Arial" w:cs="Arial" w:eastAsia="Arial" w:hAnsi="Arial"/>
                <w:sz w:val="14"/>
                <w:szCs w:val="14"/>
                <w:color w:val="auto"/>
              </w:rPr>
              <w:t>Sempra Pipelines &amp; Storage</w:t>
            </w:r>
          </w:p>
        </w:tc>
        <w:tc>
          <w:tcPr>
            <w:tcW w:w="6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34</w:t>
            </w:r>
          </w:p>
        </w:tc>
      </w:tr>
      <w:tr>
        <w:trPr>
          <w:trHeight w:val="224"/>
        </w:trPr>
        <w:tc>
          <w:tcPr>
            <w:tcW w:w="4740" w:type="dxa"/>
            <w:vAlign w:val="bottom"/>
            <w:tcBorders>
              <w:bottom w:val="single" w:sz="8" w:color="auto"/>
            </w:tcBorders>
          </w:tcPr>
          <w:p>
            <w:pPr>
              <w:ind w:left="480"/>
              <w:spacing w:after="0"/>
              <w:rPr>
                <w:sz w:val="20"/>
                <w:szCs w:val="20"/>
                <w:color w:val="auto"/>
              </w:rPr>
            </w:pPr>
            <w:r>
              <w:rPr>
                <w:rFonts w:ascii="Arial" w:cs="Arial" w:eastAsia="Arial" w:hAnsi="Arial"/>
                <w:sz w:val="14"/>
                <w:szCs w:val="14"/>
                <w:color w:val="auto"/>
              </w:rPr>
              <w:t>Total cost of natural gas</w:t>
            </w:r>
          </w:p>
        </w:tc>
        <w:tc>
          <w:tcPr>
            <w:tcW w:w="80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56</w:t>
            </w:r>
          </w:p>
        </w:tc>
      </w:tr>
      <w:tr>
        <w:trPr>
          <w:trHeight w:val="391"/>
        </w:trPr>
        <w:tc>
          <w:tcPr>
            <w:tcW w:w="474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color w:val="auto"/>
              </w:rPr>
              <w:t>December 31, 2008</w:t>
            </w:r>
          </w:p>
        </w:tc>
      </w:tr>
      <w:tr>
        <w:trPr>
          <w:trHeight w:val="207"/>
        </w:trPr>
        <w:tc>
          <w:tcPr>
            <w:tcW w:w="4740" w:type="dxa"/>
            <w:vAlign w:val="bottom"/>
          </w:tcPr>
          <w:p>
            <w:pPr>
              <w:spacing w:after="0"/>
              <w:rPr>
                <w:sz w:val="20"/>
                <w:szCs w:val="20"/>
                <w:color w:val="auto"/>
              </w:rPr>
            </w:pPr>
            <w:r>
              <w:rPr>
                <w:rFonts w:ascii="Arial" w:cs="Arial" w:eastAsia="Arial" w:hAnsi="Arial"/>
                <w:sz w:val="14"/>
                <w:szCs w:val="14"/>
                <w:color w:val="auto"/>
              </w:rPr>
              <w:t>Fixed price contracts and other derivatives – Current Asset (Liability):</w:t>
            </w: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16"/>
        </w:trPr>
        <w:tc>
          <w:tcPr>
            <w:tcW w:w="4740" w:type="dxa"/>
            <w:vAlign w:val="bottom"/>
          </w:tcPr>
          <w:p>
            <w:pPr>
              <w:ind w:left="300"/>
              <w:spacing w:after="0"/>
              <w:rPr>
                <w:sz w:val="20"/>
                <w:szCs w:val="20"/>
                <w:color w:val="auto"/>
              </w:rPr>
            </w:pPr>
            <w:r>
              <w:rPr>
                <w:rFonts w:ascii="Arial" w:cs="Arial" w:eastAsia="Arial" w:hAnsi="Arial"/>
                <w:sz w:val="14"/>
                <w:szCs w:val="14"/>
                <w:color w:val="auto"/>
              </w:rPr>
              <w:t>Sempra Generation</w:t>
            </w:r>
          </w:p>
        </w:tc>
        <w:tc>
          <w:tcPr>
            <w:tcW w:w="80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88"/>
              <w:spacing w:after="0"/>
              <w:rPr>
                <w:sz w:val="20"/>
                <w:szCs w:val="20"/>
                <w:color w:val="auto"/>
              </w:rPr>
            </w:pPr>
            <w:r>
              <w:rPr>
                <w:rFonts w:ascii="Arial" w:cs="Arial" w:eastAsia="Arial" w:hAnsi="Arial"/>
                <w:sz w:val="14"/>
                <w:szCs w:val="14"/>
                <w:color w:val="auto"/>
              </w:rPr>
              <w:t>35</w:t>
            </w:r>
          </w:p>
        </w:tc>
      </w:tr>
      <w:tr>
        <w:trPr>
          <w:trHeight w:val="222"/>
        </w:trPr>
        <w:tc>
          <w:tcPr>
            <w:tcW w:w="4740" w:type="dxa"/>
            <w:vAlign w:val="bottom"/>
          </w:tcPr>
          <w:p>
            <w:pPr>
              <w:ind w:left="300"/>
              <w:spacing w:after="0"/>
              <w:rPr>
                <w:sz w:val="20"/>
                <w:szCs w:val="20"/>
                <w:color w:val="auto"/>
              </w:rPr>
            </w:pPr>
            <w:r>
              <w:rPr>
                <w:rFonts w:ascii="Arial" w:cs="Arial" w:eastAsia="Arial" w:hAnsi="Arial"/>
                <w:sz w:val="14"/>
                <w:szCs w:val="14"/>
                <w:color w:val="auto"/>
              </w:rPr>
              <w:t>Sempra LNG</w:t>
            </w:r>
          </w:p>
        </w:tc>
        <w:tc>
          <w:tcPr>
            <w:tcW w:w="6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(44 )</w:t>
            </w:r>
          </w:p>
        </w:tc>
      </w:tr>
      <w:tr>
        <w:trPr>
          <w:trHeight w:val="200"/>
        </w:trPr>
        <w:tc>
          <w:tcPr>
            <w:tcW w:w="4740" w:type="dxa"/>
            <w:vAlign w:val="bottom"/>
          </w:tcPr>
          <w:p>
            <w:pPr>
              <w:ind w:left="480"/>
              <w:spacing w:after="0"/>
              <w:rPr>
                <w:sz w:val="20"/>
                <w:szCs w:val="20"/>
                <w:color w:val="auto"/>
              </w:rPr>
            </w:pPr>
            <w:r>
              <w:rPr>
                <w:rFonts w:ascii="Arial" w:cs="Arial" w:eastAsia="Arial" w:hAnsi="Arial"/>
                <w:sz w:val="14"/>
                <w:szCs w:val="14"/>
                <w:color w:val="auto"/>
              </w:rPr>
              <w:t>Total</w:t>
            </w:r>
          </w:p>
        </w:tc>
        <w:tc>
          <w:tcPr>
            <w:tcW w:w="80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(9 )</w:t>
            </w:r>
          </w:p>
        </w:tc>
      </w:tr>
      <w:tr>
        <w:trPr>
          <w:trHeight w:val="426"/>
        </w:trPr>
        <w:tc>
          <w:tcPr>
            <w:tcW w:w="4740" w:type="dxa"/>
            <w:vAlign w:val="bottom"/>
          </w:tcPr>
          <w:p>
            <w:pPr>
              <w:spacing w:after="0"/>
              <w:rPr>
                <w:sz w:val="20"/>
                <w:szCs w:val="20"/>
                <w:color w:val="auto"/>
              </w:rPr>
            </w:pPr>
            <w:r>
              <w:rPr>
                <w:rFonts w:ascii="Arial" w:cs="Arial" w:eastAsia="Arial" w:hAnsi="Arial"/>
                <w:sz w:val="14"/>
                <w:szCs w:val="14"/>
                <w:color w:val="auto"/>
              </w:rPr>
              <w:t>Due to unconsolidated affiliates:</w:t>
            </w:r>
          </w:p>
        </w:tc>
        <w:tc>
          <w:tcPr>
            <w:tcW w:w="6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r>
      <w:tr>
        <w:trPr>
          <w:trHeight w:val="216"/>
        </w:trPr>
        <w:tc>
          <w:tcPr>
            <w:tcW w:w="4740" w:type="dxa"/>
            <w:vAlign w:val="bottom"/>
          </w:tcPr>
          <w:p>
            <w:pPr>
              <w:ind w:left="300"/>
              <w:spacing w:after="0"/>
              <w:rPr>
                <w:sz w:val="20"/>
                <w:szCs w:val="20"/>
                <w:color w:val="auto"/>
              </w:rPr>
            </w:pPr>
            <w:r>
              <w:rPr>
                <w:rFonts w:ascii="Arial" w:cs="Arial" w:eastAsia="Arial" w:hAnsi="Arial"/>
                <w:sz w:val="14"/>
                <w:szCs w:val="14"/>
                <w:color w:val="auto"/>
              </w:rPr>
              <w:t>Sempra Generation</w:t>
            </w:r>
          </w:p>
        </w:tc>
        <w:tc>
          <w:tcPr>
            <w:tcW w:w="80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88"/>
              <w:spacing w:after="0"/>
              <w:rPr>
                <w:sz w:val="20"/>
                <w:szCs w:val="20"/>
                <w:color w:val="auto"/>
              </w:rPr>
            </w:pPr>
            <w:r>
              <w:rPr>
                <w:rFonts w:ascii="Arial" w:cs="Arial" w:eastAsia="Arial" w:hAnsi="Arial"/>
                <w:sz w:val="14"/>
                <w:szCs w:val="14"/>
                <w:color w:val="auto"/>
              </w:rPr>
              <w:t>6</w:t>
            </w:r>
          </w:p>
        </w:tc>
      </w:tr>
      <w:tr>
        <w:trPr>
          <w:trHeight w:val="216"/>
        </w:trPr>
        <w:tc>
          <w:tcPr>
            <w:tcW w:w="4740" w:type="dxa"/>
            <w:vAlign w:val="bottom"/>
          </w:tcPr>
          <w:p>
            <w:pPr>
              <w:ind w:left="300"/>
              <w:spacing w:after="0"/>
              <w:rPr>
                <w:sz w:val="20"/>
                <w:szCs w:val="20"/>
                <w:color w:val="auto"/>
              </w:rPr>
            </w:pPr>
            <w:r>
              <w:rPr>
                <w:rFonts w:ascii="Arial" w:cs="Arial" w:eastAsia="Arial" w:hAnsi="Arial"/>
                <w:sz w:val="14"/>
                <w:szCs w:val="14"/>
                <w:color w:val="auto"/>
              </w:rPr>
              <w:t>Sempra Commodities</w:t>
            </w: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ind w:right="88"/>
              <w:spacing w:after="0"/>
              <w:rPr>
                <w:sz w:val="20"/>
                <w:szCs w:val="20"/>
                <w:color w:val="auto"/>
              </w:rPr>
            </w:pPr>
            <w:r>
              <w:rPr>
                <w:rFonts w:ascii="Arial" w:cs="Arial" w:eastAsia="Arial" w:hAnsi="Arial"/>
                <w:sz w:val="14"/>
                <w:szCs w:val="14"/>
                <w:color w:val="auto"/>
              </w:rPr>
              <w:t>29</w:t>
            </w:r>
          </w:p>
        </w:tc>
      </w:tr>
      <w:tr>
        <w:trPr>
          <w:trHeight w:val="222"/>
        </w:trPr>
        <w:tc>
          <w:tcPr>
            <w:tcW w:w="4740" w:type="dxa"/>
            <w:vAlign w:val="bottom"/>
          </w:tcPr>
          <w:p>
            <w:pPr>
              <w:ind w:left="300"/>
              <w:spacing w:after="0"/>
              <w:rPr>
                <w:sz w:val="20"/>
                <w:szCs w:val="20"/>
                <w:color w:val="auto"/>
              </w:rPr>
            </w:pPr>
            <w:r>
              <w:rPr>
                <w:rFonts w:ascii="Arial" w:cs="Arial" w:eastAsia="Arial" w:hAnsi="Arial"/>
                <w:sz w:val="14"/>
                <w:szCs w:val="14"/>
                <w:color w:val="auto"/>
              </w:rPr>
              <w:t>Sempra Pipelines &amp; Storage</w:t>
            </w:r>
          </w:p>
        </w:tc>
        <w:tc>
          <w:tcPr>
            <w:tcW w:w="6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3</w:t>
            </w:r>
          </w:p>
        </w:tc>
      </w:tr>
      <w:tr>
        <w:trPr>
          <w:trHeight w:val="224"/>
        </w:trPr>
        <w:tc>
          <w:tcPr>
            <w:tcW w:w="4740" w:type="dxa"/>
            <w:vAlign w:val="bottom"/>
          </w:tcPr>
          <w:p>
            <w:pPr>
              <w:spacing w:after="0"/>
              <w:rPr>
                <w:sz w:val="19"/>
                <w:szCs w:val="19"/>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88"/>
              <w:spacing w:after="0"/>
              <w:rPr>
                <w:sz w:val="20"/>
                <w:szCs w:val="20"/>
                <w:color w:val="auto"/>
              </w:rPr>
            </w:pPr>
            <w:r>
              <w:rPr>
                <w:rFonts w:ascii="Arial" w:cs="Arial" w:eastAsia="Arial" w:hAnsi="Arial"/>
                <w:sz w:val="14"/>
                <w:szCs w:val="14"/>
                <w:color w:val="auto"/>
              </w:rPr>
              <w:t>38</w:t>
            </w:r>
          </w:p>
        </w:tc>
      </w:tr>
      <w:tr>
        <w:trPr>
          <w:trHeight w:val="210"/>
        </w:trPr>
        <w:tc>
          <w:tcPr>
            <w:tcW w:w="4740" w:type="dxa"/>
            <w:vAlign w:val="bottom"/>
          </w:tcPr>
          <w:p>
            <w:pPr>
              <w:spacing w:after="0"/>
              <w:rPr>
                <w:sz w:val="20"/>
                <w:szCs w:val="20"/>
                <w:color w:val="auto"/>
              </w:rPr>
            </w:pPr>
            <w:r>
              <w:rPr>
                <w:rFonts w:ascii="Arial" w:cs="Arial" w:eastAsia="Arial" w:hAnsi="Arial"/>
                <w:sz w:val="14"/>
                <w:szCs w:val="14"/>
                <w:color w:val="auto"/>
              </w:rPr>
              <w:t>Due from unconsolidated affiliates:</w:t>
            </w:r>
          </w:p>
        </w:tc>
        <w:tc>
          <w:tcPr>
            <w:tcW w:w="6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r>
      <w:tr>
        <w:trPr>
          <w:trHeight w:val="216"/>
        </w:trPr>
        <w:tc>
          <w:tcPr>
            <w:tcW w:w="4740" w:type="dxa"/>
            <w:vAlign w:val="bottom"/>
          </w:tcPr>
          <w:p>
            <w:pPr>
              <w:ind w:left="300"/>
              <w:spacing w:after="0"/>
              <w:rPr>
                <w:sz w:val="20"/>
                <w:szCs w:val="20"/>
                <w:color w:val="auto"/>
              </w:rPr>
            </w:pPr>
            <w:r>
              <w:rPr>
                <w:rFonts w:ascii="Arial" w:cs="Arial" w:eastAsia="Arial" w:hAnsi="Arial"/>
                <w:sz w:val="14"/>
                <w:szCs w:val="14"/>
                <w:color w:val="auto"/>
              </w:rPr>
              <w:t>Sempra Commodities</w:t>
            </w:r>
          </w:p>
        </w:tc>
        <w:tc>
          <w:tcPr>
            <w:tcW w:w="80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88"/>
              <w:spacing w:after="0"/>
              <w:rPr>
                <w:sz w:val="20"/>
                <w:szCs w:val="20"/>
                <w:color w:val="auto"/>
              </w:rPr>
            </w:pPr>
            <w:r>
              <w:rPr>
                <w:rFonts w:ascii="Arial" w:cs="Arial" w:eastAsia="Arial" w:hAnsi="Arial"/>
                <w:sz w:val="14"/>
                <w:szCs w:val="14"/>
                <w:color w:val="auto"/>
              </w:rPr>
              <w:t>1</w:t>
            </w:r>
          </w:p>
        </w:tc>
      </w:tr>
      <w:tr>
        <w:trPr>
          <w:trHeight w:val="216"/>
        </w:trPr>
        <w:tc>
          <w:tcPr>
            <w:tcW w:w="4740" w:type="dxa"/>
            <w:vAlign w:val="bottom"/>
          </w:tcPr>
          <w:p>
            <w:pPr>
              <w:ind w:left="300"/>
              <w:spacing w:after="0"/>
              <w:rPr>
                <w:sz w:val="20"/>
                <w:szCs w:val="20"/>
                <w:color w:val="auto"/>
              </w:rPr>
            </w:pPr>
            <w:r>
              <w:rPr>
                <w:rFonts w:ascii="Arial" w:cs="Arial" w:eastAsia="Arial" w:hAnsi="Arial"/>
                <w:sz w:val="14"/>
                <w:szCs w:val="14"/>
                <w:color w:val="auto"/>
              </w:rPr>
              <w:t>Sempra LNG</w:t>
            </w: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ind w:right="88"/>
              <w:spacing w:after="0"/>
              <w:rPr>
                <w:sz w:val="20"/>
                <w:szCs w:val="20"/>
                <w:color w:val="auto"/>
              </w:rPr>
            </w:pPr>
            <w:r>
              <w:rPr>
                <w:rFonts w:ascii="Arial" w:cs="Arial" w:eastAsia="Arial" w:hAnsi="Arial"/>
                <w:sz w:val="14"/>
                <w:szCs w:val="14"/>
                <w:color w:val="auto"/>
              </w:rPr>
              <w:t>1</w:t>
            </w:r>
          </w:p>
        </w:tc>
      </w:tr>
      <w:tr>
        <w:trPr>
          <w:trHeight w:val="222"/>
        </w:trPr>
        <w:tc>
          <w:tcPr>
            <w:tcW w:w="4740" w:type="dxa"/>
            <w:vAlign w:val="bottom"/>
          </w:tcPr>
          <w:p>
            <w:pPr>
              <w:ind w:left="300"/>
              <w:spacing w:after="0"/>
              <w:rPr>
                <w:sz w:val="20"/>
                <w:szCs w:val="20"/>
                <w:color w:val="auto"/>
              </w:rPr>
            </w:pPr>
            <w:r>
              <w:rPr>
                <w:rFonts w:ascii="Arial" w:cs="Arial" w:eastAsia="Arial" w:hAnsi="Arial"/>
                <w:sz w:val="14"/>
                <w:szCs w:val="14"/>
                <w:color w:val="auto"/>
              </w:rPr>
              <w:t>Parent and other</w:t>
            </w:r>
          </w:p>
        </w:tc>
        <w:tc>
          <w:tcPr>
            <w:tcW w:w="6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2</w:t>
            </w:r>
          </w:p>
        </w:tc>
      </w:tr>
      <w:tr>
        <w:trPr>
          <w:trHeight w:val="224"/>
        </w:trPr>
        <w:tc>
          <w:tcPr>
            <w:tcW w:w="4740" w:type="dxa"/>
            <w:vAlign w:val="bottom"/>
            <w:tcBorders>
              <w:bottom w:val="single" w:sz="8" w:color="auto"/>
            </w:tcBorders>
          </w:tcPr>
          <w:p>
            <w:pPr>
              <w:ind w:left="480"/>
              <w:spacing w:after="0"/>
              <w:rPr>
                <w:sz w:val="20"/>
                <w:szCs w:val="20"/>
                <w:color w:val="auto"/>
              </w:rPr>
            </w:pPr>
            <w:r>
              <w:rPr>
                <w:rFonts w:ascii="Arial" w:cs="Arial" w:eastAsia="Arial" w:hAnsi="Arial"/>
                <w:sz w:val="14"/>
                <w:szCs w:val="14"/>
                <w:color w:val="auto"/>
              </w:rPr>
              <w:t>Total</w:t>
            </w:r>
          </w:p>
        </w:tc>
        <w:tc>
          <w:tcPr>
            <w:tcW w:w="80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4</w:t>
            </w:r>
          </w:p>
        </w:tc>
      </w:tr>
    </w:tbl>
    <w:p>
      <w:pPr>
        <w:spacing w:after="0" w:line="16" w:lineRule="exact"/>
        <w:rPr>
          <w:sz w:val="20"/>
          <w:szCs w:val="20"/>
          <w:color w:val="auto"/>
        </w:rPr>
      </w:pPr>
    </w:p>
    <w:p>
      <w:pPr>
        <w:ind w:left="2960" w:hanging="339"/>
        <w:spacing w:after="0"/>
        <w:tabs>
          <w:tab w:leader="none" w:pos="2960" w:val="left"/>
        </w:tabs>
        <w:numPr>
          <w:ilvl w:val="0"/>
          <w:numId w:val="328"/>
        </w:numPr>
        <w:rPr>
          <w:rFonts w:ascii="Arial" w:cs="Arial" w:eastAsia="Arial" w:hAnsi="Arial"/>
          <w:sz w:val="13"/>
          <w:szCs w:val="13"/>
          <w:i w:val="1"/>
          <w:iCs w:val="1"/>
          <w:color w:val="auto"/>
        </w:rPr>
      </w:pPr>
      <w:r>
        <w:rPr>
          <w:rFonts w:ascii="Arial" w:cs="Arial" w:eastAsia="Arial" w:hAnsi="Arial"/>
          <w:sz w:val="13"/>
          <w:szCs w:val="13"/>
          <w:i w:val="1"/>
          <w:iCs w:val="1"/>
          <w:color w:val="auto"/>
        </w:rPr>
        <w:t>Nine months beginning April 1, 2008, when the partnership was formed.</w:t>
      </w:r>
    </w:p>
    <w:p>
      <w:pPr>
        <w:spacing w:after="0" w:line="43" w:lineRule="exact"/>
        <w:rPr>
          <w:sz w:val="20"/>
          <w:szCs w:val="20"/>
          <w:color w:val="auto"/>
        </w:rPr>
      </w:pPr>
    </w:p>
    <w:p>
      <w:pPr>
        <w:ind w:left="2960" w:right="2520" w:hanging="339"/>
        <w:spacing w:after="0" w:line="259" w:lineRule="auto"/>
        <w:tabs>
          <w:tab w:leader="none" w:pos="2960" w:val="left"/>
        </w:tabs>
        <w:numPr>
          <w:ilvl w:val="0"/>
          <w:numId w:val="329"/>
        </w:numPr>
        <w:rPr>
          <w:rFonts w:ascii="Arial" w:cs="Arial" w:eastAsia="Arial" w:hAnsi="Arial"/>
          <w:sz w:val="13"/>
          <w:szCs w:val="13"/>
          <w:i w:val="1"/>
          <w:iCs w:val="1"/>
          <w:color w:val="auto"/>
        </w:rPr>
      </w:pPr>
      <w:r>
        <w:rPr>
          <w:rFonts w:ascii="Arial" w:cs="Arial" w:eastAsia="Arial" w:hAnsi="Arial"/>
          <w:sz w:val="13"/>
          <w:szCs w:val="13"/>
          <w:i w:val="1"/>
          <w:iCs w:val="1"/>
          <w:color w:val="auto"/>
        </w:rPr>
        <w:t>Includes $10 million related to a marketing agreement with RBS Sempra Commodities which is subject to mark-to-market accounting. Under this agreement, which extends for five years beginning September 1, 2009, RBS Sempra Commodities will market natural gas that Sempra LNG purchases and does not sell under other contracts.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 and Expenses with Unconsolidated Affiliates</w:t>
      </w:r>
    </w:p>
    <w:p>
      <w:pPr>
        <w:spacing w:after="0" w:line="23" w:lineRule="exact"/>
        <w:rPr>
          <w:sz w:val="20"/>
          <w:szCs w:val="20"/>
          <w:color w:val="auto"/>
        </w:rPr>
      </w:pPr>
    </w:p>
    <w:p>
      <w:pPr>
        <w:spacing w:after="0" w:line="312" w:lineRule="auto"/>
        <w:rPr>
          <w:sz w:val="20"/>
          <w:szCs w:val="20"/>
          <w:color w:val="auto"/>
        </w:rPr>
      </w:pPr>
      <w:r>
        <w:rPr>
          <w:rFonts w:ascii="Arial" w:cs="Arial" w:eastAsia="Arial" w:hAnsi="Arial"/>
          <w:sz w:val="15"/>
          <w:szCs w:val="15"/>
          <w:color w:val="auto"/>
        </w:rPr>
        <w:t>For the quarter ended March 31, 2008, and for the full years 2007 and 2006, Sempra Commodities recorded $55 million, $303 million and $173 million, respectively, of sales to unconsolidated affiliates. In addition, in 2006, Sempra Commodities recorded $29 million of purchases from and $95 million in sales to Topaz Power Partners</w:t>
      </w: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4"/>
          <w:szCs w:val="14"/>
          <w:color w:val="auto"/>
        </w:rPr>
        <w:t>112</w:t>
      </w:r>
    </w:p>
    <w:p>
      <w:pPr>
        <w:sectPr>
          <w:pgSz w:w="11900" w:h="16838" w:orient="portrait"/>
          <w:cols w:equalWidth="0" w:num="1">
            <w:col w:w="11300"/>
          </w:cols>
          <w:pgMar w:left="240" w:top="127" w:right="359" w:bottom="1440" w:gutter="0" w:footer="0" w:header="0"/>
        </w:sectPr>
      </w:pPr>
    </w:p>
    <w:bookmarkStart w:id="252" w:name="page253"/>
    <w:bookmarkEnd w:id="252"/>
    <w:p>
      <w:pPr>
        <w:spacing w:after="0"/>
        <w:rPr>
          <w:sz w:val="20"/>
          <w:szCs w:val="20"/>
          <w:color w:val="auto"/>
        </w:rPr>
      </w:pPr>
      <w:r>
        <w:rPr>
          <w:rFonts w:ascii="Arial" w:cs="Arial" w:eastAsia="Arial" w:hAnsi="Arial"/>
          <w:sz w:val="16"/>
          <w:szCs w:val="16"/>
          <w:color w:val="auto"/>
        </w:rPr>
        <w:t>(Topaz), then an equity method investment of Sempra Energy. Topaz sold its power plant assets in July 2006, as discussed in Note 4.</w:t>
      </w:r>
    </w:p>
    <w:p>
      <w:pPr>
        <w:spacing w:after="0" w:line="27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DIVIDENDS AND LOANS AT THE SEMPRA UTILITIES</w:t>
      </w:r>
    </w:p>
    <w:p>
      <w:pPr>
        <w:spacing w:after="0" w:line="89" w:lineRule="exact"/>
        <w:rPr>
          <w:sz w:val="20"/>
          <w:szCs w:val="20"/>
          <w:color w:val="auto"/>
        </w:rPr>
      </w:pPr>
    </w:p>
    <w:p>
      <w:pPr>
        <w:spacing w:after="0" w:line="264" w:lineRule="auto"/>
        <w:rPr>
          <w:sz w:val="20"/>
          <w:szCs w:val="20"/>
          <w:color w:val="auto"/>
        </w:rPr>
      </w:pPr>
      <w:r>
        <w:rPr>
          <w:rFonts w:ascii="Arial" w:cs="Arial" w:eastAsia="Arial" w:hAnsi="Arial"/>
          <w:sz w:val="16"/>
          <w:szCs w:val="16"/>
          <w:color w:val="auto"/>
        </w:rPr>
        <w:t>The CPUC’s regulation of the Sempra Utilities’ capital structures limits the amounts that are available for dividends and loans to Sempra Energy. At December 31, 2008, SDG&amp;E could have provided a total of approximately $150 million to Sempra Energy through dividends and loans. No amounts were available from SoCalGas at December 31, 2008.</w:t>
      </w:r>
    </w:p>
    <w:p>
      <w:pPr>
        <w:spacing w:after="0" w:line="23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OTHER INCOME (EXPENSE), NET</w:t>
      </w:r>
    </w:p>
    <w:p>
      <w:pPr>
        <w:spacing w:after="0" w:line="89" w:lineRule="exact"/>
        <w:rPr>
          <w:sz w:val="20"/>
          <w:szCs w:val="20"/>
          <w:color w:val="auto"/>
        </w:rPr>
      </w:pPr>
    </w:p>
    <w:p>
      <w:pPr>
        <w:spacing w:after="0"/>
        <w:rPr>
          <w:sz w:val="20"/>
          <w:szCs w:val="20"/>
          <w:color w:val="auto"/>
        </w:rPr>
      </w:pPr>
      <w:r>
        <w:rPr>
          <w:rFonts w:ascii="Arial" w:cs="Arial" w:eastAsia="Arial" w:hAnsi="Arial"/>
          <w:sz w:val="16"/>
          <w:szCs w:val="16"/>
          <w:color w:val="auto"/>
        </w:rPr>
        <w:t>Other Income (Expense), Net on the Statements of Consolidated Income consists of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1156970</wp:posOffset>
            </wp:positionH>
            <wp:positionV relativeFrom="paragraph">
              <wp:posOffset>74295</wp:posOffset>
            </wp:positionV>
            <wp:extent cx="4950460" cy="24384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4950460" cy="243840"/>
                    </a:xfrm>
                    <a:prstGeom prst="rect">
                      <a:avLst/>
                    </a:prstGeom>
                    <a:noFill/>
                  </pic:spPr>
                </pic:pic>
              </a:graphicData>
            </a:graphic>
          </wp:anchor>
        </w:drawing>
      </w:r>
    </w:p>
    <w:p>
      <w:pPr>
        <w:spacing w:after="0" w:line="105" w:lineRule="exact"/>
        <w:rPr>
          <w:sz w:val="20"/>
          <w:szCs w:val="20"/>
          <w:color w:val="auto"/>
        </w:rPr>
      </w:pPr>
    </w:p>
    <w:p>
      <w:pPr>
        <w:ind w:left="1820"/>
        <w:spacing w:after="0"/>
        <w:rPr>
          <w:sz w:val="20"/>
          <w:szCs w:val="20"/>
          <w:color w:val="auto"/>
        </w:rPr>
      </w:pPr>
      <w:r>
        <w:rPr>
          <w:rFonts w:ascii="Arial" w:cs="Arial" w:eastAsia="Arial" w:hAnsi="Arial"/>
          <w:sz w:val="14"/>
          <w:szCs w:val="14"/>
          <w:b w:val="1"/>
          <w:bCs w:val="1"/>
          <w:color w:val="auto"/>
        </w:rPr>
        <w:t>OTHER INCOME (EXPENSE), NET</w:t>
      </w:r>
    </w:p>
    <w:p>
      <w:pPr>
        <w:spacing w:after="0" w:line="40" w:lineRule="exact"/>
        <w:rPr>
          <w:sz w:val="20"/>
          <w:szCs w:val="20"/>
          <w:color w:val="auto"/>
        </w:rPr>
      </w:pPr>
    </w:p>
    <w:p>
      <w:pPr>
        <w:ind w:left="1820"/>
        <w:spacing w:after="0"/>
        <w:rPr>
          <w:sz w:val="20"/>
          <w:szCs w:val="20"/>
          <w:color w:val="auto"/>
        </w:rPr>
      </w:pPr>
      <w:r>
        <w:rPr>
          <w:rFonts w:ascii="Arial" w:cs="Arial" w:eastAsia="Arial" w:hAnsi="Arial"/>
          <w:sz w:val="13"/>
          <w:szCs w:val="13"/>
          <w:i w:val="1"/>
          <w:iCs w:val="1"/>
          <w:color w:val="auto"/>
        </w:rPr>
        <w:t>(Dollars in millions)</w:t>
      </w:r>
    </w:p>
    <w:p>
      <w:pPr>
        <w:spacing w:after="0" w:line="67" w:lineRule="exact"/>
        <w:rPr>
          <w:sz w:val="20"/>
          <w:szCs w:val="20"/>
          <w:color w:val="auto"/>
        </w:rPr>
      </w:pPr>
    </w:p>
    <w:tbl>
      <w:tblPr>
        <w:tblLayout w:type="fixed"/>
        <w:tblInd w:w="1820" w:type="dxa"/>
        <w:tblCellMar>
          <w:top w:w="0" w:type="dxa"/>
          <w:left w:w="0" w:type="dxa"/>
          <w:bottom w:w="0" w:type="dxa"/>
          <w:right w:w="0" w:type="dxa"/>
        </w:tblCellMar>
      </w:tblPr>
      <w:tr>
        <w:trPr>
          <w:trHeight w:val="159"/>
        </w:trPr>
        <w:tc>
          <w:tcPr>
            <w:tcW w:w="4020" w:type="dxa"/>
            <w:vAlign w:val="bottom"/>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1740" w:type="dxa"/>
            <w:vAlign w:val="bottom"/>
            <w:tcBorders>
              <w:bottom w:val="single" w:sz="8" w:color="auto"/>
            </w:tcBorders>
            <w:gridSpan w:val="2"/>
          </w:tcPr>
          <w:p>
            <w:pPr>
              <w:jc w:val="right"/>
              <w:ind w:right="68"/>
              <w:spacing w:after="0"/>
              <w:rPr>
                <w:sz w:val="20"/>
                <w:szCs w:val="20"/>
                <w:color w:val="auto"/>
              </w:rPr>
            </w:pPr>
            <w:r>
              <w:rPr>
                <w:rFonts w:ascii="Arial" w:cs="Arial" w:eastAsia="Arial" w:hAnsi="Arial"/>
                <w:sz w:val="13"/>
                <w:szCs w:val="13"/>
                <w:color w:val="auto"/>
                <w:w w:val="99"/>
              </w:rPr>
              <w:t>Years ended December 31,</w:t>
            </w:r>
          </w:p>
        </w:tc>
        <w:tc>
          <w:tcPr>
            <w:tcW w:w="2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r>
      <w:tr>
        <w:trPr>
          <w:trHeight w:val="208"/>
        </w:trPr>
        <w:tc>
          <w:tcPr>
            <w:tcW w:w="402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148"/>
              <w:spacing w:after="0"/>
              <w:rPr>
                <w:sz w:val="20"/>
                <w:szCs w:val="20"/>
                <w:color w:val="auto"/>
              </w:rPr>
            </w:pPr>
            <w:r>
              <w:rPr>
                <w:rFonts w:ascii="Arial" w:cs="Arial" w:eastAsia="Arial" w:hAnsi="Arial"/>
                <w:sz w:val="13"/>
                <w:szCs w:val="13"/>
                <w:color w:val="auto"/>
              </w:rPr>
              <w:t>2008</w:t>
            </w:r>
          </w:p>
        </w:tc>
        <w:tc>
          <w:tcPr>
            <w:tcW w:w="7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508"/>
              <w:spacing w:after="0"/>
              <w:rPr>
                <w:sz w:val="20"/>
                <w:szCs w:val="20"/>
                <w:color w:val="auto"/>
              </w:rPr>
            </w:pPr>
            <w:r>
              <w:rPr>
                <w:rFonts w:ascii="Arial" w:cs="Arial" w:eastAsia="Arial" w:hAnsi="Arial"/>
                <w:sz w:val="13"/>
                <w:szCs w:val="13"/>
                <w:color w:val="auto"/>
              </w:rPr>
              <w:t>2007</w:t>
            </w:r>
          </w:p>
        </w:tc>
        <w:tc>
          <w:tcPr>
            <w:tcW w:w="2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308"/>
              <w:spacing w:after="0"/>
              <w:rPr>
                <w:sz w:val="20"/>
                <w:szCs w:val="20"/>
                <w:color w:val="auto"/>
              </w:rPr>
            </w:pPr>
            <w:r>
              <w:rPr>
                <w:rFonts w:ascii="Arial" w:cs="Arial" w:eastAsia="Arial" w:hAnsi="Arial"/>
                <w:sz w:val="13"/>
                <w:szCs w:val="13"/>
                <w:color w:val="auto"/>
              </w:rPr>
              <w:t>2006</w:t>
            </w:r>
          </w:p>
        </w:tc>
      </w:tr>
      <w:tr>
        <w:trPr>
          <w:trHeight w:val="207"/>
        </w:trPr>
        <w:tc>
          <w:tcPr>
            <w:tcW w:w="4020" w:type="dxa"/>
            <w:vAlign w:val="bottom"/>
          </w:tcPr>
          <w:p>
            <w:pPr>
              <w:spacing w:after="0"/>
              <w:rPr>
                <w:sz w:val="20"/>
                <w:szCs w:val="20"/>
                <w:color w:val="auto"/>
              </w:rPr>
            </w:pPr>
            <w:r>
              <w:rPr>
                <w:rFonts w:ascii="Arial" w:cs="Arial" w:eastAsia="Arial" w:hAnsi="Arial"/>
                <w:sz w:val="14"/>
                <w:szCs w:val="14"/>
                <w:b w:val="1"/>
                <w:bCs w:val="1"/>
                <w:color w:val="auto"/>
              </w:rPr>
              <w:t>Sempra Energy Consolidated</w:t>
            </w:r>
          </w:p>
        </w:tc>
        <w:tc>
          <w:tcPr>
            <w:tcW w:w="4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16"/>
        </w:trPr>
        <w:tc>
          <w:tcPr>
            <w:tcW w:w="4020" w:type="dxa"/>
            <w:vAlign w:val="bottom"/>
          </w:tcPr>
          <w:p>
            <w:pPr>
              <w:spacing w:after="0"/>
              <w:rPr>
                <w:sz w:val="20"/>
                <w:szCs w:val="20"/>
                <w:color w:val="auto"/>
              </w:rPr>
            </w:pPr>
            <w:r>
              <w:rPr>
                <w:rFonts w:ascii="Arial" w:cs="Arial" w:eastAsia="Arial" w:hAnsi="Arial"/>
                <w:sz w:val="14"/>
                <w:szCs w:val="14"/>
                <w:color w:val="auto"/>
              </w:rPr>
              <w:t>Allowance for equity funds used during construction</w:t>
            </w:r>
          </w:p>
        </w:tc>
        <w:tc>
          <w:tcPr>
            <w:tcW w:w="4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68"/>
              <w:spacing w:after="0"/>
              <w:rPr>
                <w:sz w:val="20"/>
                <w:szCs w:val="20"/>
                <w:color w:val="auto"/>
              </w:rPr>
            </w:pPr>
            <w:r>
              <w:rPr>
                <w:rFonts w:ascii="Arial" w:cs="Arial" w:eastAsia="Arial" w:hAnsi="Arial"/>
                <w:sz w:val="14"/>
                <w:szCs w:val="14"/>
                <w:color w:val="auto"/>
              </w:rPr>
              <w:t>35</w:t>
            </w:r>
          </w:p>
        </w:tc>
        <w:tc>
          <w:tcPr>
            <w:tcW w:w="76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488"/>
              <w:spacing w:after="0"/>
              <w:rPr>
                <w:sz w:val="20"/>
                <w:szCs w:val="20"/>
                <w:color w:val="auto"/>
              </w:rPr>
            </w:pPr>
            <w:r>
              <w:rPr>
                <w:rFonts w:ascii="Arial" w:cs="Arial" w:eastAsia="Arial" w:hAnsi="Arial"/>
                <w:sz w:val="14"/>
                <w:szCs w:val="14"/>
                <w:color w:val="auto"/>
              </w:rPr>
              <w:t>22</w:t>
            </w:r>
          </w:p>
        </w:tc>
        <w:tc>
          <w:tcPr>
            <w:tcW w:w="280" w:type="dxa"/>
            <w:vAlign w:val="bottom"/>
          </w:tcPr>
          <w:p>
            <w:pPr>
              <w:jc w:val="right"/>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88"/>
              <w:spacing w:after="0"/>
              <w:rPr>
                <w:sz w:val="20"/>
                <w:szCs w:val="20"/>
                <w:color w:val="auto"/>
              </w:rPr>
            </w:pPr>
            <w:r>
              <w:rPr>
                <w:rFonts w:ascii="Arial" w:cs="Arial" w:eastAsia="Arial" w:hAnsi="Arial"/>
                <w:sz w:val="14"/>
                <w:szCs w:val="14"/>
                <w:color w:val="auto"/>
              </w:rPr>
              <w:t>16</w:t>
            </w:r>
          </w:p>
        </w:tc>
      </w:tr>
      <w:tr>
        <w:trPr>
          <w:trHeight w:val="216"/>
        </w:trPr>
        <w:tc>
          <w:tcPr>
            <w:tcW w:w="4020" w:type="dxa"/>
            <w:vAlign w:val="bottom"/>
          </w:tcPr>
          <w:p>
            <w:pPr>
              <w:spacing w:after="0"/>
              <w:rPr>
                <w:sz w:val="20"/>
                <w:szCs w:val="20"/>
                <w:color w:val="auto"/>
              </w:rPr>
            </w:pPr>
            <w:r>
              <w:rPr>
                <w:rFonts w:ascii="Arial" w:cs="Arial" w:eastAsia="Arial" w:hAnsi="Arial"/>
                <w:sz w:val="14"/>
                <w:szCs w:val="14"/>
                <w:color w:val="auto"/>
              </w:rPr>
              <w:t>Regulatory interest, net</w:t>
            </w:r>
          </w:p>
        </w:tc>
        <w:tc>
          <w:tcPr>
            <w:tcW w:w="4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(9 )</w:t>
            </w:r>
          </w:p>
        </w:tc>
        <w:tc>
          <w:tcPr>
            <w:tcW w:w="760" w:type="dxa"/>
            <w:vAlign w:val="bottom"/>
          </w:tcPr>
          <w:p>
            <w:pPr>
              <w:spacing w:after="0"/>
              <w:rPr>
                <w:sz w:val="18"/>
                <w:szCs w:val="18"/>
                <w:color w:val="auto"/>
              </w:rPr>
            </w:pPr>
          </w:p>
        </w:tc>
        <w:tc>
          <w:tcPr>
            <w:tcW w:w="980" w:type="dxa"/>
            <w:vAlign w:val="bottom"/>
          </w:tcPr>
          <w:p>
            <w:pPr>
              <w:jc w:val="right"/>
              <w:ind w:right="408"/>
              <w:spacing w:after="0"/>
              <w:rPr>
                <w:sz w:val="20"/>
                <w:szCs w:val="20"/>
                <w:color w:val="auto"/>
              </w:rPr>
            </w:pPr>
            <w:r>
              <w:rPr>
                <w:rFonts w:ascii="Arial" w:cs="Arial" w:eastAsia="Arial" w:hAnsi="Arial"/>
                <w:sz w:val="14"/>
                <w:szCs w:val="14"/>
                <w:color w:val="auto"/>
              </w:rPr>
              <w:t>(13 )</w:t>
            </w:r>
          </w:p>
        </w:tc>
        <w:tc>
          <w:tcPr>
            <w:tcW w:w="280" w:type="dxa"/>
            <w:vAlign w:val="bottom"/>
          </w:tcPr>
          <w:p>
            <w:pPr>
              <w:spacing w:after="0"/>
              <w:rPr>
                <w:sz w:val="18"/>
                <w:szCs w:val="18"/>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(9 )</w:t>
            </w:r>
          </w:p>
        </w:tc>
      </w:tr>
      <w:tr>
        <w:trPr>
          <w:trHeight w:val="216"/>
        </w:trPr>
        <w:tc>
          <w:tcPr>
            <w:tcW w:w="4020" w:type="dxa"/>
            <w:vAlign w:val="bottom"/>
          </w:tcPr>
          <w:p>
            <w:pPr>
              <w:spacing w:after="0"/>
              <w:rPr>
                <w:sz w:val="20"/>
                <w:szCs w:val="20"/>
                <w:color w:val="auto"/>
              </w:rPr>
            </w:pPr>
            <w:r>
              <w:rPr>
                <w:rFonts w:ascii="Arial" w:cs="Arial" w:eastAsia="Arial" w:hAnsi="Arial"/>
                <w:sz w:val="14"/>
                <w:szCs w:val="14"/>
                <w:color w:val="auto"/>
              </w:rPr>
              <w:t>Investment earnings (losses)*</w:t>
            </w:r>
          </w:p>
        </w:tc>
        <w:tc>
          <w:tcPr>
            <w:tcW w:w="4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(53 )</w:t>
            </w:r>
          </w:p>
        </w:tc>
        <w:tc>
          <w:tcPr>
            <w:tcW w:w="760" w:type="dxa"/>
            <w:vAlign w:val="bottom"/>
          </w:tcPr>
          <w:p>
            <w:pPr>
              <w:spacing w:after="0"/>
              <w:rPr>
                <w:sz w:val="18"/>
                <w:szCs w:val="18"/>
                <w:color w:val="auto"/>
              </w:rPr>
            </w:pPr>
          </w:p>
        </w:tc>
        <w:tc>
          <w:tcPr>
            <w:tcW w:w="980" w:type="dxa"/>
            <w:vAlign w:val="bottom"/>
          </w:tcPr>
          <w:p>
            <w:pPr>
              <w:jc w:val="right"/>
              <w:ind w:right="488"/>
              <w:spacing w:after="0"/>
              <w:rPr>
                <w:sz w:val="20"/>
                <w:szCs w:val="20"/>
                <w:color w:val="auto"/>
              </w:rPr>
            </w:pPr>
            <w:r>
              <w:rPr>
                <w:rFonts w:ascii="Arial" w:cs="Arial" w:eastAsia="Arial" w:hAnsi="Arial"/>
                <w:sz w:val="14"/>
                <w:szCs w:val="14"/>
                <w:color w:val="auto"/>
              </w:rPr>
              <w:t>27</w:t>
            </w:r>
          </w:p>
        </w:tc>
        <w:tc>
          <w:tcPr>
            <w:tcW w:w="280" w:type="dxa"/>
            <w:vAlign w:val="bottom"/>
          </w:tcPr>
          <w:p>
            <w:pPr>
              <w:spacing w:after="0"/>
              <w:rPr>
                <w:sz w:val="18"/>
                <w:szCs w:val="18"/>
                <w:color w:val="auto"/>
              </w:rPr>
            </w:pPr>
          </w:p>
        </w:tc>
        <w:tc>
          <w:tcPr>
            <w:tcW w:w="700" w:type="dxa"/>
            <w:vAlign w:val="bottom"/>
          </w:tcPr>
          <w:p>
            <w:pPr>
              <w:jc w:val="right"/>
              <w:ind w:right="88"/>
              <w:spacing w:after="0"/>
              <w:rPr>
                <w:sz w:val="20"/>
                <w:szCs w:val="20"/>
                <w:color w:val="auto"/>
              </w:rPr>
            </w:pPr>
            <w:r>
              <w:rPr>
                <w:rFonts w:ascii="Arial" w:cs="Arial" w:eastAsia="Arial" w:hAnsi="Arial"/>
                <w:sz w:val="14"/>
                <w:szCs w:val="14"/>
                <w:color w:val="auto"/>
              </w:rPr>
              <w:t>27</w:t>
            </w:r>
          </w:p>
        </w:tc>
      </w:tr>
      <w:tr>
        <w:trPr>
          <w:trHeight w:val="216"/>
        </w:trPr>
        <w:tc>
          <w:tcPr>
            <w:tcW w:w="4020" w:type="dxa"/>
            <w:vAlign w:val="bottom"/>
          </w:tcPr>
          <w:p>
            <w:pPr>
              <w:spacing w:after="0"/>
              <w:rPr>
                <w:sz w:val="20"/>
                <w:szCs w:val="20"/>
                <w:color w:val="auto"/>
              </w:rPr>
            </w:pPr>
            <w:r>
              <w:rPr>
                <w:rFonts w:ascii="Arial" w:cs="Arial" w:eastAsia="Arial" w:hAnsi="Arial"/>
                <w:sz w:val="14"/>
                <w:szCs w:val="14"/>
                <w:color w:val="auto"/>
              </w:rPr>
              <w:t>Gain on interest-rate swaps</w:t>
            </w:r>
          </w:p>
        </w:tc>
        <w:tc>
          <w:tcPr>
            <w:tcW w:w="420" w:type="dxa"/>
            <w:vAlign w:val="bottom"/>
          </w:tcPr>
          <w:p>
            <w:pPr>
              <w:spacing w:after="0"/>
              <w:rPr>
                <w:sz w:val="18"/>
                <w:szCs w:val="18"/>
                <w:color w:val="auto"/>
              </w:rPr>
            </w:pPr>
          </w:p>
        </w:tc>
        <w:tc>
          <w:tcPr>
            <w:tcW w:w="640" w:type="dxa"/>
            <w:vAlign w:val="bottom"/>
          </w:tcPr>
          <w:p>
            <w:pPr>
              <w:jc w:val="right"/>
              <w:ind w:right="68"/>
              <w:spacing w:after="0"/>
              <w:rPr>
                <w:sz w:val="20"/>
                <w:szCs w:val="20"/>
                <w:color w:val="auto"/>
              </w:rPr>
            </w:pPr>
            <w:r>
              <w:rPr>
                <w:rFonts w:ascii="Arial" w:cs="Arial" w:eastAsia="Arial" w:hAnsi="Arial"/>
                <w:sz w:val="14"/>
                <w:szCs w:val="14"/>
                <w:color w:val="auto"/>
              </w:rPr>
              <w:t>1</w:t>
            </w:r>
          </w:p>
        </w:tc>
        <w:tc>
          <w:tcPr>
            <w:tcW w:w="760" w:type="dxa"/>
            <w:vAlign w:val="bottom"/>
          </w:tcPr>
          <w:p>
            <w:pPr>
              <w:spacing w:after="0"/>
              <w:rPr>
                <w:sz w:val="18"/>
                <w:szCs w:val="18"/>
                <w:color w:val="auto"/>
              </w:rPr>
            </w:pPr>
          </w:p>
        </w:tc>
        <w:tc>
          <w:tcPr>
            <w:tcW w:w="980" w:type="dxa"/>
            <w:vAlign w:val="bottom"/>
          </w:tcPr>
          <w:p>
            <w:pPr>
              <w:jc w:val="right"/>
              <w:ind w:right="488"/>
              <w:spacing w:after="0"/>
              <w:rPr>
                <w:sz w:val="20"/>
                <w:szCs w:val="20"/>
                <w:color w:val="auto"/>
              </w:rPr>
            </w:pPr>
            <w:r>
              <w:rPr>
                <w:rFonts w:ascii="Arial" w:cs="Arial" w:eastAsia="Arial" w:hAnsi="Arial"/>
                <w:sz w:val="14"/>
                <w:szCs w:val="14"/>
                <w:color w:val="auto"/>
              </w:rPr>
              <w:t>24</w:t>
            </w:r>
          </w:p>
        </w:tc>
        <w:tc>
          <w:tcPr>
            <w:tcW w:w="280" w:type="dxa"/>
            <w:vAlign w:val="bottom"/>
          </w:tcPr>
          <w:p>
            <w:pPr>
              <w:spacing w:after="0"/>
              <w:rPr>
                <w:sz w:val="18"/>
                <w:szCs w:val="18"/>
                <w:color w:val="auto"/>
              </w:rPr>
            </w:pPr>
          </w:p>
        </w:tc>
        <w:tc>
          <w:tcPr>
            <w:tcW w:w="700" w:type="dxa"/>
            <w:vAlign w:val="bottom"/>
          </w:tcPr>
          <w:p>
            <w:pPr>
              <w:jc w:val="right"/>
              <w:ind w:right="88"/>
              <w:spacing w:after="0"/>
              <w:rPr>
                <w:sz w:val="20"/>
                <w:szCs w:val="20"/>
                <w:color w:val="auto"/>
              </w:rPr>
            </w:pPr>
            <w:r>
              <w:rPr>
                <w:rFonts w:ascii="Arial" w:cs="Arial" w:eastAsia="Arial" w:hAnsi="Arial"/>
                <w:sz w:val="14"/>
                <w:szCs w:val="14"/>
                <w:color w:val="auto"/>
              </w:rPr>
              <w:t>--</w:t>
            </w:r>
          </w:p>
        </w:tc>
      </w:tr>
      <w:tr>
        <w:trPr>
          <w:trHeight w:val="216"/>
        </w:trPr>
        <w:tc>
          <w:tcPr>
            <w:tcW w:w="4020" w:type="dxa"/>
            <w:vAlign w:val="bottom"/>
          </w:tcPr>
          <w:p>
            <w:pPr>
              <w:spacing w:after="0"/>
              <w:rPr>
                <w:sz w:val="20"/>
                <w:szCs w:val="20"/>
                <w:color w:val="auto"/>
              </w:rPr>
            </w:pPr>
            <w:r>
              <w:rPr>
                <w:rFonts w:ascii="Arial" w:cs="Arial" w:eastAsia="Arial" w:hAnsi="Arial"/>
                <w:sz w:val="14"/>
                <w:szCs w:val="14"/>
                <w:color w:val="auto"/>
              </w:rPr>
              <w:t>Mexican peso exchange losses**</w:t>
            </w:r>
          </w:p>
        </w:tc>
        <w:tc>
          <w:tcPr>
            <w:tcW w:w="4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(57 )</w:t>
            </w:r>
          </w:p>
        </w:tc>
        <w:tc>
          <w:tcPr>
            <w:tcW w:w="760" w:type="dxa"/>
            <w:vAlign w:val="bottom"/>
          </w:tcPr>
          <w:p>
            <w:pPr>
              <w:spacing w:after="0"/>
              <w:rPr>
                <w:sz w:val="18"/>
                <w:szCs w:val="18"/>
                <w:color w:val="auto"/>
              </w:rPr>
            </w:pPr>
          </w:p>
        </w:tc>
        <w:tc>
          <w:tcPr>
            <w:tcW w:w="980" w:type="dxa"/>
            <w:vAlign w:val="bottom"/>
          </w:tcPr>
          <w:p>
            <w:pPr>
              <w:jc w:val="right"/>
              <w:ind w:right="48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8"/>
                <w:szCs w:val="18"/>
                <w:color w:val="auto"/>
              </w:rPr>
            </w:pPr>
          </w:p>
        </w:tc>
        <w:tc>
          <w:tcPr>
            <w:tcW w:w="700" w:type="dxa"/>
            <w:vAlign w:val="bottom"/>
          </w:tcPr>
          <w:p>
            <w:pPr>
              <w:jc w:val="right"/>
              <w:ind w:right="88"/>
              <w:spacing w:after="0"/>
              <w:rPr>
                <w:sz w:val="20"/>
                <w:szCs w:val="20"/>
                <w:color w:val="auto"/>
              </w:rPr>
            </w:pPr>
            <w:r>
              <w:rPr>
                <w:rFonts w:ascii="Arial" w:cs="Arial" w:eastAsia="Arial" w:hAnsi="Arial"/>
                <w:sz w:val="14"/>
                <w:szCs w:val="14"/>
                <w:color w:val="auto"/>
              </w:rPr>
              <w:t>--</w:t>
            </w:r>
          </w:p>
        </w:tc>
      </w:tr>
      <w:tr>
        <w:trPr>
          <w:trHeight w:val="222"/>
        </w:trPr>
        <w:tc>
          <w:tcPr>
            <w:tcW w:w="4020" w:type="dxa"/>
            <w:vAlign w:val="bottom"/>
          </w:tcPr>
          <w:p>
            <w:pPr>
              <w:spacing w:after="0"/>
              <w:rPr>
                <w:sz w:val="20"/>
                <w:szCs w:val="20"/>
                <w:color w:val="auto"/>
              </w:rPr>
            </w:pPr>
            <w:r>
              <w:rPr>
                <w:rFonts w:ascii="Arial" w:cs="Arial" w:eastAsia="Arial" w:hAnsi="Arial"/>
                <w:sz w:val="14"/>
                <w:szCs w:val="14"/>
                <w:color w:val="auto"/>
              </w:rPr>
              <w:t>Sundry, net</w:t>
            </w:r>
          </w:p>
        </w:tc>
        <w:tc>
          <w:tcPr>
            <w:tcW w:w="4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29</w:t>
            </w:r>
          </w:p>
        </w:tc>
        <w:tc>
          <w:tcPr>
            <w:tcW w:w="7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color w:val="auto"/>
              </w:rPr>
              <w:t>30</w:t>
            </w:r>
          </w:p>
        </w:tc>
        <w:tc>
          <w:tcPr>
            <w:tcW w:w="2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9</w:t>
            </w:r>
          </w:p>
        </w:tc>
      </w:tr>
      <w:tr>
        <w:trPr>
          <w:trHeight w:val="224"/>
        </w:trPr>
        <w:tc>
          <w:tcPr>
            <w:tcW w:w="4020" w:type="dxa"/>
            <w:vAlign w:val="bottom"/>
            <w:tcBorders>
              <w:bottom w:val="single" w:sz="8" w:color="auto"/>
            </w:tcBorders>
          </w:tcPr>
          <w:p>
            <w:pPr>
              <w:ind w:left="120"/>
              <w:spacing w:after="0"/>
              <w:rPr>
                <w:sz w:val="20"/>
                <w:szCs w:val="20"/>
                <w:color w:val="auto"/>
              </w:rPr>
            </w:pPr>
            <w:r>
              <w:rPr>
                <w:rFonts w:ascii="Arial" w:cs="Arial" w:eastAsia="Arial" w:hAnsi="Arial"/>
                <w:sz w:val="14"/>
                <w:szCs w:val="14"/>
                <w:color w:val="auto"/>
              </w:rPr>
              <w:t>Total</w:t>
            </w:r>
          </w:p>
        </w:tc>
        <w:tc>
          <w:tcPr>
            <w:tcW w:w="4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(54 )</w:t>
            </w:r>
          </w:p>
        </w:tc>
        <w:tc>
          <w:tcPr>
            <w:tcW w:w="76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color w:val="auto"/>
              </w:rPr>
              <w:t>90</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43</w:t>
            </w:r>
          </w:p>
        </w:tc>
      </w:tr>
      <w:tr>
        <w:trPr>
          <w:trHeight w:val="210"/>
        </w:trPr>
        <w:tc>
          <w:tcPr>
            <w:tcW w:w="4020" w:type="dxa"/>
            <w:vAlign w:val="bottom"/>
          </w:tcPr>
          <w:p>
            <w:pPr>
              <w:spacing w:after="0"/>
              <w:rPr>
                <w:sz w:val="20"/>
                <w:szCs w:val="20"/>
                <w:color w:val="auto"/>
              </w:rPr>
            </w:pPr>
            <w:r>
              <w:rPr>
                <w:rFonts w:ascii="Arial" w:cs="Arial" w:eastAsia="Arial" w:hAnsi="Arial"/>
                <w:sz w:val="14"/>
                <w:szCs w:val="14"/>
                <w:b w:val="1"/>
                <w:bCs w:val="1"/>
                <w:color w:val="auto"/>
              </w:rPr>
              <w:t>SDG&amp;E</w:t>
            </w:r>
          </w:p>
        </w:tc>
        <w:tc>
          <w:tcPr>
            <w:tcW w:w="4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16"/>
        </w:trPr>
        <w:tc>
          <w:tcPr>
            <w:tcW w:w="4020" w:type="dxa"/>
            <w:vAlign w:val="bottom"/>
          </w:tcPr>
          <w:p>
            <w:pPr>
              <w:spacing w:after="0"/>
              <w:rPr>
                <w:sz w:val="20"/>
                <w:szCs w:val="20"/>
                <w:color w:val="auto"/>
              </w:rPr>
            </w:pPr>
            <w:r>
              <w:rPr>
                <w:rFonts w:ascii="Arial" w:cs="Arial" w:eastAsia="Arial" w:hAnsi="Arial"/>
                <w:sz w:val="14"/>
                <w:szCs w:val="14"/>
                <w:color w:val="auto"/>
              </w:rPr>
              <w:t>Allowance for equity funds used during construction</w:t>
            </w:r>
          </w:p>
        </w:tc>
        <w:tc>
          <w:tcPr>
            <w:tcW w:w="4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68"/>
              <w:spacing w:after="0"/>
              <w:rPr>
                <w:sz w:val="20"/>
                <w:szCs w:val="20"/>
                <w:color w:val="auto"/>
              </w:rPr>
            </w:pPr>
            <w:r>
              <w:rPr>
                <w:rFonts w:ascii="Arial" w:cs="Arial" w:eastAsia="Arial" w:hAnsi="Arial"/>
                <w:sz w:val="14"/>
                <w:szCs w:val="14"/>
                <w:color w:val="auto"/>
              </w:rPr>
              <w:t>27</w:t>
            </w:r>
          </w:p>
        </w:tc>
        <w:tc>
          <w:tcPr>
            <w:tcW w:w="76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488"/>
              <w:spacing w:after="0"/>
              <w:rPr>
                <w:sz w:val="20"/>
                <w:szCs w:val="20"/>
                <w:color w:val="auto"/>
              </w:rPr>
            </w:pPr>
            <w:r>
              <w:rPr>
                <w:rFonts w:ascii="Arial" w:cs="Arial" w:eastAsia="Arial" w:hAnsi="Arial"/>
                <w:sz w:val="14"/>
                <w:szCs w:val="14"/>
                <w:color w:val="auto"/>
              </w:rPr>
              <w:t>17</w:t>
            </w:r>
          </w:p>
        </w:tc>
        <w:tc>
          <w:tcPr>
            <w:tcW w:w="280" w:type="dxa"/>
            <w:vAlign w:val="bottom"/>
          </w:tcPr>
          <w:p>
            <w:pPr>
              <w:jc w:val="right"/>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88"/>
              <w:spacing w:after="0"/>
              <w:rPr>
                <w:sz w:val="20"/>
                <w:szCs w:val="20"/>
                <w:color w:val="auto"/>
              </w:rPr>
            </w:pPr>
            <w:r>
              <w:rPr>
                <w:rFonts w:ascii="Arial" w:cs="Arial" w:eastAsia="Arial" w:hAnsi="Arial"/>
                <w:sz w:val="14"/>
                <w:szCs w:val="14"/>
                <w:color w:val="auto"/>
              </w:rPr>
              <w:t>10</w:t>
            </w:r>
          </w:p>
        </w:tc>
      </w:tr>
      <w:tr>
        <w:trPr>
          <w:trHeight w:val="216"/>
        </w:trPr>
        <w:tc>
          <w:tcPr>
            <w:tcW w:w="4020" w:type="dxa"/>
            <w:vAlign w:val="bottom"/>
          </w:tcPr>
          <w:p>
            <w:pPr>
              <w:spacing w:after="0"/>
              <w:rPr>
                <w:sz w:val="20"/>
                <w:szCs w:val="20"/>
                <w:color w:val="auto"/>
              </w:rPr>
            </w:pPr>
            <w:r>
              <w:rPr>
                <w:rFonts w:ascii="Arial" w:cs="Arial" w:eastAsia="Arial" w:hAnsi="Arial"/>
                <w:sz w:val="14"/>
                <w:szCs w:val="14"/>
                <w:color w:val="auto"/>
              </w:rPr>
              <w:t>Regulatory interest, net</w:t>
            </w:r>
          </w:p>
        </w:tc>
        <w:tc>
          <w:tcPr>
            <w:tcW w:w="4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(5 )</w:t>
            </w:r>
          </w:p>
        </w:tc>
        <w:tc>
          <w:tcPr>
            <w:tcW w:w="760" w:type="dxa"/>
            <w:vAlign w:val="bottom"/>
          </w:tcPr>
          <w:p>
            <w:pPr>
              <w:spacing w:after="0"/>
              <w:rPr>
                <w:sz w:val="18"/>
                <w:szCs w:val="18"/>
                <w:color w:val="auto"/>
              </w:rPr>
            </w:pPr>
          </w:p>
        </w:tc>
        <w:tc>
          <w:tcPr>
            <w:tcW w:w="980" w:type="dxa"/>
            <w:vAlign w:val="bottom"/>
          </w:tcPr>
          <w:p>
            <w:pPr>
              <w:jc w:val="right"/>
              <w:ind w:right="408"/>
              <w:spacing w:after="0"/>
              <w:rPr>
                <w:sz w:val="20"/>
                <w:szCs w:val="20"/>
                <w:color w:val="auto"/>
              </w:rPr>
            </w:pPr>
            <w:r>
              <w:rPr>
                <w:rFonts w:ascii="Arial" w:cs="Arial" w:eastAsia="Arial" w:hAnsi="Arial"/>
                <w:sz w:val="14"/>
                <w:szCs w:val="14"/>
                <w:color w:val="auto"/>
              </w:rPr>
              <w:t>(7 )</w:t>
            </w:r>
          </w:p>
        </w:tc>
        <w:tc>
          <w:tcPr>
            <w:tcW w:w="280" w:type="dxa"/>
            <w:vAlign w:val="bottom"/>
          </w:tcPr>
          <w:p>
            <w:pPr>
              <w:spacing w:after="0"/>
              <w:rPr>
                <w:sz w:val="18"/>
                <w:szCs w:val="18"/>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(3 )</w:t>
            </w:r>
          </w:p>
        </w:tc>
      </w:tr>
      <w:tr>
        <w:trPr>
          <w:trHeight w:val="222"/>
        </w:trPr>
        <w:tc>
          <w:tcPr>
            <w:tcW w:w="4020" w:type="dxa"/>
            <w:vAlign w:val="bottom"/>
          </w:tcPr>
          <w:p>
            <w:pPr>
              <w:spacing w:after="0"/>
              <w:rPr>
                <w:sz w:val="20"/>
                <w:szCs w:val="20"/>
                <w:color w:val="auto"/>
              </w:rPr>
            </w:pPr>
            <w:r>
              <w:rPr>
                <w:rFonts w:ascii="Arial" w:cs="Arial" w:eastAsia="Arial" w:hAnsi="Arial"/>
                <w:sz w:val="14"/>
                <w:szCs w:val="14"/>
                <w:color w:val="auto"/>
              </w:rPr>
              <w:t>Sundry, net</w:t>
            </w:r>
          </w:p>
        </w:tc>
        <w:tc>
          <w:tcPr>
            <w:tcW w:w="4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3</w:t>
            </w:r>
          </w:p>
        </w:tc>
        <w:tc>
          <w:tcPr>
            <w:tcW w:w="7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color w:val="auto"/>
              </w:rPr>
              <w:t>1</w:t>
            </w:r>
          </w:p>
        </w:tc>
        <w:tc>
          <w:tcPr>
            <w:tcW w:w="2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w:t>
            </w:r>
          </w:p>
        </w:tc>
      </w:tr>
      <w:tr>
        <w:trPr>
          <w:trHeight w:val="224"/>
        </w:trPr>
        <w:tc>
          <w:tcPr>
            <w:tcW w:w="4020" w:type="dxa"/>
            <w:vAlign w:val="bottom"/>
            <w:tcBorders>
              <w:bottom w:val="single" w:sz="8" w:color="auto"/>
            </w:tcBorders>
          </w:tcPr>
          <w:p>
            <w:pPr>
              <w:ind w:left="120"/>
              <w:spacing w:after="0"/>
              <w:rPr>
                <w:sz w:val="20"/>
                <w:szCs w:val="20"/>
                <w:color w:val="auto"/>
              </w:rPr>
            </w:pPr>
            <w:r>
              <w:rPr>
                <w:rFonts w:ascii="Arial" w:cs="Arial" w:eastAsia="Arial" w:hAnsi="Arial"/>
                <w:sz w:val="14"/>
                <w:szCs w:val="14"/>
                <w:color w:val="auto"/>
              </w:rPr>
              <w:t>Total</w:t>
            </w:r>
          </w:p>
        </w:tc>
        <w:tc>
          <w:tcPr>
            <w:tcW w:w="4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25</w:t>
            </w:r>
          </w:p>
        </w:tc>
        <w:tc>
          <w:tcPr>
            <w:tcW w:w="76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color w:val="auto"/>
              </w:rPr>
              <w:t>11</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8</w:t>
            </w:r>
          </w:p>
        </w:tc>
      </w:tr>
      <w:tr>
        <w:trPr>
          <w:trHeight w:val="210"/>
        </w:trPr>
        <w:tc>
          <w:tcPr>
            <w:tcW w:w="4020" w:type="dxa"/>
            <w:vAlign w:val="bottom"/>
          </w:tcPr>
          <w:p>
            <w:pPr>
              <w:spacing w:after="0"/>
              <w:rPr>
                <w:sz w:val="20"/>
                <w:szCs w:val="20"/>
                <w:color w:val="auto"/>
              </w:rPr>
            </w:pPr>
            <w:r>
              <w:rPr>
                <w:rFonts w:ascii="Arial" w:cs="Arial" w:eastAsia="Arial" w:hAnsi="Arial"/>
                <w:sz w:val="14"/>
                <w:szCs w:val="14"/>
                <w:b w:val="1"/>
                <w:bCs w:val="1"/>
                <w:color w:val="auto"/>
              </w:rPr>
              <w:t>SoCalGas and PE</w:t>
            </w:r>
          </w:p>
        </w:tc>
        <w:tc>
          <w:tcPr>
            <w:tcW w:w="4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16"/>
        </w:trPr>
        <w:tc>
          <w:tcPr>
            <w:tcW w:w="4020" w:type="dxa"/>
            <w:vAlign w:val="bottom"/>
          </w:tcPr>
          <w:p>
            <w:pPr>
              <w:spacing w:after="0"/>
              <w:rPr>
                <w:sz w:val="20"/>
                <w:szCs w:val="20"/>
                <w:color w:val="auto"/>
              </w:rPr>
            </w:pPr>
            <w:r>
              <w:rPr>
                <w:rFonts w:ascii="Arial" w:cs="Arial" w:eastAsia="Arial" w:hAnsi="Arial"/>
                <w:sz w:val="14"/>
                <w:szCs w:val="14"/>
                <w:color w:val="auto"/>
              </w:rPr>
              <w:t>Allowance for equity funds used during construction</w:t>
            </w:r>
          </w:p>
        </w:tc>
        <w:tc>
          <w:tcPr>
            <w:tcW w:w="4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68"/>
              <w:spacing w:after="0"/>
              <w:rPr>
                <w:sz w:val="20"/>
                <w:szCs w:val="20"/>
                <w:color w:val="auto"/>
              </w:rPr>
            </w:pPr>
            <w:r>
              <w:rPr>
                <w:rFonts w:ascii="Arial" w:cs="Arial" w:eastAsia="Arial" w:hAnsi="Arial"/>
                <w:sz w:val="14"/>
                <w:szCs w:val="14"/>
                <w:color w:val="auto"/>
              </w:rPr>
              <w:t>8</w:t>
            </w:r>
          </w:p>
        </w:tc>
        <w:tc>
          <w:tcPr>
            <w:tcW w:w="76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488"/>
              <w:spacing w:after="0"/>
              <w:rPr>
                <w:sz w:val="20"/>
                <w:szCs w:val="20"/>
                <w:color w:val="auto"/>
              </w:rPr>
            </w:pPr>
            <w:r>
              <w:rPr>
                <w:rFonts w:ascii="Arial" w:cs="Arial" w:eastAsia="Arial" w:hAnsi="Arial"/>
                <w:sz w:val="14"/>
                <w:szCs w:val="14"/>
                <w:color w:val="auto"/>
              </w:rPr>
              <w:t>5</w:t>
            </w:r>
          </w:p>
        </w:tc>
        <w:tc>
          <w:tcPr>
            <w:tcW w:w="280" w:type="dxa"/>
            <w:vAlign w:val="bottom"/>
          </w:tcPr>
          <w:p>
            <w:pPr>
              <w:jc w:val="right"/>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88"/>
              <w:spacing w:after="0"/>
              <w:rPr>
                <w:sz w:val="20"/>
                <w:szCs w:val="20"/>
                <w:color w:val="auto"/>
              </w:rPr>
            </w:pPr>
            <w:r>
              <w:rPr>
                <w:rFonts w:ascii="Arial" w:cs="Arial" w:eastAsia="Arial" w:hAnsi="Arial"/>
                <w:sz w:val="14"/>
                <w:szCs w:val="14"/>
                <w:color w:val="auto"/>
              </w:rPr>
              <w:t>6</w:t>
            </w:r>
          </w:p>
        </w:tc>
      </w:tr>
      <w:tr>
        <w:trPr>
          <w:trHeight w:val="216"/>
        </w:trPr>
        <w:tc>
          <w:tcPr>
            <w:tcW w:w="4020" w:type="dxa"/>
            <w:vAlign w:val="bottom"/>
          </w:tcPr>
          <w:p>
            <w:pPr>
              <w:spacing w:after="0"/>
              <w:rPr>
                <w:sz w:val="20"/>
                <w:szCs w:val="20"/>
                <w:color w:val="auto"/>
              </w:rPr>
            </w:pPr>
            <w:r>
              <w:rPr>
                <w:rFonts w:ascii="Arial" w:cs="Arial" w:eastAsia="Arial" w:hAnsi="Arial"/>
                <w:sz w:val="14"/>
                <w:szCs w:val="14"/>
                <w:color w:val="auto"/>
              </w:rPr>
              <w:t>Regulatory interest, net</w:t>
            </w:r>
          </w:p>
        </w:tc>
        <w:tc>
          <w:tcPr>
            <w:tcW w:w="4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(4 )</w:t>
            </w:r>
          </w:p>
        </w:tc>
        <w:tc>
          <w:tcPr>
            <w:tcW w:w="760" w:type="dxa"/>
            <w:vAlign w:val="bottom"/>
          </w:tcPr>
          <w:p>
            <w:pPr>
              <w:spacing w:after="0"/>
              <w:rPr>
                <w:sz w:val="18"/>
                <w:szCs w:val="18"/>
                <w:color w:val="auto"/>
              </w:rPr>
            </w:pPr>
          </w:p>
        </w:tc>
        <w:tc>
          <w:tcPr>
            <w:tcW w:w="980" w:type="dxa"/>
            <w:vAlign w:val="bottom"/>
          </w:tcPr>
          <w:p>
            <w:pPr>
              <w:jc w:val="right"/>
              <w:ind w:right="408"/>
              <w:spacing w:after="0"/>
              <w:rPr>
                <w:sz w:val="20"/>
                <w:szCs w:val="20"/>
                <w:color w:val="auto"/>
              </w:rPr>
            </w:pPr>
            <w:r>
              <w:rPr>
                <w:rFonts w:ascii="Arial" w:cs="Arial" w:eastAsia="Arial" w:hAnsi="Arial"/>
                <w:sz w:val="14"/>
                <w:szCs w:val="14"/>
                <w:color w:val="auto"/>
              </w:rPr>
              <w:t>(6 )</w:t>
            </w:r>
          </w:p>
        </w:tc>
        <w:tc>
          <w:tcPr>
            <w:tcW w:w="280" w:type="dxa"/>
            <w:vAlign w:val="bottom"/>
          </w:tcPr>
          <w:p>
            <w:pPr>
              <w:spacing w:after="0"/>
              <w:rPr>
                <w:sz w:val="18"/>
                <w:szCs w:val="18"/>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(6 )</w:t>
            </w:r>
          </w:p>
        </w:tc>
      </w:tr>
      <w:tr>
        <w:trPr>
          <w:trHeight w:val="222"/>
        </w:trPr>
        <w:tc>
          <w:tcPr>
            <w:tcW w:w="4020" w:type="dxa"/>
            <w:vAlign w:val="bottom"/>
          </w:tcPr>
          <w:p>
            <w:pPr>
              <w:spacing w:after="0"/>
              <w:rPr>
                <w:sz w:val="20"/>
                <w:szCs w:val="20"/>
                <w:color w:val="auto"/>
              </w:rPr>
            </w:pPr>
            <w:r>
              <w:rPr>
                <w:rFonts w:ascii="Arial" w:cs="Arial" w:eastAsia="Arial" w:hAnsi="Arial"/>
                <w:sz w:val="14"/>
                <w:szCs w:val="14"/>
                <w:color w:val="auto"/>
              </w:rPr>
              <w:t>Sundry, net</w:t>
            </w:r>
          </w:p>
        </w:tc>
        <w:tc>
          <w:tcPr>
            <w:tcW w:w="4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(2 )</w:t>
            </w:r>
          </w:p>
        </w:tc>
        <w:tc>
          <w:tcPr>
            <w:tcW w:w="7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color w:val="auto"/>
              </w:rPr>
              <w:t>(2 )</w:t>
            </w:r>
          </w:p>
        </w:tc>
        <w:tc>
          <w:tcPr>
            <w:tcW w:w="2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(1 )</w:t>
            </w:r>
          </w:p>
        </w:tc>
      </w:tr>
      <w:tr>
        <w:trPr>
          <w:trHeight w:val="202"/>
        </w:trPr>
        <w:tc>
          <w:tcPr>
            <w:tcW w:w="4020" w:type="dxa"/>
            <w:vAlign w:val="bottom"/>
          </w:tcPr>
          <w:p>
            <w:pPr>
              <w:ind w:left="340"/>
              <w:spacing w:after="0"/>
              <w:rPr>
                <w:sz w:val="20"/>
                <w:szCs w:val="20"/>
                <w:color w:val="auto"/>
              </w:rPr>
            </w:pPr>
            <w:r>
              <w:rPr>
                <w:rFonts w:ascii="Arial" w:cs="Arial" w:eastAsia="Arial" w:hAnsi="Arial"/>
                <w:sz w:val="14"/>
                <w:szCs w:val="14"/>
                <w:color w:val="auto"/>
              </w:rPr>
              <w:t>Total at SoCalGas</w:t>
            </w:r>
          </w:p>
        </w:tc>
        <w:tc>
          <w:tcPr>
            <w:tcW w:w="420" w:type="dxa"/>
            <w:vAlign w:val="bottom"/>
          </w:tcPr>
          <w:p>
            <w:pPr>
              <w:spacing w:after="0"/>
              <w:rPr>
                <w:sz w:val="17"/>
                <w:szCs w:val="17"/>
                <w:color w:val="auto"/>
              </w:rPr>
            </w:pPr>
          </w:p>
        </w:tc>
        <w:tc>
          <w:tcPr>
            <w:tcW w:w="640" w:type="dxa"/>
            <w:vAlign w:val="bottom"/>
          </w:tcPr>
          <w:p>
            <w:pPr>
              <w:jc w:val="right"/>
              <w:ind w:right="68"/>
              <w:spacing w:after="0"/>
              <w:rPr>
                <w:sz w:val="20"/>
                <w:szCs w:val="20"/>
                <w:color w:val="auto"/>
              </w:rPr>
            </w:pPr>
            <w:r>
              <w:rPr>
                <w:rFonts w:ascii="Arial" w:cs="Arial" w:eastAsia="Arial" w:hAnsi="Arial"/>
                <w:sz w:val="14"/>
                <w:szCs w:val="14"/>
                <w:color w:val="auto"/>
              </w:rPr>
              <w:t>2</w:t>
            </w:r>
          </w:p>
        </w:tc>
        <w:tc>
          <w:tcPr>
            <w:tcW w:w="760" w:type="dxa"/>
            <w:vAlign w:val="bottom"/>
          </w:tcPr>
          <w:p>
            <w:pPr>
              <w:spacing w:after="0"/>
              <w:rPr>
                <w:sz w:val="17"/>
                <w:szCs w:val="17"/>
                <w:color w:val="auto"/>
              </w:rPr>
            </w:pPr>
          </w:p>
        </w:tc>
        <w:tc>
          <w:tcPr>
            <w:tcW w:w="980" w:type="dxa"/>
            <w:vAlign w:val="bottom"/>
          </w:tcPr>
          <w:p>
            <w:pPr>
              <w:jc w:val="right"/>
              <w:ind w:right="408"/>
              <w:spacing w:after="0"/>
              <w:rPr>
                <w:sz w:val="20"/>
                <w:szCs w:val="20"/>
                <w:color w:val="auto"/>
              </w:rPr>
            </w:pPr>
            <w:r>
              <w:rPr>
                <w:rFonts w:ascii="Arial" w:cs="Arial" w:eastAsia="Arial" w:hAnsi="Arial"/>
                <w:sz w:val="14"/>
                <w:szCs w:val="14"/>
                <w:color w:val="auto"/>
              </w:rPr>
              <w:t>(3 )</w:t>
            </w:r>
          </w:p>
        </w:tc>
        <w:tc>
          <w:tcPr>
            <w:tcW w:w="280" w:type="dxa"/>
            <w:vAlign w:val="bottom"/>
          </w:tcPr>
          <w:p>
            <w:pPr>
              <w:spacing w:after="0"/>
              <w:rPr>
                <w:sz w:val="17"/>
                <w:szCs w:val="17"/>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(1 )</w:t>
            </w:r>
          </w:p>
        </w:tc>
      </w:tr>
      <w:tr>
        <w:trPr>
          <w:trHeight w:val="216"/>
        </w:trPr>
        <w:tc>
          <w:tcPr>
            <w:tcW w:w="4020" w:type="dxa"/>
            <w:vAlign w:val="bottom"/>
          </w:tcPr>
          <w:p>
            <w:pPr>
              <w:spacing w:after="0"/>
              <w:rPr>
                <w:sz w:val="20"/>
                <w:szCs w:val="20"/>
                <w:color w:val="auto"/>
              </w:rPr>
            </w:pPr>
            <w:r>
              <w:rPr>
                <w:rFonts w:ascii="Arial" w:cs="Arial" w:eastAsia="Arial" w:hAnsi="Arial"/>
                <w:sz w:val="14"/>
                <w:szCs w:val="14"/>
                <w:color w:val="auto"/>
              </w:rPr>
              <w:t>Additional at PE:</w:t>
            </w:r>
          </w:p>
        </w:tc>
        <w:tc>
          <w:tcPr>
            <w:tcW w:w="4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19"/>
        </w:trPr>
        <w:tc>
          <w:tcPr>
            <w:tcW w:w="4020" w:type="dxa"/>
            <w:vAlign w:val="bottom"/>
          </w:tcPr>
          <w:p>
            <w:pPr>
              <w:ind w:left="120"/>
              <w:spacing w:after="0"/>
              <w:rPr>
                <w:sz w:val="20"/>
                <w:szCs w:val="20"/>
                <w:color w:val="auto"/>
              </w:rPr>
            </w:pPr>
            <w:r>
              <w:rPr>
                <w:rFonts w:ascii="Arial" w:cs="Arial" w:eastAsia="Arial" w:hAnsi="Arial"/>
                <w:sz w:val="14"/>
                <w:szCs w:val="14"/>
                <w:color w:val="auto"/>
              </w:rPr>
              <w:t>Preferred dividends of SoCalGas</w:t>
            </w:r>
          </w:p>
        </w:tc>
        <w:tc>
          <w:tcPr>
            <w:tcW w:w="4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(1 )</w:t>
            </w:r>
          </w:p>
        </w:tc>
        <w:tc>
          <w:tcPr>
            <w:tcW w:w="7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color w:val="auto"/>
              </w:rPr>
              <w:t>(1 )</w:t>
            </w:r>
          </w:p>
        </w:tc>
        <w:tc>
          <w:tcPr>
            <w:tcW w:w="2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(1 )</w:t>
            </w:r>
          </w:p>
        </w:tc>
      </w:tr>
      <w:tr>
        <w:trPr>
          <w:trHeight w:val="227"/>
        </w:trPr>
        <w:tc>
          <w:tcPr>
            <w:tcW w:w="4020" w:type="dxa"/>
            <w:vAlign w:val="bottom"/>
            <w:tcBorders>
              <w:bottom w:val="single" w:sz="8" w:color="auto"/>
            </w:tcBorders>
          </w:tcPr>
          <w:p>
            <w:pPr>
              <w:ind w:left="340"/>
              <w:spacing w:after="0"/>
              <w:rPr>
                <w:sz w:val="20"/>
                <w:szCs w:val="20"/>
                <w:color w:val="auto"/>
              </w:rPr>
            </w:pPr>
            <w:r>
              <w:rPr>
                <w:rFonts w:ascii="Arial" w:cs="Arial" w:eastAsia="Arial" w:hAnsi="Arial"/>
                <w:sz w:val="14"/>
                <w:szCs w:val="14"/>
                <w:color w:val="auto"/>
              </w:rPr>
              <w:t>Total</w:t>
            </w:r>
          </w:p>
        </w:tc>
        <w:tc>
          <w:tcPr>
            <w:tcW w:w="4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w:t>
            </w:r>
          </w:p>
        </w:tc>
        <w:tc>
          <w:tcPr>
            <w:tcW w:w="76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color w:val="auto"/>
              </w:rPr>
              <w:t>(4 )</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(2 )</w:t>
            </w:r>
          </w:p>
        </w:tc>
      </w:tr>
    </w:tbl>
    <w:p>
      <w:pPr>
        <w:spacing w:after="0" w:line="4" w:lineRule="exact"/>
        <w:rPr>
          <w:sz w:val="20"/>
          <w:szCs w:val="20"/>
          <w:color w:val="auto"/>
        </w:rPr>
      </w:pPr>
    </w:p>
    <w:p>
      <w:pPr>
        <w:ind w:left="2160" w:right="1920" w:hanging="332"/>
        <w:spacing w:after="0" w:line="292" w:lineRule="auto"/>
        <w:tabs>
          <w:tab w:leader="none" w:pos="2160" w:val="left"/>
        </w:tabs>
        <w:numPr>
          <w:ilvl w:val="0"/>
          <w:numId w:val="330"/>
        </w:numPr>
        <w:rPr>
          <w:rFonts w:ascii="Arial" w:cs="Arial" w:eastAsia="Arial" w:hAnsi="Arial"/>
          <w:sz w:val="12"/>
          <w:szCs w:val="12"/>
          <w:i w:val="1"/>
          <w:iCs w:val="1"/>
          <w:color w:val="auto"/>
        </w:rPr>
      </w:pPr>
      <w:r>
        <w:rPr>
          <w:rFonts w:ascii="Arial" w:cs="Arial" w:eastAsia="Arial" w:hAnsi="Arial"/>
          <w:sz w:val="12"/>
          <w:szCs w:val="12"/>
          <w:i w:val="1"/>
          <w:iCs w:val="1"/>
          <w:color w:val="auto"/>
        </w:rPr>
        <w:t>Represents investment earnings (losses) on dedicated assets in support of our executive retirement and deferred compensation plans. These amounts are partially offset by corresponding changes in compensation expense related to the plans.</w:t>
      </w:r>
    </w:p>
    <w:p>
      <w:pPr>
        <w:spacing w:after="0" w:line="1" w:lineRule="exact"/>
        <w:rPr>
          <w:sz w:val="20"/>
          <w:szCs w:val="20"/>
          <w:color w:val="auto"/>
        </w:rPr>
      </w:pPr>
    </w:p>
    <w:p>
      <w:pPr>
        <w:ind w:left="2160" w:right="1740" w:hanging="332"/>
        <w:spacing w:after="0" w:line="277" w:lineRule="auto"/>
        <w:tabs>
          <w:tab w:leader="none" w:pos="2160" w:val="left"/>
        </w:tabs>
        <w:numPr>
          <w:ilvl w:val="0"/>
          <w:numId w:val="331"/>
        </w:numPr>
        <w:rPr>
          <w:rFonts w:ascii="Arial" w:cs="Arial" w:eastAsia="Arial" w:hAnsi="Arial"/>
          <w:sz w:val="13"/>
          <w:szCs w:val="13"/>
          <w:i w:val="1"/>
          <w:iCs w:val="1"/>
          <w:color w:val="auto"/>
        </w:rPr>
      </w:pPr>
      <w:r>
        <w:rPr>
          <w:rFonts w:ascii="Arial" w:cs="Arial" w:eastAsia="Arial" w:hAnsi="Arial"/>
          <w:sz w:val="13"/>
          <w:szCs w:val="13"/>
          <w:i w:val="1"/>
          <w:iCs w:val="1"/>
          <w:color w:val="auto"/>
        </w:rPr>
        <w:t>These losses were largely offset by Mexican tax benefits arising from fluctuations in the US dollar/Mexican peso exchange rate and inflation rate.</w:t>
      </w: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Arial" w:cs="Arial" w:eastAsia="Arial" w:hAnsi="Arial"/>
          <w:sz w:val="14"/>
          <w:szCs w:val="14"/>
          <w:color w:val="auto"/>
        </w:rPr>
        <w:t>113</w:t>
      </w:r>
    </w:p>
    <w:p>
      <w:pPr>
        <w:sectPr>
          <w:pgSz w:w="11900" w:h="16838" w:orient="portrait"/>
          <w:cols w:equalWidth="0" w:num="1">
            <w:col w:w="11320"/>
          </w:cols>
          <w:pgMar w:left="240" w:top="127" w:right="339" w:bottom="1440" w:gutter="0" w:footer="0" w:header="0"/>
        </w:sectPr>
      </w:pPr>
    </w:p>
    <w:bookmarkStart w:id="253" w:name="page254"/>
    <w:bookmarkEnd w:id="253"/>
    <w:p>
      <w:pPr>
        <w:ind w:left="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149860</wp:posOffset>
            </wp:positionH>
            <wp:positionV relativeFrom="page">
              <wp:posOffset>432435</wp:posOffset>
            </wp:positionV>
            <wp:extent cx="7261860" cy="762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61860" cy="7620"/>
                    </a:xfrm>
                    <a:prstGeom prst="rect">
                      <a:avLst/>
                    </a:prstGeom>
                    <a:noFill/>
                  </pic:spPr>
                </pic:pic>
              </a:graphicData>
            </a:graphic>
          </wp:anchor>
        </w:drawing>
        <w:t>NOTE 2. NEW ACCOUNTING STANDARDS</w:t>
      </w:r>
    </w:p>
    <w:p>
      <w:pPr>
        <w:spacing w:after="0" w:line="60" w:lineRule="exact"/>
        <w:rPr>
          <w:sz w:val="20"/>
          <w:szCs w:val="20"/>
          <w:color w:val="auto"/>
        </w:rPr>
      </w:pPr>
    </w:p>
    <w:p>
      <w:pPr>
        <w:ind w:left="4" w:right="340"/>
        <w:spacing w:after="0" w:line="277" w:lineRule="auto"/>
        <w:rPr>
          <w:sz w:val="20"/>
          <w:szCs w:val="20"/>
          <w:color w:val="auto"/>
        </w:rPr>
      </w:pPr>
      <w:r>
        <w:rPr>
          <w:rFonts w:ascii="Arial" w:cs="Arial" w:eastAsia="Arial" w:hAnsi="Arial"/>
          <w:sz w:val="16"/>
          <w:szCs w:val="16"/>
          <w:color w:val="auto"/>
        </w:rPr>
        <w:t>We describe below recent pronouncements that have had or may have a significant effect on our financial statements. We do not discuss recent pronouncements that are not anticipated to have a significant impact on or are unrelated to our financial condition, results of operations, or disclosures.</w:t>
      </w:r>
    </w:p>
    <w:p>
      <w:pPr>
        <w:spacing w:after="0" w:line="252"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auto"/>
        </w:rPr>
        <w:t>SEMPRA ENERGY, SDG&amp;E AND SOCALGAS</w:t>
      </w:r>
    </w:p>
    <w:p>
      <w:pPr>
        <w:spacing w:after="0" w:line="101" w:lineRule="exact"/>
        <w:rPr>
          <w:sz w:val="20"/>
          <w:szCs w:val="20"/>
          <w:color w:val="auto"/>
        </w:rPr>
      </w:pPr>
    </w:p>
    <w:p>
      <w:pPr>
        <w:ind w:left="4" w:right="80"/>
        <w:spacing w:after="0" w:line="277" w:lineRule="auto"/>
        <w:rPr>
          <w:sz w:val="20"/>
          <w:szCs w:val="20"/>
          <w:color w:val="auto"/>
        </w:rPr>
      </w:pPr>
      <w:r>
        <w:rPr>
          <w:rFonts w:ascii="Arial" w:cs="Arial" w:eastAsia="Arial" w:hAnsi="Arial"/>
          <w:sz w:val="16"/>
          <w:szCs w:val="16"/>
          <w:b w:val="1"/>
          <w:bCs w:val="1"/>
          <w:i w:val="1"/>
          <w:iCs w:val="1"/>
          <w:color w:val="auto"/>
        </w:rPr>
        <w:t xml:space="preserve">SFAS 161, "Disclosures about Derivative Instruments and Hedging Activities – an amendment of FASB Statement No. 133" (SFAS 161): </w:t>
      </w:r>
      <w:r>
        <w:rPr>
          <w:rFonts w:ascii="Arial" w:cs="Arial" w:eastAsia="Arial" w:hAnsi="Arial"/>
          <w:sz w:val="16"/>
          <w:szCs w:val="16"/>
          <w:color w:val="auto"/>
        </w:rPr>
        <w:t>SFAS 161 expands the disclosure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requirements in SFAS 133, </w:t>
      </w:r>
      <w:r>
        <w:rPr>
          <w:rFonts w:ascii="Arial" w:cs="Arial" w:eastAsia="Arial" w:hAnsi="Arial"/>
          <w:sz w:val="16"/>
          <w:szCs w:val="16"/>
          <w:i w:val="1"/>
          <w:iCs w:val="1"/>
          <w:color w:val="auto"/>
        </w:rPr>
        <w:t>Accounting for Derivative Instruments and Hedging Activities (SFAS 133)</w:t>
      </w:r>
      <w:r>
        <w:rPr>
          <w:rFonts w:ascii="Arial" w:cs="Arial" w:eastAsia="Arial" w:hAnsi="Arial"/>
          <w:sz w:val="16"/>
          <w:szCs w:val="16"/>
          <w:color w:val="auto"/>
        </w:rPr>
        <w:t>.</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6"/>
          <w:szCs w:val="16"/>
          <w:color w:val="auto"/>
        </w:rPr>
        <w:t>SFAS 161 requires disclosures about the following:</w:t>
      </w:r>
    </w:p>
    <w:p>
      <w:pPr>
        <w:spacing w:after="0" w:line="44" w:lineRule="exact"/>
        <w:rPr>
          <w:sz w:val="20"/>
          <w:szCs w:val="20"/>
          <w:color w:val="auto"/>
        </w:rPr>
      </w:pPr>
    </w:p>
    <w:p>
      <w:pPr>
        <w:ind w:left="144" w:hanging="144"/>
        <w:spacing w:after="0"/>
        <w:tabs>
          <w:tab w:leader="none" w:pos="144" w:val="left"/>
        </w:tabs>
        <w:numPr>
          <w:ilvl w:val="0"/>
          <w:numId w:val="332"/>
        </w:numPr>
        <w:rPr>
          <w:rFonts w:ascii="Arial" w:cs="Arial" w:eastAsia="Arial" w:hAnsi="Arial"/>
          <w:sz w:val="16"/>
          <w:szCs w:val="16"/>
          <w:color w:val="auto"/>
        </w:rPr>
      </w:pPr>
      <w:r>
        <w:rPr>
          <w:rFonts w:ascii="Arial" w:cs="Arial" w:eastAsia="Arial" w:hAnsi="Arial"/>
          <w:sz w:val="16"/>
          <w:szCs w:val="16"/>
          <w:color w:val="auto"/>
        </w:rPr>
        <w:t>qualitative objectives and strategies for using derivatives;</w:t>
      </w:r>
    </w:p>
    <w:p>
      <w:pPr>
        <w:spacing w:after="0" w:line="44" w:lineRule="exact"/>
        <w:rPr>
          <w:rFonts w:ascii="Arial" w:cs="Arial" w:eastAsia="Arial" w:hAnsi="Arial"/>
          <w:sz w:val="16"/>
          <w:szCs w:val="16"/>
          <w:color w:val="auto"/>
        </w:rPr>
      </w:pPr>
    </w:p>
    <w:p>
      <w:pPr>
        <w:ind w:left="144" w:hanging="144"/>
        <w:spacing w:after="0"/>
        <w:tabs>
          <w:tab w:leader="none" w:pos="144" w:val="left"/>
        </w:tabs>
        <w:numPr>
          <w:ilvl w:val="0"/>
          <w:numId w:val="332"/>
        </w:numPr>
        <w:rPr>
          <w:rFonts w:ascii="Arial" w:cs="Arial" w:eastAsia="Arial" w:hAnsi="Arial"/>
          <w:sz w:val="16"/>
          <w:szCs w:val="16"/>
          <w:color w:val="auto"/>
        </w:rPr>
      </w:pPr>
      <w:r>
        <w:rPr>
          <w:rFonts w:ascii="Arial" w:cs="Arial" w:eastAsia="Arial" w:hAnsi="Arial"/>
          <w:sz w:val="16"/>
          <w:szCs w:val="16"/>
          <w:color w:val="auto"/>
        </w:rPr>
        <w:t>quantitative disclosures of fair value amounts, and gains and losses on derivative instruments and related hedged items; and</w:t>
      </w:r>
    </w:p>
    <w:p>
      <w:pPr>
        <w:spacing w:after="0" w:line="44" w:lineRule="exact"/>
        <w:rPr>
          <w:rFonts w:ascii="Arial" w:cs="Arial" w:eastAsia="Arial" w:hAnsi="Arial"/>
          <w:sz w:val="16"/>
          <w:szCs w:val="16"/>
          <w:color w:val="auto"/>
        </w:rPr>
      </w:pPr>
    </w:p>
    <w:p>
      <w:pPr>
        <w:ind w:left="144" w:hanging="144"/>
        <w:spacing w:after="0"/>
        <w:tabs>
          <w:tab w:leader="none" w:pos="144" w:val="left"/>
        </w:tabs>
        <w:numPr>
          <w:ilvl w:val="0"/>
          <w:numId w:val="332"/>
        </w:numPr>
        <w:rPr>
          <w:rFonts w:ascii="Arial" w:cs="Arial" w:eastAsia="Arial" w:hAnsi="Arial"/>
          <w:sz w:val="16"/>
          <w:szCs w:val="16"/>
          <w:color w:val="auto"/>
        </w:rPr>
      </w:pPr>
      <w:r>
        <w:rPr>
          <w:rFonts w:ascii="Arial" w:cs="Arial" w:eastAsia="Arial" w:hAnsi="Arial"/>
          <w:sz w:val="16"/>
          <w:szCs w:val="16"/>
          <w:color w:val="auto"/>
        </w:rPr>
        <w:t>credit-risk-related contingent features in derivative agreements.</w:t>
      </w:r>
    </w:p>
    <w:p>
      <w:pPr>
        <w:spacing w:after="0" w:line="128" w:lineRule="exact"/>
        <w:rPr>
          <w:sz w:val="20"/>
          <w:szCs w:val="20"/>
          <w:color w:val="auto"/>
        </w:rPr>
      </w:pPr>
    </w:p>
    <w:p>
      <w:pPr>
        <w:ind w:left="4" w:right="300"/>
        <w:spacing w:after="0" w:line="277" w:lineRule="auto"/>
        <w:rPr>
          <w:sz w:val="20"/>
          <w:szCs w:val="20"/>
          <w:color w:val="auto"/>
        </w:rPr>
      </w:pPr>
      <w:r>
        <w:rPr>
          <w:rFonts w:ascii="Arial" w:cs="Arial" w:eastAsia="Arial" w:hAnsi="Arial"/>
          <w:sz w:val="16"/>
          <w:szCs w:val="16"/>
          <w:color w:val="auto"/>
        </w:rPr>
        <w:t>SFAS 161 is effective for financial statements issued for fiscal years and interim periods beginning after November 15, 2008. Our 2009 financial statements will include the additional disclosures.</w:t>
      </w:r>
    </w:p>
    <w:p>
      <w:pPr>
        <w:spacing w:after="0" w:line="32" w:lineRule="exact"/>
        <w:rPr>
          <w:sz w:val="20"/>
          <w:szCs w:val="20"/>
          <w:color w:val="auto"/>
        </w:rPr>
      </w:pPr>
    </w:p>
    <w:p>
      <w:pPr>
        <w:ind w:left="4" w:right="60"/>
        <w:spacing w:after="0" w:line="340" w:lineRule="auto"/>
        <w:rPr>
          <w:sz w:val="20"/>
          <w:szCs w:val="20"/>
          <w:color w:val="auto"/>
        </w:rPr>
      </w:pPr>
      <w:r>
        <w:rPr>
          <w:rFonts w:ascii="Arial" w:cs="Arial" w:eastAsia="Arial" w:hAnsi="Arial"/>
          <w:sz w:val="14"/>
          <w:szCs w:val="14"/>
          <w:b w:val="1"/>
          <w:bCs w:val="1"/>
          <w:i w:val="1"/>
          <w:iCs w:val="1"/>
          <w:color w:val="auto"/>
        </w:rPr>
        <w:t xml:space="preserve">SFAS 160, "Noncontrolling Interests in Consolidated Financial Statements – an amendment of ARB No. 51" (SFAS 160): </w:t>
      </w:r>
      <w:r>
        <w:rPr>
          <w:rFonts w:ascii="Arial" w:cs="Arial" w:eastAsia="Arial" w:hAnsi="Arial"/>
          <w:sz w:val="14"/>
          <w:szCs w:val="14"/>
          <w:color w:val="auto"/>
        </w:rPr>
        <w:t>SFAS 160 amends Accounting Research Bulletin</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 xml:space="preserve">(ARB) No. 51, </w:t>
      </w:r>
      <w:r>
        <w:rPr>
          <w:rFonts w:ascii="Arial" w:cs="Arial" w:eastAsia="Arial" w:hAnsi="Arial"/>
          <w:sz w:val="14"/>
          <w:szCs w:val="14"/>
          <w:i w:val="1"/>
          <w:iCs w:val="1"/>
          <w:color w:val="auto"/>
        </w:rPr>
        <w:t>Consolidated Financial Statements</w:t>
      </w:r>
      <w:r>
        <w:rPr>
          <w:rFonts w:ascii="Arial" w:cs="Arial" w:eastAsia="Arial" w:hAnsi="Arial"/>
          <w:sz w:val="14"/>
          <w:szCs w:val="14"/>
          <w:color w:val="auto"/>
        </w:rPr>
        <w:t>, to establish accounting and reporting standards for ownership interests in subsidiaries held by parties other than the parent.</w:t>
      </w:r>
    </w:p>
    <w:p>
      <w:pPr>
        <w:ind w:left="4"/>
        <w:spacing w:after="0"/>
        <w:rPr>
          <w:sz w:val="20"/>
          <w:szCs w:val="20"/>
          <w:color w:val="auto"/>
        </w:rPr>
      </w:pPr>
      <w:r>
        <w:rPr>
          <w:rFonts w:ascii="Arial" w:cs="Arial" w:eastAsia="Arial" w:hAnsi="Arial"/>
          <w:sz w:val="16"/>
          <w:szCs w:val="16"/>
          <w:color w:val="auto"/>
        </w:rPr>
        <w:t>SFAS 160 provides guidance on the following:</w:t>
      </w:r>
    </w:p>
    <w:p>
      <w:pPr>
        <w:spacing w:after="0" w:line="44" w:lineRule="exact"/>
        <w:rPr>
          <w:sz w:val="20"/>
          <w:szCs w:val="20"/>
          <w:color w:val="auto"/>
        </w:rPr>
      </w:pPr>
    </w:p>
    <w:p>
      <w:pPr>
        <w:ind w:left="144" w:hanging="144"/>
        <w:spacing w:after="0"/>
        <w:tabs>
          <w:tab w:leader="none" w:pos="144" w:val="left"/>
        </w:tabs>
        <w:numPr>
          <w:ilvl w:val="0"/>
          <w:numId w:val="333"/>
        </w:numPr>
        <w:rPr>
          <w:rFonts w:ascii="Arial" w:cs="Arial" w:eastAsia="Arial" w:hAnsi="Arial"/>
          <w:sz w:val="16"/>
          <w:szCs w:val="16"/>
          <w:color w:val="auto"/>
        </w:rPr>
      </w:pPr>
      <w:r>
        <w:rPr>
          <w:rFonts w:ascii="Arial" w:cs="Arial" w:eastAsia="Arial" w:hAnsi="Arial"/>
          <w:sz w:val="16"/>
          <w:szCs w:val="16"/>
          <w:color w:val="auto"/>
        </w:rPr>
        <w:t>how to report noncontrolling interests in a subsidiary in consolidated financial statements;</w:t>
      </w:r>
    </w:p>
    <w:p>
      <w:pPr>
        <w:spacing w:after="0" w:line="44" w:lineRule="exact"/>
        <w:rPr>
          <w:rFonts w:ascii="Arial" w:cs="Arial" w:eastAsia="Arial" w:hAnsi="Arial"/>
          <w:sz w:val="16"/>
          <w:szCs w:val="16"/>
          <w:color w:val="auto"/>
        </w:rPr>
      </w:pPr>
    </w:p>
    <w:p>
      <w:pPr>
        <w:ind w:left="144" w:hanging="144"/>
        <w:spacing w:after="0"/>
        <w:tabs>
          <w:tab w:leader="none" w:pos="144" w:val="left"/>
        </w:tabs>
        <w:numPr>
          <w:ilvl w:val="0"/>
          <w:numId w:val="333"/>
        </w:numPr>
        <w:rPr>
          <w:rFonts w:ascii="Arial" w:cs="Arial" w:eastAsia="Arial" w:hAnsi="Arial"/>
          <w:sz w:val="16"/>
          <w:szCs w:val="16"/>
          <w:color w:val="auto"/>
        </w:rPr>
      </w:pPr>
      <w:r>
        <w:rPr>
          <w:rFonts w:ascii="Arial" w:cs="Arial" w:eastAsia="Arial" w:hAnsi="Arial"/>
          <w:sz w:val="16"/>
          <w:szCs w:val="16"/>
          <w:color w:val="auto"/>
        </w:rPr>
        <w:t>the amount of consolidated net income attributable to the parent and to the noncontrolling interest; and</w:t>
      </w:r>
    </w:p>
    <w:p>
      <w:pPr>
        <w:spacing w:after="0" w:line="44" w:lineRule="exact"/>
        <w:rPr>
          <w:rFonts w:ascii="Arial" w:cs="Arial" w:eastAsia="Arial" w:hAnsi="Arial"/>
          <w:sz w:val="16"/>
          <w:szCs w:val="16"/>
          <w:color w:val="auto"/>
        </w:rPr>
      </w:pPr>
    </w:p>
    <w:p>
      <w:pPr>
        <w:ind w:left="144" w:hanging="144"/>
        <w:spacing w:after="0"/>
        <w:tabs>
          <w:tab w:leader="none" w:pos="144" w:val="left"/>
        </w:tabs>
        <w:numPr>
          <w:ilvl w:val="0"/>
          <w:numId w:val="333"/>
        </w:numPr>
        <w:rPr>
          <w:rFonts w:ascii="Arial" w:cs="Arial" w:eastAsia="Arial" w:hAnsi="Arial"/>
          <w:sz w:val="16"/>
          <w:szCs w:val="16"/>
          <w:color w:val="auto"/>
        </w:rPr>
      </w:pPr>
      <w:r>
        <w:rPr>
          <w:rFonts w:ascii="Arial" w:cs="Arial" w:eastAsia="Arial" w:hAnsi="Arial"/>
          <w:sz w:val="16"/>
          <w:szCs w:val="16"/>
          <w:color w:val="auto"/>
        </w:rPr>
        <w:t>changes in a parent’s ownership interest and the valuation of retained noncontrolling equity investments when a subsidiary is deconsolidated.</w:t>
      </w:r>
    </w:p>
    <w:p>
      <w:pPr>
        <w:spacing w:after="0" w:line="128" w:lineRule="exact"/>
        <w:rPr>
          <w:sz w:val="20"/>
          <w:szCs w:val="20"/>
          <w:color w:val="auto"/>
        </w:rPr>
      </w:pPr>
    </w:p>
    <w:p>
      <w:pPr>
        <w:ind w:left="4"/>
        <w:spacing w:after="0" w:line="259" w:lineRule="auto"/>
        <w:rPr>
          <w:sz w:val="20"/>
          <w:szCs w:val="20"/>
          <w:color w:val="auto"/>
        </w:rPr>
      </w:pPr>
      <w:r>
        <w:rPr>
          <w:rFonts w:ascii="Arial" w:cs="Arial" w:eastAsia="Arial" w:hAnsi="Arial"/>
          <w:sz w:val="16"/>
          <w:szCs w:val="16"/>
          <w:color w:val="auto"/>
        </w:rPr>
        <w:t>The pronouncement also requires disclosures that clearly identify and distinguish between the interest of the parent and the interests of the noncontrolling owners. SFAS 160 is effective for financial statements issued for fiscal years beginning after December 15, 2008 and early adoption is prohibited. SFAS 160 must be applied prospectively, except for presentation and disclosure requirements for existing minority interests. These requirements must be applied retrospectively. Our 2009 financial statements will include the adoption of SFAS 160.</w:t>
      </w:r>
    </w:p>
    <w:p>
      <w:pPr>
        <w:spacing w:after="0" w:line="47" w:lineRule="exact"/>
        <w:rPr>
          <w:sz w:val="20"/>
          <w:szCs w:val="20"/>
          <w:color w:val="auto"/>
        </w:rPr>
      </w:pPr>
    </w:p>
    <w:p>
      <w:pPr>
        <w:ind w:left="4" w:right="460"/>
        <w:spacing w:after="0" w:line="264" w:lineRule="auto"/>
        <w:rPr>
          <w:sz w:val="20"/>
          <w:szCs w:val="20"/>
          <w:color w:val="auto"/>
        </w:rPr>
      </w:pPr>
      <w:r>
        <w:rPr>
          <w:rFonts w:ascii="Arial" w:cs="Arial" w:eastAsia="Arial" w:hAnsi="Arial"/>
          <w:sz w:val="16"/>
          <w:szCs w:val="16"/>
          <w:b w:val="1"/>
          <w:bCs w:val="1"/>
          <w:i w:val="1"/>
          <w:iCs w:val="1"/>
          <w:color w:val="auto"/>
        </w:rPr>
        <w:t xml:space="preserve">SFAS 141 (revised 2007), "Business Combinations" (SFAS 141(R)): </w:t>
      </w:r>
      <w:r>
        <w:rPr>
          <w:rFonts w:ascii="Arial" w:cs="Arial" w:eastAsia="Arial" w:hAnsi="Arial"/>
          <w:sz w:val="16"/>
          <w:szCs w:val="16"/>
          <w:color w:val="auto"/>
        </w:rPr>
        <w:t>SFAS 141(R) applies to all transactions or events in which an entity obtains control of one or more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businesses, including those combinations achieved without transfer of consideration. In the context of a business combination, SFAS 141(R) establishes principles and requirements for how the acquirer recognizes the following:</w:t>
      </w:r>
    </w:p>
    <w:p>
      <w:pPr>
        <w:spacing w:after="0" w:line="5" w:lineRule="exact"/>
        <w:rPr>
          <w:sz w:val="20"/>
          <w:szCs w:val="20"/>
          <w:color w:val="auto"/>
        </w:rPr>
      </w:pPr>
    </w:p>
    <w:p>
      <w:pPr>
        <w:ind w:left="144" w:hanging="144"/>
        <w:spacing w:after="0"/>
        <w:tabs>
          <w:tab w:leader="none" w:pos="144" w:val="left"/>
        </w:tabs>
        <w:numPr>
          <w:ilvl w:val="0"/>
          <w:numId w:val="334"/>
        </w:numPr>
        <w:rPr>
          <w:rFonts w:ascii="Arial" w:cs="Arial" w:eastAsia="Arial" w:hAnsi="Arial"/>
          <w:sz w:val="16"/>
          <w:szCs w:val="16"/>
          <w:color w:val="auto"/>
        </w:rPr>
      </w:pPr>
      <w:r>
        <w:rPr>
          <w:rFonts w:ascii="Arial" w:cs="Arial" w:eastAsia="Arial" w:hAnsi="Arial"/>
          <w:sz w:val="16"/>
          <w:szCs w:val="16"/>
          <w:color w:val="auto"/>
        </w:rPr>
        <w:t>assets acquired, including goodwill</w:t>
      </w:r>
    </w:p>
    <w:p>
      <w:pPr>
        <w:spacing w:after="0" w:line="44" w:lineRule="exact"/>
        <w:rPr>
          <w:rFonts w:ascii="Arial" w:cs="Arial" w:eastAsia="Arial" w:hAnsi="Arial"/>
          <w:sz w:val="16"/>
          <w:szCs w:val="16"/>
          <w:color w:val="auto"/>
        </w:rPr>
      </w:pPr>
    </w:p>
    <w:p>
      <w:pPr>
        <w:ind w:left="144" w:hanging="144"/>
        <w:spacing w:after="0"/>
        <w:tabs>
          <w:tab w:leader="none" w:pos="144" w:val="left"/>
        </w:tabs>
        <w:numPr>
          <w:ilvl w:val="0"/>
          <w:numId w:val="334"/>
        </w:numPr>
        <w:rPr>
          <w:rFonts w:ascii="Arial" w:cs="Arial" w:eastAsia="Arial" w:hAnsi="Arial"/>
          <w:sz w:val="16"/>
          <w:szCs w:val="16"/>
          <w:color w:val="auto"/>
        </w:rPr>
      </w:pPr>
      <w:r>
        <w:rPr>
          <w:rFonts w:ascii="Arial" w:cs="Arial" w:eastAsia="Arial" w:hAnsi="Arial"/>
          <w:sz w:val="16"/>
          <w:szCs w:val="16"/>
          <w:color w:val="auto"/>
        </w:rPr>
        <w:t>assumed liabilities</w:t>
      </w:r>
    </w:p>
    <w:p>
      <w:pPr>
        <w:spacing w:after="0" w:line="44" w:lineRule="exact"/>
        <w:rPr>
          <w:rFonts w:ascii="Arial" w:cs="Arial" w:eastAsia="Arial" w:hAnsi="Arial"/>
          <w:sz w:val="16"/>
          <w:szCs w:val="16"/>
          <w:color w:val="auto"/>
        </w:rPr>
      </w:pPr>
    </w:p>
    <w:p>
      <w:pPr>
        <w:ind w:left="144" w:hanging="144"/>
        <w:spacing w:after="0"/>
        <w:tabs>
          <w:tab w:leader="none" w:pos="144" w:val="left"/>
        </w:tabs>
        <w:numPr>
          <w:ilvl w:val="0"/>
          <w:numId w:val="334"/>
        </w:numPr>
        <w:rPr>
          <w:rFonts w:ascii="Arial" w:cs="Arial" w:eastAsia="Arial" w:hAnsi="Arial"/>
          <w:sz w:val="16"/>
          <w:szCs w:val="16"/>
          <w:color w:val="auto"/>
        </w:rPr>
      </w:pPr>
      <w:r>
        <w:rPr>
          <w:rFonts w:ascii="Arial" w:cs="Arial" w:eastAsia="Arial" w:hAnsi="Arial"/>
          <w:sz w:val="16"/>
          <w:szCs w:val="16"/>
          <w:color w:val="auto"/>
        </w:rPr>
        <w:t>noncontrolling interest in the acquired entity</w:t>
      </w:r>
    </w:p>
    <w:p>
      <w:pPr>
        <w:spacing w:after="0" w:line="44" w:lineRule="exact"/>
        <w:rPr>
          <w:rFonts w:ascii="Arial" w:cs="Arial" w:eastAsia="Arial" w:hAnsi="Arial"/>
          <w:sz w:val="16"/>
          <w:szCs w:val="16"/>
          <w:color w:val="auto"/>
        </w:rPr>
      </w:pPr>
    </w:p>
    <w:p>
      <w:pPr>
        <w:ind w:left="144" w:hanging="144"/>
        <w:spacing w:after="0"/>
        <w:tabs>
          <w:tab w:leader="none" w:pos="144" w:val="left"/>
        </w:tabs>
        <w:numPr>
          <w:ilvl w:val="0"/>
          <w:numId w:val="334"/>
        </w:numPr>
        <w:rPr>
          <w:rFonts w:ascii="Arial" w:cs="Arial" w:eastAsia="Arial" w:hAnsi="Arial"/>
          <w:sz w:val="16"/>
          <w:szCs w:val="16"/>
          <w:color w:val="auto"/>
        </w:rPr>
      </w:pPr>
      <w:r>
        <w:rPr>
          <w:rFonts w:ascii="Arial" w:cs="Arial" w:eastAsia="Arial" w:hAnsi="Arial"/>
          <w:sz w:val="16"/>
          <w:szCs w:val="16"/>
          <w:color w:val="auto"/>
        </w:rPr>
        <w:t>contractual contingencies</w:t>
      </w:r>
    </w:p>
    <w:p>
      <w:pPr>
        <w:spacing w:after="0" w:line="44" w:lineRule="exact"/>
        <w:rPr>
          <w:rFonts w:ascii="Arial" w:cs="Arial" w:eastAsia="Arial" w:hAnsi="Arial"/>
          <w:sz w:val="16"/>
          <w:szCs w:val="16"/>
          <w:color w:val="auto"/>
        </w:rPr>
      </w:pPr>
    </w:p>
    <w:p>
      <w:pPr>
        <w:ind w:left="144" w:hanging="144"/>
        <w:spacing w:after="0"/>
        <w:tabs>
          <w:tab w:leader="none" w:pos="144" w:val="left"/>
        </w:tabs>
        <w:numPr>
          <w:ilvl w:val="0"/>
          <w:numId w:val="334"/>
        </w:numPr>
        <w:rPr>
          <w:rFonts w:ascii="Arial" w:cs="Arial" w:eastAsia="Arial" w:hAnsi="Arial"/>
          <w:sz w:val="16"/>
          <w:szCs w:val="16"/>
          <w:color w:val="auto"/>
        </w:rPr>
      </w:pPr>
      <w:r>
        <w:rPr>
          <w:rFonts w:ascii="Arial" w:cs="Arial" w:eastAsia="Arial" w:hAnsi="Arial"/>
          <w:sz w:val="16"/>
          <w:szCs w:val="16"/>
          <w:color w:val="auto"/>
        </w:rPr>
        <w:t>contingent consideration</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4"/>
        <w:spacing w:after="0"/>
        <w:rPr>
          <w:sz w:val="20"/>
          <w:szCs w:val="20"/>
          <w:color w:val="auto"/>
        </w:rPr>
      </w:pPr>
      <w:r>
        <w:rPr>
          <w:rFonts w:ascii="Arial" w:cs="Arial" w:eastAsia="Arial" w:hAnsi="Arial"/>
          <w:sz w:val="14"/>
          <w:szCs w:val="14"/>
          <w:color w:val="auto"/>
        </w:rPr>
        <w:t>114</w:t>
      </w:r>
    </w:p>
    <w:p>
      <w:pPr>
        <w:sectPr>
          <w:pgSz w:w="11900" w:h="16838" w:orient="portrait"/>
          <w:cols w:equalWidth="0" w:num="1">
            <w:col w:w="11324"/>
          </w:cols>
          <w:pgMar w:left="236" w:top="737" w:right="339" w:bottom="1440" w:gutter="0" w:footer="0" w:header="0"/>
        </w:sectPr>
      </w:pPr>
    </w:p>
    <w:bookmarkStart w:id="254" w:name="page255"/>
    <w:bookmarkEnd w:id="254"/>
    <w:p>
      <w:pPr>
        <w:ind w:left="4" w:right="220"/>
        <w:spacing w:after="0" w:line="264" w:lineRule="auto"/>
        <w:rPr>
          <w:sz w:val="20"/>
          <w:szCs w:val="20"/>
          <w:color w:val="auto"/>
        </w:rPr>
      </w:pPr>
      <w:r>
        <w:rPr>
          <w:rFonts w:ascii="Arial" w:cs="Arial" w:eastAsia="Arial" w:hAnsi="Arial"/>
          <w:sz w:val="16"/>
          <w:szCs w:val="16"/>
          <w:color w:val="auto"/>
        </w:rPr>
        <w:t>SFAS 141(R) requires that the acquirer in a business combination achieved in stages recognize identifiable assets and liabilities at the full amounts of their fair values. This statement also establishes disclosure requirements that will enable users to evaluate the nature and financial effect of the business combination. SFAS 141(R) applies to us for business combinations with an acquisition date on or after January 1, 2009. Early adoption is prohibited.</w:t>
      </w:r>
    </w:p>
    <w:p>
      <w:pPr>
        <w:spacing w:after="0" w:line="42" w:lineRule="exact"/>
        <w:rPr>
          <w:sz w:val="20"/>
          <w:szCs w:val="20"/>
          <w:color w:val="auto"/>
        </w:rPr>
      </w:pPr>
    </w:p>
    <w:p>
      <w:pPr>
        <w:ind w:left="4" w:right="80"/>
        <w:spacing w:after="0" w:line="264" w:lineRule="auto"/>
        <w:rPr>
          <w:sz w:val="20"/>
          <w:szCs w:val="20"/>
          <w:color w:val="auto"/>
        </w:rPr>
      </w:pPr>
      <w:r>
        <w:rPr>
          <w:rFonts w:ascii="Arial" w:cs="Arial" w:eastAsia="Arial" w:hAnsi="Arial"/>
          <w:sz w:val="16"/>
          <w:szCs w:val="16"/>
          <w:b w:val="1"/>
          <w:bCs w:val="1"/>
          <w:i w:val="1"/>
          <w:iCs w:val="1"/>
          <w:color w:val="auto"/>
        </w:rPr>
        <w:t xml:space="preserve">FASB Staff Position (FSP) FAS 132(R)-1, "Employers’ Disclosures about Postretirement Benefit Plan Assets" (FSP FAS 132(R)-1): </w:t>
      </w:r>
      <w:r>
        <w:rPr>
          <w:rFonts w:ascii="Arial" w:cs="Arial" w:eastAsia="Arial" w:hAnsi="Arial"/>
          <w:sz w:val="16"/>
          <w:szCs w:val="16"/>
          <w:color w:val="auto"/>
        </w:rPr>
        <w:t>FSP FAS 132(R)-1 requires disclosure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about the assets held in postretirement benefit plans, including a breakdown by the level of the assets and a reconciliation of any change in Level 3 assets during the year. It requires that disclosures include information about the following:</w:t>
      </w:r>
    </w:p>
    <w:p>
      <w:pPr>
        <w:spacing w:after="0" w:line="5" w:lineRule="exact"/>
        <w:rPr>
          <w:sz w:val="20"/>
          <w:szCs w:val="20"/>
          <w:color w:val="auto"/>
        </w:rPr>
      </w:pPr>
    </w:p>
    <w:p>
      <w:pPr>
        <w:ind w:left="144" w:hanging="144"/>
        <w:spacing w:after="0"/>
        <w:tabs>
          <w:tab w:leader="none" w:pos="144" w:val="left"/>
        </w:tabs>
        <w:numPr>
          <w:ilvl w:val="0"/>
          <w:numId w:val="335"/>
        </w:numPr>
        <w:rPr>
          <w:rFonts w:ascii="Arial" w:cs="Arial" w:eastAsia="Arial" w:hAnsi="Arial"/>
          <w:sz w:val="16"/>
          <w:szCs w:val="16"/>
          <w:color w:val="auto"/>
        </w:rPr>
      </w:pPr>
      <w:r>
        <w:rPr>
          <w:rFonts w:ascii="Arial" w:cs="Arial" w:eastAsia="Arial" w:hAnsi="Arial"/>
          <w:sz w:val="16"/>
          <w:szCs w:val="16"/>
          <w:color w:val="auto"/>
        </w:rPr>
        <w:t>valuation inputs, with detailed disclosure required about Level 3 assets</w:t>
      </w:r>
    </w:p>
    <w:p>
      <w:pPr>
        <w:spacing w:after="0" w:line="44" w:lineRule="exact"/>
        <w:rPr>
          <w:rFonts w:ascii="Arial" w:cs="Arial" w:eastAsia="Arial" w:hAnsi="Arial"/>
          <w:sz w:val="16"/>
          <w:szCs w:val="16"/>
          <w:color w:val="auto"/>
        </w:rPr>
      </w:pPr>
    </w:p>
    <w:p>
      <w:pPr>
        <w:ind w:left="144" w:hanging="144"/>
        <w:spacing w:after="0"/>
        <w:tabs>
          <w:tab w:leader="none" w:pos="144" w:val="left"/>
        </w:tabs>
        <w:numPr>
          <w:ilvl w:val="0"/>
          <w:numId w:val="335"/>
        </w:numPr>
        <w:rPr>
          <w:rFonts w:ascii="Arial" w:cs="Arial" w:eastAsia="Arial" w:hAnsi="Arial"/>
          <w:sz w:val="16"/>
          <w:szCs w:val="16"/>
          <w:color w:val="auto"/>
        </w:rPr>
      </w:pPr>
      <w:r>
        <w:rPr>
          <w:rFonts w:ascii="Arial" w:cs="Arial" w:eastAsia="Arial" w:hAnsi="Arial"/>
          <w:sz w:val="16"/>
          <w:szCs w:val="16"/>
          <w:color w:val="auto"/>
        </w:rPr>
        <w:t>asset categories, broken down to relevant detail</w:t>
      </w:r>
    </w:p>
    <w:p>
      <w:pPr>
        <w:spacing w:after="0" w:line="44" w:lineRule="exact"/>
        <w:rPr>
          <w:rFonts w:ascii="Arial" w:cs="Arial" w:eastAsia="Arial" w:hAnsi="Arial"/>
          <w:sz w:val="16"/>
          <w:szCs w:val="16"/>
          <w:color w:val="auto"/>
        </w:rPr>
      </w:pPr>
    </w:p>
    <w:p>
      <w:pPr>
        <w:ind w:left="144" w:hanging="144"/>
        <w:spacing w:after="0"/>
        <w:tabs>
          <w:tab w:leader="none" w:pos="144" w:val="left"/>
        </w:tabs>
        <w:numPr>
          <w:ilvl w:val="0"/>
          <w:numId w:val="335"/>
        </w:numPr>
        <w:rPr>
          <w:rFonts w:ascii="Arial" w:cs="Arial" w:eastAsia="Arial" w:hAnsi="Arial"/>
          <w:sz w:val="16"/>
          <w:szCs w:val="16"/>
          <w:color w:val="auto"/>
        </w:rPr>
      </w:pPr>
      <w:r>
        <w:rPr>
          <w:rFonts w:ascii="Arial" w:cs="Arial" w:eastAsia="Arial" w:hAnsi="Arial"/>
          <w:sz w:val="16"/>
          <w:szCs w:val="16"/>
          <w:color w:val="auto"/>
        </w:rPr>
        <w:t>concentration of risk in plan assets</w:t>
      </w:r>
    </w:p>
    <w:p>
      <w:pPr>
        <w:spacing w:after="0" w:line="128" w:lineRule="exact"/>
        <w:rPr>
          <w:sz w:val="20"/>
          <w:szCs w:val="20"/>
          <w:color w:val="auto"/>
        </w:rPr>
      </w:pPr>
    </w:p>
    <w:p>
      <w:pPr>
        <w:ind w:left="4" w:right="220"/>
        <w:spacing w:after="0" w:line="277" w:lineRule="auto"/>
        <w:rPr>
          <w:sz w:val="20"/>
          <w:szCs w:val="20"/>
          <w:color w:val="auto"/>
        </w:rPr>
      </w:pPr>
      <w:r>
        <w:rPr>
          <w:rFonts w:ascii="Arial" w:cs="Arial" w:eastAsia="Arial" w:hAnsi="Arial"/>
          <w:sz w:val="16"/>
          <w:szCs w:val="16"/>
          <w:color w:val="auto"/>
        </w:rPr>
        <w:t>FSP FAS 132(R)-1 applies prospectively for fiscal years ending after December 15, 2009. Early application is permitted. We are in the process of evaluating the effect of this statement on our financial statement disclosures.</w:t>
      </w:r>
    </w:p>
    <w:p>
      <w:pPr>
        <w:spacing w:after="0" w:line="32" w:lineRule="exact"/>
        <w:rPr>
          <w:sz w:val="20"/>
          <w:szCs w:val="20"/>
          <w:color w:val="auto"/>
        </w:rPr>
      </w:pPr>
    </w:p>
    <w:p>
      <w:pPr>
        <w:ind w:left="4" w:right="40"/>
        <w:spacing w:after="0" w:line="259" w:lineRule="auto"/>
        <w:rPr>
          <w:sz w:val="20"/>
          <w:szCs w:val="20"/>
          <w:color w:val="auto"/>
        </w:rPr>
      </w:pPr>
      <w:r>
        <w:rPr>
          <w:rFonts w:ascii="Arial" w:cs="Arial" w:eastAsia="Arial" w:hAnsi="Arial"/>
          <w:sz w:val="16"/>
          <w:szCs w:val="16"/>
          <w:b w:val="1"/>
          <w:bCs w:val="1"/>
          <w:i w:val="1"/>
          <w:iCs w:val="1"/>
          <w:color w:val="auto"/>
        </w:rPr>
        <w:t xml:space="preserve">FSP FAS 140-4 and FIN 46(R)-8, "Disclosures by Public Entities (Enterprises) about Transfers of Financial Assets and Interests in Variable Interest Entities" (FSP FAS 140-4 and FIN 46(R)-8): </w:t>
      </w:r>
      <w:r>
        <w:rPr>
          <w:rFonts w:ascii="Arial" w:cs="Arial" w:eastAsia="Arial" w:hAnsi="Arial"/>
          <w:sz w:val="16"/>
          <w:szCs w:val="16"/>
          <w:color w:val="auto"/>
        </w:rPr>
        <w:t>This FSP amends SFAS 140,</w:t>
      </w:r>
      <w:r>
        <w:rPr>
          <w:rFonts w:ascii="Arial" w:cs="Arial" w:eastAsia="Arial" w:hAnsi="Arial"/>
          <w:sz w:val="16"/>
          <w:szCs w:val="16"/>
          <w:b w:val="1"/>
          <w:bCs w:val="1"/>
          <w:i w:val="1"/>
          <w:iCs w:val="1"/>
          <w:color w:val="auto"/>
        </w:rPr>
        <w:t xml:space="preserve"> </w:t>
      </w:r>
      <w:r>
        <w:rPr>
          <w:rFonts w:ascii="Arial" w:cs="Arial" w:eastAsia="Arial" w:hAnsi="Arial"/>
          <w:sz w:val="16"/>
          <w:szCs w:val="16"/>
          <w:i w:val="1"/>
          <w:iCs w:val="1"/>
          <w:color w:val="auto"/>
        </w:rPr>
        <w:t>Accounting for Transfers and Servicing of Financial Assets and Extinguishments of Liabilities</w:t>
      </w:r>
      <w:r>
        <w:rPr>
          <w:rFonts w:ascii="Arial" w:cs="Arial" w:eastAsia="Arial" w:hAnsi="Arial"/>
          <w:sz w:val="16"/>
          <w:szCs w:val="16"/>
          <w:color w:val="auto"/>
        </w:rPr>
        <w:t>, to require additional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disclosure about transfers of financial assets and variable interests in qualifying special-purpose entities. It also amends FIN 46(R) to require certain disclosures about an entity’s involvement with variable interest entities, as follows:</w:t>
      </w:r>
    </w:p>
    <w:p>
      <w:pPr>
        <w:spacing w:after="0" w:line="11" w:lineRule="exact"/>
        <w:rPr>
          <w:sz w:val="20"/>
          <w:szCs w:val="20"/>
          <w:color w:val="auto"/>
        </w:rPr>
      </w:pPr>
    </w:p>
    <w:p>
      <w:pPr>
        <w:ind w:left="144" w:hanging="144"/>
        <w:spacing w:after="0"/>
        <w:tabs>
          <w:tab w:leader="none" w:pos="144" w:val="left"/>
        </w:tabs>
        <w:numPr>
          <w:ilvl w:val="0"/>
          <w:numId w:val="336"/>
        </w:numPr>
        <w:rPr>
          <w:rFonts w:ascii="Arial" w:cs="Arial" w:eastAsia="Arial" w:hAnsi="Arial"/>
          <w:sz w:val="16"/>
          <w:szCs w:val="16"/>
          <w:color w:val="auto"/>
        </w:rPr>
      </w:pPr>
      <w:r>
        <w:rPr>
          <w:rFonts w:ascii="Arial" w:cs="Arial" w:eastAsia="Arial" w:hAnsi="Arial"/>
          <w:sz w:val="16"/>
          <w:szCs w:val="16"/>
          <w:color w:val="auto"/>
        </w:rPr>
        <w:t>details of the entity’s involvement (both explicit and implicit arrangements) with the variable interest entity</w:t>
      </w:r>
    </w:p>
    <w:p>
      <w:pPr>
        <w:spacing w:after="0" w:line="44" w:lineRule="exact"/>
        <w:rPr>
          <w:rFonts w:ascii="Arial" w:cs="Arial" w:eastAsia="Arial" w:hAnsi="Arial"/>
          <w:sz w:val="16"/>
          <w:szCs w:val="16"/>
          <w:color w:val="auto"/>
        </w:rPr>
      </w:pPr>
    </w:p>
    <w:p>
      <w:pPr>
        <w:ind w:left="144" w:hanging="144"/>
        <w:spacing w:after="0"/>
        <w:tabs>
          <w:tab w:leader="none" w:pos="144" w:val="left"/>
        </w:tabs>
        <w:numPr>
          <w:ilvl w:val="0"/>
          <w:numId w:val="336"/>
        </w:numPr>
        <w:rPr>
          <w:rFonts w:ascii="Arial" w:cs="Arial" w:eastAsia="Arial" w:hAnsi="Arial"/>
          <w:sz w:val="16"/>
          <w:szCs w:val="16"/>
          <w:color w:val="auto"/>
        </w:rPr>
      </w:pPr>
      <w:r>
        <w:rPr>
          <w:rFonts w:ascii="Arial" w:cs="Arial" w:eastAsia="Arial" w:hAnsi="Arial"/>
          <w:sz w:val="16"/>
          <w:szCs w:val="16"/>
          <w:color w:val="auto"/>
        </w:rPr>
        <w:t>financial or other support provided to the variable interest entity which was not contractually required and the primary reasons for providing the support</w:t>
      </w:r>
    </w:p>
    <w:p>
      <w:pPr>
        <w:spacing w:after="0" w:line="44" w:lineRule="exact"/>
        <w:rPr>
          <w:rFonts w:ascii="Arial" w:cs="Arial" w:eastAsia="Arial" w:hAnsi="Arial"/>
          <w:sz w:val="16"/>
          <w:szCs w:val="16"/>
          <w:color w:val="auto"/>
        </w:rPr>
      </w:pPr>
    </w:p>
    <w:p>
      <w:pPr>
        <w:ind w:left="144" w:hanging="144"/>
        <w:spacing w:after="0"/>
        <w:tabs>
          <w:tab w:leader="none" w:pos="144" w:val="left"/>
        </w:tabs>
        <w:numPr>
          <w:ilvl w:val="0"/>
          <w:numId w:val="336"/>
        </w:numPr>
        <w:rPr>
          <w:rFonts w:ascii="Arial" w:cs="Arial" w:eastAsia="Arial" w:hAnsi="Arial"/>
          <w:sz w:val="16"/>
          <w:szCs w:val="16"/>
          <w:color w:val="auto"/>
        </w:rPr>
      </w:pPr>
      <w:r>
        <w:rPr>
          <w:rFonts w:ascii="Arial" w:cs="Arial" w:eastAsia="Arial" w:hAnsi="Arial"/>
          <w:sz w:val="16"/>
          <w:szCs w:val="16"/>
          <w:color w:val="auto"/>
        </w:rPr>
        <w:t>the methodology for determining the primary beneficiary and any changes in prior consolidation conclusions</w:t>
      </w:r>
    </w:p>
    <w:p>
      <w:pPr>
        <w:spacing w:after="0" w:line="44" w:lineRule="exact"/>
        <w:rPr>
          <w:rFonts w:ascii="Arial" w:cs="Arial" w:eastAsia="Arial" w:hAnsi="Arial"/>
          <w:sz w:val="16"/>
          <w:szCs w:val="16"/>
          <w:color w:val="auto"/>
        </w:rPr>
      </w:pPr>
    </w:p>
    <w:p>
      <w:pPr>
        <w:ind w:left="144" w:hanging="144"/>
        <w:spacing w:after="0"/>
        <w:tabs>
          <w:tab w:leader="none" w:pos="144" w:val="left"/>
        </w:tabs>
        <w:numPr>
          <w:ilvl w:val="0"/>
          <w:numId w:val="336"/>
        </w:numPr>
        <w:rPr>
          <w:rFonts w:ascii="Arial" w:cs="Arial" w:eastAsia="Arial" w:hAnsi="Arial"/>
          <w:sz w:val="16"/>
          <w:szCs w:val="16"/>
          <w:color w:val="auto"/>
        </w:rPr>
      </w:pPr>
      <w:r>
        <w:rPr>
          <w:rFonts w:ascii="Arial" w:cs="Arial" w:eastAsia="Arial" w:hAnsi="Arial"/>
          <w:sz w:val="16"/>
          <w:szCs w:val="16"/>
          <w:color w:val="auto"/>
        </w:rPr>
        <w:t>the terms of any arrangements (both explicit and implicit) that could require the primary beneficiary to provide financial support to the variable interest entity</w:t>
      </w:r>
    </w:p>
    <w:p>
      <w:pPr>
        <w:spacing w:after="0" w:line="128" w:lineRule="exact"/>
        <w:rPr>
          <w:sz w:val="20"/>
          <w:szCs w:val="20"/>
          <w:color w:val="auto"/>
        </w:rPr>
      </w:pPr>
    </w:p>
    <w:p>
      <w:pPr>
        <w:ind w:left="4"/>
        <w:spacing w:after="0"/>
        <w:rPr>
          <w:sz w:val="20"/>
          <w:szCs w:val="20"/>
          <w:color w:val="auto"/>
        </w:rPr>
      </w:pPr>
      <w:r>
        <w:rPr>
          <w:rFonts w:ascii="Arial" w:cs="Arial" w:eastAsia="Arial" w:hAnsi="Arial"/>
          <w:sz w:val="16"/>
          <w:szCs w:val="16"/>
          <w:color w:val="auto"/>
        </w:rPr>
        <w:t>This FSP is effective for fiscal years ending after December 15, 2008. We provide the additional required disclosure in Note 1.</w:t>
      </w:r>
    </w:p>
    <w:p>
      <w:pPr>
        <w:spacing w:after="0" w:line="80" w:lineRule="exact"/>
        <w:rPr>
          <w:sz w:val="20"/>
          <w:szCs w:val="20"/>
          <w:color w:val="auto"/>
        </w:rPr>
      </w:pPr>
    </w:p>
    <w:p>
      <w:pPr>
        <w:ind w:left="4"/>
        <w:spacing w:after="0" w:line="257" w:lineRule="auto"/>
        <w:rPr>
          <w:sz w:val="20"/>
          <w:szCs w:val="20"/>
          <w:color w:val="auto"/>
        </w:rPr>
      </w:pPr>
      <w:r>
        <w:rPr>
          <w:rFonts w:ascii="Arial" w:cs="Arial" w:eastAsia="Arial" w:hAnsi="Arial"/>
          <w:sz w:val="16"/>
          <w:szCs w:val="16"/>
          <w:b w:val="1"/>
          <w:bCs w:val="1"/>
          <w:i w:val="1"/>
          <w:iCs w:val="1"/>
          <w:color w:val="auto"/>
        </w:rPr>
        <w:t xml:space="preserve">FSP FAS 157-3, "Determining the Fair Value of a Financial Asset When the Market for That Asset is Not Active" (FSP FAS 157-3): </w:t>
      </w:r>
      <w:r>
        <w:rPr>
          <w:rFonts w:ascii="Arial" w:cs="Arial" w:eastAsia="Arial" w:hAnsi="Arial"/>
          <w:sz w:val="16"/>
          <w:szCs w:val="16"/>
          <w:color w:val="auto"/>
        </w:rPr>
        <w:t>FSP FAS 157-3 clarifies and illustrates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application of SFAS 157 for financial assets in an inactive market. It became effective when issued on October 10, 2008 and applied to periods for which financial statements had not yet been issued. Revisions to the fair value estimates resulting from the adoption of the FSP are to be accounted for as a change in estimate, so that any effects on the fair value measurements would be recognized in the period of adoption. Our application of FSP FAS 157-3 impacted neither financial asset fair values nor their classification in the fair value hierarchy. Additional disclosure is provided in Note 11.</w:t>
      </w:r>
    </w:p>
    <w:p>
      <w:pPr>
        <w:spacing w:after="0" w:line="48" w:lineRule="exact"/>
        <w:rPr>
          <w:sz w:val="20"/>
          <w:szCs w:val="20"/>
          <w:color w:val="auto"/>
        </w:rPr>
      </w:pPr>
    </w:p>
    <w:p>
      <w:pPr>
        <w:ind w:left="4" w:right="20"/>
        <w:spacing w:after="0" w:line="276" w:lineRule="auto"/>
        <w:rPr>
          <w:sz w:val="20"/>
          <w:szCs w:val="20"/>
          <w:color w:val="auto"/>
        </w:rPr>
      </w:pPr>
      <w:r>
        <w:rPr>
          <w:rFonts w:ascii="Arial" w:cs="Arial" w:eastAsia="Arial" w:hAnsi="Arial"/>
          <w:sz w:val="15"/>
          <w:szCs w:val="15"/>
          <w:b w:val="1"/>
          <w:bCs w:val="1"/>
          <w:i w:val="1"/>
          <w:iCs w:val="1"/>
          <w:color w:val="auto"/>
        </w:rPr>
        <w:t xml:space="preserve">FSP FIN 39-1, "Amendment of FASB Interpretation No. 39" (FSP FIN 39-1): </w:t>
      </w:r>
      <w:r>
        <w:rPr>
          <w:rFonts w:ascii="Arial" w:cs="Arial" w:eastAsia="Arial" w:hAnsi="Arial"/>
          <w:sz w:val="15"/>
          <w:szCs w:val="15"/>
          <w:color w:val="auto"/>
        </w:rPr>
        <w:t>FSP FIN 39-1 amends certain paragraphs of FIN No. 39,</w:t>
      </w:r>
      <w:r>
        <w:rPr>
          <w:rFonts w:ascii="Arial" w:cs="Arial" w:eastAsia="Arial" w:hAnsi="Arial"/>
          <w:sz w:val="15"/>
          <w:szCs w:val="15"/>
          <w:b w:val="1"/>
          <w:bCs w:val="1"/>
          <w:i w:val="1"/>
          <w:iCs w:val="1"/>
          <w:color w:val="auto"/>
        </w:rPr>
        <w:t xml:space="preserve"> </w:t>
      </w:r>
      <w:r>
        <w:rPr>
          <w:rFonts w:ascii="Arial" w:cs="Arial" w:eastAsia="Arial" w:hAnsi="Arial"/>
          <w:sz w:val="15"/>
          <w:szCs w:val="15"/>
          <w:i w:val="1"/>
          <w:iCs w:val="1"/>
          <w:color w:val="auto"/>
        </w:rPr>
        <w:t>Offsetting of Amounts Related to</w:t>
      </w:r>
      <w:r>
        <w:rPr>
          <w:rFonts w:ascii="Arial" w:cs="Arial" w:eastAsia="Arial" w:hAnsi="Arial"/>
          <w:sz w:val="15"/>
          <w:szCs w:val="15"/>
          <w:b w:val="1"/>
          <w:bCs w:val="1"/>
          <w:i w:val="1"/>
          <w:iCs w:val="1"/>
          <w:color w:val="auto"/>
        </w:rPr>
        <w:t xml:space="preserve"> </w:t>
      </w:r>
      <w:r>
        <w:rPr>
          <w:rFonts w:ascii="Arial" w:cs="Arial" w:eastAsia="Arial" w:hAnsi="Arial"/>
          <w:sz w:val="15"/>
          <w:szCs w:val="15"/>
          <w:i w:val="1"/>
          <w:iCs w:val="1"/>
          <w:color w:val="auto"/>
        </w:rPr>
        <w:t>Certain Contracts</w:t>
      </w:r>
      <w:r>
        <w:rPr>
          <w:rFonts w:ascii="Arial" w:cs="Arial" w:eastAsia="Arial" w:hAnsi="Arial"/>
          <w:sz w:val="15"/>
          <w:szCs w:val="15"/>
          <w:color w:val="auto"/>
        </w:rPr>
        <w:t>, to permit an entity to report all derivatives recorded at fair value on the balance sheet net of any associated fair value cash collateral when the derivative and</w:t>
      </w:r>
      <w:r>
        <w:rPr>
          <w:rFonts w:ascii="Arial" w:cs="Arial" w:eastAsia="Arial" w:hAnsi="Arial"/>
          <w:sz w:val="15"/>
          <w:szCs w:val="15"/>
          <w:i w:val="1"/>
          <w:iCs w:val="1"/>
          <w:color w:val="auto"/>
        </w:rPr>
        <w:t xml:space="preserve"> </w:t>
      </w:r>
      <w:r>
        <w:rPr>
          <w:rFonts w:ascii="Arial" w:cs="Arial" w:eastAsia="Arial" w:hAnsi="Arial"/>
          <w:sz w:val="15"/>
          <w:szCs w:val="15"/>
          <w:color w:val="auto"/>
        </w:rPr>
        <w:t>cash collateral are with the same counterparty under a master netting arrangement. We adopted FSP FIN 39-1 effective January 1, 2008. We applied FSP FIN 39-1 as a change in accounting principle by applying it retrospectively. The consolidated balance sheets herein reflect the offsetting of net derivative positions with fair value amounts for cash collateral with the same counterparty when management believes a legal right of setoff exists. Accordingly, December 31, 2007 amounts for Sempra Energy and SDG&amp;E have been reclassified to conform to this presentation. The adoption had a negligible impact on SoCalGas' financial statements.</w:t>
      </w:r>
    </w:p>
    <w:p>
      <w:pPr>
        <w:spacing w:after="0" w:line="200" w:lineRule="exact"/>
        <w:rPr>
          <w:sz w:val="20"/>
          <w:szCs w:val="20"/>
          <w:color w:val="auto"/>
        </w:rPr>
      </w:pPr>
    </w:p>
    <w:p>
      <w:pPr>
        <w:spacing w:after="0" w:line="296" w:lineRule="exact"/>
        <w:rPr>
          <w:sz w:val="20"/>
          <w:szCs w:val="20"/>
          <w:color w:val="auto"/>
        </w:rPr>
      </w:pPr>
    </w:p>
    <w:p>
      <w:pPr>
        <w:ind w:left="4"/>
        <w:spacing w:after="0"/>
        <w:rPr>
          <w:sz w:val="20"/>
          <w:szCs w:val="20"/>
          <w:color w:val="auto"/>
        </w:rPr>
      </w:pPr>
      <w:r>
        <w:rPr>
          <w:rFonts w:ascii="Arial" w:cs="Arial" w:eastAsia="Arial" w:hAnsi="Arial"/>
          <w:sz w:val="14"/>
          <w:szCs w:val="14"/>
          <w:color w:val="auto"/>
        </w:rPr>
        <w:t>115</w:t>
      </w:r>
    </w:p>
    <w:p>
      <w:pPr>
        <w:sectPr>
          <w:pgSz w:w="11900" w:h="16838" w:orient="portrait"/>
          <w:cols w:equalWidth="0" w:num="1">
            <w:col w:w="11364"/>
          </w:cols>
          <w:pgMar w:left="236" w:top="127" w:right="299" w:bottom="1440" w:gutter="0" w:footer="0" w:header="0"/>
        </w:sectPr>
      </w:pPr>
    </w:p>
    <w:bookmarkStart w:id="255" w:name="page256"/>
    <w:bookmarkEnd w:id="255"/>
    <w:p>
      <w:pPr>
        <w:ind w:left="4"/>
        <w:spacing w:after="0"/>
        <w:rPr>
          <w:sz w:val="20"/>
          <w:szCs w:val="20"/>
          <w:color w:val="auto"/>
        </w:rPr>
      </w:pPr>
      <w:r>
        <w:rPr>
          <w:rFonts w:ascii="Arial" w:cs="Arial" w:eastAsia="Arial" w:hAnsi="Arial"/>
          <w:sz w:val="16"/>
          <w:szCs w:val="16"/>
          <w:b w:val="1"/>
          <w:bCs w:val="1"/>
          <w:color w:val="auto"/>
        </w:rPr>
        <w:t>SEMPRA ENERGY</w:t>
      </w:r>
    </w:p>
    <w:p>
      <w:pPr>
        <w:spacing w:after="0" w:line="101" w:lineRule="exact"/>
        <w:rPr>
          <w:sz w:val="20"/>
          <w:szCs w:val="20"/>
          <w:color w:val="auto"/>
        </w:rPr>
      </w:pPr>
    </w:p>
    <w:p>
      <w:pPr>
        <w:ind w:left="4"/>
        <w:spacing w:after="0" w:line="299" w:lineRule="auto"/>
        <w:rPr>
          <w:sz w:val="20"/>
          <w:szCs w:val="20"/>
          <w:color w:val="auto"/>
        </w:rPr>
      </w:pPr>
      <w:r>
        <w:rPr>
          <w:rFonts w:ascii="Arial" w:cs="Arial" w:eastAsia="Arial" w:hAnsi="Arial"/>
          <w:sz w:val="14"/>
          <w:szCs w:val="14"/>
          <w:b w:val="1"/>
          <w:bCs w:val="1"/>
          <w:i w:val="1"/>
          <w:iCs w:val="1"/>
          <w:color w:val="auto"/>
        </w:rPr>
        <w:t xml:space="preserve">FSP FAS 133-1 and FIN 45-4, "Disclosures about Credit Derivatives and Certain Guarantees: An Amendment of FASB Statement No. 133 and FASB Interpretation No. 45; and Clarification of the Effective Date of FASB Statement No. 161" (FSP FAS 133-1 and FIN 45-4): </w:t>
      </w:r>
      <w:r>
        <w:rPr>
          <w:rFonts w:ascii="Arial" w:cs="Arial" w:eastAsia="Arial" w:hAnsi="Arial"/>
          <w:sz w:val="14"/>
          <w:szCs w:val="14"/>
          <w:color w:val="auto"/>
        </w:rPr>
        <w:t>FSP FAS 133-1 and FIN 45-4 amends SFAS 133 to require sellers of</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 xml:space="preserve">credit derivatives to disclose information so that financial statement users can assess the potential effect of derivative instruments on the company’s financial position, financial performance and cash flows. This FSP also amends FIN No. 45, </w:t>
      </w:r>
      <w:r>
        <w:rPr>
          <w:rFonts w:ascii="Arial" w:cs="Arial" w:eastAsia="Arial" w:hAnsi="Arial"/>
          <w:sz w:val="14"/>
          <w:szCs w:val="14"/>
          <w:i w:val="1"/>
          <w:iCs w:val="1"/>
          <w:color w:val="auto"/>
        </w:rPr>
        <w:t>Guarantor’s Accounting and Disclosure Requirements for Guarantees, Including Indirect Guarantees of</w:t>
      </w:r>
      <w:r>
        <w:rPr>
          <w:rFonts w:ascii="Arial" w:cs="Arial" w:eastAsia="Arial" w:hAnsi="Arial"/>
          <w:sz w:val="14"/>
          <w:szCs w:val="14"/>
          <w:color w:val="auto"/>
        </w:rPr>
        <w:t xml:space="preserve"> </w:t>
      </w:r>
      <w:r>
        <w:rPr>
          <w:rFonts w:ascii="Arial" w:cs="Arial" w:eastAsia="Arial" w:hAnsi="Arial"/>
          <w:sz w:val="14"/>
          <w:szCs w:val="14"/>
          <w:i w:val="1"/>
          <w:iCs w:val="1"/>
          <w:color w:val="auto"/>
        </w:rPr>
        <w:t>Indebtedness of Others</w:t>
      </w:r>
      <w:r>
        <w:rPr>
          <w:rFonts w:ascii="Arial" w:cs="Arial" w:eastAsia="Arial" w:hAnsi="Arial"/>
          <w:sz w:val="14"/>
          <w:szCs w:val="14"/>
          <w:color w:val="auto"/>
        </w:rPr>
        <w:t>, to require guarantors to disclose the current status of the guarantee’s performance risk. The FSP is effective prospectively for annual or interim reporting</w:t>
      </w:r>
      <w:r>
        <w:rPr>
          <w:rFonts w:ascii="Arial" w:cs="Arial" w:eastAsia="Arial" w:hAnsi="Arial"/>
          <w:sz w:val="14"/>
          <w:szCs w:val="14"/>
          <w:i w:val="1"/>
          <w:iCs w:val="1"/>
          <w:color w:val="auto"/>
        </w:rPr>
        <w:t xml:space="preserve"> </w:t>
      </w:r>
      <w:r>
        <w:rPr>
          <w:rFonts w:ascii="Arial" w:cs="Arial" w:eastAsia="Arial" w:hAnsi="Arial"/>
          <w:sz w:val="14"/>
          <w:szCs w:val="14"/>
          <w:color w:val="auto"/>
        </w:rPr>
        <w:t>periods ending after November 15, 2008. Sempra Energy is a guarantor under certain arrangements and we provide the required disclosure in Notes 4 and 6.</w:t>
      </w:r>
    </w:p>
    <w:p>
      <w:pPr>
        <w:spacing w:after="0" w:line="22" w:lineRule="exact"/>
        <w:rPr>
          <w:sz w:val="20"/>
          <w:szCs w:val="20"/>
          <w:color w:val="auto"/>
        </w:rPr>
      </w:pPr>
    </w:p>
    <w:p>
      <w:pPr>
        <w:ind w:left="4" w:right="140"/>
        <w:spacing w:after="0" w:line="302" w:lineRule="auto"/>
        <w:rPr>
          <w:sz w:val="20"/>
          <w:szCs w:val="20"/>
          <w:color w:val="auto"/>
        </w:rPr>
      </w:pPr>
      <w:r>
        <w:rPr>
          <w:rFonts w:ascii="Arial" w:cs="Arial" w:eastAsia="Arial" w:hAnsi="Arial"/>
          <w:sz w:val="14"/>
          <w:szCs w:val="14"/>
          <w:b w:val="1"/>
          <w:bCs w:val="1"/>
          <w:i w:val="1"/>
          <w:iCs w:val="1"/>
          <w:color w:val="auto"/>
        </w:rPr>
        <w:t xml:space="preserve">FSP EITF 03-6-1, "Determining Whether Instruments Granted in Share-Based Payment Transactions Are Participating Securities" (FSP EITF 03-6-1): </w:t>
      </w:r>
      <w:r>
        <w:rPr>
          <w:rFonts w:ascii="Arial" w:cs="Arial" w:eastAsia="Arial" w:hAnsi="Arial"/>
          <w:sz w:val="14"/>
          <w:szCs w:val="14"/>
          <w:color w:val="auto"/>
        </w:rPr>
        <w:t>FSP EITF 03-6-1</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 xml:space="preserve">states that unvested share-based payment awards that contain nonforfeitable rights to dividends or dividend equivalents (whether paid or unpaid) are participating securities. As such, they are required to be included when computing earnings per share (EPS) under the two-class method described in SFAS 128, </w:t>
      </w:r>
      <w:r>
        <w:rPr>
          <w:rFonts w:ascii="Arial" w:cs="Arial" w:eastAsia="Arial" w:hAnsi="Arial"/>
          <w:sz w:val="14"/>
          <w:szCs w:val="14"/>
          <w:i w:val="1"/>
          <w:iCs w:val="1"/>
          <w:color w:val="auto"/>
        </w:rPr>
        <w:t>Earnings per Share</w:t>
      </w:r>
      <w:r>
        <w:rPr>
          <w:rFonts w:ascii="Arial" w:cs="Arial" w:eastAsia="Arial" w:hAnsi="Arial"/>
          <w:sz w:val="14"/>
          <w:szCs w:val="14"/>
          <w:color w:val="auto"/>
        </w:rPr>
        <w:t>. FSP EITF 03-6-1 is effective for financial statements issued for fiscal years beginning after December 15, 2008. All prior-period EPS data are to be adjusted retrospectively to conform with the provisions of this FSP. Early application is not permitted. We do not expect the adoption of FSP EITF 03-6-1 to have a material impact on our EPS.</w:t>
      </w:r>
    </w:p>
    <w:p>
      <w:pPr>
        <w:spacing w:after="0" w:line="20" w:lineRule="exact"/>
        <w:rPr>
          <w:sz w:val="20"/>
          <w:szCs w:val="20"/>
          <w:color w:val="auto"/>
        </w:rPr>
      </w:pPr>
    </w:p>
    <w:p>
      <w:pPr>
        <w:ind w:left="4" w:right="80"/>
        <w:spacing w:after="0" w:line="274" w:lineRule="auto"/>
        <w:rPr>
          <w:sz w:val="20"/>
          <w:szCs w:val="20"/>
          <w:color w:val="auto"/>
        </w:rPr>
      </w:pPr>
      <w:r>
        <w:rPr>
          <w:rFonts w:ascii="Arial" w:cs="Arial" w:eastAsia="Arial" w:hAnsi="Arial"/>
          <w:sz w:val="16"/>
          <w:szCs w:val="16"/>
          <w:b w:val="1"/>
          <w:bCs w:val="1"/>
          <w:i w:val="1"/>
          <w:iCs w:val="1"/>
          <w:color w:val="auto"/>
        </w:rPr>
        <w:t xml:space="preserve">EITF Issue No. 08-6, "Equity Method Investment Accounting Considerations" (EITF 08-6): </w:t>
      </w:r>
      <w:r>
        <w:rPr>
          <w:rFonts w:ascii="Arial" w:cs="Arial" w:eastAsia="Arial" w:hAnsi="Arial"/>
          <w:sz w:val="16"/>
          <w:szCs w:val="16"/>
          <w:color w:val="auto"/>
        </w:rPr>
        <w:t>EITF 08-6 clarifies accounting and impairment considerations involving equity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method investments. It provides the following guidance:</w:t>
      </w:r>
    </w:p>
    <w:p>
      <w:pPr>
        <w:ind w:left="144" w:hanging="144"/>
        <w:spacing w:after="0"/>
        <w:tabs>
          <w:tab w:leader="none" w:pos="144" w:val="left"/>
        </w:tabs>
        <w:numPr>
          <w:ilvl w:val="0"/>
          <w:numId w:val="337"/>
        </w:numPr>
        <w:rPr>
          <w:rFonts w:ascii="Arial" w:cs="Arial" w:eastAsia="Arial" w:hAnsi="Arial"/>
          <w:sz w:val="16"/>
          <w:szCs w:val="16"/>
          <w:color w:val="auto"/>
        </w:rPr>
      </w:pPr>
      <w:r>
        <w:rPr>
          <w:rFonts w:ascii="Arial" w:cs="Arial" w:eastAsia="Arial" w:hAnsi="Arial"/>
          <w:sz w:val="16"/>
          <w:szCs w:val="16"/>
          <w:color w:val="auto"/>
        </w:rPr>
        <w:t>an entity shall measure an equity method investment at its accumulated cost;</w:t>
      </w:r>
    </w:p>
    <w:p>
      <w:pPr>
        <w:spacing w:after="0" w:line="44" w:lineRule="exact"/>
        <w:rPr>
          <w:rFonts w:ascii="Arial" w:cs="Arial" w:eastAsia="Arial" w:hAnsi="Arial"/>
          <w:sz w:val="16"/>
          <w:szCs w:val="16"/>
          <w:color w:val="auto"/>
        </w:rPr>
      </w:pPr>
    </w:p>
    <w:p>
      <w:pPr>
        <w:ind w:left="144" w:hanging="144"/>
        <w:spacing w:after="0"/>
        <w:tabs>
          <w:tab w:leader="none" w:pos="144" w:val="left"/>
        </w:tabs>
        <w:numPr>
          <w:ilvl w:val="0"/>
          <w:numId w:val="337"/>
        </w:numPr>
        <w:rPr>
          <w:rFonts w:ascii="Arial" w:cs="Arial" w:eastAsia="Arial" w:hAnsi="Arial"/>
          <w:sz w:val="16"/>
          <w:szCs w:val="16"/>
          <w:color w:val="auto"/>
        </w:rPr>
      </w:pPr>
      <w:r>
        <w:rPr>
          <w:rFonts w:ascii="Arial" w:cs="Arial" w:eastAsia="Arial" w:hAnsi="Arial"/>
          <w:sz w:val="16"/>
          <w:szCs w:val="16"/>
          <w:color w:val="auto"/>
        </w:rPr>
        <w:t>an equity method investor should not separately test an investee’s underlying assets for impairment; and</w:t>
      </w:r>
    </w:p>
    <w:p>
      <w:pPr>
        <w:spacing w:after="0" w:line="44" w:lineRule="exact"/>
        <w:rPr>
          <w:rFonts w:ascii="Arial" w:cs="Arial" w:eastAsia="Arial" w:hAnsi="Arial"/>
          <w:sz w:val="16"/>
          <w:szCs w:val="16"/>
          <w:color w:val="auto"/>
        </w:rPr>
      </w:pPr>
    </w:p>
    <w:p>
      <w:pPr>
        <w:ind w:left="144" w:hanging="144"/>
        <w:spacing w:after="0"/>
        <w:tabs>
          <w:tab w:leader="none" w:pos="144" w:val="left"/>
        </w:tabs>
        <w:numPr>
          <w:ilvl w:val="0"/>
          <w:numId w:val="337"/>
        </w:numPr>
        <w:rPr>
          <w:rFonts w:ascii="Arial" w:cs="Arial" w:eastAsia="Arial" w:hAnsi="Arial"/>
          <w:sz w:val="16"/>
          <w:szCs w:val="16"/>
          <w:color w:val="auto"/>
        </w:rPr>
      </w:pPr>
      <w:r>
        <w:rPr>
          <w:rFonts w:ascii="Arial" w:cs="Arial" w:eastAsia="Arial" w:hAnsi="Arial"/>
          <w:sz w:val="16"/>
          <w:szCs w:val="16"/>
          <w:color w:val="auto"/>
        </w:rPr>
        <w:t>an equity method investee’s issuance of shares should be accounted for by the equity method investor as if it sold a proportionate share of its investment.</w:t>
      </w:r>
    </w:p>
    <w:p>
      <w:pPr>
        <w:spacing w:after="0" w:line="128" w:lineRule="exact"/>
        <w:rPr>
          <w:sz w:val="20"/>
          <w:szCs w:val="20"/>
          <w:color w:val="auto"/>
        </w:rPr>
      </w:pPr>
    </w:p>
    <w:p>
      <w:pPr>
        <w:ind w:left="4" w:right="380"/>
        <w:spacing w:after="0" w:line="277" w:lineRule="auto"/>
        <w:rPr>
          <w:sz w:val="20"/>
          <w:szCs w:val="20"/>
          <w:color w:val="auto"/>
        </w:rPr>
      </w:pPr>
      <w:r>
        <w:rPr>
          <w:rFonts w:ascii="Arial" w:cs="Arial" w:eastAsia="Arial" w:hAnsi="Arial"/>
          <w:sz w:val="16"/>
          <w:szCs w:val="16"/>
          <w:color w:val="auto"/>
        </w:rPr>
        <w:t>The statement is effective prospectively for fiscal years beginning after December 15, 2008. We are in the process of evaluating the effects of this statement on our financial position and results of operations.</w:t>
      </w:r>
    </w:p>
    <w:p>
      <w:pPr>
        <w:spacing w:after="0" w:line="32" w:lineRule="exact"/>
        <w:rPr>
          <w:sz w:val="20"/>
          <w:szCs w:val="20"/>
          <w:color w:val="auto"/>
        </w:rPr>
      </w:pPr>
    </w:p>
    <w:p>
      <w:pPr>
        <w:ind w:left="4" w:right="100"/>
        <w:spacing w:after="0" w:line="259" w:lineRule="auto"/>
        <w:rPr>
          <w:sz w:val="20"/>
          <w:szCs w:val="20"/>
          <w:color w:val="auto"/>
        </w:rPr>
      </w:pPr>
      <w:r>
        <w:rPr>
          <w:rFonts w:ascii="Arial" w:cs="Arial" w:eastAsia="Arial" w:hAnsi="Arial"/>
          <w:sz w:val="16"/>
          <w:szCs w:val="16"/>
          <w:b w:val="1"/>
          <w:bCs w:val="1"/>
          <w:i w:val="1"/>
          <w:iCs w:val="1"/>
          <w:color w:val="auto"/>
        </w:rPr>
        <w:t xml:space="preserve">EITF Issue No. 08-5, "Issuer’s Accounting for Liabilities Measured at Fair Value with a Third-Party Credit Enhancement" (EITF 08-5): </w:t>
      </w:r>
      <w:r>
        <w:rPr>
          <w:rFonts w:ascii="Arial" w:cs="Arial" w:eastAsia="Arial" w:hAnsi="Arial"/>
          <w:sz w:val="16"/>
          <w:szCs w:val="16"/>
          <w:color w:val="auto"/>
        </w:rPr>
        <w:t>EITF 08-5 provides that an issuer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 a liability with a third-party credit enhancement that is inseparable from the liability may not include the effect of the credit enhancement in the fair value measurement of the liability. EITF 08-5 is effective prospectively for reporting periods beginning after December 15, 2008. We do not expect the effects of adopting EITF 08-5 to have a material impact on our financial position or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212725</wp:posOffset>
            </wp:positionV>
            <wp:extent cx="7261860" cy="762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pacing w:after="0" w:line="372" w:lineRule="exact"/>
        <w:rPr>
          <w:sz w:val="20"/>
          <w:szCs w:val="20"/>
          <w:color w:val="auto"/>
        </w:rPr>
      </w:pPr>
    </w:p>
    <w:p>
      <w:pPr>
        <w:ind w:left="4"/>
        <w:spacing w:after="0"/>
        <w:rPr>
          <w:sz w:val="20"/>
          <w:szCs w:val="20"/>
          <w:color w:val="auto"/>
        </w:rPr>
      </w:pPr>
      <w:r>
        <w:rPr>
          <w:rFonts w:ascii="Arial" w:cs="Arial" w:eastAsia="Arial" w:hAnsi="Arial"/>
          <w:sz w:val="18"/>
          <w:szCs w:val="18"/>
          <w:color w:val="auto"/>
        </w:rPr>
        <w:t>NOTE 3. RECENT INVESTMENT ACTIVITY</w:t>
      </w:r>
    </w:p>
    <w:p>
      <w:pPr>
        <w:spacing w:after="0" w:line="244"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auto"/>
        </w:rPr>
        <w:t>SEMPRA COMMODITIES</w:t>
      </w:r>
    </w:p>
    <w:p>
      <w:pPr>
        <w:spacing w:after="0" w:line="89" w:lineRule="exact"/>
        <w:rPr>
          <w:sz w:val="20"/>
          <w:szCs w:val="20"/>
          <w:color w:val="auto"/>
        </w:rPr>
      </w:pPr>
    </w:p>
    <w:p>
      <w:pPr>
        <w:ind w:left="4" w:right="20"/>
        <w:spacing w:after="0" w:line="257" w:lineRule="auto"/>
        <w:rPr>
          <w:sz w:val="20"/>
          <w:szCs w:val="20"/>
          <w:color w:val="auto"/>
        </w:rPr>
      </w:pPr>
      <w:r>
        <w:rPr>
          <w:rFonts w:ascii="Arial" w:cs="Arial" w:eastAsia="Arial" w:hAnsi="Arial"/>
          <w:sz w:val="16"/>
          <w:szCs w:val="16"/>
          <w:color w:val="auto"/>
        </w:rPr>
        <w:t>On April 1, 2008, Sempra Energy and The Royal Bank of Scotland (RBS) completed the formation of RBS Sempra Commodities, a partnership to own and operate the commodities-marketing businesses previously operated through wholly owned subsidiaries of Sempra Energy. Our initial equity contribution to the partnership was $1.6 billion. RBS made an initial equity contribution of $1.665 billion and is committed to provide any additional funding required for the ongoing operations of the partnership’s businesses. As a result of the transaction, we received approximately $1.2 billion in cash, net of our contribution and including cash withdrawn from the businesses in anticipation of the transaction. We recorded an after-tax gain of $67 million on the transaction.</w:t>
      </w:r>
    </w:p>
    <w:p>
      <w:pPr>
        <w:spacing w:after="0" w:line="48" w:lineRule="exact"/>
        <w:rPr>
          <w:sz w:val="20"/>
          <w:szCs w:val="20"/>
          <w:color w:val="auto"/>
        </w:rPr>
      </w:pPr>
    </w:p>
    <w:p>
      <w:pPr>
        <w:ind w:left="4"/>
        <w:spacing w:after="0"/>
        <w:rPr>
          <w:sz w:val="20"/>
          <w:szCs w:val="20"/>
          <w:color w:val="auto"/>
        </w:rPr>
      </w:pPr>
      <w:r>
        <w:rPr>
          <w:rFonts w:ascii="Arial" w:cs="Arial" w:eastAsia="Arial" w:hAnsi="Arial"/>
          <w:sz w:val="16"/>
          <w:szCs w:val="16"/>
          <w:color w:val="auto"/>
        </w:rPr>
        <w:t>We provide additional information about this transaction in Notes 4 and 6.</w:t>
      </w:r>
    </w:p>
    <w:p>
      <w:pPr>
        <w:spacing w:after="0" w:line="200" w:lineRule="exact"/>
        <w:rPr>
          <w:sz w:val="20"/>
          <w:szCs w:val="20"/>
          <w:color w:val="auto"/>
        </w:rPr>
      </w:pPr>
    </w:p>
    <w:p>
      <w:pPr>
        <w:spacing w:after="0" w:line="341" w:lineRule="exact"/>
        <w:rPr>
          <w:sz w:val="20"/>
          <w:szCs w:val="20"/>
          <w:color w:val="auto"/>
        </w:rPr>
      </w:pPr>
    </w:p>
    <w:p>
      <w:pPr>
        <w:ind w:left="4"/>
        <w:spacing w:after="0"/>
        <w:rPr>
          <w:sz w:val="20"/>
          <w:szCs w:val="20"/>
          <w:color w:val="auto"/>
        </w:rPr>
      </w:pPr>
      <w:r>
        <w:rPr>
          <w:rFonts w:ascii="Arial" w:cs="Arial" w:eastAsia="Arial" w:hAnsi="Arial"/>
          <w:sz w:val="14"/>
          <w:szCs w:val="14"/>
          <w:color w:val="auto"/>
        </w:rPr>
        <w:t>116</w:t>
      </w:r>
    </w:p>
    <w:p>
      <w:pPr>
        <w:sectPr>
          <w:pgSz w:w="11900" w:h="16838" w:orient="portrait"/>
          <w:cols w:equalWidth="0" w:num="1">
            <w:col w:w="11404"/>
          </w:cols>
          <w:pgMar w:left="236" w:top="419" w:right="259" w:bottom="1440" w:gutter="0" w:footer="0" w:header="0"/>
        </w:sectPr>
      </w:pPr>
    </w:p>
    <w:bookmarkStart w:id="256" w:name="page257"/>
    <w:bookmarkEnd w:id="256"/>
    <w:p>
      <w:pPr>
        <w:spacing w:after="0"/>
        <w:rPr>
          <w:sz w:val="20"/>
          <w:szCs w:val="20"/>
          <w:color w:val="auto"/>
        </w:rPr>
      </w:pPr>
      <w:r>
        <w:rPr>
          <w:rFonts w:ascii="Arial" w:cs="Arial" w:eastAsia="Arial" w:hAnsi="Arial"/>
          <w:sz w:val="16"/>
          <w:szCs w:val="16"/>
          <w:b w:val="1"/>
          <w:bCs w:val="1"/>
          <w:color w:val="auto"/>
        </w:rPr>
        <w:t>SEMPRA GENERATION</w:t>
      </w:r>
    </w:p>
    <w:p>
      <w:pPr>
        <w:spacing w:after="0" w:line="89" w:lineRule="exact"/>
        <w:rPr>
          <w:sz w:val="20"/>
          <w:szCs w:val="20"/>
          <w:color w:val="auto"/>
        </w:rPr>
      </w:pPr>
    </w:p>
    <w:p>
      <w:pPr>
        <w:spacing w:after="0"/>
        <w:rPr>
          <w:sz w:val="20"/>
          <w:szCs w:val="20"/>
          <w:color w:val="auto"/>
        </w:rPr>
      </w:pPr>
      <w:r>
        <w:rPr>
          <w:rFonts w:ascii="Arial" w:cs="Arial" w:eastAsia="Arial" w:hAnsi="Arial"/>
          <w:sz w:val="16"/>
          <w:szCs w:val="16"/>
          <w:color w:val="auto"/>
        </w:rPr>
        <w:t>We provide information about investment activity at Sempra Generation in Notes 4 and 5.</w:t>
      </w:r>
    </w:p>
    <w:p>
      <w:pPr>
        <w:spacing w:after="0" w:line="27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SEMPRA PIPELINES &amp; STORAGE</w:t>
      </w:r>
    </w:p>
    <w:p>
      <w:pPr>
        <w:spacing w:after="0" w:line="89" w:lineRule="exact"/>
        <w:rPr>
          <w:sz w:val="20"/>
          <w:szCs w:val="20"/>
          <w:color w:val="auto"/>
        </w:rPr>
      </w:pPr>
    </w:p>
    <w:p>
      <w:pPr>
        <w:spacing w:after="0" w:line="264" w:lineRule="auto"/>
        <w:rPr>
          <w:sz w:val="20"/>
          <w:szCs w:val="20"/>
          <w:color w:val="auto"/>
        </w:rPr>
      </w:pPr>
      <w:r>
        <w:rPr>
          <w:rFonts w:ascii="Arial" w:cs="Arial" w:eastAsia="Arial" w:hAnsi="Arial"/>
          <w:sz w:val="16"/>
          <w:szCs w:val="16"/>
          <w:color w:val="auto"/>
        </w:rPr>
        <w:t>In October 2008, Sempra Pipelines &amp; Storage acquired EnergySouth, an energy services holding company based in Mobile, Alabama for $511 million in cash and the assumption of debt. Principal holdings of EnergySouth include EnergySouth Midstream and Mobile Gas. As a natural gas distribution utility, Mobile Gas serves approximately 93,000 customers in southwest Alabama. In December 2008, EnergySouth Midstream changed its name to Sempra Midstream.</w:t>
      </w:r>
    </w:p>
    <w:p>
      <w:pPr>
        <w:spacing w:after="0" w:line="42" w:lineRule="exact"/>
        <w:rPr>
          <w:sz w:val="20"/>
          <w:szCs w:val="20"/>
          <w:color w:val="auto"/>
        </w:rPr>
      </w:pPr>
    </w:p>
    <w:p>
      <w:pPr>
        <w:ind w:right="440"/>
        <w:spacing w:after="0" w:line="312" w:lineRule="auto"/>
        <w:rPr>
          <w:sz w:val="20"/>
          <w:szCs w:val="20"/>
          <w:color w:val="auto"/>
        </w:rPr>
      </w:pPr>
      <w:r>
        <w:rPr>
          <w:rFonts w:ascii="Arial" w:cs="Arial" w:eastAsia="Arial" w:hAnsi="Arial"/>
          <w:sz w:val="15"/>
          <w:szCs w:val="15"/>
          <w:color w:val="auto"/>
        </w:rPr>
        <w:t>Sempra Midstream is the general partner and 91-percent owner of Bay Gas Storage Company (Bay Gas) and owned 60 percent of Mississippi Hub, LLC (Mississippi Hub) through December 31, 2008. On January 16, 2009, Sempra Midstream acquired the remaining 40-percent ownership interest of Mississippi Hub for $94 million.</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Assets and liabilities assumed as of the acquisition date are:</w:t>
      </w:r>
    </w:p>
    <w:p>
      <w:pPr>
        <w:spacing w:after="0" w:line="313" w:lineRule="exact"/>
        <w:rPr>
          <w:sz w:val="20"/>
          <w:szCs w:val="20"/>
          <w:color w:val="auto"/>
        </w:rPr>
      </w:pPr>
    </w:p>
    <w:tbl>
      <w:tblPr>
        <w:tblLayout w:type="fixed"/>
        <w:tblInd w:w="3080" w:type="dxa"/>
        <w:tblCellMar>
          <w:top w:w="0" w:type="dxa"/>
          <w:left w:w="0" w:type="dxa"/>
          <w:bottom w:w="0" w:type="dxa"/>
          <w:right w:w="0" w:type="dxa"/>
        </w:tblCellMar>
      </w:tblPr>
      <w:tr>
        <w:trPr>
          <w:trHeight w:val="171"/>
        </w:trPr>
        <w:tc>
          <w:tcPr>
            <w:tcW w:w="3720" w:type="dxa"/>
            <w:vAlign w:val="bottom"/>
            <w:tcBorders>
              <w:bottom w:val="single" w:sz="8" w:color="auto"/>
            </w:tcBorders>
          </w:tcPr>
          <w:p>
            <w:pPr>
              <w:spacing w:after="0"/>
              <w:rPr>
                <w:sz w:val="20"/>
                <w:szCs w:val="20"/>
                <w:color w:val="auto"/>
              </w:rPr>
            </w:pPr>
            <w:r>
              <w:rPr>
                <w:rFonts w:ascii="Arial" w:cs="Arial" w:eastAsia="Arial" w:hAnsi="Arial"/>
                <w:sz w:val="13"/>
                <w:szCs w:val="13"/>
                <w:i w:val="1"/>
                <w:iCs w:val="1"/>
                <w:color w:val="auto"/>
              </w:rPr>
              <w:t>(Dollars in millions)</w:t>
            </w:r>
          </w:p>
        </w:tc>
        <w:tc>
          <w:tcPr>
            <w:tcW w:w="1560" w:type="dxa"/>
            <w:vAlign w:val="bottom"/>
            <w:tcBorders>
              <w:bottom w:val="single" w:sz="8" w:color="auto"/>
            </w:tcBorders>
            <w:gridSpan w:val="3"/>
          </w:tcPr>
          <w:p>
            <w:pPr>
              <w:jc w:val="right"/>
              <w:ind w:right="136"/>
              <w:spacing w:after="0"/>
              <w:rPr>
                <w:sz w:val="20"/>
                <w:szCs w:val="20"/>
                <w:color w:val="auto"/>
              </w:rPr>
            </w:pPr>
            <w:r>
              <w:rPr>
                <w:rFonts w:ascii="Arial" w:cs="Arial" w:eastAsia="Arial" w:hAnsi="Arial"/>
                <w:sz w:val="13"/>
                <w:szCs w:val="13"/>
                <w:color w:val="auto"/>
              </w:rPr>
              <w:t>September 30, 2008</w:t>
            </w:r>
          </w:p>
        </w:tc>
      </w:tr>
      <w:tr>
        <w:trPr>
          <w:trHeight w:val="207"/>
        </w:trPr>
        <w:tc>
          <w:tcPr>
            <w:tcW w:w="3720" w:type="dxa"/>
            <w:vAlign w:val="bottom"/>
          </w:tcPr>
          <w:p>
            <w:pPr>
              <w:spacing w:after="0"/>
              <w:rPr>
                <w:sz w:val="20"/>
                <w:szCs w:val="20"/>
                <w:color w:val="auto"/>
              </w:rPr>
            </w:pPr>
            <w:r>
              <w:rPr>
                <w:rFonts w:ascii="Arial" w:cs="Arial" w:eastAsia="Arial" w:hAnsi="Arial"/>
                <w:sz w:val="14"/>
                <w:szCs w:val="14"/>
                <w:color w:val="auto"/>
              </w:rPr>
              <w:t>ASSETS</w:t>
            </w:r>
          </w:p>
        </w:tc>
        <w:tc>
          <w:tcPr>
            <w:tcW w:w="6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16"/>
        </w:trPr>
        <w:tc>
          <w:tcPr>
            <w:tcW w:w="3720" w:type="dxa"/>
            <w:vAlign w:val="bottom"/>
          </w:tcPr>
          <w:p>
            <w:pPr>
              <w:spacing w:after="0"/>
              <w:rPr>
                <w:sz w:val="20"/>
                <w:szCs w:val="20"/>
                <w:color w:val="auto"/>
              </w:rPr>
            </w:pPr>
            <w:r>
              <w:rPr>
                <w:rFonts w:ascii="Arial" w:cs="Arial" w:eastAsia="Arial" w:hAnsi="Arial"/>
                <w:sz w:val="14"/>
                <w:szCs w:val="14"/>
                <w:color w:val="auto"/>
              </w:rPr>
              <w:t>Current assets:</w:t>
            </w:r>
          </w:p>
        </w:tc>
        <w:tc>
          <w:tcPr>
            <w:tcW w:w="6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16"/>
        </w:trPr>
        <w:tc>
          <w:tcPr>
            <w:tcW w:w="3720" w:type="dxa"/>
            <w:vAlign w:val="bottom"/>
          </w:tcPr>
          <w:p>
            <w:pPr>
              <w:ind w:left="340"/>
              <w:spacing w:after="0"/>
              <w:rPr>
                <w:sz w:val="20"/>
                <w:szCs w:val="20"/>
                <w:color w:val="auto"/>
              </w:rPr>
            </w:pPr>
            <w:r>
              <w:rPr>
                <w:rFonts w:ascii="Arial" w:cs="Arial" w:eastAsia="Arial" w:hAnsi="Arial"/>
                <w:sz w:val="14"/>
                <w:szCs w:val="14"/>
                <w:color w:val="auto"/>
              </w:rPr>
              <w:t>Cash</w:t>
            </w:r>
          </w:p>
        </w:tc>
        <w:tc>
          <w:tcPr>
            <w:tcW w:w="620" w:type="dxa"/>
            <w:vAlign w:val="bottom"/>
          </w:tcPr>
          <w:p>
            <w:pPr>
              <w:jc w:val="right"/>
              <w:ind w:right="249"/>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16</w:t>
            </w:r>
          </w:p>
        </w:tc>
        <w:tc>
          <w:tcPr>
            <w:tcW w:w="260" w:type="dxa"/>
            <w:vAlign w:val="bottom"/>
          </w:tcPr>
          <w:p>
            <w:pPr>
              <w:spacing w:after="0"/>
              <w:rPr>
                <w:sz w:val="18"/>
                <w:szCs w:val="18"/>
                <w:color w:val="auto"/>
              </w:rPr>
            </w:pPr>
          </w:p>
        </w:tc>
      </w:tr>
      <w:tr>
        <w:trPr>
          <w:trHeight w:val="216"/>
        </w:trPr>
        <w:tc>
          <w:tcPr>
            <w:tcW w:w="3720" w:type="dxa"/>
            <w:vAlign w:val="bottom"/>
          </w:tcPr>
          <w:p>
            <w:pPr>
              <w:ind w:left="340"/>
              <w:spacing w:after="0"/>
              <w:rPr>
                <w:sz w:val="20"/>
                <w:szCs w:val="20"/>
                <w:color w:val="auto"/>
              </w:rPr>
            </w:pPr>
            <w:r>
              <w:rPr>
                <w:rFonts w:ascii="Arial" w:cs="Arial" w:eastAsia="Arial" w:hAnsi="Arial"/>
                <w:sz w:val="14"/>
                <w:szCs w:val="14"/>
                <w:color w:val="auto"/>
              </w:rPr>
              <w:t>Accounts receivable</w:t>
            </w:r>
          </w:p>
        </w:tc>
        <w:tc>
          <w:tcPr>
            <w:tcW w:w="6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31</w:t>
            </w:r>
          </w:p>
        </w:tc>
        <w:tc>
          <w:tcPr>
            <w:tcW w:w="260" w:type="dxa"/>
            <w:vAlign w:val="bottom"/>
          </w:tcPr>
          <w:p>
            <w:pPr>
              <w:spacing w:after="0"/>
              <w:rPr>
                <w:sz w:val="18"/>
                <w:szCs w:val="18"/>
                <w:color w:val="auto"/>
              </w:rPr>
            </w:pPr>
          </w:p>
        </w:tc>
      </w:tr>
      <w:tr>
        <w:trPr>
          <w:trHeight w:val="222"/>
        </w:trPr>
        <w:tc>
          <w:tcPr>
            <w:tcW w:w="3720" w:type="dxa"/>
            <w:vAlign w:val="bottom"/>
          </w:tcPr>
          <w:p>
            <w:pPr>
              <w:ind w:left="340"/>
              <w:spacing w:after="0"/>
              <w:rPr>
                <w:sz w:val="20"/>
                <w:szCs w:val="20"/>
                <w:color w:val="auto"/>
              </w:rPr>
            </w:pPr>
            <w:r>
              <w:rPr>
                <w:rFonts w:ascii="Arial" w:cs="Arial" w:eastAsia="Arial" w:hAnsi="Arial"/>
                <w:sz w:val="14"/>
                <w:szCs w:val="14"/>
                <w:color w:val="auto"/>
              </w:rPr>
              <w:t>Other current assets</w:t>
            </w:r>
          </w:p>
        </w:tc>
        <w:tc>
          <w:tcPr>
            <w:tcW w:w="6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121</w:t>
            </w:r>
          </w:p>
        </w:tc>
        <w:tc>
          <w:tcPr>
            <w:tcW w:w="260" w:type="dxa"/>
            <w:vAlign w:val="bottom"/>
            <w:tcBorders>
              <w:bottom w:val="single" w:sz="8" w:color="auto"/>
            </w:tcBorders>
          </w:tcPr>
          <w:p>
            <w:pPr>
              <w:spacing w:after="0"/>
              <w:rPr>
                <w:sz w:val="19"/>
                <w:szCs w:val="19"/>
                <w:color w:val="auto"/>
              </w:rPr>
            </w:pPr>
          </w:p>
        </w:tc>
      </w:tr>
      <w:tr>
        <w:trPr>
          <w:trHeight w:val="202"/>
        </w:trPr>
        <w:tc>
          <w:tcPr>
            <w:tcW w:w="3720" w:type="dxa"/>
            <w:vAlign w:val="bottom"/>
          </w:tcPr>
          <w:p>
            <w:pPr>
              <w:ind w:left="660"/>
              <w:spacing w:after="0"/>
              <w:rPr>
                <w:sz w:val="20"/>
                <w:szCs w:val="20"/>
                <w:color w:val="auto"/>
              </w:rPr>
            </w:pPr>
            <w:r>
              <w:rPr>
                <w:rFonts w:ascii="Arial" w:cs="Arial" w:eastAsia="Arial" w:hAnsi="Arial"/>
                <w:sz w:val="14"/>
                <w:szCs w:val="14"/>
                <w:color w:val="auto"/>
              </w:rPr>
              <w:t>Total current assets</w:t>
            </w:r>
          </w:p>
        </w:tc>
        <w:tc>
          <w:tcPr>
            <w:tcW w:w="6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168</w:t>
            </w:r>
          </w:p>
        </w:tc>
        <w:tc>
          <w:tcPr>
            <w:tcW w:w="260" w:type="dxa"/>
            <w:vAlign w:val="bottom"/>
          </w:tcPr>
          <w:p>
            <w:pPr>
              <w:spacing w:after="0"/>
              <w:rPr>
                <w:sz w:val="17"/>
                <w:szCs w:val="17"/>
                <w:color w:val="auto"/>
              </w:rPr>
            </w:pPr>
          </w:p>
        </w:tc>
      </w:tr>
      <w:tr>
        <w:trPr>
          <w:trHeight w:val="432"/>
        </w:trPr>
        <w:tc>
          <w:tcPr>
            <w:tcW w:w="3720" w:type="dxa"/>
            <w:vAlign w:val="bottom"/>
          </w:tcPr>
          <w:p>
            <w:pPr>
              <w:ind w:left="340"/>
              <w:spacing w:after="0"/>
              <w:rPr>
                <w:sz w:val="20"/>
                <w:szCs w:val="20"/>
                <w:color w:val="auto"/>
              </w:rPr>
            </w:pPr>
            <w:r>
              <w:rPr>
                <w:rFonts w:ascii="Arial" w:cs="Arial" w:eastAsia="Arial" w:hAnsi="Arial"/>
                <w:sz w:val="14"/>
                <w:szCs w:val="14"/>
                <w:color w:val="auto"/>
              </w:rPr>
              <w:t>Property, plant and equipment</w:t>
            </w:r>
          </w:p>
        </w:tc>
        <w:tc>
          <w:tcPr>
            <w:tcW w:w="6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609</w:t>
            </w:r>
          </w:p>
        </w:tc>
        <w:tc>
          <w:tcPr>
            <w:tcW w:w="260" w:type="dxa"/>
            <w:vAlign w:val="bottom"/>
          </w:tcPr>
          <w:p>
            <w:pPr>
              <w:spacing w:after="0"/>
              <w:rPr>
                <w:sz w:val="24"/>
                <w:szCs w:val="24"/>
                <w:color w:val="auto"/>
              </w:rPr>
            </w:pPr>
          </w:p>
        </w:tc>
      </w:tr>
      <w:tr>
        <w:trPr>
          <w:trHeight w:val="216"/>
        </w:trPr>
        <w:tc>
          <w:tcPr>
            <w:tcW w:w="3720" w:type="dxa"/>
            <w:vAlign w:val="bottom"/>
          </w:tcPr>
          <w:p>
            <w:pPr>
              <w:ind w:left="340"/>
              <w:spacing w:after="0"/>
              <w:rPr>
                <w:sz w:val="20"/>
                <w:szCs w:val="20"/>
                <w:color w:val="auto"/>
              </w:rPr>
            </w:pPr>
            <w:r>
              <w:rPr>
                <w:rFonts w:ascii="Arial" w:cs="Arial" w:eastAsia="Arial" w:hAnsi="Arial"/>
                <w:sz w:val="14"/>
                <w:szCs w:val="14"/>
                <w:color w:val="auto"/>
              </w:rPr>
              <w:t>Goodwill and other intangible assets</w:t>
            </w:r>
          </w:p>
        </w:tc>
        <w:tc>
          <w:tcPr>
            <w:tcW w:w="6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527</w:t>
            </w:r>
          </w:p>
        </w:tc>
        <w:tc>
          <w:tcPr>
            <w:tcW w:w="260" w:type="dxa"/>
            <w:vAlign w:val="bottom"/>
          </w:tcPr>
          <w:p>
            <w:pPr>
              <w:jc w:val="right"/>
              <w:ind w:right="136"/>
              <w:spacing w:after="0"/>
              <w:rPr>
                <w:sz w:val="20"/>
                <w:szCs w:val="20"/>
                <w:color w:val="auto"/>
              </w:rPr>
            </w:pPr>
            <w:r>
              <w:rPr>
                <w:rFonts w:ascii="Arial" w:cs="Arial" w:eastAsia="Arial" w:hAnsi="Arial"/>
                <w:sz w:val="13"/>
                <w:szCs w:val="13"/>
                <w:i w:val="1"/>
                <w:iCs w:val="1"/>
                <w:color w:val="auto"/>
                <w:w w:val="78"/>
              </w:rPr>
              <w:t>*</w:t>
            </w:r>
          </w:p>
        </w:tc>
      </w:tr>
      <w:tr>
        <w:trPr>
          <w:trHeight w:val="222"/>
        </w:trPr>
        <w:tc>
          <w:tcPr>
            <w:tcW w:w="3720" w:type="dxa"/>
            <w:vAlign w:val="bottom"/>
          </w:tcPr>
          <w:p>
            <w:pPr>
              <w:ind w:left="340"/>
              <w:spacing w:after="0"/>
              <w:rPr>
                <w:sz w:val="20"/>
                <w:szCs w:val="20"/>
                <w:color w:val="auto"/>
              </w:rPr>
            </w:pPr>
            <w:r>
              <w:rPr>
                <w:rFonts w:ascii="Arial" w:cs="Arial" w:eastAsia="Arial" w:hAnsi="Arial"/>
                <w:sz w:val="14"/>
                <w:szCs w:val="14"/>
                <w:color w:val="auto"/>
              </w:rPr>
              <w:t>Other noncurrent assets</w:t>
            </w:r>
          </w:p>
        </w:tc>
        <w:tc>
          <w:tcPr>
            <w:tcW w:w="6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w:t>
            </w:r>
          </w:p>
        </w:tc>
        <w:tc>
          <w:tcPr>
            <w:tcW w:w="260" w:type="dxa"/>
            <w:vAlign w:val="bottom"/>
            <w:tcBorders>
              <w:bottom w:val="single" w:sz="8" w:color="auto"/>
            </w:tcBorders>
          </w:tcPr>
          <w:p>
            <w:pPr>
              <w:spacing w:after="0"/>
              <w:rPr>
                <w:sz w:val="19"/>
                <w:szCs w:val="19"/>
                <w:color w:val="auto"/>
              </w:rPr>
            </w:pPr>
          </w:p>
        </w:tc>
      </w:tr>
      <w:tr>
        <w:trPr>
          <w:trHeight w:val="224"/>
        </w:trPr>
        <w:tc>
          <w:tcPr>
            <w:tcW w:w="3720" w:type="dxa"/>
            <w:vAlign w:val="bottom"/>
          </w:tcPr>
          <w:p>
            <w:pPr>
              <w:spacing w:after="0"/>
              <w:rPr>
                <w:sz w:val="20"/>
                <w:szCs w:val="20"/>
                <w:color w:val="auto"/>
              </w:rPr>
            </w:pPr>
            <w:r>
              <w:rPr>
                <w:rFonts w:ascii="Arial" w:cs="Arial" w:eastAsia="Arial" w:hAnsi="Arial"/>
                <w:sz w:val="14"/>
                <w:szCs w:val="14"/>
                <w:color w:val="auto"/>
              </w:rPr>
              <w:t>Total assets</w:t>
            </w:r>
          </w:p>
        </w:tc>
        <w:tc>
          <w:tcPr>
            <w:tcW w:w="620" w:type="dxa"/>
            <w:vAlign w:val="bottom"/>
            <w:tcBorders>
              <w:bottom w:val="single" w:sz="8" w:color="auto"/>
            </w:tcBorders>
          </w:tcPr>
          <w:p>
            <w:pPr>
              <w:jc w:val="right"/>
              <w:ind w:right="249"/>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1,323</w:t>
            </w:r>
          </w:p>
        </w:tc>
        <w:tc>
          <w:tcPr>
            <w:tcW w:w="260" w:type="dxa"/>
            <w:vAlign w:val="bottom"/>
            <w:tcBorders>
              <w:bottom w:val="single" w:sz="8" w:color="auto"/>
            </w:tcBorders>
          </w:tcPr>
          <w:p>
            <w:pPr>
              <w:spacing w:after="0"/>
              <w:rPr>
                <w:sz w:val="19"/>
                <w:szCs w:val="19"/>
                <w:color w:val="auto"/>
              </w:rPr>
            </w:pPr>
          </w:p>
        </w:tc>
      </w:tr>
      <w:tr>
        <w:trPr>
          <w:trHeight w:val="426"/>
        </w:trPr>
        <w:tc>
          <w:tcPr>
            <w:tcW w:w="3720" w:type="dxa"/>
            <w:vAlign w:val="bottom"/>
          </w:tcPr>
          <w:p>
            <w:pPr>
              <w:spacing w:after="0"/>
              <w:rPr>
                <w:sz w:val="20"/>
                <w:szCs w:val="20"/>
                <w:color w:val="auto"/>
              </w:rPr>
            </w:pPr>
            <w:r>
              <w:rPr>
                <w:rFonts w:ascii="Arial" w:cs="Arial" w:eastAsia="Arial" w:hAnsi="Arial"/>
                <w:sz w:val="14"/>
                <w:szCs w:val="14"/>
                <w:color w:val="auto"/>
              </w:rPr>
              <w:t>LIABILITIES</w:t>
            </w:r>
          </w:p>
        </w:tc>
        <w:tc>
          <w:tcPr>
            <w:tcW w:w="6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216"/>
        </w:trPr>
        <w:tc>
          <w:tcPr>
            <w:tcW w:w="3720" w:type="dxa"/>
            <w:vAlign w:val="bottom"/>
          </w:tcPr>
          <w:p>
            <w:pPr>
              <w:spacing w:after="0"/>
              <w:rPr>
                <w:sz w:val="20"/>
                <w:szCs w:val="20"/>
                <w:color w:val="auto"/>
              </w:rPr>
            </w:pPr>
            <w:r>
              <w:rPr>
                <w:rFonts w:ascii="Arial" w:cs="Arial" w:eastAsia="Arial" w:hAnsi="Arial"/>
                <w:sz w:val="14"/>
                <w:szCs w:val="14"/>
                <w:color w:val="auto"/>
              </w:rPr>
              <w:t>Current liabilities:</w:t>
            </w:r>
          </w:p>
        </w:tc>
        <w:tc>
          <w:tcPr>
            <w:tcW w:w="6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16"/>
        </w:trPr>
        <w:tc>
          <w:tcPr>
            <w:tcW w:w="3720" w:type="dxa"/>
            <w:vAlign w:val="bottom"/>
          </w:tcPr>
          <w:p>
            <w:pPr>
              <w:ind w:left="340"/>
              <w:spacing w:after="0"/>
              <w:rPr>
                <w:sz w:val="20"/>
                <w:szCs w:val="20"/>
                <w:color w:val="auto"/>
              </w:rPr>
            </w:pPr>
            <w:r>
              <w:rPr>
                <w:rFonts w:ascii="Arial" w:cs="Arial" w:eastAsia="Arial" w:hAnsi="Arial"/>
                <w:sz w:val="14"/>
                <w:szCs w:val="14"/>
                <w:color w:val="auto"/>
              </w:rPr>
              <w:t>Accounts payable</w:t>
            </w:r>
          </w:p>
        </w:tc>
        <w:tc>
          <w:tcPr>
            <w:tcW w:w="620" w:type="dxa"/>
            <w:vAlign w:val="bottom"/>
          </w:tcPr>
          <w:p>
            <w:pPr>
              <w:jc w:val="right"/>
              <w:ind w:right="249"/>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85</w:t>
            </w:r>
          </w:p>
        </w:tc>
        <w:tc>
          <w:tcPr>
            <w:tcW w:w="260" w:type="dxa"/>
            <w:vAlign w:val="bottom"/>
          </w:tcPr>
          <w:p>
            <w:pPr>
              <w:spacing w:after="0"/>
              <w:rPr>
                <w:sz w:val="18"/>
                <w:szCs w:val="18"/>
                <w:color w:val="auto"/>
              </w:rPr>
            </w:pPr>
          </w:p>
        </w:tc>
      </w:tr>
      <w:tr>
        <w:trPr>
          <w:trHeight w:val="216"/>
        </w:trPr>
        <w:tc>
          <w:tcPr>
            <w:tcW w:w="3720" w:type="dxa"/>
            <w:vAlign w:val="bottom"/>
          </w:tcPr>
          <w:p>
            <w:pPr>
              <w:ind w:left="340"/>
              <w:spacing w:after="0"/>
              <w:rPr>
                <w:sz w:val="20"/>
                <w:szCs w:val="20"/>
                <w:color w:val="auto"/>
              </w:rPr>
            </w:pPr>
            <w:r>
              <w:rPr>
                <w:rFonts w:ascii="Arial" w:cs="Arial" w:eastAsia="Arial" w:hAnsi="Arial"/>
                <w:sz w:val="14"/>
                <w:szCs w:val="14"/>
                <w:color w:val="auto"/>
              </w:rPr>
              <w:t>Current portion of long-term debt</w:t>
            </w:r>
          </w:p>
        </w:tc>
        <w:tc>
          <w:tcPr>
            <w:tcW w:w="6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212</w:t>
            </w:r>
          </w:p>
        </w:tc>
        <w:tc>
          <w:tcPr>
            <w:tcW w:w="260" w:type="dxa"/>
            <w:vAlign w:val="bottom"/>
          </w:tcPr>
          <w:p>
            <w:pPr>
              <w:spacing w:after="0"/>
              <w:rPr>
                <w:sz w:val="18"/>
                <w:szCs w:val="18"/>
                <w:color w:val="auto"/>
              </w:rPr>
            </w:pPr>
          </w:p>
        </w:tc>
      </w:tr>
      <w:tr>
        <w:trPr>
          <w:trHeight w:val="222"/>
        </w:trPr>
        <w:tc>
          <w:tcPr>
            <w:tcW w:w="3720" w:type="dxa"/>
            <w:vAlign w:val="bottom"/>
          </w:tcPr>
          <w:p>
            <w:pPr>
              <w:ind w:left="340"/>
              <w:spacing w:after="0"/>
              <w:rPr>
                <w:sz w:val="20"/>
                <w:szCs w:val="20"/>
                <w:color w:val="auto"/>
              </w:rPr>
            </w:pPr>
            <w:r>
              <w:rPr>
                <w:rFonts w:ascii="Arial" w:cs="Arial" w:eastAsia="Arial" w:hAnsi="Arial"/>
                <w:sz w:val="14"/>
                <w:szCs w:val="14"/>
                <w:color w:val="auto"/>
              </w:rPr>
              <w:t>Other current liabilities</w:t>
            </w:r>
          </w:p>
        </w:tc>
        <w:tc>
          <w:tcPr>
            <w:tcW w:w="6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43</w:t>
            </w:r>
          </w:p>
        </w:tc>
        <w:tc>
          <w:tcPr>
            <w:tcW w:w="260" w:type="dxa"/>
            <w:vAlign w:val="bottom"/>
            <w:tcBorders>
              <w:bottom w:val="single" w:sz="8" w:color="auto"/>
            </w:tcBorders>
          </w:tcPr>
          <w:p>
            <w:pPr>
              <w:spacing w:after="0"/>
              <w:rPr>
                <w:sz w:val="19"/>
                <w:szCs w:val="19"/>
                <w:color w:val="auto"/>
              </w:rPr>
            </w:pPr>
          </w:p>
        </w:tc>
      </w:tr>
      <w:tr>
        <w:trPr>
          <w:trHeight w:val="202"/>
        </w:trPr>
        <w:tc>
          <w:tcPr>
            <w:tcW w:w="3720" w:type="dxa"/>
            <w:vAlign w:val="bottom"/>
          </w:tcPr>
          <w:p>
            <w:pPr>
              <w:ind w:left="660"/>
              <w:spacing w:after="0"/>
              <w:rPr>
                <w:sz w:val="20"/>
                <w:szCs w:val="20"/>
                <w:color w:val="auto"/>
              </w:rPr>
            </w:pPr>
            <w:r>
              <w:rPr>
                <w:rFonts w:ascii="Arial" w:cs="Arial" w:eastAsia="Arial" w:hAnsi="Arial"/>
                <w:sz w:val="14"/>
                <w:szCs w:val="14"/>
                <w:color w:val="auto"/>
              </w:rPr>
              <w:t>Total current liabilities</w:t>
            </w:r>
          </w:p>
        </w:tc>
        <w:tc>
          <w:tcPr>
            <w:tcW w:w="6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340</w:t>
            </w:r>
          </w:p>
        </w:tc>
        <w:tc>
          <w:tcPr>
            <w:tcW w:w="260" w:type="dxa"/>
            <w:vAlign w:val="bottom"/>
          </w:tcPr>
          <w:p>
            <w:pPr>
              <w:spacing w:after="0"/>
              <w:rPr>
                <w:sz w:val="17"/>
                <w:szCs w:val="17"/>
                <w:color w:val="auto"/>
              </w:rPr>
            </w:pPr>
          </w:p>
        </w:tc>
      </w:tr>
      <w:tr>
        <w:trPr>
          <w:trHeight w:val="432"/>
        </w:trPr>
        <w:tc>
          <w:tcPr>
            <w:tcW w:w="3720" w:type="dxa"/>
            <w:vAlign w:val="bottom"/>
          </w:tcPr>
          <w:p>
            <w:pPr>
              <w:ind w:left="340"/>
              <w:spacing w:after="0"/>
              <w:rPr>
                <w:sz w:val="20"/>
                <w:szCs w:val="20"/>
                <w:color w:val="auto"/>
              </w:rPr>
            </w:pPr>
            <w:r>
              <w:rPr>
                <w:rFonts w:ascii="Arial" w:cs="Arial" w:eastAsia="Arial" w:hAnsi="Arial"/>
                <w:sz w:val="14"/>
                <w:szCs w:val="14"/>
                <w:color w:val="auto"/>
              </w:rPr>
              <w:t>Deferred income taxes</w:t>
            </w:r>
          </w:p>
        </w:tc>
        <w:tc>
          <w:tcPr>
            <w:tcW w:w="6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243</w:t>
            </w:r>
          </w:p>
        </w:tc>
        <w:tc>
          <w:tcPr>
            <w:tcW w:w="260" w:type="dxa"/>
            <w:vAlign w:val="bottom"/>
          </w:tcPr>
          <w:p>
            <w:pPr>
              <w:spacing w:after="0"/>
              <w:rPr>
                <w:sz w:val="24"/>
                <w:szCs w:val="24"/>
                <w:color w:val="auto"/>
              </w:rPr>
            </w:pPr>
          </w:p>
        </w:tc>
      </w:tr>
      <w:tr>
        <w:trPr>
          <w:trHeight w:val="216"/>
        </w:trPr>
        <w:tc>
          <w:tcPr>
            <w:tcW w:w="3720" w:type="dxa"/>
            <w:vAlign w:val="bottom"/>
          </w:tcPr>
          <w:p>
            <w:pPr>
              <w:ind w:left="340"/>
              <w:spacing w:after="0"/>
              <w:rPr>
                <w:sz w:val="20"/>
                <w:szCs w:val="20"/>
                <w:color w:val="auto"/>
              </w:rPr>
            </w:pPr>
            <w:r>
              <w:rPr>
                <w:rFonts w:ascii="Arial" w:cs="Arial" w:eastAsia="Arial" w:hAnsi="Arial"/>
                <w:sz w:val="14"/>
                <w:szCs w:val="14"/>
                <w:color w:val="auto"/>
              </w:rPr>
              <w:t>Long-term debt</w:t>
            </w:r>
          </w:p>
        </w:tc>
        <w:tc>
          <w:tcPr>
            <w:tcW w:w="6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114</w:t>
            </w:r>
          </w:p>
        </w:tc>
        <w:tc>
          <w:tcPr>
            <w:tcW w:w="260" w:type="dxa"/>
            <w:vAlign w:val="bottom"/>
          </w:tcPr>
          <w:p>
            <w:pPr>
              <w:spacing w:after="0"/>
              <w:rPr>
                <w:sz w:val="18"/>
                <w:szCs w:val="18"/>
                <w:color w:val="auto"/>
              </w:rPr>
            </w:pPr>
          </w:p>
        </w:tc>
      </w:tr>
      <w:tr>
        <w:trPr>
          <w:trHeight w:val="216"/>
        </w:trPr>
        <w:tc>
          <w:tcPr>
            <w:tcW w:w="3720" w:type="dxa"/>
            <w:vAlign w:val="bottom"/>
          </w:tcPr>
          <w:p>
            <w:pPr>
              <w:ind w:left="340"/>
              <w:spacing w:after="0"/>
              <w:rPr>
                <w:sz w:val="20"/>
                <w:szCs w:val="20"/>
                <w:color w:val="auto"/>
              </w:rPr>
            </w:pPr>
            <w:r>
              <w:rPr>
                <w:rFonts w:ascii="Arial" w:cs="Arial" w:eastAsia="Arial" w:hAnsi="Arial"/>
                <w:sz w:val="14"/>
                <w:szCs w:val="14"/>
                <w:color w:val="auto"/>
              </w:rPr>
              <w:t>Minority interest</w:t>
            </w:r>
          </w:p>
        </w:tc>
        <w:tc>
          <w:tcPr>
            <w:tcW w:w="6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86</w:t>
            </w:r>
          </w:p>
        </w:tc>
        <w:tc>
          <w:tcPr>
            <w:tcW w:w="260" w:type="dxa"/>
            <w:vAlign w:val="bottom"/>
          </w:tcPr>
          <w:p>
            <w:pPr>
              <w:spacing w:after="0"/>
              <w:rPr>
                <w:sz w:val="18"/>
                <w:szCs w:val="18"/>
                <w:color w:val="auto"/>
              </w:rPr>
            </w:pPr>
          </w:p>
        </w:tc>
      </w:tr>
      <w:tr>
        <w:trPr>
          <w:trHeight w:val="222"/>
        </w:trPr>
        <w:tc>
          <w:tcPr>
            <w:tcW w:w="3720" w:type="dxa"/>
            <w:vAlign w:val="bottom"/>
          </w:tcPr>
          <w:p>
            <w:pPr>
              <w:ind w:left="340"/>
              <w:spacing w:after="0"/>
              <w:rPr>
                <w:sz w:val="20"/>
                <w:szCs w:val="20"/>
                <w:color w:val="auto"/>
              </w:rPr>
            </w:pPr>
            <w:r>
              <w:rPr>
                <w:rFonts w:ascii="Arial" w:cs="Arial" w:eastAsia="Arial" w:hAnsi="Arial"/>
                <w:sz w:val="14"/>
                <w:szCs w:val="14"/>
                <w:color w:val="auto"/>
              </w:rPr>
              <w:t>Other noncurrent liabilities</w:t>
            </w:r>
          </w:p>
        </w:tc>
        <w:tc>
          <w:tcPr>
            <w:tcW w:w="6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w:t>
            </w:r>
          </w:p>
        </w:tc>
        <w:tc>
          <w:tcPr>
            <w:tcW w:w="260" w:type="dxa"/>
            <w:vAlign w:val="bottom"/>
            <w:tcBorders>
              <w:bottom w:val="single" w:sz="8" w:color="auto"/>
            </w:tcBorders>
          </w:tcPr>
          <w:p>
            <w:pPr>
              <w:spacing w:after="0"/>
              <w:rPr>
                <w:sz w:val="19"/>
                <w:szCs w:val="19"/>
                <w:color w:val="auto"/>
              </w:rPr>
            </w:pPr>
          </w:p>
        </w:tc>
      </w:tr>
      <w:tr>
        <w:trPr>
          <w:trHeight w:val="224"/>
        </w:trPr>
        <w:tc>
          <w:tcPr>
            <w:tcW w:w="3720" w:type="dxa"/>
            <w:vAlign w:val="bottom"/>
          </w:tcPr>
          <w:p>
            <w:pPr>
              <w:spacing w:after="0"/>
              <w:rPr>
                <w:sz w:val="20"/>
                <w:szCs w:val="20"/>
                <w:color w:val="auto"/>
              </w:rPr>
            </w:pPr>
            <w:r>
              <w:rPr>
                <w:rFonts w:ascii="Arial" w:cs="Arial" w:eastAsia="Arial" w:hAnsi="Arial"/>
                <w:sz w:val="14"/>
                <w:szCs w:val="14"/>
                <w:color w:val="auto"/>
              </w:rPr>
              <w:t>Total liabilities</w:t>
            </w:r>
          </w:p>
        </w:tc>
        <w:tc>
          <w:tcPr>
            <w:tcW w:w="620" w:type="dxa"/>
            <w:vAlign w:val="bottom"/>
            <w:tcBorders>
              <w:bottom w:val="single" w:sz="8" w:color="auto"/>
            </w:tcBorders>
          </w:tcPr>
          <w:p>
            <w:pPr>
              <w:jc w:val="right"/>
              <w:ind w:right="249"/>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812</w:t>
            </w:r>
          </w:p>
        </w:tc>
        <w:tc>
          <w:tcPr>
            <w:tcW w:w="260" w:type="dxa"/>
            <w:vAlign w:val="bottom"/>
            <w:tcBorders>
              <w:bottom w:val="single" w:sz="8" w:color="auto"/>
            </w:tcBorders>
          </w:tcPr>
          <w:p>
            <w:pPr>
              <w:spacing w:after="0"/>
              <w:rPr>
                <w:sz w:val="19"/>
                <w:szCs w:val="19"/>
                <w:color w:val="auto"/>
              </w:rPr>
            </w:pPr>
          </w:p>
        </w:tc>
      </w:tr>
      <w:tr>
        <w:trPr>
          <w:trHeight w:val="232"/>
        </w:trPr>
        <w:tc>
          <w:tcPr>
            <w:tcW w:w="37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Net assets acquired</w:t>
            </w:r>
          </w:p>
        </w:tc>
        <w:tc>
          <w:tcPr>
            <w:tcW w:w="620" w:type="dxa"/>
            <w:vAlign w:val="bottom"/>
            <w:tcBorders>
              <w:bottom w:val="single" w:sz="8" w:color="auto"/>
            </w:tcBorders>
          </w:tcPr>
          <w:p>
            <w:pPr>
              <w:jc w:val="right"/>
              <w:ind w:right="249"/>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511</w:t>
            </w:r>
          </w:p>
        </w:tc>
        <w:tc>
          <w:tcPr>
            <w:tcW w:w="260" w:type="dxa"/>
            <w:vAlign w:val="bottom"/>
            <w:tcBorders>
              <w:bottom w:val="single" w:sz="8" w:color="auto"/>
            </w:tcBorders>
          </w:tcPr>
          <w:p>
            <w:pPr>
              <w:spacing w:after="0"/>
              <w:rPr>
                <w:sz w:val="20"/>
                <w:szCs w:val="20"/>
                <w:color w:val="auto"/>
              </w:rPr>
            </w:pPr>
          </w:p>
        </w:tc>
      </w:tr>
    </w:tbl>
    <w:p>
      <w:pPr>
        <w:spacing w:after="0" w:line="16" w:lineRule="exact"/>
        <w:rPr>
          <w:sz w:val="20"/>
          <w:szCs w:val="20"/>
          <w:color w:val="auto"/>
        </w:rPr>
      </w:pPr>
    </w:p>
    <w:p>
      <w:pPr>
        <w:ind w:left="3420" w:right="3340" w:hanging="331"/>
        <w:spacing w:after="0" w:line="277" w:lineRule="auto"/>
        <w:tabs>
          <w:tab w:leader="none" w:pos="3420" w:val="left"/>
        </w:tabs>
        <w:numPr>
          <w:ilvl w:val="0"/>
          <w:numId w:val="338"/>
        </w:numPr>
        <w:rPr>
          <w:rFonts w:ascii="Arial" w:cs="Arial" w:eastAsia="Arial" w:hAnsi="Arial"/>
          <w:sz w:val="13"/>
          <w:szCs w:val="13"/>
          <w:i w:val="1"/>
          <w:iCs w:val="1"/>
          <w:color w:val="auto"/>
        </w:rPr>
      </w:pPr>
      <w:r>
        <w:rPr>
          <w:rFonts w:ascii="Arial" w:cs="Arial" w:eastAsia="Arial" w:hAnsi="Arial"/>
          <w:sz w:val="13"/>
          <w:szCs w:val="13"/>
          <w:i w:val="1"/>
          <w:iCs w:val="1"/>
          <w:color w:val="auto"/>
        </w:rPr>
        <w:t>As a result of the acquisition, we recorded $67 million of goodwill, none of which is deductible for tax purposes.</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The results of operations for EnergySouth from October 1, 2008 to December 31, 2008 are included in our Statements of Consolidated Income and Cash Flows.</w:t>
      </w:r>
    </w:p>
    <w:p>
      <w:pPr>
        <w:spacing w:after="0" w:line="80" w:lineRule="exact"/>
        <w:rPr>
          <w:sz w:val="20"/>
          <w:szCs w:val="20"/>
          <w:color w:val="auto"/>
        </w:rPr>
      </w:pPr>
    </w:p>
    <w:p>
      <w:pPr>
        <w:spacing w:after="0"/>
        <w:rPr>
          <w:sz w:val="20"/>
          <w:szCs w:val="20"/>
          <w:color w:val="auto"/>
        </w:rPr>
      </w:pPr>
      <w:r>
        <w:rPr>
          <w:rFonts w:ascii="Arial" w:cs="Arial" w:eastAsia="Arial" w:hAnsi="Arial"/>
          <w:sz w:val="16"/>
          <w:szCs w:val="16"/>
          <w:color w:val="auto"/>
        </w:rPr>
        <w:t>We provide further information regarding the other intangibles acquired in Note 1.</w:t>
      </w:r>
    </w:p>
    <w:p>
      <w:pPr>
        <w:spacing w:after="0" w:line="80" w:lineRule="exact"/>
        <w:rPr>
          <w:sz w:val="20"/>
          <w:szCs w:val="20"/>
          <w:color w:val="auto"/>
        </w:rPr>
      </w:pPr>
    </w:p>
    <w:p>
      <w:pPr>
        <w:spacing w:after="0"/>
        <w:rPr>
          <w:sz w:val="20"/>
          <w:szCs w:val="20"/>
          <w:color w:val="auto"/>
        </w:rPr>
      </w:pPr>
      <w:r>
        <w:rPr>
          <w:rFonts w:ascii="Arial" w:cs="Arial" w:eastAsia="Arial" w:hAnsi="Arial"/>
          <w:sz w:val="16"/>
          <w:szCs w:val="16"/>
          <w:color w:val="auto"/>
        </w:rPr>
        <w:t>We discuss Sempra Pipelines &amp; Storage’s investment in Rockies Express Pipeline LLC (Rockies Express) in Note 4.</w:t>
      </w: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4"/>
          <w:szCs w:val="14"/>
          <w:color w:val="auto"/>
        </w:rPr>
        <w:t>117</w:t>
      </w:r>
    </w:p>
    <w:p>
      <w:pPr>
        <w:sectPr>
          <w:pgSz w:w="11900" w:h="16838" w:orient="portrait"/>
          <w:cols w:equalWidth="0" w:num="1">
            <w:col w:w="11400"/>
          </w:cols>
          <w:pgMar w:left="240" w:top="395" w:right="259" w:bottom="1440" w:gutter="0" w:footer="0" w:header="0"/>
        </w:sectPr>
      </w:pPr>
    </w:p>
    <w:bookmarkStart w:id="257" w:name="page258"/>
    <w:bookmarkEnd w:id="25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149860</wp:posOffset>
            </wp:positionH>
            <wp:positionV relativeFrom="page">
              <wp:posOffset>432435</wp:posOffset>
            </wp:positionV>
            <wp:extent cx="7261860" cy="762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61860" cy="7620"/>
                    </a:xfrm>
                    <a:prstGeom prst="rect">
                      <a:avLst/>
                    </a:prstGeom>
                    <a:noFill/>
                  </pic:spPr>
                </pic:pic>
              </a:graphicData>
            </a:graphic>
          </wp:anchor>
        </w:drawing>
        <w:t>NOTE 4. INVESTMENTS IN UNCONSOLIDATED ENTITIES</w:t>
      </w:r>
    </w:p>
    <w:p>
      <w:pPr>
        <w:spacing w:after="0" w:line="60" w:lineRule="exact"/>
        <w:rPr>
          <w:sz w:val="20"/>
          <w:szCs w:val="20"/>
          <w:color w:val="auto"/>
        </w:rPr>
      </w:pPr>
    </w:p>
    <w:p>
      <w:pPr>
        <w:ind w:right="60"/>
        <w:spacing w:after="0" w:line="264" w:lineRule="auto"/>
        <w:rPr>
          <w:sz w:val="20"/>
          <w:szCs w:val="20"/>
          <w:color w:val="auto"/>
        </w:rPr>
      </w:pPr>
      <w:r>
        <w:rPr>
          <w:rFonts w:ascii="Arial" w:cs="Arial" w:eastAsia="Arial" w:hAnsi="Arial"/>
          <w:sz w:val="16"/>
          <w:szCs w:val="16"/>
          <w:color w:val="auto"/>
        </w:rPr>
        <w:t>We account for investments under the equity method when we have an ownership interest of 20 to 50 percent. In these cases, our pro rata shares of the subsidiaries’ net assets are included in Other Investments and in Investment in RBS Sempra Commodities LLP on the Consolidated Balance Sheets. These investments are adjusted for our share of each investee’s earnings or losses, dividends, and other comprehensive income or loss.</w:t>
      </w:r>
    </w:p>
    <w:p>
      <w:pPr>
        <w:spacing w:after="0" w:line="42" w:lineRule="exact"/>
        <w:rPr>
          <w:sz w:val="20"/>
          <w:szCs w:val="20"/>
          <w:color w:val="auto"/>
        </w:rPr>
      </w:pPr>
    </w:p>
    <w:p>
      <w:pPr>
        <w:jc w:val="both"/>
        <w:ind w:right="360"/>
        <w:spacing w:after="0" w:line="264" w:lineRule="auto"/>
        <w:rPr>
          <w:sz w:val="20"/>
          <w:szCs w:val="20"/>
          <w:color w:val="auto"/>
        </w:rPr>
      </w:pPr>
      <w:r>
        <w:rPr>
          <w:rFonts w:ascii="Arial" w:cs="Arial" w:eastAsia="Arial" w:hAnsi="Arial"/>
          <w:sz w:val="16"/>
          <w:szCs w:val="16"/>
          <w:color w:val="auto"/>
        </w:rPr>
        <w:t>Equity in earnings of unconsolidated subsidiaries that is recorded before income tax is reported in Equity Earnings (Losses) – RBS Sempra Commodities LLP and in Equity Earnings (Losses) – Other on the Statements of Consolidated Income. Equity earnings recorded net of income tax recorded by the subsidiary are reported in Equity Earnings (Losses), Net of Income Tax, on the Statements of Consolidated Income.</w:t>
      </w:r>
    </w:p>
    <w:p>
      <w:pPr>
        <w:spacing w:after="0" w:line="42" w:lineRule="exact"/>
        <w:rPr>
          <w:sz w:val="20"/>
          <w:szCs w:val="20"/>
          <w:color w:val="auto"/>
        </w:rPr>
      </w:pPr>
    </w:p>
    <w:p>
      <w:pPr>
        <w:spacing w:after="0" w:line="259" w:lineRule="auto"/>
        <w:rPr>
          <w:sz w:val="20"/>
          <w:szCs w:val="20"/>
          <w:color w:val="auto"/>
        </w:rPr>
      </w:pPr>
      <w:r>
        <w:rPr>
          <w:rFonts w:ascii="Arial" w:cs="Arial" w:eastAsia="Arial" w:hAnsi="Arial"/>
          <w:sz w:val="16"/>
          <w:szCs w:val="16"/>
          <w:color w:val="auto"/>
        </w:rPr>
        <w:t xml:space="preserve">The carrying value of unconsolidated subsidiaries is evaluated for impairment based on the requirements of APB Opinion 18, </w:t>
      </w:r>
      <w:r>
        <w:rPr>
          <w:rFonts w:ascii="Arial" w:cs="Arial" w:eastAsia="Arial" w:hAnsi="Arial"/>
          <w:sz w:val="16"/>
          <w:szCs w:val="16"/>
          <w:i w:val="1"/>
          <w:iCs w:val="1"/>
          <w:color w:val="auto"/>
        </w:rPr>
        <w:t>The Equity Method of Accounting for Investments in</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Common Stock </w:t>
      </w:r>
      <w:r>
        <w:rPr>
          <w:rFonts w:ascii="Arial" w:cs="Arial" w:eastAsia="Arial" w:hAnsi="Arial"/>
          <w:sz w:val="16"/>
          <w:szCs w:val="16"/>
          <w:color w:val="auto"/>
        </w:rPr>
        <w:t>(APB 18). We account for certain investments in housing partnerships made before May 19, 1995 under the cost method, whereby the costs were amortized over</w:t>
      </w:r>
      <w:r>
        <w:rPr>
          <w:rFonts w:ascii="Arial" w:cs="Arial" w:eastAsia="Arial" w:hAnsi="Arial"/>
          <w:sz w:val="16"/>
          <w:szCs w:val="16"/>
          <w:i w:val="1"/>
          <w:iCs w:val="1"/>
          <w:color w:val="auto"/>
        </w:rPr>
        <w:t xml:space="preserve"> </w:t>
      </w:r>
      <w:r>
        <w:rPr>
          <w:rFonts w:ascii="Arial" w:cs="Arial" w:eastAsia="Arial" w:hAnsi="Arial"/>
          <w:sz w:val="16"/>
          <w:szCs w:val="16"/>
          <w:color w:val="auto"/>
        </w:rPr>
        <w:t>ten years based on the expected residual value. We have no unconsolidated subsidiaries where our ability to influence or control an investee differs from our ownership percentage.</w:t>
      </w:r>
    </w:p>
    <w:p>
      <w:pPr>
        <w:spacing w:after="0" w:line="47" w:lineRule="exact"/>
        <w:rPr>
          <w:sz w:val="20"/>
          <w:szCs w:val="20"/>
          <w:color w:val="auto"/>
        </w:rPr>
      </w:pPr>
    </w:p>
    <w:p>
      <w:pPr>
        <w:spacing w:after="0"/>
        <w:rPr>
          <w:sz w:val="20"/>
          <w:szCs w:val="20"/>
          <w:color w:val="auto"/>
        </w:rPr>
      </w:pPr>
      <w:r>
        <w:rPr>
          <w:rFonts w:ascii="Arial" w:cs="Arial" w:eastAsia="Arial" w:hAnsi="Arial"/>
          <w:sz w:val="16"/>
          <w:szCs w:val="16"/>
          <w:color w:val="auto"/>
        </w:rPr>
        <w:t>We summarize our investment balances and earnings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1179830</wp:posOffset>
            </wp:positionH>
            <wp:positionV relativeFrom="paragraph">
              <wp:posOffset>196215</wp:posOffset>
            </wp:positionV>
            <wp:extent cx="4904740" cy="24384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4904740" cy="243840"/>
                    </a:xfrm>
                    <a:prstGeom prst="rect">
                      <a:avLst/>
                    </a:prstGeom>
                    <a:noFill/>
                  </pic:spPr>
                </pic:pic>
              </a:graphicData>
            </a:graphic>
          </wp:anchor>
        </w:drawing>
      </w:r>
    </w:p>
    <w:p>
      <w:pPr>
        <w:spacing w:after="0" w:line="297" w:lineRule="exact"/>
        <w:rPr>
          <w:sz w:val="20"/>
          <w:szCs w:val="20"/>
          <w:color w:val="auto"/>
        </w:rPr>
      </w:pPr>
    </w:p>
    <w:p>
      <w:pPr>
        <w:ind w:left="1860"/>
        <w:spacing w:after="0"/>
        <w:rPr>
          <w:sz w:val="20"/>
          <w:szCs w:val="20"/>
          <w:color w:val="auto"/>
        </w:rPr>
      </w:pPr>
      <w:r>
        <w:rPr>
          <w:rFonts w:ascii="Arial" w:cs="Arial" w:eastAsia="Arial" w:hAnsi="Arial"/>
          <w:sz w:val="14"/>
          <w:szCs w:val="14"/>
          <w:b w:val="1"/>
          <w:bCs w:val="1"/>
          <w:color w:val="auto"/>
        </w:rPr>
        <w:t>EQUITY METHOD AND OTHER INVESTMENTS ON THE CONSOLIDATED BALANCE SHEETS</w:t>
      </w:r>
    </w:p>
    <w:p>
      <w:pPr>
        <w:spacing w:after="0" w:line="40" w:lineRule="exact"/>
        <w:rPr>
          <w:sz w:val="20"/>
          <w:szCs w:val="20"/>
          <w:color w:val="auto"/>
        </w:rPr>
      </w:pPr>
    </w:p>
    <w:tbl>
      <w:tblPr>
        <w:tblLayout w:type="fixed"/>
        <w:tblInd w:w="1860" w:type="dxa"/>
        <w:tblCellMar>
          <w:top w:w="0" w:type="dxa"/>
          <w:left w:w="0" w:type="dxa"/>
          <w:bottom w:w="0" w:type="dxa"/>
          <w:right w:w="0" w:type="dxa"/>
        </w:tblCellMar>
      </w:tblPr>
      <w:tr>
        <w:trPr>
          <w:trHeight w:val="166"/>
        </w:trPr>
        <w:tc>
          <w:tcPr>
            <w:tcW w:w="5580" w:type="dxa"/>
            <w:vAlign w:val="bottom"/>
          </w:tcPr>
          <w:p>
            <w:pPr>
              <w:spacing w:after="0"/>
              <w:rPr>
                <w:sz w:val="20"/>
                <w:szCs w:val="20"/>
                <w:color w:val="auto"/>
              </w:rPr>
            </w:pPr>
            <w:r>
              <w:rPr>
                <w:rFonts w:ascii="Arial" w:cs="Arial" w:eastAsia="Arial" w:hAnsi="Arial"/>
                <w:sz w:val="13"/>
                <w:szCs w:val="13"/>
                <w:i w:val="1"/>
                <w:iCs w:val="1"/>
                <w:color w:val="auto"/>
              </w:rPr>
              <w:t>(Dollars in millions)</w:t>
            </w: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209"/>
        </w:trPr>
        <w:tc>
          <w:tcPr>
            <w:tcW w:w="55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gridSpan w:val="3"/>
          </w:tcPr>
          <w:p>
            <w:pPr>
              <w:jc w:val="right"/>
              <w:ind w:right="209"/>
              <w:spacing w:after="0"/>
              <w:rPr>
                <w:sz w:val="20"/>
                <w:szCs w:val="20"/>
                <w:color w:val="auto"/>
              </w:rPr>
            </w:pPr>
            <w:r>
              <w:rPr>
                <w:rFonts w:ascii="Arial" w:cs="Arial" w:eastAsia="Arial" w:hAnsi="Arial"/>
                <w:sz w:val="13"/>
                <w:szCs w:val="13"/>
                <w:color w:val="auto"/>
                <w:w w:val="96"/>
              </w:rPr>
              <w:t>Investment at December 31,</w:t>
            </w:r>
          </w:p>
        </w:tc>
      </w:tr>
      <w:tr>
        <w:trPr>
          <w:trHeight w:val="208"/>
        </w:trPr>
        <w:tc>
          <w:tcPr>
            <w:tcW w:w="55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69"/>
              <w:spacing w:after="0"/>
              <w:rPr>
                <w:sz w:val="20"/>
                <w:szCs w:val="20"/>
                <w:color w:val="auto"/>
              </w:rPr>
            </w:pPr>
            <w:r>
              <w:rPr>
                <w:rFonts w:ascii="Arial" w:cs="Arial" w:eastAsia="Arial" w:hAnsi="Arial"/>
                <w:sz w:val="13"/>
                <w:szCs w:val="13"/>
                <w:color w:val="auto"/>
              </w:rPr>
              <w:t>2008</w:t>
            </w:r>
          </w:p>
        </w:tc>
        <w:tc>
          <w:tcPr>
            <w:tcW w:w="3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309"/>
              <w:spacing w:after="0"/>
              <w:rPr>
                <w:sz w:val="20"/>
                <w:szCs w:val="20"/>
                <w:color w:val="auto"/>
              </w:rPr>
            </w:pPr>
            <w:r>
              <w:rPr>
                <w:rFonts w:ascii="Arial" w:cs="Arial" w:eastAsia="Arial" w:hAnsi="Arial"/>
                <w:sz w:val="13"/>
                <w:szCs w:val="13"/>
                <w:color w:val="auto"/>
              </w:rPr>
              <w:t>2007</w:t>
            </w:r>
          </w:p>
        </w:tc>
      </w:tr>
      <w:tr>
        <w:trPr>
          <w:trHeight w:val="207"/>
        </w:trPr>
        <w:tc>
          <w:tcPr>
            <w:tcW w:w="5580" w:type="dxa"/>
            <w:vAlign w:val="bottom"/>
          </w:tcPr>
          <w:p>
            <w:pPr>
              <w:spacing w:after="0"/>
              <w:rPr>
                <w:sz w:val="20"/>
                <w:szCs w:val="20"/>
                <w:color w:val="auto"/>
              </w:rPr>
            </w:pPr>
            <w:r>
              <w:rPr>
                <w:rFonts w:ascii="Arial" w:cs="Arial" w:eastAsia="Arial" w:hAnsi="Arial"/>
                <w:sz w:val="14"/>
                <w:szCs w:val="14"/>
                <w:color w:val="auto"/>
              </w:rPr>
              <w:t>Sempra Commodities:</w:t>
            </w: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38"/>
        </w:trPr>
        <w:tc>
          <w:tcPr>
            <w:tcW w:w="5580" w:type="dxa"/>
            <w:vAlign w:val="bottom"/>
          </w:tcPr>
          <w:p>
            <w:pPr>
              <w:ind w:left="200"/>
              <w:spacing w:after="0"/>
              <w:rPr>
                <w:sz w:val="20"/>
                <w:szCs w:val="20"/>
                <w:color w:val="auto"/>
              </w:rPr>
            </w:pPr>
            <w:r>
              <w:rPr>
                <w:rFonts w:ascii="Arial" w:cs="Arial" w:eastAsia="Arial" w:hAnsi="Arial"/>
                <w:sz w:val="14"/>
                <w:szCs w:val="14"/>
                <w:color w:val="auto"/>
              </w:rPr>
              <w:t>Investment in RBS Sempra Commodities LLP</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149"/>
              <w:spacing w:after="0"/>
              <w:rPr>
                <w:sz w:val="20"/>
                <w:szCs w:val="20"/>
                <w:color w:val="auto"/>
              </w:rPr>
            </w:pPr>
            <w:r>
              <w:rPr>
                <w:rFonts w:ascii="Arial" w:cs="Arial" w:eastAsia="Arial" w:hAnsi="Arial"/>
                <w:sz w:val="14"/>
                <w:szCs w:val="14"/>
                <w:color w:val="auto"/>
              </w:rPr>
              <w:t>2,082</w:t>
            </w:r>
          </w:p>
        </w:tc>
        <w:tc>
          <w:tcPr>
            <w:tcW w:w="3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ind w:right="169"/>
              <w:spacing w:after="0"/>
              <w:rPr>
                <w:sz w:val="20"/>
                <w:szCs w:val="20"/>
                <w:color w:val="auto"/>
              </w:rPr>
            </w:pPr>
            <w:r>
              <w:rPr>
                <w:rFonts w:ascii="Arial" w:cs="Arial" w:eastAsia="Arial" w:hAnsi="Arial"/>
                <w:sz w:val="14"/>
                <w:szCs w:val="14"/>
                <w:color w:val="auto"/>
              </w:rPr>
              <w:t>--</w:t>
            </w:r>
          </w:p>
        </w:tc>
      </w:tr>
      <w:tr>
        <w:trPr>
          <w:trHeight w:val="426"/>
        </w:trPr>
        <w:tc>
          <w:tcPr>
            <w:tcW w:w="5580" w:type="dxa"/>
            <w:vAlign w:val="bottom"/>
          </w:tcPr>
          <w:p>
            <w:pPr>
              <w:spacing w:after="0"/>
              <w:rPr>
                <w:sz w:val="20"/>
                <w:szCs w:val="20"/>
                <w:color w:val="auto"/>
              </w:rPr>
            </w:pPr>
            <w:r>
              <w:rPr>
                <w:rFonts w:ascii="Arial" w:cs="Arial" w:eastAsia="Arial" w:hAnsi="Arial"/>
                <w:sz w:val="14"/>
                <w:szCs w:val="14"/>
                <w:color w:val="auto"/>
              </w:rPr>
              <w:t>Other equity method investments:</w:t>
            </w: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16"/>
        </w:trPr>
        <w:tc>
          <w:tcPr>
            <w:tcW w:w="5580" w:type="dxa"/>
            <w:vAlign w:val="bottom"/>
          </w:tcPr>
          <w:p>
            <w:pPr>
              <w:ind w:left="200"/>
              <w:spacing w:after="0"/>
              <w:rPr>
                <w:sz w:val="20"/>
                <w:szCs w:val="20"/>
                <w:color w:val="auto"/>
              </w:rPr>
            </w:pPr>
            <w:r>
              <w:rPr>
                <w:rFonts w:ascii="Arial" w:cs="Arial" w:eastAsia="Arial" w:hAnsi="Arial"/>
                <w:sz w:val="14"/>
                <w:szCs w:val="14"/>
                <w:color w:val="auto"/>
              </w:rPr>
              <w:t>Sempra Pipelines &amp; Storage:</w:t>
            </w: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16"/>
        </w:trPr>
        <w:tc>
          <w:tcPr>
            <w:tcW w:w="5580" w:type="dxa"/>
            <w:vAlign w:val="bottom"/>
          </w:tcPr>
          <w:p>
            <w:pPr>
              <w:ind w:left="440"/>
              <w:spacing w:after="0"/>
              <w:rPr>
                <w:sz w:val="20"/>
                <w:szCs w:val="20"/>
                <w:color w:val="auto"/>
              </w:rPr>
            </w:pPr>
            <w:r>
              <w:rPr>
                <w:rFonts w:ascii="Arial" w:cs="Arial" w:eastAsia="Arial" w:hAnsi="Arial"/>
                <w:sz w:val="14"/>
                <w:szCs w:val="14"/>
                <w:color w:val="auto"/>
              </w:rPr>
              <w:t>Chilquinta Energía</w:t>
            </w: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149"/>
              <w:spacing w:after="0"/>
              <w:rPr>
                <w:sz w:val="20"/>
                <w:szCs w:val="20"/>
                <w:color w:val="auto"/>
              </w:rPr>
            </w:pPr>
            <w:r>
              <w:rPr>
                <w:rFonts w:ascii="Arial" w:cs="Arial" w:eastAsia="Arial" w:hAnsi="Arial"/>
                <w:sz w:val="14"/>
                <w:szCs w:val="14"/>
                <w:color w:val="auto"/>
              </w:rPr>
              <w:t>364</w:t>
            </w:r>
          </w:p>
        </w:tc>
        <w:tc>
          <w:tcPr>
            <w:tcW w:w="3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169"/>
              <w:spacing w:after="0"/>
              <w:rPr>
                <w:sz w:val="20"/>
                <w:szCs w:val="20"/>
                <w:color w:val="auto"/>
              </w:rPr>
            </w:pPr>
            <w:r>
              <w:rPr>
                <w:rFonts w:ascii="Arial" w:cs="Arial" w:eastAsia="Arial" w:hAnsi="Arial"/>
                <w:sz w:val="14"/>
                <w:szCs w:val="14"/>
                <w:color w:val="auto"/>
              </w:rPr>
              <w:t>497</w:t>
            </w:r>
          </w:p>
        </w:tc>
      </w:tr>
      <w:tr>
        <w:trPr>
          <w:trHeight w:val="216"/>
        </w:trPr>
        <w:tc>
          <w:tcPr>
            <w:tcW w:w="5580" w:type="dxa"/>
            <w:vAlign w:val="bottom"/>
          </w:tcPr>
          <w:p>
            <w:pPr>
              <w:ind w:left="440"/>
              <w:spacing w:after="0"/>
              <w:rPr>
                <w:sz w:val="20"/>
                <w:szCs w:val="20"/>
                <w:color w:val="auto"/>
              </w:rPr>
            </w:pPr>
            <w:r>
              <w:rPr>
                <w:rFonts w:ascii="Arial" w:cs="Arial" w:eastAsia="Arial" w:hAnsi="Arial"/>
                <w:sz w:val="14"/>
                <w:szCs w:val="14"/>
                <w:color w:val="auto"/>
              </w:rPr>
              <w:t>Luz del Sur</w:t>
            </w:r>
          </w:p>
        </w:tc>
        <w:tc>
          <w:tcPr>
            <w:tcW w:w="260" w:type="dxa"/>
            <w:vAlign w:val="bottom"/>
          </w:tcPr>
          <w:p>
            <w:pPr>
              <w:spacing w:after="0"/>
              <w:rPr>
                <w:sz w:val="18"/>
                <w:szCs w:val="18"/>
                <w:color w:val="auto"/>
              </w:rPr>
            </w:pPr>
          </w:p>
        </w:tc>
        <w:tc>
          <w:tcPr>
            <w:tcW w:w="780" w:type="dxa"/>
            <w:vAlign w:val="bottom"/>
          </w:tcPr>
          <w:p>
            <w:pPr>
              <w:jc w:val="right"/>
              <w:ind w:right="149"/>
              <w:spacing w:after="0"/>
              <w:rPr>
                <w:sz w:val="20"/>
                <w:szCs w:val="20"/>
                <w:color w:val="auto"/>
              </w:rPr>
            </w:pPr>
            <w:r>
              <w:rPr>
                <w:rFonts w:ascii="Arial" w:cs="Arial" w:eastAsia="Arial" w:hAnsi="Arial"/>
                <w:sz w:val="14"/>
                <w:szCs w:val="14"/>
                <w:color w:val="auto"/>
              </w:rPr>
              <w:t>183</w:t>
            </w:r>
          </w:p>
        </w:tc>
        <w:tc>
          <w:tcPr>
            <w:tcW w:w="360" w:type="dxa"/>
            <w:vAlign w:val="bottom"/>
          </w:tcPr>
          <w:p>
            <w:pPr>
              <w:spacing w:after="0"/>
              <w:rPr>
                <w:sz w:val="18"/>
                <w:szCs w:val="18"/>
                <w:color w:val="auto"/>
              </w:rPr>
            </w:pPr>
          </w:p>
        </w:tc>
        <w:tc>
          <w:tcPr>
            <w:tcW w:w="740" w:type="dxa"/>
            <w:vAlign w:val="bottom"/>
          </w:tcPr>
          <w:p>
            <w:pPr>
              <w:jc w:val="right"/>
              <w:ind w:right="169"/>
              <w:spacing w:after="0"/>
              <w:rPr>
                <w:sz w:val="20"/>
                <w:szCs w:val="20"/>
                <w:color w:val="auto"/>
              </w:rPr>
            </w:pPr>
            <w:r>
              <w:rPr>
                <w:rFonts w:ascii="Arial" w:cs="Arial" w:eastAsia="Arial" w:hAnsi="Arial"/>
                <w:sz w:val="14"/>
                <w:szCs w:val="14"/>
                <w:color w:val="auto"/>
              </w:rPr>
              <w:t>182</w:t>
            </w:r>
          </w:p>
        </w:tc>
      </w:tr>
      <w:tr>
        <w:trPr>
          <w:trHeight w:val="216"/>
        </w:trPr>
        <w:tc>
          <w:tcPr>
            <w:tcW w:w="5580" w:type="dxa"/>
            <w:vAlign w:val="bottom"/>
          </w:tcPr>
          <w:p>
            <w:pPr>
              <w:ind w:left="440"/>
              <w:spacing w:after="0"/>
              <w:rPr>
                <w:sz w:val="20"/>
                <w:szCs w:val="20"/>
                <w:color w:val="auto"/>
              </w:rPr>
            </w:pPr>
            <w:r>
              <w:rPr>
                <w:rFonts w:ascii="Arial" w:cs="Arial" w:eastAsia="Arial" w:hAnsi="Arial"/>
                <w:sz w:val="14"/>
                <w:szCs w:val="14"/>
                <w:color w:val="auto"/>
              </w:rPr>
              <w:t>Rockies Express</w:t>
            </w:r>
          </w:p>
        </w:tc>
        <w:tc>
          <w:tcPr>
            <w:tcW w:w="260" w:type="dxa"/>
            <w:vAlign w:val="bottom"/>
          </w:tcPr>
          <w:p>
            <w:pPr>
              <w:spacing w:after="0"/>
              <w:rPr>
                <w:sz w:val="18"/>
                <w:szCs w:val="18"/>
                <w:color w:val="auto"/>
              </w:rPr>
            </w:pPr>
          </w:p>
        </w:tc>
        <w:tc>
          <w:tcPr>
            <w:tcW w:w="780" w:type="dxa"/>
            <w:vAlign w:val="bottom"/>
          </w:tcPr>
          <w:p>
            <w:pPr>
              <w:jc w:val="right"/>
              <w:ind w:right="149"/>
              <w:spacing w:after="0"/>
              <w:rPr>
                <w:sz w:val="20"/>
                <w:szCs w:val="20"/>
                <w:color w:val="auto"/>
              </w:rPr>
            </w:pPr>
            <w:r>
              <w:rPr>
                <w:rFonts w:ascii="Arial" w:cs="Arial" w:eastAsia="Arial" w:hAnsi="Arial"/>
                <w:sz w:val="14"/>
                <w:szCs w:val="14"/>
                <w:color w:val="auto"/>
              </w:rPr>
              <w:t>249</w:t>
            </w:r>
          </w:p>
        </w:tc>
        <w:tc>
          <w:tcPr>
            <w:tcW w:w="360" w:type="dxa"/>
            <w:vAlign w:val="bottom"/>
          </w:tcPr>
          <w:p>
            <w:pPr>
              <w:spacing w:after="0"/>
              <w:rPr>
                <w:sz w:val="18"/>
                <w:szCs w:val="18"/>
                <w:color w:val="auto"/>
              </w:rPr>
            </w:pPr>
          </w:p>
        </w:tc>
        <w:tc>
          <w:tcPr>
            <w:tcW w:w="740" w:type="dxa"/>
            <w:vAlign w:val="bottom"/>
          </w:tcPr>
          <w:p>
            <w:pPr>
              <w:jc w:val="right"/>
              <w:ind w:right="169"/>
              <w:spacing w:after="0"/>
              <w:rPr>
                <w:sz w:val="20"/>
                <w:szCs w:val="20"/>
                <w:color w:val="auto"/>
              </w:rPr>
            </w:pPr>
            <w:r>
              <w:rPr>
                <w:rFonts w:ascii="Arial" w:cs="Arial" w:eastAsia="Arial" w:hAnsi="Arial"/>
                <w:sz w:val="14"/>
                <w:szCs w:val="14"/>
                <w:color w:val="auto"/>
              </w:rPr>
              <w:t>97</w:t>
            </w:r>
          </w:p>
        </w:tc>
      </w:tr>
      <w:tr>
        <w:trPr>
          <w:trHeight w:val="216"/>
        </w:trPr>
        <w:tc>
          <w:tcPr>
            <w:tcW w:w="5580" w:type="dxa"/>
            <w:vAlign w:val="bottom"/>
          </w:tcPr>
          <w:p>
            <w:pPr>
              <w:ind w:left="200"/>
              <w:spacing w:after="0"/>
              <w:rPr>
                <w:sz w:val="20"/>
                <w:szCs w:val="20"/>
                <w:color w:val="auto"/>
              </w:rPr>
            </w:pPr>
            <w:r>
              <w:rPr>
                <w:rFonts w:ascii="Arial" w:cs="Arial" w:eastAsia="Arial" w:hAnsi="Arial"/>
                <w:sz w:val="14"/>
                <w:szCs w:val="14"/>
                <w:color w:val="auto"/>
              </w:rPr>
              <w:t>Sempra Generation:</w:t>
            </w: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16"/>
        </w:trPr>
        <w:tc>
          <w:tcPr>
            <w:tcW w:w="5580" w:type="dxa"/>
            <w:vAlign w:val="bottom"/>
          </w:tcPr>
          <w:p>
            <w:pPr>
              <w:ind w:left="440"/>
              <w:spacing w:after="0"/>
              <w:rPr>
                <w:sz w:val="20"/>
                <w:szCs w:val="20"/>
                <w:color w:val="auto"/>
              </w:rPr>
            </w:pPr>
            <w:r>
              <w:rPr>
                <w:rFonts w:ascii="Arial" w:cs="Arial" w:eastAsia="Arial" w:hAnsi="Arial"/>
                <w:sz w:val="14"/>
                <w:szCs w:val="14"/>
                <w:color w:val="auto"/>
              </w:rPr>
              <w:t>Elk Hills Power</w:t>
            </w:r>
          </w:p>
        </w:tc>
        <w:tc>
          <w:tcPr>
            <w:tcW w:w="260" w:type="dxa"/>
            <w:vAlign w:val="bottom"/>
          </w:tcPr>
          <w:p>
            <w:pPr>
              <w:spacing w:after="0"/>
              <w:rPr>
                <w:sz w:val="18"/>
                <w:szCs w:val="18"/>
                <w:color w:val="auto"/>
              </w:rPr>
            </w:pPr>
          </w:p>
        </w:tc>
        <w:tc>
          <w:tcPr>
            <w:tcW w:w="780" w:type="dxa"/>
            <w:vAlign w:val="bottom"/>
          </w:tcPr>
          <w:p>
            <w:pPr>
              <w:jc w:val="right"/>
              <w:ind w:right="149"/>
              <w:spacing w:after="0"/>
              <w:rPr>
                <w:sz w:val="20"/>
                <w:szCs w:val="20"/>
                <w:color w:val="auto"/>
              </w:rPr>
            </w:pPr>
            <w:r>
              <w:rPr>
                <w:rFonts w:ascii="Arial" w:cs="Arial" w:eastAsia="Arial" w:hAnsi="Arial"/>
                <w:sz w:val="14"/>
                <w:szCs w:val="14"/>
                <w:color w:val="auto"/>
              </w:rPr>
              <w:t>198</w:t>
            </w:r>
          </w:p>
        </w:tc>
        <w:tc>
          <w:tcPr>
            <w:tcW w:w="360" w:type="dxa"/>
            <w:vAlign w:val="bottom"/>
          </w:tcPr>
          <w:p>
            <w:pPr>
              <w:spacing w:after="0"/>
              <w:rPr>
                <w:sz w:val="18"/>
                <w:szCs w:val="18"/>
                <w:color w:val="auto"/>
              </w:rPr>
            </w:pPr>
          </w:p>
        </w:tc>
        <w:tc>
          <w:tcPr>
            <w:tcW w:w="740" w:type="dxa"/>
            <w:vAlign w:val="bottom"/>
          </w:tcPr>
          <w:p>
            <w:pPr>
              <w:jc w:val="right"/>
              <w:ind w:right="169"/>
              <w:spacing w:after="0"/>
              <w:rPr>
                <w:sz w:val="20"/>
                <w:szCs w:val="20"/>
                <w:color w:val="auto"/>
              </w:rPr>
            </w:pPr>
            <w:r>
              <w:rPr>
                <w:rFonts w:ascii="Arial" w:cs="Arial" w:eastAsia="Arial" w:hAnsi="Arial"/>
                <w:sz w:val="14"/>
                <w:szCs w:val="14"/>
                <w:color w:val="auto"/>
              </w:rPr>
              <w:t>205</w:t>
            </w:r>
          </w:p>
        </w:tc>
      </w:tr>
      <w:tr>
        <w:trPr>
          <w:trHeight w:val="216"/>
        </w:trPr>
        <w:tc>
          <w:tcPr>
            <w:tcW w:w="5580" w:type="dxa"/>
            <w:vAlign w:val="bottom"/>
          </w:tcPr>
          <w:p>
            <w:pPr>
              <w:ind w:left="200"/>
              <w:spacing w:after="0"/>
              <w:rPr>
                <w:sz w:val="20"/>
                <w:szCs w:val="20"/>
                <w:color w:val="auto"/>
              </w:rPr>
            </w:pPr>
            <w:r>
              <w:rPr>
                <w:rFonts w:ascii="Arial" w:cs="Arial" w:eastAsia="Arial" w:hAnsi="Arial"/>
                <w:sz w:val="14"/>
                <w:szCs w:val="14"/>
                <w:color w:val="auto"/>
              </w:rPr>
              <w:t>Sempra Commodities—other investments</w:t>
            </w:r>
          </w:p>
        </w:tc>
        <w:tc>
          <w:tcPr>
            <w:tcW w:w="260" w:type="dxa"/>
            <w:vAlign w:val="bottom"/>
          </w:tcPr>
          <w:p>
            <w:pPr>
              <w:spacing w:after="0"/>
              <w:rPr>
                <w:sz w:val="18"/>
                <w:szCs w:val="18"/>
                <w:color w:val="auto"/>
              </w:rPr>
            </w:pPr>
          </w:p>
        </w:tc>
        <w:tc>
          <w:tcPr>
            <w:tcW w:w="780" w:type="dxa"/>
            <w:vAlign w:val="bottom"/>
          </w:tcPr>
          <w:p>
            <w:pPr>
              <w:jc w:val="right"/>
              <w:ind w:right="149"/>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8"/>
                <w:szCs w:val="18"/>
                <w:color w:val="auto"/>
              </w:rPr>
            </w:pPr>
          </w:p>
        </w:tc>
        <w:tc>
          <w:tcPr>
            <w:tcW w:w="740" w:type="dxa"/>
            <w:vAlign w:val="bottom"/>
          </w:tcPr>
          <w:p>
            <w:pPr>
              <w:jc w:val="right"/>
              <w:ind w:right="169"/>
              <w:spacing w:after="0"/>
              <w:rPr>
                <w:sz w:val="20"/>
                <w:szCs w:val="20"/>
                <w:color w:val="auto"/>
              </w:rPr>
            </w:pPr>
            <w:r>
              <w:rPr>
                <w:rFonts w:ascii="Arial" w:cs="Arial" w:eastAsia="Arial" w:hAnsi="Arial"/>
                <w:sz w:val="14"/>
                <w:szCs w:val="14"/>
                <w:color w:val="auto"/>
              </w:rPr>
              <w:t>32</w:t>
            </w:r>
          </w:p>
        </w:tc>
      </w:tr>
      <w:tr>
        <w:trPr>
          <w:trHeight w:val="219"/>
        </w:trPr>
        <w:tc>
          <w:tcPr>
            <w:tcW w:w="5580" w:type="dxa"/>
            <w:vAlign w:val="bottom"/>
          </w:tcPr>
          <w:p>
            <w:pPr>
              <w:ind w:left="200"/>
              <w:spacing w:after="0"/>
              <w:rPr>
                <w:sz w:val="20"/>
                <w:szCs w:val="20"/>
                <w:color w:val="auto"/>
              </w:rPr>
            </w:pPr>
            <w:r>
              <w:rPr>
                <w:rFonts w:ascii="Arial" w:cs="Arial" w:eastAsia="Arial" w:hAnsi="Arial"/>
                <w:sz w:val="14"/>
                <w:szCs w:val="14"/>
                <w:color w:val="auto"/>
              </w:rPr>
              <w:t>Housing partnerships</w:t>
            </w:r>
          </w:p>
        </w:tc>
        <w:tc>
          <w:tcPr>
            <w:tcW w:w="2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149"/>
              <w:spacing w:after="0"/>
              <w:rPr>
                <w:sz w:val="20"/>
                <w:szCs w:val="20"/>
                <w:color w:val="auto"/>
              </w:rPr>
            </w:pPr>
            <w:r>
              <w:rPr>
                <w:rFonts w:ascii="Arial" w:cs="Arial" w:eastAsia="Arial" w:hAnsi="Arial"/>
                <w:sz w:val="14"/>
                <w:szCs w:val="14"/>
                <w:color w:val="auto"/>
              </w:rPr>
              <w:t>30</w:t>
            </w:r>
          </w:p>
        </w:tc>
        <w:tc>
          <w:tcPr>
            <w:tcW w:w="3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69"/>
              <w:spacing w:after="0"/>
              <w:rPr>
                <w:sz w:val="20"/>
                <w:szCs w:val="20"/>
                <w:color w:val="auto"/>
              </w:rPr>
            </w:pPr>
            <w:r>
              <w:rPr>
                <w:rFonts w:ascii="Arial" w:cs="Arial" w:eastAsia="Arial" w:hAnsi="Arial"/>
                <w:sz w:val="14"/>
                <w:szCs w:val="14"/>
                <w:color w:val="auto"/>
              </w:rPr>
              <w:t>46</w:t>
            </w:r>
          </w:p>
        </w:tc>
      </w:tr>
      <w:tr>
        <w:trPr>
          <w:trHeight w:val="205"/>
        </w:trPr>
        <w:tc>
          <w:tcPr>
            <w:tcW w:w="5580" w:type="dxa"/>
            <w:vAlign w:val="bottom"/>
          </w:tcPr>
          <w:p>
            <w:pPr>
              <w:ind w:left="440"/>
              <w:spacing w:after="0"/>
              <w:rPr>
                <w:sz w:val="20"/>
                <w:szCs w:val="20"/>
                <w:color w:val="auto"/>
              </w:rPr>
            </w:pPr>
            <w:r>
              <w:rPr>
                <w:rFonts w:ascii="Arial" w:cs="Arial" w:eastAsia="Arial" w:hAnsi="Arial"/>
                <w:sz w:val="14"/>
                <w:szCs w:val="14"/>
                <w:color w:val="auto"/>
              </w:rPr>
              <w:t>Total other equity method investments*</w:t>
            </w:r>
          </w:p>
        </w:tc>
        <w:tc>
          <w:tcPr>
            <w:tcW w:w="260" w:type="dxa"/>
            <w:vAlign w:val="bottom"/>
          </w:tcPr>
          <w:p>
            <w:pPr>
              <w:spacing w:after="0"/>
              <w:rPr>
                <w:sz w:val="17"/>
                <w:szCs w:val="17"/>
                <w:color w:val="auto"/>
              </w:rPr>
            </w:pPr>
          </w:p>
        </w:tc>
        <w:tc>
          <w:tcPr>
            <w:tcW w:w="780" w:type="dxa"/>
            <w:vAlign w:val="bottom"/>
          </w:tcPr>
          <w:p>
            <w:pPr>
              <w:jc w:val="right"/>
              <w:ind w:right="149"/>
              <w:spacing w:after="0"/>
              <w:rPr>
                <w:sz w:val="20"/>
                <w:szCs w:val="20"/>
                <w:color w:val="auto"/>
              </w:rPr>
            </w:pPr>
            <w:r>
              <w:rPr>
                <w:rFonts w:ascii="Arial" w:cs="Arial" w:eastAsia="Arial" w:hAnsi="Arial"/>
                <w:sz w:val="14"/>
                <w:szCs w:val="14"/>
                <w:color w:val="auto"/>
              </w:rPr>
              <w:t>1,024</w:t>
            </w:r>
          </w:p>
        </w:tc>
        <w:tc>
          <w:tcPr>
            <w:tcW w:w="360" w:type="dxa"/>
            <w:vAlign w:val="bottom"/>
          </w:tcPr>
          <w:p>
            <w:pPr>
              <w:spacing w:after="0"/>
              <w:rPr>
                <w:sz w:val="17"/>
                <w:szCs w:val="17"/>
                <w:color w:val="auto"/>
              </w:rPr>
            </w:pPr>
          </w:p>
        </w:tc>
        <w:tc>
          <w:tcPr>
            <w:tcW w:w="740" w:type="dxa"/>
            <w:vAlign w:val="bottom"/>
          </w:tcPr>
          <w:p>
            <w:pPr>
              <w:jc w:val="right"/>
              <w:ind w:right="169"/>
              <w:spacing w:after="0"/>
              <w:rPr>
                <w:sz w:val="20"/>
                <w:szCs w:val="20"/>
                <w:color w:val="auto"/>
              </w:rPr>
            </w:pPr>
            <w:r>
              <w:rPr>
                <w:rFonts w:ascii="Arial" w:cs="Arial" w:eastAsia="Arial" w:hAnsi="Arial"/>
                <w:sz w:val="14"/>
                <w:szCs w:val="14"/>
                <w:color w:val="auto"/>
              </w:rPr>
              <w:t>1,059</w:t>
            </w:r>
          </w:p>
        </w:tc>
      </w:tr>
      <w:tr>
        <w:trPr>
          <w:trHeight w:val="216"/>
        </w:trPr>
        <w:tc>
          <w:tcPr>
            <w:tcW w:w="5580" w:type="dxa"/>
            <w:vAlign w:val="bottom"/>
          </w:tcPr>
          <w:p>
            <w:pPr>
              <w:spacing w:after="0"/>
              <w:rPr>
                <w:sz w:val="20"/>
                <w:szCs w:val="20"/>
                <w:color w:val="auto"/>
              </w:rPr>
            </w:pPr>
            <w:r>
              <w:rPr>
                <w:rFonts w:ascii="Arial" w:cs="Arial" w:eastAsia="Arial" w:hAnsi="Arial"/>
                <w:sz w:val="14"/>
                <w:szCs w:val="14"/>
                <w:color w:val="auto"/>
              </w:rPr>
              <w:t>Cost method investments—housing partnerships</w:t>
            </w:r>
          </w:p>
        </w:tc>
        <w:tc>
          <w:tcPr>
            <w:tcW w:w="260" w:type="dxa"/>
            <w:vAlign w:val="bottom"/>
          </w:tcPr>
          <w:p>
            <w:pPr>
              <w:spacing w:after="0"/>
              <w:rPr>
                <w:sz w:val="18"/>
                <w:szCs w:val="18"/>
                <w:color w:val="auto"/>
              </w:rPr>
            </w:pPr>
          </w:p>
        </w:tc>
        <w:tc>
          <w:tcPr>
            <w:tcW w:w="780" w:type="dxa"/>
            <w:vAlign w:val="bottom"/>
          </w:tcPr>
          <w:p>
            <w:pPr>
              <w:jc w:val="right"/>
              <w:ind w:right="149"/>
              <w:spacing w:after="0"/>
              <w:rPr>
                <w:sz w:val="20"/>
                <w:szCs w:val="20"/>
                <w:color w:val="auto"/>
              </w:rPr>
            </w:pPr>
            <w:r>
              <w:rPr>
                <w:rFonts w:ascii="Arial" w:cs="Arial" w:eastAsia="Arial" w:hAnsi="Arial"/>
                <w:sz w:val="14"/>
                <w:szCs w:val="14"/>
                <w:color w:val="auto"/>
              </w:rPr>
              <w:t>13</w:t>
            </w:r>
          </w:p>
        </w:tc>
        <w:tc>
          <w:tcPr>
            <w:tcW w:w="360" w:type="dxa"/>
            <w:vAlign w:val="bottom"/>
          </w:tcPr>
          <w:p>
            <w:pPr>
              <w:spacing w:after="0"/>
              <w:rPr>
                <w:sz w:val="18"/>
                <w:szCs w:val="18"/>
                <w:color w:val="auto"/>
              </w:rPr>
            </w:pPr>
          </w:p>
        </w:tc>
        <w:tc>
          <w:tcPr>
            <w:tcW w:w="740" w:type="dxa"/>
            <w:vAlign w:val="bottom"/>
          </w:tcPr>
          <w:p>
            <w:pPr>
              <w:jc w:val="right"/>
              <w:ind w:right="169"/>
              <w:spacing w:after="0"/>
              <w:rPr>
                <w:sz w:val="20"/>
                <w:szCs w:val="20"/>
                <w:color w:val="auto"/>
              </w:rPr>
            </w:pPr>
            <w:r>
              <w:rPr>
                <w:rFonts w:ascii="Arial" w:cs="Arial" w:eastAsia="Arial" w:hAnsi="Arial"/>
                <w:sz w:val="14"/>
                <w:szCs w:val="14"/>
                <w:color w:val="auto"/>
              </w:rPr>
              <w:t>15</w:t>
            </w:r>
          </w:p>
        </w:tc>
      </w:tr>
      <w:tr>
        <w:trPr>
          <w:trHeight w:val="219"/>
        </w:trPr>
        <w:tc>
          <w:tcPr>
            <w:tcW w:w="5580" w:type="dxa"/>
            <w:vAlign w:val="bottom"/>
          </w:tcPr>
          <w:p>
            <w:pPr>
              <w:spacing w:after="0"/>
              <w:rPr>
                <w:sz w:val="20"/>
                <w:szCs w:val="20"/>
                <w:color w:val="auto"/>
              </w:rPr>
            </w:pPr>
            <w:r>
              <w:rPr>
                <w:rFonts w:ascii="Arial" w:cs="Arial" w:eastAsia="Arial" w:hAnsi="Arial"/>
                <w:sz w:val="14"/>
                <w:szCs w:val="14"/>
                <w:color w:val="auto"/>
              </w:rPr>
              <w:t>Other**</w:t>
            </w:r>
          </w:p>
        </w:tc>
        <w:tc>
          <w:tcPr>
            <w:tcW w:w="2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149"/>
              <w:spacing w:after="0"/>
              <w:rPr>
                <w:sz w:val="20"/>
                <w:szCs w:val="20"/>
                <w:color w:val="auto"/>
              </w:rPr>
            </w:pPr>
            <w:r>
              <w:rPr>
                <w:rFonts w:ascii="Arial" w:cs="Arial" w:eastAsia="Arial" w:hAnsi="Arial"/>
                <w:sz w:val="14"/>
                <w:szCs w:val="14"/>
                <w:color w:val="auto"/>
              </w:rPr>
              <w:t>129</w:t>
            </w:r>
          </w:p>
        </w:tc>
        <w:tc>
          <w:tcPr>
            <w:tcW w:w="3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69"/>
              <w:spacing w:after="0"/>
              <w:rPr>
                <w:sz w:val="20"/>
                <w:szCs w:val="20"/>
                <w:color w:val="auto"/>
              </w:rPr>
            </w:pPr>
            <w:r>
              <w:rPr>
                <w:rFonts w:ascii="Arial" w:cs="Arial" w:eastAsia="Arial" w:hAnsi="Arial"/>
                <w:sz w:val="14"/>
                <w:szCs w:val="14"/>
                <w:color w:val="auto"/>
              </w:rPr>
              <w:t>229</w:t>
            </w:r>
          </w:p>
        </w:tc>
      </w:tr>
      <w:tr>
        <w:trPr>
          <w:trHeight w:val="227"/>
        </w:trPr>
        <w:tc>
          <w:tcPr>
            <w:tcW w:w="55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Total</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149"/>
              <w:spacing w:after="0"/>
              <w:rPr>
                <w:sz w:val="20"/>
                <w:szCs w:val="20"/>
                <w:color w:val="auto"/>
              </w:rPr>
            </w:pPr>
            <w:r>
              <w:rPr>
                <w:rFonts w:ascii="Arial" w:cs="Arial" w:eastAsia="Arial" w:hAnsi="Arial"/>
                <w:sz w:val="14"/>
                <w:szCs w:val="14"/>
                <w:color w:val="auto"/>
              </w:rPr>
              <w:t>1,166</w:t>
            </w:r>
          </w:p>
        </w:tc>
        <w:tc>
          <w:tcPr>
            <w:tcW w:w="3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ind w:right="169"/>
              <w:spacing w:after="0"/>
              <w:rPr>
                <w:sz w:val="20"/>
                <w:szCs w:val="20"/>
                <w:color w:val="auto"/>
              </w:rPr>
            </w:pPr>
            <w:r>
              <w:rPr>
                <w:rFonts w:ascii="Arial" w:cs="Arial" w:eastAsia="Arial" w:hAnsi="Arial"/>
                <w:sz w:val="14"/>
                <w:szCs w:val="14"/>
                <w:color w:val="auto"/>
              </w:rPr>
              <w:t>1,303</w:t>
            </w:r>
          </w:p>
        </w:tc>
      </w:tr>
    </w:tbl>
    <w:p>
      <w:pPr>
        <w:spacing w:after="0" w:line="16" w:lineRule="exact"/>
        <w:rPr>
          <w:sz w:val="20"/>
          <w:szCs w:val="20"/>
          <w:color w:val="auto"/>
        </w:rPr>
      </w:pPr>
    </w:p>
    <w:p>
      <w:pPr>
        <w:ind w:left="2200" w:hanging="336"/>
        <w:spacing w:after="0"/>
        <w:tabs>
          <w:tab w:leader="none" w:pos="2200" w:val="left"/>
        </w:tabs>
        <w:numPr>
          <w:ilvl w:val="0"/>
          <w:numId w:val="339"/>
        </w:numPr>
        <w:rPr>
          <w:rFonts w:ascii="Arial" w:cs="Arial" w:eastAsia="Arial" w:hAnsi="Arial"/>
          <w:sz w:val="13"/>
          <w:szCs w:val="13"/>
          <w:i w:val="1"/>
          <w:iCs w:val="1"/>
          <w:color w:val="auto"/>
        </w:rPr>
      </w:pPr>
      <w:r>
        <w:rPr>
          <w:rFonts w:ascii="Arial" w:cs="Arial" w:eastAsia="Arial" w:hAnsi="Arial"/>
          <w:sz w:val="13"/>
          <w:szCs w:val="13"/>
          <w:i w:val="1"/>
          <w:iCs w:val="1"/>
          <w:color w:val="auto"/>
        </w:rPr>
        <w:t>Includes $60 million in Other Current Assets on the Consolidated Balance Sheets at December 31, 2007.</w:t>
      </w:r>
    </w:p>
    <w:p>
      <w:pPr>
        <w:spacing w:after="0" w:line="43" w:lineRule="exact"/>
        <w:rPr>
          <w:sz w:val="20"/>
          <w:szCs w:val="20"/>
          <w:color w:val="auto"/>
        </w:rPr>
      </w:pPr>
    </w:p>
    <w:p>
      <w:pPr>
        <w:ind w:left="2200" w:right="1900" w:hanging="336"/>
        <w:spacing w:after="0" w:line="277" w:lineRule="auto"/>
        <w:tabs>
          <w:tab w:leader="none" w:pos="2200" w:val="left"/>
        </w:tabs>
        <w:numPr>
          <w:ilvl w:val="0"/>
          <w:numId w:val="340"/>
        </w:numPr>
        <w:rPr>
          <w:rFonts w:ascii="Arial" w:cs="Arial" w:eastAsia="Arial" w:hAnsi="Arial"/>
          <w:sz w:val="13"/>
          <w:szCs w:val="13"/>
          <w:i w:val="1"/>
          <w:iCs w:val="1"/>
          <w:color w:val="auto"/>
        </w:rPr>
      </w:pPr>
      <w:r>
        <w:rPr>
          <w:rFonts w:ascii="Arial" w:cs="Arial" w:eastAsia="Arial" w:hAnsi="Arial"/>
          <w:sz w:val="13"/>
          <w:szCs w:val="13"/>
          <w:i w:val="1"/>
          <w:iCs w:val="1"/>
          <w:color w:val="auto"/>
        </w:rPr>
        <w:t>Other includes Sempra Pipelines &amp; Storage’s $128 million investment in bonds (discussed in Note 6) and, at December 31, 2007, available-for-sale securities at Sempra Commodities.</w:t>
      </w: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Arial" w:cs="Arial" w:eastAsia="Arial" w:hAnsi="Arial"/>
          <w:sz w:val="14"/>
          <w:szCs w:val="14"/>
          <w:color w:val="auto"/>
        </w:rPr>
        <w:t>118</w:t>
      </w:r>
    </w:p>
    <w:p>
      <w:pPr>
        <w:sectPr>
          <w:pgSz w:w="11900" w:h="16838" w:orient="portrait"/>
          <w:cols w:equalWidth="0" w:num="1">
            <w:col w:w="11420"/>
          </w:cols>
          <w:pgMar w:left="240" w:top="737" w:right="239" w:bottom="1440" w:gutter="0" w:footer="0" w:header="0"/>
        </w:sectPr>
      </w:pPr>
    </w:p>
    <w:bookmarkStart w:id="258" w:name="page259"/>
    <w:bookmarkEnd w:id="258"/>
    <w:p>
      <w:pPr>
        <w:ind w:left="1804"/>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1294130</wp:posOffset>
            </wp:positionH>
            <wp:positionV relativeFrom="page">
              <wp:posOffset>226695</wp:posOffset>
            </wp:positionV>
            <wp:extent cx="4980940" cy="26670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4980940" cy="266700"/>
                    </a:xfrm>
                    <a:prstGeom prst="rect">
                      <a:avLst/>
                    </a:prstGeom>
                    <a:noFill/>
                  </pic:spPr>
                </pic:pic>
              </a:graphicData>
            </a:graphic>
          </wp:anchor>
        </w:drawing>
        <w:t>EQUITY METHOD INVESTMENTS ON THE STATEMENTS OF CONSOLIDATED INCOME</w:t>
      </w:r>
    </w:p>
    <w:p>
      <w:pPr>
        <w:spacing w:after="0" w:line="76" w:lineRule="exact"/>
        <w:rPr>
          <w:sz w:val="20"/>
          <w:szCs w:val="20"/>
          <w:color w:val="auto"/>
        </w:rPr>
      </w:pPr>
    </w:p>
    <w:tbl>
      <w:tblPr>
        <w:tblLayout w:type="fixed"/>
        <w:tblInd w:w="1804" w:type="dxa"/>
        <w:tblCellMar>
          <w:top w:w="0" w:type="dxa"/>
          <w:left w:w="0" w:type="dxa"/>
          <w:bottom w:w="0" w:type="dxa"/>
          <w:right w:w="0" w:type="dxa"/>
        </w:tblCellMar>
      </w:tblPr>
      <w:tr>
        <w:trPr>
          <w:trHeight w:val="166"/>
        </w:trPr>
        <w:tc>
          <w:tcPr>
            <w:tcW w:w="3760" w:type="dxa"/>
            <w:vAlign w:val="bottom"/>
          </w:tcPr>
          <w:p>
            <w:pPr>
              <w:spacing w:after="0"/>
              <w:rPr>
                <w:sz w:val="20"/>
                <w:szCs w:val="20"/>
                <w:color w:val="auto"/>
              </w:rPr>
            </w:pPr>
            <w:r>
              <w:rPr>
                <w:rFonts w:ascii="Arial" w:cs="Arial" w:eastAsia="Arial" w:hAnsi="Arial"/>
                <w:sz w:val="13"/>
                <w:szCs w:val="13"/>
                <w:i w:val="1"/>
                <w:iCs w:val="1"/>
                <w:color w:val="auto"/>
              </w:rPr>
              <w:t>(Dollars in millions)</w:t>
            </w:r>
          </w:p>
        </w:tc>
        <w:tc>
          <w:tcPr>
            <w:tcW w:w="4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209"/>
        </w:trPr>
        <w:tc>
          <w:tcPr>
            <w:tcW w:w="376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color w:val="auto"/>
              </w:rPr>
              <w:t>Years ended December 31,</w:t>
            </w: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r>
      <w:tr>
        <w:trPr>
          <w:trHeight w:val="208"/>
        </w:trPr>
        <w:tc>
          <w:tcPr>
            <w:tcW w:w="376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308"/>
              <w:spacing w:after="0"/>
              <w:rPr>
                <w:sz w:val="20"/>
                <w:szCs w:val="20"/>
                <w:color w:val="auto"/>
              </w:rPr>
            </w:pPr>
            <w:r>
              <w:rPr>
                <w:rFonts w:ascii="Arial" w:cs="Arial" w:eastAsia="Arial" w:hAnsi="Arial"/>
                <w:sz w:val="13"/>
                <w:szCs w:val="13"/>
                <w:color w:val="auto"/>
              </w:rPr>
              <w:t>2008</w:t>
            </w:r>
          </w:p>
        </w:tc>
        <w:tc>
          <w:tcPr>
            <w:tcW w:w="5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628"/>
              <w:spacing w:after="0"/>
              <w:rPr>
                <w:sz w:val="20"/>
                <w:szCs w:val="20"/>
                <w:color w:val="auto"/>
              </w:rPr>
            </w:pPr>
            <w:r>
              <w:rPr>
                <w:rFonts w:ascii="Arial" w:cs="Arial" w:eastAsia="Arial" w:hAnsi="Arial"/>
                <w:sz w:val="13"/>
                <w:szCs w:val="13"/>
                <w:color w:val="auto"/>
              </w:rPr>
              <w:t>2007</w:t>
            </w: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468"/>
              <w:spacing w:after="0"/>
              <w:rPr>
                <w:sz w:val="20"/>
                <w:szCs w:val="20"/>
                <w:color w:val="auto"/>
              </w:rPr>
            </w:pPr>
            <w:r>
              <w:rPr>
                <w:rFonts w:ascii="Arial" w:cs="Arial" w:eastAsia="Arial" w:hAnsi="Arial"/>
                <w:sz w:val="13"/>
                <w:szCs w:val="13"/>
                <w:color w:val="auto"/>
              </w:rPr>
              <w:t>2006</w:t>
            </w:r>
          </w:p>
        </w:tc>
      </w:tr>
      <w:tr>
        <w:trPr>
          <w:trHeight w:val="207"/>
        </w:trPr>
        <w:tc>
          <w:tcPr>
            <w:tcW w:w="3760" w:type="dxa"/>
            <w:vAlign w:val="bottom"/>
          </w:tcPr>
          <w:p>
            <w:pPr>
              <w:spacing w:after="0"/>
              <w:rPr>
                <w:sz w:val="20"/>
                <w:szCs w:val="20"/>
                <w:color w:val="auto"/>
              </w:rPr>
            </w:pPr>
            <w:r>
              <w:rPr>
                <w:rFonts w:ascii="Arial" w:cs="Arial" w:eastAsia="Arial" w:hAnsi="Arial"/>
                <w:sz w:val="14"/>
                <w:szCs w:val="14"/>
                <w:b w:val="1"/>
                <w:bCs w:val="1"/>
                <w:color w:val="auto"/>
              </w:rPr>
              <w:t>Earnings (losses) recorded before tax:</w:t>
            </w:r>
          </w:p>
        </w:tc>
        <w:tc>
          <w:tcPr>
            <w:tcW w:w="4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38"/>
        </w:trPr>
        <w:tc>
          <w:tcPr>
            <w:tcW w:w="3760" w:type="dxa"/>
            <w:vAlign w:val="bottom"/>
          </w:tcPr>
          <w:p>
            <w:pPr>
              <w:ind w:left="180"/>
              <w:spacing w:after="0"/>
              <w:rPr>
                <w:sz w:val="20"/>
                <w:szCs w:val="20"/>
                <w:color w:val="auto"/>
              </w:rPr>
            </w:pPr>
            <w:r>
              <w:rPr>
                <w:rFonts w:ascii="Arial" w:cs="Arial" w:eastAsia="Arial" w:hAnsi="Arial"/>
                <w:sz w:val="14"/>
                <w:szCs w:val="14"/>
                <w:color w:val="auto"/>
              </w:rPr>
              <w:t>RBS Sempra Commodities LLP</w:t>
            </w:r>
          </w:p>
        </w:tc>
        <w:tc>
          <w:tcPr>
            <w:tcW w:w="4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383</w:t>
            </w:r>
          </w:p>
        </w:tc>
        <w:tc>
          <w:tcPr>
            <w:tcW w:w="58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w:t>
            </w:r>
          </w:p>
        </w:tc>
      </w:tr>
      <w:tr>
        <w:trPr>
          <w:trHeight w:val="426"/>
        </w:trPr>
        <w:tc>
          <w:tcPr>
            <w:tcW w:w="3760" w:type="dxa"/>
            <w:vAlign w:val="bottom"/>
          </w:tcPr>
          <w:p>
            <w:pPr>
              <w:ind w:left="180"/>
              <w:spacing w:after="0"/>
              <w:rPr>
                <w:sz w:val="20"/>
                <w:szCs w:val="20"/>
                <w:color w:val="auto"/>
              </w:rPr>
            </w:pPr>
            <w:r>
              <w:rPr>
                <w:rFonts w:ascii="Arial" w:cs="Arial" w:eastAsia="Arial" w:hAnsi="Arial"/>
                <w:sz w:val="14"/>
                <w:szCs w:val="14"/>
                <w:color w:val="auto"/>
              </w:rPr>
              <w:t>Elk Hills Power</w:t>
            </w:r>
          </w:p>
        </w:tc>
        <w:tc>
          <w:tcPr>
            <w:tcW w:w="4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88"/>
              <w:spacing w:after="0"/>
              <w:rPr>
                <w:sz w:val="20"/>
                <w:szCs w:val="20"/>
                <w:color w:val="auto"/>
              </w:rPr>
            </w:pPr>
            <w:r>
              <w:rPr>
                <w:rFonts w:ascii="Arial" w:cs="Arial" w:eastAsia="Arial" w:hAnsi="Arial"/>
                <w:sz w:val="14"/>
                <w:szCs w:val="14"/>
                <w:color w:val="auto"/>
              </w:rPr>
              <w:t>8</w:t>
            </w:r>
          </w:p>
        </w:tc>
        <w:tc>
          <w:tcPr>
            <w:tcW w:w="58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408"/>
              <w:spacing w:after="0"/>
              <w:rPr>
                <w:sz w:val="20"/>
                <w:szCs w:val="20"/>
                <w:color w:val="auto"/>
              </w:rPr>
            </w:pPr>
            <w:r>
              <w:rPr>
                <w:rFonts w:ascii="Arial" w:cs="Arial" w:eastAsia="Arial" w:hAnsi="Arial"/>
                <w:sz w:val="14"/>
                <w:szCs w:val="14"/>
                <w:color w:val="auto"/>
              </w:rPr>
              <w:t>9</w:t>
            </w:r>
          </w:p>
        </w:tc>
        <w:tc>
          <w:tcPr>
            <w:tcW w:w="2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248"/>
              <w:spacing w:after="0"/>
              <w:rPr>
                <w:sz w:val="20"/>
                <w:szCs w:val="20"/>
                <w:color w:val="auto"/>
              </w:rPr>
            </w:pPr>
            <w:r>
              <w:rPr>
                <w:rFonts w:ascii="Arial" w:cs="Arial" w:eastAsia="Arial" w:hAnsi="Arial"/>
                <w:sz w:val="14"/>
                <w:szCs w:val="14"/>
                <w:color w:val="auto"/>
              </w:rPr>
              <w:t>1</w:t>
            </w:r>
          </w:p>
        </w:tc>
      </w:tr>
      <w:tr>
        <w:trPr>
          <w:trHeight w:val="216"/>
        </w:trPr>
        <w:tc>
          <w:tcPr>
            <w:tcW w:w="3760" w:type="dxa"/>
            <w:vAlign w:val="bottom"/>
          </w:tcPr>
          <w:p>
            <w:pPr>
              <w:ind w:left="180"/>
              <w:spacing w:after="0"/>
              <w:rPr>
                <w:sz w:val="20"/>
                <w:szCs w:val="20"/>
                <w:color w:val="auto"/>
              </w:rPr>
            </w:pPr>
            <w:r>
              <w:rPr>
                <w:rFonts w:ascii="Arial" w:cs="Arial" w:eastAsia="Arial" w:hAnsi="Arial"/>
                <w:sz w:val="14"/>
                <w:szCs w:val="14"/>
                <w:color w:val="auto"/>
              </w:rPr>
              <w:t>Topaz Power Partners:</w:t>
            </w:r>
          </w:p>
        </w:tc>
        <w:tc>
          <w:tcPr>
            <w:tcW w:w="4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6"/>
        </w:trPr>
        <w:tc>
          <w:tcPr>
            <w:tcW w:w="3760" w:type="dxa"/>
            <w:vAlign w:val="bottom"/>
          </w:tcPr>
          <w:p>
            <w:pPr>
              <w:ind w:left="340"/>
              <w:spacing w:after="0"/>
              <w:rPr>
                <w:sz w:val="20"/>
                <w:szCs w:val="20"/>
                <w:color w:val="auto"/>
              </w:rPr>
            </w:pPr>
            <w:r>
              <w:rPr>
                <w:rFonts w:ascii="Arial" w:cs="Arial" w:eastAsia="Arial" w:hAnsi="Arial"/>
                <w:sz w:val="14"/>
                <w:szCs w:val="14"/>
                <w:color w:val="auto"/>
              </w:rPr>
              <w:t>Earnings from operations</w:t>
            </w:r>
          </w:p>
        </w:tc>
        <w:tc>
          <w:tcPr>
            <w:tcW w:w="420" w:type="dxa"/>
            <w:vAlign w:val="bottom"/>
          </w:tcPr>
          <w:p>
            <w:pPr>
              <w:spacing w:after="0"/>
              <w:rPr>
                <w:sz w:val="18"/>
                <w:szCs w:val="18"/>
                <w:color w:val="auto"/>
              </w:rPr>
            </w:pPr>
          </w:p>
        </w:tc>
        <w:tc>
          <w:tcPr>
            <w:tcW w:w="78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580" w:type="dxa"/>
            <w:vAlign w:val="bottom"/>
          </w:tcPr>
          <w:p>
            <w:pPr>
              <w:spacing w:after="0"/>
              <w:rPr>
                <w:sz w:val="18"/>
                <w:szCs w:val="18"/>
                <w:color w:val="auto"/>
              </w:rPr>
            </w:pPr>
          </w:p>
        </w:tc>
        <w:tc>
          <w:tcPr>
            <w:tcW w:w="1100" w:type="dxa"/>
            <w:vAlign w:val="bottom"/>
          </w:tcPr>
          <w:p>
            <w:pPr>
              <w:jc w:val="right"/>
              <w:ind w:right="40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8"/>
                <w:szCs w:val="18"/>
                <w:color w:val="auto"/>
              </w:rPr>
            </w:pPr>
          </w:p>
        </w:tc>
        <w:tc>
          <w:tcPr>
            <w:tcW w:w="940" w:type="dxa"/>
            <w:vAlign w:val="bottom"/>
          </w:tcPr>
          <w:p>
            <w:pPr>
              <w:jc w:val="right"/>
              <w:ind w:right="248"/>
              <w:spacing w:after="0"/>
              <w:rPr>
                <w:sz w:val="20"/>
                <w:szCs w:val="20"/>
                <w:color w:val="auto"/>
              </w:rPr>
            </w:pPr>
            <w:r>
              <w:rPr>
                <w:rFonts w:ascii="Arial" w:cs="Arial" w:eastAsia="Arial" w:hAnsi="Arial"/>
                <w:sz w:val="14"/>
                <w:szCs w:val="14"/>
                <w:color w:val="auto"/>
              </w:rPr>
              <w:t>9</w:t>
            </w:r>
          </w:p>
        </w:tc>
      </w:tr>
      <w:tr>
        <w:trPr>
          <w:trHeight w:val="216"/>
        </w:trPr>
        <w:tc>
          <w:tcPr>
            <w:tcW w:w="3760" w:type="dxa"/>
            <w:vAlign w:val="bottom"/>
          </w:tcPr>
          <w:p>
            <w:pPr>
              <w:ind w:left="340"/>
              <w:spacing w:after="0"/>
              <w:rPr>
                <w:sz w:val="20"/>
                <w:szCs w:val="20"/>
                <w:color w:val="auto"/>
              </w:rPr>
            </w:pPr>
            <w:r>
              <w:rPr>
                <w:rFonts w:ascii="Arial" w:cs="Arial" w:eastAsia="Arial" w:hAnsi="Arial"/>
                <w:sz w:val="14"/>
                <w:szCs w:val="14"/>
                <w:color w:val="auto"/>
              </w:rPr>
              <w:t>Gain on sale of power plants</w:t>
            </w:r>
          </w:p>
        </w:tc>
        <w:tc>
          <w:tcPr>
            <w:tcW w:w="420" w:type="dxa"/>
            <w:vAlign w:val="bottom"/>
          </w:tcPr>
          <w:p>
            <w:pPr>
              <w:spacing w:after="0"/>
              <w:rPr>
                <w:sz w:val="18"/>
                <w:szCs w:val="18"/>
                <w:color w:val="auto"/>
              </w:rPr>
            </w:pPr>
          </w:p>
        </w:tc>
        <w:tc>
          <w:tcPr>
            <w:tcW w:w="78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580" w:type="dxa"/>
            <w:vAlign w:val="bottom"/>
          </w:tcPr>
          <w:p>
            <w:pPr>
              <w:spacing w:after="0"/>
              <w:rPr>
                <w:sz w:val="18"/>
                <w:szCs w:val="18"/>
                <w:color w:val="auto"/>
              </w:rPr>
            </w:pPr>
          </w:p>
        </w:tc>
        <w:tc>
          <w:tcPr>
            <w:tcW w:w="1100" w:type="dxa"/>
            <w:vAlign w:val="bottom"/>
          </w:tcPr>
          <w:p>
            <w:pPr>
              <w:jc w:val="right"/>
              <w:ind w:right="40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8"/>
                <w:szCs w:val="18"/>
                <w:color w:val="auto"/>
              </w:rPr>
            </w:pPr>
          </w:p>
        </w:tc>
        <w:tc>
          <w:tcPr>
            <w:tcW w:w="940" w:type="dxa"/>
            <w:vAlign w:val="bottom"/>
          </w:tcPr>
          <w:p>
            <w:pPr>
              <w:jc w:val="right"/>
              <w:ind w:right="248"/>
              <w:spacing w:after="0"/>
              <w:rPr>
                <w:sz w:val="20"/>
                <w:szCs w:val="20"/>
                <w:color w:val="auto"/>
              </w:rPr>
            </w:pPr>
            <w:r>
              <w:rPr>
                <w:rFonts w:ascii="Arial" w:cs="Arial" w:eastAsia="Arial" w:hAnsi="Arial"/>
                <w:sz w:val="14"/>
                <w:szCs w:val="14"/>
                <w:color w:val="auto"/>
              </w:rPr>
              <w:t>344</w:t>
            </w:r>
          </w:p>
        </w:tc>
      </w:tr>
      <w:tr>
        <w:trPr>
          <w:trHeight w:val="216"/>
        </w:trPr>
        <w:tc>
          <w:tcPr>
            <w:tcW w:w="3760" w:type="dxa"/>
            <w:vAlign w:val="bottom"/>
          </w:tcPr>
          <w:p>
            <w:pPr>
              <w:ind w:left="180"/>
              <w:spacing w:after="0"/>
              <w:rPr>
                <w:sz w:val="20"/>
                <w:szCs w:val="20"/>
                <w:color w:val="auto"/>
              </w:rPr>
            </w:pPr>
            <w:r>
              <w:rPr>
                <w:rFonts w:ascii="Arial" w:cs="Arial" w:eastAsia="Arial" w:hAnsi="Arial"/>
                <w:sz w:val="14"/>
                <w:szCs w:val="14"/>
                <w:color w:val="auto"/>
              </w:rPr>
              <w:t>Housing partnerships</w:t>
            </w:r>
          </w:p>
        </w:tc>
        <w:tc>
          <w:tcPr>
            <w:tcW w:w="420" w:type="dxa"/>
            <w:vAlign w:val="bottom"/>
          </w:tcPr>
          <w:p>
            <w:pPr>
              <w:spacing w:after="0"/>
              <w:rPr>
                <w:sz w:val="18"/>
                <w:szCs w:val="18"/>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(14 )</w:t>
            </w:r>
          </w:p>
        </w:tc>
        <w:tc>
          <w:tcPr>
            <w:tcW w:w="580" w:type="dxa"/>
            <w:vAlign w:val="bottom"/>
          </w:tcPr>
          <w:p>
            <w:pPr>
              <w:spacing w:after="0"/>
              <w:rPr>
                <w:sz w:val="18"/>
                <w:szCs w:val="18"/>
                <w:color w:val="auto"/>
              </w:rPr>
            </w:pPr>
          </w:p>
        </w:tc>
        <w:tc>
          <w:tcPr>
            <w:tcW w:w="1100" w:type="dxa"/>
            <w:vAlign w:val="bottom"/>
          </w:tcPr>
          <w:p>
            <w:pPr>
              <w:jc w:val="right"/>
              <w:ind w:right="328"/>
              <w:spacing w:after="0"/>
              <w:rPr>
                <w:sz w:val="20"/>
                <w:szCs w:val="20"/>
                <w:color w:val="auto"/>
              </w:rPr>
            </w:pPr>
            <w:r>
              <w:rPr>
                <w:rFonts w:ascii="Arial" w:cs="Arial" w:eastAsia="Arial" w:hAnsi="Arial"/>
                <w:sz w:val="14"/>
                <w:szCs w:val="14"/>
                <w:color w:val="auto"/>
              </w:rPr>
              <w:t>(14 )</w:t>
            </w:r>
          </w:p>
        </w:tc>
        <w:tc>
          <w:tcPr>
            <w:tcW w:w="260" w:type="dxa"/>
            <w:vAlign w:val="bottom"/>
          </w:tcPr>
          <w:p>
            <w:pPr>
              <w:spacing w:after="0"/>
              <w:rPr>
                <w:sz w:val="18"/>
                <w:szCs w:val="18"/>
                <w:color w:val="auto"/>
              </w:rPr>
            </w:pPr>
          </w:p>
        </w:tc>
        <w:tc>
          <w:tcPr>
            <w:tcW w:w="940" w:type="dxa"/>
            <w:vAlign w:val="bottom"/>
          </w:tcPr>
          <w:p>
            <w:pPr>
              <w:jc w:val="right"/>
              <w:ind w:right="168"/>
              <w:spacing w:after="0"/>
              <w:rPr>
                <w:sz w:val="20"/>
                <w:szCs w:val="20"/>
                <w:color w:val="auto"/>
              </w:rPr>
            </w:pPr>
            <w:r>
              <w:rPr>
                <w:rFonts w:ascii="Arial" w:cs="Arial" w:eastAsia="Arial" w:hAnsi="Arial"/>
                <w:sz w:val="14"/>
                <w:szCs w:val="14"/>
                <w:color w:val="auto"/>
              </w:rPr>
              <w:t>(17 )</w:t>
            </w:r>
          </w:p>
        </w:tc>
      </w:tr>
      <w:tr>
        <w:trPr>
          <w:trHeight w:val="222"/>
        </w:trPr>
        <w:tc>
          <w:tcPr>
            <w:tcW w:w="3760" w:type="dxa"/>
            <w:vAlign w:val="bottom"/>
          </w:tcPr>
          <w:p>
            <w:pPr>
              <w:ind w:left="180"/>
              <w:spacing w:after="0"/>
              <w:rPr>
                <w:sz w:val="20"/>
                <w:szCs w:val="20"/>
                <w:color w:val="auto"/>
              </w:rPr>
            </w:pPr>
            <w:r>
              <w:rPr>
                <w:rFonts w:ascii="Arial" w:cs="Arial" w:eastAsia="Arial" w:hAnsi="Arial"/>
                <w:sz w:val="14"/>
                <w:szCs w:val="14"/>
                <w:color w:val="auto"/>
              </w:rPr>
              <w:t>Rockies Express</w:t>
            </w:r>
          </w:p>
        </w:tc>
        <w:tc>
          <w:tcPr>
            <w:tcW w:w="4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43</w:t>
            </w:r>
          </w:p>
        </w:tc>
        <w:tc>
          <w:tcPr>
            <w:tcW w:w="5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rPr>
              <w:t>(4 )</w:t>
            </w: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1</w:t>
            </w:r>
          </w:p>
        </w:tc>
      </w:tr>
      <w:tr>
        <w:trPr>
          <w:trHeight w:val="224"/>
        </w:trPr>
        <w:tc>
          <w:tcPr>
            <w:tcW w:w="3760" w:type="dxa"/>
            <w:vAlign w:val="bottom"/>
          </w:tcPr>
          <w:p>
            <w:pPr>
              <w:spacing w:after="0"/>
              <w:rPr>
                <w:sz w:val="19"/>
                <w:szCs w:val="19"/>
                <w:color w:val="auto"/>
              </w:rPr>
            </w:pPr>
          </w:p>
        </w:tc>
        <w:tc>
          <w:tcPr>
            <w:tcW w:w="4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37</w:t>
            </w:r>
          </w:p>
        </w:tc>
        <w:tc>
          <w:tcPr>
            <w:tcW w:w="58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rPr>
              <w:t>(9 )</w:t>
            </w:r>
          </w:p>
        </w:tc>
        <w:tc>
          <w:tcPr>
            <w:tcW w:w="2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338</w:t>
            </w:r>
          </w:p>
        </w:tc>
      </w:tr>
      <w:tr>
        <w:trPr>
          <w:trHeight w:val="210"/>
        </w:trPr>
        <w:tc>
          <w:tcPr>
            <w:tcW w:w="3760" w:type="dxa"/>
            <w:vAlign w:val="bottom"/>
          </w:tcPr>
          <w:p>
            <w:pPr>
              <w:spacing w:after="0"/>
              <w:rPr>
                <w:sz w:val="20"/>
                <w:szCs w:val="20"/>
                <w:color w:val="auto"/>
              </w:rPr>
            </w:pPr>
            <w:r>
              <w:rPr>
                <w:rFonts w:ascii="Arial" w:cs="Arial" w:eastAsia="Arial" w:hAnsi="Arial"/>
                <w:sz w:val="14"/>
                <w:szCs w:val="14"/>
                <w:b w:val="1"/>
                <w:bCs w:val="1"/>
                <w:color w:val="auto"/>
              </w:rPr>
              <w:t>Earnings (losses) recorded net of tax:</w:t>
            </w:r>
          </w:p>
        </w:tc>
        <w:tc>
          <w:tcPr>
            <w:tcW w:w="4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6"/>
        </w:trPr>
        <w:tc>
          <w:tcPr>
            <w:tcW w:w="3760" w:type="dxa"/>
            <w:vAlign w:val="bottom"/>
          </w:tcPr>
          <w:p>
            <w:pPr>
              <w:ind w:left="180"/>
              <w:spacing w:after="0"/>
              <w:rPr>
                <w:sz w:val="20"/>
                <w:szCs w:val="20"/>
                <w:color w:val="auto"/>
              </w:rPr>
            </w:pPr>
            <w:r>
              <w:rPr>
                <w:rFonts w:ascii="Arial" w:cs="Arial" w:eastAsia="Arial" w:hAnsi="Arial"/>
                <w:sz w:val="14"/>
                <w:szCs w:val="14"/>
                <w:color w:val="auto"/>
              </w:rPr>
              <w:t>Chilquinta Energía</w:t>
            </w:r>
          </w:p>
        </w:tc>
        <w:tc>
          <w:tcPr>
            <w:tcW w:w="4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88"/>
              <w:spacing w:after="0"/>
              <w:rPr>
                <w:sz w:val="20"/>
                <w:szCs w:val="20"/>
                <w:color w:val="auto"/>
              </w:rPr>
            </w:pPr>
            <w:r>
              <w:rPr>
                <w:rFonts w:ascii="Arial" w:cs="Arial" w:eastAsia="Arial" w:hAnsi="Arial"/>
                <w:sz w:val="14"/>
                <w:szCs w:val="14"/>
                <w:color w:val="auto"/>
              </w:rPr>
              <w:t>28</w:t>
            </w:r>
          </w:p>
        </w:tc>
        <w:tc>
          <w:tcPr>
            <w:tcW w:w="58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408"/>
              <w:spacing w:after="0"/>
              <w:rPr>
                <w:sz w:val="20"/>
                <w:szCs w:val="20"/>
                <w:color w:val="auto"/>
              </w:rPr>
            </w:pPr>
            <w:r>
              <w:rPr>
                <w:rFonts w:ascii="Arial" w:cs="Arial" w:eastAsia="Arial" w:hAnsi="Arial"/>
                <w:sz w:val="14"/>
                <w:szCs w:val="14"/>
                <w:color w:val="auto"/>
              </w:rPr>
              <w:t>28</w:t>
            </w:r>
          </w:p>
        </w:tc>
        <w:tc>
          <w:tcPr>
            <w:tcW w:w="2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248"/>
              <w:spacing w:after="0"/>
              <w:rPr>
                <w:sz w:val="20"/>
                <w:szCs w:val="20"/>
                <w:color w:val="auto"/>
              </w:rPr>
            </w:pPr>
            <w:r>
              <w:rPr>
                <w:rFonts w:ascii="Arial" w:cs="Arial" w:eastAsia="Arial" w:hAnsi="Arial"/>
                <w:sz w:val="14"/>
                <w:szCs w:val="14"/>
                <w:color w:val="auto"/>
              </w:rPr>
              <w:t>25</w:t>
            </w:r>
          </w:p>
        </w:tc>
      </w:tr>
      <w:tr>
        <w:trPr>
          <w:trHeight w:val="216"/>
        </w:trPr>
        <w:tc>
          <w:tcPr>
            <w:tcW w:w="3760" w:type="dxa"/>
            <w:vAlign w:val="bottom"/>
          </w:tcPr>
          <w:p>
            <w:pPr>
              <w:ind w:left="180"/>
              <w:spacing w:after="0"/>
              <w:rPr>
                <w:sz w:val="20"/>
                <w:szCs w:val="20"/>
                <w:color w:val="auto"/>
              </w:rPr>
            </w:pPr>
            <w:r>
              <w:rPr>
                <w:rFonts w:ascii="Arial" w:cs="Arial" w:eastAsia="Arial" w:hAnsi="Arial"/>
                <w:sz w:val="14"/>
                <w:szCs w:val="14"/>
                <w:color w:val="auto"/>
              </w:rPr>
              <w:t>Luz del Sur</w:t>
            </w:r>
          </w:p>
        </w:tc>
        <w:tc>
          <w:tcPr>
            <w:tcW w:w="420" w:type="dxa"/>
            <w:vAlign w:val="bottom"/>
          </w:tcPr>
          <w:p>
            <w:pPr>
              <w:spacing w:after="0"/>
              <w:rPr>
                <w:sz w:val="18"/>
                <w:szCs w:val="18"/>
                <w:color w:val="auto"/>
              </w:rPr>
            </w:pPr>
          </w:p>
        </w:tc>
        <w:tc>
          <w:tcPr>
            <w:tcW w:w="780" w:type="dxa"/>
            <w:vAlign w:val="bottom"/>
          </w:tcPr>
          <w:p>
            <w:pPr>
              <w:jc w:val="right"/>
              <w:ind w:right="88"/>
              <w:spacing w:after="0"/>
              <w:rPr>
                <w:sz w:val="20"/>
                <w:szCs w:val="20"/>
                <w:color w:val="auto"/>
              </w:rPr>
            </w:pPr>
            <w:r>
              <w:rPr>
                <w:rFonts w:ascii="Arial" w:cs="Arial" w:eastAsia="Arial" w:hAnsi="Arial"/>
                <w:sz w:val="14"/>
                <w:szCs w:val="14"/>
                <w:color w:val="auto"/>
              </w:rPr>
              <w:t>31</w:t>
            </w:r>
          </w:p>
        </w:tc>
        <w:tc>
          <w:tcPr>
            <w:tcW w:w="580" w:type="dxa"/>
            <w:vAlign w:val="bottom"/>
          </w:tcPr>
          <w:p>
            <w:pPr>
              <w:spacing w:after="0"/>
              <w:rPr>
                <w:sz w:val="18"/>
                <w:szCs w:val="18"/>
                <w:color w:val="auto"/>
              </w:rPr>
            </w:pPr>
          </w:p>
        </w:tc>
        <w:tc>
          <w:tcPr>
            <w:tcW w:w="1100" w:type="dxa"/>
            <w:vAlign w:val="bottom"/>
          </w:tcPr>
          <w:p>
            <w:pPr>
              <w:jc w:val="right"/>
              <w:ind w:right="408"/>
              <w:spacing w:after="0"/>
              <w:rPr>
                <w:sz w:val="20"/>
                <w:szCs w:val="20"/>
                <w:color w:val="auto"/>
              </w:rPr>
            </w:pPr>
            <w:r>
              <w:rPr>
                <w:rFonts w:ascii="Arial" w:cs="Arial" w:eastAsia="Arial" w:hAnsi="Arial"/>
                <w:sz w:val="14"/>
                <w:szCs w:val="14"/>
                <w:color w:val="auto"/>
              </w:rPr>
              <w:t>27</w:t>
            </w:r>
          </w:p>
        </w:tc>
        <w:tc>
          <w:tcPr>
            <w:tcW w:w="260" w:type="dxa"/>
            <w:vAlign w:val="bottom"/>
          </w:tcPr>
          <w:p>
            <w:pPr>
              <w:spacing w:after="0"/>
              <w:rPr>
                <w:sz w:val="18"/>
                <w:szCs w:val="18"/>
                <w:color w:val="auto"/>
              </w:rPr>
            </w:pPr>
          </w:p>
        </w:tc>
        <w:tc>
          <w:tcPr>
            <w:tcW w:w="940" w:type="dxa"/>
            <w:vAlign w:val="bottom"/>
          </w:tcPr>
          <w:p>
            <w:pPr>
              <w:jc w:val="right"/>
              <w:ind w:right="248"/>
              <w:spacing w:after="0"/>
              <w:rPr>
                <w:sz w:val="20"/>
                <w:szCs w:val="20"/>
                <w:color w:val="auto"/>
              </w:rPr>
            </w:pPr>
            <w:r>
              <w:rPr>
                <w:rFonts w:ascii="Arial" w:cs="Arial" w:eastAsia="Arial" w:hAnsi="Arial"/>
                <w:sz w:val="14"/>
                <w:szCs w:val="14"/>
                <w:color w:val="auto"/>
              </w:rPr>
              <w:t>24</w:t>
            </w:r>
          </w:p>
        </w:tc>
      </w:tr>
      <w:tr>
        <w:trPr>
          <w:trHeight w:val="216"/>
        </w:trPr>
        <w:tc>
          <w:tcPr>
            <w:tcW w:w="3760" w:type="dxa"/>
            <w:vAlign w:val="bottom"/>
          </w:tcPr>
          <w:p>
            <w:pPr>
              <w:ind w:left="180"/>
              <w:spacing w:after="0"/>
              <w:rPr>
                <w:sz w:val="20"/>
                <w:szCs w:val="20"/>
                <w:color w:val="auto"/>
              </w:rPr>
            </w:pPr>
            <w:r>
              <w:rPr>
                <w:rFonts w:ascii="Arial" w:cs="Arial" w:eastAsia="Arial" w:hAnsi="Arial"/>
                <w:sz w:val="14"/>
                <w:szCs w:val="14"/>
                <w:color w:val="auto"/>
              </w:rPr>
              <w:t>Sodigas Pampeana and Sodigas Sur:</w:t>
            </w:r>
          </w:p>
        </w:tc>
        <w:tc>
          <w:tcPr>
            <w:tcW w:w="4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6"/>
        </w:trPr>
        <w:tc>
          <w:tcPr>
            <w:tcW w:w="3760" w:type="dxa"/>
            <w:vAlign w:val="bottom"/>
          </w:tcPr>
          <w:p>
            <w:pPr>
              <w:ind w:left="340"/>
              <w:spacing w:after="0"/>
              <w:rPr>
                <w:sz w:val="20"/>
                <w:szCs w:val="20"/>
                <w:color w:val="auto"/>
              </w:rPr>
            </w:pPr>
            <w:r>
              <w:rPr>
                <w:rFonts w:ascii="Arial" w:cs="Arial" w:eastAsia="Arial" w:hAnsi="Arial"/>
                <w:sz w:val="14"/>
                <w:szCs w:val="14"/>
                <w:color w:val="auto"/>
              </w:rPr>
              <w:t>Earnings from operations</w:t>
            </w:r>
          </w:p>
        </w:tc>
        <w:tc>
          <w:tcPr>
            <w:tcW w:w="420" w:type="dxa"/>
            <w:vAlign w:val="bottom"/>
          </w:tcPr>
          <w:p>
            <w:pPr>
              <w:spacing w:after="0"/>
              <w:rPr>
                <w:sz w:val="18"/>
                <w:szCs w:val="18"/>
                <w:color w:val="auto"/>
              </w:rPr>
            </w:pPr>
          </w:p>
        </w:tc>
        <w:tc>
          <w:tcPr>
            <w:tcW w:w="780" w:type="dxa"/>
            <w:vAlign w:val="bottom"/>
          </w:tcPr>
          <w:p>
            <w:pPr>
              <w:jc w:val="right"/>
              <w:ind w:right="88"/>
              <w:spacing w:after="0"/>
              <w:rPr>
                <w:sz w:val="20"/>
                <w:szCs w:val="20"/>
                <w:color w:val="auto"/>
              </w:rPr>
            </w:pPr>
            <w:r>
              <w:rPr>
                <w:rFonts w:ascii="Arial" w:cs="Arial" w:eastAsia="Arial" w:hAnsi="Arial"/>
                <w:sz w:val="14"/>
                <w:szCs w:val="14"/>
                <w:color w:val="auto"/>
              </w:rPr>
              <w:t>1</w:t>
            </w:r>
          </w:p>
        </w:tc>
        <w:tc>
          <w:tcPr>
            <w:tcW w:w="580" w:type="dxa"/>
            <w:vAlign w:val="bottom"/>
          </w:tcPr>
          <w:p>
            <w:pPr>
              <w:spacing w:after="0"/>
              <w:rPr>
                <w:sz w:val="18"/>
                <w:szCs w:val="18"/>
                <w:color w:val="auto"/>
              </w:rPr>
            </w:pPr>
          </w:p>
        </w:tc>
        <w:tc>
          <w:tcPr>
            <w:tcW w:w="1100" w:type="dxa"/>
            <w:vAlign w:val="bottom"/>
          </w:tcPr>
          <w:p>
            <w:pPr>
              <w:jc w:val="right"/>
              <w:ind w:right="408"/>
              <w:spacing w:after="0"/>
              <w:rPr>
                <w:sz w:val="20"/>
                <w:szCs w:val="20"/>
                <w:color w:val="auto"/>
              </w:rPr>
            </w:pPr>
            <w:r>
              <w:rPr>
                <w:rFonts w:ascii="Arial" w:cs="Arial" w:eastAsia="Arial" w:hAnsi="Arial"/>
                <w:sz w:val="14"/>
                <w:szCs w:val="14"/>
                <w:color w:val="auto"/>
              </w:rPr>
              <w:t>4</w:t>
            </w:r>
          </w:p>
        </w:tc>
        <w:tc>
          <w:tcPr>
            <w:tcW w:w="260" w:type="dxa"/>
            <w:vAlign w:val="bottom"/>
          </w:tcPr>
          <w:p>
            <w:pPr>
              <w:spacing w:after="0"/>
              <w:rPr>
                <w:sz w:val="18"/>
                <w:szCs w:val="18"/>
                <w:color w:val="auto"/>
              </w:rPr>
            </w:pPr>
          </w:p>
        </w:tc>
        <w:tc>
          <w:tcPr>
            <w:tcW w:w="940" w:type="dxa"/>
            <w:vAlign w:val="bottom"/>
          </w:tcPr>
          <w:p>
            <w:pPr>
              <w:jc w:val="right"/>
              <w:ind w:right="248"/>
              <w:spacing w:after="0"/>
              <w:rPr>
                <w:sz w:val="20"/>
                <w:szCs w:val="20"/>
                <w:color w:val="auto"/>
              </w:rPr>
            </w:pPr>
            <w:r>
              <w:rPr>
                <w:rFonts w:ascii="Arial" w:cs="Arial" w:eastAsia="Arial" w:hAnsi="Arial"/>
                <w:sz w:val="14"/>
                <w:szCs w:val="14"/>
                <w:color w:val="auto"/>
              </w:rPr>
              <w:t>6</w:t>
            </w:r>
          </w:p>
        </w:tc>
      </w:tr>
      <w:tr>
        <w:trPr>
          <w:trHeight w:val="216"/>
        </w:trPr>
        <w:tc>
          <w:tcPr>
            <w:tcW w:w="3760" w:type="dxa"/>
            <w:vAlign w:val="bottom"/>
          </w:tcPr>
          <w:p>
            <w:pPr>
              <w:ind w:left="340"/>
              <w:spacing w:after="0"/>
              <w:rPr>
                <w:sz w:val="20"/>
                <w:szCs w:val="20"/>
                <w:color w:val="auto"/>
              </w:rPr>
            </w:pPr>
            <w:r>
              <w:rPr>
                <w:rFonts w:ascii="Arial" w:cs="Arial" w:eastAsia="Arial" w:hAnsi="Arial"/>
                <w:sz w:val="14"/>
                <w:szCs w:val="14"/>
                <w:color w:val="auto"/>
              </w:rPr>
              <w:t>Impairment loss, net of tax benefit of $86</w:t>
            </w:r>
          </w:p>
        </w:tc>
        <w:tc>
          <w:tcPr>
            <w:tcW w:w="420" w:type="dxa"/>
            <w:vAlign w:val="bottom"/>
          </w:tcPr>
          <w:p>
            <w:pPr>
              <w:spacing w:after="0"/>
              <w:rPr>
                <w:sz w:val="18"/>
                <w:szCs w:val="18"/>
                <w:color w:val="auto"/>
              </w:rPr>
            </w:pPr>
          </w:p>
        </w:tc>
        <w:tc>
          <w:tcPr>
            <w:tcW w:w="78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580" w:type="dxa"/>
            <w:vAlign w:val="bottom"/>
          </w:tcPr>
          <w:p>
            <w:pPr>
              <w:spacing w:after="0"/>
              <w:rPr>
                <w:sz w:val="18"/>
                <w:szCs w:val="18"/>
                <w:color w:val="auto"/>
              </w:rPr>
            </w:pPr>
          </w:p>
        </w:tc>
        <w:tc>
          <w:tcPr>
            <w:tcW w:w="1100" w:type="dxa"/>
            <w:vAlign w:val="bottom"/>
          </w:tcPr>
          <w:p>
            <w:pPr>
              <w:jc w:val="right"/>
              <w:ind w:right="40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8"/>
                <w:szCs w:val="18"/>
                <w:color w:val="auto"/>
              </w:rPr>
            </w:pPr>
          </w:p>
        </w:tc>
        <w:tc>
          <w:tcPr>
            <w:tcW w:w="940" w:type="dxa"/>
            <w:vAlign w:val="bottom"/>
          </w:tcPr>
          <w:p>
            <w:pPr>
              <w:jc w:val="right"/>
              <w:ind w:right="168"/>
              <w:spacing w:after="0"/>
              <w:rPr>
                <w:sz w:val="20"/>
                <w:szCs w:val="20"/>
                <w:color w:val="auto"/>
              </w:rPr>
            </w:pPr>
            <w:r>
              <w:rPr>
                <w:rFonts w:ascii="Arial" w:cs="Arial" w:eastAsia="Arial" w:hAnsi="Arial"/>
                <w:sz w:val="14"/>
                <w:szCs w:val="14"/>
                <w:color w:val="auto"/>
              </w:rPr>
              <w:t>(221 )</w:t>
            </w:r>
          </w:p>
        </w:tc>
      </w:tr>
      <w:tr>
        <w:trPr>
          <w:trHeight w:val="216"/>
        </w:trPr>
        <w:tc>
          <w:tcPr>
            <w:tcW w:w="3760" w:type="dxa"/>
            <w:vAlign w:val="bottom"/>
          </w:tcPr>
          <w:p>
            <w:pPr>
              <w:ind w:left="180"/>
              <w:spacing w:after="0"/>
              <w:rPr>
                <w:sz w:val="20"/>
                <w:szCs w:val="20"/>
                <w:color w:val="auto"/>
              </w:rPr>
            </w:pPr>
            <w:r>
              <w:rPr>
                <w:rFonts w:ascii="Arial" w:cs="Arial" w:eastAsia="Arial" w:hAnsi="Arial"/>
                <w:sz w:val="14"/>
                <w:szCs w:val="14"/>
                <w:color w:val="auto"/>
              </w:rPr>
              <w:t>Sempra Commodities:</w:t>
            </w:r>
          </w:p>
        </w:tc>
        <w:tc>
          <w:tcPr>
            <w:tcW w:w="4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6"/>
        </w:trPr>
        <w:tc>
          <w:tcPr>
            <w:tcW w:w="3760" w:type="dxa"/>
            <w:vAlign w:val="bottom"/>
          </w:tcPr>
          <w:p>
            <w:pPr>
              <w:ind w:left="340"/>
              <w:spacing w:after="0"/>
              <w:rPr>
                <w:sz w:val="20"/>
                <w:szCs w:val="20"/>
                <w:color w:val="auto"/>
              </w:rPr>
            </w:pPr>
            <w:r>
              <w:rPr>
                <w:rFonts w:ascii="Arial" w:cs="Arial" w:eastAsia="Arial" w:hAnsi="Arial"/>
                <w:sz w:val="14"/>
                <w:szCs w:val="14"/>
                <w:color w:val="auto"/>
              </w:rPr>
              <w:t>Gain on sale of investments</w:t>
            </w:r>
          </w:p>
        </w:tc>
        <w:tc>
          <w:tcPr>
            <w:tcW w:w="420" w:type="dxa"/>
            <w:vAlign w:val="bottom"/>
          </w:tcPr>
          <w:p>
            <w:pPr>
              <w:spacing w:after="0"/>
              <w:rPr>
                <w:sz w:val="18"/>
                <w:szCs w:val="18"/>
                <w:color w:val="auto"/>
              </w:rPr>
            </w:pPr>
          </w:p>
        </w:tc>
        <w:tc>
          <w:tcPr>
            <w:tcW w:w="78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580" w:type="dxa"/>
            <w:vAlign w:val="bottom"/>
          </w:tcPr>
          <w:p>
            <w:pPr>
              <w:spacing w:after="0"/>
              <w:rPr>
                <w:sz w:val="18"/>
                <w:szCs w:val="18"/>
                <w:color w:val="auto"/>
              </w:rPr>
            </w:pPr>
          </w:p>
        </w:tc>
        <w:tc>
          <w:tcPr>
            <w:tcW w:w="1100" w:type="dxa"/>
            <w:vAlign w:val="bottom"/>
          </w:tcPr>
          <w:p>
            <w:pPr>
              <w:jc w:val="right"/>
              <w:ind w:right="408"/>
              <w:spacing w:after="0"/>
              <w:rPr>
                <w:sz w:val="20"/>
                <w:szCs w:val="20"/>
                <w:color w:val="auto"/>
              </w:rPr>
            </w:pPr>
            <w:r>
              <w:rPr>
                <w:rFonts w:ascii="Arial" w:cs="Arial" w:eastAsia="Arial" w:hAnsi="Arial"/>
                <w:sz w:val="14"/>
                <w:szCs w:val="14"/>
                <w:color w:val="auto"/>
              </w:rPr>
              <w:t>30</w:t>
            </w:r>
          </w:p>
        </w:tc>
        <w:tc>
          <w:tcPr>
            <w:tcW w:w="260" w:type="dxa"/>
            <w:vAlign w:val="bottom"/>
          </w:tcPr>
          <w:p>
            <w:pPr>
              <w:spacing w:after="0"/>
              <w:rPr>
                <w:sz w:val="18"/>
                <w:szCs w:val="18"/>
                <w:color w:val="auto"/>
              </w:rPr>
            </w:pPr>
          </w:p>
        </w:tc>
        <w:tc>
          <w:tcPr>
            <w:tcW w:w="940" w:type="dxa"/>
            <w:vAlign w:val="bottom"/>
          </w:tcPr>
          <w:p>
            <w:pPr>
              <w:jc w:val="right"/>
              <w:ind w:right="248"/>
              <w:spacing w:after="0"/>
              <w:rPr>
                <w:sz w:val="20"/>
                <w:szCs w:val="20"/>
                <w:color w:val="auto"/>
              </w:rPr>
            </w:pPr>
            <w:r>
              <w:rPr>
                <w:rFonts w:ascii="Arial" w:cs="Arial" w:eastAsia="Arial" w:hAnsi="Arial"/>
                <w:sz w:val="14"/>
                <w:szCs w:val="14"/>
                <w:color w:val="auto"/>
              </w:rPr>
              <w:t>--</w:t>
            </w:r>
          </w:p>
        </w:tc>
      </w:tr>
      <w:tr>
        <w:trPr>
          <w:trHeight w:val="222"/>
        </w:trPr>
        <w:tc>
          <w:tcPr>
            <w:tcW w:w="3760" w:type="dxa"/>
            <w:vAlign w:val="bottom"/>
          </w:tcPr>
          <w:p>
            <w:pPr>
              <w:ind w:left="340"/>
              <w:spacing w:after="0"/>
              <w:rPr>
                <w:sz w:val="20"/>
                <w:szCs w:val="20"/>
                <w:color w:val="auto"/>
              </w:rPr>
            </w:pPr>
            <w:r>
              <w:rPr>
                <w:rFonts w:ascii="Arial" w:cs="Arial" w:eastAsia="Arial" w:hAnsi="Arial"/>
                <w:sz w:val="14"/>
                <w:szCs w:val="14"/>
                <w:color w:val="auto"/>
              </w:rPr>
              <w:t>Earnings from operations</w:t>
            </w:r>
          </w:p>
        </w:tc>
        <w:tc>
          <w:tcPr>
            <w:tcW w:w="4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3</w:t>
            </w:r>
          </w:p>
        </w:tc>
        <w:tc>
          <w:tcPr>
            <w:tcW w:w="5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color w:val="auto"/>
              </w:rPr>
              <w:t>10</w:t>
            </w: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(16 )</w:t>
            </w:r>
          </w:p>
        </w:tc>
      </w:tr>
      <w:tr>
        <w:trPr>
          <w:trHeight w:val="224"/>
        </w:trPr>
        <w:tc>
          <w:tcPr>
            <w:tcW w:w="376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63</w:t>
            </w:r>
          </w:p>
        </w:tc>
        <w:tc>
          <w:tcPr>
            <w:tcW w:w="58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color w:val="auto"/>
              </w:rPr>
              <w:t>99</w:t>
            </w:r>
          </w:p>
        </w:tc>
        <w:tc>
          <w:tcPr>
            <w:tcW w:w="2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(182 )</w:t>
            </w:r>
          </w:p>
        </w:tc>
      </w:tr>
    </w:tbl>
    <w:p>
      <w:pPr>
        <w:spacing w:after="0" w:line="180" w:lineRule="exact"/>
        <w:rPr>
          <w:sz w:val="20"/>
          <w:szCs w:val="20"/>
          <w:color w:val="auto"/>
        </w:rPr>
      </w:pPr>
    </w:p>
    <w:p>
      <w:pPr>
        <w:jc w:val="both"/>
        <w:ind w:left="4" w:right="360"/>
        <w:spacing w:after="0" w:line="264" w:lineRule="auto"/>
        <w:rPr>
          <w:sz w:val="20"/>
          <w:szCs w:val="20"/>
          <w:color w:val="auto"/>
        </w:rPr>
      </w:pPr>
      <w:r>
        <w:rPr>
          <w:rFonts w:ascii="Arial" w:cs="Arial" w:eastAsia="Arial" w:hAnsi="Arial"/>
          <w:sz w:val="16"/>
          <w:szCs w:val="16"/>
          <w:color w:val="auto"/>
        </w:rPr>
        <w:t>For equity method investments, costs in excess of equity in net assets (goodwill) were $213 million at December 31, 2008 and $262 million at December 31, 2007. Costs in excess of the underlying equity in net assets will continue to be reviewed for impairment in accordance with APB 18. Descriptive information concerning these investments follows.</w:t>
      </w:r>
    </w:p>
    <w:p>
      <w:pPr>
        <w:spacing w:after="0" w:line="237"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auto"/>
        </w:rPr>
        <w:t>SEMPRA COMMODITIES</w:t>
      </w:r>
    </w:p>
    <w:p>
      <w:pPr>
        <w:spacing w:after="0" w:line="89" w:lineRule="exact"/>
        <w:rPr>
          <w:sz w:val="20"/>
          <w:szCs w:val="20"/>
          <w:color w:val="auto"/>
        </w:rPr>
      </w:pPr>
    </w:p>
    <w:p>
      <w:pPr>
        <w:jc w:val="both"/>
        <w:ind w:left="4" w:right="340"/>
        <w:spacing w:after="0" w:line="304" w:lineRule="auto"/>
        <w:rPr>
          <w:sz w:val="20"/>
          <w:szCs w:val="20"/>
          <w:color w:val="auto"/>
        </w:rPr>
      </w:pPr>
      <w:r>
        <w:rPr>
          <w:rFonts w:ascii="Arial" w:cs="Arial" w:eastAsia="Arial" w:hAnsi="Arial"/>
          <w:sz w:val="14"/>
          <w:szCs w:val="14"/>
          <w:color w:val="auto"/>
        </w:rPr>
        <w:t>RBS Sempra Commodities is a United Kingdom limited liability partnership formed to own and operate the commodities-marketing businesses previously operated through wholly owned subsidiaries of Sempra Energy, as we discuss in Note 3. We account for our investment in RBS Sempra Commodities under the equity method. Our share of partnership earnings is reported in the Sempra Commodities segment. Subject to certain limited exceptions, partnership pretax income is allocated each year as follows:</w:t>
      </w:r>
    </w:p>
    <w:p>
      <w:pPr>
        <w:spacing w:after="0" w:line="1" w:lineRule="exact"/>
        <w:rPr>
          <w:sz w:val="20"/>
          <w:szCs w:val="20"/>
          <w:color w:val="auto"/>
        </w:rPr>
      </w:pPr>
    </w:p>
    <w:p>
      <w:pPr>
        <w:ind w:left="144" w:hanging="144"/>
        <w:spacing w:after="0"/>
        <w:tabs>
          <w:tab w:leader="none" w:pos="144" w:val="left"/>
        </w:tabs>
        <w:numPr>
          <w:ilvl w:val="0"/>
          <w:numId w:val="341"/>
        </w:numPr>
        <w:rPr>
          <w:rFonts w:ascii="Arial" w:cs="Arial" w:eastAsia="Arial" w:hAnsi="Arial"/>
          <w:sz w:val="16"/>
          <w:szCs w:val="16"/>
          <w:color w:val="auto"/>
        </w:rPr>
      </w:pPr>
      <w:r>
        <w:rPr>
          <w:rFonts w:ascii="Arial" w:cs="Arial" w:eastAsia="Arial" w:hAnsi="Arial"/>
          <w:sz w:val="16"/>
          <w:szCs w:val="16"/>
          <w:color w:val="auto"/>
        </w:rPr>
        <w:t>First, we receive a preferred 15-percent return on our adjusted equity capital.</w:t>
      </w:r>
    </w:p>
    <w:p>
      <w:pPr>
        <w:spacing w:after="0" w:line="44" w:lineRule="exact"/>
        <w:rPr>
          <w:rFonts w:ascii="Arial" w:cs="Arial" w:eastAsia="Arial" w:hAnsi="Arial"/>
          <w:sz w:val="16"/>
          <w:szCs w:val="16"/>
          <w:color w:val="auto"/>
        </w:rPr>
      </w:pPr>
    </w:p>
    <w:p>
      <w:pPr>
        <w:ind w:left="144" w:right="1120" w:hanging="144"/>
        <w:spacing w:after="0" w:line="274" w:lineRule="auto"/>
        <w:tabs>
          <w:tab w:leader="none" w:pos="144" w:val="left"/>
        </w:tabs>
        <w:numPr>
          <w:ilvl w:val="0"/>
          <w:numId w:val="341"/>
        </w:numPr>
        <w:rPr>
          <w:rFonts w:ascii="Arial" w:cs="Arial" w:eastAsia="Arial" w:hAnsi="Arial"/>
          <w:sz w:val="16"/>
          <w:szCs w:val="16"/>
          <w:color w:val="auto"/>
        </w:rPr>
      </w:pPr>
      <w:r>
        <w:rPr>
          <w:rFonts w:ascii="Arial" w:cs="Arial" w:eastAsia="Arial" w:hAnsi="Arial"/>
          <w:sz w:val="16"/>
          <w:szCs w:val="16"/>
          <w:color w:val="auto"/>
        </w:rPr>
        <w:t>Next, RBS receives a preferred 15-percent return on any capital in excess of capital attributable to us that is required by the U.K. Financial Services Authority to be maintained by RBS in respect of the operations of the partnership.</w:t>
      </w:r>
    </w:p>
    <w:p>
      <w:pPr>
        <w:ind w:left="144" w:hanging="144"/>
        <w:spacing w:after="0"/>
        <w:tabs>
          <w:tab w:leader="none" w:pos="144" w:val="left"/>
        </w:tabs>
        <w:numPr>
          <w:ilvl w:val="0"/>
          <w:numId w:val="341"/>
        </w:numPr>
        <w:rPr>
          <w:rFonts w:ascii="Arial" w:cs="Arial" w:eastAsia="Arial" w:hAnsi="Arial"/>
          <w:sz w:val="16"/>
          <w:szCs w:val="16"/>
          <w:color w:val="auto"/>
        </w:rPr>
      </w:pPr>
      <w:r>
        <w:rPr>
          <w:rFonts w:ascii="Arial" w:cs="Arial" w:eastAsia="Arial" w:hAnsi="Arial"/>
          <w:sz w:val="16"/>
          <w:szCs w:val="16"/>
          <w:color w:val="auto"/>
        </w:rPr>
        <w:t>Next, we receive 70 percent of the next $500 million in pretax income; RBS receives the remaining 30 percent.</w:t>
      </w:r>
    </w:p>
    <w:p>
      <w:pPr>
        <w:spacing w:after="0" w:line="44" w:lineRule="exact"/>
        <w:rPr>
          <w:rFonts w:ascii="Arial" w:cs="Arial" w:eastAsia="Arial" w:hAnsi="Arial"/>
          <w:sz w:val="16"/>
          <w:szCs w:val="16"/>
          <w:color w:val="auto"/>
        </w:rPr>
      </w:pPr>
    </w:p>
    <w:p>
      <w:pPr>
        <w:ind w:left="144" w:hanging="144"/>
        <w:spacing w:after="0"/>
        <w:tabs>
          <w:tab w:leader="none" w:pos="144" w:val="left"/>
        </w:tabs>
        <w:numPr>
          <w:ilvl w:val="0"/>
          <w:numId w:val="341"/>
        </w:numPr>
        <w:rPr>
          <w:rFonts w:ascii="Arial" w:cs="Arial" w:eastAsia="Arial" w:hAnsi="Arial"/>
          <w:sz w:val="16"/>
          <w:szCs w:val="16"/>
          <w:color w:val="auto"/>
        </w:rPr>
      </w:pPr>
      <w:r>
        <w:rPr>
          <w:rFonts w:ascii="Arial" w:cs="Arial" w:eastAsia="Arial" w:hAnsi="Arial"/>
          <w:sz w:val="16"/>
          <w:szCs w:val="16"/>
          <w:color w:val="auto"/>
        </w:rPr>
        <w:t>Then, we receive 30 percent and RBS receives 70 percent of any remaining pretax income.</w:t>
      </w:r>
    </w:p>
    <w:p>
      <w:pPr>
        <w:spacing w:after="0" w:line="44" w:lineRule="exact"/>
        <w:rPr>
          <w:rFonts w:ascii="Arial" w:cs="Arial" w:eastAsia="Arial" w:hAnsi="Arial"/>
          <w:sz w:val="16"/>
          <w:szCs w:val="16"/>
          <w:color w:val="auto"/>
        </w:rPr>
      </w:pPr>
    </w:p>
    <w:p>
      <w:pPr>
        <w:ind w:left="144" w:hanging="144"/>
        <w:spacing w:after="0"/>
        <w:tabs>
          <w:tab w:leader="none" w:pos="144" w:val="left"/>
        </w:tabs>
        <w:numPr>
          <w:ilvl w:val="0"/>
          <w:numId w:val="341"/>
        </w:numPr>
        <w:rPr>
          <w:rFonts w:ascii="Arial" w:cs="Arial" w:eastAsia="Arial" w:hAnsi="Arial"/>
          <w:sz w:val="16"/>
          <w:szCs w:val="16"/>
          <w:color w:val="auto"/>
        </w:rPr>
      </w:pPr>
      <w:r>
        <w:rPr>
          <w:rFonts w:ascii="Arial" w:cs="Arial" w:eastAsia="Arial" w:hAnsi="Arial"/>
          <w:sz w:val="16"/>
          <w:szCs w:val="16"/>
          <w:color w:val="auto"/>
        </w:rPr>
        <w:t>Any losses of the partnership are shared equally between us and RBS.</w:t>
      </w:r>
    </w:p>
    <w:p>
      <w:pPr>
        <w:spacing w:after="0" w:line="128" w:lineRule="exact"/>
        <w:rPr>
          <w:sz w:val="20"/>
          <w:szCs w:val="20"/>
          <w:color w:val="auto"/>
        </w:rPr>
      </w:pPr>
    </w:p>
    <w:p>
      <w:pPr>
        <w:ind w:left="4"/>
        <w:spacing w:after="0" w:line="259" w:lineRule="auto"/>
        <w:rPr>
          <w:sz w:val="20"/>
          <w:szCs w:val="20"/>
          <w:color w:val="auto"/>
        </w:rPr>
      </w:pPr>
      <w:r>
        <w:rPr>
          <w:rFonts w:ascii="Arial" w:cs="Arial" w:eastAsia="Arial" w:hAnsi="Arial"/>
          <w:sz w:val="16"/>
          <w:szCs w:val="16"/>
          <w:color w:val="auto"/>
        </w:rPr>
        <w:t>For the nine months ended December 31, 2008, we had $383 million of pretax equity earnings from RBS Sempra Commodities. The partnership income that is distributable to us on an annual basis is computed on the partnership's basis of accounting, International Financial Reporting Standards (IFRS) as adopted by the European Union. For the nine months ended December 31, 2008, this distributable income, on an IFRS basis, is $389 million. In 2008, we received distributions of $85 million from the partnership, as provided in the partnership agreement to fund estimated income tax payments.</w:t>
      </w:r>
    </w:p>
    <w:p>
      <w:pPr>
        <w:spacing w:after="0" w:line="200" w:lineRule="exact"/>
        <w:rPr>
          <w:sz w:val="20"/>
          <w:szCs w:val="20"/>
          <w:color w:val="auto"/>
        </w:rPr>
      </w:pPr>
    </w:p>
    <w:p>
      <w:pPr>
        <w:spacing w:after="0" w:line="307" w:lineRule="exact"/>
        <w:rPr>
          <w:sz w:val="20"/>
          <w:szCs w:val="20"/>
          <w:color w:val="auto"/>
        </w:rPr>
      </w:pPr>
    </w:p>
    <w:p>
      <w:pPr>
        <w:ind w:left="4"/>
        <w:spacing w:after="0"/>
        <w:rPr>
          <w:sz w:val="20"/>
          <w:szCs w:val="20"/>
          <w:color w:val="auto"/>
        </w:rPr>
      </w:pPr>
      <w:r>
        <w:rPr>
          <w:rFonts w:ascii="Arial" w:cs="Arial" w:eastAsia="Arial" w:hAnsi="Arial"/>
          <w:sz w:val="14"/>
          <w:szCs w:val="14"/>
          <w:color w:val="auto"/>
        </w:rPr>
        <w:t>119</w:t>
      </w:r>
    </w:p>
    <w:p>
      <w:pPr>
        <w:sectPr>
          <w:pgSz w:w="11900" w:h="16838" w:orient="portrait"/>
          <w:cols w:equalWidth="0" w:num="1">
            <w:col w:w="11384"/>
          </w:cols>
          <w:pgMar w:left="236" w:top="364" w:right="279" w:bottom="1440" w:gutter="0" w:footer="0" w:header="0"/>
        </w:sectPr>
      </w:pPr>
    </w:p>
    <w:bookmarkStart w:id="259" w:name="page260"/>
    <w:bookmarkEnd w:id="259"/>
    <w:p>
      <w:pPr>
        <w:jc w:val="both"/>
        <w:spacing w:after="0" w:line="264" w:lineRule="auto"/>
        <w:rPr>
          <w:sz w:val="20"/>
          <w:szCs w:val="20"/>
          <w:color w:val="auto"/>
        </w:rPr>
      </w:pPr>
      <w:r>
        <w:rPr>
          <w:rFonts w:ascii="Arial" w:cs="Arial" w:eastAsia="Arial" w:hAnsi="Arial"/>
          <w:sz w:val="16"/>
          <w:szCs w:val="16"/>
          <w:color w:val="auto"/>
        </w:rPr>
        <w:t>We have indemnified the partnership for certain litigation and tax liabilities related to the businesses purchased by the partnership. We recorded these obligations at a fair value of $5 million on April 1, 2008, the date we formed the partnership. The fair value of the indemnity provided to RBS Sempra Commodities has not significantly changed since April 1, 2008.</w:t>
      </w:r>
    </w:p>
    <w:p>
      <w:pPr>
        <w:spacing w:after="0" w:line="42" w:lineRule="exact"/>
        <w:rPr>
          <w:sz w:val="20"/>
          <w:szCs w:val="20"/>
          <w:color w:val="auto"/>
        </w:rPr>
      </w:pPr>
    </w:p>
    <w:p>
      <w:pPr>
        <w:spacing w:after="0"/>
        <w:rPr>
          <w:sz w:val="20"/>
          <w:szCs w:val="20"/>
          <w:color w:val="auto"/>
        </w:rPr>
      </w:pPr>
      <w:r>
        <w:rPr>
          <w:rFonts w:ascii="Arial" w:cs="Arial" w:eastAsia="Arial" w:hAnsi="Arial"/>
          <w:sz w:val="16"/>
          <w:szCs w:val="16"/>
          <w:color w:val="auto"/>
        </w:rPr>
        <w:t>We provide information regarding the Sempra Commodities segment at December 31, 2008 and 2007 in Note 17.</w:t>
      </w:r>
    </w:p>
    <w:p>
      <w:pPr>
        <w:spacing w:after="0" w:line="80"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tables show summarized financial information for RBS Sempra Commodities (on a GAAP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1210310</wp:posOffset>
            </wp:positionH>
            <wp:positionV relativeFrom="paragraph">
              <wp:posOffset>211455</wp:posOffset>
            </wp:positionV>
            <wp:extent cx="4836160" cy="389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4836160" cy="389255"/>
                    </a:xfrm>
                    <a:prstGeom prst="rect">
                      <a:avLst/>
                    </a:prstGeom>
                    <a:noFill/>
                  </pic:spPr>
                </pic:pic>
              </a:graphicData>
            </a:graphic>
          </wp:anchor>
        </w:drawing>
      </w:r>
    </w:p>
    <w:p>
      <w:pPr>
        <w:spacing w:after="0" w:line="321" w:lineRule="exact"/>
        <w:rPr>
          <w:sz w:val="20"/>
          <w:szCs w:val="20"/>
          <w:color w:val="auto"/>
        </w:rPr>
      </w:pPr>
    </w:p>
    <w:p>
      <w:pPr>
        <w:ind w:left="1920"/>
        <w:spacing w:after="0"/>
        <w:rPr>
          <w:sz w:val="20"/>
          <w:szCs w:val="20"/>
          <w:color w:val="auto"/>
        </w:rPr>
      </w:pPr>
      <w:r>
        <w:rPr>
          <w:rFonts w:ascii="Arial" w:cs="Arial" w:eastAsia="Arial" w:hAnsi="Arial"/>
          <w:sz w:val="14"/>
          <w:szCs w:val="14"/>
          <w:b w:val="1"/>
          <w:bCs w:val="1"/>
          <w:color w:val="auto"/>
        </w:rPr>
        <w:t>RBS SEMPRA COMMODITIES</w:t>
      </w:r>
    </w:p>
    <w:p>
      <w:pPr>
        <w:spacing w:after="0" w:line="31" w:lineRule="exact"/>
        <w:rPr>
          <w:sz w:val="20"/>
          <w:szCs w:val="20"/>
          <w:color w:val="auto"/>
        </w:rPr>
      </w:pPr>
    </w:p>
    <w:p>
      <w:pPr>
        <w:ind w:left="1920"/>
        <w:spacing w:after="0"/>
        <w:rPr>
          <w:sz w:val="20"/>
          <w:szCs w:val="20"/>
          <w:color w:val="auto"/>
        </w:rPr>
      </w:pPr>
      <w:r>
        <w:rPr>
          <w:rFonts w:ascii="Arial" w:cs="Arial" w:eastAsia="Arial" w:hAnsi="Arial"/>
          <w:sz w:val="14"/>
          <w:szCs w:val="14"/>
          <w:b w:val="1"/>
          <w:bCs w:val="1"/>
          <w:color w:val="auto"/>
        </w:rPr>
        <w:t>SUMMARIZED FINANCIAL INFORMATION</w:t>
      </w:r>
    </w:p>
    <w:p>
      <w:pPr>
        <w:spacing w:after="0" w:line="76" w:lineRule="exact"/>
        <w:rPr>
          <w:sz w:val="20"/>
          <w:szCs w:val="20"/>
          <w:color w:val="auto"/>
        </w:rPr>
      </w:pPr>
    </w:p>
    <w:p>
      <w:pPr>
        <w:ind w:left="1920"/>
        <w:spacing w:after="0"/>
        <w:rPr>
          <w:sz w:val="20"/>
          <w:szCs w:val="20"/>
          <w:color w:val="auto"/>
        </w:rPr>
      </w:pPr>
      <w:r>
        <w:rPr>
          <w:rFonts w:ascii="Arial" w:cs="Arial" w:eastAsia="Arial" w:hAnsi="Arial"/>
          <w:sz w:val="13"/>
          <w:szCs w:val="13"/>
          <w:i w:val="1"/>
          <w:iCs w:val="1"/>
          <w:color w:val="auto"/>
        </w:rPr>
        <w:t>(Dollars in millions)</w:t>
      </w:r>
    </w:p>
    <w:p>
      <w:pPr>
        <w:spacing w:after="0" w:line="43" w:lineRule="exact"/>
        <w:rPr>
          <w:sz w:val="20"/>
          <w:szCs w:val="20"/>
          <w:color w:val="auto"/>
        </w:rPr>
      </w:pPr>
    </w:p>
    <w:tbl>
      <w:tblPr>
        <w:tblLayout w:type="fixed"/>
        <w:tblInd w:w="1900" w:type="dxa"/>
        <w:tblCellMar>
          <w:top w:w="0" w:type="dxa"/>
          <w:left w:w="0" w:type="dxa"/>
          <w:bottom w:w="0" w:type="dxa"/>
          <w:right w:w="0" w:type="dxa"/>
        </w:tblCellMar>
      </w:tblPr>
      <w:tr>
        <w:trPr>
          <w:trHeight w:val="154"/>
        </w:trPr>
        <w:tc>
          <w:tcPr>
            <w:tcW w:w="4820" w:type="dxa"/>
            <w:vAlign w:val="bottom"/>
          </w:tcPr>
          <w:p>
            <w:pPr>
              <w:spacing w:after="0"/>
              <w:rPr>
                <w:sz w:val="13"/>
                <w:szCs w:val="13"/>
                <w:color w:val="auto"/>
              </w:rPr>
            </w:pPr>
          </w:p>
        </w:tc>
        <w:tc>
          <w:tcPr>
            <w:tcW w:w="2800" w:type="dxa"/>
            <w:vAlign w:val="bottom"/>
            <w:gridSpan w:val="2"/>
          </w:tcPr>
          <w:p>
            <w:pPr>
              <w:jc w:val="center"/>
              <w:spacing w:after="0"/>
              <w:rPr>
                <w:sz w:val="20"/>
                <w:szCs w:val="20"/>
                <w:color w:val="auto"/>
              </w:rPr>
            </w:pPr>
            <w:r>
              <w:rPr>
                <w:rFonts w:ascii="Arial" w:cs="Arial" w:eastAsia="Arial" w:hAnsi="Arial"/>
                <w:sz w:val="13"/>
                <w:szCs w:val="13"/>
                <w:color w:val="auto"/>
                <w:w w:val="99"/>
              </w:rPr>
              <w:t>Nine months ended</w:t>
            </w:r>
          </w:p>
        </w:tc>
      </w:tr>
      <w:tr>
        <w:trPr>
          <w:trHeight w:val="161"/>
        </w:trPr>
        <w:tc>
          <w:tcPr>
            <w:tcW w:w="4820" w:type="dxa"/>
            <w:vAlign w:val="bottom"/>
            <w:tcBorders>
              <w:bottom w:val="single" w:sz="8" w:color="auto"/>
            </w:tcBorders>
          </w:tcPr>
          <w:p>
            <w:pPr>
              <w:spacing w:after="0"/>
              <w:rPr>
                <w:sz w:val="14"/>
                <w:szCs w:val="14"/>
                <w:color w:val="auto"/>
              </w:rPr>
            </w:pPr>
          </w:p>
        </w:tc>
        <w:tc>
          <w:tcPr>
            <w:tcW w:w="280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color w:val="auto"/>
                <w:w w:val="98"/>
              </w:rPr>
              <w:t>December 31, 2008</w:t>
            </w:r>
          </w:p>
        </w:tc>
      </w:tr>
      <w:tr>
        <w:trPr>
          <w:trHeight w:val="207"/>
        </w:trPr>
        <w:tc>
          <w:tcPr>
            <w:tcW w:w="4820" w:type="dxa"/>
            <w:vAlign w:val="bottom"/>
          </w:tcPr>
          <w:p>
            <w:pPr>
              <w:ind w:left="20"/>
              <w:spacing w:after="0"/>
              <w:rPr>
                <w:sz w:val="20"/>
                <w:szCs w:val="20"/>
                <w:color w:val="auto"/>
              </w:rPr>
            </w:pPr>
            <w:r>
              <w:rPr>
                <w:rFonts w:ascii="Arial" w:cs="Arial" w:eastAsia="Arial" w:hAnsi="Arial"/>
                <w:sz w:val="14"/>
                <w:szCs w:val="14"/>
                <w:color w:val="auto"/>
              </w:rPr>
              <w:t>Gross revenues</w:t>
            </w:r>
          </w:p>
        </w:tc>
        <w:tc>
          <w:tcPr>
            <w:tcW w:w="1440" w:type="dxa"/>
            <w:vAlign w:val="bottom"/>
          </w:tcPr>
          <w:p>
            <w:pPr>
              <w:jc w:val="right"/>
              <w:ind w:right="153"/>
              <w:spacing w:after="0"/>
              <w:rPr>
                <w:sz w:val="20"/>
                <w:szCs w:val="20"/>
                <w:color w:val="auto"/>
              </w:rPr>
            </w:pPr>
            <w:r>
              <w:rPr>
                <w:rFonts w:ascii="Arial" w:cs="Arial" w:eastAsia="Arial" w:hAnsi="Arial"/>
                <w:sz w:val="14"/>
                <w:szCs w:val="14"/>
                <w:color w:val="auto"/>
              </w:rPr>
              <w:t>$</w:t>
            </w:r>
          </w:p>
        </w:tc>
        <w:tc>
          <w:tcPr>
            <w:tcW w:w="1360" w:type="dxa"/>
            <w:vAlign w:val="bottom"/>
          </w:tcPr>
          <w:p>
            <w:pPr>
              <w:jc w:val="right"/>
              <w:ind w:right="688"/>
              <w:spacing w:after="0"/>
              <w:rPr>
                <w:sz w:val="20"/>
                <w:szCs w:val="20"/>
                <w:color w:val="auto"/>
              </w:rPr>
            </w:pPr>
            <w:r>
              <w:rPr>
                <w:rFonts w:ascii="Arial" w:cs="Arial" w:eastAsia="Arial" w:hAnsi="Arial"/>
                <w:sz w:val="14"/>
                <w:szCs w:val="14"/>
                <w:color w:val="auto"/>
              </w:rPr>
              <w:t>2,051</w:t>
            </w:r>
          </w:p>
        </w:tc>
      </w:tr>
      <w:tr>
        <w:trPr>
          <w:trHeight w:val="216"/>
        </w:trPr>
        <w:tc>
          <w:tcPr>
            <w:tcW w:w="4820" w:type="dxa"/>
            <w:vAlign w:val="bottom"/>
          </w:tcPr>
          <w:p>
            <w:pPr>
              <w:ind w:left="20"/>
              <w:spacing w:after="0"/>
              <w:rPr>
                <w:sz w:val="20"/>
                <w:szCs w:val="20"/>
                <w:color w:val="auto"/>
              </w:rPr>
            </w:pPr>
            <w:r>
              <w:rPr>
                <w:rFonts w:ascii="Arial" w:cs="Arial" w:eastAsia="Arial" w:hAnsi="Arial"/>
                <w:sz w:val="14"/>
                <w:szCs w:val="14"/>
                <w:color w:val="auto"/>
              </w:rPr>
              <w:t>Gross profit</w:t>
            </w:r>
          </w:p>
        </w:tc>
        <w:tc>
          <w:tcPr>
            <w:tcW w:w="1440" w:type="dxa"/>
            <w:vAlign w:val="bottom"/>
          </w:tcPr>
          <w:p>
            <w:pPr>
              <w:spacing w:after="0"/>
              <w:rPr>
                <w:sz w:val="18"/>
                <w:szCs w:val="18"/>
                <w:color w:val="auto"/>
              </w:rPr>
            </w:pPr>
          </w:p>
        </w:tc>
        <w:tc>
          <w:tcPr>
            <w:tcW w:w="1360" w:type="dxa"/>
            <w:vAlign w:val="bottom"/>
          </w:tcPr>
          <w:p>
            <w:pPr>
              <w:jc w:val="right"/>
              <w:ind w:right="688"/>
              <w:spacing w:after="0"/>
              <w:rPr>
                <w:sz w:val="20"/>
                <w:szCs w:val="20"/>
                <w:color w:val="auto"/>
              </w:rPr>
            </w:pPr>
            <w:r>
              <w:rPr>
                <w:rFonts w:ascii="Arial" w:cs="Arial" w:eastAsia="Arial" w:hAnsi="Arial"/>
                <w:sz w:val="14"/>
                <w:szCs w:val="14"/>
                <w:color w:val="auto"/>
              </w:rPr>
              <w:t>1,370</w:t>
            </w:r>
          </w:p>
        </w:tc>
      </w:tr>
      <w:tr>
        <w:trPr>
          <w:trHeight w:val="216"/>
        </w:trPr>
        <w:tc>
          <w:tcPr>
            <w:tcW w:w="4820" w:type="dxa"/>
            <w:vAlign w:val="bottom"/>
          </w:tcPr>
          <w:p>
            <w:pPr>
              <w:ind w:left="20"/>
              <w:spacing w:after="0"/>
              <w:rPr>
                <w:sz w:val="20"/>
                <w:szCs w:val="20"/>
                <w:color w:val="auto"/>
              </w:rPr>
            </w:pPr>
            <w:r>
              <w:rPr>
                <w:rFonts w:ascii="Arial" w:cs="Arial" w:eastAsia="Arial" w:hAnsi="Arial"/>
                <w:sz w:val="14"/>
                <w:szCs w:val="14"/>
                <w:color w:val="auto"/>
              </w:rPr>
              <w:t>Income from continuing operations</w:t>
            </w:r>
          </w:p>
        </w:tc>
        <w:tc>
          <w:tcPr>
            <w:tcW w:w="1440" w:type="dxa"/>
            <w:vAlign w:val="bottom"/>
          </w:tcPr>
          <w:p>
            <w:pPr>
              <w:spacing w:after="0"/>
              <w:rPr>
                <w:sz w:val="18"/>
                <w:szCs w:val="18"/>
                <w:color w:val="auto"/>
              </w:rPr>
            </w:pPr>
          </w:p>
        </w:tc>
        <w:tc>
          <w:tcPr>
            <w:tcW w:w="1360" w:type="dxa"/>
            <w:vAlign w:val="bottom"/>
          </w:tcPr>
          <w:p>
            <w:pPr>
              <w:jc w:val="right"/>
              <w:ind w:right="688"/>
              <w:spacing w:after="0"/>
              <w:rPr>
                <w:sz w:val="20"/>
                <w:szCs w:val="20"/>
                <w:color w:val="auto"/>
              </w:rPr>
            </w:pPr>
            <w:r>
              <w:rPr>
                <w:rFonts w:ascii="Arial" w:cs="Arial" w:eastAsia="Arial" w:hAnsi="Arial"/>
                <w:sz w:val="14"/>
                <w:szCs w:val="14"/>
                <w:color w:val="auto"/>
              </w:rPr>
              <w:t>592</w:t>
            </w:r>
          </w:p>
        </w:tc>
      </w:tr>
      <w:tr>
        <w:trPr>
          <w:trHeight w:val="250"/>
        </w:trPr>
        <w:tc>
          <w:tcPr>
            <w:tcW w:w="4820" w:type="dxa"/>
            <w:vAlign w:val="bottom"/>
            <w:tcBorders>
              <w:bottom w:val="single" w:sz="8" w:color="DFDFDF"/>
            </w:tcBorders>
          </w:tcPr>
          <w:p>
            <w:pPr>
              <w:ind w:left="20"/>
              <w:spacing w:after="0"/>
              <w:rPr>
                <w:sz w:val="20"/>
                <w:szCs w:val="20"/>
                <w:color w:val="auto"/>
              </w:rPr>
            </w:pPr>
            <w:r>
              <w:rPr>
                <w:rFonts w:ascii="Arial" w:cs="Arial" w:eastAsia="Arial" w:hAnsi="Arial"/>
                <w:sz w:val="14"/>
                <w:szCs w:val="14"/>
                <w:color w:val="auto"/>
              </w:rPr>
              <w:t>Net income</w:t>
            </w:r>
          </w:p>
        </w:tc>
        <w:tc>
          <w:tcPr>
            <w:tcW w:w="1440" w:type="dxa"/>
            <w:vAlign w:val="bottom"/>
            <w:tcBorders>
              <w:bottom w:val="single" w:sz="8" w:color="DFDFDF"/>
            </w:tcBorders>
          </w:tcPr>
          <w:p>
            <w:pPr>
              <w:spacing w:after="0"/>
              <w:rPr>
                <w:sz w:val="21"/>
                <w:szCs w:val="21"/>
                <w:color w:val="auto"/>
              </w:rPr>
            </w:pPr>
          </w:p>
        </w:tc>
        <w:tc>
          <w:tcPr>
            <w:tcW w:w="1360" w:type="dxa"/>
            <w:vAlign w:val="bottom"/>
            <w:tcBorders>
              <w:bottom w:val="single" w:sz="8" w:color="DFDFDF"/>
            </w:tcBorders>
          </w:tcPr>
          <w:p>
            <w:pPr>
              <w:jc w:val="right"/>
              <w:ind w:right="688"/>
              <w:spacing w:after="0"/>
              <w:rPr>
                <w:sz w:val="20"/>
                <w:szCs w:val="20"/>
                <w:color w:val="auto"/>
              </w:rPr>
            </w:pPr>
            <w:r>
              <w:rPr>
                <w:rFonts w:ascii="Arial" w:cs="Arial" w:eastAsia="Arial" w:hAnsi="Arial"/>
                <w:sz w:val="14"/>
                <w:szCs w:val="14"/>
                <w:color w:val="auto"/>
              </w:rPr>
              <w:t>592</w:t>
            </w:r>
          </w:p>
        </w:tc>
      </w:tr>
      <w:tr>
        <w:trPr>
          <w:trHeight w:val="415"/>
        </w:trPr>
        <w:tc>
          <w:tcPr>
            <w:tcW w:w="4820" w:type="dxa"/>
            <w:vAlign w:val="bottom"/>
          </w:tcPr>
          <w:p>
            <w:pPr>
              <w:spacing w:after="0"/>
              <w:rPr>
                <w:sz w:val="24"/>
                <w:szCs w:val="24"/>
                <w:color w:val="auto"/>
              </w:rPr>
            </w:pPr>
          </w:p>
        </w:tc>
        <w:tc>
          <w:tcPr>
            <w:tcW w:w="280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color w:val="auto"/>
                <w:w w:val="98"/>
              </w:rPr>
              <w:t>At December 31, 2008</w:t>
            </w:r>
          </w:p>
        </w:tc>
      </w:tr>
      <w:tr>
        <w:trPr>
          <w:trHeight w:val="207"/>
        </w:trPr>
        <w:tc>
          <w:tcPr>
            <w:tcW w:w="4820" w:type="dxa"/>
            <w:vAlign w:val="bottom"/>
          </w:tcPr>
          <w:p>
            <w:pPr>
              <w:ind w:left="20"/>
              <w:spacing w:after="0"/>
              <w:rPr>
                <w:sz w:val="20"/>
                <w:szCs w:val="20"/>
                <w:color w:val="auto"/>
              </w:rPr>
            </w:pPr>
            <w:r>
              <w:rPr>
                <w:rFonts w:ascii="Arial" w:cs="Arial" w:eastAsia="Arial" w:hAnsi="Arial"/>
                <w:sz w:val="14"/>
                <w:szCs w:val="14"/>
                <w:color w:val="auto"/>
              </w:rPr>
              <w:t>Current assets</w:t>
            </w:r>
          </w:p>
        </w:tc>
        <w:tc>
          <w:tcPr>
            <w:tcW w:w="1440" w:type="dxa"/>
            <w:vAlign w:val="bottom"/>
          </w:tcPr>
          <w:p>
            <w:pPr>
              <w:jc w:val="right"/>
              <w:ind w:right="153"/>
              <w:spacing w:after="0"/>
              <w:rPr>
                <w:sz w:val="20"/>
                <w:szCs w:val="20"/>
                <w:color w:val="auto"/>
              </w:rPr>
            </w:pPr>
            <w:r>
              <w:rPr>
                <w:rFonts w:ascii="Arial" w:cs="Arial" w:eastAsia="Arial" w:hAnsi="Arial"/>
                <w:sz w:val="14"/>
                <w:szCs w:val="14"/>
                <w:color w:val="auto"/>
              </w:rPr>
              <w:t>$</w:t>
            </w:r>
          </w:p>
        </w:tc>
        <w:tc>
          <w:tcPr>
            <w:tcW w:w="1360" w:type="dxa"/>
            <w:vAlign w:val="bottom"/>
          </w:tcPr>
          <w:p>
            <w:pPr>
              <w:jc w:val="right"/>
              <w:ind w:right="688"/>
              <w:spacing w:after="0"/>
              <w:rPr>
                <w:sz w:val="20"/>
                <w:szCs w:val="20"/>
                <w:color w:val="auto"/>
              </w:rPr>
            </w:pPr>
            <w:r>
              <w:rPr>
                <w:rFonts w:ascii="Arial" w:cs="Arial" w:eastAsia="Arial" w:hAnsi="Arial"/>
                <w:sz w:val="14"/>
                <w:szCs w:val="14"/>
                <w:color w:val="auto"/>
              </w:rPr>
              <w:t>8,713</w:t>
            </w:r>
          </w:p>
        </w:tc>
      </w:tr>
      <w:tr>
        <w:trPr>
          <w:trHeight w:val="216"/>
        </w:trPr>
        <w:tc>
          <w:tcPr>
            <w:tcW w:w="4820" w:type="dxa"/>
            <w:vAlign w:val="bottom"/>
          </w:tcPr>
          <w:p>
            <w:pPr>
              <w:ind w:left="20"/>
              <w:spacing w:after="0"/>
              <w:rPr>
                <w:sz w:val="20"/>
                <w:szCs w:val="20"/>
                <w:color w:val="auto"/>
              </w:rPr>
            </w:pPr>
            <w:r>
              <w:rPr>
                <w:rFonts w:ascii="Arial" w:cs="Arial" w:eastAsia="Arial" w:hAnsi="Arial"/>
                <w:sz w:val="14"/>
                <w:szCs w:val="14"/>
                <w:color w:val="auto"/>
              </w:rPr>
              <w:t>Noncurrent assets</w:t>
            </w:r>
          </w:p>
        </w:tc>
        <w:tc>
          <w:tcPr>
            <w:tcW w:w="1440" w:type="dxa"/>
            <w:vAlign w:val="bottom"/>
          </w:tcPr>
          <w:p>
            <w:pPr>
              <w:spacing w:after="0"/>
              <w:rPr>
                <w:sz w:val="18"/>
                <w:szCs w:val="18"/>
                <w:color w:val="auto"/>
              </w:rPr>
            </w:pPr>
          </w:p>
        </w:tc>
        <w:tc>
          <w:tcPr>
            <w:tcW w:w="1360" w:type="dxa"/>
            <w:vAlign w:val="bottom"/>
          </w:tcPr>
          <w:p>
            <w:pPr>
              <w:jc w:val="right"/>
              <w:ind w:right="688"/>
              <w:spacing w:after="0"/>
              <w:rPr>
                <w:sz w:val="20"/>
                <w:szCs w:val="20"/>
                <w:color w:val="auto"/>
              </w:rPr>
            </w:pPr>
            <w:r>
              <w:rPr>
                <w:rFonts w:ascii="Arial" w:cs="Arial" w:eastAsia="Arial" w:hAnsi="Arial"/>
                <w:sz w:val="14"/>
                <w:szCs w:val="14"/>
                <w:color w:val="auto"/>
              </w:rPr>
              <w:t>516</w:t>
            </w:r>
          </w:p>
        </w:tc>
      </w:tr>
      <w:tr>
        <w:trPr>
          <w:trHeight w:val="250"/>
        </w:trPr>
        <w:tc>
          <w:tcPr>
            <w:tcW w:w="4820" w:type="dxa"/>
            <w:vAlign w:val="bottom"/>
            <w:tcBorders>
              <w:bottom w:val="single" w:sz="8" w:color="DFDFDF"/>
            </w:tcBorders>
          </w:tcPr>
          <w:p>
            <w:pPr>
              <w:ind w:left="20"/>
              <w:spacing w:after="0"/>
              <w:rPr>
                <w:sz w:val="20"/>
                <w:szCs w:val="20"/>
                <w:color w:val="auto"/>
              </w:rPr>
            </w:pPr>
            <w:r>
              <w:rPr>
                <w:rFonts w:ascii="Arial" w:cs="Arial" w:eastAsia="Arial" w:hAnsi="Arial"/>
                <w:sz w:val="14"/>
                <w:szCs w:val="14"/>
                <w:color w:val="auto"/>
              </w:rPr>
              <w:t>Current liabilities</w:t>
            </w:r>
          </w:p>
        </w:tc>
        <w:tc>
          <w:tcPr>
            <w:tcW w:w="1440" w:type="dxa"/>
            <w:vAlign w:val="bottom"/>
            <w:tcBorders>
              <w:bottom w:val="single" w:sz="8" w:color="DFDFDF"/>
            </w:tcBorders>
          </w:tcPr>
          <w:p>
            <w:pPr>
              <w:spacing w:after="0"/>
              <w:rPr>
                <w:sz w:val="21"/>
                <w:szCs w:val="21"/>
                <w:color w:val="auto"/>
              </w:rPr>
            </w:pPr>
          </w:p>
        </w:tc>
        <w:tc>
          <w:tcPr>
            <w:tcW w:w="1360" w:type="dxa"/>
            <w:vAlign w:val="bottom"/>
            <w:tcBorders>
              <w:bottom w:val="single" w:sz="8" w:color="DFDFDF"/>
            </w:tcBorders>
          </w:tcPr>
          <w:p>
            <w:pPr>
              <w:jc w:val="right"/>
              <w:ind w:right="688"/>
              <w:spacing w:after="0"/>
              <w:rPr>
                <w:sz w:val="20"/>
                <w:szCs w:val="20"/>
                <w:color w:val="auto"/>
              </w:rPr>
            </w:pPr>
            <w:r>
              <w:rPr>
                <w:rFonts w:ascii="Arial" w:cs="Arial" w:eastAsia="Arial" w:hAnsi="Arial"/>
                <w:sz w:val="14"/>
                <w:szCs w:val="14"/>
                <w:color w:val="auto"/>
              </w:rPr>
              <w:t>5,581</w:t>
            </w:r>
          </w:p>
        </w:tc>
      </w:tr>
    </w:tbl>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Investments in Other Unconsolidated Subsidiaries</w:t>
      </w:r>
    </w:p>
    <w:p>
      <w:pPr>
        <w:spacing w:after="0" w:line="23" w:lineRule="exact"/>
        <w:rPr>
          <w:sz w:val="20"/>
          <w:szCs w:val="20"/>
          <w:color w:val="auto"/>
        </w:rPr>
      </w:pPr>
    </w:p>
    <w:p>
      <w:pPr>
        <w:ind w:right="20"/>
        <w:spacing w:after="0" w:line="264" w:lineRule="auto"/>
        <w:rPr>
          <w:sz w:val="20"/>
          <w:szCs w:val="20"/>
          <w:color w:val="auto"/>
        </w:rPr>
      </w:pPr>
      <w:r>
        <w:rPr>
          <w:rFonts w:ascii="Arial" w:cs="Arial" w:eastAsia="Arial" w:hAnsi="Arial"/>
          <w:sz w:val="16"/>
          <w:szCs w:val="16"/>
          <w:color w:val="auto"/>
        </w:rPr>
        <w:t>In February 2007, Sempra Commodities sold its interests in an equity method investment, along with a related cost-basis investment, receiving cash and a 12.7-percent interest in a newly formed entity. The after-tax gain on this transaction, recorded in Equity Earnings (Losses), Net of Income Tax, on the Statements of Consolidated Income, was $30 million.</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Available-for-Sale Securities</w:t>
      </w:r>
    </w:p>
    <w:p>
      <w:pPr>
        <w:spacing w:after="0" w:line="23" w:lineRule="exact"/>
        <w:rPr>
          <w:sz w:val="20"/>
          <w:szCs w:val="20"/>
          <w:color w:val="auto"/>
        </w:rPr>
      </w:pPr>
    </w:p>
    <w:p>
      <w:pPr>
        <w:ind w:right="160"/>
        <w:spacing w:after="0" w:line="264" w:lineRule="auto"/>
        <w:rPr>
          <w:sz w:val="20"/>
          <w:szCs w:val="20"/>
          <w:color w:val="auto"/>
        </w:rPr>
      </w:pPr>
      <w:r>
        <w:rPr>
          <w:rFonts w:ascii="Arial" w:cs="Arial" w:eastAsia="Arial" w:hAnsi="Arial"/>
          <w:sz w:val="16"/>
          <w:szCs w:val="16"/>
          <w:color w:val="auto"/>
        </w:rPr>
        <w:t>Sempra Commodities had $80 million of available-for-sale securities included in Other Investments at December 31, 2007. At December 31, 2007, the balance in Accumulated Other Comprehensive Income (Loss) related to these securities was $28 million net of income tax, comprised of $28 million of unrealized gains and a negligible amount of unrealized losses.</w:t>
      </w:r>
    </w:p>
    <w:p>
      <w:pPr>
        <w:spacing w:after="0" w:line="42" w:lineRule="exact"/>
        <w:rPr>
          <w:sz w:val="20"/>
          <w:szCs w:val="20"/>
          <w:color w:val="auto"/>
        </w:rPr>
      </w:pPr>
    </w:p>
    <w:p>
      <w:pPr>
        <w:ind w:right="100"/>
        <w:spacing w:after="0" w:line="259" w:lineRule="auto"/>
        <w:rPr>
          <w:sz w:val="20"/>
          <w:szCs w:val="20"/>
          <w:color w:val="auto"/>
        </w:rPr>
      </w:pPr>
      <w:r>
        <w:rPr>
          <w:rFonts w:ascii="Arial" w:cs="Arial" w:eastAsia="Arial" w:hAnsi="Arial"/>
          <w:sz w:val="16"/>
          <w:szCs w:val="16"/>
          <w:color w:val="auto"/>
        </w:rPr>
        <w:t>Sempra Commodities recorded purchases of available-for-sale securities of $1 million in the first quarter of 2008 and $12 million in the year 2007. Sempra Commodities had no sales of available-for-sale securities in 2008 prior to the formation of the joint venture. Sempra Commodities sold $20 million of available-for-sale securities in 2007, yielding proceeds of $54 million. The cost basis of the sales was determined by the specific identification method and pretax gains of $34 million were realized as a result of the sales in 2007. There was no impairment of available-for-sale securities in 2008.</w:t>
      </w:r>
    </w:p>
    <w:p>
      <w:pPr>
        <w:spacing w:after="0" w:line="24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SEMPRA GENERATION</w:t>
      </w:r>
    </w:p>
    <w:p>
      <w:pPr>
        <w:spacing w:after="0" w:line="89" w:lineRule="exact"/>
        <w:rPr>
          <w:sz w:val="20"/>
          <w:szCs w:val="20"/>
          <w:color w:val="auto"/>
        </w:rPr>
      </w:pPr>
    </w:p>
    <w:p>
      <w:pPr>
        <w:ind w:right="580"/>
        <w:spacing w:after="0" w:line="277" w:lineRule="auto"/>
        <w:rPr>
          <w:sz w:val="20"/>
          <w:szCs w:val="20"/>
          <w:color w:val="auto"/>
        </w:rPr>
      </w:pPr>
      <w:r>
        <w:rPr>
          <w:rFonts w:ascii="Arial" w:cs="Arial" w:eastAsia="Arial" w:hAnsi="Arial"/>
          <w:sz w:val="16"/>
          <w:szCs w:val="16"/>
          <w:color w:val="auto"/>
        </w:rPr>
        <w:t>The 550-MW Elk Hills Power (Elk Hills) plant located near Bakersfield, California began commercial operations in July 2003. Elk Hills is 50-percent owned by Sempra Generation.</w:t>
      </w:r>
    </w:p>
    <w:p>
      <w:pPr>
        <w:spacing w:after="0" w:line="32" w:lineRule="exact"/>
        <w:rPr>
          <w:sz w:val="20"/>
          <w:szCs w:val="20"/>
          <w:color w:val="auto"/>
        </w:rPr>
      </w:pPr>
    </w:p>
    <w:p>
      <w:pPr>
        <w:ind w:right="80"/>
        <w:spacing w:after="0" w:line="308" w:lineRule="auto"/>
        <w:rPr>
          <w:sz w:val="20"/>
          <w:szCs w:val="20"/>
          <w:color w:val="auto"/>
        </w:rPr>
      </w:pPr>
      <w:r>
        <w:rPr>
          <w:rFonts w:ascii="Arial" w:cs="Arial" w:eastAsia="Arial" w:hAnsi="Arial"/>
          <w:sz w:val="14"/>
          <w:szCs w:val="14"/>
          <w:color w:val="auto"/>
        </w:rPr>
        <w:t>In July 2004, Topaz, a 50/50 joint venture between Sempra Generation and Riverstone Holdings, acquired ten Texas power plants from American Electric Power (AEP), including the 632-MW coal-fired Coleto Creek Power Station (Coleto Creek) and three natural gas and oil-fired plants in Laredo, San Benito and Corpus Christi, Texas. In July 2006, Sempra Generation and Riverstone Holdings sold Coleto Creek for a total of $1.15 billion in cash. The majority of the proceeds from the sale were distributed by Topaz as a dividend to Sempra Generation and Riverstone Holdings. The sale of the plant resulted in a pretax gain of $353 million for Sempra Generation, which was reported</w:t>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4"/>
          <w:szCs w:val="14"/>
          <w:color w:val="auto"/>
        </w:rPr>
        <w:t>120</w:t>
      </w:r>
    </w:p>
    <w:p>
      <w:pPr>
        <w:sectPr>
          <w:pgSz w:w="11900" w:h="16838" w:orient="portrait"/>
          <w:cols w:equalWidth="0" w:num="1">
            <w:col w:w="11400"/>
          </w:cols>
          <w:pgMar w:left="240" w:top="127" w:right="259" w:bottom="1440" w:gutter="0" w:footer="0" w:header="0"/>
        </w:sectPr>
      </w:pPr>
    </w:p>
    <w:bookmarkStart w:id="260" w:name="page261"/>
    <w:bookmarkEnd w:id="260"/>
    <w:p>
      <w:pPr>
        <w:spacing w:after="0" w:line="289" w:lineRule="auto"/>
        <w:rPr>
          <w:sz w:val="20"/>
          <w:szCs w:val="20"/>
          <w:color w:val="auto"/>
        </w:rPr>
      </w:pPr>
      <w:r>
        <w:rPr>
          <w:rFonts w:ascii="Arial" w:cs="Arial" w:eastAsia="Arial" w:hAnsi="Arial"/>
          <w:sz w:val="15"/>
          <w:szCs w:val="15"/>
          <w:color w:val="auto"/>
        </w:rPr>
        <w:t xml:space="preserve">in Equity Earnings (Losses) </w:t>
      </w:r>
      <w:r>
        <w:rPr>
          <w:rFonts w:ascii="Arial" w:cs="Arial" w:eastAsia="Arial" w:hAnsi="Arial"/>
          <w:sz w:val="13"/>
          <w:szCs w:val="13"/>
          <w:color w:val="auto"/>
        </w:rPr>
        <w:t>–</w:t>
      </w:r>
      <w:r>
        <w:rPr>
          <w:rFonts w:ascii="Arial" w:cs="Arial" w:eastAsia="Arial" w:hAnsi="Arial"/>
          <w:sz w:val="15"/>
          <w:szCs w:val="15"/>
          <w:color w:val="auto"/>
        </w:rPr>
        <w:t xml:space="preserve"> Other, on the Statements of Consolidated Income. In a separate transaction, also in July 2006, Sempra Generation sold its interests in the natural gas plants that it acquired in connection with the Coleto Creek plant. An impairment loss of $9 million pretax related to the sale of the natural gas plants was recorded in 2006. In accordance with GAAP, because our interests in Topaz are reported under the equity method, they are not reported as a discontinued operation.</w:t>
      </w:r>
    </w:p>
    <w:p>
      <w:pPr>
        <w:spacing w:after="0" w:line="26" w:lineRule="exact"/>
        <w:rPr>
          <w:sz w:val="20"/>
          <w:szCs w:val="20"/>
          <w:color w:val="auto"/>
        </w:rPr>
      </w:pPr>
    </w:p>
    <w:p>
      <w:pPr>
        <w:spacing w:after="0"/>
        <w:rPr>
          <w:sz w:val="20"/>
          <w:szCs w:val="20"/>
          <w:color w:val="auto"/>
        </w:rPr>
      </w:pPr>
      <w:r>
        <w:rPr>
          <w:rFonts w:ascii="Arial" w:cs="Arial" w:eastAsia="Arial" w:hAnsi="Arial"/>
          <w:sz w:val="15"/>
          <w:szCs w:val="15"/>
          <w:color w:val="auto"/>
        </w:rPr>
        <w:t>The following table shows summarized financial information for Topaz and ignores any reclassifications necessary for discontinued operations reporting by Topaz: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2156460</wp:posOffset>
            </wp:positionH>
            <wp:positionV relativeFrom="paragraph">
              <wp:posOffset>203835</wp:posOffset>
            </wp:positionV>
            <wp:extent cx="2952115" cy="26670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2952115" cy="266700"/>
                    </a:xfrm>
                    <a:prstGeom prst="rect">
                      <a:avLst/>
                    </a:prstGeom>
                    <a:noFill/>
                  </pic:spPr>
                </pic:pic>
              </a:graphicData>
            </a:graphic>
          </wp:anchor>
        </w:drawing>
      </w:r>
    </w:p>
    <w:p>
      <w:pPr>
        <w:spacing w:after="0" w:line="308" w:lineRule="exact"/>
        <w:rPr>
          <w:sz w:val="20"/>
          <w:szCs w:val="20"/>
          <w:color w:val="auto"/>
        </w:rPr>
      </w:pPr>
    </w:p>
    <w:p>
      <w:pPr>
        <w:ind w:left="3400"/>
        <w:spacing w:after="0"/>
        <w:rPr>
          <w:sz w:val="20"/>
          <w:szCs w:val="20"/>
          <w:color w:val="auto"/>
        </w:rPr>
      </w:pPr>
      <w:r>
        <w:rPr>
          <w:rFonts w:ascii="Arial" w:cs="Arial" w:eastAsia="Arial" w:hAnsi="Arial"/>
          <w:sz w:val="14"/>
          <w:szCs w:val="14"/>
          <w:b w:val="1"/>
          <w:bCs w:val="1"/>
          <w:color w:val="auto"/>
        </w:rPr>
        <w:t>SUMMARIZED FINANCIAL INFORMATION FOR TOPAZ</w:t>
      </w:r>
    </w:p>
    <w:p>
      <w:pPr>
        <w:spacing w:after="0" w:line="76" w:lineRule="exact"/>
        <w:rPr>
          <w:sz w:val="20"/>
          <w:szCs w:val="20"/>
          <w:color w:val="auto"/>
        </w:rPr>
      </w:pPr>
    </w:p>
    <w:p>
      <w:pPr>
        <w:ind w:left="3400"/>
        <w:spacing w:after="0"/>
        <w:rPr>
          <w:sz w:val="20"/>
          <w:szCs w:val="20"/>
          <w:color w:val="auto"/>
        </w:rPr>
      </w:pPr>
      <w:r>
        <w:rPr>
          <w:rFonts w:ascii="Arial" w:cs="Arial" w:eastAsia="Arial" w:hAnsi="Arial"/>
          <w:sz w:val="13"/>
          <w:szCs w:val="13"/>
          <w:i w:val="1"/>
          <w:iCs w:val="1"/>
          <w:color w:val="auto"/>
        </w:rPr>
        <w:t>(Dollars in millions)</w:t>
      </w:r>
    </w:p>
    <w:p>
      <w:pPr>
        <w:spacing w:after="0" w:line="43" w:lineRule="exact"/>
        <w:rPr>
          <w:sz w:val="20"/>
          <w:szCs w:val="20"/>
          <w:color w:val="auto"/>
        </w:rPr>
      </w:pPr>
    </w:p>
    <w:tbl>
      <w:tblPr>
        <w:tblLayout w:type="fixed"/>
        <w:tblInd w:w="3400" w:type="dxa"/>
        <w:tblCellMar>
          <w:top w:w="0" w:type="dxa"/>
          <w:left w:w="0" w:type="dxa"/>
          <w:bottom w:w="0" w:type="dxa"/>
          <w:right w:w="0" w:type="dxa"/>
        </w:tblCellMar>
      </w:tblPr>
      <w:tr>
        <w:trPr>
          <w:trHeight w:val="154"/>
        </w:trPr>
        <w:tc>
          <w:tcPr>
            <w:tcW w:w="23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60" w:type="dxa"/>
            <w:vAlign w:val="bottom"/>
          </w:tcPr>
          <w:p>
            <w:pPr>
              <w:jc w:val="right"/>
              <w:ind w:right="509"/>
              <w:spacing w:after="0"/>
              <w:rPr>
                <w:sz w:val="20"/>
                <w:szCs w:val="20"/>
                <w:color w:val="auto"/>
              </w:rPr>
            </w:pPr>
            <w:r>
              <w:rPr>
                <w:rFonts w:ascii="Arial" w:cs="Arial" w:eastAsia="Arial" w:hAnsi="Arial"/>
                <w:sz w:val="13"/>
                <w:szCs w:val="13"/>
                <w:color w:val="auto"/>
                <w:w w:val="98"/>
              </w:rPr>
              <w:t>Year ended</w:t>
            </w:r>
          </w:p>
        </w:tc>
      </w:tr>
      <w:tr>
        <w:trPr>
          <w:trHeight w:val="161"/>
        </w:trPr>
        <w:tc>
          <w:tcPr>
            <w:tcW w:w="2360" w:type="dxa"/>
            <w:vAlign w:val="bottom"/>
            <w:tcBorders>
              <w:bottom w:val="single" w:sz="8" w:color="auto"/>
            </w:tcBorders>
          </w:tcPr>
          <w:p>
            <w:pPr>
              <w:spacing w:after="0"/>
              <w:rPr>
                <w:sz w:val="14"/>
                <w:szCs w:val="14"/>
                <w:color w:val="auto"/>
              </w:rPr>
            </w:pPr>
          </w:p>
        </w:tc>
        <w:tc>
          <w:tcPr>
            <w:tcW w:w="2280" w:type="dxa"/>
            <w:vAlign w:val="bottom"/>
            <w:tcBorders>
              <w:bottom w:val="single" w:sz="8" w:color="auto"/>
            </w:tcBorders>
            <w:gridSpan w:val="2"/>
          </w:tcPr>
          <w:p>
            <w:pPr>
              <w:jc w:val="right"/>
              <w:ind w:right="249"/>
              <w:spacing w:after="0"/>
              <w:rPr>
                <w:sz w:val="20"/>
                <w:szCs w:val="20"/>
                <w:color w:val="auto"/>
              </w:rPr>
            </w:pPr>
            <w:r>
              <w:rPr>
                <w:rFonts w:ascii="Arial" w:cs="Arial" w:eastAsia="Arial" w:hAnsi="Arial"/>
                <w:sz w:val="13"/>
                <w:szCs w:val="13"/>
                <w:color w:val="auto"/>
              </w:rPr>
              <w:t>December 31, 2006</w:t>
            </w:r>
          </w:p>
        </w:tc>
      </w:tr>
      <w:tr>
        <w:trPr>
          <w:trHeight w:val="207"/>
        </w:trPr>
        <w:tc>
          <w:tcPr>
            <w:tcW w:w="2360" w:type="dxa"/>
            <w:vAlign w:val="bottom"/>
          </w:tcPr>
          <w:p>
            <w:pPr>
              <w:spacing w:after="0"/>
              <w:rPr>
                <w:sz w:val="20"/>
                <w:szCs w:val="20"/>
                <w:color w:val="auto"/>
              </w:rPr>
            </w:pPr>
            <w:r>
              <w:rPr>
                <w:rFonts w:ascii="Arial" w:cs="Arial" w:eastAsia="Arial" w:hAnsi="Arial"/>
                <w:sz w:val="14"/>
                <w:szCs w:val="14"/>
                <w:color w:val="auto"/>
              </w:rPr>
              <w:t>Gross revenues</w:t>
            </w: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c>
          <w:tcPr>
            <w:tcW w:w="1260" w:type="dxa"/>
            <w:vAlign w:val="bottom"/>
          </w:tcPr>
          <w:p>
            <w:pPr>
              <w:jc w:val="right"/>
              <w:ind w:right="429"/>
              <w:spacing w:after="0"/>
              <w:rPr>
                <w:sz w:val="20"/>
                <w:szCs w:val="20"/>
                <w:color w:val="auto"/>
              </w:rPr>
            </w:pPr>
            <w:r>
              <w:rPr>
                <w:rFonts w:ascii="Arial" w:cs="Arial" w:eastAsia="Arial" w:hAnsi="Arial"/>
                <w:sz w:val="14"/>
                <w:szCs w:val="14"/>
                <w:color w:val="auto"/>
              </w:rPr>
              <w:t>212</w:t>
            </w:r>
          </w:p>
        </w:tc>
      </w:tr>
      <w:tr>
        <w:trPr>
          <w:trHeight w:val="216"/>
        </w:trPr>
        <w:tc>
          <w:tcPr>
            <w:tcW w:w="2360" w:type="dxa"/>
            <w:vAlign w:val="bottom"/>
          </w:tcPr>
          <w:p>
            <w:pPr>
              <w:spacing w:after="0"/>
              <w:rPr>
                <w:sz w:val="20"/>
                <w:szCs w:val="20"/>
                <w:color w:val="auto"/>
              </w:rPr>
            </w:pPr>
            <w:r>
              <w:rPr>
                <w:rFonts w:ascii="Arial" w:cs="Arial" w:eastAsia="Arial" w:hAnsi="Arial"/>
                <w:sz w:val="14"/>
                <w:szCs w:val="14"/>
                <w:color w:val="auto"/>
              </w:rPr>
              <w:t>Gross profit</w:t>
            </w:r>
          </w:p>
        </w:tc>
        <w:tc>
          <w:tcPr>
            <w:tcW w:w="1020" w:type="dxa"/>
            <w:vAlign w:val="bottom"/>
          </w:tcPr>
          <w:p>
            <w:pPr>
              <w:spacing w:after="0"/>
              <w:rPr>
                <w:sz w:val="18"/>
                <w:szCs w:val="18"/>
                <w:color w:val="auto"/>
              </w:rPr>
            </w:pPr>
          </w:p>
        </w:tc>
        <w:tc>
          <w:tcPr>
            <w:tcW w:w="1260" w:type="dxa"/>
            <w:vAlign w:val="bottom"/>
          </w:tcPr>
          <w:p>
            <w:pPr>
              <w:jc w:val="right"/>
              <w:ind w:right="429"/>
              <w:spacing w:after="0"/>
              <w:rPr>
                <w:sz w:val="20"/>
                <w:szCs w:val="20"/>
                <w:color w:val="auto"/>
              </w:rPr>
            </w:pPr>
            <w:r>
              <w:rPr>
                <w:rFonts w:ascii="Arial" w:cs="Arial" w:eastAsia="Arial" w:hAnsi="Arial"/>
                <w:sz w:val="14"/>
                <w:szCs w:val="14"/>
                <w:color w:val="auto"/>
              </w:rPr>
              <w:t>71</w:t>
            </w:r>
          </w:p>
        </w:tc>
      </w:tr>
      <w:tr>
        <w:trPr>
          <w:trHeight w:val="216"/>
        </w:trPr>
        <w:tc>
          <w:tcPr>
            <w:tcW w:w="2360" w:type="dxa"/>
            <w:vAlign w:val="bottom"/>
          </w:tcPr>
          <w:p>
            <w:pPr>
              <w:spacing w:after="0"/>
              <w:rPr>
                <w:sz w:val="20"/>
                <w:szCs w:val="20"/>
                <w:color w:val="auto"/>
              </w:rPr>
            </w:pPr>
            <w:r>
              <w:rPr>
                <w:rFonts w:ascii="Arial" w:cs="Arial" w:eastAsia="Arial" w:hAnsi="Arial"/>
                <w:sz w:val="14"/>
                <w:szCs w:val="14"/>
                <w:color w:val="auto"/>
              </w:rPr>
              <w:t>Income from operations</w:t>
            </w:r>
          </w:p>
        </w:tc>
        <w:tc>
          <w:tcPr>
            <w:tcW w:w="1020" w:type="dxa"/>
            <w:vAlign w:val="bottom"/>
          </w:tcPr>
          <w:p>
            <w:pPr>
              <w:spacing w:after="0"/>
              <w:rPr>
                <w:sz w:val="18"/>
                <w:szCs w:val="18"/>
                <w:color w:val="auto"/>
              </w:rPr>
            </w:pPr>
          </w:p>
        </w:tc>
        <w:tc>
          <w:tcPr>
            <w:tcW w:w="1260" w:type="dxa"/>
            <w:vAlign w:val="bottom"/>
          </w:tcPr>
          <w:p>
            <w:pPr>
              <w:jc w:val="right"/>
              <w:ind w:right="429"/>
              <w:spacing w:after="0"/>
              <w:rPr>
                <w:sz w:val="20"/>
                <w:szCs w:val="20"/>
                <w:color w:val="auto"/>
              </w:rPr>
            </w:pPr>
            <w:r>
              <w:rPr>
                <w:rFonts w:ascii="Arial" w:cs="Arial" w:eastAsia="Arial" w:hAnsi="Arial"/>
                <w:sz w:val="14"/>
                <w:szCs w:val="14"/>
                <w:color w:val="auto"/>
              </w:rPr>
              <w:t>21</w:t>
            </w:r>
          </w:p>
        </w:tc>
      </w:tr>
      <w:tr>
        <w:trPr>
          <w:trHeight w:val="216"/>
        </w:trPr>
        <w:tc>
          <w:tcPr>
            <w:tcW w:w="2360" w:type="dxa"/>
            <w:vAlign w:val="bottom"/>
          </w:tcPr>
          <w:p>
            <w:pPr>
              <w:spacing w:after="0"/>
              <w:rPr>
                <w:sz w:val="20"/>
                <w:szCs w:val="20"/>
                <w:color w:val="auto"/>
              </w:rPr>
            </w:pPr>
            <w:r>
              <w:rPr>
                <w:rFonts w:ascii="Arial" w:cs="Arial" w:eastAsia="Arial" w:hAnsi="Arial"/>
                <w:sz w:val="14"/>
                <w:szCs w:val="14"/>
                <w:color w:val="auto"/>
              </w:rPr>
              <w:t>Gain on sale of assets</w:t>
            </w:r>
          </w:p>
        </w:tc>
        <w:tc>
          <w:tcPr>
            <w:tcW w:w="1020" w:type="dxa"/>
            <w:vAlign w:val="bottom"/>
          </w:tcPr>
          <w:p>
            <w:pPr>
              <w:spacing w:after="0"/>
              <w:rPr>
                <w:sz w:val="18"/>
                <w:szCs w:val="18"/>
                <w:color w:val="auto"/>
              </w:rPr>
            </w:pPr>
          </w:p>
        </w:tc>
        <w:tc>
          <w:tcPr>
            <w:tcW w:w="1260" w:type="dxa"/>
            <w:vAlign w:val="bottom"/>
          </w:tcPr>
          <w:p>
            <w:pPr>
              <w:jc w:val="right"/>
              <w:ind w:right="429"/>
              <w:spacing w:after="0"/>
              <w:rPr>
                <w:sz w:val="20"/>
                <w:szCs w:val="20"/>
                <w:color w:val="auto"/>
              </w:rPr>
            </w:pPr>
            <w:r>
              <w:rPr>
                <w:rFonts w:ascii="Arial" w:cs="Arial" w:eastAsia="Arial" w:hAnsi="Arial"/>
                <w:sz w:val="14"/>
                <w:szCs w:val="14"/>
                <w:color w:val="auto"/>
              </w:rPr>
              <w:t>705</w:t>
            </w:r>
          </w:p>
        </w:tc>
      </w:tr>
      <w:tr>
        <w:trPr>
          <w:trHeight w:val="250"/>
        </w:trPr>
        <w:tc>
          <w:tcPr>
            <w:tcW w:w="2360" w:type="dxa"/>
            <w:vAlign w:val="bottom"/>
            <w:tcBorders>
              <w:bottom w:val="single" w:sz="8" w:color="DFDFDF"/>
            </w:tcBorders>
          </w:tcPr>
          <w:p>
            <w:pPr>
              <w:spacing w:after="0"/>
              <w:rPr>
                <w:sz w:val="20"/>
                <w:szCs w:val="20"/>
                <w:color w:val="auto"/>
              </w:rPr>
            </w:pPr>
            <w:r>
              <w:rPr>
                <w:rFonts w:ascii="Arial" w:cs="Arial" w:eastAsia="Arial" w:hAnsi="Arial"/>
                <w:sz w:val="14"/>
                <w:szCs w:val="14"/>
                <w:color w:val="auto"/>
              </w:rPr>
              <w:t>Net income</w:t>
            </w:r>
          </w:p>
        </w:tc>
        <w:tc>
          <w:tcPr>
            <w:tcW w:w="1020" w:type="dxa"/>
            <w:vAlign w:val="bottom"/>
            <w:tcBorders>
              <w:bottom w:val="single" w:sz="8" w:color="DFDFDF"/>
            </w:tcBorders>
          </w:tcPr>
          <w:p>
            <w:pPr>
              <w:spacing w:after="0"/>
              <w:rPr>
                <w:sz w:val="21"/>
                <w:szCs w:val="21"/>
                <w:color w:val="auto"/>
              </w:rPr>
            </w:pPr>
          </w:p>
        </w:tc>
        <w:tc>
          <w:tcPr>
            <w:tcW w:w="1260" w:type="dxa"/>
            <w:vAlign w:val="bottom"/>
            <w:tcBorders>
              <w:bottom w:val="single" w:sz="8" w:color="DFDFDF"/>
            </w:tcBorders>
          </w:tcPr>
          <w:p>
            <w:pPr>
              <w:jc w:val="right"/>
              <w:ind w:right="429"/>
              <w:spacing w:after="0"/>
              <w:rPr>
                <w:sz w:val="20"/>
                <w:szCs w:val="20"/>
                <w:color w:val="auto"/>
              </w:rPr>
            </w:pPr>
            <w:r>
              <w:rPr>
                <w:rFonts w:ascii="Arial" w:cs="Arial" w:eastAsia="Arial" w:hAnsi="Arial"/>
                <w:sz w:val="14"/>
                <w:szCs w:val="14"/>
                <w:color w:val="auto"/>
              </w:rPr>
              <w:t>726</w:t>
            </w:r>
          </w:p>
        </w:tc>
      </w:tr>
    </w:tbl>
    <w:p>
      <w:pPr>
        <w:spacing w:after="0" w:line="2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SEMPRA PIPELINES &amp; STORAGE</w:t>
      </w:r>
    </w:p>
    <w:p>
      <w:pPr>
        <w:spacing w:after="0" w:line="89" w:lineRule="exact"/>
        <w:rPr>
          <w:sz w:val="20"/>
          <w:szCs w:val="20"/>
          <w:color w:val="auto"/>
        </w:rPr>
      </w:pPr>
    </w:p>
    <w:p>
      <w:pPr>
        <w:ind w:right="120"/>
        <w:spacing w:after="0" w:line="299" w:lineRule="auto"/>
        <w:rPr>
          <w:sz w:val="20"/>
          <w:szCs w:val="20"/>
          <w:color w:val="auto"/>
        </w:rPr>
      </w:pPr>
      <w:r>
        <w:rPr>
          <w:rFonts w:ascii="Arial" w:cs="Arial" w:eastAsia="Arial" w:hAnsi="Arial"/>
          <w:sz w:val="14"/>
          <w:szCs w:val="14"/>
          <w:color w:val="auto"/>
        </w:rPr>
        <w:t>In 2006, Sempra Pipelines &amp; Storage consummated an agreement with Kinder Morgan Energy Partners, L.P. (KMP) to jointly pursue through Rockies Express the development of a proposed natural gas pipeline, the Rockies Express Pipeline (REX), that would link producing areas in the Rocky Mountain region to the upper Midwest and the eastern United States. Currently, KMP, Sempra Pipelines &amp; Storage and ConocoPhillips (Conoco) own interests of 51 percent, 25 percent and 24 percent, respectively, in Rockies Express. Upon completion of construction of the pipeline, Conoco will acquire an additional one-percent interest from KMP. We made contributions to Rockies Express of $150 million in 2008 and $100 million in 2007. Through financing received by Rockies Express in 2006, Sempra Pipelines &amp; Storage and KMP were repaid their initial capital contributions, which was reported in Distributions from Investments on the Statements of Consolidated Cash Flows. We provide additional information in Note 6.</w:t>
      </w:r>
    </w:p>
    <w:p>
      <w:pPr>
        <w:spacing w:after="0" w:line="22" w:lineRule="exact"/>
        <w:rPr>
          <w:sz w:val="20"/>
          <w:szCs w:val="20"/>
          <w:color w:val="auto"/>
        </w:rPr>
      </w:pPr>
    </w:p>
    <w:p>
      <w:pPr>
        <w:spacing w:after="0" w:line="278" w:lineRule="auto"/>
        <w:rPr>
          <w:sz w:val="20"/>
          <w:szCs w:val="20"/>
          <w:color w:val="auto"/>
        </w:rPr>
      </w:pPr>
      <w:r>
        <w:rPr>
          <w:rFonts w:ascii="Arial" w:cs="Arial" w:eastAsia="Arial" w:hAnsi="Arial"/>
          <w:sz w:val="15"/>
          <w:szCs w:val="15"/>
          <w:color w:val="auto"/>
        </w:rPr>
        <w:t>Sempra Pipelines &amp; Storage owns a 50-percent interest in Chilquinta Energía S.A., a Chilean electric utility, and a 38-percent interest in Luz del Sur, a Peruvian electric utility. Sempra Pipelines &amp; Storage also owns 43 percent of two Argentine natural gas utility holding companies, Sodigas Pampeana and Sodigas Sur. As a result of the devaluation of the Argentine peso at the end of 2001 and subsequent changes in the value of the peso, Sempra Pipelines &amp; Storage has reduced the carrying value of its investment downward by a cumulative total of $270 million as of December 31, 2008. These noncash adjustments, based on fluctuations in the value of the Argentine peso, did not affect net income, but were recorded in Comprehensive Income and Accumulated Other Comprehensive Income (Loss).</w:t>
      </w:r>
    </w:p>
    <w:p>
      <w:pPr>
        <w:spacing w:after="0" w:line="34" w:lineRule="exact"/>
        <w:rPr>
          <w:sz w:val="20"/>
          <w:szCs w:val="20"/>
          <w:color w:val="auto"/>
        </w:rPr>
      </w:pPr>
    </w:p>
    <w:p>
      <w:pPr>
        <w:ind w:right="100"/>
        <w:spacing w:after="0" w:line="256" w:lineRule="auto"/>
        <w:rPr>
          <w:sz w:val="20"/>
          <w:szCs w:val="20"/>
          <w:color w:val="auto"/>
        </w:rPr>
      </w:pPr>
      <w:r>
        <w:rPr>
          <w:rFonts w:ascii="Arial" w:cs="Arial" w:eastAsia="Arial" w:hAnsi="Arial"/>
          <w:sz w:val="16"/>
          <w:szCs w:val="16"/>
          <w:color w:val="auto"/>
        </w:rPr>
        <w:t>The related Argentine economic decline and government responses (including Argentina’s unilateral, retroactive abrogation of utility agreements early in 2002) continue to adversely affect the operations of these Argentine utilities. In 2002, Sempra Pipelines &amp; Storage initiated arbitration proceedings at the International Center for the Settlement of Investment Disputes (ICSID) under the 1994 Bilateral Investment Treaty between the United States and Argentina for recovery of the diminution of the value of its investments that has resulted from Argentine governmental actions. In September 2007, the tribunal officially closed the arbitration proceedings and awarded us compensation of $172 million, which includes interest up to the award date. In January 2008, Argentina filed an action at the ICSID seeking to annul the award. We will not recognize the award until collectibility is assured.</w:t>
      </w:r>
    </w:p>
    <w:p>
      <w:pPr>
        <w:spacing w:after="0" w:line="48" w:lineRule="exact"/>
        <w:rPr>
          <w:sz w:val="20"/>
          <w:szCs w:val="20"/>
          <w:color w:val="auto"/>
        </w:rPr>
      </w:pPr>
    </w:p>
    <w:p>
      <w:pPr>
        <w:ind w:right="80"/>
        <w:spacing w:after="0" w:line="264" w:lineRule="auto"/>
        <w:rPr>
          <w:sz w:val="20"/>
          <w:szCs w:val="20"/>
          <w:color w:val="auto"/>
        </w:rPr>
      </w:pPr>
      <w:r>
        <w:rPr>
          <w:rFonts w:ascii="Arial" w:cs="Arial" w:eastAsia="Arial" w:hAnsi="Arial"/>
          <w:sz w:val="16"/>
          <w:szCs w:val="16"/>
          <w:color w:val="auto"/>
        </w:rPr>
        <w:t>In December 2006, we decided to sell our Argentine investments, and we continue to actively pursue their sale. We adjusted our investments to estimated fair value and recorded a noncash impairment charge to fourth quarter 2006 net income of $221 million. The charge to net income is reported in Equity Earnings (Losses), Net of Income Tax, on the Statements of Consolidated Income.</w:t>
      </w: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14"/>
          <w:szCs w:val="14"/>
          <w:color w:val="auto"/>
        </w:rPr>
        <w:t>121</w:t>
      </w:r>
    </w:p>
    <w:p>
      <w:pPr>
        <w:sectPr>
          <w:pgSz w:w="11900" w:h="16838" w:orient="portrait"/>
          <w:cols w:equalWidth="0" w:num="1">
            <w:col w:w="11420"/>
          </w:cols>
          <w:pgMar w:left="240" w:top="127" w:right="239" w:bottom="1440" w:gutter="0" w:footer="0" w:header="0"/>
        </w:sectPr>
      </w:pPr>
    </w:p>
    <w:bookmarkStart w:id="261" w:name="page262"/>
    <w:bookmarkEnd w:id="261"/>
    <w:p>
      <w:pPr>
        <w:ind w:left="4"/>
        <w:spacing w:after="0"/>
        <w:rPr>
          <w:sz w:val="20"/>
          <w:szCs w:val="20"/>
          <w:color w:val="auto"/>
        </w:rPr>
      </w:pPr>
      <w:r>
        <w:rPr>
          <w:rFonts w:ascii="Arial" w:cs="Arial" w:eastAsia="Arial" w:hAnsi="Arial"/>
          <w:sz w:val="16"/>
          <w:szCs w:val="16"/>
          <w:color w:val="auto"/>
        </w:rPr>
        <w:t>The following tables show summarized financial information for Sodigas Pampeana and Sodigas Sur: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1159510</wp:posOffset>
            </wp:positionH>
            <wp:positionV relativeFrom="paragraph">
              <wp:posOffset>241935</wp:posOffset>
            </wp:positionV>
            <wp:extent cx="4942840" cy="26670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4942840" cy="266700"/>
                    </a:xfrm>
                    <a:prstGeom prst="rect">
                      <a:avLst/>
                    </a:prstGeom>
                    <a:noFill/>
                  </pic:spPr>
                </pic:pic>
              </a:graphicData>
            </a:graphic>
          </wp:anchor>
        </w:drawing>
      </w:r>
    </w:p>
    <w:p>
      <w:pPr>
        <w:spacing w:after="0" w:line="369" w:lineRule="exact"/>
        <w:rPr>
          <w:sz w:val="20"/>
          <w:szCs w:val="20"/>
          <w:color w:val="auto"/>
        </w:rPr>
      </w:pPr>
    </w:p>
    <w:p>
      <w:pPr>
        <w:ind w:left="1844"/>
        <w:spacing w:after="0"/>
        <w:rPr>
          <w:sz w:val="20"/>
          <w:szCs w:val="20"/>
          <w:color w:val="auto"/>
        </w:rPr>
      </w:pPr>
      <w:r>
        <w:rPr>
          <w:rFonts w:ascii="Arial" w:cs="Arial" w:eastAsia="Arial" w:hAnsi="Arial"/>
          <w:sz w:val="14"/>
          <w:szCs w:val="14"/>
          <w:b w:val="1"/>
          <w:bCs w:val="1"/>
          <w:color w:val="auto"/>
        </w:rPr>
        <w:t>SODIGAS PAMPEANA AND SODIGAS SUR – SUMMARIZED FINANCIAL INFORMATION</w:t>
      </w:r>
    </w:p>
    <w:p>
      <w:pPr>
        <w:spacing w:after="0" w:line="76" w:lineRule="exact"/>
        <w:rPr>
          <w:sz w:val="20"/>
          <w:szCs w:val="20"/>
          <w:color w:val="auto"/>
        </w:rPr>
      </w:pPr>
    </w:p>
    <w:tbl>
      <w:tblPr>
        <w:tblLayout w:type="fixed"/>
        <w:tblInd w:w="1824" w:type="dxa"/>
        <w:tblCellMar>
          <w:top w:w="0" w:type="dxa"/>
          <w:left w:w="0" w:type="dxa"/>
          <w:bottom w:w="0" w:type="dxa"/>
          <w:right w:w="0" w:type="dxa"/>
        </w:tblCellMar>
      </w:tblPr>
      <w:tr>
        <w:trPr>
          <w:trHeight w:val="166"/>
        </w:trPr>
        <w:tc>
          <w:tcPr>
            <w:tcW w:w="4380" w:type="dxa"/>
            <w:vAlign w:val="bottom"/>
          </w:tcPr>
          <w:p>
            <w:pPr>
              <w:ind w:left="20"/>
              <w:spacing w:after="0"/>
              <w:rPr>
                <w:sz w:val="20"/>
                <w:szCs w:val="20"/>
                <w:color w:val="auto"/>
              </w:rPr>
            </w:pPr>
            <w:r>
              <w:rPr>
                <w:rFonts w:ascii="Arial" w:cs="Arial" w:eastAsia="Arial" w:hAnsi="Arial"/>
                <w:sz w:val="13"/>
                <w:szCs w:val="13"/>
                <w:i w:val="1"/>
                <w:iCs w:val="1"/>
                <w:color w:val="auto"/>
              </w:rPr>
              <w:t>(Dollars in millions)</w:t>
            </w:r>
          </w:p>
        </w:tc>
        <w:tc>
          <w:tcPr>
            <w:tcW w:w="2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209"/>
        </w:trPr>
        <w:tc>
          <w:tcPr>
            <w:tcW w:w="43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color w:val="auto"/>
              </w:rPr>
              <w:t>Years ended December 31,</w:t>
            </w: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r>
      <w:tr>
        <w:trPr>
          <w:trHeight w:val="208"/>
        </w:trPr>
        <w:tc>
          <w:tcPr>
            <w:tcW w:w="438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3"/>
                <w:szCs w:val="13"/>
                <w:color w:val="auto"/>
              </w:rPr>
              <w:t>2008</w:t>
            </w:r>
          </w:p>
        </w:tc>
        <w:tc>
          <w:tcPr>
            <w:tcW w:w="32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610"/>
              <w:spacing w:after="0"/>
              <w:rPr>
                <w:sz w:val="20"/>
                <w:szCs w:val="20"/>
                <w:color w:val="auto"/>
              </w:rPr>
            </w:pPr>
            <w:r>
              <w:rPr>
                <w:rFonts w:ascii="Arial" w:cs="Arial" w:eastAsia="Arial" w:hAnsi="Arial"/>
                <w:sz w:val="13"/>
                <w:szCs w:val="13"/>
                <w:color w:val="auto"/>
              </w:rPr>
              <w:t>2007</w:t>
            </w: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269"/>
              <w:spacing w:after="0"/>
              <w:rPr>
                <w:sz w:val="20"/>
                <w:szCs w:val="20"/>
                <w:color w:val="auto"/>
              </w:rPr>
            </w:pPr>
            <w:r>
              <w:rPr>
                <w:rFonts w:ascii="Arial" w:cs="Arial" w:eastAsia="Arial" w:hAnsi="Arial"/>
                <w:sz w:val="13"/>
                <w:szCs w:val="13"/>
                <w:color w:val="auto"/>
              </w:rPr>
              <w:t>2006</w:t>
            </w:r>
          </w:p>
        </w:tc>
      </w:tr>
      <w:tr>
        <w:trPr>
          <w:trHeight w:val="207"/>
        </w:trPr>
        <w:tc>
          <w:tcPr>
            <w:tcW w:w="4380" w:type="dxa"/>
            <w:vAlign w:val="bottom"/>
          </w:tcPr>
          <w:p>
            <w:pPr>
              <w:ind w:left="20"/>
              <w:spacing w:after="0"/>
              <w:rPr>
                <w:sz w:val="20"/>
                <w:szCs w:val="20"/>
                <w:color w:val="auto"/>
              </w:rPr>
            </w:pPr>
            <w:r>
              <w:rPr>
                <w:rFonts w:ascii="Arial" w:cs="Arial" w:eastAsia="Arial" w:hAnsi="Arial"/>
                <w:sz w:val="14"/>
                <w:szCs w:val="14"/>
                <w:color w:val="auto"/>
              </w:rPr>
              <w:t>Gross revenues</w:t>
            </w:r>
          </w:p>
        </w:tc>
        <w:tc>
          <w:tcPr>
            <w:tcW w:w="2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380" w:type="dxa"/>
            <w:vAlign w:val="bottom"/>
          </w:tcPr>
          <w:p>
            <w:pPr>
              <w:jc w:val="right"/>
              <w:spacing w:after="0"/>
              <w:rPr>
                <w:sz w:val="20"/>
                <w:szCs w:val="20"/>
                <w:color w:val="auto"/>
              </w:rPr>
            </w:pPr>
            <w:r>
              <w:rPr>
                <w:rFonts w:ascii="Arial" w:cs="Arial" w:eastAsia="Arial" w:hAnsi="Arial"/>
                <w:sz w:val="14"/>
                <w:szCs w:val="14"/>
                <w:color w:val="auto"/>
              </w:rPr>
              <w:t>232</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530"/>
              <w:spacing w:after="0"/>
              <w:rPr>
                <w:sz w:val="20"/>
                <w:szCs w:val="20"/>
                <w:color w:val="auto"/>
              </w:rPr>
            </w:pPr>
            <w:r>
              <w:rPr>
                <w:rFonts w:ascii="Arial" w:cs="Arial" w:eastAsia="Arial" w:hAnsi="Arial"/>
                <w:sz w:val="14"/>
                <w:szCs w:val="14"/>
                <w:color w:val="auto"/>
              </w:rPr>
              <w:t>227</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169"/>
              <w:spacing w:after="0"/>
              <w:rPr>
                <w:sz w:val="20"/>
                <w:szCs w:val="20"/>
                <w:color w:val="auto"/>
              </w:rPr>
            </w:pPr>
            <w:r>
              <w:rPr>
                <w:rFonts w:ascii="Arial" w:cs="Arial" w:eastAsia="Arial" w:hAnsi="Arial"/>
                <w:sz w:val="14"/>
                <w:szCs w:val="14"/>
                <w:color w:val="auto"/>
              </w:rPr>
              <w:t>215</w:t>
            </w:r>
          </w:p>
        </w:tc>
      </w:tr>
      <w:tr>
        <w:trPr>
          <w:trHeight w:val="216"/>
        </w:trPr>
        <w:tc>
          <w:tcPr>
            <w:tcW w:w="4380" w:type="dxa"/>
            <w:vAlign w:val="bottom"/>
          </w:tcPr>
          <w:p>
            <w:pPr>
              <w:ind w:left="20"/>
              <w:spacing w:after="0"/>
              <w:rPr>
                <w:sz w:val="20"/>
                <w:szCs w:val="20"/>
                <w:color w:val="auto"/>
              </w:rPr>
            </w:pPr>
            <w:r>
              <w:rPr>
                <w:rFonts w:ascii="Arial" w:cs="Arial" w:eastAsia="Arial" w:hAnsi="Arial"/>
                <w:sz w:val="14"/>
                <w:szCs w:val="14"/>
                <w:color w:val="auto"/>
              </w:rPr>
              <w:t>Gross profit</w:t>
            </w:r>
          </w:p>
        </w:tc>
        <w:tc>
          <w:tcPr>
            <w:tcW w:w="28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110</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0" w:type="dxa"/>
            <w:vAlign w:val="bottom"/>
          </w:tcPr>
          <w:p>
            <w:pPr>
              <w:jc w:val="right"/>
              <w:ind w:right="530"/>
              <w:spacing w:after="0"/>
              <w:rPr>
                <w:sz w:val="20"/>
                <w:szCs w:val="20"/>
                <w:color w:val="auto"/>
              </w:rPr>
            </w:pPr>
            <w:r>
              <w:rPr>
                <w:rFonts w:ascii="Arial" w:cs="Arial" w:eastAsia="Arial" w:hAnsi="Arial"/>
                <w:sz w:val="14"/>
                <w:szCs w:val="14"/>
                <w:color w:val="auto"/>
              </w:rPr>
              <w:t>111</w:t>
            </w:r>
          </w:p>
        </w:tc>
        <w:tc>
          <w:tcPr>
            <w:tcW w:w="120" w:type="dxa"/>
            <w:vAlign w:val="bottom"/>
          </w:tcPr>
          <w:p>
            <w:pPr>
              <w:spacing w:after="0"/>
              <w:rPr>
                <w:sz w:val="18"/>
                <w:szCs w:val="18"/>
                <w:color w:val="auto"/>
              </w:rPr>
            </w:pPr>
          </w:p>
        </w:tc>
        <w:tc>
          <w:tcPr>
            <w:tcW w:w="740" w:type="dxa"/>
            <w:vAlign w:val="bottom"/>
          </w:tcPr>
          <w:p>
            <w:pPr>
              <w:jc w:val="right"/>
              <w:ind w:right="169"/>
              <w:spacing w:after="0"/>
              <w:rPr>
                <w:sz w:val="20"/>
                <w:szCs w:val="20"/>
                <w:color w:val="auto"/>
              </w:rPr>
            </w:pPr>
            <w:r>
              <w:rPr>
                <w:rFonts w:ascii="Arial" w:cs="Arial" w:eastAsia="Arial" w:hAnsi="Arial"/>
                <w:sz w:val="14"/>
                <w:szCs w:val="14"/>
                <w:color w:val="auto"/>
              </w:rPr>
              <w:t>97</w:t>
            </w:r>
          </w:p>
        </w:tc>
      </w:tr>
      <w:tr>
        <w:trPr>
          <w:trHeight w:val="216"/>
        </w:trPr>
        <w:tc>
          <w:tcPr>
            <w:tcW w:w="4380" w:type="dxa"/>
            <w:vAlign w:val="bottom"/>
          </w:tcPr>
          <w:p>
            <w:pPr>
              <w:ind w:left="20"/>
              <w:spacing w:after="0"/>
              <w:rPr>
                <w:sz w:val="20"/>
                <w:szCs w:val="20"/>
                <w:color w:val="auto"/>
              </w:rPr>
            </w:pPr>
            <w:r>
              <w:rPr>
                <w:rFonts w:ascii="Arial" w:cs="Arial" w:eastAsia="Arial" w:hAnsi="Arial"/>
                <w:sz w:val="14"/>
                <w:szCs w:val="14"/>
                <w:color w:val="auto"/>
              </w:rPr>
              <w:t>Income from operations</w:t>
            </w:r>
          </w:p>
        </w:tc>
        <w:tc>
          <w:tcPr>
            <w:tcW w:w="28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12</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0" w:type="dxa"/>
            <w:vAlign w:val="bottom"/>
          </w:tcPr>
          <w:p>
            <w:pPr>
              <w:jc w:val="right"/>
              <w:ind w:right="530"/>
              <w:spacing w:after="0"/>
              <w:rPr>
                <w:sz w:val="20"/>
                <w:szCs w:val="20"/>
                <w:color w:val="auto"/>
              </w:rPr>
            </w:pPr>
            <w:r>
              <w:rPr>
                <w:rFonts w:ascii="Arial" w:cs="Arial" w:eastAsia="Arial" w:hAnsi="Arial"/>
                <w:sz w:val="14"/>
                <w:szCs w:val="14"/>
                <w:color w:val="auto"/>
              </w:rPr>
              <w:t>21</w:t>
            </w:r>
          </w:p>
        </w:tc>
        <w:tc>
          <w:tcPr>
            <w:tcW w:w="120" w:type="dxa"/>
            <w:vAlign w:val="bottom"/>
          </w:tcPr>
          <w:p>
            <w:pPr>
              <w:spacing w:after="0"/>
              <w:rPr>
                <w:sz w:val="18"/>
                <w:szCs w:val="18"/>
                <w:color w:val="auto"/>
              </w:rPr>
            </w:pPr>
          </w:p>
        </w:tc>
        <w:tc>
          <w:tcPr>
            <w:tcW w:w="740" w:type="dxa"/>
            <w:vAlign w:val="bottom"/>
          </w:tcPr>
          <w:p>
            <w:pPr>
              <w:jc w:val="right"/>
              <w:ind w:right="169"/>
              <w:spacing w:after="0"/>
              <w:rPr>
                <w:sz w:val="20"/>
                <w:szCs w:val="20"/>
                <w:color w:val="auto"/>
              </w:rPr>
            </w:pPr>
            <w:r>
              <w:rPr>
                <w:rFonts w:ascii="Arial" w:cs="Arial" w:eastAsia="Arial" w:hAnsi="Arial"/>
                <w:sz w:val="14"/>
                <w:szCs w:val="14"/>
                <w:color w:val="auto"/>
              </w:rPr>
              <w:t>17</w:t>
            </w:r>
          </w:p>
        </w:tc>
      </w:tr>
      <w:tr>
        <w:trPr>
          <w:trHeight w:val="216"/>
        </w:trPr>
        <w:tc>
          <w:tcPr>
            <w:tcW w:w="4380" w:type="dxa"/>
            <w:vAlign w:val="bottom"/>
          </w:tcPr>
          <w:p>
            <w:pPr>
              <w:ind w:left="20"/>
              <w:spacing w:after="0"/>
              <w:rPr>
                <w:sz w:val="20"/>
                <w:szCs w:val="20"/>
                <w:color w:val="auto"/>
              </w:rPr>
            </w:pPr>
            <w:r>
              <w:rPr>
                <w:rFonts w:ascii="Arial" w:cs="Arial" w:eastAsia="Arial" w:hAnsi="Arial"/>
                <w:sz w:val="14"/>
                <w:szCs w:val="14"/>
                <w:color w:val="auto"/>
              </w:rPr>
              <w:t>Gain on sale of assets</w:t>
            </w:r>
          </w:p>
        </w:tc>
        <w:tc>
          <w:tcPr>
            <w:tcW w:w="28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1</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0" w:type="dxa"/>
            <w:vAlign w:val="bottom"/>
          </w:tcPr>
          <w:p>
            <w:pPr>
              <w:jc w:val="right"/>
              <w:ind w:right="530"/>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8"/>
                <w:szCs w:val="18"/>
                <w:color w:val="auto"/>
              </w:rPr>
            </w:pPr>
          </w:p>
        </w:tc>
        <w:tc>
          <w:tcPr>
            <w:tcW w:w="740" w:type="dxa"/>
            <w:vAlign w:val="bottom"/>
          </w:tcPr>
          <w:p>
            <w:pPr>
              <w:jc w:val="right"/>
              <w:ind w:right="169"/>
              <w:spacing w:after="0"/>
              <w:rPr>
                <w:sz w:val="20"/>
                <w:szCs w:val="20"/>
                <w:color w:val="auto"/>
              </w:rPr>
            </w:pPr>
            <w:r>
              <w:rPr>
                <w:rFonts w:ascii="Arial" w:cs="Arial" w:eastAsia="Arial" w:hAnsi="Arial"/>
                <w:sz w:val="14"/>
                <w:szCs w:val="14"/>
                <w:color w:val="auto"/>
              </w:rPr>
              <w:t>1</w:t>
            </w:r>
          </w:p>
        </w:tc>
      </w:tr>
      <w:tr>
        <w:trPr>
          <w:trHeight w:val="250"/>
        </w:trPr>
        <w:tc>
          <w:tcPr>
            <w:tcW w:w="4380" w:type="dxa"/>
            <w:vAlign w:val="bottom"/>
            <w:tcBorders>
              <w:bottom w:val="single" w:sz="8" w:color="DFDFDF"/>
            </w:tcBorders>
          </w:tcPr>
          <w:p>
            <w:pPr>
              <w:ind w:left="20"/>
              <w:spacing w:after="0"/>
              <w:rPr>
                <w:sz w:val="20"/>
                <w:szCs w:val="20"/>
                <w:color w:val="auto"/>
              </w:rPr>
            </w:pPr>
            <w:r>
              <w:rPr>
                <w:rFonts w:ascii="Arial" w:cs="Arial" w:eastAsia="Arial" w:hAnsi="Arial"/>
                <w:sz w:val="14"/>
                <w:szCs w:val="14"/>
                <w:color w:val="auto"/>
              </w:rPr>
              <w:t>Net income</w:t>
            </w:r>
          </w:p>
        </w:tc>
        <w:tc>
          <w:tcPr>
            <w:tcW w:w="280" w:type="dxa"/>
            <w:vAlign w:val="bottom"/>
            <w:tcBorders>
              <w:bottom w:val="single" w:sz="8" w:color="DFDFDF"/>
            </w:tcBorders>
          </w:tcPr>
          <w:p>
            <w:pPr>
              <w:spacing w:after="0"/>
              <w:rPr>
                <w:sz w:val="21"/>
                <w:szCs w:val="21"/>
                <w:color w:val="auto"/>
              </w:rPr>
            </w:pPr>
          </w:p>
        </w:tc>
        <w:tc>
          <w:tcPr>
            <w:tcW w:w="380" w:type="dxa"/>
            <w:vAlign w:val="bottom"/>
            <w:tcBorders>
              <w:bottom w:val="single" w:sz="8" w:color="DFDFDF"/>
            </w:tcBorders>
          </w:tcPr>
          <w:p>
            <w:pPr>
              <w:jc w:val="right"/>
              <w:spacing w:after="0"/>
              <w:rPr>
                <w:sz w:val="20"/>
                <w:szCs w:val="20"/>
                <w:color w:val="auto"/>
              </w:rPr>
            </w:pPr>
            <w:r>
              <w:rPr>
                <w:rFonts w:ascii="Arial" w:cs="Arial" w:eastAsia="Arial" w:hAnsi="Arial"/>
                <w:sz w:val="14"/>
                <w:szCs w:val="14"/>
                <w:color w:val="auto"/>
              </w:rPr>
              <w:t>4</w:t>
            </w:r>
          </w:p>
        </w:tc>
        <w:tc>
          <w:tcPr>
            <w:tcW w:w="140" w:type="dxa"/>
            <w:vAlign w:val="bottom"/>
            <w:tcBorders>
              <w:bottom w:val="single" w:sz="8" w:color="DFDFDF"/>
            </w:tcBorders>
          </w:tcPr>
          <w:p>
            <w:pPr>
              <w:spacing w:after="0"/>
              <w:rPr>
                <w:sz w:val="21"/>
                <w:szCs w:val="21"/>
                <w:color w:val="auto"/>
              </w:rPr>
            </w:pPr>
          </w:p>
        </w:tc>
        <w:tc>
          <w:tcPr>
            <w:tcW w:w="320" w:type="dxa"/>
            <w:vAlign w:val="bottom"/>
            <w:tcBorders>
              <w:bottom w:val="single" w:sz="8" w:color="DFDFDF"/>
            </w:tcBorders>
          </w:tcPr>
          <w:p>
            <w:pPr>
              <w:spacing w:after="0"/>
              <w:rPr>
                <w:sz w:val="21"/>
                <w:szCs w:val="21"/>
                <w:color w:val="auto"/>
              </w:rPr>
            </w:pPr>
          </w:p>
        </w:tc>
        <w:tc>
          <w:tcPr>
            <w:tcW w:w="420" w:type="dxa"/>
            <w:vAlign w:val="bottom"/>
            <w:tcBorders>
              <w:bottom w:val="single" w:sz="8" w:color="DFDFDF"/>
            </w:tcBorders>
          </w:tcPr>
          <w:p>
            <w:pPr>
              <w:spacing w:after="0"/>
              <w:rPr>
                <w:sz w:val="21"/>
                <w:szCs w:val="21"/>
                <w:color w:val="auto"/>
              </w:rPr>
            </w:pPr>
          </w:p>
        </w:tc>
        <w:tc>
          <w:tcPr>
            <w:tcW w:w="1000" w:type="dxa"/>
            <w:vAlign w:val="bottom"/>
            <w:tcBorders>
              <w:bottom w:val="single" w:sz="8" w:color="DFDFDF"/>
            </w:tcBorders>
          </w:tcPr>
          <w:p>
            <w:pPr>
              <w:jc w:val="right"/>
              <w:ind w:right="530"/>
              <w:spacing w:after="0"/>
              <w:rPr>
                <w:sz w:val="20"/>
                <w:szCs w:val="20"/>
                <w:color w:val="auto"/>
              </w:rPr>
            </w:pPr>
            <w:r>
              <w:rPr>
                <w:rFonts w:ascii="Arial" w:cs="Arial" w:eastAsia="Arial" w:hAnsi="Arial"/>
                <w:sz w:val="14"/>
                <w:szCs w:val="14"/>
                <w:color w:val="auto"/>
              </w:rPr>
              <w:t>14</w:t>
            </w:r>
          </w:p>
        </w:tc>
        <w:tc>
          <w:tcPr>
            <w:tcW w:w="120" w:type="dxa"/>
            <w:vAlign w:val="bottom"/>
            <w:tcBorders>
              <w:bottom w:val="single" w:sz="8" w:color="DFDFDF"/>
            </w:tcBorders>
          </w:tcPr>
          <w:p>
            <w:pPr>
              <w:spacing w:after="0"/>
              <w:rPr>
                <w:sz w:val="21"/>
                <w:szCs w:val="21"/>
                <w:color w:val="auto"/>
              </w:rPr>
            </w:pPr>
          </w:p>
        </w:tc>
        <w:tc>
          <w:tcPr>
            <w:tcW w:w="740" w:type="dxa"/>
            <w:vAlign w:val="bottom"/>
            <w:tcBorders>
              <w:bottom w:val="single" w:sz="8" w:color="DFDFDF"/>
            </w:tcBorders>
          </w:tcPr>
          <w:p>
            <w:pPr>
              <w:jc w:val="right"/>
              <w:ind w:right="169"/>
              <w:spacing w:after="0"/>
              <w:rPr>
                <w:sz w:val="20"/>
                <w:szCs w:val="20"/>
                <w:color w:val="auto"/>
              </w:rPr>
            </w:pPr>
            <w:r>
              <w:rPr>
                <w:rFonts w:ascii="Arial" w:cs="Arial" w:eastAsia="Arial" w:hAnsi="Arial"/>
                <w:sz w:val="14"/>
                <w:szCs w:val="14"/>
                <w:color w:val="auto"/>
              </w:rPr>
              <w:t>11</w:t>
            </w:r>
          </w:p>
        </w:tc>
      </w:tr>
      <w:tr>
        <w:trPr>
          <w:trHeight w:val="415"/>
        </w:trPr>
        <w:tc>
          <w:tcPr>
            <w:tcW w:w="4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98"/>
              </w:rPr>
              <w:t>At December 31,</w:t>
            </w:r>
          </w:p>
        </w:tc>
        <w:tc>
          <w:tcPr>
            <w:tcW w:w="1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r>
      <w:tr>
        <w:trPr>
          <w:trHeight w:val="208"/>
        </w:trPr>
        <w:tc>
          <w:tcPr>
            <w:tcW w:w="4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ind w:right="9"/>
              <w:spacing w:after="0"/>
              <w:rPr>
                <w:sz w:val="20"/>
                <w:szCs w:val="20"/>
                <w:color w:val="auto"/>
              </w:rPr>
            </w:pPr>
            <w:r>
              <w:rPr>
                <w:rFonts w:ascii="Arial" w:cs="Arial" w:eastAsia="Arial" w:hAnsi="Arial"/>
                <w:sz w:val="13"/>
                <w:szCs w:val="13"/>
                <w:color w:val="auto"/>
              </w:rPr>
              <w:t>2008</w:t>
            </w:r>
          </w:p>
        </w:tc>
        <w:tc>
          <w:tcPr>
            <w:tcW w:w="10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389"/>
              <w:spacing w:after="0"/>
              <w:rPr>
                <w:sz w:val="20"/>
                <w:szCs w:val="20"/>
                <w:color w:val="auto"/>
              </w:rPr>
            </w:pPr>
            <w:r>
              <w:rPr>
                <w:rFonts w:ascii="Arial" w:cs="Arial" w:eastAsia="Arial" w:hAnsi="Arial"/>
                <w:sz w:val="13"/>
                <w:szCs w:val="13"/>
                <w:color w:val="auto"/>
                <w:w w:val="89"/>
              </w:rPr>
              <w:t>2007</w:t>
            </w:r>
          </w:p>
        </w:tc>
      </w:tr>
      <w:tr>
        <w:trPr>
          <w:trHeight w:val="207"/>
        </w:trPr>
        <w:tc>
          <w:tcPr>
            <w:tcW w:w="4380" w:type="dxa"/>
            <w:vAlign w:val="bottom"/>
          </w:tcPr>
          <w:p>
            <w:pPr>
              <w:ind w:left="20"/>
              <w:spacing w:after="0"/>
              <w:rPr>
                <w:sz w:val="20"/>
                <w:szCs w:val="20"/>
                <w:color w:val="auto"/>
              </w:rPr>
            </w:pPr>
            <w:r>
              <w:rPr>
                <w:rFonts w:ascii="Arial" w:cs="Arial" w:eastAsia="Arial" w:hAnsi="Arial"/>
                <w:sz w:val="14"/>
                <w:szCs w:val="14"/>
                <w:color w:val="auto"/>
              </w:rPr>
              <w:t>Current assets</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4"/>
                <w:szCs w:val="14"/>
                <w:color w:val="auto"/>
              </w:rPr>
              <w:t>$</w:t>
            </w:r>
          </w:p>
        </w:tc>
        <w:tc>
          <w:tcPr>
            <w:tcW w:w="420" w:type="dxa"/>
            <w:vAlign w:val="bottom"/>
          </w:tcPr>
          <w:p>
            <w:pPr>
              <w:jc w:val="right"/>
              <w:spacing w:after="0"/>
              <w:rPr>
                <w:sz w:val="20"/>
                <w:szCs w:val="20"/>
                <w:color w:val="auto"/>
              </w:rPr>
            </w:pPr>
            <w:r>
              <w:rPr>
                <w:rFonts w:ascii="Arial" w:cs="Arial" w:eastAsia="Arial" w:hAnsi="Arial"/>
                <w:sz w:val="14"/>
                <w:szCs w:val="14"/>
                <w:color w:val="auto"/>
              </w:rPr>
              <w:t>93</w:t>
            </w:r>
          </w:p>
        </w:tc>
        <w:tc>
          <w:tcPr>
            <w:tcW w:w="10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269"/>
              <w:spacing w:after="0"/>
              <w:rPr>
                <w:sz w:val="20"/>
                <w:szCs w:val="20"/>
                <w:color w:val="auto"/>
              </w:rPr>
            </w:pPr>
            <w:r>
              <w:rPr>
                <w:rFonts w:ascii="Arial" w:cs="Arial" w:eastAsia="Arial" w:hAnsi="Arial"/>
                <w:sz w:val="14"/>
                <w:szCs w:val="14"/>
                <w:color w:val="auto"/>
              </w:rPr>
              <w:t>117</w:t>
            </w:r>
          </w:p>
        </w:tc>
      </w:tr>
      <w:tr>
        <w:trPr>
          <w:trHeight w:val="216"/>
        </w:trPr>
        <w:tc>
          <w:tcPr>
            <w:tcW w:w="4380" w:type="dxa"/>
            <w:vAlign w:val="bottom"/>
          </w:tcPr>
          <w:p>
            <w:pPr>
              <w:ind w:left="20"/>
              <w:spacing w:after="0"/>
              <w:rPr>
                <w:sz w:val="20"/>
                <w:szCs w:val="20"/>
                <w:color w:val="auto"/>
              </w:rPr>
            </w:pPr>
            <w:r>
              <w:rPr>
                <w:rFonts w:ascii="Arial" w:cs="Arial" w:eastAsia="Arial" w:hAnsi="Arial"/>
                <w:sz w:val="14"/>
                <w:szCs w:val="14"/>
                <w:color w:val="auto"/>
              </w:rPr>
              <w:t>Noncurrent assets</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323</w:t>
            </w: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ind w:right="269"/>
              <w:spacing w:after="0"/>
              <w:rPr>
                <w:sz w:val="20"/>
                <w:szCs w:val="20"/>
                <w:color w:val="auto"/>
              </w:rPr>
            </w:pPr>
            <w:r>
              <w:rPr>
                <w:rFonts w:ascii="Arial" w:cs="Arial" w:eastAsia="Arial" w:hAnsi="Arial"/>
                <w:sz w:val="14"/>
                <w:szCs w:val="14"/>
                <w:color w:val="auto"/>
              </w:rPr>
              <w:t>332</w:t>
            </w:r>
          </w:p>
        </w:tc>
      </w:tr>
      <w:tr>
        <w:trPr>
          <w:trHeight w:val="216"/>
        </w:trPr>
        <w:tc>
          <w:tcPr>
            <w:tcW w:w="4380" w:type="dxa"/>
            <w:vAlign w:val="bottom"/>
          </w:tcPr>
          <w:p>
            <w:pPr>
              <w:ind w:left="20"/>
              <w:spacing w:after="0"/>
              <w:rPr>
                <w:sz w:val="20"/>
                <w:szCs w:val="20"/>
                <w:color w:val="auto"/>
              </w:rPr>
            </w:pPr>
            <w:r>
              <w:rPr>
                <w:rFonts w:ascii="Arial" w:cs="Arial" w:eastAsia="Arial" w:hAnsi="Arial"/>
                <w:sz w:val="14"/>
                <w:szCs w:val="14"/>
                <w:color w:val="auto"/>
              </w:rPr>
              <w:t>Current liabilities</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192</w:t>
            </w: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ind w:right="269"/>
              <w:spacing w:after="0"/>
              <w:rPr>
                <w:sz w:val="20"/>
                <w:szCs w:val="20"/>
                <w:color w:val="auto"/>
              </w:rPr>
            </w:pPr>
            <w:r>
              <w:rPr>
                <w:rFonts w:ascii="Arial" w:cs="Arial" w:eastAsia="Arial" w:hAnsi="Arial"/>
                <w:sz w:val="14"/>
                <w:szCs w:val="14"/>
                <w:color w:val="auto"/>
              </w:rPr>
              <w:t>198</w:t>
            </w:r>
          </w:p>
        </w:tc>
      </w:tr>
      <w:tr>
        <w:trPr>
          <w:trHeight w:val="250"/>
        </w:trPr>
        <w:tc>
          <w:tcPr>
            <w:tcW w:w="4380" w:type="dxa"/>
            <w:vAlign w:val="bottom"/>
            <w:tcBorders>
              <w:bottom w:val="single" w:sz="8" w:color="DFDFDF"/>
            </w:tcBorders>
          </w:tcPr>
          <w:p>
            <w:pPr>
              <w:ind w:left="20"/>
              <w:spacing w:after="0"/>
              <w:rPr>
                <w:sz w:val="20"/>
                <w:szCs w:val="20"/>
                <w:color w:val="auto"/>
              </w:rPr>
            </w:pPr>
            <w:r>
              <w:rPr>
                <w:rFonts w:ascii="Arial" w:cs="Arial" w:eastAsia="Arial" w:hAnsi="Arial"/>
                <w:sz w:val="14"/>
                <w:szCs w:val="14"/>
                <w:color w:val="auto"/>
              </w:rPr>
              <w:t>Noncurrent liabilities</w:t>
            </w:r>
          </w:p>
        </w:tc>
        <w:tc>
          <w:tcPr>
            <w:tcW w:w="280" w:type="dxa"/>
            <w:vAlign w:val="bottom"/>
            <w:tcBorders>
              <w:bottom w:val="single" w:sz="8" w:color="DFDFDF"/>
            </w:tcBorders>
          </w:tcPr>
          <w:p>
            <w:pPr>
              <w:spacing w:after="0"/>
              <w:rPr>
                <w:sz w:val="21"/>
                <w:szCs w:val="21"/>
                <w:color w:val="auto"/>
              </w:rPr>
            </w:pPr>
          </w:p>
        </w:tc>
        <w:tc>
          <w:tcPr>
            <w:tcW w:w="380" w:type="dxa"/>
            <w:vAlign w:val="bottom"/>
            <w:tcBorders>
              <w:bottom w:val="single" w:sz="8" w:color="DFDFDF"/>
            </w:tcBorders>
          </w:tcPr>
          <w:p>
            <w:pPr>
              <w:spacing w:after="0"/>
              <w:rPr>
                <w:sz w:val="21"/>
                <w:szCs w:val="21"/>
                <w:color w:val="auto"/>
              </w:rPr>
            </w:pPr>
          </w:p>
        </w:tc>
        <w:tc>
          <w:tcPr>
            <w:tcW w:w="140" w:type="dxa"/>
            <w:vAlign w:val="bottom"/>
            <w:tcBorders>
              <w:bottom w:val="single" w:sz="8" w:color="DFDFDF"/>
            </w:tcBorders>
          </w:tcPr>
          <w:p>
            <w:pPr>
              <w:spacing w:after="0"/>
              <w:rPr>
                <w:sz w:val="21"/>
                <w:szCs w:val="21"/>
                <w:color w:val="auto"/>
              </w:rPr>
            </w:pPr>
          </w:p>
        </w:tc>
        <w:tc>
          <w:tcPr>
            <w:tcW w:w="320" w:type="dxa"/>
            <w:vAlign w:val="bottom"/>
            <w:tcBorders>
              <w:bottom w:val="single" w:sz="8" w:color="DFDFDF"/>
            </w:tcBorders>
          </w:tcPr>
          <w:p>
            <w:pPr>
              <w:spacing w:after="0"/>
              <w:rPr>
                <w:sz w:val="21"/>
                <w:szCs w:val="21"/>
                <w:color w:val="auto"/>
              </w:rPr>
            </w:pPr>
          </w:p>
        </w:tc>
        <w:tc>
          <w:tcPr>
            <w:tcW w:w="420" w:type="dxa"/>
            <w:vAlign w:val="bottom"/>
            <w:tcBorders>
              <w:bottom w:val="single" w:sz="8" w:color="DFDFDF"/>
            </w:tcBorders>
          </w:tcPr>
          <w:p>
            <w:pPr>
              <w:jc w:val="right"/>
              <w:spacing w:after="0"/>
              <w:rPr>
                <w:sz w:val="20"/>
                <w:szCs w:val="20"/>
                <w:color w:val="auto"/>
              </w:rPr>
            </w:pPr>
            <w:r>
              <w:rPr>
                <w:rFonts w:ascii="Arial" w:cs="Arial" w:eastAsia="Arial" w:hAnsi="Arial"/>
                <w:sz w:val="14"/>
                <w:szCs w:val="14"/>
                <w:color w:val="auto"/>
              </w:rPr>
              <w:t>25</w:t>
            </w:r>
          </w:p>
        </w:tc>
        <w:tc>
          <w:tcPr>
            <w:tcW w:w="1000" w:type="dxa"/>
            <w:vAlign w:val="bottom"/>
            <w:tcBorders>
              <w:bottom w:val="single" w:sz="8" w:color="DFDFDF"/>
            </w:tcBorders>
          </w:tcPr>
          <w:p>
            <w:pPr>
              <w:spacing w:after="0"/>
              <w:rPr>
                <w:sz w:val="21"/>
                <w:szCs w:val="21"/>
                <w:color w:val="auto"/>
              </w:rPr>
            </w:pPr>
          </w:p>
        </w:tc>
        <w:tc>
          <w:tcPr>
            <w:tcW w:w="120" w:type="dxa"/>
            <w:vAlign w:val="bottom"/>
            <w:tcBorders>
              <w:bottom w:val="single" w:sz="8" w:color="DFDFDF"/>
            </w:tcBorders>
          </w:tcPr>
          <w:p>
            <w:pPr>
              <w:spacing w:after="0"/>
              <w:rPr>
                <w:sz w:val="21"/>
                <w:szCs w:val="21"/>
                <w:color w:val="auto"/>
              </w:rPr>
            </w:pPr>
          </w:p>
        </w:tc>
        <w:tc>
          <w:tcPr>
            <w:tcW w:w="740" w:type="dxa"/>
            <w:vAlign w:val="bottom"/>
            <w:tcBorders>
              <w:bottom w:val="single" w:sz="8" w:color="DFDFDF"/>
            </w:tcBorders>
          </w:tcPr>
          <w:p>
            <w:pPr>
              <w:jc w:val="right"/>
              <w:ind w:right="269"/>
              <w:spacing w:after="0"/>
              <w:rPr>
                <w:sz w:val="20"/>
                <w:szCs w:val="20"/>
                <w:color w:val="auto"/>
              </w:rPr>
            </w:pPr>
            <w:r>
              <w:rPr>
                <w:rFonts w:ascii="Arial" w:cs="Arial" w:eastAsia="Arial" w:hAnsi="Arial"/>
                <w:sz w:val="14"/>
                <w:szCs w:val="14"/>
                <w:color w:val="auto"/>
              </w:rPr>
              <w:t>38</w:t>
            </w:r>
          </w:p>
        </w:tc>
      </w:tr>
    </w:tbl>
    <w:p>
      <w:pPr>
        <w:spacing w:after="0" w:line="200" w:lineRule="exact"/>
        <w:rPr>
          <w:sz w:val="20"/>
          <w:szCs w:val="20"/>
          <w:color w:val="auto"/>
        </w:rPr>
      </w:pPr>
    </w:p>
    <w:p>
      <w:pPr>
        <w:spacing w:after="0" w:line="248"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auto"/>
        </w:rPr>
        <w:t>SEMPRA FINANCIAL</w:t>
      </w:r>
    </w:p>
    <w:p>
      <w:pPr>
        <w:spacing w:after="0" w:line="89" w:lineRule="exact"/>
        <w:rPr>
          <w:sz w:val="20"/>
          <w:szCs w:val="20"/>
          <w:color w:val="auto"/>
        </w:rPr>
      </w:pPr>
    </w:p>
    <w:p>
      <w:pPr>
        <w:ind w:left="4"/>
        <w:spacing w:after="0" w:line="277" w:lineRule="auto"/>
        <w:rPr>
          <w:sz w:val="20"/>
          <w:szCs w:val="20"/>
          <w:color w:val="auto"/>
        </w:rPr>
      </w:pPr>
      <w:r>
        <w:rPr>
          <w:rFonts w:ascii="Arial" w:cs="Arial" w:eastAsia="Arial" w:hAnsi="Arial"/>
          <w:sz w:val="16"/>
          <w:szCs w:val="16"/>
          <w:color w:val="auto"/>
        </w:rPr>
        <w:t>Prior to June 2006, Sempra Financial invested as a limited partner in affordable-housing properties. Sempra Financial’s portfolio included 1,300 properties throughout the United States that provided income tax benefits (primarily from income tax credits) generally over 10-year periods.</w:t>
      </w:r>
    </w:p>
    <w:p>
      <w:pPr>
        <w:spacing w:after="0" w:line="32" w:lineRule="exact"/>
        <w:rPr>
          <w:sz w:val="20"/>
          <w:szCs w:val="20"/>
          <w:color w:val="auto"/>
        </w:rPr>
      </w:pPr>
    </w:p>
    <w:p>
      <w:pPr>
        <w:ind w:left="4" w:right="320"/>
        <w:spacing w:after="0" w:line="289" w:lineRule="auto"/>
        <w:rPr>
          <w:sz w:val="20"/>
          <w:szCs w:val="20"/>
          <w:color w:val="auto"/>
        </w:rPr>
      </w:pPr>
      <w:r>
        <w:rPr>
          <w:rFonts w:ascii="Arial" w:cs="Arial" w:eastAsia="Arial" w:hAnsi="Arial"/>
          <w:sz w:val="15"/>
          <w:szCs w:val="15"/>
          <w:color w:val="auto"/>
        </w:rPr>
        <w:t>In June 2006, Sempra Financial effectively sold the majority of its interests in affordable-housing projects to an unrelated party for $83 million subject to certain guarantees. Because of the guarantees, the transaction has been recorded as a financing transaction rather than as a sale, and we continue to consolidate the investments in the housing partnerships. The transaction almost completely eliminated the income tax benefits from the affordable-housing investments.</w:t>
      </w:r>
    </w:p>
    <w:p>
      <w:pPr>
        <w:spacing w:after="0" w:line="222"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auto"/>
        </w:rPr>
        <w:t>OTHER EQUITY METHOD INFORMATION</w:t>
      </w:r>
    </w:p>
    <w:p>
      <w:pPr>
        <w:spacing w:after="0" w:line="89" w:lineRule="exact"/>
        <w:rPr>
          <w:sz w:val="20"/>
          <w:szCs w:val="20"/>
          <w:color w:val="auto"/>
        </w:rPr>
      </w:pPr>
    </w:p>
    <w:p>
      <w:pPr>
        <w:ind w:left="4"/>
        <w:spacing w:after="0"/>
        <w:rPr>
          <w:sz w:val="20"/>
          <w:szCs w:val="20"/>
          <w:color w:val="auto"/>
        </w:rPr>
      </w:pPr>
      <w:r>
        <w:rPr>
          <w:rFonts w:ascii="Arial" w:cs="Arial" w:eastAsia="Arial" w:hAnsi="Arial"/>
          <w:sz w:val="16"/>
          <w:szCs w:val="16"/>
          <w:color w:val="auto"/>
        </w:rPr>
        <w:t>We present aggregated information below for:</w:t>
      </w:r>
    </w:p>
    <w:p>
      <w:pPr>
        <w:spacing w:after="0" w:line="44" w:lineRule="exact"/>
        <w:rPr>
          <w:sz w:val="20"/>
          <w:szCs w:val="20"/>
          <w:color w:val="auto"/>
        </w:rPr>
      </w:pPr>
    </w:p>
    <w:p>
      <w:pPr>
        <w:ind w:left="144" w:hanging="144"/>
        <w:spacing w:after="0"/>
        <w:tabs>
          <w:tab w:leader="none" w:pos="144" w:val="left"/>
        </w:tabs>
        <w:numPr>
          <w:ilvl w:val="0"/>
          <w:numId w:val="342"/>
        </w:numPr>
        <w:rPr>
          <w:rFonts w:ascii="Arial" w:cs="Arial" w:eastAsia="Arial" w:hAnsi="Arial"/>
          <w:sz w:val="16"/>
          <w:szCs w:val="16"/>
          <w:color w:val="auto"/>
        </w:rPr>
      </w:pPr>
      <w:r>
        <w:rPr>
          <w:rFonts w:ascii="Arial" w:cs="Arial" w:eastAsia="Arial" w:hAnsi="Arial"/>
          <w:sz w:val="16"/>
          <w:szCs w:val="16"/>
          <w:color w:val="auto"/>
        </w:rPr>
        <w:t>Chilquinta Energía</w:t>
      </w:r>
    </w:p>
    <w:p>
      <w:pPr>
        <w:spacing w:after="0" w:line="44" w:lineRule="exact"/>
        <w:rPr>
          <w:rFonts w:ascii="Arial" w:cs="Arial" w:eastAsia="Arial" w:hAnsi="Arial"/>
          <w:sz w:val="16"/>
          <w:szCs w:val="16"/>
          <w:color w:val="auto"/>
        </w:rPr>
      </w:pPr>
    </w:p>
    <w:p>
      <w:pPr>
        <w:ind w:left="144" w:hanging="144"/>
        <w:spacing w:after="0"/>
        <w:tabs>
          <w:tab w:leader="none" w:pos="144" w:val="left"/>
        </w:tabs>
        <w:numPr>
          <w:ilvl w:val="0"/>
          <w:numId w:val="342"/>
        </w:numPr>
        <w:rPr>
          <w:rFonts w:ascii="Arial" w:cs="Arial" w:eastAsia="Arial" w:hAnsi="Arial"/>
          <w:sz w:val="16"/>
          <w:szCs w:val="16"/>
          <w:color w:val="auto"/>
        </w:rPr>
      </w:pPr>
      <w:r>
        <w:rPr>
          <w:rFonts w:ascii="Arial" w:cs="Arial" w:eastAsia="Arial" w:hAnsi="Arial"/>
          <w:sz w:val="16"/>
          <w:szCs w:val="16"/>
          <w:color w:val="auto"/>
        </w:rPr>
        <w:t>Luz del Sur</w:t>
      </w:r>
    </w:p>
    <w:p>
      <w:pPr>
        <w:spacing w:after="0" w:line="44" w:lineRule="exact"/>
        <w:rPr>
          <w:rFonts w:ascii="Arial" w:cs="Arial" w:eastAsia="Arial" w:hAnsi="Arial"/>
          <w:sz w:val="16"/>
          <w:szCs w:val="16"/>
          <w:color w:val="auto"/>
        </w:rPr>
      </w:pPr>
    </w:p>
    <w:p>
      <w:pPr>
        <w:ind w:left="144" w:hanging="144"/>
        <w:spacing w:after="0"/>
        <w:tabs>
          <w:tab w:leader="none" w:pos="144" w:val="left"/>
        </w:tabs>
        <w:numPr>
          <w:ilvl w:val="0"/>
          <w:numId w:val="342"/>
        </w:numPr>
        <w:rPr>
          <w:rFonts w:ascii="Arial" w:cs="Arial" w:eastAsia="Arial" w:hAnsi="Arial"/>
          <w:sz w:val="16"/>
          <w:szCs w:val="16"/>
          <w:color w:val="auto"/>
        </w:rPr>
      </w:pPr>
      <w:r>
        <w:rPr>
          <w:rFonts w:ascii="Arial" w:cs="Arial" w:eastAsia="Arial" w:hAnsi="Arial"/>
          <w:sz w:val="16"/>
          <w:szCs w:val="16"/>
          <w:color w:val="auto"/>
        </w:rPr>
        <w:t>Elk Hills Power</w:t>
      </w:r>
    </w:p>
    <w:p>
      <w:pPr>
        <w:spacing w:after="0" w:line="44" w:lineRule="exact"/>
        <w:rPr>
          <w:rFonts w:ascii="Arial" w:cs="Arial" w:eastAsia="Arial" w:hAnsi="Arial"/>
          <w:sz w:val="16"/>
          <w:szCs w:val="16"/>
          <w:color w:val="auto"/>
        </w:rPr>
      </w:pPr>
    </w:p>
    <w:p>
      <w:pPr>
        <w:ind w:left="144" w:hanging="144"/>
        <w:spacing w:after="0"/>
        <w:tabs>
          <w:tab w:leader="none" w:pos="144" w:val="left"/>
        </w:tabs>
        <w:numPr>
          <w:ilvl w:val="0"/>
          <w:numId w:val="342"/>
        </w:numPr>
        <w:rPr>
          <w:rFonts w:ascii="Arial" w:cs="Arial" w:eastAsia="Arial" w:hAnsi="Arial"/>
          <w:sz w:val="16"/>
          <w:szCs w:val="16"/>
          <w:color w:val="auto"/>
        </w:rPr>
      </w:pPr>
      <w:r>
        <w:rPr>
          <w:rFonts w:ascii="Arial" w:cs="Arial" w:eastAsia="Arial" w:hAnsi="Arial"/>
          <w:sz w:val="16"/>
          <w:szCs w:val="16"/>
          <w:color w:val="auto"/>
        </w:rPr>
        <w:t>Rockies Express</w:t>
      </w:r>
    </w:p>
    <w:p>
      <w:pPr>
        <w:spacing w:after="0" w:line="44" w:lineRule="exact"/>
        <w:rPr>
          <w:rFonts w:ascii="Arial" w:cs="Arial" w:eastAsia="Arial" w:hAnsi="Arial"/>
          <w:sz w:val="16"/>
          <w:szCs w:val="16"/>
          <w:color w:val="auto"/>
        </w:rPr>
      </w:pPr>
    </w:p>
    <w:p>
      <w:pPr>
        <w:ind w:left="144" w:hanging="144"/>
        <w:spacing w:after="0"/>
        <w:tabs>
          <w:tab w:leader="none" w:pos="144" w:val="left"/>
        </w:tabs>
        <w:numPr>
          <w:ilvl w:val="0"/>
          <w:numId w:val="342"/>
        </w:numPr>
        <w:rPr>
          <w:rFonts w:ascii="Arial" w:cs="Arial" w:eastAsia="Arial" w:hAnsi="Arial"/>
          <w:sz w:val="16"/>
          <w:szCs w:val="16"/>
          <w:color w:val="auto"/>
        </w:rPr>
      </w:pPr>
      <w:r>
        <w:rPr>
          <w:rFonts w:ascii="Arial" w:cs="Arial" w:eastAsia="Arial" w:hAnsi="Arial"/>
          <w:sz w:val="16"/>
          <w:szCs w:val="16"/>
          <w:color w:val="auto"/>
        </w:rPr>
        <w:t>Sempra Commodities' investments (prior to the formation of RBS Sempra Commodities)</w:t>
      </w:r>
    </w:p>
    <w:p>
      <w:pPr>
        <w:spacing w:after="0" w:line="44" w:lineRule="exact"/>
        <w:rPr>
          <w:rFonts w:ascii="Arial" w:cs="Arial" w:eastAsia="Arial" w:hAnsi="Arial"/>
          <w:sz w:val="16"/>
          <w:szCs w:val="16"/>
          <w:color w:val="auto"/>
        </w:rPr>
      </w:pPr>
    </w:p>
    <w:p>
      <w:pPr>
        <w:ind w:left="144" w:hanging="144"/>
        <w:spacing w:after="0"/>
        <w:tabs>
          <w:tab w:leader="none" w:pos="144" w:val="left"/>
        </w:tabs>
        <w:numPr>
          <w:ilvl w:val="0"/>
          <w:numId w:val="342"/>
        </w:numPr>
        <w:rPr>
          <w:rFonts w:ascii="Arial" w:cs="Arial" w:eastAsia="Arial" w:hAnsi="Arial"/>
          <w:sz w:val="16"/>
          <w:szCs w:val="16"/>
          <w:color w:val="auto"/>
        </w:rPr>
      </w:pPr>
      <w:r>
        <w:rPr>
          <w:rFonts w:ascii="Arial" w:cs="Arial" w:eastAsia="Arial" w:hAnsi="Arial"/>
          <w:sz w:val="16"/>
          <w:szCs w:val="16"/>
          <w:color w:val="auto"/>
        </w:rPr>
        <w:t>Sempra Energy’s housing partnerships (accounted for under the equity method)</w:t>
      </w:r>
    </w:p>
    <w:p>
      <w:pPr>
        <w:spacing w:after="0" w:line="200" w:lineRule="exact"/>
        <w:rPr>
          <w:sz w:val="20"/>
          <w:szCs w:val="20"/>
          <w:color w:val="auto"/>
        </w:rPr>
      </w:pPr>
    </w:p>
    <w:p>
      <w:pPr>
        <w:spacing w:after="0" w:line="317" w:lineRule="exact"/>
        <w:rPr>
          <w:sz w:val="20"/>
          <w:szCs w:val="20"/>
          <w:color w:val="auto"/>
        </w:rPr>
      </w:pPr>
    </w:p>
    <w:p>
      <w:pPr>
        <w:ind w:left="4"/>
        <w:spacing w:after="0"/>
        <w:rPr>
          <w:sz w:val="20"/>
          <w:szCs w:val="20"/>
          <w:color w:val="auto"/>
        </w:rPr>
      </w:pPr>
      <w:r>
        <w:rPr>
          <w:rFonts w:ascii="Arial" w:cs="Arial" w:eastAsia="Arial" w:hAnsi="Arial"/>
          <w:sz w:val="14"/>
          <w:szCs w:val="14"/>
          <w:color w:val="auto"/>
        </w:rPr>
        <w:t>122</w:t>
      </w:r>
    </w:p>
    <w:p>
      <w:pPr>
        <w:sectPr>
          <w:pgSz w:w="11900" w:h="16838" w:orient="portrait"/>
          <w:cols w:equalWidth="0" w:num="1">
            <w:col w:w="11364"/>
          </w:cols>
          <w:pgMar w:left="236" w:top="127" w:right="299" w:bottom="1440" w:gutter="0" w:footer="0" w:header="0"/>
        </w:sectPr>
      </w:pPr>
    </w:p>
    <w:bookmarkStart w:id="262" w:name="page263"/>
    <w:bookmarkEnd w:id="262"/>
    <w:p>
      <w:pPr>
        <w:ind w:left="1860"/>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1324610</wp:posOffset>
            </wp:positionH>
            <wp:positionV relativeFrom="page">
              <wp:posOffset>226695</wp:posOffset>
            </wp:positionV>
            <wp:extent cx="4912360" cy="24384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4912360" cy="243840"/>
                    </a:xfrm>
                    <a:prstGeom prst="rect">
                      <a:avLst/>
                    </a:prstGeom>
                    <a:noFill/>
                  </pic:spPr>
                </pic:pic>
              </a:graphicData>
            </a:graphic>
          </wp:anchor>
        </w:drawing>
        <w:t>OTHER EQUITY METHOD INFORMATION</w:t>
      </w:r>
    </w:p>
    <w:p>
      <w:pPr>
        <w:spacing w:after="0" w:line="40" w:lineRule="exact"/>
        <w:rPr>
          <w:sz w:val="20"/>
          <w:szCs w:val="20"/>
          <w:color w:val="auto"/>
        </w:rPr>
      </w:pPr>
    </w:p>
    <w:p>
      <w:pPr>
        <w:ind w:left="1860"/>
        <w:spacing w:after="0"/>
        <w:rPr>
          <w:sz w:val="20"/>
          <w:szCs w:val="20"/>
          <w:color w:val="auto"/>
        </w:rPr>
      </w:pPr>
      <w:r>
        <w:rPr>
          <w:rFonts w:ascii="Arial" w:cs="Arial" w:eastAsia="Arial" w:hAnsi="Arial"/>
          <w:sz w:val="13"/>
          <w:szCs w:val="13"/>
          <w:i w:val="1"/>
          <w:iCs w:val="1"/>
          <w:color w:val="auto"/>
        </w:rPr>
        <w:t>(Dollars in millions)</w:t>
      </w:r>
    </w:p>
    <w:p>
      <w:pPr>
        <w:spacing w:after="0" w:line="67" w:lineRule="exact"/>
        <w:rPr>
          <w:sz w:val="20"/>
          <w:szCs w:val="20"/>
          <w:color w:val="auto"/>
        </w:rPr>
      </w:pPr>
    </w:p>
    <w:tbl>
      <w:tblPr>
        <w:tblLayout w:type="fixed"/>
        <w:tblInd w:w="1840" w:type="dxa"/>
        <w:tblCellMar>
          <w:top w:w="0" w:type="dxa"/>
          <w:left w:w="0" w:type="dxa"/>
          <w:bottom w:w="0" w:type="dxa"/>
          <w:right w:w="0" w:type="dxa"/>
        </w:tblCellMar>
      </w:tblPr>
      <w:tr>
        <w:trPr>
          <w:trHeight w:val="159"/>
        </w:trPr>
        <w:tc>
          <w:tcPr>
            <w:tcW w:w="448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2280" w:type="dxa"/>
            <w:vAlign w:val="bottom"/>
            <w:tcBorders>
              <w:bottom w:val="single" w:sz="8" w:color="auto"/>
            </w:tcBorders>
            <w:gridSpan w:val="5"/>
          </w:tcPr>
          <w:p>
            <w:pPr>
              <w:jc w:val="right"/>
              <w:ind w:right="68"/>
              <w:spacing w:after="0"/>
              <w:rPr>
                <w:sz w:val="20"/>
                <w:szCs w:val="20"/>
                <w:color w:val="auto"/>
              </w:rPr>
            </w:pPr>
            <w:r>
              <w:rPr>
                <w:rFonts w:ascii="Arial" w:cs="Arial" w:eastAsia="Arial" w:hAnsi="Arial"/>
                <w:sz w:val="13"/>
                <w:szCs w:val="13"/>
                <w:color w:val="auto"/>
              </w:rPr>
              <w:t>Years ended December 31,</w:t>
            </w:r>
          </w:p>
        </w:tc>
        <w:tc>
          <w:tcPr>
            <w:tcW w:w="720" w:type="dxa"/>
            <w:vAlign w:val="bottom"/>
            <w:tcBorders>
              <w:bottom w:val="single" w:sz="8" w:color="auto"/>
            </w:tcBorders>
          </w:tcPr>
          <w:p>
            <w:pPr>
              <w:spacing w:after="0"/>
              <w:rPr>
                <w:sz w:val="13"/>
                <w:szCs w:val="13"/>
                <w:color w:val="auto"/>
              </w:rPr>
            </w:pPr>
          </w:p>
        </w:tc>
      </w:tr>
      <w:tr>
        <w:trPr>
          <w:trHeight w:val="208"/>
        </w:trPr>
        <w:tc>
          <w:tcPr>
            <w:tcW w:w="44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150"/>
              <w:spacing w:after="0"/>
              <w:rPr>
                <w:sz w:val="20"/>
                <w:szCs w:val="20"/>
                <w:color w:val="auto"/>
              </w:rPr>
            </w:pPr>
            <w:r>
              <w:rPr>
                <w:rFonts w:ascii="Arial" w:cs="Arial" w:eastAsia="Arial" w:hAnsi="Arial"/>
                <w:sz w:val="13"/>
                <w:szCs w:val="13"/>
                <w:color w:val="auto"/>
              </w:rPr>
              <w:t>2008</w:t>
            </w:r>
          </w:p>
        </w:tc>
        <w:tc>
          <w:tcPr>
            <w:tcW w:w="2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30"/>
              <w:spacing w:after="0"/>
              <w:rPr>
                <w:sz w:val="20"/>
                <w:szCs w:val="20"/>
                <w:color w:val="auto"/>
              </w:rPr>
            </w:pPr>
            <w:r>
              <w:rPr>
                <w:rFonts w:ascii="Arial" w:cs="Arial" w:eastAsia="Arial" w:hAnsi="Arial"/>
                <w:sz w:val="13"/>
                <w:szCs w:val="13"/>
                <w:color w:val="auto"/>
              </w:rPr>
              <w:t>2007</w:t>
            </w:r>
          </w:p>
        </w:tc>
        <w:tc>
          <w:tcPr>
            <w:tcW w:w="3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289"/>
              <w:spacing w:after="0"/>
              <w:rPr>
                <w:sz w:val="20"/>
                <w:szCs w:val="20"/>
                <w:color w:val="auto"/>
              </w:rPr>
            </w:pPr>
            <w:r>
              <w:rPr>
                <w:rFonts w:ascii="Arial" w:cs="Arial" w:eastAsia="Arial" w:hAnsi="Arial"/>
                <w:sz w:val="13"/>
                <w:szCs w:val="13"/>
                <w:color w:val="auto"/>
              </w:rPr>
              <w:t>2006</w:t>
            </w:r>
          </w:p>
        </w:tc>
      </w:tr>
      <w:tr>
        <w:trPr>
          <w:trHeight w:val="207"/>
        </w:trPr>
        <w:tc>
          <w:tcPr>
            <w:tcW w:w="4480" w:type="dxa"/>
            <w:vAlign w:val="bottom"/>
          </w:tcPr>
          <w:p>
            <w:pPr>
              <w:ind w:left="20"/>
              <w:spacing w:after="0"/>
              <w:rPr>
                <w:sz w:val="20"/>
                <w:szCs w:val="20"/>
                <w:color w:val="auto"/>
              </w:rPr>
            </w:pPr>
            <w:r>
              <w:rPr>
                <w:rFonts w:ascii="Arial" w:cs="Arial" w:eastAsia="Arial" w:hAnsi="Arial"/>
                <w:sz w:val="14"/>
                <w:szCs w:val="14"/>
                <w:color w:val="auto"/>
              </w:rPr>
              <w:t>Gross revenues</w:t>
            </w:r>
          </w:p>
        </w:tc>
        <w:tc>
          <w:tcPr>
            <w:tcW w:w="2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1,852</w:t>
            </w:r>
          </w:p>
        </w:tc>
        <w:tc>
          <w:tcPr>
            <w:tcW w:w="20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90"/>
              <w:spacing w:after="0"/>
              <w:rPr>
                <w:sz w:val="20"/>
                <w:szCs w:val="20"/>
                <w:color w:val="auto"/>
              </w:rPr>
            </w:pPr>
            <w:r>
              <w:rPr>
                <w:rFonts w:ascii="Arial" w:cs="Arial" w:eastAsia="Arial" w:hAnsi="Arial"/>
                <w:sz w:val="14"/>
                <w:szCs w:val="14"/>
                <w:color w:val="auto"/>
              </w:rPr>
              <w:t>1,570</w:t>
            </w:r>
          </w:p>
        </w:tc>
        <w:tc>
          <w:tcPr>
            <w:tcW w:w="3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29"/>
              <w:spacing w:after="0"/>
              <w:rPr>
                <w:sz w:val="20"/>
                <w:szCs w:val="20"/>
                <w:color w:val="auto"/>
              </w:rPr>
            </w:pPr>
            <w:r>
              <w:rPr>
                <w:rFonts w:ascii="Arial" w:cs="Arial" w:eastAsia="Arial" w:hAnsi="Arial"/>
                <w:sz w:val="14"/>
                <w:szCs w:val="14"/>
                <w:color w:val="auto"/>
              </w:rPr>
              <w:t>1,458</w:t>
            </w:r>
          </w:p>
        </w:tc>
      </w:tr>
      <w:tr>
        <w:trPr>
          <w:trHeight w:val="216"/>
        </w:trPr>
        <w:tc>
          <w:tcPr>
            <w:tcW w:w="4480" w:type="dxa"/>
            <w:vAlign w:val="bottom"/>
          </w:tcPr>
          <w:p>
            <w:pPr>
              <w:ind w:left="20"/>
              <w:spacing w:after="0"/>
              <w:rPr>
                <w:sz w:val="20"/>
                <w:szCs w:val="20"/>
                <w:color w:val="auto"/>
              </w:rPr>
            </w:pPr>
            <w:r>
              <w:rPr>
                <w:rFonts w:ascii="Arial" w:cs="Arial" w:eastAsia="Arial" w:hAnsi="Arial"/>
                <w:sz w:val="14"/>
                <w:szCs w:val="14"/>
                <w:color w:val="auto"/>
              </w:rPr>
              <w:t>Gross profit</w:t>
            </w:r>
          </w:p>
        </w:tc>
        <w:tc>
          <w:tcPr>
            <w:tcW w:w="2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487</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ind w:right="90"/>
              <w:spacing w:after="0"/>
              <w:rPr>
                <w:sz w:val="20"/>
                <w:szCs w:val="20"/>
                <w:color w:val="auto"/>
              </w:rPr>
            </w:pPr>
            <w:r>
              <w:rPr>
                <w:rFonts w:ascii="Arial" w:cs="Arial" w:eastAsia="Arial" w:hAnsi="Arial"/>
                <w:sz w:val="14"/>
                <w:szCs w:val="14"/>
                <w:color w:val="auto"/>
              </w:rPr>
              <w:t>456</w:t>
            </w:r>
          </w:p>
        </w:tc>
        <w:tc>
          <w:tcPr>
            <w:tcW w:w="360" w:type="dxa"/>
            <w:vAlign w:val="bottom"/>
          </w:tcPr>
          <w:p>
            <w:pPr>
              <w:spacing w:after="0"/>
              <w:rPr>
                <w:sz w:val="18"/>
                <w:szCs w:val="18"/>
                <w:color w:val="auto"/>
              </w:rPr>
            </w:pPr>
          </w:p>
        </w:tc>
        <w:tc>
          <w:tcPr>
            <w:tcW w:w="720" w:type="dxa"/>
            <w:vAlign w:val="bottom"/>
          </w:tcPr>
          <w:p>
            <w:pPr>
              <w:jc w:val="right"/>
              <w:ind w:right="29"/>
              <w:spacing w:after="0"/>
              <w:rPr>
                <w:sz w:val="20"/>
                <w:szCs w:val="20"/>
                <w:color w:val="auto"/>
              </w:rPr>
            </w:pPr>
            <w:r>
              <w:rPr>
                <w:rFonts w:ascii="Arial" w:cs="Arial" w:eastAsia="Arial" w:hAnsi="Arial"/>
                <w:sz w:val="14"/>
                <w:szCs w:val="14"/>
                <w:color w:val="auto"/>
              </w:rPr>
              <w:t>480</w:t>
            </w:r>
          </w:p>
        </w:tc>
      </w:tr>
      <w:tr>
        <w:trPr>
          <w:trHeight w:val="216"/>
        </w:trPr>
        <w:tc>
          <w:tcPr>
            <w:tcW w:w="4480" w:type="dxa"/>
            <w:vAlign w:val="bottom"/>
          </w:tcPr>
          <w:p>
            <w:pPr>
              <w:ind w:left="20"/>
              <w:spacing w:after="0"/>
              <w:rPr>
                <w:sz w:val="20"/>
                <w:szCs w:val="20"/>
                <w:color w:val="auto"/>
              </w:rPr>
            </w:pPr>
            <w:r>
              <w:rPr>
                <w:rFonts w:ascii="Arial" w:cs="Arial" w:eastAsia="Arial" w:hAnsi="Arial"/>
                <w:sz w:val="14"/>
                <w:szCs w:val="14"/>
                <w:color w:val="auto"/>
              </w:rPr>
              <w:t>Income from operations</w:t>
            </w:r>
          </w:p>
        </w:tc>
        <w:tc>
          <w:tcPr>
            <w:tcW w:w="2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234</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ind w:right="90"/>
              <w:spacing w:after="0"/>
              <w:rPr>
                <w:sz w:val="20"/>
                <w:szCs w:val="20"/>
                <w:color w:val="auto"/>
              </w:rPr>
            </w:pPr>
            <w:r>
              <w:rPr>
                <w:rFonts w:ascii="Arial" w:cs="Arial" w:eastAsia="Arial" w:hAnsi="Arial"/>
                <w:sz w:val="14"/>
                <w:szCs w:val="14"/>
                <w:color w:val="auto"/>
              </w:rPr>
              <w:t>225</w:t>
            </w:r>
          </w:p>
        </w:tc>
        <w:tc>
          <w:tcPr>
            <w:tcW w:w="360" w:type="dxa"/>
            <w:vAlign w:val="bottom"/>
          </w:tcPr>
          <w:p>
            <w:pPr>
              <w:spacing w:after="0"/>
              <w:rPr>
                <w:sz w:val="18"/>
                <w:szCs w:val="18"/>
                <w:color w:val="auto"/>
              </w:rPr>
            </w:pPr>
          </w:p>
        </w:tc>
        <w:tc>
          <w:tcPr>
            <w:tcW w:w="720" w:type="dxa"/>
            <w:vAlign w:val="bottom"/>
          </w:tcPr>
          <w:p>
            <w:pPr>
              <w:jc w:val="right"/>
              <w:ind w:right="29"/>
              <w:spacing w:after="0"/>
              <w:rPr>
                <w:sz w:val="20"/>
                <w:szCs w:val="20"/>
                <w:color w:val="auto"/>
              </w:rPr>
            </w:pPr>
            <w:r>
              <w:rPr>
                <w:rFonts w:ascii="Arial" w:cs="Arial" w:eastAsia="Arial" w:hAnsi="Arial"/>
                <w:sz w:val="14"/>
                <w:szCs w:val="14"/>
                <w:color w:val="auto"/>
              </w:rPr>
              <w:t>284</w:t>
            </w:r>
          </w:p>
        </w:tc>
      </w:tr>
      <w:tr>
        <w:trPr>
          <w:trHeight w:val="216"/>
        </w:trPr>
        <w:tc>
          <w:tcPr>
            <w:tcW w:w="4480" w:type="dxa"/>
            <w:vAlign w:val="bottom"/>
          </w:tcPr>
          <w:p>
            <w:pPr>
              <w:ind w:left="20"/>
              <w:spacing w:after="0"/>
              <w:rPr>
                <w:sz w:val="20"/>
                <w:szCs w:val="20"/>
                <w:color w:val="auto"/>
              </w:rPr>
            </w:pPr>
            <w:r>
              <w:rPr>
                <w:rFonts w:ascii="Arial" w:cs="Arial" w:eastAsia="Arial" w:hAnsi="Arial"/>
                <w:sz w:val="14"/>
                <w:szCs w:val="14"/>
                <w:color w:val="auto"/>
              </w:rPr>
              <w:t>Gain (loss) on sale of assets</w:t>
            </w:r>
          </w:p>
        </w:tc>
        <w:tc>
          <w:tcPr>
            <w:tcW w:w="26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(46 )</w:t>
            </w:r>
          </w:p>
        </w:tc>
        <w:tc>
          <w:tcPr>
            <w:tcW w:w="220" w:type="dxa"/>
            <w:vAlign w:val="bottom"/>
          </w:tcPr>
          <w:p>
            <w:pPr>
              <w:spacing w:after="0"/>
              <w:rPr>
                <w:sz w:val="18"/>
                <w:szCs w:val="18"/>
                <w:color w:val="auto"/>
              </w:rPr>
            </w:pPr>
          </w:p>
        </w:tc>
        <w:tc>
          <w:tcPr>
            <w:tcW w:w="880" w:type="dxa"/>
            <w:vAlign w:val="bottom"/>
          </w:tcPr>
          <w:p>
            <w:pPr>
              <w:jc w:val="right"/>
              <w:ind w:right="90"/>
              <w:spacing w:after="0"/>
              <w:rPr>
                <w:sz w:val="20"/>
                <w:szCs w:val="20"/>
                <w:color w:val="auto"/>
              </w:rPr>
            </w:pPr>
            <w:r>
              <w:rPr>
                <w:rFonts w:ascii="Arial" w:cs="Arial" w:eastAsia="Arial" w:hAnsi="Arial"/>
                <w:sz w:val="14"/>
                <w:szCs w:val="14"/>
                <w:color w:val="auto"/>
              </w:rPr>
              <w:t>7</w:t>
            </w:r>
          </w:p>
        </w:tc>
        <w:tc>
          <w:tcPr>
            <w:tcW w:w="360" w:type="dxa"/>
            <w:vAlign w:val="bottom"/>
          </w:tcPr>
          <w:p>
            <w:pPr>
              <w:spacing w:after="0"/>
              <w:rPr>
                <w:sz w:val="18"/>
                <w:szCs w:val="18"/>
                <w:color w:val="auto"/>
              </w:rPr>
            </w:pPr>
          </w:p>
        </w:tc>
        <w:tc>
          <w:tcPr>
            <w:tcW w:w="720" w:type="dxa"/>
            <w:vAlign w:val="bottom"/>
          </w:tcPr>
          <w:p>
            <w:pPr>
              <w:jc w:val="right"/>
              <w:ind w:right="29"/>
              <w:spacing w:after="0"/>
              <w:rPr>
                <w:sz w:val="20"/>
                <w:szCs w:val="20"/>
                <w:color w:val="auto"/>
              </w:rPr>
            </w:pPr>
            <w:r>
              <w:rPr>
                <w:rFonts w:ascii="Arial" w:cs="Arial" w:eastAsia="Arial" w:hAnsi="Arial"/>
                <w:sz w:val="14"/>
                <w:szCs w:val="14"/>
                <w:color w:val="auto"/>
              </w:rPr>
              <w:t>9</w:t>
            </w:r>
          </w:p>
        </w:tc>
      </w:tr>
      <w:tr>
        <w:trPr>
          <w:trHeight w:val="250"/>
        </w:trPr>
        <w:tc>
          <w:tcPr>
            <w:tcW w:w="4480" w:type="dxa"/>
            <w:vAlign w:val="bottom"/>
            <w:tcBorders>
              <w:bottom w:val="single" w:sz="8" w:color="DFDFDF"/>
            </w:tcBorders>
          </w:tcPr>
          <w:p>
            <w:pPr>
              <w:ind w:left="20"/>
              <w:spacing w:after="0"/>
              <w:rPr>
                <w:sz w:val="20"/>
                <w:szCs w:val="20"/>
                <w:color w:val="auto"/>
              </w:rPr>
            </w:pPr>
            <w:r>
              <w:rPr>
                <w:rFonts w:ascii="Arial" w:cs="Arial" w:eastAsia="Arial" w:hAnsi="Arial"/>
                <w:sz w:val="14"/>
                <w:szCs w:val="14"/>
                <w:color w:val="auto"/>
              </w:rPr>
              <w:t>Net income</w:t>
            </w:r>
          </w:p>
        </w:tc>
        <w:tc>
          <w:tcPr>
            <w:tcW w:w="260" w:type="dxa"/>
            <w:vAlign w:val="bottom"/>
            <w:tcBorders>
              <w:bottom w:val="single" w:sz="8" w:color="DFDFDF"/>
            </w:tcBorders>
          </w:tcPr>
          <w:p>
            <w:pPr>
              <w:spacing w:after="0"/>
              <w:rPr>
                <w:sz w:val="21"/>
                <w:szCs w:val="21"/>
                <w:color w:val="auto"/>
              </w:rPr>
            </w:pPr>
          </w:p>
        </w:tc>
        <w:tc>
          <w:tcPr>
            <w:tcW w:w="620" w:type="dxa"/>
            <w:vAlign w:val="bottom"/>
            <w:tcBorders>
              <w:bottom w:val="single" w:sz="8" w:color="DFDFDF"/>
            </w:tcBorders>
          </w:tcPr>
          <w:p>
            <w:pPr>
              <w:jc w:val="right"/>
              <w:spacing w:after="0"/>
              <w:rPr>
                <w:sz w:val="20"/>
                <w:szCs w:val="20"/>
                <w:color w:val="auto"/>
              </w:rPr>
            </w:pPr>
            <w:r>
              <w:rPr>
                <w:rFonts w:ascii="Arial" w:cs="Arial" w:eastAsia="Arial" w:hAnsi="Arial"/>
                <w:sz w:val="14"/>
                <w:szCs w:val="14"/>
                <w:color w:val="auto"/>
              </w:rPr>
              <w:t>171</w:t>
            </w:r>
          </w:p>
        </w:tc>
        <w:tc>
          <w:tcPr>
            <w:tcW w:w="200" w:type="dxa"/>
            <w:vAlign w:val="bottom"/>
            <w:tcBorders>
              <w:bottom w:val="single" w:sz="8" w:color="DFDFDF"/>
            </w:tcBorders>
          </w:tcPr>
          <w:p>
            <w:pPr>
              <w:spacing w:after="0"/>
              <w:rPr>
                <w:sz w:val="21"/>
                <w:szCs w:val="21"/>
                <w:color w:val="auto"/>
              </w:rPr>
            </w:pPr>
          </w:p>
        </w:tc>
        <w:tc>
          <w:tcPr>
            <w:tcW w:w="220" w:type="dxa"/>
            <w:vAlign w:val="bottom"/>
            <w:tcBorders>
              <w:bottom w:val="single" w:sz="8" w:color="DFDFDF"/>
            </w:tcBorders>
          </w:tcPr>
          <w:p>
            <w:pPr>
              <w:spacing w:after="0"/>
              <w:rPr>
                <w:sz w:val="21"/>
                <w:szCs w:val="21"/>
                <w:color w:val="auto"/>
              </w:rPr>
            </w:pPr>
          </w:p>
        </w:tc>
        <w:tc>
          <w:tcPr>
            <w:tcW w:w="880" w:type="dxa"/>
            <w:vAlign w:val="bottom"/>
            <w:tcBorders>
              <w:bottom w:val="single" w:sz="8" w:color="DFDFDF"/>
            </w:tcBorders>
          </w:tcPr>
          <w:p>
            <w:pPr>
              <w:jc w:val="right"/>
              <w:ind w:right="90"/>
              <w:spacing w:after="0"/>
              <w:rPr>
                <w:sz w:val="20"/>
                <w:szCs w:val="20"/>
                <w:color w:val="auto"/>
              </w:rPr>
            </w:pPr>
            <w:r>
              <w:rPr>
                <w:rFonts w:ascii="Arial" w:cs="Arial" w:eastAsia="Arial" w:hAnsi="Arial"/>
                <w:sz w:val="14"/>
                <w:szCs w:val="14"/>
                <w:color w:val="auto"/>
              </w:rPr>
              <w:t>138</w:t>
            </w:r>
          </w:p>
        </w:tc>
        <w:tc>
          <w:tcPr>
            <w:tcW w:w="360" w:type="dxa"/>
            <w:vAlign w:val="bottom"/>
            <w:tcBorders>
              <w:bottom w:val="single" w:sz="8" w:color="DFDFDF"/>
            </w:tcBorders>
          </w:tcPr>
          <w:p>
            <w:pPr>
              <w:spacing w:after="0"/>
              <w:rPr>
                <w:sz w:val="21"/>
                <w:szCs w:val="21"/>
                <w:color w:val="auto"/>
              </w:rPr>
            </w:pPr>
          </w:p>
        </w:tc>
        <w:tc>
          <w:tcPr>
            <w:tcW w:w="720" w:type="dxa"/>
            <w:vAlign w:val="bottom"/>
            <w:tcBorders>
              <w:bottom w:val="single" w:sz="8" w:color="DFDFDF"/>
            </w:tcBorders>
          </w:tcPr>
          <w:p>
            <w:pPr>
              <w:jc w:val="right"/>
              <w:ind w:right="29"/>
              <w:spacing w:after="0"/>
              <w:rPr>
                <w:sz w:val="20"/>
                <w:szCs w:val="20"/>
                <w:color w:val="auto"/>
              </w:rPr>
            </w:pPr>
            <w:r>
              <w:rPr>
                <w:rFonts w:ascii="Arial" w:cs="Arial" w:eastAsia="Arial" w:hAnsi="Arial"/>
                <w:sz w:val="14"/>
                <w:szCs w:val="14"/>
                <w:color w:val="auto"/>
              </w:rPr>
              <w:t>246</w:t>
            </w:r>
          </w:p>
        </w:tc>
      </w:tr>
      <w:tr>
        <w:trPr>
          <w:trHeight w:val="427"/>
        </w:trPr>
        <w:tc>
          <w:tcPr>
            <w:tcW w:w="4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color w:val="auto"/>
              </w:rPr>
              <w:t>At December 31,</w:t>
            </w:r>
          </w:p>
        </w:tc>
        <w:tc>
          <w:tcPr>
            <w:tcW w:w="720" w:type="dxa"/>
            <w:vAlign w:val="bottom"/>
            <w:tcBorders>
              <w:bottom w:val="single" w:sz="8" w:color="auto"/>
            </w:tcBorders>
          </w:tcPr>
          <w:p>
            <w:pPr>
              <w:spacing w:after="0"/>
              <w:rPr>
                <w:sz w:val="24"/>
                <w:szCs w:val="24"/>
                <w:color w:val="auto"/>
              </w:rPr>
            </w:pPr>
          </w:p>
        </w:tc>
      </w:tr>
      <w:tr>
        <w:trPr>
          <w:trHeight w:val="208"/>
        </w:trPr>
        <w:tc>
          <w:tcPr>
            <w:tcW w:w="44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510"/>
              <w:spacing w:after="0"/>
              <w:rPr>
                <w:sz w:val="20"/>
                <w:szCs w:val="20"/>
                <w:color w:val="auto"/>
              </w:rPr>
            </w:pPr>
            <w:r>
              <w:rPr>
                <w:rFonts w:ascii="Arial" w:cs="Arial" w:eastAsia="Arial" w:hAnsi="Arial"/>
                <w:sz w:val="13"/>
                <w:szCs w:val="13"/>
                <w:color w:val="auto"/>
                <w:w w:val="96"/>
              </w:rPr>
              <w:t>2008</w:t>
            </w:r>
          </w:p>
        </w:tc>
        <w:tc>
          <w:tcPr>
            <w:tcW w:w="3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329"/>
              <w:spacing w:after="0"/>
              <w:rPr>
                <w:sz w:val="20"/>
                <w:szCs w:val="20"/>
                <w:color w:val="auto"/>
              </w:rPr>
            </w:pPr>
            <w:r>
              <w:rPr>
                <w:rFonts w:ascii="Arial" w:cs="Arial" w:eastAsia="Arial" w:hAnsi="Arial"/>
                <w:sz w:val="13"/>
                <w:szCs w:val="13"/>
                <w:color w:val="auto"/>
              </w:rPr>
              <w:t>2007</w:t>
            </w:r>
          </w:p>
        </w:tc>
      </w:tr>
      <w:tr>
        <w:trPr>
          <w:trHeight w:val="207"/>
        </w:trPr>
        <w:tc>
          <w:tcPr>
            <w:tcW w:w="4480" w:type="dxa"/>
            <w:vAlign w:val="bottom"/>
          </w:tcPr>
          <w:p>
            <w:pPr>
              <w:ind w:left="20"/>
              <w:spacing w:after="0"/>
              <w:rPr>
                <w:sz w:val="20"/>
                <w:szCs w:val="20"/>
                <w:color w:val="auto"/>
              </w:rPr>
            </w:pPr>
            <w:r>
              <w:rPr>
                <w:rFonts w:ascii="Arial" w:cs="Arial" w:eastAsia="Arial" w:hAnsi="Arial"/>
                <w:sz w:val="14"/>
                <w:szCs w:val="14"/>
                <w:color w:val="auto"/>
              </w:rPr>
              <w:t>Current assets</w:t>
            </w: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90"/>
              <w:spacing w:after="0"/>
              <w:rPr>
                <w:sz w:val="20"/>
                <w:szCs w:val="20"/>
                <w:color w:val="auto"/>
              </w:rPr>
            </w:pPr>
            <w:r>
              <w:rPr>
                <w:rFonts w:ascii="Arial" w:cs="Arial" w:eastAsia="Arial" w:hAnsi="Arial"/>
                <w:sz w:val="14"/>
                <w:szCs w:val="14"/>
                <w:color w:val="auto"/>
              </w:rPr>
              <w:t>795</w:t>
            </w:r>
          </w:p>
        </w:tc>
        <w:tc>
          <w:tcPr>
            <w:tcW w:w="3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29"/>
              <w:spacing w:after="0"/>
              <w:rPr>
                <w:sz w:val="20"/>
                <w:szCs w:val="20"/>
                <w:color w:val="auto"/>
              </w:rPr>
            </w:pPr>
            <w:r>
              <w:rPr>
                <w:rFonts w:ascii="Arial" w:cs="Arial" w:eastAsia="Arial" w:hAnsi="Arial"/>
                <w:sz w:val="14"/>
                <w:szCs w:val="14"/>
                <w:color w:val="auto"/>
              </w:rPr>
              <w:t>921</w:t>
            </w:r>
          </w:p>
        </w:tc>
      </w:tr>
      <w:tr>
        <w:trPr>
          <w:trHeight w:val="216"/>
        </w:trPr>
        <w:tc>
          <w:tcPr>
            <w:tcW w:w="4480" w:type="dxa"/>
            <w:vAlign w:val="bottom"/>
          </w:tcPr>
          <w:p>
            <w:pPr>
              <w:ind w:left="20"/>
              <w:spacing w:after="0"/>
              <w:rPr>
                <w:sz w:val="20"/>
                <w:szCs w:val="20"/>
                <w:color w:val="auto"/>
              </w:rPr>
            </w:pPr>
            <w:r>
              <w:rPr>
                <w:rFonts w:ascii="Arial" w:cs="Arial" w:eastAsia="Arial" w:hAnsi="Arial"/>
                <w:sz w:val="14"/>
                <w:szCs w:val="14"/>
                <w:color w:val="auto"/>
              </w:rPr>
              <w:t>Noncurrent assets</w:t>
            </w: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ind w:right="90"/>
              <w:spacing w:after="0"/>
              <w:rPr>
                <w:sz w:val="20"/>
                <w:szCs w:val="20"/>
                <w:color w:val="auto"/>
              </w:rPr>
            </w:pPr>
            <w:r>
              <w:rPr>
                <w:rFonts w:ascii="Arial" w:cs="Arial" w:eastAsia="Arial" w:hAnsi="Arial"/>
                <w:sz w:val="14"/>
                <w:szCs w:val="14"/>
                <w:color w:val="auto"/>
              </w:rPr>
              <w:t>2,091</w:t>
            </w:r>
          </w:p>
        </w:tc>
        <w:tc>
          <w:tcPr>
            <w:tcW w:w="360" w:type="dxa"/>
            <w:vAlign w:val="bottom"/>
          </w:tcPr>
          <w:p>
            <w:pPr>
              <w:spacing w:after="0"/>
              <w:rPr>
                <w:sz w:val="18"/>
                <w:szCs w:val="18"/>
                <w:color w:val="auto"/>
              </w:rPr>
            </w:pPr>
          </w:p>
        </w:tc>
        <w:tc>
          <w:tcPr>
            <w:tcW w:w="720" w:type="dxa"/>
            <w:vAlign w:val="bottom"/>
          </w:tcPr>
          <w:p>
            <w:pPr>
              <w:jc w:val="right"/>
              <w:ind w:right="29"/>
              <w:spacing w:after="0"/>
              <w:rPr>
                <w:sz w:val="20"/>
                <w:szCs w:val="20"/>
                <w:color w:val="auto"/>
              </w:rPr>
            </w:pPr>
            <w:r>
              <w:rPr>
                <w:rFonts w:ascii="Arial" w:cs="Arial" w:eastAsia="Arial" w:hAnsi="Arial"/>
                <w:sz w:val="14"/>
                <w:szCs w:val="14"/>
                <w:color w:val="auto"/>
              </w:rPr>
              <w:t>2,256</w:t>
            </w:r>
          </w:p>
        </w:tc>
      </w:tr>
      <w:tr>
        <w:trPr>
          <w:trHeight w:val="216"/>
        </w:trPr>
        <w:tc>
          <w:tcPr>
            <w:tcW w:w="4480" w:type="dxa"/>
            <w:vAlign w:val="bottom"/>
          </w:tcPr>
          <w:p>
            <w:pPr>
              <w:ind w:left="20"/>
              <w:spacing w:after="0"/>
              <w:rPr>
                <w:sz w:val="20"/>
                <w:szCs w:val="20"/>
                <w:color w:val="auto"/>
              </w:rPr>
            </w:pPr>
            <w:r>
              <w:rPr>
                <w:rFonts w:ascii="Arial" w:cs="Arial" w:eastAsia="Arial" w:hAnsi="Arial"/>
                <w:sz w:val="14"/>
                <w:szCs w:val="14"/>
                <w:color w:val="auto"/>
              </w:rPr>
              <w:t>Current liabilities</w:t>
            </w: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ind w:right="90"/>
              <w:spacing w:after="0"/>
              <w:rPr>
                <w:sz w:val="20"/>
                <w:szCs w:val="20"/>
                <w:color w:val="auto"/>
              </w:rPr>
            </w:pPr>
            <w:r>
              <w:rPr>
                <w:rFonts w:ascii="Arial" w:cs="Arial" w:eastAsia="Arial" w:hAnsi="Arial"/>
                <w:sz w:val="14"/>
                <w:szCs w:val="14"/>
                <w:color w:val="auto"/>
              </w:rPr>
              <w:t>324</w:t>
            </w:r>
          </w:p>
        </w:tc>
        <w:tc>
          <w:tcPr>
            <w:tcW w:w="360" w:type="dxa"/>
            <w:vAlign w:val="bottom"/>
          </w:tcPr>
          <w:p>
            <w:pPr>
              <w:spacing w:after="0"/>
              <w:rPr>
                <w:sz w:val="18"/>
                <w:szCs w:val="18"/>
                <w:color w:val="auto"/>
              </w:rPr>
            </w:pPr>
          </w:p>
        </w:tc>
        <w:tc>
          <w:tcPr>
            <w:tcW w:w="720" w:type="dxa"/>
            <w:vAlign w:val="bottom"/>
          </w:tcPr>
          <w:p>
            <w:pPr>
              <w:jc w:val="right"/>
              <w:ind w:right="29"/>
              <w:spacing w:after="0"/>
              <w:rPr>
                <w:sz w:val="20"/>
                <w:szCs w:val="20"/>
                <w:color w:val="auto"/>
              </w:rPr>
            </w:pPr>
            <w:r>
              <w:rPr>
                <w:rFonts w:ascii="Arial" w:cs="Arial" w:eastAsia="Arial" w:hAnsi="Arial"/>
                <w:sz w:val="14"/>
                <w:szCs w:val="14"/>
                <w:color w:val="auto"/>
              </w:rPr>
              <w:t>494</w:t>
            </w:r>
          </w:p>
        </w:tc>
      </w:tr>
      <w:tr>
        <w:trPr>
          <w:trHeight w:val="250"/>
        </w:trPr>
        <w:tc>
          <w:tcPr>
            <w:tcW w:w="4480" w:type="dxa"/>
            <w:vAlign w:val="bottom"/>
            <w:tcBorders>
              <w:bottom w:val="single" w:sz="8" w:color="DFDFDF"/>
            </w:tcBorders>
          </w:tcPr>
          <w:p>
            <w:pPr>
              <w:ind w:left="20"/>
              <w:spacing w:after="0"/>
              <w:rPr>
                <w:sz w:val="20"/>
                <w:szCs w:val="20"/>
                <w:color w:val="auto"/>
              </w:rPr>
            </w:pPr>
            <w:r>
              <w:rPr>
                <w:rFonts w:ascii="Arial" w:cs="Arial" w:eastAsia="Arial" w:hAnsi="Arial"/>
                <w:sz w:val="14"/>
                <w:szCs w:val="14"/>
                <w:color w:val="auto"/>
              </w:rPr>
              <w:t>Noncurrent liabilities</w:t>
            </w:r>
          </w:p>
        </w:tc>
        <w:tc>
          <w:tcPr>
            <w:tcW w:w="260" w:type="dxa"/>
            <w:vAlign w:val="bottom"/>
            <w:tcBorders>
              <w:bottom w:val="single" w:sz="8" w:color="DFDFDF"/>
            </w:tcBorders>
          </w:tcPr>
          <w:p>
            <w:pPr>
              <w:spacing w:after="0"/>
              <w:rPr>
                <w:sz w:val="21"/>
                <w:szCs w:val="21"/>
                <w:color w:val="auto"/>
              </w:rPr>
            </w:pPr>
          </w:p>
        </w:tc>
        <w:tc>
          <w:tcPr>
            <w:tcW w:w="620" w:type="dxa"/>
            <w:vAlign w:val="bottom"/>
            <w:tcBorders>
              <w:bottom w:val="single" w:sz="8" w:color="DFDFDF"/>
            </w:tcBorders>
          </w:tcPr>
          <w:p>
            <w:pPr>
              <w:spacing w:after="0"/>
              <w:rPr>
                <w:sz w:val="21"/>
                <w:szCs w:val="21"/>
                <w:color w:val="auto"/>
              </w:rPr>
            </w:pPr>
          </w:p>
        </w:tc>
        <w:tc>
          <w:tcPr>
            <w:tcW w:w="200" w:type="dxa"/>
            <w:vAlign w:val="bottom"/>
            <w:tcBorders>
              <w:bottom w:val="single" w:sz="8" w:color="DFDFDF"/>
            </w:tcBorders>
          </w:tcPr>
          <w:p>
            <w:pPr>
              <w:spacing w:after="0"/>
              <w:rPr>
                <w:sz w:val="21"/>
                <w:szCs w:val="21"/>
                <w:color w:val="auto"/>
              </w:rPr>
            </w:pPr>
          </w:p>
        </w:tc>
        <w:tc>
          <w:tcPr>
            <w:tcW w:w="220" w:type="dxa"/>
            <w:vAlign w:val="bottom"/>
            <w:tcBorders>
              <w:bottom w:val="single" w:sz="8" w:color="DFDFDF"/>
            </w:tcBorders>
          </w:tcPr>
          <w:p>
            <w:pPr>
              <w:spacing w:after="0"/>
              <w:rPr>
                <w:sz w:val="21"/>
                <w:szCs w:val="21"/>
                <w:color w:val="auto"/>
              </w:rPr>
            </w:pPr>
          </w:p>
        </w:tc>
        <w:tc>
          <w:tcPr>
            <w:tcW w:w="880" w:type="dxa"/>
            <w:vAlign w:val="bottom"/>
            <w:tcBorders>
              <w:bottom w:val="single" w:sz="8" w:color="DFDFDF"/>
            </w:tcBorders>
          </w:tcPr>
          <w:p>
            <w:pPr>
              <w:jc w:val="right"/>
              <w:ind w:right="90"/>
              <w:spacing w:after="0"/>
              <w:rPr>
                <w:sz w:val="20"/>
                <w:szCs w:val="20"/>
                <w:color w:val="auto"/>
              </w:rPr>
            </w:pPr>
            <w:r>
              <w:rPr>
                <w:rFonts w:ascii="Arial" w:cs="Arial" w:eastAsia="Arial" w:hAnsi="Arial"/>
                <w:sz w:val="14"/>
                <w:szCs w:val="14"/>
                <w:color w:val="auto"/>
              </w:rPr>
              <w:t>519</w:t>
            </w:r>
          </w:p>
        </w:tc>
        <w:tc>
          <w:tcPr>
            <w:tcW w:w="360" w:type="dxa"/>
            <w:vAlign w:val="bottom"/>
            <w:tcBorders>
              <w:bottom w:val="single" w:sz="8" w:color="DFDFDF"/>
            </w:tcBorders>
          </w:tcPr>
          <w:p>
            <w:pPr>
              <w:spacing w:after="0"/>
              <w:rPr>
                <w:sz w:val="21"/>
                <w:szCs w:val="21"/>
                <w:color w:val="auto"/>
              </w:rPr>
            </w:pPr>
          </w:p>
        </w:tc>
        <w:tc>
          <w:tcPr>
            <w:tcW w:w="720" w:type="dxa"/>
            <w:vAlign w:val="bottom"/>
            <w:tcBorders>
              <w:bottom w:val="single" w:sz="8" w:color="DFDFDF"/>
            </w:tcBorders>
          </w:tcPr>
          <w:p>
            <w:pPr>
              <w:jc w:val="right"/>
              <w:ind w:right="29"/>
              <w:spacing w:after="0"/>
              <w:rPr>
                <w:sz w:val="20"/>
                <w:szCs w:val="20"/>
                <w:color w:val="auto"/>
              </w:rPr>
            </w:pPr>
            <w:r>
              <w:rPr>
                <w:rFonts w:ascii="Arial" w:cs="Arial" w:eastAsia="Arial" w:hAnsi="Arial"/>
                <w:sz w:val="14"/>
                <w:szCs w:val="14"/>
                <w:color w:val="auto"/>
              </w:rPr>
              <w:t>936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220980</wp:posOffset>
            </wp:positionV>
            <wp:extent cx="7261860" cy="762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pacing w:after="0" w:line="385" w:lineRule="exact"/>
        <w:rPr>
          <w:sz w:val="20"/>
          <w:szCs w:val="20"/>
          <w:color w:val="auto"/>
        </w:rPr>
      </w:pPr>
    </w:p>
    <w:p>
      <w:pPr>
        <w:spacing w:after="0"/>
        <w:rPr>
          <w:sz w:val="20"/>
          <w:szCs w:val="20"/>
          <w:color w:val="auto"/>
        </w:rPr>
      </w:pPr>
      <w:r>
        <w:rPr>
          <w:rFonts w:ascii="Arial" w:cs="Arial" w:eastAsia="Arial" w:hAnsi="Arial"/>
          <w:sz w:val="18"/>
          <w:szCs w:val="18"/>
          <w:color w:val="auto"/>
        </w:rPr>
        <w:t>NOTE 5. DISCONTINUED OPERATIONS</w:t>
      </w:r>
    </w:p>
    <w:p>
      <w:pPr>
        <w:spacing w:after="0" w:line="60" w:lineRule="exact"/>
        <w:rPr>
          <w:sz w:val="20"/>
          <w:szCs w:val="20"/>
          <w:color w:val="auto"/>
        </w:rPr>
      </w:pPr>
    </w:p>
    <w:p>
      <w:pPr>
        <w:spacing w:after="0" w:line="264" w:lineRule="auto"/>
        <w:rPr>
          <w:sz w:val="20"/>
          <w:szCs w:val="20"/>
          <w:color w:val="auto"/>
        </w:rPr>
      </w:pPr>
      <w:r>
        <w:rPr>
          <w:rFonts w:ascii="Arial" w:cs="Arial" w:eastAsia="Arial" w:hAnsi="Arial"/>
          <w:sz w:val="16"/>
          <w:szCs w:val="16"/>
          <w:color w:val="auto"/>
        </w:rPr>
        <w:t>In the second quarter of 2006, Sempra Generation sold its 305-MW, coal-fired Twin Oaks Power plant (Twin Oaks) in Texas for $479 million in cash. Also in the second quarter, Sempra Generation completed the sales of Energy Services, which provided energy-saving facilities, and Facilities Management, which managed building heating and cooling facilities, for a total of $95 million in cash.</w:t>
      </w:r>
    </w:p>
    <w:p>
      <w:pPr>
        <w:spacing w:after="0" w:line="42" w:lineRule="exact"/>
        <w:rPr>
          <w:sz w:val="20"/>
          <w:szCs w:val="20"/>
          <w:color w:val="auto"/>
        </w:rPr>
      </w:pPr>
    </w:p>
    <w:p>
      <w:pPr>
        <w:spacing w:after="0"/>
        <w:rPr>
          <w:sz w:val="20"/>
          <w:szCs w:val="20"/>
          <w:color w:val="auto"/>
        </w:rPr>
      </w:pPr>
      <w:r>
        <w:rPr>
          <w:rFonts w:ascii="Arial" w:cs="Arial" w:eastAsia="Arial" w:hAnsi="Arial"/>
          <w:sz w:val="15"/>
          <w:szCs w:val="15"/>
          <w:color w:val="auto"/>
        </w:rPr>
        <w:t>In the third quarter of 2006, Sempra Generation sold its exploration and production subsidiary, Sempra Energy Production Company (SEPCO), for $225 million in cash.</w:t>
      </w:r>
    </w:p>
    <w:p>
      <w:pPr>
        <w:spacing w:after="0" w:line="92" w:lineRule="exact"/>
        <w:rPr>
          <w:sz w:val="20"/>
          <w:szCs w:val="20"/>
          <w:color w:val="auto"/>
        </w:rPr>
      </w:pPr>
    </w:p>
    <w:p>
      <w:pPr>
        <w:ind w:right="120"/>
        <w:spacing w:after="0" w:line="259" w:lineRule="auto"/>
        <w:rPr>
          <w:sz w:val="20"/>
          <w:szCs w:val="20"/>
          <w:color w:val="auto"/>
        </w:rPr>
      </w:pPr>
      <w:r>
        <w:rPr>
          <w:rFonts w:ascii="Arial" w:cs="Arial" w:eastAsia="Arial" w:hAnsi="Arial"/>
          <w:sz w:val="16"/>
          <w:szCs w:val="16"/>
          <w:color w:val="auto"/>
        </w:rPr>
        <w:t>In June 2006, in line with our previously announced plan to focus resources on the development of our core businesses, we decided to sell Bangor Gas and Frontier Energy, Sempra Pipelines &amp; Storage’s natural gas distribution companies located in Maine and North Carolina, respectively. In accordance with SFAS 144, we recorded an after-tax impairment loss of $40 million in 2006. The sales of Frontier Energy and Bangor Gas were completed on September 30, and November 30, 2007, respectively, for a total of $5 million in cash.</w:t>
      </w:r>
    </w:p>
    <w:p>
      <w:pPr>
        <w:spacing w:after="0" w:line="47" w:lineRule="exact"/>
        <w:rPr>
          <w:sz w:val="20"/>
          <w:szCs w:val="20"/>
          <w:color w:val="auto"/>
        </w:rPr>
      </w:pPr>
    </w:p>
    <w:p>
      <w:pPr>
        <w:spacing w:after="0"/>
        <w:rPr>
          <w:sz w:val="20"/>
          <w:szCs w:val="20"/>
          <w:color w:val="auto"/>
        </w:rPr>
      </w:pPr>
      <w:r>
        <w:rPr>
          <w:rFonts w:ascii="Arial" w:cs="Arial" w:eastAsia="Arial" w:hAnsi="Arial"/>
          <w:sz w:val="16"/>
          <w:szCs w:val="16"/>
          <w:color w:val="auto"/>
        </w:rPr>
        <w:t>In accordance with SFAS 144, we have reported the above operations as discontinued for all periods presented in our Consolidated Financial Statements.</w:t>
      </w:r>
    </w:p>
    <w:p>
      <w:pPr>
        <w:spacing w:after="0" w:line="80" w:lineRule="exact"/>
        <w:rPr>
          <w:sz w:val="20"/>
          <w:szCs w:val="20"/>
          <w:color w:val="auto"/>
        </w:rPr>
      </w:pPr>
    </w:p>
    <w:p>
      <w:pPr>
        <w:spacing w:after="0"/>
        <w:rPr>
          <w:sz w:val="20"/>
          <w:szCs w:val="20"/>
          <w:color w:val="auto"/>
        </w:rPr>
      </w:pPr>
      <w:r>
        <w:rPr>
          <w:rFonts w:ascii="Arial" w:cs="Arial" w:eastAsia="Arial" w:hAnsi="Arial"/>
          <w:sz w:val="16"/>
          <w:szCs w:val="16"/>
          <w:color w:val="auto"/>
        </w:rPr>
        <w:t>We summarize the income statement information concerning our discontinued operations in the table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1187450</wp:posOffset>
            </wp:positionH>
            <wp:positionV relativeFrom="paragraph">
              <wp:posOffset>196215</wp:posOffset>
            </wp:positionV>
            <wp:extent cx="4881880" cy="24384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4881880" cy="243840"/>
                    </a:xfrm>
                    <a:prstGeom prst="rect">
                      <a:avLst/>
                    </a:prstGeom>
                    <a:noFill/>
                  </pic:spPr>
                </pic:pic>
              </a:graphicData>
            </a:graphic>
          </wp:anchor>
        </w:drawing>
      </w:r>
    </w:p>
    <w:p>
      <w:pPr>
        <w:spacing w:after="0" w:line="297" w:lineRule="exact"/>
        <w:rPr>
          <w:sz w:val="20"/>
          <w:szCs w:val="20"/>
          <w:color w:val="auto"/>
        </w:rPr>
      </w:pPr>
    </w:p>
    <w:p>
      <w:pPr>
        <w:ind w:left="1880"/>
        <w:spacing w:after="0"/>
        <w:rPr>
          <w:sz w:val="20"/>
          <w:szCs w:val="20"/>
          <w:color w:val="auto"/>
        </w:rPr>
      </w:pPr>
      <w:r>
        <w:rPr>
          <w:rFonts w:ascii="Arial" w:cs="Arial" w:eastAsia="Arial" w:hAnsi="Arial"/>
          <w:sz w:val="14"/>
          <w:szCs w:val="14"/>
          <w:b w:val="1"/>
          <w:bCs w:val="1"/>
          <w:color w:val="auto"/>
        </w:rPr>
        <w:t>DISCONTINUED OPERATIONS</w:t>
      </w:r>
    </w:p>
    <w:p>
      <w:pPr>
        <w:spacing w:after="0" w:line="40" w:lineRule="exact"/>
        <w:rPr>
          <w:sz w:val="20"/>
          <w:szCs w:val="20"/>
          <w:color w:val="auto"/>
        </w:rPr>
      </w:pPr>
    </w:p>
    <w:p>
      <w:pPr>
        <w:ind w:left="1880"/>
        <w:spacing w:after="0"/>
        <w:rPr>
          <w:sz w:val="20"/>
          <w:szCs w:val="20"/>
          <w:color w:val="auto"/>
        </w:rPr>
      </w:pPr>
      <w:r>
        <w:rPr>
          <w:rFonts w:ascii="Arial" w:cs="Arial" w:eastAsia="Arial" w:hAnsi="Arial"/>
          <w:sz w:val="13"/>
          <w:szCs w:val="13"/>
          <w:i w:val="1"/>
          <w:iCs w:val="1"/>
          <w:color w:val="auto"/>
        </w:rPr>
        <w:t>(Dollars in millions)</w:t>
      </w:r>
    </w:p>
    <w:p>
      <w:pPr>
        <w:spacing w:after="0" w:line="67" w:lineRule="exact"/>
        <w:rPr>
          <w:sz w:val="20"/>
          <w:szCs w:val="20"/>
          <w:color w:val="auto"/>
        </w:rPr>
      </w:pPr>
    </w:p>
    <w:tbl>
      <w:tblPr>
        <w:tblLayout w:type="fixed"/>
        <w:tblInd w:w="1880" w:type="dxa"/>
        <w:tblCellMar>
          <w:top w:w="0" w:type="dxa"/>
          <w:left w:w="0" w:type="dxa"/>
          <w:bottom w:w="0" w:type="dxa"/>
          <w:right w:w="0" w:type="dxa"/>
        </w:tblCellMar>
      </w:tblPr>
      <w:tr>
        <w:trPr>
          <w:trHeight w:val="159"/>
        </w:trPr>
        <w:tc>
          <w:tcPr>
            <w:tcW w:w="4920" w:type="dxa"/>
            <w:vAlign w:val="bottom"/>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2300" w:type="dxa"/>
            <w:vAlign w:val="bottom"/>
            <w:tcBorders>
              <w:bottom w:val="single" w:sz="8" w:color="auto"/>
            </w:tcBorders>
            <w:gridSpan w:val="3"/>
          </w:tcPr>
          <w:p>
            <w:pPr>
              <w:ind w:left="140"/>
              <w:spacing w:after="0"/>
              <w:rPr>
                <w:sz w:val="20"/>
                <w:szCs w:val="20"/>
                <w:color w:val="auto"/>
              </w:rPr>
            </w:pPr>
            <w:r>
              <w:rPr>
                <w:rFonts w:ascii="Arial" w:cs="Arial" w:eastAsia="Arial" w:hAnsi="Arial"/>
                <w:sz w:val="13"/>
                <w:szCs w:val="13"/>
                <w:color w:val="auto"/>
              </w:rPr>
              <w:t>Years ended December 31,</w:t>
            </w:r>
          </w:p>
        </w:tc>
      </w:tr>
      <w:tr>
        <w:trPr>
          <w:trHeight w:val="208"/>
        </w:trPr>
        <w:tc>
          <w:tcPr>
            <w:tcW w:w="492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ind w:left="140"/>
              <w:spacing w:after="0"/>
              <w:rPr>
                <w:sz w:val="20"/>
                <w:szCs w:val="20"/>
                <w:color w:val="auto"/>
              </w:rPr>
            </w:pPr>
            <w:r>
              <w:rPr>
                <w:rFonts w:ascii="Arial" w:cs="Arial" w:eastAsia="Arial" w:hAnsi="Arial"/>
                <w:sz w:val="13"/>
                <w:szCs w:val="13"/>
                <w:color w:val="auto"/>
              </w:rPr>
              <w:t>2007</w:t>
            </w:r>
          </w:p>
        </w:tc>
        <w:tc>
          <w:tcPr>
            <w:tcW w:w="4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49"/>
              <w:spacing w:after="0"/>
              <w:rPr>
                <w:sz w:val="20"/>
                <w:szCs w:val="20"/>
                <w:color w:val="auto"/>
              </w:rPr>
            </w:pPr>
            <w:r>
              <w:rPr>
                <w:rFonts w:ascii="Arial" w:cs="Arial" w:eastAsia="Arial" w:hAnsi="Arial"/>
                <w:sz w:val="13"/>
                <w:szCs w:val="13"/>
                <w:color w:val="auto"/>
              </w:rPr>
              <w:t>2006</w:t>
            </w:r>
          </w:p>
        </w:tc>
      </w:tr>
      <w:tr>
        <w:trPr>
          <w:trHeight w:val="229"/>
        </w:trPr>
        <w:tc>
          <w:tcPr>
            <w:tcW w:w="4920" w:type="dxa"/>
            <w:vAlign w:val="bottom"/>
          </w:tcPr>
          <w:p>
            <w:pPr>
              <w:spacing w:after="0"/>
              <w:rPr>
                <w:sz w:val="20"/>
                <w:szCs w:val="20"/>
                <w:color w:val="auto"/>
              </w:rPr>
            </w:pPr>
            <w:r>
              <w:rPr>
                <w:rFonts w:ascii="Arial" w:cs="Arial" w:eastAsia="Arial" w:hAnsi="Arial"/>
                <w:sz w:val="14"/>
                <w:szCs w:val="14"/>
                <w:color w:val="auto"/>
              </w:rPr>
              <w:t>Revenues</w:t>
            </w:r>
          </w:p>
        </w:tc>
        <w:tc>
          <w:tcPr>
            <w:tcW w:w="4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ind w:right="249"/>
              <w:spacing w:after="0"/>
              <w:rPr>
                <w:sz w:val="20"/>
                <w:szCs w:val="20"/>
                <w:color w:val="auto"/>
              </w:rPr>
            </w:pPr>
            <w:r>
              <w:rPr>
                <w:rFonts w:ascii="Arial" w:cs="Arial" w:eastAsia="Arial" w:hAnsi="Arial"/>
                <w:sz w:val="14"/>
                <w:szCs w:val="14"/>
                <w:color w:val="auto"/>
              </w:rPr>
              <w:t>10</w:t>
            </w:r>
          </w:p>
        </w:tc>
        <w:tc>
          <w:tcPr>
            <w:tcW w:w="4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89</w:t>
            </w:r>
          </w:p>
        </w:tc>
      </w:tr>
      <w:tr>
        <w:trPr>
          <w:trHeight w:val="426"/>
        </w:trPr>
        <w:tc>
          <w:tcPr>
            <w:tcW w:w="4920" w:type="dxa"/>
            <w:vAlign w:val="bottom"/>
          </w:tcPr>
          <w:p>
            <w:pPr>
              <w:spacing w:after="0"/>
              <w:rPr>
                <w:sz w:val="20"/>
                <w:szCs w:val="20"/>
                <w:color w:val="auto"/>
              </w:rPr>
            </w:pPr>
            <w:r>
              <w:rPr>
                <w:rFonts w:ascii="Arial" w:cs="Arial" w:eastAsia="Arial" w:hAnsi="Arial"/>
                <w:sz w:val="14"/>
                <w:szCs w:val="14"/>
                <w:color w:val="auto"/>
              </w:rPr>
              <w:t>Income from operations, before income taxes</w:t>
            </w:r>
          </w:p>
        </w:tc>
        <w:tc>
          <w:tcPr>
            <w:tcW w:w="4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249"/>
              <w:spacing w:after="0"/>
              <w:rPr>
                <w:sz w:val="20"/>
                <w:szCs w:val="20"/>
                <w:color w:val="auto"/>
              </w:rPr>
            </w:pPr>
            <w:r>
              <w:rPr>
                <w:rFonts w:ascii="Arial" w:cs="Arial" w:eastAsia="Arial" w:hAnsi="Arial"/>
                <w:sz w:val="14"/>
                <w:szCs w:val="14"/>
                <w:color w:val="auto"/>
              </w:rPr>
              <w:t>2</w:t>
            </w:r>
          </w:p>
        </w:tc>
        <w:tc>
          <w:tcPr>
            <w:tcW w:w="4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109"/>
              <w:spacing w:after="0"/>
              <w:rPr>
                <w:sz w:val="20"/>
                <w:szCs w:val="20"/>
                <w:color w:val="auto"/>
              </w:rPr>
            </w:pPr>
            <w:r>
              <w:rPr>
                <w:rFonts w:ascii="Arial" w:cs="Arial" w:eastAsia="Arial" w:hAnsi="Arial"/>
                <w:sz w:val="14"/>
                <w:szCs w:val="14"/>
                <w:color w:val="auto"/>
              </w:rPr>
              <w:t>20</w:t>
            </w:r>
          </w:p>
        </w:tc>
      </w:tr>
      <w:tr>
        <w:trPr>
          <w:trHeight w:val="216"/>
        </w:trPr>
        <w:tc>
          <w:tcPr>
            <w:tcW w:w="4920" w:type="dxa"/>
            <w:vAlign w:val="bottom"/>
          </w:tcPr>
          <w:p>
            <w:pPr>
              <w:spacing w:after="0"/>
              <w:rPr>
                <w:sz w:val="20"/>
                <w:szCs w:val="20"/>
                <w:color w:val="auto"/>
              </w:rPr>
            </w:pPr>
            <w:r>
              <w:rPr>
                <w:rFonts w:ascii="Arial" w:cs="Arial" w:eastAsia="Arial" w:hAnsi="Arial"/>
                <w:sz w:val="14"/>
                <w:szCs w:val="14"/>
                <w:color w:val="auto"/>
              </w:rPr>
              <w:t>Impairment loss</w:t>
            </w:r>
          </w:p>
        </w:tc>
        <w:tc>
          <w:tcPr>
            <w:tcW w:w="460" w:type="dxa"/>
            <w:vAlign w:val="bottom"/>
          </w:tcPr>
          <w:p>
            <w:pPr>
              <w:spacing w:after="0"/>
              <w:rPr>
                <w:sz w:val="18"/>
                <w:szCs w:val="18"/>
                <w:color w:val="auto"/>
              </w:rPr>
            </w:pPr>
          </w:p>
        </w:tc>
        <w:tc>
          <w:tcPr>
            <w:tcW w:w="1000" w:type="dxa"/>
            <w:vAlign w:val="bottom"/>
          </w:tcPr>
          <w:p>
            <w:pPr>
              <w:jc w:val="right"/>
              <w:ind w:right="249"/>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8"/>
                <w:szCs w:val="18"/>
                <w:color w:val="auto"/>
              </w:rPr>
            </w:pPr>
          </w:p>
        </w:tc>
        <w:tc>
          <w:tcPr>
            <w:tcW w:w="840" w:type="dxa"/>
            <w:vAlign w:val="bottom"/>
          </w:tcPr>
          <w:p>
            <w:pPr>
              <w:jc w:val="right"/>
              <w:ind w:right="49"/>
              <w:spacing w:after="0"/>
              <w:rPr>
                <w:sz w:val="20"/>
                <w:szCs w:val="20"/>
                <w:color w:val="auto"/>
              </w:rPr>
            </w:pPr>
            <w:r>
              <w:rPr>
                <w:rFonts w:ascii="Arial" w:cs="Arial" w:eastAsia="Arial" w:hAnsi="Arial"/>
                <w:sz w:val="14"/>
                <w:szCs w:val="14"/>
                <w:color w:val="auto"/>
              </w:rPr>
              <w:t>(68 )</w:t>
            </w:r>
          </w:p>
        </w:tc>
      </w:tr>
      <w:tr>
        <w:trPr>
          <w:trHeight w:val="216"/>
        </w:trPr>
        <w:tc>
          <w:tcPr>
            <w:tcW w:w="4920" w:type="dxa"/>
            <w:vAlign w:val="bottom"/>
          </w:tcPr>
          <w:p>
            <w:pPr>
              <w:spacing w:after="0"/>
              <w:rPr>
                <w:sz w:val="20"/>
                <w:szCs w:val="20"/>
                <w:color w:val="auto"/>
              </w:rPr>
            </w:pPr>
            <w:r>
              <w:rPr>
                <w:rFonts w:ascii="Arial" w:cs="Arial" w:eastAsia="Arial" w:hAnsi="Arial"/>
                <w:sz w:val="14"/>
                <w:szCs w:val="14"/>
                <w:color w:val="auto"/>
              </w:rPr>
              <w:t>Income tax expense (benefit)</w:t>
            </w:r>
          </w:p>
        </w:tc>
        <w:tc>
          <w:tcPr>
            <w:tcW w:w="460" w:type="dxa"/>
            <w:vAlign w:val="bottom"/>
          </w:tcPr>
          <w:p>
            <w:pPr>
              <w:spacing w:after="0"/>
              <w:rPr>
                <w:sz w:val="18"/>
                <w:szCs w:val="18"/>
                <w:color w:val="auto"/>
              </w:rPr>
            </w:pPr>
          </w:p>
        </w:tc>
        <w:tc>
          <w:tcPr>
            <w:tcW w:w="1000" w:type="dxa"/>
            <w:vAlign w:val="bottom"/>
          </w:tcPr>
          <w:p>
            <w:pPr>
              <w:jc w:val="right"/>
              <w:ind w:right="249"/>
              <w:spacing w:after="0"/>
              <w:rPr>
                <w:sz w:val="20"/>
                <w:szCs w:val="20"/>
                <w:color w:val="auto"/>
              </w:rPr>
            </w:pPr>
            <w:r>
              <w:rPr>
                <w:rFonts w:ascii="Arial" w:cs="Arial" w:eastAsia="Arial" w:hAnsi="Arial"/>
                <w:sz w:val="14"/>
                <w:szCs w:val="14"/>
                <w:color w:val="auto"/>
              </w:rPr>
              <w:t>4</w:t>
            </w:r>
          </w:p>
        </w:tc>
        <w:tc>
          <w:tcPr>
            <w:tcW w:w="460" w:type="dxa"/>
            <w:vAlign w:val="bottom"/>
          </w:tcPr>
          <w:p>
            <w:pPr>
              <w:spacing w:after="0"/>
              <w:rPr>
                <w:sz w:val="18"/>
                <w:szCs w:val="18"/>
                <w:color w:val="auto"/>
              </w:rPr>
            </w:pPr>
          </w:p>
        </w:tc>
        <w:tc>
          <w:tcPr>
            <w:tcW w:w="840" w:type="dxa"/>
            <w:vAlign w:val="bottom"/>
          </w:tcPr>
          <w:p>
            <w:pPr>
              <w:jc w:val="right"/>
              <w:ind w:right="49"/>
              <w:spacing w:after="0"/>
              <w:rPr>
                <w:sz w:val="20"/>
                <w:szCs w:val="20"/>
                <w:color w:val="auto"/>
              </w:rPr>
            </w:pPr>
            <w:r>
              <w:rPr>
                <w:rFonts w:ascii="Arial" w:cs="Arial" w:eastAsia="Arial" w:hAnsi="Arial"/>
                <w:sz w:val="14"/>
                <w:szCs w:val="14"/>
                <w:color w:val="auto"/>
              </w:rPr>
              <w:t>(20 )</w:t>
            </w:r>
          </w:p>
        </w:tc>
      </w:tr>
      <w:tr>
        <w:trPr>
          <w:trHeight w:val="222"/>
        </w:trPr>
        <w:tc>
          <w:tcPr>
            <w:tcW w:w="4920" w:type="dxa"/>
            <w:vAlign w:val="bottom"/>
          </w:tcPr>
          <w:p>
            <w:pPr>
              <w:spacing w:after="0"/>
              <w:rPr>
                <w:sz w:val="20"/>
                <w:szCs w:val="20"/>
                <w:color w:val="auto"/>
              </w:rPr>
            </w:pPr>
            <w:r>
              <w:rPr>
                <w:rFonts w:ascii="Arial" w:cs="Arial" w:eastAsia="Arial" w:hAnsi="Arial"/>
                <w:sz w:val="14"/>
                <w:szCs w:val="14"/>
                <w:color w:val="auto"/>
              </w:rPr>
              <w:t>Consolidated state tax adjustment</w:t>
            </w:r>
          </w:p>
        </w:tc>
        <w:tc>
          <w:tcPr>
            <w:tcW w:w="4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249"/>
              <w:spacing w:after="0"/>
              <w:rPr>
                <w:sz w:val="20"/>
                <w:szCs w:val="20"/>
                <w:color w:val="auto"/>
              </w:rPr>
            </w:pPr>
            <w:r>
              <w:rPr>
                <w:rFonts w:ascii="Arial" w:cs="Arial" w:eastAsia="Arial" w:hAnsi="Arial"/>
                <w:sz w:val="14"/>
                <w:szCs w:val="14"/>
                <w:color w:val="auto"/>
              </w:rPr>
              <w:t>--</w:t>
            </w:r>
          </w:p>
        </w:tc>
        <w:tc>
          <w:tcPr>
            <w:tcW w:w="4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1</w:t>
            </w:r>
          </w:p>
        </w:tc>
      </w:tr>
      <w:tr>
        <w:trPr>
          <w:trHeight w:val="205"/>
        </w:trPr>
        <w:tc>
          <w:tcPr>
            <w:tcW w:w="492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189"/>
              <w:spacing w:after="0"/>
              <w:rPr>
                <w:sz w:val="20"/>
                <w:szCs w:val="20"/>
                <w:color w:val="auto"/>
              </w:rPr>
            </w:pPr>
            <w:r>
              <w:rPr>
                <w:rFonts w:ascii="Arial" w:cs="Arial" w:eastAsia="Arial" w:hAnsi="Arial"/>
                <w:sz w:val="14"/>
                <w:szCs w:val="14"/>
                <w:color w:val="auto"/>
              </w:rPr>
              <w:t>(2 )</w:t>
            </w:r>
          </w:p>
        </w:tc>
        <w:tc>
          <w:tcPr>
            <w:tcW w:w="4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(27 )</w:t>
            </w:r>
          </w:p>
        </w:tc>
      </w:tr>
      <w:tr>
        <w:trPr>
          <w:trHeight w:val="421"/>
        </w:trPr>
        <w:tc>
          <w:tcPr>
            <w:tcW w:w="4920" w:type="dxa"/>
            <w:vAlign w:val="bottom"/>
          </w:tcPr>
          <w:p>
            <w:pPr>
              <w:spacing w:after="0"/>
              <w:rPr>
                <w:sz w:val="20"/>
                <w:szCs w:val="20"/>
                <w:color w:val="auto"/>
              </w:rPr>
            </w:pPr>
            <w:r>
              <w:rPr>
                <w:rFonts w:ascii="Arial" w:cs="Arial" w:eastAsia="Arial" w:hAnsi="Arial"/>
                <w:sz w:val="14"/>
                <w:szCs w:val="14"/>
                <w:color w:val="auto"/>
              </w:rPr>
              <w:t>Gain (loss) on disposal, before income taxes</w:t>
            </w:r>
          </w:p>
        </w:tc>
        <w:tc>
          <w:tcPr>
            <w:tcW w:w="460" w:type="dxa"/>
            <w:vAlign w:val="bottom"/>
          </w:tcPr>
          <w:p>
            <w:pPr>
              <w:spacing w:after="0"/>
              <w:rPr>
                <w:sz w:val="24"/>
                <w:szCs w:val="24"/>
                <w:color w:val="auto"/>
              </w:rPr>
            </w:pPr>
          </w:p>
        </w:tc>
        <w:tc>
          <w:tcPr>
            <w:tcW w:w="1000" w:type="dxa"/>
            <w:vAlign w:val="bottom"/>
          </w:tcPr>
          <w:p>
            <w:pPr>
              <w:jc w:val="right"/>
              <w:ind w:right="189"/>
              <w:spacing w:after="0"/>
              <w:rPr>
                <w:sz w:val="20"/>
                <w:szCs w:val="20"/>
                <w:color w:val="auto"/>
              </w:rPr>
            </w:pPr>
            <w:r>
              <w:rPr>
                <w:rFonts w:ascii="Arial" w:cs="Arial" w:eastAsia="Arial" w:hAnsi="Arial"/>
                <w:sz w:val="14"/>
                <w:szCs w:val="14"/>
                <w:color w:val="auto"/>
              </w:rPr>
              <w:t>(2 )</w:t>
            </w:r>
          </w:p>
        </w:tc>
        <w:tc>
          <w:tcPr>
            <w:tcW w:w="460" w:type="dxa"/>
            <w:vAlign w:val="bottom"/>
          </w:tcPr>
          <w:p>
            <w:pPr>
              <w:spacing w:after="0"/>
              <w:rPr>
                <w:sz w:val="24"/>
                <w:szCs w:val="24"/>
                <w:color w:val="auto"/>
              </w:rPr>
            </w:pPr>
          </w:p>
        </w:tc>
        <w:tc>
          <w:tcPr>
            <w:tcW w:w="840" w:type="dxa"/>
            <w:vAlign w:val="bottom"/>
          </w:tcPr>
          <w:p>
            <w:pPr>
              <w:jc w:val="right"/>
              <w:ind w:right="109"/>
              <w:spacing w:after="0"/>
              <w:rPr>
                <w:sz w:val="20"/>
                <w:szCs w:val="20"/>
                <w:color w:val="auto"/>
              </w:rPr>
            </w:pPr>
            <w:r>
              <w:rPr>
                <w:rFonts w:ascii="Arial" w:cs="Arial" w:eastAsia="Arial" w:hAnsi="Arial"/>
                <w:sz w:val="14"/>
                <w:szCs w:val="14"/>
                <w:color w:val="auto"/>
              </w:rPr>
              <w:t>525</w:t>
            </w:r>
          </w:p>
        </w:tc>
      </w:tr>
      <w:tr>
        <w:trPr>
          <w:trHeight w:val="216"/>
        </w:trPr>
        <w:tc>
          <w:tcPr>
            <w:tcW w:w="4920" w:type="dxa"/>
            <w:vAlign w:val="bottom"/>
          </w:tcPr>
          <w:p>
            <w:pPr>
              <w:spacing w:after="0"/>
              <w:rPr>
                <w:sz w:val="20"/>
                <w:szCs w:val="20"/>
                <w:color w:val="auto"/>
              </w:rPr>
            </w:pPr>
            <w:r>
              <w:rPr>
                <w:rFonts w:ascii="Arial" w:cs="Arial" w:eastAsia="Arial" w:hAnsi="Arial"/>
                <w:sz w:val="14"/>
                <w:szCs w:val="14"/>
                <w:color w:val="auto"/>
              </w:rPr>
              <w:t>Income tax expense</w:t>
            </w:r>
          </w:p>
        </w:tc>
        <w:tc>
          <w:tcPr>
            <w:tcW w:w="460" w:type="dxa"/>
            <w:vAlign w:val="bottom"/>
          </w:tcPr>
          <w:p>
            <w:pPr>
              <w:spacing w:after="0"/>
              <w:rPr>
                <w:sz w:val="18"/>
                <w:szCs w:val="18"/>
                <w:color w:val="auto"/>
              </w:rPr>
            </w:pPr>
          </w:p>
        </w:tc>
        <w:tc>
          <w:tcPr>
            <w:tcW w:w="1000" w:type="dxa"/>
            <w:vAlign w:val="bottom"/>
          </w:tcPr>
          <w:p>
            <w:pPr>
              <w:jc w:val="right"/>
              <w:ind w:right="249"/>
              <w:spacing w:after="0"/>
              <w:rPr>
                <w:sz w:val="20"/>
                <w:szCs w:val="20"/>
                <w:color w:val="auto"/>
              </w:rPr>
            </w:pPr>
            <w:r>
              <w:rPr>
                <w:rFonts w:ascii="Arial" w:cs="Arial" w:eastAsia="Arial" w:hAnsi="Arial"/>
                <w:sz w:val="14"/>
                <w:szCs w:val="14"/>
                <w:color w:val="auto"/>
              </w:rPr>
              <w:t>23</w:t>
            </w:r>
          </w:p>
        </w:tc>
        <w:tc>
          <w:tcPr>
            <w:tcW w:w="460" w:type="dxa"/>
            <w:vAlign w:val="bottom"/>
          </w:tcPr>
          <w:p>
            <w:pPr>
              <w:spacing w:after="0"/>
              <w:rPr>
                <w:sz w:val="18"/>
                <w:szCs w:val="18"/>
                <w:color w:val="auto"/>
              </w:rPr>
            </w:pPr>
          </w:p>
        </w:tc>
        <w:tc>
          <w:tcPr>
            <w:tcW w:w="840" w:type="dxa"/>
            <w:vAlign w:val="bottom"/>
          </w:tcPr>
          <w:p>
            <w:pPr>
              <w:jc w:val="right"/>
              <w:ind w:right="109"/>
              <w:spacing w:after="0"/>
              <w:rPr>
                <w:sz w:val="20"/>
                <w:szCs w:val="20"/>
                <w:color w:val="auto"/>
              </w:rPr>
            </w:pPr>
            <w:r>
              <w:rPr>
                <w:rFonts w:ascii="Arial" w:cs="Arial" w:eastAsia="Arial" w:hAnsi="Arial"/>
                <w:sz w:val="14"/>
                <w:szCs w:val="14"/>
                <w:color w:val="auto"/>
              </w:rPr>
              <w:t>174</w:t>
            </w:r>
          </w:p>
        </w:tc>
      </w:tr>
      <w:tr>
        <w:trPr>
          <w:trHeight w:val="222"/>
        </w:trPr>
        <w:tc>
          <w:tcPr>
            <w:tcW w:w="4920" w:type="dxa"/>
            <w:vAlign w:val="bottom"/>
          </w:tcPr>
          <w:p>
            <w:pPr>
              <w:spacing w:after="0"/>
              <w:rPr>
                <w:sz w:val="20"/>
                <w:szCs w:val="20"/>
                <w:color w:val="auto"/>
              </w:rPr>
            </w:pPr>
            <w:r>
              <w:rPr>
                <w:rFonts w:ascii="Arial" w:cs="Arial" w:eastAsia="Arial" w:hAnsi="Arial"/>
                <w:sz w:val="14"/>
                <w:szCs w:val="14"/>
                <w:color w:val="auto"/>
              </w:rPr>
              <w:t>Consolidated state tax adjustment</w:t>
            </w:r>
          </w:p>
        </w:tc>
        <w:tc>
          <w:tcPr>
            <w:tcW w:w="4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249"/>
              <w:spacing w:after="0"/>
              <w:rPr>
                <w:sz w:val="20"/>
                <w:szCs w:val="20"/>
                <w:color w:val="auto"/>
              </w:rPr>
            </w:pPr>
            <w:r>
              <w:rPr>
                <w:rFonts w:ascii="Arial" w:cs="Arial" w:eastAsia="Arial" w:hAnsi="Arial"/>
                <w:sz w:val="14"/>
                <w:szCs w:val="14"/>
                <w:color w:val="auto"/>
              </w:rPr>
              <w:t>1</w:t>
            </w:r>
          </w:p>
        </w:tc>
        <w:tc>
          <w:tcPr>
            <w:tcW w:w="4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(9 )</w:t>
            </w:r>
          </w:p>
        </w:tc>
      </w:tr>
      <w:tr>
        <w:trPr>
          <w:trHeight w:val="205"/>
        </w:trPr>
        <w:tc>
          <w:tcPr>
            <w:tcW w:w="492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189"/>
              <w:spacing w:after="0"/>
              <w:rPr>
                <w:sz w:val="20"/>
                <w:szCs w:val="20"/>
                <w:color w:val="auto"/>
              </w:rPr>
            </w:pPr>
            <w:r>
              <w:rPr>
                <w:rFonts w:ascii="Arial" w:cs="Arial" w:eastAsia="Arial" w:hAnsi="Arial"/>
                <w:sz w:val="14"/>
                <w:szCs w:val="14"/>
                <w:color w:val="auto"/>
              </w:rPr>
              <w:t>(24 )</w:t>
            </w:r>
          </w:p>
        </w:tc>
        <w:tc>
          <w:tcPr>
            <w:tcW w:w="4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342</w:t>
            </w:r>
          </w:p>
        </w:tc>
      </w:tr>
      <w:tr>
        <w:trPr>
          <w:trHeight w:val="227"/>
        </w:trPr>
        <w:tc>
          <w:tcPr>
            <w:tcW w:w="49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ind w:right="189"/>
              <w:spacing w:after="0"/>
              <w:rPr>
                <w:sz w:val="20"/>
                <w:szCs w:val="20"/>
                <w:color w:val="auto"/>
              </w:rPr>
            </w:pPr>
            <w:r>
              <w:rPr>
                <w:rFonts w:ascii="Arial" w:cs="Arial" w:eastAsia="Arial" w:hAnsi="Arial"/>
                <w:sz w:val="14"/>
                <w:szCs w:val="14"/>
                <w:color w:val="auto"/>
              </w:rPr>
              <w:t>(26 )</w:t>
            </w:r>
          </w:p>
        </w:tc>
        <w:tc>
          <w:tcPr>
            <w:tcW w:w="4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315</w:t>
            </w:r>
          </w:p>
        </w:tc>
      </w:tr>
    </w:tbl>
    <w:p>
      <w:pPr>
        <w:spacing w:after="0" w:line="376" w:lineRule="exact"/>
        <w:rPr>
          <w:sz w:val="20"/>
          <w:szCs w:val="20"/>
          <w:color w:val="auto"/>
        </w:rPr>
      </w:pPr>
    </w:p>
    <w:p>
      <w:pPr>
        <w:spacing w:after="0"/>
        <w:rPr>
          <w:sz w:val="20"/>
          <w:szCs w:val="20"/>
          <w:color w:val="auto"/>
        </w:rPr>
      </w:pPr>
      <w:r>
        <w:rPr>
          <w:rFonts w:ascii="Arial" w:cs="Arial" w:eastAsia="Arial" w:hAnsi="Arial"/>
          <w:sz w:val="14"/>
          <w:szCs w:val="14"/>
          <w:color w:val="auto"/>
        </w:rPr>
        <w:t>123</w:t>
      </w:r>
    </w:p>
    <w:p>
      <w:pPr>
        <w:sectPr>
          <w:pgSz w:w="11900" w:h="16838" w:orient="portrait"/>
          <w:cols w:equalWidth="0" w:num="1">
            <w:col w:w="11340"/>
          </w:cols>
          <w:pgMar w:left="240" w:top="364" w:right="319" w:bottom="1440" w:gutter="0" w:footer="0" w:header="0"/>
        </w:sectPr>
      </w:pPr>
    </w:p>
    <w:bookmarkStart w:id="263" w:name="page264"/>
    <w:bookmarkEnd w:id="26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149860</wp:posOffset>
            </wp:positionH>
            <wp:positionV relativeFrom="page">
              <wp:posOffset>569595</wp:posOffset>
            </wp:positionV>
            <wp:extent cx="7261860" cy="762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61860" cy="7620"/>
                    </a:xfrm>
                    <a:prstGeom prst="rect">
                      <a:avLst/>
                    </a:prstGeom>
                    <a:noFill/>
                  </pic:spPr>
                </pic:pic>
              </a:graphicData>
            </a:graphic>
          </wp:anchor>
        </w:drawing>
        <w:t>NOTE 6. DEBT AND CREDIT FACILITIES</w:t>
      </w:r>
    </w:p>
    <w:p>
      <w:pPr>
        <w:spacing w:after="0" w:line="24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COMMITTED LINES OF CREDIT</w:t>
      </w:r>
    </w:p>
    <w:p>
      <w:pPr>
        <w:spacing w:after="0" w:line="89" w:lineRule="exact"/>
        <w:rPr>
          <w:sz w:val="20"/>
          <w:szCs w:val="20"/>
          <w:color w:val="auto"/>
        </w:rPr>
      </w:pPr>
    </w:p>
    <w:p>
      <w:pPr>
        <w:ind w:right="240"/>
        <w:spacing w:after="0" w:line="277" w:lineRule="auto"/>
        <w:rPr>
          <w:sz w:val="20"/>
          <w:szCs w:val="20"/>
          <w:color w:val="auto"/>
        </w:rPr>
      </w:pPr>
      <w:r>
        <w:rPr>
          <w:rFonts w:ascii="Arial" w:cs="Arial" w:eastAsia="Arial" w:hAnsi="Arial"/>
          <w:sz w:val="16"/>
          <w:szCs w:val="16"/>
          <w:color w:val="auto"/>
        </w:rPr>
        <w:t>At December 31, 2008, Sempra Energy had $4.3 billion in committed lines of credit to provide liquidity and to support commercial paper and variable-rate demand notes - the major components of which are detailed below. Available unused credit on these lines at December 31, 2008 was $2.9 billion.</w:t>
      </w:r>
    </w:p>
    <w:p>
      <w:pPr>
        <w:spacing w:after="0" w:line="32" w:lineRule="exact"/>
        <w:rPr>
          <w:sz w:val="20"/>
          <w:szCs w:val="20"/>
          <w:color w:val="auto"/>
        </w:rPr>
      </w:pPr>
    </w:p>
    <w:p>
      <w:pPr>
        <w:ind w:right="40"/>
        <w:spacing w:after="0" w:line="282" w:lineRule="auto"/>
        <w:rPr>
          <w:sz w:val="20"/>
          <w:szCs w:val="20"/>
          <w:color w:val="auto"/>
        </w:rPr>
      </w:pPr>
      <w:r>
        <w:rPr>
          <w:rFonts w:ascii="Arial" w:cs="Arial" w:eastAsia="Arial" w:hAnsi="Arial"/>
          <w:sz w:val="15"/>
          <w:szCs w:val="15"/>
          <w:color w:val="auto"/>
        </w:rPr>
        <w:t>Due to the sale of the commodities-marketing businesses as discussed in Note 3, these amounts exclude lines of credit associated with Sempra Commodities, some of which we continue to guarantee, as we discuss below in "RBS Sempra Commodities." By the end of June 2008, RBS had replaced Sempra Energy as guarantor on all uncommitted lines of credit associated with Sempra Commodities. To the extent that Sempra Energy's credit support arrangements, including Sempra Commodities' committed facilities, have not been terminated or replaced, RBS has indemnified Sempra Energy for any claims or losses arising in connection with those arrangements.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Sempra Global</w:t>
      </w:r>
    </w:p>
    <w:p>
      <w:pPr>
        <w:spacing w:after="0" w:line="23" w:lineRule="exact"/>
        <w:rPr>
          <w:sz w:val="20"/>
          <w:szCs w:val="20"/>
          <w:color w:val="auto"/>
        </w:rPr>
      </w:pPr>
    </w:p>
    <w:p>
      <w:pPr>
        <w:jc w:val="both"/>
        <w:spacing w:after="0" w:line="264" w:lineRule="auto"/>
        <w:rPr>
          <w:sz w:val="20"/>
          <w:szCs w:val="20"/>
          <w:color w:val="auto"/>
        </w:rPr>
      </w:pPr>
      <w:r>
        <w:rPr>
          <w:rFonts w:ascii="Arial" w:cs="Arial" w:eastAsia="Arial" w:hAnsi="Arial"/>
          <w:sz w:val="16"/>
          <w:szCs w:val="16"/>
          <w:color w:val="auto"/>
        </w:rPr>
        <w:t>Sempra Global has a $2.5 billion, three-year syndicated revolving credit agreement expiring in 2011. Citibank, N.A. serves as administrative agent for the syndicate of 18 lenders. No single bank has greater than a 10.7 percent share. The facility also provides for issuance of up to $300 million of letters of credit on behalf of Sempra Global with the amount of borrowings otherwise available under the facility reduced by the amount of outstanding letters of credit.</w:t>
      </w:r>
    </w:p>
    <w:p>
      <w:pPr>
        <w:spacing w:after="0" w:line="42" w:lineRule="exact"/>
        <w:rPr>
          <w:sz w:val="20"/>
          <w:szCs w:val="20"/>
          <w:color w:val="auto"/>
        </w:rPr>
      </w:pPr>
    </w:p>
    <w:p>
      <w:pPr>
        <w:jc w:val="both"/>
        <w:ind w:right="220"/>
        <w:spacing w:after="0" w:line="264" w:lineRule="auto"/>
        <w:rPr>
          <w:sz w:val="20"/>
          <w:szCs w:val="20"/>
          <w:color w:val="auto"/>
        </w:rPr>
      </w:pPr>
      <w:r>
        <w:rPr>
          <w:rFonts w:ascii="Arial" w:cs="Arial" w:eastAsia="Arial" w:hAnsi="Arial"/>
          <w:sz w:val="16"/>
          <w:szCs w:val="16"/>
          <w:color w:val="auto"/>
        </w:rPr>
        <w:t>Sempra Energy guarantees Sempra Global’s obligations under the credit facility. Borrowings bear interest at benchmark rates plus a margin that varies with market index rates and Sempra Energy’s credit ratings. The facility also requires Sempra Energy to maintain a ratio of total indebtedness to total capitalization (as defined in the agreement) of no more than 65% at the end of each quarter.</w:t>
      </w:r>
    </w:p>
    <w:p>
      <w:pPr>
        <w:spacing w:after="0" w:line="42" w:lineRule="exact"/>
        <w:rPr>
          <w:sz w:val="20"/>
          <w:szCs w:val="20"/>
          <w:color w:val="auto"/>
        </w:rPr>
      </w:pPr>
    </w:p>
    <w:p>
      <w:pPr>
        <w:ind w:right="60"/>
        <w:spacing w:after="0" w:line="259" w:lineRule="auto"/>
        <w:rPr>
          <w:sz w:val="20"/>
          <w:szCs w:val="20"/>
          <w:color w:val="auto"/>
        </w:rPr>
      </w:pPr>
      <w:r>
        <w:rPr>
          <w:rFonts w:ascii="Arial" w:cs="Arial" w:eastAsia="Arial" w:hAnsi="Arial"/>
          <w:sz w:val="16"/>
          <w:szCs w:val="16"/>
          <w:color w:val="auto"/>
        </w:rPr>
        <w:t>At December 31, 2008, Sempra Global had letters of credit of $17 million outstanding and no outstanding borrowings under the facility. The facility provides support for $1.1 billion of commercial paper outstanding at December 31, 2008. At December 31, 2008, $600 million of the commercial paper outstanding has been reclassified to long-term debt based on management’s intent and ability to maintain this level of borrowing on a long-term basis either supported by this credit facility or by issuing long-term debt. This reclassification had no impact on cash flows.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Sempra Generation</w:t>
      </w:r>
    </w:p>
    <w:p>
      <w:pPr>
        <w:spacing w:after="0" w:line="23" w:lineRule="exact"/>
        <w:rPr>
          <w:sz w:val="20"/>
          <w:szCs w:val="20"/>
          <w:color w:val="auto"/>
        </w:rPr>
      </w:pPr>
    </w:p>
    <w:p>
      <w:pPr>
        <w:ind w:right="400"/>
        <w:spacing w:after="0" w:line="277" w:lineRule="auto"/>
        <w:rPr>
          <w:sz w:val="20"/>
          <w:szCs w:val="20"/>
          <w:color w:val="auto"/>
        </w:rPr>
      </w:pPr>
      <w:r>
        <w:rPr>
          <w:rFonts w:ascii="Arial" w:cs="Arial" w:eastAsia="Arial" w:hAnsi="Arial"/>
          <w:sz w:val="16"/>
          <w:szCs w:val="16"/>
          <w:color w:val="auto"/>
        </w:rPr>
        <w:t>Sempra Generation has a $1 billion, three-year syndicated revolving credit agreement expiring in 2011. Citibank, N.A. serves as administrative agent for the syndicate of 17 lenders. No single bank has greater than a 10.7 percent share.</w:t>
      </w:r>
    </w:p>
    <w:p>
      <w:pPr>
        <w:spacing w:after="0" w:line="32" w:lineRule="exact"/>
        <w:rPr>
          <w:sz w:val="20"/>
          <w:szCs w:val="20"/>
          <w:color w:val="auto"/>
        </w:rPr>
      </w:pPr>
    </w:p>
    <w:p>
      <w:pPr>
        <w:ind w:right="100"/>
        <w:spacing w:after="0" w:line="264" w:lineRule="auto"/>
        <w:rPr>
          <w:sz w:val="20"/>
          <w:szCs w:val="20"/>
          <w:color w:val="auto"/>
        </w:rPr>
      </w:pPr>
      <w:r>
        <w:rPr>
          <w:rFonts w:ascii="Arial" w:cs="Arial" w:eastAsia="Arial" w:hAnsi="Arial"/>
          <w:sz w:val="16"/>
          <w:szCs w:val="16"/>
          <w:color w:val="auto"/>
        </w:rPr>
        <w:t>Sempra Energy guarantees Sempra Generation’s obligations under the credit facility. Borrowings bear interest at benchmark rates plus a margin that varies with market index rates and Sempra Energy's credit ratings. The facility also requires Sempra Energy to maintain a ratio of total indebtedness to total capitalization (as defined in the agreement) of no more than 65% at the end of each quarter.</w:t>
      </w:r>
    </w:p>
    <w:p>
      <w:pPr>
        <w:spacing w:after="0" w:line="42" w:lineRule="exact"/>
        <w:rPr>
          <w:sz w:val="20"/>
          <w:szCs w:val="20"/>
          <w:color w:val="auto"/>
        </w:rPr>
      </w:pPr>
    </w:p>
    <w:p>
      <w:pPr>
        <w:spacing w:after="0"/>
        <w:rPr>
          <w:sz w:val="20"/>
          <w:szCs w:val="20"/>
          <w:color w:val="auto"/>
        </w:rPr>
      </w:pPr>
      <w:r>
        <w:rPr>
          <w:rFonts w:ascii="Arial" w:cs="Arial" w:eastAsia="Arial" w:hAnsi="Arial"/>
          <w:sz w:val="16"/>
          <w:szCs w:val="16"/>
          <w:color w:val="auto"/>
        </w:rPr>
        <w:t>At December 31, 2008, Sempra Generation had no outstanding borrowings under the facility.</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Sempra Utilities</w:t>
      </w:r>
    </w:p>
    <w:p>
      <w:pPr>
        <w:spacing w:after="0" w:line="23" w:lineRule="exact"/>
        <w:rPr>
          <w:sz w:val="20"/>
          <w:szCs w:val="20"/>
          <w:color w:val="auto"/>
        </w:rPr>
      </w:pPr>
    </w:p>
    <w:p>
      <w:pPr>
        <w:ind w:right="60"/>
        <w:spacing w:after="0" w:line="282" w:lineRule="auto"/>
        <w:rPr>
          <w:sz w:val="20"/>
          <w:szCs w:val="20"/>
          <w:color w:val="auto"/>
        </w:rPr>
      </w:pPr>
      <w:r>
        <w:rPr>
          <w:rFonts w:ascii="Arial" w:cs="Arial" w:eastAsia="Arial" w:hAnsi="Arial"/>
          <w:sz w:val="15"/>
          <w:szCs w:val="15"/>
          <w:color w:val="auto"/>
        </w:rPr>
        <w:t>SDG&amp;E and SoCalGas have a combined $800 million, three-year syndicated revolving credit agreement expiring in 2011. JPMorgan Chase Bank serves as administrative agent for the syndicate of 17 lenders. No single bank has greater than a 9.9 percent share. The agreement permits each utility to individually borrow up to $600 million, subject to a combined limit of $800 million for both utilities. It also provides for the issuance of letters of credit on behalf of each utility subject to a combined letter of credit commitment of $200 million for both utilities. The amount of borrowings otherwise available under the facility is reduced by the amount of outstanding letters of credit.</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4"/>
          <w:szCs w:val="14"/>
          <w:color w:val="auto"/>
        </w:rPr>
        <w:t>124</w:t>
      </w:r>
    </w:p>
    <w:p>
      <w:pPr>
        <w:sectPr>
          <w:pgSz w:w="11900" w:h="16838" w:orient="portrait"/>
          <w:cols w:equalWidth="0" w:num="1">
            <w:col w:w="11420"/>
          </w:cols>
          <w:pgMar w:left="240" w:top="954" w:right="239" w:bottom="1440" w:gutter="0" w:footer="0" w:header="0"/>
        </w:sectPr>
      </w:pPr>
    </w:p>
    <w:bookmarkStart w:id="264" w:name="page265"/>
    <w:bookmarkEnd w:id="264"/>
    <w:p>
      <w:pPr>
        <w:ind w:left="4" w:right="380"/>
        <w:spacing w:after="0" w:line="340" w:lineRule="auto"/>
        <w:rPr>
          <w:sz w:val="20"/>
          <w:szCs w:val="20"/>
          <w:color w:val="auto"/>
        </w:rPr>
      </w:pPr>
      <w:r>
        <w:rPr>
          <w:rFonts w:ascii="Arial" w:cs="Arial" w:eastAsia="Arial" w:hAnsi="Arial"/>
          <w:sz w:val="14"/>
          <w:szCs w:val="14"/>
          <w:color w:val="auto"/>
        </w:rPr>
        <w:t>Borrowings under the facility bear interest at benchmark rates plus a margin that varies with market index rates and the borrowing utility's credit rating. The agreement also requires each utility to maintain a ratio of total indebtedness to total capitalization (as defined in the agreement) of no more than 65% at the end of each quarter.</w:t>
      </w:r>
    </w:p>
    <w:p>
      <w:pPr>
        <w:ind w:left="4" w:right="20"/>
        <w:spacing w:after="0" w:line="277" w:lineRule="auto"/>
        <w:rPr>
          <w:sz w:val="20"/>
          <w:szCs w:val="20"/>
          <w:color w:val="auto"/>
        </w:rPr>
      </w:pPr>
      <w:r>
        <w:rPr>
          <w:rFonts w:ascii="Arial" w:cs="Arial" w:eastAsia="Arial" w:hAnsi="Arial"/>
          <w:sz w:val="16"/>
          <w:szCs w:val="16"/>
          <w:color w:val="auto"/>
        </w:rPr>
        <w:t>Each utility’s obligations under the agreement are individual obligations, and a default by one utility would not constitute a default by the other utility or preclude borrowings by, or the issuance of letters of credit on behalf of, the other utility.</w:t>
      </w:r>
    </w:p>
    <w:p>
      <w:pPr>
        <w:spacing w:after="0" w:line="32" w:lineRule="exact"/>
        <w:rPr>
          <w:sz w:val="20"/>
          <w:szCs w:val="20"/>
          <w:color w:val="auto"/>
        </w:rPr>
      </w:pPr>
    </w:p>
    <w:p>
      <w:pPr>
        <w:ind w:left="4" w:right="140"/>
        <w:spacing w:after="0" w:line="277" w:lineRule="auto"/>
        <w:rPr>
          <w:sz w:val="20"/>
          <w:szCs w:val="20"/>
          <w:color w:val="auto"/>
        </w:rPr>
      </w:pPr>
      <w:r>
        <w:rPr>
          <w:rFonts w:ascii="Arial" w:cs="Arial" w:eastAsia="Arial" w:hAnsi="Arial"/>
          <w:sz w:val="16"/>
          <w:szCs w:val="16"/>
          <w:color w:val="auto"/>
        </w:rPr>
        <w:t>At December 31, 2008, SDG&amp;E and SoCalGas had no outstanding borrowings under this facility. SDG&amp;E had $110 million of outstanding letters of credit and $237 million of variable-rate demand notes outstanding supported by this facility at December 31, 2008.</w:t>
      </w:r>
    </w:p>
    <w:p>
      <w:pPr>
        <w:spacing w:after="0" w:line="126" w:lineRule="exact"/>
        <w:rPr>
          <w:sz w:val="20"/>
          <w:szCs w:val="20"/>
          <w:color w:val="auto"/>
        </w:rPr>
      </w:pPr>
    </w:p>
    <w:p>
      <w:pPr>
        <w:ind w:left="4"/>
        <w:spacing w:after="0"/>
        <w:rPr>
          <w:sz w:val="20"/>
          <w:szCs w:val="20"/>
          <w:color w:val="auto"/>
        </w:rPr>
      </w:pPr>
      <w:r>
        <w:rPr>
          <w:rFonts w:ascii="Arial" w:cs="Arial" w:eastAsia="Arial" w:hAnsi="Arial"/>
          <w:sz w:val="18"/>
          <w:szCs w:val="18"/>
          <w:b w:val="1"/>
          <w:bCs w:val="1"/>
          <w:i w:val="1"/>
          <w:iCs w:val="1"/>
          <w:color w:val="auto"/>
        </w:rPr>
        <w:t>RBS Sempra Commodities</w:t>
      </w:r>
    </w:p>
    <w:p>
      <w:pPr>
        <w:spacing w:after="0" w:line="23" w:lineRule="exact"/>
        <w:rPr>
          <w:sz w:val="20"/>
          <w:szCs w:val="20"/>
          <w:color w:val="auto"/>
        </w:rPr>
      </w:pPr>
    </w:p>
    <w:p>
      <w:pPr>
        <w:ind w:left="4"/>
        <w:spacing w:after="0" w:line="257" w:lineRule="auto"/>
        <w:rPr>
          <w:sz w:val="20"/>
          <w:szCs w:val="20"/>
          <w:color w:val="auto"/>
        </w:rPr>
      </w:pPr>
      <w:r>
        <w:rPr>
          <w:rFonts w:ascii="Arial" w:cs="Arial" w:eastAsia="Arial" w:hAnsi="Arial"/>
          <w:sz w:val="16"/>
          <w:szCs w:val="16"/>
          <w:color w:val="auto"/>
        </w:rPr>
        <w:t>RBS is obligated to provide RBS Sempra Commodities with all growth capital, working-capital requirements and credit support. However, as a transitional measure, we continue to provide back-up guarantees for a portion of RBS Sempra Commodities’ trading obligations and for certain credit facilities with third party lenders pending novation (legal transfer) of the remaining trading obligations to RBS. Some of these back-up guarantees may continue for a prolonged period of time. RBS has fully indemnified us for any claims or losses in connection with these arrangements. RBS has been greatly affected by the world-wide turmoil in banking and became indirectly controlled by the government of the United Kingdom on December 1, 2008.</w:t>
      </w:r>
    </w:p>
    <w:p>
      <w:pPr>
        <w:spacing w:after="0" w:line="48" w:lineRule="exact"/>
        <w:rPr>
          <w:sz w:val="20"/>
          <w:szCs w:val="20"/>
          <w:color w:val="auto"/>
        </w:rPr>
      </w:pPr>
    </w:p>
    <w:p>
      <w:pPr>
        <w:ind w:left="4"/>
        <w:spacing w:after="0"/>
        <w:rPr>
          <w:sz w:val="20"/>
          <w:szCs w:val="20"/>
          <w:color w:val="auto"/>
        </w:rPr>
      </w:pPr>
      <w:r>
        <w:rPr>
          <w:rFonts w:ascii="Arial" w:cs="Arial" w:eastAsia="Arial" w:hAnsi="Arial"/>
          <w:sz w:val="16"/>
          <w:szCs w:val="16"/>
          <w:color w:val="auto"/>
        </w:rPr>
        <w:t>RBS Sempra Commodities’ net trading liabilities and credit facilities supported by Sempra Energy’s guarantees at December 31, 2008 were</w:t>
      </w:r>
    </w:p>
    <w:p>
      <w:pPr>
        <w:spacing w:after="0" w:line="44" w:lineRule="exact"/>
        <w:rPr>
          <w:sz w:val="20"/>
          <w:szCs w:val="20"/>
          <w:color w:val="auto"/>
        </w:rPr>
      </w:pPr>
    </w:p>
    <w:p>
      <w:pPr>
        <w:ind w:left="144" w:right="1160" w:hanging="144"/>
        <w:spacing w:after="0" w:line="274" w:lineRule="auto"/>
        <w:tabs>
          <w:tab w:leader="none" w:pos="144" w:val="left"/>
        </w:tabs>
        <w:numPr>
          <w:ilvl w:val="0"/>
          <w:numId w:val="343"/>
        </w:numPr>
        <w:rPr>
          <w:rFonts w:ascii="Arial" w:cs="Arial" w:eastAsia="Arial" w:hAnsi="Arial"/>
          <w:sz w:val="16"/>
          <w:szCs w:val="16"/>
          <w:color w:val="auto"/>
        </w:rPr>
      </w:pPr>
      <w:r>
        <w:rPr>
          <w:rFonts w:ascii="Arial" w:cs="Arial" w:eastAsia="Arial" w:hAnsi="Arial"/>
          <w:sz w:val="16"/>
          <w:szCs w:val="16"/>
          <w:color w:val="auto"/>
        </w:rPr>
        <w:t>$1.1 billion of net trading liabilities consisting of guaranteed trading obligations net of collateral. The amount of guaranteed net trading liabilities varies from day to day with the value of the trading obligations and related collateral.</w:t>
      </w:r>
    </w:p>
    <w:p>
      <w:pPr>
        <w:ind w:left="144" w:hanging="144"/>
        <w:spacing w:after="0"/>
        <w:tabs>
          <w:tab w:leader="none" w:pos="144" w:val="left"/>
        </w:tabs>
        <w:numPr>
          <w:ilvl w:val="0"/>
          <w:numId w:val="343"/>
        </w:numPr>
        <w:rPr>
          <w:rFonts w:ascii="Arial" w:cs="Arial" w:eastAsia="Arial" w:hAnsi="Arial"/>
          <w:sz w:val="16"/>
          <w:szCs w:val="16"/>
          <w:color w:val="auto"/>
        </w:rPr>
      </w:pPr>
      <w:r>
        <w:rPr>
          <w:rFonts w:ascii="Arial" w:cs="Arial" w:eastAsia="Arial" w:hAnsi="Arial"/>
          <w:sz w:val="16"/>
          <w:szCs w:val="16"/>
          <w:color w:val="auto"/>
        </w:rPr>
        <w:t>$500 million under a three-year revolving credit facility expiring in May 2009.</w:t>
      </w:r>
    </w:p>
    <w:p>
      <w:pPr>
        <w:spacing w:after="0" w:line="128" w:lineRule="exact"/>
        <w:rPr>
          <w:sz w:val="20"/>
          <w:szCs w:val="20"/>
          <w:color w:val="auto"/>
        </w:rPr>
      </w:pPr>
    </w:p>
    <w:p>
      <w:pPr>
        <w:ind w:left="4" w:right="100"/>
        <w:spacing w:after="0" w:line="259" w:lineRule="auto"/>
        <w:rPr>
          <w:sz w:val="20"/>
          <w:szCs w:val="20"/>
          <w:color w:val="auto"/>
        </w:rPr>
      </w:pPr>
      <w:r>
        <w:rPr>
          <w:rFonts w:ascii="Arial" w:cs="Arial" w:eastAsia="Arial" w:hAnsi="Arial"/>
          <w:sz w:val="16"/>
          <w:szCs w:val="16"/>
          <w:color w:val="auto"/>
        </w:rPr>
        <w:t>Sempra Energy also has guaranteed $344 million of $1.72 billion of RBS Sempra Commodities' commitments under an additional credit facility expiring September 29, 2010. Extensions of credit under the committed facility are limited to and secured by a borrowing base consisting of receivables, inventories and other joint venture assets that are valued at varying percentages of current market value. At December 31, 2008, the gross market value of the borrowing base assets was $2.9 billion. The facility will be reduced and end as the borrowing base assets are transferred to RBS as established by the joint venture agreement.</w:t>
      </w:r>
    </w:p>
    <w:p>
      <w:pPr>
        <w:spacing w:after="0" w:line="243"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auto"/>
        </w:rPr>
        <w:t>OTHER GUARANTEES</w:t>
      </w:r>
    </w:p>
    <w:p>
      <w:pPr>
        <w:spacing w:after="0" w:line="89" w:lineRule="exact"/>
        <w:rPr>
          <w:sz w:val="20"/>
          <w:szCs w:val="20"/>
          <w:color w:val="auto"/>
        </w:rPr>
      </w:pPr>
    </w:p>
    <w:p>
      <w:pPr>
        <w:ind w:left="4" w:right="200"/>
        <w:spacing w:after="0" w:line="259" w:lineRule="auto"/>
        <w:rPr>
          <w:sz w:val="20"/>
          <w:szCs w:val="20"/>
          <w:color w:val="auto"/>
        </w:rPr>
      </w:pPr>
      <w:r>
        <w:rPr>
          <w:rFonts w:ascii="Arial" w:cs="Arial" w:eastAsia="Arial" w:hAnsi="Arial"/>
          <w:sz w:val="16"/>
          <w:szCs w:val="16"/>
          <w:color w:val="auto"/>
        </w:rPr>
        <w:t>As discussed in Note 4, Sempra Energy, Conoco and KMP currently hold 25 percent, 24 percent and 51 percent ownership interests, respectively, in Rockies Express. Rockies Express is constructing a natural gas pipeline to link natural gas producing areas in the Rocky Mountain region to the upper Midwest and the eastern United States. Rockies Express has a $2 billion, five-year credit facility expiring in 2011 that provides for revolving extensions of credit that are guaranteed by Sempra Energy, Conoco and KMP in proportion to their respective ownership percentages.</w:t>
      </w:r>
    </w:p>
    <w:p>
      <w:pPr>
        <w:spacing w:after="0" w:line="47" w:lineRule="exact"/>
        <w:rPr>
          <w:sz w:val="20"/>
          <w:szCs w:val="20"/>
          <w:color w:val="auto"/>
        </w:rPr>
      </w:pPr>
    </w:p>
    <w:p>
      <w:pPr>
        <w:ind w:left="4" w:right="180"/>
        <w:spacing w:after="0" w:line="256" w:lineRule="auto"/>
        <w:rPr>
          <w:sz w:val="20"/>
          <w:szCs w:val="20"/>
          <w:color w:val="auto"/>
        </w:rPr>
      </w:pPr>
      <w:r>
        <w:rPr>
          <w:rFonts w:ascii="Arial" w:cs="Arial" w:eastAsia="Arial" w:hAnsi="Arial"/>
          <w:sz w:val="16"/>
          <w:szCs w:val="16"/>
          <w:color w:val="auto"/>
        </w:rPr>
        <w:t>Borrowings under the facility bear interest at rates varying with market rates plus a margin that varies with the credit ratings of the lowest-rated guarantor. The facility requires each guarantor to comply with various financial and other covenants comparable to those contained in its senior unsecured credit facilities. In the case of Sempra Energy, the primary requirement is that we maintain a ratio of total indebtedness to total capitalization (as defined in the facility) of no more than 65 percent at the end of each quarter. Rockies Express had $1.6 billion of outstanding borrowings under this facility at December 31, 2008. In addition, Rockies Express had $600 million of floating rate notes outstanding at December 31, 2008 and maturing in September 2009 that are guaranteed by Sempra Energy, Conoco and KMP in proportion to their respective ownership percentages. The fair value to us of these guarantees is negligible.</w:t>
      </w:r>
    </w:p>
    <w:p>
      <w:pPr>
        <w:spacing w:after="0" w:line="200" w:lineRule="exact"/>
        <w:rPr>
          <w:sz w:val="20"/>
          <w:szCs w:val="20"/>
          <w:color w:val="auto"/>
        </w:rPr>
      </w:pPr>
    </w:p>
    <w:p>
      <w:pPr>
        <w:spacing w:after="0" w:line="308" w:lineRule="exact"/>
        <w:rPr>
          <w:sz w:val="20"/>
          <w:szCs w:val="20"/>
          <w:color w:val="auto"/>
        </w:rPr>
      </w:pPr>
    </w:p>
    <w:p>
      <w:pPr>
        <w:ind w:left="4"/>
        <w:spacing w:after="0"/>
        <w:rPr>
          <w:sz w:val="20"/>
          <w:szCs w:val="20"/>
          <w:color w:val="auto"/>
        </w:rPr>
      </w:pPr>
      <w:r>
        <w:rPr>
          <w:rFonts w:ascii="Arial" w:cs="Arial" w:eastAsia="Arial" w:hAnsi="Arial"/>
          <w:sz w:val="14"/>
          <w:szCs w:val="14"/>
          <w:color w:val="auto"/>
        </w:rPr>
        <w:t>125</w:t>
      </w:r>
    </w:p>
    <w:p>
      <w:pPr>
        <w:sectPr>
          <w:pgSz w:w="11900" w:h="16838" w:orient="portrait"/>
          <w:cols w:equalWidth="0" w:num="1">
            <w:col w:w="11384"/>
          </w:cols>
          <w:pgMar w:left="236" w:top="127" w:right="279" w:bottom="1440" w:gutter="0" w:footer="0" w:header="0"/>
        </w:sectPr>
      </w:pPr>
    </w:p>
    <w:bookmarkStart w:id="265" w:name="page266"/>
    <w:bookmarkEnd w:id="265"/>
    <w:p>
      <w:pPr>
        <w:spacing w:after="0"/>
        <w:rPr>
          <w:sz w:val="20"/>
          <w:szCs w:val="20"/>
          <w:color w:val="auto"/>
        </w:rPr>
      </w:pPr>
      <w:r>
        <w:rPr>
          <w:rFonts w:ascii="Arial" w:cs="Arial" w:eastAsia="Arial" w:hAnsi="Arial"/>
          <w:sz w:val="16"/>
          <w:szCs w:val="16"/>
          <w:b w:val="1"/>
          <w:bCs w:val="1"/>
          <w:color w:val="auto"/>
        </w:rPr>
        <w:t>WEIGHTED AVERAGE INTEREST RATE</w:t>
      </w:r>
    </w:p>
    <w:p>
      <w:pPr>
        <w:spacing w:after="0" w:line="89" w:lineRule="exact"/>
        <w:rPr>
          <w:sz w:val="20"/>
          <w:szCs w:val="20"/>
          <w:color w:val="auto"/>
        </w:rPr>
      </w:pPr>
    </w:p>
    <w:p>
      <w:pPr>
        <w:spacing w:after="0" w:line="277" w:lineRule="auto"/>
        <w:rPr>
          <w:sz w:val="20"/>
          <w:szCs w:val="20"/>
          <w:color w:val="auto"/>
        </w:rPr>
      </w:pPr>
      <w:r>
        <w:rPr>
          <w:rFonts w:ascii="Arial" w:cs="Arial" w:eastAsia="Arial" w:hAnsi="Arial"/>
          <w:sz w:val="16"/>
          <w:szCs w:val="16"/>
          <w:color w:val="auto"/>
        </w:rPr>
        <w:t>The weighted average interest rate on the total short-term debt outstanding at Sempra Energy, including commercial paper borrowings classified as long-term, was 4.985 percent at December 31, 2008.</w:t>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LONG-TERM DEBT</w:t>
      </w:r>
    </w:p>
    <w:p>
      <w:pPr>
        <w:spacing w:after="0" w:line="89"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tables show the detail and maturities of long-term debt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1324610</wp:posOffset>
            </wp:positionH>
            <wp:positionV relativeFrom="paragraph">
              <wp:posOffset>150495</wp:posOffset>
            </wp:positionV>
            <wp:extent cx="4606925" cy="27432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4606925" cy="274320"/>
                    </a:xfrm>
                    <a:prstGeom prst="rect">
                      <a:avLst/>
                    </a:prstGeom>
                    <a:noFill/>
                  </pic:spPr>
                </pic:pic>
              </a:graphicData>
            </a:graphic>
          </wp:anchor>
        </w:drawing>
      </w:r>
    </w:p>
    <w:p>
      <w:pPr>
        <w:spacing w:after="0" w:line="237" w:lineRule="exact"/>
        <w:rPr>
          <w:sz w:val="20"/>
          <w:szCs w:val="20"/>
          <w:color w:val="auto"/>
        </w:rPr>
      </w:pPr>
    </w:p>
    <w:p>
      <w:pPr>
        <w:ind w:left="2100"/>
        <w:spacing w:after="0"/>
        <w:rPr>
          <w:sz w:val="20"/>
          <w:szCs w:val="20"/>
          <w:color w:val="auto"/>
        </w:rPr>
      </w:pPr>
      <w:r>
        <w:rPr>
          <w:rFonts w:ascii="Arial" w:cs="Arial" w:eastAsia="Arial" w:hAnsi="Arial"/>
          <w:sz w:val="14"/>
          <w:szCs w:val="14"/>
          <w:b w:val="1"/>
          <w:bCs w:val="1"/>
          <w:color w:val="auto"/>
        </w:rPr>
        <w:t>LONG-TERM DEBT</w:t>
      </w:r>
    </w:p>
    <w:p>
      <w:pPr>
        <w:spacing w:after="0" w:line="49" w:lineRule="exact"/>
        <w:rPr>
          <w:sz w:val="20"/>
          <w:szCs w:val="20"/>
          <w:color w:val="auto"/>
        </w:rPr>
      </w:pPr>
    </w:p>
    <w:tbl>
      <w:tblPr>
        <w:tblLayout w:type="fixed"/>
        <w:tblInd w:w="2080" w:type="dxa"/>
        <w:tblCellMar>
          <w:top w:w="0" w:type="dxa"/>
          <w:left w:w="0" w:type="dxa"/>
          <w:bottom w:w="0" w:type="dxa"/>
          <w:right w:w="0" w:type="dxa"/>
        </w:tblCellMar>
      </w:tblPr>
      <w:tr>
        <w:trPr>
          <w:trHeight w:val="202"/>
        </w:trPr>
        <w:tc>
          <w:tcPr>
            <w:tcW w:w="5400" w:type="dxa"/>
            <w:vAlign w:val="bottom"/>
          </w:tcPr>
          <w:p>
            <w:pPr>
              <w:ind w:left="20"/>
              <w:spacing w:after="0"/>
              <w:rPr>
                <w:sz w:val="20"/>
                <w:szCs w:val="20"/>
                <w:color w:val="auto"/>
              </w:rPr>
            </w:pPr>
            <w:r>
              <w:rPr>
                <w:rFonts w:ascii="Arial" w:cs="Arial" w:eastAsia="Arial" w:hAnsi="Arial"/>
                <w:sz w:val="13"/>
                <w:szCs w:val="13"/>
                <w:i w:val="1"/>
                <w:iCs w:val="1"/>
                <w:color w:val="auto"/>
              </w:rPr>
              <w:t>(Dollars in millions)</w:t>
            </w:r>
          </w:p>
        </w:tc>
        <w:tc>
          <w:tcPr>
            <w:tcW w:w="200" w:type="dxa"/>
            <w:vAlign w:val="bottom"/>
            <w:shd w:val="clear" w:color="auto" w:fill="D9D9D9"/>
          </w:tcPr>
          <w:p>
            <w:pPr>
              <w:spacing w:after="0"/>
              <w:rPr>
                <w:sz w:val="17"/>
                <w:szCs w:val="17"/>
                <w:color w:val="auto"/>
              </w:rPr>
            </w:pPr>
          </w:p>
        </w:tc>
        <w:tc>
          <w:tcPr>
            <w:tcW w:w="20" w:type="dxa"/>
            <w:vAlign w:val="bottom"/>
            <w:shd w:val="clear" w:color="auto" w:fill="D9D9D9"/>
          </w:tcPr>
          <w:p>
            <w:pPr>
              <w:spacing w:after="0"/>
              <w:rPr>
                <w:sz w:val="17"/>
                <w:szCs w:val="17"/>
                <w:color w:val="auto"/>
              </w:rPr>
            </w:pPr>
          </w:p>
        </w:tc>
        <w:tc>
          <w:tcPr>
            <w:tcW w:w="200" w:type="dxa"/>
            <w:vAlign w:val="bottom"/>
            <w:shd w:val="clear" w:color="auto" w:fill="D9D9D9"/>
          </w:tcPr>
          <w:p>
            <w:pPr>
              <w:spacing w:after="0"/>
              <w:rPr>
                <w:sz w:val="17"/>
                <w:szCs w:val="17"/>
                <w:color w:val="auto"/>
              </w:rPr>
            </w:pPr>
          </w:p>
        </w:tc>
        <w:tc>
          <w:tcPr>
            <w:tcW w:w="620" w:type="dxa"/>
            <w:vAlign w:val="bottom"/>
            <w:shd w:val="clear" w:color="auto" w:fill="D9D9D9"/>
          </w:tcPr>
          <w:p>
            <w:pPr>
              <w:spacing w:after="0"/>
              <w:rPr>
                <w:sz w:val="17"/>
                <w:szCs w:val="17"/>
                <w:color w:val="auto"/>
              </w:rPr>
            </w:pPr>
          </w:p>
        </w:tc>
        <w:tc>
          <w:tcPr>
            <w:tcW w:w="220" w:type="dxa"/>
            <w:vAlign w:val="bottom"/>
            <w:shd w:val="clear" w:color="auto" w:fill="D9D9D9"/>
          </w:tcPr>
          <w:p>
            <w:pPr>
              <w:spacing w:after="0"/>
              <w:rPr>
                <w:sz w:val="17"/>
                <w:szCs w:val="17"/>
                <w:color w:val="auto"/>
              </w:rPr>
            </w:pPr>
          </w:p>
        </w:tc>
        <w:tc>
          <w:tcPr>
            <w:tcW w:w="600" w:type="dxa"/>
            <w:vAlign w:val="bottom"/>
            <w:shd w:val="clear" w:color="auto" w:fill="D9D9D9"/>
          </w:tcPr>
          <w:p>
            <w:pPr>
              <w:spacing w:after="0"/>
              <w:rPr>
                <w:sz w:val="17"/>
                <w:szCs w:val="17"/>
                <w:color w:val="auto"/>
              </w:rPr>
            </w:pPr>
          </w:p>
        </w:tc>
        <w:tc>
          <w:tcPr>
            <w:tcW w:w="20" w:type="dxa"/>
            <w:vAlign w:val="bottom"/>
          </w:tcPr>
          <w:p>
            <w:pPr>
              <w:spacing w:after="0"/>
              <w:rPr>
                <w:sz w:val="17"/>
                <w:szCs w:val="17"/>
                <w:color w:val="auto"/>
              </w:rPr>
            </w:pPr>
          </w:p>
        </w:tc>
      </w:tr>
      <w:tr>
        <w:trPr>
          <w:trHeight w:val="199"/>
        </w:trPr>
        <w:tc>
          <w:tcPr>
            <w:tcW w:w="5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gridSpan w:val="3"/>
          </w:tcPr>
          <w:p>
            <w:pPr>
              <w:jc w:val="right"/>
              <w:ind w:right="308"/>
              <w:spacing w:after="0"/>
              <w:rPr>
                <w:sz w:val="20"/>
                <w:szCs w:val="20"/>
                <w:color w:val="auto"/>
              </w:rPr>
            </w:pPr>
            <w:r>
              <w:rPr>
                <w:rFonts w:ascii="Arial" w:cs="Arial" w:eastAsia="Arial" w:hAnsi="Arial"/>
                <w:sz w:val="13"/>
                <w:szCs w:val="13"/>
                <w:color w:val="auto"/>
              </w:rPr>
              <w:t>December 31,</w:t>
            </w:r>
          </w:p>
        </w:tc>
        <w:tc>
          <w:tcPr>
            <w:tcW w:w="20" w:type="dxa"/>
            <w:vAlign w:val="bottom"/>
          </w:tcPr>
          <w:p>
            <w:pPr>
              <w:spacing w:after="0"/>
              <w:rPr>
                <w:sz w:val="17"/>
                <w:szCs w:val="17"/>
                <w:color w:val="auto"/>
              </w:rPr>
            </w:pPr>
          </w:p>
        </w:tc>
      </w:tr>
      <w:tr>
        <w:trPr>
          <w:trHeight w:val="208"/>
        </w:trPr>
        <w:tc>
          <w:tcPr>
            <w:tcW w:w="54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188"/>
              <w:spacing w:after="0"/>
              <w:rPr>
                <w:sz w:val="20"/>
                <w:szCs w:val="20"/>
                <w:color w:val="auto"/>
              </w:rPr>
            </w:pPr>
            <w:r>
              <w:rPr>
                <w:rFonts w:ascii="Arial" w:cs="Arial" w:eastAsia="Arial" w:hAnsi="Arial"/>
                <w:sz w:val="13"/>
                <w:szCs w:val="13"/>
                <w:color w:val="auto"/>
              </w:rPr>
              <w:t>2008</w:t>
            </w:r>
          </w:p>
        </w:tc>
        <w:tc>
          <w:tcPr>
            <w:tcW w:w="2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168"/>
              <w:spacing w:after="0"/>
              <w:rPr>
                <w:sz w:val="20"/>
                <w:szCs w:val="20"/>
                <w:color w:val="auto"/>
              </w:rPr>
            </w:pPr>
            <w:r>
              <w:rPr>
                <w:rFonts w:ascii="Arial" w:cs="Arial" w:eastAsia="Arial" w:hAnsi="Arial"/>
                <w:sz w:val="13"/>
                <w:szCs w:val="13"/>
                <w:color w:val="auto"/>
              </w:rPr>
              <w:t>2007</w:t>
            </w:r>
          </w:p>
        </w:tc>
        <w:tc>
          <w:tcPr>
            <w:tcW w:w="20" w:type="dxa"/>
            <w:vAlign w:val="bottom"/>
          </w:tcPr>
          <w:p>
            <w:pPr>
              <w:spacing w:after="0"/>
              <w:rPr>
                <w:sz w:val="18"/>
                <w:szCs w:val="18"/>
                <w:color w:val="auto"/>
              </w:rPr>
            </w:pPr>
          </w:p>
        </w:tc>
      </w:tr>
      <w:tr>
        <w:trPr>
          <w:trHeight w:val="207"/>
        </w:trPr>
        <w:tc>
          <w:tcPr>
            <w:tcW w:w="5400" w:type="dxa"/>
            <w:vAlign w:val="bottom"/>
          </w:tcPr>
          <w:p>
            <w:pPr>
              <w:ind w:left="20"/>
              <w:spacing w:after="0"/>
              <w:rPr>
                <w:sz w:val="20"/>
                <w:szCs w:val="20"/>
                <w:color w:val="auto"/>
              </w:rPr>
            </w:pPr>
            <w:r>
              <w:rPr>
                <w:rFonts w:ascii="Arial" w:cs="Arial" w:eastAsia="Arial" w:hAnsi="Arial"/>
                <w:sz w:val="14"/>
                <w:szCs w:val="14"/>
                <w:b w:val="1"/>
                <w:bCs w:val="1"/>
                <w:color w:val="auto"/>
              </w:rPr>
              <w:t>SDG&amp;E</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5400" w:type="dxa"/>
            <w:vAlign w:val="bottom"/>
          </w:tcPr>
          <w:p>
            <w:pPr>
              <w:ind w:left="20"/>
              <w:spacing w:after="0"/>
              <w:rPr>
                <w:sz w:val="20"/>
                <w:szCs w:val="20"/>
                <w:color w:val="auto"/>
              </w:rPr>
            </w:pPr>
            <w:r>
              <w:rPr>
                <w:rFonts w:ascii="Arial" w:cs="Arial" w:eastAsia="Arial" w:hAnsi="Arial"/>
                <w:sz w:val="14"/>
                <w:szCs w:val="14"/>
                <w:color w:val="auto"/>
              </w:rPr>
              <w:t>First mortgage bonds:</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5400" w:type="dxa"/>
            <w:vAlign w:val="bottom"/>
          </w:tcPr>
          <w:p>
            <w:pPr>
              <w:ind w:left="180"/>
              <w:spacing w:after="0"/>
              <w:rPr>
                <w:sz w:val="20"/>
                <w:szCs w:val="20"/>
                <w:color w:val="auto"/>
              </w:rPr>
            </w:pPr>
            <w:r>
              <w:rPr>
                <w:rFonts w:ascii="Arial" w:cs="Arial" w:eastAsia="Arial" w:hAnsi="Arial"/>
                <w:sz w:val="14"/>
                <w:szCs w:val="14"/>
                <w:color w:val="auto"/>
              </w:rPr>
              <w:t>6.8% June 1, 2015</w:t>
            </w:r>
          </w:p>
        </w:tc>
        <w:tc>
          <w:tcPr>
            <w:tcW w:w="420" w:type="dxa"/>
            <w:vAlign w:val="bottom"/>
            <w:gridSpan w:val="3"/>
          </w:tcPr>
          <w:p>
            <w:pPr>
              <w:jc w:val="right"/>
              <w:ind w:right="80"/>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88"/>
              <w:spacing w:after="0"/>
              <w:rPr>
                <w:sz w:val="20"/>
                <w:szCs w:val="20"/>
                <w:color w:val="auto"/>
              </w:rPr>
            </w:pPr>
            <w:r>
              <w:rPr>
                <w:rFonts w:ascii="Arial" w:cs="Arial" w:eastAsia="Arial" w:hAnsi="Arial"/>
                <w:sz w:val="14"/>
                <w:szCs w:val="14"/>
                <w:color w:val="auto"/>
              </w:rPr>
              <w:t>14</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68"/>
              <w:spacing w:after="0"/>
              <w:rPr>
                <w:sz w:val="20"/>
                <w:szCs w:val="20"/>
                <w:color w:val="auto"/>
              </w:rPr>
            </w:pPr>
            <w:r>
              <w:rPr>
                <w:rFonts w:ascii="Arial" w:cs="Arial" w:eastAsia="Arial" w:hAnsi="Arial"/>
                <w:sz w:val="14"/>
                <w:szCs w:val="14"/>
                <w:color w:val="auto"/>
              </w:rPr>
              <w:t>14</w:t>
            </w:r>
          </w:p>
        </w:tc>
        <w:tc>
          <w:tcPr>
            <w:tcW w:w="20" w:type="dxa"/>
            <w:vAlign w:val="bottom"/>
          </w:tcPr>
          <w:p>
            <w:pPr>
              <w:spacing w:after="0"/>
              <w:rPr>
                <w:sz w:val="18"/>
                <w:szCs w:val="18"/>
                <w:color w:val="auto"/>
              </w:rPr>
            </w:pPr>
          </w:p>
        </w:tc>
      </w:tr>
      <w:tr>
        <w:trPr>
          <w:trHeight w:val="216"/>
        </w:trPr>
        <w:tc>
          <w:tcPr>
            <w:tcW w:w="5400" w:type="dxa"/>
            <w:vAlign w:val="bottom"/>
          </w:tcPr>
          <w:p>
            <w:pPr>
              <w:ind w:left="180"/>
              <w:spacing w:after="0"/>
              <w:rPr>
                <w:sz w:val="20"/>
                <w:szCs w:val="20"/>
                <w:color w:val="auto"/>
              </w:rPr>
            </w:pPr>
            <w:r>
              <w:rPr>
                <w:rFonts w:ascii="Arial" w:cs="Arial" w:eastAsia="Arial" w:hAnsi="Arial"/>
                <w:sz w:val="14"/>
                <w:szCs w:val="14"/>
                <w:color w:val="auto"/>
              </w:rPr>
              <w:t>5.3% November 15, 2015</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jc w:val="right"/>
              <w:ind w:right="88"/>
              <w:spacing w:after="0"/>
              <w:rPr>
                <w:sz w:val="20"/>
                <w:szCs w:val="20"/>
                <w:color w:val="auto"/>
              </w:rPr>
            </w:pPr>
            <w:r>
              <w:rPr>
                <w:rFonts w:ascii="Arial" w:cs="Arial" w:eastAsia="Arial" w:hAnsi="Arial"/>
                <w:sz w:val="14"/>
                <w:szCs w:val="14"/>
                <w:color w:val="auto"/>
              </w:rPr>
              <w:t>250</w:t>
            </w:r>
          </w:p>
        </w:tc>
        <w:tc>
          <w:tcPr>
            <w:tcW w:w="220" w:type="dxa"/>
            <w:vAlign w:val="bottom"/>
          </w:tcPr>
          <w:p>
            <w:pPr>
              <w:spacing w:after="0"/>
              <w:rPr>
                <w:sz w:val="18"/>
                <w:szCs w:val="18"/>
                <w:color w:val="auto"/>
              </w:rPr>
            </w:pPr>
          </w:p>
        </w:tc>
        <w:tc>
          <w:tcPr>
            <w:tcW w:w="600" w:type="dxa"/>
            <w:vAlign w:val="bottom"/>
          </w:tcPr>
          <w:p>
            <w:pPr>
              <w:jc w:val="right"/>
              <w:ind w:right="68"/>
              <w:spacing w:after="0"/>
              <w:rPr>
                <w:sz w:val="20"/>
                <w:szCs w:val="20"/>
                <w:color w:val="auto"/>
              </w:rPr>
            </w:pPr>
            <w:r>
              <w:rPr>
                <w:rFonts w:ascii="Arial" w:cs="Arial" w:eastAsia="Arial" w:hAnsi="Arial"/>
                <w:sz w:val="14"/>
                <w:szCs w:val="14"/>
                <w:color w:val="auto"/>
              </w:rPr>
              <w:t>250</w:t>
            </w:r>
          </w:p>
        </w:tc>
        <w:tc>
          <w:tcPr>
            <w:tcW w:w="20" w:type="dxa"/>
            <w:vAlign w:val="bottom"/>
          </w:tcPr>
          <w:p>
            <w:pPr>
              <w:spacing w:after="0"/>
              <w:rPr>
                <w:sz w:val="18"/>
                <w:szCs w:val="18"/>
                <w:color w:val="auto"/>
              </w:rPr>
            </w:pPr>
          </w:p>
        </w:tc>
      </w:tr>
      <w:tr>
        <w:trPr>
          <w:trHeight w:val="216"/>
        </w:trPr>
        <w:tc>
          <w:tcPr>
            <w:tcW w:w="5400" w:type="dxa"/>
            <w:vAlign w:val="bottom"/>
          </w:tcPr>
          <w:p>
            <w:pPr>
              <w:ind w:left="180"/>
              <w:spacing w:after="0"/>
              <w:rPr>
                <w:sz w:val="20"/>
                <w:szCs w:val="20"/>
                <w:color w:val="auto"/>
              </w:rPr>
            </w:pPr>
            <w:r>
              <w:rPr>
                <w:rFonts w:ascii="Arial" w:cs="Arial" w:eastAsia="Arial" w:hAnsi="Arial"/>
                <w:sz w:val="14"/>
                <w:szCs w:val="14"/>
                <w:color w:val="auto"/>
              </w:rPr>
              <w:t>Variable rate (1% at December 31, 2008) July 2018 (1)</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jc w:val="right"/>
              <w:ind w:right="88"/>
              <w:spacing w:after="0"/>
              <w:rPr>
                <w:sz w:val="20"/>
                <w:szCs w:val="20"/>
                <w:color w:val="auto"/>
              </w:rPr>
            </w:pPr>
            <w:r>
              <w:rPr>
                <w:rFonts w:ascii="Arial" w:cs="Arial" w:eastAsia="Arial" w:hAnsi="Arial"/>
                <w:sz w:val="14"/>
                <w:szCs w:val="14"/>
                <w:color w:val="auto"/>
              </w:rPr>
              <w:t>161</w:t>
            </w:r>
          </w:p>
        </w:tc>
        <w:tc>
          <w:tcPr>
            <w:tcW w:w="220" w:type="dxa"/>
            <w:vAlign w:val="bottom"/>
          </w:tcPr>
          <w:p>
            <w:pPr>
              <w:spacing w:after="0"/>
              <w:rPr>
                <w:sz w:val="18"/>
                <w:szCs w:val="18"/>
                <w:color w:val="auto"/>
              </w:rPr>
            </w:pPr>
          </w:p>
        </w:tc>
        <w:tc>
          <w:tcPr>
            <w:tcW w:w="600" w:type="dxa"/>
            <w:vAlign w:val="bottom"/>
          </w:tcPr>
          <w:p>
            <w:pPr>
              <w:jc w:val="right"/>
              <w:ind w:right="68"/>
              <w:spacing w:after="0"/>
              <w:rPr>
                <w:sz w:val="20"/>
                <w:szCs w:val="20"/>
                <w:color w:val="auto"/>
              </w:rPr>
            </w:pPr>
            <w:r>
              <w:rPr>
                <w:rFonts w:ascii="Arial" w:cs="Arial" w:eastAsia="Arial" w:hAnsi="Arial"/>
                <w:sz w:val="14"/>
                <w:szCs w:val="14"/>
                <w:color w:val="auto"/>
              </w:rPr>
              <w:t>161</w:t>
            </w:r>
          </w:p>
        </w:tc>
        <w:tc>
          <w:tcPr>
            <w:tcW w:w="20" w:type="dxa"/>
            <w:vAlign w:val="bottom"/>
          </w:tcPr>
          <w:p>
            <w:pPr>
              <w:spacing w:after="0"/>
              <w:rPr>
                <w:sz w:val="18"/>
                <w:szCs w:val="18"/>
                <w:color w:val="auto"/>
              </w:rPr>
            </w:pPr>
          </w:p>
        </w:tc>
      </w:tr>
      <w:tr>
        <w:trPr>
          <w:trHeight w:val="216"/>
        </w:trPr>
        <w:tc>
          <w:tcPr>
            <w:tcW w:w="5400" w:type="dxa"/>
            <w:vAlign w:val="bottom"/>
          </w:tcPr>
          <w:p>
            <w:pPr>
              <w:ind w:left="180"/>
              <w:spacing w:after="0"/>
              <w:rPr>
                <w:sz w:val="20"/>
                <w:szCs w:val="20"/>
                <w:color w:val="auto"/>
              </w:rPr>
            </w:pPr>
            <w:r>
              <w:rPr>
                <w:rFonts w:ascii="Arial" w:cs="Arial" w:eastAsia="Arial" w:hAnsi="Arial"/>
                <w:sz w:val="14"/>
                <w:szCs w:val="14"/>
                <w:color w:val="auto"/>
              </w:rPr>
              <w:t>5.85% June 1, 2021 (1)</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jc w:val="right"/>
              <w:ind w:right="88"/>
              <w:spacing w:after="0"/>
              <w:rPr>
                <w:sz w:val="20"/>
                <w:szCs w:val="20"/>
                <w:color w:val="auto"/>
              </w:rPr>
            </w:pPr>
            <w:r>
              <w:rPr>
                <w:rFonts w:ascii="Arial" w:cs="Arial" w:eastAsia="Arial" w:hAnsi="Arial"/>
                <w:sz w:val="14"/>
                <w:szCs w:val="14"/>
                <w:color w:val="auto"/>
              </w:rPr>
              <w:t>60</w:t>
            </w:r>
          </w:p>
        </w:tc>
        <w:tc>
          <w:tcPr>
            <w:tcW w:w="220" w:type="dxa"/>
            <w:vAlign w:val="bottom"/>
          </w:tcPr>
          <w:p>
            <w:pPr>
              <w:spacing w:after="0"/>
              <w:rPr>
                <w:sz w:val="18"/>
                <w:szCs w:val="18"/>
                <w:color w:val="auto"/>
              </w:rPr>
            </w:pPr>
          </w:p>
        </w:tc>
        <w:tc>
          <w:tcPr>
            <w:tcW w:w="600" w:type="dxa"/>
            <w:vAlign w:val="bottom"/>
          </w:tcPr>
          <w:p>
            <w:pPr>
              <w:jc w:val="right"/>
              <w:ind w:right="68"/>
              <w:spacing w:after="0"/>
              <w:rPr>
                <w:sz w:val="20"/>
                <w:szCs w:val="20"/>
                <w:color w:val="auto"/>
              </w:rPr>
            </w:pPr>
            <w:r>
              <w:rPr>
                <w:rFonts w:ascii="Arial" w:cs="Arial" w:eastAsia="Arial" w:hAnsi="Arial"/>
                <w:sz w:val="14"/>
                <w:szCs w:val="14"/>
                <w:color w:val="auto"/>
              </w:rPr>
              <w:t>60</w:t>
            </w:r>
          </w:p>
        </w:tc>
        <w:tc>
          <w:tcPr>
            <w:tcW w:w="20" w:type="dxa"/>
            <w:vAlign w:val="bottom"/>
          </w:tcPr>
          <w:p>
            <w:pPr>
              <w:spacing w:after="0"/>
              <w:rPr>
                <w:sz w:val="18"/>
                <w:szCs w:val="18"/>
                <w:color w:val="auto"/>
              </w:rPr>
            </w:pPr>
          </w:p>
        </w:tc>
      </w:tr>
      <w:tr>
        <w:trPr>
          <w:trHeight w:val="216"/>
        </w:trPr>
        <w:tc>
          <w:tcPr>
            <w:tcW w:w="5400" w:type="dxa"/>
            <w:vAlign w:val="bottom"/>
          </w:tcPr>
          <w:p>
            <w:pPr>
              <w:ind w:left="180"/>
              <w:spacing w:after="0"/>
              <w:rPr>
                <w:sz w:val="20"/>
                <w:szCs w:val="20"/>
                <w:color w:val="auto"/>
              </w:rPr>
            </w:pPr>
            <w:r>
              <w:rPr>
                <w:rFonts w:ascii="Arial" w:cs="Arial" w:eastAsia="Arial" w:hAnsi="Arial"/>
                <w:sz w:val="14"/>
                <w:szCs w:val="14"/>
                <w:color w:val="auto"/>
              </w:rPr>
              <w:t>6% June 1, 2026</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jc w:val="right"/>
              <w:ind w:right="88"/>
              <w:spacing w:after="0"/>
              <w:rPr>
                <w:sz w:val="20"/>
                <w:szCs w:val="20"/>
                <w:color w:val="auto"/>
              </w:rPr>
            </w:pPr>
            <w:r>
              <w:rPr>
                <w:rFonts w:ascii="Arial" w:cs="Arial" w:eastAsia="Arial" w:hAnsi="Arial"/>
                <w:sz w:val="14"/>
                <w:szCs w:val="14"/>
                <w:color w:val="auto"/>
              </w:rPr>
              <w:t>250</w:t>
            </w:r>
          </w:p>
        </w:tc>
        <w:tc>
          <w:tcPr>
            <w:tcW w:w="220" w:type="dxa"/>
            <w:vAlign w:val="bottom"/>
          </w:tcPr>
          <w:p>
            <w:pPr>
              <w:spacing w:after="0"/>
              <w:rPr>
                <w:sz w:val="18"/>
                <w:szCs w:val="18"/>
                <w:color w:val="auto"/>
              </w:rPr>
            </w:pPr>
          </w:p>
        </w:tc>
        <w:tc>
          <w:tcPr>
            <w:tcW w:w="600" w:type="dxa"/>
            <w:vAlign w:val="bottom"/>
          </w:tcPr>
          <w:p>
            <w:pPr>
              <w:jc w:val="right"/>
              <w:ind w:right="68"/>
              <w:spacing w:after="0"/>
              <w:rPr>
                <w:sz w:val="20"/>
                <w:szCs w:val="20"/>
                <w:color w:val="auto"/>
              </w:rPr>
            </w:pPr>
            <w:r>
              <w:rPr>
                <w:rFonts w:ascii="Arial" w:cs="Arial" w:eastAsia="Arial" w:hAnsi="Arial"/>
                <w:sz w:val="14"/>
                <w:szCs w:val="14"/>
                <w:color w:val="auto"/>
              </w:rPr>
              <w:t>250</w:t>
            </w:r>
          </w:p>
        </w:tc>
        <w:tc>
          <w:tcPr>
            <w:tcW w:w="20" w:type="dxa"/>
            <w:vAlign w:val="bottom"/>
          </w:tcPr>
          <w:p>
            <w:pPr>
              <w:spacing w:after="0"/>
              <w:rPr>
                <w:sz w:val="18"/>
                <w:szCs w:val="18"/>
                <w:color w:val="auto"/>
              </w:rPr>
            </w:pPr>
          </w:p>
        </w:tc>
      </w:tr>
      <w:tr>
        <w:trPr>
          <w:trHeight w:val="216"/>
        </w:trPr>
        <w:tc>
          <w:tcPr>
            <w:tcW w:w="5400" w:type="dxa"/>
            <w:vAlign w:val="bottom"/>
          </w:tcPr>
          <w:p>
            <w:pPr>
              <w:ind w:left="180"/>
              <w:spacing w:after="0"/>
              <w:rPr>
                <w:sz w:val="20"/>
                <w:szCs w:val="20"/>
                <w:color w:val="auto"/>
              </w:rPr>
            </w:pPr>
            <w:r>
              <w:rPr>
                <w:rFonts w:ascii="Arial" w:cs="Arial" w:eastAsia="Arial" w:hAnsi="Arial"/>
                <w:sz w:val="14"/>
                <w:szCs w:val="14"/>
                <w:color w:val="auto"/>
              </w:rPr>
              <w:t>5% to 5.25% December 1, 2027 (1)</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jc w:val="right"/>
              <w:ind w:right="88"/>
              <w:spacing w:after="0"/>
              <w:rPr>
                <w:sz w:val="20"/>
                <w:szCs w:val="20"/>
                <w:color w:val="auto"/>
              </w:rPr>
            </w:pPr>
            <w:r>
              <w:rPr>
                <w:rFonts w:ascii="Arial" w:cs="Arial" w:eastAsia="Arial" w:hAnsi="Arial"/>
                <w:sz w:val="14"/>
                <w:szCs w:val="14"/>
                <w:color w:val="auto"/>
              </w:rPr>
              <w:t>150</w:t>
            </w:r>
          </w:p>
        </w:tc>
        <w:tc>
          <w:tcPr>
            <w:tcW w:w="220" w:type="dxa"/>
            <w:vAlign w:val="bottom"/>
          </w:tcPr>
          <w:p>
            <w:pPr>
              <w:spacing w:after="0"/>
              <w:rPr>
                <w:sz w:val="18"/>
                <w:szCs w:val="18"/>
                <w:color w:val="auto"/>
              </w:rPr>
            </w:pPr>
          </w:p>
        </w:tc>
        <w:tc>
          <w:tcPr>
            <w:tcW w:w="600" w:type="dxa"/>
            <w:vAlign w:val="bottom"/>
          </w:tcPr>
          <w:p>
            <w:pPr>
              <w:jc w:val="right"/>
              <w:ind w:right="68"/>
              <w:spacing w:after="0"/>
              <w:rPr>
                <w:sz w:val="20"/>
                <w:szCs w:val="20"/>
                <w:color w:val="auto"/>
              </w:rPr>
            </w:pPr>
            <w:r>
              <w:rPr>
                <w:rFonts w:ascii="Arial" w:cs="Arial" w:eastAsia="Arial" w:hAnsi="Arial"/>
                <w:sz w:val="14"/>
                <w:szCs w:val="14"/>
                <w:color w:val="auto"/>
              </w:rPr>
              <w:t>150</w:t>
            </w:r>
          </w:p>
        </w:tc>
        <w:tc>
          <w:tcPr>
            <w:tcW w:w="20" w:type="dxa"/>
            <w:vAlign w:val="bottom"/>
          </w:tcPr>
          <w:p>
            <w:pPr>
              <w:spacing w:after="0"/>
              <w:rPr>
                <w:sz w:val="18"/>
                <w:szCs w:val="18"/>
                <w:color w:val="auto"/>
              </w:rPr>
            </w:pPr>
          </w:p>
        </w:tc>
      </w:tr>
      <w:tr>
        <w:trPr>
          <w:trHeight w:val="216"/>
        </w:trPr>
        <w:tc>
          <w:tcPr>
            <w:tcW w:w="5400" w:type="dxa"/>
            <w:vAlign w:val="bottom"/>
          </w:tcPr>
          <w:p>
            <w:pPr>
              <w:ind w:left="180"/>
              <w:spacing w:after="0"/>
              <w:rPr>
                <w:sz w:val="20"/>
                <w:szCs w:val="20"/>
                <w:color w:val="auto"/>
              </w:rPr>
            </w:pPr>
            <w:r>
              <w:rPr>
                <w:rFonts w:ascii="Arial" w:cs="Arial" w:eastAsia="Arial" w:hAnsi="Arial"/>
                <w:sz w:val="14"/>
                <w:szCs w:val="14"/>
                <w:color w:val="auto"/>
              </w:rPr>
              <w:t>2.516% to 2.832% January and February 2034 (1) (2)</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jc w:val="right"/>
              <w:ind w:right="88"/>
              <w:spacing w:after="0"/>
              <w:rPr>
                <w:sz w:val="20"/>
                <w:szCs w:val="20"/>
                <w:color w:val="auto"/>
              </w:rPr>
            </w:pPr>
            <w:r>
              <w:rPr>
                <w:rFonts w:ascii="Arial" w:cs="Arial" w:eastAsia="Arial" w:hAnsi="Arial"/>
                <w:sz w:val="14"/>
                <w:szCs w:val="14"/>
                <w:color w:val="auto"/>
              </w:rPr>
              <w:t>176</w:t>
            </w:r>
          </w:p>
        </w:tc>
        <w:tc>
          <w:tcPr>
            <w:tcW w:w="220" w:type="dxa"/>
            <w:vAlign w:val="bottom"/>
          </w:tcPr>
          <w:p>
            <w:pPr>
              <w:spacing w:after="0"/>
              <w:rPr>
                <w:sz w:val="18"/>
                <w:szCs w:val="18"/>
                <w:color w:val="auto"/>
              </w:rPr>
            </w:pPr>
          </w:p>
        </w:tc>
        <w:tc>
          <w:tcPr>
            <w:tcW w:w="600" w:type="dxa"/>
            <w:vAlign w:val="bottom"/>
          </w:tcPr>
          <w:p>
            <w:pPr>
              <w:jc w:val="right"/>
              <w:ind w:right="68"/>
              <w:spacing w:after="0"/>
              <w:rPr>
                <w:sz w:val="20"/>
                <w:szCs w:val="20"/>
                <w:color w:val="auto"/>
              </w:rPr>
            </w:pPr>
            <w:r>
              <w:rPr>
                <w:rFonts w:ascii="Arial" w:cs="Arial" w:eastAsia="Arial" w:hAnsi="Arial"/>
                <w:sz w:val="14"/>
                <w:szCs w:val="14"/>
                <w:color w:val="auto"/>
              </w:rPr>
              <w:t>176</w:t>
            </w:r>
          </w:p>
        </w:tc>
        <w:tc>
          <w:tcPr>
            <w:tcW w:w="20" w:type="dxa"/>
            <w:vAlign w:val="bottom"/>
          </w:tcPr>
          <w:p>
            <w:pPr>
              <w:spacing w:after="0"/>
              <w:rPr>
                <w:sz w:val="18"/>
                <w:szCs w:val="18"/>
                <w:color w:val="auto"/>
              </w:rPr>
            </w:pPr>
          </w:p>
        </w:tc>
      </w:tr>
      <w:tr>
        <w:trPr>
          <w:trHeight w:val="216"/>
        </w:trPr>
        <w:tc>
          <w:tcPr>
            <w:tcW w:w="5400" w:type="dxa"/>
            <w:vAlign w:val="bottom"/>
          </w:tcPr>
          <w:p>
            <w:pPr>
              <w:ind w:left="180"/>
              <w:spacing w:after="0"/>
              <w:rPr>
                <w:sz w:val="20"/>
                <w:szCs w:val="20"/>
                <w:color w:val="auto"/>
              </w:rPr>
            </w:pPr>
            <w:r>
              <w:rPr>
                <w:rFonts w:ascii="Arial" w:cs="Arial" w:eastAsia="Arial" w:hAnsi="Arial"/>
                <w:sz w:val="14"/>
                <w:szCs w:val="14"/>
                <w:color w:val="auto"/>
              </w:rPr>
              <w:t>5.35% May 15, 2035</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jc w:val="right"/>
              <w:ind w:right="88"/>
              <w:spacing w:after="0"/>
              <w:rPr>
                <w:sz w:val="20"/>
                <w:szCs w:val="20"/>
                <w:color w:val="auto"/>
              </w:rPr>
            </w:pPr>
            <w:r>
              <w:rPr>
                <w:rFonts w:ascii="Arial" w:cs="Arial" w:eastAsia="Arial" w:hAnsi="Arial"/>
                <w:sz w:val="14"/>
                <w:szCs w:val="14"/>
                <w:color w:val="auto"/>
              </w:rPr>
              <w:t>250</w:t>
            </w:r>
          </w:p>
        </w:tc>
        <w:tc>
          <w:tcPr>
            <w:tcW w:w="220" w:type="dxa"/>
            <w:vAlign w:val="bottom"/>
          </w:tcPr>
          <w:p>
            <w:pPr>
              <w:spacing w:after="0"/>
              <w:rPr>
                <w:sz w:val="18"/>
                <w:szCs w:val="18"/>
                <w:color w:val="auto"/>
              </w:rPr>
            </w:pPr>
          </w:p>
        </w:tc>
        <w:tc>
          <w:tcPr>
            <w:tcW w:w="600" w:type="dxa"/>
            <w:vAlign w:val="bottom"/>
          </w:tcPr>
          <w:p>
            <w:pPr>
              <w:jc w:val="right"/>
              <w:ind w:right="68"/>
              <w:spacing w:after="0"/>
              <w:rPr>
                <w:sz w:val="20"/>
                <w:szCs w:val="20"/>
                <w:color w:val="auto"/>
              </w:rPr>
            </w:pPr>
            <w:r>
              <w:rPr>
                <w:rFonts w:ascii="Arial" w:cs="Arial" w:eastAsia="Arial" w:hAnsi="Arial"/>
                <w:sz w:val="14"/>
                <w:szCs w:val="14"/>
                <w:color w:val="auto"/>
              </w:rPr>
              <w:t>250</w:t>
            </w:r>
          </w:p>
        </w:tc>
        <w:tc>
          <w:tcPr>
            <w:tcW w:w="20" w:type="dxa"/>
            <w:vAlign w:val="bottom"/>
          </w:tcPr>
          <w:p>
            <w:pPr>
              <w:spacing w:after="0"/>
              <w:rPr>
                <w:sz w:val="18"/>
                <w:szCs w:val="18"/>
                <w:color w:val="auto"/>
              </w:rPr>
            </w:pPr>
          </w:p>
        </w:tc>
      </w:tr>
      <w:tr>
        <w:trPr>
          <w:trHeight w:val="216"/>
        </w:trPr>
        <w:tc>
          <w:tcPr>
            <w:tcW w:w="5400" w:type="dxa"/>
            <w:vAlign w:val="bottom"/>
          </w:tcPr>
          <w:p>
            <w:pPr>
              <w:ind w:left="180"/>
              <w:spacing w:after="0"/>
              <w:rPr>
                <w:sz w:val="20"/>
                <w:szCs w:val="20"/>
                <w:color w:val="auto"/>
              </w:rPr>
            </w:pPr>
            <w:r>
              <w:rPr>
                <w:rFonts w:ascii="Arial" w:cs="Arial" w:eastAsia="Arial" w:hAnsi="Arial"/>
                <w:sz w:val="14"/>
                <w:szCs w:val="14"/>
                <w:color w:val="auto"/>
              </w:rPr>
              <w:t>6.125% September 15, 2037</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jc w:val="right"/>
              <w:ind w:right="88"/>
              <w:spacing w:after="0"/>
              <w:rPr>
                <w:sz w:val="20"/>
                <w:szCs w:val="20"/>
                <w:color w:val="auto"/>
              </w:rPr>
            </w:pPr>
            <w:r>
              <w:rPr>
                <w:rFonts w:ascii="Arial" w:cs="Arial" w:eastAsia="Arial" w:hAnsi="Arial"/>
                <w:sz w:val="14"/>
                <w:szCs w:val="14"/>
                <w:color w:val="auto"/>
              </w:rPr>
              <w:t>250</w:t>
            </w:r>
          </w:p>
        </w:tc>
        <w:tc>
          <w:tcPr>
            <w:tcW w:w="220" w:type="dxa"/>
            <w:vAlign w:val="bottom"/>
          </w:tcPr>
          <w:p>
            <w:pPr>
              <w:spacing w:after="0"/>
              <w:rPr>
                <w:sz w:val="18"/>
                <w:szCs w:val="18"/>
                <w:color w:val="auto"/>
              </w:rPr>
            </w:pPr>
          </w:p>
        </w:tc>
        <w:tc>
          <w:tcPr>
            <w:tcW w:w="600" w:type="dxa"/>
            <w:vAlign w:val="bottom"/>
          </w:tcPr>
          <w:p>
            <w:pPr>
              <w:jc w:val="right"/>
              <w:ind w:right="68"/>
              <w:spacing w:after="0"/>
              <w:rPr>
                <w:sz w:val="20"/>
                <w:szCs w:val="20"/>
                <w:color w:val="auto"/>
              </w:rPr>
            </w:pPr>
            <w:r>
              <w:rPr>
                <w:rFonts w:ascii="Arial" w:cs="Arial" w:eastAsia="Arial" w:hAnsi="Arial"/>
                <w:sz w:val="14"/>
                <w:szCs w:val="14"/>
                <w:color w:val="auto"/>
              </w:rPr>
              <w:t>250</w:t>
            </w:r>
          </w:p>
        </w:tc>
        <w:tc>
          <w:tcPr>
            <w:tcW w:w="20" w:type="dxa"/>
            <w:vAlign w:val="bottom"/>
          </w:tcPr>
          <w:p>
            <w:pPr>
              <w:spacing w:after="0"/>
              <w:rPr>
                <w:sz w:val="18"/>
                <w:szCs w:val="18"/>
                <w:color w:val="auto"/>
              </w:rPr>
            </w:pPr>
          </w:p>
        </w:tc>
      </w:tr>
      <w:tr>
        <w:trPr>
          <w:trHeight w:val="222"/>
        </w:trPr>
        <w:tc>
          <w:tcPr>
            <w:tcW w:w="5400" w:type="dxa"/>
            <w:vAlign w:val="bottom"/>
          </w:tcPr>
          <w:p>
            <w:pPr>
              <w:ind w:left="180"/>
              <w:spacing w:after="0"/>
              <w:rPr>
                <w:sz w:val="20"/>
                <w:szCs w:val="20"/>
                <w:color w:val="auto"/>
              </w:rPr>
            </w:pPr>
            <w:r>
              <w:rPr>
                <w:rFonts w:ascii="Arial" w:cs="Arial" w:eastAsia="Arial" w:hAnsi="Arial"/>
                <w:sz w:val="14"/>
                <w:szCs w:val="14"/>
                <w:color w:val="auto"/>
              </w:rPr>
              <w:t>Variable rate (1.45% at December 31, 2008) May 1, 2039 (1)</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75</w:t>
            </w:r>
          </w:p>
        </w:tc>
        <w:tc>
          <w:tcPr>
            <w:tcW w:w="2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75</w:t>
            </w:r>
          </w:p>
        </w:tc>
        <w:tc>
          <w:tcPr>
            <w:tcW w:w="20" w:type="dxa"/>
            <w:vAlign w:val="bottom"/>
          </w:tcPr>
          <w:p>
            <w:pPr>
              <w:spacing w:after="0"/>
              <w:rPr>
                <w:sz w:val="19"/>
                <w:szCs w:val="19"/>
                <w:color w:val="auto"/>
              </w:rPr>
            </w:pPr>
          </w:p>
        </w:tc>
      </w:tr>
      <w:tr>
        <w:trPr>
          <w:trHeight w:val="202"/>
        </w:trPr>
        <w:tc>
          <w:tcPr>
            <w:tcW w:w="5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1,636</w:t>
            </w:r>
          </w:p>
        </w:tc>
        <w:tc>
          <w:tcPr>
            <w:tcW w:w="22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1,636</w:t>
            </w:r>
          </w:p>
        </w:tc>
        <w:tc>
          <w:tcPr>
            <w:tcW w:w="20" w:type="dxa"/>
            <w:vAlign w:val="bottom"/>
          </w:tcPr>
          <w:p>
            <w:pPr>
              <w:spacing w:after="0"/>
              <w:rPr>
                <w:sz w:val="17"/>
                <w:szCs w:val="17"/>
                <w:color w:val="auto"/>
              </w:rPr>
            </w:pPr>
          </w:p>
        </w:tc>
      </w:tr>
      <w:tr>
        <w:trPr>
          <w:trHeight w:val="208"/>
        </w:trPr>
        <w:tc>
          <w:tcPr>
            <w:tcW w:w="5400" w:type="dxa"/>
            <w:vAlign w:val="bottom"/>
          </w:tcPr>
          <w:p>
            <w:pPr>
              <w:ind w:left="20"/>
              <w:spacing w:after="0"/>
              <w:rPr>
                <w:sz w:val="20"/>
                <w:szCs w:val="20"/>
                <w:color w:val="auto"/>
              </w:rPr>
            </w:pPr>
            <w:r>
              <w:rPr>
                <w:rFonts w:ascii="Arial" w:cs="Arial" w:eastAsia="Arial" w:hAnsi="Arial"/>
                <w:sz w:val="14"/>
                <w:szCs w:val="14"/>
                <w:color w:val="auto"/>
              </w:rPr>
              <w:t>Other long-term debt (unsecured, unless otherwise noted):</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5400" w:type="dxa"/>
            <w:vAlign w:val="bottom"/>
          </w:tcPr>
          <w:p>
            <w:pPr>
              <w:ind w:left="180"/>
              <w:spacing w:after="0"/>
              <w:rPr>
                <w:sz w:val="20"/>
                <w:szCs w:val="20"/>
                <w:color w:val="auto"/>
              </w:rPr>
            </w:pPr>
            <w:r>
              <w:rPr>
                <w:rFonts w:ascii="Arial" w:cs="Arial" w:eastAsia="Arial" w:hAnsi="Arial"/>
                <w:sz w:val="14"/>
                <w:szCs w:val="14"/>
                <w:color w:val="auto"/>
              </w:rPr>
              <w:t>5.9% June 1, 2014</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jc w:val="right"/>
              <w:ind w:right="88"/>
              <w:spacing w:after="0"/>
              <w:rPr>
                <w:sz w:val="20"/>
                <w:szCs w:val="20"/>
                <w:color w:val="auto"/>
              </w:rPr>
            </w:pPr>
            <w:r>
              <w:rPr>
                <w:rFonts w:ascii="Arial" w:cs="Arial" w:eastAsia="Arial" w:hAnsi="Arial"/>
                <w:sz w:val="14"/>
                <w:szCs w:val="14"/>
                <w:color w:val="auto"/>
              </w:rPr>
              <w:t>130</w:t>
            </w:r>
          </w:p>
        </w:tc>
        <w:tc>
          <w:tcPr>
            <w:tcW w:w="220" w:type="dxa"/>
            <w:vAlign w:val="bottom"/>
          </w:tcPr>
          <w:p>
            <w:pPr>
              <w:spacing w:after="0"/>
              <w:rPr>
                <w:sz w:val="18"/>
                <w:szCs w:val="18"/>
                <w:color w:val="auto"/>
              </w:rPr>
            </w:pPr>
          </w:p>
        </w:tc>
        <w:tc>
          <w:tcPr>
            <w:tcW w:w="600" w:type="dxa"/>
            <w:vAlign w:val="bottom"/>
          </w:tcPr>
          <w:p>
            <w:pPr>
              <w:jc w:val="right"/>
              <w:ind w:right="68"/>
              <w:spacing w:after="0"/>
              <w:rPr>
                <w:sz w:val="20"/>
                <w:szCs w:val="20"/>
                <w:color w:val="auto"/>
              </w:rPr>
            </w:pPr>
            <w:r>
              <w:rPr>
                <w:rFonts w:ascii="Arial" w:cs="Arial" w:eastAsia="Arial" w:hAnsi="Arial"/>
                <w:sz w:val="14"/>
                <w:szCs w:val="14"/>
                <w:color w:val="auto"/>
              </w:rPr>
              <w:t>130</w:t>
            </w:r>
          </w:p>
        </w:tc>
        <w:tc>
          <w:tcPr>
            <w:tcW w:w="20" w:type="dxa"/>
            <w:vAlign w:val="bottom"/>
          </w:tcPr>
          <w:p>
            <w:pPr>
              <w:spacing w:after="0"/>
              <w:rPr>
                <w:sz w:val="18"/>
                <w:szCs w:val="18"/>
                <w:color w:val="auto"/>
              </w:rPr>
            </w:pPr>
          </w:p>
        </w:tc>
      </w:tr>
      <w:tr>
        <w:trPr>
          <w:trHeight w:val="216"/>
        </w:trPr>
        <w:tc>
          <w:tcPr>
            <w:tcW w:w="5400" w:type="dxa"/>
            <w:vAlign w:val="bottom"/>
          </w:tcPr>
          <w:p>
            <w:pPr>
              <w:ind w:left="180"/>
              <w:spacing w:after="0"/>
              <w:rPr>
                <w:sz w:val="20"/>
                <w:szCs w:val="20"/>
                <w:color w:val="auto"/>
              </w:rPr>
            </w:pPr>
            <w:r>
              <w:rPr>
                <w:rFonts w:ascii="Arial" w:cs="Arial" w:eastAsia="Arial" w:hAnsi="Arial"/>
                <w:sz w:val="14"/>
                <w:szCs w:val="14"/>
                <w:color w:val="auto"/>
              </w:rPr>
              <w:t>5.3% July 1, 2021 (1)</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jc w:val="right"/>
              <w:ind w:right="88"/>
              <w:spacing w:after="0"/>
              <w:rPr>
                <w:sz w:val="20"/>
                <w:szCs w:val="20"/>
                <w:color w:val="auto"/>
              </w:rPr>
            </w:pPr>
            <w:r>
              <w:rPr>
                <w:rFonts w:ascii="Arial" w:cs="Arial" w:eastAsia="Arial" w:hAnsi="Arial"/>
                <w:sz w:val="14"/>
                <w:szCs w:val="14"/>
                <w:color w:val="auto"/>
              </w:rPr>
              <w:t>39</w:t>
            </w:r>
          </w:p>
        </w:tc>
        <w:tc>
          <w:tcPr>
            <w:tcW w:w="220" w:type="dxa"/>
            <w:vAlign w:val="bottom"/>
          </w:tcPr>
          <w:p>
            <w:pPr>
              <w:spacing w:after="0"/>
              <w:rPr>
                <w:sz w:val="18"/>
                <w:szCs w:val="18"/>
                <w:color w:val="auto"/>
              </w:rPr>
            </w:pPr>
          </w:p>
        </w:tc>
        <w:tc>
          <w:tcPr>
            <w:tcW w:w="600" w:type="dxa"/>
            <w:vAlign w:val="bottom"/>
          </w:tcPr>
          <w:p>
            <w:pPr>
              <w:jc w:val="right"/>
              <w:ind w:right="68"/>
              <w:spacing w:after="0"/>
              <w:rPr>
                <w:sz w:val="20"/>
                <w:szCs w:val="20"/>
                <w:color w:val="auto"/>
              </w:rPr>
            </w:pPr>
            <w:r>
              <w:rPr>
                <w:rFonts w:ascii="Arial" w:cs="Arial" w:eastAsia="Arial" w:hAnsi="Arial"/>
                <w:sz w:val="14"/>
                <w:szCs w:val="14"/>
                <w:color w:val="auto"/>
              </w:rPr>
              <w:t>39</w:t>
            </w:r>
          </w:p>
        </w:tc>
        <w:tc>
          <w:tcPr>
            <w:tcW w:w="20" w:type="dxa"/>
            <w:vAlign w:val="bottom"/>
          </w:tcPr>
          <w:p>
            <w:pPr>
              <w:spacing w:after="0"/>
              <w:rPr>
                <w:sz w:val="18"/>
                <w:szCs w:val="18"/>
                <w:color w:val="auto"/>
              </w:rPr>
            </w:pPr>
          </w:p>
        </w:tc>
      </w:tr>
      <w:tr>
        <w:trPr>
          <w:trHeight w:val="216"/>
        </w:trPr>
        <w:tc>
          <w:tcPr>
            <w:tcW w:w="5400" w:type="dxa"/>
            <w:vAlign w:val="bottom"/>
          </w:tcPr>
          <w:p>
            <w:pPr>
              <w:ind w:left="180"/>
              <w:spacing w:after="0"/>
              <w:rPr>
                <w:sz w:val="20"/>
                <w:szCs w:val="20"/>
                <w:color w:val="auto"/>
              </w:rPr>
            </w:pPr>
            <w:r>
              <w:rPr>
                <w:rFonts w:ascii="Arial" w:cs="Arial" w:eastAsia="Arial" w:hAnsi="Arial"/>
                <w:sz w:val="14"/>
                <w:szCs w:val="14"/>
                <w:color w:val="auto"/>
              </w:rPr>
              <w:t>5.5% December 1, 2021 (1)</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jc w:val="right"/>
              <w:ind w:right="88"/>
              <w:spacing w:after="0"/>
              <w:rPr>
                <w:sz w:val="20"/>
                <w:szCs w:val="20"/>
                <w:color w:val="auto"/>
              </w:rPr>
            </w:pPr>
            <w:r>
              <w:rPr>
                <w:rFonts w:ascii="Arial" w:cs="Arial" w:eastAsia="Arial" w:hAnsi="Arial"/>
                <w:sz w:val="14"/>
                <w:szCs w:val="14"/>
                <w:color w:val="auto"/>
              </w:rPr>
              <w:t>60</w:t>
            </w:r>
          </w:p>
        </w:tc>
        <w:tc>
          <w:tcPr>
            <w:tcW w:w="220" w:type="dxa"/>
            <w:vAlign w:val="bottom"/>
          </w:tcPr>
          <w:p>
            <w:pPr>
              <w:spacing w:after="0"/>
              <w:rPr>
                <w:sz w:val="18"/>
                <w:szCs w:val="18"/>
                <w:color w:val="auto"/>
              </w:rPr>
            </w:pPr>
          </w:p>
        </w:tc>
        <w:tc>
          <w:tcPr>
            <w:tcW w:w="600" w:type="dxa"/>
            <w:vAlign w:val="bottom"/>
          </w:tcPr>
          <w:p>
            <w:pPr>
              <w:jc w:val="right"/>
              <w:ind w:right="68"/>
              <w:spacing w:after="0"/>
              <w:rPr>
                <w:sz w:val="20"/>
                <w:szCs w:val="20"/>
                <w:color w:val="auto"/>
              </w:rPr>
            </w:pPr>
            <w:r>
              <w:rPr>
                <w:rFonts w:ascii="Arial" w:cs="Arial" w:eastAsia="Arial" w:hAnsi="Arial"/>
                <w:sz w:val="14"/>
                <w:szCs w:val="14"/>
                <w:color w:val="auto"/>
              </w:rPr>
              <w:t>60</w:t>
            </w:r>
          </w:p>
        </w:tc>
        <w:tc>
          <w:tcPr>
            <w:tcW w:w="20" w:type="dxa"/>
            <w:vAlign w:val="bottom"/>
          </w:tcPr>
          <w:p>
            <w:pPr>
              <w:spacing w:after="0"/>
              <w:rPr>
                <w:sz w:val="18"/>
                <w:szCs w:val="18"/>
                <w:color w:val="auto"/>
              </w:rPr>
            </w:pPr>
          </w:p>
        </w:tc>
      </w:tr>
      <w:tr>
        <w:trPr>
          <w:trHeight w:val="216"/>
        </w:trPr>
        <w:tc>
          <w:tcPr>
            <w:tcW w:w="5400" w:type="dxa"/>
            <w:vAlign w:val="bottom"/>
          </w:tcPr>
          <w:p>
            <w:pPr>
              <w:ind w:left="180"/>
              <w:spacing w:after="0"/>
              <w:rPr>
                <w:sz w:val="20"/>
                <w:szCs w:val="20"/>
                <w:color w:val="auto"/>
              </w:rPr>
            </w:pPr>
            <w:r>
              <w:rPr>
                <w:rFonts w:ascii="Arial" w:cs="Arial" w:eastAsia="Arial" w:hAnsi="Arial"/>
                <w:sz w:val="14"/>
                <w:szCs w:val="14"/>
                <w:color w:val="auto"/>
              </w:rPr>
              <w:t>4.9% March 1, 2023 (1)</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jc w:val="right"/>
              <w:ind w:right="88"/>
              <w:spacing w:after="0"/>
              <w:rPr>
                <w:sz w:val="20"/>
                <w:szCs w:val="20"/>
                <w:color w:val="auto"/>
              </w:rPr>
            </w:pPr>
            <w:r>
              <w:rPr>
                <w:rFonts w:ascii="Arial" w:cs="Arial" w:eastAsia="Arial" w:hAnsi="Arial"/>
                <w:sz w:val="14"/>
                <w:szCs w:val="14"/>
                <w:color w:val="auto"/>
              </w:rPr>
              <w:t>25</w:t>
            </w:r>
          </w:p>
        </w:tc>
        <w:tc>
          <w:tcPr>
            <w:tcW w:w="220" w:type="dxa"/>
            <w:vAlign w:val="bottom"/>
          </w:tcPr>
          <w:p>
            <w:pPr>
              <w:spacing w:after="0"/>
              <w:rPr>
                <w:sz w:val="18"/>
                <w:szCs w:val="18"/>
                <w:color w:val="auto"/>
              </w:rPr>
            </w:pPr>
          </w:p>
        </w:tc>
        <w:tc>
          <w:tcPr>
            <w:tcW w:w="600" w:type="dxa"/>
            <w:vAlign w:val="bottom"/>
          </w:tcPr>
          <w:p>
            <w:pPr>
              <w:jc w:val="right"/>
              <w:ind w:right="68"/>
              <w:spacing w:after="0"/>
              <w:rPr>
                <w:sz w:val="20"/>
                <w:szCs w:val="20"/>
                <w:color w:val="auto"/>
              </w:rPr>
            </w:pPr>
            <w:r>
              <w:rPr>
                <w:rFonts w:ascii="Arial" w:cs="Arial" w:eastAsia="Arial" w:hAnsi="Arial"/>
                <w:sz w:val="14"/>
                <w:szCs w:val="14"/>
                <w:color w:val="auto"/>
              </w:rPr>
              <w:t>25</w:t>
            </w:r>
          </w:p>
        </w:tc>
        <w:tc>
          <w:tcPr>
            <w:tcW w:w="20" w:type="dxa"/>
            <w:vAlign w:val="bottom"/>
          </w:tcPr>
          <w:p>
            <w:pPr>
              <w:spacing w:after="0"/>
              <w:rPr>
                <w:sz w:val="18"/>
                <w:szCs w:val="18"/>
                <w:color w:val="auto"/>
              </w:rPr>
            </w:pPr>
          </w:p>
        </w:tc>
      </w:tr>
      <w:tr>
        <w:trPr>
          <w:trHeight w:val="188"/>
        </w:trPr>
        <w:tc>
          <w:tcPr>
            <w:tcW w:w="5400" w:type="dxa"/>
            <w:vAlign w:val="bottom"/>
          </w:tcPr>
          <w:p>
            <w:pPr>
              <w:ind w:left="180"/>
              <w:spacing w:after="0"/>
              <w:rPr>
                <w:sz w:val="20"/>
                <w:szCs w:val="20"/>
                <w:color w:val="auto"/>
              </w:rPr>
            </w:pPr>
            <w:r>
              <w:rPr>
                <w:rFonts w:ascii="Arial" w:cs="Arial" w:eastAsia="Arial" w:hAnsi="Arial"/>
                <w:sz w:val="14"/>
                <w:szCs w:val="14"/>
                <w:color w:val="auto"/>
              </w:rPr>
              <w:t>OMEC LLC project financing at 6.2% payable 2009 through April 2019 (secured</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72"/>
        </w:trPr>
        <w:tc>
          <w:tcPr>
            <w:tcW w:w="5400" w:type="dxa"/>
            <w:vAlign w:val="bottom"/>
          </w:tcPr>
          <w:p>
            <w:pPr>
              <w:ind w:left="340"/>
              <w:spacing w:after="0"/>
              <w:rPr>
                <w:sz w:val="20"/>
                <w:szCs w:val="20"/>
                <w:color w:val="auto"/>
              </w:rPr>
            </w:pPr>
            <w:r>
              <w:rPr>
                <w:rFonts w:ascii="Arial" w:cs="Arial" w:eastAsia="Arial" w:hAnsi="Arial"/>
                <w:sz w:val="14"/>
                <w:szCs w:val="14"/>
                <w:color w:val="auto"/>
              </w:rPr>
              <w:t>by project assets) (3)</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jc w:val="right"/>
              <w:ind w:right="88"/>
              <w:spacing w:after="0"/>
              <w:rPr>
                <w:sz w:val="20"/>
                <w:szCs w:val="20"/>
                <w:color w:val="auto"/>
              </w:rPr>
            </w:pPr>
            <w:r>
              <w:rPr>
                <w:rFonts w:ascii="Arial" w:cs="Arial" w:eastAsia="Arial" w:hAnsi="Arial"/>
                <w:sz w:val="14"/>
                <w:szCs w:val="14"/>
                <w:color w:val="auto"/>
              </w:rPr>
              <w:t>256</w:t>
            </w:r>
          </w:p>
        </w:tc>
        <w:tc>
          <w:tcPr>
            <w:tcW w:w="220" w:type="dxa"/>
            <w:vAlign w:val="bottom"/>
          </w:tcPr>
          <w:p>
            <w:pPr>
              <w:spacing w:after="0"/>
              <w:rPr>
                <w:sz w:val="14"/>
                <w:szCs w:val="14"/>
                <w:color w:val="auto"/>
              </w:rPr>
            </w:pPr>
          </w:p>
        </w:tc>
        <w:tc>
          <w:tcPr>
            <w:tcW w:w="600" w:type="dxa"/>
            <w:vAlign w:val="bottom"/>
          </w:tcPr>
          <w:p>
            <w:pPr>
              <w:jc w:val="right"/>
              <w:ind w:right="68"/>
              <w:spacing w:after="0"/>
              <w:rPr>
                <w:sz w:val="20"/>
                <w:szCs w:val="20"/>
                <w:color w:val="auto"/>
              </w:rPr>
            </w:pPr>
            <w:r>
              <w:rPr>
                <w:rFonts w:ascii="Arial" w:cs="Arial" w:eastAsia="Arial" w:hAnsi="Arial"/>
                <w:sz w:val="14"/>
                <w:szCs w:val="14"/>
                <w:color w:val="auto"/>
              </w:rPr>
              <w:t>63</w:t>
            </w:r>
          </w:p>
        </w:tc>
        <w:tc>
          <w:tcPr>
            <w:tcW w:w="20" w:type="dxa"/>
            <w:vAlign w:val="bottom"/>
          </w:tcPr>
          <w:p>
            <w:pPr>
              <w:spacing w:after="0"/>
              <w:rPr>
                <w:sz w:val="14"/>
                <w:szCs w:val="14"/>
                <w:color w:val="auto"/>
              </w:rPr>
            </w:pPr>
          </w:p>
        </w:tc>
      </w:tr>
      <w:tr>
        <w:trPr>
          <w:trHeight w:val="222"/>
        </w:trPr>
        <w:tc>
          <w:tcPr>
            <w:tcW w:w="5400" w:type="dxa"/>
            <w:vAlign w:val="bottom"/>
          </w:tcPr>
          <w:p>
            <w:pPr>
              <w:ind w:left="180"/>
              <w:spacing w:after="0"/>
              <w:rPr>
                <w:sz w:val="20"/>
                <w:szCs w:val="20"/>
                <w:color w:val="auto"/>
              </w:rPr>
            </w:pPr>
            <w:r>
              <w:rPr>
                <w:rFonts w:ascii="Arial" w:cs="Arial" w:eastAsia="Arial" w:hAnsi="Arial"/>
                <w:sz w:val="14"/>
                <w:szCs w:val="14"/>
                <w:color w:val="auto"/>
              </w:rPr>
              <w:t>Other</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7</w:t>
            </w:r>
          </w:p>
        </w:tc>
        <w:tc>
          <w:tcPr>
            <w:tcW w:w="20" w:type="dxa"/>
            <w:vAlign w:val="bottom"/>
          </w:tcPr>
          <w:p>
            <w:pPr>
              <w:spacing w:after="0"/>
              <w:rPr>
                <w:sz w:val="19"/>
                <w:szCs w:val="19"/>
                <w:color w:val="auto"/>
              </w:rPr>
            </w:pPr>
          </w:p>
        </w:tc>
      </w:tr>
      <w:tr>
        <w:trPr>
          <w:trHeight w:val="205"/>
        </w:trPr>
        <w:tc>
          <w:tcPr>
            <w:tcW w:w="5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510</w:t>
            </w:r>
          </w:p>
        </w:tc>
        <w:tc>
          <w:tcPr>
            <w:tcW w:w="22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324</w:t>
            </w:r>
          </w:p>
        </w:tc>
        <w:tc>
          <w:tcPr>
            <w:tcW w:w="20" w:type="dxa"/>
            <w:vAlign w:val="bottom"/>
          </w:tcPr>
          <w:p>
            <w:pPr>
              <w:spacing w:after="0"/>
              <w:rPr>
                <w:sz w:val="17"/>
                <w:szCs w:val="17"/>
                <w:color w:val="auto"/>
              </w:rPr>
            </w:pPr>
          </w:p>
        </w:tc>
      </w:tr>
      <w:tr>
        <w:trPr>
          <w:trHeight w:val="205"/>
        </w:trPr>
        <w:tc>
          <w:tcPr>
            <w:tcW w:w="5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jc w:val="right"/>
              <w:ind w:right="88"/>
              <w:spacing w:after="0"/>
              <w:rPr>
                <w:sz w:val="20"/>
                <w:szCs w:val="20"/>
                <w:color w:val="auto"/>
              </w:rPr>
            </w:pPr>
            <w:r>
              <w:rPr>
                <w:rFonts w:ascii="Arial" w:cs="Arial" w:eastAsia="Arial" w:hAnsi="Arial"/>
                <w:sz w:val="14"/>
                <w:szCs w:val="14"/>
                <w:color w:val="auto"/>
              </w:rPr>
              <w:t>2,146</w:t>
            </w:r>
          </w:p>
        </w:tc>
        <w:tc>
          <w:tcPr>
            <w:tcW w:w="220" w:type="dxa"/>
            <w:vAlign w:val="bottom"/>
          </w:tcPr>
          <w:p>
            <w:pPr>
              <w:spacing w:after="0"/>
              <w:rPr>
                <w:sz w:val="17"/>
                <w:szCs w:val="17"/>
                <w:color w:val="auto"/>
              </w:rPr>
            </w:pPr>
          </w:p>
        </w:tc>
        <w:tc>
          <w:tcPr>
            <w:tcW w:w="600" w:type="dxa"/>
            <w:vAlign w:val="bottom"/>
          </w:tcPr>
          <w:p>
            <w:pPr>
              <w:jc w:val="right"/>
              <w:ind w:right="68"/>
              <w:spacing w:after="0"/>
              <w:rPr>
                <w:sz w:val="20"/>
                <w:szCs w:val="20"/>
                <w:color w:val="auto"/>
              </w:rPr>
            </w:pPr>
            <w:r>
              <w:rPr>
                <w:rFonts w:ascii="Arial" w:cs="Arial" w:eastAsia="Arial" w:hAnsi="Arial"/>
                <w:sz w:val="14"/>
                <w:szCs w:val="14"/>
                <w:color w:val="auto"/>
              </w:rPr>
              <w:t>1,960</w:t>
            </w:r>
          </w:p>
        </w:tc>
        <w:tc>
          <w:tcPr>
            <w:tcW w:w="20" w:type="dxa"/>
            <w:vAlign w:val="bottom"/>
          </w:tcPr>
          <w:p>
            <w:pPr>
              <w:spacing w:after="0"/>
              <w:rPr>
                <w:sz w:val="17"/>
                <w:szCs w:val="17"/>
                <w:color w:val="auto"/>
              </w:rPr>
            </w:pPr>
          </w:p>
        </w:tc>
      </w:tr>
      <w:tr>
        <w:trPr>
          <w:trHeight w:val="216"/>
        </w:trPr>
        <w:tc>
          <w:tcPr>
            <w:tcW w:w="5400" w:type="dxa"/>
            <w:vAlign w:val="bottom"/>
          </w:tcPr>
          <w:p>
            <w:pPr>
              <w:ind w:left="20"/>
              <w:spacing w:after="0"/>
              <w:rPr>
                <w:sz w:val="20"/>
                <w:szCs w:val="20"/>
                <w:color w:val="auto"/>
              </w:rPr>
            </w:pPr>
            <w:r>
              <w:rPr>
                <w:rFonts w:ascii="Arial" w:cs="Arial" w:eastAsia="Arial" w:hAnsi="Arial"/>
                <w:sz w:val="14"/>
                <w:szCs w:val="14"/>
                <w:color w:val="auto"/>
              </w:rPr>
              <w:t>Current portion of long-term debt</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(2 )</w:t>
            </w:r>
          </w:p>
        </w:tc>
        <w:tc>
          <w:tcPr>
            <w:tcW w:w="220" w:type="dxa"/>
            <w:vAlign w:val="bottom"/>
          </w:tcPr>
          <w:p>
            <w:pPr>
              <w:spacing w:after="0"/>
              <w:rPr>
                <w:sz w:val="18"/>
                <w:szCs w:val="18"/>
                <w:color w:val="auto"/>
              </w:rPr>
            </w:pPr>
          </w:p>
        </w:tc>
        <w:tc>
          <w:tcPr>
            <w:tcW w:w="60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8"/>
                <w:szCs w:val="18"/>
                <w:color w:val="auto"/>
              </w:rPr>
            </w:pPr>
          </w:p>
        </w:tc>
      </w:tr>
      <w:tr>
        <w:trPr>
          <w:trHeight w:val="222"/>
        </w:trPr>
        <w:tc>
          <w:tcPr>
            <w:tcW w:w="5400" w:type="dxa"/>
            <w:vAlign w:val="bottom"/>
          </w:tcPr>
          <w:p>
            <w:pPr>
              <w:ind w:left="20"/>
              <w:spacing w:after="0"/>
              <w:rPr>
                <w:sz w:val="20"/>
                <w:szCs w:val="20"/>
                <w:color w:val="auto"/>
              </w:rPr>
            </w:pPr>
            <w:r>
              <w:rPr>
                <w:rFonts w:ascii="Arial" w:cs="Arial" w:eastAsia="Arial" w:hAnsi="Arial"/>
                <w:sz w:val="14"/>
                <w:szCs w:val="14"/>
                <w:color w:val="auto"/>
              </w:rPr>
              <w:t>Unamortized discount on long-term debt</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(2 )</w:t>
            </w:r>
          </w:p>
        </w:tc>
        <w:tc>
          <w:tcPr>
            <w:tcW w:w="2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(2 )</w:t>
            </w:r>
          </w:p>
        </w:tc>
        <w:tc>
          <w:tcPr>
            <w:tcW w:w="20" w:type="dxa"/>
            <w:vAlign w:val="bottom"/>
          </w:tcPr>
          <w:p>
            <w:pPr>
              <w:spacing w:after="0"/>
              <w:rPr>
                <w:sz w:val="19"/>
                <w:szCs w:val="19"/>
                <w:color w:val="auto"/>
              </w:rPr>
            </w:pPr>
          </w:p>
        </w:tc>
      </w:tr>
      <w:tr>
        <w:trPr>
          <w:trHeight w:val="208"/>
        </w:trPr>
        <w:tc>
          <w:tcPr>
            <w:tcW w:w="5400" w:type="dxa"/>
            <w:vAlign w:val="bottom"/>
          </w:tcPr>
          <w:p>
            <w:pPr>
              <w:ind w:left="20"/>
              <w:spacing w:after="0"/>
              <w:rPr>
                <w:sz w:val="20"/>
                <w:szCs w:val="20"/>
                <w:color w:val="auto"/>
              </w:rPr>
            </w:pPr>
            <w:r>
              <w:rPr>
                <w:rFonts w:ascii="Arial" w:cs="Arial" w:eastAsia="Arial" w:hAnsi="Arial"/>
                <w:sz w:val="14"/>
                <w:szCs w:val="14"/>
                <w:color w:val="auto"/>
              </w:rPr>
              <w:t>Total SDG&amp;E</w:t>
            </w: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2,142</w:t>
            </w:r>
          </w:p>
        </w:tc>
        <w:tc>
          <w:tcPr>
            <w:tcW w:w="2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1,958</w:t>
            </w:r>
          </w:p>
        </w:tc>
        <w:tc>
          <w:tcPr>
            <w:tcW w:w="20" w:type="dxa"/>
            <w:vAlign w:val="bottom"/>
          </w:tcPr>
          <w:p>
            <w:pPr>
              <w:spacing w:after="0"/>
              <w:rPr>
                <w:sz w:val="18"/>
                <w:szCs w:val="18"/>
                <w:color w:val="auto"/>
              </w:rPr>
            </w:pPr>
          </w:p>
        </w:tc>
      </w:tr>
      <w:tr>
        <w:trPr>
          <w:trHeight w:val="611"/>
        </w:trPr>
        <w:tc>
          <w:tcPr>
            <w:tcW w:w="5400" w:type="dxa"/>
            <w:vAlign w:val="bottom"/>
          </w:tcPr>
          <w:p>
            <w:pPr>
              <w:spacing w:after="0"/>
              <w:rPr>
                <w:sz w:val="20"/>
                <w:szCs w:val="20"/>
                <w:color w:val="auto"/>
              </w:rPr>
            </w:pPr>
            <w:r>
              <w:rPr>
                <w:rFonts w:ascii="Arial" w:cs="Arial" w:eastAsia="Arial" w:hAnsi="Arial"/>
                <w:sz w:val="14"/>
                <w:szCs w:val="14"/>
                <w:b w:val="1"/>
                <w:bCs w:val="1"/>
                <w:color w:val="auto"/>
              </w:rPr>
              <w:t>SoCalGas</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6"/>
        </w:trPr>
        <w:tc>
          <w:tcPr>
            <w:tcW w:w="5400" w:type="dxa"/>
            <w:vAlign w:val="bottom"/>
          </w:tcPr>
          <w:p>
            <w:pPr>
              <w:spacing w:after="0"/>
              <w:rPr>
                <w:sz w:val="20"/>
                <w:szCs w:val="20"/>
                <w:color w:val="auto"/>
              </w:rPr>
            </w:pPr>
            <w:r>
              <w:rPr>
                <w:rFonts w:ascii="Arial" w:cs="Arial" w:eastAsia="Arial" w:hAnsi="Arial"/>
                <w:sz w:val="14"/>
                <w:szCs w:val="14"/>
                <w:color w:val="auto"/>
              </w:rPr>
              <w:t>First mortgage bonds:</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5400" w:type="dxa"/>
            <w:vAlign w:val="bottom"/>
          </w:tcPr>
          <w:p>
            <w:pPr>
              <w:ind w:left="160"/>
              <w:spacing w:after="0"/>
              <w:rPr>
                <w:sz w:val="20"/>
                <w:szCs w:val="20"/>
                <w:color w:val="auto"/>
              </w:rPr>
            </w:pPr>
            <w:r>
              <w:rPr>
                <w:rFonts w:ascii="Arial" w:cs="Arial" w:eastAsia="Arial" w:hAnsi="Arial"/>
                <w:sz w:val="14"/>
                <w:szCs w:val="14"/>
                <w:color w:val="auto"/>
              </w:rPr>
              <w:t>Variable rate (2.37% at December 31, 2008) December 1, 2009</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jc w:val="right"/>
              <w:ind w:right="68"/>
              <w:spacing w:after="0"/>
              <w:rPr>
                <w:sz w:val="20"/>
                <w:szCs w:val="20"/>
                <w:color w:val="auto"/>
              </w:rPr>
            </w:pPr>
            <w:r>
              <w:rPr>
                <w:rFonts w:ascii="Arial" w:cs="Arial" w:eastAsia="Arial" w:hAnsi="Arial"/>
                <w:sz w:val="14"/>
                <w:szCs w:val="14"/>
                <w:color w:val="auto"/>
              </w:rPr>
              <w:t>100</w:t>
            </w:r>
          </w:p>
        </w:tc>
        <w:tc>
          <w:tcPr>
            <w:tcW w:w="220" w:type="dxa"/>
            <w:vAlign w:val="bottom"/>
          </w:tcPr>
          <w:p>
            <w:pPr>
              <w:spacing w:after="0"/>
              <w:rPr>
                <w:sz w:val="18"/>
                <w:szCs w:val="18"/>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100</w:t>
            </w:r>
          </w:p>
        </w:tc>
        <w:tc>
          <w:tcPr>
            <w:tcW w:w="20" w:type="dxa"/>
            <w:vAlign w:val="bottom"/>
          </w:tcPr>
          <w:p>
            <w:pPr>
              <w:spacing w:after="0"/>
              <w:rPr>
                <w:sz w:val="18"/>
                <w:szCs w:val="18"/>
                <w:color w:val="auto"/>
              </w:rPr>
            </w:pPr>
          </w:p>
        </w:tc>
      </w:tr>
      <w:tr>
        <w:trPr>
          <w:trHeight w:val="216"/>
        </w:trPr>
        <w:tc>
          <w:tcPr>
            <w:tcW w:w="5400" w:type="dxa"/>
            <w:vAlign w:val="bottom"/>
          </w:tcPr>
          <w:p>
            <w:pPr>
              <w:ind w:left="160"/>
              <w:spacing w:after="0"/>
              <w:rPr>
                <w:sz w:val="20"/>
                <w:szCs w:val="20"/>
                <w:color w:val="auto"/>
              </w:rPr>
            </w:pPr>
            <w:r>
              <w:rPr>
                <w:rFonts w:ascii="Arial" w:cs="Arial" w:eastAsia="Arial" w:hAnsi="Arial"/>
                <w:sz w:val="14"/>
                <w:szCs w:val="14"/>
                <w:color w:val="auto"/>
              </w:rPr>
              <w:t>4.375% January 15, 2011</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jc w:val="right"/>
              <w:ind w:right="68"/>
              <w:spacing w:after="0"/>
              <w:rPr>
                <w:sz w:val="20"/>
                <w:szCs w:val="20"/>
                <w:color w:val="auto"/>
              </w:rPr>
            </w:pPr>
            <w:r>
              <w:rPr>
                <w:rFonts w:ascii="Arial" w:cs="Arial" w:eastAsia="Arial" w:hAnsi="Arial"/>
                <w:sz w:val="14"/>
                <w:szCs w:val="14"/>
                <w:color w:val="auto"/>
              </w:rPr>
              <w:t>100</w:t>
            </w:r>
          </w:p>
        </w:tc>
        <w:tc>
          <w:tcPr>
            <w:tcW w:w="220" w:type="dxa"/>
            <w:vAlign w:val="bottom"/>
          </w:tcPr>
          <w:p>
            <w:pPr>
              <w:spacing w:after="0"/>
              <w:rPr>
                <w:sz w:val="18"/>
                <w:szCs w:val="18"/>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100</w:t>
            </w:r>
          </w:p>
        </w:tc>
        <w:tc>
          <w:tcPr>
            <w:tcW w:w="20" w:type="dxa"/>
            <w:vAlign w:val="bottom"/>
          </w:tcPr>
          <w:p>
            <w:pPr>
              <w:spacing w:after="0"/>
              <w:rPr>
                <w:sz w:val="18"/>
                <w:szCs w:val="18"/>
                <w:color w:val="auto"/>
              </w:rPr>
            </w:pPr>
          </w:p>
        </w:tc>
      </w:tr>
      <w:tr>
        <w:trPr>
          <w:trHeight w:val="216"/>
        </w:trPr>
        <w:tc>
          <w:tcPr>
            <w:tcW w:w="5400" w:type="dxa"/>
            <w:vAlign w:val="bottom"/>
          </w:tcPr>
          <w:p>
            <w:pPr>
              <w:ind w:left="160"/>
              <w:spacing w:after="0"/>
              <w:rPr>
                <w:sz w:val="20"/>
                <w:szCs w:val="20"/>
                <w:color w:val="auto"/>
              </w:rPr>
            </w:pPr>
            <w:r>
              <w:rPr>
                <w:rFonts w:ascii="Arial" w:cs="Arial" w:eastAsia="Arial" w:hAnsi="Arial"/>
                <w:sz w:val="14"/>
                <w:szCs w:val="14"/>
                <w:color w:val="auto"/>
              </w:rPr>
              <w:t>Variable rates after fixed-to-floating rate swaps</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5400" w:type="dxa"/>
            <w:vAlign w:val="bottom"/>
          </w:tcPr>
          <w:p>
            <w:pPr>
              <w:ind w:left="420"/>
              <w:spacing w:after="0"/>
              <w:rPr>
                <w:sz w:val="20"/>
                <w:szCs w:val="20"/>
                <w:color w:val="auto"/>
              </w:rPr>
            </w:pPr>
            <w:r>
              <w:rPr>
                <w:rFonts w:ascii="Arial" w:cs="Arial" w:eastAsia="Arial" w:hAnsi="Arial"/>
                <w:sz w:val="14"/>
                <w:szCs w:val="14"/>
                <w:color w:val="auto"/>
              </w:rPr>
              <w:t>(2.05% at December 31, 2008) January 15, 2011</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jc w:val="right"/>
              <w:ind w:right="68"/>
              <w:spacing w:after="0"/>
              <w:rPr>
                <w:sz w:val="20"/>
                <w:szCs w:val="20"/>
                <w:color w:val="auto"/>
              </w:rPr>
            </w:pPr>
            <w:r>
              <w:rPr>
                <w:rFonts w:ascii="Arial" w:cs="Arial" w:eastAsia="Arial" w:hAnsi="Arial"/>
                <w:sz w:val="14"/>
                <w:szCs w:val="14"/>
                <w:color w:val="auto"/>
              </w:rPr>
              <w:t>150</w:t>
            </w:r>
          </w:p>
        </w:tc>
        <w:tc>
          <w:tcPr>
            <w:tcW w:w="220" w:type="dxa"/>
            <w:vAlign w:val="bottom"/>
          </w:tcPr>
          <w:p>
            <w:pPr>
              <w:spacing w:after="0"/>
              <w:rPr>
                <w:sz w:val="18"/>
                <w:szCs w:val="18"/>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150</w:t>
            </w:r>
          </w:p>
        </w:tc>
        <w:tc>
          <w:tcPr>
            <w:tcW w:w="20" w:type="dxa"/>
            <w:vAlign w:val="bottom"/>
          </w:tcPr>
          <w:p>
            <w:pPr>
              <w:spacing w:after="0"/>
              <w:rPr>
                <w:sz w:val="18"/>
                <w:szCs w:val="18"/>
                <w:color w:val="auto"/>
              </w:rPr>
            </w:pPr>
          </w:p>
        </w:tc>
      </w:tr>
      <w:tr>
        <w:trPr>
          <w:trHeight w:val="216"/>
        </w:trPr>
        <w:tc>
          <w:tcPr>
            <w:tcW w:w="5400" w:type="dxa"/>
            <w:vAlign w:val="bottom"/>
          </w:tcPr>
          <w:p>
            <w:pPr>
              <w:ind w:left="160"/>
              <w:spacing w:after="0"/>
              <w:rPr>
                <w:sz w:val="20"/>
                <w:szCs w:val="20"/>
                <w:color w:val="auto"/>
              </w:rPr>
            </w:pPr>
            <w:r>
              <w:rPr>
                <w:rFonts w:ascii="Arial" w:cs="Arial" w:eastAsia="Arial" w:hAnsi="Arial"/>
                <w:sz w:val="14"/>
                <w:szCs w:val="14"/>
                <w:color w:val="auto"/>
              </w:rPr>
              <w:t>4.8% October 1, 2012</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jc w:val="right"/>
              <w:ind w:right="68"/>
              <w:spacing w:after="0"/>
              <w:rPr>
                <w:sz w:val="20"/>
                <w:szCs w:val="20"/>
                <w:color w:val="auto"/>
              </w:rPr>
            </w:pPr>
            <w:r>
              <w:rPr>
                <w:rFonts w:ascii="Arial" w:cs="Arial" w:eastAsia="Arial" w:hAnsi="Arial"/>
                <w:sz w:val="14"/>
                <w:szCs w:val="14"/>
                <w:color w:val="auto"/>
              </w:rPr>
              <w:t>250</w:t>
            </w:r>
          </w:p>
        </w:tc>
        <w:tc>
          <w:tcPr>
            <w:tcW w:w="220" w:type="dxa"/>
            <w:vAlign w:val="bottom"/>
          </w:tcPr>
          <w:p>
            <w:pPr>
              <w:spacing w:after="0"/>
              <w:rPr>
                <w:sz w:val="18"/>
                <w:szCs w:val="18"/>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250</w:t>
            </w:r>
          </w:p>
        </w:tc>
        <w:tc>
          <w:tcPr>
            <w:tcW w:w="20" w:type="dxa"/>
            <w:vAlign w:val="bottom"/>
          </w:tcPr>
          <w:p>
            <w:pPr>
              <w:spacing w:after="0"/>
              <w:rPr>
                <w:sz w:val="18"/>
                <w:szCs w:val="18"/>
                <w:color w:val="auto"/>
              </w:rPr>
            </w:pPr>
          </w:p>
        </w:tc>
      </w:tr>
      <w:tr>
        <w:trPr>
          <w:trHeight w:val="216"/>
        </w:trPr>
        <w:tc>
          <w:tcPr>
            <w:tcW w:w="5400" w:type="dxa"/>
            <w:vAlign w:val="bottom"/>
          </w:tcPr>
          <w:p>
            <w:pPr>
              <w:ind w:left="160"/>
              <w:spacing w:after="0"/>
              <w:rPr>
                <w:sz w:val="20"/>
                <w:szCs w:val="20"/>
                <w:color w:val="auto"/>
              </w:rPr>
            </w:pPr>
            <w:r>
              <w:rPr>
                <w:rFonts w:ascii="Arial" w:cs="Arial" w:eastAsia="Arial" w:hAnsi="Arial"/>
                <w:sz w:val="14"/>
                <w:szCs w:val="14"/>
                <w:color w:val="auto"/>
              </w:rPr>
              <w:t>5.5% March 15, 2014</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jc w:val="right"/>
              <w:ind w:right="68"/>
              <w:spacing w:after="0"/>
              <w:rPr>
                <w:sz w:val="20"/>
                <w:szCs w:val="20"/>
                <w:color w:val="auto"/>
              </w:rPr>
            </w:pPr>
            <w:r>
              <w:rPr>
                <w:rFonts w:ascii="Arial" w:cs="Arial" w:eastAsia="Arial" w:hAnsi="Arial"/>
                <w:sz w:val="14"/>
                <w:szCs w:val="14"/>
                <w:color w:val="auto"/>
              </w:rPr>
              <w:t>250</w:t>
            </w:r>
          </w:p>
        </w:tc>
        <w:tc>
          <w:tcPr>
            <w:tcW w:w="220" w:type="dxa"/>
            <w:vAlign w:val="bottom"/>
          </w:tcPr>
          <w:p>
            <w:pPr>
              <w:spacing w:after="0"/>
              <w:rPr>
                <w:sz w:val="18"/>
                <w:szCs w:val="18"/>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8"/>
                <w:szCs w:val="18"/>
                <w:color w:val="auto"/>
              </w:rPr>
            </w:pPr>
          </w:p>
        </w:tc>
      </w:tr>
      <w:tr>
        <w:trPr>
          <w:trHeight w:val="216"/>
        </w:trPr>
        <w:tc>
          <w:tcPr>
            <w:tcW w:w="5400" w:type="dxa"/>
            <w:vAlign w:val="bottom"/>
          </w:tcPr>
          <w:p>
            <w:pPr>
              <w:ind w:left="160"/>
              <w:spacing w:after="0"/>
              <w:rPr>
                <w:sz w:val="20"/>
                <w:szCs w:val="20"/>
                <w:color w:val="auto"/>
              </w:rPr>
            </w:pPr>
            <w:r>
              <w:rPr>
                <w:rFonts w:ascii="Arial" w:cs="Arial" w:eastAsia="Arial" w:hAnsi="Arial"/>
                <w:sz w:val="14"/>
                <w:szCs w:val="14"/>
                <w:color w:val="auto"/>
              </w:rPr>
              <w:t>5.45% April 15, 2018</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jc w:val="right"/>
              <w:ind w:right="68"/>
              <w:spacing w:after="0"/>
              <w:rPr>
                <w:sz w:val="20"/>
                <w:szCs w:val="20"/>
                <w:color w:val="auto"/>
              </w:rPr>
            </w:pPr>
            <w:r>
              <w:rPr>
                <w:rFonts w:ascii="Arial" w:cs="Arial" w:eastAsia="Arial" w:hAnsi="Arial"/>
                <w:sz w:val="14"/>
                <w:szCs w:val="14"/>
                <w:color w:val="auto"/>
              </w:rPr>
              <w:t>250</w:t>
            </w:r>
          </w:p>
        </w:tc>
        <w:tc>
          <w:tcPr>
            <w:tcW w:w="220" w:type="dxa"/>
            <w:vAlign w:val="bottom"/>
          </w:tcPr>
          <w:p>
            <w:pPr>
              <w:spacing w:after="0"/>
              <w:rPr>
                <w:sz w:val="18"/>
                <w:szCs w:val="18"/>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250</w:t>
            </w:r>
          </w:p>
        </w:tc>
        <w:tc>
          <w:tcPr>
            <w:tcW w:w="20" w:type="dxa"/>
            <w:vAlign w:val="bottom"/>
          </w:tcPr>
          <w:p>
            <w:pPr>
              <w:spacing w:after="0"/>
              <w:rPr>
                <w:sz w:val="18"/>
                <w:szCs w:val="18"/>
                <w:color w:val="auto"/>
              </w:rPr>
            </w:pPr>
          </w:p>
        </w:tc>
      </w:tr>
      <w:tr>
        <w:trPr>
          <w:trHeight w:val="222"/>
        </w:trPr>
        <w:tc>
          <w:tcPr>
            <w:tcW w:w="5400" w:type="dxa"/>
            <w:vAlign w:val="bottom"/>
          </w:tcPr>
          <w:p>
            <w:pPr>
              <w:ind w:left="160"/>
              <w:spacing w:after="0"/>
              <w:rPr>
                <w:sz w:val="20"/>
                <w:szCs w:val="20"/>
                <w:color w:val="auto"/>
              </w:rPr>
            </w:pPr>
            <w:r>
              <w:rPr>
                <w:rFonts w:ascii="Arial" w:cs="Arial" w:eastAsia="Arial" w:hAnsi="Arial"/>
                <w:sz w:val="14"/>
                <w:szCs w:val="14"/>
                <w:color w:val="auto"/>
              </w:rPr>
              <w:t>5.75% November 15, 2035</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250</w:t>
            </w:r>
          </w:p>
        </w:tc>
        <w:tc>
          <w:tcPr>
            <w:tcW w:w="2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250</w:t>
            </w:r>
          </w:p>
        </w:tc>
        <w:tc>
          <w:tcPr>
            <w:tcW w:w="20" w:type="dxa"/>
            <w:vAlign w:val="bottom"/>
            <w:tcBorders>
              <w:bottom w:val="single" w:sz="8" w:color="auto"/>
            </w:tcBorders>
          </w:tcPr>
          <w:p>
            <w:pPr>
              <w:spacing w:after="0"/>
              <w:rPr>
                <w:sz w:val="19"/>
                <w:szCs w:val="19"/>
                <w:color w:val="auto"/>
              </w:rPr>
            </w:pPr>
          </w:p>
        </w:tc>
      </w:tr>
      <w:tr>
        <w:trPr>
          <w:trHeight w:val="205"/>
        </w:trPr>
        <w:tc>
          <w:tcPr>
            <w:tcW w:w="5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1,350</w:t>
            </w:r>
          </w:p>
        </w:tc>
        <w:tc>
          <w:tcPr>
            <w:tcW w:w="22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1,100</w:t>
            </w:r>
          </w:p>
        </w:tc>
        <w:tc>
          <w:tcPr>
            <w:tcW w:w="20" w:type="dxa"/>
            <w:vAlign w:val="bottom"/>
            <w:tcBorders>
              <w:bottom w:val="single" w:sz="8" w:color="auto"/>
            </w:tcBorders>
          </w:tcPr>
          <w:p>
            <w:pPr>
              <w:spacing w:after="0"/>
              <w:rPr>
                <w:sz w:val="17"/>
                <w:szCs w:val="17"/>
                <w:color w:val="auto"/>
              </w:rPr>
            </w:pPr>
          </w:p>
        </w:tc>
      </w:tr>
    </w:tbl>
    <w:p>
      <w:pPr>
        <w:spacing w:after="0" w:line="38" w:lineRule="exact"/>
        <w:rPr>
          <w:sz w:val="20"/>
          <w:szCs w:val="20"/>
          <w:color w:val="auto"/>
        </w:rPr>
      </w:pPr>
    </w:p>
    <w:p>
      <w:pPr>
        <w:sectPr>
          <w:pgSz w:w="11900" w:h="16838" w:orient="portrait"/>
          <w:cols w:equalWidth="0" w:num="1">
            <w:col w:w="11320"/>
          </w:cols>
          <w:pgMar w:left="240" w:top="395" w:right="339" w:bottom="1440" w:gutter="0" w:footer="0" w:header="0"/>
        </w:sectPr>
      </w:pPr>
    </w:p>
    <w:p>
      <w:pPr>
        <w:ind w:left="2080"/>
        <w:spacing w:after="0"/>
        <w:rPr>
          <w:sz w:val="20"/>
          <w:szCs w:val="20"/>
          <w:color w:val="auto"/>
        </w:rPr>
      </w:pPr>
      <w:r>
        <w:rPr>
          <w:rFonts w:ascii="Arial" w:cs="Arial" w:eastAsia="Arial" w:hAnsi="Arial"/>
          <w:sz w:val="14"/>
          <w:szCs w:val="14"/>
          <w:color w:val="auto"/>
        </w:rPr>
        <w:t>Other long-term debt (unsecured):</w:t>
      </w:r>
    </w:p>
    <w:p>
      <w:pPr>
        <w:spacing w:after="0" w:line="55" w:lineRule="exact"/>
        <w:rPr>
          <w:sz w:val="20"/>
          <w:szCs w:val="20"/>
          <w:color w:val="auto"/>
        </w:rPr>
      </w:pPr>
    </w:p>
    <w:p>
      <w:pPr>
        <w:ind w:left="2240"/>
        <w:spacing w:after="0"/>
        <w:rPr>
          <w:sz w:val="20"/>
          <w:szCs w:val="20"/>
          <w:color w:val="auto"/>
        </w:rPr>
      </w:pPr>
      <w:r>
        <w:rPr>
          <w:rFonts w:ascii="Arial" w:cs="Arial" w:eastAsia="Arial" w:hAnsi="Arial"/>
          <w:sz w:val="14"/>
          <w:szCs w:val="14"/>
          <w:color w:val="auto"/>
        </w:rPr>
        <w:t>4.75% May 14, 2016 (1)</w:t>
      </w:r>
    </w:p>
    <w:p>
      <w:pPr>
        <w:spacing w:after="0" w:line="55" w:lineRule="exact"/>
        <w:rPr>
          <w:sz w:val="20"/>
          <w:szCs w:val="20"/>
          <w:color w:val="auto"/>
        </w:rPr>
      </w:pPr>
    </w:p>
    <w:p>
      <w:pPr>
        <w:ind w:left="2240"/>
        <w:spacing w:after="0"/>
        <w:rPr>
          <w:sz w:val="20"/>
          <w:szCs w:val="20"/>
          <w:color w:val="auto"/>
        </w:rPr>
      </w:pPr>
      <w:r>
        <w:rPr>
          <w:rFonts w:ascii="Arial" w:cs="Arial" w:eastAsia="Arial" w:hAnsi="Arial"/>
          <w:sz w:val="14"/>
          <w:szCs w:val="14"/>
          <w:color w:val="auto"/>
        </w:rPr>
        <w:t>5.67% January 18, 2028</w:t>
      </w:r>
    </w:p>
    <w:p>
      <w:pPr>
        <w:spacing w:after="0" w:line="67" w:lineRule="exact"/>
        <w:rPr>
          <w:sz w:val="20"/>
          <w:szCs w:val="20"/>
          <w:color w:val="auto"/>
        </w:rPr>
      </w:pPr>
    </w:p>
    <w:p>
      <w:pPr>
        <w:ind w:left="2080"/>
        <w:spacing w:after="0"/>
        <w:rPr>
          <w:sz w:val="20"/>
          <w:szCs w:val="20"/>
          <w:color w:val="auto"/>
        </w:rPr>
      </w:pPr>
      <w:r>
        <w:rPr>
          <w:rFonts w:ascii="Arial" w:cs="Arial" w:eastAsia="Arial" w:hAnsi="Arial"/>
          <w:sz w:val="14"/>
          <w:szCs w:val="14"/>
          <w:color w:val="auto"/>
        </w:rPr>
        <w:t>Market value adjustments for interest-rate swap, net (expires January 18, 2011)</w:t>
      </w:r>
    </w:p>
    <w:p>
      <w:pPr>
        <w:spacing w:after="0" w:line="200" w:lineRule="exact"/>
        <w:rPr>
          <w:sz w:val="20"/>
          <w:szCs w:val="20"/>
          <w:color w:val="auto"/>
        </w:rPr>
      </w:pPr>
    </w:p>
    <w:p>
      <w:pPr>
        <w:spacing w:after="0" w:line="300" w:lineRule="exact"/>
        <w:rPr>
          <w:sz w:val="20"/>
          <w:szCs w:val="20"/>
          <w:color w:val="auto"/>
        </w:rPr>
      </w:pPr>
    </w:p>
    <w:p>
      <w:pPr>
        <w:ind w:left="2080"/>
        <w:spacing w:after="0"/>
        <w:rPr>
          <w:sz w:val="20"/>
          <w:szCs w:val="20"/>
          <w:color w:val="auto"/>
        </w:rPr>
      </w:pPr>
      <w:r>
        <w:rPr>
          <w:rFonts w:ascii="Arial" w:cs="Arial" w:eastAsia="Arial" w:hAnsi="Arial"/>
          <w:sz w:val="14"/>
          <w:szCs w:val="14"/>
          <w:color w:val="auto"/>
        </w:rPr>
        <w:t>Current portion of long-term debt</w:t>
      </w:r>
    </w:p>
    <w:p>
      <w:pPr>
        <w:spacing w:after="0" w:line="67" w:lineRule="exact"/>
        <w:rPr>
          <w:sz w:val="20"/>
          <w:szCs w:val="20"/>
          <w:color w:val="auto"/>
        </w:rPr>
      </w:pPr>
    </w:p>
    <w:p>
      <w:pPr>
        <w:ind w:left="2080"/>
        <w:spacing w:after="0"/>
        <w:rPr>
          <w:sz w:val="20"/>
          <w:szCs w:val="20"/>
          <w:color w:val="auto"/>
        </w:rPr>
      </w:pPr>
      <w:r>
        <w:rPr>
          <w:rFonts w:ascii="Arial" w:cs="Arial" w:eastAsia="Arial" w:hAnsi="Arial"/>
          <w:sz w:val="14"/>
          <w:szCs w:val="14"/>
          <w:color w:val="auto"/>
        </w:rPr>
        <w:t>Unamortized discount on long-term debt</w:t>
      </w:r>
    </w:p>
    <w:p>
      <w:pPr>
        <w:spacing w:after="0" w:line="67" w:lineRule="exact"/>
        <w:rPr>
          <w:sz w:val="20"/>
          <w:szCs w:val="20"/>
          <w:color w:val="auto"/>
        </w:rPr>
      </w:pPr>
    </w:p>
    <w:p>
      <w:pPr>
        <w:ind w:left="2080"/>
        <w:spacing w:after="0"/>
        <w:rPr>
          <w:sz w:val="20"/>
          <w:szCs w:val="20"/>
          <w:color w:val="auto"/>
        </w:rPr>
      </w:pPr>
      <w:r>
        <w:rPr>
          <w:rFonts w:ascii="Arial" w:cs="Arial" w:eastAsia="Arial" w:hAnsi="Arial"/>
          <w:sz w:val="14"/>
          <w:szCs w:val="14"/>
          <w:color w:val="auto"/>
        </w:rPr>
        <w:t>Total SoCalGas</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spacing w:after="0" w:line="1" w:lineRule="exact"/>
        <w:rPr>
          <w:sz w:val="1"/>
          <w:szCs w:val="1"/>
          <w:color w:val="auto"/>
        </w:rPr>
      </w:pPr>
    </w:p>
    <w:tbl>
      <w:tblPr>
        <w:tblLayout w:type="fixed"/>
        <w:tblInd w:w="280" w:type="dxa"/>
        <w:tblCellMar>
          <w:top w:w="0" w:type="dxa"/>
          <w:left w:w="0" w:type="dxa"/>
          <w:bottom w:w="0" w:type="dxa"/>
          <w:right w:w="0" w:type="dxa"/>
        </w:tblCellMar>
      </w:tblPr>
      <w:tr>
        <w:trPr>
          <w:trHeight w:val="172"/>
        </w:trPr>
        <w:tc>
          <w:tcPr>
            <w:tcW w:w="460" w:type="dxa"/>
            <w:vAlign w:val="bottom"/>
          </w:tcPr>
          <w:p>
            <w:pPr>
              <w:jc w:val="right"/>
              <w:ind w:right="308"/>
              <w:spacing w:after="0"/>
              <w:rPr>
                <w:sz w:val="20"/>
                <w:szCs w:val="20"/>
                <w:color w:val="auto"/>
              </w:rPr>
            </w:pPr>
            <w:r>
              <w:rPr>
                <w:rFonts w:ascii="Arial" w:cs="Arial" w:eastAsia="Arial" w:hAnsi="Arial"/>
                <w:sz w:val="14"/>
                <w:szCs w:val="14"/>
                <w:color w:val="auto"/>
                <w:w w:val="76"/>
              </w:rPr>
              <w:t>8</w:t>
            </w:r>
          </w:p>
        </w:tc>
        <w:tc>
          <w:tcPr>
            <w:tcW w:w="460" w:type="dxa"/>
            <w:vAlign w:val="bottom"/>
          </w:tcPr>
          <w:p>
            <w:pPr>
              <w:jc w:val="right"/>
              <w:spacing w:after="0"/>
              <w:rPr>
                <w:sz w:val="20"/>
                <w:szCs w:val="20"/>
                <w:color w:val="auto"/>
              </w:rPr>
            </w:pPr>
            <w:r>
              <w:rPr>
                <w:rFonts w:ascii="Arial" w:cs="Arial" w:eastAsia="Arial" w:hAnsi="Arial"/>
                <w:sz w:val="14"/>
                <w:szCs w:val="14"/>
                <w:color w:val="auto"/>
              </w:rPr>
              <w:t>8</w:t>
            </w:r>
          </w:p>
        </w:tc>
      </w:tr>
      <w:tr>
        <w:trPr>
          <w:trHeight w:val="216"/>
        </w:trPr>
        <w:tc>
          <w:tcPr>
            <w:tcW w:w="460" w:type="dxa"/>
            <w:vAlign w:val="bottom"/>
          </w:tcPr>
          <w:p>
            <w:pPr>
              <w:jc w:val="right"/>
              <w:ind w:right="308"/>
              <w:spacing w:after="0"/>
              <w:rPr>
                <w:sz w:val="20"/>
                <w:szCs w:val="20"/>
                <w:color w:val="auto"/>
              </w:rPr>
            </w:pPr>
            <w:r>
              <w:rPr>
                <w:rFonts w:ascii="Arial" w:cs="Arial" w:eastAsia="Arial" w:hAnsi="Arial"/>
                <w:sz w:val="14"/>
                <w:szCs w:val="14"/>
                <w:color w:val="auto"/>
                <w:w w:val="76"/>
              </w:rPr>
              <w:t>5</w:t>
            </w:r>
          </w:p>
        </w:tc>
        <w:tc>
          <w:tcPr>
            <w:tcW w:w="460" w:type="dxa"/>
            <w:vAlign w:val="bottom"/>
          </w:tcPr>
          <w:p>
            <w:pPr>
              <w:jc w:val="right"/>
              <w:spacing w:after="0"/>
              <w:rPr>
                <w:sz w:val="20"/>
                <w:szCs w:val="20"/>
                <w:color w:val="auto"/>
              </w:rPr>
            </w:pPr>
            <w:r>
              <w:rPr>
                <w:rFonts w:ascii="Arial" w:cs="Arial" w:eastAsia="Arial" w:hAnsi="Arial"/>
                <w:sz w:val="14"/>
                <w:szCs w:val="14"/>
                <w:color w:val="auto"/>
              </w:rPr>
              <w:t>5</w:t>
            </w:r>
          </w:p>
        </w:tc>
      </w:tr>
    </w:tbl>
    <w:p>
      <w:pPr>
        <w:spacing w:after="0" w:line="44" w:lineRule="exact"/>
        <w:rPr>
          <w:sz w:val="20"/>
          <w:szCs w:val="20"/>
          <w:color w:val="auto"/>
        </w:rPr>
      </w:pPr>
    </w:p>
    <w:p>
      <w:pPr>
        <w:ind w:left="1120" w:hanging="839"/>
        <w:spacing w:after="0"/>
        <w:tabs>
          <w:tab w:leader="none" w:pos="1120" w:val="left"/>
        </w:tabs>
        <w:numPr>
          <w:ilvl w:val="0"/>
          <w:numId w:val="344"/>
        </w:numPr>
        <w:rPr>
          <w:rFonts w:ascii="Arial" w:cs="Arial" w:eastAsia="Arial" w:hAnsi="Arial"/>
          <w:sz w:val="14"/>
          <w:szCs w:val="14"/>
          <w:color w:val="auto"/>
        </w:rPr>
      </w:pPr>
      <w:r>
        <w:rPr>
          <w:rFonts w:ascii="Arial" w:cs="Arial" w:eastAsia="Arial" w:hAnsi="Arial"/>
          <w:sz w:val="14"/>
          <w:szCs w:val="14"/>
          <w:color w:val="auto"/>
        </w:rPr>
        <w:t>2</w:t>
      </w:r>
    </w:p>
    <w:p>
      <w:pPr>
        <w:spacing w:after="0" w:line="67" w:lineRule="exact"/>
        <w:rPr>
          <w:rFonts w:ascii="Arial" w:cs="Arial" w:eastAsia="Arial" w:hAnsi="Arial"/>
          <w:sz w:val="14"/>
          <w:szCs w:val="14"/>
          <w:color w:val="auto"/>
        </w:rPr>
      </w:pPr>
    </w:p>
    <w:p>
      <w:pPr>
        <w:ind w:left="200"/>
        <w:spacing w:after="0"/>
        <w:rPr>
          <w:rFonts w:ascii="Arial" w:cs="Arial" w:eastAsia="Arial" w:hAnsi="Arial"/>
          <w:sz w:val="14"/>
          <w:szCs w:val="14"/>
          <w:color w:val="auto"/>
        </w:rPr>
      </w:pPr>
      <w:r>
        <w:rPr>
          <w:rFonts w:ascii="Arial" w:cs="Arial" w:eastAsia="Arial" w:hAnsi="Arial"/>
          <w:sz w:val="14"/>
          <w:szCs w:val="14"/>
          <w:color w:val="auto"/>
        </w:rPr>
        <w:t>2215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-133350</wp:posOffset>
            </wp:positionV>
            <wp:extent cx="1052830" cy="762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1052830" cy="7620"/>
                    </a:xfrm>
                    <a:prstGeom prst="rect">
                      <a:avLst/>
                    </a:prstGeom>
                    <a:noFill/>
                  </pic:spPr>
                </pic:pic>
              </a:graphicData>
            </a:graphic>
          </wp:anchor>
        </w:drawing>
        <w:drawing>
          <wp:anchor simplePos="0" relativeHeight="251657728" behindDoc="1" locked="0" layoutInCell="0" allowOverlap="1">
            <wp:simplePos x="0" y="0"/>
            <wp:positionH relativeFrom="column">
              <wp:posOffset>-205105</wp:posOffset>
            </wp:positionH>
            <wp:positionV relativeFrom="paragraph">
              <wp:posOffset>11430</wp:posOffset>
            </wp:positionV>
            <wp:extent cx="1052830" cy="762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1052830" cy="7620"/>
                    </a:xfrm>
                    <a:prstGeom prst="rect">
                      <a:avLst/>
                    </a:prstGeom>
                    <a:noFill/>
                  </pic:spPr>
                </pic:pic>
              </a:graphicData>
            </a:graphic>
          </wp:anchor>
        </w:drawing>
      </w:r>
    </w:p>
    <w:p>
      <w:pPr>
        <w:spacing w:after="0" w:line="47" w:lineRule="exact"/>
        <w:rPr>
          <w:sz w:val="20"/>
          <w:szCs w:val="20"/>
          <w:color w:val="auto"/>
        </w:rPr>
      </w:pPr>
    </w:p>
    <w:p>
      <w:pPr>
        <w:spacing w:after="0"/>
        <w:tabs>
          <w:tab w:leader="none" w:pos="820" w:val="left"/>
        </w:tabs>
        <w:rPr>
          <w:sz w:val="20"/>
          <w:szCs w:val="20"/>
          <w:color w:val="auto"/>
        </w:rPr>
      </w:pPr>
      <w:r>
        <w:rPr>
          <w:rFonts w:ascii="Arial" w:cs="Arial" w:eastAsia="Arial" w:hAnsi="Arial"/>
          <w:sz w:val="14"/>
          <w:szCs w:val="14"/>
          <w:color w:val="auto"/>
        </w:rPr>
        <w:t>1,372</w:t>
      </w:r>
      <w:r>
        <w:rPr>
          <w:sz w:val="20"/>
          <w:szCs w:val="20"/>
          <w:color w:val="auto"/>
        </w:rPr>
        <w:tab/>
      </w:r>
      <w:r>
        <w:rPr>
          <w:rFonts w:ascii="Arial" w:cs="Arial" w:eastAsia="Arial" w:hAnsi="Arial"/>
          <w:sz w:val="14"/>
          <w:szCs w:val="14"/>
          <w:color w:val="auto"/>
        </w:rPr>
        <w:t>1,115</w:t>
      </w:r>
    </w:p>
    <w:p>
      <w:pPr>
        <w:spacing w:after="0" w:line="55" w:lineRule="exact"/>
        <w:rPr>
          <w:sz w:val="20"/>
          <w:szCs w:val="20"/>
          <w:color w:val="auto"/>
        </w:rPr>
      </w:pPr>
    </w:p>
    <w:p>
      <w:pPr>
        <w:ind w:left="80"/>
        <w:spacing w:after="0"/>
        <w:tabs>
          <w:tab w:leader="none" w:pos="1080" w:val="left"/>
        </w:tabs>
        <w:rPr>
          <w:sz w:val="20"/>
          <w:szCs w:val="20"/>
          <w:color w:val="auto"/>
        </w:rPr>
      </w:pPr>
      <w:r>
        <w:rPr>
          <w:rFonts w:ascii="Arial" w:cs="Arial" w:eastAsia="Arial" w:hAnsi="Arial"/>
          <w:sz w:val="14"/>
          <w:szCs w:val="14"/>
          <w:color w:val="auto"/>
        </w:rPr>
        <w:t>(100 )</w:t>
      </w:r>
      <w:r>
        <w:rPr>
          <w:sz w:val="20"/>
          <w:szCs w:val="20"/>
          <w:color w:val="auto"/>
        </w:rPr>
        <w:tab/>
      </w:r>
      <w:r>
        <w:rPr>
          <w:rFonts w:ascii="Arial" w:cs="Arial" w:eastAsia="Arial" w:hAnsi="Arial"/>
          <w:sz w:val="14"/>
          <w:szCs w:val="14"/>
          <w:color w:val="auto"/>
        </w:rPr>
        <w:t>--</w:t>
      </w:r>
    </w:p>
    <w:p>
      <w:pPr>
        <w:spacing w:after="0" w:line="55" w:lineRule="exact"/>
        <w:rPr>
          <w:sz w:val="20"/>
          <w:szCs w:val="20"/>
          <w:color w:val="auto"/>
        </w:rPr>
      </w:pPr>
    </w:p>
    <w:p>
      <w:pPr>
        <w:jc w:val="right"/>
        <w:ind w:right="2020"/>
        <w:spacing w:after="0"/>
        <w:tabs>
          <w:tab w:leader="none" w:pos="180" w:val="left"/>
        </w:tabs>
        <w:rPr>
          <w:sz w:val="20"/>
          <w:szCs w:val="20"/>
          <w:color w:val="auto"/>
        </w:rPr>
      </w:pPr>
      <w:r>
        <w:rPr>
          <w:rFonts w:ascii="Arial" w:cs="Arial" w:eastAsia="Arial" w:hAnsi="Arial"/>
          <w:sz w:val="14"/>
          <w:szCs w:val="14"/>
          <w:color w:val="auto"/>
        </w:rPr>
        <w:t>(2 )</w:t>
      </w:r>
      <w:r>
        <w:rPr>
          <w:sz w:val="20"/>
          <w:szCs w:val="20"/>
          <w:color w:val="auto"/>
        </w:rPr>
        <w:tab/>
      </w:r>
      <w:r>
        <w:rPr>
          <w:rFonts w:ascii="Arial" w:cs="Arial" w:eastAsia="Arial" w:hAnsi="Arial"/>
          <w:sz w:val="13"/>
          <w:szCs w:val="13"/>
          <w:color w:val="auto"/>
        </w:rPr>
        <w:t>(2 )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11430</wp:posOffset>
            </wp:positionV>
            <wp:extent cx="1052830" cy="762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1052830" cy="7620"/>
                    </a:xfrm>
                    <a:prstGeom prst="rect">
                      <a:avLst/>
                    </a:prstGeom>
                    <a:noFill/>
                  </pic:spPr>
                </pic:pic>
              </a:graphicData>
            </a:graphic>
          </wp:anchor>
        </w:drawing>
      </w:r>
    </w:p>
    <w:p>
      <w:pPr>
        <w:spacing w:after="0" w:line="47" w:lineRule="exact"/>
        <w:rPr>
          <w:sz w:val="20"/>
          <w:szCs w:val="20"/>
          <w:color w:val="auto"/>
        </w:rPr>
      </w:pPr>
    </w:p>
    <w:p>
      <w:pPr>
        <w:spacing w:after="0"/>
        <w:tabs>
          <w:tab w:leader="none" w:pos="820" w:val="left"/>
        </w:tabs>
        <w:rPr>
          <w:sz w:val="20"/>
          <w:szCs w:val="20"/>
          <w:color w:val="auto"/>
        </w:rPr>
      </w:pPr>
      <w:r>
        <w:rPr>
          <w:rFonts w:ascii="Arial" w:cs="Arial" w:eastAsia="Arial" w:hAnsi="Arial"/>
          <w:sz w:val="14"/>
          <w:szCs w:val="14"/>
          <w:color w:val="auto"/>
        </w:rPr>
        <w:t>1,270</w:t>
      </w:r>
      <w:r>
        <w:rPr>
          <w:sz w:val="20"/>
          <w:szCs w:val="20"/>
          <w:color w:val="auto"/>
        </w:rPr>
        <w:tab/>
      </w:r>
      <w:r>
        <w:rPr>
          <w:rFonts w:ascii="Arial" w:cs="Arial" w:eastAsia="Arial" w:hAnsi="Arial"/>
          <w:sz w:val="14"/>
          <w:szCs w:val="14"/>
          <w:color w:val="auto"/>
        </w:rPr>
        <w:t>1,113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11430</wp:posOffset>
            </wp:positionV>
            <wp:extent cx="1052830" cy="762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1052830" cy="7620"/>
                    </a:xfrm>
                    <a:prstGeom prst="rect">
                      <a:avLst/>
                    </a:prstGeom>
                    <a:noFill/>
                  </pic:spPr>
                </pic:pic>
              </a:graphicData>
            </a:graphic>
          </wp:anchor>
        </w:drawing>
      </w:r>
    </w:p>
    <w:p>
      <w:pPr>
        <w:spacing w:after="0" w:line="212" w:lineRule="exact"/>
        <w:rPr>
          <w:sz w:val="20"/>
          <w:szCs w:val="20"/>
          <w:color w:val="auto"/>
        </w:rPr>
      </w:pPr>
    </w:p>
    <w:p>
      <w:pPr>
        <w:sectPr>
          <w:pgSz w:w="11900" w:h="16838" w:orient="portrait"/>
          <w:cols w:equalWidth="0" w:num="2">
            <w:col w:w="7300" w:space="720"/>
            <w:col w:w="3300"/>
          </w:cols>
          <w:pgMar w:left="240" w:top="395" w:right="339" w:bottom="1440" w:gutter="0" w:footer="0" w:header="0"/>
          <w:type w:val="continuous"/>
        </w:sectPr>
      </w:pPr>
    </w:p>
    <w:p>
      <w:pPr>
        <w:spacing w:after="0" w:line="386" w:lineRule="exact"/>
        <w:rPr>
          <w:sz w:val="20"/>
          <w:szCs w:val="20"/>
          <w:color w:val="auto"/>
        </w:rPr>
      </w:pPr>
    </w:p>
    <w:p>
      <w:pPr>
        <w:spacing w:after="0"/>
        <w:rPr>
          <w:sz w:val="20"/>
          <w:szCs w:val="20"/>
          <w:color w:val="auto"/>
        </w:rPr>
      </w:pPr>
      <w:r>
        <w:rPr>
          <w:rFonts w:ascii="Arial" w:cs="Arial" w:eastAsia="Arial" w:hAnsi="Arial"/>
          <w:sz w:val="13"/>
          <w:szCs w:val="13"/>
          <w:color w:val="auto"/>
        </w:rPr>
        <w:t>126</w:t>
      </w:r>
    </w:p>
    <w:p>
      <w:pPr>
        <w:sectPr>
          <w:pgSz w:w="11900" w:h="16838" w:orient="portrait"/>
          <w:cols w:equalWidth="0" w:num="1">
            <w:col w:w="11320"/>
          </w:cols>
          <w:pgMar w:left="240" w:top="395" w:right="339" w:bottom="1440" w:gutter="0" w:footer="0" w:header="0"/>
          <w:type w:val="continuous"/>
        </w:sectPr>
      </w:pPr>
    </w:p>
    <w:bookmarkStart w:id="266" w:name="page267"/>
    <w:bookmarkEnd w:id="266"/>
    <w:tbl>
      <w:tblPr>
        <w:tblLayout w:type="fixed"/>
        <w:tblInd w:w="2060" w:type="dxa"/>
        <w:tblCellMar>
          <w:top w:w="0" w:type="dxa"/>
          <w:left w:w="0" w:type="dxa"/>
          <w:bottom w:w="0" w:type="dxa"/>
          <w:right w:w="0" w:type="dxa"/>
        </w:tblCellMar>
      </w:tblPr>
      <w:tr>
        <w:trPr>
          <w:trHeight w:val="190"/>
        </w:trPr>
        <w:tc>
          <w:tcPr>
            <w:tcW w:w="5660" w:type="dxa"/>
            <w:vAlign w:val="bottom"/>
          </w:tcPr>
          <w:p>
            <w:pPr>
              <w:spacing w:after="0"/>
              <w:rPr>
                <w:sz w:val="20"/>
                <w:szCs w:val="20"/>
                <w:color w:val="auto"/>
              </w:rPr>
            </w:pPr>
            <w:r>
              <w:rPr>
                <w:rFonts w:ascii="Arial" w:cs="Arial" w:eastAsia="Arial" w:hAnsi="Arial"/>
                <w:sz w:val="14"/>
                <w:szCs w:val="14"/>
                <w:b w:val="1"/>
                <w:bCs w:val="1"/>
                <w:color w:val="auto"/>
              </w:rPr>
              <w:t>Other Sempra Energy</w:t>
            </w:r>
          </w:p>
        </w:tc>
        <w:tc>
          <w:tcPr>
            <w:tcW w:w="98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216"/>
        </w:trPr>
        <w:tc>
          <w:tcPr>
            <w:tcW w:w="5660" w:type="dxa"/>
            <w:vAlign w:val="bottom"/>
          </w:tcPr>
          <w:p>
            <w:pPr>
              <w:spacing w:after="0"/>
              <w:rPr>
                <w:sz w:val="20"/>
                <w:szCs w:val="20"/>
                <w:color w:val="auto"/>
              </w:rPr>
            </w:pPr>
            <w:r>
              <w:rPr>
                <w:rFonts w:ascii="Arial" w:cs="Arial" w:eastAsia="Arial" w:hAnsi="Arial"/>
                <w:sz w:val="14"/>
                <w:szCs w:val="14"/>
                <w:color w:val="auto"/>
              </w:rPr>
              <w:t>First mortgage bonds:</w:t>
            </w:r>
          </w:p>
        </w:tc>
        <w:tc>
          <w:tcPr>
            <w:tcW w:w="98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16"/>
        </w:trPr>
        <w:tc>
          <w:tcPr>
            <w:tcW w:w="5660" w:type="dxa"/>
            <w:vAlign w:val="bottom"/>
          </w:tcPr>
          <w:p>
            <w:pPr>
              <w:ind w:left="140"/>
              <w:spacing w:after="0"/>
              <w:rPr>
                <w:sz w:val="20"/>
                <w:szCs w:val="20"/>
                <w:color w:val="auto"/>
              </w:rPr>
            </w:pPr>
            <w:r>
              <w:rPr>
                <w:rFonts w:ascii="Arial" w:cs="Arial" w:eastAsia="Arial" w:hAnsi="Arial"/>
                <w:sz w:val="14"/>
                <w:szCs w:val="14"/>
                <w:color w:val="auto"/>
              </w:rPr>
              <w:t>6.9% payable 2009 through 2017</w:t>
            </w:r>
          </w:p>
        </w:tc>
        <w:tc>
          <w:tcPr>
            <w:tcW w:w="980" w:type="dxa"/>
            <w:vAlign w:val="bottom"/>
          </w:tcPr>
          <w:p>
            <w:pPr>
              <w:jc w:val="right"/>
              <w:ind w:right="228"/>
              <w:spacing w:after="0"/>
              <w:rPr>
                <w:sz w:val="20"/>
                <w:szCs w:val="20"/>
                <w:color w:val="auto"/>
              </w:rPr>
            </w:pPr>
            <w:r>
              <w:rPr>
                <w:rFonts w:ascii="Arial" w:cs="Arial" w:eastAsia="Arial" w:hAnsi="Arial"/>
                <w:sz w:val="14"/>
                <w:szCs w:val="14"/>
                <w:color w:val="auto"/>
              </w:rPr>
              <w:t>8</w:t>
            </w:r>
          </w:p>
        </w:tc>
        <w:tc>
          <w:tcPr>
            <w:tcW w:w="680" w:type="dxa"/>
            <w:vAlign w:val="bottom"/>
          </w:tcPr>
          <w:p>
            <w:pPr>
              <w:jc w:val="right"/>
              <w:ind w:right="68"/>
              <w:spacing w:after="0"/>
              <w:rPr>
                <w:sz w:val="20"/>
                <w:szCs w:val="20"/>
                <w:color w:val="auto"/>
              </w:rPr>
            </w:pPr>
            <w:r>
              <w:rPr>
                <w:rFonts w:ascii="Arial" w:cs="Arial" w:eastAsia="Arial" w:hAnsi="Arial"/>
                <w:sz w:val="14"/>
                <w:szCs w:val="14"/>
                <w:color w:val="auto"/>
              </w:rPr>
              <w:t>--</w:t>
            </w:r>
          </w:p>
        </w:tc>
      </w:tr>
      <w:tr>
        <w:trPr>
          <w:trHeight w:val="216"/>
        </w:trPr>
        <w:tc>
          <w:tcPr>
            <w:tcW w:w="5660" w:type="dxa"/>
            <w:vAlign w:val="bottom"/>
          </w:tcPr>
          <w:p>
            <w:pPr>
              <w:ind w:left="140"/>
              <w:spacing w:after="0"/>
              <w:rPr>
                <w:sz w:val="20"/>
                <w:szCs w:val="20"/>
                <w:color w:val="auto"/>
              </w:rPr>
            </w:pPr>
            <w:r>
              <w:rPr>
                <w:rFonts w:ascii="Arial" w:cs="Arial" w:eastAsia="Arial" w:hAnsi="Arial"/>
                <w:sz w:val="14"/>
                <w:szCs w:val="14"/>
                <w:color w:val="auto"/>
              </w:rPr>
              <w:t>8.75% payable 2009 through 2022</w:t>
            </w:r>
          </w:p>
        </w:tc>
        <w:tc>
          <w:tcPr>
            <w:tcW w:w="980" w:type="dxa"/>
            <w:vAlign w:val="bottom"/>
          </w:tcPr>
          <w:p>
            <w:pPr>
              <w:jc w:val="right"/>
              <w:ind w:right="228"/>
              <w:spacing w:after="0"/>
              <w:rPr>
                <w:sz w:val="20"/>
                <w:szCs w:val="20"/>
                <w:color w:val="auto"/>
              </w:rPr>
            </w:pPr>
            <w:r>
              <w:rPr>
                <w:rFonts w:ascii="Arial" w:cs="Arial" w:eastAsia="Arial" w:hAnsi="Arial"/>
                <w:sz w:val="14"/>
                <w:szCs w:val="14"/>
                <w:color w:val="auto"/>
              </w:rPr>
              <w:t>9</w:t>
            </w:r>
          </w:p>
        </w:tc>
        <w:tc>
          <w:tcPr>
            <w:tcW w:w="680" w:type="dxa"/>
            <w:vAlign w:val="bottom"/>
          </w:tcPr>
          <w:p>
            <w:pPr>
              <w:jc w:val="right"/>
              <w:ind w:right="68"/>
              <w:spacing w:after="0"/>
              <w:rPr>
                <w:sz w:val="20"/>
                <w:szCs w:val="20"/>
                <w:color w:val="auto"/>
              </w:rPr>
            </w:pPr>
            <w:r>
              <w:rPr>
                <w:rFonts w:ascii="Arial" w:cs="Arial" w:eastAsia="Arial" w:hAnsi="Arial"/>
                <w:sz w:val="14"/>
                <w:szCs w:val="14"/>
                <w:color w:val="auto"/>
              </w:rPr>
              <w:t>--</w:t>
            </w:r>
          </w:p>
        </w:tc>
      </w:tr>
      <w:tr>
        <w:trPr>
          <w:trHeight w:val="222"/>
        </w:trPr>
        <w:tc>
          <w:tcPr>
            <w:tcW w:w="5660" w:type="dxa"/>
            <w:vAlign w:val="bottom"/>
          </w:tcPr>
          <w:p>
            <w:pPr>
              <w:ind w:left="140"/>
              <w:spacing w:after="0"/>
              <w:rPr>
                <w:sz w:val="20"/>
                <w:szCs w:val="20"/>
                <w:color w:val="auto"/>
              </w:rPr>
            </w:pPr>
            <w:r>
              <w:rPr>
                <w:rFonts w:ascii="Arial" w:cs="Arial" w:eastAsia="Arial" w:hAnsi="Arial"/>
                <w:sz w:val="14"/>
                <w:szCs w:val="14"/>
                <w:color w:val="auto"/>
              </w:rPr>
              <w:t>7.48% payable 2009 through 2023</w:t>
            </w:r>
          </w:p>
        </w:tc>
        <w:tc>
          <w:tcPr>
            <w:tcW w:w="98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7</w:t>
            </w:r>
          </w:p>
        </w:tc>
        <w:tc>
          <w:tcPr>
            <w:tcW w:w="6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r>
      <w:tr>
        <w:trPr>
          <w:trHeight w:val="202"/>
        </w:trPr>
        <w:tc>
          <w:tcPr>
            <w:tcW w:w="5660" w:type="dxa"/>
            <w:vAlign w:val="bottom"/>
          </w:tcPr>
          <w:p>
            <w:pPr>
              <w:spacing w:after="0"/>
              <w:rPr>
                <w:sz w:val="17"/>
                <w:szCs w:val="17"/>
                <w:color w:val="auto"/>
              </w:rPr>
            </w:pPr>
          </w:p>
        </w:tc>
        <w:tc>
          <w:tcPr>
            <w:tcW w:w="98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24</w:t>
            </w:r>
          </w:p>
        </w:tc>
        <w:tc>
          <w:tcPr>
            <w:tcW w:w="6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r>
      <w:tr>
        <w:trPr>
          <w:trHeight w:val="208"/>
        </w:trPr>
        <w:tc>
          <w:tcPr>
            <w:tcW w:w="5660" w:type="dxa"/>
            <w:vAlign w:val="bottom"/>
          </w:tcPr>
          <w:p>
            <w:pPr>
              <w:spacing w:after="0"/>
              <w:rPr>
                <w:sz w:val="20"/>
                <w:szCs w:val="20"/>
                <w:color w:val="auto"/>
              </w:rPr>
            </w:pPr>
            <w:r>
              <w:rPr>
                <w:rFonts w:ascii="Arial" w:cs="Arial" w:eastAsia="Arial" w:hAnsi="Arial"/>
                <w:sz w:val="14"/>
                <w:szCs w:val="14"/>
                <w:color w:val="auto"/>
              </w:rPr>
              <w:t>Other long-term debt (unsecured unless otherwise noted):</w:t>
            </w:r>
          </w:p>
        </w:tc>
        <w:tc>
          <w:tcPr>
            <w:tcW w:w="98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188"/>
        </w:trPr>
        <w:tc>
          <w:tcPr>
            <w:tcW w:w="5660" w:type="dxa"/>
            <w:vAlign w:val="bottom"/>
          </w:tcPr>
          <w:p>
            <w:pPr>
              <w:ind w:left="140"/>
              <w:spacing w:after="0"/>
              <w:rPr>
                <w:sz w:val="20"/>
                <w:szCs w:val="20"/>
                <w:color w:val="auto"/>
              </w:rPr>
            </w:pPr>
            <w:r>
              <w:rPr>
                <w:rFonts w:ascii="Arial" w:cs="Arial" w:eastAsia="Arial" w:hAnsi="Arial"/>
                <w:sz w:val="14"/>
                <w:szCs w:val="14"/>
                <w:color w:val="auto"/>
              </w:rPr>
              <w:t>Commercial paper borrowings at variable rates, classified as long-term debt</w:t>
            </w:r>
          </w:p>
        </w:tc>
        <w:tc>
          <w:tcPr>
            <w:tcW w:w="98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172"/>
        </w:trPr>
        <w:tc>
          <w:tcPr>
            <w:tcW w:w="5660" w:type="dxa"/>
            <w:vAlign w:val="bottom"/>
          </w:tcPr>
          <w:p>
            <w:pPr>
              <w:ind w:left="320"/>
              <w:spacing w:after="0"/>
              <w:rPr>
                <w:sz w:val="20"/>
                <w:szCs w:val="20"/>
                <w:color w:val="auto"/>
              </w:rPr>
            </w:pPr>
            <w:r>
              <w:rPr>
                <w:rFonts w:ascii="Arial" w:cs="Arial" w:eastAsia="Arial" w:hAnsi="Arial"/>
                <w:sz w:val="14"/>
                <w:szCs w:val="14"/>
                <w:color w:val="auto"/>
              </w:rPr>
              <w:t>(5.22% weighted average at December 31, 2008)</w:t>
            </w:r>
          </w:p>
        </w:tc>
        <w:tc>
          <w:tcPr>
            <w:tcW w:w="980" w:type="dxa"/>
            <w:vAlign w:val="bottom"/>
          </w:tcPr>
          <w:p>
            <w:pPr>
              <w:jc w:val="right"/>
              <w:ind w:right="228"/>
              <w:spacing w:after="0"/>
              <w:rPr>
                <w:sz w:val="20"/>
                <w:szCs w:val="20"/>
                <w:color w:val="auto"/>
              </w:rPr>
            </w:pPr>
            <w:r>
              <w:rPr>
                <w:rFonts w:ascii="Arial" w:cs="Arial" w:eastAsia="Arial" w:hAnsi="Arial"/>
                <w:sz w:val="14"/>
                <w:szCs w:val="14"/>
                <w:color w:val="auto"/>
              </w:rPr>
              <w:t>600</w:t>
            </w:r>
          </w:p>
        </w:tc>
        <w:tc>
          <w:tcPr>
            <w:tcW w:w="680" w:type="dxa"/>
            <w:vAlign w:val="bottom"/>
          </w:tcPr>
          <w:p>
            <w:pPr>
              <w:jc w:val="right"/>
              <w:ind w:right="68"/>
              <w:spacing w:after="0"/>
              <w:rPr>
                <w:sz w:val="20"/>
                <w:szCs w:val="20"/>
                <w:color w:val="auto"/>
              </w:rPr>
            </w:pPr>
            <w:r>
              <w:rPr>
                <w:rFonts w:ascii="Arial" w:cs="Arial" w:eastAsia="Arial" w:hAnsi="Arial"/>
                <w:sz w:val="14"/>
                <w:szCs w:val="14"/>
                <w:color w:val="auto"/>
              </w:rPr>
              <w:t>--</w:t>
            </w:r>
          </w:p>
        </w:tc>
      </w:tr>
      <w:tr>
        <w:trPr>
          <w:trHeight w:val="216"/>
        </w:trPr>
        <w:tc>
          <w:tcPr>
            <w:tcW w:w="5660" w:type="dxa"/>
            <w:vAlign w:val="bottom"/>
          </w:tcPr>
          <w:p>
            <w:pPr>
              <w:ind w:left="140"/>
              <w:spacing w:after="0"/>
              <w:rPr>
                <w:sz w:val="20"/>
                <w:szCs w:val="20"/>
                <w:color w:val="auto"/>
              </w:rPr>
            </w:pPr>
            <w:r>
              <w:rPr>
                <w:rFonts w:ascii="Arial" w:cs="Arial" w:eastAsia="Arial" w:hAnsi="Arial"/>
                <w:sz w:val="14"/>
                <w:szCs w:val="14"/>
                <w:color w:val="auto"/>
              </w:rPr>
              <w:t>9.8% Notes February 15, 2019</w:t>
            </w:r>
          </w:p>
        </w:tc>
        <w:tc>
          <w:tcPr>
            <w:tcW w:w="980" w:type="dxa"/>
            <w:vAlign w:val="bottom"/>
          </w:tcPr>
          <w:p>
            <w:pPr>
              <w:jc w:val="right"/>
              <w:ind w:right="228"/>
              <w:spacing w:after="0"/>
              <w:rPr>
                <w:sz w:val="20"/>
                <w:szCs w:val="20"/>
                <w:color w:val="auto"/>
              </w:rPr>
            </w:pPr>
            <w:r>
              <w:rPr>
                <w:rFonts w:ascii="Arial" w:cs="Arial" w:eastAsia="Arial" w:hAnsi="Arial"/>
                <w:sz w:val="14"/>
                <w:szCs w:val="14"/>
                <w:color w:val="auto"/>
              </w:rPr>
              <w:t>500</w:t>
            </w:r>
          </w:p>
        </w:tc>
        <w:tc>
          <w:tcPr>
            <w:tcW w:w="680" w:type="dxa"/>
            <w:vAlign w:val="bottom"/>
          </w:tcPr>
          <w:p>
            <w:pPr>
              <w:jc w:val="right"/>
              <w:ind w:right="68"/>
              <w:spacing w:after="0"/>
              <w:rPr>
                <w:sz w:val="20"/>
                <w:szCs w:val="20"/>
                <w:color w:val="auto"/>
              </w:rPr>
            </w:pPr>
            <w:r>
              <w:rPr>
                <w:rFonts w:ascii="Arial" w:cs="Arial" w:eastAsia="Arial" w:hAnsi="Arial"/>
                <w:sz w:val="14"/>
                <w:szCs w:val="14"/>
                <w:color w:val="auto"/>
              </w:rPr>
              <w:t>--</w:t>
            </w:r>
          </w:p>
        </w:tc>
      </w:tr>
      <w:tr>
        <w:trPr>
          <w:trHeight w:val="216"/>
        </w:trPr>
        <w:tc>
          <w:tcPr>
            <w:tcW w:w="5660" w:type="dxa"/>
            <w:vAlign w:val="bottom"/>
          </w:tcPr>
          <w:p>
            <w:pPr>
              <w:ind w:left="140"/>
              <w:spacing w:after="0"/>
              <w:rPr>
                <w:sz w:val="20"/>
                <w:szCs w:val="20"/>
                <w:color w:val="auto"/>
              </w:rPr>
            </w:pPr>
            <w:r>
              <w:rPr>
                <w:rFonts w:ascii="Arial" w:cs="Arial" w:eastAsia="Arial" w:hAnsi="Arial"/>
                <w:sz w:val="14"/>
                <w:szCs w:val="14"/>
                <w:color w:val="auto"/>
              </w:rPr>
              <w:t>6.15% Notes June 15, 2018</w:t>
            </w:r>
          </w:p>
        </w:tc>
        <w:tc>
          <w:tcPr>
            <w:tcW w:w="980" w:type="dxa"/>
            <w:vAlign w:val="bottom"/>
          </w:tcPr>
          <w:p>
            <w:pPr>
              <w:jc w:val="right"/>
              <w:ind w:right="228"/>
              <w:spacing w:after="0"/>
              <w:rPr>
                <w:sz w:val="20"/>
                <w:szCs w:val="20"/>
                <w:color w:val="auto"/>
              </w:rPr>
            </w:pPr>
            <w:r>
              <w:rPr>
                <w:rFonts w:ascii="Arial" w:cs="Arial" w:eastAsia="Arial" w:hAnsi="Arial"/>
                <w:sz w:val="14"/>
                <w:szCs w:val="14"/>
                <w:color w:val="auto"/>
              </w:rPr>
              <w:t>500</w:t>
            </w:r>
          </w:p>
        </w:tc>
        <w:tc>
          <w:tcPr>
            <w:tcW w:w="680" w:type="dxa"/>
            <w:vAlign w:val="bottom"/>
          </w:tcPr>
          <w:p>
            <w:pPr>
              <w:jc w:val="right"/>
              <w:ind w:right="68"/>
              <w:spacing w:after="0"/>
              <w:rPr>
                <w:sz w:val="20"/>
                <w:szCs w:val="20"/>
                <w:color w:val="auto"/>
              </w:rPr>
            </w:pPr>
            <w:r>
              <w:rPr>
                <w:rFonts w:ascii="Arial" w:cs="Arial" w:eastAsia="Arial" w:hAnsi="Arial"/>
                <w:sz w:val="14"/>
                <w:szCs w:val="14"/>
                <w:color w:val="auto"/>
              </w:rPr>
              <w:t>--</w:t>
            </w:r>
          </w:p>
        </w:tc>
      </w:tr>
      <w:tr>
        <w:trPr>
          <w:trHeight w:val="216"/>
        </w:trPr>
        <w:tc>
          <w:tcPr>
            <w:tcW w:w="5660" w:type="dxa"/>
            <w:vAlign w:val="bottom"/>
          </w:tcPr>
          <w:p>
            <w:pPr>
              <w:ind w:left="140"/>
              <w:spacing w:after="0"/>
              <w:rPr>
                <w:sz w:val="20"/>
                <w:szCs w:val="20"/>
                <w:color w:val="auto"/>
              </w:rPr>
            </w:pPr>
            <w:r>
              <w:rPr>
                <w:rFonts w:ascii="Arial" w:cs="Arial" w:eastAsia="Arial" w:hAnsi="Arial"/>
                <w:sz w:val="14"/>
                <w:szCs w:val="14"/>
                <w:color w:val="auto"/>
              </w:rPr>
              <w:t>6% Notes February 1, 2013</w:t>
            </w:r>
          </w:p>
        </w:tc>
        <w:tc>
          <w:tcPr>
            <w:tcW w:w="980" w:type="dxa"/>
            <w:vAlign w:val="bottom"/>
          </w:tcPr>
          <w:p>
            <w:pPr>
              <w:jc w:val="right"/>
              <w:ind w:right="228"/>
              <w:spacing w:after="0"/>
              <w:rPr>
                <w:sz w:val="20"/>
                <w:szCs w:val="20"/>
                <w:color w:val="auto"/>
              </w:rPr>
            </w:pPr>
            <w:r>
              <w:rPr>
                <w:rFonts w:ascii="Arial" w:cs="Arial" w:eastAsia="Arial" w:hAnsi="Arial"/>
                <w:sz w:val="14"/>
                <w:szCs w:val="14"/>
                <w:color w:val="auto"/>
              </w:rPr>
              <w:t>400</w:t>
            </w:r>
          </w:p>
        </w:tc>
        <w:tc>
          <w:tcPr>
            <w:tcW w:w="680" w:type="dxa"/>
            <w:vAlign w:val="bottom"/>
          </w:tcPr>
          <w:p>
            <w:pPr>
              <w:jc w:val="right"/>
              <w:ind w:right="68"/>
              <w:spacing w:after="0"/>
              <w:rPr>
                <w:sz w:val="20"/>
                <w:szCs w:val="20"/>
                <w:color w:val="auto"/>
              </w:rPr>
            </w:pPr>
            <w:r>
              <w:rPr>
                <w:rFonts w:ascii="Arial" w:cs="Arial" w:eastAsia="Arial" w:hAnsi="Arial"/>
                <w:sz w:val="14"/>
                <w:szCs w:val="14"/>
                <w:color w:val="auto"/>
              </w:rPr>
              <w:t>400</w:t>
            </w:r>
          </w:p>
        </w:tc>
      </w:tr>
      <w:tr>
        <w:trPr>
          <w:trHeight w:val="188"/>
        </w:trPr>
        <w:tc>
          <w:tcPr>
            <w:tcW w:w="5660" w:type="dxa"/>
            <w:vAlign w:val="bottom"/>
          </w:tcPr>
          <w:p>
            <w:pPr>
              <w:ind w:left="140"/>
              <w:spacing w:after="0"/>
              <w:rPr>
                <w:sz w:val="20"/>
                <w:szCs w:val="20"/>
                <w:color w:val="auto"/>
              </w:rPr>
            </w:pPr>
            <w:r>
              <w:rPr>
                <w:rFonts w:ascii="Arial" w:cs="Arial" w:eastAsia="Arial" w:hAnsi="Arial"/>
                <w:sz w:val="14"/>
                <w:szCs w:val="14"/>
                <w:color w:val="auto"/>
              </w:rPr>
              <w:t>Notes at variable rates after fixed-to-floating swap (5.06% at December 31, 2008)</w:t>
            </w:r>
          </w:p>
        </w:tc>
        <w:tc>
          <w:tcPr>
            <w:tcW w:w="98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172"/>
        </w:trPr>
        <w:tc>
          <w:tcPr>
            <w:tcW w:w="5660" w:type="dxa"/>
            <w:vAlign w:val="bottom"/>
          </w:tcPr>
          <w:p>
            <w:pPr>
              <w:ind w:left="320"/>
              <w:spacing w:after="0"/>
              <w:rPr>
                <w:sz w:val="20"/>
                <w:szCs w:val="20"/>
                <w:color w:val="auto"/>
              </w:rPr>
            </w:pPr>
            <w:r>
              <w:rPr>
                <w:rFonts w:ascii="Arial" w:cs="Arial" w:eastAsia="Arial" w:hAnsi="Arial"/>
                <w:sz w:val="14"/>
                <w:szCs w:val="14"/>
                <w:color w:val="auto"/>
              </w:rPr>
              <w:t>March 1, 2010</w:t>
            </w:r>
          </w:p>
        </w:tc>
        <w:tc>
          <w:tcPr>
            <w:tcW w:w="980" w:type="dxa"/>
            <w:vAlign w:val="bottom"/>
          </w:tcPr>
          <w:p>
            <w:pPr>
              <w:jc w:val="right"/>
              <w:ind w:right="228"/>
              <w:spacing w:after="0"/>
              <w:rPr>
                <w:sz w:val="20"/>
                <w:szCs w:val="20"/>
                <w:color w:val="auto"/>
              </w:rPr>
            </w:pPr>
            <w:r>
              <w:rPr>
                <w:rFonts w:ascii="Arial" w:cs="Arial" w:eastAsia="Arial" w:hAnsi="Arial"/>
                <w:sz w:val="14"/>
                <w:szCs w:val="14"/>
                <w:color w:val="auto"/>
              </w:rPr>
              <w:t>300</w:t>
            </w:r>
          </w:p>
        </w:tc>
        <w:tc>
          <w:tcPr>
            <w:tcW w:w="680" w:type="dxa"/>
            <w:vAlign w:val="bottom"/>
          </w:tcPr>
          <w:p>
            <w:pPr>
              <w:jc w:val="right"/>
              <w:ind w:right="68"/>
              <w:spacing w:after="0"/>
              <w:rPr>
                <w:sz w:val="20"/>
                <w:szCs w:val="20"/>
                <w:color w:val="auto"/>
              </w:rPr>
            </w:pPr>
            <w:r>
              <w:rPr>
                <w:rFonts w:ascii="Arial" w:cs="Arial" w:eastAsia="Arial" w:hAnsi="Arial"/>
                <w:sz w:val="14"/>
                <w:szCs w:val="14"/>
                <w:color w:val="auto"/>
              </w:rPr>
              <w:t>300</w:t>
            </w:r>
          </w:p>
        </w:tc>
      </w:tr>
      <w:tr>
        <w:trPr>
          <w:trHeight w:val="216"/>
        </w:trPr>
        <w:tc>
          <w:tcPr>
            <w:tcW w:w="5660" w:type="dxa"/>
            <w:vAlign w:val="bottom"/>
          </w:tcPr>
          <w:p>
            <w:pPr>
              <w:ind w:left="140"/>
              <w:spacing w:after="0"/>
              <w:rPr>
                <w:sz w:val="20"/>
                <w:szCs w:val="20"/>
                <w:color w:val="auto"/>
              </w:rPr>
            </w:pPr>
            <w:r>
              <w:rPr>
                <w:rFonts w:ascii="Arial" w:cs="Arial" w:eastAsia="Arial" w:hAnsi="Arial"/>
                <w:sz w:val="14"/>
                <w:szCs w:val="14"/>
                <w:color w:val="auto"/>
              </w:rPr>
              <w:t>4.75% Notes May 15, 2009</w:t>
            </w:r>
          </w:p>
        </w:tc>
        <w:tc>
          <w:tcPr>
            <w:tcW w:w="980" w:type="dxa"/>
            <w:vAlign w:val="bottom"/>
          </w:tcPr>
          <w:p>
            <w:pPr>
              <w:jc w:val="right"/>
              <w:ind w:right="228"/>
              <w:spacing w:after="0"/>
              <w:rPr>
                <w:sz w:val="20"/>
                <w:szCs w:val="20"/>
                <w:color w:val="auto"/>
              </w:rPr>
            </w:pPr>
            <w:r>
              <w:rPr>
                <w:rFonts w:ascii="Arial" w:cs="Arial" w:eastAsia="Arial" w:hAnsi="Arial"/>
                <w:sz w:val="14"/>
                <w:szCs w:val="14"/>
                <w:color w:val="auto"/>
              </w:rPr>
              <w:t>300</w:t>
            </w:r>
          </w:p>
        </w:tc>
        <w:tc>
          <w:tcPr>
            <w:tcW w:w="680" w:type="dxa"/>
            <w:vAlign w:val="bottom"/>
          </w:tcPr>
          <w:p>
            <w:pPr>
              <w:jc w:val="right"/>
              <w:ind w:right="68"/>
              <w:spacing w:after="0"/>
              <w:rPr>
                <w:sz w:val="20"/>
                <w:szCs w:val="20"/>
                <w:color w:val="auto"/>
              </w:rPr>
            </w:pPr>
            <w:r>
              <w:rPr>
                <w:rFonts w:ascii="Arial" w:cs="Arial" w:eastAsia="Arial" w:hAnsi="Arial"/>
                <w:sz w:val="14"/>
                <w:szCs w:val="14"/>
                <w:color w:val="auto"/>
              </w:rPr>
              <w:t>300</w:t>
            </w:r>
          </w:p>
        </w:tc>
      </w:tr>
      <w:tr>
        <w:trPr>
          <w:trHeight w:val="216"/>
        </w:trPr>
        <w:tc>
          <w:tcPr>
            <w:tcW w:w="5660" w:type="dxa"/>
            <w:vAlign w:val="bottom"/>
          </w:tcPr>
          <w:p>
            <w:pPr>
              <w:ind w:left="140"/>
              <w:spacing w:after="0"/>
              <w:rPr>
                <w:sz w:val="20"/>
                <w:szCs w:val="20"/>
                <w:color w:val="auto"/>
              </w:rPr>
            </w:pPr>
            <w:r>
              <w:rPr>
                <w:rFonts w:ascii="Arial" w:cs="Arial" w:eastAsia="Arial" w:hAnsi="Arial"/>
                <w:sz w:val="14"/>
                <w:szCs w:val="14"/>
                <w:color w:val="auto"/>
              </w:rPr>
              <w:t>8.9% Notes November 15, 2013</w:t>
            </w:r>
          </w:p>
        </w:tc>
        <w:tc>
          <w:tcPr>
            <w:tcW w:w="980" w:type="dxa"/>
            <w:vAlign w:val="bottom"/>
          </w:tcPr>
          <w:p>
            <w:pPr>
              <w:jc w:val="right"/>
              <w:ind w:right="228"/>
              <w:spacing w:after="0"/>
              <w:rPr>
                <w:sz w:val="20"/>
                <w:szCs w:val="20"/>
                <w:color w:val="auto"/>
              </w:rPr>
            </w:pPr>
            <w:r>
              <w:rPr>
                <w:rFonts w:ascii="Arial" w:cs="Arial" w:eastAsia="Arial" w:hAnsi="Arial"/>
                <w:sz w:val="14"/>
                <w:szCs w:val="14"/>
                <w:color w:val="auto"/>
              </w:rPr>
              <w:t>250</w:t>
            </w:r>
          </w:p>
        </w:tc>
        <w:tc>
          <w:tcPr>
            <w:tcW w:w="680" w:type="dxa"/>
            <w:vAlign w:val="bottom"/>
          </w:tcPr>
          <w:p>
            <w:pPr>
              <w:jc w:val="right"/>
              <w:ind w:right="68"/>
              <w:spacing w:after="0"/>
              <w:rPr>
                <w:sz w:val="20"/>
                <w:szCs w:val="20"/>
                <w:color w:val="auto"/>
              </w:rPr>
            </w:pPr>
            <w:r>
              <w:rPr>
                <w:rFonts w:ascii="Arial" w:cs="Arial" w:eastAsia="Arial" w:hAnsi="Arial"/>
                <w:sz w:val="14"/>
                <w:szCs w:val="14"/>
                <w:color w:val="auto"/>
              </w:rPr>
              <w:t>--</w:t>
            </w:r>
          </w:p>
        </w:tc>
      </w:tr>
      <w:tr>
        <w:trPr>
          <w:trHeight w:val="216"/>
        </w:trPr>
        <w:tc>
          <w:tcPr>
            <w:tcW w:w="5660" w:type="dxa"/>
            <w:vAlign w:val="bottom"/>
          </w:tcPr>
          <w:p>
            <w:pPr>
              <w:ind w:left="140"/>
              <w:spacing w:after="0"/>
              <w:rPr>
                <w:sz w:val="20"/>
                <w:szCs w:val="20"/>
                <w:color w:val="auto"/>
              </w:rPr>
            </w:pPr>
            <w:r>
              <w:rPr>
                <w:rFonts w:ascii="Arial" w:cs="Arial" w:eastAsia="Arial" w:hAnsi="Arial"/>
                <w:sz w:val="14"/>
                <w:szCs w:val="14"/>
                <w:color w:val="auto"/>
              </w:rPr>
              <w:t>7.95% Notes March 1, 2010</w:t>
            </w:r>
          </w:p>
        </w:tc>
        <w:tc>
          <w:tcPr>
            <w:tcW w:w="980" w:type="dxa"/>
            <w:vAlign w:val="bottom"/>
          </w:tcPr>
          <w:p>
            <w:pPr>
              <w:jc w:val="right"/>
              <w:ind w:right="228"/>
              <w:spacing w:after="0"/>
              <w:rPr>
                <w:sz w:val="20"/>
                <w:szCs w:val="20"/>
                <w:color w:val="auto"/>
              </w:rPr>
            </w:pPr>
            <w:r>
              <w:rPr>
                <w:rFonts w:ascii="Arial" w:cs="Arial" w:eastAsia="Arial" w:hAnsi="Arial"/>
                <w:sz w:val="14"/>
                <w:szCs w:val="14"/>
                <w:color w:val="auto"/>
              </w:rPr>
              <w:t>200</w:t>
            </w:r>
          </w:p>
        </w:tc>
        <w:tc>
          <w:tcPr>
            <w:tcW w:w="680" w:type="dxa"/>
            <w:vAlign w:val="bottom"/>
          </w:tcPr>
          <w:p>
            <w:pPr>
              <w:jc w:val="right"/>
              <w:ind w:right="68"/>
              <w:spacing w:after="0"/>
              <w:rPr>
                <w:sz w:val="20"/>
                <w:szCs w:val="20"/>
                <w:color w:val="auto"/>
              </w:rPr>
            </w:pPr>
            <w:r>
              <w:rPr>
                <w:rFonts w:ascii="Arial" w:cs="Arial" w:eastAsia="Arial" w:hAnsi="Arial"/>
                <w:sz w:val="14"/>
                <w:szCs w:val="14"/>
                <w:color w:val="auto"/>
              </w:rPr>
              <w:t>200</w:t>
            </w:r>
          </w:p>
        </w:tc>
      </w:tr>
      <w:tr>
        <w:trPr>
          <w:trHeight w:val="216"/>
        </w:trPr>
        <w:tc>
          <w:tcPr>
            <w:tcW w:w="5660" w:type="dxa"/>
            <w:vAlign w:val="bottom"/>
          </w:tcPr>
          <w:p>
            <w:pPr>
              <w:ind w:left="140"/>
              <w:spacing w:after="0"/>
              <w:rPr>
                <w:sz w:val="20"/>
                <w:szCs w:val="20"/>
                <w:color w:val="auto"/>
              </w:rPr>
            </w:pPr>
            <w:r>
              <w:rPr>
                <w:rFonts w:ascii="Arial" w:cs="Arial" w:eastAsia="Arial" w:hAnsi="Arial"/>
                <w:sz w:val="14"/>
                <w:szCs w:val="14"/>
                <w:color w:val="auto"/>
              </w:rPr>
              <w:t>6.3% Notes December 31, 2021 (1)</w:t>
            </w:r>
          </w:p>
        </w:tc>
        <w:tc>
          <w:tcPr>
            <w:tcW w:w="980" w:type="dxa"/>
            <w:vAlign w:val="bottom"/>
          </w:tcPr>
          <w:p>
            <w:pPr>
              <w:jc w:val="right"/>
              <w:ind w:right="228"/>
              <w:spacing w:after="0"/>
              <w:rPr>
                <w:sz w:val="20"/>
                <w:szCs w:val="20"/>
                <w:color w:val="auto"/>
              </w:rPr>
            </w:pPr>
            <w:r>
              <w:rPr>
                <w:rFonts w:ascii="Arial" w:cs="Arial" w:eastAsia="Arial" w:hAnsi="Arial"/>
                <w:sz w:val="14"/>
                <w:szCs w:val="14"/>
                <w:color w:val="auto"/>
              </w:rPr>
              <w:t>128</w:t>
            </w:r>
          </w:p>
        </w:tc>
        <w:tc>
          <w:tcPr>
            <w:tcW w:w="680" w:type="dxa"/>
            <w:vAlign w:val="bottom"/>
          </w:tcPr>
          <w:p>
            <w:pPr>
              <w:jc w:val="right"/>
              <w:ind w:right="68"/>
              <w:spacing w:after="0"/>
              <w:rPr>
                <w:sz w:val="20"/>
                <w:szCs w:val="20"/>
                <w:color w:val="auto"/>
              </w:rPr>
            </w:pPr>
            <w:r>
              <w:rPr>
                <w:rFonts w:ascii="Arial" w:cs="Arial" w:eastAsia="Arial" w:hAnsi="Arial"/>
                <w:sz w:val="14"/>
                <w:szCs w:val="14"/>
                <w:color w:val="auto"/>
              </w:rPr>
              <w:t>128</w:t>
            </w:r>
          </w:p>
        </w:tc>
      </w:tr>
      <w:tr>
        <w:trPr>
          <w:trHeight w:val="216"/>
        </w:trPr>
        <w:tc>
          <w:tcPr>
            <w:tcW w:w="5660" w:type="dxa"/>
            <w:vAlign w:val="bottom"/>
          </w:tcPr>
          <w:p>
            <w:pPr>
              <w:ind w:left="140"/>
              <w:spacing w:after="0"/>
              <w:rPr>
                <w:sz w:val="20"/>
                <w:szCs w:val="20"/>
                <w:color w:val="auto"/>
              </w:rPr>
            </w:pPr>
            <w:r>
              <w:rPr>
                <w:rFonts w:ascii="Arial" w:cs="Arial" w:eastAsia="Arial" w:hAnsi="Arial"/>
                <w:sz w:val="14"/>
                <w:szCs w:val="14"/>
                <w:color w:val="auto"/>
              </w:rPr>
              <w:t>Employee Stock Ownership Plan</w:t>
            </w:r>
          </w:p>
        </w:tc>
        <w:tc>
          <w:tcPr>
            <w:tcW w:w="980" w:type="dxa"/>
            <w:vAlign w:val="bottom"/>
          </w:tcPr>
          <w:p>
            <w:pPr>
              <w:spacing w:after="0"/>
              <w:rPr>
                <w:sz w:val="18"/>
                <w:szCs w:val="18"/>
                <w:color w:val="auto"/>
              </w:rPr>
            </w:pPr>
          </w:p>
        </w:tc>
        <w:tc>
          <w:tcPr>
            <w:tcW w:w="680" w:type="dxa"/>
            <w:vAlign w:val="bottom"/>
          </w:tcPr>
          <w:p>
            <w:pPr>
              <w:spacing w:after="0"/>
              <w:rPr>
                <w:sz w:val="18"/>
                <w:szCs w:val="18"/>
                <w:color w:val="auto"/>
              </w:rPr>
            </w:pPr>
          </w:p>
        </w:tc>
      </w:tr>
    </w:tbl>
    <w:p>
      <w:pPr>
        <w:spacing w:after="0" w:line="44" w:lineRule="exact"/>
        <w:rPr>
          <w:sz w:val="20"/>
          <w:szCs w:val="20"/>
          <w:color w:val="auto"/>
        </w:rPr>
      </w:pPr>
    </w:p>
    <w:p>
      <w:pPr>
        <w:sectPr>
          <w:pgSz w:w="11900" w:h="16838" w:orient="portrait"/>
          <w:cols w:equalWidth="0" w:num="1">
            <w:col w:w="11380"/>
          </w:cols>
          <w:pgMar w:left="240" w:top="376" w:right="279" w:bottom="1440" w:gutter="0" w:footer="0" w:header="0"/>
        </w:sectPr>
      </w:pPr>
    </w:p>
    <w:p>
      <w:pPr>
        <w:ind w:left="2540"/>
        <w:spacing w:after="0"/>
        <w:rPr>
          <w:sz w:val="20"/>
          <w:szCs w:val="20"/>
          <w:color w:val="auto"/>
        </w:rPr>
      </w:pPr>
      <w:r>
        <w:rPr>
          <w:rFonts w:ascii="Arial" w:cs="Arial" w:eastAsia="Arial" w:hAnsi="Arial"/>
          <w:sz w:val="14"/>
          <w:szCs w:val="14"/>
          <w:color w:val="auto"/>
        </w:rPr>
        <w:t>Bonds at 5.781% (fixed through July 1, 2010) November 1, 2014 (1)</w:t>
      </w:r>
    </w:p>
    <w:p>
      <w:pPr>
        <w:spacing w:after="0" w:line="55" w:lineRule="exact"/>
        <w:rPr>
          <w:sz w:val="20"/>
          <w:szCs w:val="20"/>
          <w:color w:val="auto"/>
        </w:rPr>
      </w:pPr>
    </w:p>
    <w:p>
      <w:pPr>
        <w:ind w:left="2540"/>
        <w:spacing w:after="0"/>
        <w:rPr>
          <w:sz w:val="20"/>
          <w:szCs w:val="20"/>
          <w:color w:val="auto"/>
        </w:rPr>
      </w:pPr>
      <w:r>
        <w:rPr>
          <w:rFonts w:ascii="Arial" w:cs="Arial" w:eastAsia="Arial" w:hAnsi="Arial"/>
          <w:sz w:val="14"/>
          <w:szCs w:val="14"/>
          <w:color w:val="auto"/>
        </w:rPr>
        <w:t>Bonds at variable rates (5.26% at December 31, 2008) November 1, 2014 (1)</w:t>
      </w:r>
    </w:p>
    <w:p>
      <w:pPr>
        <w:spacing w:after="0" w:line="55" w:lineRule="exact"/>
        <w:rPr>
          <w:sz w:val="20"/>
          <w:szCs w:val="20"/>
          <w:color w:val="auto"/>
        </w:rPr>
      </w:pPr>
    </w:p>
    <w:p>
      <w:pPr>
        <w:ind w:left="2200"/>
        <w:spacing w:after="0"/>
        <w:rPr>
          <w:sz w:val="20"/>
          <w:szCs w:val="20"/>
          <w:color w:val="auto"/>
        </w:rPr>
      </w:pPr>
      <w:r>
        <w:rPr>
          <w:rFonts w:ascii="Arial" w:cs="Arial" w:eastAsia="Arial" w:hAnsi="Arial"/>
          <w:sz w:val="14"/>
          <w:szCs w:val="14"/>
          <w:color w:val="auto"/>
        </w:rPr>
        <w:t>Notes at 2.87% to 5.05% payable 2010 through 2013 (1)</w:t>
      </w:r>
    </w:p>
    <w:p>
      <w:pPr>
        <w:spacing w:after="0" w:line="31" w:lineRule="exact"/>
        <w:rPr>
          <w:sz w:val="20"/>
          <w:szCs w:val="20"/>
          <w:color w:val="auto"/>
        </w:rPr>
      </w:pPr>
    </w:p>
    <w:p>
      <w:pPr>
        <w:ind w:left="2200"/>
        <w:spacing w:after="0"/>
        <w:rPr>
          <w:sz w:val="20"/>
          <w:szCs w:val="20"/>
          <w:color w:val="auto"/>
        </w:rPr>
      </w:pPr>
      <w:r>
        <w:rPr>
          <w:rFonts w:ascii="Arial" w:cs="Arial" w:eastAsia="Arial" w:hAnsi="Arial"/>
          <w:sz w:val="14"/>
          <w:szCs w:val="14"/>
          <w:color w:val="auto"/>
        </w:rPr>
        <w:t>Industrial development bond at variable rates (1.05% at December 31, 2008)</w:t>
      </w:r>
    </w:p>
    <w:p>
      <w:pPr>
        <w:spacing w:after="0" w:line="7" w:lineRule="exact"/>
        <w:rPr>
          <w:sz w:val="20"/>
          <w:szCs w:val="20"/>
          <w:color w:val="auto"/>
        </w:rPr>
      </w:pPr>
    </w:p>
    <w:p>
      <w:pPr>
        <w:ind w:left="2380"/>
        <w:spacing w:after="0"/>
        <w:rPr>
          <w:sz w:val="20"/>
          <w:szCs w:val="20"/>
          <w:color w:val="auto"/>
        </w:rPr>
      </w:pPr>
      <w:r>
        <w:rPr>
          <w:rFonts w:ascii="Arial" w:cs="Arial" w:eastAsia="Arial" w:hAnsi="Arial"/>
          <w:sz w:val="14"/>
          <w:szCs w:val="14"/>
          <w:color w:val="auto"/>
        </w:rPr>
        <w:t>August 1, 2037, secured (1)</w:t>
      </w:r>
    </w:p>
    <w:p>
      <w:pPr>
        <w:spacing w:after="0" w:line="31" w:lineRule="exact"/>
        <w:rPr>
          <w:sz w:val="20"/>
          <w:szCs w:val="20"/>
          <w:color w:val="auto"/>
        </w:rPr>
      </w:pPr>
    </w:p>
    <w:p>
      <w:pPr>
        <w:ind w:left="2380" w:right="280" w:hanging="167"/>
        <w:spacing w:after="0" w:line="267" w:lineRule="auto"/>
        <w:rPr>
          <w:sz w:val="20"/>
          <w:szCs w:val="20"/>
          <w:color w:val="auto"/>
        </w:rPr>
      </w:pPr>
      <w:r>
        <w:rPr>
          <w:rFonts w:ascii="Arial" w:cs="Arial" w:eastAsia="Arial" w:hAnsi="Arial"/>
          <w:sz w:val="14"/>
          <w:szCs w:val="14"/>
          <w:color w:val="auto"/>
        </w:rPr>
        <w:t>Debt incurred to acquire limited partnerships, secured by real estate, at 8.05% January 15, 2009</w:t>
      </w:r>
    </w:p>
    <w:p>
      <w:pPr>
        <w:spacing w:after="0" w:line="26" w:lineRule="exact"/>
        <w:rPr>
          <w:sz w:val="20"/>
          <w:szCs w:val="20"/>
          <w:color w:val="auto"/>
        </w:rPr>
      </w:pPr>
    </w:p>
    <w:p>
      <w:pPr>
        <w:ind w:left="2200"/>
        <w:spacing w:after="0"/>
        <w:rPr>
          <w:sz w:val="20"/>
          <w:szCs w:val="20"/>
          <w:color w:val="auto"/>
        </w:rPr>
      </w:pPr>
      <w:r>
        <w:rPr>
          <w:rFonts w:ascii="Arial" w:cs="Arial" w:eastAsia="Arial" w:hAnsi="Arial"/>
          <w:sz w:val="14"/>
          <w:szCs w:val="14"/>
          <w:color w:val="auto"/>
        </w:rPr>
        <w:t>8.45% Notes payable 2009 through 2017, secured</w:t>
      </w:r>
    </w:p>
    <w:p>
      <w:pPr>
        <w:spacing w:after="0" w:line="55" w:lineRule="exact"/>
        <w:rPr>
          <w:sz w:val="20"/>
          <w:szCs w:val="20"/>
          <w:color w:val="auto"/>
        </w:rPr>
      </w:pPr>
    </w:p>
    <w:p>
      <w:pPr>
        <w:ind w:left="2200"/>
        <w:spacing w:after="0"/>
        <w:rPr>
          <w:sz w:val="20"/>
          <w:szCs w:val="20"/>
          <w:color w:val="auto"/>
        </w:rPr>
      </w:pPr>
      <w:r>
        <w:rPr>
          <w:rFonts w:ascii="Arial" w:cs="Arial" w:eastAsia="Arial" w:hAnsi="Arial"/>
          <w:sz w:val="14"/>
          <w:szCs w:val="14"/>
          <w:color w:val="auto"/>
        </w:rPr>
        <w:t>Other debt</w:t>
      </w:r>
    </w:p>
    <w:p>
      <w:pPr>
        <w:spacing w:after="0" w:line="67" w:lineRule="exact"/>
        <w:rPr>
          <w:sz w:val="20"/>
          <w:szCs w:val="20"/>
          <w:color w:val="auto"/>
        </w:rPr>
      </w:pPr>
    </w:p>
    <w:p>
      <w:pPr>
        <w:ind w:left="2200"/>
        <w:spacing w:after="0"/>
        <w:rPr>
          <w:sz w:val="20"/>
          <w:szCs w:val="20"/>
          <w:color w:val="auto"/>
        </w:rPr>
      </w:pPr>
      <w:r>
        <w:rPr>
          <w:rFonts w:ascii="Arial" w:cs="Arial" w:eastAsia="Arial" w:hAnsi="Arial"/>
          <w:sz w:val="14"/>
          <w:szCs w:val="14"/>
          <w:color w:val="auto"/>
        </w:rPr>
        <w:t>Market value adjustments for interest-rate swap, net (expiring March 1, 2010)</w:t>
      </w:r>
    </w:p>
    <w:p>
      <w:pPr>
        <w:spacing w:after="0" w:line="200" w:lineRule="exact"/>
        <w:rPr>
          <w:sz w:val="20"/>
          <w:szCs w:val="20"/>
          <w:color w:val="auto"/>
        </w:rPr>
      </w:pPr>
    </w:p>
    <w:p>
      <w:pPr>
        <w:spacing w:after="0" w:line="300" w:lineRule="exact"/>
        <w:rPr>
          <w:sz w:val="20"/>
          <w:szCs w:val="20"/>
          <w:color w:val="auto"/>
        </w:rPr>
      </w:pPr>
    </w:p>
    <w:p>
      <w:pPr>
        <w:ind w:left="2060"/>
        <w:spacing w:after="0"/>
        <w:rPr>
          <w:sz w:val="20"/>
          <w:szCs w:val="20"/>
          <w:color w:val="auto"/>
        </w:rPr>
      </w:pPr>
      <w:r>
        <w:rPr>
          <w:rFonts w:ascii="Arial" w:cs="Arial" w:eastAsia="Arial" w:hAnsi="Arial"/>
          <w:sz w:val="14"/>
          <w:szCs w:val="14"/>
          <w:color w:val="auto"/>
        </w:rPr>
        <w:t>Current portion of long-term debt</w:t>
      </w:r>
    </w:p>
    <w:p>
      <w:pPr>
        <w:spacing w:after="0" w:line="67" w:lineRule="exact"/>
        <w:rPr>
          <w:sz w:val="20"/>
          <w:szCs w:val="20"/>
          <w:color w:val="auto"/>
        </w:rPr>
      </w:pPr>
    </w:p>
    <w:p>
      <w:pPr>
        <w:ind w:left="2060"/>
        <w:spacing w:after="0"/>
        <w:rPr>
          <w:sz w:val="20"/>
          <w:szCs w:val="20"/>
          <w:color w:val="auto"/>
        </w:rPr>
      </w:pPr>
      <w:r>
        <w:rPr>
          <w:rFonts w:ascii="Arial" w:cs="Arial" w:eastAsia="Arial" w:hAnsi="Arial"/>
          <w:sz w:val="14"/>
          <w:szCs w:val="14"/>
          <w:color w:val="auto"/>
        </w:rPr>
        <w:t>Unamortized discount on long-term debt</w:t>
      </w:r>
    </w:p>
    <w:p>
      <w:pPr>
        <w:spacing w:after="0" w:line="67" w:lineRule="exact"/>
        <w:rPr>
          <w:sz w:val="20"/>
          <w:szCs w:val="20"/>
          <w:color w:val="auto"/>
        </w:rPr>
      </w:pPr>
    </w:p>
    <w:p>
      <w:pPr>
        <w:ind w:left="2060"/>
        <w:spacing w:after="0"/>
        <w:rPr>
          <w:sz w:val="20"/>
          <w:szCs w:val="20"/>
          <w:color w:val="auto"/>
        </w:rPr>
      </w:pPr>
      <w:r>
        <w:rPr>
          <w:rFonts w:ascii="Arial" w:cs="Arial" w:eastAsia="Arial" w:hAnsi="Arial"/>
          <w:sz w:val="14"/>
          <w:szCs w:val="14"/>
          <w:color w:val="auto"/>
        </w:rPr>
        <w:t>Total other Sempra Energy</w:t>
      </w:r>
    </w:p>
    <w:p>
      <w:pPr>
        <w:spacing w:after="0" w:line="37" w:lineRule="exact"/>
        <w:rPr>
          <w:sz w:val="20"/>
          <w:szCs w:val="20"/>
          <w:color w:val="auto"/>
        </w:rPr>
      </w:pPr>
    </w:p>
    <w:p>
      <w:pPr>
        <w:ind w:left="2060"/>
        <w:spacing w:after="0"/>
        <w:rPr>
          <w:sz w:val="20"/>
          <w:szCs w:val="20"/>
          <w:color w:val="auto"/>
        </w:rPr>
      </w:pPr>
      <w:r>
        <w:rPr>
          <w:rFonts w:ascii="Arial" w:cs="Arial" w:eastAsia="Arial" w:hAnsi="Arial"/>
          <w:sz w:val="14"/>
          <w:szCs w:val="14"/>
          <w:b w:val="1"/>
          <w:bCs w:val="1"/>
          <w:color w:val="auto"/>
        </w:rPr>
        <w:t>Total Sempra Energy Consolidated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1294130</wp:posOffset>
            </wp:positionH>
            <wp:positionV relativeFrom="paragraph">
              <wp:posOffset>22860</wp:posOffset>
            </wp:positionV>
            <wp:extent cx="4668520" cy="2286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4668520" cy="228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2"/>
        </w:trPr>
        <w:tc>
          <w:tcPr>
            <w:tcW w:w="840" w:type="dxa"/>
            <w:vAlign w:val="bottom"/>
          </w:tcPr>
          <w:p>
            <w:pPr>
              <w:jc w:val="right"/>
              <w:ind w:right="88"/>
              <w:spacing w:after="0"/>
              <w:rPr>
                <w:sz w:val="20"/>
                <w:szCs w:val="20"/>
                <w:color w:val="auto"/>
              </w:rPr>
            </w:pPr>
            <w:r>
              <w:rPr>
                <w:rFonts w:ascii="Arial" w:cs="Arial" w:eastAsia="Arial" w:hAnsi="Arial"/>
                <w:sz w:val="14"/>
                <w:szCs w:val="14"/>
                <w:color w:val="auto"/>
              </w:rPr>
              <w:t>50</w:t>
            </w: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50</w:t>
            </w:r>
          </w:p>
        </w:tc>
      </w:tr>
      <w:tr>
        <w:trPr>
          <w:trHeight w:val="216"/>
        </w:trPr>
        <w:tc>
          <w:tcPr>
            <w:tcW w:w="840" w:type="dxa"/>
            <w:vAlign w:val="bottom"/>
          </w:tcPr>
          <w:p>
            <w:pPr>
              <w:jc w:val="right"/>
              <w:ind w:right="88"/>
              <w:spacing w:after="0"/>
              <w:rPr>
                <w:sz w:val="20"/>
                <w:szCs w:val="20"/>
                <w:color w:val="auto"/>
              </w:rPr>
            </w:pPr>
            <w:r>
              <w:rPr>
                <w:rFonts w:ascii="Arial" w:cs="Arial" w:eastAsia="Arial" w:hAnsi="Arial"/>
                <w:sz w:val="14"/>
                <w:szCs w:val="14"/>
                <w:color w:val="auto"/>
              </w:rPr>
              <w:t>22</w:t>
            </w: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33</w:t>
            </w:r>
          </w:p>
        </w:tc>
      </w:tr>
      <w:tr>
        <w:trPr>
          <w:trHeight w:val="216"/>
        </w:trPr>
        <w:tc>
          <w:tcPr>
            <w:tcW w:w="840" w:type="dxa"/>
            <w:vAlign w:val="bottom"/>
          </w:tcPr>
          <w:p>
            <w:pPr>
              <w:jc w:val="right"/>
              <w:ind w:right="88"/>
              <w:spacing w:after="0"/>
              <w:rPr>
                <w:sz w:val="20"/>
                <w:szCs w:val="20"/>
                <w:color w:val="auto"/>
              </w:rPr>
            </w:pPr>
            <w:r>
              <w:rPr>
                <w:rFonts w:ascii="Arial" w:cs="Arial" w:eastAsia="Arial" w:hAnsi="Arial"/>
                <w:sz w:val="14"/>
                <w:szCs w:val="14"/>
                <w:color w:val="auto"/>
              </w:rPr>
              <w:t>58</w:t>
            </w: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41</w:t>
            </w:r>
          </w:p>
        </w:tc>
      </w:tr>
      <w:tr>
        <w:trPr>
          <w:trHeight w:val="360"/>
        </w:trPr>
        <w:tc>
          <w:tcPr>
            <w:tcW w:w="840" w:type="dxa"/>
            <w:vAlign w:val="bottom"/>
          </w:tcPr>
          <w:p>
            <w:pPr>
              <w:jc w:val="right"/>
              <w:ind w:right="88"/>
              <w:spacing w:after="0"/>
              <w:rPr>
                <w:sz w:val="20"/>
                <w:szCs w:val="20"/>
                <w:color w:val="auto"/>
              </w:rPr>
            </w:pPr>
            <w:r>
              <w:rPr>
                <w:rFonts w:ascii="Arial" w:cs="Arial" w:eastAsia="Arial" w:hAnsi="Arial"/>
                <w:sz w:val="14"/>
                <w:szCs w:val="14"/>
                <w:color w:val="auto"/>
              </w:rPr>
              <w:t>55</w:t>
            </w: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w:t>
            </w:r>
          </w:p>
        </w:tc>
      </w:tr>
      <w:tr>
        <w:trPr>
          <w:trHeight w:val="360"/>
        </w:trPr>
        <w:tc>
          <w:tcPr>
            <w:tcW w:w="840" w:type="dxa"/>
            <w:vAlign w:val="bottom"/>
          </w:tcPr>
          <w:p>
            <w:pPr>
              <w:jc w:val="right"/>
              <w:ind w:right="88"/>
              <w:spacing w:after="0"/>
              <w:rPr>
                <w:sz w:val="20"/>
                <w:szCs w:val="20"/>
                <w:color w:val="auto"/>
              </w:rPr>
            </w:pPr>
            <w:r>
              <w:rPr>
                <w:rFonts w:ascii="Arial" w:cs="Arial" w:eastAsia="Arial" w:hAnsi="Arial"/>
                <w:sz w:val="14"/>
                <w:szCs w:val="14"/>
                <w:color w:val="auto"/>
              </w:rPr>
              <w:t>2</w:t>
            </w: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9</w:t>
            </w:r>
          </w:p>
        </w:tc>
      </w:tr>
      <w:tr>
        <w:trPr>
          <w:trHeight w:val="216"/>
        </w:trPr>
        <w:tc>
          <w:tcPr>
            <w:tcW w:w="840" w:type="dxa"/>
            <w:vAlign w:val="bottom"/>
          </w:tcPr>
          <w:p>
            <w:pPr>
              <w:jc w:val="right"/>
              <w:ind w:right="88"/>
              <w:spacing w:after="0"/>
              <w:rPr>
                <w:sz w:val="20"/>
                <w:szCs w:val="20"/>
                <w:color w:val="auto"/>
              </w:rPr>
            </w:pPr>
            <w:r>
              <w:rPr>
                <w:rFonts w:ascii="Arial" w:cs="Arial" w:eastAsia="Arial" w:hAnsi="Arial"/>
                <w:sz w:val="14"/>
                <w:szCs w:val="14"/>
                <w:color w:val="auto"/>
              </w:rPr>
              <w:t>39</w:t>
            </w: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w:t>
            </w:r>
          </w:p>
        </w:tc>
      </w:tr>
      <w:tr>
        <w:trPr>
          <w:trHeight w:val="216"/>
        </w:trPr>
        <w:tc>
          <w:tcPr>
            <w:tcW w:w="840" w:type="dxa"/>
            <w:vAlign w:val="bottom"/>
          </w:tcPr>
          <w:p>
            <w:pPr>
              <w:jc w:val="right"/>
              <w:ind w:right="88"/>
              <w:spacing w:after="0"/>
              <w:rPr>
                <w:sz w:val="20"/>
                <w:szCs w:val="20"/>
                <w:color w:val="auto"/>
              </w:rPr>
            </w:pPr>
            <w:r>
              <w:rPr>
                <w:rFonts w:ascii="Arial" w:cs="Arial" w:eastAsia="Arial" w:hAnsi="Arial"/>
                <w:sz w:val="14"/>
                <w:szCs w:val="14"/>
                <w:color w:val="auto"/>
              </w:rPr>
              <w:t>1</w:t>
            </w: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21</w:t>
            </w:r>
          </w:p>
        </w:tc>
      </w:tr>
      <w:tr>
        <w:trPr>
          <w:trHeight w:val="219"/>
        </w:trPr>
        <w:tc>
          <w:tcPr>
            <w:tcW w:w="8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15</w:t>
            </w:r>
          </w:p>
        </w:tc>
        <w:tc>
          <w:tcPr>
            <w:tcW w:w="8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9</w:t>
            </w:r>
          </w:p>
        </w:tc>
      </w:tr>
      <w:tr>
        <w:trPr>
          <w:trHeight w:val="208"/>
        </w:trPr>
        <w:tc>
          <w:tcPr>
            <w:tcW w:w="8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3,420</w:t>
            </w:r>
          </w:p>
        </w:tc>
        <w:tc>
          <w:tcPr>
            <w:tcW w:w="8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1,491</w:t>
            </w:r>
          </w:p>
        </w:tc>
      </w:tr>
      <w:tr>
        <w:trPr>
          <w:trHeight w:val="205"/>
        </w:trPr>
        <w:tc>
          <w:tcPr>
            <w:tcW w:w="840" w:type="dxa"/>
            <w:vAlign w:val="bottom"/>
          </w:tcPr>
          <w:p>
            <w:pPr>
              <w:jc w:val="right"/>
              <w:ind w:right="88"/>
              <w:spacing w:after="0"/>
              <w:rPr>
                <w:sz w:val="20"/>
                <w:szCs w:val="20"/>
                <w:color w:val="auto"/>
              </w:rPr>
            </w:pPr>
            <w:r>
              <w:rPr>
                <w:rFonts w:ascii="Arial" w:cs="Arial" w:eastAsia="Arial" w:hAnsi="Arial"/>
                <w:sz w:val="14"/>
                <w:szCs w:val="14"/>
                <w:color w:val="auto"/>
              </w:rPr>
              <w:t>3,444</w:t>
            </w: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1,491</w:t>
            </w:r>
          </w:p>
        </w:tc>
      </w:tr>
      <w:tr>
        <w:trPr>
          <w:trHeight w:val="216"/>
        </w:trPr>
        <w:tc>
          <w:tcPr>
            <w:tcW w:w="840" w:type="dxa"/>
            <w:vAlign w:val="bottom"/>
          </w:tcPr>
          <w:p>
            <w:pPr>
              <w:jc w:val="right"/>
              <w:ind w:right="8"/>
              <w:spacing w:after="0"/>
              <w:rPr>
                <w:sz w:val="20"/>
                <w:szCs w:val="20"/>
                <w:color w:val="auto"/>
              </w:rPr>
            </w:pPr>
            <w:r>
              <w:rPr>
                <w:rFonts w:ascii="Arial" w:cs="Arial" w:eastAsia="Arial" w:hAnsi="Arial"/>
                <w:sz w:val="14"/>
                <w:szCs w:val="14"/>
                <w:color w:val="auto"/>
              </w:rPr>
              <w:t>(308 )</w:t>
            </w:r>
          </w:p>
        </w:tc>
        <w:tc>
          <w:tcPr>
            <w:tcW w:w="820" w:type="dxa"/>
            <w:vAlign w:val="bottom"/>
          </w:tcPr>
          <w:p>
            <w:pPr>
              <w:jc w:val="right"/>
              <w:spacing w:after="0"/>
              <w:rPr>
                <w:sz w:val="20"/>
                <w:szCs w:val="20"/>
                <w:color w:val="auto"/>
              </w:rPr>
            </w:pPr>
            <w:r>
              <w:rPr>
                <w:rFonts w:ascii="Arial" w:cs="Arial" w:eastAsia="Arial" w:hAnsi="Arial"/>
                <w:sz w:val="14"/>
                <w:szCs w:val="14"/>
                <w:color w:val="auto"/>
              </w:rPr>
              <w:t>(7 )</w:t>
            </w:r>
          </w:p>
        </w:tc>
      </w:tr>
      <w:tr>
        <w:trPr>
          <w:trHeight w:val="219"/>
        </w:trPr>
        <w:tc>
          <w:tcPr>
            <w:tcW w:w="8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(4 )</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(2 )</w:t>
            </w:r>
          </w:p>
        </w:tc>
      </w:tr>
      <w:tr>
        <w:trPr>
          <w:trHeight w:val="208"/>
        </w:trPr>
        <w:tc>
          <w:tcPr>
            <w:tcW w:w="8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3,132</w:t>
            </w:r>
          </w:p>
        </w:tc>
        <w:tc>
          <w:tcPr>
            <w:tcW w:w="8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1,482</w:t>
            </w:r>
          </w:p>
        </w:tc>
      </w:tr>
      <w:tr>
        <w:trPr>
          <w:trHeight w:val="205"/>
        </w:trPr>
        <w:tc>
          <w:tcPr>
            <w:tcW w:w="840" w:type="dxa"/>
            <w:vAlign w:val="bottom"/>
          </w:tcPr>
          <w:p>
            <w:pPr>
              <w:jc w:val="right"/>
              <w:ind w:right="88"/>
              <w:spacing w:after="0"/>
              <w:rPr>
                <w:sz w:val="20"/>
                <w:szCs w:val="20"/>
                <w:color w:val="auto"/>
              </w:rPr>
            </w:pPr>
            <w:r>
              <w:rPr>
                <w:rFonts w:ascii="Arial" w:cs="Arial" w:eastAsia="Arial" w:hAnsi="Arial"/>
                <w:sz w:val="14"/>
                <w:szCs w:val="14"/>
                <w:color w:val="auto"/>
              </w:rPr>
              <w:t>$   6,544</w:t>
            </w: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  4,553</w:t>
            </w:r>
          </w:p>
        </w:tc>
      </w:tr>
    </w:tbl>
    <w:p>
      <w:pPr>
        <w:spacing w:after="0" w:line="58" w:lineRule="exact"/>
        <w:rPr>
          <w:sz w:val="20"/>
          <w:szCs w:val="20"/>
          <w:color w:val="auto"/>
        </w:rPr>
      </w:pPr>
    </w:p>
    <w:p>
      <w:pPr>
        <w:sectPr>
          <w:pgSz w:w="11900" w:h="16838" w:orient="portrait"/>
          <w:cols w:equalWidth="0" w:num="2">
            <w:col w:w="7460" w:space="260"/>
            <w:col w:w="3660"/>
          </w:cols>
          <w:pgMar w:left="240" w:top="376" w:right="279" w:bottom="1440" w:gutter="0" w:footer="0" w:header="0"/>
          <w:type w:val="continuous"/>
        </w:sectPr>
      </w:pPr>
    </w:p>
    <w:p>
      <w:pPr>
        <w:ind w:left="2360" w:hanging="310"/>
        <w:spacing w:after="0"/>
        <w:tabs>
          <w:tab w:leader="none" w:pos="2360" w:val="left"/>
        </w:tabs>
        <w:numPr>
          <w:ilvl w:val="0"/>
          <w:numId w:val="345"/>
        </w:numPr>
        <w:rPr>
          <w:rFonts w:ascii="Arial" w:cs="Arial" w:eastAsia="Arial" w:hAnsi="Arial"/>
          <w:sz w:val="13"/>
          <w:szCs w:val="13"/>
          <w:i w:val="1"/>
          <w:iCs w:val="1"/>
          <w:color w:val="auto"/>
        </w:rPr>
      </w:pPr>
      <w:r>
        <w:rPr>
          <w:rFonts w:ascii="Arial" w:cs="Arial" w:eastAsia="Arial" w:hAnsi="Arial"/>
          <w:sz w:val="13"/>
          <w:szCs w:val="13"/>
          <w:i w:val="1"/>
          <w:iCs w:val="1"/>
          <w:color w:val="auto"/>
        </w:rPr>
        <w:t>Callable long-term debt.</w:t>
      </w:r>
    </w:p>
    <w:p>
      <w:pPr>
        <w:spacing w:after="0" w:line="42" w:lineRule="exact"/>
        <w:rPr>
          <w:rFonts w:ascii="Arial" w:cs="Arial" w:eastAsia="Arial" w:hAnsi="Arial"/>
          <w:sz w:val="13"/>
          <w:szCs w:val="13"/>
          <w:i w:val="1"/>
          <w:iCs w:val="1"/>
          <w:color w:val="auto"/>
        </w:rPr>
      </w:pPr>
    </w:p>
    <w:p>
      <w:pPr>
        <w:ind w:left="2360" w:hanging="310"/>
        <w:spacing w:after="0"/>
        <w:tabs>
          <w:tab w:leader="none" w:pos="2360" w:val="left"/>
        </w:tabs>
        <w:numPr>
          <w:ilvl w:val="0"/>
          <w:numId w:val="345"/>
        </w:numPr>
        <w:rPr>
          <w:rFonts w:ascii="Arial" w:cs="Arial" w:eastAsia="Arial" w:hAnsi="Arial"/>
          <w:sz w:val="13"/>
          <w:szCs w:val="13"/>
          <w:i w:val="1"/>
          <w:iCs w:val="1"/>
          <w:color w:val="auto"/>
        </w:rPr>
      </w:pPr>
      <w:r>
        <w:rPr>
          <w:rFonts w:ascii="Arial" w:cs="Arial" w:eastAsia="Arial" w:hAnsi="Arial"/>
          <w:sz w:val="13"/>
          <w:szCs w:val="13"/>
          <w:i w:val="1"/>
          <w:iCs w:val="1"/>
          <w:color w:val="auto"/>
        </w:rPr>
        <w:t>After floating-to-fixed rate swaps expiring in 2009.</w:t>
      </w:r>
    </w:p>
    <w:p>
      <w:pPr>
        <w:spacing w:after="0" w:line="42" w:lineRule="exact"/>
        <w:rPr>
          <w:rFonts w:ascii="Arial" w:cs="Arial" w:eastAsia="Arial" w:hAnsi="Arial"/>
          <w:sz w:val="13"/>
          <w:szCs w:val="13"/>
          <w:i w:val="1"/>
          <w:iCs w:val="1"/>
          <w:color w:val="auto"/>
        </w:rPr>
      </w:pPr>
    </w:p>
    <w:p>
      <w:pPr>
        <w:ind w:left="2360" w:hanging="310"/>
        <w:spacing w:after="0"/>
        <w:tabs>
          <w:tab w:leader="none" w:pos="2360" w:val="left"/>
        </w:tabs>
        <w:numPr>
          <w:ilvl w:val="0"/>
          <w:numId w:val="345"/>
        </w:numPr>
        <w:rPr>
          <w:rFonts w:ascii="Arial" w:cs="Arial" w:eastAsia="Arial" w:hAnsi="Arial"/>
          <w:sz w:val="13"/>
          <w:szCs w:val="13"/>
          <w:i w:val="1"/>
          <w:iCs w:val="1"/>
          <w:color w:val="auto"/>
        </w:rPr>
      </w:pPr>
      <w:r>
        <w:rPr>
          <w:rFonts w:ascii="Arial" w:cs="Arial" w:eastAsia="Arial" w:hAnsi="Arial"/>
          <w:sz w:val="13"/>
          <w:szCs w:val="13"/>
          <w:i w:val="1"/>
          <w:iCs w:val="1"/>
          <w:color w:val="auto"/>
        </w:rPr>
        <w:t>After floating-to-fixed rate swaps expiring in 2019.</w:t>
      </w:r>
    </w:p>
    <w:p>
      <w:pPr>
        <w:spacing w:after="0" w:line="200" w:lineRule="exact"/>
        <w:rPr>
          <w:sz w:val="20"/>
          <w:szCs w:val="20"/>
          <w:color w:val="auto"/>
        </w:rPr>
      </w:pPr>
    </w:p>
    <w:p>
      <w:pPr>
        <w:spacing w:after="0" w:line="231" w:lineRule="exact"/>
        <w:rPr>
          <w:sz w:val="20"/>
          <w:szCs w:val="20"/>
          <w:color w:val="auto"/>
        </w:rPr>
      </w:pPr>
    </w:p>
    <w:p>
      <w:pPr>
        <w:ind w:left="2260"/>
        <w:spacing w:after="0"/>
        <w:rPr>
          <w:sz w:val="20"/>
          <w:szCs w:val="20"/>
          <w:color w:val="auto"/>
        </w:rPr>
      </w:pPr>
      <w:r>
        <w:rPr>
          <w:rFonts w:ascii="Arial" w:cs="Arial" w:eastAsia="Arial" w:hAnsi="Arial"/>
          <w:sz w:val="14"/>
          <w:szCs w:val="14"/>
          <w:b w:val="1"/>
          <w:bCs w:val="1"/>
          <w:color w:val="auto"/>
        </w:rPr>
        <w:t>MATURITIES OF LONG-TERM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1431290</wp:posOffset>
            </wp:positionH>
            <wp:positionV relativeFrom="paragraph">
              <wp:posOffset>-99060</wp:posOffset>
            </wp:positionV>
            <wp:extent cx="4401185" cy="23622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4401185" cy="236220"/>
                    </a:xfrm>
                    <a:prstGeom prst="rect">
                      <a:avLst/>
                    </a:prstGeom>
                    <a:noFill/>
                  </pic:spPr>
                </pic:pic>
              </a:graphicData>
            </a:graphic>
          </wp:anchor>
        </w:drawing>
      </w:r>
    </w:p>
    <w:p>
      <w:pPr>
        <w:spacing w:after="0" w:line="20" w:lineRule="exact"/>
        <w:rPr>
          <w:sz w:val="20"/>
          <w:szCs w:val="20"/>
          <w:color w:val="auto"/>
        </w:rPr>
      </w:pPr>
    </w:p>
    <w:tbl>
      <w:tblPr>
        <w:tblLayout w:type="fixed"/>
        <w:tblInd w:w="2260" w:type="dxa"/>
        <w:tblCellMar>
          <w:top w:w="0" w:type="dxa"/>
          <w:left w:w="0" w:type="dxa"/>
          <w:bottom w:w="0" w:type="dxa"/>
          <w:right w:w="0" w:type="dxa"/>
        </w:tblCellMar>
      </w:tblPr>
      <w:tr>
        <w:trPr>
          <w:trHeight w:val="166"/>
        </w:trPr>
        <w:tc>
          <w:tcPr>
            <w:tcW w:w="1560" w:type="dxa"/>
            <w:vAlign w:val="bottom"/>
          </w:tcPr>
          <w:p>
            <w:pPr>
              <w:spacing w:after="0"/>
              <w:rPr>
                <w:sz w:val="20"/>
                <w:szCs w:val="20"/>
                <w:color w:val="auto"/>
              </w:rPr>
            </w:pPr>
            <w:r>
              <w:rPr>
                <w:rFonts w:ascii="Arial" w:cs="Arial" w:eastAsia="Arial" w:hAnsi="Arial"/>
                <w:sz w:val="13"/>
                <w:szCs w:val="13"/>
                <w:i w:val="1"/>
                <w:iCs w:val="1"/>
                <w:color w:val="auto"/>
              </w:rPr>
              <w:t>(Dollars in millions)</w:t>
            </w: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60" w:type="dxa"/>
            <w:vAlign w:val="bottom"/>
          </w:tcPr>
          <w:p>
            <w:pPr>
              <w:spacing w:after="0"/>
              <w:rPr>
                <w:sz w:val="14"/>
                <w:szCs w:val="14"/>
                <w:color w:val="auto"/>
              </w:rPr>
            </w:pPr>
          </w:p>
        </w:tc>
      </w:tr>
      <w:tr>
        <w:trPr>
          <w:trHeight w:val="180"/>
        </w:trPr>
        <w:tc>
          <w:tcPr>
            <w:tcW w:w="15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100" w:type="dxa"/>
            <w:vAlign w:val="bottom"/>
            <w:gridSpan w:val="2"/>
          </w:tcPr>
          <w:p>
            <w:pPr>
              <w:jc w:val="center"/>
              <w:ind w:left="33"/>
              <w:spacing w:after="0"/>
              <w:rPr>
                <w:sz w:val="20"/>
                <w:szCs w:val="20"/>
                <w:color w:val="auto"/>
              </w:rPr>
            </w:pPr>
            <w:r>
              <w:rPr>
                <w:rFonts w:ascii="Arial" w:cs="Arial" w:eastAsia="Arial" w:hAnsi="Arial"/>
                <w:sz w:val="13"/>
                <w:szCs w:val="13"/>
                <w:color w:val="auto"/>
                <w:w w:val="97"/>
              </w:rPr>
              <w:t>Total Sempra</w:t>
            </w:r>
          </w:p>
        </w:tc>
      </w:tr>
      <w:tr>
        <w:trPr>
          <w:trHeight w:val="156"/>
        </w:trPr>
        <w:tc>
          <w:tcPr>
            <w:tcW w:w="15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360" w:type="dxa"/>
            <w:vAlign w:val="bottom"/>
            <w:gridSpan w:val="2"/>
          </w:tcPr>
          <w:p>
            <w:pPr>
              <w:jc w:val="right"/>
              <w:ind w:right="268"/>
              <w:spacing w:after="0"/>
              <w:rPr>
                <w:sz w:val="20"/>
                <w:szCs w:val="20"/>
                <w:color w:val="auto"/>
              </w:rPr>
            </w:pPr>
            <w:r>
              <w:rPr>
                <w:rFonts w:ascii="Arial" w:cs="Arial" w:eastAsia="Arial" w:hAnsi="Arial"/>
                <w:sz w:val="13"/>
                <w:szCs w:val="13"/>
                <w:color w:val="auto"/>
              </w:rPr>
              <w:t>Other Sempra</w:t>
            </w:r>
          </w:p>
        </w:tc>
        <w:tc>
          <w:tcPr>
            <w:tcW w:w="1100" w:type="dxa"/>
            <w:vAlign w:val="bottom"/>
            <w:gridSpan w:val="2"/>
          </w:tcPr>
          <w:p>
            <w:pPr>
              <w:jc w:val="center"/>
              <w:ind w:left="33"/>
              <w:spacing w:after="0"/>
              <w:rPr>
                <w:sz w:val="20"/>
                <w:szCs w:val="20"/>
                <w:color w:val="auto"/>
              </w:rPr>
            </w:pPr>
            <w:r>
              <w:rPr>
                <w:rFonts w:ascii="Arial" w:cs="Arial" w:eastAsia="Arial" w:hAnsi="Arial"/>
                <w:sz w:val="13"/>
                <w:szCs w:val="13"/>
                <w:color w:val="auto"/>
                <w:w w:val="97"/>
              </w:rPr>
              <w:t>Energy</w:t>
            </w:r>
          </w:p>
        </w:tc>
      </w:tr>
      <w:tr>
        <w:trPr>
          <w:trHeight w:val="161"/>
        </w:trPr>
        <w:tc>
          <w:tcPr>
            <w:tcW w:w="156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2"/>
          </w:tcPr>
          <w:p>
            <w:pPr>
              <w:jc w:val="right"/>
              <w:ind w:right="528"/>
              <w:spacing w:after="0"/>
              <w:rPr>
                <w:sz w:val="20"/>
                <w:szCs w:val="20"/>
                <w:color w:val="auto"/>
              </w:rPr>
            </w:pPr>
            <w:r>
              <w:rPr>
                <w:rFonts w:ascii="Arial" w:cs="Arial" w:eastAsia="Arial" w:hAnsi="Arial"/>
                <w:sz w:val="13"/>
                <w:szCs w:val="13"/>
                <w:color w:val="auto"/>
              </w:rPr>
              <w:t>SDG&amp;E</w:t>
            </w:r>
          </w:p>
        </w:tc>
        <w:tc>
          <w:tcPr>
            <w:tcW w:w="1380" w:type="dxa"/>
            <w:vAlign w:val="bottom"/>
            <w:tcBorders>
              <w:bottom w:val="single" w:sz="8" w:color="auto"/>
            </w:tcBorders>
            <w:gridSpan w:val="2"/>
          </w:tcPr>
          <w:p>
            <w:pPr>
              <w:jc w:val="right"/>
              <w:ind w:right="428"/>
              <w:spacing w:after="0"/>
              <w:rPr>
                <w:sz w:val="20"/>
                <w:szCs w:val="20"/>
                <w:color w:val="auto"/>
              </w:rPr>
            </w:pPr>
            <w:r>
              <w:rPr>
                <w:rFonts w:ascii="Arial" w:cs="Arial" w:eastAsia="Arial" w:hAnsi="Arial"/>
                <w:sz w:val="13"/>
                <w:szCs w:val="13"/>
                <w:color w:val="auto"/>
              </w:rPr>
              <w:t>SoCalGas</w:t>
            </w:r>
          </w:p>
        </w:tc>
        <w:tc>
          <w:tcPr>
            <w:tcW w:w="1360" w:type="dxa"/>
            <w:vAlign w:val="bottom"/>
            <w:tcBorders>
              <w:bottom w:val="single" w:sz="8" w:color="auto"/>
            </w:tcBorders>
            <w:gridSpan w:val="2"/>
          </w:tcPr>
          <w:p>
            <w:pPr>
              <w:jc w:val="right"/>
              <w:ind w:right="468"/>
              <w:spacing w:after="0"/>
              <w:rPr>
                <w:sz w:val="20"/>
                <w:szCs w:val="20"/>
                <w:color w:val="auto"/>
              </w:rPr>
            </w:pPr>
            <w:r>
              <w:rPr>
                <w:rFonts w:ascii="Arial" w:cs="Arial" w:eastAsia="Arial" w:hAnsi="Arial"/>
                <w:sz w:val="13"/>
                <w:szCs w:val="13"/>
                <w:color w:val="auto"/>
              </w:rPr>
              <w:t>Energy</w:t>
            </w:r>
          </w:p>
        </w:tc>
        <w:tc>
          <w:tcPr>
            <w:tcW w:w="1100" w:type="dxa"/>
            <w:vAlign w:val="bottom"/>
            <w:tcBorders>
              <w:bottom w:val="single" w:sz="8" w:color="auto"/>
            </w:tcBorders>
            <w:gridSpan w:val="2"/>
          </w:tcPr>
          <w:p>
            <w:pPr>
              <w:jc w:val="center"/>
              <w:ind w:left="33"/>
              <w:spacing w:after="0"/>
              <w:rPr>
                <w:sz w:val="20"/>
                <w:szCs w:val="20"/>
                <w:color w:val="auto"/>
              </w:rPr>
            </w:pPr>
            <w:r>
              <w:rPr>
                <w:rFonts w:ascii="Arial" w:cs="Arial" w:eastAsia="Arial" w:hAnsi="Arial"/>
                <w:sz w:val="13"/>
                <w:szCs w:val="13"/>
                <w:color w:val="auto"/>
              </w:rPr>
              <w:t>Consolidated</w:t>
            </w:r>
          </w:p>
        </w:tc>
      </w:tr>
      <w:tr>
        <w:trPr>
          <w:trHeight w:val="207"/>
        </w:trPr>
        <w:tc>
          <w:tcPr>
            <w:tcW w:w="1560" w:type="dxa"/>
            <w:vAlign w:val="bottom"/>
          </w:tcPr>
          <w:p>
            <w:pPr>
              <w:spacing w:after="0"/>
              <w:rPr>
                <w:sz w:val="20"/>
                <w:szCs w:val="20"/>
                <w:color w:val="auto"/>
              </w:rPr>
            </w:pPr>
            <w:r>
              <w:rPr>
                <w:rFonts w:ascii="Arial" w:cs="Arial" w:eastAsia="Arial" w:hAnsi="Arial"/>
                <w:sz w:val="14"/>
                <w:szCs w:val="14"/>
                <w:color w:val="auto"/>
              </w:rPr>
              <w:t>2009</w:t>
            </w:r>
          </w:p>
        </w:tc>
        <w:tc>
          <w:tcPr>
            <w:tcW w:w="760" w:type="dxa"/>
            <w:vAlign w:val="bottom"/>
          </w:tcPr>
          <w:p>
            <w:pPr>
              <w:jc w:val="right"/>
              <w:ind w:right="11"/>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228"/>
              <w:spacing w:after="0"/>
              <w:rPr>
                <w:sz w:val="20"/>
                <w:szCs w:val="20"/>
                <w:color w:val="auto"/>
              </w:rPr>
            </w:pPr>
            <w:r>
              <w:rPr>
                <w:rFonts w:ascii="Arial" w:cs="Arial" w:eastAsia="Arial" w:hAnsi="Arial"/>
                <w:sz w:val="14"/>
                <w:szCs w:val="14"/>
                <w:color w:val="auto"/>
              </w:rPr>
              <w:t>2</w:t>
            </w:r>
          </w:p>
        </w:tc>
        <w:tc>
          <w:tcPr>
            <w:tcW w:w="680" w:type="dxa"/>
            <w:vAlign w:val="bottom"/>
          </w:tcPr>
          <w:p>
            <w:pPr>
              <w:jc w:val="right"/>
              <w:ind w:right="31"/>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168"/>
              <w:spacing w:after="0"/>
              <w:rPr>
                <w:sz w:val="20"/>
                <w:szCs w:val="20"/>
                <w:color w:val="auto"/>
              </w:rPr>
            </w:pPr>
            <w:r>
              <w:rPr>
                <w:rFonts w:ascii="Arial" w:cs="Arial" w:eastAsia="Arial" w:hAnsi="Arial"/>
                <w:sz w:val="14"/>
                <w:szCs w:val="14"/>
                <w:color w:val="auto"/>
              </w:rPr>
              <w:t>100</w:t>
            </w:r>
          </w:p>
        </w:tc>
        <w:tc>
          <w:tcPr>
            <w:tcW w:w="700" w:type="dxa"/>
            <w:vAlign w:val="bottom"/>
          </w:tcPr>
          <w:p>
            <w:pPr>
              <w:jc w:val="right"/>
              <w:ind w:right="32"/>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128"/>
              <w:spacing w:after="0"/>
              <w:rPr>
                <w:sz w:val="20"/>
                <w:szCs w:val="20"/>
                <w:color w:val="auto"/>
              </w:rPr>
            </w:pPr>
            <w:r>
              <w:rPr>
                <w:rFonts w:ascii="Arial" w:cs="Arial" w:eastAsia="Arial" w:hAnsi="Arial"/>
                <w:sz w:val="14"/>
                <w:szCs w:val="14"/>
                <w:color w:val="auto"/>
              </w:rPr>
              <w:t>308</w:t>
            </w: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460" w:type="dxa"/>
            <w:vAlign w:val="bottom"/>
          </w:tcPr>
          <w:p>
            <w:pPr>
              <w:jc w:val="right"/>
              <w:spacing w:after="0"/>
              <w:rPr>
                <w:sz w:val="20"/>
                <w:szCs w:val="20"/>
                <w:color w:val="auto"/>
              </w:rPr>
            </w:pPr>
            <w:r>
              <w:rPr>
                <w:rFonts w:ascii="Arial" w:cs="Arial" w:eastAsia="Arial" w:hAnsi="Arial"/>
                <w:sz w:val="14"/>
                <w:szCs w:val="14"/>
                <w:color w:val="auto"/>
              </w:rPr>
              <w:t>410</w:t>
            </w:r>
          </w:p>
        </w:tc>
      </w:tr>
      <w:tr>
        <w:trPr>
          <w:trHeight w:val="216"/>
        </w:trPr>
        <w:tc>
          <w:tcPr>
            <w:tcW w:w="1560" w:type="dxa"/>
            <w:vAlign w:val="bottom"/>
          </w:tcPr>
          <w:p>
            <w:pPr>
              <w:spacing w:after="0"/>
              <w:rPr>
                <w:sz w:val="20"/>
                <w:szCs w:val="20"/>
                <w:color w:val="auto"/>
              </w:rPr>
            </w:pPr>
            <w:r>
              <w:rPr>
                <w:rFonts w:ascii="Arial" w:cs="Arial" w:eastAsia="Arial" w:hAnsi="Arial"/>
                <w:sz w:val="14"/>
                <w:szCs w:val="14"/>
                <w:color w:val="auto"/>
              </w:rPr>
              <w:t>2010</w:t>
            </w:r>
          </w:p>
        </w:tc>
        <w:tc>
          <w:tcPr>
            <w:tcW w:w="760" w:type="dxa"/>
            <w:vAlign w:val="bottom"/>
          </w:tcPr>
          <w:p>
            <w:pPr>
              <w:spacing w:after="0"/>
              <w:rPr>
                <w:sz w:val="18"/>
                <w:szCs w:val="18"/>
                <w:color w:val="auto"/>
              </w:rPr>
            </w:pPr>
          </w:p>
        </w:tc>
        <w:tc>
          <w:tcPr>
            <w:tcW w:w="760" w:type="dxa"/>
            <w:vAlign w:val="bottom"/>
          </w:tcPr>
          <w:p>
            <w:pPr>
              <w:jc w:val="right"/>
              <w:ind w:right="228"/>
              <w:spacing w:after="0"/>
              <w:rPr>
                <w:sz w:val="20"/>
                <w:szCs w:val="20"/>
                <w:color w:val="auto"/>
              </w:rPr>
            </w:pPr>
            <w:r>
              <w:rPr>
                <w:rFonts w:ascii="Arial" w:cs="Arial" w:eastAsia="Arial" w:hAnsi="Arial"/>
                <w:sz w:val="14"/>
                <w:szCs w:val="14"/>
                <w:color w:val="auto"/>
              </w:rPr>
              <w:t>7</w:t>
            </w:r>
          </w:p>
        </w:tc>
        <w:tc>
          <w:tcPr>
            <w:tcW w:w="680" w:type="dxa"/>
            <w:vAlign w:val="bottom"/>
          </w:tcPr>
          <w:p>
            <w:pPr>
              <w:spacing w:after="0"/>
              <w:rPr>
                <w:sz w:val="18"/>
                <w:szCs w:val="18"/>
                <w:color w:val="auto"/>
              </w:rPr>
            </w:pPr>
          </w:p>
        </w:tc>
        <w:tc>
          <w:tcPr>
            <w:tcW w:w="70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700" w:type="dxa"/>
            <w:vAlign w:val="bottom"/>
          </w:tcPr>
          <w:p>
            <w:pPr>
              <w:spacing w:after="0"/>
              <w:rPr>
                <w:sz w:val="18"/>
                <w:szCs w:val="18"/>
                <w:color w:val="auto"/>
              </w:rPr>
            </w:pPr>
          </w:p>
        </w:tc>
        <w:tc>
          <w:tcPr>
            <w:tcW w:w="660" w:type="dxa"/>
            <w:vAlign w:val="bottom"/>
          </w:tcPr>
          <w:p>
            <w:pPr>
              <w:jc w:val="right"/>
              <w:ind w:right="128"/>
              <w:spacing w:after="0"/>
              <w:rPr>
                <w:sz w:val="20"/>
                <w:szCs w:val="20"/>
                <w:color w:val="auto"/>
              </w:rPr>
            </w:pPr>
            <w:r>
              <w:rPr>
                <w:rFonts w:ascii="Arial" w:cs="Arial" w:eastAsia="Arial" w:hAnsi="Arial"/>
                <w:sz w:val="14"/>
                <w:szCs w:val="14"/>
                <w:color w:val="auto"/>
              </w:rPr>
              <w:t>520</w:t>
            </w:r>
          </w:p>
        </w:tc>
        <w:tc>
          <w:tcPr>
            <w:tcW w:w="6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527</w:t>
            </w:r>
          </w:p>
        </w:tc>
      </w:tr>
      <w:tr>
        <w:trPr>
          <w:trHeight w:val="216"/>
        </w:trPr>
        <w:tc>
          <w:tcPr>
            <w:tcW w:w="1560" w:type="dxa"/>
            <w:vAlign w:val="bottom"/>
          </w:tcPr>
          <w:p>
            <w:pPr>
              <w:spacing w:after="0"/>
              <w:rPr>
                <w:sz w:val="20"/>
                <w:szCs w:val="20"/>
                <w:color w:val="auto"/>
              </w:rPr>
            </w:pPr>
            <w:r>
              <w:rPr>
                <w:rFonts w:ascii="Arial" w:cs="Arial" w:eastAsia="Arial" w:hAnsi="Arial"/>
                <w:sz w:val="14"/>
                <w:szCs w:val="14"/>
                <w:color w:val="auto"/>
              </w:rPr>
              <w:t>2011</w:t>
            </w:r>
          </w:p>
        </w:tc>
        <w:tc>
          <w:tcPr>
            <w:tcW w:w="760" w:type="dxa"/>
            <w:vAlign w:val="bottom"/>
          </w:tcPr>
          <w:p>
            <w:pPr>
              <w:spacing w:after="0"/>
              <w:rPr>
                <w:sz w:val="18"/>
                <w:szCs w:val="18"/>
                <w:color w:val="auto"/>
              </w:rPr>
            </w:pPr>
          </w:p>
        </w:tc>
        <w:tc>
          <w:tcPr>
            <w:tcW w:w="760" w:type="dxa"/>
            <w:vAlign w:val="bottom"/>
          </w:tcPr>
          <w:p>
            <w:pPr>
              <w:jc w:val="right"/>
              <w:ind w:right="228"/>
              <w:spacing w:after="0"/>
              <w:rPr>
                <w:sz w:val="20"/>
                <w:szCs w:val="20"/>
                <w:color w:val="auto"/>
              </w:rPr>
            </w:pPr>
            <w:r>
              <w:rPr>
                <w:rFonts w:ascii="Arial" w:cs="Arial" w:eastAsia="Arial" w:hAnsi="Arial"/>
                <w:sz w:val="14"/>
                <w:szCs w:val="14"/>
                <w:color w:val="auto"/>
              </w:rPr>
              <w:t>7</w:t>
            </w:r>
          </w:p>
        </w:tc>
        <w:tc>
          <w:tcPr>
            <w:tcW w:w="680" w:type="dxa"/>
            <w:vAlign w:val="bottom"/>
          </w:tcPr>
          <w:p>
            <w:pPr>
              <w:spacing w:after="0"/>
              <w:rPr>
                <w:sz w:val="18"/>
                <w:szCs w:val="18"/>
                <w:color w:val="auto"/>
              </w:rPr>
            </w:pPr>
          </w:p>
        </w:tc>
        <w:tc>
          <w:tcPr>
            <w:tcW w:w="700" w:type="dxa"/>
            <w:vAlign w:val="bottom"/>
          </w:tcPr>
          <w:p>
            <w:pPr>
              <w:jc w:val="right"/>
              <w:ind w:right="168"/>
              <w:spacing w:after="0"/>
              <w:rPr>
                <w:sz w:val="20"/>
                <w:szCs w:val="20"/>
                <w:color w:val="auto"/>
              </w:rPr>
            </w:pPr>
            <w:r>
              <w:rPr>
                <w:rFonts w:ascii="Arial" w:cs="Arial" w:eastAsia="Arial" w:hAnsi="Arial"/>
                <w:sz w:val="14"/>
                <w:szCs w:val="14"/>
                <w:color w:val="auto"/>
              </w:rPr>
              <w:t>250</w:t>
            </w:r>
          </w:p>
        </w:tc>
        <w:tc>
          <w:tcPr>
            <w:tcW w:w="700" w:type="dxa"/>
            <w:vAlign w:val="bottom"/>
          </w:tcPr>
          <w:p>
            <w:pPr>
              <w:spacing w:after="0"/>
              <w:rPr>
                <w:sz w:val="18"/>
                <w:szCs w:val="18"/>
                <w:color w:val="auto"/>
              </w:rPr>
            </w:pPr>
          </w:p>
        </w:tc>
        <w:tc>
          <w:tcPr>
            <w:tcW w:w="660" w:type="dxa"/>
            <w:vAlign w:val="bottom"/>
          </w:tcPr>
          <w:p>
            <w:pPr>
              <w:jc w:val="right"/>
              <w:ind w:right="128"/>
              <w:spacing w:after="0"/>
              <w:rPr>
                <w:sz w:val="20"/>
                <w:szCs w:val="20"/>
                <w:color w:val="auto"/>
              </w:rPr>
            </w:pPr>
            <w:r>
              <w:rPr>
                <w:rFonts w:ascii="Arial" w:cs="Arial" w:eastAsia="Arial" w:hAnsi="Arial"/>
                <w:sz w:val="14"/>
                <w:szCs w:val="14"/>
                <w:color w:val="auto"/>
              </w:rPr>
              <w:t>29</w:t>
            </w:r>
          </w:p>
        </w:tc>
        <w:tc>
          <w:tcPr>
            <w:tcW w:w="6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286</w:t>
            </w:r>
          </w:p>
        </w:tc>
      </w:tr>
      <w:tr>
        <w:trPr>
          <w:trHeight w:val="216"/>
        </w:trPr>
        <w:tc>
          <w:tcPr>
            <w:tcW w:w="1560" w:type="dxa"/>
            <w:vAlign w:val="bottom"/>
          </w:tcPr>
          <w:p>
            <w:pPr>
              <w:spacing w:after="0"/>
              <w:rPr>
                <w:sz w:val="20"/>
                <w:szCs w:val="20"/>
                <w:color w:val="auto"/>
              </w:rPr>
            </w:pPr>
            <w:r>
              <w:rPr>
                <w:rFonts w:ascii="Arial" w:cs="Arial" w:eastAsia="Arial" w:hAnsi="Arial"/>
                <w:sz w:val="14"/>
                <w:szCs w:val="14"/>
                <w:color w:val="auto"/>
              </w:rPr>
              <w:t>2012</w:t>
            </w:r>
          </w:p>
        </w:tc>
        <w:tc>
          <w:tcPr>
            <w:tcW w:w="760" w:type="dxa"/>
            <w:vAlign w:val="bottom"/>
          </w:tcPr>
          <w:p>
            <w:pPr>
              <w:spacing w:after="0"/>
              <w:rPr>
                <w:sz w:val="18"/>
                <w:szCs w:val="18"/>
                <w:color w:val="auto"/>
              </w:rPr>
            </w:pPr>
          </w:p>
        </w:tc>
        <w:tc>
          <w:tcPr>
            <w:tcW w:w="760" w:type="dxa"/>
            <w:vAlign w:val="bottom"/>
          </w:tcPr>
          <w:p>
            <w:pPr>
              <w:jc w:val="right"/>
              <w:ind w:right="228"/>
              <w:spacing w:after="0"/>
              <w:rPr>
                <w:sz w:val="20"/>
                <w:szCs w:val="20"/>
                <w:color w:val="auto"/>
              </w:rPr>
            </w:pPr>
            <w:r>
              <w:rPr>
                <w:rFonts w:ascii="Arial" w:cs="Arial" w:eastAsia="Arial" w:hAnsi="Arial"/>
                <w:sz w:val="14"/>
                <w:szCs w:val="14"/>
                <w:color w:val="auto"/>
              </w:rPr>
              <w:t>7</w:t>
            </w:r>
          </w:p>
        </w:tc>
        <w:tc>
          <w:tcPr>
            <w:tcW w:w="680" w:type="dxa"/>
            <w:vAlign w:val="bottom"/>
          </w:tcPr>
          <w:p>
            <w:pPr>
              <w:spacing w:after="0"/>
              <w:rPr>
                <w:sz w:val="18"/>
                <w:szCs w:val="18"/>
                <w:color w:val="auto"/>
              </w:rPr>
            </w:pPr>
          </w:p>
        </w:tc>
        <w:tc>
          <w:tcPr>
            <w:tcW w:w="700" w:type="dxa"/>
            <w:vAlign w:val="bottom"/>
          </w:tcPr>
          <w:p>
            <w:pPr>
              <w:jc w:val="right"/>
              <w:ind w:right="168"/>
              <w:spacing w:after="0"/>
              <w:rPr>
                <w:sz w:val="20"/>
                <w:szCs w:val="20"/>
                <w:color w:val="auto"/>
              </w:rPr>
            </w:pPr>
            <w:r>
              <w:rPr>
                <w:rFonts w:ascii="Arial" w:cs="Arial" w:eastAsia="Arial" w:hAnsi="Arial"/>
                <w:sz w:val="14"/>
                <w:szCs w:val="14"/>
                <w:color w:val="auto"/>
              </w:rPr>
              <w:t>250</w:t>
            </w:r>
          </w:p>
        </w:tc>
        <w:tc>
          <w:tcPr>
            <w:tcW w:w="700" w:type="dxa"/>
            <w:vAlign w:val="bottom"/>
          </w:tcPr>
          <w:p>
            <w:pPr>
              <w:spacing w:after="0"/>
              <w:rPr>
                <w:sz w:val="18"/>
                <w:szCs w:val="18"/>
                <w:color w:val="auto"/>
              </w:rPr>
            </w:pPr>
          </w:p>
        </w:tc>
        <w:tc>
          <w:tcPr>
            <w:tcW w:w="660" w:type="dxa"/>
            <w:vAlign w:val="bottom"/>
          </w:tcPr>
          <w:p>
            <w:pPr>
              <w:jc w:val="right"/>
              <w:ind w:right="128"/>
              <w:spacing w:after="0"/>
              <w:rPr>
                <w:sz w:val="20"/>
                <w:szCs w:val="20"/>
                <w:color w:val="auto"/>
              </w:rPr>
            </w:pPr>
            <w:r>
              <w:rPr>
                <w:rFonts w:ascii="Arial" w:cs="Arial" w:eastAsia="Arial" w:hAnsi="Arial"/>
                <w:sz w:val="14"/>
                <w:szCs w:val="14"/>
                <w:color w:val="auto"/>
              </w:rPr>
              <w:t>12</w:t>
            </w:r>
          </w:p>
        </w:tc>
        <w:tc>
          <w:tcPr>
            <w:tcW w:w="6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269</w:t>
            </w:r>
          </w:p>
        </w:tc>
      </w:tr>
      <w:tr>
        <w:trPr>
          <w:trHeight w:val="216"/>
        </w:trPr>
        <w:tc>
          <w:tcPr>
            <w:tcW w:w="1560" w:type="dxa"/>
            <w:vAlign w:val="bottom"/>
          </w:tcPr>
          <w:p>
            <w:pPr>
              <w:spacing w:after="0"/>
              <w:rPr>
                <w:sz w:val="20"/>
                <w:szCs w:val="20"/>
                <w:color w:val="auto"/>
              </w:rPr>
            </w:pPr>
            <w:r>
              <w:rPr>
                <w:rFonts w:ascii="Arial" w:cs="Arial" w:eastAsia="Arial" w:hAnsi="Arial"/>
                <w:sz w:val="14"/>
                <w:szCs w:val="14"/>
                <w:color w:val="auto"/>
              </w:rPr>
              <w:t>2013</w:t>
            </w:r>
          </w:p>
        </w:tc>
        <w:tc>
          <w:tcPr>
            <w:tcW w:w="760" w:type="dxa"/>
            <w:vAlign w:val="bottom"/>
          </w:tcPr>
          <w:p>
            <w:pPr>
              <w:spacing w:after="0"/>
              <w:rPr>
                <w:sz w:val="18"/>
                <w:szCs w:val="18"/>
                <w:color w:val="auto"/>
              </w:rPr>
            </w:pPr>
          </w:p>
        </w:tc>
        <w:tc>
          <w:tcPr>
            <w:tcW w:w="760" w:type="dxa"/>
            <w:vAlign w:val="bottom"/>
          </w:tcPr>
          <w:p>
            <w:pPr>
              <w:jc w:val="right"/>
              <w:ind w:right="228"/>
              <w:spacing w:after="0"/>
              <w:rPr>
                <w:sz w:val="20"/>
                <w:szCs w:val="20"/>
                <w:color w:val="auto"/>
              </w:rPr>
            </w:pPr>
            <w:r>
              <w:rPr>
                <w:rFonts w:ascii="Arial" w:cs="Arial" w:eastAsia="Arial" w:hAnsi="Arial"/>
                <w:sz w:val="14"/>
                <w:szCs w:val="14"/>
                <w:color w:val="auto"/>
              </w:rPr>
              <w:t>7</w:t>
            </w:r>
          </w:p>
        </w:tc>
        <w:tc>
          <w:tcPr>
            <w:tcW w:w="680" w:type="dxa"/>
            <w:vAlign w:val="bottom"/>
          </w:tcPr>
          <w:p>
            <w:pPr>
              <w:spacing w:after="0"/>
              <w:rPr>
                <w:sz w:val="18"/>
                <w:szCs w:val="18"/>
                <w:color w:val="auto"/>
              </w:rPr>
            </w:pPr>
          </w:p>
        </w:tc>
        <w:tc>
          <w:tcPr>
            <w:tcW w:w="70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700" w:type="dxa"/>
            <w:vAlign w:val="bottom"/>
          </w:tcPr>
          <w:p>
            <w:pPr>
              <w:spacing w:after="0"/>
              <w:rPr>
                <w:sz w:val="18"/>
                <w:szCs w:val="18"/>
                <w:color w:val="auto"/>
              </w:rPr>
            </w:pPr>
          </w:p>
        </w:tc>
        <w:tc>
          <w:tcPr>
            <w:tcW w:w="660" w:type="dxa"/>
            <w:vAlign w:val="bottom"/>
          </w:tcPr>
          <w:p>
            <w:pPr>
              <w:jc w:val="right"/>
              <w:ind w:right="128"/>
              <w:spacing w:after="0"/>
              <w:rPr>
                <w:sz w:val="20"/>
                <w:szCs w:val="20"/>
                <w:color w:val="auto"/>
              </w:rPr>
            </w:pPr>
            <w:r>
              <w:rPr>
                <w:rFonts w:ascii="Arial" w:cs="Arial" w:eastAsia="Arial" w:hAnsi="Arial"/>
                <w:sz w:val="14"/>
                <w:szCs w:val="14"/>
                <w:color w:val="auto"/>
              </w:rPr>
              <w:t>672</w:t>
            </w:r>
          </w:p>
        </w:tc>
        <w:tc>
          <w:tcPr>
            <w:tcW w:w="6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679</w:t>
            </w:r>
          </w:p>
        </w:tc>
      </w:tr>
      <w:tr>
        <w:trPr>
          <w:trHeight w:val="219"/>
        </w:trPr>
        <w:tc>
          <w:tcPr>
            <w:tcW w:w="15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Thereafter</w:t>
            </w:r>
          </w:p>
        </w:tc>
        <w:tc>
          <w:tcPr>
            <w:tcW w:w="7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2,116</w:t>
            </w:r>
          </w:p>
        </w:tc>
        <w:tc>
          <w:tcPr>
            <w:tcW w:w="6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763</w:t>
            </w:r>
          </w:p>
        </w:tc>
        <w:tc>
          <w:tcPr>
            <w:tcW w:w="7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1,888</w:t>
            </w:r>
          </w:p>
        </w:tc>
        <w:tc>
          <w:tcPr>
            <w:tcW w:w="64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4,767</w:t>
            </w:r>
          </w:p>
        </w:tc>
      </w:tr>
      <w:tr>
        <w:trPr>
          <w:trHeight w:val="227"/>
        </w:trPr>
        <w:tc>
          <w:tcPr>
            <w:tcW w:w="15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Total</w:t>
            </w:r>
          </w:p>
        </w:tc>
        <w:tc>
          <w:tcPr>
            <w:tcW w:w="76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2,146</w:t>
            </w:r>
          </w:p>
        </w:tc>
        <w:tc>
          <w:tcPr>
            <w:tcW w:w="68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1,363</w:t>
            </w:r>
          </w:p>
        </w:tc>
        <w:tc>
          <w:tcPr>
            <w:tcW w:w="70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3,429</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6,938</w:t>
            </w:r>
          </w:p>
        </w:tc>
      </w:tr>
    </w:tbl>
    <w:p>
      <w:pPr>
        <w:spacing w:after="0" w:line="16" w:lineRule="exact"/>
        <w:rPr>
          <w:sz w:val="20"/>
          <w:szCs w:val="20"/>
          <w:color w:val="auto"/>
        </w:rPr>
      </w:pPr>
    </w:p>
    <w:p>
      <w:pPr>
        <w:ind w:left="2580" w:hanging="320"/>
        <w:spacing w:after="0"/>
        <w:tabs>
          <w:tab w:leader="none" w:pos="2580" w:val="left"/>
        </w:tabs>
        <w:numPr>
          <w:ilvl w:val="0"/>
          <w:numId w:val="346"/>
        </w:numPr>
        <w:rPr>
          <w:rFonts w:ascii="Arial" w:cs="Arial" w:eastAsia="Arial" w:hAnsi="Arial"/>
          <w:sz w:val="13"/>
          <w:szCs w:val="13"/>
          <w:i w:val="1"/>
          <w:iCs w:val="1"/>
          <w:color w:val="auto"/>
        </w:rPr>
      </w:pPr>
      <w:r>
        <w:rPr>
          <w:rFonts w:ascii="Arial" w:cs="Arial" w:eastAsia="Arial" w:hAnsi="Arial"/>
          <w:sz w:val="13"/>
          <w:szCs w:val="13"/>
          <w:i w:val="1"/>
          <w:iCs w:val="1"/>
          <w:color w:val="auto"/>
        </w:rPr>
        <w:t>Excludes market value adjustments for interest-rate swaps.</w:t>
      </w:r>
    </w:p>
    <w:p>
      <w:pPr>
        <w:spacing w:after="0" w:line="278" w:lineRule="exact"/>
        <w:rPr>
          <w:sz w:val="20"/>
          <w:szCs w:val="20"/>
          <w:color w:val="auto"/>
        </w:rPr>
      </w:pPr>
    </w:p>
    <w:p>
      <w:pPr>
        <w:spacing w:after="0" w:line="277" w:lineRule="auto"/>
        <w:rPr>
          <w:sz w:val="20"/>
          <w:szCs w:val="20"/>
          <w:color w:val="auto"/>
        </w:rPr>
      </w:pPr>
      <w:r>
        <w:rPr>
          <w:rFonts w:ascii="Arial" w:cs="Arial" w:eastAsia="Arial" w:hAnsi="Arial"/>
          <w:sz w:val="16"/>
          <w:szCs w:val="16"/>
          <w:color w:val="auto"/>
        </w:rPr>
        <w:t>Various long-term obligations totaling $3.6 billion at Sempra Energy at December 31, 2008 are unsecured. This includes unsecured long-term obligations totaling $254 million at SDG&amp;E and $13 million at SoCalGas.</w:t>
      </w: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14"/>
          <w:szCs w:val="14"/>
          <w:color w:val="auto"/>
        </w:rPr>
        <w:t>127</w:t>
      </w:r>
    </w:p>
    <w:p>
      <w:pPr>
        <w:sectPr>
          <w:pgSz w:w="11900" w:h="16838" w:orient="portrait"/>
          <w:cols w:equalWidth="0" w:num="1">
            <w:col w:w="11380"/>
          </w:cols>
          <w:pgMar w:left="240" w:top="376" w:right="279" w:bottom="1440" w:gutter="0" w:footer="0" w:header="0"/>
          <w:type w:val="continuous"/>
        </w:sectPr>
      </w:pPr>
    </w:p>
    <w:bookmarkStart w:id="267" w:name="page268"/>
    <w:bookmarkEnd w:id="267"/>
    <w:p>
      <w:pPr>
        <w:spacing w:after="0"/>
        <w:rPr>
          <w:sz w:val="20"/>
          <w:szCs w:val="20"/>
          <w:color w:val="auto"/>
        </w:rPr>
      </w:pPr>
      <w:r>
        <w:rPr>
          <w:rFonts w:ascii="Arial" w:cs="Arial" w:eastAsia="Arial" w:hAnsi="Arial"/>
          <w:sz w:val="15"/>
          <w:szCs w:val="15"/>
          <w:color w:val="auto"/>
        </w:rPr>
        <w:t>In November 2008, Sempra Energy publicly offered and sold $250 million of 8.9-percent notes maturing in 2013 and $500 million of 9.8-percent notes maturing in 2019.</w:t>
      </w:r>
    </w:p>
    <w:p>
      <w:pPr>
        <w:spacing w:after="0" w:line="92" w:lineRule="exact"/>
        <w:rPr>
          <w:sz w:val="20"/>
          <w:szCs w:val="20"/>
          <w:color w:val="auto"/>
        </w:rPr>
      </w:pPr>
    </w:p>
    <w:p>
      <w:pPr>
        <w:spacing w:after="0"/>
        <w:rPr>
          <w:sz w:val="20"/>
          <w:szCs w:val="20"/>
          <w:color w:val="auto"/>
        </w:rPr>
      </w:pPr>
      <w:r>
        <w:rPr>
          <w:rFonts w:ascii="Arial" w:cs="Arial" w:eastAsia="Arial" w:hAnsi="Arial"/>
          <w:sz w:val="16"/>
          <w:szCs w:val="16"/>
          <w:color w:val="auto"/>
        </w:rPr>
        <w:t>In June 2008, Sempra Energy publicly offered and sold $500 million of 6.15-percent notes, maturing in 2018.</w:t>
      </w:r>
    </w:p>
    <w:p>
      <w:pPr>
        <w:spacing w:after="0" w:line="27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CALLABLE LONG-TERM DEBT</w:t>
      </w:r>
    </w:p>
    <w:p>
      <w:pPr>
        <w:spacing w:after="0" w:line="89" w:lineRule="exact"/>
        <w:rPr>
          <w:sz w:val="20"/>
          <w:szCs w:val="20"/>
          <w:color w:val="auto"/>
        </w:rPr>
      </w:pPr>
    </w:p>
    <w:p>
      <w:pPr>
        <w:spacing w:after="0"/>
        <w:rPr>
          <w:sz w:val="20"/>
          <w:szCs w:val="20"/>
          <w:color w:val="auto"/>
        </w:rPr>
      </w:pPr>
      <w:r>
        <w:rPr>
          <w:rFonts w:ascii="Arial" w:cs="Arial" w:eastAsia="Arial" w:hAnsi="Arial"/>
          <w:sz w:val="16"/>
          <w:szCs w:val="16"/>
          <w:color w:val="auto"/>
        </w:rPr>
        <w:t>At the option of Sempra Energy, SDG&amp;E and SoCalGas, certain debt is callable subject to premiums at various 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1294130</wp:posOffset>
            </wp:positionH>
            <wp:positionV relativeFrom="paragraph">
              <wp:posOffset>196215</wp:posOffset>
            </wp:positionV>
            <wp:extent cx="4668520" cy="24384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4668520" cy="243840"/>
                    </a:xfrm>
                    <a:prstGeom prst="rect">
                      <a:avLst/>
                    </a:prstGeom>
                    <a:noFill/>
                  </pic:spPr>
                </pic:pic>
              </a:graphicData>
            </a:graphic>
          </wp:anchor>
        </w:drawing>
      </w:r>
    </w:p>
    <w:p>
      <w:pPr>
        <w:spacing w:after="0" w:line="297" w:lineRule="exact"/>
        <w:rPr>
          <w:sz w:val="20"/>
          <w:szCs w:val="20"/>
          <w:color w:val="auto"/>
        </w:rPr>
      </w:pPr>
    </w:p>
    <w:p>
      <w:pPr>
        <w:ind w:left="2060"/>
        <w:spacing w:after="0"/>
        <w:rPr>
          <w:sz w:val="20"/>
          <w:szCs w:val="20"/>
          <w:color w:val="auto"/>
        </w:rPr>
      </w:pPr>
      <w:r>
        <w:rPr>
          <w:rFonts w:ascii="Arial" w:cs="Arial" w:eastAsia="Arial" w:hAnsi="Arial"/>
          <w:sz w:val="14"/>
          <w:szCs w:val="14"/>
          <w:b w:val="1"/>
          <w:bCs w:val="1"/>
          <w:color w:val="auto"/>
        </w:rPr>
        <w:t>CALLABLE LONG-TERM DEBT</w:t>
      </w:r>
    </w:p>
    <w:p>
      <w:pPr>
        <w:spacing w:after="0" w:line="40" w:lineRule="exact"/>
        <w:rPr>
          <w:sz w:val="20"/>
          <w:szCs w:val="20"/>
          <w:color w:val="auto"/>
        </w:rPr>
      </w:pPr>
    </w:p>
    <w:tbl>
      <w:tblPr>
        <w:tblLayout w:type="fixed"/>
        <w:tblInd w:w="2040" w:type="dxa"/>
        <w:tblCellMar>
          <w:top w:w="0" w:type="dxa"/>
          <w:left w:w="0" w:type="dxa"/>
          <w:bottom w:w="0" w:type="dxa"/>
          <w:right w:w="0" w:type="dxa"/>
        </w:tblCellMar>
      </w:tblPr>
      <w:tr>
        <w:trPr>
          <w:trHeight w:val="166"/>
        </w:trPr>
        <w:tc>
          <w:tcPr>
            <w:tcW w:w="1960" w:type="dxa"/>
            <w:vAlign w:val="bottom"/>
          </w:tcPr>
          <w:p>
            <w:pPr>
              <w:ind w:left="20"/>
              <w:spacing w:after="0"/>
              <w:rPr>
                <w:sz w:val="20"/>
                <w:szCs w:val="20"/>
                <w:color w:val="auto"/>
              </w:rPr>
            </w:pPr>
            <w:r>
              <w:rPr>
                <w:rFonts w:ascii="Arial" w:cs="Arial" w:eastAsia="Arial" w:hAnsi="Arial"/>
                <w:sz w:val="13"/>
                <w:szCs w:val="13"/>
                <w:i w:val="1"/>
                <w:iCs w:val="1"/>
                <w:color w:val="auto"/>
              </w:rPr>
              <w:t>(Dollars in millions)</w:t>
            </w:r>
          </w:p>
        </w:tc>
        <w:tc>
          <w:tcPr>
            <w:tcW w:w="3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80"/>
        </w:trPr>
        <w:tc>
          <w:tcPr>
            <w:tcW w:w="19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jc w:val="center"/>
              <w:ind w:right="11"/>
              <w:spacing w:after="0"/>
              <w:rPr>
                <w:sz w:val="20"/>
                <w:szCs w:val="20"/>
                <w:color w:val="auto"/>
              </w:rPr>
            </w:pPr>
            <w:r>
              <w:rPr>
                <w:rFonts w:ascii="Arial" w:cs="Arial" w:eastAsia="Arial" w:hAnsi="Arial"/>
                <w:sz w:val="13"/>
                <w:szCs w:val="13"/>
                <w:color w:val="auto"/>
                <w:w w:val="97"/>
              </w:rPr>
              <w:t>Total Sempra</w:t>
            </w:r>
          </w:p>
        </w:tc>
      </w:tr>
      <w:tr>
        <w:trPr>
          <w:trHeight w:val="156"/>
        </w:trPr>
        <w:tc>
          <w:tcPr>
            <w:tcW w:w="19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00" w:type="dxa"/>
            <w:vAlign w:val="bottom"/>
          </w:tcPr>
          <w:p>
            <w:pPr>
              <w:jc w:val="right"/>
              <w:ind w:right="150"/>
              <w:spacing w:after="0"/>
              <w:rPr>
                <w:sz w:val="20"/>
                <w:szCs w:val="20"/>
                <w:color w:val="auto"/>
              </w:rPr>
            </w:pPr>
            <w:r>
              <w:rPr>
                <w:rFonts w:ascii="Arial" w:cs="Arial" w:eastAsia="Arial" w:hAnsi="Arial"/>
                <w:sz w:val="13"/>
                <w:szCs w:val="13"/>
                <w:color w:val="auto"/>
              </w:rPr>
              <w:t>Other Sempra</w:t>
            </w:r>
          </w:p>
        </w:tc>
        <w:tc>
          <w:tcPr>
            <w:tcW w:w="280" w:type="dxa"/>
            <w:vAlign w:val="bottom"/>
          </w:tcPr>
          <w:p>
            <w:pPr>
              <w:spacing w:after="0"/>
              <w:rPr>
                <w:sz w:val="13"/>
                <w:szCs w:val="13"/>
                <w:color w:val="auto"/>
              </w:rPr>
            </w:pPr>
          </w:p>
        </w:tc>
        <w:tc>
          <w:tcPr>
            <w:tcW w:w="1000" w:type="dxa"/>
            <w:vAlign w:val="bottom"/>
          </w:tcPr>
          <w:p>
            <w:pPr>
              <w:jc w:val="center"/>
              <w:ind w:right="11"/>
              <w:spacing w:after="0"/>
              <w:rPr>
                <w:sz w:val="20"/>
                <w:szCs w:val="20"/>
                <w:color w:val="auto"/>
              </w:rPr>
            </w:pPr>
            <w:r>
              <w:rPr>
                <w:rFonts w:ascii="Arial" w:cs="Arial" w:eastAsia="Arial" w:hAnsi="Arial"/>
                <w:sz w:val="13"/>
                <w:szCs w:val="13"/>
                <w:color w:val="auto"/>
                <w:w w:val="97"/>
              </w:rPr>
              <w:t>Energy</w:t>
            </w:r>
          </w:p>
        </w:tc>
      </w:tr>
      <w:tr>
        <w:trPr>
          <w:trHeight w:val="161"/>
        </w:trPr>
        <w:tc>
          <w:tcPr>
            <w:tcW w:w="196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29"/>
              <w:spacing w:after="0"/>
              <w:rPr>
                <w:sz w:val="20"/>
                <w:szCs w:val="20"/>
                <w:color w:val="auto"/>
              </w:rPr>
            </w:pPr>
            <w:r>
              <w:rPr>
                <w:rFonts w:ascii="Arial" w:cs="Arial" w:eastAsia="Arial" w:hAnsi="Arial"/>
                <w:sz w:val="13"/>
                <w:szCs w:val="13"/>
                <w:color w:val="auto"/>
              </w:rPr>
              <w:t>SDG&amp;E</w:t>
            </w:r>
          </w:p>
        </w:tc>
        <w:tc>
          <w:tcPr>
            <w:tcW w:w="3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269"/>
              <w:spacing w:after="0"/>
              <w:rPr>
                <w:sz w:val="20"/>
                <w:szCs w:val="20"/>
                <w:color w:val="auto"/>
              </w:rPr>
            </w:pPr>
            <w:r>
              <w:rPr>
                <w:rFonts w:ascii="Arial" w:cs="Arial" w:eastAsia="Arial" w:hAnsi="Arial"/>
                <w:sz w:val="13"/>
                <w:szCs w:val="13"/>
                <w:color w:val="auto"/>
              </w:rPr>
              <w:t>SoCalGas</w:t>
            </w:r>
          </w:p>
        </w:tc>
        <w:tc>
          <w:tcPr>
            <w:tcW w:w="2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350"/>
              <w:spacing w:after="0"/>
              <w:rPr>
                <w:sz w:val="20"/>
                <w:szCs w:val="20"/>
                <w:color w:val="auto"/>
              </w:rPr>
            </w:pPr>
            <w:r>
              <w:rPr>
                <w:rFonts w:ascii="Arial" w:cs="Arial" w:eastAsia="Arial" w:hAnsi="Arial"/>
                <w:sz w:val="13"/>
                <w:szCs w:val="13"/>
                <w:color w:val="auto"/>
              </w:rPr>
              <w:t>Energy</w:t>
            </w:r>
          </w:p>
        </w:tc>
        <w:tc>
          <w:tcPr>
            <w:tcW w:w="2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center"/>
              <w:ind w:right="11"/>
              <w:spacing w:after="0"/>
              <w:rPr>
                <w:sz w:val="20"/>
                <w:szCs w:val="20"/>
                <w:color w:val="auto"/>
              </w:rPr>
            </w:pPr>
            <w:r>
              <w:rPr>
                <w:rFonts w:ascii="Arial" w:cs="Arial" w:eastAsia="Arial" w:hAnsi="Arial"/>
                <w:sz w:val="13"/>
                <w:szCs w:val="13"/>
                <w:color w:val="auto"/>
              </w:rPr>
              <w:t>Consolidated</w:t>
            </w:r>
          </w:p>
        </w:tc>
      </w:tr>
      <w:tr>
        <w:trPr>
          <w:trHeight w:val="207"/>
        </w:trPr>
        <w:tc>
          <w:tcPr>
            <w:tcW w:w="1960" w:type="dxa"/>
            <w:vAlign w:val="bottom"/>
          </w:tcPr>
          <w:p>
            <w:pPr>
              <w:ind w:left="20"/>
              <w:spacing w:after="0"/>
              <w:rPr>
                <w:sz w:val="20"/>
                <w:szCs w:val="20"/>
                <w:color w:val="auto"/>
              </w:rPr>
            </w:pPr>
            <w:r>
              <w:rPr>
                <w:rFonts w:ascii="Arial" w:cs="Arial" w:eastAsia="Arial" w:hAnsi="Arial"/>
                <w:sz w:val="14"/>
                <w:szCs w:val="14"/>
                <w:color w:val="auto"/>
              </w:rPr>
              <w:t>2009</w:t>
            </w:r>
          </w:p>
        </w:tc>
        <w:tc>
          <w:tcPr>
            <w:tcW w:w="34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49"/>
              <w:spacing w:after="0"/>
              <w:rPr>
                <w:sz w:val="20"/>
                <w:szCs w:val="20"/>
                <w:color w:val="auto"/>
              </w:rPr>
            </w:pPr>
            <w:r>
              <w:rPr>
                <w:rFonts w:ascii="Arial" w:cs="Arial" w:eastAsia="Arial" w:hAnsi="Arial"/>
                <w:sz w:val="14"/>
                <w:szCs w:val="14"/>
                <w:color w:val="auto"/>
              </w:rPr>
              <w:t>472</w:t>
            </w:r>
          </w:p>
        </w:tc>
        <w:tc>
          <w:tcPr>
            <w:tcW w:w="3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2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30"/>
              <w:spacing w:after="0"/>
              <w:rPr>
                <w:sz w:val="20"/>
                <w:szCs w:val="20"/>
                <w:color w:val="auto"/>
              </w:rPr>
            </w:pPr>
            <w:r>
              <w:rPr>
                <w:rFonts w:ascii="Arial" w:cs="Arial" w:eastAsia="Arial" w:hAnsi="Arial"/>
                <w:sz w:val="14"/>
                <w:szCs w:val="14"/>
                <w:color w:val="auto"/>
              </w:rPr>
              <w:t>262</w:t>
            </w:r>
          </w:p>
        </w:tc>
        <w:tc>
          <w:tcPr>
            <w:tcW w:w="2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734</w:t>
            </w:r>
          </w:p>
        </w:tc>
      </w:tr>
      <w:tr>
        <w:trPr>
          <w:trHeight w:val="216"/>
        </w:trPr>
        <w:tc>
          <w:tcPr>
            <w:tcW w:w="1960" w:type="dxa"/>
            <w:vAlign w:val="bottom"/>
          </w:tcPr>
          <w:p>
            <w:pPr>
              <w:ind w:left="20"/>
              <w:spacing w:after="0"/>
              <w:rPr>
                <w:sz w:val="20"/>
                <w:szCs w:val="20"/>
                <w:color w:val="auto"/>
              </w:rPr>
            </w:pPr>
            <w:r>
              <w:rPr>
                <w:rFonts w:ascii="Arial" w:cs="Arial" w:eastAsia="Arial" w:hAnsi="Arial"/>
                <w:sz w:val="14"/>
                <w:szCs w:val="14"/>
                <w:color w:val="auto"/>
              </w:rPr>
              <w:t>2010</w:t>
            </w:r>
          </w:p>
        </w:tc>
        <w:tc>
          <w:tcPr>
            <w:tcW w:w="340" w:type="dxa"/>
            <w:vAlign w:val="bottom"/>
          </w:tcPr>
          <w:p>
            <w:pPr>
              <w:spacing w:after="0"/>
              <w:rPr>
                <w:sz w:val="18"/>
                <w:szCs w:val="18"/>
                <w:color w:val="auto"/>
              </w:rPr>
            </w:pPr>
          </w:p>
        </w:tc>
        <w:tc>
          <w:tcPr>
            <w:tcW w:w="100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8"/>
                <w:szCs w:val="18"/>
                <w:color w:val="auto"/>
              </w:rPr>
            </w:pPr>
          </w:p>
        </w:tc>
        <w:tc>
          <w:tcPr>
            <w:tcW w:w="104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Arial" w:cs="Arial" w:eastAsia="Arial" w:hAnsi="Arial"/>
                <w:sz w:val="14"/>
                <w:szCs w:val="14"/>
                <w:color w:val="auto"/>
              </w:rPr>
              <w:t>50</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50</w:t>
            </w:r>
          </w:p>
        </w:tc>
      </w:tr>
      <w:tr>
        <w:trPr>
          <w:trHeight w:val="216"/>
        </w:trPr>
        <w:tc>
          <w:tcPr>
            <w:tcW w:w="1960" w:type="dxa"/>
            <w:vAlign w:val="bottom"/>
          </w:tcPr>
          <w:p>
            <w:pPr>
              <w:ind w:left="20"/>
              <w:spacing w:after="0"/>
              <w:rPr>
                <w:sz w:val="20"/>
                <w:szCs w:val="20"/>
                <w:color w:val="auto"/>
              </w:rPr>
            </w:pPr>
            <w:r>
              <w:rPr>
                <w:rFonts w:ascii="Arial" w:cs="Arial" w:eastAsia="Arial" w:hAnsi="Arial"/>
                <w:sz w:val="14"/>
                <w:szCs w:val="14"/>
                <w:color w:val="auto"/>
              </w:rPr>
              <w:t>2013</w:t>
            </w:r>
          </w:p>
        </w:tc>
        <w:tc>
          <w:tcPr>
            <w:tcW w:w="340" w:type="dxa"/>
            <w:vAlign w:val="bottom"/>
          </w:tcPr>
          <w:p>
            <w:pPr>
              <w:spacing w:after="0"/>
              <w:rPr>
                <w:sz w:val="18"/>
                <w:szCs w:val="18"/>
                <w:color w:val="auto"/>
              </w:rPr>
            </w:pPr>
          </w:p>
        </w:tc>
        <w:tc>
          <w:tcPr>
            <w:tcW w:w="1000" w:type="dxa"/>
            <w:vAlign w:val="bottom"/>
          </w:tcPr>
          <w:p>
            <w:pPr>
              <w:jc w:val="right"/>
              <w:ind w:right="49"/>
              <w:spacing w:after="0"/>
              <w:rPr>
                <w:sz w:val="20"/>
                <w:szCs w:val="20"/>
                <w:color w:val="auto"/>
              </w:rPr>
            </w:pPr>
            <w:r>
              <w:rPr>
                <w:rFonts w:ascii="Arial" w:cs="Arial" w:eastAsia="Arial" w:hAnsi="Arial"/>
                <w:sz w:val="14"/>
                <w:szCs w:val="14"/>
                <w:color w:val="auto"/>
              </w:rPr>
              <w:t>45</w:t>
            </w:r>
          </w:p>
        </w:tc>
        <w:tc>
          <w:tcPr>
            <w:tcW w:w="340" w:type="dxa"/>
            <w:vAlign w:val="bottom"/>
          </w:tcPr>
          <w:p>
            <w:pPr>
              <w:spacing w:after="0"/>
              <w:rPr>
                <w:sz w:val="18"/>
                <w:szCs w:val="18"/>
                <w:color w:val="auto"/>
              </w:rPr>
            </w:pPr>
          </w:p>
        </w:tc>
        <w:tc>
          <w:tcPr>
            <w:tcW w:w="104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45</w:t>
            </w:r>
          </w:p>
        </w:tc>
      </w:tr>
      <w:tr>
        <w:trPr>
          <w:trHeight w:val="222"/>
        </w:trPr>
        <w:tc>
          <w:tcPr>
            <w:tcW w:w="1960" w:type="dxa"/>
            <w:vAlign w:val="bottom"/>
          </w:tcPr>
          <w:p>
            <w:pPr>
              <w:ind w:left="20"/>
              <w:spacing w:after="0"/>
              <w:rPr>
                <w:sz w:val="20"/>
                <w:szCs w:val="20"/>
                <w:color w:val="auto"/>
              </w:rPr>
            </w:pPr>
            <w:r>
              <w:rPr>
                <w:rFonts w:ascii="Arial" w:cs="Arial" w:eastAsia="Arial" w:hAnsi="Arial"/>
                <w:sz w:val="14"/>
                <w:szCs w:val="14"/>
                <w:color w:val="auto"/>
              </w:rPr>
              <w:t>after 2013</w:t>
            </w:r>
          </w:p>
        </w:tc>
        <w:tc>
          <w:tcPr>
            <w:tcW w:w="3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229</w:t>
            </w: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8</w:t>
            </w:r>
          </w:p>
        </w:tc>
        <w:tc>
          <w:tcPr>
            <w:tcW w:w="2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237</w:t>
            </w:r>
          </w:p>
        </w:tc>
      </w:tr>
      <w:tr>
        <w:trPr>
          <w:trHeight w:val="224"/>
        </w:trPr>
        <w:tc>
          <w:tcPr>
            <w:tcW w:w="1960" w:type="dxa"/>
            <w:vAlign w:val="bottom"/>
          </w:tcPr>
          <w:p>
            <w:pPr>
              <w:ind w:left="20"/>
              <w:spacing w:after="0"/>
              <w:rPr>
                <w:sz w:val="20"/>
                <w:szCs w:val="20"/>
                <w:color w:val="auto"/>
              </w:rPr>
            </w:pPr>
            <w:r>
              <w:rPr>
                <w:rFonts w:ascii="Arial" w:cs="Arial" w:eastAsia="Arial" w:hAnsi="Arial"/>
                <w:sz w:val="14"/>
                <w:szCs w:val="14"/>
                <w:color w:val="auto"/>
              </w:rPr>
              <w:t>Total</w:t>
            </w:r>
          </w:p>
        </w:tc>
        <w:tc>
          <w:tcPr>
            <w:tcW w:w="3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746</w:t>
            </w:r>
          </w:p>
        </w:tc>
        <w:tc>
          <w:tcPr>
            <w:tcW w:w="3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8</w:t>
            </w:r>
          </w:p>
        </w:tc>
        <w:tc>
          <w:tcPr>
            <w:tcW w:w="2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312</w:t>
            </w:r>
          </w:p>
        </w:tc>
        <w:tc>
          <w:tcPr>
            <w:tcW w:w="2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1,066</w:t>
            </w:r>
          </w:p>
        </w:tc>
      </w:tr>
      <w:tr>
        <w:trPr>
          <w:trHeight w:val="182"/>
        </w:trPr>
        <w:tc>
          <w:tcPr>
            <w:tcW w:w="1960" w:type="dxa"/>
            <w:vAlign w:val="bottom"/>
          </w:tcPr>
          <w:p>
            <w:pPr>
              <w:ind w:left="20"/>
              <w:spacing w:after="0"/>
              <w:rPr>
                <w:sz w:val="20"/>
                <w:szCs w:val="20"/>
                <w:color w:val="auto"/>
              </w:rPr>
            </w:pPr>
            <w:r>
              <w:rPr>
                <w:rFonts w:ascii="Arial" w:cs="Arial" w:eastAsia="Arial" w:hAnsi="Arial"/>
                <w:sz w:val="14"/>
                <w:szCs w:val="14"/>
                <w:color w:val="auto"/>
              </w:rPr>
              <w:t>Callable bonds subject to</w:t>
            </w:r>
          </w:p>
        </w:tc>
        <w:tc>
          <w:tcPr>
            <w:tcW w:w="3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207"/>
        </w:trPr>
        <w:tc>
          <w:tcPr>
            <w:tcW w:w="1960" w:type="dxa"/>
            <w:vAlign w:val="bottom"/>
            <w:tcBorders>
              <w:bottom w:val="single" w:sz="8" w:color="DFDFDF"/>
            </w:tcBorders>
          </w:tcPr>
          <w:p>
            <w:pPr>
              <w:ind w:left="120"/>
              <w:spacing w:after="0"/>
              <w:rPr>
                <w:sz w:val="20"/>
                <w:szCs w:val="20"/>
                <w:color w:val="auto"/>
              </w:rPr>
            </w:pPr>
            <w:r>
              <w:rPr>
                <w:rFonts w:ascii="Arial" w:cs="Arial" w:eastAsia="Arial" w:hAnsi="Arial"/>
                <w:sz w:val="14"/>
                <w:szCs w:val="14"/>
                <w:color w:val="auto"/>
              </w:rPr>
              <w:t>make-whole provisions</w:t>
            </w:r>
          </w:p>
        </w:tc>
        <w:tc>
          <w:tcPr>
            <w:tcW w:w="340" w:type="dxa"/>
            <w:vAlign w:val="bottom"/>
            <w:tcBorders>
              <w:bottom w:val="single" w:sz="8" w:color="DFDFDF"/>
            </w:tcBorders>
          </w:tcPr>
          <w:p>
            <w:pPr>
              <w:jc w:val="right"/>
              <w:ind w:right="8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DFDFDF"/>
            </w:tcBorders>
          </w:tcPr>
          <w:p>
            <w:pPr>
              <w:jc w:val="right"/>
              <w:ind w:right="49"/>
              <w:spacing w:after="0"/>
              <w:rPr>
                <w:sz w:val="20"/>
                <w:szCs w:val="20"/>
                <w:color w:val="auto"/>
              </w:rPr>
            </w:pPr>
            <w:r>
              <w:rPr>
                <w:rFonts w:ascii="Arial" w:cs="Arial" w:eastAsia="Arial" w:hAnsi="Arial"/>
                <w:sz w:val="14"/>
                <w:szCs w:val="14"/>
                <w:color w:val="auto"/>
              </w:rPr>
              <w:t>1,000</w:t>
            </w:r>
          </w:p>
        </w:tc>
        <w:tc>
          <w:tcPr>
            <w:tcW w:w="340" w:type="dxa"/>
            <w:vAlign w:val="bottom"/>
            <w:tcBorders>
              <w:bottom w:val="single" w:sz="8" w:color="DFDFDF"/>
            </w:tcBorders>
          </w:tcPr>
          <w:p>
            <w:pPr>
              <w:jc w:val="right"/>
              <w:ind w:right="4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DFDFDF"/>
            </w:tcBorders>
          </w:tcPr>
          <w:p>
            <w:pPr>
              <w:jc w:val="right"/>
              <w:ind w:right="49"/>
              <w:spacing w:after="0"/>
              <w:rPr>
                <w:sz w:val="20"/>
                <w:szCs w:val="20"/>
                <w:color w:val="auto"/>
              </w:rPr>
            </w:pPr>
            <w:r>
              <w:rPr>
                <w:rFonts w:ascii="Arial" w:cs="Arial" w:eastAsia="Arial" w:hAnsi="Arial"/>
                <w:sz w:val="14"/>
                <w:szCs w:val="14"/>
                <w:color w:val="auto"/>
              </w:rPr>
              <w:t>1,250</w:t>
            </w:r>
          </w:p>
        </w:tc>
        <w:tc>
          <w:tcPr>
            <w:tcW w:w="280" w:type="dxa"/>
            <w:vAlign w:val="bottom"/>
            <w:tcBorders>
              <w:bottom w:val="single" w:sz="8" w:color="DFDFDF"/>
            </w:tcBorders>
          </w:tcPr>
          <w:p>
            <w:pPr>
              <w:jc w:val="right"/>
              <w:ind w:right="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DFDFDF"/>
            </w:tcBorders>
          </w:tcPr>
          <w:p>
            <w:pPr>
              <w:jc w:val="right"/>
              <w:ind w:right="30"/>
              <w:spacing w:after="0"/>
              <w:rPr>
                <w:sz w:val="20"/>
                <w:szCs w:val="20"/>
                <w:color w:val="auto"/>
              </w:rPr>
            </w:pPr>
            <w:r>
              <w:rPr>
                <w:rFonts w:ascii="Arial" w:cs="Arial" w:eastAsia="Arial" w:hAnsi="Arial"/>
                <w:sz w:val="14"/>
                <w:szCs w:val="14"/>
                <w:color w:val="auto"/>
              </w:rPr>
              <w:t>2,513</w:t>
            </w:r>
          </w:p>
        </w:tc>
        <w:tc>
          <w:tcPr>
            <w:tcW w:w="280" w:type="dxa"/>
            <w:vAlign w:val="bottom"/>
            <w:tcBorders>
              <w:bottom w:val="single" w:sz="8" w:color="DFDFDF"/>
            </w:tcBorders>
          </w:tcPr>
          <w:p>
            <w:pPr>
              <w:jc w:val="right"/>
              <w:ind w:right="2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DFDFDF"/>
            </w:tcBorders>
          </w:tcPr>
          <w:p>
            <w:pPr>
              <w:jc w:val="right"/>
              <w:spacing w:after="0"/>
              <w:rPr>
                <w:sz w:val="20"/>
                <w:szCs w:val="20"/>
                <w:color w:val="auto"/>
              </w:rPr>
            </w:pPr>
            <w:r>
              <w:rPr>
                <w:rFonts w:ascii="Arial" w:cs="Arial" w:eastAsia="Arial" w:hAnsi="Arial"/>
                <w:sz w:val="14"/>
                <w:szCs w:val="14"/>
                <w:color w:val="auto"/>
              </w:rPr>
              <w:t>4,763</w:t>
            </w:r>
          </w:p>
        </w:tc>
      </w:tr>
    </w:tbl>
    <w:p>
      <w:pPr>
        <w:spacing w:after="0" w:line="180" w:lineRule="exact"/>
        <w:rPr>
          <w:sz w:val="20"/>
          <w:szCs w:val="20"/>
          <w:color w:val="auto"/>
        </w:rPr>
      </w:pPr>
    </w:p>
    <w:p>
      <w:pPr>
        <w:spacing w:after="0"/>
        <w:rPr>
          <w:sz w:val="20"/>
          <w:szCs w:val="20"/>
          <w:color w:val="auto"/>
        </w:rPr>
      </w:pPr>
      <w:r>
        <w:rPr>
          <w:rFonts w:ascii="Arial" w:cs="Arial" w:eastAsia="Arial" w:hAnsi="Arial"/>
          <w:sz w:val="15"/>
          <w:szCs w:val="15"/>
          <w:color w:val="auto"/>
        </w:rPr>
        <w:t>In addition, the OMEC LLC project financing loan, discussed in Note 1, with $256 million of borrowings at December 31, 2008, may be prepaid at the borrower’s option.</w:t>
      </w:r>
    </w:p>
    <w:p>
      <w:pPr>
        <w:spacing w:after="0" w:line="28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FIRST MORTGAGE BONDS</w:t>
      </w:r>
    </w:p>
    <w:p>
      <w:pPr>
        <w:spacing w:after="0" w:line="89" w:lineRule="exact"/>
        <w:rPr>
          <w:sz w:val="20"/>
          <w:szCs w:val="20"/>
          <w:color w:val="auto"/>
        </w:rPr>
      </w:pPr>
    </w:p>
    <w:p>
      <w:pPr>
        <w:spacing w:after="0" w:line="257" w:lineRule="auto"/>
        <w:rPr>
          <w:sz w:val="20"/>
          <w:szCs w:val="20"/>
          <w:color w:val="auto"/>
        </w:rPr>
      </w:pPr>
      <w:r>
        <w:rPr>
          <w:rFonts w:ascii="Arial" w:cs="Arial" w:eastAsia="Arial" w:hAnsi="Arial"/>
          <w:sz w:val="16"/>
          <w:szCs w:val="16"/>
          <w:color w:val="auto"/>
        </w:rPr>
        <w:t>The Sempra Utilities issue first mortgage bonds which are secured by a lien on utility plant. The Sempra Utilities may issue additional first mortgage bonds upon compliance with the provisions of their bond agreements (indentures). These indentures require, among other things, the satisfaction of pro forma earnings-coverage tests on first mortgage bond interest and the availability of sufficient mortgaged property to support the additional bonds, after giving effect to prior bond redemptions. The most restrictive of these tests (the property test) would permit the issuance, subject to CPUC authorization, of an additional $2.9 billion of first mortgage bonds at SDG&amp;E and $324 million at SoCalGas at December 31, 2008.</w:t>
      </w: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color w:val="auto"/>
        </w:rPr>
        <w:t>In November 2008, SoCalGas publicly offered and sold $250 million of 5.50-percent first mortgage bonds maturing in 2014.</w:t>
      </w:r>
    </w:p>
    <w:p>
      <w:pPr>
        <w:spacing w:after="0" w:line="27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INDUSTRIAL DEVELOPMENT BONDS</w:t>
      </w:r>
    </w:p>
    <w:p>
      <w:pPr>
        <w:spacing w:after="0" w:line="89" w:lineRule="exact"/>
        <w:rPr>
          <w:sz w:val="20"/>
          <w:szCs w:val="20"/>
          <w:color w:val="auto"/>
        </w:rPr>
      </w:pPr>
    </w:p>
    <w:p>
      <w:pPr>
        <w:ind w:right="240"/>
        <w:spacing w:after="0" w:line="259" w:lineRule="auto"/>
        <w:rPr>
          <w:sz w:val="20"/>
          <w:szCs w:val="20"/>
          <w:color w:val="auto"/>
        </w:rPr>
      </w:pPr>
      <w:r>
        <w:rPr>
          <w:rFonts w:ascii="Arial" w:cs="Arial" w:eastAsia="Arial" w:hAnsi="Arial"/>
          <w:sz w:val="16"/>
          <w:szCs w:val="16"/>
          <w:color w:val="auto"/>
        </w:rPr>
        <w:t>During 2008, Sempra Energy purchased $413 million of industrial development bonds, net of sales and purchases with SDG&amp;E as the cash flow needs of each entity changed. SDG&amp;E purchased $488 million of the bonds during 2008, and sold $228 million to Sempra Energy during 2008. The bonds were initially issued as insured, auction-rate securities, the proceeds of which were loaned to SDG&amp;E, and are repaid with payments from SDG&amp;E first mortgage bonds that have terms corresponding to those of the industrial development bonds that they secure.</w:t>
      </w:r>
    </w:p>
    <w:p>
      <w:pPr>
        <w:spacing w:after="0" w:line="47" w:lineRule="exact"/>
        <w:rPr>
          <w:sz w:val="20"/>
          <w:szCs w:val="20"/>
          <w:color w:val="auto"/>
        </w:rPr>
      </w:pPr>
    </w:p>
    <w:p>
      <w:pPr>
        <w:ind w:right="200"/>
        <w:spacing w:after="0" w:line="264" w:lineRule="auto"/>
        <w:rPr>
          <w:sz w:val="20"/>
          <w:szCs w:val="20"/>
          <w:color w:val="auto"/>
        </w:rPr>
      </w:pPr>
      <w:r>
        <w:rPr>
          <w:rFonts w:ascii="Arial" w:cs="Arial" w:eastAsia="Arial" w:hAnsi="Arial"/>
          <w:sz w:val="16"/>
          <w:szCs w:val="16"/>
          <w:color w:val="auto"/>
        </w:rPr>
        <w:t>In December 2008, SDG&amp;E remarketed $237 million of these industrial development bonds. These included $75 million remarketed at an initial daily floating-rate of 0.65 percent (maturing in 2039), and $161 million remarketed for a three-month term at a rate of 1.00 percent (maturing in 2018). Beginning in March 2009, the interest rate on the $161 million series will be reset on a weekly basis.</w:t>
      </w:r>
    </w:p>
    <w:p>
      <w:pPr>
        <w:spacing w:after="0" w:line="42" w:lineRule="exact"/>
        <w:rPr>
          <w:sz w:val="20"/>
          <w:szCs w:val="20"/>
          <w:color w:val="auto"/>
        </w:rPr>
      </w:pPr>
    </w:p>
    <w:p>
      <w:pPr>
        <w:ind w:right="40"/>
        <w:spacing w:after="0" w:line="369" w:lineRule="auto"/>
        <w:rPr>
          <w:sz w:val="20"/>
          <w:szCs w:val="20"/>
          <w:color w:val="auto"/>
        </w:rPr>
      </w:pPr>
      <w:r>
        <w:rPr>
          <w:rFonts w:ascii="Arial" w:cs="Arial" w:eastAsia="Arial" w:hAnsi="Arial"/>
          <w:sz w:val="14"/>
          <w:szCs w:val="14"/>
          <w:color w:val="auto"/>
        </w:rPr>
        <w:t>The remaining industrial development bonds, $24 million held by SDG&amp;E and $152 million held by Sempra Energy, are classified as available-for-sale securities and included in Short-Term Investments on the Consolidated Balance Sheets at December 31, 2008. Sempra Energy and SDG&amp;E intend to remarket the remaining bonds in early</w:t>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4"/>
          <w:szCs w:val="14"/>
          <w:color w:val="auto"/>
        </w:rPr>
        <w:t>128</w:t>
      </w:r>
    </w:p>
    <w:p>
      <w:pPr>
        <w:sectPr>
          <w:pgSz w:w="11900" w:h="16838" w:orient="portrait"/>
          <w:cols w:equalWidth="0" w:num="1">
            <w:col w:w="11420"/>
          </w:cols>
          <w:pgMar w:left="240" w:top="127" w:right="239" w:bottom="1440" w:gutter="0" w:footer="0" w:header="0"/>
        </w:sectPr>
      </w:pPr>
    </w:p>
    <w:bookmarkStart w:id="268" w:name="page269"/>
    <w:bookmarkEnd w:id="268"/>
    <w:p>
      <w:pPr>
        <w:spacing w:after="0"/>
        <w:rPr>
          <w:sz w:val="20"/>
          <w:szCs w:val="20"/>
          <w:color w:val="auto"/>
        </w:rPr>
      </w:pPr>
      <w:r>
        <w:rPr>
          <w:rFonts w:ascii="Arial" w:cs="Arial" w:eastAsia="Arial" w:hAnsi="Arial"/>
          <w:sz w:val="16"/>
          <w:szCs w:val="16"/>
          <w:color w:val="auto"/>
        </w:rPr>
        <w:t>2009 and to modify the credit support and liquidity requirements of the remaining bonds in conjunction with their remarketing to investors.</w:t>
      </w:r>
    </w:p>
    <w:p>
      <w:pPr>
        <w:spacing w:after="0" w:line="80" w:lineRule="exact"/>
        <w:rPr>
          <w:sz w:val="20"/>
          <w:szCs w:val="20"/>
          <w:color w:val="auto"/>
        </w:rPr>
      </w:pPr>
    </w:p>
    <w:p>
      <w:pPr>
        <w:ind w:right="100"/>
        <w:spacing w:after="0" w:line="319" w:lineRule="auto"/>
        <w:rPr>
          <w:sz w:val="20"/>
          <w:szCs w:val="20"/>
          <w:color w:val="auto"/>
        </w:rPr>
      </w:pPr>
      <w:r>
        <w:rPr>
          <w:rFonts w:ascii="Arial" w:cs="Arial" w:eastAsia="Arial" w:hAnsi="Arial"/>
          <w:sz w:val="14"/>
          <w:szCs w:val="14"/>
          <w:color w:val="auto"/>
        </w:rPr>
        <w:t>In 2006, in order to reduce its property tax, Sempra Pipelines &amp; Storage incurred $128 million of long-term debt related to the development of its Liberty Gas Storage (Liberty) facility in Calcasieu Parish, Louisiana. The debt is payable to the Calcasieu Parish Industrial Development Board. Related to the debt, we recorded bonds receivable from the Industrial Development Board for the same amount. Both the financing obligation and the bonds receivable have interest rates of 6.3 percent and are due on December 31, 2021.</w:t>
      </w:r>
    </w:p>
    <w:p>
      <w:pPr>
        <w:spacing w:after="0" w:line="20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DEBT OF EMPLOYEE STOCK OWNERSHIP PLAN (ESOP) AND TRUST (TRUST)</w:t>
      </w:r>
    </w:p>
    <w:p>
      <w:pPr>
        <w:spacing w:after="0" w:line="89" w:lineRule="exact"/>
        <w:rPr>
          <w:sz w:val="20"/>
          <w:szCs w:val="20"/>
          <w:color w:val="auto"/>
        </w:rPr>
      </w:pPr>
    </w:p>
    <w:p>
      <w:pPr>
        <w:spacing w:after="0"/>
        <w:rPr>
          <w:sz w:val="20"/>
          <w:szCs w:val="20"/>
          <w:color w:val="auto"/>
        </w:rPr>
      </w:pPr>
      <w:r>
        <w:rPr>
          <w:rFonts w:ascii="Arial" w:cs="Arial" w:eastAsia="Arial" w:hAnsi="Arial"/>
          <w:sz w:val="14"/>
          <w:szCs w:val="14"/>
          <w:color w:val="auto"/>
        </w:rPr>
        <w:t>The ESOP covers substantially all Sempra Energy employees, including SDG&amp;E and SoCalGas. The Trust is used to fund part of the retirement savings plan described in Note 9.</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The notes of the ESOP are payable by the Trust and mature in 2014.</w:t>
      </w:r>
    </w:p>
    <w:p>
      <w:pPr>
        <w:spacing w:after="0" w:line="68" w:lineRule="exact"/>
        <w:rPr>
          <w:sz w:val="20"/>
          <w:szCs w:val="20"/>
          <w:color w:val="auto"/>
        </w:rPr>
      </w:pPr>
    </w:p>
    <w:p>
      <w:pPr>
        <w:spacing w:after="0" w:line="282" w:lineRule="auto"/>
        <w:rPr>
          <w:sz w:val="20"/>
          <w:szCs w:val="20"/>
          <w:color w:val="auto"/>
        </w:rPr>
      </w:pPr>
      <w:r>
        <w:rPr>
          <w:rFonts w:ascii="Arial" w:cs="Arial" w:eastAsia="Arial" w:hAnsi="Arial"/>
          <w:sz w:val="15"/>
          <w:szCs w:val="15"/>
          <w:color w:val="auto"/>
        </w:rPr>
        <w:t>In July 2007, $50 million of these notes was repriced at an interest rate of 5.781 percent for a three-year term ending July 1, 2010. The remaining $22 million of the notes is repriced weekly and subject to repurchase at our option. ESOP debt was paid down by a total of $32 million during the last three years when 739,220 shares of Sempra Energy common stock were released from the Trust in order to fund employer contributions to the Sempra Energy savings plan trust. Interest on the ESOP debt amounted to $4 million in each of 2008, 2007 and 2006. Dividends used for debt service amounted to $2 million in each of 2008, 2007 and 2006.</w:t>
      </w:r>
    </w:p>
    <w:p>
      <w:pPr>
        <w:spacing w:after="0" w:line="22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INTEREST-RATE SWAPS</w:t>
      </w:r>
    </w:p>
    <w:p>
      <w:pPr>
        <w:spacing w:after="0" w:line="89" w:lineRule="exact"/>
        <w:rPr>
          <w:sz w:val="20"/>
          <w:szCs w:val="20"/>
          <w:color w:val="auto"/>
        </w:rPr>
      </w:pPr>
    </w:p>
    <w:p>
      <w:pPr>
        <w:spacing w:after="0"/>
        <w:rPr>
          <w:sz w:val="20"/>
          <w:szCs w:val="20"/>
          <w:color w:val="auto"/>
        </w:rPr>
      </w:pPr>
      <w:r>
        <w:rPr>
          <w:rFonts w:ascii="Arial" w:cs="Arial" w:eastAsia="Arial" w:hAnsi="Arial"/>
          <w:sz w:val="16"/>
          <w:szCs w:val="16"/>
          <w:color w:val="auto"/>
        </w:rPr>
        <w:t>We discuss our fair value interest-rate swaps and interest-rate swaps to hedge cash flows in Note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234315</wp:posOffset>
            </wp:positionV>
            <wp:extent cx="7261860" cy="762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NOTE 7. FACILITIES UNDER JOINT OWNERSHIP</w:t>
      </w:r>
    </w:p>
    <w:p>
      <w:pPr>
        <w:spacing w:after="0" w:line="60" w:lineRule="exact"/>
        <w:rPr>
          <w:sz w:val="20"/>
          <w:szCs w:val="20"/>
          <w:color w:val="auto"/>
        </w:rPr>
      </w:pPr>
    </w:p>
    <w:p>
      <w:pPr>
        <w:spacing w:after="0"/>
        <w:rPr>
          <w:sz w:val="20"/>
          <w:szCs w:val="20"/>
          <w:color w:val="auto"/>
        </w:rPr>
      </w:pPr>
      <w:r>
        <w:rPr>
          <w:rFonts w:ascii="Arial" w:cs="Arial" w:eastAsia="Arial" w:hAnsi="Arial"/>
          <w:sz w:val="15"/>
          <w:szCs w:val="15"/>
          <w:color w:val="auto"/>
        </w:rPr>
        <w:t>San Onofre Nuclear Generating Station (SONGS) and the Southwest Powerlink transmission line are owned jointly by SDG&amp;E with other utilities. SDG&amp;E’s interests at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December 31, 2008 were as follows:</w:t>
      </w:r>
    </w:p>
    <w:p>
      <w:pPr>
        <w:spacing w:after="0" w:line="313" w:lineRule="exact"/>
        <w:rPr>
          <w:sz w:val="20"/>
          <w:szCs w:val="20"/>
          <w:color w:val="auto"/>
        </w:rPr>
      </w:pPr>
    </w:p>
    <w:tbl>
      <w:tblPr>
        <w:tblLayout w:type="fixed"/>
        <w:tblInd w:w="2200" w:type="dxa"/>
        <w:tblCellMar>
          <w:top w:w="0" w:type="dxa"/>
          <w:left w:w="0" w:type="dxa"/>
          <w:bottom w:w="0" w:type="dxa"/>
          <w:right w:w="0" w:type="dxa"/>
        </w:tblCellMar>
      </w:tblPr>
      <w:tr>
        <w:trPr>
          <w:trHeight w:val="154"/>
        </w:trPr>
        <w:tc>
          <w:tcPr>
            <w:tcW w:w="3800" w:type="dxa"/>
            <w:vAlign w:val="bottom"/>
            <w:vMerge w:val="restart"/>
          </w:tcPr>
          <w:p>
            <w:pPr>
              <w:ind w:left="20"/>
              <w:spacing w:after="0"/>
              <w:rPr>
                <w:sz w:val="20"/>
                <w:szCs w:val="20"/>
                <w:color w:val="auto"/>
              </w:rPr>
            </w:pPr>
            <w:r>
              <w:rPr>
                <w:rFonts w:ascii="Arial" w:cs="Arial" w:eastAsia="Arial" w:hAnsi="Arial"/>
                <w:sz w:val="13"/>
                <w:szCs w:val="13"/>
                <w:i w:val="1"/>
                <w:iCs w:val="1"/>
                <w:color w:val="auto"/>
              </w:rPr>
              <w:t>(Dollars in millions)</w:t>
            </w:r>
          </w:p>
        </w:tc>
        <w:tc>
          <w:tcPr>
            <w:tcW w:w="2000" w:type="dxa"/>
            <w:vAlign w:val="bottom"/>
          </w:tcPr>
          <w:p>
            <w:pPr>
              <w:spacing w:after="0"/>
              <w:rPr>
                <w:sz w:val="13"/>
                <w:szCs w:val="13"/>
                <w:color w:val="auto"/>
              </w:rPr>
            </w:pPr>
          </w:p>
        </w:tc>
        <w:tc>
          <w:tcPr>
            <w:tcW w:w="1220" w:type="dxa"/>
            <w:vAlign w:val="bottom"/>
          </w:tcPr>
          <w:p>
            <w:pPr>
              <w:jc w:val="right"/>
              <w:ind w:right="171"/>
              <w:spacing w:after="0"/>
              <w:rPr>
                <w:sz w:val="20"/>
                <w:szCs w:val="20"/>
                <w:color w:val="auto"/>
              </w:rPr>
            </w:pPr>
            <w:r>
              <w:rPr>
                <w:rFonts w:ascii="Arial" w:cs="Arial" w:eastAsia="Arial" w:hAnsi="Arial"/>
                <w:sz w:val="13"/>
                <w:szCs w:val="13"/>
                <w:color w:val="auto"/>
              </w:rPr>
              <w:t>Southwest</w:t>
            </w:r>
          </w:p>
        </w:tc>
        <w:tc>
          <w:tcPr>
            <w:tcW w:w="0" w:type="dxa"/>
            <w:vAlign w:val="bottom"/>
          </w:tcPr>
          <w:p>
            <w:pPr>
              <w:spacing w:after="0"/>
              <w:rPr>
                <w:sz w:val="1"/>
                <w:szCs w:val="1"/>
                <w:color w:val="auto"/>
              </w:rPr>
            </w:pPr>
          </w:p>
        </w:tc>
      </w:tr>
      <w:tr>
        <w:trPr>
          <w:trHeight w:val="161"/>
        </w:trPr>
        <w:tc>
          <w:tcPr>
            <w:tcW w:w="3800" w:type="dxa"/>
            <w:vAlign w:val="bottom"/>
            <w:tcBorders>
              <w:bottom w:val="single" w:sz="8" w:color="auto"/>
            </w:tcBorders>
            <w:vMerge w:val="continue"/>
          </w:tcPr>
          <w:p>
            <w:pPr>
              <w:spacing w:after="0"/>
              <w:rPr>
                <w:sz w:val="14"/>
                <w:szCs w:val="14"/>
                <w:color w:val="auto"/>
              </w:rPr>
            </w:pPr>
          </w:p>
        </w:tc>
        <w:tc>
          <w:tcPr>
            <w:tcW w:w="2000" w:type="dxa"/>
            <w:vAlign w:val="bottom"/>
            <w:tcBorders>
              <w:bottom w:val="single" w:sz="8" w:color="auto"/>
            </w:tcBorders>
          </w:tcPr>
          <w:p>
            <w:pPr>
              <w:jc w:val="right"/>
              <w:ind w:right="430"/>
              <w:spacing w:after="0"/>
              <w:rPr>
                <w:sz w:val="20"/>
                <w:szCs w:val="20"/>
                <w:color w:val="auto"/>
              </w:rPr>
            </w:pPr>
            <w:r>
              <w:rPr>
                <w:rFonts w:ascii="Arial" w:cs="Arial" w:eastAsia="Arial" w:hAnsi="Arial"/>
                <w:sz w:val="13"/>
                <w:szCs w:val="13"/>
                <w:color w:val="auto"/>
              </w:rPr>
              <w:t>SONGS</w:t>
            </w:r>
          </w:p>
        </w:tc>
        <w:tc>
          <w:tcPr>
            <w:tcW w:w="1220" w:type="dxa"/>
            <w:vAlign w:val="bottom"/>
            <w:tcBorders>
              <w:bottom w:val="single" w:sz="8" w:color="auto"/>
            </w:tcBorders>
          </w:tcPr>
          <w:p>
            <w:pPr>
              <w:jc w:val="right"/>
              <w:ind w:right="191"/>
              <w:spacing w:after="0"/>
              <w:rPr>
                <w:sz w:val="20"/>
                <w:szCs w:val="20"/>
                <w:color w:val="auto"/>
              </w:rPr>
            </w:pPr>
            <w:r>
              <w:rPr>
                <w:rFonts w:ascii="Arial" w:cs="Arial" w:eastAsia="Arial" w:hAnsi="Arial"/>
                <w:sz w:val="13"/>
                <w:szCs w:val="13"/>
                <w:color w:val="auto"/>
              </w:rPr>
              <w:t>Powerlink</w:t>
            </w:r>
          </w:p>
        </w:tc>
        <w:tc>
          <w:tcPr>
            <w:tcW w:w="0" w:type="dxa"/>
            <w:vAlign w:val="bottom"/>
          </w:tcPr>
          <w:p>
            <w:pPr>
              <w:spacing w:after="0"/>
              <w:rPr>
                <w:sz w:val="1"/>
                <w:szCs w:val="1"/>
                <w:color w:val="auto"/>
              </w:rPr>
            </w:pPr>
          </w:p>
        </w:tc>
      </w:tr>
      <w:tr>
        <w:trPr>
          <w:trHeight w:val="207"/>
        </w:trPr>
        <w:tc>
          <w:tcPr>
            <w:tcW w:w="3800" w:type="dxa"/>
            <w:vAlign w:val="bottom"/>
          </w:tcPr>
          <w:p>
            <w:pPr>
              <w:ind w:left="20"/>
              <w:spacing w:after="0"/>
              <w:rPr>
                <w:sz w:val="20"/>
                <w:szCs w:val="20"/>
                <w:color w:val="auto"/>
              </w:rPr>
            </w:pPr>
            <w:r>
              <w:rPr>
                <w:rFonts w:ascii="Arial" w:cs="Arial" w:eastAsia="Arial" w:hAnsi="Arial"/>
                <w:sz w:val="14"/>
                <w:szCs w:val="14"/>
                <w:color w:val="auto"/>
              </w:rPr>
              <w:t>Percentage ownership</w:t>
            </w:r>
          </w:p>
        </w:tc>
        <w:tc>
          <w:tcPr>
            <w:tcW w:w="2000" w:type="dxa"/>
            <w:vAlign w:val="bottom"/>
          </w:tcPr>
          <w:p>
            <w:pPr>
              <w:jc w:val="right"/>
              <w:ind w:right="290"/>
              <w:spacing w:after="0"/>
              <w:rPr>
                <w:sz w:val="20"/>
                <w:szCs w:val="20"/>
                <w:color w:val="auto"/>
              </w:rPr>
            </w:pPr>
            <w:r>
              <w:rPr>
                <w:rFonts w:ascii="Arial" w:cs="Arial" w:eastAsia="Arial" w:hAnsi="Arial"/>
                <w:sz w:val="14"/>
                <w:szCs w:val="14"/>
                <w:color w:val="auto"/>
              </w:rPr>
              <w:t>20 %</w:t>
            </w:r>
          </w:p>
        </w:tc>
        <w:tc>
          <w:tcPr>
            <w:tcW w:w="1220" w:type="dxa"/>
            <w:vAlign w:val="bottom"/>
          </w:tcPr>
          <w:p>
            <w:pPr>
              <w:jc w:val="right"/>
              <w:ind w:right="111"/>
              <w:spacing w:after="0"/>
              <w:rPr>
                <w:sz w:val="20"/>
                <w:szCs w:val="20"/>
                <w:color w:val="auto"/>
              </w:rPr>
            </w:pPr>
            <w:r>
              <w:rPr>
                <w:rFonts w:ascii="Arial" w:cs="Arial" w:eastAsia="Arial" w:hAnsi="Arial"/>
                <w:sz w:val="14"/>
                <w:szCs w:val="14"/>
                <w:color w:val="auto"/>
              </w:rPr>
              <w:t>91 %</w:t>
            </w:r>
          </w:p>
        </w:tc>
        <w:tc>
          <w:tcPr>
            <w:tcW w:w="0" w:type="dxa"/>
            <w:vAlign w:val="bottom"/>
          </w:tcPr>
          <w:p>
            <w:pPr>
              <w:spacing w:after="0"/>
              <w:rPr>
                <w:sz w:val="1"/>
                <w:szCs w:val="1"/>
                <w:color w:val="auto"/>
              </w:rPr>
            </w:pPr>
          </w:p>
        </w:tc>
      </w:tr>
      <w:tr>
        <w:trPr>
          <w:trHeight w:val="216"/>
        </w:trPr>
        <w:tc>
          <w:tcPr>
            <w:tcW w:w="3800" w:type="dxa"/>
            <w:vAlign w:val="bottom"/>
          </w:tcPr>
          <w:p>
            <w:pPr>
              <w:ind w:left="20"/>
              <w:spacing w:after="0"/>
              <w:rPr>
                <w:sz w:val="20"/>
                <w:szCs w:val="20"/>
                <w:color w:val="auto"/>
              </w:rPr>
            </w:pPr>
            <w:r>
              <w:rPr>
                <w:rFonts w:ascii="Arial" w:cs="Arial" w:eastAsia="Arial" w:hAnsi="Arial"/>
                <w:sz w:val="14"/>
                <w:szCs w:val="14"/>
                <w:color w:val="auto"/>
              </w:rPr>
              <w:t>Utility plant in service</w:t>
            </w:r>
          </w:p>
        </w:tc>
        <w:tc>
          <w:tcPr>
            <w:tcW w:w="2000" w:type="dxa"/>
            <w:vAlign w:val="bottom"/>
          </w:tcPr>
          <w:p>
            <w:pPr>
              <w:jc w:val="right"/>
              <w:ind w:right="450"/>
              <w:spacing w:after="0"/>
              <w:rPr>
                <w:sz w:val="20"/>
                <w:szCs w:val="20"/>
                <w:color w:val="auto"/>
              </w:rPr>
            </w:pPr>
            <w:r>
              <w:rPr>
                <w:rFonts w:ascii="Arial" w:cs="Arial" w:eastAsia="Arial" w:hAnsi="Arial"/>
                <w:sz w:val="14"/>
                <w:szCs w:val="14"/>
                <w:color w:val="auto"/>
              </w:rPr>
              <w:t>$   90</w:t>
            </w:r>
          </w:p>
        </w:tc>
        <w:tc>
          <w:tcPr>
            <w:tcW w:w="1220" w:type="dxa"/>
            <w:vAlign w:val="bottom"/>
          </w:tcPr>
          <w:p>
            <w:pPr>
              <w:jc w:val="right"/>
              <w:ind w:right="251"/>
              <w:spacing w:after="0"/>
              <w:rPr>
                <w:sz w:val="20"/>
                <w:szCs w:val="20"/>
                <w:color w:val="auto"/>
              </w:rPr>
            </w:pPr>
            <w:r>
              <w:rPr>
                <w:rFonts w:ascii="Arial" w:cs="Arial" w:eastAsia="Arial" w:hAnsi="Arial"/>
                <w:sz w:val="14"/>
                <w:szCs w:val="14"/>
                <w:color w:val="auto"/>
              </w:rPr>
              <w:t>$  314</w:t>
            </w:r>
          </w:p>
        </w:tc>
        <w:tc>
          <w:tcPr>
            <w:tcW w:w="0" w:type="dxa"/>
            <w:vAlign w:val="bottom"/>
          </w:tcPr>
          <w:p>
            <w:pPr>
              <w:spacing w:after="0"/>
              <w:rPr>
                <w:sz w:val="1"/>
                <w:szCs w:val="1"/>
                <w:color w:val="auto"/>
              </w:rPr>
            </w:pPr>
          </w:p>
        </w:tc>
      </w:tr>
      <w:tr>
        <w:trPr>
          <w:trHeight w:val="216"/>
        </w:trPr>
        <w:tc>
          <w:tcPr>
            <w:tcW w:w="3800" w:type="dxa"/>
            <w:vAlign w:val="bottom"/>
          </w:tcPr>
          <w:p>
            <w:pPr>
              <w:ind w:left="20"/>
              <w:spacing w:after="0"/>
              <w:rPr>
                <w:sz w:val="20"/>
                <w:szCs w:val="20"/>
                <w:color w:val="auto"/>
              </w:rPr>
            </w:pPr>
            <w:r>
              <w:rPr>
                <w:rFonts w:ascii="Arial" w:cs="Arial" w:eastAsia="Arial" w:hAnsi="Arial"/>
                <w:sz w:val="14"/>
                <w:szCs w:val="14"/>
                <w:color w:val="auto"/>
              </w:rPr>
              <w:t>Accumulated depreciation and amortization</w:t>
            </w:r>
          </w:p>
        </w:tc>
        <w:tc>
          <w:tcPr>
            <w:tcW w:w="2000" w:type="dxa"/>
            <w:vAlign w:val="bottom"/>
          </w:tcPr>
          <w:p>
            <w:pPr>
              <w:jc w:val="right"/>
              <w:ind w:right="450"/>
              <w:spacing w:after="0"/>
              <w:rPr>
                <w:sz w:val="20"/>
                <w:szCs w:val="20"/>
                <w:color w:val="auto"/>
              </w:rPr>
            </w:pPr>
            <w:r>
              <w:rPr>
                <w:rFonts w:ascii="Arial" w:cs="Arial" w:eastAsia="Arial" w:hAnsi="Arial"/>
                <w:sz w:val="14"/>
                <w:szCs w:val="14"/>
                <w:color w:val="auto"/>
              </w:rPr>
              <w:t>22</w:t>
            </w:r>
          </w:p>
        </w:tc>
        <w:tc>
          <w:tcPr>
            <w:tcW w:w="1220" w:type="dxa"/>
            <w:vAlign w:val="bottom"/>
          </w:tcPr>
          <w:p>
            <w:pPr>
              <w:jc w:val="right"/>
              <w:ind w:right="251"/>
              <w:spacing w:after="0"/>
              <w:rPr>
                <w:sz w:val="20"/>
                <w:szCs w:val="20"/>
                <w:color w:val="auto"/>
              </w:rPr>
            </w:pPr>
            <w:r>
              <w:rPr>
                <w:rFonts w:ascii="Arial" w:cs="Arial" w:eastAsia="Arial" w:hAnsi="Arial"/>
                <w:sz w:val="14"/>
                <w:szCs w:val="14"/>
                <w:color w:val="auto"/>
              </w:rPr>
              <w:t>176</w:t>
            </w:r>
          </w:p>
        </w:tc>
        <w:tc>
          <w:tcPr>
            <w:tcW w:w="0" w:type="dxa"/>
            <w:vAlign w:val="bottom"/>
          </w:tcPr>
          <w:p>
            <w:pPr>
              <w:spacing w:after="0"/>
              <w:rPr>
                <w:sz w:val="1"/>
                <w:szCs w:val="1"/>
                <w:color w:val="auto"/>
              </w:rPr>
            </w:pPr>
          </w:p>
        </w:tc>
      </w:tr>
      <w:tr>
        <w:trPr>
          <w:trHeight w:val="250"/>
        </w:trPr>
        <w:tc>
          <w:tcPr>
            <w:tcW w:w="3800" w:type="dxa"/>
            <w:vAlign w:val="bottom"/>
            <w:tcBorders>
              <w:bottom w:val="single" w:sz="8" w:color="DFDFDF"/>
            </w:tcBorders>
          </w:tcPr>
          <w:p>
            <w:pPr>
              <w:ind w:left="20"/>
              <w:spacing w:after="0"/>
              <w:rPr>
                <w:sz w:val="20"/>
                <w:szCs w:val="20"/>
                <w:color w:val="auto"/>
              </w:rPr>
            </w:pPr>
            <w:r>
              <w:rPr>
                <w:rFonts w:ascii="Arial" w:cs="Arial" w:eastAsia="Arial" w:hAnsi="Arial"/>
                <w:sz w:val="14"/>
                <w:szCs w:val="14"/>
                <w:color w:val="auto"/>
              </w:rPr>
              <w:t>Construction work in progress</w:t>
            </w:r>
          </w:p>
        </w:tc>
        <w:tc>
          <w:tcPr>
            <w:tcW w:w="2000" w:type="dxa"/>
            <w:vAlign w:val="bottom"/>
            <w:tcBorders>
              <w:bottom w:val="single" w:sz="8" w:color="DFDFDF"/>
            </w:tcBorders>
          </w:tcPr>
          <w:p>
            <w:pPr>
              <w:jc w:val="right"/>
              <w:ind w:right="450"/>
              <w:spacing w:after="0"/>
              <w:rPr>
                <w:sz w:val="20"/>
                <w:szCs w:val="20"/>
                <w:color w:val="auto"/>
              </w:rPr>
            </w:pPr>
            <w:r>
              <w:rPr>
                <w:rFonts w:ascii="Arial" w:cs="Arial" w:eastAsia="Arial" w:hAnsi="Arial"/>
                <w:sz w:val="14"/>
                <w:szCs w:val="14"/>
                <w:color w:val="auto"/>
              </w:rPr>
              <w:t>113</w:t>
            </w:r>
          </w:p>
        </w:tc>
        <w:tc>
          <w:tcPr>
            <w:tcW w:w="1220" w:type="dxa"/>
            <w:vAlign w:val="bottom"/>
            <w:tcBorders>
              <w:bottom w:val="single" w:sz="8" w:color="DFDFDF"/>
            </w:tcBorders>
          </w:tcPr>
          <w:p>
            <w:pPr>
              <w:jc w:val="right"/>
              <w:ind w:right="251"/>
              <w:spacing w:after="0"/>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bl>
    <w:p>
      <w:pPr>
        <w:spacing w:after="0" w:line="180" w:lineRule="exact"/>
        <w:rPr>
          <w:sz w:val="20"/>
          <w:szCs w:val="20"/>
          <w:color w:val="auto"/>
        </w:rPr>
      </w:pPr>
    </w:p>
    <w:p>
      <w:pPr>
        <w:ind w:right="240"/>
        <w:spacing w:after="0" w:line="277" w:lineRule="auto"/>
        <w:rPr>
          <w:sz w:val="20"/>
          <w:szCs w:val="20"/>
          <w:color w:val="auto"/>
        </w:rPr>
      </w:pPr>
      <w:r>
        <w:rPr>
          <w:rFonts w:ascii="Arial" w:cs="Arial" w:eastAsia="Arial" w:hAnsi="Arial"/>
          <w:sz w:val="16"/>
          <w:szCs w:val="16"/>
          <w:color w:val="auto"/>
        </w:rPr>
        <w:t>SDG&amp;E, and each of the other owners, holds its undivided interest as a tenant in common in the property. Each owner is responsible for financing its share of each project and participates in decisions concerning operations and capital expenditures.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SDG&amp;E’s share of operating expenses is included in Sempra Energy’s and SDG&amp;E’s Statements of Consolidated Income.</w:t>
      </w:r>
    </w:p>
    <w:p>
      <w:pPr>
        <w:spacing w:after="0" w:line="27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SONGS DECOMMISSIONING</w:t>
      </w:r>
    </w:p>
    <w:p>
      <w:pPr>
        <w:spacing w:after="0" w:line="89" w:lineRule="exact"/>
        <w:rPr>
          <w:sz w:val="20"/>
          <w:szCs w:val="20"/>
          <w:color w:val="auto"/>
        </w:rPr>
      </w:pPr>
    </w:p>
    <w:p>
      <w:pPr>
        <w:ind w:right="480"/>
        <w:spacing w:after="0" w:line="312" w:lineRule="auto"/>
        <w:rPr>
          <w:sz w:val="20"/>
          <w:szCs w:val="20"/>
          <w:color w:val="auto"/>
        </w:rPr>
      </w:pPr>
      <w:r>
        <w:rPr>
          <w:rFonts w:ascii="Arial" w:cs="Arial" w:eastAsia="Arial" w:hAnsi="Arial"/>
          <w:sz w:val="15"/>
          <w:szCs w:val="15"/>
          <w:color w:val="auto"/>
        </w:rPr>
        <w:t>Objectives, work scope, and procedures for the dismantling and decontamination of the SONGS’ units must meet the requirements of the Nuclear Regulatory Commission (NRC), the Environmental Protection Agency, the U.S. Department of the Navy (the land owner), the CPUC and other regulatory bodies.</w:t>
      </w:r>
    </w:p>
    <w:p>
      <w:pPr>
        <w:spacing w:after="0" w:line="8" w:lineRule="exact"/>
        <w:rPr>
          <w:sz w:val="20"/>
          <w:szCs w:val="20"/>
          <w:color w:val="auto"/>
        </w:rPr>
      </w:pPr>
    </w:p>
    <w:p>
      <w:pPr>
        <w:ind w:right="740"/>
        <w:spacing w:after="0" w:line="277" w:lineRule="auto"/>
        <w:rPr>
          <w:sz w:val="20"/>
          <w:szCs w:val="20"/>
          <w:color w:val="auto"/>
        </w:rPr>
      </w:pPr>
      <w:r>
        <w:rPr>
          <w:rFonts w:ascii="Arial" w:cs="Arial" w:eastAsia="Arial" w:hAnsi="Arial"/>
          <w:sz w:val="16"/>
          <w:szCs w:val="16"/>
          <w:color w:val="auto"/>
        </w:rPr>
        <w:t>SDG&amp;E's asset retirement obligation related to decommissioning costs for the SONGS units was $445 million at December 31, 2008. That amount includes the cost to decommission Units 2 and 3, and the remaining cost to</w:t>
      </w: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14"/>
          <w:szCs w:val="14"/>
          <w:color w:val="auto"/>
        </w:rPr>
        <w:t>129</w:t>
      </w:r>
    </w:p>
    <w:p>
      <w:pPr>
        <w:sectPr>
          <w:pgSz w:w="11900" w:h="16838" w:orient="portrait"/>
          <w:cols w:equalWidth="0" w:num="1">
            <w:col w:w="11420"/>
          </w:cols>
          <w:pgMar w:left="240" w:top="127" w:right="239" w:bottom="1440" w:gutter="0" w:footer="0" w:header="0"/>
        </w:sectPr>
      </w:pPr>
    </w:p>
    <w:bookmarkStart w:id="269" w:name="page270"/>
    <w:bookmarkEnd w:id="269"/>
    <w:p>
      <w:pPr>
        <w:spacing w:after="0" w:line="264" w:lineRule="auto"/>
        <w:rPr>
          <w:sz w:val="20"/>
          <w:szCs w:val="20"/>
          <w:color w:val="auto"/>
        </w:rPr>
      </w:pPr>
      <w:r>
        <w:rPr>
          <w:rFonts w:ascii="Arial" w:cs="Arial" w:eastAsia="Arial" w:hAnsi="Arial"/>
          <w:sz w:val="16"/>
          <w:szCs w:val="16"/>
          <w:color w:val="auto"/>
        </w:rPr>
        <w:t>complete the decommissioning of Unit 1, which is currently in progress. Southern California Edison updates decommissioning cost studies every three years. In January 2007, the CPUC approved the most recent update. Rate recovery of decommissioning costs is allowed until the time that the costs are fully recovered and is subject to adjustment every three years based on the costs allowed by regulators. Collections are authorized to continue until 2022.</w:t>
      </w:r>
    </w:p>
    <w:p>
      <w:pPr>
        <w:spacing w:after="0" w:line="42" w:lineRule="exact"/>
        <w:rPr>
          <w:sz w:val="20"/>
          <w:szCs w:val="20"/>
          <w:color w:val="auto"/>
        </w:rPr>
      </w:pPr>
    </w:p>
    <w:p>
      <w:pPr>
        <w:ind w:right="300"/>
        <w:spacing w:after="0" w:line="274" w:lineRule="auto"/>
        <w:rPr>
          <w:sz w:val="20"/>
          <w:szCs w:val="20"/>
          <w:color w:val="auto"/>
        </w:rPr>
      </w:pPr>
      <w:r>
        <w:rPr>
          <w:rFonts w:ascii="Arial" w:cs="Arial" w:eastAsia="Arial" w:hAnsi="Arial"/>
          <w:sz w:val="15"/>
          <w:szCs w:val="15"/>
          <w:color w:val="auto"/>
        </w:rPr>
        <w:t>Unit 1 was permanently shut down in 1992, and physical decommissioning began in January 2000. Most structures, foundations and large components have been dismantled, removed and disposed of. Spent nuclear fuel has been removed from the Unit 1 Spent Fuel Pool and stored on-site in an independent spent fuel storage installation (ISFSI) licensed by the NRC. The remaining major work will include dismantling, removal and disposal of all remaining equipment and facilities (both nuclear and non-nuclear components), and decontamination of the site. Southern California Edison expects Phase I of decommissioning activities to be complete in the first quarter of 2009. The decommissioning of Unit 1 remaining structures (subsurface and intake/discharge) will take place when Units 2 &amp; 3 are decommissioned. The ISFSI will be decommissioned after a permanent storage facility becomes available and the U.S. Department of Energy (DOE) removes the spent fuel from the site. The Unit 1 reactor vessel is expected to remain on site until Units 2 and 3 are decommissioned.</w:t>
      </w:r>
    </w:p>
    <w:p>
      <w:pPr>
        <w:spacing w:after="0" w:line="39" w:lineRule="exact"/>
        <w:rPr>
          <w:sz w:val="20"/>
          <w:szCs w:val="20"/>
          <w:color w:val="auto"/>
        </w:rPr>
      </w:pPr>
    </w:p>
    <w:p>
      <w:pPr>
        <w:ind w:right="180"/>
        <w:spacing w:after="0" w:line="264" w:lineRule="auto"/>
        <w:rPr>
          <w:sz w:val="20"/>
          <w:szCs w:val="20"/>
          <w:color w:val="auto"/>
        </w:rPr>
      </w:pPr>
      <w:r>
        <w:rPr>
          <w:rFonts w:ascii="Arial" w:cs="Arial" w:eastAsia="Arial" w:hAnsi="Arial"/>
          <w:sz w:val="16"/>
          <w:szCs w:val="16"/>
          <w:color w:val="auto"/>
        </w:rPr>
        <w:t>The amounts collected in rates for SONGS' decommissioning are invested in externally managed trust funds. Amounts held by the trusts are invested in accordance with CPUC regulations. These trusts are shown on the Sempra Energy and SDG&amp;E Consolidated Balance Sheets at fair value with the offsetting credits recorded in Asset Retirement Obligations and Regulatory Liabilities Arising from Removal Obligations.</w:t>
      </w:r>
    </w:p>
    <w:p>
      <w:pPr>
        <w:spacing w:after="0" w:line="42"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shows the fair values and gross unrealized gains and losses for the securities held in the trust funds.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1164590</wp:posOffset>
            </wp:positionH>
            <wp:positionV relativeFrom="paragraph">
              <wp:posOffset>249555</wp:posOffset>
            </wp:positionV>
            <wp:extent cx="4935220" cy="24384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4935220" cy="243840"/>
                    </a:xfrm>
                    <a:prstGeom prst="rect">
                      <a:avLst/>
                    </a:prstGeom>
                    <a:noFill/>
                  </pic:spPr>
                </pic:pic>
              </a:graphicData>
            </a:graphic>
          </wp:anchor>
        </w:drawing>
      </w:r>
    </w:p>
    <w:p>
      <w:pPr>
        <w:spacing w:after="0" w:line="381" w:lineRule="exact"/>
        <w:rPr>
          <w:sz w:val="20"/>
          <w:szCs w:val="20"/>
          <w:color w:val="auto"/>
        </w:rPr>
      </w:pPr>
    </w:p>
    <w:p>
      <w:pPr>
        <w:ind w:left="1840"/>
        <w:spacing w:after="0"/>
        <w:rPr>
          <w:sz w:val="20"/>
          <w:szCs w:val="20"/>
          <w:color w:val="auto"/>
        </w:rPr>
      </w:pPr>
      <w:r>
        <w:rPr>
          <w:rFonts w:ascii="Arial" w:cs="Arial" w:eastAsia="Arial" w:hAnsi="Arial"/>
          <w:sz w:val="14"/>
          <w:szCs w:val="14"/>
          <w:b w:val="1"/>
          <w:bCs w:val="1"/>
          <w:color w:val="auto"/>
        </w:rPr>
        <w:t>NUCLEAR DECOMMISSIONING TRUSTS</w:t>
      </w:r>
    </w:p>
    <w:p>
      <w:pPr>
        <w:spacing w:after="0" w:line="40" w:lineRule="exact"/>
        <w:rPr>
          <w:sz w:val="20"/>
          <w:szCs w:val="20"/>
          <w:color w:val="auto"/>
        </w:rPr>
      </w:pPr>
    </w:p>
    <w:p>
      <w:pPr>
        <w:ind w:left="1840"/>
        <w:spacing w:after="0"/>
        <w:rPr>
          <w:sz w:val="20"/>
          <w:szCs w:val="20"/>
          <w:color w:val="auto"/>
        </w:rPr>
      </w:pPr>
      <w:r>
        <w:rPr>
          <w:rFonts w:ascii="Arial" w:cs="Arial" w:eastAsia="Arial" w:hAnsi="Arial"/>
          <w:sz w:val="13"/>
          <w:szCs w:val="13"/>
          <w:i w:val="1"/>
          <w:iCs w:val="1"/>
          <w:color w:val="auto"/>
        </w:rPr>
        <w:t>(Dollars in millions)</w:t>
      </w:r>
    </w:p>
    <w:p>
      <w:pPr>
        <w:spacing w:after="0" w:line="43" w:lineRule="exact"/>
        <w:rPr>
          <w:sz w:val="20"/>
          <w:szCs w:val="20"/>
          <w:color w:val="auto"/>
        </w:rPr>
      </w:pPr>
    </w:p>
    <w:tbl>
      <w:tblPr>
        <w:tblLayout w:type="fixed"/>
        <w:tblInd w:w="1840" w:type="dxa"/>
        <w:tblCellMar>
          <w:top w:w="0" w:type="dxa"/>
          <w:left w:w="0" w:type="dxa"/>
          <w:bottom w:w="0" w:type="dxa"/>
          <w:right w:w="0" w:type="dxa"/>
        </w:tblCellMar>
      </w:tblPr>
      <w:tr>
        <w:trPr>
          <w:trHeight w:val="154"/>
        </w:trPr>
        <w:tc>
          <w:tcPr>
            <w:tcW w:w="140" w:type="dxa"/>
            <w:vAlign w:val="bottom"/>
          </w:tcPr>
          <w:p>
            <w:pPr>
              <w:spacing w:after="0"/>
              <w:rPr>
                <w:sz w:val="13"/>
                <w:szCs w:val="13"/>
                <w:color w:val="auto"/>
              </w:rPr>
            </w:pPr>
          </w:p>
        </w:tc>
        <w:tc>
          <w:tcPr>
            <w:tcW w:w="23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tcPr>
          <w:p>
            <w:pPr>
              <w:jc w:val="right"/>
              <w:ind w:right="389"/>
              <w:spacing w:after="0"/>
              <w:rPr>
                <w:sz w:val="20"/>
                <w:szCs w:val="20"/>
                <w:color w:val="auto"/>
              </w:rPr>
            </w:pPr>
            <w:r>
              <w:rPr>
                <w:rFonts w:ascii="Arial" w:cs="Arial" w:eastAsia="Arial" w:hAnsi="Arial"/>
                <w:sz w:val="13"/>
                <w:szCs w:val="13"/>
                <w:color w:val="auto"/>
              </w:rPr>
              <w:t>Gross</w:t>
            </w:r>
          </w:p>
        </w:tc>
        <w:tc>
          <w:tcPr>
            <w:tcW w:w="240" w:type="dxa"/>
            <w:vAlign w:val="bottom"/>
          </w:tcPr>
          <w:p>
            <w:pPr>
              <w:spacing w:after="0"/>
              <w:rPr>
                <w:sz w:val="13"/>
                <w:szCs w:val="13"/>
                <w:color w:val="auto"/>
              </w:rPr>
            </w:pPr>
          </w:p>
        </w:tc>
        <w:tc>
          <w:tcPr>
            <w:tcW w:w="1200" w:type="dxa"/>
            <w:vAlign w:val="bottom"/>
          </w:tcPr>
          <w:p>
            <w:pPr>
              <w:jc w:val="right"/>
              <w:ind w:right="129"/>
              <w:spacing w:after="0"/>
              <w:rPr>
                <w:sz w:val="20"/>
                <w:szCs w:val="20"/>
                <w:color w:val="auto"/>
              </w:rPr>
            </w:pPr>
            <w:r>
              <w:rPr>
                <w:rFonts w:ascii="Arial" w:cs="Arial" w:eastAsia="Arial" w:hAnsi="Arial"/>
                <w:sz w:val="13"/>
                <w:szCs w:val="13"/>
                <w:color w:val="auto"/>
                <w:w w:val="97"/>
              </w:rPr>
              <w:t>Gross Unrealized</w:t>
            </w:r>
          </w:p>
        </w:tc>
        <w:tc>
          <w:tcPr>
            <w:tcW w:w="240" w:type="dxa"/>
            <w:vAlign w:val="bottom"/>
          </w:tcPr>
          <w:p>
            <w:pPr>
              <w:spacing w:after="0"/>
              <w:rPr>
                <w:sz w:val="13"/>
                <w:szCs w:val="13"/>
                <w:color w:val="auto"/>
              </w:rPr>
            </w:pPr>
          </w:p>
        </w:tc>
        <w:tc>
          <w:tcPr>
            <w:tcW w:w="1020" w:type="dxa"/>
            <w:vAlign w:val="bottom"/>
          </w:tcPr>
          <w:p>
            <w:pPr>
              <w:jc w:val="right"/>
              <w:ind w:right="49"/>
              <w:spacing w:after="0"/>
              <w:rPr>
                <w:sz w:val="20"/>
                <w:szCs w:val="20"/>
                <w:color w:val="auto"/>
              </w:rPr>
            </w:pPr>
            <w:r>
              <w:rPr>
                <w:rFonts w:ascii="Arial" w:cs="Arial" w:eastAsia="Arial" w:hAnsi="Arial"/>
                <w:sz w:val="13"/>
                <w:szCs w:val="13"/>
                <w:color w:val="auto"/>
              </w:rPr>
              <w:t>Estimated Fair</w:t>
            </w:r>
          </w:p>
        </w:tc>
      </w:tr>
      <w:tr>
        <w:trPr>
          <w:trHeight w:val="161"/>
        </w:trPr>
        <w:tc>
          <w:tcPr>
            <w:tcW w:w="140" w:type="dxa"/>
            <w:vAlign w:val="bottom"/>
            <w:tcBorders>
              <w:bottom w:val="single" w:sz="8" w:color="auto"/>
            </w:tcBorders>
          </w:tcPr>
          <w:p>
            <w:pPr>
              <w:spacing w:after="0"/>
              <w:rPr>
                <w:sz w:val="14"/>
                <w:szCs w:val="14"/>
                <w:color w:val="auto"/>
              </w:rPr>
            </w:pPr>
          </w:p>
        </w:tc>
        <w:tc>
          <w:tcPr>
            <w:tcW w:w="23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Cost</w:t>
            </w:r>
          </w:p>
        </w:tc>
        <w:tc>
          <w:tcPr>
            <w:tcW w:w="4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69"/>
              <w:spacing w:after="0"/>
              <w:rPr>
                <w:sz w:val="20"/>
                <w:szCs w:val="20"/>
                <w:color w:val="auto"/>
              </w:rPr>
            </w:pPr>
            <w:r>
              <w:rPr>
                <w:rFonts w:ascii="Arial" w:cs="Arial" w:eastAsia="Arial" w:hAnsi="Arial"/>
                <w:sz w:val="13"/>
                <w:szCs w:val="13"/>
                <w:color w:val="auto"/>
                <w:w w:val="98"/>
              </w:rPr>
              <w:t>Unrealized Gains</w:t>
            </w:r>
          </w:p>
        </w:tc>
        <w:tc>
          <w:tcPr>
            <w:tcW w:w="2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409"/>
              <w:spacing w:after="0"/>
              <w:rPr>
                <w:sz w:val="20"/>
                <w:szCs w:val="20"/>
                <w:color w:val="auto"/>
              </w:rPr>
            </w:pPr>
            <w:r>
              <w:rPr>
                <w:rFonts w:ascii="Arial" w:cs="Arial" w:eastAsia="Arial" w:hAnsi="Arial"/>
                <w:sz w:val="13"/>
                <w:szCs w:val="13"/>
                <w:color w:val="auto"/>
              </w:rPr>
              <w:t>Losses</w:t>
            </w:r>
          </w:p>
        </w:tc>
        <w:tc>
          <w:tcPr>
            <w:tcW w:w="2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309"/>
              <w:spacing w:after="0"/>
              <w:rPr>
                <w:sz w:val="20"/>
                <w:szCs w:val="20"/>
                <w:color w:val="auto"/>
              </w:rPr>
            </w:pPr>
            <w:r>
              <w:rPr>
                <w:rFonts w:ascii="Arial" w:cs="Arial" w:eastAsia="Arial" w:hAnsi="Arial"/>
                <w:sz w:val="13"/>
                <w:szCs w:val="13"/>
                <w:color w:val="auto"/>
              </w:rPr>
              <w:t>Value</w:t>
            </w:r>
          </w:p>
        </w:tc>
      </w:tr>
      <w:tr>
        <w:trPr>
          <w:trHeight w:val="207"/>
        </w:trPr>
        <w:tc>
          <w:tcPr>
            <w:tcW w:w="2460" w:type="dxa"/>
            <w:vAlign w:val="bottom"/>
            <w:gridSpan w:val="2"/>
          </w:tcPr>
          <w:p>
            <w:pPr>
              <w:spacing w:after="0"/>
              <w:rPr>
                <w:sz w:val="20"/>
                <w:szCs w:val="20"/>
                <w:color w:val="auto"/>
              </w:rPr>
            </w:pPr>
            <w:r>
              <w:rPr>
                <w:rFonts w:ascii="Arial" w:cs="Arial" w:eastAsia="Arial" w:hAnsi="Arial"/>
                <w:sz w:val="14"/>
                <w:szCs w:val="14"/>
                <w:b w:val="1"/>
                <w:bCs w:val="1"/>
                <w:color w:val="auto"/>
              </w:rPr>
              <w:t>As of December 31, 2008:</w:t>
            </w:r>
          </w:p>
        </w:tc>
        <w:tc>
          <w:tcPr>
            <w:tcW w:w="8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2460" w:type="dxa"/>
            <w:vAlign w:val="bottom"/>
            <w:gridSpan w:val="2"/>
          </w:tcPr>
          <w:p>
            <w:pPr>
              <w:spacing w:after="0"/>
              <w:rPr>
                <w:sz w:val="20"/>
                <w:szCs w:val="20"/>
                <w:color w:val="auto"/>
              </w:rPr>
            </w:pPr>
            <w:r>
              <w:rPr>
                <w:rFonts w:ascii="Arial" w:cs="Arial" w:eastAsia="Arial" w:hAnsi="Arial"/>
                <w:sz w:val="14"/>
                <w:szCs w:val="14"/>
                <w:color w:val="auto"/>
              </w:rPr>
              <w:t>Debt securities</w:t>
            </w:r>
          </w:p>
        </w:tc>
        <w:tc>
          <w:tcPr>
            <w:tcW w:w="8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140" w:type="dxa"/>
            <w:vAlign w:val="bottom"/>
          </w:tcPr>
          <w:p>
            <w:pPr>
              <w:spacing w:after="0"/>
              <w:rPr>
                <w:sz w:val="18"/>
                <w:szCs w:val="18"/>
                <w:color w:val="auto"/>
              </w:rPr>
            </w:pPr>
          </w:p>
        </w:tc>
        <w:tc>
          <w:tcPr>
            <w:tcW w:w="2320" w:type="dxa"/>
            <w:vAlign w:val="bottom"/>
          </w:tcPr>
          <w:p>
            <w:pPr>
              <w:ind w:left="80"/>
              <w:spacing w:after="0"/>
              <w:rPr>
                <w:sz w:val="20"/>
                <w:szCs w:val="20"/>
                <w:color w:val="auto"/>
              </w:rPr>
            </w:pPr>
            <w:r>
              <w:rPr>
                <w:rFonts w:ascii="Arial" w:cs="Arial" w:eastAsia="Arial" w:hAnsi="Arial"/>
                <w:sz w:val="14"/>
                <w:szCs w:val="14"/>
                <w:color w:val="auto"/>
              </w:rPr>
              <w:t>U.S. government issues*</w:t>
            </w:r>
          </w:p>
        </w:tc>
        <w:tc>
          <w:tcPr>
            <w:tcW w:w="820" w:type="dxa"/>
            <w:vAlign w:val="bottom"/>
          </w:tcPr>
          <w:p>
            <w:pPr>
              <w:jc w:val="right"/>
              <w:ind w:right="670"/>
              <w:spacing w:after="0"/>
              <w:rPr>
                <w:sz w:val="20"/>
                <w:szCs w:val="20"/>
                <w:color w:val="auto"/>
              </w:rPr>
            </w:pPr>
            <w:r>
              <w:rPr>
                <w:rFonts w:ascii="Arial" w:cs="Arial" w:eastAsia="Arial" w:hAnsi="Arial"/>
                <w:sz w:val="14"/>
                <w:szCs w:val="14"/>
                <w:color w:val="auto"/>
                <w:w w:val="76"/>
              </w:rPr>
              <w:t>$</w:t>
            </w:r>
          </w:p>
        </w:tc>
        <w:tc>
          <w:tcPr>
            <w:tcW w:w="420" w:type="dxa"/>
            <w:vAlign w:val="bottom"/>
          </w:tcPr>
          <w:p>
            <w:pPr>
              <w:jc w:val="right"/>
              <w:ind w:right="68"/>
              <w:spacing w:after="0"/>
              <w:rPr>
                <w:sz w:val="20"/>
                <w:szCs w:val="20"/>
                <w:color w:val="auto"/>
              </w:rPr>
            </w:pPr>
            <w:r>
              <w:rPr>
                <w:rFonts w:ascii="Arial" w:cs="Arial" w:eastAsia="Arial" w:hAnsi="Arial"/>
                <w:sz w:val="14"/>
                <w:szCs w:val="14"/>
                <w:color w:val="auto"/>
              </w:rPr>
              <w:t>127</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69"/>
              <w:spacing w:after="0"/>
              <w:rPr>
                <w:sz w:val="20"/>
                <w:szCs w:val="20"/>
                <w:color w:val="auto"/>
              </w:rPr>
            </w:pPr>
            <w:r>
              <w:rPr>
                <w:rFonts w:ascii="Arial" w:cs="Arial" w:eastAsia="Arial" w:hAnsi="Arial"/>
                <w:sz w:val="14"/>
                <w:szCs w:val="14"/>
                <w:color w:val="auto"/>
              </w:rPr>
              <w:t>28</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109"/>
              <w:spacing w:after="0"/>
              <w:rPr>
                <w:sz w:val="20"/>
                <w:szCs w:val="20"/>
                <w:color w:val="auto"/>
              </w:rPr>
            </w:pPr>
            <w:r>
              <w:rPr>
                <w:rFonts w:ascii="Arial" w:cs="Arial" w:eastAsia="Arial" w:hAnsi="Arial"/>
                <w:sz w:val="14"/>
                <w:szCs w:val="14"/>
                <w:color w:val="auto"/>
              </w:rPr>
              <w:t>--</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155</w:t>
            </w:r>
          </w:p>
        </w:tc>
      </w:tr>
      <w:tr>
        <w:trPr>
          <w:trHeight w:val="222"/>
        </w:trPr>
        <w:tc>
          <w:tcPr>
            <w:tcW w:w="140" w:type="dxa"/>
            <w:vAlign w:val="bottom"/>
          </w:tcPr>
          <w:p>
            <w:pPr>
              <w:spacing w:after="0"/>
              <w:rPr>
                <w:sz w:val="19"/>
                <w:szCs w:val="19"/>
                <w:color w:val="auto"/>
              </w:rPr>
            </w:pPr>
          </w:p>
        </w:tc>
        <w:tc>
          <w:tcPr>
            <w:tcW w:w="2320" w:type="dxa"/>
            <w:vAlign w:val="bottom"/>
          </w:tcPr>
          <w:p>
            <w:pPr>
              <w:ind w:left="80"/>
              <w:spacing w:after="0"/>
              <w:rPr>
                <w:sz w:val="20"/>
                <w:szCs w:val="20"/>
                <w:color w:val="auto"/>
              </w:rPr>
            </w:pPr>
            <w:r>
              <w:rPr>
                <w:rFonts w:ascii="Arial" w:cs="Arial" w:eastAsia="Arial" w:hAnsi="Arial"/>
                <w:sz w:val="14"/>
                <w:szCs w:val="14"/>
                <w:color w:val="auto"/>
              </w:rPr>
              <w:t>Municipal bonds**</w:t>
            </w:r>
          </w:p>
        </w:tc>
        <w:tc>
          <w:tcPr>
            <w:tcW w:w="8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69</w:t>
            </w: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1</w:t>
            </w: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(9 )</w:t>
            </w: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61</w:t>
            </w:r>
          </w:p>
        </w:tc>
      </w:tr>
      <w:tr>
        <w:trPr>
          <w:trHeight w:val="202"/>
        </w:trPr>
        <w:tc>
          <w:tcPr>
            <w:tcW w:w="2460" w:type="dxa"/>
            <w:vAlign w:val="bottom"/>
            <w:gridSpan w:val="2"/>
          </w:tcPr>
          <w:p>
            <w:pPr>
              <w:spacing w:after="0"/>
              <w:rPr>
                <w:sz w:val="20"/>
                <w:szCs w:val="20"/>
                <w:color w:val="auto"/>
              </w:rPr>
            </w:pPr>
            <w:r>
              <w:rPr>
                <w:rFonts w:ascii="Arial" w:cs="Arial" w:eastAsia="Arial" w:hAnsi="Arial"/>
                <w:sz w:val="14"/>
                <w:szCs w:val="14"/>
                <w:color w:val="auto"/>
              </w:rPr>
              <w:t>Total debt securities</w:t>
            </w:r>
          </w:p>
        </w:tc>
        <w:tc>
          <w:tcPr>
            <w:tcW w:w="820" w:type="dxa"/>
            <w:vAlign w:val="bottom"/>
          </w:tcPr>
          <w:p>
            <w:pPr>
              <w:spacing w:after="0"/>
              <w:rPr>
                <w:sz w:val="17"/>
                <w:szCs w:val="17"/>
                <w:color w:val="auto"/>
              </w:rPr>
            </w:pPr>
          </w:p>
        </w:tc>
        <w:tc>
          <w:tcPr>
            <w:tcW w:w="420" w:type="dxa"/>
            <w:vAlign w:val="bottom"/>
          </w:tcPr>
          <w:p>
            <w:pPr>
              <w:jc w:val="right"/>
              <w:ind w:right="68"/>
              <w:spacing w:after="0"/>
              <w:rPr>
                <w:sz w:val="20"/>
                <w:szCs w:val="20"/>
                <w:color w:val="auto"/>
              </w:rPr>
            </w:pPr>
            <w:r>
              <w:rPr>
                <w:rFonts w:ascii="Arial" w:cs="Arial" w:eastAsia="Arial" w:hAnsi="Arial"/>
                <w:sz w:val="14"/>
                <w:szCs w:val="14"/>
                <w:color w:val="auto"/>
              </w:rPr>
              <w:t>196</w:t>
            </w:r>
          </w:p>
        </w:tc>
        <w:tc>
          <w:tcPr>
            <w:tcW w:w="220" w:type="dxa"/>
            <w:vAlign w:val="bottom"/>
          </w:tcPr>
          <w:p>
            <w:pPr>
              <w:spacing w:after="0"/>
              <w:rPr>
                <w:sz w:val="17"/>
                <w:szCs w:val="17"/>
                <w:color w:val="auto"/>
              </w:rPr>
            </w:pPr>
          </w:p>
        </w:tc>
        <w:tc>
          <w:tcPr>
            <w:tcW w:w="1140" w:type="dxa"/>
            <w:vAlign w:val="bottom"/>
          </w:tcPr>
          <w:p>
            <w:pPr>
              <w:jc w:val="right"/>
              <w:ind w:right="69"/>
              <w:spacing w:after="0"/>
              <w:rPr>
                <w:sz w:val="20"/>
                <w:szCs w:val="20"/>
                <w:color w:val="auto"/>
              </w:rPr>
            </w:pPr>
            <w:r>
              <w:rPr>
                <w:rFonts w:ascii="Arial" w:cs="Arial" w:eastAsia="Arial" w:hAnsi="Arial"/>
                <w:sz w:val="14"/>
                <w:szCs w:val="14"/>
                <w:color w:val="auto"/>
              </w:rPr>
              <w:t>29</w:t>
            </w:r>
          </w:p>
        </w:tc>
        <w:tc>
          <w:tcPr>
            <w:tcW w:w="240" w:type="dxa"/>
            <w:vAlign w:val="bottom"/>
          </w:tcPr>
          <w:p>
            <w:pPr>
              <w:spacing w:after="0"/>
              <w:rPr>
                <w:sz w:val="17"/>
                <w:szCs w:val="17"/>
                <w:color w:val="auto"/>
              </w:rPr>
            </w:pPr>
          </w:p>
        </w:tc>
        <w:tc>
          <w:tcPr>
            <w:tcW w:w="1200" w:type="dxa"/>
            <w:vAlign w:val="bottom"/>
          </w:tcPr>
          <w:p>
            <w:pPr>
              <w:jc w:val="right"/>
              <w:ind w:right="29"/>
              <w:spacing w:after="0"/>
              <w:rPr>
                <w:sz w:val="20"/>
                <w:szCs w:val="20"/>
                <w:color w:val="auto"/>
              </w:rPr>
            </w:pPr>
            <w:r>
              <w:rPr>
                <w:rFonts w:ascii="Arial" w:cs="Arial" w:eastAsia="Arial" w:hAnsi="Arial"/>
                <w:sz w:val="14"/>
                <w:szCs w:val="14"/>
                <w:color w:val="auto"/>
              </w:rPr>
              <w:t>(9 )</w:t>
            </w:r>
          </w:p>
        </w:tc>
        <w:tc>
          <w:tcPr>
            <w:tcW w:w="2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216</w:t>
            </w:r>
          </w:p>
        </w:tc>
      </w:tr>
      <w:tr>
        <w:trPr>
          <w:trHeight w:val="216"/>
        </w:trPr>
        <w:tc>
          <w:tcPr>
            <w:tcW w:w="2460" w:type="dxa"/>
            <w:vAlign w:val="bottom"/>
            <w:gridSpan w:val="2"/>
          </w:tcPr>
          <w:p>
            <w:pPr>
              <w:spacing w:after="0"/>
              <w:rPr>
                <w:sz w:val="20"/>
                <w:szCs w:val="20"/>
                <w:color w:val="auto"/>
              </w:rPr>
            </w:pPr>
            <w:r>
              <w:rPr>
                <w:rFonts w:ascii="Arial" w:cs="Arial" w:eastAsia="Arial" w:hAnsi="Arial"/>
                <w:sz w:val="14"/>
                <w:szCs w:val="14"/>
                <w:color w:val="auto"/>
              </w:rPr>
              <w:t>Equity securities</w:t>
            </w:r>
          </w:p>
        </w:tc>
        <w:tc>
          <w:tcPr>
            <w:tcW w:w="820" w:type="dxa"/>
            <w:vAlign w:val="bottom"/>
          </w:tcPr>
          <w:p>
            <w:pPr>
              <w:spacing w:after="0"/>
              <w:rPr>
                <w:sz w:val="18"/>
                <w:szCs w:val="18"/>
                <w:color w:val="auto"/>
              </w:rPr>
            </w:pPr>
          </w:p>
        </w:tc>
        <w:tc>
          <w:tcPr>
            <w:tcW w:w="420" w:type="dxa"/>
            <w:vAlign w:val="bottom"/>
          </w:tcPr>
          <w:p>
            <w:pPr>
              <w:jc w:val="right"/>
              <w:ind w:right="68"/>
              <w:spacing w:after="0"/>
              <w:rPr>
                <w:sz w:val="20"/>
                <w:szCs w:val="20"/>
                <w:color w:val="auto"/>
              </w:rPr>
            </w:pPr>
            <w:r>
              <w:rPr>
                <w:rFonts w:ascii="Arial" w:cs="Arial" w:eastAsia="Arial" w:hAnsi="Arial"/>
                <w:sz w:val="14"/>
                <w:szCs w:val="14"/>
                <w:color w:val="auto"/>
              </w:rPr>
              <w:t>251</w:t>
            </w:r>
          </w:p>
        </w:tc>
        <w:tc>
          <w:tcPr>
            <w:tcW w:w="220" w:type="dxa"/>
            <w:vAlign w:val="bottom"/>
          </w:tcPr>
          <w:p>
            <w:pPr>
              <w:spacing w:after="0"/>
              <w:rPr>
                <w:sz w:val="18"/>
                <w:szCs w:val="18"/>
                <w:color w:val="auto"/>
              </w:rPr>
            </w:pPr>
          </w:p>
        </w:tc>
        <w:tc>
          <w:tcPr>
            <w:tcW w:w="1140" w:type="dxa"/>
            <w:vAlign w:val="bottom"/>
          </w:tcPr>
          <w:p>
            <w:pPr>
              <w:jc w:val="right"/>
              <w:ind w:right="69"/>
              <w:spacing w:after="0"/>
              <w:rPr>
                <w:sz w:val="20"/>
                <w:szCs w:val="20"/>
                <w:color w:val="auto"/>
              </w:rPr>
            </w:pPr>
            <w:r>
              <w:rPr>
                <w:rFonts w:ascii="Arial" w:cs="Arial" w:eastAsia="Arial" w:hAnsi="Arial"/>
                <w:sz w:val="14"/>
                <w:szCs w:val="14"/>
                <w:color w:val="auto"/>
              </w:rPr>
              <w:t>105</w:t>
            </w:r>
          </w:p>
        </w:tc>
        <w:tc>
          <w:tcPr>
            <w:tcW w:w="240" w:type="dxa"/>
            <w:vAlign w:val="bottom"/>
          </w:tcPr>
          <w:p>
            <w:pPr>
              <w:spacing w:after="0"/>
              <w:rPr>
                <w:sz w:val="18"/>
                <w:szCs w:val="18"/>
                <w:color w:val="auto"/>
              </w:rPr>
            </w:pPr>
          </w:p>
        </w:tc>
        <w:tc>
          <w:tcPr>
            <w:tcW w:w="1200" w:type="dxa"/>
            <w:vAlign w:val="bottom"/>
          </w:tcPr>
          <w:p>
            <w:pPr>
              <w:jc w:val="right"/>
              <w:ind w:right="29"/>
              <w:spacing w:after="0"/>
              <w:rPr>
                <w:sz w:val="20"/>
                <w:szCs w:val="20"/>
                <w:color w:val="auto"/>
              </w:rPr>
            </w:pPr>
            <w:r>
              <w:rPr>
                <w:rFonts w:ascii="Arial" w:cs="Arial" w:eastAsia="Arial" w:hAnsi="Arial"/>
                <w:sz w:val="14"/>
                <w:szCs w:val="14"/>
                <w:color w:val="auto"/>
              </w:rPr>
              <w:t>(36 )</w:t>
            </w: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320</w:t>
            </w:r>
          </w:p>
        </w:tc>
      </w:tr>
      <w:tr>
        <w:trPr>
          <w:trHeight w:val="222"/>
        </w:trPr>
        <w:tc>
          <w:tcPr>
            <w:tcW w:w="2460" w:type="dxa"/>
            <w:vAlign w:val="bottom"/>
            <w:gridSpan w:val="2"/>
          </w:tcPr>
          <w:p>
            <w:pPr>
              <w:spacing w:after="0"/>
              <w:rPr>
                <w:sz w:val="20"/>
                <w:szCs w:val="20"/>
                <w:color w:val="auto"/>
              </w:rPr>
            </w:pPr>
            <w:r>
              <w:rPr>
                <w:rFonts w:ascii="Arial" w:cs="Arial" w:eastAsia="Arial" w:hAnsi="Arial"/>
                <w:sz w:val="14"/>
                <w:szCs w:val="14"/>
                <w:color w:val="auto"/>
              </w:rPr>
              <w:t>Cash and other securities***</w:t>
            </w:r>
          </w:p>
        </w:tc>
        <w:tc>
          <w:tcPr>
            <w:tcW w:w="8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40</w:t>
            </w: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3</w:t>
            </w: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(2 )</w:t>
            </w: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w:t>
            </w:r>
          </w:p>
        </w:tc>
      </w:tr>
      <w:tr>
        <w:trPr>
          <w:trHeight w:val="224"/>
        </w:trPr>
        <w:tc>
          <w:tcPr>
            <w:tcW w:w="2460" w:type="dxa"/>
            <w:vAlign w:val="bottom"/>
            <w:gridSpan w:val="2"/>
          </w:tcPr>
          <w:p>
            <w:pPr>
              <w:spacing w:after="0"/>
              <w:rPr>
                <w:sz w:val="20"/>
                <w:szCs w:val="20"/>
                <w:color w:val="auto"/>
              </w:rPr>
            </w:pPr>
            <w:r>
              <w:rPr>
                <w:rFonts w:ascii="Arial" w:cs="Arial" w:eastAsia="Arial" w:hAnsi="Arial"/>
                <w:sz w:val="14"/>
                <w:szCs w:val="14"/>
                <w:color w:val="auto"/>
              </w:rPr>
              <w:t>Total available-for-sale securities</w:t>
            </w:r>
          </w:p>
        </w:tc>
        <w:tc>
          <w:tcPr>
            <w:tcW w:w="820" w:type="dxa"/>
            <w:vAlign w:val="bottom"/>
            <w:tcBorders>
              <w:bottom w:val="single" w:sz="8" w:color="auto"/>
            </w:tcBorders>
          </w:tcPr>
          <w:p>
            <w:pPr>
              <w:jc w:val="right"/>
              <w:ind w:right="630"/>
              <w:spacing w:after="0"/>
              <w:rPr>
                <w:sz w:val="20"/>
                <w:szCs w:val="20"/>
                <w:color w:val="auto"/>
              </w:rPr>
            </w:pPr>
            <w:r>
              <w:rPr>
                <w:rFonts w:ascii="Arial" w:cs="Arial" w:eastAsia="Arial" w:hAnsi="Arial"/>
                <w:sz w:val="14"/>
                <w:szCs w:val="14"/>
                <w:color w:val="auto"/>
              </w:rPr>
              <w:t>$</w:t>
            </w:r>
          </w:p>
        </w:tc>
        <w:tc>
          <w:tcPr>
            <w:tcW w:w="4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487</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137</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(47 )</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577</w:t>
            </w:r>
          </w:p>
        </w:tc>
      </w:tr>
      <w:tr>
        <w:trPr>
          <w:trHeight w:val="643"/>
        </w:trPr>
        <w:tc>
          <w:tcPr>
            <w:tcW w:w="2460" w:type="dxa"/>
            <w:vAlign w:val="bottom"/>
            <w:gridSpan w:val="2"/>
          </w:tcPr>
          <w:p>
            <w:pPr>
              <w:spacing w:after="0"/>
              <w:rPr>
                <w:sz w:val="20"/>
                <w:szCs w:val="20"/>
                <w:color w:val="auto"/>
              </w:rPr>
            </w:pPr>
            <w:r>
              <w:rPr>
                <w:rFonts w:ascii="Arial" w:cs="Arial" w:eastAsia="Arial" w:hAnsi="Arial"/>
                <w:sz w:val="14"/>
                <w:szCs w:val="14"/>
                <w:b w:val="1"/>
                <w:bCs w:val="1"/>
                <w:color w:val="auto"/>
              </w:rPr>
              <w:t>As of December 31, 2007:</w:t>
            </w:r>
          </w:p>
        </w:tc>
        <w:tc>
          <w:tcPr>
            <w:tcW w:w="8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16"/>
        </w:trPr>
        <w:tc>
          <w:tcPr>
            <w:tcW w:w="2460" w:type="dxa"/>
            <w:vAlign w:val="bottom"/>
            <w:gridSpan w:val="2"/>
          </w:tcPr>
          <w:p>
            <w:pPr>
              <w:spacing w:after="0"/>
              <w:rPr>
                <w:sz w:val="20"/>
                <w:szCs w:val="20"/>
                <w:color w:val="auto"/>
              </w:rPr>
            </w:pPr>
            <w:r>
              <w:rPr>
                <w:rFonts w:ascii="Arial" w:cs="Arial" w:eastAsia="Arial" w:hAnsi="Arial"/>
                <w:sz w:val="14"/>
                <w:szCs w:val="14"/>
                <w:color w:val="auto"/>
              </w:rPr>
              <w:t>Debt securities</w:t>
            </w:r>
          </w:p>
        </w:tc>
        <w:tc>
          <w:tcPr>
            <w:tcW w:w="8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140" w:type="dxa"/>
            <w:vAlign w:val="bottom"/>
          </w:tcPr>
          <w:p>
            <w:pPr>
              <w:spacing w:after="0"/>
              <w:rPr>
                <w:sz w:val="18"/>
                <w:szCs w:val="18"/>
                <w:color w:val="auto"/>
              </w:rPr>
            </w:pPr>
          </w:p>
        </w:tc>
        <w:tc>
          <w:tcPr>
            <w:tcW w:w="2320" w:type="dxa"/>
            <w:vAlign w:val="bottom"/>
          </w:tcPr>
          <w:p>
            <w:pPr>
              <w:ind w:left="80"/>
              <w:spacing w:after="0"/>
              <w:rPr>
                <w:sz w:val="20"/>
                <w:szCs w:val="20"/>
                <w:color w:val="auto"/>
              </w:rPr>
            </w:pPr>
            <w:r>
              <w:rPr>
                <w:rFonts w:ascii="Arial" w:cs="Arial" w:eastAsia="Arial" w:hAnsi="Arial"/>
                <w:sz w:val="14"/>
                <w:szCs w:val="14"/>
                <w:color w:val="auto"/>
              </w:rPr>
              <w:t>U.S. government issues</w:t>
            </w:r>
          </w:p>
        </w:tc>
        <w:tc>
          <w:tcPr>
            <w:tcW w:w="820" w:type="dxa"/>
            <w:vAlign w:val="bottom"/>
          </w:tcPr>
          <w:p>
            <w:pPr>
              <w:jc w:val="right"/>
              <w:ind w:right="630"/>
              <w:spacing w:after="0"/>
              <w:rPr>
                <w:sz w:val="20"/>
                <w:szCs w:val="20"/>
                <w:color w:val="auto"/>
              </w:rPr>
            </w:pPr>
            <w:r>
              <w:rPr>
                <w:rFonts w:ascii="Arial" w:cs="Arial" w:eastAsia="Arial" w:hAnsi="Arial"/>
                <w:sz w:val="14"/>
                <w:szCs w:val="14"/>
                <w:color w:val="auto"/>
              </w:rPr>
              <w:t>$</w:t>
            </w:r>
          </w:p>
        </w:tc>
        <w:tc>
          <w:tcPr>
            <w:tcW w:w="420" w:type="dxa"/>
            <w:vAlign w:val="bottom"/>
          </w:tcPr>
          <w:p>
            <w:pPr>
              <w:jc w:val="right"/>
              <w:ind w:right="68"/>
              <w:spacing w:after="0"/>
              <w:rPr>
                <w:sz w:val="20"/>
                <w:szCs w:val="20"/>
                <w:color w:val="auto"/>
              </w:rPr>
            </w:pPr>
            <w:r>
              <w:rPr>
                <w:rFonts w:ascii="Arial" w:cs="Arial" w:eastAsia="Arial" w:hAnsi="Arial"/>
                <w:sz w:val="14"/>
                <w:szCs w:val="14"/>
                <w:color w:val="auto"/>
              </w:rPr>
              <w:t>168</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69"/>
              <w:spacing w:after="0"/>
              <w:rPr>
                <w:sz w:val="20"/>
                <w:szCs w:val="20"/>
                <w:color w:val="auto"/>
              </w:rPr>
            </w:pPr>
            <w:r>
              <w:rPr>
                <w:rFonts w:ascii="Arial" w:cs="Arial" w:eastAsia="Arial" w:hAnsi="Arial"/>
                <w:sz w:val="14"/>
                <w:szCs w:val="14"/>
                <w:color w:val="auto"/>
              </w:rPr>
              <w:t>15</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109"/>
              <w:spacing w:after="0"/>
              <w:rPr>
                <w:sz w:val="20"/>
                <w:szCs w:val="20"/>
                <w:color w:val="auto"/>
              </w:rPr>
            </w:pPr>
            <w:r>
              <w:rPr>
                <w:rFonts w:ascii="Arial" w:cs="Arial" w:eastAsia="Arial" w:hAnsi="Arial"/>
                <w:sz w:val="14"/>
                <w:szCs w:val="14"/>
                <w:color w:val="auto"/>
              </w:rPr>
              <w:t>--</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183</w:t>
            </w:r>
          </w:p>
        </w:tc>
      </w:tr>
      <w:tr>
        <w:trPr>
          <w:trHeight w:val="222"/>
        </w:trPr>
        <w:tc>
          <w:tcPr>
            <w:tcW w:w="140" w:type="dxa"/>
            <w:vAlign w:val="bottom"/>
          </w:tcPr>
          <w:p>
            <w:pPr>
              <w:spacing w:after="0"/>
              <w:rPr>
                <w:sz w:val="19"/>
                <w:szCs w:val="19"/>
                <w:color w:val="auto"/>
              </w:rPr>
            </w:pPr>
          </w:p>
        </w:tc>
        <w:tc>
          <w:tcPr>
            <w:tcW w:w="2320" w:type="dxa"/>
            <w:vAlign w:val="bottom"/>
          </w:tcPr>
          <w:p>
            <w:pPr>
              <w:ind w:left="80"/>
              <w:spacing w:after="0"/>
              <w:rPr>
                <w:sz w:val="20"/>
                <w:szCs w:val="20"/>
                <w:color w:val="auto"/>
              </w:rPr>
            </w:pPr>
            <w:r>
              <w:rPr>
                <w:rFonts w:ascii="Arial" w:cs="Arial" w:eastAsia="Arial" w:hAnsi="Arial"/>
                <w:sz w:val="14"/>
                <w:szCs w:val="14"/>
                <w:color w:val="auto"/>
              </w:rPr>
              <w:t>Municipal bonds</w:t>
            </w:r>
          </w:p>
        </w:tc>
        <w:tc>
          <w:tcPr>
            <w:tcW w:w="8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77</w:t>
            </w: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1</w:t>
            </w: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(2 )</w:t>
            </w: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76</w:t>
            </w:r>
          </w:p>
        </w:tc>
      </w:tr>
      <w:tr>
        <w:trPr>
          <w:trHeight w:val="202"/>
        </w:trPr>
        <w:tc>
          <w:tcPr>
            <w:tcW w:w="2460" w:type="dxa"/>
            <w:vAlign w:val="bottom"/>
            <w:gridSpan w:val="2"/>
          </w:tcPr>
          <w:p>
            <w:pPr>
              <w:spacing w:after="0"/>
              <w:rPr>
                <w:sz w:val="20"/>
                <w:szCs w:val="20"/>
                <w:color w:val="auto"/>
              </w:rPr>
            </w:pPr>
            <w:r>
              <w:rPr>
                <w:rFonts w:ascii="Arial" w:cs="Arial" w:eastAsia="Arial" w:hAnsi="Arial"/>
                <w:sz w:val="14"/>
                <w:szCs w:val="14"/>
                <w:color w:val="auto"/>
              </w:rPr>
              <w:t>Total debt securities</w:t>
            </w:r>
          </w:p>
        </w:tc>
        <w:tc>
          <w:tcPr>
            <w:tcW w:w="820" w:type="dxa"/>
            <w:vAlign w:val="bottom"/>
          </w:tcPr>
          <w:p>
            <w:pPr>
              <w:spacing w:after="0"/>
              <w:rPr>
                <w:sz w:val="17"/>
                <w:szCs w:val="17"/>
                <w:color w:val="auto"/>
              </w:rPr>
            </w:pPr>
          </w:p>
        </w:tc>
        <w:tc>
          <w:tcPr>
            <w:tcW w:w="420" w:type="dxa"/>
            <w:vAlign w:val="bottom"/>
          </w:tcPr>
          <w:p>
            <w:pPr>
              <w:jc w:val="right"/>
              <w:ind w:right="68"/>
              <w:spacing w:after="0"/>
              <w:rPr>
                <w:sz w:val="20"/>
                <w:szCs w:val="20"/>
                <w:color w:val="auto"/>
              </w:rPr>
            </w:pPr>
            <w:r>
              <w:rPr>
                <w:rFonts w:ascii="Arial" w:cs="Arial" w:eastAsia="Arial" w:hAnsi="Arial"/>
                <w:sz w:val="14"/>
                <w:szCs w:val="14"/>
                <w:color w:val="auto"/>
              </w:rPr>
              <w:t>245</w:t>
            </w:r>
          </w:p>
        </w:tc>
        <w:tc>
          <w:tcPr>
            <w:tcW w:w="220" w:type="dxa"/>
            <w:vAlign w:val="bottom"/>
          </w:tcPr>
          <w:p>
            <w:pPr>
              <w:spacing w:after="0"/>
              <w:rPr>
                <w:sz w:val="17"/>
                <w:szCs w:val="17"/>
                <w:color w:val="auto"/>
              </w:rPr>
            </w:pPr>
          </w:p>
        </w:tc>
        <w:tc>
          <w:tcPr>
            <w:tcW w:w="1140" w:type="dxa"/>
            <w:vAlign w:val="bottom"/>
          </w:tcPr>
          <w:p>
            <w:pPr>
              <w:jc w:val="right"/>
              <w:ind w:right="69"/>
              <w:spacing w:after="0"/>
              <w:rPr>
                <w:sz w:val="20"/>
                <w:szCs w:val="20"/>
                <w:color w:val="auto"/>
              </w:rPr>
            </w:pPr>
            <w:r>
              <w:rPr>
                <w:rFonts w:ascii="Arial" w:cs="Arial" w:eastAsia="Arial" w:hAnsi="Arial"/>
                <w:sz w:val="14"/>
                <w:szCs w:val="14"/>
                <w:color w:val="auto"/>
              </w:rPr>
              <w:t>16</w:t>
            </w:r>
          </w:p>
        </w:tc>
        <w:tc>
          <w:tcPr>
            <w:tcW w:w="240" w:type="dxa"/>
            <w:vAlign w:val="bottom"/>
          </w:tcPr>
          <w:p>
            <w:pPr>
              <w:spacing w:after="0"/>
              <w:rPr>
                <w:sz w:val="17"/>
                <w:szCs w:val="17"/>
                <w:color w:val="auto"/>
              </w:rPr>
            </w:pPr>
          </w:p>
        </w:tc>
        <w:tc>
          <w:tcPr>
            <w:tcW w:w="1200" w:type="dxa"/>
            <w:vAlign w:val="bottom"/>
          </w:tcPr>
          <w:p>
            <w:pPr>
              <w:jc w:val="right"/>
              <w:ind w:right="29"/>
              <w:spacing w:after="0"/>
              <w:rPr>
                <w:sz w:val="20"/>
                <w:szCs w:val="20"/>
                <w:color w:val="auto"/>
              </w:rPr>
            </w:pPr>
            <w:r>
              <w:rPr>
                <w:rFonts w:ascii="Arial" w:cs="Arial" w:eastAsia="Arial" w:hAnsi="Arial"/>
                <w:sz w:val="14"/>
                <w:szCs w:val="14"/>
                <w:color w:val="auto"/>
              </w:rPr>
              <w:t>(2 )</w:t>
            </w:r>
          </w:p>
        </w:tc>
        <w:tc>
          <w:tcPr>
            <w:tcW w:w="2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259</w:t>
            </w:r>
          </w:p>
        </w:tc>
      </w:tr>
      <w:tr>
        <w:trPr>
          <w:trHeight w:val="216"/>
        </w:trPr>
        <w:tc>
          <w:tcPr>
            <w:tcW w:w="2460" w:type="dxa"/>
            <w:vAlign w:val="bottom"/>
            <w:gridSpan w:val="2"/>
          </w:tcPr>
          <w:p>
            <w:pPr>
              <w:spacing w:after="0"/>
              <w:rPr>
                <w:sz w:val="20"/>
                <w:szCs w:val="20"/>
                <w:color w:val="auto"/>
              </w:rPr>
            </w:pPr>
            <w:r>
              <w:rPr>
                <w:rFonts w:ascii="Arial" w:cs="Arial" w:eastAsia="Arial" w:hAnsi="Arial"/>
                <w:sz w:val="14"/>
                <w:szCs w:val="14"/>
                <w:color w:val="auto"/>
              </w:rPr>
              <w:t>Equity securities</w:t>
            </w:r>
          </w:p>
        </w:tc>
        <w:tc>
          <w:tcPr>
            <w:tcW w:w="820" w:type="dxa"/>
            <w:vAlign w:val="bottom"/>
          </w:tcPr>
          <w:p>
            <w:pPr>
              <w:spacing w:after="0"/>
              <w:rPr>
                <w:sz w:val="18"/>
                <w:szCs w:val="18"/>
                <w:color w:val="auto"/>
              </w:rPr>
            </w:pPr>
          </w:p>
        </w:tc>
        <w:tc>
          <w:tcPr>
            <w:tcW w:w="420" w:type="dxa"/>
            <w:vAlign w:val="bottom"/>
          </w:tcPr>
          <w:p>
            <w:pPr>
              <w:jc w:val="right"/>
              <w:ind w:right="68"/>
              <w:spacing w:after="0"/>
              <w:rPr>
                <w:sz w:val="20"/>
                <w:szCs w:val="20"/>
                <w:color w:val="auto"/>
              </w:rPr>
            </w:pPr>
            <w:r>
              <w:rPr>
                <w:rFonts w:ascii="Arial" w:cs="Arial" w:eastAsia="Arial" w:hAnsi="Arial"/>
                <w:sz w:val="14"/>
                <w:szCs w:val="14"/>
                <w:color w:val="auto"/>
              </w:rPr>
              <w:t>204</w:t>
            </w:r>
          </w:p>
        </w:tc>
        <w:tc>
          <w:tcPr>
            <w:tcW w:w="220" w:type="dxa"/>
            <w:vAlign w:val="bottom"/>
          </w:tcPr>
          <w:p>
            <w:pPr>
              <w:spacing w:after="0"/>
              <w:rPr>
                <w:sz w:val="18"/>
                <w:szCs w:val="18"/>
                <w:color w:val="auto"/>
              </w:rPr>
            </w:pPr>
          </w:p>
        </w:tc>
        <w:tc>
          <w:tcPr>
            <w:tcW w:w="1140" w:type="dxa"/>
            <w:vAlign w:val="bottom"/>
          </w:tcPr>
          <w:p>
            <w:pPr>
              <w:jc w:val="right"/>
              <w:ind w:right="69"/>
              <w:spacing w:after="0"/>
              <w:rPr>
                <w:sz w:val="20"/>
                <w:szCs w:val="20"/>
                <w:color w:val="auto"/>
              </w:rPr>
            </w:pPr>
            <w:r>
              <w:rPr>
                <w:rFonts w:ascii="Arial" w:cs="Arial" w:eastAsia="Arial" w:hAnsi="Arial"/>
                <w:sz w:val="14"/>
                <w:szCs w:val="14"/>
                <w:color w:val="auto"/>
              </w:rPr>
              <w:t>234</w:t>
            </w:r>
          </w:p>
        </w:tc>
        <w:tc>
          <w:tcPr>
            <w:tcW w:w="240" w:type="dxa"/>
            <w:vAlign w:val="bottom"/>
          </w:tcPr>
          <w:p>
            <w:pPr>
              <w:spacing w:after="0"/>
              <w:rPr>
                <w:sz w:val="18"/>
                <w:szCs w:val="18"/>
                <w:color w:val="auto"/>
              </w:rPr>
            </w:pPr>
          </w:p>
        </w:tc>
        <w:tc>
          <w:tcPr>
            <w:tcW w:w="1200" w:type="dxa"/>
            <w:vAlign w:val="bottom"/>
          </w:tcPr>
          <w:p>
            <w:pPr>
              <w:jc w:val="right"/>
              <w:ind w:right="29"/>
              <w:spacing w:after="0"/>
              <w:rPr>
                <w:sz w:val="20"/>
                <w:szCs w:val="20"/>
                <w:color w:val="auto"/>
              </w:rPr>
            </w:pPr>
            <w:r>
              <w:rPr>
                <w:rFonts w:ascii="Arial" w:cs="Arial" w:eastAsia="Arial" w:hAnsi="Arial"/>
                <w:sz w:val="14"/>
                <w:szCs w:val="14"/>
                <w:color w:val="auto"/>
              </w:rPr>
              <w:t>(4 )</w:t>
            </w: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434</w:t>
            </w:r>
          </w:p>
        </w:tc>
      </w:tr>
      <w:tr>
        <w:trPr>
          <w:trHeight w:val="222"/>
        </w:trPr>
        <w:tc>
          <w:tcPr>
            <w:tcW w:w="2460" w:type="dxa"/>
            <w:vAlign w:val="bottom"/>
            <w:gridSpan w:val="2"/>
          </w:tcPr>
          <w:p>
            <w:pPr>
              <w:spacing w:after="0"/>
              <w:rPr>
                <w:sz w:val="20"/>
                <w:szCs w:val="20"/>
                <w:color w:val="auto"/>
              </w:rPr>
            </w:pPr>
            <w:r>
              <w:rPr>
                <w:rFonts w:ascii="Arial" w:cs="Arial" w:eastAsia="Arial" w:hAnsi="Arial"/>
                <w:sz w:val="14"/>
                <w:szCs w:val="14"/>
                <w:color w:val="auto"/>
              </w:rPr>
              <w:t>Cash and other securities</w:t>
            </w:r>
          </w:p>
        </w:tc>
        <w:tc>
          <w:tcPr>
            <w:tcW w:w="8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44</w:t>
            </w: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2</w:t>
            </w: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w:t>
            </w:r>
          </w:p>
        </w:tc>
      </w:tr>
      <w:tr>
        <w:trPr>
          <w:trHeight w:val="224"/>
        </w:trPr>
        <w:tc>
          <w:tcPr>
            <w:tcW w:w="246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Total available-for-sale securities</w:t>
            </w:r>
          </w:p>
        </w:tc>
        <w:tc>
          <w:tcPr>
            <w:tcW w:w="820" w:type="dxa"/>
            <w:vAlign w:val="bottom"/>
            <w:tcBorders>
              <w:bottom w:val="single" w:sz="8" w:color="auto"/>
            </w:tcBorders>
          </w:tcPr>
          <w:p>
            <w:pPr>
              <w:jc w:val="right"/>
              <w:ind w:right="630"/>
              <w:spacing w:after="0"/>
              <w:rPr>
                <w:sz w:val="20"/>
                <w:szCs w:val="20"/>
                <w:color w:val="auto"/>
              </w:rPr>
            </w:pPr>
            <w:r>
              <w:rPr>
                <w:rFonts w:ascii="Arial" w:cs="Arial" w:eastAsia="Arial" w:hAnsi="Arial"/>
                <w:sz w:val="14"/>
                <w:szCs w:val="14"/>
                <w:color w:val="auto"/>
              </w:rPr>
              <w:t>$</w:t>
            </w:r>
          </w:p>
        </w:tc>
        <w:tc>
          <w:tcPr>
            <w:tcW w:w="4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493</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252</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(6 )</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739</w:t>
            </w:r>
          </w:p>
        </w:tc>
      </w:tr>
      <w:tr>
        <w:trPr>
          <w:trHeight w:val="186"/>
        </w:trPr>
        <w:tc>
          <w:tcPr>
            <w:tcW w:w="140" w:type="dxa"/>
            <w:vAlign w:val="bottom"/>
          </w:tcPr>
          <w:p>
            <w:pPr>
              <w:spacing w:after="0"/>
              <w:rPr>
                <w:sz w:val="20"/>
                <w:szCs w:val="20"/>
                <w:color w:val="auto"/>
              </w:rPr>
            </w:pPr>
            <w:r>
              <w:rPr>
                <w:rFonts w:ascii="Arial" w:cs="Arial" w:eastAsia="Arial" w:hAnsi="Arial"/>
                <w:sz w:val="14"/>
                <w:szCs w:val="14"/>
                <w:color w:val="auto"/>
              </w:rPr>
              <w:t>*</w:t>
            </w:r>
          </w:p>
        </w:tc>
        <w:tc>
          <w:tcPr>
            <w:tcW w:w="2320" w:type="dxa"/>
            <w:vAlign w:val="bottom"/>
          </w:tcPr>
          <w:p>
            <w:pPr>
              <w:ind w:left="180"/>
              <w:spacing w:after="0"/>
              <w:rPr>
                <w:sz w:val="20"/>
                <w:szCs w:val="20"/>
                <w:color w:val="auto"/>
              </w:rPr>
            </w:pPr>
            <w:r>
              <w:rPr>
                <w:rFonts w:ascii="Arial" w:cs="Arial" w:eastAsia="Arial" w:hAnsi="Arial"/>
                <w:sz w:val="13"/>
                <w:szCs w:val="13"/>
                <w:i w:val="1"/>
                <w:iCs w:val="1"/>
                <w:color w:val="auto"/>
              </w:rPr>
              <w:t xml:space="preserve">Maturity dates are </w:t>
            </w:r>
            <w:r>
              <w:rPr>
                <w:rFonts w:ascii="Arial" w:cs="Arial" w:eastAsia="Arial" w:hAnsi="Arial"/>
                <w:sz w:val="13"/>
                <w:szCs w:val="13"/>
                <w:color w:val="auto"/>
              </w:rPr>
              <w:t>2009-2038</w:t>
            </w:r>
          </w:p>
        </w:tc>
        <w:tc>
          <w:tcPr>
            <w:tcW w:w="8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192"/>
        </w:trPr>
        <w:tc>
          <w:tcPr>
            <w:tcW w:w="2460" w:type="dxa"/>
            <w:vAlign w:val="bottom"/>
            <w:gridSpan w:val="2"/>
          </w:tcPr>
          <w:p>
            <w:pPr>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2"/>
                <w:szCs w:val="12"/>
                <w:i w:val="1"/>
                <w:iCs w:val="1"/>
                <w:color w:val="auto"/>
              </w:rPr>
              <w:t>Maturity dates are</w:t>
            </w:r>
            <w:r>
              <w:rPr>
                <w:rFonts w:ascii="Arial" w:cs="Arial" w:eastAsia="Arial" w:hAnsi="Arial"/>
                <w:sz w:val="14"/>
                <w:szCs w:val="14"/>
                <w:color w:val="auto"/>
              </w:rPr>
              <w:t xml:space="preserve"> </w:t>
            </w:r>
            <w:r>
              <w:rPr>
                <w:rFonts w:ascii="Arial" w:cs="Arial" w:eastAsia="Arial" w:hAnsi="Arial"/>
                <w:sz w:val="12"/>
                <w:szCs w:val="12"/>
                <w:color w:val="auto"/>
              </w:rPr>
              <w:t>2009-2043</w:t>
            </w:r>
          </w:p>
        </w:tc>
        <w:tc>
          <w:tcPr>
            <w:tcW w:w="8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192"/>
        </w:trPr>
        <w:tc>
          <w:tcPr>
            <w:tcW w:w="2460" w:type="dxa"/>
            <w:vAlign w:val="bottom"/>
            <w:gridSpan w:val="2"/>
          </w:tcPr>
          <w:p>
            <w:pPr>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2"/>
                <w:szCs w:val="12"/>
                <w:i w:val="1"/>
                <w:iCs w:val="1"/>
                <w:color w:val="auto"/>
              </w:rPr>
              <w:t>Maturity dates are</w:t>
            </w:r>
            <w:r>
              <w:rPr>
                <w:rFonts w:ascii="Arial" w:cs="Arial" w:eastAsia="Arial" w:hAnsi="Arial"/>
                <w:sz w:val="14"/>
                <w:szCs w:val="14"/>
                <w:color w:val="auto"/>
              </w:rPr>
              <w:t xml:space="preserve"> </w:t>
            </w:r>
            <w:r>
              <w:rPr>
                <w:rFonts w:ascii="Arial" w:cs="Arial" w:eastAsia="Arial" w:hAnsi="Arial"/>
                <w:sz w:val="12"/>
                <w:szCs w:val="12"/>
                <w:color w:val="auto"/>
              </w:rPr>
              <w:t>2009-2049</w:t>
            </w:r>
          </w:p>
        </w:tc>
        <w:tc>
          <w:tcPr>
            <w:tcW w:w="8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spacing w:after="0"/>
              <w:rPr>
                <w:sz w:val="16"/>
                <w:szCs w:val="16"/>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4"/>
          <w:szCs w:val="14"/>
          <w:color w:val="auto"/>
        </w:rPr>
        <w:t>130</w:t>
      </w:r>
    </w:p>
    <w:p>
      <w:pPr>
        <w:sectPr>
          <w:pgSz w:w="11900" w:h="16838" w:orient="portrait"/>
          <w:cols w:equalWidth="0" w:num="1">
            <w:col w:w="11420"/>
          </w:cols>
          <w:pgMar w:left="240" w:top="127" w:right="239" w:bottom="1440" w:gutter="0" w:footer="0" w:header="0"/>
        </w:sectPr>
      </w:pPr>
    </w:p>
    <w:bookmarkStart w:id="270" w:name="page271"/>
    <w:bookmarkEnd w:id="270"/>
    <w:p>
      <w:pPr>
        <w:spacing w:after="0"/>
        <w:rPr>
          <w:sz w:val="20"/>
          <w:szCs w:val="20"/>
          <w:color w:val="auto"/>
        </w:rPr>
      </w:pPr>
      <w:r>
        <w:rPr>
          <w:rFonts w:ascii="Arial" w:cs="Arial" w:eastAsia="Arial" w:hAnsi="Arial"/>
          <w:sz w:val="16"/>
          <w:szCs w:val="16"/>
          <w:color w:val="auto"/>
        </w:rPr>
        <w:t>The following table shows the proceeds from sales of securities in the trusts and gross realized gains and losses on those sales.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1172210</wp:posOffset>
            </wp:positionH>
            <wp:positionV relativeFrom="paragraph">
              <wp:posOffset>196215</wp:posOffset>
            </wp:positionV>
            <wp:extent cx="4912360" cy="24384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4912360" cy="243840"/>
                    </a:xfrm>
                    <a:prstGeom prst="rect">
                      <a:avLst/>
                    </a:prstGeom>
                    <a:noFill/>
                  </pic:spPr>
                </pic:pic>
              </a:graphicData>
            </a:graphic>
          </wp:anchor>
        </w:drawing>
      </w:r>
    </w:p>
    <w:p>
      <w:pPr>
        <w:spacing w:after="0" w:line="297" w:lineRule="exact"/>
        <w:rPr>
          <w:sz w:val="20"/>
          <w:szCs w:val="20"/>
          <w:color w:val="auto"/>
        </w:rPr>
      </w:pPr>
    </w:p>
    <w:p>
      <w:pPr>
        <w:ind w:left="1860"/>
        <w:spacing w:after="0"/>
        <w:rPr>
          <w:sz w:val="20"/>
          <w:szCs w:val="20"/>
          <w:color w:val="auto"/>
        </w:rPr>
      </w:pPr>
      <w:r>
        <w:rPr>
          <w:rFonts w:ascii="Arial" w:cs="Arial" w:eastAsia="Arial" w:hAnsi="Arial"/>
          <w:sz w:val="14"/>
          <w:szCs w:val="14"/>
          <w:b w:val="1"/>
          <w:bCs w:val="1"/>
          <w:color w:val="auto"/>
        </w:rPr>
        <w:t>SALES OF SECURITIES</w:t>
      </w:r>
    </w:p>
    <w:p>
      <w:pPr>
        <w:spacing w:after="0" w:line="40" w:lineRule="exact"/>
        <w:rPr>
          <w:sz w:val="20"/>
          <w:szCs w:val="20"/>
          <w:color w:val="auto"/>
        </w:rPr>
      </w:pPr>
    </w:p>
    <w:p>
      <w:pPr>
        <w:ind w:left="1860"/>
        <w:spacing w:after="0"/>
        <w:rPr>
          <w:sz w:val="20"/>
          <w:szCs w:val="20"/>
          <w:color w:val="auto"/>
        </w:rPr>
      </w:pPr>
      <w:r>
        <w:rPr>
          <w:rFonts w:ascii="Arial" w:cs="Arial" w:eastAsia="Arial" w:hAnsi="Arial"/>
          <w:sz w:val="13"/>
          <w:szCs w:val="13"/>
          <w:i w:val="1"/>
          <w:iCs w:val="1"/>
          <w:color w:val="auto"/>
        </w:rPr>
        <w:t>(Dollars in millions)</w:t>
      </w:r>
    </w:p>
    <w:p>
      <w:pPr>
        <w:spacing w:after="0" w:line="79" w:lineRule="exact"/>
        <w:rPr>
          <w:sz w:val="20"/>
          <w:szCs w:val="20"/>
          <w:color w:val="auto"/>
        </w:rPr>
      </w:pPr>
    </w:p>
    <w:tbl>
      <w:tblPr>
        <w:tblLayout w:type="fixed"/>
        <w:tblInd w:w="1840" w:type="dxa"/>
        <w:tblCellMar>
          <w:top w:w="0" w:type="dxa"/>
          <w:left w:w="0" w:type="dxa"/>
          <w:bottom w:w="0" w:type="dxa"/>
          <w:right w:w="0" w:type="dxa"/>
        </w:tblCellMar>
      </w:tblPr>
      <w:tr>
        <w:trPr>
          <w:trHeight w:val="159"/>
        </w:trPr>
        <w:tc>
          <w:tcPr>
            <w:tcW w:w="2900" w:type="dxa"/>
            <w:vAlign w:val="bottom"/>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96"/>
              </w:rPr>
              <w:t>Years ended December 31,</w:t>
            </w:r>
          </w:p>
        </w:tc>
        <w:tc>
          <w:tcPr>
            <w:tcW w:w="28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spacing w:after="0"/>
              <w:rPr>
                <w:sz w:val="13"/>
                <w:szCs w:val="13"/>
                <w:color w:val="auto"/>
              </w:rPr>
            </w:pPr>
          </w:p>
        </w:tc>
      </w:tr>
      <w:tr>
        <w:trPr>
          <w:trHeight w:val="208"/>
        </w:trPr>
        <w:tc>
          <w:tcPr>
            <w:tcW w:w="29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2008</w:t>
            </w:r>
          </w:p>
        </w:tc>
        <w:tc>
          <w:tcPr>
            <w:tcW w:w="54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ind w:right="811"/>
              <w:spacing w:after="0"/>
              <w:rPr>
                <w:sz w:val="20"/>
                <w:szCs w:val="20"/>
                <w:color w:val="auto"/>
              </w:rPr>
            </w:pPr>
            <w:r>
              <w:rPr>
                <w:rFonts w:ascii="Arial" w:cs="Arial" w:eastAsia="Arial" w:hAnsi="Arial"/>
                <w:sz w:val="13"/>
                <w:szCs w:val="13"/>
                <w:color w:val="auto"/>
              </w:rPr>
              <w:t>2007</w:t>
            </w:r>
          </w:p>
        </w:tc>
        <w:tc>
          <w:tcPr>
            <w:tcW w:w="2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690"/>
              <w:spacing w:after="0"/>
              <w:rPr>
                <w:sz w:val="20"/>
                <w:szCs w:val="20"/>
                <w:color w:val="auto"/>
              </w:rPr>
            </w:pPr>
            <w:r>
              <w:rPr>
                <w:rFonts w:ascii="Arial" w:cs="Arial" w:eastAsia="Arial" w:hAnsi="Arial"/>
                <w:sz w:val="13"/>
                <w:szCs w:val="13"/>
                <w:color w:val="auto"/>
              </w:rPr>
              <w:t>2006</w:t>
            </w:r>
          </w:p>
        </w:tc>
      </w:tr>
      <w:tr>
        <w:trPr>
          <w:trHeight w:val="207"/>
        </w:trPr>
        <w:tc>
          <w:tcPr>
            <w:tcW w:w="2900" w:type="dxa"/>
            <w:vAlign w:val="bottom"/>
          </w:tcPr>
          <w:p>
            <w:pPr>
              <w:ind w:left="20"/>
              <w:spacing w:after="0"/>
              <w:rPr>
                <w:sz w:val="20"/>
                <w:szCs w:val="20"/>
                <w:color w:val="auto"/>
              </w:rPr>
            </w:pPr>
            <w:r>
              <w:rPr>
                <w:rFonts w:ascii="Arial" w:cs="Arial" w:eastAsia="Arial" w:hAnsi="Arial"/>
                <w:sz w:val="14"/>
                <w:szCs w:val="14"/>
                <w:color w:val="auto"/>
              </w:rPr>
              <w:t>Proceeds from sales</w:t>
            </w:r>
          </w:p>
        </w:tc>
        <w:tc>
          <w:tcPr>
            <w:tcW w:w="920" w:type="dxa"/>
            <w:vAlign w:val="bottom"/>
          </w:tcPr>
          <w:p>
            <w:pPr>
              <w:jc w:val="right"/>
              <w:ind w:right="632"/>
              <w:spacing w:after="0"/>
              <w:rPr>
                <w:sz w:val="20"/>
                <w:szCs w:val="20"/>
                <w:color w:val="auto"/>
              </w:rPr>
            </w:pPr>
            <w:r>
              <w:rPr>
                <w:rFonts w:ascii="Arial" w:cs="Arial" w:eastAsia="Arial" w:hAnsi="Arial"/>
                <w:sz w:val="14"/>
                <w:szCs w:val="14"/>
                <w:color w:val="auto"/>
              </w:rPr>
              <w:t>$</w:t>
            </w:r>
          </w:p>
        </w:tc>
        <w:tc>
          <w:tcPr>
            <w:tcW w:w="540" w:type="dxa"/>
            <w:vAlign w:val="bottom"/>
          </w:tcPr>
          <w:p>
            <w:pPr>
              <w:jc w:val="right"/>
              <w:ind w:right="188"/>
              <w:spacing w:after="0"/>
              <w:rPr>
                <w:sz w:val="20"/>
                <w:szCs w:val="20"/>
                <w:color w:val="auto"/>
              </w:rPr>
            </w:pPr>
            <w:r>
              <w:rPr>
                <w:rFonts w:ascii="Arial" w:cs="Arial" w:eastAsia="Arial" w:hAnsi="Arial"/>
                <w:sz w:val="14"/>
                <w:szCs w:val="14"/>
                <w:color w:val="auto"/>
              </w:rPr>
              <w:t>458</w:t>
            </w:r>
          </w:p>
        </w:tc>
        <w:tc>
          <w:tcPr>
            <w:tcW w:w="300" w:type="dxa"/>
            <w:vAlign w:val="bottom"/>
          </w:tcPr>
          <w:p>
            <w:pPr>
              <w:jc w:val="right"/>
              <w:spacing w:after="0"/>
              <w:rPr>
                <w:sz w:val="20"/>
                <w:szCs w:val="20"/>
                <w:color w:val="auto"/>
              </w:rPr>
            </w:pPr>
            <w:r>
              <w:rPr>
                <w:rFonts w:ascii="Arial" w:cs="Arial" w:eastAsia="Arial" w:hAnsi="Arial"/>
                <w:sz w:val="14"/>
                <w:szCs w:val="14"/>
                <w:color w:val="auto"/>
              </w:rPr>
              <w:t>$</w:t>
            </w:r>
          </w:p>
        </w:tc>
        <w:tc>
          <w:tcPr>
            <w:tcW w:w="1580" w:type="dxa"/>
            <w:vAlign w:val="bottom"/>
          </w:tcPr>
          <w:p>
            <w:pPr>
              <w:jc w:val="right"/>
              <w:ind w:right="391"/>
              <w:spacing w:after="0"/>
              <w:rPr>
                <w:sz w:val="20"/>
                <w:szCs w:val="20"/>
                <w:color w:val="auto"/>
              </w:rPr>
            </w:pPr>
            <w:r>
              <w:rPr>
                <w:rFonts w:ascii="Arial" w:cs="Arial" w:eastAsia="Arial" w:hAnsi="Arial"/>
                <w:sz w:val="14"/>
                <w:szCs w:val="14"/>
                <w:color w:val="auto"/>
              </w:rPr>
              <w:t>578</w:t>
            </w:r>
          </w:p>
        </w:tc>
        <w:tc>
          <w:tcPr>
            <w:tcW w:w="280" w:type="dxa"/>
            <w:vAlign w:val="bottom"/>
          </w:tcPr>
          <w:p>
            <w:pPr>
              <w:jc w:val="right"/>
              <w:ind w:right="128"/>
              <w:spacing w:after="0"/>
              <w:rPr>
                <w:sz w:val="20"/>
                <w:szCs w:val="20"/>
                <w:color w:val="auto"/>
              </w:rPr>
            </w:pPr>
            <w:r>
              <w:rPr>
                <w:rFonts w:ascii="Arial" w:cs="Arial" w:eastAsia="Arial" w:hAnsi="Arial"/>
                <w:sz w:val="14"/>
                <w:szCs w:val="14"/>
                <w:color w:val="auto"/>
                <w:w w:val="76"/>
              </w:rPr>
              <w:t>$</w:t>
            </w:r>
          </w:p>
        </w:tc>
        <w:tc>
          <w:tcPr>
            <w:tcW w:w="1220" w:type="dxa"/>
            <w:vAlign w:val="bottom"/>
          </w:tcPr>
          <w:p>
            <w:pPr>
              <w:jc w:val="right"/>
              <w:ind w:right="330"/>
              <w:spacing w:after="0"/>
              <w:rPr>
                <w:sz w:val="20"/>
                <w:szCs w:val="20"/>
                <w:color w:val="auto"/>
              </w:rPr>
            </w:pPr>
            <w:r>
              <w:rPr>
                <w:rFonts w:ascii="Arial" w:cs="Arial" w:eastAsia="Arial" w:hAnsi="Arial"/>
                <w:sz w:val="14"/>
                <w:szCs w:val="14"/>
                <w:color w:val="auto"/>
              </w:rPr>
              <w:t>474</w:t>
            </w:r>
          </w:p>
        </w:tc>
      </w:tr>
      <w:tr>
        <w:trPr>
          <w:trHeight w:val="216"/>
        </w:trPr>
        <w:tc>
          <w:tcPr>
            <w:tcW w:w="2900" w:type="dxa"/>
            <w:vAlign w:val="bottom"/>
          </w:tcPr>
          <w:p>
            <w:pPr>
              <w:ind w:left="20"/>
              <w:spacing w:after="0"/>
              <w:rPr>
                <w:sz w:val="20"/>
                <w:szCs w:val="20"/>
                <w:color w:val="auto"/>
              </w:rPr>
            </w:pPr>
            <w:r>
              <w:rPr>
                <w:rFonts w:ascii="Arial" w:cs="Arial" w:eastAsia="Arial" w:hAnsi="Arial"/>
                <w:sz w:val="14"/>
                <w:szCs w:val="14"/>
                <w:color w:val="auto"/>
              </w:rPr>
              <w:t>Gross realized gains</w:t>
            </w:r>
          </w:p>
        </w:tc>
        <w:tc>
          <w:tcPr>
            <w:tcW w:w="920" w:type="dxa"/>
            <w:vAlign w:val="bottom"/>
          </w:tcPr>
          <w:p>
            <w:pPr>
              <w:spacing w:after="0"/>
              <w:rPr>
                <w:sz w:val="18"/>
                <w:szCs w:val="18"/>
                <w:color w:val="auto"/>
              </w:rPr>
            </w:pPr>
          </w:p>
        </w:tc>
        <w:tc>
          <w:tcPr>
            <w:tcW w:w="540" w:type="dxa"/>
            <w:vAlign w:val="bottom"/>
          </w:tcPr>
          <w:p>
            <w:pPr>
              <w:jc w:val="right"/>
              <w:ind w:right="188"/>
              <w:spacing w:after="0"/>
              <w:rPr>
                <w:sz w:val="20"/>
                <w:szCs w:val="20"/>
                <w:color w:val="auto"/>
              </w:rPr>
            </w:pPr>
            <w:r>
              <w:rPr>
                <w:rFonts w:ascii="Arial" w:cs="Arial" w:eastAsia="Arial" w:hAnsi="Arial"/>
                <w:sz w:val="14"/>
                <w:szCs w:val="14"/>
                <w:color w:val="auto"/>
              </w:rPr>
              <w:t>18</w:t>
            </w:r>
          </w:p>
        </w:tc>
        <w:tc>
          <w:tcPr>
            <w:tcW w:w="300" w:type="dxa"/>
            <w:vAlign w:val="bottom"/>
          </w:tcPr>
          <w:p>
            <w:pPr>
              <w:spacing w:after="0"/>
              <w:rPr>
                <w:sz w:val="18"/>
                <w:szCs w:val="18"/>
                <w:color w:val="auto"/>
              </w:rPr>
            </w:pPr>
          </w:p>
        </w:tc>
        <w:tc>
          <w:tcPr>
            <w:tcW w:w="1580" w:type="dxa"/>
            <w:vAlign w:val="bottom"/>
          </w:tcPr>
          <w:p>
            <w:pPr>
              <w:jc w:val="right"/>
              <w:ind w:right="391"/>
              <w:spacing w:after="0"/>
              <w:rPr>
                <w:sz w:val="20"/>
                <w:szCs w:val="20"/>
                <w:color w:val="auto"/>
              </w:rPr>
            </w:pPr>
            <w:r>
              <w:rPr>
                <w:rFonts w:ascii="Arial" w:cs="Arial" w:eastAsia="Arial" w:hAnsi="Arial"/>
                <w:sz w:val="14"/>
                <w:szCs w:val="14"/>
                <w:color w:val="auto"/>
              </w:rPr>
              <w:t>18</w:t>
            </w:r>
          </w:p>
        </w:tc>
        <w:tc>
          <w:tcPr>
            <w:tcW w:w="280" w:type="dxa"/>
            <w:vAlign w:val="bottom"/>
          </w:tcPr>
          <w:p>
            <w:pPr>
              <w:spacing w:after="0"/>
              <w:rPr>
                <w:sz w:val="18"/>
                <w:szCs w:val="18"/>
                <w:color w:val="auto"/>
              </w:rPr>
            </w:pPr>
          </w:p>
        </w:tc>
        <w:tc>
          <w:tcPr>
            <w:tcW w:w="1220" w:type="dxa"/>
            <w:vAlign w:val="bottom"/>
          </w:tcPr>
          <w:p>
            <w:pPr>
              <w:jc w:val="right"/>
              <w:ind w:right="330"/>
              <w:spacing w:after="0"/>
              <w:rPr>
                <w:sz w:val="20"/>
                <w:szCs w:val="20"/>
                <w:color w:val="auto"/>
              </w:rPr>
            </w:pPr>
            <w:r>
              <w:rPr>
                <w:rFonts w:ascii="Arial" w:cs="Arial" w:eastAsia="Arial" w:hAnsi="Arial"/>
                <w:sz w:val="14"/>
                <w:szCs w:val="14"/>
                <w:color w:val="auto"/>
              </w:rPr>
              <w:t>22</w:t>
            </w:r>
          </w:p>
        </w:tc>
      </w:tr>
      <w:tr>
        <w:trPr>
          <w:trHeight w:val="250"/>
        </w:trPr>
        <w:tc>
          <w:tcPr>
            <w:tcW w:w="2900" w:type="dxa"/>
            <w:vAlign w:val="bottom"/>
            <w:tcBorders>
              <w:bottom w:val="single" w:sz="8" w:color="DFDFDF"/>
            </w:tcBorders>
          </w:tcPr>
          <w:p>
            <w:pPr>
              <w:ind w:left="20"/>
              <w:spacing w:after="0"/>
              <w:rPr>
                <w:sz w:val="20"/>
                <w:szCs w:val="20"/>
                <w:color w:val="auto"/>
              </w:rPr>
            </w:pPr>
            <w:r>
              <w:rPr>
                <w:rFonts w:ascii="Arial" w:cs="Arial" w:eastAsia="Arial" w:hAnsi="Arial"/>
                <w:sz w:val="14"/>
                <w:szCs w:val="14"/>
                <w:color w:val="auto"/>
              </w:rPr>
              <w:t>Gross realized losses</w:t>
            </w:r>
          </w:p>
        </w:tc>
        <w:tc>
          <w:tcPr>
            <w:tcW w:w="920" w:type="dxa"/>
            <w:vAlign w:val="bottom"/>
            <w:tcBorders>
              <w:bottom w:val="single" w:sz="8" w:color="DFDFDF"/>
            </w:tcBorders>
          </w:tcPr>
          <w:p>
            <w:pPr>
              <w:spacing w:after="0"/>
              <w:rPr>
                <w:sz w:val="21"/>
                <w:szCs w:val="21"/>
                <w:color w:val="auto"/>
              </w:rPr>
            </w:pPr>
          </w:p>
        </w:tc>
        <w:tc>
          <w:tcPr>
            <w:tcW w:w="540" w:type="dxa"/>
            <w:vAlign w:val="bottom"/>
            <w:tcBorders>
              <w:bottom w:val="single" w:sz="8" w:color="DFDFDF"/>
            </w:tcBorders>
          </w:tcPr>
          <w:p>
            <w:pPr>
              <w:jc w:val="right"/>
              <w:ind w:right="108"/>
              <w:spacing w:after="0"/>
              <w:rPr>
                <w:sz w:val="20"/>
                <w:szCs w:val="20"/>
                <w:color w:val="auto"/>
              </w:rPr>
            </w:pPr>
            <w:r>
              <w:rPr>
                <w:rFonts w:ascii="Arial" w:cs="Arial" w:eastAsia="Arial" w:hAnsi="Arial"/>
                <w:sz w:val="14"/>
                <w:szCs w:val="14"/>
                <w:color w:val="auto"/>
              </w:rPr>
              <w:t>(40 )</w:t>
            </w:r>
          </w:p>
        </w:tc>
        <w:tc>
          <w:tcPr>
            <w:tcW w:w="300" w:type="dxa"/>
            <w:vAlign w:val="bottom"/>
            <w:tcBorders>
              <w:bottom w:val="single" w:sz="8" w:color="DFDFDF"/>
            </w:tcBorders>
          </w:tcPr>
          <w:p>
            <w:pPr>
              <w:spacing w:after="0"/>
              <w:rPr>
                <w:sz w:val="21"/>
                <w:szCs w:val="21"/>
                <w:color w:val="auto"/>
              </w:rPr>
            </w:pPr>
          </w:p>
        </w:tc>
        <w:tc>
          <w:tcPr>
            <w:tcW w:w="1580" w:type="dxa"/>
            <w:vAlign w:val="bottom"/>
            <w:tcBorders>
              <w:bottom w:val="single" w:sz="8" w:color="DFDFDF"/>
            </w:tcBorders>
          </w:tcPr>
          <w:p>
            <w:pPr>
              <w:jc w:val="right"/>
              <w:ind w:right="311"/>
              <w:spacing w:after="0"/>
              <w:rPr>
                <w:sz w:val="20"/>
                <w:szCs w:val="20"/>
                <w:color w:val="auto"/>
              </w:rPr>
            </w:pPr>
            <w:r>
              <w:rPr>
                <w:rFonts w:ascii="Arial" w:cs="Arial" w:eastAsia="Arial" w:hAnsi="Arial"/>
                <w:sz w:val="14"/>
                <w:szCs w:val="14"/>
                <w:color w:val="auto"/>
              </w:rPr>
              <w:t>(12 )</w:t>
            </w:r>
          </w:p>
        </w:tc>
        <w:tc>
          <w:tcPr>
            <w:tcW w:w="280" w:type="dxa"/>
            <w:vAlign w:val="bottom"/>
            <w:tcBorders>
              <w:bottom w:val="single" w:sz="8" w:color="DFDFDF"/>
            </w:tcBorders>
          </w:tcPr>
          <w:p>
            <w:pPr>
              <w:spacing w:after="0"/>
              <w:rPr>
                <w:sz w:val="21"/>
                <w:szCs w:val="21"/>
                <w:color w:val="auto"/>
              </w:rPr>
            </w:pPr>
          </w:p>
        </w:tc>
        <w:tc>
          <w:tcPr>
            <w:tcW w:w="1220" w:type="dxa"/>
            <w:vAlign w:val="bottom"/>
            <w:tcBorders>
              <w:bottom w:val="single" w:sz="8" w:color="DFDFDF"/>
            </w:tcBorders>
          </w:tcPr>
          <w:p>
            <w:pPr>
              <w:jc w:val="right"/>
              <w:ind w:right="250"/>
              <w:spacing w:after="0"/>
              <w:rPr>
                <w:sz w:val="20"/>
                <w:szCs w:val="20"/>
                <w:color w:val="auto"/>
              </w:rPr>
            </w:pPr>
            <w:r>
              <w:rPr>
                <w:rFonts w:ascii="Arial" w:cs="Arial" w:eastAsia="Arial" w:hAnsi="Arial"/>
                <w:sz w:val="14"/>
                <w:szCs w:val="14"/>
                <w:color w:val="auto"/>
              </w:rPr>
              <w:t>(13 )</w:t>
            </w:r>
          </w:p>
        </w:tc>
      </w:tr>
    </w:tbl>
    <w:p>
      <w:pPr>
        <w:spacing w:after="0" w:line="180" w:lineRule="exact"/>
        <w:rPr>
          <w:sz w:val="20"/>
          <w:szCs w:val="20"/>
          <w:color w:val="auto"/>
        </w:rPr>
      </w:pPr>
    </w:p>
    <w:p>
      <w:pPr>
        <w:spacing w:after="0" w:line="277" w:lineRule="auto"/>
        <w:rPr>
          <w:sz w:val="20"/>
          <w:szCs w:val="20"/>
          <w:color w:val="auto"/>
        </w:rPr>
      </w:pPr>
      <w:r>
        <w:rPr>
          <w:rFonts w:ascii="Arial" w:cs="Arial" w:eastAsia="Arial" w:hAnsi="Arial"/>
          <w:sz w:val="16"/>
          <w:szCs w:val="16"/>
          <w:color w:val="auto"/>
        </w:rPr>
        <w:t>Net unrealized gains (losses) are included in Regulatory Liabilities Arising from Removal Obligations on the Consolidated Balance Sheets. We determine the cost of securities in the trusts on the basis of specific identification.</w:t>
      </w:r>
    </w:p>
    <w:p>
      <w:pPr>
        <w:spacing w:after="0" w:line="32" w:lineRule="exact"/>
        <w:rPr>
          <w:sz w:val="20"/>
          <w:szCs w:val="20"/>
          <w:color w:val="auto"/>
        </w:rPr>
      </w:pPr>
    </w:p>
    <w:p>
      <w:pPr>
        <w:ind w:right="180"/>
        <w:spacing w:after="0" w:line="277" w:lineRule="auto"/>
        <w:rPr>
          <w:sz w:val="20"/>
          <w:szCs w:val="20"/>
          <w:color w:val="auto"/>
        </w:rPr>
      </w:pPr>
      <w:r>
        <w:rPr>
          <w:rFonts w:ascii="Arial" w:cs="Arial" w:eastAsia="Arial" w:hAnsi="Arial"/>
          <w:sz w:val="16"/>
          <w:szCs w:val="16"/>
          <w:color w:val="auto"/>
        </w:rPr>
        <w:t>The fair value of securities in an unrealized loss position as of December 31, 2008 was $146 million. The unrealized losses of $47 million were primarily caused by a negative market environment. We do not consider these investments to be other than temporarily impaired as of December 31, 2008.</w:t>
      </w:r>
    </w:p>
    <w:p>
      <w:pPr>
        <w:spacing w:after="0" w:line="32" w:lineRule="exact"/>
        <w:rPr>
          <w:sz w:val="20"/>
          <w:szCs w:val="20"/>
          <w:color w:val="auto"/>
        </w:rPr>
      </w:pPr>
    </w:p>
    <w:p>
      <w:pPr>
        <w:spacing w:after="0"/>
        <w:rPr>
          <w:sz w:val="20"/>
          <w:szCs w:val="20"/>
          <w:color w:val="auto"/>
        </w:rPr>
      </w:pPr>
      <w:r>
        <w:rPr>
          <w:rFonts w:ascii="Arial" w:cs="Arial" w:eastAsia="Arial" w:hAnsi="Arial"/>
          <w:sz w:val="14"/>
          <w:szCs w:val="14"/>
          <w:color w:val="auto"/>
        </w:rPr>
        <w:t>Customer contribution amounts are determined by the CPUC using estimates of after-tax investment returns, decommissioning costs, and decommissioning cost escalation rates.</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Changes in investment returns and decommissioning costs may result in a change in future customer contributions.</w:t>
      </w:r>
    </w:p>
    <w:p>
      <w:pPr>
        <w:spacing w:after="0" w:line="68" w:lineRule="exact"/>
        <w:rPr>
          <w:sz w:val="20"/>
          <w:szCs w:val="20"/>
          <w:color w:val="auto"/>
        </w:rPr>
      </w:pPr>
    </w:p>
    <w:p>
      <w:pPr>
        <w:spacing w:after="0"/>
        <w:rPr>
          <w:sz w:val="20"/>
          <w:szCs w:val="20"/>
          <w:color w:val="auto"/>
        </w:rPr>
      </w:pPr>
      <w:r>
        <w:rPr>
          <w:rFonts w:ascii="Arial" w:cs="Arial" w:eastAsia="Arial" w:hAnsi="Arial"/>
          <w:sz w:val="16"/>
          <w:szCs w:val="16"/>
          <w:color w:val="auto"/>
        </w:rPr>
        <w:t>We discuss the impact of SFAS 143 in Note 1. We provide additional information about SONGS in Notes 14 and 16.</w:t>
      </w: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4"/>
          <w:szCs w:val="14"/>
          <w:color w:val="auto"/>
        </w:rPr>
        <w:t>131</w:t>
      </w:r>
    </w:p>
    <w:p>
      <w:pPr>
        <w:sectPr>
          <w:pgSz w:w="11900" w:h="16838" w:orient="portrait"/>
          <w:cols w:equalWidth="0" w:num="1">
            <w:col w:w="11360"/>
          </w:cols>
          <w:pgMar w:left="240" w:top="127" w:right="299" w:bottom="1440" w:gutter="0" w:footer="0" w:header="0"/>
        </w:sectPr>
      </w:pPr>
    </w:p>
    <w:bookmarkStart w:id="271" w:name="page272"/>
    <w:bookmarkEnd w:id="27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149860</wp:posOffset>
            </wp:positionH>
            <wp:positionV relativeFrom="page">
              <wp:posOffset>432435</wp:posOffset>
            </wp:positionV>
            <wp:extent cx="7261860" cy="762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61860" cy="7620"/>
                    </a:xfrm>
                    <a:prstGeom prst="rect">
                      <a:avLst/>
                    </a:prstGeom>
                    <a:noFill/>
                  </pic:spPr>
                </pic:pic>
              </a:graphicData>
            </a:graphic>
          </wp:anchor>
        </w:drawing>
        <w:t>NOTE 8. INCOME TAXES</w:t>
      </w:r>
    </w:p>
    <w:p>
      <w:pPr>
        <w:spacing w:after="0" w:line="60" w:lineRule="exact"/>
        <w:rPr>
          <w:sz w:val="20"/>
          <w:szCs w:val="20"/>
          <w:color w:val="auto"/>
        </w:rPr>
      </w:pPr>
    </w:p>
    <w:p>
      <w:pPr>
        <w:spacing w:after="0"/>
        <w:rPr>
          <w:sz w:val="20"/>
          <w:szCs w:val="20"/>
          <w:color w:val="auto"/>
        </w:rPr>
      </w:pPr>
      <w:r>
        <w:rPr>
          <w:rFonts w:ascii="Arial" w:cs="Arial" w:eastAsia="Arial" w:hAnsi="Arial"/>
          <w:sz w:val="16"/>
          <w:szCs w:val="16"/>
          <w:color w:val="auto"/>
        </w:rPr>
        <w:t>Reconciliation of the U.S. statutory federal income tax rates to the effective income tax rates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1164590</wp:posOffset>
            </wp:positionH>
            <wp:positionV relativeFrom="paragraph">
              <wp:posOffset>74295</wp:posOffset>
            </wp:positionV>
            <wp:extent cx="4935220" cy="26670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4935220" cy="266700"/>
                    </a:xfrm>
                    <a:prstGeom prst="rect">
                      <a:avLst/>
                    </a:prstGeom>
                    <a:noFill/>
                  </pic:spPr>
                </pic:pic>
              </a:graphicData>
            </a:graphic>
          </wp:anchor>
        </w:drawing>
      </w:r>
    </w:p>
    <w:p>
      <w:pPr>
        <w:spacing w:after="0" w:line="105" w:lineRule="exact"/>
        <w:rPr>
          <w:sz w:val="20"/>
          <w:szCs w:val="20"/>
          <w:color w:val="auto"/>
        </w:rPr>
      </w:pPr>
    </w:p>
    <w:p>
      <w:pPr>
        <w:ind w:left="1840"/>
        <w:spacing w:after="0"/>
        <w:rPr>
          <w:sz w:val="20"/>
          <w:szCs w:val="20"/>
          <w:color w:val="auto"/>
        </w:rPr>
      </w:pPr>
      <w:r>
        <w:rPr>
          <w:rFonts w:ascii="Arial" w:cs="Arial" w:eastAsia="Arial" w:hAnsi="Arial"/>
          <w:sz w:val="14"/>
          <w:szCs w:val="14"/>
          <w:b w:val="1"/>
          <w:bCs w:val="1"/>
          <w:color w:val="auto"/>
        </w:rPr>
        <w:t>RECONCILIATION OF FEDERAL INCOME TAX RATES TO EFFECTIVE INCOME TAX RATES</w:t>
      </w:r>
    </w:p>
    <w:p>
      <w:pPr>
        <w:spacing w:after="0" w:line="304" w:lineRule="exact"/>
        <w:rPr>
          <w:sz w:val="20"/>
          <w:szCs w:val="20"/>
          <w:color w:val="auto"/>
        </w:rPr>
      </w:pPr>
    </w:p>
    <w:tbl>
      <w:tblPr>
        <w:tblLayout w:type="fixed"/>
        <w:tblInd w:w="1840" w:type="dxa"/>
        <w:tblCellMar>
          <w:top w:w="0" w:type="dxa"/>
          <w:left w:w="0" w:type="dxa"/>
          <w:bottom w:w="0" w:type="dxa"/>
          <w:right w:w="0" w:type="dxa"/>
        </w:tblCellMar>
      </w:tblPr>
      <w:tr>
        <w:trPr>
          <w:trHeight w:val="159"/>
        </w:trPr>
        <w:tc>
          <w:tcPr>
            <w:tcW w:w="4640" w:type="dxa"/>
            <w:vAlign w:val="bottom"/>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1660" w:type="dxa"/>
            <w:vAlign w:val="bottom"/>
            <w:tcBorders>
              <w:bottom w:val="single" w:sz="8" w:color="auto"/>
            </w:tcBorders>
          </w:tcPr>
          <w:p>
            <w:pPr>
              <w:jc w:val="right"/>
              <w:ind w:right="28"/>
              <w:spacing w:after="0"/>
              <w:rPr>
                <w:sz w:val="20"/>
                <w:szCs w:val="20"/>
                <w:color w:val="auto"/>
              </w:rPr>
            </w:pPr>
            <w:r>
              <w:rPr>
                <w:rFonts w:ascii="Arial" w:cs="Arial" w:eastAsia="Arial" w:hAnsi="Arial"/>
                <w:sz w:val="13"/>
                <w:szCs w:val="13"/>
                <w:color w:val="auto"/>
                <w:w w:val="96"/>
              </w:rPr>
              <w:t>Years ended December 31,</w:t>
            </w:r>
          </w:p>
        </w:tc>
        <w:tc>
          <w:tcPr>
            <w:tcW w:w="580" w:type="dxa"/>
            <w:vAlign w:val="bottom"/>
            <w:tcBorders>
              <w:bottom w:val="single" w:sz="8" w:color="auto"/>
            </w:tcBorders>
          </w:tcPr>
          <w:p>
            <w:pPr>
              <w:spacing w:after="0"/>
              <w:rPr>
                <w:sz w:val="13"/>
                <w:szCs w:val="13"/>
                <w:color w:val="auto"/>
              </w:rPr>
            </w:pPr>
          </w:p>
        </w:tc>
      </w:tr>
      <w:tr>
        <w:trPr>
          <w:trHeight w:val="208"/>
        </w:trPr>
        <w:tc>
          <w:tcPr>
            <w:tcW w:w="46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88"/>
              <w:spacing w:after="0"/>
              <w:rPr>
                <w:sz w:val="20"/>
                <w:szCs w:val="20"/>
                <w:color w:val="auto"/>
              </w:rPr>
            </w:pPr>
            <w:r>
              <w:rPr>
                <w:rFonts w:ascii="Arial" w:cs="Arial" w:eastAsia="Arial" w:hAnsi="Arial"/>
                <w:sz w:val="13"/>
                <w:szCs w:val="13"/>
                <w:color w:val="auto"/>
              </w:rPr>
              <w:t>2008</w:t>
            </w:r>
          </w:p>
        </w:tc>
        <w:tc>
          <w:tcPr>
            <w:tcW w:w="1660" w:type="dxa"/>
            <w:vAlign w:val="bottom"/>
            <w:tcBorders>
              <w:bottom w:val="single" w:sz="8" w:color="auto"/>
            </w:tcBorders>
          </w:tcPr>
          <w:p>
            <w:pPr>
              <w:jc w:val="right"/>
              <w:ind w:right="648"/>
              <w:spacing w:after="0"/>
              <w:rPr>
                <w:sz w:val="20"/>
                <w:szCs w:val="20"/>
                <w:color w:val="auto"/>
              </w:rPr>
            </w:pPr>
            <w:r>
              <w:rPr>
                <w:rFonts w:ascii="Arial" w:cs="Arial" w:eastAsia="Arial" w:hAnsi="Arial"/>
                <w:sz w:val="13"/>
                <w:szCs w:val="13"/>
                <w:color w:val="auto"/>
              </w:rPr>
              <w:t>2007</w:t>
            </w:r>
          </w:p>
        </w:tc>
        <w:tc>
          <w:tcPr>
            <w:tcW w:w="580" w:type="dxa"/>
            <w:vAlign w:val="bottom"/>
            <w:tcBorders>
              <w:bottom w:val="single" w:sz="8" w:color="auto"/>
            </w:tcBorders>
          </w:tcPr>
          <w:p>
            <w:pPr>
              <w:jc w:val="right"/>
              <w:ind w:right="128"/>
              <w:spacing w:after="0"/>
              <w:rPr>
                <w:sz w:val="20"/>
                <w:szCs w:val="20"/>
                <w:color w:val="auto"/>
              </w:rPr>
            </w:pPr>
            <w:r>
              <w:rPr>
                <w:rFonts w:ascii="Arial" w:cs="Arial" w:eastAsia="Arial" w:hAnsi="Arial"/>
                <w:sz w:val="13"/>
                <w:szCs w:val="13"/>
                <w:color w:val="auto"/>
              </w:rPr>
              <w:t>2006</w:t>
            </w:r>
          </w:p>
        </w:tc>
      </w:tr>
      <w:tr>
        <w:trPr>
          <w:trHeight w:val="207"/>
        </w:trPr>
        <w:tc>
          <w:tcPr>
            <w:tcW w:w="4640" w:type="dxa"/>
            <w:vAlign w:val="bottom"/>
          </w:tcPr>
          <w:p>
            <w:pPr>
              <w:spacing w:after="0"/>
              <w:rPr>
                <w:sz w:val="20"/>
                <w:szCs w:val="20"/>
                <w:color w:val="auto"/>
              </w:rPr>
            </w:pPr>
            <w:r>
              <w:rPr>
                <w:rFonts w:ascii="Arial" w:cs="Arial" w:eastAsia="Arial" w:hAnsi="Arial"/>
                <w:sz w:val="14"/>
                <w:szCs w:val="14"/>
                <w:b w:val="1"/>
                <w:bCs w:val="1"/>
                <w:color w:val="auto"/>
              </w:rPr>
              <w:t>Sempra Energy Consolidated</w:t>
            </w:r>
          </w:p>
        </w:tc>
        <w:tc>
          <w:tcPr>
            <w:tcW w:w="8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580" w:type="dxa"/>
            <w:vAlign w:val="bottom"/>
          </w:tcPr>
          <w:p>
            <w:pPr>
              <w:spacing w:after="0"/>
              <w:rPr>
                <w:sz w:val="18"/>
                <w:szCs w:val="18"/>
                <w:color w:val="auto"/>
              </w:rPr>
            </w:pPr>
          </w:p>
        </w:tc>
      </w:tr>
      <w:tr>
        <w:trPr>
          <w:trHeight w:val="216"/>
        </w:trPr>
        <w:tc>
          <w:tcPr>
            <w:tcW w:w="4640" w:type="dxa"/>
            <w:vAlign w:val="bottom"/>
          </w:tcPr>
          <w:p>
            <w:pPr>
              <w:spacing w:after="0"/>
              <w:rPr>
                <w:sz w:val="20"/>
                <w:szCs w:val="20"/>
                <w:color w:val="auto"/>
              </w:rPr>
            </w:pPr>
            <w:r>
              <w:rPr>
                <w:rFonts w:ascii="Arial" w:cs="Arial" w:eastAsia="Arial" w:hAnsi="Arial"/>
                <w:sz w:val="14"/>
                <w:szCs w:val="14"/>
                <w:color w:val="auto"/>
              </w:rPr>
              <w:t>Statutory federal income tax rate</w:t>
            </w:r>
          </w:p>
        </w:tc>
        <w:tc>
          <w:tcPr>
            <w:tcW w:w="880" w:type="dxa"/>
            <w:vAlign w:val="bottom"/>
          </w:tcPr>
          <w:p>
            <w:pPr>
              <w:jc w:val="right"/>
              <w:spacing w:after="0"/>
              <w:rPr>
                <w:sz w:val="20"/>
                <w:szCs w:val="20"/>
                <w:color w:val="auto"/>
              </w:rPr>
            </w:pPr>
            <w:r>
              <w:rPr>
                <w:rFonts w:ascii="Arial" w:cs="Arial" w:eastAsia="Arial" w:hAnsi="Arial"/>
                <w:sz w:val="14"/>
                <w:szCs w:val="14"/>
                <w:color w:val="auto"/>
              </w:rPr>
              <w:t>35 %</w:t>
            </w:r>
          </w:p>
        </w:tc>
        <w:tc>
          <w:tcPr>
            <w:tcW w:w="1660" w:type="dxa"/>
            <w:vAlign w:val="bottom"/>
          </w:tcPr>
          <w:p>
            <w:pPr>
              <w:jc w:val="right"/>
              <w:ind w:right="488"/>
              <w:spacing w:after="0"/>
              <w:rPr>
                <w:sz w:val="20"/>
                <w:szCs w:val="20"/>
                <w:color w:val="auto"/>
              </w:rPr>
            </w:pPr>
            <w:r>
              <w:rPr>
                <w:rFonts w:ascii="Arial" w:cs="Arial" w:eastAsia="Arial" w:hAnsi="Arial"/>
                <w:sz w:val="14"/>
                <w:szCs w:val="14"/>
                <w:color w:val="auto"/>
              </w:rPr>
              <w:t>35 %</w:t>
            </w:r>
          </w:p>
        </w:tc>
        <w:tc>
          <w:tcPr>
            <w:tcW w:w="580" w:type="dxa"/>
            <w:vAlign w:val="bottom"/>
          </w:tcPr>
          <w:p>
            <w:pPr>
              <w:jc w:val="right"/>
              <w:spacing w:after="0"/>
              <w:rPr>
                <w:sz w:val="20"/>
                <w:szCs w:val="20"/>
                <w:color w:val="auto"/>
              </w:rPr>
            </w:pPr>
            <w:r>
              <w:rPr>
                <w:rFonts w:ascii="Arial" w:cs="Arial" w:eastAsia="Arial" w:hAnsi="Arial"/>
                <w:sz w:val="14"/>
                <w:szCs w:val="14"/>
                <w:color w:val="auto"/>
              </w:rPr>
              <w:t>35 %</w:t>
            </w:r>
          </w:p>
        </w:tc>
      </w:tr>
      <w:tr>
        <w:trPr>
          <w:trHeight w:val="216"/>
        </w:trPr>
        <w:tc>
          <w:tcPr>
            <w:tcW w:w="4640" w:type="dxa"/>
            <w:vAlign w:val="bottom"/>
          </w:tcPr>
          <w:p>
            <w:pPr>
              <w:spacing w:after="0"/>
              <w:rPr>
                <w:sz w:val="20"/>
                <w:szCs w:val="20"/>
                <w:color w:val="auto"/>
              </w:rPr>
            </w:pPr>
            <w:r>
              <w:rPr>
                <w:rFonts w:ascii="Arial" w:cs="Arial" w:eastAsia="Arial" w:hAnsi="Arial"/>
                <w:sz w:val="14"/>
                <w:szCs w:val="14"/>
                <w:color w:val="auto"/>
              </w:rPr>
              <w:t>Utility depreciation</w:t>
            </w:r>
          </w:p>
        </w:tc>
        <w:tc>
          <w:tcPr>
            <w:tcW w:w="880" w:type="dxa"/>
            <w:vAlign w:val="bottom"/>
          </w:tcPr>
          <w:p>
            <w:pPr>
              <w:jc w:val="right"/>
              <w:ind w:right="88"/>
              <w:spacing w:after="0"/>
              <w:rPr>
                <w:sz w:val="20"/>
                <w:szCs w:val="20"/>
                <w:color w:val="auto"/>
              </w:rPr>
            </w:pPr>
            <w:r>
              <w:rPr>
                <w:rFonts w:ascii="Arial" w:cs="Arial" w:eastAsia="Arial" w:hAnsi="Arial"/>
                <w:sz w:val="14"/>
                <w:szCs w:val="14"/>
                <w:color w:val="auto"/>
              </w:rPr>
              <w:t>3</w:t>
            </w:r>
          </w:p>
        </w:tc>
        <w:tc>
          <w:tcPr>
            <w:tcW w:w="1660" w:type="dxa"/>
            <w:vAlign w:val="bottom"/>
          </w:tcPr>
          <w:p>
            <w:pPr>
              <w:jc w:val="right"/>
              <w:ind w:right="648"/>
              <w:spacing w:after="0"/>
              <w:rPr>
                <w:sz w:val="20"/>
                <w:szCs w:val="20"/>
                <w:color w:val="auto"/>
              </w:rPr>
            </w:pPr>
            <w:r>
              <w:rPr>
                <w:rFonts w:ascii="Arial" w:cs="Arial" w:eastAsia="Arial" w:hAnsi="Arial"/>
                <w:sz w:val="14"/>
                <w:szCs w:val="14"/>
                <w:color w:val="auto"/>
              </w:rPr>
              <w:t>3</w:t>
            </w:r>
          </w:p>
        </w:tc>
        <w:tc>
          <w:tcPr>
            <w:tcW w:w="580" w:type="dxa"/>
            <w:vAlign w:val="bottom"/>
          </w:tcPr>
          <w:p>
            <w:pPr>
              <w:jc w:val="right"/>
              <w:ind w:right="128"/>
              <w:spacing w:after="0"/>
              <w:rPr>
                <w:sz w:val="20"/>
                <w:szCs w:val="20"/>
                <w:color w:val="auto"/>
              </w:rPr>
            </w:pPr>
            <w:r>
              <w:rPr>
                <w:rFonts w:ascii="Arial" w:cs="Arial" w:eastAsia="Arial" w:hAnsi="Arial"/>
                <w:sz w:val="14"/>
                <w:szCs w:val="14"/>
                <w:color w:val="auto"/>
              </w:rPr>
              <w:t>2</w:t>
            </w:r>
          </w:p>
        </w:tc>
      </w:tr>
      <w:tr>
        <w:trPr>
          <w:trHeight w:val="216"/>
        </w:trPr>
        <w:tc>
          <w:tcPr>
            <w:tcW w:w="4640" w:type="dxa"/>
            <w:vAlign w:val="bottom"/>
          </w:tcPr>
          <w:p>
            <w:pPr>
              <w:spacing w:after="0"/>
              <w:rPr>
                <w:sz w:val="20"/>
                <w:szCs w:val="20"/>
                <w:color w:val="auto"/>
              </w:rPr>
            </w:pPr>
            <w:r>
              <w:rPr>
                <w:rFonts w:ascii="Arial" w:cs="Arial" w:eastAsia="Arial" w:hAnsi="Arial"/>
                <w:sz w:val="14"/>
                <w:szCs w:val="14"/>
                <w:color w:val="auto"/>
              </w:rPr>
              <w:t>State income taxes, net of federal income tax benefit</w:t>
            </w:r>
          </w:p>
        </w:tc>
        <w:tc>
          <w:tcPr>
            <w:tcW w:w="880" w:type="dxa"/>
            <w:vAlign w:val="bottom"/>
          </w:tcPr>
          <w:p>
            <w:pPr>
              <w:jc w:val="right"/>
              <w:ind w:right="88"/>
              <w:spacing w:after="0"/>
              <w:rPr>
                <w:sz w:val="20"/>
                <w:szCs w:val="20"/>
                <w:color w:val="auto"/>
              </w:rPr>
            </w:pPr>
            <w:r>
              <w:rPr>
                <w:rFonts w:ascii="Arial" w:cs="Arial" w:eastAsia="Arial" w:hAnsi="Arial"/>
                <w:sz w:val="14"/>
                <w:szCs w:val="14"/>
                <w:color w:val="auto"/>
              </w:rPr>
              <w:t>3</w:t>
            </w:r>
          </w:p>
        </w:tc>
        <w:tc>
          <w:tcPr>
            <w:tcW w:w="1660" w:type="dxa"/>
            <w:vAlign w:val="bottom"/>
          </w:tcPr>
          <w:p>
            <w:pPr>
              <w:jc w:val="right"/>
              <w:ind w:right="648"/>
              <w:spacing w:after="0"/>
              <w:rPr>
                <w:sz w:val="20"/>
                <w:szCs w:val="20"/>
                <w:color w:val="auto"/>
              </w:rPr>
            </w:pPr>
            <w:r>
              <w:rPr>
                <w:rFonts w:ascii="Arial" w:cs="Arial" w:eastAsia="Arial" w:hAnsi="Arial"/>
                <w:sz w:val="14"/>
                <w:szCs w:val="14"/>
                <w:color w:val="auto"/>
              </w:rPr>
              <w:t>4</w:t>
            </w:r>
          </w:p>
        </w:tc>
        <w:tc>
          <w:tcPr>
            <w:tcW w:w="580" w:type="dxa"/>
            <w:vAlign w:val="bottom"/>
          </w:tcPr>
          <w:p>
            <w:pPr>
              <w:jc w:val="right"/>
              <w:ind w:right="128"/>
              <w:spacing w:after="0"/>
              <w:rPr>
                <w:sz w:val="20"/>
                <w:szCs w:val="20"/>
                <w:color w:val="auto"/>
              </w:rPr>
            </w:pPr>
            <w:r>
              <w:rPr>
                <w:rFonts w:ascii="Arial" w:cs="Arial" w:eastAsia="Arial" w:hAnsi="Arial"/>
                <w:sz w:val="14"/>
                <w:szCs w:val="14"/>
                <w:color w:val="auto"/>
              </w:rPr>
              <w:t>4</w:t>
            </w:r>
          </w:p>
        </w:tc>
      </w:tr>
      <w:tr>
        <w:trPr>
          <w:trHeight w:val="216"/>
        </w:trPr>
        <w:tc>
          <w:tcPr>
            <w:tcW w:w="4640" w:type="dxa"/>
            <w:vAlign w:val="bottom"/>
          </w:tcPr>
          <w:p>
            <w:pPr>
              <w:spacing w:after="0"/>
              <w:rPr>
                <w:sz w:val="20"/>
                <w:szCs w:val="20"/>
                <w:color w:val="auto"/>
              </w:rPr>
            </w:pPr>
            <w:r>
              <w:rPr>
                <w:rFonts w:ascii="Arial" w:cs="Arial" w:eastAsia="Arial" w:hAnsi="Arial"/>
                <w:sz w:val="14"/>
                <w:szCs w:val="14"/>
                <w:color w:val="auto"/>
              </w:rPr>
              <w:t>Tax credits</w:t>
            </w: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(1 )</w:t>
            </w:r>
          </w:p>
        </w:tc>
        <w:tc>
          <w:tcPr>
            <w:tcW w:w="1660" w:type="dxa"/>
            <w:vAlign w:val="bottom"/>
          </w:tcPr>
          <w:p>
            <w:pPr>
              <w:jc w:val="right"/>
              <w:ind w:right="568"/>
              <w:spacing w:after="0"/>
              <w:rPr>
                <w:sz w:val="20"/>
                <w:szCs w:val="20"/>
                <w:color w:val="auto"/>
              </w:rPr>
            </w:pPr>
            <w:r>
              <w:rPr>
                <w:rFonts w:ascii="Arial" w:cs="Arial" w:eastAsia="Arial" w:hAnsi="Arial"/>
                <w:sz w:val="14"/>
                <w:szCs w:val="14"/>
                <w:color w:val="auto"/>
              </w:rPr>
              <w:t>(3 )</w:t>
            </w:r>
          </w:p>
        </w:tc>
        <w:tc>
          <w:tcPr>
            <w:tcW w:w="580" w:type="dxa"/>
            <w:vAlign w:val="bottom"/>
          </w:tcPr>
          <w:p>
            <w:pPr>
              <w:jc w:val="right"/>
              <w:ind w:right="48"/>
              <w:spacing w:after="0"/>
              <w:rPr>
                <w:sz w:val="20"/>
                <w:szCs w:val="20"/>
                <w:color w:val="auto"/>
              </w:rPr>
            </w:pPr>
            <w:r>
              <w:rPr>
                <w:rFonts w:ascii="Arial" w:cs="Arial" w:eastAsia="Arial" w:hAnsi="Arial"/>
                <w:sz w:val="14"/>
                <w:szCs w:val="14"/>
                <w:color w:val="auto"/>
              </w:rPr>
              <w:t>(4 )</w:t>
            </w:r>
          </w:p>
        </w:tc>
      </w:tr>
      <w:tr>
        <w:trPr>
          <w:trHeight w:val="216"/>
        </w:trPr>
        <w:tc>
          <w:tcPr>
            <w:tcW w:w="4640" w:type="dxa"/>
            <w:vAlign w:val="bottom"/>
          </w:tcPr>
          <w:p>
            <w:pPr>
              <w:spacing w:after="0"/>
              <w:rPr>
                <w:sz w:val="20"/>
                <w:szCs w:val="20"/>
                <w:color w:val="auto"/>
              </w:rPr>
            </w:pPr>
            <w:r>
              <w:rPr>
                <w:rFonts w:ascii="Arial" w:cs="Arial" w:eastAsia="Arial" w:hAnsi="Arial"/>
                <w:sz w:val="14"/>
                <w:szCs w:val="14"/>
                <w:color w:val="auto"/>
              </w:rPr>
              <w:t>Allowance for equity funds used during construction</w:t>
            </w: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(1 )</w:t>
            </w:r>
          </w:p>
        </w:tc>
        <w:tc>
          <w:tcPr>
            <w:tcW w:w="1660" w:type="dxa"/>
            <w:vAlign w:val="bottom"/>
          </w:tcPr>
          <w:p>
            <w:pPr>
              <w:jc w:val="right"/>
              <w:ind w:right="568"/>
              <w:spacing w:after="0"/>
              <w:rPr>
                <w:sz w:val="20"/>
                <w:szCs w:val="20"/>
                <w:color w:val="auto"/>
              </w:rPr>
            </w:pPr>
            <w:r>
              <w:rPr>
                <w:rFonts w:ascii="Arial" w:cs="Arial" w:eastAsia="Arial" w:hAnsi="Arial"/>
                <w:sz w:val="14"/>
                <w:szCs w:val="14"/>
                <w:color w:val="auto"/>
              </w:rPr>
              <w:t>(1 )</w:t>
            </w:r>
          </w:p>
        </w:tc>
        <w:tc>
          <w:tcPr>
            <w:tcW w:w="580" w:type="dxa"/>
            <w:vAlign w:val="bottom"/>
          </w:tcPr>
          <w:p>
            <w:pPr>
              <w:jc w:val="right"/>
              <w:ind w:right="128"/>
              <w:spacing w:after="0"/>
              <w:rPr>
                <w:sz w:val="20"/>
                <w:szCs w:val="20"/>
                <w:color w:val="auto"/>
              </w:rPr>
            </w:pPr>
            <w:r>
              <w:rPr>
                <w:rFonts w:ascii="Arial" w:cs="Arial" w:eastAsia="Arial" w:hAnsi="Arial"/>
                <w:sz w:val="14"/>
                <w:szCs w:val="14"/>
                <w:color w:val="auto"/>
              </w:rPr>
              <w:t>--</w:t>
            </w:r>
          </w:p>
        </w:tc>
      </w:tr>
      <w:tr>
        <w:trPr>
          <w:trHeight w:val="216"/>
        </w:trPr>
        <w:tc>
          <w:tcPr>
            <w:tcW w:w="4640" w:type="dxa"/>
            <w:vAlign w:val="bottom"/>
          </w:tcPr>
          <w:p>
            <w:pPr>
              <w:spacing w:after="0"/>
              <w:rPr>
                <w:sz w:val="20"/>
                <w:szCs w:val="20"/>
                <w:color w:val="auto"/>
              </w:rPr>
            </w:pPr>
            <w:r>
              <w:rPr>
                <w:rFonts w:ascii="Arial" w:cs="Arial" w:eastAsia="Arial" w:hAnsi="Arial"/>
                <w:sz w:val="14"/>
                <w:szCs w:val="14"/>
                <w:color w:val="auto"/>
              </w:rPr>
              <w:t>Foreign income taxes</w:t>
            </w: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(2 )</w:t>
            </w:r>
          </w:p>
        </w:tc>
        <w:tc>
          <w:tcPr>
            <w:tcW w:w="1660" w:type="dxa"/>
            <w:vAlign w:val="bottom"/>
          </w:tcPr>
          <w:p>
            <w:pPr>
              <w:jc w:val="right"/>
              <w:ind w:right="568"/>
              <w:spacing w:after="0"/>
              <w:rPr>
                <w:sz w:val="20"/>
                <w:szCs w:val="20"/>
                <w:color w:val="auto"/>
              </w:rPr>
            </w:pPr>
            <w:r>
              <w:rPr>
                <w:rFonts w:ascii="Arial" w:cs="Arial" w:eastAsia="Arial" w:hAnsi="Arial"/>
                <w:sz w:val="14"/>
                <w:szCs w:val="14"/>
                <w:color w:val="auto"/>
              </w:rPr>
              <w:t>(1 )</w:t>
            </w:r>
          </w:p>
        </w:tc>
        <w:tc>
          <w:tcPr>
            <w:tcW w:w="580" w:type="dxa"/>
            <w:vAlign w:val="bottom"/>
          </w:tcPr>
          <w:p>
            <w:pPr>
              <w:jc w:val="right"/>
              <w:ind w:right="48"/>
              <w:spacing w:after="0"/>
              <w:rPr>
                <w:sz w:val="20"/>
                <w:szCs w:val="20"/>
                <w:color w:val="auto"/>
              </w:rPr>
            </w:pPr>
            <w:r>
              <w:rPr>
                <w:rFonts w:ascii="Arial" w:cs="Arial" w:eastAsia="Arial" w:hAnsi="Arial"/>
                <w:sz w:val="14"/>
                <w:szCs w:val="14"/>
                <w:color w:val="auto"/>
              </w:rPr>
              <w:t>(1 )</w:t>
            </w:r>
          </w:p>
        </w:tc>
      </w:tr>
      <w:tr>
        <w:trPr>
          <w:trHeight w:val="216"/>
        </w:trPr>
        <w:tc>
          <w:tcPr>
            <w:tcW w:w="4640" w:type="dxa"/>
            <w:vAlign w:val="bottom"/>
          </w:tcPr>
          <w:p>
            <w:pPr>
              <w:spacing w:after="0"/>
              <w:rPr>
                <w:sz w:val="20"/>
                <w:szCs w:val="20"/>
                <w:color w:val="auto"/>
              </w:rPr>
            </w:pPr>
            <w:r>
              <w:rPr>
                <w:rFonts w:ascii="Arial" w:cs="Arial" w:eastAsia="Arial" w:hAnsi="Arial"/>
                <w:sz w:val="14"/>
                <w:szCs w:val="14"/>
                <w:color w:val="auto"/>
              </w:rPr>
              <w:t>Resolution of Internal Revenue Service audits</w:t>
            </w: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(2 )</w:t>
            </w:r>
          </w:p>
        </w:tc>
        <w:tc>
          <w:tcPr>
            <w:tcW w:w="1660" w:type="dxa"/>
            <w:vAlign w:val="bottom"/>
          </w:tcPr>
          <w:p>
            <w:pPr>
              <w:jc w:val="right"/>
              <w:ind w:right="648"/>
              <w:spacing w:after="0"/>
              <w:rPr>
                <w:sz w:val="20"/>
                <w:szCs w:val="20"/>
                <w:color w:val="auto"/>
              </w:rPr>
            </w:pPr>
            <w:r>
              <w:rPr>
                <w:rFonts w:ascii="Arial" w:cs="Arial" w:eastAsia="Arial" w:hAnsi="Arial"/>
                <w:sz w:val="14"/>
                <w:szCs w:val="14"/>
                <w:color w:val="auto"/>
              </w:rPr>
              <w:t>--</w:t>
            </w:r>
          </w:p>
        </w:tc>
        <w:tc>
          <w:tcPr>
            <w:tcW w:w="580" w:type="dxa"/>
            <w:vAlign w:val="bottom"/>
          </w:tcPr>
          <w:p>
            <w:pPr>
              <w:jc w:val="right"/>
              <w:ind w:right="48"/>
              <w:spacing w:after="0"/>
              <w:rPr>
                <w:sz w:val="20"/>
                <w:szCs w:val="20"/>
                <w:color w:val="auto"/>
              </w:rPr>
            </w:pPr>
            <w:r>
              <w:rPr>
                <w:rFonts w:ascii="Arial" w:cs="Arial" w:eastAsia="Arial" w:hAnsi="Arial"/>
                <w:sz w:val="14"/>
                <w:szCs w:val="14"/>
                <w:color w:val="auto"/>
              </w:rPr>
              <w:t>(1 )</w:t>
            </w:r>
          </w:p>
        </w:tc>
      </w:tr>
      <w:tr>
        <w:trPr>
          <w:trHeight w:val="216"/>
        </w:trPr>
        <w:tc>
          <w:tcPr>
            <w:tcW w:w="4640" w:type="dxa"/>
            <w:vAlign w:val="bottom"/>
          </w:tcPr>
          <w:p>
            <w:pPr>
              <w:spacing w:after="0"/>
              <w:rPr>
                <w:sz w:val="20"/>
                <w:szCs w:val="20"/>
                <w:color w:val="auto"/>
              </w:rPr>
            </w:pPr>
            <w:r>
              <w:rPr>
                <w:rFonts w:ascii="Arial" w:cs="Arial" w:eastAsia="Arial" w:hAnsi="Arial"/>
                <w:sz w:val="14"/>
                <w:szCs w:val="14"/>
                <w:color w:val="auto"/>
              </w:rPr>
              <w:t>Utility repair allowance</w:t>
            </w: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(1 )</w:t>
            </w:r>
          </w:p>
        </w:tc>
        <w:tc>
          <w:tcPr>
            <w:tcW w:w="1660" w:type="dxa"/>
            <w:vAlign w:val="bottom"/>
          </w:tcPr>
          <w:p>
            <w:pPr>
              <w:jc w:val="right"/>
              <w:ind w:right="568"/>
              <w:spacing w:after="0"/>
              <w:rPr>
                <w:sz w:val="20"/>
                <w:szCs w:val="20"/>
                <w:color w:val="auto"/>
              </w:rPr>
            </w:pPr>
            <w:r>
              <w:rPr>
                <w:rFonts w:ascii="Arial" w:cs="Arial" w:eastAsia="Arial" w:hAnsi="Arial"/>
                <w:sz w:val="14"/>
                <w:szCs w:val="14"/>
                <w:color w:val="auto"/>
              </w:rPr>
              <w:t>(1 )</w:t>
            </w:r>
          </w:p>
        </w:tc>
        <w:tc>
          <w:tcPr>
            <w:tcW w:w="580" w:type="dxa"/>
            <w:vAlign w:val="bottom"/>
          </w:tcPr>
          <w:p>
            <w:pPr>
              <w:jc w:val="right"/>
              <w:ind w:right="48"/>
              <w:spacing w:after="0"/>
              <w:rPr>
                <w:sz w:val="20"/>
                <w:szCs w:val="20"/>
                <w:color w:val="auto"/>
              </w:rPr>
            </w:pPr>
            <w:r>
              <w:rPr>
                <w:rFonts w:ascii="Arial" w:cs="Arial" w:eastAsia="Arial" w:hAnsi="Arial"/>
                <w:sz w:val="14"/>
                <w:szCs w:val="14"/>
                <w:color w:val="auto"/>
              </w:rPr>
              <w:t>(1 )</w:t>
            </w:r>
          </w:p>
        </w:tc>
      </w:tr>
      <w:tr>
        <w:trPr>
          <w:trHeight w:val="216"/>
        </w:trPr>
        <w:tc>
          <w:tcPr>
            <w:tcW w:w="4640" w:type="dxa"/>
            <w:vAlign w:val="bottom"/>
          </w:tcPr>
          <w:p>
            <w:pPr>
              <w:spacing w:after="0"/>
              <w:rPr>
                <w:sz w:val="20"/>
                <w:szCs w:val="20"/>
                <w:color w:val="auto"/>
              </w:rPr>
            </w:pPr>
            <w:r>
              <w:rPr>
                <w:rFonts w:ascii="Arial" w:cs="Arial" w:eastAsia="Arial" w:hAnsi="Arial"/>
                <w:sz w:val="14"/>
                <w:szCs w:val="14"/>
                <w:color w:val="auto"/>
              </w:rPr>
              <w:t>Self-developed software expenditures</w:t>
            </w: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(2 )</w:t>
            </w:r>
          </w:p>
        </w:tc>
        <w:tc>
          <w:tcPr>
            <w:tcW w:w="1660" w:type="dxa"/>
            <w:vAlign w:val="bottom"/>
          </w:tcPr>
          <w:p>
            <w:pPr>
              <w:jc w:val="right"/>
              <w:ind w:right="568"/>
              <w:spacing w:after="0"/>
              <w:rPr>
                <w:sz w:val="20"/>
                <w:szCs w:val="20"/>
                <w:color w:val="auto"/>
              </w:rPr>
            </w:pPr>
            <w:r>
              <w:rPr>
                <w:rFonts w:ascii="Arial" w:cs="Arial" w:eastAsia="Arial" w:hAnsi="Arial"/>
                <w:sz w:val="14"/>
                <w:szCs w:val="14"/>
                <w:color w:val="auto"/>
              </w:rPr>
              <w:t>(1 )</w:t>
            </w:r>
          </w:p>
        </w:tc>
        <w:tc>
          <w:tcPr>
            <w:tcW w:w="580" w:type="dxa"/>
            <w:vAlign w:val="bottom"/>
          </w:tcPr>
          <w:p>
            <w:pPr>
              <w:jc w:val="right"/>
              <w:ind w:right="128"/>
              <w:spacing w:after="0"/>
              <w:rPr>
                <w:sz w:val="20"/>
                <w:szCs w:val="20"/>
                <w:color w:val="auto"/>
              </w:rPr>
            </w:pPr>
            <w:r>
              <w:rPr>
                <w:rFonts w:ascii="Arial" w:cs="Arial" w:eastAsia="Arial" w:hAnsi="Arial"/>
                <w:sz w:val="14"/>
                <w:szCs w:val="14"/>
                <w:color w:val="auto"/>
              </w:rPr>
              <w:t>--</w:t>
            </w:r>
          </w:p>
        </w:tc>
      </w:tr>
      <w:tr>
        <w:trPr>
          <w:trHeight w:val="216"/>
        </w:trPr>
        <w:tc>
          <w:tcPr>
            <w:tcW w:w="4640" w:type="dxa"/>
            <w:vAlign w:val="bottom"/>
          </w:tcPr>
          <w:p>
            <w:pPr>
              <w:spacing w:after="0"/>
              <w:rPr>
                <w:sz w:val="20"/>
                <w:szCs w:val="20"/>
                <w:color w:val="auto"/>
              </w:rPr>
            </w:pPr>
            <w:r>
              <w:rPr>
                <w:rFonts w:ascii="Arial" w:cs="Arial" w:eastAsia="Arial" w:hAnsi="Arial"/>
                <w:sz w:val="14"/>
                <w:szCs w:val="14"/>
                <w:color w:val="auto"/>
              </w:rPr>
              <w:t>Mexican foreign exchange and inflation effects</w:t>
            </w: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(2 )</w:t>
            </w:r>
          </w:p>
        </w:tc>
        <w:tc>
          <w:tcPr>
            <w:tcW w:w="1660" w:type="dxa"/>
            <w:vAlign w:val="bottom"/>
          </w:tcPr>
          <w:p>
            <w:pPr>
              <w:jc w:val="right"/>
              <w:ind w:right="648"/>
              <w:spacing w:after="0"/>
              <w:rPr>
                <w:sz w:val="20"/>
                <w:szCs w:val="20"/>
                <w:color w:val="auto"/>
              </w:rPr>
            </w:pPr>
            <w:r>
              <w:rPr>
                <w:rFonts w:ascii="Arial" w:cs="Arial" w:eastAsia="Arial" w:hAnsi="Arial"/>
                <w:sz w:val="14"/>
                <w:szCs w:val="14"/>
                <w:color w:val="auto"/>
              </w:rPr>
              <w:t>--</w:t>
            </w:r>
          </w:p>
        </w:tc>
        <w:tc>
          <w:tcPr>
            <w:tcW w:w="580" w:type="dxa"/>
            <w:vAlign w:val="bottom"/>
          </w:tcPr>
          <w:p>
            <w:pPr>
              <w:jc w:val="right"/>
              <w:ind w:right="128"/>
              <w:spacing w:after="0"/>
              <w:rPr>
                <w:sz w:val="20"/>
                <w:szCs w:val="20"/>
                <w:color w:val="auto"/>
              </w:rPr>
            </w:pPr>
            <w:r>
              <w:rPr>
                <w:rFonts w:ascii="Arial" w:cs="Arial" w:eastAsia="Arial" w:hAnsi="Arial"/>
                <w:sz w:val="14"/>
                <w:szCs w:val="14"/>
                <w:color w:val="auto"/>
              </w:rPr>
              <w:t>--</w:t>
            </w:r>
          </w:p>
        </w:tc>
      </w:tr>
      <w:tr>
        <w:trPr>
          <w:trHeight w:val="222"/>
        </w:trPr>
        <w:tc>
          <w:tcPr>
            <w:tcW w:w="4640" w:type="dxa"/>
            <w:vAlign w:val="bottom"/>
          </w:tcPr>
          <w:p>
            <w:pPr>
              <w:spacing w:after="0"/>
              <w:rPr>
                <w:sz w:val="20"/>
                <w:szCs w:val="20"/>
                <w:color w:val="auto"/>
              </w:rPr>
            </w:pPr>
            <w:r>
              <w:rPr>
                <w:rFonts w:ascii="Arial" w:cs="Arial" w:eastAsia="Arial" w:hAnsi="Arial"/>
                <w:sz w:val="14"/>
                <w:szCs w:val="14"/>
                <w:color w:val="auto"/>
              </w:rPr>
              <w:t>Other, net</w:t>
            </w:r>
          </w:p>
        </w:tc>
        <w:tc>
          <w:tcPr>
            <w:tcW w:w="8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(1 )</w:t>
            </w:r>
          </w:p>
        </w:tc>
        <w:tc>
          <w:tcPr>
            <w:tcW w:w="166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color w:val="auto"/>
              </w:rPr>
              <w:t>(1 )</w:t>
            </w:r>
          </w:p>
        </w:tc>
        <w:tc>
          <w:tcPr>
            <w:tcW w:w="5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(1 )</w:t>
            </w:r>
          </w:p>
        </w:tc>
      </w:tr>
      <w:tr>
        <w:trPr>
          <w:trHeight w:val="224"/>
        </w:trPr>
        <w:tc>
          <w:tcPr>
            <w:tcW w:w="4640" w:type="dxa"/>
            <w:vAlign w:val="bottom"/>
            <w:tcBorders>
              <w:bottom w:val="single" w:sz="8" w:color="auto"/>
            </w:tcBorders>
          </w:tcPr>
          <w:p>
            <w:pPr>
              <w:ind w:left="220"/>
              <w:spacing w:after="0"/>
              <w:rPr>
                <w:sz w:val="20"/>
                <w:szCs w:val="20"/>
                <w:color w:val="auto"/>
              </w:rPr>
            </w:pPr>
            <w:r>
              <w:rPr>
                <w:rFonts w:ascii="Arial" w:cs="Arial" w:eastAsia="Arial" w:hAnsi="Arial"/>
                <w:sz w:val="14"/>
                <w:szCs w:val="14"/>
                <w:color w:val="auto"/>
              </w:rPr>
              <w:t>Effective income tax rate</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29 %</w:t>
            </w:r>
          </w:p>
        </w:tc>
        <w:tc>
          <w:tcPr>
            <w:tcW w:w="166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color w:val="auto"/>
              </w:rPr>
              <w:t>34 %</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33 %</w:t>
            </w:r>
          </w:p>
        </w:tc>
      </w:tr>
      <w:tr>
        <w:trPr>
          <w:trHeight w:val="210"/>
        </w:trPr>
        <w:tc>
          <w:tcPr>
            <w:tcW w:w="4640" w:type="dxa"/>
            <w:vAlign w:val="bottom"/>
          </w:tcPr>
          <w:p>
            <w:pPr>
              <w:spacing w:after="0"/>
              <w:rPr>
                <w:sz w:val="20"/>
                <w:szCs w:val="20"/>
                <w:color w:val="auto"/>
              </w:rPr>
            </w:pPr>
            <w:r>
              <w:rPr>
                <w:rFonts w:ascii="Arial" w:cs="Arial" w:eastAsia="Arial" w:hAnsi="Arial"/>
                <w:sz w:val="14"/>
                <w:szCs w:val="14"/>
                <w:b w:val="1"/>
                <w:bCs w:val="1"/>
                <w:color w:val="auto"/>
              </w:rPr>
              <w:t>SDG&amp;E</w:t>
            </w:r>
          </w:p>
        </w:tc>
        <w:tc>
          <w:tcPr>
            <w:tcW w:w="8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580" w:type="dxa"/>
            <w:vAlign w:val="bottom"/>
          </w:tcPr>
          <w:p>
            <w:pPr>
              <w:spacing w:after="0"/>
              <w:rPr>
                <w:sz w:val="18"/>
                <w:szCs w:val="18"/>
                <w:color w:val="auto"/>
              </w:rPr>
            </w:pPr>
          </w:p>
        </w:tc>
      </w:tr>
      <w:tr>
        <w:trPr>
          <w:trHeight w:val="216"/>
        </w:trPr>
        <w:tc>
          <w:tcPr>
            <w:tcW w:w="4640" w:type="dxa"/>
            <w:vAlign w:val="bottom"/>
          </w:tcPr>
          <w:p>
            <w:pPr>
              <w:spacing w:after="0"/>
              <w:rPr>
                <w:sz w:val="20"/>
                <w:szCs w:val="20"/>
                <w:color w:val="auto"/>
              </w:rPr>
            </w:pPr>
            <w:r>
              <w:rPr>
                <w:rFonts w:ascii="Arial" w:cs="Arial" w:eastAsia="Arial" w:hAnsi="Arial"/>
                <w:sz w:val="14"/>
                <w:szCs w:val="14"/>
                <w:color w:val="auto"/>
              </w:rPr>
              <w:t>Statutory federal income tax rate</w:t>
            </w:r>
          </w:p>
        </w:tc>
        <w:tc>
          <w:tcPr>
            <w:tcW w:w="880" w:type="dxa"/>
            <w:vAlign w:val="bottom"/>
          </w:tcPr>
          <w:p>
            <w:pPr>
              <w:jc w:val="right"/>
              <w:spacing w:after="0"/>
              <w:rPr>
                <w:sz w:val="20"/>
                <w:szCs w:val="20"/>
                <w:color w:val="auto"/>
              </w:rPr>
            </w:pPr>
            <w:r>
              <w:rPr>
                <w:rFonts w:ascii="Arial" w:cs="Arial" w:eastAsia="Arial" w:hAnsi="Arial"/>
                <w:sz w:val="14"/>
                <w:szCs w:val="14"/>
                <w:color w:val="auto"/>
              </w:rPr>
              <w:t>35 %</w:t>
            </w:r>
          </w:p>
        </w:tc>
        <w:tc>
          <w:tcPr>
            <w:tcW w:w="1660" w:type="dxa"/>
            <w:vAlign w:val="bottom"/>
          </w:tcPr>
          <w:p>
            <w:pPr>
              <w:jc w:val="right"/>
              <w:ind w:right="488"/>
              <w:spacing w:after="0"/>
              <w:rPr>
                <w:sz w:val="20"/>
                <w:szCs w:val="20"/>
                <w:color w:val="auto"/>
              </w:rPr>
            </w:pPr>
            <w:r>
              <w:rPr>
                <w:rFonts w:ascii="Arial" w:cs="Arial" w:eastAsia="Arial" w:hAnsi="Arial"/>
                <w:sz w:val="14"/>
                <w:szCs w:val="14"/>
                <w:color w:val="auto"/>
              </w:rPr>
              <w:t>35 %</w:t>
            </w:r>
          </w:p>
        </w:tc>
        <w:tc>
          <w:tcPr>
            <w:tcW w:w="580" w:type="dxa"/>
            <w:vAlign w:val="bottom"/>
          </w:tcPr>
          <w:p>
            <w:pPr>
              <w:jc w:val="right"/>
              <w:spacing w:after="0"/>
              <w:rPr>
                <w:sz w:val="20"/>
                <w:szCs w:val="20"/>
                <w:color w:val="auto"/>
              </w:rPr>
            </w:pPr>
            <w:r>
              <w:rPr>
                <w:rFonts w:ascii="Arial" w:cs="Arial" w:eastAsia="Arial" w:hAnsi="Arial"/>
                <w:sz w:val="14"/>
                <w:szCs w:val="14"/>
                <w:color w:val="auto"/>
              </w:rPr>
              <w:t>35 %</w:t>
            </w:r>
          </w:p>
        </w:tc>
      </w:tr>
      <w:tr>
        <w:trPr>
          <w:trHeight w:val="216"/>
        </w:trPr>
        <w:tc>
          <w:tcPr>
            <w:tcW w:w="4640" w:type="dxa"/>
            <w:vAlign w:val="bottom"/>
          </w:tcPr>
          <w:p>
            <w:pPr>
              <w:spacing w:after="0"/>
              <w:rPr>
                <w:sz w:val="20"/>
                <w:szCs w:val="20"/>
                <w:color w:val="auto"/>
              </w:rPr>
            </w:pPr>
            <w:r>
              <w:rPr>
                <w:rFonts w:ascii="Arial" w:cs="Arial" w:eastAsia="Arial" w:hAnsi="Arial"/>
                <w:sz w:val="14"/>
                <w:szCs w:val="14"/>
                <w:color w:val="auto"/>
              </w:rPr>
              <w:t>Depreciation</w:t>
            </w:r>
          </w:p>
        </w:tc>
        <w:tc>
          <w:tcPr>
            <w:tcW w:w="880" w:type="dxa"/>
            <w:vAlign w:val="bottom"/>
          </w:tcPr>
          <w:p>
            <w:pPr>
              <w:jc w:val="right"/>
              <w:ind w:right="88"/>
              <w:spacing w:after="0"/>
              <w:rPr>
                <w:sz w:val="20"/>
                <w:szCs w:val="20"/>
                <w:color w:val="auto"/>
              </w:rPr>
            </w:pPr>
            <w:r>
              <w:rPr>
                <w:rFonts w:ascii="Arial" w:cs="Arial" w:eastAsia="Arial" w:hAnsi="Arial"/>
                <w:sz w:val="14"/>
                <w:szCs w:val="14"/>
                <w:color w:val="auto"/>
              </w:rPr>
              <w:t>4</w:t>
            </w:r>
          </w:p>
        </w:tc>
        <w:tc>
          <w:tcPr>
            <w:tcW w:w="1660" w:type="dxa"/>
            <w:vAlign w:val="bottom"/>
          </w:tcPr>
          <w:p>
            <w:pPr>
              <w:jc w:val="right"/>
              <w:ind w:right="648"/>
              <w:spacing w:after="0"/>
              <w:rPr>
                <w:sz w:val="20"/>
                <w:szCs w:val="20"/>
                <w:color w:val="auto"/>
              </w:rPr>
            </w:pPr>
            <w:r>
              <w:rPr>
                <w:rFonts w:ascii="Arial" w:cs="Arial" w:eastAsia="Arial" w:hAnsi="Arial"/>
                <w:sz w:val="14"/>
                <w:szCs w:val="14"/>
                <w:color w:val="auto"/>
              </w:rPr>
              <w:t>5</w:t>
            </w:r>
          </w:p>
        </w:tc>
        <w:tc>
          <w:tcPr>
            <w:tcW w:w="580" w:type="dxa"/>
            <w:vAlign w:val="bottom"/>
          </w:tcPr>
          <w:p>
            <w:pPr>
              <w:jc w:val="right"/>
              <w:ind w:right="128"/>
              <w:spacing w:after="0"/>
              <w:rPr>
                <w:sz w:val="20"/>
                <w:szCs w:val="20"/>
                <w:color w:val="auto"/>
              </w:rPr>
            </w:pPr>
            <w:r>
              <w:rPr>
                <w:rFonts w:ascii="Arial" w:cs="Arial" w:eastAsia="Arial" w:hAnsi="Arial"/>
                <w:sz w:val="14"/>
                <w:szCs w:val="14"/>
                <w:color w:val="auto"/>
              </w:rPr>
              <w:t>5</w:t>
            </w:r>
          </w:p>
        </w:tc>
      </w:tr>
      <w:tr>
        <w:trPr>
          <w:trHeight w:val="216"/>
        </w:trPr>
        <w:tc>
          <w:tcPr>
            <w:tcW w:w="4640" w:type="dxa"/>
            <w:vAlign w:val="bottom"/>
          </w:tcPr>
          <w:p>
            <w:pPr>
              <w:spacing w:after="0"/>
              <w:rPr>
                <w:sz w:val="20"/>
                <w:szCs w:val="20"/>
                <w:color w:val="auto"/>
              </w:rPr>
            </w:pPr>
            <w:r>
              <w:rPr>
                <w:rFonts w:ascii="Arial" w:cs="Arial" w:eastAsia="Arial" w:hAnsi="Arial"/>
                <w:sz w:val="14"/>
                <w:szCs w:val="14"/>
                <w:color w:val="auto"/>
              </w:rPr>
              <w:t>State income taxes, net of federal income tax benefit</w:t>
            </w:r>
          </w:p>
        </w:tc>
        <w:tc>
          <w:tcPr>
            <w:tcW w:w="880" w:type="dxa"/>
            <w:vAlign w:val="bottom"/>
          </w:tcPr>
          <w:p>
            <w:pPr>
              <w:jc w:val="right"/>
              <w:ind w:right="88"/>
              <w:spacing w:after="0"/>
              <w:rPr>
                <w:sz w:val="20"/>
                <w:szCs w:val="20"/>
                <w:color w:val="auto"/>
              </w:rPr>
            </w:pPr>
            <w:r>
              <w:rPr>
                <w:rFonts w:ascii="Arial" w:cs="Arial" w:eastAsia="Arial" w:hAnsi="Arial"/>
                <w:sz w:val="14"/>
                <w:szCs w:val="14"/>
                <w:color w:val="auto"/>
              </w:rPr>
              <w:t>5</w:t>
            </w:r>
          </w:p>
        </w:tc>
        <w:tc>
          <w:tcPr>
            <w:tcW w:w="1660" w:type="dxa"/>
            <w:vAlign w:val="bottom"/>
          </w:tcPr>
          <w:p>
            <w:pPr>
              <w:jc w:val="right"/>
              <w:ind w:right="648"/>
              <w:spacing w:after="0"/>
              <w:rPr>
                <w:sz w:val="20"/>
                <w:szCs w:val="20"/>
                <w:color w:val="auto"/>
              </w:rPr>
            </w:pPr>
            <w:r>
              <w:rPr>
                <w:rFonts w:ascii="Arial" w:cs="Arial" w:eastAsia="Arial" w:hAnsi="Arial"/>
                <w:sz w:val="14"/>
                <w:szCs w:val="14"/>
                <w:color w:val="auto"/>
              </w:rPr>
              <w:t>5</w:t>
            </w:r>
          </w:p>
        </w:tc>
        <w:tc>
          <w:tcPr>
            <w:tcW w:w="580" w:type="dxa"/>
            <w:vAlign w:val="bottom"/>
          </w:tcPr>
          <w:p>
            <w:pPr>
              <w:jc w:val="right"/>
              <w:ind w:right="128"/>
              <w:spacing w:after="0"/>
              <w:rPr>
                <w:sz w:val="20"/>
                <w:szCs w:val="20"/>
                <w:color w:val="auto"/>
              </w:rPr>
            </w:pPr>
            <w:r>
              <w:rPr>
                <w:rFonts w:ascii="Arial" w:cs="Arial" w:eastAsia="Arial" w:hAnsi="Arial"/>
                <w:sz w:val="14"/>
                <w:szCs w:val="14"/>
                <w:color w:val="auto"/>
              </w:rPr>
              <w:t>5</w:t>
            </w:r>
          </w:p>
        </w:tc>
      </w:tr>
      <w:tr>
        <w:trPr>
          <w:trHeight w:val="216"/>
        </w:trPr>
        <w:tc>
          <w:tcPr>
            <w:tcW w:w="4640" w:type="dxa"/>
            <w:vAlign w:val="bottom"/>
          </w:tcPr>
          <w:p>
            <w:pPr>
              <w:spacing w:after="0"/>
              <w:rPr>
                <w:sz w:val="20"/>
                <w:szCs w:val="20"/>
                <w:color w:val="auto"/>
              </w:rPr>
            </w:pPr>
            <w:r>
              <w:rPr>
                <w:rFonts w:ascii="Arial" w:cs="Arial" w:eastAsia="Arial" w:hAnsi="Arial"/>
                <w:sz w:val="14"/>
                <w:szCs w:val="14"/>
                <w:color w:val="auto"/>
              </w:rPr>
              <w:t>Allowance for equity funds used during construction</w:t>
            </w: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(2 )</w:t>
            </w:r>
          </w:p>
        </w:tc>
        <w:tc>
          <w:tcPr>
            <w:tcW w:w="1660" w:type="dxa"/>
            <w:vAlign w:val="bottom"/>
          </w:tcPr>
          <w:p>
            <w:pPr>
              <w:jc w:val="right"/>
              <w:ind w:right="568"/>
              <w:spacing w:after="0"/>
              <w:rPr>
                <w:sz w:val="20"/>
                <w:szCs w:val="20"/>
                <w:color w:val="auto"/>
              </w:rPr>
            </w:pPr>
            <w:r>
              <w:rPr>
                <w:rFonts w:ascii="Arial" w:cs="Arial" w:eastAsia="Arial" w:hAnsi="Arial"/>
                <w:sz w:val="14"/>
                <w:szCs w:val="14"/>
                <w:color w:val="auto"/>
              </w:rPr>
              <w:t>(1 )</w:t>
            </w:r>
          </w:p>
        </w:tc>
        <w:tc>
          <w:tcPr>
            <w:tcW w:w="580" w:type="dxa"/>
            <w:vAlign w:val="bottom"/>
          </w:tcPr>
          <w:p>
            <w:pPr>
              <w:jc w:val="right"/>
              <w:ind w:right="48"/>
              <w:spacing w:after="0"/>
              <w:rPr>
                <w:sz w:val="20"/>
                <w:szCs w:val="20"/>
                <w:color w:val="auto"/>
              </w:rPr>
            </w:pPr>
            <w:r>
              <w:rPr>
                <w:rFonts w:ascii="Arial" w:cs="Arial" w:eastAsia="Arial" w:hAnsi="Arial"/>
                <w:sz w:val="14"/>
                <w:szCs w:val="14"/>
                <w:color w:val="auto"/>
              </w:rPr>
              <w:t>(1 )</w:t>
            </w:r>
          </w:p>
        </w:tc>
      </w:tr>
      <w:tr>
        <w:trPr>
          <w:trHeight w:val="216"/>
        </w:trPr>
        <w:tc>
          <w:tcPr>
            <w:tcW w:w="4640" w:type="dxa"/>
            <w:vAlign w:val="bottom"/>
          </w:tcPr>
          <w:p>
            <w:pPr>
              <w:spacing w:after="0"/>
              <w:rPr>
                <w:sz w:val="20"/>
                <w:szCs w:val="20"/>
                <w:color w:val="auto"/>
              </w:rPr>
            </w:pPr>
            <w:r>
              <w:rPr>
                <w:rFonts w:ascii="Arial" w:cs="Arial" w:eastAsia="Arial" w:hAnsi="Arial"/>
                <w:sz w:val="14"/>
                <w:szCs w:val="14"/>
                <w:color w:val="auto"/>
              </w:rPr>
              <w:t>Resolution of Internal Revenue Service audits</w:t>
            </w: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(3 )</w:t>
            </w:r>
          </w:p>
        </w:tc>
        <w:tc>
          <w:tcPr>
            <w:tcW w:w="1660" w:type="dxa"/>
            <w:vAlign w:val="bottom"/>
          </w:tcPr>
          <w:p>
            <w:pPr>
              <w:jc w:val="right"/>
              <w:ind w:right="568"/>
              <w:spacing w:after="0"/>
              <w:rPr>
                <w:sz w:val="20"/>
                <w:szCs w:val="20"/>
                <w:color w:val="auto"/>
              </w:rPr>
            </w:pPr>
            <w:r>
              <w:rPr>
                <w:rFonts w:ascii="Arial" w:cs="Arial" w:eastAsia="Arial" w:hAnsi="Arial"/>
                <w:sz w:val="14"/>
                <w:szCs w:val="14"/>
                <w:color w:val="auto"/>
              </w:rPr>
              <w:t>(3 )</w:t>
            </w:r>
          </w:p>
        </w:tc>
        <w:tc>
          <w:tcPr>
            <w:tcW w:w="580" w:type="dxa"/>
            <w:vAlign w:val="bottom"/>
          </w:tcPr>
          <w:p>
            <w:pPr>
              <w:jc w:val="right"/>
              <w:ind w:right="128"/>
              <w:spacing w:after="0"/>
              <w:rPr>
                <w:sz w:val="20"/>
                <w:szCs w:val="20"/>
                <w:color w:val="auto"/>
              </w:rPr>
            </w:pPr>
            <w:r>
              <w:rPr>
                <w:rFonts w:ascii="Arial" w:cs="Arial" w:eastAsia="Arial" w:hAnsi="Arial"/>
                <w:sz w:val="14"/>
                <w:szCs w:val="14"/>
                <w:color w:val="auto"/>
              </w:rPr>
              <w:t>2</w:t>
            </w:r>
          </w:p>
        </w:tc>
      </w:tr>
      <w:tr>
        <w:trPr>
          <w:trHeight w:val="216"/>
        </w:trPr>
        <w:tc>
          <w:tcPr>
            <w:tcW w:w="4640" w:type="dxa"/>
            <w:vAlign w:val="bottom"/>
          </w:tcPr>
          <w:p>
            <w:pPr>
              <w:spacing w:after="0"/>
              <w:rPr>
                <w:sz w:val="20"/>
                <w:szCs w:val="20"/>
                <w:color w:val="auto"/>
              </w:rPr>
            </w:pPr>
            <w:r>
              <w:rPr>
                <w:rFonts w:ascii="Arial" w:cs="Arial" w:eastAsia="Arial" w:hAnsi="Arial"/>
                <w:sz w:val="14"/>
                <w:szCs w:val="14"/>
                <w:color w:val="auto"/>
              </w:rPr>
              <w:t>Utility repair allowance</w:t>
            </w: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(2 )</w:t>
            </w:r>
          </w:p>
        </w:tc>
        <w:tc>
          <w:tcPr>
            <w:tcW w:w="1660" w:type="dxa"/>
            <w:vAlign w:val="bottom"/>
          </w:tcPr>
          <w:p>
            <w:pPr>
              <w:jc w:val="right"/>
              <w:ind w:right="568"/>
              <w:spacing w:after="0"/>
              <w:rPr>
                <w:sz w:val="20"/>
                <w:szCs w:val="20"/>
                <w:color w:val="auto"/>
              </w:rPr>
            </w:pPr>
            <w:r>
              <w:rPr>
                <w:rFonts w:ascii="Arial" w:cs="Arial" w:eastAsia="Arial" w:hAnsi="Arial"/>
                <w:sz w:val="14"/>
                <w:szCs w:val="14"/>
                <w:color w:val="auto"/>
              </w:rPr>
              <w:t>(2 )</w:t>
            </w:r>
          </w:p>
        </w:tc>
        <w:tc>
          <w:tcPr>
            <w:tcW w:w="580" w:type="dxa"/>
            <w:vAlign w:val="bottom"/>
          </w:tcPr>
          <w:p>
            <w:pPr>
              <w:jc w:val="right"/>
              <w:ind w:right="48"/>
              <w:spacing w:after="0"/>
              <w:rPr>
                <w:sz w:val="20"/>
                <w:szCs w:val="20"/>
                <w:color w:val="auto"/>
              </w:rPr>
            </w:pPr>
            <w:r>
              <w:rPr>
                <w:rFonts w:ascii="Arial" w:cs="Arial" w:eastAsia="Arial" w:hAnsi="Arial"/>
                <w:sz w:val="14"/>
                <w:szCs w:val="14"/>
                <w:color w:val="auto"/>
              </w:rPr>
              <w:t>(2 )</w:t>
            </w:r>
          </w:p>
        </w:tc>
      </w:tr>
      <w:tr>
        <w:trPr>
          <w:trHeight w:val="216"/>
        </w:trPr>
        <w:tc>
          <w:tcPr>
            <w:tcW w:w="4640" w:type="dxa"/>
            <w:vAlign w:val="bottom"/>
          </w:tcPr>
          <w:p>
            <w:pPr>
              <w:spacing w:after="0"/>
              <w:rPr>
                <w:sz w:val="20"/>
                <w:szCs w:val="20"/>
                <w:color w:val="auto"/>
              </w:rPr>
            </w:pPr>
            <w:r>
              <w:rPr>
                <w:rFonts w:ascii="Arial" w:cs="Arial" w:eastAsia="Arial" w:hAnsi="Arial"/>
                <w:sz w:val="14"/>
                <w:szCs w:val="14"/>
                <w:color w:val="auto"/>
              </w:rPr>
              <w:t>Self-developed software expenditures</w:t>
            </w: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(3 )</w:t>
            </w:r>
          </w:p>
        </w:tc>
        <w:tc>
          <w:tcPr>
            <w:tcW w:w="1660" w:type="dxa"/>
            <w:vAlign w:val="bottom"/>
          </w:tcPr>
          <w:p>
            <w:pPr>
              <w:jc w:val="right"/>
              <w:ind w:right="568"/>
              <w:spacing w:after="0"/>
              <w:rPr>
                <w:sz w:val="20"/>
                <w:szCs w:val="20"/>
                <w:color w:val="auto"/>
              </w:rPr>
            </w:pPr>
            <w:r>
              <w:rPr>
                <w:rFonts w:ascii="Arial" w:cs="Arial" w:eastAsia="Arial" w:hAnsi="Arial"/>
                <w:sz w:val="14"/>
                <w:szCs w:val="14"/>
                <w:color w:val="auto"/>
              </w:rPr>
              <w:t>(2 )</w:t>
            </w:r>
          </w:p>
        </w:tc>
        <w:tc>
          <w:tcPr>
            <w:tcW w:w="580" w:type="dxa"/>
            <w:vAlign w:val="bottom"/>
          </w:tcPr>
          <w:p>
            <w:pPr>
              <w:jc w:val="right"/>
              <w:ind w:right="128"/>
              <w:spacing w:after="0"/>
              <w:rPr>
                <w:sz w:val="20"/>
                <w:szCs w:val="20"/>
                <w:color w:val="auto"/>
              </w:rPr>
            </w:pPr>
            <w:r>
              <w:rPr>
                <w:rFonts w:ascii="Arial" w:cs="Arial" w:eastAsia="Arial" w:hAnsi="Arial"/>
                <w:sz w:val="14"/>
                <w:szCs w:val="14"/>
                <w:color w:val="auto"/>
              </w:rPr>
              <w:t>--</w:t>
            </w:r>
          </w:p>
        </w:tc>
      </w:tr>
      <w:tr>
        <w:trPr>
          <w:trHeight w:val="216"/>
        </w:trPr>
        <w:tc>
          <w:tcPr>
            <w:tcW w:w="4640" w:type="dxa"/>
            <w:vAlign w:val="bottom"/>
          </w:tcPr>
          <w:p>
            <w:pPr>
              <w:spacing w:after="0"/>
              <w:rPr>
                <w:sz w:val="20"/>
                <w:szCs w:val="20"/>
                <w:color w:val="auto"/>
              </w:rPr>
            </w:pPr>
            <w:r>
              <w:rPr>
                <w:rFonts w:ascii="Arial" w:cs="Arial" w:eastAsia="Arial" w:hAnsi="Arial"/>
                <w:sz w:val="14"/>
                <w:szCs w:val="14"/>
                <w:color w:val="auto"/>
              </w:rPr>
              <w:t>Regulatory reserve release</w:t>
            </w:r>
          </w:p>
        </w:tc>
        <w:tc>
          <w:tcPr>
            <w:tcW w:w="88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660" w:type="dxa"/>
            <w:vAlign w:val="bottom"/>
          </w:tcPr>
          <w:p>
            <w:pPr>
              <w:jc w:val="right"/>
              <w:ind w:right="568"/>
              <w:spacing w:after="0"/>
              <w:rPr>
                <w:sz w:val="20"/>
                <w:szCs w:val="20"/>
                <w:color w:val="auto"/>
              </w:rPr>
            </w:pPr>
            <w:r>
              <w:rPr>
                <w:rFonts w:ascii="Arial" w:cs="Arial" w:eastAsia="Arial" w:hAnsi="Arial"/>
                <w:sz w:val="14"/>
                <w:szCs w:val="14"/>
                <w:color w:val="auto"/>
              </w:rPr>
              <w:t>(2 )</w:t>
            </w:r>
          </w:p>
        </w:tc>
        <w:tc>
          <w:tcPr>
            <w:tcW w:w="580" w:type="dxa"/>
            <w:vAlign w:val="bottom"/>
          </w:tcPr>
          <w:p>
            <w:pPr>
              <w:jc w:val="right"/>
              <w:ind w:right="128"/>
              <w:spacing w:after="0"/>
              <w:rPr>
                <w:sz w:val="20"/>
                <w:szCs w:val="20"/>
                <w:color w:val="auto"/>
              </w:rPr>
            </w:pPr>
            <w:r>
              <w:rPr>
                <w:rFonts w:ascii="Arial" w:cs="Arial" w:eastAsia="Arial" w:hAnsi="Arial"/>
                <w:sz w:val="14"/>
                <w:szCs w:val="14"/>
                <w:color w:val="auto"/>
              </w:rPr>
              <w:t>--</w:t>
            </w:r>
          </w:p>
        </w:tc>
      </w:tr>
      <w:tr>
        <w:trPr>
          <w:trHeight w:val="222"/>
        </w:trPr>
        <w:tc>
          <w:tcPr>
            <w:tcW w:w="4640" w:type="dxa"/>
            <w:vAlign w:val="bottom"/>
          </w:tcPr>
          <w:p>
            <w:pPr>
              <w:spacing w:after="0"/>
              <w:rPr>
                <w:sz w:val="20"/>
                <w:szCs w:val="20"/>
                <w:color w:val="auto"/>
              </w:rPr>
            </w:pPr>
            <w:r>
              <w:rPr>
                <w:rFonts w:ascii="Arial" w:cs="Arial" w:eastAsia="Arial" w:hAnsi="Arial"/>
                <w:sz w:val="14"/>
                <w:szCs w:val="14"/>
                <w:color w:val="auto"/>
              </w:rPr>
              <w:t>Other, net</w:t>
            </w:r>
          </w:p>
        </w:tc>
        <w:tc>
          <w:tcPr>
            <w:tcW w:w="8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(2 )</w:t>
            </w:r>
          </w:p>
        </w:tc>
        <w:tc>
          <w:tcPr>
            <w:tcW w:w="166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color w:val="auto"/>
              </w:rPr>
              <w:t>(3 )</w:t>
            </w:r>
          </w:p>
        </w:tc>
        <w:tc>
          <w:tcPr>
            <w:tcW w:w="5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(5 )</w:t>
            </w:r>
          </w:p>
        </w:tc>
      </w:tr>
      <w:tr>
        <w:trPr>
          <w:trHeight w:val="224"/>
        </w:trPr>
        <w:tc>
          <w:tcPr>
            <w:tcW w:w="4640" w:type="dxa"/>
            <w:vAlign w:val="bottom"/>
            <w:tcBorders>
              <w:bottom w:val="single" w:sz="8" w:color="auto"/>
            </w:tcBorders>
          </w:tcPr>
          <w:p>
            <w:pPr>
              <w:ind w:left="220"/>
              <w:spacing w:after="0"/>
              <w:rPr>
                <w:sz w:val="20"/>
                <w:szCs w:val="20"/>
                <w:color w:val="auto"/>
              </w:rPr>
            </w:pPr>
            <w:r>
              <w:rPr>
                <w:rFonts w:ascii="Arial" w:cs="Arial" w:eastAsia="Arial" w:hAnsi="Arial"/>
                <w:sz w:val="14"/>
                <w:szCs w:val="14"/>
                <w:color w:val="auto"/>
              </w:rPr>
              <w:t>Effective income tax rate</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32 %</w:t>
            </w:r>
          </w:p>
        </w:tc>
        <w:tc>
          <w:tcPr>
            <w:tcW w:w="166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color w:val="auto"/>
              </w:rPr>
              <w:t>32 %</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39 %</w:t>
            </w:r>
          </w:p>
        </w:tc>
      </w:tr>
      <w:tr>
        <w:trPr>
          <w:trHeight w:val="210"/>
        </w:trPr>
        <w:tc>
          <w:tcPr>
            <w:tcW w:w="4640" w:type="dxa"/>
            <w:vAlign w:val="bottom"/>
          </w:tcPr>
          <w:p>
            <w:pPr>
              <w:spacing w:after="0"/>
              <w:rPr>
                <w:sz w:val="20"/>
                <w:szCs w:val="20"/>
                <w:color w:val="auto"/>
              </w:rPr>
            </w:pPr>
            <w:r>
              <w:rPr>
                <w:rFonts w:ascii="Arial" w:cs="Arial" w:eastAsia="Arial" w:hAnsi="Arial"/>
                <w:sz w:val="14"/>
                <w:szCs w:val="14"/>
                <w:b w:val="1"/>
                <w:bCs w:val="1"/>
                <w:color w:val="auto"/>
              </w:rPr>
              <w:t>PE</w:t>
            </w:r>
          </w:p>
        </w:tc>
        <w:tc>
          <w:tcPr>
            <w:tcW w:w="8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580" w:type="dxa"/>
            <w:vAlign w:val="bottom"/>
          </w:tcPr>
          <w:p>
            <w:pPr>
              <w:spacing w:after="0"/>
              <w:rPr>
                <w:sz w:val="18"/>
                <w:szCs w:val="18"/>
                <w:color w:val="auto"/>
              </w:rPr>
            </w:pPr>
          </w:p>
        </w:tc>
      </w:tr>
      <w:tr>
        <w:trPr>
          <w:trHeight w:val="216"/>
        </w:trPr>
        <w:tc>
          <w:tcPr>
            <w:tcW w:w="4640" w:type="dxa"/>
            <w:vAlign w:val="bottom"/>
          </w:tcPr>
          <w:p>
            <w:pPr>
              <w:spacing w:after="0"/>
              <w:rPr>
                <w:sz w:val="20"/>
                <w:szCs w:val="20"/>
                <w:color w:val="auto"/>
              </w:rPr>
            </w:pPr>
            <w:r>
              <w:rPr>
                <w:rFonts w:ascii="Arial" w:cs="Arial" w:eastAsia="Arial" w:hAnsi="Arial"/>
                <w:sz w:val="14"/>
                <w:szCs w:val="14"/>
                <w:color w:val="auto"/>
              </w:rPr>
              <w:t>Statutory federal income tax rate</w:t>
            </w:r>
          </w:p>
        </w:tc>
        <w:tc>
          <w:tcPr>
            <w:tcW w:w="880" w:type="dxa"/>
            <w:vAlign w:val="bottom"/>
          </w:tcPr>
          <w:p>
            <w:pPr>
              <w:jc w:val="right"/>
              <w:spacing w:after="0"/>
              <w:rPr>
                <w:sz w:val="20"/>
                <w:szCs w:val="20"/>
                <w:color w:val="auto"/>
              </w:rPr>
            </w:pPr>
            <w:r>
              <w:rPr>
                <w:rFonts w:ascii="Arial" w:cs="Arial" w:eastAsia="Arial" w:hAnsi="Arial"/>
                <w:sz w:val="14"/>
                <w:szCs w:val="14"/>
                <w:color w:val="auto"/>
              </w:rPr>
              <w:t>35 %</w:t>
            </w:r>
          </w:p>
        </w:tc>
        <w:tc>
          <w:tcPr>
            <w:tcW w:w="1660" w:type="dxa"/>
            <w:vAlign w:val="bottom"/>
          </w:tcPr>
          <w:p>
            <w:pPr>
              <w:jc w:val="right"/>
              <w:ind w:right="488"/>
              <w:spacing w:after="0"/>
              <w:rPr>
                <w:sz w:val="20"/>
                <w:szCs w:val="20"/>
                <w:color w:val="auto"/>
              </w:rPr>
            </w:pPr>
            <w:r>
              <w:rPr>
                <w:rFonts w:ascii="Arial" w:cs="Arial" w:eastAsia="Arial" w:hAnsi="Arial"/>
                <w:sz w:val="14"/>
                <w:szCs w:val="14"/>
                <w:color w:val="auto"/>
              </w:rPr>
              <w:t>35 %</w:t>
            </w:r>
          </w:p>
        </w:tc>
        <w:tc>
          <w:tcPr>
            <w:tcW w:w="580" w:type="dxa"/>
            <w:vAlign w:val="bottom"/>
          </w:tcPr>
          <w:p>
            <w:pPr>
              <w:jc w:val="right"/>
              <w:spacing w:after="0"/>
              <w:rPr>
                <w:sz w:val="20"/>
                <w:szCs w:val="20"/>
                <w:color w:val="auto"/>
              </w:rPr>
            </w:pPr>
            <w:r>
              <w:rPr>
                <w:rFonts w:ascii="Arial" w:cs="Arial" w:eastAsia="Arial" w:hAnsi="Arial"/>
                <w:sz w:val="14"/>
                <w:szCs w:val="14"/>
                <w:color w:val="auto"/>
              </w:rPr>
              <w:t>35 %</w:t>
            </w:r>
          </w:p>
        </w:tc>
      </w:tr>
      <w:tr>
        <w:trPr>
          <w:trHeight w:val="216"/>
        </w:trPr>
        <w:tc>
          <w:tcPr>
            <w:tcW w:w="4640" w:type="dxa"/>
            <w:vAlign w:val="bottom"/>
          </w:tcPr>
          <w:p>
            <w:pPr>
              <w:spacing w:after="0"/>
              <w:rPr>
                <w:sz w:val="20"/>
                <w:szCs w:val="20"/>
                <w:color w:val="auto"/>
              </w:rPr>
            </w:pPr>
            <w:r>
              <w:rPr>
                <w:rFonts w:ascii="Arial" w:cs="Arial" w:eastAsia="Arial" w:hAnsi="Arial"/>
                <w:sz w:val="14"/>
                <w:szCs w:val="14"/>
                <w:color w:val="auto"/>
              </w:rPr>
              <w:t>Depreciation</w:t>
            </w:r>
          </w:p>
        </w:tc>
        <w:tc>
          <w:tcPr>
            <w:tcW w:w="880" w:type="dxa"/>
            <w:vAlign w:val="bottom"/>
          </w:tcPr>
          <w:p>
            <w:pPr>
              <w:jc w:val="right"/>
              <w:ind w:right="88"/>
              <w:spacing w:after="0"/>
              <w:rPr>
                <w:sz w:val="20"/>
                <w:szCs w:val="20"/>
                <w:color w:val="auto"/>
              </w:rPr>
            </w:pPr>
            <w:r>
              <w:rPr>
                <w:rFonts w:ascii="Arial" w:cs="Arial" w:eastAsia="Arial" w:hAnsi="Arial"/>
                <w:sz w:val="14"/>
                <w:szCs w:val="14"/>
                <w:color w:val="auto"/>
              </w:rPr>
              <w:t>5</w:t>
            </w:r>
          </w:p>
        </w:tc>
        <w:tc>
          <w:tcPr>
            <w:tcW w:w="1660" w:type="dxa"/>
            <w:vAlign w:val="bottom"/>
          </w:tcPr>
          <w:p>
            <w:pPr>
              <w:jc w:val="right"/>
              <w:ind w:right="728"/>
              <w:spacing w:after="0"/>
              <w:rPr>
                <w:sz w:val="20"/>
                <w:szCs w:val="20"/>
                <w:color w:val="auto"/>
              </w:rPr>
            </w:pPr>
            <w:r>
              <w:rPr>
                <w:rFonts w:ascii="Arial" w:cs="Arial" w:eastAsia="Arial" w:hAnsi="Arial"/>
                <w:sz w:val="14"/>
                <w:szCs w:val="14"/>
                <w:color w:val="auto"/>
              </w:rPr>
              <w:t>6</w:t>
            </w:r>
          </w:p>
        </w:tc>
        <w:tc>
          <w:tcPr>
            <w:tcW w:w="580" w:type="dxa"/>
            <w:vAlign w:val="bottom"/>
          </w:tcPr>
          <w:p>
            <w:pPr>
              <w:jc w:val="right"/>
              <w:ind w:right="128"/>
              <w:spacing w:after="0"/>
              <w:rPr>
                <w:sz w:val="20"/>
                <w:szCs w:val="20"/>
                <w:color w:val="auto"/>
              </w:rPr>
            </w:pPr>
            <w:r>
              <w:rPr>
                <w:rFonts w:ascii="Arial" w:cs="Arial" w:eastAsia="Arial" w:hAnsi="Arial"/>
                <w:sz w:val="14"/>
                <w:szCs w:val="14"/>
                <w:color w:val="auto"/>
              </w:rPr>
              <w:t>6</w:t>
            </w:r>
          </w:p>
        </w:tc>
      </w:tr>
      <w:tr>
        <w:trPr>
          <w:trHeight w:val="216"/>
        </w:trPr>
        <w:tc>
          <w:tcPr>
            <w:tcW w:w="4640" w:type="dxa"/>
            <w:vAlign w:val="bottom"/>
          </w:tcPr>
          <w:p>
            <w:pPr>
              <w:spacing w:after="0"/>
              <w:rPr>
                <w:sz w:val="20"/>
                <w:szCs w:val="20"/>
                <w:color w:val="auto"/>
              </w:rPr>
            </w:pPr>
            <w:r>
              <w:rPr>
                <w:rFonts w:ascii="Arial" w:cs="Arial" w:eastAsia="Arial" w:hAnsi="Arial"/>
                <w:sz w:val="14"/>
                <w:szCs w:val="14"/>
                <w:color w:val="auto"/>
              </w:rPr>
              <w:t>State income taxes, net of federal income tax benefit</w:t>
            </w:r>
          </w:p>
        </w:tc>
        <w:tc>
          <w:tcPr>
            <w:tcW w:w="880" w:type="dxa"/>
            <w:vAlign w:val="bottom"/>
          </w:tcPr>
          <w:p>
            <w:pPr>
              <w:jc w:val="right"/>
              <w:ind w:right="88"/>
              <w:spacing w:after="0"/>
              <w:rPr>
                <w:sz w:val="20"/>
                <w:szCs w:val="20"/>
                <w:color w:val="auto"/>
              </w:rPr>
            </w:pPr>
            <w:r>
              <w:rPr>
                <w:rFonts w:ascii="Arial" w:cs="Arial" w:eastAsia="Arial" w:hAnsi="Arial"/>
                <w:sz w:val="14"/>
                <w:szCs w:val="14"/>
                <w:color w:val="auto"/>
              </w:rPr>
              <w:t>4</w:t>
            </w:r>
          </w:p>
        </w:tc>
        <w:tc>
          <w:tcPr>
            <w:tcW w:w="1660" w:type="dxa"/>
            <w:vAlign w:val="bottom"/>
          </w:tcPr>
          <w:p>
            <w:pPr>
              <w:jc w:val="right"/>
              <w:ind w:right="728"/>
              <w:spacing w:after="0"/>
              <w:rPr>
                <w:sz w:val="20"/>
                <w:szCs w:val="20"/>
                <w:color w:val="auto"/>
              </w:rPr>
            </w:pPr>
            <w:r>
              <w:rPr>
                <w:rFonts w:ascii="Arial" w:cs="Arial" w:eastAsia="Arial" w:hAnsi="Arial"/>
                <w:sz w:val="14"/>
                <w:szCs w:val="14"/>
                <w:color w:val="auto"/>
              </w:rPr>
              <w:t>5</w:t>
            </w:r>
          </w:p>
        </w:tc>
        <w:tc>
          <w:tcPr>
            <w:tcW w:w="580" w:type="dxa"/>
            <w:vAlign w:val="bottom"/>
          </w:tcPr>
          <w:p>
            <w:pPr>
              <w:jc w:val="right"/>
              <w:ind w:right="128"/>
              <w:spacing w:after="0"/>
              <w:rPr>
                <w:sz w:val="20"/>
                <w:szCs w:val="20"/>
                <w:color w:val="auto"/>
              </w:rPr>
            </w:pPr>
            <w:r>
              <w:rPr>
                <w:rFonts w:ascii="Arial" w:cs="Arial" w:eastAsia="Arial" w:hAnsi="Arial"/>
                <w:sz w:val="14"/>
                <w:szCs w:val="14"/>
                <w:color w:val="auto"/>
              </w:rPr>
              <w:t>6</w:t>
            </w:r>
          </w:p>
        </w:tc>
      </w:tr>
      <w:tr>
        <w:trPr>
          <w:trHeight w:val="216"/>
        </w:trPr>
        <w:tc>
          <w:tcPr>
            <w:tcW w:w="4640" w:type="dxa"/>
            <w:vAlign w:val="bottom"/>
          </w:tcPr>
          <w:p>
            <w:pPr>
              <w:spacing w:after="0"/>
              <w:rPr>
                <w:sz w:val="20"/>
                <w:szCs w:val="20"/>
                <w:color w:val="auto"/>
              </w:rPr>
            </w:pPr>
            <w:r>
              <w:rPr>
                <w:rFonts w:ascii="Arial" w:cs="Arial" w:eastAsia="Arial" w:hAnsi="Arial"/>
                <w:sz w:val="14"/>
                <w:szCs w:val="14"/>
                <w:color w:val="auto"/>
              </w:rPr>
              <w:t>Self-developed software expenditures</w:t>
            </w: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(3 )</w:t>
            </w:r>
          </w:p>
        </w:tc>
        <w:tc>
          <w:tcPr>
            <w:tcW w:w="1660" w:type="dxa"/>
            <w:vAlign w:val="bottom"/>
          </w:tcPr>
          <w:p>
            <w:pPr>
              <w:jc w:val="right"/>
              <w:ind w:right="568"/>
              <w:spacing w:after="0"/>
              <w:rPr>
                <w:sz w:val="20"/>
                <w:szCs w:val="20"/>
                <w:color w:val="auto"/>
              </w:rPr>
            </w:pPr>
            <w:r>
              <w:rPr>
                <w:rFonts w:ascii="Arial" w:cs="Arial" w:eastAsia="Arial" w:hAnsi="Arial"/>
                <w:sz w:val="14"/>
                <w:szCs w:val="14"/>
                <w:color w:val="auto"/>
              </w:rPr>
              <w:t>(1 )</w:t>
            </w:r>
          </w:p>
        </w:tc>
        <w:tc>
          <w:tcPr>
            <w:tcW w:w="580" w:type="dxa"/>
            <w:vAlign w:val="bottom"/>
          </w:tcPr>
          <w:p>
            <w:pPr>
              <w:jc w:val="right"/>
              <w:ind w:right="128"/>
              <w:spacing w:after="0"/>
              <w:rPr>
                <w:sz w:val="20"/>
                <w:szCs w:val="20"/>
                <w:color w:val="auto"/>
              </w:rPr>
            </w:pPr>
            <w:r>
              <w:rPr>
                <w:rFonts w:ascii="Arial" w:cs="Arial" w:eastAsia="Arial" w:hAnsi="Arial"/>
                <w:sz w:val="14"/>
                <w:szCs w:val="14"/>
                <w:color w:val="auto"/>
              </w:rPr>
              <w:t>--</w:t>
            </w:r>
          </w:p>
        </w:tc>
      </w:tr>
      <w:tr>
        <w:trPr>
          <w:trHeight w:val="222"/>
        </w:trPr>
        <w:tc>
          <w:tcPr>
            <w:tcW w:w="4640" w:type="dxa"/>
            <w:vAlign w:val="bottom"/>
          </w:tcPr>
          <w:p>
            <w:pPr>
              <w:spacing w:after="0"/>
              <w:rPr>
                <w:sz w:val="20"/>
                <w:szCs w:val="20"/>
                <w:color w:val="auto"/>
              </w:rPr>
            </w:pPr>
            <w:r>
              <w:rPr>
                <w:rFonts w:ascii="Arial" w:cs="Arial" w:eastAsia="Arial" w:hAnsi="Arial"/>
                <w:sz w:val="14"/>
                <w:szCs w:val="14"/>
                <w:color w:val="auto"/>
              </w:rPr>
              <w:t>Other, net</w:t>
            </w:r>
          </w:p>
        </w:tc>
        <w:tc>
          <w:tcPr>
            <w:tcW w:w="8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(5 )</w:t>
            </w:r>
          </w:p>
        </w:tc>
        <w:tc>
          <w:tcPr>
            <w:tcW w:w="166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color w:val="auto"/>
              </w:rPr>
              <w:t>(4 )</w:t>
            </w:r>
          </w:p>
        </w:tc>
        <w:tc>
          <w:tcPr>
            <w:tcW w:w="5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(3 )</w:t>
            </w:r>
          </w:p>
        </w:tc>
      </w:tr>
      <w:tr>
        <w:trPr>
          <w:trHeight w:val="224"/>
        </w:trPr>
        <w:tc>
          <w:tcPr>
            <w:tcW w:w="4640" w:type="dxa"/>
            <w:vAlign w:val="bottom"/>
            <w:tcBorders>
              <w:bottom w:val="single" w:sz="8" w:color="auto"/>
            </w:tcBorders>
          </w:tcPr>
          <w:p>
            <w:pPr>
              <w:ind w:left="220"/>
              <w:spacing w:after="0"/>
              <w:rPr>
                <w:sz w:val="20"/>
                <w:szCs w:val="20"/>
                <w:color w:val="auto"/>
              </w:rPr>
            </w:pPr>
            <w:r>
              <w:rPr>
                <w:rFonts w:ascii="Arial" w:cs="Arial" w:eastAsia="Arial" w:hAnsi="Arial"/>
                <w:sz w:val="14"/>
                <w:szCs w:val="14"/>
                <w:color w:val="auto"/>
              </w:rPr>
              <w:t>Effective income tax rate</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36 %</w:t>
            </w:r>
          </w:p>
        </w:tc>
        <w:tc>
          <w:tcPr>
            <w:tcW w:w="166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color w:val="auto"/>
              </w:rPr>
              <w:t>41 %</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44 %</w:t>
            </w:r>
          </w:p>
        </w:tc>
      </w:tr>
      <w:tr>
        <w:trPr>
          <w:trHeight w:val="210"/>
        </w:trPr>
        <w:tc>
          <w:tcPr>
            <w:tcW w:w="4640" w:type="dxa"/>
            <w:vAlign w:val="bottom"/>
          </w:tcPr>
          <w:p>
            <w:pPr>
              <w:spacing w:after="0"/>
              <w:rPr>
                <w:sz w:val="20"/>
                <w:szCs w:val="20"/>
                <w:color w:val="auto"/>
              </w:rPr>
            </w:pPr>
            <w:r>
              <w:rPr>
                <w:rFonts w:ascii="Arial" w:cs="Arial" w:eastAsia="Arial" w:hAnsi="Arial"/>
                <w:sz w:val="14"/>
                <w:szCs w:val="14"/>
                <w:b w:val="1"/>
                <w:bCs w:val="1"/>
                <w:color w:val="auto"/>
              </w:rPr>
              <w:t>SoCalGas</w:t>
            </w:r>
          </w:p>
        </w:tc>
        <w:tc>
          <w:tcPr>
            <w:tcW w:w="8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580" w:type="dxa"/>
            <w:vAlign w:val="bottom"/>
          </w:tcPr>
          <w:p>
            <w:pPr>
              <w:spacing w:after="0"/>
              <w:rPr>
                <w:sz w:val="18"/>
                <w:szCs w:val="18"/>
                <w:color w:val="auto"/>
              </w:rPr>
            </w:pPr>
          </w:p>
        </w:tc>
      </w:tr>
      <w:tr>
        <w:trPr>
          <w:trHeight w:val="216"/>
        </w:trPr>
        <w:tc>
          <w:tcPr>
            <w:tcW w:w="4640" w:type="dxa"/>
            <w:vAlign w:val="bottom"/>
          </w:tcPr>
          <w:p>
            <w:pPr>
              <w:spacing w:after="0"/>
              <w:rPr>
                <w:sz w:val="20"/>
                <w:szCs w:val="20"/>
                <w:color w:val="auto"/>
              </w:rPr>
            </w:pPr>
            <w:r>
              <w:rPr>
                <w:rFonts w:ascii="Arial" w:cs="Arial" w:eastAsia="Arial" w:hAnsi="Arial"/>
                <w:sz w:val="14"/>
                <w:szCs w:val="14"/>
                <w:color w:val="auto"/>
              </w:rPr>
              <w:t>Statutory federal income tax rate</w:t>
            </w:r>
          </w:p>
        </w:tc>
        <w:tc>
          <w:tcPr>
            <w:tcW w:w="880" w:type="dxa"/>
            <w:vAlign w:val="bottom"/>
          </w:tcPr>
          <w:p>
            <w:pPr>
              <w:jc w:val="right"/>
              <w:spacing w:after="0"/>
              <w:rPr>
                <w:sz w:val="20"/>
                <w:szCs w:val="20"/>
                <w:color w:val="auto"/>
              </w:rPr>
            </w:pPr>
            <w:r>
              <w:rPr>
                <w:rFonts w:ascii="Arial" w:cs="Arial" w:eastAsia="Arial" w:hAnsi="Arial"/>
                <w:sz w:val="14"/>
                <w:szCs w:val="14"/>
                <w:color w:val="auto"/>
              </w:rPr>
              <w:t>35 %</w:t>
            </w:r>
          </w:p>
        </w:tc>
        <w:tc>
          <w:tcPr>
            <w:tcW w:w="1660" w:type="dxa"/>
            <w:vAlign w:val="bottom"/>
          </w:tcPr>
          <w:p>
            <w:pPr>
              <w:jc w:val="right"/>
              <w:ind w:right="488"/>
              <w:spacing w:after="0"/>
              <w:rPr>
                <w:sz w:val="20"/>
                <w:szCs w:val="20"/>
                <w:color w:val="auto"/>
              </w:rPr>
            </w:pPr>
            <w:r>
              <w:rPr>
                <w:rFonts w:ascii="Arial" w:cs="Arial" w:eastAsia="Arial" w:hAnsi="Arial"/>
                <w:sz w:val="14"/>
                <w:szCs w:val="14"/>
                <w:color w:val="auto"/>
              </w:rPr>
              <w:t>35 %</w:t>
            </w:r>
          </w:p>
        </w:tc>
        <w:tc>
          <w:tcPr>
            <w:tcW w:w="580" w:type="dxa"/>
            <w:vAlign w:val="bottom"/>
          </w:tcPr>
          <w:p>
            <w:pPr>
              <w:jc w:val="right"/>
              <w:spacing w:after="0"/>
              <w:rPr>
                <w:sz w:val="20"/>
                <w:szCs w:val="20"/>
                <w:color w:val="auto"/>
              </w:rPr>
            </w:pPr>
            <w:r>
              <w:rPr>
                <w:rFonts w:ascii="Arial" w:cs="Arial" w:eastAsia="Arial" w:hAnsi="Arial"/>
                <w:sz w:val="14"/>
                <w:szCs w:val="14"/>
                <w:color w:val="auto"/>
              </w:rPr>
              <w:t>35 %</w:t>
            </w:r>
          </w:p>
        </w:tc>
      </w:tr>
      <w:tr>
        <w:trPr>
          <w:trHeight w:val="216"/>
        </w:trPr>
        <w:tc>
          <w:tcPr>
            <w:tcW w:w="4640" w:type="dxa"/>
            <w:vAlign w:val="bottom"/>
          </w:tcPr>
          <w:p>
            <w:pPr>
              <w:spacing w:after="0"/>
              <w:rPr>
                <w:sz w:val="20"/>
                <w:szCs w:val="20"/>
                <w:color w:val="auto"/>
              </w:rPr>
            </w:pPr>
            <w:r>
              <w:rPr>
                <w:rFonts w:ascii="Arial" w:cs="Arial" w:eastAsia="Arial" w:hAnsi="Arial"/>
                <w:sz w:val="14"/>
                <w:szCs w:val="14"/>
                <w:color w:val="auto"/>
              </w:rPr>
              <w:t>Depreciation</w:t>
            </w:r>
          </w:p>
        </w:tc>
        <w:tc>
          <w:tcPr>
            <w:tcW w:w="880" w:type="dxa"/>
            <w:vAlign w:val="bottom"/>
          </w:tcPr>
          <w:p>
            <w:pPr>
              <w:jc w:val="right"/>
              <w:ind w:right="88"/>
              <w:spacing w:after="0"/>
              <w:rPr>
                <w:sz w:val="20"/>
                <w:szCs w:val="20"/>
                <w:color w:val="auto"/>
              </w:rPr>
            </w:pPr>
            <w:r>
              <w:rPr>
                <w:rFonts w:ascii="Arial" w:cs="Arial" w:eastAsia="Arial" w:hAnsi="Arial"/>
                <w:sz w:val="14"/>
                <w:szCs w:val="14"/>
                <w:color w:val="auto"/>
              </w:rPr>
              <w:t>6</w:t>
            </w:r>
          </w:p>
        </w:tc>
        <w:tc>
          <w:tcPr>
            <w:tcW w:w="1660" w:type="dxa"/>
            <w:vAlign w:val="bottom"/>
          </w:tcPr>
          <w:p>
            <w:pPr>
              <w:jc w:val="right"/>
              <w:ind w:right="648"/>
              <w:spacing w:after="0"/>
              <w:rPr>
                <w:sz w:val="20"/>
                <w:szCs w:val="20"/>
                <w:color w:val="auto"/>
              </w:rPr>
            </w:pPr>
            <w:r>
              <w:rPr>
                <w:rFonts w:ascii="Arial" w:cs="Arial" w:eastAsia="Arial" w:hAnsi="Arial"/>
                <w:sz w:val="14"/>
                <w:szCs w:val="14"/>
                <w:color w:val="auto"/>
              </w:rPr>
              <w:t>6</w:t>
            </w:r>
          </w:p>
        </w:tc>
        <w:tc>
          <w:tcPr>
            <w:tcW w:w="580" w:type="dxa"/>
            <w:vAlign w:val="bottom"/>
          </w:tcPr>
          <w:p>
            <w:pPr>
              <w:jc w:val="right"/>
              <w:ind w:right="128"/>
              <w:spacing w:after="0"/>
              <w:rPr>
                <w:sz w:val="20"/>
                <w:szCs w:val="20"/>
                <w:color w:val="auto"/>
              </w:rPr>
            </w:pPr>
            <w:r>
              <w:rPr>
                <w:rFonts w:ascii="Arial" w:cs="Arial" w:eastAsia="Arial" w:hAnsi="Arial"/>
                <w:sz w:val="14"/>
                <w:szCs w:val="14"/>
                <w:color w:val="auto"/>
              </w:rPr>
              <w:t>6</w:t>
            </w:r>
          </w:p>
        </w:tc>
      </w:tr>
      <w:tr>
        <w:trPr>
          <w:trHeight w:val="216"/>
        </w:trPr>
        <w:tc>
          <w:tcPr>
            <w:tcW w:w="4640" w:type="dxa"/>
            <w:vAlign w:val="bottom"/>
          </w:tcPr>
          <w:p>
            <w:pPr>
              <w:spacing w:after="0"/>
              <w:rPr>
                <w:sz w:val="20"/>
                <w:szCs w:val="20"/>
                <w:color w:val="auto"/>
              </w:rPr>
            </w:pPr>
            <w:r>
              <w:rPr>
                <w:rFonts w:ascii="Arial" w:cs="Arial" w:eastAsia="Arial" w:hAnsi="Arial"/>
                <w:sz w:val="14"/>
                <w:szCs w:val="14"/>
                <w:color w:val="auto"/>
              </w:rPr>
              <w:t>State income taxes, net of federal income tax benefit</w:t>
            </w:r>
          </w:p>
        </w:tc>
        <w:tc>
          <w:tcPr>
            <w:tcW w:w="880" w:type="dxa"/>
            <w:vAlign w:val="bottom"/>
          </w:tcPr>
          <w:p>
            <w:pPr>
              <w:jc w:val="right"/>
              <w:ind w:right="88"/>
              <w:spacing w:after="0"/>
              <w:rPr>
                <w:sz w:val="20"/>
                <w:szCs w:val="20"/>
                <w:color w:val="auto"/>
              </w:rPr>
            </w:pPr>
            <w:r>
              <w:rPr>
                <w:rFonts w:ascii="Arial" w:cs="Arial" w:eastAsia="Arial" w:hAnsi="Arial"/>
                <w:sz w:val="14"/>
                <w:szCs w:val="14"/>
                <w:color w:val="auto"/>
              </w:rPr>
              <w:t>4</w:t>
            </w:r>
          </w:p>
        </w:tc>
        <w:tc>
          <w:tcPr>
            <w:tcW w:w="1660" w:type="dxa"/>
            <w:vAlign w:val="bottom"/>
          </w:tcPr>
          <w:p>
            <w:pPr>
              <w:jc w:val="right"/>
              <w:ind w:right="648"/>
              <w:spacing w:after="0"/>
              <w:rPr>
                <w:sz w:val="20"/>
                <w:szCs w:val="20"/>
                <w:color w:val="auto"/>
              </w:rPr>
            </w:pPr>
            <w:r>
              <w:rPr>
                <w:rFonts w:ascii="Arial" w:cs="Arial" w:eastAsia="Arial" w:hAnsi="Arial"/>
                <w:sz w:val="14"/>
                <w:szCs w:val="14"/>
                <w:color w:val="auto"/>
              </w:rPr>
              <w:t>5</w:t>
            </w:r>
          </w:p>
        </w:tc>
        <w:tc>
          <w:tcPr>
            <w:tcW w:w="580" w:type="dxa"/>
            <w:vAlign w:val="bottom"/>
          </w:tcPr>
          <w:p>
            <w:pPr>
              <w:jc w:val="right"/>
              <w:ind w:right="128"/>
              <w:spacing w:after="0"/>
              <w:rPr>
                <w:sz w:val="20"/>
                <w:szCs w:val="20"/>
                <w:color w:val="auto"/>
              </w:rPr>
            </w:pPr>
            <w:r>
              <w:rPr>
                <w:rFonts w:ascii="Arial" w:cs="Arial" w:eastAsia="Arial" w:hAnsi="Arial"/>
                <w:sz w:val="14"/>
                <w:szCs w:val="14"/>
                <w:color w:val="auto"/>
              </w:rPr>
              <w:t>6</w:t>
            </w:r>
          </w:p>
        </w:tc>
      </w:tr>
      <w:tr>
        <w:trPr>
          <w:trHeight w:val="216"/>
        </w:trPr>
        <w:tc>
          <w:tcPr>
            <w:tcW w:w="4640" w:type="dxa"/>
            <w:vAlign w:val="bottom"/>
          </w:tcPr>
          <w:p>
            <w:pPr>
              <w:spacing w:after="0"/>
              <w:rPr>
                <w:sz w:val="20"/>
                <w:szCs w:val="20"/>
                <w:color w:val="auto"/>
              </w:rPr>
            </w:pPr>
            <w:r>
              <w:rPr>
                <w:rFonts w:ascii="Arial" w:cs="Arial" w:eastAsia="Arial" w:hAnsi="Arial"/>
                <w:sz w:val="14"/>
                <w:szCs w:val="14"/>
                <w:color w:val="auto"/>
              </w:rPr>
              <w:t>Self-developed software expenditures</w:t>
            </w: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(3 )</w:t>
            </w:r>
          </w:p>
        </w:tc>
        <w:tc>
          <w:tcPr>
            <w:tcW w:w="1660" w:type="dxa"/>
            <w:vAlign w:val="bottom"/>
          </w:tcPr>
          <w:p>
            <w:pPr>
              <w:jc w:val="right"/>
              <w:ind w:right="568"/>
              <w:spacing w:after="0"/>
              <w:rPr>
                <w:sz w:val="20"/>
                <w:szCs w:val="20"/>
                <w:color w:val="auto"/>
              </w:rPr>
            </w:pPr>
            <w:r>
              <w:rPr>
                <w:rFonts w:ascii="Arial" w:cs="Arial" w:eastAsia="Arial" w:hAnsi="Arial"/>
                <w:sz w:val="14"/>
                <w:szCs w:val="14"/>
                <w:color w:val="auto"/>
              </w:rPr>
              <w:t>(1 )</w:t>
            </w:r>
          </w:p>
        </w:tc>
        <w:tc>
          <w:tcPr>
            <w:tcW w:w="580" w:type="dxa"/>
            <w:vAlign w:val="bottom"/>
          </w:tcPr>
          <w:p>
            <w:pPr>
              <w:jc w:val="right"/>
              <w:ind w:right="128"/>
              <w:spacing w:after="0"/>
              <w:rPr>
                <w:sz w:val="20"/>
                <w:szCs w:val="20"/>
                <w:color w:val="auto"/>
              </w:rPr>
            </w:pPr>
            <w:r>
              <w:rPr>
                <w:rFonts w:ascii="Arial" w:cs="Arial" w:eastAsia="Arial" w:hAnsi="Arial"/>
                <w:sz w:val="14"/>
                <w:szCs w:val="14"/>
                <w:color w:val="auto"/>
              </w:rPr>
              <w:t>--</w:t>
            </w:r>
          </w:p>
        </w:tc>
      </w:tr>
      <w:tr>
        <w:trPr>
          <w:trHeight w:val="222"/>
        </w:trPr>
        <w:tc>
          <w:tcPr>
            <w:tcW w:w="4640" w:type="dxa"/>
            <w:vAlign w:val="bottom"/>
          </w:tcPr>
          <w:p>
            <w:pPr>
              <w:spacing w:after="0"/>
              <w:rPr>
                <w:sz w:val="20"/>
                <w:szCs w:val="20"/>
                <w:color w:val="auto"/>
              </w:rPr>
            </w:pPr>
            <w:r>
              <w:rPr>
                <w:rFonts w:ascii="Arial" w:cs="Arial" w:eastAsia="Arial" w:hAnsi="Arial"/>
                <w:sz w:val="14"/>
                <w:szCs w:val="14"/>
                <w:color w:val="auto"/>
              </w:rPr>
              <w:t>Other, net</w:t>
            </w:r>
          </w:p>
        </w:tc>
        <w:tc>
          <w:tcPr>
            <w:tcW w:w="8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(6 )</w:t>
            </w:r>
          </w:p>
        </w:tc>
        <w:tc>
          <w:tcPr>
            <w:tcW w:w="166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color w:val="auto"/>
              </w:rPr>
              <w:t>(4 )</w:t>
            </w:r>
          </w:p>
        </w:tc>
        <w:tc>
          <w:tcPr>
            <w:tcW w:w="5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(3 )</w:t>
            </w:r>
          </w:p>
        </w:tc>
      </w:tr>
      <w:tr>
        <w:trPr>
          <w:trHeight w:val="224"/>
        </w:trPr>
        <w:tc>
          <w:tcPr>
            <w:tcW w:w="4640" w:type="dxa"/>
            <w:vAlign w:val="bottom"/>
            <w:tcBorders>
              <w:bottom w:val="single" w:sz="8" w:color="auto"/>
            </w:tcBorders>
          </w:tcPr>
          <w:p>
            <w:pPr>
              <w:ind w:left="220"/>
              <w:spacing w:after="0"/>
              <w:rPr>
                <w:sz w:val="20"/>
                <w:szCs w:val="20"/>
                <w:color w:val="auto"/>
              </w:rPr>
            </w:pPr>
            <w:r>
              <w:rPr>
                <w:rFonts w:ascii="Arial" w:cs="Arial" w:eastAsia="Arial" w:hAnsi="Arial"/>
                <w:sz w:val="14"/>
                <w:szCs w:val="14"/>
                <w:color w:val="auto"/>
              </w:rPr>
              <w:t>Effective income tax rate</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36 %</w:t>
            </w:r>
          </w:p>
        </w:tc>
        <w:tc>
          <w:tcPr>
            <w:tcW w:w="166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color w:val="auto"/>
              </w:rPr>
              <w:t>41 %</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44 %</w:t>
            </w:r>
          </w:p>
        </w:tc>
      </w:tr>
    </w:tbl>
    <w:p>
      <w:pPr>
        <w:spacing w:after="0" w:line="180" w:lineRule="exact"/>
        <w:rPr>
          <w:sz w:val="20"/>
          <w:szCs w:val="20"/>
          <w:color w:val="auto"/>
        </w:rPr>
      </w:pPr>
    </w:p>
    <w:p>
      <w:pPr>
        <w:spacing w:after="0" w:line="277" w:lineRule="auto"/>
        <w:rPr>
          <w:sz w:val="20"/>
          <w:szCs w:val="20"/>
          <w:color w:val="auto"/>
        </w:rPr>
      </w:pPr>
      <w:r>
        <w:rPr>
          <w:rFonts w:ascii="Arial" w:cs="Arial" w:eastAsia="Arial" w:hAnsi="Arial"/>
          <w:sz w:val="16"/>
          <w:szCs w:val="16"/>
          <w:color w:val="auto"/>
        </w:rPr>
        <w:t>The geographic components of Income from Continuing Operations Before Income Taxes and Equity in Earnings of Certain Unconsolidated Subsidiaries at Sempra Energy are as follows:</w:t>
      </w:r>
    </w:p>
    <w:p>
      <w:pPr>
        <w:spacing w:after="0" w:line="277" w:lineRule="exact"/>
        <w:rPr>
          <w:sz w:val="20"/>
          <w:szCs w:val="20"/>
          <w:color w:val="auto"/>
        </w:rPr>
      </w:pPr>
    </w:p>
    <w:tbl>
      <w:tblPr>
        <w:tblLayout w:type="fixed"/>
        <w:tblInd w:w="1820" w:type="dxa"/>
        <w:tblCellMar>
          <w:top w:w="0" w:type="dxa"/>
          <w:left w:w="0" w:type="dxa"/>
          <w:bottom w:w="0" w:type="dxa"/>
          <w:right w:w="0" w:type="dxa"/>
        </w:tblCellMar>
      </w:tblPr>
      <w:tr>
        <w:trPr>
          <w:trHeight w:val="154"/>
        </w:trPr>
        <w:tc>
          <w:tcPr>
            <w:tcW w:w="46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740" w:type="dxa"/>
            <w:vAlign w:val="bottom"/>
            <w:gridSpan w:val="3"/>
          </w:tcPr>
          <w:p>
            <w:pPr>
              <w:jc w:val="right"/>
              <w:ind w:right="68"/>
              <w:spacing w:after="0"/>
              <w:rPr>
                <w:sz w:val="20"/>
                <w:szCs w:val="20"/>
                <w:color w:val="auto"/>
              </w:rPr>
            </w:pPr>
            <w:r>
              <w:rPr>
                <w:rFonts w:ascii="Arial" w:cs="Arial" w:eastAsia="Arial" w:hAnsi="Arial"/>
                <w:sz w:val="13"/>
                <w:szCs w:val="13"/>
                <w:color w:val="auto"/>
                <w:w w:val="99"/>
              </w:rPr>
              <w:t>Years ended December 31,</w:t>
            </w: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4600" w:type="dxa"/>
            <w:vAlign w:val="bottom"/>
            <w:vMerge w:val="restart"/>
          </w:tcPr>
          <w:p>
            <w:pPr>
              <w:ind w:left="20"/>
              <w:spacing w:after="0"/>
              <w:rPr>
                <w:sz w:val="20"/>
                <w:szCs w:val="20"/>
                <w:color w:val="auto"/>
              </w:rPr>
            </w:pPr>
            <w:r>
              <w:rPr>
                <w:rFonts w:ascii="Arial" w:cs="Arial" w:eastAsia="Arial" w:hAnsi="Arial"/>
                <w:sz w:val="13"/>
                <w:szCs w:val="13"/>
                <w:i w:val="1"/>
                <w:iCs w:val="1"/>
                <w:color w:val="auto"/>
              </w:rPr>
              <w:t>(Dollars in millions)</w:t>
            </w:r>
          </w:p>
        </w:tc>
        <w:tc>
          <w:tcPr>
            <w:tcW w:w="2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2"/>
        </w:trPr>
        <w:tc>
          <w:tcPr>
            <w:tcW w:w="460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2008</w:t>
            </w:r>
          </w:p>
        </w:tc>
        <w:tc>
          <w:tcPr>
            <w:tcW w:w="600" w:type="dxa"/>
            <w:vAlign w:val="bottom"/>
          </w:tcPr>
          <w:p>
            <w:pPr>
              <w:spacing w:after="0"/>
              <w:rPr>
                <w:sz w:val="14"/>
                <w:szCs w:val="14"/>
                <w:color w:val="auto"/>
              </w:rPr>
            </w:pPr>
          </w:p>
        </w:tc>
        <w:tc>
          <w:tcPr>
            <w:tcW w:w="700" w:type="dxa"/>
            <w:vAlign w:val="bottom"/>
          </w:tcPr>
          <w:p>
            <w:pPr>
              <w:jc w:val="right"/>
              <w:ind w:right="130"/>
              <w:spacing w:after="0"/>
              <w:rPr>
                <w:sz w:val="20"/>
                <w:szCs w:val="20"/>
                <w:color w:val="auto"/>
              </w:rPr>
            </w:pPr>
            <w:r>
              <w:rPr>
                <w:rFonts w:ascii="Arial" w:cs="Arial" w:eastAsia="Arial" w:hAnsi="Arial"/>
                <w:sz w:val="13"/>
                <w:szCs w:val="13"/>
                <w:color w:val="auto"/>
              </w:rPr>
              <w:t>2007</w:t>
            </w:r>
          </w:p>
        </w:tc>
        <w:tc>
          <w:tcPr>
            <w:tcW w:w="440" w:type="dxa"/>
            <w:vAlign w:val="bottom"/>
          </w:tcPr>
          <w:p>
            <w:pPr>
              <w:spacing w:after="0"/>
              <w:rPr>
                <w:sz w:val="14"/>
                <w:szCs w:val="14"/>
                <w:color w:val="auto"/>
              </w:rPr>
            </w:pPr>
          </w:p>
        </w:tc>
        <w:tc>
          <w:tcPr>
            <w:tcW w:w="660" w:type="dxa"/>
            <w:vAlign w:val="bottom"/>
          </w:tcPr>
          <w:p>
            <w:pPr>
              <w:jc w:val="right"/>
              <w:ind w:right="90"/>
              <w:spacing w:after="0"/>
              <w:rPr>
                <w:sz w:val="20"/>
                <w:szCs w:val="20"/>
                <w:color w:val="auto"/>
              </w:rPr>
            </w:pPr>
            <w:r>
              <w:rPr>
                <w:rFonts w:ascii="Arial" w:cs="Arial" w:eastAsia="Arial" w:hAnsi="Arial"/>
                <w:sz w:val="13"/>
                <w:szCs w:val="13"/>
                <w:color w:val="auto"/>
              </w:rPr>
              <w:t>2006</w:t>
            </w:r>
          </w:p>
        </w:tc>
        <w:tc>
          <w:tcPr>
            <w:tcW w:w="0" w:type="dxa"/>
            <w:vAlign w:val="bottom"/>
          </w:tcPr>
          <w:p>
            <w:pPr>
              <w:spacing w:after="0"/>
              <w:rPr>
                <w:sz w:val="1"/>
                <w:szCs w:val="1"/>
                <w:color w:val="auto"/>
              </w:rPr>
            </w:pPr>
          </w:p>
        </w:tc>
      </w:tr>
      <w:tr>
        <w:trPr>
          <w:trHeight w:val="46"/>
        </w:trPr>
        <w:tc>
          <w:tcPr>
            <w:tcW w:w="460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78"/>
        </w:trPr>
        <w:tc>
          <w:tcPr>
            <w:tcW w:w="4600" w:type="dxa"/>
            <w:vAlign w:val="bottom"/>
          </w:tcPr>
          <w:p>
            <w:pPr>
              <w:ind w:left="20"/>
              <w:spacing w:after="0"/>
              <w:rPr>
                <w:sz w:val="20"/>
                <w:szCs w:val="20"/>
                <w:color w:val="auto"/>
              </w:rPr>
            </w:pPr>
            <w:r>
              <w:rPr>
                <w:rFonts w:ascii="Arial" w:cs="Arial" w:eastAsia="Arial" w:hAnsi="Arial"/>
                <w:sz w:val="14"/>
                <w:szCs w:val="14"/>
                <w:color w:val="auto"/>
              </w:rPr>
              <w:t>Domestic</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1,244</w:t>
            </w:r>
          </w:p>
        </w:tc>
        <w:tc>
          <w:tcPr>
            <w:tcW w:w="600" w:type="dxa"/>
            <w:vAlign w:val="bottom"/>
          </w:tcPr>
          <w:p>
            <w:pPr>
              <w:jc w:val="right"/>
              <w:ind w:right="91"/>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130"/>
              <w:spacing w:after="0"/>
              <w:rPr>
                <w:sz w:val="20"/>
                <w:szCs w:val="20"/>
                <w:color w:val="auto"/>
              </w:rPr>
            </w:pPr>
            <w:r>
              <w:rPr>
                <w:rFonts w:ascii="Arial" w:cs="Arial" w:eastAsia="Arial" w:hAnsi="Arial"/>
                <w:sz w:val="14"/>
                <w:szCs w:val="14"/>
                <w:color w:val="auto"/>
              </w:rPr>
              <w:t>1,282</w:t>
            </w:r>
          </w:p>
        </w:tc>
        <w:tc>
          <w:tcPr>
            <w:tcW w:w="44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90"/>
              <w:spacing w:after="0"/>
              <w:rPr>
                <w:sz w:val="20"/>
                <w:szCs w:val="20"/>
                <w:color w:val="auto"/>
              </w:rPr>
            </w:pPr>
            <w:r>
              <w:rPr>
                <w:rFonts w:ascii="Arial" w:cs="Arial" w:eastAsia="Arial" w:hAnsi="Arial"/>
                <w:sz w:val="14"/>
                <w:szCs w:val="14"/>
                <w:color w:val="auto"/>
              </w:rPr>
              <w:t>1,682</w:t>
            </w:r>
          </w:p>
        </w:tc>
        <w:tc>
          <w:tcPr>
            <w:tcW w:w="0" w:type="dxa"/>
            <w:vAlign w:val="bottom"/>
          </w:tcPr>
          <w:p>
            <w:pPr>
              <w:spacing w:after="0"/>
              <w:rPr>
                <w:sz w:val="1"/>
                <w:szCs w:val="1"/>
                <w:color w:val="auto"/>
              </w:rPr>
            </w:pPr>
          </w:p>
        </w:tc>
      </w:tr>
      <w:tr>
        <w:trPr>
          <w:trHeight w:val="216"/>
        </w:trPr>
        <w:tc>
          <w:tcPr>
            <w:tcW w:w="4600" w:type="dxa"/>
            <w:vAlign w:val="bottom"/>
          </w:tcPr>
          <w:p>
            <w:pPr>
              <w:ind w:left="20"/>
              <w:spacing w:after="0"/>
              <w:rPr>
                <w:sz w:val="20"/>
                <w:szCs w:val="20"/>
                <w:color w:val="auto"/>
              </w:rPr>
            </w:pPr>
            <w:r>
              <w:rPr>
                <w:rFonts w:ascii="Arial" w:cs="Arial" w:eastAsia="Arial" w:hAnsi="Arial"/>
                <w:sz w:val="14"/>
                <w:szCs w:val="14"/>
                <w:color w:val="auto"/>
              </w:rPr>
              <w:t>Foreign</w:t>
            </w:r>
          </w:p>
        </w:tc>
        <w:tc>
          <w:tcPr>
            <w:tcW w:w="2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244</w:t>
            </w:r>
          </w:p>
        </w:tc>
        <w:tc>
          <w:tcPr>
            <w:tcW w:w="600" w:type="dxa"/>
            <w:vAlign w:val="bottom"/>
          </w:tcPr>
          <w:p>
            <w:pPr>
              <w:spacing w:after="0"/>
              <w:rPr>
                <w:sz w:val="18"/>
                <w:szCs w:val="18"/>
                <w:color w:val="auto"/>
              </w:rPr>
            </w:pPr>
          </w:p>
        </w:tc>
        <w:tc>
          <w:tcPr>
            <w:tcW w:w="700" w:type="dxa"/>
            <w:vAlign w:val="bottom"/>
          </w:tcPr>
          <w:p>
            <w:pPr>
              <w:jc w:val="right"/>
              <w:ind w:right="130"/>
              <w:spacing w:after="0"/>
              <w:rPr>
                <w:sz w:val="20"/>
                <w:szCs w:val="20"/>
                <w:color w:val="auto"/>
              </w:rPr>
            </w:pPr>
            <w:r>
              <w:rPr>
                <w:rFonts w:ascii="Arial" w:cs="Arial" w:eastAsia="Arial" w:hAnsi="Arial"/>
                <w:sz w:val="14"/>
                <w:szCs w:val="14"/>
                <w:color w:val="auto"/>
              </w:rPr>
              <w:t>268</w:t>
            </w:r>
          </w:p>
        </w:tc>
        <w:tc>
          <w:tcPr>
            <w:tcW w:w="440" w:type="dxa"/>
            <w:vAlign w:val="bottom"/>
          </w:tcPr>
          <w:p>
            <w:pPr>
              <w:spacing w:after="0"/>
              <w:rPr>
                <w:sz w:val="18"/>
                <w:szCs w:val="18"/>
                <w:color w:val="auto"/>
              </w:rPr>
            </w:pPr>
          </w:p>
        </w:tc>
        <w:tc>
          <w:tcPr>
            <w:tcW w:w="660" w:type="dxa"/>
            <w:vAlign w:val="bottom"/>
          </w:tcPr>
          <w:p>
            <w:pPr>
              <w:jc w:val="right"/>
              <w:ind w:right="90"/>
              <w:spacing w:after="0"/>
              <w:rPr>
                <w:sz w:val="20"/>
                <w:szCs w:val="20"/>
                <w:color w:val="auto"/>
              </w:rPr>
            </w:pPr>
            <w:r>
              <w:rPr>
                <w:rFonts w:ascii="Arial" w:cs="Arial" w:eastAsia="Arial" w:hAnsi="Arial"/>
                <w:sz w:val="14"/>
                <w:szCs w:val="14"/>
                <w:color w:val="auto"/>
              </w:rPr>
              <w:t>232</w:t>
            </w:r>
          </w:p>
        </w:tc>
        <w:tc>
          <w:tcPr>
            <w:tcW w:w="0" w:type="dxa"/>
            <w:vAlign w:val="bottom"/>
          </w:tcPr>
          <w:p>
            <w:pPr>
              <w:spacing w:after="0"/>
              <w:rPr>
                <w:sz w:val="1"/>
                <w:szCs w:val="1"/>
                <w:color w:val="auto"/>
              </w:rPr>
            </w:pPr>
          </w:p>
        </w:tc>
      </w:tr>
      <w:tr>
        <w:trPr>
          <w:trHeight w:val="30"/>
        </w:trPr>
        <w:tc>
          <w:tcPr>
            <w:tcW w:w="46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8"/>
        </w:trPr>
        <w:tc>
          <w:tcPr>
            <w:tcW w:w="4600" w:type="dxa"/>
            <w:vAlign w:val="bottom"/>
          </w:tcPr>
          <w:p>
            <w:pPr>
              <w:ind w:left="20"/>
              <w:spacing w:after="0"/>
              <w:rPr>
                <w:sz w:val="20"/>
                <w:szCs w:val="20"/>
                <w:color w:val="auto"/>
              </w:rPr>
            </w:pPr>
            <w:r>
              <w:rPr>
                <w:rFonts w:ascii="Arial" w:cs="Arial" w:eastAsia="Arial" w:hAnsi="Arial"/>
                <w:sz w:val="14"/>
                <w:szCs w:val="14"/>
                <w:color w:val="auto"/>
              </w:rPr>
              <w:t>Total</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1,488</w:t>
            </w:r>
          </w:p>
        </w:tc>
        <w:tc>
          <w:tcPr>
            <w:tcW w:w="600" w:type="dxa"/>
            <w:vAlign w:val="bottom"/>
          </w:tcPr>
          <w:p>
            <w:pPr>
              <w:jc w:val="right"/>
              <w:ind w:right="91"/>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130"/>
              <w:spacing w:after="0"/>
              <w:rPr>
                <w:sz w:val="20"/>
                <w:szCs w:val="20"/>
                <w:color w:val="auto"/>
              </w:rPr>
            </w:pPr>
            <w:r>
              <w:rPr>
                <w:rFonts w:ascii="Arial" w:cs="Arial" w:eastAsia="Arial" w:hAnsi="Arial"/>
                <w:sz w:val="14"/>
                <w:szCs w:val="14"/>
                <w:color w:val="auto"/>
              </w:rPr>
              <w:t>1,550</w:t>
            </w:r>
          </w:p>
        </w:tc>
        <w:tc>
          <w:tcPr>
            <w:tcW w:w="44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90"/>
              <w:spacing w:after="0"/>
              <w:rPr>
                <w:sz w:val="20"/>
                <w:szCs w:val="20"/>
                <w:color w:val="auto"/>
              </w:rPr>
            </w:pPr>
            <w:r>
              <w:rPr>
                <w:rFonts w:ascii="Arial" w:cs="Arial" w:eastAsia="Arial" w:hAnsi="Arial"/>
                <w:sz w:val="14"/>
                <w:szCs w:val="14"/>
                <w:color w:val="auto"/>
              </w:rPr>
              <w:t>1,914</w:t>
            </w:r>
          </w:p>
        </w:tc>
        <w:tc>
          <w:tcPr>
            <w:tcW w:w="0" w:type="dxa"/>
            <w:vAlign w:val="bottom"/>
          </w:tcPr>
          <w:p>
            <w:pPr>
              <w:spacing w:after="0"/>
              <w:rPr>
                <w:sz w:val="1"/>
                <w:szCs w:val="1"/>
                <w:color w:val="auto"/>
              </w:rPr>
            </w:pPr>
          </w:p>
        </w:tc>
      </w:tr>
      <w:tr>
        <w:trPr>
          <w:trHeight w:val="46"/>
        </w:trPr>
        <w:tc>
          <w:tcPr>
            <w:tcW w:w="460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376" w:lineRule="exact"/>
        <w:rPr>
          <w:sz w:val="20"/>
          <w:szCs w:val="20"/>
          <w:color w:val="auto"/>
        </w:rPr>
      </w:pPr>
    </w:p>
    <w:p>
      <w:pPr>
        <w:spacing w:after="0"/>
        <w:rPr>
          <w:sz w:val="20"/>
          <w:szCs w:val="20"/>
          <w:color w:val="auto"/>
        </w:rPr>
      </w:pPr>
      <w:r>
        <w:rPr>
          <w:rFonts w:ascii="Arial" w:cs="Arial" w:eastAsia="Arial" w:hAnsi="Arial"/>
          <w:sz w:val="14"/>
          <w:szCs w:val="14"/>
          <w:color w:val="auto"/>
        </w:rPr>
        <w:t>132</w:t>
      </w:r>
    </w:p>
    <w:p>
      <w:pPr>
        <w:sectPr>
          <w:pgSz w:w="11900" w:h="16838" w:orient="portrait"/>
          <w:cols w:equalWidth="0" w:num="1">
            <w:col w:w="11420"/>
          </w:cols>
          <w:pgMar w:left="240" w:top="737" w:right="239" w:bottom="1440" w:gutter="0" w:footer="0" w:header="0"/>
        </w:sectPr>
      </w:pPr>
    </w:p>
    <w:bookmarkStart w:id="272" w:name="page273"/>
    <w:bookmarkEnd w:id="272"/>
    <w:p>
      <w:pPr>
        <w:spacing w:after="0"/>
        <w:rPr>
          <w:sz w:val="20"/>
          <w:szCs w:val="20"/>
          <w:color w:val="auto"/>
        </w:rPr>
      </w:pPr>
      <w:r>
        <w:rPr>
          <w:rFonts w:ascii="Arial" w:cs="Arial" w:eastAsia="Arial" w:hAnsi="Arial"/>
          <w:sz w:val="16"/>
          <w:szCs w:val="16"/>
          <w:color w:val="auto"/>
        </w:rPr>
        <w:t>The components of income tax expense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1156970</wp:posOffset>
            </wp:positionH>
            <wp:positionV relativeFrom="paragraph">
              <wp:posOffset>196215</wp:posOffset>
            </wp:positionV>
            <wp:extent cx="4942840" cy="24384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4942840" cy="243840"/>
                    </a:xfrm>
                    <a:prstGeom prst="rect">
                      <a:avLst/>
                    </a:prstGeom>
                    <a:noFill/>
                  </pic:spPr>
                </pic:pic>
              </a:graphicData>
            </a:graphic>
          </wp:anchor>
        </w:drawing>
      </w:r>
    </w:p>
    <w:p>
      <w:pPr>
        <w:spacing w:after="0" w:line="297" w:lineRule="exact"/>
        <w:rPr>
          <w:sz w:val="20"/>
          <w:szCs w:val="20"/>
          <w:color w:val="auto"/>
        </w:rPr>
      </w:pPr>
    </w:p>
    <w:p>
      <w:pPr>
        <w:ind w:left="1840"/>
        <w:spacing w:after="0"/>
        <w:rPr>
          <w:sz w:val="20"/>
          <w:szCs w:val="20"/>
          <w:color w:val="auto"/>
        </w:rPr>
      </w:pPr>
      <w:r>
        <w:rPr>
          <w:rFonts w:ascii="Arial" w:cs="Arial" w:eastAsia="Arial" w:hAnsi="Arial"/>
          <w:sz w:val="14"/>
          <w:szCs w:val="14"/>
          <w:b w:val="1"/>
          <w:bCs w:val="1"/>
          <w:color w:val="auto"/>
        </w:rPr>
        <w:t>INCOME TAX EXPENSE</w:t>
      </w:r>
    </w:p>
    <w:p>
      <w:pPr>
        <w:spacing w:after="0" w:line="40" w:lineRule="exact"/>
        <w:rPr>
          <w:sz w:val="20"/>
          <w:szCs w:val="20"/>
          <w:color w:val="auto"/>
        </w:rPr>
      </w:pPr>
    </w:p>
    <w:p>
      <w:pPr>
        <w:ind w:left="1840"/>
        <w:spacing w:after="0"/>
        <w:rPr>
          <w:sz w:val="20"/>
          <w:szCs w:val="20"/>
          <w:color w:val="auto"/>
        </w:rPr>
      </w:pPr>
      <w:r>
        <w:rPr>
          <w:rFonts w:ascii="Arial" w:cs="Arial" w:eastAsia="Arial" w:hAnsi="Arial"/>
          <w:sz w:val="13"/>
          <w:szCs w:val="13"/>
          <w:i w:val="1"/>
          <w:iCs w:val="1"/>
          <w:color w:val="auto"/>
        </w:rPr>
        <w:t>(Dollars in millions)</w:t>
      </w:r>
    </w:p>
    <w:p>
      <w:pPr>
        <w:spacing w:after="0" w:line="67" w:lineRule="exact"/>
        <w:rPr>
          <w:sz w:val="20"/>
          <w:szCs w:val="20"/>
          <w:color w:val="auto"/>
        </w:rPr>
      </w:pPr>
    </w:p>
    <w:tbl>
      <w:tblPr>
        <w:tblLayout w:type="fixed"/>
        <w:tblInd w:w="1820" w:type="dxa"/>
        <w:tblCellMar>
          <w:top w:w="0" w:type="dxa"/>
          <w:left w:w="0" w:type="dxa"/>
          <w:bottom w:w="0" w:type="dxa"/>
          <w:right w:w="0" w:type="dxa"/>
        </w:tblCellMar>
      </w:tblPr>
      <w:tr>
        <w:trPr>
          <w:trHeight w:val="159"/>
        </w:trPr>
        <w:tc>
          <w:tcPr>
            <w:tcW w:w="484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2100" w:type="dxa"/>
            <w:vAlign w:val="bottom"/>
            <w:tcBorders>
              <w:bottom w:val="single" w:sz="8" w:color="auto"/>
            </w:tcBorders>
            <w:gridSpan w:val="4"/>
          </w:tcPr>
          <w:p>
            <w:pPr>
              <w:jc w:val="right"/>
              <w:spacing w:after="0"/>
              <w:rPr>
                <w:sz w:val="20"/>
                <w:szCs w:val="20"/>
                <w:color w:val="auto"/>
              </w:rPr>
            </w:pPr>
            <w:r>
              <w:rPr>
                <w:rFonts w:ascii="Arial" w:cs="Arial" w:eastAsia="Arial" w:hAnsi="Arial"/>
                <w:sz w:val="13"/>
                <w:szCs w:val="13"/>
                <w:color w:val="auto"/>
              </w:rPr>
              <w:t>Years ended December 31,</w:t>
            </w:r>
          </w:p>
        </w:tc>
        <w:tc>
          <w:tcPr>
            <w:tcW w:w="640" w:type="dxa"/>
            <w:vAlign w:val="bottom"/>
            <w:tcBorders>
              <w:bottom w:val="single" w:sz="8" w:color="auto"/>
            </w:tcBorders>
          </w:tcPr>
          <w:p>
            <w:pPr>
              <w:spacing w:after="0"/>
              <w:rPr>
                <w:sz w:val="13"/>
                <w:szCs w:val="13"/>
                <w:color w:val="auto"/>
              </w:rPr>
            </w:pPr>
          </w:p>
        </w:tc>
      </w:tr>
      <w:tr>
        <w:trPr>
          <w:trHeight w:val="208"/>
        </w:trPr>
        <w:tc>
          <w:tcPr>
            <w:tcW w:w="48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248"/>
              <w:spacing w:after="0"/>
              <w:rPr>
                <w:sz w:val="20"/>
                <w:szCs w:val="20"/>
                <w:color w:val="auto"/>
              </w:rPr>
            </w:pPr>
            <w:r>
              <w:rPr>
                <w:rFonts w:ascii="Arial" w:cs="Arial" w:eastAsia="Arial" w:hAnsi="Arial"/>
                <w:sz w:val="13"/>
                <w:szCs w:val="13"/>
                <w:color w:val="auto"/>
              </w:rPr>
              <w:t>2008</w:t>
            </w:r>
          </w:p>
        </w:tc>
        <w:tc>
          <w:tcPr>
            <w:tcW w:w="3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308"/>
              <w:spacing w:after="0"/>
              <w:rPr>
                <w:sz w:val="20"/>
                <w:szCs w:val="20"/>
                <w:color w:val="auto"/>
              </w:rPr>
            </w:pPr>
            <w:r>
              <w:rPr>
                <w:rFonts w:ascii="Arial" w:cs="Arial" w:eastAsia="Arial" w:hAnsi="Arial"/>
                <w:sz w:val="13"/>
                <w:szCs w:val="13"/>
                <w:color w:val="auto"/>
              </w:rPr>
              <w:t>2007</w:t>
            </w:r>
          </w:p>
        </w:tc>
        <w:tc>
          <w:tcPr>
            <w:tcW w:w="3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208"/>
              <w:spacing w:after="0"/>
              <w:rPr>
                <w:sz w:val="20"/>
                <w:szCs w:val="20"/>
                <w:color w:val="auto"/>
              </w:rPr>
            </w:pPr>
            <w:r>
              <w:rPr>
                <w:rFonts w:ascii="Arial" w:cs="Arial" w:eastAsia="Arial" w:hAnsi="Arial"/>
                <w:sz w:val="13"/>
                <w:szCs w:val="13"/>
                <w:color w:val="auto"/>
              </w:rPr>
              <w:t>2006</w:t>
            </w:r>
          </w:p>
        </w:tc>
      </w:tr>
      <w:tr>
        <w:trPr>
          <w:trHeight w:val="207"/>
        </w:trPr>
        <w:tc>
          <w:tcPr>
            <w:tcW w:w="4840" w:type="dxa"/>
            <w:vAlign w:val="bottom"/>
          </w:tcPr>
          <w:p>
            <w:pPr>
              <w:ind w:left="20"/>
              <w:spacing w:after="0"/>
              <w:rPr>
                <w:sz w:val="20"/>
                <w:szCs w:val="20"/>
                <w:color w:val="auto"/>
              </w:rPr>
            </w:pPr>
            <w:r>
              <w:rPr>
                <w:rFonts w:ascii="Arial" w:cs="Arial" w:eastAsia="Arial" w:hAnsi="Arial"/>
                <w:sz w:val="14"/>
                <w:szCs w:val="14"/>
                <w:b w:val="1"/>
                <w:bCs w:val="1"/>
                <w:color w:val="auto"/>
              </w:rPr>
              <w:t>Sempra Energy Consolidated</w:t>
            </w: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16"/>
        </w:trPr>
        <w:tc>
          <w:tcPr>
            <w:tcW w:w="4840" w:type="dxa"/>
            <w:vAlign w:val="bottom"/>
          </w:tcPr>
          <w:p>
            <w:pPr>
              <w:ind w:left="20"/>
              <w:spacing w:after="0"/>
              <w:rPr>
                <w:sz w:val="20"/>
                <w:szCs w:val="20"/>
                <w:color w:val="auto"/>
              </w:rPr>
            </w:pPr>
            <w:r>
              <w:rPr>
                <w:rFonts w:ascii="Arial" w:cs="Arial" w:eastAsia="Arial" w:hAnsi="Arial"/>
                <w:sz w:val="14"/>
                <w:szCs w:val="14"/>
                <w:color w:val="auto"/>
              </w:rPr>
              <w:t>Current:</w:t>
            </w: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16"/>
        </w:trPr>
        <w:tc>
          <w:tcPr>
            <w:tcW w:w="4840" w:type="dxa"/>
            <w:vAlign w:val="bottom"/>
          </w:tcPr>
          <w:p>
            <w:pPr>
              <w:ind w:left="240"/>
              <w:spacing w:after="0"/>
              <w:rPr>
                <w:sz w:val="20"/>
                <w:szCs w:val="20"/>
                <w:color w:val="auto"/>
              </w:rPr>
            </w:pPr>
            <w:r>
              <w:rPr>
                <w:rFonts w:ascii="Arial" w:cs="Arial" w:eastAsia="Arial" w:hAnsi="Arial"/>
                <w:sz w:val="14"/>
                <w:szCs w:val="14"/>
                <w:color w:val="auto"/>
              </w:rPr>
              <w:t>Federal</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68"/>
              <w:spacing w:after="0"/>
              <w:rPr>
                <w:sz w:val="20"/>
                <w:szCs w:val="20"/>
                <w:color w:val="auto"/>
              </w:rPr>
            </w:pPr>
            <w:r>
              <w:rPr>
                <w:rFonts w:ascii="Arial" w:cs="Arial" w:eastAsia="Arial" w:hAnsi="Arial"/>
                <w:sz w:val="14"/>
                <w:szCs w:val="14"/>
                <w:color w:val="auto"/>
              </w:rPr>
              <w:t>(10 )</w:t>
            </w:r>
          </w:p>
        </w:tc>
        <w:tc>
          <w:tcPr>
            <w:tcW w:w="3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208"/>
              <w:spacing w:after="0"/>
              <w:rPr>
                <w:sz w:val="20"/>
                <w:szCs w:val="20"/>
                <w:color w:val="auto"/>
              </w:rPr>
            </w:pPr>
            <w:r>
              <w:rPr>
                <w:rFonts w:ascii="Arial" w:cs="Arial" w:eastAsia="Arial" w:hAnsi="Arial"/>
                <w:sz w:val="14"/>
                <w:szCs w:val="14"/>
                <w:color w:val="auto"/>
              </w:rPr>
              <w:t>247</w:t>
            </w:r>
          </w:p>
        </w:tc>
        <w:tc>
          <w:tcPr>
            <w:tcW w:w="340" w:type="dxa"/>
            <w:vAlign w:val="bottom"/>
          </w:tcPr>
          <w:p>
            <w:pPr>
              <w:jc w:val="right"/>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108"/>
              <w:spacing w:after="0"/>
              <w:rPr>
                <w:sz w:val="20"/>
                <w:szCs w:val="20"/>
                <w:color w:val="auto"/>
              </w:rPr>
            </w:pPr>
            <w:r>
              <w:rPr>
                <w:rFonts w:ascii="Arial" w:cs="Arial" w:eastAsia="Arial" w:hAnsi="Arial"/>
                <w:sz w:val="14"/>
                <w:szCs w:val="14"/>
                <w:color w:val="auto"/>
              </w:rPr>
              <w:t>416</w:t>
            </w:r>
          </w:p>
        </w:tc>
      </w:tr>
      <w:tr>
        <w:trPr>
          <w:trHeight w:val="216"/>
        </w:trPr>
        <w:tc>
          <w:tcPr>
            <w:tcW w:w="4840" w:type="dxa"/>
            <w:vAlign w:val="bottom"/>
          </w:tcPr>
          <w:p>
            <w:pPr>
              <w:ind w:left="240"/>
              <w:spacing w:after="0"/>
              <w:rPr>
                <w:sz w:val="20"/>
                <w:szCs w:val="20"/>
                <w:color w:val="auto"/>
              </w:rPr>
            </w:pPr>
            <w:r>
              <w:rPr>
                <w:rFonts w:ascii="Arial" w:cs="Arial" w:eastAsia="Arial" w:hAnsi="Arial"/>
                <w:sz w:val="14"/>
                <w:szCs w:val="14"/>
                <w:color w:val="auto"/>
              </w:rPr>
              <w:t>State</w:t>
            </w:r>
          </w:p>
        </w:tc>
        <w:tc>
          <w:tcPr>
            <w:tcW w:w="200" w:type="dxa"/>
            <w:vAlign w:val="bottom"/>
          </w:tcPr>
          <w:p>
            <w:pPr>
              <w:spacing w:after="0"/>
              <w:rPr>
                <w:sz w:val="18"/>
                <w:szCs w:val="18"/>
                <w:color w:val="auto"/>
              </w:rPr>
            </w:pPr>
          </w:p>
        </w:tc>
        <w:tc>
          <w:tcPr>
            <w:tcW w:w="660" w:type="dxa"/>
            <w:vAlign w:val="bottom"/>
          </w:tcPr>
          <w:p>
            <w:pPr>
              <w:jc w:val="right"/>
              <w:ind w:right="148"/>
              <w:spacing w:after="0"/>
              <w:rPr>
                <w:sz w:val="20"/>
                <w:szCs w:val="20"/>
                <w:color w:val="auto"/>
              </w:rPr>
            </w:pPr>
            <w:r>
              <w:rPr>
                <w:rFonts w:ascii="Arial" w:cs="Arial" w:eastAsia="Arial" w:hAnsi="Arial"/>
                <w:sz w:val="14"/>
                <w:szCs w:val="14"/>
                <w:color w:val="auto"/>
              </w:rPr>
              <w:t>28</w:t>
            </w:r>
          </w:p>
        </w:tc>
        <w:tc>
          <w:tcPr>
            <w:tcW w:w="360" w:type="dxa"/>
            <w:vAlign w:val="bottom"/>
          </w:tcPr>
          <w:p>
            <w:pPr>
              <w:spacing w:after="0"/>
              <w:rPr>
                <w:sz w:val="18"/>
                <w:szCs w:val="18"/>
                <w:color w:val="auto"/>
              </w:rPr>
            </w:pPr>
          </w:p>
        </w:tc>
        <w:tc>
          <w:tcPr>
            <w:tcW w:w="740" w:type="dxa"/>
            <w:vAlign w:val="bottom"/>
          </w:tcPr>
          <w:p>
            <w:pPr>
              <w:jc w:val="right"/>
              <w:ind w:right="208"/>
              <w:spacing w:after="0"/>
              <w:rPr>
                <w:sz w:val="20"/>
                <w:szCs w:val="20"/>
                <w:color w:val="auto"/>
              </w:rPr>
            </w:pPr>
            <w:r>
              <w:rPr>
                <w:rFonts w:ascii="Arial" w:cs="Arial" w:eastAsia="Arial" w:hAnsi="Arial"/>
                <w:sz w:val="14"/>
                <w:szCs w:val="14"/>
                <w:color w:val="auto"/>
              </w:rPr>
              <w:t>77</w:t>
            </w:r>
          </w:p>
        </w:tc>
        <w:tc>
          <w:tcPr>
            <w:tcW w:w="340" w:type="dxa"/>
            <w:vAlign w:val="bottom"/>
          </w:tcPr>
          <w:p>
            <w:pPr>
              <w:spacing w:after="0"/>
              <w:rPr>
                <w:sz w:val="18"/>
                <w:szCs w:val="18"/>
                <w:color w:val="auto"/>
              </w:rPr>
            </w:pPr>
          </w:p>
        </w:tc>
        <w:tc>
          <w:tcPr>
            <w:tcW w:w="640" w:type="dxa"/>
            <w:vAlign w:val="bottom"/>
          </w:tcPr>
          <w:p>
            <w:pPr>
              <w:jc w:val="right"/>
              <w:ind w:right="108"/>
              <w:spacing w:after="0"/>
              <w:rPr>
                <w:sz w:val="20"/>
                <w:szCs w:val="20"/>
                <w:color w:val="auto"/>
              </w:rPr>
            </w:pPr>
            <w:r>
              <w:rPr>
                <w:rFonts w:ascii="Arial" w:cs="Arial" w:eastAsia="Arial" w:hAnsi="Arial"/>
                <w:sz w:val="14"/>
                <w:szCs w:val="14"/>
                <w:color w:val="auto"/>
              </w:rPr>
              <w:t>96</w:t>
            </w:r>
          </w:p>
        </w:tc>
      </w:tr>
      <w:tr>
        <w:trPr>
          <w:trHeight w:val="222"/>
        </w:trPr>
        <w:tc>
          <w:tcPr>
            <w:tcW w:w="4840" w:type="dxa"/>
            <w:vAlign w:val="bottom"/>
          </w:tcPr>
          <w:p>
            <w:pPr>
              <w:ind w:left="240"/>
              <w:spacing w:after="0"/>
              <w:rPr>
                <w:sz w:val="20"/>
                <w:szCs w:val="20"/>
                <w:color w:val="auto"/>
              </w:rPr>
            </w:pPr>
            <w:r>
              <w:rPr>
                <w:rFonts w:ascii="Arial" w:cs="Arial" w:eastAsia="Arial" w:hAnsi="Arial"/>
                <w:sz w:val="14"/>
                <w:szCs w:val="14"/>
                <w:color w:val="auto"/>
              </w:rPr>
              <w:t>Foreign</w:t>
            </w:r>
          </w:p>
        </w:tc>
        <w:tc>
          <w:tcPr>
            <w:tcW w:w="2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96</w:t>
            </w:r>
          </w:p>
        </w:tc>
        <w:tc>
          <w:tcPr>
            <w:tcW w:w="3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51</w:t>
            </w:r>
          </w:p>
        </w:tc>
        <w:tc>
          <w:tcPr>
            <w:tcW w:w="3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52</w:t>
            </w:r>
          </w:p>
        </w:tc>
      </w:tr>
      <w:tr>
        <w:trPr>
          <w:trHeight w:val="208"/>
        </w:trPr>
        <w:tc>
          <w:tcPr>
            <w:tcW w:w="4840" w:type="dxa"/>
            <w:vAlign w:val="bottom"/>
          </w:tcPr>
          <w:p>
            <w:pPr>
              <w:ind w:left="360"/>
              <w:spacing w:after="0"/>
              <w:rPr>
                <w:sz w:val="20"/>
                <w:szCs w:val="20"/>
                <w:color w:val="auto"/>
              </w:rPr>
            </w:pPr>
            <w:r>
              <w:rPr>
                <w:rFonts w:ascii="Arial" w:cs="Arial" w:eastAsia="Arial" w:hAnsi="Arial"/>
                <w:sz w:val="14"/>
                <w:szCs w:val="14"/>
                <w:color w:val="auto"/>
              </w:rPr>
              <w:t>Total</w:t>
            </w:r>
          </w:p>
        </w:tc>
        <w:tc>
          <w:tcPr>
            <w:tcW w:w="2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114</w:t>
            </w:r>
          </w:p>
        </w:tc>
        <w:tc>
          <w:tcPr>
            <w:tcW w:w="3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375</w:t>
            </w:r>
          </w:p>
        </w:tc>
        <w:tc>
          <w:tcPr>
            <w:tcW w:w="3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564</w:t>
            </w:r>
          </w:p>
        </w:tc>
      </w:tr>
      <w:tr>
        <w:trPr>
          <w:trHeight w:val="202"/>
        </w:trPr>
        <w:tc>
          <w:tcPr>
            <w:tcW w:w="4840" w:type="dxa"/>
            <w:vAlign w:val="bottom"/>
          </w:tcPr>
          <w:p>
            <w:pPr>
              <w:ind w:left="20"/>
              <w:spacing w:after="0"/>
              <w:rPr>
                <w:sz w:val="20"/>
                <w:szCs w:val="20"/>
                <w:color w:val="auto"/>
              </w:rPr>
            </w:pPr>
            <w:r>
              <w:rPr>
                <w:rFonts w:ascii="Arial" w:cs="Arial" w:eastAsia="Arial" w:hAnsi="Arial"/>
                <w:sz w:val="14"/>
                <w:szCs w:val="14"/>
                <w:color w:val="auto"/>
              </w:rPr>
              <w:t>Deferred:</w:t>
            </w: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16"/>
        </w:trPr>
        <w:tc>
          <w:tcPr>
            <w:tcW w:w="4840" w:type="dxa"/>
            <w:vAlign w:val="bottom"/>
          </w:tcPr>
          <w:p>
            <w:pPr>
              <w:ind w:left="240"/>
              <w:spacing w:after="0"/>
              <w:rPr>
                <w:sz w:val="20"/>
                <w:szCs w:val="20"/>
                <w:color w:val="auto"/>
              </w:rPr>
            </w:pPr>
            <w:r>
              <w:rPr>
                <w:rFonts w:ascii="Arial" w:cs="Arial" w:eastAsia="Arial" w:hAnsi="Arial"/>
                <w:sz w:val="14"/>
                <w:szCs w:val="14"/>
                <w:color w:val="auto"/>
              </w:rPr>
              <w:t>Federal</w:t>
            </w:r>
          </w:p>
        </w:tc>
        <w:tc>
          <w:tcPr>
            <w:tcW w:w="200" w:type="dxa"/>
            <w:vAlign w:val="bottom"/>
          </w:tcPr>
          <w:p>
            <w:pPr>
              <w:spacing w:after="0"/>
              <w:rPr>
                <w:sz w:val="18"/>
                <w:szCs w:val="18"/>
                <w:color w:val="auto"/>
              </w:rPr>
            </w:pPr>
          </w:p>
        </w:tc>
        <w:tc>
          <w:tcPr>
            <w:tcW w:w="660" w:type="dxa"/>
            <w:vAlign w:val="bottom"/>
          </w:tcPr>
          <w:p>
            <w:pPr>
              <w:jc w:val="right"/>
              <w:ind w:right="148"/>
              <w:spacing w:after="0"/>
              <w:rPr>
                <w:sz w:val="20"/>
                <w:szCs w:val="20"/>
                <w:color w:val="auto"/>
              </w:rPr>
            </w:pPr>
            <w:r>
              <w:rPr>
                <w:rFonts w:ascii="Arial" w:cs="Arial" w:eastAsia="Arial" w:hAnsi="Arial"/>
                <w:sz w:val="14"/>
                <w:szCs w:val="14"/>
                <w:color w:val="auto"/>
              </w:rPr>
              <w:t>359</w:t>
            </w:r>
          </w:p>
        </w:tc>
        <w:tc>
          <w:tcPr>
            <w:tcW w:w="360" w:type="dxa"/>
            <w:vAlign w:val="bottom"/>
          </w:tcPr>
          <w:p>
            <w:pPr>
              <w:spacing w:after="0"/>
              <w:rPr>
                <w:sz w:val="18"/>
                <w:szCs w:val="18"/>
                <w:color w:val="auto"/>
              </w:rPr>
            </w:pPr>
          </w:p>
        </w:tc>
        <w:tc>
          <w:tcPr>
            <w:tcW w:w="740" w:type="dxa"/>
            <w:vAlign w:val="bottom"/>
          </w:tcPr>
          <w:p>
            <w:pPr>
              <w:jc w:val="right"/>
              <w:ind w:right="208"/>
              <w:spacing w:after="0"/>
              <w:rPr>
                <w:sz w:val="20"/>
                <w:szCs w:val="20"/>
                <w:color w:val="auto"/>
              </w:rPr>
            </w:pPr>
            <w:r>
              <w:rPr>
                <w:rFonts w:ascii="Arial" w:cs="Arial" w:eastAsia="Arial" w:hAnsi="Arial"/>
                <w:sz w:val="14"/>
                <w:szCs w:val="14"/>
                <w:color w:val="auto"/>
              </w:rPr>
              <w:t>124</w:t>
            </w:r>
          </w:p>
        </w:tc>
        <w:tc>
          <w:tcPr>
            <w:tcW w:w="340" w:type="dxa"/>
            <w:vAlign w:val="bottom"/>
          </w:tcPr>
          <w:p>
            <w:pPr>
              <w:spacing w:after="0"/>
              <w:rPr>
                <w:sz w:val="18"/>
                <w:szCs w:val="18"/>
                <w:color w:val="auto"/>
              </w:rPr>
            </w:pPr>
          </w:p>
        </w:tc>
        <w:tc>
          <w:tcPr>
            <w:tcW w:w="640" w:type="dxa"/>
            <w:vAlign w:val="bottom"/>
          </w:tcPr>
          <w:p>
            <w:pPr>
              <w:jc w:val="right"/>
              <w:ind w:right="108"/>
              <w:spacing w:after="0"/>
              <w:rPr>
                <w:sz w:val="20"/>
                <w:szCs w:val="20"/>
                <w:color w:val="auto"/>
              </w:rPr>
            </w:pPr>
            <w:r>
              <w:rPr>
                <w:rFonts w:ascii="Arial" w:cs="Arial" w:eastAsia="Arial" w:hAnsi="Arial"/>
                <w:sz w:val="14"/>
                <w:szCs w:val="14"/>
                <w:color w:val="auto"/>
              </w:rPr>
              <w:t>90</w:t>
            </w:r>
          </w:p>
        </w:tc>
      </w:tr>
      <w:tr>
        <w:trPr>
          <w:trHeight w:val="216"/>
        </w:trPr>
        <w:tc>
          <w:tcPr>
            <w:tcW w:w="4840" w:type="dxa"/>
            <w:vAlign w:val="bottom"/>
          </w:tcPr>
          <w:p>
            <w:pPr>
              <w:ind w:left="240"/>
              <w:spacing w:after="0"/>
              <w:rPr>
                <w:sz w:val="20"/>
                <w:szCs w:val="20"/>
                <w:color w:val="auto"/>
              </w:rPr>
            </w:pPr>
            <w:r>
              <w:rPr>
                <w:rFonts w:ascii="Arial" w:cs="Arial" w:eastAsia="Arial" w:hAnsi="Arial"/>
                <w:sz w:val="14"/>
                <w:szCs w:val="14"/>
                <w:color w:val="auto"/>
              </w:rPr>
              <w:t>State</w:t>
            </w:r>
          </w:p>
        </w:tc>
        <w:tc>
          <w:tcPr>
            <w:tcW w:w="200" w:type="dxa"/>
            <w:vAlign w:val="bottom"/>
          </w:tcPr>
          <w:p>
            <w:pPr>
              <w:spacing w:after="0"/>
              <w:rPr>
                <w:sz w:val="18"/>
                <w:szCs w:val="18"/>
                <w:color w:val="auto"/>
              </w:rPr>
            </w:pPr>
          </w:p>
        </w:tc>
        <w:tc>
          <w:tcPr>
            <w:tcW w:w="660" w:type="dxa"/>
            <w:vAlign w:val="bottom"/>
          </w:tcPr>
          <w:p>
            <w:pPr>
              <w:jc w:val="right"/>
              <w:ind w:right="148"/>
              <w:spacing w:after="0"/>
              <w:rPr>
                <w:sz w:val="20"/>
                <w:szCs w:val="20"/>
                <w:color w:val="auto"/>
              </w:rPr>
            </w:pPr>
            <w:r>
              <w:rPr>
                <w:rFonts w:ascii="Arial" w:cs="Arial" w:eastAsia="Arial" w:hAnsi="Arial"/>
                <w:sz w:val="14"/>
                <w:szCs w:val="14"/>
                <w:color w:val="auto"/>
              </w:rPr>
              <w:t>29</w:t>
            </w:r>
          </w:p>
        </w:tc>
        <w:tc>
          <w:tcPr>
            <w:tcW w:w="360" w:type="dxa"/>
            <w:vAlign w:val="bottom"/>
          </w:tcPr>
          <w:p>
            <w:pPr>
              <w:spacing w:after="0"/>
              <w:rPr>
                <w:sz w:val="18"/>
                <w:szCs w:val="18"/>
                <w:color w:val="auto"/>
              </w:rPr>
            </w:pPr>
          </w:p>
        </w:tc>
        <w:tc>
          <w:tcPr>
            <w:tcW w:w="740" w:type="dxa"/>
            <w:vAlign w:val="bottom"/>
          </w:tcPr>
          <w:p>
            <w:pPr>
              <w:jc w:val="right"/>
              <w:ind w:right="128"/>
              <w:spacing w:after="0"/>
              <w:rPr>
                <w:sz w:val="20"/>
                <w:szCs w:val="20"/>
                <w:color w:val="auto"/>
              </w:rPr>
            </w:pPr>
            <w:r>
              <w:rPr>
                <w:rFonts w:ascii="Arial" w:cs="Arial" w:eastAsia="Arial" w:hAnsi="Arial"/>
                <w:sz w:val="14"/>
                <w:szCs w:val="14"/>
                <w:color w:val="auto"/>
              </w:rPr>
              <w:t>(5 )</w:t>
            </w:r>
          </w:p>
        </w:tc>
        <w:tc>
          <w:tcPr>
            <w:tcW w:w="340" w:type="dxa"/>
            <w:vAlign w:val="bottom"/>
          </w:tcPr>
          <w:p>
            <w:pPr>
              <w:spacing w:after="0"/>
              <w:rPr>
                <w:sz w:val="18"/>
                <w:szCs w:val="18"/>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(36 )</w:t>
            </w:r>
          </w:p>
        </w:tc>
      </w:tr>
      <w:tr>
        <w:trPr>
          <w:trHeight w:val="222"/>
        </w:trPr>
        <w:tc>
          <w:tcPr>
            <w:tcW w:w="4840" w:type="dxa"/>
            <w:vAlign w:val="bottom"/>
          </w:tcPr>
          <w:p>
            <w:pPr>
              <w:ind w:left="240"/>
              <w:spacing w:after="0"/>
              <w:rPr>
                <w:sz w:val="20"/>
                <w:szCs w:val="20"/>
                <w:color w:val="auto"/>
              </w:rPr>
            </w:pPr>
            <w:r>
              <w:rPr>
                <w:rFonts w:ascii="Arial" w:cs="Arial" w:eastAsia="Arial" w:hAnsi="Arial"/>
                <w:sz w:val="14"/>
                <w:szCs w:val="14"/>
                <w:color w:val="auto"/>
              </w:rPr>
              <w:t>Foreign</w:t>
            </w:r>
          </w:p>
        </w:tc>
        <w:tc>
          <w:tcPr>
            <w:tcW w:w="2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(59 )</w:t>
            </w:r>
          </w:p>
        </w:tc>
        <w:tc>
          <w:tcPr>
            <w:tcW w:w="3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36</w:t>
            </w:r>
          </w:p>
        </w:tc>
        <w:tc>
          <w:tcPr>
            <w:tcW w:w="3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28</w:t>
            </w:r>
          </w:p>
        </w:tc>
      </w:tr>
      <w:tr>
        <w:trPr>
          <w:trHeight w:val="208"/>
        </w:trPr>
        <w:tc>
          <w:tcPr>
            <w:tcW w:w="4840" w:type="dxa"/>
            <w:vAlign w:val="bottom"/>
          </w:tcPr>
          <w:p>
            <w:pPr>
              <w:ind w:left="360"/>
              <w:spacing w:after="0"/>
              <w:rPr>
                <w:sz w:val="20"/>
                <w:szCs w:val="20"/>
                <w:color w:val="auto"/>
              </w:rPr>
            </w:pPr>
            <w:r>
              <w:rPr>
                <w:rFonts w:ascii="Arial" w:cs="Arial" w:eastAsia="Arial" w:hAnsi="Arial"/>
                <w:sz w:val="14"/>
                <w:szCs w:val="14"/>
                <w:color w:val="auto"/>
              </w:rPr>
              <w:t>Total</w:t>
            </w:r>
          </w:p>
        </w:tc>
        <w:tc>
          <w:tcPr>
            <w:tcW w:w="2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329</w:t>
            </w:r>
          </w:p>
        </w:tc>
        <w:tc>
          <w:tcPr>
            <w:tcW w:w="3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155</w:t>
            </w:r>
          </w:p>
        </w:tc>
        <w:tc>
          <w:tcPr>
            <w:tcW w:w="3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82</w:t>
            </w:r>
          </w:p>
        </w:tc>
      </w:tr>
      <w:tr>
        <w:trPr>
          <w:trHeight w:val="208"/>
        </w:trPr>
        <w:tc>
          <w:tcPr>
            <w:tcW w:w="4840" w:type="dxa"/>
            <w:vAlign w:val="bottom"/>
          </w:tcPr>
          <w:p>
            <w:pPr>
              <w:ind w:left="20"/>
              <w:spacing w:after="0"/>
              <w:rPr>
                <w:sz w:val="20"/>
                <w:szCs w:val="20"/>
                <w:color w:val="auto"/>
              </w:rPr>
            </w:pPr>
            <w:r>
              <w:rPr>
                <w:rFonts w:ascii="Arial" w:cs="Arial" w:eastAsia="Arial" w:hAnsi="Arial"/>
                <w:sz w:val="14"/>
                <w:szCs w:val="14"/>
                <w:color w:val="auto"/>
              </w:rPr>
              <w:t>Deferred investment tax credits</w:t>
            </w:r>
          </w:p>
        </w:tc>
        <w:tc>
          <w:tcPr>
            <w:tcW w:w="2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(5 )</w:t>
            </w:r>
          </w:p>
        </w:tc>
        <w:tc>
          <w:tcPr>
            <w:tcW w:w="3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(6 )</w:t>
            </w:r>
          </w:p>
        </w:tc>
        <w:tc>
          <w:tcPr>
            <w:tcW w:w="3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(5 )</w:t>
            </w:r>
          </w:p>
        </w:tc>
      </w:tr>
      <w:tr>
        <w:trPr>
          <w:trHeight w:val="224"/>
        </w:trPr>
        <w:tc>
          <w:tcPr>
            <w:tcW w:w="4840" w:type="dxa"/>
            <w:vAlign w:val="bottom"/>
            <w:tcBorders>
              <w:bottom w:val="single" w:sz="8" w:color="auto"/>
            </w:tcBorders>
          </w:tcPr>
          <w:p>
            <w:pPr>
              <w:ind w:left="360"/>
              <w:spacing w:after="0"/>
              <w:rPr>
                <w:sz w:val="20"/>
                <w:szCs w:val="20"/>
                <w:color w:val="auto"/>
              </w:rPr>
            </w:pPr>
            <w:r>
              <w:rPr>
                <w:rFonts w:ascii="Arial" w:cs="Arial" w:eastAsia="Arial" w:hAnsi="Arial"/>
                <w:sz w:val="14"/>
                <w:szCs w:val="14"/>
                <w:color w:val="auto"/>
              </w:rPr>
              <w:t>Total income tax expense</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438</w:t>
            </w:r>
          </w:p>
        </w:tc>
        <w:tc>
          <w:tcPr>
            <w:tcW w:w="3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524</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641</w:t>
            </w:r>
          </w:p>
        </w:tc>
      </w:tr>
      <w:tr>
        <w:trPr>
          <w:trHeight w:val="210"/>
        </w:trPr>
        <w:tc>
          <w:tcPr>
            <w:tcW w:w="4840" w:type="dxa"/>
            <w:vAlign w:val="bottom"/>
          </w:tcPr>
          <w:p>
            <w:pPr>
              <w:ind w:left="20"/>
              <w:spacing w:after="0"/>
              <w:rPr>
                <w:sz w:val="20"/>
                <w:szCs w:val="20"/>
                <w:color w:val="auto"/>
              </w:rPr>
            </w:pPr>
            <w:r>
              <w:rPr>
                <w:rFonts w:ascii="Arial" w:cs="Arial" w:eastAsia="Arial" w:hAnsi="Arial"/>
                <w:sz w:val="14"/>
                <w:szCs w:val="14"/>
                <w:b w:val="1"/>
                <w:bCs w:val="1"/>
                <w:color w:val="auto"/>
              </w:rPr>
              <w:t>SDG&amp;E</w:t>
            </w: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16"/>
        </w:trPr>
        <w:tc>
          <w:tcPr>
            <w:tcW w:w="4840" w:type="dxa"/>
            <w:vAlign w:val="bottom"/>
          </w:tcPr>
          <w:p>
            <w:pPr>
              <w:ind w:left="20"/>
              <w:spacing w:after="0"/>
              <w:rPr>
                <w:sz w:val="20"/>
                <w:szCs w:val="20"/>
                <w:color w:val="auto"/>
              </w:rPr>
            </w:pPr>
            <w:r>
              <w:rPr>
                <w:rFonts w:ascii="Arial" w:cs="Arial" w:eastAsia="Arial" w:hAnsi="Arial"/>
                <w:sz w:val="14"/>
                <w:szCs w:val="14"/>
                <w:color w:val="auto"/>
              </w:rPr>
              <w:t>Current:</w:t>
            </w: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16"/>
        </w:trPr>
        <w:tc>
          <w:tcPr>
            <w:tcW w:w="4840" w:type="dxa"/>
            <w:vAlign w:val="bottom"/>
          </w:tcPr>
          <w:p>
            <w:pPr>
              <w:ind w:left="240"/>
              <w:spacing w:after="0"/>
              <w:rPr>
                <w:sz w:val="20"/>
                <w:szCs w:val="20"/>
                <w:color w:val="auto"/>
              </w:rPr>
            </w:pPr>
            <w:r>
              <w:rPr>
                <w:rFonts w:ascii="Arial" w:cs="Arial" w:eastAsia="Arial" w:hAnsi="Arial"/>
                <w:sz w:val="14"/>
                <w:szCs w:val="14"/>
                <w:color w:val="auto"/>
              </w:rPr>
              <w:t>Federal</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148"/>
              <w:spacing w:after="0"/>
              <w:rPr>
                <w:sz w:val="20"/>
                <w:szCs w:val="20"/>
                <w:color w:val="auto"/>
              </w:rPr>
            </w:pPr>
            <w:r>
              <w:rPr>
                <w:rFonts w:ascii="Arial" w:cs="Arial" w:eastAsia="Arial" w:hAnsi="Arial"/>
                <w:sz w:val="14"/>
                <w:szCs w:val="14"/>
                <w:color w:val="auto"/>
              </w:rPr>
              <w:t>25</w:t>
            </w:r>
          </w:p>
        </w:tc>
        <w:tc>
          <w:tcPr>
            <w:tcW w:w="3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208"/>
              <w:spacing w:after="0"/>
              <w:rPr>
                <w:sz w:val="20"/>
                <w:szCs w:val="20"/>
                <w:color w:val="auto"/>
              </w:rPr>
            </w:pPr>
            <w:r>
              <w:rPr>
                <w:rFonts w:ascii="Arial" w:cs="Arial" w:eastAsia="Arial" w:hAnsi="Arial"/>
                <w:sz w:val="14"/>
                <w:szCs w:val="14"/>
                <w:color w:val="auto"/>
              </w:rPr>
              <w:t>131</w:t>
            </w:r>
          </w:p>
        </w:tc>
        <w:tc>
          <w:tcPr>
            <w:tcW w:w="340" w:type="dxa"/>
            <w:vAlign w:val="bottom"/>
          </w:tcPr>
          <w:p>
            <w:pPr>
              <w:jc w:val="right"/>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108"/>
              <w:spacing w:after="0"/>
              <w:rPr>
                <w:sz w:val="20"/>
                <w:szCs w:val="20"/>
                <w:color w:val="auto"/>
              </w:rPr>
            </w:pPr>
            <w:r>
              <w:rPr>
                <w:rFonts w:ascii="Arial" w:cs="Arial" w:eastAsia="Arial" w:hAnsi="Arial"/>
                <w:sz w:val="14"/>
                <w:szCs w:val="14"/>
                <w:color w:val="auto"/>
              </w:rPr>
              <w:t>209</w:t>
            </w:r>
          </w:p>
        </w:tc>
      </w:tr>
      <w:tr>
        <w:trPr>
          <w:trHeight w:val="222"/>
        </w:trPr>
        <w:tc>
          <w:tcPr>
            <w:tcW w:w="4840" w:type="dxa"/>
            <w:vAlign w:val="bottom"/>
          </w:tcPr>
          <w:p>
            <w:pPr>
              <w:ind w:left="240"/>
              <w:spacing w:after="0"/>
              <w:rPr>
                <w:sz w:val="20"/>
                <w:szCs w:val="20"/>
                <w:color w:val="auto"/>
              </w:rPr>
            </w:pPr>
            <w:r>
              <w:rPr>
                <w:rFonts w:ascii="Arial" w:cs="Arial" w:eastAsia="Arial" w:hAnsi="Arial"/>
                <w:sz w:val="14"/>
                <w:szCs w:val="14"/>
                <w:color w:val="auto"/>
              </w:rPr>
              <w:t>State</w:t>
            </w:r>
          </w:p>
        </w:tc>
        <w:tc>
          <w:tcPr>
            <w:tcW w:w="2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23</w:t>
            </w:r>
          </w:p>
        </w:tc>
        <w:tc>
          <w:tcPr>
            <w:tcW w:w="3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44</w:t>
            </w:r>
          </w:p>
        </w:tc>
        <w:tc>
          <w:tcPr>
            <w:tcW w:w="3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73</w:t>
            </w:r>
          </w:p>
        </w:tc>
      </w:tr>
      <w:tr>
        <w:trPr>
          <w:trHeight w:val="208"/>
        </w:trPr>
        <w:tc>
          <w:tcPr>
            <w:tcW w:w="4840" w:type="dxa"/>
            <w:vAlign w:val="bottom"/>
          </w:tcPr>
          <w:p>
            <w:pPr>
              <w:ind w:left="360"/>
              <w:spacing w:after="0"/>
              <w:rPr>
                <w:sz w:val="20"/>
                <w:szCs w:val="20"/>
                <w:color w:val="auto"/>
              </w:rPr>
            </w:pPr>
            <w:r>
              <w:rPr>
                <w:rFonts w:ascii="Arial" w:cs="Arial" w:eastAsia="Arial" w:hAnsi="Arial"/>
                <w:sz w:val="14"/>
                <w:szCs w:val="14"/>
                <w:color w:val="auto"/>
              </w:rPr>
              <w:t>Total</w:t>
            </w:r>
          </w:p>
        </w:tc>
        <w:tc>
          <w:tcPr>
            <w:tcW w:w="2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48</w:t>
            </w:r>
          </w:p>
        </w:tc>
        <w:tc>
          <w:tcPr>
            <w:tcW w:w="3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175</w:t>
            </w:r>
          </w:p>
        </w:tc>
        <w:tc>
          <w:tcPr>
            <w:tcW w:w="3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282</w:t>
            </w:r>
          </w:p>
        </w:tc>
      </w:tr>
      <w:tr>
        <w:trPr>
          <w:trHeight w:val="202"/>
        </w:trPr>
        <w:tc>
          <w:tcPr>
            <w:tcW w:w="4840" w:type="dxa"/>
            <w:vAlign w:val="bottom"/>
          </w:tcPr>
          <w:p>
            <w:pPr>
              <w:ind w:left="20"/>
              <w:spacing w:after="0"/>
              <w:rPr>
                <w:sz w:val="20"/>
                <w:szCs w:val="20"/>
                <w:color w:val="auto"/>
              </w:rPr>
            </w:pPr>
            <w:r>
              <w:rPr>
                <w:rFonts w:ascii="Arial" w:cs="Arial" w:eastAsia="Arial" w:hAnsi="Arial"/>
                <w:sz w:val="14"/>
                <w:szCs w:val="14"/>
                <w:color w:val="auto"/>
              </w:rPr>
              <w:t>Deferred:</w:t>
            </w: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16"/>
        </w:trPr>
        <w:tc>
          <w:tcPr>
            <w:tcW w:w="4840" w:type="dxa"/>
            <w:vAlign w:val="bottom"/>
          </w:tcPr>
          <w:p>
            <w:pPr>
              <w:ind w:left="240"/>
              <w:spacing w:after="0"/>
              <w:rPr>
                <w:sz w:val="20"/>
                <w:szCs w:val="20"/>
                <w:color w:val="auto"/>
              </w:rPr>
            </w:pPr>
            <w:r>
              <w:rPr>
                <w:rFonts w:ascii="Arial" w:cs="Arial" w:eastAsia="Arial" w:hAnsi="Arial"/>
                <w:sz w:val="14"/>
                <w:szCs w:val="14"/>
                <w:color w:val="auto"/>
              </w:rPr>
              <w:t>Federal</w:t>
            </w:r>
          </w:p>
        </w:tc>
        <w:tc>
          <w:tcPr>
            <w:tcW w:w="200" w:type="dxa"/>
            <w:vAlign w:val="bottom"/>
          </w:tcPr>
          <w:p>
            <w:pPr>
              <w:spacing w:after="0"/>
              <w:rPr>
                <w:sz w:val="18"/>
                <w:szCs w:val="18"/>
                <w:color w:val="auto"/>
              </w:rPr>
            </w:pPr>
          </w:p>
        </w:tc>
        <w:tc>
          <w:tcPr>
            <w:tcW w:w="660" w:type="dxa"/>
            <w:vAlign w:val="bottom"/>
          </w:tcPr>
          <w:p>
            <w:pPr>
              <w:jc w:val="right"/>
              <w:ind w:right="148"/>
              <w:spacing w:after="0"/>
              <w:rPr>
                <w:sz w:val="20"/>
                <w:szCs w:val="20"/>
                <w:color w:val="auto"/>
              </w:rPr>
            </w:pPr>
            <w:r>
              <w:rPr>
                <w:rFonts w:ascii="Arial" w:cs="Arial" w:eastAsia="Arial" w:hAnsi="Arial"/>
                <w:sz w:val="14"/>
                <w:szCs w:val="14"/>
                <w:color w:val="auto"/>
              </w:rPr>
              <w:t>107</w:t>
            </w:r>
          </w:p>
        </w:tc>
        <w:tc>
          <w:tcPr>
            <w:tcW w:w="360" w:type="dxa"/>
            <w:vAlign w:val="bottom"/>
          </w:tcPr>
          <w:p>
            <w:pPr>
              <w:spacing w:after="0"/>
              <w:rPr>
                <w:sz w:val="18"/>
                <w:szCs w:val="18"/>
                <w:color w:val="auto"/>
              </w:rPr>
            </w:pPr>
          </w:p>
        </w:tc>
        <w:tc>
          <w:tcPr>
            <w:tcW w:w="740" w:type="dxa"/>
            <w:vAlign w:val="bottom"/>
          </w:tcPr>
          <w:p>
            <w:pPr>
              <w:jc w:val="right"/>
              <w:ind w:right="128"/>
              <w:spacing w:after="0"/>
              <w:rPr>
                <w:sz w:val="20"/>
                <w:szCs w:val="20"/>
                <w:color w:val="auto"/>
              </w:rPr>
            </w:pPr>
            <w:r>
              <w:rPr>
                <w:rFonts w:ascii="Arial" w:cs="Arial" w:eastAsia="Arial" w:hAnsi="Arial"/>
                <w:sz w:val="14"/>
                <w:szCs w:val="14"/>
                <w:color w:val="auto"/>
              </w:rPr>
              <w:t>(24 )</w:t>
            </w:r>
          </w:p>
        </w:tc>
        <w:tc>
          <w:tcPr>
            <w:tcW w:w="340" w:type="dxa"/>
            <w:vAlign w:val="bottom"/>
          </w:tcPr>
          <w:p>
            <w:pPr>
              <w:spacing w:after="0"/>
              <w:rPr>
                <w:sz w:val="18"/>
                <w:szCs w:val="18"/>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(87 )</w:t>
            </w:r>
          </w:p>
        </w:tc>
      </w:tr>
      <w:tr>
        <w:trPr>
          <w:trHeight w:val="222"/>
        </w:trPr>
        <w:tc>
          <w:tcPr>
            <w:tcW w:w="4840" w:type="dxa"/>
            <w:vAlign w:val="bottom"/>
          </w:tcPr>
          <w:p>
            <w:pPr>
              <w:ind w:left="240"/>
              <w:spacing w:after="0"/>
              <w:rPr>
                <w:sz w:val="20"/>
                <w:szCs w:val="20"/>
                <w:color w:val="auto"/>
              </w:rPr>
            </w:pPr>
            <w:r>
              <w:rPr>
                <w:rFonts w:ascii="Arial" w:cs="Arial" w:eastAsia="Arial" w:hAnsi="Arial"/>
                <w:sz w:val="14"/>
                <w:szCs w:val="14"/>
                <w:color w:val="auto"/>
              </w:rPr>
              <w:t>State</w:t>
            </w:r>
          </w:p>
        </w:tc>
        <w:tc>
          <w:tcPr>
            <w:tcW w:w="2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8</w:t>
            </w:r>
          </w:p>
        </w:tc>
        <w:tc>
          <w:tcPr>
            <w:tcW w:w="3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(14 )</w:t>
            </w:r>
          </w:p>
        </w:tc>
        <w:tc>
          <w:tcPr>
            <w:tcW w:w="3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(40 )</w:t>
            </w:r>
          </w:p>
        </w:tc>
      </w:tr>
      <w:tr>
        <w:trPr>
          <w:trHeight w:val="208"/>
        </w:trPr>
        <w:tc>
          <w:tcPr>
            <w:tcW w:w="4840" w:type="dxa"/>
            <w:vAlign w:val="bottom"/>
          </w:tcPr>
          <w:p>
            <w:pPr>
              <w:ind w:left="360"/>
              <w:spacing w:after="0"/>
              <w:rPr>
                <w:sz w:val="20"/>
                <w:szCs w:val="20"/>
                <w:color w:val="auto"/>
              </w:rPr>
            </w:pPr>
            <w:r>
              <w:rPr>
                <w:rFonts w:ascii="Arial" w:cs="Arial" w:eastAsia="Arial" w:hAnsi="Arial"/>
                <w:sz w:val="14"/>
                <w:szCs w:val="14"/>
                <w:color w:val="auto"/>
              </w:rPr>
              <w:t>Total</w:t>
            </w:r>
          </w:p>
        </w:tc>
        <w:tc>
          <w:tcPr>
            <w:tcW w:w="2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115</w:t>
            </w:r>
          </w:p>
        </w:tc>
        <w:tc>
          <w:tcPr>
            <w:tcW w:w="3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(38 )</w:t>
            </w:r>
          </w:p>
        </w:tc>
        <w:tc>
          <w:tcPr>
            <w:tcW w:w="3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(127 )</w:t>
            </w:r>
          </w:p>
        </w:tc>
      </w:tr>
      <w:tr>
        <w:trPr>
          <w:trHeight w:val="208"/>
        </w:trPr>
        <w:tc>
          <w:tcPr>
            <w:tcW w:w="4840" w:type="dxa"/>
            <w:vAlign w:val="bottom"/>
          </w:tcPr>
          <w:p>
            <w:pPr>
              <w:ind w:left="20"/>
              <w:spacing w:after="0"/>
              <w:rPr>
                <w:sz w:val="20"/>
                <w:szCs w:val="20"/>
                <w:color w:val="auto"/>
              </w:rPr>
            </w:pPr>
            <w:r>
              <w:rPr>
                <w:rFonts w:ascii="Arial" w:cs="Arial" w:eastAsia="Arial" w:hAnsi="Arial"/>
                <w:sz w:val="14"/>
                <w:szCs w:val="14"/>
                <w:color w:val="auto"/>
              </w:rPr>
              <w:t>Deferred investment tax credits</w:t>
            </w:r>
          </w:p>
        </w:tc>
        <w:tc>
          <w:tcPr>
            <w:tcW w:w="2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(2 )</w:t>
            </w:r>
          </w:p>
        </w:tc>
        <w:tc>
          <w:tcPr>
            <w:tcW w:w="3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(2 )</w:t>
            </w:r>
          </w:p>
        </w:tc>
        <w:tc>
          <w:tcPr>
            <w:tcW w:w="3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(3 )</w:t>
            </w:r>
          </w:p>
        </w:tc>
      </w:tr>
      <w:tr>
        <w:trPr>
          <w:trHeight w:val="224"/>
        </w:trPr>
        <w:tc>
          <w:tcPr>
            <w:tcW w:w="4840" w:type="dxa"/>
            <w:vAlign w:val="bottom"/>
            <w:tcBorders>
              <w:bottom w:val="single" w:sz="8" w:color="auto"/>
            </w:tcBorders>
          </w:tcPr>
          <w:p>
            <w:pPr>
              <w:ind w:left="360"/>
              <w:spacing w:after="0"/>
              <w:rPr>
                <w:sz w:val="20"/>
                <w:szCs w:val="20"/>
                <w:color w:val="auto"/>
              </w:rPr>
            </w:pPr>
            <w:r>
              <w:rPr>
                <w:rFonts w:ascii="Arial" w:cs="Arial" w:eastAsia="Arial" w:hAnsi="Arial"/>
                <w:sz w:val="14"/>
                <w:szCs w:val="14"/>
                <w:color w:val="auto"/>
              </w:rPr>
              <w:t>Total income tax expense</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161</w:t>
            </w:r>
          </w:p>
        </w:tc>
        <w:tc>
          <w:tcPr>
            <w:tcW w:w="3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135</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152</w:t>
            </w:r>
          </w:p>
        </w:tc>
      </w:tr>
      <w:tr>
        <w:trPr>
          <w:trHeight w:val="210"/>
        </w:trPr>
        <w:tc>
          <w:tcPr>
            <w:tcW w:w="4840" w:type="dxa"/>
            <w:vAlign w:val="bottom"/>
          </w:tcPr>
          <w:p>
            <w:pPr>
              <w:ind w:left="20"/>
              <w:spacing w:after="0"/>
              <w:rPr>
                <w:sz w:val="20"/>
                <w:szCs w:val="20"/>
                <w:color w:val="auto"/>
              </w:rPr>
            </w:pPr>
            <w:r>
              <w:rPr>
                <w:rFonts w:ascii="Arial" w:cs="Arial" w:eastAsia="Arial" w:hAnsi="Arial"/>
                <w:sz w:val="14"/>
                <w:szCs w:val="14"/>
                <w:b w:val="1"/>
                <w:bCs w:val="1"/>
                <w:color w:val="auto"/>
              </w:rPr>
              <w:t>PE</w:t>
            </w: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16"/>
        </w:trPr>
        <w:tc>
          <w:tcPr>
            <w:tcW w:w="4840" w:type="dxa"/>
            <w:vAlign w:val="bottom"/>
          </w:tcPr>
          <w:p>
            <w:pPr>
              <w:ind w:left="20"/>
              <w:spacing w:after="0"/>
              <w:rPr>
                <w:sz w:val="20"/>
                <w:szCs w:val="20"/>
                <w:color w:val="auto"/>
              </w:rPr>
            </w:pPr>
            <w:r>
              <w:rPr>
                <w:rFonts w:ascii="Arial" w:cs="Arial" w:eastAsia="Arial" w:hAnsi="Arial"/>
                <w:sz w:val="14"/>
                <w:szCs w:val="14"/>
                <w:color w:val="auto"/>
              </w:rPr>
              <w:t>Current:</w:t>
            </w: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16"/>
        </w:trPr>
        <w:tc>
          <w:tcPr>
            <w:tcW w:w="4840" w:type="dxa"/>
            <w:vAlign w:val="bottom"/>
          </w:tcPr>
          <w:p>
            <w:pPr>
              <w:ind w:left="240"/>
              <w:spacing w:after="0"/>
              <w:rPr>
                <w:sz w:val="20"/>
                <w:szCs w:val="20"/>
                <w:color w:val="auto"/>
              </w:rPr>
            </w:pPr>
            <w:r>
              <w:rPr>
                <w:rFonts w:ascii="Arial" w:cs="Arial" w:eastAsia="Arial" w:hAnsi="Arial"/>
                <w:sz w:val="14"/>
                <w:szCs w:val="14"/>
                <w:color w:val="auto"/>
              </w:rPr>
              <w:t>Federal</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148"/>
              <w:spacing w:after="0"/>
              <w:rPr>
                <w:sz w:val="20"/>
                <w:szCs w:val="20"/>
                <w:color w:val="auto"/>
              </w:rPr>
            </w:pPr>
            <w:r>
              <w:rPr>
                <w:rFonts w:ascii="Arial" w:cs="Arial" w:eastAsia="Arial" w:hAnsi="Arial"/>
                <w:sz w:val="14"/>
                <w:szCs w:val="14"/>
                <w:color w:val="auto"/>
              </w:rPr>
              <w:t>28</w:t>
            </w:r>
          </w:p>
        </w:tc>
        <w:tc>
          <w:tcPr>
            <w:tcW w:w="3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208"/>
              <w:spacing w:after="0"/>
              <w:rPr>
                <w:sz w:val="20"/>
                <w:szCs w:val="20"/>
                <w:color w:val="auto"/>
              </w:rPr>
            </w:pPr>
            <w:r>
              <w:rPr>
                <w:rFonts w:ascii="Arial" w:cs="Arial" w:eastAsia="Arial" w:hAnsi="Arial"/>
                <w:sz w:val="14"/>
                <w:szCs w:val="14"/>
                <w:color w:val="auto"/>
              </w:rPr>
              <w:t>122</w:t>
            </w:r>
          </w:p>
        </w:tc>
        <w:tc>
          <w:tcPr>
            <w:tcW w:w="340" w:type="dxa"/>
            <w:vAlign w:val="bottom"/>
          </w:tcPr>
          <w:p>
            <w:pPr>
              <w:jc w:val="right"/>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108"/>
              <w:spacing w:after="0"/>
              <w:rPr>
                <w:sz w:val="20"/>
                <w:szCs w:val="20"/>
                <w:color w:val="auto"/>
              </w:rPr>
            </w:pPr>
            <w:r>
              <w:rPr>
                <w:rFonts w:ascii="Arial" w:cs="Arial" w:eastAsia="Arial" w:hAnsi="Arial"/>
                <w:sz w:val="14"/>
                <w:szCs w:val="14"/>
                <w:color w:val="auto"/>
              </w:rPr>
              <w:t>168</w:t>
            </w:r>
          </w:p>
        </w:tc>
      </w:tr>
      <w:tr>
        <w:trPr>
          <w:trHeight w:val="222"/>
        </w:trPr>
        <w:tc>
          <w:tcPr>
            <w:tcW w:w="4840" w:type="dxa"/>
            <w:vAlign w:val="bottom"/>
          </w:tcPr>
          <w:p>
            <w:pPr>
              <w:ind w:left="240"/>
              <w:spacing w:after="0"/>
              <w:rPr>
                <w:sz w:val="20"/>
                <w:szCs w:val="20"/>
                <w:color w:val="auto"/>
              </w:rPr>
            </w:pPr>
            <w:r>
              <w:rPr>
                <w:rFonts w:ascii="Arial" w:cs="Arial" w:eastAsia="Arial" w:hAnsi="Arial"/>
                <w:sz w:val="14"/>
                <w:szCs w:val="14"/>
                <w:color w:val="auto"/>
              </w:rPr>
              <w:t>State</w:t>
            </w:r>
          </w:p>
        </w:tc>
        <w:tc>
          <w:tcPr>
            <w:tcW w:w="2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21</w:t>
            </w:r>
          </w:p>
        </w:tc>
        <w:tc>
          <w:tcPr>
            <w:tcW w:w="3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33</w:t>
            </w:r>
          </w:p>
        </w:tc>
        <w:tc>
          <w:tcPr>
            <w:tcW w:w="3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44</w:t>
            </w:r>
          </w:p>
        </w:tc>
      </w:tr>
      <w:tr>
        <w:trPr>
          <w:trHeight w:val="208"/>
        </w:trPr>
        <w:tc>
          <w:tcPr>
            <w:tcW w:w="4840" w:type="dxa"/>
            <w:vAlign w:val="bottom"/>
          </w:tcPr>
          <w:p>
            <w:pPr>
              <w:ind w:left="360"/>
              <w:spacing w:after="0"/>
              <w:rPr>
                <w:sz w:val="20"/>
                <w:szCs w:val="20"/>
                <w:color w:val="auto"/>
              </w:rPr>
            </w:pPr>
            <w:r>
              <w:rPr>
                <w:rFonts w:ascii="Arial" w:cs="Arial" w:eastAsia="Arial" w:hAnsi="Arial"/>
                <w:sz w:val="14"/>
                <w:szCs w:val="14"/>
                <w:color w:val="auto"/>
              </w:rPr>
              <w:t>Total</w:t>
            </w:r>
          </w:p>
        </w:tc>
        <w:tc>
          <w:tcPr>
            <w:tcW w:w="2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49</w:t>
            </w:r>
          </w:p>
        </w:tc>
        <w:tc>
          <w:tcPr>
            <w:tcW w:w="3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155</w:t>
            </w:r>
          </w:p>
        </w:tc>
        <w:tc>
          <w:tcPr>
            <w:tcW w:w="3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212</w:t>
            </w:r>
          </w:p>
        </w:tc>
      </w:tr>
      <w:tr>
        <w:trPr>
          <w:trHeight w:val="202"/>
        </w:trPr>
        <w:tc>
          <w:tcPr>
            <w:tcW w:w="4840" w:type="dxa"/>
            <w:vAlign w:val="bottom"/>
          </w:tcPr>
          <w:p>
            <w:pPr>
              <w:ind w:left="20"/>
              <w:spacing w:after="0"/>
              <w:rPr>
                <w:sz w:val="20"/>
                <w:szCs w:val="20"/>
                <w:color w:val="auto"/>
              </w:rPr>
            </w:pPr>
            <w:r>
              <w:rPr>
                <w:rFonts w:ascii="Arial" w:cs="Arial" w:eastAsia="Arial" w:hAnsi="Arial"/>
                <w:sz w:val="14"/>
                <w:szCs w:val="14"/>
                <w:color w:val="auto"/>
              </w:rPr>
              <w:t>Deferred:</w:t>
            </w: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16"/>
        </w:trPr>
        <w:tc>
          <w:tcPr>
            <w:tcW w:w="4840" w:type="dxa"/>
            <w:vAlign w:val="bottom"/>
          </w:tcPr>
          <w:p>
            <w:pPr>
              <w:ind w:left="240"/>
              <w:spacing w:after="0"/>
              <w:rPr>
                <w:sz w:val="20"/>
                <w:szCs w:val="20"/>
                <w:color w:val="auto"/>
              </w:rPr>
            </w:pPr>
            <w:r>
              <w:rPr>
                <w:rFonts w:ascii="Arial" w:cs="Arial" w:eastAsia="Arial" w:hAnsi="Arial"/>
                <w:sz w:val="14"/>
                <w:szCs w:val="14"/>
                <w:color w:val="auto"/>
              </w:rPr>
              <w:t>Federal</w:t>
            </w:r>
          </w:p>
        </w:tc>
        <w:tc>
          <w:tcPr>
            <w:tcW w:w="200" w:type="dxa"/>
            <w:vAlign w:val="bottom"/>
          </w:tcPr>
          <w:p>
            <w:pPr>
              <w:spacing w:after="0"/>
              <w:rPr>
                <w:sz w:val="18"/>
                <w:szCs w:val="18"/>
                <w:color w:val="auto"/>
              </w:rPr>
            </w:pPr>
          </w:p>
        </w:tc>
        <w:tc>
          <w:tcPr>
            <w:tcW w:w="660" w:type="dxa"/>
            <w:vAlign w:val="bottom"/>
          </w:tcPr>
          <w:p>
            <w:pPr>
              <w:jc w:val="right"/>
              <w:ind w:right="148"/>
              <w:spacing w:after="0"/>
              <w:rPr>
                <w:sz w:val="20"/>
                <w:szCs w:val="20"/>
                <w:color w:val="auto"/>
              </w:rPr>
            </w:pPr>
            <w:r>
              <w:rPr>
                <w:rFonts w:ascii="Arial" w:cs="Arial" w:eastAsia="Arial" w:hAnsi="Arial"/>
                <w:sz w:val="14"/>
                <w:szCs w:val="14"/>
                <w:color w:val="auto"/>
              </w:rPr>
              <w:t>89</w:t>
            </w:r>
          </w:p>
        </w:tc>
        <w:tc>
          <w:tcPr>
            <w:tcW w:w="360" w:type="dxa"/>
            <w:vAlign w:val="bottom"/>
          </w:tcPr>
          <w:p>
            <w:pPr>
              <w:spacing w:after="0"/>
              <w:rPr>
                <w:sz w:val="18"/>
                <w:szCs w:val="18"/>
                <w:color w:val="auto"/>
              </w:rPr>
            </w:pPr>
          </w:p>
        </w:tc>
        <w:tc>
          <w:tcPr>
            <w:tcW w:w="740" w:type="dxa"/>
            <w:vAlign w:val="bottom"/>
          </w:tcPr>
          <w:p>
            <w:pPr>
              <w:jc w:val="right"/>
              <w:ind w:right="208"/>
              <w:spacing w:after="0"/>
              <w:rPr>
                <w:sz w:val="20"/>
                <w:szCs w:val="20"/>
                <w:color w:val="auto"/>
              </w:rPr>
            </w:pPr>
            <w:r>
              <w:rPr>
                <w:rFonts w:ascii="Arial" w:cs="Arial" w:eastAsia="Arial" w:hAnsi="Arial"/>
                <w:sz w:val="14"/>
                <w:szCs w:val="14"/>
                <w:color w:val="auto"/>
              </w:rPr>
              <w:t>15</w:t>
            </w:r>
          </w:p>
        </w:tc>
        <w:tc>
          <w:tcPr>
            <w:tcW w:w="340" w:type="dxa"/>
            <w:vAlign w:val="bottom"/>
          </w:tcPr>
          <w:p>
            <w:pPr>
              <w:spacing w:after="0"/>
              <w:rPr>
                <w:sz w:val="18"/>
                <w:szCs w:val="18"/>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(17 )</w:t>
            </w:r>
          </w:p>
        </w:tc>
      </w:tr>
      <w:tr>
        <w:trPr>
          <w:trHeight w:val="222"/>
        </w:trPr>
        <w:tc>
          <w:tcPr>
            <w:tcW w:w="4840" w:type="dxa"/>
            <w:vAlign w:val="bottom"/>
          </w:tcPr>
          <w:p>
            <w:pPr>
              <w:ind w:left="240"/>
              <w:spacing w:after="0"/>
              <w:rPr>
                <w:sz w:val="20"/>
                <w:szCs w:val="20"/>
                <w:color w:val="auto"/>
              </w:rPr>
            </w:pPr>
            <w:r>
              <w:rPr>
                <w:rFonts w:ascii="Arial" w:cs="Arial" w:eastAsia="Arial" w:hAnsi="Arial"/>
                <w:sz w:val="14"/>
                <w:szCs w:val="14"/>
                <w:color w:val="auto"/>
              </w:rPr>
              <w:t>State</w:t>
            </w:r>
          </w:p>
        </w:tc>
        <w:tc>
          <w:tcPr>
            <w:tcW w:w="2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6</w:t>
            </w:r>
          </w:p>
        </w:tc>
        <w:tc>
          <w:tcPr>
            <w:tcW w:w="3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(2 )</w:t>
            </w:r>
          </w:p>
        </w:tc>
        <w:tc>
          <w:tcPr>
            <w:tcW w:w="3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(6 )</w:t>
            </w:r>
          </w:p>
        </w:tc>
      </w:tr>
      <w:tr>
        <w:trPr>
          <w:trHeight w:val="208"/>
        </w:trPr>
        <w:tc>
          <w:tcPr>
            <w:tcW w:w="4840" w:type="dxa"/>
            <w:vAlign w:val="bottom"/>
          </w:tcPr>
          <w:p>
            <w:pPr>
              <w:ind w:left="360"/>
              <w:spacing w:after="0"/>
              <w:rPr>
                <w:sz w:val="20"/>
                <w:szCs w:val="20"/>
                <w:color w:val="auto"/>
              </w:rPr>
            </w:pPr>
            <w:r>
              <w:rPr>
                <w:rFonts w:ascii="Arial" w:cs="Arial" w:eastAsia="Arial" w:hAnsi="Arial"/>
                <w:sz w:val="14"/>
                <w:szCs w:val="14"/>
                <w:color w:val="auto"/>
              </w:rPr>
              <w:t>Total</w:t>
            </w:r>
          </w:p>
        </w:tc>
        <w:tc>
          <w:tcPr>
            <w:tcW w:w="2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95</w:t>
            </w:r>
          </w:p>
        </w:tc>
        <w:tc>
          <w:tcPr>
            <w:tcW w:w="3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13</w:t>
            </w:r>
          </w:p>
        </w:tc>
        <w:tc>
          <w:tcPr>
            <w:tcW w:w="3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(23 )</w:t>
            </w:r>
          </w:p>
        </w:tc>
      </w:tr>
      <w:tr>
        <w:trPr>
          <w:trHeight w:val="208"/>
        </w:trPr>
        <w:tc>
          <w:tcPr>
            <w:tcW w:w="4840" w:type="dxa"/>
            <w:vAlign w:val="bottom"/>
          </w:tcPr>
          <w:p>
            <w:pPr>
              <w:ind w:left="20"/>
              <w:spacing w:after="0"/>
              <w:rPr>
                <w:sz w:val="20"/>
                <w:szCs w:val="20"/>
                <w:color w:val="auto"/>
              </w:rPr>
            </w:pPr>
            <w:r>
              <w:rPr>
                <w:rFonts w:ascii="Arial" w:cs="Arial" w:eastAsia="Arial" w:hAnsi="Arial"/>
                <w:sz w:val="14"/>
                <w:szCs w:val="14"/>
                <w:color w:val="auto"/>
              </w:rPr>
              <w:t>Deferred investment tax credits</w:t>
            </w:r>
          </w:p>
        </w:tc>
        <w:tc>
          <w:tcPr>
            <w:tcW w:w="2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(3 )</w:t>
            </w:r>
          </w:p>
        </w:tc>
        <w:tc>
          <w:tcPr>
            <w:tcW w:w="3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(3 )</w:t>
            </w:r>
          </w:p>
        </w:tc>
        <w:tc>
          <w:tcPr>
            <w:tcW w:w="3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(3 )</w:t>
            </w:r>
          </w:p>
        </w:tc>
      </w:tr>
      <w:tr>
        <w:trPr>
          <w:trHeight w:val="224"/>
        </w:trPr>
        <w:tc>
          <w:tcPr>
            <w:tcW w:w="4840" w:type="dxa"/>
            <w:vAlign w:val="bottom"/>
            <w:tcBorders>
              <w:bottom w:val="single" w:sz="8" w:color="auto"/>
            </w:tcBorders>
          </w:tcPr>
          <w:p>
            <w:pPr>
              <w:ind w:left="360"/>
              <w:spacing w:after="0"/>
              <w:rPr>
                <w:sz w:val="20"/>
                <w:szCs w:val="20"/>
                <w:color w:val="auto"/>
              </w:rPr>
            </w:pPr>
            <w:r>
              <w:rPr>
                <w:rFonts w:ascii="Arial" w:cs="Arial" w:eastAsia="Arial" w:hAnsi="Arial"/>
                <w:sz w:val="14"/>
                <w:szCs w:val="14"/>
                <w:color w:val="auto"/>
              </w:rPr>
              <w:t>Total income tax expense</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141</w:t>
            </w:r>
          </w:p>
        </w:tc>
        <w:tc>
          <w:tcPr>
            <w:tcW w:w="3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165</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186</w:t>
            </w:r>
          </w:p>
        </w:tc>
      </w:tr>
      <w:tr>
        <w:trPr>
          <w:trHeight w:val="210"/>
        </w:trPr>
        <w:tc>
          <w:tcPr>
            <w:tcW w:w="4840" w:type="dxa"/>
            <w:vAlign w:val="bottom"/>
          </w:tcPr>
          <w:p>
            <w:pPr>
              <w:ind w:left="20"/>
              <w:spacing w:after="0"/>
              <w:rPr>
                <w:sz w:val="20"/>
                <w:szCs w:val="20"/>
                <w:color w:val="auto"/>
              </w:rPr>
            </w:pPr>
            <w:r>
              <w:rPr>
                <w:rFonts w:ascii="Arial" w:cs="Arial" w:eastAsia="Arial" w:hAnsi="Arial"/>
                <w:sz w:val="14"/>
                <w:szCs w:val="14"/>
                <w:b w:val="1"/>
                <w:bCs w:val="1"/>
                <w:color w:val="auto"/>
              </w:rPr>
              <w:t>SoCalGas</w:t>
            </w: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16"/>
        </w:trPr>
        <w:tc>
          <w:tcPr>
            <w:tcW w:w="4840" w:type="dxa"/>
            <w:vAlign w:val="bottom"/>
          </w:tcPr>
          <w:p>
            <w:pPr>
              <w:ind w:left="20"/>
              <w:spacing w:after="0"/>
              <w:rPr>
                <w:sz w:val="20"/>
                <w:szCs w:val="20"/>
                <w:color w:val="auto"/>
              </w:rPr>
            </w:pPr>
            <w:r>
              <w:rPr>
                <w:rFonts w:ascii="Arial" w:cs="Arial" w:eastAsia="Arial" w:hAnsi="Arial"/>
                <w:sz w:val="14"/>
                <w:szCs w:val="14"/>
                <w:color w:val="auto"/>
              </w:rPr>
              <w:t>Current:</w:t>
            </w: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16"/>
        </w:trPr>
        <w:tc>
          <w:tcPr>
            <w:tcW w:w="4840" w:type="dxa"/>
            <w:vAlign w:val="bottom"/>
          </w:tcPr>
          <w:p>
            <w:pPr>
              <w:ind w:left="240"/>
              <w:spacing w:after="0"/>
              <w:rPr>
                <w:sz w:val="20"/>
                <w:szCs w:val="20"/>
                <w:color w:val="auto"/>
              </w:rPr>
            </w:pPr>
            <w:r>
              <w:rPr>
                <w:rFonts w:ascii="Arial" w:cs="Arial" w:eastAsia="Arial" w:hAnsi="Arial"/>
                <w:sz w:val="14"/>
                <w:szCs w:val="14"/>
                <w:color w:val="auto"/>
              </w:rPr>
              <w:t>Federal</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148"/>
              <w:spacing w:after="0"/>
              <w:rPr>
                <w:sz w:val="20"/>
                <w:szCs w:val="20"/>
                <w:color w:val="auto"/>
              </w:rPr>
            </w:pPr>
            <w:r>
              <w:rPr>
                <w:rFonts w:ascii="Arial" w:cs="Arial" w:eastAsia="Arial" w:hAnsi="Arial"/>
                <w:sz w:val="14"/>
                <w:szCs w:val="14"/>
                <w:color w:val="auto"/>
              </w:rPr>
              <w:t>31</w:t>
            </w:r>
          </w:p>
        </w:tc>
        <w:tc>
          <w:tcPr>
            <w:tcW w:w="36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208"/>
              <w:spacing w:after="0"/>
              <w:rPr>
                <w:sz w:val="20"/>
                <w:szCs w:val="20"/>
                <w:color w:val="auto"/>
              </w:rPr>
            </w:pPr>
            <w:r>
              <w:rPr>
                <w:rFonts w:ascii="Arial" w:cs="Arial" w:eastAsia="Arial" w:hAnsi="Arial"/>
                <w:sz w:val="14"/>
                <w:szCs w:val="14"/>
                <w:color w:val="auto"/>
              </w:rPr>
              <w:t>119</w:t>
            </w:r>
          </w:p>
        </w:tc>
        <w:tc>
          <w:tcPr>
            <w:tcW w:w="340" w:type="dxa"/>
            <w:vAlign w:val="bottom"/>
          </w:tcPr>
          <w:p>
            <w:pPr>
              <w:jc w:val="right"/>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108"/>
              <w:spacing w:after="0"/>
              <w:rPr>
                <w:sz w:val="20"/>
                <w:szCs w:val="20"/>
                <w:color w:val="auto"/>
              </w:rPr>
            </w:pPr>
            <w:r>
              <w:rPr>
                <w:rFonts w:ascii="Arial" w:cs="Arial" w:eastAsia="Arial" w:hAnsi="Arial"/>
                <w:sz w:val="14"/>
                <w:szCs w:val="14"/>
                <w:color w:val="auto"/>
              </w:rPr>
              <w:t>156</w:t>
            </w:r>
          </w:p>
        </w:tc>
      </w:tr>
      <w:tr>
        <w:trPr>
          <w:trHeight w:val="222"/>
        </w:trPr>
        <w:tc>
          <w:tcPr>
            <w:tcW w:w="4840" w:type="dxa"/>
            <w:vAlign w:val="bottom"/>
          </w:tcPr>
          <w:p>
            <w:pPr>
              <w:ind w:left="240"/>
              <w:spacing w:after="0"/>
              <w:rPr>
                <w:sz w:val="20"/>
                <w:szCs w:val="20"/>
                <w:color w:val="auto"/>
              </w:rPr>
            </w:pPr>
            <w:r>
              <w:rPr>
                <w:rFonts w:ascii="Arial" w:cs="Arial" w:eastAsia="Arial" w:hAnsi="Arial"/>
                <w:sz w:val="14"/>
                <w:szCs w:val="14"/>
                <w:color w:val="auto"/>
              </w:rPr>
              <w:t>State</w:t>
            </w:r>
          </w:p>
        </w:tc>
        <w:tc>
          <w:tcPr>
            <w:tcW w:w="2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22</w:t>
            </w:r>
          </w:p>
        </w:tc>
        <w:tc>
          <w:tcPr>
            <w:tcW w:w="3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33</w:t>
            </w:r>
          </w:p>
        </w:tc>
        <w:tc>
          <w:tcPr>
            <w:tcW w:w="3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41</w:t>
            </w:r>
          </w:p>
        </w:tc>
      </w:tr>
      <w:tr>
        <w:trPr>
          <w:trHeight w:val="208"/>
        </w:trPr>
        <w:tc>
          <w:tcPr>
            <w:tcW w:w="4840" w:type="dxa"/>
            <w:vAlign w:val="bottom"/>
          </w:tcPr>
          <w:p>
            <w:pPr>
              <w:ind w:left="360"/>
              <w:spacing w:after="0"/>
              <w:rPr>
                <w:sz w:val="20"/>
                <w:szCs w:val="20"/>
                <w:color w:val="auto"/>
              </w:rPr>
            </w:pPr>
            <w:r>
              <w:rPr>
                <w:rFonts w:ascii="Arial" w:cs="Arial" w:eastAsia="Arial" w:hAnsi="Arial"/>
                <w:sz w:val="14"/>
                <w:szCs w:val="14"/>
                <w:color w:val="auto"/>
              </w:rPr>
              <w:t>Total</w:t>
            </w:r>
          </w:p>
        </w:tc>
        <w:tc>
          <w:tcPr>
            <w:tcW w:w="2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53</w:t>
            </w:r>
          </w:p>
        </w:tc>
        <w:tc>
          <w:tcPr>
            <w:tcW w:w="3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152</w:t>
            </w:r>
          </w:p>
        </w:tc>
        <w:tc>
          <w:tcPr>
            <w:tcW w:w="3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197</w:t>
            </w:r>
          </w:p>
        </w:tc>
      </w:tr>
      <w:tr>
        <w:trPr>
          <w:trHeight w:val="202"/>
        </w:trPr>
        <w:tc>
          <w:tcPr>
            <w:tcW w:w="4840" w:type="dxa"/>
            <w:vAlign w:val="bottom"/>
          </w:tcPr>
          <w:p>
            <w:pPr>
              <w:ind w:left="20"/>
              <w:spacing w:after="0"/>
              <w:rPr>
                <w:sz w:val="20"/>
                <w:szCs w:val="20"/>
                <w:color w:val="auto"/>
              </w:rPr>
            </w:pPr>
            <w:r>
              <w:rPr>
                <w:rFonts w:ascii="Arial" w:cs="Arial" w:eastAsia="Arial" w:hAnsi="Arial"/>
                <w:sz w:val="14"/>
                <w:szCs w:val="14"/>
                <w:color w:val="auto"/>
              </w:rPr>
              <w:t>Deferred:</w:t>
            </w: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16"/>
        </w:trPr>
        <w:tc>
          <w:tcPr>
            <w:tcW w:w="4840" w:type="dxa"/>
            <w:vAlign w:val="bottom"/>
          </w:tcPr>
          <w:p>
            <w:pPr>
              <w:ind w:left="240"/>
              <w:spacing w:after="0"/>
              <w:rPr>
                <w:sz w:val="20"/>
                <w:szCs w:val="20"/>
                <w:color w:val="auto"/>
              </w:rPr>
            </w:pPr>
            <w:r>
              <w:rPr>
                <w:rFonts w:ascii="Arial" w:cs="Arial" w:eastAsia="Arial" w:hAnsi="Arial"/>
                <w:sz w:val="14"/>
                <w:szCs w:val="14"/>
                <w:color w:val="auto"/>
              </w:rPr>
              <w:t>Federal</w:t>
            </w:r>
          </w:p>
        </w:tc>
        <w:tc>
          <w:tcPr>
            <w:tcW w:w="200" w:type="dxa"/>
            <w:vAlign w:val="bottom"/>
          </w:tcPr>
          <w:p>
            <w:pPr>
              <w:spacing w:after="0"/>
              <w:rPr>
                <w:sz w:val="18"/>
                <w:szCs w:val="18"/>
                <w:color w:val="auto"/>
              </w:rPr>
            </w:pPr>
          </w:p>
        </w:tc>
        <w:tc>
          <w:tcPr>
            <w:tcW w:w="660" w:type="dxa"/>
            <w:vAlign w:val="bottom"/>
          </w:tcPr>
          <w:p>
            <w:pPr>
              <w:jc w:val="right"/>
              <w:ind w:right="148"/>
              <w:spacing w:after="0"/>
              <w:rPr>
                <w:sz w:val="20"/>
                <w:szCs w:val="20"/>
                <w:color w:val="auto"/>
              </w:rPr>
            </w:pPr>
            <w:r>
              <w:rPr>
                <w:rFonts w:ascii="Arial" w:cs="Arial" w:eastAsia="Arial" w:hAnsi="Arial"/>
                <w:sz w:val="14"/>
                <w:szCs w:val="14"/>
                <w:color w:val="auto"/>
              </w:rPr>
              <w:t>85</w:t>
            </w:r>
          </w:p>
        </w:tc>
        <w:tc>
          <w:tcPr>
            <w:tcW w:w="360" w:type="dxa"/>
            <w:vAlign w:val="bottom"/>
          </w:tcPr>
          <w:p>
            <w:pPr>
              <w:spacing w:after="0"/>
              <w:rPr>
                <w:sz w:val="18"/>
                <w:szCs w:val="18"/>
                <w:color w:val="auto"/>
              </w:rPr>
            </w:pPr>
          </w:p>
        </w:tc>
        <w:tc>
          <w:tcPr>
            <w:tcW w:w="740" w:type="dxa"/>
            <w:vAlign w:val="bottom"/>
          </w:tcPr>
          <w:p>
            <w:pPr>
              <w:jc w:val="right"/>
              <w:ind w:right="208"/>
              <w:spacing w:after="0"/>
              <w:rPr>
                <w:sz w:val="20"/>
                <w:szCs w:val="20"/>
                <w:color w:val="auto"/>
              </w:rPr>
            </w:pPr>
            <w:r>
              <w:rPr>
                <w:rFonts w:ascii="Arial" w:cs="Arial" w:eastAsia="Arial" w:hAnsi="Arial"/>
                <w:sz w:val="14"/>
                <w:szCs w:val="14"/>
                <w:color w:val="auto"/>
              </w:rPr>
              <w:t>14</w:t>
            </w:r>
          </w:p>
        </w:tc>
        <w:tc>
          <w:tcPr>
            <w:tcW w:w="340" w:type="dxa"/>
            <w:vAlign w:val="bottom"/>
          </w:tcPr>
          <w:p>
            <w:pPr>
              <w:spacing w:after="0"/>
              <w:rPr>
                <w:sz w:val="18"/>
                <w:szCs w:val="18"/>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(15 )</w:t>
            </w:r>
          </w:p>
        </w:tc>
      </w:tr>
      <w:tr>
        <w:trPr>
          <w:trHeight w:val="222"/>
        </w:trPr>
        <w:tc>
          <w:tcPr>
            <w:tcW w:w="4840" w:type="dxa"/>
            <w:vAlign w:val="bottom"/>
          </w:tcPr>
          <w:p>
            <w:pPr>
              <w:ind w:left="240"/>
              <w:spacing w:after="0"/>
              <w:rPr>
                <w:sz w:val="20"/>
                <w:szCs w:val="20"/>
                <w:color w:val="auto"/>
              </w:rPr>
            </w:pPr>
            <w:r>
              <w:rPr>
                <w:rFonts w:ascii="Arial" w:cs="Arial" w:eastAsia="Arial" w:hAnsi="Arial"/>
                <w:sz w:val="14"/>
                <w:szCs w:val="14"/>
                <w:color w:val="auto"/>
              </w:rPr>
              <w:t>State</w:t>
            </w:r>
          </w:p>
        </w:tc>
        <w:tc>
          <w:tcPr>
            <w:tcW w:w="2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5</w:t>
            </w:r>
          </w:p>
        </w:tc>
        <w:tc>
          <w:tcPr>
            <w:tcW w:w="3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(3 )</w:t>
            </w:r>
          </w:p>
        </w:tc>
        <w:tc>
          <w:tcPr>
            <w:tcW w:w="3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(6 )</w:t>
            </w:r>
          </w:p>
        </w:tc>
      </w:tr>
      <w:tr>
        <w:trPr>
          <w:trHeight w:val="208"/>
        </w:trPr>
        <w:tc>
          <w:tcPr>
            <w:tcW w:w="4840" w:type="dxa"/>
            <w:vAlign w:val="bottom"/>
          </w:tcPr>
          <w:p>
            <w:pPr>
              <w:ind w:left="360"/>
              <w:spacing w:after="0"/>
              <w:rPr>
                <w:sz w:val="20"/>
                <w:szCs w:val="20"/>
                <w:color w:val="auto"/>
              </w:rPr>
            </w:pPr>
            <w:r>
              <w:rPr>
                <w:rFonts w:ascii="Arial" w:cs="Arial" w:eastAsia="Arial" w:hAnsi="Arial"/>
                <w:sz w:val="14"/>
                <w:szCs w:val="14"/>
                <w:color w:val="auto"/>
              </w:rPr>
              <w:t>Total</w:t>
            </w:r>
          </w:p>
        </w:tc>
        <w:tc>
          <w:tcPr>
            <w:tcW w:w="2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90</w:t>
            </w:r>
          </w:p>
        </w:tc>
        <w:tc>
          <w:tcPr>
            <w:tcW w:w="3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11</w:t>
            </w:r>
          </w:p>
        </w:tc>
        <w:tc>
          <w:tcPr>
            <w:tcW w:w="3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(21 )</w:t>
            </w:r>
          </w:p>
        </w:tc>
      </w:tr>
      <w:tr>
        <w:trPr>
          <w:trHeight w:val="208"/>
        </w:trPr>
        <w:tc>
          <w:tcPr>
            <w:tcW w:w="4840" w:type="dxa"/>
            <w:vAlign w:val="bottom"/>
          </w:tcPr>
          <w:p>
            <w:pPr>
              <w:ind w:left="20"/>
              <w:spacing w:after="0"/>
              <w:rPr>
                <w:sz w:val="20"/>
                <w:szCs w:val="20"/>
                <w:color w:val="auto"/>
              </w:rPr>
            </w:pPr>
            <w:r>
              <w:rPr>
                <w:rFonts w:ascii="Arial" w:cs="Arial" w:eastAsia="Arial" w:hAnsi="Arial"/>
                <w:sz w:val="14"/>
                <w:szCs w:val="14"/>
                <w:color w:val="auto"/>
              </w:rPr>
              <w:t>Deferred investment tax credits</w:t>
            </w:r>
          </w:p>
        </w:tc>
        <w:tc>
          <w:tcPr>
            <w:tcW w:w="2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(3 )</w:t>
            </w:r>
          </w:p>
        </w:tc>
        <w:tc>
          <w:tcPr>
            <w:tcW w:w="3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(3 )</w:t>
            </w:r>
          </w:p>
        </w:tc>
        <w:tc>
          <w:tcPr>
            <w:tcW w:w="3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(3 )</w:t>
            </w:r>
          </w:p>
        </w:tc>
      </w:tr>
      <w:tr>
        <w:trPr>
          <w:trHeight w:val="224"/>
        </w:trPr>
        <w:tc>
          <w:tcPr>
            <w:tcW w:w="4840" w:type="dxa"/>
            <w:vAlign w:val="bottom"/>
            <w:tcBorders>
              <w:bottom w:val="single" w:sz="8" w:color="auto"/>
            </w:tcBorders>
          </w:tcPr>
          <w:p>
            <w:pPr>
              <w:ind w:left="360"/>
              <w:spacing w:after="0"/>
              <w:rPr>
                <w:sz w:val="20"/>
                <w:szCs w:val="20"/>
                <w:color w:val="auto"/>
              </w:rPr>
            </w:pPr>
            <w:r>
              <w:rPr>
                <w:rFonts w:ascii="Arial" w:cs="Arial" w:eastAsia="Arial" w:hAnsi="Arial"/>
                <w:sz w:val="14"/>
                <w:szCs w:val="14"/>
                <w:color w:val="auto"/>
              </w:rPr>
              <w:t>Total income tax expense</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140</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160</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173</w:t>
            </w:r>
          </w:p>
        </w:tc>
      </w:tr>
    </w:tbl>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4"/>
          <w:szCs w:val="14"/>
          <w:color w:val="auto"/>
        </w:rPr>
        <w:t>133</w:t>
      </w:r>
    </w:p>
    <w:p>
      <w:pPr>
        <w:sectPr>
          <w:pgSz w:w="11900" w:h="16838" w:orient="portrait"/>
          <w:cols w:equalWidth="0" w:num="1">
            <w:col w:w="10219"/>
          </w:cols>
          <w:pgMar w:left="240" w:top="920" w:right="1440" w:bottom="1440" w:gutter="0" w:footer="0" w:header="0"/>
        </w:sectPr>
      </w:pPr>
    </w:p>
    <w:bookmarkStart w:id="273" w:name="page274"/>
    <w:bookmarkEnd w:id="273"/>
    <w:p>
      <w:pPr>
        <w:spacing w:after="0"/>
        <w:rPr>
          <w:sz w:val="20"/>
          <w:szCs w:val="20"/>
          <w:color w:val="auto"/>
        </w:rPr>
      </w:pPr>
      <w:r>
        <w:rPr>
          <w:rFonts w:ascii="Arial" w:cs="Arial" w:eastAsia="Arial" w:hAnsi="Arial"/>
          <w:sz w:val="15"/>
          <w:szCs w:val="15"/>
          <w:color w:val="auto"/>
        </w:rPr>
        <w:t>Details of accumulated deferred income taxes at December 31 for Sempra Energy, SDG&amp;E, PE and SoCalGas are shown in the tables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1187450</wp:posOffset>
            </wp:positionH>
            <wp:positionV relativeFrom="paragraph">
              <wp:posOffset>203835</wp:posOffset>
            </wp:positionV>
            <wp:extent cx="4889500" cy="24384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4889500" cy="243840"/>
                    </a:xfrm>
                    <a:prstGeom prst="rect">
                      <a:avLst/>
                    </a:prstGeom>
                    <a:noFill/>
                  </pic:spPr>
                </pic:pic>
              </a:graphicData>
            </a:graphic>
          </wp:anchor>
        </w:drawing>
      </w:r>
    </w:p>
    <w:p>
      <w:pPr>
        <w:spacing w:after="0" w:line="308" w:lineRule="exact"/>
        <w:rPr>
          <w:sz w:val="20"/>
          <w:szCs w:val="20"/>
          <w:color w:val="auto"/>
        </w:rPr>
      </w:pPr>
    </w:p>
    <w:p>
      <w:pPr>
        <w:ind w:left="1880" w:right="2439" w:hanging="11"/>
        <w:spacing w:after="0" w:line="306" w:lineRule="auto"/>
        <w:rPr>
          <w:sz w:val="20"/>
          <w:szCs w:val="20"/>
          <w:color w:val="auto"/>
        </w:rPr>
      </w:pPr>
      <w:r>
        <w:rPr>
          <w:rFonts w:ascii="Arial" w:cs="Arial" w:eastAsia="Arial" w:hAnsi="Arial"/>
          <w:sz w:val="14"/>
          <w:szCs w:val="14"/>
          <w:b w:val="1"/>
          <w:bCs w:val="1"/>
          <w:color w:val="auto"/>
        </w:rPr>
        <w:t xml:space="preserve">ACCUMULATED DEFERRED INCOME TAXES FOR SEMPRA ENERGY CONSOLIDATED </w:t>
      </w:r>
      <w:r>
        <w:rPr>
          <w:rFonts w:ascii="Arial" w:cs="Arial" w:eastAsia="Arial" w:hAnsi="Arial"/>
          <w:sz w:val="12"/>
          <w:szCs w:val="12"/>
          <w:i w:val="1"/>
          <w:iCs w:val="1"/>
          <w:color w:val="auto"/>
        </w:rPr>
        <w:t>(Dollars in millions)</w:t>
      </w:r>
    </w:p>
    <w:p>
      <w:pPr>
        <w:spacing w:after="0" w:line="18" w:lineRule="exact"/>
        <w:rPr>
          <w:sz w:val="20"/>
          <w:szCs w:val="20"/>
          <w:color w:val="auto"/>
        </w:rPr>
      </w:pPr>
    </w:p>
    <w:tbl>
      <w:tblPr>
        <w:tblLayout w:type="fixed"/>
        <w:tblInd w:w="1880" w:type="dxa"/>
        <w:tblCellMar>
          <w:top w:w="0" w:type="dxa"/>
          <w:left w:w="0" w:type="dxa"/>
          <w:bottom w:w="0" w:type="dxa"/>
          <w:right w:w="0" w:type="dxa"/>
        </w:tblCellMar>
      </w:tblPr>
      <w:tr>
        <w:trPr>
          <w:trHeight w:val="159"/>
        </w:trPr>
        <w:tc>
          <w:tcPr>
            <w:tcW w:w="534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97"/>
              </w:rPr>
              <w:t>December 31,</w:t>
            </w:r>
          </w:p>
        </w:tc>
        <w:tc>
          <w:tcPr>
            <w:tcW w:w="640" w:type="dxa"/>
            <w:vAlign w:val="bottom"/>
            <w:tcBorders>
              <w:bottom w:val="single" w:sz="8" w:color="auto"/>
            </w:tcBorders>
          </w:tcPr>
          <w:p>
            <w:pPr>
              <w:spacing w:after="0"/>
              <w:rPr>
                <w:sz w:val="13"/>
                <w:szCs w:val="13"/>
                <w:color w:val="auto"/>
              </w:rPr>
            </w:pPr>
          </w:p>
        </w:tc>
      </w:tr>
      <w:tr>
        <w:trPr>
          <w:trHeight w:val="208"/>
        </w:trPr>
        <w:tc>
          <w:tcPr>
            <w:tcW w:w="534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128"/>
              <w:spacing w:after="0"/>
              <w:rPr>
                <w:sz w:val="20"/>
                <w:szCs w:val="20"/>
                <w:color w:val="auto"/>
              </w:rPr>
            </w:pPr>
            <w:r>
              <w:rPr>
                <w:rFonts w:ascii="Arial" w:cs="Arial" w:eastAsia="Arial" w:hAnsi="Arial"/>
                <w:sz w:val="13"/>
                <w:szCs w:val="13"/>
                <w:color w:val="auto"/>
              </w:rPr>
              <w:t>2008</w:t>
            </w:r>
          </w:p>
        </w:tc>
        <w:tc>
          <w:tcPr>
            <w:tcW w:w="8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248"/>
              <w:spacing w:after="0"/>
              <w:rPr>
                <w:sz w:val="20"/>
                <w:szCs w:val="20"/>
                <w:color w:val="auto"/>
              </w:rPr>
            </w:pPr>
            <w:r>
              <w:rPr>
                <w:rFonts w:ascii="Arial" w:cs="Arial" w:eastAsia="Arial" w:hAnsi="Arial"/>
                <w:sz w:val="13"/>
                <w:szCs w:val="13"/>
                <w:color w:val="auto"/>
              </w:rPr>
              <w:t>2007</w:t>
            </w:r>
          </w:p>
        </w:tc>
      </w:tr>
      <w:tr>
        <w:trPr>
          <w:trHeight w:val="207"/>
        </w:trPr>
        <w:tc>
          <w:tcPr>
            <w:tcW w:w="5340" w:type="dxa"/>
            <w:vAlign w:val="bottom"/>
          </w:tcPr>
          <w:p>
            <w:pPr>
              <w:spacing w:after="0"/>
              <w:rPr>
                <w:sz w:val="20"/>
                <w:szCs w:val="20"/>
                <w:color w:val="auto"/>
              </w:rPr>
            </w:pPr>
            <w:r>
              <w:rPr>
                <w:rFonts w:ascii="Arial" w:cs="Arial" w:eastAsia="Arial" w:hAnsi="Arial"/>
                <w:sz w:val="14"/>
                <w:szCs w:val="14"/>
                <w:color w:val="auto"/>
              </w:rPr>
              <w:t>Deferred tax liabilities:</w:t>
            </w:r>
          </w:p>
        </w:tc>
        <w:tc>
          <w:tcPr>
            <w:tcW w:w="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16"/>
        </w:trPr>
        <w:tc>
          <w:tcPr>
            <w:tcW w:w="5340" w:type="dxa"/>
            <w:vAlign w:val="bottom"/>
          </w:tcPr>
          <w:p>
            <w:pPr>
              <w:ind w:left="220"/>
              <w:spacing w:after="0"/>
              <w:rPr>
                <w:sz w:val="20"/>
                <w:szCs w:val="20"/>
                <w:color w:val="auto"/>
              </w:rPr>
            </w:pPr>
            <w:r>
              <w:rPr>
                <w:rFonts w:ascii="Arial" w:cs="Arial" w:eastAsia="Arial" w:hAnsi="Arial"/>
                <w:sz w:val="14"/>
                <w:szCs w:val="14"/>
                <w:color w:val="auto"/>
              </w:rPr>
              <w:t>Differences in financial and tax bases of depreciable and</w:t>
            </w:r>
          </w:p>
        </w:tc>
        <w:tc>
          <w:tcPr>
            <w:tcW w:w="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16"/>
        </w:trPr>
        <w:tc>
          <w:tcPr>
            <w:tcW w:w="5340" w:type="dxa"/>
            <w:vAlign w:val="bottom"/>
          </w:tcPr>
          <w:p>
            <w:pPr>
              <w:ind w:left="340"/>
              <w:spacing w:after="0"/>
              <w:rPr>
                <w:sz w:val="20"/>
                <w:szCs w:val="20"/>
                <w:color w:val="auto"/>
              </w:rPr>
            </w:pPr>
            <w:r>
              <w:rPr>
                <w:rFonts w:ascii="Arial" w:cs="Arial" w:eastAsia="Arial" w:hAnsi="Arial"/>
                <w:sz w:val="14"/>
                <w:szCs w:val="14"/>
                <w:color w:val="auto"/>
              </w:rPr>
              <w:t>amortizable assets</w:t>
            </w:r>
          </w:p>
        </w:tc>
        <w:tc>
          <w:tcPr>
            <w:tcW w:w="2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1,323</w:t>
            </w:r>
          </w:p>
        </w:tc>
        <w:tc>
          <w:tcPr>
            <w:tcW w:w="860" w:type="dxa"/>
            <w:vAlign w:val="bottom"/>
          </w:tcPr>
          <w:p>
            <w:pPr>
              <w:jc w:val="right"/>
              <w:ind w:right="31"/>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128"/>
              <w:spacing w:after="0"/>
              <w:rPr>
                <w:sz w:val="20"/>
                <w:szCs w:val="20"/>
                <w:color w:val="auto"/>
              </w:rPr>
            </w:pPr>
            <w:r>
              <w:rPr>
                <w:rFonts w:ascii="Arial" w:cs="Arial" w:eastAsia="Arial" w:hAnsi="Arial"/>
                <w:sz w:val="14"/>
                <w:szCs w:val="14"/>
                <w:color w:val="auto"/>
              </w:rPr>
              <w:t>864</w:t>
            </w:r>
          </w:p>
        </w:tc>
      </w:tr>
      <w:tr>
        <w:trPr>
          <w:trHeight w:val="216"/>
        </w:trPr>
        <w:tc>
          <w:tcPr>
            <w:tcW w:w="5340" w:type="dxa"/>
            <w:vAlign w:val="bottom"/>
          </w:tcPr>
          <w:p>
            <w:pPr>
              <w:ind w:left="220"/>
              <w:spacing w:after="0"/>
              <w:rPr>
                <w:sz w:val="20"/>
                <w:szCs w:val="20"/>
                <w:color w:val="auto"/>
              </w:rPr>
            </w:pPr>
            <w:r>
              <w:rPr>
                <w:rFonts w:ascii="Arial" w:cs="Arial" w:eastAsia="Arial" w:hAnsi="Arial"/>
                <w:sz w:val="14"/>
                <w:szCs w:val="14"/>
                <w:color w:val="auto"/>
              </w:rPr>
              <w:t>Regulatory balancing accounts</w:t>
            </w:r>
          </w:p>
        </w:tc>
        <w:tc>
          <w:tcPr>
            <w:tcW w:w="2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632</w:t>
            </w:r>
          </w:p>
        </w:tc>
        <w:tc>
          <w:tcPr>
            <w:tcW w:w="860" w:type="dxa"/>
            <w:vAlign w:val="bottom"/>
          </w:tcPr>
          <w:p>
            <w:pPr>
              <w:spacing w:after="0"/>
              <w:rPr>
                <w:sz w:val="18"/>
                <w:szCs w:val="18"/>
                <w:color w:val="auto"/>
              </w:rPr>
            </w:pPr>
          </w:p>
        </w:tc>
        <w:tc>
          <w:tcPr>
            <w:tcW w:w="640" w:type="dxa"/>
            <w:vAlign w:val="bottom"/>
          </w:tcPr>
          <w:p>
            <w:pPr>
              <w:jc w:val="right"/>
              <w:ind w:right="128"/>
              <w:spacing w:after="0"/>
              <w:rPr>
                <w:sz w:val="20"/>
                <w:szCs w:val="20"/>
                <w:color w:val="auto"/>
              </w:rPr>
            </w:pPr>
            <w:r>
              <w:rPr>
                <w:rFonts w:ascii="Arial" w:cs="Arial" w:eastAsia="Arial" w:hAnsi="Arial"/>
                <w:sz w:val="14"/>
                <w:szCs w:val="14"/>
                <w:color w:val="auto"/>
              </w:rPr>
              <w:t>152</w:t>
            </w:r>
          </w:p>
        </w:tc>
      </w:tr>
      <w:tr>
        <w:trPr>
          <w:trHeight w:val="216"/>
        </w:trPr>
        <w:tc>
          <w:tcPr>
            <w:tcW w:w="5340" w:type="dxa"/>
            <w:vAlign w:val="bottom"/>
          </w:tcPr>
          <w:p>
            <w:pPr>
              <w:ind w:left="220"/>
              <w:spacing w:after="0"/>
              <w:rPr>
                <w:sz w:val="20"/>
                <w:szCs w:val="20"/>
                <w:color w:val="auto"/>
              </w:rPr>
            </w:pPr>
            <w:r>
              <w:rPr>
                <w:rFonts w:ascii="Arial" w:cs="Arial" w:eastAsia="Arial" w:hAnsi="Arial"/>
                <w:sz w:val="14"/>
                <w:szCs w:val="14"/>
                <w:color w:val="auto"/>
              </w:rPr>
              <w:t>Unrealized revenue</w:t>
            </w:r>
          </w:p>
        </w:tc>
        <w:tc>
          <w:tcPr>
            <w:tcW w:w="2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22</w:t>
            </w:r>
          </w:p>
        </w:tc>
        <w:tc>
          <w:tcPr>
            <w:tcW w:w="860" w:type="dxa"/>
            <w:vAlign w:val="bottom"/>
          </w:tcPr>
          <w:p>
            <w:pPr>
              <w:spacing w:after="0"/>
              <w:rPr>
                <w:sz w:val="18"/>
                <w:szCs w:val="18"/>
                <w:color w:val="auto"/>
              </w:rPr>
            </w:pPr>
          </w:p>
        </w:tc>
        <w:tc>
          <w:tcPr>
            <w:tcW w:w="640" w:type="dxa"/>
            <w:vAlign w:val="bottom"/>
          </w:tcPr>
          <w:p>
            <w:pPr>
              <w:jc w:val="right"/>
              <w:ind w:right="128"/>
              <w:spacing w:after="0"/>
              <w:rPr>
                <w:sz w:val="20"/>
                <w:szCs w:val="20"/>
                <w:color w:val="auto"/>
              </w:rPr>
            </w:pPr>
            <w:r>
              <w:rPr>
                <w:rFonts w:ascii="Arial" w:cs="Arial" w:eastAsia="Arial" w:hAnsi="Arial"/>
                <w:sz w:val="14"/>
                <w:szCs w:val="14"/>
                <w:color w:val="auto"/>
              </w:rPr>
              <w:t>63</w:t>
            </w:r>
          </w:p>
        </w:tc>
      </w:tr>
      <w:tr>
        <w:trPr>
          <w:trHeight w:val="216"/>
        </w:trPr>
        <w:tc>
          <w:tcPr>
            <w:tcW w:w="5340" w:type="dxa"/>
            <w:vAlign w:val="bottom"/>
          </w:tcPr>
          <w:p>
            <w:pPr>
              <w:ind w:left="220"/>
              <w:spacing w:after="0"/>
              <w:rPr>
                <w:sz w:val="20"/>
                <w:szCs w:val="20"/>
                <w:color w:val="auto"/>
              </w:rPr>
            </w:pPr>
            <w:r>
              <w:rPr>
                <w:rFonts w:ascii="Arial" w:cs="Arial" w:eastAsia="Arial" w:hAnsi="Arial"/>
                <w:sz w:val="14"/>
                <w:szCs w:val="14"/>
                <w:color w:val="auto"/>
              </w:rPr>
              <w:t>Loss on reacquired debt</w:t>
            </w:r>
          </w:p>
        </w:tc>
        <w:tc>
          <w:tcPr>
            <w:tcW w:w="2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21</w:t>
            </w:r>
          </w:p>
        </w:tc>
        <w:tc>
          <w:tcPr>
            <w:tcW w:w="860" w:type="dxa"/>
            <w:vAlign w:val="bottom"/>
          </w:tcPr>
          <w:p>
            <w:pPr>
              <w:spacing w:after="0"/>
              <w:rPr>
                <w:sz w:val="18"/>
                <w:szCs w:val="18"/>
                <w:color w:val="auto"/>
              </w:rPr>
            </w:pPr>
          </w:p>
        </w:tc>
        <w:tc>
          <w:tcPr>
            <w:tcW w:w="640" w:type="dxa"/>
            <w:vAlign w:val="bottom"/>
          </w:tcPr>
          <w:p>
            <w:pPr>
              <w:jc w:val="right"/>
              <w:ind w:right="128"/>
              <w:spacing w:after="0"/>
              <w:rPr>
                <w:sz w:val="20"/>
                <w:szCs w:val="20"/>
                <w:color w:val="auto"/>
              </w:rPr>
            </w:pPr>
            <w:r>
              <w:rPr>
                <w:rFonts w:ascii="Arial" w:cs="Arial" w:eastAsia="Arial" w:hAnsi="Arial"/>
                <w:sz w:val="14"/>
                <w:szCs w:val="14"/>
                <w:color w:val="auto"/>
              </w:rPr>
              <w:t>24</w:t>
            </w:r>
          </w:p>
        </w:tc>
      </w:tr>
      <w:tr>
        <w:trPr>
          <w:trHeight w:val="216"/>
        </w:trPr>
        <w:tc>
          <w:tcPr>
            <w:tcW w:w="5340" w:type="dxa"/>
            <w:vAlign w:val="bottom"/>
          </w:tcPr>
          <w:p>
            <w:pPr>
              <w:ind w:left="220"/>
              <w:spacing w:after="0"/>
              <w:rPr>
                <w:sz w:val="20"/>
                <w:szCs w:val="20"/>
                <w:color w:val="auto"/>
              </w:rPr>
            </w:pPr>
            <w:r>
              <w:rPr>
                <w:rFonts w:ascii="Arial" w:cs="Arial" w:eastAsia="Arial" w:hAnsi="Arial"/>
                <w:sz w:val="14"/>
                <w:szCs w:val="14"/>
                <w:color w:val="auto"/>
              </w:rPr>
              <w:t>Property taxes</w:t>
            </w:r>
          </w:p>
        </w:tc>
        <w:tc>
          <w:tcPr>
            <w:tcW w:w="2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31</w:t>
            </w:r>
          </w:p>
        </w:tc>
        <w:tc>
          <w:tcPr>
            <w:tcW w:w="860" w:type="dxa"/>
            <w:vAlign w:val="bottom"/>
          </w:tcPr>
          <w:p>
            <w:pPr>
              <w:spacing w:after="0"/>
              <w:rPr>
                <w:sz w:val="18"/>
                <w:szCs w:val="18"/>
                <w:color w:val="auto"/>
              </w:rPr>
            </w:pPr>
          </w:p>
        </w:tc>
        <w:tc>
          <w:tcPr>
            <w:tcW w:w="640" w:type="dxa"/>
            <w:vAlign w:val="bottom"/>
          </w:tcPr>
          <w:p>
            <w:pPr>
              <w:jc w:val="right"/>
              <w:ind w:right="128"/>
              <w:spacing w:after="0"/>
              <w:rPr>
                <w:sz w:val="20"/>
                <w:szCs w:val="20"/>
                <w:color w:val="auto"/>
              </w:rPr>
            </w:pPr>
            <w:r>
              <w:rPr>
                <w:rFonts w:ascii="Arial" w:cs="Arial" w:eastAsia="Arial" w:hAnsi="Arial"/>
                <w:sz w:val="14"/>
                <w:szCs w:val="14"/>
                <w:color w:val="auto"/>
              </w:rPr>
              <w:t>29</w:t>
            </w:r>
          </w:p>
        </w:tc>
      </w:tr>
      <w:tr>
        <w:trPr>
          <w:trHeight w:val="222"/>
        </w:trPr>
        <w:tc>
          <w:tcPr>
            <w:tcW w:w="5340" w:type="dxa"/>
            <w:vAlign w:val="bottom"/>
          </w:tcPr>
          <w:p>
            <w:pPr>
              <w:ind w:left="220"/>
              <w:spacing w:after="0"/>
              <w:rPr>
                <w:sz w:val="20"/>
                <w:szCs w:val="20"/>
                <w:color w:val="auto"/>
              </w:rPr>
            </w:pPr>
            <w:r>
              <w:rPr>
                <w:rFonts w:ascii="Arial" w:cs="Arial" w:eastAsia="Arial" w:hAnsi="Arial"/>
                <w:sz w:val="14"/>
                <w:szCs w:val="14"/>
                <w:color w:val="auto"/>
              </w:rPr>
              <w:t>Other</w:t>
            </w:r>
          </w:p>
        </w:tc>
        <w:tc>
          <w:tcPr>
            <w:tcW w:w="2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53</w:t>
            </w:r>
          </w:p>
        </w:tc>
        <w:tc>
          <w:tcPr>
            <w:tcW w:w="8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32</w:t>
            </w:r>
          </w:p>
        </w:tc>
      </w:tr>
      <w:tr>
        <w:trPr>
          <w:trHeight w:val="208"/>
        </w:trPr>
        <w:tc>
          <w:tcPr>
            <w:tcW w:w="5340" w:type="dxa"/>
            <w:vAlign w:val="bottom"/>
          </w:tcPr>
          <w:p>
            <w:pPr>
              <w:ind w:left="340"/>
              <w:spacing w:after="0"/>
              <w:rPr>
                <w:sz w:val="20"/>
                <w:szCs w:val="20"/>
                <w:color w:val="auto"/>
              </w:rPr>
            </w:pPr>
            <w:r>
              <w:rPr>
                <w:rFonts w:ascii="Arial" w:cs="Arial" w:eastAsia="Arial" w:hAnsi="Arial"/>
                <w:sz w:val="14"/>
                <w:szCs w:val="14"/>
                <w:color w:val="auto"/>
              </w:rPr>
              <w:t>Total deferred tax liabilities</w:t>
            </w:r>
          </w:p>
        </w:tc>
        <w:tc>
          <w:tcPr>
            <w:tcW w:w="2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2,082</w:t>
            </w:r>
          </w:p>
        </w:tc>
        <w:tc>
          <w:tcPr>
            <w:tcW w:w="8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1,164</w:t>
            </w:r>
          </w:p>
        </w:tc>
      </w:tr>
      <w:tr>
        <w:trPr>
          <w:trHeight w:val="202"/>
        </w:trPr>
        <w:tc>
          <w:tcPr>
            <w:tcW w:w="5340" w:type="dxa"/>
            <w:vAlign w:val="bottom"/>
          </w:tcPr>
          <w:p>
            <w:pPr>
              <w:spacing w:after="0"/>
              <w:rPr>
                <w:sz w:val="20"/>
                <w:szCs w:val="20"/>
                <w:color w:val="auto"/>
              </w:rPr>
            </w:pPr>
            <w:r>
              <w:rPr>
                <w:rFonts w:ascii="Arial" w:cs="Arial" w:eastAsia="Arial" w:hAnsi="Arial"/>
                <w:sz w:val="14"/>
                <w:szCs w:val="14"/>
                <w:color w:val="auto"/>
              </w:rPr>
              <w:t>Deferred tax assets:</w:t>
            </w:r>
          </w:p>
        </w:tc>
        <w:tc>
          <w:tcPr>
            <w:tcW w:w="2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16"/>
        </w:trPr>
        <w:tc>
          <w:tcPr>
            <w:tcW w:w="5340" w:type="dxa"/>
            <w:vAlign w:val="bottom"/>
          </w:tcPr>
          <w:p>
            <w:pPr>
              <w:ind w:left="220"/>
              <w:spacing w:after="0"/>
              <w:rPr>
                <w:sz w:val="20"/>
                <w:szCs w:val="20"/>
                <w:color w:val="auto"/>
              </w:rPr>
            </w:pPr>
            <w:r>
              <w:rPr>
                <w:rFonts w:ascii="Arial" w:cs="Arial" w:eastAsia="Arial" w:hAnsi="Arial"/>
                <w:sz w:val="14"/>
                <w:szCs w:val="14"/>
                <w:color w:val="auto"/>
              </w:rPr>
              <w:t>Investment tax credits</w:t>
            </w:r>
          </w:p>
        </w:tc>
        <w:tc>
          <w:tcPr>
            <w:tcW w:w="2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37</w:t>
            </w:r>
          </w:p>
        </w:tc>
        <w:tc>
          <w:tcPr>
            <w:tcW w:w="860" w:type="dxa"/>
            <w:vAlign w:val="bottom"/>
          </w:tcPr>
          <w:p>
            <w:pPr>
              <w:spacing w:after="0"/>
              <w:rPr>
                <w:sz w:val="18"/>
                <w:szCs w:val="18"/>
                <w:color w:val="auto"/>
              </w:rPr>
            </w:pPr>
          </w:p>
        </w:tc>
        <w:tc>
          <w:tcPr>
            <w:tcW w:w="640" w:type="dxa"/>
            <w:vAlign w:val="bottom"/>
          </w:tcPr>
          <w:p>
            <w:pPr>
              <w:jc w:val="right"/>
              <w:ind w:right="128"/>
              <w:spacing w:after="0"/>
              <w:rPr>
                <w:sz w:val="20"/>
                <w:szCs w:val="20"/>
                <w:color w:val="auto"/>
              </w:rPr>
            </w:pPr>
            <w:r>
              <w:rPr>
                <w:rFonts w:ascii="Arial" w:cs="Arial" w:eastAsia="Arial" w:hAnsi="Arial"/>
                <w:sz w:val="14"/>
                <w:szCs w:val="14"/>
                <w:color w:val="auto"/>
              </w:rPr>
              <w:t>42</w:t>
            </w:r>
          </w:p>
        </w:tc>
      </w:tr>
      <w:tr>
        <w:trPr>
          <w:trHeight w:val="216"/>
        </w:trPr>
        <w:tc>
          <w:tcPr>
            <w:tcW w:w="5340" w:type="dxa"/>
            <w:vAlign w:val="bottom"/>
          </w:tcPr>
          <w:p>
            <w:pPr>
              <w:ind w:left="220"/>
              <w:spacing w:after="0"/>
              <w:rPr>
                <w:sz w:val="20"/>
                <w:szCs w:val="20"/>
                <w:color w:val="auto"/>
              </w:rPr>
            </w:pPr>
            <w:r>
              <w:rPr>
                <w:rFonts w:ascii="Arial" w:cs="Arial" w:eastAsia="Arial" w:hAnsi="Arial"/>
                <w:sz w:val="14"/>
                <w:szCs w:val="14"/>
                <w:color w:val="auto"/>
              </w:rPr>
              <w:t>Equity losses</w:t>
            </w:r>
          </w:p>
        </w:tc>
        <w:tc>
          <w:tcPr>
            <w:tcW w:w="2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6</w:t>
            </w:r>
          </w:p>
        </w:tc>
        <w:tc>
          <w:tcPr>
            <w:tcW w:w="860" w:type="dxa"/>
            <w:vAlign w:val="bottom"/>
          </w:tcPr>
          <w:p>
            <w:pPr>
              <w:spacing w:after="0"/>
              <w:rPr>
                <w:sz w:val="18"/>
                <w:szCs w:val="18"/>
                <w:color w:val="auto"/>
              </w:rPr>
            </w:pPr>
          </w:p>
        </w:tc>
        <w:tc>
          <w:tcPr>
            <w:tcW w:w="640" w:type="dxa"/>
            <w:vAlign w:val="bottom"/>
          </w:tcPr>
          <w:p>
            <w:pPr>
              <w:jc w:val="right"/>
              <w:ind w:right="128"/>
              <w:spacing w:after="0"/>
              <w:rPr>
                <w:sz w:val="20"/>
                <w:szCs w:val="20"/>
                <w:color w:val="auto"/>
              </w:rPr>
            </w:pPr>
            <w:r>
              <w:rPr>
                <w:rFonts w:ascii="Arial" w:cs="Arial" w:eastAsia="Arial" w:hAnsi="Arial"/>
                <w:sz w:val="14"/>
                <w:szCs w:val="14"/>
                <w:color w:val="auto"/>
              </w:rPr>
              <w:t>34</w:t>
            </w:r>
          </w:p>
        </w:tc>
      </w:tr>
      <w:tr>
        <w:trPr>
          <w:trHeight w:val="216"/>
        </w:trPr>
        <w:tc>
          <w:tcPr>
            <w:tcW w:w="5340" w:type="dxa"/>
            <w:vAlign w:val="bottom"/>
          </w:tcPr>
          <w:p>
            <w:pPr>
              <w:ind w:left="220"/>
              <w:spacing w:after="0"/>
              <w:rPr>
                <w:sz w:val="20"/>
                <w:szCs w:val="20"/>
                <w:color w:val="auto"/>
              </w:rPr>
            </w:pPr>
            <w:r>
              <w:rPr>
                <w:rFonts w:ascii="Arial" w:cs="Arial" w:eastAsia="Arial" w:hAnsi="Arial"/>
                <w:sz w:val="14"/>
                <w:szCs w:val="14"/>
                <w:color w:val="auto"/>
              </w:rPr>
              <w:t>Net operating losses of separate state and foreign entities</w:t>
            </w:r>
          </w:p>
        </w:tc>
        <w:tc>
          <w:tcPr>
            <w:tcW w:w="2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77</w:t>
            </w:r>
          </w:p>
        </w:tc>
        <w:tc>
          <w:tcPr>
            <w:tcW w:w="860" w:type="dxa"/>
            <w:vAlign w:val="bottom"/>
          </w:tcPr>
          <w:p>
            <w:pPr>
              <w:spacing w:after="0"/>
              <w:rPr>
                <w:sz w:val="18"/>
                <w:szCs w:val="18"/>
                <w:color w:val="auto"/>
              </w:rPr>
            </w:pPr>
          </w:p>
        </w:tc>
        <w:tc>
          <w:tcPr>
            <w:tcW w:w="640" w:type="dxa"/>
            <w:vAlign w:val="bottom"/>
          </w:tcPr>
          <w:p>
            <w:pPr>
              <w:jc w:val="right"/>
              <w:ind w:right="128"/>
              <w:spacing w:after="0"/>
              <w:rPr>
                <w:sz w:val="20"/>
                <w:szCs w:val="20"/>
                <w:color w:val="auto"/>
              </w:rPr>
            </w:pPr>
            <w:r>
              <w:rPr>
                <w:rFonts w:ascii="Arial" w:cs="Arial" w:eastAsia="Arial" w:hAnsi="Arial"/>
                <w:sz w:val="14"/>
                <w:szCs w:val="14"/>
                <w:color w:val="auto"/>
              </w:rPr>
              <w:t>125</w:t>
            </w:r>
          </w:p>
        </w:tc>
      </w:tr>
      <w:tr>
        <w:trPr>
          <w:trHeight w:val="216"/>
        </w:trPr>
        <w:tc>
          <w:tcPr>
            <w:tcW w:w="5340" w:type="dxa"/>
            <w:vAlign w:val="bottom"/>
          </w:tcPr>
          <w:p>
            <w:pPr>
              <w:ind w:left="220"/>
              <w:spacing w:after="0"/>
              <w:rPr>
                <w:sz w:val="20"/>
                <w:szCs w:val="20"/>
                <w:color w:val="auto"/>
              </w:rPr>
            </w:pPr>
            <w:r>
              <w:rPr>
                <w:rFonts w:ascii="Arial" w:cs="Arial" w:eastAsia="Arial" w:hAnsi="Arial"/>
                <w:sz w:val="14"/>
                <w:szCs w:val="14"/>
                <w:color w:val="auto"/>
              </w:rPr>
              <w:t>Compensation-related items</w:t>
            </w:r>
          </w:p>
        </w:tc>
        <w:tc>
          <w:tcPr>
            <w:tcW w:w="2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193</w:t>
            </w:r>
          </w:p>
        </w:tc>
        <w:tc>
          <w:tcPr>
            <w:tcW w:w="860" w:type="dxa"/>
            <w:vAlign w:val="bottom"/>
          </w:tcPr>
          <w:p>
            <w:pPr>
              <w:spacing w:after="0"/>
              <w:rPr>
                <w:sz w:val="18"/>
                <w:szCs w:val="18"/>
                <w:color w:val="auto"/>
              </w:rPr>
            </w:pPr>
          </w:p>
        </w:tc>
        <w:tc>
          <w:tcPr>
            <w:tcW w:w="640" w:type="dxa"/>
            <w:vAlign w:val="bottom"/>
          </w:tcPr>
          <w:p>
            <w:pPr>
              <w:jc w:val="right"/>
              <w:ind w:right="128"/>
              <w:spacing w:after="0"/>
              <w:rPr>
                <w:sz w:val="20"/>
                <w:szCs w:val="20"/>
                <w:color w:val="auto"/>
              </w:rPr>
            </w:pPr>
            <w:r>
              <w:rPr>
                <w:rFonts w:ascii="Arial" w:cs="Arial" w:eastAsia="Arial" w:hAnsi="Arial"/>
                <w:sz w:val="14"/>
                <w:szCs w:val="14"/>
                <w:color w:val="auto"/>
              </w:rPr>
              <w:t>169</w:t>
            </w:r>
          </w:p>
        </w:tc>
      </w:tr>
      <w:tr>
        <w:trPr>
          <w:trHeight w:val="216"/>
        </w:trPr>
        <w:tc>
          <w:tcPr>
            <w:tcW w:w="5340" w:type="dxa"/>
            <w:vAlign w:val="bottom"/>
          </w:tcPr>
          <w:p>
            <w:pPr>
              <w:ind w:left="220"/>
              <w:spacing w:after="0"/>
              <w:rPr>
                <w:sz w:val="20"/>
                <w:szCs w:val="20"/>
                <w:color w:val="auto"/>
              </w:rPr>
            </w:pPr>
            <w:r>
              <w:rPr>
                <w:rFonts w:ascii="Arial" w:cs="Arial" w:eastAsia="Arial" w:hAnsi="Arial"/>
                <w:sz w:val="14"/>
                <w:szCs w:val="14"/>
                <w:color w:val="auto"/>
              </w:rPr>
              <w:t>Postretirement benefits</w:t>
            </w:r>
          </w:p>
        </w:tc>
        <w:tc>
          <w:tcPr>
            <w:tcW w:w="2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609</w:t>
            </w:r>
          </w:p>
        </w:tc>
        <w:tc>
          <w:tcPr>
            <w:tcW w:w="860" w:type="dxa"/>
            <w:vAlign w:val="bottom"/>
          </w:tcPr>
          <w:p>
            <w:pPr>
              <w:spacing w:after="0"/>
              <w:rPr>
                <w:sz w:val="18"/>
                <w:szCs w:val="18"/>
                <w:color w:val="auto"/>
              </w:rPr>
            </w:pPr>
          </w:p>
        </w:tc>
        <w:tc>
          <w:tcPr>
            <w:tcW w:w="640" w:type="dxa"/>
            <w:vAlign w:val="bottom"/>
          </w:tcPr>
          <w:p>
            <w:pPr>
              <w:jc w:val="right"/>
              <w:ind w:right="128"/>
              <w:spacing w:after="0"/>
              <w:rPr>
                <w:sz w:val="20"/>
                <w:szCs w:val="20"/>
                <w:color w:val="auto"/>
              </w:rPr>
            </w:pPr>
            <w:r>
              <w:rPr>
                <w:rFonts w:ascii="Arial" w:cs="Arial" w:eastAsia="Arial" w:hAnsi="Arial"/>
                <w:sz w:val="14"/>
                <w:szCs w:val="14"/>
                <w:color w:val="auto"/>
              </w:rPr>
              <w:t>148</w:t>
            </w:r>
          </w:p>
        </w:tc>
      </w:tr>
      <w:tr>
        <w:trPr>
          <w:trHeight w:val="216"/>
        </w:trPr>
        <w:tc>
          <w:tcPr>
            <w:tcW w:w="5340" w:type="dxa"/>
            <w:vAlign w:val="bottom"/>
          </w:tcPr>
          <w:p>
            <w:pPr>
              <w:ind w:left="220"/>
              <w:spacing w:after="0"/>
              <w:rPr>
                <w:sz w:val="20"/>
                <w:szCs w:val="20"/>
                <w:color w:val="auto"/>
              </w:rPr>
            </w:pPr>
            <w:r>
              <w:rPr>
                <w:rFonts w:ascii="Arial" w:cs="Arial" w:eastAsia="Arial" w:hAnsi="Arial"/>
                <w:sz w:val="14"/>
                <w:szCs w:val="14"/>
                <w:color w:val="auto"/>
              </w:rPr>
              <w:t>Other deferred assets</w:t>
            </w:r>
          </w:p>
        </w:tc>
        <w:tc>
          <w:tcPr>
            <w:tcW w:w="2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4</w:t>
            </w:r>
          </w:p>
        </w:tc>
        <w:tc>
          <w:tcPr>
            <w:tcW w:w="860" w:type="dxa"/>
            <w:vAlign w:val="bottom"/>
          </w:tcPr>
          <w:p>
            <w:pPr>
              <w:spacing w:after="0"/>
              <w:rPr>
                <w:sz w:val="18"/>
                <w:szCs w:val="18"/>
                <w:color w:val="auto"/>
              </w:rPr>
            </w:pPr>
          </w:p>
        </w:tc>
        <w:tc>
          <w:tcPr>
            <w:tcW w:w="640" w:type="dxa"/>
            <w:vAlign w:val="bottom"/>
          </w:tcPr>
          <w:p>
            <w:pPr>
              <w:jc w:val="right"/>
              <w:ind w:right="128"/>
              <w:spacing w:after="0"/>
              <w:rPr>
                <w:sz w:val="20"/>
                <w:szCs w:val="20"/>
                <w:color w:val="auto"/>
              </w:rPr>
            </w:pPr>
            <w:r>
              <w:rPr>
                <w:rFonts w:ascii="Arial" w:cs="Arial" w:eastAsia="Arial" w:hAnsi="Arial"/>
                <w:sz w:val="14"/>
                <w:szCs w:val="14"/>
                <w:color w:val="auto"/>
              </w:rPr>
              <w:t>34</w:t>
            </w:r>
          </w:p>
        </w:tc>
      </w:tr>
      <w:tr>
        <w:trPr>
          <w:trHeight w:val="216"/>
        </w:trPr>
        <w:tc>
          <w:tcPr>
            <w:tcW w:w="5340" w:type="dxa"/>
            <w:vAlign w:val="bottom"/>
          </w:tcPr>
          <w:p>
            <w:pPr>
              <w:ind w:left="220"/>
              <w:spacing w:after="0"/>
              <w:rPr>
                <w:sz w:val="20"/>
                <w:szCs w:val="20"/>
                <w:color w:val="auto"/>
              </w:rPr>
            </w:pPr>
            <w:r>
              <w:rPr>
                <w:rFonts w:ascii="Arial" w:cs="Arial" w:eastAsia="Arial" w:hAnsi="Arial"/>
                <w:sz w:val="14"/>
                <w:szCs w:val="14"/>
                <w:color w:val="auto"/>
              </w:rPr>
              <w:t>State income taxes</w:t>
            </w:r>
          </w:p>
        </w:tc>
        <w:tc>
          <w:tcPr>
            <w:tcW w:w="2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35</w:t>
            </w:r>
          </w:p>
        </w:tc>
        <w:tc>
          <w:tcPr>
            <w:tcW w:w="860" w:type="dxa"/>
            <w:vAlign w:val="bottom"/>
          </w:tcPr>
          <w:p>
            <w:pPr>
              <w:spacing w:after="0"/>
              <w:rPr>
                <w:sz w:val="18"/>
                <w:szCs w:val="18"/>
                <w:color w:val="auto"/>
              </w:rPr>
            </w:pPr>
          </w:p>
        </w:tc>
        <w:tc>
          <w:tcPr>
            <w:tcW w:w="640" w:type="dxa"/>
            <w:vAlign w:val="bottom"/>
          </w:tcPr>
          <w:p>
            <w:pPr>
              <w:jc w:val="right"/>
              <w:ind w:right="128"/>
              <w:spacing w:after="0"/>
              <w:rPr>
                <w:sz w:val="20"/>
                <w:szCs w:val="20"/>
                <w:color w:val="auto"/>
              </w:rPr>
            </w:pPr>
            <w:r>
              <w:rPr>
                <w:rFonts w:ascii="Arial" w:cs="Arial" w:eastAsia="Arial" w:hAnsi="Arial"/>
                <w:sz w:val="14"/>
                <w:szCs w:val="14"/>
                <w:color w:val="auto"/>
              </w:rPr>
              <w:t>34</w:t>
            </w:r>
          </w:p>
        </w:tc>
      </w:tr>
      <w:tr>
        <w:trPr>
          <w:trHeight w:val="216"/>
        </w:trPr>
        <w:tc>
          <w:tcPr>
            <w:tcW w:w="5340" w:type="dxa"/>
            <w:vAlign w:val="bottom"/>
          </w:tcPr>
          <w:p>
            <w:pPr>
              <w:ind w:left="220"/>
              <w:spacing w:after="0"/>
              <w:rPr>
                <w:sz w:val="20"/>
                <w:szCs w:val="20"/>
                <w:color w:val="auto"/>
              </w:rPr>
            </w:pPr>
            <w:r>
              <w:rPr>
                <w:rFonts w:ascii="Arial" w:cs="Arial" w:eastAsia="Arial" w:hAnsi="Arial"/>
                <w:sz w:val="14"/>
                <w:szCs w:val="14"/>
                <w:color w:val="auto"/>
              </w:rPr>
              <w:t>Bad debt allowance</w:t>
            </w:r>
          </w:p>
        </w:tc>
        <w:tc>
          <w:tcPr>
            <w:tcW w:w="2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7</w:t>
            </w:r>
          </w:p>
        </w:tc>
        <w:tc>
          <w:tcPr>
            <w:tcW w:w="860" w:type="dxa"/>
            <w:vAlign w:val="bottom"/>
          </w:tcPr>
          <w:p>
            <w:pPr>
              <w:spacing w:after="0"/>
              <w:rPr>
                <w:sz w:val="18"/>
                <w:szCs w:val="18"/>
                <w:color w:val="auto"/>
              </w:rPr>
            </w:pPr>
          </w:p>
        </w:tc>
        <w:tc>
          <w:tcPr>
            <w:tcW w:w="640" w:type="dxa"/>
            <w:vAlign w:val="bottom"/>
          </w:tcPr>
          <w:p>
            <w:pPr>
              <w:jc w:val="right"/>
              <w:ind w:right="128"/>
              <w:spacing w:after="0"/>
              <w:rPr>
                <w:sz w:val="20"/>
                <w:szCs w:val="20"/>
                <w:color w:val="auto"/>
              </w:rPr>
            </w:pPr>
            <w:r>
              <w:rPr>
                <w:rFonts w:ascii="Arial" w:cs="Arial" w:eastAsia="Arial" w:hAnsi="Arial"/>
                <w:sz w:val="14"/>
                <w:szCs w:val="14"/>
                <w:color w:val="auto"/>
              </w:rPr>
              <w:t>13</w:t>
            </w:r>
          </w:p>
        </w:tc>
      </w:tr>
      <w:tr>
        <w:trPr>
          <w:trHeight w:val="222"/>
        </w:trPr>
        <w:tc>
          <w:tcPr>
            <w:tcW w:w="5340" w:type="dxa"/>
            <w:vAlign w:val="bottom"/>
          </w:tcPr>
          <w:p>
            <w:pPr>
              <w:ind w:left="220"/>
              <w:spacing w:after="0"/>
              <w:rPr>
                <w:sz w:val="20"/>
                <w:szCs w:val="20"/>
                <w:color w:val="auto"/>
              </w:rPr>
            </w:pPr>
            <w:r>
              <w:rPr>
                <w:rFonts w:ascii="Arial" w:cs="Arial" w:eastAsia="Arial" w:hAnsi="Arial"/>
                <w:sz w:val="14"/>
                <w:szCs w:val="14"/>
                <w:color w:val="auto"/>
              </w:rPr>
              <w:t>Litigation and other accruals not yet deductible</w:t>
            </w:r>
          </w:p>
        </w:tc>
        <w:tc>
          <w:tcPr>
            <w:tcW w:w="2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233</w:t>
            </w:r>
          </w:p>
        </w:tc>
        <w:tc>
          <w:tcPr>
            <w:tcW w:w="8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322</w:t>
            </w:r>
          </w:p>
        </w:tc>
      </w:tr>
      <w:tr>
        <w:trPr>
          <w:trHeight w:val="208"/>
        </w:trPr>
        <w:tc>
          <w:tcPr>
            <w:tcW w:w="5340" w:type="dxa"/>
            <w:vAlign w:val="bottom"/>
          </w:tcPr>
          <w:p>
            <w:pPr>
              <w:ind w:left="360"/>
              <w:spacing w:after="0"/>
              <w:rPr>
                <w:sz w:val="20"/>
                <w:szCs w:val="20"/>
                <w:color w:val="auto"/>
              </w:rPr>
            </w:pPr>
            <w:r>
              <w:rPr>
                <w:rFonts w:ascii="Arial" w:cs="Arial" w:eastAsia="Arial" w:hAnsi="Arial"/>
                <w:sz w:val="14"/>
                <w:szCs w:val="14"/>
                <w:color w:val="auto"/>
              </w:rPr>
              <w:t>Total deferred tax assets</w:t>
            </w:r>
          </w:p>
        </w:tc>
        <w:tc>
          <w:tcPr>
            <w:tcW w:w="2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1,201</w:t>
            </w:r>
          </w:p>
        </w:tc>
        <w:tc>
          <w:tcPr>
            <w:tcW w:w="8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921</w:t>
            </w:r>
          </w:p>
        </w:tc>
      </w:tr>
      <w:tr>
        <w:trPr>
          <w:trHeight w:val="202"/>
        </w:trPr>
        <w:tc>
          <w:tcPr>
            <w:tcW w:w="5340" w:type="dxa"/>
            <w:vAlign w:val="bottom"/>
          </w:tcPr>
          <w:p>
            <w:pPr>
              <w:spacing w:after="0"/>
              <w:rPr>
                <w:sz w:val="20"/>
                <w:szCs w:val="20"/>
                <w:color w:val="auto"/>
              </w:rPr>
            </w:pPr>
            <w:r>
              <w:rPr>
                <w:rFonts w:ascii="Arial" w:cs="Arial" w:eastAsia="Arial" w:hAnsi="Arial"/>
                <w:sz w:val="14"/>
                <w:szCs w:val="14"/>
                <w:color w:val="auto"/>
              </w:rPr>
              <w:t>Net deferred income tax liability before valuation allowance</w:t>
            </w:r>
          </w:p>
        </w:tc>
        <w:tc>
          <w:tcPr>
            <w:tcW w:w="26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881</w:t>
            </w:r>
          </w:p>
        </w:tc>
        <w:tc>
          <w:tcPr>
            <w:tcW w:w="860" w:type="dxa"/>
            <w:vAlign w:val="bottom"/>
          </w:tcPr>
          <w:p>
            <w:pPr>
              <w:spacing w:after="0"/>
              <w:rPr>
                <w:sz w:val="17"/>
                <w:szCs w:val="17"/>
                <w:color w:val="auto"/>
              </w:rPr>
            </w:pPr>
          </w:p>
        </w:tc>
        <w:tc>
          <w:tcPr>
            <w:tcW w:w="640" w:type="dxa"/>
            <w:vAlign w:val="bottom"/>
          </w:tcPr>
          <w:p>
            <w:pPr>
              <w:jc w:val="right"/>
              <w:ind w:right="128"/>
              <w:spacing w:after="0"/>
              <w:rPr>
                <w:sz w:val="20"/>
                <w:szCs w:val="20"/>
                <w:color w:val="auto"/>
              </w:rPr>
            </w:pPr>
            <w:r>
              <w:rPr>
                <w:rFonts w:ascii="Arial" w:cs="Arial" w:eastAsia="Arial" w:hAnsi="Arial"/>
                <w:sz w:val="14"/>
                <w:szCs w:val="14"/>
                <w:color w:val="auto"/>
              </w:rPr>
              <w:t>243</w:t>
            </w:r>
          </w:p>
        </w:tc>
      </w:tr>
      <w:tr>
        <w:trPr>
          <w:trHeight w:val="222"/>
        </w:trPr>
        <w:tc>
          <w:tcPr>
            <w:tcW w:w="5340" w:type="dxa"/>
            <w:vAlign w:val="bottom"/>
          </w:tcPr>
          <w:p>
            <w:pPr>
              <w:spacing w:after="0"/>
              <w:rPr>
                <w:sz w:val="20"/>
                <w:szCs w:val="20"/>
                <w:color w:val="auto"/>
              </w:rPr>
            </w:pPr>
            <w:r>
              <w:rPr>
                <w:rFonts w:ascii="Arial" w:cs="Arial" w:eastAsia="Arial" w:hAnsi="Arial"/>
                <w:sz w:val="14"/>
                <w:szCs w:val="14"/>
                <w:color w:val="auto"/>
              </w:rPr>
              <w:t>Valuation allowance</w:t>
            </w:r>
          </w:p>
        </w:tc>
        <w:tc>
          <w:tcPr>
            <w:tcW w:w="2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w:t>
            </w:r>
          </w:p>
        </w:tc>
        <w:tc>
          <w:tcPr>
            <w:tcW w:w="8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41</w:t>
            </w:r>
          </w:p>
        </w:tc>
      </w:tr>
      <w:tr>
        <w:trPr>
          <w:trHeight w:val="224"/>
        </w:trPr>
        <w:tc>
          <w:tcPr>
            <w:tcW w:w="53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Net deferred income tax liability</w:t>
            </w:r>
          </w:p>
        </w:tc>
        <w:tc>
          <w:tcPr>
            <w:tcW w:w="2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915</w:t>
            </w:r>
          </w:p>
        </w:tc>
        <w:tc>
          <w:tcPr>
            <w:tcW w:w="86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284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1111250</wp:posOffset>
            </wp:positionH>
            <wp:positionV relativeFrom="paragraph">
              <wp:posOffset>137160</wp:posOffset>
            </wp:positionV>
            <wp:extent cx="5034280" cy="24384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5034280" cy="243840"/>
                    </a:xfrm>
                    <a:prstGeom prst="rect">
                      <a:avLst/>
                    </a:prstGeom>
                    <a:noFill/>
                  </pic:spPr>
                </pic:pic>
              </a:graphicData>
            </a:graphic>
          </wp:anchor>
        </w:drawing>
      </w:r>
    </w:p>
    <w:p>
      <w:pPr>
        <w:spacing w:after="0" w:line="204" w:lineRule="exact"/>
        <w:rPr>
          <w:sz w:val="20"/>
          <w:szCs w:val="20"/>
          <w:color w:val="auto"/>
        </w:rPr>
      </w:pPr>
    </w:p>
    <w:p>
      <w:pPr>
        <w:ind w:left="1780" w:right="2999" w:hanging="11"/>
        <w:spacing w:after="0" w:line="306" w:lineRule="auto"/>
        <w:rPr>
          <w:sz w:val="20"/>
          <w:szCs w:val="20"/>
          <w:color w:val="auto"/>
        </w:rPr>
      </w:pPr>
      <w:r>
        <w:rPr>
          <w:rFonts w:ascii="Arial" w:cs="Arial" w:eastAsia="Arial" w:hAnsi="Arial"/>
          <w:sz w:val="14"/>
          <w:szCs w:val="14"/>
          <w:b w:val="1"/>
          <w:bCs w:val="1"/>
          <w:color w:val="auto"/>
        </w:rPr>
        <w:t xml:space="preserve">ACCUMULATED DEFERRED INCOME TAXES FOR SDG&amp;E, PE AND SOCALGAS </w:t>
      </w:r>
      <w:r>
        <w:rPr>
          <w:rFonts w:ascii="Arial" w:cs="Arial" w:eastAsia="Arial" w:hAnsi="Arial"/>
          <w:sz w:val="12"/>
          <w:szCs w:val="12"/>
          <w:i w:val="1"/>
          <w:iCs w:val="1"/>
          <w:color w:val="auto"/>
        </w:rPr>
        <w:t>(Dollars in millions)</w:t>
      </w:r>
    </w:p>
    <w:p>
      <w:pPr>
        <w:spacing w:after="0" w:line="18" w:lineRule="exact"/>
        <w:rPr>
          <w:sz w:val="20"/>
          <w:szCs w:val="20"/>
          <w:color w:val="auto"/>
        </w:rPr>
      </w:pPr>
    </w:p>
    <w:tbl>
      <w:tblPr>
        <w:tblLayout w:type="fixed"/>
        <w:tblInd w:w="1740" w:type="dxa"/>
        <w:tblCellMar>
          <w:top w:w="0" w:type="dxa"/>
          <w:left w:w="0" w:type="dxa"/>
          <w:bottom w:w="0" w:type="dxa"/>
          <w:right w:w="0" w:type="dxa"/>
        </w:tblCellMar>
      </w:tblPr>
      <w:tr>
        <w:trPr>
          <w:trHeight w:val="159"/>
        </w:trPr>
        <w:tc>
          <w:tcPr>
            <w:tcW w:w="272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gridSpan w:val="2"/>
          </w:tcPr>
          <w:p>
            <w:pPr>
              <w:jc w:val="right"/>
              <w:ind w:right="8"/>
              <w:spacing w:after="0"/>
              <w:rPr>
                <w:sz w:val="20"/>
                <w:szCs w:val="20"/>
                <w:color w:val="auto"/>
              </w:rPr>
            </w:pPr>
            <w:r>
              <w:rPr>
                <w:rFonts w:ascii="Arial" w:cs="Arial" w:eastAsia="Arial" w:hAnsi="Arial"/>
                <w:sz w:val="13"/>
                <w:szCs w:val="13"/>
                <w:color w:val="auto"/>
              </w:rPr>
              <w:t>SDG&amp;E</w:t>
            </w:r>
          </w:p>
        </w:tc>
        <w:tc>
          <w:tcPr>
            <w:tcW w:w="66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jc w:val="right"/>
              <w:ind w:right="131"/>
              <w:spacing w:after="0"/>
              <w:rPr>
                <w:sz w:val="20"/>
                <w:szCs w:val="20"/>
                <w:color w:val="auto"/>
              </w:rPr>
            </w:pPr>
            <w:r>
              <w:rPr>
                <w:rFonts w:ascii="Arial" w:cs="Arial" w:eastAsia="Arial" w:hAnsi="Arial"/>
                <w:sz w:val="13"/>
                <w:szCs w:val="13"/>
                <w:color w:val="auto"/>
                <w:w w:val="91"/>
              </w:rPr>
              <w:t>PE</w:t>
            </w:r>
          </w:p>
        </w:tc>
        <w:tc>
          <w:tcPr>
            <w:tcW w:w="66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gridSpan w:val="2"/>
          </w:tcPr>
          <w:p>
            <w:pPr>
              <w:jc w:val="center"/>
              <w:ind w:left="169"/>
              <w:spacing w:after="0"/>
              <w:rPr>
                <w:sz w:val="20"/>
                <w:szCs w:val="20"/>
                <w:color w:val="auto"/>
              </w:rPr>
            </w:pPr>
            <w:r>
              <w:rPr>
                <w:rFonts w:ascii="Arial" w:cs="Arial" w:eastAsia="Arial" w:hAnsi="Arial"/>
                <w:sz w:val="13"/>
                <w:szCs w:val="13"/>
                <w:color w:val="auto"/>
                <w:w w:val="97"/>
              </w:rPr>
              <w:t>SoCalGas</w:t>
            </w:r>
          </w:p>
        </w:tc>
        <w:tc>
          <w:tcPr>
            <w:tcW w:w="4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r>
      <w:tr>
        <w:trPr>
          <w:trHeight w:val="208"/>
        </w:trPr>
        <w:tc>
          <w:tcPr>
            <w:tcW w:w="27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gridSpan w:val="3"/>
          </w:tcPr>
          <w:p>
            <w:pPr>
              <w:jc w:val="right"/>
              <w:ind w:right="488"/>
              <w:spacing w:after="0"/>
              <w:rPr>
                <w:sz w:val="20"/>
                <w:szCs w:val="20"/>
                <w:color w:val="auto"/>
              </w:rPr>
            </w:pPr>
            <w:r>
              <w:rPr>
                <w:rFonts w:ascii="Arial" w:cs="Arial" w:eastAsia="Arial" w:hAnsi="Arial"/>
                <w:sz w:val="13"/>
                <w:szCs w:val="13"/>
                <w:color w:val="auto"/>
              </w:rPr>
              <w:t>December 31,</w:t>
            </w:r>
          </w:p>
        </w:tc>
        <w:tc>
          <w:tcPr>
            <w:tcW w:w="22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gridSpan w:val="3"/>
          </w:tcPr>
          <w:p>
            <w:pPr>
              <w:jc w:val="right"/>
              <w:ind w:right="488"/>
              <w:spacing w:after="0"/>
              <w:rPr>
                <w:sz w:val="20"/>
                <w:szCs w:val="20"/>
                <w:color w:val="auto"/>
              </w:rPr>
            </w:pPr>
            <w:r>
              <w:rPr>
                <w:rFonts w:ascii="Arial" w:cs="Arial" w:eastAsia="Arial" w:hAnsi="Arial"/>
                <w:sz w:val="13"/>
                <w:szCs w:val="13"/>
                <w:color w:val="auto"/>
              </w:rPr>
              <w:t>December 31,</w:t>
            </w:r>
          </w:p>
        </w:tc>
        <w:tc>
          <w:tcPr>
            <w:tcW w:w="22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gridSpan w:val="4"/>
          </w:tcPr>
          <w:p>
            <w:pPr>
              <w:jc w:val="center"/>
              <w:ind w:right="380"/>
              <w:spacing w:after="0"/>
              <w:rPr>
                <w:sz w:val="20"/>
                <w:szCs w:val="20"/>
                <w:color w:val="auto"/>
              </w:rPr>
            </w:pPr>
            <w:r>
              <w:rPr>
                <w:rFonts w:ascii="Arial" w:cs="Arial" w:eastAsia="Arial" w:hAnsi="Arial"/>
                <w:sz w:val="13"/>
                <w:szCs w:val="13"/>
                <w:color w:val="auto"/>
                <w:w w:val="97"/>
              </w:rPr>
              <w:t>December 31,</w:t>
            </w:r>
          </w:p>
        </w:tc>
      </w:tr>
      <w:tr>
        <w:trPr>
          <w:trHeight w:val="208"/>
        </w:trPr>
        <w:tc>
          <w:tcPr>
            <w:tcW w:w="27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189"/>
              <w:spacing w:after="0"/>
              <w:rPr>
                <w:sz w:val="20"/>
                <w:szCs w:val="20"/>
                <w:color w:val="auto"/>
              </w:rPr>
            </w:pPr>
            <w:r>
              <w:rPr>
                <w:rFonts w:ascii="Arial" w:cs="Arial" w:eastAsia="Arial" w:hAnsi="Arial"/>
                <w:sz w:val="13"/>
                <w:szCs w:val="13"/>
                <w:color w:val="auto"/>
              </w:rPr>
              <w:t>2008</w:t>
            </w:r>
          </w:p>
        </w:tc>
        <w:tc>
          <w:tcPr>
            <w:tcW w:w="2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228"/>
              <w:spacing w:after="0"/>
              <w:rPr>
                <w:sz w:val="20"/>
                <w:szCs w:val="20"/>
                <w:color w:val="auto"/>
              </w:rPr>
            </w:pPr>
            <w:r>
              <w:rPr>
                <w:rFonts w:ascii="Arial" w:cs="Arial" w:eastAsia="Arial" w:hAnsi="Arial"/>
                <w:sz w:val="13"/>
                <w:szCs w:val="13"/>
                <w:color w:val="auto"/>
              </w:rPr>
              <w:t>2007</w:t>
            </w:r>
          </w:p>
        </w:tc>
        <w:tc>
          <w:tcPr>
            <w:tcW w:w="2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ind w:right="49"/>
              <w:spacing w:after="0"/>
              <w:rPr>
                <w:sz w:val="20"/>
                <w:szCs w:val="20"/>
                <w:color w:val="auto"/>
              </w:rPr>
            </w:pPr>
            <w:r>
              <w:rPr>
                <w:rFonts w:ascii="Arial" w:cs="Arial" w:eastAsia="Arial" w:hAnsi="Arial"/>
                <w:sz w:val="13"/>
                <w:szCs w:val="13"/>
                <w:color w:val="auto"/>
              </w:rPr>
              <w:t>2008</w:t>
            </w:r>
          </w:p>
        </w:tc>
        <w:tc>
          <w:tcPr>
            <w:tcW w:w="3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228"/>
              <w:spacing w:after="0"/>
              <w:rPr>
                <w:sz w:val="20"/>
                <w:szCs w:val="20"/>
                <w:color w:val="auto"/>
              </w:rPr>
            </w:pPr>
            <w:r>
              <w:rPr>
                <w:rFonts w:ascii="Arial" w:cs="Arial" w:eastAsia="Arial" w:hAnsi="Arial"/>
                <w:sz w:val="13"/>
                <w:szCs w:val="13"/>
                <w:color w:val="auto"/>
              </w:rPr>
              <w:t>2007</w:t>
            </w:r>
          </w:p>
        </w:tc>
        <w:tc>
          <w:tcPr>
            <w:tcW w:w="2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169"/>
              <w:spacing w:after="0"/>
              <w:rPr>
                <w:sz w:val="20"/>
                <w:szCs w:val="20"/>
                <w:color w:val="auto"/>
              </w:rPr>
            </w:pPr>
            <w:r>
              <w:rPr>
                <w:rFonts w:ascii="Arial" w:cs="Arial" w:eastAsia="Arial" w:hAnsi="Arial"/>
                <w:sz w:val="13"/>
                <w:szCs w:val="13"/>
                <w:color w:val="auto"/>
              </w:rPr>
              <w:t>2008</w:t>
            </w:r>
          </w:p>
        </w:tc>
        <w:tc>
          <w:tcPr>
            <w:tcW w:w="3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ind w:right="68"/>
              <w:spacing w:after="0"/>
              <w:rPr>
                <w:sz w:val="20"/>
                <w:szCs w:val="20"/>
                <w:color w:val="auto"/>
              </w:rPr>
            </w:pPr>
            <w:r>
              <w:rPr>
                <w:rFonts w:ascii="Arial" w:cs="Arial" w:eastAsia="Arial" w:hAnsi="Arial"/>
                <w:sz w:val="13"/>
                <w:szCs w:val="13"/>
                <w:color w:val="auto"/>
              </w:rPr>
              <w:t>2007</w:t>
            </w:r>
          </w:p>
        </w:tc>
        <w:tc>
          <w:tcPr>
            <w:tcW w:w="140" w:type="dxa"/>
            <w:vAlign w:val="bottom"/>
            <w:tcBorders>
              <w:bottom w:val="single" w:sz="8" w:color="auto"/>
            </w:tcBorders>
          </w:tcPr>
          <w:p>
            <w:pPr>
              <w:spacing w:after="0"/>
              <w:rPr>
                <w:sz w:val="18"/>
                <w:szCs w:val="18"/>
                <w:color w:val="auto"/>
              </w:rPr>
            </w:pPr>
          </w:p>
        </w:tc>
      </w:tr>
      <w:tr>
        <w:trPr>
          <w:trHeight w:val="207"/>
        </w:trPr>
        <w:tc>
          <w:tcPr>
            <w:tcW w:w="2720" w:type="dxa"/>
            <w:vAlign w:val="bottom"/>
          </w:tcPr>
          <w:p>
            <w:pPr>
              <w:ind w:left="20"/>
              <w:spacing w:after="0"/>
              <w:rPr>
                <w:sz w:val="20"/>
                <w:szCs w:val="20"/>
                <w:color w:val="auto"/>
              </w:rPr>
            </w:pPr>
            <w:r>
              <w:rPr>
                <w:rFonts w:ascii="Arial" w:cs="Arial" w:eastAsia="Arial" w:hAnsi="Arial"/>
                <w:sz w:val="14"/>
                <w:szCs w:val="14"/>
                <w:color w:val="auto"/>
              </w:rPr>
              <w:t>Deferred tax liabilities:</w:t>
            </w: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188"/>
        </w:trPr>
        <w:tc>
          <w:tcPr>
            <w:tcW w:w="2720" w:type="dxa"/>
            <w:vAlign w:val="bottom"/>
          </w:tcPr>
          <w:p>
            <w:pPr>
              <w:ind w:left="260"/>
              <w:spacing w:after="0"/>
              <w:rPr>
                <w:sz w:val="20"/>
                <w:szCs w:val="20"/>
                <w:color w:val="auto"/>
              </w:rPr>
            </w:pPr>
            <w:r>
              <w:rPr>
                <w:rFonts w:ascii="Arial" w:cs="Arial" w:eastAsia="Arial" w:hAnsi="Arial"/>
                <w:sz w:val="14"/>
                <w:szCs w:val="14"/>
                <w:color w:val="auto"/>
              </w:rPr>
              <w:t>Differences in financial and tax bases</w:t>
            </w:r>
          </w:p>
        </w:tc>
        <w:tc>
          <w:tcPr>
            <w:tcW w:w="2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Borders>
              <w:right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60" w:type="dxa"/>
            <w:vAlign w:val="bottom"/>
            <w:tcBorders>
              <w:right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172"/>
        </w:trPr>
        <w:tc>
          <w:tcPr>
            <w:tcW w:w="2720" w:type="dxa"/>
            <w:vAlign w:val="bottom"/>
          </w:tcPr>
          <w:p>
            <w:pPr>
              <w:ind w:left="480"/>
              <w:spacing w:after="0"/>
              <w:rPr>
                <w:sz w:val="20"/>
                <w:szCs w:val="20"/>
                <w:color w:val="auto"/>
              </w:rPr>
            </w:pPr>
            <w:r>
              <w:rPr>
                <w:rFonts w:ascii="Arial" w:cs="Arial" w:eastAsia="Arial" w:hAnsi="Arial"/>
                <w:sz w:val="14"/>
                <w:szCs w:val="14"/>
                <w:color w:val="auto"/>
              </w:rPr>
              <w:t>of utility plant and other assets</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69"/>
              <w:spacing w:after="0"/>
              <w:rPr>
                <w:sz w:val="20"/>
                <w:szCs w:val="20"/>
                <w:color w:val="auto"/>
              </w:rPr>
            </w:pPr>
            <w:r>
              <w:rPr>
                <w:rFonts w:ascii="Arial" w:cs="Arial" w:eastAsia="Arial" w:hAnsi="Arial"/>
                <w:sz w:val="14"/>
                <w:szCs w:val="14"/>
                <w:color w:val="auto"/>
              </w:rPr>
              <w:t>625</w:t>
            </w:r>
          </w:p>
        </w:tc>
        <w:tc>
          <w:tcPr>
            <w:tcW w:w="2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660" w:type="dxa"/>
            <w:vAlign w:val="bottom"/>
            <w:tcBorders>
              <w:right w:val="single" w:sz="8" w:color="auto"/>
            </w:tcBorders>
          </w:tcPr>
          <w:p>
            <w:pPr>
              <w:jc w:val="right"/>
              <w:ind w:right="108"/>
              <w:spacing w:after="0"/>
              <w:rPr>
                <w:sz w:val="20"/>
                <w:szCs w:val="20"/>
                <w:color w:val="auto"/>
              </w:rPr>
            </w:pPr>
            <w:r>
              <w:rPr>
                <w:rFonts w:ascii="Arial" w:cs="Arial" w:eastAsia="Arial" w:hAnsi="Arial"/>
                <w:sz w:val="14"/>
                <w:szCs w:val="14"/>
                <w:color w:val="auto"/>
              </w:rPr>
              <w:t>481</w:t>
            </w:r>
          </w:p>
        </w:tc>
        <w:tc>
          <w:tcPr>
            <w:tcW w:w="2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480" w:type="dxa"/>
            <w:vAlign w:val="bottom"/>
          </w:tcPr>
          <w:p>
            <w:pPr>
              <w:jc w:val="right"/>
              <w:spacing w:after="0"/>
              <w:rPr>
                <w:sz w:val="20"/>
                <w:szCs w:val="20"/>
                <w:color w:val="auto"/>
              </w:rPr>
            </w:pPr>
            <w:r>
              <w:rPr>
                <w:rFonts w:ascii="Arial" w:cs="Arial" w:eastAsia="Arial" w:hAnsi="Arial"/>
                <w:sz w:val="14"/>
                <w:szCs w:val="14"/>
                <w:color w:val="auto"/>
              </w:rPr>
              <w:t>278</w:t>
            </w:r>
          </w:p>
        </w:tc>
        <w:tc>
          <w:tcPr>
            <w:tcW w:w="380" w:type="dxa"/>
            <w:vAlign w:val="bottom"/>
          </w:tcPr>
          <w:p>
            <w:pPr>
              <w:jc w:val="right"/>
              <w:ind w:right="11"/>
              <w:spacing w:after="0"/>
              <w:rPr>
                <w:sz w:val="20"/>
                <w:szCs w:val="20"/>
                <w:color w:val="auto"/>
              </w:rPr>
            </w:pPr>
            <w:r>
              <w:rPr>
                <w:rFonts w:ascii="Arial" w:cs="Arial" w:eastAsia="Arial" w:hAnsi="Arial"/>
                <w:sz w:val="14"/>
                <w:szCs w:val="14"/>
                <w:color w:val="auto"/>
              </w:rPr>
              <w:t>$</w:t>
            </w:r>
          </w:p>
        </w:tc>
        <w:tc>
          <w:tcPr>
            <w:tcW w:w="660" w:type="dxa"/>
            <w:vAlign w:val="bottom"/>
            <w:tcBorders>
              <w:right w:val="single" w:sz="8" w:color="auto"/>
            </w:tcBorders>
          </w:tcPr>
          <w:p>
            <w:pPr>
              <w:jc w:val="right"/>
              <w:ind w:right="108"/>
              <w:spacing w:after="0"/>
              <w:rPr>
                <w:sz w:val="20"/>
                <w:szCs w:val="20"/>
                <w:color w:val="auto"/>
              </w:rPr>
            </w:pPr>
            <w:r>
              <w:rPr>
                <w:rFonts w:ascii="Arial" w:cs="Arial" w:eastAsia="Arial" w:hAnsi="Arial"/>
                <w:sz w:val="14"/>
                <w:szCs w:val="14"/>
                <w:color w:val="auto"/>
              </w:rPr>
              <w:t>206</w:t>
            </w:r>
          </w:p>
        </w:tc>
        <w:tc>
          <w:tcPr>
            <w:tcW w:w="2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49"/>
              <w:spacing w:after="0"/>
              <w:rPr>
                <w:sz w:val="20"/>
                <w:szCs w:val="20"/>
                <w:color w:val="auto"/>
              </w:rPr>
            </w:pPr>
            <w:r>
              <w:rPr>
                <w:rFonts w:ascii="Arial" w:cs="Arial" w:eastAsia="Arial" w:hAnsi="Arial"/>
                <w:sz w:val="14"/>
                <w:szCs w:val="14"/>
                <w:color w:val="auto"/>
              </w:rPr>
              <w:t>281</w:t>
            </w:r>
          </w:p>
        </w:tc>
        <w:tc>
          <w:tcPr>
            <w:tcW w:w="3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460" w:type="dxa"/>
            <w:vAlign w:val="bottom"/>
          </w:tcPr>
          <w:p>
            <w:pPr>
              <w:jc w:val="right"/>
              <w:spacing w:after="0"/>
              <w:rPr>
                <w:sz w:val="20"/>
                <w:szCs w:val="20"/>
                <w:color w:val="auto"/>
              </w:rPr>
            </w:pPr>
            <w:r>
              <w:rPr>
                <w:rFonts w:ascii="Arial" w:cs="Arial" w:eastAsia="Arial" w:hAnsi="Arial"/>
                <w:sz w:val="14"/>
                <w:szCs w:val="14"/>
                <w:color w:val="auto"/>
              </w:rPr>
              <w:t>210</w:t>
            </w:r>
          </w:p>
        </w:tc>
        <w:tc>
          <w:tcPr>
            <w:tcW w:w="140" w:type="dxa"/>
            <w:vAlign w:val="bottom"/>
          </w:tcPr>
          <w:p>
            <w:pPr>
              <w:spacing w:after="0"/>
              <w:rPr>
                <w:sz w:val="14"/>
                <w:szCs w:val="14"/>
                <w:color w:val="auto"/>
              </w:rPr>
            </w:pPr>
          </w:p>
        </w:tc>
      </w:tr>
      <w:tr>
        <w:trPr>
          <w:trHeight w:val="216"/>
        </w:trPr>
        <w:tc>
          <w:tcPr>
            <w:tcW w:w="2720" w:type="dxa"/>
            <w:vAlign w:val="bottom"/>
          </w:tcPr>
          <w:p>
            <w:pPr>
              <w:ind w:left="260"/>
              <w:spacing w:after="0"/>
              <w:rPr>
                <w:sz w:val="20"/>
                <w:szCs w:val="20"/>
                <w:color w:val="auto"/>
              </w:rPr>
            </w:pPr>
            <w:r>
              <w:rPr>
                <w:rFonts w:ascii="Arial" w:cs="Arial" w:eastAsia="Arial" w:hAnsi="Arial"/>
                <w:sz w:val="14"/>
                <w:szCs w:val="14"/>
                <w:color w:val="auto"/>
              </w:rPr>
              <w:t>Regulatory balancing accounts</w:t>
            </w:r>
          </w:p>
        </w:tc>
        <w:tc>
          <w:tcPr>
            <w:tcW w:w="200" w:type="dxa"/>
            <w:vAlign w:val="bottom"/>
          </w:tcPr>
          <w:p>
            <w:pPr>
              <w:spacing w:after="0"/>
              <w:rPr>
                <w:sz w:val="18"/>
                <w:szCs w:val="18"/>
                <w:color w:val="auto"/>
              </w:rPr>
            </w:pPr>
          </w:p>
        </w:tc>
        <w:tc>
          <w:tcPr>
            <w:tcW w:w="620" w:type="dxa"/>
            <w:vAlign w:val="bottom"/>
          </w:tcPr>
          <w:p>
            <w:pPr>
              <w:jc w:val="right"/>
              <w:ind w:right="69"/>
              <w:spacing w:after="0"/>
              <w:rPr>
                <w:sz w:val="20"/>
                <w:szCs w:val="20"/>
                <w:color w:val="auto"/>
              </w:rPr>
            </w:pPr>
            <w:r>
              <w:rPr>
                <w:rFonts w:ascii="Arial" w:cs="Arial" w:eastAsia="Arial" w:hAnsi="Arial"/>
                <w:sz w:val="14"/>
                <w:szCs w:val="14"/>
                <w:color w:val="auto"/>
              </w:rPr>
              <w:t>229</w:t>
            </w:r>
          </w:p>
        </w:tc>
        <w:tc>
          <w:tcPr>
            <w:tcW w:w="280" w:type="dxa"/>
            <w:vAlign w:val="bottom"/>
          </w:tcPr>
          <w:p>
            <w:pPr>
              <w:spacing w:after="0"/>
              <w:rPr>
                <w:sz w:val="18"/>
                <w:szCs w:val="18"/>
                <w:color w:val="auto"/>
              </w:rPr>
            </w:pPr>
          </w:p>
        </w:tc>
        <w:tc>
          <w:tcPr>
            <w:tcW w:w="660" w:type="dxa"/>
            <w:vAlign w:val="bottom"/>
            <w:tcBorders>
              <w:right w:val="single" w:sz="8" w:color="auto"/>
            </w:tcBorders>
          </w:tcPr>
          <w:p>
            <w:pPr>
              <w:jc w:val="right"/>
              <w:ind w:right="108"/>
              <w:spacing w:after="0"/>
              <w:rPr>
                <w:sz w:val="20"/>
                <w:szCs w:val="20"/>
                <w:color w:val="auto"/>
              </w:rPr>
            </w:pPr>
            <w:r>
              <w:rPr>
                <w:rFonts w:ascii="Arial" w:cs="Arial" w:eastAsia="Arial" w:hAnsi="Arial"/>
                <w:sz w:val="14"/>
                <w:szCs w:val="14"/>
                <w:color w:val="auto"/>
              </w:rPr>
              <w:t>82</w:t>
            </w:r>
          </w:p>
        </w:tc>
        <w:tc>
          <w:tcPr>
            <w:tcW w:w="2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413</w:t>
            </w:r>
          </w:p>
        </w:tc>
        <w:tc>
          <w:tcPr>
            <w:tcW w:w="380" w:type="dxa"/>
            <w:vAlign w:val="bottom"/>
          </w:tcPr>
          <w:p>
            <w:pPr>
              <w:spacing w:after="0"/>
              <w:rPr>
                <w:sz w:val="18"/>
                <w:szCs w:val="18"/>
                <w:color w:val="auto"/>
              </w:rPr>
            </w:pPr>
          </w:p>
        </w:tc>
        <w:tc>
          <w:tcPr>
            <w:tcW w:w="660" w:type="dxa"/>
            <w:vAlign w:val="bottom"/>
            <w:tcBorders>
              <w:right w:val="single" w:sz="8" w:color="auto"/>
            </w:tcBorders>
          </w:tcPr>
          <w:p>
            <w:pPr>
              <w:jc w:val="right"/>
              <w:ind w:right="108"/>
              <w:spacing w:after="0"/>
              <w:rPr>
                <w:sz w:val="20"/>
                <w:szCs w:val="20"/>
                <w:color w:val="auto"/>
              </w:rPr>
            </w:pPr>
            <w:r>
              <w:rPr>
                <w:rFonts w:ascii="Arial" w:cs="Arial" w:eastAsia="Arial" w:hAnsi="Arial"/>
                <w:sz w:val="14"/>
                <w:szCs w:val="14"/>
                <w:color w:val="auto"/>
              </w:rPr>
              <w:t>79</w:t>
            </w:r>
          </w:p>
        </w:tc>
        <w:tc>
          <w:tcPr>
            <w:tcW w:w="220" w:type="dxa"/>
            <w:vAlign w:val="bottom"/>
          </w:tcPr>
          <w:p>
            <w:pPr>
              <w:spacing w:after="0"/>
              <w:rPr>
                <w:sz w:val="18"/>
                <w:szCs w:val="18"/>
                <w:color w:val="auto"/>
              </w:rPr>
            </w:pPr>
          </w:p>
        </w:tc>
        <w:tc>
          <w:tcPr>
            <w:tcW w:w="600" w:type="dxa"/>
            <w:vAlign w:val="bottom"/>
          </w:tcPr>
          <w:p>
            <w:pPr>
              <w:jc w:val="right"/>
              <w:ind w:right="49"/>
              <w:spacing w:after="0"/>
              <w:rPr>
                <w:sz w:val="20"/>
                <w:szCs w:val="20"/>
                <w:color w:val="auto"/>
              </w:rPr>
            </w:pPr>
            <w:r>
              <w:rPr>
                <w:rFonts w:ascii="Arial" w:cs="Arial" w:eastAsia="Arial" w:hAnsi="Arial"/>
                <w:sz w:val="14"/>
                <w:szCs w:val="14"/>
                <w:color w:val="auto"/>
              </w:rPr>
              <w:t>413</w:t>
            </w:r>
          </w:p>
        </w:tc>
        <w:tc>
          <w:tcPr>
            <w:tcW w:w="3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79</w:t>
            </w:r>
          </w:p>
        </w:tc>
        <w:tc>
          <w:tcPr>
            <w:tcW w:w="140" w:type="dxa"/>
            <w:vAlign w:val="bottom"/>
          </w:tcPr>
          <w:p>
            <w:pPr>
              <w:spacing w:after="0"/>
              <w:rPr>
                <w:sz w:val="18"/>
                <w:szCs w:val="18"/>
                <w:color w:val="auto"/>
              </w:rPr>
            </w:pPr>
          </w:p>
        </w:tc>
      </w:tr>
      <w:tr>
        <w:trPr>
          <w:trHeight w:val="216"/>
        </w:trPr>
        <w:tc>
          <w:tcPr>
            <w:tcW w:w="2720" w:type="dxa"/>
            <w:vAlign w:val="bottom"/>
          </w:tcPr>
          <w:p>
            <w:pPr>
              <w:ind w:left="260"/>
              <w:spacing w:after="0"/>
              <w:rPr>
                <w:sz w:val="20"/>
                <w:szCs w:val="20"/>
                <w:color w:val="auto"/>
              </w:rPr>
            </w:pPr>
            <w:r>
              <w:rPr>
                <w:rFonts w:ascii="Arial" w:cs="Arial" w:eastAsia="Arial" w:hAnsi="Arial"/>
                <w:sz w:val="14"/>
                <w:szCs w:val="14"/>
                <w:color w:val="auto"/>
              </w:rPr>
              <w:t>Loss on reacquired debt</w:t>
            </w:r>
          </w:p>
        </w:tc>
        <w:tc>
          <w:tcPr>
            <w:tcW w:w="200" w:type="dxa"/>
            <w:vAlign w:val="bottom"/>
          </w:tcPr>
          <w:p>
            <w:pPr>
              <w:spacing w:after="0"/>
              <w:rPr>
                <w:sz w:val="18"/>
                <w:szCs w:val="18"/>
                <w:color w:val="auto"/>
              </w:rPr>
            </w:pPr>
          </w:p>
        </w:tc>
        <w:tc>
          <w:tcPr>
            <w:tcW w:w="620" w:type="dxa"/>
            <w:vAlign w:val="bottom"/>
          </w:tcPr>
          <w:p>
            <w:pPr>
              <w:jc w:val="right"/>
              <w:ind w:right="69"/>
              <w:spacing w:after="0"/>
              <w:rPr>
                <w:sz w:val="20"/>
                <w:szCs w:val="20"/>
                <w:color w:val="auto"/>
              </w:rPr>
            </w:pPr>
            <w:r>
              <w:rPr>
                <w:rFonts w:ascii="Arial" w:cs="Arial" w:eastAsia="Arial" w:hAnsi="Arial"/>
                <w:sz w:val="14"/>
                <w:szCs w:val="14"/>
                <w:color w:val="auto"/>
              </w:rPr>
              <w:t>10</w:t>
            </w:r>
          </w:p>
        </w:tc>
        <w:tc>
          <w:tcPr>
            <w:tcW w:w="280" w:type="dxa"/>
            <w:vAlign w:val="bottom"/>
          </w:tcPr>
          <w:p>
            <w:pPr>
              <w:spacing w:after="0"/>
              <w:rPr>
                <w:sz w:val="18"/>
                <w:szCs w:val="18"/>
                <w:color w:val="auto"/>
              </w:rPr>
            </w:pPr>
          </w:p>
        </w:tc>
        <w:tc>
          <w:tcPr>
            <w:tcW w:w="660" w:type="dxa"/>
            <w:vAlign w:val="bottom"/>
            <w:tcBorders>
              <w:right w:val="single" w:sz="8" w:color="auto"/>
            </w:tcBorders>
          </w:tcPr>
          <w:p>
            <w:pPr>
              <w:jc w:val="right"/>
              <w:ind w:right="108"/>
              <w:spacing w:after="0"/>
              <w:rPr>
                <w:sz w:val="20"/>
                <w:szCs w:val="20"/>
                <w:color w:val="auto"/>
              </w:rPr>
            </w:pPr>
            <w:r>
              <w:rPr>
                <w:rFonts w:ascii="Arial" w:cs="Arial" w:eastAsia="Arial" w:hAnsi="Arial"/>
                <w:sz w:val="14"/>
                <w:szCs w:val="14"/>
                <w:color w:val="auto"/>
              </w:rPr>
              <w:t>11</w:t>
            </w:r>
          </w:p>
        </w:tc>
        <w:tc>
          <w:tcPr>
            <w:tcW w:w="2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13</w:t>
            </w:r>
          </w:p>
        </w:tc>
        <w:tc>
          <w:tcPr>
            <w:tcW w:w="380" w:type="dxa"/>
            <w:vAlign w:val="bottom"/>
          </w:tcPr>
          <w:p>
            <w:pPr>
              <w:spacing w:after="0"/>
              <w:rPr>
                <w:sz w:val="18"/>
                <w:szCs w:val="18"/>
                <w:color w:val="auto"/>
              </w:rPr>
            </w:pPr>
          </w:p>
        </w:tc>
        <w:tc>
          <w:tcPr>
            <w:tcW w:w="660" w:type="dxa"/>
            <w:vAlign w:val="bottom"/>
            <w:tcBorders>
              <w:right w:val="single" w:sz="8" w:color="auto"/>
            </w:tcBorders>
          </w:tcPr>
          <w:p>
            <w:pPr>
              <w:jc w:val="right"/>
              <w:ind w:right="108"/>
              <w:spacing w:after="0"/>
              <w:rPr>
                <w:sz w:val="20"/>
                <w:szCs w:val="20"/>
                <w:color w:val="auto"/>
              </w:rPr>
            </w:pPr>
            <w:r>
              <w:rPr>
                <w:rFonts w:ascii="Arial" w:cs="Arial" w:eastAsia="Arial" w:hAnsi="Arial"/>
                <w:sz w:val="14"/>
                <w:szCs w:val="14"/>
                <w:color w:val="auto"/>
              </w:rPr>
              <w:t>14</w:t>
            </w:r>
          </w:p>
        </w:tc>
        <w:tc>
          <w:tcPr>
            <w:tcW w:w="220" w:type="dxa"/>
            <w:vAlign w:val="bottom"/>
          </w:tcPr>
          <w:p>
            <w:pPr>
              <w:spacing w:after="0"/>
              <w:rPr>
                <w:sz w:val="18"/>
                <w:szCs w:val="18"/>
                <w:color w:val="auto"/>
              </w:rPr>
            </w:pPr>
          </w:p>
        </w:tc>
        <w:tc>
          <w:tcPr>
            <w:tcW w:w="600" w:type="dxa"/>
            <w:vAlign w:val="bottom"/>
          </w:tcPr>
          <w:p>
            <w:pPr>
              <w:jc w:val="right"/>
              <w:ind w:right="49"/>
              <w:spacing w:after="0"/>
              <w:rPr>
                <w:sz w:val="20"/>
                <w:szCs w:val="20"/>
                <w:color w:val="auto"/>
              </w:rPr>
            </w:pPr>
            <w:r>
              <w:rPr>
                <w:rFonts w:ascii="Arial" w:cs="Arial" w:eastAsia="Arial" w:hAnsi="Arial"/>
                <w:sz w:val="14"/>
                <w:szCs w:val="14"/>
                <w:color w:val="auto"/>
              </w:rPr>
              <w:t>13</w:t>
            </w:r>
          </w:p>
        </w:tc>
        <w:tc>
          <w:tcPr>
            <w:tcW w:w="3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14</w:t>
            </w:r>
          </w:p>
        </w:tc>
        <w:tc>
          <w:tcPr>
            <w:tcW w:w="140" w:type="dxa"/>
            <w:vAlign w:val="bottom"/>
          </w:tcPr>
          <w:p>
            <w:pPr>
              <w:spacing w:after="0"/>
              <w:rPr>
                <w:sz w:val="18"/>
                <w:szCs w:val="18"/>
                <w:color w:val="auto"/>
              </w:rPr>
            </w:pPr>
          </w:p>
        </w:tc>
      </w:tr>
      <w:tr>
        <w:trPr>
          <w:trHeight w:val="216"/>
        </w:trPr>
        <w:tc>
          <w:tcPr>
            <w:tcW w:w="2720" w:type="dxa"/>
            <w:vAlign w:val="bottom"/>
          </w:tcPr>
          <w:p>
            <w:pPr>
              <w:ind w:left="260"/>
              <w:spacing w:after="0"/>
              <w:rPr>
                <w:sz w:val="20"/>
                <w:szCs w:val="20"/>
                <w:color w:val="auto"/>
              </w:rPr>
            </w:pPr>
            <w:r>
              <w:rPr>
                <w:rFonts w:ascii="Arial" w:cs="Arial" w:eastAsia="Arial" w:hAnsi="Arial"/>
                <w:sz w:val="14"/>
                <w:szCs w:val="14"/>
                <w:color w:val="auto"/>
              </w:rPr>
              <w:t>Property taxes</w:t>
            </w:r>
          </w:p>
        </w:tc>
        <w:tc>
          <w:tcPr>
            <w:tcW w:w="200" w:type="dxa"/>
            <w:vAlign w:val="bottom"/>
          </w:tcPr>
          <w:p>
            <w:pPr>
              <w:spacing w:after="0"/>
              <w:rPr>
                <w:sz w:val="18"/>
                <w:szCs w:val="18"/>
                <w:color w:val="auto"/>
              </w:rPr>
            </w:pPr>
          </w:p>
        </w:tc>
        <w:tc>
          <w:tcPr>
            <w:tcW w:w="620" w:type="dxa"/>
            <w:vAlign w:val="bottom"/>
          </w:tcPr>
          <w:p>
            <w:pPr>
              <w:jc w:val="right"/>
              <w:ind w:right="69"/>
              <w:spacing w:after="0"/>
              <w:rPr>
                <w:sz w:val="20"/>
                <w:szCs w:val="20"/>
                <w:color w:val="auto"/>
              </w:rPr>
            </w:pPr>
            <w:r>
              <w:rPr>
                <w:rFonts w:ascii="Arial" w:cs="Arial" w:eastAsia="Arial" w:hAnsi="Arial"/>
                <w:sz w:val="14"/>
                <w:szCs w:val="14"/>
                <w:color w:val="auto"/>
              </w:rPr>
              <w:t>20</w:t>
            </w:r>
          </w:p>
        </w:tc>
        <w:tc>
          <w:tcPr>
            <w:tcW w:w="280" w:type="dxa"/>
            <w:vAlign w:val="bottom"/>
          </w:tcPr>
          <w:p>
            <w:pPr>
              <w:spacing w:after="0"/>
              <w:rPr>
                <w:sz w:val="18"/>
                <w:szCs w:val="18"/>
                <w:color w:val="auto"/>
              </w:rPr>
            </w:pPr>
          </w:p>
        </w:tc>
        <w:tc>
          <w:tcPr>
            <w:tcW w:w="660" w:type="dxa"/>
            <w:vAlign w:val="bottom"/>
            <w:tcBorders>
              <w:right w:val="single" w:sz="8" w:color="auto"/>
            </w:tcBorders>
          </w:tcPr>
          <w:p>
            <w:pPr>
              <w:jc w:val="right"/>
              <w:ind w:right="108"/>
              <w:spacing w:after="0"/>
              <w:rPr>
                <w:sz w:val="20"/>
                <w:szCs w:val="20"/>
                <w:color w:val="auto"/>
              </w:rPr>
            </w:pPr>
            <w:r>
              <w:rPr>
                <w:rFonts w:ascii="Arial" w:cs="Arial" w:eastAsia="Arial" w:hAnsi="Arial"/>
                <w:sz w:val="14"/>
                <w:szCs w:val="14"/>
                <w:color w:val="auto"/>
              </w:rPr>
              <w:t>19</w:t>
            </w:r>
          </w:p>
        </w:tc>
        <w:tc>
          <w:tcPr>
            <w:tcW w:w="2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13</w:t>
            </w:r>
          </w:p>
        </w:tc>
        <w:tc>
          <w:tcPr>
            <w:tcW w:w="380" w:type="dxa"/>
            <w:vAlign w:val="bottom"/>
          </w:tcPr>
          <w:p>
            <w:pPr>
              <w:spacing w:after="0"/>
              <w:rPr>
                <w:sz w:val="18"/>
                <w:szCs w:val="18"/>
                <w:color w:val="auto"/>
              </w:rPr>
            </w:pPr>
          </w:p>
        </w:tc>
        <w:tc>
          <w:tcPr>
            <w:tcW w:w="660" w:type="dxa"/>
            <w:vAlign w:val="bottom"/>
            <w:tcBorders>
              <w:right w:val="single" w:sz="8" w:color="auto"/>
            </w:tcBorders>
          </w:tcPr>
          <w:p>
            <w:pPr>
              <w:jc w:val="right"/>
              <w:ind w:right="108"/>
              <w:spacing w:after="0"/>
              <w:rPr>
                <w:sz w:val="20"/>
                <w:szCs w:val="20"/>
                <w:color w:val="auto"/>
              </w:rPr>
            </w:pPr>
            <w:r>
              <w:rPr>
                <w:rFonts w:ascii="Arial" w:cs="Arial" w:eastAsia="Arial" w:hAnsi="Arial"/>
                <w:sz w:val="14"/>
                <w:szCs w:val="14"/>
                <w:color w:val="auto"/>
              </w:rPr>
              <w:t>12</w:t>
            </w:r>
          </w:p>
        </w:tc>
        <w:tc>
          <w:tcPr>
            <w:tcW w:w="220" w:type="dxa"/>
            <w:vAlign w:val="bottom"/>
          </w:tcPr>
          <w:p>
            <w:pPr>
              <w:spacing w:after="0"/>
              <w:rPr>
                <w:sz w:val="18"/>
                <w:szCs w:val="18"/>
                <w:color w:val="auto"/>
              </w:rPr>
            </w:pPr>
          </w:p>
        </w:tc>
        <w:tc>
          <w:tcPr>
            <w:tcW w:w="600" w:type="dxa"/>
            <w:vAlign w:val="bottom"/>
          </w:tcPr>
          <w:p>
            <w:pPr>
              <w:jc w:val="right"/>
              <w:ind w:right="49"/>
              <w:spacing w:after="0"/>
              <w:rPr>
                <w:sz w:val="20"/>
                <w:szCs w:val="20"/>
                <w:color w:val="auto"/>
              </w:rPr>
            </w:pPr>
            <w:r>
              <w:rPr>
                <w:rFonts w:ascii="Arial" w:cs="Arial" w:eastAsia="Arial" w:hAnsi="Arial"/>
                <w:sz w:val="14"/>
                <w:szCs w:val="14"/>
                <w:color w:val="auto"/>
              </w:rPr>
              <w:t>13</w:t>
            </w:r>
          </w:p>
        </w:tc>
        <w:tc>
          <w:tcPr>
            <w:tcW w:w="3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12</w:t>
            </w:r>
          </w:p>
        </w:tc>
        <w:tc>
          <w:tcPr>
            <w:tcW w:w="140" w:type="dxa"/>
            <w:vAlign w:val="bottom"/>
          </w:tcPr>
          <w:p>
            <w:pPr>
              <w:spacing w:after="0"/>
              <w:rPr>
                <w:sz w:val="18"/>
                <w:szCs w:val="18"/>
                <w:color w:val="auto"/>
              </w:rPr>
            </w:pPr>
          </w:p>
        </w:tc>
      </w:tr>
      <w:tr>
        <w:trPr>
          <w:trHeight w:val="222"/>
        </w:trPr>
        <w:tc>
          <w:tcPr>
            <w:tcW w:w="2720" w:type="dxa"/>
            <w:vAlign w:val="bottom"/>
          </w:tcPr>
          <w:p>
            <w:pPr>
              <w:ind w:left="260"/>
              <w:spacing w:after="0"/>
              <w:rPr>
                <w:sz w:val="20"/>
                <w:szCs w:val="20"/>
                <w:color w:val="auto"/>
              </w:rPr>
            </w:pPr>
            <w:r>
              <w:rPr>
                <w:rFonts w:ascii="Arial" w:cs="Arial" w:eastAsia="Arial" w:hAnsi="Arial"/>
                <w:sz w:val="14"/>
                <w:szCs w:val="14"/>
                <w:color w:val="auto"/>
              </w:rPr>
              <w:t>Other</w:t>
            </w:r>
          </w:p>
        </w:tc>
        <w:tc>
          <w:tcPr>
            <w:tcW w:w="2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tcPr>
          <w:p>
            <w:pPr>
              <w:spacing w:after="0"/>
              <w:rPr>
                <w:sz w:val="19"/>
                <w:szCs w:val="19"/>
                <w:color w:val="auto"/>
              </w:rPr>
            </w:pPr>
          </w:p>
        </w:tc>
        <w:tc>
          <w:tcPr>
            <w:tcW w:w="660" w:type="dxa"/>
            <w:vAlign w:val="bottom"/>
            <w:tcBorders>
              <w:bottom w:val="single" w:sz="8" w:color="auto"/>
              <w:right w:val="single" w:sz="8" w:color="auto"/>
            </w:tcBorders>
          </w:tcPr>
          <w:p>
            <w:pPr>
              <w:jc w:val="right"/>
              <w:ind w:right="108"/>
              <w:spacing w:after="0"/>
              <w:rPr>
                <w:sz w:val="20"/>
                <w:szCs w:val="20"/>
                <w:color w:val="auto"/>
              </w:rPr>
            </w:pPr>
            <w:r>
              <w:rPr>
                <w:rFonts w:ascii="Arial" w:cs="Arial" w:eastAsia="Arial" w:hAnsi="Arial"/>
                <w:sz w:val="14"/>
                <w:szCs w:val="14"/>
                <w:color w:val="auto"/>
              </w:rPr>
              <w:t>5</w:t>
            </w:r>
          </w:p>
        </w:tc>
        <w:tc>
          <w:tcPr>
            <w:tcW w:w="2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auto"/>
            </w:tcBorders>
          </w:tcPr>
          <w:p>
            <w:pPr>
              <w:spacing w:after="0"/>
              <w:rPr>
                <w:sz w:val="19"/>
                <w:szCs w:val="19"/>
                <w:color w:val="auto"/>
              </w:rPr>
            </w:pPr>
          </w:p>
        </w:tc>
        <w:tc>
          <w:tcPr>
            <w:tcW w:w="660" w:type="dxa"/>
            <w:vAlign w:val="bottom"/>
            <w:tcBorders>
              <w:bottom w:val="single" w:sz="8" w:color="auto"/>
              <w:right w:val="single" w:sz="8" w:color="auto"/>
            </w:tcBorders>
          </w:tcPr>
          <w:p>
            <w:pPr>
              <w:jc w:val="right"/>
              <w:ind w:right="108"/>
              <w:spacing w:after="0"/>
              <w:rPr>
                <w:sz w:val="20"/>
                <w:szCs w:val="20"/>
                <w:color w:val="auto"/>
              </w:rPr>
            </w:pPr>
            <w:r>
              <w:rPr>
                <w:rFonts w:ascii="Arial" w:cs="Arial" w:eastAsia="Arial" w:hAnsi="Arial"/>
                <w:sz w:val="14"/>
                <w:szCs w:val="14"/>
                <w:color w:val="auto"/>
              </w:rPr>
              <w:t>3</w:t>
            </w:r>
          </w:p>
        </w:tc>
        <w:tc>
          <w:tcPr>
            <w:tcW w:w="2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w:t>
            </w:r>
          </w:p>
        </w:tc>
        <w:tc>
          <w:tcPr>
            <w:tcW w:w="140" w:type="dxa"/>
            <w:vAlign w:val="bottom"/>
          </w:tcPr>
          <w:p>
            <w:pPr>
              <w:spacing w:after="0"/>
              <w:rPr>
                <w:sz w:val="19"/>
                <w:szCs w:val="19"/>
                <w:color w:val="auto"/>
              </w:rPr>
            </w:pPr>
          </w:p>
        </w:tc>
      </w:tr>
      <w:tr>
        <w:trPr>
          <w:trHeight w:val="208"/>
        </w:trPr>
        <w:tc>
          <w:tcPr>
            <w:tcW w:w="2720" w:type="dxa"/>
            <w:vAlign w:val="bottom"/>
          </w:tcPr>
          <w:p>
            <w:pPr>
              <w:ind w:left="480"/>
              <w:spacing w:after="0"/>
              <w:rPr>
                <w:sz w:val="20"/>
                <w:szCs w:val="20"/>
                <w:color w:val="auto"/>
              </w:rPr>
            </w:pPr>
            <w:r>
              <w:rPr>
                <w:rFonts w:ascii="Arial" w:cs="Arial" w:eastAsia="Arial" w:hAnsi="Arial"/>
                <w:sz w:val="14"/>
                <w:szCs w:val="14"/>
                <w:color w:val="auto"/>
              </w:rPr>
              <w:t>Total deferred tax liabilities</w:t>
            </w:r>
          </w:p>
        </w:tc>
        <w:tc>
          <w:tcPr>
            <w:tcW w:w="2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884</w:t>
            </w:r>
          </w:p>
        </w:tc>
        <w:tc>
          <w:tcPr>
            <w:tcW w:w="280" w:type="dxa"/>
            <w:vAlign w:val="bottom"/>
            <w:tcBorders>
              <w:bottom w:val="single" w:sz="8" w:color="auto"/>
            </w:tcBorders>
          </w:tcPr>
          <w:p>
            <w:pPr>
              <w:spacing w:after="0"/>
              <w:rPr>
                <w:sz w:val="18"/>
                <w:szCs w:val="18"/>
                <w:color w:val="auto"/>
              </w:rPr>
            </w:pPr>
          </w:p>
        </w:tc>
        <w:tc>
          <w:tcPr>
            <w:tcW w:w="660" w:type="dxa"/>
            <w:vAlign w:val="bottom"/>
            <w:tcBorders>
              <w:bottom w:val="single" w:sz="8" w:color="auto"/>
              <w:right w:val="single" w:sz="8" w:color="auto"/>
            </w:tcBorders>
          </w:tcPr>
          <w:p>
            <w:pPr>
              <w:jc w:val="right"/>
              <w:ind w:right="108"/>
              <w:spacing w:after="0"/>
              <w:rPr>
                <w:sz w:val="20"/>
                <w:szCs w:val="20"/>
                <w:color w:val="auto"/>
              </w:rPr>
            </w:pPr>
            <w:r>
              <w:rPr>
                <w:rFonts w:ascii="Arial" w:cs="Arial" w:eastAsia="Arial" w:hAnsi="Arial"/>
                <w:sz w:val="14"/>
                <w:szCs w:val="14"/>
                <w:color w:val="auto"/>
              </w:rPr>
              <w:t>598</w:t>
            </w:r>
          </w:p>
        </w:tc>
        <w:tc>
          <w:tcPr>
            <w:tcW w:w="2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717</w:t>
            </w:r>
          </w:p>
        </w:tc>
        <w:tc>
          <w:tcPr>
            <w:tcW w:w="380" w:type="dxa"/>
            <w:vAlign w:val="bottom"/>
            <w:tcBorders>
              <w:bottom w:val="single" w:sz="8" w:color="auto"/>
            </w:tcBorders>
          </w:tcPr>
          <w:p>
            <w:pPr>
              <w:spacing w:after="0"/>
              <w:rPr>
                <w:sz w:val="18"/>
                <w:szCs w:val="18"/>
                <w:color w:val="auto"/>
              </w:rPr>
            </w:pPr>
          </w:p>
        </w:tc>
        <w:tc>
          <w:tcPr>
            <w:tcW w:w="660" w:type="dxa"/>
            <w:vAlign w:val="bottom"/>
            <w:tcBorders>
              <w:bottom w:val="single" w:sz="8" w:color="auto"/>
              <w:right w:val="single" w:sz="8" w:color="auto"/>
            </w:tcBorders>
          </w:tcPr>
          <w:p>
            <w:pPr>
              <w:jc w:val="right"/>
              <w:ind w:right="108"/>
              <w:spacing w:after="0"/>
              <w:rPr>
                <w:sz w:val="20"/>
                <w:szCs w:val="20"/>
                <w:color w:val="auto"/>
              </w:rPr>
            </w:pPr>
            <w:r>
              <w:rPr>
                <w:rFonts w:ascii="Arial" w:cs="Arial" w:eastAsia="Arial" w:hAnsi="Arial"/>
                <w:sz w:val="14"/>
                <w:szCs w:val="14"/>
                <w:color w:val="auto"/>
              </w:rPr>
              <w:t>314</w:t>
            </w:r>
          </w:p>
        </w:tc>
        <w:tc>
          <w:tcPr>
            <w:tcW w:w="2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720</w:t>
            </w:r>
          </w:p>
        </w:tc>
        <w:tc>
          <w:tcPr>
            <w:tcW w:w="3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318</w:t>
            </w:r>
          </w:p>
        </w:tc>
        <w:tc>
          <w:tcPr>
            <w:tcW w:w="140" w:type="dxa"/>
            <w:vAlign w:val="bottom"/>
          </w:tcPr>
          <w:p>
            <w:pPr>
              <w:spacing w:after="0"/>
              <w:rPr>
                <w:sz w:val="18"/>
                <w:szCs w:val="18"/>
                <w:color w:val="auto"/>
              </w:rPr>
            </w:pPr>
          </w:p>
        </w:tc>
      </w:tr>
      <w:tr>
        <w:trPr>
          <w:trHeight w:val="202"/>
        </w:trPr>
        <w:tc>
          <w:tcPr>
            <w:tcW w:w="2720" w:type="dxa"/>
            <w:vAlign w:val="bottom"/>
          </w:tcPr>
          <w:p>
            <w:pPr>
              <w:ind w:left="20"/>
              <w:spacing w:after="0"/>
              <w:rPr>
                <w:sz w:val="20"/>
                <w:szCs w:val="20"/>
                <w:color w:val="auto"/>
              </w:rPr>
            </w:pPr>
            <w:r>
              <w:rPr>
                <w:rFonts w:ascii="Arial" w:cs="Arial" w:eastAsia="Arial" w:hAnsi="Arial"/>
                <w:sz w:val="14"/>
                <w:szCs w:val="14"/>
                <w:color w:val="auto"/>
              </w:rPr>
              <w:t>Deferred tax assets:</w:t>
            </w: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60" w:type="dxa"/>
            <w:vAlign w:val="bottom"/>
            <w:tcBorders>
              <w:right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60" w:type="dxa"/>
            <w:vAlign w:val="bottom"/>
            <w:tcBorders>
              <w:right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16"/>
        </w:trPr>
        <w:tc>
          <w:tcPr>
            <w:tcW w:w="2720" w:type="dxa"/>
            <w:vAlign w:val="bottom"/>
          </w:tcPr>
          <w:p>
            <w:pPr>
              <w:ind w:left="260"/>
              <w:spacing w:after="0"/>
              <w:rPr>
                <w:sz w:val="20"/>
                <w:szCs w:val="20"/>
                <w:color w:val="auto"/>
              </w:rPr>
            </w:pPr>
            <w:r>
              <w:rPr>
                <w:rFonts w:ascii="Arial" w:cs="Arial" w:eastAsia="Arial" w:hAnsi="Arial"/>
                <w:sz w:val="14"/>
                <w:szCs w:val="14"/>
                <w:color w:val="auto"/>
              </w:rPr>
              <w:t>Postretirement benefits</w:t>
            </w:r>
          </w:p>
        </w:tc>
        <w:tc>
          <w:tcPr>
            <w:tcW w:w="200" w:type="dxa"/>
            <w:vAlign w:val="bottom"/>
          </w:tcPr>
          <w:p>
            <w:pPr>
              <w:spacing w:after="0"/>
              <w:rPr>
                <w:sz w:val="18"/>
                <w:szCs w:val="18"/>
                <w:color w:val="auto"/>
              </w:rPr>
            </w:pPr>
          </w:p>
        </w:tc>
        <w:tc>
          <w:tcPr>
            <w:tcW w:w="620" w:type="dxa"/>
            <w:vAlign w:val="bottom"/>
          </w:tcPr>
          <w:p>
            <w:pPr>
              <w:jc w:val="right"/>
              <w:ind w:right="69"/>
              <w:spacing w:after="0"/>
              <w:rPr>
                <w:sz w:val="20"/>
                <w:szCs w:val="20"/>
                <w:color w:val="auto"/>
              </w:rPr>
            </w:pPr>
            <w:r>
              <w:rPr>
                <w:rFonts w:ascii="Arial" w:cs="Arial" w:eastAsia="Arial" w:hAnsi="Arial"/>
                <w:sz w:val="14"/>
                <w:szCs w:val="14"/>
                <w:color w:val="auto"/>
              </w:rPr>
              <w:t>173</w:t>
            </w:r>
          </w:p>
        </w:tc>
        <w:tc>
          <w:tcPr>
            <w:tcW w:w="280" w:type="dxa"/>
            <w:vAlign w:val="bottom"/>
          </w:tcPr>
          <w:p>
            <w:pPr>
              <w:spacing w:after="0"/>
              <w:rPr>
                <w:sz w:val="18"/>
                <w:szCs w:val="18"/>
                <w:color w:val="auto"/>
              </w:rPr>
            </w:pPr>
          </w:p>
        </w:tc>
        <w:tc>
          <w:tcPr>
            <w:tcW w:w="660" w:type="dxa"/>
            <w:vAlign w:val="bottom"/>
            <w:tcBorders>
              <w:right w:val="single" w:sz="8" w:color="auto"/>
            </w:tcBorders>
          </w:tcPr>
          <w:p>
            <w:pPr>
              <w:jc w:val="right"/>
              <w:ind w:right="108"/>
              <w:spacing w:after="0"/>
              <w:rPr>
                <w:sz w:val="20"/>
                <w:szCs w:val="20"/>
                <w:color w:val="auto"/>
              </w:rPr>
            </w:pPr>
            <w:r>
              <w:rPr>
                <w:rFonts w:ascii="Arial" w:cs="Arial" w:eastAsia="Arial" w:hAnsi="Arial"/>
                <w:sz w:val="14"/>
                <w:szCs w:val="14"/>
                <w:color w:val="auto"/>
              </w:rPr>
              <w:t>78</w:t>
            </w:r>
          </w:p>
        </w:tc>
        <w:tc>
          <w:tcPr>
            <w:tcW w:w="2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357</w:t>
            </w:r>
          </w:p>
        </w:tc>
        <w:tc>
          <w:tcPr>
            <w:tcW w:w="380" w:type="dxa"/>
            <w:vAlign w:val="bottom"/>
          </w:tcPr>
          <w:p>
            <w:pPr>
              <w:spacing w:after="0"/>
              <w:rPr>
                <w:sz w:val="18"/>
                <w:szCs w:val="18"/>
                <w:color w:val="auto"/>
              </w:rPr>
            </w:pPr>
          </w:p>
        </w:tc>
        <w:tc>
          <w:tcPr>
            <w:tcW w:w="660" w:type="dxa"/>
            <w:vAlign w:val="bottom"/>
            <w:tcBorders>
              <w:right w:val="single" w:sz="8" w:color="auto"/>
            </w:tcBorders>
          </w:tcPr>
          <w:p>
            <w:pPr>
              <w:jc w:val="right"/>
              <w:ind w:right="108"/>
              <w:spacing w:after="0"/>
              <w:rPr>
                <w:sz w:val="20"/>
                <w:szCs w:val="20"/>
                <w:color w:val="auto"/>
              </w:rPr>
            </w:pPr>
            <w:r>
              <w:rPr>
                <w:rFonts w:ascii="Arial" w:cs="Arial" w:eastAsia="Arial" w:hAnsi="Arial"/>
                <w:sz w:val="14"/>
                <w:szCs w:val="14"/>
                <w:color w:val="auto"/>
              </w:rPr>
              <w:t>48</w:t>
            </w:r>
          </w:p>
        </w:tc>
        <w:tc>
          <w:tcPr>
            <w:tcW w:w="220" w:type="dxa"/>
            <w:vAlign w:val="bottom"/>
          </w:tcPr>
          <w:p>
            <w:pPr>
              <w:spacing w:after="0"/>
              <w:rPr>
                <w:sz w:val="18"/>
                <w:szCs w:val="18"/>
                <w:color w:val="auto"/>
              </w:rPr>
            </w:pPr>
          </w:p>
        </w:tc>
        <w:tc>
          <w:tcPr>
            <w:tcW w:w="600" w:type="dxa"/>
            <w:vAlign w:val="bottom"/>
          </w:tcPr>
          <w:p>
            <w:pPr>
              <w:jc w:val="right"/>
              <w:ind w:right="49"/>
              <w:spacing w:after="0"/>
              <w:rPr>
                <w:sz w:val="20"/>
                <w:szCs w:val="20"/>
                <w:color w:val="auto"/>
              </w:rPr>
            </w:pPr>
            <w:r>
              <w:rPr>
                <w:rFonts w:ascii="Arial" w:cs="Arial" w:eastAsia="Arial" w:hAnsi="Arial"/>
                <w:sz w:val="14"/>
                <w:szCs w:val="14"/>
                <w:color w:val="auto"/>
              </w:rPr>
              <w:t>359</w:t>
            </w:r>
          </w:p>
        </w:tc>
        <w:tc>
          <w:tcPr>
            <w:tcW w:w="3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48</w:t>
            </w:r>
          </w:p>
        </w:tc>
        <w:tc>
          <w:tcPr>
            <w:tcW w:w="140" w:type="dxa"/>
            <w:vAlign w:val="bottom"/>
          </w:tcPr>
          <w:p>
            <w:pPr>
              <w:spacing w:after="0"/>
              <w:rPr>
                <w:sz w:val="18"/>
                <w:szCs w:val="18"/>
                <w:color w:val="auto"/>
              </w:rPr>
            </w:pPr>
          </w:p>
        </w:tc>
      </w:tr>
      <w:tr>
        <w:trPr>
          <w:trHeight w:val="216"/>
        </w:trPr>
        <w:tc>
          <w:tcPr>
            <w:tcW w:w="2720" w:type="dxa"/>
            <w:vAlign w:val="bottom"/>
          </w:tcPr>
          <w:p>
            <w:pPr>
              <w:ind w:left="260"/>
              <w:spacing w:after="0"/>
              <w:rPr>
                <w:sz w:val="20"/>
                <w:szCs w:val="20"/>
                <w:color w:val="auto"/>
              </w:rPr>
            </w:pPr>
            <w:r>
              <w:rPr>
                <w:rFonts w:ascii="Arial" w:cs="Arial" w:eastAsia="Arial" w:hAnsi="Arial"/>
                <w:sz w:val="14"/>
                <w:szCs w:val="14"/>
                <w:color w:val="auto"/>
              </w:rPr>
              <w:t>Investment tax credits</w:t>
            </w:r>
          </w:p>
        </w:tc>
        <w:tc>
          <w:tcPr>
            <w:tcW w:w="200" w:type="dxa"/>
            <w:vAlign w:val="bottom"/>
          </w:tcPr>
          <w:p>
            <w:pPr>
              <w:spacing w:after="0"/>
              <w:rPr>
                <w:sz w:val="18"/>
                <w:szCs w:val="18"/>
                <w:color w:val="auto"/>
              </w:rPr>
            </w:pPr>
          </w:p>
        </w:tc>
        <w:tc>
          <w:tcPr>
            <w:tcW w:w="620" w:type="dxa"/>
            <w:vAlign w:val="bottom"/>
          </w:tcPr>
          <w:p>
            <w:pPr>
              <w:jc w:val="right"/>
              <w:ind w:right="69"/>
              <w:spacing w:after="0"/>
              <w:rPr>
                <w:sz w:val="20"/>
                <w:szCs w:val="20"/>
                <w:color w:val="auto"/>
              </w:rPr>
            </w:pPr>
            <w:r>
              <w:rPr>
                <w:rFonts w:ascii="Arial" w:cs="Arial" w:eastAsia="Arial" w:hAnsi="Arial"/>
                <w:sz w:val="14"/>
                <w:szCs w:val="14"/>
                <w:color w:val="auto"/>
              </w:rPr>
              <w:t>18</w:t>
            </w:r>
          </w:p>
        </w:tc>
        <w:tc>
          <w:tcPr>
            <w:tcW w:w="280" w:type="dxa"/>
            <w:vAlign w:val="bottom"/>
          </w:tcPr>
          <w:p>
            <w:pPr>
              <w:spacing w:after="0"/>
              <w:rPr>
                <w:sz w:val="18"/>
                <w:szCs w:val="18"/>
                <w:color w:val="auto"/>
              </w:rPr>
            </w:pPr>
          </w:p>
        </w:tc>
        <w:tc>
          <w:tcPr>
            <w:tcW w:w="660" w:type="dxa"/>
            <w:vAlign w:val="bottom"/>
            <w:tcBorders>
              <w:right w:val="single" w:sz="8" w:color="auto"/>
            </w:tcBorders>
          </w:tcPr>
          <w:p>
            <w:pPr>
              <w:jc w:val="right"/>
              <w:ind w:right="108"/>
              <w:spacing w:after="0"/>
              <w:rPr>
                <w:sz w:val="20"/>
                <w:szCs w:val="20"/>
                <w:color w:val="auto"/>
              </w:rPr>
            </w:pPr>
            <w:r>
              <w:rPr>
                <w:rFonts w:ascii="Arial" w:cs="Arial" w:eastAsia="Arial" w:hAnsi="Arial"/>
                <w:sz w:val="14"/>
                <w:szCs w:val="14"/>
                <w:color w:val="auto"/>
              </w:rPr>
              <w:t>20</w:t>
            </w:r>
          </w:p>
        </w:tc>
        <w:tc>
          <w:tcPr>
            <w:tcW w:w="2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21</w:t>
            </w:r>
          </w:p>
        </w:tc>
        <w:tc>
          <w:tcPr>
            <w:tcW w:w="380" w:type="dxa"/>
            <w:vAlign w:val="bottom"/>
          </w:tcPr>
          <w:p>
            <w:pPr>
              <w:spacing w:after="0"/>
              <w:rPr>
                <w:sz w:val="18"/>
                <w:szCs w:val="18"/>
                <w:color w:val="auto"/>
              </w:rPr>
            </w:pPr>
          </w:p>
        </w:tc>
        <w:tc>
          <w:tcPr>
            <w:tcW w:w="660" w:type="dxa"/>
            <w:vAlign w:val="bottom"/>
            <w:tcBorders>
              <w:right w:val="single" w:sz="8" w:color="auto"/>
            </w:tcBorders>
          </w:tcPr>
          <w:p>
            <w:pPr>
              <w:jc w:val="right"/>
              <w:ind w:right="108"/>
              <w:spacing w:after="0"/>
              <w:rPr>
                <w:sz w:val="20"/>
                <w:szCs w:val="20"/>
                <w:color w:val="auto"/>
              </w:rPr>
            </w:pPr>
            <w:r>
              <w:rPr>
                <w:rFonts w:ascii="Arial" w:cs="Arial" w:eastAsia="Arial" w:hAnsi="Arial"/>
                <w:sz w:val="14"/>
                <w:szCs w:val="14"/>
                <w:color w:val="auto"/>
              </w:rPr>
              <w:t>23</w:t>
            </w:r>
          </w:p>
        </w:tc>
        <w:tc>
          <w:tcPr>
            <w:tcW w:w="220" w:type="dxa"/>
            <w:vAlign w:val="bottom"/>
          </w:tcPr>
          <w:p>
            <w:pPr>
              <w:spacing w:after="0"/>
              <w:rPr>
                <w:sz w:val="18"/>
                <w:szCs w:val="18"/>
                <w:color w:val="auto"/>
              </w:rPr>
            </w:pPr>
          </w:p>
        </w:tc>
        <w:tc>
          <w:tcPr>
            <w:tcW w:w="600" w:type="dxa"/>
            <w:vAlign w:val="bottom"/>
          </w:tcPr>
          <w:p>
            <w:pPr>
              <w:jc w:val="right"/>
              <w:ind w:right="49"/>
              <w:spacing w:after="0"/>
              <w:rPr>
                <w:sz w:val="20"/>
                <w:szCs w:val="20"/>
                <w:color w:val="auto"/>
              </w:rPr>
            </w:pPr>
            <w:r>
              <w:rPr>
                <w:rFonts w:ascii="Arial" w:cs="Arial" w:eastAsia="Arial" w:hAnsi="Arial"/>
                <w:sz w:val="14"/>
                <w:szCs w:val="14"/>
                <w:color w:val="auto"/>
              </w:rPr>
              <w:t>21</w:t>
            </w:r>
          </w:p>
        </w:tc>
        <w:tc>
          <w:tcPr>
            <w:tcW w:w="3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23</w:t>
            </w:r>
          </w:p>
        </w:tc>
        <w:tc>
          <w:tcPr>
            <w:tcW w:w="140" w:type="dxa"/>
            <w:vAlign w:val="bottom"/>
          </w:tcPr>
          <w:p>
            <w:pPr>
              <w:spacing w:after="0"/>
              <w:rPr>
                <w:sz w:val="18"/>
                <w:szCs w:val="18"/>
                <w:color w:val="auto"/>
              </w:rPr>
            </w:pPr>
          </w:p>
        </w:tc>
      </w:tr>
      <w:tr>
        <w:trPr>
          <w:trHeight w:val="216"/>
        </w:trPr>
        <w:tc>
          <w:tcPr>
            <w:tcW w:w="2720" w:type="dxa"/>
            <w:vAlign w:val="bottom"/>
          </w:tcPr>
          <w:p>
            <w:pPr>
              <w:ind w:left="260"/>
              <w:spacing w:after="0"/>
              <w:rPr>
                <w:sz w:val="20"/>
                <w:szCs w:val="20"/>
                <w:color w:val="auto"/>
              </w:rPr>
            </w:pPr>
            <w:r>
              <w:rPr>
                <w:rFonts w:ascii="Arial" w:cs="Arial" w:eastAsia="Arial" w:hAnsi="Arial"/>
                <w:sz w:val="14"/>
                <w:szCs w:val="14"/>
                <w:color w:val="auto"/>
              </w:rPr>
              <w:t>Compensation-related items</w:t>
            </w:r>
          </w:p>
        </w:tc>
        <w:tc>
          <w:tcPr>
            <w:tcW w:w="200" w:type="dxa"/>
            <w:vAlign w:val="bottom"/>
          </w:tcPr>
          <w:p>
            <w:pPr>
              <w:spacing w:after="0"/>
              <w:rPr>
                <w:sz w:val="18"/>
                <w:szCs w:val="18"/>
                <w:color w:val="auto"/>
              </w:rPr>
            </w:pPr>
          </w:p>
        </w:tc>
        <w:tc>
          <w:tcPr>
            <w:tcW w:w="620" w:type="dxa"/>
            <w:vAlign w:val="bottom"/>
          </w:tcPr>
          <w:p>
            <w:pPr>
              <w:jc w:val="right"/>
              <w:ind w:right="69"/>
              <w:spacing w:after="0"/>
              <w:rPr>
                <w:sz w:val="20"/>
                <w:szCs w:val="20"/>
                <w:color w:val="auto"/>
              </w:rPr>
            </w:pPr>
            <w:r>
              <w:rPr>
                <w:rFonts w:ascii="Arial" w:cs="Arial" w:eastAsia="Arial" w:hAnsi="Arial"/>
                <w:sz w:val="14"/>
                <w:szCs w:val="14"/>
                <w:color w:val="auto"/>
              </w:rPr>
              <w:t>14</w:t>
            </w:r>
          </w:p>
        </w:tc>
        <w:tc>
          <w:tcPr>
            <w:tcW w:w="280" w:type="dxa"/>
            <w:vAlign w:val="bottom"/>
          </w:tcPr>
          <w:p>
            <w:pPr>
              <w:spacing w:after="0"/>
              <w:rPr>
                <w:sz w:val="18"/>
                <w:szCs w:val="18"/>
                <w:color w:val="auto"/>
              </w:rPr>
            </w:pPr>
          </w:p>
        </w:tc>
        <w:tc>
          <w:tcPr>
            <w:tcW w:w="660" w:type="dxa"/>
            <w:vAlign w:val="bottom"/>
            <w:tcBorders>
              <w:right w:val="single" w:sz="8" w:color="auto"/>
            </w:tcBorders>
          </w:tcPr>
          <w:p>
            <w:pPr>
              <w:jc w:val="right"/>
              <w:ind w:right="108"/>
              <w:spacing w:after="0"/>
              <w:rPr>
                <w:sz w:val="20"/>
                <w:szCs w:val="20"/>
                <w:color w:val="auto"/>
              </w:rPr>
            </w:pPr>
            <w:r>
              <w:rPr>
                <w:rFonts w:ascii="Arial" w:cs="Arial" w:eastAsia="Arial" w:hAnsi="Arial"/>
                <w:sz w:val="14"/>
                <w:szCs w:val="14"/>
                <w:color w:val="auto"/>
              </w:rPr>
              <w:t>14</w:t>
            </w:r>
          </w:p>
        </w:tc>
        <w:tc>
          <w:tcPr>
            <w:tcW w:w="2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49</w:t>
            </w:r>
          </w:p>
        </w:tc>
        <w:tc>
          <w:tcPr>
            <w:tcW w:w="380" w:type="dxa"/>
            <w:vAlign w:val="bottom"/>
          </w:tcPr>
          <w:p>
            <w:pPr>
              <w:spacing w:after="0"/>
              <w:rPr>
                <w:sz w:val="18"/>
                <w:szCs w:val="18"/>
                <w:color w:val="auto"/>
              </w:rPr>
            </w:pPr>
          </w:p>
        </w:tc>
        <w:tc>
          <w:tcPr>
            <w:tcW w:w="660" w:type="dxa"/>
            <w:vAlign w:val="bottom"/>
            <w:tcBorders>
              <w:right w:val="single" w:sz="8" w:color="auto"/>
            </w:tcBorders>
          </w:tcPr>
          <w:p>
            <w:pPr>
              <w:jc w:val="right"/>
              <w:ind w:right="108"/>
              <w:spacing w:after="0"/>
              <w:rPr>
                <w:sz w:val="20"/>
                <w:szCs w:val="20"/>
                <w:color w:val="auto"/>
              </w:rPr>
            </w:pPr>
            <w:r>
              <w:rPr>
                <w:rFonts w:ascii="Arial" w:cs="Arial" w:eastAsia="Arial" w:hAnsi="Arial"/>
                <w:sz w:val="14"/>
                <w:szCs w:val="14"/>
                <w:color w:val="auto"/>
              </w:rPr>
              <w:t>45</w:t>
            </w:r>
          </w:p>
        </w:tc>
        <w:tc>
          <w:tcPr>
            <w:tcW w:w="220" w:type="dxa"/>
            <w:vAlign w:val="bottom"/>
          </w:tcPr>
          <w:p>
            <w:pPr>
              <w:spacing w:after="0"/>
              <w:rPr>
                <w:sz w:val="18"/>
                <w:szCs w:val="18"/>
                <w:color w:val="auto"/>
              </w:rPr>
            </w:pPr>
          </w:p>
        </w:tc>
        <w:tc>
          <w:tcPr>
            <w:tcW w:w="600" w:type="dxa"/>
            <w:vAlign w:val="bottom"/>
          </w:tcPr>
          <w:p>
            <w:pPr>
              <w:jc w:val="right"/>
              <w:ind w:right="49"/>
              <w:spacing w:after="0"/>
              <w:rPr>
                <w:sz w:val="20"/>
                <w:szCs w:val="20"/>
                <w:color w:val="auto"/>
              </w:rPr>
            </w:pPr>
            <w:r>
              <w:rPr>
                <w:rFonts w:ascii="Arial" w:cs="Arial" w:eastAsia="Arial" w:hAnsi="Arial"/>
                <w:sz w:val="14"/>
                <w:szCs w:val="14"/>
                <w:color w:val="auto"/>
              </w:rPr>
              <w:t>49</w:t>
            </w:r>
          </w:p>
        </w:tc>
        <w:tc>
          <w:tcPr>
            <w:tcW w:w="3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46</w:t>
            </w:r>
          </w:p>
        </w:tc>
        <w:tc>
          <w:tcPr>
            <w:tcW w:w="140" w:type="dxa"/>
            <w:vAlign w:val="bottom"/>
          </w:tcPr>
          <w:p>
            <w:pPr>
              <w:spacing w:after="0"/>
              <w:rPr>
                <w:sz w:val="18"/>
                <w:szCs w:val="18"/>
                <w:color w:val="auto"/>
              </w:rPr>
            </w:pPr>
          </w:p>
        </w:tc>
      </w:tr>
      <w:tr>
        <w:trPr>
          <w:trHeight w:val="216"/>
        </w:trPr>
        <w:tc>
          <w:tcPr>
            <w:tcW w:w="2720" w:type="dxa"/>
            <w:vAlign w:val="bottom"/>
          </w:tcPr>
          <w:p>
            <w:pPr>
              <w:ind w:left="260"/>
              <w:spacing w:after="0"/>
              <w:rPr>
                <w:sz w:val="20"/>
                <w:szCs w:val="20"/>
                <w:color w:val="auto"/>
              </w:rPr>
            </w:pPr>
            <w:r>
              <w:rPr>
                <w:rFonts w:ascii="Arial" w:cs="Arial" w:eastAsia="Arial" w:hAnsi="Arial"/>
                <w:sz w:val="14"/>
                <w:szCs w:val="14"/>
                <w:color w:val="auto"/>
              </w:rPr>
              <w:t>State income taxes</w:t>
            </w:r>
          </w:p>
        </w:tc>
        <w:tc>
          <w:tcPr>
            <w:tcW w:w="200" w:type="dxa"/>
            <w:vAlign w:val="bottom"/>
          </w:tcPr>
          <w:p>
            <w:pPr>
              <w:spacing w:after="0"/>
              <w:rPr>
                <w:sz w:val="18"/>
                <w:szCs w:val="18"/>
                <w:color w:val="auto"/>
              </w:rPr>
            </w:pPr>
          </w:p>
        </w:tc>
        <w:tc>
          <w:tcPr>
            <w:tcW w:w="620" w:type="dxa"/>
            <w:vAlign w:val="bottom"/>
          </w:tcPr>
          <w:p>
            <w:pPr>
              <w:jc w:val="right"/>
              <w:ind w:right="69"/>
              <w:spacing w:after="0"/>
              <w:rPr>
                <w:sz w:val="20"/>
                <w:szCs w:val="20"/>
                <w:color w:val="auto"/>
              </w:rPr>
            </w:pPr>
            <w:r>
              <w:rPr>
                <w:rFonts w:ascii="Arial" w:cs="Arial" w:eastAsia="Arial" w:hAnsi="Arial"/>
                <w:sz w:val="14"/>
                <w:szCs w:val="14"/>
                <w:color w:val="auto"/>
              </w:rPr>
              <w:t>22</w:t>
            </w:r>
          </w:p>
        </w:tc>
        <w:tc>
          <w:tcPr>
            <w:tcW w:w="280" w:type="dxa"/>
            <w:vAlign w:val="bottom"/>
          </w:tcPr>
          <w:p>
            <w:pPr>
              <w:spacing w:after="0"/>
              <w:rPr>
                <w:sz w:val="18"/>
                <w:szCs w:val="18"/>
                <w:color w:val="auto"/>
              </w:rPr>
            </w:pPr>
          </w:p>
        </w:tc>
        <w:tc>
          <w:tcPr>
            <w:tcW w:w="660" w:type="dxa"/>
            <w:vAlign w:val="bottom"/>
            <w:tcBorders>
              <w:right w:val="single" w:sz="8" w:color="auto"/>
            </w:tcBorders>
          </w:tcPr>
          <w:p>
            <w:pPr>
              <w:jc w:val="right"/>
              <w:ind w:right="108"/>
              <w:spacing w:after="0"/>
              <w:rPr>
                <w:sz w:val="20"/>
                <w:szCs w:val="20"/>
                <w:color w:val="auto"/>
              </w:rPr>
            </w:pPr>
            <w:r>
              <w:rPr>
                <w:rFonts w:ascii="Arial" w:cs="Arial" w:eastAsia="Arial" w:hAnsi="Arial"/>
                <w:sz w:val="14"/>
                <w:szCs w:val="14"/>
                <w:color w:val="auto"/>
              </w:rPr>
              <w:t>21</w:t>
            </w:r>
          </w:p>
        </w:tc>
        <w:tc>
          <w:tcPr>
            <w:tcW w:w="2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17</w:t>
            </w:r>
          </w:p>
        </w:tc>
        <w:tc>
          <w:tcPr>
            <w:tcW w:w="380" w:type="dxa"/>
            <w:vAlign w:val="bottom"/>
          </w:tcPr>
          <w:p>
            <w:pPr>
              <w:spacing w:after="0"/>
              <w:rPr>
                <w:sz w:val="18"/>
                <w:szCs w:val="18"/>
                <w:color w:val="auto"/>
              </w:rPr>
            </w:pPr>
          </w:p>
        </w:tc>
        <w:tc>
          <w:tcPr>
            <w:tcW w:w="660" w:type="dxa"/>
            <w:vAlign w:val="bottom"/>
            <w:tcBorders>
              <w:right w:val="single" w:sz="8" w:color="auto"/>
            </w:tcBorders>
          </w:tcPr>
          <w:p>
            <w:pPr>
              <w:jc w:val="right"/>
              <w:ind w:right="108"/>
              <w:spacing w:after="0"/>
              <w:rPr>
                <w:sz w:val="20"/>
                <w:szCs w:val="20"/>
                <w:color w:val="auto"/>
              </w:rPr>
            </w:pPr>
            <w:r>
              <w:rPr>
                <w:rFonts w:ascii="Arial" w:cs="Arial" w:eastAsia="Arial" w:hAnsi="Arial"/>
                <w:sz w:val="14"/>
                <w:szCs w:val="14"/>
                <w:color w:val="auto"/>
              </w:rPr>
              <w:t>19</w:t>
            </w:r>
          </w:p>
        </w:tc>
        <w:tc>
          <w:tcPr>
            <w:tcW w:w="220" w:type="dxa"/>
            <w:vAlign w:val="bottom"/>
          </w:tcPr>
          <w:p>
            <w:pPr>
              <w:spacing w:after="0"/>
              <w:rPr>
                <w:sz w:val="18"/>
                <w:szCs w:val="18"/>
                <w:color w:val="auto"/>
              </w:rPr>
            </w:pPr>
          </w:p>
        </w:tc>
        <w:tc>
          <w:tcPr>
            <w:tcW w:w="600" w:type="dxa"/>
            <w:vAlign w:val="bottom"/>
          </w:tcPr>
          <w:p>
            <w:pPr>
              <w:jc w:val="right"/>
              <w:ind w:right="49"/>
              <w:spacing w:after="0"/>
              <w:rPr>
                <w:sz w:val="20"/>
                <w:szCs w:val="20"/>
                <w:color w:val="auto"/>
              </w:rPr>
            </w:pPr>
            <w:r>
              <w:rPr>
                <w:rFonts w:ascii="Arial" w:cs="Arial" w:eastAsia="Arial" w:hAnsi="Arial"/>
                <w:sz w:val="14"/>
                <w:szCs w:val="14"/>
                <w:color w:val="auto"/>
              </w:rPr>
              <w:t>16</w:t>
            </w:r>
          </w:p>
        </w:tc>
        <w:tc>
          <w:tcPr>
            <w:tcW w:w="3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19</w:t>
            </w:r>
          </w:p>
        </w:tc>
        <w:tc>
          <w:tcPr>
            <w:tcW w:w="140" w:type="dxa"/>
            <w:vAlign w:val="bottom"/>
          </w:tcPr>
          <w:p>
            <w:pPr>
              <w:spacing w:after="0"/>
              <w:rPr>
                <w:sz w:val="18"/>
                <w:szCs w:val="18"/>
                <w:color w:val="auto"/>
              </w:rPr>
            </w:pPr>
          </w:p>
        </w:tc>
      </w:tr>
      <w:tr>
        <w:trPr>
          <w:trHeight w:val="216"/>
        </w:trPr>
        <w:tc>
          <w:tcPr>
            <w:tcW w:w="2720" w:type="dxa"/>
            <w:vAlign w:val="bottom"/>
          </w:tcPr>
          <w:p>
            <w:pPr>
              <w:ind w:left="260"/>
              <w:spacing w:after="0"/>
              <w:rPr>
                <w:sz w:val="20"/>
                <w:szCs w:val="20"/>
                <w:color w:val="auto"/>
              </w:rPr>
            </w:pPr>
            <w:r>
              <w:rPr>
                <w:rFonts w:ascii="Arial" w:cs="Arial" w:eastAsia="Arial" w:hAnsi="Arial"/>
                <w:sz w:val="14"/>
                <w:szCs w:val="14"/>
                <w:color w:val="auto"/>
              </w:rPr>
              <w:t>Other accruals not yet deductible</w:t>
            </w:r>
          </w:p>
        </w:tc>
        <w:tc>
          <w:tcPr>
            <w:tcW w:w="200" w:type="dxa"/>
            <w:vAlign w:val="bottom"/>
          </w:tcPr>
          <w:p>
            <w:pPr>
              <w:spacing w:after="0"/>
              <w:rPr>
                <w:sz w:val="18"/>
                <w:szCs w:val="18"/>
                <w:color w:val="auto"/>
              </w:rPr>
            </w:pPr>
          </w:p>
        </w:tc>
        <w:tc>
          <w:tcPr>
            <w:tcW w:w="620" w:type="dxa"/>
            <w:vAlign w:val="bottom"/>
          </w:tcPr>
          <w:p>
            <w:pPr>
              <w:jc w:val="right"/>
              <w:ind w:right="69"/>
              <w:spacing w:after="0"/>
              <w:rPr>
                <w:sz w:val="20"/>
                <w:szCs w:val="20"/>
                <w:color w:val="auto"/>
              </w:rPr>
            </w:pPr>
            <w:r>
              <w:rPr>
                <w:rFonts w:ascii="Arial" w:cs="Arial" w:eastAsia="Arial" w:hAnsi="Arial"/>
                <w:sz w:val="14"/>
                <w:szCs w:val="14"/>
                <w:color w:val="auto"/>
              </w:rPr>
              <w:t>37</w:t>
            </w:r>
          </w:p>
        </w:tc>
        <w:tc>
          <w:tcPr>
            <w:tcW w:w="280" w:type="dxa"/>
            <w:vAlign w:val="bottom"/>
          </w:tcPr>
          <w:p>
            <w:pPr>
              <w:spacing w:after="0"/>
              <w:rPr>
                <w:sz w:val="18"/>
                <w:szCs w:val="18"/>
                <w:color w:val="auto"/>
              </w:rPr>
            </w:pPr>
          </w:p>
        </w:tc>
        <w:tc>
          <w:tcPr>
            <w:tcW w:w="660" w:type="dxa"/>
            <w:vAlign w:val="bottom"/>
            <w:tcBorders>
              <w:right w:val="single" w:sz="8" w:color="auto"/>
            </w:tcBorders>
          </w:tcPr>
          <w:p>
            <w:pPr>
              <w:jc w:val="right"/>
              <w:ind w:right="108"/>
              <w:spacing w:after="0"/>
              <w:rPr>
                <w:sz w:val="20"/>
                <w:szCs w:val="20"/>
                <w:color w:val="auto"/>
              </w:rPr>
            </w:pPr>
            <w:r>
              <w:rPr>
                <w:rFonts w:ascii="Arial" w:cs="Arial" w:eastAsia="Arial" w:hAnsi="Arial"/>
                <w:sz w:val="14"/>
                <w:szCs w:val="14"/>
                <w:color w:val="auto"/>
              </w:rPr>
              <w:t>27</w:t>
            </w:r>
          </w:p>
        </w:tc>
        <w:tc>
          <w:tcPr>
            <w:tcW w:w="2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74</w:t>
            </w:r>
          </w:p>
        </w:tc>
        <w:tc>
          <w:tcPr>
            <w:tcW w:w="380" w:type="dxa"/>
            <w:vAlign w:val="bottom"/>
          </w:tcPr>
          <w:p>
            <w:pPr>
              <w:spacing w:after="0"/>
              <w:rPr>
                <w:sz w:val="18"/>
                <w:szCs w:val="18"/>
                <w:color w:val="auto"/>
              </w:rPr>
            </w:pPr>
          </w:p>
        </w:tc>
        <w:tc>
          <w:tcPr>
            <w:tcW w:w="660" w:type="dxa"/>
            <w:vAlign w:val="bottom"/>
            <w:tcBorders>
              <w:right w:val="single" w:sz="8" w:color="auto"/>
            </w:tcBorders>
          </w:tcPr>
          <w:p>
            <w:pPr>
              <w:jc w:val="right"/>
              <w:ind w:right="108"/>
              <w:spacing w:after="0"/>
              <w:rPr>
                <w:sz w:val="20"/>
                <w:szCs w:val="20"/>
                <w:color w:val="auto"/>
              </w:rPr>
            </w:pPr>
            <w:r>
              <w:rPr>
                <w:rFonts w:ascii="Arial" w:cs="Arial" w:eastAsia="Arial" w:hAnsi="Arial"/>
                <w:sz w:val="14"/>
                <w:szCs w:val="14"/>
                <w:color w:val="auto"/>
              </w:rPr>
              <w:t>99</w:t>
            </w:r>
          </w:p>
        </w:tc>
        <w:tc>
          <w:tcPr>
            <w:tcW w:w="220" w:type="dxa"/>
            <w:vAlign w:val="bottom"/>
          </w:tcPr>
          <w:p>
            <w:pPr>
              <w:spacing w:after="0"/>
              <w:rPr>
                <w:sz w:val="18"/>
                <w:szCs w:val="18"/>
                <w:color w:val="auto"/>
              </w:rPr>
            </w:pPr>
          </w:p>
        </w:tc>
        <w:tc>
          <w:tcPr>
            <w:tcW w:w="600" w:type="dxa"/>
            <w:vAlign w:val="bottom"/>
          </w:tcPr>
          <w:p>
            <w:pPr>
              <w:jc w:val="right"/>
              <w:ind w:right="49"/>
              <w:spacing w:after="0"/>
              <w:rPr>
                <w:sz w:val="20"/>
                <w:szCs w:val="20"/>
                <w:color w:val="auto"/>
              </w:rPr>
            </w:pPr>
            <w:r>
              <w:rPr>
                <w:rFonts w:ascii="Arial" w:cs="Arial" w:eastAsia="Arial" w:hAnsi="Arial"/>
                <w:sz w:val="14"/>
                <w:szCs w:val="14"/>
                <w:color w:val="auto"/>
              </w:rPr>
              <w:t>75</w:t>
            </w:r>
          </w:p>
        </w:tc>
        <w:tc>
          <w:tcPr>
            <w:tcW w:w="3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93</w:t>
            </w:r>
          </w:p>
        </w:tc>
        <w:tc>
          <w:tcPr>
            <w:tcW w:w="140" w:type="dxa"/>
            <w:vAlign w:val="bottom"/>
          </w:tcPr>
          <w:p>
            <w:pPr>
              <w:spacing w:after="0"/>
              <w:rPr>
                <w:sz w:val="18"/>
                <w:szCs w:val="18"/>
                <w:color w:val="auto"/>
              </w:rPr>
            </w:pPr>
          </w:p>
        </w:tc>
      </w:tr>
      <w:tr>
        <w:trPr>
          <w:trHeight w:val="216"/>
        </w:trPr>
        <w:tc>
          <w:tcPr>
            <w:tcW w:w="2720" w:type="dxa"/>
            <w:vAlign w:val="bottom"/>
          </w:tcPr>
          <w:p>
            <w:pPr>
              <w:ind w:left="260"/>
              <w:spacing w:after="0"/>
              <w:rPr>
                <w:sz w:val="20"/>
                <w:szCs w:val="20"/>
                <w:color w:val="auto"/>
              </w:rPr>
            </w:pPr>
            <w:r>
              <w:rPr>
                <w:rFonts w:ascii="Arial" w:cs="Arial" w:eastAsia="Arial" w:hAnsi="Arial"/>
                <w:sz w:val="14"/>
                <w:szCs w:val="14"/>
                <w:color w:val="auto"/>
              </w:rPr>
              <w:t>Hedging transaction</w:t>
            </w:r>
          </w:p>
        </w:tc>
        <w:tc>
          <w:tcPr>
            <w:tcW w:w="200" w:type="dxa"/>
            <w:vAlign w:val="bottom"/>
          </w:tcPr>
          <w:p>
            <w:pPr>
              <w:spacing w:after="0"/>
              <w:rPr>
                <w:sz w:val="18"/>
                <w:szCs w:val="18"/>
                <w:color w:val="auto"/>
              </w:rPr>
            </w:pPr>
          </w:p>
        </w:tc>
        <w:tc>
          <w:tcPr>
            <w:tcW w:w="62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8"/>
                <w:szCs w:val="18"/>
                <w:color w:val="auto"/>
              </w:rPr>
            </w:pPr>
          </w:p>
        </w:tc>
        <w:tc>
          <w:tcPr>
            <w:tcW w:w="660" w:type="dxa"/>
            <w:vAlign w:val="bottom"/>
            <w:tcBorders>
              <w:right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16</w:t>
            </w:r>
          </w:p>
        </w:tc>
        <w:tc>
          <w:tcPr>
            <w:tcW w:w="380" w:type="dxa"/>
            <w:vAlign w:val="bottom"/>
          </w:tcPr>
          <w:p>
            <w:pPr>
              <w:spacing w:after="0"/>
              <w:rPr>
                <w:sz w:val="18"/>
                <w:szCs w:val="18"/>
                <w:color w:val="auto"/>
              </w:rPr>
            </w:pPr>
          </w:p>
        </w:tc>
        <w:tc>
          <w:tcPr>
            <w:tcW w:w="660" w:type="dxa"/>
            <w:vAlign w:val="bottom"/>
            <w:tcBorders>
              <w:right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8"/>
                <w:szCs w:val="18"/>
                <w:color w:val="auto"/>
              </w:rPr>
            </w:pPr>
          </w:p>
        </w:tc>
        <w:tc>
          <w:tcPr>
            <w:tcW w:w="600" w:type="dxa"/>
            <w:vAlign w:val="bottom"/>
          </w:tcPr>
          <w:p>
            <w:pPr>
              <w:jc w:val="right"/>
              <w:ind w:right="49"/>
              <w:spacing w:after="0"/>
              <w:rPr>
                <w:sz w:val="20"/>
                <w:szCs w:val="20"/>
                <w:color w:val="auto"/>
              </w:rPr>
            </w:pPr>
            <w:r>
              <w:rPr>
                <w:rFonts w:ascii="Arial" w:cs="Arial" w:eastAsia="Arial" w:hAnsi="Arial"/>
                <w:sz w:val="14"/>
                <w:szCs w:val="14"/>
                <w:color w:val="auto"/>
              </w:rPr>
              <w:t>16</w:t>
            </w:r>
          </w:p>
        </w:tc>
        <w:tc>
          <w:tcPr>
            <w:tcW w:w="3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r>
      <w:tr>
        <w:trPr>
          <w:trHeight w:val="222"/>
        </w:trPr>
        <w:tc>
          <w:tcPr>
            <w:tcW w:w="2720" w:type="dxa"/>
            <w:vAlign w:val="bottom"/>
          </w:tcPr>
          <w:p>
            <w:pPr>
              <w:ind w:left="260"/>
              <w:spacing w:after="0"/>
              <w:rPr>
                <w:sz w:val="20"/>
                <w:szCs w:val="20"/>
                <w:color w:val="auto"/>
              </w:rPr>
            </w:pPr>
            <w:r>
              <w:rPr>
                <w:rFonts w:ascii="Arial" w:cs="Arial" w:eastAsia="Arial" w:hAnsi="Arial"/>
                <w:sz w:val="14"/>
                <w:szCs w:val="14"/>
                <w:color w:val="auto"/>
              </w:rPr>
              <w:t>Other</w:t>
            </w:r>
          </w:p>
        </w:tc>
        <w:tc>
          <w:tcPr>
            <w:tcW w:w="2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17</w:t>
            </w:r>
          </w:p>
        </w:tc>
        <w:tc>
          <w:tcPr>
            <w:tcW w:w="280" w:type="dxa"/>
            <w:vAlign w:val="bottom"/>
            <w:tcBorders>
              <w:bottom w:val="single" w:sz="8" w:color="auto"/>
            </w:tcBorders>
          </w:tcPr>
          <w:p>
            <w:pPr>
              <w:spacing w:after="0"/>
              <w:rPr>
                <w:sz w:val="19"/>
                <w:szCs w:val="19"/>
                <w:color w:val="auto"/>
              </w:rPr>
            </w:pPr>
          </w:p>
        </w:tc>
        <w:tc>
          <w:tcPr>
            <w:tcW w:w="660" w:type="dxa"/>
            <w:vAlign w:val="bottom"/>
            <w:tcBorders>
              <w:bottom w:val="single" w:sz="8" w:color="auto"/>
              <w:right w:val="single" w:sz="8" w:color="auto"/>
            </w:tcBorders>
          </w:tcPr>
          <w:p>
            <w:pPr>
              <w:jc w:val="right"/>
              <w:ind w:right="108"/>
              <w:spacing w:after="0"/>
              <w:rPr>
                <w:sz w:val="20"/>
                <w:szCs w:val="20"/>
                <w:color w:val="auto"/>
              </w:rPr>
            </w:pPr>
            <w:r>
              <w:rPr>
                <w:rFonts w:ascii="Arial" w:cs="Arial" w:eastAsia="Arial" w:hAnsi="Arial"/>
                <w:sz w:val="14"/>
                <w:szCs w:val="14"/>
                <w:color w:val="auto"/>
              </w:rPr>
              <w:t>7</w:t>
            </w:r>
          </w:p>
        </w:tc>
        <w:tc>
          <w:tcPr>
            <w:tcW w:w="2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w:t>
            </w:r>
          </w:p>
        </w:tc>
        <w:tc>
          <w:tcPr>
            <w:tcW w:w="380" w:type="dxa"/>
            <w:vAlign w:val="bottom"/>
            <w:tcBorders>
              <w:bottom w:val="single" w:sz="8" w:color="auto"/>
            </w:tcBorders>
          </w:tcPr>
          <w:p>
            <w:pPr>
              <w:spacing w:after="0"/>
              <w:rPr>
                <w:sz w:val="19"/>
                <w:szCs w:val="19"/>
                <w:color w:val="auto"/>
              </w:rPr>
            </w:pPr>
          </w:p>
        </w:tc>
        <w:tc>
          <w:tcPr>
            <w:tcW w:w="660" w:type="dxa"/>
            <w:vAlign w:val="bottom"/>
            <w:tcBorders>
              <w:bottom w:val="single" w:sz="8" w:color="auto"/>
              <w:right w:val="single" w:sz="8" w:color="auto"/>
            </w:tcBorders>
          </w:tcPr>
          <w:p>
            <w:pPr>
              <w:jc w:val="right"/>
              <w:ind w:right="108"/>
              <w:spacing w:after="0"/>
              <w:rPr>
                <w:sz w:val="20"/>
                <w:szCs w:val="20"/>
                <w:color w:val="auto"/>
              </w:rPr>
            </w:pPr>
            <w:r>
              <w:rPr>
                <w:rFonts w:ascii="Arial" w:cs="Arial" w:eastAsia="Arial" w:hAnsi="Arial"/>
                <w:sz w:val="14"/>
                <w:szCs w:val="14"/>
                <w:color w:val="auto"/>
              </w:rPr>
              <w:t>11</w:t>
            </w:r>
          </w:p>
        </w:tc>
        <w:tc>
          <w:tcPr>
            <w:tcW w:w="2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11</w:t>
            </w:r>
          </w:p>
        </w:tc>
        <w:tc>
          <w:tcPr>
            <w:tcW w:w="3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w:t>
            </w:r>
          </w:p>
        </w:tc>
        <w:tc>
          <w:tcPr>
            <w:tcW w:w="140" w:type="dxa"/>
            <w:vAlign w:val="bottom"/>
          </w:tcPr>
          <w:p>
            <w:pPr>
              <w:spacing w:after="0"/>
              <w:rPr>
                <w:sz w:val="19"/>
                <w:szCs w:val="19"/>
                <w:color w:val="auto"/>
              </w:rPr>
            </w:pPr>
          </w:p>
        </w:tc>
      </w:tr>
      <w:tr>
        <w:trPr>
          <w:trHeight w:val="208"/>
        </w:trPr>
        <w:tc>
          <w:tcPr>
            <w:tcW w:w="2720" w:type="dxa"/>
            <w:vAlign w:val="bottom"/>
          </w:tcPr>
          <w:p>
            <w:pPr>
              <w:ind w:left="480"/>
              <w:spacing w:after="0"/>
              <w:rPr>
                <w:sz w:val="20"/>
                <w:szCs w:val="20"/>
                <w:color w:val="auto"/>
              </w:rPr>
            </w:pPr>
            <w:r>
              <w:rPr>
                <w:rFonts w:ascii="Arial" w:cs="Arial" w:eastAsia="Arial" w:hAnsi="Arial"/>
                <w:sz w:val="14"/>
                <w:szCs w:val="14"/>
                <w:color w:val="auto"/>
              </w:rPr>
              <w:t>Total deferred tax assets</w:t>
            </w:r>
          </w:p>
        </w:tc>
        <w:tc>
          <w:tcPr>
            <w:tcW w:w="2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281</w:t>
            </w:r>
          </w:p>
        </w:tc>
        <w:tc>
          <w:tcPr>
            <w:tcW w:w="280" w:type="dxa"/>
            <w:vAlign w:val="bottom"/>
            <w:tcBorders>
              <w:bottom w:val="single" w:sz="8" w:color="auto"/>
            </w:tcBorders>
          </w:tcPr>
          <w:p>
            <w:pPr>
              <w:spacing w:after="0"/>
              <w:rPr>
                <w:sz w:val="18"/>
                <w:szCs w:val="18"/>
                <w:color w:val="auto"/>
              </w:rPr>
            </w:pPr>
          </w:p>
        </w:tc>
        <w:tc>
          <w:tcPr>
            <w:tcW w:w="660" w:type="dxa"/>
            <w:vAlign w:val="bottom"/>
            <w:tcBorders>
              <w:bottom w:val="single" w:sz="8" w:color="auto"/>
              <w:right w:val="single" w:sz="8" w:color="auto"/>
            </w:tcBorders>
          </w:tcPr>
          <w:p>
            <w:pPr>
              <w:jc w:val="right"/>
              <w:ind w:right="108"/>
              <w:spacing w:after="0"/>
              <w:rPr>
                <w:sz w:val="20"/>
                <w:szCs w:val="20"/>
                <w:color w:val="auto"/>
              </w:rPr>
            </w:pPr>
            <w:r>
              <w:rPr>
                <w:rFonts w:ascii="Arial" w:cs="Arial" w:eastAsia="Arial" w:hAnsi="Arial"/>
                <w:sz w:val="14"/>
                <w:szCs w:val="14"/>
                <w:color w:val="auto"/>
              </w:rPr>
              <w:t>167</w:t>
            </w:r>
          </w:p>
        </w:tc>
        <w:tc>
          <w:tcPr>
            <w:tcW w:w="2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554</w:t>
            </w:r>
          </w:p>
        </w:tc>
        <w:tc>
          <w:tcPr>
            <w:tcW w:w="380" w:type="dxa"/>
            <w:vAlign w:val="bottom"/>
            <w:tcBorders>
              <w:bottom w:val="single" w:sz="8" w:color="auto"/>
            </w:tcBorders>
          </w:tcPr>
          <w:p>
            <w:pPr>
              <w:spacing w:after="0"/>
              <w:rPr>
                <w:sz w:val="18"/>
                <w:szCs w:val="18"/>
                <w:color w:val="auto"/>
              </w:rPr>
            </w:pPr>
          </w:p>
        </w:tc>
        <w:tc>
          <w:tcPr>
            <w:tcW w:w="660" w:type="dxa"/>
            <w:vAlign w:val="bottom"/>
            <w:tcBorders>
              <w:bottom w:val="single" w:sz="8" w:color="auto"/>
              <w:right w:val="single" w:sz="8" w:color="auto"/>
            </w:tcBorders>
          </w:tcPr>
          <w:p>
            <w:pPr>
              <w:jc w:val="right"/>
              <w:ind w:right="108"/>
              <w:spacing w:after="0"/>
              <w:rPr>
                <w:sz w:val="20"/>
                <w:szCs w:val="20"/>
                <w:color w:val="auto"/>
              </w:rPr>
            </w:pPr>
            <w:r>
              <w:rPr>
                <w:rFonts w:ascii="Arial" w:cs="Arial" w:eastAsia="Arial" w:hAnsi="Arial"/>
                <w:sz w:val="14"/>
                <w:szCs w:val="14"/>
                <w:color w:val="auto"/>
              </w:rPr>
              <w:t>245</w:t>
            </w:r>
          </w:p>
        </w:tc>
        <w:tc>
          <w:tcPr>
            <w:tcW w:w="2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547</w:t>
            </w:r>
          </w:p>
        </w:tc>
        <w:tc>
          <w:tcPr>
            <w:tcW w:w="3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234</w:t>
            </w:r>
          </w:p>
        </w:tc>
        <w:tc>
          <w:tcPr>
            <w:tcW w:w="140" w:type="dxa"/>
            <w:vAlign w:val="bottom"/>
          </w:tcPr>
          <w:p>
            <w:pPr>
              <w:spacing w:after="0"/>
              <w:rPr>
                <w:sz w:val="18"/>
                <w:szCs w:val="18"/>
                <w:color w:val="auto"/>
              </w:rPr>
            </w:pPr>
          </w:p>
        </w:tc>
      </w:tr>
      <w:tr>
        <w:trPr>
          <w:trHeight w:val="174"/>
        </w:trPr>
        <w:tc>
          <w:tcPr>
            <w:tcW w:w="2720" w:type="dxa"/>
            <w:vAlign w:val="bottom"/>
          </w:tcPr>
          <w:p>
            <w:pPr>
              <w:ind w:left="20"/>
              <w:spacing w:after="0"/>
              <w:rPr>
                <w:sz w:val="20"/>
                <w:szCs w:val="20"/>
                <w:color w:val="auto"/>
              </w:rPr>
            </w:pPr>
            <w:r>
              <w:rPr>
                <w:rFonts w:ascii="Arial" w:cs="Arial" w:eastAsia="Arial" w:hAnsi="Arial"/>
                <w:sz w:val="14"/>
                <w:szCs w:val="14"/>
                <w:color w:val="auto"/>
              </w:rPr>
              <w:t>Net deferred income tax liability before</w:t>
            </w:r>
          </w:p>
        </w:tc>
        <w:tc>
          <w:tcPr>
            <w:tcW w:w="2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Borders>
              <w:right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60" w:type="dxa"/>
            <w:vAlign w:val="bottom"/>
            <w:tcBorders>
              <w:right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172"/>
        </w:trPr>
        <w:tc>
          <w:tcPr>
            <w:tcW w:w="2720" w:type="dxa"/>
            <w:vAlign w:val="bottom"/>
          </w:tcPr>
          <w:p>
            <w:pPr>
              <w:ind w:left="260"/>
              <w:spacing w:after="0"/>
              <w:rPr>
                <w:sz w:val="20"/>
                <w:szCs w:val="20"/>
                <w:color w:val="auto"/>
              </w:rPr>
            </w:pPr>
            <w:r>
              <w:rPr>
                <w:rFonts w:ascii="Arial" w:cs="Arial" w:eastAsia="Arial" w:hAnsi="Arial"/>
                <w:sz w:val="14"/>
                <w:szCs w:val="14"/>
                <w:color w:val="auto"/>
              </w:rPr>
              <w:t>valuation allowance</w:t>
            </w:r>
          </w:p>
        </w:tc>
        <w:tc>
          <w:tcPr>
            <w:tcW w:w="200" w:type="dxa"/>
            <w:vAlign w:val="bottom"/>
          </w:tcPr>
          <w:p>
            <w:pPr>
              <w:spacing w:after="0"/>
              <w:rPr>
                <w:sz w:val="14"/>
                <w:szCs w:val="14"/>
                <w:color w:val="auto"/>
              </w:rPr>
            </w:pPr>
          </w:p>
        </w:tc>
        <w:tc>
          <w:tcPr>
            <w:tcW w:w="620" w:type="dxa"/>
            <w:vAlign w:val="bottom"/>
          </w:tcPr>
          <w:p>
            <w:pPr>
              <w:jc w:val="right"/>
              <w:ind w:right="69"/>
              <w:spacing w:after="0"/>
              <w:rPr>
                <w:sz w:val="20"/>
                <w:szCs w:val="20"/>
                <w:color w:val="auto"/>
              </w:rPr>
            </w:pPr>
            <w:r>
              <w:rPr>
                <w:rFonts w:ascii="Arial" w:cs="Arial" w:eastAsia="Arial" w:hAnsi="Arial"/>
                <w:sz w:val="14"/>
                <w:szCs w:val="14"/>
                <w:color w:val="auto"/>
              </w:rPr>
              <w:t>603</w:t>
            </w:r>
          </w:p>
        </w:tc>
        <w:tc>
          <w:tcPr>
            <w:tcW w:w="280" w:type="dxa"/>
            <w:vAlign w:val="bottom"/>
          </w:tcPr>
          <w:p>
            <w:pPr>
              <w:spacing w:after="0"/>
              <w:rPr>
                <w:sz w:val="14"/>
                <w:szCs w:val="14"/>
                <w:color w:val="auto"/>
              </w:rPr>
            </w:pPr>
          </w:p>
        </w:tc>
        <w:tc>
          <w:tcPr>
            <w:tcW w:w="660" w:type="dxa"/>
            <w:vAlign w:val="bottom"/>
            <w:tcBorders>
              <w:right w:val="single" w:sz="8" w:color="auto"/>
            </w:tcBorders>
          </w:tcPr>
          <w:p>
            <w:pPr>
              <w:jc w:val="right"/>
              <w:ind w:right="108"/>
              <w:spacing w:after="0"/>
              <w:rPr>
                <w:sz w:val="20"/>
                <w:szCs w:val="20"/>
                <w:color w:val="auto"/>
              </w:rPr>
            </w:pPr>
            <w:r>
              <w:rPr>
                <w:rFonts w:ascii="Arial" w:cs="Arial" w:eastAsia="Arial" w:hAnsi="Arial"/>
                <w:sz w:val="14"/>
                <w:szCs w:val="14"/>
                <w:color w:val="auto"/>
              </w:rPr>
              <w:t>431</w:t>
            </w:r>
          </w:p>
        </w:tc>
        <w:tc>
          <w:tcPr>
            <w:tcW w:w="22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163</w:t>
            </w:r>
          </w:p>
        </w:tc>
        <w:tc>
          <w:tcPr>
            <w:tcW w:w="380" w:type="dxa"/>
            <w:vAlign w:val="bottom"/>
          </w:tcPr>
          <w:p>
            <w:pPr>
              <w:spacing w:after="0"/>
              <w:rPr>
                <w:sz w:val="14"/>
                <w:szCs w:val="14"/>
                <w:color w:val="auto"/>
              </w:rPr>
            </w:pPr>
          </w:p>
        </w:tc>
        <w:tc>
          <w:tcPr>
            <w:tcW w:w="660" w:type="dxa"/>
            <w:vAlign w:val="bottom"/>
            <w:tcBorders>
              <w:right w:val="single" w:sz="8" w:color="auto"/>
            </w:tcBorders>
          </w:tcPr>
          <w:p>
            <w:pPr>
              <w:jc w:val="right"/>
              <w:ind w:right="108"/>
              <w:spacing w:after="0"/>
              <w:rPr>
                <w:sz w:val="20"/>
                <w:szCs w:val="20"/>
                <w:color w:val="auto"/>
              </w:rPr>
            </w:pPr>
            <w:r>
              <w:rPr>
                <w:rFonts w:ascii="Arial" w:cs="Arial" w:eastAsia="Arial" w:hAnsi="Arial"/>
                <w:sz w:val="14"/>
                <w:szCs w:val="14"/>
                <w:color w:val="auto"/>
              </w:rPr>
              <w:t>69</w:t>
            </w:r>
          </w:p>
        </w:tc>
        <w:tc>
          <w:tcPr>
            <w:tcW w:w="220" w:type="dxa"/>
            <w:vAlign w:val="bottom"/>
          </w:tcPr>
          <w:p>
            <w:pPr>
              <w:spacing w:after="0"/>
              <w:rPr>
                <w:sz w:val="14"/>
                <w:szCs w:val="14"/>
                <w:color w:val="auto"/>
              </w:rPr>
            </w:pPr>
          </w:p>
        </w:tc>
        <w:tc>
          <w:tcPr>
            <w:tcW w:w="600" w:type="dxa"/>
            <w:vAlign w:val="bottom"/>
          </w:tcPr>
          <w:p>
            <w:pPr>
              <w:jc w:val="right"/>
              <w:ind w:right="49"/>
              <w:spacing w:after="0"/>
              <w:rPr>
                <w:sz w:val="20"/>
                <w:szCs w:val="20"/>
                <w:color w:val="auto"/>
              </w:rPr>
            </w:pPr>
            <w:r>
              <w:rPr>
                <w:rFonts w:ascii="Arial" w:cs="Arial" w:eastAsia="Arial" w:hAnsi="Arial"/>
                <w:sz w:val="14"/>
                <w:szCs w:val="14"/>
                <w:color w:val="auto"/>
              </w:rPr>
              <w:t>173</w:t>
            </w:r>
          </w:p>
        </w:tc>
        <w:tc>
          <w:tcPr>
            <w:tcW w:w="30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84</w:t>
            </w:r>
          </w:p>
        </w:tc>
        <w:tc>
          <w:tcPr>
            <w:tcW w:w="140" w:type="dxa"/>
            <w:vAlign w:val="bottom"/>
          </w:tcPr>
          <w:p>
            <w:pPr>
              <w:spacing w:after="0"/>
              <w:rPr>
                <w:sz w:val="14"/>
                <w:szCs w:val="14"/>
                <w:color w:val="auto"/>
              </w:rPr>
            </w:pPr>
          </w:p>
        </w:tc>
      </w:tr>
      <w:tr>
        <w:trPr>
          <w:trHeight w:val="222"/>
        </w:trPr>
        <w:tc>
          <w:tcPr>
            <w:tcW w:w="2720" w:type="dxa"/>
            <w:vAlign w:val="bottom"/>
          </w:tcPr>
          <w:p>
            <w:pPr>
              <w:ind w:left="20"/>
              <w:spacing w:after="0"/>
              <w:rPr>
                <w:sz w:val="20"/>
                <w:szCs w:val="20"/>
                <w:color w:val="auto"/>
              </w:rPr>
            </w:pPr>
            <w:r>
              <w:rPr>
                <w:rFonts w:ascii="Arial" w:cs="Arial" w:eastAsia="Arial" w:hAnsi="Arial"/>
                <w:sz w:val="14"/>
                <w:szCs w:val="14"/>
                <w:color w:val="auto"/>
              </w:rPr>
              <w:t>Valuation allowance</w:t>
            </w:r>
          </w:p>
        </w:tc>
        <w:tc>
          <w:tcPr>
            <w:tcW w:w="2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8</w:t>
            </w:r>
          </w:p>
        </w:tc>
        <w:tc>
          <w:tcPr>
            <w:tcW w:w="280" w:type="dxa"/>
            <w:vAlign w:val="bottom"/>
            <w:tcBorders>
              <w:bottom w:val="single" w:sz="8" w:color="auto"/>
            </w:tcBorders>
          </w:tcPr>
          <w:p>
            <w:pPr>
              <w:spacing w:after="0"/>
              <w:rPr>
                <w:sz w:val="19"/>
                <w:szCs w:val="19"/>
                <w:color w:val="auto"/>
              </w:rPr>
            </w:pPr>
          </w:p>
        </w:tc>
        <w:tc>
          <w:tcPr>
            <w:tcW w:w="660" w:type="dxa"/>
            <w:vAlign w:val="bottom"/>
            <w:tcBorders>
              <w:bottom w:val="single" w:sz="8" w:color="auto"/>
              <w:right w:val="single" w:sz="8" w:color="auto"/>
            </w:tcBorders>
          </w:tcPr>
          <w:p>
            <w:pPr>
              <w:jc w:val="right"/>
              <w:ind w:right="108"/>
              <w:spacing w:after="0"/>
              <w:rPr>
                <w:sz w:val="20"/>
                <w:szCs w:val="20"/>
                <w:color w:val="auto"/>
              </w:rPr>
            </w:pPr>
            <w:r>
              <w:rPr>
                <w:rFonts w:ascii="Arial" w:cs="Arial" w:eastAsia="Arial" w:hAnsi="Arial"/>
                <w:sz w:val="14"/>
                <w:szCs w:val="14"/>
                <w:color w:val="auto"/>
              </w:rPr>
              <w:t>8</w:t>
            </w:r>
          </w:p>
        </w:tc>
        <w:tc>
          <w:tcPr>
            <w:tcW w:w="2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auto"/>
            </w:tcBorders>
          </w:tcPr>
          <w:p>
            <w:pPr>
              <w:spacing w:after="0"/>
              <w:rPr>
                <w:sz w:val="19"/>
                <w:szCs w:val="19"/>
                <w:color w:val="auto"/>
              </w:rPr>
            </w:pPr>
          </w:p>
        </w:tc>
        <w:tc>
          <w:tcPr>
            <w:tcW w:w="660" w:type="dxa"/>
            <w:vAlign w:val="bottom"/>
            <w:tcBorders>
              <w:bottom w:val="single" w:sz="8" w:color="auto"/>
              <w:right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9"/>
                <w:szCs w:val="19"/>
                <w:color w:val="auto"/>
              </w:rPr>
            </w:pPr>
          </w:p>
        </w:tc>
      </w:tr>
      <w:tr>
        <w:trPr>
          <w:trHeight w:val="224"/>
        </w:trPr>
        <w:tc>
          <w:tcPr>
            <w:tcW w:w="27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Net deferred income tax liability</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611</w:t>
            </w:r>
          </w:p>
        </w:tc>
        <w:tc>
          <w:tcPr>
            <w:tcW w:w="2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right w:val="single" w:sz="8" w:color="auto"/>
            </w:tcBorders>
          </w:tcPr>
          <w:p>
            <w:pPr>
              <w:jc w:val="right"/>
              <w:ind w:right="108"/>
              <w:spacing w:after="0"/>
              <w:rPr>
                <w:sz w:val="20"/>
                <w:szCs w:val="20"/>
                <w:color w:val="auto"/>
              </w:rPr>
            </w:pPr>
            <w:r>
              <w:rPr>
                <w:rFonts w:ascii="Arial" w:cs="Arial" w:eastAsia="Arial" w:hAnsi="Arial"/>
                <w:sz w:val="14"/>
                <w:szCs w:val="14"/>
                <w:color w:val="auto"/>
              </w:rPr>
              <w:t>439</w:t>
            </w:r>
          </w:p>
        </w:tc>
        <w:tc>
          <w:tcPr>
            <w:tcW w:w="2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163</w:t>
            </w:r>
          </w:p>
        </w:tc>
        <w:tc>
          <w:tcPr>
            <w:tcW w:w="38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right w:val="single" w:sz="8" w:color="auto"/>
            </w:tcBorders>
          </w:tcPr>
          <w:p>
            <w:pPr>
              <w:jc w:val="right"/>
              <w:ind w:right="108"/>
              <w:spacing w:after="0"/>
              <w:rPr>
                <w:sz w:val="20"/>
                <w:szCs w:val="20"/>
                <w:color w:val="auto"/>
              </w:rPr>
            </w:pPr>
            <w:r>
              <w:rPr>
                <w:rFonts w:ascii="Arial" w:cs="Arial" w:eastAsia="Arial" w:hAnsi="Arial"/>
                <w:sz w:val="14"/>
                <w:szCs w:val="14"/>
                <w:color w:val="auto"/>
              </w:rPr>
              <w:t>69</w:t>
            </w:r>
          </w:p>
        </w:tc>
        <w:tc>
          <w:tcPr>
            <w:tcW w:w="2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173</w:t>
            </w:r>
          </w:p>
        </w:tc>
        <w:tc>
          <w:tcPr>
            <w:tcW w:w="3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84</w:t>
            </w:r>
          </w:p>
        </w:tc>
        <w:tc>
          <w:tcPr>
            <w:tcW w:w="140" w:type="dxa"/>
            <w:vAlign w:val="bottom"/>
            <w:tcBorders>
              <w:bottom w:val="single" w:sz="8" w:color="auto"/>
            </w:tcBorders>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4"/>
          <w:szCs w:val="14"/>
          <w:color w:val="auto"/>
        </w:rPr>
        <w:t>134</w:t>
      </w:r>
    </w:p>
    <w:p>
      <w:pPr>
        <w:sectPr>
          <w:pgSz w:w="11900" w:h="16838" w:orient="portrait"/>
          <w:cols w:equalWidth="0" w:num="1">
            <w:col w:w="10219"/>
          </w:cols>
          <w:pgMar w:left="240" w:top="128" w:right="1440" w:bottom="1440" w:gutter="0" w:footer="0" w:header="0"/>
        </w:sectPr>
      </w:pPr>
    </w:p>
    <w:bookmarkStart w:id="274" w:name="page275"/>
    <w:bookmarkEnd w:id="274"/>
    <w:p>
      <w:pPr>
        <w:spacing w:after="0"/>
        <w:rPr>
          <w:sz w:val="20"/>
          <w:szCs w:val="20"/>
          <w:color w:val="auto"/>
        </w:rPr>
      </w:pPr>
      <w:r>
        <w:rPr>
          <w:rFonts w:ascii="Arial" w:cs="Arial" w:eastAsia="Arial" w:hAnsi="Arial"/>
          <w:sz w:val="16"/>
          <w:szCs w:val="16"/>
          <w:color w:val="auto"/>
        </w:rPr>
        <w:t>The net deferred income tax liabilities are recorded on the Consolidated Balance Sheets at December 31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1111250</wp:posOffset>
            </wp:positionH>
            <wp:positionV relativeFrom="paragraph">
              <wp:posOffset>196215</wp:posOffset>
            </wp:positionV>
            <wp:extent cx="5041900" cy="24384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5041900" cy="243840"/>
                    </a:xfrm>
                    <a:prstGeom prst="rect">
                      <a:avLst/>
                    </a:prstGeom>
                    <a:noFill/>
                  </pic:spPr>
                </pic:pic>
              </a:graphicData>
            </a:graphic>
          </wp:anchor>
        </w:drawing>
      </w:r>
    </w:p>
    <w:p>
      <w:pPr>
        <w:spacing w:after="0" w:line="297" w:lineRule="exact"/>
        <w:rPr>
          <w:sz w:val="20"/>
          <w:szCs w:val="20"/>
          <w:color w:val="auto"/>
        </w:rPr>
      </w:pPr>
    </w:p>
    <w:p>
      <w:pPr>
        <w:ind w:left="1760"/>
        <w:spacing w:after="0"/>
        <w:rPr>
          <w:sz w:val="20"/>
          <w:szCs w:val="20"/>
          <w:color w:val="auto"/>
        </w:rPr>
      </w:pPr>
      <w:r>
        <w:rPr>
          <w:rFonts w:ascii="Arial" w:cs="Arial" w:eastAsia="Arial" w:hAnsi="Arial"/>
          <w:sz w:val="14"/>
          <w:szCs w:val="14"/>
          <w:b w:val="1"/>
          <w:bCs w:val="1"/>
          <w:color w:val="auto"/>
        </w:rPr>
        <w:t>NET DEFERRED INCOME TAX LIABILITY</w:t>
      </w:r>
    </w:p>
    <w:p>
      <w:pPr>
        <w:spacing w:after="0" w:line="40" w:lineRule="exact"/>
        <w:rPr>
          <w:sz w:val="20"/>
          <w:szCs w:val="20"/>
          <w:color w:val="auto"/>
        </w:rPr>
      </w:pPr>
    </w:p>
    <w:tbl>
      <w:tblPr>
        <w:tblLayout w:type="fixed"/>
        <w:tblInd w:w="1740" w:type="dxa"/>
        <w:tblCellMar>
          <w:top w:w="0" w:type="dxa"/>
          <w:left w:w="0" w:type="dxa"/>
          <w:bottom w:w="0" w:type="dxa"/>
          <w:right w:w="0" w:type="dxa"/>
        </w:tblCellMar>
      </w:tblPr>
      <w:tr>
        <w:trPr>
          <w:trHeight w:val="166"/>
        </w:trPr>
        <w:tc>
          <w:tcPr>
            <w:tcW w:w="1500" w:type="dxa"/>
            <w:vAlign w:val="bottom"/>
          </w:tcPr>
          <w:p>
            <w:pPr>
              <w:ind w:left="20"/>
              <w:spacing w:after="0"/>
              <w:rPr>
                <w:sz w:val="20"/>
                <w:szCs w:val="20"/>
                <w:color w:val="auto"/>
              </w:rPr>
            </w:pPr>
            <w:r>
              <w:rPr>
                <w:rFonts w:ascii="Arial" w:cs="Arial" w:eastAsia="Arial" w:hAnsi="Arial"/>
                <w:sz w:val="13"/>
                <w:szCs w:val="13"/>
                <w:i w:val="1"/>
                <w:iCs w:val="1"/>
                <w:color w:val="auto"/>
              </w:rPr>
              <w:t>(Dollars in millions)</w:t>
            </w: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80"/>
        </w:trPr>
        <w:tc>
          <w:tcPr>
            <w:tcW w:w="1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0" w:type="dxa"/>
            <w:vAlign w:val="bottom"/>
            <w:gridSpan w:val="4"/>
          </w:tcPr>
          <w:p>
            <w:pPr>
              <w:jc w:val="right"/>
              <w:ind w:right="340"/>
              <w:spacing w:after="0"/>
              <w:rPr>
                <w:sz w:val="20"/>
                <w:szCs w:val="20"/>
                <w:color w:val="auto"/>
              </w:rPr>
            </w:pPr>
            <w:r>
              <w:rPr>
                <w:rFonts w:ascii="Arial" w:cs="Arial" w:eastAsia="Arial" w:hAnsi="Arial"/>
                <w:sz w:val="13"/>
                <w:szCs w:val="13"/>
                <w:color w:val="auto"/>
              </w:rPr>
              <w:t>Sempra Energy</w:t>
            </w: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20" w:type="dxa"/>
            <w:vAlign w:val="bottom"/>
          </w:tcPr>
          <w:p>
            <w:pPr>
              <w:spacing w:after="0"/>
              <w:rPr>
                <w:sz w:val="15"/>
                <w:szCs w:val="15"/>
                <w:color w:val="auto"/>
              </w:rPr>
            </w:pPr>
          </w:p>
        </w:tc>
      </w:tr>
      <w:tr>
        <w:trPr>
          <w:trHeight w:val="161"/>
        </w:trPr>
        <w:tc>
          <w:tcPr>
            <w:tcW w:w="1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0" w:type="dxa"/>
            <w:vAlign w:val="bottom"/>
            <w:gridSpan w:val="4"/>
          </w:tcPr>
          <w:p>
            <w:pPr>
              <w:jc w:val="right"/>
              <w:ind w:right="420"/>
              <w:spacing w:after="0"/>
              <w:rPr>
                <w:sz w:val="20"/>
                <w:szCs w:val="20"/>
                <w:color w:val="auto"/>
              </w:rPr>
            </w:pPr>
            <w:r>
              <w:rPr>
                <w:rFonts w:ascii="Arial" w:cs="Arial" w:eastAsia="Arial" w:hAnsi="Arial"/>
                <w:sz w:val="13"/>
                <w:szCs w:val="13"/>
                <w:color w:val="auto"/>
              </w:rPr>
              <w:t>Consolidated</w:t>
            </w:r>
          </w:p>
        </w:tc>
        <w:tc>
          <w:tcPr>
            <w:tcW w:w="160" w:type="dxa"/>
            <w:vAlign w:val="bottom"/>
          </w:tcPr>
          <w:p>
            <w:pPr>
              <w:spacing w:after="0"/>
              <w:rPr>
                <w:sz w:val="14"/>
                <w:szCs w:val="14"/>
                <w:color w:val="auto"/>
              </w:rPr>
            </w:pPr>
          </w:p>
        </w:tc>
        <w:tc>
          <w:tcPr>
            <w:tcW w:w="880" w:type="dxa"/>
            <w:vAlign w:val="bottom"/>
            <w:gridSpan w:val="2"/>
          </w:tcPr>
          <w:p>
            <w:pPr>
              <w:jc w:val="right"/>
              <w:spacing w:after="0"/>
              <w:rPr>
                <w:sz w:val="20"/>
                <w:szCs w:val="20"/>
                <w:color w:val="auto"/>
              </w:rPr>
            </w:pPr>
            <w:r>
              <w:rPr>
                <w:rFonts w:ascii="Arial" w:cs="Arial" w:eastAsia="Arial" w:hAnsi="Arial"/>
                <w:sz w:val="13"/>
                <w:szCs w:val="13"/>
                <w:color w:val="auto"/>
              </w:rPr>
              <w:t>SDG&amp;E</w:t>
            </w: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40" w:type="dxa"/>
            <w:vAlign w:val="bottom"/>
          </w:tcPr>
          <w:p>
            <w:pPr>
              <w:jc w:val="right"/>
              <w:ind w:right="51"/>
              <w:spacing w:after="0"/>
              <w:rPr>
                <w:sz w:val="20"/>
                <w:szCs w:val="20"/>
                <w:color w:val="auto"/>
              </w:rPr>
            </w:pPr>
            <w:r>
              <w:rPr>
                <w:rFonts w:ascii="Arial" w:cs="Arial" w:eastAsia="Arial" w:hAnsi="Arial"/>
                <w:sz w:val="13"/>
                <w:szCs w:val="13"/>
                <w:color w:val="auto"/>
              </w:rPr>
              <w:t>PE</w:t>
            </w: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60" w:type="dxa"/>
            <w:vAlign w:val="bottom"/>
            <w:gridSpan w:val="3"/>
          </w:tcPr>
          <w:p>
            <w:pPr>
              <w:jc w:val="right"/>
              <w:ind w:right="450"/>
              <w:spacing w:after="0"/>
              <w:rPr>
                <w:sz w:val="20"/>
                <w:szCs w:val="20"/>
                <w:color w:val="auto"/>
              </w:rPr>
            </w:pPr>
            <w:r>
              <w:rPr>
                <w:rFonts w:ascii="Arial" w:cs="Arial" w:eastAsia="Arial" w:hAnsi="Arial"/>
                <w:sz w:val="13"/>
                <w:szCs w:val="13"/>
                <w:color w:val="auto"/>
              </w:rPr>
              <w:t>SoCalGas</w:t>
            </w:r>
          </w:p>
        </w:tc>
      </w:tr>
      <w:tr>
        <w:trPr>
          <w:trHeight w:val="208"/>
        </w:trPr>
        <w:tc>
          <w:tcPr>
            <w:tcW w:w="15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jc w:val="right"/>
              <w:ind w:right="172"/>
              <w:spacing w:after="0"/>
              <w:rPr>
                <w:sz w:val="20"/>
                <w:szCs w:val="20"/>
                <w:color w:val="auto"/>
              </w:rPr>
            </w:pPr>
            <w:r>
              <w:rPr>
                <w:rFonts w:ascii="Arial" w:cs="Arial" w:eastAsia="Arial" w:hAnsi="Arial"/>
                <w:sz w:val="13"/>
                <w:szCs w:val="13"/>
                <w:color w:val="auto"/>
              </w:rPr>
              <w:t>2008</w:t>
            </w:r>
          </w:p>
        </w:tc>
        <w:tc>
          <w:tcPr>
            <w:tcW w:w="220" w:type="dxa"/>
            <w:vAlign w:val="bottom"/>
            <w:tcBorders>
              <w:top w:val="single" w:sz="8" w:color="auto"/>
              <w:bottom w:val="single" w:sz="8" w:color="auto"/>
            </w:tcBorders>
          </w:tcPr>
          <w:p>
            <w:pPr>
              <w:spacing w:after="0"/>
              <w:rPr>
                <w:sz w:val="18"/>
                <w:szCs w:val="18"/>
                <w:color w:val="auto"/>
              </w:rPr>
            </w:pPr>
          </w:p>
        </w:tc>
        <w:tc>
          <w:tcPr>
            <w:tcW w:w="4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3"/>
                <w:szCs w:val="13"/>
                <w:color w:val="auto"/>
              </w:rPr>
              <w:t>2007</w:t>
            </w:r>
          </w:p>
        </w:tc>
        <w:tc>
          <w:tcPr>
            <w:tcW w:w="1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ind w:right="171"/>
              <w:spacing w:after="0"/>
              <w:rPr>
                <w:sz w:val="20"/>
                <w:szCs w:val="20"/>
                <w:color w:val="auto"/>
              </w:rPr>
            </w:pPr>
            <w:r>
              <w:rPr>
                <w:rFonts w:ascii="Arial" w:cs="Arial" w:eastAsia="Arial" w:hAnsi="Arial"/>
                <w:sz w:val="13"/>
                <w:szCs w:val="13"/>
                <w:color w:val="auto"/>
              </w:rPr>
              <w:t>2008</w:t>
            </w:r>
          </w:p>
        </w:tc>
        <w:tc>
          <w:tcPr>
            <w:tcW w:w="260" w:type="dxa"/>
            <w:vAlign w:val="bottom"/>
            <w:tcBorders>
              <w:top w:val="single" w:sz="8" w:color="auto"/>
              <w:bottom w:val="single" w:sz="8" w:color="auto"/>
            </w:tcBorders>
          </w:tcPr>
          <w:p>
            <w:pPr>
              <w:spacing w:after="0"/>
              <w:rPr>
                <w:sz w:val="18"/>
                <w:szCs w:val="18"/>
                <w:color w:val="auto"/>
              </w:rPr>
            </w:pPr>
          </w:p>
        </w:tc>
        <w:tc>
          <w:tcPr>
            <w:tcW w:w="4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3"/>
                <w:szCs w:val="13"/>
                <w:color w:val="auto"/>
                <w:w w:val="96"/>
              </w:rPr>
              <w:t>2007</w:t>
            </w:r>
          </w:p>
        </w:tc>
        <w:tc>
          <w:tcPr>
            <w:tcW w:w="1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0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3"/>
                <w:szCs w:val="13"/>
                <w:color w:val="auto"/>
              </w:rPr>
              <w:t>2008</w:t>
            </w:r>
          </w:p>
        </w:tc>
        <w:tc>
          <w:tcPr>
            <w:tcW w:w="340" w:type="dxa"/>
            <w:vAlign w:val="bottom"/>
            <w:tcBorders>
              <w:top w:val="single" w:sz="8" w:color="auto"/>
              <w:bottom w:val="single" w:sz="8" w:color="auto"/>
            </w:tcBorders>
          </w:tcPr>
          <w:p>
            <w:pPr>
              <w:spacing w:after="0"/>
              <w:rPr>
                <w:sz w:val="18"/>
                <w:szCs w:val="18"/>
                <w:color w:val="auto"/>
              </w:rPr>
            </w:pPr>
          </w:p>
        </w:tc>
        <w:tc>
          <w:tcPr>
            <w:tcW w:w="4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3"/>
                <w:szCs w:val="13"/>
                <w:color w:val="auto"/>
              </w:rPr>
              <w:t>2007</w:t>
            </w:r>
          </w:p>
        </w:tc>
        <w:tc>
          <w:tcPr>
            <w:tcW w:w="1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ind w:right="131"/>
              <w:spacing w:after="0"/>
              <w:rPr>
                <w:sz w:val="20"/>
                <w:szCs w:val="20"/>
                <w:color w:val="auto"/>
              </w:rPr>
            </w:pPr>
            <w:r>
              <w:rPr>
                <w:rFonts w:ascii="Arial" w:cs="Arial" w:eastAsia="Arial" w:hAnsi="Arial"/>
                <w:sz w:val="13"/>
                <w:szCs w:val="13"/>
                <w:color w:val="auto"/>
              </w:rPr>
              <w:t>2008</w:t>
            </w:r>
          </w:p>
        </w:tc>
        <w:tc>
          <w:tcPr>
            <w:tcW w:w="22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3"/>
                <w:szCs w:val="13"/>
                <w:color w:val="auto"/>
              </w:rPr>
              <w:t>2007</w:t>
            </w:r>
          </w:p>
        </w:tc>
      </w:tr>
      <w:tr>
        <w:trPr>
          <w:trHeight w:val="207"/>
        </w:trPr>
        <w:tc>
          <w:tcPr>
            <w:tcW w:w="1500" w:type="dxa"/>
            <w:vAlign w:val="bottom"/>
          </w:tcPr>
          <w:p>
            <w:pPr>
              <w:ind w:left="20"/>
              <w:spacing w:after="0"/>
              <w:rPr>
                <w:sz w:val="20"/>
                <w:szCs w:val="20"/>
                <w:color w:val="auto"/>
              </w:rPr>
            </w:pPr>
            <w:r>
              <w:rPr>
                <w:rFonts w:ascii="Arial" w:cs="Arial" w:eastAsia="Arial" w:hAnsi="Arial"/>
                <w:sz w:val="14"/>
                <w:szCs w:val="14"/>
                <w:color w:val="auto"/>
              </w:rPr>
              <w:t>Current (asset) liability</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580" w:type="dxa"/>
            <w:vAlign w:val="bottom"/>
          </w:tcPr>
          <w:p>
            <w:pPr>
              <w:jc w:val="right"/>
              <w:ind w:right="32"/>
              <w:spacing w:after="0"/>
              <w:rPr>
                <w:sz w:val="20"/>
                <w:szCs w:val="20"/>
                <w:color w:val="auto"/>
              </w:rPr>
            </w:pPr>
            <w:r>
              <w:rPr>
                <w:rFonts w:ascii="Arial" w:cs="Arial" w:eastAsia="Arial" w:hAnsi="Arial"/>
                <w:sz w:val="14"/>
                <w:szCs w:val="14"/>
                <w:color w:val="auto"/>
              </w:rPr>
              <w:t>(31 )</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120"/>
              <w:spacing w:after="0"/>
              <w:rPr>
                <w:sz w:val="20"/>
                <w:szCs w:val="20"/>
                <w:color w:val="auto"/>
              </w:rPr>
            </w:pPr>
            <w:r>
              <w:rPr>
                <w:rFonts w:ascii="Arial" w:cs="Arial" w:eastAsia="Arial" w:hAnsi="Arial"/>
                <w:sz w:val="14"/>
                <w:szCs w:val="14"/>
                <w:color w:val="auto"/>
              </w:rPr>
              <w:t>(247 )</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11"/>
              <w:spacing w:after="0"/>
              <w:rPr>
                <w:sz w:val="20"/>
                <w:szCs w:val="20"/>
                <w:color w:val="auto"/>
              </w:rPr>
            </w:pPr>
            <w:r>
              <w:rPr>
                <w:rFonts w:ascii="Arial" w:cs="Arial" w:eastAsia="Arial" w:hAnsi="Arial"/>
                <w:sz w:val="14"/>
                <w:szCs w:val="14"/>
                <w:color w:val="auto"/>
              </w:rPr>
              <w:t>(17 )</w:t>
            </w:r>
          </w:p>
        </w:tc>
        <w:tc>
          <w:tcPr>
            <w:tcW w:w="2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580" w:type="dxa"/>
            <w:vAlign w:val="bottom"/>
            <w:gridSpan w:val="2"/>
          </w:tcPr>
          <w:p>
            <w:pPr>
              <w:jc w:val="right"/>
              <w:ind w:right="120"/>
              <w:spacing w:after="0"/>
              <w:rPr>
                <w:sz w:val="20"/>
                <w:szCs w:val="20"/>
                <w:color w:val="auto"/>
              </w:rPr>
            </w:pPr>
            <w:r>
              <w:rPr>
                <w:rFonts w:ascii="Arial" w:cs="Arial" w:eastAsia="Arial" w:hAnsi="Arial"/>
                <w:sz w:val="14"/>
                <w:szCs w:val="14"/>
                <w:color w:val="auto"/>
              </w:rPr>
              <w:t>(67 )</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500" w:type="dxa"/>
            <w:vAlign w:val="bottom"/>
          </w:tcPr>
          <w:p>
            <w:pPr>
              <w:jc w:val="right"/>
              <w:spacing w:after="0"/>
              <w:rPr>
                <w:sz w:val="20"/>
                <w:szCs w:val="20"/>
                <w:color w:val="auto"/>
              </w:rPr>
            </w:pPr>
            <w:r>
              <w:rPr>
                <w:rFonts w:ascii="Arial" w:cs="Arial" w:eastAsia="Arial" w:hAnsi="Arial"/>
                <w:sz w:val="14"/>
                <w:szCs w:val="14"/>
                <w:color w:val="auto"/>
              </w:rPr>
              <w:t>6</w:t>
            </w:r>
          </w:p>
        </w:tc>
        <w:tc>
          <w:tcPr>
            <w:tcW w:w="340" w:type="dxa"/>
            <w:vAlign w:val="bottom"/>
          </w:tcPr>
          <w:p>
            <w:pPr>
              <w:jc w:val="right"/>
              <w:spacing w:after="0"/>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120"/>
              <w:spacing w:after="0"/>
              <w:rPr>
                <w:sz w:val="20"/>
                <w:szCs w:val="20"/>
                <w:color w:val="auto"/>
              </w:rPr>
            </w:pPr>
            <w:r>
              <w:rPr>
                <w:rFonts w:ascii="Arial" w:cs="Arial" w:eastAsia="Arial" w:hAnsi="Arial"/>
                <w:sz w:val="14"/>
                <w:szCs w:val="14"/>
                <w:color w:val="auto"/>
              </w:rPr>
              <w:t>(33 )</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11"/>
              <w:spacing w:after="0"/>
              <w:rPr>
                <w:sz w:val="20"/>
                <w:szCs w:val="20"/>
                <w:color w:val="auto"/>
              </w:rPr>
            </w:pPr>
            <w:r>
              <w:rPr>
                <w:rFonts w:ascii="Arial" w:cs="Arial" w:eastAsia="Arial" w:hAnsi="Arial"/>
                <w:sz w:val="14"/>
                <w:szCs w:val="14"/>
                <w:color w:val="auto"/>
              </w:rPr>
              <w:t>6</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50"/>
              <w:spacing w:after="0"/>
              <w:rPr>
                <w:sz w:val="20"/>
                <w:szCs w:val="20"/>
                <w:color w:val="auto"/>
              </w:rPr>
            </w:pPr>
            <w:r>
              <w:rPr>
                <w:rFonts w:ascii="Arial" w:cs="Arial" w:eastAsia="Arial" w:hAnsi="Arial"/>
                <w:sz w:val="14"/>
                <w:szCs w:val="14"/>
                <w:color w:val="auto"/>
              </w:rPr>
              <w:t>(33 )</w:t>
            </w:r>
          </w:p>
        </w:tc>
      </w:tr>
      <w:tr>
        <w:trPr>
          <w:trHeight w:val="222"/>
        </w:trPr>
        <w:tc>
          <w:tcPr>
            <w:tcW w:w="1500" w:type="dxa"/>
            <w:vAlign w:val="bottom"/>
          </w:tcPr>
          <w:p>
            <w:pPr>
              <w:ind w:left="20"/>
              <w:spacing w:after="0"/>
              <w:rPr>
                <w:sz w:val="20"/>
                <w:szCs w:val="20"/>
                <w:color w:val="auto"/>
              </w:rPr>
            </w:pPr>
            <w:r>
              <w:rPr>
                <w:rFonts w:ascii="Arial" w:cs="Arial" w:eastAsia="Arial" w:hAnsi="Arial"/>
                <w:sz w:val="14"/>
                <w:szCs w:val="14"/>
                <w:color w:val="auto"/>
              </w:rPr>
              <w:t>Noncurrent liability</w:t>
            </w:r>
          </w:p>
        </w:tc>
        <w:tc>
          <w:tcPr>
            <w:tcW w:w="2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color w:val="auto"/>
              </w:rPr>
              <w:t>946</w:t>
            </w:r>
          </w:p>
        </w:tc>
        <w:tc>
          <w:tcPr>
            <w:tcW w:w="2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531</w:t>
            </w:r>
          </w:p>
        </w:tc>
        <w:tc>
          <w:tcPr>
            <w:tcW w:w="1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91"/>
              <w:spacing w:after="0"/>
              <w:rPr>
                <w:sz w:val="20"/>
                <w:szCs w:val="20"/>
                <w:color w:val="auto"/>
              </w:rPr>
            </w:pPr>
            <w:r>
              <w:rPr>
                <w:rFonts w:ascii="Arial" w:cs="Arial" w:eastAsia="Arial" w:hAnsi="Arial"/>
                <w:sz w:val="14"/>
                <w:szCs w:val="14"/>
                <w:color w:val="auto"/>
              </w:rPr>
              <w:t>628</w:t>
            </w:r>
          </w:p>
        </w:tc>
        <w:tc>
          <w:tcPr>
            <w:tcW w:w="26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506</w:t>
            </w:r>
          </w:p>
        </w:tc>
        <w:tc>
          <w:tcPr>
            <w:tcW w:w="1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157</w:t>
            </w:r>
          </w:p>
        </w:tc>
        <w:tc>
          <w:tcPr>
            <w:tcW w:w="34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102</w:t>
            </w:r>
          </w:p>
        </w:tc>
        <w:tc>
          <w:tcPr>
            <w:tcW w:w="1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color w:val="auto"/>
              </w:rPr>
              <w:t>167</w:t>
            </w:r>
          </w:p>
        </w:tc>
        <w:tc>
          <w:tcPr>
            <w:tcW w:w="2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130"/>
              <w:spacing w:after="0"/>
              <w:rPr>
                <w:sz w:val="20"/>
                <w:szCs w:val="20"/>
                <w:color w:val="auto"/>
              </w:rPr>
            </w:pPr>
            <w:r>
              <w:rPr>
                <w:rFonts w:ascii="Arial" w:cs="Arial" w:eastAsia="Arial" w:hAnsi="Arial"/>
                <w:sz w:val="14"/>
                <w:szCs w:val="14"/>
                <w:color w:val="auto"/>
              </w:rPr>
              <w:t>117</w:t>
            </w:r>
          </w:p>
        </w:tc>
      </w:tr>
      <w:tr>
        <w:trPr>
          <w:trHeight w:val="224"/>
        </w:trPr>
        <w:tc>
          <w:tcPr>
            <w:tcW w:w="15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Total</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color w:val="auto"/>
              </w:rPr>
              <w:t>915</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284</w:t>
            </w:r>
          </w:p>
        </w:tc>
        <w:tc>
          <w:tcPr>
            <w:tcW w:w="16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tcPr>
          <w:p>
            <w:pPr>
              <w:jc w:val="right"/>
              <w:ind w:right="91"/>
              <w:spacing w:after="0"/>
              <w:rPr>
                <w:sz w:val="20"/>
                <w:szCs w:val="20"/>
                <w:color w:val="auto"/>
              </w:rPr>
            </w:pPr>
            <w:r>
              <w:rPr>
                <w:rFonts w:ascii="Arial" w:cs="Arial" w:eastAsia="Arial" w:hAnsi="Arial"/>
                <w:sz w:val="14"/>
                <w:szCs w:val="14"/>
                <w:color w:val="auto"/>
              </w:rPr>
              <w:t>611</w:t>
            </w:r>
          </w:p>
        </w:tc>
        <w:tc>
          <w:tcPr>
            <w:tcW w:w="2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439</w:t>
            </w:r>
          </w:p>
        </w:tc>
        <w:tc>
          <w:tcPr>
            <w:tcW w:w="1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163</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69</w:t>
            </w:r>
          </w:p>
        </w:tc>
        <w:tc>
          <w:tcPr>
            <w:tcW w:w="16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color w:val="auto"/>
              </w:rPr>
              <w:t>173</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tcPr>
          <w:p>
            <w:pPr>
              <w:jc w:val="right"/>
              <w:ind w:right="130"/>
              <w:spacing w:after="0"/>
              <w:rPr>
                <w:sz w:val="20"/>
                <w:szCs w:val="20"/>
                <w:color w:val="auto"/>
              </w:rPr>
            </w:pPr>
            <w:r>
              <w:rPr>
                <w:rFonts w:ascii="Arial" w:cs="Arial" w:eastAsia="Arial" w:hAnsi="Arial"/>
                <w:sz w:val="14"/>
                <w:szCs w:val="14"/>
                <w:color w:val="auto"/>
              </w:rPr>
              <w:t>84</w:t>
            </w:r>
          </w:p>
        </w:tc>
      </w:tr>
    </w:tbl>
    <w:p>
      <w:pPr>
        <w:spacing w:after="0" w:line="180" w:lineRule="exact"/>
        <w:rPr>
          <w:sz w:val="20"/>
          <w:szCs w:val="20"/>
          <w:color w:val="auto"/>
        </w:rPr>
      </w:pPr>
    </w:p>
    <w:p>
      <w:pPr>
        <w:spacing w:after="0" w:line="257" w:lineRule="auto"/>
        <w:rPr>
          <w:sz w:val="20"/>
          <w:szCs w:val="20"/>
          <w:color w:val="auto"/>
        </w:rPr>
      </w:pPr>
      <w:r>
        <w:rPr>
          <w:rFonts w:ascii="Arial" w:cs="Arial" w:eastAsia="Arial" w:hAnsi="Arial"/>
          <w:sz w:val="16"/>
          <w:szCs w:val="16"/>
          <w:color w:val="auto"/>
        </w:rPr>
        <w:t>At December 31, 2008, foreign subsidiaries had $318 million in unused net operating losses available to reduce Sempra Energy’s future income taxes, primarily in Mexico. Significant amounts of these losses become unavailable to reduce future income taxes beginning in 2017 as our ability to apply them to future earnings expires. Financial statement benefits were recorded on all but $54 million of these losses, primarily by offsetting them against deferred tax liabilities with the same expiration pattern and country of jurisdiction. No benefits were recorded on the $54 million because they were incurred in jurisdictions where utilization is sufficiently in doubt. In 2008, the decrease in valuation allowance compared to 2007 was primarily due to a reduction in state net operating loss carryovers.</w:t>
      </w:r>
    </w:p>
    <w:p>
      <w:pPr>
        <w:spacing w:after="0" w:line="48" w:lineRule="exact"/>
        <w:rPr>
          <w:sz w:val="20"/>
          <w:szCs w:val="20"/>
          <w:color w:val="auto"/>
        </w:rPr>
      </w:pPr>
    </w:p>
    <w:p>
      <w:pPr>
        <w:ind w:right="80"/>
        <w:spacing w:after="0" w:line="340" w:lineRule="auto"/>
        <w:rPr>
          <w:sz w:val="20"/>
          <w:szCs w:val="20"/>
          <w:color w:val="auto"/>
        </w:rPr>
      </w:pPr>
      <w:r>
        <w:rPr>
          <w:rFonts w:ascii="Arial" w:cs="Arial" w:eastAsia="Arial" w:hAnsi="Arial"/>
          <w:sz w:val="14"/>
          <w:szCs w:val="14"/>
          <w:color w:val="auto"/>
        </w:rPr>
        <w:t>At December 31, 2008, Sempra Energy had not provided for U.S. income taxes on $1 billion of foreign subsidiaries' undistributed earnings since they are expected to be reinvested indefinitely outside the United States. It is not possible to predict the amount of U.S. income taxes that might be payable if these earnings were eventually repatriated.</w:t>
      </w:r>
    </w:p>
    <w:p>
      <w:pPr>
        <w:spacing w:after="0"/>
        <w:rPr>
          <w:sz w:val="20"/>
          <w:szCs w:val="20"/>
          <w:color w:val="auto"/>
        </w:rPr>
      </w:pPr>
      <w:r>
        <w:rPr>
          <w:rFonts w:ascii="Arial" w:cs="Arial" w:eastAsia="Arial" w:hAnsi="Arial"/>
          <w:sz w:val="16"/>
          <w:szCs w:val="16"/>
          <w:color w:val="auto"/>
        </w:rPr>
        <w:t>Sempra Commodities recorded synthetic fuels tax credits of $32 million in 2007.</w:t>
      </w:r>
    </w:p>
    <w:p>
      <w:pPr>
        <w:spacing w:after="0" w:line="80" w:lineRule="exact"/>
        <w:rPr>
          <w:sz w:val="20"/>
          <w:szCs w:val="20"/>
          <w:color w:val="auto"/>
        </w:rPr>
      </w:pPr>
    </w:p>
    <w:p>
      <w:pPr>
        <w:spacing w:after="0"/>
        <w:rPr>
          <w:sz w:val="20"/>
          <w:szCs w:val="20"/>
          <w:color w:val="auto"/>
        </w:rPr>
      </w:pPr>
      <w:r>
        <w:rPr>
          <w:rFonts w:ascii="Arial" w:cs="Arial" w:eastAsia="Arial" w:hAnsi="Arial"/>
          <w:sz w:val="16"/>
          <w:szCs w:val="16"/>
          <w:color w:val="auto"/>
        </w:rPr>
        <w:t>Following is a summary of unrecognized tax benefits at December 31,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1195070</wp:posOffset>
            </wp:positionH>
            <wp:positionV relativeFrom="paragraph">
              <wp:posOffset>196215</wp:posOffset>
            </wp:positionV>
            <wp:extent cx="4866640" cy="24384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4866640" cy="243840"/>
                    </a:xfrm>
                    <a:prstGeom prst="rect">
                      <a:avLst/>
                    </a:prstGeom>
                    <a:noFill/>
                  </pic:spPr>
                </pic:pic>
              </a:graphicData>
            </a:graphic>
          </wp:anchor>
        </w:drawing>
      </w:r>
    </w:p>
    <w:p>
      <w:pPr>
        <w:spacing w:after="0" w:line="297" w:lineRule="exact"/>
        <w:rPr>
          <w:sz w:val="20"/>
          <w:szCs w:val="20"/>
          <w:color w:val="auto"/>
        </w:rPr>
      </w:pPr>
    </w:p>
    <w:p>
      <w:pPr>
        <w:ind w:left="1900"/>
        <w:spacing w:after="0"/>
        <w:rPr>
          <w:sz w:val="20"/>
          <w:szCs w:val="20"/>
          <w:color w:val="auto"/>
        </w:rPr>
      </w:pPr>
      <w:r>
        <w:rPr>
          <w:rFonts w:ascii="Arial" w:cs="Arial" w:eastAsia="Arial" w:hAnsi="Arial"/>
          <w:sz w:val="14"/>
          <w:szCs w:val="14"/>
          <w:b w:val="1"/>
          <w:bCs w:val="1"/>
          <w:color w:val="auto"/>
        </w:rPr>
        <w:t>SUMMARY OF UNRECOGNIZED TAX BENEFITS</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1880" w:type="dxa"/>
            <w:vAlign w:val="bottom"/>
          </w:tcPr>
          <w:p>
            <w:pPr>
              <w:spacing w:after="0"/>
              <w:rPr>
                <w:sz w:val="14"/>
                <w:szCs w:val="14"/>
                <w:color w:val="auto"/>
              </w:rPr>
            </w:pPr>
          </w:p>
        </w:tc>
        <w:tc>
          <w:tcPr>
            <w:tcW w:w="3360" w:type="dxa"/>
            <w:vAlign w:val="bottom"/>
          </w:tcPr>
          <w:p>
            <w:pPr>
              <w:ind w:left="20"/>
              <w:spacing w:after="0"/>
              <w:rPr>
                <w:sz w:val="20"/>
                <w:szCs w:val="20"/>
                <w:color w:val="auto"/>
              </w:rPr>
            </w:pPr>
            <w:r>
              <w:rPr>
                <w:rFonts w:ascii="Arial" w:cs="Arial" w:eastAsia="Arial" w:hAnsi="Arial"/>
                <w:sz w:val="13"/>
                <w:szCs w:val="13"/>
                <w:i w:val="1"/>
                <w:iCs w:val="1"/>
                <w:color w:val="auto"/>
              </w:rPr>
              <w:t>(Dollars in millions)</w:t>
            </w: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80"/>
        </w:trPr>
        <w:tc>
          <w:tcPr>
            <w:tcW w:w="1880" w:type="dxa"/>
            <w:vAlign w:val="bottom"/>
          </w:tcPr>
          <w:p>
            <w:pPr>
              <w:spacing w:after="0"/>
              <w:rPr>
                <w:sz w:val="15"/>
                <w:szCs w:val="15"/>
                <w:color w:val="auto"/>
              </w:rPr>
            </w:pPr>
          </w:p>
        </w:tc>
        <w:tc>
          <w:tcPr>
            <w:tcW w:w="33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jc w:val="center"/>
              <w:ind w:right="73"/>
              <w:spacing w:after="0"/>
              <w:rPr>
                <w:sz w:val="20"/>
                <w:szCs w:val="20"/>
                <w:color w:val="auto"/>
              </w:rPr>
            </w:pPr>
            <w:r>
              <w:rPr>
                <w:rFonts w:ascii="Arial" w:cs="Arial" w:eastAsia="Arial" w:hAnsi="Arial"/>
                <w:sz w:val="13"/>
                <w:szCs w:val="13"/>
                <w:color w:val="auto"/>
                <w:w w:val="97"/>
              </w:rPr>
              <w:t>Sempra Energy</w:t>
            </w:r>
          </w:p>
        </w:tc>
        <w:tc>
          <w:tcPr>
            <w:tcW w:w="4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61"/>
        </w:trPr>
        <w:tc>
          <w:tcPr>
            <w:tcW w:w="1880" w:type="dxa"/>
            <w:vAlign w:val="bottom"/>
          </w:tcPr>
          <w:p>
            <w:pPr>
              <w:spacing w:after="0"/>
              <w:rPr>
                <w:sz w:val="14"/>
                <w:szCs w:val="14"/>
                <w:color w:val="auto"/>
              </w:rPr>
            </w:pPr>
          </w:p>
        </w:tc>
        <w:tc>
          <w:tcPr>
            <w:tcW w:w="33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center"/>
              <w:ind w:right="73"/>
              <w:spacing w:after="0"/>
              <w:rPr>
                <w:sz w:val="20"/>
                <w:szCs w:val="20"/>
                <w:color w:val="auto"/>
              </w:rPr>
            </w:pPr>
            <w:r>
              <w:rPr>
                <w:rFonts w:ascii="Arial" w:cs="Arial" w:eastAsia="Arial" w:hAnsi="Arial"/>
                <w:sz w:val="13"/>
                <w:szCs w:val="13"/>
                <w:color w:val="auto"/>
              </w:rPr>
              <w:t>Consolidated</w:t>
            </w:r>
          </w:p>
        </w:tc>
        <w:tc>
          <w:tcPr>
            <w:tcW w:w="4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11"/>
              <w:spacing w:after="0"/>
              <w:rPr>
                <w:sz w:val="20"/>
                <w:szCs w:val="20"/>
                <w:color w:val="auto"/>
              </w:rPr>
            </w:pPr>
            <w:r>
              <w:rPr>
                <w:rFonts w:ascii="Arial" w:cs="Arial" w:eastAsia="Arial" w:hAnsi="Arial"/>
                <w:sz w:val="13"/>
                <w:szCs w:val="13"/>
                <w:color w:val="auto"/>
              </w:rPr>
              <w:t>SDG&amp;E</w:t>
            </w:r>
          </w:p>
        </w:tc>
        <w:tc>
          <w:tcPr>
            <w:tcW w:w="32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332"/>
              <w:spacing w:after="0"/>
              <w:rPr>
                <w:sz w:val="20"/>
                <w:szCs w:val="20"/>
                <w:color w:val="auto"/>
              </w:rPr>
            </w:pPr>
            <w:r>
              <w:rPr>
                <w:rFonts w:ascii="Arial" w:cs="Arial" w:eastAsia="Arial" w:hAnsi="Arial"/>
                <w:sz w:val="13"/>
                <w:szCs w:val="13"/>
                <w:color w:val="auto"/>
              </w:rPr>
              <w:t>PE/ SoCalGas</w:t>
            </w:r>
          </w:p>
        </w:tc>
        <w:tc>
          <w:tcPr>
            <w:tcW w:w="20" w:type="dxa"/>
            <w:vAlign w:val="bottom"/>
          </w:tcPr>
          <w:p>
            <w:pPr>
              <w:spacing w:after="0"/>
              <w:rPr>
                <w:sz w:val="14"/>
                <w:szCs w:val="14"/>
                <w:color w:val="auto"/>
              </w:rPr>
            </w:pPr>
          </w:p>
        </w:tc>
      </w:tr>
      <w:tr>
        <w:trPr>
          <w:trHeight w:val="229"/>
        </w:trPr>
        <w:tc>
          <w:tcPr>
            <w:tcW w:w="1880" w:type="dxa"/>
            <w:vAlign w:val="bottom"/>
          </w:tcPr>
          <w:p>
            <w:pPr>
              <w:spacing w:after="0"/>
              <w:rPr>
                <w:sz w:val="19"/>
                <w:szCs w:val="19"/>
                <w:color w:val="auto"/>
              </w:rPr>
            </w:pPr>
          </w:p>
        </w:tc>
        <w:tc>
          <w:tcPr>
            <w:tcW w:w="3360" w:type="dxa"/>
            <w:vAlign w:val="bottom"/>
          </w:tcPr>
          <w:p>
            <w:pPr>
              <w:ind w:left="20"/>
              <w:spacing w:after="0"/>
              <w:rPr>
                <w:sz w:val="20"/>
                <w:szCs w:val="20"/>
                <w:color w:val="auto"/>
              </w:rPr>
            </w:pPr>
            <w:r>
              <w:rPr>
                <w:rFonts w:ascii="Arial" w:cs="Arial" w:eastAsia="Arial" w:hAnsi="Arial"/>
                <w:sz w:val="14"/>
                <w:szCs w:val="14"/>
                <w:color w:val="auto"/>
              </w:rPr>
              <w:t>Total</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color w:val="auto"/>
              </w:rPr>
              <w:t>104</w:t>
            </w:r>
          </w:p>
        </w:tc>
        <w:tc>
          <w:tcPr>
            <w:tcW w:w="4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color w:val="auto"/>
              </w:rPr>
              <w:t>18</w:t>
            </w:r>
          </w:p>
        </w:tc>
        <w:tc>
          <w:tcPr>
            <w:tcW w:w="3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color w:val="auto"/>
              </w:rPr>
              <w:t>19</w:t>
            </w:r>
          </w:p>
        </w:tc>
        <w:tc>
          <w:tcPr>
            <w:tcW w:w="20" w:type="dxa"/>
            <w:vAlign w:val="bottom"/>
          </w:tcPr>
          <w:p>
            <w:pPr>
              <w:spacing w:after="0"/>
              <w:rPr>
                <w:sz w:val="19"/>
                <w:szCs w:val="19"/>
                <w:color w:val="auto"/>
              </w:rPr>
            </w:pPr>
          </w:p>
        </w:tc>
      </w:tr>
      <w:tr>
        <w:trPr>
          <w:trHeight w:val="182"/>
        </w:trPr>
        <w:tc>
          <w:tcPr>
            <w:tcW w:w="1880" w:type="dxa"/>
            <w:vAlign w:val="bottom"/>
          </w:tcPr>
          <w:p>
            <w:pPr>
              <w:spacing w:after="0"/>
              <w:rPr>
                <w:sz w:val="15"/>
                <w:szCs w:val="15"/>
                <w:color w:val="auto"/>
              </w:rPr>
            </w:pPr>
          </w:p>
        </w:tc>
        <w:tc>
          <w:tcPr>
            <w:tcW w:w="3360" w:type="dxa"/>
            <w:vAlign w:val="bottom"/>
          </w:tcPr>
          <w:p>
            <w:pPr>
              <w:ind w:left="20"/>
              <w:spacing w:after="0"/>
              <w:rPr>
                <w:sz w:val="20"/>
                <w:szCs w:val="20"/>
                <w:color w:val="auto"/>
              </w:rPr>
            </w:pPr>
            <w:r>
              <w:rPr>
                <w:rFonts w:ascii="Arial" w:cs="Arial" w:eastAsia="Arial" w:hAnsi="Arial"/>
                <w:sz w:val="14"/>
                <w:szCs w:val="14"/>
                <w:color w:val="auto"/>
              </w:rPr>
              <w:t>Of the total, amounts related to tax positions that, if</w:t>
            </w:r>
          </w:p>
        </w:tc>
        <w:tc>
          <w:tcPr>
            <w:tcW w:w="1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72"/>
        </w:trPr>
        <w:tc>
          <w:tcPr>
            <w:tcW w:w="1880" w:type="dxa"/>
            <w:vAlign w:val="bottom"/>
          </w:tcPr>
          <w:p>
            <w:pPr>
              <w:spacing w:after="0"/>
              <w:rPr>
                <w:sz w:val="14"/>
                <w:szCs w:val="14"/>
                <w:color w:val="auto"/>
              </w:rPr>
            </w:pPr>
          </w:p>
        </w:tc>
        <w:tc>
          <w:tcPr>
            <w:tcW w:w="3360" w:type="dxa"/>
            <w:vAlign w:val="bottom"/>
          </w:tcPr>
          <w:p>
            <w:pPr>
              <w:ind w:left="240"/>
              <w:spacing w:after="0"/>
              <w:rPr>
                <w:sz w:val="20"/>
                <w:szCs w:val="20"/>
                <w:color w:val="auto"/>
              </w:rPr>
            </w:pPr>
            <w:r>
              <w:rPr>
                <w:rFonts w:ascii="Arial" w:cs="Arial" w:eastAsia="Arial" w:hAnsi="Arial"/>
                <w:sz w:val="14"/>
                <w:szCs w:val="14"/>
                <w:color w:val="auto"/>
              </w:rPr>
              <w:t>recognized, in future years, would:</w:t>
            </w: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16"/>
        </w:trPr>
        <w:tc>
          <w:tcPr>
            <w:tcW w:w="1880" w:type="dxa"/>
            <w:vAlign w:val="bottom"/>
          </w:tcPr>
          <w:p>
            <w:pPr>
              <w:spacing w:after="0"/>
              <w:rPr>
                <w:sz w:val="18"/>
                <w:szCs w:val="18"/>
                <w:color w:val="auto"/>
              </w:rPr>
            </w:pPr>
          </w:p>
        </w:tc>
        <w:tc>
          <w:tcPr>
            <w:tcW w:w="3360" w:type="dxa"/>
            <w:vAlign w:val="bottom"/>
          </w:tcPr>
          <w:p>
            <w:pPr>
              <w:ind w:left="360"/>
              <w:spacing w:after="0"/>
              <w:rPr>
                <w:sz w:val="20"/>
                <w:szCs w:val="20"/>
                <w:color w:val="auto"/>
              </w:rPr>
            </w:pPr>
            <w:r>
              <w:rPr>
                <w:rFonts w:ascii="Arial" w:cs="Arial" w:eastAsia="Arial" w:hAnsi="Arial"/>
                <w:sz w:val="14"/>
                <w:szCs w:val="14"/>
                <w:color w:val="auto"/>
              </w:rPr>
              <w:t>decrease the effective tax rate</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113"/>
              <w:spacing w:after="0"/>
              <w:rPr>
                <w:sz w:val="20"/>
                <w:szCs w:val="20"/>
                <w:color w:val="auto"/>
              </w:rPr>
            </w:pPr>
            <w:r>
              <w:rPr>
                <w:rFonts w:ascii="Arial" w:cs="Arial" w:eastAsia="Arial" w:hAnsi="Arial"/>
                <w:sz w:val="14"/>
                <w:szCs w:val="14"/>
                <w:color w:val="auto"/>
              </w:rPr>
              <w:t>64</w:t>
            </w:r>
          </w:p>
        </w:tc>
        <w:tc>
          <w:tcPr>
            <w:tcW w:w="40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111"/>
              <w:spacing w:after="0"/>
              <w:rPr>
                <w:sz w:val="20"/>
                <w:szCs w:val="20"/>
                <w:color w:val="auto"/>
              </w:rPr>
            </w:pPr>
            <w:r>
              <w:rPr>
                <w:rFonts w:ascii="Arial" w:cs="Arial" w:eastAsia="Arial" w:hAnsi="Arial"/>
                <w:sz w:val="14"/>
                <w:szCs w:val="14"/>
                <w:color w:val="auto"/>
              </w:rPr>
              <w:t>17</w:t>
            </w:r>
          </w:p>
        </w:tc>
        <w:tc>
          <w:tcPr>
            <w:tcW w:w="3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300" w:type="dxa"/>
            <w:vAlign w:val="bottom"/>
          </w:tcPr>
          <w:p>
            <w:pPr>
              <w:jc w:val="right"/>
              <w:ind w:right="272"/>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8"/>
                <w:szCs w:val="18"/>
                <w:color w:val="auto"/>
              </w:rPr>
            </w:pPr>
          </w:p>
        </w:tc>
      </w:tr>
      <w:tr>
        <w:trPr>
          <w:trHeight w:val="250"/>
        </w:trPr>
        <w:tc>
          <w:tcPr>
            <w:tcW w:w="1880" w:type="dxa"/>
            <w:vAlign w:val="bottom"/>
          </w:tcPr>
          <w:p>
            <w:pPr>
              <w:spacing w:after="0"/>
              <w:rPr>
                <w:sz w:val="21"/>
                <w:szCs w:val="21"/>
                <w:color w:val="auto"/>
              </w:rPr>
            </w:pPr>
          </w:p>
        </w:tc>
        <w:tc>
          <w:tcPr>
            <w:tcW w:w="3360" w:type="dxa"/>
            <w:vAlign w:val="bottom"/>
            <w:tcBorders>
              <w:bottom w:val="single" w:sz="8" w:color="DFDFDF"/>
            </w:tcBorders>
          </w:tcPr>
          <w:p>
            <w:pPr>
              <w:ind w:left="360"/>
              <w:spacing w:after="0"/>
              <w:rPr>
                <w:sz w:val="20"/>
                <w:szCs w:val="20"/>
                <w:color w:val="auto"/>
              </w:rPr>
            </w:pPr>
            <w:r>
              <w:rPr>
                <w:rFonts w:ascii="Arial" w:cs="Arial" w:eastAsia="Arial" w:hAnsi="Arial"/>
                <w:sz w:val="14"/>
                <w:szCs w:val="14"/>
                <w:color w:val="auto"/>
              </w:rPr>
              <w:t>increase the effective tax rate</w:t>
            </w:r>
          </w:p>
        </w:tc>
        <w:tc>
          <w:tcPr>
            <w:tcW w:w="180" w:type="dxa"/>
            <w:vAlign w:val="bottom"/>
            <w:tcBorders>
              <w:bottom w:val="single" w:sz="8" w:color="DFDFDF"/>
            </w:tcBorders>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DFDFDF"/>
            </w:tcBorders>
          </w:tcPr>
          <w:p>
            <w:pPr>
              <w:jc w:val="right"/>
              <w:ind w:right="113"/>
              <w:spacing w:after="0"/>
              <w:rPr>
                <w:sz w:val="20"/>
                <w:szCs w:val="20"/>
                <w:color w:val="auto"/>
              </w:rPr>
            </w:pPr>
            <w:r>
              <w:rPr>
                <w:rFonts w:ascii="Arial" w:cs="Arial" w:eastAsia="Arial" w:hAnsi="Arial"/>
                <w:sz w:val="14"/>
                <w:szCs w:val="14"/>
                <w:color w:val="auto"/>
              </w:rPr>
              <w:t>17</w:t>
            </w:r>
          </w:p>
        </w:tc>
        <w:tc>
          <w:tcPr>
            <w:tcW w:w="400" w:type="dxa"/>
            <w:vAlign w:val="bottom"/>
            <w:tcBorders>
              <w:bottom w:val="single" w:sz="8" w:color="DFDFDF"/>
            </w:tcBorders>
          </w:tcPr>
          <w:p>
            <w:pPr>
              <w:jc w:val="right"/>
              <w:ind w:right="6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DFDFDF"/>
            </w:tcBorders>
          </w:tcPr>
          <w:p>
            <w:pPr>
              <w:jc w:val="right"/>
              <w:ind w:right="111"/>
              <w:spacing w:after="0"/>
              <w:rPr>
                <w:sz w:val="20"/>
                <w:szCs w:val="20"/>
                <w:color w:val="auto"/>
              </w:rPr>
            </w:pPr>
            <w:r>
              <w:rPr>
                <w:rFonts w:ascii="Arial" w:cs="Arial" w:eastAsia="Arial" w:hAnsi="Arial"/>
                <w:sz w:val="14"/>
                <w:szCs w:val="14"/>
                <w:color w:val="auto"/>
              </w:rPr>
              <w:t>17</w:t>
            </w:r>
          </w:p>
        </w:tc>
        <w:tc>
          <w:tcPr>
            <w:tcW w:w="320" w:type="dxa"/>
            <w:vAlign w:val="bottom"/>
            <w:tcBorders>
              <w:bottom w:val="single" w:sz="8" w:color="DFDFDF"/>
            </w:tcBorders>
          </w:tcPr>
          <w:p>
            <w:pPr>
              <w:jc w:val="right"/>
              <w:ind w:right="8"/>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DFDFDF"/>
            </w:tcBorders>
          </w:tcPr>
          <w:p>
            <w:pPr>
              <w:jc w:val="right"/>
              <w:ind w:right="272"/>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1"/>
                <w:szCs w:val="21"/>
                <w:color w:val="auto"/>
              </w:rPr>
            </w:pPr>
          </w:p>
        </w:tc>
      </w:tr>
      <w:tr>
        <w:trPr>
          <w:trHeight w:val="384"/>
        </w:trPr>
        <w:tc>
          <w:tcPr>
            <w:tcW w:w="6960" w:type="dxa"/>
            <w:vAlign w:val="bottom"/>
            <w:gridSpan w:val="5"/>
          </w:tcPr>
          <w:p>
            <w:pPr>
              <w:jc w:val="right"/>
              <w:ind w:right="48"/>
              <w:spacing w:after="0"/>
              <w:rPr>
                <w:sz w:val="20"/>
                <w:szCs w:val="20"/>
                <w:color w:val="auto"/>
              </w:rPr>
            </w:pPr>
            <w:r>
              <w:rPr>
                <w:rFonts w:ascii="Arial" w:cs="Arial" w:eastAsia="Arial" w:hAnsi="Arial"/>
                <w:sz w:val="16"/>
                <w:szCs w:val="16"/>
                <w:color w:val="auto"/>
                <w:w w:val="91"/>
              </w:rPr>
              <w:t>Following is a reconciliation of the unrecognized tax benefits from January 1, 2008 to December 31, 2008:</w:t>
            </w:r>
          </w:p>
        </w:tc>
        <w:tc>
          <w:tcPr>
            <w:tcW w:w="9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88"/>
        </w:trPr>
        <w:tc>
          <w:tcPr>
            <w:tcW w:w="1880" w:type="dxa"/>
            <w:vAlign w:val="bottom"/>
          </w:tcPr>
          <w:p>
            <w:pPr>
              <w:spacing w:after="0"/>
              <w:rPr>
                <w:sz w:val="24"/>
                <w:szCs w:val="24"/>
                <w:color w:val="auto"/>
              </w:rPr>
            </w:pPr>
          </w:p>
        </w:tc>
        <w:tc>
          <w:tcPr>
            <w:tcW w:w="4680" w:type="dxa"/>
            <w:vAlign w:val="bottom"/>
            <w:tcBorders>
              <w:bottom w:val="single" w:sz="8" w:color="auto"/>
            </w:tcBorders>
            <w:gridSpan w:val="3"/>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r>
        <w:trPr>
          <w:trHeight w:val="182"/>
        </w:trPr>
        <w:tc>
          <w:tcPr>
            <w:tcW w:w="1880" w:type="dxa"/>
            <w:vAlign w:val="bottom"/>
          </w:tcPr>
          <w:p>
            <w:pPr>
              <w:spacing w:after="0"/>
              <w:rPr>
                <w:sz w:val="15"/>
                <w:szCs w:val="15"/>
                <w:color w:val="auto"/>
              </w:rPr>
            </w:pPr>
          </w:p>
        </w:tc>
        <w:tc>
          <w:tcPr>
            <w:tcW w:w="4680" w:type="dxa"/>
            <w:vAlign w:val="bottom"/>
            <w:gridSpan w:val="3"/>
            <w:shd w:val="clear" w:color="auto" w:fill="D9D9D9"/>
          </w:tcPr>
          <w:p>
            <w:pPr>
              <w:spacing w:after="0"/>
              <w:rPr>
                <w:sz w:val="20"/>
                <w:szCs w:val="20"/>
                <w:color w:val="auto"/>
              </w:rPr>
            </w:pPr>
            <w:r>
              <w:rPr>
                <w:rFonts w:ascii="Arial" w:cs="Arial" w:eastAsia="Arial" w:hAnsi="Arial"/>
                <w:sz w:val="14"/>
                <w:szCs w:val="14"/>
                <w:b w:val="1"/>
                <w:bCs w:val="1"/>
                <w:color w:val="auto"/>
              </w:rPr>
              <w:t>RECONCILIATION OF UNRECOGNIZED TAX BENEFITS</w:t>
            </w:r>
          </w:p>
        </w:tc>
        <w:tc>
          <w:tcPr>
            <w:tcW w:w="400" w:type="dxa"/>
            <w:vAlign w:val="bottom"/>
            <w:shd w:val="clear" w:color="auto" w:fill="D9D9D9"/>
          </w:tcPr>
          <w:p>
            <w:pPr>
              <w:spacing w:after="0"/>
              <w:rPr>
                <w:sz w:val="15"/>
                <w:szCs w:val="15"/>
                <w:color w:val="auto"/>
              </w:rPr>
            </w:pPr>
          </w:p>
        </w:tc>
        <w:tc>
          <w:tcPr>
            <w:tcW w:w="960" w:type="dxa"/>
            <w:vAlign w:val="bottom"/>
            <w:shd w:val="clear" w:color="auto" w:fill="D9D9D9"/>
          </w:tcPr>
          <w:p>
            <w:pPr>
              <w:spacing w:after="0"/>
              <w:rPr>
                <w:sz w:val="15"/>
                <w:szCs w:val="15"/>
                <w:color w:val="auto"/>
              </w:rPr>
            </w:pPr>
          </w:p>
        </w:tc>
        <w:tc>
          <w:tcPr>
            <w:tcW w:w="320" w:type="dxa"/>
            <w:vAlign w:val="bottom"/>
            <w:shd w:val="clear" w:color="auto" w:fill="D9D9D9"/>
          </w:tcPr>
          <w:p>
            <w:pPr>
              <w:spacing w:after="0"/>
              <w:rPr>
                <w:sz w:val="15"/>
                <w:szCs w:val="15"/>
                <w:color w:val="auto"/>
              </w:rPr>
            </w:pPr>
          </w:p>
        </w:tc>
        <w:tc>
          <w:tcPr>
            <w:tcW w:w="1300" w:type="dxa"/>
            <w:vAlign w:val="bottom"/>
            <w:shd w:val="clear" w:color="auto" w:fill="D9D9D9"/>
          </w:tcPr>
          <w:p>
            <w:pPr>
              <w:spacing w:after="0"/>
              <w:rPr>
                <w:sz w:val="15"/>
                <w:szCs w:val="15"/>
                <w:color w:val="auto"/>
              </w:rPr>
            </w:pPr>
          </w:p>
        </w:tc>
        <w:tc>
          <w:tcPr>
            <w:tcW w:w="20" w:type="dxa"/>
            <w:vAlign w:val="bottom"/>
            <w:shd w:val="clear" w:color="auto" w:fill="D9D9D9"/>
          </w:tcPr>
          <w:p>
            <w:pPr>
              <w:spacing w:after="0"/>
              <w:rPr>
                <w:sz w:val="15"/>
                <w:szCs w:val="15"/>
                <w:color w:val="auto"/>
              </w:rPr>
            </w:pPr>
          </w:p>
        </w:tc>
      </w:tr>
      <w:tr>
        <w:trPr>
          <w:trHeight w:val="182"/>
        </w:trPr>
        <w:tc>
          <w:tcPr>
            <w:tcW w:w="1880" w:type="dxa"/>
            <w:vAlign w:val="bottom"/>
          </w:tcPr>
          <w:p>
            <w:pPr>
              <w:spacing w:after="0"/>
              <w:rPr>
                <w:sz w:val="15"/>
                <w:szCs w:val="15"/>
                <w:color w:val="auto"/>
              </w:rPr>
            </w:pPr>
          </w:p>
        </w:tc>
        <w:tc>
          <w:tcPr>
            <w:tcW w:w="3360" w:type="dxa"/>
            <w:vAlign w:val="bottom"/>
            <w:shd w:val="clear" w:color="auto" w:fill="D9D9D9"/>
          </w:tcPr>
          <w:p>
            <w:pPr>
              <w:ind w:left="20"/>
              <w:spacing w:after="0"/>
              <w:rPr>
                <w:sz w:val="20"/>
                <w:szCs w:val="20"/>
                <w:color w:val="auto"/>
              </w:rPr>
            </w:pPr>
            <w:r>
              <w:rPr>
                <w:rFonts w:ascii="Arial" w:cs="Arial" w:eastAsia="Arial" w:hAnsi="Arial"/>
                <w:sz w:val="13"/>
                <w:szCs w:val="13"/>
                <w:i w:val="1"/>
                <w:iCs w:val="1"/>
                <w:color w:val="auto"/>
              </w:rPr>
              <w:t>(Dollars in millions)</w:t>
            </w:r>
          </w:p>
        </w:tc>
        <w:tc>
          <w:tcPr>
            <w:tcW w:w="180" w:type="dxa"/>
            <w:vAlign w:val="bottom"/>
            <w:shd w:val="clear" w:color="auto" w:fill="D9D9D9"/>
          </w:tcPr>
          <w:p>
            <w:pPr>
              <w:spacing w:after="0"/>
              <w:rPr>
                <w:sz w:val="15"/>
                <w:szCs w:val="15"/>
                <w:color w:val="auto"/>
              </w:rPr>
            </w:pPr>
          </w:p>
        </w:tc>
        <w:tc>
          <w:tcPr>
            <w:tcW w:w="1140" w:type="dxa"/>
            <w:vAlign w:val="bottom"/>
            <w:shd w:val="clear" w:color="auto" w:fill="D9D9D9"/>
          </w:tcPr>
          <w:p>
            <w:pPr>
              <w:spacing w:after="0"/>
              <w:rPr>
                <w:sz w:val="15"/>
                <w:szCs w:val="15"/>
                <w:color w:val="auto"/>
              </w:rPr>
            </w:pPr>
          </w:p>
        </w:tc>
        <w:tc>
          <w:tcPr>
            <w:tcW w:w="400" w:type="dxa"/>
            <w:vAlign w:val="bottom"/>
            <w:shd w:val="clear" w:color="auto" w:fill="D9D9D9"/>
          </w:tcPr>
          <w:p>
            <w:pPr>
              <w:spacing w:after="0"/>
              <w:rPr>
                <w:sz w:val="15"/>
                <w:szCs w:val="15"/>
                <w:color w:val="auto"/>
              </w:rPr>
            </w:pPr>
          </w:p>
        </w:tc>
        <w:tc>
          <w:tcPr>
            <w:tcW w:w="960" w:type="dxa"/>
            <w:vAlign w:val="bottom"/>
            <w:shd w:val="clear" w:color="auto" w:fill="D9D9D9"/>
          </w:tcPr>
          <w:p>
            <w:pPr>
              <w:spacing w:after="0"/>
              <w:rPr>
                <w:sz w:val="15"/>
                <w:szCs w:val="15"/>
                <w:color w:val="auto"/>
              </w:rPr>
            </w:pPr>
          </w:p>
        </w:tc>
        <w:tc>
          <w:tcPr>
            <w:tcW w:w="320" w:type="dxa"/>
            <w:vAlign w:val="bottom"/>
            <w:shd w:val="clear" w:color="auto" w:fill="D9D9D9"/>
          </w:tcPr>
          <w:p>
            <w:pPr>
              <w:spacing w:after="0"/>
              <w:rPr>
                <w:sz w:val="15"/>
                <w:szCs w:val="15"/>
                <w:color w:val="auto"/>
              </w:rPr>
            </w:pPr>
          </w:p>
        </w:tc>
        <w:tc>
          <w:tcPr>
            <w:tcW w:w="1300" w:type="dxa"/>
            <w:vAlign w:val="bottom"/>
            <w:shd w:val="clear" w:color="auto" w:fill="D9D9D9"/>
          </w:tcPr>
          <w:p>
            <w:pPr>
              <w:spacing w:after="0"/>
              <w:rPr>
                <w:sz w:val="15"/>
                <w:szCs w:val="15"/>
                <w:color w:val="auto"/>
              </w:rPr>
            </w:pPr>
          </w:p>
        </w:tc>
        <w:tc>
          <w:tcPr>
            <w:tcW w:w="20" w:type="dxa"/>
            <w:vAlign w:val="bottom"/>
            <w:shd w:val="clear" w:color="auto" w:fill="D9D9D9"/>
          </w:tcPr>
          <w:p>
            <w:pPr>
              <w:spacing w:after="0"/>
              <w:rPr>
                <w:sz w:val="15"/>
                <w:szCs w:val="15"/>
                <w:color w:val="auto"/>
              </w:rPr>
            </w:pPr>
          </w:p>
        </w:tc>
      </w:tr>
      <w:tr>
        <w:trPr>
          <w:trHeight w:val="170"/>
        </w:trPr>
        <w:tc>
          <w:tcPr>
            <w:tcW w:w="188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jc w:val="center"/>
              <w:ind w:right="93"/>
              <w:spacing w:after="0"/>
              <w:rPr>
                <w:sz w:val="20"/>
                <w:szCs w:val="20"/>
                <w:color w:val="auto"/>
              </w:rPr>
            </w:pPr>
            <w:r>
              <w:rPr>
                <w:rFonts w:ascii="Arial" w:cs="Arial" w:eastAsia="Arial" w:hAnsi="Arial"/>
                <w:sz w:val="13"/>
                <w:szCs w:val="13"/>
                <w:color w:val="auto"/>
                <w:w w:val="99"/>
              </w:rPr>
              <w:t>Sempra Energy</w:t>
            </w:r>
          </w:p>
        </w:tc>
        <w:tc>
          <w:tcPr>
            <w:tcW w:w="4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00" w:type="dxa"/>
            <w:vAlign w:val="bottom"/>
          </w:tcPr>
          <w:p>
            <w:pPr>
              <w:jc w:val="right"/>
              <w:ind w:right="512"/>
              <w:spacing w:after="0"/>
              <w:rPr>
                <w:sz w:val="20"/>
                <w:szCs w:val="20"/>
                <w:color w:val="auto"/>
              </w:rPr>
            </w:pPr>
            <w:r>
              <w:rPr>
                <w:rFonts w:ascii="Arial" w:cs="Arial" w:eastAsia="Arial" w:hAnsi="Arial"/>
                <w:sz w:val="13"/>
                <w:szCs w:val="13"/>
                <w:color w:val="auto"/>
              </w:rPr>
              <w:t>PE/</w:t>
            </w:r>
          </w:p>
        </w:tc>
        <w:tc>
          <w:tcPr>
            <w:tcW w:w="20" w:type="dxa"/>
            <w:vAlign w:val="bottom"/>
          </w:tcPr>
          <w:p>
            <w:pPr>
              <w:spacing w:after="0"/>
              <w:rPr>
                <w:sz w:val="14"/>
                <w:szCs w:val="14"/>
                <w:color w:val="auto"/>
              </w:rPr>
            </w:pPr>
          </w:p>
        </w:tc>
      </w:tr>
      <w:tr>
        <w:trPr>
          <w:trHeight w:val="161"/>
        </w:trPr>
        <w:tc>
          <w:tcPr>
            <w:tcW w:w="1880" w:type="dxa"/>
            <w:vAlign w:val="bottom"/>
          </w:tcPr>
          <w:p>
            <w:pPr>
              <w:spacing w:after="0"/>
              <w:rPr>
                <w:sz w:val="14"/>
                <w:szCs w:val="14"/>
                <w:color w:val="auto"/>
              </w:rPr>
            </w:pPr>
          </w:p>
        </w:tc>
        <w:tc>
          <w:tcPr>
            <w:tcW w:w="33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center"/>
              <w:ind w:right="93"/>
              <w:spacing w:after="0"/>
              <w:rPr>
                <w:sz w:val="20"/>
                <w:szCs w:val="20"/>
                <w:color w:val="auto"/>
              </w:rPr>
            </w:pPr>
            <w:r>
              <w:rPr>
                <w:rFonts w:ascii="Arial" w:cs="Arial" w:eastAsia="Arial" w:hAnsi="Arial"/>
                <w:sz w:val="13"/>
                <w:szCs w:val="13"/>
                <w:color w:val="auto"/>
                <w:w w:val="97"/>
              </w:rPr>
              <w:t>Consolidated</w:t>
            </w:r>
          </w:p>
        </w:tc>
        <w:tc>
          <w:tcPr>
            <w:tcW w:w="4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91"/>
              <w:spacing w:after="0"/>
              <w:rPr>
                <w:sz w:val="20"/>
                <w:szCs w:val="20"/>
                <w:color w:val="auto"/>
              </w:rPr>
            </w:pPr>
            <w:r>
              <w:rPr>
                <w:rFonts w:ascii="Arial" w:cs="Arial" w:eastAsia="Arial" w:hAnsi="Arial"/>
                <w:sz w:val="13"/>
                <w:szCs w:val="13"/>
                <w:color w:val="auto"/>
              </w:rPr>
              <w:t>SDG&amp;E</w:t>
            </w:r>
          </w:p>
        </w:tc>
        <w:tc>
          <w:tcPr>
            <w:tcW w:w="32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332"/>
              <w:spacing w:after="0"/>
              <w:rPr>
                <w:sz w:val="20"/>
                <w:szCs w:val="20"/>
                <w:color w:val="auto"/>
              </w:rPr>
            </w:pPr>
            <w:r>
              <w:rPr>
                <w:rFonts w:ascii="Arial" w:cs="Arial" w:eastAsia="Arial" w:hAnsi="Arial"/>
                <w:sz w:val="13"/>
                <w:szCs w:val="13"/>
                <w:color w:val="auto"/>
              </w:rPr>
              <w:t>SoCalGas</w:t>
            </w:r>
          </w:p>
        </w:tc>
        <w:tc>
          <w:tcPr>
            <w:tcW w:w="20" w:type="dxa"/>
            <w:vAlign w:val="bottom"/>
            <w:tcBorders>
              <w:bottom w:val="single" w:sz="8" w:color="auto"/>
            </w:tcBorders>
          </w:tcPr>
          <w:p>
            <w:pPr>
              <w:spacing w:after="0"/>
              <w:rPr>
                <w:sz w:val="14"/>
                <w:szCs w:val="14"/>
                <w:color w:val="auto"/>
              </w:rPr>
            </w:pPr>
          </w:p>
        </w:tc>
      </w:tr>
    </w:tbl>
    <w:p>
      <w:pPr>
        <w:spacing w:after="0" w:line="38" w:lineRule="exact"/>
        <w:rPr>
          <w:sz w:val="20"/>
          <w:szCs w:val="20"/>
          <w:color w:val="auto"/>
        </w:rPr>
      </w:pPr>
    </w:p>
    <w:p>
      <w:pPr>
        <w:sectPr>
          <w:pgSz w:w="11900" w:h="16838" w:orient="portrait"/>
          <w:cols w:equalWidth="0" w:num="1">
            <w:col w:w="11400"/>
          </w:cols>
          <w:pgMar w:left="240" w:top="128" w:right="259" w:bottom="1440" w:gutter="0" w:footer="0" w:header="0"/>
        </w:sectPr>
      </w:pPr>
    </w:p>
    <w:p>
      <w:pPr>
        <w:ind w:left="2080" w:hanging="199"/>
        <w:spacing w:after="0" w:line="324" w:lineRule="auto"/>
        <w:rPr>
          <w:sz w:val="20"/>
          <w:szCs w:val="20"/>
          <w:color w:val="auto"/>
        </w:rPr>
      </w:pPr>
      <w:r>
        <w:rPr>
          <w:rFonts w:ascii="Arial" w:cs="Arial" w:eastAsia="Arial" w:hAnsi="Arial"/>
          <w:sz w:val="14"/>
          <w:szCs w:val="14"/>
          <w:color w:val="auto"/>
        </w:rPr>
        <w:t>Balance as of January 1, 2008 Increase in prior period tax positions Decrease in prior period tax positions Increase in current period tax positions Decrease in current period tax positions Settlements with taxing authorities Expirations of statutes of limitations</w:t>
      </w:r>
    </w:p>
    <w:p>
      <w:pPr>
        <w:spacing w:after="0" w:line="4" w:lineRule="exact"/>
        <w:rPr>
          <w:sz w:val="20"/>
          <w:szCs w:val="20"/>
          <w:color w:val="auto"/>
        </w:rPr>
      </w:pPr>
    </w:p>
    <w:p>
      <w:pPr>
        <w:ind w:left="1880"/>
        <w:spacing w:after="0"/>
        <w:rPr>
          <w:sz w:val="20"/>
          <w:szCs w:val="20"/>
          <w:color w:val="auto"/>
        </w:rPr>
      </w:pPr>
      <w:r>
        <w:rPr>
          <w:rFonts w:ascii="Arial" w:cs="Arial" w:eastAsia="Arial" w:hAnsi="Arial"/>
          <w:sz w:val="14"/>
          <w:szCs w:val="14"/>
          <w:color w:val="auto"/>
        </w:rPr>
        <w:t>Balance as of December 31, 2008</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2"/>
        </w:trPr>
        <w:tc>
          <w:tcPr>
            <w:tcW w:w="560" w:type="dxa"/>
            <w:vAlign w:val="bottom"/>
          </w:tcPr>
          <w:p>
            <w:pPr>
              <w:jc w:val="right"/>
              <w:ind w:right="36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188"/>
              <w:spacing w:after="0"/>
              <w:rPr>
                <w:sz w:val="20"/>
                <w:szCs w:val="20"/>
                <w:color w:val="auto"/>
              </w:rPr>
            </w:pPr>
            <w:r>
              <w:rPr>
                <w:rFonts w:ascii="Arial" w:cs="Arial" w:eastAsia="Arial" w:hAnsi="Arial"/>
                <w:sz w:val="14"/>
                <w:szCs w:val="14"/>
                <w:color w:val="auto"/>
              </w:rPr>
              <w:t>131</w:t>
            </w:r>
          </w:p>
        </w:tc>
        <w:tc>
          <w:tcPr>
            <w:tcW w:w="60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148"/>
              <w:spacing w:after="0"/>
              <w:rPr>
                <w:sz w:val="20"/>
                <w:szCs w:val="20"/>
                <w:color w:val="auto"/>
              </w:rPr>
            </w:pPr>
            <w:r>
              <w:rPr>
                <w:rFonts w:ascii="Arial" w:cs="Arial" w:eastAsia="Arial" w:hAnsi="Arial"/>
                <w:sz w:val="14"/>
                <w:szCs w:val="14"/>
                <w:color w:val="auto"/>
              </w:rPr>
              <w:t>26</w:t>
            </w:r>
          </w:p>
        </w:tc>
        <w:tc>
          <w:tcPr>
            <w:tcW w:w="56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228"/>
              <w:spacing w:after="0"/>
              <w:rPr>
                <w:sz w:val="20"/>
                <w:szCs w:val="20"/>
                <w:color w:val="auto"/>
              </w:rPr>
            </w:pPr>
            <w:r>
              <w:rPr>
                <w:rFonts w:ascii="Arial" w:cs="Arial" w:eastAsia="Arial" w:hAnsi="Arial"/>
                <w:sz w:val="14"/>
                <w:szCs w:val="14"/>
                <w:color w:val="auto"/>
              </w:rPr>
              <w:t>40</w:t>
            </w:r>
          </w:p>
        </w:tc>
      </w:tr>
      <w:tr>
        <w:trPr>
          <w:trHeight w:val="216"/>
        </w:trPr>
        <w:tc>
          <w:tcPr>
            <w:tcW w:w="560" w:type="dxa"/>
            <w:vAlign w:val="bottom"/>
          </w:tcPr>
          <w:p>
            <w:pPr>
              <w:spacing w:after="0"/>
              <w:rPr>
                <w:sz w:val="18"/>
                <w:szCs w:val="18"/>
                <w:color w:val="auto"/>
              </w:rPr>
            </w:pPr>
          </w:p>
        </w:tc>
        <w:tc>
          <w:tcPr>
            <w:tcW w:w="920" w:type="dxa"/>
            <w:vAlign w:val="bottom"/>
          </w:tcPr>
          <w:p>
            <w:pPr>
              <w:jc w:val="right"/>
              <w:ind w:right="188"/>
              <w:spacing w:after="0"/>
              <w:rPr>
                <w:sz w:val="20"/>
                <w:szCs w:val="20"/>
                <w:color w:val="auto"/>
              </w:rPr>
            </w:pPr>
            <w:r>
              <w:rPr>
                <w:rFonts w:ascii="Arial" w:cs="Arial" w:eastAsia="Arial" w:hAnsi="Arial"/>
                <w:sz w:val="14"/>
                <w:szCs w:val="14"/>
                <w:color w:val="auto"/>
              </w:rPr>
              <w:t>23</w:t>
            </w:r>
          </w:p>
        </w:tc>
        <w:tc>
          <w:tcPr>
            <w:tcW w:w="600" w:type="dxa"/>
            <w:vAlign w:val="bottom"/>
          </w:tcPr>
          <w:p>
            <w:pPr>
              <w:spacing w:after="0"/>
              <w:rPr>
                <w:sz w:val="18"/>
                <w:szCs w:val="18"/>
                <w:color w:val="auto"/>
              </w:rPr>
            </w:pPr>
          </w:p>
        </w:tc>
        <w:tc>
          <w:tcPr>
            <w:tcW w:w="780" w:type="dxa"/>
            <w:vAlign w:val="bottom"/>
          </w:tcPr>
          <w:p>
            <w:pPr>
              <w:jc w:val="right"/>
              <w:ind w:right="148"/>
              <w:spacing w:after="0"/>
              <w:rPr>
                <w:sz w:val="20"/>
                <w:szCs w:val="20"/>
                <w:color w:val="auto"/>
              </w:rPr>
            </w:pPr>
            <w:r>
              <w:rPr>
                <w:rFonts w:ascii="Arial" w:cs="Arial" w:eastAsia="Arial" w:hAnsi="Arial"/>
                <w:sz w:val="14"/>
                <w:szCs w:val="14"/>
                <w:color w:val="auto"/>
              </w:rPr>
              <w:t>2</w:t>
            </w:r>
          </w:p>
        </w:tc>
        <w:tc>
          <w:tcPr>
            <w:tcW w:w="560" w:type="dxa"/>
            <w:vAlign w:val="bottom"/>
          </w:tcPr>
          <w:p>
            <w:pPr>
              <w:spacing w:after="0"/>
              <w:rPr>
                <w:sz w:val="18"/>
                <w:szCs w:val="18"/>
                <w:color w:val="auto"/>
              </w:rPr>
            </w:pPr>
          </w:p>
        </w:tc>
        <w:tc>
          <w:tcPr>
            <w:tcW w:w="840" w:type="dxa"/>
            <w:vAlign w:val="bottom"/>
          </w:tcPr>
          <w:p>
            <w:pPr>
              <w:jc w:val="right"/>
              <w:ind w:right="228"/>
              <w:spacing w:after="0"/>
              <w:rPr>
                <w:sz w:val="20"/>
                <w:szCs w:val="20"/>
                <w:color w:val="auto"/>
              </w:rPr>
            </w:pPr>
            <w:r>
              <w:rPr>
                <w:rFonts w:ascii="Arial" w:cs="Arial" w:eastAsia="Arial" w:hAnsi="Arial"/>
                <w:sz w:val="14"/>
                <w:szCs w:val="14"/>
                <w:color w:val="auto"/>
              </w:rPr>
              <w:t>--</w:t>
            </w:r>
          </w:p>
        </w:tc>
      </w:tr>
      <w:tr>
        <w:trPr>
          <w:trHeight w:val="216"/>
        </w:trPr>
        <w:tc>
          <w:tcPr>
            <w:tcW w:w="560" w:type="dxa"/>
            <w:vAlign w:val="bottom"/>
          </w:tcPr>
          <w:p>
            <w:pPr>
              <w:spacing w:after="0"/>
              <w:rPr>
                <w:sz w:val="18"/>
                <w:szCs w:val="18"/>
                <w:color w:val="auto"/>
              </w:rPr>
            </w:pPr>
          </w:p>
        </w:tc>
        <w:tc>
          <w:tcPr>
            <w:tcW w:w="920" w:type="dxa"/>
            <w:vAlign w:val="bottom"/>
          </w:tcPr>
          <w:p>
            <w:pPr>
              <w:jc w:val="right"/>
              <w:ind w:right="108"/>
              <w:spacing w:after="0"/>
              <w:rPr>
                <w:sz w:val="20"/>
                <w:szCs w:val="20"/>
                <w:color w:val="auto"/>
              </w:rPr>
            </w:pPr>
            <w:r>
              <w:rPr>
                <w:rFonts w:ascii="Arial" w:cs="Arial" w:eastAsia="Arial" w:hAnsi="Arial"/>
                <w:sz w:val="14"/>
                <w:szCs w:val="14"/>
                <w:color w:val="auto"/>
              </w:rPr>
              <w:t>(4 )</w:t>
            </w:r>
          </w:p>
        </w:tc>
        <w:tc>
          <w:tcPr>
            <w:tcW w:w="600" w:type="dxa"/>
            <w:vAlign w:val="bottom"/>
          </w:tcPr>
          <w:p>
            <w:pPr>
              <w:spacing w:after="0"/>
              <w:rPr>
                <w:sz w:val="18"/>
                <w:szCs w:val="18"/>
                <w:color w:val="auto"/>
              </w:rPr>
            </w:pPr>
          </w:p>
        </w:tc>
        <w:tc>
          <w:tcPr>
            <w:tcW w:w="78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560" w:type="dxa"/>
            <w:vAlign w:val="bottom"/>
          </w:tcPr>
          <w:p>
            <w:pPr>
              <w:spacing w:after="0"/>
              <w:rPr>
                <w:sz w:val="18"/>
                <w:szCs w:val="18"/>
                <w:color w:val="auto"/>
              </w:rPr>
            </w:pPr>
          </w:p>
        </w:tc>
        <w:tc>
          <w:tcPr>
            <w:tcW w:w="840" w:type="dxa"/>
            <w:vAlign w:val="bottom"/>
          </w:tcPr>
          <w:p>
            <w:pPr>
              <w:jc w:val="right"/>
              <w:ind w:right="228"/>
              <w:spacing w:after="0"/>
              <w:rPr>
                <w:sz w:val="20"/>
                <w:szCs w:val="20"/>
                <w:color w:val="auto"/>
              </w:rPr>
            </w:pPr>
            <w:r>
              <w:rPr>
                <w:rFonts w:ascii="Arial" w:cs="Arial" w:eastAsia="Arial" w:hAnsi="Arial"/>
                <w:sz w:val="14"/>
                <w:szCs w:val="14"/>
                <w:color w:val="auto"/>
              </w:rPr>
              <w:t>--</w:t>
            </w:r>
          </w:p>
        </w:tc>
      </w:tr>
      <w:tr>
        <w:trPr>
          <w:trHeight w:val="216"/>
        </w:trPr>
        <w:tc>
          <w:tcPr>
            <w:tcW w:w="560" w:type="dxa"/>
            <w:vAlign w:val="bottom"/>
          </w:tcPr>
          <w:p>
            <w:pPr>
              <w:spacing w:after="0"/>
              <w:rPr>
                <w:sz w:val="18"/>
                <w:szCs w:val="18"/>
                <w:color w:val="auto"/>
              </w:rPr>
            </w:pPr>
          </w:p>
        </w:tc>
        <w:tc>
          <w:tcPr>
            <w:tcW w:w="920" w:type="dxa"/>
            <w:vAlign w:val="bottom"/>
          </w:tcPr>
          <w:p>
            <w:pPr>
              <w:jc w:val="right"/>
              <w:ind w:right="188"/>
              <w:spacing w:after="0"/>
              <w:rPr>
                <w:sz w:val="20"/>
                <w:szCs w:val="20"/>
                <w:color w:val="auto"/>
              </w:rPr>
            </w:pPr>
            <w:r>
              <w:rPr>
                <w:rFonts w:ascii="Arial" w:cs="Arial" w:eastAsia="Arial" w:hAnsi="Arial"/>
                <w:sz w:val="14"/>
                <w:szCs w:val="14"/>
                <w:color w:val="auto"/>
              </w:rPr>
              <w:t>4</w:t>
            </w:r>
          </w:p>
        </w:tc>
        <w:tc>
          <w:tcPr>
            <w:tcW w:w="600" w:type="dxa"/>
            <w:vAlign w:val="bottom"/>
          </w:tcPr>
          <w:p>
            <w:pPr>
              <w:spacing w:after="0"/>
              <w:rPr>
                <w:sz w:val="18"/>
                <w:szCs w:val="18"/>
                <w:color w:val="auto"/>
              </w:rPr>
            </w:pPr>
          </w:p>
        </w:tc>
        <w:tc>
          <w:tcPr>
            <w:tcW w:w="780" w:type="dxa"/>
            <w:vAlign w:val="bottom"/>
          </w:tcPr>
          <w:p>
            <w:pPr>
              <w:jc w:val="right"/>
              <w:ind w:right="148"/>
              <w:spacing w:after="0"/>
              <w:rPr>
                <w:sz w:val="20"/>
                <w:szCs w:val="20"/>
                <w:color w:val="auto"/>
              </w:rPr>
            </w:pPr>
            <w:r>
              <w:rPr>
                <w:rFonts w:ascii="Arial" w:cs="Arial" w:eastAsia="Arial" w:hAnsi="Arial"/>
                <w:sz w:val="14"/>
                <w:szCs w:val="14"/>
                <w:color w:val="auto"/>
              </w:rPr>
              <w:t>3</w:t>
            </w:r>
          </w:p>
        </w:tc>
        <w:tc>
          <w:tcPr>
            <w:tcW w:w="560" w:type="dxa"/>
            <w:vAlign w:val="bottom"/>
          </w:tcPr>
          <w:p>
            <w:pPr>
              <w:spacing w:after="0"/>
              <w:rPr>
                <w:sz w:val="18"/>
                <w:szCs w:val="18"/>
                <w:color w:val="auto"/>
              </w:rPr>
            </w:pPr>
          </w:p>
        </w:tc>
        <w:tc>
          <w:tcPr>
            <w:tcW w:w="840" w:type="dxa"/>
            <w:vAlign w:val="bottom"/>
          </w:tcPr>
          <w:p>
            <w:pPr>
              <w:jc w:val="right"/>
              <w:ind w:right="228"/>
              <w:spacing w:after="0"/>
              <w:rPr>
                <w:sz w:val="20"/>
                <w:szCs w:val="20"/>
                <w:color w:val="auto"/>
              </w:rPr>
            </w:pPr>
            <w:r>
              <w:rPr>
                <w:rFonts w:ascii="Arial" w:cs="Arial" w:eastAsia="Arial" w:hAnsi="Arial"/>
                <w:sz w:val="14"/>
                <w:szCs w:val="14"/>
                <w:color w:val="auto"/>
              </w:rPr>
              <w:t>--</w:t>
            </w:r>
          </w:p>
        </w:tc>
      </w:tr>
      <w:tr>
        <w:trPr>
          <w:trHeight w:val="216"/>
        </w:trPr>
        <w:tc>
          <w:tcPr>
            <w:tcW w:w="560" w:type="dxa"/>
            <w:vAlign w:val="bottom"/>
          </w:tcPr>
          <w:p>
            <w:pPr>
              <w:spacing w:after="0"/>
              <w:rPr>
                <w:sz w:val="18"/>
                <w:szCs w:val="18"/>
                <w:color w:val="auto"/>
              </w:rPr>
            </w:pPr>
          </w:p>
        </w:tc>
        <w:tc>
          <w:tcPr>
            <w:tcW w:w="920" w:type="dxa"/>
            <w:vAlign w:val="bottom"/>
          </w:tcPr>
          <w:p>
            <w:pPr>
              <w:jc w:val="right"/>
              <w:ind w:right="108"/>
              <w:spacing w:after="0"/>
              <w:rPr>
                <w:sz w:val="20"/>
                <w:szCs w:val="20"/>
                <w:color w:val="auto"/>
              </w:rPr>
            </w:pPr>
            <w:r>
              <w:rPr>
                <w:rFonts w:ascii="Arial" w:cs="Arial" w:eastAsia="Arial" w:hAnsi="Arial"/>
                <w:sz w:val="14"/>
                <w:szCs w:val="14"/>
                <w:color w:val="auto"/>
              </w:rPr>
              <w:t>(5 )</w:t>
            </w:r>
          </w:p>
        </w:tc>
        <w:tc>
          <w:tcPr>
            <w:tcW w:w="600" w:type="dxa"/>
            <w:vAlign w:val="bottom"/>
          </w:tcPr>
          <w:p>
            <w:pPr>
              <w:spacing w:after="0"/>
              <w:rPr>
                <w:sz w:val="18"/>
                <w:szCs w:val="18"/>
                <w:color w:val="auto"/>
              </w:rPr>
            </w:pPr>
          </w:p>
        </w:tc>
        <w:tc>
          <w:tcPr>
            <w:tcW w:w="780" w:type="dxa"/>
            <w:vAlign w:val="bottom"/>
          </w:tcPr>
          <w:p>
            <w:pPr>
              <w:jc w:val="right"/>
              <w:ind w:right="88"/>
              <w:spacing w:after="0"/>
              <w:rPr>
                <w:sz w:val="20"/>
                <w:szCs w:val="20"/>
                <w:color w:val="auto"/>
              </w:rPr>
            </w:pPr>
            <w:r>
              <w:rPr>
                <w:rFonts w:ascii="Arial" w:cs="Arial" w:eastAsia="Arial" w:hAnsi="Arial"/>
                <w:sz w:val="14"/>
                <w:szCs w:val="14"/>
                <w:color w:val="auto"/>
              </w:rPr>
              <w:t>(1 )</w:t>
            </w:r>
          </w:p>
        </w:tc>
        <w:tc>
          <w:tcPr>
            <w:tcW w:w="560" w:type="dxa"/>
            <w:vAlign w:val="bottom"/>
          </w:tcPr>
          <w:p>
            <w:pPr>
              <w:spacing w:after="0"/>
              <w:rPr>
                <w:sz w:val="18"/>
                <w:szCs w:val="18"/>
                <w:color w:val="auto"/>
              </w:rPr>
            </w:pPr>
          </w:p>
        </w:tc>
        <w:tc>
          <w:tcPr>
            <w:tcW w:w="840" w:type="dxa"/>
            <w:vAlign w:val="bottom"/>
          </w:tcPr>
          <w:p>
            <w:pPr>
              <w:jc w:val="right"/>
              <w:ind w:right="228"/>
              <w:spacing w:after="0"/>
              <w:rPr>
                <w:sz w:val="20"/>
                <w:szCs w:val="20"/>
                <w:color w:val="auto"/>
              </w:rPr>
            </w:pPr>
            <w:r>
              <w:rPr>
                <w:rFonts w:ascii="Arial" w:cs="Arial" w:eastAsia="Arial" w:hAnsi="Arial"/>
                <w:sz w:val="14"/>
                <w:szCs w:val="14"/>
                <w:color w:val="auto"/>
              </w:rPr>
              <w:t>--</w:t>
            </w:r>
          </w:p>
        </w:tc>
      </w:tr>
      <w:tr>
        <w:trPr>
          <w:trHeight w:val="216"/>
        </w:trPr>
        <w:tc>
          <w:tcPr>
            <w:tcW w:w="560" w:type="dxa"/>
            <w:vAlign w:val="bottom"/>
          </w:tcPr>
          <w:p>
            <w:pPr>
              <w:spacing w:after="0"/>
              <w:rPr>
                <w:sz w:val="18"/>
                <w:szCs w:val="18"/>
                <w:color w:val="auto"/>
              </w:rPr>
            </w:pPr>
          </w:p>
        </w:tc>
        <w:tc>
          <w:tcPr>
            <w:tcW w:w="920" w:type="dxa"/>
            <w:vAlign w:val="bottom"/>
          </w:tcPr>
          <w:p>
            <w:pPr>
              <w:jc w:val="right"/>
              <w:ind w:right="108"/>
              <w:spacing w:after="0"/>
              <w:rPr>
                <w:sz w:val="20"/>
                <w:szCs w:val="20"/>
                <w:color w:val="auto"/>
              </w:rPr>
            </w:pPr>
            <w:r>
              <w:rPr>
                <w:rFonts w:ascii="Arial" w:cs="Arial" w:eastAsia="Arial" w:hAnsi="Arial"/>
                <w:sz w:val="14"/>
                <w:szCs w:val="14"/>
                <w:color w:val="auto"/>
              </w:rPr>
              <w:t>(38 )</w:t>
            </w:r>
          </w:p>
        </w:tc>
        <w:tc>
          <w:tcPr>
            <w:tcW w:w="600" w:type="dxa"/>
            <w:vAlign w:val="bottom"/>
          </w:tcPr>
          <w:p>
            <w:pPr>
              <w:spacing w:after="0"/>
              <w:rPr>
                <w:sz w:val="18"/>
                <w:szCs w:val="18"/>
                <w:color w:val="auto"/>
              </w:rPr>
            </w:pPr>
          </w:p>
        </w:tc>
        <w:tc>
          <w:tcPr>
            <w:tcW w:w="780" w:type="dxa"/>
            <w:vAlign w:val="bottom"/>
          </w:tcPr>
          <w:p>
            <w:pPr>
              <w:jc w:val="right"/>
              <w:ind w:right="88"/>
              <w:spacing w:after="0"/>
              <w:rPr>
                <w:sz w:val="20"/>
                <w:szCs w:val="20"/>
                <w:color w:val="auto"/>
              </w:rPr>
            </w:pPr>
            <w:r>
              <w:rPr>
                <w:rFonts w:ascii="Arial" w:cs="Arial" w:eastAsia="Arial" w:hAnsi="Arial"/>
                <w:sz w:val="14"/>
                <w:szCs w:val="14"/>
                <w:color w:val="auto"/>
              </w:rPr>
              <w:t>(12 )</w:t>
            </w:r>
          </w:p>
        </w:tc>
        <w:tc>
          <w:tcPr>
            <w:tcW w:w="560" w:type="dxa"/>
            <w:vAlign w:val="bottom"/>
          </w:tcPr>
          <w:p>
            <w:pPr>
              <w:spacing w:after="0"/>
              <w:rPr>
                <w:sz w:val="18"/>
                <w:szCs w:val="18"/>
                <w:color w:val="auto"/>
              </w:rPr>
            </w:pPr>
          </w:p>
        </w:tc>
        <w:tc>
          <w:tcPr>
            <w:tcW w:w="840" w:type="dxa"/>
            <w:vAlign w:val="bottom"/>
          </w:tcPr>
          <w:p>
            <w:pPr>
              <w:jc w:val="right"/>
              <w:ind w:right="168"/>
              <w:spacing w:after="0"/>
              <w:rPr>
                <w:sz w:val="20"/>
                <w:szCs w:val="20"/>
                <w:color w:val="auto"/>
              </w:rPr>
            </w:pPr>
            <w:r>
              <w:rPr>
                <w:rFonts w:ascii="Arial" w:cs="Arial" w:eastAsia="Arial" w:hAnsi="Arial"/>
                <w:sz w:val="14"/>
                <w:szCs w:val="14"/>
                <w:color w:val="auto"/>
              </w:rPr>
              <w:t>(21 )</w:t>
            </w:r>
          </w:p>
        </w:tc>
      </w:tr>
      <w:tr>
        <w:trPr>
          <w:trHeight w:val="219"/>
        </w:trPr>
        <w:tc>
          <w:tcPr>
            <w:tcW w:w="5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(7 )</w:t>
            </w:r>
          </w:p>
        </w:tc>
        <w:tc>
          <w:tcPr>
            <w:tcW w:w="6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w:t>
            </w:r>
          </w:p>
        </w:tc>
      </w:tr>
      <w:tr>
        <w:trPr>
          <w:trHeight w:val="205"/>
        </w:trPr>
        <w:tc>
          <w:tcPr>
            <w:tcW w:w="560" w:type="dxa"/>
            <w:vAlign w:val="bottom"/>
          </w:tcPr>
          <w:p>
            <w:pPr>
              <w:jc w:val="right"/>
              <w:ind w:right="36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188"/>
              <w:spacing w:after="0"/>
              <w:rPr>
                <w:sz w:val="20"/>
                <w:szCs w:val="20"/>
                <w:color w:val="auto"/>
              </w:rPr>
            </w:pPr>
            <w:r>
              <w:rPr>
                <w:rFonts w:ascii="Arial" w:cs="Arial" w:eastAsia="Arial" w:hAnsi="Arial"/>
                <w:sz w:val="14"/>
                <w:szCs w:val="14"/>
                <w:color w:val="auto"/>
              </w:rPr>
              <w:t>104</w:t>
            </w:r>
          </w:p>
        </w:tc>
        <w:tc>
          <w:tcPr>
            <w:tcW w:w="60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148"/>
              <w:spacing w:after="0"/>
              <w:rPr>
                <w:sz w:val="20"/>
                <w:szCs w:val="20"/>
                <w:color w:val="auto"/>
              </w:rPr>
            </w:pPr>
            <w:r>
              <w:rPr>
                <w:rFonts w:ascii="Arial" w:cs="Arial" w:eastAsia="Arial" w:hAnsi="Arial"/>
                <w:sz w:val="14"/>
                <w:szCs w:val="14"/>
                <w:color w:val="auto"/>
              </w:rPr>
              <w:t>18</w:t>
            </w:r>
          </w:p>
        </w:tc>
        <w:tc>
          <w:tcPr>
            <w:tcW w:w="56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228"/>
              <w:spacing w:after="0"/>
              <w:rPr>
                <w:sz w:val="20"/>
                <w:szCs w:val="20"/>
                <w:color w:val="auto"/>
              </w:rPr>
            </w:pPr>
            <w:r>
              <w:rPr>
                <w:rFonts w:ascii="Arial" w:cs="Arial" w:eastAsia="Arial" w:hAnsi="Arial"/>
                <w:sz w:val="14"/>
                <w:szCs w:val="14"/>
                <w:color w:val="auto"/>
              </w:rPr>
              <w:t>19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-2177415</wp:posOffset>
            </wp:positionH>
            <wp:positionV relativeFrom="paragraph">
              <wp:posOffset>3810</wp:posOffset>
            </wp:positionV>
            <wp:extent cx="4881880" cy="2286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4881880" cy="2286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620" w:space="680"/>
            <w:col w:w="6100"/>
          </w:cols>
          <w:pgMar w:left="240" w:top="128" w:right="259" w:bottom="1440" w:gutter="0" w:footer="0" w:header="0"/>
          <w:type w:val="continuous"/>
        </w:sect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3"/>
          <w:szCs w:val="13"/>
          <w:color w:val="auto"/>
        </w:rPr>
        <w:t>135</w:t>
      </w:r>
    </w:p>
    <w:p>
      <w:pPr>
        <w:sectPr>
          <w:pgSz w:w="11900" w:h="16838" w:orient="portrait"/>
          <w:cols w:equalWidth="0" w:num="1">
            <w:col w:w="11400"/>
          </w:cols>
          <w:pgMar w:left="240" w:top="128" w:right="259" w:bottom="1440" w:gutter="0" w:footer="0" w:header="0"/>
          <w:type w:val="continuous"/>
        </w:sectPr>
      </w:pPr>
    </w:p>
    <w:bookmarkStart w:id="275" w:name="page276"/>
    <w:bookmarkEnd w:id="275"/>
    <w:p>
      <w:pPr>
        <w:spacing w:after="0"/>
        <w:rPr>
          <w:sz w:val="20"/>
          <w:szCs w:val="20"/>
          <w:color w:val="auto"/>
        </w:rPr>
      </w:pPr>
      <w:r>
        <w:rPr>
          <w:rFonts w:ascii="Arial" w:cs="Arial" w:eastAsia="Arial" w:hAnsi="Arial"/>
          <w:sz w:val="16"/>
          <w:szCs w:val="16"/>
          <w:color w:val="auto"/>
        </w:rPr>
        <w:t>It is reasonably possible that within the next 12 months unrecognized tax benefits could decrease due to the following:</w:t>
      </w:r>
    </w:p>
    <w:p>
      <w:pPr>
        <w:spacing w:after="0" w:line="325" w:lineRule="exact"/>
        <w:rPr>
          <w:sz w:val="20"/>
          <w:szCs w:val="20"/>
          <w:color w:val="auto"/>
        </w:rPr>
      </w:pPr>
    </w:p>
    <w:tbl>
      <w:tblPr>
        <w:tblLayout w:type="fixed"/>
        <w:tblInd w:w="1880" w:type="dxa"/>
        <w:tblCellMar>
          <w:top w:w="0" w:type="dxa"/>
          <w:left w:w="0" w:type="dxa"/>
          <w:bottom w:w="0" w:type="dxa"/>
          <w:right w:w="0" w:type="dxa"/>
        </w:tblCellMar>
      </w:tblPr>
      <w:tr>
        <w:trPr>
          <w:trHeight w:val="154"/>
        </w:trPr>
        <w:tc>
          <w:tcPr>
            <w:tcW w:w="3440" w:type="dxa"/>
            <w:vAlign w:val="bottom"/>
            <w:vMerge w:val="restart"/>
          </w:tcPr>
          <w:p>
            <w:pPr>
              <w:spacing w:after="0"/>
              <w:rPr>
                <w:sz w:val="20"/>
                <w:szCs w:val="20"/>
                <w:color w:val="auto"/>
              </w:rPr>
            </w:pPr>
            <w:r>
              <w:rPr>
                <w:rFonts w:ascii="Arial" w:cs="Arial" w:eastAsia="Arial" w:hAnsi="Arial"/>
                <w:sz w:val="13"/>
                <w:szCs w:val="13"/>
                <w:i w:val="1"/>
                <w:iCs w:val="1"/>
                <w:color w:val="auto"/>
              </w:rPr>
              <w:t>(Dollars in millions)</w:t>
            </w:r>
          </w:p>
        </w:tc>
        <w:tc>
          <w:tcPr>
            <w:tcW w:w="200" w:type="dxa"/>
            <w:vAlign w:val="bottom"/>
          </w:tcPr>
          <w:p>
            <w:pPr>
              <w:spacing w:after="0"/>
              <w:rPr>
                <w:sz w:val="13"/>
                <w:szCs w:val="13"/>
                <w:color w:val="auto"/>
              </w:rPr>
            </w:pPr>
          </w:p>
        </w:tc>
        <w:tc>
          <w:tcPr>
            <w:tcW w:w="1180" w:type="dxa"/>
            <w:vAlign w:val="bottom"/>
          </w:tcPr>
          <w:p>
            <w:pPr>
              <w:jc w:val="right"/>
              <w:ind w:right="191"/>
              <w:spacing w:after="0"/>
              <w:rPr>
                <w:sz w:val="20"/>
                <w:szCs w:val="20"/>
                <w:color w:val="auto"/>
              </w:rPr>
            </w:pPr>
            <w:r>
              <w:rPr>
                <w:rFonts w:ascii="Arial" w:cs="Arial" w:eastAsia="Arial" w:hAnsi="Arial"/>
                <w:sz w:val="13"/>
                <w:szCs w:val="13"/>
                <w:color w:val="auto"/>
                <w:w w:val="99"/>
              </w:rPr>
              <w:t>Sempra Energy</w:t>
            </w:r>
          </w:p>
        </w:tc>
        <w:tc>
          <w:tcPr>
            <w:tcW w:w="3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3440" w:type="dxa"/>
            <w:vAlign w:val="bottom"/>
            <w:tcBorders>
              <w:bottom w:val="single" w:sz="8" w:color="auto"/>
            </w:tcBorders>
            <w:vMerge w:val="continue"/>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271"/>
              <w:spacing w:after="0"/>
              <w:rPr>
                <w:sz w:val="20"/>
                <w:szCs w:val="20"/>
                <w:color w:val="auto"/>
              </w:rPr>
            </w:pPr>
            <w:r>
              <w:rPr>
                <w:rFonts w:ascii="Arial" w:cs="Arial" w:eastAsia="Arial" w:hAnsi="Arial"/>
                <w:sz w:val="13"/>
                <w:szCs w:val="13"/>
                <w:color w:val="auto"/>
              </w:rPr>
              <w:t>Consolidated</w:t>
            </w:r>
          </w:p>
        </w:tc>
        <w:tc>
          <w:tcPr>
            <w:tcW w:w="3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30"/>
              <w:spacing w:after="0"/>
              <w:rPr>
                <w:sz w:val="20"/>
                <w:szCs w:val="20"/>
                <w:color w:val="auto"/>
              </w:rPr>
            </w:pPr>
            <w:r>
              <w:rPr>
                <w:rFonts w:ascii="Arial" w:cs="Arial" w:eastAsia="Arial" w:hAnsi="Arial"/>
                <w:sz w:val="13"/>
                <w:szCs w:val="13"/>
                <w:color w:val="auto"/>
              </w:rPr>
              <w:t>SDG&amp;E</w:t>
            </w:r>
          </w:p>
        </w:tc>
        <w:tc>
          <w:tcPr>
            <w:tcW w:w="32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270"/>
              <w:spacing w:after="0"/>
              <w:rPr>
                <w:sz w:val="20"/>
                <w:szCs w:val="20"/>
                <w:color w:val="auto"/>
              </w:rPr>
            </w:pPr>
            <w:r>
              <w:rPr>
                <w:rFonts w:ascii="Arial" w:cs="Arial" w:eastAsia="Arial" w:hAnsi="Arial"/>
                <w:sz w:val="13"/>
                <w:szCs w:val="13"/>
                <w:color w:val="auto"/>
              </w:rPr>
              <w:t>PE/ SoCalGas</w:t>
            </w:r>
          </w:p>
        </w:tc>
        <w:tc>
          <w:tcPr>
            <w:tcW w:w="0" w:type="dxa"/>
            <w:vAlign w:val="bottom"/>
          </w:tcPr>
          <w:p>
            <w:pPr>
              <w:spacing w:after="0"/>
              <w:rPr>
                <w:sz w:val="1"/>
                <w:szCs w:val="1"/>
                <w:color w:val="auto"/>
              </w:rPr>
            </w:pPr>
          </w:p>
        </w:tc>
      </w:tr>
      <w:tr>
        <w:trPr>
          <w:trHeight w:val="179"/>
        </w:trPr>
        <w:tc>
          <w:tcPr>
            <w:tcW w:w="3440" w:type="dxa"/>
            <w:vAlign w:val="bottom"/>
          </w:tcPr>
          <w:p>
            <w:pPr>
              <w:spacing w:after="0"/>
              <w:rPr>
                <w:sz w:val="20"/>
                <w:szCs w:val="20"/>
                <w:color w:val="auto"/>
              </w:rPr>
            </w:pPr>
            <w:r>
              <w:rPr>
                <w:rFonts w:ascii="Arial" w:cs="Arial" w:eastAsia="Arial" w:hAnsi="Arial"/>
                <w:sz w:val="14"/>
                <w:szCs w:val="14"/>
                <w:color w:val="auto"/>
              </w:rPr>
              <w:t>Expiration of statutes of limitations on tax</w:t>
            </w:r>
          </w:p>
        </w:tc>
        <w:tc>
          <w:tcPr>
            <w:tcW w:w="2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3440" w:type="dxa"/>
            <w:vAlign w:val="bottom"/>
          </w:tcPr>
          <w:p>
            <w:pPr>
              <w:ind w:left="240"/>
              <w:spacing w:after="0"/>
              <w:rPr>
                <w:sz w:val="20"/>
                <w:szCs w:val="20"/>
                <w:color w:val="auto"/>
              </w:rPr>
            </w:pPr>
            <w:r>
              <w:rPr>
                <w:rFonts w:ascii="Arial" w:cs="Arial" w:eastAsia="Arial" w:hAnsi="Arial"/>
                <w:sz w:val="14"/>
                <w:szCs w:val="14"/>
                <w:color w:val="auto"/>
              </w:rPr>
              <w:t>assessments</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111"/>
              <w:spacing w:after="0"/>
              <w:rPr>
                <w:sz w:val="20"/>
                <w:szCs w:val="20"/>
                <w:color w:val="auto"/>
              </w:rPr>
            </w:pPr>
            <w:r>
              <w:rPr>
                <w:rFonts w:ascii="Arial" w:cs="Arial" w:eastAsia="Arial" w:hAnsi="Arial"/>
                <w:sz w:val="14"/>
                <w:szCs w:val="14"/>
                <w:color w:val="auto"/>
              </w:rPr>
              <w:t>(6 )</w:t>
            </w:r>
          </w:p>
        </w:tc>
        <w:tc>
          <w:tcPr>
            <w:tcW w:w="3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150"/>
              <w:spacing w:after="0"/>
              <w:rPr>
                <w:sz w:val="20"/>
                <w:szCs w:val="20"/>
                <w:color w:val="auto"/>
              </w:rPr>
            </w:pPr>
            <w:r>
              <w:rPr>
                <w:rFonts w:ascii="Arial" w:cs="Arial" w:eastAsia="Arial" w:hAnsi="Arial"/>
                <w:sz w:val="14"/>
                <w:szCs w:val="14"/>
                <w:color w:val="auto"/>
              </w:rPr>
              <w:t>--</w:t>
            </w:r>
          </w:p>
        </w:tc>
        <w:tc>
          <w:tcPr>
            <w:tcW w:w="320" w:type="dxa"/>
            <w:vAlign w:val="bottom"/>
          </w:tcPr>
          <w:p>
            <w:pPr>
              <w:jc w:val="right"/>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170"/>
              <w:spacing w:after="0"/>
              <w:rPr>
                <w:sz w:val="20"/>
                <w:szCs w:val="20"/>
                <w:color w:val="auto"/>
              </w:rPr>
            </w:pPr>
            <w:r>
              <w:rPr>
                <w:rFonts w:ascii="Arial" w:cs="Arial" w:eastAsia="Arial" w:hAnsi="Arial"/>
                <w:sz w:val="14"/>
                <w:szCs w:val="14"/>
                <w:color w:val="auto"/>
              </w:rPr>
              <w:t>(3 )</w:t>
            </w:r>
          </w:p>
        </w:tc>
        <w:tc>
          <w:tcPr>
            <w:tcW w:w="0" w:type="dxa"/>
            <w:vAlign w:val="bottom"/>
          </w:tcPr>
          <w:p>
            <w:pPr>
              <w:spacing w:after="0"/>
              <w:rPr>
                <w:sz w:val="1"/>
                <w:szCs w:val="1"/>
                <w:color w:val="auto"/>
              </w:rPr>
            </w:pPr>
          </w:p>
        </w:tc>
      </w:tr>
      <w:tr>
        <w:trPr>
          <w:trHeight w:val="188"/>
        </w:trPr>
        <w:tc>
          <w:tcPr>
            <w:tcW w:w="3440" w:type="dxa"/>
            <w:vAlign w:val="bottom"/>
          </w:tcPr>
          <w:p>
            <w:pPr>
              <w:spacing w:after="0"/>
              <w:rPr>
                <w:sz w:val="20"/>
                <w:szCs w:val="20"/>
                <w:color w:val="auto"/>
              </w:rPr>
            </w:pPr>
            <w:r>
              <w:rPr>
                <w:rFonts w:ascii="Arial" w:cs="Arial" w:eastAsia="Arial" w:hAnsi="Arial"/>
                <w:sz w:val="14"/>
                <w:szCs w:val="14"/>
                <w:color w:val="auto"/>
              </w:rPr>
              <w:t>Potential resolution of audit issues with various</w:t>
            </w:r>
          </w:p>
        </w:tc>
        <w:tc>
          <w:tcPr>
            <w:tcW w:w="2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3440" w:type="dxa"/>
            <w:vAlign w:val="bottom"/>
          </w:tcPr>
          <w:p>
            <w:pPr>
              <w:ind w:left="240"/>
              <w:spacing w:after="0"/>
              <w:rPr>
                <w:sz w:val="20"/>
                <w:szCs w:val="20"/>
                <w:color w:val="auto"/>
              </w:rPr>
            </w:pPr>
            <w:r>
              <w:rPr>
                <w:rFonts w:ascii="Arial" w:cs="Arial" w:eastAsia="Arial" w:hAnsi="Arial"/>
                <w:sz w:val="14"/>
                <w:szCs w:val="14"/>
                <w:color w:val="auto"/>
              </w:rPr>
              <w:t>federal, state and foreign taxing authorities</w:t>
            </w:r>
          </w:p>
        </w:tc>
        <w:tc>
          <w:tcPr>
            <w:tcW w:w="200" w:type="dxa"/>
            <w:vAlign w:val="bottom"/>
          </w:tcPr>
          <w:p>
            <w:pPr>
              <w:spacing w:after="0"/>
              <w:rPr>
                <w:sz w:val="14"/>
                <w:szCs w:val="14"/>
                <w:color w:val="auto"/>
              </w:rPr>
            </w:pPr>
          </w:p>
        </w:tc>
        <w:tc>
          <w:tcPr>
            <w:tcW w:w="1180" w:type="dxa"/>
            <w:vAlign w:val="bottom"/>
          </w:tcPr>
          <w:p>
            <w:pPr>
              <w:jc w:val="right"/>
              <w:ind w:right="111"/>
              <w:spacing w:after="0"/>
              <w:rPr>
                <w:sz w:val="20"/>
                <w:szCs w:val="20"/>
                <w:color w:val="auto"/>
              </w:rPr>
            </w:pPr>
            <w:r>
              <w:rPr>
                <w:rFonts w:ascii="Arial" w:cs="Arial" w:eastAsia="Arial" w:hAnsi="Arial"/>
                <w:sz w:val="14"/>
                <w:szCs w:val="14"/>
                <w:color w:val="auto"/>
              </w:rPr>
              <w:t>(17 )</w:t>
            </w:r>
          </w:p>
        </w:tc>
        <w:tc>
          <w:tcPr>
            <w:tcW w:w="380" w:type="dxa"/>
            <w:vAlign w:val="bottom"/>
          </w:tcPr>
          <w:p>
            <w:pPr>
              <w:spacing w:after="0"/>
              <w:rPr>
                <w:sz w:val="14"/>
                <w:szCs w:val="14"/>
                <w:color w:val="auto"/>
              </w:rPr>
            </w:pPr>
          </w:p>
        </w:tc>
        <w:tc>
          <w:tcPr>
            <w:tcW w:w="960" w:type="dxa"/>
            <w:vAlign w:val="bottom"/>
          </w:tcPr>
          <w:p>
            <w:pPr>
              <w:jc w:val="right"/>
              <w:ind w:right="15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4"/>
                <w:szCs w:val="14"/>
                <w:color w:val="auto"/>
              </w:rPr>
            </w:pPr>
          </w:p>
        </w:tc>
        <w:tc>
          <w:tcPr>
            <w:tcW w:w="1200" w:type="dxa"/>
            <w:vAlign w:val="bottom"/>
          </w:tcPr>
          <w:p>
            <w:pPr>
              <w:jc w:val="right"/>
              <w:ind w:right="23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8"/>
        </w:trPr>
        <w:tc>
          <w:tcPr>
            <w:tcW w:w="3440" w:type="dxa"/>
            <w:vAlign w:val="bottom"/>
          </w:tcPr>
          <w:p>
            <w:pPr>
              <w:spacing w:after="0"/>
              <w:rPr>
                <w:sz w:val="20"/>
                <w:szCs w:val="20"/>
                <w:color w:val="auto"/>
              </w:rPr>
            </w:pPr>
            <w:r>
              <w:rPr>
                <w:rFonts w:ascii="Arial" w:cs="Arial" w:eastAsia="Arial" w:hAnsi="Arial"/>
                <w:sz w:val="14"/>
                <w:szCs w:val="14"/>
                <w:color w:val="auto"/>
              </w:rPr>
              <w:t>Impact of federal and state timing items affecting</w:t>
            </w:r>
          </w:p>
        </w:tc>
        <w:tc>
          <w:tcPr>
            <w:tcW w:w="200" w:type="dxa"/>
            <w:vAlign w:val="bottom"/>
          </w:tcPr>
          <w:p>
            <w:pPr>
              <w:spacing w:after="0"/>
              <w:rPr>
                <w:sz w:val="16"/>
                <w:szCs w:val="16"/>
                <w:color w:val="auto"/>
              </w:rPr>
            </w:pPr>
          </w:p>
        </w:tc>
        <w:tc>
          <w:tcPr>
            <w:tcW w:w="1180" w:type="dxa"/>
            <w:vAlign w:val="bottom"/>
            <w:vMerge w:val="restart"/>
          </w:tcPr>
          <w:p>
            <w:pPr>
              <w:jc w:val="right"/>
              <w:ind w:right="111"/>
              <w:spacing w:after="0"/>
              <w:rPr>
                <w:sz w:val="20"/>
                <w:szCs w:val="20"/>
                <w:color w:val="auto"/>
              </w:rPr>
            </w:pPr>
            <w:r>
              <w:rPr>
                <w:rFonts w:ascii="Arial" w:cs="Arial" w:eastAsia="Arial" w:hAnsi="Arial"/>
                <w:sz w:val="14"/>
                <w:szCs w:val="14"/>
                <w:color w:val="auto"/>
              </w:rPr>
              <w:t>(3 )</w:t>
            </w:r>
          </w:p>
        </w:tc>
        <w:tc>
          <w:tcPr>
            <w:tcW w:w="380" w:type="dxa"/>
            <w:vAlign w:val="bottom"/>
          </w:tcPr>
          <w:p>
            <w:pPr>
              <w:spacing w:after="0"/>
              <w:rPr>
                <w:sz w:val="16"/>
                <w:szCs w:val="16"/>
                <w:color w:val="auto"/>
              </w:rPr>
            </w:pPr>
          </w:p>
        </w:tc>
        <w:tc>
          <w:tcPr>
            <w:tcW w:w="960" w:type="dxa"/>
            <w:vAlign w:val="bottom"/>
            <w:vMerge w:val="restart"/>
          </w:tcPr>
          <w:p>
            <w:pPr>
              <w:jc w:val="right"/>
              <w:ind w:right="15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6"/>
                <w:szCs w:val="16"/>
                <w:color w:val="auto"/>
              </w:rPr>
            </w:pPr>
          </w:p>
        </w:tc>
        <w:tc>
          <w:tcPr>
            <w:tcW w:w="1200" w:type="dxa"/>
            <w:vAlign w:val="bottom"/>
            <w:vMerge w:val="restart"/>
          </w:tcPr>
          <w:p>
            <w:pPr>
              <w:jc w:val="right"/>
              <w:ind w:right="170"/>
              <w:spacing w:after="0"/>
              <w:rPr>
                <w:sz w:val="20"/>
                <w:szCs w:val="20"/>
                <w:color w:val="auto"/>
              </w:rPr>
            </w:pPr>
            <w:r>
              <w:rPr>
                <w:rFonts w:ascii="Arial" w:cs="Arial" w:eastAsia="Arial" w:hAnsi="Arial"/>
                <w:sz w:val="14"/>
                <w:szCs w:val="14"/>
                <w:color w:val="auto"/>
              </w:rPr>
              <w:t>(3 )</w:t>
            </w:r>
          </w:p>
        </w:tc>
        <w:tc>
          <w:tcPr>
            <w:tcW w:w="0" w:type="dxa"/>
            <w:vAlign w:val="bottom"/>
          </w:tcPr>
          <w:p>
            <w:pPr>
              <w:spacing w:after="0"/>
              <w:rPr>
                <w:sz w:val="1"/>
                <w:szCs w:val="1"/>
                <w:color w:val="auto"/>
              </w:rPr>
            </w:pPr>
          </w:p>
        </w:tc>
      </w:tr>
      <w:tr>
        <w:trPr>
          <w:trHeight w:val="166"/>
        </w:trPr>
        <w:tc>
          <w:tcPr>
            <w:tcW w:w="3440" w:type="dxa"/>
            <w:vAlign w:val="bottom"/>
          </w:tcPr>
          <w:p>
            <w:pPr>
              <w:ind w:left="240"/>
              <w:spacing w:after="0"/>
              <w:rPr>
                <w:sz w:val="20"/>
                <w:szCs w:val="20"/>
                <w:color w:val="auto"/>
              </w:rPr>
            </w:pPr>
            <w:r>
              <w:rPr>
                <w:rFonts w:ascii="Arial" w:cs="Arial" w:eastAsia="Arial" w:hAnsi="Arial"/>
                <w:sz w:val="14"/>
                <w:szCs w:val="14"/>
                <w:color w:val="auto"/>
              </w:rPr>
              <w:t>taxable income</w:t>
            </w:r>
          </w:p>
        </w:tc>
        <w:tc>
          <w:tcPr>
            <w:tcW w:w="2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vMerge w:val="continue"/>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vMerge w:val="continue"/>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4"/>
        </w:trPr>
        <w:tc>
          <w:tcPr>
            <w:tcW w:w="34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color w:val="auto"/>
              </w:rPr>
              <w:t>(26 )</w:t>
            </w:r>
          </w:p>
        </w:tc>
        <w:tc>
          <w:tcPr>
            <w:tcW w:w="3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ind w:right="150"/>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tcPr>
          <w:p>
            <w:pPr>
              <w:jc w:val="right"/>
              <w:ind w:right="170"/>
              <w:spacing w:after="0"/>
              <w:rPr>
                <w:sz w:val="20"/>
                <w:szCs w:val="20"/>
                <w:color w:val="auto"/>
              </w:rPr>
            </w:pPr>
            <w:r>
              <w:rPr>
                <w:rFonts w:ascii="Arial" w:cs="Arial" w:eastAsia="Arial" w:hAnsi="Arial"/>
                <w:sz w:val="14"/>
                <w:szCs w:val="14"/>
                <w:color w:val="auto"/>
              </w:rPr>
              <w:t>(6 )</w:t>
            </w:r>
          </w:p>
        </w:tc>
        <w:tc>
          <w:tcPr>
            <w:tcW w:w="0" w:type="dxa"/>
            <w:vAlign w:val="bottom"/>
          </w:tcPr>
          <w:p>
            <w:pPr>
              <w:spacing w:after="0"/>
              <w:rPr>
                <w:sz w:val="1"/>
                <w:szCs w:val="1"/>
                <w:color w:val="auto"/>
              </w:rPr>
            </w:pPr>
          </w:p>
        </w:tc>
      </w:tr>
    </w:tbl>
    <w:p>
      <w:pPr>
        <w:spacing w:after="0" w:line="180" w:lineRule="exact"/>
        <w:rPr>
          <w:sz w:val="20"/>
          <w:szCs w:val="20"/>
          <w:color w:val="auto"/>
        </w:rPr>
      </w:pPr>
    </w:p>
    <w:p>
      <w:pPr>
        <w:jc w:val="both"/>
        <w:ind w:right="40"/>
        <w:spacing w:after="0" w:line="264" w:lineRule="auto"/>
        <w:rPr>
          <w:sz w:val="20"/>
          <w:szCs w:val="20"/>
          <w:color w:val="auto"/>
        </w:rPr>
      </w:pPr>
      <w:r>
        <w:rPr>
          <w:rFonts w:ascii="Arial" w:cs="Arial" w:eastAsia="Arial" w:hAnsi="Arial"/>
          <w:sz w:val="16"/>
          <w:szCs w:val="16"/>
          <w:color w:val="auto"/>
        </w:rPr>
        <w:t>Effective January 1, 2007, our policy is to recognize accrued interest and penalties on accrued tax balances as components of tax expense. Prior to the adoption of FIN 48, we accrued interest expense and penalties as components of tax expense and interest income as a component of interest income. As of December 31, 2008, the following amounts were accrued:</w:t>
      </w:r>
    </w:p>
    <w:p>
      <w:pPr>
        <w:spacing w:after="0" w:line="287" w:lineRule="exact"/>
        <w:rPr>
          <w:sz w:val="20"/>
          <w:szCs w:val="20"/>
          <w:color w:val="auto"/>
        </w:rPr>
      </w:pPr>
    </w:p>
    <w:tbl>
      <w:tblPr>
        <w:tblLayout w:type="fixed"/>
        <w:tblInd w:w="1880" w:type="dxa"/>
        <w:tblCellMar>
          <w:top w:w="0" w:type="dxa"/>
          <w:left w:w="0" w:type="dxa"/>
          <w:bottom w:w="0" w:type="dxa"/>
          <w:right w:w="0" w:type="dxa"/>
        </w:tblCellMar>
      </w:tblPr>
      <w:tr>
        <w:trPr>
          <w:trHeight w:val="154"/>
        </w:trPr>
        <w:tc>
          <w:tcPr>
            <w:tcW w:w="2380" w:type="dxa"/>
            <w:vAlign w:val="bottom"/>
            <w:vMerge w:val="restart"/>
          </w:tcPr>
          <w:p>
            <w:pPr>
              <w:spacing w:after="0"/>
              <w:rPr>
                <w:sz w:val="20"/>
                <w:szCs w:val="20"/>
                <w:color w:val="auto"/>
              </w:rPr>
            </w:pPr>
            <w:r>
              <w:rPr>
                <w:rFonts w:ascii="Arial" w:cs="Arial" w:eastAsia="Arial" w:hAnsi="Arial"/>
                <w:sz w:val="13"/>
                <w:szCs w:val="13"/>
                <w:i w:val="1"/>
                <w:iCs w:val="1"/>
                <w:color w:val="auto"/>
              </w:rPr>
              <w:t>(Dollars in millions)</w:t>
            </w:r>
          </w:p>
        </w:tc>
        <w:tc>
          <w:tcPr>
            <w:tcW w:w="1380" w:type="dxa"/>
            <w:vAlign w:val="bottom"/>
          </w:tcPr>
          <w:p>
            <w:pPr>
              <w:spacing w:after="0"/>
              <w:rPr>
                <w:sz w:val="13"/>
                <w:szCs w:val="13"/>
                <w:color w:val="auto"/>
              </w:rPr>
            </w:pPr>
          </w:p>
        </w:tc>
        <w:tc>
          <w:tcPr>
            <w:tcW w:w="1160" w:type="dxa"/>
            <w:vAlign w:val="bottom"/>
          </w:tcPr>
          <w:p>
            <w:pPr>
              <w:jc w:val="right"/>
              <w:ind w:right="172"/>
              <w:spacing w:after="0"/>
              <w:rPr>
                <w:sz w:val="20"/>
                <w:szCs w:val="20"/>
                <w:color w:val="auto"/>
              </w:rPr>
            </w:pPr>
            <w:r>
              <w:rPr>
                <w:rFonts w:ascii="Arial" w:cs="Arial" w:eastAsia="Arial" w:hAnsi="Arial"/>
                <w:sz w:val="13"/>
                <w:szCs w:val="13"/>
                <w:color w:val="auto"/>
                <w:w w:val="99"/>
              </w:rPr>
              <w:t>Sempra Energy</w:t>
            </w:r>
          </w:p>
        </w:tc>
        <w:tc>
          <w:tcPr>
            <w:tcW w:w="4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380" w:type="dxa"/>
            <w:vAlign w:val="bottom"/>
            <w:tcBorders>
              <w:bottom w:val="single" w:sz="8" w:color="auto"/>
            </w:tcBorders>
            <w:vMerge w:val="continue"/>
          </w:tcPr>
          <w:p>
            <w:pPr>
              <w:spacing w:after="0"/>
              <w:rPr>
                <w:sz w:val="14"/>
                <w:szCs w:val="14"/>
                <w:color w:val="auto"/>
              </w:rPr>
            </w:pPr>
          </w:p>
        </w:tc>
        <w:tc>
          <w:tcPr>
            <w:tcW w:w="13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252"/>
              <w:spacing w:after="0"/>
              <w:rPr>
                <w:sz w:val="20"/>
                <w:szCs w:val="20"/>
                <w:color w:val="auto"/>
              </w:rPr>
            </w:pPr>
            <w:r>
              <w:rPr>
                <w:rFonts w:ascii="Arial" w:cs="Arial" w:eastAsia="Arial" w:hAnsi="Arial"/>
                <w:sz w:val="13"/>
                <w:szCs w:val="13"/>
                <w:color w:val="auto"/>
              </w:rPr>
              <w:t>Consolidated</w:t>
            </w:r>
          </w:p>
        </w:tc>
        <w:tc>
          <w:tcPr>
            <w:tcW w:w="4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351"/>
              <w:spacing w:after="0"/>
              <w:rPr>
                <w:sz w:val="20"/>
                <w:szCs w:val="20"/>
                <w:color w:val="auto"/>
              </w:rPr>
            </w:pPr>
            <w:r>
              <w:rPr>
                <w:rFonts w:ascii="Arial" w:cs="Arial" w:eastAsia="Arial" w:hAnsi="Arial"/>
                <w:sz w:val="13"/>
                <w:szCs w:val="13"/>
                <w:color w:val="auto"/>
              </w:rPr>
              <w:t>SDG&amp;E</w:t>
            </w:r>
          </w:p>
        </w:tc>
        <w:tc>
          <w:tcPr>
            <w:tcW w:w="3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131"/>
              <w:spacing w:after="0"/>
              <w:rPr>
                <w:sz w:val="20"/>
                <w:szCs w:val="20"/>
                <w:color w:val="auto"/>
              </w:rPr>
            </w:pPr>
            <w:r>
              <w:rPr>
                <w:rFonts w:ascii="Arial" w:cs="Arial" w:eastAsia="Arial" w:hAnsi="Arial"/>
                <w:sz w:val="13"/>
                <w:szCs w:val="13"/>
                <w:color w:val="auto"/>
                <w:w w:val="97"/>
              </w:rPr>
              <w:t>PE/ SoCalGas</w:t>
            </w:r>
          </w:p>
        </w:tc>
        <w:tc>
          <w:tcPr>
            <w:tcW w:w="0" w:type="dxa"/>
            <w:vAlign w:val="bottom"/>
          </w:tcPr>
          <w:p>
            <w:pPr>
              <w:spacing w:after="0"/>
              <w:rPr>
                <w:sz w:val="1"/>
                <w:szCs w:val="1"/>
                <w:color w:val="auto"/>
              </w:rPr>
            </w:pPr>
          </w:p>
        </w:tc>
      </w:tr>
      <w:tr>
        <w:trPr>
          <w:trHeight w:val="207"/>
        </w:trPr>
        <w:tc>
          <w:tcPr>
            <w:tcW w:w="2380" w:type="dxa"/>
            <w:vAlign w:val="bottom"/>
          </w:tcPr>
          <w:p>
            <w:pPr>
              <w:spacing w:after="0"/>
              <w:rPr>
                <w:sz w:val="20"/>
                <w:szCs w:val="20"/>
                <w:color w:val="auto"/>
              </w:rPr>
            </w:pPr>
            <w:r>
              <w:rPr>
                <w:rFonts w:ascii="Arial" w:cs="Arial" w:eastAsia="Arial" w:hAnsi="Arial"/>
                <w:sz w:val="14"/>
                <w:szCs w:val="14"/>
                <w:color w:val="auto"/>
              </w:rPr>
              <w:t>Interest expense</w:t>
            </w:r>
          </w:p>
        </w:tc>
        <w:tc>
          <w:tcPr>
            <w:tcW w:w="1380" w:type="dxa"/>
            <w:vAlign w:val="bottom"/>
          </w:tcPr>
          <w:p>
            <w:pPr>
              <w:jc w:val="right"/>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152"/>
              <w:spacing w:after="0"/>
              <w:rPr>
                <w:sz w:val="20"/>
                <w:szCs w:val="20"/>
                <w:color w:val="auto"/>
              </w:rPr>
            </w:pPr>
            <w:r>
              <w:rPr>
                <w:rFonts w:ascii="Arial" w:cs="Arial" w:eastAsia="Arial" w:hAnsi="Arial"/>
                <w:sz w:val="14"/>
                <w:szCs w:val="14"/>
                <w:color w:val="auto"/>
              </w:rPr>
              <w:t>18</w:t>
            </w:r>
          </w:p>
        </w:tc>
        <w:tc>
          <w:tcPr>
            <w:tcW w:w="4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131"/>
              <w:spacing w:after="0"/>
              <w:rPr>
                <w:sz w:val="20"/>
                <w:szCs w:val="20"/>
                <w:color w:val="auto"/>
              </w:rPr>
            </w:pPr>
            <w:r>
              <w:rPr>
                <w:rFonts w:ascii="Arial" w:cs="Arial" w:eastAsia="Arial" w:hAnsi="Arial"/>
                <w:sz w:val="14"/>
                <w:szCs w:val="14"/>
                <w:color w:val="auto"/>
              </w:rPr>
              <w:t>2</w:t>
            </w:r>
          </w:p>
        </w:tc>
        <w:tc>
          <w:tcPr>
            <w:tcW w:w="320" w:type="dxa"/>
            <w:vAlign w:val="bottom"/>
          </w:tcPr>
          <w:p>
            <w:pPr>
              <w:jc w:val="right"/>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111"/>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250"/>
        </w:trPr>
        <w:tc>
          <w:tcPr>
            <w:tcW w:w="2380" w:type="dxa"/>
            <w:vAlign w:val="bottom"/>
            <w:tcBorders>
              <w:bottom w:val="single" w:sz="8" w:color="DFDFDF"/>
            </w:tcBorders>
          </w:tcPr>
          <w:p>
            <w:pPr>
              <w:spacing w:after="0"/>
              <w:rPr>
                <w:sz w:val="20"/>
                <w:szCs w:val="20"/>
                <w:color w:val="auto"/>
              </w:rPr>
            </w:pPr>
            <w:r>
              <w:rPr>
                <w:rFonts w:ascii="Arial" w:cs="Arial" w:eastAsia="Arial" w:hAnsi="Arial"/>
                <w:sz w:val="14"/>
                <w:szCs w:val="14"/>
                <w:color w:val="auto"/>
              </w:rPr>
              <w:t>Penalties</w:t>
            </w:r>
          </w:p>
        </w:tc>
        <w:tc>
          <w:tcPr>
            <w:tcW w:w="1380" w:type="dxa"/>
            <w:vAlign w:val="bottom"/>
            <w:tcBorders>
              <w:bottom w:val="single" w:sz="8" w:color="DFDFDF"/>
            </w:tcBorders>
          </w:tcPr>
          <w:p>
            <w:pPr>
              <w:spacing w:after="0"/>
              <w:rPr>
                <w:sz w:val="21"/>
                <w:szCs w:val="21"/>
                <w:color w:val="auto"/>
              </w:rPr>
            </w:pPr>
          </w:p>
        </w:tc>
        <w:tc>
          <w:tcPr>
            <w:tcW w:w="1160" w:type="dxa"/>
            <w:vAlign w:val="bottom"/>
            <w:tcBorders>
              <w:bottom w:val="single" w:sz="8" w:color="DFDFDF"/>
            </w:tcBorders>
          </w:tcPr>
          <w:p>
            <w:pPr>
              <w:jc w:val="right"/>
              <w:ind w:right="152"/>
              <w:spacing w:after="0"/>
              <w:rPr>
                <w:sz w:val="20"/>
                <w:szCs w:val="20"/>
                <w:color w:val="auto"/>
              </w:rPr>
            </w:pPr>
            <w:r>
              <w:rPr>
                <w:rFonts w:ascii="Arial" w:cs="Arial" w:eastAsia="Arial" w:hAnsi="Arial"/>
                <w:sz w:val="14"/>
                <w:szCs w:val="14"/>
                <w:color w:val="auto"/>
              </w:rPr>
              <w:t>1</w:t>
            </w:r>
          </w:p>
        </w:tc>
        <w:tc>
          <w:tcPr>
            <w:tcW w:w="420" w:type="dxa"/>
            <w:vAlign w:val="bottom"/>
            <w:tcBorders>
              <w:bottom w:val="single" w:sz="8" w:color="DFDFDF"/>
            </w:tcBorders>
          </w:tcPr>
          <w:p>
            <w:pPr>
              <w:spacing w:after="0"/>
              <w:rPr>
                <w:sz w:val="21"/>
                <w:szCs w:val="21"/>
                <w:color w:val="auto"/>
              </w:rPr>
            </w:pPr>
          </w:p>
        </w:tc>
        <w:tc>
          <w:tcPr>
            <w:tcW w:w="980" w:type="dxa"/>
            <w:vAlign w:val="bottom"/>
            <w:tcBorders>
              <w:bottom w:val="single" w:sz="8" w:color="DFDFDF"/>
            </w:tcBorders>
          </w:tcPr>
          <w:p>
            <w:pPr>
              <w:jc w:val="right"/>
              <w:ind w:right="131"/>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DFDFDF"/>
            </w:tcBorders>
          </w:tcPr>
          <w:p>
            <w:pPr>
              <w:spacing w:after="0"/>
              <w:rPr>
                <w:sz w:val="21"/>
                <w:szCs w:val="21"/>
                <w:color w:val="auto"/>
              </w:rPr>
            </w:pPr>
          </w:p>
        </w:tc>
        <w:tc>
          <w:tcPr>
            <w:tcW w:w="1040" w:type="dxa"/>
            <w:vAlign w:val="bottom"/>
            <w:tcBorders>
              <w:bottom w:val="single" w:sz="8" w:color="DFDFDF"/>
            </w:tcBorders>
          </w:tcPr>
          <w:p>
            <w:pPr>
              <w:jc w:val="right"/>
              <w:ind w:right="111"/>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180" w:lineRule="exact"/>
        <w:rPr>
          <w:sz w:val="20"/>
          <w:szCs w:val="20"/>
          <w:color w:val="auto"/>
        </w:rPr>
      </w:pPr>
    </w:p>
    <w:p>
      <w:pPr>
        <w:spacing w:after="0" w:line="277" w:lineRule="auto"/>
        <w:rPr>
          <w:sz w:val="20"/>
          <w:szCs w:val="20"/>
          <w:color w:val="auto"/>
        </w:rPr>
      </w:pPr>
      <w:r>
        <w:rPr>
          <w:rFonts w:ascii="Arial" w:cs="Arial" w:eastAsia="Arial" w:hAnsi="Arial"/>
          <w:sz w:val="16"/>
          <w:szCs w:val="16"/>
          <w:color w:val="auto"/>
        </w:rPr>
        <w:t>Amounts accrued for interest expense and penalties associated with income taxes are included in income tax expense on the Statements of Consolidated Income and in various income tax balances on the Consolidated Balance Sheets.</w:t>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INCOME TAX AUDITS</w:t>
      </w:r>
    </w:p>
    <w:p>
      <w:pPr>
        <w:spacing w:after="0" w:line="89" w:lineRule="exact"/>
        <w:rPr>
          <w:sz w:val="20"/>
          <w:szCs w:val="20"/>
          <w:color w:val="auto"/>
        </w:rPr>
      </w:pPr>
    </w:p>
    <w:p>
      <w:pPr>
        <w:ind w:right="60"/>
        <w:spacing w:after="0" w:line="312" w:lineRule="auto"/>
        <w:rPr>
          <w:sz w:val="20"/>
          <w:szCs w:val="20"/>
          <w:color w:val="auto"/>
        </w:rPr>
      </w:pPr>
      <w:r>
        <w:rPr>
          <w:rFonts w:ascii="Arial" w:cs="Arial" w:eastAsia="Arial" w:hAnsi="Arial"/>
          <w:sz w:val="15"/>
          <w:szCs w:val="15"/>
          <w:color w:val="auto"/>
        </w:rPr>
        <w:t>Sempra Energy is subject to U.S. federal income tax as well as to income tax of multiple state and foreign jurisdictions. We remain subject to examination by U.S. federal and major state tax jurisdictions only for years after 2001. Certain major foreign income tax returns from 1995 through the present are open to examination.</w:t>
      </w:r>
    </w:p>
    <w:p>
      <w:pPr>
        <w:spacing w:after="0" w:line="8" w:lineRule="exact"/>
        <w:rPr>
          <w:sz w:val="20"/>
          <w:szCs w:val="20"/>
          <w:color w:val="auto"/>
        </w:rPr>
      </w:pPr>
    </w:p>
    <w:p>
      <w:pPr>
        <w:ind w:right="120"/>
        <w:spacing w:after="0" w:line="277" w:lineRule="auto"/>
        <w:rPr>
          <w:sz w:val="20"/>
          <w:szCs w:val="20"/>
          <w:color w:val="auto"/>
        </w:rPr>
      </w:pPr>
      <w:r>
        <w:rPr>
          <w:rFonts w:ascii="Arial" w:cs="Arial" w:eastAsia="Arial" w:hAnsi="Arial"/>
          <w:sz w:val="16"/>
          <w:szCs w:val="16"/>
          <w:color w:val="auto"/>
        </w:rPr>
        <w:t>In addition, we have filed state refund claims for tax years back to 1998. The pre-2002 tax years are closed to new issues; therefore, no additional tax may be assessed by the taxing authorities for these years.</w:t>
      </w:r>
    </w:p>
    <w:p>
      <w:pPr>
        <w:spacing w:after="0" w:line="32" w:lineRule="exact"/>
        <w:rPr>
          <w:sz w:val="20"/>
          <w:szCs w:val="20"/>
          <w:color w:val="auto"/>
        </w:rPr>
      </w:pPr>
    </w:p>
    <w:p>
      <w:pPr>
        <w:ind w:right="20"/>
        <w:spacing w:after="0" w:line="277" w:lineRule="auto"/>
        <w:rPr>
          <w:sz w:val="20"/>
          <w:szCs w:val="20"/>
          <w:color w:val="auto"/>
        </w:rPr>
      </w:pPr>
      <w:r>
        <w:rPr>
          <w:rFonts w:ascii="Arial" w:cs="Arial" w:eastAsia="Arial" w:hAnsi="Arial"/>
          <w:sz w:val="16"/>
          <w:szCs w:val="16"/>
          <w:color w:val="auto"/>
        </w:rPr>
        <w:t>SDG&amp;E, PE and SoCalGas are subject to U.S. federal income tax as well as income tax of state jurisdictions. They remain subject to examination by U.S. federal and state tax jurisdictions only for years after 2001.</w:t>
      </w:r>
    </w:p>
    <w:p>
      <w:pPr>
        <w:spacing w:after="0" w:line="32" w:lineRule="exact"/>
        <w:rPr>
          <w:sz w:val="20"/>
          <w:szCs w:val="20"/>
          <w:color w:val="auto"/>
        </w:rPr>
      </w:pPr>
    </w:p>
    <w:p>
      <w:pPr>
        <w:ind w:right="100"/>
        <w:spacing w:after="0" w:line="277" w:lineRule="auto"/>
        <w:rPr>
          <w:sz w:val="20"/>
          <w:szCs w:val="20"/>
          <w:color w:val="auto"/>
        </w:rPr>
      </w:pPr>
      <w:r>
        <w:rPr>
          <w:rFonts w:ascii="Arial" w:cs="Arial" w:eastAsia="Arial" w:hAnsi="Arial"/>
          <w:sz w:val="16"/>
          <w:szCs w:val="16"/>
          <w:color w:val="auto"/>
        </w:rPr>
        <w:t>In addition, PE has state refund claims for tax years back to 1993. The pre-2002 tax years are closed to new issues; therefore, no additional tax may be assessed by the taxing authorities for these years.</w:t>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4"/>
          <w:szCs w:val="14"/>
          <w:color w:val="auto"/>
        </w:rPr>
        <w:t>136</w:t>
      </w:r>
    </w:p>
    <w:p>
      <w:pPr>
        <w:sectPr>
          <w:pgSz w:w="11900" w:h="16838" w:orient="portrait"/>
          <w:cols w:equalWidth="0" w:num="1">
            <w:col w:w="11200"/>
          </w:cols>
          <w:pgMar w:left="240" w:top="127" w:right="459" w:bottom="1440" w:gutter="0" w:footer="0" w:header="0"/>
        </w:sectPr>
      </w:pPr>
    </w:p>
    <w:bookmarkStart w:id="276" w:name="page277"/>
    <w:bookmarkEnd w:id="276"/>
    <w:p>
      <w:pPr>
        <w:ind w:left="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149860</wp:posOffset>
            </wp:positionH>
            <wp:positionV relativeFrom="page">
              <wp:posOffset>432435</wp:posOffset>
            </wp:positionV>
            <wp:extent cx="7261860" cy="762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61860" cy="7620"/>
                    </a:xfrm>
                    <a:prstGeom prst="rect">
                      <a:avLst/>
                    </a:prstGeom>
                    <a:noFill/>
                  </pic:spPr>
                </pic:pic>
              </a:graphicData>
            </a:graphic>
          </wp:anchor>
        </w:drawing>
        <w:t>NOTE 9. EMPLOYEE BENEFIT PLANS</w:t>
      </w:r>
    </w:p>
    <w:p>
      <w:pPr>
        <w:spacing w:after="0" w:line="60" w:lineRule="exact"/>
        <w:rPr>
          <w:sz w:val="20"/>
          <w:szCs w:val="20"/>
          <w:color w:val="auto"/>
        </w:rPr>
      </w:pPr>
    </w:p>
    <w:p>
      <w:pPr>
        <w:ind w:left="4"/>
        <w:spacing w:after="0"/>
        <w:rPr>
          <w:sz w:val="20"/>
          <w:szCs w:val="20"/>
          <w:color w:val="auto"/>
        </w:rPr>
      </w:pPr>
      <w:r>
        <w:rPr>
          <w:rFonts w:ascii="Arial" w:cs="Arial" w:eastAsia="Arial" w:hAnsi="Arial"/>
          <w:sz w:val="16"/>
          <w:szCs w:val="16"/>
          <w:color w:val="auto"/>
        </w:rPr>
        <w:t>We account for our employee benefit plans in accordance with:</w:t>
      </w:r>
    </w:p>
    <w:p>
      <w:pPr>
        <w:spacing w:after="0" w:line="44" w:lineRule="exact"/>
        <w:rPr>
          <w:sz w:val="20"/>
          <w:szCs w:val="20"/>
          <w:color w:val="auto"/>
        </w:rPr>
      </w:pPr>
    </w:p>
    <w:p>
      <w:pPr>
        <w:ind w:left="144" w:right="1260" w:hanging="144"/>
        <w:spacing w:after="0" w:line="274" w:lineRule="auto"/>
        <w:tabs>
          <w:tab w:leader="none" w:pos="144" w:val="left"/>
        </w:tabs>
        <w:numPr>
          <w:ilvl w:val="0"/>
          <w:numId w:val="347"/>
        </w:numPr>
        <w:rPr>
          <w:rFonts w:ascii="Arial" w:cs="Arial" w:eastAsia="Arial" w:hAnsi="Arial"/>
          <w:sz w:val="16"/>
          <w:szCs w:val="16"/>
          <w:color w:val="auto"/>
        </w:rPr>
      </w:pPr>
      <w:r>
        <w:rPr>
          <w:rFonts w:ascii="Arial" w:cs="Arial" w:eastAsia="Arial" w:hAnsi="Arial"/>
          <w:sz w:val="16"/>
          <w:szCs w:val="16"/>
          <w:color w:val="auto"/>
        </w:rPr>
        <w:t xml:space="preserve">FASB Statement No. 158, </w:t>
      </w:r>
      <w:r>
        <w:rPr>
          <w:rFonts w:ascii="Arial" w:cs="Arial" w:eastAsia="Arial" w:hAnsi="Arial"/>
          <w:sz w:val="16"/>
          <w:szCs w:val="16"/>
          <w:i w:val="1"/>
          <w:iCs w:val="1"/>
          <w:color w:val="auto"/>
        </w:rPr>
        <w:t>Employers' Accounting for Defined Benefit Pension and Other Postretirement Plans - an amendment of FASB Statements 87, 88,</w:t>
      </w:r>
      <w:r>
        <w:rPr>
          <w:rFonts w:ascii="Arial" w:cs="Arial" w:eastAsia="Arial" w:hAnsi="Arial"/>
          <w:sz w:val="16"/>
          <w:szCs w:val="16"/>
          <w:color w:val="auto"/>
        </w:rPr>
        <w:t xml:space="preserve"> </w:t>
      </w:r>
      <w:r>
        <w:rPr>
          <w:rFonts w:ascii="Arial" w:cs="Arial" w:eastAsia="Arial" w:hAnsi="Arial"/>
          <w:sz w:val="16"/>
          <w:szCs w:val="16"/>
          <w:i w:val="1"/>
          <w:iCs w:val="1"/>
          <w:color w:val="auto"/>
        </w:rPr>
        <w:t>106, and 132(R)</w:t>
      </w:r>
    </w:p>
    <w:p>
      <w:pPr>
        <w:ind w:left="144" w:right="1140" w:hanging="144"/>
        <w:spacing w:after="0" w:line="274" w:lineRule="auto"/>
        <w:tabs>
          <w:tab w:leader="none" w:pos="144" w:val="left"/>
        </w:tabs>
        <w:numPr>
          <w:ilvl w:val="0"/>
          <w:numId w:val="347"/>
        </w:numPr>
        <w:rPr>
          <w:rFonts w:ascii="Arial" w:cs="Arial" w:eastAsia="Arial" w:hAnsi="Arial"/>
          <w:sz w:val="16"/>
          <w:szCs w:val="16"/>
          <w:color w:val="auto"/>
        </w:rPr>
      </w:pPr>
      <w:r>
        <w:rPr>
          <w:rFonts w:ascii="Arial" w:cs="Arial" w:eastAsia="Arial" w:hAnsi="Arial"/>
          <w:sz w:val="16"/>
          <w:szCs w:val="16"/>
          <w:color w:val="auto"/>
        </w:rPr>
        <w:t xml:space="preserve">FASB Statement No. 132 (revised 2003), </w:t>
      </w:r>
      <w:r>
        <w:rPr>
          <w:rFonts w:ascii="Arial" w:cs="Arial" w:eastAsia="Arial" w:hAnsi="Arial"/>
          <w:sz w:val="16"/>
          <w:szCs w:val="16"/>
          <w:i w:val="1"/>
          <w:iCs w:val="1"/>
          <w:color w:val="auto"/>
        </w:rPr>
        <w:t>Employers' Disclosures about Pensions and Other Postretirement Benefits - an amendment of FASB Statements No.</w:t>
      </w:r>
      <w:r>
        <w:rPr>
          <w:rFonts w:ascii="Arial" w:cs="Arial" w:eastAsia="Arial" w:hAnsi="Arial"/>
          <w:sz w:val="16"/>
          <w:szCs w:val="16"/>
          <w:color w:val="auto"/>
        </w:rPr>
        <w:t xml:space="preserve"> </w:t>
      </w:r>
      <w:r>
        <w:rPr>
          <w:rFonts w:ascii="Arial" w:cs="Arial" w:eastAsia="Arial" w:hAnsi="Arial"/>
          <w:sz w:val="16"/>
          <w:szCs w:val="16"/>
          <w:i w:val="1"/>
          <w:iCs w:val="1"/>
          <w:color w:val="auto"/>
        </w:rPr>
        <w:t>87, 88, and 106</w:t>
      </w:r>
    </w:p>
    <w:p>
      <w:pPr>
        <w:ind w:left="144" w:hanging="144"/>
        <w:spacing w:after="0"/>
        <w:tabs>
          <w:tab w:leader="none" w:pos="144" w:val="left"/>
        </w:tabs>
        <w:numPr>
          <w:ilvl w:val="0"/>
          <w:numId w:val="347"/>
        </w:numPr>
        <w:rPr>
          <w:rFonts w:ascii="Arial" w:cs="Arial" w:eastAsia="Arial" w:hAnsi="Arial"/>
          <w:sz w:val="16"/>
          <w:szCs w:val="16"/>
          <w:color w:val="auto"/>
        </w:rPr>
      </w:pPr>
      <w:r>
        <w:rPr>
          <w:rFonts w:ascii="Arial" w:cs="Arial" w:eastAsia="Arial" w:hAnsi="Arial"/>
          <w:sz w:val="16"/>
          <w:szCs w:val="16"/>
          <w:color w:val="auto"/>
        </w:rPr>
        <w:t xml:space="preserve">FASB Statement No. 106, </w:t>
      </w:r>
      <w:r>
        <w:rPr>
          <w:rFonts w:ascii="Arial" w:cs="Arial" w:eastAsia="Arial" w:hAnsi="Arial"/>
          <w:sz w:val="16"/>
          <w:szCs w:val="16"/>
          <w:i w:val="1"/>
          <w:iCs w:val="1"/>
          <w:color w:val="auto"/>
        </w:rPr>
        <w:t>Employers' Accounting for Postretirement Benefits Other Than Pensions</w:t>
      </w:r>
    </w:p>
    <w:p>
      <w:pPr>
        <w:spacing w:after="0" w:line="44" w:lineRule="exact"/>
        <w:rPr>
          <w:rFonts w:ascii="Arial" w:cs="Arial" w:eastAsia="Arial" w:hAnsi="Arial"/>
          <w:sz w:val="16"/>
          <w:szCs w:val="16"/>
          <w:color w:val="auto"/>
        </w:rPr>
      </w:pPr>
    </w:p>
    <w:p>
      <w:pPr>
        <w:ind w:left="144" w:hanging="144"/>
        <w:spacing w:after="0"/>
        <w:tabs>
          <w:tab w:leader="none" w:pos="144" w:val="left"/>
        </w:tabs>
        <w:numPr>
          <w:ilvl w:val="0"/>
          <w:numId w:val="347"/>
        </w:numPr>
        <w:rPr>
          <w:rFonts w:ascii="Arial" w:cs="Arial" w:eastAsia="Arial" w:hAnsi="Arial"/>
          <w:sz w:val="16"/>
          <w:szCs w:val="16"/>
          <w:color w:val="auto"/>
        </w:rPr>
      </w:pPr>
      <w:r>
        <w:rPr>
          <w:rFonts w:ascii="Arial" w:cs="Arial" w:eastAsia="Arial" w:hAnsi="Arial"/>
          <w:sz w:val="16"/>
          <w:szCs w:val="16"/>
          <w:color w:val="auto"/>
        </w:rPr>
        <w:t xml:space="preserve">FASB Statement No. 88, </w:t>
      </w:r>
      <w:r>
        <w:rPr>
          <w:rFonts w:ascii="Arial" w:cs="Arial" w:eastAsia="Arial" w:hAnsi="Arial"/>
          <w:sz w:val="16"/>
          <w:szCs w:val="16"/>
          <w:i w:val="1"/>
          <w:iCs w:val="1"/>
          <w:color w:val="auto"/>
        </w:rPr>
        <w:t>Employers' Accounting for Settlements and Curtailments of Defined Benefit Pension Plans and for Termination Benefits</w:t>
      </w:r>
    </w:p>
    <w:p>
      <w:pPr>
        <w:spacing w:after="0" w:line="44" w:lineRule="exact"/>
        <w:rPr>
          <w:rFonts w:ascii="Arial" w:cs="Arial" w:eastAsia="Arial" w:hAnsi="Arial"/>
          <w:sz w:val="16"/>
          <w:szCs w:val="16"/>
          <w:color w:val="auto"/>
        </w:rPr>
      </w:pPr>
    </w:p>
    <w:p>
      <w:pPr>
        <w:ind w:left="144" w:hanging="144"/>
        <w:spacing w:after="0"/>
        <w:tabs>
          <w:tab w:leader="none" w:pos="144" w:val="left"/>
        </w:tabs>
        <w:numPr>
          <w:ilvl w:val="0"/>
          <w:numId w:val="347"/>
        </w:numPr>
        <w:rPr>
          <w:rFonts w:ascii="Arial" w:cs="Arial" w:eastAsia="Arial" w:hAnsi="Arial"/>
          <w:sz w:val="16"/>
          <w:szCs w:val="16"/>
          <w:color w:val="auto"/>
        </w:rPr>
      </w:pPr>
      <w:r>
        <w:rPr>
          <w:rFonts w:ascii="Arial" w:cs="Arial" w:eastAsia="Arial" w:hAnsi="Arial"/>
          <w:sz w:val="16"/>
          <w:szCs w:val="16"/>
          <w:color w:val="auto"/>
        </w:rPr>
        <w:t xml:space="preserve">FASB Statement No. 87, </w:t>
      </w:r>
      <w:r>
        <w:rPr>
          <w:rFonts w:ascii="Arial" w:cs="Arial" w:eastAsia="Arial" w:hAnsi="Arial"/>
          <w:sz w:val="16"/>
          <w:szCs w:val="16"/>
          <w:i w:val="1"/>
          <w:iCs w:val="1"/>
          <w:color w:val="auto"/>
        </w:rPr>
        <w:t>Employers' Accounting for Pensions</w:t>
      </w:r>
    </w:p>
    <w:p>
      <w:pPr>
        <w:spacing w:after="0" w:line="128" w:lineRule="exact"/>
        <w:rPr>
          <w:sz w:val="20"/>
          <w:szCs w:val="20"/>
          <w:color w:val="auto"/>
        </w:rPr>
      </w:pPr>
    </w:p>
    <w:p>
      <w:pPr>
        <w:ind w:left="4"/>
        <w:spacing w:after="0"/>
        <w:rPr>
          <w:sz w:val="20"/>
          <w:szCs w:val="20"/>
          <w:color w:val="auto"/>
        </w:rPr>
      </w:pPr>
      <w:r>
        <w:rPr>
          <w:rFonts w:ascii="Arial" w:cs="Arial" w:eastAsia="Arial" w:hAnsi="Arial"/>
          <w:sz w:val="16"/>
          <w:szCs w:val="16"/>
          <w:color w:val="auto"/>
        </w:rPr>
        <w:t>These pronouncements require an employer to do the following:</w:t>
      </w:r>
    </w:p>
    <w:p>
      <w:pPr>
        <w:spacing w:after="0" w:line="44" w:lineRule="exact"/>
        <w:rPr>
          <w:sz w:val="20"/>
          <w:szCs w:val="20"/>
          <w:color w:val="auto"/>
        </w:rPr>
      </w:pPr>
    </w:p>
    <w:p>
      <w:pPr>
        <w:ind w:left="144" w:hanging="144"/>
        <w:spacing w:after="0"/>
        <w:tabs>
          <w:tab w:leader="none" w:pos="144" w:val="left"/>
        </w:tabs>
        <w:numPr>
          <w:ilvl w:val="0"/>
          <w:numId w:val="348"/>
        </w:numPr>
        <w:rPr>
          <w:rFonts w:ascii="Arial" w:cs="Arial" w:eastAsia="Arial" w:hAnsi="Arial"/>
          <w:sz w:val="16"/>
          <w:szCs w:val="16"/>
          <w:color w:val="auto"/>
        </w:rPr>
      </w:pPr>
      <w:r>
        <w:rPr>
          <w:rFonts w:ascii="Arial" w:cs="Arial" w:eastAsia="Arial" w:hAnsi="Arial"/>
          <w:sz w:val="16"/>
          <w:szCs w:val="16"/>
          <w:color w:val="auto"/>
        </w:rPr>
        <w:t>recognize an asset for a plan's overfunded status or a liability for a plan's underfunded status in the statement of financial position;</w:t>
      </w:r>
    </w:p>
    <w:p>
      <w:pPr>
        <w:spacing w:after="0" w:line="44" w:lineRule="exact"/>
        <w:rPr>
          <w:rFonts w:ascii="Arial" w:cs="Arial" w:eastAsia="Arial" w:hAnsi="Arial"/>
          <w:sz w:val="16"/>
          <w:szCs w:val="16"/>
          <w:color w:val="auto"/>
        </w:rPr>
      </w:pPr>
    </w:p>
    <w:p>
      <w:pPr>
        <w:ind w:left="144" w:hanging="144"/>
        <w:spacing w:after="0"/>
        <w:tabs>
          <w:tab w:leader="none" w:pos="144" w:val="left"/>
        </w:tabs>
        <w:numPr>
          <w:ilvl w:val="0"/>
          <w:numId w:val="348"/>
        </w:numPr>
        <w:rPr>
          <w:rFonts w:ascii="Arial" w:cs="Arial" w:eastAsia="Arial" w:hAnsi="Arial"/>
          <w:sz w:val="16"/>
          <w:szCs w:val="16"/>
          <w:color w:val="auto"/>
        </w:rPr>
      </w:pPr>
      <w:r>
        <w:rPr>
          <w:rFonts w:ascii="Arial" w:cs="Arial" w:eastAsia="Arial" w:hAnsi="Arial"/>
          <w:sz w:val="16"/>
          <w:szCs w:val="16"/>
          <w:color w:val="auto"/>
        </w:rPr>
        <w:t>measure a plan's assets and its obligations that determine its funded status as of the end of the fiscal year (with limited exceptions); and</w:t>
      </w:r>
    </w:p>
    <w:p>
      <w:pPr>
        <w:spacing w:after="0" w:line="44" w:lineRule="exact"/>
        <w:rPr>
          <w:rFonts w:ascii="Arial" w:cs="Arial" w:eastAsia="Arial" w:hAnsi="Arial"/>
          <w:sz w:val="16"/>
          <w:szCs w:val="16"/>
          <w:color w:val="auto"/>
        </w:rPr>
      </w:pPr>
    </w:p>
    <w:p>
      <w:pPr>
        <w:ind w:left="144" w:right="1180" w:hanging="144"/>
        <w:spacing w:after="0" w:line="277" w:lineRule="auto"/>
        <w:tabs>
          <w:tab w:leader="none" w:pos="144" w:val="left"/>
        </w:tabs>
        <w:numPr>
          <w:ilvl w:val="0"/>
          <w:numId w:val="348"/>
        </w:numPr>
        <w:rPr>
          <w:rFonts w:ascii="Arial" w:cs="Arial" w:eastAsia="Arial" w:hAnsi="Arial"/>
          <w:sz w:val="16"/>
          <w:szCs w:val="16"/>
          <w:color w:val="auto"/>
        </w:rPr>
      </w:pPr>
      <w:r>
        <w:rPr>
          <w:rFonts w:ascii="Arial" w:cs="Arial" w:eastAsia="Arial" w:hAnsi="Arial"/>
          <w:sz w:val="16"/>
          <w:szCs w:val="16"/>
          <w:color w:val="auto"/>
        </w:rPr>
        <w:t>recognize changes in the funded status of a defined benefit postretirement plan in the year in which the changes occur. Generally, those changes are reported in comprehensive income and as a separate component of shareholders' equity.</w:t>
      </w:r>
    </w:p>
    <w:p>
      <w:pPr>
        <w:spacing w:after="0" w:line="80" w:lineRule="exact"/>
        <w:rPr>
          <w:sz w:val="20"/>
          <w:szCs w:val="20"/>
          <w:color w:val="auto"/>
        </w:rPr>
      </w:pPr>
    </w:p>
    <w:p>
      <w:pPr>
        <w:ind w:left="4"/>
        <w:spacing w:after="0"/>
        <w:rPr>
          <w:sz w:val="20"/>
          <w:szCs w:val="20"/>
          <w:color w:val="auto"/>
        </w:rPr>
      </w:pPr>
      <w:r>
        <w:rPr>
          <w:rFonts w:ascii="Arial" w:cs="Arial" w:eastAsia="Arial" w:hAnsi="Arial"/>
          <w:sz w:val="16"/>
          <w:szCs w:val="16"/>
          <w:color w:val="auto"/>
        </w:rPr>
        <w:t>The information presented below covers the employee benefit plans of Sempra Energy and its principal subsidiaries.</w:t>
      </w:r>
    </w:p>
    <w:p>
      <w:pPr>
        <w:spacing w:after="0" w:line="80" w:lineRule="exact"/>
        <w:rPr>
          <w:sz w:val="20"/>
          <w:szCs w:val="20"/>
          <w:color w:val="auto"/>
        </w:rPr>
      </w:pPr>
    </w:p>
    <w:p>
      <w:pPr>
        <w:ind w:left="4" w:right="380"/>
        <w:spacing w:after="0" w:line="340" w:lineRule="auto"/>
        <w:rPr>
          <w:sz w:val="20"/>
          <w:szCs w:val="20"/>
          <w:color w:val="auto"/>
        </w:rPr>
      </w:pPr>
      <w:r>
        <w:rPr>
          <w:rFonts w:ascii="Arial" w:cs="Arial" w:eastAsia="Arial" w:hAnsi="Arial"/>
          <w:sz w:val="14"/>
          <w:szCs w:val="14"/>
          <w:color w:val="auto"/>
        </w:rPr>
        <w:t>Sempra Energy has funded and unfunded noncontributory defined benefit plans, including separate plans for SDG&amp;E and SoCalGas, which together cover substantially all employees and Sempra Energy’s board of directors. The plans provide defined benefits based on years of service and either final average or career salary.</w:t>
      </w:r>
    </w:p>
    <w:p>
      <w:pPr>
        <w:ind w:left="4"/>
        <w:spacing w:after="0" w:line="264" w:lineRule="auto"/>
        <w:rPr>
          <w:sz w:val="20"/>
          <w:szCs w:val="20"/>
          <w:color w:val="auto"/>
        </w:rPr>
      </w:pPr>
      <w:r>
        <w:rPr>
          <w:rFonts w:ascii="Arial" w:cs="Arial" w:eastAsia="Arial" w:hAnsi="Arial"/>
          <w:sz w:val="16"/>
          <w:szCs w:val="16"/>
          <w:color w:val="auto"/>
        </w:rPr>
        <w:t>Sempra Energy also has other postretirement benefit plans, including separate plans for SDG&amp;E and SoCalGas, which together cover substantially all employees and Sempra Energy’s board of directors. The life insurance plans are both contributory and noncontributory and the health-care plans are contributory. Participants' contributions are adjusted annually. Other postretirement benefits include medical benefits for retirees' spouses.</w:t>
      </w:r>
    </w:p>
    <w:p>
      <w:pPr>
        <w:spacing w:after="0" w:line="42" w:lineRule="exact"/>
        <w:rPr>
          <w:sz w:val="20"/>
          <w:szCs w:val="20"/>
          <w:color w:val="auto"/>
        </w:rPr>
      </w:pPr>
    </w:p>
    <w:p>
      <w:pPr>
        <w:ind w:left="4"/>
        <w:spacing w:after="0"/>
        <w:rPr>
          <w:sz w:val="20"/>
          <w:szCs w:val="20"/>
          <w:color w:val="auto"/>
        </w:rPr>
      </w:pPr>
      <w:r>
        <w:rPr>
          <w:rFonts w:ascii="Arial" w:cs="Arial" w:eastAsia="Arial" w:hAnsi="Arial"/>
          <w:sz w:val="16"/>
          <w:szCs w:val="16"/>
          <w:color w:val="auto"/>
        </w:rPr>
        <w:t>Pension and other postretirement benefits costs and obligations are dependent on assumptions used in calculating such amounts. These assumptions include:</w:t>
      </w:r>
    </w:p>
    <w:p>
      <w:pPr>
        <w:spacing w:after="0" w:line="44" w:lineRule="exact"/>
        <w:rPr>
          <w:sz w:val="20"/>
          <w:szCs w:val="20"/>
          <w:color w:val="auto"/>
        </w:rPr>
      </w:pPr>
    </w:p>
    <w:p>
      <w:pPr>
        <w:ind w:left="144" w:hanging="144"/>
        <w:spacing w:after="0"/>
        <w:tabs>
          <w:tab w:leader="none" w:pos="144" w:val="left"/>
        </w:tabs>
        <w:numPr>
          <w:ilvl w:val="0"/>
          <w:numId w:val="349"/>
        </w:numPr>
        <w:rPr>
          <w:rFonts w:ascii="Arial" w:cs="Arial" w:eastAsia="Arial" w:hAnsi="Arial"/>
          <w:sz w:val="16"/>
          <w:szCs w:val="16"/>
          <w:color w:val="auto"/>
        </w:rPr>
      </w:pPr>
      <w:r>
        <w:rPr>
          <w:rFonts w:ascii="Arial" w:cs="Arial" w:eastAsia="Arial" w:hAnsi="Arial"/>
          <w:sz w:val="16"/>
          <w:szCs w:val="16"/>
          <w:color w:val="auto"/>
        </w:rPr>
        <w:t>discount rates</w:t>
      </w:r>
    </w:p>
    <w:p>
      <w:pPr>
        <w:spacing w:after="0" w:line="44" w:lineRule="exact"/>
        <w:rPr>
          <w:rFonts w:ascii="Arial" w:cs="Arial" w:eastAsia="Arial" w:hAnsi="Arial"/>
          <w:sz w:val="16"/>
          <w:szCs w:val="16"/>
          <w:color w:val="auto"/>
        </w:rPr>
      </w:pPr>
    </w:p>
    <w:p>
      <w:pPr>
        <w:ind w:left="144" w:hanging="144"/>
        <w:spacing w:after="0"/>
        <w:tabs>
          <w:tab w:leader="none" w:pos="144" w:val="left"/>
        </w:tabs>
        <w:numPr>
          <w:ilvl w:val="0"/>
          <w:numId w:val="349"/>
        </w:numPr>
        <w:rPr>
          <w:rFonts w:ascii="Arial" w:cs="Arial" w:eastAsia="Arial" w:hAnsi="Arial"/>
          <w:sz w:val="16"/>
          <w:szCs w:val="16"/>
          <w:color w:val="auto"/>
        </w:rPr>
      </w:pPr>
      <w:r>
        <w:rPr>
          <w:rFonts w:ascii="Arial" w:cs="Arial" w:eastAsia="Arial" w:hAnsi="Arial"/>
          <w:sz w:val="16"/>
          <w:szCs w:val="16"/>
          <w:color w:val="auto"/>
        </w:rPr>
        <w:t>expected return on plan assets</w:t>
      </w:r>
    </w:p>
    <w:p>
      <w:pPr>
        <w:spacing w:after="0" w:line="44" w:lineRule="exact"/>
        <w:rPr>
          <w:rFonts w:ascii="Arial" w:cs="Arial" w:eastAsia="Arial" w:hAnsi="Arial"/>
          <w:sz w:val="16"/>
          <w:szCs w:val="16"/>
          <w:color w:val="auto"/>
        </w:rPr>
      </w:pPr>
    </w:p>
    <w:p>
      <w:pPr>
        <w:ind w:left="144" w:hanging="144"/>
        <w:spacing w:after="0"/>
        <w:tabs>
          <w:tab w:leader="none" w:pos="144" w:val="left"/>
        </w:tabs>
        <w:numPr>
          <w:ilvl w:val="0"/>
          <w:numId w:val="349"/>
        </w:numPr>
        <w:rPr>
          <w:rFonts w:ascii="Arial" w:cs="Arial" w:eastAsia="Arial" w:hAnsi="Arial"/>
          <w:sz w:val="16"/>
          <w:szCs w:val="16"/>
          <w:color w:val="auto"/>
        </w:rPr>
      </w:pPr>
      <w:r>
        <w:rPr>
          <w:rFonts w:ascii="Arial" w:cs="Arial" w:eastAsia="Arial" w:hAnsi="Arial"/>
          <w:sz w:val="16"/>
          <w:szCs w:val="16"/>
          <w:color w:val="auto"/>
        </w:rPr>
        <w:t>health-care cost trend rates</w:t>
      </w:r>
    </w:p>
    <w:p>
      <w:pPr>
        <w:spacing w:after="0" w:line="44" w:lineRule="exact"/>
        <w:rPr>
          <w:rFonts w:ascii="Arial" w:cs="Arial" w:eastAsia="Arial" w:hAnsi="Arial"/>
          <w:sz w:val="16"/>
          <w:szCs w:val="16"/>
          <w:color w:val="auto"/>
        </w:rPr>
      </w:pPr>
    </w:p>
    <w:p>
      <w:pPr>
        <w:ind w:left="144" w:hanging="144"/>
        <w:spacing w:after="0"/>
        <w:tabs>
          <w:tab w:leader="none" w:pos="144" w:val="left"/>
        </w:tabs>
        <w:numPr>
          <w:ilvl w:val="0"/>
          <w:numId w:val="349"/>
        </w:numPr>
        <w:rPr>
          <w:rFonts w:ascii="Arial" w:cs="Arial" w:eastAsia="Arial" w:hAnsi="Arial"/>
          <w:sz w:val="16"/>
          <w:szCs w:val="16"/>
          <w:color w:val="auto"/>
        </w:rPr>
      </w:pPr>
      <w:r>
        <w:rPr>
          <w:rFonts w:ascii="Arial" w:cs="Arial" w:eastAsia="Arial" w:hAnsi="Arial"/>
          <w:sz w:val="16"/>
          <w:szCs w:val="16"/>
          <w:color w:val="auto"/>
        </w:rPr>
        <w:t>mortality rates</w:t>
      </w:r>
    </w:p>
    <w:p>
      <w:pPr>
        <w:spacing w:after="0" w:line="44" w:lineRule="exact"/>
        <w:rPr>
          <w:rFonts w:ascii="Arial" w:cs="Arial" w:eastAsia="Arial" w:hAnsi="Arial"/>
          <w:sz w:val="16"/>
          <w:szCs w:val="16"/>
          <w:color w:val="auto"/>
        </w:rPr>
      </w:pPr>
    </w:p>
    <w:p>
      <w:pPr>
        <w:ind w:left="144" w:hanging="144"/>
        <w:spacing w:after="0"/>
        <w:tabs>
          <w:tab w:leader="none" w:pos="144" w:val="left"/>
        </w:tabs>
        <w:numPr>
          <w:ilvl w:val="0"/>
          <w:numId w:val="349"/>
        </w:numPr>
        <w:rPr>
          <w:rFonts w:ascii="Arial" w:cs="Arial" w:eastAsia="Arial" w:hAnsi="Arial"/>
          <w:sz w:val="16"/>
          <w:szCs w:val="16"/>
          <w:color w:val="auto"/>
        </w:rPr>
      </w:pPr>
      <w:r>
        <w:rPr>
          <w:rFonts w:ascii="Arial" w:cs="Arial" w:eastAsia="Arial" w:hAnsi="Arial"/>
          <w:sz w:val="16"/>
          <w:szCs w:val="16"/>
          <w:color w:val="auto"/>
        </w:rPr>
        <w:t>compensation increase rates</w:t>
      </w:r>
    </w:p>
    <w:p>
      <w:pPr>
        <w:spacing w:after="0" w:line="44" w:lineRule="exact"/>
        <w:rPr>
          <w:rFonts w:ascii="Arial" w:cs="Arial" w:eastAsia="Arial" w:hAnsi="Arial"/>
          <w:sz w:val="16"/>
          <w:szCs w:val="16"/>
          <w:color w:val="auto"/>
        </w:rPr>
      </w:pPr>
    </w:p>
    <w:p>
      <w:pPr>
        <w:ind w:left="144" w:hanging="144"/>
        <w:spacing w:after="0"/>
        <w:tabs>
          <w:tab w:leader="none" w:pos="144" w:val="left"/>
        </w:tabs>
        <w:numPr>
          <w:ilvl w:val="0"/>
          <w:numId w:val="349"/>
        </w:numPr>
        <w:rPr>
          <w:rFonts w:ascii="Arial" w:cs="Arial" w:eastAsia="Arial" w:hAnsi="Arial"/>
          <w:sz w:val="16"/>
          <w:szCs w:val="16"/>
          <w:color w:val="auto"/>
        </w:rPr>
      </w:pPr>
      <w:r>
        <w:rPr>
          <w:rFonts w:ascii="Arial" w:cs="Arial" w:eastAsia="Arial" w:hAnsi="Arial"/>
          <w:sz w:val="16"/>
          <w:szCs w:val="16"/>
          <w:color w:val="auto"/>
        </w:rPr>
        <w:t>payout elections (lump sum or annuity)</w:t>
      </w:r>
    </w:p>
    <w:p>
      <w:pPr>
        <w:spacing w:after="0" w:line="128" w:lineRule="exact"/>
        <w:rPr>
          <w:sz w:val="20"/>
          <w:szCs w:val="20"/>
          <w:color w:val="auto"/>
        </w:rPr>
      </w:pPr>
    </w:p>
    <w:p>
      <w:pPr>
        <w:ind w:left="4" w:right="60"/>
        <w:spacing w:after="0" w:line="277" w:lineRule="auto"/>
        <w:rPr>
          <w:sz w:val="20"/>
          <w:szCs w:val="20"/>
          <w:color w:val="auto"/>
        </w:rPr>
      </w:pPr>
      <w:r>
        <w:rPr>
          <w:rFonts w:ascii="Arial" w:cs="Arial" w:eastAsia="Arial" w:hAnsi="Arial"/>
          <w:sz w:val="16"/>
          <w:szCs w:val="16"/>
          <w:color w:val="auto"/>
        </w:rPr>
        <w:t>These assumptions are reviewed on an annual basis prior to the beginning of each year and updated when appropriate. We consider current market conditions, including interest rates, in making these assumptions. We use a December 31 measurement date for all of our plans.</w:t>
      </w:r>
    </w:p>
    <w:p>
      <w:pPr>
        <w:spacing w:after="0" w:line="32" w:lineRule="exact"/>
        <w:rPr>
          <w:sz w:val="20"/>
          <w:szCs w:val="20"/>
          <w:color w:val="auto"/>
        </w:rPr>
      </w:pPr>
    </w:p>
    <w:p>
      <w:pPr>
        <w:ind w:left="4" w:right="380"/>
        <w:spacing w:after="0" w:line="277" w:lineRule="auto"/>
        <w:rPr>
          <w:sz w:val="20"/>
          <w:szCs w:val="20"/>
          <w:color w:val="auto"/>
        </w:rPr>
      </w:pPr>
      <w:r>
        <w:rPr>
          <w:rFonts w:ascii="Arial" w:cs="Arial" w:eastAsia="Arial" w:hAnsi="Arial"/>
          <w:sz w:val="16"/>
          <w:szCs w:val="16"/>
          <w:color w:val="auto"/>
        </w:rPr>
        <w:t>In support of its Supplemental Executive Retirement and Deferred Compensation Plans, Sempra Energy maintains dedicated assets, including investments in life insurance contracts, which totaled $401 million and $440 million at December 31, 2008 and 2007, respectively.</w:t>
      </w:r>
    </w:p>
    <w:p>
      <w:pPr>
        <w:spacing w:after="0" w:line="200" w:lineRule="exact"/>
        <w:rPr>
          <w:sz w:val="20"/>
          <w:szCs w:val="20"/>
          <w:color w:val="auto"/>
        </w:rPr>
      </w:pPr>
    </w:p>
    <w:p>
      <w:pPr>
        <w:spacing w:after="0" w:line="292" w:lineRule="exact"/>
        <w:rPr>
          <w:sz w:val="20"/>
          <w:szCs w:val="20"/>
          <w:color w:val="auto"/>
        </w:rPr>
      </w:pPr>
    </w:p>
    <w:p>
      <w:pPr>
        <w:ind w:left="4"/>
        <w:spacing w:after="0"/>
        <w:rPr>
          <w:sz w:val="20"/>
          <w:szCs w:val="20"/>
          <w:color w:val="auto"/>
        </w:rPr>
      </w:pPr>
      <w:r>
        <w:rPr>
          <w:rFonts w:ascii="Arial" w:cs="Arial" w:eastAsia="Arial" w:hAnsi="Arial"/>
          <w:sz w:val="14"/>
          <w:szCs w:val="14"/>
          <w:color w:val="auto"/>
        </w:rPr>
        <w:t>137</w:t>
      </w:r>
    </w:p>
    <w:p>
      <w:pPr>
        <w:sectPr>
          <w:pgSz w:w="11900" w:h="16838" w:orient="portrait"/>
          <w:cols w:equalWidth="0" w:num="1">
            <w:col w:w="11344"/>
          </w:cols>
          <w:pgMar w:left="236" w:top="737" w:right="319" w:bottom="1440" w:gutter="0" w:footer="0" w:header="0"/>
        </w:sectPr>
      </w:pPr>
    </w:p>
    <w:bookmarkStart w:id="277" w:name="page278"/>
    <w:bookmarkEnd w:id="277"/>
    <w:p>
      <w:pPr>
        <w:spacing w:after="0"/>
        <w:rPr>
          <w:sz w:val="20"/>
          <w:szCs w:val="20"/>
          <w:color w:val="auto"/>
        </w:rPr>
      </w:pPr>
      <w:r>
        <w:rPr>
          <w:rFonts w:ascii="Arial" w:cs="Arial" w:eastAsia="Arial" w:hAnsi="Arial"/>
          <w:sz w:val="16"/>
          <w:szCs w:val="16"/>
          <w:b w:val="1"/>
          <w:bCs w:val="1"/>
          <w:color w:val="auto"/>
        </w:rPr>
        <w:t>PENSION AND OTHER POSTRETIREMENT BENEFIT PLANS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Benefit Plan Amendments for 2007 and 2008</w:t>
      </w:r>
    </w:p>
    <w:p>
      <w:pPr>
        <w:spacing w:after="0" w:line="23" w:lineRule="exact"/>
        <w:rPr>
          <w:sz w:val="20"/>
          <w:szCs w:val="20"/>
          <w:color w:val="auto"/>
        </w:rPr>
      </w:pPr>
    </w:p>
    <w:p>
      <w:pPr>
        <w:ind w:right="360"/>
        <w:spacing w:after="0" w:line="340" w:lineRule="auto"/>
        <w:rPr>
          <w:sz w:val="20"/>
          <w:szCs w:val="20"/>
          <w:color w:val="auto"/>
        </w:rPr>
      </w:pPr>
      <w:r>
        <w:rPr>
          <w:rFonts w:ascii="Arial" w:cs="Arial" w:eastAsia="Arial" w:hAnsi="Arial"/>
          <w:sz w:val="14"/>
          <w:szCs w:val="14"/>
          <w:color w:val="auto"/>
        </w:rPr>
        <w:t>Effective January 1, 2009, one of Sempra Energy’s pension plans, separate from the Sempra Utilities’ plans, was amended to increase the cash balance benefit obligation for certain participants. This amendment resulted in an increase of $3 million in the benefit obligation and unrecognized prior service costs as of December 31, 2008.</w:t>
      </w:r>
    </w:p>
    <w:p>
      <w:pPr>
        <w:ind w:right="220"/>
        <w:spacing w:after="0" w:line="312" w:lineRule="auto"/>
        <w:rPr>
          <w:sz w:val="20"/>
          <w:szCs w:val="20"/>
          <w:color w:val="auto"/>
        </w:rPr>
      </w:pPr>
      <w:r>
        <w:rPr>
          <w:rFonts w:ascii="Arial" w:cs="Arial" w:eastAsia="Arial" w:hAnsi="Arial"/>
          <w:sz w:val="15"/>
          <w:szCs w:val="15"/>
          <w:color w:val="auto"/>
        </w:rPr>
        <w:t>Effective July 1, 2008, SDG&amp;E’s other postretirement benefit plan was amended to increase the health benefits for certain union participants. This amendment resulted in a $3 million increase at both Sempra Energy and SDG&amp;E in the benefit obligation and unrecognized prior service costs as of December 31, 2007.</w:t>
      </w:r>
    </w:p>
    <w:p>
      <w:pPr>
        <w:spacing w:after="0" w:line="8" w:lineRule="exact"/>
        <w:rPr>
          <w:sz w:val="20"/>
          <w:szCs w:val="20"/>
          <w:color w:val="auto"/>
        </w:rPr>
      </w:pPr>
    </w:p>
    <w:p>
      <w:pPr>
        <w:ind w:right="100"/>
        <w:spacing w:after="0" w:line="264" w:lineRule="auto"/>
        <w:rPr>
          <w:sz w:val="20"/>
          <w:szCs w:val="20"/>
          <w:color w:val="auto"/>
        </w:rPr>
      </w:pPr>
      <w:r>
        <w:rPr>
          <w:rFonts w:ascii="Arial" w:cs="Arial" w:eastAsia="Arial" w:hAnsi="Arial"/>
          <w:sz w:val="16"/>
          <w:szCs w:val="16"/>
          <w:color w:val="auto"/>
        </w:rPr>
        <w:t>Effective January 1, 2008, the pension plans were amended to increase the death benefit for beneficiaries of vested non-union participants. This amendment resulted in a $2 million increase in the benefit obligation and unrecognized prior service costs as of December 31, 2007 at Sempra Energy, including a $1 million increase each at SoCalGas and SDG&amp;E.</w:t>
      </w:r>
    </w:p>
    <w:p>
      <w:pPr>
        <w:spacing w:after="0" w:line="42" w:lineRule="exact"/>
        <w:rPr>
          <w:sz w:val="20"/>
          <w:szCs w:val="20"/>
          <w:color w:val="auto"/>
        </w:rPr>
      </w:pPr>
    </w:p>
    <w:p>
      <w:pPr>
        <w:spacing w:after="0" w:line="264" w:lineRule="auto"/>
        <w:rPr>
          <w:sz w:val="20"/>
          <w:szCs w:val="20"/>
          <w:color w:val="auto"/>
        </w:rPr>
      </w:pPr>
      <w:r>
        <w:rPr>
          <w:rFonts w:ascii="Arial" w:cs="Arial" w:eastAsia="Arial" w:hAnsi="Arial"/>
          <w:sz w:val="16"/>
          <w:szCs w:val="16"/>
          <w:color w:val="auto"/>
        </w:rPr>
        <w:t>Effective January 1, 2008, SoCalGas’ and one of Sempra Energy’s other postretirement benefit plans were amended to provide a health benefit for the surviving spouses (over the age of 65) of both union and non-union participants. This amendment resulted in an $18 million increase at both Sempra Energy and SoCalGas in the benefit obligation and unrecognized prior service costs as of December 31, 2007.</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Benefit Obligations and Assets</w:t>
      </w:r>
    </w:p>
    <w:p>
      <w:pPr>
        <w:spacing w:after="0" w:line="23" w:lineRule="exact"/>
        <w:rPr>
          <w:sz w:val="20"/>
          <w:szCs w:val="20"/>
          <w:color w:val="auto"/>
        </w:rPr>
      </w:pPr>
    </w:p>
    <w:p>
      <w:pPr>
        <w:ind w:right="80"/>
        <w:spacing w:after="0" w:line="277" w:lineRule="auto"/>
        <w:rPr>
          <w:sz w:val="20"/>
          <w:szCs w:val="20"/>
          <w:color w:val="auto"/>
        </w:rPr>
      </w:pPr>
      <w:r>
        <w:rPr>
          <w:rFonts w:ascii="Arial" w:cs="Arial" w:eastAsia="Arial" w:hAnsi="Arial"/>
          <w:sz w:val="16"/>
          <w:szCs w:val="16"/>
          <w:color w:val="auto"/>
        </w:rPr>
        <w:t>The following three tables provide a reconciliation of the changes in the plans' projected benefit obligations and the fair value of assets during 2008 and 2007, and a statement of the funded status at December 31, 2008 and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1164590</wp:posOffset>
            </wp:positionH>
            <wp:positionV relativeFrom="paragraph">
              <wp:posOffset>165735</wp:posOffset>
            </wp:positionV>
            <wp:extent cx="4935220" cy="24384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4935220" cy="243840"/>
                    </a:xfrm>
                    <a:prstGeom prst="rect">
                      <a:avLst/>
                    </a:prstGeom>
                    <a:noFill/>
                  </pic:spPr>
                </pic:pic>
              </a:graphicData>
            </a:graphic>
          </wp:anchor>
        </w:drawing>
      </w:r>
    </w:p>
    <w:p>
      <w:pPr>
        <w:spacing w:after="0" w:line="248" w:lineRule="exact"/>
        <w:rPr>
          <w:sz w:val="20"/>
          <w:szCs w:val="20"/>
          <w:color w:val="auto"/>
        </w:rPr>
      </w:pPr>
    </w:p>
    <w:p>
      <w:pPr>
        <w:ind w:left="1840"/>
        <w:spacing w:after="0"/>
        <w:rPr>
          <w:sz w:val="20"/>
          <w:szCs w:val="20"/>
          <w:color w:val="auto"/>
        </w:rPr>
      </w:pPr>
      <w:r>
        <w:rPr>
          <w:rFonts w:ascii="Arial" w:cs="Arial" w:eastAsia="Arial" w:hAnsi="Arial"/>
          <w:sz w:val="14"/>
          <w:szCs w:val="14"/>
          <w:b w:val="1"/>
          <w:bCs w:val="1"/>
          <w:color w:val="auto"/>
        </w:rPr>
        <w:t>PROJECTED BENEFIT OBLIGATION, FAIR VALUE OF ASSETS AND FUNDED STATUS</w:t>
      </w:r>
    </w:p>
    <w:p>
      <w:pPr>
        <w:spacing w:after="0" w:line="40" w:lineRule="exact"/>
        <w:rPr>
          <w:sz w:val="20"/>
          <w:szCs w:val="20"/>
          <w:color w:val="auto"/>
        </w:rPr>
      </w:pPr>
    </w:p>
    <w:tbl>
      <w:tblPr>
        <w:tblLayout w:type="fixed"/>
        <w:tblInd w:w="1840" w:type="dxa"/>
        <w:tblCellMar>
          <w:top w:w="0" w:type="dxa"/>
          <w:left w:w="0" w:type="dxa"/>
          <w:bottom w:w="0" w:type="dxa"/>
          <w:right w:w="0" w:type="dxa"/>
        </w:tblCellMar>
      </w:tblPr>
      <w:tr>
        <w:trPr>
          <w:trHeight w:val="166"/>
        </w:trPr>
        <w:tc>
          <w:tcPr>
            <w:tcW w:w="3780" w:type="dxa"/>
            <w:vAlign w:val="bottom"/>
          </w:tcPr>
          <w:p>
            <w:pPr>
              <w:spacing w:after="0"/>
              <w:rPr>
                <w:sz w:val="20"/>
                <w:szCs w:val="20"/>
                <w:color w:val="auto"/>
              </w:rPr>
            </w:pPr>
            <w:r>
              <w:rPr>
                <w:rFonts w:ascii="Arial" w:cs="Arial" w:eastAsia="Arial" w:hAnsi="Arial"/>
                <w:sz w:val="13"/>
                <w:szCs w:val="13"/>
                <w:i w:val="1"/>
                <w:iCs w:val="1"/>
                <w:color w:val="auto"/>
              </w:rPr>
              <w:t>(Dollars in millions)</w:t>
            </w: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80" w:type="dxa"/>
            <w:vAlign w:val="bottom"/>
          </w:tcPr>
          <w:p>
            <w:pPr>
              <w:spacing w:after="0"/>
              <w:rPr>
                <w:sz w:val="14"/>
                <w:szCs w:val="14"/>
                <w:color w:val="auto"/>
              </w:rPr>
            </w:pPr>
          </w:p>
        </w:tc>
      </w:tr>
      <w:tr>
        <w:trPr>
          <w:trHeight w:val="180"/>
        </w:trPr>
        <w:tc>
          <w:tcPr>
            <w:tcW w:w="37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00" w:type="dxa"/>
            <w:vAlign w:val="bottom"/>
          </w:tcPr>
          <w:p>
            <w:pPr>
              <w:jc w:val="center"/>
              <w:spacing w:after="0"/>
              <w:rPr>
                <w:sz w:val="20"/>
                <w:szCs w:val="20"/>
                <w:color w:val="auto"/>
              </w:rPr>
            </w:pPr>
            <w:r>
              <w:rPr>
                <w:rFonts w:ascii="Arial" w:cs="Arial" w:eastAsia="Arial" w:hAnsi="Arial"/>
                <w:sz w:val="13"/>
                <w:szCs w:val="13"/>
                <w:color w:val="auto"/>
                <w:w w:val="98"/>
              </w:rPr>
              <w:t>Other</w:t>
            </w:r>
          </w:p>
        </w:tc>
        <w:tc>
          <w:tcPr>
            <w:tcW w:w="580" w:type="dxa"/>
            <w:vAlign w:val="bottom"/>
          </w:tcPr>
          <w:p>
            <w:pPr>
              <w:spacing w:after="0"/>
              <w:rPr>
                <w:sz w:val="15"/>
                <w:szCs w:val="15"/>
                <w:color w:val="auto"/>
              </w:rPr>
            </w:pPr>
          </w:p>
        </w:tc>
      </w:tr>
      <w:tr>
        <w:trPr>
          <w:trHeight w:val="156"/>
        </w:trPr>
        <w:tc>
          <w:tcPr>
            <w:tcW w:w="37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40" w:type="dxa"/>
            <w:vAlign w:val="bottom"/>
            <w:gridSpan w:val="3"/>
          </w:tcPr>
          <w:p>
            <w:pPr>
              <w:jc w:val="center"/>
              <w:spacing w:after="0"/>
              <w:rPr>
                <w:sz w:val="20"/>
                <w:szCs w:val="20"/>
                <w:color w:val="auto"/>
              </w:rPr>
            </w:pPr>
            <w:r>
              <w:rPr>
                <w:rFonts w:ascii="Arial" w:cs="Arial" w:eastAsia="Arial" w:hAnsi="Arial"/>
                <w:sz w:val="13"/>
                <w:szCs w:val="13"/>
                <w:color w:val="auto"/>
                <w:w w:val="99"/>
              </w:rPr>
              <w:t>Postretirement</w:t>
            </w:r>
          </w:p>
        </w:tc>
      </w:tr>
      <w:tr>
        <w:trPr>
          <w:trHeight w:val="158"/>
        </w:trPr>
        <w:tc>
          <w:tcPr>
            <w:tcW w:w="37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20" w:type="dxa"/>
            <w:vAlign w:val="bottom"/>
            <w:gridSpan w:val="4"/>
          </w:tcPr>
          <w:p>
            <w:pPr>
              <w:jc w:val="right"/>
              <w:ind w:right="540"/>
              <w:spacing w:after="0"/>
              <w:rPr>
                <w:sz w:val="20"/>
                <w:szCs w:val="20"/>
                <w:color w:val="auto"/>
              </w:rPr>
            </w:pPr>
            <w:r>
              <w:rPr>
                <w:rFonts w:ascii="Arial" w:cs="Arial" w:eastAsia="Arial" w:hAnsi="Arial"/>
                <w:sz w:val="13"/>
                <w:szCs w:val="13"/>
                <w:color w:val="auto"/>
              </w:rPr>
              <w:t>Pension Benefits</w:t>
            </w:r>
          </w:p>
        </w:tc>
        <w:tc>
          <w:tcPr>
            <w:tcW w:w="2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00" w:type="dxa"/>
            <w:vAlign w:val="bottom"/>
          </w:tcPr>
          <w:p>
            <w:pPr>
              <w:jc w:val="center"/>
              <w:spacing w:after="0"/>
              <w:rPr>
                <w:sz w:val="20"/>
                <w:szCs w:val="20"/>
                <w:color w:val="auto"/>
              </w:rPr>
            </w:pPr>
            <w:r>
              <w:rPr>
                <w:rFonts w:ascii="Arial" w:cs="Arial" w:eastAsia="Arial" w:hAnsi="Arial"/>
                <w:sz w:val="13"/>
                <w:szCs w:val="13"/>
                <w:color w:val="auto"/>
                <w:w w:val="97"/>
              </w:rPr>
              <w:t>Benefits</w:t>
            </w:r>
          </w:p>
        </w:tc>
        <w:tc>
          <w:tcPr>
            <w:tcW w:w="580" w:type="dxa"/>
            <w:vAlign w:val="bottom"/>
          </w:tcPr>
          <w:p>
            <w:pPr>
              <w:spacing w:after="0"/>
              <w:rPr>
                <w:sz w:val="13"/>
                <w:szCs w:val="13"/>
                <w:color w:val="auto"/>
              </w:rPr>
            </w:pPr>
          </w:p>
        </w:tc>
      </w:tr>
      <w:tr>
        <w:trPr>
          <w:trHeight w:val="213"/>
        </w:trPr>
        <w:tc>
          <w:tcPr>
            <w:tcW w:w="37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Sempra Energy Consolidated</w:t>
            </w:r>
          </w:p>
        </w:tc>
        <w:tc>
          <w:tcPr>
            <w:tcW w:w="280" w:type="dxa"/>
            <w:vAlign w:val="bottom"/>
            <w:tcBorders>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289"/>
              <w:spacing w:after="0"/>
              <w:rPr>
                <w:sz w:val="20"/>
                <w:szCs w:val="20"/>
                <w:color w:val="auto"/>
              </w:rPr>
            </w:pPr>
            <w:r>
              <w:rPr>
                <w:rFonts w:ascii="Arial" w:cs="Arial" w:eastAsia="Arial" w:hAnsi="Arial"/>
                <w:sz w:val="13"/>
                <w:szCs w:val="13"/>
                <w:color w:val="auto"/>
              </w:rPr>
              <w:t>2008</w:t>
            </w:r>
          </w:p>
        </w:tc>
        <w:tc>
          <w:tcPr>
            <w:tcW w:w="320" w:type="dxa"/>
            <w:vAlign w:val="bottom"/>
            <w:tcBorders>
              <w:top w:val="single" w:sz="8" w:color="auto"/>
              <w:bottom w:val="single" w:sz="8" w:color="auto"/>
            </w:tcBorders>
          </w:tcPr>
          <w:p>
            <w:pPr>
              <w:spacing w:after="0"/>
              <w:rPr>
                <w:sz w:val="18"/>
                <w:szCs w:val="18"/>
                <w:color w:val="auto"/>
              </w:rPr>
            </w:pPr>
          </w:p>
        </w:tc>
        <w:tc>
          <w:tcPr>
            <w:tcW w:w="52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3"/>
                <w:szCs w:val="13"/>
                <w:color w:val="auto"/>
              </w:rPr>
              <w:t>2007</w:t>
            </w:r>
          </w:p>
        </w:tc>
        <w:tc>
          <w:tcPr>
            <w:tcW w:w="2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560" w:type="dxa"/>
            <w:vAlign w:val="bottom"/>
            <w:tcBorders>
              <w:top w:val="single" w:sz="8" w:color="auto"/>
              <w:bottom w:val="single" w:sz="8" w:color="auto"/>
            </w:tcBorders>
          </w:tcPr>
          <w:p>
            <w:pPr>
              <w:jc w:val="right"/>
              <w:ind w:right="109"/>
              <w:spacing w:after="0"/>
              <w:rPr>
                <w:sz w:val="20"/>
                <w:szCs w:val="20"/>
                <w:color w:val="auto"/>
              </w:rPr>
            </w:pPr>
            <w:r>
              <w:rPr>
                <w:rFonts w:ascii="Arial" w:cs="Arial" w:eastAsia="Arial" w:hAnsi="Arial"/>
                <w:sz w:val="13"/>
                <w:szCs w:val="13"/>
                <w:color w:val="auto"/>
              </w:rPr>
              <w:t>2008</w:t>
            </w:r>
          </w:p>
        </w:tc>
        <w:tc>
          <w:tcPr>
            <w:tcW w:w="50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jc w:val="right"/>
              <w:ind w:right="208"/>
              <w:spacing w:after="0"/>
              <w:rPr>
                <w:sz w:val="20"/>
                <w:szCs w:val="20"/>
                <w:color w:val="auto"/>
              </w:rPr>
            </w:pPr>
            <w:r>
              <w:rPr>
                <w:rFonts w:ascii="Arial" w:cs="Arial" w:eastAsia="Arial" w:hAnsi="Arial"/>
                <w:sz w:val="13"/>
                <w:szCs w:val="13"/>
                <w:color w:val="auto"/>
                <w:w w:val="96"/>
              </w:rPr>
              <w:t>2007</w:t>
            </w:r>
          </w:p>
        </w:tc>
      </w:tr>
      <w:tr>
        <w:trPr>
          <w:trHeight w:val="205"/>
        </w:trPr>
        <w:tc>
          <w:tcPr>
            <w:tcW w:w="3780" w:type="dxa"/>
            <w:vAlign w:val="bottom"/>
          </w:tcPr>
          <w:p>
            <w:pPr>
              <w:spacing w:after="0"/>
              <w:rPr>
                <w:sz w:val="20"/>
                <w:szCs w:val="20"/>
                <w:color w:val="auto"/>
              </w:rPr>
            </w:pPr>
            <w:r>
              <w:rPr>
                <w:rFonts w:ascii="Arial" w:cs="Arial" w:eastAsia="Arial" w:hAnsi="Arial"/>
                <w:sz w:val="14"/>
                <w:szCs w:val="14"/>
                <w:color w:val="auto"/>
              </w:rPr>
              <w:t>CHANGE IN PROJECTED BENEFIT OBLIGATION:</w:t>
            </w:r>
          </w:p>
        </w:tc>
        <w:tc>
          <w:tcPr>
            <w:tcW w:w="2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216"/>
        </w:trPr>
        <w:tc>
          <w:tcPr>
            <w:tcW w:w="3780" w:type="dxa"/>
            <w:vAlign w:val="bottom"/>
          </w:tcPr>
          <w:p>
            <w:pPr>
              <w:spacing w:after="0"/>
              <w:rPr>
                <w:sz w:val="20"/>
                <w:szCs w:val="20"/>
                <w:color w:val="auto"/>
              </w:rPr>
            </w:pPr>
            <w:r>
              <w:rPr>
                <w:rFonts w:ascii="Arial" w:cs="Arial" w:eastAsia="Arial" w:hAnsi="Arial"/>
                <w:sz w:val="14"/>
                <w:szCs w:val="14"/>
                <w:color w:val="auto"/>
              </w:rPr>
              <w:t>Net obligation at January 1</w:t>
            </w:r>
          </w:p>
        </w:tc>
        <w:tc>
          <w:tcPr>
            <w:tcW w:w="28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149"/>
              <w:spacing w:after="0"/>
              <w:rPr>
                <w:sz w:val="20"/>
                <w:szCs w:val="20"/>
                <w:color w:val="auto"/>
              </w:rPr>
            </w:pPr>
            <w:r>
              <w:rPr>
                <w:rFonts w:ascii="Arial" w:cs="Arial" w:eastAsia="Arial" w:hAnsi="Arial"/>
                <w:sz w:val="14"/>
                <w:szCs w:val="14"/>
                <w:color w:val="auto"/>
              </w:rPr>
              <w:t>2,791</w:t>
            </w:r>
          </w:p>
        </w:tc>
        <w:tc>
          <w:tcPr>
            <w:tcW w:w="3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520" w:type="dxa"/>
            <w:vAlign w:val="bottom"/>
          </w:tcPr>
          <w:p>
            <w:pPr>
              <w:jc w:val="right"/>
              <w:spacing w:after="0"/>
              <w:rPr>
                <w:sz w:val="20"/>
                <w:szCs w:val="20"/>
                <w:color w:val="auto"/>
              </w:rPr>
            </w:pPr>
            <w:r>
              <w:rPr>
                <w:rFonts w:ascii="Arial" w:cs="Arial" w:eastAsia="Arial" w:hAnsi="Arial"/>
                <w:sz w:val="14"/>
                <w:szCs w:val="14"/>
                <w:color w:val="auto"/>
              </w:rPr>
              <w:t>2,885</w:t>
            </w:r>
          </w:p>
        </w:tc>
        <w:tc>
          <w:tcPr>
            <w:tcW w:w="20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560" w:type="dxa"/>
            <w:vAlign w:val="bottom"/>
          </w:tcPr>
          <w:p>
            <w:pPr>
              <w:jc w:val="right"/>
              <w:ind w:right="29"/>
              <w:spacing w:after="0"/>
              <w:rPr>
                <w:sz w:val="20"/>
                <w:szCs w:val="20"/>
                <w:color w:val="auto"/>
              </w:rPr>
            </w:pPr>
            <w:r>
              <w:rPr>
                <w:rFonts w:ascii="Arial" w:cs="Arial" w:eastAsia="Arial" w:hAnsi="Arial"/>
                <w:sz w:val="14"/>
                <w:szCs w:val="14"/>
                <w:color w:val="auto"/>
              </w:rPr>
              <w:t>871</w:t>
            </w:r>
          </w:p>
        </w:tc>
        <w:tc>
          <w:tcPr>
            <w:tcW w:w="500" w:type="dxa"/>
            <w:vAlign w:val="bottom"/>
          </w:tcPr>
          <w:p>
            <w:pPr>
              <w:jc w:val="right"/>
              <w:ind w:right="51"/>
              <w:spacing w:after="0"/>
              <w:rPr>
                <w:sz w:val="20"/>
                <w:szCs w:val="20"/>
                <w:color w:val="auto"/>
              </w:rPr>
            </w:pPr>
            <w:r>
              <w:rPr>
                <w:rFonts w:ascii="Arial" w:cs="Arial" w:eastAsia="Arial" w:hAnsi="Arial"/>
                <w:sz w:val="14"/>
                <w:szCs w:val="14"/>
                <w:color w:val="auto"/>
              </w:rPr>
              <w:t>$</w:t>
            </w:r>
          </w:p>
        </w:tc>
        <w:tc>
          <w:tcPr>
            <w:tcW w:w="580" w:type="dxa"/>
            <w:vAlign w:val="bottom"/>
          </w:tcPr>
          <w:p>
            <w:pPr>
              <w:jc w:val="right"/>
              <w:ind w:right="88"/>
              <w:spacing w:after="0"/>
              <w:rPr>
                <w:sz w:val="20"/>
                <w:szCs w:val="20"/>
                <w:color w:val="auto"/>
              </w:rPr>
            </w:pPr>
            <w:r>
              <w:rPr>
                <w:rFonts w:ascii="Arial" w:cs="Arial" w:eastAsia="Arial" w:hAnsi="Arial"/>
                <w:sz w:val="14"/>
                <w:szCs w:val="14"/>
                <w:color w:val="auto"/>
              </w:rPr>
              <w:t>952</w:t>
            </w:r>
          </w:p>
        </w:tc>
      </w:tr>
      <w:tr>
        <w:trPr>
          <w:trHeight w:val="216"/>
        </w:trPr>
        <w:tc>
          <w:tcPr>
            <w:tcW w:w="3780" w:type="dxa"/>
            <w:vAlign w:val="bottom"/>
          </w:tcPr>
          <w:p>
            <w:pPr>
              <w:spacing w:after="0"/>
              <w:rPr>
                <w:sz w:val="20"/>
                <w:szCs w:val="20"/>
                <w:color w:val="auto"/>
              </w:rPr>
            </w:pPr>
            <w:r>
              <w:rPr>
                <w:rFonts w:ascii="Arial" w:cs="Arial" w:eastAsia="Arial" w:hAnsi="Arial"/>
                <w:sz w:val="14"/>
                <w:szCs w:val="14"/>
                <w:color w:val="auto"/>
              </w:rPr>
              <w:t>Acquisition of EnergySouth</w:t>
            </w:r>
          </w:p>
        </w:tc>
        <w:tc>
          <w:tcPr>
            <w:tcW w:w="280" w:type="dxa"/>
            <w:vAlign w:val="bottom"/>
          </w:tcPr>
          <w:p>
            <w:pPr>
              <w:spacing w:after="0"/>
              <w:rPr>
                <w:sz w:val="18"/>
                <w:szCs w:val="18"/>
                <w:color w:val="auto"/>
              </w:rPr>
            </w:pPr>
          </w:p>
        </w:tc>
        <w:tc>
          <w:tcPr>
            <w:tcW w:w="780" w:type="dxa"/>
            <w:vAlign w:val="bottom"/>
          </w:tcPr>
          <w:p>
            <w:pPr>
              <w:jc w:val="right"/>
              <w:ind w:right="149"/>
              <w:spacing w:after="0"/>
              <w:rPr>
                <w:sz w:val="20"/>
                <w:szCs w:val="20"/>
                <w:color w:val="auto"/>
              </w:rPr>
            </w:pPr>
            <w:r>
              <w:rPr>
                <w:rFonts w:ascii="Arial" w:cs="Arial" w:eastAsia="Arial" w:hAnsi="Arial"/>
                <w:sz w:val="14"/>
                <w:szCs w:val="14"/>
                <w:color w:val="auto"/>
              </w:rPr>
              <w:t>27</w:t>
            </w:r>
          </w:p>
        </w:tc>
        <w:tc>
          <w:tcPr>
            <w:tcW w:w="3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jc w:val="right"/>
              <w:ind w:right="29"/>
              <w:spacing w:after="0"/>
              <w:rPr>
                <w:sz w:val="20"/>
                <w:szCs w:val="20"/>
                <w:color w:val="auto"/>
              </w:rPr>
            </w:pPr>
            <w:r>
              <w:rPr>
                <w:rFonts w:ascii="Arial" w:cs="Arial" w:eastAsia="Arial" w:hAnsi="Arial"/>
                <w:sz w:val="14"/>
                <w:szCs w:val="14"/>
                <w:color w:val="auto"/>
              </w:rPr>
              <w:t>2</w:t>
            </w:r>
          </w:p>
        </w:tc>
        <w:tc>
          <w:tcPr>
            <w:tcW w:w="500" w:type="dxa"/>
            <w:vAlign w:val="bottom"/>
          </w:tcPr>
          <w:p>
            <w:pPr>
              <w:spacing w:after="0"/>
              <w:rPr>
                <w:sz w:val="18"/>
                <w:szCs w:val="18"/>
                <w:color w:val="auto"/>
              </w:rPr>
            </w:pPr>
          </w:p>
        </w:tc>
        <w:tc>
          <w:tcPr>
            <w:tcW w:w="580" w:type="dxa"/>
            <w:vAlign w:val="bottom"/>
          </w:tcPr>
          <w:p>
            <w:pPr>
              <w:jc w:val="right"/>
              <w:ind w:right="88"/>
              <w:spacing w:after="0"/>
              <w:rPr>
                <w:sz w:val="20"/>
                <w:szCs w:val="20"/>
                <w:color w:val="auto"/>
              </w:rPr>
            </w:pPr>
            <w:r>
              <w:rPr>
                <w:rFonts w:ascii="Arial" w:cs="Arial" w:eastAsia="Arial" w:hAnsi="Arial"/>
                <w:sz w:val="14"/>
                <w:szCs w:val="14"/>
                <w:color w:val="auto"/>
              </w:rPr>
              <w:t>--</w:t>
            </w:r>
          </w:p>
        </w:tc>
      </w:tr>
      <w:tr>
        <w:trPr>
          <w:trHeight w:val="216"/>
        </w:trPr>
        <w:tc>
          <w:tcPr>
            <w:tcW w:w="3780" w:type="dxa"/>
            <w:vAlign w:val="bottom"/>
          </w:tcPr>
          <w:p>
            <w:pPr>
              <w:spacing w:after="0"/>
              <w:rPr>
                <w:sz w:val="20"/>
                <w:szCs w:val="20"/>
                <w:color w:val="auto"/>
              </w:rPr>
            </w:pPr>
            <w:r>
              <w:rPr>
                <w:rFonts w:ascii="Arial" w:cs="Arial" w:eastAsia="Arial" w:hAnsi="Arial"/>
                <w:sz w:val="14"/>
                <w:szCs w:val="14"/>
                <w:color w:val="auto"/>
              </w:rPr>
              <w:t>Service cost</w:t>
            </w:r>
          </w:p>
        </w:tc>
        <w:tc>
          <w:tcPr>
            <w:tcW w:w="280" w:type="dxa"/>
            <w:vAlign w:val="bottom"/>
          </w:tcPr>
          <w:p>
            <w:pPr>
              <w:spacing w:after="0"/>
              <w:rPr>
                <w:sz w:val="18"/>
                <w:szCs w:val="18"/>
                <w:color w:val="auto"/>
              </w:rPr>
            </w:pPr>
          </w:p>
        </w:tc>
        <w:tc>
          <w:tcPr>
            <w:tcW w:w="780" w:type="dxa"/>
            <w:vAlign w:val="bottom"/>
          </w:tcPr>
          <w:p>
            <w:pPr>
              <w:jc w:val="right"/>
              <w:ind w:right="149"/>
              <w:spacing w:after="0"/>
              <w:rPr>
                <w:sz w:val="20"/>
                <w:szCs w:val="20"/>
                <w:color w:val="auto"/>
              </w:rPr>
            </w:pPr>
            <w:r>
              <w:rPr>
                <w:rFonts w:ascii="Arial" w:cs="Arial" w:eastAsia="Arial" w:hAnsi="Arial"/>
                <w:sz w:val="14"/>
                <w:szCs w:val="14"/>
                <w:color w:val="auto"/>
              </w:rPr>
              <w:t>71</w:t>
            </w:r>
          </w:p>
        </w:tc>
        <w:tc>
          <w:tcPr>
            <w:tcW w:w="3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76</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jc w:val="right"/>
              <w:ind w:right="29"/>
              <w:spacing w:after="0"/>
              <w:rPr>
                <w:sz w:val="20"/>
                <w:szCs w:val="20"/>
                <w:color w:val="auto"/>
              </w:rPr>
            </w:pPr>
            <w:r>
              <w:rPr>
                <w:rFonts w:ascii="Arial" w:cs="Arial" w:eastAsia="Arial" w:hAnsi="Arial"/>
                <w:sz w:val="14"/>
                <w:szCs w:val="14"/>
                <w:color w:val="auto"/>
              </w:rPr>
              <w:t>24</w:t>
            </w:r>
          </w:p>
        </w:tc>
        <w:tc>
          <w:tcPr>
            <w:tcW w:w="500" w:type="dxa"/>
            <w:vAlign w:val="bottom"/>
          </w:tcPr>
          <w:p>
            <w:pPr>
              <w:spacing w:after="0"/>
              <w:rPr>
                <w:sz w:val="18"/>
                <w:szCs w:val="18"/>
                <w:color w:val="auto"/>
              </w:rPr>
            </w:pPr>
          </w:p>
        </w:tc>
        <w:tc>
          <w:tcPr>
            <w:tcW w:w="580" w:type="dxa"/>
            <w:vAlign w:val="bottom"/>
          </w:tcPr>
          <w:p>
            <w:pPr>
              <w:jc w:val="right"/>
              <w:ind w:right="88"/>
              <w:spacing w:after="0"/>
              <w:rPr>
                <w:sz w:val="20"/>
                <w:szCs w:val="20"/>
                <w:color w:val="auto"/>
              </w:rPr>
            </w:pPr>
            <w:r>
              <w:rPr>
                <w:rFonts w:ascii="Arial" w:cs="Arial" w:eastAsia="Arial" w:hAnsi="Arial"/>
                <w:sz w:val="14"/>
                <w:szCs w:val="14"/>
                <w:color w:val="auto"/>
              </w:rPr>
              <w:t>26</w:t>
            </w:r>
          </w:p>
        </w:tc>
      </w:tr>
      <w:tr>
        <w:trPr>
          <w:trHeight w:val="216"/>
        </w:trPr>
        <w:tc>
          <w:tcPr>
            <w:tcW w:w="3780" w:type="dxa"/>
            <w:vAlign w:val="bottom"/>
          </w:tcPr>
          <w:p>
            <w:pPr>
              <w:spacing w:after="0"/>
              <w:rPr>
                <w:sz w:val="20"/>
                <w:szCs w:val="20"/>
                <w:color w:val="auto"/>
              </w:rPr>
            </w:pPr>
            <w:r>
              <w:rPr>
                <w:rFonts w:ascii="Arial" w:cs="Arial" w:eastAsia="Arial" w:hAnsi="Arial"/>
                <w:sz w:val="14"/>
                <w:szCs w:val="14"/>
                <w:color w:val="auto"/>
              </w:rPr>
              <w:t>Interest cost</w:t>
            </w:r>
          </w:p>
        </w:tc>
        <w:tc>
          <w:tcPr>
            <w:tcW w:w="280" w:type="dxa"/>
            <w:vAlign w:val="bottom"/>
          </w:tcPr>
          <w:p>
            <w:pPr>
              <w:spacing w:after="0"/>
              <w:rPr>
                <w:sz w:val="18"/>
                <w:szCs w:val="18"/>
                <w:color w:val="auto"/>
              </w:rPr>
            </w:pPr>
          </w:p>
        </w:tc>
        <w:tc>
          <w:tcPr>
            <w:tcW w:w="780" w:type="dxa"/>
            <w:vAlign w:val="bottom"/>
          </w:tcPr>
          <w:p>
            <w:pPr>
              <w:jc w:val="right"/>
              <w:ind w:right="149"/>
              <w:spacing w:after="0"/>
              <w:rPr>
                <w:sz w:val="20"/>
                <w:szCs w:val="20"/>
                <w:color w:val="auto"/>
              </w:rPr>
            </w:pPr>
            <w:r>
              <w:rPr>
                <w:rFonts w:ascii="Arial" w:cs="Arial" w:eastAsia="Arial" w:hAnsi="Arial"/>
                <w:sz w:val="14"/>
                <w:szCs w:val="14"/>
                <w:color w:val="auto"/>
              </w:rPr>
              <w:t>166</w:t>
            </w:r>
          </w:p>
        </w:tc>
        <w:tc>
          <w:tcPr>
            <w:tcW w:w="3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164</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jc w:val="right"/>
              <w:ind w:right="29"/>
              <w:spacing w:after="0"/>
              <w:rPr>
                <w:sz w:val="20"/>
                <w:szCs w:val="20"/>
                <w:color w:val="auto"/>
              </w:rPr>
            </w:pPr>
            <w:r>
              <w:rPr>
                <w:rFonts w:ascii="Arial" w:cs="Arial" w:eastAsia="Arial" w:hAnsi="Arial"/>
                <w:sz w:val="14"/>
                <w:szCs w:val="14"/>
                <w:color w:val="auto"/>
              </w:rPr>
              <w:t>53</w:t>
            </w:r>
          </w:p>
        </w:tc>
        <w:tc>
          <w:tcPr>
            <w:tcW w:w="500" w:type="dxa"/>
            <w:vAlign w:val="bottom"/>
          </w:tcPr>
          <w:p>
            <w:pPr>
              <w:spacing w:after="0"/>
              <w:rPr>
                <w:sz w:val="18"/>
                <w:szCs w:val="18"/>
                <w:color w:val="auto"/>
              </w:rPr>
            </w:pPr>
          </w:p>
        </w:tc>
        <w:tc>
          <w:tcPr>
            <w:tcW w:w="580" w:type="dxa"/>
            <w:vAlign w:val="bottom"/>
          </w:tcPr>
          <w:p>
            <w:pPr>
              <w:jc w:val="right"/>
              <w:ind w:right="88"/>
              <w:spacing w:after="0"/>
              <w:rPr>
                <w:sz w:val="20"/>
                <w:szCs w:val="20"/>
                <w:color w:val="auto"/>
              </w:rPr>
            </w:pPr>
            <w:r>
              <w:rPr>
                <w:rFonts w:ascii="Arial" w:cs="Arial" w:eastAsia="Arial" w:hAnsi="Arial"/>
                <w:sz w:val="14"/>
                <w:szCs w:val="14"/>
                <w:color w:val="auto"/>
              </w:rPr>
              <w:t>54</w:t>
            </w:r>
          </w:p>
        </w:tc>
      </w:tr>
      <w:tr>
        <w:trPr>
          <w:trHeight w:val="216"/>
        </w:trPr>
        <w:tc>
          <w:tcPr>
            <w:tcW w:w="3780" w:type="dxa"/>
            <w:vAlign w:val="bottom"/>
          </w:tcPr>
          <w:p>
            <w:pPr>
              <w:spacing w:after="0"/>
              <w:rPr>
                <w:sz w:val="20"/>
                <w:szCs w:val="20"/>
                <w:color w:val="auto"/>
              </w:rPr>
            </w:pPr>
            <w:r>
              <w:rPr>
                <w:rFonts w:ascii="Arial" w:cs="Arial" w:eastAsia="Arial" w:hAnsi="Arial"/>
                <w:sz w:val="14"/>
                <w:szCs w:val="14"/>
                <w:color w:val="auto"/>
              </w:rPr>
              <w:t>Plan amendments</w:t>
            </w:r>
          </w:p>
        </w:tc>
        <w:tc>
          <w:tcPr>
            <w:tcW w:w="280" w:type="dxa"/>
            <w:vAlign w:val="bottom"/>
          </w:tcPr>
          <w:p>
            <w:pPr>
              <w:spacing w:after="0"/>
              <w:rPr>
                <w:sz w:val="18"/>
                <w:szCs w:val="18"/>
                <w:color w:val="auto"/>
              </w:rPr>
            </w:pPr>
          </w:p>
        </w:tc>
        <w:tc>
          <w:tcPr>
            <w:tcW w:w="780" w:type="dxa"/>
            <w:vAlign w:val="bottom"/>
          </w:tcPr>
          <w:p>
            <w:pPr>
              <w:jc w:val="right"/>
              <w:ind w:right="149"/>
              <w:spacing w:after="0"/>
              <w:rPr>
                <w:sz w:val="20"/>
                <w:szCs w:val="20"/>
                <w:color w:val="auto"/>
              </w:rPr>
            </w:pPr>
            <w:r>
              <w:rPr>
                <w:rFonts w:ascii="Arial" w:cs="Arial" w:eastAsia="Arial" w:hAnsi="Arial"/>
                <w:sz w:val="14"/>
                <w:szCs w:val="14"/>
                <w:color w:val="auto"/>
              </w:rPr>
              <w:t>3</w:t>
            </w:r>
          </w:p>
        </w:tc>
        <w:tc>
          <w:tcPr>
            <w:tcW w:w="3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2</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500" w:type="dxa"/>
            <w:vAlign w:val="bottom"/>
          </w:tcPr>
          <w:p>
            <w:pPr>
              <w:spacing w:after="0"/>
              <w:rPr>
                <w:sz w:val="18"/>
                <w:szCs w:val="18"/>
                <w:color w:val="auto"/>
              </w:rPr>
            </w:pPr>
          </w:p>
        </w:tc>
        <w:tc>
          <w:tcPr>
            <w:tcW w:w="580" w:type="dxa"/>
            <w:vAlign w:val="bottom"/>
          </w:tcPr>
          <w:p>
            <w:pPr>
              <w:jc w:val="right"/>
              <w:ind w:right="88"/>
              <w:spacing w:after="0"/>
              <w:rPr>
                <w:sz w:val="20"/>
                <w:szCs w:val="20"/>
                <w:color w:val="auto"/>
              </w:rPr>
            </w:pPr>
            <w:r>
              <w:rPr>
                <w:rFonts w:ascii="Arial" w:cs="Arial" w:eastAsia="Arial" w:hAnsi="Arial"/>
                <w:sz w:val="14"/>
                <w:szCs w:val="14"/>
                <w:color w:val="auto"/>
              </w:rPr>
              <w:t>21</w:t>
            </w:r>
          </w:p>
        </w:tc>
      </w:tr>
      <w:tr>
        <w:trPr>
          <w:trHeight w:val="216"/>
        </w:trPr>
        <w:tc>
          <w:tcPr>
            <w:tcW w:w="3780" w:type="dxa"/>
            <w:vAlign w:val="bottom"/>
          </w:tcPr>
          <w:p>
            <w:pPr>
              <w:spacing w:after="0"/>
              <w:rPr>
                <w:sz w:val="20"/>
                <w:szCs w:val="20"/>
                <w:color w:val="auto"/>
              </w:rPr>
            </w:pPr>
            <w:r>
              <w:rPr>
                <w:rFonts w:ascii="Arial" w:cs="Arial" w:eastAsia="Arial" w:hAnsi="Arial"/>
                <w:sz w:val="14"/>
                <w:szCs w:val="14"/>
                <w:color w:val="auto"/>
              </w:rPr>
              <w:t>Actuarial loss (gain)</w:t>
            </w:r>
          </w:p>
        </w:tc>
        <w:tc>
          <w:tcPr>
            <w:tcW w:w="280" w:type="dxa"/>
            <w:vAlign w:val="bottom"/>
          </w:tcPr>
          <w:p>
            <w:pPr>
              <w:spacing w:after="0"/>
              <w:rPr>
                <w:sz w:val="18"/>
                <w:szCs w:val="18"/>
                <w:color w:val="auto"/>
              </w:rPr>
            </w:pPr>
          </w:p>
        </w:tc>
        <w:tc>
          <w:tcPr>
            <w:tcW w:w="780" w:type="dxa"/>
            <w:vAlign w:val="bottom"/>
          </w:tcPr>
          <w:p>
            <w:pPr>
              <w:jc w:val="right"/>
              <w:ind w:right="149"/>
              <w:spacing w:after="0"/>
              <w:rPr>
                <w:sz w:val="20"/>
                <w:szCs w:val="20"/>
                <w:color w:val="auto"/>
              </w:rPr>
            </w:pPr>
            <w:r>
              <w:rPr>
                <w:rFonts w:ascii="Arial" w:cs="Arial" w:eastAsia="Arial" w:hAnsi="Arial"/>
                <w:sz w:val="14"/>
                <w:szCs w:val="14"/>
                <w:color w:val="auto"/>
              </w:rPr>
              <w:t>6</w:t>
            </w:r>
          </w:p>
        </w:tc>
        <w:tc>
          <w:tcPr>
            <w:tcW w:w="32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4"/>
                <w:szCs w:val="14"/>
                <w:color w:val="auto"/>
              </w:rPr>
              <w:t>(90 )</w:t>
            </w:r>
          </w:p>
        </w:tc>
        <w:tc>
          <w:tcPr>
            <w:tcW w:w="240" w:type="dxa"/>
            <w:vAlign w:val="bottom"/>
          </w:tcPr>
          <w:p>
            <w:pPr>
              <w:spacing w:after="0"/>
              <w:rPr>
                <w:sz w:val="18"/>
                <w:szCs w:val="18"/>
                <w:color w:val="auto"/>
              </w:rPr>
            </w:pPr>
          </w:p>
        </w:tc>
        <w:tc>
          <w:tcPr>
            <w:tcW w:w="560" w:type="dxa"/>
            <w:vAlign w:val="bottom"/>
          </w:tcPr>
          <w:p>
            <w:pPr>
              <w:jc w:val="right"/>
              <w:ind w:right="29"/>
              <w:spacing w:after="0"/>
              <w:rPr>
                <w:sz w:val="20"/>
                <w:szCs w:val="20"/>
                <w:color w:val="auto"/>
              </w:rPr>
            </w:pPr>
            <w:r>
              <w:rPr>
                <w:rFonts w:ascii="Arial" w:cs="Arial" w:eastAsia="Arial" w:hAnsi="Arial"/>
                <w:sz w:val="14"/>
                <w:szCs w:val="14"/>
                <w:color w:val="auto"/>
              </w:rPr>
              <w:t>34</w:t>
            </w:r>
          </w:p>
        </w:tc>
        <w:tc>
          <w:tcPr>
            <w:tcW w:w="500" w:type="dxa"/>
            <w:vAlign w:val="bottom"/>
          </w:tcPr>
          <w:p>
            <w:pPr>
              <w:spacing w:after="0"/>
              <w:rPr>
                <w:sz w:val="18"/>
                <w:szCs w:val="18"/>
                <w:color w:val="auto"/>
              </w:rPr>
            </w:pPr>
          </w:p>
        </w:tc>
        <w:tc>
          <w:tcPr>
            <w:tcW w:w="580" w:type="dxa"/>
            <w:vAlign w:val="bottom"/>
          </w:tcPr>
          <w:p>
            <w:pPr>
              <w:jc w:val="right"/>
              <w:ind w:right="8"/>
              <w:spacing w:after="0"/>
              <w:rPr>
                <w:sz w:val="20"/>
                <w:szCs w:val="20"/>
                <w:color w:val="auto"/>
              </w:rPr>
            </w:pPr>
            <w:r>
              <w:rPr>
                <w:rFonts w:ascii="Arial" w:cs="Arial" w:eastAsia="Arial" w:hAnsi="Arial"/>
                <w:sz w:val="14"/>
                <w:szCs w:val="14"/>
                <w:color w:val="auto"/>
              </w:rPr>
              <w:t>(139 )</w:t>
            </w:r>
          </w:p>
        </w:tc>
      </w:tr>
      <w:tr>
        <w:trPr>
          <w:trHeight w:val="216"/>
        </w:trPr>
        <w:tc>
          <w:tcPr>
            <w:tcW w:w="3780" w:type="dxa"/>
            <w:vAlign w:val="bottom"/>
          </w:tcPr>
          <w:p>
            <w:pPr>
              <w:spacing w:after="0"/>
              <w:rPr>
                <w:sz w:val="20"/>
                <w:szCs w:val="20"/>
                <w:color w:val="auto"/>
              </w:rPr>
            </w:pPr>
            <w:r>
              <w:rPr>
                <w:rFonts w:ascii="Arial" w:cs="Arial" w:eastAsia="Arial" w:hAnsi="Arial"/>
                <w:sz w:val="14"/>
                <w:szCs w:val="14"/>
                <w:color w:val="auto"/>
              </w:rPr>
              <w:t>Curtailments</w:t>
            </w:r>
          </w:p>
        </w:tc>
        <w:tc>
          <w:tcPr>
            <w:tcW w:w="280" w:type="dxa"/>
            <w:vAlign w:val="bottom"/>
          </w:tcPr>
          <w:p>
            <w:pPr>
              <w:spacing w:after="0"/>
              <w:rPr>
                <w:sz w:val="18"/>
                <w:szCs w:val="18"/>
                <w:color w:val="auto"/>
              </w:rPr>
            </w:pPr>
          </w:p>
        </w:tc>
        <w:tc>
          <w:tcPr>
            <w:tcW w:w="780" w:type="dxa"/>
            <w:vAlign w:val="bottom"/>
          </w:tcPr>
          <w:p>
            <w:pPr>
              <w:jc w:val="right"/>
              <w:ind w:right="149"/>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1</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(5 )</w:t>
            </w:r>
          </w:p>
        </w:tc>
        <w:tc>
          <w:tcPr>
            <w:tcW w:w="500" w:type="dxa"/>
            <w:vAlign w:val="bottom"/>
          </w:tcPr>
          <w:p>
            <w:pPr>
              <w:spacing w:after="0"/>
              <w:rPr>
                <w:sz w:val="18"/>
                <w:szCs w:val="18"/>
                <w:color w:val="auto"/>
              </w:rPr>
            </w:pPr>
          </w:p>
        </w:tc>
        <w:tc>
          <w:tcPr>
            <w:tcW w:w="580" w:type="dxa"/>
            <w:vAlign w:val="bottom"/>
          </w:tcPr>
          <w:p>
            <w:pPr>
              <w:jc w:val="right"/>
              <w:ind w:right="88"/>
              <w:spacing w:after="0"/>
              <w:rPr>
                <w:sz w:val="20"/>
                <w:szCs w:val="20"/>
                <w:color w:val="auto"/>
              </w:rPr>
            </w:pPr>
            <w:r>
              <w:rPr>
                <w:rFonts w:ascii="Arial" w:cs="Arial" w:eastAsia="Arial" w:hAnsi="Arial"/>
                <w:sz w:val="14"/>
                <w:szCs w:val="14"/>
                <w:color w:val="auto"/>
              </w:rPr>
              <w:t>--</w:t>
            </w:r>
          </w:p>
        </w:tc>
      </w:tr>
      <w:tr>
        <w:trPr>
          <w:trHeight w:val="216"/>
        </w:trPr>
        <w:tc>
          <w:tcPr>
            <w:tcW w:w="3780" w:type="dxa"/>
            <w:vAlign w:val="bottom"/>
          </w:tcPr>
          <w:p>
            <w:pPr>
              <w:spacing w:after="0"/>
              <w:rPr>
                <w:sz w:val="20"/>
                <w:szCs w:val="20"/>
                <w:color w:val="auto"/>
              </w:rPr>
            </w:pPr>
            <w:r>
              <w:rPr>
                <w:rFonts w:ascii="Arial" w:cs="Arial" w:eastAsia="Arial" w:hAnsi="Arial"/>
                <w:sz w:val="14"/>
                <w:szCs w:val="14"/>
                <w:color w:val="auto"/>
              </w:rPr>
              <w:t>Settlements</w:t>
            </w:r>
          </w:p>
        </w:tc>
        <w:tc>
          <w:tcPr>
            <w:tcW w:w="280" w:type="dxa"/>
            <w:vAlign w:val="bottom"/>
          </w:tcPr>
          <w:p>
            <w:pPr>
              <w:spacing w:after="0"/>
              <w:rPr>
                <w:sz w:val="18"/>
                <w:szCs w:val="18"/>
                <w:color w:val="auto"/>
              </w:rPr>
            </w:pPr>
          </w:p>
        </w:tc>
        <w:tc>
          <w:tcPr>
            <w:tcW w:w="780" w:type="dxa"/>
            <w:vAlign w:val="bottom"/>
          </w:tcPr>
          <w:p>
            <w:pPr>
              <w:jc w:val="right"/>
              <w:ind w:right="89"/>
              <w:spacing w:after="0"/>
              <w:rPr>
                <w:sz w:val="20"/>
                <w:szCs w:val="20"/>
                <w:color w:val="auto"/>
              </w:rPr>
            </w:pPr>
            <w:r>
              <w:rPr>
                <w:rFonts w:ascii="Arial" w:cs="Arial" w:eastAsia="Arial" w:hAnsi="Arial"/>
                <w:sz w:val="14"/>
                <w:szCs w:val="14"/>
                <w:color w:val="auto"/>
              </w:rPr>
              <w:t>(22 )</w:t>
            </w:r>
          </w:p>
        </w:tc>
        <w:tc>
          <w:tcPr>
            <w:tcW w:w="3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500" w:type="dxa"/>
            <w:vAlign w:val="bottom"/>
          </w:tcPr>
          <w:p>
            <w:pPr>
              <w:spacing w:after="0"/>
              <w:rPr>
                <w:sz w:val="18"/>
                <w:szCs w:val="18"/>
                <w:color w:val="auto"/>
              </w:rPr>
            </w:pPr>
          </w:p>
        </w:tc>
        <w:tc>
          <w:tcPr>
            <w:tcW w:w="580" w:type="dxa"/>
            <w:vAlign w:val="bottom"/>
          </w:tcPr>
          <w:p>
            <w:pPr>
              <w:jc w:val="right"/>
              <w:ind w:right="88"/>
              <w:spacing w:after="0"/>
              <w:rPr>
                <w:sz w:val="20"/>
                <w:szCs w:val="20"/>
                <w:color w:val="auto"/>
              </w:rPr>
            </w:pPr>
            <w:r>
              <w:rPr>
                <w:rFonts w:ascii="Arial" w:cs="Arial" w:eastAsia="Arial" w:hAnsi="Arial"/>
                <w:sz w:val="14"/>
                <w:szCs w:val="14"/>
                <w:color w:val="auto"/>
              </w:rPr>
              <w:t>--</w:t>
            </w:r>
          </w:p>
        </w:tc>
      </w:tr>
      <w:tr>
        <w:trPr>
          <w:trHeight w:val="216"/>
        </w:trPr>
        <w:tc>
          <w:tcPr>
            <w:tcW w:w="3780" w:type="dxa"/>
            <w:vAlign w:val="bottom"/>
          </w:tcPr>
          <w:p>
            <w:pPr>
              <w:spacing w:after="0"/>
              <w:rPr>
                <w:sz w:val="20"/>
                <w:szCs w:val="20"/>
                <w:color w:val="auto"/>
              </w:rPr>
            </w:pPr>
            <w:r>
              <w:rPr>
                <w:rFonts w:ascii="Arial" w:cs="Arial" w:eastAsia="Arial" w:hAnsi="Arial"/>
                <w:sz w:val="14"/>
                <w:szCs w:val="14"/>
                <w:color w:val="auto"/>
              </w:rPr>
              <w:t>Special termination benefits</w:t>
            </w:r>
          </w:p>
        </w:tc>
        <w:tc>
          <w:tcPr>
            <w:tcW w:w="280" w:type="dxa"/>
            <w:vAlign w:val="bottom"/>
          </w:tcPr>
          <w:p>
            <w:pPr>
              <w:spacing w:after="0"/>
              <w:rPr>
                <w:sz w:val="18"/>
                <w:szCs w:val="18"/>
                <w:color w:val="auto"/>
              </w:rPr>
            </w:pPr>
          </w:p>
        </w:tc>
        <w:tc>
          <w:tcPr>
            <w:tcW w:w="780" w:type="dxa"/>
            <w:vAlign w:val="bottom"/>
          </w:tcPr>
          <w:p>
            <w:pPr>
              <w:jc w:val="right"/>
              <w:ind w:right="149"/>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2</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500" w:type="dxa"/>
            <w:vAlign w:val="bottom"/>
          </w:tcPr>
          <w:p>
            <w:pPr>
              <w:spacing w:after="0"/>
              <w:rPr>
                <w:sz w:val="18"/>
                <w:szCs w:val="18"/>
                <w:color w:val="auto"/>
              </w:rPr>
            </w:pPr>
          </w:p>
        </w:tc>
        <w:tc>
          <w:tcPr>
            <w:tcW w:w="580" w:type="dxa"/>
            <w:vAlign w:val="bottom"/>
          </w:tcPr>
          <w:p>
            <w:pPr>
              <w:jc w:val="right"/>
              <w:ind w:right="88"/>
              <w:spacing w:after="0"/>
              <w:rPr>
                <w:sz w:val="20"/>
                <w:szCs w:val="20"/>
                <w:color w:val="auto"/>
              </w:rPr>
            </w:pPr>
            <w:r>
              <w:rPr>
                <w:rFonts w:ascii="Arial" w:cs="Arial" w:eastAsia="Arial" w:hAnsi="Arial"/>
                <w:sz w:val="14"/>
                <w:szCs w:val="14"/>
                <w:color w:val="auto"/>
              </w:rPr>
              <w:t>--</w:t>
            </w:r>
          </w:p>
        </w:tc>
      </w:tr>
      <w:tr>
        <w:trPr>
          <w:trHeight w:val="216"/>
        </w:trPr>
        <w:tc>
          <w:tcPr>
            <w:tcW w:w="3780" w:type="dxa"/>
            <w:vAlign w:val="bottom"/>
          </w:tcPr>
          <w:p>
            <w:pPr>
              <w:spacing w:after="0"/>
              <w:rPr>
                <w:sz w:val="20"/>
                <w:szCs w:val="20"/>
                <w:color w:val="auto"/>
              </w:rPr>
            </w:pPr>
            <w:r>
              <w:rPr>
                <w:rFonts w:ascii="Arial" w:cs="Arial" w:eastAsia="Arial" w:hAnsi="Arial"/>
                <w:sz w:val="14"/>
                <w:szCs w:val="14"/>
                <w:color w:val="auto"/>
              </w:rPr>
              <w:t>Benefit payments</w:t>
            </w:r>
          </w:p>
        </w:tc>
        <w:tc>
          <w:tcPr>
            <w:tcW w:w="280" w:type="dxa"/>
            <w:vAlign w:val="bottom"/>
          </w:tcPr>
          <w:p>
            <w:pPr>
              <w:spacing w:after="0"/>
              <w:rPr>
                <w:sz w:val="18"/>
                <w:szCs w:val="18"/>
                <w:color w:val="auto"/>
              </w:rPr>
            </w:pPr>
          </w:p>
        </w:tc>
        <w:tc>
          <w:tcPr>
            <w:tcW w:w="780" w:type="dxa"/>
            <w:vAlign w:val="bottom"/>
          </w:tcPr>
          <w:p>
            <w:pPr>
              <w:jc w:val="right"/>
              <w:ind w:right="89"/>
              <w:spacing w:after="0"/>
              <w:rPr>
                <w:sz w:val="20"/>
                <w:szCs w:val="20"/>
                <w:color w:val="auto"/>
              </w:rPr>
            </w:pPr>
            <w:r>
              <w:rPr>
                <w:rFonts w:ascii="Arial" w:cs="Arial" w:eastAsia="Arial" w:hAnsi="Arial"/>
                <w:sz w:val="14"/>
                <w:szCs w:val="14"/>
                <w:color w:val="auto"/>
              </w:rPr>
              <w:t>(184 )</w:t>
            </w:r>
          </w:p>
        </w:tc>
        <w:tc>
          <w:tcPr>
            <w:tcW w:w="32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4"/>
                <w:szCs w:val="14"/>
                <w:color w:val="auto"/>
              </w:rPr>
              <w:t>(249 )</w:t>
            </w:r>
          </w:p>
        </w:tc>
        <w:tc>
          <w:tcPr>
            <w:tcW w:w="2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(48 )</w:t>
            </w:r>
          </w:p>
        </w:tc>
        <w:tc>
          <w:tcPr>
            <w:tcW w:w="500" w:type="dxa"/>
            <w:vAlign w:val="bottom"/>
          </w:tcPr>
          <w:p>
            <w:pPr>
              <w:spacing w:after="0"/>
              <w:rPr>
                <w:sz w:val="18"/>
                <w:szCs w:val="18"/>
                <w:color w:val="auto"/>
              </w:rPr>
            </w:pPr>
          </w:p>
        </w:tc>
        <w:tc>
          <w:tcPr>
            <w:tcW w:w="580" w:type="dxa"/>
            <w:vAlign w:val="bottom"/>
          </w:tcPr>
          <w:p>
            <w:pPr>
              <w:jc w:val="right"/>
              <w:ind w:right="8"/>
              <w:spacing w:after="0"/>
              <w:rPr>
                <w:sz w:val="20"/>
                <w:szCs w:val="20"/>
                <w:color w:val="auto"/>
              </w:rPr>
            </w:pPr>
            <w:r>
              <w:rPr>
                <w:rFonts w:ascii="Arial" w:cs="Arial" w:eastAsia="Arial" w:hAnsi="Arial"/>
                <w:sz w:val="14"/>
                <w:szCs w:val="14"/>
                <w:color w:val="auto"/>
              </w:rPr>
              <w:t>(46 )</w:t>
            </w:r>
          </w:p>
        </w:tc>
      </w:tr>
      <w:tr>
        <w:trPr>
          <w:trHeight w:val="216"/>
        </w:trPr>
        <w:tc>
          <w:tcPr>
            <w:tcW w:w="3780" w:type="dxa"/>
            <w:vAlign w:val="bottom"/>
          </w:tcPr>
          <w:p>
            <w:pPr>
              <w:spacing w:after="0"/>
              <w:rPr>
                <w:sz w:val="20"/>
                <w:szCs w:val="20"/>
                <w:color w:val="auto"/>
              </w:rPr>
            </w:pPr>
            <w:r>
              <w:rPr>
                <w:rFonts w:ascii="Arial" w:cs="Arial" w:eastAsia="Arial" w:hAnsi="Arial"/>
                <w:sz w:val="14"/>
                <w:szCs w:val="14"/>
                <w:color w:val="auto"/>
              </w:rPr>
              <w:t>Federal subsidy (Medicare Part D)</w:t>
            </w:r>
          </w:p>
        </w:tc>
        <w:tc>
          <w:tcPr>
            <w:tcW w:w="280" w:type="dxa"/>
            <w:vAlign w:val="bottom"/>
          </w:tcPr>
          <w:p>
            <w:pPr>
              <w:spacing w:after="0"/>
              <w:rPr>
                <w:sz w:val="18"/>
                <w:szCs w:val="18"/>
                <w:color w:val="auto"/>
              </w:rPr>
            </w:pPr>
          </w:p>
        </w:tc>
        <w:tc>
          <w:tcPr>
            <w:tcW w:w="780" w:type="dxa"/>
            <w:vAlign w:val="bottom"/>
          </w:tcPr>
          <w:p>
            <w:pPr>
              <w:jc w:val="right"/>
              <w:ind w:right="149"/>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jc w:val="right"/>
              <w:ind w:right="29"/>
              <w:spacing w:after="0"/>
              <w:rPr>
                <w:sz w:val="20"/>
                <w:szCs w:val="20"/>
                <w:color w:val="auto"/>
              </w:rPr>
            </w:pPr>
            <w:r>
              <w:rPr>
                <w:rFonts w:ascii="Arial" w:cs="Arial" w:eastAsia="Arial" w:hAnsi="Arial"/>
                <w:sz w:val="14"/>
                <w:szCs w:val="14"/>
                <w:color w:val="auto"/>
              </w:rPr>
              <w:t>2</w:t>
            </w:r>
          </w:p>
        </w:tc>
        <w:tc>
          <w:tcPr>
            <w:tcW w:w="500" w:type="dxa"/>
            <w:vAlign w:val="bottom"/>
          </w:tcPr>
          <w:p>
            <w:pPr>
              <w:spacing w:after="0"/>
              <w:rPr>
                <w:sz w:val="18"/>
                <w:szCs w:val="18"/>
                <w:color w:val="auto"/>
              </w:rPr>
            </w:pPr>
          </w:p>
        </w:tc>
        <w:tc>
          <w:tcPr>
            <w:tcW w:w="580" w:type="dxa"/>
            <w:vAlign w:val="bottom"/>
          </w:tcPr>
          <w:p>
            <w:pPr>
              <w:jc w:val="right"/>
              <w:ind w:right="88"/>
              <w:spacing w:after="0"/>
              <w:rPr>
                <w:sz w:val="20"/>
                <w:szCs w:val="20"/>
                <w:color w:val="auto"/>
              </w:rPr>
            </w:pPr>
            <w:r>
              <w:rPr>
                <w:rFonts w:ascii="Arial" w:cs="Arial" w:eastAsia="Arial" w:hAnsi="Arial"/>
                <w:sz w:val="14"/>
                <w:szCs w:val="14"/>
                <w:color w:val="auto"/>
              </w:rPr>
              <w:t>3</w:t>
            </w:r>
          </w:p>
        </w:tc>
      </w:tr>
      <w:tr>
        <w:trPr>
          <w:trHeight w:val="222"/>
        </w:trPr>
        <w:tc>
          <w:tcPr>
            <w:tcW w:w="3780" w:type="dxa"/>
            <w:vAlign w:val="bottom"/>
          </w:tcPr>
          <w:p>
            <w:pPr>
              <w:spacing w:after="0"/>
              <w:rPr>
                <w:sz w:val="20"/>
                <w:szCs w:val="20"/>
                <w:color w:val="auto"/>
              </w:rPr>
            </w:pPr>
            <w:r>
              <w:rPr>
                <w:rFonts w:ascii="Arial" w:cs="Arial" w:eastAsia="Arial" w:hAnsi="Arial"/>
                <w:sz w:val="14"/>
                <w:szCs w:val="14"/>
                <w:color w:val="auto"/>
              </w:rPr>
              <w:t>Other</w:t>
            </w:r>
          </w:p>
        </w:tc>
        <w:tc>
          <w:tcPr>
            <w:tcW w:w="2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149"/>
              <w:spacing w:after="0"/>
              <w:rPr>
                <w:sz w:val="20"/>
                <w:szCs w:val="20"/>
                <w:color w:val="auto"/>
              </w:rPr>
            </w:pPr>
            <w:r>
              <w:rPr>
                <w:rFonts w:ascii="Arial" w:cs="Arial" w:eastAsia="Arial" w:hAnsi="Arial"/>
                <w:sz w:val="14"/>
                <w:szCs w:val="14"/>
                <w:color w:val="auto"/>
              </w:rPr>
              <w:t>7</w:t>
            </w:r>
          </w:p>
        </w:tc>
        <w:tc>
          <w:tcPr>
            <w:tcW w:w="3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1</w:t>
            </w:r>
          </w:p>
        </w:tc>
        <w:tc>
          <w:tcPr>
            <w:tcW w:w="5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r>
      <w:tr>
        <w:trPr>
          <w:trHeight w:val="208"/>
        </w:trPr>
        <w:tc>
          <w:tcPr>
            <w:tcW w:w="3780" w:type="dxa"/>
            <w:vAlign w:val="bottom"/>
          </w:tcPr>
          <w:p>
            <w:pPr>
              <w:spacing w:after="0"/>
              <w:rPr>
                <w:sz w:val="20"/>
                <w:szCs w:val="20"/>
                <w:color w:val="auto"/>
              </w:rPr>
            </w:pPr>
            <w:r>
              <w:rPr>
                <w:rFonts w:ascii="Arial" w:cs="Arial" w:eastAsia="Arial" w:hAnsi="Arial"/>
                <w:sz w:val="14"/>
                <w:szCs w:val="14"/>
                <w:color w:val="auto"/>
              </w:rPr>
              <w:t>Net obligation at December 31</w:t>
            </w:r>
          </w:p>
        </w:tc>
        <w:tc>
          <w:tcPr>
            <w:tcW w:w="2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49"/>
              <w:spacing w:after="0"/>
              <w:rPr>
                <w:sz w:val="20"/>
                <w:szCs w:val="20"/>
                <w:color w:val="auto"/>
              </w:rPr>
            </w:pPr>
            <w:r>
              <w:rPr>
                <w:rFonts w:ascii="Arial" w:cs="Arial" w:eastAsia="Arial" w:hAnsi="Arial"/>
                <w:sz w:val="14"/>
                <w:szCs w:val="14"/>
                <w:color w:val="auto"/>
              </w:rPr>
              <w:t>2,865</w:t>
            </w:r>
          </w:p>
        </w:tc>
        <w:tc>
          <w:tcPr>
            <w:tcW w:w="3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2,791</w:t>
            </w:r>
          </w:p>
        </w:tc>
        <w:tc>
          <w:tcPr>
            <w:tcW w:w="2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934</w:t>
            </w:r>
          </w:p>
        </w:tc>
        <w:tc>
          <w:tcPr>
            <w:tcW w:w="5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871</w:t>
            </w:r>
          </w:p>
        </w:tc>
      </w:tr>
      <w:tr>
        <w:trPr>
          <w:trHeight w:val="418"/>
        </w:trPr>
        <w:tc>
          <w:tcPr>
            <w:tcW w:w="3780" w:type="dxa"/>
            <w:vAlign w:val="bottom"/>
          </w:tcPr>
          <w:p>
            <w:pPr>
              <w:spacing w:after="0"/>
              <w:rPr>
                <w:sz w:val="20"/>
                <w:szCs w:val="20"/>
                <w:color w:val="auto"/>
              </w:rPr>
            </w:pPr>
            <w:r>
              <w:rPr>
                <w:rFonts w:ascii="Arial" w:cs="Arial" w:eastAsia="Arial" w:hAnsi="Arial"/>
                <w:sz w:val="14"/>
                <w:szCs w:val="14"/>
                <w:color w:val="auto"/>
              </w:rPr>
              <w:t>CHANGE IN PLAN ASSETS:</w:t>
            </w: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216"/>
        </w:trPr>
        <w:tc>
          <w:tcPr>
            <w:tcW w:w="3780" w:type="dxa"/>
            <w:vAlign w:val="bottom"/>
          </w:tcPr>
          <w:p>
            <w:pPr>
              <w:spacing w:after="0"/>
              <w:rPr>
                <w:sz w:val="20"/>
                <w:szCs w:val="20"/>
                <w:color w:val="auto"/>
              </w:rPr>
            </w:pPr>
            <w:r>
              <w:rPr>
                <w:rFonts w:ascii="Arial" w:cs="Arial" w:eastAsia="Arial" w:hAnsi="Arial"/>
                <w:sz w:val="14"/>
                <w:szCs w:val="14"/>
                <w:color w:val="auto"/>
              </w:rPr>
              <w:t>Fair value of plan assets at January 1</w:t>
            </w:r>
          </w:p>
        </w:tc>
        <w:tc>
          <w:tcPr>
            <w:tcW w:w="280" w:type="dxa"/>
            <w:vAlign w:val="bottom"/>
          </w:tcPr>
          <w:p>
            <w:pPr>
              <w:spacing w:after="0"/>
              <w:rPr>
                <w:sz w:val="18"/>
                <w:szCs w:val="18"/>
                <w:color w:val="auto"/>
              </w:rPr>
            </w:pPr>
          </w:p>
        </w:tc>
        <w:tc>
          <w:tcPr>
            <w:tcW w:w="780" w:type="dxa"/>
            <w:vAlign w:val="bottom"/>
          </w:tcPr>
          <w:p>
            <w:pPr>
              <w:jc w:val="right"/>
              <w:ind w:right="149"/>
              <w:spacing w:after="0"/>
              <w:rPr>
                <w:sz w:val="20"/>
                <w:szCs w:val="20"/>
                <w:color w:val="auto"/>
              </w:rPr>
            </w:pPr>
            <w:r>
              <w:rPr>
                <w:rFonts w:ascii="Arial" w:cs="Arial" w:eastAsia="Arial" w:hAnsi="Arial"/>
                <w:sz w:val="14"/>
                <w:szCs w:val="14"/>
                <w:color w:val="auto"/>
              </w:rPr>
              <w:t>2,528</w:t>
            </w:r>
          </w:p>
        </w:tc>
        <w:tc>
          <w:tcPr>
            <w:tcW w:w="3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2,535</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jc w:val="right"/>
              <w:ind w:right="29"/>
              <w:spacing w:after="0"/>
              <w:rPr>
                <w:sz w:val="20"/>
                <w:szCs w:val="20"/>
                <w:color w:val="auto"/>
              </w:rPr>
            </w:pPr>
            <w:r>
              <w:rPr>
                <w:rFonts w:ascii="Arial" w:cs="Arial" w:eastAsia="Arial" w:hAnsi="Arial"/>
                <w:sz w:val="14"/>
                <w:szCs w:val="14"/>
                <w:color w:val="auto"/>
              </w:rPr>
              <w:t>743</w:t>
            </w:r>
          </w:p>
        </w:tc>
        <w:tc>
          <w:tcPr>
            <w:tcW w:w="500" w:type="dxa"/>
            <w:vAlign w:val="bottom"/>
          </w:tcPr>
          <w:p>
            <w:pPr>
              <w:spacing w:after="0"/>
              <w:rPr>
                <w:sz w:val="18"/>
                <w:szCs w:val="18"/>
                <w:color w:val="auto"/>
              </w:rPr>
            </w:pPr>
          </w:p>
        </w:tc>
        <w:tc>
          <w:tcPr>
            <w:tcW w:w="580" w:type="dxa"/>
            <w:vAlign w:val="bottom"/>
          </w:tcPr>
          <w:p>
            <w:pPr>
              <w:jc w:val="right"/>
              <w:ind w:right="88"/>
              <w:spacing w:after="0"/>
              <w:rPr>
                <w:sz w:val="20"/>
                <w:szCs w:val="20"/>
                <w:color w:val="auto"/>
              </w:rPr>
            </w:pPr>
            <w:r>
              <w:rPr>
                <w:rFonts w:ascii="Arial" w:cs="Arial" w:eastAsia="Arial" w:hAnsi="Arial"/>
                <w:sz w:val="14"/>
                <w:szCs w:val="14"/>
                <w:color w:val="auto"/>
              </w:rPr>
              <w:t>694</w:t>
            </w:r>
          </w:p>
        </w:tc>
      </w:tr>
      <w:tr>
        <w:trPr>
          <w:trHeight w:val="216"/>
        </w:trPr>
        <w:tc>
          <w:tcPr>
            <w:tcW w:w="3780" w:type="dxa"/>
            <w:vAlign w:val="bottom"/>
          </w:tcPr>
          <w:p>
            <w:pPr>
              <w:spacing w:after="0"/>
              <w:rPr>
                <w:sz w:val="20"/>
                <w:szCs w:val="20"/>
                <w:color w:val="auto"/>
              </w:rPr>
            </w:pPr>
            <w:r>
              <w:rPr>
                <w:rFonts w:ascii="Arial" w:cs="Arial" w:eastAsia="Arial" w:hAnsi="Arial"/>
                <w:sz w:val="14"/>
                <w:szCs w:val="14"/>
                <w:color w:val="auto"/>
              </w:rPr>
              <w:t>Acquisition of EnergySouth</w:t>
            </w:r>
          </w:p>
        </w:tc>
        <w:tc>
          <w:tcPr>
            <w:tcW w:w="280" w:type="dxa"/>
            <w:vAlign w:val="bottom"/>
          </w:tcPr>
          <w:p>
            <w:pPr>
              <w:spacing w:after="0"/>
              <w:rPr>
                <w:sz w:val="18"/>
                <w:szCs w:val="18"/>
                <w:color w:val="auto"/>
              </w:rPr>
            </w:pPr>
          </w:p>
        </w:tc>
        <w:tc>
          <w:tcPr>
            <w:tcW w:w="780" w:type="dxa"/>
            <w:vAlign w:val="bottom"/>
          </w:tcPr>
          <w:p>
            <w:pPr>
              <w:jc w:val="right"/>
              <w:ind w:right="149"/>
              <w:spacing w:after="0"/>
              <w:rPr>
                <w:sz w:val="20"/>
                <w:szCs w:val="20"/>
                <w:color w:val="auto"/>
              </w:rPr>
            </w:pPr>
            <w:r>
              <w:rPr>
                <w:rFonts w:ascii="Arial" w:cs="Arial" w:eastAsia="Arial" w:hAnsi="Arial"/>
                <w:sz w:val="14"/>
                <w:szCs w:val="14"/>
                <w:color w:val="auto"/>
              </w:rPr>
              <w:t>36</w:t>
            </w:r>
          </w:p>
        </w:tc>
        <w:tc>
          <w:tcPr>
            <w:tcW w:w="3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jc w:val="right"/>
              <w:ind w:right="29"/>
              <w:spacing w:after="0"/>
              <w:rPr>
                <w:sz w:val="20"/>
                <w:szCs w:val="20"/>
                <w:color w:val="auto"/>
              </w:rPr>
            </w:pPr>
            <w:r>
              <w:rPr>
                <w:rFonts w:ascii="Arial" w:cs="Arial" w:eastAsia="Arial" w:hAnsi="Arial"/>
                <w:sz w:val="14"/>
                <w:szCs w:val="14"/>
                <w:color w:val="auto"/>
              </w:rPr>
              <w:t>4</w:t>
            </w:r>
          </w:p>
        </w:tc>
        <w:tc>
          <w:tcPr>
            <w:tcW w:w="500" w:type="dxa"/>
            <w:vAlign w:val="bottom"/>
          </w:tcPr>
          <w:p>
            <w:pPr>
              <w:spacing w:after="0"/>
              <w:rPr>
                <w:sz w:val="18"/>
                <w:szCs w:val="18"/>
                <w:color w:val="auto"/>
              </w:rPr>
            </w:pPr>
          </w:p>
        </w:tc>
        <w:tc>
          <w:tcPr>
            <w:tcW w:w="580" w:type="dxa"/>
            <w:vAlign w:val="bottom"/>
          </w:tcPr>
          <w:p>
            <w:pPr>
              <w:jc w:val="right"/>
              <w:ind w:right="88"/>
              <w:spacing w:after="0"/>
              <w:rPr>
                <w:sz w:val="20"/>
                <w:szCs w:val="20"/>
                <w:color w:val="auto"/>
              </w:rPr>
            </w:pPr>
            <w:r>
              <w:rPr>
                <w:rFonts w:ascii="Arial" w:cs="Arial" w:eastAsia="Arial" w:hAnsi="Arial"/>
                <w:sz w:val="14"/>
                <w:szCs w:val="14"/>
                <w:color w:val="auto"/>
              </w:rPr>
              <w:t>--</w:t>
            </w:r>
          </w:p>
        </w:tc>
      </w:tr>
      <w:tr>
        <w:trPr>
          <w:trHeight w:val="216"/>
        </w:trPr>
        <w:tc>
          <w:tcPr>
            <w:tcW w:w="3780" w:type="dxa"/>
            <w:vAlign w:val="bottom"/>
          </w:tcPr>
          <w:p>
            <w:pPr>
              <w:spacing w:after="0"/>
              <w:rPr>
                <w:sz w:val="20"/>
                <w:szCs w:val="20"/>
                <w:color w:val="auto"/>
              </w:rPr>
            </w:pPr>
            <w:r>
              <w:rPr>
                <w:rFonts w:ascii="Arial" w:cs="Arial" w:eastAsia="Arial" w:hAnsi="Arial"/>
                <w:sz w:val="14"/>
                <w:szCs w:val="14"/>
                <w:color w:val="auto"/>
              </w:rPr>
              <w:t>Actual return on plan assets</w:t>
            </w:r>
          </w:p>
        </w:tc>
        <w:tc>
          <w:tcPr>
            <w:tcW w:w="280" w:type="dxa"/>
            <w:vAlign w:val="bottom"/>
          </w:tcPr>
          <w:p>
            <w:pPr>
              <w:spacing w:after="0"/>
              <w:rPr>
                <w:sz w:val="18"/>
                <w:szCs w:val="18"/>
                <w:color w:val="auto"/>
              </w:rPr>
            </w:pPr>
          </w:p>
        </w:tc>
        <w:tc>
          <w:tcPr>
            <w:tcW w:w="780" w:type="dxa"/>
            <w:vAlign w:val="bottom"/>
          </w:tcPr>
          <w:p>
            <w:pPr>
              <w:jc w:val="right"/>
              <w:ind w:right="89"/>
              <w:spacing w:after="0"/>
              <w:rPr>
                <w:sz w:val="20"/>
                <w:szCs w:val="20"/>
                <w:color w:val="auto"/>
              </w:rPr>
            </w:pPr>
            <w:r>
              <w:rPr>
                <w:rFonts w:ascii="Arial" w:cs="Arial" w:eastAsia="Arial" w:hAnsi="Arial"/>
                <w:sz w:val="14"/>
                <w:szCs w:val="14"/>
                <w:color w:val="auto"/>
              </w:rPr>
              <w:t>(682 )</w:t>
            </w:r>
          </w:p>
        </w:tc>
        <w:tc>
          <w:tcPr>
            <w:tcW w:w="3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207</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(194 )</w:t>
            </w:r>
          </w:p>
        </w:tc>
        <w:tc>
          <w:tcPr>
            <w:tcW w:w="500" w:type="dxa"/>
            <w:vAlign w:val="bottom"/>
          </w:tcPr>
          <w:p>
            <w:pPr>
              <w:spacing w:after="0"/>
              <w:rPr>
                <w:sz w:val="18"/>
                <w:szCs w:val="18"/>
                <w:color w:val="auto"/>
              </w:rPr>
            </w:pPr>
          </w:p>
        </w:tc>
        <w:tc>
          <w:tcPr>
            <w:tcW w:w="580" w:type="dxa"/>
            <w:vAlign w:val="bottom"/>
          </w:tcPr>
          <w:p>
            <w:pPr>
              <w:jc w:val="right"/>
              <w:ind w:right="88"/>
              <w:spacing w:after="0"/>
              <w:rPr>
                <w:sz w:val="20"/>
                <w:szCs w:val="20"/>
                <w:color w:val="auto"/>
              </w:rPr>
            </w:pPr>
            <w:r>
              <w:rPr>
                <w:rFonts w:ascii="Arial" w:cs="Arial" w:eastAsia="Arial" w:hAnsi="Arial"/>
                <w:sz w:val="14"/>
                <w:szCs w:val="14"/>
                <w:color w:val="auto"/>
              </w:rPr>
              <w:t>47</w:t>
            </w:r>
          </w:p>
        </w:tc>
      </w:tr>
      <w:tr>
        <w:trPr>
          <w:trHeight w:val="216"/>
        </w:trPr>
        <w:tc>
          <w:tcPr>
            <w:tcW w:w="3780" w:type="dxa"/>
            <w:vAlign w:val="bottom"/>
          </w:tcPr>
          <w:p>
            <w:pPr>
              <w:spacing w:after="0"/>
              <w:rPr>
                <w:sz w:val="20"/>
                <w:szCs w:val="20"/>
                <w:color w:val="auto"/>
              </w:rPr>
            </w:pPr>
            <w:r>
              <w:rPr>
                <w:rFonts w:ascii="Arial" w:cs="Arial" w:eastAsia="Arial" w:hAnsi="Arial"/>
                <w:sz w:val="14"/>
                <w:szCs w:val="14"/>
                <w:color w:val="auto"/>
              </w:rPr>
              <w:t>Employer contributions</w:t>
            </w:r>
          </w:p>
        </w:tc>
        <w:tc>
          <w:tcPr>
            <w:tcW w:w="280" w:type="dxa"/>
            <w:vAlign w:val="bottom"/>
          </w:tcPr>
          <w:p>
            <w:pPr>
              <w:spacing w:after="0"/>
              <w:rPr>
                <w:sz w:val="18"/>
                <w:szCs w:val="18"/>
                <w:color w:val="auto"/>
              </w:rPr>
            </w:pPr>
          </w:p>
        </w:tc>
        <w:tc>
          <w:tcPr>
            <w:tcW w:w="780" w:type="dxa"/>
            <w:vAlign w:val="bottom"/>
          </w:tcPr>
          <w:p>
            <w:pPr>
              <w:jc w:val="right"/>
              <w:ind w:right="149"/>
              <w:spacing w:after="0"/>
              <w:rPr>
                <w:sz w:val="20"/>
                <w:szCs w:val="20"/>
                <w:color w:val="auto"/>
              </w:rPr>
            </w:pPr>
            <w:r>
              <w:rPr>
                <w:rFonts w:ascii="Arial" w:cs="Arial" w:eastAsia="Arial" w:hAnsi="Arial"/>
                <w:sz w:val="14"/>
                <w:szCs w:val="14"/>
                <w:color w:val="auto"/>
              </w:rPr>
              <w:t>66</w:t>
            </w:r>
          </w:p>
        </w:tc>
        <w:tc>
          <w:tcPr>
            <w:tcW w:w="3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35</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jc w:val="right"/>
              <w:ind w:right="29"/>
              <w:spacing w:after="0"/>
              <w:rPr>
                <w:sz w:val="20"/>
                <w:szCs w:val="20"/>
                <w:color w:val="auto"/>
              </w:rPr>
            </w:pPr>
            <w:r>
              <w:rPr>
                <w:rFonts w:ascii="Arial" w:cs="Arial" w:eastAsia="Arial" w:hAnsi="Arial"/>
                <w:sz w:val="14"/>
                <w:szCs w:val="14"/>
                <w:color w:val="auto"/>
              </w:rPr>
              <w:t>40</w:t>
            </w:r>
          </w:p>
        </w:tc>
        <w:tc>
          <w:tcPr>
            <w:tcW w:w="500" w:type="dxa"/>
            <w:vAlign w:val="bottom"/>
          </w:tcPr>
          <w:p>
            <w:pPr>
              <w:spacing w:after="0"/>
              <w:rPr>
                <w:sz w:val="18"/>
                <w:szCs w:val="18"/>
                <w:color w:val="auto"/>
              </w:rPr>
            </w:pPr>
          </w:p>
        </w:tc>
        <w:tc>
          <w:tcPr>
            <w:tcW w:w="580" w:type="dxa"/>
            <w:vAlign w:val="bottom"/>
          </w:tcPr>
          <w:p>
            <w:pPr>
              <w:jc w:val="right"/>
              <w:ind w:right="88"/>
              <w:spacing w:after="0"/>
              <w:rPr>
                <w:sz w:val="20"/>
                <w:szCs w:val="20"/>
                <w:color w:val="auto"/>
              </w:rPr>
            </w:pPr>
            <w:r>
              <w:rPr>
                <w:rFonts w:ascii="Arial" w:cs="Arial" w:eastAsia="Arial" w:hAnsi="Arial"/>
                <w:sz w:val="14"/>
                <w:szCs w:val="14"/>
                <w:color w:val="auto"/>
              </w:rPr>
              <w:t>45</w:t>
            </w:r>
          </w:p>
        </w:tc>
      </w:tr>
      <w:tr>
        <w:trPr>
          <w:trHeight w:val="216"/>
        </w:trPr>
        <w:tc>
          <w:tcPr>
            <w:tcW w:w="3780" w:type="dxa"/>
            <w:vAlign w:val="bottom"/>
          </w:tcPr>
          <w:p>
            <w:pPr>
              <w:spacing w:after="0"/>
              <w:rPr>
                <w:sz w:val="20"/>
                <w:szCs w:val="20"/>
                <w:color w:val="auto"/>
              </w:rPr>
            </w:pPr>
            <w:r>
              <w:rPr>
                <w:rFonts w:ascii="Arial" w:cs="Arial" w:eastAsia="Arial" w:hAnsi="Arial"/>
                <w:sz w:val="14"/>
                <w:szCs w:val="14"/>
                <w:color w:val="auto"/>
              </w:rPr>
              <w:t>Settlements</w:t>
            </w:r>
          </w:p>
        </w:tc>
        <w:tc>
          <w:tcPr>
            <w:tcW w:w="280" w:type="dxa"/>
            <w:vAlign w:val="bottom"/>
          </w:tcPr>
          <w:p>
            <w:pPr>
              <w:spacing w:after="0"/>
              <w:rPr>
                <w:sz w:val="18"/>
                <w:szCs w:val="18"/>
                <w:color w:val="auto"/>
              </w:rPr>
            </w:pPr>
          </w:p>
        </w:tc>
        <w:tc>
          <w:tcPr>
            <w:tcW w:w="780" w:type="dxa"/>
            <w:vAlign w:val="bottom"/>
          </w:tcPr>
          <w:p>
            <w:pPr>
              <w:jc w:val="right"/>
              <w:ind w:right="89"/>
              <w:spacing w:after="0"/>
              <w:rPr>
                <w:sz w:val="20"/>
                <w:szCs w:val="20"/>
                <w:color w:val="auto"/>
              </w:rPr>
            </w:pPr>
            <w:r>
              <w:rPr>
                <w:rFonts w:ascii="Arial" w:cs="Arial" w:eastAsia="Arial" w:hAnsi="Arial"/>
                <w:sz w:val="14"/>
                <w:szCs w:val="14"/>
                <w:color w:val="auto"/>
              </w:rPr>
              <w:t>(22 )</w:t>
            </w:r>
          </w:p>
        </w:tc>
        <w:tc>
          <w:tcPr>
            <w:tcW w:w="3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500" w:type="dxa"/>
            <w:vAlign w:val="bottom"/>
          </w:tcPr>
          <w:p>
            <w:pPr>
              <w:spacing w:after="0"/>
              <w:rPr>
                <w:sz w:val="18"/>
                <w:szCs w:val="18"/>
                <w:color w:val="auto"/>
              </w:rPr>
            </w:pPr>
          </w:p>
        </w:tc>
        <w:tc>
          <w:tcPr>
            <w:tcW w:w="580" w:type="dxa"/>
            <w:vAlign w:val="bottom"/>
          </w:tcPr>
          <w:p>
            <w:pPr>
              <w:jc w:val="right"/>
              <w:ind w:right="88"/>
              <w:spacing w:after="0"/>
              <w:rPr>
                <w:sz w:val="20"/>
                <w:szCs w:val="20"/>
                <w:color w:val="auto"/>
              </w:rPr>
            </w:pPr>
            <w:r>
              <w:rPr>
                <w:rFonts w:ascii="Arial" w:cs="Arial" w:eastAsia="Arial" w:hAnsi="Arial"/>
                <w:sz w:val="14"/>
                <w:szCs w:val="14"/>
                <w:color w:val="auto"/>
              </w:rPr>
              <w:t>--</w:t>
            </w:r>
          </w:p>
        </w:tc>
      </w:tr>
      <w:tr>
        <w:trPr>
          <w:trHeight w:val="216"/>
        </w:trPr>
        <w:tc>
          <w:tcPr>
            <w:tcW w:w="3780" w:type="dxa"/>
            <w:vAlign w:val="bottom"/>
          </w:tcPr>
          <w:p>
            <w:pPr>
              <w:spacing w:after="0"/>
              <w:rPr>
                <w:sz w:val="20"/>
                <w:szCs w:val="20"/>
                <w:color w:val="auto"/>
              </w:rPr>
            </w:pPr>
            <w:r>
              <w:rPr>
                <w:rFonts w:ascii="Arial" w:cs="Arial" w:eastAsia="Arial" w:hAnsi="Arial"/>
                <w:sz w:val="14"/>
                <w:szCs w:val="14"/>
                <w:color w:val="auto"/>
              </w:rPr>
              <w:t>Benefit payments</w:t>
            </w:r>
          </w:p>
        </w:tc>
        <w:tc>
          <w:tcPr>
            <w:tcW w:w="280" w:type="dxa"/>
            <w:vAlign w:val="bottom"/>
          </w:tcPr>
          <w:p>
            <w:pPr>
              <w:spacing w:after="0"/>
              <w:rPr>
                <w:sz w:val="18"/>
                <w:szCs w:val="18"/>
                <w:color w:val="auto"/>
              </w:rPr>
            </w:pPr>
          </w:p>
        </w:tc>
        <w:tc>
          <w:tcPr>
            <w:tcW w:w="780" w:type="dxa"/>
            <w:vAlign w:val="bottom"/>
          </w:tcPr>
          <w:p>
            <w:pPr>
              <w:jc w:val="right"/>
              <w:ind w:right="89"/>
              <w:spacing w:after="0"/>
              <w:rPr>
                <w:sz w:val="20"/>
                <w:szCs w:val="20"/>
                <w:color w:val="auto"/>
              </w:rPr>
            </w:pPr>
            <w:r>
              <w:rPr>
                <w:rFonts w:ascii="Arial" w:cs="Arial" w:eastAsia="Arial" w:hAnsi="Arial"/>
                <w:sz w:val="14"/>
                <w:szCs w:val="14"/>
                <w:color w:val="auto"/>
              </w:rPr>
              <w:t>(184 )</w:t>
            </w:r>
          </w:p>
        </w:tc>
        <w:tc>
          <w:tcPr>
            <w:tcW w:w="32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4"/>
                <w:szCs w:val="14"/>
                <w:color w:val="auto"/>
              </w:rPr>
              <w:t>(249 )</w:t>
            </w:r>
          </w:p>
        </w:tc>
        <w:tc>
          <w:tcPr>
            <w:tcW w:w="2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(48 )</w:t>
            </w:r>
          </w:p>
        </w:tc>
        <w:tc>
          <w:tcPr>
            <w:tcW w:w="500" w:type="dxa"/>
            <w:vAlign w:val="bottom"/>
          </w:tcPr>
          <w:p>
            <w:pPr>
              <w:spacing w:after="0"/>
              <w:rPr>
                <w:sz w:val="18"/>
                <w:szCs w:val="18"/>
                <w:color w:val="auto"/>
              </w:rPr>
            </w:pPr>
          </w:p>
        </w:tc>
        <w:tc>
          <w:tcPr>
            <w:tcW w:w="580" w:type="dxa"/>
            <w:vAlign w:val="bottom"/>
          </w:tcPr>
          <w:p>
            <w:pPr>
              <w:jc w:val="right"/>
              <w:ind w:right="8"/>
              <w:spacing w:after="0"/>
              <w:rPr>
                <w:sz w:val="20"/>
                <w:szCs w:val="20"/>
                <w:color w:val="auto"/>
              </w:rPr>
            </w:pPr>
            <w:r>
              <w:rPr>
                <w:rFonts w:ascii="Arial" w:cs="Arial" w:eastAsia="Arial" w:hAnsi="Arial"/>
                <w:sz w:val="14"/>
                <w:szCs w:val="14"/>
                <w:color w:val="auto"/>
              </w:rPr>
              <w:t>(46 )</w:t>
            </w:r>
          </w:p>
        </w:tc>
      </w:tr>
      <w:tr>
        <w:trPr>
          <w:trHeight w:val="222"/>
        </w:trPr>
        <w:tc>
          <w:tcPr>
            <w:tcW w:w="3780" w:type="dxa"/>
            <w:vAlign w:val="bottom"/>
          </w:tcPr>
          <w:p>
            <w:pPr>
              <w:spacing w:after="0"/>
              <w:rPr>
                <w:sz w:val="20"/>
                <w:szCs w:val="20"/>
                <w:color w:val="auto"/>
              </w:rPr>
            </w:pPr>
            <w:r>
              <w:rPr>
                <w:rFonts w:ascii="Arial" w:cs="Arial" w:eastAsia="Arial" w:hAnsi="Arial"/>
                <w:sz w:val="14"/>
                <w:szCs w:val="14"/>
                <w:color w:val="auto"/>
              </w:rPr>
              <w:t>Other</w:t>
            </w:r>
          </w:p>
        </w:tc>
        <w:tc>
          <w:tcPr>
            <w:tcW w:w="2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149"/>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3</w:t>
            </w:r>
          </w:p>
        </w:tc>
      </w:tr>
      <w:tr>
        <w:trPr>
          <w:trHeight w:val="208"/>
        </w:trPr>
        <w:tc>
          <w:tcPr>
            <w:tcW w:w="3780" w:type="dxa"/>
            <w:vAlign w:val="bottom"/>
          </w:tcPr>
          <w:p>
            <w:pPr>
              <w:spacing w:after="0"/>
              <w:rPr>
                <w:sz w:val="20"/>
                <w:szCs w:val="20"/>
                <w:color w:val="auto"/>
              </w:rPr>
            </w:pPr>
            <w:r>
              <w:rPr>
                <w:rFonts w:ascii="Arial" w:cs="Arial" w:eastAsia="Arial" w:hAnsi="Arial"/>
                <w:sz w:val="14"/>
                <w:szCs w:val="14"/>
                <w:color w:val="auto"/>
              </w:rPr>
              <w:t>Fair value of plan assets at December 31</w:t>
            </w:r>
          </w:p>
        </w:tc>
        <w:tc>
          <w:tcPr>
            <w:tcW w:w="2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49"/>
              <w:spacing w:after="0"/>
              <w:rPr>
                <w:sz w:val="20"/>
                <w:szCs w:val="20"/>
                <w:color w:val="auto"/>
              </w:rPr>
            </w:pPr>
            <w:r>
              <w:rPr>
                <w:rFonts w:ascii="Arial" w:cs="Arial" w:eastAsia="Arial" w:hAnsi="Arial"/>
                <w:sz w:val="14"/>
                <w:szCs w:val="14"/>
                <w:color w:val="auto"/>
              </w:rPr>
              <w:t>1,742</w:t>
            </w:r>
          </w:p>
        </w:tc>
        <w:tc>
          <w:tcPr>
            <w:tcW w:w="3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2,528</w:t>
            </w:r>
          </w:p>
        </w:tc>
        <w:tc>
          <w:tcPr>
            <w:tcW w:w="2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545</w:t>
            </w:r>
          </w:p>
        </w:tc>
        <w:tc>
          <w:tcPr>
            <w:tcW w:w="5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743</w:t>
            </w:r>
          </w:p>
        </w:tc>
      </w:tr>
      <w:tr>
        <w:trPr>
          <w:trHeight w:val="416"/>
        </w:trPr>
        <w:tc>
          <w:tcPr>
            <w:tcW w:w="3780" w:type="dxa"/>
            <w:vAlign w:val="bottom"/>
          </w:tcPr>
          <w:p>
            <w:pPr>
              <w:spacing w:after="0"/>
              <w:rPr>
                <w:sz w:val="20"/>
                <w:szCs w:val="20"/>
                <w:color w:val="auto"/>
              </w:rPr>
            </w:pPr>
            <w:r>
              <w:rPr>
                <w:rFonts w:ascii="Arial" w:cs="Arial" w:eastAsia="Arial" w:hAnsi="Arial"/>
                <w:sz w:val="14"/>
                <w:szCs w:val="14"/>
                <w:color w:val="auto"/>
              </w:rPr>
              <w:t>Funded status at December 31</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rPr>
              <w:t>(1,123 )</w:t>
            </w:r>
          </w:p>
        </w:tc>
        <w:tc>
          <w:tcPr>
            <w:tcW w:w="3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4"/>
                <w:szCs w:val="14"/>
                <w:color w:val="auto"/>
              </w:rPr>
              <w:t>(263 )</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(389 )</w:t>
            </w:r>
          </w:p>
        </w:tc>
        <w:tc>
          <w:tcPr>
            <w:tcW w:w="50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(128 )</w:t>
            </w:r>
          </w:p>
        </w:tc>
      </w:tr>
      <w:tr>
        <w:trPr>
          <w:trHeight w:val="208"/>
        </w:trPr>
        <w:tc>
          <w:tcPr>
            <w:tcW w:w="37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Net recorded liability at December 31</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rPr>
              <w:t>(1,123 )</w:t>
            </w:r>
          </w:p>
        </w:tc>
        <w:tc>
          <w:tcPr>
            <w:tcW w:w="3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4"/>
                <w:szCs w:val="14"/>
                <w:color w:val="auto"/>
              </w:rPr>
              <w:t>(263 )</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(389 )</w:t>
            </w:r>
          </w:p>
        </w:tc>
        <w:tc>
          <w:tcPr>
            <w:tcW w:w="50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(128 )</w:t>
            </w:r>
          </w:p>
        </w:tc>
      </w:tr>
    </w:tbl>
    <w:p>
      <w:pPr>
        <w:spacing w:after="0" w:line="376" w:lineRule="exact"/>
        <w:rPr>
          <w:sz w:val="20"/>
          <w:szCs w:val="20"/>
          <w:color w:val="auto"/>
        </w:rPr>
      </w:pPr>
    </w:p>
    <w:p>
      <w:pPr>
        <w:spacing w:after="0"/>
        <w:rPr>
          <w:sz w:val="20"/>
          <w:szCs w:val="20"/>
          <w:color w:val="auto"/>
        </w:rPr>
      </w:pPr>
      <w:r>
        <w:rPr>
          <w:rFonts w:ascii="Arial" w:cs="Arial" w:eastAsia="Arial" w:hAnsi="Arial"/>
          <w:sz w:val="14"/>
          <w:szCs w:val="14"/>
          <w:color w:val="auto"/>
        </w:rPr>
        <w:t>138</w:t>
      </w:r>
    </w:p>
    <w:p>
      <w:pPr>
        <w:sectPr>
          <w:pgSz w:w="11900" w:h="16838" w:orient="portrait"/>
          <w:cols w:equalWidth="0" w:num="1">
            <w:col w:w="11400"/>
          </w:cols>
          <w:pgMar w:left="240" w:top="395" w:right="259" w:bottom="1440" w:gutter="0" w:footer="0" w:header="0"/>
        </w:sectPr>
      </w:pPr>
    </w:p>
    <w:bookmarkStart w:id="278" w:name="page279"/>
    <w:bookmarkEnd w:id="278"/>
    <w:p>
      <w:pPr>
        <w:ind w:left="1860"/>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1324610</wp:posOffset>
            </wp:positionH>
            <wp:positionV relativeFrom="page">
              <wp:posOffset>607695</wp:posOffset>
            </wp:positionV>
            <wp:extent cx="4919980" cy="26670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4919980" cy="266700"/>
                    </a:xfrm>
                    <a:prstGeom prst="rect">
                      <a:avLst/>
                    </a:prstGeom>
                    <a:noFill/>
                  </pic:spPr>
                </pic:pic>
              </a:graphicData>
            </a:graphic>
          </wp:anchor>
        </w:drawing>
        <w:t>PROJECTED BENEFIT OBLIGATION, FAIR VALUE OF ASSETS AND FUNDED STATUS</w:t>
      </w:r>
    </w:p>
    <w:p>
      <w:pPr>
        <w:spacing w:after="0" w:line="76" w:lineRule="exact"/>
        <w:rPr>
          <w:sz w:val="20"/>
          <w:szCs w:val="20"/>
          <w:color w:val="auto"/>
        </w:rPr>
      </w:pPr>
    </w:p>
    <w:tbl>
      <w:tblPr>
        <w:tblLayout w:type="fixed"/>
        <w:tblInd w:w="1840" w:type="dxa"/>
        <w:tblCellMar>
          <w:top w:w="0" w:type="dxa"/>
          <w:left w:w="0" w:type="dxa"/>
          <w:bottom w:w="0" w:type="dxa"/>
          <w:right w:w="0" w:type="dxa"/>
        </w:tblCellMar>
      </w:tblPr>
      <w:tr>
        <w:trPr>
          <w:trHeight w:val="166"/>
        </w:trPr>
        <w:tc>
          <w:tcPr>
            <w:tcW w:w="3440" w:type="dxa"/>
            <w:vAlign w:val="bottom"/>
          </w:tcPr>
          <w:p>
            <w:pPr>
              <w:ind w:left="20"/>
              <w:spacing w:after="0"/>
              <w:rPr>
                <w:sz w:val="20"/>
                <w:szCs w:val="20"/>
                <w:color w:val="auto"/>
              </w:rPr>
            </w:pPr>
            <w:r>
              <w:rPr>
                <w:rFonts w:ascii="Arial" w:cs="Arial" w:eastAsia="Arial" w:hAnsi="Arial"/>
                <w:sz w:val="13"/>
                <w:szCs w:val="13"/>
                <w:i w:val="1"/>
                <w:iCs w:val="1"/>
                <w:color w:val="auto"/>
              </w:rPr>
              <w:t>(Dollars in millions)</w:t>
            </w: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80"/>
        </w:trPr>
        <w:tc>
          <w:tcPr>
            <w:tcW w:w="34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40" w:type="dxa"/>
            <w:vAlign w:val="bottom"/>
            <w:gridSpan w:val="2"/>
          </w:tcPr>
          <w:p>
            <w:pPr>
              <w:jc w:val="center"/>
              <w:ind w:left="149"/>
              <w:spacing w:after="0"/>
              <w:rPr>
                <w:sz w:val="20"/>
                <w:szCs w:val="20"/>
                <w:color w:val="auto"/>
              </w:rPr>
            </w:pPr>
            <w:r>
              <w:rPr>
                <w:rFonts w:ascii="Arial" w:cs="Arial" w:eastAsia="Arial" w:hAnsi="Arial"/>
                <w:sz w:val="13"/>
                <w:szCs w:val="13"/>
                <w:color w:val="auto"/>
                <w:w w:val="98"/>
              </w:rPr>
              <w:t>Other</w:t>
            </w:r>
          </w:p>
        </w:tc>
        <w:tc>
          <w:tcPr>
            <w:tcW w:w="700" w:type="dxa"/>
            <w:vAlign w:val="bottom"/>
          </w:tcPr>
          <w:p>
            <w:pPr>
              <w:spacing w:after="0"/>
              <w:rPr>
                <w:sz w:val="15"/>
                <w:szCs w:val="15"/>
                <w:color w:val="auto"/>
              </w:rPr>
            </w:pPr>
          </w:p>
        </w:tc>
      </w:tr>
      <w:tr>
        <w:trPr>
          <w:trHeight w:val="156"/>
        </w:trPr>
        <w:tc>
          <w:tcPr>
            <w:tcW w:w="34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40" w:type="dxa"/>
            <w:vAlign w:val="bottom"/>
            <w:gridSpan w:val="2"/>
          </w:tcPr>
          <w:p>
            <w:pPr>
              <w:jc w:val="center"/>
              <w:ind w:left="169"/>
              <w:spacing w:after="0"/>
              <w:rPr>
                <w:sz w:val="20"/>
                <w:szCs w:val="20"/>
                <w:color w:val="auto"/>
              </w:rPr>
            </w:pPr>
            <w:r>
              <w:rPr>
                <w:rFonts w:ascii="Arial" w:cs="Arial" w:eastAsia="Arial" w:hAnsi="Arial"/>
                <w:sz w:val="13"/>
                <w:szCs w:val="13"/>
                <w:color w:val="auto"/>
                <w:w w:val="96"/>
              </w:rPr>
              <w:t>Postretirement</w:t>
            </w:r>
          </w:p>
        </w:tc>
        <w:tc>
          <w:tcPr>
            <w:tcW w:w="700" w:type="dxa"/>
            <w:vAlign w:val="bottom"/>
          </w:tcPr>
          <w:p>
            <w:pPr>
              <w:spacing w:after="0"/>
              <w:rPr>
                <w:sz w:val="13"/>
                <w:szCs w:val="13"/>
                <w:color w:val="auto"/>
              </w:rPr>
            </w:pPr>
          </w:p>
        </w:tc>
      </w:tr>
      <w:tr>
        <w:trPr>
          <w:trHeight w:val="158"/>
        </w:trPr>
        <w:tc>
          <w:tcPr>
            <w:tcW w:w="34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900" w:type="dxa"/>
            <w:vAlign w:val="bottom"/>
            <w:gridSpan w:val="4"/>
          </w:tcPr>
          <w:p>
            <w:pPr>
              <w:jc w:val="right"/>
              <w:ind w:right="680"/>
              <w:spacing w:after="0"/>
              <w:rPr>
                <w:sz w:val="20"/>
                <w:szCs w:val="20"/>
                <w:color w:val="auto"/>
              </w:rPr>
            </w:pPr>
            <w:r>
              <w:rPr>
                <w:rFonts w:ascii="Arial" w:cs="Arial" w:eastAsia="Arial" w:hAnsi="Arial"/>
                <w:sz w:val="13"/>
                <w:szCs w:val="13"/>
                <w:color w:val="auto"/>
              </w:rPr>
              <w:t>Pension Benefits</w:t>
            </w:r>
          </w:p>
        </w:tc>
        <w:tc>
          <w:tcPr>
            <w:tcW w:w="320" w:type="dxa"/>
            <w:vAlign w:val="bottom"/>
          </w:tcPr>
          <w:p>
            <w:pPr>
              <w:spacing w:after="0"/>
              <w:rPr>
                <w:sz w:val="13"/>
                <w:szCs w:val="13"/>
                <w:color w:val="auto"/>
              </w:rPr>
            </w:pPr>
          </w:p>
        </w:tc>
        <w:tc>
          <w:tcPr>
            <w:tcW w:w="1140" w:type="dxa"/>
            <w:vAlign w:val="bottom"/>
            <w:gridSpan w:val="2"/>
          </w:tcPr>
          <w:p>
            <w:pPr>
              <w:jc w:val="center"/>
              <w:ind w:left="169"/>
              <w:spacing w:after="0"/>
              <w:rPr>
                <w:sz w:val="20"/>
                <w:szCs w:val="20"/>
                <w:color w:val="auto"/>
              </w:rPr>
            </w:pPr>
            <w:r>
              <w:rPr>
                <w:rFonts w:ascii="Arial" w:cs="Arial" w:eastAsia="Arial" w:hAnsi="Arial"/>
                <w:sz w:val="13"/>
                <w:szCs w:val="13"/>
                <w:color w:val="auto"/>
                <w:w w:val="97"/>
              </w:rPr>
              <w:t>Benefits</w:t>
            </w:r>
          </w:p>
        </w:tc>
        <w:tc>
          <w:tcPr>
            <w:tcW w:w="700" w:type="dxa"/>
            <w:vAlign w:val="bottom"/>
          </w:tcPr>
          <w:p>
            <w:pPr>
              <w:spacing w:after="0"/>
              <w:rPr>
                <w:sz w:val="13"/>
                <w:szCs w:val="13"/>
                <w:color w:val="auto"/>
              </w:rPr>
            </w:pPr>
          </w:p>
        </w:tc>
      </w:tr>
      <w:tr>
        <w:trPr>
          <w:trHeight w:val="213"/>
        </w:trPr>
        <w:tc>
          <w:tcPr>
            <w:tcW w:w="34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SDG&amp;E</w:t>
            </w:r>
          </w:p>
        </w:tc>
        <w:tc>
          <w:tcPr>
            <w:tcW w:w="26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ind w:right="309"/>
              <w:spacing w:after="0"/>
              <w:rPr>
                <w:sz w:val="20"/>
                <w:szCs w:val="20"/>
                <w:color w:val="auto"/>
              </w:rPr>
            </w:pPr>
            <w:r>
              <w:rPr>
                <w:rFonts w:ascii="Arial" w:cs="Arial" w:eastAsia="Arial" w:hAnsi="Arial"/>
                <w:sz w:val="13"/>
                <w:szCs w:val="13"/>
                <w:color w:val="auto"/>
              </w:rPr>
              <w:t>2008</w:t>
            </w:r>
          </w:p>
        </w:tc>
        <w:tc>
          <w:tcPr>
            <w:tcW w:w="28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ind w:right="188"/>
              <w:spacing w:after="0"/>
              <w:rPr>
                <w:sz w:val="20"/>
                <w:szCs w:val="20"/>
                <w:color w:val="auto"/>
              </w:rPr>
            </w:pPr>
            <w:r>
              <w:rPr>
                <w:rFonts w:ascii="Arial" w:cs="Arial" w:eastAsia="Arial" w:hAnsi="Arial"/>
                <w:sz w:val="13"/>
                <w:szCs w:val="13"/>
                <w:color w:val="auto"/>
              </w:rPr>
              <w:t>2007</w:t>
            </w:r>
          </w:p>
        </w:tc>
        <w:tc>
          <w:tcPr>
            <w:tcW w:w="140" w:type="dxa"/>
            <w:vAlign w:val="bottom"/>
            <w:tcBorders>
              <w:bottom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ind w:right="309"/>
              <w:spacing w:after="0"/>
              <w:rPr>
                <w:sz w:val="20"/>
                <w:szCs w:val="20"/>
                <w:color w:val="auto"/>
              </w:rPr>
            </w:pPr>
            <w:r>
              <w:rPr>
                <w:rFonts w:ascii="Arial" w:cs="Arial" w:eastAsia="Arial" w:hAnsi="Arial"/>
                <w:sz w:val="13"/>
                <w:szCs w:val="13"/>
                <w:color w:val="auto"/>
              </w:rPr>
              <w:t>2008</w:t>
            </w:r>
          </w:p>
        </w:tc>
        <w:tc>
          <w:tcPr>
            <w:tcW w:w="40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ind w:right="328"/>
              <w:spacing w:after="0"/>
              <w:rPr>
                <w:sz w:val="20"/>
                <w:szCs w:val="20"/>
                <w:color w:val="auto"/>
              </w:rPr>
            </w:pPr>
            <w:r>
              <w:rPr>
                <w:rFonts w:ascii="Arial" w:cs="Arial" w:eastAsia="Arial" w:hAnsi="Arial"/>
                <w:sz w:val="13"/>
                <w:szCs w:val="13"/>
                <w:color w:val="auto"/>
                <w:w w:val="96"/>
              </w:rPr>
              <w:t>2007</w:t>
            </w:r>
          </w:p>
        </w:tc>
      </w:tr>
      <w:tr>
        <w:trPr>
          <w:trHeight w:val="205"/>
        </w:trPr>
        <w:tc>
          <w:tcPr>
            <w:tcW w:w="3440" w:type="dxa"/>
            <w:vAlign w:val="bottom"/>
          </w:tcPr>
          <w:p>
            <w:pPr>
              <w:ind w:left="20"/>
              <w:spacing w:after="0"/>
              <w:rPr>
                <w:sz w:val="20"/>
                <w:szCs w:val="20"/>
                <w:color w:val="auto"/>
              </w:rPr>
            </w:pPr>
            <w:r>
              <w:rPr>
                <w:rFonts w:ascii="Arial" w:cs="Arial" w:eastAsia="Arial" w:hAnsi="Arial"/>
                <w:sz w:val="14"/>
                <w:szCs w:val="14"/>
                <w:color w:val="auto"/>
              </w:rPr>
              <w:t>CHANGE IN PROJECTED BENEFIT OBLIGATION:</w:t>
            </w: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216"/>
        </w:trPr>
        <w:tc>
          <w:tcPr>
            <w:tcW w:w="3440" w:type="dxa"/>
            <w:vAlign w:val="bottom"/>
          </w:tcPr>
          <w:p>
            <w:pPr>
              <w:ind w:left="20"/>
              <w:spacing w:after="0"/>
              <w:rPr>
                <w:sz w:val="20"/>
                <w:szCs w:val="20"/>
                <w:color w:val="auto"/>
              </w:rPr>
            </w:pPr>
            <w:r>
              <w:rPr>
                <w:rFonts w:ascii="Arial" w:cs="Arial" w:eastAsia="Arial" w:hAnsi="Arial"/>
                <w:sz w:val="14"/>
                <w:szCs w:val="14"/>
                <w:color w:val="auto"/>
              </w:rPr>
              <w:t>Net obligation at January 1</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69"/>
              <w:spacing w:after="0"/>
              <w:rPr>
                <w:sz w:val="20"/>
                <w:szCs w:val="20"/>
                <w:color w:val="auto"/>
              </w:rPr>
            </w:pPr>
            <w:r>
              <w:rPr>
                <w:rFonts w:ascii="Arial" w:cs="Arial" w:eastAsia="Arial" w:hAnsi="Arial"/>
                <w:sz w:val="14"/>
                <w:szCs w:val="14"/>
                <w:color w:val="auto"/>
              </w:rPr>
              <w:t>803</w:t>
            </w:r>
          </w:p>
        </w:tc>
        <w:tc>
          <w:tcPr>
            <w:tcW w:w="28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842</w:t>
            </w:r>
          </w:p>
        </w:tc>
        <w:tc>
          <w:tcPr>
            <w:tcW w:w="140" w:type="dxa"/>
            <w:vAlign w:val="bottom"/>
          </w:tcPr>
          <w:p>
            <w:pPr>
              <w:spacing w:after="0"/>
              <w:rPr>
                <w:sz w:val="18"/>
                <w:szCs w:val="18"/>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69"/>
              <w:spacing w:after="0"/>
              <w:rPr>
                <w:sz w:val="20"/>
                <w:szCs w:val="20"/>
                <w:color w:val="auto"/>
              </w:rPr>
            </w:pPr>
            <w:r>
              <w:rPr>
                <w:rFonts w:ascii="Arial" w:cs="Arial" w:eastAsia="Arial" w:hAnsi="Arial"/>
                <w:sz w:val="14"/>
                <w:szCs w:val="14"/>
                <w:color w:val="auto"/>
              </w:rPr>
              <w:t>139</w:t>
            </w:r>
          </w:p>
        </w:tc>
        <w:tc>
          <w:tcPr>
            <w:tcW w:w="40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88"/>
              <w:spacing w:after="0"/>
              <w:rPr>
                <w:sz w:val="20"/>
                <w:szCs w:val="20"/>
                <w:color w:val="auto"/>
              </w:rPr>
            </w:pPr>
            <w:r>
              <w:rPr>
                <w:rFonts w:ascii="Arial" w:cs="Arial" w:eastAsia="Arial" w:hAnsi="Arial"/>
                <w:sz w:val="14"/>
                <w:szCs w:val="14"/>
                <w:color w:val="auto"/>
              </w:rPr>
              <w:t>139</w:t>
            </w:r>
          </w:p>
        </w:tc>
      </w:tr>
      <w:tr>
        <w:trPr>
          <w:trHeight w:val="216"/>
        </w:trPr>
        <w:tc>
          <w:tcPr>
            <w:tcW w:w="3440" w:type="dxa"/>
            <w:vAlign w:val="bottom"/>
          </w:tcPr>
          <w:p>
            <w:pPr>
              <w:ind w:left="20"/>
              <w:spacing w:after="0"/>
              <w:rPr>
                <w:sz w:val="20"/>
                <w:szCs w:val="20"/>
                <w:color w:val="auto"/>
              </w:rPr>
            </w:pPr>
            <w:r>
              <w:rPr>
                <w:rFonts w:ascii="Arial" w:cs="Arial" w:eastAsia="Arial" w:hAnsi="Arial"/>
                <w:sz w:val="14"/>
                <w:szCs w:val="14"/>
                <w:color w:val="auto"/>
              </w:rPr>
              <w:t>Service cost</w:t>
            </w:r>
          </w:p>
        </w:tc>
        <w:tc>
          <w:tcPr>
            <w:tcW w:w="260" w:type="dxa"/>
            <w:vAlign w:val="bottom"/>
          </w:tcPr>
          <w:p>
            <w:pPr>
              <w:spacing w:after="0"/>
              <w:rPr>
                <w:sz w:val="18"/>
                <w:szCs w:val="18"/>
                <w:color w:val="auto"/>
              </w:rPr>
            </w:pPr>
          </w:p>
        </w:tc>
        <w:tc>
          <w:tcPr>
            <w:tcW w:w="800" w:type="dxa"/>
            <w:vAlign w:val="bottom"/>
          </w:tcPr>
          <w:p>
            <w:pPr>
              <w:jc w:val="right"/>
              <w:ind w:right="69"/>
              <w:spacing w:after="0"/>
              <w:rPr>
                <w:sz w:val="20"/>
                <w:szCs w:val="20"/>
                <w:color w:val="auto"/>
              </w:rPr>
            </w:pPr>
            <w:r>
              <w:rPr>
                <w:rFonts w:ascii="Arial" w:cs="Arial" w:eastAsia="Arial" w:hAnsi="Arial"/>
                <w:sz w:val="14"/>
                <w:szCs w:val="14"/>
                <w:color w:val="auto"/>
              </w:rPr>
              <w:t>22</w:t>
            </w:r>
          </w:p>
        </w:tc>
        <w:tc>
          <w:tcPr>
            <w:tcW w:w="2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22</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jc w:val="right"/>
              <w:ind w:right="69"/>
              <w:spacing w:after="0"/>
              <w:rPr>
                <w:sz w:val="20"/>
                <w:szCs w:val="20"/>
                <w:color w:val="auto"/>
              </w:rPr>
            </w:pPr>
            <w:r>
              <w:rPr>
                <w:rFonts w:ascii="Arial" w:cs="Arial" w:eastAsia="Arial" w:hAnsi="Arial"/>
                <w:sz w:val="14"/>
                <w:szCs w:val="14"/>
                <w:color w:val="auto"/>
              </w:rPr>
              <w:t>5</w:t>
            </w:r>
          </w:p>
        </w:tc>
        <w:tc>
          <w:tcPr>
            <w:tcW w:w="400" w:type="dxa"/>
            <w:vAlign w:val="bottom"/>
          </w:tcPr>
          <w:p>
            <w:pPr>
              <w:spacing w:after="0"/>
              <w:rPr>
                <w:sz w:val="18"/>
                <w:szCs w:val="18"/>
                <w:color w:val="auto"/>
              </w:rPr>
            </w:pPr>
          </w:p>
        </w:tc>
        <w:tc>
          <w:tcPr>
            <w:tcW w:w="700" w:type="dxa"/>
            <w:vAlign w:val="bottom"/>
          </w:tcPr>
          <w:p>
            <w:pPr>
              <w:jc w:val="right"/>
              <w:ind w:right="88"/>
              <w:spacing w:after="0"/>
              <w:rPr>
                <w:sz w:val="20"/>
                <w:szCs w:val="20"/>
                <w:color w:val="auto"/>
              </w:rPr>
            </w:pPr>
            <w:r>
              <w:rPr>
                <w:rFonts w:ascii="Arial" w:cs="Arial" w:eastAsia="Arial" w:hAnsi="Arial"/>
                <w:sz w:val="14"/>
                <w:szCs w:val="14"/>
                <w:color w:val="auto"/>
              </w:rPr>
              <w:t>5</w:t>
            </w:r>
          </w:p>
        </w:tc>
      </w:tr>
      <w:tr>
        <w:trPr>
          <w:trHeight w:val="216"/>
        </w:trPr>
        <w:tc>
          <w:tcPr>
            <w:tcW w:w="3440" w:type="dxa"/>
            <w:vAlign w:val="bottom"/>
          </w:tcPr>
          <w:p>
            <w:pPr>
              <w:ind w:left="20"/>
              <w:spacing w:after="0"/>
              <w:rPr>
                <w:sz w:val="20"/>
                <w:szCs w:val="20"/>
                <w:color w:val="auto"/>
              </w:rPr>
            </w:pPr>
            <w:r>
              <w:rPr>
                <w:rFonts w:ascii="Arial" w:cs="Arial" w:eastAsia="Arial" w:hAnsi="Arial"/>
                <w:sz w:val="14"/>
                <w:szCs w:val="14"/>
                <w:color w:val="auto"/>
              </w:rPr>
              <w:t>Interest cost</w:t>
            </w:r>
          </w:p>
        </w:tc>
        <w:tc>
          <w:tcPr>
            <w:tcW w:w="260" w:type="dxa"/>
            <w:vAlign w:val="bottom"/>
          </w:tcPr>
          <w:p>
            <w:pPr>
              <w:spacing w:after="0"/>
              <w:rPr>
                <w:sz w:val="18"/>
                <w:szCs w:val="18"/>
                <w:color w:val="auto"/>
              </w:rPr>
            </w:pPr>
          </w:p>
        </w:tc>
        <w:tc>
          <w:tcPr>
            <w:tcW w:w="800" w:type="dxa"/>
            <w:vAlign w:val="bottom"/>
          </w:tcPr>
          <w:p>
            <w:pPr>
              <w:jc w:val="right"/>
              <w:ind w:right="69"/>
              <w:spacing w:after="0"/>
              <w:rPr>
                <w:sz w:val="20"/>
                <w:szCs w:val="20"/>
                <w:color w:val="auto"/>
              </w:rPr>
            </w:pPr>
            <w:r>
              <w:rPr>
                <w:rFonts w:ascii="Arial" w:cs="Arial" w:eastAsia="Arial" w:hAnsi="Arial"/>
                <w:sz w:val="14"/>
                <w:szCs w:val="14"/>
                <w:color w:val="auto"/>
              </w:rPr>
              <w:t>47</w:t>
            </w:r>
          </w:p>
        </w:tc>
        <w:tc>
          <w:tcPr>
            <w:tcW w:w="2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47</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jc w:val="right"/>
              <w:ind w:right="69"/>
              <w:spacing w:after="0"/>
              <w:rPr>
                <w:sz w:val="20"/>
                <w:szCs w:val="20"/>
                <w:color w:val="auto"/>
              </w:rPr>
            </w:pPr>
            <w:r>
              <w:rPr>
                <w:rFonts w:ascii="Arial" w:cs="Arial" w:eastAsia="Arial" w:hAnsi="Arial"/>
                <w:sz w:val="14"/>
                <w:szCs w:val="14"/>
                <w:color w:val="auto"/>
              </w:rPr>
              <w:t>9</w:t>
            </w:r>
          </w:p>
        </w:tc>
        <w:tc>
          <w:tcPr>
            <w:tcW w:w="400" w:type="dxa"/>
            <w:vAlign w:val="bottom"/>
          </w:tcPr>
          <w:p>
            <w:pPr>
              <w:spacing w:after="0"/>
              <w:rPr>
                <w:sz w:val="18"/>
                <w:szCs w:val="18"/>
                <w:color w:val="auto"/>
              </w:rPr>
            </w:pPr>
          </w:p>
        </w:tc>
        <w:tc>
          <w:tcPr>
            <w:tcW w:w="700" w:type="dxa"/>
            <w:vAlign w:val="bottom"/>
          </w:tcPr>
          <w:p>
            <w:pPr>
              <w:jc w:val="right"/>
              <w:ind w:right="88"/>
              <w:spacing w:after="0"/>
              <w:rPr>
                <w:sz w:val="20"/>
                <w:szCs w:val="20"/>
                <w:color w:val="auto"/>
              </w:rPr>
            </w:pPr>
            <w:r>
              <w:rPr>
                <w:rFonts w:ascii="Arial" w:cs="Arial" w:eastAsia="Arial" w:hAnsi="Arial"/>
                <w:sz w:val="14"/>
                <w:szCs w:val="14"/>
                <w:color w:val="auto"/>
              </w:rPr>
              <w:t>8</w:t>
            </w:r>
          </w:p>
        </w:tc>
      </w:tr>
      <w:tr>
        <w:trPr>
          <w:trHeight w:val="216"/>
        </w:trPr>
        <w:tc>
          <w:tcPr>
            <w:tcW w:w="3440" w:type="dxa"/>
            <w:vAlign w:val="bottom"/>
          </w:tcPr>
          <w:p>
            <w:pPr>
              <w:ind w:left="20"/>
              <w:spacing w:after="0"/>
              <w:rPr>
                <w:sz w:val="20"/>
                <w:szCs w:val="20"/>
                <w:color w:val="auto"/>
              </w:rPr>
            </w:pPr>
            <w:r>
              <w:rPr>
                <w:rFonts w:ascii="Arial" w:cs="Arial" w:eastAsia="Arial" w:hAnsi="Arial"/>
                <w:sz w:val="14"/>
                <w:szCs w:val="14"/>
                <w:color w:val="auto"/>
              </w:rPr>
              <w:t>Plan amendments</w:t>
            </w:r>
          </w:p>
        </w:tc>
        <w:tc>
          <w:tcPr>
            <w:tcW w:w="260" w:type="dxa"/>
            <w:vAlign w:val="bottom"/>
          </w:tcPr>
          <w:p>
            <w:pPr>
              <w:spacing w:after="0"/>
              <w:rPr>
                <w:sz w:val="18"/>
                <w:szCs w:val="18"/>
                <w:color w:val="auto"/>
              </w:rPr>
            </w:pPr>
          </w:p>
        </w:tc>
        <w:tc>
          <w:tcPr>
            <w:tcW w:w="80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8"/>
                <w:szCs w:val="18"/>
                <w:color w:val="auto"/>
              </w:rPr>
            </w:pPr>
          </w:p>
        </w:tc>
        <w:tc>
          <w:tcPr>
            <w:tcW w:w="700" w:type="dxa"/>
            <w:vAlign w:val="bottom"/>
          </w:tcPr>
          <w:p>
            <w:pPr>
              <w:jc w:val="right"/>
              <w:ind w:right="88"/>
              <w:spacing w:after="0"/>
              <w:rPr>
                <w:sz w:val="20"/>
                <w:szCs w:val="20"/>
                <w:color w:val="auto"/>
              </w:rPr>
            </w:pPr>
            <w:r>
              <w:rPr>
                <w:rFonts w:ascii="Arial" w:cs="Arial" w:eastAsia="Arial" w:hAnsi="Arial"/>
                <w:sz w:val="14"/>
                <w:szCs w:val="14"/>
                <w:color w:val="auto"/>
              </w:rPr>
              <w:t>3</w:t>
            </w:r>
          </w:p>
        </w:tc>
      </w:tr>
      <w:tr>
        <w:trPr>
          <w:trHeight w:val="216"/>
        </w:trPr>
        <w:tc>
          <w:tcPr>
            <w:tcW w:w="3440" w:type="dxa"/>
            <w:vAlign w:val="bottom"/>
          </w:tcPr>
          <w:p>
            <w:pPr>
              <w:ind w:left="20"/>
              <w:spacing w:after="0"/>
              <w:rPr>
                <w:sz w:val="20"/>
                <w:szCs w:val="20"/>
                <w:color w:val="auto"/>
              </w:rPr>
            </w:pPr>
            <w:r>
              <w:rPr>
                <w:rFonts w:ascii="Arial" w:cs="Arial" w:eastAsia="Arial" w:hAnsi="Arial"/>
                <w:sz w:val="14"/>
                <w:szCs w:val="14"/>
                <w:color w:val="auto"/>
              </w:rPr>
              <w:t>Actuarial loss (gain)</w:t>
            </w:r>
          </w:p>
        </w:tc>
        <w:tc>
          <w:tcPr>
            <w:tcW w:w="2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(7 )</w:t>
            </w:r>
          </w:p>
        </w:tc>
        <w:tc>
          <w:tcPr>
            <w:tcW w:w="28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4"/>
                <w:szCs w:val="14"/>
                <w:color w:val="auto"/>
              </w:rPr>
              <w:t>(29 )</w:t>
            </w:r>
          </w:p>
        </w:tc>
        <w:tc>
          <w:tcPr>
            <w:tcW w:w="320" w:type="dxa"/>
            <w:vAlign w:val="bottom"/>
          </w:tcPr>
          <w:p>
            <w:pPr>
              <w:spacing w:after="0"/>
              <w:rPr>
                <w:sz w:val="18"/>
                <w:szCs w:val="18"/>
                <w:color w:val="auto"/>
              </w:rPr>
            </w:pPr>
          </w:p>
        </w:tc>
        <w:tc>
          <w:tcPr>
            <w:tcW w:w="740" w:type="dxa"/>
            <w:vAlign w:val="bottom"/>
          </w:tcPr>
          <w:p>
            <w:pPr>
              <w:jc w:val="right"/>
              <w:ind w:right="69"/>
              <w:spacing w:after="0"/>
              <w:rPr>
                <w:sz w:val="20"/>
                <w:szCs w:val="20"/>
                <w:color w:val="auto"/>
              </w:rPr>
            </w:pPr>
            <w:r>
              <w:rPr>
                <w:rFonts w:ascii="Arial" w:cs="Arial" w:eastAsia="Arial" w:hAnsi="Arial"/>
                <w:sz w:val="14"/>
                <w:szCs w:val="14"/>
                <w:color w:val="auto"/>
              </w:rPr>
              <w:t>1</w:t>
            </w:r>
          </w:p>
        </w:tc>
        <w:tc>
          <w:tcPr>
            <w:tcW w:w="400" w:type="dxa"/>
            <w:vAlign w:val="bottom"/>
          </w:tcPr>
          <w:p>
            <w:pPr>
              <w:spacing w:after="0"/>
              <w:rPr>
                <w:sz w:val="18"/>
                <w:szCs w:val="18"/>
                <w:color w:val="auto"/>
              </w:rPr>
            </w:pP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(10 )</w:t>
            </w:r>
          </w:p>
        </w:tc>
      </w:tr>
      <w:tr>
        <w:trPr>
          <w:trHeight w:val="216"/>
        </w:trPr>
        <w:tc>
          <w:tcPr>
            <w:tcW w:w="3440" w:type="dxa"/>
            <w:vAlign w:val="bottom"/>
          </w:tcPr>
          <w:p>
            <w:pPr>
              <w:ind w:left="20"/>
              <w:spacing w:after="0"/>
              <w:rPr>
                <w:sz w:val="20"/>
                <w:szCs w:val="20"/>
                <w:color w:val="auto"/>
              </w:rPr>
            </w:pPr>
            <w:r>
              <w:rPr>
                <w:rFonts w:ascii="Arial" w:cs="Arial" w:eastAsia="Arial" w:hAnsi="Arial"/>
                <w:sz w:val="14"/>
                <w:szCs w:val="14"/>
                <w:color w:val="auto"/>
              </w:rPr>
              <w:t>Transfer of liability to Sempra Energy</w:t>
            </w:r>
          </w:p>
        </w:tc>
        <w:tc>
          <w:tcPr>
            <w:tcW w:w="2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(2 )</w:t>
            </w:r>
          </w:p>
        </w:tc>
        <w:tc>
          <w:tcPr>
            <w:tcW w:w="28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4"/>
                <w:szCs w:val="14"/>
                <w:color w:val="auto"/>
              </w:rPr>
              <w:t>(5 )</w:t>
            </w:r>
          </w:p>
        </w:tc>
        <w:tc>
          <w:tcPr>
            <w:tcW w:w="320" w:type="dxa"/>
            <w:vAlign w:val="bottom"/>
          </w:tcPr>
          <w:p>
            <w:pPr>
              <w:spacing w:after="0"/>
              <w:rPr>
                <w:sz w:val="18"/>
                <w:szCs w:val="18"/>
                <w:color w:val="auto"/>
              </w:rPr>
            </w:pPr>
          </w:p>
        </w:tc>
        <w:tc>
          <w:tcPr>
            <w:tcW w:w="74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8"/>
                <w:szCs w:val="18"/>
                <w:color w:val="auto"/>
              </w:rPr>
            </w:pPr>
          </w:p>
        </w:tc>
        <w:tc>
          <w:tcPr>
            <w:tcW w:w="700" w:type="dxa"/>
            <w:vAlign w:val="bottom"/>
          </w:tcPr>
          <w:p>
            <w:pPr>
              <w:jc w:val="right"/>
              <w:ind w:right="88"/>
              <w:spacing w:after="0"/>
              <w:rPr>
                <w:sz w:val="20"/>
                <w:szCs w:val="20"/>
                <w:color w:val="auto"/>
              </w:rPr>
            </w:pPr>
            <w:r>
              <w:rPr>
                <w:rFonts w:ascii="Arial" w:cs="Arial" w:eastAsia="Arial" w:hAnsi="Arial"/>
                <w:sz w:val="14"/>
                <w:szCs w:val="14"/>
                <w:color w:val="auto"/>
              </w:rPr>
              <w:t>--</w:t>
            </w:r>
          </w:p>
        </w:tc>
      </w:tr>
      <w:tr>
        <w:trPr>
          <w:trHeight w:val="216"/>
        </w:trPr>
        <w:tc>
          <w:tcPr>
            <w:tcW w:w="3440" w:type="dxa"/>
            <w:vAlign w:val="bottom"/>
          </w:tcPr>
          <w:p>
            <w:pPr>
              <w:ind w:left="20"/>
              <w:spacing w:after="0"/>
              <w:rPr>
                <w:sz w:val="20"/>
                <w:szCs w:val="20"/>
                <w:color w:val="auto"/>
              </w:rPr>
            </w:pPr>
            <w:r>
              <w:rPr>
                <w:rFonts w:ascii="Arial" w:cs="Arial" w:eastAsia="Arial" w:hAnsi="Arial"/>
                <w:sz w:val="14"/>
                <w:szCs w:val="14"/>
                <w:color w:val="auto"/>
              </w:rPr>
              <w:t>Settlements</w:t>
            </w:r>
          </w:p>
        </w:tc>
        <w:tc>
          <w:tcPr>
            <w:tcW w:w="2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(1 )</w:t>
            </w:r>
          </w:p>
        </w:tc>
        <w:tc>
          <w:tcPr>
            <w:tcW w:w="2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8"/>
                <w:szCs w:val="18"/>
                <w:color w:val="auto"/>
              </w:rPr>
            </w:pPr>
          </w:p>
        </w:tc>
        <w:tc>
          <w:tcPr>
            <w:tcW w:w="700" w:type="dxa"/>
            <w:vAlign w:val="bottom"/>
          </w:tcPr>
          <w:p>
            <w:pPr>
              <w:jc w:val="right"/>
              <w:ind w:right="88"/>
              <w:spacing w:after="0"/>
              <w:rPr>
                <w:sz w:val="20"/>
                <w:szCs w:val="20"/>
                <w:color w:val="auto"/>
              </w:rPr>
            </w:pPr>
            <w:r>
              <w:rPr>
                <w:rFonts w:ascii="Arial" w:cs="Arial" w:eastAsia="Arial" w:hAnsi="Arial"/>
                <w:sz w:val="14"/>
                <w:szCs w:val="14"/>
                <w:color w:val="auto"/>
              </w:rPr>
              <w:t>--</w:t>
            </w:r>
          </w:p>
        </w:tc>
      </w:tr>
      <w:tr>
        <w:trPr>
          <w:trHeight w:val="222"/>
        </w:trPr>
        <w:tc>
          <w:tcPr>
            <w:tcW w:w="3440" w:type="dxa"/>
            <w:vAlign w:val="bottom"/>
          </w:tcPr>
          <w:p>
            <w:pPr>
              <w:ind w:left="20"/>
              <w:spacing w:after="0"/>
              <w:rPr>
                <w:sz w:val="20"/>
                <w:szCs w:val="20"/>
                <w:color w:val="auto"/>
              </w:rPr>
            </w:pPr>
            <w:r>
              <w:rPr>
                <w:rFonts w:ascii="Arial" w:cs="Arial" w:eastAsia="Arial" w:hAnsi="Arial"/>
                <w:sz w:val="14"/>
                <w:szCs w:val="14"/>
                <w:color w:val="auto"/>
              </w:rPr>
              <w:t>Benefit payments</w:t>
            </w:r>
          </w:p>
        </w:tc>
        <w:tc>
          <w:tcPr>
            <w:tcW w:w="2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(48 )</w:t>
            </w:r>
          </w:p>
        </w:tc>
        <w:tc>
          <w:tcPr>
            <w:tcW w:w="2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4"/>
                <w:szCs w:val="14"/>
                <w:color w:val="auto"/>
              </w:rPr>
              <w:t>(75 )</w:t>
            </w:r>
          </w:p>
        </w:tc>
        <w:tc>
          <w:tcPr>
            <w:tcW w:w="3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(6 )</w:t>
            </w:r>
          </w:p>
        </w:tc>
        <w:tc>
          <w:tcPr>
            <w:tcW w:w="4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(6 )</w:t>
            </w:r>
          </w:p>
        </w:tc>
      </w:tr>
      <w:tr>
        <w:trPr>
          <w:trHeight w:val="208"/>
        </w:trPr>
        <w:tc>
          <w:tcPr>
            <w:tcW w:w="3440" w:type="dxa"/>
            <w:vAlign w:val="bottom"/>
          </w:tcPr>
          <w:p>
            <w:pPr>
              <w:ind w:left="20"/>
              <w:spacing w:after="0"/>
              <w:rPr>
                <w:sz w:val="20"/>
                <w:szCs w:val="20"/>
                <w:color w:val="auto"/>
              </w:rPr>
            </w:pPr>
            <w:r>
              <w:rPr>
                <w:rFonts w:ascii="Arial" w:cs="Arial" w:eastAsia="Arial" w:hAnsi="Arial"/>
                <w:sz w:val="14"/>
                <w:szCs w:val="14"/>
                <w:color w:val="auto"/>
              </w:rPr>
              <w:t>Net obligation at December 31</w:t>
            </w:r>
          </w:p>
        </w:tc>
        <w:tc>
          <w:tcPr>
            <w:tcW w:w="2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814</w:t>
            </w:r>
          </w:p>
        </w:tc>
        <w:tc>
          <w:tcPr>
            <w:tcW w:w="2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803</w:t>
            </w:r>
          </w:p>
        </w:tc>
        <w:tc>
          <w:tcPr>
            <w:tcW w:w="14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148</w:t>
            </w:r>
          </w:p>
        </w:tc>
        <w:tc>
          <w:tcPr>
            <w:tcW w:w="4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139</w:t>
            </w:r>
          </w:p>
        </w:tc>
      </w:tr>
      <w:tr>
        <w:trPr>
          <w:trHeight w:val="418"/>
        </w:trPr>
        <w:tc>
          <w:tcPr>
            <w:tcW w:w="3440" w:type="dxa"/>
            <w:vAlign w:val="bottom"/>
          </w:tcPr>
          <w:p>
            <w:pPr>
              <w:ind w:left="20"/>
              <w:spacing w:after="0"/>
              <w:rPr>
                <w:sz w:val="20"/>
                <w:szCs w:val="20"/>
                <w:color w:val="auto"/>
              </w:rPr>
            </w:pPr>
            <w:r>
              <w:rPr>
                <w:rFonts w:ascii="Arial" w:cs="Arial" w:eastAsia="Arial" w:hAnsi="Arial"/>
                <w:sz w:val="14"/>
                <w:szCs w:val="14"/>
                <w:color w:val="auto"/>
              </w:rPr>
              <w:t>CHANGE IN PLAN ASSETS:</w:t>
            </w: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216"/>
        </w:trPr>
        <w:tc>
          <w:tcPr>
            <w:tcW w:w="3440" w:type="dxa"/>
            <w:vAlign w:val="bottom"/>
          </w:tcPr>
          <w:p>
            <w:pPr>
              <w:ind w:left="20"/>
              <w:spacing w:after="0"/>
              <w:rPr>
                <w:sz w:val="20"/>
                <w:szCs w:val="20"/>
                <w:color w:val="auto"/>
              </w:rPr>
            </w:pPr>
            <w:r>
              <w:rPr>
                <w:rFonts w:ascii="Arial" w:cs="Arial" w:eastAsia="Arial" w:hAnsi="Arial"/>
                <w:sz w:val="14"/>
                <w:szCs w:val="14"/>
                <w:color w:val="auto"/>
              </w:rPr>
              <w:t>Fair value of plan assets at January 1</w:t>
            </w:r>
          </w:p>
        </w:tc>
        <w:tc>
          <w:tcPr>
            <w:tcW w:w="260" w:type="dxa"/>
            <w:vAlign w:val="bottom"/>
          </w:tcPr>
          <w:p>
            <w:pPr>
              <w:spacing w:after="0"/>
              <w:rPr>
                <w:sz w:val="18"/>
                <w:szCs w:val="18"/>
                <w:color w:val="auto"/>
              </w:rPr>
            </w:pPr>
          </w:p>
        </w:tc>
        <w:tc>
          <w:tcPr>
            <w:tcW w:w="800" w:type="dxa"/>
            <w:vAlign w:val="bottom"/>
          </w:tcPr>
          <w:p>
            <w:pPr>
              <w:jc w:val="right"/>
              <w:ind w:right="69"/>
              <w:spacing w:after="0"/>
              <w:rPr>
                <w:sz w:val="20"/>
                <w:szCs w:val="20"/>
                <w:color w:val="auto"/>
              </w:rPr>
            </w:pPr>
            <w:r>
              <w:rPr>
                <w:rFonts w:ascii="Arial" w:cs="Arial" w:eastAsia="Arial" w:hAnsi="Arial"/>
                <w:sz w:val="14"/>
                <w:szCs w:val="14"/>
                <w:color w:val="auto"/>
              </w:rPr>
              <w:t>684</w:t>
            </w:r>
          </w:p>
        </w:tc>
        <w:tc>
          <w:tcPr>
            <w:tcW w:w="2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679</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jc w:val="right"/>
              <w:ind w:right="69"/>
              <w:spacing w:after="0"/>
              <w:rPr>
                <w:sz w:val="20"/>
                <w:szCs w:val="20"/>
                <w:color w:val="auto"/>
              </w:rPr>
            </w:pPr>
            <w:r>
              <w:rPr>
                <w:rFonts w:ascii="Arial" w:cs="Arial" w:eastAsia="Arial" w:hAnsi="Arial"/>
                <w:sz w:val="14"/>
                <w:szCs w:val="14"/>
                <w:color w:val="auto"/>
              </w:rPr>
              <w:t>67</w:t>
            </w:r>
          </w:p>
        </w:tc>
        <w:tc>
          <w:tcPr>
            <w:tcW w:w="400" w:type="dxa"/>
            <w:vAlign w:val="bottom"/>
          </w:tcPr>
          <w:p>
            <w:pPr>
              <w:spacing w:after="0"/>
              <w:rPr>
                <w:sz w:val="18"/>
                <w:szCs w:val="18"/>
                <w:color w:val="auto"/>
              </w:rPr>
            </w:pPr>
          </w:p>
        </w:tc>
        <w:tc>
          <w:tcPr>
            <w:tcW w:w="700" w:type="dxa"/>
            <w:vAlign w:val="bottom"/>
          </w:tcPr>
          <w:p>
            <w:pPr>
              <w:jc w:val="right"/>
              <w:ind w:right="88"/>
              <w:spacing w:after="0"/>
              <w:rPr>
                <w:sz w:val="20"/>
                <w:szCs w:val="20"/>
                <w:color w:val="auto"/>
              </w:rPr>
            </w:pPr>
            <w:r>
              <w:rPr>
                <w:rFonts w:ascii="Arial" w:cs="Arial" w:eastAsia="Arial" w:hAnsi="Arial"/>
                <w:sz w:val="14"/>
                <w:szCs w:val="14"/>
                <w:color w:val="auto"/>
              </w:rPr>
              <w:t>52</w:t>
            </w:r>
          </w:p>
        </w:tc>
      </w:tr>
      <w:tr>
        <w:trPr>
          <w:trHeight w:val="216"/>
        </w:trPr>
        <w:tc>
          <w:tcPr>
            <w:tcW w:w="3440" w:type="dxa"/>
            <w:vAlign w:val="bottom"/>
          </w:tcPr>
          <w:p>
            <w:pPr>
              <w:ind w:left="20"/>
              <w:spacing w:after="0"/>
              <w:rPr>
                <w:sz w:val="20"/>
                <w:szCs w:val="20"/>
                <w:color w:val="auto"/>
              </w:rPr>
            </w:pPr>
            <w:r>
              <w:rPr>
                <w:rFonts w:ascii="Arial" w:cs="Arial" w:eastAsia="Arial" w:hAnsi="Arial"/>
                <w:sz w:val="14"/>
                <w:szCs w:val="14"/>
                <w:color w:val="auto"/>
              </w:rPr>
              <w:t>Actual return on plan assets</w:t>
            </w:r>
          </w:p>
        </w:tc>
        <w:tc>
          <w:tcPr>
            <w:tcW w:w="2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(191 )</w:t>
            </w:r>
          </w:p>
        </w:tc>
        <w:tc>
          <w:tcPr>
            <w:tcW w:w="2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56</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(16 )</w:t>
            </w:r>
          </w:p>
        </w:tc>
        <w:tc>
          <w:tcPr>
            <w:tcW w:w="400" w:type="dxa"/>
            <w:vAlign w:val="bottom"/>
          </w:tcPr>
          <w:p>
            <w:pPr>
              <w:spacing w:after="0"/>
              <w:rPr>
                <w:sz w:val="18"/>
                <w:szCs w:val="18"/>
                <w:color w:val="auto"/>
              </w:rPr>
            </w:pPr>
          </w:p>
        </w:tc>
        <w:tc>
          <w:tcPr>
            <w:tcW w:w="700" w:type="dxa"/>
            <w:vAlign w:val="bottom"/>
          </w:tcPr>
          <w:p>
            <w:pPr>
              <w:jc w:val="right"/>
              <w:ind w:right="88"/>
              <w:spacing w:after="0"/>
              <w:rPr>
                <w:sz w:val="20"/>
                <w:szCs w:val="20"/>
                <w:color w:val="auto"/>
              </w:rPr>
            </w:pPr>
            <w:r>
              <w:rPr>
                <w:rFonts w:ascii="Arial" w:cs="Arial" w:eastAsia="Arial" w:hAnsi="Arial"/>
                <w:sz w:val="14"/>
                <w:szCs w:val="14"/>
                <w:color w:val="auto"/>
              </w:rPr>
              <w:t>3</w:t>
            </w:r>
          </w:p>
        </w:tc>
      </w:tr>
      <w:tr>
        <w:trPr>
          <w:trHeight w:val="216"/>
        </w:trPr>
        <w:tc>
          <w:tcPr>
            <w:tcW w:w="3440" w:type="dxa"/>
            <w:vAlign w:val="bottom"/>
          </w:tcPr>
          <w:p>
            <w:pPr>
              <w:ind w:left="20"/>
              <w:spacing w:after="0"/>
              <w:rPr>
                <w:sz w:val="20"/>
                <w:szCs w:val="20"/>
                <w:color w:val="auto"/>
              </w:rPr>
            </w:pPr>
            <w:r>
              <w:rPr>
                <w:rFonts w:ascii="Arial" w:cs="Arial" w:eastAsia="Arial" w:hAnsi="Arial"/>
                <w:sz w:val="14"/>
                <w:szCs w:val="14"/>
                <w:color w:val="auto"/>
              </w:rPr>
              <w:t>Employer contributions</w:t>
            </w:r>
          </w:p>
        </w:tc>
        <w:tc>
          <w:tcPr>
            <w:tcW w:w="260" w:type="dxa"/>
            <w:vAlign w:val="bottom"/>
          </w:tcPr>
          <w:p>
            <w:pPr>
              <w:spacing w:after="0"/>
              <w:rPr>
                <w:sz w:val="18"/>
                <w:szCs w:val="18"/>
                <w:color w:val="auto"/>
              </w:rPr>
            </w:pPr>
          </w:p>
        </w:tc>
        <w:tc>
          <w:tcPr>
            <w:tcW w:w="800" w:type="dxa"/>
            <w:vAlign w:val="bottom"/>
          </w:tcPr>
          <w:p>
            <w:pPr>
              <w:jc w:val="right"/>
              <w:ind w:right="69"/>
              <w:spacing w:after="0"/>
              <w:rPr>
                <w:sz w:val="20"/>
                <w:szCs w:val="20"/>
                <w:color w:val="auto"/>
              </w:rPr>
            </w:pPr>
            <w:r>
              <w:rPr>
                <w:rFonts w:ascii="Arial" w:cs="Arial" w:eastAsia="Arial" w:hAnsi="Arial"/>
                <w:sz w:val="14"/>
                <w:szCs w:val="14"/>
                <w:color w:val="auto"/>
              </w:rPr>
              <w:t>38</w:t>
            </w:r>
          </w:p>
        </w:tc>
        <w:tc>
          <w:tcPr>
            <w:tcW w:w="2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27</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jc w:val="right"/>
              <w:ind w:right="69"/>
              <w:spacing w:after="0"/>
              <w:rPr>
                <w:sz w:val="20"/>
                <w:szCs w:val="20"/>
                <w:color w:val="auto"/>
              </w:rPr>
            </w:pPr>
            <w:r>
              <w:rPr>
                <w:rFonts w:ascii="Arial" w:cs="Arial" w:eastAsia="Arial" w:hAnsi="Arial"/>
                <w:sz w:val="14"/>
                <w:szCs w:val="14"/>
                <w:color w:val="auto"/>
              </w:rPr>
              <w:t>16</w:t>
            </w:r>
          </w:p>
        </w:tc>
        <w:tc>
          <w:tcPr>
            <w:tcW w:w="400" w:type="dxa"/>
            <w:vAlign w:val="bottom"/>
          </w:tcPr>
          <w:p>
            <w:pPr>
              <w:spacing w:after="0"/>
              <w:rPr>
                <w:sz w:val="18"/>
                <w:szCs w:val="18"/>
                <w:color w:val="auto"/>
              </w:rPr>
            </w:pPr>
          </w:p>
        </w:tc>
        <w:tc>
          <w:tcPr>
            <w:tcW w:w="700" w:type="dxa"/>
            <w:vAlign w:val="bottom"/>
          </w:tcPr>
          <w:p>
            <w:pPr>
              <w:jc w:val="right"/>
              <w:ind w:right="88"/>
              <w:spacing w:after="0"/>
              <w:rPr>
                <w:sz w:val="20"/>
                <w:szCs w:val="20"/>
                <w:color w:val="auto"/>
              </w:rPr>
            </w:pPr>
            <w:r>
              <w:rPr>
                <w:rFonts w:ascii="Arial" w:cs="Arial" w:eastAsia="Arial" w:hAnsi="Arial"/>
                <w:sz w:val="14"/>
                <w:szCs w:val="14"/>
                <w:color w:val="auto"/>
              </w:rPr>
              <w:t>15</w:t>
            </w:r>
          </w:p>
        </w:tc>
      </w:tr>
      <w:tr>
        <w:trPr>
          <w:trHeight w:val="216"/>
        </w:trPr>
        <w:tc>
          <w:tcPr>
            <w:tcW w:w="3440" w:type="dxa"/>
            <w:vAlign w:val="bottom"/>
          </w:tcPr>
          <w:p>
            <w:pPr>
              <w:ind w:left="20"/>
              <w:spacing w:after="0"/>
              <w:rPr>
                <w:sz w:val="20"/>
                <w:szCs w:val="20"/>
                <w:color w:val="auto"/>
              </w:rPr>
            </w:pPr>
            <w:r>
              <w:rPr>
                <w:rFonts w:ascii="Arial" w:cs="Arial" w:eastAsia="Arial" w:hAnsi="Arial"/>
                <w:sz w:val="14"/>
                <w:szCs w:val="14"/>
                <w:color w:val="auto"/>
              </w:rPr>
              <w:t>Settlements</w:t>
            </w:r>
          </w:p>
        </w:tc>
        <w:tc>
          <w:tcPr>
            <w:tcW w:w="2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(1 )</w:t>
            </w:r>
          </w:p>
        </w:tc>
        <w:tc>
          <w:tcPr>
            <w:tcW w:w="2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8"/>
                <w:szCs w:val="18"/>
                <w:color w:val="auto"/>
              </w:rPr>
            </w:pPr>
          </w:p>
        </w:tc>
        <w:tc>
          <w:tcPr>
            <w:tcW w:w="700" w:type="dxa"/>
            <w:vAlign w:val="bottom"/>
          </w:tcPr>
          <w:p>
            <w:pPr>
              <w:jc w:val="right"/>
              <w:ind w:right="88"/>
              <w:spacing w:after="0"/>
              <w:rPr>
                <w:sz w:val="20"/>
                <w:szCs w:val="20"/>
                <w:color w:val="auto"/>
              </w:rPr>
            </w:pPr>
            <w:r>
              <w:rPr>
                <w:rFonts w:ascii="Arial" w:cs="Arial" w:eastAsia="Arial" w:hAnsi="Arial"/>
                <w:sz w:val="14"/>
                <w:szCs w:val="14"/>
                <w:color w:val="auto"/>
              </w:rPr>
              <w:t>--</w:t>
            </w:r>
          </w:p>
        </w:tc>
      </w:tr>
      <w:tr>
        <w:trPr>
          <w:trHeight w:val="216"/>
        </w:trPr>
        <w:tc>
          <w:tcPr>
            <w:tcW w:w="3440" w:type="dxa"/>
            <w:vAlign w:val="bottom"/>
          </w:tcPr>
          <w:p>
            <w:pPr>
              <w:ind w:left="20"/>
              <w:spacing w:after="0"/>
              <w:rPr>
                <w:sz w:val="20"/>
                <w:szCs w:val="20"/>
                <w:color w:val="auto"/>
              </w:rPr>
            </w:pPr>
            <w:r>
              <w:rPr>
                <w:rFonts w:ascii="Arial" w:cs="Arial" w:eastAsia="Arial" w:hAnsi="Arial"/>
                <w:sz w:val="14"/>
                <w:szCs w:val="14"/>
                <w:color w:val="auto"/>
              </w:rPr>
              <w:t>Transfer of assets to Sempra Energy</w:t>
            </w:r>
          </w:p>
        </w:tc>
        <w:tc>
          <w:tcPr>
            <w:tcW w:w="2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(2 )</w:t>
            </w:r>
          </w:p>
        </w:tc>
        <w:tc>
          <w:tcPr>
            <w:tcW w:w="28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4"/>
                <w:szCs w:val="14"/>
                <w:color w:val="auto"/>
              </w:rPr>
              <w:t>(3 )</w:t>
            </w:r>
          </w:p>
        </w:tc>
        <w:tc>
          <w:tcPr>
            <w:tcW w:w="320" w:type="dxa"/>
            <w:vAlign w:val="bottom"/>
          </w:tcPr>
          <w:p>
            <w:pPr>
              <w:spacing w:after="0"/>
              <w:rPr>
                <w:sz w:val="18"/>
                <w:szCs w:val="18"/>
                <w:color w:val="auto"/>
              </w:rPr>
            </w:pPr>
          </w:p>
        </w:tc>
        <w:tc>
          <w:tcPr>
            <w:tcW w:w="74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8"/>
                <w:szCs w:val="18"/>
                <w:color w:val="auto"/>
              </w:rPr>
            </w:pPr>
          </w:p>
        </w:tc>
        <w:tc>
          <w:tcPr>
            <w:tcW w:w="700" w:type="dxa"/>
            <w:vAlign w:val="bottom"/>
          </w:tcPr>
          <w:p>
            <w:pPr>
              <w:jc w:val="right"/>
              <w:ind w:right="88"/>
              <w:spacing w:after="0"/>
              <w:rPr>
                <w:sz w:val="20"/>
                <w:szCs w:val="20"/>
                <w:color w:val="auto"/>
              </w:rPr>
            </w:pPr>
            <w:r>
              <w:rPr>
                <w:rFonts w:ascii="Arial" w:cs="Arial" w:eastAsia="Arial" w:hAnsi="Arial"/>
                <w:sz w:val="14"/>
                <w:szCs w:val="14"/>
                <w:color w:val="auto"/>
              </w:rPr>
              <w:t>--</w:t>
            </w:r>
          </w:p>
        </w:tc>
      </w:tr>
      <w:tr>
        <w:trPr>
          <w:trHeight w:val="216"/>
        </w:trPr>
        <w:tc>
          <w:tcPr>
            <w:tcW w:w="3440" w:type="dxa"/>
            <w:vAlign w:val="bottom"/>
          </w:tcPr>
          <w:p>
            <w:pPr>
              <w:ind w:left="20"/>
              <w:spacing w:after="0"/>
              <w:rPr>
                <w:sz w:val="20"/>
                <w:szCs w:val="20"/>
                <w:color w:val="auto"/>
              </w:rPr>
            </w:pPr>
            <w:r>
              <w:rPr>
                <w:rFonts w:ascii="Arial" w:cs="Arial" w:eastAsia="Arial" w:hAnsi="Arial"/>
                <w:sz w:val="14"/>
                <w:szCs w:val="14"/>
                <w:color w:val="auto"/>
              </w:rPr>
              <w:t>Other transfers</w:t>
            </w:r>
          </w:p>
        </w:tc>
        <w:tc>
          <w:tcPr>
            <w:tcW w:w="260" w:type="dxa"/>
            <w:vAlign w:val="bottom"/>
          </w:tcPr>
          <w:p>
            <w:pPr>
              <w:spacing w:after="0"/>
              <w:rPr>
                <w:sz w:val="18"/>
                <w:szCs w:val="18"/>
                <w:color w:val="auto"/>
              </w:rPr>
            </w:pPr>
          </w:p>
        </w:tc>
        <w:tc>
          <w:tcPr>
            <w:tcW w:w="80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8"/>
                <w:szCs w:val="18"/>
                <w:color w:val="auto"/>
              </w:rPr>
            </w:pPr>
          </w:p>
        </w:tc>
        <w:tc>
          <w:tcPr>
            <w:tcW w:w="700" w:type="dxa"/>
            <w:vAlign w:val="bottom"/>
          </w:tcPr>
          <w:p>
            <w:pPr>
              <w:jc w:val="right"/>
              <w:ind w:right="88"/>
              <w:spacing w:after="0"/>
              <w:rPr>
                <w:sz w:val="20"/>
                <w:szCs w:val="20"/>
                <w:color w:val="auto"/>
              </w:rPr>
            </w:pPr>
            <w:r>
              <w:rPr>
                <w:rFonts w:ascii="Arial" w:cs="Arial" w:eastAsia="Arial" w:hAnsi="Arial"/>
                <w:sz w:val="14"/>
                <w:szCs w:val="14"/>
                <w:color w:val="auto"/>
              </w:rPr>
              <w:t>3</w:t>
            </w:r>
          </w:p>
        </w:tc>
      </w:tr>
      <w:tr>
        <w:trPr>
          <w:trHeight w:val="222"/>
        </w:trPr>
        <w:tc>
          <w:tcPr>
            <w:tcW w:w="3440" w:type="dxa"/>
            <w:vAlign w:val="bottom"/>
          </w:tcPr>
          <w:p>
            <w:pPr>
              <w:ind w:left="20"/>
              <w:spacing w:after="0"/>
              <w:rPr>
                <w:sz w:val="20"/>
                <w:szCs w:val="20"/>
                <w:color w:val="auto"/>
              </w:rPr>
            </w:pPr>
            <w:r>
              <w:rPr>
                <w:rFonts w:ascii="Arial" w:cs="Arial" w:eastAsia="Arial" w:hAnsi="Arial"/>
                <w:sz w:val="14"/>
                <w:szCs w:val="14"/>
                <w:color w:val="auto"/>
              </w:rPr>
              <w:t>Benefit payments</w:t>
            </w:r>
          </w:p>
        </w:tc>
        <w:tc>
          <w:tcPr>
            <w:tcW w:w="2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(48 )</w:t>
            </w:r>
          </w:p>
        </w:tc>
        <w:tc>
          <w:tcPr>
            <w:tcW w:w="2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4"/>
                <w:szCs w:val="14"/>
                <w:color w:val="auto"/>
              </w:rPr>
              <w:t>(75 )</w:t>
            </w:r>
          </w:p>
        </w:tc>
        <w:tc>
          <w:tcPr>
            <w:tcW w:w="3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(6 )</w:t>
            </w:r>
          </w:p>
        </w:tc>
        <w:tc>
          <w:tcPr>
            <w:tcW w:w="4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(6 )</w:t>
            </w:r>
          </w:p>
        </w:tc>
      </w:tr>
      <w:tr>
        <w:trPr>
          <w:trHeight w:val="208"/>
        </w:trPr>
        <w:tc>
          <w:tcPr>
            <w:tcW w:w="3440" w:type="dxa"/>
            <w:vAlign w:val="bottom"/>
          </w:tcPr>
          <w:p>
            <w:pPr>
              <w:ind w:left="20"/>
              <w:spacing w:after="0"/>
              <w:rPr>
                <w:sz w:val="20"/>
                <w:szCs w:val="20"/>
                <w:color w:val="auto"/>
              </w:rPr>
            </w:pPr>
            <w:r>
              <w:rPr>
                <w:rFonts w:ascii="Arial" w:cs="Arial" w:eastAsia="Arial" w:hAnsi="Arial"/>
                <w:sz w:val="14"/>
                <w:szCs w:val="14"/>
                <w:color w:val="auto"/>
              </w:rPr>
              <w:t>Fair value of plan assets at December 31</w:t>
            </w:r>
          </w:p>
        </w:tc>
        <w:tc>
          <w:tcPr>
            <w:tcW w:w="2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480</w:t>
            </w:r>
          </w:p>
        </w:tc>
        <w:tc>
          <w:tcPr>
            <w:tcW w:w="2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684</w:t>
            </w:r>
          </w:p>
        </w:tc>
        <w:tc>
          <w:tcPr>
            <w:tcW w:w="14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61</w:t>
            </w:r>
          </w:p>
        </w:tc>
        <w:tc>
          <w:tcPr>
            <w:tcW w:w="4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67</w:t>
            </w:r>
          </w:p>
        </w:tc>
      </w:tr>
      <w:tr>
        <w:trPr>
          <w:trHeight w:val="416"/>
        </w:trPr>
        <w:tc>
          <w:tcPr>
            <w:tcW w:w="3440" w:type="dxa"/>
            <w:vAlign w:val="bottom"/>
          </w:tcPr>
          <w:p>
            <w:pPr>
              <w:ind w:left="20"/>
              <w:spacing w:after="0"/>
              <w:rPr>
                <w:sz w:val="20"/>
                <w:szCs w:val="20"/>
                <w:color w:val="auto"/>
              </w:rPr>
            </w:pPr>
            <w:r>
              <w:rPr>
                <w:rFonts w:ascii="Arial" w:cs="Arial" w:eastAsia="Arial" w:hAnsi="Arial"/>
                <w:sz w:val="14"/>
                <w:szCs w:val="14"/>
                <w:color w:val="auto"/>
              </w:rPr>
              <w:t>Funded status at December 31</w:t>
            </w: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(334 )</w:t>
            </w:r>
          </w:p>
        </w:tc>
        <w:tc>
          <w:tcPr>
            <w:tcW w:w="2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4"/>
                <w:szCs w:val="14"/>
                <w:color w:val="auto"/>
              </w:rPr>
              <w:t>(119 )</w:t>
            </w:r>
          </w:p>
        </w:tc>
        <w:tc>
          <w:tcPr>
            <w:tcW w:w="3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(87 )</w:t>
            </w:r>
          </w:p>
        </w:tc>
        <w:tc>
          <w:tcPr>
            <w:tcW w:w="40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(72 )</w:t>
            </w:r>
          </w:p>
        </w:tc>
      </w:tr>
      <w:tr>
        <w:trPr>
          <w:trHeight w:val="208"/>
        </w:trPr>
        <w:tc>
          <w:tcPr>
            <w:tcW w:w="34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Net recorded liability at December 31</w:t>
            </w: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(334 )</w:t>
            </w:r>
          </w:p>
        </w:tc>
        <w:tc>
          <w:tcPr>
            <w:tcW w:w="2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4"/>
                <w:szCs w:val="14"/>
                <w:color w:val="auto"/>
              </w:rPr>
              <w:t>(119 )</w:t>
            </w:r>
          </w:p>
        </w:tc>
        <w:tc>
          <w:tcPr>
            <w:tcW w:w="3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(87 )</w:t>
            </w:r>
          </w:p>
        </w:tc>
        <w:tc>
          <w:tcPr>
            <w:tcW w:w="40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(72 )</w:t>
            </w:r>
          </w:p>
        </w:tc>
      </w:tr>
      <w:tr>
        <w:trPr>
          <w:trHeight w:val="216"/>
        </w:trPr>
        <w:tc>
          <w:tcPr>
            <w:tcW w:w="5920" w:type="dxa"/>
            <w:vAlign w:val="bottom"/>
            <w:tcBorders>
              <w:bottom w:val="single" w:sz="8" w:color="auto"/>
            </w:tcBorders>
            <w:gridSpan w:val="7"/>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r>
      <w:tr>
        <w:trPr>
          <w:trHeight w:val="182"/>
        </w:trPr>
        <w:tc>
          <w:tcPr>
            <w:tcW w:w="5920" w:type="dxa"/>
            <w:vAlign w:val="bottom"/>
            <w:gridSpan w:val="7"/>
            <w:shd w:val="clear" w:color="auto" w:fill="D9D9D9"/>
          </w:tcPr>
          <w:p>
            <w:pPr>
              <w:ind w:left="20"/>
              <w:spacing w:after="0"/>
              <w:rPr>
                <w:sz w:val="20"/>
                <w:szCs w:val="20"/>
                <w:color w:val="auto"/>
              </w:rPr>
            </w:pPr>
            <w:r>
              <w:rPr>
                <w:rFonts w:ascii="Arial" w:cs="Arial" w:eastAsia="Arial" w:hAnsi="Arial"/>
                <w:sz w:val="14"/>
                <w:szCs w:val="14"/>
                <w:b w:val="1"/>
                <w:bCs w:val="1"/>
                <w:color w:val="auto"/>
              </w:rPr>
              <w:t>PROJECTED BENEFIT OBLIGATION, FAIR VALUE OF ASSETS AND FUNDED STATUS</w:t>
            </w:r>
          </w:p>
        </w:tc>
        <w:tc>
          <w:tcPr>
            <w:tcW w:w="740" w:type="dxa"/>
            <w:vAlign w:val="bottom"/>
            <w:shd w:val="clear" w:color="auto" w:fill="D9D9D9"/>
          </w:tcPr>
          <w:p>
            <w:pPr>
              <w:spacing w:after="0"/>
              <w:rPr>
                <w:sz w:val="15"/>
                <w:szCs w:val="15"/>
                <w:color w:val="auto"/>
              </w:rPr>
            </w:pPr>
          </w:p>
        </w:tc>
        <w:tc>
          <w:tcPr>
            <w:tcW w:w="400" w:type="dxa"/>
            <w:vAlign w:val="bottom"/>
            <w:shd w:val="clear" w:color="auto" w:fill="D9D9D9"/>
          </w:tcPr>
          <w:p>
            <w:pPr>
              <w:spacing w:after="0"/>
              <w:rPr>
                <w:sz w:val="15"/>
                <w:szCs w:val="15"/>
                <w:color w:val="auto"/>
              </w:rPr>
            </w:pPr>
          </w:p>
        </w:tc>
        <w:tc>
          <w:tcPr>
            <w:tcW w:w="700" w:type="dxa"/>
            <w:vAlign w:val="bottom"/>
            <w:shd w:val="clear" w:color="auto" w:fill="D9D9D9"/>
          </w:tcPr>
          <w:p>
            <w:pPr>
              <w:spacing w:after="0"/>
              <w:rPr>
                <w:sz w:val="15"/>
                <w:szCs w:val="15"/>
                <w:color w:val="auto"/>
              </w:rPr>
            </w:pPr>
          </w:p>
        </w:tc>
      </w:tr>
      <w:tr>
        <w:trPr>
          <w:trHeight w:val="218"/>
        </w:trPr>
        <w:tc>
          <w:tcPr>
            <w:tcW w:w="3440" w:type="dxa"/>
            <w:vAlign w:val="bottom"/>
            <w:shd w:val="clear" w:color="auto" w:fill="D9D9D9"/>
          </w:tcPr>
          <w:p>
            <w:pPr>
              <w:ind w:left="20"/>
              <w:spacing w:after="0"/>
              <w:rPr>
                <w:sz w:val="20"/>
                <w:szCs w:val="20"/>
                <w:color w:val="auto"/>
              </w:rPr>
            </w:pPr>
            <w:r>
              <w:rPr>
                <w:rFonts w:ascii="Arial" w:cs="Arial" w:eastAsia="Arial" w:hAnsi="Arial"/>
                <w:sz w:val="13"/>
                <w:szCs w:val="13"/>
                <w:i w:val="1"/>
                <w:iCs w:val="1"/>
                <w:color w:val="auto"/>
              </w:rPr>
              <w:t>(Dollars in millions)</w:t>
            </w:r>
          </w:p>
        </w:tc>
        <w:tc>
          <w:tcPr>
            <w:tcW w:w="260" w:type="dxa"/>
            <w:vAlign w:val="bottom"/>
            <w:shd w:val="clear" w:color="auto" w:fill="D9D9D9"/>
          </w:tcPr>
          <w:p>
            <w:pPr>
              <w:spacing w:after="0"/>
              <w:rPr>
                <w:sz w:val="18"/>
                <w:szCs w:val="18"/>
                <w:color w:val="auto"/>
              </w:rPr>
            </w:pPr>
          </w:p>
        </w:tc>
        <w:tc>
          <w:tcPr>
            <w:tcW w:w="800" w:type="dxa"/>
            <w:vAlign w:val="bottom"/>
            <w:shd w:val="clear" w:color="auto" w:fill="D9D9D9"/>
          </w:tcPr>
          <w:p>
            <w:pPr>
              <w:spacing w:after="0"/>
              <w:rPr>
                <w:sz w:val="18"/>
                <w:szCs w:val="18"/>
                <w:color w:val="auto"/>
              </w:rPr>
            </w:pPr>
          </w:p>
        </w:tc>
        <w:tc>
          <w:tcPr>
            <w:tcW w:w="280" w:type="dxa"/>
            <w:vAlign w:val="bottom"/>
            <w:shd w:val="clear" w:color="auto" w:fill="D9D9D9"/>
          </w:tcPr>
          <w:p>
            <w:pPr>
              <w:spacing w:after="0"/>
              <w:rPr>
                <w:sz w:val="18"/>
                <w:szCs w:val="18"/>
                <w:color w:val="auto"/>
              </w:rPr>
            </w:pPr>
          </w:p>
        </w:tc>
        <w:tc>
          <w:tcPr>
            <w:tcW w:w="680" w:type="dxa"/>
            <w:vAlign w:val="bottom"/>
            <w:shd w:val="clear" w:color="auto" w:fill="D9D9D9"/>
          </w:tcPr>
          <w:p>
            <w:pPr>
              <w:spacing w:after="0"/>
              <w:rPr>
                <w:sz w:val="18"/>
                <w:szCs w:val="18"/>
                <w:color w:val="auto"/>
              </w:rPr>
            </w:pPr>
          </w:p>
        </w:tc>
        <w:tc>
          <w:tcPr>
            <w:tcW w:w="140" w:type="dxa"/>
            <w:vAlign w:val="bottom"/>
            <w:shd w:val="clear" w:color="auto" w:fill="D9D9D9"/>
          </w:tcPr>
          <w:p>
            <w:pPr>
              <w:spacing w:after="0"/>
              <w:rPr>
                <w:sz w:val="18"/>
                <w:szCs w:val="18"/>
                <w:color w:val="auto"/>
              </w:rPr>
            </w:pPr>
          </w:p>
        </w:tc>
        <w:tc>
          <w:tcPr>
            <w:tcW w:w="320" w:type="dxa"/>
            <w:vAlign w:val="bottom"/>
            <w:shd w:val="clear" w:color="auto" w:fill="D9D9D9"/>
          </w:tcPr>
          <w:p>
            <w:pPr>
              <w:spacing w:after="0"/>
              <w:rPr>
                <w:sz w:val="18"/>
                <w:szCs w:val="18"/>
                <w:color w:val="auto"/>
              </w:rPr>
            </w:pPr>
          </w:p>
        </w:tc>
        <w:tc>
          <w:tcPr>
            <w:tcW w:w="740" w:type="dxa"/>
            <w:vAlign w:val="bottom"/>
            <w:shd w:val="clear" w:color="auto" w:fill="D9D9D9"/>
          </w:tcPr>
          <w:p>
            <w:pPr>
              <w:spacing w:after="0"/>
              <w:rPr>
                <w:sz w:val="18"/>
                <w:szCs w:val="18"/>
                <w:color w:val="auto"/>
              </w:rPr>
            </w:pPr>
          </w:p>
        </w:tc>
        <w:tc>
          <w:tcPr>
            <w:tcW w:w="400" w:type="dxa"/>
            <w:vAlign w:val="bottom"/>
            <w:shd w:val="clear" w:color="auto" w:fill="D9D9D9"/>
          </w:tcPr>
          <w:p>
            <w:pPr>
              <w:spacing w:after="0"/>
              <w:rPr>
                <w:sz w:val="18"/>
                <w:szCs w:val="18"/>
                <w:color w:val="auto"/>
              </w:rPr>
            </w:pPr>
          </w:p>
        </w:tc>
        <w:tc>
          <w:tcPr>
            <w:tcW w:w="700" w:type="dxa"/>
            <w:vAlign w:val="bottom"/>
            <w:shd w:val="clear" w:color="auto" w:fill="D9D9D9"/>
          </w:tcPr>
          <w:p>
            <w:pPr>
              <w:spacing w:after="0"/>
              <w:rPr>
                <w:sz w:val="18"/>
                <w:szCs w:val="18"/>
                <w:color w:val="auto"/>
              </w:rPr>
            </w:pPr>
          </w:p>
        </w:tc>
      </w:tr>
      <w:tr>
        <w:trPr>
          <w:trHeight w:val="170"/>
        </w:trPr>
        <w:tc>
          <w:tcPr>
            <w:tcW w:w="3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40" w:type="dxa"/>
            <w:vAlign w:val="bottom"/>
            <w:gridSpan w:val="2"/>
          </w:tcPr>
          <w:p>
            <w:pPr>
              <w:jc w:val="center"/>
              <w:ind w:left="149"/>
              <w:spacing w:after="0"/>
              <w:rPr>
                <w:sz w:val="20"/>
                <w:szCs w:val="20"/>
                <w:color w:val="auto"/>
              </w:rPr>
            </w:pPr>
            <w:r>
              <w:rPr>
                <w:rFonts w:ascii="Arial" w:cs="Arial" w:eastAsia="Arial" w:hAnsi="Arial"/>
                <w:sz w:val="13"/>
                <w:szCs w:val="13"/>
                <w:color w:val="auto"/>
                <w:w w:val="98"/>
              </w:rPr>
              <w:t>Other</w:t>
            </w:r>
          </w:p>
        </w:tc>
        <w:tc>
          <w:tcPr>
            <w:tcW w:w="700" w:type="dxa"/>
            <w:vAlign w:val="bottom"/>
          </w:tcPr>
          <w:p>
            <w:pPr>
              <w:spacing w:after="0"/>
              <w:rPr>
                <w:sz w:val="14"/>
                <w:szCs w:val="14"/>
                <w:color w:val="auto"/>
              </w:rPr>
            </w:pPr>
          </w:p>
        </w:tc>
      </w:tr>
      <w:tr>
        <w:trPr>
          <w:trHeight w:val="156"/>
        </w:trPr>
        <w:tc>
          <w:tcPr>
            <w:tcW w:w="34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40" w:type="dxa"/>
            <w:vAlign w:val="bottom"/>
            <w:gridSpan w:val="2"/>
          </w:tcPr>
          <w:p>
            <w:pPr>
              <w:jc w:val="center"/>
              <w:ind w:left="169"/>
              <w:spacing w:after="0"/>
              <w:rPr>
                <w:sz w:val="20"/>
                <w:szCs w:val="20"/>
                <w:color w:val="auto"/>
              </w:rPr>
            </w:pPr>
            <w:r>
              <w:rPr>
                <w:rFonts w:ascii="Arial" w:cs="Arial" w:eastAsia="Arial" w:hAnsi="Arial"/>
                <w:sz w:val="13"/>
                <w:szCs w:val="13"/>
                <w:color w:val="auto"/>
                <w:w w:val="96"/>
              </w:rPr>
              <w:t>Postretirement</w:t>
            </w:r>
          </w:p>
        </w:tc>
        <w:tc>
          <w:tcPr>
            <w:tcW w:w="700" w:type="dxa"/>
            <w:vAlign w:val="bottom"/>
          </w:tcPr>
          <w:p>
            <w:pPr>
              <w:spacing w:after="0"/>
              <w:rPr>
                <w:sz w:val="13"/>
                <w:szCs w:val="13"/>
                <w:color w:val="auto"/>
              </w:rPr>
            </w:pPr>
          </w:p>
        </w:tc>
      </w:tr>
      <w:tr>
        <w:trPr>
          <w:trHeight w:val="158"/>
        </w:trPr>
        <w:tc>
          <w:tcPr>
            <w:tcW w:w="34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900" w:type="dxa"/>
            <w:vAlign w:val="bottom"/>
            <w:gridSpan w:val="4"/>
          </w:tcPr>
          <w:p>
            <w:pPr>
              <w:jc w:val="right"/>
              <w:ind w:right="680"/>
              <w:spacing w:after="0"/>
              <w:rPr>
                <w:sz w:val="20"/>
                <w:szCs w:val="20"/>
                <w:color w:val="auto"/>
              </w:rPr>
            </w:pPr>
            <w:r>
              <w:rPr>
                <w:rFonts w:ascii="Arial" w:cs="Arial" w:eastAsia="Arial" w:hAnsi="Arial"/>
                <w:sz w:val="13"/>
                <w:szCs w:val="13"/>
                <w:color w:val="auto"/>
              </w:rPr>
              <w:t>Pension Benefits</w:t>
            </w:r>
          </w:p>
        </w:tc>
        <w:tc>
          <w:tcPr>
            <w:tcW w:w="320" w:type="dxa"/>
            <w:vAlign w:val="bottom"/>
          </w:tcPr>
          <w:p>
            <w:pPr>
              <w:spacing w:after="0"/>
              <w:rPr>
                <w:sz w:val="13"/>
                <w:szCs w:val="13"/>
                <w:color w:val="auto"/>
              </w:rPr>
            </w:pPr>
          </w:p>
        </w:tc>
        <w:tc>
          <w:tcPr>
            <w:tcW w:w="1140" w:type="dxa"/>
            <w:vAlign w:val="bottom"/>
            <w:gridSpan w:val="2"/>
          </w:tcPr>
          <w:p>
            <w:pPr>
              <w:jc w:val="center"/>
              <w:ind w:left="169"/>
              <w:spacing w:after="0"/>
              <w:rPr>
                <w:sz w:val="20"/>
                <w:szCs w:val="20"/>
                <w:color w:val="auto"/>
              </w:rPr>
            </w:pPr>
            <w:r>
              <w:rPr>
                <w:rFonts w:ascii="Arial" w:cs="Arial" w:eastAsia="Arial" w:hAnsi="Arial"/>
                <w:sz w:val="13"/>
                <w:szCs w:val="13"/>
                <w:color w:val="auto"/>
                <w:w w:val="97"/>
              </w:rPr>
              <w:t>Benefits</w:t>
            </w:r>
          </w:p>
        </w:tc>
        <w:tc>
          <w:tcPr>
            <w:tcW w:w="700" w:type="dxa"/>
            <w:vAlign w:val="bottom"/>
          </w:tcPr>
          <w:p>
            <w:pPr>
              <w:spacing w:after="0"/>
              <w:rPr>
                <w:sz w:val="13"/>
                <w:szCs w:val="13"/>
                <w:color w:val="auto"/>
              </w:rPr>
            </w:pPr>
          </w:p>
        </w:tc>
      </w:tr>
      <w:tr>
        <w:trPr>
          <w:trHeight w:val="213"/>
        </w:trPr>
        <w:tc>
          <w:tcPr>
            <w:tcW w:w="34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SoCalGas</w:t>
            </w:r>
          </w:p>
        </w:tc>
        <w:tc>
          <w:tcPr>
            <w:tcW w:w="26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ind w:right="309"/>
              <w:spacing w:after="0"/>
              <w:rPr>
                <w:sz w:val="20"/>
                <w:szCs w:val="20"/>
                <w:color w:val="auto"/>
              </w:rPr>
            </w:pPr>
            <w:r>
              <w:rPr>
                <w:rFonts w:ascii="Arial" w:cs="Arial" w:eastAsia="Arial" w:hAnsi="Arial"/>
                <w:sz w:val="13"/>
                <w:szCs w:val="13"/>
                <w:color w:val="auto"/>
              </w:rPr>
              <w:t>2008</w:t>
            </w:r>
          </w:p>
        </w:tc>
        <w:tc>
          <w:tcPr>
            <w:tcW w:w="28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ind w:right="188"/>
              <w:spacing w:after="0"/>
              <w:rPr>
                <w:sz w:val="20"/>
                <w:szCs w:val="20"/>
                <w:color w:val="auto"/>
              </w:rPr>
            </w:pPr>
            <w:r>
              <w:rPr>
                <w:rFonts w:ascii="Arial" w:cs="Arial" w:eastAsia="Arial" w:hAnsi="Arial"/>
                <w:sz w:val="13"/>
                <w:szCs w:val="13"/>
                <w:color w:val="auto"/>
              </w:rPr>
              <w:t>2007</w:t>
            </w:r>
          </w:p>
        </w:tc>
        <w:tc>
          <w:tcPr>
            <w:tcW w:w="140" w:type="dxa"/>
            <w:vAlign w:val="bottom"/>
            <w:tcBorders>
              <w:bottom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ind w:right="309"/>
              <w:spacing w:after="0"/>
              <w:rPr>
                <w:sz w:val="20"/>
                <w:szCs w:val="20"/>
                <w:color w:val="auto"/>
              </w:rPr>
            </w:pPr>
            <w:r>
              <w:rPr>
                <w:rFonts w:ascii="Arial" w:cs="Arial" w:eastAsia="Arial" w:hAnsi="Arial"/>
                <w:sz w:val="13"/>
                <w:szCs w:val="13"/>
                <w:color w:val="auto"/>
              </w:rPr>
              <w:t>2008</w:t>
            </w:r>
          </w:p>
        </w:tc>
        <w:tc>
          <w:tcPr>
            <w:tcW w:w="40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ind w:right="328"/>
              <w:spacing w:after="0"/>
              <w:rPr>
                <w:sz w:val="20"/>
                <w:szCs w:val="20"/>
                <w:color w:val="auto"/>
              </w:rPr>
            </w:pPr>
            <w:r>
              <w:rPr>
                <w:rFonts w:ascii="Arial" w:cs="Arial" w:eastAsia="Arial" w:hAnsi="Arial"/>
                <w:sz w:val="13"/>
                <w:szCs w:val="13"/>
                <w:color w:val="auto"/>
                <w:w w:val="96"/>
              </w:rPr>
              <w:t>2007</w:t>
            </w:r>
          </w:p>
        </w:tc>
      </w:tr>
      <w:tr>
        <w:trPr>
          <w:trHeight w:val="205"/>
        </w:trPr>
        <w:tc>
          <w:tcPr>
            <w:tcW w:w="3440" w:type="dxa"/>
            <w:vAlign w:val="bottom"/>
          </w:tcPr>
          <w:p>
            <w:pPr>
              <w:ind w:left="20"/>
              <w:spacing w:after="0"/>
              <w:rPr>
                <w:sz w:val="20"/>
                <w:szCs w:val="20"/>
                <w:color w:val="auto"/>
              </w:rPr>
            </w:pPr>
            <w:r>
              <w:rPr>
                <w:rFonts w:ascii="Arial" w:cs="Arial" w:eastAsia="Arial" w:hAnsi="Arial"/>
                <w:sz w:val="14"/>
                <w:szCs w:val="14"/>
                <w:color w:val="auto"/>
              </w:rPr>
              <w:t>CHANGE IN PROJECTED BENEFIT OBLIGATION:</w:t>
            </w: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216"/>
        </w:trPr>
        <w:tc>
          <w:tcPr>
            <w:tcW w:w="3440" w:type="dxa"/>
            <w:vAlign w:val="bottom"/>
          </w:tcPr>
          <w:p>
            <w:pPr>
              <w:ind w:left="20"/>
              <w:spacing w:after="0"/>
              <w:rPr>
                <w:sz w:val="20"/>
                <w:szCs w:val="20"/>
                <w:color w:val="auto"/>
              </w:rPr>
            </w:pPr>
            <w:r>
              <w:rPr>
                <w:rFonts w:ascii="Arial" w:cs="Arial" w:eastAsia="Arial" w:hAnsi="Arial"/>
                <w:sz w:val="14"/>
                <w:szCs w:val="14"/>
                <w:color w:val="auto"/>
              </w:rPr>
              <w:t>Net obligation at January 1</w:t>
            </w:r>
          </w:p>
        </w:tc>
        <w:tc>
          <w:tcPr>
            <w:tcW w:w="2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69"/>
              <w:spacing w:after="0"/>
              <w:rPr>
                <w:sz w:val="20"/>
                <w:szCs w:val="20"/>
                <w:color w:val="auto"/>
              </w:rPr>
            </w:pPr>
            <w:r>
              <w:rPr>
                <w:rFonts w:ascii="Arial" w:cs="Arial" w:eastAsia="Arial" w:hAnsi="Arial"/>
                <w:sz w:val="14"/>
                <w:szCs w:val="14"/>
                <w:color w:val="auto"/>
              </w:rPr>
              <w:t>1,624</w:t>
            </w:r>
          </w:p>
        </w:tc>
        <w:tc>
          <w:tcPr>
            <w:tcW w:w="2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1,692</w:t>
            </w:r>
          </w:p>
        </w:tc>
        <w:tc>
          <w:tcPr>
            <w:tcW w:w="140" w:type="dxa"/>
            <w:vAlign w:val="bottom"/>
          </w:tcPr>
          <w:p>
            <w:pPr>
              <w:spacing w:after="0"/>
              <w:rPr>
                <w:sz w:val="18"/>
                <w:szCs w:val="18"/>
                <w:color w:val="auto"/>
              </w:rPr>
            </w:pPr>
          </w:p>
        </w:tc>
        <w:tc>
          <w:tcPr>
            <w:tcW w:w="32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69"/>
              <w:spacing w:after="0"/>
              <w:rPr>
                <w:sz w:val="20"/>
                <w:szCs w:val="20"/>
                <w:color w:val="auto"/>
              </w:rPr>
            </w:pPr>
            <w:r>
              <w:rPr>
                <w:rFonts w:ascii="Arial" w:cs="Arial" w:eastAsia="Arial" w:hAnsi="Arial"/>
                <w:sz w:val="14"/>
                <w:szCs w:val="14"/>
                <w:color w:val="auto"/>
              </w:rPr>
              <w:t>694</w:t>
            </w:r>
          </w:p>
        </w:tc>
        <w:tc>
          <w:tcPr>
            <w:tcW w:w="40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88"/>
              <w:spacing w:after="0"/>
              <w:rPr>
                <w:sz w:val="20"/>
                <w:szCs w:val="20"/>
                <w:color w:val="auto"/>
              </w:rPr>
            </w:pPr>
            <w:r>
              <w:rPr>
                <w:rFonts w:ascii="Arial" w:cs="Arial" w:eastAsia="Arial" w:hAnsi="Arial"/>
                <w:sz w:val="14"/>
                <w:szCs w:val="14"/>
                <w:color w:val="auto"/>
              </w:rPr>
              <w:t>776</w:t>
            </w:r>
          </w:p>
        </w:tc>
      </w:tr>
      <w:tr>
        <w:trPr>
          <w:trHeight w:val="216"/>
        </w:trPr>
        <w:tc>
          <w:tcPr>
            <w:tcW w:w="3440" w:type="dxa"/>
            <w:vAlign w:val="bottom"/>
          </w:tcPr>
          <w:p>
            <w:pPr>
              <w:ind w:left="20"/>
              <w:spacing w:after="0"/>
              <w:rPr>
                <w:sz w:val="20"/>
                <w:szCs w:val="20"/>
                <w:color w:val="auto"/>
              </w:rPr>
            </w:pPr>
            <w:r>
              <w:rPr>
                <w:rFonts w:ascii="Arial" w:cs="Arial" w:eastAsia="Arial" w:hAnsi="Arial"/>
                <w:sz w:val="14"/>
                <w:szCs w:val="14"/>
                <w:color w:val="auto"/>
              </w:rPr>
              <w:t>Service cost</w:t>
            </w:r>
          </w:p>
        </w:tc>
        <w:tc>
          <w:tcPr>
            <w:tcW w:w="260" w:type="dxa"/>
            <w:vAlign w:val="bottom"/>
          </w:tcPr>
          <w:p>
            <w:pPr>
              <w:spacing w:after="0"/>
              <w:rPr>
                <w:sz w:val="18"/>
                <w:szCs w:val="18"/>
                <w:color w:val="auto"/>
              </w:rPr>
            </w:pPr>
          </w:p>
        </w:tc>
        <w:tc>
          <w:tcPr>
            <w:tcW w:w="800" w:type="dxa"/>
            <w:vAlign w:val="bottom"/>
          </w:tcPr>
          <w:p>
            <w:pPr>
              <w:jc w:val="right"/>
              <w:ind w:right="69"/>
              <w:spacing w:after="0"/>
              <w:rPr>
                <w:sz w:val="20"/>
                <w:szCs w:val="20"/>
                <w:color w:val="auto"/>
              </w:rPr>
            </w:pPr>
            <w:r>
              <w:rPr>
                <w:rFonts w:ascii="Arial" w:cs="Arial" w:eastAsia="Arial" w:hAnsi="Arial"/>
                <w:sz w:val="14"/>
                <w:szCs w:val="14"/>
                <w:color w:val="auto"/>
              </w:rPr>
              <w:t>40</w:t>
            </w:r>
          </w:p>
        </w:tc>
        <w:tc>
          <w:tcPr>
            <w:tcW w:w="2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41</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jc w:val="right"/>
              <w:ind w:right="69"/>
              <w:spacing w:after="0"/>
              <w:rPr>
                <w:sz w:val="20"/>
                <w:szCs w:val="20"/>
                <w:color w:val="auto"/>
              </w:rPr>
            </w:pPr>
            <w:r>
              <w:rPr>
                <w:rFonts w:ascii="Arial" w:cs="Arial" w:eastAsia="Arial" w:hAnsi="Arial"/>
                <w:sz w:val="14"/>
                <w:szCs w:val="14"/>
                <w:color w:val="auto"/>
              </w:rPr>
              <w:t>17</w:t>
            </w:r>
          </w:p>
        </w:tc>
        <w:tc>
          <w:tcPr>
            <w:tcW w:w="400" w:type="dxa"/>
            <w:vAlign w:val="bottom"/>
          </w:tcPr>
          <w:p>
            <w:pPr>
              <w:spacing w:after="0"/>
              <w:rPr>
                <w:sz w:val="18"/>
                <w:szCs w:val="18"/>
                <w:color w:val="auto"/>
              </w:rPr>
            </w:pPr>
          </w:p>
        </w:tc>
        <w:tc>
          <w:tcPr>
            <w:tcW w:w="700" w:type="dxa"/>
            <w:vAlign w:val="bottom"/>
          </w:tcPr>
          <w:p>
            <w:pPr>
              <w:jc w:val="right"/>
              <w:ind w:right="88"/>
              <w:spacing w:after="0"/>
              <w:rPr>
                <w:sz w:val="20"/>
                <w:szCs w:val="20"/>
                <w:color w:val="auto"/>
              </w:rPr>
            </w:pPr>
            <w:r>
              <w:rPr>
                <w:rFonts w:ascii="Arial" w:cs="Arial" w:eastAsia="Arial" w:hAnsi="Arial"/>
                <w:sz w:val="14"/>
                <w:szCs w:val="14"/>
                <w:color w:val="auto"/>
              </w:rPr>
              <w:t>19</w:t>
            </w:r>
          </w:p>
        </w:tc>
      </w:tr>
      <w:tr>
        <w:trPr>
          <w:trHeight w:val="216"/>
        </w:trPr>
        <w:tc>
          <w:tcPr>
            <w:tcW w:w="3440" w:type="dxa"/>
            <w:vAlign w:val="bottom"/>
          </w:tcPr>
          <w:p>
            <w:pPr>
              <w:ind w:left="20"/>
              <w:spacing w:after="0"/>
              <w:rPr>
                <w:sz w:val="20"/>
                <w:szCs w:val="20"/>
                <w:color w:val="auto"/>
              </w:rPr>
            </w:pPr>
            <w:r>
              <w:rPr>
                <w:rFonts w:ascii="Arial" w:cs="Arial" w:eastAsia="Arial" w:hAnsi="Arial"/>
                <w:sz w:val="14"/>
                <w:szCs w:val="14"/>
                <w:color w:val="auto"/>
              </w:rPr>
              <w:t>Interest cost</w:t>
            </w:r>
          </w:p>
        </w:tc>
        <w:tc>
          <w:tcPr>
            <w:tcW w:w="260" w:type="dxa"/>
            <w:vAlign w:val="bottom"/>
          </w:tcPr>
          <w:p>
            <w:pPr>
              <w:spacing w:after="0"/>
              <w:rPr>
                <w:sz w:val="18"/>
                <w:szCs w:val="18"/>
                <w:color w:val="auto"/>
              </w:rPr>
            </w:pPr>
          </w:p>
        </w:tc>
        <w:tc>
          <w:tcPr>
            <w:tcW w:w="800" w:type="dxa"/>
            <w:vAlign w:val="bottom"/>
          </w:tcPr>
          <w:p>
            <w:pPr>
              <w:jc w:val="right"/>
              <w:ind w:right="69"/>
              <w:spacing w:after="0"/>
              <w:rPr>
                <w:sz w:val="20"/>
                <w:szCs w:val="20"/>
                <w:color w:val="auto"/>
              </w:rPr>
            </w:pPr>
            <w:r>
              <w:rPr>
                <w:rFonts w:ascii="Arial" w:cs="Arial" w:eastAsia="Arial" w:hAnsi="Arial"/>
                <w:sz w:val="14"/>
                <w:szCs w:val="14"/>
                <w:color w:val="auto"/>
              </w:rPr>
              <w:t>97</w:t>
            </w:r>
          </w:p>
        </w:tc>
        <w:tc>
          <w:tcPr>
            <w:tcW w:w="2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95</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jc w:val="right"/>
              <w:ind w:right="69"/>
              <w:spacing w:after="0"/>
              <w:rPr>
                <w:sz w:val="20"/>
                <w:szCs w:val="20"/>
                <w:color w:val="auto"/>
              </w:rPr>
            </w:pPr>
            <w:r>
              <w:rPr>
                <w:rFonts w:ascii="Arial" w:cs="Arial" w:eastAsia="Arial" w:hAnsi="Arial"/>
                <w:sz w:val="14"/>
                <w:szCs w:val="14"/>
                <w:color w:val="auto"/>
              </w:rPr>
              <w:t>42</w:t>
            </w:r>
          </w:p>
        </w:tc>
        <w:tc>
          <w:tcPr>
            <w:tcW w:w="400" w:type="dxa"/>
            <w:vAlign w:val="bottom"/>
          </w:tcPr>
          <w:p>
            <w:pPr>
              <w:spacing w:after="0"/>
              <w:rPr>
                <w:sz w:val="18"/>
                <w:szCs w:val="18"/>
                <w:color w:val="auto"/>
              </w:rPr>
            </w:pPr>
          </w:p>
        </w:tc>
        <w:tc>
          <w:tcPr>
            <w:tcW w:w="700" w:type="dxa"/>
            <w:vAlign w:val="bottom"/>
          </w:tcPr>
          <w:p>
            <w:pPr>
              <w:jc w:val="right"/>
              <w:ind w:right="88"/>
              <w:spacing w:after="0"/>
              <w:rPr>
                <w:sz w:val="20"/>
                <w:szCs w:val="20"/>
                <w:color w:val="auto"/>
              </w:rPr>
            </w:pPr>
            <w:r>
              <w:rPr>
                <w:rFonts w:ascii="Arial" w:cs="Arial" w:eastAsia="Arial" w:hAnsi="Arial"/>
                <w:sz w:val="14"/>
                <w:szCs w:val="14"/>
                <w:color w:val="auto"/>
              </w:rPr>
              <w:t>44</w:t>
            </w:r>
          </w:p>
        </w:tc>
      </w:tr>
      <w:tr>
        <w:trPr>
          <w:trHeight w:val="216"/>
        </w:trPr>
        <w:tc>
          <w:tcPr>
            <w:tcW w:w="3440" w:type="dxa"/>
            <w:vAlign w:val="bottom"/>
          </w:tcPr>
          <w:p>
            <w:pPr>
              <w:ind w:left="20"/>
              <w:spacing w:after="0"/>
              <w:rPr>
                <w:sz w:val="20"/>
                <w:szCs w:val="20"/>
                <w:color w:val="auto"/>
              </w:rPr>
            </w:pPr>
            <w:r>
              <w:rPr>
                <w:rFonts w:ascii="Arial" w:cs="Arial" w:eastAsia="Arial" w:hAnsi="Arial"/>
                <w:sz w:val="14"/>
                <w:szCs w:val="14"/>
                <w:color w:val="auto"/>
              </w:rPr>
              <w:t>Plan amendments</w:t>
            </w:r>
          </w:p>
        </w:tc>
        <w:tc>
          <w:tcPr>
            <w:tcW w:w="260" w:type="dxa"/>
            <w:vAlign w:val="bottom"/>
          </w:tcPr>
          <w:p>
            <w:pPr>
              <w:spacing w:after="0"/>
              <w:rPr>
                <w:sz w:val="18"/>
                <w:szCs w:val="18"/>
                <w:color w:val="auto"/>
              </w:rPr>
            </w:pPr>
          </w:p>
        </w:tc>
        <w:tc>
          <w:tcPr>
            <w:tcW w:w="80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8"/>
                <w:szCs w:val="18"/>
                <w:color w:val="auto"/>
              </w:rPr>
            </w:pPr>
          </w:p>
        </w:tc>
        <w:tc>
          <w:tcPr>
            <w:tcW w:w="700" w:type="dxa"/>
            <w:vAlign w:val="bottom"/>
          </w:tcPr>
          <w:p>
            <w:pPr>
              <w:jc w:val="right"/>
              <w:ind w:right="88"/>
              <w:spacing w:after="0"/>
              <w:rPr>
                <w:sz w:val="20"/>
                <w:szCs w:val="20"/>
                <w:color w:val="auto"/>
              </w:rPr>
            </w:pPr>
            <w:r>
              <w:rPr>
                <w:rFonts w:ascii="Arial" w:cs="Arial" w:eastAsia="Arial" w:hAnsi="Arial"/>
                <w:sz w:val="14"/>
                <w:szCs w:val="14"/>
                <w:color w:val="auto"/>
              </w:rPr>
              <w:t>18</w:t>
            </w:r>
          </w:p>
        </w:tc>
      </w:tr>
      <w:tr>
        <w:trPr>
          <w:trHeight w:val="216"/>
        </w:trPr>
        <w:tc>
          <w:tcPr>
            <w:tcW w:w="3440" w:type="dxa"/>
            <w:vAlign w:val="bottom"/>
          </w:tcPr>
          <w:p>
            <w:pPr>
              <w:ind w:left="20"/>
              <w:spacing w:after="0"/>
              <w:rPr>
                <w:sz w:val="20"/>
                <w:szCs w:val="20"/>
                <w:color w:val="auto"/>
              </w:rPr>
            </w:pPr>
            <w:r>
              <w:rPr>
                <w:rFonts w:ascii="Arial" w:cs="Arial" w:eastAsia="Arial" w:hAnsi="Arial"/>
                <w:sz w:val="14"/>
                <w:szCs w:val="14"/>
                <w:color w:val="auto"/>
              </w:rPr>
              <w:t>Actuarial loss (gain)</w:t>
            </w:r>
          </w:p>
        </w:tc>
        <w:tc>
          <w:tcPr>
            <w:tcW w:w="260" w:type="dxa"/>
            <w:vAlign w:val="bottom"/>
          </w:tcPr>
          <w:p>
            <w:pPr>
              <w:spacing w:after="0"/>
              <w:rPr>
                <w:sz w:val="18"/>
                <w:szCs w:val="18"/>
                <w:color w:val="auto"/>
              </w:rPr>
            </w:pPr>
          </w:p>
        </w:tc>
        <w:tc>
          <w:tcPr>
            <w:tcW w:w="800" w:type="dxa"/>
            <w:vAlign w:val="bottom"/>
          </w:tcPr>
          <w:p>
            <w:pPr>
              <w:jc w:val="right"/>
              <w:ind w:right="69"/>
              <w:spacing w:after="0"/>
              <w:rPr>
                <w:sz w:val="20"/>
                <w:szCs w:val="20"/>
                <w:color w:val="auto"/>
              </w:rPr>
            </w:pPr>
            <w:r>
              <w:rPr>
                <w:rFonts w:ascii="Arial" w:cs="Arial" w:eastAsia="Arial" w:hAnsi="Arial"/>
                <w:sz w:val="14"/>
                <w:szCs w:val="14"/>
                <w:color w:val="auto"/>
              </w:rPr>
              <w:t>7</w:t>
            </w:r>
          </w:p>
        </w:tc>
        <w:tc>
          <w:tcPr>
            <w:tcW w:w="28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4"/>
                <w:szCs w:val="14"/>
                <w:color w:val="auto"/>
              </w:rPr>
              <w:t>(51 )</w:t>
            </w:r>
          </w:p>
        </w:tc>
        <w:tc>
          <w:tcPr>
            <w:tcW w:w="320" w:type="dxa"/>
            <w:vAlign w:val="bottom"/>
          </w:tcPr>
          <w:p>
            <w:pPr>
              <w:spacing w:after="0"/>
              <w:rPr>
                <w:sz w:val="18"/>
                <w:szCs w:val="18"/>
                <w:color w:val="auto"/>
              </w:rPr>
            </w:pPr>
          </w:p>
        </w:tc>
        <w:tc>
          <w:tcPr>
            <w:tcW w:w="740" w:type="dxa"/>
            <w:vAlign w:val="bottom"/>
          </w:tcPr>
          <w:p>
            <w:pPr>
              <w:jc w:val="right"/>
              <w:ind w:right="69"/>
              <w:spacing w:after="0"/>
              <w:rPr>
                <w:sz w:val="20"/>
                <w:szCs w:val="20"/>
                <w:color w:val="auto"/>
              </w:rPr>
            </w:pPr>
            <w:r>
              <w:rPr>
                <w:rFonts w:ascii="Arial" w:cs="Arial" w:eastAsia="Arial" w:hAnsi="Arial"/>
                <w:sz w:val="14"/>
                <w:szCs w:val="14"/>
                <w:color w:val="auto"/>
              </w:rPr>
              <w:t>33</w:t>
            </w:r>
          </w:p>
        </w:tc>
        <w:tc>
          <w:tcPr>
            <w:tcW w:w="400" w:type="dxa"/>
            <w:vAlign w:val="bottom"/>
          </w:tcPr>
          <w:p>
            <w:pPr>
              <w:spacing w:after="0"/>
              <w:rPr>
                <w:sz w:val="18"/>
                <w:szCs w:val="18"/>
                <w:color w:val="auto"/>
              </w:rPr>
            </w:pP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(127 )</w:t>
            </w:r>
          </w:p>
        </w:tc>
      </w:tr>
      <w:tr>
        <w:trPr>
          <w:trHeight w:val="216"/>
        </w:trPr>
        <w:tc>
          <w:tcPr>
            <w:tcW w:w="3440" w:type="dxa"/>
            <w:vAlign w:val="bottom"/>
          </w:tcPr>
          <w:p>
            <w:pPr>
              <w:ind w:left="20"/>
              <w:spacing w:after="0"/>
              <w:rPr>
                <w:sz w:val="20"/>
                <w:szCs w:val="20"/>
                <w:color w:val="auto"/>
              </w:rPr>
            </w:pPr>
            <w:r>
              <w:rPr>
                <w:rFonts w:ascii="Arial" w:cs="Arial" w:eastAsia="Arial" w:hAnsi="Arial"/>
                <w:sz w:val="14"/>
                <w:szCs w:val="14"/>
                <w:color w:val="auto"/>
              </w:rPr>
              <w:t>Benefit payments</w:t>
            </w:r>
          </w:p>
        </w:tc>
        <w:tc>
          <w:tcPr>
            <w:tcW w:w="2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(115 )</w:t>
            </w:r>
          </w:p>
        </w:tc>
        <w:tc>
          <w:tcPr>
            <w:tcW w:w="28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4"/>
                <w:szCs w:val="14"/>
                <w:color w:val="auto"/>
              </w:rPr>
              <w:t>(154 )</w:t>
            </w:r>
          </w:p>
        </w:tc>
        <w:tc>
          <w:tcPr>
            <w:tcW w:w="3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(40 )</w:t>
            </w:r>
          </w:p>
        </w:tc>
        <w:tc>
          <w:tcPr>
            <w:tcW w:w="400" w:type="dxa"/>
            <w:vAlign w:val="bottom"/>
          </w:tcPr>
          <w:p>
            <w:pPr>
              <w:spacing w:after="0"/>
              <w:rPr>
                <w:sz w:val="18"/>
                <w:szCs w:val="18"/>
                <w:color w:val="auto"/>
              </w:rPr>
            </w:pP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(38 )</w:t>
            </w:r>
          </w:p>
        </w:tc>
      </w:tr>
      <w:tr>
        <w:trPr>
          <w:trHeight w:val="222"/>
        </w:trPr>
        <w:tc>
          <w:tcPr>
            <w:tcW w:w="3440" w:type="dxa"/>
            <w:vAlign w:val="bottom"/>
          </w:tcPr>
          <w:p>
            <w:pPr>
              <w:ind w:left="20"/>
              <w:spacing w:after="0"/>
              <w:rPr>
                <w:sz w:val="20"/>
                <w:szCs w:val="20"/>
                <w:color w:val="auto"/>
              </w:rPr>
            </w:pPr>
            <w:r>
              <w:rPr>
                <w:rFonts w:ascii="Arial" w:cs="Arial" w:eastAsia="Arial" w:hAnsi="Arial"/>
                <w:sz w:val="14"/>
                <w:szCs w:val="14"/>
                <w:color w:val="auto"/>
              </w:rPr>
              <w:t>Federal subsidy (Medicare Part D)</w:t>
            </w:r>
          </w:p>
        </w:tc>
        <w:tc>
          <w:tcPr>
            <w:tcW w:w="2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2</w:t>
            </w:r>
          </w:p>
        </w:tc>
        <w:tc>
          <w:tcPr>
            <w:tcW w:w="4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2</w:t>
            </w:r>
          </w:p>
        </w:tc>
      </w:tr>
      <w:tr>
        <w:trPr>
          <w:trHeight w:val="208"/>
        </w:trPr>
        <w:tc>
          <w:tcPr>
            <w:tcW w:w="3440" w:type="dxa"/>
            <w:vAlign w:val="bottom"/>
          </w:tcPr>
          <w:p>
            <w:pPr>
              <w:ind w:left="20"/>
              <w:spacing w:after="0"/>
              <w:rPr>
                <w:sz w:val="20"/>
                <w:szCs w:val="20"/>
                <w:color w:val="auto"/>
              </w:rPr>
            </w:pPr>
            <w:r>
              <w:rPr>
                <w:rFonts w:ascii="Arial" w:cs="Arial" w:eastAsia="Arial" w:hAnsi="Arial"/>
                <w:sz w:val="14"/>
                <w:szCs w:val="14"/>
                <w:color w:val="auto"/>
              </w:rPr>
              <w:t>Net obligation at December 31</w:t>
            </w:r>
          </w:p>
        </w:tc>
        <w:tc>
          <w:tcPr>
            <w:tcW w:w="2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1,653</w:t>
            </w:r>
          </w:p>
        </w:tc>
        <w:tc>
          <w:tcPr>
            <w:tcW w:w="2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1,624</w:t>
            </w:r>
          </w:p>
        </w:tc>
        <w:tc>
          <w:tcPr>
            <w:tcW w:w="14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748</w:t>
            </w:r>
          </w:p>
        </w:tc>
        <w:tc>
          <w:tcPr>
            <w:tcW w:w="4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694</w:t>
            </w:r>
          </w:p>
        </w:tc>
      </w:tr>
      <w:tr>
        <w:trPr>
          <w:trHeight w:val="418"/>
        </w:trPr>
        <w:tc>
          <w:tcPr>
            <w:tcW w:w="3440" w:type="dxa"/>
            <w:vAlign w:val="bottom"/>
          </w:tcPr>
          <w:p>
            <w:pPr>
              <w:ind w:left="20"/>
              <w:spacing w:after="0"/>
              <w:rPr>
                <w:sz w:val="20"/>
                <w:szCs w:val="20"/>
                <w:color w:val="auto"/>
              </w:rPr>
            </w:pPr>
            <w:r>
              <w:rPr>
                <w:rFonts w:ascii="Arial" w:cs="Arial" w:eastAsia="Arial" w:hAnsi="Arial"/>
                <w:sz w:val="14"/>
                <w:szCs w:val="14"/>
                <w:color w:val="auto"/>
              </w:rPr>
              <w:t>CHANGE IN PLAN ASSETS:</w:t>
            </w: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216"/>
        </w:trPr>
        <w:tc>
          <w:tcPr>
            <w:tcW w:w="3440" w:type="dxa"/>
            <w:vAlign w:val="bottom"/>
          </w:tcPr>
          <w:p>
            <w:pPr>
              <w:ind w:left="20"/>
              <w:spacing w:after="0"/>
              <w:rPr>
                <w:sz w:val="20"/>
                <w:szCs w:val="20"/>
                <w:color w:val="auto"/>
              </w:rPr>
            </w:pPr>
            <w:r>
              <w:rPr>
                <w:rFonts w:ascii="Arial" w:cs="Arial" w:eastAsia="Arial" w:hAnsi="Arial"/>
                <w:sz w:val="14"/>
                <w:szCs w:val="14"/>
                <w:color w:val="auto"/>
              </w:rPr>
              <w:t>Fair value of plan assets at January 1</w:t>
            </w:r>
          </w:p>
        </w:tc>
        <w:tc>
          <w:tcPr>
            <w:tcW w:w="260" w:type="dxa"/>
            <w:vAlign w:val="bottom"/>
          </w:tcPr>
          <w:p>
            <w:pPr>
              <w:spacing w:after="0"/>
              <w:rPr>
                <w:sz w:val="18"/>
                <w:szCs w:val="18"/>
                <w:color w:val="auto"/>
              </w:rPr>
            </w:pPr>
          </w:p>
        </w:tc>
        <w:tc>
          <w:tcPr>
            <w:tcW w:w="800" w:type="dxa"/>
            <w:vAlign w:val="bottom"/>
          </w:tcPr>
          <w:p>
            <w:pPr>
              <w:jc w:val="right"/>
              <w:ind w:right="69"/>
              <w:spacing w:after="0"/>
              <w:rPr>
                <w:sz w:val="20"/>
                <w:szCs w:val="20"/>
                <w:color w:val="auto"/>
              </w:rPr>
            </w:pPr>
            <w:r>
              <w:rPr>
                <w:rFonts w:ascii="Arial" w:cs="Arial" w:eastAsia="Arial" w:hAnsi="Arial"/>
                <w:sz w:val="14"/>
                <w:szCs w:val="14"/>
                <w:color w:val="auto"/>
              </w:rPr>
              <w:t>1,657</w:t>
            </w:r>
          </w:p>
        </w:tc>
        <w:tc>
          <w:tcPr>
            <w:tcW w:w="2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1,672</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jc w:val="right"/>
              <w:ind w:right="69"/>
              <w:spacing w:after="0"/>
              <w:rPr>
                <w:sz w:val="20"/>
                <w:szCs w:val="20"/>
                <w:color w:val="auto"/>
              </w:rPr>
            </w:pPr>
            <w:r>
              <w:rPr>
                <w:rFonts w:ascii="Arial" w:cs="Arial" w:eastAsia="Arial" w:hAnsi="Arial"/>
                <w:sz w:val="14"/>
                <w:szCs w:val="14"/>
                <w:color w:val="auto"/>
              </w:rPr>
              <w:t>663</w:t>
            </w:r>
          </w:p>
        </w:tc>
        <w:tc>
          <w:tcPr>
            <w:tcW w:w="400" w:type="dxa"/>
            <w:vAlign w:val="bottom"/>
          </w:tcPr>
          <w:p>
            <w:pPr>
              <w:spacing w:after="0"/>
              <w:rPr>
                <w:sz w:val="18"/>
                <w:szCs w:val="18"/>
                <w:color w:val="auto"/>
              </w:rPr>
            </w:pPr>
          </w:p>
        </w:tc>
        <w:tc>
          <w:tcPr>
            <w:tcW w:w="700" w:type="dxa"/>
            <w:vAlign w:val="bottom"/>
          </w:tcPr>
          <w:p>
            <w:pPr>
              <w:jc w:val="right"/>
              <w:ind w:right="88"/>
              <w:spacing w:after="0"/>
              <w:rPr>
                <w:sz w:val="20"/>
                <w:szCs w:val="20"/>
                <w:color w:val="auto"/>
              </w:rPr>
            </w:pPr>
            <w:r>
              <w:rPr>
                <w:rFonts w:ascii="Arial" w:cs="Arial" w:eastAsia="Arial" w:hAnsi="Arial"/>
                <w:sz w:val="14"/>
                <w:szCs w:val="14"/>
                <w:color w:val="auto"/>
              </w:rPr>
              <w:t>630</w:t>
            </w:r>
          </w:p>
        </w:tc>
      </w:tr>
      <w:tr>
        <w:trPr>
          <w:trHeight w:val="216"/>
        </w:trPr>
        <w:tc>
          <w:tcPr>
            <w:tcW w:w="3440" w:type="dxa"/>
            <w:vAlign w:val="bottom"/>
          </w:tcPr>
          <w:p>
            <w:pPr>
              <w:ind w:left="20"/>
              <w:spacing w:after="0"/>
              <w:rPr>
                <w:sz w:val="20"/>
                <w:szCs w:val="20"/>
                <w:color w:val="auto"/>
              </w:rPr>
            </w:pPr>
            <w:r>
              <w:rPr>
                <w:rFonts w:ascii="Arial" w:cs="Arial" w:eastAsia="Arial" w:hAnsi="Arial"/>
                <w:sz w:val="14"/>
                <w:szCs w:val="14"/>
                <w:color w:val="auto"/>
              </w:rPr>
              <w:t>Actual return on plan assets</w:t>
            </w:r>
          </w:p>
        </w:tc>
        <w:tc>
          <w:tcPr>
            <w:tcW w:w="2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(438 )</w:t>
            </w:r>
          </w:p>
        </w:tc>
        <w:tc>
          <w:tcPr>
            <w:tcW w:w="2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137</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(174 )</w:t>
            </w:r>
          </w:p>
        </w:tc>
        <w:tc>
          <w:tcPr>
            <w:tcW w:w="400" w:type="dxa"/>
            <w:vAlign w:val="bottom"/>
          </w:tcPr>
          <w:p>
            <w:pPr>
              <w:spacing w:after="0"/>
              <w:rPr>
                <w:sz w:val="18"/>
                <w:szCs w:val="18"/>
                <w:color w:val="auto"/>
              </w:rPr>
            </w:pPr>
          </w:p>
        </w:tc>
        <w:tc>
          <w:tcPr>
            <w:tcW w:w="700" w:type="dxa"/>
            <w:vAlign w:val="bottom"/>
          </w:tcPr>
          <w:p>
            <w:pPr>
              <w:jc w:val="right"/>
              <w:ind w:right="88"/>
              <w:spacing w:after="0"/>
              <w:rPr>
                <w:sz w:val="20"/>
                <w:szCs w:val="20"/>
                <w:color w:val="auto"/>
              </w:rPr>
            </w:pPr>
            <w:r>
              <w:rPr>
                <w:rFonts w:ascii="Arial" w:cs="Arial" w:eastAsia="Arial" w:hAnsi="Arial"/>
                <w:sz w:val="14"/>
                <w:szCs w:val="14"/>
                <w:color w:val="auto"/>
              </w:rPr>
              <w:t>43</w:t>
            </w:r>
          </w:p>
        </w:tc>
      </w:tr>
      <w:tr>
        <w:trPr>
          <w:trHeight w:val="216"/>
        </w:trPr>
        <w:tc>
          <w:tcPr>
            <w:tcW w:w="3440" w:type="dxa"/>
            <w:vAlign w:val="bottom"/>
          </w:tcPr>
          <w:p>
            <w:pPr>
              <w:ind w:left="20"/>
              <w:spacing w:after="0"/>
              <w:rPr>
                <w:sz w:val="20"/>
                <w:szCs w:val="20"/>
                <w:color w:val="auto"/>
              </w:rPr>
            </w:pPr>
            <w:r>
              <w:rPr>
                <w:rFonts w:ascii="Arial" w:cs="Arial" w:eastAsia="Arial" w:hAnsi="Arial"/>
                <w:sz w:val="14"/>
                <w:szCs w:val="14"/>
                <w:color w:val="auto"/>
              </w:rPr>
              <w:t>Employer contributions</w:t>
            </w:r>
          </w:p>
        </w:tc>
        <w:tc>
          <w:tcPr>
            <w:tcW w:w="260" w:type="dxa"/>
            <w:vAlign w:val="bottom"/>
          </w:tcPr>
          <w:p>
            <w:pPr>
              <w:spacing w:after="0"/>
              <w:rPr>
                <w:sz w:val="18"/>
                <w:szCs w:val="18"/>
                <w:color w:val="auto"/>
              </w:rPr>
            </w:pPr>
          </w:p>
        </w:tc>
        <w:tc>
          <w:tcPr>
            <w:tcW w:w="800" w:type="dxa"/>
            <w:vAlign w:val="bottom"/>
          </w:tcPr>
          <w:p>
            <w:pPr>
              <w:jc w:val="right"/>
              <w:ind w:right="69"/>
              <w:spacing w:after="0"/>
              <w:rPr>
                <w:sz w:val="20"/>
                <w:szCs w:val="20"/>
                <w:color w:val="auto"/>
              </w:rPr>
            </w:pPr>
            <w:r>
              <w:rPr>
                <w:rFonts w:ascii="Arial" w:cs="Arial" w:eastAsia="Arial" w:hAnsi="Arial"/>
                <w:sz w:val="14"/>
                <w:szCs w:val="14"/>
                <w:color w:val="auto"/>
              </w:rPr>
              <w:t>1</w:t>
            </w:r>
          </w:p>
        </w:tc>
        <w:tc>
          <w:tcPr>
            <w:tcW w:w="2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jc w:val="right"/>
              <w:ind w:right="69"/>
              <w:spacing w:after="0"/>
              <w:rPr>
                <w:sz w:val="20"/>
                <w:szCs w:val="20"/>
                <w:color w:val="auto"/>
              </w:rPr>
            </w:pPr>
            <w:r>
              <w:rPr>
                <w:rFonts w:ascii="Arial" w:cs="Arial" w:eastAsia="Arial" w:hAnsi="Arial"/>
                <w:sz w:val="14"/>
                <w:szCs w:val="14"/>
                <w:color w:val="auto"/>
              </w:rPr>
              <w:t>22</w:t>
            </w:r>
          </w:p>
        </w:tc>
        <w:tc>
          <w:tcPr>
            <w:tcW w:w="400" w:type="dxa"/>
            <w:vAlign w:val="bottom"/>
          </w:tcPr>
          <w:p>
            <w:pPr>
              <w:spacing w:after="0"/>
              <w:rPr>
                <w:sz w:val="18"/>
                <w:szCs w:val="18"/>
                <w:color w:val="auto"/>
              </w:rPr>
            </w:pPr>
          </w:p>
        </w:tc>
        <w:tc>
          <w:tcPr>
            <w:tcW w:w="700" w:type="dxa"/>
            <w:vAlign w:val="bottom"/>
          </w:tcPr>
          <w:p>
            <w:pPr>
              <w:jc w:val="right"/>
              <w:ind w:right="88"/>
              <w:spacing w:after="0"/>
              <w:rPr>
                <w:sz w:val="20"/>
                <w:szCs w:val="20"/>
                <w:color w:val="auto"/>
              </w:rPr>
            </w:pPr>
            <w:r>
              <w:rPr>
                <w:rFonts w:ascii="Arial" w:cs="Arial" w:eastAsia="Arial" w:hAnsi="Arial"/>
                <w:sz w:val="14"/>
                <w:szCs w:val="14"/>
                <w:color w:val="auto"/>
              </w:rPr>
              <w:t>28</w:t>
            </w:r>
          </w:p>
        </w:tc>
      </w:tr>
      <w:tr>
        <w:trPr>
          <w:trHeight w:val="216"/>
        </w:trPr>
        <w:tc>
          <w:tcPr>
            <w:tcW w:w="3440" w:type="dxa"/>
            <w:vAlign w:val="bottom"/>
          </w:tcPr>
          <w:p>
            <w:pPr>
              <w:ind w:left="20"/>
              <w:spacing w:after="0"/>
              <w:rPr>
                <w:sz w:val="20"/>
                <w:szCs w:val="20"/>
                <w:color w:val="auto"/>
              </w:rPr>
            </w:pPr>
            <w:r>
              <w:rPr>
                <w:rFonts w:ascii="Arial" w:cs="Arial" w:eastAsia="Arial" w:hAnsi="Arial"/>
                <w:sz w:val="14"/>
                <w:szCs w:val="14"/>
                <w:color w:val="auto"/>
              </w:rPr>
              <w:t>Transfer of assets to Sempra Energy</w:t>
            </w:r>
          </w:p>
        </w:tc>
        <w:tc>
          <w:tcPr>
            <w:tcW w:w="260" w:type="dxa"/>
            <w:vAlign w:val="bottom"/>
          </w:tcPr>
          <w:p>
            <w:pPr>
              <w:spacing w:after="0"/>
              <w:rPr>
                <w:sz w:val="18"/>
                <w:szCs w:val="18"/>
                <w:color w:val="auto"/>
              </w:rPr>
            </w:pPr>
          </w:p>
        </w:tc>
        <w:tc>
          <w:tcPr>
            <w:tcW w:w="80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8"/>
                <w:szCs w:val="18"/>
                <w:color w:val="auto"/>
              </w:rPr>
            </w:pPr>
          </w:p>
        </w:tc>
        <w:tc>
          <w:tcPr>
            <w:tcW w:w="700" w:type="dxa"/>
            <w:vAlign w:val="bottom"/>
          </w:tcPr>
          <w:p>
            <w:pPr>
              <w:jc w:val="right"/>
              <w:ind w:right="88"/>
              <w:spacing w:after="0"/>
              <w:rPr>
                <w:sz w:val="20"/>
                <w:szCs w:val="20"/>
                <w:color w:val="auto"/>
              </w:rPr>
            </w:pPr>
            <w:r>
              <w:rPr>
                <w:rFonts w:ascii="Arial" w:cs="Arial" w:eastAsia="Arial" w:hAnsi="Arial"/>
                <w:sz w:val="14"/>
                <w:szCs w:val="14"/>
                <w:color w:val="auto"/>
              </w:rPr>
              <w:t>--</w:t>
            </w:r>
          </w:p>
        </w:tc>
      </w:tr>
      <w:tr>
        <w:trPr>
          <w:trHeight w:val="222"/>
        </w:trPr>
        <w:tc>
          <w:tcPr>
            <w:tcW w:w="3440" w:type="dxa"/>
            <w:vAlign w:val="bottom"/>
          </w:tcPr>
          <w:p>
            <w:pPr>
              <w:ind w:left="20"/>
              <w:spacing w:after="0"/>
              <w:rPr>
                <w:sz w:val="20"/>
                <w:szCs w:val="20"/>
                <w:color w:val="auto"/>
              </w:rPr>
            </w:pPr>
            <w:r>
              <w:rPr>
                <w:rFonts w:ascii="Arial" w:cs="Arial" w:eastAsia="Arial" w:hAnsi="Arial"/>
                <w:sz w:val="14"/>
                <w:szCs w:val="14"/>
                <w:color w:val="auto"/>
              </w:rPr>
              <w:t>Benefit payments</w:t>
            </w:r>
          </w:p>
        </w:tc>
        <w:tc>
          <w:tcPr>
            <w:tcW w:w="2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(115 )</w:t>
            </w:r>
          </w:p>
        </w:tc>
        <w:tc>
          <w:tcPr>
            <w:tcW w:w="2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4"/>
                <w:szCs w:val="14"/>
                <w:color w:val="auto"/>
              </w:rPr>
              <w:t>(154 )</w:t>
            </w:r>
          </w:p>
        </w:tc>
        <w:tc>
          <w:tcPr>
            <w:tcW w:w="3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(40 )</w:t>
            </w:r>
          </w:p>
        </w:tc>
        <w:tc>
          <w:tcPr>
            <w:tcW w:w="4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(38 )</w:t>
            </w:r>
          </w:p>
        </w:tc>
      </w:tr>
      <w:tr>
        <w:trPr>
          <w:trHeight w:val="208"/>
        </w:trPr>
        <w:tc>
          <w:tcPr>
            <w:tcW w:w="3440" w:type="dxa"/>
            <w:vAlign w:val="bottom"/>
          </w:tcPr>
          <w:p>
            <w:pPr>
              <w:ind w:left="20"/>
              <w:spacing w:after="0"/>
              <w:rPr>
                <w:sz w:val="20"/>
                <w:szCs w:val="20"/>
                <w:color w:val="auto"/>
              </w:rPr>
            </w:pPr>
            <w:r>
              <w:rPr>
                <w:rFonts w:ascii="Arial" w:cs="Arial" w:eastAsia="Arial" w:hAnsi="Arial"/>
                <w:sz w:val="14"/>
                <w:szCs w:val="14"/>
                <w:color w:val="auto"/>
              </w:rPr>
              <w:t>Fair value of plan assets at December 31</w:t>
            </w:r>
          </w:p>
        </w:tc>
        <w:tc>
          <w:tcPr>
            <w:tcW w:w="2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1,105</w:t>
            </w:r>
          </w:p>
        </w:tc>
        <w:tc>
          <w:tcPr>
            <w:tcW w:w="2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1,657</w:t>
            </w:r>
          </w:p>
        </w:tc>
        <w:tc>
          <w:tcPr>
            <w:tcW w:w="14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471</w:t>
            </w:r>
          </w:p>
        </w:tc>
        <w:tc>
          <w:tcPr>
            <w:tcW w:w="4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663</w:t>
            </w:r>
          </w:p>
        </w:tc>
      </w:tr>
      <w:tr>
        <w:trPr>
          <w:trHeight w:val="440"/>
        </w:trPr>
        <w:tc>
          <w:tcPr>
            <w:tcW w:w="3440" w:type="dxa"/>
            <w:vAlign w:val="bottom"/>
          </w:tcPr>
          <w:p>
            <w:pPr>
              <w:ind w:left="20"/>
              <w:spacing w:after="0"/>
              <w:rPr>
                <w:sz w:val="20"/>
                <w:szCs w:val="20"/>
                <w:color w:val="auto"/>
              </w:rPr>
            </w:pPr>
            <w:r>
              <w:rPr>
                <w:rFonts w:ascii="Arial" w:cs="Arial" w:eastAsia="Arial" w:hAnsi="Arial"/>
                <w:sz w:val="14"/>
                <w:szCs w:val="14"/>
                <w:color w:val="auto"/>
              </w:rPr>
              <w:t>Funded status at December 31</w:t>
            </w:r>
          </w:p>
        </w:tc>
        <w:tc>
          <w:tcPr>
            <w:tcW w:w="2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(548 )</w:t>
            </w:r>
          </w:p>
        </w:tc>
        <w:tc>
          <w:tcPr>
            <w:tcW w:w="2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w:t>
            </w:r>
          </w:p>
        </w:tc>
        <w:tc>
          <w:tcPr>
            <w:tcW w:w="1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(277 )</w:t>
            </w:r>
          </w:p>
        </w:tc>
        <w:tc>
          <w:tcPr>
            <w:tcW w:w="40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(31 )</w:t>
            </w:r>
          </w:p>
        </w:tc>
      </w:tr>
      <w:tr>
        <w:trPr>
          <w:trHeight w:val="232"/>
        </w:trPr>
        <w:tc>
          <w:tcPr>
            <w:tcW w:w="34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Net recorded asset (liability) at December 31</w:t>
            </w:r>
          </w:p>
        </w:tc>
        <w:tc>
          <w:tcPr>
            <w:tcW w:w="2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(548 )</w:t>
            </w:r>
          </w:p>
        </w:tc>
        <w:tc>
          <w:tcPr>
            <w:tcW w:w="2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w:t>
            </w:r>
          </w:p>
        </w:tc>
        <w:tc>
          <w:tcPr>
            <w:tcW w:w="14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(277 )</w:t>
            </w:r>
          </w:p>
        </w:tc>
        <w:tc>
          <w:tcPr>
            <w:tcW w:w="40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(31 )</w:t>
            </w:r>
          </w:p>
        </w:tc>
      </w:tr>
    </w:tbl>
    <w:p>
      <w:pPr>
        <w:spacing w:after="0" w:line="200" w:lineRule="exact"/>
        <w:rPr>
          <w:sz w:val="20"/>
          <w:szCs w:val="20"/>
          <w:color w:val="auto"/>
        </w:rPr>
      </w:pPr>
    </w:p>
    <w:p>
      <w:pPr>
        <w:sectPr>
          <w:pgSz w:w="11900" w:h="16838" w:orient="portrait"/>
          <w:cols w:equalWidth="0" w:num="1">
            <w:col w:w="10219"/>
          </w:cols>
          <w:pgMar w:left="240" w:top="965" w:right="1440" w:bottom="1440" w:gutter="0" w:footer="0" w:header="0"/>
        </w:sectPr>
      </w:pPr>
    </w:p>
    <w:p>
      <w:pPr>
        <w:spacing w:after="0" w:line="380" w:lineRule="exact"/>
        <w:rPr>
          <w:sz w:val="20"/>
          <w:szCs w:val="20"/>
          <w:color w:val="auto"/>
        </w:rPr>
      </w:pPr>
    </w:p>
    <w:p>
      <w:pPr>
        <w:spacing w:after="0"/>
        <w:rPr>
          <w:sz w:val="20"/>
          <w:szCs w:val="20"/>
          <w:color w:val="auto"/>
        </w:rPr>
      </w:pPr>
      <w:r>
        <w:rPr>
          <w:rFonts w:ascii="Arial" w:cs="Arial" w:eastAsia="Arial" w:hAnsi="Arial"/>
          <w:sz w:val="13"/>
          <w:szCs w:val="13"/>
          <w:color w:val="auto"/>
        </w:rPr>
        <w:t>139</w:t>
      </w:r>
    </w:p>
    <w:p>
      <w:pPr>
        <w:sectPr>
          <w:pgSz w:w="11900" w:h="16838" w:orient="portrait"/>
          <w:cols w:equalWidth="0" w:num="1">
            <w:col w:w="10219"/>
          </w:cols>
          <w:pgMar w:left="240" w:top="965" w:right="1440" w:bottom="1440" w:gutter="0" w:footer="0" w:header="0"/>
          <w:type w:val="continuous"/>
        </w:sectPr>
      </w:pPr>
    </w:p>
    <w:bookmarkStart w:id="279" w:name="page280"/>
    <w:bookmarkEnd w:id="279"/>
    <w:p>
      <w:pPr>
        <w:spacing w:after="0"/>
        <w:rPr>
          <w:sz w:val="20"/>
          <w:szCs w:val="20"/>
          <w:color w:val="auto"/>
        </w:rPr>
      </w:pPr>
      <w:r>
        <w:rPr>
          <w:rFonts w:ascii="Arial" w:cs="Arial" w:eastAsia="Arial" w:hAnsi="Arial"/>
          <w:sz w:val="18"/>
          <w:szCs w:val="18"/>
          <w:b w:val="1"/>
          <w:bCs w:val="1"/>
          <w:i w:val="1"/>
          <w:iCs w:val="1"/>
          <w:color w:val="auto"/>
        </w:rPr>
        <w:t>Net Assets and Liabilities</w:t>
      </w:r>
    </w:p>
    <w:p>
      <w:pPr>
        <w:spacing w:after="0" w:line="23" w:lineRule="exact"/>
        <w:rPr>
          <w:sz w:val="20"/>
          <w:szCs w:val="20"/>
          <w:color w:val="auto"/>
        </w:rPr>
      </w:pPr>
    </w:p>
    <w:p>
      <w:pPr>
        <w:spacing w:after="0" w:line="302" w:lineRule="auto"/>
        <w:rPr>
          <w:sz w:val="20"/>
          <w:szCs w:val="20"/>
          <w:color w:val="auto"/>
        </w:rPr>
      </w:pPr>
      <w:r>
        <w:rPr>
          <w:rFonts w:ascii="Arial" w:cs="Arial" w:eastAsia="Arial" w:hAnsi="Arial"/>
          <w:sz w:val="14"/>
          <w:szCs w:val="14"/>
          <w:color w:val="auto"/>
        </w:rPr>
        <w:t>The assets and liabilities of the pension and other postretirement benefit plans are affected by changing market conditions as well as when actual plan experience is different than assumed. Such events result in gains and losses. Investment gains and losses are deferred and recognized in pension and postretirement benefit costs over a period of years. Sempra Energy uses the asset smoothing method for all the assets held for its pension and other postretirement plans, except for the 20 percent in the SDG&amp;E plans. This method develops an asset value that recognizes realized and unrealized investment gains and losses over a three-year period. This adjusted asset value, known as the market-related value of assets, is used to determine the expected return-on-assets component of net periodic cost. SoCalGas also uses the asset smoothing method.</w:t>
      </w:r>
    </w:p>
    <w:p>
      <w:pPr>
        <w:spacing w:after="0" w:line="20" w:lineRule="exact"/>
        <w:rPr>
          <w:sz w:val="20"/>
          <w:szCs w:val="20"/>
          <w:color w:val="auto"/>
        </w:rPr>
      </w:pPr>
    </w:p>
    <w:p>
      <w:pPr>
        <w:ind w:right="140"/>
        <w:spacing w:after="0" w:line="259" w:lineRule="auto"/>
        <w:rPr>
          <w:sz w:val="20"/>
          <w:szCs w:val="20"/>
          <w:color w:val="auto"/>
        </w:rPr>
      </w:pPr>
      <w:r>
        <w:rPr>
          <w:rFonts w:ascii="Arial" w:cs="Arial" w:eastAsia="Arial" w:hAnsi="Arial"/>
          <w:sz w:val="16"/>
          <w:szCs w:val="16"/>
          <w:color w:val="auto"/>
        </w:rPr>
        <w:t>The 10-percent corridor accounting method is used at Sempra Energy, SDG&amp;E and SoCalGas. Under the corridor-accounting method, if, as of the beginning of a year, unrecognized net gain or loss exceeds 10 percent of the greater of the projected benefit obligation or the market-related value of plan assets, the excess is amortized over the average remaining service period of active participants. The asset smoothing and 10-percent corridor accounting methods help mitigate volatility of net periodic costs from year to year.</w:t>
      </w:r>
    </w:p>
    <w:p>
      <w:pPr>
        <w:spacing w:after="0" w:line="47" w:lineRule="exact"/>
        <w:rPr>
          <w:sz w:val="20"/>
          <w:szCs w:val="20"/>
          <w:color w:val="auto"/>
        </w:rPr>
      </w:pPr>
    </w:p>
    <w:p>
      <w:pPr>
        <w:spacing w:after="0"/>
        <w:rPr>
          <w:sz w:val="20"/>
          <w:szCs w:val="20"/>
          <w:color w:val="auto"/>
        </w:rPr>
      </w:pPr>
      <w:r>
        <w:rPr>
          <w:rFonts w:ascii="Arial" w:cs="Arial" w:eastAsia="Arial" w:hAnsi="Arial"/>
          <w:sz w:val="16"/>
          <w:szCs w:val="16"/>
          <w:color w:val="auto"/>
        </w:rPr>
        <w:t>The net asset (liability) is included in the following captions on the Consolidated Balance Sheets at December 31:</w:t>
      </w:r>
    </w:p>
    <w:p>
      <w:pPr>
        <w:spacing w:after="0" w:line="169" w:lineRule="exact"/>
        <w:rPr>
          <w:sz w:val="20"/>
          <w:szCs w:val="20"/>
          <w:color w:val="auto"/>
        </w:rPr>
      </w:pPr>
    </w:p>
    <w:tbl>
      <w:tblPr>
        <w:tblLayout w:type="fixed"/>
        <w:tblInd w:w="1820" w:type="dxa"/>
        <w:tblCellMar>
          <w:top w:w="0" w:type="dxa"/>
          <w:left w:w="0" w:type="dxa"/>
          <w:bottom w:w="0" w:type="dxa"/>
          <w:right w:w="0" w:type="dxa"/>
        </w:tblCellMar>
      </w:tblPr>
      <w:tr>
        <w:trPr>
          <w:trHeight w:val="154"/>
        </w:trPr>
        <w:tc>
          <w:tcPr>
            <w:tcW w:w="25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20" w:type="dxa"/>
            <w:vAlign w:val="bottom"/>
          </w:tcPr>
          <w:p>
            <w:pPr>
              <w:jc w:val="right"/>
              <w:ind w:right="90"/>
              <w:spacing w:after="0"/>
              <w:rPr>
                <w:sz w:val="20"/>
                <w:szCs w:val="20"/>
                <w:color w:val="auto"/>
              </w:rPr>
            </w:pPr>
            <w:r>
              <w:rPr>
                <w:rFonts w:ascii="Arial" w:cs="Arial" w:eastAsia="Arial" w:hAnsi="Arial"/>
                <w:sz w:val="13"/>
                <w:szCs w:val="13"/>
                <w:color w:val="auto"/>
              </w:rPr>
              <w:t>Other</w:t>
            </w:r>
          </w:p>
        </w:tc>
        <w:tc>
          <w:tcPr>
            <w:tcW w:w="380" w:type="dxa"/>
            <w:vAlign w:val="bottom"/>
          </w:tcPr>
          <w:p>
            <w:pPr>
              <w:spacing w:after="0"/>
              <w:rPr>
                <w:sz w:val="13"/>
                <w:szCs w:val="13"/>
                <w:color w:val="auto"/>
              </w:rPr>
            </w:pPr>
          </w:p>
        </w:tc>
        <w:tc>
          <w:tcPr>
            <w:tcW w:w="600" w:type="dxa"/>
            <w:vAlign w:val="bottom"/>
          </w:tcPr>
          <w:p>
            <w:pPr>
              <w:spacing w:after="0"/>
              <w:rPr>
                <w:sz w:val="13"/>
                <w:szCs w:val="13"/>
                <w:color w:val="auto"/>
              </w:rPr>
            </w:pPr>
          </w:p>
        </w:tc>
      </w:tr>
      <w:tr>
        <w:trPr>
          <w:trHeight w:val="218"/>
        </w:trPr>
        <w:tc>
          <w:tcPr>
            <w:tcW w:w="258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Pension Benefits</w:t>
            </w:r>
          </w:p>
        </w:tc>
        <w:tc>
          <w:tcPr>
            <w:tcW w:w="18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color w:val="auto"/>
                <w:w w:val="99"/>
              </w:rPr>
              <w:t>Postretirement Benefits</w:t>
            </w:r>
          </w:p>
        </w:tc>
        <w:tc>
          <w:tcPr>
            <w:tcW w:w="600" w:type="dxa"/>
            <w:vAlign w:val="bottom"/>
            <w:tcBorders>
              <w:bottom w:val="single" w:sz="8" w:color="auto"/>
            </w:tcBorders>
          </w:tcPr>
          <w:p>
            <w:pPr>
              <w:spacing w:after="0"/>
              <w:rPr>
                <w:sz w:val="18"/>
                <w:szCs w:val="18"/>
                <w:color w:val="auto"/>
              </w:rPr>
            </w:pPr>
          </w:p>
        </w:tc>
      </w:tr>
      <w:tr>
        <w:trPr>
          <w:trHeight w:val="211"/>
        </w:trPr>
        <w:tc>
          <w:tcPr>
            <w:tcW w:w="2580" w:type="dxa"/>
            <w:vAlign w:val="bottom"/>
            <w:tcBorders>
              <w:bottom w:val="single" w:sz="8" w:color="auto"/>
            </w:tcBorders>
          </w:tcPr>
          <w:p>
            <w:pPr>
              <w:ind w:left="20"/>
              <w:spacing w:after="0"/>
              <w:rPr>
                <w:sz w:val="20"/>
                <w:szCs w:val="20"/>
                <w:color w:val="auto"/>
              </w:rPr>
            </w:pPr>
            <w:r>
              <w:rPr>
                <w:rFonts w:ascii="Arial" w:cs="Arial" w:eastAsia="Arial" w:hAnsi="Arial"/>
                <w:sz w:val="13"/>
                <w:szCs w:val="13"/>
                <w:i w:val="1"/>
                <w:iCs w:val="1"/>
                <w:color w:val="auto"/>
              </w:rPr>
              <w:t>(Dollars in millions)</w:t>
            </w:r>
          </w:p>
        </w:tc>
        <w:tc>
          <w:tcPr>
            <w:tcW w:w="5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709"/>
              <w:spacing w:after="0"/>
              <w:rPr>
                <w:sz w:val="20"/>
                <w:szCs w:val="20"/>
                <w:color w:val="auto"/>
              </w:rPr>
            </w:pPr>
            <w:r>
              <w:rPr>
                <w:rFonts w:ascii="Arial" w:cs="Arial" w:eastAsia="Arial" w:hAnsi="Arial"/>
                <w:sz w:val="13"/>
                <w:szCs w:val="13"/>
                <w:color w:val="auto"/>
              </w:rPr>
              <w:t>2008</w:t>
            </w:r>
          </w:p>
        </w:tc>
        <w:tc>
          <w:tcPr>
            <w:tcW w:w="18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ind w:right="69"/>
              <w:spacing w:after="0"/>
              <w:rPr>
                <w:sz w:val="20"/>
                <w:szCs w:val="20"/>
                <w:color w:val="auto"/>
              </w:rPr>
            </w:pPr>
            <w:r>
              <w:rPr>
                <w:rFonts w:ascii="Arial" w:cs="Arial" w:eastAsia="Arial" w:hAnsi="Arial"/>
                <w:sz w:val="13"/>
                <w:szCs w:val="13"/>
                <w:color w:val="auto"/>
              </w:rPr>
              <w:t>2007</w:t>
            </w:r>
          </w:p>
        </w:tc>
        <w:tc>
          <w:tcPr>
            <w:tcW w:w="42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550"/>
              <w:spacing w:after="0"/>
              <w:rPr>
                <w:sz w:val="20"/>
                <w:szCs w:val="20"/>
                <w:color w:val="auto"/>
              </w:rPr>
            </w:pPr>
            <w:r>
              <w:rPr>
                <w:rFonts w:ascii="Arial" w:cs="Arial" w:eastAsia="Arial" w:hAnsi="Arial"/>
                <w:sz w:val="13"/>
                <w:szCs w:val="13"/>
                <w:color w:val="auto"/>
              </w:rPr>
              <w:t>2008</w:t>
            </w:r>
          </w:p>
        </w:tc>
        <w:tc>
          <w:tcPr>
            <w:tcW w:w="3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209"/>
              <w:spacing w:after="0"/>
              <w:rPr>
                <w:sz w:val="20"/>
                <w:szCs w:val="20"/>
                <w:color w:val="auto"/>
              </w:rPr>
            </w:pPr>
            <w:r>
              <w:rPr>
                <w:rFonts w:ascii="Arial" w:cs="Arial" w:eastAsia="Arial" w:hAnsi="Arial"/>
                <w:sz w:val="13"/>
                <w:szCs w:val="13"/>
                <w:color w:val="auto"/>
              </w:rPr>
              <w:t>2007</w:t>
            </w:r>
          </w:p>
        </w:tc>
      </w:tr>
      <w:tr>
        <w:trPr>
          <w:trHeight w:val="207"/>
        </w:trPr>
        <w:tc>
          <w:tcPr>
            <w:tcW w:w="2580" w:type="dxa"/>
            <w:vAlign w:val="bottom"/>
          </w:tcPr>
          <w:p>
            <w:pPr>
              <w:ind w:left="20"/>
              <w:spacing w:after="0"/>
              <w:rPr>
                <w:sz w:val="20"/>
                <w:szCs w:val="20"/>
                <w:color w:val="auto"/>
              </w:rPr>
            </w:pPr>
            <w:r>
              <w:rPr>
                <w:rFonts w:ascii="Arial" w:cs="Arial" w:eastAsia="Arial" w:hAnsi="Arial"/>
                <w:sz w:val="14"/>
                <w:szCs w:val="14"/>
                <w:b w:val="1"/>
                <w:bCs w:val="1"/>
                <w:color w:val="auto"/>
              </w:rPr>
              <w:t>Sempra Energy Consolidated</w:t>
            </w:r>
          </w:p>
        </w:tc>
        <w:tc>
          <w:tcPr>
            <w:tcW w:w="5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0" w:type="dxa"/>
            <w:vAlign w:val="bottom"/>
          </w:tcPr>
          <w:p>
            <w:pPr>
              <w:spacing w:after="0"/>
              <w:rPr>
                <w:sz w:val="18"/>
                <w:szCs w:val="18"/>
                <w:color w:val="auto"/>
              </w:rPr>
            </w:pPr>
          </w:p>
        </w:tc>
      </w:tr>
      <w:tr>
        <w:trPr>
          <w:trHeight w:val="216"/>
        </w:trPr>
        <w:tc>
          <w:tcPr>
            <w:tcW w:w="2580" w:type="dxa"/>
            <w:vAlign w:val="bottom"/>
          </w:tcPr>
          <w:p>
            <w:pPr>
              <w:ind w:left="20"/>
              <w:spacing w:after="0"/>
              <w:rPr>
                <w:sz w:val="20"/>
                <w:szCs w:val="20"/>
                <w:color w:val="auto"/>
              </w:rPr>
            </w:pPr>
            <w:r>
              <w:rPr>
                <w:rFonts w:ascii="Arial" w:cs="Arial" w:eastAsia="Arial" w:hAnsi="Arial"/>
                <w:sz w:val="14"/>
                <w:szCs w:val="14"/>
                <w:color w:val="auto"/>
              </w:rPr>
              <w:t>Noncurrent assets</w:t>
            </w:r>
          </w:p>
        </w:tc>
        <w:tc>
          <w:tcPr>
            <w:tcW w:w="5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569"/>
              <w:spacing w:after="0"/>
              <w:rPr>
                <w:sz w:val="20"/>
                <w:szCs w:val="20"/>
                <w:color w:val="auto"/>
              </w:rPr>
            </w:pPr>
            <w:r>
              <w:rPr>
                <w:rFonts w:ascii="Arial" w:cs="Arial" w:eastAsia="Arial" w:hAnsi="Arial"/>
                <w:sz w:val="14"/>
                <w:szCs w:val="14"/>
                <w:color w:val="auto"/>
              </w:rPr>
              <w:t>--</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500" w:type="dxa"/>
            <w:vAlign w:val="bottom"/>
          </w:tcPr>
          <w:p>
            <w:pPr>
              <w:jc w:val="right"/>
              <w:spacing w:after="0"/>
              <w:rPr>
                <w:sz w:val="20"/>
                <w:szCs w:val="20"/>
                <w:color w:val="auto"/>
              </w:rPr>
            </w:pPr>
            <w:r>
              <w:rPr>
                <w:rFonts w:ascii="Arial" w:cs="Arial" w:eastAsia="Arial" w:hAnsi="Arial"/>
                <w:sz w:val="14"/>
                <w:szCs w:val="14"/>
                <w:color w:val="auto"/>
              </w:rPr>
              <w:t>75</w:t>
            </w:r>
          </w:p>
        </w:tc>
        <w:tc>
          <w:tcPr>
            <w:tcW w:w="4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410"/>
              <w:spacing w:after="0"/>
              <w:rPr>
                <w:sz w:val="20"/>
                <w:szCs w:val="20"/>
                <w:color w:val="auto"/>
              </w:rPr>
            </w:pPr>
            <w:r>
              <w:rPr>
                <w:rFonts w:ascii="Arial" w:cs="Arial" w:eastAsia="Arial" w:hAnsi="Arial"/>
                <w:sz w:val="14"/>
                <w:szCs w:val="14"/>
                <w:color w:val="auto"/>
              </w:rPr>
              <w:t>--</w:t>
            </w:r>
          </w:p>
        </w:tc>
        <w:tc>
          <w:tcPr>
            <w:tcW w:w="3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69"/>
              <w:spacing w:after="0"/>
              <w:rPr>
                <w:sz w:val="20"/>
                <w:szCs w:val="20"/>
                <w:color w:val="auto"/>
              </w:rPr>
            </w:pPr>
            <w:r>
              <w:rPr>
                <w:rFonts w:ascii="Arial" w:cs="Arial" w:eastAsia="Arial" w:hAnsi="Arial"/>
                <w:sz w:val="14"/>
                <w:szCs w:val="14"/>
                <w:color w:val="auto"/>
              </w:rPr>
              <w:t>--</w:t>
            </w:r>
          </w:p>
        </w:tc>
      </w:tr>
      <w:tr>
        <w:trPr>
          <w:trHeight w:val="216"/>
        </w:trPr>
        <w:tc>
          <w:tcPr>
            <w:tcW w:w="2580" w:type="dxa"/>
            <w:vAlign w:val="bottom"/>
          </w:tcPr>
          <w:p>
            <w:pPr>
              <w:ind w:left="20"/>
              <w:spacing w:after="0"/>
              <w:rPr>
                <w:sz w:val="20"/>
                <w:szCs w:val="20"/>
                <w:color w:val="auto"/>
              </w:rPr>
            </w:pPr>
            <w:r>
              <w:rPr>
                <w:rFonts w:ascii="Arial" w:cs="Arial" w:eastAsia="Arial" w:hAnsi="Arial"/>
                <w:sz w:val="14"/>
                <w:szCs w:val="14"/>
                <w:color w:val="auto"/>
              </w:rPr>
              <w:t>Current liabilities</w:t>
            </w:r>
          </w:p>
        </w:tc>
        <w:tc>
          <w:tcPr>
            <w:tcW w:w="500" w:type="dxa"/>
            <w:vAlign w:val="bottom"/>
          </w:tcPr>
          <w:p>
            <w:pPr>
              <w:spacing w:after="0"/>
              <w:rPr>
                <w:sz w:val="18"/>
                <w:szCs w:val="18"/>
                <w:color w:val="auto"/>
              </w:rPr>
            </w:pPr>
          </w:p>
        </w:tc>
        <w:tc>
          <w:tcPr>
            <w:tcW w:w="1140" w:type="dxa"/>
            <w:vAlign w:val="bottom"/>
          </w:tcPr>
          <w:p>
            <w:pPr>
              <w:jc w:val="right"/>
              <w:ind w:right="489"/>
              <w:spacing w:after="0"/>
              <w:rPr>
                <w:sz w:val="20"/>
                <w:szCs w:val="20"/>
                <w:color w:val="auto"/>
              </w:rPr>
            </w:pPr>
            <w:r>
              <w:rPr>
                <w:rFonts w:ascii="Arial" w:cs="Arial" w:eastAsia="Arial" w:hAnsi="Arial"/>
                <w:sz w:val="14"/>
                <w:szCs w:val="14"/>
                <w:color w:val="auto"/>
              </w:rPr>
              <w:t>(25 )</w:t>
            </w:r>
          </w:p>
        </w:tc>
        <w:tc>
          <w:tcPr>
            <w:tcW w:w="180" w:type="dxa"/>
            <w:vAlign w:val="bottom"/>
          </w:tcPr>
          <w:p>
            <w:pPr>
              <w:spacing w:after="0"/>
              <w:rPr>
                <w:sz w:val="18"/>
                <w:szCs w:val="18"/>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4"/>
                <w:szCs w:val="14"/>
                <w:color w:val="auto"/>
              </w:rPr>
              <w:t>(32 )</w:t>
            </w:r>
          </w:p>
        </w:tc>
        <w:tc>
          <w:tcPr>
            <w:tcW w:w="460" w:type="dxa"/>
            <w:vAlign w:val="bottom"/>
          </w:tcPr>
          <w:p>
            <w:pPr>
              <w:spacing w:after="0"/>
              <w:rPr>
                <w:sz w:val="18"/>
                <w:szCs w:val="18"/>
                <w:color w:val="auto"/>
              </w:rPr>
            </w:pPr>
          </w:p>
        </w:tc>
        <w:tc>
          <w:tcPr>
            <w:tcW w:w="1020" w:type="dxa"/>
            <w:vAlign w:val="bottom"/>
          </w:tcPr>
          <w:p>
            <w:pPr>
              <w:jc w:val="right"/>
              <w:ind w:right="41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8"/>
                <w:szCs w:val="18"/>
                <w:color w:val="auto"/>
              </w:rPr>
            </w:pPr>
          </w:p>
        </w:tc>
        <w:tc>
          <w:tcPr>
            <w:tcW w:w="600" w:type="dxa"/>
            <w:vAlign w:val="bottom"/>
          </w:tcPr>
          <w:p>
            <w:pPr>
              <w:jc w:val="right"/>
              <w:ind w:right="69"/>
              <w:spacing w:after="0"/>
              <w:rPr>
                <w:sz w:val="20"/>
                <w:szCs w:val="20"/>
                <w:color w:val="auto"/>
              </w:rPr>
            </w:pPr>
            <w:r>
              <w:rPr>
                <w:rFonts w:ascii="Arial" w:cs="Arial" w:eastAsia="Arial" w:hAnsi="Arial"/>
                <w:sz w:val="14"/>
                <w:szCs w:val="14"/>
                <w:color w:val="auto"/>
              </w:rPr>
              <w:t>--</w:t>
            </w:r>
          </w:p>
        </w:tc>
      </w:tr>
      <w:tr>
        <w:trPr>
          <w:trHeight w:val="222"/>
        </w:trPr>
        <w:tc>
          <w:tcPr>
            <w:tcW w:w="2580" w:type="dxa"/>
            <w:vAlign w:val="bottom"/>
          </w:tcPr>
          <w:p>
            <w:pPr>
              <w:ind w:left="20"/>
              <w:spacing w:after="0"/>
              <w:rPr>
                <w:sz w:val="20"/>
                <w:szCs w:val="20"/>
                <w:color w:val="auto"/>
              </w:rPr>
            </w:pPr>
            <w:r>
              <w:rPr>
                <w:rFonts w:ascii="Arial" w:cs="Arial" w:eastAsia="Arial" w:hAnsi="Arial"/>
                <w:sz w:val="14"/>
                <w:szCs w:val="14"/>
                <w:color w:val="auto"/>
              </w:rPr>
              <w:t>Noncurrent liabilities</w:t>
            </w:r>
          </w:p>
        </w:tc>
        <w:tc>
          <w:tcPr>
            <w:tcW w:w="5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89"/>
              <w:spacing w:after="0"/>
              <w:rPr>
                <w:sz w:val="20"/>
                <w:szCs w:val="20"/>
                <w:color w:val="auto"/>
              </w:rPr>
            </w:pPr>
            <w:r>
              <w:rPr>
                <w:rFonts w:ascii="Arial" w:cs="Arial" w:eastAsia="Arial" w:hAnsi="Arial"/>
                <w:sz w:val="14"/>
                <w:szCs w:val="14"/>
                <w:color w:val="auto"/>
              </w:rPr>
              <w:t>(1,098 )</w:t>
            </w: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gridSpan w:val="2"/>
          </w:tcPr>
          <w:p>
            <w:pPr>
              <w:jc w:val="right"/>
              <w:ind w:right="360"/>
              <w:spacing w:after="0"/>
              <w:rPr>
                <w:sz w:val="20"/>
                <w:szCs w:val="20"/>
                <w:color w:val="auto"/>
              </w:rPr>
            </w:pPr>
            <w:r>
              <w:rPr>
                <w:rFonts w:ascii="Arial" w:cs="Arial" w:eastAsia="Arial" w:hAnsi="Arial"/>
                <w:sz w:val="14"/>
                <w:szCs w:val="14"/>
                <w:color w:val="auto"/>
              </w:rPr>
              <w:t>(306 )</w:t>
            </w:r>
          </w:p>
        </w:tc>
        <w:tc>
          <w:tcPr>
            <w:tcW w:w="4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30"/>
              <w:spacing w:after="0"/>
              <w:rPr>
                <w:sz w:val="20"/>
                <w:szCs w:val="20"/>
                <w:color w:val="auto"/>
              </w:rPr>
            </w:pPr>
            <w:r>
              <w:rPr>
                <w:rFonts w:ascii="Arial" w:cs="Arial" w:eastAsia="Arial" w:hAnsi="Arial"/>
                <w:sz w:val="14"/>
                <w:szCs w:val="14"/>
                <w:color w:val="auto"/>
              </w:rPr>
              <w:t>(389 )</w:t>
            </w:r>
          </w:p>
        </w:tc>
        <w:tc>
          <w:tcPr>
            <w:tcW w:w="3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(128 )</w:t>
            </w:r>
          </w:p>
        </w:tc>
      </w:tr>
      <w:tr>
        <w:trPr>
          <w:trHeight w:val="200"/>
        </w:trPr>
        <w:tc>
          <w:tcPr>
            <w:tcW w:w="25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Net recorded liability</w:t>
            </w:r>
          </w:p>
        </w:tc>
        <w:tc>
          <w:tcPr>
            <w:tcW w:w="5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ind w:right="489"/>
              <w:spacing w:after="0"/>
              <w:rPr>
                <w:sz w:val="20"/>
                <w:szCs w:val="20"/>
                <w:color w:val="auto"/>
              </w:rPr>
            </w:pPr>
            <w:r>
              <w:rPr>
                <w:rFonts w:ascii="Arial" w:cs="Arial" w:eastAsia="Arial" w:hAnsi="Arial"/>
                <w:sz w:val="14"/>
                <w:szCs w:val="14"/>
                <w:color w:val="auto"/>
              </w:rPr>
              <w:t>(1,123 )</w:t>
            </w: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gridSpan w:val="2"/>
          </w:tcPr>
          <w:p>
            <w:pPr>
              <w:jc w:val="right"/>
              <w:ind w:right="360"/>
              <w:spacing w:after="0"/>
              <w:rPr>
                <w:sz w:val="20"/>
                <w:szCs w:val="20"/>
                <w:color w:val="auto"/>
              </w:rPr>
            </w:pPr>
            <w:r>
              <w:rPr>
                <w:rFonts w:ascii="Arial" w:cs="Arial" w:eastAsia="Arial" w:hAnsi="Arial"/>
                <w:sz w:val="14"/>
                <w:szCs w:val="14"/>
                <w:color w:val="auto"/>
              </w:rPr>
              <w:t>(263 )</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ind w:right="330"/>
              <w:spacing w:after="0"/>
              <w:rPr>
                <w:sz w:val="20"/>
                <w:szCs w:val="20"/>
                <w:color w:val="auto"/>
              </w:rPr>
            </w:pPr>
            <w:r>
              <w:rPr>
                <w:rFonts w:ascii="Arial" w:cs="Arial" w:eastAsia="Arial" w:hAnsi="Arial"/>
                <w:sz w:val="14"/>
                <w:szCs w:val="14"/>
                <w:color w:val="auto"/>
              </w:rPr>
              <w:t>(389 )</w:t>
            </w:r>
          </w:p>
        </w:tc>
        <w:tc>
          <w:tcPr>
            <w:tcW w:w="3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(128 )</w:t>
            </w:r>
          </w:p>
        </w:tc>
      </w:tr>
      <w:tr>
        <w:trPr>
          <w:trHeight w:val="210"/>
        </w:trPr>
        <w:tc>
          <w:tcPr>
            <w:tcW w:w="2580" w:type="dxa"/>
            <w:vAlign w:val="bottom"/>
          </w:tcPr>
          <w:p>
            <w:pPr>
              <w:ind w:left="20"/>
              <w:spacing w:after="0"/>
              <w:rPr>
                <w:sz w:val="20"/>
                <w:szCs w:val="20"/>
                <w:color w:val="auto"/>
              </w:rPr>
            </w:pPr>
            <w:r>
              <w:rPr>
                <w:rFonts w:ascii="Arial" w:cs="Arial" w:eastAsia="Arial" w:hAnsi="Arial"/>
                <w:sz w:val="14"/>
                <w:szCs w:val="14"/>
                <w:b w:val="1"/>
                <w:bCs w:val="1"/>
                <w:color w:val="auto"/>
              </w:rPr>
              <w:t>SDG&amp;E</w:t>
            </w:r>
          </w:p>
        </w:tc>
        <w:tc>
          <w:tcPr>
            <w:tcW w:w="5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0" w:type="dxa"/>
            <w:vAlign w:val="bottom"/>
          </w:tcPr>
          <w:p>
            <w:pPr>
              <w:spacing w:after="0"/>
              <w:rPr>
                <w:sz w:val="18"/>
                <w:szCs w:val="18"/>
                <w:color w:val="auto"/>
              </w:rPr>
            </w:pPr>
          </w:p>
        </w:tc>
      </w:tr>
      <w:tr>
        <w:trPr>
          <w:trHeight w:val="216"/>
        </w:trPr>
        <w:tc>
          <w:tcPr>
            <w:tcW w:w="2580" w:type="dxa"/>
            <w:vAlign w:val="bottom"/>
          </w:tcPr>
          <w:p>
            <w:pPr>
              <w:ind w:left="20"/>
              <w:spacing w:after="0"/>
              <w:rPr>
                <w:sz w:val="20"/>
                <w:szCs w:val="20"/>
                <w:color w:val="auto"/>
              </w:rPr>
            </w:pPr>
            <w:r>
              <w:rPr>
                <w:rFonts w:ascii="Arial" w:cs="Arial" w:eastAsia="Arial" w:hAnsi="Arial"/>
                <w:sz w:val="14"/>
                <w:szCs w:val="14"/>
                <w:color w:val="auto"/>
              </w:rPr>
              <w:t>Current liabilities</w:t>
            </w:r>
          </w:p>
        </w:tc>
        <w:tc>
          <w:tcPr>
            <w:tcW w:w="5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489"/>
              <w:spacing w:after="0"/>
              <w:rPr>
                <w:sz w:val="20"/>
                <w:szCs w:val="20"/>
                <w:color w:val="auto"/>
              </w:rPr>
            </w:pPr>
            <w:r>
              <w:rPr>
                <w:rFonts w:ascii="Arial" w:cs="Arial" w:eastAsia="Arial" w:hAnsi="Arial"/>
                <w:sz w:val="14"/>
                <w:szCs w:val="14"/>
                <w:color w:val="auto"/>
              </w:rPr>
              <w:t>(2 )</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360"/>
              <w:spacing w:after="0"/>
              <w:rPr>
                <w:sz w:val="20"/>
                <w:szCs w:val="20"/>
                <w:color w:val="auto"/>
              </w:rPr>
            </w:pPr>
            <w:r>
              <w:rPr>
                <w:rFonts w:ascii="Arial" w:cs="Arial" w:eastAsia="Arial" w:hAnsi="Arial"/>
                <w:sz w:val="14"/>
                <w:szCs w:val="14"/>
                <w:color w:val="auto"/>
              </w:rPr>
              <w:t>(1 )</w:t>
            </w:r>
          </w:p>
        </w:tc>
        <w:tc>
          <w:tcPr>
            <w:tcW w:w="460" w:type="dxa"/>
            <w:vAlign w:val="bottom"/>
          </w:tcPr>
          <w:p>
            <w:pPr>
              <w:jc w:val="right"/>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410"/>
              <w:spacing w:after="0"/>
              <w:rPr>
                <w:sz w:val="20"/>
                <w:szCs w:val="20"/>
                <w:color w:val="auto"/>
              </w:rPr>
            </w:pPr>
            <w:r>
              <w:rPr>
                <w:rFonts w:ascii="Arial" w:cs="Arial" w:eastAsia="Arial" w:hAnsi="Arial"/>
                <w:sz w:val="14"/>
                <w:szCs w:val="14"/>
                <w:color w:val="auto"/>
              </w:rPr>
              <w:t>--</w:t>
            </w:r>
          </w:p>
        </w:tc>
        <w:tc>
          <w:tcPr>
            <w:tcW w:w="3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69"/>
              <w:spacing w:after="0"/>
              <w:rPr>
                <w:sz w:val="20"/>
                <w:szCs w:val="20"/>
                <w:color w:val="auto"/>
              </w:rPr>
            </w:pPr>
            <w:r>
              <w:rPr>
                <w:rFonts w:ascii="Arial" w:cs="Arial" w:eastAsia="Arial" w:hAnsi="Arial"/>
                <w:sz w:val="14"/>
                <w:szCs w:val="14"/>
                <w:color w:val="auto"/>
              </w:rPr>
              <w:t>--</w:t>
            </w:r>
          </w:p>
        </w:tc>
      </w:tr>
      <w:tr>
        <w:trPr>
          <w:trHeight w:val="222"/>
        </w:trPr>
        <w:tc>
          <w:tcPr>
            <w:tcW w:w="2580" w:type="dxa"/>
            <w:vAlign w:val="bottom"/>
          </w:tcPr>
          <w:p>
            <w:pPr>
              <w:ind w:left="20"/>
              <w:spacing w:after="0"/>
              <w:rPr>
                <w:sz w:val="20"/>
                <w:szCs w:val="20"/>
                <w:color w:val="auto"/>
              </w:rPr>
            </w:pPr>
            <w:r>
              <w:rPr>
                <w:rFonts w:ascii="Arial" w:cs="Arial" w:eastAsia="Arial" w:hAnsi="Arial"/>
                <w:sz w:val="14"/>
                <w:szCs w:val="14"/>
                <w:color w:val="auto"/>
              </w:rPr>
              <w:t>Noncurrent liabilities</w:t>
            </w:r>
          </w:p>
        </w:tc>
        <w:tc>
          <w:tcPr>
            <w:tcW w:w="5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89"/>
              <w:spacing w:after="0"/>
              <w:rPr>
                <w:sz w:val="20"/>
                <w:szCs w:val="20"/>
                <w:color w:val="auto"/>
              </w:rPr>
            </w:pPr>
            <w:r>
              <w:rPr>
                <w:rFonts w:ascii="Arial" w:cs="Arial" w:eastAsia="Arial" w:hAnsi="Arial"/>
                <w:sz w:val="14"/>
                <w:szCs w:val="14"/>
                <w:color w:val="auto"/>
              </w:rPr>
              <w:t>(332 )</w:t>
            </w: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gridSpan w:val="2"/>
          </w:tcPr>
          <w:p>
            <w:pPr>
              <w:jc w:val="right"/>
              <w:ind w:right="360"/>
              <w:spacing w:after="0"/>
              <w:rPr>
                <w:sz w:val="20"/>
                <w:szCs w:val="20"/>
                <w:color w:val="auto"/>
              </w:rPr>
            </w:pPr>
            <w:r>
              <w:rPr>
                <w:rFonts w:ascii="Arial" w:cs="Arial" w:eastAsia="Arial" w:hAnsi="Arial"/>
                <w:sz w:val="14"/>
                <w:szCs w:val="14"/>
                <w:color w:val="auto"/>
              </w:rPr>
              <w:t>(118 )</w:t>
            </w:r>
          </w:p>
        </w:tc>
        <w:tc>
          <w:tcPr>
            <w:tcW w:w="4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30"/>
              <w:spacing w:after="0"/>
              <w:rPr>
                <w:sz w:val="20"/>
                <w:szCs w:val="20"/>
                <w:color w:val="auto"/>
              </w:rPr>
            </w:pPr>
            <w:r>
              <w:rPr>
                <w:rFonts w:ascii="Arial" w:cs="Arial" w:eastAsia="Arial" w:hAnsi="Arial"/>
                <w:sz w:val="14"/>
                <w:szCs w:val="14"/>
                <w:color w:val="auto"/>
              </w:rPr>
              <w:t>(87 )</w:t>
            </w:r>
          </w:p>
        </w:tc>
        <w:tc>
          <w:tcPr>
            <w:tcW w:w="3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(72 )</w:t>
            </w:r>
          </w:p>
        </w:tc>
      </w:tr>
      <w:tr>
        <w:trPr>
          <w:trHeight w:val="200"/>
        </w:trPr>
        <w:tc>
          <w:tcPr>
            <w:tcW w:w="25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Net recorded liability</w:t>
            </w:r>
          </w:p>
        </w:tc>
        <w:tc>
          <w:tcPr>
            <w:tcW w:w="5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ind w:right="489"/>
              <w:spacing w:after="0"/>
              <w:rPr>
                <w:sz w:val="20"/>
                <w:szCs w:val="20"/>
                <w:color w:val="auto"/>
              </w:rPr>
            </w:pPr>
            <w:r>
              <w:rPr>
                <w:rFonts w:ascii="Arial" w:cs="Arial" w:eastAsia="Arial" w:hAnsi="Arial"/>
                <w:sz w:val="14"/>
                <w:szCs w:val="14"/>
                <w:color w:val="auto"/>
              </w:rPr>
              <w:t>(334 )</w:t>
            </w: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gridSpan w:val="2"/>
          </w:tcPr>
          <w:p>
            <w:pPr>
              <w:jc w:val="right"/>
              <w:ind w:right="360"/>
              <w:spacing w:after="0"/>
              <w:rPr>
                <w:sz w:val="20"/>
                <w:szCs w:val="20"/>
                <w:color w:val="auto"/>
              </w:rPr>
            </w:pPr>
            <w:r>
              <w:rPr>
                <w:rFonts w:ascii="Arial" w:cs="Arial" w:eastAsia="Arial" w:hAnsi="Arial"/>
                <w:sz w:val="14"/>
                <w:szCs w:val="14"/>
                <w:color w:val="auto"/>
              </w:rPr>
              <w:t>(119 )</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ind w:right="330"/>
              <w:spacing w:after="0"/>
              <w:rPr>
                <w:sz w:val="20"/>
                <w:szCs w:val="20"/>
                <w:color w:val="auto"/>
              </w:rPr>
            </w:pPr>
            <w:r>
              <w:rPr>
                <w:rFonts w:ascii="Arial" w:cs="Arial" w:eastAsia="Arial" w:hAnsi="Arial"/>
                <w:sz w:val="14"/>
                <w:szCs w:val="14"/>
                <w:color w:val="auto"/>
              </w:rPr>
              <w:t>(87 )</w:t>
            </w:r>
          </w:p>
        </w:tc>
        <w:tc>
          <w:tcPr>
            <w:tcW w:w="3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(72 )</w:t>
            </w:r>
          </w:p>
        </w:tc>
      </w:tr>
      <w:tr>
        <w:trPr>
          <w:trHeight w:val="210"/>
        </w:trPr>
        <w:tc>
          <w:tcPr>
            <w:tcW w:w="2580" w:type="dxa"/>
            <w:vAlign w:val="bottom"/>
          </w:tcPr>
          <w:p>
            <w:pPr>
              <w:ind w:left="20"/>
              <w:spacing w:after="0"/>
              <w:rPr>
                <w:sz w:val="20"/>
                <w:szCs w:val="20"/>
                <w:color w:val="auto"/>
              </w:rPr>
            </w:pPr>
            <w:r>
              <w:rPr>
                <w:rFonts w:ascii="Arial" w:cs="Arial" w:eastAsia="Arial" w:hAnsi="Arial"/>
                <w:sz w:val="14"/>
                <w:szCs w:val="14"/>
                <w:b w:val="1"/>
                <w:bCs w:val="1"/>
                <w:color w:val="auto"/>
              </w:rPr>
              <w:t>SoCalGas</w:t>
            </w:r>
          </w:p>
        </w:tc>
        <w:tc>
          <w:tcPr>
            <w:tcW w:w="5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0" w:type="dxa"/>
            <w:vAlign w:val="bottom"/>
          </w:tcPr>
          <w:p>
            <w:pPr>
              <w:spacing w:after="0"/>
              <w:rPr>
                <w:sz w:val="18"/>
                <w:szCs w:val="18"/>
                <w:color w:val="auto"/>
              </w:rPr>
            </w:pPr>
          </w:p>
        </w:tc>
      </w:tr>
      <w:tr>
        <w:trPr>
          <w:trHeight w:val="216"/>
        </w:trPr>
        <w:tc>
          <w:tcPr>
            <w:tcW w:w="2580" w:type="dxa"/>
            <w:vAlign w:val="bottom"/>
          </w:tcPr>
          <w:p>
            <w:pPr>
              <w:ind w:left="20"/>
              <w:spacing w:after="0"/>
              <w:rPr>
                <w:sz w:val="20"/>
                <w:szCs w:val="20"/>
                <w:color w:val="auto"/>
              </w:rPr>
            </w:pPr>
            <w:r>
              <w:rPr>
                <w:rFonts w:ascii="Arial" w:cs="Arial" w:eastAsia="Arial" w:hAnsi="Arial"/>
                <w:sz w:val="14"/>
                <w:szCs w:val="14"/>
                <w:color w:val="auto"/>
              </w:rPr>
              <w:t>Noncurrent assets</w:t>
            </w:r>
          </w:p>
        </w:tc>
        <w:tc>
          <w:tcPr>
            <w:tcW w:w="5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569"/>
              <w:spacing w:after="0"/>
              <w:rPr>
                <w:sz w:val="20"/>
                <w:szCs w:val="20"/>
                <w:color w:val="auto"/>
              </w:rPr>
            </w:pPr>
            <w:r>
              <w:rPr>
                <w:rFonts w:ascii="Arial" w:cs="Arial" w:eastAsia="Arial" w:hAnsi="Arial"/>
                <w:sz w:val="14"/>
                <w:szCs w:val="14"/>
                <w:color w:val="auto"/>
              </w:rPr>
              <w:t>--</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500" w:type="dxa"/>
            <w:vAlign w:val="bottom"/>
          </w:tcPr>
          <w:p>
            <w:pPr>
              <w:jc w:val="right"/>
              <w:spacing w:after="0"/>
              <w:rPr>
                <w:sz w:val="20"/>
                <w:szCs w:val="20"/>
                <w:color w:val="auto"/>
              </w:rPr>
            </w:pPr>
            <w:r>
              <w:rPr>
                <w:rFonts w:ascii="Arial" w:cs="Arial" w:eastAsia="Arial" w:hAnsi="Arial"/>
                <w:sz w:val="14"/>
                <w:szCs w:val="14"/>
                <w:color w:val="auto"/>
              </w:rPr>
              <w:t>62</w:t>
            </w:r>
          </w:p>
        </w:tc>
        <w:tc>
          <w:tcPr>
            <w:tcW w:w="4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410"/>
              <w:spacing w:after="0"/>
              <w:rPr>
                <w:sz w:val="20"/>
                <w:szCs w:val="20"/>
                <w:color w:val="auto"/>
              </w:rPr>
            </w:pPr>
            <w:r>
              <w:rPr>
                <w:rFonts w:ascii="Arial" w:cs="Arial" w:eastAsia="Arial" w:hAnsi="Arial"/>
                <w:sz w:val="14"/>
                <w:szCs w:val="14"/>
                <w:color w:val="auto"/>
              </w:rPr>
              <w:t>--</w:t>
            </w:r>
          </w:p>
        </w:tc>
        <w:tc>
          <w:tcPr>
            <w:tcW w:w="3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69"/>
              <w:spacing w:after="0"/>
              <w:rPr>
                <w:sz w:val="20"/>
                <w:szCs w:val="20"/>
                <w:color w:val="auto"/>
              </w:rPr>
            </w:pPr>
            <w:r>
              <w:rPr>
                <w:rFonts w:ascii="Arial" w:cs="Arial" w:eastAsia="Arial" w:hAnsi="Arial"/>
                <w:sz w:val="14"/>
                <w:szCs w:val="14"/>
                <w:color w:val="auto"/>
              </w:rPr>
              <w:t>--</w:t>
            </w:r>
          </w:p>
        </w:tc>
      </w:tr>
      <w:tr>
        <w:trPr>
          <w:trHeight w:val="216"/>
        </w:trPr>
        <w:tc>
          <w:tcPr>
            <w:tcW w:w="2580" w:type="dxa"/>
            <w:vAlign w:val="bottom"/>
          </w:tcPr>
          <w:p>
            <w:pPr>
              <w:ind w:left="20"/>
              <w:spacing w:after="0"/>
              <w:rPr>
                <w:sz w:val="20"/>
                <w:szCs w:val="20"/>
                <w:color w:val="auto"/>
              </w:rPr>
            </w:pPr>
            <w:r>
              <w:rPr>
                <w:rFonts w:ascii="Arial" w:cs="Arial" w:eastAsia="Arial" w:hAnsi="Arial"/>
                <w:sz w:val="14"/>
                <w:szCs w:val="14"/>
                <w:color w:val="auto"/>
              </w:rPr>
              <w:t>Current liabilities</w:t>
            </w:r>
          </w:p>
        </w:tc>
        <w:tc>
          <w:tcPr>
            <w:tcW w:w="500" w:type="dxa"/>
            <w:vAlign w:val="bottom"/>
          </w:tcPr>
          <w:p>
            <w:pPr>
              <w:spacing w:after="0"/>
              <w:rPr>
                <w:sz w:val="18"/>
                <w:szCs w:val="18"/>
                <w:color w:val="auto"/>
              </w:rPr>
            </w:pPr>
          </w:p>
        </w:tc>
        <w:tc>
          <w:tcPr>
            <w:tcW w:w="1140" w:type="dxa"/>
            <w:vAlign w:val="bottom"/>
          </w:tcPr>
          <w:p>
            <w:pPr>
              <w:jc w:val="right"/>
              <w:ind w:right="489"/>
              <w:spacing w:after="0"/>
              <w:rPr>
                <w:sz w:val="20"/>
                <w:szCs w:val="20"/>
                <w:color w:val="auto"/>
              </w:rPr>
            </w:pPr>
            <w:r>
              <w:rPr>
                <w:rFonts w:ascii="Arial" w:cs="Arial" w:eastAsia="Arial" w:hAnsi="Arial"/>
                <w:sz w:val="14"/>
                <w:szCs w:val="14"/>
                <w:color w:val="auto"/>
              </w:rPr>
              <w:t>(2 )</w:t>
            </w:r>
          </w:p>
        </w:tc>
        <w:tc>
          <w:tcPr>
            <w:tcW w:w="180" w:type="dxa"/>
            <w:vAlign w:val="bottom"/>
          </w:tcPr>
          <w:p>
            <w:pPr>
              <w:spacing w:after="0"/>
              <w:rPr>
                <w:sz w:val="18"/>
                <w:szCs w:val="18"/>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4"/>
                <w:szCs w:val="14"/>
                <w:color w:val="auto"/>
              </w:rPr>
              <w:t>(2 )</w:t>
            </w:r>
          </w:p>
        </w:tc>
        <w:tc>
          <w:tcPr>
            <w:tcW w:w="460" w:type="dxa"/>
            <w:vAlign w:val="bottom"/>
          </w:tcPr>
          <w:p>
            <w:pPr>
              <w:spacing w:after="0"/>
              <w:rPr>
                <w:sz w:val="18"/>
                <w:szCs w:val="18"/>
                <w:color w:val="auto"/>
              </w:rPr>
            </w:pPr>
          </w:p>
        </w:tc>
        <w:tc>
          <w:tcPr>
            <w:tcW w:w="1020" w:type="dxa"/>
            <w:vAlign w:val="bottom"/>
          </w:tcPr>
          <w:p>
            <w:pPr>
              <w:jc w:val="right"/>
              <w:ind w:right="41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8"/>
                <w:szCs w:val="18"/>
                <w:color w:val="auto"/>
              </w:rPr>
            </w:pPr>
          </w:p>
        </w:tc>
        <w:tc>
          <w:tcPr>
            <w:tcW w:w="600" w:type="dxa"/>
            <w:vAlign w:val="bottom"/>
          </w:tcPr>
          <w:p>
            <w:pPr>
              <w:jc w:val="right"/>
              <w:ind w:right="69"/>
              <w:spacing w:after="0"/>
              <w:rPr>
                <w:sz w:val="20"/>
                <w:szCs w:val="20"/>
                <w:color w:val="auto"/>
              </w:rPr>
            </w:pPr>
            <w:r>
              <w:rPr>
                <w:rFonts w:ascii="Arial" w:cs="Arial" w:eastAsia="Arial" w:hAnsi="Arial"/>
                <w:sz w:val="14"/>
                <w:szCs w:val="14"/>
                <w:color w:val="auto"/>
              </w:rPr>
              <w:t>--</w:t>
            </w:r>
          </w:p>
        </w:tc>
      </w:tr>
      <w:tr>
        <w:trPr>
          <w:trHeight w:val="222"/>
        </w:trPr>
        <w:tc>
          <w:tcPr>
            <w:tcW w:w="2580" w:type="dxa"/>
            <w:vAlign w:val="bottom"/>
          </w:tcPr>
          <w:p>
            <w:pPr>
              <w:ind w:left="20"/>
              <w:spacing w:after="0"/>
              <w:rPr>
                <w:sz w:val="20"/>
                <w:szCs w:val="20"/>
                <w:color w:val="auto"/>
              </w:rPr>
            </w:pPr>
            <w:r>
              <w:rPr>
                <w:rFonts w:ascii="Arial" w:cs="Arial" w:eastAsia="Arial" w:hAnsi="Arial"/>
                <w:sz w:val="14"/>
                <w:szCs w:val="14"/>
                <w:color w:val="auto"/>
              </w:rPr>
              <w:t>Noncurrent liabilities</w:t>
            </w:r>
          </w:p>
        </w:tc>
        <w:tc>
          <w:tcPr>
            <w:tcW w:w="5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89"/>
              <w:spacing w:after="0"/>
              <w:rPr>
                <w:sz w:val="20"/>
                <w:szCs w:val="20"/>
                <w:color w:val="auto"/>
              </w:rPr>
            </w:pPr>
            <w:r>
              <w:rPr>
                <w:rFonts w:ascii="Arial" w:cs="Arial" w:eastAsia="Arial" w:hAnsi="Arial"/>
                <w:sz w:val="14"/>
                <w:szCs w:val="14"/>
                <w:color w:val="auto"/>
              </w:rPr>
              <w:t>(546 )</w:t>
            </w: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gridSpan w:val="2"/>
          </w:tcPr>
          <w:p>
            <w:pPr>
              <w:jc w:val="right"/>
              <w:ind w:right="360"/>
              <w:spacing w:after="0"/>
              <w:rPr>
                <w:sz w:val="20"/>
                <w:szCs w:val="20"/>
                <w:color w:val="auto"/>
              </w:rPr>
            </w:pPr>
            <w:r>
              <w:rPr>
                <w:rFonts w:ascii="Arial" w:cs="Arial" w:eastAsia="Arial" w:hAnsi="Arial"/>
                <w:sz w:val="14"/>
                <w:szCs w:val="14"/>
                <w:color w:val="auto"/>
              </w:rPr>
              <w:t>(27 )</w:t>
            </w:r>
          </w:p>
        </w:tc>
        <w:tc>
          <w:tcPr>
            <w:tcW w:w="4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30"/>
              <w:spacing w:after="0"/>
              <w:rPr>
                <w:sz w:val="20"/>
                <w:szCs w:val="20"/>
                <w:color w:val="auto"/>
              </w:rPr>
            </w:pPr>
            <w:r>
              <w:rPr>
                <w:rFonts w:ascii="Arial" w:cs="Arial" w:eastAsia="Arial" w:hAnsi="Arial"/>
                <w:sz w:val="14"/>
                <w:szCs w:val="14"/>
                <w:color w:val="auto"/>
              </w:rPr>
              <w:t>(277 )</w:t>
            </w:r>
          </w:p>
        </w:tc>
        <w:tc>
          <w:tcPr>
            <w:tcW w:w="3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(31 )</w:t>
            </w:r>
          </w:p>
        </w:tc>
      </w:tr>
      <w:tr>
        <w:trPr>
          <w:trHeight w:val="224"/>
        </w:trPr>
        <w:tc>
          <w:tcPr>
            <w:tcW w:w="25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Net recorded asset (liability)</w:t>
            </w:r>
          </w:p>
        </w:tc>
        <w:tc>
          <w:tcPr>
            <w:tcW w:w="5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ind w:right="489"/>
              <w:spacing w:after="0"/>
              <w:rPr>
                <w:sz w:val="20"/>
                <w:szCs w:val="20"/>
                <w:color w:val="auto"/>
              </w:rPr>
            </w:pPr>
            <w:r>
              <w:rPr>
                <w:rFonts w:ascii="Arial" w:cs="Arial" w:eastAsia="Arial" w:hAnsi="Arial"/>
                <w:sz w:val="14"/>
                <w:szCs w:val="14"/>
                <w:color w:val="auto"/>
              </w:rPr>
              <w:t>(548 )</w:t>
            </w: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w:t>
            </w:r>
          </w:p>
        </w:tc>
        <w:tc>
          <w:tcPr>
            <w:tcW w:w="4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ind w:right="330"/>
              <w:spacing w:after="0"/>
              <w:rPr>
                <w:sz w:val="20"/>
                <w:szCs w:val="20"/>
                <w:color w:val="auto"/>
              </w:rPr>
            </w:pPr>
            <w:r>
              <w:rPr>
                <w:rFonts w:ascii="Arial" w:cs="Arial" w:eastAsia="Arial" w:hAnsi="Arial"/>
                <w:sz w:val="14"/>
                <w:szCs w:val="14"/>
                <w:color w:val="auto"/>
              </w:rPr>
              <w:t>(277 )</w:t>
            </w:r>
          </w:p>
        </w:tc>
        <w:tc>
          <w:tcPr>
            <w:tcW w:w="3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(31 )</w:t>
            </w:r>
          </w:p>
        </w:tc>
      </w:tr>
    </w:tbl>
    <w:p>
      <w:pPr>
        <w:spacing w:after="0" w:line="180" w:lineRule="exact"/>
        <w:rPr>
          <w:sz w:val="20"/>
          <w:szCs w:val="20"/>
          <w:color w:val="auto"/>
        </w:rPr>
      </w:pPr>
    </w:p>
    <w:p>
      <w:pPr>
        <w:ind w:right="560"/>
        <w:spacing w:after="0" w:line="277" w:lineRule="auto"/>
        <w:rPr>
          <w:sz w:val="20"/>
          <w:szCs w:val="20"/>
          <w:color w:val="auto"/>
        </w:rPr>
      </w:pPr>
      <w:r>
        <w:rPr>
          <w:rFonts w:ascii="Arial" w:cs="Arial" w:eastAsia="Arial" w:hAnsi="Arial"/>
          <w:sz w:val="16"/>
          <w:szCs w:val="16"/>
          <w:color w:val="auto"/>
        </w:rPr>
        <w:t>Amounts recorded in Accumulated Other Comprehensive Income (Loss) as of December 31, 2008 and 2007, net of tax effects and amounts recorded as regulatory assets,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1172210</wp:posOffset>
            </wp:positionH>
            <wp:positionV relativeFrom="paragraph">
              <wp:posOffset>119380</wp:posOffset>
            </wp:positionV>
            <wp:extent cx="4919980" cy="24384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4919980" cy="243840"/>
                    </a:xfrm>
                    <a:prstGeom prst="rect">
                      <a:avLst/>
                    </a:prstGeom>
                    <a:noFill/>
                  </pic:spPr>
                </pic:pic>
              </a:graphicData>
            </a:graphic>
          </wp:anchor>
        </w:drawing>
      </w:r>
    </w:p>
    <w:p>
      <w:pPr>
        <w:spacing w:after="0" w:line="176" w:lineRule="exact"/>
        <w:rPr>
          <w:sz w:val="20"/>
          <w:szCs w:val="20"/>
          <w:color w:val="auto"/>
        </w:rPr>
      </w:pPr>
    </w:p>
    <w:p>
      <w:pPr>
        <w:ind w:left="1860"/>
        <w:spacing w:after="0"/>
        <w:rPr>
          <w:sz w:val="20"/>
          <w:szCs w:val="20"/>
          <w:color w:val="auto"/>
        </w:rPr>
      </w:pPr>
      <w:r>
        <w:rPr>
          <w:rFonts w:ascii="Arial" w:cs="Arial" w:eastAsia="Arial" w:hAnsi="Arial"/>
          <w:sz w:val="14"/>
          <w:szCs w:val="14"/>
          <w:b w:val="1"/>
          <w:bCs w:val="1"/>
          <w:color w:val="auto"/>
        </w:rPr>
        <w:t>AMOUNTS IN ACCUMULATED OTHER COMPREHENSIVE INCOME (LOSS)</w:t>
      </w:r>
    </w:p>
    <w:p>
      <w:pPr>
        <w:spacing w:after="0" w:line="40" w:lineRule="exact"/>
        <w:rPr>
          <w:sz w:val="20"/>
          <w:szCs w:val="20"/>
          <w:color w:val="auto"/>
        </w:rPr>
      </w:pPr>
    </w:p>
    <w:p>
      <w:pPr>
        <w:ind w:left="1860"/>
        <w:spacing w:after="0"/>
        <w:rPr>
          <w:sz w:val="20"/>
          <w:szCs w:val="20"/>
          <w:color w:val="auto"/>
        </w:rPr>
      </w:pPr>
      <w:r>
        <w:rPr>
          <w:rFonts w:ascii="Arial" w:cs="Arial" w:eastAsia="Arial" w:hAnsi="Arial"/>
          <w:sz w:val="13"/>
          <w:szCs w:val="13"/>
          <w:i w:val="1"/>
          <w:iCs w:val="1"/>
          <w:color w:val="auto"/>
        </w:rPr>
        <w:t>(Dollars in millions)</w:t>
      </w:r>
    </w:p>
    <w:p>
      <w:pPr>
        <w:spacing w:after="0" w:line="79" w:lineRule="exact"/>
        <w:rPr>
          <w:sz w:val="20"/>
          <w:szCs w:val="20"/>
          <w:color w:val="auto"/>
        </w:rPr>
      </w:pPr>
    </w:p>
    <w:tbl>
      <w:tblPr>
        <w:tblLayout w:type="fixed"/>
        <w:tblInd w:w="1840" w:type="dxa"/>
        <w:tblCellMar>
          <w:top w:w="0" w:type="dxa"/>
          <w:left w:w="0" w:type="dxa"/>
          <w:bottom w:w="0" w:type="dxa"/>
          <w:right w:w="0" w:type="dxa"/>
        </w:tblCellMar>
      </w:tblPr>
      <w:tr>
        <w:trPr>
          <w:trHeight w:val="154"/>
        </w:trPr>
        <w:tc>
          <w:tcPr>
            <w:tcW w:w="29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20" w:type="dxa"/>
            <w:vAlign w:val="bottom"/>
          </w:tcPr>
          <w:p>
            <w:pPr>
              <w:jc w:val="right"/>
              <w:ind w:right="92"/>
              <w:spacing w:after="0"/>
              <w:rPr>
                <w:sz w:val="20"/>
                <w:szCs w:val="20"/>
                <w:color w:val="auto"/>
              </w:rPr>
            </w:pPr>
            <w:r>
              <w:rPr>
                <w:rFonts w:ascii="Arial" w:cs="Arial" w:eastAsia="Arial" w:hAnsi="Arial"/>
                <w:sz w:val="13"/>
                <w:szCs w:val="13"/>
                <w:color w:val="auto"/>
              </w:rPr>
              <w:t>Other</w:t>
            </w:r>
          </w:p>
        </w:tc>
        <w:tc>
          <w:tcPr>
            <w:tcW w:w="3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80" w:type="dxa"/>
            <w:vAlign w:val="bottom"/>
          </w:tcPr>
          <w:p>
            <w:pPr>
              <w:spacing w:after="0"/>
              <w:rPr>
                <w:sz w:val="13"/>
                <w:szCs w:val="13"/>
                <w:color w:val="auto"/>
              </w:rPr>
            </w:pPr>
          </w:p>
        </w:tc>
      </w:tr>
      <w:tr>
        <w:trPr>
          <w:trHeight w:val="209"/>
        </w:trPr>
        <w:tc>
          <w:tcPr>
            <w:tcW w:w="298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gridSpan w:val="2"/>
          </w:tcPr>
          <w:p>
            <w:pPr>
              <w:jc w:val="right"/>
              <w:ind w:right="48"/>
              <w:spacing w:after="0"/>
              <w:rPr>
                <w:sz w:val="20"/>
                <w:szCs w:val="20"/>
                <w:color w:val="auto"/>
              </w:rPr>
            </w:pPr>
            <w:r>
              <w:rPr>
                <w:rFonts w:ascii="Arial" w:cs="Arial" w:eastAsia="Arial" w:hAnsi="Arial"/>
                <w:sz w:val="13"/>
                <w:szCs w:val="13"/>
                <w:color w:val="auto"/>
              </w:rPr>
              <w:t>Pension Benefits</w:t>
            </w:r>
          </w:p>
        </w:tc>
        <w:tc>
          <w:tcPr>
            <w:tcW w:w="500" w:type="dxa"/>
            <w:vAlign w:val="bottom"/>
            <w:tcBorders>
              <w:bottom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color w:val="auto"/>
              </w:rPr>
              <w:t>Postretirement Benefits</w:t>
            </w:r>
          </w:p>
        </w:tc>
        <w:tc>
          <w:tcPr>
            <w:tcW w:w="42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r>
      <w:tr>
        <w:trPr>
          <w:trHeight w:val="208"/>
        </w:trPr>
        <w:tc>
          <w:tcPr>
            <w:tcW w:w="298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409"/>
              <w:spacing w:after="0"/>
              <w:rPr>
                <w:sz w:val="20"/>
                <w:szCs w:val="20"/>
                <w:color w:val="auto"/>
              </w:rPr>
            </w:pPr>
            <w:r>
              <w:rPr>
                <w:rFonts w:ascii="Arial" w:cs="Arial" w:eastAsia="Arial" w:hAnsi="Arial"/>
                <w:sz w:val="13"/>
                <w:szCs w:val="13"/>
                <w:color w:val="auto"/>
              </w:rPr>
              <w:t>2008</w:t>
            </w:r>
          </w:p>
        </w:tc>
        <w:tc>
          <w:tcPr>
            <w:tcW w:w="4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ind w:right="69"/>
              <w:spacing w:after="0"/>
              <w:rPr>
                <w:sz w:val="20"/>
                <w:szCs w:val="20"/>
                <w:color w:val="auto"/>
              </w:rPr>
            </w:pPr>
            <w:r>
              <w:rPr>
                <w:rFonts w:ascii="Arial" w:cs="Arial" w:eastAsia="Arial" w:hAnsi="Arial"/>
                <w:sz w:val="13"/>
                <w:szCs w:val="13"/>
                <w:color w:val="auto"/>
              </w:rPr>
              <w:t>2007</w:t>
            </w:r>
          </w:p>
        </w:tc>
        <w:tc>
          <w:tcPr>
            <w:tcW w:w="28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552"/>
              <w:spacing w:after="0"/>
              <w:rPr>
                <w:sz w:val="20"/>
                <w:szCs w:val="20"/>
                <w:color w:val="auto"/>
              </w:rPr>
            </w:pPr>
            <w:r>
              <w:rPr>
                <w:rFonts w:ascii="Arial" w:cs="Arial" w:eastAsia="Arial" w:hAnsi="Arial"/>
                <w:sz w:val="13"/>
                <w:szCs w:val="13"/>
                <w:color w:val="auto"/>
              </w:rPr>
              <w:t>2008</w:t>
            </w:r>
          </w:p>
        </w:tc>
        <w:tc>
          <w:tcPr>
            <w:tcW w:w="36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ind w:right="70"/>
              <w:spacing w:after="0"/>
              <w:rPr>
                <w:sz w:val="20"/>
                <w:szCs w:val="20"/>
                <w:color w:val="auto"/>
              </w:rPr>
            </w:pPr>
            <w:r>
              <w:rPr>
                <w:rFonts w:ascii="Arial" w:cs="Arial" w:eastAsia="Arial" w:hAnsi="Arial"/>
                <w:sz w:val="13"/>
                <w:szCs w:val="13"/>
                <w:color w:val="auto"/>
                <w:w w:val="89"/>
              </w:rPr>
              <w:t>2007</w:t>
            </w:r>
          </w:p>
        </w:tc>
        <w:tc>
          <w:tcPr>
            <w:tcW w:w="180" w:type="dxa"/>
            <w:vAlign w:val="bottom"/>
            <w:tcBorders>
              <w:bottom w:val="single" w:sz="8" w:color="auto"/>
            </w:tcBorders>
          </w:tcPr>
          <w:p>
            <w:pPr>
              <w:spacing w:after="0"/>
              <w:rPr>
                <w:sz w:val="18"/>
                <w:szCs w:val="18"/>
                <w:color w:val="auto"/>
              </w:rPr>
            </w:pPr>
          </w:p>
        </w:tc>
      </w:tr>
      <w:tr>
        <w:trPr>
          <w:trHeight w:val="207"/>
        </w:trPr>
        <w:tc>
          <w:tcPr>
            <w:tcW w:w="2980" w:type="dxa"/>
            <w:vAlign w:val="bottom"/>
          </w:tcPr>
          <w:p>
            <w:pPr>
              <w:ind w:left="20"/>
              <w:spacing w:after="0"/>
              <w:rPr>
                <w:sz w:val="20"/>
                <w:szCs w:val="20"/>
                <w:color w:val="auto"/>
              </w:rPr>
            </w:pPr>
            <w:r>
              <w:rPr>
                <w:rFonts w:ascii="Arial" w:cs="Arial" w:eastAsia="Arial" w:hAnsi="Arial"/>
                <w:sz w:val="14"/>
                <w:szCs w:val="14"/>
                <w:b w:val="1"/>
                <w:bCs w:val="1"/>
                <w:color w:val="auto"/>
              </w:rPr>
              <w:t>Sempra Energy Consolidated</w:t>
            </w:r>
          </w:p>
        </w:tc>
        <w:tc>
          <w:tcPr>
            <w:tcW w:w="4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192"/>
        </w:trPr>
        <w:tc>
          <w:tcPr>
            <w:tcW w:w="2980" w:type="dxa"/>
            <w:vAlign w:val="bottom"/>
          </w:tcPr>
          <w:p>
            <w:pPr>
              <w:ind w:left="20"/>
              <w:spacing w:after="0"/>
              <w:rPr>
                <w:sz w:val="20"/>
                <w:szCs w:val="20"/>
                <w:color w:val="auto"/>
              </w:rPr>
            </w:pPr>
            <w:r>
              <w:rPr>
                <w:rFonts w:ascii="Arial" w:cs="Arial" w:eastAsia="Arial" w:hAnsi="Arial"/>
                <w:sz w:val="14"/>
                <w:szCs w:val="14"/>
                <w:color w:val="auto"/>
              </w:rPr>
              <w:t>Net actuarial loss</w:t>
            </w:r>
          </w:p>
        </w:tc>
        <w:tc>
          <w:tcPr>
            <w:tcW w:w="40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229"/>
              <w:spacing w:after="0"/>
              <w:rPr>
                <w:sz w:val="20"/>
                <w:szCs w:val="20"/>
                <w:color w:val="auto"/>
              </w:rPr>
            </w:pPr>
            <w:r>
              <w:rPr>
                <w:rFonts w:ascii="Arial" w:cs="Arial" w:eastAsia="Arial" w:hAnsi="Arial"/>
                <w:sz w:val="14"/>
                <w:szCs w:val="14"/>
                <w:color w:val="auto"/>
              </w:rPr>
              <w:t>(97 )</w:t>
            </w:r>
          </w:p>
        </w:tc>
        <w:tc>
          <w:tcPr>
            <w:tcW w:w="42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240"/>
              <w:spacing w:after="0"/>
              <w:rPr>
                <w:sz w:val="20"/>
                <w:szCs w:val="20"/>
                <w:color w:val="auto"/>
              </w:rPr>
            </w:pPr>
            <w:r>
              <w:rPr>
                <w:rFonts w:ascii="Arial" w:cs="Arial" w:eastAsia="Arial" w:hAnsi="Arial"/>
                <w:sz w:val="14"/>
                <w:szCs w:val="14"/>
                <w:color w:val="auto"/>
              </w:rPr>
              <w:t>(70 )</w:t>
            </w:r>
          </w:p>
        </w:tc>
        <w:tc>
          <w:tcPr>
            <w:tcW w:w="360" w:type="dxa"/>
            <w:vAlign w:val="bottom"/>
          </w:tcPr>
          <w:p>
            <w:pPr>
              <w:jc w:val="right"/>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372"/>
              <w:spacing w:after="0"/>
              <w:rPr>
                <w:sz w:val="20"/>
                <w:szCs w:val="20"/>
                <w:color w:val="auto"/>
              </w:rPr>
            </w:pPr>
            <w:r>
              <w:rPr>
                <w:rFonts w:ascii="Arial" w:cs="Arial" w:eastAsia="Arial" w:hAnsi="Arial"/>
                <w:sz w:val="14"/>
                <w:szCs w:val="14"/>
                <w:color w:val="auto"/>
              </w:rPr>
              <w:t>(2 )</w:t>
            </w:r>
          </w:p>
        </w:tc>
        <w:tc>
          <w:tcPr>
            <w:tcW w:w="3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140"/>
              <w:spacing w:after="0"/>
              <w:rPr>
                <w:sz w:val="20"/>
                <w:szCs w:val="20"/>
                <w:color w:val="auto"/>
              </w:rPr>
            </w:pPr>
            <w:r>
              <w:rPr>
                <w:rFonts w:ascii="Arial" w:cs="Arial" w:eastAsia="Arial" w:hAnsi="Arial"/>
                <w:sz w:val="14"/>
                <w:szCs w:val="14"/>
                <w:color w:val="auto"/>
              </w:rPr>
              <w:t>(2 )</w:t>
            </w:r>
          </w:p>
        </w:tc>
      </w:tr>
      <w:tr>
        <w:trPr>
          <w:trHeight w:val="222"/>
        </w:trPr>
        <w:tc>
          <w:tcPr>
            <w:tcW w:w="2980" w:type="dxa"/>
            <w:vAlign w:val="bottom"/>
          </w:tcPr>
          <w:p>
            <w:pPr>
              <w:ind w:left="20"/>
              <w:spacing w:after="0"/>
              <w:rPr>
                <w:sz w:val="20"/>
                <w:szCs w:val="20"/>
                <w:color w:val="auto"/>
              </w:rPr>
            </w:pPr>
            <w:r>
              <w:rPr>
                <w:rFonts w:ascii="Arial" w:cs="Arial" w:eastAsia="Arial" w:hAnsi="Arial"/>
                <w:sz w:val="14"/>
                <w:szCs w:val="14"/>
                <w:color w:val="auto"/>
              </w:rPr>
              <w:t>Prior service credit</w:t>
            </w:r>
          </w:p>
        </w:tc>
        <w:tc>
          <w:tcPr>
            <w:tcW w:w="4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89"/>
              <w:spacing w:after="0"/>
              <w:rPr>
                <w:sz w:val="20"/>
                <w:szCs w:val="20"/>
                <w:color w:val="auto"/>
              </w:rPr>
            </w:pPr>
            <w:r>
              <w:rPr>
                <w:rFonts w:ascii="Arial" w:cs="Arial" w:eastAsia="Arial" w:hAnsi="Arial"/>
                <w:sz w:val="14"/>
                <w:szCs w:val="14"/>
                <w:color w:val="auto"/>
              </w:rPr>
              <w:t>1</w:t>
            </w:r>
          </w:p>
        </w:tc>
        <w:tc>
          <w:tcPr>
            <w:tcW w:w="4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w:t>
            </w:r>
          </w:p>
        </w:tc>
        <w:tc>
          <w:tcPr>
            <w:tcW w:w="28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color w:val="auto"/>
              </w:rPr>
              <w:t>1</w:t>
            </w:r>
          </w:p>
        </w:tc>
        <w:tc>
          <w:tcPr>
            <w:tcW w:w="36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w:t>
            </w:r>
          </w:p>
        </w:tc>
        <w:tc>
          <w:tcPr>
            <w:tcW w:w="180" w:type="dxa"/>
            <w:vAlign w:val="bottom"/>
            <w:tcBorders>
              <w:bottom w:val="single" w:sz="8" w:color="auto"/>
            </w:tcBorders>
          </w:tcPr>
          <w:p>
            <w:pPr>
              <w:spacing w:after="0"/>
              <w:rPr>
                <w:sz w:val="19"/>
                <w:szCs w:val="19"/>
                <w:color w:val="auto"/>
              </w:rPr>
            </w:pPr>
          </w:p>
        </w:tc>
      </w:tr>
      <w:tr>
        <w:trPr>
          <w:trHeight w:val="224"/>
        </w:trPr>
        <w:tc>
          <w:tcPr>
            <w:tcW w:w="29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Total</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ind w:right="229"/>
              <w:spacing w:after="0"/>
              <w:rPr>
                <w:sz w:val="20"/>
                <w:szCs w:val="20"/>
                <w:color w:val="auto"/>
              </w:rPr>
            </w:pPr>
            <w:r>
              <w:rPr>
                <w:rFonts w:ascii="Arial" w:cs="Arial" w:eastAsia="Arial" w:hAnsi="Arial"/>
                <w:sz w:val="14"/>
                <w:szCs w:val="14"/>
                <w:color w:val="auto"/>
              </w:rPr>
              <w:t>(96 )</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4"/>
                <w:szCs w:val="14"/>
                <w:color w:val="auto"/>
              </w:rPr>
              <w:t>(67 )</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color w:val="auto"/>
              </w:rPr>
              <w:t>(1 )</w:t>
            </w:r>
          </w:p>
        </w:tc>
        <w:tc>
          <w:tcPr>
            <w:tcW w:w="3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tcPr>
          <w:p>
            <w:pPr>
              <w:spacing w:after="0"/>
              <w:rPr>
                <w:sz w:val="19"/>
                <w:szCs w:val="19"/>
                <w:color w:val="auto"/>
              </w:rPr>
            </w:pPr>
          </w:p>
        </w:tc>
      </w:tr>
      <w:tr>
        <w:trPr>
          <w:trHeight w:val="210"/>
        </w:trPr>
        <w:tc>
          <w:tcPr>
            <w:tcW w:w="2980" w:type="dxa"/>
            <w:vAlign w:val="bottom"/>
          </w:tcPr>
          <w:p>
            <w:pPr>
              <w:ind w:left="20"/>
              <w:spacing w:after="0"/>
              <w:rPr>
                <w:sz w:val="20"/>
                <w:szCs w:val="20"/>
                <w:color w:val="auto"/>
              </w:rPr>
            </w:pPr>
            <w:r>
              <w:rPr>
                <w:rFonts w:ascii="Arial" w:cs="Arial" w:eastAsia="Arial" w:hAnsi="Arial"/>
                <w:sz w:val="14"/>
                <w:szCs w:val="14"/>
                <w:b w:val="1"/>
                <w:bCs w:val="1"/>
                <w:color w:val="auto"/>
              </w:rPr>
              <w:t>SDG&amp;E</w:t>
            </w:r>
          </w:p>
        </w:tc>
        <w:tc>
          <w:tcPr>
            <w:tcW w:w="4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2980" w:type="dxa"/>
            <w:vAlign w:val="bottom"/>
          </w:tcPr>
          <w:p>
            <w:pPr>
              <w:ind w:left="20"/>
              <w:spacing w:after="0"/>
              <w:rPr>
                <w:sz w:val="20"/>
                <w:szCs w:val="20"/>
                <w:color w:val="auto"/>
              </w:rPr>
            </w:pPr>
            <w:r>
              <w:rPr>
                <w:rFonts w:ascii="Arial" w:cs="Arial" w:eastAsia="Arial" w:hAnsi="Arial"/>
                <w:sz w:val="14"/>
                <w:szCs w:val="14"/>
                <w:color w:val="auto"/>
              </w:rPr>
              <w:t>Net actuarial loss</w:t>
            </w:r>
          </w:p>
        </w:tc>
        <w:tc>
          <w:tcPr>
            <w:tcW w:w="40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229"/>
              <w:spacing w:after="0"/>
              <w:rPr>
                <w:sz w:val="20"/>
                <w:szCs w:val="20"/>
                <w:color w:val="auto"/>
              </w:rPr>
            </w:pPr>
            <w:r>
              <w:rPr>
                <w:rFonts w:ascii="Arial" w:cs="Arial" w:eastAsia="Arial" w:hAnsi="Arial"/>
                <w:sz w:val="14"/>
                <w:szCs w:val="14"/>
                <w:color w:val="auto"/>
              </w:rPr>
              <w:t>(13 )</w:t>
            </w:r>
          </w:p>
        </w:tc>
        <w:tc>
          <w:tcPr>
            <w:tcW w:w="42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240"/>
              <w:spacing w:after="0"/>
              <w:rPr>
                <w:sz w:val="20"/>
                <w:szCs w:val="20"/>
                <w:color w:val="auto"/>
              </w:rPr>
            </w:pPr>
            <w:r>
              <w:rPr>
                <w:rFonts w:ascii="Arial" w:cs="Arial" w:eastAsia="Arial" w:hAnsi="Arial"/>
                <w:sz w:val="14"/>
                <w:szCs w:val="14"/>
                <w:color w:val="auto"/>
              </w:rPr>
              <w:t>(16 )</w:t>
            </w:r>
          </w:p>
        </w:tc>
        <w:tc>
          <w:tcPr>
            <w:tcW w:w="3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22"/>
        </w:trPr>
        <w:tc>
          <w:tcPr>
            <w:tcW w:w="2980" w:type="dxa"/>
            <w:vAlign w:val="bottom"/>
          </w:tcPr>
          <w:p>
            <w:pPr>
              <w:ind w:left="20"/>
              <w:spacing w:after="0"/>
              <w:rPr>
                <w:sz w:val="20"/>
                <w:szCs w:val="20"/>
                <w:color w:val="auto"/>
              </w:rPr>
            </w:pPr>
            <w:r>
              <w:rPr>
                <w:rFonts w:ascii="Arial" w:cs="Arial" w:eastAsia="Arial" w:hAnsi="Arial"/>
                <w:sz w:val="14"/>
                <w:szCs w:val="14"/>
                <w:color w:val="auto"/>
              </w:rPr>
              <w:t>Prior service credit</w:t>
            </w:r>
          </w:p>
        </w:tc>
        <w:tc>
          <w:tcPr>
            <w:tcW w:w="4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89"/>
              <w:spacing w:after="0"/>
              <w:rPr>
                <w:sz w:val="20"/>
                <w:szCs w:val="20"/>
                <w:color w:val="auto"/>
              </w:rPr>
            </w:pPr>
            <w:r>
              <w:rPr>
                <w:rFonts w:ascii="Arial" w:cs="Arial" w:eastAsia="Arial" w:hAnsi="Arial"/>
                <w:sz w:val="14"/>
                <w:szCs w:val="14"/>
                <w:color w:val="auto"/>
              </w:rPr>
              <w:t>1</w:t>
            </w:r>
          </w:p>
        </w:tc>
        <w:tc>
          <w:tcPr>
            <w:tcW w:w="4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280" w:type="dxa"/>
            <w:vAlign w:val="bottom"/>
            <w:tcBorders>
              <w:bottom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00"/>
        </w:trPr>
        <w:tc>
          <w:tcPr>
            <w:tcW w:w="29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Total</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ind w:right="229"/>
              <w:spacing w:after="0"/>
              <w:rPr>
                <w:sz w:val="20"/>
                <w:szCs w:val="20"/>
                <w:color w:val="auto"/>
              </w:rPr>
            </w:pPr>
            <w:r>
              <w:rPr>
                <w:rFonts w:ascii="Arial" w:cs="Arial" w:eastAsia="Arial" w:hAnsi="Arial"/>
                <w:sz w:val="14"/>
                <w:szCs w:val="14"/>
                <w:color w:val="auto"/>
              </w:rPr>
              <w:t>(12 )</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4"/>
                <w:szCs w:val="14"/>
                <w:color w:val="auto"/>
              </w:rPr>
              <w:t>(15 )</w:t>
            </w:r>
          </w:p>
        </w:tc>
        <w:tc>
          <w:tcPr>
            <w:tcW w:w="3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10"/>
        </w:trPr>
        <w:tc>
          <w:tcPr>
            <w:tcW w:w="2980" w:type="dxa"/>
            <w:vAlign w:val="bottom"/>
          </w:tcPr>
          <w:p>
            <w:pPr>
              <w:ind w:left="20"/>
              <w:spacing w:after="0"/>
              <w:rPr>
                <w:sz w:val="20"/>
                <w:szCs w:val="20"/>
                <w:color w:val="auto"/>
              </w:rPr>
            </w:pPr>
            <w:r>
              <w:rPr>
                <w:rFonts w:ascii="Arial" w:cs="Arial" w:eastAsia="Arial" w:hAnsi="Arial"/>
                <w:sz w:val="14"/>
                <w:szCs w:val="14"/>
                <w:b w:val="1"/>
                <w:bCs w:val="1"/>
                <w:color w:val="auto"/>
              </w:rPr>
              <w:t>SoCalGas</w:t>
            </w:r>
          </w:p>
        </w:tc>
        <w:tc>
          <w:tcPr>
            <w:tcW w:w="4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2980" w:type="dxa"/>
            <w:vAlign w:val="bottom"/>
          </w:tcPr>
          <w:p>
            <w:pPr>
              <w:ind w:left="20"/>
              <w:spacing w:after="0"/>
              <w:rPr>
                <w:sz w:val="20"/>
                <w:szCs w:val="20"/>
                <w:color w:val="auto"/>
              </w:rPr>
            </w:pPr>
            <w:r>
              <w:rPr>
                <w:rFonts w:ascii="Arial" w:cs="Arial" w:eastAsia="Arial" w:hAnsi="Arial"/>
                <w:sz w:val="14"/>
                <w:szCs w:val="14"/>
                <w:color w:val="auto"/>
              </w:rPr>
              <w:t>Net actuarial loss</w:t>
            </w:r>
          </w:p>
        </w:tc>
        <w:tc>
          <w:tcPr>
            <w:tcW w:w="40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229"/>
              <w:spacing w:after="0"/>
              <w:rPr>
                <w:sz w:val="20"/>
                <w:szCs w:val="20"/>
                <w:color w:val="auto"/>
              </w:rPr>
            </w:pPr>
            <w:r>
              <w:rPr>
                <w:rFonts w:ascii="Arial" w:cs="Arial" w:eastAsia="Arial" w:hAnsi="Arial"/>
                <w:sz w:val="14"/>
                <w:szCs w:val="14"/>
                <w:color w:val="auto"/>
              </w:rPr>
              <w:t>(5 )</w:t>
            </w:r>
          </w:p>
        </w:tc>
        <w:tc>
          <w:tcPr>
            <w:tcW w:w="42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240"/>
              <w:spacing w:after="0"/>
              <w:rPr>
                <w:sz w:val="20"/>
                <w:szCs w:val="20"/>
                <w:color w:val="auto"/>
              </w:rPr>
            </w:pPr>
            <w:r>
              <w:rPr>
                <w:rFonts w:ascii="Arial" w:cs="Arial" w:eastAsia="Arial" w:hAnsi="Arial"/>
                <w:sz w:val="14"/>
                <w:szCs w:val="14"/>
                <w:color w:val="auto"/>
              </w:rPr>
              <w:t>(6 )</w:t>
            </w:r>
          </w:p>
        </w:tc>
        <w:tc>
          <w:tcPr>
            <w:tcW w:w="3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22"/>
        </w:trPr>
        <w:tc>
          <w:tcPr>
            <w:tcW w:w="2980" w:type="dxa"/>
            <w:vAlign w:val="bottom"/>
          </w:tcPr>
          <w:p>
            <w:pPr>
              <w:ind w:left="20"/>
              <w:spacing w:after="0"/>
              <w:rPr>
                <w:sz w:val="20"/>
                <w:szCs w:val="20"/>
                <w:color w:val="auto"/>
              </w:rPr>
            </w:pPr>
            <w:r>
              <w:rPr>
                <w:rFonts w:ascii="Arial" w:cs="Arial" w:eastAsia="Arial" w:hAnsi="Arial"/>
                <w:sz w:val="14"/>
                <w:szCs w:val="14"/>
                <w:color w:val="auto"/>
              </w:rPr>
              <w:t>Prior service credit</w:t>
            </w:r>
          </w:p>
        </w:tc>
        <w:tc>
          <w:tcPr>
            <w:tcW w:w="4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89"/>
              <w:spacing w:after="0"/>
              <w:rPr>
                <w:sz w:val="20"/>
                <w:szCs w:val="20"/>
                <w:color w:val="auto"/>
              </w:rPr>
            </w:pPr>
            <w:r>
              <w:rPr>
                <w:rFonts w:ascii="Arial" w:cs="Arial" w:eastAsia="Arial" w:hAnsi="Arial"/>
                <w:sz w:val="14"/>
                <w:szCs w:val="14"/>
                <w:color w:val="auto"/>
              </w:rPr>
              <w:t>1</w:t>
            </w:r>
          </w:p>
        </w:tc>
        <w:tc>
          <w:tcPr>
            <w:tcW w:w="4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280" w:type="dxa"/>
            <w:vAlign w:val="bottom"/>
            <w:tcBorders>
              <w:bottom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00"/>
        </w:trPr>
        <w:tc>
          <w:tcPr>
            <w:tcW w:w="29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Total</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ind w:right="229"/>
              <w:spacing w:after="0"/>
              <w:rPr>
                <w:sz w:val="20"/>
                <w:szCs w:val="20"/>
                <w:color w:val="auto"/>
              </w:rPr>
            </w:pPr>
            <w:r>
              <w:rPr>
                <w:rFonts w:ascii="Arial" w:cs="Arial" w:eastAsia="Arial" w:hAnsi="Arial"/>
                <w:sz w:val="14"/>
                <w:szCs w:val="14"/>
                <w:color w:val="auto"/>
              </w:rPr>
              <w:t>(4 )</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4"/>
                <w:szCs w:val="14"/>
                <w:color w:val="auto"/>
              </w:rPr>
              <w:t>(5 )</w:t>
            </w:r>
          </w:p>
        </w:tc>
        <w:tc>
          <w:tcPr>
            <w:tcW w:w="3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r>
    </w:tbl>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14"/>
          <w:szCs w:val="14"/>
          <w:color w:val="auto"/>
        </w:rPr>
        <w:t>140</w:t>
      </w:r>
    </w:p>
    <w:p>
      <w:pPr>
        <w:sectPr>
          <w:pgSz w:w="11900" w:h="16838" w:orient="portrait"/>
          <w:cols w:equalWidth="0" w:num="1">
            <w:col w:w="11420"/>
          </w:cols>
          <w:pgMar w:left="240" w:top="294" w:right="239" w:bottom="1440" w:gutter="0" w:footer="0" w:header="0"/>
        </w:sectPr>
      </w:pPr>
    </w:p>
    <w:bookmarkStart w:id="280" w:name="page281"/>
    <w:bookmarkEnd w:id="280"/>
    <w:p>
      <w:pPr>
        <w:spacing w:after="0"/>
        <w:rPr>
          <w:sz w:val="20"/>
          <w:szCs w:val="20"/>
          <w:color w:val="auto"/>
        </w:rPr>
      </w:pPr>
      <w:r>
        <w:rPr>
          <w:rFonts w:ascii="Arial" w:cs="Arial" w:eastAsia="Arial" w:hAnsi="Arial"/>
          <w:sz w:val="16"/>
          <w:szCs w:val="16"/>
          <w:color w:val="auto"/>
        </w:rPr>
        <w:t>The accumulated benefit obligations for defined benefit pension plans at December 31, 2008 and 2007 were as follows:</w:t>
      </w:r>
    </w:p>
    <w:p>
      <w:pPr>
        <w:spacing w:after="0" w:line="325" w:lineRule="exact"/>
        <w:rPr>
          <w:sz w:val="20"/>
          <w:szCs w:val="20"/>
          <w:color w:val="auto"/>
        </w:rPr>
      </w:pPr>
    </w:p>
    <w:tbl>
      <w:tblPr>
        <w:tblLayout w:type="fixed"/>
        <w:tblInd w:w="1780" w:type="dxa"/>
        <w:tblCellMar>
          <w:top w:w="0" w:type="dxa"/>
          <w:left w:w="0" w:type="dxa"/>
          <w:bottom w:w="0" w:type="dxa"/>
          <w:right w:w="0" w:type="dxa"/>
        </w:tblCellMar>
      </w:tblPr>
      <w:tr>
        <w:trPr>
          <w:trHeight w:val="154"/>
        </w:trPr>
        <w:tc>
          <w:tcPr>
            <w:tcW w:w="2320" w:type="dxa"/>
            <w:vAlign w:val="bottom"/>
          </w:tcPr>
          <w:p>
            <w:pPr>
              <w:spacing w:after="0"/>
              <w:rPr>
                <w:sz w:val="13"/>
                <w:szCs w:val="13"/>
                <w:color w:val="auto"/>
              </w:rPr>
            </w:pPr>
          </w:p>
        </w:tc>
        <w:tc>
          <w:tcPr>
            <w:tcW w:w="1260" w:type="dxa"/>
            <w:vAlign w:val="bottom"/>
            <w:gridSpan w:val="2"/>
          </w:tcPr>
          <w:p>
            <w:pPr>
              <w:jc w:val="center"/>
              <w:ind w:left="294"/>
              <w:spacing w:after="0"/>
              <w:rPr>
                <w:sz w:val="20"/>
                <w:szCs w:val="20"/>
                <w:color w:val="auto"/>
              </w:rPr>
            </w:pPr>
            <w:r>
              <w:rPr>
                <w:rFonts w:ascii="Arial" w:cs="Arial" w:eastAsia="Arial" w:hAnsi="Arial"/>
                <w:sz w:val="13"/>
                <w:szCs w:val="13"/>
                <w:color w:val="auto"/>
                <w:w w:val="99"/>
              </w:rPr>
              <w:t>Sempra Energy</w:t>
            </w:r>
          </w:p>
        </w:tc>
        <w:tc>
          <w:tcPr>
            <w:tcW w:w="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0" w:type="dxa"/>
            <w:vAlign w:val="bottom"/>
          </w:tcPr>
          <w:p>
            <w:pPr>
              <w:spacing w:after="0"/>
              <w:rPr>
                <w:sz w:val="13"/>
                <w:szCs w:val="13"/>
                <w:color w:val="auto"/>
              </w:rPr>
            </w:pPr>
          </w:p>
        </w:tc>
      </w:tr>
      <w:tr>
        <w:trPr>
          <w:trHeight w:val="158"/>
        </w:trPr>
        <w:tc>
          <w:tcPr>
            <w:tcW w:w="2320" w:type="dxa"/>
            <w:vAlign w:val="bottom"/>
          </w:tcPr>
          <w:p>
            <w:pPr>
              <w:spacing w:after="0"/>
              <w:rPr>
                <w:sz w:val="13"/>
                <w:szCs w:val="13"/>
                <w:color w:val="auto"/>
              </w:rPr>
            </w:pPr>
          </w:p>
        </w:tc>
        <w:tc>
          <w:tcPr>
            <w:tcW w:w="1260" w:type="dxa"/>
            <w:vAlign w:val="bottom"/>
            <w:tcBorders>
              <w:bottom w:val="single" w:sz="8" w:color="auto"/>
            </w:tcBorders>
            <w:gridSpan w:val="2"/>
          </w:tcPr>
          <w:p>
            <w:pPr>
              <w:jc w:val="center"/>
              <w:ind w:left="294"/>
              <w:spacing w:after="0"/>
              <w:rPr>
                <w:sz w:val="20"/>
                <w:szCs w:val="20"/>
                <w:color w:val="auto"/>
              </w:rPr>
            </w:pPr>
            <w:r>
              <w:rPr>
                <w:rFonts w:ascii="Arial" w:cs="Arial" w:eastAsia="Arial" w:hAnsi="Arial"/>
                <w:sz w:val="13"/>
                <w:szCs w:val="13"/>
                <w:color w:val="auto"/>
                <w:w w:val="97"/>
              </w:rPr>
              <w:t>Consolidated</w:t>
            </w:r>
          </w:p>
        </w:tc>
        <w:tc>
          <w:tcPr>
            <w:tcW w:w="36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SDG&amp;E</w:t>
            </w:r>
          </w:p>
        </w:tc>
        <w:tc>
          <w:tcPr>
            <w:tcW w:w="20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24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color w:val="auto"/>
              </w:rPr>
              <w:t>SoCalGas</w:t>
            </w:r>
          </w:p>
        </w:tc>
        <w:tc>
          <w:tcPr>
            <w:tcW w:w="600" w:type="dxa"/>
            <w:vAlign w:val="bottom"/>
            <w:tcBorders>
              <w:bottom w:val="single" w:sz="8" w:color="auto"/>
            </w:tcBorders>
          </w:tcPr>
          <w:p>
            <w:pPr>
              <w:spacing w:after="0"/>
              <w:rPr>
                <w:sz w:val="13"/>
                <w:szCs w:val="13"/>
                <w:color w:val="auto"/>
              </w:rPr>
            </w:pPr>
          </w:p>
        </w:tc>
      </w:tr>
      <w:tr>
        <w:trPr>
          <w:trHeight w:val="211"/>
        </w:trPr>
        <w:tc>
          <w:tcPr>
            <w:tcW w:w="2320" w:type="dxa"/>
            <w:vAlign w:val="bottom"/>
            <w:tcBorders>
              <w:bottom w:val="single" w:sz="8" w:color="auto"/>
            </w:tcBorders>
          </w:tcPr>
          <w:p>
            <w:pPr>
              <w:ind w:left="20"/>
              <w:spacing w:after="0"/>
              <w:rPr>
                <w:sz w:val="20"/>
                <w:szCs w:val="20"/>
                <w:color w:val="auto"/>
              </w:rPr>
            </w:pPr>
            <w:r>
              <w:rPr>
                <w:rFonts w:ascii="Arial" w:cs="Arial" w:eastAsia="Arial" w:hAnsi="Arial"/>
                <w:sz w:val="13"/>
                <w:szCs w:val="13"/>
                <w:i w:val="1"/>
                <w:iCs w:val="1"/>
                <w:color w:val="auto"/>
              </w:rPr>
              <w:t>(Dollars in millions)</w:t>
            </w:r>
          </w:p>
        </w:tc>
        <w:tc>
          <w:tcPr>
            <w:tcW w:w="860" w:type="dxa"/>
            <w:vAlign w:val="bottom"/>
            <w:tcBorders>
              <w:bottom w:val="single" w:sz="8" w:color="auto"/>
            </w:tcBorders>
          </w:tcPr>
          <w:p>
            <w:pPr>
              <w:jc w:val="right"/>
              <w:ind w:right="114"/>
              <w:spacing w:after="0"/>
              <w:rPr>
                <w:sz w:val="20"/>
                <w:szCs w:val="20"/>
                <w:color w:val="auto"/>
              </w:rPr>
            </w:pPr>
            <w:r>
              <w:rPr>
                <w:rFonts w:ascii="Arial" w:cs="Arial" w:eastAsia="Arial" w:hAnsi="Arial"/>
                <w:sz w:val="13"/>
                <w:szCs w:val="13"/>
                <w:color w:val="auto"/>
              </w:rPr>
              <w:t>2008</w:t>
            </w:r>
          </w:p>
        </w:tc>
        <w:tc>
          <w:tcPr>
            <w:tcW w:w="40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2007</w:t>
            </w:r>
          </w:p>
        </w:tc>
        <w:tc>
          <w:tcPr>
            <w:tcW w:w="2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273"/>
              <w:spacing w:after="0"/>
              <w:rPr>
                <w:sz w:val="20"/>
                <w:szCs w:val="20"/>
                <w:color w:val="auto"/>
              </w:rPr>
            </w:pPr>
            <w:r>
              <w:rPr>
                <w:rFonts w:ascii="Arial" w:cs="Arial" w:eastAsia="Arial" w:hAnsi="Arial"/>
                <w:sz w:val="13"/>
                <w:szCs w:val="13"/>
                <w:color w:val="auto"/>
              </w:rPr>
              <w:t>2008</w:t>
            </w:r>
          </w:p>
        </w:tc>
        <w:tc>
          <w:tcPr>
            <w:tcW w:w="20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2007</w:t>
            </w:r>
          </w:p>
        </w:tc>
        <w:tc>
          <w:tcPr>
            <w:tcW w:w="1080" w:type="dxa"/>
            <w:vAlign w:val="bottom"/>
            <w:tcBorders>
              <w:bottom w:val="single" w:sz="8" w:color="auto"/>
            </w:tcBorders>
            <w:gridSpan w:val="2"/>
          </w:tcPr>
          <w:p>
            <w:pPr>
              <w:jc w:val="right"/>
              <w:ind w:right="116"/>
              <w:spacing w:after="0"/>
              <w:rPr>
                <w:sz w:val="20"/>
                <w:szCs w:val="20"/>
                <w:color w:val="auto"/>
              </w:rPr>
            </w:pPr>
            <w:r>
              <w:rPr>
                <w:rFonts w:ascii="Arial" w:cs="Arial" w:eastAsia="Arial" w:hAnsi="Arial"/>
                <w:sz w:val="13"/>
                <w:szCs w:val="13"/>
                <w:color w:val="auto"/>
              </w:rPr>
              <w:t>2008</w:t>
            </w:r>
          </w:p>
        </w:tc>
        <w:tc>
          <w:tcPr>
            <w:tcW w:w="3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152"/>
              <w:spacing w:after="0"/>
              <w:rPr>
                <w:sz w:val="20"/>
                <w:szCs w:val="20"/>
                <w:color w:val="auto"/>
              </w:rPr>
            </w:pPr>
            <w:r>
              <w:rPr>
                <w:rFonts w:ascii="Arial" w:cs="Arial" w:eastAsia="Arial" w:hAnsi="Arial"/>
                <w:sz w:val="13"/>
                <w:szCs w:val="13"/>
                <w:color w:val="auto"/>
              </w:rPr>
              <w:t>2007</w:t>
            </w:r>
          </w:p>
        </w:tc>
      </w:tr>
      <w:tr>
        <w:trPr>
          <w:trHeight w:val="241"/>
        </w:trPr>
        <w:tc>
          <w:tcPr>
            <w:tcW w:w="2320" w:type="dxa"/>
            <w:vAlign w:val="bottom"/>
            <w:tcBorders>
              <w:bottom w:val="single" w:sz="8" w:color="DFDFDF"/>
            </w:tcBorders>
          </w:tcPr>
          <w:p>
            <w:pPr>
              <w:ind w:left="20"/>
              <w:spacing w:after="0"/>
              <w:rPr>
                <w:sz w:val="20"/>
                <w:szCs w:val="20"/>
                <w:color w:val="auto"/>
              </w:rPr>
            </w:pPr>
            <w:r>
              <w:rPr>
                <w:rFonts w:ascii="Arial" w:cs="Arial" w:eastAsia="Arial" w:hAnsi="Arial"/>
                <w:sz w:val="14"/>
                <w:szCs w:val="14"/>
                <w:color w:val="auto"/>
              </w:rPr>
              <w:t>Accumulated benefit obligation</w:t>
            </w:r>
          </w:p>
        </w:tc>
        <w:tc>
          <w:tcPr>
            <w:tcW w:w="860" w:type="dxa"/>
            <w:vAlign w:val="bottom"/>
            <w:tcBorders>
              <w:bottom w:val="single" w:sz="8" w:color="DFDFDF"/>
            </w:tcBorders>
          </w:tcPr>
          <w:p>
            <w:pPr>
              <w:jc w:val="right"/>
              <w:ind w:right="114"/>
              <w:spacing w:after="0"/>
              <w:rPr>
                <w:sz w:val="20"/>
                <w:szCs w:val="20"/>
                <w:color w:val="auto"/>
              </w:rPr>
            </w:pPr>
            <w:r>
              <w:rPr>
                <w:rFonts w:ascii="Arial" w:cs="Arial" w:eastAsia="Arial" w:hAnsi="Arial"/>
                <w:sz w:val="14"/>
                <w:szCs w:val="14"/>
                <w:color w:val="auto"/>
              </w:rPr>
              <w:t>$  2,668</w:t>
            </w:r>
          </w:p>
        </w:tc>
        <w:tc>
          <w:tcPr>
            <w:tcW w:w="400" w:type="dxa"/>
            <w:vAlign w:val="bottom"/>
            <w:tcBorders>
              <w:bottom w:val="single" w:sz="8" w:color="DFDFDF"/>
            </w:tcBorders>
          </w:tcPr>
          <w:p>
            <w:pPr>
              <w:jc w:val="right"/>
              <w:ind w:right="68"/>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DFDFDF"/>
            </w:tcBorders>
          </w:tcPr>
          <w:p>
            <w:pPr>
              <w:jc w:val="right"/>
              <w:spacing w:after="0"/>
              <w:rPr>
                <w:sz w:val="20"/>
                <w:szCs w:val="20"/>
                <w:color w:val="auto"/>
              </w:rPr>
            </w:pPr>
            <w:r>
              <w:rPr>
                <w:rFonts w:ascii="Arial" w:cs="Arial" w:eastAsia="Arial" w:hAnsi="Arial"/>
                <w:sz w:val="14"/>
                <w:szCs w:val="14"/>
                <w:color w:val="auto"/>
                <w:w w:val="96"/>
              </w:rPr>
              <w:t>2,606</w:t>
            </w:r>
          </w:p>
        </w:tc>
        <w:tc>
          <w:tcPr>
            <w:tcW w:w="540" w:type="dxa"/>
            <w:vAlign w:val="bottom"/>
            <w:tcBorders>
              <w:bottom w:val="single" w:sz="8" w:color="DFDFDF"/>
            </w:tcBorders>
            <w:gridSpan w:val="2"/>
          </w:tcPr>
          <w:p>
            <w:pPr>
              <w:jc w:val="right"/>
              <w:ind w:right="120"/>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DFDFDF"/>
            </w:tcBorders>
          </w:tcPr>
          <w:p>
            <w:pPr>
              <w:jc w:val="right"/>
              <w:ind w:right="273"/>
              <w:spacing w:after="0"/>
              <w:rPr>
                <w:sz w:val="20"/>
                <w:szCs w:val="20"/>
                <w:color w:val="auto"/>
              </w:rPr>
            </w:pPr>
            <w:r>
              <w:rPr>
                <w:rFonts w:ascii="Arial" w:cs="Arial" w:eastAsia="Arial" w:hAnsi="Arial"/>
                <w:sz w:val="14"/>
                <w:szCs w:val="14"/>
                <w:color w:val="auto"/>
              </w:rPr>
              <w:t>803</w:t>
            </w:r>
          </w:p>
        </w:tc>
        <w:tc>
          <w:tcPr>
            <w:tcW w:w="200" w:type="dxa"/>
            <w:vAlign w:val="bottom"/>
            <w:tcBorders>
              <w:bottom w:val="single" w:sz="8" w:color="DFDFDF"/>
            </w:tcBorders>
          </w:tcPr>
          <w:p>
            <w:pPr>
              <w:jc w:val="right"/>
              <w:ind w:right="28"/>
              <w:spacing w:after="0"/>
              <w:rPr>
                <w:sz w:val="20"/>
                <w:szCs w:val="20"/>
                <w:color w:val="auto"/>
              </w:rPr>
            </w:pPr>
            <w:r>
              <w:rPr>
                <w:rFonts w:ascii="Arial" w:cs="Arial" w:eastAsia="Arial" w:hAnsi="Arial"/>
                <w:sz w:val="14"/>
                <w:szCs w:val="14"/>
                <w:color w:val="auto"/>
              </w:rPr>
              <w:t>$</w:t>
            </w:r>
          </w:p>
        </w:tc>
        <w:tc>
          <w:tcPr>
            <w:tcW w:w="400" w:type="dxa"/>
            <w:vAlign w:val="bottom"/>
            <w:tcBorders>
              <w:bottom w:val="single" w:sz="8" w:color="DFDFDF"/>
            </w:tcBorders>
          </w:tcPr>
          <w:p>
            <w:pPr>
              <w:jc w:val="right"/>
              <w:spacing w:after="0"/>
              <w:rPr>
                <w:sz w:val="20"/>
                <w:szCs w:val="20"/>
                <w:color w:val="auto"/>
              </w:rPr>
            </w:pPr>
            <w:r>
              <w:rPr>
                <w:rFonts w:ascii="Arial" w:cs="Arial" w:eastAsia="Arial" w:hAnsi="Arial"/>
                <w:sz w:val="14"/>
                <w:szCs w:val="14"/>
                <w:color w:val="auto"/>
              </w:rPr>
              <w:t>795</w:t>
            </w:r>
          </w:p>
        </w:tc>
        <w:tc>
          <w:tcPr>
            <w:tcW w:w="1080" w:type="dxa"/>
            <w:vAlign w:val="bottom"/>
            <w:tcBorders>
              <w:bottom w:val="single" w:sz="8" w:color="DFDFDF"/>
            </w:tcBorders>
            <w:gridSpan w:val="2"/>
          </w:tcPr>
          <w:p>
            <w:pPr>
              <w:jc w:val="right"/>
              <w:ind w:right="116"/>
              <w:spacing w:after="0"/>
              <w:rPr>
                <w:sz w:val="20"/>
                <w:szCs w:val="20"/>
                <w:color w:val="auto"/>
              </w:rPr>
            </w:pPr>
            <w:r>
              <w:rPr>
                <w:rFonts w:ascii="Arial" w:cs="Arial" w:eastAsia="Arial" w:hAnsi="Arial"/>
                <w:sz w:val="14"/>
                <w:szCs w:val="14"/>
                <w:color w:val="auto"/>
              </w:rPr>
              <w:t>$  1,493</w:t>
            </w:r>
          </w:p>
        </w:tc>
        <w:tc>
          <w:tcPr>
            <w:tcW w:w="380" w:type="dxa"/>
            <w:vAlign w:val="bottom"/>
            <w:tcBorders>
              <w:bottom w:val="single" w:sz="8" w:color="DFDFDF"/>
            </w:tcBorders>
          </w:tcPr>
          <w:p>
            <w:pPr>
              <w:jc w:val="right"/>
              <w:ind w:right="48"/>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DFDFDF"/>
            </w:tcBorders>
          </w:tcPr>
          <w:p>
            <w:pPr>
              <w:jc w:val="right"/>
              <w:ind w:right="152"/>
              <w:spacing w:after="0"/>
              <w:rPr>
                <w:sz w:val="20"/>
                <w:szCs w:val="20"/>
                <w:color w:val="auto"/>
              </w:rPr>
            </w:pPr>
            <w:r>
              <w:rPr>
                <w:rFonts w:ascii="Arial" w:cs="Arial" w:eastAsia="Arial" w:hAnsi="Arial"/>
                <w:sz w:val="14"/>
                <w:szCs w:val="14"/>
                <w:color w:val="auto"/>
              </w:rPr>
              <w:t>1,467</w:t>
            </w:r>
          </w:p>
        </w:tc>
      </w:tr>
    </w:tbl>
    <w:p>
      <w:pPr>
        <w:spacing w:after="0" w:line="180" w:lineRule="exact"/>
        <w:rPr>
          <w:sz w:val="20"/>
          <w:szCs w:val="20"/>
          <w:color w:val="auto"/>
        </w:rPr>
      </w:pPr>
    </w:p>
    <w:p>
      <w:pPr>
        <w:spacing w:after="0" w:line="277" w:lineRule="auto"/>
        <w:rPr>
          <w:sz w:val="20"/>
          <w:szCs w:val="20"/>
          <w:color w:val="auto"/>
        </w:rPr>
      </w:pPr>
      <w:r>
        <w:rPr>
          <w:rFonts w:ascii="Arial" w:cs="Arial" w:eastAsia="Arial" w:hAnsi="Arial"/>
          <w:sz w:val="16"/>
          <w:szCs w:val="16"/>
          <w:color w:val="auto"/>
        </w:rPr>
        <w:t>Sempra Energy has unfunded and funded pension plans. SDG&amp;E and SoCalGas each have an unfunded and a funded pension plan. The following table also shows the obligations of funded pension plans with benefit obligations in excess of plan assets as of December 31:</w:t>
      </w:r>
    </w:p>
    <w:p>
      <w:pPr>
        <w:spacing w:after="0" w:line="301" w:lineRule="exact"/>
        <w:rPr>
          <w:sz w:val="20"/>
          <w:szCs w:val="20"/>
          <w:color w:val="auto"/>
        </w:rPr>
      </w:pPr>
    </w:p>
    <w:tbl>
      <w:tblPr>
        <w:tblLayout w:type="fixed"/>
        <w:tblInd w:w="1880" w:type="dxa"/>
        <w:tblCellMar>
          <w:top w:w="0" w:type="dxa"/>
          <w:left w:w="0" w:type="dxa"/>
          <w:bottom w:w="0" w:type="dxa"/>
          <w:right w:w="0" w:type="dxa"/>
        </w:tblCellMar>
      </w:tblPr>
      <w:tr>
        <w:trPr>
          <w:trHeight w:val="171"/>
        </w:trPr>
        <w:tc>
          <w:tcPr>
            <w:tcW w:w="3400" w:type="dxa"/>
            <w:vAlign w:val="bottom"/>
            <w:tcBorders>
              <w:bottom w:val="single" w:sz="8" w:color="auto"/>
            </w:tcBorders>
          </w:tcPr>
          <w:p>
            <w:pPr>
              <w:ind w:left="20"/>
              <w:spacing w:after="0"/>
              <w:rPr>
                <w:sz w:val="20"/>
                <w:szCs w:val="20"/>
                <w:color w:val="auto"/>
              </w:rPr>
            </w:pPr>
            <w:r>
              <w:rPr>
                <w:rFonts w:ascii="Arial" w:cs="Arial" w:eastAsia="Arial" w:hAnsi="Arial"/>
                <w:sz w:val="13"/>
                <w:szCs w:val="13"/>
                <w:i w:val="1"/>
                <w:iCs w:val="1"/>
                <w:color w:val="auto"/>
              </w:rPr>
              <w:t>(Dollars in millions)</w:t>
            </w:r>
          </w:p>
        </w:tc>
        <w:tc>
          <w:tcPr>
            <w:tcW w:w="166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729"/>
              <w:spacing w:after="0"/>
              <w:rPr>
                <w:sz w:val="20"/>
                <w:szCs w:val="20"/>
                <w:color w:val="auto"/>
              </w:rPr>
            </w:pPr>
            <w:r>
              <w:rPr>
                <w:rFonts w:ascii="Arial" w:cs="Arial" w:eastAsia="Arial" w:hAnsi="Arial"/>
                <w:sz w:val="13"/>
                <w:szCs w:val="13"/>
                <w:color w:val="auto"/>
              </w:rPr>
              <w:t>2008</w:t>
            </w:r>
          </w:p>
        </w:tc>
        <w:tc>
          <w:tcPr>
            <w:tcW w:w="6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69"/>
              <w:spacing w:after="0"/>
              <w:rPr>
                <w:sz w:val="20"/>
                <w:szCs w:val="20"/>
                <w:color w:val="auto"/>
              </w:rPr>
            </w:pPr>
            <w:r>
              <w:rPr>
                <w:rFonts w:ascii="Arial" w:cs="Arial" w:eastAsia="Arial" w:hAnsi="Arial"/>
                <w:sz w:val="13"/>
                <w:szCs w:val="13"/>
                <w:color w:val="auto"/>
              </w:rPr>
              <w:t>2007</w:t>
            </w:r>
          </w:p>
        </w:tc>
      </w:tr>
      <w:tr>
        <w:trPr>
          <w:trHeight w:val="207"/>
        </w:trPr>
        <w:tc>
          <w:tcPr>
            <w:tcW w:w="3400" w:type="dxa"/>
            <w:vAlign w:val="bottom"/>
          </w:tcPr>
          <w:p>
            <w:pPr>
              <w:ind w:left="20"/>
              <w:spacing w:after="0"/>
              <w:rPr>
                <w:sz w:val="20"/>
                <w:szCs w:val="20"/>
                <w:color w:val="auto"/>
              </w:rPr>
            </w:pPr>
            <w:r>
              <w:rPr>
                <w:rFonts w:ascii="Arial" w:cs="Arial" w:eastAsia="Arial" w:hAnsi="Arial"/>
                <w:sz w:val="14"/>
                <w:szCs w:val="14"/>
                <w:b w:val="1"/>
                <w:bCs w:val="1"/>
                <w:color w:val="auto"/>
              </w:rPr>
              <w:t>Sempra Energy Consolidated</w:t>
            </w:r>
          </w:p>
        </w:tc>
        <w:tc>
          <w:tcPr>
            <w:tcW w:w="16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16"/>
        </w:trPr>
        <w:tc>
          <w:tcPr>
            <w:tcW w:w="3400" w:type="dxa"/>
            <w:vAlign w:val="bottom"/>
          </w:tcPr>
          <w:p>
            <w:pPr>
              <w:ind w:left="20"/>
              <w:spacing w:after="0"/>
              <w:rPr>
                <w:sz w:val="20"/>
                <w:szCs w:val="20"/>
                <w:color w:val="auto"/>
              </w:rPr>
            </w:pPr>
            <w:r>
              <w:rPr>
                <w:rFonts w:ascii="Arial" w:cs="Arial" w:eastAsia="Arial" w:hAnsi="Arial"/>
                <w:sz w:val="14"/>
                <w:szCs w:val="14"/>
                <w:color w:val="auto"/>
              </w:rPr>
              <w:t>Projected benefit obligation</w:t>
            </w:r>
          </w:p>
        </w:tc>
        <w:tc>
          <w:tcPr>
            <w:tcW w:w="166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369"/>
              <w:spacing w:after="0"/>
              <w:rPr>
                <w:sz w:val="20"/>
                <w:szCs w:val="20"/>
                <w:color w:val="auto"/>
              </w:rPr>
            </w:pPr>
            <w:r>
              <w:rPr>
                <w:rFonts w:ascii="Arial" w:cs="Arial" w:eastAsia="Arial" w:hAnsi="Arial"/>
                <w:sz w:val="14"/>
                <w:szCs w:val="14"/>
                <w:color w:val="auto"/>
              </w:rPr>
              <w:t>2,621</w:t>
            </w: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149"/>
              <w:spacing w:after="0"/>
              <w:rPr>
                <w:sz w:val="20"/>
                <w:szCs w:val="20"/>
                <w:color w:val="auto"/>
              </w:rPr>
            </w:pPr>
            <w:r>
              <w:rPr>
                <w:rFonts w:ascii="Arial" w:cs="Arial" w:eastAsia="Arial" w:hAnsi="Arial"/>
                <w:sz w:val="14"/>
                <w:szCs w:val="14"/>
                <w:color w:val="auto"/>
              </w:rPr>
              <w:t>774</w:t>
            </w:r>
          </w:p>
        </w:tc>
      </w:tr>
      <w:tr>
        <w:trPr>
          <w:trHeight w:val="216"/>
        </w:trPr>
        <w:tc>
          <w:tcPr>
            <w:tcW w:w="3400" w:type="dxa"/>
            <w:vAlign w:val="bottom"/>
          </w:tcPr>
          <w:p>
            <w:pPr>
              <w:ind w:left="20"/>
              <w:spacing w:after="0"/>
              <w:rPr>
                <w:sz w:val="20"/>
                <w:szCs w:val="20"/>
                <w:color w:val="auto"/>
              </w:rPr>
            </w:pPr>
            <w:r>
              <w:rPr>
                <w:rFonts w:ascii="Arial" w:cs="Arial" w:eastAsia="Arial" w:hAnsi="Arial"/>
                <w:sz w:val="14"/>
                <w:szCs w:val="14"/>
                <w:color w:val="auto"/>
              </w:rPr>
              <w:t>Accumulated benefit obligation</w:t>
            </w:r>
          </w:p>
        </w:tc>
        <w:tc>
          <w:tcPr>
            <w:tcW w:w="1660" w:type="dxa"/>
            <w:vAlign w:val="bottom"/>
          </w:tcPr>
          <w:p>
            <w:pPr>
              <w:spacing w:after="0"/>
              <w:rPr>
                <w:sz w:val="18"/>
                <w:szCs w:val="18"/>
                <w:color w:val="auto"/>
              </w:rPr>
            </w:pPr>
          </w:p>
        </w:tc>
        <w:tc>
          <w:tcPr>
            <w:tcW w:w="1280" w:type="dxa"/>
            <w:vAlign w:val="bottom"/>
          </w:tcPr>
          <w:p>
            <w:pPr>
              <w:jc w:val="right"/>
              <w:ind w:right="369"/>
              <w:spacing w:after="0"/>
              <w:rPr>
                <w:sz w:val="20"/>
                <w:szCs w:val="20"/>
                <w:color w:val="auto"/>
              </w:rPr>
            </w:pPr>
            <w:r>
              <w:rPr>
                <w:rFonts w:ascii="Arial" w:cs="Arial" w:eastAsia="Arial" w:hAnsi="Arial"/>
                <w:sz w:val="14"/>
                <w:szCs w:val="14"/>
                <w:color w:val="auto"/>
              </w:rPr>
              <w:t>2,449</w:t>
            </w:r>
          </w:p>
        </w:tc>
        <w:tc>
          <w:tcPr>
            <w:tcW w:w="620" w:type="dxa"/>
            <w:vAlign w:val="bottom"/>
          </w:tcPr>
          <w:p>
            <w:pPr>
              <w:spacing w:after="0"/>
              <w:rPr>
                <w:sz w:val="18"/>
                <w:szCs w:val="18"/>
                <w:color w:val="auto"/>
              </w:rPr>
            </w:pPr>
          </w:p>
        </w:tc>
        <w:tc>
          <w:tcPr>
            <w:tcW w:w="700" w:type="dxa"/>
            <w:vAlign w:val="bottom"/>
          </w:tcPr>
          <w:p>
            <w:pPr>
              <w:jc w:val="right"/>
              <w:ind w:right="149"/>
              <w:spacing w:after="0"/>
              <w:rPr>
                <w:sz w:val="20"/>
                <w:szCs w:val="20"/>
                <w:color w:val="auto"/>
              </w:rPr>
            </w:pPr>
            <w:r>
              <w:rPr>
                <w:rFonts w:ascii="Arial" w:cs="Arial" w:eastAsia="Arial" w:hAnsi="Arial"/>
                <w:sz w:val="14"/>
                <w:szCs w:val="14"/>
                <w:color w:val="auto"/>
              </w:rPr>
              <w:t>771</w:t>
            </w:r>
          </w:p>
        </w:tc>
      </w:tr>
      <w:tr>
        <w:trPr>
          <w:trHeight w:val="250"/>
        </w:trPr>
        <w:tc>
          <w:tcPr>
            <w:tcW w:w="3400" w:type="dxa"/>
            <w:vAlign w:val="bottom"/>
            <w:tcBorders>
              <w:bottom w:val="single" w:sz="8" w:color="DFDFDF"/>
            </w:tcBorders>
          </w:tcPr>
          <w:p>
            <w:pPr>
              <w:ind w:left="20"/>
              <w:spacing w:after="0"/>
              <w:rPr>
                <w:sz w:val="20"/>
                <w:szCs w:val="20"/>
                <w:color w:val="auto"/>
              </w:rPr>
            </w:pPr>
            <w:r>
              <w:rPr>
                <w:rFonts w:ascii="Arial" w:cs="Arial" w:eastAsia="Arial" w:hAnsi="Arial"/>
                <w:sz w:val="14"/>
                <w:szCs w:val="14"/>
                <w:color w:val="auto"/>
              </w:rPr>
              <w:t>Fair value of plan assets</w:t>
            </w:r>
          </w:p>
        </w:tc>
        <w:tc>
          <w:tcPr>
            <w:tcW w:w="1660" w:type="dxa"/>
            <w:vAlign w:val="bottom"/>
            <w:tcBorders>
              <w:bottom w:val="single" w:sz="8" w:color="DFDFDF"/>
            </w:tcBorders>
          </w:tcPr>
          <w:p>
            <w:pPr>
              <w:spacing w:after="0"/>
              <w:rPr>
                <w:sz w:val="21"/>
                <w:szCs w:val="21"/>
                <w:color w:val="auto"/>
              </w:rPr>
            </w:pPr>
          </w:p>
        </w:tc>
        <w:tc>
          <w:tcPr>
            <w:tcW w:w="1280" w:type="dxa"/>
            <w:vAlign w:val="bottom"/>
            <w:tcBorders>
              <w:bottom w:val="single" w:sz="8" w:color="DFDFDF"/>
            </w:tcBorders>
          </w:tcPr>
          <w:p>
            <w:pPr>
              <w:jc w:val="right"/>
              <w:ind w:right="369"/>
              <w:spacing w:after="0"/>
              <w:rPr>
                <w:sz w:val="20"/>
                <w:szCs w:val="20"/>
                <w:color w:val="auto"/>
              </w:rPr>
            </w:pPr>
            <w:r>
              <w:rPr>
                <w:rFonts w:ascii="Arial" w:cs="Arial" w:eastAsia="Arial" w:hAnsi="Arial"/>
                <w:sz w:val="14"/>
                <w:szCs w:val="14"/>
                <w:color w:val="auto"/>
              </w:rPr>
              <w:t>1,742</w:t>
            </w:r>
          </w:p>
        </w:tc>
        <w:tc>
          <w:tcPr>
            <w:tcW w:w="620" w:type="dxa"/>
            <w:vAlign w:val="bottom"/>
            <w:tcBorders>
              <w:bottom w:val="single" w:sz="8" w:color="DFDFDF"/>
            </w:tcBorders>
          </w:tcPr>
          <w:p>
            <w:pPr>
              <w:spacing w:after="0"/>
              <w:rPr>
                <w:sz w:val="21"/>
                <w:szCs w:val="21"/>
                <w:color w:val="auto"/>
              </w:rPr>
            </w:pPr>
          </w:p>
        </w:tc>
        <w:tc>
          <w:tcPr>
            <w:tcW w:w="700" w:type="dxa"/>
            <w:vAlign w:val="bottom"/>
            <w:tcBorders>
              <w:bottom w:val="single" w:sz="8" w:color="DFDFDF"/>
            </w:tcBorders>
          </w:tcPr>
          <w:p>
            <w:pPr>
              <w:jc w:val="right"/>
              <w:ind w:right="149"/>
              <w:spacing w:after="0"/>
              <w:rPr>
                <w:sz w:val="20"/>
                <w:szCs w:val="20"/>
                <w:color w:val="auto"/>
              </w:rPr>
            </w:pPr>
            <w:r>
              <w:rPr>
                <w:rFonts w:ascii="Arial" w:cs="Arial" w:eastAsia="Arial" w:hAnsi="Arial"/>
                <w:sz w:val="14"/>
                <w:szCs w:val="14"/>
                <w:color w:val="auto"/>
              </w:rPr>
              <w:t>684</w:t>
            </w:r>
          </w:p>
        </w:tc>
      </w:tr>
      <w:tr>
        <w:trPr>
          <w:trHeight w:val="210"/>
        </w:trPr>
        <w:tc>
          <w:tcPr>
            <w:tcW w:w="3400" w:type="dxa"/>
            <w:vAlign w:val="bottom"/>
          </w:tcPr>
          <w:p>
            <w:pPr>
              <w:ind w:left="20"/>
              <w:spacing w:after="0"/>
              <w:rPr>
                <w:sz w:val="20"/>
                <w:szCs w:val="20"/>
                <w:color w:val="auto"/>
              </w:rPr>
            </w:pPr>
            <w:r>
              <w:rPr>
                <w:rFonts w:ascii="Arial" w:cs="Arial" w:eastAsia="Arial" w:hAnsi="Arial"/>
                <w:sz w:val="14"/>
                <w:szCs w:val="14"/>
                <w:b w:val="1"/>
                <w:bCs w:val="1"/>
                <w:color w:val="auto"/>
              </w:rPr>
              <w:t>SDG&amp;E</w:t>
            </w:r>
          </w:p>
        </w:tc>
        <w:tc>
          <w:tcPr>
            <w:tcW w:w="16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16"/>
        </w:trPr>
        <w:tc>
          <w:tcPr>
            <w:tcW w:w="3400" w:type="dxa"/>
            <w:vAlign w:val="bottom"/>
          </w:tcPr>
          <w:p>
            <w:pPr>
              <w:ind w:left="20"/>
              <w:spacing w:after="0"/>
              <w:rPr>
                <w:sz w:val="20"/>
                <w:szCs w:val="20"/>
                <w:color w:val="auto"/>
              </w:rPr>
            </w:pPr>
            <w:r>
              <w:rPr>
                <w:rFonts w:ascii="Arial" w:cs="Arial" w:eastAsia="Arial" w:hAnsi="Arial"/>
                <w:sz w:val="14"/>
                <w:szCs w:val="14"/>
                <w:color w:val="auto"/>
              </w:rPr>
              <w:t>Projected benefit obligation</w:t>
            </w:r>
          </w:p>
        </w:tc>
        <w:tc>
          <w:tcPr>
            <w:tcW w:w="166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369"/>
              <w:spacing w:after="0"/>
              <w:rPr>
                <w:sz w:val="20"/>
                <w:szCs w:val="20"/>
                <w:color w:val="auto"/>
              </w:rPr>
            </w:pPr>
            <w:r>
              <w:rPr>
                <w:rFonts w:ascii="Arial" w:cs="Arial" w:eastAsia="Arial" w:hAnsi="Arial"/>
                <w:sz w:val="14"/>
                <w:szCs w:val="14"/>
                <w:color w:val="auto"/>
              </w:rPr>
              <w:t>787</w:t>
            </w: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149"/>
              <w:spacing w:after="0"/>
              <w:rPr>
                <w:sz w:val="20"/>
                <w:szCs w:val="20"/>
                <w:color w:val="auto"/>
              </w:rPr>
            </w:pPr>
            <w:r>
              <w:rPr>
                <w:rFonts w:ascii="Arial" w:cs="Arial" w:eastAsia="Arial" w:hAnsi="Arial"/>
                <w:sz w:val="14"/>
                <w:szCs w:val="14"/>
                <w:color w:val="auto"/>
              </w:rPr>
              <w:t>774</w:t>
            </w:r>
          </w:p>
        </w:tc>
      </w:tr>
      <w:tr>
        <w:trPr>
          <w:trHeight w:val="216"/>
        </w:trPr>
        <w:tc>
          <w:tcPr>
            <w:tcW w:w="3400" w:type="dxa"/>
            <w:vAlign w:val="bottom"/>
          </w:tcPr>
          <w:p>
            <w:pPr>
              <w:ind w:left="20"/>
              <w:spacing w:after="0"/>
              <w:rPr>
                <w:sz w:val="20"/>
                <w:szCs w:val="20"/>
                <w:color w:val="auto"/>
              </w:rPr>
            </w:pPr>
            <w:r>
              <w:rPr>
                <w:rFonts w:ascii="Arial" w:cs="Arial" w:eastAsia="Arial" w:hAnsi="Arial"/>
                <w:sz w:val="14"/>
                <w:szCs w:val="14"/>
                <w:color w:val="auto"/>
              </w:rPr>
              <w:t>Accumulated benefit obligation</w:t>
            </w:r>
          </w:p>
        </w:tc>
        <w:tc>
          <w:tcPr>
            <w:tcW w:w="1660" w:type="dxa"/>
            <w:vAlign w:val="bottom"/>
          </w:tcPr>
          <w:p>
            <w:pPr>
              <w:spacing w:after="0"/>
              <w:rPr>
                <w:sz w:val="18"/>
                <w:szCs w:val="18"/>
                <w:color w:val="auto"/>
              </w:rPr>
            </w:pPr>
          </w:p>
        </w:tc>
        <w:tc>
          <w:tcPr>
            <w:tcW w:w="1280" w:type="dxa"/>
            <w:vAlign w:val="bottom"/>
          </w:tcPr>
          <w:p>
            <w:pPr>
              <w:jc w:val="right"/>
              <w:ind w:right="369"/>
              <w:spacing w:after="0"/>
              <w:rPr>
                <w:sz w:val="20"/>
                <w:szCs w:val="20"/>
                <w:color w:val="auto"/>
              </w:rPr>
            </w:pPr>
            <w:r>
              <w:rPr>
                <w:rFonts w:ascii="Arial" w:cs="Arial" w:eastAsia="Arial" w:hAnsi="Arial"/>
                <w:sz w:val="14"/>
                <w:szCs w:val="14"/>
                <w:color w:val="auto"/>
              </w:rPr>
              <w:t>780</w:t>
            </w:r>
          </w:p>
        </w:tc>
        <w:tc>
          <w:tcPr>
            <w:tcW w:w="620" w:type="dxa"/>
            <w:vAlign w:val="bottom"/>
          </w:tcPr>
          <w:p>
            <w:pPr>
              <w:spacing w:after="0"/>
              <w:rPr>
                <w:sz w:val="18"/>
                <w:szCs w:val="18"/>
                <w:color w:val="auto"/>
              </w:rPr>
            </w:pPr>
          </w:p>
        </w:tc>
        <w:tc>
          <w:tcPr>
            <w:tcW w:w="700" w:type="dxa"/>
            <w:vAlign w:val="bottom"/>
          </w:tcPr>
          <w:p>
            <w:pPr>
              <w:jc w:val="right"/>
              <w:ind w:right="149"/>
              <w:spacing w:after="0"/>
              <w:rPr>
                <w:sz w:val="20"/>
                <w:szCs w:val="20"/>
                <w:color w:val="auto"/>
              </w:rPr>
            </w:pPr>
            <w:r>
              <w:rPr>
                <w:rFonts w:ascii="Arial" w:cs="Arial" w:eastAsia="Arial" w:hAnsi="Arial"/>
                <w:sz w:val="14"/>
                <w:szCs w:val="14"/>
                <w:color w:val="auto"/>
              </w:rPr>
              <w:t>771</w:t>
            </w:r>
          </w:p>
        </w:tc>
      </w:tr>
      <w:tr>
        <w:trPr>
          <w:trHeight w:val="250"/>
        </w:trPr>
        <w:tc>
          <w:tcPr>
            <w:tcW w:w="3400" w:type="dxa"/>
            <w:vAlign w:val="bottom"/>
            <w:tcBorders>
              <w:bottom w:val="single" w:sz="8" w:color="DFDFDF"/>
            </w:tcBorders>
          </w:tcPr>
          <w:p>
            <w:pPr>
              <w:ind w:left="20"/>
              <w:spacing w:after="0"/>
              <w:rPr>
                <w:sz w:val="20"/>
                <w:szCs w:val="20"/>
                <w:color w:val="auto"/>
              </w:rPr>
            </w:pPr>
            <w:r>
              <w:rPr>
                <w:rFonts w:ascii="Arial" w:cs="Arial" w:eastAsia="Arial" w:hAnsi="Arial"/>
                <w:sz w:val="14"/>
                <w:szCs w:val="14"/>
                <w:color w:val="auto"/>
              </w:rPr>
              <w:t>Fair value of plan assets</w:t>
            </w:r>
          </w:p>
        </w:tc>
        <w:tc>
          <w:tcPr>
            <w:tcW w:w="1660" w:type="dxa"/>
            <w:vAlign w:val="bottom"/>
            <w:tcBorders>
              <w:bottom w:val="single" w:sz="8" w:color="DFDFDF"/>
            </w:tcBorders>
          </w:tcPr>
          <w:p>
            <w:pPr>
              <w:spacing w:after="0"/>
              <w:rPr>
                <w:sz w:val="21"/>
                <w:szCs w:val="21"/>
                <w:color w:val="auto"/>
              </w:rPr>
            </w:pPr>
          </w:p>
        </w:tc>
        <w:tc>
          <w:tcPr>
            <w:tcW w:w="1280" w:type="dxa"/>
            <w:vAlign w:val="bottom"/>
            <w:tcBorders>
              <w:bottom w:val="single" w:sz="8" w:color="DFDFDF"/>
            </w:tcBorders>
          </w:tcPr>
          <w:p>
            <w:pPr>
              <w:jc w:val="right"/>
              <w:ind w:right="369"/>
              <w:spacing w:after="0"/>
              <w:rPr>
                <w:sz w:val="20"/>
                <w:szCs w:val="20"/>
                <w:color w:val="auto"/>
              </w:rPr>
            </w:pPr>
            <w:r>
              <w:rPr>
                <w:rFonts w:ascii="Arial" w:cs="Arial" w:eastAsia="Arial" w:hAnsi="Arial"/>
                <w:sz w:val="14"/>
                <w:szCs w:val="14"/>
                <w:color w:val="auto"/>
              </w:rPr>
              <w:t>480</w:t>
            </w:r>
          </w:p>
        </w:tc>
        <w:tc>
          <w:tcPr>
            <w:tcW w:w="620" w:type="dxa"/>
            <w:vAlign w:val="bottom"/>
            <w:tcBorders>
              <w:bottom w:val="single" w:sz="8" w:color="DFDFDF"/>
            </w:tcBorders>
          </w:tcPr>
          <w:p>
            <w:pPr>
              <w:spacing w:after="0"/>
              <w:rPr>
                <w:sz w:val="21"/>
                <w:szCs w:val="21"/>
                <w:color w:val="auto"/>
              </w:rPr>
            </w:pPr>
          </w:p>
        </w:tc>
        <w:tc>
          <w:tcPr>
            <w:tcW w:w="700" w:type="dxa"/>
            <w:vAlign w:val="bottom"/>
            <w:tcBorders>
              <w:bottom w:val="single" w:sz="8" w:color="DFDFDF"/>
            </w:tcBorders>
          </w:tcPr>
          <w:p>
            <w:pPr>
              <w:jc w:val="right"/>
              <w:ind w:right="149"/>
              <w:spacing w:after="0"/>
              <w:rPr>
                <w:sz w:val="20"/>
                <w:szCs w:val="20"/>
                <w:color w:val="auto"/>
              </w:rPr>
            </w:pPr>
            <w:r>
              <w:rPr>
                <w:rFonts w:ascii="Arial" w:cs="Arial" w:eastAsia="Arial" w:hAnsi="Arial"/>
                <w:sz w:val="14"/>
                <w:szCs w:val="14"/>
                <w:color w:val="auto"/>
              </w:rPr>
              <w:t>684</w:t>
            </w:r>
          </w:p>
        </w:tc>
      </w:tr>
      <w:tr>
        <w:trPr>
          <w:trHeight w:val="210"/>
        </w:trPr>
        <w:tc>
          <w:tcPr>
            <w:tcW w:w="3400" w:type="dxa"/>
            <w:vAlign w:val="bottom"/>
          </w:tcPr>
          <w:p>
            <w:pPr>
              <w:ind w:left="20"/>
              <w:spacing w:after="0"/>
              <w:rPr>
                <w:sz w:val="20"/>
                <w:szCs w:val="20"/>
                <w:color w:val="auto"/>
              </w:rPr>
            </w:pPr>
            <w:r>
              <w:rPr>
                <w:rFonts w:ascii="Arial" w:cs="Arial" w:eastAsia="Arial" w:hAnsi="Arial"/>
                <w:sz w:val="14"/>
                <w:szCs w:val="14"/>
                <w:b w:val="1"/>
                <w:bCs w:val="1"/>
                <w:color w:val="auto"/>
              </w:rPr>
              <w:t>SoCalGas</w:t>
            </w:r>
          </w:p>
        </w:tc>
        <w:tc>
          <w:tcPr>
            <w:tcW w:w="16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16"/>
        </w:trPr>
        <w:tc>
          <w:tcPr>
            <w:tcW w:w="3400" w:type="dxa"/>
            <w:vAlign w:val="bottom"/>
          </w:tcPr>
          <w:p>
            <w:pPr>
              <w:ind w:left="20"/>
              <w:spacing w:after="0"/>
              <w:rPr>
                <w:sz w:val="20"/>
                <w:szCs w:val="20"/>
                <w:color w:val="auto"/>
              </w:rPr>
            </w:pPr>
            <w:r>
              <w:rPr>
                <w:rFonts w:ascii="Arial" w:cs="Arial" w:eastAsia="Arial" w:hAnsi="Arial"/>
                <w:sz w:val="14"/>
                <w:szCs w:val="14"/>
                <w:color w:val="auto"/>
              </w:rPr>
              <w:t>Projected benefit obligation</w:t>
            </w:r>
          </w:p>
        </w:tc>
        <w:tc>
          <w:tcPr>
            <w:tcW w:w="166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369"/>
              <w:spacing w:after="0"/>
              <w:rPr>
                <w:sz w:val="20"/>
                <w:szCs w:val="20"/>
                <w:color w:val="auto"/>
              </w:rPr>
            </w:pPr>
            <w:r>
              <w:rPr>
                <w:rFonts w:ascii="Arial" w:cs="Arial" w:eastAsia="Arial" w:hAnsi="Arial"/>
                <w:sz w:val="14"/>
                <w:szCs w:val="14"/>
                <w:color w:val="auto"/>
              </w:rPr>
              <w:t>1,623</w:t>
            </w: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149"/>
              <w:spacing w:after="0"/>
              <w:rPr>
                <w:sz w:val="20"/>
                <w:szCs w:val="20"/>
                <w:color w:val="auto"/>
              </w:rPr>
            </w:pPr>
            <w:r>
              <w:rPr>
                <w:rFonts w:ascii="Arial" w:cs="Arial" w:eastAsia="Arial" w:hAnsi="Arial"/>
                <w:sz w:val="14"/>
                <w:szCs w:val="14"/>
                <w:color w:val="auto"/>
              </w:rPr>
              <w:t>--</w:t>
            </w:r>
          </w:p>
        </w:tc>
      </w:tr>
      <w:tr>
        <w:trPr>
          <w:trHeight w:val="216"/>
        </w:trPr>
        <w:tc>
          <w:tcPr>
            <w:tcW w:w="3400" w:type="dxa"/>
            <w:vAlign w:val="bottom"/>
          </w:tcPr>
          <w:p>
            <w:pPr>
              <w:ind w:left="20"/>
              <w:spacing w:after="0"/>
              <w:rPr>
                <w:sz w:val="20"/>
                <w:szCs w:val="20"/>
                <w:color w:val="auto"/>
              </w:rPr>
            </w:pPr>
            <w:r>
              <w:rPr>
                <w:rFonts w:ascii="Arial" w:cs="Arial" w:eastAsia="Arial" w:hAnsi="Arial"/>
                <w:sz w:val="14"/>
                <w:szCs w:val="14"/>
                <w:color w:val="auto"/>
              </w:rPr>
              <w:t>Accumulated benefit obligation</w:t>
            </w:r>
          </w:p>
        </w:tc>
        <w:tc>
          <w:tcPr>
            <w:tcW w:w="1660" w:type="dxa"/>
            <w:vAlign w:val="bottom"/>
          </w:tcPr>
          <w:p>
            <w:pPr>
              <w:spacing w:after="0"/>
              <w:rPr>
                <w:sz w:val="18"/>
                <w:szCs w:val="18"/>
                <w:color w:val="auto"/>
              </w:rPr>
            </w:pPr>
          </w:p>
        </w:tc>
        <w:tc>
          <w:tcPr>
            <w:tcW w:w="1280" w:type="dxa"/>
            <w:vAlign w:val="bottom"/>
          </w:tcPr>
          <w:p>
            <w:pPr>
              <w:jc w:val="right"/>
              <w:ind w:right="369"/>
              <w:spacing w:after="0"/>
              <w:rPr>
                <w:sz w:val="20"/>
                <w:szCs w:val="20"/>
                <w:color w:val="auto"/>
              </w:rPr>
            </w:pPr>
            <w:r>
              <w:rPr>
                <w:rFonts w:ascii="Arial" w:cs="Arial" w:eastAsia="Arial" w:hAnsi="Arial"/>
                <w:sz w:val="14"/>
                <w:szCs w:val="14"/>
                <w:color w:val="auto"/>
              </w:rPr>
              <w:t>1,466</w:t>
            </w:r>
          </w:p>
        </w:tc>
        <w:tc>
          <w:tcPr>
            <w:tcW w:w="620" w:type="dxa"/>
            <w:vAlign w:val="bottom"/>
          </w:tcPr>
          <w:p>
            <w:pPr>
              <w:spacing w:after="0"/>
              <w:rPr>
                <w:sz w:val="18"/>
                <w:szCs w:val="18"/>
                <w:color w:val="auto"/>
              </w:rPr>
            </w:pPr>
          </w:p>
        </w:tc>
        <w:tc>
          <w:tcPr>
            <w:tcW w:w="700" w:type="dxa"/>
            <w:vAlign w:val="bottom"/>
          </w:tcPr>
          <w:p>
            <w:pPr>
              <w:jc w:val="right"/>
              <w:ind w:right="149"/>
              <w:spacing w:after="0"/>
              <w:rPr>
                <w:sz w:val="20"/>
                <w:szCs w:val="20"/>
                <w:color w:val="auto"/>
              </w:rPr>
            </w:pPr>
            <w:r>
              <w:rPr>
                <w:rFonts w:ascii="Arial" w:cs="Arial" w:eastAsia="Arial" w:hAnsi="Arial"/>
                <w:sz w:val="14"/>
                <w:szCs w:val="14"/>
                <w:color w:val="auto"/>
              </w:rPr>
              <w:t>--</w:t>
            </w:r>
          </w:p>
        </w:tc>
      </w:tr>
      <w:tr>
        <w:trPr>
          <w:trHeight w:val="250"/>
        </w:trPr>
        <w:tc>
          <w:tcPr>
            <w:tcW w:w="3400" w:type="dxa"/>
            <w:vAlign w:val="bottom"/>
            <w:tcBorders>
              <w:bottom w:val="single" w:sz="8" w:color="DFDFDF"/>
            </w:tcBorders>
          </w:tcPr>
          <w:p>
            <w:pPr>
              <w:ind w:left="20"/>
              <w:spacing w:after="0"/>
              <w:rPr>
                <w:sz w:val="20"/>
                <w:szCs w:val="20"/>
                <w:color w:val="auto"/>
              </w:rPr>
            </w:pPr>
            <w:r>
              <w:rPr>
                <w:rFonts w:ascii="Arial" w:cs="Arial" w:eastAsia="Arial" w:hAnsi="Arial"/>
                <w:sz w:val="14"/>
                <w:szCs w:val="14"/>
                <w:color w:val="auto"/>
              </w:rPr>
              <w:t>Fair value of plan assets</w:t>
            </w:r>
          </w:p>
        </w:tc>
        <w:tc>
          <w:tcPr>
            <w:tcW w:w="1660" w:type="dxa"/>
            <w:vAlign w:val="bottom"/>
            <w:tcBorders>
              <w:bottom w:val="single" w:sz="8" w:color="DFDFDF"/>
            </w:tcBorders>
          </w:tcPr>
          <w:p>
            <w:pPr>
              <w:spacing w:after="0"/>
              <w:rPr>
                <w:sz w:val="21"/>
                <w:szCs w:val="21"/>
                <w:color w:val="auto"/>
              </w:rPr>
            </w:pPr>
          </w:p>
        </w:tc>
        <w:tc>
          <w:tcPr>
            <w:tcW w:w="1280" w:type="dxa"/>
            <w:vAlign w:val="bottom"/>
            <w:tcBorders>
              <w:bottom w:val="single" w:sz="8" w:color="DFDFDF"/>
            </w:tcBorders>
          </w:tcPr>
          <w:p>
            <w:pPr>
              <w:jc w:val="right"/>
              <w:ind w:right="369"/>
              <w:spacing w:after="0"/>
              <w:rPr>
                <w:sz w:val="20"/>
                <w:szCs w:val="20"/>
                <w:color w:val="auto"/>
              </w:rPr>
            </w:pPr>
            <w:r>
              <w:rPr>
                <w:rFonts w:ascii="Arial" w:cs="Arial" w:eastAsia="Arial" w:hAnsi="Arial"/>
                <w:sz w:val="14"/>
                <w:szCs w:val="14"/>
                <w:color w:val="auto"/>
              </w:rPr>
              <w:t>1,105</w:t>
            </w:r>
          </w:p>
        </w:tc>
        <w:tc>
          <w:tcPr>
            <w:tcW w:w="620" w:type="dxa"/>
            <w:vAlign w:val="bottom"/>
            <w:tcBorders>
              <w:bottom w:val="single" w:sz="8" w:color="DFDFDF"/>
            </w:tcBorders>
          </w:tcPr>
          <w:p>
            <w:pPr>
              <w:spacing w:after="0"/>
              <w:rPr>
                <w:sz w:val="21"/>
                <w:szCs w:val="21"/>
                <w:color w:val="auto"/>
              </w:rPr>
            </w:pPr>
          </w:p>
        </w:tc>
        <w:tc>
          <w:tcPr>
            <w:tcW w:w="700" w:type="dxa"/>
            <w:vAlign w:val="bottom"/>
            <w:tcBorders>
              <w:bottom w:val="single" w:sz="8" w:color="DFDFDF"/>
            </w:tcBorders>
          </w:tcPr>
          <w:p>
            <w:pPr>
              <w:jc w:val="right"/>
              <w:ind w:right="149"/>
              <w:spacing w:after="0"/>
              <w:rPr>
                <w:sz w:val="20"/>
                <w:szCs w:val="20"/>
                <w:color w:val="auto"/>
              </w:rPr>
            </w:pPr>
            <w:r>
              <w:rPr>
                <w:rFonts w:ascii="Arial" w:cs="Arial" w:eastAsia="Arial" w:hAnsi="Arial"/>
                <w:sz w:val="14"/>
                <w:szCs w:val="14"/>
                <w:color w:val="auto"/>
              </w:rPr>
              <w:t>--</w:t>
            </w:r>
          </w:p>
        </w:tc>
      </w:tr>
    </w:tbl>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4"/>
          <w:szCs w:val="14"/>
          <w:color w:val="auto"/>
        </w:rPr>
        <w:t>141</w:t>
      </w:r>
    </w:p>
    <w:p>
      <w:pPr>
        <w:sectPr>
          <w:pgSz w:w="11900" w:h="16838" w:orient="portrait"/>
          <w:cols w:equalWidth="0" w:num="1">
            <w:col w:w="11420"/>
          </w:cols>
          <w:pgMar w:left="240" w:top="127" w:right="239" w:bottom="1440" w:gutter="0" w:footer="0" w:header="0"/>
        </w:sectPr>
      </w:pPr>
    </w:p>
    <w:bookmarkStart w:id="281" w:name="page282"/>
    <w:bookmarkEnd w:id="281"/>
    <w:p>
      <w:pPr>
        <w:spacing w:after="0"/>
        <w:rPr>
          <w:sz w:val="20"/>
          <w:szCs w:val="20"/>
          <w:color w:val="auto"/>
        </w:rPr>
      </w:pPr>
      <w:r>
        <w:rPr>
          <w:rFonts w:ascii="Arial" w:cs="Arial" w:eastAsia="Arial" w:hAnsi="Arial"/>
          <w:sz w:val="18"/>
          <w:szCs w:val="18"/>
          <w:b w:val="1"/>
          <w:bCs w:val="1"/>
          <w:i w:val="1"/>
          <w:iCs w:val="1"/>
          <w:color w:val="auto"/>
        </w:rPr>
        <w:t>Net Periodic Benefit Cost, 2006-2008</w:t>
      </w:r>
    </w:p>
    <w:p>
      <w:pPr>
        <w:spacing w:after="0" w:line="23"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three tables provide the components of net periodic benefit cost and amounts recognized in other comprehensive income for the 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1111250</wp:posOffset>
            </wp:positionH>
            <wp:positionV relativeFrom="paragraph">
              <wp:posOffset>210820</wp:posOffset>
            </wp:positionV>
            <wp:extent cx="5034280" cy="24384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5034280" cy="243840"/>
                    </a:xfrm>
                    <a:prstGeom prst="rect">
                      <a:avLst/>
                    </a:prstGeom>
                    <a:noFill/>
                  </pic:spPr>
                </pic:pic>
              </a:graphicData>
            </a:graphic>
          </wp:anchor>
        </w:drawing>
      </w:r>
    </w:p>
    <w:p>
      <w:pPr>
        <w:spacing w:after="0" w:line="320" w:lineRule="exact"/>
        <w:rPr>
          <w:sz w:val="20"/>
          <w:szCs w:val="20"/>
          <w:color w:val="auto"/>
        </w:rPr>
      </w:pPr>
    </w:p>
    <w:p>
      <w:pPr>
        <w:ind w:left="1760"/>
        <w:spacing w:after="0"/>
        <w:rPr>
          <w:sz w:val="20"/>
          <w:szCs w:val="20"/>
          <w:color w:val="auto"/>
        </w:rPr>
      </w:pPr>
      <w:r>
        <w:rPr>
          <w:rFonts w:ascii="Arial" w:cs="Arial" w:eastAsia="Arial" w:hAnsi="Arial"/>
          <w:sz w:val="14"/>
          <w:szCs w:val="14"/>
          <w:b w:val="1"/>
          <w:bCs w:val="1"/>
          <w:color w:val="auto"/>
        </w:rPr>
        <w:t>NET PERIODIC BENEFIT COST AND AMOUNTS RECOGNIZED IN OTHER COMPREHENSIVE INCOME</w:t>
      </w:r>
    </w:p>
    <w:p>
      <w:pPr>
        <w:spacing w:after="0" w:line="40" w:lineRule="exact"/>
        <w:rPr>
          <w:sz w:val="20"/>
          <w:szCs w:val="20"/>
          <w:color w:val="auto"/>
        </w:rPr>
      </w:pPr>
    </w:p>
    <w:tbl>
      <w:tblPr>
        <w:tblLayout w:type="fixed"/>
        <w:tblInd w:w="1740" w:type="dxa"/>
        <w:tblCellMar>
          <w:top w:w="0" w:type="dxa"/>
          <w:left w:w="0" w:type="dxa"/>
          <w:bottom w:w="0" w:type="dxa"/>
          <w:right w:w="0" w:type="dxa"/>
        </w:tblCellMar>
      </w:tblPr>
      <w:tr>
        <w:trPr>
          <w:trHeight w:val="166"/>
        </w:trPr>
        <w:tc>
          <w:tcPr>
            <w:tcW w:w="2860" w:type="dxa"/>
            <w:vAlign w:val="bottom"/>
          </w:tcPr>
          <w:p>
            <w:pPr>
              <w:ind w:left="20"/>
              <w:spacing w:after="0"/>
              <w:rPr>
                <w:sz w:val="20"/>
                <w:szCs w:val="20"/>
                <w:color w:val="auto"/>
              </w:rPr>
            </w:pPr>
            <w:r>
              <w:rPr>
                <w:rFonts w:ascii="Arial" w:cs="Arial" w:eastAsia="Arial" w:hAnsi="Arial"/>
                <w:sz w:val="13"/>
                <w:szCs w:val="13"/>
                <w:i w:val="1"/>
                <w:iCs w:val="1"/>
                <w:color w:val="auto"/>
              </w:rPr>
              <w:t>(Dollars in millions)</w:t>
            </w:r>
          </w:p>
        </w:tc>
        <w:tc>
          <w:tcPr>
            <w:tcW w:w="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20" w:type="dxa"/>
            <w:vAlign w:val="bottom"/>
            <w:gridSpan w:val="2"/>
          </w:tcPr>
          <w:p>
            <w:pPr>
              <w:jc w:val="right"/>
              <w:ind w:right="248"/>
              <w:spacing w:after="0"/>
              <w:rPr>
                <w:sz w:val="20"/>
                <w:szCs w:val="20"/>
                <w:color w:val="auto"/>
              </w:rPr>
            </w:pPr>
            <w:r>
              <w:rPr>
                <w:rFonts w:ascii="Arial" w:cs="Arial" w:eastAsia="Arial" w:hAnsi="Arial"/>
                <w:sz w:val="13"/>
                <w:szCs w:val="13"/>
                <w:color w:val="auto"/>
              </w:rPr>
              <w:t>Other</w:t>
            </w: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860" w:type="dxa"/>
            <w:vAlign w:val="bottom"/>
          </w:tcPr>
          <w:p>
            <w:pPr>
              <w:ind w:left="20"/>
              <w:spacing w:after="0"/>
              <w:rPr>
                <w:sz w:val="20"/>
                <w:szCs w:val="20"/>
                <w:color w:val="auto"/>
              </w:rPr>
            </w:pPr>
            <w:r>
              <w:rPr>
                <w:rFonts w:ascii="Arial" w:cs="Arial" w:eastAsia="Arial" w:hAnsi="Arial"/>
                <w:sz w:val="14"/>
                <w:szCs w:val="14"/>
                <w:b w:val="1"/>
                <w:bCs w:val="1"/>
                <w:color w:val="auto"/>
              </w:rPr>
              <w:t>Sempra Energy Consolidated</w:t>
            </w:r>
          </w:p>
        </w:tc>
        <w:tc>
          <w:tcPr>
            <w:tcW w:w="2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color w:val="auto"/>
              </w:rPr>
              <w:t>Pension Benefits</w:t>
            </w:r>
          </w:p>
        </w:tc>
        <w:tc>
          <w:tcPr>
            <w:tcW w:w="2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gridSpan w:val="4"/>
          </w:tcPr>
          <w:p>
            <w:pPr>
              <w:jc w:val="right"/>
              <w:ind w:right="28"/>
              <w:spacing w:after="0"/>
              <w:rPr>
                <w:sz w:val="20"/>
                <w:szCs w:val="20"/>
                <w:color w:val="auto"/>
              </w:rPr>
            </w:pPr>
            <w:r>
              <w:rPr>
                <w:rFonts w:ascii="Arial" w:cs="Arial" w:eastAsia="Arial" w:hAnsi="Arial"/>
                <w:sz w:val="13"/>
                <w:szCs w:val="13"/>
                <w:color w:val="auto"/>
              </w:rPr>
              <w:t>Postretirement Benefits</w:t>
            </w:r>
          </w:p>
        </w:tc>
        <w:tc>
          <w:tcPr>
            <w:tcW w:w="6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86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ind w:right="109"/>
              <w:spacing w:after="0"/>
              <w:rPr>
                <w:sz w:val="20"/>
                <w:szCs w:val="20"/>
                <w:color w:val="auto"/>
              </w:rPr>
            </w:pPr>
            <w:r>
              <w:rPr>
                <w:rFonts w:ascii="Arial" w:cs="Arial" w:eastAsia="Arial" w:hAnsi="Arial"/>
                <w:sz w:val="13"/>
                <w:szCs w:val="13"/>
                <w:color w:val="auto"/>
              </w:rPr>
              <w:t>2008</w:t>
            </w:r>
          </w:p>
        </w:tc>
        <w:tc>
          <w:tcPr>
            <w:tcW w:w="26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148"/>
              <w:spacing w:after="0"/>
              <w:rPr>
                <w:sz w:val="20"/>
                <w:szCs w:val="20"/>
                <w:color w:val="auto"/>
              </w:rPr>
            </w:pPr>
            <w:r>
              <w:rPr>
                <w:rFonts w:ascii="Arial" w:cs="Arial" w:eastAsia="Arial" w:hAnsi="Arial"/>
                <w:sz w:val="13"/>
                <w:szCs w:val="13"/>
                <w:color w:val="auto"/>
              </w:rPr>
              <w:t>2007</w:t>
            </w:r>
          </w:p>
        </w:tc>
        <w:tc>
          <w:tcPr>
            <w:tcW w:w="22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2006</w:t>
            </w:r>
          </w:p>
        </w:tc>
        <w:tc>
          <w:tcPr>
            <w:tcW w:w="34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ind w:right="109"/>
              <w:spacing w:after="0"/>
              <w:rPr>
                <w:sz w:val="20"/>
                <w:szCs w:val="20"/>
                <w:color w:val="auto"/>
              </w:rPr>
            </w:pPr>
            <w:r>
              <w:rPr>
                <w:rFonts w:ascii="Arial" w:cs="Arial" w:eastAsia="Arial" w:hAnsi="Arial"/>
                <w:sz w:val="13"/>
                <w:szCs w:val="13"/>
                <w:color w:val="auto"/>
              </w:rPr>
              <w:t>2008</w:t>
            </w:r>
          </w:p>
        </w:tc>
        <w:tc>
          <w:tcPr>
            <w:tcW w:w="28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ind w:right="108"/>
              <w:spacing w:after="0"/>
              <w:rPr>
                <w:sz w:val="20"/>
                <w:szCs w:val="20"/>
                <w:color w:val="auto"/>
              </w:rPr>
            </w:pPr>
            <w:r>
              <w:rPr>
                <w:rFonts w:ascii="Arial" w:cs="Arial" w:eastAsia="Arial" w:hAnsi="Arial"/>
                <w:sz w:val="13"/>
                <w:szCs w:val="13"/>
                <w:color w:val="auto"/>
              </w:rPr>
              <w:t>2007</w:t>
            </w:r>
          </w:p>
        </w:tc>
        <w:tc>
          <w:tcPr>
            <w:tcW w:w="28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168"/>
              <w:spacing w:after="0"/>
              <w:rPr>
                <w:sz w:val="20"/>
                <w:szCs w:val="20"/>
                <w:color w:val="auto"/>
              </w:rPr>
            </w:pPr>
            <w:r>
              <w:rPr>
                <w:rFonts w:ascii="Arial" w:cs="Arial" w:eastAsia="Arial" w:hAnsi="Arial"/>
                <w:sz w:val="13"/>
                <w:szCs w:val="13"/>
                <w:color w:val="auto"/>
              </w:rPr>
              <w:t>2006</w:t>
            </w:r>
          </w:p>
        </w:tc>
        <w:tc>
          <w:tcPr>
            <w:tcW w:w="0" w:type="dxa"/>
            <w:vAlign w:val="bottom"/>
          </w:tcPr>
          <w:p>
            <w:pPr>
              <w:spacing w:after="0"/>
              <w:rPr>
                <w:sz w:val="1"/>
                <w:szCs w:val="1"/>
                <w:color w:val="auto"/>
              </w:rPr>
            </w:pPr>
          </w:p>
        </w:tc>
      </w:tr>
      <w:tr>
        <w:trPr>
          <w:trHeight w:val="198"/>
        </w:trPr>
        <w:tc>
          <w:tcPr>
            <w:tcW w:w="28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Net Periodic Benefit Cost</w:t>
            </w:r>
          </w:p>
        </w:tc>
        <w:tc>
          <w:tcPr>
            <w:tcW w:w="2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860" w:type="dxa"/>
            <w:vAlign w:val="bottom"/>
          </w:tcPr>
          <w:p>
            <w:pPr>
              <w:ind w:left="20"/>
              <w:spacing w:after="0"/>
              <w:rPr>
                <w:sz w:val="20"/>
                <w:szCs w:val="20"/>
                <w:color w:val="auto"/>
              </w:rPr>
            </w:pPr>
            <w:r>
              <w:rPr>
                <w:rFonts w:ascii="Arial" w:cs="Arial" w:eastAsia="Arial" w:hAnsi="Arial"/>
                <w:sz w:val="14"/>
                <w:szCs w:val="14"/>
                <w:color w:val="auto"/>
              </w:rPr>
              <w:t>Service cost</w:t>
            </w:r>
          </w:p>
        </w:tc>
        <w:tc>
          <w:tcPr>
            <w:tcW w:w="2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540" w:type="dxa"/>
            <w:vAlign w:val="bottom"/>
          </w:tcPr>
          <w:p>
            <w:pPr>
              <w:jc w:val="right"/>
              <w:ind w:right="109"/>
              <w:spacing w:after="0"/>
              <w:rPr>
                <w:sz w:val="20"/>
                <w:szCs w:val="20"/>
                <w:color w:val="auto"/>
              </w:rPr>
            </w:pPr>
            <w:r>
              <w:rPr>
                <w:rFonts w:ascii="Arial" w:cs="Arial" w:eastAsia="Arial" w:hAnsi="Arial"/>
                <w:sz w:val="14"/>
                <w:szCs w:val="14"/>
                <w:color w:val="auto"/>
              </w:rPr>
              <w:t>71</w:t>
            </w:r>
          </w:p>
        </w:tc>
        <w:tc>
          <w:tcPr>
            <w:tcW w:w="2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148"/>
              <w:spacing w:after="0"/>
              <w:rPr>
                <w:sz w:val="20"/>
                <w:szCs w:val="20"/>
                <w:color w:val="auto"/>
              </w:rPr>
            </w:pPr>
            <w:r>
              <w:rPr>
                <w:rFonts w:ascii="Arial" w:cs="Arial" w:eastAsia="Arial" w:hAnsi="Arial"/>
                <w:sz w:val="14"/>
                <w:szCs w:val="14"/>
                <w:color w:val="auto"/>
              </w:rPr>
              <w:t>76</w:t>
            </w:r>
          </w:p>
        </w:tc>
        <w:tc>
          <w:tcPr>
            <w:tcW w:w="2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380" w:type="dxa"/>
            <w:vAlign w:val="bottom"/>
          </w:tcPr>
          <w:p>
            <w:pPr>
              <w:jc w:val="right"/>
              <w:spacing w:after="0"/>
              <w:rPr>
                <w:sz w:val="20"/>
                <w:szCs w:val="20"/>
                <w:color w:val="auto"/>
              </w:rPr>
            </w:pPr>
            <w:r>
              <w:rPr>
                <w:rFonts w:ascii="Arial" w:cs="Arial" w:eastAsia="Arial" w:hAnsi="Arial"/>
                <w:sz w:val="14"/>
                <w:szCs w:val="14"/>
                <w:color w:val="auto"/>
              </w:rPr>
              <w:t>73</w:t>
            </w:r>
          </w:p>
        </w:tc>
        <w:tc>
          <w:tcPr>
            <w:tcW w:w="340" w:type="dxa"/>
            <w:vAlign w:val="bottom"/>
          </w:tcPr>
          <w:p>
            <w:pPr>
              <w:spacing w:after="0"/>
              <w:rPr>
                <w:sz w:val="17"/>
                <w:szCs w:val="17"/>
                <w:color w:val="auto"/>
              </w:rPr>
            </w:pPr>
          </w:p>
        </w:tc>
        <w:tc>
          <w:tcPr>
            <w:tcW w:w="2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540" w:type="dxa"/>
            <w:vAlign w:val="bottom"/>
          </w:tcPr>
          <w:p>
            <w:pPr>
              <w:jc w:val="right"/>
              <w:ind w:right="109"/>
              <w:spacing w:after="0"/>
              <w:rPr>
                <w:sz w:val="20"/>
                <w:szCs w:val="20"/>
                <w:color w:val="auto"/>
              </w:rPr>
            </w:pPr>
            <w:r>
              <w:rPr>
                <w:rFonts w:ascii="Arial" w:cs="Arial" w:eastAsia="Arial" w:hAnsi="Arial"/>
                <w:sz w:val="14"/>
                <w:szCs w:val="14"/>
                <w:color w:val="auto"/>
              </w:rPr>
              <w:t>24</w:t>
            </w:r>
          </w:p>
        </w:tc>
        <w:tc>
          <w:tcPr>
            <w:tcW w:w="280" w:type="dxa"/>
            <w:vAlign w:val="bottom"/>
          </w:tcPr>
          <w:p>
            <w:pPr>
              <w:jc w:val="right"/>
              <w:ind w:right="31"/>
              <w:spacing w:after="0"/>
              <w:rPr>
                <w:sz w:val="20"/>
                <w:szCs w:val="20"/>
                <w:color w:val="auto"/>
              </w:rPr>
            </w:pPr>
            <w:r>
              <w:rPr>
                <w:rFonts w:ascii="Arial" w:cs="Arial" w:eastAsia="Arial" w:hAnsi="Arial"/>
                <w:sz w:val="14"/>
                <w:szCs w:val="14"/>
                <w:color w:val="auto"/>
              </w:rPr>
              <w:t>$</w:t>
            </w:r>
          </w:p>
        </w:tc>
        <w:tc>
          <w:tcPr>
            <w:tcW w:w="540" w:type="dxa"/>
            <w:vAlign w:val="bottom"/>
          </w:tcPr>
          <w:p>
            <w:pPr>
              <w:jc w:val="right"/>
              <w:ind w:right="108"/>
              <w:spacing w:after="0"/>
              <w:rPr>
                <w:sz w:val="20"/>
                <w:szCs w:val="20"/>
                <w:color w:val="auto"/>
              </w:rPr>
            </w:pPr>
            <w:r>
              <w:rPr>
                <w:rFonts w:ascii="Arial" w:cs="Arial" w:eastAsia="Arial" w:hAnsi="Arial"/>
                <w:sz w:val="14"/>
                <w:szCs w:val="14"/>
                <w:color w:val="auto"/>
              </w:rPr>
              <w:t>26</w:t>
            </w:r>
          </w:p>
        </w:tc>
        <w:tc>
          <w:tcPr>
            <w:tcW w:w="2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168"/>
              <w:spacing w:after="0"/>
              <w:rPr>
                <w:sz w:val="20"/>
                <w:szCs w:val="20"/>
                <w:color w:val="auto"/>
              </w:rPr>
            </w:pPr>
            <w:r>
              <w:rPr>
                <w:rFonts w:ascii="Arial" w:cs="Arial" w:eastAsia="Arial" w:hAnsi="Arial"/>
                <w:sz w:val="14"/>
                <w:szCs w:val="14"/>
                <w:color w:val="auto"/>
              </w:rPr>
              <w:t>24</w:t>
            </w:r>
          </w:p>
        </w:tc>
        <w:tc>
          <w:tcPr>
            <w:tcW w:w="0" w:type="dxa"/>
            <w:vAlign w:val="bottom"/>
          </w:tcPr>
          <w:p>
            <w:pPr>
              <w:spacing w:after="0"/>
              <w:rPr>
                <w:sz w:val="1"/>
                <w:szCs w:val="1"/>
                <w:color w:val="auto"/>
              </w:rPr>
            </w:pPr>
          </w:p>
        </w:tc>
      </w:tr>
      <w:tr>
        <w:trPr>
          <w:trHeight w:val="216"/>
        </w:trPr>
        <w:tc>
          <w:tcPr>
            <w:tcW w:w="2860" w:type="dxa"/>
            <w:vAlign w:val="bottom"/>
          </w:tcPr>
          <w:p>
            <w:pPr>
              <w:ind w:left="20"/>
              <w:spacing w:after="0"/>
              <w:rPr>
                <w:sz w:val="20"/>
                <w:szCs w:val="20"/>
                <w:color w:val="auto"/>
              </w:rPr>
            </w:pPr>
            <w:r>
              <w:rPr>
                <w:rFonts w:ascii="Arial" w:cs="Arial" w:eastAsia="Arial" w:hAnsi="Arial"/>
                <w:sz w:val="14"/>
                <w:szCs w:val="14"/>
                <w:color w:val="auto"/>
              </w:rPr>
              <w:t>Interest cost</w:t>
            </w:r>
          </w:p>
        </w:tc>
        <w:tc>
          <w:tcPr>
            <w:tcW w:w="240" w:type="dxa"/>
            <w:vAlign w:val="bottom"/>
          </w:tcPr>
          <w:p>
            <w:pPr>
              <w:spacing w:after="0"/>
              <w:rPr>
                <w:sz w:val="18"/>
                <w:szCs w:val="18"/>
                <w:color w:val="auto"/>
              </w:rPr>
            </w:pPr>
          </w:p>
        </w:tc>
        <w:tc>
          <w:tcPr>
            <w:tcW w:w="540" w:type="dxa"/>
            <w:vAlign w:val="bottom"/>
          </w:tcPr>
          <w:p>
            <w:pPr>
              <w:jc w:val="right"/>
              <w:ind w:right="109"/>
              <w:spacing w:after="0"/>
              <w:rPr>
                <w:sz w:val="20"/>
                <w:szCs w:val="20"/>
                <w:color w:val="auto"/>
              </w:rPr>
            </w:pPr>
            <w:r>
              <w:rPr>
                <w:rFonts w:ascii="Arial" w:cs="Arial" w:eastAsia="Arial" w:hAnsi="Arial"/>
                <w:sz w:val="14"/>
                <w:szCs w:val="14"/>
                <w:color w:val="auto"/>
              </w:rPr>
              <w:t>166</w:t>
            </w:r>
          </w:p>
        </w:tc>
        <w:tc>
          <w:tcPr>
            <w:tcW w:w="260" w:type="dxa"/>
            <w:vAlign w:val="bottom"/>
          </w:tcPr>
          <w:p>
            <w:pPr>
              <w:spacing w:after="0"/>
              <w:rPr>
                <w:sz w:val="18"/>
                <w:szCs w:val="18"/>
                <w:color w:val="auto"/>
              </w:rPr>
            </w:pPr>
          </w:p>
        </w:tc>
        <w:tc>
          <w:tcPr>
            <w:tcW w:w="600" w:type="dxa"/>
            <w:vAlign w:val="bottom"/>
          </w:tcPr>
          <w:p>
            <w:pPr>
              <w:jc w:val="right"/>
              <w:ind w:right="148"/>
              <w:spacing w:after="0"/>
              <w:rPr>
                <w:sz w:val="20"/>
                <w:szCs w:val="20"/>
                <w:color w:val="auto"/>
              </w:rPr>
            </w:pPr>
            <w:r>
              <w:rPr>
                <w:rFonts w:ascii="Arial" w:cs="Arial" w:eastAsia="Arial" w:hAnsi="Arial"/>
                <w:sz w:val="14"/>
                <w:szCs w:val="14"/>
                <w:color w:val="auto"/>
              </w:rPr>
              <w:t>164</w:t>
            </w:r>
          </w:p>
        </w:tc>
        <w:tc>
          <w:tcPr>
            <w:tcW w:w="22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158</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jc w:val="right"/>
              <w:ind w:right="109"/>
              <w:spacing w:after="0"/>
              <w:rPr>
                <w:sz w:val="20"/>
                <w:szCs w:val="20"/>
                <w:color w:val="auto"/>
              </w:rPr>
            </w:pPr>
            <w:r>
              <w:rPr>
                <w:rFonts w:ascii="Arial" w:cs="Arial" w:eastAsia="Arial" w:hAnsi="Arial"/>
                <w:sz w:val="14"/>
                <w:szCs w:val="14"/>
                <w:color w:val="auto"/>
              </w:rPr>
              <w:t>53</w:t>
            </w:r>
          </w:p>
        </w:tc>
        <w:tc>
          <w:tcPr>
            <w:tcW w:w="280" w:type="dxa"/>
            <w:vAlign w:val="bottom"/>
          </w:tcPr>
          <w:p>
            <w:pPr>
              <w:spacing w:after="0"/>
              <w:rPr>
                <w:sz w:val="18"/>
                <w:szCs w:val="18"/>
                <w:color w:val="auto"/>
              </w:rPr>
            </w:pPr>
          </w:p>
        </w:tc>
        <w:tc>
          <w:tcPr>
            <w:tcW w:w="540" w:type="dxa"/>
            <w:vAlign w:val="bottom"/>
          </w:tcPr>
          <w:p>
            <w:pPr>
              <w:jc w:val="right"/>
              <w:ind w:right="108"/>
              <w:spacing w:after="0"/>
              <w:rPr>
                <w:sz w:val="20"/>
                <w:szCs w:val="20"/>
                <w:color w:val="auto"/>
              </w:rPr>
            </w:pPr>
            <w:r>
              <w:rPr>
                <w:rFonts w:ascii="Arial" w:cs="Arial" w:eastAsia="Arial" w:hAnsi="Arial"/>
                <w:sz w:val="14"/>
                <w:szCs w:val="14"/>
                <w:color w:val="auto"/>
              </w:rPr>
              <w:t>54</w:t>
            </w:r>
          </w:p>
        </w:tc>
        <w:tc>
          <w:tcPr>
            <w:tcW w:w="280" w:type="dxa"/>
            <w:vAlign w:val="bottom"/>
          </w:tcPr>
          <w:p>
            <w:pPr>
              <w:spacing w:after="0"/>
              <w:rPr>
                <w:sz w:val="18"/>
                <w:szCs w:val="18"/>
                <w:color w:val="auto"/>
              </w:rPr>
            </w:pPr>
          </w:p>
        </w:tc>
        <w:tc>
          <w:tcPr>
            <w:tcW w:w="600" w:type="dxa"/>
            <w:vAlign w:val="bottom"/>
          </w:tcPr>
          <w:p>
            <w:pPr>
              <w:jc w:val="right"/>
              <w:ind w:right="168"/>
              <w:spacing w:after="0"/>
              <w:rPr>
                <w:sz w:val="20"/>
                <w:szCs w:val="20"/>
                <w:color w:val="auto"/>
              </w:rPr>
            </w:pPr>
            <w:r>
              <w:rPr>
                <w:rFonts w:ascii="Arial" w:cs="Arial" w:eastAsia="Arial" w:hAnsi="Arial"/>
                <w:sz w:val="14"/>
                <w:szCs w:val="14"/>
                <w:color w:val="auto"/>
              </w:rPr>
              <w:t>45</w:t>
            </w:r>
          </w:p>
        </w:tc>
        <w:tc>
          <w:tcPr>
            <w:tcW w:w="0" w:type="dxa"/>
            <w:vAlign w:val="bottom"/>
          </w:tcPr>
          <w:p>
            <w:pPr>
              <w:spacing w:after="0"/>
              <w:rPr>
                <w:sz w:val="1"/>
                <w:szCs w:val="1"/>
                <w:color w:val="auto"/>
              </w:rPr>
            </w:pPr>
          </w:p>
        </w:tc>
      </w:tr>
      <w:tr>
        <w:trPr>
          <w:trHeight w:val="216"/>
        </w:trPr>
        <w:tc>
          <w:tcPr>
            <w:tcW w:w="2860" w:type="dxa"/>
            <w:vAlign w:val="bottom"/>
          </w:tcPr>
          <w:p>
            <w:pPr>
              <w:ind w:left="20"/>
              <w:spacing w:after="0"/>
              <w:rPr>
                <w:sz w:val="20"/>
                <w:szCs w:val="20"/>
                <w:color w:val="auto"/>
              </w:rPr>
            </w:pPr>
            <w:r>
              <w:rPr>
                <w:rFonts w:ascii="Arial" w:cs="Arial" w:eastAsia="Arial" w:hAnsi="Arial"/>
                <w:sz w:val="14"/>
                <w:szCs w:val="14"/>
                <w:color w:val="auto"/>
              </w:rPr>
              <w:t>Expected return on assets</w:t>
            </w:r>
          </w:p>
        </w:tc>
        <w:tc>
          <w:tcPr>
            <w:tcW w:w="240" w:type="dxa"/>
            <w:vAlign w:val="bottom"/>
          </w:tcPr>
          <w:p>
            <w:pPr>
              <w:spacing w:after="0"/>
              <w:rPr>
                <w:sz w:val="18"/>
                <w:szCs w:val="18"/>
                <w:color w:val="auto"/>
              </w:rPr>
            </w:pPr>
          </w:p>
        </w:tc>
        <w:tc>
          <w:tcPr>
            <w:tcW w:w="540" w:type="dxa"/>
            <w:vAlign w:val="bottom"/>
          </w:tcPr>
          <w:p>
            <w:pPr>
              <w:jc w:val="right"/>
              <w:ind w:right="49"/>
              <w:spacing w:after="0"/>
              <w:rPr>
                <w:sz w:val="20"/>
                <w:szCs w:val="20"/>
                <w:color w:val="auto"/>
              </w:rPr>
            </w:pPr>
            <w:r>
              <w:rPr>
                <w:rFonts w:ascii="Arial" w:cs="Arial" w:eastAsia="Arial" w:hAnsi="Arial"/>
                <w:sz w:val="14"/>
                <w:szCs w:val="14"/>
                <w:color w:val="auto"/>
              </w:rPr>
              <w:t>(161 )</w:t>
            </w:r>
          </w:p>
        </w:tc>
        <w:tc>
          <w:tcPr>
            <w:tcW w:w="260" w:type="dxa"/>
            <w:vAlign w:val="bottom"/>
          </w:tcPr>
          <w:p>
            <w:pPr>
              <w:spacing w:after="0"/>
              <w:rPr>
                <w:sz w:val="18"/>
                <w:szCs w:val="18"/>
                <w:color w:val="auto"/>
              </w:rPr>
            </w:pPr>
          </w:p>
        </w:tc>
        <w:tc>
          <w:tcPr>
            <w:tcW w:w="600" w:type="dxa"/>
            <w:vAlign w:val="bottom"/>
          </w:tcPr>
          <w:p>
            <w:pPr>
              <w:jc w:val="right"/>
              <w:ind w:right="88"/>
              <w:spacing w:after="0"/>
              <w:rPr>
                <w:sz w:val="20"/>
                <w:szCs w:val="20"/>
                <w:color w:val="auto"/>
              </w:rPr>
            </w:pPr>
            <w:r>
              <w:rPr>
                <w:rFonts w:ascii="Arial" w:cs="Arial" w:eastAsia="Arial" w:hAnsi="Arial"/>
                <w:sz w:val="14"/>
                <w:szCs w:val="14"/>
                <w:color w:val="auto"/>
              </w:rPr>
              <w:t>(158 )</w:t>
            </w:r>
          </w:p>
        </w:tc>
        <w:tc>
          <w:tcPr>
            <w:tcW w:w="220" w:type="dxa"/>
            <w:vAlign w:val="bottom"/>
          </w:tcPr>
          <w:p>
            <w:pPr>
              <w:spacing w:after="0"/>
              <w:rPr>
                <w:sz w:val="18"/>
                <w:szCs w:val="18"/>
                <w:color w:val="auto"/>
              </w:rPr>
            </w:pPr>
          </w:p>
        </w:tc>
        <w:tc>
          <w:tcPr>
            <w:tcW w:w="720" w:type="dxa"/>
            <w:vAlign w:val="bottom"/>
            <w:gridSpan w:val="2"/>
          </w:tcPr>
          <w:p>
            <w:pPr>
              <w:jc w:val="right"/>
              <w:ind w:right="280"/>
              <w:spacing w:after="0"/>
              <w:rPr>
                <w:sz w:val="20"/>
                <w:szCs w:val="20"/>
                <w:color w:val="auto"/>
              </w:rPr>
            </w:pPr>
            <w:r>
              <w:rPr>
                <w:rFonts w:ascii="Arial" w:cs="Arial" w:eastAsia="Arial" w:hAnsi="Arial"/>
                <w:sz w:val="14"/>
                <w:szCs w:val="14"/>
                <w:color w:val="auto"/>
              </w:rPr>
              <w:t>(149 )</w:t>
            </w:r>
          </w:p>
        </w:tc>
        <w:tc>
          <w:tcPr>
            <w:tcW w:w="260" w:type="dxa"/>
            <w:vAlign w:val="bottom"/>
          </w:tcPr>
          <w:p>
            <w:pPr>
              <w:spacing w:after="0"/>
              <w:rPr>
                <w:sz w:val="18"/>
                <w:szCs w:val="18"/>
                <w:color w:val="auto"/>
              </w:rPr>
            </w:pPr>
          </w:p>
        </w:tc>
        <w:tc>
          <w:tcPr>
            <w:tcW w:w="540" w:type="dxa"/>
            <w:vAlign w:val="bottom"/>
          </w:tcPr>
          <w:p>
            <w:pPr>
              <w:jc w:val="right"/>
              <w:ind w:right="29"/>
              <w:spacing w:after="0"/>
              <w:rPr>
                <w:sz w:val="20"/>
                <w:szCs w:val="20"/>
                <w:color w:val="auto"/>
              </w:rPr>
            </w:pPr>
            <w:r>
              <w:rPr>
                <w:rFonts w:ascii="Arial" w:cs="Arial" w:eastAsia="Arial" w:hAnsi="Arial"/>
                <w:sz w:val="14"/>
                <w:szCs w:val="14"/>
                <w:color w:val="auto"/>
              </w:rPr>
              <w:t>(48 )</w:t>
            </w:r>
          </w:p>
        </w:tc>
        <w:tc>
          <w:tcPr>
            <w:tcW w:w="280" w:type="dxa"/>
            <w:vAlign w:val="bottom"/>
          </w:tcPr>
          <w:p>
            <w:pPr>
              <w:spacing w:after="0"/>
              <w:rPr>
                <w:sz w:val="18"/>
                <w:szCs w:val="18"/>
                <w:color w:val="auto"/>
              </w:rPr>
            </w:pPr>
          </w:p>
        </w:tc>
        <w:tc>
          <w:tcPr>
            <w:tcW w:w="540" w:type="dxa"/>
            <w:vAlign w:val="bottom"/>
          </w:tcPr>
          <w:p>
            <w:pPr>
              <w:jc w:val="right"/>
              <w:ind w:right="28"/>
              <w:spacing w:after="0"/>
              <w:rPr>
                <w:sz w:val="20"/>
                <w:szCs w:val="20"/>
                <w:color w:val="auto"/>
              </w:rPr>
            </w:pPr>
            <w:r>
              <w:rPr>
                <w:rFonts w:ascii="Arial" w:cs="Arial" w:eastAsia="Arial" w:hAnsi="Arial"/>
                <w:sz w:val="14"/>
                <w:szCs w:val="14"/>
                <w:color w:val="auto"/>
              </w:rPr>
              <w:t>(44 )</w:t>
            </w:r>
          </w:p>
        </w:tc>
        <w:tc>
          <w:tcPr>
            <w:tcW w:w="280" w:type="dxa"/>
            <w:vAlign w:val="bottom"/>
          </w:tcPr>
          <w:p>
            <w:pPr>
              <w:spacing w:after="0"/>
              <w:rPr>
                <w:sz w:val="18"/>
                <w:szCs w:val="18"/>
                <w:color w:val="auto"/>
              </w:rPr>
            </w:pPr>
          </w:p>
        </w:tc>
        <w:tc>
          <w:tcPr>
            <w:tcW w:w="600" w:type="dxa"/>
            <w:vAlign w:val="bottom"/>
          </w:tcPr>
          <w:p>
            <w:pPr>
              <w:jc w:val="right"/>
              <w:ind w:right="88"/>
              <w:spacing w:after="0"/>
              <w:rPr>
                <w:sz w:val="20"/>
                <w:szCs w:val="20"/>
                <w:color w:val="auto"/>
              </w:rPr>
            </w:pPr>
            <w:r>
              <w:rPr>
                <w:rFonts w:ascii="Arial" w:cs="Arial" w:eastAsia="Arial" w:hAnsi="Arial"/>
                <w:sz w:val="14"/>
                <w:szCs w:val="14"/>
                <w:color w:val="auto"/>
              </w:rPr>
              <w:t>(40 )</w:t>
            </w:r>
          </w:p>
        </w:tc>
        <w:tc>
          <w:tcPr>
            <w:tcW w:w="0" w:type="dxa"/>
            <w:vAlign w:val="bottom"/>
          </w:tcPr>
          <w:p>
            <w:pPr>
              <w:spacing w:after="0"/>
              <w:rPr>
                <w:sz w:val="1"/>
                <w:szCs w:val="1"/>
                <w:color w:val="auto"/>
              </w:rPr>
            </w:pPr>
          </w:p>
        </w:tc>
      </w:tr>
      <w:tr>
        <w:trPr>
          <w:trHeight w:val="216"/>
        </w:trPr>
        <w:tc>
          <w:tcPr>
            <w:tcW w:w="2860" w:type="dxa"/>
            <w:vAlign w:val="bottom"/>
          </w:tcPr>
          <w:p>
            <w:pPr>
              <w:ind w:left="20"/>
              <w:spacing w:after="0"/>
              <w:rPr>
                <w:sz w:val="20"/>
                <w:szCs w:val="20"/>
                <w:color w:val="auto"/>
              </w:rPr>
            </w:pPr>
            <w:r>
              <w:rPr>
                <w:rFonts w:ascii="Arial" w:cs="Arial" w:eastAsia="Arial" w:hAnsi="Arial"/>
                <w:sz w:val="14"/>
                <w:szCs w:val="14"/>
                <w:color w:val="auto"/>
              </w:rPr>
              <w:t>Amortization of:</w:t>
            </w: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60" w:type="dxa"/>
            <w:vAlign w:val="bottom"/>
          </w:tcPr>
          <w:p>
            <w:pPr>
              <w:ind w:left="260"/>
              <w:spacing w:after="0"/>
              <w:rPr>
                <w:sz w:val="20"/>
                <w:szCs w:val="20"/>
                <w:color w:val="auto"/>
              </w:rPr>
            </w:pPr>
            <w:r>
              <w:rPr>
                <w:rFonts w:ascii="Arial" w:cs="Arial" w:eastAsia="Arial" w:hAnsi="Arial"/>
                <w:sz w:val="14"/>
                <w:szCs w:val="14"/>
                <w:color w:val="auto"/>
              </w:rPr>
              <w:t>Prior service cost (credit)</w:t>
            </w:r>
          </w:p>
        </w:tc>
        <w:tc>
          <w:tcPr>
            <w:tcW w:w="240" w:type="dxa"/>
            <w:vAlign w:val="bottom"/>
          </w:tcPr>
          <w:p>
            <w:pPr>
              <w:spacing w:after="0"/>
              <w:rPr>
                <w:sz w:val="18"/>
                <w:szCs w:val="18"/>
                <w:color w:val="auto"/>
              </w:rPr>
            </w:pPr>
          </w:p>
        </w:tc>
        <w:tc>
          <w:tcPr>
            <w:tcW w:w="540" w:type="dxa"/>
            <w:vAlign w:val="bottom"/>
          </w:tcPr>
          <w:p>
            <w:pPr>
              <w:jc w:val="right"/>
              <w:ind w:right="109"/>
              <w:spacing w:after="0"/>
              <w:rPr>
                <w:sz w:val="20"/>
                <w:szCs w:val="20"/>
                <w:color w:val="auto"/>
              </w:rPr>
            </w:pPr>
            <w:r>
              <w:rPr>
                <w:rFonts w:ascii="Arial" w:cs="Arial" w:eastAsia="Arial" w:hAnsi="Arial"/>
                <w:sz w:val="14"/>
                <w:szCs w:val="14"/>
                <w:color w:val="auto"/>
              </w:rPr>
              <w:t>4</w:t>
            </w:r>
          </w:p>
        </w:tc>
        <w:tc>
          <w:tcPr>
            <w:tcW w:w="260" w:type="dxa"/>
            <w:vAlign w:val="bottom"/>
          </w:tcPr>
          <w:p>
            <w:pPr>
              <w:spacing w:after="0"/>
              <w:rPr>
                <w:sz w:val="18"/>
                <w:szCs w:val="18"/>
                <w:color w:val="auto"/>
              </w:rPr>
            </w:pPr>
          </w:p>
        </w:tc>
        <w:tc>
          <w:tcPr>
            <w:tcW w:w="600" w:type="dxa"/>
            <w:vAlign w:val="bottom"/>
          </w:tcPr>
          <w:p>
            <w:pPr>
              <w:jc w:val="right"/>
              <w:ind w:right="148"/>
              <w:spacing w:after="0"/>
              <w:rPr>
                <w:sz w:val="20"/>
                <w:szCs w:val="20"/>
                <w:color w:val="auto"/>
              </w:rPr>
            </w:pPr>
            <w:r>
              <w:rPr>
                <w:rFonts w:ascii="Arial" w:cs="Arial" w:eastAsia="Arial" w:hAnsi="Arial"/>
                <w:sz w:val="14"/>
                <w:szCs w:val="14"/>
                <w:color w:val="auto"/>
              </w:rPr>
              <w:t>5</w:t>
            </w:r>
          </w:p>
        </w:tc>
        <w:tc>
          <w:tcPr>
            <w:tcW w:w="22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10</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jc w:val="right"/>
              <w:ind w:right="29"/>
              <w:spacing w:after="0"/>
              <w:rPr>
                <w:sz w:val="20"/>
                <w:szCs w:val="20"/>
                <w:color w:val="auto"/>
              </w:rPr>
            </w:pPr>
            <w:r>
              <w:rPr>
                <w:rFonts w:ascii="Arial" w:cs="Arial" w:eastAsia="Arial" w:hAnsi="Arial"/>
                <w:sz w:val="14"/>
                <w:szCs w:val="14"/>
                <w:color w:val="auto"/>
              </w:rPr>
              <w:t>(1 )</w:t>
            </w:r>
          </w:p>
        </w:tc>
        <w:tc>
          <w:tcPr>
            <w:tcW w:w="280" w:type="dxa"/>
            <w:vAlign w:val="bottom"/>
          </w:tcPr>
          <w:p>
            <w:pPr>
              <w:spacing w:after="0"/>
              <w:rPr>
                <w:sz w:val="18"/>
                <w:szCs w:val="18"/>
                <w:color w:val="auto"/>
              </w:rPr>
            </w:pPr>
          </w:p>
        </w:tc>
        <w:tc>
          <w:tcPr>
            <w:tcW w:w="540" w:type="dxa"/>
            <w:vAlign w:val="bottom"/>
          </w:tcPr>
          <w:p>
            <w:pPr>
              <w:jc w:val="right"/>
              <w:ind w:right="28"/>
              <w:spacing w:after="0"/>
              <w:rPr>
                <w:sz w:val="20"/>
                <w:szCs w:val="20"/>
                <w:color w:val="auto"/>
              </w:rPr>
            </w:pPr>
            <w:r>
              <w:rPr>
                <w:rFonts w:ascii="Arial" w:cs="Arial" w:eastAsia="Arial" w:hAnsi="Arial"/>
                <w:sz w:val="14"/>
                <w:szCs w:val="14"/>
                <w:color w:val="auto"/>
              </w:rPr>
              <w:t>(3 )</w:t>
            </w:r>
          </w:p>
        </w:tc>
        <w:tc>
          <w:tcPr>
            <w:tcW w:w="280" w:type="dxa"/>
            <w:vAlign w:val="bottom"/>
          </w:tcPr>
          <w:p>
            <w:pPr>
              <w:spacing w:after="0"/>
              <w:rPr>
                <w:sz w:val="18"/>
                <w:szCs w:val="18"/>
                <w:color w:val="auto"/>
              </w:rPr>
            </w:pPr>
          </w:p>
        </w:tc>
        <w:tc>
          <w:tcPr>
            <w:tcW w:w="600" w:type="dxa"/>
            <w:vAlign w:val="bottom"/>
          </w:tcPr>
          <w:p>
            <w:pPr>
              <w:jc w:val="right"/>
              <w:ind w:right="88"/>
              <w:spacing w:after="0"/>
              <w:rPr>
                <w:sz w:val="20"/>
                <w:szCs w:val="20"/>
                <w:color w:val="auto"/>
              </w:rPr>
            </w:pPr>
            <w:r>
              <w:rPr>
                <w:rFonts w:ascii="Arial" w:cs="Arial" w:eastAsia="Arial" w:hAnsi="Arial"/>
                <w:sz w:val="14"/>
                <w:szCs w:val="14"/>
                <w:color w:val="auto"/>
              </w:rPr>
              <w:t>(3 )</w:t>
            </w:r>
          </w:p>
        </w:tc>
        <w:tc>
          <w:tcPr>
            <w:tcW w:w="0" w:type="dxa"/>
            <w:vAlign w:val="bottom"/>
          </w:tcPr>
          <w:p>
            <w:pPr>
              <w:spacing w:after="0"/>
              <w:rPr>
                <w:sz w:val="1"/>
                <w:szCs w:val="1"/>
                <w:color w:val="auto"/>
              </w:rPr>
            </w:pPr>
          </w:p>
        </w:tc>
      </w:tr>
      <w:tr>
        <w:trPr>
          <w:trHeight w:val="216"/>
        </w:trPr>
        <w:tc>
          <w:tcPr>
            <w:tcW w:w="2860" w:type="dxa"/>
            <w:vAlign w:val="bottom"/>
          </w:tcPr>
          <w:p>
            <w:pPr>
              <w:ind w:left="260"/>
              <w:spacing w:after="0"/>
              <w:rPr>
                <w:sz w:val="20"/>
                <w:szCs w:val="20"/>
                <w:color w:val="auto"/>
              </w:rPr>
            </w:pPr>
            <w:r>
              <w:rPr>
                <w:rFonts w:ascii="Arial" w:cs="Arial" w:eastAsia="Arial" w:hAnsi="Arial"/>
                <w:sz w:val="14"/>
                <w:szCs w:val="14"/>
                <w:color w:val="auto"/>
              </w:rPr>
              <w:t>Actuarial loss</w:t>
            </w:r>
          </w:p>
        </w:tc>
        <w:tc>
          <w:tcPr>
            <w:tcW w:w="240" w:type="dxa"/>
            <w:vAlign w:val="bottom"/>
          </w:tcPr>
          <w:p>
            <w:pPr>
              <w:spacing w:after="0"/>
              <w:rPr>
                <w:sz w:val="18"/>
                <w:szCs w:val="18"/>
                <w:color w:val="auto"/>
              </w:rPr>
            </w:pPr>
          </w:p>
        </w:tc>
        <w:tc>
          <w:tcPr>
            <w:tcW w:w="540" w:type="dxa"/>
            <w:vAlign w:val="bottom"/>
          </w:tcPr>
          <w:p>
            <w:pPr>
              <w:jc w:val="right"/>
              <w:ind w:right="109"/>
              <w:spacing w:after="0"/>
              <w:rPr>
                <w:sz w:val="20"/>
                <w:szCs w:val="20"/>
                <w:color w:val="auto"/>
              </w:rPr>
            </w:pPr>
            <w:r>
              <w:rPr>
                <w:rFonts w:ascii="Arial" w:cs="Arial" w:eastAsia="Arial" w:hAnsi="Arial"/>
                <w:sz w:val="14"/>
                <w:szCs w:val="14"/>
                <w:color w:val="auto"/>
              </w:rPr>
              <w:t>8</w:t>
            </w:r>
          </w:p>
        </w:tc>
        <w:tc>
          <w:tcPr>
            <w:tcW w:w="260" w:type="dxa"/>
            <w:vAlign w:val="bottom"/>
          </w:tcPr>
          <w:p>
            <w:pPr>
              <w:spacing w:after="0"/>
              <w:rPr>
                <w:sz w:val="18"/>
                <w:szCs w:val="18"/>
                <w:color w:val="auto"/>
              </w:rPr>
            </w:pPr>
          </w:p>
        </w:tc>
        <w:tc>
          <w:tcPr>
            <w:tcW w:w="600" w:type="dxa"/>
            <w:vAlign w:val="bottom"/>
          </w:tcPr>
          <w:p>
            <w:pPr>
              <w:jc w:val="right"/>
              <w:ind w:right="148"/>
              <w:spacing w:after="0"/>
              <w:rPr>
                <w:sz w:val="20"/>
                <w:szCs w:val="20"/>
                <w:color w:val="auto"/>
              </w:rPr>
            </w:pPr>
            <w:r>
              <w:rPr>
                <w:rFonts w:ascii="Arial" w:cs="Arial" w:eastAsia="Arial" w:hAnsi="Arial"/>
                <w:sz w:val="14"/>
                <w:szCs w:val="14"/>
                <w:color w:val="auto"/>
              </w:rPr>
              <w:t>8</w:t>
            </w:r>
          </w:p>
        </w:tc>
        <w:tc>
          <w:tcPr>
            <w:tcW w:w="22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18</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jc w:val="right"/>
              <w:ind w:right="109"/>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8"/>
                <w:szCs w:val="18"/>
                <w:color w:val="auto"/>
              </w:rPr>
            </w:pPr>
          </w:p>
        </w:tc>
        <w:tc>
          <w:tcPr>
            <w:tcW w:w="540" w:type="dxa"/>
            <w:vAlign w:val="bottom"/>
          </w:tcPr>
          <w:p>
            <w:pPr>
              <w:jc w:val="right"/>
              <w:ind w:right="108"/>
              <w:spacing w:after="0"/>
              <w:rPr>
                <w:sz w:val="20"/>
                <w:szCs w:val="20"/>
                <w:color w:val="auto"/>
              </w:rPr>
            </w:pPr>
            <w:r>
              <w:rPr>
                <w:rFonts w:ascii="Arial" w:cs="Arial" w:eastAsia="Arial" w:hAnsi="Arial"/>
                <w:sz w:val="14"/>
                <w:szCs w:val="14"/>
                <w:color w:val="auto"/>
              </w:rPr>
              <w:t>6</w:t>
            </w:r>
          </w:p>
        </w:tc>
        <w:tc>
          <w:tcPr>
            <w:tcW w:w="280" w:type="dxa"/>
            <w:vAlign w:val="bottom"/>
          </w:tcPr>
          <w:p>
            <w:pPr>
              <w:spacing w:after="0"/>
              <w:rPr>
                <w:sz w:val="18"/>
                <w:szCs w:val="18"/>
                <w:color w:val="auto"/>
              </w:rPr>
            </w:pPr>
          </w:p>
        </w:tc>
        <w:tc>
          <w:tcPr>
            <w:tcW w:w="600" w:type="dxa"/>
            <w:vAlign w:val="bottom"/>
          </w:tcPr>
          <w:p>
            <w:pPr>
              <w:jc w:val="right"/>
              <w:ind w:right="168"/>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216"/>
        </w:trPr>
        <w:tc>
          <w:tcPr>
            <w:tcW w:w="2860" w:type="dxa"/>
            <w:vAlign w:val="bottom"/>
          </w:tcPr>
          <w:p>
            <w:pPr>
              <w:ind w:left="20"/>
              <w:spacing w:after="0"/>
              <w:rPr>
                <w:sz w:val="20"/>
                <w:szCs w:val="20"/>
                <w:color w:val="auto"/>
              </w:rPr>
            </w:pPr>
            <w:r>
              <w:rPr>
                <w:rFonts w:ascii="Arial" w:cs="Arial" w:eastAsia="Arial" w:hAnsi="Arial"/>
                <w:sz w:val="14"/>
                <w:szCs w:val="14"/>
                <w:color w:val="auto"/>
              </w:rPr>
              <w:t>Regulatory adjustment</w:t>
            </w:r>
          </w:p>
        </w:tc>
        <w:tc>
          <w:tcPr>
            <w:tcW w:w="240" w:type="dxa"/>
            <w:vAlign w:val="bottom"/>
          </w:tcPr>
          <w:p>
            <w:pPr>
              <w:spacing w:after="0"/>
              <w:rPr>
                <w:sz w:val="18"/>
                <w:szCs w:val="18"/>
                <w:color w:val="auto"/>
              </w:rPr>
            </w:pPr>
          </w:p>
        </w:tc>
        <w:tc>
          <w:tcPr>
            <w:tcW w:w="540" w:type="dxa"/>
            <w:vAlign w:val="bottom"/>
          </w:tcPr>
          <w:p>
            <w:pPr>
              <w:jc w:val="right"/>
              <w:ind w:right="49"/>
              <w:spacing w:after="0"/>
              <w:rPr>
                <w:sz w:val="20"/>
                <w:szCs w:val="20"/>
                <w:color w:val="auto"/>
              </w:rPr>
            </w:pPr>
            <w:r>
              <w:rPr>
                <w:rFonts w:ascii="Arial" w:cs="Arial" w:eastAsia="Arial" w:hAnsi="Arial"/>
                <w:sz w:val="14"/>
                <w:szCs w:val="14"/>
                <w:color w:val="auto"/>
              </w:rPr>
              <w:t>(22 )</w:t>
            </w:r>
          </w:p>
        </w:tc>
        <w:tc>
          <w:tcPr>
            <w:tcW w:w="260" w:type="dxa"/>
            <w:vAlign w:val="bottom"/>
          </w:tcPr>
          <w:p>
            <w:pPr>
              <w:spacing w:after="0"/>
              <w:rPr>
                <w:sz w:val="18"/>
                <w:szCs w:val="18"/>
                <w:color w:val="auto"/>
              </w:rPr>
            </w:pPr>
          </w:p>
        </w:tc>
        <w:tc>
          <w:tcPr>
            <w:tcW w:w="600" w:type="dxa"/>
            <w:vAlign w:val="bottom"/>
          </w:tcPr>
          <w:p>
            <w:pPr>
              <w:jc w:val="right"/>
              <w:ind w:right="88"/>
              <w:spacing w:after="0"/>
              <w:rPr>
                <w:sz w:val="20"/>
                <w:szCs w:val="20"/>
                <w:color w:val="auto"/>
              </w:rPr>
            </w:pPr>
            <w:r>
              <w:rPr>
                <w:rFonts w:ascii="Arial" w:cs="Arial" w:eastAsia="Arial" w:hAnsi="Arial"/>
                <w:sz w:val="14"/>
                <w:szCs w:val="14"/>
                <w:color w:val="auto"/>
              </w:rPr>
              <w:t>(34 )</w:t>
            </w:r>
          </w:p>
        </w:tc>
        <w:tc>
          <w:tcPr>
            <w:tcW w:w="220" w:type="dxa"/>
            <w:vAlign w:val="bottom"/>
          </w:tcPr>
          <w:p>
            <w:pPr>
              <w:spacing w:after="0"/>
              <w:rPr>
                <w:sz w:val="18"/>
                <w:szCs w:val="18"/>
                <w:color w:val="auto"/>
              </w:rPr>
            </w:pPr>
          </w:p>
        </w:tc>
        <w:tc>
          <w:tcPr>
            <w:tcW w:w="720" w:type="dxa"/>
            <w:vAlign w:val="bottom"/>
            <w:gridSpan w:val="2"/>
          </w:tcPr>
          <w:p>
            <w:pPr>
              <w:jc w:val="right"/>
              <w:ind w:right="280"/>
              <w:spacing w:after="0"/>
              <w:rPr>
                <w:sz w:val="20"/>
                <w:szCs w:val="20"/>
                <w:color w:val="auto"/>
              </w:rPr>
            </w:pPr>
            <w:r>
              <w:rPr>
                <w:rFonts w:ascii="Arial" w:cs="Arial" w:eastAsia="Arial" w:hAnsi="Arial"/>
                <w:sz w:val="14"/>
                <w:szCs w:val="14"/>
                <w:color w:val="auto"/>
              </w:rPr>
              <w:t>(38 )</w:t>
            </w:r>
          </w:p>
        </w:tc>
        <w:tc>
          <w:tcPr>
            <w:tcW w:w="260" w:type="dxa"/>
            <w:vAlign w:val="bottom"/>
          </w:tcPr>
          <w:p>
            <w:pPr>
              <w:spacing w:after="0"/>
              <w:rPr>
                <w:sz w:val="18"/>
                <w:szCs w:val="18"/>
                <w:color w:val="auto"/>
              </w:rPr>
            </w:pPr>
          </w:p>
        </w:tc>
        <w:tc>
          <w:tcPr>
            <w:tcW w:w="540" w:type="dxa"/>
            <w:vAlign w:val="bottom"/>
          </w:tcPr>
          <w:p>
            <w:pPr>
              <w:jc w:val="right"/>
              <w:ind w:right="109"/>
              <w:spacing w:after="0"/>
              <w:rPr>
                <w:sz w:val="20"/>
                <w:szCs w:val="20"/>
                <w:color w:val="auto"/>
              </w:rPr>
            </w:pPr>
            <w:r>
              <w:rPr>
                <w:rFonts w:ascii="Arial" w:cs="Arial" w:eastAsia="Arial" w:hAnsi="Arial"/>
                <w:sz w:val="14"/>
                <w:szCs w:val="14"/>
                <w:color w:val="auto"/>
              </w:rPr>
              <w:t>7</w:t>
            </w:r>
          </w:p>
        </w:tc>
        <w:tc>
          <w:tcPr>
            <w:tcW w:w="280" w:type="dxa"/>
            <w:vAlign w:val="bottom"/>
          </w:tcPr>
          <w:p>
            <w:pPr>
              <w:spacing w:after="0"/>
              <w:rPr>
                <w:sz w:val="18"/>
                <w:szCs w:val="18"/>
                <w:color w:val="auto"/>
              </w:rPr>
            </w:pPr>
          </w:p>
        </w:tc>
        <w:tc>
          <w:tcPr>
            <w:tcW w:w="540" w:type="dxa"/>
            <w:vAlign w:val="bottom"/>
          </w:tcPr>
          <w:p>
            <w:pPr>
              <w:jc w:val="right"/>
              <w:ind w:right="108"/>
              <w:spacing w:after="0"/>
              <w:rPr>
                <w:sz w:val="20"/>
                <w:szCs w:val="20"/>
                <w:color w:val="auto"/>
              </w:rPr>
            </w:pPr>
            <w:r>
              <w:rPr>
                <w:rFonts w:ascii="Arial" w:cs="Arial" w:eastAsia="Arial" w:hAnsi="Arial"/>
                <w:sz w:val="14"/>
                <w:szCs w:val="14"/>
                <w:color w:val="auto"/>
              </w:rPr>
              <w:t>7</w:t>
            </w:r>
          </w:p>
        </w:tc>
        <w:tc>
          <w:tcPr>
            <w:tcW w:w="280" w:type="dxa"/>
            <w:vAlign w:val="bottom"/>
          </w:tcPr>
          <w:p>
            <w:pPr>
              <w:spacing w:after="0"/>
              <w:rPr>
                <w:sz w:val="18"/>
                <w:szCs w:val="18"/>
                <w:color w:val="auto"/>
              </w:rPr>
            </w:pPr>
          </w:p>
        </w:tc>
        <w:tc>
          <w:tcPr>
            <w:tcW w:w="600" w:type="dxa"/>
            <w:vAlign w:val="bottom"/>
          </w:tcPr>
          <w:p>
            <w:pPr>
              <w:jc w:val="right"/>
              <w:ind w:right="168"/>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216"/>
        </w:trPr>
        <w:tc>
          <w:tcPr>
            <w:tcW w:w="2860" w:type="dxa"/>
            <w:vAlign w:val="bottom"/>
          </w:tcPr>
          <w:p>
            <w:pPr>
              <w:ind w:left="20"/>
              <w:spacing w:after="0"/>
              <w:rPr>
                <w:sz w:val="20"/>
                <w:szCs w:val="20"/>
                <w:color w:val="auto"/>
              </w:rPr>
            </w:pPr>
            <w:r>
              <w:rPr>
                <w:rFonts w:ascii="Arial" w:cs="Arial" w:eastAsia="Arial" w:hAnsi="Arial"/>
                <w:sz w:val="14"/>
                <w:szCs w:val="14"/>
                <w:color w:val="auto"/>
              </w:rPr>
              <w:t>Special termination benefit charge</w:t>
            </w:r>
          </w:p>
        </w:tc>
        <w:tc>
          <w:tcPr>
            <w:tcW w:w="240" w:type="dxa"/>
            <w:vAlign w:val="bottom"/>
          </w:tcPr>
          <w:p>
            <w:pPr>
              <w:spacing w:after="0"/>
              <w:rPr>
                <w:sz w:val="18"/>
                <w:szCs w:val="18"/>
                <w:color w:val="auto"/>
              </w:rPr>
            </w:pPr>
          </w:p>
        </w:tc>
        <w:tc>
          <w:tcPr>
            <w:tcW w:w="540" w:type="dxa"/>
            <w:vAlign w:val="bottom"/>
          </w:tcPr>
          <w:p>
            <w:pPr>
              <w:jc w:val="right"/>
              <w:ind w:right="109"/>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8"/>
                <w:szCs w:val="18"/>
                <w:color w:val="auto"/>
              </w:rPr>
            </w:pPr>
          </w:p>
        </w:tc>
        <w:tc>
          <w:tcPr>
            <w:tcW w:w="600" w:type="dxa"/>
            <w:vAlign w:val="bottom"/>
          </w:tcPr>
          <w:p>
            <w:pPr>
              <w:jc w:val="right"/>
              <w:ind w:right="148"/>
              <w:spacing w:after="0"/>
              <w:rPr>
                <w:sz w:val="20"/>
                <w:szCs w:val="20"/>
                <w:color w:val="auto"/>
              </w:rPr>
            </w:pPr>
            <w:r>
              <w:rPr>
                <w:rFonts w:ascii="Arial" w:cs="Arial" w:eastAsia="Arial" w:hAnsi="Arial"/>
                <w:sz w:val="14"/>
                <w:szCs w:val="14"/>
                <w:color w:val="auto"/>
              </w:rPr>
              <w:t>1</w:t>
            </w:r>
          </w:p>
        </w:tc>
        <w:tc>
          <w:tcPr>
            <w:tcW w:w="22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jc w:val="right"/>
              <w:ind w:right="109"/>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8"/>
                <w:szCs w:val="18"/>
                <w:color w:val="auto"/>
              </w:rPr>
            </w:pPr>
          </w:p>
        </w:tc>
        <w:tc>
          <w:tcPr>
            <w:tcW w:w="54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8"/>
                <w:szCs w:val="18"/>
                <w:color w:val="auto"/>
              </w:rPr>
            </w:pPr>
          </w:p>
        </w:tc>
        <w:tc>
          <w:tcPr>
            <w:tcW w:w="60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6"/>
        </w:trPr>
        <w:tc>
          <w:tcPr>
            <w:tcW w:w="2860" w:type="dxa"/>
            <w:vAlign w:val="bottom"/>
          </w:tcPr>
          <w:p>
            <w:pPr>
              <w:ind w:left="20"/>
              <w:spacing w:after="0"/>
              <w:rPr>
                <w:sz w:val="20"/>
                <w:szCs w:val="20"/>
                <w:color w:val="auto"/>
              </w:rPr>
            </w:pPr>
            <w:r>
              <w:rPr>
                <w:rFonts w:ascii="Arial" w:cs="Arial" w:eastAsia="Arial" w:hAnsi="Arial"/>
                <w:sz w:val="14"/>
                <w:szCs w:val="14"/>
                <w:color w:val="auto"/>
              </w:rPr>
              <w:t>Curtailment charge</w:t>
            </w:r>
          </w:p>
        </w:tc>
        <w:tc>
          <w:tcPr>
            <w:tcW w:w="240" w:type="dxa"/>
            <w:vAlign w:val="bottom"/>
          </w:tcPr>
          <w:p>
            <w:pPr>
              <w:spacing w:after="0"/>
              <w:rPr>
                <w:sz w:val="18"/>
                <w:szCs w:val="18"/>
                <w:color w:val="auto"/>
              </w:rPr>
            </w:pPr>
          </w:p>
        </w:tc>
        <w:tc>
          <w:tcPr>
            <w:tcW w:w="540" w:type="dxa"/>
            <w:vAlign w:val="bottom"/>
          </w:tcPr>
          <w:p>
            <w:pPr>
              <w:jc w:val="right"/>
              <w:ind w:right="109"/>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8"/>
                <w:szCs w:val="18"/>
                <w:color w:val="auto"/>
              </w:rPr>
            </w:pPr>
          </w:p>
        </w:tc>
        <w:tc>
          <w:tcPr>
            <w:tcW w:w="600" w:type="dxa"/>
            <w:vAlign w:val="bottom"/>
          </w:tcPr>
          <w:p>
            <w:pPr>
              <w:jc w:val="right"/>
              <w:ind w:right="148"/>
              <w:spacing w:after="0"/>
              <w:rPr>
                <w:sz w:val="20"/>
                <w:szCs w:val="20"/>
                <w:color w:val="auto"/>
              </w:rPr>
            </w:pPr>
            <w:r>
              <w:rPr>
                <w:rFonts w:ascii="Arial" w:cs="Arial" w:eastAsia="Arial" w:hAnsi="Arial"/>
                <w:sz w:val="14"/>
                <w:szCs w:val="14"/>
                <w:color w:val="auto"/>
              </w:rPr>
              <w:t>6</w:t>
            </w:r>
          </w:p>
        </w:tc>
        <w:tc>
          <w:tcPr>
            <w:tcW w:w="22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jc w:val="right"/>
              <w:ind w:right="29"/>
              <w:spacing w:after="0"/>
              <w:rPr>
                <w:sz w:val="20"/>
                <w:szCs w:val="20"/>
                <w:color w:val="auto"/>
              </w:rPr>
            </w:pPr>
            <w:r>
              <w:rPr>
                <w:rFonts w:ascii="Arial" w:cs="Arial" w:eastAsia="Arial" w:hAnsi="Arial"/>
                <w:sz w:val="14"/>
                <w:szCs w:val="14"/>
                <w:color w:val="auto"/>
              </w:rPr>
              <w:t>(3 )</w:t>
            </w:r>
          </w:p>
        </w:tc>
        <w:tc>
          <w:tcPr>
            <w:tcW w:w="280" w:type="dxa"/>
            <w:vAlign w:val="bottom"/>
          </w:tcPr>
          <w:p>
            <w:pPr>
              <w:spacing w:after="0"/>
              <w:rPr>
                <w:sz w:val="18"/>
                <w:szCs w:val="18"/>
                <w:color w:val="auto"/>
              </w:rPr>
            </w:pPr>
          </w:p>
        </w:tc>
        <w:tc>
          <w:tcPr>
            <w:tcW w:w="54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8"/>
                <w:szCs w:val="18"/>
                <w:color w:val="auto"/>
              </w:rPr>
            </w:pPr>
          </w:p>
        </w:tc>
        <w:tc>
          <w:tcPr>
            <w:tcW w:w="60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2"/>
        </w:trPr>
        <w:tc>
          <w:tcPr>
            <w:tcW w:w="2860" w:type="dxa"/>
            <w:vAlign w:val="bottom"/>
          </w:tcPr>
          <w:p>
            <w:pPr>
              <w:ind w:left="20"/>
              <w:spacing w:after="0"/>
              <w:rPr>
                <w:sz w:val="20"/>
                <w:szCs w:val="20"/>
                <w:color w:val="auto"/>
              </w:rPr>
            </w:pPr>
            <w:r>
              <w:rPr>
                <w:rFonts w:ascii="Arial" w:cs="Arial" w:eastAsia="Arial" w:hAnsi="Arial"/>
                <w:sz w:val="14"/>
                <w:szCs w:val="14"/>
                <w:color w:val="auto"/>
              </w:rPr>
              <w:t>Settlement charge</w:t>
            </w:r>
          </w:p>
        </w:tc>
        <w:tc>
          <w:tcPr>
            <w:tcW w:w="2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8</w:t>
            </w:r>
          </w:p>
        </w:tc>
        <w:tc>
          <w:tcPr>
            <w:tcW w:w="2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8"/>
        </w:trPr>
        <w:tc>
          <w:tcPr>
            <w:tcW w:w="2860" w:type="dxa"/>
            <w:vAlign w:val="bottom"/>
          </w:tcPr>
          <w:p>
            <w:pPr>
              <w:ind w:left="20"/>
              <w:spacing w:after="0"/>
              <w:rPr>
                <w:sz w:val="20"/>
                <w:szCs w:val="20"/>
                <w:color w:val="auto"/>
              </w:rPr>
            </w:pPr>
            <w:r>
              <w:rPr>
                <w:rFonts w:ascii="Arial" w:cs="Arial" w:eastAsia="Arial" w:hAnsi="Arial"/>
                <w:sz w:val="14"/>
                <w:szCs w:val="14"/>
                <w:color w:val="auto"/>
              </w:rPr>
              <w:t>Total net periodic benefit cost</w:t>
            </w:r>
          </w:p>
        </w:tc>
        <w:tc>
          <w:tcPr>
            <w:tcW w:w="2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74</w:t>
            </w:r>
          </w:p>
        </w:tc>
        <w:tc>
          <w:tcPr>
            <w:tcW w:w="2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68</w:t>
            </w:r>
          </w:p>
        </w:tc>
        <w:tc>
          <w:tcPr>
            <w:tcW w:w="22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72</w:t>
            </w:r>
          </w:p>
        </w:tc>
        <w:tc>
          <w:tcPr>
            <w:tcW w:w="34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32</w:t>
            </w:r>
          </w:p>
        </w:tc>
        <w:tc>
          <w:tcPr>
            <w:tcW w:w="2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46</w:t>
            </w:r>
          </w:p>
        </w:tc>
        <w:tc>
          <w:tcPr>
            <w:tcW w:w="2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33</w:t>
            </w:r>
          </w:p>
        </w:tc>
        <w:tc>
          <w:tcPr>
            <w:tcW w:w="0" w:type="dxa"/>
            <w:vAlign w:val="bottom"/>
          </w:tcPr>
          <w:p>
            <w:pPr>
              <w:spacing w:after="0"/>
              <w:rPr>
                <w:sz w:val="1"/>
                <w:szCs w:val="1"/>
                <w:color w:val="auto"/>
              </w:rPr>
            </w:pPr>
          </w:p>
        </w:tc>
      </w:tr>
      <w:tr>
        <w:trPr>
          <w:trHeight w:val="390"/>
        </w:trPr>
        <w:tc>
          <w:tcPr>
            <w:tcW w:w="2860" w:type="dxa"/>
            <w:vAlign w:val="bottom"/>
          </w:tcPr>
          <w:p>
            <w:pPr>
              <w:ind w:left="20"/>
              <w:spacing w:after="0"/>
              <w:rPr>
                <w:sz w:val="20"/>
                <w:szCs w:val="20"/>
                <w:color w:val="auto"/>
              </w:rPr>
            </w:pPr>
            <w:r>
              <w:rPr>
                <w:rFonts w:ascii="Arial" w:cs="Arial" w:eastAsia="Arial" w:hAnsi="Arial"/>
                <w:sz w:val="14"/>
                <w:szCs w:val="14"/>
                <w:color w:val="auto"/>
              </w:rPr>
              <w:t>Other Changes in Plan Assets and Benefit</w:t>
            </w: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8"/>
        </w:trPr>
        <w:tc>
          <w:tcPr>
            <w:tcW w:w="2860" w:type="dxa"/>
            <w:vAlign w:val="bottom"/>
          </w:tcPr>
          <w:p>
            <w:pPr>
              <w:ind w:left="140"/>
              <w:spacing w:after="0"/>
              <w:rPr>
                <w:sz w:val="20"/>
                <w:szCs w:val="20"/>
                <w:color w:val="auto"/>
              </w:rPr>
            </w:pPr>
            <w:r>
              <w:rPr>
                <w:rFonts w:ascii="Arial" w:cs="Arial" w:eastAsia="Arial" w:hAnsi="Arial"/>
                <w:sz w:val="14"/>
                <w:szCs w:val="14"/>
                <w:color w:val="auto"/>
              </w:rPr>
              <w:t>Obligations Recognized in Other</w:t>
            </w:r>
          </w:p>
        </w:tc>
        <w:tc>
          <w:tcPr>
            <w:tcW w:w="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860" w:type="dxa"/>
            <w:vAlign w:val="bottom"/>
            <w:tcBorders>
              <w:bottom w:val="single" w:sz="8" w:color="auto"/>
            </w:tcBorders>
          </w:tcPr>
          <w:p>
            <w:pPr>
              <w:ind w:left="140"/>
              <w:spacing w:after="0"/>
              <w:rPr>
                <w:sz w:val="20"/>
                <w:szCs w:val="20"/>
                <w:color w:val="auto"/>
              </w:rPr>
            </w:pPr>
            <w:r>
              <w:rPr>
                <w:rFonts w:ascii="Arial" w:cs="Arial" w:eastAsia="Arial" w:hAnsi="Arial"/>
                <w:sz w:val="14"/>
                <w:szCs w:val="14"/>
                <w:color w:val="auto"/>
              </w:rPr>
              <w:t>Comprehensive Income</w:t>
            </w:r>
          </w:p>
        </w:tc>
        <w:tc>
          <w:tcPr>
            <w:tcW w:w="2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2860" w:type="dxa"/>
            <w:vAlign w:val="bottom"/>
          </w:tcPr>
          <w:p>
            <w:pPr>
              <w:ind w:left="20"/>
              <w:spacing w:after="0"/>
              <w:rPr>
                <w:sz w:val="20"/>
                <w:szCs w:val="20"/>
                <w:color w:val="auto"/>
              </w:rPr>
            </w:pPr>
            <w:r>
              <w:rPr>
                <w:rFonts w:ascii="Arial" w:cs="Arial" w:eastAsia="Arial" w:hAnsi="Arial"/>
                <w:sz w:val="14"/>
                <w:szCs w:val="14"/>
                <w:color w:val="auto"/>
              </w:rPr>
              <w:t>Net loss (gain)</w:t>
            </w:r>
          </w:p>
        </w:tc>
        <w:tc>
          <w:tcPr>
            <w:tcW w:w="240" w:type="dxa"/>
            <w:vAlign w:val="bottom"/>
          </w:tcPr>
          <w:p>
            <w:pPr>
              <w:spacing w:after="0"/>
              <w:rPr>
                <w:sz w:val="17"/>
                <w:szCs w:val="17"/>
                <w:color w:val="auto"/>
              </w:rPr>
            </w:pPr>
          </w:p>
        </w:tc>
        <w:tc>
          <w:tcPr>
            <w:tcW w:w="540" w:type="dxa"/>
            <w:vAlign w:val="bottom"/>
          </w:tcPr>
          <w:p>
            <w:pPr>
              <w:jc w:val="right"/>
              <w:ind w:right="109"/>
              <w:spacing w:after="0"/>
              <w:rPr>
                <w:sz w:val="20"/>
                <w:szCs w:val="20"/>
                <w:color w:val="auto"/>
              </w:rPr>
            </w:pPr>
            <w:r>
              <w:rPr>
                <w:rFonts w:ascii="Arial" w:cs="Arial" w:eastAsia="Arial" w:hAnsi="Arial"/>
                <w:sz w:val="14"/>
                <w:szCs w:val="14"/>
                <w:color w:val="auto"/>
              </w:rPr>
              <w:t>54</w:t>
            </w:r>
          </w:p>
        </w:tc>
        <w:tc>
          <w:tcPr>
            <w:tcW w:w="260" w:type="dxa"/>
            <w:vAlign w:val="bottom"/>
          </w:tcPr>
          <w:p>
            <w:pPr>
              <w:spacing w:after="0"/>
              <w:rPr>
                <w:sz w:val="17"/>
                <w:szCs w:val="17"/>
                <w:color w:val="auto"/>
              </w:rPr>
            </w:pPr>
          </w:p>
        </w:tc>
        <w:tc>
          <w:tcPr>
            <w:tcW w:w="600" w:type="dxa"/>
            <w:vAlign w:val="bottom"/>
          </w:tcPr>
          <w:p>
            <w:pPr>
              <w:jc w:val="right"/>
              <w:ind w:right="88"/>
              <w:spacing w:after="0"/>
              <w:rPr>
                <w:sz w:val="20"/>
                <w:szCs w:val="20"/>
                <w:color w:val="auto"/>
              </w:rPr>
            </w:pPr>
            <w:r>
              <w:rPr>
                <w:rFonts w:ascii="Arial" w:cs="Arial" w:eastAsia="Arial" w:hAnsi="Arial"/>
                <w:sz w:val="14"/>
                <w:szCs w:val="14"/>
                <w:color w:val="auto"/>
              </w:rPr>
              <w:t>(12 )</w:t>
            </w:r>
          </w:p>
        </w:tc>
        <w:tc>
          <w:tcPr>
            <w:tcW w:w="22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40" w:type="dxa"/>
            <w:vAlign w:val="bottom"/>
          </w:tcPr>
          <w:p>
            <w:pPr>
              <w:jc w:val="right"/>
              <w:ind w:right="109"/>
              <w:spacing w:after="0"/>
              <w:rPr>
                <w:sz w:val="20"/>
                <w:szCs w:val="20"/>
                <w:color w:val="auto"/>
              </w:rPr>
            </w:pPr>
            <w:r>
              <w:rPr>
                <w:rFonts w:ascii="Arial" w:cs="Arial" w:eastAsia="Arial" w:hAnsi="Arial"/>
                <w:sz w:val="14"/>
                <w:szCs w:val="14"/>
                <w:color w:val="auto"/>
              </w:rPr>
              <w:t>1</w:t>
            </w:r>
          </w:p>
        </w:tc>
        <w:tc>
          <w:tcPr>
            <w:tcW w:w="280" w:type="dxa"/>
            <w:vAlign w:val="bottom"/>
          </w:tcPr>
          <w:p>
            <w:pPr>
              <w:spacing w:after="0"/>
              <w:rPr>
                <w:sz w:val="17"/>
                <w:szCs w:val="17"/>
                <w:color w:val="auto"/>
              </w:rPr>
            </w:pPr>
          </w:p>
        </w:tc>
        <w:tc>
          <w:tcPr>
            <w:tcW w:w="540" w:type="dxa"/>
            <w:vAlign w:val="bottom"/>
          </w:tcPr>
          <w:p>
            <w:pPr>
              <w:jc w:val="right"/>
              <w:ind w:right="28"/>
              <w:spacing w:after="0"/>
              <w:rPr>
                <w:sz w:val="20"/>
                <w:szCs w:val="20"/>
                <w:color w:val="auto"/>
              </w:rPr>
            </w:pPr>
            <w:r>
              <w:rPr>
                <w:rFonts w:ascii="Arial" w:cs="Arial" w:eastAsia="Arial" w:hAnsi="Arial"/>
                <w:sz w:val="14"/>
                <w:szCs w:val="14"/>
                <w:color w:val="auto"/>
              </w:rPr>
              <w:t>(2 )</w:t>
            </w:r>
          </w:p>
        </w:tc>
        <w:tc>
          <w:tcPr>
            <w:tcW w:w="280" w:type="dxa"/>
            <w:vAlign w:val="bottom"/>
          </w:tcPr>
          <w:p>
            <w:pPr>
              <w:spacing w:after="0"/>
              <w:rPr>
                <w:sz w:val="17"/>
                <w:szCs w:val="17"/>
                <w:color w:val="auto"/>
              </w:rPr>
            </w:pPr>
          </w:p>
        </w:tc>
        <w:tc>
          <w:tcPr>
            <w:tcW w:w="60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6"/>
        </w:trPr>
        <w:tc>
          <w:tcPr>
            <w:tcW w:w="2860" w:type="dxa"/>
            <w:vAlign w:val="bottom"/>
          </w:tcPr>
          <w:p>
            <w:pPr>
              <w:ind w:left="20"/>
              <w:spacing w:after="0"/>
              <w:rPr>
                <w:sz w:val="20"/>
                <w:szCs w:val="20"/>
                <w:color w:val="auto"/>
              </w:rPr>
            </w:pPr>
            <w:r>
              <w:rPr>
                <w:rFonts w:ascii="Arial" w:cs="Arial" w:eastAsia="Arial" w:hAnsi="Arial"/>
                <w:sz w:val="14"/>
                <w:szCs w:val="14"/>
                <w:color w:val="auto"/>
              </w:rPr>
              <w:t>Prior service cost (credit)</w:t>
            </w:r>
          </w:p>
        </w:tc>
        <w:tc>
          <w:tcPr>
            <w:tcW w:w="240" w:type="dxa"/>
            <w:vAlign w:val="bottom"/>
          </w:tcPr>
          <w:p>
            <w:pPr>
              <w:spacing w:after="0"/>
              <w:rPr>
                <w:sz w:val="18"/>
                <w:szCs w:val="18"/>
                <w:color w:val="auto"/>
              </w:rPr>
            </w:pPr>
          </w:p>
        </w:tc>
        <w:tc>
          <w:tcPr>
            <w:tcW w:w="540" w:type="dxa"/>
            <w:vAlign w:val="bottom"/>
          </w:tcPr>
          <w:p>
            <w:pPr>
              <w:jc w:val="right"/>
              <w:ind w:right="109"/>
              <w:spacing w:after="0"/>
              <w:rPr>
                <w:sz w:val="20"/>
                <w:szCs w:val="20"/>
                <w:color w:val="auto"/>
              </w:rPr>
            </w:pPr>
            <w:r>
              <w:rPr>
                <w:rFonts w:ascii="Arial" w:cs="Arial" w:eastAsia="Arial" w:hAnsi="Arial"/>
                <w:sz w:val="14"/>
                <w:szCs w:val="14"/>
                <w:color w:val="auto"/>
              </w:rPr>
              <w:t>3</w:t>
            </w:r>
          </w:p>
        </w:tc>
        <w:tc>
          <w:tcPr>
            <w:tcW w:w="260" w:type="dxa"/>
            <w:vAlign w:val="bottom"/>
          </w:tcPr>
          <w:p>
            <w:pPr>
              <w:spacing w:after="0"/>
              <w:rPr>
                <w:sz w:val="18"/>
                <w:szCs w:val="18"/>
                <w:color w:val="auto"/>
              </w:rPr>
            </w:pPr>
          </w:p>
        </w:tc>
        <w:tc>
          <w:tcPr>
            <w:tcW w:w="600" w:type="dxa"/>
            <w:vAlign w:val="bottom"/>
          </w:tcPr>
          <w:p>
            <w:pPr>
              <w:jc w:val="right"/>
              <w:ind w:right="88"/>
              <w:spacing w:after="0"/>
              <w:rPr>
                <w:sz w:val="20"/>
                <w:szCs w:val="20"/>
                <w:color w:val="auto"/>
              </w:rPr>
            </w:pPr>
            <w:r>
              <w:rPr>
                <w:rFonts w:ascii="Arial" w:cs="Arial" w:eastAsia="Arial" w:hAnsi="Arial"/>
                <w:sz w:val="14"/>
                <w:szCs w:val="14"/>
                <w:color w:val="auto"/>
              </w:rPr>
              <w:t>(4 )</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jc w:val="right"/>
              <w:ind w:right="109"/>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8"/>
                <w:szCs w:val="18"/>
                <w:color w:val="auto"/>
              </w:rPr>
            </w:pPr>
          </w:p>
        </w:tc>
        <w:tc>
          <w:tcPr>
            <w:tcW w:w="54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8"/>
                <w:szCs w:val="18"/>
                <w:color w:val="auto"/>
              </w:rPr>
            </w:pPr>
          </w:p>
        </w:tc>
        <w:tc>
          <w:tcPr>
            <w:tcW w:w="60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6"/>
        </w:trPr>
        <w:tc>
          <w:tcPr>
            <w:tcW w:w="2860" w:type="dxa"/>
            <w:vAlign w:val="bottom"/>
          </w:tcPr>
          <w:p>
            <w:pPr>
              <w:ind w:left="20"/>
              <w:spacing w:after="0"/>
              <w:rPr>
                <w:sz w:val="20"/>
                <w:szCs w:val="20"/>
                <w:color w:val="auto"/>
              </w:rPr>
            </w:pPr>
            <w:r>
              <w:rPr>
                <w:rFonts w:ascii="Arial" w:cs="Arial" w:eastAsia="Arial" w:hAnsi="Arial"/>
                <w:sz w:val="14"/>
                <w:szCs w:val="14"/>
                <w:color w:val="auto"/>
              </w:rPr>
              <w:t>Amortization of prior service credit</w:t>
            </w:r>
          </w:p>
        </w:tc>
        <w:tc>
          <w:tcPr>
            <w:tcW w:w="240" w:type="dxa"/>
            <w:vAlign w:val="bottom"/>
          </w:tcPr>
          <w:p>
            <w:pPr>
              <w:spacing w:after="0"/>
              <w:rPr>
                <w:sz w:val="18"/>
                <w:szCs w:val="18"/>
                <w:color w:val="auto"/>
              </w:rPr>
            </w:pPr>
          </w:p>
        </w:tc>
        <w:tc>
          <w:tcPr>
            <w:tcW w:w="540" w:type="dxa"/>
            <w:vAlign w:val="bottom"/>
          </w:tcPr>
          <w:p>
            <w:pPr>
              <w:jc w:val="right"/>
              <w:ind w:right="109"/>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8"/>
                <w:szCs w:val="18"/>
                <w:color w:val="auto"/>
              </w:rPr>
            </w:pPr>
          </w:p>
        </w:tc>
        <w:tc>
          <w:tcPr>
            <w:tcW w:w="60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jc w:val="right"/>
              <w:ind w:right="109"/>
              <w:spacing w:after="0"/>
              <w:rPr>
                <w:sz w:val="20"/>
                <w:szCs w:val="20"/>
                <w:color w:val="auto"/>
              </w:rPr>
            </w:pPr>
            <w:r>
              <w:rPr>
                <w:rFonts w:ascii="Arial" w:cs="Arial" w:eastAsia="Arial" w:hAnsi="Arial"/>
                <w:sz w:val="14"/>
                <w:szCs w:val="14"/>
                <w:color w:val="auto"/>
              </w:rPr>
              <w:t>1</w:t>
            </w:r>
          </w:p>
        </w:tc>
        <w:tc>
          <w:tcPr>
            <w:tcW w:w="280" w:type="dxa"/>
            <w:vAlign w:val="bottom"/>
          </w:tcPr>
          <w:p>
            <w:pPr>
              <w:spacing w:after="0"/>
              <w:rPr>
                <w:sz w:val="18"/>
                <w:szCs w:val="18"/>
                <w:color w:val="auto"/>
              </w:rPr>
            </w:pPr>
          </w:p>
        </w:tc>
        <w:tc>
          <w:tcPr>
            <w:tcW w:w="540" w:type="dxa"/>
            <w:vAlign w:val="bottom"/>
          </w:tcPr>
          <w:p>
            <w:pPr>
              <w:jc w:val="right"/>
              <w:ind w:right="108"/>
              <w:spacing w:after="0"/>
              <w:rPr>
                <w:sz w:val="20"/>
                <w:szCs w:val="20"/>
                <w:color w:val="auto"/>
              </w:rPr>
            </w:pPr>
            <w:r>
              <w:rPr>
                <w:rFonts w:ascii="Arial" w:cs="Arial" w:eastAsia="Arial" w:hAnsi="Arial"/>
                <w:sz w:val="14"/>
                <w:szCs w:val="14"/>
                <w:color w:val="auto"/>
              </w:rPr>
              <w:t>1</w:t>
            </w:r>
          </w:p>
        </w:tc>
        <w:tc>
          <w:tcPr>
            <w:tcW w:w="280" w:type="dxa"/>
            <w:vAlign w:val="bottom"/>
          </w:tcPr>
          <w:p>
            <w:pPr>
              <w:spacing w:after="0"/>
              <w:rPr>
                <w:sz w:val="18"/>
                <w:szCs w:val="18"/>
                <w:color w:val="auto"/>
              </w:rPr>
            </w:pPr>
          </w:p>
        </w:tc>
        <w:tc>
          <w:tcPr>
            <w:tcW w:w="60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2"/>
        </w:trPr>
        <w:tc>
          <w:tcPr>
            <w:tcW w:w="2860" w:type="dxa"/>
            <w:vAlign w:val="bottom"/>
          </w:tcPr>
          <w:p>
            <w:pPr>
              <w:ind w:left="20"/>
              <w:spacing w:after="0"/>
              <w:rPr>
                <w:sz w:val="20"/>
                <w:szCs w:val="20"/>
                <w:color w:val="auto"/>
              </w:rPr>
            </w:pPr>
            <w:r>
              <w:rPr>
                <w:rFonts w:ascii="Arial" w:cs="Arial" w:eastAsia="Arial" w:hAnsi="Arial"/>
                <w:sz w:val="14"/>
                <w:szCs w:val="14"/>
                <w:color w:val="auto"/>
              </w:rPr>
              <w:t>Amortization of actuarial loss</w:t>
            </w:r>
          </w:p>
        </w:tc>
        <w:tc>
          <w:tcPr>
            <w:tcW w:w="2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(8 )</w:t>
            </w:r>
          </w:p>
        </w:tc>
        <w:tc>
          <w:tcPr>
            <w:tcW w:w="2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(8 )</w:t>
            </w:r>
          </w:p>
        </w:tc>
        <w:tc>
          <w:tcPr>
            <w:tcW w:w="2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4"/>
        </w:trPr>
        <w:tc>
          <w:tcPr>
            <w:tcW w:w="2860" w:type="dxa"/>
            <w:vAlign w:val="bottom"/>
          </w:tcPr>
          <w:p>
            <w:pPr>
              <w:ind w:left="140"/>
              <w:spacing w:after="0"/>
              <w:rPr>
                <w:sz w:val="20"/>
                <w:szCs w:val="20"/>
                <w:color w:val="auto"/>
              </w:rPr>
            </w:pPr>
            <w:r>
              <w:rPr>
                <w:rFonts w:ascii="Arial" w:cs="Arial" w:eastAsia="Arial" w:hAnsi="Arial"/>
                <w:sz w:val="14"/>
                <w:szCs w:val="14"/>
                <w:color w:val="auto"/>
              </w:rPr>
              <w:t>Total recognized in other comprehensive</w:t>
            </w:r>
          </w:p>
        </w:tc>
        <w:tc>
          <w:tcPr>
            <w:tcW w:w="240" w:type="dxa"/>
            <w:vAlign w:val="bottom"/>
          </w:tcPr>
          <w:p>
            <w:pPr>
              <w:spacing w:after="0"/>
              <w:rPr>
                <w:sz w:val="15"/>
                <w:szCs w:val="15"/>
                <w:color w:val="auto"/>
              </w:rPr>
            </w:pPr>
          </w:p>
        </w:tc>
        <w:tc>
          <w:tcPr>
            <w:tcW w:w="540" w:type="dxa"/>
            <w:vAlign w:val="bottom"/>
            <w:vMerge w:val="restart"/>
          </w:tcPr>
          <w:p>
            <w:pPr>
              <w:jc w:val="right"/>
              <w:ind w:right="109"/>
              <w:spacing w:after="0"/>
              <w:rPr>
                <w:sz w:val="20"/>
                <w:szCs w:val="20"/>
                <w:color w:val="auto"/>
              </w:rPr>
            </w:pPr>
            <w:r>
              <w:rPr>
                <w:rFonts w:ascii="Arial" w:cs="Arial" w:eastAsia="Arial" w:hAnsi="Arial"/>
                <w:sz w:val="14"/>
                <w:szCs w:val="14"/>
                <w:color w:val="auto"/>
              </w:rPr>
              <w:t>49</w:t>
            </w:r>
          </w:p>
        </w:tc>
        <w:tc>
          <w:tcPr>
            <w:tcW w:w="260" w:type="dxa"/>
            <w:vAlign w:val="bottom"/>
          </w:tcPr>
          <w:p>
            <w:pPr>
              <w:spacing w:after="0"/>
              <w:rPr>
                <w:sz w:val="15"/>
                <w:szCs w:val="15"/>
                <w:color w:val="auto"/>
              </w:rPr>
            </w:pPr>
          </w:p>
        </w:tc>
        <w:tc>
          <w:tcPr>
            <w:tcW w:w="600" w:type="dxa"/>
            <w:vAlign w:val="bottom"/>
            <w:vMerge w:val="restart"/>
          </w:tcPr>
          <w:p>
            <w:pPr>
              <w:jc w:val="right"/>
              <w:ind w:right="88"/>
              <w:spacing w:after="0"/>
              <w:rPr>
                <w:sz w:val="20"/>
                <w:szCs w:val="20"/>
                <w:color w:val="auto"/>
              </w:rPr>
            </w:pPr>
            <w:r>
              <w:rPr>
                <w:rFonts w:ascii="Arial" w:cs="Arial" w:eastAsia="Arial" w:hAnsi="Arial"/>
                <w:sz w:val="14"/>
                <w:szCs w:val="14"/>
                <w:color w:val="auto"/>
              </w:rPr>
              <w:t>(24 )</w:t>
            </w:r>
          </w:p>
        </w:tc>
        <w:tc>
          <w:tcPr>
            <w:tcW w:w="220" w:type="dxa"/>
            <w:vAlign w:val="bottom"/>
          </w:tcPr>
          <w:p>
            <w:pPr>
              <w:spacing w:after="0"/>
              <w:rPr>
                <w:sz w:val="15"/>
                <w:szCs w:val="15"/>
                <w:color w:val="auto"/>
              </w:rPr>
            </w:pPr>
          </w:p>
        </w:tc>
        <w:tc>
          <w:tcPr>
            <w:tcW w:w="3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40" w:type="dxa"/>
            <w:vAlign w:val="bottom"/>
            <w:vMerge w:val="restart"/>
          </w:tcPr>
          <w:p>
            <w:pPr>
              <w:jc w:val="right"/>
              <w:ind w:right="109"/>
              <w:spacing w:after="0"/>
              <w:rPr>
                <w:sz w:val="20"/>
                <w:szCs w:val="20"/>
                <w:color w:val="auto"/>
              </w:rPr>
            </w:pPr>
            <w:r>
              <w:rPr>
                <w:rFonts w:ascii="Arial" w:cs="Arial" w:eastAsia="Arial" w:hAnsi="Arial"/>
                <w:sz w:val="14"/>
                <w:szCs w:val="14"/>
                <w:color w:val="auto"/>
              </w:rPr>
              <w:t>2</w:t>
            </w:r>
          </w:p>
        </w:tc>
        <w:tc>
          <w:tcPr>
            <w:tcW w:w="280" w:type="dxa"/>
            <w:vAlign w:val="bottom"/>
          </w:tcPr>
          <w:p>
            <w:pPr>
              <w:spacing w:after="0"/>
              <w:rPr>
                <w:sz w:val="15"/>
                <w:szCs w:val="15"/>
                <w:color w:val="auto"/>
              </w:rPr>
            </w:pPr>
          </w:p>
        </w:tc>
        <w:tc>
          <w:tcPr>
            <w:tcW w:w="540" w:type="dxa"/>
            <w:vAlign w:val="bottom"/>
            <w:vMerge w:val="restart"/>
          </w:tcPr>
          <w:p>
            <w:pPr>
              <w:jc w:val="right"/>
              <w:ind w:right="28"/>
              <w:spacing w:after="0"/>
              <w:rPr>
                <w:sz w:val="20"/>
                <w:szCs w:val="20"/>
                <w:color w:val="auto"/>
              </w:rPr>
            </w:pPr>
            <w:r>
              <w:rPr>
                <w:rFonts w:ascii="Arial" w:cs="Arial" w:eastAsia="Arial" w:hAnsi="Arial"/>
                <w:sz w:val="14"/>
                <w:szCs w:val="14"/>
                <w:color w:val="auto"/>
              </w:rPr>
              <w:t>(1 )</w:t>
            </w:r>
          </w:p>
        </w:tc>
        <w:tc>
          <w:tcPr>
            <w:tcW w:w="280" w:type="dxa"/>
            <w:vAlign w:val="bottom"/>
          </w:tcPr>
          <w:p>
            <w:pPr>
              <w:spacing w:after="0"/>
              <w:rPr>
                <w:sz w:val="15"/>
                <w:szCs w:val="15"/>
                <w:color w:val="auto"/>
              </w:rPr>
            </w:pPr>
          </w:p>
        </w:tc>
        <w:tc>
          <w:tcPr>
            <w:tcW w:w="600" w:type="dxa"/>
            <w:vAlign w:val="bottom"/>
            <w:vMerge w:val="restart"/>
          </w:tcPr>
          <w:p>
            <w:pPr>
              <w:jc w:val="right"/>
              <w:ind w:right="1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6"/>
        </w:trPr>
        <w:tc>
          <w:tcPr>
            <w:tcW w:w="2860" w:type="dxa"/>
            <w:vAlign w:val="bottom"/>
          </w:tcPr>
          <w:p>
            <w:pPr>
              <w:ind w:left="260"/>
              <w:spacing w:after="0"/>
              <w:rPr>
                <w:sz w:val="20"/>
                <w:szCs w:val="20"/>
                <w:color w:val="auto"/>
              </w:rPr>
            </w:pPr>
            <w:r>
              <w:rPr>
                <w:rFonts w:ascii="Arial" w:cs="Arial" w:eastAsia="Arial" w:hAnsi="Arial"/>
                <w:sz w:val="14"/>
                <w:szCs w:val="14"/>
                <w:color w:val="auto"/>
              </w:rPr>
              <w:t>income</w:t>
            </w:r>
          </w:p>
        </w:tc>
        <w:tc>
          <w:tcPr>
            <w:tcW w:w="2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vMerge w:val="continue"/>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vMerge w:val="continue"/>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vMerge w:val="continue"/>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vMerge w:val="continue"/>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vMerge w:val="continue"/>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860" w:type="dxa"/>
            <w:vAlign w:val="bottom"/>
          </w:tcPr>
          <w:p>
            <w:pPr>
              <w:ind w:left="140"/>
              <w:spacing w:after="0"/>
              <w:rPr>
                <w:sz w:val="20"/>
                <w:szCs w:val="20"/>
                <w:color w:val="auto"/>
              </w:rPr>
            </w:pPr>
            <w:r>
              <w:rPr>
                <w:rFonts w:ascii="Arial" w:cs="Arial" w:eastAsia="Arial" w:hAnsi="Arial"/>
                <w:sz w:val="14"/>
                <w:szCs w:val="14"/>
                <w:color w:val="auto"/>
              </w:rPr>
              <w:t>Total recognized in net periodic benefit</w:t>
            </w:r>
          </w:p>
        </w:tc>
        <w:tc>
          <w:tcPr>
            <w:tcW w:w="2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860" w:type="dxa"/>
            <w:vAlign w:val="bottom"/>
            <w:tcBorders>
              <w:bottom w:val="single" w:sz="8" w:color="auto"/>
            </w:tcBorders>
          </w:tcPr>
          <w:p>
            <w:pPr>
              <w:ind w:left="260"/>
              <w:spacing w:after="0"/>
              <w:rPr>
                <w:sz w:val="20"/>
                <w:szCs w:val="20"/>
                <w:color w:val="auto"/>
              </w:rPr>
            </w:pPr>
            <w:r>
              <w:rPr>
                <w:rFonts w:ascii="Arial" w:cs="Arial" w:eastAsia="Arial" w:hAnsi="Arial"/>
                <w:sz w:val="14"/>
                <w:szCs w:val="14"/>
                <w:color w:val="auto"/>
              </w:rPr>
              <w:t>cost and other comprehensive income</w:t>
            </w:r>
          </w:p>
        </w:tc>
        <w:tc>
          <w:tcPr>
            <w:tcW w:w="2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123</w:t>
            </w:r>
          </w:p>
        </w:tc>
        <w:tc>
          <w:tcPr>
            <w:tcW w:w="2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44</w:t>
            </w:r>
          </w:p>
        </w:tc>
        <w:tc>
          <w:tcPr>
            <w:tcW w:w="2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72</w:t>
            </w:r>
          </w:p>
        </w:tc>
        <w:tc>
          <w:tcPr>
            <w:tcW w:w="34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34</w:t>
            </w:r>
          </w:p>
        </w:tc>
        <w:tc>
          <w:tcPr>
            <w:tcW w:w="28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45</w:t>
            </w:r>
          </w:p>
        </w:tc>
        <w:tc>
          <w:tcPr>
            <w:tcW w:w="2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33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14"/>
          <w:szCs w:val="14"/>
          <w:color w:val="auto"/>
        </w:rPr>
        <w:t>142</w:t>
      </w:r>
    </w:p>
    <w:p>
      <w:pPr>
        <w:sectPr>
          <w:pgSz w:w="11900" w:h="16838" w:orient="portrait"/>
          <w:cols w:equalWidth="0" w:num="1">
            <w:col w:w="10880"/>
          </w:cols>
          <w:pgMar w:left="240" w:top="293" w:right="779" w:bottom="1440" w:gutter="0" w:footer="0" w:header="0"/>
        </w:sectPr>
      </w:pPr>
    </w:p>
    <w:bookmarkStart w:id="282" w:name="page283"/>
    <w:bookmarkEnd w:id="282"/>
    <w:p>
      <w:pPr>
        <w:ind w:left="1800"/>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1294130</wp:posOffset>
            </wp:positionH>
            <wp:positionV relativeFrom="page">
              <wp:posOffset>226695</wp:posOffset>
            </wp:positionV>
            <wp:extent cx="4980940" cy="24384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4980940" cy="243840"/>
                    </a:xfrm>
                    <a:prstGeom prst="rect">
                      <a:avLst/>
                    </a:prstGeom>
                    <a:noFill/>
                  </pic:spPr>
                </pic:pic>
              </a:graphicData>
            </a:graphic>
          </wp:anchor>
        </w:drawing>
        <w:t>NET PERIODIC BENEFIT COST AND AMOUNTS RECOGNIZED IN OTHER COMPREHENSIVE INCOME</w:t>
      </w:r>
    </w:p>
    <w:p>
      <w:pPr>
        <w:spacing w:after="0" w:line="40" w:lineRule="exact"/>
        <w:rPr>
          <w:sz w:val="20"/>
          <w:szCs w:val="20"/>
          <w:color w:val="auto"/>
        </w:rPr>
      </w:pPr>
    </w:p>
    <w:tbl>
      <w:tblPr>
        <w:tblLayout w:type="fixed"/>
        <w:tblInd w:w="1800" w:type="dxa"/>
        <w:tblCellMar>
          <w:top w:w="0" w:type="dxa"/>
          <w:left w:w="0" w:type="dxa"/>
          <w:bottom w:w="0" w:type="dxa"/>
          <w:right w:w="0" w:type="dxa"/>
        </w:tblCellMar>
      </w:tblPr>
      <w:tr>
        <w:trPr>
          <w:trHeight w:val="166"/>
        </w:trPr>
        <w:tc>
          <w:tcPr>
            <w:tcW w:w="2860" w:type="dxa"/>
            <w:vAlign w:val="bottom"/>
          </w:tcPr>
          <w:p>
            <w:pPr>
              <w:spacing w:after="0"/>
              <w:rPr>
                <w:sz w:val="20"/>
                <w:szCs w:val="20"/>
                <w:color w:val="auto"/>
              </w:rPr>
            </w:pPr>
            <w:r>
              <w:rPr>
                <w:rFonts w:ascii="Arial" w:cs="Arial" w:eastAsia="Arial" w:hAnsi="Arial"/>
                <w:sz w:val="13"/>
                <w:szCs w:val="13"/>
                <w:i w:val="1"/>
                <w:iCs w:val="1"/>
                <w:color w:val="auto"/>
              </w:rPr>
              <w:t>(Dollars in millions)</w:t>
            </w: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0" w:type="dxa"/>
            <w:vAlign w:val="bottom"/>
            <w:gridSpan w:val="2"/>
          </w:tcPr>
          <w:p>
            <w:pPr>
              <w:jc w:val="center"/>
              <w:ind w:right="9"/>
              <w:spacing w:after="0"/>
              <w:rPr>
                <w:sz w:val="20"/>
                <w:szCs w:val="20"/>
                <w:color w:val="auto"/>
              </w:rPr>
            </w:pPr>
            <w:r>
              <w:rPr>
                <w:rFonts w:ascii="Arial" w:cs="Arial" w:eastAsia="Arial" w:hAnsi="Arial"/>
                <w:sz w:val="13"/>
                <w:szCs w:val="13"/>
                <w:color w:val="auto"/>
                <w:w w:val="98"/>
              </w:rPr>
              <w:t>Other</w:t>
            </w: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860" w:type="dxa"/>
            <w:vAlign w:val="bottom"/>
          </w:tcPr>
          <w:p>
            <w:pPr>
              <w:spacing w:after="0"/>
              <w:rPr>
                <w:sz w:val="20"/>
                <w:szCs w:val="20"/>
                <w:color w:val="auto"/>
              </w:rPr>
            </w:pPr>
            <w:r>
              <w:rPr>
                <w:rFonts w:ascii="Arial" w:cs="Arial" w:eastAsia="Arial" w:hAnsi="Arial"/>
                <w:sz w:val="14"/>
                <w:szCs w:val="14"/>
                <w:b w:val="1"/>
                <w:bCs w:val="1"/>
                <w:color w:val="auto"/>
              </w:rPr>
              <w:t>SDG&amp;E</w:t>
            </w:r>
          </w:p>
        </w:tc>
        <w:tc>
          <w:tcPr>
            <w:tcW w:w="2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color w:val="auto"/>
              </w:rPr>
              <w:t>Pension Benefits</w:t>
            </w:r>
          </w:p>
        </w:tc>
        <w:tc>
          <w:tcPr>
            <w:tcW w:w="2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gridSpan w:val="4"/>
          </w:tcPr>
          <w:p>
            <w:pPr>
              <w:jc w:val="center"/>
              <w:ind w:left="49"/>
              <w:spacing w:after="0"/>
              <w:rPr>
                <w:sz w:val="20"/>
                <w:szCs w:val="20"/>
                <w:color w:val="auto"/>
              </w:rPr>
            </w:pPr>
            <w:r>
              <w:rPr>
                <w:rFonts w:ascii="Arial" w:cs="Arial" w:eastAsia="Arial" w:hAnsi="Arial"/>
                <w:sz w:val="13"/>
                <w:szCs w:val="13"/>
                <w:color w:val="auto"/>
                <w:w w:val="99"/>
              </w:rPr>
              <w:t>Postretirement Benefits</w:t>
            </w:r>
          </w:p>
        </w:tc>
        <w:tc>
          <w:tcPr>
            <w:tcW w:w="5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86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ind w:right="69"/>
              <w:spacing w:after="0"/>
              <w:rPr>
                <w:sz w:val="20"/>
                <w:szCs w:val="20"/>
                <w:color w:val="auto"/>
              </w:rPr>
            </w:pPr>
            <w:r>
              <w:rPr>
                <w:rFonts w:ascii="Arial" w:cs="Arial" w:eastAsia="Arial" w:hAnsi="Arial"/>
                <w:sz w:val="13"/>
                <w:szCs w:val="13"/>
                <w:color w:val="auto"/>
              </w:rPr>
              <w:t>2008</w:t>
            </w:r>
          </w:p>
        </w:tc>
        <w:tc>
          <w:tcPr>
            <w:tcW w:w="28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149"/>
              <w:spacing w:after="0"/>
              <w:rPr>
                <w:sz w:val="20"/>
                <w:szCs w:val="20"/>
                <w:color w:val="auto"/>
              </w:rPr>
            </w:pPr>
            <w:r>
              <w:rPr>
                <w:rFonts w:ascii="Arial" w:cs="Arial" w:eastAsia="Arial" w:hAnsi="Arial"/>
                <w:sz w:val="13"/>
                <w:szCs w:val="13"/>
                <w:color w:val="auto"/>
              </w:rPr>
              <w:t>2007</w:t>
            </w:r>
          </w:p>
        </w:tc>
        <w:tc>
          <w:tcPr>
            <w:tcW w:w="22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2006</w:t>
            </w:r>
          </w:p>
        </w:tc>
        <w:tc>
          <w:tcPr>
            <w:tcW w:w="34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ind w:right="89"/>
              <w:spacing w:after="0"/>
              <w:rPr>
                <w:sz w:val="20"/>
                <w:szCs w:val="20"/>
                <w:color w:val="auto"/>
              </w:rPr>
            </w:pPr>
            <w:r>
              <w:rPr>
                <w:rFonts w:ascii="Arial" w:cs="Arial" w:eastAsia="Arial" w:hAnsi="Arial"/>
                <w:sz w:val="13"/>
                <w:szCs w:val="13"/>
                <w:color w:val="auto"/>
              </w:rPr>
              <w:t>2008</w:t>
            </w:r>
          </w:p>
        </w:tc>
        <w:tc>
          <w:tcPr>
            <w:tcW w:w="28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ind w:right="89"/>
              <w:spacing w:after="0"/>
              <w:rPr>
                <w:sz w:val="20"/>
                <w:szCs w:val="20"/>
                <w:color w:val="auto"/>
              </w:rPr>
            </w:pPr>
            <w:r>
              <w:rPr>
                <w:rFonts w:ascii="Arial" w:cs="Arial" w:eastAsia="Arial" w:hAnsi="Arial"/>
                <w:sz w:val="13"/>
                <w:szCs w:val="13"/>
                <w:color w:val="auto"/>
              </w:rPr>
              <w:t>2007</w:t>
            </w:r>
          </w:p>
        </w:tc>
        <w:tc>
          <w:tcPr>
            <w:tcW w:w="30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ind w:right="129"/>
              <w:spacing w:after="0"/>
              <w:rPr>
                <w:sz w:val="20"/>
                <w:szCs w:val="20"/>
                <w:color w:val="auto"/>
              </w:rPr>
            </w:pPr>
            <w:r>
              <w:rPr>
                <w:rFonts w:ascii="Arial" w:cs="Arial" w:eastAsia="Arial" w:hAnsi="Arial"/>
                <w:sz w:val="13"/>
                <w:szCs w:val="13"/>
                <w:color w:val="auto"/>
              </w:rPr>
              <w:t>2006</w:t>
            </w:r>
          </w:p>
        </w:tc>
        <w:tc>
          <w:tcPr>
            <w:tcW w:w="0" w:type="dxa"/>
            <w:vAlign w:val="bottom"/>
          </w:tcPr>
          <w:p>
            <w:pPr>
              <w:spacing w:after="0"/>
              <w:rPr>
                <w:sz w:val="1"/>
                <w:szCs w:val="1"/>
                <w:color w:val="auto"/>
              </w:rPr>
            </w:pPr>
          </w:p>
        </w:tc>
      </w:tr>
      <w:tr>
        <w:trPr>
          <w:trHeight w:val="198"/>
        </w:trPr>
        <w:tc>
          <w:tcPr>
            <w:tcW w:w="28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Net Periodic Benefit Cost</w:t>
            </w: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860" w:type="dxa"/>
            <w:vAlign w:val="bottom"/>
          </w:tcPr>
          <w:p>
            <w:pPr>
              <w:spacing w:after="0"/>
              <w:rPr>
                <w:sz w:val="20"/>
                <w:szCs w:val="20"/>
                <w:color w:val="auto"/>
              </w:rPr>
            </w:pPr>
            <w:r>
              <w:rPr>
                <w:rFonts w:ascii="Arial" w:cs="Arial" w:eastAsia="Arial" w:hAnsi="Arial"/>
                <w:sz w:val="14"/>
                <w:szCs w:val="14"/>
                <w:color w:val="auto"/>
              </w:rPr>
              <w:t>Service cost</w:t>
            </w:r>
          </w:p>
        </w:tc>
        <w:tc>
          <w:tcPr>
            <w:tcW w:w="2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520" w:type="dxa"/>
            <w:vAlign w:val="bottom"/>
          </w:tcPr>
          <w:p>
            <w:pPr>
              <w:jc w:val="right"/>
              <w:ind w:right="69"/>
              <w:spacing w:after="0"/>
              <w:rPr>
                <w:sz w:val="20"/>
                <w:szCs w:val="20"/>
                <w:color w:val="auto"/>
              </w:rPr>
            </w:pPr>
            <w:r>
              <w:rPr>
                <w:rFonts w:ascii="Arial" w:cs="Arial" w:eastAsia="Arial" w:hAnsi="Arial"/>
                <w:sz w:val="14"/>
                <w:szCs w:val="14"/>
                <w:color w:val="auto"/>
              </w:rPr>
              <w:t>22</w:t>
            </w:r>
          </w:p>
        </w:tc>
        <w:tc>
          <w:tcPr>
            <w:tcW w:w="280" w:type="dxa"/>
            <w:vAlign w:val="bottom"/>
          </w:tcPr>
          <w:p>
            <w:pPr>
              <w:jc w:val="right"/>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149"/>
              <w:spacing w:after="0"/>
              <w:rPr>
                <w:sz w:val="20"/>
                <w:szCs w:val="20"/>
                <w:color w:val="auto"/>
              </w:rPr>
            </w:pPr>
            <w:r>
              <w:rPr>
                <w:rFonts w:ascii="Arial" w:cs="Arial" w:eastAsia="Arial" w:hAnsi="Arial"/>
                <w:sz w:val="14"/>
                <w:szCs w:val="14"/>
                <w:color w:val="auto"/>
              </w:rPr>
              <w:t>22</w:t>
            </w:r>
          </w:p>
        </w:tc>
        <w:tc>
          <w:tcPr>
            <w:tcW w:w="2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380" w:type="dxa"/>
            <w:vAlign w:val="bottom"/>
          </w:tcPr>
          <w:p>
            <w:pPr>
              <w:jc w:val="right"/>
              <w:spacing w:after="0"/>
              <w:rPr>
                <w:sz w:val="20"/>
                <w:szCs w:val="20"/>
                <w:color w:val="auto"/>
              </w:rPr>
            </w:pPr>
            <w:r>
              <w:rPr>
                <w:rFonts w:ascii="Arial" w:cs="Arial" w:eastAsia="Arial" w:hAnsi="Arial"/>
                <w:sz w:val="14"/>
                <w:szCs w:val="14"/>
                <w:color w:val="auto"/>
              </w:rPr>
              <w:t>12</w:t>
            </w:r>
          </w:p>
        </w:tc>
        <w:tc>
          <w:tcPr>
            <w:tcW w:w="340" w:type="dxa"/>
            <w:vAlign w:val="bottom"/>
          </w:tcPr>
          <w:p>
            <w:pPr>
              <w:spacing w:after="0"/>
              <w:rPr>
                <w:sz w:val="17"/>
                <w:szCs w:val="17"/>
                <w:color w:val="auto"/>
              </w:rPr>
            </w:pPr>
          </w:p>
        </w:tc>
        <w:tc>
          <w:tcPr>
            <w:tcW w:w="2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520" w:type="dxa"/>
            <w:vAlign w:val="bottom"/>
          </w:tcPr>
          <w:p>
            <w:pPr>
              <w:jc w:val="right"/>
              <w:ind w:right="89"/>
              <w:spacing w:after="0"/>
              <w:rPr>
                <w:sz w:val="20"/>
                <w:szCs w:val="20"/>
                <w:color w:val="auto"/>
              </w:rPr>
            </w:pPr>
            <w:r>
              <w:rPr>
                <w:rFonts w:ascii="Arial" w:cs="Arial" w:eastAsia="Arial" w:hAnsi="Arial"/>
                <w:sz w:val="14"/>
                <w:szCs w:val="14"/>
                <w:color w:val="auto"/>
              </w:rPr>
              <w:t>5</w:t>
            </w:r>
          </w:p>
        </w:tc>
        <w:tc>
          <w:tcPr>
            <w:tcW w:w="280" w:type="dxa"/>
            <w:vAlign w:val="bottom"/>
          </w:tcPr>
          <w:p>
            <w:pPr>
              <w:jc w:val="right"/>
              <w:ind w:right="11"/>
              <w:spacing w:after="0"/>
              <w:rPr>
                <w:sz w:val="20"/>
                <w:szCs w:val="20"/>
                <w:color w:val="auto"/>
              </w:rPr>
            </w:pPr>
            <w:r>
              <w:rPr>
                <w:rFonts w:ascii="Arial" w:cs="Arial" w:eastAsia="Arial" w:hAnsi="Arial"/>
                <w:sz w:val="14"/>
                <w:szCs w:val="14"/>
                <w:color w:val="auto"/>
              </w:rPr>
              <w:t>$</w:t>
            </w:r>
          </w:p>
        </w:tc>
        <w:tc>
          <w:tcPr>
            <w:tcW w:w="520" w:type="dxa"/>
            <w:vAlign w:val="bottom"/>
          </w:tcPr>
          <w:p>
            <w:pPr>
              <w:jc w:val="right"/>
              <w:ind w:right="89"/>
              <w:spacing w:after="0"/>
              <w:rPr>
                <w:sz w:val="20"/>
                <w:szCs w:val="20"/>
                <w:color w:val="auto"/>
              </w:rPr>
            </w:pPr>
            <w:r>
              <w:rPr>
                <w:rFonts w:ascii="Arial" w:cs="Arial" w:eastAsia="Arial" w:hAnsi="Arial"/>
                <w:sz w:val="14"/>
                <w:szCs w:val="14"/>
                <w:color w:val="auto"/>
              </w:rPr>
              <w:t>5</w:t>
            </w:r>
          </w:p>
        </w:tc>
        <w:tc>
          <w:tcPr>
            <w:tcW w:w="3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560" w:type="dxa"/>
            <w:vAlign w:val="bottom"/>
          </w:tcPr>
          <w:p>
            <w:pPr>
              <w:jc w:val="right"/>
              <w:ind w:right="129"/>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216"/>
        </w:trPr>
        <w:tc>
          <w:tcPr>
            <w:tcW w:w="2860" w:type="dxa"/>
            <w:vAlign w:val="bottom"/>
          </w:tcPr>
          <w:p>
            <w:pPr>
              <w:spacing w:after="0"/>
              <w:rPr>
                <w:sz w:val="20"/>
                <w:szCs w:val="20"/>
                <w:color w:val="auto"/>
              </w:rPr>
            </w:pPr>
            <w:r>
              <w:rPr>
                <w:rFonts w:ascii="Arial" w:cs="Arial" w:eastAsia="Arial" w:hAnsi="Arial"/>
                <w:sz w:val="14"/>
                <w:szCs w:val="14"/>
                <w:color w:val="auto"/>
              </w:rPr>
              <w:t>Interest cost</w:t>
            </w:r>
          </w:p>
        </w:tc>
        <w:tc>
          <w:tcPr>
            <w:tcW w:w="220" w:type="dxa"/>
            <w:vAlign w:val="bottom"/>
          </w:tcPr>
          <w:p>
            <w:pPr>
              <w:spacing w:after="0"/>
              <w:rPr>
                <w:sz w:val="18"/>
                <w:szCs w:val="18"/>
                <w:color w:val="auto"/>
              </w:rPr>
            </w:pPr>
          </w:p>
        </w:tc>
        <w:tc>
          <w:tcPr>
            <w:tcW w:w="520" w:type="dxa"/>
            <w:vAlign w:val="bottom"/>
          </w:tcPr>
          <w:p>
            <w:pPr>
              <w:jc w:val="right"/>
              <w:ind w:right="69"/>
              <w:spacing w:after="0"/>
              <w:rPr>
                <w:sz w:val="20"/>
                <w:szCs w:val="20"/>
                <w:color w:val="auto"/>
              </w:rPr>
            </w:pPr>
            <w:r>
              <w:rPr>
                <w:rFonts w:ascii="Arial" w:cs="Arial" w:eastAsia="Arial" w:hAnsi="Arial"/>
                <w:sz w:val="14"/>
                <w:szCs w:val="14"/>
                <w:color w:val="auto"/>
              </w:rPr>
              <w:t>47</w:t>
            </w:r>
          </w:p>
        </w:tc>
        <w:tc>
          <w:tcPr>
            <w:tcW w:w="280" w:type="dxa"/>
            <w:vAlign w:val="bottom"/>
          </w:tcPr>
          <w:p>
            <w:pPr>
              <w:spacing w:after="0"/>
              <w:rPr>
                <w:sz w:val="18"/>
                <w:szCs w:val="18"/>
                <w:color w:val="auto"/>
              </w:rPr>
            </w:pPr>
          </w:p>
        </w:tc>
        <w:tc>
          <w:tcPr>
            <w:tcW w:w="600" w:type="dxa"/>
            <w:vAlign w:val="bottom"/>
          </w:tcPr>
          <w:p>
            <w:pPr>
              <w:jc w:val="right"/>
              <w:ind w:right="149"/>
              <w:spacing w:after="0"/>
              <w:rPr>
                <w:sz w:val="20"/>
                <w:szCs w:val="20"/>
                <w:color w:val="auto"/>
              </w:rPr>
            </w:pPr>
            <w:r>
              <w:rPr>
                <w:rFonts w:ascii="Arial" w:cs="Arial" w:eastAsia="Arial" w:hAnsi="Arial"/>
                <w:sz w:val="14"/>
                <w:szCs w:val="14"/>
                <w:color w:val="auto"/>
              </w:rPr>
              <w:t>47</w:t>
            </w:r>
          </w:p>
        </w:tc>
        <w:tc>
          <w:tcPr>
            <w:tcW w:w="22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45</w:t>
            </w: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tcPr>
          <w:p>
            <w:pPr>
              <w:jc w:val="right"/>
              <w:ind w:right="89"/>
              <w:spacing w:after="0"/>
              <w:rPr>
                <w:sz w:val="20"/>
                <w:szCs w:val="20"/>
                <w:color w:val="auto"/>
              </w:rPr>
            </w:pPr>
            <w:r>
              <w:rPr>
                <w:rFonts w:ascii="Arial" w:cs="Arial" w:eastAsia="Arial" w:hAnsi="Arial"/>
                <w:sz w:val="14"/>
                <w:szCs w:val="14"/>
                <w:color w:val="auto"/>
              </w:rPr>
              <w:t>9</w:t>
            </w:r>
          </w:p>
        </w:tc>
        <w:tc>
          <w:tcPr>
            <w:tcW w:w="280" w:type="dxa"/>
            <w:vAlign w:val="bottom"/>
          </w:tcPr>
          <w:p>
            <w:pPr>
              <w:spacing w:after="0"/>
              <w:rPr>
                <w:sz w:val="18"/>
                <w:szCs w:val="18"/>
                <w:color w:val="auto"/>
              </w:rPr>
            </w:pPr>
          </w:p>
        </w:tc>
        <w:tc>
          <w:tcPr>
            <w:tcW w:w="520" w:type="dxa"/>
            <w:vAlign w:val="bottom"/>
          </w:tcPr>
          <w:p>
            <w:pPr>
              <w:jc w:val="right"/>
              <w:ind w:right="89"/>
              <w:spacing w:after="0"/>
              <w:rPr>
                <w:sz w:val="20"/>
                <w:szCs w:val="20"/>
                <w:color w:val="auto"/>
              </w:rPr>
            </w:pPr>
            <w:r>
              <w:rPr>
                <w:rFonts w:ascii="Arial" w:cs="Arial" w:eastAsia="Arial" w:hAnsi="Arial"/>
                <w:sz w:val="14"/>
                <w:szCs w:val="14"/>
                <w:color w:val="auto"/>
              </w:rPr>
              <w:t>8</w:t>
            </w:r>
          </w:p>
        </w:tc>
        <w:tc>
          <w:tcPr>
            <w:tcW w:w="300" w:type="dxa"/>
            <w:vAlign w:val="bottom"/>
          </w:tcPr>
          <w:p>
            <w:pPr>
              <w:spacing w:after="0"/>
              <w:rPr>
                <w:sz w:val="18"/>
                <w:szCs w:val="18"/>
                <w:color w:val="auto"/>
              </w:rPr>
            </w:pPr>
          </w:p>
        </w:tc>
        <w:tc>
          <w:tcPr>
            <w:tcW w:w="560" w:type="dxa"/>
            <w:vAlign w:val="bottom"/>
          </w:tcPr>
          <w:p>
            <w:pPr>
              <w:jc w:val="right"/>
              <w:ind w:right="129"/>
              <w:spacing w:after="0"/>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216"/>
        </w:trPr>
        <w:tc>
          <w:tcPr>
            <w:tcW w:w="2860" w:type="dxa"/>
            <w:vAlign w:val="bottom"/>
          </w:tcPr>
          <w:p>
            <w:pPr>
              <w:spacing w:after="0"/>
              <w:rPr>
                <w:sz w:val="20"/>
                <w:szCs w:val="20"/>
                <w:color w:val="auto"/>
              </w:rPr>
            </w:pPr>
            <w:r>
              <w:rPr>
                <w:rFonts w:ascii="Arial" w:cs="Arial" w:eastAsia="Arial" w:hAnsi="Arial"/>
                <w:sz w:val="14"/>
                <w:szCs w:val="14"/>
                <w:color w:val="auto"/>
              </w:rPr>
              <w:t>Expected return on assets</w:t>
            </w:r>
          </w:p>
        </w:tc>
        <w:tc>
          <w:tcPr>
            <w:tcW w:w="220" w:type="dxa"/>
            <w:vAlign w:val="bottom"/>
          </w:tcPr>
          <w:p>
            <w:pPr>
              <w:spacing w:after="0"/>
              <w:rPr>
                <w:sz w:val="18"/>
                <w:szCs w:val="18"/>
                <w:color w:val="auto"/>
              </w:rPr>
            </w:pPr>
          </w:p>
        </w:tc>
        <w:tc>
          <w:tcPr>
            <w:tcW w:w="520" w:type="dxa"/>
            <w:vAlign w:val="bottom"/>
          </w:tcPr>
          <w:p>
            <w:pPr>
              <w:jc w:val="right"/>
              <w:ind w:right="9"/>
              <w:spacing w:after="0"/>
              <w:rPr>
                <w:sz w:val="20"/>
                <w:szCs w:val="20"/>
                <w:color w:val="auto"/>
              </w:rPr>
            </w:pPr>
            <w:r>
              <w:rPr>
                <w:rFonts w:ascii="Arial" w:cs="Arial" w:eastAsia="Arial" w:hAnsi="Arial"/>
                <w:sz w:val="14"/>
                <w:szCs w:val="14"/>
                <w:color w:val="auto"/>
              </w:rPr>
              <w:t>(46 )</w:t>
            </w:r>
          </w:p>
        </w:tc>
        <w:tc>
          <w:tcPr>
            <w:tcW w:w="280" w:type="dxa"/>
            <w:vAlign w:val="bottom"/>
          </w:tcPr>
          <w:p>
            <w:pPr>
              <w:spacing w:after="0"/>
              <w:rPr>
                <w:sz w:val="18"/>
                <w:szCs w:val="18"/>
                <w:color w:val="auto"/>
              </w:rPr>
            </w:pPr>
          </w:p>
        </w:tc>
        <w:tc>
          <w:tcPr>
            <w:tcW w:w="600" w:type="dxa"/>
            <w:vAlign w:val="bottom"/>
          </w:tcPr>
          <w:p>
            <w:pPr>
              <w:jc w:val="right"/>
              <w:ind w:right="89"/>
              <w:spacing w:after="0"/>
              <w:rPr>
                <w:sz w:val="20"/>
                <w:szCs w:val="20"/>
                <w:color w:val="auto"/>
              </w:rPr>
            </w:pPr>
            <w:r>
              <w:rPr>
                <w:rFonts w:ascii="Arial" w:cs="Arial" w:eastAsia="Arial" w:hAnsi="Arial"/>
                <w:sz w:val="14"/>
                <w:szCs w:val="14"/>
                <w:color w:val="auto"/>
              </w:rPr>
              <w:t>(45 )</w:t>
            </w:r>
          </w:p>
        </w:tc>
        <w:tc>
          <w:tcPr>
            <w:tcW w:w="220" w:type="dxa"/>
            <w:vAlign w:val="bottom"/>
          </w:tcPr>
          <w:p>
            <w:pPr>
              <w:spacing w:after="0"/>
              <w:rPr>
                <w:sz w:val="18"/>
                <w:szCs w:val="18"/>
                <w:color w:val="auto"/>
              </w:rPr>
            </w:pPr>
          </w:p>
        </w:tc>
        <w:tc>
          <w:tcPr>
            <w:tcW w:w="720" w:type="dxa"/>
            <w:vAlign w:val="bottom"/>
            <w:gridSpan w:val="2"/>
          </w:tcPr>
          <w:p>
            <w:pPr>
              <w:jc w:val="right"/>
              <w:ind w:right="280"/>
              <w:spacing w:after="0"/>
              <w:rPr>
                <w:sz w:val="20"/>
                <w:szCs w:val="20"/>
                <w:color w:val="auto"/>
              </w:rPr>
            </w:pPr>
            <w:r>
              <w:rPr>
                <w:rFonts w:ascii="Arial" w:cs="Arial" w:eastAsia="Arial" w:hAnsi="Arial"/>
                <w:sz w:val="14"/>
                <w:szCs w:val="14"/>
                <w:color w:val="auto"/>
              </w:rPr>
              <w:t>(41 )</w:t>
            </w:r>
          </w:p>
        </w:tc>
        <w:tc>
          <w:tcPr>
            <w:tcW w:w="240" w:type="dxa"/>
            <w:vAlign w:val="bottom"/>
          </w:tcPr>
          <w:p>
            <w:pPr>
              <w:spacing w:after="0"/>
              <w:rPr>
                <w:sz w:val="18"/>
                <w:szCs w:val="18"/>
                <w:color w:val="auto"/>
              </w:rPr>
            </w:pPr>
          </w:p>
        </w:tc>
        <w:tc>
          <w:tcPr>
            <w:tcW w:w="520" w:type="dxa"/>
            <w:vAlign w:val="bottom"/>
          </w:tcPr>
          <w:p>
            <w:pPr>
              <w:jc w:val="right"/>
              <w:ind w:right="9"/>
              <w:spacing w:after="0"/>
              <w:rPr>
                <w:sz w:val="20"/>
                <w:szCs w:val="20"/>
                <w:color w:val="auto"/>
              </w:rPr>
            </w:pPr>
            <w:r>
              <w:rPr>
                <w:rFonts w:ascii="Arial" w:cs="Arial" w:eastAsia="Arial" w:hAnsi="Arial"/>
                <w:sz w:val="14"/>
                <w:szCs w:val="14"/>
                <w:color w:val="auto"/>
              </w:rPr>
              <w:t>(4 )</w:t>
            </w:r>
          </w:p>
        </w:tc>
        <w:tc>
          <w:tcPr>
            <w:tcW w:w="280" w:type="dxa"/>
            <w:vAlign w:val="bottom"/>
          </w:tcPr>
          <w:p>
            <w:pPr>
              <w:spacing w:after="0"/>
              <w:rPr>
                <w:sz w:val="18"/>
                <w:szCs w:val="18"/>
                <w:color w:val="auto"/>
              </w:rPr>
            </w:pPr>
          </w:p>
        </w:tc>
        <w:tc>
          <w:tcPr>
            <w:tcW w:w="520" w:type="dxa"/>
            <w:vAlign w:val="bottom"/>
          </w:tcPr>
          <w:p>
            <w:pPr>
              <w:jc w:val="right"/>
              <w:ind w:right="9"/>
              <w:spacing w:after="0"/>
              <w:rPr>
                <w:sz w:val="20"/>
                <w:szCs w:val="20"/>
                <w:color w:val="auto"/>
              </w:rPr>
            </w:pPr>
            <w:r>
              <w:rPr>
                <w:rFonts w:ascii="Arial" w:cs="Arial" w:eastAsia="Arial" w:hAnsi="Arial"/>
                <w:sz w:val="14"/>
                <w:szCs w:val="14"/>
                <w:color w:val="auto"/>
              </w:rPr>
              <w:t>(3 )</w:t>
            </w:r>
          </w:p>
        </w:tc>
        <w:tc>
          <w:tcPr>
            <w:tcW w:w="300" w:type="dxa"/>
            <w:vAlign w:val="bottom"/>
          </w:tcPr>
          <w:p>
            <w:pPr>
              <w:spacing w:after="0"/>
              <w:rPr>
                <w:sz w:val="18"/>
                <w:szCs w:val="18"/>
                <w:color w:val="auto"/>
              </w:rPr>
            </w:pPr>
          </w:p>
        </w:tc>
        <w:tc>
          <w:tcPr>
            <w:tcW w:w="560" w:type="dxa"/>
            <w:vAlign w:val="bottom"/>
          </w:tcPr>
          <w:p>
            <w:pPr>
              <w:jc w:val="right"/>
              <w:ind w:right="49"/>
              <w:spacing w:after="0"/>
              <w:rPr>
                <w:sz w:val="20"/>
                <w:szCs w:val="20"/>
                <w:color w:val="auto"/>
              </w:rPr>
            </w:pPr>
            <w:r>
              <w:rPr>
                <w:rFonts w:ascii="Arial" w:cs="Arial" w:eastAsia="Arial" w:hAnsi="Arial"/>
                <w:sz w:val="14"/>
                <w:szCs w:val="14"/>
                <w:color w:val="auto"/>
              </w:rPr>
              <w:t>(2 )</w:t>
            </w:r>
          </w:p>
        </w:tc>
        <w:tc>
          <w:tcPr>
            <w:tcW w:w="0" w:type="dxa"/>
            <w:vAlign w:val="bottom"/>
          </w:tcPr>
          <w:p>
            <w:pPr>
              <w:spacing w:after="0"/>
              <w:rPr>
                <w:sz w:val="1"/>
                <w:szCs w:val="1"/>
                <w:color w:val="auto"/>
              </w:rPr>
            </w:pPr>
          </w:p>
        </w:tc>
      </w:tr>
      <w:tr>
        <w:trPr>
          <w:trHeight w:val="216"/>
        </w:trPr>
        <w:tc>
          <w:tcPr>
            <w:tcW w:w="2860" w:type="dxa"/>
            <w:vAlign w:val="bottom"/>
          </w:tcPr>
          <w:p>
            <w:pPr>
              <w:spacing w:after="0"/>
              <w:rPr>
                <w:sz w:val="20"/>
                <w:szCs w:val="20"/>
                <w:color w:val="auto"/>
              </w:rPr>
            </w:pPr>
            <w:r>
              <w:rPr>
                <w:rFonts w:ascii="Arial" w:cs="Arial" w:eastAsia="Arial" w:hAnsi="Arial"/>
                <w:sz w:val="14"/>
                <w:szCs w:val="14"/>
                <w:color w:val="auto"/>
              </w:rPr>
              <w:t>Amortization of:</w:t>
            </w: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60" w:type="dxa"/>
            <w:vAlign w:val="bottom"/>
          </w:tcPr>
          <w:p>
            <w:pPr>
              <w:ind w:left="240"/>
              <w:spacing w:after="0"/>
              <w:rPr>
                <w:sz w:val="20"/>
                <w:szCs w:val="20"/>
                <w:color w:val="auto"/>
              </w:rPr>
            </w:pPr>
            <w:r>
              <w:rPr>
                <w:rFonts w:ascii="Arial" w:cs="Arial" w:eastAsia="Arial" w:hAnsi="Arial"/>
                <w:sz w:val="14"/>
                <w:szCs w:val="14"/>
                <w:color w:val="auto"/>
              </w:rPr>
              <w:t>Prior service cost</w:t>
            </w:r>
          </w:p>
        </w:tc>
        <w:tc>
          <w:tcPr>
            <w:tcW w:w="220" w:type="dxa"/>
            <w:vAlign w:val="bottom"/>
          </w:tcPr>
          <w:p>
            <w:pPr>
              <w:spacing w:after="0"/>
              <w:rPr>
                <w:sz w:val="18"/>
                <w:szCs w:val="18"/>
                <w:color w:val="auto"/>
              </w:rPr>
            </w:pPr>
          </w:p>
        </w:tc>
        <w:tc>
          <w:tcPr>
            <w:tcW w:w="520" w:type="dxa"/>
            <w:vAlign w:val="bottom"/>
          </w:tcPr>
          <w:p>
            <w:pPr>
              <w:jc w:val="right"/>
              <w:ind w:right="69"/>
              <w:spacing w:after="0"/>
              <w:rPr>
                <w:sz w:val="20"/>
                <w:szCs w:val="20"/>
                <w:color w:val="auto"/>
              </w:rPr>
            </w:pPr>
            <w:r>
              <w:rPr>
                <w:rFonts w:ascii="Arial" w:cs="Arial" w:eastAsia="Arial" w:hAnsi="Arial"/>
                <w:sz w:val="14"/>
                <w:szCs w:val="14"/>
                <w:color w:val="auto"/>
              </w:rPr>
              <w:t>1</w:t>
            </w:r>
          </w:p>
        </w:tc>
        <w:tc>
          <w:tcPr>
            <w:tcW w:w="280" w:type="dxa"/>
            <w:vAlign w:val="bottom"/>
          </w:tcPr>
          <w:p>
            <w:pPr>
              <w:spacing w:after="0"/>
              <w:rPr>
                <w:sz w:val="18"/>
                <w:szCs w:val="18"/>
                <w:color w:val="auto"/>
              </w:rPr>
            </w:pPr>
          </w:p>
        </w:tc>
        <w:tc>
          <w:tcPr>
            <w:tcW w:w="600" w:type="dxa"/>
            <w:vAlign w:val="bottom"/>
          </w:tcPr>
          <w:p>
            <w:pPr>
              <w:jc w:val="right"/>
              <w:ind w:right="149"/>
              <w:spacing w:after="0"/>
              <w:rPr>
                <w:sz w:val="20"/>
                <w:szCs w:val="20"/>
                <w:color w:val="auto"/>
              </w:rPr>
            </w:pPr>
            <w:r>
              <w:rPr>
                <w:rFonts w:ascii="Arial" w:cs="Arial" w:eastAsia="Arial" w:hAnsi="Arial"/>
                <w:sz w:val="14"/>
                <w:szCs w:val="14"/>
                <w:color w:val="auto"/>
              </w:rPr>
              <w:t>2</w:t>
            </w:r>
          </w:p>
        </w:tc>
        <w:tc>
          <w:tcPr>
            <w:tcW w:w="22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2</w:t>
            </w: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tcPr>
          <w:p>
            <w:pPr>
              <w:jc w:val="right"/>
              <w:ind w:right="89"/>
              <w:spacing w:after="0"/>
              <w:rPr>
                <w:sz w:val="20"/>
                <w:szCs w:val="20"/>
                <w:color w:val="auto"/>
              </w:rPr>
            </w:pPr>
            <w:r>
              <w:rPr>
                <w:rFonts w:ascii="Arial" w:cs="Arial" w:eastAsia="Arial" w:hAnsi="Arial"/>
                <w:sz w:val="14"/>
                <w:szCs w:val="14"/>
                <w:color w:val="auto"/>
              </w:rPr>
              <w:t>3</w:t>
            </w:r>
          </w:p>
        </w:tc>
        <w:tc>
          <w:tcPr>
            <w:tcW w:w="280" w:type="dxa"/>
            <w:vAlign w:val="bottom"/>
          </w:tcPr>
          <w:p>
            <w:pPr>
              <w:spacing w:after="0"/>
              <w:rPr>
                <w:sz w:val="18"/>
                <w:szCs w:val="18"/>
                <w:color w:val="auto"/>
              </w:rPr>
            </w:pPr>
          </w:p>
        </w:tc>
        <w:tc>
          <w:tcPr>
            <w:tcW w:w="520" w:type="dxa"/>
            <w:vAlign w:val="bottom"/>
          </w:tcPr>
          <w:p>
            <w:pPr>
              <w:jc w:val="right"/>
              <w:ind w:right="89"/>
              <w:spacing w:after="0"/>
              <w:rPr>
                <w:sz w:val="20"/>
                <w:szCs w:val="20"/>
                <w:color w:val="auto"/>
              </w:rPr>
            </w:pPr>
            <w:r>
              <w:rPr>
                <w:rFonts w:ascii="Arial" w:cs="Arial" w:eastAsia="Arial" w:hAnsi="Arial"/>
                <w:sz w:val="14"/>
                <w:szCs w:val="14"/>
                <w:color w:val="auto"/>
              </w:rPr>
              <w:t>3</w:t>
            </w:r>
          </w:p>
        </w:tc>
        <w:tc>
          <w:tcPr>
            <w:tcW w:w="300" w:type="dxa"/>
            <w:vAlign w:val="bottom"/>
          </w:tcPr>
          <w:p>
            <w:pPr>
              <w:spacing w:after="0"/>
              <w:rPr>
                <w:sz w:val="18"/>
                <w:szCs w:val="18"/>
                <w:color w:val="auto"/>
              </w:rPr>
            </w:pPr>
          </w:p>
        </w:tc>
        <w:tc>
          <w:tcPr>
            <w:tcW w:w="560" w:type="dxa"/>
            <w:vAlign w:val="bottom"/>
          </w:tcPr>
          <w:p>
            <w:pPr>
              <w:jc w:val="right"/>
              <w:ind w:right="129"/>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216"/>
        </w:trPr>
        <w:tc>
          <w:tcPr>
            <w:tcW w:w="2860" w:type="dxa"/>
            <w:vAlign w:val="bottom"/>
          </w:tcPr>
          <w:p>
            <w:pPr>
              <w:ind w:left="240"/>
              <w:spacing w:after="0"/>
              <w:rPr>
                <w:sz w:val="20"/>
                <w:szCs w:val="20"/>
                <w:color w:val="auto"/>
              </w:rPr>
            </w:pPr>
            <w:r>
              <w:rPr>
                <w:rFonts w:ascii="Arial" w:cs="Arial" w:eastAsia="Arial" w:hAnsi="Arial"/>
                <w:sz w:val="14"/>
                <w:szCs w:val="14"/>
                <w:color w:val="auto"/>
              </w:rPr>
              <w:t>Actuarial loss</w:t>
            </w:r>
          </w:p>
        </w:tc>
        <w:tc>
          <w:tcPr>
            <w:tcW w:w="220" w:type="dxa"/>
            <w:vAlign w:val="bottom"/>
          </w:tcPr>
          <w:p>
            <w:pPr>
              <w:spacing w:after="0"/>
              <w:rPr>
                <w:sz w:val="18"/>
                <w:szCs w:val="18"/>
                <w:color w:val="auto"/>
              </w:rPr>
            </w:pPr>
          </w:p>
        </w:tc>
        <w:tc>
          <w:tcPr>
            <w:tcW w:w="520" w:type="dxa"/>
            <w:vAlign w:val="bottom"/>
          </w:tcPr>
          <w:p>
            <w:pPr>
              <w:jc w:val="right"/>
              <w:ind w:right="69"/>
              <w:spacing w:after="0"/>
              <w:rPr>
                <w:sz w:val="20"/>
                <w:szCs w:val="20"/>
                <w:color w:val="auto"/>
              </w:rPr>
            </w:pPr>
            <w:r>
              <w:rPr>
                <w:rFonts w:ascii="Arial" w:cs="Arial" w:eastAsia="Arial" w:hAnsi="Arial"/>
                <w:sz w:val="14"/>
                <w:szCs w:val="14"/>
                <w:color w:val="auto"/>
              </w:rPr>
              <w:t>2</w:t>
            </w:r>
          </w:p>
        </w:tc>
        <w:tc>
          <w:tcPr>
            <w:tcW w:w="280" w:type="dxa"/>
            <w:vAlign w:val="bottom"/>
          </w:tcPr>
          <w:p>
            <w:pPr>
              <w:spacing w:after="0"/>
              <w:rPr>
                <w:sz w:val="18"/>
                <w:szCs w:val="18"/>
                <w:color w:val="auto"/>
              </w:rPr>
            </w:pPr>
          </w:p>
        </w:tc>
        <w:tc>
          <w:tcPr>
            <w:tcW w:w="600" w:type="dxa"/>
            <w:vAlign w:val="bottom"/>
          </w:tcPr>
          <w:p>
            <w:pPr>
              <w:jc w:val="right"/>
              <w:ind w:right="149"/>
              <w:spacing w:after="0"/>
              <w:rPr>
                <w:sz w:val="20"/>
                <w:szCs w:val="20"/>
                <w:color w:val="auto"/>
              </w:rPr>
            </w:pPr>
            <w:r>
              <w:rPr>
                <w:rFonts w:ascii="Arial" w:cs="Arial" w:eastAsia="Arial" w:hAnsi="Arial"/>
                <w:sz w:val="14"/>
                <w:szCs w:val="14"/>
                <w:color w:val="auto"/>
              </w:rPr>
              <w:t>2</w:t>
            </w:r>
          </w:p>
        </w:tc>
        <w:tc>
          <w:tcPr>
            <w:tcW w:w="22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6</w:t>
            </w: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8"/>
                <w:szCs w:val="18"/>
                <w:color w:val="auto"/>
              </w:rPr>
            </w:pPr>
          </w:p>
        </w:tc>
        <w:tc>
          <w:tcPr>
            <w:tcW w:w="52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8"/>
                <w:szCs w:val="18"/>
                <w:color w:val="auto"/>
              </w:rPr>
            </w:pPr>
          </w:p>
        </w:tc>
        <w:tc>
          <w:tcPr>
            <w:tcW w:w="560" w:type="dxa"/>
            <w:vAlign w:val="bottom"/>
          </w:tcPr>
          <w:p>
            <w:pPr>
              <w:jc w:val="right"/>
              <w:ind w:right="12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6"/>
        </w:trPr>
        <w:tc>
          <w:tcPr>
            <w:tcW w:w="2860" w:type="dxa"/>
            <w:vAlign w:val="bottom"/>
          </w:tcPr>
          <w:p>
            <w:pPr>
              <w:spacing w:after="0"/>
              <w:rPr>
                <w:sz w:val="20"/>
                <w:szCs w:val="20"/>
                <w:color w:val="auto"/>
              </w:rPr>
            </w:pPr>
            <w:r>
              <w:rPr>
                <w:rFonts w:ascii="Arial" w:cs="Arial" w:eastAsia="Arial" w:hAnsi="Arial"/>
                <w:sz w:val="14"/>
                <w:szCs w:val="14"/>
                <w:color w:val="auto"/>
              </w:rPr>
              <w:t>Regulatory adjustment</w:t>
            </w:r>
          </w:p>
        </w:tc>
        <w:tc>
          <w:tcPr>
            <w:tcW w:w="220" w:type="dxa"/>
            <w:vAlign w:val="bottom"/>
          </w:tcPr>
          <w:p>
            <w:pPr>
              <w:spacing w:after="0"/>
              <w:rPr>
                <w:sz w:val="18"/>
                <w:szCs w:val="18"/>
                <w:color w:val="auto"/>
              </w:rPr>
            </w:pPr>
          </w:p>
        </w:tc>
        <w:tc>
          <w:tcPr>
            <w:tcW w:w="520" w:type="dxa"/>
            <w:vAlign w:val="bottom"/>
          </w:tcPr>
          <w:p>
            <w:pPr>
              <w:jc w:val="right"/>
              <w:ind w:right="69"/>
              <w:spacing w:after="0"/>
              <w:rPr>
                <w:sz w:val="20"/>
                <w:szCs w:val="20"/>
                <w:color w:val="auto"/>
              </w:rPr>
            </w:pPr>
            <w:r>
              <w:rPr>
                <w:rFonts w:ascii="Arial" w:cs="Arial" w:eastAsia="Arial" w:hAnsi="Arial"/>
                <w:sz w:val="14"/>
                <w:szCs w:val="14"/>
                <w:color w:val="auto"/>
              </w:rPr>
              <w:t>14</w:t>
            </w:r>
          </w:p>
        </w:tc>
        <w:tc>
          <w:tcPr>
            <w:tcW w:w="280" w:type="dxa"/>
            <w:vAlign w:val="bottom"/>
          </w:tcPr>
          <w:p>
            <w:pPr>
              <w:spacing w:after="0"/>
              <w:rPr>
                <w:sz w:val="18"/>
                <w:szCs w:val="18"/>
                <w:color w:val="auto"/>
              </w:rPr>
            </w:pPr>
          </w:p>
        </w:tc>
        <w:tc>
          <w:tcPr>
            <w:tcW w:w="600" w:type="dxa"/>
            <w:vAlign w:val="bottom"/>
          </w:tcPr>
          <w:p>
            <w:pPr>
              <w:jc w:val="right"/>
              <w:ind w:right="149"/>
              <w:spacing w:after="0"/>
              <w:rPr>
                <w:sz w:val="20"/>
                <w:szCs w:val="20"/>
                <w:color w:val="auto"/>
              </w:rPr>
            </w:pPr>
            <w:r>
              <w:rPr>
                <w:rFonts w:ascii="Arial" w:cs="Arial" w:eastAsia="Arial" w:hAnsi="Arial"/>
                <w:sz w:val="14"/>
                <w:szCs w:val="14"/>
                <w:color w:val="auto"/>
              </w:rPr>
              <w:t>2</w:t>
            </w:r>
          </w:p>
        </w:tc>
        <w:tc>
          <w:tcPr>
            <w:tcW w:w="22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8</w:t>
            </w: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tcPr>
          <w:p>
            <w:pPr>
              <w:jc w:val="right"/>
              <w:ind w:right="89"/>
              <w:spacing w:after="0"/>
              <w:rPr>
                <w:sz w:val="20"/>
                <w:szCs w:val="20"/>
                <w:color w:val="auto"/>
              </w:rPr>
            </w:pPr>
            <w:r>
              <w:rPr>
                <w:rFonts w:ascii="Arial" w:cs="Arial" w:eastAsia="Arial" w:hAnsi="Arial"/>
                <w:sz w:val="14"/>
                <w:szCs w:val="14"/>
                <w:color w:val="auto"/>
              </w:rPr>
              <w:t>2</w:t>
            </w:r>
          </w:p>
        </w:tc>
        <w:tc>
          <w:tcPr>
            <w:tcW w:w="280" w:type="dxa"/>
            <w:vAlign w:val="bottom"/>
          </w:tcPr>
          <w:p>
            <w:pPr>
              <w:spacing w:after="0"/>
              <w:rPr>
                <w:sz w:val="18"/>
                <w:szCs w:val="18"/>
                <w:color w:val="auto"/>
              </w:rPr>
            </w:pPr>
          </w:p>
        </w:tc>
        <w:tc>
          <w:tcPr>
            <w:tcW w:w="520" w:type="dxa"/>
            <w:vAlign w:val="bottom"/>
          </w:tcPr>
          <w:p>
            <w:pPr>
              <w:jc w:val="right"/>
              <w:ind w:right="89"/>
              <w:spacing w:after="0"/>
              <w:rPr>
                <w:sz w:val="20"/>
                <w:szCs w:val="20"/>
                <w:color w:val="auto"/>
              </w:rPr>
            </w:pPr>
            <w:r>
              <w:rPr>
                <w:rFonts w:ascii="Arial" w:cs="Arial" w:eastAsia="Arial" w:hAnsi="Arial"/>
                <w:sz w:val="14"/>
                <w:szCs w:val="14"/>
                <w:color w:val="auto"/>
              </w:rPr>
              <w:t>2</w:t>
            </w:r>
          </w:p>
        </w:tc>
        <w:tc>
          <w:tcPr>
            <w:tcW w:w="300" w:type="dxa"/>
            <w:vAlign w:val="bottom"/>
          </w:tcPr>
          <w:p>
            <w:pPr>
              <w:spacing w:after="0"/>
              <w:rPr>
                <w:sz w:val="18"/>
                <w:szCs w:val="18"/>
                <w:color w:val="auto"/>
              </w:rPr>
            </w:pPr>
          </w:p>
        </w:tc>
        <w:tc>
          <w:tcPr>
            <w:tcW w:w="560" w:type="dxa"/>
            <w:vAlign w:val="bottom"/>
          </w:tcPr>
          <w:p>
            <w:pPr>
              <w:jc w:val="right"/>
              <w:ind w:right="49"/>
              <w:spacing w:after="0"/>
              <w:rPr>
                <w:sz w:val="20"/>
                <w:szCs w:val="20"/>
                <w:color w:val="auto"/>
              </w:rPr>
            </w:pPr>
            <w:r>
              <w:rPr>
                <w:rFonts w:ascii="Arial" w:cs="Arial" w:eastAsia="Arial" w:hAnsi="Arial"/>
                <w:sz w:val="14"/>
                <w:szCs w:val="14"/>
                <w:color w:val="auto"/>
              </w:rPr>
              <w:t>(1 )</w:t>
            </w:r>
          </w:p>
        </w:tc>
        <w:tc>
          <w:tcPr>
            <w:tcW w:w="0" w:type="dxa"/>
            <w:vAlign w:val="bottom"/>
          </w:tcPr>
          <w:p>
            <w:pPr>
              <w:spacing w:after="0"/>
              <w:rPr>
                <w:sz w:val="1"/>
                <w:szCs w:val="1"/>
                <w:color w:val="auto"/>
              </w:rPr>
            </w:pPr>
          </w:p>
        </w:tc>
      </w:tr>
      <w:tr>
        <w:trPr>
          <w:trHeight w:val="222"/>
        </w:trPr>
        <w:tc>
          <w:tcPr>
            <w:tcW w:w="2860" w:type="dxa"/>
            <w:vAlign w:val="bottom"/>
          </w:tcPr>
          <w:p>
            <w:pPr>
              <w:spacing w:after="0"/>
              <w:rPr>
                <w:sz w:val="20"/>
                <w:szCs w:val="20"/>
                <w:color w:val="auto"/>
              </w:rPr>
            </w:pPr>
            <w:r>
              <w:rPr>
                <w:rFonts w:ascii="Arial" w:cs="Arial" w:eastAsia="Arial" w:hAnsi="Arial"/>
                <w:sz w:val="14"/>
                <w:szCs w:val="14"/>
                <w:color w:val="auto"/>
              </w:rPr>
              <w:t>Settlement charge</w:t>
            </w:r>
          </w:p>
        </w:tc>
        <w:tc>
          <w:tcPr>
            <w:tcW w:w="2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2</w:t>
            </w:r>
          </w:p>
        </w:tc>
        <w:tc>
          <w:tcPr>
            <w:tcW w:w="2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149"/>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ind w:right="12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8"/>
        </w:trPr>
        <w:tc>
          <w:tcPr>
            <w:tcW w:w="2860" w:type="dxa"/>
            <w:vAlign w:val="bottom"/>
          </w:tcPr>
          <w:p>
            <w:pPr>
              <w:spacing w:after="0"/>
              <w:rPr>
                <w:sz w:val="20"/>
                <w:szCs w:val="20"/>
                <w:color w:val="auto"/>
              </w:rPr>
            </w:pPr>
            <w:r>
              <w:rPr>
                <w:rFonts w:ascii="Arial" w:cs="Arial" w:eastAsia="Arial" w:hAnsi="Arial"/>
                <w:sz w:val="14"/>
                <w:szCs w:val="14"/>
                <w:color w:val="auto"/>
              </w:rPr>
              <w:t>Total net periodic benefit cost</w:t>
            </w:r>
          </w:p>
        </w:tc>
        <w:tc>
          <w:tcPr>
            <w:tcW w:w="2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42</w:t>
            </w:r>
          </w:p>
        </w:tc>
        <w:tc>
          <w:tcPr>
            <w:tcW w:w="2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149"/>
              <w:spacing w:after="0"/>
              <w:rPr>
                <w:sz w:val="20"/>
                <w:szCs w:val="20"/>
                <w:color w:val="auto"/>
              </w:rPr>
            </w:pPr>
            <w:r>
              <w:rPr>
                <w:rFonts w:ascii="Arial" w:cs="Arial" w:eastAsia="Arial" w:hAnsi="Arial"/>
                <w:sz w:val="14"/>
                <w:szCs w:val="14"/>
                <w:color w:val="auto"/>
              </w:rPr>
              <w:t>30</w:t>
            </w:r>
          </w:p>
        </w:tc>
        <w:tc>
          <w:tcPr>
            <w:tcW w:w="22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w:t>
            </w:r>
          </w:p>
        </w:tc>
        <w:tc>
          <w:tcPr>
            <w:tcW w:w="34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rPr>
              <w:t>15</w:t>
            </w:r>
          </w:p>
        </w:tc>
        <w:tc>
          <w:tcPr>
            <w:tcW w:w="28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rPr>
              <w:t>15</w:t>
            </w:r>
          </w:p>
        </w:tc>
        <w:tc>
          <w:tcPr>
            <w:tcW w:w="3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ind w:right="129"/>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390"/>
        </w:trPr>
        <w:tc>
          <w:tcPr>
            <w:tcW w:w="2860" w:type="dxa"/>
            <w:vAlign w:val="bottom"/>
          </w:tcPr>
          <w:p>
            <w:pPr>
              <w:spacing w:after="0"/>
              <w:rPr>
                <w:sz w:val="20"/>
                <w:szCs w:val="20"/>
                <w:color w:val="auto"/>
              </w:rPr>
            </w:pPr>
            <w:r>
              <w:rPr>
                <w:rFonts w:ascii="Arial" w:cs="Arial" w:eastAsia="Arial" w:hAnsi="Arial"/>
                <w:sz w:val="14"/>
                <w:szCs w:val="14"/>
                <w:color w:val="auto"/>
              </w:rPr>
              <w:t>Other Changes in Plan Assets and Benefit</w:t>
            </w: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8"/>
        </w:trPr>
        <w:tc>
          <w:tcPr>
            <w:tcW w:w="2860" w:type="dxa"/>
            <w:vAlign w:val="bottom"/>
          </w:tcPr>
          <w:p>
            <w:pPr>
              <w:ind w:left="120"/>
              <w:spacing w:after="0"/>
              <w:rPr>
                <w:sz w:val="20"/>
                <w:szCs w:val="20"/>
                <w:color w:val="auto"/>
              </w:rPr>
            </w:pPr>
            <w:r>
              <w:rPr>
                <w:rFonts w:ascii="Arial" w:cs="Arial" w:eastAsia="Arial" w:hAnsi="Arial"/>
                <w:sz w:val="14"/>
                <w:szCs w:val="14"/>
                <w:color w:val="auto"/>
              </w:rPr>
              <w:t>Obligations Recognized in Other</w:t>
            </w: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860" w:type="dxa"/>
            <w:vAlign w:val="bottom"/>
            <w:tcBorders>
              <w:bottom w:val="single" w:sz="8" w:color="auto"/>
            </w:tcBorders>
          </w:tcPr>
          <w:p>
            <w:pPr>
              <w:ind w:left="120"/>
              <w:spacing w:after="0"/>
              <w:rPr>
                <w:sz w:val="20"/>
                <w:szCs w:val="20"/>
                <w:color w:val="auto"/>
              </w:rPr>
            </w:pPr>
            <w:r>
              <w:rPr>
                <w:rFonts w:ascii="Arial" w:cs="Arial" w:eastAsia="Arial" w:hAnsi="Arial"/>
                <w:sz w:val="14"/>
                <w:szCs w:val="14"/>
                <w:color w:val="auto"/>
              </w:rPr>
              <w:t>Comprehensive Income</w:t>
            </w:r>
          </w:p>
        </w:tc>
        <w:tc>
          <w:tcPr>
            <w:tcW w:w="2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2860" w:type="dxa"/>
            <w:vAlign w:val="bottom"/>
          </w:tcPr>
          <w:p>
            <w:pPr>
              <w:spacing w:after="0"/>
              <w:rPr>
                <w:sz w:val="20"/>
                <w:szCs w:val="20"/>
                <w:color w:val="auto"/>
              </w:rPr>
            </w:pPr>
            <w:r>
              <w:rPr>
                <w:rFonts w:ascii="Arial" w:cs="Arial" w:eastAsia="Arial" w:hAnsi="Arial"/>
                <w:sz w:val="14"/>
                <w:szCs w:val="14"/>
                <w:color w:val="auto"/>
              </w:rPr>
              <w:t>Net gain</w:t>
            </w:r>
          </w:p>
        </w:tc>
        <w:tc>
          <w:tcPr>
            <w:tcW w:w="220" w:type="dxa"/>
            <w:vAlign w:val="bottom"/>
          </w:tcPr>
          <w:p>
            <w:pPr>
              <w:spacing w:after="0"/>
              <w:rPr>
                <w:sz w:val="17"/>
                <w:szCs w:val="17"/>
                <w:color w:val="auto"/>
              </w:rPr>
            </w:pPr>
          </w:p>
        </w:tc>
        <w:tc>
          <w:tcPr>
            <w:tcW w:w="520" w:type="dxa"/>
            <w:vAlign w:val="bottom"/>
          </w:tcPr>
          <w:p>
            <w:pPr>
              <w:jc w:val="right"/>
              <w:ind w:right="9"/>
              <w:spacing w:after="0"/>
              <w:rPr>
                <w:sz w:val="20"/>
                <w:szCs w:val="20"/>
                <w:color w:val="auto"/>
              </w:rPr>
            </w:pPr>
            <w:r>
              <w:rPr>
                <w:rFonts w:ascii="Arial" w:cs="Arial" w:eastAsia="Arial" w:hAnsi="Arial"/>
                <w:sz w:val="14"/>
                <w:szCs w:val="14"/>
                <w:color w:val="auto"/>
              </w:rPr>
              <w:t>(4 )</w:t>
            </w:r>
          </w:p>
        </w:tc>
        <w:tc>
          <w:tcPr>
            <w:tcW w:w="280" w:type="dxa"/>
            <w:vAlign w:val="bottom"/>
          </w:tcPr>
          <w:p>
            <w:pPr>
              <w:spacing w:after="0"/>
              <w:rPr>
                <w:sz w:val="17"/>
                <w:szCs w:val="17"/>
                <w:color w:val="auto"/>
              </w:rPr>
            </w:pPr>
          </w:p>
        </w:tc>
        <w:tc>
          <w:tcPr>
            <w:tcW w:w="600" w:type="dxa"/>
            <w:vAlign w:val="bottom"/>
          </w:tcPr>
          <w:p>
            <w:pPr>
              <w:jc w:val="right"/>
              <w:ind w:right="89"/>
              <w:spacing w:after="0"/>
              <w:rPr>
                <w:sz w:val="20"/>
                <w:szCs w:val="20"/>
                <w:color w:val="auto"/>
              </w:rPr>
            </w:pPr>
            <w:r>
              <w:rPr>
                <w:rFonts w:ascii="Arial" w:cs="Arial" w:eastAsia="Arial" w:hAnsi="Arial"/>
                <w:sz w:val="14"/>
                <w:szCs w:val="14"/>
                <w:color w:val="auto"/>
              </w:rPr>
              <w:t>(6 )</w:t>
            </w:r>
          </w:p>
        </w:tc>
        <w:tc>
          <w:tcPr>
            <w:tcW w:w="22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2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7"/>
                <w:szCs w:val="17"/>
                <w:color w:val="auto"/>
              </w:rPr>
            </w:pPr>
          </w:p>
        </w:tc>
        <w:tc>
          <w:tcPr>
            <w:tcW w:w="52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7"/>
                <w:szCs w:val="17"/>
                <w:color w:val="auto"/>
              </w:rPr>
            </w:pPr>
          </w:p>
        </w:tc>
        <w:tc>
          <w:tcPr>
            <w:tcW w:w="560" w:type="dxa"/>
            <w:vAlign w:val="bottom"/>
          </w:tcPr>
          <w:p>
            <w:pPr>
              <w:jc w:val="right"/>
              <w:ind w:right="12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2"/>
        </w:trPr>
        <w:tc>
          <w:tcPr>
            <w:tcW w:w="2860" w:type="dxa"/>
            <w:vAlign w:val="bottom"/>
          </w:tcPr>
          <w:p>
            <w:pPr>
              <w:spacing w:after="0"/>
              <w:rPr>
                <w:sz w:val="20"/>
                <w:szCs w:val="20"/>
                <w:color w:val="auto"/>
              </w:rPr>
            </w:pPr>
            <w:r>
              <w:rPr>
                <w:rFonts w:ascii="Arial" w:cs="Arial" w:eastAsia="Arial" w:hAnsi="Arial"/>
                <w:sz w:val="14"/>
                <w:szCs w:val="14"/>
                <w:color w:val="auto"/>
              </w:rPr>
              <w:t>Amortization of actuarial loss</w:t>
            </w:r>
          </w:p>
        </w:tc>
        <w:tc>
          <w:tcPr>
            <w:tcW w:w="2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(2 )</w:t>
            </w:r>
          </w:p>
        </w:tc>
        <w:tc>
          <w:tcPr>
            <w:tcW w:w="2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rPr>
              <w:t>(2 )</w:t>
            </w:r>
          </w:p>
        </w:tc>
        <w:tc>
          <w:tcPr>
            <w:tcW w:w="2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ind w:right="12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4"/>
        </w:trPr>
        <w:tc>
          <w:tcPr>
            <w:tcW w:w="2860" w:type="dxa"/>
            <w:vAlign w:val="bottom"/>
          </w:tcPr>
          <w:p>
            <w:pPr>
              <w:ind w:left="120"/>
              <w:spacing w:after="0"/>
              <w:rPr>
                <w:sz w:val="20"/>
                <w:szCs w:val="20"/>
                <w:color w:val="auto"/>
              </w:rPr>
            </w:pPr>
            <w:r>
              <w:rPr>
                <w:rFonts w:ascii="Arial" w:cs="Arial" w:eastAsia="Arial" w:hAnsi="Arial"/>
                <w:sz w:val="14"/>
                <w:szCs w:val="14"/>
                <w:color w:val="auto"/>
              </w:rPr>
              <w:t>Total recognized in other comprehensive</w:t>
            </w:r>
          </w:p>
        </w:tc>
        <w:tc>
          <w:tcPr>
            <w:tcW w:w="220" w:type="dxa"/>
            <w:vAlign w:val="bottom"/>
          </w:tcPr>
          <w:p>
            <w:pPr>
              <w:spacing w:after="0"/>
              <w:rPr>
                <w:sz w:val="15"/>
                <w:szCs w:val="15"/>
                <w:color w:val="auto"/>
              </w:rPr>
            </w:pPr>
          </w:p>
        </w:tc>
        <w:tc>
          <w:tcPr>
            <w:tcW w:w="520" w:type="dxa"/>
            <w:vAlign w:val="bottom"/>
            <w:vMerge w:val="restart"/>
          </w:tcPr>
          <w:p>
            <w:pPr>
              <w:jc w:val="right"/>
              <w:ind w:right="9"/>
              <w:spacing w:after="0"/>
              <w:rPr>
                <w:sz w:val="20"/>
                <w:szCs w:val="20"/>
                <w:color w:val="auto"/>
              </w:rPr>
            </w:pPr>
            <w:r>
              <w:rPr>
                <w:rFonts w:ascii="Arial" w:cs="Arial" w:eastAsia="Arial" w:hAnsi="Arial"/>
                <w:sz w:val="14"/>
                <w:szCs w:val="14"/>
                <w:color w:val="auto"/>
              </w:rPr>
              <w:t>(6 )</w:t>
            </w:r>
          </w:p>
        </w:tc>
        <w:tc>
          <w:tcPr>
            <w:tcW w:w="280" w:type="dxa"/>
            <w:vAlign w:val="bottom"/>
          </w:tcPr>
          <w:p>
            <w:pPr>
              <w:spacing w:after="0"/>
              <w:rPr>
                <w:sz w:val="15"/>
                <w:szCs w:val="15"/>
                <w:color w:val="auto"/>
              </w:rPr>
            </w:pPr>
          </w:p>
        </w:tc>
        <w:tc>
          <w:tcPr>
            <w:tcW w:w="600" w:type="dxa"/>
            <w:vAlign w:val="bottom"/>
            <w:vMerge w:val="restart"/>
          </w:tcPr>
          <w:p>
            <w:pPr>
              <w:jc w:val="right"/>
              <w:ind w:right="89"/>
              <w:spacing w:after="0"/>
              <w:rPr>
                <w:sz w:val="20"/>
                <w:szCs w:val="20"/>
                <w:color w:val="auto"/>
              </w:rPr>
            </w:pPr>
            <w:r>
              <w:rPr>
                <w:rFonts w:ascii="Arial" w:cs="Arial" w:eastAsia="Arial" w:hAnsi="Arial"/>
                <w:sz w:val="14"/>
                <w:szCs w:val="14"/>
                <w:color w:val="auto"/>
              </w:rPr>
              <w:t>(8 )</w:t>
            </w:r>
          </w:p>
        </w:tc>
        <w:tc>
          <w:tcPr>
            <w:tcW w:w="220" w:type="dxa"/>
            <w:vAlign w:val="bottom"/>
          </w:tcPr>
          <w:p>
            <w:pPr>
              <w:spacing w:after="0"/>
              <w:rPr>
                <w:sz w:val="15"/>
                <w:szCs w:val="15"/>
                <w:color w:val="auto"/>
              </w:rPr>
            </w:pPr>
          </w:p>
        </w:tc>
        <w:tc>
          <w:tcPr>
            <w:tcW w:w="3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20" w:type="dxa"/>
            <w:vAlign w:val="bottom"/>
            <w:vMerge w:val="restart"/>
          </w:tcPr>
          <w:p>
            <w:pPr>
              <w:jc w:val="right"/>
              <w:ind w:right="89"/>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5"/>
                <w:szCs w:val="15"/>
                <w:color w:val="auto"/>
              </w:rPr>
            </w:pPr>
          </w:p>
        </w:tc>
        <w:tc>
          <w:tcPr>
            <w:tcW w:w="520" w:type="dxa"/>
            <w:vAlign w:val="bottom"/>
            <w:vMerge w:val="restart"/>
          </w:tcPr>
          <w:p>
            <w:pPr>
              <w:jc w:val="right"/>
              <w:ind w:right="89"/>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5"/>
                <w:szCs w:val="15"/>
                <w:color w:val="auto"/>
              </w:rPr>
            </w:pPr>
          </w:p>
        </w:tc>
        <w:tc>
          <w:tcPr>
            <w:tcW w:w="560" w:type="dxa"/>
            <w:vAlign w:val="bottom"/>
            <w:vMerge w:val="restart"/>
          </w:tcPr>
          <w:p>
            <w:pPr>
              <w:jc w:val="right"/>
              <w:ind w:right="12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6"/>
        </w:trPr>
        <w:tc>
          <w:tcPr>
            <w:tcW w:w="2860" w:type="dxa"/>
            <w:vAlign w:val="bottom"/>
          </w:tcPr>
          <w:p>
            <w:pPr>
              <w:ind w:left="240"/>
              <w:spacing w:after="0"/>
              <w:rPr>
                <w:sz w:val="20"/>
                <w:szCs w:val="20"/>
                <w:color w:val="auto"/>
              </w:rPr>
            </w:pPr>
            <w:r>
              <w:rPr>
                <w:rFonts w:ascii="Arial" w:cs="Arial" w:eastAsia="Arial" w:hAnsi="Arial"/>
                <w:sz w:val="14"/>
                <w:szCs w:val="14"/>
                <w:color w:val="auto"/>
              </w:rPr>
              <w:t>income</w:t>
            </w:r>
          </w:p>
        </w:tc>
        <w:tc>
          <w:tcPr>
            <w:tcW w:w="2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vMerge w:val="continue"/>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vMerge w:val="continue"/>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vMerge w:val="continue"/>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vMerge w:val="continue"/>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vMerge w:val="continue"/>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860" w:type="dxa"/>
            <w:vAlign w:val="bottom"/>
          </w:tcPr>
          <w:p>
            <w:pPr>
              <w:ind w:left="120"/>
              <w:spacing w:after="0"/>
              <w:rPr>
                <w:sz w:val="20"/>
                <w:szCs w:val="20"/>
                <w:color w:val="auto"/>
              </w:rPr>
            </w:pPr>
            <w:r>
              <w:rPr>
                <w:rFonts w:ascii="Arial" w:cs="Arial" w:eastAsia="Arial" w:hAnsi="Arial"/>
                <w:sz w:val="14"/>
                <w:szCs w:val="14"/>
                <w:color w:val="auto"/>
              </w:rPr>
              <w:t>Total recognized in net periodic benefit</w:t>
            </w:r>
          </w:p>
        </w:tc>
        <w:tc>
          <w:tcPr>
            <w:tcW w:w="2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860" w:type="dxa"/>
            <w:vAlign w:val="bottom"/>
            <w:tcBorders>
              <w:bottom w:val="single" w:sz="8" w:color="auto"/>
            </w:tcBorders>
          </w:tcPr>
          <w:p>
            <w:pPr>
              <w:ind w:left="240"/>
              <w:spacing w:after="0"/>
              <w:rPr>
                <w:sz w:val="20"/>
                <w:szCs w:val="20"/>
                <w:color w:val="auto"/>
              </w:rPr>
            </w:pPr>
            <w:r>
              <w:rPr>
                <w:rFonts w:ascii="Arial" w:cs="Arial" w:eastAsia="Arial" w:hAnsi="Arial"/>
                <w:sz w:val="14"/>
                <w:szCs w:val="14"/>
                <w:color w:val="auto"/>
              </w:rPr>
              <w:t>cost and other comprehensive income</w:t>
            </w:r>
          </w:p>
        </w:tc>
        <w:tc>
          <w:tcPr>
            <w:tcW w:w="2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36</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tcPr>
          <w:p>
            <w:pPr>
              <w:jc w:val="right"/>
              <w:ind w:right="149"/>
              <w:spacing w:after="0"/>
              <w:rPr>
                <w:sz w:val="20"/>
                <w:szCs w:val="20"/>
                <w:color w:val="auto"/>
              </w:rPr>
            </w:pPr>
            <w:r>
              <w:rPr>
                <w:rFonts w:ascii="Arial" w:cs="Arial" w:eastAsia="Arial" w:hAnsi="Arial"/>
                <w:sz w:val="14"/>
                <w:szCs w:val="14"/>
                <w:color w:val="auto"/>
              </w:rPr>
              <w:t>22</w:t>
            </w:r>
          </w:p>
        </w:tc>
        <w:tc>
          <w:tcPr>
            <w:tcW w:w="2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w:t>
            </w:r>
          </w:p>
        </w:tc>
        <w:tc>
          <w:tcPr>
            <w:tcW w:w="3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rPr>
              <w:t>15</w:t>
            </w:r>
          </w:p>
        </w:tc>
        <w:tc>
          <w:tcPr>
            <w:tcW w:w="28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rPr>
              <w:t>15</w:t>
            </w:r>
          </w:p>
        </w:tc>
        <w:tc>
          <w:tcPr>
            <w:tcW w:w="3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auto"/>
            </w:tcBorders>
          </w:tcPr>
          <w:p>
            <w:pPr>
              <w:jc w:val="right"/>
              <w:ind w:right="129"/>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216"/>
        </w:trPr>
        <w:tc>
          <w:tcPr>
            <w:tcW w:w="6980" w:type="dxa"/>
            <w:vAlign w:val="bottom"/>
            <w:tcBorders>
              <w:bottom w:val="single" w:sz="8" w:color="auto"/>
            </w:tcBorders>
            <w:gridSpan w:val="12"/>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6980" w:type="dxa"/>
            <w:vAlign w:val="bottom"/>
            <w:gridSpan w:val="12"/>
            <w:shd w:val="clear" w:color="auto" w:fill="D9D9D9"/>
          </w:tcPr>
          <w:p>
            <w:pPr>
              <w:spacing w:after="0"/>
              <w:rPr>
                <w:sz w:val="20"/>
                <w:szCs w:val="20"/>
                <w:color w:val="auto"/>
              </w:rPr>
            </w:pPr>
            <w:r>
              <w:rPr>
                <w:rFonts w:ascii="Arial" w:cs="Arial" w:eastAsia="Arial" w:hAnsi="Arial"/>
                <w:sz w:val="14"/>
                <w:szCs w:val="14"/>
                <w:b w:val="1"/>
                <w:bCs w:val="1"/>
                <w:color w:val="auto"/>
              </w:rPr>
              <w:t>NET PERIODIC BENEFIT COST AND AMOUNTS RECOGNIZED IN OTHER COMPREHENSIVE INCOME</w:t>
            </w:r>
          </w:p>
        </w:tc>
        <w:tc>
          <w:tcPr>
            <w:tcW w:w="300" w:type="dxa"/>
            <w:vAlign w:val="bottom"/>
            <w:shd w:val="clear" w:color="auto" w:fill="D9D9D9"/>
          </w:tcPr>
          <w:p>
            <w:pPr>
              <w:spacing w:after="0"/>
              <w:rPr>
                <w:sz w:val="15"/>
                <w:szCs w:val="15"/>
                <w:color w:val="auto"/>
              </w:rPr>
            </w:pPr>
          </w:p>
        </w:tc>
        <w:tc>
          <w:tcPr>
            <w:tcW w:w="560" w:type="dxa"/>
            <w:vAlign w:val="bottom"/>
            <w:shd w:val="clear" w:color="auto" w:fill="D9D9D9"/>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860" w:type="dxa"/>
            <w:vAlign w:val="bottom"/>
            <w:shd w:val="clear" w:color="auto" w:fill="D9D9D9"/>
          </w:tcPr>
          <w:p>
            <w:pPr>
              <w:spacing w:after="0"/>
              <w:rPr>
                <w:sz w:val="20"/>
                <w:szCs w:val="20"/>
                <w:color w:val="auto"/>
              </w:rPr>
            </w:pPr>
            <w:r>
              <w:rPr>
                <w:rFonts w:ascii="Arial" w:cs="Arial" w:eastAsia="Arial" w:hAnsi="Arial"/>
                <w:sz w:val="13"/>
                <w:szCs w:val="13"/>
                <w:i w:val="1"/>
                <w:iCs w:val="1"/>
                <w:color w:val="auto"/>
              </w:rPr>
              <w:t>(Dollars in millions)</w:t>
            </w:r>
          </w:p>
        </w:tc>
        <w:tc>
          <w:tcPr>
            <w:tcW w:w="220" w:type="dxa"/>
            <w:vAlign w:val="bottom"/>
            <w:shd w:val="clear" w:color="auto" w:fill="D9D9D9"/>
          </w:tcPr>
          <w:p>
            <w:pPr>
              <w:spacing w:after="0"/>
              <w:rPr>
                <w:sz w:val="15"/>
                <w:szCs w:val="15"/>
                <w:color w:val="auto"/>
              </w:rPr>
            </w:pPr>
          </w:p>
        </w:tc>
        <w:tc>
          <w:tcPr>
            <w:tcW w:w="520" w:type="dxa"/>
            <w:vAlign w:val="bottom"/>
            <w:shd w:val="clear" w:color="auto" w:fill="D9D9D9"/>
          </w:tcPr>
          <w:p>
            <w:pPr>
              <w:spacing w:after="0"/>
              <w:rPr>
                <w:sz w:val="15"/>
                <w:szCs w:val="15"/>
                <w:color w:val="auto"/>
              </w:rPr>
            </w:pPr>
          </w:p>
        </w:tc>
        <w:tc>
          <w:tcPr>
            <w:tcW w:w="280" w:type="dxa"/>
            <w:vAlign w:val="bottom"/>
            <w:shd w:val="clear" w:color="auto" w:fill="D9D9D9"/>
          </w:tcPr>
          <w:p>
            <w:pPr>
              <w:spacing w:after="0"/>
              <w:rPr>
                <w:sz w:val="15"/>
                <w:szCs w:val="15"/>
                <w:color w:val="auto"/>
              </w:rPr>
            </w:pPr>
          </w:p>
        </w:tc>
        <w:tc>
          <w:tcPr>
            <w:tcW w:w="600" w:type="dxa"/>
            <w:vAlign w:val="bottom"/>
            <w:shd w:val="clear" w:color="auto" w:fill="D9D9D9"/>
          </w:tcPr>
          <w:p>
            <w:pPr>
              <w:spacing w:after="0"/>
              <w:rPr>
                <w:sz w:val="15"/>
                <w:szCs w:val="15"/>
                <w:color w:val="auto"/>
              </w:rPr>
            </w:pPr>
          </w:p>
        </w:tc>
        <w:tc>
          <w:tcPr>
            <w:tcW w:w="220" w:type="dxa"/>
            <w:vAlign w:val="bottom"/>
            <w:shd w:val="clear" w:color="auto" w:fill="D9D9D9"/>
          </w:tcPr>
          <w:p>
            <w:pPr>
              <w:spacing w:after="0"/>
              <w:rPr>
                <w:sz w:val="15"/>
                <w:szCs w:val="15"/>
                <w:color w:val="auto"/>
              </w:rPr>
            </w:pPr>
          </w:p>
        </w:tc>
        <w:tc>
          <w:tcPr>
            <w:tcW w:w="380" w:type="dxa"/>
            <w:vAlign w:val="bottom"/>
            <w:shd w:val="clear" w:color="auto" w:fill="D9D9D9"/>
          </w:tcPr>
          <w:p>
            <w:pPr>
              <w:spacing w:after="0"/>
              <w:rPr>
                <w:sz w:val="15"/>
                <w:szCs w:val="15"/>
                <w:color w:val="auto"/>
              </w:rPr>
            </w:pPr>
          </w:p>
        </w:tc>
        <w:tc>
          <w:tcPr>
            <w:tcW w:w="340" w:type="dxa"/>
            <w:vAlign w:val="bottom"/>
            <w:shd w:val="clear" w:color="auto" w:fill="D9D9D9"/>
          </w:tcPr>
          <w:p>
            <w:pPr>
              <w:spacing w:after="0"/>
              <w:rPr>
                <w:sz w:val="15"/>
                <w:szCs w:val="15"/>
                <w:color w:val="auto"/>
              </w:rPr>
            </w:pPr>
          </w:p>
        </w:tc>
        <w:tc>
          <w:tcPr>
            <w:tcW w:w="240" w:type="dxa"/>
            <w:vAlign w:val="bottom"/>
            <w:shd w:val="clear" w:color="auto" w:fill="D9D9D9"/>
          </w:tcPr>
          <w:p>
            <w:pPr>
              <w:spacing w:after="0"/>
              <w:rPr>
                <w:sz w:val="15"/>
                <w:szCs w:val="15"/>
                <w:color w:val="auto"/>
              </w:rPr>
            </w:pPr>
          </w:p>
        </w:tc>
        <w:tc>
          <w:tcPr>
            <w:tcW w:w="520" w:type="dxa"/>
            <w:vAlign w:val="bottom"/>
            <w:shd w:val="clear" w:color="auto" w:fill="D9D9D9"/>
          </w:tcPr>
          <w:p>
            <w:pPr>
              <w:spacing w:after="0"/>
              <w:rPr>
                <w:sz w:val="15"/>
                <w:szCs w:val="15"/>
                <w:color w:val="auto"/>
              </w:rPr>
            </w:pPr>
          </w:p>
        </w:tc>
        <w:tc>
          <w:tcPr>
            <w:tcW w:w="280" w:type="dxa"/>
            <w:vAlign w:val="bottom"/>
            <w:shd w:val="clear" w:color="auto" w:fill="D9D9D9"/>
          </w:tcPr>
          <w:p>
            <w:pPr>
              <w:spacing w:after="0"/>
              <w:rPr>
                <w:sz w:val="15"/>
                <w:szCs w:val="15"/>
                <w:color w:val="auto"/>
              </w:rPr>
            </w:pPr>
          </w:p>
        </w:tc>
        <w:tc>
          <w:tcPr>
            <w:tcW w:w="520" w:type="dxa"/>
            <w:vAlign w:val="bottom"/>
            <w:shd w:val="clear" w:color="auto" w:fill="D9D9D9"/>
          </w:tcPr>
          <w:p>
            <w:pPr>
              <w:spacing w:after="0"/>
              <w:rPr>
                <w:sz w:val="15"/>
                <w:szCs w:val="15"/>
                <w:color w:val="auto"/>
              </w:rPr>
            </w:pPr>
          </w:p>
        </w:tc>
        <w:tc>
          <w:tcPr>
            <w:tcW w:w="300" w:type="dxa"/>
            <w:vAlign w:val="bottom"/>
            <w:shd w:val="clear" w:color="auto" w:fill="D9D9D9"/>
          </w:tcPr>
          <w:p>
            <w:pPr>
              <w:spacing w:after="0"/>
              <w:rPr>
                <w:sz w:val="15"/>
                <w:szCs w:val="15"/>
                <w:color w:val="auto"/>
              </w:rPr>
            </w:pPr>
          </w:p>
        </w:tc>
        <w:tc>
          <w:tcPr>
            <w:tcW w:w="560" w:type="dxa"/>
            <w:vAlign w:val="bottom"/>
            <w:shd w:val="clear" w:color="auto" w:fill="D9D9D9"/>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2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0" w:type="dxa"/>
            <w:vAlign w:val="bottom"/>
            <w:gridSpan w:val="2"/>
          </w:tcPr>
          <w:p>
            <w:pPr>
              <w:jc w:val="center"/>
              <w:ind w:right="9"/>
              <w:spacing w:after="0"/>
              <w:rPr>
                <w:sz w:val="20"/>
                <w:szCs w:val="20"/>
                <w:color w:val="auto"/>
              </w:rPr>
            </w:pPr>
            <w:r>
              <w:rPr>
                <w:rFonts w:ascii="Arial" w:cs="Arial" w:eastAsia="Arial" w:hAnsi="Arial"/>
                <w:sz w:val="13"/>
                <w:szCs w:val="13"/>
                <w:color w:val="auto"/>
                <w:w w:val="98"/>
              </w:rPr>
              <w:t>Other</w:t>
            </w:r>
          </w:p>
        </w:tc>
        <w:tc>
          <w:tcPr>
            <w:tcW w:w="3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2860" w:type="dxa"/>
            <w:vAlign w:val="bottom"/>
          </w:tcPr>
          <w:p>
            <w:pPr>
              <w:spacing w:after="0"/>
              <w:rPr>
                <w:sz w:val="20"/>
                <w:szCs w:val="20"/>
                <w:color w:val="auto"/>
              </w:rPr>
            </w:pPr>
            <w:r>
              <w:rPr>
                <w:rFonts w:ascii="Arial" w:cs="Arial" w:eastAsia="Arial" w:hAnsi="Arial"/>
                <w:sz w:val="14"/>
                <w:szCs w:val="14"/>
                <w:b w:val="1"/>
                <w:bCs w:val="1"/>
                <w:color w:val="auto"/>
              </w:rPr>
              <w:t>SoCalGas</w:t>
            </w:r>
          </w:p>
        </w:tc>
        <w:tc>
          <w:tcPr>
            <w:tcW w:w="2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color w:val="auto"/>
              </w:rPr>
              <w:t>Pension Benefits</w:t>
            </w:r>
          </w:p>
        </w:tc>
        <w:tc>
          <w:tcPr>
            <w:tcW w:w="2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gridSpan w:val="4"/>
          </w:tcPr>
          <w:p>
            <w:pPr>
              <w:jc w:val="center"/>
              <w:ind w:left="49"/>
              <w:spacing w:after="0"/>
              <w:rPr>
                <w:sz w:val="20"/>
                <w:szCs w:val="20"/>
                <w:color w:val="auto"/>
              </w:rPr>
            </w:pPr>
            <w:r>
              <w:rPr>
                <w:rFonts w:ascii="Arial" w:cs="Arial" w:eastAsia="Arial" w:hAnsi="Arial"/>
                <w:sz w:val="13"/>
                <w:szCs w:val="13"/>
                <w:color w:val="auto"/>
                <w:w w:val="99"/>
              </w:rPr>
              <w:t>Postretirement Benefits</w:t>
            </w:r>
          </w:p>
        </w:tc>
        <w:tc>
          <w:tcPr>
            <w:tcW w:w="5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86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ind w:right="69"/>
              <w:spacing w:after="0"/>
              <w:rPr>
                <w:sz w:val="20"/>
                <w:szCs w:val="20"/>
                <w:color w:val="auto"/>
              </w:rPr>
            </w:pPr>
            <w:r>
              <w:rPr>
                <w:rFonts w:ascii="Arial" w:cs="Arial" w:eastAsia="Arial" w:hAnsi="Arial"/>
                <w:sz w:val="13"/>
                <w:szCs w:val="13"/>
                <w:color w:val="auto"/>
              </w:rPr>
              <w:t>2008</w:t>
            </w:r>
          </w:p>
        </w:tc>
        <w:tc>
          <w:tcPr>
            <w:tcW w:w="28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149"/>
              <w:spacing w:after="0"/>
              <w:rPr>
                <w:sz w:val="20"/>
                <w:szCs w:val="20"/>
                <w:color w:val="auto"/>
              </w:rPr>
            </w:pPr>
            <w:r>
              <w:rPr>
                <w:rFonts w:ascii="Arial" w:cs="Arial" w:eastAsia="Arial" w:hAnsi="Arial"/>
                <w:sz w:val="13"/>
                <w:szCs w:val="13"/>
                <w:color w:val="auto"/>
              </w:rPr>
              <w:t>2007</w:t>
            </w:r>
          </w:p>
        </w:tc>
        <w:tc>
          <w:tcPr>
            <w:tcW w:w="22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2006</w:t>
            </w:r>
          </w:p>
        </w:tc>
        <w:tc>
          <w:tcPr>
            <w:tcW w:w="34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ind w:right="89"/>
              <w:spacing w:after="0"/>
              <w:rPr>
                <w:sz w:val="20"/>
                <w:szCs w:val="20"/>
                <w:color w:val="auto"/>
              </w:rPr>
            </w:pPr>
            <w:r>
              <w:rPr>
                <w:rFonts w:ascii="Arial" w:cs="Arial" w:eastAsia="Arial" w:hAnsi="Arial"/>
                <w:sz w:val="13"/>
                <w:szCs w:val="13"/>
                <w:color w:val="auto"/>
              </w:rPr>
              <w:t>2008</w:t>
            </w:r>
          </w:p>
        </w:tc>
        <w:tc>
          <w:tcPr>
            <w:tcW w:w="28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ind w:right="89"/>
              <w:spacing w:after="0"/>
              <w:rPr>
                <w:sz w:val="20"/>
                <w:szCs w:val="20"/>
                <w:color w:val="auto"/>
              </w:rPr>
            </w:pPr>
            <w:r>
              <w:rPr>
                <w:rFonts w:ascii="Arial" w:cs="Arial" w:eastAsia="Arial" w:hAnsi="Arial"/>
                <w:sz w:val="13"/>
                <w:szCs w:val="13"/>
                <w:color w:val="auto"/>
              </w:rPr>
              <w:t>2007</w:t>
            </w:r>
          </w:p>
        </w:tc>
        <w:tc>
          <w:tcPr>
            <w:tcW w:w="30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ind w:right="129"/>
              <w:spacing w:after="0"/>
              <w:rPr>
                <w:sz w:val="20"/>
                <w:szCs w:val="20"/>
                <w:color w:val="auto"/>
              </w:rPr>
            </w:pPr>
            <w:r>
              <w:rPr>
                <w:rFonts w:ascii="Arial" w:cs="Arial" w:eastAsia="Arial" w:hAnsi="Arial"/>
                <w:sz w:val="13"/>
                <w:szCs w:val="13"/>
                <w:color w:val="auto"/>
              </w:rPr>
              <w:t>2006</w:t>
            </w:r>
          </w:p>
        </w:tc>
        <w:tc>
          <w:tcPr>
            <w:tcW w:w="0" w:type="dxa"/>
            <w:vAlign w:val="bottom"/>
          </w:tcPr>
          <w:p>
            <w:pPr>
              <w:spacing w:after="0"/>
              <w:rPr>
                <w:sz w:val="1"/>
                <w:szCs w:val="1"/>
                <w:color w:val="auto"/>
              </w:rPr>
            </w:pPr>
          </w:p>
        </w:tc>
      </w:tr>
      <w:tr>
        <w:trPr>
          <w:trHeight w:val="198"/>
        </w:trPr>
        <w:tc>
          <w:tcPr>
            <w:tcW w:w="28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Net Periodic Benefit Cost</w:t>
            </w: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860" w:type="dxa"/>
            <w:vAlign w:val="bottom"/>
          </w:tcPr>
          <w:p>
            <w:pPr>
              <w:spacing w:after="0"/>
              <w:rPr>
                <w:sz w:val="20"/>
                <w:szCs w:val="20"/>
                <w:color w:val="auto"/>
              </w:rPr>
            </w:pPr>
            <w:r>
              <w:rPr>
                <w:rFonts w:ascii="Arial" w:cs="Arial" w:eastAsia="Arial" w:hAnsi="Arial"/>
                <w:sz w:val="14"/>
                <w:szCs w:val="14"/>
                <w:color w:val="auto"/>
              </w:rPr>
              <w:t>Service cost</w:t>
            </w:r>
          </w:p>
        </w:tc>
        <w:tc>
          <w:tcPr>
            <w:tcW w:w="2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520" w:type="dxa"/>
            <w:vAlign w:val="bottom"/>
          </w:tcPr>
          <w:p>
            <w:pPr>
              <w:jc w:val="right"/>
              <w:ind w:right="69"/>
              <w:spacing w:after="0"/>
              <w:rPr>
                <w:sz w:val="20"/>
                <w:szCs w:val="20"/>
                <w:color w:val="auto"/>
              </w:rPr>
            </w:pPr>
            <w:r>
              <w:rPr>
                <w:rFonts w:ascii="Arial" w:cs="Arial" w:eastAsia="Arial" w:hAnsi="Arial"/>
                <w:sz w:val="14"/>
                <w:szCs w:val="14"/>
                <w:color w:val="auto"/>
              </w:rPr>
              <w:t>40</w:t>
            </w:r>
          </w:p>
        </w:tc>
        <w:tc>
          <w:tcPr>
            <w:tcW w:w="2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149"/>
              <w:spacing w:after="0"/>
              <w:rPr>
                <w:sz w:val="20"/>
                <w:szCs w:val="20"/>
                <w:color w:val="auto"/>
              </w:rPr>
            </w:pPr>
            <w:r>
              <w:rPr>
                <w:rFonts w:ascii="Arial" w:cs="Arial" w:eastAsia="Arial" w:hAnsi="Arial"/>
                <w:sz w:val="14"/>
                <w:szCs w:val="14"/>
                <w:color w:val="auto"/>
              </w:rPr>
              <w:t>41</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380" w:type="dxa"/>
            <w:vAlign w:val="bottom"/>
          </w:tcPr>
          <w:p>
            <w:pPr>
              <w:jc w:val="right"/>
              <w:spacing w:after="0"/>
              <w:rPr>
                <w:sz w:val="20"/>
                <w:szCs w:val="20"/>
                <w:color w:val="auto"/>
              </w:rPr>
            </w:pPr>
            <w:r>
              <w:rPr>
                <w:rFonts w:ascii="Arial" w:cs="Arial" w:eastAsia="Arial" w:hAnsi="Arial"/>
                <w:sz w:val="14"/>
                <w:szCs w:val="14"/>
                <w:color w:val="auto"/>
              </w:rPr>
              <w:t>40</w:t>
            </w:r>
          </w:p>
        </w:tc>
        <w:tc>
          <w:tcPr>
            <w:tcW w:w="340" w:type="dxa"/>
            <w:vAlign w:val="bottom"/>
          </w:tcPr>
          <w:p>
            <w:pPr>
              <w:spacing w:after="0"/>
              <w:rPr>
                <w:sz w:val="17"/>
                <w:szCs w:val="17"/>
                <w:color w:val="auto"/>
              </w:rPr>
            </w:pPr>
          </w:p>
        </w:tc>
        <w:tc>
          <w:tcPr>
            <w:tcW w:w="2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520" w:type="dxa"/>
            <w:vAlign w:val="bottom"/>
          </w:tcPr>
          <w:p>
            <w:pPr>
              <w:jc w:val="right"/>
              <w:ind w:right="89"/>
              <w:spacing w:after="0"/>
              <w:rPr>
                <w:sz w:val="20"/>
                <w:szCs w:val="20"/>
                <w:color w:val="auto"/>
              </w:rPr>
            </w:pPr>
            <w:r>
              <w:rPr>
                <w:rFonts w:ascii="Arial" w:cs="Arial" w:eastAsia="Arial" w:hAnsi="Arial"/>
                <w:sz w:val="14"/>
                <w:szCs w:val="14"/>
                <w:color w:val="auto"/>
              </w:rPr>
              <w:t>17</w:t>
            </w:r>
          </w:p>
        </w:tc>
        <w:tc>
          <w:tcPr>
            <w:tcW w:w="280" w:type="dxa"/>
            <w:vAlign w:val="bottom"/>
          </w:tcPr>
          <w:p>
            <w:pPr>
              <w:jc w:val="right"/>
              <w:ind w:right="51"/>
              <w:spacing w:after="0"/>
              <w:rPr>
                <w:sz w:val="20"/>
                <w:szCs w:val="20"/>
                <w:color w:val="auto"/>
              </w:rPr>
            </w:pPr>
            <w:r>
              <w:rPr>
                <w:rFonts w:ascii="Arial" w:cs="Arial" w:eastAsia="Arial" w:hAnsi="Arial"/>
                <w:sz w:val="14"/>
                <w:szCs w:val="14"/>
                <w:color w:val="auto"/>
              </w:rPr>
              <w:t>$</w:t>
            </w:r>
          </w:p>
        </w:tc>
        <w:tc>
          <w:tcPr>
            <w:tcW w:w="520" w:type="dxa"/>
            <w:vAlign w:val="bottom"/>
          </w:tcPr>
          <w:p>
            <w:pPr>
              <w:jc w:val="right"/>
              <w:ind w:right="89"/>
              <w:spacing w:after="0"/>
              <w:rPr>
                <w:sz w:val="20"/>
                <w:szCs w:val="20"/>
                <w:color w:val="auto"/>
              </w:rPr>
            </w:pPr>
            <w:r>
              <w:rPr>
                <w:rFonts w:ascii="Arial" w:cs="Arial" w:eastAsia="Arial" w:hAnsi="Arial"/>
                <w:sz w:val="14"/>
                <w:szCs w:val="14"/>
                <w:color w:val="auto"/>
              </w:rPr>
              <w:t>19</w:t>
            </w:r>
          </w:p>
        </w:tc>
        <w:tc>
          <w:tcPr>
            <w:tcW w:w="30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560" w:type="dxa"/>
            <w:vAlign w:val="bottom"/>
          </w:tcPr>
          <w:p>
            <w:pPr>
              <w:jc w:val="right"/>
              <w:ind w:right="129"/>
              <w:spacing w:after="0"/>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216"/>
        </w:trPr>
        <w:tc>
          <w:tcPr>
            <w:tcW w:w="2860" w:type="dxa"/>
            <w:vAlign w:val="bottom"/>
          </w:tcPr>
          <w:p>
            <w:pPr>
              <w:spacing w:after="0"/>
              <w:rPr>
                <w:sz w:val="20"/>
                <w:szCs w:val="20"/>
                <w:color w:val="auto"/>
              </w:rPr>
            </w:pPr>
            <w:r>
              <w:rPr>
                <w:rFonts w:ascii="Arial" w:cs="Arial" w:eastAsia="Arial" w:hAnsi="Arial"/>
                <w:sz w:val="14"/>
                <w:szCs w:val="14"/>
                <w:color w:val="auto"/>
              </w:rPr>
              <w:t>Interest cost</w:t>
            </w:r>
          </w:p>
        </w:tc>
        <w:tc>
          <w:tcPr>
            <w:tcW w:w="220" w:type="dxa"/>
            <w:vAlign w:val="bottom"/>
          </w:tcPr>
          <w:p>
            <w:pPr>
              <w:spacing w:after="0"/>
              <w:rPr>
                <w:sz w:val="18"/>
                <w:szCs w:val="18"/>
                <w:color w:val="auto"/>
              </w:rPr>
            </w:pPr>
          </w:p>
        </w:tc>
        <w:tc>
          <w:tcPr>
            <w:tcW w:w="520" w:type="dxa"/>
            <w:vAlign w:val="bottom"/>
          </w:tcPr>
          <w:p>
            <w:pPr>
              <w:jc w:val="right"/>
              <w:ind w:right="69"/>
              <w:spacing w:after="0"/>
              <w:rPr>
                <w:sz w:val="20"/>
                <w:szCs w:val="20"/>
                <w:color w:val="auto"/>
              </w:rPr>
            </w:pPr>
            <w:r>
              <w:rPr>
                <w:rFonts w:ascii="Arial" w:cs="Arial" w:eastAsia="Arial" w:hAnsi="Arial"/>
                <w:sz w:val="14"/>
                <w:szCs w:val="14"/>
                <w:color w:val="auto"/>
              </w:rPr>
              <w:t>97</w:t>
            </w:r>
          </w:p>
        </w:tc>
        <w:tc>
          <w:tcPr>
            <w:tcW w:w="280" w:type="dxa"/>
            <w:vAlign w:val="bottom"/>
          </w:tcPr>
          <w:p>
            <w:pPr>
              <w:spacing w:after="0"/>
              <w:rPr>
                <w:sz w:val="18"/>
                <w:szCs w:val="18"/>
                <w:color w:val="auto"/>
              </w:rPr>
            </w:pPr>
          </w:p>
        </w:tc>
        <w:tc>
          <w:tcPr>
            <w:tcW w:w="600" w:type="dxa"/>
            <w:vAlign w:val="bottom"/>
          </w:tcPr>
          <w:p>
            <w:pPr>
              <w:jc w:val="right"/>
              <w:ind w:right="149"/>
              <w:spacing w:after="0"/>
              <w:rPr>
                <w:sz w:val="20"/>
                <w:szCs w:val="20"/>
                <w:color w:val="auto"/>
              </w:rPr>
            </w:pPr>
            <w:r>
              <w:rPr>
                <w:rFonts w:ascii="Arial" w:cs="Arial" w:eastAsia="Arial" w:hAnsi="Arial"/>
                <w:sz w:val="14"/>
                <w:szCs w:val="14"/>
                <w:color w:val="auto"/>
              </w:rPr>
              <w:t>96</w:t>
            </w:r>
          </w:p>
        </w:tc>
        <w:tc>
          <w:tcPr>
            <w:tcW w:w="22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95</w:t>
            </w: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tcPr>
          <w:p>
            <w:pPr>
              <w:jc w:val="right"/>
              <w:ind w:right="89"/>
              <w:spacing w:after="0"/>
              <w:rPr>
                <w:sz w:val="20"/>
                <w:szCs w:val="20"/>
                <w:color w:val="auto"/>
              </w:rPr>
            </w:pPr>
            <w:r>
              <w:rPr>
                <w:rFonts w:ascii="Arial" w:cs="Arial" w:eastAsia="Arial" w:hAnsi="Arial"/>
                <w:sz w:val="14"/>
                <w:szCs w:val="14"/>
                <w:color w:val="auto"/>
              </w:rPr>
              <w:t>42</w:t>
            </w:r>
          </w:p>
        </w:tc>
        <w:tc>
          <w:tcPr>
            <w:tcW w:w="280" w:type="dxa"/>
            <w:vAlign w:val="bottom"/>
          </w:tcPr>
          <w:p>
            <w:pPr>
              <w:spacing w:after="0"/>
              <w:rPr>
                <w:sz w:val="18"/>
                <w:szCs w:val="18"/>
                <w:color w:val="auto"/>
              </w:rPr>
            </w:pPr>
          </w:p>
        </w:tc>
        <w:tc>
          <w:tcPr>
            <w:tcW w:w="520" w:type="dxa"/>
            <w:vAlign w:val="bottom"/>
          </w:tcPr>
          <w:p>
            <w:pPr>
              <w:jc w:val="right"/>
              <w:ind w:right="89"/>
              <w:spacing w:after="0"/>
              <w:rPr>
                <w:sz w:val="20"/>
                <w:szCs w:val="20"/>
                <w:color w:val="auto"/>
              </w:rPr>
            </w:pPr>
            <w:r>
              <w:rPr>
                <w:rFonts w:ascii="Arial" w:cs="Arial" w:eastAsia="Arial" w:hAnsi="Arial"/>
                <w:sz w:val="14"/>
                <w:szCs w:val="14"/>
                <w:color w:val="auto"/>
              </w:rPr>
              <w:t>44</w:t>
            </w:r>
          </w:p>
        </w:tc>
        <w:tc>
          <w:tcPr>
            <w:tcW w:w="300" w:type="dxa"/>
            <w:vAlign w:val="bottom"/>
          </w:tcPr>
          <w:p>
            <w:pPr>
              <w:spacing w:after="0"/>
              <w:rPr>
                <w:sz w:val="18"/>
                <w:szCs w:val="18"/>
                <w:color w:val="auto"/>
              </w:rPr>
            </w:pPr>
          </w:p>
        </w:tc>
        <w:tc>
          <w:tcPr>
            <w:tcW w:w="560" w:type="dxa"/>
            <w:vAlign w:val="bottom"/>
          </w:tcPr>
          <w:p>
            <w:pPr>
              <w:jc w:val="right"/>
              <w:ind w:right="129"/>
              <w:spacing w:after="0"/>
              <w:rPr>
                <w:sz w:val="20"/>
                <w:szCs w:val="20"/>
                <w:color w:val="auto"/>
              </w:rPr>
            </w:pPr>
            <w:r>
              <w:rPr>
                <w:rFonts w:ascii="Arial" w:cs="Arial" w:eastAsia="Arial" w:hAnsi="Arial"/>
                <w:sz w:val="14"/>
                <w:szCs w:val="14"/>
                <w:color w:val="auto"/>
              </w:rPr>
              <w:t>36</w:t>
            </w:r>
          </w:p>
        </w:tc>
        <w:tc>
          <w:tcPr>
            <w:tcW w:w="0" w:type="dxa"/>
            <w:vAlign w:val="bottom"/>
          </w:tcPr>
          <w:p>
            <w:pPr>
              <w:spacing w:after="0"/>
              <w:rPr>
                <w:sz w:val="1"/>
                <w:szCs w:val="1"/>
                <w:color w:val="auto"/>
              </w:rPr>
            </w:pPr>
          </w:p>
        </w:tc>
      </w:tr>
      <w:tr>
        <w:trPr>
          <w:trHeight w:val="216"/>
        </w:trPr>
        <w:tc>
          <w:tcPr>
            <w:tcW w:w="2860" w:type="dxa"/>
            <w:vAlign w:val="bottom"/>
          </w:tcPr>
          <w:p>
            <w:pPr>
              <w:spacing w:after="0"/>
              <w:rPr>
                <w:sz w:val="20"/>
                <w:szCs w:val="20"/>
                <w:color w:val="auto"/>
              </w:rPr>
            </w:pPr>
            <w:r>
              <w:rPr>
                <w:rFonts w:ascii="Arial" w:cs="Arial" w:eastAsia="Arial" w:hAnsi="Arial"/>
                <w:sz w:val="14"/>
                <w:szCs w:val="14"/>
                <w:color w:val="auto"/>
              </w:rPr>
              <w:t>Expected return on assets</w:t>
            </w:r>
          </w:p>
        </w:tc>
        <w:tc>
          <w:tcPr>
            <w:tcW w:w="220" w:type="dxa"/>
            <w:vAlign w:val="bottom"/>
          </w:tcPr>
          <w:p>
            <w:pPr>
              <w:spacing w:after="0"/>
              <w:rPr>
                <w:sz w:val="18"/>
                <w:szCs w:val="18"/>
                <w:color w:val="auto"/>
              </w:rPr>
            </w:pPr>
          </w:p>
        </w:tc>
        <w:tc>
          <w:tcPr>
            <w:tcW w:w="520" w:type="dxa"/>
            <w:vAlign w:val="bottom"/>
          </w:tcPr>
          <w:p>
            <w:pPr>
              <w:jc w:val="right"/>
              <w:ind w:right="9"/>
              <w:spacing w:after="0"/>
              <w:rPr>
                <w:sz w:val="20"/>
                <w:szCs w:val="20"/>
                <w:color w:val="auto"/>
              </w:rPr>
            </w:pPr>
            <w:r>
              <w:rPr>
                <w:rFonts w:ascii="Arial" w:cs="Arial" w:eastAsia="Arial" w:hAnsi="Arial"/>
                <w:sz w:val="14"/>
                <w:szCs w:val="14"/>
                <w:color w:val="auto"/>
              </w:rPr>
              <w:t>(103 )</w:t>
            </w:r>
          </w:p>
        </w:tc>
        <w:tc>
          <w:tcPr>
            <w:tcW w:w="280" w:type="dxa"/>
            <w:vAlign w:val="bottom"/>
          </w:tcPr>
          <w:p>
            <w:pPr>
              <w:spacing w:after="0"/>
              <w:rPr>
                <w:sz w:val="18"/>
                <w:szCs w:val="18"/>
                <w:color w:val="auto"/>
              </w:rPr>
            </w:pPr>
          </w:p>
        </w:tc>
        <w:tc>
          <w:tcPr>
            <w:tcW w:w="600" w:type="dxa"/>
            <w:vAlign w:val="bottom"/>
          </w:tcPr>
          <w:p>
            <w:pPr>
              <w:jc w:val="right"/>
              <w:ind w:right="89"/>
              <w:spacing w:after="0"/>
              <w:rPr>
                <w:sz w:val="20"/>
                <w:szCs w:val="20"/>
                <w:color w:val="auto"/>
              </w:rPr>
            </w:pPr>
            <w:r>
              <w:rPr>
                <w:rFonts w:ascii="Arial" w:cs="Arial" w:eastAsia="Arial" w:hAnsi="Arial"/>
                <w:sz w:val="14"/>
                <w:szCs w:val="14"/>
                <w:color w:val="auto"/>
              </w:rPr>
              <w:t>(102 )</w:t>
            </w:r>
          </w:p>
        </w:tc>
        <w:tc>
          <w:tcPr>
            <w:tcW w:w="220" w:type="dxa"/>
            <w:vAlign w:val="bottom"/>
          </w:tcPr>
          <w:p>
            <w:pPr>
              <w:spacing w:after="0"/>
              <w:rPr>
                <w:sz w:val="18"/>
                <w:szCs w:val="18"/>
                <w:color w:val="auto"/>
              </w:rPr>
            </w:pPr>
          </w:p>
        </w:tc>
        <w:tc>
          <w:tcPr>
            <w:tcW w:w="720" w:type="dxa"/>
            <w:vAlign w:val="bottom"/>
            <w:gridSpan w:val="2"/>
          </w:tcPr>
          <w:p>
            <w:pPr>
              <w:jc w:val="right"/>
              <w:ind w:right="280"/>
              <w:spacing w:after="0"/>
              <w:rPr>
                <w:sz w:val="20"/>
                <w:szCs w:val="20"/>
                <w:color w:val="auto"/>
              </w:rPr>
            </w:pPr>
            <w:r>
              <w:rPr>
                <w:rFonts w:ascii="Arial" w:cs="Arial" w:eastAsia="Arial" w:hAnsi="Arial"/>
                <w:sz w:val="14"/>
                <w:szCs w:val="14"/>
                <w:color w:val="auto"/>
              </w:rPr>
              <w:t>(98 )</w:t>
            </w:r>
          </w:p>
        </w:tc>
        <w:tc>
          <w:tcPr>
            <w:tcW w:w="240" w:type="dxa"/>
            <w:vAlign w:val="bottom"/>
          </w:tcPr>
          <w:p>
            <w:pPr>
              <w:spacing w:after="0"/>
              <w:rPr>
                <w:sz w:val="18"/>
                <w:szCs w:val="18"/>
                <w:color w:val="auto"/>
              </w:rPr>
            </w:pPr>
          </w:p>
        </w:tc>
        <w:tc>
          <w:tcPr>
            <w:tcW w:w="520" w:type="dxa"/>
            <w:vAlign w:val="bottom"/>
          </w:tcPr>
          <w:p>
            <w:pPr>
              <w:jc w:val="right"/>
              <w:ind w:right="9"/>
              <w:spacing w:after="0"/>
              <w:rPr>
                <w:sz w:val="20"/>
                <w:szCs w:val="20"/>
                <w:color w:val="auto"/>
              </w:rPr>
            </w:pPr>
            <w:r>
              <w:rPr>
                <w:rFonts w:ascii="Arial" w:cs="Arial" w:eastAsia="Arial" w:hAnsi="Arial"/>
                <w:sz w:val="14"/>
                <w:szCs w:val="14"/>
                <w:color w:val="auto"/>
              </w:rPr>
              <w:t>(43 )</w:t>
            </w:r>
          </w:p>
        </w:tc>
        <w:tc>
          <w:tcPr>
            <w:tcW w:w="280" w:type="dxa"/>
            <w:vAlign w:val="bottom"/>
          </w:tcPr>
          <w:p>
            <w:pPr>
              <w:spacing w:after="0"/>
              <w:rPr>
                <w:sz w:val="18"/>
                <w:szCs w:val="18"/>
                <w:color w:val="auto"/>
              </w:rPr>
            </w:pPr>
          </w:p>
        </w:tc>
        <w:tc>
          <w:tcPr>
            <w:tcW w:w="520" w:type="dxa"/>
            <w:vAlign w:val="bottom"/>
          </w:tcPr>
          <w:p>
            <w:pPr>
              <w:jc w:val="right"/>
              <w:ind w:right="9"/>
              <w:spacing w:after="0"/>
              <w:rPr>
                <w:sz w:val="20"/>
                <w:szCs w:val="20"/>
                <w:color w:val="auto"/>
              </w:rPr>
            </w:pPr>
            <w:r>
              <w:rPr>
                <w:rFonts w:ascii="Arial" w:cs="Arial" w:eastAsia="Arial" w:hAnsi="Arial"/>
                <w:sz w:val="14"/>
                <w:szCs w:val="14"/>
                <w:color w:val="auto"/>
              </w:rPr>
              <w:t>(40 )</w:t>
            </w:r>
          </w:p>
        </w:tc>
        <w:tc>
          <w:tcPr>
            <w:tcW w:w="300" w:type="dxa"/>
            <w:vAlign w:val="bottom"/>
          </w:tcPr>
          <w:p>
            <w:pPr>
              <w:spacing w:after="0"/>
              <w:rPr>
                <w:sz w:val="18"/>
                <w:szCs w:val="18"/>
                <w:color w:val="auto"/>
              </w:rPr>
            </w:pPr>
          </w:p>
        </w:tc>
        <w:tc>
          <w:tcPr>
            <w:tcW w:w="560" w:type="dxa"/>
            <w:vAlign w:val="bottom"/>
          </w:tcPr>
          <w:p>
            <w:pPr>
              <w:jc w:val="right"/>
              <w:ind w:right="49"/>
              <w:spacing w:after="0"/>
              <w:rPr>
                <w:sz w:val="20"/>
                <w:szCs w:val="20"/>
                <w:color w:val="auto"/>
              </w:rPr>
            </w:pPr>
            <w:r>
              <w:rPr>
                <w:rFonts w:ascii="Arial" w:cs="Arial" w:eastAsia="Arial" w:hAnsi="Arial"/>
                <w:sz w:val="14"/>
                <w:szCs w:val="14"/>
                <w:color w:val="auto"/>
              </w:rPr>
              <w:t>(37 )</w:t>
            </w:r>
          </w:p>
        </w:tc>
        <w:tc>
          <w:tcPr>
            <w:tcW w:w="0" w:type="dxa"/>
            <w:vAlign w:val="bottom"/>
          </w:tcPr>
          <w:p>
            <w:pPr>
              <w:spacing w:after="0"/>
              <w:rPr>
                <w:sz w:val="1"/>
                <w:szCs w:val="1"/>
                <w:color w:val="auto"/>
              </w:rPr>
            </w:pPr>
          </w:p>
        </w:tc>
      </w:tr>
      <w:tr>
        <w:trPr>
          <w:trHeight w:val="216"/>
        </w:trPr>
        <w:tc>
          <w:tcPr>
            <w:tcW w:w="2860" w:type="dxa"/>
            <w:vAlign w:val="bottom"/>
          </w:tcPr>
          <w:p>
            <w:pPr>
              <w:spacing w:after="0"/>
              <w:rPr>
                <w:sz w:val="20"/>
                <w:szCs w:val="20"/>
                <w:color w:val="auto"/>
              </w:rPr>
            </w:pPr>
            <w:r>
              <w:rPr>
                <w:rFonts w:ascii="Arial" w:cs="Arial" w:eastAsia="Arial" w:hAnsi="Arial"/>
                <w:sz w:val="14"/>
                <w:szCs w:val="14"/>
                <w:color w:val="auto"/>
              </w:rPr>
              <w:t>Amortization of:</w:t>
            </w: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60" w:type="dxa"/>
            <w:vAlign w:val="bottom"/>
          </w:tcPr>
          <w:p>
            <w:pPr>
              <w:ind w:left="240"/>
              <w:spacing w:after="0"/>
              <w:rPr>
                <w:sz w:val="20"/>
                <w:szCs w:val="20"/>
                <w:color w:val="auto"/>
              </w:rPr>
            </w:pPr>
            <w:r>
              <w:rPr>
                <w:rFonts w:ascii="Arial" w:cs="Arial" w:eastAsia="Arial" w:hAnsi="Arial"/>
                <w:sz w:val="14"/>
                <w:szCs w:val="14"/>
                <w:color w:val="auto"/>
              </w:rPr>
              <w:t>Prior service cost (credit)</w:t>
            </w:r>
          </w:p>
        </w:tc>
        <w:tc>
          <w:tcPr>
            <w:tcW w:w="220" w:type="dxa"/>
            <w:vAlign w:val="bottom"/>
          </w:tcPr>
          <w:p>
            <w:pPr>
              <w:spacing w:after="0"/>
              <w:rPr>
                <w:sz w:val="18"/>
                <w:szCs w:val="18"/>
                <w:color w:val="auto"/>
              </w:rPr>
            </w:pPr>
          </w:p>
        </w:tc>
        <w:tc>
          <w:tcPr>
            <w:tcW w:w="520" w:type="dxa"/>
            <w:vAlign w:val="bottom"/>
          </w:tcPr>
          <w:p>
            <w:pPr>
              <w:jc w:val="right"/>
              <w:ind w:right="69"/>
              <w:spacing w:after="0"/>
              <w:rPr>
                <w:sz w:val="20"/>
                <w:szCs w:val="20"/>
                <w:color w:val="auto"/>
              </w:rPr>
            </w:pPr>
            <w:r>
              <w:rPr>
                <w:rFonts w:ascii="Arial" w:cs="Arial" w:eastAsia="Arial" w:hAnsi="Arial"/>
                <w:sz w:val="14"/>
                <w:szCs w:val="14"/>
                <w:color w:val="auto"/>
              </w:rPr>
              <w:t>2</w:t>
            </w:r>
          </w:p>
        </w:tc>
        <w:tc>
          <w:tcPr>
            <w:tcW w:w="280" w:type="dxa"/>
            <w:vAlign w:val="bottom"/>
          </w:tcPr>
          <w:p>
            <w:pPr>
              <w:spacing w:after="0"/>
              <w:rPr>
                <w:sz w:val="18"/>
                <w:szCs w:val="18"/>
                <w:color w:val="auto"/>
              </w:rPr>
            </w:pPr>
          </w:p>
        </w:tc>
        <w:tc>
          <w:tcPr>
            <w:tcW w:w="600" w:type="dxa"/>
            <w:vAlign w:val="bottom"/>
          </w:tcPr>
          <w:p>
            <w:pPr>
              <w:jc w:val="right"/>
              <w:ind w:right="149"/>
              <w:spacing w:after="0"/>
              <w:rPr>
                <w:sz w:val="20"/>
                <w:szCs w:val="20"/>
                <w:color w:val="auto"/>
              </w:rPr>
            </w:pPr>
            <w:r>
              <w:rPr>
                <w:rFonts w:ascii="Arial" w:cs="Arial" w:eastAsia="Arial" w:hAnsi="Arial"/>
                <w:sz w:val="14"/>
                <w:szCs w:val="14"/>
                <w:color w:val="auto"/>
              </w:rPr>
              <w:t>2</w:t>
            </w:r>
          </w:p>
        </w:tc>
        <w:tc>
          <w:tcPr>
            <w:tcW w:w="22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7</w:t>
            </w: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tcPr>
          <w:p>
            <w:pPr>
              <w:jc w:val="right"/>
              <w:ind w:right="9"/>
              <w:spacing w:after="0"/>
              <w:rPr>
                <w:sz w:val="20"/>
                <w:szCs w:val="20"/>
                <w:color w:val="auto"/>
              </w:rPr>
            </w:pPr>
            <w:r>
              <w:rPr>
                <w:rFonts w:ascii="Arial" w:cs="Arial" w:eastAsia="Arial" w:hAnsi="Arial"/>
                <w:sz w:val="14"/>
                <w:szCs w:val="14"/>
                <w:color w:val="auto"/>
              </w:rPr>
              <w:t>(4 )</w:t>
            </w:r>
          </w:p>
        </w:tc>
        <w:tc>
          <w:tcPr>
            <w:tcW w:w="280" w:type="dxa"/>
            <w:vAlign w:val="bottom"/>
          </w:tcPr>
          <w:p>
            <w:pPr>
              <w:spacing w:after="0"/>
              <w:rPr>
                <w:sz w:val="18"/>
                <w:szCs w:val="18"/>
                <w:color w:val="auto"/>
              </w:rPr>
            </w:pPr>
          </w:p>
        </w:tc>
        <w:tc>
          <w:tcPr>
            <w:tcW w:w="520" w:type="dxa"/>
            <w:vAlign w:val="bottom"/>
          </w:tcPr>
          <w:p>
            <w:pPr>
              <w:jc w:val="right"/>
              <w:ind w:right="9"/>
              <w:spacing w:after="0"/>
              <w:rPr>
                <w:sz w:val="20"/>
                <w:szCs w:val="20"/>
                <w:color w:val="auto"/>
              </w:rPr>
            </w:pPr>
            <w:r>
              <w:rPr>
                <w:rFonts w:ascii="Arial" w:cs="Arial" w:eastAsia="Arial" w:hAnsi="Arial"/>
                <w:sz w:val="14"/>
                <w:szCs w:val="14"/>
                <w:color w:val="auto"/>
              </w:rPr>
              <w:t>(6 )</w:t>
            </w:r>
          </w:p>
        </w:tc>
        <w:tc>
          <w:tcPr>
            <w:tcW w:w="300" w:type="dxa"/>
            <w:vAlign w:val="bottom"/>
          </w:tcPr>
          <w:p>
            <w:pPr>
              <w:spacing w:after="0"/>
              <w:rPr>
                <w:sz w:val="18"/>
                <w:szCs w:val="18"/>
                <w:color w:val="auto"/>
              </w:rPr>
            </w:pPr>
          </w:p>
        </w:tc>
        <w:tc>
          <w:tcPr>
            <w:tcW w:w="560" w:type="dxa"/>
            <w:vAlign w:val="bottom"/>
          </w:tcPr>
          <w:p>
            <w:pPr>
              <w:jc w:val="right"/>
              <w:ind w:right="49"/>
              <w:spacing w:after="0"/>
              <w:rPr>
                <w:sz w:val="20"/>
                <w:szCs w:val="20"/>
                <w:color w:val="auto"/>
              </w:rPr>
            </w:pPr>
            <w:r>
              <w:rPr>
                <w:rFonts w:ascii="Arial" w:cs="Arial" w:eastAsia="Arial" w:hAnsi="Arial"/>
                <w:sz w:val="14"/>
                <w:szCs w:val="14"/>
                <w:color w:val="auto"/>
              </w:rPr>
              <w:t>(6 )</w:t>
            </w:r>
          </w:p>
        </w:tc>
        <w:tc>
          <w:tcPr>
            <w:tcW w:w="0" w:type="dxa"/>
            <w:vAlign w:val="bottom"/>
          </w:tcPr>
          <w:p>
            <w:pPr>
              <w:spacing w:after="0"/>
              <w:rPr>
                <w:sz w:val="1"/>
                <w:szCs w:val="1"/>
                <w:color w:val="auto"/>
              </w:rPr>
            </w:pPr>
          </w:p>
        </w:tc>
      </w:tr>
      <w:tr>
        <w:trPr>
          <w:trHeight w:val="216"/>
        </w:trPr>
        <w:tc>
          <w:tcPr>
            <w:tcW w:w="2860" w:type="dxa"/>
            <w:vAlign w:val="bottom"/>
          </w:tcPr>
          <w:p>
            <w:pPr>
              <w:ind w:left="240"/>
              <w:spacing w:after="0"/>
              <w:rPr>
                <w:sz w:val="20"/>
                <w:szCs w:val="20"/>
                <w:color w:val="auto"/>
              </w:rPr>
            </w:pPr>
            <w:r>
              <w:rPr>
                <w:rFonts w:ascii="Arial" w:cs="Arial" w:eastAsia="Arial" w:hAnsi="Arial"/>
                <w:sz w:val="14"/>
                <w:szCs w:val="14"/>
                <w:color w:val="auto"/>
              </w:rPr>
              <w:t>Actuarial loss</w:t>
            </w:r>
          </w:p>
        </w:tc>
        <w:tc>
          <w:tcPr>
            <w:tcW w:w="220" w:type="dxa"/>
            <w:vAlign w:val="bottom"/>
          </w:tcPr>
          <w:p>
            <w:pPr>
              <w:spacing w:after="0"/>
              <w:rPr>
                <w:sz w:val="18"/>
                <w:szCs w:val="18"/>
                <w:color w:val="auto"/>
              </w:rPr>
            </w:pPr>
          </w:p>
        </w:tc>
        <w:tc>
          <w:tcPr>
            <w:tcW w:w="520" w:type="dxa"/>
            <w:vAlign w:val="bottom"/>
          </w:tcPr>
          <w:p>
            <w:pPr>
              <w:jc w:val="right"/>
              <w:ind w:right="69"/>
              <w:spacing w:after="0"/>
              <w:rPr>
                <w:sz w:val="20"/>
                <w:szCs w:val="20"/>
                <w:color w:val="auto"/>
              </w:rPr>
            </w:pPr>
            <w:r>
              <w:rPr>
                <w:rFonts w:ascii="Arial" w:cs="Arial" w:eastAsia="Arial" w:hAnsi="Arial"/>
                <w:sz w:val="14"/>
                <w:szCs w:val="14"/>
                <w:color w:val="auto"/>
              </w:rPr>
              <w:t>1</w:t>
            </w:r>
          </w:p>
        </w:tc>
        <w:tc>
          <w:tcPr>
            <w:tcW w:w="280" w:type="dxa"/>
            <w:vAlign w:val="bottom"/>
          </w:tcPr>
          <w:p>
            <w:pPr>
              <w:spacing w:after="0"/>
              <w:rPr>
                <w:sz w:val="18"/>
                <w:szCs w:val="18"/>
                <w:color w:val="auto"/>
              </w:rPr>
            </w:pPr>
          </w:p>
        </w:tc>
        <w:tc>
          <w:tcPr>
            <w:tcW w:w="600" w:type="dxa"/>
            <w:vAlign w:val="bottom"/>
          </w:tcPr>
          <w:p>
            <w:pPr>
              <w:jc w:val="right"/>
              <w:ind w:right="149"/>
              <w:spacing w:after="0"/>
              <w:rPr>
                <w:sz w:val="20"/>
                <w:szCs w:val="20"/>
                <w:color w:val="auto"/>
              </w:rPr>
            </w:pPr>
            <w:r>
              <w:rPr>
                <w:rFonts w:ascii="Arial" w:cs="Arial" w:eastAsia="Arial" w:hAnsi="Arial"/>
                <w:sz w:val="14"/>
                <w:szCs w:val="14"/>
                <w:color w:val="auto"/>
              </w:rPr>
              <w:t>1</w:t>
            </w:r>
          </w:p>
        </w:tc>
        <w:tc>
          <w:tcPr>
            <w:tcW w:w="22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5</w:t>
            </w: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8"/>
                <w:szCs w:val="18"/>
                <w:color w:val="auto"/>
              </w:rPr>
            </w:pPr>
          </w:p>
        </w:tc>
        <w:tc>
          <w:tcPr>
            <w:tcW w:w="520" w:type="dxa"/>
            <w:vAlign w:val="bottom"/>
          </w:tcPr>
          <w:p>
            <w:pPr>
              <w:jc w:val="right"/>
              <w:ind w:right="89"/>
              <w:spacing w:after="0"/>
              <w:rPr>
                <w:sz w:val="20"/>
                <w:szCs w:val="20"/>
                <w:color w:val="auto"/>
              </w:rPr>
            </w:pPr>
            <w:r>
              <w:rPr>
                <w:rFonts w:ascii="Arial" w:cs="Arial" w:eastAsia="Arial" w:hAnsi="Arial"/>
                <w:sz w:val="14"/>
                <w:szCs w:val="14"/>
                <w:color w:val="auto"/>
              </w:rPr>
              <w:t>6</w:t>
            </w:r>
          </w:p>
        </w:tc>
        <w:tc>
          <w:tcPr>
            <w:tcW w:w="300" w:type="dxa"/>
            <w:vAlign w:val="bottom"/>
          </w:tcPr>
          <w:p>
            <w:pPr>
              <w:spacing w:after="0"/>
              <w:rPr>
                <w:sz w:val="18"/>
                <w:szCs w:val="18"/>
                <w:color w:val="auto"/>
              </w:rPr>
            </w:pPr>
          </w:p>
        </w:tc>
        <w:tc>
          <w:tcPr>
            <w:tcW w:w="560" w:type="dxa"/>
            <w:vAlign w:val="bottom"/>
          </w:tcPr>
          <w:p>
            <w:pPr>
              <w:jc w:val="right"/>
              <w:ind w:right="129"/>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219"/>
        </w:trPr>
        <w:tc>
          <w:tcPr>
            <w:tcW w:w="2860" w:type="dxa"/>
            <w:vAlign w:val="bottom"/>
          </w:tcPr>
          <w:p>
            <w:pPr>
              <w:spacing w:after="0"/>
              <w:rPr>
                <w:sz w:val="20"/>
                <w:szCs w:val="20"/>
                <w:color w:val="auto"/>
              </w:rPr>
            </w:pPr>
            <w:r>
              <w:rPr>
                <w:rFonts w:ascii="Arial" w:cs="Arial" w:eastAsia="Arial" w:hAnsi="Arial"/>
                <w:sz w:val="14"/>
                <w:szCs w:val="14"/>
                <w:color w:val="auto"/>
              </w:rPr>
              <w:t>Regulatory adjustment</w:t>
            </w:r>
          </w:p>
        </w:tc>
        <w:tc>
          <w:tcPr>
            <w:tcW w:w="2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(36 )</w:t>
            </w:r>
          </w:p>
        </w:tc>
        <w:tc>
          <w:tcPr>
            <w:tcW w:w="2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rPr>
              <w:t>(36 )</w:t>
            </w:r>
          </w:p>
        </w:tc>
        <w:tc>
          <w:tcPr>
            <w:tcW w:w="2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4"/>
                <w:szCs w:val="14"/>
                <w:color w:val="auto"/>
              </w:rPr>
              <w:t>(46 )</w:t>
            </w:r>
          </w:p>
        </w:tc>
        <w:tc>
          <w:tcPr>
            <w:tcW w:w="2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rPr>
              <w:t>5</w:t>
            </w:r>
          </w:p>
        </w:tc>
        <w:tc>
          <w:tcPr>
            <w:tcW w:w="2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rPr>
              <w:t>5</w:t>
            </w:r>
          </w:p>
        </w:tc>
        <w:tc>
          <w:tcPr>
            <w:tcW w:w="3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ind w:right="129"/>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211"/>
        </w:trPr>
        <w:tc>
          <w:tcPr>
            <w:tcW w:w="2860" w:type="dxa"/>
            <w:vAlign w:val="bottom"/>
          </w:tcPr>
          <w:p>
            <w:pPr>
              <w:spacing w:after="0"/>
              <w:rPr>
                <w:sz w:val="20"/>
                <w:szCs w:val="20"/>
                <w:color w:val="auto"/>
              </w:rPr>
            </w:pPr>
            <w:r>
              <w:rPr>
                <w:rFonts w:ascii="Arial" w:cs="Arial" w:eastAsia="Arial" w:hAnsi="Arial"/>
                <w:sz w:val="14"/>
                <w:szCs w:val="14"/>
                <w:color w:val="auto"/>
              </w:rPr>
              <w:t>Total net periodic benefit cost</w:t>
            </w:r>
          </w:p>
        </w:tc>
        <w:tc>
          <w:tcPr>
            <w:tcW w:w="2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1</w:t>
            </w:r>
          </w:p>
        </w:tc>
        <w:tc>
          <w:tcPr>
            <w:tcW w:w="2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149"/>
              <w:spacing w:after="0"/>
              <w:rPr>
                <w:sz w:val="20"/>
                <w:szCs w:val="20"/>
                <w:color w:val="auto"/>
              </w:rPr>
            </w:pPr>
            <w:r>
              <w:rPr>
                <w:rFonts w:ascii="Arial" w:cs="Arial" w:eastAsia="Arial" w:hAnsi="Arial"/>
                <w:sz w:val="14"/>
                <w:szCs w:val="14"/>
                <w:color w:val="auto"/>
              </w:rPr>
              <w:t>2</w:t>
            </w:r>
          </w:p>
        </w:tc>
        <w:tc>
          <w:tcPr>
            <w:tcW w:w="22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w:t>
            </w:r>
          </w:p>
        </w:tc>
        <w:tc>
          <w:tcPr>
            <w:tcW w:w="34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rPr>
              <w:t>17</w:t>
            </w:r>
          </w:p>
        </w:tc>
        <w:tc>
          <w:tcPr>
            <w:tcW w:w="28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rPr>
              <w:t>28</w:t>
            </w:r>
          </w:p>
        </w:tc>
        <w:tc>
          <w:tcPr>
            <w:tcW w:w="3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ind w:right="129"/>
              <w:spacing w:after="0"/>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390"/>
        </w:trPr>
        <w:tc>
          <w:tcPr>
            <w:tcW w:w="2860" w:type="dxa"/>
            <w:vAlign w:val="bottom"/>
          </w:tcPr>
          <w:p>
            <w:pPr>
              <w:spacing w:after="0"/>
              <w:rPr>
                <w:sz w:val="20"/>
                <w:szCs w:val="20"/>
                <w:color w:val="auto"/>
              </w:rPr>
            </w:pPr>
            <w:r>
              <w:rPr>
                <w:rFonts w:ascii="Arial" w:cs="Arial" w:eastAsia="Arial" w:hAnsi="Arial"/>
                <w:sz w:val="14"/>
                <w:szCs w:val="14"/>
                <w:color w:val="auto"/>
              </w:rPr>
              <w:t>Other Changes in Plan Assets and Benefit</w:t>
            </w: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8"/>
        </w:trPr>
        <w:tc>
          <w:tcPr>
            <w:tcW w:w="2860" w:type="dxa"/>
            <w:vAlign w:val="bottom"/>
          </w:tcPr>
          <w:p>
            <w:pPr>
              <w:ind w:left="120"/>
              <w:spacing w:after="0"/>
              <w:rPr>
                <w:sz w:val="20"/>
                <w:szCs w:val="20"/>
                <w:color w:val="auto"/>
              </w:rPr>
            </w:pPr>
            <w:r>
              <w:rPr>
                <w:rFonts w:ascii="Arial" w:cs="Arial" w:eastAsia="Arial" w:hAnsi="Arial"/>
                <w:sz w:val="14"/>
                <w:szCs w:val="14"/>
                <w:color w:val="auto"/>
              </w:rPr>
              <w:t>Obligations Recognized in Other</w:t>
            </w: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860" w:type="dxa"/>
            <w:vAlign w:val="bottom"/>
            <w:tcBorders>
              <w:bottom w:val="single" w:sz="8" w:color="auto"/>
            </w:tcBorders>
          </w:tcPr>
          <w:p>
            <w:pPr>
              <w:ind w:left="120"/>
              <w:spacing w:after="0"/>
              <w:rPr>
                <w:sz w:val="20"/>
                <w:szCs w:val="20"/>
                <w:color w:val="auto"/>
              </w:rPr>
            </w:pPr>
            <w:r>
              <w:rPr>
                <w:rFonts w:ascii="Arial" w:cs="Arial" w:eastAsia="Arial" w:hAnsi="Arial"/>
                <w:sz w:val="14"/>
                <w:szCs w:val="14"/>
                <w:color w:val="auto"/>
              </w:rPr>
              <w:t>Comprehensive Income</w:t>
            </w:r>
          </w:p>
        </w:tc>
        <w:tc>
          <w:tcPr>
            <w:tcW w:w="2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2860" w:type="dxa"/>
            <w:vAlign w:val="bottom"/>
          </w:tcPr>
          <w:p>
            <w:pPr>
              <w:spacing w:after="0"/>
              <w:rPr>
                <w:sz w:val="20"/>
                <w:szCs w:val="20"/>
                <w:color w:val="auto"/>
              </w:rPr>
            </w:pPr>
            <w:r>
              <w:rPr>
                <w:rFonts w:ascii="Arial" w:cs="Arial" w:eastAsia="Arial" w:hAnsi="Arial"/>
                <w:sz w:val="14"/>
                <w:szCs w:val="14"/>
                <w:color w:val="auto"/>
              </w:rPr>
              <w:t>Net gain</w:t>
            </w:r>
          </w:p>
        </w:tc>
        <w:tc>
          <w:tcPr>
            <w:tcW w:w="220" w:type="dxa"/>
            <w:vAlign w:val="bottom"/>
          </w:tcPr>
          <w:p>
            <w:pPr>
              <w:spacing w:after="0"/>
              <w:rPr>
                <w:sz w:val="17"/>
                <w:szCs w:val="17"/>
                <w:color w:val="auto"/>
              </w:rPr>
            </w:pPr>
          </w:p>
        </w:tc>
        <w:tc>
          <w:tcPr>
            <w:tcW w:w="520" w:type="dxa"/>
            <w:vAlign w:val="bottom"/>
          </w:tcPr>
          <w:p>
            <w:pPr>
              <w:jc w:val="right"/>
              <w:ind w:right="9"/>
              <w:spacing w:after="0"/>
              <w:rPr>
                <w:sz w:val="20"/>
                <w:szCs w:val="20"/>
                <w:color w:val="auto"/>
              </w:rPr>
            </w:pPr>
            <w:r>
              <w:rPr>
                <w:rFonts w:ascii="Arial" w:cs="Arial" w:eastAsia="Arial" w:hAnsi="Arial"/>
                <w:sz w:val="14"/>
                <w:szCs w:val="14"/>
                <w:color w:val="auto"/>
              </w:rPr>
              <w:t>(1 )</w:t>
            </w:r>
          </w:p>
        </w:tc>
        <w:tc>
          <w:tcPr>
            <w:tcW w:w="280" w:type="dxa"/>
            <w:vAlign w:val="bottom"/>
          </w:tcPr>
          <w:p>
            <w:pPr>
              <w:spacing w:after="0"/>
              <w:rPr>
                <w:sz w:val="17"/>
                <w:szCs w:val="17"/>
                <w:color w:val="auto"/>
              </w:rPr>
            </w:pPr>
          </w:p>
        </w:tc>
        <w:tc>
          <w:tcPr>
            <w:tcW w:w="600" w:type="dxa"/>
            <w:vAlign w:val="bottom"/>
          </w:tcPr>
          <w:p>
            <w:pPr>
              <w:jc w:val="right"/>
              <w:ind w:right="149"/>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2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7"/>
                <w:szCs w:val="17"/>
                <w:color w:val="auto"/>
              </w:rPr>
            </w:pPr>
          </w:p>
        </w:tc>
        <w:tc>
          <w:tcPr>
            <w:tcW w:w="52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7"/>
                <w:szCs w:val="17"/>
                <w:color w:val="auto"/>
              </w:rPr>
            </w:pPr>
          </w:p>
        </w:tc>
        <w:tc>
          <w:tcPr>
            <w:tcW w:w="560" w:type="dxa"/>
            <w:vAlign w:val="bottom"/>
          </w:tcPr>
          <w:p>
            <w:pPr>
              <w:jc w:val="right"/>
              <w:ind w:right="12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2"/>
        </w:trPr>
        <w:tc>
          <w:tcPr>
            <w:tcW w:w="2860" w:type="dxa"/>
            <w:vAlign w:val="bottom"/>
          </w:tcPr>
          <w:p>
            <w:pPr>
              <w:spacing w:after="0"/>
              <w:rPr>
                <w:sz w:val="20"/>
                <w:szCs w:val="20"/>
                <w:color w:val="auto"/>
              </w:rPr>
            </w:pPr>
            <w:r>
              <w:rPr>
                <w:rFonts w:ascii="Arial" w:cs="Arial" w:eastAsia="Arial" w:hAnsi="Arial"/>
                <w:sz w:val="14"/>
                <w:szCs w:val="14"/>
                <w:color w:val="auto"/>
              </w:rPr>
              <w:t>Amortization of actuarial loss</w:t>
            </w:r>
          </w:p>
        </w:tc>
        <w:tc>
          <w:tcPr>
            <w:tcW w:w="2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(1 )</w:t>
            </w:r>
          </w:p>
        </w:tc>
        <w:tc>
          <w:tcPr>
            <w:tcW w:w="2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rPr>
              <w:t>(1 )</w:t>
            </w:r>
          </w:p>
        </w:tc>
        <w:tc>
          <w:tcPr>
            <w:tcW w:w="2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ind w:right="12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4"/>
        </w:trPr>
        <w:tc>
          <w:tcPr>
            <w:tcW w:w="2860" w:type="dxa"/>
            <w:vAlign w:val="bottom"/>
          </w:tcPr>
          <w:p>
            <w:pPr>
              <w:ind w:left="120"/>
              <w:spacing w:after="0"/>
              <w:rPr>
                <w:sz w:val="20"/>
                <w:szCs w:val="20"/>
                <w:color w:val="auto"/>
              </w:rPr>
            </w:pPr>
            <w:r>
              <w:rPr>
                <w:rFonts w:ascii="Arial" w:cs="Arial" w:eastAsia="Arial" w:hAnsi="Arial"/>
                <w:sz w:val="14"/>
                <w:szCs w:val="14"/>
                <w:color w:val="auto"/>
              </w:rPr>
              <w:t>Total recognized in other comprehensive</w:t>
            </w:r>
          </w:p>
        </w:tc>
        <w:tc>
          <w:tcPr>
            <w:tcW w:w="220" w:type="dxa"/>
            <w:vAlign w:val="bottom"/>
          </w:tcPr>
          <w:p>
            <w:pPr>
              <w:spacing w:after="0"/>
              <w:rPr>
                <w:sz w:val="15"/>
                <w:szCs w:val="15"/>
                <w:color w:val="auto"/>
              </w:rPr>
            </w:pPr>
          </w:p>
        </w:tc>
        <w:tc>
          <w:tcPr>
            <w:tcW w:w="520" w:type="dxa"/>
            <w:vAlign w:val="bottom"/>
            <w:vMerge w:val="restart"/>
          </w:tcPr>
          <w:p>
            <w:pPr>
              <w:jc w:val="right"/>
              <w:ind w:right="9"/>
              <w:spacing w:after="0"/>
              <w:rPr>
                <w:sz w:val="20"/>
                <w:szCs w:val="20"/>
                <w:color w:val="auto"/>
              </w:rPr>
            </w:pPr>
            <w:r>
              <w:rPr>
                <w:rFonts w:ascii="Arial" w:cs="Arial" w:eastAsia="Arial" w:hAnsi="Arial"/>
                <w:sz w:val="14"/>
                <w:szCs w:val="14"/>
                <w:color w:val="auto"/>
              </w:rPr>
              <w:t>(2 )</w:t>
            </w:r>
          </w:p>
        </w:tc>
        <w:tc>
          <w:tcPr>
            <w:tcW w:w="280" w:type="dxa"/>
            <w:vAlign w:val="bottom"/>
          </w:tcPr>
          <w:p>
            <w:pPr>
              <w:spacing w:after="0"/>
              <w:rPr>
                <w:sz w:val="15"/>
                <w:szCs w:val="15"/>
                <w:color w:val="auto"/>
              </w:rPr>
            </w:pPr>
          </w:p>
        </w:tc>
        <w:tc>
          <w:tcPr>
            <w:tcW w:w="600" w:type="dxa"/>
            <w:vAlign w:val="bottom"/>
            <w:vMerge w:val="restart"/>
          </w:tcPr>
          <w:p>
            <w:pPr>
              <w:jc w:val="right"/>
              <w:ind w:right="89"/>
              <w:spacing w:after="0"/>
              <w:rPr>
                <w:sz w:val="20"/>
                <w:szCs w:val="20"/>
                <w:color w:val="auto"/>
              </w:rPr>
            </w:pPr>
            <w:r>
              <w:rPr>
                <w:rFonts w:ascii="Arial" w:cs="Arial" w:eastAsia="Arial" w:hAnsi="Arial"/>
                <w:sz w:val="14"/>
                <w:szCs w:val="14"/>
                <w:color w:val="auto"/>
              </w:rPr>
              <w:t>(1 )</w:t>
            </w:r>
          </w:p>
        </w:tc>
        <w:tc>
          <w:tcPr>
            <w:tcW w:w="220" w:type="dxa"/>
            <w:vAlign w:val="bottom"/>
          </w:tcPr>
          <w:p>
            <w:pPr>
              <w:spacing w:after="0"/>
              <w:rPr>
                <w:sz w:val="15"/>
                <w:szCs w:val="15"/>
                <w:color w:val="auto"/>
              </w:rPr>
            </w:pPr>
          </w:p>
        </w:tc>
        <w:tc>
          <w:tcPr>
            <w:tcW w:w="3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20" w:type="dxa"/>
            <w:vAlign w:val="bottom"/>
            <w:vMerge w:val="restart"/>
          </w:tcPr>
          <w:p>
            <w:pPr>
              <w:jc w:val="right"/>
              <w:ind w:right="89"/>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5"/>
                <w:szCs w:val="15"/>
                <w:color w:val="auto"/>
              </w:rPr>
            </w:pPr>
          </w:p>
        </w:tc>
        <w:tc>
          <w:tcPr>
            <w:tcW w:w="520" w:type="dxa"/>
            <w:vAlign w:val="bottom"/>
            <w:vMerge w:val="restart"/>
          </w:tcPr>
          <w:p>
            <w:pPr>
              <w:jc w:val="right"/>
              <w:ind w:right="89"/>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5"/>
                <w:szCs w:val="15"/>
                <w:color w:val="auto"/>
              </w:rPr>
            </w:pPr>
          </w:p>
        </w:tc>
        <w:tc>
          <w:tcPr>
            <w:tcW w:w="560" w:type="dxa"/>
            <w:vAlign w:val="bottom"/>
            <w:vMerge w:val="restart"/>
          </w:tcPr>
          <w:p>
            <w:pPr>
              <w:jc w:val="right"/>
              <w:ind w:right="12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6"/>
        </w:trPr>
        <w:tc>
          <w:tcPr>
            <w:tcW w:w="2860" w:type="dxa"/>
            <w:vAlign w:val="bottom"/>
          </w:tcPr>
          <w:p>
            <w:pPr>
              <w:ind w:left="240"/>
              <w:spacing w:after="0"/>
              <w:rPr>
                <w:sz w:val="20"/>
                <w:szCs w:val="20"/>
                <w:color w:val="auto"/>
              </w:rPr>
            </w:pPr>
            <w:r>
              <w:rPr>
                <w:rFonts w:ascii="Arial" w:cs="Arial" w:eastAsia="Arial" w:hAnsi="Arial"/>
                <w:sz w:val="14"/>
                <w:szCs w:val="14"/>
                <w:color w:val="auto"/>
              </w:rPr>
              <w:t>income</w:t>
            </w:r>
          </w:p>
        </w:tc>
        <w:tc>
          <w:tcPr>
            <w:tcW w:w="2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vMerge w:val="continue"/>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vMerge w:val="continue"/>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vMerge w:val="continue"/>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vMerge w:val="continue"/>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vMerge w:val="continue"/>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860" w:type="dxa"/>
            <w:vAlign w:val="bottom"/>
          </w:tcPr>
          <w:p>
            <w:pPr>
              <w:ind w:left="120"/>
              <w:spacing w:after="0"/>
              <w:rPr>
                <w:sz w:val="20"/>
                <w:szCs w:val="20"/>
                <w:color w:val="auto"/>
              </w:rPr>
            </w:pPr>
            <w:r>
              <w:rPr>
                <w:rFonts w:ascii="Arial" w:cs="Arial" w:eastAsia="Arial" w:hAnsi="Arial"/>
                <w:sz w:val="14"/>
                <w:szCs w:val="14"/>
                <w:color w:val="auto"/>
              </w:rPr>
              <w:t>Total recognized in net periodic benefit</w:t>
            </w:r>
          </w:p>
        </w:tc>
        <w:tc>
          <w:tcPr>
            <w:tcW w:w="2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860" w:type="dxa"/>
            <w:vAlign w:val="bottom"/>
            <w:tcBorders>
              <w:bottom w:val="single" w:sz="8" w:color="auto"/>
            </w:tcBorders>
          </w:tcPr>
          <w:p>
            <w:pPr>
              <w:ind w:left="240"/>
              <w:spacing w:after="0"/>
              <w:rPr>
                <w:sz w:val="20"/>
                <w:szCs w:val="20"/>
                <w:color w:val="auto"/>
              </w:rPr>
            </w:pPr>
            <w:r>
              <w:rPr>
                <w:rFonts w:ascii="Arial" w:cs="Arial" w:eastAsia="Arial" w:hAnsi="Arial"/>
                <w:sz w:val="14"/>
                <w:szCs w:val="14"/>
                <w:color w:val="auto"/>
              </w:rPr>
              <w:t>cost and other comprehensive income</w:t>
            </w:r>
          </w:p>
        </w:tc>
        <w:tc>
          <w:tcPr>
            <w:tcW w:w="2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(1 )</w:t>
            </w:r>
          </w:p>
        </w:tc>
        <w:tc>
          <w:tcPr>
            <w:tcW w:w="2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tcPr>
          <w:p>
            <w:pPr>
              <w:jc w:val="right"/>
              <w:ind w:right="149"/>
              <w:spacing w:after="0"/>
              <w:rPr>
                <w:sz w:val="20"/>
                <w:szCs w:val="20"/>
                <w:color w:val="auto"/>
              </w:rPr>
            </w:pPr>
            <w:r>
              <w:rPr>
                <w:rFonts w:ascii="Arial" w:cs="Arial" w:eastAsia="Arial" w:hAnsi="Arial"/>
                <w:sz w:val="14"/>
                <w:szCs w:val="14"/>
                <w:color w:val="auto"/>
              </w:rPr>
              <w:t>1</w:t>
            </w: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w:t>
            </w:r>
          </w:p>
        </w:tc>
        <w:tc>
          <w:tcPr>
            <w:tcW w:w="3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rPr>
              <w:t>17</w:t>
            </w:r>
          </w:p>
        </w:tc>
        <w:tc>
          <w:tcPr>
            <w:tcW w:w="28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rPr>
              <w:t>28</w:t>
            </w:r>
          </w:p>
        </w:tc>
        <w:tc>
          <w:tcPr>
            <w:tcW w:w="3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auto"/>
            </w:tcBorders>
          </w:tcPr>
          <w:p>
            <w:pPr>
              <w:jc w:val="right"/>
              <w:ind w:right="129"/>
              <w:spacing w:after="0"/>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4"/>
          <w:szCs w:val="14"/>
          <w:color w:val="auto"/>
        </w:rPr>
        <w:t>143</w:t>
      </w:r>
    </w:p>
    <w:p>
      <w:pPr>
        <w:sectPr>
          <w:pgSz w:w="11900" w:h="16838" w:orient="portrait"/>
          <w:cols w:equalWidth="0" w:num="1">
            <w:col w:w="10219"/>
          </w:cols>
          <w:pgMar w:left="240" w:top="364" w:right="1440" w:bottom="1440" w:gutter="0" w:footer="0" w:header="0"/>
        </w:sectPr>
      </w:pPr>
    </w:p>
    <w:bookmarkStart w:id="283" w:name="page284"/>
    <w:bookmarkEnd w:id="283"/>
    <w:p>
      <w:pPr>
        <w:ind w:right="120"/>
        <w:spacing w:after="0" w:line="277" w:lineRule="auto"/>
        <w:rPr>
          <w:sz w:val="20"/>
          <w:szCs w:val="20"/>
          <w:color w:val="auto"/>
        </w:rPr>
      </w:pPr>
      <w:r>
        <w:rPr>
          <w:rFonts w:ascii="Arial" w:cs="Arial" w:eastAsia="Arial" w:hAnsi="Arial"/>
          <w:sz w:val="16"/>
          <w:szCs w:val="16"/>
          <w:color w:val="auto"/>
        </w:rPr>
        <w:t>The estimated net loss and prior service credit for the pension plans that will be amortized from Accumulated Other Comprehensive Income (Loss) into net periodic benefit cost in 2009 are as follows:</w:t>
      </w:r>
    </w:p>
    <w:p>
      <w:pPr>
        <w:spacing w:after="0" w:line="277" w:lineRule="exact"/>
        <w:rPr>
          <w:sz w:val="20"/>
          <w:szCs w:val="20"/>
          <w:color w:val="auto"/>
        </w:rPr>
      </w:pPr>
    </w:p>
    <w:tbl>
      <w:tblPr>
        <w:tblLayout w:type="fixed"/>
        <w:tblInd w:w="1840" w:type="dxa"/>
        <w:tblCellMar>
          <w:top w:w="0" w:type="dxa"/>
          <w:left w:w="0" w:type="dxa"/>
          <w:bottom w:w="0" w:type="dxa"/>
          <w:right w:w="0" w:type="dxa"/>
        </w:tblCellMar>
      </w:tblPr>
      <w:tr>
        <w:trPr>
          <w:trHeight w:val="154"/>
        </w:trPr>
        <w:tc>
          <w:tcPr>
            <w:tcW w:w="2680" w:type="dxa"/>
            <w:vAlign w:val="bottom"/>
            <w:vMerge w:val="restart"/>
          </w:tcPr>
          <w:p>
            <w:pPr>
              <w:ind w:left="20"/>
              <w:spacing w:after="0"/>
              <w:rPr>
                <w:sz w:val="20"/>
                <w:szCs w:val="20"/>
                <w:color w:val="auto"/>
              </w:rPr>
            </w:pPr>
            <w:r>
              <w:rPr>
                <w:rFonts w:ascii="Arial" w:cs="Arial" w:eastAsia="Arial" w:hAnsi="Arial"/>
                <w:sz w:val="13"/>
                <w:szCs w:val="13"/>
                <w:i w:val="1"/>
                <w:iCs w:val="1"/>
                <w:color w:val="auto"/>
              </w:rPr>
              <w:t>(Dollars in millions)</w:t>
            </w:r>
          </w:p>
        </w:tc>
        <w:tc>
          <w:tcPr>
            <w:tcW w:w="2700" w:type="dxa"/>
            <w:vAlign w:val="bottom"/>
            <w:gridSpan w:val="2"/>
          </w:tcPr>
          <w:p>
            <w:pPr>
              <w:jc w:val="right"/>
              <w:ind w:right="288"/>
              <w:spacing w:after="0"/>
              <w:rPr>
                <w:sz w:val="20"/>
                <w:szCs w:val="20"/>
                <w:color w:val="auto"/>
              </w:rPr>
            </w:pPr>
            <w:r>
              <w:rPr>
                <w:rFonts w:ascii="Arial" w:cs="Arial" w:eastAsia="Arial" w:hAnsi="Arial"/>
                <w:sz w:val="13"/>
                <w:szCs w:val="13"/>
                <w:color w:val="auto"/>
              </w:rPr>
              <w:t>Sempra Energy</w:t>
            </w: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680" w:type="dxa"/>
            <w:vAlign w:val="bottom"/>
            <w:tcBorders>
              <w:bottom w:val="single" w:sz="8" w:color="auto"/>
            </w:tcBorders>
            <w:vMerge w:val="continue"/>
          </w:tcPr>
          <w:p>
            <w:pPr>
              <w:spacing w:after="0"/>
              <w:rPr>
                <w:sz w:val="14"/>
                <w:szCs w:val="14"/>
                <w:color w:val="auto"/>
              </w:rPr>
            </w:pPr>
          </w:p>
        </w:tc>
        <w:tc>
          <w:tcPr>
            <w:tcW w:w="2700" w:type="dxa"/>
            <w:vAlign w:val="bottom"/>
            <w:tcBorders>
              <w:bottom w:val="single" w:sz="8" w:color="auto"/>
            </w:tcBorders>
            <w:gridSpan w:val="2"/>
          </w:tcPr>
          <w:p>
            <w:pPr>
              <w:jc w:val="right"/>
              <w:ind w:right="348"/>
              <w:spacing w:after="0"/>
              <w:rPr>
                <w:sz w:val="20"/>
                <w:szCs w:val="20"/>
                <w:color w:val="auto"/>
              </w:rPr>
            </w:pPr>
            <w:r>
              <w:rPr>
                <w:rFonts w:ascii="Arial" w:cs="Arial" w:eastAsia="Arial" w:hAnsi="Arial"/>
                <w:sz w:val="13"/>
                <w:szCs w:val="13"/>
                <w:color w:val="auto"/>
              </w:rPr>
              <w:t>Consolidated</w:t>
            </w:r>
          </w:p>
        </w:tc>
        <w:tc>
          <w:tcPr>
            <w:tcW w:w="1240" w:type="dxa"/>
            <w:vAlign w:val="bottom"/>
            <w:tcBorders>
              <w:bottom w:val="single" w:sz="8" w:color="auto"/>
            </w:tcBorders>
            <w:gridSpan w:val="2"/>
          </w:tcPr>
          <w:p>
            <w:pPr>
              <w:jc w:val="right"/>
              <w:ind w:right="368"/>
              <w:spacing w:after="0"/>
              <w:rPr>
                <w:sz w:val="20"/>
                <w:szCs w:val="20"/>
                <w:color w:val="auto"/>
              </w:rPr>
            </w:pPr>
            <w:r>
              <w:rPr>
                <w:rFonts w:ascii="Arial" w:cs="Arial" w:eastAsia="Arial" w:hAnsi="Arial"/>
                <w:sz w:val="13"/>
                <w:szCs w:val="13"/>
                <w:color w:val="auto"/>
              </w:rPr>
              <w:t>SDG&amp;E</w:t>
            </w:r>
          </w:p>
        </w:tc>
        <w:tc>
          <w:tcPr>
            <w:tcW w:w="1120" w:type="dxa"/>
            <w:vAlign w:val="bottom"/>
            <w:tcBorders>
              <w:bottom w:val="single" w:sz="8" w:color="auto"/>
            </w:tcBorders>
            <w:gridSpan w:val="2"/>
          </w:tcPr>
          <w:p>
            <w:pPr>
              <w:jc w:val="right"/>
              <w:ind w:right="128"/>
              <w:spacing w:after="0"/>
              <w:rPr>
                <w:sz w:val="20"/>
                <w:szCs w:val="20"/>
                <w:color w:val="auto"/>
              </w:rPr>
            </w:pPr>
            <w:r>
              <w:rPr>
                <w:rFonts w:ascii="Arial" w:cs="Arial" w:eastAsia="Arial" w:hAnsi="Arial"/>
                <w:sz w:val="13"/>
                <w:szCs w:val="13"/>
                <w:color w:val="auto"/>
              </w:rPr>
              <w:t>SoCalGas</w:t>
            </w:r>
          </w:p>
        </w:tc>
        <w:tc>
          <w:tcPr>
            <w:tcW w:w="0" w:type="dxa"/>
            <w:vAlign w:val="bottom"/>
          </w:tcPr>
          <w:p>
            <w:pPr>
              <w:spacing w:after="0"/>
              <w:rPr>
                <w:sz w:val="1"/>
                <w:szCs w:val="1"/>
                <w:color w:val="auto"/>
              </w:rPr>
            </w:pPr>
          </w:p>
        </w:tc>
      </w:tr>
      <w:tr>
        <w:trPr>
          <w:trHeight w:val="207"/>
        </w:trPr>
        <w:tc>
          <w:tcPr>
            <w:tcW w:w="2680" w:type="dxa"/>
            <w:vAlign w:val="bottom"/>
          </w:tcPr>
          <w:p>
            <w:pPr>
              <w:ind w:left="20"/>
              <w:spacing w:after="0"/>
              <w:rPr>
                <w:sz w:val="20"/>
                <w:szCs w:val="20"/>
                <w:color w:val="auto"/>
              </w:rPr>
            </w:pPr>
            <w:r>
              <w:rPr>
                <w:rFonts w:ascii="Arial" w:cs="Arial" w:eastAsia="Arial" w:hAnsi="Arial"/>
                <w:sz w:val="14"/>
                <w:szCs w:val="14"/>
                <w:color w:val="auto"/>
              </w:rPr>
              <w:t>Net loss</w:t>
            </w:r>
          </w:p>
        </w:tc>
        <w:tc>
          <w:tcPr>
            <w:tcW w:w="1960" w:type="dxa"/>
            <w:vAlign w:val="bottom"/>
          </w:tcPr>
          <w:p>
            <w:pPr>
              <w:jc w:val="right"/>
              <w:ind w:right="93"/>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408"/>
              <w:spacing w:after="0"/>
              <w:rPr>
                <w:sz w:val="20"/>
                <w:szCs w:val="20"/>
                <w:color w:val="auto"/>
              </w:rPr>
            </w:pPr>
            <w:r>
              <w:rPr>
                <w:rFonts w:ascii="Arial" w:cs="Arial" w:eastAsia="Arial" w:hAnsi="Arial"/>
                <w:sz w:val="14"/>
                <w:szCs w:val="14"/>
                <w:color w:val="auto"/>
              </w:rPr>
              <w:t>8</w:t>
            </w:r>
          </w:p>
        </w:tc>
        <w:tc>
          <w:tcPr>
            <w:tcW w:w="620" w:type="dxa"/>
            <w:vAlign w:val="bottom"/>
          </w:tcPr>
          <w:p>
            <w:pPr>
              <w:jc w:val="right"/>
              <w:ind w:right="92"/>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288"/>
              <w:spacing w:after="0"/>
              <w:rPr>
                <w:sz w:val="20"/>
                <w:szCs w:val="20"/>
                <w:color w:val="auto"/>
              </w:rPr>
            </w:pPr>
            <w:r>
              <w:rPr>
                <w:rFonts w:ascii="Arial" w:cs="Arial" w:eastAsia="Arial" w:hAnsi="Arial"/>
                <w:sz w:val="14"/>
                <w:szCs w:val="14"/>
                <w:color w:val="auto"/>
              </w:rPr>
              <w:t>2</w:t>
            </w:r>
          </w:p>
        </w:tc>
        <w:tc>
          <w:tcPr>
            <w:tcW w:w="62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500" w:type="dxa"/>
            <w:vAlign w:val="bottom"/>
          </w:tcPr>
          <w:p>
            <w:pPr>
              <w:jc w:val="right"/>
              <w:ind w:right="188"/>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50"/>
        </w:trPr>
        <w:tc>
          <w:tcPr>
            <w:tcW w:w="2680" w:type="dxa"/>
            <w:vAlign w:val="bottom"/>
            <w:tcBorders>
              <w:bottom w:val="single" w:sz="8" w:color="DFDFDF"/>
            </w:tcBorders>
          </w:tcPr>
          <w:p>
            <w:pPr>
              <w:ind w:left="20"/>
              <w:spacing w:after="0"/>
              <w:rPr>
                <w:sz w:val="20"/>
                <w:szCs w:val="20"/>
                <w:color w:val="auto"/>
              </w:rPr>
            </w:pPr>
            <w:r>
              <w:rPr>
                <w:rFonts w:ascii="Arial" w:cs="Arial" w:eastAsia="Arial" w:hAnsi="Arial"/>
                <w:sz w:val="14"/>
                <w:szCs w:val="14"/>
                <w:color w:val="auto"/>
              </w:rPr>
              <w:t>Prior service credit</w:t>
            </w:r>
          </w:p>
        </w:tc>
        <w:tc>
          <w:tcPr>
            <w:tcW w:w="1960" w:type="dxa"/>
            <w:vAlign w:val="bottom"/>
            <w:tcBorders>
              <w:bottom w:val="single" w:sz="8" w:color="DFDFDF"/>
            </w:tcBorders>
          </w:tcPr>
          <w:p>
            <w:pPr>
              <w:spacing w:after="0"/>
              <w:rPr>
                <w:sz w:val="21"/>
                <w:szCs w:val="21"/>
                <w:color w:val="auto"/>
              </w:rPr>
            </w:pPr>
          </w:p>
        </w:tc>
        <w:tc>
          <w:tcPr>
            <w:tcW w:w="740" w:type="dxa"/>
            <w:vAlign w:val="bottom"/>
            <w:tcBorders>
              <w:bottom w:val="single" w:sz="8" w:color="DFDFDF"/>
            </w:tcBorders>
          </w:tcPr>
          <w:p>
            <w:pPr>
              <w:jc w:val="right"/>
              <w:ind w:right="408"/>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DFDFDF"/>
            </w:tcBorders>
          </w:tcPr>
          <w:p>
            <w:pPr>
              <w:spacing w:after="0"/>
              <w:rPr>
                <w:sz w:val="21"/>
                <w:szCs w:val="21"/>
                <w:color w:val="auto"/>
              </w:rPr>
            </w:pPr>
          </w:p>
        </w:tc>
        <w:tc>
          <w:tcPr>
            <w:tcW w:w="620" w:type="dxa"/>
            <w:vAlign w:val="bottom"/>
            <w:tcBorders>
              <w:bottom w:val="single" w:sz="8" w:color="DFDFDF"/>
            </w:tcBorders>
          </w:tcPr>
          <w:p>
            <w:pPr>
              <w:jc w:val="right"/>
              <w:ind w:right="288"/>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DFDFDF"/>
            </w:tcBorders>
          </w:tcPr>
          <w:p>
            <w:pPr>
              <w:spacing w:after="0"/>
              <w:rPr>
                <w:sz w:val="21"/>
                <w:szCs w:val="21"/>
                <w:color w:val="auto"/>
              </w:rPr>
            </w:pPr>
          </w:p>
        </w:tc>
        <w:tc>
          <w:tcPr>
            <w:tcW w:w="500" w:type="dxa"/>
            <w:vAlign w:val="bottom"/>
            <w:tcBorders>
              <w:bottom w:val="single" w:sz="8" w:color="DFDFDF"/>
            </w:tcBorders>
          </w:tcPr>
          <w:p>
            <w:pPr>
              <w:jc w:val="right"/>
              <w:ind w:right="18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180" w:lineRule="exact"/>
        <w:rPr>
          <w:sz w:val="20"/>
          <w:szCs w:val="20"/>
          <w:color w:val="auto"/>
        </w:rPr>
      </w:pPr>
    </w:p>
    <w:p>
      <w:pPr>
        <w:ind w:right="420"/>
        <w:spacing w:after="0" w:line="277" w:lineRule="auto"/>
        <w:rPr>
          <w:sz w:val="20"/>
          <w:szCs w:val="20"/>
          <w:color w:val="auto"/>
        </w:rPr>
      </w:pPr>
      <w:r>
        <w:rPr>
          <w:rFonts w:ascii="Arial" w:cs="Arial" w:eastAsia="Arial" w:hAnsi="Arial"/>
          <w:sz w:val="16"/>
          <w:szCs w:val="16"/>
          <w:color w:val="auto"/>
        </w:rPr>
        <w:t>The estimated prior service credit for the other postretirement benefit plans that will be amortized from Accumulated Other Comprehensive Income (Loss) into net periodic benefit cost in 2009 is $1 million at Sempra Energy.</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Medicare Prescription Drug, Improvement and Modernization Act of 2003</w:t>
      </w:r>
    </w:p>
    <w:p>
      <w:pPr>
        <w:spacing w:after="0" w:line="23" w:lineRule="exact"/>
        <w:rPr>
          <w:sz w:val="20"/>
          <w:szCs w:val="20"/>
          <w:color w:val="auto"/>
        </w:rPr>
      </w:pPr>
    </w:p>
    <w:p>
      <w:pPr>
        <w:spacing w:after="0" w:line="282" w:lineRule="auto"/>
        <w:rPr>
          <w:sz w:val="20"/>
          <w:szCs w:val="20"/>
          <w:color w:val="auto"/>
        </w:rPr>
      </w:pPr>
      <w:r>
        <w:rPr>
          <w:rFonts w:ascii="Arial" w:cs="Arial" w:eastAsia="Arial" w:hAnsi="Arial"/>
          <w:sz w:val="15"/>
          <w:szCs w:val="15"/>
          <w:color w:val="auto"/>
        </w:rPr>
        <w:t>The Medicare Prescription Drug, Improvement and Modernization Act of 2003 establishes a prescription drug benefit under Medicare (Medicare Part D) and a tax-exempt federal subsidy to sponsors of retiree health-care benefit plans that provide a benefit that actuarially is at least equivalent to Medicare Part D. We determined that benefits provided to certain participants actuarially will be at least equivalent to Medicare Part D. Thus, we are entitled to a tax-exempt subsidy that reduced our accumulated postretirement benefit obligation under our plans at January 1, 2008 and reduced the net periodic cost for 2008 by the following amounts:</w:t>
      </w:r>
    </w:p>
    <w:p>
      <w:pPr>
        <w:spacing w:after="0" w:line="275" w:lineRule="exact"/>
        <w:rPr>
          <w:sz w:val="20"/>
          <w:szCs w:val="20"/>
          <w:color w:val="auto"/>
        </w:rPr>
      </w:pPr>
    </w:p>
    <w:tbl>
      <w:tblPr>
        <w:tblLayout w:type="fixed"/>
        <w:tblInd w:w="1880" w:type="dxa"/>
        <w:tblCellMar>
          <w:top w:w="0" w:type="dxa"/>
          <w:left w:w="0" w:type="dxa"/>
          <w:bottom w:w="0" w:type="dxa"/>
          <w:right w:w="0" w:type="dxa"/>
        </w:tblCellMar>
      </w:tblPr>
      <w:tr>
        <w:trPr>
          <w:trHeight w:val="154"/>
        </w:trPr>
        <w:tc>
          <w:tcPr>
            <w:tcW w:w="40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920" w:type="dxa"/>
            <w:vAlign w:val="bottom"/>
          </w:tcPr>
          <w:p>
            <w:pPr>
              <w:jc w:val="center"/>
              <w:ind w:right="33"/>
              <w:spacing w:after="0"/>
              <w:rPr>
                <w:sz w:val="20"/>
                <w:szCs w:val="20"/>
                <w:color w:val="auto"/>
              </w:rPr>
            </w:pPr>
            <w:r>
              <w:rPr>
                <w:rFonts w:ascii="Arial" w:cs="Arial" w:eastAsia="Arial" w:hAnsi="Arial"/>
                <w:sz w:val="13"/>
                <w:szCs w:val="13"/>
                <w:color w:val="auto"/>
              </w:rPr>
              <w:t>Sempra</w:t>
            </w:r>
          </w:p>
        </w:tc>
        <w:tc>
          <w:tcPr>
            <w:tcW w:w="3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020" w:type="dxa"/>
            <w:vAlign w:val="bottom"/>
            <w:vMerge w:val="restart"/>
          </w:tcPr>
          <w:p>
            <w:pPr>
              <w:spacing w:after="0"/>
              <w:rPr>
                <w:sz w:val="20"/>
                <w:szCs w:val="20"/>
                <w:color w:val="auto"/>
              </w:rPr>
            </w:pPr>
            <w:r>
              <w:rPr>
                <w:rFonts w:ascii="Arial" w:cs="Arial" w:eastAsia="Arial" w:hAnsi="Arial"/>
                <w:sz w:val="13"/>
                <w:szCs w:val="13"/>
                <w:i w:val="1"/>
                <w:iCs w:val="1"/>
                <w:color w:val="auto"/>
              </w:rPr>
              <w:t>(Dollars in millions)</w:t>
            </w:r>
          </w:p>
        </w:tc>
        <w:tc>
          <w:tcPr>
            <w:tcW w:w="560" w:type="dxa"/>
            <w:vAlign w:val="bottom"/>
          </w:tcPr>
          <w:p>
            <w:pPr>
              <w:spacing w:after="0"/>
              <w:rPr>
                <w:sz w:val="13"/>
                <w:szCs w:val="13"/>
                <w:color w:val="auto"/>
              </w:rPr>
            </w:pPr>
          </w:p>
        </w:tc>
        <w:tc>
          <w:tcPr>
            <w:tcW w:w="920" w:type="dxa"/>
            <w:vAlign w:val="bottom"/>
          </w:tcPr>
          <w:p>
            <w:pPr>
              <w:jc w:val="center"/>
              <w:ind w:right="33"/>
              <w:spacing w:after="0"/>
              <w:rPr>
                <w:sz w:val="20"/>
                <w:szCs w:val="20"/>
                <w:color w:val="auto"/>
              </w:rPr>
            </w:pPr>
            <w:r>
              <w:rPr>
                <w:rFonts w:ascii="Arial" w:cs="Arial" w:eastAsia="Arial" w:hAnsi="Arial"/>
                <w:sz w:val="13"/>
                <w:szCs w:val="13"/>
                <w:color w:val="auto"/>
              </w:rPr>
              <w:t>Energy</w:t>
            </w:r>
          </w:p>
        </w:tc>
        <w:tc>
          <w:tcPr>
            <w:tcW w:w="3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4020" w:type="dxa"/>
            <w:vAlign w:val="bottom"/>
            <w:tcBorders>
              <w:bottom w:val="single" w:sz="8" w:color="auto"/>
            </w:tcBorders>
            <w:vMerge w:val="continue"/>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ind w:right="33"/>
              <w:spacing w:after="0"/>
              <w:rPr>
                <w:sz w:val="20"/>
                <w:szCs w:val="20"/>
                <w:color w:val="auto"/>
              </w:rPr>
            </w:pPr>
            <w:r>
              <w:rPr>
                <w:rFonts w:ascii="Arial" w:cs="Arial" w:eastAsia="Arial" w:hAnsi="Arial"/>
                <w:sz w:val="13"/>
                <w:szCs w:val="13"/>
                <w:color w:val="auto"/>
                <w:w w:val="97"/>
              </w:rPr>
              <w:t>Consolidated</w:t>
            </w:r>
          </w:p>
        </w:tc>
        <w:tc>
          <w:tcPr>
            <w:tcW w:w="3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11"/>
              <w:spacing w:after="0"/>
              <w:rPr>
                <w:sz w:val="20"/>
                <w:szCs w:val="20"/>
                <w:color w:val="auto"/>
              </w:rPr>
            </w:pPr>
            <w:r>
              <w:rPr>
                <w:rFonts w:ascii="Arial" w:cs="Arial" w:eastAsia="Arial" w:hAnsi="Arial"/>
                <w:sz w:val="13"/>
                <w:szCs w:val="13"/>
                <w:color w:val="auto"/>
              </w:rPr>
              <w:t>SDG&amp;E</w:t>
            </w:r>
          </w:p>
        </w:tc>
        <w:tc>
          <w:tcPr>
            <w:tcW w:w="2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51"/>
              <w:spacing w:after="0"/>
              <w:rPr>
                <w:sz w:val="20"/>
                <w:szCs w:val="20"/>
                <w:color w:val="auto"/>
              </w:rPr>
            </w:pPr>
            <w:r>
              <w:rPr>
                <w:rFonts w:ascii="Arial" w:cs="Arial" w:eastAsia="Arial" w:hAnsi="Arial"/>
                <w:sz w:val="13"/>
                <w:szCs w:val="13"/>
                <w:color w:val="auto"/>
              </w:rPr>
              <w:t>SoCalGas</w:t>
            </w:r>
          </w:p>
        </w:tc>
        <w:tc>
          <w:tcPr>
            <w:tcW w:w="0" w:type="dxa"/>
            <w:vAlign w:val="bottom"/>
          </w:tcPr>
          <w:p>
            <w:pPr>
              <w:spacing w:after="0"/>
              <w:rPr>
                <w:sz w:val="1"/>
                <w:szCs w:val="1"/>
                <w:color w:val="auto"/>
              </w:rPr>
            </w:pPr>
          </w:p>
        </w:tc>
      </w:tr>
      <w:tr>
        <w:trPr>
          <w:trHeight w:val="207"/>
        </w:trPr>
        <w:tc>
          <w:tcPr>
            <w:tcW w:w="4020" w:type="dxa"/>
            <w:vAlign w:val="bottom"/>
          </w:tcPr>
          <w:p>
            <w:pPr>
              <w:spacing w:after="0"/>
              <w:rPr>
                <w:sz w:val="20"/>
                <w:szCs w:val="20"/>
                <w:color w:val="auto"/>
              </w:rPr>
            </w:pPr>
            <w:r>
              <w:rPr>
                <w:rFonts w:ascii="Arial" w:cs="Arial" w:eastAsia="Arial" w:hAnsi="Arial"/>
                <w:sz w:val="14"/>
                <w:szCs w:val="14"/>
                <w:color w:val="auto"/>
              </w:rPr>
              <w:t>Accumulated postretirement benefit obligation reduction</w:t>
            </w:r>
          </w:p>
        </w:tc>
        <w:tc>
          <w:tcPr>
            <w:tcW w:w="560" w:type="dxa"/>
            <w:vAlign w:val="bottom"/>
          </w:tcPr>
          <w:p>
            <w:pPr>
              <w:jc w:val="right"/>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53"/>
              <w:spacing w:after="0"/>
              <w:rPr>
                <w:sz w:val="20"/>
                <w:szCs w:val="20"/>
                <w:color w:val="auto"/>
              </w:rPr>
            </w:pPr>
            <w:r>
              <w:rPr>
                <w:rFonts w:ascii="Arial" w:cs="Arial" w:eastAsia="Arial" w:hAnsi="Arial"/>
                <w:sz w:val="14"/>
                <w:szCs w:val="14"/>
                <w:color w:val="auto"/>
              </w:rPr>
              <w:t>92</w:t>
            </w:r>
          </w:p>
        </w:tc>
        <w:tc>
          <w:tcPr>
            <w:tcW w:w="3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31"/>
              <w:spacing w:after="0"/>
              <w:rPr>
                <w:sz w:val="20"/>
                <w:szCs w:val="20"/>
                <w:color w:val="auto"/>
              </w:rPr>
            </w:pPr>
            <w:r>
              <w:rPr>
                <w:rFonts w:ascii="Arial" w:cs="Arial" w:eastAsia="Arial" w:hAnsi="Arial"/>
                <w:sz w:val="14"/>
                <w:szCs w:val="14"/>
                <w:color w:val="auto"/>
              </w:rPr>
              <w:t>20</w:t>
            </w:r>
          </w:p>
        </w:tc>
        <w:tc>
          <w:tcPr>
            <w:tcW w:w="2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67</w:t>
            </w:r>
          </w:p>
        </w:tc>
        <w:tc>
          <w:tcPr>
            <w:tcW w:w="0" w:type="dxa"/>
            <w:vAlign w:val="bottom"/>
          </w:tcPr>
          <w:p>
            <w:pPr>
              <w:spacing w:after="0"/>
              <w:rPr>
                <w:sz w:val="1"/>
                <w:szCs w:val="1"/>
                <w:color w:val="auto"/>
              </w:rPr>
            </w:pPr>
          </w:p>
        </w:tc>
      </w:tr>
      <w:tr>
        <w:trPr>
          <w:trHeight w:val="250"/>
        </w:trPr>
        <w:tc>
          <w:tcPr>
            <w:tcW w:w="4020" w:type="dxa"/>
            <w:vAlign w:val="bottom"/>
            <w:tcBorders>
              <w:bottom w:val="single" w:sz="8" w:color="DFDFDF"/>
            </w:tcBorders>
          </w:tcPr>
          <w:p>
            <w:pPr>
              <w:spacing w:after="0"/>
              <w:rPr>
                <w:sz w:val="20"/>
                <w:szCs w:val="20"/>
                <w:color w:val="auto"/>
              </w:rPr>
            </w:pPr>
            <w:r>
              <w:rPr>
                <w:rFonts w:ascii="Arial" w:cs="Arial" w:eastAsia="Arial" w:hAnsi="Arial"/>
                <w:sz w:val="14"/>
                <w:szCs w:val="14"/>
                <w:color w:val="auto"/>
              </w:rPr>
              <w:t>Net periodic benefit cost reduction</w:t>
            </w:r>
          </w:p>
        </w:tc>
        <w:tc>
          <w:tcPr>
            <w:tcW w:w="560" w:type="dxa"/>
            <w:vAlign w:val="bottom"/>
            <w:tcBorders>
              <w:bottom w:val="single" w:sz="8" w:color="DFDFDF"/>
            </w:tcBorders>
          </w:tcPr>
          <w:p>
            <w:pPr>
              <w:spacing w:after="0"/>
              <w:rPr>
                <w:sz w:val="21"/>
                <w:szCs w:val="21"/>
                <w:color w:val="auto"/>
              </w:rPr>
            </w:pPr>
          </w:p>
        </w:tc>
        <w:tc>
          <w:tcPr>
            <w:tcW w:w="920" w:type="dxa"/>
            <w:vAlign w:val="bottom"/>
            <w:tcBorders>
              <w:bottom w:val="single" w:sz="8" w:color="DFDFDF"/>
            </w:tcBorders>
          </w:tcPr>
          <w:p>
            <w:pPr>
              <w:jc w:val="right"/>
              <w:ind w:right="53"/>
              <w:spacing w:after="0"/>
              <w:rPr>
                <w:sz w:val="20"/>
                <w:szCs w:val="20"/>
                <w:color w:val="auto"/>
              </w:rPr>
            </w:pPr>
            <w:r>
              <w:rPr>
                <w:rFonts w:ascii="Arial" w:cs="Arial" w:eastAsia="Arial" w:hAnsi="Arial"/>
                <w:sz w:val="14"/>
                <w:szCs w:val="14"/>
                <w:color w:val="auto"/>
              </w:rPr>
              <w:t>8</w:t>
            </w:r>
          </w:p>
        </w:tc>
        <w:tc>
          <w:tcPr>
            <w:tcW w:w="300" w:type="dxa"/>
            <w:vAlign w:val="bottom"/>
            <w:tcBorders>
              <w:bottom w:val="single" w:sz="8" w:color="DFDFDF"/>
            </w:tcBorders>
          </w:tcPr>
          <w:p>
            <w:pPr>
              <w:spacing w:after="0"/>
              <w:rPr>
                <w:sz w:val="21"/>
                <w:szCs w:val="21"/>
                <w:color w:val="auto"/>
              </w:rPr>
            </w:pPr>
          </w:p>
        </w:tc>
        <w:tc>
          <w:tcPr>
            <w:tcW w:w="840" w:type="dxa"/>
            <w:vAlign w:val="bottom"/>
            <w:tcBorders>
              <w:bottom w:val="single" w:sz="8" w:color="DFDFDF"/>
            </w:tcBorders>
          </w:tcPr>
          <w:p>
            <w:pPr>
              <w:jc w:val="right"/>
              <w:ind w:right="31"/>
              <w:spacing w:after="0"/>
              <w:rPr>
                <w:sz w:val="20"/>
                <w:szCs w:val="20"/>
                <w:color w:val="auto"/>
              </w:rPr>
            </w:pPr>
            <w:r>
              <w:rPr>
                <w:rFonts w:ascii="Arial" w:cs="Arial" w:eastAsia="Arial" w:hAnsi="Arial"/>
                <w:sz w:val="14"/>
                <w:szCs w:val="14"/>
                <w:color w:val="auto"/>
              </w:rPr>
              <w:t>2</w:t>
            </w:r>
          </w:p>
        </w:tc>
        <w:tc>
          <w:tcPr>
            <w:tcW w:w="280" w:type="dxa"/>
            <w:vAlign w:val="bottom"/>
            <w:tcBorders>
              <w:bottom w:val="single" w:sz="8" w:color="DFDFDF"/>
            </w:tcBorders>
          </w:tcPr>
          <w:p>
            <w:pPr>
              <w:spacing w:after="0"/>
              <w:rPr>
                <w:sz w:val="21"/>
                <w:szCs w:val="21"/>
                <w:color w:val="auto"/>
              </w:rPr>
            </w:pPr>
          </w:p>
        </w:tc>
        <w:tc>
          <w:tcPr>
            <w:tcW w:w="760" w:type="dxa"/>
            <w:vAlign w:val="bottom"/>
            <w:tcBorders>
              <w:bottom w:val="single" w:sz="8" w:color="DFDFDF"/>
            </w:tcBorders>
          </w:tcPr>
          <w:p>
            <w:pPr>
              <w:jc w:val="right"/>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bl>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Assumptions for Pension and Other Postretirement Benefit Plans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Benefit Obligation and Net Periodic Benefit Cost</w:t>
      </w:r>
    </w:p>
    <w:p>
      <w:pPr>
        <w:spacing w:after="0" w:line="23" w:lineRule="exact"/>
        <w:rPr>
          <w:sz w:val="20"/>
          <w:szCs w:val="20"/>
          <w:color w:val="auto"/>
        </w:rPr>
      </w:pPr>
    </w:p>
    <w:p>
      <w:pPr>
        <w:ind w:right="160"/>
        <w:spacing w:after="0" w:line="259" w:lineRule="auto"/>
        <w:rPr>
          <w:sz w:val="20"/>
          <w:szCs w:val="20"/>
          <w:color w:val="auto"/>
        </w:rPr>
      </w:pPr>
      <w:r>
        <w:rPr>
          <w:rFonts w:ascii="Arial" w:cs="Arial" w:eastAsia="Arial" w:hAnsi="Arial"/>
          <w:sz w:val="16"/>
          <w:szCs w:val="16"/>
          <w:color w:val="auto"/>
        </w:rPr>
        <w:t>We develop the discount rate assumptions based on the results of a third party modeling tool that matches each plan's expected future benefit payments to a bond yield curve to determine their present value. We then calculate a single equivalent discount rate that produces the same present value. The modeling tool uses an actual portfolio of 500 to 600 non-callable bonds with a Moody’s Aa rating with an outstanding value of at least $50 million to develop the bond yield curve. This reflects over $300 billion in outstanding bonds with approximately 50 issues having maturities in excess of 20 years.</w:t>
      </w:r>
    </w:p>
    <w:p>
      <w:pPr>
        <w:spacing w:after="0" w:line="47" w:lineRule="exact"/>
        <w:rPr>
          <w:sz w:val="20"/>
          <w:szCs w:val="20"/>
          <w:color w:val="auto"/>
        </w:rPr>
      </w:pPr>
    </w:p>
    <w:p>
      <w:pPr>
        <w:spacing w:after="0"/>
        <w:rPr>
          <w:sz w:val="20"/>
          <w:szCs w:val="20"/>
          <w:color w:val="auto"/>
        </w:rPr>
      </w:pPr>
      <w:r>
        <w:rPr>
          <w:rFonts w:ascii="Arial" w:cs="Arial" w:eastAsia="Arial" w:hAnsi="Arial"/>
          <w:sz w:val="15"/>
          <w:szCs w:val="15"/>
          <w:color w:val="auto"/>
        </w:rPr>
        <w:t>The expected long-term rate of return on plan assets is derived from historical returns for broad asset classes consistent with expectations from a variety of sources.</w:t>
      </w: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14"/>
          <w:szCs w:val="14"/>
          <w:color w:val="auto"/>
        </w:rPr>
        <w:t>144</w:t>
      </w:r>
    </w:p>
    <w:p>
      <w:pPr>
        <w:sectPr>
          <w:pgSz w:w="11900" w:h="16838" w:orient="portrait"/>
          <w:cols w:equalWidth="0" w:num="1">
            <w:col w:w="11420"/>
          </w:cols>
          <w:pgMar w:left="240" w:top="127" w:right="239" w:bottom="1440" w:gutter="0" w:footer="0" w:header="0"/>
        </w:sectPr>
      </w:pPr>
    </w:p>
    <w:bookmarkStart w:id="284" w:name="page285"/>
    <w:bookmarkEnd w:id="284"/>
    <w:p>
      <w:pPr>
        <w:spacing w:after="0"/>
        <w:rPr>
          <w:sz w:val="20"/>
          <w:szCs w:val="20"/>
          <w:color w:val="auto"/>
        </w:rPr>
      </w:pPr>
      <w:r>
        <w:rPr>
          <w:rFonts w:ascii="Arial" w:cs="Arial" w:eastAsia="Arial" w:hAnsi="Arial"/>
          <w:sz w:val="16"/>
          <w:szCs w:val="16"/>
          <w:color w:val="auto"/>
        </w:rPr>
        <w:t>The significant assumptions affecting benefit obligation and net periodic benefit cost are as follows:</w:t>
      </w:r>
    </w:p>
    <w:p>
      <w:pPr>
        <w:spacing w:after="0" w:line="361" w:lineRule="exact"/>
        <w:rPr>
          <w:sz w:val="20"/>
          <w:szCs w:val="20"/>
          <w:color w:val="auto"/>
        </w:rPr>
      </w:pPr>
    </w:p>
    <w:tbl>
      <w:tblPr>
        <w:tblLayout w:type="fixed"/>
        <w:tblInd w:w="1840" w:type="dxa"/>
        <w:tblCellMar>
          <w:top w:w="0" w:type="dxa"/>
          <w:left w:w="0" w:type="dxa"/>
          <w:bottom w:w="0" w:type="dxa"/>
          <w:right w:w="0" w:type="dxa"/>
        </w:tblCellMar>
      </w:tblPr>
      <w:tr>
        <w:trPr>
          <w:trHeight w:val="154"/>
        </w:trPr>
        <w:tc>
          <w:tcPr>
            <w:tcW w:w="32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80" w:type="dxa"/>
            <w:vAlign w:val="bottom"/>
          </w:tcPr>
          <w:p>
            <w:pPr>
              <w:jc w:val="right"/>
              <w:ind w:right="133"/>
              <w:spacing w:after="0"/>
              <w:rPr>
                <w:sz w:val="20"/>
                <w:szCs w:val="20"/>
                <w:color w:val="auto"/>
              </w:rPr>
            </w:pPr>
            <w:r>
              <w:rPr>
                <w:rFonts w:ascii="Arial" w:cs="Arial" w:eastAsia="Arial" w:hAnsi="Arial"/>
                <w:sz w:val="13"/>
                <w:szCs w:val="13"/>
                <w:color w:val="auto"/>
              </w:rPr>
              <w:t>Other</w:t>
            </w:r>
          </w:p>
        </w:tc>
        <w:tc>
          <w:tcPr>
            <w:tcW w:w="900" w:type="dxa"/>
            <w:vAlign w:val="bottom"/>
          </w:tcPr>
          <w:p>
            <w:pPr>
              <w:spacing w:after="0"/>
              <w:rPr>
                <w:sz w:val="13"/>
                <w:szCs w:val="13"/>
                <w:color w:val="auto"/>
              </w:rPr>
            </w:pPr>
          </w:p>
        </w:tc>
      </w:tr>
      <w:tr>
        <w:trPr>
          <w:trHeight w:val="221"/>
        </w:trPr>
        <w:tc>
          <w:tcPr>
            <w:tcW w:w="3240" w:type="dxa"/>
            <w:vAlign w:val="bottom"/>
          </w:tcPr>
          <w:p>
            <w:pPr>
              <w:spacing w:after="0"/>
              <w:rPr>
                <w:sz w:val="19"/>
                <w:szCs w:val="19"/>
                <w:color w:val="auto"/>
              </w:rPr>
            </w:pPr>
          </w:p>
        </w:tc>
        <w:tc>
          <w:tcPr>
            <w:tcW w:w="2020" w:type="dxa"/>
            <w:vAlign w:val="bottom"/>
            <w:tcBorders>
              <w:bottom w:val="single" w:sz="8" w:color="auto"/>
            </w:tcBorders>
            <w:gridSpan w:val="2"/>
          </w:tcPr>
          <w:p>
            <w:pPr>
              <w:jc w:val="right"/>
              <w:ind w:right="469"/>
              <w:spacing w:after="0"/>
              <w:rPr>
                <w:sz w:val="20"/>
                <w:szCs w:val="20"/>
                <w:color w:val="auto"/>
              </w:rPr>
            </w:pPr>
            <w:r>
              <w:rPr>
                <w:rFonts w:ascii="Arial" w:cs="Arial" w:eastAsia="Arial" w:hAnsi="Arial"/>
                <w:sz w:val="13"/>
                <w:szCs w:val="13"/>
                <w:color w:val="auto"/>
              </w:rPr>
              <w:t>Pension Benefits</w:t>
            </w:r>
          </w:p>
        </w:tc>
        <w:tc>
          <w:tcPr>
            <w:tcW w:w="220" w:type="dxa"/>
            <w:vAlign w:val="bottom"/>
          </w:tcPr>
          <w:p>
            <w:pPr>
              <w:spacing w:after="0"/>
              <w:rPr>
                <w:sz w:val="19"/>
                <w:szCs w:val="19"/>
                <w:color w:val="auto"/>
              </w:rPr>
            </w:pPr>
          </w:p>
        </w:tc>
        <w:tc>
          <w:tcPr>
            <w:tcW w:w="2280" w:type="dxa"/>
            <w:vAlign w:val="bottom"/>
            <w:tcBorders>
              <w:bottom w:val="single" w:sz="8" w:color="auto"/>
            </w:tcBorders>
            <w:gridSpan w:val="2"/>
          </w:tcPr>
          <w:p>
            <w:pPr>
              <w:jc w:val="right"/>
              <w:ind w:right="529"/>
              <w:spacing w:after="0"/>
              <w:rPr>
                <w:sz w:val="20"/>
                <w:szCs w:val="20"/>
                <w:color w:val="auto"/>
              </w:rPr>
            </w:pPr>
            <w:r>
              <w:rPr>
                <w:rFonts w:ascii="Arial" w:cs="Arial" w:eastAsia="Arial" w:hAnsi="Arial"/>
                <w:sz w:val="13"/>
                <w:szCs w:val="13"/>
                <w:color w:val="auto"/>
              </w:rPr>
              <w:t>Postretirement Benefits</w:t>
            </w:r>
          </w:p>
        </w:tc>
      </w:tr>
      <w:tr>
        <w:trPr>
          <w:trHeight w:val="208"/>
        </w:trPr>
        <w:tc>
          <w:tcPr>
            <w:tcW w:w="32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509"/>
              <w:spacing w:after="0"/>
              <w:rPr>
                <w:sz w:val="20"/>
                <w:szCs w:val="20"/>
                <w:color w:val="auto"/>
              </w:rPr>
            </w:pPr>
            <w:r>
              <w:rPr>
                <w:rFonts w:ascii="Arial" w:cs="Arial" w:eastAsia="Arial" w:hAnsi="Arial"/>
                <w:sz w:val="13"/>
                <w:szCs w:val="13"/>
                <w:color w:val="auto"/>
              </w:rPr>
              <w:t>2008</w:t>
            </w:r>
          </w:p>
        </w:tc>
        <w:tc>
          <w:tcPr>
            <w:tcW w:w="960" w:type="dxa"/>
            <w:vAlign w:val="bottom"/>
            <w:tcBorders>
              <w:bottom w:val="single" w:sz="8" w:color="auto"/>
            </w:tcBorders>
          </w:tcPr>
          <w:p>
            <w:pPr>
              <w:jc w:val="right"/>
              <w:ind w:right="209"/>
              <w:spacing w:after="0"/>
              <w:rPr>
                <w:sz w:val="20"/>
                <w:szCs w:val="20"/>
                <w:color w:val="auto"/>
              </w:rPr>
            </w:pPr>
            <w:r>
              <w:rPr>
                <w:rFonts w:ascii="Arial" w:cs="Arial" w:eastAsia="Arial" w:hAnsi="Arial"/>
                <w:sz w:val="13"/>
                <w:szCs w:val="13"/>
                <w:color w:val="auto"/>
              </w:rPr>
              <w:t>2007</w:t>
            </w:r>
          </w:p>
        </w:tc>
        <w:tc>
          <w:tcPr>
            <w:tcW w:w="1600" w:type="dxa"/>
            <w:vAlign w:val="bottom"/>
            <w:tcBorders>
              <w:bottom w:val="single" w:sz="8" w:color="auto"/>
            </w:tcBorders>
            <w:gridSpan w:val="2"/>
          </w:tcPr>
          <w:p>
            <w:pPr>
              <w:jc w:val="right"/>
              <w:ind w:right="633"/>
              <w:spacing w:after="0"/>
              <w:rPr>
                <w:sz w:val="20"/>
                <w:szCs w:val="20"/>
                <w:color w:val="auto"/>
              </w:rPr>
            </w:pPr>
            <w:r>
              <w:rPr>
                <w:rFonts w:ascii="Arial" w:cs="Arial" w:eastAsia="Arial" w:hAnsi="Arial"/>
                <w:sz w:val="13"/>
                <w:szCs w:val="13"/>
                <w:color w:val="auto"/>
              </w:rPr>
              <w:t>2008</w:t>
            </w:r>
          </w:p>
        </w:tc>
        <w:tc>
          <w:tcPr>
            <w:tcW w:w="900" w:type="dxa"/>
            <w:vAlign w:val="bottom"/>
            <w:tcBorders>
              <w:bottom w:val="single" w:sz="8" w:color="auto"/>
            </w:tcBorders>
          </w:tcPr>
          <w:p>
            <w:pPr>
              <w:jc w:val="right"/>
              <w:ind w:right="349"/>
              <w:spacing w:after="0"/>
              <w:rPr>
                <w:sz w:val="20"/>
                <w:szCs w:val="20"/>
                <w:color w:val="auto"/>
              </w:rPr>
            </w:pPr>
            <w:r>
              <w:rPr>
                <w:rFonts w:ascii="Arial" w:cs="Arial" w:eastAsia="Arial" w:hAnsi="Arial"/>
                <w:sz w:val="13"/>
                <w:szCs w:val="13"/>
                <w:color w:val="auto"/>
              </w:rPr>
              <w:t>2007</w:t>
            </w:r>
          </w:p>
        </w:tc>
      </w:tr>
      <w:tr>
        <w:trPr>
          <w:trHeight w:val="179"/>
        </w:trPr>
        <w:tc>
          <w:tcPr>
            <w:tcW w:w="3240" w:type="dxa"/>
            <w:vAlign w:val="bottom"/>
          </w:tcPr>
          <w:p>
            <w:pPr>
              <w:spacing w:after="0"/>
              <w:rPr>
                <w:sz w:val="20"/>
                <w:szCs w:val="20"/>
                <w:color w:val="auto"/>
              </w:rPr>
            </w:pPr>
            <w:r>
              <w:rPr>
                <w:rFonts w:ascii="Arial" w:cs="Arial" w:eastAsia="Arial" w:hAnsi="Arial"/>
                <w:sz w:val="14"/>
                <w:szCs w:val="14"/>
                <w:color w:val="auto"/>
              </w:rPr>
              <w:t>WEIGHTED-AVERAGE ASSUMPTIONS</w:t>
            </w:r>
          </w:p>
        </w:tc>
        <w:tc>
          <w:tcPr>
            <w:tcW w:w="10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68"/>
        </w:trPr>
        <w:tc>
          <w:tcPr>
            <w:tcW w:w="3240" w:type="dxa"/>
            <w:vAlign w:val="bottom"/>
          </w:tcPr>
          <w:p>
            <w:pPr>
              <w:spacing w:after="0"/>
              <w:rPr>
                <w:sz w:val="20"/>
                <w:szCs w:val="20"/>
                <w:color w:val="auto"/>
              </w:rPr>
            </w:pPr>
            <w:r>
              <w:rPr>
                <w:rFonts w:ascii="Arial" w:cs="Arial" w:eastAsia="Arial" w:hAnsi="Arial"/>
                <w:sz w:val="14"/>
                <w:szCs w:val="14"/>
                <w:color w:val="auto"/>
              </w:rPr>
              <w:t>USED TO DETERMINE BENEFIT</w:t>
            </w:r>
          </w:p>
        </w:tc>
        <w:tc>
          <w:tcPr>
            <w:tcW w:w="10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2"/>
        </w:trPr>
        <w:tc>
          <w:tcPr>
            <w:tcW w:w="3240" w:type="dxa"/>
            <w:vAlign w:val="bottom"/>
          </w:tcPr>
          <w:p>
            <w:pPr>
              <w:spacing w:after="0"/>
              <w:rPr>
                <w:sz w:val="20"/>
                <w:szCs w:val="20"/>
                <w:color w:val="auto"/>
              </w:rPr>
            </w:pPr>
            <w:r>
              <w:rPr>
                <w:rFonts w:ascii="Arial" w:cs="Arial" w:eastAsia="Arial" w:hAnsi="Arial"/>
                <w:sz w:val="14"/>
                <w:szCs w:val="14"/>
                <w:color w:val="auto"/>
              </w:rPr>
              <w:t>OBLIGATION AS OF DECEMBER 31:</w:t>
            </w:r>
          </w:p>
        </w:tc>
        <w:tc>
          <w:tcPr>
            <w:tcW w:w="10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432"/>
        </w:trPr>
        <w:tc>
          <w:tcPr>
            <w:tcW w:w="3240" w:type="dxa"/>
            <w:vAlign w:val="bottom"/>
          </w:tcPr>
          <w:p>
            <w:pPr>
              <w:spacing w:after="0"/>
              <w:rPr>
                <w:sz w:val="20"/>
                <w:szCs w:val="20"/>
                <w:color w:val="auto"/>
              </w:rPr>
            </w:pPr>
            <w:r>
              <w:rPr>
                <w:rFonts w:ascii="Arial" w:cs="Arial" w:eastAsia="Arial" w:hAnsi="Arial"/>
                <w:sz w:val="14"/>
                <w:szCs w:val="14"/>
                <w:color w:val="auto"/>
              </w:rPr>
              <w:t>Discount rate</w:t>
            </w:r>
          </w:p>
        </w:tc>
        <w:tc>
          <w:tcPr>
            <w:tcW w:w="1060" w:type="dxa"/>
            <w:vAlign w:val="bottom"/>
          </w:tcPr>
          <w:p>
            <w:pPr>
              <w:jc w:val="right"/>
              <w:ind w:right="309"/>
              <w:spacing w:after="0"/>
              <w:rPr>
                <w:sz w:val="20"/>
                <w:szCs w:val="20"/>
                <w:color w:val="auto"/>
              </w:rPr>
            </w:pPr>
            <w:r>
              <w:rPr>
                <w:rFonts w:ascii="Arial" w:cs="Arial" w:eastAsia="Arial" w:hAnsi="Arial"/>
                <w:sz w:val="14"/>
                <w:szCs w:val="14"/>
                <w:color w:val="auto"/>
              </w:rPr>
              <w:t>6.00%</w:t>
            </w:r>
          </w:p>
        </w:tc>
        <w:tc>
          <w:tcPr>
            <w:tcW w:w="960" w:type="dxa"/>
            <w:vAlign w:val="bottom"/>
          </w:tcPr>
          <w:p>
            <w:pPr>
              <w:jc w:val="right"/>
              <w:spacing w:after="0"/>
              <w:rPr>
                <w:sz w:val="20"/>
                <w:szCs w:val="20"/>
                <w:color w:val="auto"/>
              </w:rPr>
            </w:pPr>
            <w:r>
              <w:rPr>
                <w:rFonts w:ascii="Arial" w:cs="Arial" w:eastAsia="Arial" w:hAnsi="Arial"/>
                <w:sz w:val="14"/>
                <w:szCs w:val="14"/>
                <w:color w:val="auto"/>
              </w:rPr>
              <w:t>6.10%</w:t>
            </w:r>
          </w:p>
        </w:tc>
        <w:tc>
          <w:tcPr>
            <w:tcW w:w="1600" w:type="dxa"/>
            <w:vAlign w:val="bottom"/>
            <w:gridSpan w:val="2"/>
          </w:tcPr>
          <w:p>
            <w:pPr>
              <w:jc w:val="right"/>
              <w:ind w:right="433"/>
              <w:spacing w:after="0"/>
              <w:rPr>
                <w:sz w:val="20"/>
                <w:szCs w:val="20"/>
                <w:color w:val="auto"/>
              </w:rPr>
            </w:pPr>
            <w:r>
              <w:rPr>
                <w:rFonts w:ascii="Arial" w:cs="Arial" w:eastAsia="Arial" w:hAnsi="Arial"/>
                <w:sz w:val="14"/>
                <w:szCs w:val="14"/>
                <w:color w:val="auto"/>
              </w:rPr>
              <w:t>6.10%</w:t>
            </w:r>
          </w:p>
        </w:tc>
        <w:tc>
          <w:tcPr>
            <w:tcW w:w="900" w:type="dxa"/>
            <w:vAlign w:val="bottom"/>
          </w:tcPr>
          <w:p>
            <w:pPr>
              <w:jc w:val="right"/>
              <w:ind w:right="169"/>
              <w:spacing w:after="0"/>
              <w:rPr>
                <w:sz w:val="20"/>
                <w:szCs w:val="20"/>
                <w:color w:val="auto"/>
              </w:rPr>
            </w:pPr>
            <w:r>
              <w:rPr>
                <w:rFonts w:ascii="Arial" w:cs="Arial" w:eastAsia="Arial" w:hAnsi="Arial"/>
                <w:sz w:val="14"/>
                <w:szCs w:val="14"/>
                <w:color w:val="auto"/>
              </w:rPr>
              <w:t>6.20%</w:t>
            </w:r>
          </w:p>
        </w:tc>
      </w:tr>
      <w:tr>
        <w:trPr>
          <w:trHeight w:val="216"/>
        </w:trPr>
        <w:tc>
          <w:tcPr>
            <w:tcW w:w="3240" w:type="dxa"/>
            <w:vAlign w:val="bottom"/>
          </w:tcPr>
          <w:p>
            <w:pPr>
              <w:spacing w:after="0"/>
              <w:rPr>
                <w:sz w:val="20"/>
                <w:szCs w:val="20"/>
                <w:color w:val="auto"/>
              </w:rPr>
            </w:pPr>
            <w:r>
              <w:rPr>
                <w:rFonts w:ascii="Arial" w:cs="Arial" w:eastAsia="Arial" w:hAnsi="Arial"/>
                <w:sz w:val="14"/>
                <w:szCs w:val="14"/>
                <w:color w:val="auto"/>
              </w:rPr>
              <w:t>Rate of compensation increase</w:t>
            </w:r>
          </w:p>
        </w:tc>
        <w:tc>
          <w:tcPr>
            <w:tcW w:w="1060" w:type="dxa"/>
            <w:vAlign w:val="bottom"/>
          </w:tcPr>
          <w:p>
            <w:pPr>
              <w:jc w:val="right"/>
              <w:ind w:right="309"/>
              <w:spacing w:after="0"/>
              <w:rPr>
                <w:sz w:val="20"/>
                <w:szCs w:val="20"/>
                <w:color w:val="auto"/>
              </w:rPr>
            </w:pPr>
            <w:r>
              <w:rPr>
                <w:rFonts w:ascii="Arial" w:cs="Arial" w:eastAsia="Arial" w:hAnsi="Arial"/>
                <w:sz w:val="14"/>
                <w:szCs w:val="14"/>
                <w:color w:val="auto"/>
              </w:rPr>
              <w:t>4.50%</w:t>
            </w:r>
          </w:p>
        </w:tc>
        <w:tc>
          <w:tcPr>
            <w:tcW w:w="960" w:type="dxa"/>
            <w:vAlign w:val="bottom"/>
          </w:tcPr>
          <w:p>
            <w:pPr>
              <w:jc w:val="right"/>
              <w:spacing w:after="0"/>
              <w:rPr>
                <w:sz w:val="20"/>
                <w:szCs w:val="20"/>
                <w:color w:val="auto"/>
              </w:rPr>
            </w:pPr>
            <w:r>
              <w:rPr>
                <w:rFonts w:ascii="Arial" w:cs="Arial" w:eastAsia="Arial" w:hAnsi="Arial"/>
                <w:sz w:val="14"/>
                <w:szCs w:val="14"/>
                <w:color w:val="auto"/>
              </w:rPr>
              <w:t>4.50%</w:t>
            </w:r>
          </w:p>
        </w:tc>
        <w:tc>
          <w:tcPr>
            <w:tcW w:w="1600" w:type="dxa"/>
            <w:vAlign w:val="bottom"/>
            <w:gridSpan w:val="2"/>
          </w:tcPr>
          <w:p>
            <w:pPr>
              <w:jc w:val="right"/>
              <w:ind w:right="433"/>
              <w:spacing w:after="0"/>
              <w:rPr>
                <w:sz w:val="20"/>
                <w:szCs w:val="20"/>
                <w:color w:val="auto"/>
              </w:rPr>
            </w:pPr>
            <w:r>
              <w:rPr>
                <w:rFonts w:ascii="Arial" w:cs="Arial" w:eastAsia="Arial" w:hAnsi="Arial"/>
                <w:sz w:val="14"/>
                <w:szCs w:val="14"/>
                <w:color w:val="auto"/>
              </w:rPr>
              <w:t>4.00%</w:t>
            </w:r>
          </w:p>
        </w:tc>
        <w:tc>
          <w:tcPr>
            <w:tcW w:w="900" w:type="dxa"/>
            <w:vAlign w:val="bottom"/>
          </w:tcPr>
          <w:p>
            <w:pPr>
              <w:jc w:val="right"/>
              <w:ind w:right="169"/>
              <w:spacing w:after="0"/>
              <w:rPr>
                <w:sz w:val="20"/>
                <w:szCs w:val="20"/>
                <w:color w:val="auto"/>
              </w:rPr>
            </w:pPr>
            <w:r>
              <w:rPr>
                <w:rFonts w:ascii="Arial" w:cs="Arial" w:eastAsia="Arial" w:hAnsi="Arial"/>
                <w:sz w:val="14"/>
                <w:szCs w:val="14"/>
                <w:color w:val="auto"/>
              </w:rPr>
              <w:t>4.00%</w:t>
            </w:r>
          </w:p>
        </w:tc>
      </w:tr>
      <w:tr>
        <w:trPr>
          <w:trHeight w:val="404"/>
        </w:trPr>
        <w:tc>
          <w:tcPr>
            <w:tcW w:w="3240" w:type="dxa"/>
            <w:vAlign w:val="bottom"/>
          </w:tcPr>
          <w:p>
            <w:pPr>
              <w:spacing w:after="0"/>
              <w:rPr>
                <w:sz w:val="20"/>
                <w:szCs w:val="20"/>
                <w:color w:val="auto"/>
              </w:rPr>
            </w:pPr>
            <w:r>
              <w:rPr>
                <w:rFonts w:ascii="Arial" w:cs="Arial" w:eastAsia="Arial" w:hAnsi="Arial"/>
                <w:sz w:val="14"/>
                <w:szCs w:val="14"/>
                <w:color w:val="auto"/>
              </w:rPr>
              <w:t>WEIGHTED-AVERAGE ASSUMPTIONS</w:t>
            </w:r>
          </w:p>
        </w:tc>
        <w:tc>
          <w:tcPr>
            <w:tcW w:w="10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68"/>
        </w:trPr>
        <w:tc>
          <w:tcPr>
            <w:tcW w:w="3240" w:type="dxa"/>
            <w:vAlign w:val="bottom"/>
          </w:tcPr>
          <w:p>
            <w:pPr>
              <w:spacing w:after="0"/>
              <w:rPr>
                <w:sz w:val="20"/>
                <w:szCs w:val="20"/>
                <w:color w:val="auto"/>
              </w:rPr>
            </w:pPr>
            <w:r>
              <w:rPr>
                <w:rFonts w:ascii="Arial" w:cs="Arial" w:eastAsia="Arial" w:hAnsi="Arial"/>
                <w:sz w:val="14"/>
                <w:szCs w:val="14"/>
                <w:color w:val="auto"/>
              </w:rPr>
              <w:t>USED TO DETERMINE NET</w:t>
            </w:r>
          </w:p>
        </w:tc>
        <w:tc>
          <w:tcPr>
            <w:tcW w:w="10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8"/>
        </w:trPr>
        <w:tc>
          <w:tcPr>
            <w:tcW w:w="3240" w:type="dxa"/>
            <w:vAlign w:val="bottom"/>
          </w:tcPr>
          <w:p>
            <w:pPr>
              <w:spacing w:after="0"/>
              <w:rPr>
                <w:sz w:val="20"/>
                <w:szCs w:val="20"/>
                <w:color w:val="auto"/>
              </w:rPr>
            </w:pPr>
            <w:r>
              <w:rPr>
                <w:rFonts w:ascii="Arial" w:cs="Arial" w:eastAsia="Arial" w:hAnsi="Arial"/>
                <w:sz w:val="14"/>
                <w:szCs w:val="14"/>
                <w:color w:val="auto"/>
              </w:rPr>
              <w:t>PERIODIC BENEFIT COSTS FOR</w:t>
            </w:r>
          </w:p>
        </w:tc>
        <w:tc>
          <w:tcPr>
            <w:tcW w:w="10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2"/>
        </w:trPr>
        <w:tc>
          <w:tcPr>
            <w:tcW w:w="3240" w:type="dxa"/>
            <w:vAlign w:val="bottom"/>
          </w:tcPr>
          <w:p>
            <w:pPr>
              <w:spacing w:after="0"/>
              <w:rPr>
                <w:sz w:val="20"/>
                <w:szCs w:val="20"/>
                <w:color w:val="auto"/>
              </w:rPr>
            </w:pPr>
            <w:r>
              <w:rPr>
                <w:rFonts w:ascii="Arial" w:cs="Arial" w:eastAsia="Arial" w:hAnsi="Arial"/>
                <w:sz w:val="14"/>
                <w:szCs w:val="14"/>
                <w:color w:val="auto"/>
              </w:rPr>
              <w:t>YEARS ENDED DECEMBER 31:</w:t>
            </w:r>
          </w:p>
        </w:tc>
        <w:tc>
          <w:tcPr>
            <w:tcW w:w="10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432"/>
        </w:trPr>
        <w:tc>
          <w:tcPr>
            <w:tcW w:w="3240" w:type="dxa"/>
            <w:vAlign w:val="bottom"/>
          </w:tcPr>
          <w:p>
            <w:pPr>
              <w:spacing w:after="0"/>
              <w:rPr>
                <w:sz w:val="20"/>
                <w:szCs w:val="20"/>
                <w:color w:val="auto"/>
              </w:rPr>
            </w:pPr>
            <w:r>
              <w:rPr>
                <w:rFonts w:ascii="Arial" w:cs="Arial" w:eastAsia="Arial" w:hAnsi="Arial"/>
                <w:sz w:val="14"/>
                <w:szCs w:val="14"/>
                <w:b w:val="1"/>
                <w:bCs w:val="1"/>
                <w:color w:val="auto"/>
              </w:rPr>
              <w:t>Sempra Energy Consolidated</w:t>
            </w:r>
          </w:p>
        </w:tc>
        <w:tc>
          <w:tcPr>
            <w:tcW w:w="10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16"/>
        </w:trPr>
        <w:tc>
          <w:tcPr>
            <w:tcW w:w="3240" w:type="dxa"/>
            <w:vAlign w:val="bottom"/>
          </w:tcPr>
          <w:p>
            <w:pPr>
              <w:spacing w:after="0"/>
              <w:rPr>
                <w:sz w:val="20"/>
                <w:szCs w:val="20"/>
                <w:color w:val="auto"/>
              </w:rPr>
            </w:pPr>
            <w:r>
              <w:rPr>
                <w:rFonts w:ascii="Arial" w:cs="Arial" w:eastAsia="Arial" w:hAnsi="Arial"/>
                <w:sz w:val="14"/>
                <w:szCs w:val="14"/>
                <w:color w:val="auto"/>
              </w:rPr>
              <w:t>Discount rate</w:t>
            </w:r>
          </w:p>
        </w:tc>
        <w:tc>
          <w:tcPr>
            <w:tcW w:w="1060" w:type="dxa"/>
            <w:vAlign w:val="bottom"/>
          </w:tcPr>
          <w:p>
            <w:pPr>
              <w:jc w:val="right"/>
              <w:ind w:right="309"/>
              <w:spacing w:after="0"/>
              <w:rPr>
                <w:sz w:val="20"/>
                <w:szCs w:val="20"/>
                <w:color w:val="auto"/>
              </w:rPr>
            </w:pPr>
            <w:r>
              <w:rPr>
                <w:rFonts w:ascii="Arial" w:cs="Arial" w:eastAsia="Arial" w:hAnsi="Arial"/>
                <w:sz w:val="14"/>
                <w:szCs w:val="14"/>
                <w:color w:val="auto"/>
              </w:rPr>
              <w:t>6.10%</w:t>
            </w:r>
          </w:p>
        </w:tc>
        <w:tc>
          <w:tcPr>
            <w:tcW w:w="960" w:type="dxa"/>
            <w:vAlign w:val="bottom"/>
          </w:tcPr>
          <w:p>
            <w:pPr>
              <w:jc w:val="right"/>
              <w:spacing w:after="0"/>
              <w:rPr>
                <w:sz w:val="20"/>
                <w:szCs w:val="20"/>
                <w:color w:val="auto"/>
              </w:rPr>
            </w:pPr>
            <w:r>
              <w:rPr>
                <w:rFonts w:ascii="Arial" w:cs="Arial" w:eastAsia="Arial" w:hAnsi="Arial"/>
                <w:sz w:val="14"/>
                <w:szCs w:val="14"/>
                <w:color w:val="auto"/>
              </w:rPr>
              <w:t>5.75%</w:t>
            </w:r>
          </w:p>
        </w:tc>
        <w:tc>
          <w:tcPr>
            <w:tcW w:w="1600" w:type="dxa"/>
            <w:vAlign w:val="bottom"/>
            <w:gridSpan w:val="2"/>
          </w:tcPr>
          <w:p>
            <w:pPr>
              <w:jc w:val="right"/>
              <w:ind w:right="433"/>
              <w:spacing w:after="0"/>
              <w:rPr>
                <w:sz w:val="20"/>
                <w:szCs w:val="20"/>
                <w:color w:val="auto"/>
              </w:rPr>
            </w:pPr>
            <w:r>
              <w:rPr>
                <w:rFonts w:ascii="Arial" w:cs="Arial" w:eastAsia="Arial" w:hAnsi="Arial"/>
                <w:sz w:val="14"/>
                <w:szCs w:val="14"/>
                <w:color w:val="auto"/>
              </w:rPr>
              <w:t>6.20%</w:t>
            </w:r>
          </w:p>
        </w:tc>
        <w:tc>
          <w:tcPr>
            <w:tcW w:w="900" w:type="dxa"/>
            <w:vAlign w:val="bottom"/>
          </w:tcPr>
          <w:p>
            <w:pPr>
              <w:jc w:val="right"/>
              <w:ind w:right="169"/>
              <w:spacing w:after="0"/>
              <w:rPr>
                <w:sz w:val="20"/>
                <w:szCs w:val="20"/>
                <w:color w:val="auto"/>
              </w:rPr>
            </w:pPr>
            <w:r>
              <w:rPr>
                <w:rFonts w:ascii="Arial" w:cs="Arial" w:eastAsia="Arial" w:hAnsi="Arial"/>
                <w:sz w:val="14"/>
                <w:szCs w:val="14"/>
                <w:color w:val="auto"/>
              </w:rPr>
              <w:t>5.85%</w:t>
            </w:r>
          </w:p>
        </w:tc>
      </w:tr>
      <w:tr>
        <w:trPr>
          <w:trHeight w:val="216"/>
        </w:trPr>
        <w:tc>
          <w:tcPr>
            <w:tcW w:w="3240" w:type="dxa"/>
            <w:vAlign w:val="bottom"/>
          </w:tcPr>
          <w:p>
            <w:pPr>
              <w:spacing w:after="0"/>
              <w:rPr>
                <w:sz w:val="20"/>
                <w:szCs w:val="20"/>
                <w:color w:val="auto"/>
              </w:rPr>
            </w:pPr>
            <w:r>
              <w:rPr>
                <w:rFonts w:ascii="Arial" w:cs="Arial" w:eastAsia="Arial" w:hAnsi="Arial"/>
                <w:sz w:val="14"/>
                <w:szCs w:val="14"/>
                <w:color w:val="auto"/>
              </w:rPr>
              <w:t>Expected return on plan assets</w:t>
            </w:r>
          </w:p>
        </w:tc>
        <w:tc>
          <w:tcPr>
            <w:tcW w:w="1060" w:type="dxa"/>
            <w:vAlign w:val="bottom"/>
          </w:tcPr>
          <w:p>
            <w:pPr>
              <w:jc w:val="right"/>
              <w:ind w:right="309"/>
              <w:spacing w:after="0"/>
              <w:rPr>
                <w:sz w:val="20"/>
                <w:szCs w:val="20"/>
                <w:color w:val="auto"/>
              </w:rPr>
            </w:pPr>
            <w:r>
              <w:rPr>
                <w:rFonts w:ascii="Arial" w:cs="Arial" w:eastAsia="Arial" w:hAnsi="Arial"/>
                <w:sz w:val="14"/>
                <w:szCs w:val="14"/>
                <w:color w:val="auto"/>
              </w:rPr>
              <w:t>7.00%</w:t>
            </w:r>
          </w:p>
        </w:tc>
        <w:tc>
          <w:tcPr>
            <w:tcW w:w="960" w:type="dxa"/>
            <w:vAlign w:val="bottom"/>
          </w:tcPr>
          <w:p>
            <w:pPr>
              <w:jc w:val="right"/>
              <w:spacing w:after="0"/>
              <w:rPr>
                <w:sz w:val="20"/>
                <w:szCs w:val="20"/>
                <w:color w:val="auto"/>
              </w:rPr>
            </w:pPr>
            <w:r>
              <w:rPr>
                <w:rFonts w:ascii="Arial" w:cs="Arial" w:eastAsia="Arial" w:hAnsi="Arial"/>
                <w:sz w:val="14"/>
                <w:szCs w:val="14"/>
                <w:color w:val="auto"/>
              </w:rPr>
              <w:t>7.00%</w:t>
            </w:r>
          </w:p>
        </w:tc>
        <w:tc>
          <w:tcPr>
            <w:tcW w:w="1600" w:type="dxa"/>
            <w:vAlign w:val="bottom"/>
            <w:gridSpan w:val="2"/>
          </w:tcPr>
          <w:p>
            <w:pPr>
              <w:jc w:val="right"/>
              <w:ind w:right="433"/>
              <w:spacing w:after="0"/>
              <w:rPr>
                <w:sz w:val="20"/>
                <w:szCs w:val="20"/>
                <w:color w:val="auto"/>
              </w:rPr>
            </w:pPr>
            <w:r>
              <w:rPr>
                <w:rFonts w:ascii="Arial" w:cs="Arial" w:eastAsia="Arial" w:hAnsi="Arial"/>
                <w:sz w:val="14"/>
                <w:szCs w:val="14"/>
                <w:color w:val="auto"/>
              </w:rPr>
              <w:t>6.88%</w:t>
            </w:r>
          </w:p>
        </w:tc>
        <w:tc>
          <w:tcPr>
            <w:tcW w:w="900" w:type="dxa"/>
            <w:vAlign w:val="bottom"/>
          </w:tcPr>
          <w:p>
            <w:pPr>
              <w:jc w:val="right"/>
              <w:ind w:right="169"/>
              <w:spacing w:after="0"/>
              <w:rPr>
                <w:sz w:val="20"/>
                <w:szCs w:val="20"/>
                <w:color w:val="auto"/>
              </w:rPr>
            </w:pPr>
            <w:r>
              <w:rPr>
                <w:rFonts w:ascii="Arial" w:cs="Arial" w:eastAsia="Arial" w:hAnsi="Arial"/>
                <w:sz w:val="14"/>
                <w:szCs w:val="14"/>
                <w:color w:val="auto"/>
              </w:rPr>
              <w:t>6.86%</w:t>
            </w:r>
          </w:p>
        </w:tc>
      </w:tr>
      <w:tr>
        <w:trPr>
          <w:trHeight w:val="216"/>
        </w:trPr>
        <w:tc>
          <w:tcPr>
            <w:tcW w:w="3240" w:type="dxa"/>
            <w:vAlign w:val="bottom"/>
          </w:tcPr>
          <w:p>
            <w:pPr>
              <w:spacing w:after="0"/>
              <w:rPr>
                <w:sz w:val="20"/>
                <w:szCs w:val="20"/>
                <w:color w:val="auto"/>
              </w:rPr>
            </w:pPr>
            <w:r>
              <w:rPr>
                <w:rFonts w:ascii="Arial" w:cs="Arial" w:eastAsia="Arial" w:hAnsi="Arial"/>
                <w:sz w:val="14"/>
                <w:szCs w:val="14"/>
                <w:color w:val="auto"/>
              </w:rPr>
              <w:t>Rate of compensation increase</w:t>
            </w:r>
          </w:p>
        </w:tc>
        <w:tc>
          <w:tcPr>
            <w:tcW w:w="1060" w:type="dxa"/>
            <w:vAlign w:val="bottom"/>
          </w:tcPr>
          <w:p>
            <w:pPr>
              <w:jc w:val="right"/>
              <w:ind w:right="309"/>
              <w:spacing w:after="0"/>
              <w:rPr>
                <w:sz w:val="20"/>
                <w:szCs w:val="20"/>
                <w:color w:val="auto"/>
              </w:rPr>
            </w:pPr>
            <w:r>
              <w:rPr>
                <w:rFonts w:ascii="Arial" w:cs="Arial" w:eastAsia="Arial" w:hAnsi="Arial"/>
                <w:sz w:val="14"/>
                <w:szCs w:val="14"/>
                <w:color w:val="auto"/>
              </w:rPr>
              <w:t>(1)</w:t>
            </w:r>
          </w:p>
        </w:tc>
        <w:tc>
          <w:tcPr>
            <w:tcW w:w="960" w:type="dxa"/>
            <w:vAlign w:val="bottom"/>
          </w:tcPr>
          <w:p>
            <w:pPr>
              <w:jc w:val="right"/>
              <w:spacing w:after="0"/>
              <w:rPr>
                <w:sz w:val="20"/>
                <w:szCs w:val="20"/>
                <w:color w:val="auto"/>
              </w:rPr>
            </w:pPr>
            <w:r>
              <w:rPr>
                <w:rFonts w:ascii="Arial" w:cs="Arial" w:eastAsia="Arial" w:hAnsi="Arial"/>
                <w:sz w:val="14"/>
                <w:szCs w:val="14"/>
                <w:color w:val="auto"/>
              </w:rPr>
              <w:t>(1)</w:t>
            </w:r>
          </w:p>
        </w:tc>
        <w:tc>
          <w:tcPr>
            <w:tcW w:w="1600" w:type="dxa"/>
            <w:vAlign w:val="bottom"/>
            <w:gridSpan w:val="2"/>
          </w:tcPr>
          <w:p>
            <w:pPr>
              <w:jc w:val="right"/>
              <w:ind w:right="433"/>
              <w:spacing w:after="0"/>
              <w:rPr>
                <w:sz w:val="20"/>
                <w:szCs w:val="20"/>
                <w:color w:val="auto"/>
              </w:rPr>
            </w:pPr>
            <w:r>
              <w:rPr>
                <w:rFonts w:ascii="Arial" w:cs="Arial" w:eastAsia="Arial" w:hAnsi="Arial"/>
                <w:sz w:val="14"/>
                <w:szCs w:val="14"/>
                <w:color w:val="auto"/>
              </w:rPr>
              <w:t>(2)</w:t>
            </w:r>
          </w:p>
        </w:tc>
        <w:tc>
          <w:tcPr>
            <w:tcW w:w="900" w:type="dxa"/>
            <w:vAlign w:val="bottom"/>
          </w:tcPr>
          <w:p>
            <w:pPr>
              <w:jc w:val="right"/>
              <w:ind w:right="169"/>
              <w:spacing w:after="0"/>
              <w:rPr>
                <w:sz w:val="20"/>
                <w:szCs w:val="20"/>
                <w:color w:val="auto"/>
              </w:rPr>
            </w:pPr>
            <w:r>
              <w:rPr>
                <w:rFonts w:ascii="Arial" w:cs="Arial" w:eastAsia="Arial" w:hAnsi="Arial"/>
                <w:sz w:val="14"/>
                <w:szCs w:val="14"/>
                <w:color w:val="auto"/>
              </w:rPr>
              <w:t>(2)</w:t>
            </w:r>
          </w:p>
        </w:tc>
      </w:tr>
      <w:tr>
        <w:trPr>
          <w:trHeight w:val="432"/>
        </w:trPr>
        <w:tc>
          <w:tcPr>
            <w:tcW w:w="3240" w:type="dxa"/>
            <w:vAlign w:val="bottom"/>
          </w:tcPr>
          <w:p>
            <w:pPr>
              <w:spacing w:after="0"/>
              <w:rPr>
                <w:sz w:val="20"/>
                <w:szCs w:val="20"/>
                <w:color w:val="auto"/>
              </w:rPr>
            </w:pPr>
            <w:r>
              <w:rPr>
                <w:rFonts w:ascii="Arial" w:cs="Arial" w:eastAsia="Arial" w:hAnsi="Arial"/>
                <w:sz w:val="14"/>
                <w:szCs w:val="14"/>
                <w:b w:val="1"/>
                <w:bCs w:val="1"/>
                <w:color w:val="auto"/>
              </w:rPr>
              <w:t>SDG&amp;E</w:t>
            </w:r>
          </w:p>
        </w:tc>
        <w:tc>
          <w:tcPr>
            <w:tcW w:w="10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16"/>
        </w:trPr>
        <w:tc>
          <w:tcPr>
            <w:tcW w:w="3240" w:type="dxa"/>
            <w:vAlign w:val="bottom"/>
          </w:tcPr>
          <w:p>
            <w:pPr>
              <w:spacing w:after="0"/>
              <w:rPr>
                <w:sz w:val="20"/>
                <w:szCs w:val="20"/>
                <w:color w:val="auto"/>
              </w:rPr>
            </w:pPr>
            <w:r>
              <w:rPr>
                <w:rFonts w:ascii="Arial" w:cs="Arial" w:eastAsia="Arial" w:hAnsi="Arial"/>
                <w:sz w:val="14"/>
                <w:szCs w:val="14"/>
                <w:color w:val="auto"/>
              </w:rPr>
              <w:t>Discount rate</w:t>
            </w:r>
          </w:p>
        </w:tc>
        <w:tc>
          <w:tcPr>
            <w:tcW w:w="1060" w:type="dxa"/>
            <w:vAlign w:val="bottom"/>
          </w:tcPr>
          <w:p>
            <w:pPr>
              <w:jc w:val="right"/>
              <w:ind w:right="309"/>
              <w:spacing w:after="0"/>
              <w:rPr>
                <w:sz w:val="20"/>
                <w:szCs w:val="20"/>
                <w:color w:val="auto"/>
              </w:rPr>
            </w:pPr>
            <w:r>
              <w:rPr>
                <w:rFonts w:ascii="Arial" w:cs="Arial" w:eastAsia="Arial" w:hAnsi="Arial"/>
                <w:sz w:val="14"/>
                <w:szCs w:val="14"/>
                <w:color w:val="auto"/>
              </w:rPr>
              <w:t>6.10%</w:t>
            </w:r>
          </w:p>
        </w:tc>
        <w:tc>
          <w:tcPr>
            <w:tcW w:w="960" w:type="dxa"/>
            <w:vAlign w:val="bottom"/>
          </w:tcPr>
          <w:p>
            <w:pPr>
              <w:jc w:val="right"/>
              <w:spacing w:after="0"/>
              <w:rPr>
                <w:sz w:val="20"/>
                <w:szCs w:val="20"/>
                <w:color w:val="auto"/>
              </w:rPr>
            </w:pPr>
            <w:r>
              <w:rPr>
                <w:rFonts w:ascii="Arial" w:cs="Arial" w:eastAsia="Arial" w:hAnsi="Arial"/>
                <w:sz w:val="14"/>
                <w:szCs w:val="14"/>
                <w:color w:val="auto"/>
              </w:rPr>
              <w:t>5.75%</w:t>
            </w:r>
          </w:p>
        </w:tc>
        <w:tc>
          <w:tcPr>
            <w:tcW w:w="1600" w:type="dxa"/>
            <w:vAlign w:val="bottom"/>
            <w:gridSpan w:val="2"/>
          </w:tcPr>
          <w:p>
            <w:pPr>
              <w:jc w:val="right"/>
              <w:ind w:right="433"/>
              <w:spacing w:after="0"/>
              <w:rPr>
                <w:sz w:val="20"/>
                <w:szCs w:val="20"/>
                <w:color w:val="auto"/>
              </w:rPr>
            </w:pPr>
            <w:r>
              <w:rPr>
                <w:rFonts w:ascii="Arial" w:cs="Arial" w:eastAsia="Arial" w:hAnsi="Arial"/>
                <w:sz w:val="14"/>
                <w:szCs w:val="14"/>
                <w:color w:val="auto"/>
              </w:rPr>
              <w:t>6.20%</w:t>
            </w:r>
          </w:p>
        </w:tc>
        <w:tc>
          <w:tcPr>
            <w:tcW w:w="900" w:type="dxa"/>
            <w:vAlign w:val="bottom"/>
          </w:tcPr>
          <w:p>
            <w:pPr>
              <w:jc w:val="right"/>
              <w:ind w:right="169"/>
              <w:spacing w:after="0"/>
              <w:rPr>
                <w:sz w:val="20"/>
                <w:szCs w:val="20"/>
                <w:color w:val="auto"/>
              </w:rPr>
            </w:pPr>
            <w:r>
              <w:rPr>
                <w:rFonts w:ascii="Arial" w:cs="Arial" w:eastAsia="Arial" w:hAnsi="Arial"/>
                <w:sz w:val="14"/>
                <w:szCs w:val="14"/>
                <w:color w:val="auto"/>
              </w:rPr>
              <w:t>5.85%</w:t>
            </w:r>
          </w:p>
        </w:tc>
      </w:tr>
      <w:tr>
        <w:trPr>
          <w:trHeight w:val="216"/>
        </w:trPr>
        <w:tc>
          <w:tcPr>
            <w:tcW w:w="3240" w:type="dxa"/>
            <w:vAlign w:val="bottom"/>
          </w:tcPr>
          <w:p>
            <w:pPr>
              <w:spacing w:after="0"/>
              <w:rPr>
                <w:sz w:val="20"/>
                <w:szCs w:val="20"/>
                <w:color w:val="auto"/>
              </w:rPr>
            </w:pPr>
            <w:r>
              <w:rPr>
                <w:rFonts w:ascii="Arial" w:cs="Arial" w:eastAsia="Arial" w:hAnsi="Arial"/>
                <w:sz w:val="14"/>
                <w:szCs w:val="14"/>
                <w:color w:val="auto"/>
              </w:rPr>
              <w:t>Expected return on plan assets</w:t>
            </w:r>
          </w:p>
        </w:tc>
        <w:tc>
          <w:tcPr>
            <w:tcW w:w="1060" w:type="dxa"/>
            <w:vAlign w:val="bottom"/>
          </w:tcPr>
          <w:p>
            <w:pPr>
              <w:jc w:val="right"/>
              <w:ind w:right="309"/>
              <w:spacing w:after="0"/>
              <w:rPr>
                <w:sz w:val="20"/>
                <w:szCs w:val="20"/>
                <w:color w:val="auto"/>
              </w:rPr>
            </w:pPr>
            <w:r>
              <w:rPr>
                <w:rFonts w:ascii="Arial" w:cs="Arial" w:eastAsia="Arial" w:hAnsi="Arial"/>
                <w:sz w:val="14"/>
                <w:szCs w:val="14"/>
                <w:color w:val="auto"/>
              </w:rPr>
              <w:t>7.00%</w:t>
            </w:r>
          </w:p>
        </w:tc>
        <w:tc>
          <w:tcPr>
            <w:tcW w:w="960" w:type="dxa"/>
            <w:vAlign w:val="bottom"/>
          </w:tcPr>
          <w:p>
            <w:pPr>
              <w:jc w:val="right"/>
              <w:spacing w:after="0"/>
              <w:rPr>
                <w:sz w:val="20"/>
                <w:szCs w:val="20"/>
                <w:color w:val="auto"/>
              </w:rPr>
            </w:pPr>
            <w:r>
              <w:rPr>
                <w:rFonts w:ascii="Arial" w:cs="Arial" w:eastAsia="Arial" w:hAnsi="Arial"/>
                <w:sz w:val="14"/>
                <w:szCs w:val="14"/>
                <w:color w:val="auto"/>
              </w:rPr>
              <w:t>7.00%</w:t>
            </w:r>
          </w:p>
        </w:tc>
        <w:tc>
          <w:tcPr>
            <w:tcW w:w="1600" w:type="dxa"/>
            <w:vAlign w:val="bottom"/>
            <w:gridSpan w:val="2"/>
          </w:tcPr>
          <w:p>
            <w:pPr>
              <w:jc w:val="right"/>
              <w:ind w:right="433"/>
              <w:spacing w:after="0"/>
              <w:rPr>
                <w:sz w:val="20"/>
                <w:szCs w:val="20"/>
                <w:color w:val="auto"/>
              </w:rPr>
            </w:pPr>
            <w:r>
              <w:rPr>
                <w:rFonts w:ascii="Arial" w:cs="Arial" w:eastAsia="Arial" w:hAnsi="Arial"/>
                <w:sz w:val="14"/>
                <w:szCs w:val="14"/>
                <w:color w:val="auto"/>
              </w:rPr>
              <w:t>5.89%</w:t>
            </w:r>
          </w:p>
        </w:tc>
        <w:tc>
          <w:tcPr>
            <w:tcW w:w="900" w:type="dxa"/>
            <w:vAlign w:val="bottom"/>
          </w:tcPr>
          <w:p>
            <w:pPr>
              <w:jc w:val="right"/>
              <w:ind w:right="169"/>
              <w:spacing w:after="0"/>
              <w:rPr>
                <w:sz w:val="20"/>
                <w:szCs w:val="20"/>
                <w:color w:val="auto"/>
              </w:rPr>
            </w:pPr>
            <w:r>
              <w:rPr>
                <w:rFonts w:ascii="Arial" w:cs="Arial" w:eastAsia="Arial" w:hAnsi="Arial"/>
                <w:sz w:val="14"/>
                <w:szCs w:val="14"/>
                <w:color w:val="auto"/>
              </w:rPr>
              <w:t>5.50%</w:t>
            </w:r>
          </w:p>
        </w:tc>
      </w:tr>
      <w:tr>
        <w:trPr>
          <w:trHeight w:val="216"/>
        </w:trPr>
        <w:tc>
          <w:tcPr>
            <w:tcW w:w="3240" w:type="dxa"/>
            <w:vAlign w:val="bottom"/>
          </w:tcPr>
          <w:p>
            <w:pPr>
              <w:spacing w:after="0"/>
              <w:rPr>
                <w:sz w:val="20"/>
                <w:szCs w:val="20"/>
                <w:color w:val="auto"/>
              </w:rPr>
            </w:pPr>
            <w:r>
              <w:rPr>
                <w:rFonts w:ascii="Arial" w:cs="Arial" w:eastAsia="Arial" w:hAnsi="Arial"/>
                <w:sz w:val="14"/>
                <w:szCs w:val="14"/>
                <w:color w:val="auto"/>
              </w:rPr>
              <w:t>Rate of compensation increase</w:t>
            </w:r>
          </w:p>
        </w:tc>
        <w:tc>
          <w:tcPr>
            <w:tcW w:w="1060" w:type="dxa"/>
            <w:vAlign w:val="bottom"/>
          </w:tcPr>
          <w:p>
            <w:pPr>
              <w:jc w:val="right"/>
              <w:ind w:right="309"/>
              <w:spacing w:after="0"/>
              <w:rPr>
                <w:sz w:val="20"/>
                <w:szCs w:val="20"/>
                <w:color w:val="auto"/>
              </w:rPr>
            </w:pPr>
            <w:r>
              <w:rPr>
                <w:rFonts w:ascii="Arial" w:cs="Arial" w:eastAsia="Arial" w:hAnsi="Arial"/>
                <w:sz w:val="14"/>
                <w:szCs w:val="14"/>
                <w:color w:val="auto"/>
              </w:rPr>
              <w:t>(3)</w:t>
            </w:r>
          </w:p>
        </w:tc>
        <w:tc>
          <w:tcPr>
            <w:tcW w:w="960" w:type="dxa"/>
            <w:vAlign w:val="bottom"/>
          </w:tcPr>
          <w:p>
            <w:pPr>
              <w:jc w:val="right"/>
              <w:spacing w:after="0"/>
              <w:rPr>
                <w:sz w:val="20"/>
                <w:szCs w:val="20"/>
                <w:color w:val="auto"/>
              </w:rPr>
            </w:pPr>
            <w:r>
              <w:rPr>
                <w:rFonts w:ascii="Arial" w:cs="Arial" w:eastAsia="Arial" w:hAnsi="Arial"/>
                <w:sz w:val="14"/>
                <w:szCs w:val="14"/>
                <w:color w:val="auto"/>
              </w:rPr>
              <w:t>(3)</w:t>
            </w:r>
          </w:p>
        </w:tc>
        <w:tc>
          <w:tcPr>
            <w:tcW w:w="220" w:type="dxa"/>
            <w:vAlign w:val="bottom"/>
          </w:tcPr>
          <w:p>
            <w:pPr>
              <w:spacing w:after="0"/>
              <w:rPr>
                <w:sz w:val="18"/>
                <w:szCs w:val="18"/>
                <w:color w:val="auto"/>
              </w:rPr>
            </w:pPr>
          </w:p>
        </w:tc>
        <w:tc>
          <w:tcPr>
            <w:tcW w:w="1380" w:type="dxa"/>
            <w:vAlign w:val="bottom"/>
          </w:tcPr>
          <w:p>
            <w:pPr>
              <w:jc w:val="right"/>
              <w:ind w:right="433"/>
              <w:spacing w:after="0"/>
              <w:rPr>
                <w:sz w:val="20"/>
                <w:szCs w:val="20"/>
                <w:color w:val="auto"/>
              </w:rPr>
            </w:pPr>
            <w:r>
              <w:rPr>
                <w:rFonts w:ascii="Arial" w:cs="Arial" w:eastAsia="Arial" w:hAnsi="Arial"/>
                <w:sz w:val="14"/>
                <w:szCs w:val="14"/>
                <w:color w:val="auto"/>
              </w:rPr>
              <w:t>N/A</w:t>
            </w:r>
          </w:p>
        </w:tc>
        <w:tc>
          <w:tcPr>
            <w:tcW w:w="900" w:type="dxa"/>
            <w:vAlign w:val="bottom"/>
          </w:tcPr>
          <w:p>
            <w:pPr>
              <w:jc w:val="right"/>
              <w:ind w:right="169"/>
              <w:spacing w:after="0"/>
              <w:rPr>
                <w:sz w:val="20"/>
                <w:szCs w:val="20"/>
                <w:color w:val="auto"/>
              </w:rPr>
            </w:pPr>
            <w:r>
              <w:rPr>
                <w:rFonts w:ascii="Arial" w:cs="Arial" w:eastAsia="Arial" w:hAnsi="Arial"/>
                <w:sz w:val="14"/>
                <w:szCs w:val="14"/>
                <w:color w:val="auto"/>
              </w:rPr>
              <w:t>N/A</w:t>
            </w:r>
          </w:p>
        </w:tc>
      </w:tr>
      <w:tr>
        <w:trPr>
          <w:trHeight w:val="432"/>
        </w:trPr>
        <w:tc>
          <w:tcPr>
            <w:tcW w:w="3240" w:type="dxa"/>
            <w:vAlign w:val="bottom"/>
          </w:tcPr>
          <w:p>
            <w:pPr>
              <w:spacing w:after="0"/>
              <w:rPr>
                <w:sz w:val="20"/>
                <w:szCs w:val="20"/>
                <w:color w:val="auto"/>
              </w:rPr>
            </w:pPr>
            <w:r>
              <w:rPr>
                <w:rFonts w:ascii="Arial" w:cs="Arial" w:eastAsia="Arial" w:hAnsi="Arial"/>
                <w:sz w:val="14"/>
                <w:szCs w:val="14"/>
                <w:b w:val="1"/>
                <w:bCs w:val="1"/>
                <w:color w:val="auto"/>
              </w:rPr>
              <w:t>SoCalGas</w:t>
            </w:r>
          </w:p>
        </w:tc>
        <w:tc>
          <w:tcPr>
            <w:tcW w:w="10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16"/>
        </w:trPr>
        <w:tc>
          <w:tcPr>
            <w:tcW w:w="3240" w:type="dxa"/>
            <w:vAlign w:val="bottom"/>
          </w:tcPr>
          <w:p>
            <w:pPr>
              <w:spacing w:after="0"/>
              <w:rPr>
                <w:sz w:val="20"/>
                <w:szCs w:val="20"/>
                <w:color w:val="auto"/>
              </w:rPr>
            </w:pPr>
            <w:r>
              <w:rPr>
                <w:rFonts w:ascii="Arial" w:cs="Arial" w:eastAsia="Arial" w:hAnsi="Arial"/>
                <w:sz w:val="14"/>
                <w:szCs w:val="14"/>
                <w:color w:val="auto"/>
              </w:rPr>
              <w:t>Discount rate</w:t>
            </w:r>
          </w:p>
        </w:tc>
        <w:tc>
          <w:tcPr>
            <w:tcW w:w="1060" w:type="dxa"/>
            <w:vAlign w:val="bottom"/>
          </w:tcPr>
          <w:p>
            <w:pPr>
              <w:jc w:val="right"/>
              <w:ind w:right="309"/>
              <w:spacing w:after="0"/>
              <w:rPr>
                <w:sz w:val="20"/>
                <w:szCs w:val="20"/>
                <w:color w:val="auto"/>
              </w:rPr>
            </w:pPr>
            <w:r>
              <w:rPr>
                <w:rFonts w:ascii="Arial" w:cs="Arial" w:eastAsia="Arial" w:hAnsi="Arial"/>
                <w:sz w:val="14"/>
                <w:szCs w:val="14"/>
                <w:color w:val="auto"/>
              </w:rPr>
              <w:t>6.10%</w:t>
            </w:r>
          </w:p>
        </w:tc>
        <w:tc>
          <w:tcPr>
            <w:tcW w:w="960" w:type="dxa"/>
            <w:vAlign w:val="bottom"/>
          </w:tcPr>
          <w:p>
            <w:pPr>
              <w:jc w:val="right"/>
              <w:spacing w:after="0"/>
              <w:rPr>
                <w:sz w:val="20"/>
                <w:szCs w:val="20"/>
                <w:color w:val="auto"/>
              </w:rPr>
            </w:pPr>
            <w:r>
              <w:rPr>
                <w:rFonts w:ascii="Arial" w:cs="Arial" w:eastAsia="Arial" w:hAnsi="Arial"/>
                <w:sz w:val="14"/>
                <w:szCs w:val="14"/>
                <w:color w:val="auto"/>
              </w:rPr>
              <w:t>5.75%</w:t>
            </w:r>
          </w:p>
        </w:tc>
        <w:tc>
          <w:tcPr>
            <w:tcW w:w="1600" w:type="dxa"/>
            <w:vAlign w:val="bottom"/>
            <w:gridSpan w:val="2"/>
          </w:tcPr>
          <w:p>
            <w:pPr>
              <w:jc w:val="right"/>
              <w:ind w:right="433"/>
              <w:spacing w:after="0"/>
              <w:rPr>
                <w:sz w:val="20"/>
                <w:szCs w:val="20"/>
                <w:color w:val="auto"/>
              </w:rPr>
            </w:pPr>
            <w:r>
              <w:rPr>
                <w:rFonts w:ascii="Arial" w:cs="Arial" w:eastAsia="Arial" w:hAnsi="Arial"/>
                <w:sz w:val="14"/>
                <w:szCs w:val="14"/>
                <w:color w:val="auto"/>
              </w:rPr>
              <w:t>6.20%</w:t>
            </w:r>
          </w:p>
        </w:tc>
        <w:tc>
          <w:tcPr>
            <w:tcW w:w="900" w:type="dxa"/>
            <w:vAlign w:val="bottom"/>
          </w:tcPr>
          <w:p>
            <w:pPr>
              <w:jc w:val="right"/>
              <w:ind w:right="169"/>
              <w:spacing w:after="0"/>
              <w:rPr>
                <w:sz w:val="20"/>
                <w:szCs w:val="20"/>
                <w:color w:val="auto"/>
              </w:rPr>
            </w:pPr>
            <w:r>
              <w:rPr>
                <w:rFonts w:ascii="Arial" w:cs="Arial" w:eastAsia="Arial" w:hAnsi="Arial"/>
                <w:sz w:val="14"/>
                <w:szCs w:val="14"/>
                <w:color w:val="auto"/>
              </w:rPr>
              <w:t>5.85%</w:t>
            </w:r>
          </w:p>
        </w:tc>
      </w:tr>
      <w:tr>
        <w:trPr>
          <w:trHeight w:val="216"/>
        </w:trPr>
        <w:tc>
          <w:tcPr>
            <w:tcW w:w="3240" w:type="dxa"/>
            <w:vAlign w:val="bottom"/>
          </w:tcPr>
          <w:p>
            <w:pPr>
              <w:spacing w:after="0"/>
              <w:rPr>
                <w:sz w:val="20"/>
                <w:szCs w:val="20"/>
                <w:color w:val="auto"/>
              </w:rPr>
            </w:pPr>
            <w:r>
              <w:rPr>
                <w:rFonts w:ascii="Arial" w:cs="Arial" w:eastAsia="Arial" w:hAnsi="Arial"/>
                <w:sz w:val="14"/>
                <w:szCs w:val="14"/>
                <w:color w:val="auto"/>
              </w:rPr>
              <w:t>Expected return on plan assets</w:t>
            </w:r>
          </w:p>
        </w:tc>
        <w:tc>
          <w:tcPr>
            <w:tcW w:w="1060" w:type="dxa"/>
            <w:vAlign w:val="bottom"/>
          </w:tcPr>
          <w:p>
            <w:pPr>
              <w:jc w:val="right"/>
              <w:ind w:right="309"/>
              <w:spacing w:after="0"/>
              <w:rPr>
                <w:sz w:val="20"/>
                <w:szCs w:val="20"/>
                <w:color w:val="auto"/>
              </w:rPr>
            </w:pPr>
            <w:r>
              <w:rPr>
                <w:rFonts w:ascii="Arial" w:cs="Arial" w:eastAsia="Arial" w:hAnsi="Arial"/>
                <w:sz w:val="14"/>
                <w:szCs w:val="14"/>
                <w:color w:val="auto"/>
              </w:rPr>
              <w:t>7.00%</w:t>
            </w:r>
          </w:p>
        </w:tc>
        <w:tc>
          <w:tcPr>
            <w:tcW w:w="960" w:type="dxa"/>
            <w:vAlign w:val="bottom"/>
          </w:tcPr>
          <w:p>
            <w:pPr>
              <w:jc w:val="right"/>
              <w:spacing w:after="0"/>
              <w:rPr>
                <w:sz w:val="20"/>
                <w:szCs w:val="20"/>
                <w:color w:val="auto"/>
              </w:rPr>
            </w:pPr>
            <w:r>
              <w:rPr>
                <w:rFonts w:ascii="Arial" w:cs="Arial" w:eastAsia="Arial" w:hAnsi="Arial"/>
                <w:sz w:val="14"/>
                <w:szCs w:val="14"/>
                <w:color w:val="auto"/>
              </w:rPr>
              <w:t>7.00%</w:t>
            </w:r>
          </w:p>
        </w:tc>
        <w:tc>
          <w:tcPr>
            <w:tcW w:w="1600" w:type="dxa"/>
            <w:vAlign w:val="bottom"/>
            <w:gridSpan w:val="2"/>
          </w:tcPr>
          <w:p>
            <w:pPr>
              <w:jc w:val="right"/>
              <w:ind w:right="433"/>
              <w:spacing w:after="0"/>
              <w:rPr>
                <w:sz w:val="20"/>
                <w:szCs w:val="20"/>
                <w:color w:val="auto"/>
              </w:rPr>
            </w:pPr>
            <w:r>
              <w:rPr>
                <w:rFonts w:ascii="Arial" w:cs="Arial" w:eastAsia="Arial" w:hAnsi="Arial"/>
                <w:sz w:val="14"/>
                <w:szCs w:val="14"/>
                <w:color w:val="auto"/>
              </w:rPr>
              <w:t>7.00%</w:t>
            </w:r>
          </w:p>
        </w:tc>
        <w:tc>
          <w:tcPr>
            <w:tcW w:w="900" w:type="dxa"/>
            <w:vAlign w:val="bottom"/>
          </w:tcPr>
          <w:p>
            <w:pPr>
              <w:jc w:val="right"/>
              <w:ind w:right="169"/>
              <w:spacing w:after="0"/>
              <w:rPr>
                <w:sz w:val="20"/>
                <w:szCs w:val="20"/>
                <w:color w:val="auto"/>
              </w:rPr>
            </w:pPr>
            <w:r>
              <w:rPr>
                <w:rFonts w:ascii="Arial" w:cs="Arial" w:eastAsia="Arial" w:hAnsi="Arial"/>
                <w:sz w:val="14"/>
                <w:szCs w:val="14"/>
                <w:color w:val="auto"/>
              </w:rPr>
              <w:t>7.00%</w:t>
            </w:r>
          </w:p>
        </w:tc>
      </w:tr>
      <w:tr>
        <w:trPr>
          <w:trHeight w:val="250"/>
        </w:trPr>
        <w:tc>
          <w:tcPr>
            <w:tcW w:w="3240" w:type="dxa"/>
            <w:vAlign w:val="bottom"/>
            <w:tcBorders>
              <w:bottom w:val="single" w:sz="8" w:color="DFDFDF"/>
            </w:tcBorders>
          </w:tcPr>
          <w:p>
            <w:pPr>
              <w:spacing w:after="0"/>
              <w:rPr>
                <w:sz w:val="20"/>
                <w:szCs w:val="20"/>
                <w:color w:val="auto"/>
              </w:rPr>
            </w:pPr>
            <w:r>
              <w:rPr>
                <w:rFonts w:ascii="Arial" w:cs="Arial" w:eastAsia="Arial" w:hAnsi="Arial"/>
                <w:sz w:val="14"/>
                <w:szCs w:val="14"/>
                <w:color w:val="auto"/>
              </w:rPr>
              <w:t>Rate of compensation increase</w:t>
            </w:r>
          </w:p>
        </w:tc>
        <w:tc>
          <w:tcPr>
            <w:tcW w:w="1060" w:type="dxa"/>
            <w:vAlign w:val="bottom"/>
            <w:tcBorders>
              <w:bottom w:val="single" w:sz="8" w:color="DFDFDF"/>
            </w:tcBorders>
          </w:tcPr>
          <w:p>
            <w:pPr>
              <w:jc w:val="right"/>
              <w:ind w:right="309"/>
              <w:spacing w:after="0"/>
              <w:rPr>
                <w:sz w:val="20"/>
                <w:szCs w:val="20"/>
                <w:color w:val="auto"/>
              </w:rPr>
            </w:pPr>
            <w:r>
              <w:rPr>
                <w:rFonts w:ascii="Arial" w:cs="Arial" w:eastAsia="Arial" w:hAnsi="Arial"/>
                <w:sz w:val="14"/>
                <w:szCs w:val="14"/>
                <w:color w:val="auto"/>
              </w:rPr>
              <w:t>(4)</w:t>
            </w:r>
          </w:p>
        </w:tc>
        <w:tc>
          <w:tcPr>
            <w:tcW w:w="960" w:type="dxa"/>
            <w:vAlign w:val="bottom"/>
            <w:tcBorders>
              <w:bottom w:val="single" w:sz="8" w:color="DFDFDF"/>
            </w:tcBorders>
          </w:tcPr>
          <w:p>
            <w:pPr>
              <w:jc w:val="right"/>
              <w:spacing w:after="0"/>
              <w:rPr>
                <w:sz w:val="20"/>
                <w:szCs w:val="20"/>
                <w:color w:val="auto"/>
              </w:rPr>
            </w:pPr>
            <w:r>
              <w:rPr>
                <w:rFonts w:ascii="Arial" w:cs="Arial" w:eastAsia="Arial" w:hAnsi="Arial"/>
                <w:sz w:val="14"/>
                <w:szCs w:val="14"/>
                <w:color w:val="auto"/>
              </w:rPr>
              <w:t>(4)</w:t>
            </w:r>
          </w:p>
        </w:tc>
        <w:tc>
          <w:tcPr>
            <w:tcW w:w="1600" w:type="dxa"/>
            <w:vAlign w:val="bottom"/>
            <w:tcBorders>
              <w:bottom w:val="single" w:sz="8" w:color="DFDFDF"/>
            </w:tcBorders>
            <w:gridSpan w:val="2"/>
          </w:tcPr>
          <w:p>
            <w:pPr>
              <w:jc w:val="right"/>
              <w:ind w:right="433"/>
              <w:spacing w:after="0"/>
              <w:rPr>
                <w:sz w:val="20"/>
                <w:szCs w:val="20"/>
                <w:color w:val="auto"/>
              </w:rPr>
            </w:pPr>
            <w:r>
              <w:rPr>
                <w:rFonts w:ascii="Arial" w:cs="Arial" w:eastAsia="Arial" w:hAnsi="Arial"/>
                <w:sz w:val="14"/>
                <w:szCs w:val="14"/>
                <w:color w:val="auto"/>
              </w:rPr>
              <w:t>(5)</w:t>
            </w:r>
          </w:p>
        </w:tc>
        <w:tc>
          <w:tcPr>
            <w:tcW w:w="900" w:type="dxa"/>
            <w:vAlign w:val="bottom"/>
            <w:tcBorders>
              <w:bottom w:val="single" w:sz="8" w:color="DFDFDF"/>
            </w:tcBorders>
          </w:tcPr>
          <w:p>
            <w:pPr>
              <w:jc w:val="right"/>
              <w:ind w:right="169"/>
              <w:spacing w:after="0"/>
              <w:rPr>
                <w:sz w:val="20"/>
                <w:szCs w:val="20"/>
                <w:color w:val="auto"/>
              </w:rPr>
            </w:pPr>
            <w:r>
              <w:rPr>
                <w:rFonts w:ascii="Arial" w:cs="Arial" w:eastAsia="Arial" w:hAnsi="Arial"/>
                <w:sz w:val="14"/>
                <w:szCs w:val="14"/>
                <w:color w:val="auto"/>
              </w:rPr>
              <w:t>(5)</w:t>
            </w:r>
          </w:p>
        </w:tc>
      </w:tr>
    </w:tbl>
    <w:p>
      <w:pPr>
        <w:spacing w:after="0" w:line="4" w:lineRule="exact"/>
        <w:rPr>
          <w:sz w:val="20"/>
          <w:szCs w:val="20"/>
          <w:color w:val="auto"/>
        </w:rPr>
      </w:pPr>
    </w:p>
    <w:p>
      <w:pPr>
        <w:ind w:left="2220" w:right="2140" w:hanging="380"/>
        <w:spacing w:after="0" w:line="269" w:lineRule="auto"/>
        <w:tabs>
          <w:tab w:leader="none" w:pos="2220" w:val="left"/>
        </w:tabs>
        <w:numPr>
          <w:ilvl w:val="0"/>
          <w:numId w:val="350"/>
        </w:numPr>
        <w:rPr>
          <w:rFonts w:ascii="Arial" w:cs="Arial" w:eastAsia="Arial" w:hAnsi="Arial"/>
          <w:sz w:val="13"/>
          <w:szCs w:val="13"/>
          <w:i w:val="1"/>
          <w:iCs w:val="1"/>
          <w:color w:val="auto"/>
        </w:rPr>
      </w:pPr>
      <w:r>
        <w:rPr>
          <w:rFonts w:ascii="Arial" w:cs="Arial" w:eastAsia="Arial" w:hAnsi="Arial"/>
          <w:sz w:val="13"/>
          <w:szCs w:val="13"/>
          <w:i w:val="1"/>
          <w:iCs w:val="1"/>
          <w:color w:val="auto"/>
        </w:rPr>
        <w:t>4.50% for the non-qualified pension plans and 4.00% for the qualified pension plan for SoCalGas’ union participants. An age-based formula is used for all the other qualified pension plans' participants.</w:t>
      </w:r>
    </w:p>
    <w:p>
      <w:pPr>
        <w:spacing w:after="0" w:line="1" w:lineRule="exact"/>
        <w:rPr>
          <w:rFonts w:ascii="Arial" w:cs="Arial" w:eastAsia="Arial" w:hAnsi="Arial"/>
          <w:sz w:val="13"/>
          <w:szCs w:val="13"/>
          <w:i w:val="1"/>
          <w:iCs w:val="1"/>
          <w:color w:val="auto"/>
        </w:rPr>
      </w:pPr>
    </w:p>
    <w:p>
      <w:pPr>
        <w:ind w:left="2220" w:right="2520" w:hanging="380"/>
        <w:spacing w:after="0" w:line="269" w:lineRule="auto"/>
        <w:tabs>
          <w:tab w:leader="none" w:pos="2220" w:val="left"/>
        </w:tabs>
        <w:numPr>
          <w:ilvl w:val="0"/>
          <w:numId w:val="350"/>
        </w:numPr>
        <w:rPr>
          <w:rFonts w:ascii="Arial" w:cs="Arial" w:eastAsia="Arial" w:hAnsi="Arial"/>
          <w:sz w:val="13"/>
          <w:szCs w:val="13"/>
          <w:i w:val="1"/>
          <w:iCs w:val="1"/>
          <w:color w:val="auto"/>
        </w:rPr>
      </w:pPr>
      <w:r>
        <w:rPr>
          <w:rFonts w:ascii="Arial" w:cs="Arial" w:eastAsia="Arial" w:hAnsi="Arial"/>
          <w:sz w:val="13"/>
          <w:szCs w:val="13"/>
          <w:i w:val="1"/>
          <w:iCs w:val="1"/>
          <w:color w:val="auto"/>
        </w:rPr>
        <w:t>4.00% for the life insurance benefits for SoCalGas’ unions. There are no compensation-based benefits for all the other postretirement benefit plans.</w:t>
      </w:r>
    </w:p>
    <w:p>
      <w:pPr>
        <w:spacing w:after="0" w:line="1" w:lineRule="exact"/>
        <w:rPr>
          <w:rFonts w:ascii="Arial" w:cs="Arial" w:eastAsia="Arial" w:hAnsi="Arial"/>
          <w:sz w:val="13"/>
          <w:szCs w:val="13"/>
          <w:i w:val="1"/>
          <w:iCs w:val="1"/>
          <w:color w:val="auto"/>
        </w:rPr>
      </w:pPr>
    </w:p>
    <w:p>
      <w:pPr>
        <w:ind w:left="2220" w:hanging="380"/>
        <w:spacing w:after="0"/>
        <w:tabs>
          <w:tab w:leader="none" w:pos="2220" w:val="left"/>
        </w:tabs>
        <w:numPr>
          <w:ilvl w:val="0"/>
          <w:numId w:val="350"/>
        </w:numPr>
        <w:rPr>
          <w:rFonts w:ascii="Arial" w:cs="Arial" w:eastAsia="Arial" w:hAnsi="Arial"/>
          <w:sz w:val="13"/>
          <w:szCs w:val="13"/>
          <w:i w:val="1"/>
          <w:iCs w:val="1"/>
          <w:color w:val="auto"/>
        </w:rPr>
      </w:pPr>
      <w:r>
        <w:rPr>
          <w:rFonts w:ascii="Arial" w:cs="Arial" w:eastAsia="Arial" w:hAnsi="Arial"/>
          <w:sz w:val="13"/>
          <w:szCs w:val="13"/>
          <w:i w:val="1"/>
          <w:iCs w:val="1"/>
          <w:color w:val="auto"/>
        </w:rPr>
        <w:t>4.50% for the non-qualified pension plan. An age-based formula is used for the qualified pension plan.</w:t>
      </w:r>
    </w:p>
    <w:p>
      <w:pPr>
        <w:spacing w:after="0" w:line="30" w:lineRule="exact"/>
        <w:rPr>
          <w:rFonts w:ascii="Arial" w:cs="Arial" w:eastAsia="Arial" w:hAnsi="Arial"/>
          <w:sz w:val="13"/>
          <w:szCs w:val="13"/>
          <w:i w:val="1"/>
          <w:iCs w:val="1"/>
          <w:color w:val="auto"/>
        </w:rPr>
      </w:pPr>
    </w:p>
    <w:p>
      <w:pPr>
        <w:ind w:left="2220" w:right="1920" w:hanging="380"/>
        <w:spacing w:after="0" w:line="269" w:lineRule="auto"/>
        <w:tabs>
          <w:tab w:leader="none" w:pos="2220" w:val="left"/>
        </w:tabs>
        <w:numPr>
          <w:ilvl w:val="0"/>
          <w:numId w:val="350"/>
        </w:numPr>
        <w:rPr>
          <w:rFonts w:ascii="Arial" w:cs="Arial" w:eastAsia="Arial" w:hAnsi="Arial"/>
          <w:sz w:val="13"/>
          <w:szCs w:val="13"/>
          <w:i w:val="1"/>
          <w:iCs w:val="1"/>
          <w:color w:val="auto"/>
        </w:rPr>
      </w:pPr>
      <w:r>
        <w:rPr>
          <w:rFonts w:ascii="Arial" w:cs="Arial" w:eastAsia="Arial" w:hAnsi="Arial"/>
          <w:sz w:val="13"/>
          <w:szCs w:val="13"/>
          <w:i w:val="1"/>
          <w:iCs w:val="1"/>
          <w:color w:val="auto"/>
        </w:rPr>
        <w:t>4.50% for the non-qualified pension plan at SoCalGas and 4.00% for the qualified pension plan union participants. An age-based formula is used for the other qualified pension plan's participants.</w:t>
      </w:r>
    </w:p>
    <w:p>
      <w:pPr>
        <w:spacing w:after="0" w:line="1" w:lineRule="exact"/>
        <w:rPr>
          <w:rFonts w:ascii="Arial" w:cs="Arial" w:eastAsia="Arial" w:hAnsi="Arial"/>
          <w:sz w:val="13"/>
          <w:szCs w:val="13"/>
          <w:i w:val="1"/>
          <w:iCs w:val="1"/>
          <w:color w:val="auto"/>
        </w:rPr>
      </w:pPr>
    </w:p>
    <w:p>
      <w:pPr>
        <w:ind w:left="2220" w:right="1880" w:hanging="380"/>
        <w:spacing w:after="0" w:line="277" w:lineRule="auto"/>
        <w:tabs>
          <w:tab w:leader="none" w:pos="2220" w:val="left"/>
        </w:tabs>
        <w:numPr>
          <w:ilvl w:val="0"/>
          <w:numId w:val="350"/>
        </w:numPr>
        <w:rPr>
          <w:rFonts w:ascii="Arial" w:cs="Arial" w:eastAsia="Arial" w:hAnsi="Arial"/>
          <w:sz w:val="13"/>
          <w:szCs w:val="13"/>
          <w:i w:val="1"/>
          <w:iCs w:val="1"/>
          <w:color w:val="auto"/>
        </w:rPr>
      </w:pPr>
      <w:r>
        <w:rPr>
          <w:rFonts w:ascii="Arial" w:cs="Arial" w:eastAsia="Arial" w:hAnsi="Arial"/>
          <w:sz w:val="13"/>
          <w:szCs w:val="13"/>
          <w:i w:val="1"/>
          <w:iCs w:val="1"/>
          <w:color w:val="auto"/>
        </w:rPr>
        <w:t>4.00% for the life insurance benefits for SoCalGas’ unions. There are no compensation-based benefits for all other postretirement benefit plans.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Health-Care Cost Trend Rates</w:t>
      </w:r>
    </w:p>
    <w:p>
      <w:pPr>
        <w:spacing w:after="0" w:line="23" w:lineRule="exact"/>
        <w:rPr>
          <w:sz w:val="20"/>
          <w:szCs w:val="20"/>
          <w:color w:val="auto"/>
        </w:rPr>
      </w:pPr>
    </w:p>
    <w:p>
      <w:pPr>
        <w:spacing w:after="0" w:line="277" w:lineRule="auto"/>
        <w:rPr>
          <w:sz w:val="20"/>
          <w:szCs w:val="20"/>
          <w:color w:val="auto"/>
        </w:rPr>
      </w:pPr>
      <w:r>
        <w:rPr>
          <w:rFonts w:ascii="Arial" w:cs="Arial" w:eastAsia="Arial" w:hAnsi="Arial"/>
          <w:sz w:val="16"/>
          <w:szCs w:val="16"/>
          <w:color w:val="auto"/>
        </w:rPr>
        <w:t>Assumed health-care cost trend rates have a significant effect on the amounts that we report for the health-care plan costs. Following are the health-care cost trend rates applicable to our postretirement benefit plans:</w:t>
      </w:r>
    </w:p>
    <w:p>
      <w:pPr>
        <w:spacing w:after="0" w:line="313" w:lineRule="exact"/>
        <w:rPr>
          <w:sz w:val="20"/>
          <w:szCs w:val="20"/>
          <w:color w:val="auto"/>
        </w:rPr>
      </w:pPr>
    </w:p>
    <w:tbl>
      <w:tblPr>
        <w:tblLayout w:type="fixed"/>
        <w:tblInd w:w="1880" w:type="dxa"/>
        <w:tblCellMar>
          <w:top w:w="0" w:type="dxa"/>
          <w:left w:w="0" w:type="dxa"/>
          <w:bottom w:w="0" w:type="dxa"/>
          <w:right w:w="0" w:type="dxa"/>
        </w:tblCellMar>
      </w:tblPr>
      <w:tr>
        <w:trPr>
          <w:trHeight w:val="159"/>
        </w:trPr>
        <w:tc>
          <w:tcPr>
            <w:tcW w:w="3800" w:type="dxa"/>
            <w:vAlign w:val="bottom"/>
            <w:tcBorders>
              <w:bottom w:val="single" w:sz="8" w:color="auto"/>
            </w:tcBorders>
          </w:tcPr>
          <w:p>
            <w:pPr>
              <w:spacing w:after="0"/>
              <w:rPr>
                <w:sz w:val="13"/>
                <w:szCs w:val="13"/>
                <w:color w:val="auto"/>
              </w:rPr>
            </w:pPr>
          </w:p>
        </w:tc>
        <w:tc>
          <w:tcPr>
            <w:tcW w:w="2180" w:type="dxa"/>
            <w:vAlign w:val="bottom"/>
            <w:tcBorders>
              <w:bottom w:val="single" w:sz="8" w:color="auto"/>
            </w:tcBorders>
          </w:tcPr>
          <w:p>
            <w:pPr>
              <w:jc w:val="right"/>
              <w:ind w:right="630"/>
              <w:spacing w:after="0"/>
              <w:rPr>
                <w:sz w:val="20"/>
                <w:szCs w:val="20"/>
                <w:color w:val="auto"/>
              </w:rPr>
            </w:pPr>
            <w:r>
              <w:rPr>
                <w:rFonts w:ascii="Arial" w:cs="Arial" w:eastAsia="Arial" w:hAnsi="Arial"/>
                <w:sz w:val="13"/>
                <w:szCs w:val="13"/>
                <w:color w:val="auto"/>
              </w:rPr>
              <w:t>2008</w:t>
            </w:r>
          </w:p>
        </w:tc>
        <w:tc>
          <w:tcPr>
            <w:tcW w:w="1700" w:type="dxa"/>
            <w:vAlign w:val="bottom"/>
            <w:tcBorders>
              <w:bottom w:val="single" w:sz="8" w:color="auto"/>
            </w:tcBorders>
          </w:tcPr>
          <w:p>
            <w:pPr>
              <w:jc w:val="right"/>
              <w:ind w:right="650"/>
              <w:spacing w:after="0"/>
              <w:rPr>
                <w:sz w:val="20"/>
                <w:szCs w:val="20"/>
                <w:color w:val="auto"/>
              </w:rPr>
            </w:pPr>
            <w:r>
              <w:rPr>
                <w:rFonts w:ascii="Arial" w:cs="Arial" w:eastAsia="Arial" w:hAnsi="Arial"/>
                <w:sz w:val="13"/>
                <w:szCs w:val="13"/>
                <w:color w:val="auto"/>
              </w:rPr>
              <w:t>2007</w:t>
            </w:r>
          </w:p>
        </w:tc>
      </w:tr>
      <w:tr>
        <w:trPr>
          <w:trHeight w:val="207"/>
        </w:trPr>
        <w:tc>
          <w:tcPr>
            <w:tcW w:w="3800" w:type="dxa"/>
            <w:vAlign w:val="bottom"/>
          </w:tcPr>
          <w:p>
            <w:pPr>
              <w:spacing w:after="0"/>
              <w:rPr>
                <w:sz w:val="20"/>
                <w:szCs w:val="20"/>
                <w:color w:val="auto"/>
              </w:rPr>
            </w:pPr>
            <w:r>
              <w:rPr>
                <w:rFonts w:ascii="Arial" w:cs="Arial" w:eastAsia="Arial" w:hAnsi="Arial"/>
                <w:sz w:val="14"/>
                <w:szCs w:val="14"/>
                <w:color w:val="auto"/>
              </w:rPr>
              <w:t>ASSUMED HEALTH-CARE COST</w:t>
            </w:r>
          </w:p>
        </w:tc>
        <w:tc>
          <w:tcPr>
            <w:tcW w:w="2180" w:type="dxa"/>
            <w:vAlign w:val="bottom"/>
          </w:tcPr>
          <w:p>
            <w:pPr>
              <w:spacing w:after="0"/>
              <w:rPr>
                <w:sz w:val="18"/>
                <w:szCs w:val="18"/>
                <w:color w:val="auto"/>
              </w:rPr>
            </w:pPr>
          </w:p>
        </w:tc>
        <w:tc>
          <w:tcPr>
            <w:tcW w:w="1700" w:type="dxa"/>
            <w:vAlign w:val="bottom"/>
          </w:tcPr>
          <w:p>
            <w:pPr>
              <w:spacing w:after="0"/>
              <w:rPr>
                <w:sz w:val="18"/>
                <w:szCs w:val="18"/>
                <w:color w:val="auto"/>
              </w:rPr>
            </w:pPr>
          </w:p>
        </w:tc>
      </w:tr>
      <w:tr>
        <w:trPr>
          <w:trHeight w:val="216"/>
        </w:trPr>
        <w:tc>
          <w:tcPr>
            <w:tcW w:w="3800" w:type="dxa"/>
            <w:vAlign w:val="bottom"/>
          </w:tcPr>
          <w:p>
            <w:pPr>
              <w:ind w:left="240"/>
              <w:spacing w:after="0"/>
              <w:rPr>
                <w:sz w:val="20"/>
                <w:szCs w:val="20"/>
                <w:color w:val="auto"/>
              </w:rPr>
            </w:pPr>
            <w:r>
              <w:rPr>
                <w:rFonts w:ascii="Arial" w:cs="Arial" w:eastAsia="Arial" w:hAnsi="Arial"/>
                <w:sz w:val="14"/>
                <w:szCs w:val="14"/>
                <w:color w:val="auto"/>
              </w:rPr>
              <w:t>TREND RATES AT DECEMBER 31:</w:t>
            </w:r>
          </w:p>
        </w:tc>
        <w:tc>
          <w:tcPr>
            <w:tcW w:w="2180" w:type="dxa"/>
            <w:vAlign w:val="bottom"/>
          </w:tcPr>
          <w:p>
            <w:pPr>
              <w:spacing w:after="0"/>
              <w:rPr>
                <w:sz w:val="18"/>
                <w:szCs w:val="18"/>
                <w:color w:val="auto"/>
              </w:rPr>
            </w:pPr>
          </w:p>
        </w:tc>
        <w:tc>
          <w:tcPr>
            <w:tcW w:w="1700" w:type="dxa"/>
            <w:vAlign w:val="bottom"/>
          </w:tcPr>
          <w:p>
            <w:pPr>
              <w:spacing w:after="0"/>
              <w:rPr>
                <w:sz w:val="18"/>
                <w:szCs w:val="18"/>
                <w:color w:val="auto"/>
              </w:rPr>
            </w:pPr>
          </w:p>
        </w:tc>
      </w:tr>
      <w:tr>
        <w:trPr>
          <w:trHeight w:val="216"/>
        </w:trPr>
        <w:tc>
          <w:tcPr>
            <w:tcW w:w="3800" w:type="dxa"/>
            <w:vAlign w:val="bottom"/>
          </w:tcPr>
          <w:p>
            <w:pPr>
              <w:spacing w:after="0"/>
              <w:rPr>
                <w:sz w:val="20"/>
                <w:szCs w:val="20"/>
                <w:color w:val="auto"/>
              </w:rPr>
            </w:pPr>
            <w:r>
              <w:rPr>
                <w:rFonts w:ascii="Arial" w:cs="Arial" w:eastAsia="Arial" w:hAnsi="Arial"/>
                <w:sz w:val="14"/>
                <w:szCs w:val="14"/>
                <w:color w:val="auto"/>
              </w:rPr>
              <w:t>Health-care cost trend rate*</w:t>
            </w:r>
          </w:p>
        </w:tc>
        <w:tc>
          <w:tcPr>
            <w:tcW w:w="2180" w:type="dxa"/>
            <w:vAlign w:val="bottom"/>
          </w:tcPr>
          <w:p>
            <w:pPr>
              <w:jc w:val="right"/>
              <w:ind w:right="350"/>
              <w:spacing w:after="0"/>
              <w:rPr>
                <w:sz w:val="20"/>
                <w:szCs w:val="20"/>
                <w:color w:val="auto"/>
              </w:rPr>
            </w:pPr>
            <w:r>
              <w:rPr>
                <w:rFonts w:ascii="Arial" w:cs="Arial" w:eastAsia="Arial" w:hAnsi="Arial"/>
                <w:sz w:val="14"/>
                <w:szCs w:val="14"/>
                <w:color w:val="auto"/>
              </w:rPr>
              <w:t>9.44 %</w:t>
            </w:r>
          </w:p>
        </w:tc>
        <w:tc>
          <w:tcPr>
            <w:tcW w:w="1700" w:type="dxa"/>
            <w:vAlign w:val="bottom"/>
          </w:tcPr>
          <w:p>
            <w:pPr>
              <w:jc w:val="right"/>
              <w:ind w:right="410"/>
              <w:spacing w:after="0"/>
              <w:rPr>
                <w:sz w:val="20"/>
                <w:szCs w:val="20"/>
                <w:color w:val="auto"/>
              </w:rPr>
            </w:pPr>
            <w:r>
              <w:rPr>
                <w:rFonts w:ascii="Arial" w:cs="Arial" w:eastAsia="Arial" w:hAnsi="Arial"/>
                <w:sz w:val="14"/>
                <w:szCs w:val="14"/>
                <w:color w:val="auto"/>
              </w:rPr>
              <w:t>9.48 %</w:t>
            </w:r>
          </w:p>
        </w:tc>
      </w:tr>
      <w:tr>
        <w:trPr>
          <w:trHeight w:val="216"/>
        </w:trPr>
        <w:tc>
          <w:tcPr>
            <w:tcW w:w="3800" w:type="dxa"/>
            <w:vAlign w:val="bottom"/>
          </w:tcPr>
          <w:p>
            <w:pPr>
              <w:spacing w:after="0"/>
              <w:rPr>
                <w:sz w:val="20"/>
                <w:szCs w:val="20"/>
                <w:color w:val="auto"/>
              </w:rPr>
            </w:pPr>
            <w:r>
              <w:rPr>
                <w:rFonts w:ascii="Arial" w:cs="Arial" w:eastAsia="Arial" w:hAnsi="Arial"/>
                <w:sz w:val="14"/>
                <w:szCs w:val="14"/>
                <w:color w:val="auto"/>
              </w:rPr>
              <w:t>Rate to which the cost trend rate is assumed to</w:t>
            </w:r>
          </w:p>
        </w:tc>
        <w:tc>
          <w:tcPr>
            <w:tcW w:w="2180" w:type="dxa"/>
            <w:vAlign w:val="bottom"/>
          </w:tcPr>
          <w:p>
            <w:pPr>
              <w:spacing w:after="0"/>
              <w:rPr>
                <w:sz w:val="18"/>
                <w:szCs w:val="18"/>
                <w:color w:val="auto"/>
              </w:rPr>
            </w:pPr>
          </w:p>
        </w:tc>
        <w:tc>
          <w:tcPr>
            <w:tcW w:w="1700" w:type="dxa"/>
            <w:vAlign w:val="bottom"/>
          </w:tcPr>
          <w:p>
            <w:pPr>
              <w:spacing w:after="0"/>
              <w:rPr>
                <w:sz w:val="18"/>
                <w:szCs w:val="18"/>
                <w:color w:val="auto"/>
              </w:rPr>
            </w:pPr>
          </w:p>
        </w:tc>
      </w:tr>
      <w:tr>
        <w:trPr>
          <w:trHeight w:val="216"/>
        </w:trPr>
        <w:tc>
          <w:tcPr>
            <w:tcW w:w="3800" w:type="dxa"/>
            <w:vAlign w:val="bottom"/>
          </w:tcPr>
          <w:p>
            <w:pPr>
              <w:ind w:left="240"/>
              <w:spacing w:after="0"/>
              <w:rPr>
                <w:sz w:val="20"/>
                <w:szCs w:val="20"/>
                <w:color w:val="auto"/>
              </w:rPr>
            </w:pPr>
            <w:r>
              <w:rPr>
                <w:rFonts w:ascii="Arial" w:cs="Arial" w:eastAsia="Arial" w:hAnsi="Arial"/>
                <w:sz w:val="14"/>
                <w:szCs w:val="14"/>
                <w:color w:val="auto"/>
              </w:rPr>
              <w:t>decline (the ultimate trend)</w:t>
            </w:r>
          </w:p>
        </w:tc>
        <w:tc>
          <w:tcPr>
            <w:tcW w:w="2180" w:type="dxa"/>
            <w:vAlign w:val="bottom"/>
          </w:tcPr>
          <w:p>
            <w:pPr>
              <w:jc w:val="right"/>
              <w:ind w:right="350"/>
              <w:spacing w:after="0"/>
              <w:rPr>
                <w:sz w:val="20"/>
                <w:szCs w:val="20"/>
                <w:color w:val="auto"/>
              </w:rPr>
            </w:pPr>
            <w:r>
              <w:rPr>
                <w:rFonts w:ascii="Arial" w:cs="Arial" w:eastAsia="Arial" w:hAnsi="Arial"/>
                <w:sz w:val="14"/>
                <w:szCs w:val="14"/>
                <w:color w:val="auto"/>
              </w:rPr>
              <w:t>5.50 %</w:t>
            </w:r>
          </w:p>
        </w:tc>
        <w:tc>
          <w:tcPr>
            <w:tcW w:w="1700" w:type="dxa"/>
            <w:vAlign w:val="bottom"/>
          </w:tcPr>
          <w:p>
            <w:pPr>
              <w:jc w:val="right"/>
              <w:ind w:right="410"/>
              <w:spacing w:after="0"/>
              <w:rPr>
                <w:sz w:val="20"/>
                <w:szCs w:val="20"/>
                <w:color w:val="auto"/>
              </w:rPr>
            </w:pPr>
            <w:r>
              <w:rPr>
                <w:rFonts w:ascii="Arial" w:cs="Arial" w:eastAsia="Arial" w:hAnsi="Arial"/>
                <w:sz w:val="14"/>
                <w:szCs w:val="14"/>
                <w:color w:val="auto"/>
              </w:rPr>
              <w:t>5.50 %</w:t>
            </w:r>
          </w:p>
        </w:tc>
      </w:tr>
      <w:tr>
        <w:trPr>
          <w:trHeight w:val="226"/>
        </w:trPr>
        <w:tc>
          <w:tcPr>
            <w:tcW w:w="3800" w:type="dxa"/>
            <w:vAlign w:val="bottom"/>
            <w:tcBorders>
              <w:bottom w:val="single" w:sz="8" w:color="DFDFDF"/>
            </w:tcBorders>
          </w:tcPr>
          <w:p>
            <w:pPr>
              <w:spacing w:after="0"/>
              <w:rPr>
                <w:sz w:val="20"/>
                <w:szCs w:val="20"/>
                <w:color w:val="auto"/>
              </w:rPr>
            </w:pPr>
            <w:r>
              <w:rPr>
                <w:rFonts w:ascii="Arial" w:cs="Arial" w:eastAsia="Arial" w:hAnsi="Arial"/>
                <w:sz w:val="14"/>
                <w:szCs w:val="14"/>
                <w:color w:val="auto"/>
              </w:rPr>
              <w:t>Year that the rate reaches the ultimate trend</w:t>
            </w:r>
          </w:p>
        </w:tc>
        <w:tc>
          <w:tcPr>
            <w:tcW w:w="2180" w:type="dxa"/>
            <w:vAlign w:val="bottom"/>
            <w:tcBorders>
              <w:bottom w:val="single" w:sz="8" w:color="DFDFDF"/>
            </w:tcBorders>
          </w:tcPr>
          <w:p>
            <w:pPr>
              <w:jc w:val="right"/>
              <w:ind w:right="230"/>
              <w:spacing w:after="0"/>
              <w:rPr>
                <w:sz w:val="20"/>
                <w:szCs w:val="20"/>
                <w:color w:val="auto"/>
              </w:rPr>
            </w:pPr>
            <w:r>
              <w:rPr>
                <w:rFonts w:ascii="Arial" w:cs="Arial" w:eastAsia="Arial" w:hAnsi="Arial"/>
                <w:sz w:val="14"/>
                <w:szCs w:val="14"/>
                <w:color w:val="auto"/>
              </w:rPr>
              <w:t>2014 and 2016**</w:t>
            </w:r>
          </w:p>
        </w:tc>
        <w:tc>
          <w:tcPr>
            <w:tcW w:w="1700" w:type="dxa"/>
            <w:vAlign w:val="bottom"/>
            <w:tcBorders>
              <w:bottom w:val="single" w:sz="8" w:color="DFDFDF"/>
            </w:tcBorders>
          </w:tcPr>
          <w:p>
            <w:pPr>
              <w:jc w:val="right"/>
              <w:ind w:right="250"/>
              <w:spacing w:after="0"/>
              <w:rPr>
                <w:sz w:val="20"/>
                <w:szCs w:val="20"/>
                <w:color w:val="auto"/>
              </w:rPr>
            </w:pPr>
            <w:r>
              <w:rPr>
                <w:rFonts w:ascii="Arial" w:cs="Arial" w:eastAsia="Arial" w:hAnsi="Arial"/>
                <w:sz w:val="14"/>
                <w:szCs w:val="14"/>
                <w:color w:val="auto"/>
              </w:rPr>
              <w:t>2014 and 2016**</w:t>
            </w:r>
          </w:p>
        </w:tc>
      </w:tr>
    </w:tbl>
    <w:p>
      <w:pPr>
        <w:spacing w:after="0" w:line="4" w:lineRule="exact"/>
        <w:rPr>
          <w:sz w:val="20"/>
          <w:szCs w:val="20"/>
          <w:color w:val="auto"/>
        </w:rPr>
      </w:pPr>
    </w:p>
    <w:p>
      <w:pPr>
        <w:ind w:left="2240" w:right="2020" w:hanging="358"/>
        <w:spacing w:after="0" w:line="277" w:lineRule="auto"/>
        <w:tabs>
          <w:tab w:leader="none" w:pos="2240" w:val="left"/>
        </w:tabs>
        <w:numPr>
          <w:ilvl w:val="0"/>
          <w:numId w:val="351"/>
        </w:numPr>
        <w:rPr>
          <w:rFonts w:ascii="Arial" w:cs="Arial" w:eastAsia="Arial" w:hAnsi="Arial"/>
          <w:sz w:val="13"/>
          <w:szCs w:val="13"/>
          <w:i w:val="1"/>
          <w:iCs w:val="1"/>
          <w:color w:val="auto"/>
        </w:rPr>
      </w:pPr>
      <w:r>
        <w:rPr>
          <w:rFonts w:ascii="Arial" w:cs="Arial" w:eastAsia="Arial" w:hAnsi="Arial"/>
          <w:sz w:val="13"/>
          <w:szCs w:val="13"/>
          <w:i w:val="1"/>
          <w:iCs w:val="1"/>
          <w:color w:val="auto"/>
        </w:rPr>
        <w:t>This is the weighted average of the increases for all of our health plans. The rate for these plans ranged from 8.50% to 10.00% in 2008 and 2007.</w:t>
      </w:r>
    </w:p>
    <w:p>
      <w:pPr>
        <w:spacing w:after="0" w:line="3" w:lineRule="exact"/>
        <w:rPr>
          <w:sz w:val="20"/>
          <w:szCs w:val="20"/>
          <w:color w:val="auto"/>
        </w:rPr>
      </w:pPr>
    </w:p>
    <w:p>
      <w:pPr>
        <w:ind w:left="2240" w:hanging="358"/>
        <w:spacing w:after="0"/>
        <w:tabs>
          <w:tab w:leader="none" w:pos="2240" w:val="left"/>
        </w:tabs>
        <w:numPr>
          <w:ilvl w:val="0"/>
          <w:numId w:val="352"/>
        </w:numPr>
        <w:rPr>
          <w:rFonts w:ascii="Arial" w:cs="Arial" w:eastAsia="Arial" w:hAnsi="Arial"/>
          <w:sz w:val="13"/>
          <w:szCs w:val="13"/>
          <w:i w:val="1"/>
          <w:iCs w:val="1"/>
          <w:color w:val="auto"/>
        </w:rPr>
      </w:pPr>
      <w:r>
        <w:rPr>
          <w:rFonts w:ascii="Arial" w:cs="Arial" w:eastAsia="Arial" w:hAnsi="Arial"/>
          <w:sz w:val="13"/>
          <w:szCs w:val="13"/>
          <w:i w:val="1"/>
          <w:iCs w:val="1"/>
          <w:color w:val="auto"/>
        </w:rPr>
        <w:t>The ultimate trend rate is reached in 2014 for HMOs and 2016 for Anthem Blue Cross Plans.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4"/>
          <w:szCs w:val="14"/>
          <w:color w:val="auto"/>
        </w:rPr>
        <w:t>145</w:t>
      </w:r>
    </w:p>
    <w:p>
      <w:pPr>
        <w:sectPr>
          <w:pgSz w:w="11900" w:h="16838" w:orient="portrait"/>
          <w:cols w:equalWidth="0" w:num="1">
            <w:col w:w="11420"/>
          </w:cols>
          <w:pgMar w:left="240" w:top="128" w:right="239" w:bottom="1440" w:gutter="0" w:footer="0" w:header="0"/>
        </w:sectPr>
      </w:pPr>
    </w:p>
    <w:bookmarkStart w:id="285" w:name="page286"/>
    <w:bookmarkEnd w:id="285"/>
    <w:p>
      <w:pPr>
        <w:spacing w:after="0"/>
        <w:rPr>
          <w:sz w:val="20"/>
          <w:szCs w:val="20"/>
          <w:color w:val="auto"/>
        </w:rPr>
      </w:pPr>
      <w:r>
        <w:rPr>
          <w:rFonts w:ascii="Arial" w:cs="Arial" w:eastAsia="Arial" w:hAnsi="Arial"/>
          <w:sz w:val="16"/>
          <w:szCs w:val="16"/>
          <w:color w:val="auto"/>
        </w:rPr>
        <w:t>A one-percent change in assumed health-care cost trend rates would have the following effects:</w:t>
      </w:r>
    </w:p>
    <w:p>
      <w:pPr>
        <w:spacing w:after="0" w:line="349" w:lineRule="exact"/>
        <w:rPr>
          <w:sz w:val="20"/>
          <w:szCs w:val="20"/>
          <w:color w:val="auto"/>
        </w:rPr>
      </w:pPr>
    </w:p>
    <w:tbl>
      <w:tblPr>
        <w:tblLayout w:type="fixed"/>
        <w:tblInd w:w="1780" w:type="dxa"/>
        <w:tblCellMar>
          <w:top w:w="0" w:type="dxa"/>
          <w:left w:w="0" w:type="dxa"/>
          <w:bottom w:w="0" w:type="dxa"/>
          <w:right w:w="0" w:type="dxa"/>
        </w:tblCellMar>
      </w:tblPr>
      <w:tr>
        <w:trPr>
          <w:trHeight w:val="159"/>
        </w:trPr>
        <w:tc>
          <w:tcPr>
            <w:tcW w:w="1980" w:type="dxa"/>
            <w:vAlign w:val="bottom"/>
          </w:tcPr>
          <w:p>
            <w:pPr>
              <w:spacing w:after="0"/>
              <w:rPr>
                <w:sz w:val="13"/>
                <w:szCs w:val="13"/>
                <w:color w:val="auto"/>
              </w:rPr>
            </w:pPr>
          </w:p>
        </w:tc>
        <w:tc>
          <w:tcPr>
            <w:tcW w:w="2000" w:type="dxa"/>
            <w:vAlign w:val="bottom"/>
            <w:gridSpan w:val="5"/>
          </w:tcPr>
          <w:p>
            <w:pPr>
              <w:jc w:val="right"/>
              <w:ind w:right="280"/>
              <w:spacing w:after="0"/>
              <w:rPr>
                <w:sz w:val="20"/>
                <w:szCs w:val="20"/>
                <w:color w:val="auto"/>
              </w:rPr>
            </w:pPr>
            <w:r>
              <w:rPr>
                <w:rFonts w:ascii="Arial" w:cs="Arial" w:eastAsia="Arial" w:hAnsi="Arial"/>
                <w:sz w:val="13"/>
                <w:szCs w:val="13"/>
                <w:color w:val="auto"/>
              </w:rPr>
              <w:t>Sempra Energy Consolidated</w:t>
            </w:r>
          </w:p>
        </w:tc>
        <w:tc>
          <w:tcPr>
            <w:tcW w:w="44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SDG&amp;E</w:t>
            </w:r>
          </w:p>
        </w:tc>
        <w:tc>
          <w:tcPr>
            <w:tcW w:w="2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960" w:type="dxa"/>
            <w:vAlign w:val="bottom"/>
            <w:gridSpan w:val="2"/>
          </w:tcPr>
          <w:p>
            <w:pPr>
              <w:jc w:val="right"/>
              <w:ind w:right="51"/>
              <w:spacing w:after="0"/>
              <w:rPr>
                <w:sz w:val="20"/>
                <w:szCs w:val="20"/>
                <w:color w:val="auto"/>
              </w:rPr>
            </w:pPr>
            <w:r>
              <w:rPr>
                <w:rFonts w:ascii="Arial" w:cs="Arial" w:eastAsia="Arial" w:hAnsi="Arial"/>
                <w:sz w:val="13"/>
                <w:szCs w:val="13"/>
                <w:color w:val="auto"/>
              </w:rPr>
              <w:t>SoCalGas</w:t>
            </w: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1980" w:type="dxa"/>
            <w:vAlign w:val="bottom"/>
            <w:vMerge w:val="restart"/>
          </w:tcPr>
          <w:p>
            <w:pPr>
              <w:spacing w:after="0"/>
              <w:rPr>
                <w:sz w:val="20"/>
                <w:szCs w:val="20"/>
                <w:color w:val="auto"/>
              </w:rPr>
            </w:pPr>
            <w:r>
              <w:rPr>
                <w:rFonts w:ascii="Arial" w:cs="Arial" w:eastAsia="Arial" w:hAnsi="Arial"/>
                <w:sz w:val="13"/>
                <w:szCs w:val="13"/>
                <w:i w:val="1"/>
                <w:iCs w:val="1"/>
                <w:color w:val="auto"/>
              </w:rPr>
              <w:t>(Dollars in millions)</w:t>
            </w:r>
          </w:p>
        </w:tc>
        <w:tc>
          <w:tcPr>
            <w:tcW w:w="440" w:type="dxa"/>
            <w:vAlign w:val="bottom"/>
            <w:tcBorders>
              <w:top w:val="single" w:sz="8" w:color="auto"/>
            </w:tcBorders>
          </w:tcPr>
          <w:p>
            <w:pPr>
              <w:spacing w:after="0"/>
              <w:rPr>
                <w:sz w:val="14"/>
                <w:szCs w:val="14"/>
                <w:color w:val="auto"/>
              </w:rPr>
            </w:pPr>
          </w:p>
        </w:tc>
        <w:tc>
          <w:tcPr>
            <w:tcW w:w="400" w:type="dxa"/>
            <w:vAlign w:val="bottom"/>
            <w:tcBorders>
              <w:top w:val="single" w:sz="8" w:color="auto"/>
            </w:tcBorders>
          </w:tcPr>
          <w:p>
            <w:pPr>
              <w:jc w:val="right"/>
              <w:ind w:right="51"/>
              <w:spacing w:after="0"/>
              <w:rPr>
                <w:sz w:val="20"/>
                <w:szCs w:val="20"/>
                <w:color w:val="auto"/>
              </w:rPr>
            </w:pPr>
            <w:r>
              <w:rPr>
                <w:rFonts w:ascii="Arial" w:cs="Arial" w:eastAsia="Arial" w:hAnsi="Arial"/>
                <w:sz w:val="13"/>
                <w:szCs w:val="13"/>
                <w:color w:val="auto"/>
              </w:rPr>
              <w:t>1%</w:t>
            </w:r>
          </w:p>
        </w:tc>
        <w:tc>
          <w:tcPr>
            <w:tcW w:w="580" w:type="dxa"/>
            <w:vAlign w:val="bottom"/>
            <w:tcBorders>
              <w:top w:val="single" w:sz="8" w:color="auto"/>
            </w:tcBorders>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44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jc w:val="right"/>
              <w:ind w:right="352"/>
              <w:spacing w:after="0"/>
              <w:rPr>
                <w:sz w:val="20"/>
                <w:szCs w:val="20"/>
                <w:color w:val="auto"/>
              </w:rPr>
            </w:pPr>
            <w:r>
              <w:rPr>
                <w:rFonts w:ascii="Arial" w:cs="Arial" w:eastAsia="Arial" w:hAnsi="Arial"/>
                <w:sz w:val="13"/>
                <w:szCs w:val="13"/>
                <w:color w:val="auto"/>
              </w:rPr>
              <w:t>1%</w:t>
            </w:r>
          </w:p>
        </w:tc>
        <w:tc>
          <w:tcPr>
            <w:tcW w:w="280" w:type="dxa"/>
            <w:vAlign w:val="bottom"/>
            <w:tcBorders>
              <w:top w:val="single" w:sz="8" w:color="auto"/>
            </w:tcBorders>
          </w:tcPr>
          <w:p>
            <w:pPr>
              <w:spacing w:after="0"/>
              <w:rPr>
                <w:sz w:val="14"/>
                <w:szCs w:val="14"/>
                <w:color w:val="auto"/>
              </w:rPr>
            </w:pPr>
          </w:p>
        </w:tc>
        <w:tc>
          <w:tcPr>
            <w:tcW w:w="3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w:t>
            </w:r>
          </w:p>
        </w:tc>
        <w:tc>
          <w:tcPr>
            <w:tcW w:w="200" w:type="dxa"/>
            <w:vAlign w:val="bottom"/>
          </w:tcPr>
          <w:p>
            <w:pPr>
              <w:spacing w:after="0"/>
              <w:rPr>
                <w:sz w:val="14"/>
                <w:szCs w:val="14"/>
                <w:color w:val="auto"/>
              </w:rPr>
            </w:pPr>
          </w:p>
        </w:tc>
        <w:tc>
          <w:tcPr>
            <w:tcW w:w="440" w:type="dxa"/>
            <w:vAlign w:val="bottom"/>
            <w:tcBorders>
              <w:top w:val="single" w:sz="8" w:color="auto"/>
            </w:tcBorders>
          </w:tcPr>
          <w:p>
            <w:pPr>
              <w:spacing w:after="0"/>
              <w:rPr>
                <w:sz w:val="14"/>
                <w:szCs w:val="14"/>
                <w:color w:val="auto"/>
              </w:rPr>
            </w:pPr>
          </w:p>
        </w:tc>
        <w:tc>
          <w:tcPr>
            <w:tcW w:w="400" w:type="dxa"/>
            <w:vAlign w:val="bottom"/>
            <w:tcBorders>
              <w:top w:val="single" w:sz="8" w:color="auto"/>
            </w:tcBorders>
          </w:tcPr>
          <w:p>
            <w:pPr>
              <w:jc w:val="right"/>
              <w:ind w:right="52"/>
              <w:spacing w:after="0"/>
              <w:rPr>
                <w:sz w:val="20"/>
                <w:szCs w:val="20"/>
                <w:color w:val="auto"/>
              </w:rPr>
            </w:pPr>
            <w:r>
              <w:rPr>
                <w:rFonts w:ascii="Arial" w:cs="Arial" w:eastAsia="Arial" w:hAnsi="Arial"/>
                <w:sz w:val="13"/>
                <w:szCs w:val="13"/>
                <w:color w:val="auto"/>
              </w:rPr>
              <w:t>1%</w:t>
            </w:r>
          </w:p>
        </w:tc>
        <w:tc>
          <w:tcPr>
            <w:tcW w:w="56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1980" w:type="dxa"/>
            <w:vAlign w:val="bottom"/>
            <w:tcBorders>
              <w:bottom w:val="single" w:sz="8" w:color="auto"/>
            </w:tcBorders>
            <w:vMerge w:val="continue"/>
          </w:tcPr>
          <w:p>
            <w:pPr>
              <w:spacing w:after="0"/>
              <w:rPr>
                <w:sz w:val="14"/>
                <w:szCs w:val="14"/>
                <w:color w:val="auto"/>
              </w:rPr>
            </w:pPr>
          </w:p>
        </w:tc>
        <w:tc>
          <w:tcPr>
            <w:tcW w:w="840" w:type="dxa"/>
            <w:vAlign w:val="bottom"/>
            <w:tcBorders>
              <w:bottom w:val="single" w:sz="8" w:color="auto"/>
            </w:tcBorders>
            <w:gridSpan w:val="2"/>
          </w:tcPr>
          <w:p>
            <w:pPr>
              <w:jc w:val="right"/>
              <w:ind w:right="51"/>
              <w:spacing w:after="0"/>
              <w:rPr>
                <w:sz w:val="20"/>
                <w:szCs w:val="20"/>
                <w:color w:val="auto"/>
              </w:rPr>
            </w:pPr>
            <w:r>
              <w:rPr>
                <w:rFonts w:ascii="Arial" w:cs="Arial" w:eastAsia="Arial" w:hAnsi="Arial"/>
                <w:sz w:val="13"/>
                <w:szCs w:val="13"/>
                <w:color w:val="auto"/>
              </w:rPr>
              <w:t>Increase</w:t>
            </w:r>
          </w:p>
        </w:tc>
        <w:tc>
          <w:tcPr>
            <w:tcW w:w="1160" w:type="dxa"/>
            <w:vAlign w:val="bottom"/>
            <w:tcBorders>
              <w:bottom w:val="single" w:sz="8" w:color="auto"/>
            </w:tcBorders>
            <w:gridSpan w:val="3"/>
          </w:tcPr>
          <w:p>
            <w:pPr>
              <w:jc w:val="right"/>
              <w:ind w:right="260"/>
              <w:spacing w:after="0"/>
              <w:rPr>
                <w:sz w:val="20"/>
                <w:szCs w:val="20"/>
                <w:color w:val="auto"/>
              </w:rPr>
            </w:pPr>
            <w:r>
              <w:rPr>
                <w:rFonts w:ascii="Arial" w:cs="Arial" w:eastAsia="Arial" w:hAnsi="Arial"/>
                <w:sz w:val="13"/>
                <w:szCs w:val="13"/>
                <w:color w:val="auto"/>
              </w:rPr>
              <w:t>1% Decrease</w:t>
            </w:r>
          </w:p>
        </w:tc>
        <w:tc>
          <w:tcPr>
            <w:tcW w:w="1140" w:type="dxa"/>
            <w:vAlign w:val="bottom"/>
            <w:tcBorders>
              <w:bottom w:val="single" w:sz="8" w:color="auto"/>
            </w:tcBorders>
            <w:gridSpan w:val="2"/>
          </w:tcPr>
          <w:p>
            <w:pPr>
              <w:jc w:val="right"/>
              <w:ind w:right="352"/>
              <w:spacing w:after="0"/>
              <w:rPr>
                <w:sz w:val="20"/>
                <w:szCs w:val="20"/>
                <w:color w:val="auto"/>
              </w:rPr>
            </w:pPr>
            <w:r>
              <w:rPr>
                <w:rFonts w:ascii="Arial" w:cs="Arial" w:eastAsia="Arial" w:hAnsi="Arial"/>
                <w:sz w:val="13"/>
                <w:szCs w:val="13"/>
                <w:color w:val="auto"/>
              </w:rPr>
              <w:t>Increase</w:t>
            </w:r>
          </w:p>
        </w:tc>
        <w:tc>
          <w:tcPr>
            <w:tcW w:w="800" w:type="dxa"/>
            <w:vAlign w:val="bottom"/>
            <w:tcBorders>
              <w:bottom w:val="single" w:sz="8" w:color="auto"/>
            </w:tcBorders>
            <w:gridSpan w:val="3"/>
          </w:tcPr>
          <w:p>
            <w:pPr>
              <w:jc w:val="right"/>
              <w:ind w:right="220"/>
              <w:spacing w:after="0"/>
              <w:rPr>
                <w:sz w:val="20"/>
                <w:szCs w:val="20"/>
                <w:color w:val="auto"/>
              </w:rPr>
            </w:pPr>
            <w:r>
              <w:rPr>
                <w:rFonts w:ascii="Arial" w:cs="Arial" w:eastAsia="Arial" w:hAnsi="Arial"/>
                <w:sz w:val="13"/>
                <w:szCs w:val="13"/>
                <w:color w:val="auto"/>
              </w:rPr>
              <w:t>Decrease</w:t>
            </w:r>
          </w:p>
        </w:tc>
        <w:tc>
          <w:tcPr>
            <w:tcW w:w="840" w:type="dxa"/>
            <w:vAlign w:val="bottom"/>
            <w:tcBorders>
              <w:bottom w:val="single" w:sz="8" w:color="auto"/>
            </w:tcBorders>
            <w:gridSpan w:val="2"/>
          </w:tcPr>
          <w:p>
            <w:pPr>
              <w:jc w:val="right"/>
              <w:ind w:right="52"/>
              <w:spacing w:after="0"/>
              <w:rPr>
                <w:sz w:val="20"/>
                <w:szCs w:val="20"/>
                <w:color w:val="auto"/>
              </w:rPr>
            </w:pPr>
            <w:r>
              <w:rPr>
                <w:rFonts w:ascii="Arial" w:cs="Arial" w:eastAsia="Arial" w:hAnsi="Arial"/>
                <w:sz w:val="13"/>
                <w:szCs w:val="13"/>
                <w:color w:val="auto"/>
              </w:rPr>
              <w:t>Increase</w:t>
            </w:r>
          </w:p>
        </w:tc>
        <w:tc>
          <w:tcPr>
            <w:tcW w:w="1120" w:type="dxa"/>
            <w:vAlign w:val="bottom"/>
            <w:tcBorders>
              <w:bottom w:val="single" w:sz="8" w:color="auto"/>
            </w:tcBorders>
            <w:gridSpan w:val="2"/>
          </w:tcPr>
          <w:p>
            <w:pPr>
              <w:jc w:val="right"/>
              <w:ind w:right="168"/>
              <w:spacing w:after="0"/>
              <w:rPr>
                <w:sz w:val="20"/>
                <w:szCs w:val="20"/>
                <w:color w:val="auto"/>
              </w:rPr>
            </w:pPr>
            <w:r>
              <w:rPr>
                <w:rFonts w:ascii="Arial" w:cs="Arial" w:eastAsia="Arial" w:hAnsi="Arial"/>
                <w:sz w:val="13"/>
                <w:szCs w:val="13"/>
                <w:color w:val="auto"/>
              </w:rPr>
              <w:t>1% Decrease</w:t>
            </w:r>
          </w:p>
        </w:tc>
        <w:tc>
          <w:tcPr>
            <w:tcW w:w="0" w:type="dxa"/>
            <w:vAlign w:val="bottom"/>
          </w:tcPr>
          <w:p>
            <w:pPr>
              <w:spacing w:after="0"/>
              <w:rPr>
                <w:sz w:val="1"/>
                <w:szCs w:val="1"/>
                <w:color w:val="auto"/>
              </w:rPr>
            </w:pPr>
          </w:p>
        </w:tc>
      </w:tr>
      <w:tr>
        <w:trPr>
          <w:trHeight w:val="179"/>
        </w:trPr>
        <w:tc>
          <w:tcPr>
            <w:tcW w:w="1980" w:type="dxa"/>
            <w:vAlign w:val="bottom"/>
          </w:tcPr>
          <w:p>
            <w:pPr>
              <w:spacing w:after="0"/>
              <w:rPr>
                <w:sz w:val="20"/>
                <w:szCs w:val="20"/>
                <w:color w:val="auto"/>
              </w:rPr>
            </w:pPr>
            <w:r>
              <w:rPr>
                <w:rFonts w:ascii="Arial" w:cs="Arial" w:eastAsia="Arial" w:hAnsi="Arial"/>
                <w:sz w:val="14"/>
                <w:szCs w:val="14"/>
                <w:color w:val="auto"/>
              </w:rPr>
              <w:t>Effect on total of service and</w:t>
            </w:r>
          </w:p>
        </w:tc>
        <w:tc>
          <w:tcPr>
            <w:tcW w:w="4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1980" w:type="dxa"/>
            <w:vAlign w:val="bottom"/>
          </w:tcPr>
          <w:p>
            <w:pPr>
              <w:ind w:left="120"/>
              <w:spacing w:after="0"/>
              <w:rPr>
                <w:sz w:val="20"/>
                <w:szCs w:val="20"/>
                <w:color w:val="auto"/>
              </w:rPr>
            </w:pPr>
            <w:r>
              <w:rPr>
                <w:rFonts w:ascii="Arial" w:cs="Arial" w:eastAsia="Arial" w:hAnsi="Arial"/>
                <w:sz w:val="14"/>
                <w:szCs w:val="14"/>
                <w:color w:val="auto"/>
              </w:rPr>
              <w:t>interest cost components of</w:t>
            </w:r>
          </w:p>
        </w:tc>
        <w:tc>
          <w:tcPr>
            <w:tcW w:w="4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980" w:type="dxa"/>
            <w:vAlign w:val="bottom"/>
          </w:tcPr>
          <w:p>
            <w:pPr>
              <w:ind w:left="120"/>
              <w:spacing w:after="0"/>
              <w:rPr>
                <w:sz w:val="20"/>
                <w:szCs w:val="20"/>
                <w:color w:val="auto"/>
              </w:rPr>
            </w:pPr>
            <w:r>
              <w:rPr>
                <w:rFonts w:ascii="Arial" w:cs="Arial" w:eastAsia="Arial" w:hAnsi="Arial"/>
                <w:sz w:val="14"/>
                <w:szCs w:val="14"/>
                <w:color w:val="auto"/>
              </w:rPr>
              <w:t>net periodic postretirement</w:t>
            </w:r>
          </w:p>
        </w:tc>
        <w:tc>
          <w:tcPr>
            <w:tcW w:w="4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1980" w:type="dxa"/>
            <w:vAlign w:val="bottom"/>
          </w:tcPr>
          <w:p>
            <w:pPr>
              <w:ind w:left="120"/>
              <w:spacing w:after="0"/>
              <w:rPr>
                <w:sz w:val="20"/>
                <w:szCs w:val="20"/>
                <w:color w:val="auto"/>
              </w:rPr>
            </w:pPr>
            <w:r>
              <w:rPr>
                <w:rFonts w:ascii="Arial" w:cs="Arial" w:eastAsia="Arial" w:hAnsi="Arial"/>
                <w:sz w:val="14"/>
                <w:szCs w:val="14"/>
                <w:color w:val="auto"/>
              </w:rPr>
              <w:t>health-care benefit cost</w:t>
            </w:r>
          </w:p>
        </w:tc>
        <w:tc>
          <w:tcPr>
            <w:tcW w:w="440" w:type="dxa"/>
            <w:vAlign w:val="bottom"/>
          </w:tcPr>
          <w:p>
            <w:pPr>
              <w:jc w:val="right"/>
              <w:ind w:right="32"/>
              <w:spacing w:after="0"/>
              <w:rPr>
                <w:sz w:val="20"/>
                <w:szCs w:val="20"/>
                <w:color w:val="auto"/>
              </w:rPr>
            </w:pPr>
            <w:r>
              <w:rPr>
                <w:rFonts w:ascii="Arial" w:cs="Arial" w:eastAsia="Arial" w:hAnsi="Arial"/>
                <w:sz w:val="14"/>
                <w:szCs w:val="14"/>
                <w:color w:val="auto"/>
              </w:rPr>
              <w:t>$</w:t>
            </w:r>
          </w:p>
        </w:tc>
        <w:tc>
          <w:tcPr>
            <w:tcW w:w="400" w:type="dxa"/>
            <w:vAlign w:val="bottom"/>
          </w:tcPr>
          <w:p>
            <w:pPr>
              <w:jc w:val="right"/>
              <w:ind w:right="51"/>
              <w:spacing w:after="0"/>
              <w:rPr>
                <w:sz w:val="20"/>
                <w:szCs w:val="20"/>
                <w:color w:val="auto"/>
              </w:rPr>
            </w:pPr>
            <w:r>
              <w:rPr>
                <w:rFonts w:ascii="Arial" w:cs="Arial" w:eastAsia="Arial" w:hAnsi="Arial"/>
                <w:sz w:val="14"/>
                <w:szCs w:val="14"/>
                <w:color w:val="auto"/>
              </w:rPr>
              <w:t>9</w:t>
            </w:r>
          </w:p>
        </w:tc>
        <w:tc>
          <w:tcPr>
            <w:tcW w:w="580" w:type="dxa"/>
            <w:vAlign w:val="bottom"/>
          </w:tcPr>
          <w:p>
            <w:pPr>
              <w:jc w:val="right"/>
              <w:ind w:right="51"/>
              <w:spacing w:after="0"/>
              <w:rPr>
                <w:sz w:val="20"/>
                <w:szCs w:val="20"/>
                <w:color w:val="auto"/>
              </w:rPr>
            </w:pPr>
            <w:r>
              <w:rPr>
                <w:rFonts w:ascii="Arial" w:cs="Arial" w:eastAsia="Arial" w:hAnsi="Arial"/>
                <w:sz w:val="14"/>
                <w:szCs w:val="14"/>
                <w:color w:val="auto"/>
              </w:rPr>
              <w:t>$</w:t>
            </w:r>
          </w:p>
        </w:tc>
        <w:tc>
          <w:tcPr>
            <w:tcW w:w="580" w:type="dxa"/>
            <w:vAlign w:val="bottom"/>
            <w:gridSpan w:val="2"/>
          </w:tcPr>
          <w:p>
            <w:pPr>
              <w:jc w:val="right"/>
              <w:ind w:right="200"/>
              <w:spacing w:after="0"/>
              <w:rPr>
                <w:sz w:val="20"/>
                <w:szCs w:val="20"/>
                <w:color w:val="auto"/>
              </w:rPr>
            </w:pPr>
            <w:r>
              <w:rPr>
                <w:rFonts w:ascii="Arial" w:cs="Arial" w:eastAsia="Arial" w:hAnsi="Arial"/>
                <w:sz w:val="14"/>
                <w:szCs w:val="14"/>
                <w:color w:val="auto"/>
              </w:rPr>
              <w:t>(7 )</w:t>
            </w:r>
          </w:p>
        </w:tc>
        <w:tc>
          <w:tcPr>
            <w:tcW w:w="440" w:type="dxa"/>
            <w:vAlign w:val="bottom"/>
          </w:tcPr>
          <w:p>
            <w:pPr>
              <w:jc w:val="right"/>
              <w:ind w:right="31"/>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352"/>
              <w:spacing w:after="0"/>
              <w:rPr>
                <w:sz w:val="20"/>
                <w:szCs w:val="20"/>
                <w:color w:val="auto"/>
              </w:rPr>
            </w:pPr>
            <w:r>
              <w:rPr>
                <w:rFonts w:ascii="Arial" w:cs="Arial" w:eastAsia="Arial" w:hAnsi="Arial"/>
                <w:sz w:val="14"/>
                <w:szCs w:val="14"/>
                <w:color w:val="auto"/>
              </w:rPr>
              <w:t>--</w:t>
            </w:r>
          </w:p>
        </w:tc>
        <w:tc>
          <w:tcPr>
            <w:tcW w:w="280" w:type="dxa"/>
            <w:vAlign w:val="bottom"/>
          </w:tcPr>
          <w:p>
            <w:pPr>
              <w:jc w:val="right"/>
              <w:ind w:right="31"/>
              <w:spacing w:after="0"/>
              <w:rPr>
                <w:sz w:val="20"/>
                <w:szCs w:val="20"/>
                <w:color w:val="auto"/>
              </w:rPr>
            </w:pPr>
            <w:r>
              <w:rPr>
                <w:rFonts w:ascii="Arial" w:cs="Arial" w:eastAsia="Arial" w:hAnsi="Arial"/>
                <w:sz w:val="14"/>
                <w:szCs w:val="14"/>
                <w:color w:val="auto"/>
              </w:rPr>
              <w:t>$</w:t>
            </w:r>
          </w:p>
        </w:tc>
        <w:tc>
          <w:tcPr>
            <w:tcW w:w="32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440" w:type="dxa"/>
            <w:vAlign w:val="bottom"/>
          </w:tcPr>
          <w:p>
            <w:pPr>
              <w:jc w:val="right"/>
              <w:ind w:right="11"/>
              <w:spacing w:after="0"/>
              <w:rPr>
                <w:sz w:val="20"/>
                <w:szCs w:val="20"/>
                <w:color w:val="auto"/>
              </w:rPr>
            </w:pPr>
            <w:r>
              <w:rPr>
                <w:rFonts w:ascii="Arial" w:cs="Arial" w:eastAsia="Arial" w:hAnsi="Arial"/>
                <w:sz w:val="14"/>
                <w:szCs w:val="14"/>
                <w:color w:val="auto"/>
              </w:rPr>
              <w:t>$</w:t>
            </w:r>
          </w:p>
        </w:tc>
        <w:tc>
          <w:tcPr>
            <w:tcW w:w="400" w:type="dxa"/>
            <w:vAlign w:val="bottom"/>
          </w:tcPr>
          <w:p>
            <w:pPr>
              <w:jc w:val="right"/>
              <w:ind w:right="52"/>
              <w:spacing w:after="0"/>
              <w:rPr>
                <w:sz w:val="20"/>
                <w:szCs w:val="20"/>
                <w:color w:val="auto"/>
              </w:rPr>
            </w:pPr>
            <w:r>
              <w:rPr>
                <w:rFonts w:ascii="Arial" w:cs="Arial" w:eastAsia="Arial" w:hAnsi="Arial"/>
                <w:sz w:val="14"/>
                <w:szCs w:val="14"/>
                <w:color w:val="auto"/>
              </w:rPr>
              <w:t>9</w:t>
            </w:r>
          </w:p>
        </w:tc>
        <w:tc>
          <w:tcPr>
            <w:tcW w:w="560" w:type="dxa"/>
            <w:vAlign w:val="bottom"/>
          </w:tcPr>
          <w:p>
            <w:pPr>
              <w:jc w:val="right"/>
              <w:ind w:right="31"/>
              <w:spacing w:after="0"/>
              <w:rPr>
                <w:sz w:val="20"/>
                <w:szCs w:val="20"/>
                <w:color w:val="auto"/>
              </w:rPr>
            </w:pPr>
            <w:r>
              <w:rPr>
                <w:rFonts w:ascii="Arial" w:cs="Arial" w:eastAsia="Arial" w:hAnsi="Arial"/>
                <w:sz w:val="14"/>
                <w:szCs w:val="14"/>
                <w:color w:val="auto"/>
              </w:rPr>
              <w:t>$</w:t>
            </w:r>
          </w:p>
        </w:tc>
        <w:tc>
          <w:tcPr>
            <w:tcW w:w="560" w:type="dxa"/>
            <w:vAlign w:val="bottom"/>
          </w:tcPr>
          <w:p>
            <w:pPr>
              <w:jc w:val="right"/>
              <w:ind w:right="88"/>
              <w:spacing w:after="0"/>
              <w:rPr>
                <w:sz w:val="20"/>
                <w:szCs w:val="20"/>
                <w:color w:val="auto"/>
              </w:rPr>
            </w:pPr>
            <w:r>
              <w:rPr>
                <w:rFonts w:ascii="Arial" w:cs="Arial" w:eastAsia="Arial" w:hAnsi="Arial"/>
                <w:sz w:val="14"/>
                <w:szCs w:val="14"/>
                <w:color w:val="auto"/>
              </w:rPr>
              <w:t>(7 )</w:t>
            </w:r>
          </w:p>
        </w:tc>
        <w:tc>
          <w:tcPr>
            <w:tcW w:w="0" w:type="dxa"/>
            <w:vAlign w:val="bottom"/>
          </w:tcPr>
          <w:p>
            <w:pPr>
              <w:spacing w:after="0"/>
              <w:rPr>
                <w:sz w:val="1"/>
                <w:szCs w:val="1"/>
                <w:color w:val="auto"/>
              </w:rPr>
            </w:pPr>
          </w:p>
        </w:tc>
      </w:tr>
      <w:tr>
        <w:trPr>
          <w:trHeight w:val="404"/>
        </w:trPr>
        <w:tc>
          <w:tcPr>
            <w:tcW w:w="1980" w:type="dxa"/>
            <w:vAlign w:val="bottom"/>
          </w:tcPr>
          <w:p>
            <w:pPr>
              <w:spacing w:after="0"/>
              <w:rPr>
                <w:sz w:val="20"/>
                <w:szCs w:val="20"/>
                <w:color w:val="auto"/>
              </w:rPr>
            </w:pPr>
            <w:r>
              <w:rPr>
                <w:rFonts w:ascii="Arial" w:cs="Arial" w:eastAsia="Arial" w:hAnsi="Arial"/>
                <w:sz w:val="14"/>
                <w:szCs w:val="14"/>
                <w:color w:val="auto"/>
              </w:rPr>
              <w:t>Effect on the health-care</w:t>
            </w:r>
          </w:p>
        </w:tc>
        <w:tc>
          <w:tcPr>
            <w:tcW w:w="4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8"/>
        </w:trPr>
        <w:tc>
          <w:tcPr>
            <w:tcW w:w="1980" w:type="dxa"/>
            <w:vAlign w:val="bottom"/>
          </w:tcPr>
          <w:p>
            <w:pPr>
              <w:ind w:left="120"/>
              <w:spacing w:after="0"/>
              <w:rPr>
                <w:sz w:val="20"/>
                <w:szCs w:val="20"/>
                <w:color w:val="auto"/>
              </w:rPr>
            </w:pPr>
            <w:r>
              <w:rPr>
                <w:rFonts w:ascii="Arial" w:cs="Arial" w:eastAsia="Arial" w:hAnsi="Arial"/>
                <w:sz w:val="14"/>
                <w:szCs w:val="14"/>
                <w:color w:val="auto"/>
              </w:rPr>
              <w:t>component of the</w:t>
            </w:r>
          </w:p>
        </w:tc>
        <w:tc>
          <w:tcPr>
            <w:tcW w:w="4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980" w:type="dxa"/>
            <w:vAlign w:val="bottom"/>
          </w:tcPr>
          <w:p>
            <w:pPr>
              <w:ind w:left="120"/>
              <w:spacing w:after="0"/>
              <w:rPr>
                <w:sz w:val="20"/>
                <w:szCs w:val="20"/>
                <w:color w:val="auto"/>
              </w:rPr>
            </w:pPr>
            <w:r>
              <w:rPr>
                <w:rFonts w:ascii="Arial" w:cs="Arial" w:eastAsia="Arial" w:hAnsi="Arial"/>
                <w:sz w:val="14"/>
                <w:szCs w:val="14"/>
                <w:color w:val="auto"/>
              </w:rPr>
              <w:t>accumulated other</w:t>
            </w:r>
          </w:p>
        </w:tc>
        <w:tc>
          <w:tcPr>
            <w:tcW w:w="4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980" w:type="dxa"/>
            <w:vAlign w:val="bottom"/>
          </w:tcPr>
          <w:p>
            <w:pPr>
              <w:ind w:left="120"/>
              <w:spacing w:after="0"/>
              <w:rPr>
                <w:sz w:val="20"/>
                <w:szCs w:val="20"/>
                <w:color w:val="auto"/>
              </w:rPr>
            </w:pPr>
            <w:r>
              <w:rPr>
                <w:rFonts w:ascii="Arial" w:cs="Arial" w:eastAsia="Arial" w:hAnsi="Arial"/>
                <w:sz w:val="14"/>
                <w:szCs w:val="14"/>
                <w:color w:val="auto"/>
              </w:rPr>
              <w:t>postretirement benefit</w:t>
            </w:r>
          </w:p>
        </w:tc>
        <w:tc>
          <w:tcPr>
            <w:tcW w:w="4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1980" w:type="dxa"/>
            <w:vAlign w:val="bottom"/>
            <w:tcBorders>
              <w:bottom w:val="single" w:sz="8" w:color="DFDFDF"/>
            </w:tcBorders>
          </w:tcPr>
          <w:p>
            <w:pPr>
              <w:ind w:left="120"/>
              <w:spacing w:after="0"/>
              <w:rPr>
                <w:sz w:val="20"/>
                <w:szCs w:val="20"/>
                <w:color w:val="auto"/>
              </w:rPr>
            </w:pPr>
            <w:r>
              <w:rPr>
                <w:rFonts w:ascii="Arial" w:cs="Arial" w:eastAsia="Arial" w:hAnsi="Arial"/>
                <w:sz w:val="14"/>
                <w:szCs w:val="14"/>
                <w:color w:val="auto"/>
              </w:rPr>
              <w:t>obligation</w:t>
            </w:r>
          </w:p>
        </w:tc>
        <w:tc>
          <w:tcPr>
            <w:tcW w:w="440" w:type="dxa"/>
            <w:vAlign w:val="bottom"/>
            <w:tcBorders>
              <w:bottom w:val="single" w:sz="8" w:color="DFDFDF"/>
            </w:tcBorders>
          </w:tcPr>
          <w:p>
            <w:pPr>
              <w:jc w:val="right"/>
              <w:ind w:right="32"/>
              <w:spacing w:after="0"/>
              <w:rPr>
                <w:sz w:val="20"/>
                <w:szCs w:val="20"/>
                <w:color w:val="auto"/>
              </w:rPr>
            </w:pPr>
            <w:r>
              <w:rPr>
                <w:rFonts w:ascii="Arial" w:cs="Arial" w:eastAsia="Arial" w:hAnsi="Arial"/>
                <w:sz w:val="14"/>
                <w:szCs w:val="14"/>
                <w:color w:val="auto"/>
              </w:rPr>
              <w:t>$</w:t>
            </w:r>
          </w:p>
        </w:tc>
        <w:tc>
          <w:tcPr>
            <w:tcW w:w="400" w:type="dxa"/>
            <w:vAlign w:val="bottom"/>
            <w:tcBorders>
              <w:bottom w:val="single" w:sz="8" w:color="DFDFDF"/>
            </w:tcBorders>
          </w:tcPr>
          <w:p>
            <w:pPr>
              <w:jc w:val="right"/>
              <w:ind w:right="51"/>
              <w:spacing w:after="0"/>
              <w:rPr>
                <w:sz w:val="20"/>
                <w:szCs w:val="20"/>
                <w:color w:val="auto"/>
              </w:rPr>
            </w:pPr>
            <w:r>
              <w:rPr>
                <w:rFonts w:ascii="Arial" w:cs="Arial" w:eastAsia="Arial" w:hAnsi="Arial"/>
                <w:sz w:val="14"/>
                <w:szCs w:val="14"/>
                <w:color w:val="auto"/>
              </w:rPr>
              <w:t>95</w:t>
            </w:r>
          </w:p>
        </w:tc>
        <w:tc>
          <w:tcPr>
            <w:tcW w:w="580" w:type="dxa"/>
            <w:vAlign w:val="bottom"/>
            <w:tcBorders>
              <w:bottom w:val="single" w:sz="8" w:color="DFDFDF"/>
            </w:tcBorders>
          </w:tcPr>
          <w:p>
            <w:pPr>
              <w:jc w:val="right"/>
              <w:ind w:right="51"/>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DFDFDF"/>
            </w:tcBorders>
            <w:gridSpan w:val="2"/>
          </w:tcPr>
          <w:p>
            <w:pPr>
              <w:jc w:val="right"/>
              <w:ind w:right="200"/>
              <w:spacing w:after="0"/>
              <w:rPr>
                <w:sz w:val="20"/>
                <w:szCs w:val="20"/>
                <w:color w:val="auto"/>
              </w:rPr>
            </w:pPr>
            <w:r>
              <w:rPr>
                <w:rFonts w:ascii="Arial" w:cs="Arial" w:eastAsia="Arial" w:hAnsi="Arial"/>
                <w:sz w:val="14"/>
                <w:szCs w:val="14"/>
                <w:color w:val="auto"/>
              </w:rPr>
              <w:t>(77 )</w:t>
            </w:r>
          </w:p>
        </w:tc>
        <w:tc>
          <w:tcPr>
            <w:tcW w:w="440" w:type="dxa"/>
            <w:vAlign w:val="bottom"/>
            <w:tcBorders>
              <w:bottom w:val="single" w:sz="8" w:color="DFDFDF"/>
            </w:tcBorders>
          </w:tcPr>
          <w:p>
            <w:pPr>
              <w:jc w:val="right"/>
              <w:ind w:right="31"/>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DFDFDF"/>
            </w:tcBorders>
          </w:tcPr>
          <w:p>
            <w:pPr>
              <w:jc w:val="right"/>
              <w:ind w:right="352"/>
              <w:spacing w:after="0"/>
              <w:rPr>
                <w:sz w:val="20"/>
                <w:szCs w:val="20"/>
                <w:color w:val="auto"/>
              </w:rPr>
            </w:pPr>
            <w:r>
              <w:rPr>
                <w:rFonts w:ascii="Arial" w:cs="Arial" w:eastAsia="Arial" w:hAnsi="Arial"/>
                <w:sz w:val="14"/>
                <w:szCs w:val="14"/>
                <w:color w:val="auto"/>
              </w:rPr>
              <w:t>5</w:t>
            </w:r>
          </w:p>
        </w:tc>
        <w:tc>
          <w:tcPr>
            <w:tcW w:w="280" w:type="dxa"/>
            <w:vAlign w:val="bottom"/>
            <w:tcBorders>
              <w:bottom w:val="single" w:sz="8" w:color="DFDFDF"/>
            </w:tcBorders>
          </w:tcPr>
          <w:p>
            <w:pPr>
              <w:jc w:val="right"/>
              <w:ind w:right="31"/>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DFDFDF"/>
            </w:tcBorders>
            <w:gridSpan w:val="2"/>
          </w:tcPr>
          <w:p>
            <w:pPr>
              <w:jc w:val="right"/>
              <w:ind w:right="140"/>
              <w:spacing w:after="0"/>
              <w:rPr>
                <w:sz w:val="20"/>
                <w:szCs w:val="20"/>
                <w:color w:val="auto"/>
              </w:rPr>
            </w:pPr>
            <w:r>
              <w:rPr>
                <w:rFonts w:ascii="Arial" w:cs="Arial" w:eastAsia="Arial" w:hAnsi="Arial"/>
                <w:sz w:val="14"/>
                <w:szCs w:val="14"/>
                <w:color w:val="auto"/>
              </w:rPr>
              <w:t>(4 )</w:t>
            </w:r>
          </w:p>
        </w:tc>
        <w:tc>
          <w:tcPr>
            <w:tcW w:w="440" w:type="dxa"/>
            <w:vAlign w:val="bottom"/>
            <w:tcBorders>
              <w:bottom w:val="single" w:sz="8" w:color="DFDFDF"/>
            </w:tcBorders>
          </w:tcPr>
          <w:p>
            <w:pPr>
              <w:jc w:val="right"/>
              <w:ind w:right="11"/>
              <w:spacing w:after="0"/>
              <w:rPr>
                <w:sz w:val="20"/>
                <w:szCs w:val="20"/>
                <w:color w:val="auto"/>
              </w:rPr>
            </w:pPr>
            <w:r>
              <w:rPr>
                <w:rFonts w:ascii="Arial" w:cs="Arial" w:eastAsia="Arial" w:hAnsi="Arial"/>
                <w:sz w:val="14"/>
                <w:szCs w:val="14"/>
                <w:color w:val="auto"/>
              </w:rPr>
              <w:t>$</w:t>
            </w:r>
          </w:p>
        </w:tc>
        <w:tc>
          <w:tcPr>
            <w:tcW w:w="400" w:type="dxa"/>
            <w:vAlign w:val="bottom"/>
            <w:tcBorders>
              <w:bottom w:val="single" w:sz="8" w:color="DFDFDF"/>
            </w:tcBorders>
          </w:tcPr>
          <w:p>
            <w:pPr>
              <w:jc w:val="right"/>
              <w:ind w:right="52"/>
              <w:spacing w:after="0"/>
              <w:rPr>
                <w:sz w:val="20"/>
                <w:szCs w:val="20"/>
                <w:color w:val="auto"/>
              </w:rPr>
            </w:pPr>
            <w:r>
              <w:rPr>
                <w:rFonts w:ascii="Arial" w:cs="Arial" w:eastAsia="Arial" w:hAnsi="Arial"/>
                <w:sz w:val="14"/>
                <w:szCs w:val="14"/>
                <w:color w:val="auto"/>
              </w:rPr>
              <w:t>89</w:t>
            </w:r>
          </w:p>
        </w:tc>
        <w:tc>
          <w:tcPr>
            <w:tcW w:w="560" w:type="dxa"/>
            <w:vAlign w:val="bottom"/>
            <w:tcBorders>
              <w:bottom w:val="single" w:sz="8" w:color="DFDFDF"/>
            </w:tcBorders>
          </w:tcPr>
          <w:p>
            <w:pPr>
              <w:jc w:val="right"/>
              <w:ind w:right="31"/>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DFDFDF"/>
            </w:tcBorders>
          </w:tcPr>
          <w:p>
            <w:pPr>
              <w:jc w:val="right"/>
              <w:ind w:right="88"/>
              <w:spacing w:after="0"/>
              <w:rPr>
                <w:sz w:val="20"/>
                <w:szCs w:val="20"/>
                <w:color w:val="auto"/>
              </w:rPr>
            </w:pPr>
            <w:r>
              <w:rPr>
                <w:rFonts w:ascii="Arial" w:cs="Arial" w:eastAsia="Arial" w:hAnsi="Arial"/>
                <w:sz w:val="14"/>
                <w:szCs w:val="14"/>
                <w:color w:val="auto"/>
              </w:rPr>
              <w:t>(71 )</w:t>
            </w:r>
          </w:p>
        </w:tc>
        <w:tc>
          <w:tcPr>
            <w:tcW w:w="0" w:type="dxa"/>
            <w:vAlign w:val="bottom"/>
          </w:tcPr>
          <w:p>
            <w:pPr>
              <w:spacing w:after="0"/>
              <w:rPr>
                <w:sz w:val="1"/>
                <w:szCs w:val="1"/>
                <w:color w:val="auto"/>
              </w:rPr>
            </w:pPr>
          </w:p>
        </w:tc>
      </w:tr>
    </w:tbl>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Pension Trust Investment Strategies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 Strategy for Sempra Energy’s Pension Trust</w:t>
      </w:r>
    </w:p>
    <w:p>
      <w:pPr>
        <w:spacing w:after="0" w:line="23" w:lineRule="exact"/>
        <w:rPr>
          <w:sz w:val="20"/>
          <w:szCs w:val="20"/>
          <w:color w:val="auto"/>
        </w:rPr>
      </w:pPr>
    </w:p>
    <w:p>
      <w:pPr>
        <w:spacing w:after="0" w:line="351" w:lineRule="auto"/>
        <w:rPr>
          <w:sz w:val="20"/>
          <w:szCs w:val="20"/>
          <w:color w:val="auto"/>
        </w:rPr>
      </w:pPr>
      <w:r>
        <w:rPr>
          <w:rFonts w:ascii="Arial" w:cs="Arial" w:eastAsia="Arial" w:hAnsi="Arial"/>
          <w:sz w:val="14"/>
          <w:szCs w:val="14"/>
          <w:color w:val="auto"/>
        </w:rPr>
        <w:t>Sempra Energy's pension trust includes the pension and other postretirement benefit plans of the Sempra Utilities, except for those other postretirement plans separately described below. The asset allocation for Sempra Energy’s pension trust at December 31, 2008 and 2007 and the target allocation for 2009 by asset categories are as follows:</w:t>
      </w:r>
    </w:p>
    <w:p>
      <w:pPr>
        <w:spacing w:after="0" w:line="267" w:lineRule="exact"/>
        <w:rPr>
          <w:sz w:val="20"/>
          <w:szCs w:val="20"/>
          <w:color w:val="auto"/>
        </w:rPr>
      </w:pPr>
    </w:p>
    <w:tbl>
      <w:tblPr>
        <w:tblLayout w:type="fixed"/>
        <w:tblInd w:w="1880" w:type="dxa"/>
        <w:tblCellMar>
          <w:top w:w="0" w:type="dxa"/>
          <w:left w:w="0" w:type="dxa"/>
          <w:bottom w:w="0" w:type="dxa"/>
          <w:right w:w="0" w:type="dxa"/>
        </w:tblCellMar>
      </w:tblPr>
      <w:tr>
        <w:trPr>
          <w:trHeight w:val="154"/>
        </w:trPr>
        <w:tc>
          <w:tcPr>
            <w:tcW w:w="3640" w:type="dxa"/>
            <w:vAlign w:val="bottom"/>
          </w:tcPr>
          <w:p>
            <w:pPr>
              <w:spacing w:after="0"/>
              <w:rPr>
                <w:sz w:val="13"/>
                <w:szCs w:val="13"/>
                <w:color w:val="auto"/>
              </w:rPr>
            </w:pPr>
          </w:p>
        </w:tc>
        <w:tc>
          <w:tcPr>
            <w:tcW w:w="1100" w:type="dxa"/>
            <w:vAlign w:val="bottom"/>
          </w:tcPr>
          <w:p>
            <w:pPr>
              <w:jc w:val="center"/>
              <w:spacing w:after="0"/>
              <w:rPr>
                <w:sz w:val="20"/>
                <w:szCs w:val="20"/>
                <w:color w:val="auto"/>
              </w:rPr>
            </w:pPr>
            <w:r>
              <w:rPr>
                <w:rFonts w:ascii="Arial" w:cs="Arial" w:eastAsia="Arial" w:hAnsi="Arial"/>
                <w:sz w:val="13"/>
                <w:szCs w:val="13"/>
                <w:color w:val="auto"/>
                <w:w w:val="90"/>
              </w:rPr>
              <w:t>Target</w:t>
            </w:r>
          </w:p>
        </w:tc>
        <w:tc>
          <w:tcPr>
            <w:tcW w:w="2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880" w:type="dxa"/>
            <w:vAlign w:val="bottom"/>
          </w:tcPr>
          <w:p>
            <w:pPr>
              <w:jc w:val="right"/>
              <w:ind w:right="711"/>
              <w:spacing w:after="0"/>
              <w:rPr>
                <w:sz w:val="20"/>
                <w:szCs w:val="20"/>
                <w:color w:val="auto"/>
              </w:rPr>
            </w:pPr>
            <w:r>
              <w:rPr>
                <w:rFonts w:ascii="Arial" w:cs="Arial" w:eastAsia="Arial" w:hAnsi="Arial"/>
                <w:sz w:val="13"/>
                <w:szCs w:val="13"/>
                <w:color w:val="auto"/>
                <w:w w:val="97"/>
              </w:rPr>
              <w:t>Percentage of Plan</w:t>
            </w:r>
          </w:p>
        </w:tc>
      </w:tr>
      <w:tr>
        <w:trPr>
          <w:trHeight w:val="209"/>
        </w:trPr>
        <w:tc>
          <w:tcPr>
            <w:tcW w:w="3640" w:type="dxa"/>
            <w:vAlign w:val="bottom"/>
          </w:tcPr>
          <w:p>
            <w:pPr>
              <w:spacing w:after="0"/>
              <w:rPr>
                <w:sz w:val="18"/>
                <w:szCs w:val="18"/>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5"/>
              </w:rPr>
              <w:t>Allocation</w:t>
            </w:r>
          </w:p>
        </w:tc>
        <w:tc>
          <w:tcPr>
            <w:tcW w:w="280" w:type="dxa"/>
            <w:vAlign w:val="bottom"/>
          </w:tcPr>
          <w:p>
            <w:pPr>
              <w:spacing w:after="0"/>
              <w:rPr>
                <w:sz w:val="18"/>
                <w:szCs w:val="18"/>
                <w:color w:val="auto"/>
              </w:rPr>
            </w:pPr>
          </w:p>
        </w:tc>
        <w:tc>
          <w:tcPr>
            <w:tcW w:w="2660" w:type="dxa"/>
            <w:vAlign w:val="bottom"/>
            <w:tcBorders>
              <w:bottom w:val="single" w:sz="8" w:color="auto"/>
            </w:tcBorders>
            <w:gridSpan w:val="2"/>
          </w:tcPr>
          <w:p>
            <w:pPr>
              <w:jc w:val="right"/>
              <w:ind w:right="571"/>
              <w:spacing w:after="0"/>
              <w:rPr>
                <w:sz w:val="20"/>
                <w:szCs w:val="20"/>
                <w:color w:val="auto"/>
              </w:rPr>
            </w:pPr>
            <w:r>
              <w:rPr>
                <w:rFonts w:ascii="Arial" w:cs="Arial" w:eastAsia="Arial" w:hAnsi="Arial"/>
                <w:sz w:val="13"/>
                <w:szCs w:val="13"/>
                <w:color w:val="auto"/>
              </w:rPr>
              <w:t>Assets at December 31,</w:t>
            </w:r>
          </w:p>
        </w:tc>
      </w:tr>
      <w:tr>
        <w:trPr>
          <w:trHeight w:val="208"/>
        </w:trPr>
        <w:tc>
          <w:tcPr>
            <w:tcW w:w="364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Asset Category</w:t>
            </w: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rPr>
              <w:t>2009</w:t>
            </w:r>
          </w:p>
        </w:tc>
        <w:tc>
          <w:tcPr>
            <w:tcW w:w="1060" w:type="dxa"/>
            <w:vAlign w:val="bottom"/>
            <w:tcBorders>
              <w:bottom w:val="single" w:sz="8" w:color="auto"/>
            </w:tcBorders>
            <w:gridSpan w:val="2"/>
          </w:tcPr>
          <w:p>
            <w:pPr>
              <w:jc w:val="right"/>
              <w:ind w:right="56"/>
              <w:spacing w:after="0"/>
              <w:rPr>
                <w:sz w:val="20"/>
                <w:szCs w:val="20"/>
                <w:color w:val="auto"/>
              </w:rPr>
            </w:pPr>
            <w:r>
              <w:rPr>
                <w:rFonts w:ascii="Arial" w:cs="Arial" w:eastAsia="Arial" w:hAnsi="Arial"/>
                <w:sz w:val="13"/>
                <w:szCs w:val="13"/>
                <w:color w:val="auto"/>
              </w:rPr>
              <w:t>2008</w:t>
            </w:r>
          </w:p>
        </w:tc>
        <w:tc>
          <w:tcPr>
            <w:tcW w:w="1880" w:type="dxa"/>
            <w:vAlign w:val="bottom"/>
            <w:tcBorders>
              <w:bottom w:val="single" w:sz="8" w:color="auto"/>
            </w:tcBorders>
          </w:tcPr>
          <w:p>
            <w:pPr>
              <w:jc w:val="right"/>
              <w:ind w:right="331"/>
              <w:spacing w:after="0"/>
              <w:rPr>
                <w:sz w:val="20"/>
                <w:szCs w:val="20"/>
                <w:color w:val="auto"/>
              </w:rPr>
            </w:pPr>
            <w:r>
              <w:rPr>
                <w:rFonts w:ascii="Arial" w:cs="Arial" w:eastAsia="Arial" w:hAnsi="Arial"/>
                <w:sz w:val="13"/>
                <w:szCs w:val="13"/>
                <w:color w:val="auto"/>
              </w:rPr>
              <w:t>2007</w:t>
            </w:r>
          </w:p>
        </w:tc>
      </w:tr>
      <w:tr>
        <w:trPr>
          <w:trHeight w:val="207"/>
        </w:trPr>
        <w:tc>
          <w:tcPr>
            <w:tcW w:w="3640" w:type="dxa"/>
            <w:vAlign w:val="bottom"/>
          </w:tcPr>
          <w:p>
            <w:pPr>
              <w:spacing w:after="0"/>
              <w:rPr>
                <w:sz w:val="20"/>
                <w:szCs w:val="20"/>
                <w:color w:val="auto"/>
              </w:rPr>
            </w:pPr>
            <w:r>
              <w:rPr>
                <w:rFonts w:ascii="Arial" w:cs="Arial" w:eastAsia="Arial" w:hAnsi="Arial"/>
                <w:sz w:val="14"/>
                <w:szCs w:val="14"/>
                <w:color w:val="auto"/>
              </w:rPr>
              <w:t>U.S. Equity</w:t>
            </w:r>
          </w:p>
        </w:tc>
        <w:tc>
          <w:tcPr>
            <w:tcW w:w="1100" w:type="dxa"/>
            <w:vAlign w:val="bottom"/>
          </w:tcPr>
          <w:p>
            <w:pPr>
              <w:jc w:val="right"/>
              <w:ind w:right="171"/>
              <w:spacing w:after="0"/>
              <w:rPr>
                <w:sz w:val="20"/>
                <w:szCs w:val="20"/>
                <w:color w:val="auto"/>
              </w:rPr>
            </w:pPr>
            <w:r>
              <w:rPr>
                <w:rFonts w:ascii="Arial" w:cs="Arial" w:eastAsia="Arial" w:hAnsi="Arial"/>
                <w:sz w:val="14"/>
                <w:szCs w:val="14"/>
                <w:color w:val="auto"/>
              </w:rPr>
              <w:t>45 %</w:t>
            </w:r>
          </w:p>
        </w:tc>
        <w:tc>
          <w:tcPr>
            <w:tcW w:w="1060" w:type="dxa"/>
            <w:vAlign w:val="bottom"/>
            <w:gridSpan w:val="2"/>
          </w:tcPr>
          <w:p>
            <w:pPr>
              <w:jc w:val="right"/>
              <w:spacing w:after="0"/>
              <w:rPr>
                <w:sz w:val="20"/>
                <w:szCs w:val="20"/>
                <w:color w:val="auto"/>
              </w:rPr>
            </w:pPr>
            <w:r>
              <w:rPr>
                <w:rFonts w:ascii="Arial" w:cs="Arial" w:eastAsia="Arial" w:hAnsi="Arial"/>
                <w:sz w:val="14"/>
                <w:szCs w:val="14"/>
                <w:color w:val="auto"/>
              </w:rPr>
              <w:t>42 %</w:t>
            </w:r>
          </w:p>
        </w:tc>
        <w:tc>
          <w:tcPr>
            <w:tcW w:w="1880" w:type="dxa"/>
            <w:vAlign w:val="bottom"/>
          </w:tcPr>
          <w:p>
            <w:pPr>
              <w:jc w:val="right"/>
              <w:ind w:right="171"/>
              <w:spacing w:after="0"/>
              <w:rPr>
                <w:sz w:val="20"/>
                <w:szCs w:val="20"/>
                <w:color w:val="auto"/>
              </w:rPr>
            </w:pPr>
            <w:r>
              <w:rPr>
                <w:rFonts w:ascii="Arial" w:cs="Arial" w:eastAsia="Arial" w:hAnsi="Arial"/>
                <w:sz w:val="14"/>
                <w:szCs w:val="14"/>
                <w:color w:val="auto"/>
              </w:rPr>
              <w:t>45 %</w:t>
            </w:r>
          </w:p>
        </w:tc>
      </w:tr>
      <w:tr>
        <w:trPr>
          <w:trHeight w:val="216"/>
        </w:trPr>
        <w:tc>
          <w:tcPr>
            <w:tcW w:w="3640" w:type="dxa"/>
            <w:vAlign w:val="bottom"/>
          </w:tcPr>
          <w:p>
            <w:pPr>
              <w:spacing w:after="0"/>
              <w:rPr>
                <w:sz w:val="20"/>
                <w:szCs w:val="20"/>
                <w:color w:val="auto"/>
              </w:rPr>
            </w:pPr>
            <w:r>
              <w:rPr>
                <w:rFonts w:ascii="Arial" w:cs="Arial" w:eastAsia="Arial" w:hAnsi="Arial"/>
                <w:sz w:val="14"/>
                <w:szCs w:val="14"/>
                <w:color w:val="auto"/>
              </w:rPr>
              <w:t>Foreign Equity</w:t>
            </w:r>
          </w:p>
        </w:tc>
        <w:tc>
          <w:tcPr>
            <w:tcW w:w="1100" w:type="dxa"/>
            <w:vAlign w:val="bottom"/>
          </w:tcPr>
          <w:p>
            <w:pPr>
              <w:jc w:val="right"/>
              <w:ind w:right="331"/>
              <w:spacing w:after="0"/>
              <w:rPr>
                <w:sz w:val="20"/>
                <w:szCs w:val="20"/>
                <w:color w:val="auto"/>
              </w:rPr>
            </w:pPr>
            <w:r>
              <w:rPr>
                <w:rFonts w:ascii="Arial" w:cs="Arial" w:eastAsia="Arial" w:hAnsi="Arial"/>
                <w:sz w:val="14"/>
                <w:szCs w:val="14"/>
                <w:color w:val="auto"/>
              </w:rPr>
              <w:t>25</w:t>
            </w:r>
          </w:p>
        </w:tc>
        <w:tc>
          <w:tcPr>
            <w:tcW w:w="1060" w:type="dxa"/>
            <w:vAlign w:val="bottom"/>
            <w:gridSpan w:val="2"/>
          </w:tcPr>
          <w:p>
            <w:pPr>
              <w:jc w:val="right"/>
              <w:ind w:right="96"/>
              <w:spacing w:after="0"/>
              <w:rPr>
                <w:sz w:val="20"/>
                <w:szCs w:val="20"/>
                <w:color w:val="auto"/>
              </w:rPr>
            </w:pPr>
            <w:r>
              <w:rPr>
                <w:rFonts w:ascii="Arial" w:cs="Arial" w:eastAsia="Arial" w:hAnsi="Arial"/>
                <w:sz w:val="14"/>
                <w:szCs w:val="14"/>
                <w:color w:val="auto"/>
              </w:rPr>
              <w:t>22</w:t>
            </w:r>
          </w:p>
        </w:tc>
        <w:tc>
          <w:tcPr>
            <w:tcW w:w="1880" w:type="dxa"/>
            <w:vAlign w:val="bottom"/>
          </w:tcPr>
          <w:p>
            <w:pPr>
              <w:jc w:val="right"/>
              <w:ind w:right="331"/>
              <w:spacing w:after="0"/>
              <w:rPr>
                <w:sz w:val="20"/>
                <w:szCs w:val="20"/>
                <w:color w:val="auto"/>
              </w:rPr>
            </w:pPr>
            <w:r>
              <w:rPr>
                <w:rFonts w:ascii="Arial" w:cs="Arial" w:eastAsia="Arial" w:hAnsi="Arial"/>
                <w:sz w:val="14"/>
                <w:szCs w:val="14"/>
                <w:color w:val="auto"/>
              </w:rPr>
              <w:t>25</w:t>
            </w:r>
          </w:p>
        </w:tc>
      </w:tr>
      <w:tr>
        <w:trPr>
          <w:trHeight w:val="222"/>
        </w:trPr>
        <w:tc>
          <w:tcPr>
            <w:tcW w:w="3640" w:type="dxa"/>
            <w:vAlign w:val="bottom"/>
          </w:tcPr>
          <w:p>
            <w:pPr>
              <w:spacing w:after="0"/>
              <w:rPr>
                <w:sz w:val="20"/>
                <w:szCs w:val="20"/>
                <w:color w:val="auto"/>
              </w:rPr>
            </w:pPr>
            <w:r>
              <w:rPr>
                <w:rFonts w:ascii="Arial" w:cs="Arial" w:eastAsia="Arial" w:hAnsi="Arial"/>
                <w:sz w:val="14"/>
                <w:szCs w:val="14"/>
                <w:color w:val="auto"/>
              </w:rPr>
              <w:t>Fixed Income</w:t>
            </w:r>
          </w:p>
        </w:tc>
        <w:tc>
          <w:tcPr>
            <w:tcW w:w="110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color w:val="auto"/>
              </w:rPr>
              <w:t>30</w:t>
            </w:r>
          </w:p>
        </w:tc>
        <w:tc>
          <w:tcPr>
            <w:tcW w:w="1060" w:type="dxa"/>
            <w:vAlign w:val="bottom"/>
            <w:tcBorders>
              <w:bottom w:val="single" w:sz="8" w:color="auto"/>
            </w:tcBorders>
            <w:gridSpan w:val="2"/>
          </w:tcPr>
          <w:p>
            <w:pPr>
              <w:jc w:val="right"/>
              <w:ind w:right="96"/>
              <w:spacing w:after="0"/>
              <w:rPr>
                <w:sz w:val="20"/>
                <w:szCs w:val="20"/>
                <w:color w:val="auto"/>
              </w:rPr>
            </w:pPr>
            <w:r>
              <w:rPr>
                <w:rFonts w:ascii="Arial" w:cs="Arial" w:eastAsia="Arial" w:hAnsi="Arial"/>
                <w:sz w:val="14"/>
                <w:szCs w:val="14"/>
                <w:color w:val="auto"/>
              </w:rPr>
              <w:t>36</w:t>
            </w:r>
          </w:p>
        </w:tc>
        <w:tc>
          <w:tcPr>
            <w:tcW w:w="188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color w:val="auto"/>
              </w:rPr>
              <w:t>30</w:t>
            </w:r>
          </w:p>
        </w:tc>
      </w:tr>
      <w:tr>
        <w:trPr>
          <w:trHeight w:val="224"/>
        </w:trPr>
        <w:tc>
          <w:tcPr>
            <w:tcW w:w="3640" w:type="dxa"/>
            <w:vAlign w:val="bottom"/>
            <w:tcBorders>
              <w:bottom w:val="single" w:sz="8" w:color="auto"/>
            </w:tcBorders>
          </w:tcPr>
          <w:p>
            <w:pPr>
              <w:ind w:left="240"/>
              <w:spacing w:after="0"/>
              <w:rPr>
                <w:sz w:val="20"/>
                <w:szCs w:val="20"/>
                <w:color w:val="auto"/>
              </w:rPr>
            </w:pPr>
            <w:r>
              <w:rPr>
                <w:rFonts w:ascii="Arial" w:cs="Arial" w:eastAsia="Arial" w:hAnsi="Arial"/>
                <w:sz w:val="14"/>
                <w:szCs w:val="14"/>
                <w:color w:val="auto"/>
              </w:rPr>
              <w:t>Total</w:t>
            </w:r>
          </w:p>
        </w:tc>
        <w:tc>
          <w:tcPr>
            <w:tcW w:w="110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color w:val="auto"/>
              </w:rPr>
              <w:t>100 %</w:t>
            </w:r>
          </w:p>
        </w:tc>
        <w:tc>
          <w:tcPr>
            <w:tcW w:w="10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100 %</w:t>
            </w:r>
          </w:p>
        </w:tc>
        <w:tc>
          <w:tcPr>
            <w:tcW w:w="188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color w:val="auto"/>
              </w:rPr>
              <w:t>100 %</w:t>
            </w:r>
          </w:p>
        </w:tc>
      </w:tr>
    </w:tbl>
    <w:p>
      <w:pPr>
        <w:spacing w:after="0" w:line="180" w:lineRule="exact"/>
        <w:rPr>
          <w:sz w:val="20"/>
          <w:szCs w:val="20"/>
          <w:color w:val="auto"/>
        </w:rPr>
      </w:pPr>
    </w:p>
    <w:p>
      <w:pPr>
        <w:spacing w:after="0" w:line="259" w:lineRule="auto"/>
        <w:rPr>
          <w:sz w:val="20"/>
          <w:szCs w:val="20"/>
          <w:color w:val="auto"/>
        </w:rPr>
      </w:pPr>
      <w:r>
        <w:rPr>
          <w:rFonts w:ascii="Arial" w:cs="Arial" w:eastAsia="Arial" w:hAnsi="Arial"/>
          <w:sz w:val="16"/>
          <w:szCs w:val="16"/>
          <w:color w:val="auto"/>
        </w:rPr>
        <w:t>Sempra Energy's investment strategy is to stay fully invested to its strategic asset allocation. The equity portfolio is balanced to maintain risk characteristics similar to the Morgan Stanley Capital International (MSCI) 2500 index with respect to industry, sector and market capitalization exposures. The foreign equity portfolios are managed to track the MSCI Europe, Pacific Rim and Emerging Markets indices. Bond portfolios are managed with respect to the Lehman Aggregate Bond Index and Lehman Long Government Credit Bond Index. Other than index weight, the trust does not invest in securities of Sempra Energy.</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 Strategy for SoCalGas' Other Postretirement Benefit Plans</w:t>
      </w:r>
    </w:p>
    <w:p>
      <w:pPr>
        <w:spacing w:after="0" w:line="23" w:lineRule="exact"/>
        <w:rPr>
          <w:sz w:val="20"/>
          <w:szCs w:val="20"/>
          <w:color w:val="auto"/>
        </w:rPr>
      </w:pPr>
    </w:p>
    <w:p>
      <w:pPr>
        <w:spacing w:after="0"/>
        <w:rPr>
          <w:sz w:val="20"/>
          <w:szCs w:val="20"/>
          <w:color w:val="auto"/>
        </w:rPr>
      </w:pPr>
      <w:r>
        <w:rPr>
          <w:rFonts w:ascii="Arial" w:cs="Arial" w:eastAsia="Arial" w:hAnsi="Arial"/>
          <w:sz w:val="15"/>
          <w:szCs w:val="15"/>
          <w:color w:val="auto"/>
        </w:rPr>
        <w:t>The asset allocation for SoCalGas' other postretirement benefit plans at December 31, 2008 and 2007 and the target allocation for 2009 by asset categories are as follows:</w:t>
      </w:r>
    </w:p>
    <w:p>
      <w:pPr>
        <w:spacing w:after="0" w:line="373" w:lineRule="exact"/>
        <w:rPr>
          <w:sz w:val="20"/>
          <w:szCs w:val="20"/>
          <w:color w:val="auto"/>
        </w:rPr>
      </w:pPr>
    </w:p>
    <w:tbl>
      <w:tblPr>
        <w:tblLayout w:type="fixed"/>
        <w:tblInd w:w="1880" w:type="dxa"/>
        <w:tblCellMar>
          <w:top w:w="0" w:type="dxa"/>
          <w:left w:w="0" w:type="dxa"/>
          <w:bottom w:w="0" w:type="dxa"/>
          <w:right w:w="0" w:type="dxa"/>
        </w:tblCellMar>
      </w:tblPr>
      <w:tr>
        <w:trPr>
          <w:trHeight w:val="154"/>
        </w:trPr>
        <w:tc>
          <w:tcPr>
            <w:tcW w:w="3660" w:type="dxa"/>
            <w:vAlign w:val="bottom"/>
          </w:tcPr>
          <w:p>
            <w:pPr>
              <w:spacing w:after="0"/>
              <w:rPr>
                <w:sz w:val="13"/>
                <w:szCs w:val="13"/>
                <w:color w:val="auto"/>
              </w:rPr>
            </w:pPr>
          </w:p>
        </w:tc>
        <w:tc>
          <w:tcPr>
            <w:tcW w:w="1080" w:type="dxa"/>
            <w:vAlign w:val="bottom"/>
          </w:tcPr>
          <w:p>
            <w:pPr>
              <w:jc w:val="center"/>
              <w:spacing w:after="0"/>
              <w:rPr>
                <w:sz w:val="20"/>
                <w:szCs w:val="20"/>
                <w:color w:val="auto"/>
              </w:rPr>
            </w:pPr>
            <w:r>
              <w:rPr>
                <w:rFonts w:ascii="Arial" w:cs="Arial" w:eastAsia="Arial" w:hAnsi="Arial"/>
                <w:sz w:val="13"/>
                <w:szCs w:val="13"/>
                <w:color w:val="auto"/>
                <w:w w:val="95"/>
              </w:rPr>
              <w:t>Target</w:t>
            </w:r>
          </w:p>
        </w:tc>
        <w:tc>
          <w:tcPr>
            <w:tcW w:w="3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880" w:type="dxa"/>
            <w:vAlign w:val="bottom"/>
          </w:tcPr>
          <w:p>
            <w:pPr>
              <w:jc w:val="right"/>
              <w:ind w:right="711"/>
              <w:spacing w:after="0"/>
              <w:rPr>
                <w:sz w:val="20"/>
                <w:szCs w:val="20"/>
                <w:color w:val="auto"/>
              </w:rPr>
            </w:pPr>
            <w:r>
              <w:rPr>
                <w:rFonts w:ascii="Arial" w:cs="Arial" w:eastAsia="Arial" w:hAnsi="Arial"/>
                <w:sz w:val="13"/>
                <w:szCs w:val="13"/>
                <w:color w:val="auto"/>
                <w:w w:val="97"/>
              </w:rPr>
              <w:t>Percentage of Plan</w:t>
            </w:r>
          </w:p>
        </w:tc>
      </w:tr>
      <w:tr>
        <w:trPr>
          <w:trHeight w:val="209"/>
        </w:trPr>
        <w:tc>
          <w:tcPr>
            <w:tcW w:w="3660" w:type="dxa"/>
            <w:vAlign w:val="bottom"/>
          </w:tcPr>
          <w:p>
            <w:pPr>
              <w:spacing w:after="0"/>
              <w:rPr>
                <w:sz w:val="18"/>
                <w:szCs w:val="18"/>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9"/>
              </w:rPr>
              <w:t>Allocation</w:t>
            </w:r>
          </w:p>
        </w:tc>
        <w:tc>
          <w:tcPr>
            <w:tcW w:w="300" w:type="dxa"/>
            <w:vAlign w:val="bottom"/>
          </w:tcPr>
          <w:p>
            <w:pPr>
              <w:spacing w:after="0"/>
              <w:rPr>
                <w:sz w:val="18"/>
                <w:szCs w:val="18"/>
                <w:color w:val="auto"/>
              </w:rPr>
            </w:pPr>
          </w:p>
        </w:tc>
        <w:tc>
          <w:tcPr>
            <w:tcW w:w="2640" w:type="dxa"/>
            <w:vAlign w:val="bottom"/>
            <w:tcBorders>
              <w:bottom w:val="single" w:sz="8" w:color="auto"/>
            </w:tcBorders>
            <w:gridSpan w:val="2"/>
          </w:tcPr>
          <w:p>
            <w:pPr>
              <w:jc w:val="right"/>
              <w:ind w:right="571"/>
              <w:spacing w:after="0"/>
              <w:rPr>
                <w:sz w:val="20"/>
                <w:szCs w:val="20"/>
                <w:color w:val="auto"/>
              </w:rPr>
            </w:pPr>
            <w:r>
              <w:rPr>
                <w:rFonts w:ascii="Arial" w:cs="Arial" w:eastAsia="Arial" w:hAnsi="Arial"/>
                <w:sz w:val="13"/>
                <w:szCs w:val="13"/>
                <w:color w:val="auto"/>
              </w:rPr>
              <w:t>Assets at December 31,</w:t>
            </w:r>
          </w:p>
        </w:tc>
      </w:tr>
      <w:tr>
        <w:trPr>
          <w:trHeight w:val="208"/>
        </w:trPr>
        <w:tc>
          <w:tcPr>
            <w:tcW w:w="366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Asset Category</w:t>
            </w: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6"/>
              </w:rPr>
              <w:t>2009</w:t>
            </w:r>
          </w:p>
        </w:tc>
        <w:tc>
          <w:tcPr>
            <w:tcW w:w="1060" w:type="dxa"/>
            <w:vAlign w:val="bottom"/>
            <w:tcBorders>
              <w:bottom w:val="single" w:sz="8" w:color="auto"/>
            </w:tcBorders>
            <w:gridSpan w:val="2"/>
          </w:tcPr>
          <w:p>
            <w:pPr>
              <w:jc w:val="right"/>
              <w:ind w:right="56"/>
              <w:spacing w:after="0"/>
              <w:rPr>
                <w:sz w:val="20"/>
                <w:szCs w:val="20"/>
                <w:color w:val="auto"/>
              </w:rPr>
            </w:pPr>
            <w:r>
              <w:rPr>
                <w:rFonts w:ascii="Arial" w:cs="Arial" w:eastAsia="Arial" w:hAnsi="Arial"/>
                <w:sz w:val="13"/>
                <w:szCs w:val="13"/>
                <w:color w:val="auto"/>
              </w:rPr>
              <w:t>2008</w:t>
            </w:r>
          </w:p>
        </w:tc>
        <w:tc>
          <w:tcPr>
            <w:tcW w:w="1880" w:type="dxa"/>
            <w:vAlign w:val="bottom"/>
            <w:tcBorders>
              <w:bottom w:val="single" w:sz="8" w:color="auto"/>
            </w:tcBorders>
          </w:tcPr>
          <w:p>
            <w:pPr>
              <w:jc w:val="right"/>
              <w:ind w:right="331"/>
              <w:spacing w:after="0"/>
              <w:rPr>
                <w:sz w:val="20"/>
                <w:szCs w:val="20"/>
                <w:color w:val="auto"/>
              </w:rPr>
            </w:pPr>
            <w:r>
              <w:rPr>
                <w:rFonts w:ascii="Arial" w:cs="Arial" w:eastAsia="Arial" w:hAnsi="Arial"/>
                <w:sz w:val="13"/>
                <w:szCs w:val="13"/>
                <w:color w:val="auto"/>
              </w:rPr>
              <w:t>2007</w:t>
            </w:r>
          </w:p>
        </w:tc>
      </w:tr>
      <w:tr>
        <w:trPr>
          <w:trHeight w:val="207"/>
        </w:trPr>
        <w:tc>
          <w:tcPr>
            <w:tcW w:w="3660" w:type="dxa"/>
            <w:vAlign w:val="bottom"/>
          </w:tcPr>
          <w:p>
            <w:pPr>
              <w:spacing w:after="0"/>
              <w:rPr>
                <w:sz w:val="20"/>
                <w:szCs w:val="20"/>
                <w:color w:val="auto"/>
              </w:rPr>
            </w:pPr>
            <w:r>
              <w:rPr>
                <w:rFonts w:ascii="Arial" w:cs="Arial" w:eastAsia="Arial" w:hAnsi="Arial"/>
                <w:sz w:val="14"/>
                <w:szCs w:val="14"/>
                <w:color w:val="auto"/>
              </w:rPr>
              <w:t>U.S. Equity</w:t>
            </w:r>
          </w:p>
        </w:tc>
        <w:tc>
          <w:tcPr>
            <w:tcW w:w="1080" w:type="dxa"/>
            <w:vAlign w:val="bottom"/>
          </w:tcPr>
          <w:p>
            <w:pPr>
              <w:jc w:val="right"/>
              <w:ind w:right="172"/>
              <w:spacing w:after="0"/>
              <w:rPr>
                <w:sz w:val="20"/>
                <w:szCs w:val="20"/>
                <w:color w:val="auto"/>
              </w:rPr>
            </w:pPr>
            <w:r>
              <w:rPr>
                <w:rFonts w:ascii="Arial" w:cs="Arial" w:eastAsia="Arial" w:hAnsi="Arial"/>
                <w:sz w:val="14"/>
                <w:szCs w:val="14"/>
                <w:color w:val="auto"/>
              </w:rPr>
              <w:t>70 %</w:t>
            </w:r>
          </w:p>
        </w:tc>
        <w:tc>
          <w:tcPr>
            <w:tcW w:w="1060" w:type="dxa"/>
            <w:vAlign w:val="bottom"/>
            <w:gridSpan w:val="2"/>
          </w:tcPr>
          <w:p>
            <w:pPr>
              <w:jc w:val="right"/>
              <w:spacing w:after="0"/>
              <w:rPr>
                <w:sz w:val="20"/>
                <w:szCs w:val="20"/>
                <w:color w:val="auto"/>
              </w:rPr>
            </w:pPr>
            <w:r>
              <w:rPr>
                <w:rFonts w:ascii="Arial" w:cs="Arial" w:eastAsia="Arial" w:hAnsi="Arial"/>
                <w:sz w:val="14"/>
                <w:szCs w:val="14"/>
                <w:color w:val="auto"/>
              </w:rPr>
              <w:t>61 %</w:t>
            </w:r>
          </w:p>
        </w:tc>
        <w:tc>
          <w:tcPr>
            <w:tcW w:w="1880" w:type="dxa"/>
            <w:vAlign w:val="bottom"/>
          </w:tcPr>
          <w:p>
            <w:pPr>
              <w:jc w:val="right"/>
              <w:ind w:right="171"/>
              <w:spacing w:after="0"/>
              <w:rPr>
                <w:sz w:val="20"/>
                <w:szCs w:val="20"/>
                <w:color w:val="auto"/>
              </w:rPr>
            </w:pPr>
            <w:r>
              <w:rPr>
                <w:rFonts w:ascii="Arial" w:cs="Arial" w:eastAsia="Arial" w:hAnsi="Arial"/>
                <w:sz w:val="14"/>
                <w:szCs w:val="14"/>
                <w:color w:val="auto"/>
              </w:rPr>
              <w:t>75 %</w:t>
            </w:r>
          </w:p>
        </w:tc>
      </w:tr>
      <w:tr>
        <w:trPr>
          <w:trHeight w:val="222"/>
        </w:trPr>
        <w:tc>
          <w:tcPr>
            <w:tcW w:w="3660" w:type="dxa"/>
            <w:vAlign w:val="bottom"/>
          </w:tcPr>
          <w:p>
            <w:pPr>
              <w:spacing w:after="0"/>
              <w:rPr>
                <w:sz w:val="20"/>
                <w:szCs w:val="20"/>
                <w:color w:val="auto"/>
              </w:rPr>
            </w:pPr>
            <w:r>
              <w:rPr>
                <w:rFonts w:ascii="Arial" w:cs="Arial" w:eastAsia="Arial" w:hAnsi="Arial"/>
                <w:sz w:val="14"/>
                <w:szCs w:val="14"/>
                <w:color w:val="auto"/>
              </w:rPr>
              <w:t>Fixed Income</w:t>
            </w:r>
          </w:p>
        </w:tc>
        <w:tc>
          <w:tcPr>
            <w:tcW w:w="108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color w:val="auto"/>
              </w:rPr>
              <w:t>30</w:t>
            </w:r>
          </w:p>
        </w:tc>
        <w:tc>
          <w:tcPr>
            <w:tcW w:w="1060" w:type="dxa"/>
            <w:vAlign w:val="bottom"/>
            <w:tcBorders>
              <w:bottom w:val="single" w:sz="8" w:color="auto"/>
            </w:tcBorders>
            <w:gridSpan w:val="2"/>
          </w:tcPr>
          <w:p>
            <w:pPr>
              <w:jc w:val="right"/>
              <w:ind w:right="96"/>
              <w:spacing w:after="0"/>
              <w:rPr>
                <w:sz w:val="20"/>
                <w:szCs w:val="20"/>
                <w:color w:val="auto"/>
              </w:rPr>
            </w:pPr>
            <w:r>
              <w:rPr>
                <w:rFonts w:ascii="Arial" w:cs="Arial" w:eastAsia="Arial" w:hAnsi="Arial"/>
                <w:sz w:val="14"/>
                <w:szCs w:val="14"/>
                <w:color w:val="auto"/>
              </w:rPr>
              <w:t>39</w:t>
            </w:r>
          </w:p>
        </w:tc>
        <w:tc>
          <w:tcPr>
            <w:tcW w:w="188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color w:val="auto"/>
              </w:rPr>
              <w:t>25</w:t>
            </w:r>
          </w:p>
        </w:tc>
      </w:tr>
      <w:tr>
        <w:trPr>
          <w:trHeight w:val="224"/>
        </w:trPr>
        <w:tc>
          <w:tcPr>
            <w:tcW w:w="3660" w:type="dxa"/>
            <w:vAlign w:val="bottom"/>
            <w:tcBorders>
              <w:bottom w:val="single" w:sz="8" w:color="auto"/>
            </w:tcBorders>
          </w:tcPr>
          <w:p>
            <w:pPr>
              <w:ind w:left="340"/>
              <w:spacing w:after="0"/>
              <w:rPr>
                <w:sz w:val="20"/>
                <w:szCs w:val="20"/>
                <w:color w:val="auto"/>
              </w:rPr>
            </w:pPr>
            <w:r>
              <w:rPr>
                <w:rFonts w:ascii="Arial" w:cs="Arial" w:eastAsia="Arial" w:hAnsi="Arial"/>
                <w:sz w:val="14"/>
                <w:szCs w:val="14"/>
                <w:color w:val="auto"/>
              </w:rPr>
              <w:t>Total</w:t>
            </w:r>
          </w:p>
        </w:tc>
        <w:tc>
          <w:tcPr>
            <w:tcW w:w="108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color w:val="auto"/>
              </w:rPr>
              <w:t>100 %</w:t>
            </w:r>
          </w:p>
        </w:tc>
        <w:tc>
          <w:tcPr>
            <w:tcW w:w="10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100 %</w:t>
            </w:r>
          </w:p>
        </w:tc>
        <w:tc>
          <w:tcPr>
            <w:tcW w:w="188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color w:val="auto"/>
              </w:rPr>
              <w:t>100 %</w:t>
            </w:r>
          </w:p>
        </w:tc>
      </w:tr>
    </w:tbl>
    <w:p>
      <w:pPr>
        <w:spacing w:after="0" w:line="180" w:lineRule="exact"/>
        <w:rPr>
          <w:sz w:val="20"/>
          <w:szCs w:val="20"/>
          <w:color w:val="auto"/>
        </w:rPr>
      </w:pPr>
    </w:p>
    <w:p>
      <w:pPr>
        <w:ind w:right="80"/>
        <w:spacing w:after="0" w:line="277" w:lineRule="auto"/>
        <w:rPr>
          <w:sz w:val="20"/>
          <w:szCs w:val="20"/>
          <w:color w:val="auto"/>
        </w:rPr>
      </w:pPr>
      <w:r>
        <w:rPr>
          <w:rFonts w:ascii="Arial" w:cs="Arial" w:eastAsia="Arial" w:hAnsi="Arial"/>
          <w:sz w:val="16"/>
          <w:szCs w:val="16"/>
          <w:color w:val="auto"/>
        </w:rPr>
        <w:t>SoCalGas' other postretirement benefit plans are funded by cash contributions from SoCalGas and the retirees. The asset allocation is designed to match the long-term growth of the plans' liabilities. These plans are managed using index funds.</w:t>
      </w: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4"/>
          <w:szCs w:val="14"/>
          <w:color w:val="auto"/>
        </w:rPr>
        <w:t>146</w:t>
      </w:r>
    </w:p>
    <w:p>
      <w:pPr>
        <w:sectPr>
          <w:pgSz w:w="11900" w:h="16838" w:orient="portrait"/>
          <w:cols w:equalWidth="0" w:num="1">
            <w:col w:w="11400"/>
          </w:cols>
          <w:pgMar w:left="240" w:top="127" w:right="259" w:bottom="1440" w:gutter="0" w:footer="0" w:header="0"/>
        </w:sectPr>
      </w:pPr>
    </w:p>
    <w:bookmarkStart w:id="286" w:name="page287"/>
    <w:bookmarkEnd w:id="286"/>
    <w:p>
      <w:pPr>
        <w:spacing w:after="0"/>
        <w:rPr>
          <w:sz w:val="20"/>
          <w:szCs w:val="20"/>
          <w:color w:val="auto"/>
        </w:rPr>
      </w:pPr>
      <w:r>
        <w:rPr>
          <w:rFonts w:ascii="Arial" w:cs="Arial" w:eastAsia="Arial" w:hAnsi="Arial"/>
          <w:sz w:val="18"/>
          <w:szCs w:val="18"/>
          <w:i w:val="1"/>
          <w:iCs w:val="1"/>
          <w:color w:val="auto"/>
        </w:rPr>
        <w:t>Investment Strategy for SDG&amp;E's Postretirement Health Plans</w:t>
      </w:r>
    </w:p>
    <w:p>
      <w:pPr>
        <w:spacing w:after="0" w:line="23" w:lineRule="exact"/>
        <w:rPr>
          <w:sz w:val="20"/>
          <w:szCs w:val="20"/>
          <w:color w:val="auto"/>
        </w:rPr>
      </w:pPr>
    </w:p>
    <w:p>
      <w:pPr>
        <w:spacing w:after="0" w:line="340" w:lineRule="auto"/>
        <w:rPr>
          <w:sz w:val="20"/>
          <w:szCs w:val="20"/>
          <w:color w:val="auto"/>
        </w:rPr>
      </w:pPr>
      <w:r>
        <w:rPr>
          <w:rFonts w:ascii="Arial" w:cs="Arial" w:eastAsia="Arial" w:hAnsi="Arial"/>
          <w:sz w:val="14"/>
          <w:szCs w:val="14"/>
          <w:color w:val="auto"/>
        </w:rPr>
        <w:t>SDG&amp;E's postretirement health plans that are not included in the pension trust (shown above) pay premiums to health maintenance organization and point-of-service plans from company and participant contributions. SDG&amp;E's investment strategy is to maintain a diversified portfolio of equities and tax-exempt California municipal bonds.</w:t>
      </w:r>
    </w:p>
    <w:p>
      <w:pPr>
        <w:spacing w:after="0"/>
        <w:rPr>
          <w:sz w:val="20"/>
          <w:szCs w:val="20"/>
          <w:color w:val="auto"/>
        </w:rPr>
      </w:pPr>
      <w:r>
        <w:rPr>
          <w:rFonts w:ascii="Arial" w:cs="Arial" w:eastAsia="Arial" w:hAnsi="Arial"/>
          <w:sz w:val="15"/>
          <w:szCs w:val="15"/>
          <w:color w:val="auto"/>
        </w:rPr>
        <w:t>The asset allocation for SDG&amp;E's postretirement health plans at December 31, 2008 and 2007 and the target allocation for 2009 by asset categories are as follows:</w:t>
      </w:r>
    </w:p>
    <w:p>
      <w:pPr>
        <w:spacing w:after="0" w:line="200" w:lineRule="exact"/>
        <w:rPr>
          <w:sz w:val="20"/>
          <w:szCs w:val="20"/>
          <w:color w:val="auto"/>
        </w:rPr>
      </w:pPr>
    </w:p>
    <w:p>
      <w:pPr>
        <w:spacing w:after="0" w:line="245" w:lineRule="exact"/>
        <w:rPr>
          <w:sz w:val="20"/>
          <w:szCs w:val="20"/>
          <w:color w:val="auto"/>
        </w:rPr>
      </w:pPr>
    </w:p>
    <w:tbl>
      <w:tblPr>
        <w:tblLayout w:type="fixed"/>
        <w:tblInd w:w="1880" w:type="dxa"/>
        <w:tblCellMar>
          <w:top w:w="0" w:type="dxa"/>
          <w:left w:w="0" w:type="dxa"/>
          <w:bottom w:w="0" w:type="dxa"/>
          <w:right w:w="0" w:type="dxa"/>
        </w:tblCellMar>
      </w:tblPr>
      <w:tr>
        <w:trPr>
          <w:trHeight w:val="154"/>
        </w:trPr>
        <w:tc>
          <w:tcPr>
            <w:tcW w:w="3660" w:type="dxa"/>
            <w:vAlign w:val="bottom"/>
          </w:tcPr>
          <w:p>
            <w:pPr>
              <w:spacing w:after="0"/>
              <w:rPr>
                <w:sz w:val="13"/>
                <w:szCs w:val="13"/>
                <w:color w:val="auto"/>
              </w:rPr>
            </w:pPr>
          </w:p>
        </w:tc>
        <w:tc>
          <w:tcPr>
            <w:tcW w:w="1100" w:type="dxa"/>
            <w:vAlign w:val="bottom"/>
          </w:tcPr>
          <w:p>
            <w:pPr>
              <w:jc w:val="center"/>
              <w:spacing w:after="0"/>
              <w:rPr>
                <w:sz w:val="20"/>
                <w:szCs w:val="20"/>
                <w:color w:val="auto"/>
              </w:rPr>
            </w:pPr>
            <w:r>
              <w:rPr>
                <w:rFonts w:ascii="Arial" w:cs="Arial" w:eastAsia="Arial" w:hAnsi="Arial"/>
                <w:sz w:val="13"/>
                <w:szCs w:val="13"/>
                <w:color w:val="auto"/>
                <w:w w:val="95"/>
              </w:rPr>
              <w:t>Target</w:t>
            </w:r>
          </w:p>
        </w:tc>
        <w:tc>
          <w:tcPr>
            <w:tcW w:w="2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860" w:type="dxa"/>
            <w:vAlign w:val="bottom"/>
          </w:tcPr>
          <w:p>
            <w:pPr>
              <w:jc w:val="right"/>
              <w:ind w:right="711"/>
              <w:spacing w:after="0"/>
              <w:rPr>
                <w:sz w:val="20"/>
                <w:szCs w:val="20"/>
                <w:color w:val="auto"/>
              </w:rPr>
            </w:pPr>
            <w:r>
              <w:rPr>
                <w:rFonts w:ascii="Arial" w:cs="Arial" w:eastAsia="Arial" w:hAnsi="Arial"/>
                <w:sz w:val="13"/>
                <w:szCs w:val="13"/>
                <w:color w:val="auto"/>
                <w:w w:val="95"/>
              </w:rPr>
              <w:t>Percentage of Plan</w:t>
            </w:r>
          </w:p>
        </w:tc>
      </w:tr>
      <w:tr>
        <w:trPr>
          <w:trHeight w:val="209"/>
        </w:trPr>
        <w:tc>
          <w:tcPr>
            <w:tcW w:w="3660" w:type="dxa"/>
            <w:vAlign w:val="bottom"/>
          </w:tcPr>
          <w:p>
            <w:pPr>
              <w:spacing w:after="0"/>
              <w:rPr>
                <w:sz w:val="18"/>
                <w:szCs w:val="18"/>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9"/>
              </w:rPr>
              <w:t>Allocation</w:t>
            </w:r>
          </w:p>
        </w:tc>
        <w:tc>
          <w:tcPr>
            <w:tcW w:w="280" w:type="dxa"/>
            <w:vAlign w:val="bottom"/>
          </w:tcPr>
          <w:p>
            <w:pPr>
              <w:spacing w:after="0"/>
              <w:rPr>
                <w:sz w:val="18"/>
                <w:szCs w:val="18"/>
                <w:color w:val="auto"/>
              </w:rPr>
            </w:pPr>
          </w:p>
        </w:tc>
        <w:tc>
          <w:tcPr>
            <w:tcW w:w="2640" w:type="dxa"/>
            <w:vAlign w:val="bottom"/>
            <w:tcBorders>
              <w:bottom w:val="single" w:sz="8" w:color="auto"/>
            </w:tcBorders>
            <w:gridSpan w:val="2"/>
          </w:tcPr>
          <w:p>
            <w:pPr>
              <w:jc w:val="right"/>
              <w:ind w:right="571"/>
              <w:spacing w:after="0"/>
              <w:rPr>
                <w:sz w:val="20"/>
                <w:szCs w:val="20"/>
                <w:color w:val="auto"/>
              </w:rPr>
            </w:pPr>
            <w:r>
              <w:rPr>
                <w:rFonts w:ascii="Arial" w:cs="Arial" w:eastAsia="Arial" w:hAnsi="Arial"/>
                <w:sz w:val="13"/>
                <w:szCs w:val="13"/>
                <w:color w:val="auto"/>
              </w:rPr>
              <w:t>Assets at December 31,</w:t>
            </w:r>
          </w:p>
        </w:tc>
      </w:tr>
      <w:tr>
        <w:trPr>
          <w:trHeight w:val="208"/>
        </w:trPr>
        <w:tc>
          <w:tcPr>
            <w:tcW w:w="366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Asset Category</w:t>
            </w: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6"/>
              </w:rPr>
              <w:t>2009</w:t>
            </w:r>
          </w:p>
        </w:tc>
        <w:tc>
          <w:tcPr>
            <w:tcW w:w="1060" w:type="dxa"/>
            <w:vAlign w:val="bottom"/>
            <w:tcBorders>
              <w:bottom w:val="single" w:sz="8" w:color="auto"/>
            </w:tcBorders>
            <w:gridSpan w:val="2"/>
          </w:tcPr>
          <w:p>
            <w:pPr>
              <w:jc w:val="right"/>
              <w:ind w:right="76"/>
              <w:spacing w:after="0"/>
              <w:rPr>
                <w:sz w:val="20"/>
                <w:szCs w:val="20"/>
                <w:color w:val="auto"/>
              </w:rPr>
            </w:pPr>
            <w:r>
              <w:rPr>
                <w:rFonts w:ascii="Arial" w:cs="Arial" w:eastAsia="Arial" w:hAnsi="Arial"/>
                <w:sz w:val="13"/>
                <w:szCs w:val="13"/>
                <w:color w:val="auto"/>
              </w:rPr>
              <w:t>2008</w:t>
            </w:r>
          </w:p>
        </w:tc>
        <w:tc>
          <w:tcPr>
            <w:tcW w:w="1860" w:type="dxa"/>
            <w:vAlign w:val="bottom"/>
            <w:tcBorders>
              <w:bottom w:val="single" w:sz="8" w:color="auto"/>
            </w:tcBorders>
          </w:tcPr>
          <w:p>
            <w:pPr>
              <w:jc w:val="right"/>
              <w:ind w:right="331"/>
              <w:spacing w:after="0"/>
              <w:rPr>
                <w:sz w:val="20"/>
                <w:szCs w:val="20"/>
                <w:color w:val="auto"/>
              </w:rPr>
            </w:pPr>
            <w:r>
              <w:rPr>
                <w:rFonts w:ascii="Arial" w:cs="Arial" w:eastAsia="Arial" w:hAnsi="Arial"/>
                <w:sz w:val="13"/>
                <w:szCs w:val="13"/>
                <w:color w:val="auto"/>
              </w:rPr>
              <w:t>2007</w:t>
            </w:r>
          </w:p>
        </w:tc>
      </w:tr>
      <w:tr>
        <w:trPr>
          <w:trHeight w:val="207"/>
        </w:trPr>
        <w:tc>
          <w:tcPr>
            <w:tcW w:w="3660" w:type="dxa"/>
            <w:vAlign w:val="bottom"/>
          </w:tcPr>
          <w:p>
            <w:pPr>
              <w:spacing w:after="0"/>
              <w:rPr>
                <w:sz w:val="20"/>
                <w:szCs w:val="20"/>
                <w:color w:val="auto"/>
              </w:rPr>
            </w:pPr>
            <w:r>
              <w:rPr>
                <w:rFonts w:ascii="Arial" w:cs="Arial" w:eastAsia="Arial" w:hAnsi="Arial"/>
                <w:sz w:val="14"/>
                <w:szCs w:val="14"/>
                <w:color w:val="auto"/>
              </w:rPr>
              <w:t>U.S. Equity</w:t>
            </w:r>
          </w:p>
        </w:tc>
        <w:tc>
          <w:tcPr>
            <w:tcW w:w="1100" w:type="dxa"/>
            <w:vAlign w:val="bottom"/>
          </w:tcPr>
          <w:p>
            <w:pPr>
              <w:jc w:val="right"/>
              <w:ind w:right="191"/>
              <w:spacing w:after="0"/>
              <w:rPr>
                <w:sz w:val="20"/>
                <w:szCs w:val="20"/>
                <w:color w:val="auto"/>
              </w:rPr>
            </w:pPr>
            <w:r>
              <w:rPr>
                <w:rFonts w:ascii="Arial" w:cs="Arial" w:eastAsia="Arial" w:hAnsi="Arial"/>
                <w:sz w:val="14"/>
                <w:szCs w:val="14"/>
                <w:color w:val="auto"/>
              </w:rPr>
              <w:t>25 %</w:t>
            </w:r>
          </w:p>
        </w:tc>
        <w:tc>
          <w:tcPr>
            <w:tcW w:w="1060" w:type="dxa"/>
            <w:vAlign w:val="bottom"/>
            <w:gridSpan w:val="2"/>
          </w:tcPr>
          <w:p>
            <w:pPr>
              <w:jc w:val="right"/>
              <w:spacing w:after="0"/>
              <w:rPr>
                <w:sz w:val="20"/>
                <w:szCs w:val="20"/>
                <w:color w:val="auto"/>
              </w:rPr>
            </w:pPr>
            <w:r>
              <w:rPr>
                <w:rFonts w:ascii="Arial" w:cs="Arial" w:eastAsia="Arial" w:hAnsi="Arial"/>
                <w:sz w:val="14"/>
                <w:szCs w:val="14"/>
                <w:color w:val="auto"/>
              </w:rPr>
              <w:t>28 %</w:t>
            </w:r>
          </w:p>
        </w:tc>
        <w:tc>
          <w:tcPr>
            <w:tcW w:w="1860" w:type="dxa"/>
            <w:vAlign w:val="bottom"/>
          </w:tcPr>
          <w:p>
            <w:pPr>
              <w:jc w:val="right"/>
              <w:ind w:right="151"/>
              <w:spacing w:after="0"/>
              <w:rPr>
                <w:sz w:val="20"/>
                <w:szCs w:val="20"/>
                <w:color w:val="auto"/>
              </w:rPr>
            </w:pPr>
            <w:r>
              <w:rPr>
                <w:rFonts w:ascii="Arial" w:cs="Arial" w:eastAsia="Arial" w:hAnsi="Arial"/>
                <w:sz w:val="14"/>
                <w:szCs w:val="14"/>
                <w:color w:val="auto"/>
              </w:rPr>
              <w:t>25 %</w:t>
            </w:r>
          </w:p>
        </w:tc>
      </w:tr>
      <w:tr>
        <w:trPr>
          <w:trHeight w:val="216"/>
        </w:trPr>
        <w:tc>
          <w:tcPr>
            <w:tcW w:w="3660" w:type="dxa"/>
            <w:vAlign w:val="bottom"/>
          </w:tcPr>
          <w:p>
            <w:pPr>
              <w:spacing w:after="0"/>
              <w:rPr>
                <w:sz w:val="20"/>
                <w:szCs w:val="20"/>
                <w:color w:val="auto"/>
              </w:rPr>
            </w:pPr>
            <w:r>
              <w:rPr>
                <w:rFonts w:ascii="Arial" w:cs="Arial" w:eastAsia="Arial" w:hAnsi="Arial"/>
                <w:sz w:val="14"/>
                <w:szCs w:val="14"/>
                <w:color w:val="auto"/>
              </w:rPr>
              <w:t>Foreign Equity</w:t>
            </w:r>
          </w:p>
        </w:tc>
        <w:tc>
          <w:tcPr>
            <w:tcW w:w="1100" w:type="dxa"/>
            <w:vAlign w:val="bottom"/>
          </w:tcPr>
          <w:p>
            <w:pPr>
              <w:jc w:val="right"/>
              <w:ind w:right="331"/>
              <w:spacing w:after="0"/>
              <w:rPr>
                <w:sz w:val="20"/>
                <w:szCs w:val="20"/>
                <w:color w:val="auto"/>
              </w:rPr>
            </w:pPr>
            <w:r>
              <w:rPr>
                <w:rFonts w:ascii="Arial" w:cs="Arial" w:eastAsia="Arial" w:hAnsi="Arial"/>
                <w:sz w:val="14"/>
                <w:szCs w:val="14"/>
                <w:color w:val="auto"/>
              </w:rPr>
              <w:t>5</w:t>
            </w:r>
          </w:p>
        </w:tc>
        <w:tc>
          <w:tcPr>
            <w:tcW w:w="1060" w:type="dxa"/>
            <w:vAlign w:val="bottom"/>
            <w:gridSpan w:val="2"/>
          </w:tcPr>
          <w:p>
            <w:pPr>
              <w:jc w:val="right"/>
              <w:ind w:right="96"/>
              <w:spacing w:after="0"/>
              <w:rPr>
                <w:sz w:val="20"/>
                <w:szCs w:val="20"/>
                <w:color w:val="auto"/>
              </w:rPr>
            </w:pPr>
            <w:r>
              <w:rPr>
                <w:rFonts w:ascii="Arial" w:cs="Arial" w:eastAsia="Arial" w:hAnsi="Arial"/>
                <w:sz w:val="14"/>
                <w:szCs w:val="14"/>
                <w:color w:val="auto"/>
              </w:rPr>
              <w:t>4</w:t>
            </w:r>
          </w:p>
        </w:tc>
        <w:tc>
          <w:tcPr>
            <w:tcW w:w="1860" w:type="dxa"/>
            <w:vAlign w:val="bottom"/>
          </w:tcPr>
          <w:p>
            <w:pPr>
              <w:jc w:val="right"/>
              <w:ind w:right="311"/>
              <w:spacing w:after="0"/>
              <w:rPr>
                <w:sz w:val="20"/>
                <w:szCs w:val="20"/>
                <w:color w:val="auto"/>
              </w:rPr>
            </w:pPr>
            <w:r>
              <w:rPr>
                <w:rFonts w:ascii="Arial" w:cs="Arial" w:eastAsia="Arial" w:hAnsi="Arial"/>
                <w:sz w:val="14"/>
                <w:szCs w:val="14"/>
                <w:color w:val="auto"/>
              </w:rPr>
              <w:t>5</w:t>
            </w:r>
          </w:p>
        </w:tc>
      </w:tr>
      <w:tr>
        <w:trPr>
          <w:trHeight w:val="222"/>
        </w:trPr>
        <w:tc>
          <w:tcPr>
            <w:tcW w:w="3660" w:type="dxa"/>
            <w:vAlign w:val="bottom"/>
          </w:tcPr>
          <w:p>
            <w:pPr>
              <w:spacing w:after="0"/>
              <w:rPr>
                <w:sz w:val="20"/>
                <w:szCs w:val="20"/>
                <w:color w:val="auto"/>
              </w:rPr>
            </w:pPr>
            <w:r>
              <w:rPr>
                <w:rFonts w:ascii="Arial" w:cs="Arial" w:eastAsia="Arial" w:hAnsi="Arial"/>
                <w:sz w:val="14"/>
                <w:szCs w:val="14"/>
                <w:color w:val="auto"/>
              </w:rPr>
              <w:t>Fixed Income</w:t>
            </w:r>
          </w:p>
        </w:tc>
        <w:tc>
          <w:tcPr>
            <w:tcW w:w="110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color w:val="auto"/>
              </w:rPr>
              <w:t>70</w:t>
            </w:r>
          </w:p>
        </w:tc>
        <w:tc>
          <w:tcPr>
            <w:tcW w:w="1060" w:type="dxa"/>
            <w:vAlign w:val="bottom"/>
            <w:tcBorders>
              <w:bottom w:val="single" w:sz="8" w:color="auto"/>
            </w:tcBorders>
            <w:gridSpan w:val="2"/>
          </w:tcPr>
          <w:p>
            <w:pPr>
              <w:jc w:val="right"/>
              <w:ind w:right="96"/>
              <w:spacing w:after="0"/>
              <w:rPr>
                <w:sz w:val="20"/>
                <w:szCs w:val="20"/>
                <w:color w:val="auto"/>
              </w:rPr>
            </w:pPr>
            <w:r>
              <w:rPr>
                <w:rFonts w:ascii="Arial" w:cs="Arial" w:eastAsia="Arial" w:hAnsi="Arial"/>
                <w:sz w:val="14"/>
                <w:szCs w:val="14"/>
                <w:color w:val="auto"/>
              </w:rPr>
              <w:t>68</w:t>
            </w:r>
          </w:p>
        </w:tc>
        <w:tc>
          <w:tcPr>
            <w:tcW w:w="1860" w:type="dxa"/>
            <w:vAlign w:val="bottom"/>
            <w:tcBorders>
              <w:bottom w:val="single" w:sz="8" w:color="auto"/>
            </w:tcBorders>
          </w:tcPr>
          <w:p>
            <w:pPr>
              <w:jc w:val="right"/>
              <w:ind w:right="311"/>
              <w:spacing w:after="0"/>
              <w:rPr>
                <w:sz w:val="20"/>
                <w:szCs w:val="20"/>
                <w:color w:val="auto"/>
              </w:rPr>
            </w:pPr>
            <w:r>
              <w:rPr>
                <w:rFonts w:ascii="Arial" w:cs="Arial" w:eastAsia="Arial" w:hAnsi="Arial"/>
                <w:sz w:val="14"/>
                <w:szCs w:val="14"/>
                <w:color w:val="auto"/>
              </w:rPr>
              <w:t>70</w:t>
            </w:r>
          </w:p>
        </w:tc>
      </w:tr>
      <w:tr>
        <w:trPr>
          <w:trHeight w:val="224"/>
        </w:trPr>
        <w:tc>
          <w:tcPr>
            <w:tcW w:w="3660" w:type="dxa"/>
            <w:vAlign w:val="bottom"/>
            <w:tcBorders>
              <w:bottom w:val="single" w:sz="8" w:color="auto"/>
            </w:tcBorders>
          </w:tcPr>
          <w:p>
            <w:pPr>
              <w:ind w:left="340"/>
              <w:spacing w:after="0"/>
              <w:rPr>
                <w:sz w:val="20"/>
                <w:szCs w:val="20"/>
                <w:color w:val="auto"/>
              </w:rPr>
            </w:pPr>
            <w:r>
              <w:rPr>
                <w:rFonts w:ascii="Arial" w:cs="Arial" w:eastAsia="Arial" w:hAnsi="Arial"/>
                <w:sz w:val="14"/>
                <w:szCs w:val="14"/>
                <w:color w:val="auto"/>
              </w:rPr>
              <w:t>Total</w:t>
            </w:r>
          </w:p>
        </w:tc>
        <w:tc>
          <w:tcPr>
            <w:tcW w:w="110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color w:val="auto"/>
              </w:rPr>
              <w:t>100 %</w:t>
            </w:r>
          </w:p>
        </w:tc>
        <w:tc>
          <w:tcPr>
            <w:tcW w:w="10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100 %</w:t>
            </w:r>
          </w:p>
        </w:tc>
        <w:tc>
          <w:tcPr>
            <w:tcW w:w="1860" w:type="dxa"/>
            <w:vAlign w:val="bottom"/>
            <w:tcBorders>
              <w:bottom w:val="single" w:sz="8" w:color="auto"/>
            </w:tcBorders>
          </w:tcPr>
          <w:p>
            <w:pPr>
              <w:jc w:val="right"/>
              <w:ind w:right="151"/>
              <w:spacing w:after="0"/>
              <w:rPr>
                <w:sz w:val="20"/>
                <w:szCs w:val="20"/>
                <w:color w:val="auto"/>
              </w:rPr>
            </w:pPr>
            <w:r>
              <w:rPr>
                <w:rFonts w:ascii="Arial" w:cs="Arial" w:eastAsia="Arial" w:hAnsi="Arial"/>
                <w:sz w:val="14"/>
                <w:szCs w:val="14"/>
                <w:color w:val="auto"/>
              </w:rPr>
              <w:t>100 %</w:t>
            </w:r>
          </w:p>
        </w:tc>
      </w:tr>
    </w:tbl>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Payments</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We expect to contribute the following amounts to our pension and other postretirement benefit plans in 2009:</w:t>
      </w:r>
    </w:p>
    <w:p>
      <w:pPr>
        <w:spacing w:after="0" w:line="325" w:lineRule="exact"/>
        <w:rPr>
          <w:sz w:val="20"/>
          <w:szCs w:val="20"/>
          <w:color w:val="auto"/>
        </w:rPr>
      </w:pPr>
    </w:p>
    <w:tbl>
      <w:tblPr>
        <w:tblLayout w:type="fixed"/>
        <w:tblInd w:w="1880" w:type="dxa"/>
        <w:tblCellMar>
          <w:top w:w="0" w:type="dxa"/>
          <w:left w:w="0" w:type="dxa"/>
          <w:bottom w:w="0" w:type="dxa"/>
          <w:right w:w="0" w:type="dxa"/>
        </w:tblCellMar>
      </w:tblPr>
      <w:tr>
        <w:trPr>
          <w:trHeight w:val="154"/>
        </w:trPr>
        <w:tc>
          <w:tcPr>
            <w:tcW w:w="2940" w:type="dxa"/>
            <w:vAlign w:val="bottom"/>
            <w:vMerge w:val="restart"/>
          </w:tcPr>
          <w:p>
            <w:pPr>
              <w:spacing w:after="0"/>
              <w:rPr>
                <w:sz w:val="20"/>
                <w:szCs w:val="20"/>
                <w:color w:val="auto"/>
              </w:rPr>
            </w:pPr>
            <w:r>
              <w:rPr>
                <w:rFonts w:ascii="Arial" w:cs="Arial" w:eastAsia="Arial" w:hAnsi="Arial"/>
                <w:sz w:val="13"/>
                <w:szCs w:val="13"/>
                <w:i w:val="1"/>
                <w:iCs w:val="1"/>
                <w:color w:val="auto"/>
              </w:rPr>
              <w:t>(Dollars in millions)</w:t>
            </w:r>
          </w:p>
        </w:tc>
        <w:tc>
          <w:tcPr>
            <w:tcW w:w="880" w:type="dxa"/>
            <w:vAlign w:val="bottom"/>
          </w:tcPr>
          <w:p>
            <w:pPr>
              <w:spacing w:after="0"/>
              <w:rPr>
                <w:sz w:val="13"/>
                <w:szCs w:val="13"/>
                <w:color w:val="auto"/>
              </w:rPr>
            </w:pPr>
          </w:p>
        </w:tc>
        <w:tc>
          <w:tcPr>
            <w:tcW w:w="1120" w:type="dxa"/>
            <w:vAlign w:val="bottom"/>
          </w:tcPr>
          <w:p>
            <w:pPr>
              <w:jc w:val="right"/>
              <w:ind w:right="152"/>
              <w:spacing w:after="0"/>
              <w:rPr>
                <w:sz w:val="20"/>
                <w:szCs w:val="20"/>
                <w:color w:val="auto"/>
              </w:rPr>
            </w:pPr>
            <w:r>
              <w:rPr>
                <w:rFonts w:ascii="Arial" w:cs="Arial" w:eastAsia="Arial" w:hAnsi="Arial"/>
                <w:sz w:val="13"/>
                <w:szCs w:val="13"/>
                <w:color w:val="auto"/>
                <w:w w:val="97"/>
              </w:rPr>
              <w:t>Sempra Energy</w:t>
            </w:r>
          </w:p>
        </w:tc>
        <w:tc>
          <w:tcPr>
            <w:tcW w:w="4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940" w:type="dxa"/>
            <w:vAlign w:val="bottom"/>
            <w:tcBorders>
              <w:bottom w:val="single" w:sz="8" w:color="auto"/>
            </w:tcBorders>
            <w:vMerge w:val="continue"/>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232"/>
              <w:spacing w:after="0"/>
              <w:rPr>
                <w:sz w:val="20"/>
                <w:szCs w:val="20"/>
                <w:color w:val="auto"/>
              </w:rPr>
            </w:pPr>
            <w:r>
              <w:rPr>
                <w:rFonts w:ascii="Arial" w:cs="Arial" w:eastAsia="Arial" w:hAnsi="Arial"/>
                <w:sz w:val="13"/>
                <w:szCs w:val="13"/>
                <w:color w:val="auto"/>
              </w:rPr>
              <w:t>Consolidated</w:t>
            </w:r>
          </w:p>
        </w:tc>
        <w:tc>
          <w:tcPr>
            <w:tcW w:w="4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11"/>
              <w:spacing w:after="0"/>
              <w:rPr>
                <w:sz w:val="20"/>
                <w:szCs w:val="20"/>
                <w:color w:val="auto"/>
              </w:rPr>
            </w:pPr>
            <w:r>
              <w:rPr>
                <w:rFonts w:ascii="Arial" w:cs="Arial" w:eastAsia="Arial" w:hAnsi="Arial"/>
                <w:sz w:val="13"/>
                <w:szCs w:val="13"/>
                <w:color w:val="auto"/>
              </w:rPr>
              <w:t>SDG&amp;E</w:t>
            </w:r>
          </w:p>
        </w:tc>
        <w:tc>
          <w:tcPr>
            <w:tcW w:w="4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111"/>
              <w:spacing w:after="0"/>
              <w:rPr>
                <w:sz w:val="20"/>
                <w:szCs w:val="20"/>
                <w:color w:val="auto"/>
              </w:rPr>
            </w:pPr>
            <w:r>
              <w:rPr>
                <w:rFonts w:ascii="Arial" w:cs="Arial" w:eastAsia="Arial" w:hAnsi="Arial"/>
                <w:sz w:val="13"/>
                <w:szCs w:val="13"/>
                <w:color w:val="auto"/>
              </w:rPr>
              <w:t>SoCalGas</w:t>
            </w:r>
          </w:p>
        </w:tc>
        <w:tc>
          <w:tcPr>
            <w:tcW w:w="0" w:type="dxa"/>
            <w:vAlign w:val="bottom"/>
          </w:tcPr>
          <w:p>
            <w:pPr>
              <w:spacing w:after="0"/>
              <w:rPr>
                <w:sz w:val="1"/>
                <w:szCs w:val="1"/>
                <w:color w:val="auto"/>
              </w:rPr>
            </w:pPr>
          </w:p>
        </w:tc>
      </w:tr>
      <w:tr>
        <w:trPr>
          <w:trHeight w:val="207"/>
        </w:trPr>
        <w:tc>
          <w:tcPr>
            <w:tcW w:w="2940" w:type="dxa"/>
            <w:vAlign w:val="bottom"/>
          </w:tcPr>
          <w:p>
            <w:pPr>
              <w:spacing w:after="0"/>
              <w:rPr>
                <w:sz w:val="20"/>
                <w:szCs w:val="20"/>
                <w:color w:val="auto"/>
              </w:rPr>
            </w:pPr>
            <w:r>
              <w:rPr>
                <w:rFonts w:ascii="Arial" w:cs="Arial" w:eastAsia="Arial" w:hAnsi="Arial"/>
                <w:sz w:val="14"/>
                <w:szCs w:val="14"/>
                <w:color w:val="auto"/>
              </w:rPr>
              <w:t>Pension plans</w:t>
            </w: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152"/>
              <w:spacing w:after="0"/>
              <w:rPr>
                <w:sz w:val="20"/>
                <w:szCs w:val="20"/>
                <w:color w:val="auto"/>
              </w:rPr>
            </w:pPr>
            <w:r>
              <w:rPr>
                <w:rFonts w:ascii="Arial" w:cs="Arial" w:eastAsia="Arial" w:hAnsi="Arial"/>
                <w:sz w:val="14"/>
                <w:szCs w:val="14"/>
                <w:color w:val="auto"/>
              </w:rPr>
              <w:t>165</w:t>
            </w:r>
          </w:p>
        </w:tc>
        <w:tc>
          <w:tcPr>
            <w:tcW w:w="4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151"/>
              <w:spacing w:after="0"/>
              <w:rPr>
                <w:sz w:val="20"/>
                <w:szCs w:val="20"/>
                <w:color w:val="auto"/>
              </w:rPr>
            </w:pPr>
            <w:r>
              <w:rPr>
                <w:rFonts w:ascii="Arial" w:cs="Arial" w:eastAsia="Arial" w:hAnsi="Arial"/>
                <w:sz w:val="14"/>
                <w:szCs w:val="14"/>
                <w:color w:val="auto"/>
              </w:rPr>
              <w:t>60</w:t>
            </w:r>
          </w:p>
        </w:tc>
        <w:tc>
          <w:tcPr>
            <w:tcW w:w="4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74</w:t>
            </w:r>
          </w:p>
        </w:tc>
        <w:tc>
          <w:tcPr>
            <w:tcW w:w="0" w:type="dxa"/>
            <w:vAlign w:val="bottom"/>
          </w:tcPr>
          <w:p>
            <w:pPr>
              <w:spacing w:after="0"/>
              <w:rPr>
                <w:sz w:val="1"/>
                <w:szCs w:val="1"/>
                <w:color w:val="auto"/>
              </w:rPr>
            </w:pPr>
          </w:p>
        </w:tc>
      </w:tr>
      <w:tr>
        <w:trPr>
          <w:trHeight w:val="250"/>
        </w:trPr>
        <w:tc>
          <w:tcPr>
            <w:tcW w:w="2940" w:type="dxa"/>
            <w:vAlign w:val="bottom"/>
            <w:tcBorders>
              <w:bottom w:val="single" w:sz="8" w:color="DFDFDF"/>
            </w:tcBorders>
          </w:tcPr>
          <w:p>
            <w:pPr>
              <w:spacing w:after="0"/>
              <w:rPr>
                <w:sz w:val="20"/>
                <w:szCs w:val="20"/>
                <w:color w:val="auto"/>
              </w:rPr>
            </w:pPr>
            <w:r>
              <w:rPr>
                <w:rFonts w:ascii="Arial" w:cs="Arial" w:eastAsia="Arial" w:hAnsi="Arial"/>
                <w:sz w:val="14"/>
                <w:szCs w:val="14"/>
                <w:color w:val="auto"/>
              </w:rPr>
              <w:t>Other postretirement benefit plans</w:t>
            </w:r>
          </w:p>
        </w:tc>
        <w:tc>
          <w:tcPr>
            <w:tcW w:w="880" w:type="dxa"/>
            <w:vAlign w:val="bottom"/>
            <w:tcBorders>
              <w:bottom w:val="single" w:sz="8" w:color="DFDFDF"/>
            </w:tcBorders>
          </w:tcPr>
          <w:p>
            <w:pPr>
              <w:spacing w:after="0"/>
              <w:rPr>
                <w:sz w:val="21"/>
                <w:szCs w:val="21"/>
                <w:color w:val="auto"/>
              </w:rPr>
            </w:pPr>
          </w:p>
        </w:tc>
        <w:tc>
          <w:tcPr>
            <w:tcW w:w="1120" w:type="dxa"/>
            <w:vAlign w:val="bottom"/>
            <w:tcBorders>
              <w:bottom w:val="single" w:sz="8" w:color="DFDFDF"/>
            </w:tcBorders>
          </w:tcPr>
          <w:p>
            <w:pPr>
              <w:jc w:val="right"/>
              <w:ind w:right="152"/>
              <w:spacing w:after="0"/>
              <w:rPr>
                <w:sz w:val="20"/>
                <w:szCs w:val="20"/>
                <w:color w:val="auto"/>
              </w:rPr>
            </w:pPr>
            <w:r>
              <w:rPr>
                <w:rFonts w:ascii="Arial" w:cs="Arial" w:eastAsia="Arial" w:hAnsi="Arial"/>
                <w:sz w:val="14"/>
                <w:szCs w:val="14"/>
                <w:color w:val="auto"/>
              </w:rPr>
              <w:t>46</w:t>
            </w:r>
          </w:p>
        </w:tc>
        <w:tc>
          <w:tcPr>
            <w:tcW w:w="440" w:type="dxa"/>
            <w:vAlign w:val="bottom"/>
            <w:tcBorders>
              <w:bottom w:val="single" w:sz="8" w:color="DFDFDF"/>
            </w:tcBorders>
          </w:tcPr>
          <w:p>
            <w:pPr>
              <w:spacing w:after="0"/>
              <w:rPr>
                <w:sz w:val="21"/>
                <w:szCs w:val="21"/>
                <w:color w:val="auto"/>
              </w:rPr>
            </w:pPr>
          </w:p>
        </w:tc>
        <w:tc>
          <w:tcPr>
            <w:tcW w:w="1060" w:type="dxa"/>
            <w:vAlign w:val="bottom"/>
            <w:tcBorders>
              <w:bottom w:val="single" w:sz="8" w:color="DFDFDF"/>
            </w:tcBorders>
          </w:tcPr>
          <w:p>
            <w:pPr>
              <w:jc w:val="right"/>
              <w:ind w:right="151"/>
              <w:spacing w:after="0"/>
              <w:rPr>
                <w:sz w:val="20"/>
                <w:szCs w:val="20"/>
                <w:color w:val="auto"/>
              </w:rPr>
            </w:pPr>
            <w:r>
              <w:rPr>
                <w:rFonts w:ascii="Arial" w:cs="Arial" w:eastAsia="Arial" w:hAnsi="Arial"/>
                <w:sz w:val="14"/>
                <w:szCs w:val="14"/>
                <w:color w:val="auto"/>
              </w:rPr>
              <w:t>17</w:t>
            </w:r>
          </w:p>
        </w:tc>
        <w:tc>
          <w:tcPr>
            <w:tcW w:w="400" w:type="dxa"/>
            <w:vAlign w:val="bottom"/>
            <w:tcBorders>
              <w:bottom w:val="single" w:sz="8" w:color="DFDFDF"/>
            </w:tcBorders>
          </w:tcPr>
          <w:p>
            <w:pPr>
              <w:spacing w:after="0"/>
              <w:rPr>
                <w:sz w:val="21"/>
                <w:szCs w:val="21"/>
                <w:color w:val="auto"/>
              </w:rPr>
            </w:pPr>
          </w:p>
        </w:tc>
        <w:tc>
          <w:tcPr>
            <w:tcW w:w="840" w:type="dxa"/>
            <w:vAlign w:val="bottom"/>
            <w:tcBorders>
              <w:bottom w:val="single" w:sz="8" w:color="DFDFDF"/>
            </w:tcBorders>
          </w:tcPr>
          <w:p>
            <w:pPr>
              <w:jc w:val="right"/>
              <w:spacing w:after="0"/>
              <w:rPr>
                <w:sz w:val="20"/>
                <w:szCs w:val="20"/>
                <w:color w:val="auto"/>
              </w:rPr>
            </w:pPr>
            <w:r>
              <w:rPr>
                <w:rFonts w:ascii="Arial" w:cs="Arial" w:eastAsia="Arial" w:hAnsi="Arial"/>
                <w:sz w:val="14"/>
                <w:szCs w:val="14"/>
                <w:color w:val="auto"/>
              </w:rPr>
              <w:t>27</w:t>
            </w:r>
          </w:p>
        </w:tc>
        <w:tc>
          <w:tcPr>
            <w:tcW w:w="0" w:type="dxa"/>
            <w:vAlign w:val="bottom"/>
          </w:tcPr>
          <w:p>
            <w:pPr>
              <w:spacing w:after="0"/>
              <w:rPr>
                <w:sz w:val="1"/>
                <w:szCs w:val="1"/>
                <w:color w:val="auto"/>
              </w:rPr>
            </w:pPr>
          </w:p>
        </w:tc>
      </w:tr>
    </w:tbl>
    <w:p>
      <w:pPr>
        <w:spacing w:after="0" w:line="180" w:lineRule="exact"/>
        <w:rPr>
          <w:sz w:val="20"/>
          <w:szCs w:val="20"/>
          <w:color w:val="auto"/>
        </w:rPr>
      </w:pPr>
    </w:p>
    <w:p>
      <w:pPr>
        <w:spacing w:after="0"/>
        <w:rPr>
          <w:sz w:val="20"/>
          <w:szCs w:val="20"/>
          <w:color w:val="auto"/>
        </w:rPr>
      </w:pPr>
      <w:r>
        <w:rPr>
          <w:rFonts w:ascii="Arial" w:cs="Arial" w:eastAsia="Arial" w:hAnsi="Arial"/>
          <w:sz w:val="15"/>
          <w:szCs w:val="15"/>
          <w:color w:val="auto"/>
        </w:rPr>
        <w:t>The following two tables show the total benefits we expect to pay for the next 10 years to current employees and retirees from the plans or from company assets.</w:t>
      </w:r>
    </w:p>
    <w:p>
      <w:pPr>
        <w:spacing w:after="0" w:line="361" w:lineRule="exact"/>
        <w:rPr>
          <w:sz w:val="20"/>
          <w:szCs w:val="20"/>
          <w:color w:val="auto"/>
        </w:rPr>
      </w:pPr>
    </w:p>
    <w:tbl>
      <w:tblPr>
        <w:tblLayout w:type="fixed"/>
        <w:tblInd w:w="1720" w:type="dxa"/>
        <w:tblCellMar>
          <w:top w:w="0" w:type="dxa"/>
          <w:left w:w="0" w:type="dxa"/>
          <w:bottom w:w="0" w:type="dxa"/>
          <w:right w:w="0" w:type="dxa"/>
        </w:tblCellMar>
      </w:tblPr>
      <w:tr>
        <w:trPr>
          <w:trHeight w:val="159"/>
        </w:trPr>
        <w:tc>
          <w:tcPr>
            <w:tcW w:w="1360" w:type="dxa"/>
            <w:vAlign w:val="bottom"/>
          </w:tcPr>
          <w:p>
            <w:pPr>
              <w:spacing w:after="0"/>
              <w:rPr>
                <w:sz w:val="13"/>
                <w:szCs w:val="13"/>
                <w:color w:val="auto"/>
              </w:rPr>
            </w:pPr>
          </w:p>
        </w:tc>
        <w:tc>
          <w:tcPr>
            <w:tcW w:w="2220" w:type="dxa"/>
            <w:vAlign w:val="bottom"/>
            <w:tcBorders>
              <w:bottom w:val="single" w:sz="8" w:color="auto"/>
            </w:tcBorders>
            <w:gridSpan w:val="4"/>
          </w:tcPr>
          <w:p>
            <w:pPr>
              <w:jc w:val="right"/>
              <w:ind w:right="208"/>
              <w:spacing w:after="0"/>
              <w:rPr>
                <w:sz w:val="20"/>
                <w:szCs w:val="20"/>
                <w:color w:val="auto"/>
              </w:rPr>
            </w:pPr>
            <w:r>
              <w:rPr>
                <w:rFonts w:ascii="Arial" w:cs="Arial" w:eastAsia="Arial" w:hAnsi="Arial"/>
                <w:sz w:val="13"/>
                <w:szCs w:val="13"/>
                <w:color w:val="auto"/>
              </w:rPr>
              <w:t>Sempra Energy Consolidated</w:t>
            </w:r>
          </w:p>
        </w:tc>
        <w:tc>
          <w:tcPr>
            <w:tcW w:w="16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354"/>
              <w:spacing w:after="0"/>
              <w:rPr>
                <w:sz w:val="20"/>
                <w:szCs w:val="20"/>
                <w:color w:val="auto"/>
              </w:rPr>
            </w:pPr>
            <w:r>
              <w:rPr>
                <w:rFonts w:ascii="Arial" w:cs="Arial" w:eastAsia="Arial" w:hAnsi="Arial"/>
                <w:sz w:val="13"/>
                <w:szCs w:val="13"/>
                <w:color w:val="auto"/>
              </w:rPr>
              <w:t>SDG&amp;E</w:t>
            </w:r>
          </w:p>
        </w:tc>
        <w:tc>
          <w:tcPr>
            <w:tcW w:w="34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720" w:type="dxa"/>
            <w:vAlign w:val="bottom"/>
            <w:tcBorders>
              <w:bottom w:val="single" w:sz="8" w:color="auto"/>
            </w:tcBorders>
            <w:gridSpan w:val="2"/>
          </w:tcPr>
          <w:p>
            <w:pPr>
              <w:jc w:val="right"/>
              <w:ind w:right="314"/>
              <w:spacing w:after="0"/>
              <w:rPr>
                <w:sz w:val="20"/>
                <w:szCs w:val="20"/>
                <w:color w:val="auto"/>
              </w:rPr>
            </w:pPr>
            <w:r>
              <w:rPr>
                <w:rFonts w:ascii="Arial" w:cs="Arial" w:eastAsia="Arial" w:hAnsi="Arial"/>
                <w:sz w:val="13"/>
                <w:szCs w:val="13"/>
                <w:color w:val="auto"/>
              </w:rPr>
              <w:t>SoCalGas</w:t>
            </w:r>
          </w:p>
        </w:tc>
        <w:tc>
          <w:tcPr>
            <w:tcW w:w="4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13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0" w:type="dxa"/>
            <w:vAlign w:val="bottom"/>
          </w:tcPr>
          <w:p>
            <w:pPr>
              <w:jc w:val="center"/>
              <w:ind w:left="293"/>
              <w:spacing w:after="0"/>
              <w:rPr>
                <w:sz w:val="20"/>
                <w:szCs w:val="20"/>
                <w:color w:val="auto"/>
              </w:rPr>
            </w:pPr>
            <w:r>
              <w:rPr>
                <w:rFonts w:ascii="Arial" w:cs="Arial" w:eastAsia="Arial" w:hAnsi="Arial"/>
                <w:sz w:val="13"/>
                <w:szCs w:val="13"/>
                <w:color w:val="auto"/>
                <w:w w:val="98"/>
              </w:rPr>
              <w:t>Other</w:t>
            </w: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20" w:type="dxa"/>
            <w:vAlign w:val="bottom"/>
          </w:tcPr>
          <w:p>
            <w:pPr>
              <w:jc w:val="center"/>
              <w:ind w:left="414"/>
              <w:spacing w:after="0"/>
              <w:rPr>
                <w:sz w:val="20"/>
                <w:szCs w:val="20"/>
                <w:color w:val="auto"/>
              </w:rPr>
            </w:pPr>
            <w:r>
              <w:rPr>
                <w:rFonts w:ascii="Arial" w:cs="Arial" w:eastAsia="Arial" w:hAnsi="Arial"/>
                <w:sz w:val="13"/>
                <w:szCs w:val="13"/>
                <w:color w:val="auto"/>
                <w:w w:val="98"/>
              </w:rPr>
              <w:t>Other</w:t>
            </w: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40" w:type="dxa"/>
            <w:vAlign w:val="bottom"/>
          </w:tcPr>
          <w:p>
            <w:pPr>
              <w:jc w:val="center"/>
              <w:ind w:left="314"/>
              <w:spacing w:after="0"/>
              <w:rPr>
                <w:sz w:val="20"/>
                <w:szCs w:val="20"/>
                <w:color w:val="auto"/>
              </w:rPr>
            </w:pPr>
            <w:r>
              <w:rPr>
                <w:rFonts w:ascii="Arial" w:cs="Arial" w:eastAsia="Arial" w:hAnsi="Arial"/>
                <w:sz w:val="13"/>
                <w:szCs w:val="13"/>
                <w:color w:val="auto"/>
                <w:w w:val="98"/>
              </w:rPr>
              <w:t>Other</w:t>
            </w:r>
          </w:p>
        </w:tc>
        <w:tc>
          <w:tcPr>
            <w:tcW w:w="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360" w:type="dxa"/>
            <w:vAlign w:val="bottom"/>
            <w:vMerge w:val="restart"/>
          </w:tcPr>
          <w:p>
            <w:pPr>
              <w:ind w:left="20"/>
              <w:spacing w:after="0"/>
              <w:rPr>
                <w:sz w:val="20"/>
                <w:szCs w:val="20"/>
                <w:color w:val="auto"/>
              </w:rPr>
            </w:pPr>
            <w:r>
              <w:rPr>
                <w:rFonts w:ascii="Arial" w:cs="Arial" w:eastAsia="Arial" w:hAnsi="Arial"/>
                <w:sz w:val="13"/>
                <w:szCs w:val="13"/>
                <w:i w:val="1"/>
                <w:iCs w:val="1"/>
                <w:color w:val="auto"/>
              </w:rPr>
              <w:t>(Dollars in millions)</w:t>
            </w:r>
          </w:p>
        </w:tc>
        <w:tc>
          <w:tcPr>
            <w:tcW w:w="1080" w:type="dxa"/>
            <w:vAlign w:val="bottom"/>
            <w:gridSpan w:val="2"/>
          </w:tcPr>
          <w:p>
            <w:pPr>
              <w:jc w:val="right"/>
              <w:ind w:right="308"/>
              <w:spacing w:after="0"/>
              <w:rPr>
                <w:sz w:val="20"/>
                <w:szCs w:val="20"/>
                <w:color w:val="auto"/>
              </w:rPr>
            </w:pPr>
            <w:r>
              <w:rPr>
                <w:rFonts w:ascii="Arial" w:cs="Arial" w:eastAsia="Arial" w:hAnsi="Arial"/>
                <w:sz w:val="13"/>
                <w:szCs w:val="13"/>
                <w:color w:val="auto"/>
              </w:rPr>
              <w:t>Pension</w:t>
            </w:r>
          </w:p>
        </w:tc>
        <w:tc>
          <w:tcPr>
            <w:tcW w:w="1140" w:type="dxa"/>
            <w:vAlign w:val="bottom"/>
            <w:gridSpan w:val="2"/>
          </w:tcPr>
          <w:p>
            <w:pPr>
              <w:jc w:val="center"/>
              <w:spacing w:after="0"/>
              <w:rPr>
                <w:sz w:val="20"/>
                <w:szCs w:val="20"/>
                <w:color w:val="auto"/>
              </w:rPr>
            </w:pPr>
            <w:r>
              <w:rPr>
                <w:rFonts w:ascii="Arial" w:cs="Arial" w:eastAsia="Arial" w:hAnsi="Arial"/>
                <w:sz w:val="13"/>
                <w:szCs w:val="13"/>
                <w:color w:val="auto"/>
                <w:w w:val="99"/>
              </w:rPr>
              <w:t>Postretirement</w:t>
            </w:r>
          </w:p>
        </w:tc>
        <w:tc>
          <w:tcPr>
            <w:tcW w:w="160" w:type="dxa"/>
            <w:vAlign w:val="bottom"/>
          </w:tcPr>
          <w:p>
            <w:pPr>
              <w:spacing w:after="0"/>
              <w:rPr>
                <w:sz w:val="13"/>
                <w:szCs w:val="13"/>
                <w:color w:val="auto"/>
              </w:rPr>
            </w:pPr>
          </w:p>
        </w:tc>
        <w:tc>
          <w:tcPr>
            <w:tcW w:w="720" w:type="dxa"/>
            <w:vAlign w:val="bottom"/>
            <w:gridSpan w:val="2"/>
          </w:tcPr>
          <w:p>
            <w:pPr>
              <w:jc w:val="right"/>
              <w:ind w:right="68"/>
              <w:spacing w:after="0"/>
              <w:rPr>
                <w:sz w:val="20"/>
                <w:szCs w:val="20"/>
                <w:color w:val="auto"/>
              </w:rPr>
            </w:pPr>
            <w:r>
              <w:rPr>
                <w:rFonts w:ascii="Arial" w:cs="Arial" w:eastAsia="Arial" w:hAnsi="Arial"/>
                <w:sz w:val="13"/>
                <w:szCs w:val="13"/>
                <w:color w:val="auto"/>
              </w:rPr>
              <w:t>Pension</w:t>
            </w:r>
          </w:p>
        </w:tc>
        <w:tc>
          <w:tcPr>
            <w:tcW w:w="1260" w:type="dxa"/>
            <w:vAlign w:val="bottom"/>
            <w:gridSpan w:val="2"/>
          </w:tcPr>
          <w:p>
            <w:pPr>
              <w:jc w:val="center"/>
              <w:ind w:left="54"/>
              <w:spacing w:after="0"/>
              <w:rPr>
                <w:sz w:val="20"/>
                <w:szCs w:val="20"/>
                <w:color w:val="auto"/>
              </w:rPr>
            </w:pPr>
            <w:r>
              <w:rPr>
                <w:rFonts w:ascii="Arial" w:cs="Arial" w:eastAsia="Arial" w:hAnsi="Arial"/>
                <w:sz w:val="13"/>
                <w:szCs w:val="13"/>
                <w:color w:val="auto"/>
                <w:w w:val="96"/>
              </w:rPr>
              <w:t>Postretirement</w:t>
            </w:r>
          </w:p>
        </w:tc>
        <w:tc>
          <w:tcPr>
            <w:tcW w:w="160" w:type="dxa"/>
            <w:vAlign w:val="bottom"/>
          </w:tcPr>
          <w:p>
            <w:pPr>
              <w:spacing w:after="0"/>
              <w:rPr>
                <w:sz w:val="13"/>
                <w:szCs w:val="13"/>
                <w:color w:val="auto"/>
              </w:rPr>
            </w:pPr>
          </w:p>
        </w:tc>
        <w:tc>
          <w:tcPr>
            <w:tcW w:w="980" w:type="dxa"/>
            <w:vAlign w:val="bottom"/>
          </w:tcPr>
          <w:p>
            <w:pPr>
              <w:jc w:val="right"/>
              <w:ind w:right="276"/>
              <w:spacing w:after="0"/>
              <w:rPr>
                <w:sz w:val="20"/>
                <w:szCs w:val="20"/>
                <w:color w:val="auto"/>
              </w:rPr>
            </w:pPr>
            <w:r>
              <w:rPr>
                <w:rFonts w:ascii="Arial" w:cs="Arial" w:eastAsia="Arial" w:hAnsi="Arial"/>
                <w:sz w:val="13"/>
                <w:szCs w:val="13"/>
                <w:color w:val="auto"/>
              </w:rPr>
              <w:t>Pension</w:t>
            </w:r>
          </w:p>
        </w:tc>
        <w:tc>
          <w:tcPr>
            <w:tcW w:w="1140" w:type="dxa"/>
            <w:vAlign w:val="bottom"/>
            <w:gridSpan w:val="2"/>
          </w:tcPr>
          <w:p>
            <w:pPr>
              <w:jc w:val="center"/>
              <w:spacing w:after="0"/>
              <w:rPr>
                <w:sz w:val="20"/>
                <w:szCs w:val="20"/>
                <w:color w:val="auto"/>
              </w:rPr>
            </w:pPr>
            <w:r>
              <w:rPr>
                <w:rFonts w:ascii="Arial" w:cs="Arial" w:eastAsia="Arial" w:hAnsi="Arial"/>
                <w:sz w:val="13"/>
                <w:szCs w:val="13"/>
                <w:color w:val="auto"/>
                <w:w w:val="96"/>
              </w:rPr>
              <w:t>Postretirement</w:t>
            </w:r>
          </w:p>
        </w:tc>
        <w:tc>
          <w:tcPr>
            <w:tcW w:w="0" w:type="dxa"/>
            <w:vAlign w:val="bottom"/>
          </w:tcPr>
          <w:p>
            <w:pPr>
              <w:spacing w:after="0"/>
              <w:rPr>
                <w:sz w:val="1"/>
                <w:szCs w:val="1"/>
                <w:color w:val="auto"/>
              </w:rPr>
            </w:pPr>
          </w:p>
        </w:tc>
      </w:tr>
      <w:tr>
        <w:trPr>
          <w:trHeight w:val="161"/>
        </w:trPr>
        <w:tc>
          <w:tcPr>
            <w:tcW w:w="1360" w:type="dxa"/>
            <w:vAlign w:val="bottom"/>
            <w:tcBorders>
              <w:bottom w:val="single" w:sz="8" w:color="auto"/>
            </w:tcBorders>
            <w:vMerge w:val="continue"/>
          </w:tcPr>
          <w:p>
            <w:pPr>
              <w:spacing w:after="0"/>
              <w:rPr>
                <w:sz w:val="14"/>
                <w:szCs w:val="14"/>
                <w:color w:val="auto"/>
              </w:rPr>
            </w:pPr>
          </w:p>
        </w:tc>
        <w:tc>
          <w:tcPr>
            <w:tcW w:w="1080" w:type="dxa"/>
            <w:vAlign w:val="bottom"/>
            <w:tcBorders>
              <w:bottom w:val="single" w:sz="8" w:color="auto"/>
            </w:tcBorders>
            <w:gridSpan w:val="2"/>
          </w:tcPr>
          <w:p>
            <w:pPr>
              <w:jc w:val="right"/>
              <w:ind w:right="308"/>
              <w:spacing w:after="0"/>
              <w:rPr>
                <w:sz w:val="20"/>
                <w:szCs w:val="20"/>
                <w:color w:val="auto"/>
              </w:rPr>
            </w:pPr>
            <w:r>
              <w:rPr>
                <w:rFonts w:ascii="Arial" w:cs="Arial" w:eastAsia="Arial" w:hAnsi="Arial"/>
                <w:sz w:val="13"/>
                <w:szCs w:val="13"/>
                <w:color w:val="auto"/>
              </w:rPr>
              <w:t>Benefits</w:t>
            </w:r>
          </w:p>
        </w:tc>
        <w:tc>
          <w:tcPr>
            <w:tcW w:w="800" w:type="dxa"/>
            <w:vAlign w:val="bottom"/>
            <w:tcBorders>
              <w:bottom w:val="single" w:sz="8" w:color="auto"/>
            </w:tcBorders>
          </w:tcPr>
          <w:p>
            <w:pPr>
              <w:jc w:val="center"/>
              <w:ind w:left="273"/>
              <w:spacing w:after="0"/>
              <w:rPr>
                <w:sz w:val="20"/>
                <w:szCs w:val="20"/>
                <w:color w:val="auto"/>
              </w:rPr>
            </w:pPr>
            <w:r>
              <w:rPr>
                <w:rFonts w:ascii="Arial" w:cs="Arial" w:eastAsia="Arial" w:hAnsi="Arial"/>
                <w:sz w:val="13"/>
                <w:szCs w:val="13"/>
                <w:color w:val="auto"/>
                <w:w w:val="97"/>
              </w:rPr>
              <w:t>Benefits</w:t>
            </w:r>
          </w:p>
        </w:tc>
        <w:tc>
          <w:tcPr>
            <w:tcW w:w="3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gridSpan w:val="2"/>
          </w:tcPr>
          <w:p>
            <w:pPr>
              <w:jc w:val="right"/>
              <w:ind w:right="68"/>
              <w:spacing w:after="0"/>
              <w:rPr>
                <w:sz w:val="20"/>
                <w:szCs w:val="20"/>
                <w:color w:val="auto"/>
              </w:rPr>
            </w:pPr>
            <w:r>
              <w:rPr>
                <w:rFonts w:ascii="Arial" w:cs="Arial" w:eastAsia="Arial" w:hAnsi="Arial"/>
                <w:sz w:val="13"/>
                <w:szCs w:val="13"/>
                <w:color w:val="auto"/>
              </w:rPr>
              <w:t>Benefits</w:t>
            </w:r>
          </w:p>
        </w:tc>
        <w:tc>
          <w:tcPr>
            <w:tcW w:w="920" w:type="dxa"/>
            <w:vAlign w:val="bottom"/>
            <w:tcBorders>
              <w:bottom w:val="single" w:sz="8" w:color="auto"/>
            </w:tcBorders>
          </w:tcPr>
          <w:p>
            <w:pPr>
              <w:jc w:val="center"/>
              <w:ind w:left="394"/>
              <w:spacing w:after="0"/>
              <w:rPr>
                <w:sz w:val="20"/>
                <w:szCs w:val="20"/>
                <w:color w:val="auto"/>
              </w:rPr>
            </w:pPr>
            <w:r>
              <w:rPr>
                <w:rFonts w:ascii="Arial" w:cs="Arial" w:eastAsia="Arial" w:hAnsi="Arial"/>
                <w:sz w:val="13"/>
                <w:szCs w:val="13"/>
                <w:color w:val="auto"/>
                <w:w w:val="97"/>
              </w:rPr>
              <w:t>Benefits</w:t>
            </w:r>
          </w:p>
        </w:tc>
        <w:tc>
          <w:tcPr>
            <w:tcW w:w="3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276"/>
              <w:spacing w:after="0"/>
              <w:rPr>
                <w:sz w:val="20"/>
                <w:szCs w:val="20"/>
                <w:color w:val="auto"/>
              </w:rPr>
            </w:pPr>
            <w:r>
              <w:rPr>
                <w:rFonts w:ascii="Arial" w:cs="Arial" w:eastAsia="Arial" w:hAnsi="Arial"/>
                <w:sz w:val="13"/>
                <w:szCs w:val="13"/>
                <w:color w:val="auto"/>
              </w:rPr>
              <w:t>Benefits</w:t>
            </w:r>
          </w:p>
        </w:tc>
        <w:tc>
          <w:tcPr>
            <w:tcW w:w="114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color w:val="auto"/>
                <w:w w:val="97"/>
              </w:rPr>
              <w:t>Benefits</w:t>
            </w:r>
          </w:p>
        </w:tc>
        <w:tc>
          <w:tcPr>
            <w:tcW w:w="0" w:type="dxa"/>
            <w:vAlign w:val="bottom"/>
          </w:tcPr>
          <w:p>
            <w:pPr>
              <w:spacing w:after="0"/>
              <w:rPr>
                <w:sz w:val="1"/>
                <w:szCs w:val="1"/>
                <w:color w:val="auto"/>
              </w:rPr>
            </w:pPr>
          </w:p>
        </w:tc>
      </w:tr>
      <w:tr>
        <w:trPr>
          <w:trHeight w:val="207"/>
        </w:trPr>
        <w:tc>
          <w:tcPr>
            <w:tcW w:w="1360" w:type="dxa"/>
            <w:vAlign w:val="bottom"/>
          </w:tcPr>
          <w:p>
            <w:pPr>
              <w:ind w:left="20"/>
              <w:spacing w:after="0"/>
              <w:rPr>
                <w:sz w:val="20"/>
                <w:szCs w:val="20"/>
                <w:color w:val="auto"/>
              </w:rPr>
            </w:pPr>
            <w:r>
              <w:rPr>
                <w:rFonts w:ascii="Arial" w:cs="Arial" w:eastAsia="Arial" w:hAnsi="Arial"/>
                <w:sz w:val="14"/>
                <w:szCs w:val="14"/>
                <w:color w:val="auto"/>
              </w:rPr>
              <w:t>2009</w:t>
            </w:r>
          </w:p>
        </w:tc>
        <w:tc>
          <w:tcPr>
            <w:tcW w:w="480" w:type="dxa"/>
            <w:vAlign w:val="bottom"/>
          </w:tcPr>
          <w:p>
            <w:pPr>
              <w:jc w:val="right"/>
              <w:ind w:right="14"/>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68"/>
              <w:spacing w:after="0"/>
              <w:rPr>
                <w:sz w:val="20"/>
                <w:szCs w:val="20"/>
                <w:color w:val="auto"/>
              </w:rPr>
            </w:pPr>
            <w:r>
              <w:rPr>
                <w:rFonts w:ascii="Arial" w:cs="Arial" w:eastAsia="Arial" w:hAnsi="Arial"/>
                <w:sz w:val="14"/>
                <w:szCs w:val="14"/>
                <w:color w:val="auto"/>
              </w:rPr>
              <w:t>227</w:t>
            </w:r>
          </w:p>
        </w:tc>
        <w:tc>
          <w:tcPr>
            <w:tcW w:w="800" w:type="dxa"/>
            <w:vAlign w:val="bottom"/>
          </w:tcPr>
          <w:p>
            <w:pPr>
              <w:jc w:val="right"/>
              <w:ind w:right="173"/>
              <w:spacing w:after="0"/>
              <w:rPr>
                <w:sz w:val="20"/>
                <w:szCs w:val="20"/>
                <w:color w:val="auto"/>
              </w:rPr>
            </w:pPr>
            <w:r>
              <w:rPr>
                <w:rFonts w:ascii="Arial" w:cs="Arial" w:eastAsia="Arial" w:hAnsi="Arial"/>
                <w:sz w:val="14"/>
                <w:szCs w:val="14"/>
                <w:color w:val="auto"/>
              </w:rPr>
              <w:t>$</w:t>
            </w:r>
          </w:p>
        </w:tc>
        <w:tc>
          <w:tcPr>
            <w:tcW w:w="340" w:type="dxa"/>
            <w:vAlign w:val="bottom"/>
          </w:tcPr>
          <w:p>
            <w:pPr>
              <w:jc w:val="right"/>
              <w:ind w:right="88"/>
              <w:spacing w:after="0"/>
              <w:rPr>
                <w:sz w:val="20"/>
                <w:szCs w:val="20"/>
                <w:color w:val="auto"/>
              </w:rPr>
            </w:pPr>
            <w:r>
              <w:rPr>
                <w:rFonts w:ascii="Arial" w:cs="Arial" w:eastAsia="Arial" w:hAnsi="Arial"/>
                <w:sz w:val="14"/>
                <w:szCs w:val="14"/>
                <w:color w:val="auto"/>
              </w:rPr>
              <w:t>47</w:t>
            </w:r>
          </w:p>
        </w:tc>
        <w:tc>
          <w:tcPr>
            <w:tcW w:w="520" w:type="dxa"/>
            <w:vAlign w:val="bottom"/>
            <w:gridSpan w:val="2"/>
          </w:tcPr>
          <w:p>
            <w:pPr>
              <w:jc w:val="right"/>
              <w:ind w:right="36"/>
              <w:spacing w:after="0"/>
              <w:rPr>
                <w:sz w:val="20"/>
                <w:szCs w:val="20"/>
                <w:color w:val="auto"/>
              </w:rPr>
            </w:pPr>
            <w:r>
              <w:rPr>
                <w:rFonts w:ascii="Arial" w:cs="Arial" w:eastAsia="Arial" w:hAnsi="Arial"/>
                <w:sz w:val="14"/>
                <w:szCs w:val="14"/>
                <w:color w:val="auto"/>
              </w:rPr>
              <w:t>$</w:t>
            </w:r>
          </w:p>
        </w:tc>
        <w:tc>
          <w:tcPr>
            <w:tcW w:w="360" w:type="dxa"/>
            <w:vAlign w:val="bottom"/>
          </w:tcPr>
          <w:p>
            <w:pPr>
              <w:jc w:val="right"/>
              <w:spacing w:after="0"/>
              <w:rPr>
                <w:sz w:val="20"/>
                <w:szCs w:val="20"/>
                <w:color w:val="auto"/>
              </w:rPr>
            </w:pPr>
            <w:r>
              <w:rPr>
                <w:rFonts w:ascii="Arial" w:cs="Arial" w:eastAsia="Arial" w:hAnsi="Arial"/>
                <w:sz w:val="14"/>
                <w:szCs w:val="14"/>
                <w:color w:val="auto"/>
              </w:rPr>
              <w:t>63</w:t>
            </w:r>
          </w:p>
        </w:tc>
        <w:tc>
          <w:tcPr>
            <w:tcW w:w="920" w:type="dxa"/>
            <w:vAlign w:val="bottom"/>
          </w:tcPr>
          <w:p>
            <w:pPr>
              <w:jc w:val="right"/>
              <w:ind w:right="194"/>
              <w:spacing w:after="0"/>
              <w:rPr>
                <w:sz w:val="20"/>
                <w:szCs w:val="20"/>
                <w:color w:val="auto"/>
              </w:rPr>
            </w:pPr>
            <w:r>
              <w:rPr>
                <w:rFonts w:ascii="Arial" w:cs="Arial" w:eastAsia="Arial" w:hAnsi="Arial"/>
                <w:sz w:val="14"/>
                <w:szCs w:val="14"/>
                <w:color w:val="auto"/>
              </w:rPr>
              <w:t>$</w:t>
            </w:r>
          </w:p>
        </w:tc>
        <w:tc>
          <w:tcPr>
            <w:tcW w:w="340" w:type="dxa"/>
            <w:vAlign w:val="bottom"/>
          </w:tcPr>
          <w:p>
            <w:pPr>
              <w:jc w:val="right"/>
              <w:ind w:right="108"/>
              <w:spacing w:after="0"/>
              <w:rPr>
                <w:sz w:val="20"/>
                <w:szCs w:val="20"/>
                <w:color w:val="auto"/>
              </w:rPr>
            </w:pPr>
            <w:r>
              <w:rPr>
                <w:rFonts w:ascii="Arial" w:cs="Arial" w:eastAsia="Arial" w:hAnsi="Arial"/>
                <w:sz w:val="14"/>
                <w:szCs w:val="14"/>
                <w:color w:val="auto"/>
              </w:rPr>
              <w:t>7</w:t>
            </w:r>
          </w:p>
        </w:tc>
        <w:tc>
          <w:tcPr>
            <w:tcW w:w="1140" w:type="dxa"/>
            <w:vAlign w:val="bottom"/>
            <w:gridSpan w:val="2"/>
          </w:tcPr>
          <w:p>
            <w:pPr>
              <w:jc w:val="right"/>
              <w:ind w:right="96"/>
              <w:spacing w:after="0"/>
              <w:rPr>
                <w:sz w:val="20"/>
                <w:szCs w:val="20"/>
                <w:color w:val="auto"/>
              </w:rPr>
            </w:pPr>
            <w:r>
              <w:rPr>
                <w:rFonts w:ascii="Arial" w:cs="Arial" w:eastAsia="Arial" w:hAnsi="Arial"/>
                <w:sz w:val="14"/>
                <w:szCs w:val="14"/>
                <w:color w:val="auto"/>
              </w:rPr>
              <w:t>$   125</w:t>
            </w:r>
          </w:p>
        </w:tc>
        <w:tc>
          <w:tcPr>
            <w:tcW w:w="740" w:type="dxa"/>
            <w:vAlign w:val="bottom"/>
          </w:tcPr>
          <w:p>
            <w:pPr>
              <w:jc w:val="right"/>
              <w:ind w:right="114"/>
              <w:spacing w:after="0"/>
              <w:rPr>
                <w:sz w:val="20"/>
                <w:szCs w:val="20"/>
                <w:color w:val="auto"/>
              </w:rPr>
            </w:pPr>
            <w:r>
              <w:rPr>
                <w:rFonts w:ascii="Arial" w:cs="Arial" w:eastAsia="Arial" w:hAnsi="Arial"/>
                <w:sz w:val="14"/>
                <w:szCs w:val="14"/>
                <w:color w:val="auto"/>
              </w:rPr>
              <w:t>$</w:t>
            </w:r>
          </w:p>
        </w:tc>
        <w:tc>
          <w:tcPr>
            <w:tcW w:w="400" w:type="dxa"/>
            <w:vAlign w:val="bottom"/>
          </w:tcPr>
          <w:p>
            <w:pPr>
              <w:jc w:val="right"/>
              <w:ind w:right="88"/>
              <w:spacing w:after="0"/>
              <w:rPr>
                <w:sz w:val="20"/>
                <w:szCs w:val="20"/>
                <w:color w:val="auto"/>
              </w:rPr>
            </w:pPr>
            <w:r>
              <w:rPr>
                <w:rFonts w:ascii="Arial" w:cs="Arial" w:eastAsia="Arial" w:hAnsi="Arial"/>
                <w:sz w:val="14"/>
                <w:szCs w:val="14"/>
                <w:color w:val="auto"/>
              </w:rPr>
              <w:t>38</w:t>
            </w:r>
          </w:p>
        </w:tc>
        <w:tc>
          <w:tcPr>
            <w:tcW w:w="0" w:type="dxa"/>
            <w:vAlign w:val="bottom"/>
          </w:tcPr>
          <w:p>
            <w:pPr>
              <w:spacing w:after="0"/>
              <w:rPr>
                <w:sz w:val="1"/>
                <w:szCs w:val="1"/>
                <w:color w:val="auto"/>
              </w:rPr>
            </w:pPr>
          </w:p>
        </w:tc>
      </w:tr>
      <w:tr>
        <w:trPr>
          <w:trHeight w:val="216"/>
        </w:trPr>
        <w:tc>
          <w:tcPr>
            <w:tcW w:w="1360" w:type="dxa"/>
            <w:vAlign w:val="bottom"/>
          </w:tcPr>
          <w:p>
            <w:pPr>
              <w:ind w:left="20"/>
              <w:spacing w:after="0"/>
              <w:rPr>
                <w:sz w:val="20"/>
                <w:szCs w:val="20"/>
                <w:color w:val="auto"/>
              </w:rPr>
            </w:pPr>
            <w:r>
              <w:rPr>
                <w:rFonts w:ascii="Arial" w:cs="Arial" w:eastAsia="Arial" w:hAnsi="Arial"/>
                <w:sz w:val="14"/>
                <w:szCs w:val="14"/>
                <w:color w:val="auto"/>
              </w:rPr>
              <w:t>2010</w:t>
            </w:r>
          </w:p>
        </w:tc>
        <w:tc>
          <w:tcPr>
            <w:tcW w:w="480" w:type="dxa"/>
            <w:vAlign w:val="bottom"/>
          </w:tcPr>
          <w:p>
            <w:pPr>
              <w:spacing w:after="0"/>
              <w:rPr>
                <w:sz w:val="18"/>
                <w:szCs w:val="18"/>
                <w:color w:val="auto"/>
              </w:rPr>
            </w:pPr>
          </w:p>
        </w:tc>
        <w:tc>
          <w:tcPr>
            <w:tcW w:w="600" w:type="dxa"/>
            <w:vAlign w:val="bottom"/>
          </w:tcPr>
          <w:p>
            <w:pPr>
              <w:jc w:val="right"/>
              <w:ind w:right="68"/>
              <w:spacing w:after="0"/>
              <w:rPr>
                <w:sz w:val="20"/>
                <w:szCs w:val="20"/>
                <w:color w:val="auto"/>
              </w:rPr>
            </w:pPr>
            <w:r>
              <w:rPr>
                <w:rFonts w:ascii="Arial" w:cs="Arial" w:eastAsia="Arial" w:hAnsi="Arial"/>
                <w:sz w:val="14"/>
                <w:szCs w:val="14"/>
                <w:color w:val="auto"/>
              </w:rPr>
              <w:t>264</w:t>
            </w:r>
          </w:p>
        </w:tc>
        <w:tc>
          <w:tcPr>
            <w:tcW w:w="800" w:type="dxa"/>
            <w:vAlign w:val="bottom"/>
          </w:tcPr>
          <w:p>
            <w:pPr>
              <w:spacing w:after="0"/>
              <w:rPr>
                <w:sz w:val="18"/>
                <w:szCs w:val="18"/>
                <w:color w:val="auto"/>
              </w:rPr>
            </w:pPr>
          </w:p>
        </w:tc>
        <w:tc>
          <w:tcPr>
            <w:tcW w:w="340" w:type="dxa"/>
            <w:vAlign w:val="bottom"/>
          </w:tcPr>
          <w:p>
            <w:pPr>
              <w:jc w:val="right"/>
              <w:ind w:right="88"/>
              <w:spacing w:after="0"/>
              <w:rPr>
                <w:sz w:val="20"/>
                <w:szCs w:val="20"/>
                <w:color w:val="auto"/>
              </w:rPr>
            </w:pPr>
            <w:r>
              <w:rPr>
                <w:rFonts w:ascii="Arial" w:cs="Arial" w:eastAsia="Arial" w:hAnsi="Arial"/>
                <w:sz w:val="14"/>
                <w:szCs w:val="14"/>
                <w:color w:val="auto"/>
              </w:rPr>
              <w:t>51</w:t>
            </w: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77</w:t>
            </w:r>
          </w:p>
        </w:tc>
        <w:tc>
          <w:tcPr>
            <w:tcW w:w="920" w:type="dxa"/>
            <w:vAlign w:val="bottom"/>
          </w:tcPr>
          <w:p>
            <w:pPr>
              <w:spacing w:after="0"/>
              <w:rPr>
                <w:sz w:val="18"/>
                <w:szCs w:val="18"/>
                <w:color w:val="auto"/>
              </w:rPr>
            </w:pPr>
          </w:p>
        </w:tc>
        <w:tc>
          <w:tcPr>
            <w:tcW w:w="340" w:type="dxa"/>
            <w:vAlign w:val="bottom"/>
          </w:tcPr>
          <w:p>
            <w:pPr>
              <w:jc w:val="right"/>
              <w:ind w:right="108"/>
              <w:spacing w:after="0"/>
              <w:rPr>
                <w:sz w:val="20"/>
                <w:szCs w:val="20"/>
                <w:color w:val="auto"/>
              </w:rPr>
            </w:pPr>
            <w:r>
              <w:rPr>
                <w:rFonts w:ascii="Arial" w:cs="Arial" w:eastAsia="Arial" w:hAnsi="Arial"/>
                <w:sz w:val="14"/>
                <w:szCs w:val="14"/>
                <w:color w:val="auto"/>
              </w:rPr>
              <w:t>8</w:t>
            </w:r>
          </w:p>
        </w:tc>
        <w:tc>
          <w:tcPr>
            <w:tcW w:w="1140" w:type="dxa"/>
            <w:vAlign w:val="bottom"/>
            <w:gridSpan w:val="2"/>
          </w:tcPr>
          <w:p>
            <w:pPr>
              <w:jc w:val="right"/>
              <w:ind w:right="96"/>
              <w:spacing w:after="0"/>
              <w:rPr>
                <w:sz w:val="20"/>
                <w:szCs w:val="20"/>
                <w:color w:val="auto"/>
              </w:rPr>
            </w:pPr>
            <w:r>
              <w:rPr>
                <w:rFonts w:ascii="Arial" w:cs="Arial" w:eastAsia="Arial" w:hAnsi="Arial"/>
                <w:sz w:val="14"/>
                <w:szCs w:val="14"/>
                <w:color w:val="auto"/>
              </w:rPr>
              <w:t>154</w:t>
            </w:r>
          </w:p>
        </w:tc>
        <w:tc>
          <w:tcPr>
            <w:tcW w:w="740" w:type="dxa"/>
            <w:vAlign w:val="bottom"/>
          </w:tcPr>
          <w:p>
            <w:pPr>
              <w:spacing w:after="0"/>
              <w:rPr>
                <w:sz w:val="18"/>
                <w:szCs w:val="18"/>
                <w:color w:val="auto"/>
              </w:rPr>
            </w:pPr>
          </w:p>
        </w:tc>
        <w:tc>
          <w:tcPr>
            <w:tcW w:w="400" w:type="dxa"/>
            <w:vAlign w:val="bottom"/>
          </w:tcPr>
          <w:p>
            <w:pPr>
              <w:jc w:val="right"/>
              <w:ind w:right="88"/>
              <w:spacing w:after="0"/>
              <w:rPr>
                <w:sz w:val="20"/>
                <w:szCs w:val="20"/>
                <w:color w:val="auto"/>
              </w:rPr>
            </w:pPr>
            <w:r>
              <w:rPr>
                <w:rFonts w:ascii="Arial" w:cs="Arial" w:eastAsia="Arial" w:hAnsi="Arial"/>
                <w:sz w:val="14"/>
                <w:szCs w:val="14"/>
                <w:color w:val="auto"/>
              </w:rPr>
              <w:t>40</w:t>
            </w:r>
          </w:p>
        </w:tc>
        <w:tc>
          <w:tcPr>
            <w:tcW w:w="0" w:type="dxa"/>
            <w:vAlign w:val="bottom"/>
          </w:tcPr>
          <w:p>
            <w:pPr>
              <w:spacing w:after="0"/>
              <w:rPr>
                <w:sz w:val="1"/>
                <w:szCs w:val="1"/>
                <w:color w:val="auto"/>
              </w:rPr>
            </w:pPr>
          </w:p>
        </w:tc>
      </w:tr>
      <w:tr>
        <w:trPr>
          <w:trHeight w:val="216"/>
        </w:trPr>
        <w:tc>
          <w:tcPr>
            <w:tcW w:w="1360" w:type="dxa"/>
            <w:vAlign w:val="bottom"/>
          </w:tcPr>
          <w:p>
            <w:pPr>
              <w:ind w:left="20"/>
              <w:spacing w:after="0"/>
              <w:rPr>
                <w:sz w:val="20"/>
                <w:szCs w:val="20"/>
                <w:color w:val="auto"/>
              </w:rPr>
            </w:pPr>
            <w:r>
              <w:rPr>
                <w:rFonts w:ascii="Arial" w:cs="Arial" w:eastAsia="Arial" w:hAnsi="Arial"/>
                <w:sz w:val="14"/>
                <w:szCs w:val="14"/>
                <w:color w:val="auto"/>
              </w:rPr>
              <w:t>2011</w:t>
            </w:r>
          </w:p>
        </w:tc>
        <w:tc>
          <w:tcPr>
            <w:tcW w:w="480" w:type="dxa"/>
            <w:vAlign w:val="bottom"/>
          </w:tcPr>
          <w:p>
            <w:pPr>
              <w:spacing w:after="0"/>
              <w:rPr>
                <w:sz w:val="18"/>
                <w:szCs w:val="18"/>
                <w:color w:val="auto"/>
              </w:rPr>
            </w:pPr>
          </w:p>
        </w:tc>
        <w:tc>
          <w:tcPr>
            <w:tcW w:w="600" w:type="dxa"/>
            <w:vAlign w:val="bottom"/>
          </w:tcPr>
          <w:p>
            <w:pPr>
              <w:jc w:val="right"/>
              <w:ind w:right="68"/>
              <w:spacing w:after="0"/>
              <w:rPr>
                <w:sz w:val="20"/>
                <w:szCs w:val="20"/>
                <w:color w:val="auto"/>
              </w:rPr>
            </w:pPr>
            <w:r>
              <w:rPr>
                <w:rFonts w:ascii="Arial" w:cs="Arial" w:eastAsia="Arial" w:hAnsi="Arial"/>
                <w:sz w:val="14"/>
                <w:szCs w:val="14"/>
                <w:color w:val="auto"/>
              </w:rPr>
              <w:t>302</w:t>
            </w:r>
          </w:p>
        </w:tc>
        <w:tc>
          <w:tcPr>
            <w:tcW w:w="800" w:type="dxa"/>
            <w:vAlign w:val="bottom"/>
          </w:tcPr>
          <w:p>
            <w:pPr>
              <w:spacing w:after="0"/>
              <w:rPr>
                <w:sz w:val="18"/>
                <w:szCs w:val="18"/>
                <w:color w:val="auto"/>
              </w:rPr>
            </w:pPr>
          </w:p>
        </w:tc>
        <w:tc>
          <w:tcPr>
            <w:tcW w:w="340" w:type="dxa"/>
            <w:vAlign w:val="bottom"/>
          </w:tcPr>
          <w:p>
            <w:pPr>
              <w:jc w:val="right"/>
              <w:ind w:right="88"/>
              <w:spacing w:after="0"/>
              <w:rPr>
                <w:sz w:val="20"/>
                <w:szCs w:val="20"/>
                <w:color w:val="auto"/>
              </w:rPr>
            </w:pPr>
            <w:r>
              <w:rPr>
                <w:rFonts w:ascii="Arial" w:cs="Arial" w:eastAsia="Arial" w:hAnsi="Arial"/>
                <w:sz w:val="14"/>
                <w:szCs w:val="14"/>
                <w:color w:val="auto"/>
              </w:rPr>
              <w:t>55</w:t>
            </w: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86</w:t>
            </w:r>
          </w:p>
        </w:tc>
        <w:tc>
          <w:tcPr>
            <w:tcW w:w="920" w:type="dxa"/>
            <w:vAlign w:val="bottom"/>
          </w:tcPr>
          <w:p>
            <w:pPr>
              <w:spacing w:after="0"/>
              <w:rPr>
                <w:sz w:val="18"/>
                <w:szCs w:val="18"/>
                <w:color w:val="auto"/>
              </w:rPr>
            </w:pPr>
          </w:p>
        </w:tc>
        <w:tc>
          <w:tcPr>
            <w:tcW w:w="340" w:type="dxa"/>
            <w:vAlign w:val="bottom"/>
          </w:tcPr>
          <w:p>
            <w:pPr>
              <w:jc w:val="right"/>
              <w:ind w:right="108"/>
              <w:spacing w:after="0"/>
              <w:rPr>
                <w:sz w:val="20"/>
                <w:szCs w:val="20"/>
                <w:color w:val="auto"/>
              </w:rPr>
            </w:pPr>
            <w:r>
              <w:rPr>
                <w:rFonts w:ascii="Arial" w:cs="Arial" w:eastAsia="Arial" w:hAnsi="Arial"/>
                <w:sz w:val="14"/>
                <w:szCs w:val="14"/>
                <w:color w:val="auto"/>
              </w:rPr>
              <w:t>9</w:t>
            </w:r>
          </w:p>
        </w:tc>
        <w:tc>
          <w:tcPr>
            <w:tcW w:w="1140" w:type="dxa"/>
            <w:vAlign w:val="bottom"/>
            <w:gridSpan w:val="2"/>
          </w:tcPr>
          <w:p>
            <w:pPr>
              <w:jc w:val="right"/>
              <w:ind w:right="96"/>
              <w:spacing w:after="0"/>
              <w:rPr>
                <w:sz w:val="20"/>
                <w:szCs w:val="20"/>
                <w:color w:val="auto"/>
              </w:rPr>
            </w:pPr>
            <w:r>
              <w:rPr>
                <w:rFonts w:ascii="Arial" w:cs="Arial" w:eastAsia="Arial" w:hAnsi="Arial"/>
                <w:sz w:val="14"/>
                <w:szCs w:val="14"/>
                <w:color w:val="auto"/>
              </w:rPr>
              <w:t>171</w:t>
            </w:r>
          </w:p>
        </w:tc>
        <w:tc>
          <w:tcPr>
            <w:tcW w:w="740" w:type="dxa"/>
            <w:vAlign w:val="bottom"/>
          </w:tcPr>
          <w:p>
            <w:pPr>
              <w:spacing w:after="0"/>
              <w:rPr>
                <w:sz w:val="18"/>
                <w:szCs w:val="18"/>
                <w:color w:val="auto"/>
              </w:rPr>
            </w:pPr>
          </w:p>
        </w:tc>
        <w:tc>
          <w:tcPr>
            <w:tcW w:w="400" w:type="dxa"/>
            <w:vAlign w:val="bottom"/>
          </w:tcPr>
          <w:p>
            <w:pPr>
              <w:jc w:val="right"/>
              <w:ind w:right="88"/>
              <w:spacing w:after="0"/>
              <w:rPr>
                <w:sz w:val="20"/>
                <w:szCs w:val="20"/>
                <w:color w:val="auto"/>
              </w:rPr>
            </w:pPr>
            <w:r>
              <w:rPr>
                <w:rFonts w:ascii="Arial" w:cs="Arial" w:eastAsia="Arial" w:hAnsi="Arial"/>
                <w:sz w:val="14"/>
                <w:szCs w:val="14"/>
                <w:color w:val="auto"/>
              </w:rPr>
              <w:t>43</w:t>
            </w:r>
          </w:p>
        </w:tc>
        <w:tc>
          <w:tcPr>
            <w:tcW w:w="0" w:type="dxa"/>
            <w:vAlign w:val="bottom"/>
          </w:tcPr>
          <w:p>
            <w:pPr>
              <w:spacing w:after="0"/>
              <w:rPr>
                <w:sz w:val="1"/>
                <w:szCs w:val="1"/>
                <w:color w:val="auto"/>
              </w:rPr>
            </w:pPr>
          </w:p>
        </w:tc>
      </w:tr>
      <w:tr>
        <w:trPr>
          <w:trHeight w:val="216"/>
        </w:trPr>
        <w:tc>
          <w:tcPr>
            <w:tcW w:w="1360" w:type="dxa"/>
            <w:vAlign w:val="bottom"/>
          </w:tcPr>
          <w:p>
            <w:pPr>
              <w:ind w:left="20"/>
              <w:spacing w:after="0"/>
              <w:rPr>
                <w:sz w:val="20"/>
                <w:szCs w:val="20"/>
                <w:color w:val="auto"/>
              </w:rPr>
            </w:pPr>
            <w:r>
              <w:rPr>
                <w:rFonts w:ascii="Arial" w:cs="Arial" w:eastAsia="Arial" w:hAnsi="Arial"/>
                <w:sz w:val="14"/>
                <w:szCs w:val="14"/>
                <w:color w:val="auto"/>
              </w:rPr>
              <w:t>2012</w:t>
            </w:r>
          </w:p>
        </w:tc>
        <w:tc>
          <w:tcPr>
            <w:tcW w:w="480" w:type="dxa"/>
            <w:vAlign w:val="bottom"/>
          </w:tcPr>
          <w:p>
            <w:pPr>
              <w:spacing w:after="0"/>
              <w:rPr>
                <w:sz w:val="18"/>
                <w:szCs w:val="18"/>
                <w:color w:val="auto"/>
              </w:rPr>
            </w:pPr>
          </w:p>
        </w:tc>
        <w:tc>
          <w:tcPr>
            <w:tcW w:w="600" w:type="dxa"/>
            <w:vAlign w:val="bottom"/>
          </w:tcPr>
          <w:p>
            <w:pPr>
              <w:jc w:val="right"/>
              <w:ind w:right="68"/>
              <w:spacing w:after="0"/>
              <w:rPr>
                <w:sz w:val="20"/>
                <w:szCs w:val="20"/>
                <w:color w:val="auto"/>
              </w:rPr>
            </w:pPr>
            <w:r>
              <w:rPr>
                <w:rFonts w:ascii="Arial" w:cs="Arial" w:eastAsia="Arial" w:hAnsi="Arial"/>
                <w:sz w:val="14"/>
                <w:szCs w:val="14"/>
                <w:color w:val="auto"/>
              </w:rPr>
              <w:t>294</w:t>
            </w:r>
          </w:p>
        </w:tc>
        <w:tc>
          <w:tcPr>
            <w:tcW w:w="800" w:type="dxa"/>
            <w:vAlign w:val="bottom"/>
          </w:tcPr>
          <w:p>
            <w:pPr>
              <w:spacing w:after="0"/>
              <w:rPr>
                <w:sz w:val="18"/>
                <w:szCs w:val="18"/>
                <w:color w:val="auto"/>
              </w:rPr>
            </w:pPr>
          </w:p>
        </w:tc>
        <w:tc>
          <w:tcPr>
            <w:tcW w:w="340" w:type="dxa"/>
            <w:vAlign w:val="bottom"/>
          </w:tcPr>
          <w:p>
            <w:pPr>
              <w:jc w:val="right"/>
              <w:ind w:right="88"/>
              <w:spacing w:after="0"/>
              <w:rPr>
                <w:sz w:val="20"/>
                <w:szCs w:val="20"/>
                <w:color w:val="auto"/>
              </w:rPr>
            </w:pPr>
            <w:r>
              <w:rPr>
                <w:rFonts w:ascii="Arial" w:cs="Arial" w:eastAsia="Arial" w:hAnsi="Arial"/>
                <w:sz w:val="14"/>
                <w:szCs w:val="14"/>
                <w:color w:val="auto"/>
              </w:rPr>
              <w:t>59</w:t>
            </w: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81</w:t>
            </w:r>
          </w:p>
        </w:tc>
        <w:tc>
          <w:tcPr>
            <w:tcW w:w="920" w:type="dxa"/>
            <w:vAlign w:val="bottom"/>
          </w:tcPr>
          <w:p>
            <w:pPr>
              <w:spacing w:after="0"/>
              <w:rPr>
                <w:sz w:val="18"/>
                <w:szCs w:val="18"/>
                <w:color w:val="auto"/>
              </w:rPr>
            </w:pPr>
          </w:p>
        </w:tc>
        <w:tc>
          <w:tcPr>
            <w:tcW w:w="340" w:type="dxa"/>
            <w:vAlign w:val="bottom"/>
          </w:tcPr>
          <w:p>
            <w:pPr>
              <w:jc w:val="right"/>
              <w:ind w:right="108"/>
              <w:spacing w:after="0"/>
              <w:rPr>
                <w:sz w:val="20"/>
                <w:szCs w:val="20"/>
                <w:color w:val="auto"/>
              </w:rPr>
            </w:pPr>
            <w:r>
              <w:rPr>
                <w:rFonts w:ascii="Arial" w:cs="Arial" w:eastAsia="Arial" w:hAnsi="Arial"/>
                <w:sz w:val="14"/>
                <w:szCs w:val="14"/>
                <w:color w:val="auto"/>
                <w:w w:val="89"/>
              </w:rPr>
              <w:t>10</w:t>
            </w:r>
          </w:p>
        </w:tc>
        <w:tc>
          <w:tcPr>
            <w:tcW w:w="1140" w:type="dxa"/>
            <w:vAlign w:val="bottom"/>
            <w:gridSpan w:val="2"/>
          </w:tcPr>
          <w:p>
            <w:pPr>
              <w:jc w:val="right"/>
              <w:ind w:right="96"/>
              <w:spacing w:after="0"/>
              <w:rPr>
                <w:sz w:val="20"/>
                <w:szCs w:val="20"/>
                <w:color w:val="auto"/>
              </w:rPr>
            </w:pPr>
            <w:r>
              <w:rPr>
                <w:rFonts w:ascii="Arial" w:cs="Arial" w:eastAsia="Arial" w:hAnsi="Arial"/>
                <w:sz w:val="14"/>
                <w:szCs w:val="14"/>
                <w:color w:val="auto"/>
              </w:rPr>
              <w:t>167</w:t>
            </w:r>
          </w:p>
        </w:tc>
        <w:tc>
          <w:tcPr>
            <w:tcW w:w="740" w:type="dxa"/>
            <w:vAlign w:val="bottom"/>
          </w:tcPr>
          <w:p>
            <w:pPr>
              <w:spacing w:after="0"/>
              <w:rPr>
                <w:sz w:val="18"/>
                <w:szCs w:val="18"/>
                <w:color w:val="auto"/>
              </w:rPr>
            </w:pPr>
          </w:p>
        </w:tc>
        <w:tc>
          <w:tcPr>
            <w:tcW w:w="400" w:type="dxa"/>
            <w:vAlign w:val="bottom"/>
          </w:tcPr>
          <w:p>
            <w:pPr>
              <w:jc w:val="right"/>
              <w:ind w:right="88"/>
              <w:spacing w:after="0"/>
              <w:rPr>
                <w:sz w:val="20"/>
                <w:szCs w:val="20"/>
                <w:color w:val="auto"/>
              </w:rPr>
            </w:pPr>
            <w:r>
              <w:rPr>
                <w:rFonts w:ascii="Arial" w:cs="Arial" w:eastAsia="Arial" w:hAnsi="Arial"/>
                <w:sz w:val="14"/>
                <w:szCs w:val="14"/>
                <w:color w:val="auto"/>
              </w:rPr>
              <w:t>45</w:t>
            </w:r>
          </w:p>
        </w:tc>
        <w:tc>
          <w:tcPr>
            <w:tcW w:w="0" w:type="dxa"/>
            <w:vAlign w:val="bottom"/>
          </w:tcPr>
          <w:p>
            <w:pPr>
              <w:spacing w:after="0"/>
              <w:rPr>
                <w:sz w:val="1"/>
                <w:szCs w:val="1"/>
                <w:color w:val="auto"/>
              </w:rPr>
            </w:pPr>
          </w:p>
        </w:tc>
      </w:tr>
      <w:tr>
        <w:trPr>
          <w:trHeight w:val="216"/>
        </w:trPr>
        <w:tc>
          <w:tcPr>
            <w:tcW w:w="1360" w:type="dxa"/>
            <w:vAlign w:val="bottom"/>
          </w:tcPr>
          <w:p>
            <w:pPr>
              <w:ind w:left="20"/>
              <w:spacing w:after="0"/>
              <w:rPr>
                <w:sz w:val="20"/>
                <w:szCs w:val="20"/>
                <w:color w:val="auto"/>
              </w:rPr>
            </w:pPr>
            <w:r>
              <w:rPr>
                <w:rFonts w:ascii="Arial" w:cs="Arial" w:eastAsia="Arial" w:hAnsi="Arial"/>
                <w:sz w:val="14"/>
                <w:szCs w:val="14"/>
                <w:color w:val="auto"/>
              </w:rPr>
              <w:t>2013</w:t>
            </w:r>
          </w:p>
        </w:tc>
        <w:tc>
          <w:tcPr>
            <w:tcW w:w="480" w:type="dxa"/>
            <w:vAlign w:val="bottom"/>
          </w:tcPr>
          <w:p>
            <w:pPr>
              <w:spacing w:after="0"/>
              <w:rPr>
                <w:sz w:val="18"/>
                <w:szCs w:val="18"/>
                <w:color w:val="auto"/>
              </w:rPr>
            </w:pPr>
          </w:p>
        </w:tc>
        <w:tc>
          <w:tcPr>
            <w:tcW w:w="600" w:type="dxa"/>
            <w:vAlign w:val="bottom"/>
          </w:tcPr>
          <w:p>
            <w:pPr>
              <w:jc w:val="right"/>
              <w:ind w:right="68"/>
              <w:spacing w:after="0"/>
              <w:rPr>
                <w:sz w:val="20"/>
                <w:szCs w:val="20"/>
                <w:color w:val="auto"/>
              </w:rPr>
            </w:pPr>
            <w:r>
              <w:rPr>
                <w:rFonts w:ascii="Arial" w:cs="Arial" w:eastAsia="Arial" w:hAnsi="Arial"/>
                <w:sz w:val="14"/>
                <w:szCs w:val="14"/>
                <w:color w:val="auto"/>
              </w:rPr>
              <w:t>291</w:t>
            </w:r>
          </w:p>
        </w:tc>
        <w:tc>
          <w:tcPr>
            <w:tcW w:w="800" w:type="dxa"/>
            <w:vAlign w:val="bottom"/>
          </w:tcPr>
          <w:p>
            <w:pPr>
              <w:spacing w:after="0"/>
              <w:rPr>
                <w:sz w:val="18"/>
                <w:szCs w:val="18"/>
                <w:color w:val="auto"/>
              </w:rPr>
            </w:pPr>
          </w:p>
        </w:tc>
        <w:tc>
          <w:tcPr>
            <w:tcW w:w="340" w:type="dxa"/>
            <w:vAlign w:val="bottom"/>
          </w:tcPr>
          <w:p>
            <w:pPr>
              <w:jc w:val="right"/>
              <w:ind w:right="88"/>
              <w:spacing w:after="0"/>
              <w:rPr>
                <w:sz w:val="20"/>
                <w:szCs w:val="20"/>
                <w:color w:val="auto"/>
              </w:rPr>
            </w:pPr>
            <w:r>
              <w:rPr>
                <w:rFonts w:ascii="Arial" w:cs="Arial" w:eastAsia="Arial" w:hAnsi="Arial"/>
                <w:sz w:val="14"/>
                <w:szCs w:val="14"/>
                <w:color w:val="auto"/>
              </w:rPr>
              <w:t>63</w:t>
            </w: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82</w:t>
            </w:r>
          </w:p>
        </w:tc>
        <w:tc>
          <w:tcPr>
            <w:tcW w:w="920" w:type="dxa"/>
            <w:vAlign w:val="bottom"/>
          </w:tcPr>
          <w:p>
            <w:pPr>
              <w:spacing w:after="0"/>
              <w:rPr>
                <w:sz w:val="18"/>
                <w:szCs w:val="18"/>
                <w:color w:val="auto"/>
              </w:rPr>
            </w:pPr>
          </w:p>
        </w:tc>
        <w:tc>
          <w:tcPr>
            <w:tcW w:w="340" w:type="dxa"/>
            <w:vAlign w:val="bottom"/>
          </w:tcPr>
          <w:p>
            <w:pPr>
              <w:jc w:val="right"/>
              <w:ind w:right="108"/>
              <w:spacing w:after="0"/>
              <w:rPr>
                <w:sz w:val="20"/>
                <w:szCs w:val="20"/>
                <w:color w:val="auto"/>
              </w:rPr>
            </w:pPr>
            <w:r>
              <w:rPr>
                <w:rFonts w:ascii="Arial" w:cs="Arial" w:eastAsia="Arial" w:hAnsi="Arial"/>
                <w:sz w:val="14"/>
                <w:szCs w:val="14"/>
                <w:color w:val="auto"/>
                <w:w w:val="89"/>
              </w:rPr>
              <w:t>12</w:t>
            </w:r>
          </w:p>
        </w:tc>
        <w:tc>
          <w:tcPr>
            <w:tcW w:w="1140" w:type="dxa"/>
            <w:vAlign w:val="bottom"/>
            <w:gridSpan w:val="2"/>
          </w:tcPr>
          <w:p>
            <w:pPr>
              <w:jc w:val="right"/>
              <w:ind w:right="96"/>
              <w:spacing w:after="0"/>
              <w:rPr>
                <w:sz w:val="20"/>
                <w:szCs w:val="20"/>
                <w:color w:val="auto"/>
              </w:rPr>
            </w:pPr>
            <w:r>
              <w:rPr>
                <w:rFonts w:ascii="Arial" w:cs="Arial" w:eastAsia="Arial" w:hAnsi="Arial"/>
                <w:sz w:val="14"/>
                <w:szCs w:val="14"/>
                <w:color w:val="auto"/>
              </w:rPr>
              <w:t>175</w:t>
            </w:r>
          </w:p>
        </w:tc>
        <w:tc>
          <w:tcPr>
            <w:tcW w:w="740" w:type="dxa"/>
            <w:vAlign w:val="bottom"/>
          </w:tcPr>
          <w:p>
            <w:pPr>
              <w:spacing w:after="0"/>
              <w:rPr>
                <w:sz w:val="18"/>
                <w:szCs w:val="18"/>
                <w:color w:val="auto"/>
              </w:rPr>
            </w:pPr>
          </w:p>
        </w:tc>
        <w:tc>
          <w:tcPr>
            <w:tcW w:w="400" w:type="dxa"/>
            <w:vAlign w:val="bottom"/>
          </w:tcPr>
          <w:p>
            <w:pPr>
              <w:jc w:val="right"/>
              <w:ind w:right="88"/>
              <w:spacing w:after="0"/>
              <w:rPr>
                <w:sz w:val="20"/>
                <w:szCs w:val="20"/>
                <w:color w:val="auto"/>
              </w:rPr>
            </w:pPr>
            <w:r>
              <w:rPr>
                <w:rFonts w:ascii="Arial" w:cs="Arial" w:eastAsia="Arial" w:hAnsi="Arial"/>
                <w:sz w:val="14"/>
                <w:szCs w:val="14"/>
                <w:color w:val="auto"/>
              </w:rPr>
              <w:t>48</w:t>
            </w:r>
          </w:p>
        </w:tc>
        <w:tc>
          <w:tcPr>
            <w:tcW w:w="0" w:type="dxa"/>
            <w:vAlign w:val="bottom"/>
          </w:tcPr>
          <w:p>
            <w:pPr>
              <w:spacing w:after="0"/>
              <w:rPr>
                <w:sz w:val="1"/>
                <w:szCs w:val="1"/>
                <w:color w:val="auto"/>
              </w:rPr>
            </w:pPr>
          </w:p>
        </w:tc>
      </w:tr>
      <w:tr>
        <w:trPr>
          <w:trHeight w:val="250"/>
        </w:trPr>
        <w:tc>
          <w:tcPr>
            <w:tcW w:w="1360" w:type="dxa"/>
            <w:vAlign w:val="bottom"/>
            <w:tcBorders>
              <w:bottom w:val="single" w:sz="8" w:color="DFDFDF"/>
            </w:tcBorders>
          </w:tcPr>
          <w:p>
            <w:pPr>
              <w:ind w:left="20"/>
              <w:spacing w:after="0"/>
              <w:rPr>
                <w:sz w:val="20"/>
                <w:szCs w:val="20"/>
                <w:color w:val="auto"/>
              </w:rPr>
            </w:pPr>
            <w:r>
              <w:rPr>
                <w:rFonts w:ascii="Arial" w:cs="Arial" w:eastAsia="Arial" w:hAnsi="Arial"/>
                <w:sz w:val="14"/>
                <w:szCs w:val="14"/>
                <w:color w:val="auto"/>
              </w:rPr>
              <w:t>2014-2018</w:t>
            </w:r>
          </w:p>
        </w:tc>
        <w:tc>
          <w:tcPr>
            <w:tcW w:w="480" w:type="dxa"/>
            <w:vAlign w:val="bottom"/>
            <w:tcBorders>
              <w:bottom w:val="single" w:sz="8" w:color="DFDFDF"/>
            </w:tcBorders>
          </w:tcPr>
          <w:p>
            <w:pPr>
              <w:spacing w:after="0"/>
              <w:rPr>
                <w:sz w:val="21"/>
                <w:szCs w:val="21"/>
                <w:color w:val="auto"/>
              </w:rPr>
            </w:pPr>
          </w:p>
        </w:tc>
        <w:tc>
          <w:tcPr>
            <w:tcW w:w="600" w:type="dxa"/>
            <w:vAlign w:val="bottom"/>
            <w:tcBorders>
              <w:bottom w:val="single" w:sz="8" w:color="DFDFDF"/>
            </w:tcBorders>
          </w:tcPr>
          <w:p>
            <w:pPr>
              <w:jc w:val="right"/>
              <w:ind w:right="68"/>
              <w:spacing w:after="0"/>
              <w:rPr>
                <w:sz w:val="20"/>
                <w:szCs w:val="20"/>
                <w:color w:val="auto"/>
              </w:rPr>
            </w:pPr>
            <w:r>
              <w:rPr>
                <w:rFonts w:ascii="Arial" w:cs="Arial" w:eastAsia="Arial" w:hAnsi="Arial"/>
                <w:sz w:val="14"/>
                <w:szCs w:val="14"/>
                <w:color w:val="auto"/>
              </w:rPr>
              <w:t>1,430</w:t>
            </w:r>
          </w:p>
        </w:tc>
        <w:tc>
          <w:tcPr>
            <w:tcW w:w="1140" w:type="dxa"/>
            <w:vAlign w:val="bottom"/>
            <w:tcBorders>
              <w:bottom w:val="single" w:sz="8" w:color="DFDFDF"/>
            </w:tcBorders>
            <w:gridSpan w:val="2"/>
          </w:tcPr>
          <w:p>
            <w:pPr>
              <w:jc w:val="right"/>
              <w:ind w:right="88"/>
              <w:spacing w:after="0"/>
              <w:rPr>
                <w:sz w:val="20"/>
                <w:szCs w:val="20"/>
                <w:color w:val="auto"/>
              </w:rPr>
            </w:pPr>
            <w:r>
              <w:rPr>
                <w:rFonts w:ascii="Arial" w:cs="Arial" w:eastAsia="Arial" w:hAnsi="Arial"/>
                <w:sz w:val="14"/>
                <w:szCs w:val="14"/>
                <w:color w:val="auto"/>
              </w:rPr>
              <w:t>377</w:t>
            </w:r>
          </w:p>
        </w:tc>
        <w:tc>
          <w:tcPr>
            <w:tcW w:w="160" w:type="dxa"/>
            <w:vAlign w:val="bottom"/>
            <w:tcBorders>
              <w:bottom w:val="single" w:sz="8" w:color="DFDFDF"/>
            </w:tcBorders>
          </w:tcPr>
          <w:p>
            <w:pPr>
              <w:spacing w:after="0"/>
              <w:rPr>
                <w:sz w:val="21"/>
                <w:szCs w:val="21"/>
                <w:color w:val="auto"/>
              </w:rPr>
            </w:pPr>
          </w:p>
        </w:tc>
        <w:tc>
          <w:tcPr>
            <w:tcW w:w="360" w:type="dxa"/>
            <w:vAlign w:val="bottom"/>
            <w:tcBorders>
              <w:bottom w:val="single" w:sz="8" w:color="DFDFDF"/>
            </w:tcBorders>
          </w:tcPr>
          <w:p>
            <w:pPr>
              <w:spacing w:after="0"/>
              <w:rPr>
                <w:sz w:val="21"/>
                <w:szCs w:val="21"/>
                <w:color w:val="auto"/>
              </w:rPr>
            </w:pPr>
          </w:p>
        </w:tc>
        <w:tc>
          <w:tcPr>
            <w:tcW w:w="360" w:type="dxa"/>
            <w:vAlign w:val="bottom"/>
            <w:tcBorders>
              <w:bottom w:val="single" w:sz="8" w:color="DFDFDF"/>
            </w:tcBorders>
          </w:tcPr>
          <w:p>
            <w:pPr>
              <w:jc w:val="right"/>
              <w:spacing w:after="0"/>
              <w:rPr>
                <w:sz w:val="20"/>
                <w:szCs w:val="20"/>
                <w:color w:val="auto"/>
              </w:rPr>
            </w:pPr>
            <w:r>
              <w:rPr>
                <w:rFonts w:ascii="Arial" w:cs="Arial" w:eastAsia="Arial" w:hAnsi="Arial"/>
                <w:sz w:val="14"/>
                <w:szCs w:val="14"/>
                <w:color w:val="auto"/>
              </w:rPr>
              <w:t>397</w:t>
            </w:r>
          </w:p>
        </w:tc>
        <w:tc>
          <w:tcPr>
            <w:tcW w:w="920" w:type="dxa"/>
            <w:vAlign w:val="bottom"/>
            <w:tcBorders>
              <w:bottom w:val="single" w:sz="8" w:color="DFDFDF"/>
            </w:tcBorders>
          </w:tcPr>
          <w:p>
            <w:pPr>
              <w:spacing w:after="0"/>
              <w:rPr>
                <w:sz w:val="21"/>
                <w:szCs w:val="21"/>
                <w:color w:val="auto"/>
              </w:rPr>
            </w:pPr>
          </w:p>
        </w:tc>
        <w:tc>
          <w:tcPr>
            <w:tcW w:w="340" w:type="dxa"/>
            <w:vAlign w:val="bottom"/>
            <w:tcBorders>
              <w:bottom w:val="single" w:sz="8" w:color="DFDFDF"/>
            </w:tcBorders>
          </w:tcPr>
          <w:p>
            <w:pPr>
              <w:jc w:val="right"/>
              <w:ind w:right="108"/>
              <w:spacing w:after="0"/>
              <w:rPr>
                <w:sz w:val="20"/>
                <w:szCs w:val="20"/>
                <w:color w:val="auto"/>
              </w:rPr>
            </w:pPr>
            <w:r>
              <w:rPr>
                <w:rFonts w:ascii="Arial" w:cs="Arial" w:eastAsia="Arial" w:hAnsi="Arial"/>
                <w:sz w:val="14"/>
                <w:szCs w:val="14"/>
                <w:color w:val="auto"/>
                <w:w w:val="89"/>
              </w:rPr>
              <w:t>72</w:t>
            </w:r>
          </w:p>
        </w:tc>
        <w:tc>
          <w:tcPr>
            <w:tcW w:w="1140" w:type="dxa"/>
            <w:vAlign w:val="bottom"/>
            <w:tcBorders>
              <w:bottom w:val="single" w:sz="8" w:color="DFDFDF"/>
            </w:tcBorders>
            <w:gridSpan w:val="2"/>
          </w:tcPr>
          <w:p>
            <w:pPr>
              <w:jc w:val="right"/>
              <w:ind w:right="96"/>
              <w:spacing w:after="0"/>
              <w:rPr>
                <w:sz w:val="20"/>
                <w:szCs w:val="20"/>
                <w:color w:val="auto"/>
              </w:rPr>
            </w:pPr>
            <w:r>
              <w:rPr>
                <w:rFonts w:ascii="Arial" w:cs="Arial" w:eastAsia="Arial" w:hAnsi="Arial"/>
                <w:sz w:val="14"/>
                <w:szCs w:val="14"/>
                <w:color w:val="auto"/>
              </w:rPr>
              <w:t>853</w:t>
            </w:r>
          </w:p>
        </w:tc>
        <w:tc>
          <w:tcPr>
            <w:tcW w:w="740" w:type="dxa"/>
            <w:vAlign w:val="bottom"/>
            <w:tcBorders>
              <w:bottom w:val="single" w:sz="8" w:color="DFDFDF"/>
            </w:tcBorders>
          </w:tcPr>
          <w:p>
            <w:pPr>
              <w:spacing w:after="0"/>
              <w:rPr>
                <w:sz w:val="21"/>
                <w:szCs w:val="21"/>
                <w:color w:val="auto"/>
              </w:rPr>
            </w:pPr>
          </w:p>
        </w:tc>
        <w:tc>
          <w:tcPr>
            <w:tcW w:w="400" w:type="dxa"/>
            <w:vAlign w:val="bottom"/>
            <w:tcBorders>
              <w:bottom w:val="single" w:sz="8" w:color="DFDFDF"/>
            </w:tcBorders>
          </w:tcPr>
          <w:p>
            <w:pPr>
              <w:jc w:val="right"/>
              <w:ind w:right="88"/>
              <w:spacing w:after="0"/>
              <w:rPr>
                <w:sz w:val="20"/>
                <w:szCs w:val="20"/>
                <w:color w:val="auto"/>
              </w:rPr>
            </w:pPr>
            <w:r>
              <w:rPr>
                <w:rFonts w:ascii="Arial" w:cs="Arial" w:eastAsia="Arial" w:hAnsi="Arial"/>
                <w:sz w:val="14"/>
                <w:szCs w:val="14"/>
                <w:color w:val="auto"/>
                <w:w w:val="94"/>
              </w:rPr>
              <w:t>287</w:t>
            </w:r>
          </w:p>
        </w:tc>
        <w:tc>
          <w:tcPr>
            <w:tcW w:w="0" w:type="dxa"/>
            <w:vAlign w:val="bottom"/>
          </w:tcPr>
          <w:p>
            <w:pPr>
              <w:spacing w:after="0"/>
              <w:rPr>
                <w:sz w:val="1"/>
                <w:szCs w:val="1"/>
                <w:color w:val="auto"/>
              </w:rPr>
            </w:pPr>
          </w:p>
        </w:tc>
      </w:tr>
    </w:tbl>
    <w:p>
      <w:pPr>
        <w:spacing w:after="0" w:line="180" w:lineRule="exact"/>
        <w:rPr>
          <w:sz w:val="20"/>
          <w:szCs w:val="20"/>
          <w:color w:val="auto"/>
        </w:rPr>
      </w:pPr>
    </w:p>
    <w:p>
      <w:pPr>
        <w:spacing w:after="0"/>
        <w:rPr>
          <w:sz w:val="20"/>
          <w:szCs w:val="20"/>
          <w:color w:val="auto"/>
        </w:rPr>
      </w:pPr>
      <w:r>
        <w:rPr>
          <w:rFonts w:ascii="Arial" w:cs="Arial" w:eastAsia="Arial" w:hAnsi="Arial"/>
          <w:sz w:val="16"/>
          <w:szCs w:val="16"/>
          <w:color w:val="auto"/>
        </w:rPr>
        <w:t>The expected future Medicare Part D subsidy payments are as follows:</w:t>
      </w:r>
    </w:p>
    <w:p>
      <w:pPr>
        <w:spacing w:after="0" w:line="325" w:lineRule="exact"/>
        <w:rPr>
          <w:sz w:val="20"/>
          <w:szCs w:val="20"/>
          <w:color w:val="auto"/>
        </w:rPr>
      </w:pPr>
    </w:p>
    <w:tbl>
      <w:tblPr>
        <w:tblLayout w:type="fixed"/>
        <w:tblInd w:w="1860" w:type="dxa"/>
        <w:tblCellMar>
          <w:top w:w="0" w:type="dxa"/>
          <w:left w:w="0" w:type="dxa"/>
          <w:bottom w:w="0" w:type="dxa"/>
          <w:right w:w="0" w:type="dxa"/>
        </w:tblCellMar>
      </w:tblPr>
      <w:tr>
        <w:trPr>
          <w:trHeight w:val="154"/>
        </w:trPr>
        <w:tc>
          <w:tcPr>
            <w:tcW w:w="2180" w:type="dxa"/>
            <w:vAlign w:val="bottom"/>
            <w:vMerge w:val="restart"/>
          </w:tcPr>
          <w:p>
            <w:pPr>
              <w:spacing w:after="0"/>
              <w:rPr>
                <w:sz w:val="20"/>
                <w:szCs w:val="20"/>
                <w:color w:val="auto"/>
              </w:rPr>
            </w:pPr>
            <w:r>
              <w:rPr>
                <w:rFonts w:ascii="Arial" w:cs="Arial" w:eastAsia="Arial" w:hAnsi="Arial"/>
                <w:sz w:val="13"/>
                <w:szCs w:val="13"/>
                <w:i w:val="1"/>
                <w:iCs w:val="1"/>
                <w:color w:val="auto"/>
              </w:rPr>
              <w:t>(Dollars in millions)</w:t>
            </w:r>
          </w:p>
        </w:tc>
        <w:tc>
          <w:tcPr>
            <w:tcW w:w="2420" w:type="dxa"/>
            <w:vAlign w:val="bottom"/>
            <w:gridSpan w:val="2"/>
          </w:tcPr>
          <w:p>
            <w:pPr>
              <w:jc w:val="right"/>
              <w:ind w:right="348"/>
              <w:spacing w:after="0"/>
              <w:rPr>
                <w:sz w:val="20"/>
                <w:szCs w:val="20"/>
                <w:color w:val="auto"/>
              </w:rPr>
            </w:pPr>
            <w:r>
              <w:rPr>
                <w:rFonts w:ascii="Arial" w:cs="Arial" w:eastAsia="Arial" w:hAnsi="Arial"/>
                <w:sz w:val="13"/>
                <w:szCs w:val="13"/>
                <w:color w:val="auto"/>
              </w:rPr>
              <w:t>Sempra Energy</w:t>
            </w:r>
          </w:p>
        </w:tc>
        <w:tc>
          <w:tcPr>
            <w:tcW w:w="9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180" w:type="dxa"/>
            <w:vAlign w:val="bottom"/>
            <w:tcBorders>
              <w:bottom w:val="single" w:sz="8" w:color="auto"/>
            </w:tcBorders>
            <w:vMerge w:val="continue"/>
          </w:tcPr>
          <w:p>
            <w:pPr>
              <w:spacing w:after="0"/>
              <w:rPr>
                <w:sz w:val="14"/>
                <w:szCs w:val="14"/>
                <w:color w:val="auto"/>
              </w:rPr>
            </w:pPr>
          </w:p>
        </w:tc>
        <w:tc>
          <w:tcPr>
            <w:tcW w:w="2420" w:type="dxa"/>
            <w:vAlign w:val="bottom"/>
            <w:tcBorders>
              <w:bottom w:val="single" w:sz="8" w:color="auto"/>
            </w:tcBorders>
            <w:gridSpan w:val="2"/>
          </w:tcPr>
          <w:p>
            <w:pPr>
              <w:jc w:val="right"/>
              <w:ind w:right="428"/>
              <w:spacing w:after="0"/>
              <w:rPr>
                <w:sz w:val="20"/>
                <w:szCs w:val="20"/>
                <w:color w:val="auto"/>
              </w:rPr>
            </w:pPr>
            <w:r>
              <w:rPr>
                <w:rFonts w:ascii="Arial" w:cs="Arial" w:eastAsia="Arial" w:hAnsi="Arial"/>
                <w:sz w:val="13"/>
                <w:szCs w:val="13"/>
                <w:color w:val="auto"/>
              </w:rPr>
              <w:t>Consolidated</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SDG&amp;E</w:t>
            </w:r>
          </w:p>
        </w:tc>
        <w:tc>
          <w:tcPr>
            <w:tcW w:w="6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center"/>
              <w:ind w:left="352"/>
              <w:spacing w:after="0"/>
              <w:rPr>
                <w:sz w:val="20"/>
                <w:szCs w:val="20"/>
                <w:color w:val="auto"/>
              </w:rPr>
            </w:pPr>
            <w:r>
              <w:rPr>
                <w:rFonts w:ascii="Arial" w:cs="Arial" w:eastAsia="Arial" w:hAnsi="Arial"/>
                <w:sz w:val="13"/>
                <w:szCs w:val="13"/>
                <w:color w:val="auto"/>
                <w:w w:val="97"/>
              </w:rPr>
              <w:t>SoCalGas</w:t>
            </w:r>
          </w:p>
        </w:tc>
        <w:tc>
          <w:tcPr>
            <w:tcW w:w="5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2180" w:type="dxa"/>
            <w:vAlign w:val="bottom"/>
          </w:tcPr>
          <w:p>
            <w:pPr>
              <w:spacing w:after="0"/>
              <w:rPr>
                <w:sz w:val="20"/>
                <w:szCs w:val="20"/>
                <w:color w:val="auto"/>
              </w:rPr>
            </w:pPr>
            <w:r>
              <w:rPr>
                <w:rFonts w:ascii="Arial" w:cs="Arial" w:eastAsia="Arial" w:hAnsi="Arial"/>
                <w:sz w:val="14"/>
                <w:szCs w:val="14"/>
                <w:color w:val="auto"/>
              </w:rPr>
              <w:t>2009</w:t>
            </w:r>
          </w:p>
        </w:tc>
        <w:tc>
          <w:tcPr>
            <w:tcW w:w="1620" w:type="dxa"/>
            <w:vAlign w:val="bottom"/>
          </w:tcPr>
          <w:p>
            <w:pPr>
              <w:jc w:val="right"/>
              <w:ind w:right="93"/>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428"/>
              <w:spacing w:after="0"/>
              <w:rPr>
                <w:sz w:val="20"/>
                <w:szCs w:val="20"/>
                <w:color w:val="auto"/>
              </w:rPr>
            </w:pPr>
            <w:r>
              <w:rPr>
                <w:rFonts w:ascii="Arial" w:cs="Arial" w:eastAsia="Arial" w:hAnsi="Arial"/>
                <w:sz w:val="14"/>
                <w:szCs w:val="14"/>
                <w:color w:val="auto"/>
              </w:rPr>
              <w:t>3</w:t>
            </w:r>
          </w:p>
        </w:tc>
        <w:tc>
          <w:tcPr>
            <w:tcW w:w="940" w:type="dxa"/>
            <w:vAlign w:val="bottom"/>
          </w:tcPr>
          <w:p>
            <w:pPr>
              <w:jc w:val="right"/>
              <w:ind w:right="252"/>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38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212"/>
              <w:spacing w:after="0"/>
              <w:rPr>
                <w:sz w:val="20"/>
                <w:szCs w:val="20"/>
                <w:color w:val="auto"/>
              </w:rPr>
            </w:pPr>
            <w:r>
              <w:rPr>
                <w:rFonts w:ascii="Arial" w:cs="Arial" w:eastAsia="Arial" w:hAnsi="Arial"/>
                <w:sz w:val="14"/>
                <w:szCs w:val="14"/>
                <w:color w:val="auto"/>
              </w:rPr>
              <w:t>$</w:t>
            </w:r>
          </w:p>
        </w:tc>
        <w:tc>
          <w:tcPr>
            <w:tcW w:w="540" w:type="dxa"/>
            <w:vAlign w:val="bottom"/>
          </w:tcPr>
          <w:p>
            <w:pPr>
              <w:jc w:val="right"/>
              <w:ind w:right="288"/>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216"/>
        </w:trPr>
        <w:tc>
          <w:tcPr>
            <w:tcW w:w="2180" w:type="dxa"/>
            <w:vAlign w:val="bottom"/>
          </w:tcPr>
          <w:p>
            <w:pPr>
              <w:spacing w:after="0"/>
              <w:rPr>
                <w:sz w:val="20"/>
                <w:szCs w:val="20"/>
                <w:color w:val="auto"/>
              </w:rPr>
            </w:pPr>
            <w:r>
              <w:rPr>
                <w:rFonts w:ascii="Arial" w:cs="Arial" w:eastAsia="Arial" w:hAnsi="Arial"/>
                <w:sz w:val="14"/>
                <w:szCs w:val="14"/>
                <w:color w:val="auto"/>
              </w:rPr>
              <w:t>2010</w:t>
            </w:r>
          </w:p>
        </w:tc>
        <w:tc>
          <w:tcPr>
            <w:tcW w:w="1620" w:type="dxa"/>
            <w:vAlign w:val="bottom"/>
          </w:tcPr>
          <w:p>
            <w:pPr>
              <w:spacing w:after="0"/>
              <w:rPr>
                <w:sz w:val="18"/>
                <w:szCs w:val="18"/>
                <w:color w:val="auto"/>
              </w:rPr>
            </w:pPr>
          </w:p>
        </w:tc>
        <w:tc>
          <w:tcPr>
            <w:tcW w:w="800" w:type="dxa"/>
            <w:vAlign w:val="bottom"/>
          </w:tcPr>
          <w:p>
            <w:pPr>
              <w:jc w:val="right"/>
              <w:ind w:right="428"/>
              <w:spacing w:after="0"/>
              <w:rPr>
                <w:sz w:val="20"/>
                <w:szCs w:val="20"/>
                <w:color w:val="auto"/>
              </w:rPr>
            </w:pPr>
            <w:r>
              <w:rPr>
                <w:rFonts w:ascii="Arial" w:cs="Arial" w:eastAsia="Arial" w:hAnsi="Arial"/>
                <w:sz w:val="14"/>
                <w:szCs w:val="14"/>
                <w:color w:val="auto"/>
              </w:rPr>
              <w:t>3</w:t>
            </w:r>
          </w:p>
        </w:tc>
        <w:tc>
          <w:tcPr>
            <w:tcW w:w="940" w:type="dxa"/>
            <w:vAlign w:val="bottom"/>
          </w:tcPr>
          <w:p>
            <w:pPr>
              <w:spacing w:after="0"/>
              <w:rPr>
                <w:sz w:val="18"/>
                <w:szCs w:val="18"/>
                <w:color w:val="auto"/>
              </w:rPr>
            </w:pPr>
          </w:p>
        </w:tc>
        <w:tc>
          <w:tcPr>
            <w:tcW w:w="600" w:type="dxa"/>
            <w:vAlign w:val="bottom"/>
          </w:tcPr>
          <w:p>
            <w:pPr>
              <w:jc w:val="right"/>
              <w:ind w:right="388"/>
              <w:spacing w:after="0"/>
              <w:rPr>
                <w:sz w:val="20"/>
                <w:szCs w:val="20"/>
                <w:color w:val="auto"/>
              </w:rPr>
            </w:pPr>
            <w:r>
              <w:rPr>
                <w:rFonts w:ascii="Arial" w:cs="Arial" w:eastAsia="Arial" w:hAnsi="Arial"/>
                <w:sz w:val="14"/>
                <w:szCs w:val="14"/>
                <w:color w:val="auto"/>
              </w:rPr>
              <w:t>--</w:t>
            </w:r>
          </w:p>
        </w:tc>
        <w:tc>
          <w:tcPr>
            <w:tcW w:w="1040" w:type="dxa"/>
            <w:vAlign w:val="bottom"/>
          </w:tcPr>
          <w:p>
            <w:pPr>
              <w:spacing w:after="0"/>
              <w:rPr>
                <w:sz w:val="18"/>
                <w:szCs w:val="18"/>
                <w:color w:val="auto"/>
              </w:rPr>
            </w:pPr>
          </w:p>
        </w:tc>
        <w:tc>
          <w:tcPr>
            <w:tcW w:w="540" w:type="dxa"/>
            <w:vAlign w:val="bottom"/>
          </w:tcPr>
          <w:p>
            <w:pPr>
              <w:jc w:val="right"/>
              <w:ind w:right="288"/>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216"/>
        </w:trPr>
        <w:tc>
          <w:tcPr>
            <w:tcW w:w="2180" w:type="dxa"/>
            <w:vAlign w:val="bottom"/>
          </w:tcPr>
          <w:p>
            <w:pPr>
              <w:spacing w:after="0"/>
              <w:rPr>
                <w:sz w:val="20"/>
                <w:szCs w:val="20"/>
                <w:color w:val="auto"/>
              </w:rPr>
            </w:pPr>
            <w:r>
              <w:rPr>
                <w:rFonts w:ascii="Arial" w:cs="Arial" w:eastAsia="Arial" w:hAnsi="Arial"/>
                <w:sz w:val="14"/>
                <w:szCs w:val="14"/>
                <w:color w:val="auto"/>
              </w:rPr>
              <w:t>2011</w:t>
            </w:r>
          </w:p>
        </w:tc>
        <w:tc>
          <w:tcPr>
            <w:tcW w:w="1620" w:type="dxa"/>
            <w:vAlign w:val="bottom"/>
          </w:tcPr>
          <w:p>
            <w:pPr>
              <w:spacing w:after="0"/>
              <w:rPr>
                <w:sz w:val="18"/>
                <w:szCs w:val="18"/>
                <w:color w:val="auto"/>
              </w:rPr>
            </w:pPr>
          </w:p>
        </w:tc>
        <w:tc>
          <w:tcPr>
            <w:tcW w:w="800" w:type="dxa"/>
            <w:vAlign w:val="bottom"/>
          </w:tcPr>
          <w:p>
            <w:pPr>
              <w:jc w:val="right"/>
              <w:ind w:right="428"/>
              <w:spacing w:after="0"/>
              <w:rPr>
                <w:sz w:val="20"/>
                <w:szCs w:val="20"/>
                <w:color w:val="auto"/>
              </w:rPr>
            </w:pPr>
            <w:r>
              <w:rPr>
                <w:rFonts w:ascii="Arial" w:cs="Arial" w:eastAsia="Arial" w:hAnsi="Arial"/>
                <w:sz w:val="14"/>
                <w:szCs w:val="14"/>
                <w:color w:val="auto"/>
              </w:rPr>
              <w:t>3</w:t>
            </w:r>
          </w:p>
        </w:tc>
        <w:tc>
          <w:tcPr>
            <w:tcW w:w="940" w:type="dxa"/>
            <w:vAlign w:val="bottom"/>
          </w:tcPr>
          <w:p>
            <w:pPr>
              <w:spacing w:after="0"/>
              <w:rPr>
                <w:sz w:val="18"/>
                <w:szCs w:val="18"/>
                <w:color w:val="auto"/>
              </w:rPr>
            </w:pPr>
          </w:p>
        </w:tc>
        <w:tc>
          <w:tcPr>
            <w:tcW w:w="600" w:type="dxa"/>
            <w:vAlign w:val="bottom"/>
          </w:tcPr>
          <w:p>
            <w:pPr>
              <w:jc w:val="right"/>
              <w:ind w:right="388"/>
              <w:spacing w:after="0"/>
              <w:rPr>
                <w:sz w:val="20"/>
                <w:szCs w:val="20"/>
                <w:color w:val="auto"/>
              </w:rPr>
            </w:pPr>
            <w:r>
              <w:rPr>
                <w:rFonts w:ascii="Arial" w:cs="Arial" w:eastAsia="Arial" w:hAnsi="Arial"/>
                <w:sz w:val="14"/>
                <w:szCs w:val="14"/>
                <w:color w:val="auto"/>
              </w:rPr>
              <w:t>--</w:t>
            </w:r>
          </w:p>
        </w:tc>
        <w:tc>
          <w:tcPr>
            <w:tcW w:w="1040" w:type="dxa"/>
            <w:vAlign w:val="bottom"/>
          </w:tcPr>
          <w:p>
            <w:pPr>
              <w:spacing w:after="0"/>
              <w:rPr>
                <w:sz w:val="18"/>
                <w:szCs w:val="18"/>
                <w:color w:val="auto"/>
              </w:rPr>
            </w:pPr>
          </w:p>
        </w:tc>
        <w:tc>
          <w:tcPr>
            <w:tcW w:w="540" w:type="dxa"/>
            <w:vAlign w:val="bottom"/>
          </w:tcPr>
          <w:p>
            <w:pPr>
              <w:jc w:val="right"/>
              <w:ind w:right="288"/>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216"/>
        </w:trPr>
        <w:tc>
          <w:tcPr>
            <w:tcW w:w="2180" w:type="dxa"/>
            <w:vAlign w:val="bottom"/>
          </w:tcPr>
          <w:p>
            <w:pPr>
              <w:spacing w:after="0"/>
              <w:rPr>
                <w:sz w:val="20"/>
                <w:szCs w:val="20"/>
                <w:color w:val="auto"/>
              </w:rPr>
            </w:pPr>
            <w:r>
              <w:rPr>
                <w:rFonts w:ascii="Arial" w:cs="Arial" w:eastAsia="Arial" w:hAnsi="Arial"/>
                <w:sz w:val="14"/>
                <w:szCs w:val="14"/>
                <w:color w:val="auto"/>
              </w:rPr>
              <w:t>2012</w:t>
            </w:r>
          </w:p>
        </w:tc>
        <w:tc>
          <w:tcPr>
            <w:tcW w:w="1620" w:type="dxa"/>
            <w:vAlign w:val="bottom"/>
          </w:tcPr>
          <w:p>
            <w:pPr>
              <w:spacing w:after="0"/>
              <w:rPr>
                <w:sz w:val="18"/>
                <w:szCs w:val="18"/>
                <w:color w:val="auto"/>
              </w:rPr>
            </w:pPr>
          </w:p>
        </w:tc>
        <w:tc>
          <w:tcPr>
            <w:tcW w:w="800" w:type="dxa"/>
            <w:vAlign w:val="bottom"/>
          </w:tcPr>
          <w:p>
            <w:pPr>
              <w:jc w:val="right"/>
              <w:ind w:right="428"/>
              <w:spacing w:after="0"/>
              <w:rPr>
                <w:sz w:val="20"/>
                <w:szCs w:val="20"/>
                <w:color w:val="auto"/>
              </w:rPr>
            </w:pPr>
            <w:r>
              <w:rPr>
                <w:rFonts w:ascii="Arial" w:cs="Arial" w:eastAsia="Arial" w:hAnsi="Arial"/>
                <w:sz w:val="14"/>
                <w:szCs w:val="14"/>
                <w:color w:val="auto"/>
              </w:rPr>
              <w:t>4</w:t>
            </w:r>
          </w:p>
        </w:tc>
        <w:tc>
          <w:tcPr>
            <w:tcW w:w="940" w:type="dxa"/>
            <w:vAlign w:val="bottom"/>
          </w:tcPr>
          <w:p>
            <w:pPr>
              <w:spacing w:after="0"/>
              <w:rPr>
                <w:sz w:val="18"/>
                <w:szCs w:val="18"/>
                <w:color w:val="auto"/>
              </w:rPr>
            </w:pPr>
          </w:p>
        </w:tc>
        <w:tc>
          <w:tcPr>
            <w:tcW w:w="600" w:type="dxa"/>
            <w:vAlign w:val="bottom"/>
          </w:tcPr>
          <w:p>
            <w:pPr>
              <w:jc w:val="right"/>
              <w:ind w:right="388"/>
              <w:spacing w:after="0"/>
              <w:rPr>
                <w:sz w:val="20"/>
                <w:szCs w:val="20"/>
                <w:color w:val="auto"/>
              </w:rPr>
            </w:pPr>
            <w:r>
              <w:rPr>
                <w:rFonts w:ascii="Arial" w:cs="Arial" w:eastAsia="Arial" w:hAnsi="Arial"/>
                <w:sz w:val="14"/>
                <w:szCs w:val="14"/>
                <w:color w:val="auto"/>
              </w:rPr>
              <w:t>1</w:t>
            </w:r>
          </w:p>
        </w:tc>
        <w:tc>
          <w:tcPr>
            <w:tcW w:w="1040" w:type="dxa"/>
            <w:vAlign w:val="bottom"/>
          </w:tcPr>
          <w:p>
            <w:pPr>
              <w:spacing w:after="0"/>
              <w:rPr>
                <w:sz w:val="18"/>
                <w:szCs w:val="18"/>
                <w:color w:val="auto"/>
              </w:rPr>
            </w:pPr>
          </w:p>
        </w:tc>
        <w:tc>
          <w:tcPr>
            <w:tcW w:w="540" w:type="dxa"/>
            <w:vAlign w:val="bottom"/>
          </w:tcPr>
          <w:p>
            <w:pPr>
              <w:jc w:val="right"/>
              <w:ind w:right="288"/>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216"/>
        </w:trPr>
        <w:tc>
          <w:tcPr>
            <w:tcW w:w="2180" w:type="dxa"/>
            <w:vAlign w:val="bottom"/>
          </w:tcPr>
          <w:p>
            <w:pPr>
              <w:spacing w:after="0"/>
              <w:rPr>
                <w:sz w:val="20"/>
                <w:szCs w:val="20"/>
                <w:color w:val="auto"/>
              </w:rPr>
            </w:pPr>
            <w:r>
              <w:rPr>
                <w:rFonts w:ascii="Arial" w:cs="Arial" w:eastAsia="Arial" w:hAnsi="Arial"/>
                <w:sz w:val="14"/>
                <w:szCs w:val="14"/>
                <w:color w:val="auto"/>
              </w:rPr>
              <w:t>2013</w:t>
            </w:r>
          </w:p>
        </w:tc>
        <w:tc>
          <w:tcPr>
            <w:tcW w:w="1620" w:type="dxa"/>
            <w:vAlign w:val="bottom"/>
          </w:tcPr>
          <w:p>
            <w:pPr>
              <w:spacing w:after="0"/>
              <w:rPr>
                <w:sz w:val="18"/>
                <w:szCs w:val="18"/>
                <w:color w:val="auto"/>
              </w:rPr>
            </w:pPr>
          </w:p>
        </w:tc>
        <w:tc>
          <w:tcPr>
            <w:tcW w:w="800" w:type="dxa"/>
            <w:vAlign w:val="bottom"/>
          </w:tcPr>
          <w:p>
            <w:pPr>
              <w:jc w:val="right"/>
              <w:ind w:right="428"/>
              <w:spacing w:after="0"/>
              <w:rPr>
                <w:sz w:val="20"/>
                <w:szCs w:val="20"/>
                <w:color w:val="auto"/>
              </w:rPr>
            </w:pPr>
            <w:r>
              <w:rPr>
                <w:rFonts w:ascii="Arial" w:cs="Arial" w:eastAsia="Arial" w:hAnsi="Arial"/>
                <w:sz w:val="14"/>
                <w:szCs w:val="14"/>
                <w:color w:val="auto"/>
              </w:rPr>
              <w:t>4</w:t>
            </w:r>
          </w:p>
        </w:tc>
        <w:tc>
          <w:tcPr>
            <w:tcW w:w="940" w:type="dxa"/>
            <w:vAlign w:val="bottom"/>
          </w:tcPr>
          <w:p>
            <w:pPr>
              <w:spacing w:after="0"/>
              <w:rPr>
                <w:sz w:val="18"/>
                <w:szCs w:val="18"/>
                <w:color w:val="auto"/>
              </w:rPr>
            </w:pPr>
          </w:p>
        </w:tc>
        <w:tc>
          <w:tcPr>
            <w:tcW w:w="600" w:type="dxa"/>
            <w:vAlign w:val="bottom"/>
          </w:tcPr>
          <w:p>
            <w:pPr>
              <w:jc w:val="right"/>
              <w:ind w:right="388"/>
              <w:spacing w:after="0"/>
              <w:rPr>
                <w:sz w:val="20"/>
                <w:szCs w:val="20"/>
                <w:color w:val="auto"/>
              </w:rPr>
            </w:pPr>
            <w:r>
              <w:rPr>
                <w:rFonts w:ascii="Arial" w:cs="Arial" w:eastAsia="Arial" w:hAnsi="Arial"/>
                <w:sz w:val="14"/>
                <w:szCs w:val="14"/>
                <w:color w:val="auto"/>
              </w:rPr>
              <w:t>1</w:t>
            </w:r>
          </w:p>
        </w:tc>
        <w:tc>
          <w:tcPr>
            <w:tcW w:w="1040" w:type="dxa"/>
            <w:vAlign w:val="bottom"/>
          </w:tcPr>
          <w:p>
            <w:pPr>
              <w:spacing w:after="0"/>
              <w:rPr>
                <w:sz w:val="18"/>
                <w:szCs w:val="18"/>
                <w:color w:val="auto"/>
              </w:rPr>
            </w:pPr>
          </w:p>
        </w:tc>
        <w:tc>
          <w:tcPr>
            <w:tcW w:w="540" w:type="dxa"/>
            <w:vAlign w:val="bottom"/>
          </w:tcPr>
          <w:p>
            <w:pPr>
              <w:jc w:val="right"/>
              <w:ind w:right="288"/>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250"/>
        </w:trPr>
        <w:tc>
          <w:tcPr>
            <w:tcW w:w="2180" w:type="dxa"/>
            <w:vAlign w:val="bottom"/>
            <w:tcBorders>
              <w:bottom w:val="single" w:sz="8" w:color="DFDFDF"/>
            </w:tcBorders>
          </w:tcPr>
          <w:p>
            <w:pPr>
              <w:spacing w:after="0"/>
              <w:rPr>
                <w:sz w:val="20"/>
                <w:szCs w:val="20"/>
                <w:color w:val="auto"/>
              </w:rPr>
            </w:pPr>
            <w:r>
              <w:rPr>
                <w:rFonts w:ascii="Arial" w:cs="Arial" w:eastAsia="Arial" w:hAnsi="Arial"/>
                <w:sz w:val="14"/>
                <w:szCs w:val="14"/>
                <w:color w:val="auto"/>
              </w:rPr>
              <w:t>2014-2018</w:t>
            </w:r>
          </w:p>
        </w:tc>
        <w:tc>
          <w:tcPr>
            <w:tcW w:w="1620" w:type="dxa"/>
            <w:vAlign w:val="bottom"/>
            <w:tcBorders>
              <w:bottom w:val="single" w:sz="8" w:color="DFDFDF"/>
            </w:tcBorders>
          </w:tcPr>
          <w:p>
            <w:pPr>
              <w:spacing w:after="0"/>
              <w:rPr>
                <w:sz w:val="21"/>
                <w:szCs w:val="21"/>
                <w:color w:val="auto"/>
              </w:rPr>
            </w:pPr>
          </w:p>
        </w:tc>
        <w:tc>
          <w:tcPr>
            <w:tcW w:w="800" w:type="dxa"/>
            <w:vAlign w:val="bottom"/>
            <w:tcBorders>
              <w:bottom w:val="single" w:sz="8" w:color="DFDFDF"/>
            </w:tcBorders>
          </w:tcPr>
          <w:p>
            <w:pPr>
              <w:jc w:val="right"/>
              <w:ind w:right="428"/>
              <w:spacing w:after="0"/>
              <w:rPr>
                <w:sz w:val="20"/>
                <w:szCs w:val="20"/>
                <w:color w:val="auto"/>
              </w:rPr>
            </w:pPr>
            <w:r>
              <w:rPr>
                <w:rFonts w:ascii="Arial" w:cs="Arial" w:eastAsia="Arial" w:hAnsi="Arial"/>
                <w:sz w:val="14"/>
                <w:szCs w:val="14"/>
                <w:color w:val="auto"/>
              </w:rPr>
              <w:t>25</w:t>
            </w:r>
          </w:p>
        </w:tc>
        <w:tc>
          <w:tcPr>
            <w:tcW w:w="940" w:type="dxa"/>
            <w:vAlign w:val="bottom"/>
            <w:tcBorders>
              <w:bottom w:val="single" w:sz="8" w:color="DFDFDF"/>
            </w:tcBorders>
          </w:tcPr>
          <w:p>
            <w:pPr>
              <w:spacing w:after="0"/>
              <w:rPr>
                <w:sz w:val="21"/>
                <w:szCs w:val="21"/>
                <w:color w:val="auto"/>
              </w:rPr>
            </w:pPr>
          </w:p>
        </w:tc>
        <w:tc>
          <w:tcPr>
            <w:tcW w:w="600" w:type="dxa"/>
            <w:vAlign w:val="bottom"/>
            <w:tcBorders>
              <w:bottom w:val="single" w:sz="8" w:color="DFDFDF"/>
            </w:tcBorders>
          </w:tcPr>
          <w:p>
            <w:pPr>
              <w:jc w:val="right"/>
              <w:ind w:right="388"/>
              <w:spacing w:after="0"/>
              <w:rPr>
                <w:sz w:val="20"/>
                <w:szCs w:val="20"/>
                <w:color w:val="auto"/>
              </w:rPr>
            </w:pPr>
            <w:r>
              <w:rPr>
                <w:rFonts w:ascii="Arial" w:cs="Arial" w:eastAsia="Arial" w:hAnsi="Arial"/>
                <w:sz w:val="14"/>
                <w:szCs w:val="14"/>
                <w:color w:val="auto"/>
              </w:rPr>
              <w:t>5</w:t>
            </w:r>
          </w:p>
        </w:tc>
        <w:tc>
          <w:tcPr>
            <w:tcW w:w="1040" w:type="dxa"/>
            <w:vAlign w:val="bottom"/>
            <w:tcBorders>
              <w:bottom w:val="single" w:sz="8" w:color="DFDFDF"/>
            </w:tcBorders>
          </w:tcPr>
          <w:p>
            <w:pPr>
              <w:spacing w:after="0"/>
              <w:rPr>
                <w:sz w:val="21"/>
                <w:szCs w:val="21"/>
                <w:color w:val="auto"/>
              </w:rPr>
            </w:pPr>
          </w:p>
        </w:tc>
        <w:tc>
          <w:tcPr>
            <w:tcW w:w="540" w:type="dxa"/>
            <w:vAlign w:val="bottom"/>
            <w:tcBorders>
              <w:bottom w:val="single" w:sz="8" w:color="DFDFDF"/>
            </w:tcBorders>
          </w:tcPr>
          <w:p>
            <w:pPr>
              <w:jc w:val="right"/>
              <w:ind w:right="288"/>
              <w:spacing w:after="0"/>
              <w:rPr>
                <w:sz w:val="20"/>
                <w:szCs w:val="20"/>
                <w:color w:val="auto"/>
              </w:rPr>
            </w:pPr>
            <w:r>
              <w:rPr>
                <w:rFonts w:ascii="Arial" w:cs="Arial" w:eastAsia="Arial" w:hAnsi="Arial"/>
                <w:sz w:val="14"/>
                <w:szCs w:val="14"/>
                <w:color w:val="auto"/>
              </w:rPr>
              <w:t>19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Arial" w:cs="Arial" w:eastAsia="Arial" w:hAnsi="Arial"/>
          <w:sz w:val="14"/>
          <w:szCs w:val="14"/>
          <w:color w:val="auto"/>
        </w:rPr>
        <w:t>147</w:t>
      </w:r>
    </w:p>
    <w:p>
      <w:pPr>
        <w:sectPr>
          <w:pgSz w:w="11900" w:h="16838" w:orient="portrait"/>
          <w:cols w:equalWidth="0" w:num="1">
            <w:col w:w="11300"/>
          </w:cols>
          <w:pgMar w:left="240" w:top="293" w:right="359" w:bottom="1440" w:gutter="0" w:footer="0" w:header="0"/>
        </w:sectPr>
      </w:pPr>
    </w:p>
    <w:bookmarkStart w:id="287" w:name="page288"/>
    <w:bookmarkEnd w:id="287"/>
    <w:p>
      <w:pPr>
        <w:spacing w:after="0"/>
        <w:rPr>
          <w:sz w:val="20"/>
          <w:szCs w:val="20"/>
          <w:color w:val="auto"/>
        </w:rPr>
      </w:pPr>
      <w:r>
        <w:rPr>
          <w:rFonts w:ascii="Arial" w:cs="Arial" w:eastAsia="Arial" w:hAnsi="Arial"/>
          <w:sz w:val="16"/>
          <w:szCs w:val="16"/>
          <w:b w:val="1"/>
          <w:bCs w:val="1"/>
          <w:color w:val="auto"/>
        </w:rPr>
        <w:t>SAVINGS PLANS</w:t>
      </w:r>
    </w:p>
    <w:p>
      <w:pPr>
        <w:spacing w:after="0" w:line="89" w:lineRule="exact"/>
        <w:rPr>
          <w:sz w:val="20"/>
          <w:szCs w:val="20"/>
          <w:color w:val="auto"/>
        </w:rPr>
      </w:pPr>
    </w:p>
    <w:p>
      <w:pPr>
        <w:spacing w:after="0" w:line="257" w:lineRule="auto"/>
        <w:rPr>
          <w:sz w:val="20"/>
          <w:szCs w:val="20"/>
          <w:color w:val="auto"/>
        </w:rPr>
      </w:pPr>
      <w:r>
        <w:rPr>
          <w:rFonts w:ascii="Arial" w:cs="Arial" w:eastAsia="Arial" w:hAnsi="Arial"/>
          <w:sz w:val="16"/>
          <w:szCs w:val="16"/>
          <w:color w:val="auto"/>
        </w:rPr>
        <w:t>Sempra Energy offers trusteed savings plans to all employees. Participation in the plans is immediate for salary deferrals for all employees except for the union employees at SoCalGas, who are eligible upon completion of one year of service. Subject to plan provisions, employees may contribute from one percent to 25 percent of their regular earnings when they begin employment. After one year of each employee's completed service, Sempra Energy makes matching contributions. Employer contribution amounts and methodology vary by plan, but generally the contributions are equal to 50 percent of the first 6 percent of eligible base salary contributed by employees and, if certain company goals are met, an additional amount related to incentive compensation payments.</w:t>
      </w:r>
    </w:p>
    <w:p>
      <w:pPr>
        <w:spacing w:after="0" w:line="48" w:lineRule="exact"/>
        <w:rPr>
          <w:sz w:val="20"/>
          <w:szCs w:val="20"/>
          <w:color w:val="auto"/>
        </w:rPr>
      </w:pPr>
    </w:p>
    <w:p>
      <w:pPr>
        <w:ind w:right="80"/>
        <w:spacing w:after="0" w:line="259" w:lineRule="auto"/>
        <w:rPr>
          <w:sz w:val="20"/>
          <w:szCs w:val="20"/>
          <w:color w:val="auto"/>
        </w:rPr>
      </w:pPr>
      <w:r>
        <w:rPr>
          <w:rFonts w:ascii="Arial" w:cs="Arial" w:eastAsia="Arial" w:hAnsi="Arial"/>
          <w:sz w:val="16"/>
          <w:szCs w:val="16"/>
          <w:color w:val="auto"/>
        </w:rPr>
        <w:t>Employer contributions are initially invested in Sempra Energy common stock but the employee may transfer the contribution to other investments. Employee contributions are invested in Sempra Energy stock, mutual funds or institutional trusts (the same investments to which employees may direct the employer contributions), which the employee selects. In Sempra Energy plans, employee contributions may also be invested in guaranteed investment contracts. Employer contributions for the Sempra Energy and SoCalGas plans are partially funded by the ESOP referred to below.</w:t>
      </w:r>
    </w:p>
    <w:p>
      <w:pPr>
        <w:spacing w:after="0" w:line="47" w:lineRule="exact"/>
        <w:rPr>
          <w:sz w:val="20"/>
          <w:szCs w:val="20"/>
          <w:color w:val="auto"/>
        </w:rPr>
      </w:pPr>
    </w:p>
    <w:p>
      <w:pPr>
        <w:spacing w:after="0"/>
        <w:rPr>
          <w:sz w:val="20"/>
          <w:szCs w:val="20"/>
          <w:color w:val="auto"/>
        </w:rPr>
      </w:pPr>
      <w:r>
        <w:rPr>
          <w:rFonts w:ascii="Arial" w:cs="Arial" w:eastAsia="Arial" w:hAnsi="Arial"/>
          <w:sz w:val="16"/>
          <w:szCs w:val="16"/>
          <w:color w:val="auto"/>
        </w:rPr>
        <w:t>Contributions to the savings plans were as follows:</w:t>
      </w:r>
    </w:p>
    <w:p>
      <w:pPr>
        <w:spacing w:after="0" w:line="313" w:lineRule="exact"/>
        <w:rPr>
          <w:sz w:val="20"/>
          <w:szCs w:val="20"/>
          <w:color w:val="auto"/>
        </w:rPr>
      </w:pPr>
    </w:p>
    <w:tbl>
      <w:tblPr>
        <w:tblLayout w:type="fixed"/>
        <w:tblInd w:w="3320" w:type="dxa"/>
        <w:tblCellMar>
          <w:top w:w="0" w:type="dxa"/>
          <w:left w:w="0" w:type="dxa"/>
          <w:bottom w:w="0" w:type="dxa"/>
          <w:right w:w="0" w:type="dxa"/>
        </w:tblCellMar>
      </w:tblPr>
      <w:tr>
        <w:trPr>
          <w:trHeight w:val="171"/>
        </w:trPr>
        <w:tc>
          <w:tcPr>
            <w:tcW w:w="2100" w:type="dxa"/>
            <w:vAlign w:val="bottom"/>
            <w:tcBorders>
              <w:bottom w:val="single" w:sz="8" w:color="auto"/>
            </w:tcBorders>
          </w:tcPr>
          <w:p>
            <w:pPr>
              <w:ind w:left="20"/>
              <w:spacing w:after="0"/>
              <w:rPr>
                <w:sz w:val="20"/>
                <w:szCs w:val="20"/>
                <w:color w:val="auto"/>
              </w:rPr>
            </w:pPr>
            <w:r>
              <w:rPr>
                <w:rFonts w:ascii="Arial" w:cs="Arial" w:eastAsia="Arial" w:hAnsi="Arial"/>
                <w:sz w:val="13"/>
                <w:szCs w:val="13"/>
                <w:i w:val="1"/>
                <w:iCs w:val="1"/>
                <w:color w:val="auto"/>
              </w:rPr>
              <w:t>(Dollars in millions)</w:t>
            </w:r>
          </w:p>
        </w:tc>
        <w:tc>
          <w:tcPr>
            <w:tcW w:w="840" w:type="dxa"/>
            <w:vAlign w:val="bottom"/>
            <w:tcBorders>
              <w:bottom w:val="single" w:sz="8" w:color="auto"/>
            </w:tcBorders>
          </w:tcPr>
          <w:p>
            <w:pPr>
              <w:jc w:val="right"/>
              <w:ind w:right="190"/>
              <w:spacing w:after="0"/>
              <w:rPr>
                <w:sz w:val="20"/>
                <w:szCs w:val="20"/>
                <w:color w:val="auto"/>
              </w:rPr>
            </w:pPr>
            <w:r>
              <w:rPr>
                <w:rFonts w:ascii="Arial" w:cs="Arial" w:eastAsia="Arial" w:hAnsi="Arial"/>
                <w:sz w:val="13"/>
                <w:szCs w:val="13"/>
                <w:color w:val="auto"/>
              </w:rPr>
              <w:t>2008</w:t>
            </w:r>
          </w:p>
        </w:tc>
        <w:tc>
          <w:tcPr>
            <w:tcW w:w="900" w:type="dxa"/>
            <w:vAlign w:val="bottom"/>
            <w:tcBorders>
              <w:bottom w:val="single" w:sz="8" w:color="auto"/>
            </w:tcBorders>
          </w:tcPr>
          <w:p>
            <w:pPr>
              <w:jc w:val="right"/>
              <w:ind w:right="190"/>
              <w:spacing w:after="0"/>
              <w:rPr>
                <w:sz w:val="20"/>
                <w:szCs w:val="20"/>
                <w:color w:val="auto"/>
              </w:rPr>
            </w:pPr>
            <w:r>
              <w:rPr>
                <w:rFonts w:ascii="Arial" w:cs="Arial" w:eastAsia="Arial" w:hAnsi="Arial"/>
                <w:sz w:val="13"/>
                <w:szCs w:val="13"/>
                <w:color w:val="auto"/>
              </w:rPr>
              <w:t>2007</w:t>
            </w:r>
          </w:p>
        </w:tc>
        <w:tc>
          <w:tcPr>
            <w:tcW w:w="940" w:type="dxa"/>
            <w:vAlign w:val="bottom"/>
            <w:tcBorders>
              <w:bottom w:val="single" w:sz="8" w:color="auto"/>
            </w:tcBorders>
          </w:tcPr>
          <w:p>
            <w:pPr>
              <w:jc w:val="right"/>
              <w:ind w:right="230"/>
              <w:spacing w:after="0"/>
              <w:rPr>
                <w:sz w:val="20"/>
                <w:szCs w:val="20"/>
                <w:color w:val="auto"/>
              </w:rPr>
            </w:pPr>
            <w:r>
              <w:rPr>
                <w:rFonts w:ascii="Arial" w:cs="Arial" w:eastAsia="Arial" w:hAnsi="Arial"/>
                <w:sz w:val="13"/>
                <w:szCs w:val="13"/>
                <w:color w:val="auto"/>
              </w:rPr>
              <w:t>2006</w:t>
            </w:r>
          </w:p>
        </w:tc>
      </w:tr>
      <w:tr>
        <w:trPr>
          <w:trHeight w:val="207"/>
        </w:trPr>
        <w:tc>
          <w:tcPr>
            <w:tcW w:w="2100" w:type="dxa"/>
            <w:vAlign w:val="bottom"/>
          </w:tcPr>
          <w:p>
            <w:pPr>
              <w:ind w:left="20"/>
              <w:spacing w:after="0"/>
              <w:rPr>
                <w:sz w:val="20"/>
                <w:szCs w:val="20"/>
                <w:color w:val="auto"/>
              </w:rPr>
            </w:pPr>
            <w:r>
              <w:rPr>
                <w:rFonts w:ascii="Arial" w:cs="Arial" w:eastAsia="Arial" w:hAnsi="Arial"/>
                <w:sz w:val="14"/>
                <w:szCs w:val="14"/>
                <w:color w:val="auto"/>
              </w:rPr>
              <w:t>Sempra Energy Consolidated</w:t>
            </w:r>
          </w:p>
        </w:tc>
        <w:tc>
          <w:tcPr>
            <w:tcW w:w="840" w:type="dxa"/>
            <w:vAlign w:val="bottom"/>
          </w:tcPr>
          <w:p>
            <w:pPr>
              <w:jc w:val="right"/>
              <w:ind w:right="190"/>
              <w:spacing w:after="0"/>
              <w:rPr>
                <w:sz w:val="20"/>
                <w:szCs w:val="20"/>
                <w:color w:val="auto"/>
              </w:rPr>
            </w:pPr>
            <w:r>
              <w:rPr>
                <w:rFonts w:ascii="Arial" w:cs="Arial" w:eastAsia="Arial" w:hAnsi="Arial"/>
                <w:sz w:val="14"/>
                <w:szCs w:val="14"/>
                <w:color w:val="auto"/>
              </w:rPr>
              <w:t>$  32</w:t>
            </w:r>
          </w:p>
        </w:tc>
        <w:tc>
          <w:tcPr>
            <w:tcW w:w="900" w:type="dxa"/>
            <w:vAlign w:val="bottom"/>
          </w:tcPr>
          <w:p>
            <w:pPr>
              <w:jc w:val="right"/>
              <w:ind w:right="190"/>
              <w:spacing w:after="0"/>
              <w:rPr>
                <w:sz w:val="20"/>
                <w:szCs w:val="20"/>
                <w:color w:val="auto"/>
              </w:rPr>
            </w:pPr>
            <w:r>
              <w:rPr>
                <w:rFonts w:ascii="Arial" w:cs="Arial" w:eastAsia="Arial" w:hAnsi="Arial"/>
                <w:sz w:val="14"/>
                <w:szCs w:val="14"/>
                <w:color w:val="auto"/>
              </w:rPr>
              <w:t>$  31</w:t>
            </w:r>
          </w:p>
        </w:tc>
        <w:tc>
          <w:tcPr>
            <w:tcW w:w="940" w:type="dxa"/>
            <w:vAlign w:val="bottom"/>
          </w:tcPr>
          <w:p>
            <w:pPr>
              <w:jc w:val="right"/>
              <w:ind w:right="230"/>
              <w:spacing w:after="0"/>
              <w:rPr>
                <w:sz w:val="20"/>
                <w:szCs w:val="20"/>
                <w:color w:val="auto"/>
              </w:rPr>
            </w:pPr>
            <w:r>
              <w:rPr>
                <w:rFonts w:ascii="Arial" w:cs="Arial" w:eastAsia="Arial" w:hAnsi="Arial"/>
                <w:sz w:val="14"/>
                <w:szCs w:val="14"/>
                <w:color w:val="auto"/>
              </w:rPr>
              <w:t>$  31</w:t>
            </w:r>
          </w:p>
        </w:tc>
      </w:tr>
      <w:tr>
        <w:trPr>
          <w:trHeight w:val="216"/>
        </w:trPr>
        <w:tc>
          <w:tcPr>
            <w:tcW w:w="2100" w:type="dxa"/>
            <w:vAlign w:val="bottom"/>
          </w:tcPr>
          <w:p>
            <w:pPr>
              <w:ind w:left="20"/>
              <w:spacing w:after="0"/>
              <w:rPr>
                <w:sz w:val="20"/>
                <w:szCs w:val="20"/>
                <w:color w:val="auto"/>
              </w:rPr>
            </w:pPr>
            <w:r>
              <w:rPr>
                <w:rFonts w:ascii="Arial" w:cs="Arial" w:eastAsia="Arial" w:hAnsi="Arial"/>
                <w:sz w:val="14"/>
                <w:szCs w:val="14"/>
                <w:color w:val="auto"/>
              </w:rPr>
              <w:t>SDG&amp;E</w:t>
            </w:r>
          </w:p>
        </w:tc>
        <w:tc>
          <w:tcPr>
            <w:tcW w:w="840" w:type="dxa"/>
            <w:vAlign w:val="bottom"/>
          </w:tcPr>
          <w:p>
            <w:pPr>
              <w:jc w:val="right"/>
              <w:ind w:right="190"/>
              <w:spacing w:after="0"/>
              <w:rPr>
                <w:sz w:val="20"/>
                <w:szCs w:val="20"/>
                <w:color w:val="auto"/>
              </w:rPr>
            </w:pPr>
            <w:r>
              <w:rPr>
                <w:rFonts w:ascii="Arial" w:cs="Arial" w:eastAsia="Arial" w:hAnsi="Arial"/>
                <w:sz w:val="14"/>
                <w:szCs w:val="14"/>
                <w:color w:val="auto"/>
              </w:rPr>
              <w:t>13</w:t>
            </w:r>
          </w:p>
        </w:tc>
        <w:tc>
          <w:tcPr>
            <w:tcW w:w="900" w:type="dxa"/>
            <w:vAlign w:val="bottom"/>
          </w:tcPr>
          <w:p>
            <w:pPr>
              <w:jc w:val="right"/>
              <w:ind w:right="190"/>
              <w:spacing w:after="0"/>
              <w:rPr>
                <w:sz w:val="20"/>
                <w:szCs w:val="20"/>
                <w:color w:val="auto"/>
              </w:rPr>
            </w:pPr>
            <w:r>
              <w:rPr>
                <w:rFonts w:ascii="Arial" w:cs="Arial" w:eastAsia="Arial" w:hAnsi="Arial"/>
                <w:sz w:val="14"/>
                <w:szCs w:val="14"/>
                <w:color w:val="auto"/>
              </w:rPr>
              <w:t>12</w:t>
            </w:r>
          </w:p>
        </w:tc>
        <w:tc>
          <w:tcPr>
            <w:tcW w:w="940" w:type="dxa"/>
            <w:vAlign w:val="bottom"/>
          </w:tcPr>
          <w:p>
            <w:pPr>
              <w:jc w:val="right"/>
              <w:ind w:right="230"/>
              <w:spacing w:after="0"/>
              <w:rPr>
                <w:sz w:val="20"/>
                <w:szCs w:val="20"/>
                <w:color w:val="auto"/>
              </w:rPr>
            </w:pPr>
            <w:r>
              <w:rPr>
                <w:rFonts w:ascii="Arial" w:cs="Arial" w:eastAsia="Arial" w:hAnsi="Arial"/>
                <w:sz w:val="14"/>
                <w:szCs w:val="14"/>
                <w:color w:val="auto"/>
              </w:rPr>
              <w:t>11</w:t>
            </w:r>
          </w:p>
        </w:tc>
      </w:tr>
      <w:tr>
        <w:trPr>
          <w:trHeight w:val="250"/>
        </w:trPr>
        <w:tc>
          <w:tcPr>
            <w:tcW w:w="2100" w:type="dxa"/>
            <w:vAlign w:val="bottom"/>
            <w:tcBorders>
              <w:bottom w:val="single" w:sz="8" w:color="DFDFDF"/>
            </w:tcBorders>
          </w:tcPr>
          <w:p>
            <w:pPr>
              <w:ind w:left="20"/>
              <w:spacing w:after="0"/>
              <w:rPr>
                <w:sz w:val="20"/>
                <w:szCs w:val="20"/>
                <w:color w:val="auto"/>
              </w:rPr>
            </w:pPr>
            <w:r>
              <w:rPr>
                <w:rFonts w:ascii="Arial" w:cs="Arial" w:eastAsia="Arial" w:hAnsi="Arial"/>
                <w:sz w:val="14"/>
                <w:szCs w:val="14"/>
                <w:color w:val="auto"/>
              </w:rPr>
              <w:t>SoCalGas</w:t>
            </w:r>
          </w:p>
        </w:tc>
        <w:tc>
          <w:tcPr>
            <w:tcW w:w="840" w:type="dxa"/>
            <w:vAlign w:val="bottom"/>
            <w:tcBorders>
              <w:bottom w:val="single" w:sz="8" w:color="DFDFDF"/>
            </w:tcBorders>
          </w:tcPr>
          <w:p>
            <w:pPr>
              <w:jc w:val="right"/>
              <w:ind w:right="190"/>
              <w:spacing w:after="0"/>
              <w:rPr>
                <w:sz w:val="20"/>
                <w:szCs w:val="20"/>
                <w:color w:val="auto"/>
              </w:rPr>
            </w:pPr>
            <w:r>
              <w:rPr>
                <w:rFonts w:ascii="Arial" w:cs="Arial" w:eastAsia="Arial" w:hAnsi="Arial"/>
                <w:sz w:val="14"/>
                <w:szCs w:val="14"/>
                <w:color w:val="auto"/>
              </w:rPr>
              <w:t>12</w:t>
            </w:r>
          </w:p>
        </w:tc>
        <w:tc>
          <w:tcPr>
            <w:tcW w:w="900" w:type="dxa"/>
            <w:vAlign w:val="bottom"/>
            <w:tcBorders>
              <w:bottom w:val="single" w:sz="8" w:color="DFDFDF"/>
            </w:tcBorders>
          </w:tcPr>
          <w:p>
            <w:pPr>
              <w:jc w:val="right"/>
              <w:ind w:right="190"/>
              <w:spacing w:after="0"/>
              <w:rPr>
                <w:sz w:val="20"/>
                <w:szCs w:val="20"/>
                <w:color w:val="auto"/>
              </w:rPr>
            </w:pPr>
            <w:r>
              <w:rPr>
                <w:rFonts w:ascii="Arial" w:cs="Arial" w:eastAsia="Arial" w:hAnsi="Arial"/>
                <w:sz w:val="14"/>
                <w:szCs w:val="14"/>
                <w:color w:val="auto"/>
              </w:rPr>
              <w:t>12</w:t>
            </w:r>
          </w:p>
        </w:tc>
        <w:tc>
          <w:tcPr>
            <w:tcW w:w="940" w:type="dxa"/>
            <w:vAlign w:val="bottom"/>
            <w:tcBorders>
              <w:bottom w:val="single" w:sz="8" w:color="DFDFDF"/>
            </w:tcBorders>
          </w:tcPr>
          <w:p>
            <w:pPr>
              <w:jc w:val="right"/>
              <w:ind w:right="230"/>
              <w:spacing w:after="0"/>
              <w:rPr>
                <w:sz w:val="20"/>
                <w:szCs w:val="20"/>
                <w:color w:val="auto"/>
              </w:rPr>
            </w:pPr>
            <w:r>
              <w:rPr>
                <w:rFonts w:ascii="Arial" w:cs="Arial" w:eastAsia="Arial" w:hAnsi="Arial"/>
                <w:sz w:val="14"/>
                <w:szCs w:val="14"/>
                <w:color w:val="auto"/>
              </w:rPr>
              <w:t>11</w:t>
            </w:r>
          </w:p>
        </w:tc>
      </w:tr>
    </w:tbl>
    <w:p>
      <w:pPr>
        <w:spacing w:after="0" w:line="180" w:lineRule="exact"/>
        <w:rPr>
          <w:sz w:val="20"/>
          <w:szCs w:val="20"/>
          <w:color w:val="auto"/>
        </w:rPr>
      </w:pPr>
    </w:p>
    <w:p>
      <w:pPr>
        <w:ind w:right="100"/>
        <w:spacing w:after="0" w:line="264" w:lineRule="auto"/>
        <w:rPr>
          <w:sz w:val="20"/>
          <w:szCs w:val="20"/>
          <w:color w:val="auto"/>
        </w:rPr>
      </w:pPr>
      <w:r>
        <w:rPr>
          <w:rFonts w:ascii="Arial" w:cs="Arial" w:eastAsia="Arial" w:hAnsi="Arial"/>
          <w:sz w:val="16"/>
          <w:szCs w:val="16"/>
          <w:color w:val="auto"/>
        </w:rPr>
        <w:t>The market value of Sempra Energy common stock held by the savings plans was $700 million and $997 million at December 31, 2008 and 2007, respectively. Sempra Commodities also operated defined contribution plans outside of the United States. The contributions made by Sempra Energy to such plans were $1 million in 2008 (before the formation of RBS Sempra Commodities) and $4 million in each of 2007 and 2006.</w:t>
      </w:r>
    </w:p>
    <w:p>
      <w:pPr>
        <w:spacing w:after="0" w:line="23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EMPLOYEE STOCK OWNERSHIP PLAN</w:t>
      </w:r>
    </w:p>
    <w:p>
      <w:pPr>
        <w:spacing w:after="0" w:line="89" w:lineRule="exact"/>
        <w:rPr>
          <w:sz w:val="20"/>
          <w:szCs w:val="20"/>
          <w:color w:val="auto"/>
        </w:rPr>
      </w:pPr>
    </w:p>
    <w:p>
      <w:pPr>
        <w:ind w:right="20"/>
        <w:spacing w:after="0" w:line="257" w:lineRule="auto"/>
        <w:rPr>
          <w:sz w:val="20"/>
          <w:szCs w:val="20"/>
          <w:color w:val="auto"/>
        </w:rPr>
      </w:pPr>
      <w:r>
        <w:rPr>
          <w:rFonts w:ascii="Arial" w:cs="Arial" w:eastAsia="Arial" w:hAnsi="Arial"/>
          <w:sz w:val="16"/>
          <w:szCs w:val="16"/>
          <w:color w:val="auto"/>
        </w:rPr>
        <w:t>All contributions to the ESOP Trust (described in Note 6) are made by Sempra Energy; there are no contributions made by the participants. As Sempra Energy makes contributions, the ESOP debt service is paid and shares are released in proportion to the total expected debt service. We charge compensation expense and credit equity for the market value of the released shares. Dividends on unallocated shares are used to pay debt service and are applied against the liability. The shares held by the Trust are unallocated and consist of 1.2 million shares of Sempra Energy common stock with a fair value of $50 million at December 31, 2008, and 1.5 million shares with a fair value of $92 million at December 31, 2007.</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4"/>
          <w:szCs w:val="14"/>
          <w:color w:val="auto"/>
        </w:rPr>
        <w:t>148</w:t>
      </w:r>
    </w:p>
    <w:p>
      <w:pPr>
        <w:sectPr>
          <w:pgSz w:w="11900" w:h="16838" w:orient="portrait"/>
          <w:cols w:equalWidth="0" w:num="1">
            <w:col w:w="11400"/>
          </w:cols>
          <w:pgMar w:left="240" w:top="396" w:right="259" w:bottom="1440" w:gutter="0" w:footer="0" w:header="0"/>
        </w:sectPr>
      </w:pPr>
    </w:p>
    <w:bookmarkStart w:id="288" w:name="page289"/>
    <w:bookmarkEnd w:id="288"/>
    <w:p>
      <w:pPr>
        <w:ind w:left="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149860</wp:posOffset>
            </wp:positionH>
            <wp:positionV relativeFrom="page">
              <wp:posOffset>432435</wp:posOffset>
            </wp:positionV>
            <wp:extent cx="7261860" cy="762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61860" cy="7620"/>
                    </a:xfrm>
                    <a:prstGeom prst="rect">
                      <a:avLst/>
                    </a:prstGeom>
                    <a:noFill/>
                  </pic:spPr>
                </pic:pic>
              </a:graphicData>
            </a:graphic>
          </wp:anchor>
        </w:drawing>
        <w:t>NOTE 10. SHARE-BASED COMPENSATION</w:t>
      </w:r>
    </w:p>
    <w:p>
      <w:pPr>
        <w:spacing w:after="0" w:line="244"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auto"/>
        </w:rPr>
        <w:t>SEMPRA ENERGY EQUITY COMPENSATION PLANS</w:t>
      </w:r>
    </w:p>
    <w:p>
      <w:pPr>
        <w:spacing w:after="0" w:line="89" w:lineRule="exact"/>
        <w:rPr>
          <w:sz w:val="20"/>
          <w:szCs w:val="20"/>
          <w:color w:val="auto"/>
        </w:rPr>
      </w:pPr>
    </w:p>
    <w:p>
      <w:pPr>
        <w:ind w:left="4" w:right="20"/>
        <w:spacing w:after="0" w:line="277" w:lineRule="auto"/>
        <w:rPr>
          <w:sz w:val="20"/>
          <w:szCs w:val="20"/>
          <w:color w:val="auto"/>
        </w:rPr>
      </w:pPr>
      <w:r>
        <w:rPr>
          <w:rFonts w:ascii="Arial" w:cs="Arial" w:eastAsia="Arial" w:hAnsi="Arial"/>
          <w:sz w:val="16"/>
          <w:szCs w:val="16"/>
          <w:color w:val="auto"/>
        </w:rPr>
        <w:t>Sempra Energy has share-based compensation plans intended to align employee and shareholder objectives related to the long-term growth of Sempra Energy. The plans permit a wide variety of share-based awards, including:</w:t>
      </w:r>
    </w:p>
    <w:p>
      <w:pPr>
        <w:sectPr>
          <w:pgSz w:w="11900" w:h="16838" w:orient="portrait"/>
          <w:cols w:equalWidth="0" w:num="1">
            <w:col w:w="11404"/>
          </w:cols>
          <w:pgMar w:left="236" w:top="737" w:right="259" w:bottom="1440" w:gutter="0" w:footer="0" w:header="0"/>
        </w:sectPr>
      </w:pPr>
    </w:p>
    <w:p>
      <w:pPr>
        <w:spacing w:after="0" w:line="32" w:lineRule="exact"/>
        <w:rPr>
          <w:sz w:val="20"/>
          <w:szCs w:val="20"/>
          <w:color w:val="auto"/>
        </w:rPr>
      </w:pPr>
    </w:p>
    <w:p>
      <w:pPr>
        <w:ind w:left="4"/>
        <w:spacing w:after="0"/>
        <w:rPr>
          <w:sz w:val="20"/>
          <w:szCs w:val="20"/>
          <w:color w:val="auto"/>
        </w:rPr>
      </w:pPr>
      <w:r>
        <w:rPr>
          <w:rFonts w:ascii="Arial" w:cs="Arial" w:eastAsia="Arial" w:hAnsi="Arial"/>
          <w:sz w:val="14"/>
          <w:szCs w:val="14"/>
          <w:color w:val="auto"/>
        </w:rPr>
        <w:t>§ non-qualified stock options</w:t>
      </w:r>
    </w:p>
    <w:p>
      <w:pPr>
        <w:spacing w:after="0" w:line="20" w:lineRule="exact"/>
        <w:rPr>
          <w:sz w:val="20"/>
          <w:szCs w:val="20"/>
          <w:color w:val="auto"/>
        </w:rPr>
      </w:pPr>
      <w:r>
        <w:rPr>
          <w:sz w:val="20"/>
          <w:szCs w:val="20"/>
          <w:color w:val="auto"/>
        </w:rPr>
        <w:br w:type="column"/>
      </w:r>
    </w:p>
    <w:p>
      <w:pPr>
        <w:spacing w:after="0" w:line="12" w:lineRule="exact"/>
        <w:rPr>
          <w:sz w:val="20"/>
          <w:szCs w:val="20"/>
          <w:color w:val="auto"/>
        </w:rPr>
      </w:pPr>
    </w:p>
    <w:p>
      <w:pPr>
        <w:spacing w:after="0"/>
        <w:rPr>
          <w:sz w:val="20"/>
          <w:szCs w:val="20"/>
          <w:color w:val="auto"/>
        </w:rPr>
      </w:pPr>
      <w:r>
        <w:rPr>
          <w:rFonts w:ascii="Arial" w:cs="Arial" w:eastAsia="Arial" w:hAnsi="Arial"/>
          <w:sz w:val="14"/>
          <w:szCs w:val="14"/>
          <w:color w:val="auto"/>
        </w:rPr>
        <w:t>§ stock appreciation rights</w:t>
      </w:r>
    </w:p>
    <w:p>
      <w:pPr>
        <w:spacing w:after="0" w:line="91" w:lineRule="exact"/>
        <w:rPr>
          <w:sz w:val="20"/>
          <w:szCs w:val="20"/>
          <w:color w:val="auto"/>
        </w:rPr>
      </w:pPr>
    </w:p>
    <w:p>
      <w:pPr>
        <w:sectPr>
          <w:pgSz w:w="11900" w:h="16838" w:orient="portrait"/>
          <w:cols w:equalWidth="0" w:num="2">
            <w:col w:w="3044" w:space="720"/>
            <w:col w:w="7640"/>
          </w:cols>
          <w:pgMar w:left="236" w:top="737" w:right="259" w:bottom="1440" w:gutter="0" w:footer="0" w:header="0"/>
          <w:type w:val="continuous"/>
        </w:sectPr>
      </w:pPr>
    </w:p>
    <w:p>
      <w:pPr>
        <w:ind w:left="4"/>
        <w:spacing w:after="0"/>
        <w:rPr>
          <w:sz w:val="20"/>
          <w:szCs w:val="20"/>
          <w:color w:val="auto"/>
        </w:rPr>
      </w:pPr>
      <w:r>
        <w:rPr>
          <w:rFonts w:ascii="Arial" w:cs="Arial" w:eastAsia="Arial" w:hAnsi="Arial"/>
          <w:sz w:val="14"/>
          <w:szCs w:val="14"/>
          <w:color w:val="auto"/>
        </w:rPr>
        <w:t>§ incentive stock options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color w:val="auto"/>
        </w:rPr>
        <w:t>§ performance awards</w:t>
      </w:r>
    </w:p>
    <w:p>
      <w:pPr>
        <w:spacing w:after="0" w:line="91" w:lineRule="exact"/>
        <w:rPr>
          <w:sz w:val="20"/>
          <w:szCs w:val="20"/>
          <w:color w:val="auto"/>
        </w:rPr>
      </w:pPr>
    </w:p>
    <w:p>
      <w:pPr>
        <w:sectPr>
          <w:pgSz w:w="11900" w:h="16838" w:orient="portrait"/>
          <w:cols w:equalWidth="0" w:num="2">
            <w:col w:w="3044" w:space="720"/>
            <w:col w:w="7640"/>
          </w:cols>
          <w:pgMar w:left="236" w:top="737" w:right="259" w:bottom="1440" w:gutter="0" w:footer="0" w:header="0"/>
          <w:type w:val="continuous"/>
        </w:sectPr>
      </w:pPr>
    </w:p>
    <w:p>
      <w:pPr>
        <w:ind w:left="4"/>
        <w:spacing w:after="0"/>
        <w:rPr>
          <w:sz w:val="20"/>
          <w:szCs w:val="20"/>
          <w:color w:val="auto"/>
        </w:rPr>
      </w:pPr>
      <w:r>
        <w:rPr>
          <w:rFonts w:ascii="Arial" w:cs="Arial" w:eastAsia="Arial" w:hAnsi="Arial"/>
          <w:sz w:val="14"/>
          <w:szCs w:val="14"/>
          <w:color w:val="auto"/>
        </w:rPr>
        <w:t>§ restricted stock</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color w:val="auto"/>
        </w:rPr>
        <w:t>§ stock payments</w:t>
      </w:r>
    </w:p>
    <w:p>
      <w:pPr>
        <w:spacing w:after="0" w:line="91" w:lineRule="exact"/>
        <w:rPr>
          <w:sz w:val="20"/>
          <w:szCs w:val="20"/>
          <w:color w:val="auto"/>
        </w:rPr>
      </w:pPr>
    </w:p>
    <w:p>
      <w:pPr>
        <w:sectPr>
          <w:pgSz w:w="11900" w:h="16838" w:orient="portrait"/>
          <w:cols w:equalWidth="0" w:num="2">
            <w:col w:w="3044" w:space="720"/>
            <w:col w:w="7640"/>
          </w:cols>
          <w:pgMar w:left="236" w:top="737" w:right="259" w:bottom="1440" w:gutter="0" w:footer="0" w:header="0"/>
          <w:type w:val="continuous"/>
        </w:sectPr>
      </w:pPr>
    </w:p>
    <w:p>
      <w:pPr>
        <w:ind w:left="4"/>
        <w:spacing w:after="0"/>
        <w:rPr>
          <w:sz w:val="20"/>
          <w:szCs w:val="20"/>
          <w:color w:val="auto"/>
        </w:rPr>
      </w:pPr>
      <w:r>
        <w:rPr>
          <w:rFonts w:ascii="Arial" w:cs="Arial" w:eastAsia="Arial" w:hAnsi="Arial"/>
          <w:sz w:val="14"/>
          <w:szCs w:val="14"/>
          <w:color w:val="auto"/>
        </w:rPr>
        <w:t>§ restricted stock units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color w:val="auto"/>
        </w:rPr>
        <w:t>§ dividend equivalents</w:t>
      </w:r>
    </w:p>
    <w:p>
      <w:pPr>
        <w:spacing w:after="0" w:line="163" w:lineRule="exact"/>
        <w:rPr>
          <w:sz w:val="20"/>
          <w:szCs w:val="20"/>
          <w:color w:val="auto"/>
        </w:rPr>
      </w:pPr>
    </w:p>
    <w:p>
      <w:pPr>
        <w:sectPr>
          <w:pgSz w:w="11900" w:h="16838" w:orient="portrait"/>
          <w:cols w:equalWidth="0" w:num="2">
            <w:col w:w="3044" w:space="720"/>
            <w:col w:w="7640"/>
          </w:cols>
          <w:pgMar w:left="236" w:top="737" w:right="259" w:bottom="1440" w:gutter="0" w:footer="0" w:header="0"/>
          <w:type w:val="continuous"/>
        </w:sectPr>
      </w:pPr>
    </w:p>
    <w:p>
      <w:pPr>
        <w:ind w:left="4"/>
        <w:spacing w:after="0"/>
        <w:rPr>
          <w:sz w:val="20"/>
          <w:szCs w:val="20"/>
          <w:color w:val="auto"/>
        </w:rPr>
      </w:pPr>
      <w:r>
        <w:rPr>
          <w:rFonts w:ascii="Arial" w:cs="Arial" w:eastAsia="Arial" w:hAnsi="Arial"/>
          <w:sz w:val="16"/>
          <w:szCs w:val="16"/>
          <w:color w:val="auto"/>
        </w:rPr>
        <w:t>Eligible Sempra Utilities employees participate in Sempra Energy's share-based compensation plans as a component of their compensation package.</w:t>
      </w:r>
    </w:p>
    <w:p>
      <w:pPr>
        <w:spacing w:after="0" w:line="80" w:lineRule="exact"/>
        <w:rPr>
          <w:sz w:val="20"/>
          <w:szCs w:val="20"/>
          <w:color w:val="auto"/>
        </w:rPr>
      </w:pPr>
    </w:p>
    <w:p>
      <w:pPr>
        <w:ind w:left="4"/>
        <w:spacing w:after="0"/>
        <w:rPr>
          <w:sz w:val="20"/>
          <w:szCs w:val="20"/>
          <w:color w:val="auto"/>
        </w:rPr>
      </w:pPr>
      <w:r>
        <w:rPr>
          <w:rFonts w:ascii="Arial" w:cs="Arial" w:eastAsia="Arial" w:hAnsi="Arial"/>
          <w:sz w:val="16"/>
          <w:szCs w:val="16"/>
          <w:color w:val="auto"/>
        </w:rPr>
        <w:t>At December 31, 2008, Sempra Energy had the following types of equity awards outstanding:</w:t>
      </w:r>
    </w:p>
    <w:p>
      <w:pPr>
        <w:spacing w:after="0" w:line="44" w:lineRule="exact"/>
        <w:rPr>
          <w:sz w:val="20"/>
          <w:szCs w:val="20"/>
          <w:color w:val="auto"/>
        </w:rPr>
      </w:pPr>
    </w:p>
    <w:p>
      <w:pPr>
        <w:ind w:left="144" w:right="1320" w:hanging="144"/>
        <w:spacing w:after="0" w:line="259" w:lineRule="auto"/>
        <w:tabs>
          <w:tab w:leader="none" w:pos="144" w:val="left"/>
        </w:tabs>
        <w:numPr>
          <w:ilvl w:val="0"/>
          <w:numId w:val="353"/>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Non-Qualified Stock Options: </w:t>
      </w:r>
      <w:r>
        <w:rPr>
          <w:rFonts w:ascii="Arial" w:cs="Arial" w:eastAsia="Arial" w:hAnsi="Arial"/>
          <w:sz w:val="16"/>
          <w:szCs w:val="16"/>
          <w:color w:val="auto"/>
        </w:rPr>
        <w:t>Options have an exercise price equal to the market price of the common stock at the date of grant, are service-based, become</w:t>
      </w:r>
      <w:r>
        <w:rPr>
          <w:rFonts w:ascii="Arial" w:cs="Arial" w:eastAsia="Arial" w:hAnsi="Arial"/>
          <w:sz w:val="16"/>
          <w:szCs w:val="16"/>
          <w:i w:val="1"/>
          <w:iCs w:val="1"/>
          <w:color w:val="auto"/>
        </w:rPr>
        <w:t xml:space="preserve"> </w:t>
      </w:r>
      <w:r>
        <w:rPr>
          <w:rFonts w:ascii="Arial" w:cs="Arial" w:eastAsia="Arial" w:hAnsi="Arial"/>
          <w:sz w:val="16"/>
          <w:szCs w:val="16"/>
          <w:color w:val="auto"/>
        </w:rPr>
        <w:t>exercisable over a four-year period, and expire 10 years from the date of grant. Vesting and/or the ability to exercise may be accelerated upon a change in control, in accordance with severance pay agreements or upon eligibility for retirement. Options are subject to forfeiture or earlier expiration when an employee terminates employment.</w:t>
      </w:r>
    </w:p>
    <w:p>
      <w:pPr>
        <w:spacing w:after="0" w:line="10" w:lineRule="exact"/>
        <w:rPr>
          <w:rFonts w:ascii="Arial" w:cs="Arial" w:eastAsia="Arial" w:hAnsi="Arial"/>
          <w:sz w:val="16"/>
          <w:szCs w:val="16"/>
          <w:i w:val="1"/>
          <w:iCs w:val="1"/>
          <w:color w:val="auto"/>
        </w:rPr>
      </w:pPr>
    </w:p>
    <w:p>
      <w:pPr>
        <w:ind w:left="144" w:right="1140" w:hanging="144"/>
        <w:spacing w:after="0" w:line="257" w:lineRule="auto"/>
        <w:tabs>
          <w:tab w:leader="none" w:pos="144" w:val="left"/>
        </w:tabs>
        <w:numPr>
          <w:ilvl w:val="0"/>
          <w:numId w:val="353"/>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Restricted Stock: </w:t>
      </w:r>
      <w:r>
        <w:rPr>
          <w:rFonts w:ascii="Arial" w:cs="Arial" w:eastAsia="Arial" w:hAnsi="Arial"/>
          <w:sz w:val="16"/>
          <w:szCs w:val="16"/>
          <w:color w:val="auto"/>
        </w:rPr>
        <w:t>Substantially all restricted stock vests at the end of a four-year period based on Sempra Energy’s total return to shareholders relative to that</w:t>
      </w:r>
      <w:r>
        <w:rPr>
          <w:rFonts w:ascii="Arial" w:cs="Arial" w:eastAsia="Arial" w:hAnsi="Arial"/>
          <w:sz w:val="16"/>
          <w:szCs w:val="16"/>
          <w:i w:val="1"/>
          <w:iCs w:val="1"/>
          <w:color w:val="auto"/>
        </w:rPr>
        <w:t xml:space="preserve"> </w:t>
      </w:r>
      <w:r>
        <w:rPr>
          <w:rFonts w:ascii="Arial" w:cs="Arial" w:eastAsia="Arial" w:hAnsi="Arial"/>
          <w:sz w:val="16"/>
          <w:szCs w:val="16"/>
          <w:color w:val="auto"/>
        </w:rPr>
        <w:t>of market indices. Vesting is subject to earlier forfeiture upon termination of employment and accelerated vesting upon a change in control, in accordance with severance pay agreements or upon eligibility for retirement. Holders of restricted stock have full voting rights. They also have full dividend rights; however, dividends paid on restricted stock held by officers are reinvested to purchase additional shares that become subject to the same vesting conditions as the restricted stock to which the dividends relate.</w:t>
      </w:r>
    </w:p>
    <w:p>
      <w:pPr>
        <w:spacing w:after="0" w:line="11" w:lineRule="exact"/>
        <w:rPr>
          <w:rFonts w:ascii="Arial" w:cs="Arial" w:eastAsia="Arial" w:hAnsi="Arial"/>
          <w:sz w:val="16"/>
          <w:szCs w:val="16"/>
          <w:i w:val="1"/>
          <w:iCs w:val="1"/>
          <w:color w:val="auto"/>
        </w:rPr>
      </w:pPr>
    </w:p>
    <w:p>
      <w:pPr>
        <w:ind w:left="144" w:right="1160" w:hanging="144"/>
        <w:spacing w:after="0" w:line="299" w:lineRule="auto"/>
        <w:tabs>
          <w:tab w:leader="none" w:pos="144" w:val="left"/>
        </w:tabs>
        <w:numPr>
          <w:ilvl w:val="0"/>
          <w:numId w:val="353"/>
        </w:numPr>
        <w:rPr>
          <w:rFonts w:ascii="Arial" w:cs="Arial" w:eastAsia="Arial" w:hAnsi="Arial"/>
          <w:sz w:val="14"/>
          <w:szCs w:val="14"/>
          <w:i w:val="1"/>
          <w:iCs w:val="1"/>
          <w:color w:val="auto"/>
        </w:rPr>
      </w:pPr>
      <w:r>
        <w:rPr>
          <w:rFonts w:ascii="Arial" w:cs="Arial" w:eastAsia="Arial" w:hAnsi="Arial"/>
          <w:sz w:val="14"/>
          <w:szCs w:val="14"/>
          <w:i w:val="1"/>
          <w:iCs w:val="1"/>
          <w:color w:val="auto"/>
        </w:rPr>
        <w:t xml:space="preserve">Restricted Stock Units: </w:t>
      </w:r>
      <w:r>
        <w:rPr>
          <w:rFonts w:ascii="Arial" w:cs="Arial" w:eastAsia="Arial" w:hAnsi="Arial"/>
          <w:sz w:val="14"/>
          <w:szCs w:val="14"/>
          <w:color w:val="auto"/>
        </w:rPr>
        <w:t>Restricted stock units vest at the end of a four-year period based on Sempra Energy’s total return to shareholders relative to that of</w:t>
      </w:r>
      <w:r>
        <w:rPr>
          <w:rFonts w:ascii="Arial" w:cs="Arial" w:eastAsia="Arial" w:hAnsi="Arial"/>
          <w:sz w:val="14"/>
          <w:szCs w:val="14"/>
          <w:i w:val="1"/>
          <w:iCs w:val="1"/>
          <w:color w:val="auto"/>
        </w:rPr>
        <w:t xml:space="preserve"> </w:t>
      </w:r>
      <w:r>
        <w:rPr>
          <w:rFonts w:ascii="Arial" w:cs="Arial" w:eastAsia="Arial" w:hAnsi="Arial"/>
          <w:sz w:val="14"/>
          <w:szCs w:val="14"/>
          <w:color w:val="auto"/>
        </w:rPr>
        <w:t>market indices. If Sempra Energy’s total return to shareholders exceeds the target levels designated in the 2008 Long Term Incentive Plan, up to an additional 50 percent of the number of granted restricted stock units may be issued. If Sempra Energy's total return to shareholders is below the target levels, shares are subject to partial vesting on a pro rata basis. Vesting is subject to earlier forfeiture upon termination of employment and accelerated vesting upon a change in control, in accordance with severance pay agreements or upon eligibility for retirement. Dividend equivalents on restricted stock units are reinvested to purchase additional shares that become subject to the same vesting conditions as the restricted stock units to which the dividends relate.</w:t>
      </w:r>
    </w:p>
    <w:p>
      <w:pPr>
        <w:spacing w:after="0" w:line="70" w:lineRule="exact"/>
        <w:rPr>
          <w:sz w:val="20"/>
          <w:szCs w:val="20"/>
          <w:color w:val="auto"/>
        </w:rPr>
      </w:pPr>
    </w:p>
    <w:p>
      <w:pPr>
        <w:ind w:left="4"/>
        <w:spacing w:after="0" w:line="278" w:lineRule="auto"/>
        <w:rPr>
          <w:sz w:val="20"/>
          <w:szCs w:val="20"/>
          <w:color w:val="auto"/>
        </w:rPr>
      </w:pPr>
      <w:r>
        <w:rPr>
          <w:rFonts w:ascii="Arial" w:cs="Arial" w:eastAsia="Arial" w:hAnsi="Arial"/>
          <w:sz w:val="15"/>
          <w:szCs w:val="15"/>
          <w:color w:val="auto"/>
        </w:rPr>
        <w:t>The Sempra Energy 2008 Long Term Incentive Plan for EnergySouth, Inc. Employees and Other Eligible Individuals (the Plan) authorizes the issuance of up to 302,478 shares of Sempra Energy common stock. In connection with the acquisition of EnergySouth in October 2008, we adopted the Plan to utilize the shares remaining available for future awards under the 2008 Incentive Plan of EnergySouth, Inc. (the Prior Plan). All awards outstanding under the Prior Plan at the time of the acquisition were cancelled, and the holders were paid the merger consideration in accordance with the terms of the merger agreement. The Plan provides for the grant of substantially the same types of share-based awards (other than incentive stock options) that are available under the Sempra Energy 2008 Long Term Incentive Plan.</w:t>
      </w:r>
    </w:p>
    <w:p>
      <w:pPr>
        <w:spacing w:after="0" w:line="200" w:lineRule="exact"/>
        <w:rPr>
          <w:sz w:val="20"/>
          <w:szCs w:val="20"/>
          <w:color w:val="auto"/>
        </w:rPr>
      </w:pPr>
    </w:p>
    <w:p>
      <w:pPr>
        <w:spacing w:after="0" w:line="295" w:lineRule="exact"/>
        <w:rPr>
          <w:sz w:val="20"/>
          <w:szCs w:val="20"/>
          <w:color w:val="auto"/>
        </w:rPr>
      </w:pPr>
    </w:p>
    <w:p>
      <w:pPr>
        <w:ind w:left="4"/>
        <w:spacing w:after="0"/>
        <w:rPr>
          <w:sz w:val="20"/>
          <w:szCs w:val="20"/>
          <w:color w:val="auto"/>
        </w:rPr>
      </w:pPr>
      <w:r>
        <w:rPr>
          <w:rFonts w:ascii="Arial" w:cs="Arial" w:eastAsia="Arial" w:hAnsi="Arial"/>
          <w:sz w:val="14"/>
          <w:szCs w:val="14"/>
          <w:color w:val="auto"/>
        </w:rPr>
        <w:t>149</w:t>
      </w:r>
    </w:p>
    <w:p>
      <w:pPr>
        <w:sectPr>
          <w:pgSz w:w="11900" w:h="16838" w:orient="portrait"/>
          <w:cols w:equalWidth="0" w:num="1">
            <w:col w:w="11404"/>
          </w:cols>
          <w:pgMar w:left="236" w:top="737" w:right="259" w:bottom="1440" w:gutter="0" w:footer="0" w:header="0"/>
          <w:type w:val="continuous"/>
        </w:sectPr>
      </w:pPr>
    </w:p>
    <w:bookmarkStart w:id="289" w:name="page290"/>
    <w:bookmarkEnd w:id="289"/>
    <w:p>
      <w:pPr>
        <w:spacing w:after="0"/>
        <w:rPr>
          <w:sz w:val="20"/>
          <w:szCs w:val="20"/>
          <w:color w:val="auto"/>
        </w:rPr>
      </w:pPr>
      <w:r>
        <w:rPr>
          <w:rFonts w:ascii="Arial" w:cs="Arial" w:eastAsia="Arial" w:hAnsi="Arial"/>
          <w:sz w:val="16"/>
          <w:szCs w:val="16"/>
          <w:b w:val="1"/>
          <w:bCs w:val="1"/>
          <w:color w:val="auto"/>
        </w:rPr>
        <w:t>SHARE-BASED AWARDS AND COMPENSATION EXPENSE</w:t>
      </w:r>
    </w:p>
    <w:p>
      <w:pPr>
        <w:spacing w:after="0" w:line="89" w:lineRule="exact"/>
        <w:rPr>
          <w:sz w:val="20"/>
          <w:szCs w:val="20"/>
          <w:color w:val="auto"/>
        </w:rPr>
      </w:pPr>
    </w:p>
    <w:p>
      <w:pPr>
        <w:ind w:right="60"/>
        <w:spacing w:after="0" w:line="299" w:lineRule="auto"/>
        <w:rPr>
          <w:sz w:val="20"/>
          <w:szCs w:val="20"/>
          <w:color w:val="auto"/>
        </w:rPr>
      </w:pPr>
      <w:r>
        <w:rPr>
          <w:rFonts w:ascii="Arial" w:cs="Arial" w:eastAsia="Arial" w:hAnsi="Arial"/>
          <w:sz w:val="14"/>
          <w:szCs w:val="14"/>
          <w:color w:val="auto"/>
        </w:rPr>
        <w:t xml:space="preserve">Sempra Energy accounts for share-based awards in accordance with SFAS 123 (revised 2004), </w:t>
      </w:r>
      <w:r>
        <w:rPr>
          <w:rFonts w:ascii="Arial" w:cs="Arial" w:eastAsia="Arial" w:hAnsi="Arial"/>
          <w:sz w:val="14"/>
          <w:szCs w:val="14"/>
          <w:i w:val="1"/>
          <w:iCs w:val="1"/>
          <w:color w:val="auto"/>
        </w:rPr>
        <w:t>Share-Based Payment</w:t>
      </w:r>
      <w:r>
        <w:rPr>
          <w:rFonts w:ascii="Arial" w:cs="Arial" w:eastAsia="Arial" w:hAnsi="Arial"/>
          <w:sz w:val="14"/>
          <w:szCs w:val="14"/>
          <w:color w:val="auto"/>
        </w:rPr>
        <w:t xml:space="preserve"> (SFAS 123(R)). SFAS 123 requires that we measure and recognize compensation expense for all share-based payment awards made to our employees and directors based on estimated fair values. We adopted the provisions of SFAS 123(R) on January 1, 2006, using the modified prospective transition method. In accordance with this transition method, Sempra Energy’s consolidated financial statements for prior periods were not restated to reflect the impact of SFAS 123(R). Under the modified prospective transition method, share-based compensation expense for 2006 includes compensation expense for all share-based compensation awards granted prior to, but for which the requisite service had not yet been performed as of January 1, 2006, based on the fair value estimated in accordance with the original provisions of SFAS 123, </w:t>
      </w:r>
      <w:r>
        <w:rPr>
          <w:rFonts w:ascii="Arial" w:cs="Arial" w:eastAsia="Arial" w:hAnsi="Arial"/>
          <w:sz w:val="14"/>
          <w:szCs w:val="14"/>
          <w:i w:val="1"/>
          <w:iCs w:val="1"/>
          <w:color w:val="auto"/>
        </w:rPr>
        <w:t>Accounting for Stock-Based Compensation</w:t>
      </w:r>
      <w:r>
        <w:rPr>
          <w:rFonts w:ascii="Arial" w:cs="Arial" w:eastAsia="Arial" w:hAnsi="Arial"/>
          <w:sz w:val="14"/>
          <w:szCs w:val="14"/>
          <w:color w:val="auto"/>
        </w:rPr>
        <w:t xml:space="preserve"> (SFAS 123).</w:t>
      </w:r>
    </w:p>
    <w:p>
      <w:pPr>
        <w:spacing w:after="0" w:line="22" w:lineRule="exact"/>
        <w:rPr>
          <w:sz w:val="20"/>
          <w:szCs w:val="20"/>
          <w:color w:val="auto"/>
        </w:rPr>
      </w:pPr>
    </w:p>
    <w:p>
      <w:pPr>
        <w:ind w:right="20"/>
        <w:spacing w:after="0" w:line="257" w:lineRule="auto"/>
        <w:rPr>
          <w:sz w:val="20"/>
          <w:szCs w:val="20"/>
          <w:color w:val="auto"/>
        </w:rPr>
      </w:pPr>
      <w:r>
        <w:rPr>
          <w:rFonts w:ascii="Arial" w:cs="Arial" w:eastAsia="Arial" w:hAnsi="Arial"/>
          <w:sz w:val="16"/>
          <w:szCs w:val="16"/>
          <w:color w:val="auto"/>
        </w:rPr>
        <w:t>Share-based compensation expense for all share-based compensation awards granted after January 1, 2006 is based on the grant date fair value estimated in accordance with the provisions of SFAS 123(R). We recognize compensation costs net of an estimated forfeiture rate (based on historical experience) and recognize the compensation costs for non-qualified stock options and restricted shares on a straight-line basis over the requisite service period of the award, which is generally four years. However, in the year that an employee becomes eligible for retirement, the remaining expense related to the employee's awards is recognized immediately. We account for these awards as equity awards in accordance with SFAS 123(R).</w:t>
      </w:r>
    </w:p>
    <w:p>
      <w:pPr>
        <w:spacing w:after="0" w:line="48" w:lineRule="exact"/>
        <w:rPr>
          <w:sz w:val="20"/>
          <w:szCs w:val="20"/>
          <w:color w:val="auto"/>
        </w:rPr>
      </w:pPr>
    </w:p>
    <w:p>
      <w:pPr>
        <w:spacing w:after="0" w:line="277" w:lineRule="auto"/>
        <w:rPr>
          <w:sz w:val="20"/>
          <w:szCs w:val="20"/>
          <w:color w:val="auto"/>
        </w:rPr>
      </w:pPr>
      <w:r>
        <w:rPr>
          <w:rFonts w:ascii="Arial" w:cs="Arial" w:eastAsia="Arial" w:hAnsi="Arial"/>
          <w:sz w:val="16"/>
          <w:szCs w:val="16"/>
          <w:color w:val="auto"/>
        </w:rPr>
        <w:t>As of December 31, 2008, 7,296,239 shares were authorized and available for future grants of share-based awards. Company practice is to satisfy share-based awards by issuing new shares rather than by open-market purchases.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Total share-based compensation expense for all of Sempra Energy’s share-based awards was comprised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1172210</wp:posOffset>
            </wp:positionH>
            <wp:positionV relativeFrom="paragraph">
              <wp:posOffset>196215</wp:posOffset>
            </wp:positionV>
            <wp:extent cx="4912360" cy="24384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4912360" cy="243840"/>
                    </a:xfrm>
                    <a:prstGeom prst="rect">
                      <a:avLst/>
                    </a:prstGeom>
                    <a:noFill/>
                  </pic:spPr>
                </pic:pic>
              </a:graphicData>
            </a:graphic>
          </wp:anchor>
        </w:drawing>
      </w:r>
    </w:p>
    <w:p>
      <w:pPr>
        <w:spacing w:after="0" w:line="297" w:lineRule="exact"/>
        <w:rPr>
          <w:sz w:val="20"/>
          <w:szCs w:val="20"/>
          <w:color w:val="auto"/>
        </w:rPr>
      </w:pPr>
    </w:p>
    <w:p>
      <w:pPr>
        <w:ind w:left="1880"/>
        <w:spacing w:after="0"/>
        <w:rPr>
          <w:sz w:val="20"/>
          <w:szCs w:val="20"/>
          <w:color w:val="auto"/>
        </w:rPr>
      </w:pPr>
      <w:r>
        <w:rPr>
          <w:rFonts w:ascii="Arial" w:cs="Arial" w:eastAsia="Arial" w:hAnsi="Arial"/>
          <w:sz w:val="14"/>
          <w:szCs w:val="14"/>
          <w:b w:val="1"/>
          <w:bCs w:val="1"/>
          <w:color w:val="auto"/>
        </w:rPr>
        <w:t>SHARE-BASED COMPENSATION EXPENSE – SEMPRA ENERGY CONSOLIDATED</w:t>
      </w:r>
    </w:p>
    <w:p>
      <w:pPr>
        <w:spacing w:after="0" w:line="40" w:lineRule="exact"/>
        <w:rPr>
          <w:sz w:val="20"/>
          <w:szCs w:val="20"/>
          <w:color w:val="auto"/>
        </w:rPr>
      </w:pPr>
    </w:p>
    <w:p>
      <w:pPr>
        <w:ind w:left="1880"/>
        <w:spacing w:after="0"/>
        <w:rPr>
          <w:sz w:val="20"/>
          <w:szCs w:val="20"/>
          <w:color w:val="auto"/>
        </w:rPr>
      </w:pPr>
      <w:r>
        <w:rPr>
          <w:rFonts w:ascii="Arial" w:cs="Arial" w:eastAsia="Arial" w:hAnsi="Arial"/>
          <w:sz w:val="13"/>
          <w:szCs w:val="13"/>
          <w:i w:val="1"/>
          <w:iCs w:val="1"/>
          <w:color w:val="auto"/>
        </w:rPr>
        <w:t>(Dollars in millions, except per share amounts)</w:t>
      </w:r>
    </w:p>
    <w:p>
      <w:pPr>
        <w:spacing w:after="0" w:line="67" w:lineRule="exact"/>
        <w:rPr>
          <w:sz w:val="20"/>
          <w:szCs w:val="20"/>
          <w:color w:val="auto"/>
        </w:rPr>
      </w:pPr>
    </w:p>
    <w:tbl>
      <w:tblPr>
        <w:tblLayout w:type="fixed"/>
        <w:tblInd w:w="1840" w:type="dxa"/>
        <w:tblCellMar>
          <w:top w:w="0" w:type="dxa"/>
          <w:left w:w="0" w:type="dxa"/>
          <w:bottom w:w="0" w:type="dxa"/>
          <w:right w:w="0" w:type="dxa"/>
        </w:tblCellMar>
      </w:tblPr>
      <w:tr>
        <w:trPr>
          <w:trHeight w:val="159"/>
        </w:trPr>
        <w:tc>
          <w:tcPr>
            <w:tcW w:w="470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2100" w:type="dxa"/>
            <w:vAlign w:val="bottom"/>
            <w:tcBorders>
              <w:bottom w:val="single" w:sz="8" w:color="auto"/>
            </w:tcBorders>
            <w:gridSpan w:val="6"/>
          </w:tcPr>
          <w:p>
            <w:pPr>
              <w:jc w:val="right"/>
              <w:ind w:right="80"/>
              <w:spacing w:after="0"/>
              <w:rPr>
                <w:sz w:val="20"/>
                <w:szCs w:val="20"/>
                <w:color w:val="auto"/>
              </w:rPr>
            </w:pPr>
            <w:r>
              <w:rPr>
                <w:rFonts w:ascii="Arial" w:cs="Arial" w:eastAsia="Arial" w:hAnsi="Arial"/>
                <w:sz w:val="13"/>
                <w:szCs w:val="13"/>
                <w:color w:val="auto"/>
              </w:rPr>
              <w:t>Years ended December 31,</w:t>
            </w:r>
          </w:p>
        </w:tc>
        <w:tc>
          <w:tcPr>
            <w:tcW w:w="660" w:type="dxa"/>
            <w:vAlign w:val="bottom"/>
            <w:tcBorders>
              <w:bottom w:val="single" w:sz="8" w:color="auto"/>
            </w:tcBorders>
          </w:tcPr>
          <w:p>
            <w:pPr>
              <w:spacing w:after="0"/>
              <w:rPr>
                <w:sz w:val="13"/>
                <w:szCs w:val="13"/>
                <w:color w:val="auto"/>
              </w:rPr>
            </w:pPr>
          </w:p>
        </w:tc>
      </w:tr>
      <w:tr>
        <w:trPr>
          <w:trHeight w:val="208"/>
        </w:trPr>
        <w:tc>
          <w:tcPr>
            <w:tcW w:w="47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230"/>
              <w:spacing w:after="0"/>
              <w:rPr>
                <w:sz w:val="20"/>
                <w:szCs w:val="20"/>
                <w:color w:val="auto"/>
              </w:rPr>
            </w:pPr>
            <w:r>
              <w:rPr>
                <w:rFonts w:ascii="Arial" w:cs="Arial" w:eastAsia="Arial" w:hAnsi="Arial"/>
                <w:sz w:val="13"/>
                <w:szCs w:val="13"/>
                <w:color w:val="auto"/>
              </w:rPr>
              <w:t>2008</w:t>
            </w:r>
          </w:p>
        </w:tc>
        <w:tc>
          <w:tcPr>
            <w:tcW w:w="1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229"/>
              <w:spacing w:after="0"/>
              <w:rPr>
                <w:sz w:val="20"/>
                <w:szCs w:val="20"/>
                <w:color w:val="auto"/>
              </w:rPr>
            </w:pPr>
            <w:r>
              <w:rPr>
                <w:rFonts w:ascii="Arial" w:cs="Arial" w:eastAsia="Arial" w:hAnsi="Arial"/>
                <w:sz w:val="13"/>
                <w:szCs w:val="13"/>
                <w:color w:val="auto"/>
              </w:rPr>
              <w:t>2007</w:t>
            </w:r>
          </w:p>
        </w:tc>
        <w:tc>
          <w:tcPr>
            <w:tcW w:w="1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229"/>
              <w:spacing w:after="0"/>
              <w:rPr>
                <w:sz w:val="20"/>
                <w:szCs w:val="20"/>
                <w:color w:val="auto"/>
              </w:rPr>
            </w:pPr>
            <w:r>
              <w:rPr>
                <w:rFonts w:ascii="Arial" w:cs="Arial" w:eastAsia="Arial" w:hAnsi="Arial"/>
                <w:sz w:val="13"/>
                <w:szCs w:val="13"/>
                <w:color w:val="auto"/>
              </w:rPr>
              <w:t>2006</w:t>
            </w:r>
          </w:p>
        </w:tc>
      </w:tr>
      <w:tr>
        <w:trPr>
          <w:trHeight w:val="207"/>
        </w:trPr>
        <w:tc>
          <w:tcPr>
            <w:tcW w:w="4700" w:type="dxa"/>
            <w:vAlign w:val="bottom"/>
          </w:tcPr>
          <w:p>
            <w:pPr>
              <w:ind w:left="20"/>
              <w:spacing w:after="0"/>
              <w:rPr>
                <w:sz w:val="20"/>
                <w:szCs w:val="20"/>
                <w:color w:val="auto"/>
              </w:rPr>
            </w:pPr>
            <w:r>
              <w:rPr>
                <w:rFonts w:ascii="Arial" w:cs="Arial" w:eastAsia="Arial" w:hAnsi="Arial"/>
                <w:sz w:val="14"/>
                <w:szCs w:val="14"/>
                <w:color w:val="auto"/>
              </w:rPr>
              <w:t>Share-based compensation expense, before income taxes</w:t>
            </w:r>
          </w:p>
        </w:tc>
        <w:tc>
          <w:tcPr>
            <w:tcW w:w="2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130"/>
              <w:spacing w:after="0"/>
              <w:rPr>
                <w:sz w:val="20"/>
                <w:szCs w:val="20"/>
                <w:color w:val="auto"/>
              </w:rPr>
            </w:pPr>
            <w:r>
              <w:rPr>
                <w:rFonts w:ascii="Arial" w:cs="Arial" w:eastAsia="Arial" w:hAnsi="Arial"/>
                <w:sz w:val="14"/>
                <w:szCs w:val="14"/>
                <w:color w:val="auto"/>
              </w:rPr>
              <w:t>44</w:t>
            </w:r>
          </w:p>
        </w:tc>
        <w:tc>
          <w:tcPr>
            <w:tcW w:w="40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129"/>
              <w:spacing w:after="0"/>
              <w:rPr>
                <w:sz w:val="20"/>
                <w:szCs w:val="20"/>
                <w:color w:val="auto"/>
              </w:rPr>
            </w:pPr>
            <w:r>
              <w:rPr>
                <w:rFonts w:ascii="Arial" w:cs="Arial" w:eastAsia="Arial" w:hAnsi="Arial"/>
                <w:sz w:val="14"/>
                <w:szCs w:val="14"/>
                <w:color w:val="auto"/>
              </w:rPr>
              <w:t>45</w:t>
            </w:r>
          </w:p>
        </w:tc>
        <w:tc>
          <w:tcPr>
            <w:tcW w:w="40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129"/>
              <w:spacing w:after="0"/>
              <w:rPr>
                <w:sz w:val="20"/>
                <w:szCs w:val="20"/>
                <w:color w:val="auto"/>
              </w:rPr>
            </w:pPr>
            <w:r>
              <w:rPr>
                <w:rFonts w:ascii="Arial" w:cs="Arial" w:eastAsia="Arial" w:hAnsi="Arial"/>
                <w:sz w:val="14"/>
                <w:szCs w:val="14"/>
                <w:color w:val="auto"/>
              </w:rPr>
              <w:t>42</w:t>
            </w:r>
          </w:p>
        </w:tc>
      </w:tr>
      <w:tr>
        <w:trPr>
          <w:trHeight w:val="222"/>
        </w:trPr>
        <w:tc>
          <w:tcPr>
            <w:tcW w:w="4700" w:type="dxa"/>
            <w:vAlign w:val="bottom"/>
          </w:tcPr>
          <w:p>
            <w:pPr>
              <w:ind w:left="20"/>
              <w:spacing w:after="0"/>
              <w:rPr>
                <w:sz w:val="20"/>
                <w:szCs w:val="20"/>
                <w:color w:val="auto"/>
              </w:rPr>
            </w:pPr>
            <w:r>
              <w:rPr>
                <w:rFonts w:ascii="Arial" w:cs="Arial" w:eastAsia="Arial" w:hAnsi="Arial"/>
                <w:sz w:val="14"/>
                <w:szCs w:val="14"/>
                <w:color w:val="auto"/>
              </w:rPr>
              <w:t>Income tax benefits</w:t>
            </w:r>
          </w:p>
        </w:tc>
        <w:tc>
          <w:tcPr>
            <w:tcW w:w="2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(17 )</w:t>
            </w:r>
          </w:p>
        </w:tc>
        <w:tc>
          <w:tcPr>
            <w:tcW w:w="1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(17 )</w:t>
            </w:r>
          </w:p>
        </w:tc>
        <w:tc>
          <w:tcPr>
            <w:tcW w:w="1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(16 )</w:t>
            </w:r>
          </w:p>
        </w:tc>
      </w:tr>
      <w:tr>
        <w:trPr>
          <w:trHeight w:val="224"/>
        </w:trPr>
        <w:tc>
          <w:tcPr>
            <w:tcW w:w="4700" w:type="dxa"/>
            <w:vAlign w:val="bottom"/>
          </w:tcPr>
          <w:p>
            <w:pPr>
              <w:ind w:left="20"/>
              <w:spacing w:after="0"/>
              <w:rPr>
                <w:sz w:val="20"/>
                <w:szCs w:val="20"/>
                <w:color w:val="auto"/>
              </w:rPr>
            </w:pPr>
            <w:r>
              <w:rPr>
                <w:rFonts w:ascii="Arial" w:cs="Arial" w:eastAsia="Arial" w:hAnsi="Arial"/>
                <w:sz w:val="14"/>
                <w:szCs w:val="14"/>
                <w:color w:val="auto"/>
              </w:rPr>
              <w:t>Share-based compensation expense, net of income taxes</w:t>
            </w:r>
          </w:p>
        </w:tc>
        <w:tc>
          <w:tcPr>
            <w:tcW w:w="2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130"/>
              <w:spacing w:after="0"/>
              <w:rPr>
                <w:sz w:val="20"/>
                <w:szCs w:val="20"/>
                <w:color w:val="auto"/>
              </w:rPr>
            </w:pPr>
            <w:r>
              <w:rPr>
                <w:rFonts w:ascii="Arial" w:cs="Arial" w:eastAsia="Arial" w:hAnsi="Arial"/>
                <w:sz w:val="14"/>
                <w:szCs w:val="14"/>
                <w:color w:val="auto"/>
              </w:rPr>
              <w:t>27</w:t>
            </w:r>
          </w:p>
        </w:tc>
        <w:tc>
          <w:tcPr>
            <w:tcW w:w="40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129"/>
              <w:spacing w:after="0"/>
              <w:rPr>
                <w:sz w:val="20"/>
                <w:szCs w:val="20"/>
                <w:color w:val="auto"/>
              </w:rPr>
            </w:pPr>
            <w:r>
              <w:rPr>
                <w:rFonts w:ascii="Arial" w:cs="Arial" w:eastAsia="Arial" w:hAnsi="Arial"/>
                <w:sz w:val="14"/>
                <w:szCs w:val="14"/>
                <w:color w:val="auto"/>
              </w:rPr>
              <w:t>28</w:t>
            </w:r>
          </w:p>
        </w:tc>
        <w:tc>
          <w:tcPr>
            <w:tcW w:w="40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129"/>
              <w:spacing w:after="0"/>
              <w:rPr>
                <w:sz w:val="20"/>
                <w:szCs w:val="20"/>
                <w:color w:val="auto"/>
              </w:rPr>
            </w:pPr>
            <w:r>
              <w:rPr>
                <w:rFonts w:ascii="Arial" w:cs="Arial" w:eastAsia="Arial" w:hAnsi="Arial"/>
                <w:sz w:val="14"/>
                <w:szCs w:val="14"/>
                <w:color w:val="auto"/>
              </w:rPr>
              <w:t>26</w:t>
            </w:r>
          </w:p>
        </w:tc>
      </w:tr>
      <w:tr>
        <w:trPr>
          <w:trHeight w:val="402"/>
        </w:trPr>
        <w:tc>
          <w:tcPr>
            <w:tcW w:w="4700" w:type="dxa"/>
            <w:vAlign w:val="bottom"/>
          </w:tcPr>
          <w:p>
            <w:pPr>
              <w:ind w:left="20"/>
              <w:spacing w:after="0"/>
              <w:rPr>
                <w:sz w:val="20"/>
                <w:szCs w:val="20"/>
                <w:color w:val="auto"/>
              </w:rPr>
            </w:pPr>
            <w:r>
              <w:rPr>
                <w:rFonts w:ascii="Arial" w:cs="Arial" w:eastAsia="Arial" w:hAnsi="Arial"/>
                <w:sz w:val="14"/>
                <w:szCs w:val="14"/>
                <w:color w:val="auto"/>
              </w:rPr>
              <w:t>Net share-based compensation expense, per common share</w:t>
            </w:r>
          </w:p>
        </w:tc>
        <w:tc>
          <w:tcPr>
            <w:tcW w:w="28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r>
      <w:tr>
        <w:trPr>
          <w:trHeight w:val="216"/>
        </w:trPr>
        <w:tc>
          <w:tcPr>
            <w:tcW w:w="4700" w:type="dxa"/>
            <w:vAlign w:val="bottom"/>
          </w:tcPr>
          <w:p>
            <w:pPr>
              <w:ind w:left="240"/>
              <w:spacing w:after="0"/>
              <w:rPr>
                <w:sz w:val="20"/>
                <w:szCs w:val="20"/>
                <w:color w:val="auto"/>
              </w:rPr>
            </w:pPr>
            <w:r>
              <w:rPr>
                <w:rFonts w:ascii="Arial" w:cs="Arial" w:eastAsia="Arial" w:hAnsi="Arial"/>
                <w:sz w:val="14"/>
                <w:szCs w:val="14"/>
                <w:color w:val="auto"/>
              </w:rPr>
              <w:t>Basic</w:t>
            </w:r>
          </w:p>
        </w:tc>
        <w:tc>
          <w:tcPr>
            <w:tcW w:w="2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130"/>
              <w:spacing w:after="0"/>
              <w:rPr>
                <w:sz w:val="20"/>
                <w:szCs w:val="20"/>
                <w:color w:val="auto"/>
              </w:rPr>
            </w:pPr>
            <w:r>
              <w:rPr>
                <w:rFonts w:ascii="Arial" w:cs="Arial" w:eastAsia="Arial" w:hAnsi="Arial"/>
                <w:sz w:val="14"/>
                <w:szCs w:val="14"/>
                <w:color w:val="auto"/>
              </w:rPr>
              <w:t>0.11</w:t>
            </w:r>
          </w:p>
        </w:tc>
        <w:tc>
          <w:tcPr>
            <w:tcW w:w="40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129"/>
              <w:spacing w:after="0"/>
              <w:rPr>
                <w:sz w:val="20"/>
                <w:szCs w:val="20"/>
                <w:color w:val="auto"/>
              </w:rPr>
            </w:pPr>
            <w:r>
              <w:rPr>
                <w:rFonts w:ascii="Arial" w:cs="Arial" w:eastAsia="Arial" w:hAnsi="Arial"/>
                <w:sz w:val="14"/>
                <w:szCs w:val="14"/>
                <w:color w:val="auto"/>
              </w:rPr>
              <w:t>0.11</w:t>
            </w:r>
          </w:p>
        </w:tc>
        <w:tc>
          <w:tcPr>
            <w:tcW w:w="40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129"/>
              <w:spacing w:after="0"/>
              <w:rPr>
                <w:sz w:val="20"/>
                <w:szCs w:val="20"/>
                <w:color w:val="auto"/>
              </w:rPr>
            </w:pPr>
            <w:r>
              <w:rPr>
                <w:rFonts w:ascii="Arial" w:cs="Arial" w:eastAsia="Arial" w:hAnsi="Arial"/>
                <w:sz w:val="14"/>
                <w:szCs w:val="14"/>
                <w:color w:val="auto"/>
              </w:rPr>
              <w:t>0.10</w:t>
            </w:r>
          </w:p>
        </w:tc>
      </w:tr>
      <w:tr>
        <w:trPr>
          <w:trHeight w:val="250"/>
        </w:trPr>
        <w:tc>
          <w:tcPr>
            <w:tcW w:w="4700" w:type="dxa"/>
            <w:vAlign w:val="bottom"/>
            <w:tcBorders>
              <w:bottom w:val="single" w:sz="8" w:color="DFDFDF"/>
            </w:tcBorders>
          </w:tcPr>
          <w:p>
            <w:pPr>
              <w:ind w:left="240"/>
              <w:spacing w:after="0"/>
              <w:rPr>
                <w:sz w:val="20"/>
                <w:szCs w:val="20"/>
                <w:color w:val="auto"/>
              </w:rPr>
            </w:pPr>
            <w:r>
              <w:rPr>
                <w:rFonts w:ascii="Arial" w:cs="Arial" w:eastAsia="Arial" w:hAnsi="Arial"/>
                <w:sz w:val="14"/>
                <w:szCs w:val="14"/>
                <w:color w:val="auto"/>
              </w:rPr>
              <w:t>Diluted</w:t>
            </w:r>
          </w:p>
        </w:tc>
        <w:tc>
          <w:tcPr>
            <w:tcW w:w="280" w:type="dxa"/>
            <w:vAlign w:val="bottom"/>
            <w:tcBorders>
              <w:bottom w:val="single" w:sz="8" w:color="DFDFDF"/>
            </w:tcBorders>
          </w:tcPr>
          <w:p>
            <w:pPr>
              <w:jc w:val="right"/>
              <w:ind w:right="8"/>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DFDFDF"/>
            </w:tcBorders>
          </w:tcPr>
          <w:p>
            <w:pPr>
              <w:jc w:val="right"/>
              <w:ind w:right="130"/>
              <w:spacing w:after="0"/>
              <w:rPr>
                <w:sz w:val="20"/>
                <w:szCs w:val="20"/>
                <w:color w:val="auto"/>
              </w:rPr>
            </w:pPr>
            <w:r>
              <w:rPr>
                <w:rFonts w:ascii="Arial" w:cs="Arial" w:eastAsia="Arial" w:hAnsi="Arial"/>
                <w:sz w:val="14"/>
                <w:szCs w:val="14"/>
                <w:color w:val="auto"/>
              </w:rPr>
              <w:t>0.11</w:t>
            </w:r>
          </w:p>
        </w:tc>
        <w:tc>
          <w:tcPr>
            <w:tcW w:w="400" w:type="dxa"/>
            <w:vAlign w:val="bottom"/>
            <w:tcBorders>
              <w:bottom w:val="single" w:sz="8" w:color="DFDFDF"/>
            </w:tcBorders>
            <w:gridSpan w:val="2"/>
          </w:tcPr>
          <w:p>
            <w:pPr>
              <w:jc w:val="right"/>
              <w:ind w:right="60"/>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DFDFDF"/>
            </w:tcBorders>
          </w:tcPr>
          <w:p>
            <w:pPr>
              <w:jc w:val="right"/>
              <w:ind w:right="129"/>
              <w:spacing w:after="0"/>
              <w:rPr>
                <w:sz w:val="20"/>
                <w:szCs w:val="20"/>
                <w:color w:val="auto"/>
              </w:rPr>
            </w:pPr>
            <w:r>
              <w:rPr>
                <w:rFonts w:ascii="Arial" w:cs="Arial" w:eastAsia="Arial" w:hAnsi="Arial"/>
                <w:sz w:val="14"/>
                <w:szCs w:val="14"/>
                <w:color w:val="auto"/>
              </w:rPr>
              <w:t>0.11</w:t>
            </w:r>
          </w:p>
        </w:tc>
        <w:tc>
          <w:tcPr>
            <w:tcW w:w="400" w:type="dxa"/>
            <w:vAlign w:val="bottom"/>
            <w:tcBorders>
              <w:bottom w:val="single" w:sz="8" w:color="DFDFDF"/>
            </w:tcBorders>
            <w:gridSpan w:val="2"/>
          </w:tcPr>
          <w:p>
            <w:pPr>
              <w:jc w:val="right"/>
              <w:ind w:right="60"/>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DFDFDF"/>
            </w:tcBorders>
          </w:tcPr>
          <w:p>
            <w:pPr>
              <w:jc w:val="right"/>
              <w:ind w:right="129"/>
              <w:spacing w:after="0"/>
              <w:rPr>
                <w:sz w:val="20"/>
                <w:szCs w:val="20"/>
                <w:color w:val="auto"/>
              </w:rPr>
            </w:pPr>
            <w:r>
              <w:rPr>
                <w:rFonts w:ascii="Arial" w:cs="Arial" w:eastAsia="Arial" w:hAnsi="Arial"/>
                <w:sz w:val="14"/>
                <w:szCs w:val="14"/>
                <w:color w:val="auto"/>
              </w:rPr>
              <w:t>0.10</w:t>
            </w:r>
          </w:p>
        </w:tc>
      </w:tr>
    </w:tbl>
    <w:p>
      <w:pPr>
        <w:spacing w:after="0" w:line="180" w:lineRule="exact"/>
        <w:rPr>
          <w:sz w:val="20"/>
          <w:szCs w:val="20"/>
          <w:color w:val="auto"/>
        </w:rPr>
      </w:pPr>
    </w:p>
    <w:p>
      <w:pPr>
        <w:spacing w:after="0"/>
        <w:rPr>
          <w:sz w:val="20"/>
          <w:szCs w:val="20"/>
          <w:color w:val="auto"/>
        </w:rPr>
      </w:pPr>
      <w:r>
        <w:rPr>
          <w:rFonts w:ascii="Arial" w:cs="Arial" w:eastAsia="Arial" w:hAnsi="Arial"/>
          <w:sz w:val="16"/>
          <w:szCs w:val="16"/>
          <w:color w:val="auto"/>
        </w:rPr>
        <w:t>Sempra Energy’s capitalized compensation cost was $5 million in 2008 and $3 million in each of 2007 and 2006.</w:t>
      </w:r>
    </w:p>
    <w:p>
      <w:pPr>
        <w:spacing w:after="0" w:line="80" w:lineRule="exact"/>
        <w:rPr>
          <w:sz w:val="20"/>
          <w:szCs w:val="20"/>
          <w:color w:val="auto"/>
        </w:rPr>
      </w:pPr>
    </w:p>
    <w:p>
      <w:pPr>
        <w:ind w:right="280"/>
        <w:spacing w:after="0" w:line="277" w:lineRule="auto"/>
        <w:rPr>
          <w:sz w:val="20"/>
          <w:szCs w:val="20"/>
          <w:color w:val="auto"/>
        </w:rPr>
      </w:pPr>
      <w:r>
        <w:rPr>
          <w:rFonts w:ascii="Arial" w:cs="Arial" w:eastAsia="Arial" w:hAnsi="Arial"/>
          <w:sz w:val="16"/>
          <w:szCs w:val="16"/>
          <w:color w:val="auto"/>
        </w:rPr>
        <w:t>The tax benefits resulting from tax deductions in excess of the tax benefit related to compensation cost recognized for stock option exercises are classified as financing cash flows.</w:t>
      </w:r>
    </w:p>
    <w:p>
      <w:pPr>
        <w:spacing w:after="0" w:line="32" w:lineRule="exact"/>
        <w:rPr>
          <w:sz w:val="20"/>
          <w:szCs w:val="20"/>
          <w:color w:val="auto"/>
        </w:rPr>
      </w:pPr>
    </w:p>
    <w:p>
      <w:pPr>
        <w:spacing w:after="0"/>
        <w:rPr>
          <w:sz w:val="20"/>
          <w:szCs w:val="20"/>
          <w:color w:val="auto"/>
        </w:rPr>
      </w:pPr>
      <w:r>
        <w:rPr>
          <w:rFonts w:ascii="Arial" w:cs="Arial" w:eastAsia="Arial" w:hAnsi="Arial"/>
          <w:sz w:val="14"/>
          <w:szCs w:val="14"/>
          <w:color w:val="auto"/>
        </w:rPr>
        <w:t>Sempra Energy subsidiaries record an expense for the plans to the extent that subsidiary employees participate in the plans and/or the subsidiaries are allocated a portion of the</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Sempra Energy plans’ corporate staff costs. Expenses and capitalized compensation cost recorded by SDG&amp;E and SoCalGas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1172210</wp:posOffset>
            </wp:positionH>
            <wp:positionV relativeFrom="paragraph">
              <wp:posOffset>119380</wp:posOffset>
            </wp:positionV>
            <wp:extent cx="4912360" cy="24384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4912360" cy="243840"/>
                    </a:xfrm>
                    <a:prstGeom prst="rect">
                      <a:avLst/>
                    </a:prstGeom>
                    <a:noFill/>
                  </pic:spPr>
                </pic:pic>
              </a:graphicData>
            </a:graphic>
          </wp:anchor>
        </w:drawing>
      </w:r>
    </w:p>
    <w:p>
      <w:pPr>
        <w:spacing w:after="0" w:line="176" w:lineRule="exact"/>
        <w:rPr>
          <w:sz w:val="20"/>
          <w:szCs w:val="20"/>
          <w:color w:val="auto"/>
        </w:rPr>
      </w:pPr>
    </w:p>
    <w:p>
      <w:pPr>
        <w:ind w:left="1880"/>
        <w:spacing w:after="0"/>
        <w:rPr>
          <w:sz w:val="20"/>
          <w:szCs w:val="20"/>
          <w:color w:val="auto"/>
        </w:rPr>
      </w:pPr>
      <w:r>
        <w:rPr>
          <w:rFonts w:ascii="Arial" w:cs="Arial" w:eastAsia="Arial" w:hAnsi="Arial"/>
          <w:sz w:val="14"/>
          <w:szCs w:val="14"/>
          <w:b w:val="1"/>
          <w:bCs w:val="1"/>
          <w:color w:val="auto"/>
        </w:rPr>
        <w:t>SHARE-BASED COMPENSATION – SDG&amp;E AND SOCALGAS</w:t>
      </w:r>
    </w:p>
    <w:p>
      <w:pPr>
        <w:spacing w:after="0" w:line="40" w:lineRule="exact"/>
        <w:rPr>
          <w:sz w:val="20"/>
          <w:szCs w:val="20"/>
          <w:color w:val="auto"/>
        </w:rPr>
      </w:pPr>
    </w:p>
    <w:p>
      <w:pPr>
        <w:ind w:left="1880"/>
        <w:spacing w:after="0"/>
        <w:rPr>
          <w:sz w:val="20"/>
          <w:szCs w:val="20"/>
          <w:color w:val="auto"/>
        </w:rPr>
      </w:pPr>
      <w:r>
        <w:rPr>
          <w:rFonts w:ascii="Arial" w:cs="Arial" w:eastAsia="Arial" w:hAnsi="Arial"/>
          <w:sz w:val="13"/>
          <w:szCs w:val="13"/>
          <w:i w:val="1"/>
          <w:iCs w:val="1"/>
          <w:color w:val="auto"/>
        </w:rPr>
        <w:t>(Dollars in millions)</w:t>
      </w:r>
    </w:p>
    <w:p>
      <w:pPr>
        <w:spacing w:after="0" w:line="67" w:lineRule="exact"/>
        <w:rPr>
          <w:sz w:val="20"/>
          <w:szCs w:val="20"/>
          <w:color w:val="auto"/>
        </w:rPr>
      </w:pPr>
    </w:p>
    <w:tbl>
      <w:tblPr>
        <w:tblLayout w:type="fixed"/>
        <w:tblInd w:w="1840" w:type="dxa"/>
        <w:tblCellMar>
          <w:top w:w="0" w:type="dxa"/>
          <w:left w:w="0" w:type="dxa"/>
          <w:bottom w:w="0" w:type="dxa"/>
          <w:right w:w="0" w:type="dxa"/>
        </w:tblCellMar>
      </w:tblPr>
      <w:tr>
        <w:trPr>
          <w:trHeight w:val="159"/>
        </w:trPr>
        <w:tc>
          <w:tcPr>
            <w:tcW w:w="534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2240" w:type="dxa"/>
            <w:vAlign w:val="bottom"/>
            <w:tcBorders>
              <w:bottom w:val="single" w:sz="8" w:color="auto"/>
            </w:tcBorders>
            <w:gridSpan w:val="5"/>
          </w:tcPr>
          <w:p>
            <w:pPr>
              <w:jc w:val="right"/>
              <w:ind w:right="350"/>
              <w:spacing w:after="0"/>
              <w:rPr>
                <w:sz w:val="20"/>
                <w:szCs w:val="20"/>
                <w:color w:val="auto"/>
              </w:rPr>
            </w:pPr>
            <w:r>
              <w:rPr>
                <w:rFonts w:ascii="Arial" w:cs="Arial" w:eastAsia="Arial" w:hAnsi="Arial"/>
                <w:sz w:val="13"/>
                <w:szCs w:val="13"/>
                <w:color w:val="auto"/>
              </w:rPr>
              <w:t>Years ended December 31,</w:t>
            </w:r>
          </w:p>
        </w:tc>
      </w:tr>
      <w:tr>
        <w:trPr>
          <w:trHeight w:val="208"/>
        </w:trPr>
        <w:tc>
          <w:tcPr>
            <w:tcW w:w="53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ind w:right="191"/>
              <w:spacing w:after="0"/>
              <w:rPr>
                <w:sz w:val="20"/>
                <w:szCs w:val="20"/>
                <w:color w:val="auto"/>
              </w:rPr>
            </w:pPr>
            <w:r>
              <w:rPr>
                <w:rFonts w:ascii="Arial" w:cs="Arial" w:eastAsia="Arial" w:hAnsi="Arial"/>
                <w:sz w:val="13"/>
                <w:szCs w:val="13"/>
                <w:color w:val="auto"/>
                <w:w w:val="89"/>
              </w:rPr>
              <w:t>2008</w:t>
            </w:r>
          </w:p>
        </w:tc>
        <w:tc>
          <w:tcPr>
            <w:tcW w:w="3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ind w:right="170"/>
              <w:spacing w:after="0"/>
              <w:rPr>
                <w:sz w:val="20"/>
                <w:szCs w:val="20"/>
                <w:color w:val="auto"/>
              </w:rPr>
            </w:pPr>
            <w:r>
              <w:rPr>
                <w:rFonts w:ascii="Arial" w:cs="Arial" w:eastAsia="Arial" w:hAnsi="Arial"/>
                <w:sz w:val="13"/>
                <w:szCs w:val="13"/>
                <w:color w:val="auto"/>
                <w:w w:val="96"/>
              </w:rPr>
              <w:t>2007</w:t>
            </w:r>
          </w:p>
        </w:tc>
        <w:tc>
          <w:tcPr>
            <w:tcW w:w="36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ind w:right="90"/>
              <w:spacing w:after="0"/>
              <w:rPr>
                <w:sz w:val="20"/>
                <w:szCs w:val="20"/>
                <w:color w:val="auto"/>
              </w:rPr>
            </w:pPr>
            <w:r>
              <w:rPr>
                <w:rFonts w:ascii="Arial" w:cs="Arial" w:eastAsia="Arial" w:hAnsi="Arial"/>
                <w:sz w:val="13"/>
                <w:szCs w:val="13"/>
                <w:color w:val="auto"/>
                <w:w w:val="96"/>
              </w:rPr>
              <w:t>2006</w:t>
            </w:r>
          </w:p>
        </w:tc>
      </w:tr>
      <w:tr>
        <w:trPr>
          <w:trHeight w:val="207"/>
        </w:trPr>
        <w:tc>
          <w:tcPr>
            <w:tcW w:w="5340" w:type="dxa"/>
            <w:vAlign w:val="bottom"/>
          </w:tcPr>
          <w:p>
            <w:pPr>
              <w:ind w:left="20"/>
              <w:spacing w:after="0"/>
              <w:rPr>
                <w:sz w:val="20"/>
                <w:szCs w:val="20"/>
                <w:color w:val="auto"/>
              </w:rPr>
            </w:pPr>
            <w:r>
              <w:rPr>
                <w:rFonts w:ascii="Arial" w:cs="Arial" w:eastAsia="Arial" w:hAnsi="Arial"/>
                <w:sz w:val="14"/>
                <w:szCs w:val="14"/>
                <w:color w:val="auto"/>
              </w:rPr>
              <w:t>SDG&amp;E</w:t>
            </w: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60" w:type="dxa"/>
            <w:vAlign w:val="bottom"/>
          </w:tcPr>
          <w:p>
            <w:pPr>
              <w:spacing w:after="0"/>
              <w:rPr>
                <w:sz w:val="18"/>
                <w:szCs w:val="18"/>
                <w:color w:val="auto"/>
              </w:rPr>
            </w:pPr>
          </w:p>
        </w:tc>
      </w:tr>
      <w:tr>
        <w:trPr>
          <w:trHeight w:val="216"/>
        </w:trPr>
        <w:tc>
          <w:tcPr>
            <w:tcW w:w="5340" w:type="dxa"/>
            <w:vAlign w:val="bottom"/>
          </w:tcPr>
          <w:p>
            <w:pPr>
              <w:ind w:left="240"/>
              <w:spacing w:after="0"/>
              <w:rPr>
                <w:sz w:val="20"/>
                <w:szCs w:val="20"/>
                <w:color w:val="auto"/>
              </w:rPr>
            </w:pPr>
            <w:r>
              <w:rPr>
                <w:rFonts w:ascii="Arial" w:cs="Arial" w:eastAsia="Arial" w:hAnsi="Arial"/>
                <w:sz w:val="14"/>
                <w:szCs w:val="14"/>
                <w:color w:val="auto"/>
              </w:rPr>
              <w:t>Compensation expense</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540" w:type="dxa"/>
            <w:vAlign w:val="bottom"/>
          </w:tcPr>
          <w:p>
            <w:pPr>
              <w:jc w:val="right"/>
              <w:ind w:right="191"/>
              <w:spacing w:after="0"/>
              <w:rPr>
                <w:sz w:val="20"/>
                <w:szCs w:val="20"/>
                <w:color w:val="auto"/>
              </w:rPr>
            </w:pPr>
            <w:r>
              <w:rPr>
                <w:rFonts w:ascii="Arial" w:cs="Arial" w:eastAsia="Arial" w:hAnsi="Arial"/>
                <w:sz w:val="14"/>
                <w:szCs w:val="14"/>
                <w:color w:val="auto"/>
              </w:rPr>
              <w:t>8</w:t>
            </w:r>
          </w:p>
        </w:tc>
        <w:tc>
          <w:tcPr>
            <w:tcW w:w="340" w:type="dxa"/>
            <w:vAlign w:val="bottom"/>
          </w:tcPr>
          <w:p>
            <w:pPr>
              <w:jc w:val="right"/>
              <w:spacing w:after="0"/>
              <w:rPr>
                <w:sz w:val="20"/>
                <w:szCs w:val="20"/>
                <w:color w:val="auto"/>
              </w:rPr>
            </w:pPr>
            <w:r>
              <w:rPr>
                <w:rFonts w:ascii="Arial" w:cs="Arial" w:eastAsia="Arial" w:hAnsi="Arial"/>
                <w:sz w:val="14"/>
                <w:szCs w:val="14"/>
                <w:color w:val="auto"/>
              </w:rPr>
              <w:t>$</w:t>
            </w:r>
          </w:p>
        </w:tc>
        <w:tc>
          <w:tcPr>
            <w:tcW w:w="540" w:type="dxa"/>
            <w:vAlign w:val="bottom"/>
          </w:tcPr>
          <w:p>
            <w:pPr>
              <w:jc w:val="right"/>
              <w:ind w:right="190"/>
              <w:spacing w:after="0"/>
              <w:rPr>
                <w:sz w:val="20"/>
                <w:szCs w:val="20"/>
                <w:color w:val="auto"/>
              </w:rPr>
            </w:pPr>
            <w:r>
              <w:rPr>
                <w:rFonts w:ascii="Arial" w:cs="Arial" w:eastAsia="Arial" w:hAnsi="Arial"/>
                <w:sz w:val="14"/>
                <w:szCs w:val="14"/>
                <w:color w:val="auto"/>
              </w:rPr>
              <w:t>6</w:t>
            </w:r>
          </w:p>
        </w:tc>
        <w:tc>
          <w:tcPr>
            <w:tcW w:w="360" w:type="dxa"/>
            <w:vAlign w:val="bottom"/>
          </w:tcPr>
          <w:p>
            <w:pPr>
              <w:jc w:val="right"/>
              <w:spacing w:after="0"/>
              <w:rPr>
                <w:sz w:val="20"/>
                <w:szCs w:val="20"/>
                <w:color w:val="auto"/>
              </w:rPr>
            </w:pPr>
            <w:r>
              <w:rPr>
                <w:rFonts w:ascii="Arial" w:cs="Arial" w:eastAsia="Arial" w:hAnsi="Arial"/>
                <w:sz w:val="14"/>
                <w:szCs w:val="14"/>
                <w:color w:val="auto"/>
              </w:rPr>
              <w:t>$</w:t>
            </w:r>
          </w:p>
        </w:tc>
        <w:tc>
          <w:tcPr>
            <w:tcW w:w="460" w:type="dxa"/>
            <w:vAlign w:val="bottom"/>
          </w:tcPr>
          <w:p>
            <w:pPr>
              <w:jc w:val="right"/>
              <w:ind w:right="130"/>
              <w:spacing w:after="0"/>
              <w:rPr>
                <w:sz w:val="20"/>
                <w:szCs w:val="20"/>
                <w:color w:val="auto"/>
              </w:rPr>
            </w:pPr>
            <w:r>
              <w:rPr>
                <w:rFonts w:ascii="Arial" w:cs="Arial" w:eastAsia="Arial" w:hAnsi="Arial"/>
                <w:sz w:val="14"/>
                <w:szCs w:val="14"/>
                <w:color w:val="auto"/>
              </w:rPr>
              <w:t>7</w:t>
            </w:r>
          </w:p>
        </w:tc>
      </w:tr>
      <w:tr>
        <w:trPr>
          <w:trHeight w:val="216"/>
        </w:trPr>
        <w:tc>
          <w:tcPr>
            <w:tcW w:w="5340" w:type="dxa"/>
            <w:vAlign w:val="bottom"/>
          </w:tcPr>
          <w:p>
            <w:pPr>
              <w:ind w:left="240"/>
              <w:spacing w:after="0"/>
              <w:rPr>
                <w:sz w:val="20"/>
                <w:szCs w:val="20"/>
                <w:color w:val="auto"/>
              </w:rPr>
            </w:pPr>
            <w:r>
              <w:rPr>
                <w:rFonts w:ascii="Arial" w:cs="Arial" w:eastAsia="Arial" w:hAnsi="Arial"/>
                <w:sz w:val="14"/>
                <w:szCs w:val="14"/>
                <w:color w:val="auto"/>
              </w:rPr>
              <w:t>Capitalized compensation cost</w:t>
            </w:r>
          </w:p>
        </w:tc>
        <w:tc>
          <w:tcPr>
            <w:tcW w:w="160" w:type="dxa"/>
            <w:vAlign w:val="bottom"/>
          </w:tcPr>
          <w:p>
            <w:pPr>
              <w:spacing w:after="0"/>
              <w:rPr>
                <w:sz w:val="18"/>
                <w:szCs w:val="18"/>
                <w:color w:val="auto"/>
              </w:rPr>
            </w:pPr>
          </w:p>
        </w:tc>
        <w:tc>
          <w:tcPr>
            <w:tcW w:w="540" w:type="dxa"/>
            <w:vAlign w:val="bottom"/>
          </w:tcPr>
          <w:p>
            <w:pPr>
              <w:jc w:val="right"/>
              <w:ind w:right="191"/>
              <w:spacing w:after="0"/>
              <w:rPr>
                <w:sz w:val="20"/>
                <w:szCs w:val="20"/>
                <w:color w:val="auto"/>
              </w:rPr>
            </w:pPr>
            <w:r>
              <w:rPr>
                <w:rFonts w:ascii="Arial" w:cs="Arial" w:eastAsia="Arial" w:hAnsi="Arial"/>
                <w:sz w:val="14"/>
                <w:szCs w:val="14"/>
                <w:color w:val="auto"/>
              </w:rPr>
              <w:t>3</w:t>
            </w:r>
          </w:p>
        </w:tc>
        <w:tc>
          <w:tcPr>
            <w:tcW w:w="340" w:type="dxa"/>
            <w:vAlign w:val="bottom"/>
          </w:tcPr>
          <w:p>
            <w:pPr>
              <w:spacing w:after="0"/>
              <w:rPr>
                <w:sz w:val="18"/>
                <w:szCs w:val="18"/>
                <w:color w:val="auto"/>
              </w:rPr>
            </w:pPr>
          </w:p>
        </w:tc>
        <w:tc>
          <w:tcPr>
            <w:tcW w:w="540" w:type="dxa"/>
            <w:vAlign w:val="bottom"/>
          </w:tcPr>
          <w:p>
            <w:pPr>
              <w:jc w:val="right"/>
              <w:ind w:right="190"/>
              <w:spacing w:after="0"/>
              <w:rPr>
                <w:sz w:val="20"/>
                <w:szCs w:val="20"/>
                <w:color w:val="auto"/>
              </w:rPr>
            </w:pPr>
            <w:r>
              <w:rPr>
                <w:rFonts w:ascii="Arial" w:cs="Arial" w:eastAsia="Arial" w:hAnsi="Arial"/>
                <w:sz w:val="14"/>
                <w:szCs w:val="14"/>
                <w:color w:val="auto"/>
              </w:rPr>
              <w:t>2</w:t>
            </w:r>
          </w:p>
        </w:tc>
        <w:tc>
          <w:tcPr>
            <w:tcW w:w="360" w:type="dxa"/>
            <w:vAlign w:val="bottom"/>
          </w:tcPr>
          <w:p>
            <w:pPr>
              <w:spacing w:after="0"/>
              <w:rPr>
                <w:sz w:val="18"/>
                <w:szCs w:val="18"/>
                <w:color w:val="auto"/>
              </w:rPr>
            </w:pPr>
          </w:p>
        </w:tc>
        <w:tc>
          <w:tcPr>
            <w:tcW w:w="460" w:type="dxa"/>
            <w:vAlign w:val="bottom"/>
          </w:tcPr>
          <w:p>
            <w:pPr>
              <w:jc w:val="right"/>
              <w:ind w:right="130"/>
              <w:spacing w:after="0"/>
              <w:rPr>
                <w:sz w:val="20"/>
                <w:szCs w:val="20"/>
                <w:color w:val="auto"/>
              </w:rPr>
            </w:pPr>
            <w:r>
              <w:rPr>
                <w:rFonts w:ascii="Arial" w:cs="Arial" w:eastAsia="Arial" w:hAnsi="Arial"/>
                <w:sz w:val="14"/>
                <w:szCs w:val="14"/>
                <w:color w:val="auto"/>
              </w:rPr>
              <w:t>2</w:t>
            </w:r>
          </w:p>
        </w:tc>
      </w:tr>
      <w:tr>
        <w:trPr>
          <w:trHeight w:val="216"/>
        </w:trPr>
        <w:tc>
          <w:tcPr>
            <w:tcW w:w="5340" w:type="dxa"/>
            <w:vAlign w:val="bottom"/>
          </w:tcPr>
          <w:p>
            <w:pPr>
              <w:ind w:left="20"/>
              <w:spacing w:after="0"/>
              <w:rPr>
                <w:sz w:val="20"/>
                <w:szCs w:val="20"/>
                <w:color w:val="auto"/>
              </w:rPr>
            </w:pPr>
            <w:r>
              <w:rPr>
                <w:rFonts w:ascii="Arial" w:cs="Arial" w:eastAsia="Arial" w:hAnsi="Arial"/>
                <w:sz w:val="14"/>
                <w:szCs w:val="14"/>
                <w:color w:val="auto"/>
              </w:rPr>
              <w:t>SoCalGas</w:t>
            </w: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60" w:type="dxa"/>
            <w:vAlign w:val="bottom"/>
          </w:tcPr>
          <w:p>
            <w:pPr>
              <w:spacing w:after="0"/>
              <w:rPr>
                <w:sz w:val="18"/>
                <w:szCs w:val="18"/>
                <w:color w:val="auto"/>
              </w:rPr>
            </w:pPr>
          </w:p>
        </w:tc>
      </w:tr>
      <w:tr>
        <w:trPr>
          <w:trHeight w:val="216"/>
        </w:trPr>
        <w:tc>
          <w:tcPr>
            <w:tcW w:w="5340" w:type="dxa"/>
            <w:vAlign w:val="bottom"/>
          </w:tcPr>
          <w:p>
            <w:pPr>
              <w:ind w:left="240"/>
              <w:spacing w:after="0"/>
              <w:rPr>
                <w:sz w:val="20"/>
                <w:szCs w:val="20"/>
                <w:color w:val="auto"/>
              </w:rPr>
            </w:pPr>
            <w:r>
              <w:rPr>
                <w:rFonts w:ascii="Arial" w:cs="Arial" w:eastAsia="Arial" w:hAnsi="Arial"/>
                <w:sz w:val="14"/>
                <w:szCs w:val="14"/>
                <w:color w:val="auto"/>
              </w:rPr>
              <w:t>Compensation expense</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540" w:type="dxa"/>
            <w:vAlign w:val="bottom"/>
          </w:tcPr>
          <w:p>
            <w:pPr>
              <w:jc w:val="right"/>
              <w:ind w:right="191"/>
              <w:spacing w:after="0"/>
              <w:rPr>
                <w:sz w:val="20"/>
                <w:szCs w:val="20"/>
                <w:color w:val="auto"/>
              </w:rPr>
            </w:pPr>
            <w:r>
              <w:rPr>
                <w:rFonts w:ascii="Arial" w:cs="Arial" w:eastAsia="Arial" w:hAnsi="Arial"/>
                <w:sz w:val="14"/>
                <w:szCs w:val="14"/>
                <w:color w:val="auto"/>
              </w:rPr>
              <w:t>9</w:t>
            </w:r>
          </w:p>
        </w:tc>
        <w:tc>
          <w:tcPr>
            <w:tcW w:w="340" w:type="dxa"/>
            <w:vAlign w:val="bottom"/>
          </w:tcPr>
          <w:p>
            <w:pPr>
              <w:jc w:val="right"/>
              <w:spacing w:after="0"/>
              <w:rPr>
                <w:sz w:val="20"/>
                <w:szCs w:val="20"/>
                <w:color w:val="auto"/>
              </w:rPr>
            </w:pPr>
            <w:r>
              <w:rPr>
                <w:rFonts w:ascii="Arial" w:cs="Arial" w:eastAsia="Arial" w:hAnsi="Arial"/>
                <w:sz w:val="14"/>
                <w:szCs w:val="14"/>
                <w:color w:val="auto"/>
              </w:rPr>
              <w:t>$</w:t>
            </w:r>
          </w:p>
        </w:tc>
        <w:tc>
          <w:tcPr>
            <w:tcW w:w="540" w:type="dxa"/>
            <w:vAlign w:val="bottom"/>
          </w:tcPr>
          <w:p>
            <w:pPr>
              <w:jc w:val="right"/>
              <w:ind w:right="190"/>
              <w:spacing w:after="0"/>
              <w:rPr>
                <w:sz w:val="20"/>
                <w:szCs w:val="20"/>
                <w:color w:val="auto"/>
              </w:rPr>
            </w:pPr>
            <w:r>
              <w:rPr>
                <w:rFonts w:ascii="Arial" w:cs="Arial" w:eastAsia="Arial" w:hAnsi="Arial"/>
                <w:sz w:val="14"/>
                <w:szCs w:val="14"/>
                <w:color w:val="auto"/>
              </w:rPr>
              <w:t>8</w:t>
            </w:r>
          </w:p>
        </w:tc>
        <w:tc>
          <w:tcPr>
            <w:tcW w:w="360" w:type="dxa"/>
            <w:vAlign w:val="bottom"/>
          </w:tcPr>
          <w:p>
            <w:pPr>
              <w:jc w:val="right"/>
              <w:spacing w:after="0"/>
              <w:rPr>
                <w:sz w:val="20"/>
                <w:szCs w:val="20"/>
                <w:color w:val="auto"/>
              </w:rPr>
            </w:pPr>
            <w:r>
              <w:rPr>
                <w:rFonts w:ascii="Arial" w:cs="Arial" w:eastAsia="Arial" w:hAnsi="Arial"/>
                <w:sz w:val="14"/>
                <w:szCs w:val="14"/>
                <w:color w:val="auto"/>
              </w:rPr>
              <w:t>$</w:t>
            </w:r>
          </w:p>
        </w:tc>
        <w:tc>
          <w:tcPr>
            <w:tcW w:w="460" w:type="dxa"/>
            <w:vAlign w:val="bottom"/>
          </w:tcPr>
          <w:p>
            <w:pPr>
              <w:jc w:val="right"/>
              <w:ind w:right="130"/>
              <w:spacing w:after="0"/>
              <w:rPr>
                <w:sz w:val="20"/>
                <w:szCs w:val="20"/>
                <w:color w:val="auto"/>
              </w:rPr>
            </w:pPr>
            <w:r>
              <w:rPr>
                <w:rFonts w:ascii="Arial" w:cs="Arial" w:eastAsia="Arial" w:hAnsi="Arial"/>
                <w:sz w:val="14"/>
                <w:szCs w:val="14"/>
                <w:color w:val="auto"/>
              </w:rPr>
              <w:t>10</w:t>
            </w:r>
          </w:p>
        </w:tc>
      </w:tr>
      <w:tr>
        <w:trPr>
          <w:trHeight w:val="250"/>
        </w:trPr>
        <w:tc>
          <w:tcPr>
            <w:tcW w:w="5340" w:type="dxa"/>
            <w:vAlign w:val="bottom"/>
            <w:tcBorders>
              <w:bottom w:val="single" w:sz="8" w:color="DFDFDF"/>
            </w:tcBorders>
          </w:tcPr>
          <w:p>
            <w:pPr>
              <w:ind w:left="240"/>
              <w:spacing w:after="0"/>
              <w:rPr>
                <w:sz w:val="20"/>
                <w:szCs w:val="20"/>
                <w:color w:val="auto"/>
              </w:rPr>
            </w:pPr>
            <w:r>
              <w:rPr>
                <w:rFonts w:ascii="Arial" w:cs="Arial" w:eastAsia="Arial" w:hAnsi="Arial"/>
                <w:sz w:val="14"/>
                <w:szCs w:val="14"/>
                <w:color w:val="auto"/>
              </w:rPr>
              <w:t>Capitalized compensation cost</w:t>
            </w:r>
          </w:p>
        </w:tc>
        <w:tc>
          <w:tcPr>
            <w:tcW w:w="160" w:type="dxa"/>
            <w:vAlign w:val="bottom"/>
            <w:tcBorders>
              <w:bottom w:val="single" w:sz="8" w:color="DFDFDF"/>
            </w:tcBorders>
          </w:tcPr>
          <w:p>
            <w:pPr>
              <w:spacing w:after="0"/>
              <w:rPr>
                <w:sz w:val="21"/>
                <w:szCs w:val="21"/>
                <w:color w:val="auto"/>
              </w:rPr>
            </w:pPr>
          </w:p>
        </w:tc>
        <w:tc>
          <w:tcPr>
            <w:tcW w:w="540" w:type="dxa"/>
            <w:vAlign w:val="bottom"/>
            <w:tcBorders>
              <w:bottom w:val="single" w:sz="8" w:color="DFDFDF"/>
            </w:tcBorders>
          </w:tcPr>
          <w:p>
            <w:pPr>
              <w:jc w:val="right"/>
              <w:ind w:right="191"/>
              <w:spacing w:after="0"/>
              <w:rPr>
                <w:sz w:val="20"/>
                <w:szCs w:val="20"/>
                <w:color w:val="auto"/>
              </w:rPr>
            </w:pPr>
            <w:r>
              <w:rPr>
                <w:rFonts w:ascii="Arial" w:cs="Arial" w:eastAsia="Arial" w:hAnsi="Arial"/>
                <w:sz w:val="14"/>
                <w:szCs w:val="14"/>
                <w:color w:val="auto"/>
              </w:rPr>
              <w:t>2</w:t>
            </w:r>
          </w:p>
        </w:tc>
        <w:tc>
          <w:tcPr>
            <w:tcW w:w="340" w:type="dxa"/>
            <w:vAlign w:val="bottom"/>
            <w:tcBorders>
              <w:bottom w:val="single" w:sz="8" w:color="DFDFDF"/>
            </w:tcBorders>
          </w:tcPr>
          <w:p>
            <w:pPr>
              <w:spacing w:after="0"/>
              <w:rPr>
                <w:sz w:val="21"/>
                <w:szCs w:val="21"/>
                <w:color w:val="auto"/>
              </w:rPr>
            </w:pPr>
          </w:p>
        </w:tc>
        <w:tc>
          <w:tcPr>
            <w:tcW w:w="540" w:type="dxa"/>
            <w:vAlign w:val="bottom"/>
            <w:tcBorders>
              <w:bottom w:val="single" w:sz="8" w:color="DFDFDF"/>
            </w:tcBorders>
          </w:tcPr>
          <w:p>
            <w:pPr>
              <w:jc w:val="right"/>
              <w:ind w:right="190"/>
              <w:spacing w:after="0"/>
              <w:rPr>
                <w:sz w:val="20"/>
                <w:szCs w:val="20"/>
                <w:color w:val="auto"/>
              </w:rPr>
            </w:pPr>
            <w:r>
              <w:rPr>
                <w:rFonts w:ascii="Arial" w:cs="Arial" w:eastAsia="Arial" w:hAnsi="Arial"/>
                <w:sz w:val="14"/>
                <w:szCs w:val="14"/>
                <w:color w:val="auto"/>
              </w:rPr>
              <w:t>1</w:t>
            </w:r>
          </w:p>
        </w:tc>
        <w:tc>
          <w:tcPr>
            <w:tcW w:w="360" w:type="dxa"/>
            <w:vAlign w:val="bottom"/>
            <w:tcBorders>
              <w:bottom w:val="single" w:sz="8" w:color="DFDFDF"/>
            </w:tcBorders>
          </w:tcPr>
          <w:p>
            <w:pPr>
              <w:spacing w:after="0"/>
              <w:rPr>
                <w:sz w:val="21"/>
                <w:szCs w:val="21"/>
                <w:color w:val="auto"/>
              </w:rPr>
            </w:pPr>
          </w:p>
        </w:tc>
        <w:tc>
          <w:tcPr>
            <w:tcW w:w="460" w:type="dxa"/>
            <w:vAlign w:val="bottom"/>
            <w:tcBorders>
              <w:bottom w:val="single" w:sz="8" w:color="DFDFDF"/>
            </w:tcBorders>
          </w:tcPr>
          <w:p>
            <w:pPr>
              <w:jc w:val="right"/>
              <w:ind w:right="130"/>
              <w:spacing w:after="0"/>
              <w:rPr>
                <w:sz w:val="20"/>
                <w:szCs w:val="20"/>
                <w:color w:val="auto"/>
              </w:rPr>
            </w:pPr>
            <w:r>
              <w:rPr>
                <w:rFonts w:ascii="Arial" w:cs="Arial" w:eastAsia="Arial" w:hAnsi="Arial"/>
                <w:sz w:val="14"/>
                <w:szCs w:val="14"/>
                <w:color w:val="auto"/>
              </w:rPr>
              <w:t>1</w:t>
            </w:r>
          </w:p>
        </w:tc>
      </w:tr>
    </w:tbl>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14"/>
          <w:szCs w:val="14"/>
          <w:color w:val="auto"/>
        </w:rPr>
        <w:t>150</w:t>
      </w:r>
    </w:p>
    <w:p>
      <w:pPr>
        <w:sectPr>
          <w:pgSz w:w="11900" w:h="16838" w:orient="portrait"/>
          <w:cols w:equalWidth="0" w:num="1">
            <w:col w:w="11300"/>
          </w:cols>
          <w:pgMar w:left="240" w:top="396" w:right="359" w:bottom="1440" w:gutter="0" w:footer="0" w:header="0"/>
        </w:sectPr>
      </w:pPr>
    </w:p>
    <w:bookmarkStart w:id="290" w:name="page291"/>
    <w:bookmarkEnd w:id="290"/>
    <w:p>
      <w:pPr>
        <w:ind w:left="4"/>
        <w:spacing w:after="0"/>
        <w:rPr>
          <w:sz w:val="20"/>
          <w:szCs w:val="20"/>
          <w:color w:val="auto"/>
        </w:rPr>
      </w:pPr>
      <w:r>
        <w:rPr>
          <w:rFonts w:ascii="Arial" w:cs="Arial" w:eastAsia="Arial" w:hAnsi="Arial"/>
          <w:sz w:val="16"/>
          <w:szCs w:val="16"/>
          <w:b w:val="1"/>
          <w:bCs w:val="1"/>
          <w:color w:val="auto"/>
        </w:rPr>
        <w:t>SEMPRA ENERGY NON-QUALIFIED STOCK OPTIONS</w:t>
      </w:r>
    </w:p>
    <w:p>
      <w:pPr>
        <w:spacing w:after="0" w:line="89" w:lineRule="exact"/>
        <w:rPr>
          <w:sz w:val="20"/>
          <w:szCs w:val="20"/>
          <w:color w:val="auto"/>
        </w:rPr>
      </w:pPr>
    </w:p>
    <w:p>
      <w:pPr>
        <w:jc w:val="both"/>
        <w:ind w:left="4"/>
        <w:spacing w:after="0" w:line="308" w:lineRule="auto"/>
        <w:rPr>
          <w:sz w:val="20"/>
          <w:szCs w:val="20"/>
          <w:color w:val="auto"/>
        </w:rPr>
      </w:pPr>
      <w:r>
        <w:rPr>
          <w:rFonts w:ascii="Arial" w:cs="Arial" w:eastAsia="Arial" w:hAnsi="Arial"/>
          <w:sz w:val="14"/>
          <w:szCs w:val="14"/>
          <w:color w:val="auto"/>
        </w:rPr>
        <w:t>We use a Black-Scholes option-pricing model (Black-Scholes model) to estimate the fair value of each non-qualified stock option grant. The use of a valuation model requires us to make certain assumptions about selected model inputs. Expected volatility is calculated based on the historical volatility of Sempra Energy’s stock price. We based the average expected life for options issued in 2008 on the contractual term of the option and expected employee exercise and post-termination behavior. We developed the average expected life for options issued in prior years using the simplified approach in accordance with Securities and Exchange Commission Staff Accounting Bulletin 107 (SAB 107).</w:t>
      </w:r>
    </w:p>
    <w:p>
      <w:pPr>
        <w:spacing w:after="0" w:line="14" w:lineRule="exact"/>
        <w:rPr>
          <w:sz w:val="20"/>
          <w:szCs w:val="20"/>
          <w:color w:val="auto"/>
        </w:rPr>
      </w:pPr>
    </w:p>
    <w:p>
      <w:pPr>
        <w:ind w:left="4" w:right="140"/>
        <w:spacing w:after="0" w:line="264" w:lineRule="auto"/>
        <w:rPr>
          <w:sz w:val="20"/>
          <w:szCs w:val="20"/>
          <w:color w:val="auto"/>
        </w:rPr>
      </w:pPr>
      <w:r>
        <w:rPr>
          <w:rFonts w:ascii="Arial" w:cs="Arial" w:eastAsia="Arial" w:hAnsi="Arial"/>
          <w:sz w:val="16"/>
          <w:szCs w:val="16"/>
          <w:color w:val="auto"/>
        </w:rPr>
        <w:t>The risk-free interest rate is based on U.S. Treasury zero-coupon issues with a remaining term equal to the expected life assumed at the date of the grant. The weighted-average per-share fair values for options granted were $12.53 in 2008, $13.82 in 2007 and $10.75 in 2006. To calculate these fair values, we use the Black-Scholes model with the following weighted-average assumptions:</w:t>
      </w:r>
    </w:p>
    <w:p>
      <w:pPr>
        <w:spacing w:after="0" w:line="130" w:lineRule="exact"/>
        <w:rPr>
          <w:sz w:val="20"/>
          <w:szCs w:val="20"/>
          <w:color w:val="auto"/>
        </w:rPr>
      </w:pPr>
    </w:p>
    <w:tbl>
      <w:tblPr>
        <w:tblLayout w:type="fixed"/>
        <w:tblInd w:w="1904" w:type="dxa"/>
        <w:tblCellMar>
          <w:top w:w="0" w:type="dxa"/>
          <w:left w:w="0" w:type="dxa"/>
          <w:bottom w:w="0" w:type="dxa"/>
          <w:right w:w="0" w:type="dxa"/>
        </w:tblCellMar>
      </w:tblPr>
      <w:tr>
        <w:trPr>
          <w:trHeight w:val="159"/>
        </w:trPr>
        <w:tc>
          <w:tcPr>
            <w:tcW w:w="2880" w:type="dxa"/>
            <w:vAlign w:val="bottom"/>
            <w:tcBorders>
              <w:bottom w:val="single" w:sz="8" w:color="auto"/>
            </w:tcBorders>
          </w:tcPr>
          <w:p>
            <w:pPr>
              <w:spacing w:after="0"/>
              <w:rPr>
                <w:sz w:val="13"/>
                <w:szCs w:val="13"/>
                <w:color w:val="auto"/>
              </w:rPr>
            </w:pPr>
          </w:p>
        </w:tc>
        <w:tc>
          <w:tcPr>
            <w:tcW w:w="2440" w:type="dxa"/>
            <w:vAlign w:val="bottom"/>
            <w:tcBorders>
              <w:bottom w:val="single" w:sz="8" w:color="auto"/>
            </w:tcBorders>
          </w:tcPr>
          <w:p>
            <w:pPr>
              <w:jc w:val="right"/>
              <w:ind w:right="330"/>
              <w:spacing w:after="0"/>
              <w:rPr>
                <w:sz w:val="20"/>
                <w:szCs w:val="20"/>
                <w:color w:val="auto"/>
              </w:rPr>
            </w:pPr>
            <w:r>
              <w:rPr>
                <w:rFonts w:ascii="Arial" w:cs="Arial" w:eastAsia="Arial" w:hAnsi="Arial"/>
                <w:sz w:val="13"/>
                <w:szCs w:val="13"/>
                <w:color w:val="auto"/>
              </w:rPr>
              <w:t>2008</w:t>
            </w:r>
          </w:p>
        </w:tc>
        <w:tc>
          <w:tcPr>
            <w:tcW w:w="1360" w:type="dxa"/>
            <w:vAlign w:val="bottom"/>
            <w:tcBorders>
              <w:bottom w:val="single" w:sz="8" w:color="auto"/>
            </w:tcBorders>
          </w:tcPr>
          <w:p>
            <w:pPr>
              <w:jc w:val="right"/>
              <w:ind w:right="290"/>
              <w:spacing w:after="0"/>
              <w:rPr>
                <w:sz w:val="20"/>
                <w:szCs w:val="20"/>
                <w:color w:val="auto"/>
              </w:rPr>
            </w:pPr>
            <w:r>
              <w:rPr>
                <w:rFonts w:ascii="Arial" w:cs="Arial" w:eastAsia="Arial" w:hAnsi="Arial"/>
                <w:sz w:val="13"/>
                <w:szCs w:val="13"/>
                <w:color w:val="auto"/>
              </w:rPr>
              <w:t>2007</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2006</w:t>
            </w:r>
          </w:p>
        </w:tc>
      </w:tr>
      <w:tr>
        <w:trPr>
          <w:trHeight w:val="207"/>
        </w:trPr>
        <w:tc>
          <w:tcPr>
            <w:tcW w:w="2880" w:type="dxa"/>
            <w:vAlign w:val="bottom"/>
          </w:tcPr>
          <w:p>
            <w:pPr>
              <w:spacing w:after="0"/>
              <w:rPr>
                <w:sz w:val="20"/>
                <w:szCs w:val="20"/>
                <w:color w:val="auto"/>
              </w:rPr>
            </w:pPr>
            <w:r>
              <w:rPr>
                <w:rFonts w:ascii="Arial" w:cs="Arial" w:eastAsia="Arial" w:hAnsi="Arial"/>
                <w:sz w:val="14"/>
                <w:szCs w:val="14"/>
                <w:color w:val="auto"/>
              </w:rPr>
              <w:t>Stock price volatility</w:t>
            </w:r>
          </w:p>
        </w:tc>
        <w:tc>
          <w:tcPr>
            <w:tcW w:w="2440" w:type="dxa"/>
            <w:vAlign w:val="bottom"/>
          </w:tcPr>
          <w:p>
            <w:pPr>
              <w:jc w:val="right"/>
              <w:ind w:right="330"/>
              <w:spacing w:after="0"/>
              <w:rPr>
                <w:sz w:val="20"/>
                <w:szCs w:val="20"/>
                <w:color w:val="auto"/>
              </w:rPr>
            </w:pPr>
            <w:r>
              <w:rPr>
                <w:rFonts w:ascii="Arial" w:cs="Arial" w:eastAsia="Arial" w:hAnsi="Arial"/>
                <w:sz w:val="14"/>
                <w:szCs w:val="14"/>
                <w:color w:val="auto"/>
              </w:rPr>
              <w:t>19%</w:t>
            </w:r>
          </w:p>
        </w:tc>
        <w:tc>
          <w:tcPr>
            <w:tcW w:w="1360" w:type="dxa"/>
            <w:vAlign w:val="bottom"/>
          </w:tcPr>
          <w:p>
            <w:pPr>
              <w:jc w:val="right"/>
              <w:ind w:right="290"/>
              <w:spacing w:after="0"/>
              <w:rPr>
                <w:sz w:val="20"/>
                <w:szCs w:val="20"/>
                <w:color w:val="auto"/>
              </w:rPr>
            </w:pPr>
            <w:r>
              <w:rPr>
                <w:rFonts w:ascii="Arial" w:cs="Arial" w:eastAsia="Arial" w:hAnsi="Arial"/>
                <w:sz w:val="14"/>
                <w:szCs w:val="14"/>
                <w:color w:val="auto"/>
              </w:rPr>
              <w:t>21%</w:t>
            </w:r>
          </w:p>
        </w:tc>
        <w:tc>
          <w:tcPr>
            <w:tcW w:w="960" w:type="dxa"/>
            <w:vAlign w:val="bottom"/>
          </w:tcPr>
          <w:p>
            <w:pPr>
              <w:jc w:val="right"/>
              <w:spacing w:after="0"/>
              <w:rPr>
                <w:sz w:val="20"/>
                <w:szCs w:val="20"/>
                <w:color w:val="auto"/>
              </w:rPr>
            </w:pPr>
            <w:r>
              <w:rPr>
                <w:rFonts w:ascii="Arial" w:cs="Arial" w:eastAsia="Arial" w:hAnsi="Arial"/>
                <w:sz w:val="14"/>
                <w:szCs w:val="14"/>
                <w:color w:val="auto"/>
              </w:rPr>
              <w:t>23%</w:t>
            </w:r>
          </w:p>
        </w:tc>
      </w:tr>
      <w:tr>
        <w:trPr>
          <w:trHeight w:val="216"/>
        </w:trPr>
        <w:tc>
          <w:tcPr>
            <w:tcW w:w="2880" w:type="dxa"/>
            <w:vAlign w:val="bottom"/>
          </w:tcPr>
          <w:p>
            <w:pPr>
              <w:spacing w:after="0"/>
              <w:rPr>
                <w:sz w:val="20"/>
                <w:szCs w:val="20"/>
                <w:color w:val="auto"/>
              </w:rPr>
            </w:pPr>
            <w:r>
              <w:rPr>
                <w:rFonts w:ascii="Arial" w:cs="Arial" w:eastAsia="Arial" w:hAnsi="Arial"/>
                <w:sz w:val="14"/>
                <w:szCs w:val="14"/>
                <w:color w:val="auto"/>
              </w:rPr>
              <w:t>Risk-free rate of return</w:t>
            </w:r>
          </w:p>
        </w:tc>
        <w:tc>
          <w:tcPr>
            <w:tcW w:w="2440" w:type="dxa"/>
            <w:vAlign w:val="bottom"/>
          </w:tcPr>
          <w:p>
            <w:pPr>
              <w:jc w:val="right"/>
              <w:ind w:right="330"/>
              <w:spacing w:after="0"/>
              <w:rPr>
                <w:sz w:val="20"/>
                <w:szCs w:val="20"/>
                <w:color w:val="auto"/>
              </w:rPr>
            </w:pPr>
            <w:r>
              <w:rPr>
                <w:rFonts w:ascii="Arial" w:cs="Arial" w:eastAsia="Arial" w:hAnsi="Arial"/>
                <w:sz w:val="14"/>
                <w:szCs w:val="14"/>
                <w:color w:val="auto"/>
              </w:rPr>
              <w:t>3.6%</w:t>
            </w:r>
          </w:p>
        </w:tc>
        <w:tc>
          <w:tcPr>
            <w:tcW w:w="1360" w:type="dxa"/>
            <w:vAlign w:val="bottom"/>
          </w:tcPr>
          <w:p>
            <w:pPr>
              <w:jc w:val="right"/>
              <w:ind w:right="290"/>
              <w:spacing w:after="0"/>
              <w:rPr>
                <w:sz w:val="20"/>
                <w:szCs w:val="20"/>
                <w:color w:val="auto"/>
              </w:rPr>
            </w:pPr>
            <w:r>
              <w:rPr>
                <w:rFonts w:ascii="Arial" w:cs="Arial" w:eastAsia="Arial" w:hAnsi="Arial"/>
                <w:sz w:val="14"/>
                <w:szCs w:val="14"/>
                <w:color w:val="auto"/>
              </w:rPr>
              <w:t>4.7%</w:t>
            </w:r>
          </w:p>
        </w:tc>
        <w:tc>
          <w:tcPr>
            <w:tcW w:w="960" w:type="dxa"/>
            <w:vAlign w:val="bottom"/>
          </w:tcPr>
          <w:p>
            <w:pPr>
              <w:jc w:val="right"/>
              <w:spacing w:after="0"/>
              <w:rPr>
                <w:sz w:val="20"/>
                <w:szCs w:val="20"/>
                <w:color w:val="auto"/>
              </w:rPr>
            </w:pPr>
            <w:r>
              <w:rPr>
                <w:rFonts w:ascii="Arial" w:cs="Arial" w:eastAsia="Arial" w:hAnsi="Arial"/>
                <w:sz w:val="14"/>
                <w:szCs w:val="14"/>
                <w:color w:val="auto"/>
              </w:rPr>
              <w:t>4.3%</w:t>
            </w:r>
          </w:p>
        </w:tc>
      </w:tr>
      <w:tr>
        <w:trPr>
          <w:trHeight w:val="216"/>
        </w:trPr>
        <w:tc>
          <w:tcPr>
            <w:tcW w:w="2880" w:type="dxa"/>
            <w:vAlign w:val="bottom"/>
          </w:tcPr>
          <w:p>
            <w:pPr>
              <w:spacing w:after="0"/>
              <w:rPr>
                <w:sz w:val="20"/>
                <w:szCs w:val="20"/>
                <w:color w:val="auto"/>
              </w:rPr>
            </w:pPr>
            <w:r>
              <w:rPr>
                <w:rFonts w:ascii="Arial" w:cs="Arial" w:eastAsia="Arial" w:hAnsi="Arial"/>
                <w:sz w:val="14"/>
                <w:szCs w:val="14"/>
                <w:color w:val="auto"/>
              </w:rPr>
              <w:t>Annual dividend yield</w:t>
            </w:r>
          </w:p>
        </w:tc>
        <w:tc>
          <w:tcPr>
            <w:tcW w:w="2440" w:type="dxa"/>
            <w:vAlign w:val="bottom"/>
          </w:tcPr>
          <w:p>
            <w:pPr>
              <w:jc w:val="right"/>
              <w:ind w:right="330"/>
              <w:spacing w:after="0"/>
              <w:rPr>
                <w:sz w:val="20"/>
                <w:szCs w:val="20"/>
                <w:color w:val="auto"/>
              </w:rPr>
            </w:pPr>
            <w:r>
              <w:rPr>
                <w:rFonts w:ascii="Arial" w:cs="Arial" w:eastAsia="Arial" w:hAnsi="Arial"/>
                <w:sz w:val="14"/>
                <w:szCs w:val="14"/>
                <w:color w:val="auto"/>
              </w:rPr>
              <w:t>2.0%</w:t>
            </w:r>
          </w:p>
        </w:tc>
        <w:tc>
          <w:tcPr>
            <w:tcW w:w="1360" w:type="dxa"/>
            <w:vAlign w:val="bottom"/>
          </w:tcPr>
          <w:p>
            <w:pPr>
              <w:jc w:val="right"/>
              <w:ind w:right="290"/>
              <w:spacing w:after="0"/>
              <w:rPr>
                <w:sz w:val="20"/>
                <w:szCs w:val="20"/>
                <w:color w:val="auto"/>
              </w:rPr>
            </w:pPr>
            <w:r>
              <w:rPr>
                <w:rFonts w:ascii="Arial" w:cs="Arial" w:eastAsia="Arial" w:hAnsi="Arial"/>
                <w:sz w:val="14"/>
                <w:szCs w:val="14"/>
                <w:color w:val="auto"/>
              </w:rPr>
              <w:t>2.1%</w:t>
            </w:r>
          </w:p>
        </w:tc>
        <w:tc>
          <w:tcPr>
            <w:tcW w:w="960" w:type="dxa"/>
            <w:vAlign w:val="bottom"/>
          </w:tcPr>
          <w:p>
            <w:pPr>
              <w:jc w:val="right"/>
              <w:spacing w:after="0"/>
              <w:rPr>
                <w:sz w:val="20"/>
                <w:szCs w:val="20"/>
                <w:color w:val="auto"/>
              </w:rPr>
            </w:pPr>
            <w:r>
              <w:rPr>
                <w:rFonts w:ascii="Arial" w:cs="Arial" w:eastAsia="Arial" w:hAnsi="Arial"/>
                <w:sz w:val="14"/>
                <w:szCs w:val="14"/>
                <w:color w:val="auto"/>
              </w:rPr>
              <w:t>2.5%</w:t>
            </w:r>
          </w:p>
        </w:tc>
      </w:tr>
      <w:tr>
        <w:trPr>
          <w:trHeight w:val="250"/>
        </w:trPr>
        <w:tc>
          <w:tcPr>
            <w:tcW w:w="2880" w:type="dxa"/>
            <w:vAlign w:val="bottom"/>
            <w:tcBorders>
              <w:bottom w:val="single" w:sz="8" w:color="DFDFDF"/>
            </w:tcBorders>
          </w:tcPr>
          <w:p>
            <w:pPr>
              <w:spacing w:after="0"/>
              <w:rPr>
                <w:sz w:val="20"/>
                <w:szCs w:val="20"/>
                <w:color w:val="auto"/>
              </w:rPr>
            </w:pPr>
            <w:r>
              <w:rPr>
                <w:rFonts w:ascii="Arial" w:cs="Arial" w:eastAsia="Arial" w:hAnsi="Arial"/>
                <w:sz w:val="14"/>
                <w:szCs w:val="14"/>
                <w:color w:val="auto"/>
              </w:rPr>
              <w:t>Expected life</w:t>
            </w:r>
          </w:p>
        </w:tc>
        <w:tc>
          <w:tcPr>
            <w:tcW w:w="2440" w:type="dxa"/>
            <w:vAlign w:val="bottom"/>
            <w:tcBorders>
              <w:bottom w:val="single" w:sz="8" w:color="DFDFDF"/>
            </w:tcBorders>
          </w:tcPr>
          <w:p>
            <w:pPr>
              <w:jc w:val="right"/>
              <w:ind w:right="330"/>
              <w:spacing w:after="0"/>
              <w:rPr>
                <w:sz w:val="20"/>
                <w:szCs w:val="20"/>
                <w:color w:val="auto"/>
              </w:rPr>
            </w:pPr>
            <w:r>
              <w:rPr>
                <w:rFonts w:ascii="Arial" w:cs="Arial" w:eastAsia="Arial" w:hAnsi="Arial"/>
                <w:sz w:val="14"/>
                <w:szCs w:val="14"/>
                <w:color w:val="auto"/>
              </w:rPr>
              <w:t>6.4 Years</w:t>
            </w:r>
          </w:p>
        </w:tc>
        <w:tc>
          <w:tcPr>
            <w:tcW w:w="1360" w:type="dxa"/>
            <w:vAlign w:val="bottom"/>
            <w:tcBorders>
              <w:bottom w:val="single" w:sz="8" w:color="DFDFDF"/>
            </w:tcBorders>
          </w:tcPr>
          <w:p>
            <w:pPr>
              <w:jc w:val="right"/>
              <w:ind w:right="290"/>
              <w:spacing w:after="0"/>
              <w:rPr>
                <w:sz w:val="20"/>
                <w:szCs w:val="20"/>
                <w:color w:val="auto"/>
              </w:rPr>
            </w:pPr>
            <w:r>
              <w:rPr>
                <w:rFonts w:ascii="Arial" w:cs="Arial" w:eastAsia="Arial" w:hAnsi="Arial"/>
                <w:sz w:val="14"/>
                <w:szCs w:val="14"/>
                <w:color w:val="auto"/>
              </w:rPr>
              <w:t>6.2 Years</w:t>
            </w:r>
          </w:p>
        </w:tc>
        <w:tc>
          <w:tcPr>
            <w:tcW w:w="960" w:type="dxa"/>
            <w:vAlign w:val="bottom"/>
            <w:tcBorders>
              <w:bottom w:val="single" w:sz="8" w:color="DFDFDF"/>
            </w:tcBorders>
          </w:tcPr>
          <w:p>
            <w:pPr>
              <w:jc w:val="right"/>
              <w:spacing w:after="0"/>
              <w:rPr>
                <w:sz w:val="20"/>
                <w:szCs w:val="20"/>
                <w:color w:val="auto"/>
              </w:rPr>
            </w:pPr>
            <w:r>
              <w:rPr>
                <w:rFonts w:ascii="Arial" w:cs="Arial" w:eastAsia="Arial" w:hAnsi="Arial"/>
                <w:sz w:val="14"/>
                <w:szCs w:val="14"/>
                <w:color w:val="auto"/>
              </w:rPr>
              <w:t>6.2 Years</w:t>
            </w:r>
          </w:p>
        </w:tc>
      </w:tr>
    </w:tbl>
    <w:p>
      <w:pPr>
        <w:spacing w:after="0" w:line="180" w:lineRule="exact"/>
        <w:rPr>
          <w:sz w:val="20"/>
          <w:szCs w:val="20"/>
          <w:color w:val="auto"/>
        </w:rPr>
      </w:pPr>
    </w:p>
    <w:p>
      <w:pPr>
        <w:ind w:left="4"/>
        <w:spacing w:after="0"/>
        <w:rPr>
          <w:sz w:val="20"/>
          <w:szCs w:val="20"/>
          <w:color w:val="auto"/>
        </w:rPr>
      </w:pPr>
      <w:r>
        <w:rPr>
          <w:rFonts w:ascii="Arial" w:cs="Arial" w:eastAsia="Arial" w:hAnsi="Arial"/>
          <w:sz w:val="16"/>
          <w:szCs w:val="16"/>
          <w:color w:val="auto"/>
        </w:rPr>
        <w:t>The following table shows a summary of the non-qualified stock options as of December 31, 2008 and activity for the year then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1167130</wp:posOffset>
            </wp:positionH>
            <wp:positionV relativeFrom="paragraph">
              <wp:posOffset>196215</wp:posOffset>
            </wp:positionV>
            <wp:extent cx="4927600" cy="26670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4927600" cy="266700"/>
                    </a:xfrm>
                    <a:prstGeom prst="rect">
                      <a:avLst/>
                    </a:prstGeom>
                    <a:noFill/>
                  </pic:spPr>
                </pic:pic>
              </a:graphicData>
            </a:graphic>
          </wp:anchor>
        </w:drawing>
      </w:r>
    </w:p>
    <w:p>
      <w:pPr>
        <w:spacing w:after="0" w:line="297" w:lineRule="exact"/>
        <w:rPr>
          <w:sz w:val="20"/>
          <w:szCs w:val="20"/>
          <w:color w:val="auto"/>
        </w:rPr>
      </w:pPr>
    </w:p>
    <w:p>
      <w:pPr>
        <w:ind w:left="1864"/>
        <w:spacing w:after="0"/>
        <w:rPr>
          <w:sz w:val="20"/>
          <w:szCs w:val="20"/>
          <w:color w:val="auto"/>
        </w:rPr>
      </w:pPr>
      <w:r>
        <w:rPr>
          <w:rFonts w:ascii="Arial" w:cs="Arial" w:eastAsia="Arial" w:hAnsi="Arial"/>
          <w:sz w:val="14"/>
          <w:szCs w:val="14"/>
          <w:b w:val="1"/>
          <w:bCs w:val="1"/>
          <w:color w:val="auto"/>
        </w:rPr>
        <w:t>NON-QUALIFIED STOCK OPTIONS</w:t>
      </w:r>
    </w:p>
    <w:p>
      <w:pPr>
        <w:spacing w:after="0" w:line="268" w:lineRule="exact"/>
        <w:rPr>
          <w:sz w:val="20"/>
          <w:szCs w:val="20"/>
          <w:color w:val="auto"/>
        </w:rPr>
      </w:pPr>
    </w:p>
    <w:tbl>
      <w:tblPr>
        <w:tblLayout w:type="fixed"/>
        <w:tblInd w:w="1844" w:type="dxa"/>
        <w:tblCellMar>
          <w:top w:w="0" w:type="dxa"/>
          <w:left w:w="0" w:type="dxa"/>
          <w:bottom w:w="0" w:type="dxa"/>
          <w:right w:w="0" w:type="dxa"/>
        </w:tblCellMar>
      </w:tblPr>
      <w:tr>
        <w:trPr>
          <w:trHeight w:val="154"/>
        </w:trPr>
        <w:tc>
          <w:tcPr>
            <w:tcW w:w="3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40" w:type="dxa"/>
            <w:vAlign w:val="bottom"/>
          </w:tcPr>
          <w:p>
            <w:pPr>
              <w:jc w:val="center"/>
              <w:spacing w:after="0"/>
              <w:rPr>
                <w:sz w:val="20"/>
                <w:szCs w:val="20"/>
                <w:color w:val="auto"/>
              </w:rPr>
            </w:pPr>
            <w:r>
              <w:rPr>
                <w:rFonts w:ascii="Arial" w:cs="Arial" w:eastAsia="Arial" w:hAnsi="Arial"/>
                <w:sz w:val="13"/>
                <w:szCs w:val="13"/>
                <w:color w:val="auto"/>
                <w:w w:val="97"/>
              </w:rPr>
              <w:t>Weighted-</w:t>
            </w:r>
          </w:p>
        </w:tc>
        <w:tc>
          <w:tcPr>
            <w:tcW w:w="900" w:type="dxa"/>
            <w:vAlign w:val="bottom"/>
          </w:tcPr>
          <w:p>
            <w:pPr>
              <w:spacing w:after="0"/>
              <w:rPr>
                <w:sz w:val="13"/>
                <w:szCs w:val="13"/>
                <w:color w:val="auto"/>
              </w:rPr>
            </w:pPr>
          </w:p>
        </w:tc>
        <w:tc>
          <w:tcPr>
            <w:tcW w:w="300" w:type="dxa"/>
            <w:vAlign w:val="bottom"/>
          </w:tcPr>
          <w:p>
            <w:pPr>
              <w:spacing w:after="0"/>
              <w:rPr>
                <w:sz w:val="13"/>
                <w:szCs w:val="13"/>
                <w:color w:val="auto"/>
              </w:rPr>
            </w:pPr>
          </w:p>
        </w:tc>
      </w:tr>
      <w:tr>
        <w:trPr>
          <w:trHeight w:val="156"/>
        </w:trPr>
        <w:tc>
          <w:tcPr>
            <w:tcW w:w="3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40" w:type="dxa"/>
            <w:vAlign w:val="bottom"/>
            <w:gridSpan w:val="2"/>
          </w:tcPr>
          <w:p>
            <w:pPr>
              <w:jc w:val="center"/>
              <w:ind w:right="28"/>
              <w:spacing w:after="0"/>
              <w:rPr>
                <w:sz w:val="20"/>
                <w:szCs w:val="20"/>
                <w:color w:val="auto"/>
              </w:rPr>
            </w:pPr>
            <w:r>
              <w:rPr>
                <w:rFonts w:ascii="Arial" w:cs="Arial" w:eastAsia="Arial" w:hAnsi="Arial"/>
                <w:sz w:val="13"/>
                <w:szCs w:val="13"/>
                <w:color w:val="auto"/>
                <w:w w:val="97"/>
              </w:rPr>
              <w:t>Weighted-</w:t>
            </w:r>
          </w:p>
        </w:tc>
        <w:tc>
          <w:tcPr>
            <w:tcW w:w="1240" w:type="dxa"/>
            <w:vAlign w:val="bottom"/>
          </w:tcPr>
          <w:p>
            <w:pPr>
              <w:jc w:val="center"/>
              <w:spacing w:after="0"/>
              <w:rPr>
                <w:sz w:val="20"/>
                <w:szCs w:val="20"/>
                <w:color w:val="auto"/>
              </w:rPr>
            </w:pPr>
            <w:r>
              <w:rPr>
                <w:rFonts w:ascii="Arial" w:cs="Arial" w:eastAsia="Arial" w:hAnsi="Arial"/>
                <w:sz w:val="13"/>
                <w:szCs w:val="13"/>
                <w:color w:val="auto"/>
                <w:w w:val="94"/>
              </w:rPr>
              <w:t>Average</w:t>
            </w:r>
          </w:p>
        </w:tc>
        <w:tc>
          <w:tcPr>
            <w:tcW w:w="900" w:type="dxa"/>
            <w:vAlign w:val="bottom"/>
          </w:tcPr>
          <w:p>
            <w:pPr>
              <w:spacing w:after="0"/>
              <w:rPr>
                <w:sz w:val="13"/>
                <w:szCs w:val="13"/>
                <w:color w:val="auto"/>
              </w:rPr>
            </w:pPr>
          </w:p>
        </w:tc>
        <w:tc>
          <w:tcPr>
            <w:tcW w:w="300" w:type="dxa"/>
            <w:vAlign w:val="bottom"/>
          </w:tcPr>
          <w:p>
            <w:pPr>
              <w:spacing w:after="0"/>
              <w:rPr>
                <w:sz w:val="13"/>
                <w:szCs w:val="13"/>
                <w:color w:val="auto"/>
              </w:rPr>
            </w:pPr>
          </w:p>
        </w:tc>
      </w:tr>
      <w:tr>
        <w:trPr>
          <w:trHeight w:val="156"/>
        </w:trPr>
        <w:tc>
          <w:tcPr>
            <w:tcW w:w="3140" w:type="dxa"/>
            <w:vAlign w:val="bottom"/>
          </w:tcPr>
          <w:p>
            <w:pPr>
              <w:spacing w:after="0"/>
              <w:rPr>
                <w:sz w:val="13"/>
                <w:szCs w:val="13"/>
                <w:color w:val="auto"/>
              </w:rPr>
            </w:pPr>
          </w:p>
        </w:tc>
        <w:tc>
          <w:tcPr>
            <w:tcW w:w="1140" w:type="dxa"/>
            <w:vAlign w:val="bottom"/>
          </w:tcPr>
          <w:p>
            <w:pPr>
              <w:jc w:val="center"/>
              <w:ind w:right="30"/>
              <w:spacing w:after="0"/>
              <w:rPr>
                <w:sz w:val="20"/>
                <w:szCs w:val="20"/>
                <w:color w:val="auto"/>
              </w:rPr>
            </w:pPr>
            <w:r>
              <w:rPr>
                <w:rFonts w:ascii="Arial" w:cs="Arial" w:eastAsia="Arial" w:hAnsi="Arial"/>
                <w:sz w:val="13"/>
                <w:szCs w:val="13"/>
                <w:color w:val="auto"/>
                <w:w w:val="97"/>
              </w:rPr>
              <w:t>Shares</w:t>
            </w:r>
          </w:p>
        </w:tc>
        <w:tc>
          <w:tcPr>
            <w:tcW w:w="1040" w:type="dxa"/>
            <w:vAlign w:val="bottom"/>
            <w:gridSpan w:val="2"/>
          </w:tcPr>
          <w:p>
            <w:pPr>
              <w:jc w:val="center"/>
              <w:ind w:right="48"/>
              <w:spacing w:after="0"/>
              <w:rPr>
                <w:sz w:val="20"/>
                <w:szCs w:val="20"/>
                <w:color w:val="auto"/>
              </w:rPr>
            </w:pPr>
            <w:r>
              <w:rPr>
                <w:rFonts w:ascii="Arial" w:cs="Arial" w:eastAsia="Arial" w:hAnsi="Arial"/>
                <w:sz w:val="13"/>
                <w:szCs w:val="13"/>
                <w:color w:val="auto"/>
                <w:w w:val="99"/>
              </w:rPr>
              <w:t>Average</w:t>
            </w:r>
          </w:p>
        </w:tc>
        <w:tc>
          <w:tcPr>
            <w:tcW w:w="1240" w:type="dxa"/>
            <w:vAlign w:val="bottom"/>
          </w:tcPr>
          <w:p>
            <w:pPr>
              <w:jc w:val="center"/>
              <w:spacing w:after="0"/>
              <w:rPr>
                <w:sz w:val="20"/>
                <w:szCs w:val="20"/>
                <w:color w:val="auto"/>
              </w:rPr>
            </w:pPr>
            <w:r>
              <w:rPr>
                <w:rFonts w:ascii="Arial" w:cs="Arial" w:eastAsia="Arial" w:hAnsi="Arial"/>
                <w:sz w:val="13"/>
                <w:szCs w:val="13"/>
                <w:color w:val="auto"/>
                <w:w w:val="99"/>
              </w:rPr>
              <w:t>Remaining</w:t>
            </w:r>
          </w:p>
        </w:tc>
        <w:tc>
          <w:tcPr>
            <w:tcW w:w="900" w:type="dxa"/>
            <w:vAlign w:val="bottom"/>
          </w:tcPr>
          <w:p>
            <w:pPr>
              <w:jc w:val="center"/>
              <w:ind w:left="211"/>
              <w:spacing w:after="0"/>
              <w:rPr>
                <w:sz w:val="20"/>
                <w:szCs w:val="20"/>
                <w:color w:val="auto"/>
              </w:rPr>
            </w:pPr>
            <w:r>
              <w:rPr>
                <w:rFonts w:ascii="Arial" w:cs="Arial" w:eastAsia="Arial" w:hAnsi="Arial"/>
                <w:sz w:val="13"/>
                <w:szCs w:val="13"/>
                <w:color w:val="auto"/>
                <w:w w:val="96"/>
              </w:rPr>
              <w:t>Aggregate</w:t>
            </w:r>
          </w:p>
        </w:tc>
        <w:tc>
          <w:tcPr>
            <w:tcW w:w="300" w:type="dxa"/>
            <w:vAlign w:val="bottom"/>
          </w:tcPr>
          <w:p>
            <w:pPr>
              <w:spacing w:after="0"/>
              <w:rPr>
                <w:sz w:val="13"/>
                <w:szCs w:val="13"/>
                <w:color w:val="auto"/>
              </w:rPr>
            </w:pPr>
          </w:p>
        </w:tc>
      </w:tr>
      <w:tr>
        <w:trPr>
          <w:trHeight w:val="156"/>
        </w:trPr>
        <w:tc>
          <w:tcPr>
            <w:tcW w:w="3140" w:type="dxa"/>
            <w:vAlign w:val="bottom"/>
          </w:tcPr>
          <w:p>
            <w:pPr>
              <w:spacing w:after="0"/>
              <w:rPr>
                <w:sz w:val="13"/>
                <w:szCs w:val="13"/>
                <w:color w:val="auto"/>
              </w:rPr>
            </w:pPr>
          </w:p>
        </w:tc>
        <w:tc>
          <w:tcPr>
            <w:tcW w:w="1140" w:type="dxa"/>
            <w:vAlign w:val="bottom"/>
          </w:tcPr>
          <w:p>
            <w:pPr>
              <w:jc w:val="center"/>
              <w:ind w:right="30"/>
              <w:spacing w:after="0"/>
              <w:rPr>
                <w:sz w:val="20"/>
                <w:szCs w:val="20"/>
                <w:color w:val="auto"/>
              </w:rPr>
            </w:pPr>
            <w:r>
              <w:rPr>
                <w:rFonts w:ascii="Arial" w:cs="Arial" w:eastAsia="Arial" w:hAnsi="Arial"/>
                <w:sz w:val="13"/>
                <w:szCs w:val="13"/>
                <w:color w:val="auto"/>
                <w:w w:val="96"/>
              </w:rPr>
              <w:t>under</w:t>
            </w:r>
          </w:p>
        </w:tc>
        <w:tc>
          <w:tcPr>
            <w:tcW w:w="1040" w:type="dxa"/>
            <w:vAlign w:val="bottom"/>
            <w:gridSpan w:val="2"/>
          </w:tcPr>
          <w:p>
            <w:pPr>
              <w:jc w:val="center"/>
              <w:ind w:right="68"/>
              <w:spacing w:after="0"/>
              <w:rPr>
                <w:sz w:val="20"/>
                <w:szCs w:val="20"/>
                <w:color w:val="auto"/>
              </w:rPr>
            </w:pPr>
            <w:r>
              <w:rPr>
                <w:rFonts w:ascii="Arial" w:cs="Arial" w:eastAsia="Arial" w:hAnsi="Arial"/>
                <w:sz w:val="13"/>
                <w:szCs w:val="13"/>
                <w:color w:val="auto"/>
              </w:rPr>
              <w:t>Exercise</w:t>
            </w:r>
          </w:p>
        </w:tc>
        <w:tc>
          <w:tcPr>
            <w:tcW w:w="1240" w:type="dxa"/>
            <w:vAlign w:val="bottom"/>
          </w:tcPr>
          <w:p>
            <w:pPr>
              <w:jc w:val="center"/>
              <w:spacing w:after="0"/>
              <w:rPr>
                <w:sz w:val="20"/>
                <w:szCs w:val="20"/>
                <w:color w:val="auto"/>
              </w:rPr>
            </w:pPr>
            <w:r>
              <w:rPr>
                <w:rFonts w:ascii="Arial" w:cs="Arial" w:eastAsia="Arial" w:hAnsi="Arial"/>
                <w:sz w:val="13"/>
                <w:szCs w:val="13"/>
                <w:color w:val="auto"/>
                <w:w w:val="97"/>
              </w:rPr>
              <w:t>Contractual Term</w:t>
            </w:r>
          </w:p>
        </w:tc>
        <w:tc>
          <w:tcPr>
            <w:tcW w:w="1200" w:type="dxa"/>
            <w:vAlign w:val="bottom"/>
            <w:gridSpan w:val="2"/>
          </w:tcPr>
          <w:p>
            <w:pPr>
              <w:jc w:val="center"/>
              <w:spacing w:after="0"/>
              <w:rPr>
                <w:sz w:val="20"/>
                <w:szCs w:val="20"/>
                <w:color w:val="auto"/>
              </w:rPr>
            </w:pPr>
            <w:r>
              <w:rPr>
                <w:rFonts w:ascii="Arial" w:cs="Arial" w:eastAsia="Arial" w:hAnsi="Arial"/>
                <w:sz w:val="13"/>
                <w:szCs w:val="13"/>
                <w:color w:val="auto"/>
                <w:w w:val="98"/>
              </w:rPr>
              <w:t>Intrinsic Value (in</w:t>
            </w:r>
          </w:p>
        </w:tc>
      </w:tr>
      <w:tr>
        <w:trPr>
          <w:trHeight w:val="161"/>
        </w:trPr>
        <w:tc>
          <w:tcPr>
            <w:tcW w:w="31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9"/>
              </w:rPr>
              <w:t>Option</w:t>
            </w:r>
          </w:p>
        </w:tc>
        <w:tc>
          <w:tcPr>
            <w:tcW w:w="1040" w:type="dxa"/>
            <w:vAlign w:val="bottom"/>
            <w:tcBorders>
              <w:bottom w:val="single" w:sz="8" w:color="auto"/>
            </w:tcBorders>
            <w:gridSpan w:val="2"/>
          </w:tcPr>
          <w:p>
            <w:pPr>
              <w:jc w:val="center"/>
              <w:ind w:right="28"/>
              <w:spacing w:after="0"/>
              <w:rPr>
                <w:sz w:val="20"/>
                <w:szCs w:val="20"/>
                <w:color w:val="auto"/>
              </w:rPr>
            </w:pPr>
            <w:r>
              <w:rPr>
                <w:rFonts w:ascii="Arial" w:cs="Arial" w:eastAsia="Arial" w:hAnsi="Arial"/>
                <w:sz w:val="13"/>
                <w:szCs w:val="13"/>
                <w:color w:val="auto"/>
              </w:rPr>
              <w:t>Price</w:t>
            </w: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9"/>
              </w:rPr>
              <w:t>(in years)</w:t>
            </w:r>
          </w:p>
        </w:tc>
        <w:tc>
          <w:tcPr>
            <w:tcW w:w="900" w:type="dxa"/>
            <w:vAlign w:val="bottom"/>
            <w:tcBorders>
              <w:bottom w:val="single" w:sz="8" w:color="auto"/>
            </w:tcBorders>
          </w:tcPr>
          <w:p>
            <w:pPr>
              <w:jc w:val="center"/>
              <w:ind w:left="211"/>
              <w:spacing w:after="0"/>
              <w:rPr>
                <w:sz w:val="20"/>
                <w:szCs w:val="20"/>
                <w:color w:val="auto"/>
              </w:rPr>
            </w:pPr>
            <w:r>
              <w:rPr>
                <w:rFonts w:ascii="Arial" w:cs="Arial" w:eastAsia="Arial" w:hAnsi="Arial"/>
                <w:sz w:val="13"/>
                <w:szCs w:val="13"/>
                <w:color w:val="auto"/>
                <w:w w:val="96"/>
              </w:rPr>
              <w:t>millions)</w:t>
            </w:r>
          </w:p>
        </w:tc>
        <w:tc>
          <w:tcPr>
            <w:tcW w:w="300" w:type="dxa"/>
            <w:vAlign w:val="bottom"/>
            <w:tcBorders>
              <w:bottom w:val="single" w:sz="8" w:color="auto"/>
            </w:tcBorders>
          </w:tcPr>
          <w:p>
            <w:pPr>
              <w:spacing w:after="0"/>
              <w:rPr>
                <w:sz w:val="14"/>
                <w:szCs w:val="14"/>
                <w:color w:val="auto"/>
              </w:rPr>
            </w:pPr>
          </w:p>
        </w:tc>
      </w:tr>
      <w:tr>
        <w:trPr>
          <w:trHeight w:val="207"/>
        </w:trPr>
        <w:tc>
          <w:tcPr>
            <w:tcW w:w="3140" w:type="dxa"/>
            <w:vAlign w:val="bottom"/>
          </w:tcPr>
          <w:p>
            <w:pPr>
              <w:spacing w:after="0"/>
              <w:rPr>
                <w:sz w:val="20"/>
                <w:szCs w:val="20"/>
                <w:color w:val="auto"/>
              </w:rPr>
            </w:pPr>
            <w:r>
              <w:rPr>
                <w:rFonts w:ascii="Arial" w:cs="Arial" w:eastAsia="Arial" w:hAnsi="Arial"/>
                <w:sz w:val="14"/>
                <w:szCs w:val="14"/>
                <w:color w:val="auto"/>
              </w:rPr>
              <w:t>Outstanding at December 31, 2007</w:t>
            </w:r>
          </w:p>
        </w:tc>
        <w:tc>
          <w:tcPr>
            <w:tcW w:w="1140" w:type="dxa"/>
            <w:vAlign w:val="bottom"/>
          </w:tcPr>
          <w:p>
            <w:pPr>
              <w:jc w:val="right"/>
              <w:ind w:right="110"/>
              <w:spacing w:after="0"/>
              <w:rPr>
                <w:sz w:val="20"/>
                <w:szCs w:val="20"/>
                <w:color w:val="auto"/>
              </w:rPr>
            </w:pPr>
            <w:r>
              <w:rPr>
                <w:rFonts w:ascii="Arial" w:cs="Arial" w:eastAsia="Arial" w:hAnsi="Arial"/>
                <w:sz w:val="14"/>
                <w:szCs w:val="14"/>
                <w:color w:val="auto"/>
              </w:rPr>
              <w:t>6,788,214</w:t>
            </w:r>
          </w:p>
        </w:tc>
        <w:tc>
          <w:tcPr>
            <w:tcW w:w="460" w:type="dxa"/>
            <w:vAlign w:val="bottom"/>
          </w:tcPr>
          <w:p>
            <w:pPr>
              <w:jc w:val="right"/>
              <w:ind w:right="51"/>
              <w:spacing w:after="0"/>
              <w:rPr>
                <w:sz w:val="20"/>
                <w:szCs w:val="20"/>
                <w:color w:val="auto"/>
              </w:rPr>
            </w:pPr>
            <w:r>
              <w:rPr>
                <w:rFonts w:ascii="Arial" w:cs="Arial" w:eastAsia="Arial" w:hAnsi="Arial"/>
                <w:sz w:val="14"/>
                <w:szCs w:val="14"/>
                <w:color w:val="auto"/>
              </w:rPr>
              <w:t>$</w:t>
            </w:r>
          </w:p>
        </w:tc>
        <w:tc>
          <w:tcPr>
            <w:tcW w:w="580" w:type="dxa"/>
            <w:vAlign w:val="bottom"/>
          </w:tcPr>
          <w:p>
            <w:pPr>
              <w:jc w:val="right"/>
              <w:ind w:right="48"/>
              <w:spacing w:after="0"/>
              <w:rPr>
                <w:sz w:val="20"/>
                <w:szCs w:val="20"/>
                <w:color w:val="auto"/>
              </w:rPr>
            </w:pPr>
            <w:r>
              <w:rPr>
                <w:rFonts w:ascii="Arial" w:cs="Arial" w:eastAsia="Arial" w:hAnsi="Arial"/>
                <w:sz w:val="14"/>
                <w:szCs w:val="14"/>
                <w:color w:val="auto"/>
              </w:rPr>
              <w:t>32.61</w:t>
            </w:r>
          </w:p>
        </w:tc>
        <w:tc>
          <w:tcPr>
            <w:tcW w:w="1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r>
      <w:tr>
        <w:trPr>
          <w:trHeight w:val="216"/>
        </w:trPr>
        <w:tc>
          <w:tcPr>
            <w:tcW w:w="3140" w:type="dxa"/>
            <w:vAlign w:val="bottom"/>
          </w:tcPr>
          <w:p>
            <w:pPr>
              <w:ind w:left="240"/>
              <w:spacing w:after="0"/>
              <w:rPr>
                <w:sz w:val="20"/>
                <w:szCs w:val="20"/>
                <w:color w:val="auto"/>
              </w:rPr>
            </w:pPr>
            <w:r>
              <w:rPr>
                <w:rFonts w:ascii="Arial" w:cs="Arial" w:eastAsia="Arial" w:hAnsi="Arial"/>
                <w:sz w:val="14"/>
                <w:szCs w:val="14"/>
                <w:color w:val="auto"/>
              </w:rPr>
              <w:t>Granted</w:t>
            </w:r>
          </w:p>
        </w:tc>
        <w:tc>
          <w:tcPr>
            <w:tcW w:w="1140" w:type="dxa"/>
            <w:vAlign w:val="bottom"/>
          </w:tcPr>
          <w:p>
            <w:pPr>
              <w:jc w:val="right"/>
              <w:ind w:right="110"/>
              <w:spacing w:after="0"/>
              <w:rPr>
                <w:sz w:val="20"/>
                <w:szCs w:val="20"/>
                <w:color w:val="auto"/>
              </w:rPr>
            </w:pPr>
            <w:r>
              <w:rPr>
                <w:rFonts w:ascii="Arial" w:cs="Arial" w:eastAsia="Arial" w:hAnsi="Arial"/>
                <w:sz w:val="14"/>
                <w:szCs w:val="14"/>
                <w:color w:val="auto"/>
              </w:rPr>
              <w:t>783,500</w:t>
            </w:r>
          </w:p>
        </w:tc>
        <w:tc>
          <w:tcPr>
            <w:tcW w:w="460" w:type="dxa"/>
            <w:vAlign w:val="bottom"/>
          </w:tcPr>
          <w:p>
            <w:pPr>
              <w:jc w:val="right"/>
              <w:ind w:right="51"/>
              <w:spacing w:after="0"/>
              <w:rPr>
                <w:sz w:val="20"/>
                <w:szCs w:val="20"/>
                <w:color w:val="auto"/>
              </w:rPr>
            </w:pPr>
            <w:r>
              <w:rPr>
                <w:rFonts w:ascii="Arial" w:cs="Arial" w:eastAsia="Arial" w:hAnsi="Arial"/>
                <w:sz w:val="14"/>
                <w:szCs w:val="14"/>
                <w:color w:val="auto"/>
              </w:rPr>
              <w:t>$</w:t>
            </w:r>
          </w:p>
        </w:tc>
        <w:tc>
          <w:tcPr>
            <w:tcW w:w="580" w:type="dxa"/>
            <w:vAlign w:val="bottom"/>
          </w:tcPr>
          <w:p>
            <w:pPr>
              <w:jc w:val="right"/>
              <w:ind w:right="48"/>
              <w:spacing w:after="0"/>
              <w:rPr>
                <w:sz w:val="20"/>
                <w:szCs w:val="20"/>
                <w:color w:val="auto"/>
              </w:rPr>
            </w:pPr>
            <w:r>
              <w:rPr>
                <w:rFonts w:ascii="Arial" w:cs="Arial" w:eastAsia="Arial" w:hAnsi="Arial"/>
                <w:sz w:val="14"/>
                <w:szCs w:val="14"/>
                <w:color w:val="auto"/>
              </w:rPr>
              <w:t>61.10</w:t>
            </w:r>
          </w:p>
        </w:tc>
        <w:tc>
          <w:tcPr>
            <w:tcW w:w="1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r>
      <w:tr>
        <w:trPr>
          <w:trHeight w:val="216"/>
        </w:trPr>
        <w:tc>
          <w:tcPr>
            <w:tcW w:w="3140" w:type="dxa"/>
            <w:vAlign w:val="bottom"/>
          </w:tcPr>
          <w:p>
            <w:pPr>
              <w:ind w:left="240"/>
              <w:spacing w:after="0"/>
              <w:rPr>
                <w:sz w:val="20"/>
                <w:szCs w:val="20"/>
                <w:color w:val="auto"/>
              </w:rPr>
            </w:pPr>
            <w:r>
              <w:rPr>
                <w:rFonts w:ascii="Arial" w:cs="Arial" w:eastAsia="Arial" w:hAnsi="Arial"/>
                <w:sz w:val="14"/>
                <w:szCs w:val="14"/>
                <w:color w:val="auto"/>
              </w:rPr>
              <w:t>Exercised</w:t>
            </w:r>
          </w:p>
        </w:tc>
        <w:tc>
          <w:tcPr>
            <w:tcW w:w="1140" w:type="dxa"/>
            <w:vAlign w:val="bottom"/>
          </w:tcPr>
          <w:p>
            <w:pPr>
              <w:jc w:val="right"/>
              <w:ind w:right="50"/>
              <w:spacing w:after="0"/>
              <w:rPr>
                <w:sz w:val="20"/>
                <w:szCs w:val="20"/>
                <w:color w:val="auto"/>
              </w:rPr>
            </w:pPr>
            <w:r>
              <w:rPr>
                <w:rFonts w:ascii="Arial" w:cs="Arial" w:eastAsia="Arial" w:hAnsi="Arial"/>
                <w:sz w:val="14"/>
                <w:szCs w:val="14"/>
                <w:color w:val="auto"/>
              </w:rPr>
              <w:t>(683,858 )</w:t>
            </w:r>
          </w:p>
        </w:tc>
        <w:tc>
          <w:tcPr>
            <w:tcW w:w="460" w:type="dxa"/>
            <w:vAlign w:val="bottom"/>
          </w:tcPr>
          <w:p>
            <w:pPr>
              <w:jc w:val="right"/>
              <w:ind w:right="51"/>
              <w:spacing w:after="0"/>
              <w:rPr>
                <w:sz w:val="20"/>
                <w:szCs w:val="20"/>
                <w:color w:val="auto"/>
              </w:rPr>
            </w:pPr>
            <w:r>
              <w:rPr>
                <w:rFonts w:ascii="Arial" w:cs="Arial" w:eastAsia="Arial" w:hAnsi="Arial"/>
                <w:sz w:val="14"/>
                <w:szCs w:val="14"/>
                <w:color w:val="auto"/>
              </w:rPr>
              <w:t>$</w:t>
            </w:r>
          </w:p>
        </w:tc>
        <w:tc>
          <w:tcPr>
            <w:tcW w:w="580" w:type="dxa"/>
            <w:vAlign w:val="bottom"/>
          </w:tcPr>
          <w:p>
            <w:pPr>
              <w:jc w:val="right"/>
              <w:ind w:right="48"/>
              <w:spacing w:after="0"/>
              <w:rPr>
                <w:sz w:val="20"/>
                <w:szCs w:val="20"/>
                <w:color w:val="auto"/>
              </w:rPr>
            </w:pPr>
            <w:r>
              <w:rPr>
                <w:rFonts w:ascii="Arial" w:cs="Arial" w:eastAsia="Arial" w:hAnsi="Arial"/>
                <w:sz w:val="14"/>
                <w:szCs w:val="14"/>
                <w:color w:val="auto"/>
              </w:rPr>
              <w:t>25.97</w:t>
            </w:r>
          </w:p>
        </w:tc>
        <w:tc>
          <w:tcPr>
            <w:tcW w:w="1240" w:type="dxa"/>
            <w:vAlign w:val="bottom"/>
          </w:tcPr>
          <w:p>
            <w:pPr>
              <w:spacing w:after="0"/>
              <w:rPr>
                <w:sz w:val="18"/>
                <w:szCs w:val="18"/>
                <w:color w:val="auto"/>
              </w:rPr>
            </w:pPr>
          </w:p>
        </w:tc>
        <w:tc>
          <w:tcPr>
            <w:tcW w:w="900" w:type="dxa"/>
            <w:vAlign w:val="bottom"/>
          </w:tcPr>
          <w:p>
            <w:pPr>
              <w:jc w:val="right"/>
              <w:ind w:right="291"/>
              <w:spacing w:after="0"/>
              <w:rPr>
                <w:sz w:val="20"/>
                <w:szCs w:val="20"/>
                <w:color w:val="auto"/>
              </w:rPr>
            </w:pPr>
            <w:r>
              <w:rPr>
                <w:rFonts w:ascii="Arial" w:cs="Arial" w:eastAsia="Arial" w:hAnsi="Arial"/>
                <w:sz w:val="14"/>
                <w:szCs w:val="14"/>
                <w:color w:val="auto"/>
              </w:rPr>
              <w:t>$</w:t>
            </w:r>
          </w:p>
        </w:tc>
        <w:tc>
          <w:tcPr>
            <w:tcW w:w="300" w:type="dxa"/>
            <w:vAlign w:val="bottom"/>
          </w:tcPr>
          <w:p>
            <w:pPr>
              <w:jc w:val="right"/>
              <w:ind w:right="48"/>
              <w:spacing w:after="0"/>
              <w:rPr>
                <w:sz w:val="20"/>
                <w:szCs w:val="20"/>
                <w:color w:val="auto"/>
              </w:rPr>
            </w:pPr>
            <w:r>
              <w:rPr>
                <w:rFonts w:ascii="Arial" w:cs="Arial" w:eastAsia="Arial" w:hAnsi="Arial"/>
                <w:sz w:val="14"/>
                <w:szCs w:val="14"/>
                <w:color w:val="auto"/>
              </w:rPr>
              <w:t>21</w:t>
            </w:r>
          </w:p>
        </w:tc>
      </w:tr>
      <w:tr>
        <w:trPr>
          <w:trHeight w:val="222"/>
        </w:trPr>
        <w:tc>
          <w:tcPr>
            <w:tcW w:w="3140" w:type="dxa"/>
            <w:vAlign w:val="bottom"/>
          </w:tcPr>
          <w:p>
            <w:pPr>
              <w:ind w:left="240"/>
              <w:spacing w:after="0"/>
              <w:rPr>
                <w:sz w:val="20"/>
                <w:szCs w:val="20"/>
                <w:color w:val="auto"/>
              </w:rPr>
            </w:pPr>
            <w:r>
              <w:rPr>
                <w:rFonts w:ascii="Arial" w:cs="Arial" w:eastAsia="Arial" w:hAnsi="Arial"/>
                <w:sz w:val="14"/>
                <w:szCs w:val="14"/>
                <w:color w:val="auto"/>
              </w:rPr>
              <w:t>Forfeited/canceled</w:t>
            </w:r>
          </w:p>
        </w:tc>
        <w:tc>
          <w:tcPr>
            <w:tcW w:w="114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(35,600 )</w:t>
            </w:r>
          </w:p>
        </w:tc>
        <w:tc>
          <w:tcPr>
            <w:tcW w:w="460" w:type="dxa"/>
            <w:vAlign w:val="bottom"/>
          </w:tcPr>
          <w:p>
            <w:pPr>
              <w:jc w:val="right"/>
              <w:ind w:right="51"/>
              <w:spacing w:after="0"/>
              <w:rPr>
                <w:sz w:val="20"/>
                <w:szCs w:val="20"/>
                <w:color w:val="auto"/>
              </w:rPr>
            </w:pPr>
            <w:r>
              <w:rPr>
                <w:rFonts w:ascii="Arial" w:cs="Arial" w:eastAsia="Arial" w:hAnsi="Arial"/>
                <w:sz w:val="14"/>
                <w:szCs w:val="14"/>
                <w:color w:val="auto"/>
              </w:rPr>
              <w:t>$</w:t>
            </w:r>
          </w:p>
        </w:tc>
        <w:tc>
          <w:tcPr>
            <w:tcW w:w="580" w:type="dxa"/>
            <w:vAlign w:val="bottom"/>
          </w:tcPr>
          <w:p>
            <w:pPr>
              <w:jc w:val="right"/>
              <w:ind w:right="48"/>
              <w:spacing w:after="0"/>
              <w:rPr>
                <w:sz w:val="20"/>
                <w:szCs w:val="20"/>
                <w:color w:val="auto"/>
              </w:rPr>
            </w:pPr>
            <w:r>
              <w:rPr>
                <w:rFonts w:ascii="Arial" w:cs="Arial" w:eastAsia="Arial" w:hAnsi="Arial"/>
                <w:sz w:val="14"/>
                <w:szCs w:val="14"/>
                <w:color w:val="auto"/>
              </w:rPr>
              <w:t>54.54</w:t>
            </w:r>
          </w:p>
        </w:tc>
        <w:tc>
          <w:tcPr>
            <w:tcW w:w="1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00" w:type="dxa"/>
            <w:vAlign w:val="bottom"/>
          </w:tcPr>
          <w:p>
            <w:pPr>
              <w:spacing w:after="0"/>
              <w:rPr>
                <w:sz w:val="19"/>
                <w:szCs w:val="19"/>
                <w:color w:val="auto"/>
              </w:rPr>
            </w:pPr>
          </w:p>
        </w:tc>
      </w:tr>
      <w:tr>
        <w:trPr>
          <w:trHeight w:val="224"/>
        </w:trPr>
        <w:tc>
          <w:tcPr>
            <w:tcW w:w="3140" w:type="dxa"/>
            <w:vAlign w:val="bottom"/>
          </w:tcPr>
          <w:p>
            <w:pPr>
              <w:spacing w:after="0"/>
              <w:rPr>
                <w:sz w:val="20"/>
                <w:szCs w:val="20"/>
                <w:color w:val="auto"/>
              </w:rPr>
            </w:pPr>
            <w:r>
              <w:rPr>
                <w:rFonts w:ascii="Arial" w:cs="Arial" w:eastAsia="Arial" w:hAnsi="Arial"/>
                <w:sz w:val="14"/>
                <w:szCs w:val="14"/>
                <w:color w:val="auto"/>
              </w:rPr>
              <w:t>Outstanding at December 31, 2008</w:t>
            </w:r>
          </w:p>
        </w:tc>
        <w:tc>
          <w:tcPr>
            <w:tcW w:w="1140" w:type="dxa"/>
            <w:vAlign w:val="bottom"/>
            <w:tcBorders>
              <w:bottom w:val="single" w:sz="8" w:color="auto"/>
            </w:tcBorders>
          </w:tcPr>
          <w:p>
            <w:pPr>
              <w:jc w:val="right"/>
              <w:ind w:right="110"/>
              <w:spacing w:after="0"/>
              <w:rPr>
                <w:sz w:val="20"/>
                <w:szCs w:val="20"/>
                <w:color w:val="auto"/>
              </w:rPr>
            </w:pPr>
            <w:r>
              <w:rPr>
                <w:rFonts w:ascii="Arial" w:cs="Arial" w:eastAsia="Arial" w:hAnsi="Arial"/>
                <w:sz w:val="14"/>
                <w:szCs w:val="14"/>
                <w:color w:val="auto"/>
              </w:rPr>
              <w:t>6,852,256</w:t>
            </w:r>
          </w:p>
        </w:tc>
        <w:tc>
          <w:tcPr>
            <w:tcW w:w="460" w:type="dxa"/>
            <w:vAlign w:val="bottom"/>
          </w:tcPr>
          <w:p>
            <w:pPr>
              <w:jc w:val="right"/>
              <w:ind w:right="51"/>
              <w:spacing w:after="0"/>
              <w:rPr>
                <w:sz w:val="20"/>
                <w:szCs w:val="20"/>
                <w:color w:val="auto"/>
              </w:rPr>
            </w:pPr>
            <w:r>
              <w:rPr>
                <w:rFonts w:ascii="Arial" w:cs="Arial" w:eastAsia="Arial" w:hAnsi="Arial"/>
                <w:sz w:val="14"/>
                <w:szCs w:val="14"/>
                <w:color w:val="auto"/>
              </w:rPr>
              <w:t>$</w:t>
            </w:r>
          </w:p>
        </w:tc>
        <w:tc>
          <w:tcPr>
            <w:tcW w:w="580" w:type="dxa"/>
            <w:vAlign w:val="bottom"/>
          </w:tcPr>
          <w:p>
            <w:pPr>
              <w:jc w:val="right"/>
              <w:ind w:right="48"/>
              <w:spacing w:after="0"/>
              <w:rPr>
                <w:sz w:val="20"/>
                <w:szCs w:val="20"/>
                <w:color w:val="auto"/>
              </w:rPr>
            </w:pPr>
            <w:r>
              <w:rPr>
                <w:rFonts w:ascii="Arial" w:cs="Arial" w:eastAsia="Arial" w:hAnsi="Arial"/>
                <w:sz w:val="14"/>
                <w:szCs w:val="14"/>
                <w:color w:val="auto"/>
              </w:rPr>
              <w:t>36.42</w:t>
            </w:r>
          </w:p>
        </w:tc>
        <w:tc>
          <w:tcPr>
            <w:tcW w:w="1240" w:type="dxa"/>
            <w:vAlign w:val="bottom"/>
          </w:tcPr>
          <w:p>
            <w:pPr>
              <w:jc w:val="right"/>
              <w:ind w:right="33"/>
              <w:spacing w:after="0"/>
              <w:rPr>
                <w:sz w:val="20"/>
                <w:szCs w:val="20"/>
                <w:color w:val="auto"/>
              </w:rPr>
            </w:pPr>
            <w:r>
              <w:rPr>
                <w:rFonts w:ascii="Arial" w:cs="Arial" w:eastAsia="Arial" w:hAnsi="Arial"/>
                <w:sz w:val="14"/>
                <w:szCs w:val="14"/>
                <w:color w:val="auto"/>
              </w:rPr>
              <w:t>5.2</w:t>
            </w:r>
          </w:p>
        </w:tc>
        <w:tc>
          <w:tcPr>
            <w:tcW w:w="900" w:type="dxa"/>
            <w:vAlign w:val="bottom"/>
          </w:tcPr>
          <w:p>
            <w:pPr>
              <w:jc w:val="right"/>
              <w:ind w:right="291"/>
              <w:spacing w:after="0"/>
              <w:rPr>
                <w:sz w:val="20"/>
                <w:szCs w:val="20"/>
                <w:color w:val="auto"/>
              </w:rPr>
            </w:pPr>
            <w:r>
              <w:rPr>
                <w:rFonts w:ascii="Arial" w:cs="Arial" w:eastAsia="Arial" w:hAnsi="Arial"/>
                <w:sz w:val="14"/>
                <w:szCs w:val="14"/>
                <w:color w:val="auto"/>
              </w:rPr>
              <w:t>$</w:t>
            </w:r>
          </w:p>
        </w:tc>
        <w:tc>
          <w:tcPr>
            <w:tcW w:w="300" w:type="dxa"/>
            <w:vAlign w:val="bottom"/>
          </w:tcPr>
          <w:p>
            <w:pPr>
              <w:jc w:val="right"/>
              <w:ind w:right="48"/>
              <w:spacing w:after="0"/>
              <w:rPr>
                <w:sz w:val="20"/>
                <w:szCs w:val="20"/>
                <w:color w:val="auto"/>
              </w:rPr>
            </w:pPr>
            <w:r>
              <w:rPr>
                <w:rFonts w:ascii="Arial" w:cs="Arial" w:eastAsia="Arial" w:hAnsi="Arial"/>
                <w:sz w:val="14"/>
                <w:szCs w:val="14"/>
                <w:color w:val="auto"/>
              </w:rPr>
              <w:t>70</w:t>
            </w:r>
          </w:p>
        </w:tc>
      </w:tr>
      <w:tr>
        <w:trPr>
          <w:trHeight w:val="426"/>
        </w:trPr>
        <w:tc>
          <w:tcPr>
            <w:tcW w:w="3140" w:type="dxa"/>
            <w:vAlign w:val="bottom"/>
          </w:tcPr>
          <w:p>
            <w:pPr>
              <w:spacing w:after="0"/>
              <w:rPr>
                <w:sz w:val="20"/>
                <w:szCs w:val="20"/>
                <w:color w:val="auto"/>
              </w:rPr>
            </w:pPr>
            <w:r>
              <w:rPr>
                <w:rFonts w:ascii="Arial" w:cs="Arial" w:eastAsia="Arial" w:hAnsi="Arial"/>
                <w:sz w:val="14"/>
                <w:szCs w:val="14"/>
                <w:color w:val="auto"/>
              </w:rPr>
              <w:t>Vested or expected to vest,</w:t>
            </w:r>
          </w:p>
        </w:tc>
        <w:tc>
          <w:tcPr>
            <w:tcW w:w="1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216"/>
        </w:trPr>
        <w:tc>
          <w:tcPr>
            <w:tcW w:w="3140" w:type="dxa"/>
            <w:vAlign w:val="bottom"/>
          </w:tcPr>
          <w:p>
            <w:pPr>
              <w:ind w:left="240"/>
              <w:spacing w:after="0"/>
              <w:rPr>
                <w:sz w:val="20"/>
                <w:szCs w:val="20"/>
                <w:color w:val="auto"/>
              </w:rPr>
            </w:pPr>
            <w:r>
              <w:rPr>
                <w:rFonts w:ascii="Arial" w:cs="Arial" w:eastAsia="Arial" w:hAnsi="Arial"/>
                <w:sz w:val="14"/>
                <w:szCs w:val="14"/>
                <w:color w:val="auto"/>
              </w:rPr>
              <w:t>at December 31, 2008</w:t>
            </w:r>
          </w:p>
        </w:tc>
        <w:tc>
          <w:tcPr>
            <w:tcW w:w="1140" w:type="dxa"/>
            <w:vAlign w:val="bottom"/>
          </w:tcPr>
          <w:p>
            <w:pPr>
              <w:jc w:val="right"/>
              <w:ind w:right="110"/>
              <w:spacing w:after="0"/>
              <w:rPr>
                <w:sz w:val="20"/>
                <w:szCs w:val="20"/>
                <w:color w:val="auto"/>
              </w:rPr>
            </w:pPr>
            <w:r>
              <w:rPr>
                <w:rFonts w:ascii="Arial" w:cs="Arial" w:eastAsia="Arial" w:hAnsi="Arial"/>
                <w:sz w:val="14"/>
                <w:szCs w:val="14"/>
                <w:color w:val="auto"/>
              </w:rPr>
              <w:t>6,805,507</w:t>
            </w:r>
          </w:p>
        </w:tc>
        <w:tc>
          <w:tcPr>
            <w:tcW w:w="460" w:type="dxa"/>
            <w:vAlign w:val="bottom"/>
          </w:tcPr>
          <w:p>
            <w:pPr>
              <w:jc w:val="right"/>
              <w:ind w:right="51"/>
              <w:spacing w:after="0"/>
              <w:rPr>
                <w:sz w:val="20"/>
                <w:szCs w:val="20"/>
                <w:color w:val="auto"/>
              </w:rPr>
            </w:pPr>
            <w:r>
              <w:rPr>
                <w:rFonts w:ascii="Arial" w:cs="Arial" w:eastAsia="Arial" w:hAnsi="Arial"/>
                <w:sz w:val="14"/>
                <w:szCs w:val="14"/>
                <w:color w:val="auto"/>
              </w:rPr>
              <w:t>$</w:t>
            </w:r>
          </w:p>
        </w:tc>
        <w:tc>
          <w:tcPr>
            <w:tcW w:w="580" w:type="dxa"/>
            <w:vAlign w:val="bottom"/>
          </w:tcPr>
          <w:p>
            <w:pPr>
              <w:jc w:val="right"/>
              <w:ind w:right="48"/>
              <w:spacing w:after="0"/>
              <w:rPr>
                <w:sz w:val="20"/>
                <w:szCs w:val="20"/>
                <w:color w:val="auto"/>
              </w:rPr>
            </w:pPr>
            <w:r>
              <w:rPr>
                <w:rFonts w:ascii="Arial" w:cs="Arial" w:eastAsia="Arial" w:hAnsi="Arial"/>
                <w:sz w:val="14"/>
                <w:szCs w:val="14"/>
                <w:color w:val="auto"/>
              </w:rPr>
              <w:t>36.29</w:t>
            </w:r>
          </w:p>
        </w:tc>
        <w:tc>
          <w:tcPr>
            <w:tcW w:w="1240" w:type="dxa"/>
            <w:vAlign w:val="bottom"/>
          </w:tcPr>
          <w:p>
            <w:pPr>
              <w:jc w:val="right"/>
              <w:ind w:right="33"/>
              <w:spacing w:after="0"/>
              <w:rPr>
                <w:sz w:val="20"/>
                <w:szCs w:val="20"/>
                <w:color w:val="auto"/>
              </w:rPr>
            </w:pPr>
            <w:r>
              <w:rPr>
                <w:rFonts w:ascii="Arial" w:cs="Arial" w:eastAsia="Arial" w:hAnsi="Arial"/>
                <w:sz w:val="14"/>
                <w:szCs w:val="14"/>
                <w:color w:val="auto"/>
              </w:rPr>
              <w:t>5.2</w:t>
            </w:r>
          </w:p>
        </w:tc>
        <w:tc>
          <w:tcPr>
            <w:tcW w:w="900" w:type="dxa"/>
            <w:vAlign w:val="bottom"/>
          </w:tcPr>
          <w:p>
            <w:pPr>
              <w:jc w:val="right"/>
              <w:ind w:right="291"/>
              <w:spacing w:after="0"/>
              <w:rPr>
                <w:sz w:val="20"/>
                <w:szCs w:val="20"/>
                <w:color w:val="auto"/>
              </w:rPr>
            </w:pPr>
            <w:r>
              <w:rPr>
                <w:rFonts w:ascii="Arial" w:cs="Arial" w:eastAsia="Arial" w:hAnsi="Arial"/>
                <w:sz w:val="14"/>
                <w:szCs w:val="14"/>
                <w:color w:val="auto"/>
              </w:rPr>
              <w:t>$</w:t>
            </w:r>
          </w:p>
        </w:tc>
        <w:tc>
          <w:tcPr>
            <w:tcW w:w="300" w:type="dxa"/>
            <w:vAlign w:val="bottom"/>
          </w:tcPr>
          <w:p>
            <w:pPr>
              <w:jc w:val="right"/>
              <w:ind w:right="48"/>
              <w:spacing w:after="0"/>
              <w:rPr>
                <w:sz w:val="20"/>
                <w:szCs w:val="20"/>
                <w:color w:val="auto"/>
              </w:rPr>
            </w:pPr>
            <w:r>
              <w:rPr>
                <w:rFonts w:ascii="Arial" w:cs="Arial" w:eastAsia="Arial" w:hAnsi="Arial"/>
                <w:sz w:val="14"/>
                <w:szCs w:val="14"/>
                <w:color w:val="auto"/>
              </w:rPr>
              <w:t>70</w:t>
            </w:r>
          </w:p>
        </w:tc>
      </w:tr>
      <w:tr>
        <w:trPr>
          <w:trHeight w:val="250"/>
        </w:trPr>
        <w:tc>
          <w:tcPr>
            <w:tcW w:w="3140" w:type="dxa"/>
            <w:vAlign w:val="bottom"/>
            <w:tcBorders>
              <w:bottom w:val="single" w:sz="8" w:color="DFDFDF"/>
            </w:tcBorders>
          </w:tcPr>
          <w:p>
            <w:pPr>
              <w:spacing w:after="0"/>
              <w:rPr>
                <w:sz w:val="20"/>
                <w:szCs w:val="20"/>
                <w:color w:val="auto"/>
              </w:rPr>
            </w:pPr>
            <w:r>
              <w:rPr>
                <w:rFonts w:ascii="Arial" w:cs="Arial" w:eastAsia="Arial" w:hAnsi="Arial"/>
                <w:sz w:val="14"/>
                <w:szCs w:val="14"/>
                <w:color w:val="auto"/>
              </w:rPr>
              <w:t>Exercisable at December 31, 2008</w:t>
            </w:r>
          </w:p>
        </w:tc>
        <w:tc>
          <w:tcPr>
            <w:tcW w:w="1140" w:type="dxa"/>
            <w:vAlign w:val="bottom"/>
            <w:tcBorders>
              <w:bottom w:val="single" w:sz="8" w:color="DFDFDF"/>
            </w:tcBorders>
          </w:tcPr>
          <w:p>
            <w:pPr>
              <w:jc w:val="right"/>
              <w:ind w:right="110"/>
              <w:spacing w:after="0"/>
              <w:rPr>
                <w:sz w:val="20"/>
                <w:szCs w:val="20"/>
                <w:color w:val="auto"/>
              </w:rPr>
            </w:pPr>
            <w:r>
              <w:rPr>
                <w:rFonts w:ascii="Arial" w:cs="Arial" w:eastAsia="Arial" w:hAnsi="Arial"/>
                <w:sz w:val="14"/>
                <w:szCs w:val="14"/>
                <w:color w:val="auto"/>
              </w:rPr>
              <w:t>5,042,381</w:t>
            </w:r>
          </w:p>
        </w:tc>
        <w:tc>
          <w:tcPr>
            <w:tcW w:w="460" w:type="dxa"/>
            <w:vAlign w:val="bottom"/>
            <w:tcBorders>
              <w:bottom w:val="single" w:sz="8" w:color="DFDFDF"/>
            </w:tcBorders>
          </w:tcPr>
          <w:p>
            <w:pPr>
              <w:jc w:val="right"/>
              <w:ind w:right="51"/>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DFDFDF"/>
            </w:tcBorders>
          </w:tcPr>
          <w:p>
            <w:pPr>
              <w:jc w:val="right"/>
              <w:ind w:right="48"/>
              <w:spacing w:after="0"/>
              <w:rPr>
                <w:sz w:val="20"/>
                <w:szCs w:val="20"/>
                <w:color w:val="auto"/>
              </w:rPr>
            </w:pPr>
            <w:r>
              <w:rPr>
                <w:rFonts w:ascii="Arial" w:cs="Arial" w:eastAsia="Arial" w:hAnsi="Arial"/>
                <w:sz w:val="14"/>
                <w:szCs w:val="14"/>
                <w:color w:val="auto"/>
              </w:rPr>
              <w:t>29.92</w:t>
            </w:r>
          </w:p>
        </w:tc>
        <w:tc>
          <w:tcPr>
            <w:tcW w:w="1240" w:type="dxa"/>
            <w:vAlign w:val="bottom"/>
            <w:tcBorders>
              <w:bottom w:val="single" w:sz="8" w:color="DFDFDF"/>
            </w:tcBorders>
          </w:tcPr>
          <w:p>
            <w:pPr>
              <w:jc w:val="right"/>
              <w:ind w:right="33"/>
              <w:spacing w:after="0"/>
              <w:rPr>
                <w:sz w:val="20"/>
                <w:szCs w:val="20"/>
                <w:color w:val="auto"/>
              </w:rPr>
            </w:pPr>
            <w:r>
              <w:rPr>
                <w:rFonts w:ascii="Arial" w:cs="Arial" w:eastAsia="Arial" w:hAnsi="Arial"/>
                <w:sz w:val="14"/>
                <w:szCs w:val="14"/>
                <w:color w:val="auto"/>
              </w:rPr>
              <w:t>4.2</w:t>
            </w:r>
          </w:p>
        </w:tc>
        <w:tc>
          <w:tcPr>
            <w:tcW w:w="900" w:type="dxa"/>
            <w:vAlign w:val="bottom"/>
            <w:tcBorders>
              <w:bottom w:val="single" w:sz="8" w:color="DFDFDF"/>
            </w:tcBorders>
          </w:tcPr>
          <w:p>
            <w:pPr>
              <w:jc w:val="right"/>
              <w:ind w:right="291"/>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DFDFDF"/>
            </w:tcBorders>
          </w:tcPr>
          <w:p>
            <w:pPr>
              <w:jc w:val="right"/>
              <w:ind w:right="48"/>
              <w:spacing w:after="0"/>
              <w:rPr>
                <w:sz w:val="20"/>
                <w:szCs w:val="20"/>
                <w:color w:val="auto"/>
              </w:rPr>
            </w:pPr>
            <w:r>
              <w:rPr>
                <w:rFonts w:ascii="Arial" w:cs="Arial" w:eastAsia="Arial" w:hAnsi="Arial"/>
                <w:sz w:val="14"/>
                <w:szCs w:val="14"/>
                <w:color w:val="auto"/>
              </w:rPr>
              <w:t>69</w:t>
            </w:r>
          </w:p>
        </w:tc>
      </w:tr>
    </w:tbl>
    <w:p>
      <w:pPr>
        <w:spacing w:after="0" w:line="180" w:lineRule="exact"/>
        <w:rPr>
          <w:sz w:val="20"/>
          <w:szCs w:val="20"/>
          <w:color w:val="auto"/>
        </w:rPr>
      </w:pPr>
    </w:p>
    <w:p>
      <w:pPr>
        <w:ind w:left="4"/>
        <w:spacing w:after="0" w:line="274" w:lineRule="auto"/>
        <w:rPr>
          <w:sz w:val="20"/>
          <w:szCs w:val="20"/>
          <w:color w:val="auto"/>
        </w:rPr>
      </w:pPr>
      <w:r>
        <w:rPr>
          <w:rFonts w:ascii="Arial" w:cs="Arial" w:eastAsia="Arial" w:hAnsi="Arial"/>
          <w:sz w:val="16"/>
          <w:szCs w:val="16"/>
          <w:color w:val="auto"/>
        </w:rPr>
        <w:t>The aggregate intrinsic value at December 31, 2008 is the total of the difference between Sempra Energy’s closing stock price and the exercise price for all in-the-money options. The total fair value of shares vested in the last three years was</w:t>
      </w:r>
    </w:p>
    <w:p>
      <w:pPr>
        <w:ind w:left="144" w:hanging="144"/>
        <w:spacing w:after="0"/>
        <w:tabs>
          <w:tab w:leader="none" w:pos="144" w:val="left"/>
        </w:tabs>
        <w:numPr>
          <w:ilvl w:val="0"/>
          <w:numId w:val="354"/>
        </w:numPr>
        <w:rPr>
          <w:rFonts w:ascii="Arial" w:cs="Arial" w:eastAsia="Arial" w:hAnsi="Arial"/>
          <w:sz w:val="16"/>
          <w:szCs w:val="16"/>
          <w:color w:val="auto"/>
        </w:rPr>
      </w:pPr>
      <w:r>
        <w:rPr>
          <w:rFonts w:ascii="Arial" w:cs="Arial" w:eastAsia="Arial" w:hAnsi="Arial"/>
          <w:sz w:val="16"/>
          <w:szCs w:val="16"/>
          <w:color w:val="auto"/>
        </w:rPr>
        <w:t>$8 million in 2008</w:t>
      </w:r>
    </w:p>
    <w:p>
      <w:pPr>
        <w:spacing w:after="0" w:line="44" w:lineRule="exact"/>
        <w:rPr>
          <w:rFonts w:ascii="Arial" w:cs="Arial" w:eastAsia="Arial" w:hAnsi="Arial"/>
          <w:sz w:val="16"/>
          <w:szCs w:val="16"/>
          <w:color w:val="auto"/>
        </w:rPr>
      </w:pPr>
    </w:p>
    <w:p>
      <w:pPr>
        <w:ind w:left="144" w:hanging="144"/>
        <w:spacing w:after="0"/>
        <w:tabs>
          <w:tab w:leader="none" w:pos="144" w:val="left"/>
        </w:tabs>
        <w:numPr>
          <w:ilvl w:val="0"/>
          <w:numId w:val="354"/>
        </w:numPr>
        <w:rPr>
          <w:rFonts w:ascii="Arial" w:cs="Arial" w:eastAsia="Arial" w:hAnsi="Arial"/>
          <w:sz w:val="16"/>
          <w:szCs w:val="16"/>
          <w:color w:val="auto"/>
        </w:rPr>
      </w:pPr>
      <w:r>
        <w:rPr>
          <w:rFonts w:ascii="Arial" w:cs="Arial" w:eastAsia="Arial" w:hAnsi="Arial"/>
          <w:sz w:val="16"/>
          <w:szCs w:val="16"/>
          <w:color w:val="auto"/>
        </w:rPr>
        <w:t>$7 million in 2007</w:t>
      </w:r>
    </w:p>
    <w:p>
      <w:pPr>
        <w:spacing w:after="0" w:line="44" w:lineRule="exact"/>
        <w:rPr>
          <w:rFonts w:ascii="Arial" w:cs="Arial" w:eastAsia="Arial" w:hAnsi="Arial"/>
          <w:sz w:val="16"/>
          <w:szCs w:val="16"/>
          <w:color w:val="auto"/>
        </w:rPr>
      </w:pPr>
    </w:p>
    <w:p>
      <w:pPr>
        <w:ind w:left="144" w:hanging="144"/>
        <w:spacing w:after="0"/>
        <w:tabs>
          <w:tab w:leader="none" w:pos="144" w:val="left"/>
        </w:tabs>
        <w:numPr>
          <w:ilvl w:val="0"/>
          <w:numId w:val="354"/>
        </w:numPr>
        <w:rPr>
          <w:rFonts w:ascii="Arial" w:cs="Arial" w:eastAsia="Arial" w:hAnsi="Arial"/>
          <w:sz w:val="16"/>
          <w:szCs w:val="16"/>
          <w:color w:val="auto"/>
        </w:rPr>
      </w:pPr>
      <w:r>
        <w:rPr>
          <w:rFonts w:ascii="Arial" w:cs="Arial" w:eastAsia="Arial" w:hAnsi="Arial"/>
          <w:sz w:val="16"/>
          <w:szCs w:val="16"/>
          <w:color w:val="auto"/>
        </w:rPr>
        <w:t>$12 million in 2006</w:t>
      </w:r>
    </w:p>
    <w:p>
      <w:pPr>
        <w:spacing w:after="0" w:line="128" w:lineRule="exact"/>
        <w:rPr>
          <w:sz w:val="20"/>
          <w:szCs w:val="20"/>
          <w:color w:val="auto"/>
        </w:rPr>
      </w:pPr>
    </w:p>
    <w:p>
      <w:pPr>
        <w:ind w:left="4" w:right="160"/>
        <w:spacing w:after="0" w:line="277" w:lineRule="auto"/>
        <w:rPr>
          <w:sz w:val="20"/>
          <w:szCs w:val="20"/>
          <w:color w:val="auto"/>
        </w:rPr>
      </w:pPr>
      <w:r>
        <w:rPr>
          <w:rFonts w:ascii="Arial" w:cs="Arial" w:eastAsia="Arial" w:hAnsi="Arial"/>
          <w:sz w:val="16"/>
          <w:szCs w:val="16"/>
          <w:color w:val="auto"/>
        </w:rPr>
        <w:t>The $7 million of total compensation cost related to nonvested stock options not yet recognized as of December 31, 2008 is expected to be recognized over a weighted-average period of 2.3 years.</w:t>
      </w:r>
    </w:p>
    <w:p>
      <w:pPr>
        <w:spacing w:after="0" w:line="32" w:lineRule="exact"/>
        <w:rPr>
          <w:sz w:val="20"/>
          <w:szCs w:val="20"/>
          <w:color w:val="auto"/>
        </w:rPr>
      </w:pPr>
    </w:p>
    <w:p>
      <w:pPr>
        <w:ind w:left="4" w:right="80"/>
        <w:spacing w:after="0" w:line="277" w:lineRule="auto"/>
        <w:rPr>
          <w:sz w:val="20"/>
          <w:szCs w:val="20"/>
          <w:color w:val="auto"/>
        </w:rPr>
      </w:pPr>
      <w:r>
        <w:rPr>
          <w:rFonts w:ascii="Arial" w:cs="Arial" w:eastAsia="Arial" w:hAnsi="Arial"/>
          <w:sz w:val="16"/>
          <w:szCs w:val="16"/>
          <w:color w:val="auto"/>
        </w:rPr>
        <w:t>We received cash from option exercises during 2008 totaling $18 million. The realized tax benefits for the share-based payment award deductions, in addition to the $17 million benefit shown above, totaled $10 million for 2008.</w:t>
      </w:r>
    </w:p>
    <w:p>
      <w:pPr>
        <w:spacing w:after="0" w:line="200" w:lineRule="exact"/>
        <w:rPr>
          <w:sz w:val="20"/>
          <w:szCs w:val="20"/>
          <w:color w:val="auto"/>
        </w:rPr>
      </w:pPr>
    </w:p>
    <w:p>
      <w:pPr>
        <w:spacing w:after="0" w:line="292" w:lineRule="exact"/>
        <w:rPr>
          <w:sz w:val="20"/>
          <w:szCs w:val="20"/>
          <w:color w:val="auto"/>
        </w:rPr>
      </w:pPr>
    </w:p>
    <w:p>
      <w:pPr>
        <w:ind w:left="4"/>
        <w:spacing w:after="0"/>
        <w:rPr>
          <w:sz w:val="20"/>
          <w:szCs w:val="20"/>
          <w:color w:val="auto"/>
        </w:rPr>
      </w:pPr>
      <w:r>
        <w:rPr>
          <w:rFonts w:ascii="Arial" w:cs="Arial" w:eastAsia="Arial" w:hAnsi="Arial"/>
          <w:sz w:val="14"/>
          <w:szCs w:val="14"/>
          <w:color w:val="auto"/>
        </w:rPr>
        <w:t>151</w:t>
      </w:r>
    </w:p>
    <w:p>
      <w:pPr>
        <w:sectPr>
          <w:pgSz w:w="11900" w:h="16838" w:orient="portrait"/>
          <w:cols w:equalWidth="0" w:num="1">
            <w:col w:w="11384"/>
          </w:cols>
          <w:pgMar w:left="236" w:top="960" w:right="279" w:bottom="1440" w:gutter="0" w:footer="0" w:header="0"/>
        </w:sectPr>
      </w:pPr>
    </w:p>
    <w:bookmarkStart w:id="291" w:name="page292"/>
    <w:bookmarkEnd w:id="291"/>
    <w:p>
      <w:pPr>
        <w:ind w:left="4"/>
        <w:spacing w:after="0"/>
        <w:rPr>
          <w:sz w:val="20"/>
          <w:szCs w:val="20"/>
          <w:color w:val="auto"/>
        </w:rPr>
      </w:pPr>
      <w:r>
        <w:rPr>
          <w:rFonts w:ascii="Arial" w:cs="Arial" w:eastAsia="Arial" w:hAnsi="Arial"/>
          <w:sz w:val="16"/>
          <w:szCs w:val="16"/>
          <w:b w:val="1"/>
          <w:bCs w:val="1"/>
          <w:color w:val="auto"/>
        </w:rPr>
        <w:t>SEMPRA ENERGY RESTRICTED STOCK AWARDS AND UNITS</w:t>
      </w:r>
    </w:p>
    <w:p>
      <w:pPr>
        <w:spacing w:after="0" w:line="89" w:lineRule="exact"/>
        <w:rPr>
          <w:sz w:val="20"/>
          <w:szCs w:val="20"/>
          <w:color w:val="auto"/>
        </w:rPr>
      </w:pPr>
    </w:p>
    <w:p>
      <w:pPr>
        <w:ind w:left="4" w:right="40"/>
        <w:spacing w:after="0" w:line="264" w:lineRule="auto"/>
        <w:rPr>
          <w:sz w:val="20"/>
          <w:szCs w:val="20"/>
          <w:color w:val="auto"/>
        </w:rPr>
      </w:pPr>
      <w:r>
        <w:rPr>
          <w:rFonts w:ascii="Arial" w:cs="Arial" w:eastAsia="Arial" w:hAnsi="Arial"/>
          <w:sz w:val="16"/>
          <w:szCs w:val="16"/>
          <w:color w:val="auto"/>
        </w:rPr>
        <w:t>We use a Monte-Carlo simulation model to estimate the fair value of the restricted stock awards and units. Our determination of fair value is affected by the volatility of the stock price and the dividend yields for Sempra Energy and its peer group companies. The valuation also is affected by the risk-free rates of return, and a number of other variables. Below are key assumptions for Sempra Energy:</w:t>
      </w:r>
    </w:p>
    <w:p>
      <w:pPr>
        <w:spacing w:after="0" w:line="130" w:lineRule="exact"/>
        <w:rPr>
          <w:sz w:val="20"/>
          <w:szCs w:val="20"/>
          <w:color w:val="auto"/>
        </w:rPr>
      </w:pPr>
    </w:p>
    <w:tbl>
      <w:tblPr>
        <w:tblLayout w:type="fixed"/>
        <w:tblInd w:w="3264" w:type="dxa"/>
        <w:tblCellMar>
          <w:top w:w="0" w:type="dxa"/>
          <w:left w:w="0" w:type="dxa"/>
          <w:bottom w:w="0" w:type="dxa"/>
          <w:right w:w="0" w:type="dxa"/>
        </w:tblCellMar>
      </w:tblPr>
      <w:tr>
        <w:trPr>
          <w:trHeight w:val="159"/>
        </w:trPr>
        <w:tc>
          <w:tcPr>
            <w:tcW w:w="198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ind w:right="330"/>
              <w:spacing w:after="0"/>
              <w:rPr>
                <w:sz w:val="20"/>
                <w:szCs w:val="20"/>
                <w:color w:val="auto"/>
              </w:rPr>
            </w:pPr>
            <w:r>
              <w:rPr>
                <w:rFonts w:ascii="Arial" w:cs="Arial" w:eastAsia="Arial" w:hAnsi="Arial"/>
                <w:sz w:val="13"/>
                <w:szCs w:val="13"/>
                <w:color w:val="auto"/>
              </w:rPr>
              <w:t>2008</w:t>
            </w: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3"/>
                <w:szCs w:val="13"/>
                <w:color w:val="auto"/>
              </w:rPr>
              <w:t>2007</w:t>
            </w:r>
          </w:p>
        </w:tc>
        <w:tc>
          <w:tcPr>
            <w:tcW w:w="740" w:type="dxa"/>
            <w:vAlign w:val="bottom"/>
            <w:tcBorders>
              <w:bottom w:val="single" w:sz="8" w:color="auto"/>
            </w:tcBorders>
          </w:tcPr>
          <w:p>
            <w:pPr>
              <w:jc w:val="right"/>
              <w:ind w:right="130"/>
              <w:spacing w:after="0"/>
              <w:rPr>
                <w:sz w:val="20"/>
                <w:szCs w:val="20"/>
                <w:color w:val="auto"/>
              </w:rPr>
            </w:pPr>
            <w:r>
              <w:rPr>
                <w:rFonts w:ascii="Arial" w:cs="Arial" w:eastAsia="Arial" w:hAnsi="Arial"/>
                <w:sz w:val="13"/>
                <w:szCs w:val="13"/>
                <w:color w:val="auto"/>
              </w:rPr>
              <w:t>2006</w:t>
            </w:r>
          </w:p>
        </w:tc>
      </w:tr>
      <w:tr>
        <w:trPr>
          <w:trHeight w:val="207"/>
        </w:trPr>
        <w:tc>
          <w:tcPr>
            <w:tcW w:w="1980" w:type="dxa"/>
            <w:vAlign w:val="bottom"/>
          </w:tcPr>
          <w:p>
            <w:pPr>
              <w:spacing w:after="0"/>
              <w:rPr>
                <w:sz w:val="20"/>
                <w:szCs w:val="20"/>
                <w:color w:val="auto"/>
              </w:rPr>
            </w:pPr>
            <w:r>
              <w:rPr>
                <w:rFonts w:ascii="Arial" w:cs="Arial" w:eastAsia="Arial" w:hAnsi="Arial"/>
                <w:sz w:val="14"/>
                <w:szCs w:val="14"/>
                <w:color w:val="auto"/>
              </w:rPr>
              <w:t>Risk-free rate of return</w:t>
            </w:r>
          </w:p>
        </w:tc>
        <w:tc>
          <w:tcPr>
            <w:tcW w:w="1220" w:type="dxa"/>
            <w:vAlign w:val="bottom"/>
          </w:tcPr>
          <w:p>
            <w:pPr>
              <w:jc w:val="right"/>
              <w:ind w:right="190"/>
              <w:spacing w:after="0"/>
              <w:rPr>
                <w:sz w:val="20"/>
                <w:szCs w:val="20"/>
                <w:color w:val="auto"/>
              </w:rPr>
            </w:pPr>
            <w:r>
              <w:rPr>
                <w:rFonts w:ascii="Arial" w:cs="Arial" w:eastAsia="Arial" w:hAnsi="Arial"/>
                <w:sz w:val="14"/>
                <w:szCs w:val="14"/>
                <w:color w:val="auto"/>
              </w:rPr>
              <w:t>3.1 %</w:t>
            </w:r>
          </w:p>
        </w:tc>
        <w:tc>
          <w:tcPr>
            <w:tcW w:w="980" w:type="dxa"/>
            <w:vAlign w:val="bottom"/>
          </w:tcPr>
          <w:p>
            <w:pPr>
              <w:jc w:val="right"/>
              <w:ind w:right="210"/>
              <w:spacing w:after="0"/>
              <w:rPr>
                <w:sz w:val="20"/>
                <w:szCs w:val="20"/>
                <w:color w:val="auto"/>
              </w:rPr>
            </w:pPr>
            <w:r>
              <w:rPr>
                <w:rFonts w:ascii="Arial" w:cs="Arial" w:eastAsia="Arial" w:hAnsi="Arial"/>
                <w:sz w:val="14"/>
                <w:szCs w:val="14"/>
                <w:color w:val="auto"/>
              </w:rPr>
              <w:t>4.6 %</w:t>
            </w:r>
          </w:p>
        </w:tc>
        <w:tc>
          <w:tcPr>
            <w:tcW w:w="740" w:type="dxa"/>
            <w:vAlign w:val="bottom"/>
          </w:tcPr>
          <w:p>
            <w:pPr>
              <w:jc w:val="right"/>
              <w:spacing w:after="0"/>
              <w:rPr>
                <w:sz w:val="20"/>
                <w:szCs w:val="20"/>
                <w:color w:val="auto"/>
              </w:rPr>
            </w:pPr>
            <w:r>
              <w:rPr>
                <w:rFonts w:ascii="Arial" w:cs="Arial" w:eastAsia="Arial" w:hAnsi="Arial"/>
                <w:sz w:val="14"/>
                <w:szCs w:val="14"/>
                <w:color w:val="auto"/>
              </w:rPr>
              <w:t>4.3 %</w:t>
            </w:r>
          </w:p>
        </w:tc>
      </w:tr>
      <w:tr>
        <w:trPr>
          <w:trHeight w:val="216"/>
        </w:trPr>
        <w:tc>
          <w:tcPr>
            <w:tcW w:w="1980" w:type="dxa"/>
            <w:vAlign w:val="bottom"/>
          </w:tcPr>
          <w:p>
            <w:pPr>
              <w:spacing w:after="0"/>
              <w:rPr>
                <w:sz w:val="20"/>
                <w:szCs w:val="20"/>
                <w:color w:val="auto"/>
              </w:rPr>
            </w:pPr>
            <w:r>
              <w:rPr>
                <w:rFonts w:ascii="Arial" w:cs="Arial" w:eastAsia="Arial" w:hAnsi="Arial"/>
                <w:sz w:val="14"/>
                <w:szCs w:val="14"/>
                <w:color w:val="auto"/>
              </w:rPr>
              <w:t>Annual dividend yield</w:t>
            </w:r>
          </w:p>
        </w:tc>
        <w:tc>
          <w:tcPr>
            <w:tcW w:w="1220" w:type="dxa"/>
            <w:vAlign w:val="bottom"/>
          </w:tcPr>
          <w:p>
            <w:pPr>
              <w:jc w:val="right"/>
              <w:ind w:right="330"/>
              <w:spacing w:after="0"/>
              <w:rPr>
                <w:sz w:val="20"/>
                <w:szCs w:val="20"/>
                <w:color w:val="auto"/>
              </w:rPr>
            </w:pPr>
            <w:r>
              <w:rPr>
                <w:rFonts w:ascii="Arial" w:cs="Arial" w:eastAsia="Arial" w:hAnsi="Arial"/>
                <w:sz w:val="14"/>
                <w:szCs w:val="14"/>
                <w:color w:val="auto"/>
              </w:rPr>
              <w:t>2.3</w:t>
            </w:r>
          </w:p>
        </w:tc>
        <w:tc>
          <w:tcPr>
            <w:tcW w:w="980" w:type="dxa"/>
            <w:vAlign w:val="bottom"/>
          </w:tcPr>
          <w:p>
            <w:pPr>
              <w:jc w:val="right"/>
              <w:ind w:right="350"/>
              <w:spacing w:after="0"/>
              <w:rPr>
                <w:sz w:val="20"/>
                <w:szCs w:val="20"/>
                <w:color w:val="auto"/>
              </w:rPr>
            </w:pPr>
            <w:r>
              <w:rPr>
                <w:rFonts w:ascii="Arial" w:cs="Arial" w:eastAsia="Arial" w:hAnsi="Arial"/>
                <w:sz w:val="14"/>
                <w:szCs w:val="14"/>
                <w:color w:val="auto"/>
              </w:rPr>
              <w:t>2.2</w:t>
            </w:r>
          </w:p>
        </w:tc>
        <w:tc>
          <w:tcPr>
            <w:tcW w:w="740" w:type="dxa"/>
            <w:vAlign w:val="bottom"/>
          </w:tcPr>
          <w:p>
            <w:pPr>
              <w:jc w:val="right"/>
              <w:ind w:right="130"/>
              <w:spacing w:after="0"/>
              <w:rPr>
                <w:sz w:val="20"/>
                <w:szCs w:val="20"/>
                <w:color w:val="auto"/>
              </w:rPr>
            </w:pPr>
            <w:r>
              <w:rPr>
                <w:rFonts w:ascii="Arial" w:cs="Arial" w:eastAsia="Arial" w:hAnsi="Arial"/>
                <w:sz w:val="14"/>
                <w:szCs w:val="14"/>
                <w:color w:val="auto"/>
              </w:rPr>
              <w:t>2.6</w:t>
            </w:r>
          </w:p>
        </w:tc>
      </w:tr>
      <w:tr>
        <w:trPr>
          <w:trHeight w:val="250"/>
        </w:trPr>
        <w:tc>
          <w:tcPr>
            <w:tcW w:w="1980" w:type="dxa"/>
            <w:vAlign w:val="bottom"/>
            <w:tcBorders>
              <w:bottom w:val="single" w:sz="8" w:color="3F3F3F"/>
            </w:tcBorders>
          </w:tcPr>
          <w:p>
            <w:pPr>
              <w:spacing w:after="0"/>
              <w:rPr>
                <w:sz w:val="20"/>
                <w:szCs w:val="20"/>
                <w:color w:val="auto"/>
              </w:rPr>
            </w:pPr>
            <w:r>
              <w:rPr>
                <w:rFonts w:ascii="Arial" w:cs="Arial" w:eastAsia="Arial" w:hAnsi="Arial"/>
                <w:sz w:val="14"/>
                <w:szCs w:val="14"/>
                <w:color w:val="auto"/>
              </w:rPr>
              <w:t>Stock price volatility</w:t>
            </w:r>
          </w:p>
        </w:tc>
        <w:tc>
          <w:tcPr>
            <w:tcW w:w="1220" w:type="dxa"/>
            <w:vAlign w:val="bottom"/>
            <w:tcBorders>
              <w:bottom w:val="single" w:sz="8" w:color="3F3F3F"/>
            </w:tcBorders>
          </w:tcPr>
          <w:p>
            <w:pPr>
              <w:jc w:val="right"/>
              <w:ind w:right="330"/>
              <w:spacing w:after="0"/>
              <w:rPr>
                <w:sz w:val="20"/>
                <w:szCs w:val="20"/>
                <w:color w:val="auto"/>
              </w:rPr>
            </w:pPr>
            <w:r>
              <w:rPr>
                <w:rFonts w:ascii="Arial" w:cs="Arial" w:eastAsia="Arial" w:hAnsi="Arial"/>
                <w:sz w:val="14"/>
                <w:szCs w:val="14"/>
                <w:color w:val="auto"/>
              </w:rPr>
              <w:t>18</w:t>
            </w:r>
          </w:p>
        </w:tc>
        <w:tc>
          <w:tcPr>
            <w:tcW w:w="980" w:type="dxa"/>
            <w:vAlign w:val="bottom"/>
            <w:tcBorders>
              <w:bottom w:val="single" w:sz="8" w:color="3F3F3F"/>
            </w:tcBorders>
          </w:tcPr>
          <w:p>
            <w:pPr>
              <w:jc w:val="right"/>
              <w:ind w:right="350"/>
              <w:spacing w:after="0"/>
              <w:rPr>
                <w:sz w:val="20"/>
                <w:szCs w:val="20"/>
                <w:color w:val="auto"/>
              </w:rPr>
            </w:pPr>
            <w:r>
              <w:rPr>
                <w:rFonts w:ascii="Arial" w:cs="Arial" w:eastAsia="Arial" w:hAnsi="Arial"/>
                <w:sz w:val="14"/>
                <w:szCs w:val="14"/>
                <w:color w:val="auto"/>
              </w:rPr>
              <w:t>19</w:t>
            </w:r>
          </w:p>
        </w:tc>
        <w:tc>
          <w:tcPr>
            <w:tcW w:w="740" w:type="dxa"/>
            <w:vAlign w:val="bottom"/>
            <w:tcBorders>
              <w:bottom w:val="single" w:sz="8" w:color="3F3F3F"/>
            </w:tcBorders>
          </w:tcPr>
          <w:p>
            <w:pPr>
              <w:jc w:val="right"/>
              <w:ind w:right="130"/>
              <w:spacing w:after="0"/>
              <w:rPr>
                <w:sz w:val="20"/>
                <w:szCs w:val="20"/>
                <w:color w:val="auto"/>
              </w:rPr>
            </w:pPr>
            <w:r>
              <w:rPr>
                <w:rFonts w:ascii="Arial" w:cs="Arial" w:eastAsia="Arial" w:hAnsi="Arial"/>
                <w:sz w:val="14"/>
                <w:szCs w:val="14"/>
                <w:color w:val="auto"/>
              </w:rPr>
              <w:t>24</w:t>
            </w:r>
          </w:p>
        </w:tc>
      </w:tr>
    </w:tbl>
    <w:p>
      <w:pPr>
        <w:spacing w:after="0" w:line="153" w:lineRule="exact"/>
        <w:rPr>
          <w:sz w:val="20"/>
          <w:szCs w:val="20"/>
          <w:color w:val="auto"/>
        </w:rPr>
      </w:pPr>
    </w:p>
    <w:p>
      <w:pPr>
        <w:ind w:left="4"/>
        <w:spacing w:after="0"/>
        <w:rPr>
          <w:sz w:val="20"/>
          <w:szCs w:val="20"/>
          <w:color w:val="auto"/>
        </w:rPr>
      </w:pPr>
      <w:r>
        <w:rPr>
          <w:rFonts w:ascii="Arial" w:cs="Arial" w:eastAsia="Arial" w:hAnsi="Arial"/>
          <w:sz w:val="18"/>
          <w:szCs w:val="18"/>
          <w:b w:val="1"/>
          <w:bCs w:val="1"/>
          <w:i w:val="1"/>
          <w:iCs w:val="1"/>
          <w:color w:val="auto"/>
        </w:rPr>
        <w:t>Restricted Stock Awards</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6"/>
          <w:szCs w:val="16"/>
          <w:color w:val="auto"/>
        </w:rPr>
        <w:t>A summary of Sempra Energy’s restricted stock awards as of December 31, 2008 and the activity during the year is presented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1205230</wp:posOffset>
            </wp:positionH>
            <wp:positionV relativeFrom="paragraph">
              <wp:posOffset>74295</wp:posOffset>
            </wp:positionV>
            <wp:extent cx="4859020" cy="26670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4859020" cy="266700"/>
                    </a:xfrm>
                    <a:prstGeom prst="rect">
                      <a:avLst/>
                    </a:prstGeom>
                    <a:noFill/>
                  </pic:spPr>
                </pic:pic>
              </a:graphicData>
            </a:graphic>
          </wp:anchor>
        </w:drawing>
      </w:r>
    </w:p>
    <w:p>
      <w:pPr>
        <w:spacing w:after="0" w:line="105" w:lineRule="exact"/>
        <w:rPr>
          <w:sz w:val="20"/>
          <w:szCs w:val="20"/>
          <w:color w:val="auto"/>
        </w:rPr>
      </w:pPr>
    </w:p>
    <w:p>
      <w:pPr>
        <w:ind w:left="1924"/>
        <w:spacing w:after="0"/>
        <w:rPr>
          <w:sz w:val="20"/>
          <w:szCs w:val="20"/>
          <w:color w:val="auto"/>
        </w:rPr>
      </w:pPr>
      <w:r>
        <w:rPr>
          <w:rFonts w:ascii="Arial" w:cs="Arial" w:eastAsia="Arial" w:hAnsi="Arial"/>
          <w:sz w:val="14"/>
          <w:szCs w:val="14"/>
          <w:b w:val="1"/>
          <w:bCs w:val="1"/>
          <w:color w:val="auto"/>
        </w:rPr>
        <w:t>RESTRICTED STOCK AWARDS</w:t>
      </w:r>
    </w:p>
    <w:p>
      <w:pPr>
        <w:spacing w:after="0" w:line="268" w:lineRule="exact"/>
        <w:rPr>
          <w:sz w:val="20"/>
          <w:szCs w:val="20"/>
          <w:color w:val="auto"/>
        </w:rPr>
      </w:pPr>
    </w:p>
    <w:tbl>
      <w:tblPr>
        <w:tblLayout w:type="fixed"/>
        <w:tblInd w:w="1904" w:type="dxa"/>
        <w:tblCellMar>
          <w:top w:w="0" w:type="dxa"/>
          <w:left w:w="0" w:type="dxa"/>
          <w:bottom w:w="0" w:type="dxa"/>
          <w:right w:w="0" w:type="dxa"/>
        </w:tblCellMar>
      </w:tblPr>
      <w:tr>
        <w:trPr>
          <w:trHeight w:val="154"/>
        </w:trPr>
        <w:tc>
          <w:tcPr>
            <w:tcW w:w="47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0" w:type="dxa"/>
            <w:vAlign w:val="bottom"/>
          </w:tcPr>
          <w:p>
            <w:pPr>
              <w:jc w:val="center"/>
              <w:ind w:right="192"/>
              <w:spacing w:after="0"/>
              <w:rPr>
                <w:sz w:val="20"/>
                <w:szCs w:val="20"/>
                <w:color w:val="auto"/>
              </w:rPr>
            </w:pPr>
            <w:r>
              <w:rPr>
                <w:rFonts w:ascii="Arial" w:cs="Arial" w:eastAsia="Arial" w:hAnsi="Arial"/>
                <w:sz w:val="13"/>
                <w:szCs w:val="13"/>
                <w:color w:val="auto"/>
                <w:w w:val="97"/>
              </w:rPr>
              <w:t>Weighted-</w:t>
            </w:r>
          </w:p>
        </w:tc>
      </w:tr>
      <w:tr>
        <w:trPr>
          <w:trHeight w:val="156"/>
        </w:trPr>
        <w:tc>
          <w:tcPr>
            <w:tcW w:w="47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0" w:type="dxa"/>
            <w:vAlign w:val="bottom"/>
          </w:tcPr>
          <w:p>
            <w:pPr>
              <w:jc w:val="center"/>
              <w:ind w:right="172"/>
              <w:spacing w:after="0"/>
              <w:rPr>
                <w:sz w:val="20"/>
                <w:szCs w:val="20"/>
                <w:color w:val="auto"/>
              </w:rPr>
            </w:pPr>
            <w:r>
              <w:rPr>
                <w:rFonts w:ascii="Arial" w:cs="Arial" w:eastAsia="Arial" w:hAnsi="Arial"/>
                <w:sz w:val="13"/>
                <w:szCs w:val="13"/>
                <w:color w:val="auto"/>
                <w:w w:val="99"/>
              </w:rPr>
              <w:t>Average</w:t>
            </w:r>
          </w:p>
        </w:tc>
      </w:tr>
      <w:tr>
        <w:trPr>
          <w:trHeight w:val="156"/>
        </w:trPr>
        <w:tc>
          <w:tcPr>
            <w:tcW w:w="47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0" w:type="dxa"/>
            <w:vAlign w:val="bottom"/>
          </w:tcPr>
          <w:p>
            <w:pPr>
              <w:jc w:val="center"/>
              <w:ind w:right="172"/>
              <w:spacing w:after="0"/>
              <w:rPr>
                <w:sz w:val="20"/>
                <w:szCs w:val="20"/>
                <w:color w:val="auto"/>
              </w:rPr>
            </w:pPr>
            <w:r>
              <w:rPr>
                <w:rFonts w:ascii="Arial" w:cs="Arial" w:eastAsia="Arial" w:hAnsi="Arial"/>
                <w:sz w:val="13"/>
                <w:szCs w:val="13"/>
                <w:color w:val="auto"/>
                <w:w w:val="99"/>
              </w:rPr>
              <w:t>Grant-Date</w:t>
            </w:r>
          </w:p>
        </w:tc>
      </w:tr>
      <w:tr>
        <w:trPr>
          <w:trHeight w:val="161"/>
        </w:trPr>
        <w:tc>
          <w:tcPr>
            <w:tcW w:w="47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449"/>
              <w:spacing w:after="0"/>
              <w:rPr>
                <w:sz w:val="20"/>
                <w:szCs w:val="20"/>
                <w:color w:val="auto"/>
              </w:rPr>
            </w:pPr>
            <w:r>
              <w:rPr>
                <w:rFonts w:ascii="Arial" w:cs="Arial" w:eastAsia="Arial" w:hAnsi="Arial"/>
                <w:sz w:val="13"/>
                <w:szCs w:val="13"/>
                <w:color w:val="auto"/>
              </w:rPr>
              <w:t>Shares</w:t>
            </w:r>
          </w:p>
        </w:tc>
        <w:tc>
          <w:tcPr>
            <w:tcW w:w="6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center"/>
              <w:ind w:right="192"/>
              <w:spacing w:after="0"/>
              <w:rPr>
                <w:sz w:val="20"/>
                <w:szCs w:val="20"/>
                <w:color w:val="auto"/>
              </w:rPr>
            </w:pPr>
            <w:r>
              <w:rPr>
                <w:rFonts w:ascii="Arial" w:cs="Arial" w:eastAsia="Arial" w:hAnsi="Arial"/>
                <w:sz w:val="13"/>
                <w:szCs w:val="13"/>
                <w:color w:val="auto"/>
                <w:w w:val="97"/>
              </w:rPr>
              <w:t>Fair Value</w:t>
            </w:r>
          </w:p>
        </w:tc>
      </w:tr>
      <w:tr>
        <w:trPr>
          <w:trHeight w:val="207"/>
        </w:trPr>
        <w:tc>
          <w:tcPr>
            <w:tcW w:w="4780" w:type="dxa"/>
            <w:vAlign w:val="bottom"/>
          </w:tcPr>
          <w:p>
            <w:pPr>
              <w:spacing w:after="0"/>
              <w:rPr>
                <w:sz w:val="20"/>
                <w:szCs w:val="20"/>
                <w:color w:val="auto"/>
              </w:rPr>
            </w:pPr>
            <w:r>
              <w:rPr>
                <w:rFonts w:ascii="Arial" w:cs="Arial" w:eastAsia="Arial" w:hAnsi="Arial"/>
                <w:sz w:val="14"/>
                <w:szCs w:val="14"/>
                <w:color w:val="auto"/>
              </w:rPr>
              <w:t>Nonvested at December 31, 2007</w:t>
            </w:r>
          </w:p>
        </w:tc>
        <w:tc>
          <w:tcPr>
            <w:tcW w:w="1220" w:type="dxa"/>
            <w:vAlign w:val="bottom"/>
          </w:tcPr>
          <w:p>
            <w:pPr>
              <w:jc w:val="right"/>
              <w:ind w:right="149"/>
              <w:spacing w:after="0"/>
              <w:rPr>
                <w:sz w:val="20"/>
                <w:szCs w:val="20"/>
                <w:color w:val="auto"/>
              </w:rPr>
            </w:pPr>
            <w:r>
              <w:rPr>
                <w:rFonts w:ascii="Arial" w:cs="Arial" w:eastAsia="Arial" w:hAnsi="Arial"/>
                <w:sz w:val="14"/>
                <w:szCs w:val="14"/>
                <w:color w:val="auto"/>
              </w:rPr>
              <w:t>2,758,797</w:t>
            </w: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132"/>
              <w:spacing w:after="0"/>
              <w:rPr>
                <w:sz w:val="20"/>
                <w:szCs w:val="20"/>
                <w:color w:val="auto"/>
              </w:rPr>
            </w:pPr>
            <w:r>
              <w:rPr>
                <w:rFonts w:ascii="Arial" w:cs="Arial" w:eastAsia="Arial" w:hAnsi="Arial"/>
                <w:sz w:val="14"/>
                <w:szCs w:val="14"/>
                <w:color w:val="auto"/>
              </w:rPr>
              <w:t>35.79</w:t>
            </w:r>
          </w:p>
        </w:tc>
      </w:tr>
      <w:tr>
        <w:trPr>
          <w:trHeight w:val="216"/>
        </w:trPr>
        <w:tc>
          <w:tcPr>
            <w:tcW w:w="4780" w:type="dxa"/>
            <w:vAlign w:val="bottom"/>
          </w:tcPr>
          <w:p>
            <w:pPr>
              <w:ind w:left="220"/>
              <w:spacing w:after="0"/>
              <w:rPr>
                <w:sz w:val="20"/>
                <w:szCs w:val="20"/>
                <w:color w:val="auto"/>
              </w:rPr>
            </w:pPr>
            <w:r>
              <w:rPr>
                <w:rFonts w:ascii="Arial" w:cs="Arial" w:eastAsia="Arial" w:hAnsi="Arial"/>
                <w:sz w:val="14"/>
                <w:szCs w:val="14"/>
                <w:color w:val="auto"/>
              </w:rPr>
              <w:t>Granted</w:t>
            </w:r>
          </w:p>
        </w:tc>
        <w:tc>
          <w:tcPr>
            <w:tcW w:w="1220" w:type="dxa"/>
            <w:vAlign w:val="bottom"/>
          </w:tcPr>
          <w:p>
            <w:pPr>
              <w:jc w:val="right"/>
              <w:ind w:right="149"/>
              <w:spacing w:after="0"/>
              <w:rPr>
                <w:sz w:val="20"/>
                <w:szCs w:val="20"/>
                <w:color w:val="auto"/>
              </w:rPr>
            </w:pPr>
            <w:r>
              <w:rPr>
                <w:rFonts w:ascii="Arial" w:cs="Arial" w:eastAsia="Arial" w:hAnsi="Arial"/>
                <w:sz w:val="14"/>
                <w:szCs w:val="14"/>
                <w:color w:val="auto"/>
              </w:rPr>
              <w:t>4,002</w:t>
            </w: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132"/>
              <w:spacing w:after="0"/>
              <w:rPr>
                <w:sz w:val="20"/>
                <w:szCs w:val="20"/>
                <w:color w:val="auto"/>
              </w:rPr>
            </w:pPr>
            <w:r>
              <w:rPr>
                <w:rFonts w:ascii="Arial" w:cs="Arial" w:eastAsia="Arial" w:hAnsi="Arial"/>
                <w:sz w:val="14"/>
                <w:szCs w:val="14"/>
                <w:color w:val="auto"/>
              </w:rPr>
              <w:t>43.17</w:t>
            </w:r>
          </w:p>
        </w:tc>
      </w:tr>
      <w:tr>
        <w:trPr>
          <w:trHeight w:val="216"/>
        </w:trPr>
        <w:tc>
          <w:tcPr>
            <w:tcW w:w="4780" w:type="dxa"/>
            <w:vAlign w:val="bottom"/>
          </w:tcPr>
          <w:p>
            <w:pPr>
              <w:ind w:left="220"/>
              <w:spacing w:after="0"/>
              <w:rPr>
                <w:sz w:val="20"/>
                <w:szCs w:val="20"/>
                <w:color w:val="auto"/>
              </w:rPr>
            </w:pPr>
            <w:r>
              <w:rPr>
                <w:rFonts w:ascii="Arial" w:cs="Arial" w:eastAsia="Arial" w:hAnsi="Arial"/>
                <w:sz w:val="14"/>
                <w:szCs w:val="14"/>
                <w:color w:val="auto"/>
              </w:rPr>
              <w:t>Vested</w:t>
            </w:r>
          </w:p>
        </w:tc>
        <w:tc>
          <w:tcPr>
            <w:tcW w:w="1220" w:type="dxa"/>
            <w:vAlign w:val="bottom"/>
          </w:tcPr>
          <w:p>
            <w:pPr>
              <w:jc w:val="right"/>
              <w:ind w:right="69"/>
              <w:spacing w:after="0"/>
              <w:rPr>
                <w:sz w:val="20"/>
                <w:szCs w:val="20"/>
                <w:color w:val="auto"/>
              </w:rPr>
            </w:pPr>
            <w:r>
              <w:rPr>
                <w:rFonts w:ascii="Arial" w:cs="Arial" w:eastAsia="Arial" w:hAnsi="Arial"/>
                <w:sz w:val="14"/>
                <w:szCs w:val="14"/>
                <w:color w:val="auto"/>
              </w:rPr>
              <w:t>(1,005,311 )</w:t>
            </w: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132"/>
              <w:spacing w:after="0"/>
              <w:rPr>
                <w:sz w:val="20"/>
                <w:szCs w:val="20"/>
                <w:color w:val="auto"/>
              </w:rPr>
            </w:pPr>
            <w:r>
              <w:rPr>
                <w:rFonts w:ascii="Arial" w:cs="Arial" w:eastAsia="Arial" w:hAnsi="Arial"/>
                <w:sz w:val="14"/>
                <w:szCs w:val="14"/>
                <w:color w:val="auto"/>
              </w:rPr>
              <w:t>38.77</w:t>
            </w:r>
          </w:p>
        </w:tc>
      </w:tr>
      <w:tr>
        <w:trPr>
          <w:trHeight w:val="210"/>
        </w:trPr>
        <w:tc>
          <w:tcPr>
            <w:tcW w:w="4780" w:type="dxa"/>
            <w:vAlign w:val="bottom"/>
          </w:tcPr>
          <w:p>
            <w:pPr>
              <w:ind w:left="220"/>
              <w:spacing w:after="0"/>
              <w:rPr>
                <w:sz w:val="20"/>
                <w:szCs w:val="20"/>
                <w:color w:val="auto"/>
              </w:rPr>
            </w:pPr>
            <w:r>
              <w:rPr>
                <w:rFonts w:ascii="Arial" w:cs="Arial" w:eastAsia="Arial" w:hAnsi="Arial"/>
                <w:sz w:val="14"/>
                <w:szCs w:val="14"/>
                <w:color w:val="auto"/>
              </w:rPr>
              <w:t>Forfeited</w:t>
            </w:r>
          </w:p>
        </w:tc>
        <w:tc>
          <w:tcPr>
            <w:tcW w:w="122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(46,500 )</w:t>
            </w: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132"/>
              <w:spacing w:after="0"/>
              <w:rPr>
                <w:sz w:val="20"/>
                <w:szCs w:val="20"/>
                <w:color w:val="auto"/>
              </w:rPr>
            </w:pPr>
            <w:r>
              <w:rPr>
                <w:rFonts w:ascii="Arial" w:cs="Arial" w:eastAsia="Arial" w:hAnsi="Arial"/>
                <w:sz w:val="14"/>
                <w:szCs w:val="14"/>
                <w:color w:val="auto"/>
              </w:rPr>
              <w:t>34.81</w:t>
            </w:r>
          </w:p>
        </w:tc>
      </w:tr>
      <w:tr>
        <w:trPr>
          <w:trHeight w:val="224"/>
        </w:trPr>
        <w:tc>
          <w:tcPr>
            <w:tcW w:w="47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Nonvested at December 31, 2008</w:t>
            </w:r>
          </w:p>
        </w:tc>
        <w:tc>
          <w:tcPr>
            <w:tcW w:w="1220" w:type="dxa"/>
            <w:vAlign w:val="bottom"/>
            <w:tcBorders>
              <w:bottom w:val="single" w:sz="8" w:color="auto"/>
            </w:tcBorders>
          </w:tcPr>
          <w:p>
            <w:pPr>
              <w:jc w:val="right"/>
              <w:ind w:right="149"/>
              <w:spacing w:after="0"/>
              <w:rPr>
                <w:sz w:val="20"/>
                <w:szCs w:val="20"/>
                <w:color w:val="auto"/>
              </w:rPr>
            </w:pPr>
            <w:r>
              <w:rPr>
                <w:rFonts w:ascii="Arial" w:cs="Arial" w:eastAsia="Arial" w:hAnsi="Arial"/>
                <w:sz w:val="14"/>
                <w:szCs w:val="14"/>
                <w:color w:val="auto"/>
              </w:rPr>
              <w:t>1,710,988</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color w:val="auto"/>
              </w:rPr>
              <w:t>34.06</w:t>
            </w:r>
          </w:p>
        </w:tc>
      </w:tr>
    </w:tbl>
    <w:p>
      <w:pPr>
        <w:spacing w:after="0" w:line="180" w:lineRule="exact"/>
        <w:rPr>
          <w:sz w:val="20"/>
          <w:szCs w:val="20"/>
          <w:color w:val="auto"/>
        </w:rPr>
      </w:pPr>
    </w:p>
    <w:p>
      <w:pPr>
        <w:ind w:left="4"/>
        <w:spacing w:after="0" w:line="274" w:lineRule="auto"/>
        <w:rPr>
          <w:sz w:val="20"/>
          <w:szCs w:val="20"/>
          <w:color w:val="auto"/>
        </w:rPr>
      </w:pPr>
      <w:r>
        <w:rPr>
          <w:rFonts w:ascii="Arial" w:cs="Arial" w:eastAsia="Arial" w:hAnsi="Arial"/>
          <w:sz w:val="16"/>
          <w:szCs w:val="16"/>
          <w:color w:val="auto"/>
        </w:rPr>
        <w:t>The $11 million of total compensation cost related to nonvested restricted stock awards not yet recognized as of December 31, 2008 is expected to be recognized over a weighted-average period of 1.7 years. The total fair value of shares vested in the last three years was</w:t>
      </w:r>
    </w:p>
    <w:p>
      <w:pPr>
        <w:ind w:left="144" w:hanging="144"/>
        <w:spacing w:after="0"/>
        <w:tabs>
          <w:tab w:leader="none" w:pos="144" w:val="left"/>
        </w:tabs>
        <w:numPr>
          <w:ilvl w:val="0"/>
          <w:numId w:val="355"/>
        </w:numPr>
        <w:rPr>
          <w:rFonts w:ascii="Arial" w:cs="Arial" w:eastAsia="Arial" w:hAnsi="Arial"/>
          <w:sz w:val="16"/>
          <w:szCs w:val="16"/>
          <w:color w:val="auto"/>
        </w:rPr>
      </w:pPr>
      <w:r>
        <w:rPr>
          <w:rFonts w:ascii="Arial" w:cs="Arial" w:eastAsia="Arial" w:hAnsi="Arial"/>
          <w:sz w:val="16"/>
          <w:szCs w:val="16"/>
          <w:color w:val="auto"/>
        </w:rPr>
        <w:t>$39 million in 2008</w:t>
      </w:r>
    </w:p>
    <w:p>
      <w:pPr>
        <w:spacing w:after="0" w:line="44" w:lineRule="exact"/>
        <w:rPr>
          <w:rFonts w:ascii="Arial" w:cs="Arial" w:eastAsia="Arial" w:hAnsi="Arial"/>
          <w:sz w:val="16"/>
          <w:szCs w:val="16"/>
          <w:color w:val="auto"/>
        </w:rPr>
      </w:pPr>
    </w:p>
    <w:p>
      <w:pPr>
        <w:ind w:left="144" w:hanging="144"/>
        <w:spacing w:after="0"/>
        <w:tabs>
          <w:tab w:leader="none" w:pos="144" w:val="left"/>
        </w:tabs>
        <w:numPr>
          <w:ilvl w:val="0"/>
          <w:numId w:val="355"/>
        </w:numPr>
        <w:rPr>
          <w:rFonts w:ascii="Arial" w:cs="Arial" w:eastAsia="Arial" w:hAnsi="Arial"/>
          <w:sz w:val="16"/>
          <w:szCs w:val="16"/>
          <w:color w:val="auto"/>
        </w:rPr>
      </w:pPr>
      <w:r>
        <w:rPr>
          <w:rFonts w:ascii="Arial" w:cs="Arial" w:eastAsia="Arial" w:hAnsi="Arial"/>
          <w:sz w:val="16"/>
          <w:szCs w:val="16"/>
          <w:color w:val="auto"/>
        </w:rPr>
        <w:t>$37 million in 2007</w:t>
      </w:r>
    </w:p>
    <w:p>
      <w:pPr>
        <w:spacing w:after="0" w:line="44" w:lineRule="exact"/>
        <w:rPr>
          <w:rFonts w:ascii="Arial" w:cs="Arial" w:eastAsia="Arial" w:hAnsi="Arial"/>
          <w:sz w:val="16"/>
          <w:szCs w:val="16"/>
          <w:color w:val="auto"/>
        </w:rPr>
      </w:pPr>
    </w:p>
    <w:p>
      <w:pPr>
        <w:ind w:left="144" w:hanging="144"/>
        <w:spacing w:after="0"/>
        <w:tabs>
          <w:tab w:leader="none" w:pos="144" w:val="left"/>
        </w:tabs>
        <w:numPr>
          <w:ilvl w:val="0"/>
          <w:numId w:val="355"/>
        </w:numPr>
        <w:rPr>
          <w:rFonts w:ascii="Arial" w:cs="Arial" w:eastAsia="Arial" w:hAnsi="Arial"/>
          <w:sz w:val="16"/>
          <w:szCs w:val="16"/>
          <w:color w:val="auto"/>
        </w:rPr>
      </w:pPr>
      <w:r>
        <w:rPr>
          <w:rFonts w:ascii="Arial" w:cs="Arial" w:eastAsia="Arial" w:hAnsi="Arial"/>
          <w:sz w:val="16"/>
          <w:szCs w:val="16"/>
          <w:color w:val="auto"/>
        </w:rPr>
        <w:t>$68 million in 2006</w:t>
      </w:r>
    </w:p>
    <w:p>
      <w:pPr>
        <w:spacing w:after="0" w:line="174" w:lineRule="exact"/>
        <w:rPr>
          <w:sz w:val="20"/>
          <w:szCs w:val="20"/>
          <w:color w:val="auto"/>
        </w:rPr>
      </w:pPr>
    </w:p>
    <w:p>
      <w:pPr>
        <w:ind w:left="4"/>
        <w:spacing w:after="0"/>
        <w:rPr>
          <w:sz w:val="20"/>
          <w:szCs w:val="20"/>
          <w:color w:val="auto"/>
        </w:rPr>
      </w:pPr>
      <w:r>
        <w:rPr>
          <w:rFonts w:ascii="Arial" w:cs="Arial" w:eastAsia="Arial" w:hAnsi="Arial"/>
          <w:sz w:val="18"/>
          <w:szCs w:val="18"/>
          <w:b w:val="1"/>
          <w:bCs w:val="1"/>
          <w:i w:val="1"/>
          <w:iCs w:val="1"/>
          <w:color w:val="auto"/>
        </w:rPr>
        <w:t>Restricted Stock Units</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6"/>
          <w:szCs w:val="16"/>
          <w:color w:val="auto"/>
        </w:rPr>
        <w:t>A summary of Sempra Energy’s restricted stock units as of December 31, 2008 and the activity during the year is presented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1189990</wp:posOffset>
            </wp:positionH>
            <wp:positionV relativeFrom="paragraph">
              <wp:posOffset>196215</wp:posOffset>
            </wp:positionV>
            <wp:extent cx="4881880" cy="26670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4881880" cy="266700"/>
                    </a:xfrm>
                    <a:prstGeom prst="rect">
                      <a:avLst/>
                    </a:prstGeom>
                    <a:noFill/>
                  </pic:spPr>
                </pic:pic>
              </a:graphicData>
            </a:graphic>
          </wp:anchor>
        </w:drawing>
      </w:r>
    </w:p>
    <w:p>
      <w:pPr>
        <w:spacing w:after="0" w:line="297" w:lineRule="exact"/>
        <w:rPr>
          <w:sz w:val="20"/>
          <w:szCs w:val="20"/>
          <w:color w:val="auto"/>
        </w:rPr>
      </w:pPr>
    </w:p>
    <w:p>
      <w:pPr>
        <w:ind w:left="1904"/>
        <w:spacing w:after="0"/>
        <w:rPr>
          <w:sz w:val="20"/>
          <w:szCs w:val="20"/>
          <w:color w:val="auto"/>
        </w:rPr>
      </w:pPr>
      <w:r>
        <w:rPr>
          <w:rFonts w:ascii="Arial" w:cs="Arial" w:eastAsia="Arial" w:hAnsi="Arial"/>
          <w:sz w:val="14"/>
          <w:szCs w:val="14"/>
          <w:b w:val="1"/>
          <w:bCs w:val="1"/>
          <w:color w:val="auto"/>
        </w:rPr>
        <w:t>RESTRICTED STOCK UNITS</w:t>
      </w:r>
    </w:p>
    <w:p>
      <w:pPr>
        <w:spacing w:after="0" w:line="268" w:lineRule="exact"/>
        <w:rPr>
          <w:sz w:val="20"/>
          <w:szCs w:val="20"/>
          <w:color w:val="auto"/>
        </w:rPr>
      </w:pPr>
    </w:p>
    <w:tbl>
      <w:tblPr>
        <w:tblLayout w:type="fixed"/>
        <w:tblInd w:w="1884" w:type="dxa"/>
        <w:tblCellMar>
          <w:top w:w="0" w:type="dxa"/>
          <w:left w:w="0" w:type="dxa"/>
          <w:bottom w:w="0" w:type="dxa"/>
          <w:right w:w="0" w:type="dxa"/>
        </w:tblCellMar>
      </w:tblPr>
      <w:tr>
        <w:trPr>
          <w:trHeight w:val="154"/>
        </w:trPr>
        <w:tc>
          <w:tcPr>
            <w:tcW w:w="49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100" w:type="dxa"/>
            <w:vAlign w:val="bottom"/>
          </w:tcPr>
          <w:p>
            <w:pPr>
              <w:jc w:val="center"/>
              <w:ind w:right="212"/>
              <w:spacing w:after="0"/>
              <w:rPr>
                <w:sz w:val="20"/>
                <w:szCs w:val="20"/>
                <w:color w:val="auto"/>
              </w:rPr>
            </w:pPr>
            <w:r>
              <w:rPr>
                <w:rFonts w:ascii="Arial" w:cs="Arial" w:eastAsia="Arial" w:hAnsi="Arial"/>
                <w:sz w:val="13"/>
                <w:szCs w:val="13"/>
                <w:color w:val="auto"/>
                <w:w w:val="97"/>
              </w:rPr>
              <w:t>Weighted-</w:t>
            </w:r>
          </w:p>
        </w:tc>
      </w:tr>
      <w:tr>
        <w:trPr>
          <w:trHeight w:val="156"/>
        </w:trPr>
        <w:tc>
          <w:tcPr>
            <w:tcW w:w="49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100" w:type="dxa"/>
            <w:vAlign w:val="bottom"/>
          </w:tcPr>
          <w:p>
            <w:pPr>
              <w:jc w:val="center"/>
              <w:ind w:right="192"/>
              <w:spacing w:after="0"/>
              <w:rPr>
                <w:sz w:val="20"/>
                <w:szCs w:val="20"/>
                <w:color w:val="auto"/>
              </w:rPr>
            </w:pPr>
            <w:r>
              <w:rPr>
                <w:rFonts w:ascii="Arial" w:cs="Arial" w:eastAsia="Arial" w:hAnsi="Arial"/>
                <w:sz w:val="13"/>
                <w:szCs w:val="13"/>
                <w:color w:val="auto"/>
                <w:w w:val="99"/>
              </w:rPr>
              <w:t>Average</w:t>
            </w:r>
          </w:p>
        </w:tc>
      </w:tr>
      <w:tr>
        <w:trPr>
          <w:trHeight w:val="156"/>
        </w:trPr>
        <w:tc>
          <w:tcPr>
            <w:tcW w:w="49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100" w:type="dxa"/>
            <w:vAlign w:val="bottom"/>
          </w:tcPr>
          <w:p>
            <w:pPr>
              <w:jc w:val="center"/>
              <w:ind w:right="232"/>
              <w:spacing w:after="0"/>
              <w:rPr>
                <w:sz w:val="20"/>
                <w:szCs w:val="20"/>
                <w:color w:val="auto"/>
              </w:rPr>
            </w:pPr>
            <w:r>
              <w:rPr>
                <w:rFonts w:ascii="Arial" w:cs="Arial" w:eastAsia="Arial" w:hAnsi="Arial"/>
                <w:sz w:val="13"/>
                <w:szCs w:val="13"/>
                <w:color w:val="auto"/>
                <w:w w:val="99"/>
              </w:rPr>
              <w:t>Grant-Date</w:t>
            </w:r>
          </w:p>
        </w:tc>
      </w:tr>
      <w:tr>
        <w:trPr>
          <w:trHeight w:val="161"/>
        </w:trPr>
        <w:tc>
          <w:tcPr>
            <w:tcW w:w="49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349"/>
              <w:spacing w:after="0"/>
              <w:rPr>
                <w:sz w:val="20"/>
                <w:szCs w:val="20"/>
                <w:color w:val="auto"/>
              </w:rPr>
            </w:pPr>
            <w:r>
              <w:rPr>
                <w:rFonts w:ascii="Arial" w:cs="Arial" w:eastAsia="Arial" w:hAnsi="Arial"/>
                <w:sz w:val="13"/>
                <w:szCs w:val="13"/>
                <w:color w:val="auto"/>
              </w:rPr>
              <w:t>Shares</w:t>
            </w:r>
          </w:p>
        </w:tc>
        <w:tc>
          <w:tcPr>
            <w:tcW w:w="5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center"/>
              <w:ind w:right="192"/>
              <w:spacing w:after="0"/>
              <w:rPr>
                <w:sz w:val="20"/>
                <w:szCs w:val="20"/>
                <w:color w:val="auto"/>
              </w:rPr>
            </w:pPr>
            <w:r>
              <w:rPr>
                <w:rFonts w:ascii="Arial" w:cs="Arial" w:eastAsia="Arial" w:hAnsi="Arial"/>
                <w:sz w:val="13"/>
                <w:szCs w:val="13"/>
                <w:color w:val="auto"/>
                <w:w w:val="94"/>
              </w:rPr>
              <w:t>Fair Value</w:t>
            </w:r>
          </w:p>
        </w:tc>
      </w:tr>
      <w:tr>
        <w:trPr>
          <w:trHeight w:val="207"/>
        </w:trPr>
        <w:tc>
          <w:tcPr>
            <w:tcW w:w="4980" w:type="dxa"/>
            <w:vAlign w:val="bottom"/>
          </w:tcPr>
          <w:p>
            <w:pPr>
              <w:spacing w:after="0"/>
              <w:rPr>
                <w:sz w:val="20"/>
                <w:szCs w:val="20"/>
                <w:color w:val="auto"/>
              </w:rPr>
            </w:pPr>
            <w:r>
              <w:rPr>
                <w:rFonts w:ascii="Arial" w:cs="Arial" w:eastAsia="Arial" w:hAnsi="Arial"/>
                <w:sz w:val="14"/>
                <w:szCs w:val="14"/>
                <w:color w:val="auto"/>
              </w:rPr>
              <w:t>Nonvested at December 31, 2007</w:t>
            </w:r>
          </w:p>
        </w:tc>
        <w:tc>
          <w:tcPr>
            <w:tcW w:w="1020" w:type="dxa"/>
            <w:vAlign w:val="bottom"/>
          </w:tcPr>
          <w:p>
            <w:pPr>
              <w:jc w:val="right"/>
              <w:ind w:right="169"/>
              <w:spacing w:after="0"/>
              <w:rPr>
                <w:sz w:val="20"/>
                <w:szCs w:val="20"/>
                <w:color w:val="auto"/>
              </w:rPr>
            </w:pPr>
            <w:r>
              <w:rPr>
                <w:rFonts w:ascii="Arial" w:cs="Arial" w:eastAsia="Arial" w:hAnsi="Arial"/>
                <w:sz w:val="14"/>
                <w:szCs w:val="14"/>
                <w:color w:val="auto"/>
              </w:rPr>
              <w:t>5,400</w:t>
            </w: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152"/>
              <w:spacing w:after="0"/>
              <w:rPr>
                <w:sz w:val="20"/>
                <w:szCs w:val="20"/>
                <w:color w:val="auto"/>
              </w:rPr>
            </w:pPr>
            <w:r>
              <w:rPr>
                <w:rFonts w:ascii="Arial" w:cs="Arial" w:eastAsia="Arial" w:hAnsi="Arial"/>
                <w:sz w:val="14"/>
                <w:szCs w:val="14"/>
                <w:color w:val="auto"/>
              </w:rPr>
              <w:t>62.26</w:t>
            </w:r>
          </w:p>
        </w:tc>
      </w:tr>
      <w:tr>
        <w:trPr>
          <w:trHeight w:val="216"/>
        </w:trPr>
        <w:tc>
          <w:tcPr>
            <w:tcW w:w="4980" w:type="dxa"/>
            <w:vAlign w:val="bottom"/>
          </w:tcPr>
          <w:p>
            <w:pPr>
              <w:ind w:left="240"/>
              <w:spacing w:after="0"/>
              <w:rPr>
                <w:sz w:val="20"/>
                <w:szCs w:val="20"/>
                <w:color w:val="auto"/>
              </w:rPr>
            </w:pPr>
            <w:r>
              <w:rPr>
                <w:rFonts w:ascii="Arial" w:cs="Arial" w:eastAsia="Arial" w:hAnsi="Arial"/>
                <w:sz w:val="14"/>
                <w:szCs w:val="14"/>
                <w:color w:val="auto"/>
              </w:rPr>
              <w:t>Granted</w:t>
            </w:r>
          </w:p>
        </w:tc>
        <w:tc>
          <w:tcPr>
            <w:tcW w:w="1020" w:type="dxa"/>
            <w:vAlign w:val="bottom"/>
          </w:tcPr>
          <w:p>
            <w:pPr>
              <w:jc w:val="right"/>
              <w:ind w:right="169"/>
              <w:spacing w:after="0"/>
              <w:rPr>
                <w:sz w:val="20"/>
                <w:szCs w:val="20"/>
                <w:color w:val="auto"/>
              </w:rPr>
            </w:pPr>
            <w:r>
              <w:rPr>
                <w:rFonts w:ascii="Arial" w:cs="Arial" w:eastAsia="Arial" w:hAnsi="Arial"/>
                <w:sz w:val="14"/>
                <w:szCs w:val="14"/>
                <w:color w:val="auto"/>
              </w:rPr>
              <w:t>643,250</w:t>
            </w: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152"/>
              <w:spacing w:after="0"/>
              <w:rPr>
                <w:sz w:val="20"/>
                <w:szCs w:val="20"/>
                <w:color w:val="auto"/>
              </w:rPr>
            </w:pPr>
            <w:r>
              <w:rPr>
                <w:rFonts w:ascii="Arial" w:cs="Arial" w:eastAsia="Arial" w:hAnsi="Arial"/>
                <w:sz w:val="14"/>
                <w:szCs w:val="14"/>
                <w:color w:val="auto"/>
              </w:rPr>
              <w:t>52.80</w:t>
            </w:r>
          </w:p>
        </w:tc>
      </w:tr>
      <w:tr>
        <w:trPr>
          <w:trHeight w:val="216"/>
        </w:trPr>
        <w:tc>
          <w:tcPr>
            <w:tcW w:w="4980" w:type="dxa"/>
            <w:vAlign w:val="bottom"/>
          </w:tcPr>
          <w:p>
            <w:pPr>
              <w:ind w:left="240"/>
              <w:spacing w:after="0"/>
              <w:rPr>
                <w:sz w:val="20"/>
                <w:szCs w:val="20"/>
                <w:color w:val="auto"/>
              </w:rPr>
            </w:pPr>
            <w:r>
              <w:rPr>
                <w:rFonts w:ascii="Arial" w:cs="Arial" w:eastAsia="Arial" w:hAnsi="Arial"/>
                <w:sz w:val="14"/>
                <w:szCs w:val="14"/>
                <w:color w:val="auto"/>
              </w:rPr>
              <w:t>Vested</w:t>
            </w:r>
          </w:p>
        </w:tc>
        <w:tc>
          <w:tcPr>
            <w:tcW w:w="1020" w:type="dxa"/>
            <w:vAlign w:val="bottom"/>
          </w:tcPr>
          <w:p>
            <w:pPr>
              <w:jc w:val="right"/>
              <w:ind w:right="169"/>
              <w:spacing w:after="0"/>
              <w:rPr>
                <w:sz w:val="20"/>
                <w:szCs w:val="20"/>
                <w:color w:val="auto"/>
              </w:rPr>
            </w:pPr>
            <w:r>
              <w:rPr>
                <w:rFonts w:ascii="Arial" w:cs="Arial" w:eastAsia="Arial" w:hAnsi="Arial"/>
                <w:sz w:val="14"/>
                <w:szCs w:val="14"/>
                <w:color w:val="auto"/>
              </w:rPr>
              <w:t>--</w:t>
            </w:r>
          </w:p>
        </w:tc>
        <w:tc>
          <w:tcPr>
            <w:tcW w:w="580" w:type="dxa"/>
            <w:vAlign w:val="bottom"/>
          </w:tcPr>
          <w:p>
            <w:pPr>
              <w:spacing w:after="0"/>
              <w:rPr>
                <w:sz w:val="18"/>
                <w:szCs w:val="18"/>
                <w:color w:val="auto"/>
              </w:rPr>
            </w:pPr>
          </w:p>
        </w:tc>
        <w:tc>
          <w:tcPr>
            <w:tcW w:w="1100" w:type="dxa"/>
            <w:vAlign w:val="bottom"/>
          </w:tcPr>
          <w:p>
            <w:pPr>
              <w:jc w:val="right"/>
              <w:ind w:right="152"/>
              <w:spacing w:after="0"/>
              <w:rPr>
                <w:sz w:val="20"/>
                <w:szCs w:val="20"/>
                <w:color w:val="auto"/>
              </w:rPr>
            </w:pPr>
            <w:r>
              <w:rPr>
                <w:rFonts w:ascii="Arial" w:cs="Arial" w:eastAsia="Arial" w:hAnsi="Arial"/>
                <w:sz w:val="14"/>
                <w:szCs w:val="14"/>
                <w:color w:val="auto"/>
              </w:rPr>
              <w:t>--</w:t>
            </w:r>
          </w:p>
        </w:tc>
      </w:tr>
      <w:tr>
        <w:trPr>
          <w:trHeight w:val="210"/>
        </w:trPr>
        <w:tc>
          <w:tcPr>
            <w:tcW w:w="4980" w:type="dxa"/>
            <w:vAlign w:val="bottom"/>
          </w:tcPr>
          <w:p>
            <w:pPr>
              <w:ind w:left="240"/>
              <w:spacing w:after="0"/>
              <w:rPr>
                <w:sz w:val="20"/>
                <w:szCs w:val="20"/>
                <w:color w:val="auto"/>
              </w:rPr>
            </w:pPr>
            <w:r>
              <w:rPr>
                <w:rFonts w:ascii="Arial" w:cs="Arial" w:eastAsia="Arial" w:hAnsi="Arial"/>
                <w:sz w:val="14"/>
                <w:szCs w:val="14"/>
                <w:color w:val="auto"/>
              </w:rPr>
              <w:t>Forfeited</w:t>
            </w:r>
          </w:p>
        </w:tc>
        <w:tc>
          <w:tcPr>
            <w:tcW w:w="102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rPr>
              <w:t>(22,300 )</w:t>
            </w: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152"/>
              <w:spacing w:after="0"/>
              <w:rPr>
                <w:sz w:val="20"/>
                <w:szCs w:val="20"/>
                <w:color w:val="auto"/>
              </w:rPr>
            </w:pPr>
            <w:r>
              <w:rPr>
                <w:rFonts w:ascii="Arial" w:cs="Arial" w:eastAsia="Arial" w:hAnsi="Arial"/>
                <w:sz w:val="14"/>
                <w:szCs w:val="14"/>
                <w:color w:val="auto"/>
              </w:rPr>
              <w:t>52.87</w:t>
            </w:r>
          </w:p>
        </w:tc>
      </w:tr>
      <w:tr>
        <w:trPr>
          <w:trHeight w:val="224"/>
        </w:trPr>
        <w:tc>
          <w:tcPr>
            <w:tcW w:w="49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Nonvested at December 31, 2008*</w:t>
            </w:r>
          </w:p>
        </w:tc>
        <w:tc>
          <w:tcPr>
            <w:tcW w:w="1020" w:type="dxa"/>
            <w:vAlign w:val="bottom"/>
            <w:tcBorders>
              <w:bottom w:val="single" w:sz="8" w:color="auto"/>
            </w:tcBorders>
          </w:tcPr>
          <w:p>
            <w:pPr>
              <w:jc w:val="right"/>
              <w:ind w:right="169"/>
              <w:spacing w:after="0"/>
              <w:rPr>
                <w:sz w:val="20"/>
                <w:szCs w:val="20"/>
                <w:color w:val="auto"/>
              </w:rPr>
            </w:pPr>
            <w:r>
              <w:rPr>
                <w:rFonts w:ascii="Arial" w:cs="Arial" w:eastAsia="Arial" w:hAnsi="Arial"/>
                <w:sz w:val="14"/>
                <w:szCs w:val="14"/>
                <w:color w:val="auto"/>
              </w:rPr>
              <w:t>626,350</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color w:val="auto"/>
              </w:rPr>
              <w:t>52.70</w:t>
            </w:r>
          </w:p>
        </w:tc>
      </w:tr>
    </w:tbl>
    <w:p>
      <w:pPr>
        <w:spacing w:after="0" w:line="4" w:lineRule="exact"/>
        <w:rPr>
          <w:sz w:val="20"/>
          <w:szCs w:val="20"/>
          <w:color w:val="auto"/>
        </w:rPr>
      </w:pPr>
    </w:p>
    <w:p>
      <w:pPr>
        <w:ind w:left="2124" w:right="1880" w:hanging="238"/>
        <w:spacing w:after="0" w:line="277" w:lineRule="auto"/>
        <w:tabs>
          <w:tab w:leader="none" w:pos="2124" w:val="left"/>
        </w:tabs>
        <w:numPr>
          <w:ilvl w:val="0"/>
          <w:numId w:val="356"/>
        </w:numPr>
        <w:rPr>
          <w:rFonts w:ascii="Arial" w:cs="Arial" w:eastAsia="Arial" w:hAnsi="Arial"/>
          <w:sz w:val="13"/>
          <w:szCs w:val="13"/>
          <w:i w:val="1"/>
          <w:iCs w:val="1"/>
          <w:color w:val="auto"/>
        </w:rPr>
      </w:pPr>
      <w:r>
        <w:rPr>
          <w:rFonts w:ascii="Arial" w:cs="Arial" w:eastAsia="Arial" w:hAnsi="Arial"/>
          <w:sz w:val="13"/>
          <w:szCs w:val="13"/>
          <w:i w:val="1"/>
          <w:iCs w:val="1"/>
          <w:color w:val="auto"/>
        </w:rPr>
        <w:t>Additional units may be granted if Sempra Energy exceeds the target shareholder return requirements designated in the 2008 Long Term Incentive Plan.</w:t>
      </w:r>
    </w:p>
    <w:p>
      <w:pPr>
        <w:spacing w:after="0" w:line="167" w:lineRule="exact"/>
        <w:rPr>
          <w:sz w:val="20"/>
          <w:szCs w:val="20"/>
          <w:color w:val="auto"/>
        </w:rPr>
      </w:pPr>
    </w:p>
    <w:p>
      <w:pPr>
        <w:ind w:left="4" w:right="140"/>
        <w:spacing w:after="0" w:line="277" w:lineRule="auto"/>
        <w:rPr>
          <w:sz w:val="20"/>
          <w:szCs w:val="20"/>
          <w:color w:val="auto"/>
        </w:rPr>
      </w:pPr>
      <w:r>
        <w:rPr>
          <w:rFonts w:ascii="Arial" w:cs="Arial" w:eastAsia="Arial" w:hAnsi="Arial"/>
          <w:sz w:val="16"/>
          <w:szCs w:val="16"/>
          <w:color w:val="auto"/>
        </w:rPr>
        <w:t>The $13 million of total compensation cost related to nonvested restricted stock units not yet recognized as of December 31, 2008 is expected to be recognized over a weighted-average period of 3.0 years.</w:t>
      </w:r>
    </w:p>
    <w:p>
      <w:pPr>
        <w:spacing w:after="0" w:line="200" w:lineRule="exact"/>
        <w:rPr>
          <w:sz w:val="20"/>
          <w:szCs w:val="20"/>
          <w:color w:val="auto"/>
        </w:rPr>
      </w:pPr>
    </w:p>
    <w:p>
      <w:pPr>
        <w:spacing w:after="0" w:line="292" w:lineRule="exact"/>
        <w:rPr>
          <w:sz w:val="20"/>
          <w:szCs w:val="20"/>
          <w:color w:val="auto"/>
        </w:rPr>
      </w:pPr>
    </w:p>
    <w:p>
      <w:pPr>
        <w:ind w:left="4"/>
        <w:spacing w:after="0"/>
        <w:rPr>
          <w:sz w:val="20"/>
          <w:szCs w:val="20"/>
          <w:color w:val="auto"/>
        </w:rPr>
      </w:pPr>
      <w:r>
        <w:rPr>
          <w:rFonts w:ascii="Arial" w:cs="Arial" w:eastAsia="Arial" w:hAnsi="Arial"/>
          <w:sz w:val="14"/>
          <w:szCs w:val="14"/>
          <w:color w:val="auto"/>
        </w:rPr>
        <w:t>152</w:t>
      </w:r>
    </w:p>
    <w:p>
      <w:pPr>
        <w:sectPr>
          <w:pgSz w:w="11900" w:h="16838" w:orient="portrait"/>
          <w:cols w:equalWidth="0" w:num="1">
            <w:col w:w="11424"/>
          </w:cols>
          <w:pgMar w:left="236" w:top="395" w:right="239" w:bottom="1440" w:gutter="0" w:footer="0" w:header="0"/>
        </w:sectPr>
      </w:pPr>
    </w:p>
    <w:bookmarkStart w:id="292" w:name="page293"/>
    <w:bookmarkEnd w:id="29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149860</wp:posOffset>
            </wp:positionH>
            <wp:positionV relativeFrom="page">
              <wp:posOffset>310515</wp:posOffset>
            </wp:positionV>
            <wp:extent cx="7261860" cy="762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61860" cy="7620"/>
                    </a:xfrm>
                    <a:prstGeom prst="rect">
                      <a:avLst/>
                    </a:prstGeom>
                    <a:noFill/>
                  </pic:spPr>
                </pic:pic>
              </a:graphicData>
            </a:graphic>
          </wp:anchor>
        </w:drawing>
        <w:t>NOTE 11. FINANCIAL INSTRUMENTS</w:t>
      </w:r>
    </w:p>
    <w:p>
      <w:pPr>
        <w:spacing w:after="0" w:line="60" w:lineRule="exact"/>
        <w:rPr>
          <w:sz w:val="20"/>
          <w:szCs w:val="20"/>
          <w:color w:val="auto"/>
        </w:rPr>
      </w:pPr>
    </w:p>
    <w:p>
      <w:pPr>
        <w:ind w:right="120"/>
        <w:spacing w:after="0" w:line="277" w:lineRule="auto"/>
        <w:rPr>
          <w:sz w:val="20"/>
          <w:szCs w:val="20"/>
          <w:color w:val="auto"/>
        </w:rPr>
      </w:pPr>
      <w:r>
        <w:rPr>
          <w:rFonts w:ascii="Arial" w:cs="Arial" w:eastAsia="Arial" w:hAnsi="Arial"/>
          <w:sz w:val="16"/>
          <w:szCs w:val="16"/>
          <w:color w:val="auto"/>
        </w:rPr>
        <w:t>We periodically use interest-rate swap agreements and commodity derivative instruments to moderate our exposure to commodity price changes and interest-rate changes and to lower our overall cost of borrowing.</w:t>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FAIR VALUE HEDGES</w:t>
      </w:r>
    </w:p>
    <w:p>
      <w:pPr>
        <w:spacing w:after="0" w:line="89" w:lineRule="exact"/>
        <w:rPr>
          <w:sz w:val="20"/>
          <w:szCs w:val="20"/>
          <w:color w:val="auto"/>
        </w:rPr>
      </w:pPr>
    </w:p>
    <w:p>
      <w:pPr>
        <w:spacing w:after="0"/>
        <w:rPr>
          <w:sz w:val="20"/>
          <w:szCs w:val="20"/>
          <w:color w:val="auto"/>
        </w:rPr>
      </w:pPr>
      <w:r>
        <w:rPr>
          <w:rFonts w:ascii="Arial" w:cs="Arial" w:eastAsia="Arial" w:hAnsi="Arial"/>
          <w:sz w:val="16"/>
          <w:szCs w:val="16"/>
          <w:color w:val="auto"/>
        </w:rPr>
        <w:t>Fair value interest-rate swap hedges at December 31, 2008 and 2007 were:</w:t>
      </w:r>
    </w:p>
    <w:p>
      <w:pPr>
        <w:spacing w:after="0" w:line="277" w:lineRule="exact"/>
        <w:rPr>
          <w:sz w:val="20"/>
          <w:szCs w:val="20"/>
          <w:color w:val="auto"/>
        </w:rPr>
      </w:pPr>
    </w:p>
    <w:tbl>
      <w:tblPr>
        <w:tblLayout w:type="fixed"/>
        <w:tblInd w:w="1800" w:type="dxa"/>
        <w:tblCellMar>
          <w:top w:w="0" w:type="dxa"/>
          <w:left w:w="0" w:type="dxa"/>
          <w:bottom w:w="0" w:type="dxa"/>
          <w:right w:w="0" w:type="dxa"/>
        </w:tblCellMar>
      </w:tblPr>
      <w:tr>
        <w:trPr>
          <w:trHeight w:val="159"/>
        </w:trPr>
        <w:tc>
          <w:tcPr>
            <w:tcW w:w="2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color w:val="auto"/>
              </w:rPr>
              <w:t>December 31, 2008</w:t>
            </w:r>
          </w:p>
        </w:tc>
        <w:tc>
          <w:tcPr>
            <w:tcW w:w="720" w:type="dxa"/>
            <w:vAlign w:val="bottom"/>
            <w:tcBorders>
              <w:bottom w:val="single" w:sz="8" w:color="auto"/>
            </w:tcBorders>
          </w:tcPr>
          <w:p>
            <w:pPr>
              <w:spacing w:after="0"/>
              <w:rPr>
                <w:sz w:val="13"/>
                <w:szCs w:val="13"/>
                <w:color w:val="auto"/>
              </w:rPr>
            </w:pPr>
          </w:p>
        </w:tc>
        <w:tc>
          <w:tcPr>
            <w:tcW w:w="360" w:type="dxa"/>
            <w:vAlign w:val="bottom"/>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color w:val="auto"/>
                <w:w w:val="99"/>
              </w:rPr>
              <w:t>December 31, 2007</w:t>
            </w:r>
          </w:p>
        </w:tc>
        <w:tc>
          <w:tcPr>
            <w:tcW w:w="7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2100" w:type="dxa"/>
            <w:vAlign w:val="bottom"/>
            <w:vMerge w:val="restart"/>
          </w:tcPr>
          <w:p>
            <w:pPr>
              <w:ind w:left="20"/>
              <w:spacing w:after="0"/>
              <w:rPr>
                <w:sz w:val="20"/>
                <w:szCs w:val="20"/>
                <w:color w:val="auto"/>
              </w:rPr>
            </w:pPr>
            <w:r>
              <w:rPr>
                <w:rFonts w:ascii="Arial" w:cs="Arial" w:eastAsia="Arial" w:hAnsi="Arial"/>
                <w:sz w:val="13"/>
                <w:szCs w:val="13"/>
                <w:i w:val="1"/>
                <w:iCs w:val="1"/>
                <w:color w:val="auto"/>
              </w:rPr>
              <w:t>(Dollars in millions)</w:t>
            </w:r>
          </w:p>
        </w:tc>
        <w:tc>
          <w:tcPr>
            <w:tcW w:w="280" w:type="dxa"/>
            <w:vAlign w:val="bottom"/>
          </w:tcPr>
          <w:p>
            <w:pPr>
              <w:spacing w:after="0"/>
              <w:rPr>
                <w:sz w:val="14"/>
                <w:szCs w:val="14"/>
                <w:color w:val="auto"/>
              </w:rPr>
            </w:pPr>
          </w:p>
        </w:tc>
        <w:tc>
          <w:tcPr>
            <w:tcW w:w="640" w:type="dxa"/>
            <w:vAlign w:val="bottom"/>
          </w:tcPr>
          <w:p>
            <w:pPr>
              <w:jc w:val="right"/>
              <w:ind w:right="52"/>
              <w:spacing w:after="0"/>
              <w:rPr>
                <w:sz w:val="20"/>
                <w:szCs w:val="20"/>
                <w:color w:val="auto"/>
              </w:rPr>
            </w:pPr>
            <w:r>
              <w:rPr>
                <w:rFonts w:ascii="Arial" w:cs="Arial" w:eastAsia="Arial" w:hAnsi="Arial"/>
                <w:sz w:val="13"/>
                <w:szCs w:val="13"/>
                <w:color w:val="auto"/>
              </w:rPr>
              <w:t>Notional</w:t>
            </w:r>
          </w:p>
        </w:tc>
        <w:tc>
          <w:tcPr>
            <w:tcW w:w="3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60" w:type="dxa"/>
            <w:vAlign w:val="bottom"/>
          </w:tcPr>
          <w:p>
            <w:pPr>
              <w:jc w:val="right"/>
              <w:ind w:right="52"/>
              <w:spacing w:after="0"/>
              <w:rPr>
                <w:sz w:val="20"/>
                <w:szCs w:val="20"/>
                <w:color w:val="auto"/>
              </w:rPr>
            </w:pPr>
            <w:r>
              <w:rPr>
                <w:rFonts w:ascii="Arial" w:cs="Arial" w:eastAsia="Arial" w:hAnsi="Arial"/>
                <w:sz w:val="13"/>
                <w:szCs w:val="13"/>
                <w:color w:val="auto"/>
              </w:rPr>
              <w:t>Notional</w:t>
            </w: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100" w:type="dxa"/>
            <w:vAlign w:val="bottom"/>
            <w:tcBorders>
              <w:bottom w:val="single" w:sz="8" w:color="auto"/>
            </w:tcBorders>
            <w:vMerge w:val="continue"/>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52"/>
              <w:spacing w:after="0"/>
              <w:rPr>
                <w:sz w:val="20"/>
                <w:szCs w:val="20"/>
                <w:color w:val="auto"/>
              </w:rPr>
            </w:pPr>
            <w:r>
              <w:rPr>
                <w:rFonts w:ascii="Arial" w:cs="Arial" w:eastAsia="Arial" w:hAnsi="Arial"/>
                <w:sz w:val="13"/>
                <w:szCs w:val="13"/>
                <w:color w:val="auto"/>
              </w:rPr>
              <w:t>Debt</w:t>
            </w:r>
          </w:p>
        </w:tc>
        <w:tc>
          <w:tcPr>
            <w:tcW w:w="3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71"/>
              <w:spacing w:after="0"/>
              <w:rPr>
                <w:sz w:val="20"/>
                <w:szCs w:val="20"/>
                <w:color w:val="auto"/>
              </w:rPr>
            </w:pPr>
            <w:r>
              <w:rPr>
                <w:rFonts w:ascii="Arial" w:cs="Arial" w:eastAsia="Arial" w:hAnsi="Arial"/>
                <w:sz w:val="13"/>
                <w:szCs w:val="13"/>
                <w:color w:val="auto"/>
              </w:rPr>
              <w:t>Asset</w:t>
            </w:r>
          </w:p>
        </w:tc>
        <w:tc>
          <w:tcPr>
            <w:tcW w:w="720" w:type="dxa"/>
            <w:vAlign w:val="bottom"/>
            <w:tcBorders>
              <w:bottom w:val="single" w:sz="8" w:color="auto"/>
            </w:tcBorders>
          </w:tcPr>
          <w:p>
            <w:pPr>
              <w:jc w:val="right"/>
              <w:ind w:right="71"/>
              <w:spacing w:after="0"/>
              <w:rPr>
                <w:sz w:val="20"/>
                <w:szCs w:val="20"/>
                <w:color w:val="auto"/>
              </w:rPr>
            </w:pPr>
            <w:r>
              <w:rPr>
                <w:rFonts w:ascii="Arial" w:cs="Arial" w:eastAsia="Arial" w:hAnsi="Arial"/>
                <w:sz w:val="13"/>
                <w:szCs w:val="13"/>
                <w:color w:val="auto"/>
                <w:w w:val="99"/>
              </w:rPr>
              <w:t>Maturities</w:t>
            </w:r>
          </w:p>
        </w:tc>
        <w:tc>
          <w:tcPr>
            <w:tcW w:w="3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52"/>
              <w:spacing w:after="0"/>
              <w:rPr>
                <w:sz w:val="20"/>
                <w:szCs w:val="20"/>
                <w:color w:val="auto"/>
              </w:rPr>
            </w:pPr>
            <w:r>
              <w:rPr>
                <w:rFonts w:ascii="Arial" w:cs="Arial" w:eastAsia="Arial" w:hAnsi="Arial"/>
                <w:sz w:val="13"/>
                <w:szCs w:val="13"/>
                <w:color w:val="auto"/>
              </w:rPr>
              <w:t>Debt</w:t>
            </w:r>
          </w:p>
        </w:tc>
        <w:tc>
          <w:tcPr>
            <w:tcW w:w="4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311"/>
              <w:spacing w:after="0"/>
              <w:rPr>
                <w:sz w:val="20"/>
                <w:szCs w:val="20"/>
                <w:color w:val="auto"/>
              </w:rPr>
            </w:pPr>
            <w:r>
              <w:rPr>
                <w:rFonts w:ascii="Arial" w:cs="Arial" w:eastAsia="Arial" w:hAnsi="Arial"/>
                <w:sz w:val="13"/>
                <w:szCs w:val="13"/>
                <w:color w:val="auto"/>
              </w:rPr>
              <w:t>Asset</w:t>
            </w:r>
          </w:p>
        </w:tc>
        <w:tc>
          <w:tcPr>
            <w:tcW w:w="700" w:type="dxa"/>
            <w:vAlign w:val="bottom"/>
            <w:tcBorders>
              <w:bottom w:val="single" w:sz="8" w:color="auto"/>
            </w:tcBorders>
          </w:tcPr>
          <w:p>
            <w:pPr>
              <w:jc w:val="right"/>
              <w:ind w:right="71"/>
              <w:spacing w:after="0"/>
              <w:rPr>
                <w:sz w:val="20"/>
                <w:szCs w:val="20"/>
                <w:color w:val="auto"/>
              </w:rPr>
            </w:pPr>
            <w:r>
              <w:rPr>
                <w:rFonts w:ascii="Arial" w:cs="Arial" w:eastAsia="Arial" w:hAnsi="Arial"/>
                <w:sz w:val="13"/>
                <w:szCs w:val="13"/>
                <w:color w:val="auto"/>
                <w:w w:val="95"/>
              </w:rPr>
              <w:t>Maturities</w:t>
            </w:r>
          </w:p>
        </w:tc>
        <w:tc>
          <w:tcPr>
            <w:tcW w:w="0" w:type="dxa"/>
            <w:vAlign w:val="bottom"/>
          </w:tcPr>
          <w:p>
            <w:pPr>
              <w:spacing w:after="0"/>
              <w:rPr>
                <w:sz w:val="1"/>
                <w:szCs w:val="1"/>
                <w:color w:val="auto"/>
              </w:rPr>
            </w:pPr>
          </w:p>
        </w:tc>
      </w:tr>
      <w:tr>
        <w:trPr>
          <w:trHeight w:val="207"/>
        </w:trPr>
        <w:tc>
          <w:tcPr>
            <w:tcW w:w="2100" w:type="dxa"/>
            <w:vAlign w:val="bottom"/>
          </w:tcPr>
          <w:p>
            <w:pPr>
              <w:ind w:left="20"/>
              <w:spacing w:after="0"/>
              <w:rPr>
                <w:sz w:val="20"/>
                <w:szCs w:val="20"/>
                <w:color w:val="auto"/>
              </w:rPr>
            </w:pPr>
            <w:r>
              <w:rPr>
                <w:rFonts w:ascii="Arial" w:cs="Arial" w:eastAsia="Arial" w:hAnsi="Arial"/>
                <w:sz w:val="14"/>
                <w:szCs w:val="14"/>
                <w:color w:val="auto"/>
              </w:rPr>
              <w:t>Sempra Energy Consolidated</w:t>
            </w:r>
          </w:p>
        </w:tc>
        <w:tc>
          <w:tcPr>
            <w:tcW w:w="280" w:type="dxa"/>
            <w:vAlign w:val="bottom"/>
          </w:tcPr>
          <w:p>
            <w:pPr>
              <w:jc w:val="right"/>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12"/>
              <w:spacing w:after="0"/>
              <w:rPr>
                <w:sz w:val="20"/>
                <w:szCs w:val="20"/>
                <w:color w:val="auto"/>
              </w:rPr>
            </w:pPr>
            <w:r>
              <w:rPr>
                <w:rFonts w:ascii="Arial" w:cs="Arial" w:eastAsia="Arial" w:hAnsi="Arial"/>
                <w:sz w:val="14"/>
                <w:szCs w:val="14"/>
                <w:color w:val="auto"/>
              </w:rPr>
              <w:t>450</w:t>
            </w:r>
          </w:p>
        </w:tc>
        <w:tc>
          <w:tcPr>
            <w:tcW w:w="32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211"/>
              <w:spacing w:after="0"/>
              <w:rPr>
                <w:sz w:val="20"/>
                <w:szCs w:val="20"/>
                <w:color w:val="auto"/>
              </w:rPr>
            </w:pPr>
            <w:r>
              <w:rPr>
                <w:rFonts w:ascii="Arial" w:cs="Arial" w:eastAsia="Arial" w:hAnsi="Arial"/>
                <w:sz w:val="14"/>
                <w:szCs w:val="14"/>
                <w:color w:val="auto"/>
              </w:rPr>
              <w:t>24</w:t>
            </w:r>
          </w:p>
        </w:tc>
        <w:tc>
          <w:tcPr>
            <w:tcW w:w="720" w:type="dxa"/>
            <w:vAlign w:val="bottom"/>
          </w:tcPr>
          <w:p>
            <w:pPr>
              <w:jc w:val="right"/>
              <w:spacing w:after="0"/>
              <w:rPr>
                <w:sz w:val="20"/>
                <w:szCs w:val="20"/>
                <w:color w:val="auto"/>
              </w:rPr>
            </w:pPr>
            <w:r>
              <w:rPr>
                <w:rFonts w:ascii="Arial" w:cs="Arial" w:eastAsia="Arial" w:hAnsi="Arial"/>
                <w:sz w:val="14"/>
                <w:szCs w:val="14"/>
                <w:color w:val="auto"/>
              </w:rPr>
              <w:t>2010-2011</w:t>
            </w:r>
          </w:p>
        </w:tc>
        <w:tc>
          <w:tcPr>
            <w:tcW w:w="360" w:type="dxa"/>
            <w:vAlign w:val="bottom"/>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450</w:t>
            </w:r>
          </w:p>
        </w:tc>
        <w:tc>
          <w:tcPr>
            <w:tcW w:w="42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211"/>
              <w:spacing w:after="0"/>
              <w:rPr>
                <w:sz w:val="20"/>
                <w:szCs w:val="20"/>
                <w:color w:val="auto"/>
              </w:rPr>
            </w:pPr>
            <w:r>
              <w:rPr>
                <w:rFonts w:ascii="Arial" w:cs="Arial" w:eastAsia="Arial" w:hAnsi="Arial"/>
                <w:sz w:val="14"/>
                <w:szCs w:val="14"/>
                <w:color w:val="auto"/>
              </w:rPr>
              <w:t>11</w:t>
            </w:r>
          </w:p>
        </w:tc>
        <w:tc>
          <w:tcPr>
            <w:tcW w:w="700" w:type="dxa"/>
            <w:vAlign w:val="bottom"/>
          </w:tcPr>
          <w:p>
            <w:pPr>
              <w:jc w:val="right"/>
              <w:spacing w:after="0"/>
              <w:rPr>
                <w:sz w:val="20"/>
                <w:szCs w:val="20"/>
                <w:color w:val="auto"/>
              </w:rPr>
            </w:pPr>
            <w:r>
              <w:rPr>
                <w:rFonts w:ascii="Arial" w:cs="Arial" w:eastAsia="Arial" w:hAnsi="Arial"/>
                <w:sz w:val="14"/>
                <w:szCs w:val="14"/>
                <w:color w:val="auto"/>
                <w:w w:val="98"/>
              </w:rPr>
              <w:t>2010-2011</w:t>
            </w:r>
          </w:p>
        </w:tc>
        <w:tc>
          <w:tcPr>
            <w:tcW w:w="0" w:type="dxa"/>
            <w:vAlign w:val="bottom"/>
          </w:tcPr>
          <w:p>
            <w:pPr>
              <w:spacing w:after="0"/>
              <w:rPr>
                <w:sz w:val="1"/>
                <w:szCs w:val="1"/>
                <w:color w:val="auto"/>
              </w:rPr>
            </w:pPr>
          </w:p>
        </w:tc>
      </w:tr>
      <w:tr>
        <w:trPr>
          <w:trHeight w:val="250"/>
        </w:trPr>
        <w:tc>
          <w:tcPr>
            <w:tcW w:w="2100" w:type="dxa"/>
            <w:vAlign w:val="bottom"/>
            <w:tcBorders>
              <w:bottom w:val="single" w:sz="8" w:color="DFDFDF"/>
            </w:tcBorders>
          </w:tcPr>
          <w:p>
            <w:pPr>
              <w:ind w:left="20"/>
              <w:spacing w:after="0"/>
              <w:rPr>
                <w:sz w:val="20"/>
                <w:szCs w:val="20"/>
                <w:color w:val="auto"/>
              </w:rPr>
            </w:pPr>
            <w:r>
              <w:rPr>
                <w:rFonts w:ascii="Arial" w:cs="Arial" w:eastAsia="Arial" w:hAnsi="Arial"/>
                <w:sz w:val="14"/>
                <w:szCs w:val="14"/>
                <w:color w:val="auto"/>
              </w:rPr>
              <w:t>SoCalGas</w:t>
            </w:r>
          </w:p>
        </w:tc>
        <w:tc>
          <w:tcPr>
            <w:tcW w:w="280" w:type="dxa"/>
            <w:vAlign w:val="bottom"/>
            <w:tcBorders>
              <w:bottom w:val="single" w:sz="8" w:color="DFDFDF"/>
            </w:tcBorders>
          </w:tcPr>
          <w:p>
            <w:pPr>
              <w:spacing w:after="0"/>
              <w:rPr>
                <w:sz w:val="21"/>
                <w:szCs w:val="21"/>
                <w:color w:val="auto"/>
              </w:rPr>
            </w:pPr>
          </w:p>
        </w:tc>
        <w:tc>
          <w:tcPr>
            <w:tcW w:w="640" w:type="dxa"/>
            <w:vAlign w:val="bottom"/>
            <w:tcBorders>
              <w:bottom w:val="single" w:sz="8" w:color="DFDFDF"/>
            </w:tcBorders>
          </w:tcPr>
          <w:p>
            <w:pPr>
              <w:jc w:val="right"/>
              <w:ind w:right="12"/>
              <w:spacing w:after="0"/>
              <w:rPr>
                <w:sz w:val="20"/>
                <w:szCs w:val="20"/>
                <w:color w:val="auto"/>
              </w:rPr>
            </w:pPr>
            <w:r>
              <w:rPr>
                <w:rFonts w:ascii="Arial" w:cs="Arial" w:eastAsia="Arial" w:hAnsi="Arial"/>
                <w:sz w:val="14"/>
                <w:szCs w:val="14"/>
                <w:color w:val="auto"/>
              </w:rPr>
              <w:t>150</w:t>
            </w:r>
          </w:p>
        </w:tc>
        <w:tc>
          <w:tcPr>
            <w:tcW w:w="320" w:type="dxa"/>
            <w:vAlign w:val="bottom"/>
            <w:tcBorders>
              <w:bottom w:val="single" w:sz="8" w:color="DFDFDF"/>
            </w:tcBorders>
          </w:tcPr>
          <w:p>
            <w:pPr>
              <w:spacing w:after="0"/>
              <w:rPr>
                <w:sz w:val="21"/>
                <w:szCs w:val="21"/>
                <w:color w:val="auto"/>
              </w:rPr>
            </w:pPr>
          </w:p>
        </w:tc>
        <w:tc>
          <w:tcPr>
            <w:tcW w:w="860" w:type="dxa"/>
            <w:vAlign w:val="bottom"/>
            <w:tcBorders>
              <w:bottom w:val="single" w:sz="8" w:color="DFDFDF"/>
            </w:tcBorders>
          </w:tcPr>
          <w:p>
            <w:pPr>
              <w:jc w:val="right"/>
              <w:ind w:right="211"/>
              <w:spacing w:after="0"/>
              <w:rPr>
                <w:sz w:val="20"/>
                <w:szCs w:val="20"/>
                <w:color w:val="auto"/>
              </w:rPr>
            </w:pPr>
            <w:r>
              <w:rPr>
                <w:rFonts w:ascii="Arial" w:cs="Arial" w:eastAsia="Arial" w:hAnsi="Arial"/>
                <w:sz w:val="14"/>
                <w:szCs w:val="14"/>
                <w:color w:val="auto"/>
              </w:rPr>
              <w:t>9</w:t>
            </w:r>
          </w:p>
        </w:tc>
        <w:tc>
          <w:tcPr>
            <w:tcW w:w="720" w:type="dxa"/>
            <w:vAlign w:val="bottom"/>
            <w:tcBorders>
              <w:bottom w:val="single" w:sz="8" w:color="DFDFDF"/>
            </w:tcBorders>
          </w:tcPr>
          <w:p>
            <w:pPr>
              <w:jc w:val="right"/>
              <w:spacing w:after="0"/>
              <w:rPr>
                <w:sz w:val="20"/>
                <w:szCs w:val="20"/>
                <w:color w:val="auto"/>
              </w:rPr>
            </w:pPr>
            <w:r>
              <w:rPr>
                <w:rFonts w:ascii="Arial" w:cs="Arial" w:eastAsia="Arial" w:hAnsi="Arial"/>
                <w:sz w:val="14"/>
                <w:szCs w:val="14"/>
                <w:color w:val="auto"/>
              </w:rPr>
              <w:t>2011</w:t>
            </w:r>
          </w:p>
        </w:tc>
        <w:tc>
          <w:tcPr>
            <w:tcW w:w="360" w:type="dxa"/>
            <w:vAlign w:val="bottom"/>
            <w:tcBorders>
              <w:bottom w:val="single" w:sz="8" w:color="DFDFDF"/>
            </w:tcBorders>
          </w:tcPr>
          <w:p>
            <w:pPr>
              <w:spacing w:after="0"/>
              <w:rPr>
                <w:sz w:val="21"/>
                <w:szCs w:val="21"/>
                <w:color w:val="auto"/>
              </w:rPr>
            </w:pPr>
          </w:p>
        </w:tc>
        <w:tc>
          <w:tcPr>
            <w:tcW w:w="660" w:type="dxa"/>
            <w:vAlign w:val="bottom"/>
            <w:tcBorders>
              <w:bottom w:val="single" w:sz="8" w:color="DFDFDF"/>
            </w:tcBorders>
          </w:tcPr>
          <w:p>
            <w:pPr>
              <w:jc w:val="right"/>
              <w:spacing w:after="0"/>
              <w:rPr>
                <w:sz w:val="20"/>
                <w:szCs w:val="20"/>
                <w:color w:val="auto"/>
              </w:rPr>
            </w:pPr>
            <w:r>
              <w:rPr>
                <w:rFonts w:ascii="Arial" w:cs="Arial" w:eastAsia="Arial" w:hAnsi="Arial"/>
                <w:sz w:val="14"/>
                <w:szCs w:val="14"/>
                <w:color w:val="auto"/>
              </w:rPr>
              <w:t>150</w:t>
            </w:r>
          </w:p>
        </w:tc>
        <w:tc>
          <w:tcPr>
            <w:tcW w:w="420" w:type="dxa"/>
            <w:vAlign w:val="bottom"/>
            <w:tcBorders>
              <w:bottom w:val="single" w:sz="8" w:color="DFDFDF"/>
            </w:tcBorders>
          </w:tcPr>
          <w:p>
            <w:pPr>
              <w:spacing w:after="0"/>
              <w:rPr>
                <w:sz w:val="21"/>
                <w:szCs w:val="21"/>
                <w:color w:val="auto"/>
              </w:rPr>
            </w:pPr>
          </w:p>
        </w:tc>
        <w:tc>
          <w:tcPr>
            <w:tcW w:w="760" w:type="dxa"/>
            <w:vAlign w:val="bottom"/>
            <w:tcBorders>
              <w:bottom w:val="single" w:sz="8" w:color="DFDFDF"/>
            </w:tcBorders>
          </w:tcPr>
          <w:p>
            <w:pPr>
              <w:jc w:val="right"/>
              <w:ind w:right="211"/>
              <w:spacing w:after="0"/>
              <w:rPr>
                <w:sz w:val="20"/>
                <w:szCs w:val="20"/>
                <w:color w:val="auto"/>
              </w:rPr>
            </w:pPr>
            <w:r>
              <w:rPr>
                <w:rFonts w:ascii="Arial" w:cs="Arial" w:eastAsia="Arial" w:hAnsi="Arial"/>
                <w:sz w:val="14"/>
                <w:szCs w:val="14"/>
                <w:color w:val="auto"/>
              </w:rPr>
              <w:t>2</w:t>
            </w:r>
          </w:p>
        </w:tc>
        <w:tc>
          <w:tcPr>
            <w:tcW w:w="700" w:type="dxa"/>
            <w:vAlign w:val="bottom"/>
            <w:tcBorders>
              <w:bottom w:val="single" w:sz="8" w:color="DFDFDF"/>
            </w:tcBorders>
          </w:tcPr>
          <w:p>
            <w:pPr>
              <w:jc w:val="right"/>
              <w:spacing w:after="0"/>
              <w:rPr>
                <w:sz w:val="20"/>
                <w:szCs w:val="20"/>
                <w:color w:val="auto"/>
              </w:rPr>
            </w:pPr>
            <w:r>
              <w:rPr>
                <w:rFonts w:ascii="Arial" w:cs="Arial" w:eastAsia="Arial" w:hAnsi="Arial"/>
                <w:sz w:val="14"/>
                <w:szCs w:val="14"/>
                <w:color w:val="auto"/>
              </w:rPr>
              <w:t>2011</w:t>
            </w:r>
          </w:p>
        </w:tc>
        <w:tc>
          <w:tcPr>
            <w:tcW w:w="0" w:type="dxa"/>
            <w:vAlign w:val="bottom"/>
          </w:tcPr>
          <w:p>
            <w:pPr>
              <w:spacing w:after="0"/>
              <w:rPr>
                <w:sz w:val="1"/>
                <w:szCs w:val="1"/>
                <w:color w:val="auto"/>
              </w:rPr>
            </w:pPr>
          </w:p>
        </w:tc>
      </w:tr>
    </w:tbl>
    <w:p>
      <w:pPr>
        <w:spacing w:after="0" w:line="180" w:lineRule="exact"/>
        <w:rPr>
          <w:sz w:val="20"/>
          <w:szCs w:val="20"/>
          <w:color w:val="auto"/>
        </w:rPr>
      </w:pPr>
    </w:p>
    <w:p>
      <w:pPr>
        <w:ind w:right="80"/>
        <w:spacing w:after="0" w:line="264" w:lineRule="auto"/>
        <w:rPr>
          <w:sz w:val="20"/>
          <w:szCs w:val="20"/>
          <w:color w:val="auto"/>
        </w:rPr>
      </w:pPr>
      <w:r>
        <w:rPr>
          <w:rFonts w:ascii="Arial" w:cs="Arial" w:eastAsia="Arial" w:hAnsi="Arial"/>
          <w:sz w:val="16"/>
          <w:szCs w:val="16"/>
          <w:color w:val="auto"/>
        </w:rPr>
        <w:t>There has been no hedge ineffectiveness on these swaps. We recorded the market value adjustments since inception of the interest-rate swap hedges as an increase in Fixed-Price Contracts and Other Derivatives (in noncurrent assets as Sundry or in noncurrent liabilities) and a corresponding increase or decrease in Long-Term Debt without affecting net income or other comprehensive income.</w:t>
      </w:r>
    </w:p>
    <w:p>
      <w:pPr>
        <w:spacing w:after="0" w:line="42" w:lineRule="exact"/>
        <w:rPr>
          <w:sz w:val="20"/>
          <w:szCs w:val="20"/>
          <w:color w:val="auto"/>
        </w:rPr>
      </w:pPr>
    </w:p>
    <w:p>
      <w:pPr>
        <w:spacing w:after="0" w:line="277" w:lineRule="auto"/>
        <w:rPr>
          <w:sz w:val="20"/>
          <w:szCs w:val="20"/>
          <w:color w:val="auto"/>
        </w:rPr>
      </w:pPr>
      <w:r>
        <w:rPr>
          <w:rFonts w:ascii="Arial" w:cs="Arial" w:eastAsia="Arial" w:hAnsi="Arial"/>
          <w:sz w:val="16"/>
          <w:szCs w:val="16"/>
          <w:color w:val="auto"/>
        </w:rPr>
        <w:t>Prior to the sale of the commodities-marketing businesses into RBS Sempra Commodities in April 2008, commodity fair value hedges were associated with Sempra Commodities and were recorded as trading instruments.</w:t>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CASH FLOW HEDGES</w:t>
      </w:r>
    </w:p>
    <w:p>
      <w:pPr>
        <w:spacing w:after="0" w:line="89" w:lineRule="exact"/>
        <w:rPr>
          <w:sz w:val="20"/>
          <w:szCs w:val="20"/>
          <w:color w:val="auto"/>
        </w:rPr>
      </w:pPr>
    </w:p>
    <w:p>
      <w:pPr>
        <w:spacing w:after="0"/>
        <w:rPr>
          <w:sz w:val="20"/>
          <w:szCs w:val="20"/>
          <w:color w:val="auto"/>
        </w:rPr>
      </w:pPr>
      <w:r>
        <w:rPr>
          <w:rFonts w:ascii="Arial" w:cs="Arial" w:eastAsia="Arial" w:hAnsi="Arial"/>
          <w:sz w:val="16"/>
          <w:szCs w:val="16"/>
          <w:color w:val="auto"/>
        </w:rPr>
        <w:t>Cash flow interest-rate swap hedges at December 31, 2008 and 2007 were:</w:t>
      </w:r>
    </w:p>
    <w:p>
      <w:pPr>
        <w:spacing w:after="0" w:line="349" w:lineRule="exact"/>
        <w:rPr>
          <w:sz w:val="20"/>
          <w:szCs w:val="20"/>
          <w:color w:val="auto"/>
        </w:rPr>
      </w:pPr>
    </w:p>
    <w:tbl>
      <w:tblPr>
        <w:tblLayout w:type="fixed"/>
        <w:tblInd w:w="1780" w:type="dxa"/>
        <w:tblCellMar>
          <w:top w:w="0" w:type="dxa"/>
          <w:left w:w="0" w:type="dxa"/>
          <w:bottom w:w="0" w:type="dxa"/>
          <w:right w:w="0" w:type="dxa"/>
        </w:tblCellMar>
      </w:tblPr>
      <w:tr>
        <w:trPr>
          <w:trHeight w:val="156"/>
        </w:trPr>
        <w:tc>
          <w:tcPr>
            <w:tcW w:w="23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60" w:type="dxa"/>
            <w:vAlign w:val="bottom"/>
            <w:tcBorders>
              <w:bottom w:val="single" w:sz="8" w:color="auto"/>
            </w:tcBorders>
            <w:gridSpan w:val="2"/>
          </w:tcPr>
          <w:p>
            <w:pPr>
              <w:jc w:val="right"/>
              <w:ind w:right="410"/>
              <w:spacing w:after="0"/>
              <w:rPr>
                <w:sz w:val="20"/>
                <w:szCs w:val="20"/>
                <w:color w:val="auto"/>
              </w:rPr>
            </w:pPr>
            <w:r>
              <w:rPr>
                <w:rFonts w:ascii="Arial" w:cs="Arial" w:eastAsia="Arial" w:hAnsi="Arial"/>
                <w:sz w:val="13"/>
                <w:szCs w:val="13"/>
                <w:color w:val="auto"/>
              </w:rPr>
              <w:t>December 31, 2008</w:t>
            </w:r>
          </w:p>
        </w:tc>
        <w:tc>
          <w:tcPr>
            <w:tcW w:w="680" w:type="dxa"/>
            <w:vAlign w:val="bottom"/>
          </w:tcPr>
          <w:p>
            <w:pPr>
              <w:spacing w:after="0"/>
              <w:rPr>
                <w:sz w:val="13"/>
                <w:szCs w:val="13"/>
                <w:color w:val="auto"/>
              </w:rPr>
            </w:pPr>
          </w:p>
        </w:tc>
        <w:tc>
          <w:tcPr>
            <w:tcW w:w="2200" w:type="dxa"/>
            <w:vAlign w:val="bottom"/>
            <w:tcBorders>
              <w:bottom w:val="single" w:sz="8" w:color="auto"/>
            </w:tcBorders>
            <w:gridSpan w:val="2"/>
          </w:tcPr>
          <w:p>
            <w:pPr>
              <w:jc w:val="right"/>
              <w:ind w:right="470"/>
              <w:spacing w:after="0"/>
              <w:rPr>
                <w:sz w:val="20"/>
                <w:szCs w:val="20"/>
                <w:color w:val="auto"/>
              </w:rPr>
            </w:pPr>
            <w:r>
              <w:rPr>
                <w:rFonts w:ascii="Arial" w:cs="Arial" w:eastAsia="Arial" w:hAnsi="Arial"/>
                <w:sz w:val="13"/>
                <w:szCs w:val="13"/>
                <w:color w:val="auto"/>
              </w:rPr>
              <w:t>December 31, 2007</w:t>
            </w:r>
          </w:p>
        </w:tc>
      </w:tr>
      <w:tr>
        <w:trPr>
          <w:trHeight w:val="211"/>
        </w:trPr>
        <w:tc>
          <w:tcPr>
            <w:tcW w:w="2380" w:type="dxa"/>
            <w:vAlign w:val="bottom"/>
            <w:tcBorders>
              <w:bottom w:val="single" w:sz="8" w:color="auto"/>
            </w:tcBorders>
          </w:tcPr>
          <w:p>
            <w:pPr>
              <w:spacing w:after="0"/>
              <w:rPr>
                <w:sz w:val="20"/>
                <w:szCs w:val="20"/>
                <w:color w:val="auto"/>
              </w:rPr>
            </w:pPr>
            <w:r>
              <w:rPr>
                <w:rFonts w:ascii="Arial" w:cs="Arial" w:eastAsia="Arial" w:hAnsi="Arial"/>
                <w:sz w:val="13"/>
                <w:szCs w:val="13"/>
                <w:i w:val="1"/>
                <w:iCs w:val="1"/>
                <w:color w:val="auto"/>
              </w:rPr>
              <w:t>(Dollars in millions)</w:t>
            </w:r>
          </w:p>
        </w:tc>
        <w:tc>
          <w:tcPr>
            <w:tcW w:w="5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211"/>
              <w:spacing w:after="0"/>
              <w:rPr>
                <w:sz w:val="20"/>
                <w:szCs w:val="20"/>
                <w:color w:val="auto"/>
              </w:rPr>
            </w:pPr>
            <w:r>
              <w:rPr>
                <w:rFonts w:ascii="Arial" w:cs="Arial" w:eastAsia="Arial" w:hAnsi="Arial"/>
                <w:sz w:val="13"/>
                <w:szCs w:val="13"/>
                <w:color w:val="auto"/>
              </w:rPr>
              <w:t>Notional Debt</w:t>
            </w:r>
          </w:p>
        </w:tc>
        <w:tc>
          <w:tcPr>
            <w:tcW w:w="940" w:type="dxa"/>
            <w:vAlign w:val="bottom"/>
            <w:tcBorders>
              <w:bottom w:val="single" w:sz="8" w:color="auto"/>
            </w:tcBorders>
          </w:tcPr>
          <w:p>
            <w:pPr>
              <w:jc w:val="right"/>
              <w:ind w:right="90"/>
              <w:spacing w:after="0"/>
              <w:rPr>
                <w:sz w:val="20"/>
                <w:szCs w:val="20"/>
                <w:color w:val="auto"/>
              </w:rPr>
            </w:pPr>
            <w:r>
              <w:rPr>
                <w:rFonts w:ascii="Arial" w:cs="Arial" w:eastAsia="Arial" w:hAnsi="Arial"/>
                <w:sz w:val="13"/>
                <w:szCs w:val="13"/>
                <w:color w:val="auto"/>
              </w:rPr>
              <w:t>Maturities</w:t>
            </w:r>
          </w:p>
        </w:tc>
        <w:tc>
          <w:tcPr>
            <w:tcW w:w="6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271"/>
              <w:spacing w:after="0"/>
              <w:rPr>
                <w:sz w:val="20"/>
                <w:szCs w:val="20"/>
                <w:color w:val="auto"/>
              </w:rPr>
            </w:pPr>
            <w:r>
              <w:rPr>
                <w:rFonts w:ascii="Arial" w:cs="Arial" w:eastAsia="Arial" w:hAnsi="Arial"/>
                <w:sz w:val="13"/>
                <w:szCs w:val="13"/>
                <w:color w:val="auto"/>
              </w:rPr>
              <w:t>Notional Debt</w:t>
            </w:r>
          </w:p>
        </w:tc>
        <w:tc>
          <w:tcPr>
            <w:tcW w:w="1000" w:type="dxa"/>
            <w:vAlign w:val="bottom"/>
            <w:tcBorders>
              <w:bottom w:val="single" w:sz="8" w:color="auto"/>
            </w:tcBorders>
          </w:tcPr>
          <w:p>
            <w:pPr>
              <w:jc w:val="right"/>
              <w:ind w:right="90"/>
              <w:spacing w:after="0"/>
              <w:rPr>
                <w:sz w:val="20"/>
                <w:szCs w:val="20"/>
                <w:color w:val="auto"/>
              </w:rPr>
            </w:pPr>
            <w:r>
              <w:rPr>
                <w:rFonts w:ascii="Arial" w:cs="Arial" w:eastAsia="Arial" w:hAnsi="Arial"/>
                <w:sz w:val="13"/>
                <w:szCs w:val="13"/>
                <w:color w:val="auto"/>
              </w:rPr>
              <w:t>Maturities</w:t>
            </w:r>
          </w:p>
        </w:tc>
      </w:tr>
      <w:tr>
        <w:trPr>
          <w:trHeight w:val="207"/>
        </w:trPr>
        <w:tc>
          <w:tcPr>
            <w:tcW w:w="2380" w:type="dxa"/>
            <w:vAlign w:val="bottom"/>
          </w:tcPr>
          <w:p>
            <w:pPr>
              <w:spacing w:after="0"/>
              <w:rPr>
                <w:sz w:val="20"/>
                <w:szCs w:val="20"/>
                <w:color w:val="auto"/>
              </w:rPr>
            </w:pPr>
            <w:r>
              <w:rPr>
                <w:rFonts w:ascii="Arial" w:cs="Arial" w:eastAsia="Arial" w:hAnsi="Arial"/>
                <w:sz w:val="14"/>
                <w:szCs w:val="14"/>
                <w:color w:val="auto"/>
              </w:rPr>
              <w:t>Sempra Energy Consolidated*</w:t>
            </w:r>
          </w:p>
        </w:tc>
        <w:tc>
          <w:tcPr>
            <w:tcW w:w="560" w:type="dxa"/>
            <w:vAlign w:val="bottom"/>
          </w:tcPr>
          <w:p>
            <w:pPr>
              <w:jc w:val="right"/>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151"/>
              <w:spacing w:after="0"/>
              <w:rPr>
                <w:sz w:val="20"/>
                <w:szCs w:val="20"/>
                <w:color w:val="auto"/>
              </w:rPr>
            </w:pPr>
            <w:r>
              <w:rPr>
                <w:rFonts w:ascii="Arial" w:cs="Arial" w:eastAsia="Arial" w:hAnsi="Arial"/>
                <w:sz w:val="14"/>
                <w:szCs w:val="14"/>
                <w:color w:val="auto"/>
              </w:rPr>
              <w:t>176</w:t>
            </w:r>
          </w:p>
        </w:tc>
        <w:tc>
          <w:tcPr>
            <w:tcW w:w="940" w:type="dxa"/>
            <w:vAlign w:val="bottom"/>
          </w:tcPr>
          <w:p>
            <w:pPr>
              <w:jc w:val="right"/>
              <w:spacing w:after="0"/>
              <w:rPr>
                <w:sz w:val="20"/>
                <w:szCs w:val="20"/>
                <w:color w:val="auto"/>
              </w:rPr>
            </w:pPr>
            <w:r>
              <w:rPr>
                <w:rFonts w:ascii="Arial" w:cs="Arial" w:eastAsia="Arial" w:hAnsi="Arial"/>
                <w:sz w:val="14"/>
                <w:szCs w:val="14"/>
                <w:color w:val="auto"/>
              </w:rPr>
              <w:t>2009</w:t>
            </w: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191"/>
              <w:spacing w:after="0"/>
              <w:rPr>
                <w:sz w:val="20"/>
                <w:szCs w:val="20"/>
                <w:color w:val="auto"/>
              </w:rPr>
            </w:pPr>
            <w:r>
              <w:rPr>
                <w:rFonts w:ascii="Arial" w:cs="Arial" w:eastAsia="Arial" w:hAnsi="Arial"/>
                <w:sz w:val="14"/>
                <w:szCs w:val="14"/>
                <w:color w:val="auto"/>
              </w:rPr>
              <w:t>434</w:t>
            </w:r>
          </w:p>
        </w:tc>
        <w:tc>
          <w:tcPr>
            <w:tcW w:w="1000" w:type="dxa"/>
            <w:vAlign w:val="bottom"/>
          </w:tcPr>
          <w:p>
            <w:pPr>
              <w:jc w:val="right"/>
              <w:spacing w:after="0"/>
              <w:rPr>
                <w:sz w:val="20"/>
                <w:szCs w:val="20"/>
                <w:color w:val="auto"/>
              </w:rPr>
            </w:pPr>
            <w:r>
              <w:rPr>
                <w:rFonts w:ascii="Arial" w:cs="Arial" w:eastAsia="Arial" w:hAnsi="Arial"/>
                <w:sz w:val="14"/>
                <w:szCs w:val="14"/>
                <w:color w:val="auto"/>
              </w:rPr>
              <w:t>2009-2038</w:t>
            </w:r>
          </w:p>
        </w:tc>
      </w:tr>
      <w:tr>
        <w:trPr>
          <w:trHeight w:val="216"/>
        </w:trPr>
        <w:tc>
          <w:tcPr>
            <w:tcW w:w="2380" w:type="dxa"/>
            <w:vAlign w:val="bottom"/>
          </w:tcPr>
          <w:p>
            <w:pPr>
              <w:spacing w:after="0"/>
              <w:rPr>
                <w:sz w:val="20"/>
                <w:szCs w:val="20"/>
                <w:color w:val="auto"/>
              </w:rPr>
            </w:pPr>
            <w:r>
              <w:rPr>
                <w:rFonts w:ascii="Arial" w:cs="Arial" w:eastAsia="Arial" w:hAnsi="Arial"/>
                <w:sz w:val="14"/>
                <w:szCs w:val="14"/>
                <w:color w:val="auto"/>
              </w:rPr>
              <w:t>SDG&amp;E*</w:t>
            </w:r>
          </w:p>
        </w:tc>
        <w:tc>
          <w:tcPr>
            <w:tcW w:w="560" w:type="dxa"/>
            <w:vAlign w:val="bottom"/>
          </w:tcPr>
          <w:p>
            <w:pPr>
              <w:spacing w:after="0"/>
              <w:rPr>
                <w:sz w:val="18"/>
                <w:szCs w:val="18"/>
                <w:color w:val="auto"/>
              </w:rPr>
            </w:pPr>
          </w:p>
        </w:tc>
        <w:tc>
          <w:tcPr>
            <w:tcW w:w="1120" w:type="dxa"/>
            <w:vAlign w:val="bottom"/>
          </w:tcPr>
          <w:p>
            <w:pPr>
              <w:jc w:val="right"/>
              <w:ind w:right="151"/>
              <w:spacing w:after="0"/>
              <w:rPr>
                <w:sz w:val="20"/>
                <w:szCs w:val="20"/>
                <w:color w:val="auto"/>
              </w:rPr>
            </w:pPr>
            <w:r>
              <w:rPr>
                <w:rFonts w:ascii="Arial" w:cs="Arial" w:eastAsia="Arial" w:hAnsi="Arial"/>
                <w:sz w:val="14"/>
                <w:szCs w:val="14"/>
                <w:color w:val="auto"/>
              </w:rPr>
              <w:t>176</w:t>
            </w:r>
          </w:p>
        </w:tc>
        <w:tc>
          <w:tcPr>
            <w:tcW w:w="940" w:type="dxa"/>
            <w:vAlign w:val="bottom"/>
          </w:tcPr>
          <w:p>
            <w:pPr>
              <w:jc w:val="right"/>
              <w:spacing w:after="0"/>
              <w:rPr>
                <w:sz w:val="20"/>
                <w:szCs w:val="20"/>
                <w:color w:val="auto"/>
              </w:rPr>
            </w:pPr>
            <w:r>
              <w:rPr>
                <w:rFonts w:ascii="Arial" w:cs="Arial" w:eastAsia="Arial" w:hAnsi="Arial"/>
                <w:sz w:val="14"/>
                <w:szCs w:val="14"/>
                <w:color w:val="auto"/>
              </w:rPr>
              <w:t>2009</w:t>
            </w:r>
          </w:p>
        </w:tc>
        <w:tc>
          <w:tcPr>
            <w:tcW w:w="680" w:type="dxa"/>
            <w:vAlign w:val="bottom"/>
          </w:tcPr>
          <w:p>
            <w:pPr>
              <w:spacing w:after="0"/>
              <w:rPr>
                <w:sz w:val="18"/>
                <w:szCs w:val="18"/>
                <w:color w:val="auto"/>
              </w:rPr>
            </w:pPr>
          </w:p>
        </w:tc>
        <w:tc>
          <w:tcPr>
            <w:tcW w:w="1200" w:type="dxa"/>
            <w:vAlign w:val="bottom"/>
          </w:tcPr>
          <w:p>
            <w:pPr>
              <w:jc w:val="right"/>
              <w:ind w:right="191"/>
              <w:spacing w:after="0"/>
              <w:rPr>
                <w:sz w:val="20"/>
                <w:szCs w:val="20"/>
                <w:color w:val="auto"/>
              </w:rPr>
            </w:pPr>
            <w:r>
              <w:rPr>
                <w:rFonts w:ascii="Arial" w:cs="Arial" w:eastAsia="Arial" w:hAnsi="Arial"/>
                <w:sz w:val="14"/>
                <w:szCs w:val="14"/>
                <w:color w:val="auto"/>
              </w:rPr>
              <w:t>251</w:t>
            </w:r>
          </w:p>
        </w:tc>
        <w:tc>
          <w:tcPr>
            <w:tcW w:w="1000" w:type="dxa"/>
            <w:vAlign w:val="bottom"/>
          </w:tcPr>
          <w:p>
            <w:pPr>
              <w:jc w:val="right"/>
              <w:spacing w:after="0"/>
              <w:rPr>
                <w:sz w:val="20"/>
                <w:szCs w:val="20"/>
                <w:color w:val="auto"/>
              </w:rPr>
            </w:pPr>
            <w:r>
              <w:rPr>
                <w:rFonts w:ascii="Arial" w:cs="Arial" w:eastAsia="Arial" w:hAnsi="Arial"/>
                <w:sz w:val="14"/>
                <w:szCs w:val="14"/>
                <w:color w:val="auto"/>
              </w:rPr>
              <w:t>2009</w:t>
            </w:r>
          </w:p>
        </w:tc>
      </w:tr>
      <w:tr>
        <w:trPr>
          <w:trHeight w:val="216"/>
        </w:trPr>
        <w:tc>
          <w:tcPr>
            <w:tcW w:w="2380" w:type="dxa"/>
            <w:vAlign w:val="bottom"/>
          </w:tcPr>
          <w:p>
            <w:pPr>
              <w:spacing w:after="0"/>
              <w:rPr>
                <w:sz w:val="20"/>
                <w:szCs w:val="20"/>
                <w:color w:val="auto"/>
              </w:rPr>
            </w:pPr>
            <w:r>
              <w:rPr>
                <w:rFonts w:ascii="Arial" w:cs="Arial" w:eastAsia="Arial" w:hAnsi="Arial"/>
                <w:sz w:val="14"/>
                <w:szCs w:val="14"/>
                <w:color w:val="auto"/>
              </w:rPr>
              <w:t>SoCalGas</w:t>
            </w:r>
          </w:p>
        </w:tc>
        <w:tc>
          <w:tcPr>
            <w:tcW w:w="560" w:type="dxa"/>
            <w:vAlign w:val="bottom"/>
          </w:tcPr>
          <w:p>
            <w:pPr>
              <w:spacing w:after="0"/>
              <w:rPr>
                <w:sz w:val="18"/>
                <w:szCs w:val="18"/>
                <w:color w:val="auto"/>
              </w:rPr>
            </w:pPr>
          </w:p>
        </w:tc>
        <w:tc>
          <w:tcPr>
            <w:tcW w:w="1120" w:type="dxa"/>
            <w:vAlign w:val="bottom"/>
          </w:tcPr>
          <w:p>
            <w:pPr>
              <w:jc w:val="right"/>
              <w:ind w:right="151"/>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spacing w:after="0"/>
              <w:rPr>
                <w:sz w:val="18"/>
                <w:szCs w:val="18"/>
                <w:color w:val="auto"/>
              </w:rPr>
            </w:pPr>
          </w:p>
        </w:tc>
        <w:tc>
          <w:tcPr>
            <w:tcW w:w="1200" w:type="dxa"/>
            <w:vAlign w:val="bottom"/>
          </w:tcPr>
          <w:p>
            <w:pPr>
              <w:jc w:val="right"/>
              <w:ind w:right="191"/>
              <w:spacing w:after="0"/>
              <w:rPr>
                <w:sz w:val="20"/>
                <w:szCs w:val="20"/>
                <w:color w:val="auto"/>
              </w:rPr>
            </w:pPr>
            <w:r>
              <w:rPr>
                <w:rFonts w:ascii="Arial" w:cs="Arial" w:eastAsia="Arial" w:hAnsi="Arial"/>
                <w:sz w:val="14"/>
                <w:szCs w:val="14"/>
                <w:color w:val="auto"/>
              </w:rPr>
              <w:t>183</w:t>
            </w:r>
          </w:p>
        </w:tc>
        <w:tc>
          <w:tcPr>
            <w:tcW w:w="1000" w:type="dxa"/>
            <w:vAlign w:val="bottom"/>
          </w:tcPr>
          <w:p>
            <w:pPr>
              <w:jc w:val="right"/>
              <w:spacing w:after="0"/>
              <w:rPr>
                <w:sz w:val="20"/>
                <w:szCs w:val="20"/>
                <w:color w:val="auto"/>
              </w:rPr>
            </w:pPr>
            <w:r>
              <w:rPr>
                <w:rFonts w:ascii="Arial" w:cs="Arial" w:eastAsia="Arial" w:hAnsi="Arial"/>
                <w:sz w:val="14"/>
                <w:szCs w:val="14"/>
                <w:color w:val="auto"/>
              </w:rPr>
              <w:t>2038</w:t>
            </w:r>
          </w:p>
        </w:tc>
      </w:tr>
      <w:tr>
        <w:trPr>
          <w:trHeight w:val="250"/>
        </w:trPr>
        <w:tc>
          <w:tcPr>
            <w:tcW w:w="2380" w:type="dxa"/>
            <w:vAlign w:val="bottom"/>
            <w:tcBorders>
              <w:bottom w:val="single" w:sz="8" w:color="DFDFDF"/>
            </w:tcBorders>
          </w:tcPr>
          <w:p>
            <w:pPr>
              <w:spacing w:after="0"/>
              <w:rPr>
                <w:sz w:val="20"/>
                <w:szCs w:val="20"/>
                <w:color w:val="auto"/>
              </w:rPr>
            </w:pPr>
            <w:r>
              <w:rPr>
                <w:rFonts w:ascii="Arial" w:cs="Arial" w:eastAsia="Arial" w:hAnsi="Arial"/>
                <w:sz w:val="14"/>
                <w:szCs w:val="14"/>
                <w:color w:val="auto"/>
              </w:rPr>
              <w:t>Otay Mesa VIE</w:t>
            </w:r>
          </w:p>
        </w:tc>
        <w:tc>
          <w:tcPr>
            <w:tcW w:w="560" w:type="dxa"/>
            <w:vAlign w:val="bottom"/>
            <w:tcBorders>
              <w:bottom w:val="single" w:sz="8" w:color="DFDFDF"/>
            </w:tcBorders>
          </w:tcPr>
          <w:p>
            <w:pPr>
              <w:spacing w:after="0"/>
              <w:rPr>
                <w:sz w:val="21"/>
                <w:szCs w:val="21"/>
                <w:color w:val="auto"/>
              </w:rPr>
            </w:pPr>
          </w:p>
        </w:tc>
        <w:tc>
          <w:tcPr>
            <w:tcW w:w="1120" w:type="dxa"/>
            <w:vAlign w:val="bottom"/>
            <w:tcBorders>
              <w:bottom w:val="single" w:sz="8" w:color="DFDFDF"/>
            </w:tcBorders>
          </w:tcPr>
          <w:p>
            <w:pPr>
              <w:jc w:val="right"/>
              <w:ind w:right="151"/>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DFDFDF"/>
            </w:tcBorders>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DFDFDF"/>
            </w:tcBorders>
          </w:tcPr>
          <w:p>
            <w:pPr>
              <w:spacing w:after="0"/>
              <w:rPr>
                <w:sz w:val="21"/>
                <w:szCs w:val="21"/>
                <w:color w:val="auto"/>
              </w:rPr>
            </w:pPr>
          </w:p>
        </w:tc>
        <w:tc>
          <w:tcPr>
            <w:tcW w:w="1200" w:type="dxa"/>
            <w:vAlign w:val="bottom"/>
            <w:tcBorders>
              <w:bottom w:val="single" w:sz="8" w:color="DFDFDF"/>
            </w:tcBorders>
          </w:tcPr>
          <w:p>
            <w:pPr>
              <w:jc w:val="right"/>
              <w:ind w:right="191"/>
              <w:spacing w:after="0"/>
              <w:rPr>
                <w:sz w:val="20"/>
                <w:szCs w:val="20"/>
                <w:color w:val="auto"/>
              </w:rPr>
            </w:pPr>
            <w:r>
              <w:rPr>
                <w:rFonts w:ascii="Arial" w:cs="Arial" w:eastAsia="Arial" w:hAnsi="Arial"/>
                <w:sz w:val="14"/>
                <w:szCs w:val="14"/>
                <w:color w:val="auto"/>
              </w:rPr>
              <w:t>73 - 377</w:t>
            </w:r>
          </w:p>
        </w:tc>
        <w:tc>
          <w:tcPr>
            <w:tcW w:w="1000" w:type="dxa"/>
            <w:vAlign w:val="bottom"/>
            <w:tcBorders>
              <w:bottom w:val="single" w:sz="8" w:color="DFDFDF"/>
            </w:tcBorders>
          </w:tcPr>
          <w:p>
            <w:pPr>
              <w:jc w:val="right"/>
              <w:spacing w:after="0"/>
              <w:rPr>
                <w:sz w:val="20"/>
                <w:szCs w:val="20"/>
                <w:color w:val="auto"/>
              </w:rPr>
            </w:pPr>
            <w:r>
              <w:rPr>
                <w:rFonts w:ascii="Arial" w:cs="Arial" w:eastAsia="Arial" w:hAnsi="Arial"/>
                <w:sz w:val="14"/>
                <w:szCs w:val="14"/>
                <w:color w:val="auto"/>
              </w:rPr>
              <w:t>2019</w:t>
            </w:r>
          </w:p>
        </w:tc>
      </w:tr>
    </w:tbl>
    <w:p>
      <w:pPr>
        <w:spacing w:after="0" w:line="16" w:lineRule="exact"/>
        <w:rPr>
          <w:sz w:val="20"/>
          <w:szCs w:val="20"/>
          <w:color w:val="auto"/>
        </w:rPr>
      </w:pPr>
    </w:p>
    <w:p>
      <w:pPr>
        <w:ind w:left="2100" w:hanging="320"/>
        <w:spacing w:after="0"/>
        <w:tabs>
          <w:tab w:leader="none" w:pos="2100" w:val="left"/>
        </w:tabs>
        <w:numPr>
          <w:ilvl w:val="0"/>
          <w:numId w:val="357"/>
        </w:numPr>
        <w:rPr>
          <w:rFonts w:ascii="Arial" w:cs="Arial" w:eastAsia="Arial" w:hAnsi="Arial"/>
          <w:sz w:val="13"/>
          <w:szCs w:val="13"/>
          <w:i w:val="1"/>
          <w:iCs w:val="1"/>
          <w:color w:val="auto"/>
        </w:rPr>
      </w:pPr>
      <w:r>
        <w:rPr>
          <w:rFonts w:ascii="Arial" w:cs="Arial" w:eastAsia="Arial" w:hAnsi="Arial"/>
          <w:sz w:val="13"/>
          <w:szCs w:val="13"/>
          <w:i w:val="1"/>
          <w:iCs w:val="1"/>
          <w:color w:val="auto"/>
        </w:rPr>
        <w:t>Excludes Otay Mesa VIE, which de-designated all cash flow interest-rate hedges in 2008.</w:t>
      </w:r>
    </w:p>
    <w:p>
      <w:pPr>
        <w:spacing w:after="0" w:line="206" w:lineRule="exact"/>
        <w:rPr>
          <w:sz w:val="20"/>
          <w:szCs w:val="20"/>
          <w:color w:val="auto"/>
        </w:rPr>
      </w:pPr>
    </w:p>
    <w:p>
      <w:pPr>
        <w:ind w:right="300"/>
        <w:spacing w:after="0" w:line="277" w:lineRule="auto"/>
        <w:rPr>
          <w:sz w:val="20"/>
          <w:szCs w:val="20"/>
          <w:color w:val="auto"/>
        </w:rPr>
      </w:pPr>
      <w:r>
        <w:rPr>
          <w:rFonts w:ascii="Arial" w:cs="Arial" w:eastAsia="Arial" w:hAnsi="Arial"/>
          <w:sz w:val="16"/>
          <w:szCs w:val="16"/>
          <w:color w:val="auto"/>
        </w:rPr>
        <w:t>Prior to the sale of the commodities-marketing businesses, commodity cash flow hedges were primarily associated with Sempra Commodities and were generally recorded as trading instruments.</w:t>
      </w:r>
    </w:p>
    <w:p>
      <w:pPr>
        <w:spacing w:after="0" w:line="32" w:lineRule="exact"/>
        <w:rPr>
          <w:sz w:val="20"/>
          <w:szCs w:val="20"/>
          <w:color w:val="auto"/>
        </w:rPr>
      </w:pPr>
    </w:p>
    <w:p>
      <w:pPr>
        <w:ind w:right="180"/>
        <w:spacing w:after="0" w:line="278" w:lineRule="auto"/>
        <w:rPr>
          <w:sz w:val="20"/>
          <w:szCs w:val="20"/>
          <w:color w:val="auto"/>
        </w:rPr>
      </w:pPr>
      <w:r>
        <w:rPr>
          <w:rFonts w:ascii="Arial" w:cs="Arial" w:eastAsia="Arial" w:hAnsi="Arial"/>
          <w:sz w:val="15"/>
          <w:szCs w:val="15"/>
          <w:color w:val="auto"/>
        </w:rPr>
        <w:t>In the third quarter of 2005, Sempra Energy entered into derivative transactions to hedge future interest payments associated with forecasted borrowings of $450 million for facilities related to Sempra LNG's Energía Costa Azul project. The swaps expire in 2027. During the second quarter of 2007, we revised our borrowing plans in anticipation of receiving net cash proceeds in connection with the sale of the commodities-marketing businesses. Accordingly, as of June 30, 2007, we reclassified the cash flow hedge gain of $30 million pretax from Accumulated Other Comprehensive Income (Loss) to Other Income (Expense), Net in the Statements of Consolidated Income. In August 2007, we entered into interest-rate swaps with a collective notional value of $450 million to economically offset the original swap instruments.</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4"/>
          <w:szCs w:val="14"/>
          <w:color w:val="auto"/>
        </w:rPr>
        <w:t>153</w:t>
      </w:r>
    </w:p>
    <w:p>
      <w:pPr>
        <w:sectPr>
          <w:pgSz w:w="11900" w:h="16838" w:orient="portrait"/>
          <w:cols w:equalWidth="0" w:num="1">
            <w:col w:w="11420"/>
          </w:cols>
          <w:pgMar w:left="240" w:top="545" w:right="239" w:bottom="1440" w:gutter="0" w:footer="0" w:header="0"/>
        </w:sectPr>
      </w:pPr>
    </w:p>
    <w:bookmarkStart w:id="293" w:name="page294"/>
    <w:bookmarkEnd w:id="293"/>
    <w:p>
      <w:pPr>
        <w:ind w:left="4"/>
        <w:spacing w:after="0"/>
        <w:rPr>
          <w:sz w:val="20"/>
          <w:szCs w:val="20"/>
          <w:color w:val="auto"/>
        </w:rPr>
      </w:pPr>
      <w:r>
        <w:rPr>
          <w:rFonts w:ascii="Arial" w:cs="Arial" w:eastAsia="Arial" w:hAnsi="Arial"/>
          <w:sz w:val="16"/>
          <w:szCs w:val="16"/>
          <w:color w:val="auto"/>
        </w:rPr>
        <w:t>The following table provides the balances in Accumulated Other Comprehensive Income (Loss), net of income tax, related to all cash flow hedges:</w:t>
      </w:r>
    </w:p>
    <w:p>
      <w:pPr>
        <w:spacing w:after="0" w:line="361" w:lineRule="exact"/>
        <w:rPr>
          <w:sz w:val="20"/>
          <w:szCs w:val="20"/>
          <w:color w:val="auto"/>
        </w:rPr>
      </w:pPr>
    </w:p>
    <w:tbl>
      <w:tblPr>
        <w:tblLayout w:type="fixed"/>
        <w:tblInd w:w="3224" w:type="dxa"/>
        <w:tblCellMar>
          <w:top w:w="0" w:type="dxa"/>
          <w:left w:w="0" w:type="dxa"/>
          <w:bottom w:w="0" w:type="dxa"/>
          <w:right w:w="0" w:type="dxa"/>
        </w:tblCellMar>
      </w:tblPr>
      <w:tr>
        <w:trPr>
          <w:trHeight w:val="156"/>
        </w:trPr>
        <w:tc>
          <w:tcPr>
            <w:tcW w:w="2340" w:type="dxa"/>
            <w:vAlign w:val="bottom"/>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December 31,</w:t>
            </w:r>
          </w:p>
        </w:tc>
        <w:tc>
          <w:tcPr>
            <w:tcW w:w="840" w:type="dxa"/>
            <w:vAlign w:val="bottom"/>
            <w:tcBorders>
              <w:bottom w:val="single" w:sz="8" w:color="auto"/>
            </w:tcBorders>
          </w:tcPr>
          <w:p>
            <w:pPr>
              <w:spacing w:after="0"/>
              <w:rPr>
                <w:sz w:val="13"/>
                <w:szCs w:val="13"/>
                <w:color w:val="auto"/>
              </w:rPr>
            </w:pPr>
          </w:p>
        </w:tc>
      </w:tr>
      <w:tr>
        <w:trPr>
          <w:trHeight w:val="211"/>
        </w:trPr>
        <w:tc>
          <w:tcPr>
            <w:tcW w:w="2340" w:type="dxa"/>
            <w:vAlign w:val="bottom"/>
            <w:tcBorders>
              <w:bottom w:val="single" w:sz="8" w:color="auto"/>
            </w:tcBorders>
          </w:tcPr>
          <w:p>
            <w:pPr>
              <w:spacing w:after="0"/>
              <w:rPr>
                <w:sz w:val="20"/>
                <w:szCs w:val="20"/>
                <w:color w:val="auto"/>
              </w:rPr>
            </w:pPr>
            <w:r>
              <w:rPr>
                <w:rFonts w:ascii="Arial" w:cs="Arial" w:eastAsia="Arial" w:hAnsi="Arial"/>
                <w:sz w:val="13"/>
                <w:szCs w:val="13"/>
                <w:i w:val="1"/>
                <w:iCs w:val="1"/>
                <w:color w:val="auto"/>
              </w:rPr>
              <w:t>(Dollars in millions)</w:t>
            </w:r>
          </w:p>
        </w:tc>
        <w:tc>
          <w:tcPr>
            <w:tcW w:w="38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931"/>
              <w:spacing w:after="0"/>
              <w:rPr>
                <w:sz w:val="20"/>
                <w:szCs w:val="20"/>
                <w:color w:val="auto"/>
              </w:rPr>
            </w:pPr>
            <w:r>
              <w:rPr>
                <w:rFonts w:ascii="Arial" w:cs="Arial" w:eastAsia="Arial" w:hAnsi="Arial"/>
                <w:sz w:val="13"/>
                <w:szCs w:val="13"/>
                <w:color w:val="auto"/>
              </w:rPr>
              <w:t>2008</w:t>
            </w:r>
          </w:p>
        </w:tc>
        <w:tc>
          <w:tcPr>
            <w:tcW w:w="840" w:type="dxa"/>
            <w:vAlign w:val="bottom"/>
            <w:tcBorders>
              <w:bottom w:val="single" w:sz="8" w:color="auto"/>
            </w:tcBorders>
          </w:tcPr>
          <w:p>
            <w:pPr>
              <w:jc w:val="right"/>
              <w:ind w:right="430"/>
              <w:spacing w:after="0"/>
              <w:rPr>
                <w:sz w:val="20"/>
                <w:szCs w:val="20"/>
                <w:color w:val="auto"/>
              </w:rPr>
            </w:pPr>
            <w:r>
              <w:rPr>
                <w:rFonts w:ascii="Arial" w:cs="Arial" w:eastAsia="Arial" w:hAnsi="Arial"/>
                <w:sz w:val="13"/>
                <w:szCs w:val="13"/>
                <w:color w:val="auto"/>
              </w:rPr>
              <w:t>2007</w:t>
            </w:r>
          </w:p>
        </w:tc>
      </w:tr>
      <w:tr>
        <w:trPr>
          <w:trHeight w:val="207"/>
        </w:trPr>
        <w:tc>
          <w:tcPr>
            <w:tcW w:w="2340" w:type="dxa"/>
            <w:vAlign w:val="bottom"/>
          </w:tcPr>
          <w:p>
            <w:pPr>
              <w:spacing w:after="0"/>
              <w:rPr>
                <w:sz w:val="20"/>
                <w:szCs w:val="20"/>
                <w:color w:val="auto"/>
              </w:rPr>
            </w:pPr>
            <w:r>
              <w:rPr>
                <w:rFonts w:ascii="Arial" w:cs="Arial" w:eastAsia="Arial" w:hAnsi="Arial"/>
                <w:sz w:val="14"/>
                <w:szCs w:val="14"/>
                <w:color w:val="auto"/>
              </w:rPr>
              <w:t>Sempra Energy Consolidated</w:t>
            </w:r>
          </w:p>
        </w:tc>
        <w:tc>
          <w:tcPr>
            <w:tcW w:w="38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440" w:type="dxa"/>
            <w:vAlign w:val="bottom"/>
          </w:tcPr>
          <w:p>
            <w:pPr>
              <w:jc w:val="right"/>
              <w:ind w:right="231"/>
              <w:spacing w:after="0"/>
              <w:rPr>
                <w:sz w:val="20"/>
                <w:szCs w:val="20"/>
                <w:color w:val="auto"/>
              </w:rPr>
            </w:pPr>
            <w:r>
              <w:rPr>
                <w:rFonts w:ascii="Arial" w:cs="Arial" w:eastAsia="Arial" w:hAnsi="Arial"/>
                <w:sz w:val="14"/>
                <w:szCs w:val="14"/>
                <w:color w:val="auto"/>
              </w:rPr>
              <w:t>(40 )*   $</w:t>
            </w:r>
          </w:p>
        </w:tc>
        <w:tc>
          <w:tcPr>
            <w:tcW w:w="840" w:type="dxa"/>
            <w:vAlign w:val="bottom"/>
          </w:tcPr>
          <w:p>
            <w:pPr>
              <w:jc w:val="right"/>
              <w:ind w:right="30"/>
              <w:spacing w:after="0"/>
              <w:rPr>
                <w:sz w:val="20"/>
                <w:szCs w:val="20"/>
                <w:color w:val="auto"/>
              </w:rPr>
            </w:pPr>
            <w:r>
              <w:rPr>
                <w:rFonts w:ascii="Arial" w:cs="Arial" w:eastAsia="Arial" w:hAnsi="Arial"/>
                <w:sz w:val="14"/>
                <w:szCs w:val="14"/>
                <w:color w:val="auto"/>
              </w:rPr>
              <w:t>(24 )</w:t>
            </w:r>
          </w:p>
        </w:tc>
      </w:tr>
      <w:tr>
        <w:trPr>
          <w:trHeight w:val="216"/>
        </w:trPr>
        <w:tc>
          <w:tcPr>
            <w:tcW w:w="2340" w:type="dxa"/>
            <w:vAlign w:val="bottom"/>
          </w:tcPr>
          <w:p>
            <w:pPr>
              <w:spacing w:after="0"/>
              <w:rPr>
                <w:sz w:val="20"/>
                <w:szCs w:val="20"/>
                <w:color w:val="auto"/>
              </w:rPr>
            </w:pPr>
            <w:r>
              <w:rPr>
                <w:rFonts w:ascii="Arial" w:cs="Arial" w:eastAsia="Arial" w:hAnsi="Arial"/>
                <w:sz w:val="14"/>
                <w:szCs w:val="14"/>
                <w:color w:val="auto"/>
              </w:rPr>
              <w:t>SDG&amp;E</w:t>
            </w:r>
          </w:p>
        </w:tc>
        <w:tc>
          <w:tcPr>
            <w:tcW w:w="380" w:type="dxa"/>
            <w:vAlign w:val="bottom"/>
          </w:tcPr>
          <w:p>
            <w:pPr>
              <w:spacing w:after="0"/>
              <w:rPr>
                <w:sz w:val="18"/>
                <w:szCs w:val="18"/>
                <w:color w:val="auto"/>
              </w:rPr>
            </w:pPr>
          </w:p>
        </w:tc>
        <w:tc>
          <w:tcPr>
            <w:tcW w:w="1440" w:type="dxa"/>
            <w:vAlign w:val="bottom"/>
          </w:tcPr>
          <w:p>
            <w:pPr>
              <w:jc w:val="right"/>
              <w:ind w:right="571"/>
              <w:spacing w:after="0"/>
              <w:rPr>
                <w:sz w:val="20"/>
                <w:szCs w:val="20"/>
                <w:color w:val="auto"/>
              </w:rPr>
            </w:pPr>
            <w:r>
              <w:rPr>
                <w:rFonts w:ascii="Arial" w:cs="Arial" w:eastAsia="Arial" w:hAnsi="Arial"/>
                <w:sz w:val="14"/>
                <w:szCs w:val="14"/>
                <w:color w:val="auto"/>
              </w:rPr>
              <w:t>(1 )</w:t>
            </w:r>
          </w:p>
        </w:tc>
        <w:tc>
          <w:tcPr>
            <w:tcW w:w="840" w:type="dxa"/>
            <w:vAlign w:val="bottom"/>
          </w:tcPr>
          <w:p>
            <w:pPr>
              <w:jc w:val="right"/>
              <w:ind w:right="30"/>
              <w:spacing w:after="0"/>
              <w:rPr>
                <w:sz w:val="20"/>
                <w:szCs w:val="20"/>
                <w:color w:val="auto"/>
              </w:rPr>
            </w:pPr>
            <w:r>
              <w:rPr>
                <w:rFonts w:ascii="Arial" w:cs="Arial" w:eastAsia="Arial" w:hAnsi="Arial"/>
                <w:sz w:val="14"/>
                <w:szCs w:val="14"/>
                <w:color w:val="auto"/>
              </w:rPr>
              <w:t>(1 )</w:t>
            </w:r>
          </w:p>
        </w:tc>
      </w:tr>
      <w:tr>
        <w:trPr>
          <w:trHeight w:val="250"/>
        </w:trPr>
        <w:tc>
          <w:tcPr>
            <w:tcW w:w="2340" w:type="dxa"/>
            <w:vAlign w:val="bottom"/>
            <w:tcBorders>
              <w:bottom w:val="single" w:sz="8" w:color="DFDFDF"/>
            </w:tcBorders>
          </w:tcPr>
          <w:p>
            <w:pPr>
              <w:spacing w:after="0"/>
              <w:rPr>
                <w:sz w:val="20"/>
                <w:szCs w:val="20"/>
                <w:color w:val="auto"/>
              </w:rPr>
            </w:pPr>
            <w:r>
              <w:rPr>
                <w:rFonts w:ascii="Arial" w:cs="Arial" w:eastAsia="Arial" w:hAnsi="Arial"/>
                <w:sz w:val="14"/>
                <w:szCs w:val="14"/>
                <w:color w:val="auto"/>
              </w:rPr>
              <w:t>SoCalGas</w:t>
            </w:r>
          </w:p>
        </w:tc>
        <w:tc>
          <w:tcPr>
            <w:tcW w:w="380" w:type="dxa"/>
            <w:vAlign w:val="bottom"/>
            <w:tcBorders>
              <w:bottom w:val="single" w:sz="8" w:color="DFDFDF"/>
            </w:tcBorders>
          </w:tcPr>
          <w:p>
            <w:pPr>
              <w:spacing w:after="0"/>
              <w:rPr>
                <w:sz w:val="21"/>
                <w:szCs w:val="21"/>
                <w:color w:val="auto"/>
              </w:rPr>
            </w:pPr>
          </w:p>
        </w:tc>
        <w:tc>
          <w:tcPr>
            <w:tcW w:w="1440" w:type="dxa"/>
            <w:vAlign w:val="bottom"/>
            <w:tcBorders>
              <w:bottom w:val="single" w:sz="8" w:color="DFDFDF"/>
            </w:tcBorders>
          </w:tcPr>
          <w:p>
            <w:pPr>
              <w:jc w:val="right"/>
              <w:ind w:right="571"/>
              <w:spacing w:after="0"/>
              <w:rPr>
                <w:sz w:val="20"/>
                <w:szCs w:val="20"/>
                <w:color w:val="auto"/>
              </w:rPr>
            </w:pPr>
            <w:r>
              <w:rPr>
                <w:rFonts w:ascii="Arial" w:cs="Arial" w:eastAsia="Arial" w:hAnsi="Arial"/>
                <w:sz w:val="14"/>
                <w:szCs w:val="14"/>
                <w:color w:val="auto"/>
              </w:rPr>
              <w:t>(24 )</w:t>
            </w:r>
          </w:p>
        </w:tc>
        <w:tc>
          <w:tcPr>
            <w:tcW w:w="840" w:type="dxa"/>
            <w:vAlign w:val="bottom"/>
            <w:tcBorders>
              <w:bottom w:val="single" w:sz="8" w:color="DFDFDF"/>
            </w:tcBorders>
          </w:tcPr>
          <w:p>
            <w:pPr>
              <w:jc w:val="right"/>
              <w:ind w:right="110"/>
              <w:spacing w:after="0"/>
              <w:rPr>
                <w:sz w:val="20"/>
                <w:szCs w:val="20"/>
                <w:color w:val="auto"/>
              </w:rPr>
            </w:pPr>
            <w:r>
              <w:rPr>
                <w:rFonts w:ascii="Arial" w:cs="Arial" w:eastAsia="Arial" w:hAnsi="Arial"/>
                <w:sz w:val="14"/>
                <w:szCs w:val="14"/>
                <w:color w:val="auto"/>
              </w:rPr>
              <w:t>1</w:t>
            </w:r>
          </w:p>
        </w:tc>
      </w:tr>
    </w:tbl>
    <w:p>
      <w:pPr>
        <w:spacing w:after="0" w:line="16" w:lineRule="exact"/>
        <w:rPr>
          <w:sz w:val="20"/>
          <w:szCs w:val="20"/>
          <w:color w:val="auto"/>
        </w:rPr>
      </w:pPr>
    </w:p>
    <w:p>
      <w:pPr>
        <w:ind w:left="3424" w:right="3180" w:hanging="199"/>
        <w:spacing w:after="0" w:line="277" w:lineRule="auto"/>
        <w:tabs>
          <w:tab w:leader="none" w:pos="3424" w:val="left"/>
        </w:tabs>
        <w:numPr>
          <w:ilvl w:val="0"/>
          <w:numId w:val="358"/>
        </w:numPr>
        <w:rPr>
          <w:rFonts w:ascii="Arial" w:cs="Arial" w:eastAsia="Arial" w:hAnsi="Arial"/>
          <w:sz w:val="13"/>
          <w:szCs w:val="13"/>
          <w:i w:val="1"/>
          <w:iCs w:val="1"/>
          <w:color w:val="auto"/>
        </w:rPr>
      </w:pPr>
      <w:r>
        <w:rPr>
          <w:rFonts w:ascii="Arial" w:cs="Arial" w:eastAsia="Arial" w:hAnsi="Arial"/>
          <w:sz w:val="13"/>
          <w:szCs w:val="13"/>
          <w:i w:val="1"/>
          <w:iCs w:val="1"/>
          <w:color w:val="auto"/>
        </w:rPr>
        <w:t>Sempra Energy Consolidated includes accumulated other comprehensive losses of $6 million as part of its equity method investment in RBS Sempra Commodities.</w:t>
      </w:r>
    </w:p>
    <w:p>
      <w:pPr>
        <w:spacing w:after="0" w:line="167" w:lineRule="exact"/>
        <w:rPr>
          <w:sz w:val="20"/>
          <w:szCs w:val="20"/>
          <w:color w:val="auto"/>
        </w:rPr>
      </w:pPr>
    </w:p>
    <w:p>
      <w:pPr>
        <w:ind w:left="4"/>
        <w:spacing w:after="0" w:line="259" w:lineRule="auto"/>
        <w:rPr>
          <w:sz w:val="20"/>
          <w:szCs w:val="20"/>
          <w:color w:val="auto"/>
        </w:rPr>
      </w:pPr>
      <w:r>
        <w:rPr>
          <w:rFonts w:ascii="Arial" w:cs="Arial" w:eastAsia="Arial" w:hAnsi="Arial"/>
          <w:sz w:val="16"/>
          <w:szCs w:val="16"/>
          <w:color w:val="auto"/>
        </w:rPr>
        <w:t>Sempra Energy expects that losses of $7 million, which are net of income tax benefit, that are currently recorded in Accumulated Other Comprehensive Income (Loss) related to these cash flow hedges will be reclassified into earnings during the next twelve months as the hedged items affect earnings. This excludes amounts related to RBS Sempra Commodities. In connection with the sale of the commodities-marketing businesses, we recognized losses of $35 million, net of income tax, of Sempra Commodities' cash flow hedge balance during 2008.</w:t>
      </w:r>
    </w:p>
    <w:p>
      <w:pPr>
        <w:spacing w:after="0" w:line="47" w:lineRule="exact"/>
        <w:rPr>
          <w:sz w:val="20"/>
          <w:szCs w:val="20"/>
          <w:color w:val="auto"/>
        </w:rPr>
      </w:pPr>
    </w:p>
    <w:p>
      <w:pPr>
        <w:ind w:left="4" w:right="400"/>
        <w:spacing w:after="0" w:line="351" w:lineRule="auto"/>
        <w:rPr>
          <w:sz w:val="20"/>
          <w:szCs w:val="20"/>
          <w:color w:val="auto"/>
        </w:rPr>
      </w:pPr>
      <w:r>
        <w:rPr>
          <w:rFonts w:ascii="Arial" w:cs="Arial" w:eastAsia="Arial" w:hAnsi="Arial"/>
          <w:sz w:val="14"/>
          <w:szCs w:val="14"/>
          <w:color w:val="auto"/>
        </w:rPr>
        <w:t>SDG&amp;E and SoCalGas expect that losses of $1 million and $3 million, respectively, which are net of income tax benefit, that are currently recorded in Accumulated Other Comprehensive Income (Loss) related to these cash flow hedges will be reclassified into earnings during the next twelve months as the hedged items affect earnings.</w:t>
      </w:r>
    </w:p>
    <w:p>
      <w:pPr>
        <w:spacing w:after="0" w:line="182"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auto"/>
        </w:rPr>
        <w:t>HEDGE INEFFECTIVENESS</w:t>
      </w:r>
    </w:p>
    <w:p>
      <w:pPr>
        <w:spacing w:after="0" w:line="89" w:lineRule="exact"/>
        <w:rPr>
          <w:sz w:val="20"/>
          <w:szCs w:val="20"/>
          <w:color w:val="auto"/>
        </w:rPr>
      </w:pPr>
    </w:p>
    <w:p>
      <w:pPr>
        <w:ind w:left="4"/>
        <w:spacing w:after="0"/>
        <w:rPr>
          <w:sz w:val="20"/>
          <w:szCs w:val="20"/>
          <w:color w:val="auto"/>
        </w:rPr>
      </w:pPr>
      <w:r>
        <w:rPr>
          <w:rFonts w:ascii="Arial" w:cs="Arial" w:eastAsia="Arial" w:hAnsi="Arial"/>
          <w:sz w:val="15"/>
          <w:szCs w:val="15"/>
          <w:color w:val="auto"/>
        </w:rPr>
        <w:t>Following is a summary of the hedge ineffectiveness gains (losses) for Sempra Energy. Information related to the Sempra Utilities is noted separately within the table:</w:t>
      </w:r>
    </w:p>
    <w:p>
      <w:pPr>
        <w:spacing w:after="0" w:line="361" w:lineRule="exact"/>
        <w:rPr>
          <w:sz w:val="20"/>
          <w:szCs w:val="20"/>
          <w:color w:val="auto"/>
        </w:rPr>
      </w:pPr>
    </w:p>
    <w:tbl>
      <w:tblPr>
        <w:tblLayout w:type="fixed"/>
        <w:tblInd w:w="1844" w:type="dxa"/>
        <w:tblCellMar>
          <w:top w:w="0" w:type="dxa"/>
          <w:left w:w="0" w:type="dxa"/>
          <w:bottom w:w="0" w:type="dxa"/>
          <w:right w:w="0" w:type="dxa"/>
        </w:tblCellMar>
      </w:tblPr>
      <w:tr>
        <w:trPr>
          <w:trHeight w:val="156"/>
        </w:trPr>
        <w:tc>
          <w:tcPr>
            <w:tcW w:w="404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166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color w:val="auto"/>
                <w:w w:val="99"/>
              </w:rPr>
              <w:t>Years ended December 31,</w:t>
            </w:r>
          </w:p>
        </w:tc>
        <w:tc>
          <w:tcPr>
            <w:tcW w:w="24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r>
      <w:tr>
        <w:trPr>
          <w:trHeight w:val="211"/>
        </w:trPr>
        <w:tc>
          <w:tcPr>
            <w:tcW w:w="4040" w:type="dxa"/>
            <w:vAlign w:val="bottom"/>
            <w:tcBorders>
              <w:bottom w:val="single" w:sz="8" w:color="auto"/>
            </w:tcBorders>
          </w:tcPr>
          <w:p>
            <w:pPr>
              <w:ind w:left="20"/>
              <w:spacing w:after="0"/>
              <w:rPr>
                <w:sz w:val="20"/>
                <w:szCs w:val="20"/>
                <w:color w:val="auto"/>
              </w:rPr>
            </w:pPr>
            <w:r>
              <w:rPr>
                <w:rFonts w:ascii="Arial" w:cs="Arial" w:eastAsia="Arial" w:hAnsi="Arial"/>
                <w:sz w:val="13"/>
                <w:szCs w:val="13"/>
                <w:i w:val="1"/>
                <w:iCs w:val="1"/>
                <w:color w:val="auto"/>
              </w:rPr>
              <w:t>(Dollars in millions)</w:t>
            </w:r>
          </w:p>
        </w:tc>
        <w:tc>
          <w:tcPr>
            <w:tcW w:w="3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249"/>
              <w:spacing w:after="0"/>
              <w:rPr>
                <w:sz w:val="20"/>
                <w:szCs w:val="20"/>
                <w:color w:val="auto"/>
              </w:rPr>
            </w:pPr>
            <w:r>
              <w:rPr>
                <w:rFonts w:ascii="Arial" w:cs="Arial" w:eastAsia="Arial" w:hAnsi="Arial"/>
                <w:sz w:val="13"/>
                <w:szCs w:val="13"/>
                <w:color w:val="auto"/>
              </w:rPr>
              <w:t>2008</w:t>
            </w:r>
          </w:p>
        </w:tc>
        <w:tc>
          <w:tcPr>
            <w:tcW w:w="6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589"/>
              <w:spacing w:after="0"/>
              <w:rPr>
                <w:sz w:val="20"/>
                <w:szCs w:val="20"/>
                <w:color w:val="auto"/>
              </w:rPr>
            </w:pPr>
            <w:r>
              <w:rPr>
                <w:rFonts w:ascii="Arial" w:cs="Arial" w:eastAsia="Arial" w:hAnsi="Arial"/>
                <w:sz w:val="13"/>
                <w:szCs w:val="13"/>
                <w:color w:val="auto"/>
              </w:rPr>
              <w:t>2007</w:t>
            </w:r>
          </w:p>
        </w:tc>
        <w:tc>
          <w:tcPr>
            <w:tcW w:w="2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309"/>
              <w:spacing w:after="0"/>
              <w:rPr>
                <w:sz w:val="20"/>
                <w:szCs w:val="20"/>
                <w:color w:val="auto"/>
              </w:rPr>
            </w:pPr>
            <w:r>
              <w:rPr>
                <w:rFonts w:ascii="Arial" w:cs="Arial" w:eastAsia="Arial" w:hAnsi="Arial"/>
                <w:sz w:val="13"/>
                <w:szCs w:val="13"/>
                <w:color w:val="auto"/>
              </w:rPr>
              <w:t>2006</w:t>
            </w:r>
          </w:p>
        </w:tc>
      </w:tr>
      <w:tr>
        <w:trPr>
          <w:trHeight w:val="207"/>
        </w:trPr>
        <w:tc>
          <w:tcPr>
            <w:tcW w:w="4040" w:type="dxa"/>
            <w:vAlign w:val="bottom"/>
          </w:tcPr>
          <w:p>
            <w:pPr>
              <w:ind w:left="20"/>
              <w:spacing w:after="0"/>
              <w:rPr>
                <w:sz w:val="20"/>
                <w:szCs w:val="20"/>
                <w:color w:val="auto"/>
              </w:rPr>
            </w:pPr>
            <w:r>
              <w:rPr>
                <w:rFonts w:ascii="Arial" w:cs="Arial" w:eastAsia="Arial" w:hAnsi="Arial"/>
                <w:sz w:val="14"/>
                <w:szCs w:val="14"/>
                <w:color w:val="auto"/>
              </w:rPr>
              <w:t>Commodity hedges*:</w:t>
            </w: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16"/>
        </w:trPr>
        <w:tc>
          <w:tcPr>
            <w:tcW w:w="4040" w:type="dxa"/>
            <w:vAlign w:val="bottom"/>
          </w:tcPr>
          <w:p>
            <w:pPr>
              <w:ind w:left="240"/>
              <w:spacing w:after="0"/>
              <w:rPr>
                <w:sz w:val="20"/>
                <w:szCs w:val="20"/>
                <w:color w:val="auto"/>
              </w:rPr>
            </w:pPr>
            <w:r>
              <w:rPr>
                <w:rFonts w:ascii="Arial" w:cs="Arial" w:eastAsia="Arial" w:hAnsi="Arial"/>
                <w:sz w:val="14"/>
                <w:szCs w:val="14"/>
                <w:color w:val="auto"/>
              </w:rPr>
              <w:t>Cash flow hedges</w:t>
            </w:r>
          </w:p>
        </w:tc>
        <w:tc>
          <w:tcPr>
            <w:tcW w:w="3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(3 )</w:t>
            </w:r>
          </w:p>
        </w:tc>
        <w:tc>
          <w:tcPr>
            <w:tcW w:w="600" w:type="dxa"/>
            <w:vAlign w:val="bottom"/>
          </w:tcPr>
          <w:p>
            <w:pPr>
              <w:jc w:val="right"/>
              <w:ind w:right="31"/>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409"/>
              <w:spacing w:after="0"/>
              <w:rPr>
                <w:sz w:val="20"/>
                <w:szCs w:val="20"/>
                <w:color w:val="auto"/>
              </w:rPr>
            </w:pPr>
            <w:r>
              <w:rPr>
                <w:rFonts w:ascii="Arial" w:cs="Arial" w:eastAsia="Arial" w:hAnsi="Arial"/>
                <w:sz w:val="14"/>
                <w:szCs w:val="14"/>
                <w:color w:val="auto"/>
              </w:rPr>
              <w:t>3</w:t>
            </w:r>
          </w:p>
        </w:tc>
        <w:tc>
          <w:tcPr>
            <w:tcW w:w="2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129"/>
              <w:spacing w:after="0"/>
              <w:rPr>
                <w:sz w:val="20"/>
                <w:szCs w:val="20"/>
                <w:color w:val="auto"/>
              </w:rPr>
            </w:pPr>
            <w:r>
              <w:rPr>
                <w:rFonts w:ascii="Arial" w:cs="Arial" w:eastAsia="Arial" w:hAnsi="Arial"/>
                <w:sz w:val="14"/>
                <w:szCs w:val="14"/>
                <w:color w:val="auto"/>
              </w:rPr>
              <w:t>24</w:t>
            </w:r>
          </w:p>
        </w:tc>
      </w:tr>
      <w:tr>
        <w:trPr>
          <w:trHeight w:val="216"/>
        </w:trPr>
        <w:tc>
          <w:tcPr>
            <w:tcW w:w="4040" w:type="dxa"/>
            <w:vAlign w:val="bottom"/>
          </w:tcPr>
          <w:p>
            <w:pPr>
              <w:ind w:left="240"/>
              <w:spacing w:after="0"/>
              <w:rPr>
                <w:sz w:val="20"/>
                <w:szCs w:val="20"/>
                <w:color w:val="auto"/>
              </w:rPr>
            </w:pPr>
            <w:r>
              <w:rPr>
                <w:rFonts w:ascii="Arial" w:cs="Arial" w:eastAsia="Arial" w:hAnsi="Arial"/>
                <w:sz w:val="14"/>
                <w:szCs w:val="14"/>
                <w:color w:val="auto"/>
              </w:rPr>
              <w:t>Fair value hedges</w:t>
            </w:r>
          </w:p>
        </w:tc>
        <w:tc>
          <w:tcPr>
            <w:tcW w:w="3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(9 )</w:t>
            </w:r>
          </w:p>
        </w:tc>
        <w:tc>
          <w:tcPr>
            <w:tcW w:w="600" w:type="dxa"/>
            <w:vAlign w:val="bottom"/>
          </w:tcPr>
          <w:p>
            <w:pPr>
              <w:spacing w:after="0"/>
              <w:rPr>
                <w:sz w:val="18"/>
                <w:szCs w:val="18"/>
                <w:color w:val="auto"/>
              </w:rPr>
            </w:pPr>
          </w:p>
        </w:tc>
        <w:tc>
          <w:tcPr>
            <w:tcW w:w="1060" w:type="dxa"/>
            <w:vAlign w:val="bottom"/>
          </w:tcPr>
          <w:p>
            <w:pPr>
              <w:jc w:val="right"/>
              <w:ind w:right="409"/>
              <w:spacing w:after="0"/>
              <w:rPr>
                <w:sz w:val="20"/>
                <w:szCs w:val="20"/>
                <w:color w:val="auto"/>
              </w:rPr>
            </w:pPr>
            <w:r>
              <w:rPr>
                <w:rFonts w:ascii="Arial" w:cs="Arial" w:eastAsia="Arial" w:hAnsi="Arial"/>
                <w:sz w:val="14"/>
                <w:szCs w:val="14"/>
                <w:color w:val="auto"/>
              </w:rPr>
              <w:t>29</w:t>
            </w:r>
          </w:p>
        </w:tc>
        <w:tc>
          <w:tcPr>
            <w:tcW w:w="240" w:type="dxa"/>
            <w:vAlign w:val="bottom"/>
          </w:tcPr>
          <w:p>
            <w:pPr>
              <w:spacing w:after="0"/>
              <w:rPr>
                <w:sz w:val="18"/>
                <w:szCs w:val="18"/>
                <w:color w:val="auto"/>
              </w:rPr>
            </w:pPr>
          </w:p>
        </w:tc>
        <w:tc>
          <w:tcPr>
            <w:tcW w:w="780" w:type="dxa"/>
            <w:vAlign w:val="bottom"/>
          </w:tcPr>
          <w:p>
            <w:pPr>
              <w:jc w:val="right"/>
              <w:ind w:right="129"/>
              <w:spacing w:after="0"/>
              <w:rPr>
                <w:sz w:val="20"/>
                <w:szCs w:val="20"/>
                <w:color w:val="auto"/>
              </w:rPr>
            </w:pPr>
            <w:r>
              <w:rPr>
                <w:rFonts w:ascii="Arial" w:cs="Arial" w:eastAsia="Arial" w:hAnsi="Arial"/>
                <w:sz w:val="14"/>
                <w:szCs w:val="14"/>
                <w:color w:val="auto"/>
              </w:rPr>
              <w:t>86</w:t>
            </w:r>
          </w:p>
        </w:tc>
      </w:tr>
      <w:tr>
        <w:trPr>
          <w:trHeight w:val="222"/>
        </w:trPr>
        <w:tc>
          <w:tcPr>
            <w:tcW w:w="4040" w:type="dxa"/>
            <w:vAlign w:val="bottom"/>
          </w:tcPr>
          <w:p>
            <w:pPr>
              <w:ind w:left="240"/>
              <w:spacing w:after="0"/>
              <w:rPr>
                <w:sz w:val="20"/>
                <w:szCs w:val="20"/>
                <w:color w:val="auto"/>
              </w:rPr>
            </w:pPr>
            <w:r>
              <w:rPr>
                <w:rFonts w:ascii="Arial" w:cs="Arial" w:eastAsia="Arial" w:hAnsi="Arial"/>
                <w:sz w:val="14"/>
                <w:szCs w:val="14"/>
                <w:color w:val="auto"/>
              </w:rPr>
              <w:t>Time value exclusions from hedge assessment</w:t>
            </w:r>
          </w:p>
        </w:tc>
        <w:tc>
          <w:tcPr>
            <w:tcW w:w="3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09"/>
              <w:spacing w:after="0"/>
              <w:rPr>
                <w:sz w:val="20"/>
                <w:szCs w:val="20"/>
                <w:color w:val="auto"/>
              </w:rPr>
            </w:pPr>
            <w:r>
              <w:rPr>
                <w:rFonts w:ascii="Arial" w:cs="Arial" w:eastAsia="Arial" w:hAnsi="Arial"/>
                <w:sz w:val="14"/>
                <w:szCs w:val="14"/>
                <w:color w:val="auto"/>
              </w:rPr>
              <w:t>192</w:t>
            </w:r>
          </w:p>
        </w:tc>
        <w:tc>
          <w:tcPr>
            <w:tcW w:w="2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129"/>
              <w:spacing w:after="0"/>
              <w:rPr>
                <w:sz w:val="20"/>
                <w:szCs w:val="20"/>
                <w:color w:val="auto"/>
              </w:rPr>
            </w:pPr>
            <w:r>
              <w:rPr>
                <w:rFonts w:ascii="Arial" w:cs="Arial" w:eastAsia="Arial" w:hAnsi="Arial"/>
                <w:sz w:val="14"/>
                <w:szCs w:val="14"/>
                <w:color w:val="auto"/>
              </w:rPr>
              <w:t>179</w:t>
            </w:r>
          </w:p>
        </w:tc>
      </w:tr>
      <w:tr>
        <w:trPr>
          <w:trHeight w:val="208"/>
        </w:trPr>
        <w:tc>
          <w:tcPr>
            <w:tcW w:w="4040" w:type="dxa"/>
            <w:vAlign w:val="bottom"/>
          </w:tcPr>
          <w:p>
            <w:pPr>
              <w:ind w:left="240"/>
              <w:spacing w:after="0"/>
              <w:rPr>
                <w:sz w:val="20"/>
                <w:szCs w:val="20"/>
                <w:color w:val="auto"/>
              </w:rPr>
            </w:pPr>
            <w:r>
              <w:rPr>
                <w:rFonts w:ascii="Arial" w:cs="Arial" w:eastAsia="Arial" w:hAnsi="Arial"/>
                <w:sz w:val="14"/>
                <w:szCs w:val="14"/>
                <w:color w:val="auto"/>
              </w:rPr>
              <w:t>Total unrealized gains (losses)</w:t>
            </w:r>
          </w:p>
        </w:tc>
        <w:tc>
          <w:tcPr>
            <w:tcW w:w="3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(12 )</w:t>
            </w:r>
          </w:p>
        </w:tc>
        <w:tc>
          <w:tcPr>
            <w:tcW w:w="6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09"/>
              <w:spacing w:after="0"/>
              <w:rPr>
                <w:sz w:val="20"/>
                <w:szCs w:val="20"/>
                <w:color w:val="auto"/>
              </w:rPr>
            </w:pPr>
            <w:r>
              <w:rPr>
                <w:rFonts w:ascii="Arial" w:cs="Arial" w:eastAsia="Arial" w:hAnsi="Arial"/>
                <w:sz w:val="14"/>
                <w:szCs w:val="14"/>
                <w:color w:val="auto"/>
              </w:rPr>
              <w:t>224</w:t>
            </w:r>
          </w:p>
        </w:tc>
        <w:tc>
          <w:tcPr>
            <w:tcW w:w="2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29"/>
              <w:spacing w:after="0"/>
              <w:rPr>
                <w:sz w:val="20"/>
                <w:szCs w:val="20"/>
                <w:color w:val="auto"/>
              </w:rPr>
            </w:pPr>
            <w:r>
              <w:rPr>
                <w:rFonts w:ascii="Arial" w:cs="Arial" w:eastAsia="Arial" w:hAnsi="Arial"/>
                <w:sz w:val="14"/>
                <w:szCs w:val="14"/>
                <w:color w:val="auto"/>
              </w:rPr>
              <w:t>289</w:t>
            </w:r>
          </w:p>
        </w:tc>
      </w:tr>
      <w:tr>
        <w:trPr>
          <w:trHeight w:val="418"/>
        </w:trPr>
        <w:tc>
          <w:tcPr>
            <w:tcW w:w="4040" w:type="dxa"/>
            <w:vAlign w:val="bottom"/>
          </w:tcPr>
          <w:p>
            <w:pPr>
              <w:ind w:left="20"/>
              <w:spacing w:after="0"/>
              <w:rPr>
                <w:sz w:val="20"/>
                <w:szCs w:val="20"/>
                <w:color w:val="auto"/>
              </w:rPr>
            </w:pPr>
            <w:r>
              <w:rPr>
                <w:rFonts w:ascii="Arial" w:cs="Arial" w:eastAsia="Arial" w:hAnsi="Arial"/>
                <w:sz w:val="14"/>
                <w:szCs w:val="14"/>
                <w:color w:val="auto"/>
              </w:rPr>
              <w:t>Interest-rate hedges**:</w:t>
            </w: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14"/>
        </w:trPr>
        <w:tc>
          <w:tcPr>
            <w:tcW w:w="4040" w:type="dxa"/>
            <w:vAlign w:val="bottom"/>
          </w:tcPr>
          <w:p>
            <w:pPr>
              <w:ind w:left="240"/>
              <w:spacing w:after="0"/>
              <w:rPr>
                <w:sz w:val="20"/>
                <w:szCs w:val="20"/>
                <w:color w:val="auto"/>
              </w:rPr>
            </w:pPr>
            <w:r>
              <w:rPr>
                <w:rFonts w:ascii="Arial" w:cs="Arial" w:eastAsia="Arial" w:hAnsi="Arial"/>
                <w:sz w:val="14"/>
                <w:szCs w:val="14"/>
                <w:color w:val="auto"/>
              </w:rPr>
              <w:t>Cash flow hedges held by SDG&amp;E***</w:t>
            </w:r>
          </w:p>
        </w:tc>
        <w:tc>
          <w:tcPr>
            <w:tcW w:w="3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(1 )</w:t>
            </w:r>
          </w:p>
        </w:tc>
        <w:tc>
          <w:tcPr>
            <w:tcW w:w="6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29"/>
              <w:spacing w:after="0"/>
              <w:rPr>
                <w:sz w:val="20"/>
                <w:szCs w:val="20"/>
                <w:color w:val="auto"/>
              </w:rPr>
            </w:pPr>
            <w:r>
              <w:rPr>
                <w:rFonts w:ascii="Arial" w:cs="Arial" w:eastAsia="Arial" w:hAnsi="Arial"/>
                <w:sz w:val="14"/>
                <w:szCs w:val="14"/>
                <w:color w:val="auto"/>
              </w:rPr>
              <w:t>(3 )</w:t>
            </w:r>
          </w:p>
        </w:tc>
        <w:tc>
          <w:tcPr>
            <w:tcW w:w="2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(1 )</w:t>
            </w:r>
          </w:p>
        </w:tc>
      </w:tr>
      <w:tr>
        <w:trPr>
          <w:trHeight w:val="208"/>
        </w:trPr>
        <w:tc>
          <w:tcPr>
            <w:tcW w:w="4040" w:type="dxa"/>
            <w:vAlign w:val="bottom"/>
          </w:tcPr>
          <w:p>
            <w:pPr>
              <w:ind w:left="240"/>
              <w:spacing w:after="0"/>
              <w:rPr>
                <w:sz w:val="20"/>
                <w:szCs w:val="20"/>
                <w:color w:val="auto"/>
              </w:rPr>
            </w:pPr>
            <w:r>
              <w:rPr>
                <w:rFonts w:ascii="Arial" w:cs="Arial" w:eastAsia="Arial" w:hAnsi="Arial"/>
                <w:sz w:val="14"/>
                <w:szCs w:val="14"/>
                <w:color w:val="auto"/>
              </w:rPr>
              <w:t>Total unrealized losses</w:t>
            </w:r>
          </w:p>
        </w:tc>
        <w:tc>
          <w:tcPr>
            <w:tcW w:w="3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(1 )</w:t>
            </w:r>
          </w:p>
        </w:tc>
        <w:tc>
          <w:tcPr>
            <w:tcW w:w="6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29"/>
              <w:spacing w:after="0"/>
              <w:rPr>
                <w:sz w:val="20"/>
                <w:szCs w:val="20"/>
                <w:color w:val="auto"/>
              </w:rPr>
            </w:pPr>
            <w:r>
              <w:rPr>
                <w:rFonts w:ascii="Arial" w:cs="Arial" w:eastAsia="Arial" w:hAnsi="Arial"/>
                <w:sz w:val="14"/>
                <w:szCs w:val="14"/>
                <w:color w:val="auto"/>
              </w:rPr>
              <w:t>(3 )</w:t>
            </w:r>
          </w:p>
        </w:tc>
        <w:tc>
          <w:tcPr>
            <w:tcW w:w="2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(1 )</w:t>
            </w:r>
          </w:p>
        </w:tc>
      </w:tr>
      <w:tr>
        <w:trPr>
          <w:trHeight w:val="460"/>
        </w:trPr>
        <w:tc>
          <w:tcPr>
            <w:tcW w:w="4040" w:type="dxa"/>
            <w:vAlign w:val="bottom"/>
            <w:tcBorders>
              <w:bottom w:val="single" w:sz="8" w:color="auto"/>
            </w:tcBorders>
          </w:tcPr>
          <w:p>
            <w:pPr>
              <w:ind w:left="240"/>
              <w:spacing w:after="0"/>
              <w:rPr>
                <w:sz w:val="20"/>
                <w:szCs w:val="20"/>
                <w:color w:val="auto"/>
              </w:rPr>
            </w:pPr>
            <w:r>
              <w:rPr>
                <w:rFonts w:ascii="Arial" w:cs="Arial" w:eastAsia="Arial" w:hAnsi="Arial"/>
                <w:sz w:val="14"/>
                <w:szCs w:val="14"/>
                <w:color w:val="auto"/>
              </w:rPr>
              <w:t>Total ineffectiveness gains (losses)</w:t>
            </w:r>
          </w:p>
        </w:tc>
        <w:tc>
          <w:tcPr>
            <w:tcW w:w="3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(13 )</w:t>
            </w:r>
          </w:p>
        </w:tc>
        <w:tc>
          <w:tcPr>
            <w:tcW w:w="60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ind w:right="409"/>
              <w:spacing w:after="0"/>
              <w:rPr>
                <w:sz w:val="20"/>
                <w:szCs w:val="20"/>
                <w:color w:val="auto"/>
              </w:rPr>
            </w:pPr>
            <w:r>
              <w:rPr>
                <w:rFonts w:ascii="Arial" w:cs="Arial" w:eastAsia="Arial" w:hAnsi="Arial"/>
                <w:sz w:val="14"/>
                <w:szCs w:val="14"/>
                <w:color w:val="auto"/>
              </w:rPr>
              <w:t>221</w:t>
            </w:r>
          </w:p>
        </w:tc>
        <w:tc>
          <w:tcPr>
            <w:tcW w:w="2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129"/>
              <w:spacing w:after="0"/>
              <w:rPr>
                <w:sz w:val="20"/>
                <w:szCs w:val="20"/>
                <w:color w:val="auto"/>
              </w:rPr>
            </w:pPr>
            <w:r>
              <w:rPr>
                <w:rFonts w:ascii="Arial" w:cs="Arial" w:eastAsia="Arial" w:hAnsi="Arial"/>
                <w:sz w:val="14"/>
                <w:szCs w:val="14"/>
                <w:color w:val="auto"/>
              </w:rPr>
              <w:t>288</w:t>
            </w:r>
          </w:p>
        </w:tc>
      </w:tr>
    </w:tbl>
    <w:p>
      <w:pPr>
        <w:spacing w:after="0" w:line="16" w:lineRule="exact"/>
        <w:rPr>
          <w:sz w:val="20"/>
          <w:szCs w:val="20"/>
          <w:color w:val="auto"/>
        </w:rPr>
      </w:pPr>
    </w:p>
    <w:p>
      <w:pPr>
        <w:ind w:left="2084" w:right="1780" w:hanging="222"/>
        <w:spacing w:after="0" w:line="277" w:lineRule="auto"/>
        <w:tabs>
          <w:tab w:leader="none" w:pos="2084" w:val="left"/>
        </w:tabs>
        <w:numPr>
          <w:ilvl w:val="0"/>
          <w:numId w:val="359"/>
        </w:numPr>
        <w:rPr>
          <w:rFonts w:ascii="Arial" w:cs="Arial" w:eastAsia="Arial" w:hAnsi="Arial"/>
          <w:sz w:val="13"/>
          <w:szCs w:val="13"/>
          <w:i w:val="1"/>
          <w:iCs w:val="1"/>
          <w:color w:val="auto"/>
        </w:rPr>
      </w:pPr>
      <w:r>
        <w:rPr>
          <w:rFonts w:ascii="Arial" w:cs="Arial" w:eastAsia="Arial" w:hAnsi="Arial"/>
          <w:sz w:val="13"/>
          <w:szCs w:val="13"/>
          <w:i w:val="1"/>
          <w:iCs w:val="1"/>
          <w:color w:val="auto"/>
        </w:rPr>
        <w:t>For commodity derivative instruments, we record ineffectiveness gains (losses) in Revenues from Sempra Global and Parent on the Statements of Consolidated Income.</w:t>
      </w:r>
    </w:p>
    <w:p>
      <w:pPr>
        <w:spacing w:after="0" w:line="3" w:lineRule="exact"/>
        <w:rPr>
          <w:sz w:val="20"/>
          <w:szCs w:val="20"/>
          <w:color w:val="auto"/>
        </w:rPr>
      </w:pPr>
    </w:p>
    <w:p>
      <w:pPr>
        <w:ind w:left="2084" w:right="2100" w:hanging="222"/>
        <w:spacing w:after="0" w:line="277" w:lineRule="auto"/>
        <w:tabs>
          <w:tab w:leader="none" w:pos="2084" w:val="left"/>
        </w:tabs>
        <w:numPr>
          <w:ilvl w:val="0"/>
          <w:numId w:val="360"/>
        </w:numPr>
        <w:rPr>
          <w:rFonts w:ascii="Arial" w:cs="Arial" w:eastAsia="Arial" w:hAnsi="Arial"/>
          <w:sz w:val="13"/>
          <w:szCs w:val="13"/>
          <w:i w:val="1"/>
          <w:iCs w:val="1"/>
          <w:color w:val="auto"/>
        </w:rPr>
      </w:pPr>
      <w:r>
        <w:rPr>
          <w:rFonts w:ascii="Arial" w:cs="Arial" w:eastAsia="Arial" w:hAnsi="Arial"/>
          <w:sz w:val="13"/>
          <w:szCs w:val="13"/>
          <w:i w:val="1"/>
          <w:iCs w:val="1"/>
          <w:color w:val="auto"/>
        </w:rPr>
        <w:t>For interest-rate swap instruments, all companies record ineffectiveness gains (losses) in Other Income (Expense), Net on the Statements of Consolidated Income.</w:t>
      </w:r>
    </w:p>
    <w:p>
      <w:pPr>
        <w:spacing w:after="0" w:line="3" w:lineRule="exact"/>
        <w:rPr>
          <w:rFonts w:ascii="Arial" w:cs="Arial" w:eastAsia="Arial" w:hAnsi="Arial"/>
          <w:sz w:val="13"/>
          <w:szCs w:val="13"/>
          <w:i w:val="1"/>
          <w:iCs w:val="1"/>
          <w:color w:val="auto"/>
        </w:rPr>
      </w:pPr>
    </w:p>
    <w:p>
      <w:pPr>
        <w:ind w:left="2084" w:hanging="222"/>
        <w:spacing w:after="0"/>
        <w:tabs>
          <w:tab w:leader="none" w:pos="2084" w:val="left"/>
        </w:tabs>
        <w:numPr>
          <w:ilvl w:val="0"/>
          <w:numId w:val="361"/>
        </w:numPr>
        <w:rPr>
          <w:rFonts w:ascii="Arial" w:cs="Arial" w:eastAsia="Arial" w:hAnsi="Arial"/>
          <w:sz w:val="13"/>
          <w:szCs w:val="13"/>
          <w:i w:val="1"/>
          <w:iCs w:val="1"/>
          <w:color w:val="auto"/>
        </w:rPr>
      </w:pPr>
      <w:r>
        <w:rPr>
          <w:rFonts w:ascii="Arial" w:cs="Arial" w:eastAsia="Arial" w:hAnsi="Arial"/>
          <w:sz w:val="13"/>
          <w:szCs w:val="13"/>
          <w:i w:val="1"/>
          <w:iCs w:val="1"/>
          <w:color w:val="auto"/>
        </w:rPr>
        <w:t>The 2008 and 2007 losses include $(1) million and a negligible amount, respectively, associated with Otay Mesa VIE.</w:t>
      </w:r>
    </w:p>
    <w:p>
      <w:pPr>
        <w:spacing w:after="0" w:line="206" w:lineRule="exact"/>
        <w:rPr>
          <w:sz w:val="20"/>
          <w:szCs w:val="20"/>
          <w:color w:val="auto"/>
        </w:rPr>
      </w:pPr>
    </w:p>
    <w:p>
      <w:pPr>
        <w:ind w:left="4"/>
        <w:spacing w:after="0"/>
        <w:rPr>
          <w:sz w:val="20"/>
          <w:szCs w:val="20"/>
          <w:color w:val="auto"/>
        </w:rPr>
      </w:pPr>
      <w:r>
        <w:rPr>
          <w:rFonts w:ascii="Arial" w:cs="Arial" w:eastAsia="Arial" w:hAnsi="Arial"/>
          <w:sz w:val="16"/>
          <w:szCs w:val="16"/>
          <w:color w:val="auto"/>
        </w:rPr>
        <w:t>For commodity derivative instruments designated as fair value hedges,</w:t>
      </w:r>
    </w:p>
    <w:p>
      <w:pPr>
        <w:spacing w:after="0" w:line="44" w:lineRule="exact"/>
        <w:rPr>
          <w:sz w:val="20"/>
          <w:szCs w:val="20"/>
          <w:color w:val="auto"/>
        </w:rPr>
      </w:pPr>
    </w:p>
    <w:p>
      <w:pPr>
        <w:ind w:left="144" w:right="1420" w:hanging="144"/>
        <w:spacing w:after="0" w:line="277" w:lineRule="auto"/>
        <w:tabs>
          <w:tab w:leader="none" w:pos="144" w:val="left"/>
        </w:tabs>
        <w:numPr>
          <w:ilvl w:val="0"/>
          <w:numId w:val="362"/>
        </w:numPr>
        <w:rPr>
          <w:rFonts w:ascii="Arial" w:cs="Arial" w:eastAsia="Arial" w:hAnsi="Arial"/>
          <w:sz w:val="16"/>
          <w:szCs w:val="16"/>
          <w:color w:val="auto"/>
        </w:rPr>
      </w:pPr>
      <w:r>
        <w:rPr>
          <w:rFonts w:ascii="Arial" w:cs="Arial" w:eastAsia="Arial" w:hAnsi="Arial"/>
          <w:sz w:val="16"/>
          <w:szCs w:val="16"/>
          <w:color w:val="auto"/>
        </w:rPr>
        <w:t>the ineffectiveness gains relate to hedges of commodity inventory and include gains that represent the time value of money, which is excluded for hedge assessment purposes.</w:t>
      </w:r>
    </w:p>
    <w:p>
      <w:pPr>
        <w:spacing w:after="0" w:line="80" w:lineRule="exact"/>
        <w:rPr>
          <w:sz w:val="20"/>
          <w:szCs w:val="20"/>
          <w:color w:val="auto"/>
        </w:rPr>
      </w:pPr>
    </w:p>
    <w:p>
      <w:pPr>
        <w:ind w:left="4"/>
        <w:spacing w:after="0"/>
        <w:rPr>
          <w:sz w:val="20"/>
          <w:szCs w:val="20"/>
          <w:color w:val="auto"/>
        </w:rPr>
      </w:pPr>
      <w:r>
        <w:rPr>
          <w:rFonts w:ascii="Arial" w:cs="Arial" w:eastAsia="Arial" w:hAnsi="Arial"/>
          <w:sz w:val="16"/>
          <w:szCs w:val="16"/>
          <w:color w:val="auto"/>
        </w:rPr>
        <w:t>For commodity derivative instruments designated as cash flow hedges,</w:t>
      </w:r>
    </w:p>
    <w:p>
      <w:pPr>
        <w:spacing w:after="0" w:line="44" w:lineRule="exact"/>
        <w:rPr>
          <w:sz w:val="20"/>
          <w:szCs w:val="20"/>
          <w:color w:val="auto"/>
        </w:rPr>
      </w:pPr>
    </w:p>
    <w:p>
      <w:pPr>
        <w:ind w:left="4"/>
        <w:spacing w:after="0"/>
        <w:rPr>
          <w:sz w:val="20"/>
          <w:szCs w:val="20"/>
          <w:color w:val="auto"/>
        </w:rPr>
      </w:pPr>
      <w:r>
        <w:rPr>
          <w:rFonts w:ascii="Arial" w:cs="Arial" w:eastAsia="Arial" w:hAnsi="Arial"/>
          <w:sz w:val="16"/>
          <w:szCs w:val="16"/>
          <w:color w:val="auto"/>
        </w:rPr>
        <w:t>§ the ineffectiveness amounts relate to hedges of natural gas purchases and sales related to transportation and storage capacity arrangements.</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4"/>
        <w:spacing w:after="0"/>
        <w:rPr>
          <w:sz w:val="20"/>
          <w:szCs w:val="20"/>
          <w:color w:val="auto"/>
        </w:rPr>
      </w:pPr>
      <w:r>
        <w:rPr>
          <w:rFonts w:ascii="Arial" w:cs="Arial" w:eastAsia="Arial" w:hAnsi="Arial"/>
          <w:sz w:val="14"/>
          <w:szCs w:val="14"/>
          <w:color w:val="auto"/>
        </w:rPr>
        <w:t>154</w:t>
      </w:r>
    </w:p>
    <w:p>
      <w:pPr>
        <w:sectPr>
          <w:pgSz w:w="11900" w:h="16838" w:orient="portrait"/>
          <w:cols w:equalWidth="0" w:num="1">
            <w:col w:w="11324"/>
          </w:cols>
          <w:pgMar w:left="236" w:top="127" w:right="339" w:bottom="1440" w:gutter="0" w:footer="0" w:header="0"/>
        </w:sectPr>
      </w:pPr>
    </w:p>
    <w:bookmarkStart w:id="294" w:name="page295"/>
    <w:bookmarkEnd w:id="294"/>
    <w:p>
      <w:pPr>
        <w:ind w:right="140"/>
        <w:spacing w:after="0" w:line="277" w:lineRule="auto"/>
        <w:rPr>
          <w:sz w:val="20"/>
          <w:szCs w:val="20"/>
          <w:color w:val="auto"/>
        </w:rPr>
      </w:pPr>
      <w:r>
        <w:rPr>
          <w:rFonts w:ascii="Arial" w:cs="Arial" w:eastAsia="Arial" w:hAnsi="Arial"/>
          <w:sz w:val="16"/>
          <w:szCs w:val="16"/>
          <w:color w:val="auto"/>
        </w:rPr>
        <w:t>These commodity derivative instruments were held by our commodities-marketing businesses. For 2006, the ineffectiveness in commodity derivative instruments also relates to the phase-out of synthetic fuels income tax credits.</w:t>
      </w:r>
    </w:p>
    <w:p>
      <w:pPr>
        <w:spacing w:after="0" w:line="32" w:lineRule="exact"/>
        <w:rPr>
          <w:sz w:val="20"/>
          <w:szCs w:val="20"/>
          <w:color w:val="auto"/>
        </w:rPr>
      </w:pPr>
    </w:p>
    <w:p>
      <w:pPr>
        <w:ind w:right="340"/>
        <w:spacing w:after="0" w:line="264" w:lineRule="auto"/>
        <w:rPr>
          <w:sz w:val="20"/>
          <w:szCs w:val="20"/>
          <w:color w:val="auto"/>
        </w:rPr>
      </w:pPr>
      <w:r>
        <w:rPr>
          <w:rFonts w:ascii="Arial" w:cs="Arial" w:eastAsia="Arial" w:hAnsi="Arial"/>
          <w:sz w:val="16"/>
          <w:szCs w:val="16"/>
          <w:color w:val="auto"/>
        </w:rPr>
        <w:t>In 2007 and 2006, we also reclassified $2 million and $39 million, respectively, of losses from Accumulated Other Comprehensive Income (Loss) due to the expectation that these losses would not be recovered. The gains and losses are included in Revenues from Sempra Global and Parent for Sempra Energy on the Statements of Consolidated Income. These commodity derivative instruments were held by our commodities-marketing businesses.</w:t>
      </w:r>
    </w:p>
    <w:p>
      <w:pPr>
        <w:spacing w:after="0" w:line="23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SEMPRA UTILITIES</w:t>
      </w:r>
    </w:p>
    <w:p>
      <w:pPr>
        <w:spacing w:after="0" w:line="89" w:lineRule="exact"/>
        <w:rPr>
          <w:sz w:val="20"/>
          <w:szCs w:val="20"/>
          <w:color w:val="auto"/>
        </w:rPr>
      </w:pPr>
    </w:p>
    <w:p>
      <w:pPr>
        <w:spacing w:after="0" w:line="276" w:lineRule="auto"/>
        <w:rPr>
          <w:sz w:val="20"/>
          <w:szCs w:val="20"/>
          <w:color w:val="auto"/>
        </w:rPr>
      </w:pPr>
      <w:r>
        <w:rPr>
          <w:rFonts w:ascii="Arial" w:cs="Arial" w:eastAsia="Arial" w:hAnsi="Arial"/>
          <w:sz w:val="15"/>
          <w:szCs w:val="15"/>
          <w:color w:val="auto"/>
        </w:rPr>
        <w:t>At the Sempra Utilities, company policy and regulatory requirements impose limits on the use of derivative instruments. These instruments enable the companies to estimate with greater certainty the effective prices to be received by the companies and the prices to be charged to their customers. SDG&amp;E records realized gains or losses on derivative instruments associated with transactions for electric energy contracts in Cost of Electric Fuel and Purchased Power on the Statements of Consolidated Income. SDG&amp;E and SoCalGas record realized gains and losses on derivative instruments associated with transactions for natural gas contracts in Cost of Natural Gas on the Statements of Consolidated Income. On the Consolidated Balance Sheets, the Sempra Utilities record regulatory assets and liabilities related to unrealized gains and losses from these derivative instruments to the extent derivative gains and losses associated with these derivative instruments will be payable or recoverable in future rates.</w:t>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SEMPRA COMMODITIES</w:t>
      </w:r>
    </w:p>
    <w:p>
      <w:pPr>
        <w:spacing w:after="0" w:line="89" w:lineRule="exact"/>
        <w:rPr>
          <w:sz w:val="20"/>
          <w:szCs w:val="20"/>
          <w:color w:val="auto"/>
        </w:rPr>
      </w:pPr>
    </w:p>
    <w:p>
      <w:pPr>
        <w:spacing w:after="0"/>
        <w:rPr>
          <w:sz w:val="20"/>
          <w:szCs w:val="20"/>
          <w:color w:val="auto"/>
        </w:rPr>
      </w:pPr>
      <w:r>
        <w:rPr>
          <w:rFonts w:ascii="Arial" w:cs="Arial" w:eastAsia="Arial" w:hAnsi="Arial"/>
          <w:sz w:val="15"/>
          <w:szCs w:val="15"/>
          <w:color w:val="auto"/>
        </w:rPr>
        <w:t>Prior to the formation of RBS Sempra Commodities in 2008, the carrying values of trading assets and trading liabilities, primarily at Sempra Commodities, were as follows:</w:t>
      </w:r>
    </w:p>
    <w:p>
      <w:pPr>
        <w:spacing w:after="0" w:line="325" w:lineRule="exact"/>
        <w:rPr>
          <w:sz w:val="20"/>
          <w:szCs w:val="20"/>
          <w:color w:val="auto"/>
        </w:rPr>
      </w:pPr>
    </w:p>
    <w:tbl>
      <w:tblPr>
        <w:tblLayout w:type="fixed"/>
        <w:tblInd w:w="1900" w:type="dxa"/>
        <w:tblCellMar>
          <w:top w:w="0" w:type="dxa"/>
          <w:left w:w="0" w:type="dxa"/>
          <w:bottom w:w="0" w:type="dxa"/>
          <w:right w:w="0" w:type="dxa"/>
        </w:tblCellMar>
      </w:tblPr>
      <w:tr>
        <w:trPr>
          <w:trHeight w:val="171"/>
        </w:trPr>
        <w:tc>
          <w:tcPr>
            <w:tcW w:w="5420" w:type="dxa"/>
            <w:vAlign w:val="bottom"/>
            <w:tcBorders>
              <w:bottom w:val="single" w:sz="8" w:color="auto"/>
            </w:tcBorders>
          </w:tcPr>
          <w:p>
            <w:pPr>
              <w:spacing w:after="0"/>
              <w:rPr>
                <w:sz w:val="20"/>
                <w:szCs w:val="20"/>
                <w:color w:val="auto"/>
              </w:rPr>
            </w:pPr>
            <w:r>
              <w:rPr>
                <w:rFonts w:ascii="Arial" w:cs="Arial" w:eastAsia="Arial" w:hAnsi="Arial"/>
                <w:sz w:val="13"/>
                <w:szCs w:val="13"/>
                <w:i w:val="1"/>
                <w:iCs w:val="1"/>
                <w:color w:val="auto"/>
              </w:rPr>
              <w:t>(Dollars in millions)</w:t>
            </w:r>
          </w:p>
        </w:tc>
        <w:tc>
          <w:tcPr>
            <w:tcW w:w="222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color w:val="auto"/>
              </w:rPr>
              <w:t>December 31, 2007*</w:t>
            </w:r>
          </w:p>
        </w:tc>
      </w:tr>
      <w:tr>
        <w:trPr>
          <w:trHeight w:val="207"/>
        </w:trPr>
        <w:tc>
          <w:tcPr>
            <w:tcW w:w="5420" w:type="dxa"/>
            <w:vAlign w:val="bottom"/>
          </w:tcPr>
          <w:p>
            <w:pPr>
              <w:spacing w:after="0"/>
              <w:rPr>
                <w:sz w:val="20"/>
                <w:szCs w:val="20"/>
                <w:color w:val="auto"/>
              </w:rPr>
            </w:pPr>
            <w:r>
              <w:rPr>
                <w:rFonts w:ascii="Arial" w:cs="Arial" w:eastAsia="Arial" w:hAnsi="Arial"/>
                <w:sz w:val="14"/>
                <w:szCs w:val="14"/>
                <w:color w:val="auto"/>
              </w:rPr>
              <w:t>TRADING ASSETS</w:t>
            </w:r>
          </w:p>
        </w:tc>
        <w:tc>
          <w:tcPr>
            <w:tcW w:w="10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16"/>
        </w:trPr>
        <w:tc>
          <w:tcPr>
            <w:tcW w:w="5420" w:type="dxa"/>
            <w:vAlign w:val="bottom"/>
          </w:tcPr>
          <w:p>
            <w:pPr>
              <w:spacing w:after="0"/>
              <w:rPr>
                <w:sz w:val="20"/>
                <w:szCs w:val="20"/>
                <w:color w:val="auto"/>
              </w:rPr>
            </w:pPr>
            <w:r>
              <w:rPr>
                <w:rFonts w:ascii="Arial" w:cs="Arial" w:eastAsia="Arial" w:hAnsi="Arial"/>
                <w:sz w:val="14"/>
                <w:szCs w:val="14"/>
                <w:color w:val="auto"/>
              </w:rPr>
              <w:t>Trading-related receivables and deposits, net:</w:t>
            </w:r>
          </w:p>
        </w:tc>
        <w:tc>
          <w:tcPr>
            <w:tcW w:w="10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16"/>
        </w:trPr>
        <w:tc>
          <w:tcPr>
            <w:tcW w:w="5420" w:type="dxa"/>
            <w:vAlign w:val="bottom"/>
          </w:tcPr>
          <w:p>
            <w:pPr>
              <w:ind w:left="260"/>
              <w:spacing w:after="0"/>
              <w:rPr>
                <w:sz w:val="20"/>
                <w:szCs w:val="20"/>
                <w:color w:val="auto"/>
              </w:rPr>
            </w:pPr>
            <w:r>
              <w:rPr>
                <w:rFonts w:ascii="Arial" w:cs="Arial" w:eastAsia="Arial" w:hAnsi="Arial"/>
                <w:sz w:val="14"/>
                <w:szCs w:val="14"/>
                <w:color w:val="auto"/>
              </w:rPr>
              <w:t>Due from trading counterparties</w:t>
            </w:r>
          </w:p>
        </w:tc>
        <w:tc>
          <w:tcPr>
            <w:tcW w:w="156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2,489</w:t>
            </w:r>
          </w:p>
        </w:tc>
      </w:tr>
      <w:tr>
        <w:trPr>
          <w:trHeight w:val="222"/>
        </w:trPr>
        <w:tc>
          <w:tcPr>
            <w:tcW w:w="5420" w:type="dxa"/>
            <w:vAlign w:val="bottom"/>
          </w:tcPr>
          <w:p>
            <w:pPr>
              <w:ind w:left="260"/>
              <w:spacing w:after="0"/>
              <w:rPr>
                <w:sz w:val="20"/>
                <w:szCs w:val="20"/>
                <w:color w:val="auto"/>
              </w:rPr>
            </w:pPr>
            <w:r>
              <w:rPr>
                <w:rFonts w:ascii="Arial" w:cs="Arial" w:eastAsia="Arial" w:hAnsi="Arial"/>
                <w:sz w:val="14"/>
                <w:szCs w:val="14"/>
                <w:color w:val="auto"/>
              </w:rPr>
              <w:t>Due from commodity clearing organizations and clearing brokers</w:t>
            </w:r>
          </w:p>
        </w:tc>
        <w:tc>
          <w:tcPr>
            <w:tcW w:w="108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230</w:t>
            </w:r>
          </w:p>
        </w:tc>
      </w:tr>
      <w:tr>
        <w:trPr>
          <w:trHeight w:val="202"/>
        </w:trPr>
        <w:tc>
          <w:tcPr>
            <w:tcW w:w="54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2,719</w:t>
            </w:r>
          </w:p>
        </w:tc>
      </w:tr>
      <w:tr>
        <w:trPr>
          <w:trHeight w:val="208"/>
        </w:trPr>
        <w:tc>
          <w:tcPr>
            <w:tcW w:w="5420" w:type="dxa"/>
            <w:vAlign w:val="bottom"/>
          </w:tcPr>
          <w:p>
            <w:pPr>
              <w:spacing w:after="0"/>
              <w:rPr>
                <w:sz w:val="20"/>
                <w:szCs w:val="20"/>
                <w:color w:val="auto"/>
              </w:rPr>
            </w:pPr>
            <w:r>
              <w:rPr>
                <w:rFonts w:ascii="Arial" w:cs="Arial" w:eastAsia="Arial" w:hAnsi="Arial"/>
                <w:sz w:val="14"/>
                <w:szCs w:val="14"/>
                <w:color w:val="auto"/>
              </w:rPr>
              <w:t>Derivative trading instruments:</w:t>
            </w:r>
          </w:p>
        </w:tc>
        <w:tc>
          <w:tcPr>
            <w:tcW w:w="10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16"/>
        </w:trPr>
        <w:tc>
          <w:tcPr>
            <w:tcW w:w="5420" w:type="dxa"/>
            <w:vAlign w:val="bottom"/>
          </w:tcPr>
          <w:p>
            <w:pPr>
              <w:ind w:left="260"/>
              <w:spacing w:after="0"/>
              <w:rPr>
                <w:sz w:val="20"/>
                <w:szCs w:val="20"/>
                <w:color w:val="auto"/>
              </w:rPr>
            </w:pPr>
            <w:r>
              <w:rPr>
                <w:rFonts w:ascii="Arial" w:cs="Arial" w:eastAsia="Arial" w:hAnsi="Arial"/>
                <w:sz w:val="14"/>
                <w:szCs w:val="14"/>
                <w:color w:val="auto"/>
              </w:rPr>
              <w:t>Unrealized gains on swaps and forwards</w:t>
            </w:r>
          </w:p>
        </w:tc>
        <w:tc>
          <w:tcPr>
            <w:tcW w:w="10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1,067</w:t>
            </w:r>
          </w:p>
        </w:tc>
      </w:tr>
      <w:tr>
        <w:trPr>
          <w:trHeight w:val="222"/>
        </w:trPr>
        <w:tc>
          <w:tcPr>
            <w:tcW w:w="5420" w:type="dxa"/>
            <w:vAlign w:val="bottom"/>
          </w:tcPr>
          <w:p>
            <w:pPr>
              <w:ind w:left="260"/>
              <w:spacing w:after="0"/>
              <w:rPr>
                <w:sz w:val="20"/>
                <w:szCs w:val="20"/>
                <w:color w:val="auto"/>
              </w:rPr>
            </w:pPr>
            <w:r>
              <w:rPr>
                <w:rFonts w:ascii="Arial" w:cs="Arial" w:eastAsia="Arial" w:hAnsi="Arial"/>
                <w:sz w:val="14"/>
                <w:szCs w:val="14"/>
                <w:color w:val="auto"/>
              </w:rPr>
              <w:t>OTC commodity options purchased</w:t>
            </w:r>
          </w:p>
        </w:tc>
        <w:tc>
          <w:tcPr>
            <w:tcW w:w="108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1,103</w:t>
            </w:r>
          </w:p>
        </w:tc>
      </w:tr>
      <w:tr>
        <w:trPr>
          <w:trHeight w:val="205"/>
        </w:trPr>
        <w:tc>
          <w:tcPr>
            <w:tcW w:w="54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2,170</w:t>
            </w:r>
          </w:p>
        </w:tc>
      </w:tr>
      <w:tr>
        <w:trPr>
          <w:trHeight w:val="211"/>
        </w:trPr>
        <w:tc>
          <w:tcPr>
            <w:tcW w:w="5420" w:type="dxa"/>
            <w:vAlign w:val="bottom"/>
          </w:tcPr>
          <w:p>
            <w:pPr>
              <w:spacing w:after="0"/>
              <w:rPr>
                <w:sz w:val="20"/>
                <w:szCs w:val="20"/>
                <w:color w:val="auto"/>
              </w:rPr>
            </w:pPr>
            <w:r>
              <w:rPr>
                <w:rFonts w:ascii="Arial" w:cs="Arial" w:eastAsia="Arial" w:hAnsi="Arial"/>
                <w:sz w:val="14"/>
                <w:szCs w:val="14"/>
                <w:color w:val="auto"/>
              </w:rPr>
              <w:t>Commodities owned</w:t>
            </w:r>
          </w:p>
        </w:tc>
        <w:tc>
          <w:tcPr>
            <w:tcW w:w="108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2,231</w:t>
            </w:r>
          </w:p>
        </w:tc>
      </w:tr>
      <w:tr>
        <w:trPr>
          <w:trHeight w:val="200"/>
        </w:trPr>
        <w:tc>
          <w:tcPr>
            <w:tcW w:w="5420" w:type="dxa"/>
            <w:vAlign w:val="bottom"/>
          </w:tcPr>
          <w:p>
            <w:pPr>
              <w:spacing w:after="0"/>
              <w:rPr>
                <w:sz w:val="20"/>
                <w:szCs w:val="20"/>
                <w:color w:val="auto"/>
              </w:rPr>
            </w:pPr>
            <w:r>
              <w:rPr>
                <w:rFonts w:ascii="Arial" w:cs="Arial" w:eastAsia="Arial" w:hAnsi="Arial"/>
                <w:sz w:val="14"/>
                <w:szCs w:val="14"/>
                <w:color w:val="auto"/>
              </w:rPr>
              <w:t>Total trading assets</w:t>
            </w:r>
          </w:p>
        </w:tc>
        <w:tc>
          <w:tcPr>
            <w:tcW w:w="156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7,120</w:t>
            </w:r>
          </w:p>
        </w:tc>
      </w:tr>
      <w:tr>
        <w:trPr>
          <w:trHeight w:val="426"/>
        </w:trPr>
        <w:tc>
          <w:tcPr>
            <w:tcW w:w="5420" w:type="dxa"/>
            <w:vAlign w:val="bottom"/>
          </w:tcPr>
          <w:p>
            <w:pPr>
              <w:spacing w:after="0"/>
              <w:rPr>
                <w:sz w:val="20"/>
                <w:szCs w:val="20"/>
                <w:color w:val="auto"/>
              </w:rPr>
            </w:pPr>
            <w:r>
              <w:rPr>
                <w:rFonts w:ascii="Arial" w:cs="Arial" w:eastAsia="Arial" w:hAnsi="Arial"/>
                <w:sz w:val="14"/>
                <w:szCs w:val="14"/>
                <w:color w:val="auto"/>
              </w:rPr>
              <w:t>TRADING LIABILITIES</w:t>
            </w:r>
          </w:p>
        </w:tc>
        <w:tc>
          <w:tcPr>
            <w:tcW w:w="1080" w:type="dxa"/>
            <w:vAlign w:val="bottom"/>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r>
      <w:tr>
        <w:trPr>
          <w:trHeight w:val="210"/>
        </w:trPr>
        <w:tc>
          <w:tcPr>
            <w:tcW w:w="5420" w:type="dxa"/>
            <w:vAlign w:val="bottom"/>
          </w:tcPr>
          <w:p>
            <w:pPr>
              <w:spacing w:after="0"/>
              <w:rPr>
                <w:sz w:val="20"/>
                <w:szCs w:val="20"/>
                <w:color w:val="auto"/>
              </w:rPr>
            </w:pPr>
            <w:r>
              <w:rPr>
                <w:rFonts w:ascii="Arial" w:cs="Arial" w:eastAsia="Arial" w:hAnsi="Arial"/>
                <w:sz w:val="14"/>
                <w:szCs w:val="14"/>
                <w:color w:val="auto"/>
              </w:rPr>
              <w:t>Trading-related payables</w:t>
            </w:r>
          </w:p>
        </w:tc>
        <w:tc>
          <w:tcPr>
            <w:tcW w:w="156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2,265</w:t>
            </w:r>
          </w:p>
        </w:tc>
      </w:tr>
      <w:tr>
        <w:trPr>
          <w:trHeight w:val="202"/>
        </w:trPr>
        <w:tc>
          <w:tcPr>
            <w:tcW w:w="5420" w:type="dxa"/>
            <w:vAlign w:val="bottom"/>
          </w:tcPr>
          <w:p>
            <w:pPr>
              <w:spacing w:after="0"/>
              <w:rPr>
                <w:sz w:val="20"/>
                <w:szCs w:val="20"/>
                <w:color w:val="auto"/>
              </w:rPr>
            </w:pPr>
            <w:r>
              <w:rPr>
                <w:rFonts w:ascii="Arial" w:cs="Arial" w:eastAsia="Arial" w:hAnsi="Arial"/>
                <w:sz w:val="14"/>
                <w:szCs w:val="14"/>
                <w:color w:val="auto"/>
              </w:rPr>
              <w:t>Derivative trading instruments sold, not yet purchased:</w:t>
            </w:r>
          </w:p>
        </w:tc>
        <w:tc>
          <w:tcPr>
            <w:tcW w:w="1080" w:type="dxa"/>
            <w:vAlign w:val="bottom"/>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r>
      <w:tr>
        <w:trPr>
          <w:trHeight w:val="216"/>
        </w:trPr>
        <w:tc>
          <w:tcPr>
            <w:tcW w:w="5420" w:type="dxa"/>
            <w:vAlign w:val="bottom"/>
          </w:tcPr>
          <w:p>
            <w:pPr>
              <w:ind w:left="260"/>
              <w:spacing w:after="0"/>
              <w:rPr>
                <w:sz w:val="20"/>
                <w:szCs w:val="20"/>
                <w:color w:val="auto"/>
              </w:rPr>
            </w:pPr>
            <w:r>
              <w:rPr>
                <w:rFonts w:ascii="Arial" w:cs="Arial" w:eastAsia="Arial" w:hAnsi="Arial"/>
                <w:sz w:val="14"/>
                <w:szCs w:val="14"/>
                <w:color w:val="auto"/>
              </w:rPr>
              <w:t>Unrealized losses on swaps and forwards</w:t>
            </w:r>
          </w:p>
        </w:tc>
        <w:tc>
          <w:tcPr>
            <w:tcW w:w="10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950</w:t>
            </w:r>
          </w:p>
        </w:tc>
      </w:tr>
      <w:tr>
        <w:trPr>
          <w:trHeight w:val="222"/>
        </w:trPr>
        <w:tc>
          <w:tcPr>
            <w:tcW w:w="5420" w:type="dxa"/>
            <w:vAlign w:val="bottom"/>
          </w:tcPr>
          <w:p>
            <w:pPr>
              <w:ind w:left="260"/>
              <w:spacing w:after="0"/>
              <w:rPr>
                <w:sz w:val="20"/>
                <w:szCs w:val="20"/>
                <w:color w:val="auto"/>
              </w:rPr>
            </w:pPr>
            <w:r>
              <w:rPr>
                <w:rFonts w:ascii="Arial" w:cs="Arial" w:eastAsia="Arial" w:hAnsi="Arial"/>
                <w:sz w:val="14"/>
                <w:szCs w:val="14"/>
                <w:color w:val="auto"/>
              </w:rPr>
              <w:t>OTC commodity options written</w:t>
            </w:r>
          </w:p>
        </w:tc>
        <w:tc>
          <w:tcPr>
            <w:tcW w:w="108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722</w:t>
            </w:r>
          </w:p>
        </w:tc>
      </w:tr>
      <w:tr>
        <w:trPr>
          <w:trHeight w:val="205"/>
        </w:trPr>
        <w:tc>
          <w:tcPr>
            <w:tcW w:w="54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1,672</w:t>
            </w:r>
          </w:p>
        </w:tc>
      </w:tr>
      <w:tr>
        <w:trPr>
          <w:trHeight w:val="211"/>
        </w:trPr>
        <w:tc>
          <w:tcPr>
            <w:tcW w:w="5420" w:type="dxa"/>
            <w:vAlign w:val="bottom"/>
          </w:tcPr>
          <w:p>
            <w:pPr>
              <w:spacing w:after="0"/>
              <w:rPr>
                <w:sz w:val="20"/>
                <w:szCs w:val="20"/>
                <w:color w:val="auto"/>
              </w:rPr>
            </w:pPr>
            <w:r>
              <w:rPr>
                <w:rFonts w:ascii="Arial" w:cs="Arial" w:eastAsia="Arial" w:hAnsi="Arial"/>
                <w:sz w:val="14"/>
                <w:szCs w:val="14"/>
                <w:color w:val="auto"/>
              </w:rPr>
              <w:t>Commodities sold with agreement to repurchase</w:t>
            </w:r>
          </w:p>
        </w:tc>
        <w:tc>
          <w:tcPr>
            <w:tcW w:w="108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500</w:t>
            </w:r>
          </w:p>
        </w:tc>
      </w:tr>
      <w:tr>
        <w:trPr>
          <w:trHeight w:val="224"/>
        </w:trPr>
        <w:tc>
          <w:tcPr>
            <w:tcW w:w="54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Total trading liabilities</w:t>
            </w:r>
          </w:p>
        </w:tc>
        <w:tc>
          <w:tcPr>
            <w:tcW w:w="156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4,437</w:t>
            </w:r>
          </w:p>
        </w:tc>
      </w:tr>
    </w:tbl>
    <w:p>
      <w:pPr>
        <w:spacing w:after="0" w:line="16" w:lineRule="exact"/>
        <w:rPr>
          <w:sz w:val="20"/>
          <w:szCs w:val="20"/>
          <w:color w:val="auto"/>
        </w:rPr>
      </w:pPr>
    </w:p>
    <w:p>
      <w:pPr>
        <w:ind w:left="2160" w:hanging="260"/>
        <w:spacing w:after="0"/>
        <w:tabs>
          <w:tab w:leader="none" w:pos="2160" w:val="left"/>
        </w:tabs>
        <w:numPr>
          <w:ilvl w:val="0"/>
          <w:numId w:val="363"/>
        </w:numPr>
        <w:rPr>
          <w:rFonts w:ascii="Arial" w:cs="Arial" w:eastAsia="Arial" w:hAnsi="Arial"/>
          <w:sz w:val="14"/>
          <w:szCs w:val="14"/>
          <w:color w:val="auto"/>
        </w:rPr>
      </w:pPr>
      <w:r>
        <w:rPr>
          <w:rFonts w:ascii="Arial" w:cs="Arial" w:eastAsia="Arial" w:hAnsi="Arial"/>
          <w:sz w:val="13"/>
          <w:szCs w:val="13"/>
          <w:i w:val="1"/>
          <w:iCs w:val="1"/>
          <w:color w:val="auto"/>
        </w:rPr>
        <w:t>Amounts have been reclassified to reflect the adoption of FASB Staff Position FIN 39-1.</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4"/>
          <w:szCs w:val="14"/>
          <w:color w:val="auto"/>
        </w:rPr>
        <w:t>155</w:t>
      </w:r>
    </w:p>
    <w:p>
      <w:pPr>
        <w:sectPr>
          <w:pgSz w:w="11900" w:h="16838" w:orient="portrait"/>
          <w:cols w:equalWidth="0" w:num="1">
            <w:col w:w="11420"/>
          </w:cols>
          <w:pgMar w:left="240" w:top="128" w:right="239" w:bottom="1440" w:gutter="0" w:footer="0" w:header="0"/>
        </w:sectPr>
      </w:pPr>
    </w:p>
    <w:bookmarkStart w:id="295" w:name="page296"/>
    <w:bookmarkEnd w:id="295"/>
    <w:p>
      <w:pPr>
        <w:ind w:right="140"/>
        <w:spacing w:after="0" w:line="277" w:lineRule="auto"/>
        <w:rPr>
          <w:sz w:val="20"/>
          <w:szCs w:val="20"/>
          <w:color w:val="auto"/>
        </w:rPr>
      </w:pPr>
      <w:r>
        <w:rPr>
          <w:rFonts w:ascii="Arial" w:cs="Arial" w:eastAsia="Arial" w:hAnsi="Arial"/>
          <w:sz w:val="16"/>
          <w:szCs w:val="16"/>
          <w:color w:val="auto"/>
        </w:rPr>
        <w:t>The following table summarizes the counterparty credit quality and exposure for Sempra Commodities, expressed in terms of net replacement value. These exposures are net of collateral in the form of customer margin and/or letters of credit of $1.6 billion at December 31,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1202690</wp:posOffset>
            </wp:positionH>
            <wp:positionV relativeFrom="paragraph">
              <wp:posOffset>43180</wp:posOffset>
            </wp:positionV>
            <wp:extent cx="4851400" cy="26670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4851400" cy="266700"/>
                    </a:xfrm>
                    <a:prstGeom prst="rect">
                      <a:avLst/>
                    </a:prstGeom>
                    <a:noFill/>
                  </pic:spPr>
                </pic:pic>
              </a:graphicData>
            </a:graphic>
          </wp:anchor>
        </w:drawing>
      </w:r>
    </w:p>
    <w:p>
      <w:pPr>
        <w:spacing w:after="0" w:line="56" w:lineRule="exact"/>
        <w:rPr>
          <w:sz w:val="20"/>
          <w:szCs w:val="20"/>
          <w:color w:val="auto"/>
        </w:rPr>
      </w:pPr>
    </w:p>
    <w:p>
      <w:pPr>
        <w:ind w:left="1900"/>
        <w:spacing w:after="0"/>
        <w:rPr>
          <w:sz w:val="20"/>
          <w:szCs w:val="20"/>
          <w:color w:val="auto"/>
        </w:rPr>
      </w:pPr>
      <w:r>
        <w:rPr>
          <w:rFonts w:ascii="Arial" w:cs="Arial" w:eastAsia="Arial" w:hAnsi="Arial"/>
          <w:sz w:val="14"/>
          <w:szCs w:val="14"/>
          <w:b w:val="1"/>
          <w:bCs w:val="1"/>
          <w:color w:val="auto"/>
        </w:rPr>
        <w:t>COUNTERPARTY CREDIT QUALITY*</w:t>
      </w:r>
    </w:p>
    <w:p>
      <w:pPr>
        <w:spacing w:after="0" w:line="76" w:lineRule="exact"/>
        <w:rPr>
          <w:sz w:val="20"/>
          <w:szCs w:val="20"/>
          <w:color w:val="auto"/>
        </w:rPr>
      </w:pPr>
    </w:p>
    <w:p>
      <w:pPr>
        <w:ind w:left="1900"/>
        <w:spacing w:after="0"/>
        <w:rPr>
          <w:sz w:val="20"/>
          <w:szCs w:val="20"/>
          <w:color w:val="auto"/>
        </w:rPr>
      </w:pPr>
      <w:r>
        <w:rPr>
          <w:rFonts w:ascii="Arial" w:cs="Arial" w:eastAsia="Arial" w:hAnsi="Arial"/>
          <w:sz w:val="13"/>
          <w:szCs w:val="13"/>
          <w:i w:val="1"/>
          <w:iCs w:val="1"/>
          <w:color w:val="auto"/>
        </w:rPr>
        <w:t>(Dollars in millions)</w:t>
      </w:r>
    </w:p>
    <w:p>
      <w:pPr>
        <w:spacing w:after="0" w:line="79" w:lineRule="exact"/>
        <w:rPr>
          <w:sz w:val="20"/>
          <w:szCs w:val="20"/>
          <w:color w:val="auto"/>
        </w:rPr>
      </w:pPr>
    </w:p>
    <w:tbl>
      <w:tblPr>
        <w:tblLayout w:type="fixed"/>
        <w:tblInd w:w="1900" w:type="dxa"/>
        <w:tblCellMar>
          <w:top w:w="0" w:type="dxa"/>
          <w:left w:w="0" w:type="dxa"/>
          <w:bottom w:w="0" w:type="dxa"/>
          <w:right w:w="0" w:type="dxa"/>
        </w:tblCellMar>
      </w:tblPr>
      <w:tr>
        <w:trPr>
          <w:trHeight w:val="159"/>
        </w:trPr>
        <w:tc>
          <w:tcPr>
            <w:tcW w:w="4560" w:type="dxa"/>
            <w:vAlign w:val="bottom"/>
            <w:tcBorders>
              <w:bottom w:val="single" w:sz="8" w:color="auto"/>
            </w:tcBorders>
          </w:tcPr>
          <w:p>
            <w:pPr>
              <w:spacing w:after="0"/>
              <w:rPr>
                <w:sz w:val="13"/>
                <w:szCs w:val="13"/>
                <w:color w:val="auto"/>
              </w:rPr>
            </w:pPr>
          </w:p>
        </w:tc>
        <w:tc>
          <w:tcPr>
            <w:tcW w:w="308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color w:val="auto"/>
              </w:rPr>
              <w:t>December 31, 2007</w:t>
            </w:r>
          </w:p>
        </w:tc>
      </w:tr>
      <w:tr>
        <w:trPr>
          <w:trHeight w:val="207"/>
        </w:trPr>
        <w:tc>
          <w:tcPr>
            <w:tcW w:w="4560" w:type="dxa"/>
            <w:vAlign w:val="bottom"/>
          </w:tcPr>
          <w:p>
            <w:pPr>
              <w:ind w:left="320"/>
              <w:spacing w:after="0"/>
              <w:rPr>
                <w:sz w:val="20"/>
                <w:szCs w:val="20"/>
                <w:color w:val="auto"/>
              </w:rPr>
            </w:pPr>
            <w:r>
              <w:rPr>
                <w:rFonts w:ascii="Arial" w:cs="Arial" w:eastAsia="Arial" w:hAnsi="Arial"/>
                <w:sz w:val="14"/>
                <w:szCs w:val="14"/>
                <w:color w:val="auto"/>
              </w:rPr>
              <w:t>Commodity exchanges</w:t>
            </w:r>
          </w:p>
        </w:tc>
        <w:tc>
          <w:tcPr>
            <w:tcW w:w="24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230</w:t>
            </w:r>
          </w:p>
        </w:tc>
      </w:tr>
      <w:tr>
        <w:trPr>
          <w:trHeight w:val="216"/>
        </w:trPr>
        <w:tc>
          <w:tcPr>
            <w:tcW w:w="4560" w:type="dxa"/>
            <w:vAlign w:val="bottom"/>
          </w:tcPr>
          <w:p>
            <w:pPr>
              <w:ind w:left="320"/>
              <w:spacing w:after="0"/>
              <w:rPr>
                <w:sz w:val="20"/>
                <w:szCs w:val="20"/>
                <w:color w:val="auto"/>
              </w:rPr>
            </w:pPr>
            <w:r>
              <w:rPr>
                <w:rFonts w:ascii="Arial" w:cs="Arial" w:eastAsia="Arial" w:hAnsi="Arial"/>
                <w:sz w:val="14"/>
                <w:szCs w:val="14"/>
                <w:color w:val="auto"/>
              </w:rPr>
              <w:t>AAA</w:t>
            </w:r>
          </w:p>
        </w:tc>
        <w:tc>
          <w:tcPr>
            <w:tcW w:w="20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13</w:t>
            </w:r>
          </w:p>
        </w:tc>
      </w:tr>
      <w:tr>
        <w:trPr>
          <w:trHeight w:val="216"/>
        </w:trPr>
        <w:tc>
          <w:tcPr>
            <w:tcW w:w="4560" w:type="dxa"/>
            <w:vAlign w:val="bottom"/>
          </w:tcPr>
          <w:p>
            <w:pPr>
              <w:ind w:left="320"/>
              <w:spacing w:after="0"/>
              <w:rPr>
                <w:sz w:val="20"/>
                <w:szCs w:val="20"/>
                <w:color w:val="auto"/>
              </w:rPr>
            </w:pPr>
            <w:r>
              <w:rPr>
                <w:rFonts w:ascii="Arial" w:cs="Arial" w:eastAsia="Arial" w:hAnsi="Arial"/>
                <w:sz w:val="14"/>
                <w:szCs w:val="14"/>
                <w:color w:val="auto"/>
              </w:rPr>
              <w:t>AA</w:t>
            </w:r>
          </w:p>
        </w:tc>
        <w:tc>
          <w:tcPr>
            <w:tcW w:w="20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478</w:t>
            </w:r>
          </w:p>
        </w:tc>
      </w:tr>
      <w:tr>
        <w:trPr>
          <w:trHeight w:val="216"/>
        </w:trPr>
        <w:tc>
          <w:tcPr>
            <w:tcW w:w="4560" w:type="dxa"/>
            <w:vAlign w:val="bottom"/>
          </w:tcPr>
          <w:p>
            <w:pPr>
              <w:ind w:left="320"/>
              <w:spacing w:after="0"/>
              <w:rPr>
                <w:sz w:val="20"/>
                <w:szCs w:val="20"/>
                <w:color w:val="auto"/>
              </w:rPr>
            </w:pPr>
            <w:r>
              <w:rPr>
                <w:rFonts w:ascii="Arial" w:cs="Arial" w:eastAsia="Arial" w:hAnsi="Arial"/>
                <w:sz w:val="14"/>
                <w:szCs w:val="14"/>
                <w:color w:val="auto"/>
              </w:rPr>
              <w:t>A</w:t>
            </w:r>
          </w:p>
        </w:tc>
        <w:tc>
          <w:tcPr>
            <w:tcW w:w="20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419</w:t>
            </w:r>
          </w:p>
        </w:tc>
      </w:tr>
      <w:tr>
        <w:trPr>
          <w:trHeight w:val="216"/>
        </w:trPr>
        <w:tc>
          <w:tcPr>
            <w:tcW w:w="4560" w:type="dxa"/>
            <w:vAlign w:val="bottom"/>
          </w:tcPr>
          <w:p>
            <w:pPr>
              <w:ind w:left="320"/>
              <w:spacing w:after="0"/>
              <w:rPr>
                <w:sz w:val="20"/>
                <w:szCs w:val="20"/>
                <w:color w:val="auto"/>
              </w:rPr>
            </w:pPr>
            <w:r>
              <w:rPr>
                <w:rFonts w:ascii="Arial" w:cs="Arial" w:eastAsia="Arial" w:hAnsi="Arial"/>
                <w:sz w:val="14"/>
                <w:szCs w:val="14"/>
                <w:color w:val="auto"/>
              </w:rPr>
              <w:t>BBB</w:t>
            </w:r>
          </w:p>
        </w:tc>
        <w:tc>
          <w:tcPr>
            <w:tcW w:w="20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504</w:t>
            </w:r>
          </w:p>
        </w:tc>
      </w:tr>
      <w:tr>
        <w:trPr>
          <w:trHeight w:val="222"/>
        </w:trPr>
        <w:tc>
          <w:tcPr>
            <w:tcW w:w="4560" w:type="dxa"/>
            <w:vAlign w:val="bottom"/>
          </w:tcPr>
          <w:p>
            <w:pPr>
              <w:ind w:left="320"/>
              <w:spacing w:after="0"/>
              <w:rPr>
                <w:sz w:val="20"/>
                <w:szCs w:val="20"/>
                <w:color w:val="auto"/>
              </w:rPr>
            </w:pPr>
            <w:r>
              <w:rPr>
                <w:rFonts w:ascii="Arial" w:cs="Arial" w:eastAsia="Arial" w:hAnsi="Arial"/>
                <w:sz w:val="14"/>
                <w:szCs w:val="14"/>
                <w:color w:val="auto"/>
              </w:rPr>
              <w:t>Below investment grade or not rated</w:t>
            </w:r>
          </w:p>
        </w:tc>
        <w:tc>
          <w:tcPr>
            <w:tcW w:w="206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959</w:t>
            </w:r>
          </w:p>
        </w:tc>
      </w:tr>
      <w:tr>
        <w:trPr>
          <w:trHeight w:val="224"/>
        </w:trPr>
        <w:tc>
          <w:tcPr>
            <w:tcW w:w="4560" w:type="dxa"/>
            <w:vAlign w:val="bottom"/>
            <w:tcBorders>
              <w:bottom w:val="single" w:sz="8" w:color="auto"/>
            </w:tcBorders>
          </w:tcPr>
          <w:p>
            <w:pPr>
              <w:ind w:left="820"/>
              <w:spacing w:after="0"/>
              <w:rPr>
                <w:sz w:val="20"/>
                <w:szCs w:val="20"/>
                <w:color w:val="auto"/>
              </w:rPr>
            </w:pPr>
            <w:r>
              <w:rPr>
                <w:rFonts w:ascii="Arial" w:cs="Arial" w:eastAsia="Arial" w:hAnsi="Arial"/>
                <w:sz w:val="14"/>
                <w:szCs w:val="14"/>
                <w:color w:val="auto"/>
              </w:rPr>
              <w:t>Total</w:t>
            </w:r>
          </w:p>
        </w:tc>
        <w:tc>
          <w:tcPr>
            <w:tcW w:w="246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2,603</w:t>
            </w:r>
          </w:p>
        </w:tc>
      </w:tr>
    </w:tbl>
    <w:p>
      <w:pPr>
        <w:spacing w:after="0" w:line="16" w:lineRule="exact"/>
        <w:rPr>
          <w:sz w:val="20"/>
          <w:szCs w:val="20"/>
          <w:color w:val="auto"/>
        </w:rPr>
      </w:pPr>
    </w:p>
    <w:p>
      <w:pPr>
        <w:ind w:left="2220" w:hanging="314"/>
        <w:spacing w:after="0"/>
        <w:tabs>
          <w:tab w:leader="none" w:pos="2220" w:val="left"/>
        </w:tabs>
        <w:numPr>
          <w:ilvl w:val="0"/>
          <w:numId w:val="364"/>
        </w:numPr>
        <w:rPr>
          <w:rFonts w:ascii="Arial" w:cs="Arial" w:eastAsia="Arial" w:hAnsi="Arial"/>
          <w:sz w:val="14"/>
          <w:szCs w:val="14"/>
          <w:color w:val="auto"/>
        </w:rPr>
      </w:pPr>
      <w:r>
        <w:rPr>
          <w:rFonts w:ascii="Arial" w:cs="Arial" w:eastAsia="Arial" w:hAnsi="Arial"/>
          <w:sz w:val="13"/>
          <w:szCs w:val="13"/>
          <w:i w:val="1"/>
          <w:iCs w:val="1"/>
          <w:color w:val="auto"/>
        </w:rPr>
        <w:t>As determined by rating agencies or by internal models intended to approximate rating agency determinations.</w:t>
      </w:r>
    </w:p>
    <w:p>
      <w:pPr>
        <w:spacing w:after="0" w:line="195" w:lineRule="exact"/>
        <w:rPr>
          <w:sz w:val="20"/>
          <w:szCs w:val="20"/>
          <w:color w:val="auto"/>
        </w:rPr>
      </w:pPr>
    </w:p>
    <w:p>
      <w:pPr>
        <w:spacing w:after="0"/>
        <w:rPr>
          <w:sz w:val="20"/>
          <w:szCs w:val="20"/>
          <w:color w:val="auto"/>
        </w:rPr>
      </w:pPr>
      <w:r>
        <w:rPr>
          <w:rFonts w:ascii="Arial" w:cs="Arial" w:eastAsia="Arial" w:hAnsi="Arial"/>
          <w:sz w:val="16"/>
          <w:szCs w:val="16"/>
          <w:color w:val="auto"/>
        </w:rPr>
        <w:t>We provide additional disclosure of credit risk and counterparty credit quality with RBS Sempra Commodities in Notes 1 and 6.</w:t>
      </w:r>
    </w:p>
    <w:p>
      <w:pPr>
        <w:spacing w:after="0" w:line="27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FAIR VALUE OF FINANCIAL INSTRUMENTS</w:t>
      </w:r>
    </w:p>
    <w:p>
      <w:pPr>
        <w:spacing w:after="0" w:line="89" w:lineRule="exact"/>
        <w:rPr>
          <w:sz w:val="20"/>
          <w:szCs w:val="20"/>
          <w:color w:val="auto"/>
        </w:rPr>
      </w:pPr>
    </w:p>
    <w:p>
      <w:pPr>
        <w:spacing w:after="0" w:line="351" w:lineRule="auto"/>
        <w:rPr>
          <w:sz w:val="20"/>
          <w:szCs w:val="20"/>
          <w:color w:val="auto"/>
        </w:rPr>
      </w:pPr>
      <w:r>
        <w:rPr>
          <w:rFonts w:ascii="Arial" w:cs="Arial" w:eastAsia="Arial" w:hAnsi="Arial"/>
          <w:sz w:val="14"/>
          <w:szCs w:val="14"/>
          <w:color w:val="auto"/>
        </w:rPr>
        <w:t>The fair values of certain of our financial instruments (cash, temporary investments, accounts and notes receivable, dividends and accounts payable, short-term debt and customer deposits) approximate their carrying amounts. The following table provides the carrying amounts and fair values of the remaining financial instruments at December 31:</w:t>
      </w:r>
    </w:p>
    <w:p>
      <w:pPr>
        <w:spacing w:after="0" w:line="74" w:lineRule="exact"/>
        <w:rPr>
          <w:sz w:val="20"/>
          <w:szCs w:val="20"/>
          <w:color w:val="auto"/>
        </w:rPr>
      </w:pPr>
    </w:p>
    <w:tbl>
      <w:tblPr>
        <w:tblLayout w:type="fixed"/>
        <w:tblInd w:w="1720" w:type="dxa"/>
        <w:tblCellMar>
          <w:top w:w="0" w:type="dxa"/>
          <w:left w:w="0" w:type="dxa"/>
          <w:bottom w:w="0" w:type="dxa"/>
          <w:right w:w="0" w:type="dxa"/>
        </w:tblCellMar>
      </w:tblPr>
      <w:tr>
        <w:trPr>
          <w:trHeight w:val="159"/>
        </w:trPr>
        <w:tc>
          <w:tcPr>
            <w:tcW w:w="140" w:type="dxa"/>
            <w:vAlign w:val="bottom"/>
          </w:tcPr>
          <w:p>
            <w:pPr>
              <w:spacing w:after="0"/>
              <w:rPr>
                <w:sz w:val="13"/>
                <w:szCs w:val="13"/>
                <w:color w:val="auto"/>
              </w:rPr>
            </w:pPr>
          </w:p>
        </w:tc>
        <w:tc>
          <w:tcPr>
            <w:tcW w:w="28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189"/>
              <w:spacing w:after="0"/>
              <w:rPr>
                <w:sz w:val="20"/>
                <w:szCs w:val="20"/>
                <w:color w:val="auto"/>
              </w:rPr>
            </w:pPr>
            <w:r>
              <w:rPr>
                <w:rFonts w:ascii="Arial" w:cs="Arial" w:eastAsia="Arial" w:hAnsi="Arial"/>
                <w:sz w:val="13"/>
                <w:szCs w:val="13"/>
                <w:color w:val="auto"/>
              </w:rPr>
              <w:t>2008</w:t>
            </w:r>
          </w:p>
        </w:tc>
        <w:tc>
          <w:tcPr>
            <w:tcW w:w="82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149"/>
              <w:spacing w:after="0"/>
              <w:rPr>
                <w:sz w:val="20"/>
                <w:szCs w:val="20"/>
                <w:color w:val="auto"/>
              </w:rPr>
            </w:pPr>
            <w:r>
              <w:rPr>
                <w:rFonts w:ascii="Arial" w:cs="Arial" w:eastAsia="Arial" w:hAnsi="Arial"/>
                <w:sz w:val="13"/>
                <w:szCs w:val="13"/>
                <w:color w:val="auto"/>
              </w:rPr>
              <w:t>2007</w:t>
            </w:r>
          </w:p>
        </w:tc>
        <w:tc>
          <w:tcPr>
            <w:tcW w:w="820" w:type="dxa"/>
            <w:vAlign w:val="bottom"/>
            <w:tcBorders>
              <w:bottom w:val="single" w:sz="8" w:color="auto"/>
            </w:tcBorders>
          </w:tcPr>
          <w:p>
            <w:pPr>
              <w:spacing w:after="0"/>
              <w:rPr>
                <w:sz w:val="13"/>
                <w:szCs w:val="13"/>
                <w:color w:val="auto"/>
              </w:rPr>
            </w:pPr>
          </w:p>
        </w:tc>
      </w:tr>
      <w:tr>
        <w:trPr>
          <w:trHeight w:val="203"/>
        </w:trPr>
        <w:tc>
          <w:tcPr>
            <w:tcW w:w="140" w:type="dxa"/>
            <w:vAlign w:val="bottom"/>
          </w:tcPr>
          <w:p>
            <w:pPr>
              <w:spacing w:after="0"/>
              <w:rPr>
                <w:sz w:val="17"/>
                <w:szCs w:val="17"/>
                <w:color w:val="auto"/>
              </w:rPr>
            </w:pPr>
          </w:p>
        </w:tc>
        <w:tc>
          <w:tcPr>
            <w:tcW w:w="2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jc w:val="right"/>
              <w:ind w:right="129"/>
              <w:spacing w:after="0"/>
              <w:rPr>
                <w:sz w:val="20"/>
                <w:szCs w:val="20"/>
                <w:color w:val="auto"/>
              </w:rPr>
            </w:pPr>
            <w:r>
              <w:rPr>
                <w:rFonts w:ascii="Arial" w:cs="Arial" w:eastAsia="Arial" w:hAnsi="Arial"/>
                <w:sz w:val="13"/>
                <w:szCs w:val="13"/>
                <w:color w:val="auto"/>
              </w:rPr>
              <w:t>Carrying</w:t>
            </w:r>
          </w:p>
        </w:tc>
        <w:tc>
          <w:tcPr>
            <w:tcW w:w="600" w:type="dxa"/>
            <w:vAlign w:val="bottom"/>
          </w:tcPr>
          <w:p>
            <w:pPr>
              <w:spacing w:after="0"/>
              <w:rPr>
                <w:sz w:val="17"/>
                <w:szCs w:val="17"/>
                <w:color w:val="auto"/>
              </w:rPr>
            </w:pPr>
          </w:p>
        </w:tc>
        <w:tc>
          <w:tcPr>
            <w:tcW w:w="820" w:type="dxa"/>
            <w:vAlign w:val="bottom"/>
          </w:tcPr>
          <w:p>
            <w:pPr>
              <w:jc w:val="right"/>
              <w:ind w:right="369"/>
              <w:spacing w:after="0"/>
              <w:rPr>
                <w:sz w:val="20"/>
                <w:szCs w:val="20"/>
                <w:color w:val="auto"/>
              </w:rPr>
            </w:pPr>
            <w:r>
              <w:rPr>
                <w:rFonts w:ascii="Arial" w:cs="Arial" w:eastAsia="Arial" w:hAnsi="Arial"/>
                <w:sz w:val="13"/>
                <w:szCs w:val="13"/>
                <w:color w:val="auto"/>
              </w:rPr>
              <w:t>Fair</w:t>
            </w:r>
          </w:p>
        </w:tc>
        <w:tc>
          <w:tcPr>
            <w:tcW w:w="340" w:type="dxa"/>
            <w:vAlign w:val="bottom"/>
          </w:tcPr>
          <w:p>
            <w:pPr>
              <w:spacing w:after="0"/>
              <w:rPr>
                <w:sz w:val="17"/>
                <w:szCs w:val="17"/>
                <w:color w:val="auto"/>
              </w:rPr>
            </w:pPr>
          </w:p>
        </w:tc>
        <w:tc>
          <w:tcPr>
            <w:tcW w:w="740" w:type="dxa"/>
            <w:vAlign w:val="bottom"/>
          </w:tcPr>
          <w:p>
            <w:pPr>
              <w:jc w:val="right"/>
              <w:ind w:right="109"/>
              <w:spacing w:after="0"/>
              <w:rPr>
                <w:sz w:val="20"/>
                <w:szCs w:val="20"/>
                <w:color w:val="auto"/>
              </w:rPr>
            </w:pPr>
            <w:r>
              <w:rPr>
                <w:rFonts w:ascii="Arial" w:cs="Arial" w:eastAsia="Arial" w:hAnsi="Arial"/>
                <w:sz w:val="13"/>
                <w:szCs w:val="13"/>
                <w:color w:val="auto"/>
              </w:rPr>
              <w:t>Carrying</w:t>
            </w:r>
          </w:p>
        </w:tc>
        <w:tc>
          <w:tcPr>
            <w:tcW w:w="600" w:type="dxa"/>
            <w:vAlign w:val="bottom"/>
          </w:tcPr>
          <w:p>
            <w:pPr>
              <w:spacing w:after="0"/>
              <w:rPr>
                <w:sz w:val="17"/>
                <w:szCs w:val="17"/>
                <w:color w:val="auto"/>
              </w:rPr>
            </w:pPr>
          </w:p>
        </w:tc>
        <w:tc>
          <w:tcPr>
            <w:tcW w:w="820" w:type="dxa"/>
            <w:vAlign w:val="bottom"/>
          </w:tcPr>
          <w:p>
            <w:pPr>
              <w:jc w:val="right"/>
              <w:ind w:right="369"/>
              <w:spacing w:after="0"/>
              <w:rPr>
                <w:sz w:val="20"/>
                <w:szCs w:val="20"/>
                <w:color w:val="auto"/>
              </w:rPr>
            </w:pPr>
            <w:r>
              <w:rPr>
                <w:rFonts w:ascii="Arial" w:cs="Arial" w:eastAsia="Arial" w:hAnsi="Arial"/>
                <w:sz w:val="13"/>
                <w:szCs w:val="13"/>
                <w:color w:val="auto"/>
              </w:rPr>
              <w:t>Fair</w:t>
            </w:r>
          </w:p>
        </w:tc>
      </w:tr>
      <w:tr>
        <w:trPr>
          <w:trHeight w:val="221"/>
        </w:trPr>
        <w:tc>
          <w:tcPr>
            <w:tcW w:w="3000" w:type="dxa"/>
            <w:vAlign w:val="bottom"/>
            <w:tcBorders>
              <w:bottom w:val="single" w:sz="8" w:color="auto"/>
            </w:tcBorders>
            <w:gridSpan w:val="2"/>
          </w:tcPr>
          <w:p>
            <w:pPr>
              <w:ind w:left="20"/>
              <w:spacing w:after="0"/>
              <w:rPr>
                <w:sz w:val="20"/>
                <w:szCs w:val="20"/>
                <w:color w:val="auto"/>
              </w:rPr>
            </w:pPr>
            <w:r>
              <w:rPr>
                <w:rFonts w:ascii="Arial" w:cs="Arial" w:eastAsia="Arial" w:hAnsi="Arial"/>
                <w:sz w:val="13"/>
                <w:szCs w:val="13"/>
                <w:i w:val="1"/>
                <w:iCs w:val="1"/>
                <w:color w:val="auto"/>
              </w:rPr>
              <w:t>(Dollars in millions)</w:t>
            </w: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149"/>
              <w:spacing w:after="0"/>
              <w:rPr>
                <w:sz w:val="20"/>
                <w:szCs w:val="20"/>
                <w:color w:val="auto"/>
              </w:rPr>
            </w:pPr>
            <w:r>
              <w:rPr>
                <w:rFonts w:ascii="Arial" w:cs="Arial" w:eastAsia="Arial" w:hAnsi="Arial"/>
                <w:sz w:val="13"/>
                <w:szCs w:val="13"/>
                <w:color w:val="auto"/>
              </w:rPr>
              <w:t>Amount</w:t>
            </w:r>
          </w:p>
        </w:tc>
        <w:tc>
          <w:tcPr>
            <w:tcW w:w="6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29"/>
              <w:spacing w:after="0"/>
              <w:rPr>
                <w:sz w:val="20"/>
                <w:szCs w:val="20"/>
                <w:color w:val="auto"/>
              </w:rPr>
            </w:pPr>
            <w:r>
              <w:rPr>
                <w:rFonts w:ascii="Arial" w:cs="Arial" w:eastAsia="Arial" w:hAnsi="Arial"/>
                <w:sz w:val="13"/>
                <w:szCs w:val="13"/>
                <w:color w:val="auto"/>
              </w:rPr>
              <w:t>Value</w:t>
            </w:r>
          </w:p>
        </w:tc>
        <w:tc>
          <w:tcPr>
            <w:tcW w:w="3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29"/>
              <w:spacing w:after="0"/>
              <w:rPr>
                <w:sz w:val="20"/>
                <w:szCs w:val="20"/>
                <w:color w:val="auto"/>
              </w:rPr>
            </w:pPr>
            <w:r>
              <w:rPr>
                <w:rFonts w:ascii="Arial" w:cs="Arial" w:eastAsia="Arial" w:hAnsi="Arial"/>
                <w:sz w:val="13"/>
                <w:szCs w:val="13"/>
                <w:color w:val="auto"/>
              </w:rPr>
              <w:t>Amount</w:t>
            </w:r>
          </w:p>
        </w:tc>
        <w:tc>
          <w:tcPr>
            <w:tcW w:w="6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09"/>
              <w:spacing w:after="0"/>
              <w:rPr>
                <w:sz w:val="20"/>
                <w:szCs w:val="20"/>
                <w:color w:val="auto"/>
              </w:rPr>
            </w:pPr>
            <w:r>
              <w:rPr>
                <w:rFonts w:ascii="Arial" w:cs="Arial" w:eastAsia="Arial" w:hAnsi="Arial"/>
                <w:sz w:val="13"/>
                <w:szCs w:val="13"/>
                <w:color w:val="auto"/>
              </w:rPr>
              <w:t>Value</w:t>
            </w:r>
          </w:p>
        </w:tc>
      </w:tr>
      <w:tr>
        <w:trPr>
          <w:trHeight w:val="207"/>
        </w:trPr>
        <w:tc>
          <w:tcPr>
            <w:tcW w:w="3000" w:type="dxa"/>
            <w:vAlign w:val="bottom"/>
            <w:gridSpan w:val="2"/>
          </w:tcPr>
          <w:p>
            <w:pPr>
              <w:ind w:left="20"/>
              <w:spacing w:after="0"/>
              <w:rPr>
                <w:sz w:val="20"/>
                <w:szCs w:val="20"/>
                <w:color w:val="auto"/>
              </w:rPr>
            </w:pPr>
            <w:r>
              <w:rPr>
                <w:rFonts w:ascii="Arial" w:cs="Arial" w:eastAsia="Arial" w:hAnsi="Arial"/>
                <w:sz w:val="14"/>
                <w:szCs w:val="14"/>
                <w:b w:val="1"/>
                <w:bCs w:val="1"/>
                <w:color w:val="auto"/>
              </w:rPr>
              <w:t>Sempra Energy Consolidated</w:t>
            </w: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192"/>
        </w:trPr>
        <w:tc>
          <w:tcPr>
            <w:tcW w:w="3000" w:type="dxa"/>
            <w:vAlign w:val="bottom"/>
            <w:gridSpan w:val="2"/>
          </w:tcPr>
          <w:p>
            <w:pPr>
              <w:ind w:left="20"/>
              <w:spacing w:after="0"/>
              <w:rPr>
                <w:sz w:val="20"/>
                <w:szCs w:val="20"/>
                <w:color w:val="auto"/>
              </w:rPr>
            </w:pPr>
            <w:r>
              <w:rPr>
                <w:rFonts w:ascii="Arial" w:cs="Arial" w:eastAsia="Arial" w:hAnsi="Arial"/>
                <w:sz w:val="14"/>
                <w:szCs w:val="14"/>
                <w:color w:val="auto"/>
              </w:rPr>
              <w:t>Investments in affordable housing</w:t>
            </w: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246"/>
        </w:trPr>
        <w:tc>
          <w:tcPr>
            <w:tcW w:w="140" w:type="dxa"/>
            <w:vAlign w:val="bottom"/>
          </w:tcPr>
          <w:p>
            <w:pPr>
              <w:spacing w:after="0"/>
              <w:rPr>
                <w:sz w:val="21"/>
                <w:szCs w:val="21"/>
                <w:color w:val="auto"/>
              </w:rPr>
            </w:pPr>
          </w:p>
        </w:tc>
        <w:tc>
          <w:tcPr>
            <w:tcW w:w="2860" w:type="dxa"/>
            <w:vAlign w:val="bottom"/>
          </w:tcPr>
          <w:p>
            <w:pPr>
              <w:jc w:val="center"/>
              <w:ind w:right="1730"/>
              <w:spacing w:after="0" w:line="245" w:lineRule="exact"/>
              <w:rPr>
                <w:sz w:val="20"/>
                <w:szCs w:val="20"/>
                <w:color w:val="auto"/>
              </w:rPr>
            </w:pPr>
            <w:r>
              <w:rPr>
                <w:rFonts w:ascii="Arial" w:cs="Arial" w:eastAsia="Arial" w:hAnsi="Arial"/>
                <w:sz w:val="14"/>
                <w:szCs w:val="14"/>
                <w:color w:val="auto"/>
              </w:rPr>
              <w:t>partnerships</w:t>
            </w:r>
            <w:r>
              <w:rPr>
                <w:rFonts w:ascii="Arial" w:cs="Arial" w:eastAsia="Arial" w:hAnsi="Arial"/>
                <w:sz w:val="24"/>
                <w:szCs w:val="24"/>
                <w:color w:val="auto"/>
                <w:vertAlign w:val="superscript"/>
              </w:rPr>
              <w:t>1</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43</w:t>
            </w:r>
          </w:p>
        </w:tc>
        <w:tc>
          <w:tcPr>
            <w:tcW w:w="60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129"/>
              <w:spacing w:after="0"/>
              <w:rPr>
                <w:sz w:val="20"/>
                <w:szCs w:val="20"/>
                <w:color w:val="auto"/>
              </w:rPr>
            </w:pPr>
            <w:r>
              <w:rPr>
                <w:rFonts w:ascii="Arial" w:cs="Arial" w:eastAsia="Arial" w:hAnsi="Arial"/>
                <w:sz w:val="14"/>
                <w:szCs w:val="14"/>
                <w:color w:val="auto"/>
              </w:rPr>
              <w:t>63</w:t>
            </w:r>
          </w:p>
        </w:tc>
        <w:tc>
          <w:tcPr>
            <w:tcW w:w="34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9"/>
              <w:spacing w:after="0"/>
              <w:rPr>
                <w:sz w:val="20"/>
                <w:szCs w:val="20"/>
                <w:color w:val="auto"/>
              </w:rPr>
            </w:pPr>
            <w:r>
              <w:rPr>
                <w:rFonts w:ascii="Arial" w:cs="Arial" w:eastAsia="Arial" w:hAnsi="Arial"/>
                <w:sz w:val="14"/>
                <w:szCs w:val="14"/>
                <w:color w:val="auto"/>
              </w:rPr>
              <w:t>61</w:t>
            </w:r>
          </w:p>
        </w:tc>
        <w:tc>
          <w:tcPr>
            <w:tcW w:w="60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89"/>
              <w:spacing w:after="0"/>
              <w:rPr>
                <w:sz w:val="20"/>
                <w:szCs w:val="20"/>
                <w:color w:val="auto"/>
              </w:rPr>
            </w:pPr>
            <w:r>
              <w:rPr>
                <w:rFonts w:ascii="Arial" w:cs="Arial" w:eastAsia="Arial" w:hAnsi="Arial"/>
                <w:sz w:val="14"/>
                <w:szCs w:val="14"/>
                <w:color w:val="auto"/>
              </w:rPr>
              <w:t>84</w:t>
            </w:r>
          </w:p>
        </w:tc>
      </w:tr>
      <w:tr>
        <w:trPr>
          <w:trHeight w:val="255"/>
        </w:trPr>
        <w:tc>
          <w:tcPr>
            <w:tcW w:w="3000" w:type="dxa"/>
            <w:vAlign w:val="bottom"/>
            <w:gridSpan w:val="2"/>
          </w:tcPr>
          <w:p>
            <w:pPr>
              <w:ind w:left="20"/>
              <w:spacing w:after="0" w:line="255" w:lineRule="exact"/>
              <w:rPr>
                <w:sz w:val="20"/>
                <w:szCs w:val="20"/>
                <w:color w:val="auto"/>
              </w:rPr>
            </w:pPr>
            <w:r>
              <w:rPr>
                <w:rFonts w:ascii="Arial" w:cs="Arial" w:eastAsia="Arial" w:hAnsi="Arial"/>
                <w:sz w:val="14"/>
                <w:szCs w:val="14"/>
                <w:color w:val="auto"/>
              </w:rPr>
              <w:t>Total long-term debt</w:t>
            </w:r>
            <w:r>
              <w:rPr>
                <w:rFonts w:ascii="Arial" w:cs="Arial" w:eastAsia="Arial" w:hAnsi="Arial"/>
                <w:sz w:val="24"/>
                <w:szCs w:val="24"/>
                <w:color w:val="auto"/>
                <w:vertAlign w:val="superscript"/>
              </w:rPr>
              <w:t>2</w:t>
            </w:r>
          </w:p>
        </w:tc>
        <w:tc>
          <w:tcPr>
            <w:tcW w:w="24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6,962</w:t>
            </w:r>
          </w:p>
        </w:tc>
        <w:tc>
          <w:tcPr>
            <w:tcW w:w="600" w:type="dxa"/>
            <w:vAlign w:val="bottom"/>
          </w:tcPr>
          <w:p>
            <w:pPr>
              <w:spacing w:after="0"/>
              <w:rPr>
                <w:sz w:val="22"/>
                <w:szCs w:val="22"/>
                <w:color w:val="auto"/>
              </w:rPr>
            </w:pPr>
          </w:p>
        </w:tc>
        <w:tc>
          <w:tcPr>
            <w:tcW w:w="820" w:type="dxa"/>
            <w:vAlign w:val="bottom"/>
          </w:tcPr>
          <w:p>
            <w:pPr>
              <w:jc w:val="right"/>
              <w:ind w:right="129"/>
              <w:spacing w:after="0"/>
              <w:rPr>
                <w:sz w:val="20"/>
                <w:szCs w:val="20"/>
                <w:color w:val="auto"/>
              </w:rPr>
            </w:pPr>
            <w:r>
              <w:rPr>
                <w:rFonts w:ascii="Arial" w:cs="Arial" w:eastAsia="Arial" w:hAnsi="Arial"/>
                <w:sz w:val="14"/>
                <w:szCs w:val="14"/>
                <w:color w:val="auto"/>
              </w:rPr>
              <w:t>7,013</w:t>
            </w:r>
          </w:p>
        </w:tc>
        <w:tc>
          <w:tcPr>
            <w:tcW w:w="340" w:type="dxa"/>
            <w:vAlign w:val="bottom"/>
          </w:tcPr>
          <w:p>
            <w:pPr>
              <w:spacing w:after="0"/>
              <w:rPr>
                <w:sz w:val="22"/>
                <w:szCs w:val="22"/>
                <w:color w:val="auto"/>
              </w:rPr>
            </w:pPr>
          </w:p>
        </w:tc>
        <w:tc>
          <w:tcPr>
            <w:tcW w:w="740" w:type="dxa"/>
            <w:vAlign w:val="bottom"/>
          </w:tcPr>
          <w:p>
            <w:pPr>
              <w:jc w:val="right"/>
              <w:ind w:right="9"/>
              <w:spacing w:after="0"/>
              <w:rPr>
                <w:sz w:val="20"/>
                <w:szCs w:val="20"/>
                <w:color w:val="auto"/>
              </w:rPr>
            </w:pPr>
            <w:r>
              <w:rPr>
                <w:rFonts w:ascii="Arial" w:cs="Arial" w:eastAsia="Arial" w:hAnsi="Arial"/>
                <w:sz w:val="14"/>
                <w:szCs w:val="14"/>
                <w:color w:val="auto"/>
              </w:rPr>
              <w:t>4,566</w:t>
            </w:r>
          </w:p>
        </w:tc>
        <w:tc>
          <w:tcPr>
            <w:tcW w:w="600" w:type="dxa"/>
            <w:vAlign w:val="bottom"/>
          </w:tcPr>
          <w:p>
            <w:pPr>
              <w:spacing w:after="0"/>
              <w:rPr>
                <w:sz w:val="22"/>
                <w:szCs w:val="22"/>
                <w:color w:val="auto"/>
              </w:rPr>
            </w:pPr>
          </w:p>
        </w:tc>
        <w:tc>
          <w:tcPr>
            <w:tcW w:w="820" w:type="dxa"/>
            <w:vAlign w:val="bottom"/>
          </w:tcPr>
          <w:p>
            <w:pPr>
              <w:jc w:val="right"/>
              <w:ind w:right="89"/>
              <w:spacing w:after="0"/>
              <w:rPr>
                <w:sz w:val="20"/>
                <w:szCs w:val="20"/>
                <w:color w:val="auto"/>
              </w:rPr>
            </w:pPr>
            <w:r>
              <w:rPr>
                <w:rFonts w:ascii="Arial" w:cs="Arial" w:eastAsia="Arial" w:hAnsi="Arial"/>
                <w:sz w:val="14"/>
                <w:szCs w:val="14"/>
                <w:color w:val="auto"/>
              </w:rPr>
              <w:t>4,620</w:t>
            </w:r>
          </w:p>
        </w:tc>
      </w:tr>
      <w:tr>
        <w:trPr>
          <w:trHeight w:val="172"/>
        </w:trPr>
        <w:tc>
          <w:tcPr>
            <w:tcW w:w="3000" w:type="dxa"/>
            <w:vAlign w:val="bottom"/>
            <w:gridSpan w:val="2"/>
          </w:tcPr>
          <w:p>
            <w:pPr>
              <w:ind w:left="20"/>
              <w:spacing w:after="0"/>
              <w:rPr>
                <w:sz w:val="20"/>
                <w:szCs w:val="20"/>
                <w:color w:val="auto"/>
              </w:rPr>
            </w:pPr>
            <w:r>
              <w:rPr>
                <w:rFonts w:ascii="Arial" w:cs="Arial" w:eastAsia="Arial" w:hAnsi="Arial"/>
                <w:sz w:val="14"/>
                <w:szCs w:val="14"/>
                <w:color w:val="auto"/>
              </w:rPr>
              <w:t>Due to unconsolidated affiliates</w:t>
            </w:r>
          </w:p>
        </w:tc>
        <w:tc>
          <w:tcPr>
            <w:tcW w:w="2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102</w:t>
            </w:r>
          </w:p>
        </w:tc>
        <w:tc>
          <w:tcPr>
            <w:tcW w:w="600" w:type="dxa"/>
            <w:vAlign w:val="bottom"/>
          </w:tcPr>
          <w:p>
            <w:pPr>
              <w:spacing w:after="0"/>
              <w:rPr>
                <w:sz w:val="14"/>
                <w:szCs w:val="14"/>
                <w:color w:val="auto"/>
              </w:rPr>
            </w:pPr>
          </w:p>
        </w:tc>
        <w:tc>
          <w:tcPr>
            <w:tcW w:w="820" w:type="dxa"/>
            <w:vAlign w:val="bottom"/>
          </w:tcPr>
          <w:p>
            <w:pPr>
              <w:jc w:val="right"/>
              <w:ind w:right="129"/>
              <w:spacing w:after="0"/>
              <w:rPr>
                <w:sz w:val="20"/>
                <w:szCs w:val="20"/>
                <w:color w:val="auto"/>
              </w:rPr>
            </w:pPr>
            <w:r>
              <w:rPr>
                <w:rFonts w:ascii="Arial" w:cs="Arial" w:eastAsia="Arial" w:hAnsi="Arial"/>
                <w:sz w:val="14"/>
                <w:szCs w:val="14"/>
                <w:color w:val="auto"/>
              </w:rPr>
              <w:t>101</w:t>
            </w:r>
          </w:p>
        </w:tc>
        <w:tc>
          <w:tcPr>
            <w:tcW w:w="340" w:type="dxa"/>
            <w:vAlign w:val="bottom"/>
          </w:tcPr>
          <w:p>
            <w:pPr>
              <w:spacing w:after="0"/>
              <w:rPr>
                <w:sz w:val="14"/>
                <w:szCs w:val="14"/>
                <w:color w:val="auto"/>
              </w:rPr>
            </w:pPr>
          </w:p>
        </w:tc>
        <w:tc>
          <w:tcPr>
            <w:tcW w:w="740" w:type="dxa"/>
            <w:vAlign w:val="bottom"/>
          </w:tcPr>
          <w:p>
            <w:pPr>
              <w:jc w:val="right"/>
              <w:ind w:right="9"/>
              <w:spacing w:after="0"/>
              <w:rPr>
                <w:sz w:val="20"/>
                <w:szCs w:val="20"/>
                <w:color w:val="auto"/>
              </w:rPr>
            </w:pPr>
            <w:r>
              <w:rPr>
                <w:rFonts w:ascii="Arial" w:cs="Arial" w:eastAsia="Arial" w:hAnsi="Arial"/>
                <w:sz w:val="14"/>
                <w:szCs w:val="14"/>
                <w:color w:val="auto"/>
              </w:rPr>
              <w:t>162</w:t>
            </w:r>
          </w:p>
        </w:tc>
        <w:tc>
          <w:tcPr>
            <w:tcW w:w="600" w:type="dxa"/>
            <w:vAlign w:val="bottom"/>
          </w:tcPr>
          <w:p>
            <w:pPr>
              <w:spacing w:after="0"/>
              <w:rPr>
                <w:sz w:val="14"/>
                <w:szCs w:val="14"/>
                <w:color w:val="auto"/>
              </w:rPr>
            </w:pPr>
          </w:p>
        </w:tc>
        <w:tc>
          <w:tcPr>
            <w:tcW w:w="820" w:type="dxa"/>
            <w:vAlign w:val="bottom"/>
          </w:tcPr>
          <w:p>
            <w:pPr>
              <w:jc w:val="right"/>
              <w:ind w:right="89"/>
              <w:spacing w:after="0"/>
              <w:rPr>
                <w:sz w:val="20"/>
                <w:szCs w:val="20"/>
                <w:color w:val="auto"/>
              </w:rPr>
            </w:pPr>
            <w:r>
              <w:rPr>
                <w:rFonts w:ascii="Arial" w:cs="Arial" w:eastAsia="Arial" w:hAnsi="Arial"/>
                <w:sz w:val="14"/>
                <w:szCs w:val="14"/>
                <w:color w:val="auto"/>
              </w:rPr>
              <w:t>170</w:t>
            </w:r>
          </w:p>
        </w:tc>
      </w:tr>
      <w:tr>
        <w:trPr>
          <w:trHeight w:val="262"/>
        </w:trPr>
        <w:tc>
          <w:tcPr>
            <w:tcW w:w="3000" w:type="dxa"/>
            <w:vAlign w:val="bottom"/>
            <w:tcBorders>
              <w:bottom w:val="single" w:sz="8" w:color="auto"/>
            </w:tcBorders>
            <w:gridSpan w:val="2"/>
          </w:tcPr>
          <w:p>
            <w:pPr>
              <w:ind w:left="20"/>
              <w:spacing w:after="0" w:line="247" w:lineRule="exact"/>
              <w:rPr>
                <w:sz w:val="20"/>
                <w:szCs w:val="20"/>
                <w:color w:val="auto"/>
              </w:rPr>
            </w:pPr>
            <w:r>
              <w:rPr>
                <w:rFonts w:ascii="Arial" w:cs="Arial" w:eastAsia="Arial" w:hAnsi="Arial"/>
                <w:sz w:val="14"/>
                <w:szCs w:val="14"/>
                <w:color w:val="auto"/>
              </w:rPr>
              <w:t>Preferred stock of subsidiaries</w:t>
            </w:r>
            <w:r>
              <w:rPr>
                <w:rFonts w:ascii="Arial" w:cs="Arial" w:eastAsia="Arial" w:hAnsi="Arial"/>
                <w:sz w:val="24"/>
                <w:szCs w:val="24"/>
                <w:color w:val="auto"/>
                <w:vertAlign w:val="superscript"/>
              </w:rPr>
              <w:t>3</w:t>
            </w:r>
          </w:p>
        </w:tc>
        <w:tc>
          <w:tcPr>
            <w:tcW w:w="2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179</w:t>
            </w:r>
          </w:p>
        </w:tc>
        <w:tc>
          <w:tcPr>
            <w:tcW w:w="6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129"/>
              <w:spacing w:after="0"/>
              <w:rPr>
                <w:sz w:val="20"/>
                <w:szCs w:val="20"/>
                <w:color w:val="auto"/>
              </w:rPr>
            </w:pPr>
            <w:r>
              <w:rPr>
                <w:rFonts w:ascii="Arial" w:cs="Arial" w:eastAsia="Arial" w:hAnsi="Arial"/>
                <w:sz w:val="14"/>
                <w:szCs w:val="14"/>
                <w:color w:val="auto"/>
              </w:rPr>
              <w:t>149</w:t>
            </w:r>
          </w:p>
        </w:tc>
        <w:tc>
          <w:tcPr>
            <w:tcW w:w="34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193</w:t>
            </w:r>
          </w:p>
        </w:tc>
        <w:tc>
          <w:tcPr>
            <w:tcW w:w="6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rPr>
              <w:t>173</w:t>
            </w:r>
          </w:p>
        </w:tc>
      </w:tr>
      <w:tr>
        <w:trPr>
          <w:trHeight w:val="210"/>
        </w:trPr>
        <w:tc>
          <w:tcPr>
            <w:tcW w:w="3000" w:type="dxa"/>
            <w:vAlign w:val="bottom"/>
            <w:gridSpan w:val="2"/>
          </w:tcPr>
          <w:p>
            <w:pPr>
              <w:ind w:left="20"/>
              <w:spacing w:after="0"/>
              <w:rPr>
                <w:sz w:val="20"/>
                <w:szCs w:val="20"/>
                <w:color w:val="auto"/>
              </w:rPr>
            </w:pPr>
            <w:r>
              <w:rPr>
                <w:rFonts w:ascii="Arial" w:cs="Arial" w:eastAsia="Arial" w:hAnsi="Arial"/>
                <w:sz w:val="14"/>
                <w:szCs w:val="14"/>
                <w:b w:val="1"/>
                <w:bCs w:val="1"/>
                <w:color w:val="auto"/>
              </w:rPr>
              <w:t>SDG&amp;E</w:t>
            </w: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84"/>
        </w:trPr>
        <w:tc>
          <w:tcPr>
            <w:tcW w:w="3000" w:type="dxa"/>
            <w:vAlign w:val="bottom"/>
            <w:gridSpan w:val="2"/>
          </w:tcPr>
          <w:p>
            <w:pPr>
              <w:ind w:left="20"/>
              <w:spacing w:after="0"/>
              <w:rPr>
                <w:sz w:val="20"/>
                <w:szCs w:val="20"/>
                <w:color w:val="auto"/>
              </w:rPr>
            </w:pPr>
            <w:r>
              <w:rPr>
                <w:rFonts w:ascii="Arial" w:cs="Arial" w:eastAsia="Arial" w:hAnsi="Arial"/>
                <w:sz w:val="14"/>
                <w:szCs w:val="14"/>
                <w:color w:val="auto"/>
              </w:rPr>
              <w:t>Total long-term debt</w:t>
            </w:r>
            <w:r>
              <w:rPr>
                <w:rFonts w:ascii="Arial" w:cs="Arial" w:eastAsia="Arial" w:hAnsi="Arial"/>
                <w:sz w:val="24"/>
                <w:szCs w:val="24"/>
                <w:color w:val="auto"/>
                <w:vertAlign w:val="superscript"/>
              </w:rPr>
              <w:t>4</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2,146</w:t>
            </w:r>
          </w:p>
        </w:tc>
        <w:tc>
          <w:tcPr>
            <w:tcW w:w="60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129"/>
              <w:spacing w:after="0"/>
              <w:rPr>
                <w:sz w:val="20"/>
                <w:szCs w:val="20"/>
                <w:color w:val="auto"/>
              </w:rPr>
            </w:pPr>
            <w:r>
              <w:rPr>
                <w:rFonts w:ascii="Arial" w:cs="Arial" w:eastAsia="Arial" w:hAnsi="Arial"/>
                <w:sz w:val="14"/>
                <w:szCs w:val="14"/>
                <w:color w:val="auto"/>
              </w:rPr>
              <w:t>2,073</w:t>
            </w:r>
          </w:p>
        </w:tc>
        <w:tc>
          <w:tcPr>
            <w:tcW w:w="34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9"/>
              <w:spacing w:after="0"/>
              <w:rPr>
                <w:sz w:val="20"/>
                <w:szCs w:val="20"/>
                <w:color w:val="auto"/>
              </w:rPr>
            </w:pPr>
            <w:r>
              <w:rPr>
                <w:rFonts w:ascii="Arial" w:cs="Arial" w:eastAsia="Arial" w:hAnsi="Arial"/>
                <w:sz w:val="14"/>
                <w:szCs w:val="14"/>
                <w:color w:val="auto"/>
              </w:rPr>
              <w:t>1,960</w:t>
            </w:r>
          </w:p>
        </w:tc>
        <w:tc>
          <w:tcPr>
            <w:tcW w:w="60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89"/>
              <w:spacing w:after="0"/>
              <w:rPr>
                <w:sz w:val="20"/>
                <w:szCs w:val="20"/>
                <w:color w:val="auto"/>
              </w:rPr>
            </w:pPr>
            <w:r>
              <w:rPr>
                <w:rFonts w:ascii="Arial" w:cs="Arial" w:eastAsia="Arial" w:hAnsi="Arial"/>
                <w:sz w:val="14"/>
                <w:szCs w:val="14"/>
                <w:color w:val="auto"/>
              </w:rPr>
              <w:t>1,975</w:t>
            </w:r>
          </w:p>
        </w:tc>
      </w:tr>
      <w:tr>
        <w:trPr>
          <w:trHeight w:val="195"/>
        </w:trPr>
        <w:tc>
          <w:tcPr>
            <w:tcW w:w="30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color w:val="auto"/>
              </w:rPr>
              <w:t>Preferred stock</w:t>
            </w:r>
          </w:p>
        </w:tc>
        <w:tc>
          <w:tcPr>
            <w:tcW w:w="2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79</w:t>
            </w:r>
          </w:p>
        </w:tc>
        <w:tc>
          <w:tcPr>
            <w:tcW w:w="6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129"/>
              <w:spacing w:after="0"/>
              <w:rPr>
                <w:sz w:val="20"/>
                <w:szCs w:val="20"/>
                <w:color w:val="auto"/>
              </w:rPr>
            </w:pPr>
            <w:r>
              <w:rPr>
                <w:rFonts w:ascii="Arial" w:cs="Arial" w:eastAsia="Arial" w:hAnsi="Arial"/>
                <w:sz w:val="14"/>
                <w:szCs w:val="14"/>
                <w:color w:val="auto"/>
              </w:rPr>
              <w:t>71</w:t>
            </w:r>
          </w:p>
        </w:tc>
        <w:tc>
          <w:tcPr>
            <w:tcW w:w="3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93</w:t>
            </w:r>
          </w:p>
        </w:tc>
        <w:tc>
          <w:tcPr>
            <w:tcW w:w="6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rPr>
              <w:t>90</w:t>
            </w:r>
          </w:p>
        </w:tc>
      </w:tr>
      <w:tr>
        <w:trPr>
          <w:trHeight w:val="210"/>
        </w:trPr>
        <w:tc>
          <w:tcPr>
            <w:tcW w:w="3000" w:type="dxa"/>
            <w:vAlign w:val="bottom"/>
            <w:gridSpan w:val="2"/>
          </w:tcPr>
          <w:p>
            <w:pPr>
              <w:ind w:left="20"/>
              <w:spacing w:after="0"/>
              <w:rPr>
                <w:sz w:val="20"/>
                <w:szCs w:val="20"/>
                <w:color w:val="auto"/>
              </w:rPr>
            </w:pPr>
            <w:r>
              <w:rPr>
                <w:rFonts w:ascii="Arial" w:cs="Arial" w:eastAsia="Arial" w:hAnsi="Arial"/>
                <w:sz w:val="14"/>
                <w:szCs w:val="14"/>
                <w:b w:val="1"/>
                <w:bCs w:val="1"/>
                <w:color w:val="auto"/>
              </w:rPr>
              <w:t>PE/SoCalGas</w:t>
            </w: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38"/>
        </w:trPr>
        <w:tc>
          <w:tcPr>
            <w:tcW w:w="3000" w:type="dxa"/>
            <w:vAlign w:val="bottom"/>
            <w:gridSpan w:val="2"/>
          </w:tcPr>
          <w:p>
            <w:pPr>
              <w:ind w:left="20"/>
              <w:spacing w:after="0" w:line="222" w:lineRule="exact"/>
              <w:rPr>
                <w:sz w:val="20"/>
                <w:szCs w:val="20"/>
                <w:color w:val="auto"/>
              </w:rPr>
            </w:pPr>
            <w:r>
              <w:rPr>
                <w:rFonts w:ascii="Arial" w:cs="Arial" w:eastAsia="Arial" w:hAnsi="Arial"/>
                <w:sz w:val="14"/>
                <w:szCs w:val="14"/>
                <w:color w:val="auto"/>
              </w:rPr>
              <w:t>Total long-term debt</w:t>
            </w:r>
            <w:r>
              <w:rPr>
                <w:rFonts w:ascii="Arial" w:cs="Arial" w:eastAsia="Arial" w:hAnsi="Arial"/>
                <w:sz w:val="24"/>
                <w:szCs w:val="24"/>
                <w:color w:val="auto"/>
                <w:vertAlign w:val="superscript"/>
              </w:rPr>
              <w:t>4</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1,372</w:t>
            </w:r>
          </w:p>
        </w:tc>
        <w:tc>
          <w:tcPr>
            <w:tcW w:w="60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129"/>
              <w:spacing w:after="0"/>
              <w:rPr>
                <w:sz w:val="20"/>
                <w:szCs w:val="20"/>
                <w:color w:val="auto"/>
              </w:rPr>
            </w:pPr>
            <w:r>
              <w:rPr>
                <w:rFonts w:ascii="Arial" w:cs="Arial" w:eastAsia="Arial" w:hAnsi="Arial"/>
                <w:sz w:val="14"/>
                <w:szCs w:val="14"/>
                <w:color w:val="auto"/>
              </w:rPr>
              <w:t>1,333</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1,115</w:t>
            </w:r>
          </w:p>
        </w:tc>
        <w:tc>
          <w:tcPr>
            <w:tcW w:w="60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rPr>
              <w:t>1,100</w:t>
            </w:r>
          </w:p>
        </w:tc>
      </w:tr>
      <w:tr>
        <w:trPr>
          <w:trHeight w:val="210"/>
        </w:trPr>
        <w:tc>
          <w:tcPr>
            <w:tcW w:w="3000" w:type="dxa"/>
            <w:vAlign w:val="bottom"/>
            <w:gridSpan w:val="2"/>
          </w:tcPr>
          <w:p>
            <w:pPr>
              <w:ind w:left="20"/>
              <w:spacing w:after="0"/>
              <w:rPr>
                <w:sz w:val="20"/>
                <w:szCs w:val="20"/>
                <w:color w:val="auto"/>
              </w:rPr>
            </w:pPr>
            <w:r>
              <w:rPr>
                <w:rFonts w:ascii="Arial" w:cs="Arial" w:eastAsia="Arial" w:hAnsi="Arial"/>
                <w:sz w:val="14"/>
                <w:szCs w:val="14"/>
                <w:color w:val="auto"/>
              </w:rPr>
              <w:t>PE:</w:t>
            </w: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16"/>
        </w:trPr>
        <w:tc>
          <w:tcPr>
            <w:tcW w:w="140" w:type="dxa"/>
            <w:vAlign w:val="bottom"/>
          </w:tcPr>
          <w:p>
            <w:pPr>
              <w:spacing w:after="0"/>
              <w:rPr>
                <w:sz w:val="18"/>
                <w:szCs w:val="18"/>
                <w:color w:val="auto"/>
              </w:rPr>
            </w:pPr>
          </w:p>
        </w:tc>
        <w:tc>
          <w:tcPr>
            <w:tcW w:w="2860" w:type="dxa"/>
            <w:vAlign w:val="bottom"/>
          </w:tcPr>
          <w:p>
            <w:pPr>
              <w:ind w:left="80"/>
              <w:spacing w:after="0"/>
              <w:rPr>
                <w:sz w:val="20"/>
                <w:szCs w:val="20"/>
                <w:color w:val="auto"/>
              </w:rPr>
            </w:pPr>
            <w:r>
              <w:rPr>
                <w:rFonts w:ascii="Arial" w:cs="Arial" w:eastAsia="Arial" w:hAnsi="Arial"/>
                <w:sz w:val="14"/>
                <w:szCs w:val="14"/>
                <w:color w:val="auto"/>
              </w:rPr>
              <w:t>Preferred stock</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80</w:t>
            </w:r>
          </w:p>
        </w:tc>
        <w:tc>
          <w:tcPr>
            <w:tcW w:w="60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129"/>
              <w:spacing w:after="0"/>
              <w:rPr>
                <w:sz w:val="20"/>
                <w:szCs w:val="20"/>
                <w:color w:val="auto"/>
              </w:rPr>
            </w:pPr>
            <w:r>
              <w:rPr>
                <w:rFonts w:ascii="Arial" w:cs="Arial" w:eastAsia="Arial" w:hAnsi="Arial"/>
                <w:sz w:val="14"/>
                <w:szCs w:val="14"/>
                <w:color w:val="auto"/>
              </w:rPr>
              <w:t>59</w:t>
            </w:r>
          </w:p>
        </w:tc>
        <w:tc>
          <w:tcPr>
            <w:tcW w:w="34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9"/>
              <w:spacing w:after="0"/>
              <w:rPr>
                <w:sz w:val="20"/>
                <w:szCs w:val="20"/>
                <w:color w:val="auto"/>
              </w:rPr>
            </w:pPr>
            <w:r>
              <w:rPr>
                <w:rFonts w:ascii="Arial" w:cs="Arial" w:eastAsia="Arial" w:hAnsi="Arial"/>
                <w:sz w:val="14"/>
                <w:szCs w:val="14"/>
                <w:color w:val="auto"/>
              </w:rPr>
              <w:t>80</w:t>
            </w:r>
          </w:p>
        </w:tc>
        <w:tc>
          <w:tcPr>
            <w:tcW w:w="60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89"/>
              <w:spacing w:after="0"/>
              <w:rPr>
                <w:sz w:val="20"/>
                <w:szCs w:val="20"/>
                <w:color w:val="auto"/>
              </w:rPr>
            </w:pPr>
            <w:r>
              <w:rPr>
                <w:rFonts w:ascii="Arial" w:cs="Arial" w:eastAsia="Arial" w:hAnsi="Arial"/>
                <w:sz w:val="14"/>
                <w:szCs w:val="14"/>
                <w:color w:val="auto"/>
              </w:rPr>
              <w:t>66</w:t>
            </w:r>
          </w:p>
        </w:tc>
      </w:tr>
      <w:tr>
        <w:trPr>
          <w:trHeight w:val="222"/>
        </w:trPr>
        <w:tc>
          <w:tcPr>
            <w:tcW w:w="140" w:type="dxa"/>
            <w:vAlign w:val="bottom"/>
          </w:tcPr>
          <w:p>
            <w:pPr>
              <w:spacing w:after="0"/>
              <w:rPr>
                <w:sz w:val="19"/>
                <w:szCs w:val="19"/>
                <w:color w:val="auto"/>
              </w:rPr>
            </w:pPr>
          </w:p>
        </w:tc>
        <w:tc>
          <w:tcPr>
            <w:tcW w:w="2860" w:type="dxa"/>
            <w:vAlign w:val="bottom"/>
          </w:tcPr>
          <w:p>
            <w:pPr>
              <w:ind w:left="80"/>
              <w:spacing w:after="0"/>
              <w:rPr>
                <w:sz w:val="20"/>
                <w:szCs w:val="20"/>
                <w:color w:val="auto"/>
              </w:rPr>
            </w:pPr>
            <w:r>
              <w:rPr>
                <w:rFonts w:ascii="Arial" w:cs="Arial" w:eastAsia="Arial" w:hAnsi="Arial"/>
                <w:sz w:val="14"/>
                <w:szCs w:val="14"/>
                <w:color w:val="auto"/>
              </w:rPr>
              <w:t>Preferred stock of subsidiary</w:t>
            </w: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w:t>
            </w:r>
          </w:p>
        </w:tc>
        <w:tc>
          <w:tcPr>
            <w:tcW w:w="6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129"/>
              <w:spacing w:after="0"/>
              <w:rPr>
                <w:sz w:val="20"/>
                <w:szCs w:val="20"/>
                <w:color w:val="auto"/>
              </w:rPr>
            </w:pPr>
            <w:r>
              <w:rPr>
                <w:rFonts w:ascii="Arial" w:cs="Arial" w:eastAsia="Arial" w:hAnsi="Arial"/>
                <w:sz w:val="14"/>
                <w:szCs w:val="14"/>
                <w:color w:val="auto"/>
              </w:rPr>
              <w:t>19</w:t>
            </w:r>
          </w:p>
        </w:tc>
        <w:tc>
          <w:tcPr>
            <w:tcW w:w="3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20</w:t>
            </w:r>
          </w:p>
        </w:tc>
        <w:tc>
          <w:tcPr>
            <w:tcW w:w="6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rPr>
              <w:t>17</w:t>
            </w:r>
          </w:p>
        </w:tc>
      </w:tr>
      <w:tr>
        <w:trPr>
          <w:trHeight w:val="224"/>
        </w:trPr>
        <w:tc>
          <w:tcPr>
            <w:tcW w:w="140" w:type="dxa"/>
            <w:vAlign w:val="bottom"/>
          </w:tcPr>
          <w:p>
            <w:pPr>
              <w:spacing w:after="0"/>
              <w:rPr>
                <w:sz w:val="19"/>
                <w:szCs w:val="19"/>
                <w:color w:val="auto"/>
              </w:rPr>
            </w:pPr>
          </w:p>
        </w:tc>
        <w:tc>
          <w:tcPr>
            <w:tcW w:w="2860" w:type="dxa"/>
            <w:vAlign w:val="bottom"/>
          </w:tcPr>
          <w:p>
            <w:pPr>
              <w:spacing w:after="0"/>
              <w:rPr>
                <w:sz w:val="19"/>
                <w:szCs w:val="19"/>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w:t>
            </w:r>
          </w:p>
        </w:tc>
        <w:tc>
          <w:tcPr>
            <w:tcW w:w="60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129"/>
              <w:spacing w:after="0"/>
              <w:rPr>
                <w:sz w:val="20"/>
                <w:szCs w:val="20"/>
                <w:color w:val="auto"/>
              </w:rPr>
            </w:pPr>
            <w:r>
              <w:rPr>
                <w:rFonts w:ascii="Arial" w:cs="Arial" w:eastAsia="Arial" w:hAnsi="Arial"/>
                <w:sz w:val="14"/>
                <w:szCs w:val="14"/>
                <w:color w:val="auto"/>
              </w:rPr>
              <w:t>78</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100</w:t>
            </w:r>
          </w:p>
        </w:tc>
        <w:tc>
          <w:tcPr>
            <w:tcW w:w="60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rPr>
              <w:t>83</w:t>
            </w:r>
          </w:p>
        </w:tc>
      </w:tr>
      <w:tr>
        <w:trPr>
          <w:trHeight w:val="210"/>
        </w:trPr>
        <w:tc>
          <w:tcPr>
            <w:tcW w:w="3000" w:type="dxa"/>
            <w:vAlign w:val="bottom"/>
            <w:gridSpan w:val="2"/>
          </w:tcPr>
          <w:p>
            <w:pPr>
              <w:ind w:left="20"/>
              <w:spacing w:after="0"/>
              <w:rPr>
                <w:sz w:val="20"/>
                <w:szCs w:val="20"/>
                <w:color w:val="auto"/>
              </w:rPr>
            </w:pPr>
            <w:r>
              <w:rPr>
                <w:rFonts w:ascii="Arial" w:cs="Arial" w:eastAsia="Arial" w:hAnsi="Arial"/>
                <w:sz w:val="14"/>
                <w:szCs w:val="14"/>
                <w:color w:val="auto"/>
              </w:rPr>
              <w:t>SoCalGas:</w:t>
            </w: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50"/>
        </w:trPr>
        <w:tc>
          <w:tcPr>
            <w:tcW w:w="140" w:type="dxa"/>
            <w:vAlign w:val="bottom"/>
            <w:tcBorders>
              <w:bottom w:val="single" w:sz="8" w:color="DFDFDF"/>
            </w:tcBorders>
          </w:tcPr>
          <w:p>
            <w:pPr>
              <w:spacing w:after="0"/>
              <w:rPr>
                <w:sz w:val="21"/>
                <w:szCs w:val="21"/>
                <w:color w:val="auto"/>
              </w:rPr>
            </w:pPr>
          </w:p>
        </w:tc>
        <w:tc>
          <w:tcPr>
            <w:tcW w:w="2860" w:type="dxa"/>
            <w:vAlign w:val="bottom"/>
            <w:tcBorders>
              <w:bottom w:val="single" w:sz="8" w:color="DFDFDF"/>
            </w:tcBorders>
          </w:tcPr>
          <w:p>
            <w:pPr>
              <w:ind w:left="80"/>
              <w:spacing w:after="0"/>
              <w:rPr>
                <w:sz w:val="20"/>
                <w:szCs w:val="20"/>
                <w:color w:val="auto"/>
              </w:rPr>
            </w:pPr>
            <w:r>
              <w:rPr>
                <w:rFonts w:ascii="Arial" w:cs="Arial" w:eastAsia="Arial" w:hAnsi="Arial"/>
                <w:sz w:val="14"/>
                <w:szCs w:val="14"/>
                <w:color w:val="auto"/>
              </w:rPr>
              <w:t>Preferred stock</w:t>
            </w:r>
          </w:p>
        </w:tc>
        <w:tc>
          <w:tcPr>
            <w:tcW w:w="240" w:type="dxa"/>
            <w:vAlign w:val="bottom"/>
            <w:tcBorders>
              <w:bottom w:val="single" w:sz="8" w:color="DFDFDF"/>
            </w:tcBorders>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DFDFDF"/>
            </w:tcBorders>
          </w:tcPr>
          <w:p>
            <w:pPr>
              <w:jc w:val="right"/>
              <w:spacing w:after="0"/>
              <w:rPr>
                <w:sz w:val="20"/>
                <w:szCs w:val="20"/>
                <w:color w:val="auto"/>
              </w:rPr>
            </w:pPr>
            <w:r>
              <w:rPr>
                <w:rFonts w:ascii="Arial" w:cs="Arial" w:eastAsia="Arial" w:hAnsi="Arial"/>
                <w:sz w:val="14"/>
                <w:szCs w:val="14"/>
                <w:color w:val="auto"/>
              </w:rPr>
              <w:t>22</w:t>
            </w:r>
          </w:p>
        </w:tc>
        <w:tc>
          <w:tcPr>
            <w:tcW w:w="600" w:type="dxa"/>
            <w:vAlign w:val="bottom"/>
            <w:tcBorders>
              <w:bottom w:val="single" w:sz="8" w:color="DFDFDF"/>
            </w:tcBorders>
          </w:tcPr>
          <w:p>
            <w:pPr>
              <w:jc w:val="right"/>
              <w:ind w:right="29"/>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DFDFDF"/>
            </w:tcBorders>
          </w:tcPr>
          <w:p>
            <w:pPr>
              <w:jc w:val="right"/>
              <w:ind w:right="129"/>
              <w:spacing w:after="0"/>
              <w:rPr>
                <w:sz w:val="20"/>
                <w:szCs w:val="20"/>
                <w:color w:val="auto"/>
              </w:rPr>
            </w:pPr>
            <w:r>
              <w:rPr>
                <w:rFonts w:ascii="Arial" w:cs="Arial" w:eastAsia="Arial" w:hAnsi="Arial"/>
                <w:sz w:val="14"/>
                <w:szCs w:val="14"/>
                <w:color w:val="auto"/>
              </w:rPr>
              <w:t>20</w:t>
            </w:r>
          </w:p>
        </w:tc>
        <w:tc>
          <w:tcPr>
            <w:tcW w:w="340" w:type="dxa"/>
            <w:vAlign w:val="bottom"/>
            <w:tcBorders>
              <w:bottom w:val="single" w:sz="8" w:color="DFDFDF"/>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DFDFDF"/>
            </w:tcBorders>
          </w:tcPr>
          <w:p>
            <w:pPr>
              <w:jc w:val="right"/>
              <w:ind w:right="9"/>
              <w:spacing w:after="0"/>
              <w:rPr>
                <w:sz w:val="20"/>
                <w:szCs w:val="20"/>
                <w:color w:val="auto"/>
              </w:rPr>
            </w:pPr>
            <w:r>
              <w:rPr>
                <w:rFonts w:ascii="Arial" w:cs="Arial" w:eastAsia="Arial" w:hAnsi="Arial"/>
                <w:sz w:val="14"/>
                <w:szCs w:val="14"/>
                <w:color w:val="auto"/>
              </w:rPr>
              <w:t>22</w:t>
            </w:r>
          </w:p>
        </w:tc>
        <w:tc>
          <w:tcPr>
            <w:tcW w:w="600" w:type="dxa"/>
            <w:vAlign w:val="bottom"/>
            <w:tcBorders>
              <w:bottom w:val="single" w:sz="8" w:color="DFDFDF"/>
            </w:tcBorders>
          </w:tcPr>
          <w:p>
            <w:pPr>
              <w:jc w:val="right"/>
              <w:ind w:right="49"/>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DFDFDF"/>
            </w:tcBorders>
          </w:tcPr>
          <w:p>
            <w:pPr>
              <w:jc w:val="right"/>
              <w:ind w:right="89"/>
              <w:spacing w:after="0"/>
              <w:rPr>
                <w:sz w:val="20"/>
                <w:szCs w:val="20"/>
                <w:color w:val="auto"/>
              </w:rPr>
            </w:pPr>
            <w:r>
              <w:rPr>
                <w:rFonts w:ascii="Arial" w:cs="Arial" w:eastAsia="Arial" w:hAnsi="Arial"/>
                <w:sz w:val="14"/>
                <w:szCs w:val="14"/>
                <w:color w:val="auto"/>
              </w:rPr>
              <w:t>19</w:t>
            </w:r>
          </w:p>
        </w:tc>
      </w:tr>
      <w:tr>
        <w:trPr>
          <w:trHeight w:val="170"/>
        </w:trPr>
        <w:tc>
          <w:tcPr>
            <w:tcW w:w="140" w:type="dxa"/>
            <w:vAlign w:val="bottom"/>
          </w:tcPr>
          <w:p>
            <w:pPr>
              <w:ind w:left="20"/>
              <w:spacing w:after="0"/>
              <w:rPr>
                <w:sz w:val="20"/>
                <w:szCs w:val="20"/>
                <w:color w:val="auto"/>
              </w:rPr>
            </w:pPr>
            <w:r>
              <w:rPr>
                <w:rFonts w:ascii="Arial" w:cs="Arial" w:eastAsia="Arial" w:hAnsi="Arial"/>
                <w:sz w:val="12"/>
                <w:szCs w:val="12"/>
                <w:i w:val="1"/>
                <w:iCs w:val="1"/>
                <w:color w:val="auto"/>
              </w:rPr>
              <w:t>1</w:t>
            </w:r>
          </w:p>
        </w:tc>
        <w:tc>
          <w:tcPr>
            <w:tcW w:w="2860" w:type="dxa"/>
            <w:vAlign w:val="bottom"/>
          </w:tcPr>
          <w:p>
            <w:pPr>
              <w:jc w:val="center"/>
              <w:ind w:right="1750"/>
              <w:spacing w:after="0"/>
              <w:rPr>
                <w:sz w:val="20"/>
                <w:szCs w:val="20"/>
                <w:color w:val="auto"/>
              </w:rPr>
            </w:pPr>
            <w:r>
              <w:rPr>
                <w:rFonts w:ascii="Arial" w:cs="Arial" w:eastAsia="Arial" w:hAnsi="Arial"/>
                <w:sz w:val="13"/>
                <w:szCs w:val="13"/>
                <w:i w:val="1"/>
                <w:iCs w:val="1"/>
                <w:color w:val="auto"/>
                <w:w w:val="98"/>
              </w:rPr>
              <w:t>See Note 4.</w:t>
            </w: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20" w:type="dxa"/>
            <w:vAlign w:val="bottom"/>
          </w:tcPr>
          <w:p>
            <w:pPr>
              <w:spacing w:after="0"/>
              <w:rPr>
                <w:sz w:val="14"/>
                <w:szCs w:val="14"/>
                <w:color w:val="auto"/>
              </w:rPr>
            </w:pPr>
          </w:p>
        </w:tc>
      </w:tr>
    </w:tbl>
    <w:p>
      <w:pPr>
        <w:spacing w:after="0" w:line="38" w:lineRule="exact"/>
        <w:rPr>
          <w:sz w:val="20"/>
          <w:szCs w:val="20"/>
          <w:color w:val="auto"/>
        </w:rPr>
      </w:pPr>
    </w:p>
    <w:p>
      <w:pPr>
        <w:ind w:left="2040" w:hanging="308"/>
        <w:spacing w:after="0"/>
        <w:tabs>
          <w:tab w:leader="none" w:pos="2040" w:val="left"/>
        </w:tabs>
        <w:numPr>
          <w:ilvl w:val="0"/>
          <w:numId w:val="365"/>
        </w:numPr>
        <w:rPr>
          <w:rFonts w:ascii="Arial" w:cs="Arial" w:eastAsia="Arial" w:hAnsi="Arial"/>
          <w:sz w:val="12"/>
          <w:szCs w:val="12"/>
          <w:i w:val="1"/>
          <w:iCs w:val="1"/>
          <w:color w:val="auto"/>
        </w:rPr>
      </w:pPr>
      <w:r>
        <w:rPr>
          <w:rFonts w:ascii="Arial" w:cs="Arial" w:eastAsia="Arial" w:hAnsi="Arial"/>
          <w:sz w:val="13"/>
          <w:szCs w:val="13"/>
          <w:i w:val="1"/>
          <w:iCs w:val="1"/>
          <w:color w:val="auto"/>
        </w:rPr>
        <w:t>Before reductions for unamortized discount of $8 million and $6 million at December 31, 2008 and 2007, respectively.</w:t>
      </w:r>
    </w:p>
    <w:p>
      <w:pPr>
        <w:spacing w:after="0" w:line="55" w:lineRule="exact"/>
        <w:rPr>
          <w:sz w:val="20"/>
          <w:szCs w:val="20"/>
          <w:color w:val="auto"/>
        </w:rPr>
      </w:pPr>
    </w:p>
    <w:p>
      <w:pPr>
        <w:ind w:left="2040" w:hanging="308"/>
        <w:spacing w:after="0"/>
        <w:tabs>
          <w:tab w:leader="none" w:pos="2040" w:val="left"/>
        </w:tabs>
        <w:numPr>
          <w:ilvl w:val="0"/>
          <w:numId w:val="366"/>
        </w:numPr>
        <w:rPr>
          <w:rFonts w:ascii="Arial" w:cs="Arial" w:eastAsia="Arial" w:hAnsi="Arial"/>
          <w:sz w:val="12"/>
          <w:szCs w:val="12"/>
          <w:i w:val="1"/>
          <w:iCs w:val="1"/>
          <w:color w:val="auto"/>
        </w:rPr>
      </w:pPr>
      <w:r>
        <w:rPr>
          <w:rFonts w:ascii="Arial" w:cs="Arial" w:eastAsia="Arial" w:hAnsi="Arial"/>
          <w:sz w:val="13"/>
          <w:szCs w:val="13"/>
          <w:i w:val="1"/>
          <w:iCs w:val="1"/>
          <w:color w:val="auto"/>
        </w:rPr>
        <w:t>At December 31, 2007, $14 million of mandatorily redeemable preferred stock of subsidiaries was included in Other Current Liabilities.</w:t>
      </w:r>
    </w:p>
    <w:p>
      <w:pPr>
        <w:spacing w:after="0" w:line="54" w:lineRule="exact"/>
        <w:rPr>
          <w:rFonts w:ascii="Arial" w:cs="Arial" w:eastAsia="Arial" w:hAnsi="Arial"/>
          <w:sz w:val="12"/>
          <w:szCs w:val="12"/>
          <w:i w:val="1"/>
          <w:iCs w:val="1"/>
          <w:color w:val="auto"/>
        </w:rPr>
      </w:pPr>
    </w:p>
    <w:p>
      <w:pPr>
        <w:ind w:left="1740"/>
        <w:spacing w:after="0"/>
        <w:rPr>
          <w:rFonts w:ascii="Arial" w:cs="Arial" w:eastAsia="Arial" w:hAnsi="Arial"/>
          <w:sz w:val="12"/>
          <w:szCs w:val="12"/>
          <w:i w:val="1"/>
          <w:iCs w:val="1"/>
          <w:color w:val="auto"/>
        </w:rPr>
      </w:pPr>
      <w:r>
        <w:rPr>
          <w:rFonts w:ascii="Arial" w:cs="Arial" w:eastAsia="Arial" w:hAnsi="Arial"/>
          <w:sz w:val="12"/>
          <w:szCs w:val="12"/>
          <w:i w:val="1"/>
          <w:iCs w:val="1"/>
          <w:color w:val="auto"/>
        </w:rPr>
        <w:t>4Before reductions for unamortized discount of $2 million at both December 31, 2008 and 2007.</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4"/>
          <w:szCs w:val="14"/>
          <w:color w:val="auto"/>
        </w:rPr>
        <w:t>156</w:t>
      </w:r>
    </w:p>
    <w:p>
      <w:pPr>
        <w:sectPr>
          <w:pgSz w:w="11900" w:h="16838" w:orient="portrait"/>
          <w:cols w:equalWidth="0" w:num="1">
            <w:col w:w="11400"/>
          </w:cols>
          <w:pgMar w:left="240" w:top="127" w:right="259" w:bottom="1440" w:gutter="0" w:footer="0" w:header="0"/>
        </w:sectPr>
      </w:pPr>
    </w:p>
    <w:bookmarkStart w:id="296" w:name="page297"/>
    <w:bookmarkEnd w:id="296"/>
    <w:p>
      <w:pPr>
        <w:ind w:left="4"/>
        <w:spacing w:after="0"/>
        <w:rPr>
          <w:sz w:val="20"/>
          <w:szCs w:val="20"/>
          <w:color w:val="auto"/>
        </w:rPr>
      </w:pPr>
      <w:r>
        <w:rPr>
          <w:rFonts w:ascii="Arial" w:cs="Arial" w:eastAsia="Arial" w:hAnsi="Arial"/>
          <w:sz w:val="18"/>
          <w:szCs w:val="18"/>
          <w:i w:val="1"/>
          <w:iCs w:val="1"/>
          <w:color w:val="auto"/>
        </w:rPr>
        <w:t>Sempra Energy</w:t>
      </w:r>
    </w:p>
    <w:p>
      <w:pPr>
        <w:spacing w:after="0" w:line="73" w:lineRule="exact"/>
        <w:rPr>
          <w:sz w:val="20"/>
          <w:szCs w:val="20"/>
          <w:color w:val="auto"/>
        </w:rPr>
      </w:pPr>
    </w:p>
    <w:p>
      <w:pPr>
        <w:ind w:left="144" w:right="1280" w:hanging="144"/>
        <w:spacing w:after="0" w:line="274" w:lineRule="auto"/>
        <w:tabs>
          <w:tab w:leader="none" w:pos="144" w:val="left"/>
        </w:tabs>
        <w:numPr>
          <w:ilvl w:val="0"/>
          <w:numId w:val="367"/>
        </w:numPr>
        <w:rPr>
          <w:rFonts w:ascii="Arial" w:cs="Arial" w:eastAsia="Arial" w:hAnsi="Arial"/>
          <w:sz w:val="16"/>
          <w:szCs w:val="16"/>
          <w:color w:val="auto"/>
        </w:rPr>
      </w:pPr>
      <w:r>
        <w:rPr>
          <w:rFonts w:ascii="Arial" w:cs="Arial" w:eastAsia="Arial" w:hAnsi="Arial"/>
          <w:sz w:val="16"/>
          <w:szCs w:val="16"/>
          <w:color w:val="auto"/>
        </w:rPr>
        <w:t>based the fair values of investments in affordable housing partnerships on the present value of estimated future cash flows, discounted at rates available for similar investments; and</w:t>
      </w:r>
    </w:p>
    <w:p>
      <w:pPr>
        <w:ind w:left="144" w:right="1280" w:hanging="144"/>
        <w:spacing w:after="0" w:line="277" w:lineRule="auto"/>
        <w:tabs>
          <w:tab w:leader="none" w:pos="144" w:val="left"/>
        </w:tabs>
        <w:numPr>
          <w:ilvl w:val="0"/>
          <w:numId w:val="367"/>
        </w:numPr>
        <w:rPr>
          <w:rFonts w:ascii="Arial" w:cs="Arial" w:eastAsia="Arial" w:hAnsi="Arial"/>
          <w:sz w:val="16"/>
          <w:szCs w:val="16"/>
          <w:color w:val="auto"/>
        </w:rPr>
      </w:pPr>
      <w:r>
        <w:rPr>
          <w:rFonts w:ascii="Arial" w:cs="Arial" w:eastAsia="Arial" w:hAnsi="Arial"/>
          <w:sz w:val="16"/>
          <w:szCs w:val="16"/>
          <w:color w:val="auto"/>
        </w:rPr>
        <w:t>estimated the fair values of debt incurred to acquire affordable housing partnerships based on the present value of the future cash flows, discounted at rates available for similar notes with comparable maturities.</w:t>
      </w:r>
    </w:p>
    <w:p>
      <w:pPr>
        <w:spacing w:after="0" w:line="80" w:lineRule="exact"/>
        <w:rPr>
          <w:sz w:val="20"/>
          <w:szCs w:val="20"/>
          <w:color w:val="auto"/>
        </w:rPr>
      </w:pPr>
    </w:p>
    <w:p>
      <w:pPr>
        <w:ind w:left="4"/>
        <w:spacing w:after="0"/>
        <w:rPr>
          <w:sz w:val="20"/>
          <w:szCs w:val="20"/>
          <w:color w:val="auto"/>
        </w:rPr>
      </w:pPr>
      <w:r>
        <w:rPr>
          <w:rFonts w:ascii="Arial" w:cs="Arial" w:eastAsia="Arial" w:hAnsi="Arial"/>
          <w:sz w:val="16"/>
          <w:szCs w:val="16"/>
          <w:color w:val="auto"/>
        </w:rPr>
        <w:t>All entities based the fair values of the long-term debt and preferred stock on their quoted market prices or quoted market prices for similar securities.</w:t>
      </w:r>
    </w:p>
    <w:p>
      <w:pPr>
        <w:spacing w:after="0" w:line="174" w:lineRule="exact"/>
        <w:rPr>
          <w:sz w:val="20"/>
          <w:szCs w:val="20"/>
          <w:color w:val="auto"/>
        </w:rPr>
      </w:pPr>
    </w:p>
    <w:p>
      <w:pPr>
        <w:ind w:left="4"/>
        <w:spacing w:after="0"/>
        <w:rPr>
          <w:sz w:val="20"/>
          <w:szCs w:val="20"/>
          <w:color w:val="auto"/>
        </w:rPr>
      </w:pPr>
      <w:r>
        <w:rPr>
          <w:rFonts w:ascii="Arial" w:cs="Arial" w:eastAsia="Arial" w:hAnsi="Arial"/>
          <w:sz w:val="18"/>
          <w:szCs w:val="18"/>
          <w:b w:val="1"/>
          <w:bCs w:val="1"/>
          <w:i w:val="1"/>
          <w:iCs w:val="1"/>
          <w:color w:val="auto"/>
        </w:rPr>
        <w:t>Adoption of FSP FIN 39-1</w:t>
      </w:r>
    </w:p>
    <w:p>
      <w:pPr>
        <w:spacing w:after="0" w:line="23" w:lineRule="exact"/>
        <w:rPr>
          <w:sz w:val="20"/>
          <w:szCs w:val="20"/>
          <w:color w:val="auto"/>
        </w:rPr>
      </w:pPr>
    </w:p>
    <w:p>
      <w:pPr>
        <w:ind w:left="4" w:right="60"/>
        <w:spacing w:after="0" w:line="278" w:lineRule="auto"/>
        <w:rPr>
          <w:sz w:val="20"/>
          <w:szCs w:val="20"/>
          <w:color w:val="auto"/>
        </w:rPr>
      </w:pPr>
      <w:r>
        <w:rPr>
          <w:rFonts w:ascii="Arial" w:cs="Arial" w:eastAsia="Arial" w:hAnsi="Arial"/>
          <w:sz w:val="15"/>
          <w:szCs w:val="15"/>
          <w:color w:val="auto"/>
        </w:rPr>
        <w:t>We adopted FSP FIN 39-1 effective January 1, 2008, which required retroactive application. Each Consolidated Balance Sheet reflects the offsetting of net derivative positions with fair value amounts for cash collateral with the same counterparty when management believes a legal right of setoff exists. As of December 31, 2008, Sempra Energy offset fair value cash collateral receivables and payables against net derivative positions of $63 million and $38 million, respectively. As of December 31, 2007, Sempra Energy offset fair value cash collateral receivables and payables against net derivative positions of $177 million and $1.1 billion, respectively. The fair value of cash collateral that was not offset in the Consolidated Balance Sheets as of December 31, 2008 and December 31, 2007 was $28 million and $27 million, respectively.</w:t>
      </w:r>
    </w:p>
    <w:p>
      <w:pPr>
        <w:spacing w:after="0" w:line="226" w:lineRule="exact"/>
        <w:rPr>
          <w:sz w:val="20"/>
          <w:szCs w:val="20"/>
          <w:color w:val="auto"/>
        </w:rPr>
      </w:pPr>
    </w:p>
    <w:p>
      <w:pPr>
        <w:ind w:left="4"/>
        <w:spacing w:after="0"/>
        <w:rPr>
          <w:sz w:val="20"/>
          <w:szCs w:val="20"/>
          <w:color w:val="auto"/>
        </w:rPr>
      </w:pPr>
      <w:r>
        <w:rPr>
          <w:rFonts w:ascii="Arial" w:cs="Arial" w:eastAsia="Arial" w:hAnsi="Arial"/>
          <w:sz w:val="14"/>
          <w:szCs w:val="14"/>
          <w:color w:val="auto"/>
        </w:rPr>
        <w:t>The following table provides the amount of fair value of cash collateral receivables that were offset against net derivative positions in the Consolidated Balance Sheets as of</w:t>
      </w:r>
    </w:p>
    <w:p>
      <w:pPr>
        <w:spacing w:after="0" w:line="44" w:lineRule="exact"/>
        <w:rPr>
          <w:sz w:val="20"/>
          <w:szCs w:val="20"/>
          <w:color w:val="auto"/>
        </w:rPr>
      </w:pPr>
    </w:p>
    <w:p>
      <w:pPr>
        <w:ind w:left="4"/>
        <w:spacing w:after="0"/>
        <w:rPr>
          <w:sz w:val="20"/>
          <w:szCs w:val="20"/>
          <w:color w:val="auto"/>
        </w:rPr>
      </w:pPr>
      <w:r>
        <w:rPr>
          <w:rFonts w:ascii="Arial" w:cs="Arial" w:eastAsia="Arial" w:hAnsi="Arial"/>
          <w:sz w:val="16"/>
          <w:szCs w:val="16"/>
          <w:color w:val="auto"/>
        </w:rPr>
        <w:t>December 31, 2008 and December 31, 2007 at the Sempra Utilities:</w:t>
      </w:r>
    </w:p>
    <w:p>
      <w:pPr>
        <w:spacing w:after="0" w:line="349" w:lineRule="exact"/>
        <w:rPr>
          <w:sz w:val="20"/>
          <w:szCs w:val="20"/>
          <w:color w:val="auto"/>
        </w:rPr>
      </w:pPr>
    </w:p>
    <w:tbl>
      <w:tblPr>
        <w:tblLayout w:type="fixed"/>
        <w:tblInd w:w="3524" w:type="dxa"/>
        <w:tblCellMar>
          <w:top w:w="0" w:type="dxa"/>
          <w:left w:w="0" w:type="dxa"/>
          <w:bottom w:w="0" w:type="dxa"/>
          <w:right w:w="0" w:type="dxa"/>
        </w:tblCellMar>
      </w:tblPr>
      <w:tr>
        <w:trPr>
          <w:trHeight w:val="156"/>
        </w:trPr>
        <w:tc>
          <w:tcPr>
            <w:tcW w:w="206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color w:val="auto"/>
              </w:rPr>
              <w:t>December 31,</w:t>
            </w:r>
          </w:p>
        </w:tc>
        <w:tc>
          <w:tcPr>
            <w:tcW w:w="620" w:type="dxa"/>
            <w:vAlign w:val="bottom"/>
            <w:tcBorders>
              <w:bottom w:val="single" w:sz="8" w:color="auto"/>
            </w:tcBorders>
          </w:tcPr>
          <w:p>
            <w:pPr>
              <w:spacing w:after="0"/>
              <w:rPr>
                <w:sz w:val="13"/>
                <w:szCs w:val="13"/>
                <w:color w:val="auto"/>
              </w:rPr>
            </w:pPr>
          </w:p>
        </w:tc>
      </w:tr>
      <w:tr>
        <w:trPr>
          <w:trHeight w:val="211"/>
        </w:trPr>
        <w:tc>
          <w:tcPr>
            <w:tcW w:w="2060" w:type="dxa"/>
            <w:vAlign w:val="bottom"/>
            <w:tcBorders>
              <w:bottom w:val="single" w:sz="8" w:color="auto"/>
            </w:tcBorders>
          </w:tcPr>
          <w:p>
            <w:pPr>
              <w:ind w:left="20"/>
              <w:spacing w:after="0"/>
              <w:rPr>
                <w:sz w:val="20"/>
                <w:szCs w:val="20"/>
                <w:color w:val="auto"/>
              </w:rPr>
            </w:pPr>
            <w:r>
              <w:rPr>
                <w:rFonts w:ascii="Arial" w:cs="Arial" w:eastAsia="Arial" w:hAnsi="Arial"/>
                <w:sz w:val="13"/>
                <w:szCs w:val="13"/>
                <w:i w:val="1"/>
                <w:iCs w:val="1"/>
                <w:color w:val="auto"/>
              </w:rPr>
              <w:t>(Dollars in millions)</w:t>
            </w:r>
          </w:p>
        </w:tc>
        <w:tc>
          <w:tcPr>
            <w:tcW w:w="3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92"/>
              <w:spacing w:after="0"/>
              <w:rPr>
                <w:sz w:val="20"/>
                <w:szCs w:val="20"/>
                <w:color w:val="auto"/>
              </w:rPr>
            </w:pPr>
            <w:r>
              <w:rPr>
                <w:rFonts w:ascii="Arial" w:cs="Arial" w:eastAsia="Arial" w:hAnsi="Arial"/>
                <w:sz w:val="13"/>
                <w:szCs w:val="13"/>
                <w:color w:val="auto"/>
              </w:rPr>
              <w:t>2008</w:t>
            </w:r>
          </w:p>
        </w:tc>
        <w:tc>
          <w:tcPr>
            <w:tcW w:w="5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231"/>
              <w:spacing w:after="0"/>
              <w:rPr>
                <w:sz w:val="20"/>
                <w:szCs w:val="20"/>
                <w:color w:val="auto"/>
              </w:rPr>
            </w:pPr>
            <w:r>
              <w:rPr>
                <w:rFonts w:ascii="Arial" w:cs="Arial" w:eastAsia="Arial" w:hAnsi="Arial"/>
                <w:sz w:val="13"/>
                <w:szCs w:val="13"/>
                <w:color w:val="auto"/>
              </w:rPr>
              <w:t>2007</w:t>
            </w:r>
          </w:p>
        </w:tc>
      </w:tr>
      <w:tr>
        <w:trPr>
          <w:trHeight w:val="207"/>
        </w:trPr>
        <w:tc>
          <w:tcPr>
            <w:tcW w:w="2060" w:type="dxa"/>
            <w:vAlign w:val="bottom"/>
          </w:tcPr>
          <w:p>
            <w:pPr>
              <w:ind w:left="20"/>
              <w:spacing w:after="0"/>
              <w:rPr>
                <w:sz w:val="20"/>
                <w:szCs w:val="20"/>
                <w:color w:val="auto"/>
              </w:rPr>
            </w:pPr>
            <w:r>
              <w:rPr>
                <w:rFonts w:ascii="Arial" w:cs="Arial" w:eastAsia="Arial" w:hAnsi="Arial"/>
                <w:sz w:val="14"/>
                <w:szCs w:val="14"/>
                <w:color w:val="auto"/>
              </w:rPr>
              <w:t>SDG&amp;E</w:t>
            </w:r>
          </w:p>
        </w:tc>
        <w:tc>
          <w:tcPr>
            <w:tcW w:w="3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152"/>
              <w:spacing w:after="0"/>
              <w:rPr>
                <w:sz w:val="20"/>
                <w:szCs w:val="20"/>
                <w:color w:val="auto"/>
              </w:rPr>
            </w:pPr>
            <w:r>
              <w:rPr>
                <w:rFonts w:ascii="Arial" w:cs="Arial" w:eastAsia="Arial" w:hAnsi="Arial"/>
                <w:sz w:val="14"/>
                <w:szCs w:val="14"/>
                <w:color w:val="auto"/>
              </w:rPr>
              <w:t>52</w:t>
            </w:r>
          </w:p>
        </w:tc>
        <w:tc>
          <w:tcPr>
            <w:tcW w:w="56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9</w:t>
            </w:r>
          </w:p>
        </w:tc>
      </w:tr>
      <w:tr>
        <w:trPr>
          <w:trHeight w:val="250"/>
        </w:trPr>
        <w:tc>
          <w:tcPr>
            <w:tcW w:w="2060" w:type="dxa"/>
            <w:vAlign w:val="bottom"/>
            <w:tcBorders>
              <w:bottom w:val="single" w:sz="8" w:color="DFDFDF"/>
            </w:tcBorders>
          </w:tcPr>
          <w:p>
            <w:pPr>
              <w:ind w:left="20"/>
              <w:spacing w:after="0"/>
              <w:rPr>
                <w:sz w:val="20"/>
                <w:szCs w:val="20"/>
                <w:color w:val="auto"/>
              </w:rPr>
            </w:pPr>
            <w:r>
              <w:rPr>
                <w:rFonts w:ascii="Arial" w:cs="Arial" w:eastAsia="Arial" w:hAnsi="Arial"/>
                <w:sz w:val="14"/>
                <w:szCs w:val="14"/>
                <w:color w:val="auto"/>
              </w:rPr>
              <w:t>SoCalGas</w:t>
            </w:r>
          </w:p>
        </w:tc>
        <w:tc>
          <w:tcPr>
            <w:tcW w:w="300" w:type="dxa"/>
            <w:vAlign w:val="bottom"/>
            <w:tcBorders>
              <w:bottom w:val="single" w:sz="8" w:color="DFDFDF"/>
            </w:tcBorders>
          </w:tcPr>
          <w:p>
            <w:pPr>
              <w:spacing w:after="0"/>
              <w:rPr>
                <w:sz w:val="21"/>
                <w:szCs w:val="21"/>
                <w:color w:val="auto"/>
              </w:rPr>
            </w:pPr>
          </w:p>
        </w:tc>
        <w:tc>
          <w:tcPr>
            <w:tcW w:w="860" w:type="dxa"/>
            <w:vAlign w:val="bottom"/>
            <w:tcBorders>
              <w:bottom w:val="single" w:sz="8" w:color="DFDFDF"/>
            </w:tcBorders>
          </w:tcPr>
          <w:p>
            <w:pPr>
              <w:jc w:val="right"/>
              <w:ind w:right="152"/>
              <w:spacing w:after="0"/>
              <w:rPr>
                <w:sz w:val="20"/>
                <w:szCs w:val="20"/>
                <w:color w:val="auto"/>
              </w:rPr>
            </w:pPr>
            <w:r>
              <w:rPr>
                <w:rFonts w:ascii="Arial" w:cs="Arial" w:eastAsia="Arial" w:hAnsi="Arial"/>
                <w:sz w:val="14"/>
                <w:szCs w:val="14"/>
                <w:color w:val="auto"/>
              </w:rPr>
              <w:t>11</w:t>
            </w:r>
          </w:p>
        </w:tc>
        <w:tc>
          <w:tcPr>
            <w:tcW w:w="560" w:type="dxa"/>
            <w:vAlign w:val="bottom"/>
            <w:tcBorders>
              <w:bottom w:val="single" w:sz="8" w:color="DFDFDF"/>
            </w:tcBorders>
          </w:tcPr>
          <w:p>
            <w:pPr>
              <w:spacing w:after="0"/>
              <w:rPr>
                <w:sz w:val="21"/>
                <w:szCs w:val="21"/>
                <w:color w:val="auto"/>
              </w:rPr>
            </w:pPr>
          </w:p>
        </w:tc>
        <w:tc>
          <w:tcPr>
            <w:tcW w:w="620" w:type="dxa"/>
            <w:vAlign w:val="bottom"/>
            <w:tcBorders>
              <w:bottom w:val="single" w:sz="8" w:color="DFDFDF"/>
            </w:tcBorders>
          </w:tcPr>
          <w:p>
            <w:pPr>
              <w:jc w:val="right"/>
              <w:spacing w:after="0"/>
              <w:rPr>
                <w:sz w:val="20"/>
                <w:szCs w:val="20"/>
                <w:color w:val="auto"/>
              </w:rPr>
            </w:pPr>
            <w:r>
              <w:rPr>
                <w:rFonts w:ascii="Arial" w:cs="Arial" w:eastAsia="Arial" w:hAnsi="Arial"/>
                <w:sz w:val="14"/>
                <w:szCs w:val="14"/>
                <w:color w:val="auto"/>
              </w:rPr>
              <w:t>--</w:t>
            </w:r>
          </w:p>
        </w:tc>
      </w:tr>
    </w:tbl>
    <w:p>
      <w:pPr>
        <w:spacing w:after="0" w:line="180" w:lineRule="exact"/>
        <w:rPr>
          <w:sz w:val="20"/>
          <w:szCs w:val="20"/>
          <w:color w:val="auto"/>
        </w:rPr>
      </w:pPr>
    </w:p>
    <w:p>
      <w:pPr>
        <w:ind w:left="4" w:right="40"/>
        <w:spacing w:after="0" w:line="277" w:lineRule="auto"/>
        <w:rPr>
          <w:sz w:val="20"/>
          <w:szCs w:val="20"/>
          <w:color w:val="auto"/>
        </w:rPr>
      </w:pPr>
      <w:r>
        <w:rPr>
          <w:rFonts w:ascii="Arial" w:cs="Arial" w:eastAsia="Arial" w:hAnsi="Arial"/>
          <w:sz w:val="16"/>
          <w:szCs w:val="16"/>
          <w:color w:val="auto"/>
        </w:rPr>
        <w:t>The following table provides the amount of fair value of cash collateral that was not offset in the Consolidated Balance Sheets as of December 31, 2008 and December 31, 2007 at the Sempra Utilities:</w:t>
      </w:r>
    </w:p>
    <w:p>
      <w:pPr>
        <w:spacing w:after="0" w:line="313" w:lineRule="exact"/>
        <w:rPr>
          <w:sz w:val="20"/>
          <w:szCs w:val="20"/>
          <w:color w:val="auto"/>
        </w:rPr>
      </w:pPr>
    </w:p>
    <w:tbl>
      <w:tblPr>
        <w:tblLayout w:type="fixed"/>
        <w:tblInd w:w="3524" w:type="dxa"/>
        <w:tblCellMar>
          <w:top w:w="0" w:type="dxa"/>
          <w:left w:w="0" w:type="dxa"/>
          <w:bottom w:w="0" w:type="dxa"/>
          <w:right w:w="0" w:type="dxa"/>
        </w:tblCellMar>
      </w:tblPr>
      <w:tr>
        <w:trPr>
          <w:trHeight w:val="156"/>
        </w:trPr>
        <w:tc>
          <w:tcPr>
            <w:tcW w:w="210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color w:val="auto"/>
              </w:rPr>
              <w:t>December 31,</w:t>
            </w:r>
          </w:p>
        </w:tc>
        <w:tc>
          <w:tcPr>
            <w:tcW w:w="620" w:type="dxa"/>
            <w:vAlign w:val="bottom"/>
            <w:tcBorders>
              <w:bottom w:val="single" w:sz="8" w:color="auto"/>
            </w:tcBorders>
          </w:tcPr>
          <w:p>
            <w:pPr>
              <w:spacing w:after="0"/>
              <w:rPr>
                <w:sz w:val="13"/>
                <w:szCs w:val="13"/>
                <w:color w:val="auto"/>
              </w:rPr>
            </w:pPr>
          </w:p>
        </w:tc>
      </w:tr>
      <w:tr>
        <w:trPr>
          <w:trHeight w:val="211"/>
        </w:trPr>
        <w:tc>
          <w:tcPr>
            <w:tcW w:w="2100" w:type="dxa"/>
            <w:vAlign w:val="bottom"/>
            <w:tcBorders>
              <w:bottom w:val="single" w:sz="8" w:color="auto"/>
            </w:tcBorders>
          </w:tcPr>
          <w:p>
            <w:pPr>
              <w:ind w:left="20"/>
              <w:spacing w:after="0"/>
              <w:rPr>
                <w:sz w:val="20"/>
                <w:szCs w:val="20"/>
                <w:color w:val="auto"/>
              </w:rPr>
            </w:pPr>
            <w:r>
              <w:rPr>
                <w:rFonts w:ascii="Arial" w:cs="Arial" w:eastAsia="Arial" w:hAnsi="Arial"/>
                <w:sz w:val="13"/>
                <w:szCs w:val="13"/>
                <w:i w:val="1"/>
                <w:iCs w:val="1"/>
                <w:color w:val="auto"/>
              </w:rPr>
              <w:t>(Dollars in millions)</w:t>
            </w:r>
          </w:p>
        </w:tc>
        <w:tc>
          <w:tcPr>
            <w:tcW w:w="3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72"/>
              <w:spacing w:after="0"/>
              <w:rPr>
                <w:sz w:val="20"/>
                <w:szCs w:val="20"/>
                <w:color w:val="auto"/>
              </w:rPr>
            </w:pPr>
            <w:r>
              <w:rPr>
                <w:rFonts w:ascii="Arial" w:cs="Arial" w:eastAsia="Arial" w:hAnsi="Arial"/>
                <w:sz w:val="13"/>
                <w:szCs w:val="13"/>
                <w:color w:val="auto"/>
              </w:rPr>
              <w:t>2008</w:t>
            </w:r>
          </w:p>
        </w:tc>
        <w:tc>
          <w:tcPr>
            <w:tcW w:w="5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231"/>
              <w:spacing w:after="0"/>
              <w:rPr>
                <w:sz w:val="20"/>
                <w:szCs w:val="20"/>
                <w:color w:val="auto"/>
              </w:rPr>
            </w:pPr>
            <w:r>
              <w:rPr>
                <w:rFonts w:ascii="Arial" w:cs="Arial" w:eastAsia="Arial" w:hAnsi="Arial"/>
                <w:sz w:val="13"/>
                <w:szCs w:val="13"/>
                <w:color w:val="auto"/>
              </w:rPr>
              <w:t>2007</w:t>
            </w:r>
          </w:p>
        </w:tc>
      </w:tr>
      <w:tr>
        <w:trPr>
          <w:trHeight w:val="207"/>
        </w:trPr>
        <w:tc>
          <w:tcPr>
            <w:tcW w:w="2100" w:type="dxa"/>
            <w:vAlign w:val="bottom"/>
          </w:tcPr>
          <w:p>
            <w:pPr>
              <w:ind w:left="20"/>
              <w:spacing w:after="0"/>
              <w:rPr>
                <w:sz w:val="20"/>
                <w:szCs w:val="20"/>
                <w:color w:val="auto"/>
              </w:rPr>
            </w:pPr>
            <w:r>
              <w:rPr>
                <w:rFonts w:ascii="Arial" w:cs="Arial" w:eastAsia="Arial" w:hAnsi="Arial"/>
                <w:sz w:val="14"/>
                <w:szCs w:val="14"/>
                <w:color w:val="auto"/>
              </w:rPr>
              <w:t>SDG&amp;E</w:t>
            </w:r>
          </w:p>
        </w:tc>
        <w:tc>
          <w:tcPr>
            <w:tcW w:w="30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112"/>
              <w:spacing w:after="0"/>
              <w:rPr>
                <w:sz w:val="20"/>
                <w:szCs w:val="20"/>
                <w:color w:val="auto"/>
              </w:rPr>
            </w:pPr>
            <w:r>
              <w:rPr>
                <w:rFonts w:ascii="Arial" w:cs="Arial" w:eastAsia="Arial" w:hAnsi="Arial"/>
                <w:sz w:val="14"/>
                <w:szCs w:val="14"/>
                <w:color w:val="auto"/>
              </w:rPr>
              <w:t>21</w:t>
            </w:r>
          </w:p>
        </w:tc>
        <w:tc>
          <w:tcPr>
            <w:tcW w:w="50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6</w:t>
            </w:r>
          </w:p>
        </w:tc>
      </w:tr>
      <w:tr>
        <w:trPr>
          <w:trHeight w:val="250"/>
        </w:trPr>
        <w:tc>
          <w:tcPr>
            <w:tcW w:w="2100" w:type="dxa"/>
            <w:vAlign w:val="bottom"/>
            <w:tcBorders>
              <w:bottom w:val="single" w:sz="8" w:color="DFDFDF"/>
            </w:tcBorders>
          </w:tcPr>
          <w:p>
            <w:pPr>
              <w:ind w:left="20"/>
              <w:spacing w:after="0"/>
              <w:rPr>
                <w:sz w:val="20"/>
                <w:szCs w:val="20"/>
                <w:color w:val="auto"/>
              </w:rPr>
            </w:pPr>
            <w:r>
              <w:rPr>
                <w:rFonts w:ascii="Arial" w:cs="Arial" w:eastAsia="Arial" w:hAnsi="Arial"/>
                <w:sz w:val="14"/>
                <w:szCs w:val="14"/>
                <w:color w:val="auto"/>
              </w:rPr>
              <w:t>SoCalGas</w:t>
            </w:r>
          </w:p>
        </w:tc>
        <w:tc>
          <w:tcPr>
            <w:tcW w:w="300" w:type="dxa"/>
            <w:vAlign w:val="bottom"/>
            <w:tcBorders>
              <w:bottom w:val="single" w:sz="8" w:color="DFDFDF"/>
            </w:tcBorders>
          </w:tcPr>
          <w:p>
            <w:pPr>
              <w:spacing w:after="0"/>
              <w:rPr>
                <w:sz w:val="21"/>
                <w:szCs w:val="21"/>
                <w:color w:val="auto"/>
              </w:rPr>
            </w:pPr>
          </w:p>
        </w:tc>
        <w:tc>
          <w:tcPr>
            <w:tcW w:w="880" w:type="dxa"/>
            <w:vAlign w:val="bottom"/>
            <w:tcBorders>
              <w:bottom w:val="single" w:sz="8" w:color="DFDFDF"/>
            </w:tcBorders>
          </w:tcPr>
          <w:p>
            <w:pPr>
              <w:jc w:val="right"/>
              <w:ind w:right="112"/>
              <w:spacing w:after="0"/>
              <w:rPr>
                <w:sz w:val="20"/>
                <w:szCs w:val="20"/>
                <w:color w:val="auto"/>
              </w:rPr>
            </w:pPr>
            <w:r>
              <w:rPr>
                <w:rFonts w:ascii="Arial" w:cs="Arial" w:eastAsia="Arial" w:hAnsi="Arial"/>
                <w:sz w:val="14"/>
                <w:szCs w:val="14"/>
                <w:color w:val="auto"/>
              </w:rPr>
              <w:t>7</w:t>
            </w:r>
          </w:p>
        </w:tc>
        <w:tc>
          <w:tcPr>
            <w:tcW w:w="500" w:type="dxa"/>
            <w:vAlign w:val="bottom"/>
            <w:tcBorders>
              <w:bottom w:val="single" w:sz="8" w:color="DFDFDF"/>
            </w:tcBorders>
          </w:tcPr>
          <w:p>
            <w:pPr>
              <w:spacing w:after="0"/>
              <w:rPr>
                <w:sz w:val="21"/>
                <w:szCs w:val="21"/>
                <w:color w:val="auto"/>
              </w:rPr>
            </w:pPr>
          </w:p>
        </w:tc>
        <w:tc>
          <w:tcPr>
            <w:tcW w:w="620" w:type="dxa"/>
            <w:vAlign w:val="bottom"/>
            <w:tcBorders>
              <w:bottom w:val="single" w:sz="8" w:color="DFDFDF"/>
            </w:tcBorders>
          </w:tcPr>
          <w:p>
            <w:pPr>
              <w:jc w:val="right"/>
              <w:spacing w:after="0"/>
              <w:rPr>
                <w:sz w:val="20"/>
                <w:szCs w:val="20"/>
                <w:color w:val="auto"/>
              </w:rPr>
            </w:pPr>
            <w:r>
              <w:rPr>
                <w:rFonts w:ascii="Arial" w:cs="Arial" w:eastAsia="Arial" w:hAnsi="Arial"/>
                <w:sz w:val="14"/>
                <w:szCs w:val="14"/>
                <w:color w:val="auto"/>
              </w:rPr>
              <w:t>7</w:t>
            </w:r>
          </w:p>
        </w:tc>
      </w:tr>
    </w:tbl>
    <w:p>
      <w:pPr>
        <w:spacing w:after="0" w:line="346" w:lineRule="exact"/>
        <w:rPr>
          <w:sz w:val="20"/>
          <w:szCs w:val="20"/>
          <w:color w:val="auto"/>
        </w:rPr>
      </w:pPr>
    </w:p>
    <w:p>
      <w:pPr>
        <w:ind w:left="4"/>
        <w:spacing w:after="0"/>
        <w:rPr>
          <w:sz w:val="20"/>
          <w:szCs w:val="20"/>
          <w:color w:val="auto"/>
        </w:rPr>
      </w:pPr>
      <w:r>
        <w:rPr>
          <w:rFonts w:ascii="Arial" w:cs="Arial" w:eastAsia="Arial" w:hAnsi="Arial"/>
          <w:sz w:val="18"/>
          <w:szCs w:val="18"/>
          <w:b w:val="1"/>
          <w:bCs w:val="1"/>
          <w:i w:val="1"/>
          <w:iCs w:val="1"/>
          <w:color w:val="auto"/>
        </w:rPr>
        <w:t>Fair Value Hierarchy</w:t>
      </w:r>
    </w:p>
    <w:p>
      <w:pPr>
        <w:spacing w:after="0" w:line="23" w:lineRule="exact"/>
        <w:rPr>
          <w:sz w:val="20"/>
          <w:szCs w:val="20"/>
          <w:color w:val="auto"/>
        </w:rPr>
      </w:pPr>
    </w:p>
    <w:p>
      <w:pPr>
        <w:ind w:left="4" w:right="100"/>
        <w:spacing w:after="0" w:line="277" w:lineRule="auto"/>
        <w:rPr>
          <w:sz w:val="20"/>
          <w:szCs w:val="20"/>
          <w:color w:val="auto"/>
        </w:rPr>
      </w:pPr>
      <w:r>
        <w:rPr>
          <w:rFonts w:ascii="Arial" w:cs="Arial" w:eastAsia="Arial" w:hAnsi="Arial"/>
          <w:sz w:val="16"/>
          <w:szCs w:val="16"/>
          <w:color w:val="auto"/>
        </w:rPr>
        <w:t>We discuss the valuation techniques we use to measure fair value and the definition of the three levels of the fair value hierarchy, as defined in SFAS 157, in Note 1 under "Fair Value Measurements" and in Note 2 under "FSP FAS 157-3."</w:t>
      </w:r>
    </w:p>
    <w:p>
      <w:pPr>
        <w:spacing w:after="0" w:line="32" w:lineRule="exact"/>
        <w:rPr>
          <w:sz w:val="20"/>
          <w:szCs w:val="20"/>
          <w:color w:val="auto"/>
        </w:rPr>
      </w:pPr>
    </w:p>
    <w:p>
      <w:pPr>
        <w:ind w:left="4"/>
        <w:spacing w:after="0" w:line="259" w:lineRule="auto"/>
        <w:rPr>
          <w:sz w:val="20"/>
          <w:szCs w:val="20"/>
          <w:color w:val="auto"/>
        </w:rPr>
      </w:pPr>
      <w:r>
        <w:rPr>
          <w:rFonts w:ascii="Arial" w:cs="Arial" w:eastAsia="Arial" w:hAnsi="Arial"/>
          <w:sz w:val="16"/>
          <w:szCs w:val="16"/>
          <w:color w:val="auto"/>
        </w:rPr>
        <w:t>The three tables below, by level within the fair value hierarchy, set forth our financial assets and liabilities that were accounted for at fair value on a recurring basis as of December 31, 2008 and 2007. As required by SFAS 157, we classify financial assets and liabilities in their entirety based on the lowest level of input that is significant to the fair value measurement. Our assessment of the significance of a particular input to the fair value measurement requires judgment, and may affect the valuation of fair value assets and liabilities, and their placement within the fair value hierarchy levels.</w:t>
      </w:r>
    </w:p>
    <w:p>
      <w:pPr>
        <w:spacing w:after="0" w:line="47" w:lineRule="exact"/>
        <w:rPr>
          <w:sz w:val="20"/>
          <w:szCs w:val="20"/>
          <w:color w:val="auto"/>
        </w:rPr>
      </w:pPr>
    </w:p>
    <w:p>
      <w:pPr>
        <w:ind w:left="4"/>
        <w:spacing w:after="0"/>
        <w:rPr>
          <w:sz w:val="20"/>
          <w:szCs w:val="20"/>
          <w:color w:val="auto"/>
        </w:rPr>
      </w:pPr>
      <w:r>
        <w:rPr>
          <w:rFonts w:ascii="Arial" w:cs="Arial" w:eastAsia="Arial" w:hAnsi="Arial"/>
          <w:sz w:val="15"/>
          <w:szCs w:val="15"/>
          <w:color w:val="auto"/>
        </w:rPr>
        <w:t>The fair value of commodity derivative assets and liabilities is determined in accordance with our netting policy, as discussed above under "Adoption of FSP FIN 39-1."</w:t>
      </w:r>
    </w:p>
    <w:p>
      <w:pPr>
        <w:spacing w:after="0" w:line="200" w:lineRule="exact"/>
        <w:rPr>
          <w:sz w:val="20"/>
          <w:szCs w:val="20"/>
          <w:color w:val="auto"/>
        </w:rPr>
      </w:pPr>
    </w:p>
    <w:p>
      <w:pPr>
        <w:spacing w:after="0" w:line="352" w:lineRule="exact"/>
        <w:rPr>
          <w:sz w:val="20"/>
          <w:szCs w:val="20"/>
          <w:color w:val="auto"/>
        </w:rPr>
      </w:pPr>
    </w:p>
    <w:p>
      <w:pPr>
        <w:ind w:left="4"/>
        <w:spacing w:after="0"/>
        <w:rPr>
          <w:sz w:val="20"/>
          <w:szCs w:val="20"/>
          <w:color w:val="auto"/>
        </w:rPr>
      </w:pPr>
      <w:r>
        <w:rPr>
          <w:rFonts w:ascii="Arial" w:cs="Arial" w:eastAsia="Arial" w:hAnsi="Arial"/>
          <w:sz w:val="14"/>
          <w:szCs w:val="14"/>
          <w:color w:val="auto"/>
        </w:rPr>
        <w:t>157</w:t>
      </w:r>
    </w:p>
    <w:p>
      <w:pPr>
        <w:sectPr>
          <w:pgSz w:w="11900" w:h="16838" w:orient="portrait"/>
          <w:cols w:equalWidth="0" w:num="1">
            <w:col w:w="11344"/>
          </w:cols>
          <w:pgMar w:left="236" w:top="124" w:right="319" w:bottom="1440" w:gutter="0" w:footer="0" w:header="0"/>
        </w:sectPr>
      </w:pPr>
    </w:p>
    <w:bookmarkStart w:id="297" w:name="page298"/>
    <w:bookmarkEnd w:id="297"/>
    <w:p>
      <w:pPr>
        <w:ind w:left="4"/>
        <w:spacing w:after="0" w:line="264" w:lineRule="auto"/>
        <w:rPr>
          <w:sz w:val="20"/>
          <w:szCs w:val="20"/>
          <w:color w:val="auto"/>
        </w:rPr>
      </w:pPr>
      <w:r>
        <w:rPr>
          <w:rFonts w:ascii="Arial" w:cs="Arial" w:eastAsia="Arial" w:hAnsi="Arial"/>
          <w:sz w:val="16"/>
          <w:szCs w:val="16"/>
          <w:color w:val="auto"/>
        </w:rPr>
        <w:t>Determining the fair values, shown in the tables below, incorporates various factors required under SFAS 157. These factors include not only the credit standing of the counterparties involved and the impact of credit enhancements (such as cash deposits, letters of credit and priority interests), but also the impact of the risk of our nonperformance on our liabilities.</w:t>
      </w:r>
    </w:p>
    <w:p>
      <w:pPr>
        <w:spacing w:after="0" w:line="42" w:lineRule="exact"/>
        <w:rPr>
          <w:sz w:val="20"/>
          <w:szCs w:val="20"/>
          <w:color w:val="auto"/>
        </w:rPr>
      </w:pPr>
    </w:p>
    <w:p>
      <w:pPr>
        <w:ind w:left="4"/>
        <w:spacing w:after="0"/>
        <w:rPr>
          <w:sz w:val="20"/>
          <w:szCs w:val="20"/>
          <w:color w:val="auto"/>
        </w:rPr>
      </w:pPr>
      <w:r>
        <w:rPr>
          <w:rFonts w:ascii="Arial" w:cs="Arial" w:eastAsia="Arial" w:hAnsi="Arial"/>
          <w:sz w:val="15"/>
          <w:szCs w:val="15"/>
          <w:color w:val="auto"/>
        </w:rPr>
        <w:t>Our financial assets and liabilities that were accounted for at fair value on a recurring basis as of December 31, 2008 and 2007 in the tables below include the following:</w:t>
      </w:r>
    </w:p>
    <w:p>
      <w:pPr>
        <w:spacing w:after="0" w:line="92" w:lineRule="exact"/>
        <w:rPr>
          <w:sz w:val="20"/>
          <w:szCs w:val="20"/>
          <w:color w:val="auto"/>
        </w:rPr>
      </w:pPr>
    </w:p>
    <w:p>
      <w:pPr>
        <w:ind w:left="144" w:right="1340" w:hanging="144"/>
        <w:spacing w:after="0" w:line="264" w:lineRule="auto"/>
        <w:tabs>
          <w:tab w:leader="none" w:pos="144" w:val="left"/>
        </w:tabs>
        <w:numPr>
          <w:ilvl w:val="0"/>
          <w:numId w:val="368"/>
        </w:numPr>
        <w:rPr>
          <w:rFonts w:ascii="Arial" w:cs="Arial" w:eastAsia="Arial" w:hAnsi="Arial"/>
          <w:sz w:val="16"/>
          <w:szCs w:val="16"/>
          <w:color w:val="auto"/>
        </w:rPr>
      </w:pPr>
      <w:r>
        <w:rPr>
          <w:rFonts w:ascii="Arial" w:cs="Arial" w:eastAsia="Arial" w:hAnsi="Arial"/>
          <w:sz w:val="16"/>
          <w:szCs w:val="16"/>
          <w:color w:val="auto"/>
        </w:rPr>
        <w:t>Nuclear decommissioning trusts reflect the assets of SDG&amp;E's nuclear decommissioning trusts, excluding cash balances, as we discuss in Note 7. The trust assets are valued by a third party trustee. The trustee obtains prices from pricing services that are derived from observable data. The trustee monitors the prices supplied by pricing services by validating pricing with other sources of data.</w:t>
      </w:r>
    </w:p>
    <w:p>
      <w:pPr>
        <w:spacing w:after="0" w:line="5" w:lineRule="exact"/>
        <w:rPr>
          <w:rFonts w:ascii="Arial" w:cs="Arial" w:eastAsia="Arial" w:hAnsi="Arial"/>
          <w:sz w:val="16"/>
          <w:szCs w:val="16"/>
          <w:color w:val="auto"/>
        </w:rPr>
      </w:pPr>
    </w:p>
    <w:p>
      <w:pPr>
        <w:ind w:left="144" w:right="1880" w:hanging="144"/>
        <w:spacing w:after="0" w:line="274" w:lineRule="auto"/>
        <w:tabs>
          <w:tab w:leader="none" w:pos="144" w:val="left"/>
        </w:tabs>
        <w:numPr>
          <w:ilvl w:val="0"/>
          <w:numId w:val="368"/>
        </w:numPr>
        <w:rPr>
          <w:rFonts w:ascii="Arial" w:cs="Arial" w:eastAsia="Arial" w:hAnsi="Arial"/>
          <w:sz w:val="16"/>
          <w:szCs w:val="16"/>
          <w:color w:val="auto"/>
        </w:rPr>
      </w:pPr>
      <w:r>
        <w:rPr>
          <w:rFonts w:ascii="Arial" w:cs="Arial" w:eastAsia="Arial" w:hAnsi="Arial"/>
          <w:sz w:val="16"/>
          <w:szCs w:val="16"/>
          <w:color w:val="auto"/>
        </w:rPr>
        <w:t>Investments include marketable securities and are primarily priced based on observable interest rates for similar instruments actively trading in the marketplace.</w:t>
      </w:r>
    </w:p>
    <w:p>
      <w:pPr>
        <w:ind w:left="144" w:right="1200" w:hanging="144"/>
        <w:spacing w:after="0" w:line="289" w:lineRule="auto"/>
        <w:tabs>
          <w:tab w:leader="none" w:pos="144" w:val="left"/>
        </w:tabs>
        <w:numPr>
          <w:ilvl w:val="0"/>
          <w:numId w:val="368"/>
        </w:numPr>
        <w:rPr>
          <w:rFonts w:ascii="Arial" w:cs="Arial" w:eastAsia="Arial" w:hAnsi="Arial"/>
          <w:sz w:val="15"/>
          <w:szCs w:val="15"/>
          <w:color w:val="auto"/>
        </w:rPr>
      </w:pPr>
      <w:r>
        <w:rPr>
          <w:rFonts w:ascii="Arial" w:cs="Arial" w:eastAsia="Arial" w:hAnsi="Arial"/>
          <w:sz w:val="15"/>
          <w:szCs w:val="15"/>
          <w:color w:val="auto"/>
        </w:rPr>
        <w:t>Commodity and other derivative positions, which include other interest-rate management instruments, are entered into primarily as a means to manage price exposures. We use market participant assumptions to price these derivatives. Market participant assumptions include those about risk, and the risk inherent in the inputs to the valuation technique. These inputs can be readily observable, market corroborated, or generally unobservable.</w:t>
      </w:r>
    </w:p>
    <w:p>
      <w:pPr>
        <w:spacing w:after="0" w:line="74" w:lineRule="exact"/>
        <w:rPr>
          <w:sz w:val="20"/>
          <w:szCs w:val="20"/>
          <w:color w:val="auto"/>
        </w:rPr>
      </w:pPr>
    </w:p>
    <w:p>
      <w:pPr>
        <w:ind w:left="4" w:right="120"/>
        <w:spacing w:after="0" w:line="308" w:lineRule="auto"/>
        <w:rPr>
          <w:sz w:val="20"/>
          <w:szCs w:val="20"/>
          <w:color w:val="auto"/>
        </w:rPr>
      </w:pPr>
      <w:r>
        <w:rPr>
          <w:rFonts w:ascii="Arial" w:cs="Arial" w:eastAsia="Arial" w:hAnsi="Arial"/>
          <w:sz w:val="14"/>
          <w:szCs w:val="14"/>
          <w:color w:val="auto"/>
        </w:rPr>
        <w:t>In the third quarter of 2007, the California Independent System Operator (ISO) began the process of allocating congestion revenue rights (CRRs) to load serving entities, including SDG&amp;E. These instruments are included with commodity derivatives and are recorded at fair value based on annual auction prices published by the California ISO. Prior to the ISO auction conducted in November 2008, the CRRs were priced based on discounted cash flows. They are classified as Level 3 and reflected in the Sempra Energy and SDG&amp;E tables below. Changes in the fair value of CRRs are deferred and recorded in regulatory accounts to the extent they are recoverable through rates.</w:t>
      </w:r>
    </w:p>
    <w:p>
      <w:pPr>
        <w:spacing w:after="0" w:line="200" w:lineRule="exact"/>
        <w:rPr>
          <w:sz w:val="20"/>
          <w:szCs w:val="20"/>
          <w:color w:val="auto"/>
        </w:rPr>
      </w:pPr>
    </w:p>
    <w:p>
      <w:pPr>
        <w:spacing w:after="0" w:line="203" w:lineRule="exact"/>
        <w:rPr>
          <w:sz w:val="20"/>
          <w:szCs w:val="20"/>
          <w:color w:val="auto"/>
        </w:rPr>
      </w:pPr>
    </w:p>
    <w:p>
      <w:pPr>
        <w:ind w:left="4"/>
        <w:spacing w:after="0"/>
        <w:rPr>
          <w:sz w:val="20"/>
          <w:szCs w:val="20"/>
          <w:color w:val="auto"/>
        </w:rPr>
      </w:pPr>
      <w:r>
        <w:rPr>
          <w:rFonts w:ascii="Arial" w:cs="Arial" w:eastAsia="Arial" w:hAnsi="Arial"/>
          <w:sz w:val="14"/>
          <w:szCs w:val="14"/>
          <w:color w:val="auto"/>
        </w:rPr>
        <w:t>158</w:t>
      </w:r>
    </w:p>
    <w:p>
      <w:pPr>
        <w:sectPr>
          <w:pgSz w:w="11900" w:h="16838" w:orient="portrait"/>
          <w:cols w:equalWidth="0" w:num="1">
            <w:col w:w="11424"/>
          </w:cols>
          <w:pgMar w:left="236" w:top="127" w:right="239" w:bottom="1440" w:gutter="0" w:footer="0" w:header="0"/>
        </w:sectPr>
      </w:pPr>
    </w:p>
    <w:bookmarkStart w:id="298" w:name="page299"/>
    <w:bookmarkEnd w:id="298"/>
    <w:p>
      <w:pPr>
        <w:ind w:left="1840"/>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1316990</wp:posOffset>
            </wp:positionH>
            <wp:positionV relativeFrom="page">
              <wp:posOffset>226695</wp:posOffset>
            </wp:positionV>
            <wp:extent cx="4935220" cy="26670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4935220" cy="266700"/>
                    </a:xfrm>
                    <a:prstGeom prst="rect">
                      <a:avLst/>
                    </a:prstGeom>
                    <a:noFill/>
                  </pic:spPr>
                </pic:pic>
              </a:graphicData>
            </a:graphic>
          </wp:anchor>
        </w:drawing>
        <w:t>RECURRING FAIR VALUE MEASURES – SEMPRA ENERGY CONSOLIDATED</w:t>
      </w:r>
    </w:p>
    <w:p>
      <w:pPr>
        <w:spacing w:after="0" w:line="76" w:lineRule="exact"/>
        <w:rPr>
          <w:sz w:val="20"/>
          <w:szCs w:val="20"/>
          <w:color w:val="auto"/>
        </w:rPr>
      </w:pPr>
    </w:p>
    <w:tbl>
      <w:tblPr>
        <w:tblLayout w:type="fixed"/>
        <w:tblInd w:w="1840" w:type="dxa"/>
        <w:tblCellMar>
          <w:top w:w="0" w:type="dxa"/>
          <w:left w:w="0" w:type="dxa"/>
          <w:bottom w:w="0" w:type="dxa"/>
          <w:right w:w="0" w:type="dxa"/>
        </w:tblCellMar>
      </w:tblPr>
      <w:tr>
        <w:trPr>
          <w:trHeight w:val="166"/>
        </w:trPr>
        <w:tc>
          <w:tcPr>
            <w:tcW w:w="2600" w:type="dxa"/>
            <w:vAlign w:val="bottom"/>
          </w:tcPr>
          <w:p>
            <w:pPr>
              <w:spacing w:after="0"/>
              <w:rPr>
                <w:sz w:val="20"/>
                <w:szCs w:val="20"/>
                <w:color w:val="auto"/>
              </w:rPr>
            </w:pPr>
            <w:r>
              <w:rPr>
                <w:rFonts w:ascii="Arial" w:cs="Arial" w:eastAsia="Arial" w:hAnsi="Arial"/>
                <w:sz w:val="13"/>
                <w:szCs w:val="13"/>
                <w:i w:val="1"/>
                <w:iCs w:val="1"/>
                <w:color w:val="auto"/>
              </w:rPr>
              <w:t>(Dollars in millions)</w:t>
            </w: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221"/>
        </w:trPr>
        <w:tc>
          <w:tcPr>
            <w:tcW w:w="26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2820" w:type="dxa"/>
            <w:vAlign w:val="bottom"/>
            <w:tcBorders>
              <w:bottom w:val="single" w:sz="8" w:color="auto"/>
            </w:tcBorders>
            <w:gridSpan w:val="5"/>
          </w:tcPr>
          <w:p>
            <w:pPr>
              <w:jc w:val="right"/>
              <w:ind w:right="409"/>
              <w:spacing w:after="0"/>
              <w:rPr>
                <w:sz w:val="20"/>
                <w:szCs w:val="20"/>
                <w:color w:val="auto"/>
              </w:rPr>
            </w:pPr>
            <w:r>
              <w:rPr>
                <w:rFonts w:ascii="Arial" w:cs="Arial" w:eastAsia="Arial" w:hAnsi="Arial"/>
                <w:sz w:val="13"/>
                <w:szCs w:val="13"/>
                <w:color w:val="auto"/>
              </w:rPr>
              <w:t>At fair value as of December 31</w:t>
            </w:r>
          </w:p>
        </w:tc>
        <w:tc>
          <w:tcPr>
            <w:tcW w:w="3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r>
      <w:tr>
        <w:trPr>
          <w:trHeight w:val="167"/>
        </w:trPr>
        <w:tc>
          <w:tcPr>
            <w:tcW w:w="2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jc w:val="center"/>
              <w:ind w:right="229"/>
              <w:spacing w:after="0"/>
              <w:rPr>
                <w:sz w:val="20"/>
                <w:szCs w:val="20"/>
                <w:color w:val="auto"/>
              </w:rPr>
            </w:pPr>
            <w:r>
              <w:rPr>
                <w:rFonts w:ascii="Arial" w:cs="Arial" w:eastAsia="Arial" w:hAnsi="Arial"/>
                <w:sz w:val="13"/>
                <w:szCs w:val="13"/>
                <w:color w:val="auto"/>
                <w:w w:val="97"/>
              </w:rPr>
              <w:t>Netting</w:t>
            </w:r>
          </w:p>
        </w:tc>
        <w:tc>
          <w:tcPr>
            <w:tcW w:w="38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56"/>
        </w:trPr>
        <w:tc>
          <w:tcPr>
            <w:tcW w:w="2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jc w:val="center"/>
              <w:ind w:right="189"/>
              <w:spacing w:after="0"/>
              <w:rPr>
                <w:sz w:val="20"/>
                <w:szCs w:val="20"/>
                <w:color w:val="auto"/>
              </w:rPr>
            </w:pPr>
            <w:r>
              <w:rPr>
                <w:rFonts w:ascii="Arial" w:cs="Arial" w:eastAsia="Arial" w:hAnsi="Arial"/>
                <w:sz w:val="13"/>
                <w:szCs w:val="13"/>
                <w:color w:val="auto"/>
                <w:w w:val="92"/>
              </w:rPr>
              <w:t>and</w:t>
            </w:r>
          </w:p>
        </w:tc>
        <w:tc>
          <w:tcPr>
            <w:tcW w:w="380" w:type="dxa"/>
            <w:vAlign w:val="bottom"/>
          </w:tcPr>
          <w:p>
            <w:pPr>
              <w:spacing w:after="0"/>
              <w:rPr>
                <w:sz w:val="13"/>
                <w:szCs w:val="13"/>
                <w:color w:val="auto"/>
              </w:rPr>
            </w:pPr>
          </w:p>
        </w:tc>
        <w:tc>
          <w:tcPr>
            <w:tcW w:w="720" w:type="dxa"/>
            <w:vAlign w:val="bottom"/>
          </w:tcPr>
          <w:p>
            <w:pPr>
              <w:spacing w:after="0"/>
              <w:rPr>
                <w:sz w:val="13"/>
                <w:szCs w:val="13"/>
                <w:color w:val="auto"/>
              </w:rPr>
            </w:pPr>
          </w:p>
        </w:tc>
      </w:tr>
      <w:tr>
        <w:trPr>
          <w:trHeight w:val="161"/>
        </w:trPr>
        <w:tc>
          <w:tcPr>
            <w:tcW w:w="26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48"/>
              <w:spacing w:after="0"/>
              <w:rPr>
                <w:sz w:val="20"/>
                <w:szCs w:val="20"/>
                <w:color w:val="auto"/>
              </w:rPr>
            </w:pPr>
            <w:r>
              <w:rPr>
                <w:rFonts w:ascii="Arial" w:cs="Arial" w:eastAsia="Arial" w:hAnsi="Arial"/>
                <w:sz w:val="13"/>
                <w:szCs w:val="13"/>
                <w:color w:val="auto"/>
              </w:rPr>
              <w:t>Level 1</w:t>
            </w:r>
          </w:p>
        </w:tc>
        <w:tc>
          <w:tcPr>
            <w:tcW w:w="2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189"/>
              <w:spacing w:after="0"/>
              <w:rPr>
                <w:sz w:val="20"/>
                <w:szCs w:val="20"/>
                <w:color w:val="auto"/>
              </w:rPr>
            </w:pPr>
            <w:r>
              <w:rPr>
                <w:rFonts w:ascii="Arial" w:cs="Arial" w:eastAsia="Arial" w:hAnsi="Arial"/>
                <w:sz w:val="13"/>
                <w:szCs w:val="13"/>
                <w:color w:val="auto"/>
              </w:rPr>
              <w:t>Level 2</w:t>
            </w:r>
          </w:p>
        </w:tc>
        <w:tc>
          <w:tcPr>
            <w:tcW w:w="2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28"/>
              <w:spacing w:after="0"/>
              <w:rPr>
                <w:sz w:val="20"/>
                <w:szCs w:val="20"/>
                <w:color w:val="auto"/>
              </w:rPr>
            </w:pPr>
            <w:r>
              <w:rPr>
                <w:rFonts w:ascii="Arial" w:cs="Arial" w:eastAsia="Arial" w:hAnsi="Arial"/>
                <w:sz w:val="13"/>
                <w:szCs w:val="13"/>
                <w:color w:val="auto"/>
              </w:rPr>
              <w:t>Level 3</w:t>
            </w: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center"/>
              <w:ind w:right="209"/>
              <w:spacing w:after="0"/>
              <w:rPr>
                <w:sz w:val="20"/>
                <w:szCs w:val="20"/>
                <w:color w:val="auto"/>
              </w:rPr>
            </w:pPr>
            <w:r>
              <w:rPr>
                <w:rFonts w:ascii="Arial" w:cs="Arial" w:eastAsia="Arial" w:hAnsi="Arial"/>
                <w:sz w:val="13"/>
                <w:szCs w:val="13"/>
                <w:color w:val="auto"/>
                <w:w w:val="98"/>
              </w:rPr>
              <w:t>Collateral</w:t>
            </w:r>
          </w:p>
        </w:tc>
        <w:tc>
          <w:tcPr>
            <w:tcW w:w="3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28"/>
              <w:spacing w:after="0"/>
              <w:rPr>
                <w:sz w:val="20"/>
                <w:szCs w:val="20"/>
                <w:color w:val="auto"/>
              </w:rPr>
            </w:pPr>
            <w:r>
              <w:rPr>
                <w:rFonts w:ascii="Arial" w:cs="Arial" w:eastAsia="Arial" w:hAnsi="Arial"/>
                <w:sz w:val="13"/>
                <w:szCs w:val="13"/>
                <w:color w:val="auto"/>
              </w:rPr>
              <w:t>Total</w:t>
            </w:r>
          </w:p>
        </w:tc>
      </w:tr>
      <w:tr>
        <w:trPr>
          <w:trHeight w:val="207"/>
        </w:trPr>
        <w:tc>
          <w:tcPr>
            <w:tcW w:w="2600" w:type="dxa"/>
            <w:vAlign w:val="bottom"/>
          </w:tcPr>
          <w:p>
            <w:pPr>
              <w:spacing w:after="0"/>
              <w:rPr>
                <w:sz w:val="20"/>
                <w:szCs w:val="20"/>
                <w:color w:val="auto"/>
              </w:rPr>
            </w:pPr>
            <w:r>
              <w:rPr>
                <w:rFonts w:ascii="Arial" w:cs="Arial" w:eastAsia="Arial" w:hAnsi="Arial"/>
                <w:sz w:val="14"/>
                <w:szCs w:val="14"/>
                <w:color w:val="auto"/>
              </w:rPr>
              <w:t>2008*:</w:t>
            </w: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16"/>
        </w:trPr>
        <w:tc>
          <w:tcPr>
            <w:tcW w:w="2600" w:type="dxa"/>
            <w:vAlign w:val="bottom"/>
          </w:tcPr>
          <w:p>
            <w:pPr>
              <w:spacing w:after="0"/>
              <w:rPr>
                <w:sz w:val="20"/>
                <w:szCs w:val="20"/>
                <w:color w:val="auto"/>
              </w:rPr>
            </w:pPr>
            <w:r>
              <w:rPr>
                <w:rFonts w:ascii="Arial" w:cs="Arial" w:eastAsia="Arial" w:hAnsi="Arial"/>
                <w:sz w:val="14"/>
                <w:szCs w:val="14"/>
                <w:color w:val="auto"/>
              </w:rPr>
              <w:t>Assets:</w:t>
            </w: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16"/>
        </w:trPr>
        <w:tc>
          <w:tcPr>
            <w:tcW w:w="2600" w:type="dxa"/>
            <w:vAlign w:val="bottom"/>
          </w:tcPr>
          <w:p>
            <w:pPr>
              <w:ind w:left="220"/>
              <w:spacing w:after="0"/>
              <w:rPr>
                <w:sz w:val="20"/>
                <w:szCs w:val="20"/>
                <w:color w:val="auto"/>
              </w:rPr>
            </w:pPr>
            <w:r>
              <w:rPr>
                <w:rFonts w:ascii="Arial" w:cs="Arial" w:eastAsia="Arial" w:hAnsi="Arial"/>
                <w:sz w:val="14"/>
                <w:szCs w:val="14"/>
                <w:color w:val="auto"/>
              </w:rPr>
              <w:t>Nuclear decommissioning trusts**</w:t>
            </w:r>
          </w:p>
        </w:tc>
        <w:tc>
          <w:tcPr>
            <w:tcW w:w="28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421</w:t>
            </w:r>
          </w:p>
        </w:tc>
        <w:tc>
          <w:tcPr>
            <w:tcW w:w="2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29"/>
              <w:spacing w:after="0"/>
              <w:rPr>
                <w:sz w:val="20"/>
                <w:szCs w:val="20"/>
                <w:color w:val="auto"/>
              </w:rPr>
            </w:pPr>
            <w:r>
              <w:rPr>
                <w:rFonts w:ascii="Arial" w:cs="Arial" w:eastAsia="Arial" w:hAnsi="Arial"/>
                <w:sz w:val="14"/>
                <w:szCs w:val="14"/>
                <w:color w:val="auto"/>
              </w:rPr>
              <w:t>148</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169"/>
              <w:spacing w:after="0"/>
              <w:rPr>
                <w:sz w:val="20"/>
                <w:szCs w:val="20"/>
                <w:color w:val="auto"/>
              </w:rPr>
            </w:pPr>
            <w:r>
              <w:rPr>
                <w:rFonts w:ascii="Arial" w:cs="Arial" w:eastAsia="Arial" w:hAnsi="Arial"/>
                <w:sz w:val="14"/>
                <w:szCs w:val="14"/>
                <w:color w:val="auto"/>
              </w:rPr>
              <w:t>--</w:t>
            </w:r>
          </w:p>
        </w:tc>
        <w:tc>
          <w:tcPr>
            <w:tcW w:w="38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569</w:t>
            </w:r>
          </w:p>
        </w:tc>
      </w:tr>
      <w:tr>
        <w:trPr>
          <w:trHeight w:val="216"/>
        </w:trPr>
        <w:tc>
          <w:tcPr>
            <w:tcW w:w="2600" w:type="dxa"/>
            <w:vAlign w:val="bottom"/>
          </w:tcPr>
          <w:p>
            <w:pPr>
              <w:ind w:left="220"/>
              <w:spacing w:after="0"/>
              <w:rPr>
                <w:sz w:val="20"/>
                <w:szCs w:val="20"/>
                <w:color w:val="auto"/>
              </w:rPr>
            </w:pPr>
            <w:r>
              <w:rPr>
                <w:rFonts w:ascii="Arial" w:cs="Arial" w:eastAsia="Arial" w:hAnsi="Arial"/>
                <w:sz w:val="14"/>
                <w:szCs w:val="14"/>
                <w:color w:val="auto"/>
              </w:rPr>
              <w:t>Investments</w:t>
            </w:r>
          </w:p>
        </w:tc>
        <w:tc>
          <w:tcPr>
            <w:tcW w:w="280" w:type="dxa"/>
            <w:vAlign w:val="bottom"/>
          </w:tcPr>
          <w:p>
            <w:pPr>
              <w:spacing w:after="0"/>
              <w:rPr>
                <w:sz w:val="18"/>
                <w:szCs w:val="18"/>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1</w:t>
            </w:r>
          </w:p>
        </w:tc>
        <w:tc>
          <w:tcPr>
            <w:tcW w:w="280" w:type="dxa"/>
            <w:vAlign w:val="bottom"/>
          </w:tcPr>
          <w:p>
            <w:pPr>
              <w:spacing w:after="0"/>
              <w:rPr>
                <w:sz w:val="18"/>
                <w:szCs w:val="18"/>
                <w:color w:val="auto"/>
              </w:rPr>
            </w:pPr>
          </w:p>
        </w:tc>
        <w:tc>
          <w:tcPr>
            <w:tcW w:w="760" w:type="dxa"/>
            <w:vAlign w:val="bottom"/>
          </w:tcPr>
          <w:p>
            <w:pPr>
              <w:jc w:val="right"/>
              <w:ind w:right="29"/>
              <w:spacing w:after="0"/>
              <w:rPr>
                <w:sz w:val="20"/>
                <w:szCs w:val="20"/>
                <w:color w:val="auto"/>
              </w:rPr>
            </w:pPr>
            <w:r>
              <w:rPr>
                <w:rFonts w:ascii="Arial" w:cs="Arial" w:eastAsia="Arial" w:hAnsi="Arial"/>
                <w:sz w:val="14"/>
                <w:szCs w:val="14"/>
                <w:color w:val="auto"/>
              </w:rPr>
              <w:t>176</w:t>
            </w:r>
          </w:p>
        </w:tc>
        <w:tc>
          <w:tcPr>
            <w:tcW w:w="240" w:type="dxa"/>
            <w:vAlign w:val="bottom"/>
          </w:tcPr>
          <w:p>
            <w:pPr>
              <w:spacing w:after="0"/>
              <w:rPr>
                <w:sz w:val="18"/>
                <w:szCs w:val="18"/>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8"/>
                <w:szCs w:val="18"/>
                <w:color w:val="auto"/>
              </w:rPr>
            </w:pPr>
          </w:p>
        </w:tc>
        <w:tc>
          <w:tcPr>
            <w:tcW w:w="900" w:type="dxa"/>
            <w:vAlign w:val="bottom"/>
          </w:tcPr>
          <w:p>
            <w:pPr>
              <w:jc w:val="right"/>
              <w:ind w:right="169"/>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177</w:t>
            </w:r>
          </w:p>
        </w:tc>
      </w:tr>
      <w:tr>
        <w:trPr>
          <w:trHeight w:val="216"/>
        </w:trPr>
        <w:tc>
          <w:tcPr>
            <w:tcW w:w="2600" w:type="dxa"/>
            <w:vAlign w:val="bottom"/>
          </w:tcPr>
          <w:p>
            <w:pPr>
              <w:ind w:left="220"/>
              <w:spacing w:after="0"/>
              <w:rPr>
                <w:sz w:val="20"/>
                <w:szCs w:val="20"/>
                <w:color w:val="auto"/>
              </w:rPr>
            </w:pPr>
            <w:r>
              <w:rPr>
                <w:rFonts w:ascii="Arial" w:cs="Arial" w:eastAsia="Arial" w:hAnsi="Arial"/>
                <w:sz w:val="14"/>
                <w:szCs w:val="14"/>
                <w:color w:val="auto"/>
              </w:rPr>
              <w:t>Commodity derivatives</w:t>
            </w:r>
          </w:p>
        </w:tc>
        <w:tc>
          <w:tcPr>
            <w:tcW w:w="280" w:type="dxa"/>
            <w:vAlign w:val="bottom"/>
          </w:tcPr>
          <w:p>
            <w:pPr>
              <w:spacing w:after="0"/>
              <w:rPr>
                <w:sz w:val="18"/>
                <w:szCs w:val="18"/>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55</w:t>
            </w:r>
          </w:p>
        </w:tc>
        <w:tc>
          <w:tcPr>
            <w:tcW w:w="280" w:type="dxa"/>
            <w:vAlign w:val="bottom"/>
          </w:tcPr>
          <w:p>
            <w:pPr>
              <w:spacing w:after="0"/>
              <w:rPr>
                <w:sz w:val="18"/>
                <w:szCs w:val="18"/>
                <w:color w:val="auto"/>
              </w:rPr>
            </w:pPr>
          </w:p>
        </w:tc>
        <w:tc>
          <w:tcPr>
            <w:tcW w:w="760" w:type="dxa"/>
            <w:vAlign w:val="bottom"/>
          </w:tcPr>
          <w:p>
            <w:pPr>
              <w:jc w:val="right"/>
              <w:ind w:right="29"/>
              <w:spacing w:after="0"/>
              <w:rPr>
                <w:sz w:val="20"/>
                <w:szCs w:val="20"/>
                <w:color w:val="auto"/>
              </w:rPr>
            </w:pPr>
            <w:r>
              <w:rPr>
                <w:rFonts w:ascii="Arial" w:cs="Arial" w:eastAsia="Arial" w:hAnsi="Arial"/>
                <w:sz w:val="14"/>
                <w:szCs w:val="14"/>
                <w:color w:val="auto"/>
              </w:rPr>
              <w:t>76</w:t>
            </w:r>
          </w:p>
        </w:tc>
        <w:tc>
          <w:tcPr>
            <w:tcW w:w="240" w:type="dxa"/>
            <w:vAlign w:val="bottom"/>
          </w:tcPr>
          <w:p>
            <w:pPr>
              <w:spacing w:after="0"/>
              <w:rPr>
                <w:sz w:val="18"/>
                <w:szCs w:val="18"/>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27</w:t>
            </w:r>
          </w:p>
        </w:tc>
        <w:tc>
          <w:tcPr>
            <w:tcW w:w="240" w:type="dxa"/>
            <w:vAlign w:val="bottom"/>
          </w:tcPr>
          <w:p>
            <w:pPr>
              <w:spacing w:after="0"/>
              <w:rPr>
                <w:sz w:val="18"/>
                <w:szCs w:val="18"/>
                <w:color w:val="auto"/>
              </w:rPr>
            </w:pPr>
          </w:p>
        </w:tc>
        <w:tc>
          <w:tcPr>
            <w:tcW w:w="900" w:type="dxa"/>
            <w:vAlign w:val="bottom"/>
          </w:tcPr>
          <w:p>
            <w:pPr>
              <w:jc w:val="right"/>
              <w:ind w:right="89"/>
              <w:spacing w:after="0"/>
              <w:rPr>
                <w:sz w:val="20"/>
                <w:szCs w:val="20"/>
                <w:color w:val="auto"/>
              </w:rPr>
            </w:pPr>
            <w:r>
              <w:rPr>
                <w:rFonts w:ascii="Arial" w:cs="Arial" w:eastAsia="Arial" w:hAnsi="Arial"/>
                <w:sz w:val="14"/>
                <w:szCs w:val="14"/>
                <w:color w:val="auto"/>
              </w:rPr>
              <w:t>(38 )</w:t>
            </w:r>
          </w:p>
        </w:tc>
        <w:tc>
          <w:tcPr>
            <w:tcW w:w="3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120</w:t>
            </w:r>
          </w:p>
        </w:tc>
      </w:tr>
      <w:tr>
        <w:trPr>
          <w:trHeight w:val="222"/>
        </w:trPr>
        <w:tc>
          <w:tcPr>
            <w:tcW w:w="2600" w:type="dxa"/>
            <w:vAlign w:val="bottom"/>
          </w:tcPr>
          <w:p>
            <w:pPr>
              <w:ind w:left="220"/>
              <w:spacing w:after="0"/>
              <w:rPr>
                <w:sz w:val="20"/>
                <w:szCs w:val="20"/>
                <w:color w:val="auto"/>
              </w:rPr>
            </w:pPr>
            <w:r>
              <w:rPr>
                <w:rFonts w:ascii="Arial" w:cs="Arial" w:eastAsia="Arial" w:hAnsi="Arial"/>
                <w:sz w:val="14"/>
                <w:szCs w:val="14"/>
                <w:color w:val="auto"/>
              </w:rPr>
              <w:t>Other derivatives</w:t>
            </w:r>
          </w:p>
        </w:tc>
        <w:tc>
          <w:tcPr>
            <w:tcW w:w="2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76</w:t>
            </w:r>
          </w:p>
        </w:tc>
        <w:tc>
          <w:tcPr>
            <w:tcW w:w="2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69"/>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76</w:t>
            </w:r>
          </w:p>
        </w:tc>
      </w:tr>
      <w:tr>
        <w:trPr>
          <w:trHeight w:val="200"/>
        </w:trPr>
        <w:tc>
          <w:tcPr>
            <w:tcW w:w="2600" w:type="dxa"/>
            <w:vAlign w:val="bottom"/>
          </w:tcPr>
          <w:p>
            <w:pPr>
              <w:spacing w:after="0"/>
              <w:rPr>
                <w:sz w:val="20"/>
                <w:szCs w:val="20"/>
                <w:color w:val="auto"/>
              </w:rPr>
            </w:pPr>
            <w:r>
              <w:rPr>
                <w:rFonts w:ascii="Arial" w:cs="Arial" w:eastAsia="Arial" w:hAnsi="Arial"/>
                <w:sz w:val="14"/>
                <w:szCs w:val="14"/>
                <w:color w:val="auto"/>
              </w:rPr>
              <w:t>Total</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477</w:t>
            </w:r>
          </w:p>
        </w:tc>
        <w:tc>
          <w:tcPr>
            <w:tcW w:w="2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476</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27</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rPr>
              <w:t>(38 )</w:t>
            </w:r>
          </w:p>
        </w:tc>
        <w:tc>
          <w:tcPr>
            <w:tcW w:w="3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942</w:t>
            </w:r>
          </w:p>
        </w:tc>
      </w:tr>
      <w:tr>
        <w:trPr>
          <w:trHeight w:val="426"/>
        </w:trPr>
        <w:tc>
          <w:tcPr>
            <w:tcW w:w="2600" w:type="dxa"/>
            <w:vAlign w:val="bottom"/>
          </w:tcPr>
          <w:p>
            <w:pPr>
              <w:spacing w:after="0"/>
              <w:rPr>
                <w:sz w:val="20"/>
                <w:szCs w:val="20"/>
                <w:color w:val="auto"/>
              </w:rPr>
            </w:pPr>
            <w:r>
              <w:rPr>
                <w:rFonts w:ascii="Arial" w:cs="Arial" w:eastAsia="Arial" w:hAnsi="Arial"/>
                <w:sz w:val="14"/>
                <w:szCs w:val="14"/>
                <w:color w:val="auto"/>
              </w:rPr>
              <w:t>Liabilities:</w:t>
            </w: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192"/>
        </w:trPr>
        <w:tc>
          <w:tcPr>
            <w:tcW w:w="2600" w:type="dxa"/>
            <w:vAlign w:val="bottom"/>
          </w:tcPr>
          <w:p>
            <w:pPr>
              <w:ind w:left="220"/>
              <w:spacing w:after="0"/>
              <w:rPr>
                <w:sz w:val="20"/>
                <w:szCs w:val="20"/>
                <w:color w:val="auto"/>
              </w:rPr>
            </w:pPr>
            <w:r>
              <w:rPr>
                <w:rFonts w:ascii="Arial" w:cs="Arial" w:eastAsia="Arial" w:hAnsi="Arial"/>
                <w:sz w:val="14"/>
                <w:szCs w:val="14"/>
                <w:color w:val="auto"/>
              </w:rPr>
              <w:t>Commodity derivatives</w:t>
            </w:r>
          </w:p>
        </w:tc>
        <w:tc>
          <w:tcPr>
            <w:tcW w:w="28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63</w:t>
            </w:r>
          </w:p>
        </w:tc>
        <w:tc>
          <w:tcPr>
            <w:tcW w:w="2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29"/>
              <w:spacing w:after="0"/>
              <w:rPr>
                <w:sz w:val="20"/>
                <w:szCs w:val="20"/>
                <w:color w:val="auto"/>
              </w:rPr>
            </w:pPr>
            <w:r>
              <w:rPr>
                <w:rFonts w:ascii="Arial" w:cs="Arial" w:eastAsia="Arial" w:hAnsi="Arial"/>
                <w:sz w:val="14"/>
                <w:szCs w:val="14"/>
                <w:color w:val="auto"/>
              </w:rPr>
              <w:t>110</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89"/>
              <w:spacing w:after="0"/>
              <w:rPr>
                <w:sz w:val="20"/>
                <w:szCs w:val="20"/>
                <w:color w:val="auto"/>
              </w:rPr>
            </w:pPr>
            <w:r>
              <w:rPr>
                <w:rFonts w:ascii="Arial" w:cs="Arial" w:eastAsia="Arial" w:hAnsi="Arial"/>
                <w:sz w:val="14"/>
                <w:szCs w:val="14"/>
                <w:color w:val="auto"/>
              </w:rPr>
              <w:t>(63 )</w:t>
            </w:r>
          </w:p>
        </w:tc>
        <w:tc>
          <w:tcPr>
            <w:tcW w:w="38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110</w:t>
            </w:r>
          </w:p>
        </w:tc>
      </w:tr>
      <w:tr>
        <w:trPr>
          <w:trHeight w:val="222"/>
        </w:trPr>
        <w:tc>
          <w:tcPr>
            <w:tcW w:w="2600" w:type="dxa"/>
            <w:vAlign w:val="bottom"/>
          </w:tcPr>
          <w:p>
            <w:pPr>
              <w:ind w:left="220"/>
              <w:spacing w:after="0"/>
              <w:rPr>
                <w:sz w:val="20"/>
                <w:szCs w:val="20"/>
                <w:color w:val="auto"/>
              </w:rPr>
            </w:pPr>
            <w:r>
              <w:rPr>
                <w:rFonts w:ascii="Arial" w:cs="Arial" w:eastAsia="Arial" w:hAnsi="Arial"/>
                <w:sz w:val="14"/>
                <w:szCs w:val="14"/>
                <w:color w:val="auto"/>
              </w:rPr>
              <w:t>Other derivatives</w:t>
            </w:r>
          </w:p>
        </w:tc>
        <w:tc>
          <w:tcPr>
            <w:tcW w:w="2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130</w:t>
            </w:r>
          </w:p>
        </w:tc>
        <w:tc>
          <w:tcPr>
            <w:tcW w:w="2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69"/>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130</w:t>
            </w:r>
          </w:p>
        </w:tc>
      </w:tr>
      <w:tr>
        <w:trPr>
          <w:trHeight w:val="200"/>
        </w:trPr>
        <w:tc>
          <w:tcPr>
            <w:tcW w:w="26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Total</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63</w:t>
            </w:r>
          </w:p>
        </w:tc>
        <w:tc>
          <w:tcPr>
            <w:tcW w:w="2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240</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rPr>
              <w:t>(63 )</w:t>
            </w:r>
          </w:p>
        </w:tc>
        <w:tc>
          <w:tcPr>
            <w:tcW w:w="3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240</w:t>
            </w:r>
          </w:p>
        </w:tc>
      </w:tr>
      <w:tr>
        <w:trPr>
          <w:trHeight w:val="210"/>
        </w:trPr>
        <w:tc>
          <w:tcPr>
            <w:tcW w:w="2600" w:type="dxa"/>
            <w:vAlign w:val="bottom"/>
          </w:tcPr>
          <w:p>
            <w:pPr>
              <w:spacing w:after="0"/>
              <w:rPr>
                <w:sz w:val="20"/>
                <w:szCs w:val="20"/>
                <w:color w:val="auto"/>
              </w:rPr>
            </w:pPr>
            <w:r>
              <w:rPr>
                <w:rFonts w:ascii="Arial" w:cs="Arial" w:eastAsia="Arial" w:hAnsi="Arial"/>
                <w:sz w:val="14"/>
                <w:szCs w:val="14"/>
                <w:color w:val="auto"/>
              </w:rPr>
              <w:t>2007***:</w:t>
            </w: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16"/>
        </w:trPr>
        <w:tc>
          <w:tcPr>
            <w:tcW w:w="2600" w:type="dxa"/>
            <w:vAlign w:val="bottom"/>
          </w:tcPr>
          <w:p>
            <w:pPr>
              <w:spacing w:after="0"/>
              <w:rPr>
                <w:sz w:val="20"/>
                <w:szCs w:val="20"/>
                <w:color w:val="auto"/>
              </w:rPr>
            </w:pPr>
            <w:r>
              <w:rPr>
                <w:rFonts w:ascii="Arial" w:cs="Arial" w:eastAsia="Arial" w:hAnsi="Arial"/>
                <w:sz w:val="14"/>
                <w:szCs w:val="14"/>
                <w:color w:val="auto"/>
              </w:rPr>
              <w:t>Assets:</w:t>
            </w: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192"/>
        </w:trPr>
        <w:tc>
          <w:tcPr>
            <w:tcW w:w="2600" w:type="dxa"/>
            <w:vAlign w:val="bottom"/>
          </w:tcPr>
          <w:p>
            <w:pPr>
              <w:ind w:left="220"/>
              <w:spacing w:after="0"/>
              <w:rPr>
                <w:sz w:val="20"/>
                <w:szCs w:val="20"/>
                <w:color w:val="auto"/>
              </w:rPr>
            </w:pPr>
            <w:r>
              <w:rPr>
                <w:rFonts w:ascii="Arial" w:cs="Arial" w:eastAsia="Arial" w:hAnsi="Arial"/>
                <w:sz w:val="14"/>
                <w:szCs w:val="14"/>
                <w:color w:val="auto"/>
              </w:rPr>
              <w:t>Trading derivatives</w:t>
            </w:r>
          </w:p>
        </w:tc>
        <w:tc>
          <w:tcPr>
            <w:tcW w:w="28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201</w:t>
            </w:r>
          </w:p>
        </w:tc>
        <w:tc>
          <w:tcPr>
            <w:tcW w:w="2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29"/>
              <w:spacing w:after="0"/>
              <w:rPr>
                <w:sz w:val="20"/>
                <w:szCs w:val="20"/>
                <w:color w:val="auto"/>
              </w:rPr>
            </w:pPr>
            <w:r>
              <w:rPr>
                <w:rFonts w:ascii="Arial" w:cs="Arial" w:eastAsia="Arial" w:hAnsi="Arial"/>
                <w:sz w:val="14"/>
                <w:szCs w:val="14"/>
                <w:color w:val="auto"/>
              </w:rPr>
              <w:t>2,943</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446</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89"/>
              <w:spacing w:after="0"/>
              <w:rPr>
                <w:sz w:val="20"/>
                <w:szCs w:val="20"/>
                <w:color w:val="auto"/>
              </w:rPr>
            </w:pPr>
            <w:r>
              <w:rPr>
                <w:rFonts w:ascii="Arial" w:cs="Arial" w:eastAsia="Arial" w:hAnsi="Arial"/>
                <w:sz w:val="14"/>
                <w:szCs w:val="14"/>
                <w:color w:val="auto"/>
              </w:rPr>
              <w:t>(1,197 )</w:t>
            </w:r>
          </w:p>
        </w:tc>
        <w:tc>
          <w:tcPr>
            <w:tcW w:w="38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2,393</w:t>
            </w:r>
          </w:p>
        </w:tc>
      </w:tr>
      <w:tr>
        <w:trPr>
          <w:trHeight w:val="216"/>
        </w:trPr>
        <w:tc>
          <w:tcPr>
            <w:tcW w:w="2600" w:type="dxa"/>
            <w:vAlign w:val="bottom"/>
          </w:tcPr>
          <w:p>
            <w:pPr>
              <w:ind w:left="220"/>
              <w:spacing w:after="0"/>
              <w:rPr>
                <w:sz w:val="20"/>
                <w:szCs w:val="20"/>
                <w:color w:val="auto"/>
              </w:rPr>
            </w:pPr>
            <w:r>
              <w:rPr>
                <w:rFonts w:ascii="Arial" w:cs="Arial" w:eastAsia="Arial" w:hAnsi="Arial"/>
                <w:sz w:val="14"/>
                <w:szCs w:val="14"/>
                <w:color w:val="auto"/>
              </w:rPr>
              <w:t>Commodity trading inventories</w:t>
            </w:r>
          </w:p>
        </w:tc>
        <w:tc>
          <w:tcPr>
            <w:tcW w:w="280" w:type="dxa"/>
            <w:vAlign w:val="bottom"/>
          </w:tcPr>
          <w:p>
            <w:pPr>
              <w:spacing w:after="0"/>
              <w:rPr>
                <w:sz w:val="18"/>
                <w:szCs w:val="18"/>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8"/>
                <w:szCs w:val="18"/>
                <w:color w:val="auto"/>
              </w:rPr>
            </w:pPr>
          </w:p>
        </w:tc>
        <w:tc>
          <w:tcPr>
            <w:tcW w:w="760" w:type="dxa"/>
            <w:vAlign w:val="bottom"/>
          </w:tcPr>
          <w:p>
            <w:pPr>
              <w:jc w:val="right"/>
              <w:ind w:right="29"/>
              <w:spacing w:after="0"/>
              <w:rPr>
                <w:sz w:val="20"/>
                <w:szCs w:val="20"/>
                <w:color w:val="auto"/>
              </w:rPr>
            </w:pPr>
            <w:r>
              <w:rPr>
                <w:rFonts w:ascii="Arial" w:cs="Arial" w:eastAsia="Arial" w:hAnsi="Arial"/>
                <w:sz w:val="14"/>
                <w:szCs w:val="14"/>
                <w:color w:val="auto"/>
              </w:rPr>
              <w:t>2,177</w:t>
            </w:r>
          </w:p>
        </w:tc>
        <w:tc>
          <w:tcPr>
            <w:tcW w:w="240" w:type="dxa"/>
            <w:vAlign w:val="bottom"/>
          </w:tcPr>
          <w:p>
            <w:pPr>
              <w:spacing w:after="0"/>
              <w:rPr>
                <w:sz w:val="18"/>
                <w:szCs w:val="18"/>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8"/>
                <w:szCs w:val="18"/>
                <w:color w:val="auto"/>
              </w:rPr>
            </w:pPr>
          </w:p>
        </w:tc>
        <w:tc>
          <w:tcPr>
            <w:tcW w:w="900" w:type="dxa"/>
            <w:vAlign w:val="bottom"/>
          </w:tcPr>
          <w:p>
            <w:pPr>
              <w:jc w:val="right"/>
              <w:ind w:right="169"/>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2,177</w:t>
            </w:r>
          </w:p>
        </w:tc>
      </w:tr>
      <w:tr>
        <w:trPr>
          <w:trHeight w:val="216"/>
        </w:trPr>
        <w:tc>
          <w:tcPr>
            <w:tcW w:w="2600" w:type="dxa"/>
            <w:vAlign w:val="bottom"/>
          </w:tcPr>
          <w:p>
            <w:pPr>
              <w:ind w:left="220"/>
              <w:spacing w:after="0"/>
              <w:rPr>
                <w:sz w:val="20"/>
                <w:szCs w:val="20"/>
                <w:color w:val="auto"/>
              </w:rPr>
            </w:pPr>
            <w:r>
              <w:rPr>
                <w:rFonts w:ascii="Arial" w:cs="Arial" w:eastAsia="Arial" w:hAnsi="Arial"/>
                <w:sz w:val="14"/>
                <w:szCs w:val="14"/>
                <w:color w:val="auto"/>
              </w:rPr>
              <w:t>Nuclear decommissioning trusts**</w:t>
            </w:r>
          </w:p>
        </w:tc>
        <w:tc>
          <w:tcPr>
            <w:tcW w:w="280" w:type="dxa"/>
            <w:vAlign w:val="bottom"/>
          </w:tcPr>
          <w:p>
            <w:pPr>
              <w:spacing w:after="0"/>
              <w:rPr>
                <w:sz w:val="18"/>
                <w:szCs w:val="18"/>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551</w:t>
            </w:r>
          </w:p>
        </w:tc>
        <w:tc>
          <w:tcPr>
            <w:tcW w:w="280" w:type="dxa"/>
            <w:vAlign w:val="bottom"/>
          </w:tcPr>
          <w:p>
            <w:pPr>
              <w:spacing w:after="0"/>
              <w:rPr>
                <w:sz w:val="18"/>
                <w:szCs w:val="18"/>
                <w:color w:val="auto"/>
              </w:rPr>
            </w:pPr>
          </w:p>
        </w:tc>
        <w:tc>
          <w:tcPr>
            <w:tcW w:w="760" w:type="dxa"/>
            <w:vAlign w:val="bottom"/>
          </w:tcPr>
          <w:p>
            <w:pPr>
              <w:jc w:val="right"/>
              <w:ind w:right="29"/>
              <w:spacing w:after="0"/>
              <w:rPr>
                <w:sz w:val="20"/>
                <w:szCs w:val="20"/>
                <w:color w:val="auto"/>
              </w:rPr>
            </w:pPr>
            <w:r>
              <w:rPr>
                <w:rFonts w:ascii="Arial" w:cs="Arial" w:eastAsia="Arial" w:hAnsi="Arial"/>
                <w:sz w:val="14"/>
                <w:szCs w:val="14"/>
                <w:color w:val="auto"/>
              </w:rPr>
              <w:t>175</w:t>
            </w:r>
          </w:p>
        </w:tc>
        <w:tc>
          <w:tcPr>
            <w:tcW w:w="240" w:type="dxa"/>
            <w:vAlign w:val="bottom"/>
          </w:tcPr>
          <w:p>
            <w:pPr>
              <w:spacing w:after="0"/>
              <w:rPr>
                <w:sz w:val="18"/>
                <w:szCs w:val="18"/>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8"/>
                <w:szCs w:val="18"/>
                <w:color w:val="auto"/>
              </w:rPr>
            </w:pPr>
          </w:p>
        </w:tc>
        <w:tc>
          <w:tcPr>
            <w:tcW w:w="900" w:type="dxa"/>
            <w:vAlign w:val="bottom"/>
          </w:tcPr>
          <w:p>
            <w:pPr>
              <w:jc w:val="right"/>
              <w:ind w:right="169"/>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726</w:t>
            </w:r>
          </w:p>
        </w:tc>
      </w:tr>
      <w:tr>
        <w:trPr>
          <w:trHeight w:val="216"/>
        </w:trPr>
        <w:tc>
          <w:tcPr>
            <w:tcW w:w="2600" w:type="dxa"/>
            <w:vAlign w:val="bottom"/>
          </w:tcPr>
          <w:p>
            <w:pPr>
              <w:ind w:left="220"/>
              <w:spacing w:after="0"/>
              <w:rPr>
                <w:sz w:val="20"/>
                <w:szCs w:val="20"/>
                <w:color w:val="auto"/>
              </w:rPr>
            </w:pPr>
            <w:r>
              <w:rPr>
                <w:rFonts w:ascii="Arial" w:cs="Arial" w:eastAsia="Arial" w:hAnsi="Arial"/>
                <w:sz w:val="14"/>
                <w:szCs w:val="14"/>
                <w:color w:val="auto"/>
              </w:rPr>
              <w:t>Investments</w:t>
            </w:r>
          </w:p>
        </w:tc>
        <w:tc>
          <w:tcPr>
            <w:tcW w:w="280" w:type="dxa"/>
            <w:vAlign w:val="bottom"/>
          </w:tcPr>
          <w:p>
            <w:pPr>
              <w:spacing w:after="0"/>
              <w:rPr>
                <w:sz w:val="18"/>
                <w:szCs w:val="18"/>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86</w:t>
            </w:r>
          </w:p>
        </w:tc>
        <w:tc>
          <w:tcPr>
            <w:tcW w:w="280" w:type="dxa"/>
            <w:vAlign w:val="bottom"/>
          </w:tcPr>
          <w:p>
            <w:pPr>
              <w:spacing w:after="0"/>
              <w:rPr>
                <w:sz w:val="18"/>
                <w:szCs w:val="18"/>
                <w:color w:val="auto"/>
              </w:rPr>
            </w:pPr>
          </w:p>
        </w:tc>
        <w:tc>
          <w:tcPr>
            <w:tcW w:w="760" w:type="dxa"/>
            <w:vAlign w:val="bottom"/>
          </w:tcPr>
          <w:p>
            <w:pPr>
              <w:jc w:val="right"/>
              <w:ind w:right="29"/>
              <w:spacing w:after="0"/>
              <w:rPr>
                <w:sz w:val="20"/>
                <w:szCs w:val="20"/>
                <w:color w:val="auto"/>
              </w:rPr>
            </w:pPr>
            <w:r>
              <w:rPr>
                <w:rFonts w:ascii="Arial" w:cs="Arial" w:eastAsia="Arial" w:hAnsi="Arial"/>
                <w:sz w:val="14"/>
                <w:szCs w:val="14"/>
                <w:color w:val="auto"/>
              </w:rPr>
              <w:t>6</w:t>
            </w:r>
          </w:p>
        </w:tc>
        <w:tc>
          <w:tcPr>
            <w:tcW w:w="240" w:type="dxa"/>
            <w:vAlign w:val="bottom"/>
          </w:tcPr>
          <w:p>
            <w:pPr>
              <w:spacing w:after="0"/>
              <w:rPr>
                <w:sz w:val="18"/>
                <w:szCs w:val="18"/>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7</w:t>
            </w:r>
          </w:p>
        </w:tc>
        <w:tc>
          <w:tcPr>
            <w:tcW w:w="240" w:type="dxa"/>
            <w:vAlign w:val="bottom"/>
          </w:tcPr>
          <w:p>
            <w:pPr>
              <w:spacing w:after="0"/>
              <w:rPr>
                <w:sz w:val="18"/>
                <w:szCs w:val="18"/>
                <w:color w:val="auto"/>
              </w:rPr>
            </w:pPr>
          </w:p>
        </w:tc>
        <w:tc>
          <w:tcPr>
            <w:tcW w:w="900" w:type="dxa"/>
            <w:vAlign w:val="bottom"/>
          </w:tcPr>
          <w:p>
            <w:pPr>
              <w:jc w:val="right"/>
              <w:ind w:right="169"/>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99</w:t>
            </w:r>
          </w:p>
        </w:tc>
      </w:tr>
      <w:tr>
        <w:trPr>
          <w:trHeight w:val="216"/>
        </w:trPr>
        <w:tc>
          <w:tcPr>
            <w:tcW w:w="2600" w:type="dxa"/>
            <w:vAlign w:val="bottom"/>
          </w:tcPr>
          <w:p>
            <w:pPr>
              <w:ind w:left="220"/>
              <w:spacing w:after="0"/>
              <w:rPr>
                <w:sz w:val="20"/>
                <w:szCs w:val="20"/>
                <w:color w:val="auto"/>
              </w:rPr>
            </w:pPr>
            <w:r>
              <w:rPr>
                <w:rFonts w:ascii="Arial" w:cs="Arial" w:eastAsia="Arial" w:hAnsi="Arial"/>
                <w:sz w:val="14"/>
                <w:szCs w:val="14"/>
                <w:color w:val="auto"/>
              </w:rPr>
              <w:t>Commodity derivatives</w:t>
            </w:r>
          </w:p>
        </w:tc>
        <w:tc>
          <w:tcPr>
            <w:tcW w:w="280" w:type="dxa"/>
            <w:vAlign w:val="bottom"/>
          </w:tcPr>
          <w:p>
            <w:pPr>
              <w:spacing w:after="0"/>
              <w:rPr>
                <w:sz w:val="18"/>
                <w:szCs w:val="18"/>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16</w:t>
            </w:r>
          </w:p>
        </w:tc>
        <w:tc>
          <w:tcPr>
            <w:tcW w:w="280" w:type="dxa"/>
            <w:vAlign w:val="bottom"/>
          </w:tcPr>
          <w:p>
            <w:pPr>
              <w:spacing w:after="0"/>
              <w:rPr>
                <w:sz w:val="18"/>
                <w:szCs w:val="18"/>
                <w:color w:val="auto"/>
              </w:rPr>
            </w:pPr>
          </w:p>
        </w:tc>
        <w:tc>
          <w:tcPr>
            <w:tcW w:w="760" w:type="dxa"/>
            <w:vAlign w:val="bottom"/>
          </w:tcPr>
          <w:p>
            <w:pPr>
              <w:jc w:val="right"/>
              <w:ind w:right="29"/>
              <w:spacing w:after="0"/>
              <w:rPr>
                <w:sz w:val="20"/>
                <w:szCs w:val="20"/>
                <w:color w:val="auto"/>
              </w:rPr>
            </w:pPr>
            <w:r>
              <w:rPr>
                <w:rFonts w:ascii="Arial" w:cs="Arial" w:eastAsia="Arial" w:hAnsi="Arial"/>
                <w:sz w:val="14"/>
                <w:szCs w:val="14"/>
                <w:color w:val="auto"/>
              </w:rPr>
              <w:t>5</w:t>
            </w:r>
          </w:p>
        </w:tc>
        <w:tc>
          <w:tcPr>
            <w:tcW w:w="240" w:type="dxa"/>
            <w:vAlign w:val="bottom"/>
          </w:tcPr>
          <w:p>
            <w:pPr>
              <w:spacing w:after="0"/>
              <w:rPr>
                <w:sz w:val="18"/>
                <w:szCs w:val="18"/>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7</w:t>
            </w:r>
          </w:p>
        </w:tc>
        <w:tc>
          <w:tcPr>
            <w:tcW w:w="240" w:type="dxa"/>
            <w:vAlign w:val="bottom"/>
          </w:tcPr>
          <w:p>
            <w:pPr>
              <w:spacing w:after="0"/>
              <w:rPr>
                <w:sz w:val="18"/>
                <w:szCs w:val="18"/>
                <w:color w:val="auto"/>
              </w:rPr>
            </w:pPr>
          </w:p>
        </w:tc>
        <w:tc>
          <w:tcPr>
            <w:tcW w:w="900" w:type="dxa"/>
            <w:vAlign w:val="bottom"/>
          </w:tcPr>
          <w:p>
            <w:pPr>
              <w:jc w:val="right"/>
              <w:ind w:right="169"/>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28</w:t>
            </w:r>
          </w:p>
        </w:tc>
      </w:tr>
      <w:tr>
        <w:trPr>
          <w:trHeight w:val="222"/>
        </w:trPr>
        <w:tc>
          <w:tcPr>
            <w:tcW w:w="2600" w:type="dxa"/>
            <w:vAlign w:val="bottom"/>
          </w:tcPr>
          <w:p>
            <w:pPr>
              <w:ind w:left="220"/>
              <w:spacing w:after="0"/>
              <w:rPr>
                <w:sz w:val="20"/>
                <w:szCs w:val="20"/>
                <w:color w:val="auto"/>
              </w:rPr>
            </w:pPr>
            <w:r>
              <w:rPr>
                <w:rFonts w:ascii="Arial" w:cs="Arial" w:eastAsia="Arial" w:hAnsi="Arial"/>
                <w:sz w:val="14"/>
                <w:szCs w:val="14"/>
                <w:color w:val="auto"/>
              </w:rPr>
              <w:t>Other derivatives</w:t>
            </w:r>
          </w:p>
        </w:tc>
        <w:tc>
          <w:tcPr>
            <w:tcW w:w="2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40</w:t>
            </w:r>
          </w:p>
        </w:tc>
        <w:tc>
          <w:tcPr>
            <w:tcW w:w="2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69"/>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w:t>
            </w:r>
          </w:p>
        </w:tc>
      </w:tr>
      <w:tr>
        <w:trPr>
          <w:trHeight w:val="200"/>
        </w:trPr>
        <w:tc>
          <w:tcPr>
            <w:tcW w:w="2600" w:type="dxa"/>
            <w:vAlign w:val="bottom"/>
          </w:tcPr>
          <w:p>
            <w:pPr>
              <w:spacing w:after="0"/>
              <w:rPr>
                <w:sz w:val="20"/>
                <w:szCs w:val="20"/>
                <w:color w:val="auto"/>
              </w:rPr>
            </w:pPr>
            <w:r>
              <w:rPr>
                <w:rFonts w:ascii="Arial" w:cs="Arial" w:eastAsia="Arial" w:hAnsi="Arial"/>
                <w:sz w:val="14"/>
                <w:szCs w:val="14"/>
                <w:color w:val="auto"/>
              </w:rPr>
              <w:t>Total</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854</w:t>
            </w:r>
          </w:p>
        </w:tc>
        <w:tc>
          <w:tcPr>
            <w:tcW w:w="2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5,346</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460</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rPr>
              <w:t>(1,197 )</w:t>
            </w:r>
          </w:p>
        </w:tc>
        <w:tc>
          <w:tcPr>
            <w:tcW w:w="3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5,463</w:t>
            </w:r>
          </w:p>
        </w:tc>
      </w:tr>
      <w:tr>
        <w:trPr>
          <w:trHeight w:val="426"/>
        </w:trPr>
        <w:tc>
          <w:tcPr>
            <w:tcW w:w="2600" w:type="dxa"/>
            <w:vAlign w:val="bottom"/>
          </w:tcPr>
          <w:p>
            <w:pPr>
              <w:spacing w:after="0"/>
              <w:rPr>
                <w:sz w:val="20"/>
                <w:szCs w:val="20"/>
                <w:color w:val="auto"/>
              </w:rPr>
            </w:pPr>
            <w:r>
              <w:rPr>
                <w:rFonts w:ascii="Arial" w:cs="Arial" w:eastAsia="Arial" w:hAnsi="Arial"/>
                <w:sz w:val="14"/>
                <w:szCs w:val="14"/>
                <w:color w:val="auto"/>
              </w:rPr>
              <w:t>Liabilities:</w:t>
            </w: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192"/>
        </w:trPr>
        <w:tc>
          <w:tcPr>
            <w:tcW w:w="2600" w:type="dxa"/>
            <w:vAlign w:val="bottom"/>
          </w:tcPr>
          <w:p>
            <w:pPr>
              <w:ind w:left="220"/>
              <w:spacing w:after="0"/>
              <w:rPr>
                <w:sz w:val="20"/>
                <w:szCs w:val="20"/>
                <w:color w:val="auto"/>
              </w:rPr>
            </w:pPr>
            <w:r>
              <w:rPr>
                <w:rFonts w:ascii="Arial" w:cs="Arial" w:eastAsia="Arial" w:hAnsi="Arial"/>
                <w:sz w:val="14"/>
                <w:szCs w:val="14"/>
                <w:color w:val="auto"/>
              </w:rPr>
              <w:t>Trading derivatives</w:t>
            </w:r>
          </w:p>
        </w:tc>
        <w:tc>
          <w:tcPr>
            <w:tcW w:w="28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200</w:t>
            </w:r>
          </w:p>
        </w:tc>
        <w:tc>
          <w:tcPr>
            <w:tcW w:w="2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29"/>
              <w:spacing w:after="0"/>
              <w:rPr>
                <w:sz w:val="20"/>
                <w:szCs w:val="20"/>
                <w:color w:val="auto"/>
              </w:rPr>
            </w:pPr>
            <w:r>
              <w:rPr>
                <w:rFonts w:ascii="Arial" w:cs="Arial" w:eastAsia="Arial" w:hAnsi="Arial"/>
                <w:sz w:val="14"/>
                <w:szCs w:val="14"/>
                <w:color w:val="auto"/>
              </w:rPr>
              <w:t>2,116</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59</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89"/>
              <w:spacing w:after="0"/>
              <w:rPr>
                <w:sz w:val="20"/>
                <w:szCs w:val="20"/>
                <w:color w:val="auto"/>
              </w:rPr>
            </w:pPr>
            <w:r>
              <w:rPr>
                <w:rFonts w:ascii="Arial" w:cs="Arial" w:eastAsia="Arial" w:hAnsi="Arial"/>
                <w:sz w:val="14"/>
                <w:szCs w:val="14"/>
                <w:color w:val="auto"/>
              </w:rPr>
              <w:t>(302 )</w:t>
            </w:r>
          </w:p>
        </w:tc>
        <w:tc>
          <w:tcPr>
            <w:tcW w:w="38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2,073</w:t>
            </w:r>
          </w:p>
        </w:tc>
      </w:tr>
      <w:tr>
        <w:trPr>
          <w:trHeight w:val="216"/>
        </w:trPr>
        <w:tc>
          <w:tcPr>
            <w:tcW w:w="2600" w:type="dxa"/>
            <w:vAlign w:val="bottom"/>
          </w:tcPr>
          <w:p>
            <w:pPr>
              <w:ind w:left="220"/>
              <w:spacing w:after="0"/>
              <w:rPr>
                <w:sz w:val="20"/>
                <w:szCs w:val="20"/>
                <w:color w:val="auto"/>
              </w:rPr>
            </w:pPr>
            <w:r>
              <w:rPr>
                <w:rFonts w:ascii="Arial" w:cs="Arial" w:eastAsia="Arial" w:hAnsi="Arial"/>
                <w:sz w:val="14"/>
                <w:szCs w:val="14"/>
                <w:color w:val="auto"/>
              </w:rPr>
              <w:t>Commodity derivatives</w:t>
            </w:r>
          </w:p>
        </w:tc>
        <w:tc>
          <w:tcPr>
            <w:tcW w:w="280" w:type="dxa"/>
            <w:vAlign w:val="bottom"/>
          </w:tcPr>
          <w:p>
            <w:pPr>
              <w:spacing w:after="0"/>
              <w:rPr>
                <w:sz w:val="18"/>
                <w:szCs w:val="18"/>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8"/>
                <w:szCs w:val="18"/>
                <w:color w:val="auto"/>
              </w:rPr>
            </w:pPr>
          </w:p>
        </w:tc>
        <w:tc>
          <w:tcPr>
            <w:tcW w:w="760" w:type="dxa"/>
            <w:vAlign w:val="bottom"/>
          </w:tcPr>
          <w:p>
            <w:pPr>
              <w:jc w:val="right"/>
              <w:ind w:right="29"/>
              <w:spacing w:after="0"/>
              <w:rPr>
                <w:sz w:val="20"/>
                <w:szCs w:val="20"/>
                <w:color w:val="auto"/>
              </w:rPr>
            </w:pPr>
            <w:r>
              <w:rPr>
                <w:rFonts w:ascii="Arial" w:cs="Arial" w:eastAsia="Arial" w:hAnsi="Arial"/>
                <w:sz w:val="14"/>
                <w:szCs w:val="14"/>
                <w:color w:val="auto"/>
              </w:rPr>
              <w:t>9</w:t>
            </w:r>
          </w:p>
        </w:tc>
        <w:tc>
          <w:tcPr>
            <w:tcW w:w="240" w:type="dxa"/>
            <w:vAlign w:val="bottom"/>
          </w:tcPr>
          <w:p>
            <w:pPr>
              <w:spacing w:after="0"/>
              <w:rPr>
                <w:sz w:val="18"/>
                <w:szCs w:val="18"/>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8"/>
                <w:szCs w:val="18"/>
                <w:color w:val="auto"/>
              </w:rPr>
            </w:pPr>
          </w:p>
        </w:tc>
        <w:tc>
          <w:tcPr>
            <w:tcW w:w="900" w:type="dxa"/>
            <w:vAlign w:val="bottom"/>
          </w:tcPr>
          <w:p>
            <w:pPr>
              <w:jc w:val="right"/>
              <w:ind w:right="169"/>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9</w:t>
            </w:r>
          </w:p>
        </w:tc>
      </w:tr>
      <w:tr>
        <w:trPr>
          <w:trHeight w:val="222"/>
        </w:trPr>
        <w:tc>
          <w:tcPr>
            <w:tcW w:w="2600" w:type="dxa"/>
            <w:vAlign w:val="bottom"/>
          </w:tcPr>
          <w:p>
            <w:pPr>
              <w:ind w:left="220"/>
              <w:spacing w:after="0"/>
              <w:rPr>
                <w:sz w:val="20"/>
                <w:szCs w:val="20"/>
                <w:color w:val="auto"/>
              </w:rPr>
            </w:pPr>
            <w:r>
              <w:rPr>
                <w:rFonts w:ascii="Arial" w:cs="Arial" w:eastAsia="Arial" w:hAnsi="Arial"/>
                <w:sz w:val="14"/>
                <w:szCs w:val="14"/>
                <w:color w:val="auto"/>
              </w:rPr>
              <w:t>Other derivatives</w:t>
            </w:r>
          </w:p>
        </w:tc>
        <w:tc>
          <w:tcPr>
            <w:tcW w:w="2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23</w:t>
            </w:r>
          </w:p>
        </w:tc>
        <w:tc>
          <w:tcPr>
            <w:tcW w:w="2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69"/>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w:t>
            </w:r>
          </w:p>
        </w:tc>
      </w:tr>
      <w:tr>
        <w:trPr>
          <w:trHeight w:val="200"/>
        </w:trPr>
        <w:tc>
          <w:tcPr>
            <w:tcW w:w="26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Total</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200</w:t>
            </w:r>
          </w:p>
        </w:tc>
        <w:tc>
          <w:tcPr>
            <w:tcW w:w="2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2,148</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59</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rPr>
              <w:t>(302 )</w:t>
            </w:r>
          </w:p>
        </w:tc>
        <w:tc>
          <w:tcPr>
            <w:tcW w:w="3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2,105</w:t>
            </w:r>
          </w:p>
        </w:tc>
      </w:tr>
    </w:tbl>
    <w:p>
      <w:pPr>
        <w:spacing w:after="0" w:line="16" w:lineRule="exact"/>
        <w:rPr>
          <w:sz w:val="20"/>
          <w:szCs w:val="20"/>
          <w:color w:val="auto"/>
        </w:rPr>
      </w:pPr>
    </w:p>
    <w:p>
      <w:pPr>
        <w:ind w:left="1840" w:right="2819"/>
        <w:spacing w:after="0" w:line="284" w:lineRule="auto"/>
        <w:tabs>
          <w:tab w:leader="none" w:pos="2164" w:val="left"/>
        </w:tabs>
        <w:numPr>
          <w:ilvl w:val="0"/>
          <w:numId w:val="369"/>
        </w:numPr>
        <w:rPr>
          <w:rFonts w:ascii="Arial" w:cs="Arial" w:eastAsia="Arial" w:hAnsi="Arial"/>
          <w:sz w:val="14"/>
          <w:szCs w:val="14"/>
          <w:color w:val="auto"/>
        </w:rPr>
      </w:pPr>
      <w:r>
        <w:rPr>
          <w:rFonts w:ascii="Arial" w:cs="Arial" w:eastAsia="Arial" w:hAnsi="Arial"/>
          <w:sz w:val="13"/>
          <w:szCs w:val="13"/>
          <w:i w:val="1"/>
          <w:iCs w:val="1"/>
          <w:color w:val="auto"/>
        </w:rPr>
        <w:t xml:space="preserve">On April 1, 2008, the commodities-marketing businesses were sold, as we discuss in Note 3. </w:t>
      </w:r>
      <w:r>
        <w:rPr>
          <w:rFonts w:ascii="Arial" w:cs="Arial" w:eastAsia="Arial" w:hAnsi="Arial"/>
          <w:sz w:val="14"/>
          <w:szCs w:val="14"/>
          <w:color w:val="auto"/>
        </w:rPr>
        <w:t xml:space="preserve">** </w:t>
      </w:r>
      <w:r>
        <w:rPr>
          <w:rFonts w:ascii="Arial" w:cs="Arial" w:eastAsia="Arial" w:hAnsi="Arial"/>
          <w:sz w:val="12"/>
          <w:szCs w:val="12"/>
          <w:i w:val="1"/>
          <w:iCs w:val="1"/>
          <w:color w:val="auto"/>
        </w:rPr>
        <w:t>Excludes cash balances.</w:t>
      </w:r>
    </w:p>
    <w:p>
      <w:pPr>
        <w:ind w:left="1840"/>
        <w:spacing w:after="0"/>
        <w:rPr>
          <w:rFonts w:ascii="Arial" w:cs="Arial" w:eastAsia="Arial" w:hAnsi="Arial"/>
          <w:sz w:val="14"/>
          <w:szCs w:val="14"/>
          <w:color w:val="auto"/>
        </w:rPr>
      </w:pPr>
      <w:r>
        <w:rPr>
          <w:rFonts w:ascii="Arial" w:cs="Arial" w:eastAsia="Arial" w:hAnsi="Arial"/>
          <w:sz w:val="14"/>
          <w:szCs w:val="14"/>
          <w:color w:val="auto"/>
        </w:rPr>
        <w:t xml:space="preserve">***  </w:t>
      </w:r>
      <w:r>
        <w:rPr>
          <w:rFonts w:ascii="Arial" w:cs="Arial" w:eastAsia="Arial" w:hAnsi="Arial"/>
          <w:sz w:val="12"/>
          <w:szCs w:val="12"/>
          <w:i w:val="1"/>
          <w:iCs w:val="1"/>
          <w:color w:val="auto"/>
        </w:rPr>
        <w:t>Amounts have been reclassified to reflect the retrospective application of FSP FIN 39-1.</w:t>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4"/>
          <w:szCs w:val="14"/>
          <w:color w:val="auto"/>
        </w:rPr>
        <w:t>159</w:t>
      </w:r>
    </w:p>
    <w:p>
      <w:pPr>
        <w:sectPr>
          <w:pgSz w:w="11900" w:h="16838" w:orient="portrait"/>
          <w:cols w:equalWidth="0" w:num="1">
            <w:col w:w="10219"/>
          </w:cols>
          <w:pgMar w:left="240" w:top="364" w:right="1440" w:bottom="1440" w:gutter="0" w:footer="0" w:header="0"/>
        </w:sectPr>
      </w:pPr>
    </w:p>
    <w:bookmarkStart w:id="299" w:name="page300"/>
    <w:bookmarkEnd w:id="299"/>
    <w:p>
      <w:pPr>
        <w:ind w:left="1840"/>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1316990</wp:posOffset>
            </wp:positionH>
            <wp:positionV relativeFrom="page">
              <wp:posOffset>226695</wp:posOffset>
            </wp:positionV>
            <wp:extent cx="4935220" cy="26670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4935220" cy="266700"/>
                    </a:xfrm>
                    <a:prstGeom prst="rect">
                      <a:avLst/>
                    </a:prstGeom>
                    <a:noFill/>
                  </pic:spPr>
                </pic:pic>
              </a:graphicData>
            </a:graphic>
          </wp:anchor>
        </w:drawing>
        <w:t>RECURRING FAIR VALUE MEASURES – SDG&amp;E</w:t>
      </w:r>
    </w:p>
    <w:p>
      <w:pPr>
        <w:spacing w:after="0" w:line="76" w:lineRule="exact"/>
        <w:rPr>
          <w:sz w:val="20"/>
          <w:szCs w:val="20"/>
          <w:color w:val="auto"/>
        </w:rPr>
      </w:pPr>
    </w:p>
    <w:tbl>
      <w:tblPr>
        <w:tblLayout w:type="fixed"/>
        <w:tblInd w:w="1840" w:type="dxa"/>
        <w:tblCellMar>
          <w:top w:w="0" w:type="dxa"/>
          <w:left w:w="0" w:type="dxa"/>
          <w:bottom w:w="0" w:type="dxa"/>
          <w:right w:w="0" w:type="dxa"/>
        </w:tblCellMar>
      </w:tblPr>
      <w:tr>
        <w:trPr>
          <w:trHeight w:val="166"/>
        </w:trPr>
        <w:tc>
          <w:tcPr>
            <w:tcW w:w="2600" w:type="dxa"/>
            <w:vAlign w:val="bottom"/>
          </w:tcPr>
          <w:p>
            <w:pPr>
              <w:spacing w:after="0"/>
              <w:rPr>
                <w:sz w:val="20"/>
                <w:szCs w:val="20"/>
                <w:color w:val="auto"/>
              </w:rPr>
            </w:pPr>
            <w:r>
              <w:rPr>
                <w:rFonts w:ascii="Arial" w:cs="Arial" w:eastAsia="Arial" w:hAnsi="Arial"/>
                <w:sz w:val="13"/>
                <w:szCs w:val="13"/>
                <w:i w:val="1"/>
                <w:iCs w:val="1"/>
                <w:color w:val="auto"/>
              </w:rPr>
              <w:t>(Dollars in millions)</w:t>
            </w: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221"/>
        </w:trPr>
        <w:tc>
          <w:tcPr>
            <w:tcW w:w="26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2820" w:type="dxa"/>
            <w:vAlign w:val="bottom"/>
            <w:tcBorders>
              <w:bottom w:val="single" w:sz="8" w:color="auto"/>
            </w:tcBorders>
            <w:gridSpan w:val="5"/>
          </w:tcPr>
          <w:p>
            <w:pPr>
              <w:jc w:val="right"/>
              <w:ind w:right="409"/>
              <w:spacing w:after="0"/>
              <w:rPr>
                <w:sz w:val="20"/>
                <w:szCs w:val="20"/>
                <w:color w:val="auto"/>
              </w:rPr>
            </w:pPr>
            <w:r>
              <w:rPr>
                <w:rFonts w:ascii="Arial" w:cs="Arial" w:eastAsia="Arial" w:hAnsi="Arial"/>
                <w:sz w:val="13"/>
                <w:szCs w:val="13"/>
                <w:color w:val="auto"/>
              </w:rPr>
              <w:t>At fair value as of December 31</w:t>
            </w:r>
          </w:p>
        </w:tc>
        <w:tc>
          <w:tcPr>
            <w:tcW w:w="3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r>
      <w:tr>
        <w:trPr>
          <w:trHeight w:val="167"/>
        </w:trPr>
        <w:tc>
          <w:tcPr>
            <w:tcW w:w="2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jc w:val="center"/>
              <w:ind w:right="229"/>
              <w:spacing w:after="0"/>
              <w:rPr>
                <w:sz w:val="20"/>
                <w:szCs w:val="20"/>
                <w:color w:val="auto"/>
              </w:rPr>
            </w:pPr>
            <w:r>
              <w:rPr>
                <w:rFonts w:ascii="Arial" w:cs="Arial" w:eastAsia="Arial" w:hAnsi="Arial"/>
                <w:sz w:val="13"/>
                <w:szCs w:val="13"/>
                <w:color w:val="auto"/>
                <w:w w:val="97"/>
              </w:rPr>
              <w:t>Netting</w:t>
            </w:r>
          </w:p>
        </w:tc>
        <w:tc>
          <w:tcPr>
            <w:tcW w:w="38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56"/>
        </w:trPr>
        <w:tc>
          <w:tcPr>
            <w:tcW w:w="2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jc w:val="center"/>
              <w:ind w:right="189"/>
              <w:spacing w:after="0"/>
              <w:rPr>
                <w:sz w:val="20"/>
                <w:szCs w:val="20"/>
                <w:color w:val="auto"/>
              </w:rPr>
            </w:pPr>
            <w:r>
              <w:rPr>
                <w:rFonts w:ascii="Arial" w:cs="Arial" w:eastAsia="Arial" w:hAnsi="Arial"/>
                <w:sz w:val="13"/>
                <w:szCs w:val="13"/>
                <w:color w:val="auto"/>
                <w:w w:val="92"/>
              </w:rPr>
              <w:t>and</w:t>
            </w:r>
          </w:p>
        </w:tc>
        <w:tc>
          <w:tcPr>
            <w:tcW w:w="380" w:type="dxa"/>
            <w:vAlign w:val="bottom"/>
          </w:tcPr>
          <w:p>
            <w:pPr>
              <w:spacing w:after="0"/>
              <w:rPr>
                <w:sz w:val="13"/>
                <w:szCs w:val="13"/>
                <w:color w:val="auto"/>
              </w:rPr>
            </w:pPr>
          </w:p>
        </w:tc>
        <w:tc>
          <w:tcPr>
            <w:tcW w:w="720" w:type="dxa"/>
            <w:vAlign w:val="bottom"/>
          </w:tcPr>
          <w:p>
            <w:pPr>
              <w:spacing w:after="0"/>
              <w:rPr>
                <w:sz w:val="13"/>
                <w:szCs w:val="13"/>
                <w:color w:val="auto"/>
              </w:rPr>
            </w:pPr>
          </w:p>
        </w:tc>
      </w:tr>
      <w:tr>
        <w:trPr>
          <w:trHeight w:val="161"/>
        </w:trPr>
        <w:tc>
          <w:tcPr>
            <w:tcW w:w="26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49"/>
              <w:spacing w:after="0"/>
              <w:rPr>
                <w:sz w:val="20"/>
                <w:szCs w:val="20"/>
                <w:color w:val="auto"/>
              </w:rPr>
            </w:pPr>
            <w:r>
              <w:rPr>
                <w:rFonts w:ascii="Arial" w:cs="Arial" w:eastAsia="Arial" w:hAnsi="Arial"/>
                <w:sz w:val="13"/>
                <w:szCs w:val="13"/>
                <w:color w:val="auto"/>
              </w:rPr>
              <w:t>Level 1</w:t>
            </w:r>
          </w:p>
        </w:tc>
        <w:tc>
          <w:tcPr>
            <w:tcW w:w="2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189"/>
              <w:spacing w:after="0"/>
              <w:rPr>
                <w:sz w:val="20"/>
                <w:szCs w:val="20"/>
                <w:color w:val="auto"/>
              </w:rPr>
            </w:pPr>
            <w:r>
              <w:rPr>
                <w:rFonts w:ascii="Arial" w:cs="Arial" w:eastAsia="Arial" w:hAnsi="Arial"/>
                <w:sz w:val="13"/>
                <w:szCs w:val="13"/>
                <w:color w:val="auto"/>
              </w:rPr>
              <w:t>Level 2</w:t>
            </w:r>
          </w:p>
        </w:tc>
        <w:tc>
          <w:tcPr>
            <w:tcW w:w="2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29"/>
              <w:spacing w:after="0"/>
              <w:rPr>
                <w:sz w:val="20"/>
                <w:szCs w:val="20"/>
                <w:color w:val="auto"/>
              </w:rPr>
            </w:pPr>
            <w:r>
              <w:rPr>
                <w:rFonts w:ascii="Arial" w:cs="Arial" w:eastAsia="Arial" w:hAnsi="Arial"/>
                <w:sz w:val="13"/>
                <w:szCs w:val="13"/>
                <w:color w:val="auto"/>
              </w:rPr>
              <w:t>Level 3</w:t>
            </w: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center"/>
              <w:ind w:right="209"/>
              <w:spacing w:after="0"/>
              <w:rPr>
                <w:sz w:val="20"/>
                <w:szCs w:val="20"/>
                <w:color w:val="auto"/>
              </w:rPr>
            </w:pPr>
            <w:r>
              <w:rPr>
                <w:rFonts w:ascii="Arial" w:cs="Arial" w:eastAsia="Arial" w:hAnsi="Arial"/>
                <w:sz w:val="13"/>
                <w:szCs w:val="13"/>
                <w:color w:val="auto"/>
                <w:w w:val="98"/>
              </w:rPr>
              <w:t>Collateral</w:t>
            </w:r>
          </w:p>
        </w:tc>
        <w:tc>
          <w:tcPr>
            <w:tcW w:w="3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29"/>
              <w:spacing w:after="0"/>
              <w:rPr>
                <w:sz w:val="20"/>
                <w:szCs w:val="20"/>
                <w:color w:val="auto"/>
              </w:rPr>
            </w:pPr>
            <w:r>
              <w:rPr>
                <w:rFonts w:ascii="Arial" w:cs="Arial" w:eastAsia="Arial" w:hAnsi="Arial"/>
                <w:sz w:val="13"/>
                <w:szCs w:val="13"/>
                <w:color w:val="auto"/>
              </w:rPr>
              <w:t>Total</w:t>
            </w:r>
          </w:p>
        </w:tc>
      </w:tr>
      <w:tr>
        <w:trPr>
          <w:trHeight w:val="207"/>
        </w:trPr>
        <w:tc>
          <w:tcPr>
            <w:tcW w:w="2600" w:type="dxa"/>
            <w:vAlign w:val="bottom"/>
          </w:tcPr>
          <w:p>
            <w:pPr>
              <w:spacing w:after="0"/>
              <w:rPr>
                <w:sz w:val="20"/>
                <w:szCs w:val="20"/>
                <w:color w:val="auto"/>
              </w:rPr>
            </w:pPr>
            <w:r>
              <w:rPr>
                <w:rFonts w:ascii="Arial" w:cs="Arial" w:eastAsia="Arial" w:hAnsi="Arial"/>
                <w:sz w:val="14"/>
                <w:szCs w:val="14"/>
                <w:color w:val="auto"/>
              </w:rPr>
              <w:t>2008:</w:t>
            </w: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16"/>
        </w:trPr>
        <w:tc>
          <w:tcPr>
            <w:tcW w:w="2600" w:type="dxa"/>
            <w:vAlign w:val="bottom"/>
          </w:tcPr>
          <w:p>
            <w:pPr>
              <w:spacing w:after="0"/>
              <w:rPr>
                <w:sz w:val="20"/>
                <w:szCs w:val="20"/>
                <w:color w:val="auto"/>
              </w:rPr>
            </w:pPr>
            <w:r>
              <w:rPr>
                <w:rFonts w:ascii="Arial" w:cs="Arial" w:eastAsia="Arial" w:hAnsi="Arial"/>
                <w:sz w:val="14"/>
                <w:szCs w:val="14"/>
                <w:color w:val="auto"/>
              </w:rPr>
              <w:t>Assets:</w:t>
            </w: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16"/>
        </w:trPr>
        <w:tc>
          <w:tcPr>
            <w:tcW w:w="2600" w:type="dxa"/>
            <w:vAlign w:val="bottom"/>
          </w:tcPr>
          <w:p>
            <w:pPr>
              <w:ind w:left="220"/>
              <w:spacing w:after="0"/>
              <w:rPr>
                <w:sz w:val="20"/>
                <w:szCs w:val="20"/>
                <w:color w:val="auto"/>
              </w:rPr>
            </w:pPr>
            <w:r>
              <w:rPr>
                <w:rFonts w:ascii="Arial" w:cs="Arial" w:eastAsia="Arial" w:hAnsi="Arial"/>
                <w:sz w:val="14"/>
                <w:szCs w:val="14"/>
                <w:color w:val="auto"/>
              </w:rPr>
              <w:t>Commodity derivatives</w:t>
            </w:r>
          </w:p>
        </w:tc>
        <w:tc>
          <w:tcPr>
            <w:tcW w:w="28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49"/>
              <w:spacing w:after="0"/>
              <w:rPr>
                <w:sz w:val="20"/>
                <w:szCs w:val="20"/>
                <w:color w:val="auto"/>
              </w:rPr>
            </w:pPr>
            <w:r>
              <w:rPr>
                <w:rFonts w:ascii="Arial" w:cs="Arial" w:eastAsia="Arial" w:hAnsi="Arial"/>
                <w:sz w:val="14"/>
                <w:szCs w:val="14"/>
                <w:color w:val="auto"/>
              </w:rPr>
              <w:t>21</w:t>
            </w:r>
          </w:p>
        </w:tc>
        <w:tc>
          <w:tcPr>
            <w:tcW w:w="2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29"/>
              <w:spacing w:after="0"/>
              <w:rPr>
                <w:sz w:val="20"/>
                <w:szCs w:val="20"/>
                <w:color w:val="auto"/>
              </w:rPr>
            </w:pPr>
            <w:r>
              <w:rPr>
                <w:rFonts w:ascii="Arial" w:cs="Arial" w:eastAsia="Arial" w:hAnsi="Arial"/>
                <w:sz w:val="14"/>
                <w:szCs w:val="14"/>
                <w:color w:val="auto"/>
              </w:rPr>
              <w:t>27</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169"/>
              <w:spacing w:after="0"/>
              <w:rPr>
                <w:sz w:val="20"/>
                <w:szCs w:val="20"/>
                <w:color w:val="auto"/>
              </w:rPr>
            </w:pPr>
            <w:r>
              <w:rPr>
                <w:rFonts w:ascii="Arial" w:cs="Arial" w:eastAsia="Arial" w:hAnsi="Arial"/>
                <w:sz w:val="14"/>
                <w:szCs w:val="14"/>
                <w:color w:val="auto"/>
              </w:rPr>
              <w:t>--</w:t>
            </w:r>
          </w:p>
        </w:tc>
        <w:tc>
          <w:tcPr>
            <w:tcW w:w="38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48</w:t>
            </w:r>
          </w:p>
        </w:tc>
      </w:tr>
      <w:tr>
        <w:trPr>
          <w:trHeight w:val="216"/>
        </w:trPr>
        <w:tc>
          <w:tcPr>
            <w:tcW w:w="2600" w:type="dxa"/>
            <w:vAlign w:val="bottom"/>
          </w:tcPr>
          <w:p>
            <w:pPr>
              <w:ind w:left="220"/>
              <w:spacing w:after="0"/>
              <w:rPr>
                <w:sz w:val="20"/>
                <w:szCs w:val="20"/>
                <w:color w:val="auto"/>
              </w:rPr>
            </w:pPr>
            <w:r>
              <w:rPr>
                <w:rFonts w:ascii="Arial" w:cs="Arial" w:eastAsia="Arial" w:hAnsi="Arial"/>
                <w:sz w:val="14"/>
                <w:szCs w:val="14"/>
                <w:color w:val="auto"/>
              </w:rPr>
              <w:t>Nuclear decommissioning trusts*</w:t>
            </w:r>
          </w:p>
        </w:tc>
        <w:tc>
          <w:tcPr>
            <w:tcW w:w="280" w:type="dxa"/>
            <w:vAlign w:val="bottom"/>
          </w:tcPr>
          <w:p>
            <w:pPr>
              <w:spacing w:after="0"/>
              <w:rPr>
                <w:sz w:val="18"/>
                <w:szCs w:val="18"/>
                <w:color w:val="auto"/>
              </w:rPr>
            </w:pPr>
          </w:p>
        </w:tc>
        <w:tc>
          <w:tcPr>
            <w:tcW w:w="680" w:type="dxa"/>
            <w:vAlign w:val="bottom"/>
          </w:tcPr>
          <w:p>
            <w:pPr>
              <w:jc w:val="right"/>
              <w:ind w:right="49"/>
              <w:spacing w:after="0"/>
              <w:rPr>
                <w:sz w:val="20"/>
                <w:szCs w:val="20"/>
                <w:color w:val="auto"/>
              </w:rPr>
            </w:pPr>
            <w:r>
              <w:rPr>
                <w:rFonts w:ascii="Arial" w:cs="Arial" w:eastAsia="Arial" w:hAnsi="Arial"/>
                <w:sz w:val="14"/>
                <w:szCs w:val="14"/>
                <w:color w:val="auto"/>
              </w:rPr>
              <w:t>421</w:t>
            </w:r>
          </w:p>
        </w:tc>
        <w:tc>
          <w:tcPr>
            <w:tcW w:w="280" w:type="dxa"/>
            <w:vAlign w:val="bottom"/>
          </w:tcPr>
          <w:p>
            <w:pPr>
              <w:spacing w:after="0"/>
              <w:rPr>
                <w:sz w:val="18"/>
                <w:szCs w:val="18"/>
                <w:color w:val="auto"/>
              </w:rPr>
            </w:pPr>
          </w:p>
        </w:tc>
        <w:tc>
          <w:tcPr>
            <w:tcW w:w="760" w:type="dxa"/>
            <w:vAlign w:val="bottom"/>
          </w:tcPr>
          <w:p>
            <w:pPr>
              <w:jc w:val="right"/>
              <w:ind w:right="29"/>
              <w:spacing w:after="0"/>
              <w:rPr>
                <w:sz w:val="20"/>
                <w:szCs w:val="20"/>
                <w:color w:val="auto"/>
              </w:rPr>
            </w:pPr>
            <w:r>
              <w:rPr>
                <w:rFonts w:ascii="Arial" w:cs="Arial" w:eastAsia="Arial" w:hAnsi="Arial"/>
                <w:sz w:val="14"/>
                <w:szCs w:val="14"/>
                <w:color w:val="auto"/>
              </w:rPr>
              <w:t>148</w:t>
            </w:r>
          </w:p>
        </w:tc>
        <w:tc>
          <w:tcPr>
            <w:tcW w:w="240" w:type="dxa"/>
            <w:vAlign w:val="bottom"/>
          </w:tcPr>
          <w:p>
            <w:pPr>
              <w:spacing w:after="0"/>
              <w:rPr>
                <w:sz w:val="18"/>
                <w:szCs w:val="18"/>
                <w:color w:val="auto"/>
              </w:rPr>
            </w:pPr>
          </w:p>
        </w:tc>
        <w:tc>
          <w:tcPr>
            <w:tcW w:w="68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8"/>
                <w:szCs w:val="18"/>
                <w:color w:val="auto"/>
              </w:rPr>
            </w:pPr>
          </w:p>
        </w:tc>
        <w:tc>
          <w:tcPr>
            <w:tcW w:w="900" w:type="dxa"/>
            <w:vAlign w:val="bottom"/>
          </w:tcPr>
          <w:p>
            <w:pPr>
              <w:jc w:val="right"/>
              <w:ind w:right="169"/>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569</w:t>
            </w:r>
          </w:p>
        </w:tc>
      </w:tr>
      <w:tr>
        <w:trPr>
          <w:trHeight w:val="219"/>
        </w:trPr>
        <w:tc>
          <w:tcPr>
            <w:tcW w:w="2600" w:type="dxa"/>
            <w:vAlign w:val="bottom"/>
          </w:tcPr>
          <w:p>
            <w:pPr>
              <w:ind w:left="220"/>
              <w:spacing w:after="0"/>
              <w:rPr>
                <w:sz w:val="20"/>
                <w:szCs w:val="20"/>
                <w:color w:val="auto"/>
              </w:rPr>
            </w:pPr>
            <w:r>
              <w:rPr>
                <w:rFonts w:ascii="Arial" w:cs="Arial" w:eastAsia="Arial" w:hAnsi="Arial"/>
                <w:sz w:val="14"/>
                <w:szCs w:val="14"/>
                <w:color w:val="auto"/>
              </w:rPr>
              <w:t>Short-term investments</w:t>
            </w:r>
          </w:p>
        </w:tc>
        <w:tc>
          <w:tcPr>
            <w:tcW w:w="2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24</w:t>
            </w:r>
          </w:p>
        </w:tc>
        <w:tc>
          <w:tcPr>
            <w:tcW w:w="2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69"/>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w:t>
            </w:r>
          </w:p>
        </w:tc>
      </w:tr>
      <w:tr>
        <w:trPr>
          <w:trHeight w:val="227"/>
        </w:trPr>
        <w:tc>
          <w:tcPr>
            <w:tcW w:w="2600" w:type="dxa"/>
            <w:vAlign w:val="bottom"/>
          </w:tcPr>
          <w:p>
            <w:pPr>
              <w:spacing w:after="0"/>
              <w:rPr>
                <w:sz w:val="20"/>
                <w:szCs w:val="20"/>
                <w:color w:val="auto"/>
              </w:rPr>
            </w:pPr>
            <w:r>
              <w:rPr>
                <w:rFonts w:ascii="Arial" w:cs="Arial" w:eastAsia="Arial" w:hAnsi="Arial"/>
                <w:sz w:val="14"/>
                <w:szCs w:val="14"/>
                <w:color w:val="auto"/>
              </w:rPr>
              <w:t>Total</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442</w:t>
            </w:r>
          </w:p>
        </w:tc>
        <w:tc>
          <w:tcPr>
            <w:tcW w:w="2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172</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27</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169"/>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641</w:t>
            </w:r>
          </w:p>
        </w:tc>
      </w:tr>
      <w:tr>
        <w:trPr>
          <w:trHeight w:val="426"/>
        </w:trPr>
        <w:tc>
          <w:tcPr>
            <w:tcW w:w="2600" w:type="dxa"/>
            <w:vAlign w:val="bottom"/>
          </w:tcPr>
          <w:p>
            <w:pPr>
              <w:spacing w:after="0"/>
              <w:rPr>
                <w:sz w:val="20"/>
                <w:szCs w:val="20"/>
                <w:color w:val="auto"/>
              </w:rPr>
            </w:pPr>
            <w:r>
              <w:rPr>
                <w:rFonts w:ascii="Arial" w:cs="Arial" w:eastAsia="Arial" w:hAnsi="Arial"/>
                <w:sz w:val="14"/>
                <w:szCs w:val="14"/>
                <w:color w:val="auto"/>
              </w:rPr>
              <w:t>Liabilities:</w:t>
            </w: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192"/>
        </w:trPr>
        <w:tc>
          <w:tcPr>
            <w:tcW w:w="2600" w:type="dxa"/>
            <w:vAlign w:val="bottom"/>
          </w:tcPr>
          <w:p>
            <w:pPr>
              <w:ind w:left="220"/>
              <w:spacing w:after="0"/>
              <w:rPr>
                <w:sz w:val="20"/>
                <w:szCs w:val="20"/>
                <w:color w:val="auto"/>
              </w:rPr>
            </w:pPr>
            <w:r>
              <w:rPr>
                <w:rFonts w:ascii="Arial" w:cs="Arial" w:eastAsia="Arial" w:hAnsi="Arial"/>
                <w:sz w:val="14"/>
                <w:szCs w:val="14"/>
                <w:color w:val="auto"/>
              </w:rPr>
              <w:t>Commodity derivatives</w:t>
            </w:r>
          </w:p>
        </w:tc>
        <w:tc>
          <w:tcPr>
            <w:tcW w:w="28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49"/>
              <w:spacing w:after="0"/>
              <w:rPr>
                <w:sz w:val="20"/>
                <w:szCs w:val="20"/>
                <w:color w:val="auto"/>
              </w:rPr>
            </w:pPr>
            <w:r>
              <w:rPr>
                <w:rFonts w:ascii="Arial" w:cs="Arial" w:eastAsia="Arial" w:hAnsi="Arial"/>
                <w:sz w:val="14"/>
                <w:szCs w:val="14"/>
                <w:color w:val="auto"/>
              </w:rPr>
              <w:t>52</w:t>
            </w:r>
          </w:p>
        </w:tc>
        <w:tc>
          <w:tcPr>
            <w:tcW w:w="2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29"/>
              <w:spacing w:after="0"/>
              <w:rPr>
                <w:sz w:val="20"/>
                <w:szCs w:val="20"/>
                <w:color w:val="auto"/>
              </w:rPr>
            </w:pPr>
            <w:r>
              <w:rPr>
                <w:rFonts w:ascii="Arial" w:cs="Arial" w:eastAsia="Arial" w:hAnsi="Arial"/>
                <w:sz w:val="14"/>
                <w:szCs w:val="14"/>
                <w:color w:val="auto"/>
              </w:rPr>
              <w:t>24</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89"/>
              <w:spacing w:after="0"/>
              <w:rPr>
                <w:sz w:val="20"/>
                <w:szCs w:val="20"/>
                <w:color w:val="auto"/>
              </w:rPr>
            </w:pPr>
            <w:r>
              <w:rPr>
                <w:rFonts w:ascii="Arial" w:cs="Arial" w:eastAsia="Arial" w:hAnsi="Arial"/>
                <w:sz w:val="14"/>
                <w:szCs w:val="14"/>
                <w:color w:val="auto"/>
              </w:rPr>
              <w:t>(52 )</w:t>
            </w:r>
          </w:p>
        </w:tc>
        <w:tc>
          <w:tcPr>
            <w:tcW w:w="38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24</w:t>
            </w:r>
          </w:p>
        </w:tc>
      </w:tr>
      <w:tr>
        <w:trPr>
          <w:trHeight w:val="222"/>
        </w:trPr>
        <w:tc>
          <w:tcPr>
            <w:tcW w:w="2600" w:type="dxa"/>
            <w:vAlign w:val="bottom"/>
          </w:tcPr>
          <w:p>
            <w:pPr>
              <w:ind w:left="220"/>
              <w:spacing w:after="0"/>
              <w:rPr>
                <w:sz w:val="20"/>
                <w:szCs w:val="20"/>
                <w:color w:val="auto"/>
              </w:rPr>
            </w:pPr>
            <w:r>
              <w:rPr>
                <w:rFonts w:ascii="Arial" w:cs="Arial" w:eastAsia="Arial" w:hAnsi="Arial"/>
                <w:sz w:val="14"/>
                <w:szCs w:val="14"/>
                <w:color w:val="auto"/>
              </w:rPr>
              <w:t>Other derivatives</w:t>
            </w:r>
          </w:p>
        </w:tc>
        <w:tc>
          <w:tcPr>
            <w:tcW w:w="2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88</w:t>
            </w:r>
          </w:p>
        </w:tc>
        <w:tc>
          <w:tcPr>
            <w:tcW w:w="2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69"/>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88</w:t>
            </w:r>
          </w:p>
        </w:tc>
      </w:tr>
      <w:tr>
        <w:trPr>
          <w:trHeight w:val="200"/>
        </w:trPr>
        <w:tc>
          <w:tcPr>
            <w:tcW w:w="26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Total</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52</w:t>
            </w:r>
          </w:p>
        </w:tc>
        <w:tc>
          <w:tcPr>
            <w:tcW w:w="2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112</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rPr>
              <w:t>(52 )</w:t>
            </w:r>
          </w:p>
        </w:tc>
        <w:tc>
          <w:tcPr>
            <w:tcW w:w="3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112</w:t>
            </w:r>
          </w:p>
        </w:tc>
      </w:tr>
      <w:tr>
        <w:trPr>
          <w:trHeight w:val="210"/>
        </w:trPr>
        <w:tc>
          <w:tcPr>
            <w:tcW w:w="2600" w:type="dxa"/>
            <w:vAlign w:val="bottom"/>
          </w:tcPr>
          <w:p>
            <w:pPr>
              <w:spacing w:after="0"/>
              <w:rPr>
                <w:sz w:val="20"/>
                <w:szCs w:val="20"/>
                <w:color w:val="auto"/>
              </w:rPr>
            </w:pPr>
            <w:r>
              <w:rPr>
                <w:rFonts w:ascii="Arial" w:cs="Arial" w:eastAsia="Arial" w:hAnsi="Arial"/>
                <w:sz w:val="14"/>
                <w:szCs w:val="14"/>
                <w:color w:val="auto"/>
              </w:rPr>
              <w:t>2007**:</w:t>
            </w: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16"/>
        </w:trPr>
        <w:tc>
          <w:tcPr>
            <w:tcW w:w="2600" w:type="dxa"/>
            <w:vAlign w:val="bottom"/>
          </w:tcPr>
          <w:p>
            <w:pPr>
              <w:spacing w:after="0"/>
              <w:rPr>
                <w:sz w:val="20"/>
                <w:szCs w:val="20"/>
                <w:color w:val="auto"/>
              </w:rPr>
            </w:pPr>
            <w:r>
              <w:rPr>
                <w:rFonts w:ascii="Arial" w:cs="Arial" w:eastAsia="Arial" w:hAnsi="Arial"/>
                <w:sz w:val="14"/>
                <w:szCs w:val="14"/>
                <w:color w:val="auto"/>
              </w:rPr>
              <w:t>Assets:</w:t>
            </w: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16"/>
        </w:trPr>
        <w:tc>
          <w:tcPr>
            <w:tcW w:w="2600" w:type="dxa"/>
            <w:vAlign w:val="bottom"/>
          </w:tcPr>
          <w:p>
            <w:pPr>
              <w:ind w:left="220"/>
              <w:spacing w:after="0"/>
              <w:rPr>
                <w:sz w:val="20"/>
                <w:szCs w:val="20"/>
                <w:color w:val="auto"/>
              </w:rPr>
            </w:pPr>
            <w:r>
              <w:rPr>
                <w:rFonts w:ascii="Arial" w:cs="Arial" w:eastAsia="Arial" w:hAnsi="Arial"/>
                <w:sz w:val="14"/>
                <w:szCs w:val="14"/>
                <w:color w:val="auto"/>
              </w:rPr>
              <w:t>Commodity derivatives</w:t>
            </w:r>
          </w:p>
        </w:tc>
        <w:tc>
          <w:tcPr>
            <w:tcW w:w="28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49"/>
              <w:spacing w:after="0"/>
              <w:rPr>
                <w:sz w:val="20"/>
                <w:szCs w:val="20"/>
                <w:color w:val="auto"/>
              </w:rPr>
            </w:pPr>
            <w:r>
              <w:rPr>
                <w:rFonts w:ascii="Arial" w:cs="Arial" w:eastAsia="Arial" w:hAnsi="Arial"/>
                <w:sz w:val="14"/>
                <w:szCs w:val="14"/>
                <w:color w:val="auto"/>
              </w:rPr>
              <w:t>9</w:t>
            </w:r>
          </w:p>
        </w:tc>
        <w:tc>
          <w:tcPr>
            <w:tcW w:w="2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29"/>
              <w:spacing w:after="0"/>
              <w:rPr>
                <w:sz w:val="20"/>
                <w:szCs w:val="20"/>
                <w:color w:val="auto"/>
              </w:rPr>
            </w:pPr>
            <w:r>
              <w:rPr>
                <w:rFonts w:ascii="Arial" w:cs="Arial" w:eastAsia="Arial" w:hAnsi="Arial"/>
                <w:sz w:val="14"/>
                <w:szCs w:val="14"/>
                <w:color w:val="auto"/>
              </w:rPr>
              <w:t>3</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29"/>
              <w:spacing w:after="0"/>
              <w:rPr>
                <w:sz w:val="20"/>
                <w:szCs w:val="20"/>
                <w:color w:val="auto"/>
              </w:rPr>
            </w:pPr>
            <w:r>
              <w:rPr>
                <w:rFonts w:ascii="Arial" w:cs="Arial" w:eastAsia="Arial" w:hAnsi="Arial"/>
                <w:sz w:val="14"/>
                <w:szCs w:val="14"/>
                <w:color w:val="auto"/>
              </w:rPr>
              <w:t>7</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169"/>
              <w:spacing w:after="0"/>
              <w:rPr>
                <w:sz w:val="20"/>
                <w:szCs w:val="20"/>
                <w:color w:val="auto"/>
              </w:rPr>
            </w:pPr>
            <w:r>
              <w:rPr>
                <w:rFonts w:ascii="Arial" w:cs="Arial" w:eastAsia="Arial" w:hAnsi="Arial"/>
                <w:sz w:val="14"/>
                <w:szCs w:val="14"/>
                <w:color w:val="auto"/>
              </w:rPr>
              <w:t>--</w:t>
            </w:r>
          </w:p>
        </w:tc>
        <w:tc>
          <w:tcPr>
            <w:tcW w:w="38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19</w:t>
            </w:r>
          </w:p>
        </w:tc>
      </w:tr>
      <w:tr>
        <w:trPr>
          <w:trHeight w:val="219"/>
        </w:trPr>
        <w:tc>
          <w:tcPr>
            <w:tcW w:w="2600" w:type="dxa"/>
            <w:vAlign w:val="bottom"/>
          </w:tcPr>
          <w:p>
            <w:pPr>
              <w:ind w:left="220"/>
              <w:spacing w:after="0"/>
              <w:rPr>
                <w:sz w:val="20"/>
                <w:szCs w:val="20"/>
                <w:color w:val="auto"/>
              </w:rPr>
            </w:pPr>
            <w:r>
              <w:rPr>
                <w:rFonts w:ascii="Arial" w:cs="Arial" w:eastAsia="Arial" w:hAnsi="Arial"/>
                <w:sz w:val="14"/>
                <w:szCs w:val="14"/>
                <w:color w:val="auto"/>
              </w:rPr>
              <w:t>Nuclear decommissioning trusts*</w:t>
            </w:r>
          </w:p>
        </w:tc>
        <w:tc>
          <w:tcPr>
            <w:tcW w:w="2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551</w:t>
            </w:r>
          </w:p>
        </w:tc>
        <w:tc>
          <w:tcPr>
            <w:tcW w:w="2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175</w:t>
            </w:r>
          </w:p>
        </w:tc>
        <w:tc>
          <w:tcPr>
            <w:tcW w:w="2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69"/>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726</w:t>
            </w:r>
          </w:p>
        </w:tc>
      </w:tr>
      <w:tr>
        <w:trPr>
          <w:trHeight w:val="227"/>
        </w:trPr>
        <w:tc>
          <w:tcPr>
            <w:tcW w:w="2600" w:type="dxa"/>
            <w:vAlign w:val="bottom"/>
          </w:tcPr>
          <w:p>
            <w:pPr>
              <w:spacing w:after="0"/>
              <w:rPr>
                <w:sz w:val="20"/>
                <w:szCs w:val="20"/>
                <w:color w:val="auto"/>
              </w:rPr>
            </w:pPr>
            <w:r>
              <w:rPr>
                <w:rFonts w:ascii="Arial" w:cs="Arial" w:eastAsia="Arial" w:hAnsi="Arial"/>
                <w:sz w:val="14"/>
                <w:szCs w:val="14"/>
                <w:color w:val="auto"/>
              </w:rPr>
              <w:t>Total</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560</w:t>
            </w:r>
          </w:p>
        </w:tc>
        <w:tc>
          <w:tcPr>
            <w:tcW w:w="2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178</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7</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169"/>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745</w:t>
            </w:r>
          </w:p>
        </w:tc>
      </w:tr>
      <w:tr>
        <w:trPr>
          <w:trHeight w:val="426"/>
        </w:trPr>
        <w:tc>
          <w:tcPr>
            <w:tcW w:w="2600" w:type="dxa"/>
            <w:vAlign w:val="bottom"/>
          </w:tcPr>
          <w:p>
            <w:pPr>
              <w:spacing w:after="0"/>
              <w:rPr>
                <w:sz w:val="20"/>
                <w:szCs w:val="20"/>
                <w:color w:val="auto"/>
              </w:rPr>
            </w:pPr>
            <w:r>
              <w:rPr>
                <w:rFonts w:ascii="Arial" w:cs="Arial" w:eastAsia="Arial" w:hAnsi="Arial"/>
                <w:sz w:val="14"/>
                <w:szCs w:val="14"/>
                <w:color w:val="auto"/>
              </w:rPr>
              <w:t>Liabilities:</w:t>
            </w: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192"/>
        </w:trPr>
        <w:tc>
          <w:tcPr>
            <w:tcW w:w="2600" w:type="dxa"/>
            <w:vAlign w:val="bottom"/>
          </w:tcPr>
          <w:p>
            <w:pPr>
              <w:ind w:left="220"/>
              <w:spacing w:after="0"/>
              <w:rPr>
                <w:sz w:val="20"/>
                <w:szCs w:val="20"/>
                <w:color w:val="auto"/>
              </w:rPr>
            </w:pPr>
            <w:r>
              <w:rPr>
                <w:rFonts w:ascii="Arial" w:cs="Arial" w:eastAsia="Arial" w:hAnsi="Arial"/>
                <w:sz w:val="14"/>
                <w:szCs w:val="14"/>
                <w:color w:val="auto"/>
              </w:rPr>
              <w:t>Trading derivatives</w:t>
            </w:r>
          </w:p>
        </w:tc>
        <w:tc>
          <w:tcPr>
            <w:tcW w:w="28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49"/>
              <w:spacing w:after="0"/>
              <w:rPr>
                <w:sz w:val="20"/>
                <w:szCs w:val="20"/>
                <w:color w:val="auto"/>
              </w:rPr>
            </w:pPr>
            <w:r>
              <w:rPr>
                <w:rFonts w:ascii="Arial" w:cs="Arial" w:eastAsia="Arial" w:hAnsi="Arial"/>
                <w:sz w:val="14"/>
                <w:szCs w:val="14"/>
                <w:color w:val="auto"/>
              </w:rPr>
              <w:t>9</w:t>
            </w:r>
          </w:p>
        </w:tc>
        <w:tc>
          <w:tcPr>
            <w:tcW w:w="2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29"/>
              <w:spacing w:after="0"/>
              <w:rPr>
                <w:sz w:val="20"/>
                <w:szCs w:val="20"/>
                <w:color w:val="auto"/>
              </w:rPr>
            </w:pPr>
            <w:r>
              <w:rPr>
                <w:rFonts w:ascii="Arial" w:cs="Arial" w:eastAsia="Arial" w:hAnsi="Arial"/>
                <w:sz w:val="14"/>
                <w:szCs w:val="14"/>
                <w:color w:val="auto"/>
              </w:rPr>
              <w:t>8</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89"/>
              <w:spacing w:after="0"/>
              <w:rPr>
                <w:sz w:val="20"/>
                <w:szCs w:val="20"/>
                <w:color w:val="auto"/>
              </w:rPr>
            </w:pPr>
            <w:r>
              <w:rPr>
                <w:rFonts w:ascii="Arial" w:cs="Arial" w:eastAsia="Arial" w:hAnsi="Arial"/>
                <w:sz w:val="14"/>
                <w:szCs w:val="14"/>
                <w:color w:val="auto"/>
              </w:rPr>
              <w:t>(9 )</w:t>
            </w:r>
          </w:p>
        </w:tc>
        <w:tc>
          <w:tcPr>
            <w:tcW w:w="38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8</w:t>
            </w:r>
          </w:p>
        </w:tc>
      </w:tr>
      <w:tr>
        <w:trPr>
          <w:trHeight w:val="222"/>
        </w:trPr>
        <w:tc>
          <w:tcPr>
            <w:tcW w:w="2600" w:type="dxa"/>
            <w:vAlign w:val="bottom"/>
          </w:tcPr>
          <w:p>
            <w:pPr>
              <w:ind w:left="220"/>
              <w:spacing w:after="0"/>
              <w:rPr>
                <w:sz w:val="20"/>
                <w:szCs w:val="20"/>
                <w:color w:val="auto"/>
              </w:rPr>
            </w:pPr>
            <w:r>
              <w:rPr>
                <w:rFonts w:ascii="Arial" w:cs="Arial" w:eastAsia="Arial" w:hAnsi="Arial"/>
                <w:sz w:val="14"/>
                <w:szCs w:val="14"/>
                <w:color w:val="auto"/>
              </w:rPr>
              <w:t>Other derivatives</w:t>
            </w:r>
          </w:p>
        </w:tc>
        <w:tc>
          <w:tcPr>
            <w:tcW w:w="2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20</w:t>
            </w:r>
          </w:p>
        </w:tc>
        <w:tc>
          <w:tcPr>
            <w:tcW w:w="2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69"/>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w:t>
            </w:r>
          </w:p>
        </w:tc>
      </w:tr>
      <w:tr>
        <w:trPr>
          <w:trHeight w:val="200"/>
        </w:trPr>
        <w:tc>
          <w:tcPr>
            <w:tcW w:w="26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Total</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9</w:t>
            </w:r>
          </w:p>
        </w:tc>
        <w:tc>
          <w:tcPr>
            <w:tcW w:w="2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28</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rPr>
              <w:t>(9 )</w:t>
            </w:r>
          </w:p>
        </w:tc>
        <w:tc>
          <w:tcPr>
            <w:tcW w:w="3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w:t>
            </w:r>
          </w:p>
        </w:tc>
      </w:tr>
    </w:tbl>
    <w:p>
      <w:pPr>
        <w:spacing w:after="0" w:line="16" w:lineRule="exact"/>
        <w:rPr>
          <w:sz w:val="20"/>
          <w:szCs w:val="20"/>
          <w:color w:val="auto"/>
        </w:rPr>
      </w:pPr>
    </w:p>
    <w:p>
      <w:pPr>
        <w:ind w:left="2160" w:hanging="320"/>
        <w:spacing w:after="0"/>
        <w:tabs>
          <w:tab w:leader="none" w:pos="2160" w:val="left"/>
        </w:tabs>
        <w:numPr>
          <w:ilvl w:val="0"/>
          <w:numId w:val="370"/>
        </w:numPr>
        <w:rPr>
          <w:rFonts w:ascii="Arial" w:cs="Arial" w:eastAsia="Arial" w:hAnsi="Arial"/>
          <w:sz w:val="14"/>
          <w:szCs w:val="14"/>
          <w:color w:val="auto"/>
        </w:rPr>
      </w:pPr>
      <w:r>
        <w:rPr>
          <w:rFonts w:ascii="Arial" w:cs="Arial" w:eastAsia="Arial" w:hAnsi="Arial"/>
          <w:sz w:val="13"/>
          <w:szCs w:val="13"/>
          <w:i w:val="1"/>
          <w:iCs w:val="1"/>
          <w:color w:val="auto"/>
        </w:rPr>
        <w:t>Excludes cash balances.</w:t>
      </w:r>
    </w:p>
    <w:p>
      <w:pPr>
        <w:spacing w:after="0" w:line="31" w:lineRule="exact"/>
        <w:rPr>
          <w:sz w:val="20"/>
          <w:szCs w:val="20"/>
          <w:color w:val="auto"/>
        </w:rPr>
      </w:pPr>
    </w:p>
    <w:p>
      <w:pPr>
        <w:ind w:left="2160" w:hanging="320"/>
        <w:spacing w:after="0"/>
        <w:tabs>
          <w:tab w:leader="none" w:pos="2160" w:val="left"/>
        </w:tabs>
        <w:numPr>
          <w:ilvl w:val="0"/>
          <w:numId w:val="371"/>
        </w:numPr>
        <w:rPr>
          <w:rFonts w:ascii="Arial" w:cs="Arial" w:eastAsia="Arial" w:hAnsi="Arial"/>
          <w:sz w:val="14"/>
          <w:szCs w:val="14"/>
          <w:color w:val="auto"/>
        </w:rPr>
      </w:pPr>
      <w:r>
        <w:rPr>
          <w:rFonts w:ascii="Arial" w:cs="Arial" w:eastAsia="Arial" w:hAnsi="Arial"/>
          <w:sz w:val="13"/>
          <w:szCs w:val="13"/>
          <w:i w:val="1"/>
          <w:iCs w:val="1"/>
          <w:color w:val="auto"/>
        </w:rPr>
        <w:t>Amounts have been reclassified to reflect the retrospective application of FSP FIN 39-1.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1172210</wp:posOffset>
            </wp:positionH>
            <wp:positionV relativeFrom="paragraph">
              <wp:posOffset>146685</wp:posOffset>
            </wp:positionV>
            <wp:extent cx="4919980" cy="26670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4919980" cy="266700"/>
                    </a:xfrm>
                    <a:prstGeom prst="rect">
                      <a:avLst/>
                    </a:prstGeom>
                    <a:noFill/>
                  </pic:spPr>
                </pic:pic>
              </a:graphicData>
            </a:graphic>
          </wp:anchor>
        </w:drawing>
      </w:r>
    </w:p>
    <w:p>
      <w:pPr>
        <w:spacing w:after="0" w:line="219" w:lineRule="exact"/>
        <w:rPr>
          <w:sz w:val="20"/>
          <w:szCs w:val="20"/>
          <w:color w:val="auto"/>
        </w:rPr>
      </w:pPr>
    </w:p>
    <w:p>
      <w:pPr>
        <w:ind w:left="1860"/>
        <w:spacing w:after="0"/>
        <w:rPr>
          <w:sz w:val="20"/>
          <w:szCs w:val="20"/>
          <w:color w:val="auto"/>
        </w:rPr>
      </w:pPr>
      <w:r>
        <w:rPr>
          <w:rFonts w:ascii="Arial" w:cs="Arial" w:eastAsia="Arial" w:hAnsi="Arial"/>
          <w:sz w:val="14"/>
          <w:szCs w:val="14"/>
          <w:b w:val="1"/>
          <w:bCs w:val="1"/>
          <w:color w:val="auto"/>
        </w:rPr>
        <w:t>RECURRING FAIR VALUE MEASURES – SOCALGAS</w:t>
      </w:r>
    </w:p>
    <w:p>
      <w:pPr>
        <w:spacing w:after="0" w:line="76" w:lineRule="exact"/>
        <w:rPr>
          <w:sz w:val="20"/>
          <w:szCs w:val="20"/>
          <w:color w:val="auto"/>
        </w:rPr>
      </w:pPr>
    </w:p>
    <w:tbl>
      <w:tblPr>
        <w:tblLayout w:type="fixed"/>
        <w:tblInd w:w="1840" w:type="dxa"/>
        <w:tblCellMar>
          <w:top w:w="0" w:type="dxa"/>
          <w:left w:w="0" w:type="dxa"/>
          <w:bottom w:w="0" w:type="dxa"/>
          <w:right w:w="0" w:type="dxa"/>
        </w:tblCellMar>
      </w:tblPr>
      <w:tr>
        <w:trPr>
          <w:trHeight w:val="166"/>
        </w:trPr>
        <w:tc>
          <w:tcPr>
            <w:tcW w:w="2580" w:type="dxa"/>
            <w:vAlign w:val="bottom"/>
          </w:tcPr>
          <w:p>
            <w:pPr>
              <w:ind w:left="20"/>
              <w:spacing w:after="0"/>
              <w:rPr>
                <w:sz w:val="20"/>
                <w:szCs w:val="20"/>
                <w:color w:val="auto"/>
              </w:rPr>
            </w:pPr>
            <w:r>
              <w:rPr>
                <w:rFonts w:ascii="Arial" w:cs="Arial" w:eastAsia="Arial" w:hAnsi="Arial"/>
                <w:sz w:val="13"/>
                <w:szCs w:val="13"/>
                <w:i w:val="1"/>
                <w:iCs w:val="1"/>
                <w:color w:val="auto"/>
              </w:rPr>
              <w:t>(Dollars in millions)</w:t>
            </w: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221"/>
        </w:trPr>
        <w:tc>
          <w:tcPr>
            <w:tcW w:w="25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2820" w:type="dxa"/>
            <w:vAlign w:val="bottom"/>
            <w:tcBorders>
              <w:bottom w:val="single" w:sz="8" w:color="auto"/>
            </w:tcBorders>
            <w:gridSpan w:val="5"/>
          </w:tcPr>
          <w:p>
            <w:pPr>
              <w:jc w:val="right"/>
              <w:ind w:right="390"/>
              <w:spacing w:after="0"/>
              <w:rPr>
                <w:sz w:val="20"/>
                <w:szCs w:val="20"/>
                <w:color w:val="auto"/>
              </w:rPr>
            </w:pPr>
            <w:r>
              <w:rPr>
                <w:rFonts w:ascii="Arial" w:cs="Arial" w:eastAsia="Arial" w:hAnsi="Arial"/>
                <w:sz w:val="13"/>
                <w:szCs w:val="13"/>
                <w:color w:val="auto"/>
              </w:rPr>
              <w:t>At fair value as of December 31</w:t>
            </w:r>
          </w:p>
        </w:tc>
        <w:tc>
          <w:tcPr>
            <w:tcW w:w="3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r>
      <w:tr>
        <w:trPr>
          <w:trHeight w:val="167"/>
        </w:trPr>
        <w:tc>
          <w:tcPr>
            <w:tcW w:w="2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jc w:val="center"/>
              <w:ind w:right="210"/>
              <w:spacing w:after="0"/>
              <w:rPr>
                <w:sz w:val="20"/>
                <w:szCs w:val="20"/>
                <w:color w:val="auto"/>
              </w:rPr>
            </w:pPr>
            <w:r>
              <w:rPr>
                <w:rFonts w:ascii="Arial" w:cs="Arial" w:eastAsia="Arial" w:hAnsi="Arial"/>
                <w:sz w:val="13"/>
                <w:szCs w:val="13"/>
                <w:color w:val="auto"/>
              </w:rPr>
              <w:t>Netting</w:t>
            </w:r>
          </w:p>
        </w:tc>
        <w:tc>
          <w:tcPr>
            <w:tcW w:w="38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56"/>
        </w:trPr>
        <w:tc>
          <w:tcPr>
            <w:tcW w:w="2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jc w:val="center"/>
              <w:ind w:right="170"/>
              <w:spacing w:after="0"/>
              <w:rPr>
                <w:sz w:val="20"/>
                <w:szCs w:val="20"/>
                <w:color w:val="auto"/>
              </w:rPr>
            </w:pPr>
            <w:r>
              <w:rPr>
                <w:rFonts w:ascii="Arial" w:cs="Arial" w:eastAsia="Arial" w:hAnsi="Arial"/>
                <w:sz w:val="13"/>
                <w:szCs w:val="13"/>
                <w:color w:val="auto"/>
              </w:rPr>
              <w:t>and</w:t>
            </w:r>
          </w:p>
        </w:tc>
        <w:tc>
          <w:tcPr>
            <w:tcW w:w="380" w:type="dxa"/>
            <w:vAlign w:val="bottom"/>
          </w:tcPr>
          <w:p>
            <w:pPr>
              <w:spacing w:after="0"/>
              <w:rPr>
                <w:sz w:val="13"/>
                <w:szCs w:val="13"/>
                <w:color w:val="auto"/>
              </w:rPr>
            </w:pPr>
          </w:p>
        </w:tc>
        <w:tc>
          <w:tcPr>
            <w:tcW w:w="740" w:type="dxa"/>
            <w:vAlign w:val="bottom"/>
          </w:tcPr>
          <w:p>
            <w:pPr>
              <w:spacing w:after="0"/>
              <w:rPr>
                <w:sz w:val="13"/>
                <w:szCs w:val="13"/>
                <w:color w:val="auto"/>
              </w:rPr>
            </w:pPr>
          </w:p>
        </w:tc>
      </w:tr>
      <w:tr>
        <w:trPr>
          <w:trHeight w:val="161"/>
        </w:trPr>
        <w:tc>
          <w:tcPr>
            <w:tcW w:w="25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29"/>
              <w:spacing w:after="0"/>
              <w:rPr>
                <w:sz w:val="20"/>
                <w:szCs w:val="20"/>
                <w:color w:val="auto"/>
              </w:rPr>
            </w:pPr>
            <w:r>
              <w:rPr>
                <w:rFonts w:ascii="Arial" w:cs="Arial" w:eastAsia="Arial" w:hAnsi="Arial"/>
                <w:sz w:val="13"/>
                <w:szCs w:val="13"/>
                <w:color w:val="auto"/>
              </w:rPr>
              <w:t>Level 1</w:t>
            </w:r>
          </w:p>
        </w:tc>
        <w:tc>
          <w:tcPr>
            <w:tcW w:w="2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190"/>
              <w:spacing w:after="0"/>
              <w:rPr>
                <w:sz w:val="20"/>
                <w:szCs w:val="20"/>
                <w:color w:val="auto"/>
              </w:rPr>
            </w:pPr>
            <w:r>
              <w:rPr>
                <w:rFonts w:ascii="Arial" w:cs="Arial" w:eastAsia="Arial" w:hAnsi="Arial"/>
                <w:sz w:val="13"/>
                <w:szCs w:val="13"/>
                <w:color w:val="auto"/>
              </w:rPr>
              <w:t>Level 2</w:t>
            </w:r>
          </w:p>
        </w:tc>
        <w:tc>
          <w:tcPr>
            <w:tcW w:w="2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29"/>
              <w:spacing w:after="0"/>
              <w:rPr>
                <w:sz w:val="20"/>
                <w:szCs w:val="20"/>
                <w:color w:val="auto"/>
              </w:rPr>
            </w:pPr>
            <w:r>
              <w:rPr>
                <w:rFonts w:ascii="Arial" w:cs="Arial" w:eastAsia="Arial" w:hAnsi="Arial"/>
                <w:sz w:val="13"/>
                <w:szCs w:val="13"/>
                <w:color w:val="auto"/>
              </w:rPr>
              <w:t>Level 3</w:t>
            </w: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center"/>
              <w:ind w:right="170"/>
              <w:spacing w:after="0"/>
              <w:rPr>
                <w:sz w:val="20"/>
                <w:szCs w:val="20"/>
                <w:color w:val="auto"/>
              </w:rPr>
            </w:pPr>
            <w:r>
              <w:rPr>
                <w:rFonts w:ascii="Arial" w:cs="Arial" w:eastAsia="Arial" w:hAnsi="Arial"/>
                <w:sz w:val="13"/>
                <w:szCs w:val="13"/>
                <w:color w:val="auto"/>
                <w:w w:val="98"/>
              </w:rPr>
              <w:t>Collateral</w:t>
            </w:r>
          </w:p>
        </w:tc>
        <w:tc>
          <w:tcPr>
            <w:tcW w:w="3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29"/>
              <w:spacing w:after="0"/>
              <w:rPr>
                <w:sz w:val="20"/>
                <w:szCs w:val="20"/>
                <w:color w:val="auto"/>
              </w:rPr>
            </w:pPr>
            <w:r>
              <w:rPr>
                <w:rFonts w:ascii="Arial" w:cs="Arial" w:eastAsia="Arial" w:hAnsi="Arial"/>
                <w:sz w:val="13"/>
                <w:szCs w:val="13"/>
                <w:color w:val="auto"/>
              </w:rPr>
              <w:t>Total</w:t>
            </w:r>
          </w:p>
        </w:tc>
      </w:tr>
      <w:tr>
        <w:trPr>
          <w:trHeight w:val="207"/>
        </w:trPr>
        <w:tc>
          <w:tcPr>
            <w:tcW w:w="2580" w:type="dxa"/>
            <w:vAlign w:val="bottom"/>
          </w:tcPr>
          <w:p>
            <w:pPr>
              <w:ind w:left="20"/>
              <w:spacing w:after="0"/>
              <w:rPr>
                <w:sz w:val="20"/>
                <w:szCs w:val="20"/>
                <w:color w:val="auto"/>
              </w:rPr>
            </w:pPr>
            <w:r>
              <w:rPr>
                <w:rFonts w:ascii="Arial" w:cs="Arial" w:eastAsia="Arial" w:hAnsi="Arial"/>
                <w:sz w:val="14"/>
                <w:szCs w:val="14"/>
                <w:color w:val="auto"/>
              </w:rPr>
              <w:t>2008:</w:t>
            </w: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16"/>
        </w:trPr>
        <w:tc>
          <w:tcPr>
            <w:tcW w:w="2580" w:type="dxa"/>
            <w:vAlign w:val="bottom"/>
          </w:tcPr>
          <w:p>
            <w:pPr>
              <w:ind w:left="20"/>
              <w:spacing w:after="0"/>
              <w:rPr>
                <w:sz w:val="20"/>
                <w:szCs w:val="20"/>
                <w:color w:val="auto"/>
              </w:rPr>
            </w:pPr>
            <w:r>
              <w:rPr>
                <w:rFonts w:ascii="Arial" w:cs="Arial" w:eastAsia="Arial" w:hAnsi="Arial"/>
                <w:sz w:val="14"/>
                <w:szCs w:val="14"/>
                <w:color w:val="auto"/>
              </w:rPr>
              <w:t>Assets:</w:t>
            </w: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16"/>
        </w:trPr>
        <w:tc>
          <w:tcPr>
            <w:tcW w:w="2580" w:type="dxa"/>
            <w:vAlign w:val="bottom"/>
          </w:tcPr>
          <w:p>
            <w:pPr>
              <w:ind w:left="240"/>
              <w:spacing w:after="0"/>
              <w:rPr>
                <w:sz w:val="20"/>
                <w:szCs w:val="20"/>
                <w:color w:val="auto"/>
              </w:rPr>
            </w:pPr>
            <w:r>
              <w:rPr>
                <w:rFonts w:ascii="Arial" w:cs="Arial" w:eastAsia="Arial" w:hAnsi="Arial"/>
                <w:sz w:val="14"/>
                <w:szCs w:val="14"/>
                <w:color w:val="auto"/>
              </w:rPr>
              <w:t>Commodity derivatives</w:t>
            </w:r>
          </w:p>
        </w:tc>
        <w:tc>
          <w:tcPr>
            <w:tcW w:w="28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29"/>
              <w:spacing w:after="0"/>
              <w:rPr>
                <w:sz w:val="20"/>
                <w:szCs w:val="20"/>
                <w:color w:val="auto"/>
              </w:rPr>
            </w:pPr>
            <w:r>
              <w:rPr>
                <w:rFonts w:ascii="Arial" w:cs="Arial" w:eastAsia="Arial" w:hAnsi="Arial"/>
                <w:sz w:val="14"/>
                <w:szCs w:val="14"/>
                <w:color w:val="auto"/>
              </w:rPr>
              <w:t>8</w:t>
            </w:r>
          </w:p>
        </w:tc>
        <w:tc>
          <w:tcPr>
            <w:tcW w:w="2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30"/>
              <w:spacing w:after="0"/>
              <w:rPr>
                <w:sz w:val="20"/>
                <w:szCs w:val="20"/>
                <w:color w:val="auto"/>
              </w:rPr>
            </w:pPr>
            <w:r>
              <w:rPr>
                <w:rFonts w:ascii="Arial" w:cs="Arial" w:eastAsia="Arial" w:hAnsi="Arial"/>
                <w:sz w:val="14"/>
                <w:szCs w:val="14"/>
                <w:color w:val="auto"/>
              </w:rPr>
              <w:t>3</w:t>
            </w:r>
          </w:p>
        </w:tc>
        <w:tc>
          <w:tcPr>
            <w:tcW w:w="2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150"/>
              <w:spacing w:after="0"/>
              <w:rPr>
                <w:sz w:val="20"/>
                <w:szCs w:val="20"/>
                <w:color w:val="auto"/>
              </w:rPr>
            </w:pPr>
            <w:r>
              <w:rPr>
                <w:rFonts w:ascii="Arial" w:cs="Arial" w:eastAsia="Arial" w:hAnsi="Arial"/>
                <w:sz w:val="14"/>
                <w:szCs w:val="14"/>
                <w:color w:val="auto"/>
              </w:rPr>
              <w:t>--</w:t>
            </w:r>
          </w:p>
        </w:tc>
        <w:tc>
          <w:tcPr>
            <w:tcW w:w="3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11</w:t>
            </w:r>
          </w:p>
        </w:tc>
      </w:tr>
      <w:tr>
        <w:trPr>
          <w:trHeight w:val="222"/>
        </w:trPr>
        <w:tc>
          <w:tcPr>
            <w:tcW w:w="2580" w:type="dxa"/>
            <w:vAlign w:val="bottom"/>
          </w:tcPr>
          <w:p>
            <w:pPr>
              <w:ind w:left="240"/>
              <w:spacing w:after="0"/>
              <w:rPr>
                <w:sz w:val="20"/>
                <w:szCs w:val="20"/>
                <w:color w:val="auto"/>
              </w:rPr>
            </w:pPr>
            <w:r>
              <w:rPr>
                <w:rFonts w:ascii="Arial" w:cs="Arial" w:eastAsia="Arial" w:hAnsi="Arial"/>
                <w:sz w:val="14"/>
                <w:szCs w:val="14"/>
                <w:color w:val="auto"/>
              </w:rPr>
              <w:t>Other derivatives</w:t>
            </w:r>
          </w:p>
        </w:tc>
        <w:tc>
          <w:tcPr>
            <w:tcW w:w="2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10</w:t>
            </w:r>
          </w:p>
        </w:tc>
        <w:tc>
          <w:tcPr>
            <w:tcW w:w="2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50"/>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w:t>
            </w:r>
          </w:p>
        </w:tc>
      </w:tr>
      <w:tr>
        <w:trPr>
          <w:trHeight w:val="224"/>
        </w:trPr>
        <w:tc>
          <w:tcPr>
            <w:tcW w:w="2580" w:type="dxa"/>
            <w:vAlign w:val="bottom"/>
          </w:tcPr>
          <w:p>
            <w:pPr>
              <w:ind w:left="20"/>
              <w:spacing w:after="0"/>
              <w:rPr>
                <w:sz w:val="20"/>
                <w:szCs w:val="20"/>
                <w:color w:val="auto"/>
              </w:rPr>
            </w:pPr>
            <w:r>
              <w:rPr>
                <w:rFonts w:ascii="Arial" w:cs="Arial" w:eastAsia="Arial" w:hAnsi="Arial"/>
                <w:sz w:val="14"/>
                <w:szCs w:val="14"/>
                <w:color w:val="auto"/>
              </w:rPr>
              <w:t>Total</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8</w:t>
            </w:r>
          </w:p>
        </w:tc>
        <w:tc>
          <w:tcPr>
            <w:tcW w:w="2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13</w:t>
            </w:r>
          </w:p>
        </w:tc>
        <w:tc>
          <w:tcPr>
            <w:tcW w:w="2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150"/>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w:t>
            </w:r>
          </w:p>
        </w:tc>
      </w:tr>
      <w:tr>
        <w:trPr>
          <w:trHeight w:val="426"/>
        </w:trPr>
        <w:tc>
          <w:tcPr>
            <w:tcW w:w="2580" w:type="dxa"/>
            <w:vAlign w:val="bottom"/>
          </w:tcPr>
          <w:p>
            <w:pPr>
              <w:ind w:left="20"/>
              <w:spacing w:after="0"/>
              <w:rPr>
                <w:sz w:val="20"/>
                <w:szCs w:val="20"/>
                <w:color w:val="auto"/>
              </w:rPr>
            </w:pPr>
            <w:r>
              <w:rPr>
                <w:rFonts w:ascii="Arial" w:cs="Arial" w:eastAsia="Arial" w:hAnsi="Arial"/>
                <w:sz w:val="14"/>
                <w:szCs w:val="14"/>
                <w:color w:val="auto"/>
              </w:rPr>
              <w:t>Liabilities:</w:t>
            </w: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14"/>
        </w:trPr>
        <w:tc>
          <w:tcPr>
            <w:tcW w:w="2580" w:type="dxa"/>
            <w:vAlign w:val="bottom"/>
            <w:tcBorders>
              <w:bottom w:val="single" w:sz="8" w:color="auto"/>
            </w:tcBorders>
          </w:tcPr>
          <w:p>
            <w:pPr>
              <w:ind w:left="240"/>
              <w:spacing w:after="0"/>
              <w:rPr>
                <w:sz w:val="20"/>
                <w:szCs w:val="20"/>
                <w:color w:val="auto"/>
              </w:rPr>
            </w:pPr>
            <w:r>
              <w:rPr>
                <w:rFonts w:ascii="Arial" w:cs="Arial" w:eastAsia="Arial" w:hAnsi="Arial"/>
                <w:sz w:val="14"/>
                <w:szCs w:val="14"/>
                <w:color w:val="auto"/>
              </w:rPr>
              <w:t>Commodity derivatives</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11</w:t>
            </w:r>
          </w:p>
        </w:tc>
        <w:tc>
          <w:tcPr>
            <w:tcW w:w="2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90"/>
              <w:spacing w:after="0"/>
              <w:rPr>
                <w:sz w:val="20"/>
                <w:szCs w:val="20"/>
                <w:color w:val="auto"/>
              </w:rPr>
            </w:pPr>
            <w:r>
              <w:rPr>
                <w:rFonts w:ascii="Arial" w:cs="Arial" w:eastAsia="Arial" w:hAnsi="Arial"/>
                <w:sz w:val="14"/>
                <w:szCs w:val="14"/>
                <w:color w:val="auto"/>
              </w:rPr>
              <w:t>(11 )</w:t>
            </w:r>
          </w:p>
        </w:tc>
        <w:tc>
          <w:tcPr>
            <w:tcW w:w="3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r>
      <w:tr>
        <w:trPr>
          <w:trHeight w:val="210"/>
        </w:trPr>
        <w:tc>
          <w:tcPr>
            <w:tcW w:w="2580" w:type="dxa"/>
            <w:vAlign w:val="bottom"/>
          </w:tcPr>
          <w:p>
            <w:pPr>
              <w:ind w:left="20"/>
              <w:spacing w:after="0"/>
              <w:rPr>
                <w:sz w:val="20"/>
                <w:szCs w:val="20"/>
                <w:color w:val="auto"/>
              </w:rPr>
            </w:pPr>
            <w:r>
              <w:rPr>
                <w:rFonts w:ascii="Arial" w:cs="Arial" w:eastAsia="Arial" w:hAnsi="Arial"/>
                <w:sz w:val="14"/>
                <w:szCs w:val="14"/>
                <w:color w:val="auto"/>
              </w:rPr>
              <w:t>2007:</w:t>
            </w: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16"/>
        </w:trPr>
        <w:tc>
          <w:tcPr>
            <w:tcW w:w="2580" w:type="dxa"/>
            <w:vAlign w:val="bottom"/>
          </w:tcPr>
          <w:p>
            <w:pPr>
              <w:ind w:left="20"/>
              <w:spacing w:after="0"/>
              <w:rPr>
                <w:sz w:val="20"/>
                <w:szCs w:val="20"/>
                <w:color w:val="auto"/>
              </w:rPr>
            </w:pPr>
            <w:r>
              <w:rPr>
                <w:rFonts w:ascii="Arial" w:cs="Arial" w:eastAsia="Arial" w:hAnsi="Arial"/>
                <w:sz w:val="14"/>
                <w:szCs w:val="14"/>
                <w:color w:val="auto"/>
              </w:rPr>
              <w:t>Assets:</w:t>
            </w: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16"/>
        </w:trPr>
        <w:tc>
          <w:tcPr>
            <w:tcW w:w="2580" w:type="dxa"/>
            <w:vAlign w:val="bottom"/>
          </w:tcPr>
          <w:p>
            <w:pPr>
              <w:ind w:left="240"/>
              <w:spacing w:after="0"/>
              <w:rPr>
                <w:sz w:val="20"/>
                <w:szCs w:val="20"/>
                <w:color w:val="auto"/>
              </w:rPr>
            </w:pPr>
            <w:r>
              <w:rPr>
                <w:rFonts w:ascii="Arial" w:cs="Arial" w:eastAsia="Arial" w:hAnsi="Arial"/>
                <w:sz w:val="14"/>
                <w:szCs w:val="14"/>
                <w:color w:val="auto"/>
              </w:rPr>
              <w:t>Commodity derivatives</w:t>
            </w:r>
          </w:p>
        </w:tc>
        <w:tc>
          <w:tcPr>
            <w:tcW w:w="28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29"/>
              <w:spacing w:after="0"/>
              <w:rPr>
                <w:sz w:val="20"/>
                <w:szCs w:val="20"/>
                <w:color w:val="auto"/>
              </w:rPr>
            </w:pPr>
            <w:r>
              <w:rPr>
                <w:rFonts w:ascii="Arial" w:cs="Arial" w:eastAsia="Arial" w:hAnsi="Arial"/>
                <w:sz w:val="14"/>
                <w:szCs w:val="14"/>
                <w:color w:val="auto"/>
              </w:rPr>
              <w:t>7</w:t>
            </w:r>
          </w:p>
        </w:tc>
        <w:tc>
          <w:tcPr>
            <w:tcW w:w="2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30"/>
              <w:spacing w:after="0"/>
              <w:rPr>
                <w:sz w:val="20"/>
                <w:szCs w:val="20"/>
                <w:color w:val="auto"/>
              </w:rPr>
            </w:pPr>
            <w:r>
              <w:rPr>
                <w:rFonts w:ascii="Arial" w:cs="Arial" w:eastAsia="Arial" w:hAnsi="Arial"/>
                <w:sz w:val="14"/>
                <w:szCs w:val="14"/>
                <w:color w:val="auto"/>
              </w:rPr>
              <w:t>1</w:t>
            </w:r>
          </w:p>
        </w:tc>
        <w:tc>
          <w:tcPr>
            <w:tcW w:w="2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150"/>
              <w:spacing w:after="0"/>
              <w:rPr>
                <w:sz w:val="20"/>
                <w:szCs w:val="20"/>
                <w:color w:val="auto"/>
              </w:rPr>
            </w:pPr>
            <w:r>
              <w:rPr>
                <w:rFonts w:ascii="Arial" w:cs="Arial" w:eastAsia="Arial" w:hAnsi="Arial"/>
                <w:sz w:val="14"/>
                <w:szCs w:val="14"/>
                <w:color w:val="auto"/>
              </w:rPr>
              <w:t>--</w:t>
            </w:r>
          </w:p>
        </w:tc>
        <w:tc>
          <w:tcPr>
            <w:tcW w:w="3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8</w:t>
            </w:r>
          </w:p>
        </w:tc>
      </w:tr>
      <w:tr>
        <w:trPr>
          <w:trHeight w:val="222"/>
        </w:trPr>
        <w:tc>
          <w:tcPr>
            <w:tcW w:w="2580" w:type="dxa"/>
            <w:vAlign w:val="bottom"/>
          </w:tcPr>
          <w:p>
            <w:pPr>
              <w:ind w:left="240"/>
              <w:spacing w:after="0"/>
              <w:rPr>
                <w:sz w:val="20"/>
                <w:szCs w:val="20"/>
                <w:color w:val="auto"/>
              </w:rPr>
            </w:pPr>
            <w:r>
              <w:rPr>
                <w:rFonts w:ascii="Arial" w:cs="Arial" w:eastAsia="Arial" w:hAnsi="Arial"/>
                <w:sz w:val="14"/>
                <w:szCs w:val="14"/>
                <w:color w:val="auto"/>
              </w:rPr>
              <w:t>Other derivatives</w:t>
            </w:r>
          </w:p>
        </w:tc>
        <w:tc>
          <w:tcPr>
            <w:tcW w:w="2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5</w:t>
            </w:r>
          </w:p>
        </w:tc>
        <w:tc>
          <w:tcPr>
            <w:tcW w:w="2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50"/>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w:t>
            </w:r>
          </w:p>
        </w:tc>
      </w:tr>
      <w:tr>
        <w:trPr>
          <w:trHeight w:val="224"/>
        </w:trPr>
        <w:tc>
          <w:tcPr>
            <w:tcW w:w="25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Total</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7</w:t>
            </w:r>
          </w:p>
        </w:tc>
        <w:tc>
          <w:tcPr>
            <w:tcW w:w="2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6</w:t>
            </w:r>
          </w:p>
        </w:tc>
        <w:tc>
          <w:tcPr>
            <w:tcW w:w="2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150"/>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w:t>
            </w:r>
          </w:p>
        </w:tc>
      </w:tr>
    </w:tbl>
    <w:p>
      <w:pPr>
        <w:spacing w:after="0" w:line="180" w:lineRule="exact"/>
        <w:rPr>
          <w:sz w:val="20"/>
          <w:szCs w:val="20"/>
          <w:color w:val="auto"/>
        </w:rPr>
      </w:pPr>
    </w:p>
    <w:p>
      <w:pPr>
        <w:spacing w:after="0" w:line="319" w:lineRule="auto"/>
        <w:rPr>
          <w:sz w:val="20"/>
          <w:szCs w:val="20"/>
          <w:color w:val="auto"/>
        </w:rPr>
      </w:pPr>
      <w:r>
        <w:rPr>
          <w:rFonts w:ascii="Arial" w:cs="Arial" w:eastAsia="Arial" w:hAnsi="Arial"/>
          <w:sz w:val="14"/>
          <w:szCs w:val="14"/>
          <w:color w:val="auto"/>
        </w:rPr>
        <w:t>Trading derivatives in the Recurring Fair Value Measures – Sempra Energy Consolidated table above include OTC unrealized values related to swaps, forwards and options, as well as open, listed exchange transactions. However, exchange transactions, which are cash settled during the life of the transaction, are classified as part of Trading-Related Receivables and Deposits, Net on the Consolidated Balance Sheets. The following table provides a reconciliation of these balances as of December 31, 2007:</w:t>
      </w: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4"/>
          <w:szCs w:val="14"/>
          <w:color w:val="auto"/>
        </w:rPr>
        <w:t>160</w:t>
      </w:r>
    </w:p>
    <w:p>
      <w:pPr>
        <w:sectPr>
          <w:pgSz w:w="11900" w:h="16838" w:orient="portrait"/>
          <w:cols w:equalWidth="0" w:num="1">
            <w:col w:w="11220"/>
          </w:cols>
          <w:pgMar w:left="240" w:top="364" w:right="439" w:bottom="1440" w:gutter="0" w:footer="0" w:header="0"/>
        </w:sectPr>
      </w:pPr>
    </w:p>
    <w:bookmarkStart w:id="300" w:name="page301"/>
    <w:bookmarkEnd w:id="300"/>
    <w:tbl>
      <w:tblPr>
        <w:tblLayout w:type="fixed"/>
        <w:tblInd w:w="1884" w:type="dxa"/>
        <w:tblCellMar>
          <w:top w:w="0" w:type="dxa"/>
          <w:left w:w="0" w:type="dxa"/>
          <w:bottom w:w="0" w:type="dxa"/>
          <w:right w:w="0" w:type="dxa"/>
        </w:tblCellMar>
      </w:tblPr>
      <w:tr>
        <w:trPr>
          <w:trHeight w:val="156"/>
        </w:trPr>
        <w:tc>
          <w:tcPr>
            <w:tcW w:w="444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208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color w:val="auto"/>
              </w:rPr>
              <w:t>As of December 31, 2007</w:t>
            </w:r>
          </w:p>
        </w:tc>
        <w:tc>
          <w:tcPr>
            <w:tcW w:w="860" w:type="dxa"/>
            <w:vAlign w:val="bottom"/>
            <w:tcBorders>
              <w:bottom w:val="single" w:sz="8" w:color="auto"/>
            </w:tcBorders>
          </w:tcPr>
          <w:p>
            <w:pPr>
              <w:spacing w:after="0"/>
              <w:rPr>
                <w:sz w:val="13"/>
                <w:szCs w:val="13"/>
                <w:color w:val="auto"/>
              </w:rPr>
            </w:pPr>
          </w:p>
        </w:tc>
      </w:tr>
      <w:tr>
        <w:trPr>
          <w:trHeight w:val="211"/>
        </w:trPr>
        <w:tc>
          <w:tcPr>
            <w:tcW w:w="4440" w:type="dxa"/>
            <w:vAlign w:val="bottom"/>
            <w:tcBorders>
              <w:bottom w:val="single" w:sz="8" w:color="auto"/>
            </w:tcBorders>
          </w:tcPr>
          <w:p>
            <w:pPr>
              <w:spacing w:after="0"/>
              <w:rPr>
                <w:sz w:val="20"/>
                <w:szCs w:val="20"/>
                <w:color w:val="auto"/>
              </w:rPr>
            </w:pPr>
            <w:r>
              <w:rPr>
                <w:rFonts w:ascii="Arial" w:cs="Arial" w:eastAsia="Arial" w:hAnsi="Arial"/>
                <w:sz w:val="13"/>
                <w:szCs w:val="13"/>
                <w:i w:val="1"/>
                <w:iCs w:val="1"/>
                <w:color w:val="auto"/>
              </w:rPr>
              <w:t>(Dollars in millions)</w:t>
            </w:r>
          </w:p>
        </w:tc>
        <w:tc>
          <w:tcPr>
            <w:tcW w:w="3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651"/>
              <w:spacing w:after="0"/>
              <w:rPr>
                <w:sz w:val="20"/>
                <w:szCs w:val="20"/>
                <w:color w:val="auto"/>
              </w:rPr>
            </w:pPr>
            <w:r>
              <w:rPr>
                <w:rFonts w:ascii="Arial" w:cs="Arial" w:eastAsia="Arial" w:hAnsi="Arial"/>
                <w:sz w:val="13"/>
                <w:szCs w:val="13"/>
                <w:color w:val="auto"/>
              </w:rPr>
              <w:t>Assets</w:t>
            </w:r>
          </w:p>
        </w:tc>
        <w:tc>
          <w:tcPr>
            <w:tcW w:w="8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50"/>
              <w:spacing w:after="0"/>
              <w:rPr>
                <w:sz w:val="20"/>
                <w:szCs w:val="20"/>
                <w:color w:val="auto"/>
              </w:rPr>
            </w:pPr>
            <w:r>
              <w:rPr>
                <w:rFonts w:ascii="Arial" w:cs="Arial" w:eastAsia="Arial" w:hAnsi="Arial"/>
                <w:sz w:val="13"/>
                <w:szCs w:val="13"/>
                <w:color w:val="auto"/>
                <w:w w:val="97"/>
              </w:rPr>
              <w:t>Liabilities</w:t>
            </w:r>
          </w:p>
        </w:tc>
      </w:tr>
      <w:tr>
        <w:trPr>
          <w:trHeight w:val="207"/>
        </w:trPr>
        <w:tc>
          <w:tcPr>
            <w:tcW w:w="4440" w:type="dxa"/>
            <w:vAlign w:val="bottom"/>
          </w:tcPr>
          <w:p>
            <w:pPr>
              <w:spacing w:after="0"/>
              <w:rPr>
                <w:sz w:val="20"/>
                <w:szCs w:val="20"/>
                <w:color w:val="auto"/>
              </w:rPr>
            </w:pPr>
            <w:r>
              <w:rPr>
                <w:rFonts w:ascii="Arial" w:cs="Arial" w:eastAsia="Arial" w:hAnsi="Arial"/>
                <w:sz w:val="14"/>
                <w:szCs w:val="14"/>
                <w:color w:val="auto"/>
              </w:rPr>
              <w:t>Derivative trading instruments:</w:t>
            </w:r>
          </w:p>
        </w:tc>
        <w:tc>
          <w:tcPr>
            <w:tcW w:w="3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4440" w:type="dxa"/>
            <w:vAlign w:val="bottom"/>
          </w:tcPr>
          <w:p>
            <w:pPr>
              <w:spacing w:after="0"/>
              <w:rPr>
                <w:sz w:val="20"/>
                <w:szCs w:val="20"/>
                <w:color w:val="auto"/>
              </w:rPr>
            </w:pPr>
            <w:r>
              <w:rPr>
                <w:rFonts w:ascii="Arial" w:cs="Arial" w:eastAsia="Arial" w:hAnsi="Arial"/>
                <w:sz w:val="14"/>
                <w:szCs w:val="14"/>
                <w:color w:val="auto"/>
              </w:rPr>
              <w:t>Per Consolidated Balance Sheet</w:t>
            </w:r>
          </w:p>
        </w:tc>
        <w:tc>
          <w:tcPr>
            <w:tcW w:w="30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411"/>
              <w:spacing w:after="0"/>
              <w:rPr>
                <w:sz w:val="20"/>
                <w:szCs w:val="20"/>
                <w:color w:val="auto"/>
              </w:rPr>
            </w:pPr>
            <w:r>
              <w:rPr>
                <w:rFonts w:ascii="Arial" w:cs="Arial" w:eastAsia="Arial" w:hAnsi="Arial"/>
                <w:sz w:val="14"/>
                <w:szCs w:val="14"/>
                <w:color w:val="auto"/>
              </w:rPr>
              <w:t>2,170</w:t>
            </w:r>
          </w:p>
        </w:tc>
        <w:tc>
          <w:tcPr>
            <w:tcW w:w="86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130"/>
              <w:spacing w:after="0"/>
              <w:rPr>
                <w:sz w:val="20"/>
                <w:szCs w:val="20"/>
                <w:color w:val="auto"/>
              </w:rPr>
            </w:pPr>
            <w:r>
              <w:rPr>
                <w:rFonts w:ascii="Arial" w:cs="Arial" w:eastAsia="Arial" w:hAnsi="Arial"/>
                <w:sz w:val="14"/>
                <w:szCs w:val="14"/>
                <w:color w:val="auto"/>
              </w:rPr>
              <w:t>1,672</w:t>
            </w:r>
          </w:p>
        </w:tc>
      </w:tr>
      <w:tr>
        <w:trPr>
          <w:trHeight w:val="222"/>
        </w:trPr>
        <w:tc>
          <w:tcPr>
            <w:tcW w:w="4440" w:type="dxa"/>
            <w:vAlign w:val="bottom"/>
          </w:tcPr>
          <w:p>
            <w:pPr>
              <w:spacing w:after="0"/>
              <w:rPr>
                <w:sz w:val="20"/>
                <w:szCs w:val="20"/>
                <w:color w:val="auto"/>
              </w:rPr>
            </w:pPr>
            <w:r>
              <w:rPr>
                <w:rFonts w:ascii="Arial" w:cs="Arial" w:eastAsia="Arial" w:hAnsi="Arial"/>
                <w:sz w:val="14"/>
                <w:szCs w:val="14"/>
                <w:color w:val="auto"/>
              </w:rPr>
              <w:t>Unrealized revenues for exchange contracts</w:t>
            </w:r>
          </w:p>
        </w:tc>
        <w:tc>
          <w:tcPr>
            <w:tcW w:w="3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color w:val="auto"/>
              </w:rPr>
              <w:t>223</w:t>
            </w:r>
          </w:p>
        </w:tc>
        <w:tc>
          <w:tcPr>
            <w:tcW w:w="8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130"/>
              <w:spacing w:after="0"/>
              <w:rPr>
                <w:sz w:val="20"/>
                <w:szCs w:val="20"/>
                <w:color w:val="auto"/>
              </w:rPr>
            </w:pPr>
            <w:r>
              <w:rPr>
                <w:rFonts w:ascii="Arial" w:cs="Arial" w:eastAsia="Arial" w:hAnsi="Arial"/>
                <w:sz w:val="14"/>
                <w:szCs w:val="14"/>
                <w:color w:val="auto"/>
              </w:rPr>
              <w:t>401</w:t>
            </w:r>
          </w:p>
        </w:tc>
      </w:tr>
      <w:tr>
        <w:trPr>
          <w:trHeight w:val="224"/>
        </w:trPr>
        <w:tc>
          <w:tcPr>
            <w:tcW w:w="44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Per Recurring Fair Value Measures Table</w:t>
            </w:r>
          </w:p>
        </w:tc>
        <w:tc>
          <w:tcPr>
            <w:tcW w:w="3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color w:val="auto"/>
              </w:rPr>
              <w:t>2,393</w:t>
            </w:r>
          </w:p>
        </w:tc>
        <w:tc>
          <w:tcPr>
            <w:tcW w:w="86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ind w:right="130"/>
              <w:spacing w:after="0"/>
              <w:rPr>
                <w:sz w:val="20"/>
                <w:szCs w:val="20"/>
                <w:color w:val="auto"/>
              </w:rPr>
            </w:pPr>
            <w:r>
              <w:rPr>
                <w:rFonts w:ascii="Arial" w:cs="Arial" w:eastAsia="Arial" w:hAnsi="Arial"/>
                <w:sz w:val="14"/>
                <w:szCs w:val="14"/>
                <w:color w:val="auto"/>
              </w:rPr>
              <w:t>2,073</w:t>
            </w:r>
          </w:p>
        </w:tc>
      </w:tr>
    </w:tbl>
    <w:p>
      <w:pPr>
        <w:spacing w:after="0" w:line="180" w:lineRule="exact"/>
        <w:rPr>
          <w:sz w:val="20"/>
          <w:szCs w:val="20"/>
          <w:color w:val="auto"/>
        </w:rPr>
      </w:pPr>
    </w:p>
    <w:p>
      <w:pPr>
        <w:ind w:left="4" w:right="240"/>
        <w:spacing w:after="0" w:line="264" w:lineRule="auto"/>
        <w:rPr>
          <w:sz w:val="20"/>
          <w:szCs w:val="20"/>
          <w:color w:val="auto"/>
        </w:rPr>
      </w:pPr>
      <w:r>
        <w:rPr>
          <w:rFonts w:ascii="Arial" w:cs="Arial" w:eastAsia="Arial" w:hAnsi="Arial"/>
          <w:sz w:val="16"/>
          <w:szCs w:val="16"/>
          <w:color w:val="auto"/>
        </w:rPr>
        <w:t>The Recurring Fair Value Measures table above does not include certain commodity trading inventories that are carried on a lower-of-cost-or-market basis as of December 31, 2007. The table does include a portion of commodity trading inventories for which fair value hedge accounting is applied. The following table shows a reconciliation of the commodities trading inventories balance as of December 31, 2007:</w:t>
      </w:r>
    </w:p>
    <w:p>
      <w:pPr>
        <w:spacing w:after="0" w:line="311" w:lineRule="exact"/>
        <w:rPr>
          <w:sz w:val="20"/>
          <w:szCs w:val="20"/>
          <w:color w:val="auto"/>
        </w:rPr>
      </w:pPr>
    </w:p>
    <w:tbl>
      <w:tblPr>
        <w:tblLayout w:type="fixed"/>
        <w:tblInd w:w="1904" w:type="dxa"/>
        <w:tblCellMar>
          <w:top w:w="0" w:type="dxa"/>
          <w:left w:w="0" w:type="dxa"/>
          <w:bottom w:w="0" w:type="dxa"/>
          <w:right w:w="0" w:type="dxa"/>
        </w:tblCellMar>
      </w:tblPr>
      <w:tr>
        <w:trPr>
          <w:trHeight w:val="171"/>
        </w:trPr>
        <w:tc>
          <w:tcPr>
            <w:tcW w:w="6140" w:type="dxa"/>
            <w:vAlign w:val="bottom"/>
            <w:tcBorders>
              <w:bottom w:val="single" w:sz="8" w:color="auto"/>
            </w:tcBorders>
          </w:tcPr>
          <w:p>
            <w:pPr>
              <w:ind w:left="20"/>
              <w:spacing w:after="0"/>
              <w:rPr>
                <w:sz w:val="20"/>
                <w:szCs w:val="20"/>
                <w:color w:val="auto"/>
              </w:rPr>
            </w:pPr>
            <w:r>
              <w:rPr>
                <w:rFonts w:ascii="Arial" w:cs="Arial" w:eastAsia="Arial" w:hAnsi="Arial"/>
                <w:sz w:val="13"/>
                <w:szCs w:val="13"/>
                <w:i w:val="1"/>
                <w:iCs w:val="1"/>
                <w:color w:val="auto"/>
              </w:rPr>
              <w:t>(Dollars in millions)</w:t>
            </w:r>
          </w:p>
        </w:tc>
        <w:tc>
          <w:tcPr>
            <w:tcW w:w="1480" w:type="dxa"/>
            <w:vAlign w:val="bottom"/>
            <w:tcBorders>
              <w:bottom w:val="single" w:sz="8" w:color="auto"/>
            </w:tcBorders>
            <w:gridSpan w:val="2"/>
          </w:tcPr>
          <w:p>
            <w:pPr>
              <w:jc w:val="right"/>
              <w:ind w:right="108"/>
              <w:spacing w:after="0"/>
              <w:rPr>
                <w:sz w:val="20"/>
                <w:szCs w:val="20"/>
                <w:color w:val="auto"/>
              </w:rPr>
            </w:pPr>
            <w:r>
              <w:rPr>
                <w:rFonts w:ascii="Arial" w:cs="Arial" w:eastAsia="Arial" w:hAnsi="Arial"/>
                <w:sz w:val="13"/>
                <w:szCs w:val="13"/>
                <w:color w:val="auto"/>
              </w:rPr>
              <w:t>December 31, 2007</w:t>
            </w:r>
          </w:p>
        </w:tc>
      </w:tr>
      <w:tr>
        <w:trPr>
          <w:trHeight w:val="207"/>
        </w:trPr>
        <w:tc>
          <w:tcPr>
            <w:tcW w:w="6140" w:type="dxa"/>
            <w:vAlign w:val="bottom"/>
          </w:tcPr>
          <w:p>
            <w:pPr>
              <w:ind w:left="20"/>
              <w:spacing w:after="0"/>
              <w:rPr>
                <w:sz w:val="20"/>
                <w:szCs w:val="20"/>
                <w:color w:val="auto"/>
              </w:rPr>
            </w:pPr>
            <w:r>
              <w:rPr>
                <w:rFonts w:ascii="Arial" w:cs="Arial" w:eastAsia="Arial" w:hAnsi="Arial"/>
                <w:sz w:val="14"/>
                <w:szCs w:val="14"/>
                <w:color w:val="auto"/>
              </w:rPr>
              <w:t>Commodities owned:</w:t>
            </w:r>
          </w:p>
        </w:tc>
        <w:tc>
          <w:tcPr>
            <w:tcW w:w="58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6140" w:type="dxa"/>
            <w:vAlign w:val="bottom"/>
          </w:tcPr>
          <w:p>
            <w:pPr>
              <w:ind w:left="20"/>
              <w:spacing w:after="0"/>
              <w:rPr>
                <w:sz w:val="20"/>
                <w:szCs w:val="20"/>
                <w:color w:val="auto"/>
              </w:rPr>
            </w:pPr>
            <w:r>
              <w:rPr>
                <w:rFonts w:ascii="Arial" w:cs="Arial" w:eastAsia="Arial" w:hAnsi="Arial"/>
                <w:sz w:val="14"/>
                <w:szCs w:val="14"/>
                <w:color w:val="auto"/>
              </w:rPr>
              <w:t>Per Consolidated Balance Sheet</w:t>
            </w:r>
          </w:p>
        </w:tc>
        <w:tc>
          <w:tcPr>
            <w:tcW w:w="580" w:type="dxa"/>
            <w:vAlign w:val="bottom"/>
          </w:tcPr>
          <w:p>
            <w:pPr>
              <w:jc w:val="right"/>
              <w:ind w:right="271"/>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128"/>
              <w:spacing w:after="0"/>
              <w:rPr>
                <w:sz w:val="20"/>
                <w:szCs w:val="20"/>
                <w:color w:val="auto"/>
              </w:rPr>
            </w:pPr>
            <w:r>
              <w:rPr>
                <w:rFonts w:ascii="Arial" w:cs="Arial" w:eastAsia="Arial" w:hAnsi="Arial"/>
                <w:sz w:val="14"/>
                <w:szCs w:val="14"/>
                <w:color w:val="auto"/>
              </w:rPr>
              <w:t>2,231</w:t>
            </w:r>
          </w:p>
        </w:tc>
      </w:tr>
      <w:tr>
        <w:trPr>
          <w:trHeight w:val="222"/>
        </w:trPr>
        <w:tc>
          <w:tcPr>
            <w:tcW w:w="6140" w:type="dxa"/>
            <w:vAlign w:val="bottom"/>
          </w:tcPr>
          <w:p>
            <w:pPr>
              <w:ind w:left="20"/>
              <w:spacing w:after="0"/>
              <w:rPr>
                <w:sz w:val="20"/>
                <w:szCs w:val="20"/>
                <w:color w:val="auto"/>
              </w:rPr>
            </w:pPr>
            <w:r>
              <w:rPr>
                <w:rFonts w:ascii="Arial" w:cs="Arial" w:eastAsia="Arial" w:hAnsi="Arial"/>
                <w:sz w:val="14"/>
                <w:szCs w:val="14"/>
                <w:color w:val="auto"/>
              </w:rPr>
              <w:t>Less: Commodities owned, recorded at lower-of-cost-or-market</w:t>
            </w:r>
          </w:p>
        </w:tc>
        <w:tc>
          <w:tcPr>
            <w:tcW w:w="5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(54 )</w:t>
            </w:r>
          </w:p>
        </w:tc>
      </w:tr>
      <w:tr>
        <w:trPr>
          <w:trHeight w:val="224"/>
        </w:trPr>
        <w:tc>
          <w:tcPr>
            <w:tcW w:w="61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Per Recurring Fair Value Measures Table</w:t>
            </w:r>
          </w:p>
        </w:tc>
        <w:tc>
          <w:tcPr>
            <w:tcW w:w="580" w:type="dxa"/>
            <w:vAlign w:val="bottom"/>
            <w:tcBorders>
              <w:bottom w:val="single" w:sz="8" w:color="auto"/>
            </w:tcBorders>
          </w:tcPr>
          <w:p>
            <w:pPr>
              <w:jc w:val="right"/>
              <w:ind w:right="271"/>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2,177</w:t>
            </w:r>
          </w:p>
        </w:tc>
      </w:tr>
    </w:tbl>
    <w:p>
      <w:pPr>
        <w:spacing w:after="0" w:line="153" w:lineRule="exact"/>
        <w:rPr>
          <w:sz w:val="20"/>
          <w:szCs w:val="20"/>
          <w:color w:val="auto"/>
        </w:rPr>
      </w:pPr>
    </w:p>
    <w:p>
      <w:pPr>
        <w:ind w:left="4"/>
        <w:spacing w:after="0"/>
        <w:rPr>
          <w:sz w:val="20"/>
          <w:szCs w:val="20"/>
          <w:color w:val="auto"/>
        </w:rPr>
      </w:pPr>
      <w:r>
        <w:rPr>
          <w:rFonts w:ascii="Arial" w:cs="Arial" w:eastAsia="Arial" w:hAnsi="Arial"/>
          <w:sz w:val="18"/>
          <w:szCs w:val="18"/>
          <w:b w:val="1"/>
          <w:bCs w:val="1"/>
          <w:i w:val="1"/>
          <w:iCs w:val="1"/>
          <w:color w:val="auto"/>
        </w:rPr>
        <w:t>Trading Derivatives and Commodity Trading Inventories</w:t>
      </w:r>
    </w:p>
    <w:p>
      <w:pPr>
        <w:spacing w:after="0" w:line="23" w:lineRule="exact"/>
        <w:rPr>
          <w:sz w:val="20"/>
          <w:szCs w:val="20"/>
          <w:color w:val="auto"/>
        </w:rPr>
      </w:pPr>
    </w:p>
    <w:p>
      <w:pPr>
        <w:ind w:left="4"/>
        <w:spacing w:after="0" w:line="289" w:lineRule="auto"/>
        <w:rPr>
          <w:sz w:val="20"/>
          <w:szCs w:val="20"/>
          <w:color w:val="auto"/>
        </w:rPr>
      </w:pPr>
      <w:r>
        <w:rPr>
          <w:rFonts w:ascii="Arial" w:cs="Arial" w:eastAsia="Arial" w:hAnsi="Arial"/>
          <w:sz w:val="15"/>
          <w:szCs w:val="15"/>
          <w:color w:val="auto"/>
        </w:rPr>
        <w:t>Trading derivatives and commodity trading inventories reflect positions held by Sempra Commodities, prior to the formation of RBS Sempra Commodities in 2008, as we discuss in Note 3. Trading derivatives include exchange-traded derivative contracts and OTC derivative contracts. Exchange-traded derivative contracts, which include futures and exchange-traded options, are generally based on unadjusted quoted prices in active markets and are classified within Level 1.</w:t>
      </w:r>
    </w:p>
    <w:p>
      <w:pPr>
        <w:spacing w:after="0" w:line="26" w:lineRule="exact"/>
        <w:rPr>
          <w:sz w:val="20"/>
          <w:szCs w:val="20"/>
          <w:color w:val="auto"/>
        </w:rPr>
      </w:pPr>
    </w:p>
    <w:p>
      <w:pPr>
        <w:ind w:left="4" w:right="160"/>
        <w:spacing w:after="0" w:line="264" w:lineRule="auto"/>
        <w:rPr>
          <w:sz w:val="20"/>
          <w:szCs w:val="20"/>
          <w:color w:val="auto"/>
        </w:rPr>
      </w:pPr>
      <w:r>
        <w:rPr>
          <w:rFonts w:ascii="Arial" w:cs="Arial" w:eastAsia="Arial" w:hAnsi="Arial"/>
          <w:sz w:val="16"/>
          <w:szCs w:val="16"/>
          <w:color w:val="auto"/>
        </w:rPr>
        <w:t>In addition, certain OTC-cleared options and swap contracts are included in Level 1, as the fair values of these items are based on unadjusted quoted prices in active markets. Some exchange-traded derivatives are valued using broker or dealer quotations, or market transactions in either the listed or OTC markets. In such cases, these exchange-traded derivatives are classified within Level 2.</w:t>
      </w:r>
    </w:p>
    <w:p>
      <w:pPr>
        <w:spacing w:after="0" w:line="42" w:lineRule="exact"/>
        <w:rPr>
          <w:sz w:val="20"/>
          <w:szCs w:val="20"/>
          <w:color w:val="auto"/>
        </w:rPr>
      </w:pPr>
    </w:p>
    <w:p>
      <w:pPr>
        <w:ind w:left="4" w:right="100"/>
        <w:spacing w:after="0" w:line="264" w:lineRule="auto"/>
        <w:rPr>
          <w:sz w:val="20"/>
          <w:szCs w:val="20"/>
          <w:color w:val="auto"/>
        </w:rPr>
      </w:pPr>
      <w:r>
        <w:rPr>
          <w:rFonts w:ascii="Arial" w:cs="Arial" w:eastAsia="Arial" w:hAnsi="Arial"/>
          <w:sz w:val="16"/>
          <w:szCs w:val="16"/>
          <w:color w:val="auto"/>
        </w:rPr>
        <w:t>OTC derivative trading instruments include swaps, forwards, options and complex structures that are valued at fair value and may be offset with similar positions in exchange-traded markets. In certain instances, we may use models to measure the fair value of these instruments. Generally, we use a similar model to value similar instruments. Valuation models use various inputs that include quoted prices for:</w:t>
      </w:r>
    </w:p>
    <w:p>
      <w:pPr>
        <w:spacing w:after="0" w:line="5" w:lineRule="exact"/>
        <w:rPr>
          <w:sz w:val="20"/>
          <w:szCs w:val="20"/>
          <w:color w:val="auto"/>
        </w:rPr>
      </w:pPr>
    </w:p>
    <w:p>
      <w:pPr>
        <w:ind w:left="144" w:hanging="144"/>
        <w:spacing w:after="0"/>
        <w:tabs>
          <w:tab w:leader="none" w:pos="144" w:val="left"/>
        </w:tabs>
        <w:numPr>
          <w:ilvl w:val="0"/>
          <w:numId w:val="372"/>
        </w:numPr>
        <w:rPr>
          <w:rFonts w:ascii="Arial" w:cs="Arial" w:eastAsia="Arial" w:hAnsi="Arial"/>
          <w:sz w:val="16"/>
          <w:szCs w:val="16"/>
          <w:color w:val="auto"/>
        </w:rPr>
      </w:pPr>
      <w:r>
        <w:rPr>
          <w:rFonts w:ascii="Arial" w:cs="Arial" w:eastAsia="Arial" w:hAnsi="Arial"/>
          <w:sz w:val="16"/>
          <w:szCs w:val="16"/>
          <w:color w:val="auto"/>
        </w:rPr>
        <w:t>similar assets or liabilities in active markets;</w:t>
      </w:r>
    </w:p>
    <w:p>
      <w:pPr>
        <w:spacing w:after="0" w:line="44" w:lineRule="exact"/>
        <w:rPr>
          <w:rFonts w:ascii="Arial" w:cs="Arial" w:eastAsia="Arial" w:hAnsi="Arial"/>
          <w:sz w:val="16"/>
          <w:szCs w:val="16"/>
          <w:color w:val="auto"/>
        </w:rPr>
      </w:pPr>
    </w:p>
    <w:p>
      <w:pPr>
        <w:ind w:left="144" w:hanging="144"/>
        <w:spacing w:after="0"/>
        <w:tabs>
          <w:tab w:leader="none" w:pos="144" w:val="left"/>
        </w:tabs>
        <w:numPr>
          <w:ilvl w:val="0"/>
          <w:numId w:val="372"/>
        </w:numPr>
        <w:rPr>
          <w:rFonts w:ascii="Arial" w:cs="Arial" w:eastAsia="Arial" w:hAnsi="Arial"/>
          <w:sz w:val="16"/>
          <w:szCs w:val="16"/>
          <w:color w:val="auto"/>
        </w:rPr>
      </w:pPr>
      <w:r>
        <w:rPr>
          <w:rFonts w:ascii="Arial" w:cs="Arial" w:eastAsia="Arial" w:hAnsi="Arial"/>
          <w:sz w:val="16"/>
          <w:szCs w:val="16"/>
          <w:color w:val="auto"/>
        </w:rPr>
        <w:t>identical or similar assets or liabilities in markets that are not active;</w:t>
      </w:r>
    </w:p>
    <w:p>
      <w:pPr>
        <w:spacing w:after="0" w:line="44" w:lineRule="exact"/>
        <w:rPr>
          <w:rFonts w:ascii="Arial" w:cs="Arial" w:eastAsia="Arial" w:hAnsi="Arial"/>
          <w:sz w:val="16"/>
          <w:szCs w:val="16"/>
          <w:color w:val="auto"/>
        </w:rPr>
      </w:pPr>
    </w:p>
    <w:p>
      <w:pPr>
        <w:ind w:left="144" w:hanging="144"/>
        <w:spacing w:after="0"/>
        <w:tabs>
          <w:tab w:leader="none" w:pos="144" w:val="left"/>
        </w:tabs>
        <w:numPr>
          <w:ilvl w:val="0"/>
          <w:numId w:val="372"/>
        </w:numPr>
        <w:rPr>
          <w:rFonts w:ascii="Arial" w:cs="Arial" w:eastAsia="Arial" w:hAnsi="Arial"/>
          <w:sz w:val="16"/>
          <w:szCs w:val="16"/>
          <w:color w:val="auto"/>
        </w:rPr>
      </w:pPr>
      <w:r>
        <w:rPr>
          <w:rFonts w:ascii="Arial" w:cs="Arial" w:eastAsia="Arial" w:hAnsi="Arial"/>
          <w:sz w:val="16"/>
          <w:szCs w:val="16"/>
          <w:color w:val="auto"/>
        </w:rPr>
        <w:t>other observable inputs for the asset or liability; and</w:t>
      </w:r>
    </w:p>
    <w:p>
      <w:pPr>
        <w:spacing w:after="0" w:line="44" w:lineRule="exact"/>
        <w:rPr>
          <w:rFonts w:ascii="Arial" w:cs="Arial" w:eastAsia="Arial" w:hAnsi="Arial"/>
          <w:sz w:val="16"/>
          <w:szCs w:val="16"/>
          <w:color w:val="auto"/>
        </w:rPr>
      </w:pPr>
    </w:p>
    <w:p>
      <w:pPr>
        <w:ind w:left="144" w:right="1260" w:hanging="144"/>
        <w:spacing w:after="0" w:line="277" w:lineRule="auto"/>
        <w:tabs>
          <w:tab w:leader="none" w:pos="144" w:val="left"/>
        </w:tabs>
        <w:numPr>
          <w:ilvl w:val="0"/>
          <w:numId w:val="372"/>
        </w:numPr>
        <w:rPr>
          <w:rFonts w:ascii="Arial" w:cs="Arial" w:eastAsia="Arial" w:hAnsi="Arial"/>
          <w:sz w:val="16"/>
          <w:szCs w:val="16"/>
          <w:color w:val="auto"/>
        </w:rPr>
      </w:pPr>
      <w:r>
        <w:rPr>
          <w:rFonts w:ascii="Arial" w:cs="Arial" w:eastAsia="Arial" w:hAnsi="Arial"/>
          <w:sz w:val="16"/>
          <w:szCs w:val="16"/>
          <w:color w:val="auto"/>
        </w:rPr>
        <w:t>market-corroborated inputs, i.e., inputs derived principally from or corroborated by observable market data by correlation or other means. Where observable inputs are available for substantially the full term of the asset or liability, the instrument is categorized in Level 2.</w:t>
      </w:r>
    </w:p>
    <w:p>
      <w:pPr>
        <w:spacing w:after="0" w:line="80" w:lineRule="exact"/>
        <w:rPr>
          <w:sz w:val="20"/>
          <w:szCs w:val="20"/>
          <w:color w:val="auto"/>
        </w:rPr>
      </w:pPr>
    </w:p>
    <w:p>
      <w:pPr>
        <w:jc w:val="both"/>
        <w:ind w:left="4" w:right="180"/>
        <w:spacing w:after="0" w:line="264" w:lineRule="auto"/>
        <w:rPr>
          <w:sz w:val="20"/>
          <w:szCs w:val="20"/>
          <w:color w:val="auto"/>
        </w:rPr>
      </w:pPr>
      <w:r>
        <w:rPr>
          <w:rFonts w:ascii="Arial" w:cs="Arial" w:eastAsia="Arial" w:hAnsi="Arial"/>
          <w:sz w:val="16"/>
          <w:szCs w:val="16"/>
          <w:color w:val="auto"/>
        </w:rPr>
        <w:t>Certain OTC derivatives trade in less active markets with a lower availability of pricing information. In addition, complex or structured transactions can introduce the need for internally-developed model inputs that might not be observable in or corroborated by the market. When such inputs have a significant impact on the measurement of fair value, the instrument is categorized in Level 3.</w:t>
      </w:r>
    </w:p>
    <w:p>
      <w:pPr>
        <w:spacing w:after="0" w:line="200" w:lineRule="exact"/>
        <w:rPr>
          <w:sz w:val="20"/>
          <w:szCs w:val="20"/>
          <w:color w:val="auto"/>
        </w:rPr>
      </w:pPr>
    </w:p>
    <w:p>
      <w:pPr>
        <w:spacing w:after="0" w:line="362" w:lineRule="exact"/>
        <w:rPr>
          <w:sz w:val="20"/>
          <w:szCs w:val="20"/>
          <w:color w:val="auto"/>
        </w:rPr>
      </w:pPr>
    </w:p>
    <w:p>
      <w:pPr>
        <w:ind w:left="4"/>
        <w:spacing w:after="0"/>
        <w:rPr>
          <w:sz w:val="20"/>
          <w:szCs w:val="20"/>
          <w:color w:val="auto"/>
        </w:rPr>
      </w:pPr>
      <w:r>
        <w:rPr>
          <w:rFonts w:ascii="Arial" w:cs="Arial" w:eastAsia="Arial" w:hAnsi="Arial"/>
          <w:sz w:val="14"/>
          <w:szCs w:val="14"/>
          <w:color w:val="auto"/>
        </w:rPr>
        <w:t>161</w:t>
      </w:r>
    </w:p>
    <w:p>
      <w:pPr>
        <w:sectPr>
          <w:pgSz w:w="11900" w:h="16838" w:orient="portrait"/>
          <w:cols w:equalWidth="0" w:num="1">
            <w:col w:w="11424"/>
          </w:cols>
          <w:pgMar w:left="236" w:top="396" w:right="239" w:bottom="1440" w:gutter="0" w:footer="0" w:header="0"/>
        </w:sectPr>
      </w:pPr>
    </w:p>
    <w:bookmarkStart w:id="301" w:name="page302"/>
    <w:bookmarkEnd w:id="301"/>
    <w:p>
      <w:pPr>
        <w:ind w:left="4"/>
        <w:spacing w:after="0"/>
        <w:rPr>
          <w:sz w:val="20"/>
          <w:szCs w:val="20"/>
          <w:color w:val="auto"/>
        </w:rPr>
      </w:pPr>
      <w:r>
        <w:rPr>
          <w:rFonts w:ascii="Arial" w:cs="Arial" w:eastAsia="Arial" w:hAnsi="Arial"/>
          <w:sz w:val="18"/>
          <w:szCs w:val="18"/>
          <w:b w:val="1"/>
          <w:bCs w:val="1"/>
          <w:i w:val="1"/>
          <w:iCs w:val="1"/>
          <w:color w:val="auto"/>
        </w:rPr>
        <w:t>Level 3 Information</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6"/>
          <w:szCs w:val="16"/>
          <w:color w:val="auto"/>
        </w:rPr>
        <w:t>The following table set forth reconciliations of changes in the fair value of net trading and other derivatives classified as Level 3 in the fair value hierarchy:</w:t>
      </w:r>
    </w:p>
    <w:p>
      <w:pPr>
        <w:spacing w:after="0" w:line="349" w:lineRule="exact"/>
        <w:rPr>
          <w:sz w:val="20"/>
          <w:szCs w:val="20"/>
          <w:color w:val="auto"/>
        </w:rPr>
      </w:pPr>
    </w:p>
    <w:tbl>
      <w:tblPr>
        <w:tblLayout w:type="fixed"/>
        <w:tblInd w:w="1824" w:type="dxa"/>
        <w:tblCellMar>
          <w:top w:w="0" w:type="dxa"/>
          <w:left w:w="0" w:type="dxa"/>
          <w:bottom w:w="0" w:type="dxa"/>
          <w:right w:w="0" w:type="dxa"/>
        </w:tblCellMar>
      </w:tblPr>
      <w:tr>
        <w:trPr>
          <w:trHeight w:val="159"/>
        </w:trPr>
        <w:tc>
          <w:tcPr>
            <w:tcW w:w="356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900" w:type="dxa"/>
            <w:vAlign w:val="bottom"/>
            <w:tcBorders>
              <w:bottom w:val="single" w:sz="8" w:color="auto"/>
            </w:tcBorders>
            <w:gridSpan w:val="3"/>
          </w:tcPr>
          <w:p>
            <w:pPr>
              <w:jc w:val="right"/>
              <w:ind w:right="129"/>
              <w:spacing w:after="0"/>
              <w:rPr>
                <w:sz w:val="20"/>
                <w:szCs w:val="20"/>
                <w:color w:val="auto"/>
              </w:rPr>
            </w:pPr>
            <w:r>
              <w:rPr>
                <w:rFonts w:ascii="Arial" w:cs="Arial" w:eastAsia="Arial" w:hAnsi="Arial"/>
                <w:sz w:val="13"/>
                <w:szCs w:val="13"/>
                <w:color w:val="auto"/>
                <w:w w:val="98"/>
              </w:rPr>
              <w:t>Sempra Energy Consolidated</w:t>
            </w:r>
          </w:p>
        </w:tc>
        <w:tc>
          <w:tcPr>
            <w:tcW w:w="34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130"/>
              <w:spacing w:after="0"/>
              <w:rPr>
                <w:sz w:val="20"/>
                <w:szCs w:val="20"/>
                <w:color w:val="auto"/>
              </w:rPr>
            </w:pPr>
            <w:r>
              <w:rPr>
                <w:rFonts w:ascii="Arial" w:cs="Arial" w:eastAsia="Arial" w:hAnsi="Arial"/>
                <w:sz w:val="13"/>
                <w:szCs w:val="13"/>
                <w:color w:val="auto"/>
                <w:w w:val="96"/>
              </w:rPr>
              <w:t>SDG&amp;E</w:t>
            </w:r>
          </w:p>
        </w:tc>
        <w:tc>
          <w:tcPr>
            <w:tcW w:w="620" w:type="dxa"/>
            <w:vAlign w:val="bottom"/>
            <w:tcBorders>
              <w:bottom w:val="single" w:sz="8" w:color="auto"/>
            </w:tcBorders>
          </w:tcPr>
          <w:p>
            <w:pPr>
              <w:spacing w:after="0"/>
              <w:rPr>
                <w:sz w:val="13"/>
                <w:szCs w:val="13"/>
                <w:color w:val="auto"/>
              </w:rPr>
            </w:pPr>
          </w:p>
        </w:tc>
      </w:tr>
      <w:tr>
        <w:trPr>
          <w:trHeight w:val="193"/>
        </w:trPr>
        <w:tc>
          <w:tcPr>
            <w:tcW w:w="35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3"/>
          </w:tcPr>
          <w:p>
            <w:pPr>
              <w:jc w:val="right"/>
              <w:ind w:right="569"/>
              <w:spacing w:after="0"/>
              <w:rPr>
                <w:sz w:val="20"/>
                <w:szCs w:val="20"/>
                <w:color w:val="auto"/>
              </w:rPr>
            </w:pPr>
            <w:r>
              <w:rPr>
                <w:rFonts w:ascii="Arial" w:cs="Arial" w:eastAsia="Arial" w:hAnsi="Arial"/>
                <w:sz w:val="13"/>
                <w:szCs w:val="13"/>
                <w:color w:val="auto"/>
              </w:rPr>
              <w:t>December 31,</w:t>
            </w:r>
          </w:p>
        </w:tc>
        <w:tc>
          <w:tcPr>
            <w:tcW w:w="3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color w:val="auto"/>
              </w:rPr>
              <w:t>December 31,</w:t>
            </w:r>
          </w:p>
        </w:tc>
        <w:tc>
          <w:tcPr>
            <w:tcW w:w="620" w:type="dxa"/>
            <w:vAlign w:val="bottom"/>
            <w:tcBorders>
              <w:bottom w:val="single" w:sz="8" w:color="auto"/>
            </w:tcBorders>
          </w:tcPr>
          <w:p>
            <w:pPr>
              <w:spacing w:after="0"/>
              <w:rPr>
                <w:sz w:val="16"/>
                <w:szCs w:val="16"/>
                <w:color w:val="auto"/>
              </w:rPr>
            </w:pPr>
          </w:p>
        </w:tc>
      </w:tr>
      <w:tr>
        <w:trPr>
          <w:trHeight w:val="211"/>
        </w:trPr>
        <w:tc>
          <w:tcPr>
            <w:tcW w:w="3560" w:type="dxa"/>
            <w:vAlign w:val="bottom"/>
            <w:tcBorders>
              <w:bottom w:val="single" w:sz="8" w:color="auto"/>
            </w:tcBorders>
          </w:tcPr>
          <w:p>
            <w:pPr>
              <w:ind w:left="20"/>
              <w:spacing w:after="0"/>
              <w:rPr>
                <w:sz w:val="20"/>
                <w:szCs w:val="20"/>
                <w:color w:val="auto"/>
              </w:rPr>
            </w:pPr>
            <w:r>
              <w:rPr>
                <w:rFonts w:ascii="Arial" w:cs="Arial" w:eastAsia="Arial" w:hAnsi="Arial"/>
                <w:sz w:val="13"/>
                <w:szCs w:val="13"/>
                <w:i w:val="1"/>
                <w:iCs w:val="1"/>
                <w:color w:val="auto"/>
              </w:rPr>
              <w:t>(Dollars in millions)</w:t>
            </w: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310"/>
              <w:spacing w:after="0"/>
              <w:rPr>
                <w:sz w:val="20"/>
                <w:szCs w:val="20"/>
                <w:color w:val="auto"/>
              </w:rPr>
            </w:pPr>
            <w:r>
              <w:rPr>
                <w:rFonts w:ascii="Arial" w:cs="Arial" w:eastAsia="Arial" w:hAnsi="Arial"/>
                <w:sz w:val="13"/>
                <w:szCs w:val="13"/>
                <w:color w:val="auto"/>
              </w:rPr>
              <w:t>2008</w:t>
            </w:r>
          </w:p>
        </w:tc>
        <w:tc>
          <w:tcPr>
            <w:tcW w:w="3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329"/>
              <w:spacing w:after="0"/>
              <w:rPr>
                <w:sz w:val="20"/>
                <w:szCs w:val="20"/>
                <w:color w:val="auto"/>
              </w:rPr>
            </w:pPr>
            <w:r>
              <w:rPr>
                <w:rFonts w:ascii="Arial" w:cs="Arial" w:eastAsia="Arial" w:hAnsi="Arial"/>
                <w:sz w:val="13"/>
                <w:szCs w:val="13"/>
                <w:color w:val="auto"/>
              </w:rPr>
              <w:t>2007</w:t>
            </w:r>
          </w:p>
        </w:tc>
        <w:tc>
          <w:tcPr>
            <w:tcW w:w="34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ind w:right="70"/>
              <w:spacing w:after="0"/>
              <w:rPr>
                <w:sz w:val="20"/>
                <w:szCs w:val="20"/>
                <w:color w:val="auto"/>
              </w:rPr>
            </w:pPr>
            <w:r>
              <w:rPr>
                <w:rFonts w:ascii="Arial" w:cs="Arial" w:eastAsia="Arial" w:hAnsi="Arial"/>
                <w:sz w:val="13"/>
                <w:szCs w:val="13"/>
                <w:color w:val="auto"/>
              </w:rPr>
              <w:t>2008</w:t>
            </w:r>
          </w:p>
        </w:tc>
        <w:tc>
          <w:tcPr>
            <w:tcW w:w="6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249"/>
              <w:spacing w:after="0"/>
              <w:rPr>
                <w:sz w:val="20"/>
                <w:szCs w:val="20"/>
                <w:color w:val="auto"/>
              </w:rPr>
            </w:pPr>
            <w:r>
              <w:rPr>
                <w:rFonts w:ascii="Arial" w:cs="Arial" w:eastAsia="Arial" w:hAnsi="Arial"/>
                <w:sz w:val="13"/>
                <w:szCs w:val="13"/>
                <w:color w:val="auto"/>
                <w:w w:val="96"/>
              </w:rPr>
              <w:t>2007</w:t>
            </w:r>
          </w:p>
        </w:tc>
      </w:tr>
      <w:tr>
        <w:trPr>
          <w:trHeight w:val="207"/>
        </w:trPr>
        <w:tc>
          <w:tcPr>
            <w:tcW w:w="3560" w:type="dxa"/>
            <w:vAlign w:val="bottom"/>
          </w:tcPr>
          <w:p>
            <w:pPr>
              <w:ind w:left="20"/>
              <w:spacing w:after="0"/>
              <w:rPr>
                <w:sz w:val="20"/>
                <w:szCs w:val="20"/>
                <w:color w:val="auto"/>
              </w:rPr>
            </w:pPr>
            <w:r>
              <w:rPr>
                <w:rFonts w:ascii="Arial" w:cs="Arial" w:eastAsia="Arial" w:hAnsi="Arial"/>
                <w:sz w:val="14"/>
                <w:szCs w:val="14"/>
                <w:color w:val="auto"/>
              </w:rPr>
              <w:t>Balance as of January 1</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170"/>
              <w:spacing w:after="0"/>
              <w:rPr>
                <w:sz w:val="20"/>
                <w:szCs w:val="20"/>
                <w:color w:val="auto"/>
              </w:rPr>
            </w:pPr>
            <w:r>
              <w:rPr>
                <w:rFonts w:ascii="Arial" w:cs="Arial" w:eastAsia="Arial" w:hAnsi="Arial"/>
                <w:sz w:val="14"/>
                <w:szCs w:val="14"/>
                <w:color w:val="auto"/>
              </w:rPr>
              <w:t>401</w:t>
            </w:r>
          </w:p>
        </w:tc>
        <w:tc>
          <w:tcPr>
            <w:tcW w:w="3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189"/>
              <w:spacing w:after="0"/>
              <w:rPr>
                <w:sz w:val="20"/>
                <w:szCs w:val="20"/>
                <w:color w:val="auto"/>
              </w:rPr>
            </w:pPr>
            <w:r>
              <w:rPr>
                <w:rFonts w:ascii="Arial" w:cs="Arial" w:eastAsia="Arial" w:hAnsi="Arial"/>
                <w:sz w:val="14"/>
                <w:szCs w:val="14"/>
                <w:color w:val="auto"/>
              </w:rPr>
              <w:t>519</w:t>
            </w:r>
          </w:p>
        </w:tc>
        <w:tc>
          <w:tcPr>
            <w:tcW w:w="3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500" w:type="dxa"/>
            <w:vAlign w:val="bottom"/>
          </w:tcPr>
          <w:p>
            <w:pPr>
              <w:jc w:val="right"/>
              <w:spacing w:after="0"/>
              <w:rPr>
                <w:sz w:val="20"/>
                <w:szCs w:val="20"/>
                <w:color w:val="auto"/>
              </w:rPr>
            </w:pPr>
            <w:r>
              <w:rPr>
                <w:rFonts w:ascii="Arial" w:cs="Arial" w:eastAsia="Arial" w:hAnsi="Arial"/>
                <w:sz w:val="14"/>
                <w:szCs w:val="14"/>
                <w:color w:val="auto"/>
              </w:rPr>
              <w:t>7</w:t>
            </w:r>
          </w:p>
        </w:tc>
        <w:tc>
          <w:tcPr>
            <w:tcW w:w="660" w:type="dxa"/>
            <w:vAlign w:val="bottom"/>
          </w:tcPr>
          <w:p>
            <w:pPr>
              <w:jc w:val="right"/>
              <w:ind w:right="90"/>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109"/>
              <w:spacing w:after="0"/>
              <w:rPr>
                <w:sz w:val="20"/>
                <w:szCs w:val="20"/>
                <w:color w:val="auto"/>
              </w:rPr>
            </w:pPr>
            <w:r>
              <w:rPr>
                <w:rFonts w:ascii="Arial" w:cs="Arial" w:eastAsia="Arial" w:hAnsi="Arial"/>
                <w:sz w:val="14"/>
                <w:szCs w:val="14"/>
                <w:color w:val="auto"/>
              </w:rPr>
              <w:t>--</w:t>
            </w:r>
          </w:p>
        </w:tc>
      </w:tr>
      <w:tr>
        <w:trPr>
          <w:trHeight w:val="216"/>
        </w:trPr>
        <w:tc>
          <w:tcPr>
            <w:tcW w:w="3560" w:type="dxa"/>
            <w:vAlign w:val="bottom"/>
          </w:tcPr>
          <w:p>
            <w:pPr>
              <w:ind w:left="240"/>
              <w:spacing w:after="0"/>
              <w:rPr>
                <w:sz w:val="20"/>
                <w:szCs w:val="20"/>
                <w:color w:val="auto"/>
              </w:rPr>
            </w:pPr>
            <w:r>
              <w:rPr>
                <w:rFonts w:ascii="Arial" w:cs="Arial" w:eastAsia="Arial" w:hAnsi="Arial"/>
                <w:sz w:val="14"/>
                <w:szCs w:val="14"/>
                <w:color w:val="auto"/>
              </w:rPr>
              <w:t>Realized and unrealized gains (losses)</w:t>
            </w:r>
          </w:p>
        </w:tc>
        <w:tc>
          <w:tcPr>
            <w:tcW w:w="200" w:type="dxa"/>
            <w:vAlign w:val="bottom"/>
          </w:tcPr>
          <w:p>
            <w:pPr>
              <w:spacing w:after="0"/>
              <w:rPr>
                <w:sz w:val="18"/>
                <w:szCs w:val="18"/>
                <w:color w:val="auto"/>
              </w:rPr>
            </w:pPr>
          </w:p>
        </w:tc>
        <w:tc>
          <w:tcPr>
            <w:tcW w:w="800" w:type="dxa"/>
            <w:vAlign w:val="bottom"/>
          </w:tcPr>
          <w:p>
            <w:pPr>
              <w:jc w:val="right"/>
              <w:ind w:right="110"/>
              <w:spacing w:after="0"/>
              <w:rPr>
                <w:sz w:val="20"/>
                <w:szCs w:val="20"/>
                <w:color w:val="auto"/>
              </w:rPr>
            </w:pPr>
            <w:r>
              <w:rPr>
                <w:rFonts w:ascii="Arial" w:cs="Arial" w:eastAsia="Arial" w:hAnsi="Arial"/>
                <w:sz w:val="14"/>
                <w:szCs w:val="14"/>
                <w:color w:val="auto"/>
              </w:rPr>
              <w:t>(79 )</w:t>
            </w:r>
          </w:p>
        </w:tc>
        <w:tc>
          <w:tcPr>
            <w:tcW w:w="340" w:type="dxa"/>
            <w:vAlign w:val="bottom"/>
          </w:tcPr>
          <w:p>
            <w:pPr>
              <w:spacing w:after="0"/>
              <w:rPr>
                <w:sz w:val="18"/>
                <w:szCs w:val="18"/>
                <w:color w:val="auto"/>
              </w:rPr>
            </w:pPr>
          </w:p>
        </w:tc>
        <w:tc>
          <w:tcPr>
            <w:tcW w:w="760" w:type="dxa"/>
            <w:vAlign w:val="bottom"/>
          </w:tcPr>
          <w:p>
            <w:pPr>
              <w:jc w:val="right"/>
              <w:ind w:right="109"/>
              <w:spacing w:after="0"/>
              <w:rPr>
                <w:sz w:val="20"/>
                <w:szCs w:val="20"/>
                <w:color w:val="auto"/>
              </w:rPr>
            </w:pPr>
            <w:r>
              <w:rPr>
                <w:rFonts w:ascii="Arial" w:cs="Arial" w:eastAsia="Arial" w:hAnsi="Arial"/>
                <w:sz w:val="14"/>
                <w:szCs w:val="14"/>
                <w:color w:val="auto"/>
              </w:rPr>
              <w:t>(272 )</w:t>
            </w:r>
          </w:p>
        </w:tc>
        <w:tc>
          <w:tcPr>
            <w:tcW w:w="3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3</w:t>
            </w:r>
          </w:p>
        </w:tc>
        <w:tc>
          <w:tcPr>
            <w:tcW w:w="660" w:type="dxa"/>
            <w:vAlign w:val="bottom"/>
          </w:tcPr>
          <w:p>
            <w:pPr>
              <w:spacing w:after="0"/>
              <w:rPr>
                <w:sz w:val="18"/>
                <w:szCs w:val="18"/>
                <w:color w:val="auto"/>
              </w:rPr>
            </w:pPr>
          </w:p>
        </w:tc>
        <w:tc>
          <w:tcPr>
            <w:tcW w:w="620" w:type="dxa"/>
            <w:vAlign w:val="bottom"/>
          </w:tcPr>
          <w:p>
            <w:pPr>
              <w:jc w:val="right"/>
              <w:ind w:right="109"/>
              <w:spacing w:after="0"/>
              <w:rPr>
                <w:sz w:val="20"/>
                <w:szCs w:val="20"/>
                <w:color w:val="auto"/>
              </w:rPr>
            </w:pPr>
            <w:r>
              <w:rPr>
                <w:rFonts w:ascii="Arial" w:cs="Arial" w:eastAsia="Arial" w:hAnsi="Arial"/>
                <w:sz w:val="14"/>
                <w:szCs w:val="14"/>
                <w:color w:val="auto"/>
              </w:rPr>
              <w:t>--</w:t>
            </w:r>
          </w:p>
        </w:tc>
      </w:tr>
      <w:tr>
        <w:trPr>
          <w:trHeight w:val="216"/>
        </w:trPr>
        <w:tc>
          <w:tcPr>
            <w:tcW w:w="3560" w:type="dxa"/>
            <w:vAlign w:val="bottom"/>
          </w:tcPr>
          <w:p>
            <w:pPr>
              <w:ind w:left="240"/>
              <w:spacing w:after="0"/>
              <w:rPr>
                <w:sz w:val="20"/>
                <w:szCs w:val="20"/>
                <w:color w:val="auto"/>
              </w:rPr>
            </w:pPr>
            <w:r>
              <w:rPr>
                <w:rFonts w:ascii="Arial" w:cs="Arial" w:eastAsia="Arial" w:hAnsi="Arial"/>
                <w:sz w:val="14"/>
                <w:szCs w:val="14"/>
                <w:color w:val="auto"/>
              </w:rPr>
              <w:t>Allocated transmission instruments</w:t>
            </w:r>
          </w:p>
        </w:tc>
        <w:tc>
          <w:tcPr>
            <w:tcW w:w="200" w:type="dxa"/>
            <w:vAlign w:val="bottom"/>
          </w:tcPr>
          <w:p>
            <w:pPr>
              <w:spacing w:after="0"/>
              <w:rPr>
                <w:sz w:val="18"/>
                <w:szCs w:val="18"/>
                <w:color w:val="auto"/>
              </w:rPr>
            </w:pPr>
          </w:p>
        </w:tc>
        <w:tc>
          <w:tcPr>
            <w:tcW w:w="800" w:type="dxa"/>
            <w:vAlign w:val="bottom"/>
          </w:tcPr>
          <w:p>
            <w:pPr>
              <w:jc w:val="right"/>
              <w:ind w:right="170"/>
              <w:spacing w:after="0"/>
              <w:rPr>
                <w:sz w:val="20"/>
                <w:szCs w:val="20"/>
                <w:color w:val="auto"/>
              </w:rPr>
            </w:pPr>
            <w:r>
              <w:rPr>
                <w:rFonts w:ascii="Arial" w:cs="Arial" w:eastAsia="Arial" w:hAnsi="Arial"/>
                <w:sz w:val="14"/>
                <w:szCs w:val="14"/>
                <w:color w:val="auto"/>
              </w:rPr>
              <w:t>17</w:t>
            </w:r>
          </w:p>
        </w:tc>
        <w:tc>
          <w:tcPr>
            <w:tcW w:w="340" w:type="dxa"/>
            <w:vAlign w:val="bottom"/>
          </w:tcPr>
          <w:p>
            <w:pPr>
              <w:spacing w:after="0"/>
              <w:rPr>
                <w:sz w:val="18"/>
                <w:szCs w:val="18"/>
                <w:color w:val="auto"/>
              </w:rPr>
            </w:pPr>
          </w:p>
        </w:tc>
        <w:tc>
          <w:tcPr>
            <w:tcW w:w="760" w:type="dxa"/>
            <w:vAlign w:val="bottom"/>
          </w:tcPr>
          <w:p>
            <w:pPr>
              <w:jc w:val="right"/>
              <w:ind w:right="189"/>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17</w:t>
            </w:r>
          </w:p>
        </w:tc>
        <w:tc>
          <w:tcPr>
            <w:tcW w:w="660" w:type="dxa"/>
            <w:vAlign w:val="bottom"/>
          </w:tcPr>
          <w:p>
            <w:pPr>
              <w:spacing w:after="0"/>
              <w:rPr>
                <w:sz w:val="18"/>
                <w:szCs w:val="18"/>
                <w:color w:val="auto"/>
              </w:rPr>
            </w:pPr>
          </w:p>
        </w:tc>
        <w:tc>
          <w:tcPr>
            <w:tcW w:w="620" w:type="dxa"/>
            <w:vAlign w:val="bottom"/>
          </w:tcPr>
          <w:p>
            <w:pPr>
              <w:jc w:val="right"/>
              <w:ind w:right="109"/>
              <w:spacing w:after="0"/>
              <w:rPr>
                <w:sz w:val="20"/>
                <w:szCs w:val="20"/>
                <w:color w:val="auto"/>
              </w:rPr>
            </w:pPr>
            <w:r>
              <w:rPr>
                <w:rFonts w:ascii="Arial" w:cs="Arial" w:eastAsia="Arial" w:hAnsi="Arial"/>
                <w:sz w:val="14"/>
                <w:szCs w:val="14"/>
                <w:color w:val="auto"/>
              </w:rPr>
              <w:t>7</w:t>
            </w:r>
          </w:p>
        </w:tc>
      </w:tr>
      <w:tr>
        <w:trPr>
          <w:trHeight w:val="216"/>
        </w:trPr>
        <w:tc>
          <w:tcPr>
            <w:tcW w:w="3560" w:type="dxa"/>
            <w:vAlign w:val="bottom"/>
          </w:tcPr>
          <w:p>
            <w:pPr>
              <w:ind w:left="240"/>
              <w:spacing w:after="0"/>
              <w:rPr>
                <w:sz w:val="20"/>
                <w:szCs w:val="20"/>
                <w:color w:val="auto"/>
              </w:rPr>
            </w:pPr>
            <w:r>
              <w:rPr>
                <w:rFonts w:ascii="Arial" w:cs="Arial" w:eastAsia="Arial" w:hAnsi="Arial"/>
                <w:sz w:val="14"/>
                <w:szCs w:val="14"/>
                <w:color w:val="auto"/>
              </w:rPr>
              <w:t>Purchases and issuances</w:t>
            </w:r>
          </w:p>
        </w:tc>
        <w:tc>
          <w:tcPr>
            <w:tcW w:w="200" w:type="dxa"/>
            <w:vAlign w:val="bottom"/>
          </w:tcPr>
          <w:p>
            <w:pPr>
              <w:spacing w:after="0"/>
              <w:rPr>
                <w:sz w:val="18"/>
                <w:szCs w:val="18"/>
                <w:color w:val="auto"/>
              </w:rPr>
            </w:pPr>
          </w:p>
        </w:tc>
        <w:tc>
          <w:tcPr>
            <w:tcW w:w="800" w:type="dxa"/>
            <w:vAlign w:val="bottom"/>
          </w:tcPr>
          <w:p>
            <w:pPr>
              <w:jc w:val="right"/>
              <w:ind w:right="170"/>
              <w:spacing w:after="0"/>
              <w:rPr>
                <w:sz w:val="20"/>
                <w:szCs w:val="20"/>
                <w:color w:val="auto"/>
              </w:rPr>
            </w:pPr>
            <w:r>
              <w:rPr>
                <w:rFonts w:ascii="Arial" w:cs="Arial" w:eastAsia="Arial" w:hAnsi="Arial"/>
                <w:sz w:val="14"/>
                <w:szCs w:val="14"/>
                <w:color w:val="auto"/>
              </w:rPr>
              <w:t>24</w:t>
            </w:r>
          </w:p>
        </w:tc>
        <w:tc>
          <w:tcPr>
            <w:tcW w:w="340" w:type="dxa"/>
            <w:vAlign w:val="bottom"/>
          </w:tcPr>
          <w:p>
            <w:pPr>
              <w:spacing w:after="0"/>
              <w:rPr>
                <w:sz w:val="18"/>
                <w:szCs w:val="18"/>
                <w:color w:val="auto"/>
              </w:rPr>
            </w:pPr>
          </w:p>
        </w:tc>
        <w:tc>
          <w:tcPr>
            <w:tcW w:w="760" w:type="dxa"/>
            <w:vAlign w:val="bottom"/>
          </w:tcPr>
          <w:p>
            <w:pPr>
              <w:jc w:val="right"/>
              <w:ind w:right="189"/>
              <w:spacing w:after="0"/>
              <w:rPr>
                <w:sz w:val="20"/>
                <w:szCs w:val="20"/>
                <w:color w:val="auto"/>
              </w:rPr>
            </w:pPr>
            <w:r>
              <w:rPr>
                <w:rFonts w:ascii="Arial" w:cs="Arial" w:eastAsia="Arial" w:hAnsi="Arial"/>
                <w:sz w:val="14"/>
                <w:szCs w:val="14"/>
                <w:color w:val="auto"/>
              </w:rPr>
              <w:t>154</w:t>
            </w:r>
          </w:p>
        </w:tc>
        <w:tc>
          <w:tcPr>
            <w:tcW w:w="3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spacing w:after="0"/>
              <w:rPr>
                <w:sz w:val="18"/>
                <w:szCs w:val="18"/>
                <w:color w:val="auto"/>
              </w:rPr>
            </w:pPr>
          </w:p>
        </w:tc>
        <w:tc>
          <w:tcPr>
            <w:tcW w:w="620" w:type="dxa"/>
            <w:vAlign w:val="bottom"/>
          </w:tcPr>
          <w:p>
            <w:pPr>
              <w:jc w:val="right"/>
              <w:ind w:right="109"/>
              <w:spacing w:after="0"/>
              <w:rPr>
                <w:sz w:val="20"/>
                <w:szCs w:val="20"/>
                <w:color w:val="auto"/>
              </w:rPr>
            </w:pPr>
            <w:r>
              <w:rPr>
                <w:rFonts w:ascii="Arial" w:cs="Arial" w:eastAsia="Arial" w:hAnsi="Arial"/>
                <w:sz w:val="14"/>
                <w:szCs w:val="14"/>
                <w:color w:val="auto"/>
              </w:rPr>
              <w:t>--</w:t>
            </w:r>
          </w:p>
        </w:tc>
      </w:tr>
      <w:tr>
        <w:trPr>
          <w:trHeight w:val="222"/>
        </w:trPr>
        <w:tc>
          <w:tcPr>
            <w:tcW w:w="3560" w:type="dxa"/>
            <w:vAlign w:val="bottom"/>
          </w:tcPr>
          <w:p>
            <w:pPr>
              <w:ind w:left="260"/>
              <w:spacing w:after="0"/>
              <w:rPr>
                <w:sz w:val="20"/>
                <w:szCs w:val="20"/>
                <w:color w:val="auto"/>
              </w:rPr>
            </w:pPr>
            <w:r>
              <w:rPr>
                <w:rFonts w:ascii="Arial" w:cs="Arial" w:eastAsia="Arial" w:hAnsi="Arial"/>
                <w:sz w:val="14"/>
                <w:szCs w:val="14"/>
                <w:color w:val="auto"/>
              </w:rPr>
              <w:t>Sale of the commodities-marketing businesses</w:t>
            </w:r>
          </w:p>
        </w:tc>
        <w:tc>
          <w:tcPr>
            <w:tcW w:w="2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110"/>
              <w:spacing w:after="0"/>
              <w:rPr>
                <w:sz w:val="20"/>
                <w:szCs w:val="20"/>
                <w:color w:val="auto"/>
              </w:rPr>
            </w:pPr>
            <w:r>
              <w:rPr>
                <w:rFonts w:ascii="Arial" w:cs="Arial" w:eastAsia="Arial" w:hAnsi="Arial"/>
                <w:sz w:val="14"/>
                <w:szCs w:val="14"/>
                <w:color w:val="auto"/>
              </w:rPr>
              <w:t>(336 )</w:t>
            </w:r>
          </w:p>
        </w:tc>
        <w:tc>
          <w:tcPr>
            <w:tcW w:w="3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189"/>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w:t>
            </w:r>
          </w:p>
        </w:tc>
      </w:tr>
      <w:tr>
        <w:trPr>
          <w:trHeight w:val="224"/>
        </w:trPr>
        <w:tc>
          <w:tcPr>
            <w:tcW w:w="3560" w:type="dxa"/>
            <w:vAlign w:val="bottom"/>
          </w:tcPr>
          <w:p>
            <w:pPr>
              <w:ind w:left="20"/>
              <w:spacing w:after="0"/>
              <w:rPr>
                <w:sz w:val="20"/>
                <w:szCs w:val="20"/>
                <w:color w:val="auto"/>
              </w:rPr>
            </w:pPr>
            <w:r>
              <w:rPr>
                <w:rFonts w:ascii="Arial" w:cs="Arial" w:eastAsia="Arial" w:hAnsi="Arial"/>
                <w:sz w:val="14"/>
                <w:szCs w:val="14"/>
                <w:color w:val="auto"/>
              </w:rPr>
              <w:t>Balance as of December 31</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ind w:right="170"/>
              <w:spacing w:after="0"/>
              <w:rPr>
                <w:sz w:val="20"/>
                <w:szCs w:val="20"/>
                <w:color w:val="auto"/>
              </w:rPr>
            </w:pPr>
            <w:r>
              <w:rPr>
                <w:rFonts w:ascii="Arial" w:cs="Arial" w:eastAsia="Arial" w:hAnsi="Arial"/>
                <w:sz w:val="14"/>
                <w:szCs w:val="14"/>
                <w:color w:val="auto"/>
              </w:rPr>
              <w:t>27</w:t>
            </w:r>
          </w:p>
        </w:tc>
        <w:tc>
          <w:tcPr>
            <w:tcW w:w="3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ind w:right="189"/>
              <w:spacing w:after="0"/>
              <w:rPr>
                <w:sz w:val="20"/>
                <w:szCs w:val="20"/>
                <w:color w:val="auto"/>
              </w:rPr>
            </w:pPr>
            <w:r>
              <w:rPr>
                <w:rFonts w:ascii="Arial" w:cs="Arial" w:eastAsia="Arial" w:hAnsi="Arial"/>
                <w:sz w:val="14"/>
                <w:szCs w:val="14"/>
                <w:color w:val="auto"/>
              </w:rPr>
              <w:t>401</w:t>
            </w:r>
          </w:p>
        </w:tc>
        <w:tc>
          <w:tcPr>
            <w:tcW w:w="3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w:t>
            </w:r>
          </w:p>
        </w:tc>
        <w:tc>
          <w:tcPr>
            <w:tcW w:w="660" w:type="dxa"/>
            <w:vAlign w:val="bottom"/>
            <w:tcBorders>
              <w:bottom w:val="single" w:sz="8" w:color="auto"/>
            </w:tcBorders>
          </w:tcPr>
          <w:p>
            <w:pPr>
              <w:jc w:val="right"/>
              <w:ind w:right="90"/>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7</w:t>
            </w:r>
          </w:p>
        </w:tc>
      </w:tr>
      <w:tr>
        <w:trPr>
          <w:trHeight w:val="398"/>
        </w:trPr>
        <w:tc>
          <w:tcPr>
            <w:tcW w:w="3560" w:type="dxa"/>
            <w:vAlign w:val="bottom"/>
          </w:tcPr>
          <w:p>
            <w:pPr>
              <w:ind w:left="20"/>
              <w:spacing w:after="0"/>
              <w:rPr>
                <w:sz w:val="20"/>
                <w:szCs w:val="20"/>
                <w:color w:val="auto"/>
              </w:rPr>
            </w:pPr>
            <w:r>
              <w:rPr>
                <w:rFonts w:ascii="Arial" w:cs="Arial" w:eastAsia="Arial" w:hAnsi="Arial"/>
                <w:sz w:val="14"/>
                <w:szCs w:val="14"/>
                <w:color w:val="auto"/>
              </w:rPr>
              <w:t>Change in unrealized gains relating to instruments still</w:t>
            </w: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207"/>
        </w:trPr>
        <w:tc>
          <w:tcPr>
            <w:tcW w:w="3560" w:type="dxa"/>
            <w:vAlign w:val="bottom"/>
            <w:tcBorders>
              <w:bottom w:val="single" w:sz="8" w:color="DFDFDF"/>
            </w:tcBorders>
          </w:tcPr>
          <w:p>
            <w:pPr>
              <w:ind w:left="180"/>
              <w:spacing w:after="0"/>
              <w:rPr>
                <w:sz w:val="20"/>
                <w:szCs w:val="20"/>
                <w:color w:val="auto"/>
              </w:rPr>
            </w:pPr>
            <w:r>
              <w:rPr>
                <w:rFonts w:ascii="Arial" w:cs="Arial" w:eastAsia="Arial" w:hAnsi="Arial"/>
                <w:sz w:val="14"/>
                <w:szCs w:val="14"/>
                <w:color w:val="auto"/>
              </w:rPr>
              <w:t>held as of December 31</w:t>
            </w:r>
          </w:p>
        </w:tc>
        <w:tc>
          <w:tcPr>
            <w:tcW w:w="200" w:type="dxa"/>
            <w:vAlign w:val="bottom"/>
            <w:tcBorders>
              <w:bottom w:val="single" w:sz="8" w:color="DFDFDF"/>
            </w:tcBorders>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DFDFDF"/>
            </w:tcBorders>
          </w:tcPr>
          <w:p>
            <w:pPr>
              <w:jc w:val="right"/>
              <w:ind w:right="170"/>
              <w:spacing w:after="0"/>
              <w:rPr>
                <w:sz w:val="20"/>
                <w:szCs w:val="20"/>
                <w:color w:val="auto"/>
              </w:rPr>
            </w:pPr>
            <w:r>
              <w:rPr>
                <w:rFonts w:ascii="Arial" w:cs="Arial" w:eastAsia="Arial" w:hAnsi="Arial"/>
                <w:sz w:val="14"/>
                <w:szCs w:val="14"/>
                <w:color w:val="auto"/>
              </w:rPr>
              <w:t>27</w:t>
            </w:r>
          </w:p>
        </w:tc>
        <w:tc>
          <w:tcPr>
            <w:tcW w:w="340" w:type="dxa"/>
            <w:vAlign w:val="bottom"/>
            <w:tcBorders>
              <w:bottom w:val="single" w:sz="8" w:color="DFDFDF"/>
            </w:tcBorders>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DFDFDF"/>
            </w:tcBorders>
          </w:tcPr>
          <w:p>
            <w:pPr>
              <w:jc w:val="right"/>
              <w:ind w:right="189"/>
              <w:spacing w:after="0"/>
              <w:rPr>
                <w:sz w:val="20"/>
                <w:szCs w:val="20"/>
                <w:color w:val="auto"/>
              </w:rPr>
            </w:pPr>
            <w:r>
              <w:rPr>
                <w:rFonts w:ascii="Arial" w:cs="Arial" w:eastAsia="Arial" w:hAnsi="Arial"/>
                <w:sz w:val="14"/>
                <w:szCs w:val="14"/>
                <w:color w:val="auto"/>
              </w:rPr>
              <w:t>75</w:t>
            </w:r>
          </w:p>
        </w:tc>
        <w:tc>
          <w:tcPr>
            <w:tcW w:w="340" w:type="dxa"/>
            <w:vAlign w:val="bottom"/>
            <w:tcBorders>
              <w:bottom w:val="single" w:sz="8" w:color="DFDFDF"/>
            </w:tcBorders>
          </w:tcPr>
          <w:p>
            <w:pPr>
              <w:jc w:val="right"/>
              <w:ind w:right="8"/>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DFDFDF"/>
            </w:tcBorders>
          </w:tcPr>
          <w:p>
            <w:pPr>
              <w:jc w:val="right"/>
              <w:spacing w:after="0"/>
              <w:rPr>
                <w:sz w:val="20"/>
                <w:szCs w:val="20"/>
                <w:color w:val="auto"/>
              </w:rPr>
            </w:pPr>
            <w:r>
              <w:rPr>
                <w:rFonts w:ascii="Arial" w:cs="Arial" w:eastAsia="Arial" w:hAnsi="Arial"/>
                <w:sz w:val="14"/>
                <w:szCs w:val="14"/>
                <w:color w:val="auto"/>
              </w:rPr>
              <w:t>27</w:t>
            </w:r>
          </w:p>
        </w:tc>
        <w:tc>
          <w:tcPr>
            <w:tcW w:w="660" w:type="dxa"/>
            <w:vAlign w:val="bottom"/>
            <w:tcBorders>
              <w:bottom w:val="single" w:sz="8" w:color="DFDFDF"/>
            </w:tcBorders>
          </w:tcPr>
          <w:p>
            <w:pPr>
              <w:jc w:val="right"/>
              <w:ind w:right="90"/>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DFDFDF"/>
            </w:tcBorders>
          </w:tcPr>
          <w:p>
            <w:pPr>
              <w:jc w:val="right"/>
              <w:ind w:right="109"/>
              <w:spacing w:after="0"/>
              <w:rPr>
                <w:sz w:val="20"/>
                <w:szCs w:val="20"/>
                <w:color w:val="auto"/>
              </w:rPr>
            </w:pPr>
            <w:r>
              <w:rPr>
                <w:rFonts w:ascii="Arial" w:cs="Arial" w:eastAsia="Arial" w:hAnsi="Arial"/>
                <w:sz w:val="14"/>
                <w:szCs w:val="14"/>
                <w:color w:val="auto"/>
              </w:rPr>
              <w:t>7</w:t>
            </w:r>
          </w:p>
        </w:tc>
      </w:tr>
    </w:tbl>
    <w:p>
      <w:pPr>
        <w:spacing w:after="0" w:line="180" w:lineRule="exact"/>
        <w:rPr>
          <w:sz w:val="20"/>
          <w:szCs w:val="20"/>
          <w:color w:val="auto"/>
        </w:rPr>
      </w:pPr>
    </w:p>
    <w:p>
      <w:pPr>
        <w:ind w:left="4"/>
        <w:spacing w:after="0"/>
        <w:rPr>
          <w:sz w:val="20"/>
          <w:szCs w:val="20"/>
          <w:color w:val="auto"/>
        </w:rPr>
      </w:pPr>
      <w:r>
        <w:rPr>
          <w:rFonts w:ascii="Arial" w:cs="Arial" w:eastAsia="Arial" w:hAnsi="Arial"/>
          <w:sz w:val="16"/>
          <w:szCs w:val="16"/>
          <w:color w:val="auto"/>
        </w:rPr>
        <w:t>Transfers in and/or out of Level 3 represent existing assets or liabilities that were either:</w:t>
      </w:r>
    </w:p>
    <w:p>
      <w:pPr>
        <w:spacing w:after="0" w:line="44" w:lineRule="exact"/>
        <w:rPr>
          <w:sz w:val="20"/>
          <w:szCs w:val="20"/>
          <w:color w:val="auto"/>
        </w:rPr>
      </w:pPr>
    </w:p>
    <w:p>
      <w:pPr>
        <w:ind w:left="144" w:hanging="144"/>
        <w:spacing w:after="0"/>
        <w:tabs>
          <w:tab w:leader="none" w:pos="144" w:val="left"/>
        </w:tabs>
        <w:numPr>
          <w:ilvl w:val="0"/>
          <w:numId w:val="373"/>
        </w:numPr>
        <w:rPr>
          <w:rFonts w:ascii="Arial" w:cs="Arial" w:eastAsia="Arial" w:hAnsi="Arial"/>
          <w:sz w:val="16"/>
          <w:szCs w:val="16"/>
          <w:color w:val="auto"/>
        </w:rPr>
      </w:pPr>
      <w:r>
        <w:rPr>
          <w:rFonts w:ascii="Arial" w:cs="Arial" w:eastAsia="Arial" w:hAnsi="Arial"/>
          <w:sz w:val="16"/>
          <w:szCs w:val="16"/>
          <w:color w:val="auto"/>
        </w:rPr>
        <w:t>previously categorized as a higher level for which the inputs to the model became unobservable; or</w:t>
      </w:r>
    </w:p>
    <w:p>
      <w:pPr>
        <w:spacing w:after="0" w:line="44" w:lineRule="exact"/>
        <w:rPr>
          <w:rFonts w:ascii="Arial" w:cs="Arial" w:eastAsia="Arial" w:hAnsi="Arial"/>
          <w:sz w:val="16"/>
          <w:szCs w:val="16"/>
          <w:color w:val="auto"/>
        </w:rPr>
      </w:pPr>
    </w:p>
    <w:p>
      <w:pPr>
        <w:ind w:left="144" w:hanging="144"/>
        <w:spacing w:after="0"/>
        <w:tabs>
          <w:tab w:leader="none" w:pos="144" w:val="left"/>
        </w:tabs>
        <w:numPr>
          <w:ilvl w:val="0"/>
          <w:numId w:val="373"/>
        </w:numPr>
        <w:rPr>
          <w:rFonts w:ascii="Arial" w:cs="Arial" w:eastAsia="Arial" w:hAnsi="Arial"/>
          <w:sz w:val="16"/>
          <w:szCs w:val="16"/>
          <w:color w:val="auto"/>
        </w:rPr>
      </w:pPr>
      <w:r>
        <w:rPr>
          <w:rFonts w:ascii="Arial" w:cs="Arial" w:eastAsia="Arial" w:hAnsi="Arial"/>
          <w:sz w:val="16"/>
          <w:szCs w:val="16"/>
          <w:color w:val="auto"/>
        </w:rPr>
        <w:t>assets and liabilities that were previously classified as Level 3 for which the lowest significant input became observable during the period.</w:t>
      </w:r>
    </w:p>
    <w:p>
      <w:pPr>
        <w:spacing w:after="0" w:line="128" w:lineRule="exact"/>
        <w:rPr>
          <w:sz w:val="20"/>
          <w:szCs w:val="20"/>
          <w:color w:val="auto"/>
        </w:rPr>
      </w:pPr>
    </w:p>
    <w:p>
      <w:pPr>
        <w:ind w:left="4"/>
        <w:spacing w:after="0"/>
        <w:rPr>
          <w:sz w:val="20"/>
          <w:szCs w:val="20"/>
          <w:color w:val="auto"/>
        </w:rPr>
      </w:pPr>
      <w:r>
        <w:rPr>
          <w:rFonts w:ascii="Arial" w:cs="Arial" w:eastAsia="Arial" w:hAnsi="Arial"/>
          <w:sz w:val="16"/>
          <w:szCs w:val="16"/>
          <w:color w:val="auto"/>
        </w:rPr>
        <w:t>There were no transfers in or out of Level 3 during the periods presented.</w:t>
      </w:r>
    </w:p>
    <w:p>
      <w:pPr>
        <w:spacing w:after="0" w:line="80" w:lineRule="exact"/>
        <w:rPr>
          <w:sz w:val="20"/>
          <w:szCs w:val="20"/>
          <w:color w:val="auto"/>
        </w:rPr>
      </w:pPr>
    </w:p>
    <w:p>
      <w:pPr>
        <w:ind w:left="4"/>
        <w:spacing w:after="0" w:line="264" w:lineRule="auto"/>
        <w:rPr>
          <w:sz w:val="20"/>
          <w:szCs w:val="20"/>
          <w:color w:val="auto"/>
        </w:rPr>
      </w:pPr>
      <w:r>
        <w:rPr>
          <w:rFonts w:ascii="Arial" w:cs="Arial" w:eastAsia="Arial" w:hAnsi="Arial"/>
          <w:sz w:val="16"/>
          <w:szCs w:val="16"/>
          <w:color w:val="auto"/>
        </w:rPr>
        <w:t>Gains and losses (realized and unrealized) for Level 3 recurring items are primarily related to the commodities-marketing businesses and are included in Revenues for Sempra Global and Parent on the Statements of Consolidated Income for the three months ended March 31, 2008 and for the year ended December 31, 2007. With the sale of these businesses on April 1, 2008, Level 3 recurring activity was substantially reduced.</w:t>
      </w:r>
    </w:p>
    <w:p>
      <w:pPr>
        <w:spacing w:after="0" w:line="200" w:lineRule="exact"/>
        <w:rPr>
          <w:sz w:val="20"/>
          <w:szCs w:val="20"/>
          <w:color w:val="auto"/>
        </w:rPr>
      </w:pPr>
    </w:p>
    <w:p>
      <w:pPr>
        <w:spacing w:after="0" w:line="230" w:lineRule="exact"/>
        <w:rPr>
          <w:sz w:val="20"/>
          <w:szCs w:val="20"/>
          <w:color w:val="auto"/>
        </w:rPr>
      </w:pPr>
    </w:p>
    <w:p>
      <w:pPr>
        <w:ind w:left="4"/>
        <w:spacing w:after="0"/>
        <w:rPr>
          <w:sz w:val="20"/>
          <w:szCs w:val="20"/>
          <w:color w:val="auto"/>
        </w:rPr>
      </w:pPr>
      <w:r>
        <w:rPr>
          <w:rFonts w:ascii="Arial" w:cs="Arial" w:eastAsia="Arial" w:hAnsi="Arial"/>
          <w:sz w:val="14"/>
          <w:szCs w:val="14"/>
          <w:color w:val="auto"/>
        </w:rPr>
        <w:t>162</w:t>
      </w:r>
    </w:p>
    <w:p>
      <w:pPr>
        <w:sectPr>
          <w:pgSz w:w="11900" w:h="16838" w:orient="portrait"/>
          <w:cols w:equalWidth="0" w:num="1">
            <w:col w:w="11184"/>
          </w:cols>
          <w:pgMar w:left="236" w:top="293" w:right="479" w:bottom="1440" w:gutter="0" w:footer="0" w:header="0"/>
        </w:sectPr>
      </w:pPr>
    </w:p>
    <w:bookmarkStart w:id="302" w:name="page303"/>
    <w:bookmarkEnd w:id="30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149860</wp:posOffset>
            </wp:positionH>
            <wp:positionV relativeFrom="page">
              <wp:posOffset>432435</wp:posOffset>
            </wp:positionV>
            <wp:extent cx="7261860" cy="762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61860" cy="7620"/>
                    </a:xfrm>
                    <a:prstGeom prst="rect">
                      <a:avLst/>
                    </a:prstGeom>
                    <a:noFill/>
                  </pic:spPr>
                </pic:pic>
              </a:graphicData>
            </a:graphic>
          </wp:anchor>
        </w:drawing>
        <w:t>NOTE 12. PREFERRED STOCK</w:t>
      </w:r>
    </w:p>
    <w:p>
      <w:pPr>
        <w:spacing w:after="0" w:line="60" w:lineRule="exact"/>
        <w:rPr>
          <w:sz w:val="20"/>
          <w:szCs w:val="20"/>
          <w:color w:val="auto"/>
        </w:rPr>
      </w:pPr>
    </w:p>
    <w:p>
      <w:pPr>
        <w:spacing w:after="0"/>
        <w:rPr>
          <w:sz w:val="20"/>
          <w:szCs w:val="20"/>
          <w:color w:val="auto"/>
        </w:rPr>
      </w:pPr>
      <w:r>
        <w:rPr>
          <w:rFonts w:ascii="Arial" w:cs="Arial" w:eastAsia="Arial" w:hAnsi="Arial"/>
          <w:sz w:val="16"/>
          <w:szCs w:val="16"/>
          <w:color w:val="auto"/>
        </w:rPr>
        <w:t>The table below shows the details of preferred stock for SDG&amp;E, PE and SoCalGas.</w:t>
      </w:r>
    </w:p>
    <w:p>
      <w:pPr>
        <w:spacing w:after="0" w:line="361" w:lineRule="exact"/>
        <w:rPr>
          <w:sz w:val="20"/>
          <w:szCs w:val="20"/>
          <w:color w:val="auto"/>
        </w:rPr>
      </w:pPr>
    </w:p>
    <w:tbl>
      <w:tblPr>
        <w:tblLayout w:type="fixed"/>
        <w:tblInd w:w="2280" w:type="dxa"/>
        <w:tblCellMar>
          <w:top w:w="0" w:type="dxa"/>
          <w:left w:w="0" w:type="dxa"/>
          <w:bottom w:w="0" w:type="dxa"/>
          <w:right w:w="0" w:type="dxa"/>
        </w:tblCellMar>
      </w:tblPr>
      <w:tr>
        <w:trPr>
          <w:trHeight w:val="154"/>
        </w:trPr>
        <w:tc>
          <w:tcPr>
            <w:tcW w:w="462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Call/</w:t>
            </w:r>
          </w:p>
        </w:tc>
        <w:tc>
          <w:tcPr>
            <w:tcW w:w="3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Redemption</w:t>
            </w:r>
          </w:p>
        </w:tc>
        <w:tc>
          <w:tcPr>
            <w:tcW w:w="360" w:type="dxa"/>
            <w:vAlign w:val="bottom"/>
          </w:tcPr>
          <w:p>
            <w:pPr>
              <w:spacing w:after="0"/>
              <w:rPr>
                <w:sz w:val="18"/>
                <w:szCs w:val="18"/>
                <w:color w:val="auto"/>
              </w:rPr>
            </w:pPr>
          </w:p>
        </w:tc>
        <w:tc>
          <w:tcPr>
            <w:tcW w:w="1060" w:type="dxa"/>
            <w:vAlign w:val="bottom"/>
            <w:gridSpan w:val="3"/>
          </w:tcPr>
          <w:p>
            <w:pPr>
              <w:jc w:val="right"/>
              <w:ind w:right="168"/>
              <w:spacing w:after="0"/>
              <w:rPr>
                <w:sz w:val="20"/>
                <w:szCs w:val="20"/>
                <w:color w:val="auto"/>
              </w:rPr>
            </w:pPr>
            <w:r>
              <w:rPr>
                <w:rFonts w:ascii="Arial" w:cs="Arial" w:eastAsia="Arial" w:hAnsi="Arial"/>
                <w:sz w:val="13"/>
                <w:szCs w:val="13"/>
                <w:color w:val="auto"/>
                <w:w w:val="97"/>
              </w:rPr>
              <w:t>December 31,</w:t>
            </w:r>
          </w:p>
        </w:tc>
        <w:tc>
          <w:tcPr>
            <w:tcW w:w="0" w:type="dxa"/>
            <w:vAlign w:val="bottom"/>
          </w:tcPr>
          <w:p>
            <w:pPr>
              <w:spacing w:after="0"/>
              <w:rPr>
                <w:sz w:val="1"/>
                <w:szCs w:val="1"/>
                <w:color w:val="auto"/>
              </w:rPr>
            </w:pPr>
          </w:p>
        </w:tc>
      </w:tr>
      <w:tr>
        <w:trPr>
          <w:trHeight w:val="221"/>
        </w:trPr>
        <w:tc>
          <w:tcPr>
            <w:tcW w:w="46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Price</w:t>
            </w:r>
          </w:p>
        </w:tc>
        <w:tc>
          <w:tcPr>
            <w:tcW w:w="840" w:type="dxa"/>
            <w:vAlign w:val="bottom"/>
            <w:tcBorders>
              <w:bottom w:val="single" w:sz="8" w:color="auto"/>
            </w:tcBorders>
            <w:gridSpan w:val="2"/>
          </w:tcPr>
          <w:p>
            <w:pPr>
              <w:jc w:val="right"/>
              <w:ind w:right="249"/>
              <w:spacing w:after="0"/>
              <w:rPr>
                <w:sz w:val="20"/>
                <w:szCs w:val="20"/>
                <w:color w:val="auto"/>
              </w:rPr>
            </w:pPr>
            <w:r>
              <w:rPr>
                <w:rFonts w:ascii="Arial" w:cs="Arial" w:eastAsia="Arial" w:hAnsi="Arial"/>
                <w:sz w:val="13"/>
                <w:szCs w:val="13"/>
                <w:color w:val="auto"/>
              </w:rPr>
              <w:t>2008</w:t>
            </w:r>
          </w:p>
        </w:tc>
        <w:tc>
          <w:tcPr>
            <w:tcW w:w="1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ind w:right="108"/>
              <w:spacing w:after="0"/>
              <w:rPr>
                <w:sz w:val="20"/>
                <w:szCs w:val="20"/>
                <w:color w:val="auto"/>
              </w:rPr>
            </w:pPr>
            <w:r>
              <w:rPr>
                <w:rFonts w:ascii="Arial" w:cs="Arial" w:eastAsia="Arial" w:hAnsi="Arial"/>
                <w:sz w:val="13"/>
                <w:szCs w:val="13"/>
                <w:color w:val="auto"/>
                <w:w w:val="89"/>
              </w:rPr>
              <w:t>2007</w:t>
            </w:r>
          </w:p>
        </w:tc>
        <w:tc>
          <w:tcPr>
            <w:tcW w:w="0" w:type="dxa"/>
            <w:vAlign w:val="bottom"/>
          </w:tcPr>
          <w:p>
            <w:pPr>
              <w:spacing w:after="0"/>
              <w:rPr>
                <w:sz w:val="1"/>
                <w:szCs w:val="1"/>
                <w:color w:val="auto"/>
              </w:rPr>
            </w:pPr>
          </w:p>
        </w:tc>
      </w:tr>
      <w:tr>
        <w:trPr>
          <w:trHeight w:val="203"/>
        </w:trPr>
        <w:tc>
          <w:tcPr>
            <w:tcW w:w="46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60" w:type="dxa"/>
            <w:vAlign w:val="bottom"/>
            <w:gridSpan w:val="3"/>
          </w:tcPr>
          <w:p>
            <w:pPr>
              <w:jc w:val="right"/>
              <w:ind w:right="308"/>
              <w:spacing w:after="0"/>
              <w:rPr>
                <w:sz w:val="20"/>
                <w:szCs w:val="20"/>
                <w:color w:val="auto"/>
              </w:rPr>
            </w:pPr>
            <w:r>
              <w:rPr>
                <w:rFonts w:ascii="Arial" w:cs="Arial" w:eastAsia="Arial" w:hAnsi="Arial"/>
                <w:sz w:val="13"/>
                <w:szCs w:val="13"/>
                <w:i w:val="1"/>
                <w:iCs w:val="1"/>
                <w:color w:val="auto"/>
              </w:rPr>
              <w:t>(in millions)</w:t>
            </w:r>
          </w:p>
        </w:tc>
        <w:tc>
          <w:tcPr>
            <w:tcW w:w="0" w:type="dxa"/>
            <w:vAlign w:val="bottom"/>
          </w:tcPr>
          <w:p>
            <w:pPr>
              <w:spacing w:after="0"/>
              <w:rPr>
                <w:sz w:val="1"/>
                <w:szCs w:val="1"/>
                <w:color w:val="auto"/>
              </w:rPr>
            </w:pPr>
          </w:p>
        </w:tc>
      </w:tr>
      <w:tr>
        <w:trPr>
          <w:trHeight w:val="436"/>
        </w:trPr>
        <w:tc>
          <w:tcPr>
            <w:tcW w:w="4620" w:type="dxa"/>
            <w:vAlign w:val="bottom"/>
          </w:tcPr>
          <w:p>
            <w:pPr>
              <w:ind w:left="20"/>
              <w:spacing w:after="0"/>
              <w:rPr>
                <w:sz w:val="20"/>
                <w:szCs w:val="20"/>
                <w:color w:val="auto"/>
              </w:rPr>
            </w:pPr>
            <w:r>
              <w:rPr>
                <w:rFonts w:ascii="Arial" w:cs="Arial" w:eastAsia="Arial" w:hAnsi="Arial"/>
                <w:sz w:val="14"/>
                <w:szCs w:val="14"/>
                <w:color w:val="auto"/>
              </w:rPr>
              <w:t>Subject to mandatory redemption:</w:t>
            </w:r>
          </w:p>
        </w:tc>
        <w:tc>
          <w:tcPr>
            <w:tcW w:w="8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620" w:type="dxa"/>
            <w:vAlign w:val="bottom"/>
          </w:tcPr>
          <w:p>
            <w:pPr>
              <w:ind w:left="240"/>
              <w:spacing w:after="0"/>
              <w:rPr>
                <w:sz w:val="20"/>
                <w:szCs w:val="20"/>
                <w:color w:val="auto"/>
              </w:rPr>
            </w:pPr>
            <w:r>
              <w:rPr>
                <w:rFonts w:ascii="Arial" w:cs="Arial" w:eastAsia="Arial" w:hAnsi="Arial"/>
                <w:sz w:val="14"/>
                <w:szCs w:val="14"/>
                <w:b w:val="1"/>
                <w:bCs w:val="1"/>
                <w:color w:val="auto"/>
              </w:rPr>
              <w:t>SDG&amp;E:</w:t>
            </w: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4620" w:type="dxa"/>
            <w:vAlign w:val="bottom"/>
          </w:tcPr>
          <w:p>
            <w:pPr>
              <w:ind w:left="460"/>
              <w:spacing w:after="0"/>
              <w:rPr>
                <w:sz w:val="20"/>
                <w:szCs w:val="20"/>
                <w:color w:val="auto"/>
              </w:rPr>
            </w:pPr>
            <w:r>
              <w:rPr>
                <w:rFonts w:ascii="Arial" w:cs="Arial" w:eastAsia="Arial" w:hAnsi="Arial"/>
                <w:sz w:val="14"/>
                <w:szCs w:val="14"/>
                <w:color w:val="auto"/>
              </w:rPr>
              <w:t>Without par value: $1.7625 Series, 550,000 shares outstanding</w:t>
            </w:r>
          </w:p>
        </w:tc>
        <w:tc>
          <w:tcPr>
            <w:tcW w:w="820" w:type="dxa"/>
            <w:vAlign w:val="bottom"/>
          </w:tcPr>
          <w:p>
            <w:pPr>
              <w:spacing w:after="0"/>
              <w:rPr>
                <w:sz w:val="16"/>
                <w:szCs w:val="16"/>
                <w:color w:val="auto"/>
              </w:rPr>
            </w:pPr>
          </w:p>
        </w:tc>
        <w:tc>
          <w:tcPr>
            <w:tcW w:w="3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480" w:type="dxa"/>
            <w:vAlign w:val="bottom"/>
            <w:vMerge w:val="restart"/>
          </w:tcPr>
          <w:p>
            <w:pPr>
              <w:jc w:val="right"/>
              <w:ind w:right="9"/>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460" w:type="dxa"/>
            <w:vAlign w:val="bottom"/>
            <w:vMerge w:val="restart"/>
          </w:tcPr>
          <w:p>
            <w:pPr>
              <w:jc w:val="right"/>
              <w:spacing w:after="0"/>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171"/>
        </w:trPr>
        <w:tc>
          <w:tcPr>
            <w:tcW w:w="4620" w:type="dxa"/>
            <w:vAlign w:val="bottom"/>
          </w:tcPr>
          <w:p>
            <w:pPr>
              <w:ind w:left="640"/>
              <w:spacing w:after="0"/>
              <w:rPr>
                <w:sz w:val="20"/>
                <w:szCs w:val="20"/>
                <w:color w:val="auto"/>
              </w:rPr>
            </w:pPr>
            <w:r>
              <w:rPr>
                <w:rFonts w:ascii="Arial" w:cs="Arial" w:eastAsia="Arial" w:hAnsi="Arial"/>
                <w:sz w:val="14"/>
                <w:szCs w:val="14"/>
                <w:color w:val="auto"/>
              </w:rPr>
              <w:t>at December 31, 2007*</w:t>
            </w:r>
          </w:p>
        </w:tc>
        <w:tc>
          <w:tcPr>
            <w:tcW w:w="820" w:type="dxa"/>
            <w:vAlign w:val="bottom"/>
          </w:tcPr>
          <w:p>
            <w:pPr>
              <w:ind w:left="100"/>
              <w:spacing w:after="0"/>
              <w:rPr>
                <w:sz w:val="20"/>
                <w:szCs w:val="20"/>
                <w:color w:val="auto"/>
              </w:rPr>
            </w:pPr>
            <w:r>
              <w:rPr>
                <w:rFonts w:ascii="Arial" w:cs="Arial" w:eastAsia="Arial" w:hAnsi="Arial"/>
                <w:sz w:val="14"/>
                <w:szCs w:val="14"/>
                <w:color w:val="auto"/>
              </w:rPr>
              <w:t>$ 25.00</w:t>
            </w:r>
          </w:p>
        </w:tc>
        <w:tc>
          <w:tcPr>
            <w:tcW w:w="360" w:type="dxa"/>
            <w:vAlign w:val="bottom"/>
            <w:tcBorders>
              <w:bottom w:val="single" w:sz="8" w:color="auto"/>
            </w:tcBorders>
            <w:vMerge w:val="continue"/>
          </w:tcPr>
          <w:p>
            <w:pPr>
              <w:spacing w:after="0"/>
              <w:rPr>
                <w:sz w:val="14"/>
                <w:szCs w:val="14"/>
                <w:color w:val="auto"/>
              </w:rPr>
            </w:pPr>
          </w:p>
        </w:tc>
        <w:tc>
          <w:tcPr>
            <w:tcW w:w="48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auto"/>
            </w:tcBorders>
            <w:vMerge w:val="continue"/>
          </w:tcPr>
          <w:p>
            <w:pPr>
              <w:spacing w:after="0"/>
              <w:rPr>
                <w:sz w:val="14"/>
                <w:szCs w:val="14"/>
                <w:color w:val="auto"/>
              </w:rPr>
            </w:pPr>
          </w:p>
        </w:tc>
        <w:tc>
          <w:tcPr>
            <w:tcW w:w="46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620" w:type="dxa"/>
            <w:vAlign w:val="bottom"/>
          </w:tcPr>
          <w:p>
            <w:pPr>
              <w:ind w:left="460"/>
              <w:spacing w:after="0" w:line="156" w:lineRule="exact"/>
              <w:rPr>
                <w:sz w:val="20"/>
                <w:szCs w:val="20"/>
                <w:color w:val="auto"/>
              </w:rPr>
            </w:pPr>
            <w:r>
              <w:rPr>
                <w:rFonts w:ascii="Arial" w:cs="Arial" w:eastAsia="Arial" w:hAnsi="Arial"/>
                <w:sz w:val="14"/>
                <w:szCs w:val="14"/>
                <w:b w:val="1"/>
                <w:bCs w:val="1"/>
                <w:color w:val="auto"/>
              </w:rPr>
              <w:t>Sempra Energy - total preferred stock of subsidiary subject</w:t>
            </w:r>
          </w:p>
        </w:tc>
        <w:tc>
          <w:tcPr>
            <w:tcW w:w="820" w:type="dxa"/>
            <w:vAlign w:val="bottom"/>
          </w:tcPr>
          <w:p>
            <w:pPr>
              <w:spacing w:after="0"/>
              <w:rPr>
                <w:sz w:val="13"/>
                <w:szCs w:val="13"/>
                <w:color w:val="auto"/>
              </w:rPr>
            </w:pPr>
          </w:p>
        </w:tc>
        <w:tc>
          <w:tcPr>
            <w:tcW w:w="3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480" w:type="dxa"/>
            <w:vAlign w:val="bottom"/>
            <w:vMerge w:val="restart"/>
          </w:tcPr>
          <w:p>
            <w:pPr>
              <w:jc w:val="right"/>
              <w:ind w:right="9"/>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460" w:type="dxa"/>
            <w:vAlign w:val="bottom"/>
            <w:vMerge w:val="restart"/>
          </w:tcPr>
          <w:p>
            <w:pPr>
              <w:jc w:val="right"/>
              <w:spacing w:after="0"/>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182"/>
        </w:trPr>
        <w:tc>
          <w:tcPr>
            <w:tcW w:w="4620" w:type="dxa"/>
            <w:vAlign w:val="bottom"/>
          </w:tcPr>
          <w:p>
            <w:pPr>
              <w:ind w:left="640"/>
              <w:spacing w:after="0"/>
              <w:rPr>
                <w:sz w:val="20"/>
                <w:szCs w:val="20"/>
                <w:color w:val="auto"/>
              </w:rPr>
            </w:pPr>
            <w:r>
              <w:rPr>
                <w:rFonts w:ascii="Arial" w:cs="Arial" w:eastAsia="Arial" w:hAnsi="Arial"/>
                <w:sz w:val="14"/>
                <w:szCs w:val="14"/>
                <w:b w:val="1"/>
                <w:bCs w:val="1"/>
                <w:color w:val="auto"/>
              </w:rPr>
              <w:t>to mandatory redemption</w:t>
            </w:r>
          </w:p>
        </w:tc>
        <w:tc>
          <w:tcPr>
            <w:tcW w:w="820" w:type="dxa"/>
            <w:vAlign w:val="bottom"/>
          </w:tcPr>
          <w:p>
            <w:pPr>
              <w:spacing w:after="0"/>
              <w:rPr>
                <w:sz w:val="15"/>
                <w:szCs w:val="15"/>
                <w:color w:val="auto"/>
              </w:rPr>
            </w:pPr>
          </w:p>
        </w:tc>
        <w:tc>
          <w:tcPr>
            <w:tcW w:w="360" w:type="dxa"/>
            <w:vAlign w:val="bottom"/>
            <w:tcBorders>
              <w:bottom w:val="single" w:sz="8" w:color="auto"/>
            </w:tcBorders>
            <w:vMerge w:val="continue"/>
          </w:tcPr>
          <w:p>
            <w:pPr>
              <w:spacing w:after="0"/>
              <w:rPr>
                <w:sz w:val="15"/>
                <w:szCs w:val="15"/>
                <w:color w:val="auto"/>
              </w:rPr>
            </w:pPr>
          </w:p>
        </w:tc>
        <w:tc>
          <w:tcPr>
            <w:tcW w:w="48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auto"/>
            </w:tcBorders>
            <w:vMerge w:val="continue"/>
          </w:tcPr>
          <w:p>
            <w:pPr>
              <w:spacing w:after="0"/>
              <w:rPr>
                <w:sz w:val="15"/>
                <w:szCs w:val="15"/>
                <w:color w:val="auto"/>
              </w:rPr>
            </w:pPr>
          </w:p>
        </w:tc>
        <w:tc>
          <w:tcPr>
            <w:tcW w:w="4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426"/>
        </w:trPr>
        <w:tc>
          <w:tcPr>
            <w:tcW w:w="4620" w:type="dxa"/>
            <w:vAlign w:val="bottom"/>
          </w:tcPr>
          <w:p>
            <w:pPr>
              <w:ind w:left="20"/>
              <w:spacing w:after="0"/>
              <w:rPr>
                <w:sz w:val="20"/>
                <w:szCs w:val="20"/>
                <w:color w:val="auto"/>
              </w:rPr>
            </w:pPr>
            <w:r>
              <w:rPr>
                <w:rFonts w:ascii="Arial" w:cs="Arial" w:eastAsia="Arial" w:hAnsi="Arial"/>
                <w:sz w:val="14"/>
                <w:szCs w:val="14"/>
                <w:color w:val="auto"/>
              </w:rPr>
              <w:t>Not subject to mandatory redemption:</w:t>
            </w:r>
          </w:p>
        </w:tc>
        <w:tc>
          <w:tcPr>
            <w:tcW w:w="8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620" w:type="dxa"/>
            <w:vAlign w:val="bottom"/>
          </w:tcPr>
          <w:p>
            <w:pPr>
              <w:ind w:left="240"/>
              <w:spacing w:after="0"/>
              <w:rPr>
                <w:sz w:val="20"/>
                <w:szCs w:val="20"/>
                <w:color w:val="auto"/>
              </w:rPr>
            </w:pPr>
            <w:r>
              <w:rPr>
                <w:rFonts w:ascii="Arial" w:cs="Arial" w:eastAsia="Arial" w:hAnsi="Arial"/>
                <w:sz w:val="14"/>
                <w:szCs w:val="14"/>
                <w:b w:val="1"/>
                <w:bCs w:val="1"/>
                <w:color w:val="auto"/>
              </w:rPr>
              <w:t>SDG&amp;E:</w:t>
            </w: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ind w:left="460"/>
              <w:spacing w:after="0"/>
              <w:rPr>
                <w:sz w:val="20"/>
                <w:szCs w:val="20"/>
                <w:color w:val="auto"/>
              </w:rPr>
            </w:pPr>
            <w:r>
              <w:rPr>
                <w:rFonts w:ascii="Arial" w:cs="Arial" w:eastAsia="Arial" w:hAnsi="Arial"/>
                <w:sz w:val="14"/>
                <w:szCs w:val="14"/>
                <w:color w:val="auto"/>
              </w:rPr>
              <w:t>$20 par value, authorized 1,375,000 shares:</w:t>
            </w: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4620" w:type="dxa"/>
            <w:vAlign w:val="bottom"/>
          </w:tcPr>
          <w:p>
            <w:pPr>
              <w:ind w:left="640"/>
              <w:spacing w:after="0"/>
              <w:rPr>
                <w:sz w:val="20"/>
                <w:szCs w:val="20"/>
                <w:color w:val="auto"/>
              </w:rPr>
            </w:pPr>
            <w:r>
              <w:rPr>
                <w:rFonts w:ascii="Arial" w:cs="Arial" w:eastAsia="Arial" w:hAnsi="Arial"/>
                <w:sz w:val="14"/>
                <w:szCs w:val="14"/>
                <w:color w:val="auto"/>
              </w:rPr>
              <w:t>5% Series, 375,000 shares outstanding</w:t>
            </w:r>
          </w:p>
        </w:tc>
        <w:tc>
          <w:tcPr>
            <w:tcW w:w="820" w:type="dxa"/>
            <w:vAlign w:val="bottom"/>
          </w:tcPr>
          <w:p>
            <w:pPr>
              <w:ind w:left="100"/>
              <w:spacing w:after="0"/>
              <w:rPr>
                <w:sz w:val="20"/>
                <w:szCs w:val="20"/>
                <w:color w:val="auto"/>
              </w:rPr>
            </w:pPr>
            <w:r>
              <w:rPr>
                <w:rFonts w:ascii="Arial" w:cs="Arial" w:eastAsia="Arial" w:hAnsi="Arial"/>
                <w:sz w:val="14"/>
                <w:szCs w:val="14"/>
                <w:color w:val="auto"/>
              </w:rPr>
              <w:t>$ 24.00</w:t>
            </w:r>
          </w:p>
        </w:tc>
        <w:tc>
          <w:tcPr>
            <w:tcW w:w="360" w:type="dxa"/>
            <w:vAlign w:val="bottom"/>
          </w:tcPr>
          <w:p>
            <w:pPr>
              <w:jc w:val="right"/>
              <w:spacing w:after="0"/>
              <w:rPr>
                <w:sz w:val="20"/>
                <w:szCs w:val="20"/>
                <w:color w:val="auto"/>
              </w:rPr>
            </w:pPr>
            <w:r>
              <w:rPr>
                <w:rFonts w:ascii="Arial" w:cs="Arial" w:eastAsia="Arial" w:hAnsi="Arial"/>
                <w:sz w:val="14"/>
                <w:szCs w:val="14"/>
                <w:color w:val="auto"/>
              </w:rPr>
              <w:t>$</w:t>
            </w:r>
          </w:p>
        </w:tc>
        <w:tc>
          <w:tcPr>
            <w:tcW w:w="480" w:type="dxa"/>
            <w:vAlign w:val="bottom"/>
          </w:tcPr>
          <w:p>
            <w:pPr>
              <w:jc w:val="right"/>
              <w:ind w:right="9"/>
              <w:spacing w:after="0"/>
              <w:rPr>
                <w:sz w:val="20"/>
                <w:szCs w:val="20"/>
                <w:color w:val="auto"/>
              </w:rPr>
            </w:pPr>
            <w:r>
              <w:rPr>
                <w:rFonts w:ascii="Arial" w:cs="Arial" w:eastAsia="Arial" w:hAnsi="Arial"/>
                <w:sz w:val="14"/>
                <w:szCs w:val="14"/>
                <w:color w:val="auto"/>
              </w:rPr>
              <w:t>8</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460" w:type="dxa"/>
            <w:vAlign w:val="bottom"/>
          </w:tcPr>
          <w:p>
            <w:pPr>
              <w:jc w:val="right"/>
              <w:spacing w:after="0"/>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216"/>
        </w:trPr>
        <w:tc>
          <w:tcPr>
            <w:tcW w:w="4620" w:type="dxa"/>
            <w:vAlign w:val="bottom"/>
          </w:tcPr>
          <w:p>
            <w:pPr>
              <w:ind w:left="640"/>
              <w:spacing w:after="0"/>
              <w:rPr>
                <w:sz w:val="20"/>
                <w:szCs w:val="20"/>
                <w:color w:val="auto"/>
              </w:rPr>
            </w:pPr>
            <w:r>
              <w:rPr>
                <w:rFonts w:ascii="Arial" w:cs="Arial" w:eastAsia="Arial" w:hAnsi="Arial"/>
                <w:sz w:val="14"/>
                <w:szCs w:val="14"/>
                <w:color w:val="auto"/>
              </w:rPr>
              <w:t>4.5% Series, 300,000 shares outstanding</w:t>
            </w:r>
          </w:p>
        </w:tc>
        <w:tc>
          <w:tcPr>
            <w:tcW w:w="820" w:type="dxa"/>
            <w:vAlign w:val="bottom"/>
          </w:tcPr>
          <w:p>
            <w:pPr>
              <w:ind w:left="100"/>
              <w:spacing w:after="0"/>
              <w:rPr>
                <w:sz w:val="20"/>
                <w:szCs w:val="20"/>
                <w:color w:val="auto"/>
              </w:rPr>
            </w:pPr>
            <w:r>
              <w:rPr>
                <w:rFonts w:ascii="Arial" w:cs="Arial" w:eastAsia="Arial" w:hAnsi="Arial"/>
                <w:sz w:val="14"/>
                <w:szCs w:val="14"/>
                <w:color w:val="auto"/>
              </w:rPr>
              <w:t>$ 21.20</w:t>
            </w:r>
          </w:p>
        </w:tc>
        <w:tc>
          <w:tcPr>
            <w:tcW w:w="360" w:type="dxa"/>
            <w:vAlign w:val="bottom"/>
          </w:tcPr>
          <w:p>
            <w:pPr>
              <w:spacing w:after="0"/>
              <w:rPr>
                <w:sz w:val="18"/>
                <w:szCs w:val="18"/>
                <w:color w:val="auto"/>
              </w:rPr>
            </w:pPr>
          </w:p>
        </w:tc>
        <w:tc>
          <w:tcPr>
            <w:tcW w:w="480" w:type="dxa"/>
            <w:vAlign w:val="bottom"/>
          </w:tcPr>
          <w:p>
            <w:pPr>
              <w:jc w:val="right"/>
              <w:ind w:right="9"/>
              <w:spacing w:after="0"/>
              <w:rPr>
                <w:sz w:val="20"/>
                <w:szCs w:val="20"/>
                <w:color w:val="auto"/>
              </w:rPr>
            </w:pPr>
            <w:r>
              <w:rPr>
                <w:rFonts w:ascii="Arial" w:cs="Arial" w:eastAsia="Arial" w:hAnsi="Arial"/>
                <w:sz w:val="14"/>
                <w:szCs w:val="14"/>
                <w:color w:val="auto"/>
              </w:rPr>
              <w:t>6</w:t>
            </w: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216"/>
        </w:trPr>
        <w:tc>
          <w:tcPr>
            <w:tcW w:w="4620" w:type="dxa"/>
            <w:vAlign w:val="bottom"/>
          </w:tcPr>
          <w:p>
            <w:pPr>
              <w:ind w:left="640"/>
              <w:spacing w:after="0"/>
              <w:rPr>
                <w:sz w:val="20"/>
                <w:szCs w:val="20"/>
                <w:color w:val="auto"/>
              </w:rPr>
            </w:pPr>
            <w:r>
              <w:rPr>
                <w:rFonts w:ascii="Arial" w:cs="Arial" w:eastAsia="Arial" w:hAnsi="Arial"/>
                <w:sz w:val="14"/>
                <w:szCs w:val="14"/>
                <w:color w:val="auto"/>
              </w:rPr>
              <w:t>4.4% Series, 325,000 shares outstanding</w:t>
            </w:r>
          </w:p>
        </w:tc>
        <w:tc>
          <w:tcPr>
            <w:tcW w:w="820" w:type="dxa"/>
            <w:vAlign w:val="bottom"/>
          </w:tcPr>
          <w:p>
            <w:pPr>
              <w:ind w:left="100"/>
              <w:spacing w:after="0"/>
              <w:rPr>
                <w:sz w:val="20"/>
                <w:szCs w:val="20"/>
                <w:color w:val="auto"/>
              </w:rPr>
            </w:pPr>
            <w:r>
              <w:rPr>
                <w:rFonts w:ascii="Arial" w:cs="Arial" w:eastAsia="Arial" w:hAnsi="Arial"/>
                <w:sz w:val="14"/>
                <w:szCs w:val="14"/>
                <w:color w:val="auto"/>
              </w:rPr>
              <w:t>$ 21.00</w:t>
            </w:r>
          </w:p>
        </w:tc>
        <w:tc>
          <w:tcPr>
            <w:tcW w:w="360" w:type="dxa"/>
            <w:vAlign w:val="bottom"/>
          </w:tcPr>
          <w:p>
            <w:pPr>
              <w:spacing w:after="0"/>
              <w:rPr>
                <w:sz w:val="18"/>
                <w:szCs w:val="18"/>
                <w:color w:val="auto"/>
              </w:rPr>
            </w:pPr>
          </w:p>
        </w:tc>
        <w:tc>
          <w:tcPr>
            <w:tcW w:w="480" w:type="dxa"/>
            <w:vAlign w:val="bottom"/>
          </w:tcPr>
          <w:p>
            <w:pPr>
              <w:jc w:val="right"/>
              <w:ind w:right="9"/>
              <w:spacing w:after="0"/>
              <w:rPr>
                <w:sz w:val="20"/>
                <w:szCs w:val="20"/>
                <w:color w:val="auto"/>
              </w:rPr>
            </w:pPr>
            <w:r>
              <w:rPr>
                <w:rFonts w:ascii="Arial" w:cs="Arial" w:eastAsia="Arial" w:hAnsi="Arial"/>
                <w:sz w:val="14"/>
                <w:szCs w:val="14"/>
                <w:color w:val="auto"/>
              </w:rPr>
              <w:t>7</w:t>
            </w: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216"/>
        </w:trPr>
        <w:tc>
          <w:tcPr>
            <w:tcW w:w="4620" w:type="dxa"/>
            <w:vAlign w:val="bottom"/>
          </w:tcPr>
          <w:p>
            <w:pPr>
              <w:ind w:left="640"/>
              <w:spacing w:after="0"/>
              <w:rPr>
                <w:sz w:val="20"/>
                <w:szCs w:val="20"/>
                <w:color w:val="auto"/>
              </w:rPr>
            </w:pPr>
            <w:r>
              <w:rPr>
                <w:rFonts w:ascii="Arial" w:cs="Arial" w:eastAsia="Arial" w:hAnsi="Arial"/>
                <w:sz w:val="14"/>
                <w:szCs w:val="14"/>
                <w:color w:val="auto"/>
              </w:rPr>
              <w:t>4.6% Series, 373,770 shares outstanding</w:t>
            </w:r>
          </w:p>
        </w:tc>
        <w:tc>
          <w:tcPr>
            <w:tcW w:w="820" w:type="dxa"/>
            <w:vAlign w:val="bottom"/>
          </w:tcPr>
          <w:p>
            <w:pPr>
              <w:ind w:left="100"/>
              <w:spacing w:after="0"/>
              <w:rPr>
                <w:sz w:val="20"/>
                <w:szCs w:val="20"/>
                <w:color w:val="auto"/>
              </w:rPr>
            </w:pPr>
            <w:r>
              <w:rPr>
                <w:rFonts w:ascii="Arial" w:cs="Arial" w:eastAsia="Arial" w:hAnsi="Arial"/>
                <w:sz w:val="14"/>
                <w:szCs w:val="14"/>
                <w:color w:val="auto"/>
              </w:rPr>
              <w:t>$ 20.25</w:t>
            </w:r>
          </w:p>
        </w:tc>
        <w:tc>
          <w:tcPr>
            <w:tcW w:w="360" w:type="dxa"/>
            <w:vAlign w:val="bottom"/>
          </w:tcPr>
          <w:p>
            <w:pPr>
              <w:spacing w:after="0"/>
              <w:rPr>
                <w:sz w:val="18"/>
                <w:szCs w:val="18"/>
                <w:color w:val="auto"/>
              </w:rPr>
            </w:pPr>
          </w:p>
        </w:tc>
        <w:tc>
          <w:tcPr>
            <w:tcW w:w="480" w:type="dxa"/>
            <w:vAlign w:val="bottom"/>
          </w:tcPr>
          <w:p>
            <w:pPr>
              <w:jc w:val="right"/>
              <w:ind w:right="9"/>
              <w:spacing w:after="0"/>
              <w:rPr>
                <w:sz w:val="20"/>
                <w:szCs w:val="20"/>
                <w:color w:val="auto"/>
              </w:rPr>
            </w:pPr>
            <w:r>
              <w:rPr>
                <w:rFonts w:ascii="Arial" w:cs="Arial" w:eastAsia="Arial" w:hAnsi="Arial"/>
                <w:sz w:val="14"/>
                <w:szCs w:val="14"/>
                <w:color w:val="auto"/>
              </w:rPr>
              <w:t>7</w:t>
            </w: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216"/>
        </w:trPr>
        <w:tc>
          <w:tcPr>
            <w:tcW w:w="4620" w:type="dxa"/>
            <w:vAlign w:val="bottom"/>
          </w:tcPr>
          <w:p>
            <w:pPr>
              <w:ind w:left="460"/>
              <w:spacing w:after="0"/>
              <w:rPr>
                <w:sz w:val="20"/>
                <w:szCs w:val="20"/>
                <w:color w:val="auto"/>
              </w:rPr>
            </w:pPr>
            <w:r>
              <w:rPr>
                <w:rFonts w:ascii="Arial" w:cs="Arial" w:eastAsia="Arial" w:hAnsi="Arial"/>
                <w:sz w:val="14"/>
                <w:szCs w:val="14"/>
                <w:color w:val="auto"/>
              </w:rPr>
              <w:t>Without par value:</w:t>
            </w: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ind w:left="640"/>
              <w:spacing w:after="0"/>
              <w:rPr>
                <w:sz w:val="20"/>
                <w:szCs w:val="20"/>
                <w:color w:val="auto"/>
              </w:rPr>
            </w:pPr>
            <w:r>
              <w:rPr>
                <w:rFonts w:ascii="Arial" w:cs="Arial" w:eastAsia="Arial" w:hAnsi="Arial"/>
                <w:sz w:val="14"/>
                <w:szCs w:val="14"/>
                <w:color w:val="auto"/>
              </w:rPr>
              <w:t>$1.70 Series, 1,400,000 shares outstanding</w:t>
            </w:r>
          </w:p>
        </w:tc>
        <w:tc>
          <w:tcPr>
            <w:tcW w:w="820" w:type="dxa"/>
            <w:vAlign w:val="bottom"/>
          </w:tcPr>
          <w:p>
            <w:pPr>
              <w:ind w:left="100"/>
              <w:spacing w:after="0"/>
              <w:rPr>
                <w:sz w:val="20"/>
                <w:szCs w:val="20"/>
                <w:color w:val="auto"/>
              </w:rPr>
            </w:pPr>
            <w:r>
              <w:rPr>
                <w:rFonts w:ascii="Arial" w:cs="Arial" w:eastAsia="Arial" w:hAnsi="Arial"/>
                <w:sz w:val="14"/>
                <w:szCs w:val="14"/>
                <w:color w:val="auto"/>
              </w:rPr>
              <w:t>$ 25.595</w:t>
            </w:r>
          </w:p>
        </w:tc>
        <w:tc>
          <w:tcPr>
            <w:tcW w:w="360" w:type="dxa"/>
            <w:vAlign w:val="bottom"/>
          </w:tcPr>
          <w:p>
            <w:pPr>
              <w:spacing w:after="0"/>
              <w:rPr>
                <w:sz w:val="18"/>
                <w:szCs w:val="18"/>
                <w:color w:val="auto"/>
              </w:rPr>
            </w:pPr>
          </w:p>
        </w:tc>
        <w:tc>
          <w:tcPr>
            <w:tcW w:w="480" w:type="dxa"/>
            <w:vAlign w:val="bottom"/>
          </w:tcPr>
          <w:p>
            <w:pPr>
              <w:jc w:val="right"/>
              <w:ind w:right="9"/>
              <w:spacing w:after="0"/>
              <w:rPr>
                <w:sz w:val="20"/>
                <w:szCs w:val="20"/>
                <w:color w:val="auto"/>
              </w:rPr>
            </w:pPr>
            <w:r>
              <w:rPr>
                <w:rFonts w:ascii="Arial" w:cs="Arial" w:eastAsia="Arial" w:hAnsi="Arial"/>
                <w:sz w:val="14"/>
                <w:szCs w:val="14"/>
                <w:color w:val="auto"/>
              </w:rPr>
              <w:t>35</w:t>
            </w: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35</w:t>
            </w:r>
          </w:p>
        </w:tc>
        <w:tc>
          <w:tcPr>
            <w:tcW w:w="0" w:type="dxa"/>
            <w:vAlign w:val="bottom"/>
          </w:tcPr>
          <w:p>
            <w:pPr>
              <w:spacing w:after="0"/>
              <w:rPr>
                <w:sz w:val="1"/>
                <w:szCs w:val="1"/>
                <w:color w:val="auto"/>
              </w:rPr>
            </w:pPr>
          </w:p>
        </w:tc>
      </w:tr>
      <w:tr>
        <w:trPr>
          <w:trHeight w:val="222"/>
        </w:trPr>
        <w:tc>
          <w:tcPr>
            <w:tcW w:w="4620" w:type="dxa"/>
            <w:vAlign w:val="bottom"/>
          </w:tcPr>
          <w:p>
            <w:pPr>
              <w:ind w:left="640"/>
              <w:spacing w:after="0"/>
              <w:rPr>
                <w:sz w:val="20"/>
                <w:szCs w:val="20"/>
                <w:color w:val="auto"/>
              </w:rPr>
            </w:pPr>
            <w:r>
              <w:rPr>
                <w:rFonts w:ascii="Arial" w:cs="Arial" w:eastAsia="Arial" w:hAnsi="Arial"/>
                <w:sz w:val="14"/>
                <w:szCs w:val="14"/>
                <w:color w:val="auto"/>
              </w:rPr>
              <w:t>$1.82 Series, 640,000 shares outstanding</w:t>
            </w:r>
          </w:p>
        </w:tc>
        <w:tc>
          <w:tcPr>
            <w:tcW w:w="820" w:type="dxa"/>
            <w:vAlign w:val="bottom"/>
          </w:tcPr>
          <w:p>
            <w:pPr>
              <w:ind w:left="100"/>
              <w:spacing w:after="0"/>
              <w:rPr>
                <w:sz w:val="20"/>
                <w:szCs w:val="20"/>
                <w:color w:val="auto"/>
              </w:rPr>
            </w:pPr>
            <w:r>
              <w:rPr>
                <w:rFonts w:ascii="Arial" w:cs="Arial" w:eastAsia="Arial" w:hAnsi="Arial"/>
                <w:sz w:val="14"/>
                <w:szCs w:val="14"/>
                <w:color w:val="auto"/>
              </w:rPr>
              <w:t>$ 26.00</w:t>
            </w:r>
          </w:p>
        </w:tc>
        <w:tc>
          <w:tcPr>
            <w:tcW w:w="36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16</w:t>
            </w:r>
          </w:p>
        </w:tc>
        <w:tc>
          <w:tcPr>
            <w:tcW w:w="1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156"/>
        </w:trPr>
        <w:tc>
          <w:tcPr>
            <w:tcW w:w="4620" w:type="dxa"/>
            <w:vAlign w:val="bottom"/>
          </w:tcPr>
          <w:p>
            <w:pPr>
              <w:ind w:left="460"/>
              <w:spacing w:after="0" w:line="156" w:lineRule="exact"/>
              <w:rPr>
                <w:sz w:val="20"/>
                <w:szCs w:val="20"/>
                <w:color w:val="auto"/>
              </w:rPr>
            </w:pPr>
            <w:r>
              <w:rPr>
                <w:rFonts w:ascii="Arial" w:cs="Arial" w:eastAsia="Arial" w:hAnsi="Arial"/>
                <w:sz w:val="14"/>
                <w:szCs w:val="14"/>
                <w:b w:val="1"/>
                <w:bCs w:val="1"/>
                <w:color w:val="auto"/>
              </w:rPr>
              <w:t>Total preferred stock of SDG&amp;E, not subject to mandatory</w:t>
            </w:r>
          </w:p>
        </w:tc>
        <w:tc>
          <w:tcPr>
            <w:tcW w:w="8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4620" w:type="dxa"/>
            <w:vAlign w:val="bottom"/>
          </w:tcPr>
          <w:p>
            <w:pPr>
              <w:ind w:left="640"/>
              <w:spacing w:after="0"/>
              <w:rPr>
                <w:sz w:val="20"/>
                <w:szCs w:val="20"/>
                <w:color w:val="auto"/>
              </w:rPr>
            </w:pPr>
            <w:r>
              <w:rPr>
                <w:rFonts w:ascii="Arial" w:cs="Arial" w:eastAsia="Arial" w:hAnsi="Arial"/>
                <w:sz w:val="14"/>
                <w:szCs w:val="14"/>
                <w:b w:val="1"/>
                <w:bCs w:val="1"/>
                <w:color w:val="auto"/>
              </w:rPr>
              <w:t>redemption</w:t>
            </w:r>
          </w:p>
        </w:tc>
        <w:tc>
          <w:tcPr>
            <w:tcW w:w="8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79</w:t>
            </w:r>
          </w:p>
        </w:tc>
        <w:tc>
          <w:tcPr>
            <w:tcW w:w="12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79</w:t>
            </w:r>
          </w:p>
        </w:tc>
        <w:tc>
          <w:tcPr>
            <w:tcW w:w="0" w:type="dxa"/>
            <w:vAlign w:val="bottom"/>
          </w:tcPr>
          <w:p>
            <w:pPr>
              <w:spacing w:after="0"/>
              <w:rPr>
                <w:sz w:val="1"/>
                <w:szCs w:val="1"/>
                <w:color w:val="auto"/>
              </w:rPr>
            </w:pPr>
          </w:p>
        </w:tc>
      </w:tr>
      <w:tr>
        <w:trPr>
          <w:trHeight w:val="424"/>
        </w:trPr>
        <w:tc>
          <w:tcPr>
            <w:tcW w:w="4620" w:type="dxa"/>
            <w:vAlign w:val="bottom"/>
          </w:tcPr>
          <w:p>
            <w:pPr>
              <w:ind w:left="240"/>
              <w:spacing w:after="0"/>
              <w:rPr>
                <w:sz w:val="20"/>
                <w:szCs w:val="20"/>
                <w:color w:val="auto"/>
              </w:rPr>
            </w:pPr>
            <w:r>
              <w:rPr>
                <w:rFonts w:ascii="Arial" w:cs="Arial" w:eastAsia="Arial" w:hAnsi="Arial"/>
                <w:sz w:val="14"/>
                <w:szCs w:val="14"/>
                <w:b w:val="1"/>
                <w:bCs w:val="1"/>
                <w:color w:val="auto"/>
              </w:rPr>
              <w:t>Pacific Enterprises:</w:t>
            </w:r>
          </w:p>
        </w:tc>
        <w:tc>
          <w:tcPr>
            <w:tcW w:w="8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620" w:type="dxa"/>
            <w:vAlign w:val="bottom"/>
          </w:tcPr>
          <w:p>
            <w:pPr>
              <w:ind w:left="460"/>
              <w:spacing w:after="0"/>
              <w:rPr>
                <w:sz w:val="20"/>
                <w:szCs w:val="20"/>
                <w:color w:val="auto"/>
              </w:rPr>
            </w:pPr>
            <w:r>
              <w:rPr>
                <w:rFonts w:ascii="Arial" w:cs="Arial" w:eastAsia="Arial" w:hAnsi="Arial"/>
                <w:sz w:val="14"/>
                <w:szCs w:val="14"/>
                <w:color w:val="auto"/>
              </w:rPr>
              <w:t>Without par value, authorized 15,000,000 shares:</w:t>
            </w: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ind w:left="640"/>
              <w:spacing w:after="0"/>
              <w:rPr>
                <w:sz w:val="20"/>
                <w:szCs w:val="20"/>
                <w:color w:val="auto"/>
              </w:rPr>
            </w:pPr>
            <w:r>
              <w:rPr>
                <w:rFonts w:ascii="Arial" w:cs="Arial" w:eastAsia="Arial" w:hAnsi="Arial"/>
                <w:sz w:val="14"/>
                <w:szCs w:val="14"/>
                <w:color w:val="auto"/>
              </w:rPr>
              <w:t>$4.75 Dividend, 200,000 shares outstanding</w:t>
            </w:r>
          </w:p>
        </w:tc>
        <w:tc>
          <w:tcPr>
            <w:tcW w:w="820" w:type="dxa"/>
            <w:vAlign w:val="bottom"/>
          </w:tcPr>
          <w:p>
            <w:pPr>
              <w:ind w:left="100"/>
              <w:spacing w:after="0"/>
              <w:rPr>
                <w:sz w:val="20"/>
                <w:szCs w:val="20"/>
                <w:color w:val="auto"/>
              </w:rPr>
            </w:pPr>
            <w:r>
              <w:rPr>
                <w:rFonts w:ascii="Arial" w:cs="Arial" w:eastAsia="Arial" w:hAnsi="Arial"/>
                <w:sz w:val="14"/>
                <w:szCs w:val="14"/>
                <w:color w:val="auto"/>
              </w:rPr>
              <w:t>$ 100.00</w:t>
            </w:r>
          </w:p>
        </w:tc>
        <w:tc>
          <w:tcPr>
            <w:tcW w:w="360" w:type="dxa"/>
            <w:vAlign w:val="bottom"/>
          </w:tcPr>
          <w:p>
            <w:pPr>
              <w:spacing w:after="0"/>
              <w:rPr>
                <w:sz w:val="18"/>
                <w:szCs w:val="18"/>
                <w:color w:val="auto"/>
              </w:rPr>
            </w:pPr>
          </w:p>
        </w:tc>
        <w:tc>
          <w:tcPr>
            <w:tcW w:w="480" w:type="dxa"/>
            <w:vAlign w:val="bottom"/>
          </w:tcPr>
          <w:p>
            <w:pPr>
              <w:jc w:val="right"/>
              <w:ind w:right="9"/>
              <w:spacing w:after="0"/>
              <w:rPr>
                <w:sz w:val="20"/>
                <w:szCs w:val="20"/>
                <w:color w:val="auto"/>
              </w:rPr>
            </w:pPr>
            <w:r>
              <w:rPr>
                <w:rFonts w:ascii="Arial" w:cs="Arial" w:eastAsia="Arial" w:hAnsi="Arial"/>
                <w:sz w:val="14"/>
                <w:szCs w:val="14"/>
                <w:color w:val="auto"/>
              </w:rPr>
              <w:t>20</w:t>
            </w: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216"/>
        </w:trPr>
        <w:tc>
          <w:tcPr>
            <w:tcW w:w="4620" w:type="dxa"/>
            <w:vAlign w:val="bottom"/>
          </w:tcPr>
          <w:p>
            <w:pPr>
              <w:ind w:left="640"/>
              <w:spacing w:after="0"/>
              <w:rPr>
                <w:sz w:val="20"/>
                <w:szCs w:val="20"/>
                <w:color w:val="auto"/>
              </w:rPr>
            </w:pPr>
            <w:r>
              <w:rPr>
                <w:rFonts w:ascii="Arial" w:cs="Arial" w:eastAsia="Arial" w:hAnsi="Arial"/>
                <w:sz w:val="14"/>
                <w:szCs w:val="14"/>
                <w:color w:val="auto"/>
              </w:rPr>
              <w:t>$4.50 Dividend, 300,000 shares outstanding</w:t>
            </w:r>
          </w:p>
        </w:tc>
        <w:tc>
          <w:tcPr>
            <w:tcW w:w="820" w:type="dxa"/>
            <w:vAlign w:val="bottom"/>
          </w:tcPr>
          <w:p>
            <w:pPr>
              <w:ind w:left="100"/>
              <w:spacing w:after="0"/>
              <w:rPr>
                <w:sz w:val="20"/>
                <w:szCs w:val="20"/>
                <w:color w:val="auto"/>
              </w:rPr>
            </w:pPr>
            <w:r>
              <w:rPr>
                <w:rFonts w:ascii="Arial" w:cs="Arial" w:eastAsia="Arial" w:hAnsi="Arial"/>
                <w:sz w:val="14"/>
                <w:szCs w:val="14"/>
                <w:color w:val="auto"/>
              </w:rPr>
              <w:t>$ 100.00</w:t>
            </w:r>
          </w:p>
        </w:tc>
        <w:tc>
          <w:tcPr>
            <w:tcW w:w="360" w:type="dxa"/>
            <w:vAlign w:val="bottom"/>
          </w:tcPr>
          <w:p>
            <w:pPr>
              <w:spacing w:after="0"/>
              <w:rPr>
                <w:sz w:val="18"/>
                <w:szCs w:val="18"/>
                <w:color w:val="auto"/>
              </w:rPr>
            </w:pPr>
          </w:p>
        </w:tc>
        <w:tc>
          <w:tcPr>
            <w:tcW w:w="480" w:type="dxa"/>
            <w:vAlign w:val="bottom"/>
          </w:tcPr>
          <w:p>
            <w:pPr>
              <w:jc w:val="right"/>
              <w:ind w:right="9"/>
              <w:spacing w:after="0"/>
              <w:rPr>
                <w:sz w:val="20"/>
                <w:szCs w:val="20"/>
                <w:color w:val="auto"/>
              </w:rPr>
            </w:pPr>
            <w:r>
              <w:rPr>
                <w:rFonts w:ascii="Arial" w:cs="Arial" w:eastAsia="Arial" w:hAnsi="Arial"/>
                <w:sz w:val="14"/>
                <w:szCs w:val="14"/>
                <w:color w:val="auto"/>
              </w:rPr>
              <w:t>30</w:t>
            </w: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30</w:t>
            </w:r>
          </w:p>
        </w:tc>
        <w:tc>
          <w:tcPr>
            <w:tcW w:w="0" w:type="dxa"/>
            <w:vAlign w:val="bottom"/>
          </w:tcPr>
          <w:p>
            <w:pPr>
              <w:spacing w:after="0"/>
              <w:rPr>
                <w:sz w:val="1"/>
                <w:szCs w:val="1"/>
                <w:color w:val="auto"/>
              </w:rPr>
            </w:pPr>
          </w:p>
        </w:tc>
      </w:tr>
      <w:tr>
        <w:trPr>
          <w:trHeight w:val="216"/>
        </w:trPr>
        <w:tc>
          <w:tcPr>
            <w:tcW w:w="4620" w:type="dxa"/>
            <w:vAlign w:val="bottom"/>
          </w:tcPr>
          <w:p>
            <w:pPr>
              <w:ind w:left="640"/>
              <w:spacing w:after="0"/>
              <w:rPr>
                <w:sz w:val="20"/>
                <w:szCs w:val="20"/>
                <w:color w:val="auto"/>
              </w:rPr>
            </w:pPr>
            <w:r>
              <w:rPr>
                <w:rFonts w:ascii="Arial" w:cs="Arial" w:eastAsia="Arial" w:hAnsi="Arial"/>
                <w:sz w:val="14"/>
                <w:szCs w:val="14"/>
                <w:color w:val="auto"/>
              </w:rPr>
              <w:t>$4.40 Dividend, 100,000 shares outstanding</w:t>
            </w:r>
          </w:p>
        </w:tc>
        <w:tc>
          <w:tcPr>
            <w:tcW w:w="820" w:type="dxa"/>
            <w:vAlign w:val="bottom"/>
          </w:tcPr>
          <w:p>
            <w:pPr>
              <w:ind w:left="100"/>
              <w:spacing w:after="0"/>
              <w:rPr>
                <w:sz w:val="20"/>
                <w:szCs w:val="20"/>
                <w:color w:val="auto"/>
              </w:rPr>
            </w:pPr>
            <w:r>
              <w:rPr>
                <w:rFonts w:ascii="Arial" w:cs="Arial" w:eastAsia="Arial" w:hAnsi="Arial"/>
                <w:sz w:val="14"/>
                <w:szCs w:val="14"/>
                <w:color w:val="auto"/>
              </w:rPr>
              <w:t>$ 101.50</w:t>
            </w:r>
          </w:p>
        </w:tc>
        <w:tc>
          <w:tcPr>
            <w:tcW w:w="360" w:type="dxa"/>
            <w:vAlign w:val="bottom"/>
          </w:tcPr>
          <w:p>
            <w:pPr>
              <w:spacing w:after="0"/>
              <w:rPr>
                <w:sz w:val="18"/>
                <w:szCs w:val="18"/>
                <w:color w:val="auto"/>
              </w:rPr>
            </w:pPr>
          </w:p>
        </w:tc>
        <w:tc>
          <w:tcPr>
            <w:tcW w:w="480" w:type="dxa"/>
            <w:vAlign w:val="bottom"/>
          </w:tcPr>
          <w:p>
            <w:pPr>
              <w:jc w:val="right"/>
              <w:ind w:right="9"/>
              <w:spacing w:after="0"/>
              <w:rPr>
                <w:sz w:val="20"/>
                <w:szCs w:val="20"/>
                <w:color w:val="auto"/>
              </w:rPr>
            </w:pPr>
            <w:r>
              <w:rPr>
                <w:rFonts w:ascii="Arial" w:cs="Arial" w:eastAsia="Arial" w:hAnsi="Arial"/>
                <w:sz w:val="14"/>
                <w:szCs w:val="14"/>
                <w:color w:val="auto"/>
              </w:rPr>
              <w:t>10</w:t>
            </w: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216"/>
        </w:trPr>
        <w:tc>
          <w:tcPr>
            <w:tcW w:w="4620" w:type="dxa"/>
            <w:vAlign w:val="bottom"/>
          </w:tcPr>
          <w:p>
            <w:pPr>
              <w:ind w:left="640"/>
              <w:spacing w:after="0"/>
              <w:rPr>
                <w:sz w:val="20"/>
                <w:szCs w:val="20"/>
                <w:color w:val="auto"/>
              </w:rPr>
            </w:pPr>
            <w:r>
              <w:rPr>
                <w:rFonts w:ascii="Arial" w:cs="Arial" w:eastAsia="Arial" w:hAnsi="Arial"/>
                <w:sz w:val="14"/>
                <w:szCs w:val="14"/>
                <w:color w:val="auto"/>
              </w:rPr>
              <w:t>$4.36 Dividend, 200,000 shares outstanding</w:t>
            </w:r>
          </w:p>
        </w:tc>
        <w:tc>
          <w:tcPr>
            <w:tcW w:w="820" w:type="dxa"/>
            <w:vAlign w:val="bottom"/>
          </w:tcPr>
          <w:p>
            <w:pPr>
              <w:ind w:left="100"/>
              <w:spacing w:after="0"/>
              <w:rPr>
                <w:sz w:val="20"/>
                <w:szCs w:val="20"/>
                <w:color w:val="auto"/>
              </w:rPr>
            </w:pPr>
            <w:r>
              <w:rPr>
                <w:rFonts w:ascii="Arial" w:cs="Arial" w:eastAsia="Arial" w:hAnsi="Arial"/>
                <w:sz w:val="14"/>
                <w:szCs w:val="14"/>
                <w:color w:val="auto"/>
              </w:rPr>
              <w:t>$ 101.00</w:t>
            </w:r>
          </w:p>
        </w:tc>
        <w:tc>
          <w:tcPr>
            <w:tcW w:w="360" w:type="dxa"/>
            <w:vAlign w:val="bottom"/>
          </w:tcPr>
          <w:p>
            <w:pPr>
              <w:spacing w:after="0"/>
              <w:rPr>
                <w:sz w:val="18"/>
                <w:szCs w:val="18"/>
                <w:color w:val="auto"/>
              </w:rPr>
            </w:pPr>
          </w:p>
        </w:tc>
        <w:tc>
          <w:tcPr>
            <w:tcW w:w="480" w:type="dxa"/>
            <w:vAlign w:val="bottom"/>
          </w:tcPr>
          <w:p>
            <w:pPr>
              <w:jc w:val="right"/>
              <w:ind w:right="9"/>
              <w:spacing w:after="0"/>
              <w:rPr>
                <w:sz w:val="20"/>
                <w:szCs w:val="20"/>
                <w:color w:val="auto"/>
              </w:rPr>
            </w:pPr>
            <w:r>
              <w:rPr>
                <w:rFonts w:ascii="Arial" w:cs="Arial" w:eastAsia="Arial" w:hAnsi="Arial"/>
                <w:sz w:val="14"/>
                <w:szCs w:val="14"/>
                <w:color w:val="auto"/>
              </w:rPr>
              <w:t>20</w:t>
            </w: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222"/>
        </w:trPr>
        <w:tc>
          <w:tcPr>
            <w:tcW w:w="4620" w:type="dxa"/>
            <w:vAlign w:val="bottom"/>
          </w:tcPr>
          <w:p>
            <w:pPr>
              <w:ind w:left="640"/>
              <w:spacing w:after="0"/>
              <w:rPr>
                <w:sz w:val="20"/>
                <w:szCs w:val="20"/>
                <w:color w:val="auto"/>
              </w:rPr>
            </w:pPr>
            <w:r>
              <w:rPr>
                <w:rFonts w:ascii="Arial" w:cs="Arial" w:eastAsia="Arial" w:hAnsi="Arial"/>
                <w:sz w:val="14"/>
                <w:szCs w:val="14"/>
                <w:color w:val="auto"/>
              </w:rPr>
              <w:t>$4.75 Dividend, 253 shares outstanding</w:t>
            </w:r>
          </w:p>
        </w:tc>
        <w:tc>
          <w:tcPr>
            <w:tcW w:w="820" w:type="dxa"/>
            <w:vAlign w:val="bottom"/>
          </w:tcPr>
          <w:p>
            <w:pPr>
              <w:ind w:left="100"/>
              <w:spacing w:after="0"/>
              <w:rPr>
                <w:sz w:val="20"/>
                <w:szCs w:val="20"/>
                <w:color w:val="auto"/>
              </w:rPr>
            </w:pPr>
            <w:r>
              <w:rPr>
                <w:rFonts w:ascii="Arial" w:cs="Arial" w:eastAsia="Arial" w:hAnsi="Arial"/>
                <w:sz w:val="14"/>
                <w:szCs w:val="14"/>
                <w:color w:val="auto"/>
              </w:rPr>
              <w:t>$ 101.00</w:t>
            </w:r>
          </w:p>
        </w:tc>
        <w:tc>
          <w:tcPr>
            <w:tcW w:w="36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ind w:left="2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8"/>
        </w:trPr>
        <w:tc>
          <w:tcPr>
            <w:tcW w:w="4620" w:type="dxa"/>
            <w:vAlign w:val="bottom"/>
          </w:tcPr>
          <w:p>
            <w:pPr>
              <w:ind w:left="460"/>
              <w:spacing w:after="0"/>
              <w:rPr>
                <w:sz w:val="20"/>
                <w:szCs w:val="20"/>
                <w:color w:val="auto"/>
              </w:rPr>
            </w:pPr>
            <w:r>
              <w:rPr>
                <w:rFonts w:ascii="Arial" w:cs="Arial" w:eastAsia="Arial" w:hAnsi="Arial"/>
                <w:sz w:val="14"/>
                <w:szCs w:val="14"/>
                <w:b w:val="1"/>
                <w:bCs w:val="1"/>
                <w:color w:val="auto"/>
              </w:rPr>
              <w:t>Total preferred stock of Pacific Enterprises</w:t>
            </w:r>
          </w:p>
        </w:tc>
        <w:tc>
          <w:tcPr>
            <w:tcW w:w="8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80</w:t>
            </w:r>
          </w:p>
        </w:tc>
        <w:tc>
          <w:tcPr>
            <w:tcW w:w="12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80</w:t>
            </w:r>
          </w:p>
        </w:tc>
        <w:tc>
          <w:tcPr>
            <w:tcW w:w="0" w:type="dxa"/>
            <w:vAlign w:val="bottom"/>
          </w:tcPr>
          <w:p>
            <w:pPr>
              <w:spacing w:after="0"/>
              <w:rPr>
                <w:sz w:val="1"/>
                <w:szCs w:val="1"/>
                <w:color w:val="auto"/>
              </w:rPr>
            </w:pPr>
          </w:p>
        </w:tc>
      </w:tr>
      <w:tr>
        <w:trPr>
          <w:trHeight w:val="418"/>
        </w:trPr>
        <w:tc>
          <w:tcPr>
            <w:tcW w:w="4620" w:type="dxa"/>
            <w:vAlign w:val="bottom"/>
          </w:tcPr>
          <w:p>
            <w:pPr>
              <w:ind w:left="240"/>
              <w:spacing w:after="0"/>
              <w:rPr>
                <w:sz w:val="20"/>
                <w:szCs w:val="20"/>
                <w:color w:val="auto"/>
              </w:rPr>
            </w:pPr>
            <w:r>
              <w:rPr>
                <w:rFonts w:ascii="Arial" w:cs="Arial" w:eastAsia="Arial" w:hAnsi="Arial"/>
                <w:sz w:val="14"/>
                <w:szCs w:val="14"/>
                <w:b w:val="1"/>
                <w:bCs w:val="1"/>
                <w:color w:val="auto"/>
              </w:rPr>
              <w:t>SoCalGas:</w:t>
            </w:r>
          </w:p>
        </w:tc>
        <w:tc>
          <w:tcPr>
            <w:tcW w:w="8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620" w:type="dxa"/>
            <w:vAlign w:val="bottom"/>
          </w:tcPr>
          <w:p>
            <w:pPr>
              <w:ind w:left="460"/>
              <w:spacing w:after="0"/>
              <w:rPr>
                <w:sz w:val="20"/>
                <w:szCs w:val="20"/>
                <w:color w:val="auto"/>
              </w:rPr>
            </w:pPr>
            <w:r>
              <w:rPr>
                <w:rFonts w:ascii="Arial" w:cs="Arial" w:eastAsia="Arial" w:hAnsi="Arial"/>
                <w:sz w:val="14"/>
                <w:szCs w:val="14"/>
                <w:color w:val="auto"/>
              </w:rPr>
              <w:t>$25 par value, authorized 1,000,000 shares:</w:t>
            </w: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ind w:left="640"/>
              <w:spacing w:after="0"/>
              <w:rPr>
                <w:sz w:val="20"/>
                <w:szCs w:val="20"/>
                <w:color w:val="auto"/>
              </w:rPr>
            </w:pPr>
            <w:r>
              <w:rPr>
                <w:rFonts w:ascii="Arial" w:cs="Arial" w:eastAsia="Arial" w:hAnsi="Arial"/>
                <w:sz w:val="14"/>
                <w:szCs w:val="14"/>
                <w:color w:val="auto"/>
              </w:rPr>
              <w:t>6% Series, 79,011 shares outstanding</w:t>
            </w: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80" w:type="dxa"/>
            <w:vAlign w:val="bottom"/>
          </w:tcPr>
          <w:p>
            <w:pPr>
              <w:jc w:val="right"/>
              <w:ind w:right="9"/>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222"/>
        </w:trPr>
        <w:tc>
          <w:tcPr>
            <w:tcW w:w="4620" w:type="dxa"/>
            <w:vAlign w:val="bottom"/>
          </w:tcPr>
          <w:p>
            <w:pPr>
              <w:ind w:left="640"/>
              <w:spacing w:after="0"/>
              <w:rPr>
                <w:sz w:val="20"/>
                <w:szCs w:val="20"/>
                <w:color w:val="auto"/>
              </w:rPr>
            </w:pPr>
            <w:r>
              <w:rPr>
                <w:rFonts w:ascii="Arial" w:cs="Arial" w:eastAsia="Arial" w:hAnsi="Arial"/>
                <w:sz w:val="14"/>
                <w:szCs w:val="14"/>
                <w:color w:val="auto"/>
              </w:rPr>
              <w:t>6% Series A, 783,032 shares outstanding</w:t>
            </w:r>
          </w:p>
        </w:tc>
        <w:tc>
          <w:tcPr>
            <w:tcW w:w="8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19</w:t>
            </w:r>
          </w:p>
        </w:tc>
        <w:tc>
          <w:tcPr>
            <w:tcW w:w="1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w:t>
            </w:r>
          </w:p>
        </w:tc>
        <w:tc>
          <w:tcPr>
            <w:tcW w:w="0" w:type="dxa"/>
            <w:vAlign w:val="bottom"/>
          </w:tcPr>
          <w:p>
            <w:pPr>
              <w:spacing w:after="0"/>
              <w:rPr>
                <w:sz w:val="1"/>
                <w:szCs w:val="1"/>
                <w:color w:val="auto"/>
              </w:rPr>
            </w:pPr>
          </w:p>
        </w:tc>
      </w:tr>
      <w:tr>
        <w:trPr>
          <w:trHeight w:val="202"/>
        </w:trPr>
        <w:tc>
          <w:tcPr>
            <w:tcW w:w="4620" w:type="dxa"/>
            <w:vAlign w:val="bottom"/>
          </w:tcPr>
          <w:p>
            <w:pPr>
              <w:ind w:left="460"/>
              <w:spacing w:after="0"/>
              <w:rPr>
                <w:sz w:val="20"/>
                <w:szCs w:val="20"/>
                <w:color w:val="auto"/>
              </w:rPr>
            </w:pPr>
            <w:r>
              <w:rPr>
                <w:rFonts w:ascii="Arial" w:cs="Arial" w:eastAsia="Arial" w:hAnsi="Arial"/>
                <w:sz w:val="14"/>
                <w:szCs w:val="14"/>
                <w:b w:val="1"/>
                <w:bCs w:val="1"/>
                <w:color w:val="auto"/>
              </w:rPr>
              <w:t>Total preferred stock of SoCalGas</w:t>
            </w:r>
          </w:p>
        </w:tc>
        <w:tc>
          <w:tcPr>
            <w:tcW w:w="8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80" w:type="dxa"/>
            <w:vAlign w:val="bottom"/>
          </w:tcPr>
          <w:p>
            <w:pPr>
              <w:jc w:val="right"/>
              <w:ind w:right="9"/>
              <w:spacing w:after="0"/>
              <w:rPr>
                <w:sz w:val="20"/>
                <w:szCs w:val="20"/>
                <w:color w:val="auto"/>
              </w:rPr>
            </w:pPr>
            <w:r>
              <w:rPr>
                <w:rFonts w:ascii="Arial" w:cs="Arial" w:eastAsia="Arial" w:hAnsi="Arial"/>
                <w:sz w:val="14"/>
                <w:szCs w:val="14"/>
                <w:color w:val="auto"/>
              </w:rPr>
              <w:t>22</w:t>
            </w:r>
          </w:p>
        </w:tc>
        <w:tc>
          <w:tcPr>
            <w:tcW w:w="12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22</w:t>
            </w:r>
          </w:p>
        </w:tc>
        <w:tc>
          <w:tcPr>
            <w:tcW w:w="0" w:type="dxa"/>
            <w:vAlign w:val="bottom"/>
          </w:tcPr>
          <w:p>
            <w:pPr>
              <w:spacing w:after="0"/>
              <w:rPr>
                <w:sz w:val="1"/>
                <w:szCs w:val="1"/>
                <w:color w:val="auto"/>
              </w:rPr>
            </w:pPr>
          </w:p>
        </w:tc>
      </w:tr>
      <w:tr>
        <w:trPr>
          <w:trHeight w:val="188"/>
        </w:trPr>
        <w:tc>
          <w:tcPr>
            <w:tcW w:w="4620" w:type="dxa"/>
            <w:vAlign w:val="bottom"/>
          </w:tcPr>
          <w:p>
            <w:pPr>
              <w:ind w:left="460"/>
              <w:spacing w:after="0"/>
              <w:rPr>
                <w:sz w:val="20"/>
                <w:szCs w:val="20"/>
                <w:color w:val="auto"/>
              </w:rPr>
            </w:pPr>
            <w:r>
              <w:rPr>
                <w:rFonts w:ascii="Arial" w:cs="Arial" w:eastAsia="Arial" w:hAnsi="Arial"/>
                <w:sz w:val="14"/>
                <w:szCs w:val="14"/>
                <w:color w:val="auto"/>
              </w:rPr>
              <w:t>Less: 50,970 shares of the 6% Series outstanding owned by</w:t>
            </w:r>
          </w:p>
        </w:tc>
        <w:tc>
          <w:tcPr>
            <w:tcW w:w="8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80" w:type="dxa"/>
            <w:vAlign w:val="bottom"/>
            <w:vMerge w:val="restart"/>
          </w:tcPr>
          <w:p>
            <w:pPr>
              <w:jc w:val="right"/>
              <w:spacing w:after="0"/>
              <w:rPr>
                <w:sz w:val="20"/>
                <w:szCs w:val="20"/>
                <w:color w:val="auto"/>
              </w:rPr>
            </w:pPr>
            <w:r>
              <w:rPr>
                <w:rFonts w:ascii="Arial" w:cs="Arial" w:eastAsia="Arial" w:hAnsi="Arial"/>
                <w:sz w:val="14"/>
                <w:szCs w:val="14"/>
                <w:color w:val="auto"/>
              </w:rPr>
              <w:t>(2 )</w:t>
            </w:r>
          </w:p>
        </w:tc>
        <w:tc>
          <w:tcPr>
            <w:tcW w:w="120" w:type="dxa"/>
            <w:vAlign w:val="bottom"/>
          </w:tcPr>
          <w:p>
            <w:pPr>
              <w:spacing w:after="0"/>
              <w:rPr>
                <w:sz w:val="16"/>
                <w:szCs w:val="16"/>
                <w:color w:val="auto"/>
              </w:rPr>
            </w:pPr>
          </w:p>
        </w:tc>
        <w:tc>
          <w:tcPr>
            <w:tcW w:w="460" w:type="dxa"/>
            <w:vAlign w:val="bottom"/>
            <w:vMerge w:val="restart"/>
          </w:tcPr>
          <w:p>
            <w:pPr>
              <w:ind w:left="280"/>
              <w:spacing w:after="0"/>
              <w:rPr>
                <w:sz w:val="20"/>
                <w:szCs w:val="20"/>
                <w:color w:val="auto"/>
              </w:rPr>
            </w:pPr>
            <w:r>
              <w:rPr>
                <w:rFonts w:ascii="Arial" w:cs="Arial" w:eastAsia="Arial" w:hAnsi="Arial"/>
                <w:sz w:val="14"/>
                <w:szCs w:val="14"/>
                <w:color w:val="auto"/>
                <w:w w:val="93"/>
              </w:rPr>
              <w:t>(2)</w:t>
            </w:r>
          </w:p>
        </w:tc>
        <w:tc>
          <w:tcPr>
            <w:tcW w:w="0" w:type="dxa"/>
            <w:vAlign w:val="bottom"/>
          </w:tcPr>
          <w:p>
            <w:pPr>
              <w:spacing w:after="0"/>
              <w:rPr>
                <w:sz w:val="1"/>
                <w:szCs w:val="1"/>
                <w:color w:val="auto"/>
              </w:rPr>
            </w:pPr>
          </w:p>
        </w:tc>
      </w:tr>
      <w:tr>
        <w:trPr>
          <w:trHeight w:val="166"/>
        </w:trPr>
        <w:tc>
          <w:tcPr>
            <w:tcW w:w="4620" w:type="dxa"/>
            <w:vAlign w:val="bottom"/>
          </w:tcPr>
          <w:p>
            <w:pPr>
              <w:ind w:left="640"/>
              <w:spacing w:after="0"/>
              <w:rPr>
                <w:sz w:val="20"/>
                <w:szCs w:val="20"/>
                <w:color w:val="auto"/>
              </w:rPr>
            </w:pPr>
            <w:r>
              <w:rPr>
                <w:rFonts w:ascii="Arial" w:cs="Arial" w:eastAsia="Arial" w:hAnsi="Arial"/>
                <w:sz w:val="14"/>
                <w:szCs w:val="14"/>
                <w:color w:val="auto"/>
              </w:rPr>
              <w:t>Pacific Enterprises</w:t>
            </w:r>
          </w:p>
        </w:tc>
        <w:tc>
          <w:tcPr>
            <w:tcW w:w="82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4620" w:type="dxa"/>
            <w:vAlign w:val="bottom"/>
          </w:tcPr>
          <w:p>
            <w:pPr>
              <w:ind w:left="460"/>
              <w:spacing w:after="0"/>
              <w:rPr>
                <w:sz w:val="20"/>
                <w:szCs w:val="20"/>
                <w:color w:val="auto"/>
              </w:rPr>
            </w:pPr>
            <w:r>
              <w:rPr>
                <w:rFonts w:ascii="Arial" w:cs="Arial" w:eastAsia="Arial" w:hAnsi="Arial"/>
                <w:sz w:val="14"/>
                <w:szCs w:val="14"/>
                <w:b w:val="1"/>
                <w:bCs w:val="1"/>
                <w:color w:val="auto"/>
              </w:rPr>
              <w:t>Pacific Enterprises – total preferred stock of subsidiary</w:t>
            </w:r>
          </w:p>
        </w:tc>
        <w:tc>
          <w:tcPr>
            <w:tcW w:w="8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20</w:t>
            </w:r>
          </w:p>
        </w:tc>
        <w:tc>
          <w:tcPr>
            <w:tcW w:w="12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372"/>
        </w:trPr>
        <w:tc>
          <w:tcPr>
            <w:tcW w:w="4620" w:type="dxa"/>
            <w:vAlign w:val="bottom"/>
          </w:tcPr>
          <w:p>
            <w:pPr>
              <w:ind w:left="460"/>
              <w:spacing w:after="0"/>
              <w:rPr>
                <w:sz w:val="20"/>
                <w:szCs w:val="20"/>
                <w:color w:val="auto"/>
              </w:rPr>
            </w:pPr>
            <w:r>
              <w:rPr>
                <w:rFonts w:ascii="Arial" w:cs="Arial" w:eastAsia="Arial" w:hAnsi="Arial"/>
                <w:sz w:val="14"/>
                <w:szCs w:val="14"/>
                <w:b w:val="1"/>
                <w:bCs w:val="1"/>
                <w:color w:val="auto"/>
              </w:rPr>
              <w:t>Sempra Energy – total preferred stock of subsidiaries not</w:t>
            </w:r>
          </w:p>
        </w:tc>
        <w:tc>
          <w:tcPr>
            <w:tcW w:w="8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4620" w:type="dxa"/>
            <w:vAlign w:val="bottom"/>
            <w:tcBorders>
              <w:bottom w:val="single" w:sz="8" w:color="auto"/>
            </w:tcBorders>
          </w:tcPr>
          <w:p>
            <w:pPr>
              <w:ind w:left="640"/>
              <w:spacing w:after="0"/>
              <w:rPr>
                <w:sz w:val="20"/>
                <w:szCs w:val="20"/>
                <w:color w:val="auto"/>
              </w:rPr>
            </w:pPr>
            <w:r>
              <w:rPr>
                <w:rFonts w:ascii="Arial" w:cs="Arial" w:eastAsia="Arial" w:hAnsi="Arial"/>
                <w:sz w:val="14"/>
                <w:szCs w:val="14"/>
                <w:b w:val="1"/>
                <w:bCs w:val="1"/>
                <w:color w:val="auto"/>
              </w:rPr>
              <w:t>subject to mandatory redemption</w:t>
            </w:r>
          </w:p>
        </w:tc>
        <w:tc>
          <w:tcPr>
            <w:tcW w:w="8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48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179</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179</w:t>
            </w:r>
          </w:p>
        </w:tc>
        <w:tc>
          <w:tcPr>
            <w:tcW w:w="0" w:type="dxa"/>
            <w:vAlign w:val="bottom"/>
          </w:tcPr>
          <w:p>
            <w:pPr>
              <w:spacing w:after="0"/>
              <w:rPr>
                <w:sz w:val="1"/>
                <w:szCs w:val="1"/>
                <w:color w:val="auto"/>
              </w:rPr>
            </w:pPr>
          </w:p>
        </w:tc>
      </w:tr>
    </w:tbl>
    <w:p>
      <w:pPr>
        <w:spacing w:after="0" w:line="16" w:lineRule="exact"/>
        <w:rPr>
          <w:sz w:val="20"/>
          <w:szCs w:val="20"/>
          <w:color w:val="auto"/>
        </w:rPr>
      </w:pPr>
    </w:p>
    <w:p>
      <w:pPr>
        <w:ind w:left="2400" w:right="1119" w:hanging="110"/>
        <w:spacing w:after="0" w:line="277" w:lineRule="auto"/>
        <w:tabs>
          <w:tab w:leader="none" w:pos="2408" w:val="left"/>
        </w:tabs>
        <w:numPr>
          <w:ilvl w:val="0"/>
          <w:numId w:val="374"/>
        </w:numPr>
        <w:rPr>
          <w:rFonts w:ascii="Arial" w:cs="Arial" w:eastAsia="Arial" w:hAnsi="Arial"/>
          <w:sz w:val="13"/>
          <w:szCs w:val="13"/>
          <w:i w:val="1"/>
          <w:iCs w:val="1"/>
          <w:color w:val="auto"/>
        </w:rPr>
      </w:pPr>
      <w:r>
        <w:rPr>
          <w:rFonts w:ascii="Arial" w:cs="Arial" w:eastAsia="Arial" w:hAnsi="Arial"/>
          <w:sz w:val="13"/>
          <w:szCs w:val="13"/>
          <w:i w:val="1"/>
          <w:iCs w:val="1"/>
          <w:color w:val="auto"/>
        </w:rPr>
        <w:t>At December 31, 2007, $14 million was included in Other Current Liabilities. This series was redeemed on January 15, 2008.</w:t>
      </w:r>
    </w:p>
    <w:p>
      <w:pPr>
        <w:spacing w:after="0" w:line="363" w:lineRule="exact"/>
        <w:rPr>
          <w:sz w:val="20"/>
          <w:szCs w:val="20"/>
          <w:color w:val="auto"/>
        </w:rPr>
      </w:pPr>
    </w:p>
    <w:p>
      <w:pPr>
        <w:spacing w:after="0"/>
        <w:rPr>
          <w:sz w:val="20"/>
          <w:szCs w:val="20"/>
          <w:color w:val="auto"/>
        </w:rPr>
      </w:pPr>
      <w:r>
        <w:rPr>
          <w:rFonts w:ascii="Arial" w:cs="Arial" w:eastAsia="Arial" w:hAnsi="Arial"/>
          <w:sz w:val="14"/>
          <w:szCs w:val="14"/>
          <w:color w:val="auto"/>
        </w:rPr>
        <w:t>163</w:t>
      </w:r>
    </w:p>
    <w:p>
      <w:pPr>
        <w:sectPr>
          <w:pgSz w:w="11900" w:h="16838" w:orient="portrait"/>
          <w:cols w:equalWidth="0" w:num="1">
            <w:col w:w="10219"/>
          </w:cols>
          <w:pgMar w:left="240" w:top="737" w:right="1440" w:bottom="1440" w:gutter="0" w:footer="0" w:header="0"/>
        </w:sectPr>
      </w:pPr>
    </w:p>
    <w:bookmarkStart w:id="303" w:name="page304"/>
    <w:bookmarkEnd w:id="303"/>
    <w:p>
      <w:pPr>
        <w:ind w:left="4"/>
        <w:spacing w:after="0"/>
        <w:rPr>
          <w:sz w:val="20"/>
          <w:szCs w:val="20"/>
          <w:color w:val="auto"/>
        </w:rPr>
      </w:pPr>
      <w:r>
        <w:rPr>
          <w:rFonts w:ascii="Arial" w:cs="Arial" w:eastAsia="Arial" w:hAnsi="Arial"/>
          <w:sz w:val="16"/>
          <w:szCs w:val="16"/>
          <w:color w:val="auto"/>
        </w:rPr>
        <w:t>The following are the attributes of each company’s preferred stock:</w:t>
      </w:r>
    </w:p>
    <w:p>
      <w:pPr>
        <w:spacing w:after="0" w:line="276"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auto"/>
        </w:rPr>
        <w:t>SDG&amp;E</w:t>
      </w:r>
    </w:p>
    <w:p>
      <w:pPr>
        <w:spacing w:after="0" w:line="89" w:lineRule="exact"/>
        <w:rPr>
          <w:sz w:val="20"/>
          <w:szCs w:val="20"/>
          <w:color w:val="auto"/>
        </w:rPr>
      </w:pPr>
    </w:p>
    <w:p>
      <w:pPr>
        <w:ind w:left="144" w:hanging="144"/>
        <w:spacing w:after="0"/>
        <w:tabs>
          <w:tab w:leader="none" w:pos="144" w:val="left"/>
        </w:tabs>
        <w:numPr>
          <w:ilvl w:val="0"/>
          <w:numId w:val="375"/>
        </w:numPr>
        <w:rPr>
          <w:rFonts w:ascii="Arial" w:cs="Arial" w:eastAsia="Arial" w:hAnsi="Arial"/>
          <w:sz w:val="16"/>
          <w:szCs w:val="16"/>
          <w:color w:val="auto"/>
        </w:rPr>
      </w:pPr>
      <w:r>
        <w:rPr>
          <w:rFonts w:ascii="Arial" w:cs="Arial" w:eastAsia="Arial" w:hAnsi="Arial"/>
          <w:sz w:val="16"/>
          <w:szCs w:val="16"/>
          <w:color w:val="auto"/>
        </w:rPr>
        <w:t>All outstanding series are callable.</w:t>
      </w:r>
    </w:p>
    <w:p>
      <w:pPr>
        <w:spacing w:after="0" w:line="44" w:lineRule="exact"/>
        <w:rPr>
          <w:rFonts w:ascii="Arial" w:cs="Arial" w:eastAsia="Arial" w:hAnsi="Arial"/>
          <w:sz w:val="16"/>
          <w:szCs w:val="16"/>
          <w:color w:val="auto"/>
        </w:rPr>
      </w:pPr>
    </w:p>
    <w:p>
      <w:pPr>
        <w:ind w:left="144" w:right="1220" w:hanging="144"/>
        <w:spacing w:after="0" w:line="274" w:lineRule="auto"/>
        <w:tabs>
          <w:tab w:leader="none" w:pos="144" w:val="left"/>
        </w:tabs>
        <w:numPr>
          <w:ilvl w:val="0"/>
          <w:numId w:val="375"/>
        </w:numPr>
        <w:rPr>
          <w:rFonts w:ascii="Arial" w:cs="Arial" w:eastAsia="Arial" w:hAnsi="Arial"/>
          <w:sz w:val="16"/>
          <w:szCs w:val="16"/>
          <w:color w:val="auto"/>
        </w:rPr>
      </w:pPr>
      <w:r>
        <w:rPr>
          <w:rFonts w:ascii="Arial" w:cs="Arial" w:eastAsia="Arial" w:hAnsi="Arial"/>
          <w:sz w:val="16"/>
          <w:szCs w:val="16"/>
          <w:color w:val="auto"/>
        </w:rPr>
        <w:t>The $1.7625 Series had a sinking fund requirement to redeem 50,000 shares at $25 per share in 2007 and all remaining shares in 2008. On January 15, 2007, SDG&amp;E redeemed 100,000 shares, and on January 15, 2008, SDG&amp;E redeemed the remaining 550,000 shares.</w:t>
      </w:r>
    </w:p>
    <w:p>
      <w:pPr>
        <w:ind w:left="144" w:hanging="144"/>
        <w:spacing w:after="0"/>
        <w:tabs>
          <w:tab w:leader="none" w:pos="144" w:val="left"/>
        </w:tabs>
        <w:numPr>
          <w:ilvl w:val="0"/>
          <w:numId w:val="375"/>
        </w:numPr>
        <w:rPr>
          <w:rFonts w:ascii="Arial" w:cs="Arial" w:eastAsia="Arial" w:hAnsi="Arial"/>
          <w:sz w:val="16"/>
          <w:szCs w:val="16"/>
          <w:color w:val="auto"/>
        </w:rPr>
      </w:pPr>
      <w:r>
        <w:rPr>
          <w:rFonts w:ascii="Arial" w:cs="Arial" w:eastAsia="Arial" w:hAnsi="Arial"/>
          <w:sz w:val="16"/>
          <w:szCs w:val="16"/>
          <w:color w:val="auto"/>
        </w:rPr>
        <w:t>The $20 par value preferred stock has two votes per share on matters being voted upon by shareholders of SDG&amp;E and a liquidation value at par.</w:t>
      </w:r>
    </w:p>
    <w:p>
      <w:pPr>
        <w:spacing w:after="0" w:line="44" w:lineRule="exact"/>
        <w:rPr>
          <w:rFonts w:ascii="Arial" w:cs="Arial" w:eastAsia="Arial" w:hAnsi="Arial"/>
          <w:sz w:val="16"/>
          <w:szCs w:val="16"/>
          <w:color w:val="auto"/>
        </w:rPr>
      </w:pPr>
    </w:p>
    <w:p>
      <w:pPr>
        <w:ind w:left="144" w:hanging="144"/>
        <w:spacing w:after="0"/>
        <w:tabs>
          <w:tab w:leader="none" w:pos="144" w:val="left"/>
        </w:tabs>
        <w:numPr>
          <w:ilvl w:val="0"/>
          <w:numId w:val="375"/>
        </w:numPr>
        <w:rPr>
          <w:rFonts w:ascii="Arial" w:cs="Arial" w:eastAsia="Arial" w:hAnsi="Arial"/>
          <w:sz w:val="16"/>
          <w:szCs w:val="16"/>
          <w:color w:val="auto"/>
        </w:rPr>
      </w:pPr>
      <w:r>
        <w:rPr>
          <w:rFonts w:ascii="Arial" w:cs="Arial" w:eastAsia="Arial" w:hAnsi="Arial"/>
          <w:sz w:val="16"/>
          <w:szCs w:val="16"/>
          <w:color w:val="auto"/>
        </w:rPr>
        <w:t>All outstanding series of SDG&amp;E's preferred stock have cumulative preferences as to dividends.</w:t>
      </w:r>
    </w:p>
    <w:p>
      <w:pPr>
        <w:spacing w:after="0" w:line="44" w:lineRule="exact"/>
        <w:rPr>
          <w:rFonts w:ascii="Arial" w:cs="Arial" w:eastAsia="Arial" w:hAnsi="Arial"/>
          <w:sz w:val="16"/>
          <w:szCs w:val="16"/>
          <w:color w:val="auto"/>
        </w:rPr>
      </w:pPr>
    </w:p>
    <w:p>
      <w:pPr>
        <w:ind w:left="144" w:hanging="144"/>
        <w:spacing w:after="0"/>
        <w:tabs>
          <w:tab w:leader="none" w:pos="144" w:val="left"/>
        </w:tabs>
        <w:numPr>
          <w:ilvl w:val="0"/>
          <w:numId w:val="375"/>
        </w:numPr>
        <w:rPr>
          <w:rFonts w:ascii="Arial" w:cs="Arial" w:eastAsia="Arial" w:hAnsi="Arial"/>
          <w:sz w:val="16"/>
          <w:szCs w:val="16"/>
          <w:color w:val="auto"/>
        </w:rPr>
      </w:pPr>
      <w:r>
        <w:rPr>
          <w:rFonts w:ascii="Arial" w:cs="Arial" w:eastAsia="Arial" w:hAnsi="Arial"/>
          <w:sz w:val="16"/>
          <w:szCs w:val="16"/>
          <w:color w:val="auto"/>
        </w:rPr>
        <w:t>The no-par-value preferred stock is nonvoting and has a liquidation value of $25 per share plus any unpaid dividends.</w:t>
      </w:r>
    </w:p>
    <w:p>
      <w:pPr>
        <w:spacing w:after="0" w:line="44" w:lineRule="exact"/>
        <w:rPr>
          <w:rFonts w:ascii="Arial" w:cs="Arial" w:eastAsia="Arial" w:hAnsi="Arial"/>
          <w:sz w:val="16"/>
          <w:szCs w:val="16"/>
          <w:color w:val="auto"/>
        </w:rPr>
      </w:pPr>
    </w:p>
    <w:p>
      <w:pPr>
        <w:ind w:left="144" w:hanging="144"/>
        <w:spacing w:after="0"/>
        <w:tabs>
          <w:tab w:leader="none" w:pos="144" w:val="left"/>
        </w:tabs>
        <w:numPr>
          <w:ilvl w:val="0"/>
          <w:numId w:val="375"/>
        </w:numPr>
        <w:rPr>
          <w:rFonts w:ascii="Arial" w:cs="Arial" w:eastAsia="Arial" w:hAnsi="Arial"/>
          <w:sz w:val="16"/>
          <w:szCs w:val="16"/>
          <w:color w:val="auto"/>
        </w:rPr>
      </w:pPr>
      <w:r>
        <w:rPr>
          <w:rFonts w:ascii="Arial" w:cs="Arial" w:eastAsia="Arial" w:hAnsi="Arial"/>
          <w:sz w:val="16"/>
          <w:szCs w:val="16"/>
          <w:color w:val="auto"/>
        </w:rPr>
        <w:t>SDG&amp;E is authorized to issue 10,000,000 shares of no-par-value preferred stock (both subject to and not subject to mandatory redemption).</w:t>
      </w:r>
    </w:p>
    <w:p>
      <w:pPr>
        <w:spacing w:after="0" w:line="128" w:lineRule="exact"/>
        <w:rPr>
          <w:sz w:val="20"/>
          <w:szCs w:val="20"/>
          <w:color w:val="auto"/>
        </w:rPr>
      </w:pPr>
    </w:p>
    <w:p>
      <w:pPr>
        <w:ind w:left="4"/>
        <w:spacing w:after="0" w:line="259" w:lineRule="auto"/>
        <w:rPr>
          <w:sz w:val="20"/>
          <w:szCs w:val="20"/>
          <w:color w:val="auto"/>
        </w:rPr>
      </w:pPr>
      <w:r>
        <w:rPr>
          <w:rFonts w:ascii="Arial" w:cs="Arial" w:eastAsia="Arial" w:hAnsi="Arial"/>
          <w:sz w:val="16"/>
          <w:szCs w:val="16"/>
          <w:color w:val="auto"/>
        </w:rPr>
        <w:t>SDG&amp;E is currently authorized to issue up to 25 million shares of an additional class of preference shares designated as "Series Preference Stock." The Series Preference Stock is in addition to the Cumulative Preferred Stock, Preference Stock (Cumulative) and Common Stock that SDG&amp;E was otherwise authorized to issue, and when issued would rank junior to the Cumulative Preferred Stock and Preference Stock (Cumulative). The stock’s rights, preferences and privileges would be established by the board at the time of issuance.</w:t>
      </w:r>
    </w:p>
    <w:p>
      <w:pPr>
        <w:spacing w:after="0" w:line="243"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auto"/>
        </w:rPr>
        <w:t>PACIFIC ENTERPRISES</w:t>
      </w:r>
    </w:p>
    <w:p>
      <w:pPr>
        <w:spacing w:after="0" w:line="89" w:lineRule="exact"/>
        <w:rPr>
          <w:sz w:val="20"/>
          <w:szCs w:val="20"/>
          <w:color w:val="auto"/>
        </w:rPr>
      </w:pPr>
    </w:p>
    <w:p>
      <w:pPr>
        <w:ind w:left="144" w:right="1420" w:hanging="144"/>
        <w:spacing w:after="0" w:line="274" w:lineRule="auto"/>
        <w:tabs>
          <w:tab w:leader="none" w:pos="144" w:val="left"/>
        </w:tabs>
        <w:numPr>
          <w:ilvl w:val="0"/>
          <w:numId w:val="376"/>
        </w:numPr>
        <w:rPr>
          <w:rFonts w:ascii="Arial" w:cs="Arial" w:eastAsia="Arial" w:hAnsi="Arial"/>
          <w:sz w:val="16"/>
          <w:szCs w:val="16"/>
          <w:color w:val="auto"/>
        </w:rPr>
      </w:pPr>
      <w:r>
        <w:rPr>
          <w:rFonts w:ascii="Arial" w:cs="Arial" w:eastAsia="Arial" w:hAnsi="Arial"/>
          <w:sz w:val="16"/>
          <w:szCs w:val="16"/>
          <w:color w:val="auto"/>
        </w:rPr>
        <w:t>Outstanding PE preferred stock is subject to redemption at PE's option at any time with at least 30 days' notice at the applicable redemption price for each series plus any unpaid dividends.</w:t>
      </w:r>
    </w:p>
    <w:p>
      <w:pPr>
        <w:ind w:left="144" w:hanging="144"/>
        <w:spacing w:after="0"/>
        <w:tabs>
          <w:tab w:leader="none" w:pos="144" w:val="left"/>
        </w:tabs>
        <w:numPr>
          <w:ilvl w:val="0"/>
          <w:numId w:val="376"/>
        </w:numPr>
        <w:rPr>
          <w:rFonts w:ascii="Arial" w:cs="Arial" w:eastAsia="Arial" w:hAnsi="Arial"/>
          <w:sz w:val="16"/>
          <w:szCs w:val="16"/>
          <w:color w:val="auto"/>
        </w:rPr>
      </w:pPr>
      <w:r>
        <w:rPr>
          <w:rFonts w:ascii="Arial" w:cs="Arial" w:eastAsia="Arial" w:hAnsi="Arial"/>
          <w:sz w:val="16"/>
          <w:szCs w:val="16"/>
          <w:color w:val="auto"/>
        </w:rPr>
        <w:t>All outstanding series have one vote per share, cumulative preferences as to dividends, and a liquidation value of $100 per share plus any unpaid dividends.</w:t>
      </w:r>
    </w:p>
    <w:p>
      <w:pPr>
        <w:spacing w:after="0" w:line="276"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auto"/>
        </w:rPr>
        <w:t>SOCALGAS</w:t>
      </w:r>
    </w:p>
    <w:p>
      <w:pPr>
        <w:spacing w:after="0" w:line="89" w:lineRule="exact"/>
        <w:rPr>
          <w:sz w:val="20"/>
          <w:szCs w:val="20"/>
          <w:color w:val="auto"/>
        </w:rPr>
      </w:pPr>
    </w:p>
    <w:p>
      <w:pPr>
        <w:ind w:left="144" w:hanging="144"/>
        <w:spacing w:after="0"/>
        <w:tabs>
          <w:tab w:leader="none" w:pos="144" w:val="left"/>
        </w:tabs>
        <w:numPr>
          <w:ilvl w:val="0"/>
          <w:numId w:val="377"/>
        </w:numPr>
        <w:rPr>
          <w:rFonts w:ascii="Arial" w:cs="Arial" w:eastAsia="Arial" w:hAnsi="Arial"/>
          <w:sz w:val="16"/>
          <w:szCs w:val="16"/>
          <w:color w:val="auto"/>
        </w:rPr>
      </w:pPr>
      <w:r>
        <w:rPr>
          <w:rFonts w:ascii="Arial" w:cs="Arial" w:eastAsia="Arial" w:hAnsi="Arial"/>
          <w:sz w:val="16"/>
          <w:szCs w:val="16"/>
          <w:color w:val="auto"/>
        </w:rPr>
        <w:t>None of SoCalGas' outstanding preferred stock is callable.</w:t>
      </w:r>
    </w:p>
    <w:p>
      <w:pPr>
        <w:spacing w:after="0" w:line="44" w:lineRule="exact"/>
        <w:rPr>
          <w:rFonts w:ascii="Arial" w:cs="Arial" w:eastAsia="Arial" w:hAnsi="Arial"/>
          <w:sz w:val="16"/>
          <w:szCs w:val="16"/>
          <w:color w:val="auto"/>
        </w:rPr>
      </w:pPr>
    </w:p>
    <w:p>
      <w:pPr>
        <w:ind w:left="144" w:hanging="144"/>
        <w:spacing w:after="0"/>
        <w:tabs>
          <w:tab w:leader="none" w:pos="144" w:val="left"/>
        </w:tabs>
        <w:numPr>
          <w:ilvl w:val="0"/>
          <w:numId w:val="377"/>
        </w:numPr>
        <w:rPr>
          <w:rFonts w:ascii="Arial" w:cs="Arial" w:eastAsia="Arial" w:hAnsi="Arial"/>
          <w:sz w:val="16"/>
          <w:szCs w:val="16"/>
          <w:color w:val="auto"/>
        </w:rPr>
      </w:pPr>
      <w:r>
        <w:rPr>
          <w:rFonts w:ascii="Arial" w:cs="Arial" w:eastAsia="Arial" w:hAnsi="Arial"/>
          <w:sz w:val="16"/>
          <w:szCs w:val="16"/>
          <w:color w:val="auto"/>
        </w:rPr>
        <w:t>All outstanding series have one vote per share, cumulative preferences as to dividends and liquidation values of $25 per share plus any unpaid dividends.</w:t>
      </w:r>
    </w:p>
    <w:p>
      <w:pPr>
        <w:spacing w:after="0" w:line="128" w:lineRule="exact"/>
        <w:rPr>
          <w:sz w:val="20"/>
          <w:szCs w:val="20"/>
          <w:color w:val="auto"/>
        </w:rPr>
      </w:pPr>
    </w:p>
    <w:p>
      <w:pPr>
        <w:ind w:left="4" w:right="180"/>
        <w:spacing w:after="0" w:line="264" w:lineRule="auto"/>
        <w:rPr>
          <w:sz w:val="20"/>
          <w:szCs w:val="20"/>
          <w:color w:val="auto"/>
        </w:rPr>
      </w:pPr>
      <w:r>
        <w:rPr>
          <w:rFonts w:ascii="Arial" w:cs="Arial" w:eastAsia="Arial" w:hAnsi="Arial"/>
          <w:sz w:val="16"/>
          <w:szCs w:val="16"/>
          <w:color w:val="auto"/>
        </w:rPr>
        <w:t>SoCalGas currently is authorized to issue 5 million shares of series preferred stock and 5 million shares of preference stock, both without par value and with cumulative preferences as to dividends and with liquidation value. The preference stock would rank junior to all series of preferred stock. Other rights and privileges of the stock would be established by the board of directors at the time of issuance.</w:t>
      </w:r>
    </w:p>
    <w:p>
      <w:pPr>
        <w:spacing w:after="0" w:line="200" w:lineRule="exact"/>
        <w:rPr>
          <w:sz w:val="20"/>
          <w:szCs w:val="20"/>
          <w:color w:val="auto"/>
        </w:rPr>
      </w:pPr>
    </w:p>
    <w:p>
      <w:pPr>
        <w:spacing w:after="0" w:line="230" w:lineRule="exact"/>
        <w:rPr>
          <w:sz w:val="20"/>
          <w:szCs w:val="20"/>
          <w:color w:val="auto"/>
        </w:rPr>
      </w:pPr>
    </w:p>
    <w:p>
      <w:pPr>
        <w:ind w:left="4"/>
        <w:spacing w:after="0"/>
        <w:rPr>
          <w:sz w:val="20"/>
          <w:szCs w:val="20"/>
          <w:color w:val="auto"/>
        </w:rPr>
      </w:pPr>
      <w:r>
        <w:rPr>
          <w:rFonts w:ascii="Arial" w:cs="Arial" w:eastAsia="Arial" w:hAnsi="Arial"/>
          <w:sz w:val="14"/>
          <w:szCs w:val="14"/>
          <w:color w:val="auto"/>
        </w:rPr>
        <w:t>164</w:t>
      </w:r>
    </w:p>
    <w:p>
      <w:pPr>
        <w:sectPr>
          <w:pgSz w:w="11900" w:h="16838" w:orient="portrait"/>
          <w:cols w:equalWidth="0" w:num="1">
            <w:col w:w="11404"/>
          </w:cols>
          <w:pgMar w:left="236" w:top="320" w:right="259" w:bottom="1440" w:gutter="0" w:footer="0" w:header="0"/>
        </w:sectPr>
      </w:pPr>
    </w:p>
    <w:bookmarkStart w:id="304" w:name="page305"/>
    <w:bookmarkEnd w:id="30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149860</wp:posOffset>
            </wp:positionH>
            <wp:positionV relativeFrom="page">
              <wp:posOffset>432435</wp:posOffset>
            </wp:positionV>
            <wp:extent cx="7261860" cy="762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61860" cy="7620"/>
                    </a:xfrm>
                    <a:prstGeom prst="rect">
                      <a:avLst/>
                    </a:prstGeom>
                    <a:noFill/>
                  </pic:spPr>
                </pic:pic>
              </a:graphicData>
            </a:graphic>
          </wp:anchor>
        </w:drawing>
        <w:t>NOTE 13. SEMPRA ENERGY - SHAREHOLDERS' EQUITY AND EARNINGS PER SHARE</w:t>
      </w:r>
    </w:p>
    <w:p>
      <w:pPr>
        <w:spacing w:after="0" w:line="60" w:lineRule="exact"/>
        <w:rPr>
          <w:sz w:val="20"/>
          <w:szCs w:val="20"/>
          <w:color w:val="auto"/>
        </w:rPr>
      </w:pPr>
    </w:p>
    <w:p>
      <w:pPr>
        <w:jc w:val="both"/>
        <w:ind w:right="260"/>
        <w:spacing w:after="0" w:line="319" w:lineRule="auto"/>
        <w:rPr>
          <w:sz w:val="20"/>
          <w:szCs w:val="20"/>
          <w:color w:val="auto"/>
        </w:rPr>
      </w:pPr>
      <w:r>
        <w:rPr>
          <w:rFonts w:ascii="Arial" w:cs="Arial" w:eastAsia="Arial" w:hAnsi="Arial"/>
          <w:sz w:val="14"/>
          <w:szCs w:val="14"/>
          <w:color w:val="auto"/>
        </w:rPr>
        <w:t>The following table provides the per share computations for income from continuing operations for the years ended December 31. Basic earnings per common share (EPS) is calculated by dividing earnings applicable to common stock by the weighted-average number of common shares outstanding for the year. Diluted EPS includes the potential dilution of common stock equivalent shares that could occur if securities or other contracts to issue common stock were exercised or converted into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1187450</wp:posOffset>
            </wp:positionH>
            <wp:positionV relativeFrom="paragraph">
              <wp:posOffset>149225</wp:posOffset>
            </wp:positionV>
            <wp:extent cx="4881880" cy="26670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4881880" cy="266700"/>
                    </a:xfrm>
                    <a:prstGeom prst="rect">
                      <a:avLst/>
                    </a:prstGeom>
                    <a:noFill/>
                  </pic:spPr>
                </pic:pic>
              </a:graphicData>
            </a:graphic>
          </wp:anchor>
        </w:drawing>
      </w:r>
    </w:p>
    <w:p>
      <w:pPr>
        <w:spacing w:after="0" w:line="223" w:lineRule="exact"/>
        <w:rPr>
          <w:sz w:val="20"/>
          <w:szCs w:val="20"/>
          <w:color w:val="auto"/>
        </w:rPr>
      </w:pPr>
    </w:p>
    <w:p>
      <w:pPr>
        <w:ind w:left="1880"/>
        <w:spacing w:after="0"/>
        <w:rPr>
          <w:sz w:val="20"/>
          <w:szCs w:val="20"/>
          <w:color w:val="auto"/>
        </w:rPr>
      </w:pPr>
      <w:r>
        <w:rPr>
          <w:rFonts w:ascii="Arial" w:cs="Arial" w:eastAsia="Arial" w:hAnsi="Arial"/>
          <w:sz w:val="14"/>
          <w:szCs w:val="14"/>
          <w:b w:val="1"/>
          <w:bCs w:val="1"/>
          <w:color w:val="auto"/>
        </w:rPr>
        <w:t>EARNINGS PER SHARE COMPUTATIONS</w:t>
      </w:r>
    </w:p>
    <w:p>
      <w:pPr>
        <w:spacing w:after="0" w:line="292" w:lineRule="exact"/>
        <w:rPr>
          <w:sz w:val="20"/>
          <w:szCs w:val="20"/>
          <w:color w:val="auto"/>
        </w:rPr>
      </w:pPr>
    </w:p>
    <w:tbl>
      <w:tblPr>
        <w:tblLayout w:type="fixed"/>
        <w:tblInd w:w="1880" w:type="dxa"/>
        <w:tblCellMar>
          <w:top w:w="0" w:type="dxa"/>
          <w:left w:w="0" w:type="dxa"/>
          <w:bottom w:w="0" w:type="dxa"/>
          <w:right w:w="0" w:type="dxa"/>
        </w:tblCellMar>
      </w:tblPr>
      <w:tr>
        <w:trPr>
          <w:trHeight w:val="159"/>
        </w:trPr>
        <w:tc>
          <w:tcPr>
            <w:tcW w:w="4540" w:type="dxa"/>
            <w:vAlign w:val="bottom"/>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98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color w:val="auto"/>
              </w:rPr>
              <w:t>Years ended December 31,</w:t>
            </w:r>
          </w:p>
        </w:tc>
        <w:tc>
          <w:tcPr>
            <w:tcW w:w="16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r>
      <w:tr>
        <w:trPr>
          <w:trHeight w:val="208"/>
        </w:trPr>
        <w:tc>
          <w:tcPr>
            <w:tcW w:w="454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70"/>
              <w:spacing w:after="0"/>
              <w:rPr>
                <w:sz w:val="20"/>
                <w:szCs w:val="20"/>
                <w:color w:val="auto"/>
              </w:rPr>
            </w:pPr>
            <w:r>
              <w:rPr>
                <w:rFonts w:ascii="Arial" w:cs="Arial" w:eastAsia="Arial" w:hAnsi="Arial"/>
                <w:sz w:val="13"/>
                <w:szCs w:val="13"/>
                <w:color w:val="auto"/>
              </w:rPr>
              <w:t>2008</w:t>
            </w:r>
          </w:p>
        </w:tc>
        <w:tc>
          <w:tcPr>
            <w:tcW w:w="3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89"/>
              <w:spacing w:after="0"/>
              <w:rPr>
                <w:sz w:val="20"/>
                <w:szCs w:val="20"/>
                <w:color w:val="auto"/>
              </w:rPr>
            </w:pPr>
            <w:r>
              <w:rPr>
                <w:rFonts w:ascii="Arial" w:cs="Arial" w:eastAsia="Arial" w:hAnsi="Arial"/>
                <w:sz w:val="13"/>
                <w:szCs w:val="13"/>
                <w:color w:val="auto"/>
              </w:rPr>
              <w:t>2007</w:t>
            </w:r>
          </w:p>
        </w:tc>
        <w:tc>
          <w:tcPr>
            <w:tcW w:w="1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109"/>
              <w:spacing w:after="0"/>
              <w:rPr>
                <w:sz w:val="20"/>
                <w:szCs w:val="20"/>
                <w:color w:val="auto"/>
              </w:rPr>
            </w:pPr>
            <w:r>
              <w:rPr>
                <w:rFonts w:ascii="Arial" w:cs="Arial" w:eastAsia="Arial" w:hAnsi="Arial"/>
                <w:sz w:val="13"/>
                <w:szCs w:val="13"/>
                <w:color w:val="auto"/>
              </w:rPr>
              <w:t>2006</w:t>
            </w:r>
          </w:p>
        </w:tc>
      </w:tr>
      <w:tr>
        <w:trPr>
          <w:trHeight w:val="207"/>
        </w:trPr>
        <w:tc>
          <w:tcPr>
            <w:tcW w:w="4540" w:type="dxa"/>
            <w:vAlign w:val="bottom"/>
          </w:tcPr>
          <w:p>
            <w:pPr>
              <w:spacing w:after="0"/>
              <w:rPr>
                <w:sz w:val="20"/>
                <w:szCs w:val="20"/>
                <w:color w:val="auto"/>
              </w:rPr>
            </w:pPr>
            <w:r>
              <w:rPr>
                <w:rFonts w:ascii="Arial" w:cs="Arial" w:eastAsia="Arial" w:hAnsi="Arial"/>
                <w:sz w:val="14"/>
                <w:szCs w:val="14"/>
                <w:color w:val="auto"/>
              </w:rPr>
              <w:t>Numerator (in millions):</w:t>
            </w:r>
          </w:p>
        </w:tc>
        <w:tc>
          <w:tcPr>
            <w:tcW w:w="4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r>
      <w:tr>
        <w:trPr>
          <w:trHeight w:val="216"/>
        </w:trPr>
        <w:tc>
          <w:tcPr>
            <w:tcW w:w="4540" w:type="dxa"/>
            <w:vAlign w:val="bottom"/>
          </w:tcPr>
          <w:p>
            <w:pPr>
              <w:ind w:left="120"/>
              <w:spacing w:after="0"/>
              <w:rPr>
                <w:sz w:val="20"/>
                <w:szCs w:val="20"/>
                <w:color w:val="auto"/>
              </w:rPr>
            </w:pPr>
            <w:r>
              <w:rPr>
                <w:rFonts w:ascii="Arial" w:cs="Arial" w:eastAsia="Arial" w:hAnsi="Arial"/>
                <w:sz w:val="14"/>
                <w:szCs w:val="14"/>
                <w:color w:val="auto"/>
              </w:rPr>
              <w:t>Income from continuing operations</w:t>
            </w:r>
          </w:p>
        </w:tc>
        <w:tc>
          <w:tcPr>
            <w:tcW w:w="4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70"/>
              <w:spacing w:after="0"/>
              <w:rPr>
                <w:sz w:val="20"/>
                <w:szCs w:val="20"/>
                <w:color w:val="auto"/>
              </w:rPr>
            </w:pPr>
            <w:r>
              <w:rPr>
                <w:rFonts w:ascii="Arial" w:cs="Arial" w:eastAsia="Arial" w:hAnsi="Arial"/>
                <w:sz w:val="14"/>
                <w:szCs w:val="14"/>
                <w:color w:val="auto"/>
              </w:rPr>
              <w:t>1,113</w:t>
            </w:r>
          </w:p>
        </w:tc>
        <w:tc>
          <w:tcPr>
            <w:tcW w:w="3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149"/>
              <w:spacing w:after="0"/>
              <w:rPr>
                <w:sz w:val="20"/>
                <w:szCs w:val="20"/>
                <w:color w:val="auto"/>
              </w:rPr>
            </w:pPr>
            <w:r>
              <w:rPr>
                <w:rFonts w:ascii="Arial" w:cs="Arial" w:eastAsia="Arial" w:hAnsi="Arial"/>
                <w:sz w:val="14"/>
                <w:szCs w:val="14"/>
                <w:color w:val="auto"/>
              </w:rPr>
              <w:t>1,125</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1,091</w:t>
            </w:r>
          </w:p>
        </w:tc>
      </w:tr>
      <w:tr>
        <w:trPr>
          <w:trHeight w:val="216"/>
        </w:trPr>
        <w:tc>
          <w:tcPr>
            <w:tcW w:w="4540" w:type="dxa"/>
            <w:vAlign w:val="bottom"/>
          </w:tcPr>
          <w:p>
            <w:pPr>
              <w:spacing w:after="0"/>
              <w:rPr>
                <w:sz w:val="20"/>
                <w:szCs w:val="20"/>
                <w:color w:val="auto"/>
              </w:rPr>
            </w:pPr>
            <w:r>
              <w:rPr>
                <w:rFonts w:ascii="Arial" w:cs="Arial" w:eastAsia="Arial" w:hAnsi="Arial"/>
                <w:sz w:val="14"/>
                <w:szCs w:val="14"/>
                <w:color w:val="auto"/>
              </w:rPr>
              <w:t>Denominator (in thousands):</w:t>
            </w:r>
          </w:p>
        </w:tc>
        <w:tc>
          <w:tcPr>
            <w:tcW w:w="4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r>
      <w:tr>
        <w:trPr>
          <w:trHeight w:val="216"/>
        </w:trPr>
        <w:tc>
          <w:tcPr>
            <w:tcW w:w="4540" w:type="dxa"/>
            <w:vAlign w:val="bottom"/>
          </w:tcPr>
          <w:p>
            <w:pPr>
              <w:ind w:left="120"/>
              <w:spacing w:after="0"/>
              <w:rPr>
                <w:sz w:val="20"/>
                <w:szCs w:val="20"/>
                <w:color w:val="auto"/>
              </w:rPr>
            </w:pPr>
            <w:r>
              <w:rPr>
                <w:rFonts w:ascii="Arial" w:cs="Arial" w:eastAsia="Arial" w:hAnsi="Arial"/>
                <w:sz w:val="14"/>
                <w:szCs w:val="14"/>
                <w:color w:val="auto"/>
              </w:rPr>
              <w:t>Weighted average common shares outstanding for basic EPS</w:t>
            </w:r>
          </w:p>
        </w:tc>
        <w:tc>
          <w:tcPr>
            <w:tcW w:w="400" w:type="dxa"/>
            <w:vAlign w:val="bottom"/>
          </w:tcPr>
          <w:p>
            <w:pPr>
              <w:spacing w:after="0"/>
              <w:rPr>
                <w:sz w:val="18"/>
                <w:szCs w:val="18"/>
                <w:color w:val="auto"/>
              </w:rPr>
            </w:pPr>
          </w:p>
        </w:tc>
        <w:tc>
          <w:tcPr>
            <w:tcW w:w="760" w:type="dxa"/>
            <w:vAlign w:val="bottom"/>
          </w:tcPr>
          <w:p>
            <w:pPr>
              <w:jc w:val="right"/>
              <w:ind w:right="70"/>
              <w:spacing w:after="0"/>
              <w:rPr>
                <w:sz w:val="20"/>
                <w:szCs w:val="20"/>
                <w:color w:val="auto"/>
              </w:rPr>
            </w:pPr>
            <w:r>
              <w:rPr>
                <w:rFonts w:ascii="Arial" w:cs="Arial" w:eastAsia="Arial" w:hAnsi="Arial"/>
                <w:sz w:val="14"/>
                <w:szCs w:val="14"/>
                <w:color w:val="auto"/>
              </w:rPr>
              <w:t>247,387</w:t>
            </w:r>
          </w:p>
        </w:tc>
        <w:tc>
          <w:tcPr>
            <w:tcW w:w="340" w:type="dxa"/>
            <w:vAlign w:val="bottom"/>
          </w:tcPr>
          <w:p>
            <w:pPr>
              <w:spacing w:after="0"/>
              <w:rPr>
                <w:sz w:val="18"/>
                <w:szCs w:val="18"/>
                <w:color w:val="auto"/>
              </w:rPr>
            </w:pPr>
          </w:p>
        </w:tc>
        <w:tc>
          <w:tcPr>
            <w:tcW w:w="880" w:type="dxa"/>
            <w:vAlign w:val="bottom"/>
          </w:tcPr>
          <w:p>
            <w:pPr>
              <w:jc w:val="right"/>
              <w:ind w:right="149"/>
              <w:spacing w:after="0"/>
              <w:rPr>
                <w:sz w:val="20"/>
                <w:szCs w:val="20"/>
                <w:color w:val="auto"/>
              </w:rPr>
            </w:pPr>
            <w:r>
              <w:rPr>
                <w:rFonts w:ascii="Arial" w:cs="Arial" w:eastAsia="Arial" w:hAnsi="Arial"/>
                <w:sz w:val="14"/>
                <w:szCs w:val="14"/>
                <w:color w:val="auto"/>
              </w:rPr>
              <w:t>259,269</w:t>
            </w: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256,477</w:t>
            </w:r>
          </w:p>
        </w:tc>
      </w:tr>
      <w:tr>
        <w:trPr>
          <w:trHeight w:val="216"/>
        </w:trPr>
        <w:tc>
          <w:tcPr>
            <w:tcW w:w="4540" w:type="dxa"/>
            <w:vAlign w:val="bottom"/>
          </w:tcPr>
          <w:p>
            <w:pPr>
              <w:ind w:left="120"/>
              <w:spacing w:after="0"/>
              <w:rPr>
                <w:sz w:val="20"/>
                <w:szCs w:val="20"/>
                <w:color w:val="auto"/>
              </w:rPr>
            </w:pPr>
            <w:r>
              <w:rPr>
                <w:rFonts w:ascii="Arial" w:cs="Arial" w:eastAsia="Arial" w:hAnsi="Arial"/>
                <w:sz w:val="14"/>
                <w:szCs w:val="14"/>
                <w:color w:val="auto"/>
              </w:rPr>
              <w:t>Dilutive effect of stock options and restricted stock awards</w:t>
            </w:r>
          </w:p>
        </w:tc>
        <w:tc>
          <w:tcPr>
            <w:tcW w:w="400" w:type="dxa"/>
            <w:vAlign w:val="bottom"/>
          </w:tcPr>
          <w:p>
            <w:pPr>
              <w:spacing w:after="0"/>
              <w:rPr>
                <w:sz w:val="18"/>
                <w:szCs w:val="18"/>
                <w:color w:val="auto"/>
              </w:rPr>
            </w:pPr>
          </w:p>
        </w:tc>
        <w:tc>
          <w:tcPr>
            <w:tcW w:w="760" w:type="dxa"/>
            <w:vAlign w:val="bottom"/>
          </w:tcPr>
          <w:p>
            <w:pPr>
              <w:jc w:val="right"/>
              <w:ind w:right="70"/>
              <w:spacing w:after="0"/>
              <w:rPr>
                <w:sz w:val="20"/>
                <w:szCs w:val="20"/>
                <w:color w:val="auto"/>
              </w:rPr>
            </w:pPr>
            <w:r>
              <w:rPr>
                <w:rFonts w:ascii="Arial" w:cs="Arial" w:eastAsia="Arial" w:hAnsi="Arial"/>
                <w:sz w:val="14"/>
                <w:szCs w:val="14"/>
                <w:color w:val="auto"/>
              </w:rPr>
              <w:t>3,772</w:t>
            </w:r>
          </w:p>
        </w:tc>
        <w:tc>
          <w:tcPr>
            <w:tcW w:w="340" w:type="dxa"/>
            <w:vAlign w:val="bottom"/>
          </w:tcPr>
          <w:p>
            <w:pPr>
              <w:spacing w:after="0"/>
              <w:rPr>
                <w:sz w:val="18"/>
                <w:szCs w:val="18"/>
                <w:color w:val="auto"/>
              </w:rPr>
            </w:pPr>
          </w:p>
        </w:tc>
        <w:tc>
          <w:tcPr>
            <w:tcW w:w="880" w:type="dxa"/>
            <w:vAlign w:val="bottom"/>
          </w:tcPr>
          <w:p>
            <w:pPr>
              <w:jc w:val="right"/>
              <w:ind w:right="149"/>
              <w:spacing w:after="0"/>
              <w:rPr>
                <w:sz w:val="20"/>
                <w:szCs w:val="20"/>
                <w:color w:val="auto"/>
              </w:rPr>
            </w:pPr>
            <w:r>
              <w:rPr>
                <w:rFonts w:ascii="Arial" w:cs="Arial" w:eastAsia="Arial" w:hAnsi="Arial"/>
                <w:sz w:val="14"/>
                <w:szCs w:val="14"/>
                <w:color w:val="auto"/>
              </w:rPr>
              <w:t>4,735</w:t>
            </w: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4,891</w:t>
            </w:r>
          </w:p>
        </w:tc>
      </w:tr>
      <w:tr>
        <w:trPr>
          <w:trHeight w:val="216"/>
        </w:trPr>
        <w:tc>
          <w:tcPr>
            <w:tcW w:w="4540" w:type="dxa"/>
            <w:vAlign w:val="bottom"/>
          </w:tcPr>
          <w:p>
            <w:pPr>
              <w:ind w:left="120"/>
              <w:spacing w:after="0"/>
              <w:rPr>
                <w:sz w:val="20"/>
                <w:szCs w:val="20"/>
                <w:color w:val="auto"/>
              </w:rPr>
            </w:pPr>
            <w:r>
              <w:rPr>
                <w:rFonts w:ascii="Arial" w:cs="Arial" w:eastAsia="Arial" w:hAnsi="Arial"/>
                <w:sz w:val="14"/>
                <w:szCs w:val="14"/>
                <w:color w:val="auto"/>
              </w:rPr>
              <w:t>Weighted average common shares outstanding for diluted EPS</w:t>
            </w:r>
          </w:p>
        </w:tc>
        <w:tc>
          <w:tcPr>
            <w:tcW w:w="400" w:type="dxa"/>
            <w:vAlign w:val="bottom"/>
          </w:tcPr>
          <w:p>
            <w:pPr>
              <w:spacing w:after="0"/>
              <w:rPr>
                <w:sz w:val="18"/>
                <w:szCs w:val="18"/>
                <w:color w:val="auto"/>
              </w:rPr>
            </w:pPr>
          </w:p>
        </w:tc>
        <w:tc>
          <w:tcPr>
            <w:tcW w:w="760" w:type="dxa"/>
            <w:vAlign w:val="bottom"/>
          </w:tcPr>
          <w:p>
            <w:pPr>
              <w:jc w:val="right"/>
              <w:ind w:right="70"/>
              <w:spacing w:after="0"/>
              <w:rPr>
                <w:sz w:val="20"/>
                <w:szCs w:val="20"/>
                <w:color w:val="auto"/>
              </w:rPr>
            </w:pPr>
            <w:r>
              <w:rPr>
                <w:rFonts w:ascii="Arial" w:cs="Arial" w:eastAsia="Arial" w:hAnsi="Arial"/>
                <w:sz w:val="14"/>
                <w:szCs w:val="14"/>
                <w:color w:val="auto"/>
              </w:rPr>
              <w:t>251,159</w:t>
            </w:r>
          </w:p>
        </w:tc>
        <w:tc>
          <w:tcPr>
            <w:tcW w:w="340" w:type="dxa"/>
            <w:vAlign w:val="bottom"/>
          </w:tcPr>
          <w:p>
            <w:pPr>
              <w:spacing w:after="0"/>
              <w:rPr>
                <w:sz w:val="18"/>
                <w:szCs w:val="18"/>
                <w:color w:val="auto"/>
              </w:rPr>
            </w:pPr>
          </w:p>
        </w:tc>
        <w:tc>
          <w:tcPr>
            <w:tcW w:w="880" w:type="dxa"/>
            <w:vAlign w:val="bottom"/>
          </w:tcPr>
          <w:p>
            <w:pPr>
              <w:jc w:val="right"/>
              <w:ind w:right="149"/>
              <w:spacing w:after="0"/>
              <w:rPr>
                <w:sz w:val="20"/>
                <w:szCs w:val="20"/>
                <w:color w:val="auto"/>
              </w:rPr>
            </w:pPr>
            <w:r>
              <w:rPr>
                <w:rFonts w:ascii="Arial" w:cs="Arial" w:eastAsia="Arial" w:hAnsi="Arial"/>
                <w:sz w:val="14"/>
                <w:szCs w:val="14"/>
                <w:color w:val="auto"/>
              </w:rPr>
              <w:t>264,004</w:t>
            </w: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261,368</w:t>
            </w:r>
          </w:p>
        </w:tc>
      </w:tr>
      <w:tr>
        <w:trPr>
          <w:trHeight w:val="216"/>
        </w:trPr>
        <w:tc>
          <w:tcPr>
            <w:tcW w:w="4540" w:type="dxa"/>
            <w:vAlign w:val="bottom"/>
          </w:tcPr>
          <w:p>
            <w:pPr>
              <w:spacing w:after="0"/>
              <w:rPr>
                <w:sz w:val="20"/>
                <w:szCs w:val="20"/>
                <w:color w:val="auto"/>
              </w:rPr>
            </w:pPr>
            <w:r>
              <w:rPr>
                <w:rFonts w:ascii="Arial" w:cs="Arial" w:eastAsia="Arial" w:hAnsi="Arial"/>
                <w:sz w:val="14"/>
                <w:szCs w:val="14"/>
                <w:color w:val="auto"/>
              </w:rPr>
              <w:t>Earnings per share:</w:t>
            </w:r>
          </w:p>
        </w:tc>
        <w:tc>
          <w:tcPr>
            <w:tcW w:w="4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r>
      <w:tr>
        <w:trPr>
          <w:trHeight w:val="216"/>
        </w:trPr>
        <w:tc>
          <w:tcPr>
            <w:tcW w:w="4540" w:type="dxa"/>
            <w:vAlign w:val="bottom"/>
          </w:tcPr>
          <w:p>
            <w:pPr>
              <w:ind w:left="120"/>
              <w:spacing w:after="0"/>
              <w:rPr>
                <w:sz w:val="20"/>
                <w:szCs w:val="20"/>
                <w:color w:val="auto"/>
              </w:rPr>
            </w:pPr>
            <w:r>
              <w:rPr>
                <w:rFonts w:ascii="Arial" w:cs="Arial" w:eastAsia="Arial" w:hAnsi="Arial"/>
                <w:sz w:val="14"/>
                <w:szCs w:val="14"/>
                <w:color w:val="auto"/>
              </w:rPr>
              <w:t>Basic</w:t>
            </w:r>
          </w:p>
        </w:tc>
        <w:tc>
          <w:tcPr>
            <w:tcW w:w="4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70"/>
              <w:spacing w:after="0"/>
              <w:rPr>
                <w:sz w:val="20"/>
                <w:szCs w:val="20"/>
                <w:color w:val="auto"/>
              </w:rPr>
            </w:pPr>
            <w:r>
              <w:rPr>
                <w:rFonts w:ascii="Arial" w:cs="Arial" w:eastAsia="Arial" w:hAnsi="Arial"/>
                <w:sz w:val="14"/>
                <w:szCs w:val="14"/>
                <w:color w:val="auto"/>
              </w:rPr>
              <w:t>4.50</w:t>
            </w:r>
          </w:p>
        </w:tc>
        <w:tc>
          <w:tcPr>
            <w:tcW w:w="3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149"/>
              <w:spacing w:after="0"/>
              <w:rPr>
                <w:sz w:val="20"/>
                <w:szCs w:val="20"/>
                <w:color w:val="auto"/>
              </w:rPr>
            </w:pPr>
            <w:r>
              <w:rPr>
                <w:rFonts w:ascii="Arial" w:cs="Arial" w:eastAsia="Arial" w:hAnsi="Arial"/>
                <w:sz w:val="14"/>
                <w:szCs w:val="14"/>
                <w:color w:val="auto"/>
              </w:rPr>
              <w:t>4.34</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4.25</w:t>
            </w:r>
          </w:p>
        </w:tc>
      </w:tr>
      <w:tr>
        <w:trPr>
          <w:trHeight w:val="250"/>
        </w:trPr>
        <w:tc>
          <w:tcPr>
            <w:tcW w:w="4540" w:type="dxa"/>
            <w:vAlign w:val="bottom"/>
            <w:tcBorders>
              <w:bottom w:val="single" w:sz="8" w:color="DFDFDF"/>
            </w:tcBorders>
          </w:tcPr>
          <w:p>
            <w:pPr>
              <w:ind w:left="120"/>
              <w:spacing w:after="0"/>
              <w:rPr>
                <w:sz w:val="20"/>
                <w:szCs w:val="20"/>
                <w:color w:val="auto"/>
              </w:rPr>
            </w:pPr>
            <w:r>
              <w:rPr>
                <w:rFonts w:ascii="Arial" w:cs="Arial" w:eastAsia="Arial" w:hAnsi="Arial"/>
                <w:sz w:val="14"/>
                <w:szCs w:val="14"/>
                <w:color w:val="auto"/>
              </w:rPr>
              <w:t>Diluted</w:t>
            </w:r>
          </w:p>
        </w:tc>
        <w:tc>
          <w:tcPr>
            <w:tcW w:w="400" w:type="dxa"/>
            <w:vAlign w:val="bottom"/>
            <w:tcBorders>
              <w:bottom w:val="single" w:sz="8" w:color="DFDFDF"/>
            </w:tcBorders>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DFDFDF"/>
            </w:tcBorders>
          </w:tcPr>
          <w:p>
            <w:pPr>
              <w:jc w:val="right"/>
              <w:ind w:right="70"/>
              <w:spacing w:after="0"/>
              <w:rPr>
                <w:sz w:val="20"/>
                <w:szCs w:val="20"/>
                <w:color w:val="auto"/>
              </w:rPr>
            </w:pPr>
            <w:r>
              <w:rPr>
                <w:rFonts w:ascii="Arial" w:cs="Arial" w:eastAsia="Arial" w:hAnsi="Arial"/>
                <w:sz w:val="14"/>
                <w:szCs w:val="14"/>
                <w:color w:val="auto"/>
              </w:rPr>
              <w:t>4.43</w:t>
            </w:r>
          </w:p>
        </w:tc>
        <w:tc>
          <w:tcPr>
            <w:tcW w:w="340" w:type="dxa"/>
            <w:vAlign w:val="bottom"/>
            <w:tcBorders>
              <w:bottom w:val="single" w:sz="8" w:color="DFDFDF"/>
            </w:tcBorders>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DFDFDF"/>
            </w:tcBorders>
          </w:tcPr>
          <w:p>
            <w:pPr>
              <w:jc w:val="right"/>
              <w:ind w:right="149"/>
              <w:spacing w:after="0"/>
              <w:rPr>
                <w:sz w:val="20"/>
                <w:szCs w:val="20"/>
                <w:color w:val="auto"/>
              </w:rPr>
            </w:pPr>
            <w:r>
              <w:rPr>
                <w:rFonts w:ascii="Arial" w:cs="Arial" w:eastAsia="Arial" w:hAnsi="Arial"/>
                <w:sz w:val="14"/>
                <w:szCs w:val="14"/>
                <w:color w:val="auto"/>
              </w:rPr>
              <w:t>4.26</w:t>
            </w:r>
          </w:p>
        </w:tc>
        <w:tc>
          <w:tcPr>
            <w:tcW w:w="160" w:type="dxa"/>
            <w:vAlign w:val="bottom"/>
            <w:tcBorders>
              <w:bottom w:val="single" w:sz="8" w:color="DFDFDF"/>
            </w:tcBorders>
          </w:tcPr>
          <w:p>
            <w:pPr>
              <w:jc w:val="right"/>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DFDFDF"/>
            </w:tcBorders>
          </w:tcPr>
          <w:p>
            <w:pPr>
              <w:jc w:val="right"/>
              <w:spacing w:after="0"/>
              <w:rPr>
                <w:sz w:val="20"/>
                <w:szCs w:val="20"/>
                <w:color w:val="auto"/>
              </w:rPr>
            </w:pPr>
            <w:r>
              <w:rPr>
                <w:rFonts w:ascii="Arial" w:cs="Arial" w:eastAsia="Arial" w:hAnsi="Arial"/>
                <w:sz w:val="14"/>
                <w:szCs w:val="14"/>
                <w:color w:val="auto"/>
              </w:rPr>
              <w:t>4.17</w:t>
            </w:r>
          </w:p>
        </w:tc>
      </w:tr>
    </w:tbl>
    <w:p>
      <w:pPr>
        <w:spacing w:after="0" w:line="180" w:lineRule="exact"/>
        <w:rPr>
          <w:sz w:val="20"/>
          <w:szCs w:val="20"/>
          <w:color w:val="auto"/>
        </w:rPr>
      </w:pPr>
    </w:p>
    <w:p>
      <w:pPr>
        <w:spacing w:after="0" w:line="299" w:lineRule="auto"/>
        <w:rPr>
          <w:sz w:val="20"/>
          <w:szCs w:val="20"/>
          <w:color w:val="auto"/>
        </w:rPr>
      </w:pPr>
      <w:r>
        <w:rPr>
          <w:rFonts w:ascii="Arial" w:cs="Arial" w:eastAsia="Arial" w:hAnsi="Arial"/>
          <w:sz w:val="14"/>
          <w:szCs w:val="14"/>
          <w:color w:val="auto"/>
        </w:rPr>
        <w:t>The dilution from common stock options is based on the treasury stock method. Under this method, proceeds based on the exercise price plus unearned compensation and windfall tax benefits or tax shortfalls, as defined by SFAS 123(R), are assumed to be used to repurchase shares on the open market at the average market price for the year. The windfall tax benefits are tax deductions we would receive upon the assumed exercise of stock options in excess of the deferred income taxes we recorded related to the compensation expense on the stock options. Tax shortfalls occur when the assumed tax deductions are less than recorded deferred income taxes. The calculation excludes options for which the exercise price on common stock was greater than the average market price during the year. We had 1,496,500 and 55,800 such stock options outstanding during 2008 and 2007, respectively. We had no options outstanding for which the exercise price on common stock was greater than the average market price during 2006.</w:t>
      </w:r>
    </w:p>
    <w:p>
      <w:pPr>
        <w:spacing w:after="0" w:line="22" w:lineRule="exact"/>
        <w:rPr>
          <w:sz w:val="20"/>
          <w:szCs w:val="20"/>
          <w:color w:val="auto"/>
        </w:rPr>
      </w:pPr>
    </w:p>
    <w:p>
      <w:pPr>
        <w:ind w:right="440"/>
        <w:spacing w:after="0" w:line="312" w:lineRule="auto"/>
        <w:rPr>
          <w:sz w:val="20"/>
          <w:szCs w:val="20"/>
          <w:color w:val="auto"/>
        </w:rPr>
      </w:pPr>
      <w:r>
        <w:rPr>
          <w:rFonts w:ascii="Arial" w:cs="Arial" w:eastAsia="Arial" w:hAnsi="Arial"/>
          <w:sz w:val="15"/>
          <w:szCs w:val="15"/>
          <w:color w:val="auto"/>
        </w:rPr>
        <w:t>During 2007 and 2006, we had 699,600 and 787,600 stock options outstanding, respectively, that were antidilutive because of the unearned compensation and windfall tax benefits included in the assumed proceeds under the treasury stock method. There were no such antidilutive stock options outstanding during 2008.</w:t>
      </w:r>
    </w:p>
    <w:p>
      <w:pPr>
        <w:spacing w:after="0" w:line="8" w:lineRule="exact"/>
        <w:rPr>
          <w:sz w:val="20"/>
          <w:szCs w:val="20"/>
          <w:color w:val="auto"/>
        </w:rPr>
      </w:pPr>
    </w:p>
    <w:p>
      <w:pPr>
        <w:spacing w:after="0" w:line="278" w:lineRule="auto"/>
        <w:rPr>
          <w:sz w:val="20"/>
          <w:szCs w:val="20"/>
          <w:color w:val="auto"/>
        </w:rPr>
      </w:pPr>
      <w:r>
        <w:rPr>
          <w:rFonts w:ascii="Arial" w:cs="Arial" w:eastAsia="Arial" w:hAnsi="Arial"/>
          <w:sz w:val="15"/>
          <w:szCs w:val="15"/>
          <w:color w:val="auto"/>
        </w:rPr>
        <w:t>The dilution from unvested restricted stock awards and units is also based on the treasury stock method. Assumed proceeds equal to the unearned compensation and windfall tax benefits or tax shortfalls related to the awards, as defined by SFAS 123(R), are assumed to be used to repurchase shares on the open market at the average market price for the year. The windfall tax benefits or tax shortfalls are the difference between tax deductions we would receive upon the assumed vesting of restricted stock awards and units and the deferred income taxes we recorded related to the compensation expense on the restricted stock awards and units. We had 1,009 and 850 restricted stock awards and units outstanding that were antidilutive during 2008 and 2006, respectively. There were no such restricted stock awards in 2007.</w:t>
      </w:r>
    </w:p>
    <w:p>
      <w:pPr>
        <w:spacing w:after="0" w:line="34" w:lineRule="exact"/>
        <w:rPr>
          <w:sz w:val="20"/>
          <w:szCs w:val="20"/>
          <w:color w:val="auto"/>
        </w:rPr>
      </w:pPr>
    </w:p>
    <w:p>
      <w:pPr>
        <w:ind w:right="580"/>
        <w:spacing w:after="0" w:line="277" w:lineRule="auto"/>
        <w:rPr>
          <w:sz w:val="20"/>
          <w:szCs w:val="20"/>
          <w:color w:val="auto"/>
        </w:rPr>
      </w:pPr>
      <w:r>
        <w:rPr>
          <w:rFonts w:ascii="Arial" w:cs="Arial" w:eastAsia="Arial" w:hAnsi="Arial"/>
          <w:sz w:val="16"/>
          <w:szCs w:val="16"/>
          <w:color w:val="auto"/>
        </w:rPr>
        <w:t>We are authorized to issue 750,000,000 shares of no-par-value common stock. In addition, we are authorized to issue 50,000,000 shares of preferred stock having rights, preferences and privileges that would be established by the Sempra Energy board of directors at the time of issuance.</w:t>
      </w:r>
    </w:p>
    <w:p>
      <w:pPr>
        <w:spacing w:after="0" w:line="32" w:lineRule="exact"/>
        <w:rPr>
          <w:sz w:val="20"/>
          <w:szCs w:val="20"/>
          <w:color w:val="auto"/>
        </w:rPr>
      </w:pPr>
    </w:p>
    <w:p>
      <w:pPr>
        <w:ind w:right="380"/>
        <w:spacing w:after="0" w:line="277" w:lineRule="auto"/>
        <w:rPr>
          <w:sz w:val="20"/>
          <w:szCs w:val="20"/>
          <w:color w:val="auto"/>
        </w:rPr>
      </w:pPr>
      <w:r>
        <w:rPr>
          <w:rFonts w:ascii="Arial" w:cs="Arial" w:eastAsia="Arial" w:hAnsi="Arial"/>
          <w:sz w:val="16"/>
          <w:szCs w:val="16"/>
          <w:color w:val="auto"/>
        </w:rPr>
        <w:t>Shares of common stock held by the ESOP were 1,177,196, 1,488,046 and 1,683,766 at December 31, 2008, 2007 and 2006, respectively. These shares are unallocated and therefore excluded from the computation of EPS.</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4"/>
          <w:szCs w:val="14"/>
          <w:color w:val="auto"/>
        </w:rPr>
        <w:t>165</w:t>
      </w:r>
    </w:p>
    <w:p>
      <w:pPr>
        <w:sectPr>
          <w:pgSz w:w="11900" w:h="16838" w:orient="portrait"/>
          <w:cols w:equalWidth="0" w:num="1">
            <w:col w:w="11360"/>
          </w:cols>
          <w:pgMar w:left="240" w:top="737" w:right="299" w:bottom="1440" w:gutter="0" w:footer="0" w:header="0"/>
        </w:sectPr>
      </w:pPr>
    </w:p>
    <w:bookmarkStart w:id="305" w:name="page306"/>
    <w:bookmarkEnd w:id="305"/>
    <w:p>
      <w:pPr>
        <w:ind w:left="4"/>
        <w:spacing w:after="0"/>
        <w:rPr>
          <w:sz w:val="20"/>
          <w:szCs w:val="20"/>
          <w:color w:val="auto"/>
        </w:rPr>
      </w:pPr>
      <w:r>
        <w:rPr>
          <w:rFonts w:ascii="Arial" w:cs="Arial" w:eastAsia="Arial" w:hAnsi="Arial"/>
          <w:sz w:val="16"/>
          <w:szCs w:val="16"/>
          <w:color w:val="auto"/>
        </w:rPr>
        <w:t>Excluding shares held by the ESOP, common stock activity consisted of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1182370</wp:posOffset>
            </wp:positionH>
            <wp:positionV relativeFrom="paragraph">
              <wp:posOffset>196215</wp:posOffset>
            </wp:positionV>
            <wp:extent cx="4897120" cy="26670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4897120" cy="266700"/>
                    </a:xfrm>
                    <a:prstGeom prst="rect">
                      <a:avLst/>
                    </a:prstGeom>
                    <a:noFill/>
                  </pic:spPr>
                </pic:pic>
              </a:graphicData>
            </a:graphic>
          </wp:anchor>
        </w:drawing>
      </w:r>
    </w:p>
    <w:p>
      <w:pPr>
        <w:spacing w:after="0" w:line="297" w:lineRule="exact"/>
        <w:rPr>
          <w:sz w:val="20"/>
          <w:szCs w:val="20"/>
          <w:color w:val="auto"/>
        </w:rPr>
      </w:pPr>
    </w:p>
    <w:p>
      <w:pPr>
        <w:ind w:left="1884"/>
        <w:spacing w:after="0"/>
        <w:rPr>
          <w:sz w:val="20"/>
          <w:szCs w:val="20"/>
          <w:color w:val="auto"/>
        </w:rPr>
      </w:pPr>
      <w:r>
        <w:rPr>
          <w:rFonts w:ascii="Arial" w:cs="Arial" w:eastAsia="Arial" w:hAnsi="Arial"/>
          <w:sz w:val="14"/>
          <w:szCs w:val="14"/>
          <w:b w:val="1"/>
          <w:bCs w:val="1"/>
          <w:color w:val="auto"/>
        </w:rPr>
        <w:t>COMMON STOCK ACTIVITY</w:t>
      </w:r>
    </w:p>
    <w:p>
      <w:pPr>
        <w:spacing w:after="0" w:line="268" w:lineRule="exact"/>
        <w:rPr>
          <w:sz w:val="20"/>
          <w:szCs w:val="20"/>
          <w:color w:val="auto"/>
        </w:rPr>
      </w:pPr>
    </w:p>
    <w:tbl>
      <w:tblPr>
        <w:tblLayout w:type="fixed"/>
        <w:tblInd w:w="1864" w:type="dxa"/>
        <w:tblCellMar>
          <w:top w:w="0" w:type="dxa"/>
          <w:left w:w="0" w:type="dxa"/>
          <w:bottom w:w="0" w:type="dxa"/>
          <w:right w:w="0" w:type="dxa"/>
        </w:tblCellMar>
      </w:tblPr>
      <w:tr>
        <w:trPr>
          <w:trHeight w:val="154"/>
        </w:trPr>
        <w:tc>
          <w:tcPr>
            <w:tcW w:w="3820" w:type="dxa"/>
            <w:vAlign w:val="bottom"/>
          </w:tcPr>
          <w:p>
            <w:pPr>
              <w:spacing w:after="0"/>
              <w:rPr>
                <w:sz w:val="13"/>
                <w:szCs w:val="13"/>
                <w:color w:val="auto"/>
              </w:rPr>
            </w:pPr>
          </w:p>
        </w:tc>
        <w:tc>
          <w:tcPr>
            <w:tcW w:w="1400" w:type="dxa"/>
            <w:vAlign w:val="bottom"/>
          </w:tcPr>
          <w:p>
            <w:pPr>
              <w:jc w:val="right"/>
              <w:ind w:right="629"/>
              <w:spacing w:after="0"/>
              <w:rPr>
                <w:sz w:val="20"/>
                <w:szCs w:val="20"/>
                <w:color w:val="auto"/>
              </w:rPr>
            </w:pPr>
            <w:r>
              <w:rPr>
                <w:rFonts w:ascii="Arial" w:cs="Arial" w:eastAsia="Arial" w:hAnsi="Arial"/>
                <w:sz w:val="13"/>
                <w:szCs w:val="13"/>
                <w:color w:val="auto"/>
              </w:rPr>
              <w:t>2008</w:t>
            </w:r>
          </w:p>
        </w:tc>
        <w:tc>
          <w:tcPr>
            <w:tcW w:w="1340" w:type="dxa"/>
            <w:vAlign w:val="bottom"/>
          </w:tcPr>
          <w:p>
            <w:pPr>
              <w:jc w:val="right"/>
              <w:ind w:right="629"/>
              <w:spacing w:after="0"/>
              <w:rPr>
                <w:sz w:val="20"/>
                <w:szCs w:val="20"/>
                <w:color w:val="auto"/>
              </w:rPr>
            </w:pPr>
            <w:r>
              <w:rPr>
                <w:rFonts w:ascii="Arial" w:cs="Arial" w:eastAsia="Arial" w:hAnsi="Arial"/>
                <w:sz w:val="13"/>
                <w:szCs w:val="13"/>
                <w:color w:val="auto"/>
              </w:rPr>
              <w:t>2007</w:t>
            </w:r>
          </w:p>
        </w:tc>
        <w:tc>
          <w:tcPr>
            <w:tcW w:w="1140" w:type="dxa"/>
            <w:vAlign w:val="bottom"/>
          </w:tcPr>
          <w:p>
            <w:pPr>
              <w:jc w:val="right"/>
              <w:ind w:right="449"/>
              <w:spacing w:after="0"/>
              <w:rPr>
                <w:sz w:val="20"/>
                <w:szCs w:val="20"/>
                <w:color w:val="auto"/>
              </w:rPr>
            </w:pPr>
            <w:r>
              <w:rPr>
                <w:rFonts w:ascii="Arial" w:cs="Arial" w:eastAsia="Arial" w:hAnsi="Arial"/>
                <w:sz w:val="13"/>
                <w:szCs w:val="13"/>
                <w:color w:val="auto"/>
              </w:rPr>
              <w:t>2006</w:t>
            </w:r>
          </w:p>
        </w:tc>
      </w:tr>
      <w:tr>
        <w:trPr>
          <w:trHeight w:val="46"/>
        </w:trPr>
        <w:tc>
          <w:tcPr>
            <w:tcW w:w="3820" w:type="dxa"/>
            <w:vAlign w:val="bottom"/>
            <w:tcBorders>
              <w:bottom w:val="single" w:sz="8" w:color="auto"/>
            </w:tcBorders>
          </w:tcPr>
          <w:p>
            <w:pPr>
              <w:spacing w:after="0"/>
              <w:rPr>
                <w:sz w:val="4"/>
                <w:szCs w:val="4"/>
                <w:color w:val="auto"/>
              </w:rPr>
            </w:pPr>
          </w:p>
        </w:tc>
        <w:tc>
          <w:tcPr>
            <w:tcW w:w="1400" w:type="dxa"/>
            <w:vAlign w:val="bottom"/>
            <w:tcBorders>
              <w:bottom w:val="single" w:sz="8" w:color="auto"/>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r>
      <w:tr>
        <w:trPr>
          <w:trHeight w:val="178"/>
        </w:trPr>
        <w:tc>
          <w:tcPr>
            <w:tcW w:w="3820" w:type="dxa"/>
            <w:vAlign w:val="bottom"/>
          </w:tcPr>
          <w:p>
            <w:pPr>
              <w:ind w:left="20"/>
              <w:spacing w:after="0"/>
              <w:rPr>
                <w:sz w:val="20"/>
                <w:szCs w:val="20"/>
                <w:color w:val="auto"/>
              </w:rPr>
            </w:pPr>
            <w:r>
              <w:rPr>
                <w:rFonts w:ascii="Arial" w:cs="Arial" w:eastAsia="Arial" w:hAnsi="Arial"/>
                <w:sz w:val="14"/>
                <w:szCs w:val="14"/>
                <w:color w:val="auto"/>
              </w:rPr>
              <w:t>Common shares outstanding, January 1</w:t>
            </w:r>
          </w:p>
        </w:tc>
        <w:tc>
          <w:tcPr>
            <w:tcW w:w="1400" w:type="dxa"/>
            <w:vAlign w:val="bottom"/>
          </w:tcPr>
          <w:p>
            <w:pPr>
              <w:jc w:val="right"/>
              <w:ind w:right="229"/>
              <w:spacing w:after="0"/>
              <w:rPr>
                <w:sz w:val="20"/>
                <w:szCs w:val="20"/>
                <w:color w:val="auto"/>
              </w:rPr>
            </w:pPr>
            <w:r>
              <w:rPr>
                <w:rFonts w:ascii="Arial" w:cs="Arial" w:eastAsia="Arial" w:hAnsi="Arial"/>
                <w:sz w:val="14"/>
                <w:szCs w:val="14"/>
                <w:color w:val="auto"/>
              </w:rPr>
              <w:t>261,214,009</w:t>
            </w:r>
          </w:p>
        </w:tc>
        <w:tc>
          <w:tcPr>
            <w:tcW w:w="1340" w:type="dxa"/>
            <w:vAlign w:val="bottom"/>
          </w:tcPr>
          <w:p>
            <w:pPr>
              <w:jc w:val="right"/>
              <w:ind w:right="229"/>
              <w:spacing w:after="0"/>
              <w:rPr>
                <w:sz w:val="20"/>
                <w:szCs w:val="20"/>
                <w:color w:val="auto"/>
              </w:rPr>
            </w:pPr>
            <w:r>
              <w:rPr>
                <w:rFonts w:ascii="Arial" w:cs="Arial" w:eastAsia="Arial" w:hAnsi="Arial"/>
                <w:sz w:val="14"/>
                <w:szCs w:val="14"/>
                <w:color w:val="auto"/>
              </w:rPr>
              <w:t>262,005,690</w:t>
            </w:r>
          </w:p>
        </w:tc>
        <w:tc>
          <w:tcPr>
            <w:tcW w:w="1140" w:type="dxa"/>
            <w:vAlign w:val="bottom"/>
          </w:tcPr>
          <w:p>
            <w:pPr>
              <w:jc w:val="right"/>
              <w:ind w:right="49"/>
              <w:spacing w:after="0"/>
              <w:rPr>
                <w:sz w:val="20"/>
                <w:szCs w:val="20"/>
                <w:color w:val="auto"/>
              </w:rPr>
            </w:pPr>
            <w:r>
              <w:rPr>
                <w:rFonts w:ascii="Arial" w:cs="Arial" w:eastAsia="Arial" w:hAnsi="Arial"/>
                <w:sz w:val="14"/>
                <w:szCs w:val="14"/>
                <w:color w:val="auto"/>
              </w:rPr>
              <w:t>257,187,943</w:t>
            </w:r>
          </w:p>
        </w:tc>
      </w:tr>
      <w:tr>
        <w:trPr>
          <w:trHeight w:val="216"/>
        </w:trPr>
        <w:tc>
          <w:tcPr>
            <w:tcW w:w="3820" w:type="dxa"/>
            <w:vAlign w:val="bottom"/>
          </w:tcPr>
          <w:p>
            <w:pPr>
              <w:ind w:left="280"/>
              <w:spacing w:after="0"/>
              <w:rPr>
                <w:sz w:val="20"/>
                <w:szCs w:val="20"/>
                <w:color w:val="auto"/>
              </w:rPr>
            </w:pPr>
            <w:r>
              <w:rPr>
                <w:rFonts w:ascii="Arial" w:cs="Arial" w:eastAsia="Arial" w:hAnsi="Arial"/>
                <w:sz w:val="14"/>
                <w:szCs w:val="14"/>
                <w:color w:val="auto"/>
              </w:rPr>
              <w:t>Savings plan issuance</w:t>
            </w:r>
          </w:p>
        </w:tc>
        <w:tc>
          <w:tcPr>
            <w:tcW w:w="1400" w:type="dxa"/>
            <w:vAlign w:val="bottom"/>
          </w:tcPr>
          <w:p>
            <w:pPr>
              <w:jc w:val="right"/>
              <w:ind w:right="229"/>
              <w:spacing w:after="0"/>
              <w:rPr>
                <w:sz w:val="20"/>
                <w:szCs w:val="20"/>
                <w:color w:val="auto"/>
              </w:rPr>
            </w:pPr>
            <w:r>
              <w:rPr>
                <w:rFonts w:ascii="Arial" w:cs="Arial" w:eastAsia="Arial" w:hAnsi="Arial"/>
                <w:sz w:val="14"/>
                <w:szCs w:val="14"/>
                <w:color w:val="auto"/>
              </w:rPr>
              <w:t>--</w:t>
            </w:r>
          </w:p>
        </w:tc>
        <w:tc>
          <w:tcPr>
            <w:tcW w:w="1340" w:type="dxa"/>
            <w:vAlign w:val="bottom"/>
          </w:tcPr>
          <w:p>
            <w:pPr>
              <w:jc w:val="right"/>
              <w:ind w:right="229"/>
              <w:spacing w:after="0"/>
              <w:rPr>
                <w:sz w:val="20"/>
                <w:szCs w:val="20"/>
                <w:color w:val="auto"/>
              </w:rPr>
            </w:pPr>
            <w:r>
              <w:rPr>
                <w:rFonts w:ascii="Arial" w:cs="Arial" w:eastAsia="Arial" w:hAnsi="Arial"/>
                <w:sz w:val="14"/>
                <w:szCs w:val="14"/>
                <w:color w:val="auto"/>
              </w:rPr>
              <w:t>268,178</w:t>
            </w:r>
          </w:p>
        </w:tc>
        <w:tc>
          <w:tcPr>
            <w:tcW w:w="1140" w:type="dxa"/>
            <w:vAlign w:val="bottom"/>
          </w:tcPr>
          <w:p>
            <w:pPr>
              <w:jc w:val="right"/>
              <w:ind w:right="49"/>
              <w:spacing w:after="0"/>
              <w:rPr>
                <w:sz w:val="20"/>
                <w:szCs w:val="20"/>
                <w:color w:val="auto"/>
              </w:rPr>
            </w:pPr>
            <w:r>
              <w:rPr>
                <w:rFonts w:ascii="Arial" w:cs="Arial" w:eastAsia="Arial" w:hAnsi="Arial"/>
                <w:sz w:val="14"/>
                <w:szCs w:val="14"/>
                <w:color w:val="auto"/>
              </w:rPr>
              <w:t>807,258</w:t>
            </w:r>
          </w:p>
        </w:tc>
      </w:tr>
      <w:tr>
        <w:trPr>
          <w:trHeight w:val="216"/>
        </w:trPr>
        <w:tc>
          <w:tcPr>
            <w:tcW w:w="3820" w:type="dxa"/>
            <w:vAlign w:val="bottom"/>
          </w:tcPr>
          <w:p>
            <w:pPr>
              <w:ind w:left="280"/>
              <w:spacing w:after="0"/>
              <w:rPr>
                <w:sz w:val="20"/>
                <w:szCs w:val="20"/>
                <w:color w:val="auto"/>
              </w:rPr>
            </w:pPr>
            <w:r>
              <w:rPr>
                <w:rFonts w:ascii="Arial" w:cs="Arial" w:eastAsia="Arial" w:hAnsi="Arial"/>
                <w:sz w:val="14"/>
                <w:szCs w:val="14"/>
                <w:color w:val="auto"/>
              </w:rPr>
              <w:t>Shares released from ESOP</w:t>
            </w:r>
          </w:p>
        </w:tc>
        <w:tc>
          <w:tcPr>
            <w:tcW w:w="1400" w:type="dxa"/>
            <w:vAlign w:val="bottom"/>
          </w:tcPr>
          <w:p>
            <w:pPr>
              <w:jc w:val="right"/>
              <w:ind w:right="229"/>
              <w:spacing w:after="0"/>
              <w:rPr>
                <w:sz w:val="20"/>
                <w:szCs w:val="20"/>
                <w:color w:val="auto"/>
              </w:rPr>
            </w:pPr>
            <w:r>
              <w:rPr>
                <w:rFonts w:ascii="Arial" w:cs="Arial" w:eastAsia="Arial" w:hAnsi="Arial"/>
                <w:sz w:val="14"/>
                <w:szCs w:val="14"/>
                <w:color w:val="auto"/>
              </w:rPr>
              <w:t>310,850</w:t>
            </w:r>
          </w:p>
        </w:tc>
        <w:tc>
          <w:tcPr>
            <w:tcW w:w="1340" w:type="dxa"/>
            <w:vAlign w:val="bottom"/>
          </w:tcPr>
          <w:p>
            <w:pPr>
              <w:jc w:val="right"/>
              <w:ind w:right="229"/>
              <w:spacing w:after="0"/>
              <w:rPr>
                <w:sz w:val="20"/>
                <w:szCs w:val="20"/>
                <w:color w:val="auto"/>
              </w:rPr>
            </w:pPr>
            <w:r>
              <w:rPr>
                <w:rFonts w:ascii="Arial" w:cs="Arial" w:eastAsia="Arial" w:hAnsi="Arial"/>
                <w:sz w:val="14"/>
                <w:szCs w:val="14"/>
                <w:color w:val="auto"/>
              </w:rPr>
              <w:t>195,720</w:t>
            </w:r>
          </w:p>
        </w:tc>
        <w:tc>
          <w:tcPr>
            <w:tcW w:w="1140" w:type="dxa"/>
            <w:vAlign w:val="bottom"/>
          </w:tcPr>
          <w:p>
            <w:pPr>
              <w:jc w:val="right"/>
              <w:ind w:right="49"/>
              <w:spacing w:after="0"/>
              <w:rPr>
                <w:sz w:val="20"/>
                <w:szCs w:val="20"/>
                <w:color w:val="auto"/>
              </w:rPr>
            </w:pPr>
            <w:r>
              <w:rPr>
                <w:rFonts w:ascii="Arial" w:cs="Arial" w:eastAsia="Arial" w:hAnsi="Arial"/>
                <w:sz w:val="14"/>
                <w:szCs w:val="14"/>
                <w:color w:val="auto"/>
              </w:rPr>
              <w:t>232,650</w:t>
            </w:r>
          </w:p>
        </w:tc>
      </w:tr>
      <w:tr>
        <w:trPr>
          <w:trHeight w:val="216"/>
        </w:trPr>
        <w:tc>
          <w:tcPr>
            <w:tcW w:w="3820" w:type="dxa"/>
            <w:vAlign w:val="bottom"/>
          </w:tcPr>
          <w:p>
            <w:pPr>
              <w:ind w:left="280"/>
              <w:spacing w:after="0"/>
              <w:rPr>
                <w:sz w:val="20"/>
                <w:szCs w:val="20"/>
                <w:color w:val="auto"/>
              </w:rPr>
            </w:pPr>
            <w:r>
              <w:rPr>
                <w:rFonts w:ascii="Arial" w:cs="Arial" w:eastAsia="Arial" w:hAnsi="Arial"/>
                <w:sz w:val="14"/>
                <w:szCs w:val="14"/>
                <w:color w:val="auto"/>
              </w:rPr>
              <w:t>Stock options exercised</w:t>
            </w:r>
          </w:p>
        </w:tc>
        <w:tc>
          <w:tcPr>
            <w:tcW w:w="1400" w:type="dxa"/>
            <w:vAlign w:val="bottom"/>
          </w:tcPr>
          <w:p>
            <w:pPr>
              <w:jc w:val="right"/>
              <w:ind w:right="229"/>
              <w:spacing w:after="0"/>
              <w:rPr>
                <w:sz w:val="20"/>
                <w:szCs w:val="20"/>
                <w:color w:val="auto"/>
              </w:rPr>
            </w:pPr>
            <w:r>
              <w:rPr>
                <w:rFonts w:ascii="Arial" w:cs="Arial" w:eastAsia="Arial" w:hAnsi="Arial"/>
                <w:sz w:val="14"/>
                <w:szCs w:val="14"/>
                <w:color w:val="auto"/>
              </w:rPr>
              <w:t>683,858</w:t>
            </w:r>
          </w:p>
        </w:tc>
        <w:tc>
          <w:tcPr>
            <w:tcW w:w="1340" w:type="dxa"/>
            <w:vAlign w:val="bottom"/>
          </w:tcPr>
          <w:p>
            <w:pPr>
              <w:jc w:val="right"/>
              <w:ind w:right="229"/>
              <w:spacing w:after="0"/>
              <w:rPr>
                <w:sz w:val="20"/>
                <w:szCs w:val="20"/>
                <w:color w:val="auto"/>
              </w:rPr>
            </w:pPr>
            <w:r>
              <w:rPr>
                <w:rFonts w:ascii="Arial" w:cs="Arial" w:eastAsia="Arial" w:hAnsi="Arial"/>
                <w:sz w:val="14"/>
                <w:szCs w:val="14"/>
                <w:color w:val="auto"/>
              </w:rPr>
              <w:t>1,245,696</w:t>
            </w:r>
          </w:p>
        </w:tc>
        <w:tc>
          <w:tcPr>
            <w:tcW w:w="1140" w:type="dxa"/>
            <w:vAlign w:val="bottom"/>
          </w:tcPr>
          <w:p>
            <w:pPr>
              <w:jc w:val="right"/>
              <w:ind w:right="49"/>
              <w:spacing w:after="0"/>
              <w:rPr>
                <w:sz w:val="20"/>
                <w:szCs w:val="20"/>
                <w:color w:val="auto"/>
              </w:rPr>
            </w:pPr>
            <w:r>
              <w:rPr>
                <w:rFonts w:ascii="Arial" w:cs="Arial" w:eastAsia="Arial" w:hAnsi="Arial"/>
                <w:sz w:val="14"/>
                <w:szCs w:val="14"/>
                <w:color w:val="auto"/>
              </w:rPr>
              <w:t>3,306,937</w:t>
            </w:r>
          </w:p>
        </w:tc>
      </w:tr>
      <w:tr>
        <w:trPr>
          <w:trHeight w:val="216"/>
        </w:trPr>
        <w:tc>
          <w:tcPr>
            <w:tcW w:w="3820" w:type="dxa"/>
            <w:vAlign w:val="bottom"/>
          </w:tcPr>
          <w:p>
            <w:pPr>
              <w:ind w:left="280"/>
              <w:spacing w:after="0"/>
              <w:rPr>
                <w:sz w:val="20"/>
                <w:szCs w:val="20"/>
                <w:color w:val="auto"/>
              </w:rPr>
            </w:pPr>
            <w:r>
              <w:rPr>
                <w:rFonts w:ascii="Arial" w:cs="Arial" w:eastAsia="Arial" w:hAnsi="Arial"/>
                <w:sz w:val="14"/>
                <w:szCs w:val="14"/>
                <w:color w:val="auto"/>
              </w:rPr>
              <w:t>Restricted stock issuances</w:t>
            </w:r>
          </w:p>
        </w:tc>
        <w:tc>
          <w:tcPr>
            <w:tcW w:w="1400" w:type="dxa"/>
            <w:vAlign w:val="bottom"/>
          </w:tcPr>
          <w:p>
            <w:pPr>
              <w:jc w:val="right"/>
              <w:ind w:right="229"/>
              <w:spacing w:after="0"/>
              <w:rPr>
                <w:sz w:val="20"/>
                <w:szCs w:val="20"/>
                <w:color w:val="auto"/>
              </w:rPr>
            </w:pPr>
            <w:r>
              <w:rPr>
                <w:rFonts w:ascii="Arial" w:cs="Arial" w:eastAsia="Arial" w:hAnsi="Arial"/>
                <w:sz w:val="14"/>
                <w:szCs w:val="14"/>
                <w:color w:val="auto"/>
              </w:rPr>
              <w:t>4,002</w:t>
            </w:r>
          </w:p>
        </w:tc>
        <w:tc>
          <w:tcPr>
            <w:tcW w:w="1340" w:type="dxa"/>
            <w:vAlign w:val="bottom"/>
          </w:tcPr>
          <w:p>
            <w:pPr>
              <w:jc w:val="right"/>
              <w:ind w:right="229"/>
              <w:spacing w:after="0"/>
              <w:rPr>
                <w:sz w:val="20"/>
                <w:szCs w:val="20"/>
                <w:color w:val="auto"/>
              </w:rPr>
            </w:pPr>
            <w:r>
              <w:rPr>
                <w:rFonts w:ascii="Arial" w:cs="Arial" w:eastAsia="Arial" w:hAnsi="Arial"/>
                <w:sz w:val="14"/>
                <w:szCs w:val="14"/>
                <w:color w:val="auto"/>
              </w:rPr>
              <w:t>803,706</w:t>
            </w:r>
          </w:p>
        </w:tc>
        <w:tc>
          <w:tcPr>
            <w:tcW w:w="1140" w:type="dxa"/>
            <w:vAlign w:val="bottom"/>
          </w:tcPr>
          <w:p>
            <w:pPr>
              <w:jc w:val="right"/>
              <w:ind w:right="49"/>
              <w:spacing w:after="0"/>
              <w:rPr>
                <w:sz w:val="20"/>
                <w:szCs w:val="20"/>
                <w:color w:val="auto"/>
              </w:rPr>
            </w:pPr>
            <w:r>
              <w:rPr>
                <w:rFonts w:ascii="Arial" w:cs="Arial" w:eastAsia="Arial" w:hAnsi="Arial"/>
                <w:sz w:val="14"/>
                <w:szCs w:val="14"/>
                <w:color w:val="auto"/>
              </w:rPr>
              <w:t>920,900</w:t>
            </w:r>
          </w:p>
        </w:tc>
      </w:tr>
      <w:tr>
        <w:trPr>
          <w:trHeight w:val="216"/>
        </w:trPr>
        <w:tc>
          <w:tcPr>
            <w:tcW w:w="3820" w:type="dxa"/>
            <w:vAlign w:val="bottom"/>
          </w:tcPr>
          <w:p>
            <w:pPr>
              <w:ind w:left="280"/>
              <w:spacing w:after="0"/>
              <w:rPr>
                <w:sz w:val="20"/>
                <w:szCs w:val="20"/>
                <w:color w:val="auto"/>
              </w:rPr>
            </w:pPr>
            <w:r>
              <w:rPr>
                <w:rFonts w:ascii="Arial" w:cs="Arial" w:eastAsia="Arial" w:hAnsi="Arial"/>
                <w:sz w:val="14"/>
                <w:szCs w:val="14"/>
                <w:color w:val="auto"/>
              </w:rPr>
              <w:t>Common stock investment plan*</w:t>
            </w:r>
          </w:p>
        </w:tc>
        <w:tc>
          <w:tcPr>
            <w:tcW w:w="1400" w:type="dxa"/>
            <w:vAlign w:val="bottom"/>
          </w:tcPr>
          <w:p>
            <w:pPr>
              <w:jc w:val="right"/>
              <w:ind w:right="229"/>
              <w:spacing w:after="0"/>
              <w:rPr>
                <w:sz w:val="20"/>
                <w:szCs w:val="20"/>
                <w:color w:val="auto"/>
              </w:rPr>
            </w:pPr>
            <w:r>
              <w:rPr>
                <w:rFonts w:ascii="Arial" w:cs="Arial" w:eastAsia="Arial" w:hAnsi="Arial"/>
                <w:sz w:val="14"/>
                <w:szCs w:val="14"/>
                <w:color w:val="auto"/>
              </w:rPr>
              <w:t>1,508</w:t>
            </w:r>
          </w:p>
        </w:tc>
        <w:tc>
          <w:tcPr>
            <w:tcW w:w="1340" w:type="dxa"/>
            <w:vAlign w:val="bottom"/>
          </w:tcPr>
          <w:p>
            <w:pPr>
              <w:jc w:val="right"/>
              <w:ind w:right="229"/>
              <w:spacing w:after="0"/>
              <w:rPr>
                <w:sz w:val="20"/>
                <w:szCs w:val="20"/>
                <w:color w:val="auto"/>
              </w:rPr>
            </w:pPr>
            <w:r>
              <w:rPr>
                <w:rFonts w:ascii="Arial" w:cs="Arial" w:eastAsia="Arial" w:hAnsi="Arial"/>
                <w:sz w:val="14"/>
                <w:szCs w:val="14"/>
                <w:color w:val="auto"/>
              </w:rPr>
              <w:t>95,499</w:t>
            </w:r>
          </w:p>
        </w:tc>
        <w:tc>
          <w:tcPr>
            <w:tcW w:w="1140" w:type="dxa"/>
            <w:vAlign w:val="bottom"/>
          </w:tcPr>
          <w:p>
            <w:pPr>
              <w:jc w:val="right"/>
              <w:ind w:right="49"/>
              <w:spacing w:after="0"/>
              <w:rPr>
                <w:sz w:val="20"/>
                <w:szCs w:val="20"/>
                <w:color w:val="auto"/>
              </w:rPr>
            </w:pPr>
            <w:r>
              <w:rPr>
                <w:rFonts w:ascii="Arial" w:cs="Arial" w:eastAsia="Arial" w:hAnsi="Arial"/>
                <w:sz w:val="14"/>
                <w:szCs w:val="14"/>
                <w:color w:val="auto"/>
              </w:rPr>
              <w:t>352,736</w:t>
            </w:r>
          </w:p>
        </w:tc>
      </w:tr>
      <w:tr>
        <w:trPr>
          <w:trHeight w:val="216"/>
        </w:trPr>
        <w:tc>
          <w:tcPr>
            <w:tcW w:w="3820" w:type="dxa"/>
            <w:vAlign w:val="bottom"/>
          </w:tcPr>
          <w:p>
            <w:pPr>
              <w:ind w:left="280"/>
              <w:spacing w:after="0"/>
              <w:rPr>
                <w:sz w:val="20"/>
                <w:szCs w:val="20"/>
                <w:color w:val="auto"/>
              </w:rPr>
            </w:pPr>
            <w:r>
              <w:rPr>
                <w:rFonts w:ascii="Arial" w:cs="Arial" w:eastAsia="Arial" w:hAnsi="Arial"/>
                <w:sz w:val="14"/>
                <w:szCs w:val="14"/>
                <w:color w:val="auto"/>
              </w:rPr>
              <w:t>Shares repurchased</w:t>
            </w:r>
          </w:p>
        </w:tc>
        <w:tc>
          <w:tcPr>
            <w:tcW w:w="1400" w:type="dxa"/>
            <w:vAlign w:val="bottom"/>
          </w:tcPr>
          <w:p>
            <w:pPr>
              <w:jc w:val="right"/>
              <w:ind w:right="149"/>
              <w:spacing w:after="0"/>
              <w:rPr>
                <w:sz w:val="20"/>
                <w:szCs w:val="20"/>
                <w:color w:val="auto"/>
              </w:rPr>
            </w:pPr>
            <w:r>
              <w:rPr>
                <w:rFonts w:ascii="Arial" w:cs="Arial" w:eastAsia="Arial" w:hAnsi="Arial"/>
                <w:sz w:val="14"/>
                <w:szCs w:val="14"/>
                <w:color w:val="auto"/>
              </w:rPr>
              <w:t>(18,841,287 )</w:t>
            </w:r>
          </w:p>
        </w:tc>
        <w:tc>
          <w:tcPr>
            <w:tcW w:w="1340" w:type="dxa"/>
            <w:vAlign w:val="bottom"/>
          </w:tcPr>
          <w:p>
            <w:pPr>
              <w:jc w:val="right"/>
              <w:ind w:right="169"/>
              <w:spacing w:after="0"/>
              <w:rPr>
                <w:sz w:val="20"/>
                <w:szCs w:val="20"/>
                <w:color w:val="auto"/>
              </w:rPr>
            </w:pPr>
            <w:r>
              <w:rPr>
                <w:rFonts w:ascii="Arial" w:cs="Arial" w:eastAsia="Arial" w:hAnsi="Arial"/>
                <w:sz w:val="14"/>
                <w:szCs w:val="14"/>
                <w:color w:val="auto"/>
              </w:rPr>
              <w:t>(3,349,771 )</w:t>
            </w:r>
          </w:p>
        </w:tc>
        <w:tc>
          <w:tcPr>
            <w:tcW w:w="1140" w:type="dxa"/>
            <w:vAlign w:val="bottom"/>
          </w:tcPr>
          <w:p>
            <w:pPr>
              <w:jc w:val="right"/>
              <w:spacing w:after="0"/>
              <w:rPr>
                <w:sz w:val="20"/>
                <w:szCs w:val="20"/>
                <w:color w:val="auto"/>
              </w:rPr>
            </w:pPr>
            <w:r>
              <w:rPr>
                <w:rFonts w:ascii="Arial" w:cs="Arial" w:eastAsia="Arial" w:hAnsi="Arial"/>
                <w:sz w:val="14"/>
                <w:szCs w:val="14"/>
                <w:color w:val="auto"/>
              </w:rPr>
              <w:t>(706,554 )</w:t>
            </w:r>
          </w:p>
        </w:tc>
      </w:tr>
      <w:tr>
        <w:trPr>
          <w:trHeight w:val="226"/>
        </w:trPr>
        <w:tc>
          <w:tcPr>
            <w:tcW w:w="3820" w:type="dxa"/>
            <w:vAlign w:val="bottom"/>
          </w:tcPr>
          <w:p>
            <w:pPr>
              <w:ind w:left="280"/>
              <w:spacing w:after="0"/>
              <w:rPr>
                <w:sz w:val="20"/>
                <w:szCs w:val="20"/>
                <w:color w:val="auto"/>
              </w:rPr>
            </w:pPr>
            <w:r>
              <w:rPr>
                <w:rFonts w:ascii="Arial" w:cs="Arial" w:eastAsia="Arial" w:hAnsi="Arial"/>
                <w:sz w:val="14"/>
                <w:szCs w:val="14"/>
                <w:color w:val="auto"/>
              </w:rPr>
              <w:t>Shares forfeited and other</w:t>
            </w:r>
          </w:p>
        </w:tc>
        <w:tc>
          <w:tcPr>
            <w:tcW w:w="1400" w:type="dxa"/>
            <w:vAlign w:val="bottom"/>
            <w:tcBorders>
              <w:bottom w:val="single" w:sz="8" w:color="auto"/>
            </w:tcBorders>
          </w:tcPr>
          <w:p>
            <w:pPr>
              <w:jc w:val="right"/>
              <w:ind w:right="149"/>
              <w:spacing w:after="0"/>
              <w:rPr>
                <w:sz w:val="20"/>
                <w:szCs w:val="20"/>
                <w:color w:val="auto"/>
              </w:rPr>
            </w:pPr>
            <w:r>
              <w:rPr>
                <w:rFonts w:ascii="Arial" w:cs="Arial" w:eastAsia="Arial" w:hAnsi="Arial"/>
                <w:sz w:val="14"/>
                <w:szCs w:val="14"/>
                <w:color w:val="auto"/>
              </w:rPr>
              <w:t>(48,659 )</w:t>
            </w:r>
          </w:p>
        </w:tc>
        <w:tc>
          <w:tcPr>
            <w:tcW w:w="1340" w:type="dxa"/>
            <w:vAlign w:val="bottom"/>
            <w:tcBorders>
              <w:bottom w:val="single" w:sz="8" w:color="auto"/>
            </w:tcBorders>
          </w:tcPr>
          <w:p>
            <w:pPr>
              <w:jc w:val="right"/>
              <w:ind w:right="169"/>
              <w:spacing w:after="0"/>
              <w:rPr>
                <w:sz w:val="20"/>
                <w:szCs w:val="20"/>
                <w:color w:val="auto"/>
              </w:rPr>
            </w:pPr>
            <w:r>
              <w:rPr>
                <w:rFonts w:ascii="Arial" w:cs="Arial" w:eastAsia="Arial" w:hAnsi="Arial"/>
                <w:sz w:val="14"/>
                <w:szCs w:val="14"/>
                <w:color w:val="auto"/>
              </w:rPr>
              <w:t>(50,709 )</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(96,180 )</w:t>
            </w:r>
          </w:p>
        </w:tc>
      </w:tr>
      <w:tr>
        <w:trPr>
          <w:trHeight w:val="186"/>
        </w:trPr>
        <w:tc>
          <w:tcPr>
            <w:tcW w:w="3820" w:type="dxa"/>
            <w:vAlign w:val="bottom"/>
          </w:tcPr>
          <w:p>
            <w:pPr>
              <w:ind w:left="20"/>
              <w:spacing w:after="0"/>
              <w:rPr>
                <w:sz w:val="20"/>
                <w:szCs w:val="20"/>
                <w:color w:val="auto"/>
              </w:rPr>
            </w:pPr>
            <w:r>
              <w:rPr>
                <w:rFonts w:ascii="Arial" w:cs="Arial" w:eastAsia="Arial" w:hAnsi="Arial"/>
                <w:sz w:val="14"/>
                <w:szCs w:val="14"/>
                <w:color w:val="auto"/>
              </w:rPr>
              <w:t>Common shares outstanding, December 31</w:t>
            </w:r>
          </w:p>
        </w:tc>
        <w:tc>
          <w:tcPr>
            <w:tcW w:w="1400" w:type="dxa"/>
            <w:vAlign w:val="bottom"/>
          </w:tcPr>
          <w:p>
            <w:pPr>
              <w:jc w:val="right"/>
              <w:ind w:right="229"/>
              <w:spacing w:after="0"/>
              <w:rPr>
                <w:sz w:val="20"/>
                <w:szCs w:val="20"/>
                <w:color w:val="auto"/>
              </w:rPr>
            </w:pPr>
            <w:r>
              <w:rPr>
                <w:rFonts w:ascii="Arial" w:cs="Arial" w:eastAsia="Arial" w:hAnsi="Arial"/>
                <w:sz w:val="14"/>
                <w:szCs w:val="14"/>
                <w:color w:val="auto"/>
              </w:rPr>
              <w:t>243,324,281</w:t>
            </w:r>
          </w:p>
        </w:tc>
        <w:tc>
          <w:tcPr>
            <w:tcW w:w="1340" w:type="dxa"/>
            <w:vAlign w:val="bottom"/>
          </w:tcPr>
          <w:p>
            <w:pPr>
              <w:jc w:val="right"/>
              <w:ind w:right="229"/>
              <w:spacing w:after="0"/>
              <w:rPr>
                <w:sz w:val="20"/>
                <w:szCs w:val="20"/>
                <w:color w:val="auto"/>
              </w:rPr>
            </w:pPr>
            <w:r>
              <w:rPr>
                <w:rFonts w:ascii="Arial" w:cs="Arial" w:eastAsia="Arial" w:hAnsi="Arial"/>
                <w:sz w:val="14"/>
                <w:szCs w:val="14"/>
                <w:color w:val="auto"/>
              </w:rPr>
              <w:t>261,214,009</w:t>
            </w:r>
          </w:p>
        </w:tc>
        <w:tc>
          <w:tcPr>
            <w:tcW w:w="1140" w:type="dxa"/>
            <w:vAlign w:val="bottom"/>
          </w:tcPr>
          <w:p>
            <w:pPr>
              <w:jc w:val="right"/>
              <w:ind w:right="49"/>
              <w:spacing w:after="0"/>
              <w:rPr>
                <w:sz w:val="20"/>
                <w:szCs w:val="20"/>
                <w:color w:val="auto"/>
              </w:rPr>
            </w:pPr>
            <w:r>
              <w:rPr>
                <w:rFonts w:ascii="Arial" w:cs="Arial" w:eastAsia="Arial" w:hAnsi="Arial"/>
                <w:sz w:val="14"/>
                <w:szCs w:val="14"/>
                <w:color w:val="auto"/>
              </w:rPr>
              <w:t>262,005,690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1182370</wp:posOffset>
            </wp:positionH>
            <wp:positionV relativeFrom="paragraph">
              <wp:posOffset>19050</wp:posOffset>
            </wp:positionV>
            <wp:extent cx="4897120" cy="2286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4897120" cy="22860"/>
                    </a:xfrm>
                    <a:prstGeom prst="rect">
                      <a:avLst/>
                    </a:prstGeom>
                    <a:noFill/>
                  </pic:spPr>
                </pic:pic>
              </a:graphicData>
            </a:graphic>
          </wp:anchor>
        </w:drawing>
      </w:r>
    </w:p>
    <w:p>
      <w:pPr>
        <w:spacing w:after="0" w:line="62" w:lineRule="exact"/>
        <w:rPr>
          <w:sz w:val="20"/>
          <w:szCs w:val="20"/>
          <w:color w:val="auto"/>
        </w:rPr>
      </w:pPr>
    </w:p>
    <w:p>
      <w:pPr>
        <w:ind w:left="1884"/>
        <w:spacing w:after="0"/>
        <w:rPr>
          <w:sz w:val="20"/>
          <w:szCs w:val="20"/>
          <w:color w:val="auto"/>
        </w:rPr>
      </w:pPr>
      <w:r>
        <w:rPr>
          <w:rFonts w:ascii="Arial" w:cs="Arial" w:eastAsia="Arial" w:hAnsi="Arial"/>
          <w:sz w:val="13"/>
          <w:szCs w:val="13"/>
          <w:i w:val="1"/>
          <w:iCs w:val="1"/>
          <w:color w:val="auto"/>
        </w:rPr>
        <w:t>* Participants in the Direct Stock Purchase Plan may reinvest dividends to purchase newly issued shares.</w:t>
      </w:r>
    </w:p>
    <w:p>
      <w:pPr>
        <w:spacing w:after="0" w:line="206" w:lineRule="exact"/>
        <w:rPr>
          <w:sz w:val="20"/>
          <w:szCs w:val="20"/>
          <w:color w:val="auto"/>
        </w:rPr>
      </w:pPr>
    </w:p>
    <w:p>
      <w:pPr>
        <w:ind w:left="4"/>
        <w:spacing w:after="0"/>
        <w:rPr>
          <w:sz w:val="20"/>
          <w:szCs w:val="20"/>
          <w:color w:val="auto"/>
        </w:rPr>
      </w:pPr>
      <w:r>
        <w:rPr>
          <w:rFonts w:ascii="Arial" w:cs="Arial" w:eastAsia="Arial" w:hAnsi="Arial"/>
          <w:sz w:val="16"/>
          <w:szCs w:val="16"/>
          <w:color w:val="auto"/>
        </w:rPr>
        <w:t>Our board of directors has the discretion to determine the payment and amount of future dividends.</w:t>
      </w:r>
    </w:p>
    <w:p>
      <w:pPr>
        <w:spacing w:after="0" w:line="276"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auto"/>
        </w:rPr>
        <w:t>COMMON STOCK REPURCHASE PROGRAM</w:t>
      </w:r>
    </w:p>
    <w:p>
      <w:pPr>
        <w:spacing w:after="0" w:line="89" w:lineRule="exact"/>
        <w:rPr>
          <w:sz w:val="20"/>
          <w:szCs w:val="20"/>
          <w:color w:val="auto"/>
        </w:rPr>
      </w:pPr>
    </w:p>
    <w:p>
      <w:pPr>
        <w:ind w:left="4"/>
        <w:spacing w:after="0" w:line="264" w:lineRule="auto"/>
        <w:rPr>
          <w:sz w:val="20"/>
          <w:szCs w:val="20"/>
          <w:color w:val="auto"/>
        </w:rPr>
      </w:pPr>
      <w:r>
        <w:rPr>
          <w:rFonts w:ascii="Arial" w:cs="Arial" w:eastAsia="Arial" w:hAnsi="Arial"/>
          <w:sz w:val="16"/>
          <w:szCs w:val="16"/>
          <w:color w:val="auto"/>
        </w:rPr>
        <w:t>On September 11, 2007, our board of directors authorized the repurchase of additional shares of our common stock provided that the amounts expended for such purposes did not exceed the greater of $2 billion or amounts expended to purchase no more than 40 million shares. Purchases may include open-market and negotiated transactions, structured purchase arrangements, and tender offers.</w:t>
      </w:r>
    </w:p>
    <w:p>
      <w:pPr>
        <w:spacing w:after="0" w:line="42" w:lineRule="exact"/>
        <w:rPr>
          <w:sz w:val="20"/>
          <w:szCs w:val="20"/>
          <w:color w:val="auto"/>
        </w:rPr>
      </w:pPr>
    </w:p>
    <w:p>
      <w:pPr>
        <w:ind w:left="4" w:right="180"/>
        <w:spacing w:after="0" w:line="308" w:lineRule="auto"/>
        <w:rPr>
          <w:sz w:val="20"/>
          <w:szCs w:val="20"/>
          <w:color w:val="auto"/>
        </w:rPr>
      </w:pPr>
      <w:r>
        <w:rPr>
          <w:rFonts w:ascii="Arial" w:cs="Arial" w:eastAsia="Arial" w:hAnsi="Arial"/>
          <w:sz w:val="14"/>
          <w:szCs w:val="14"/>
          <w:color w:val="auto"/>
        </w:rPr>
        <w:t>In April 2008, we entered into a Collared Accelerated Share Acquisition Program under which we prepaid $1 billion to repurchase shares of our common stock to be delivered later in 2008 in a share forward transaction. Our outstanding shares used to calculate earnings per share were reduced by the number of shares repurchased when they were delivered to us, and the $1 billion purchase price was recorded as a reduction in shareholders’ equity upon its prepayment. We received 18,416,241 shares under the program (15,407,961 shares in the second quarter and 3,008,280 shares in the fourth quarter) based on a final weighted average price of $54.30 per share.</w:t>
      </w:r>
    </w:p>
    <w:p>
      <w:pPr>
        <w:spacing w:after="0" w:line="14" w:lineRule="exact"/>
        <w:rPr>
          <w:sz w:val="20"/>
          <w:szCs w:val="20"/>
          <w:color w:val="auto"/>
        </w:rPr>
      </w:pPr>
    </w:p>
    <w:p>
      <w:pPr>
        <w:ind w:left="4"/>
        <w:spacing w:after="0"/>
        <w:rPr>
          <w:sz w:val="20"/>
          <w:szCs w:val="20"/>
          <w:color w:val="auto"/>
        </w:rPr>
      </w:pPr>
      <w:r>
        <w:rPr>
          <w:rFonts w:ascii="Arial" w:cs="Arial" w:eastAsia="Arial" w:hAnsi="Arial"/>
          <w:sz w:val="16"/>
          <w:szCs w:val="16"/>
          <w:color w:val="auto"/>
        </w:rPr>
        <w:t>This share repurchase program is unrelated to share-based compensation as described in Note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234315</wp:posOffset>
            </wp:positionV>
            <wp:extent cx="7261860" cy="762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pacing w:after="0" w:line="200" w:lineRule="exact"/>
        <w:rPr>
          <w:sz w:val="20"/>
          <w:szCs w:val="20"/>
          <w:color w:val="auto"/>
        </w:rPr>
      </w:pPr>
    </w:p>
    <w:p>
      <w:pPr>
        <w:spacing w:after="0" w:line="206" w:lineRule="exact"/>
        <w:rPr>
          <w:sz w:val="20"/>
          <w:szCs w:val="20"/>
          <w:color w:val="auto"/>
        </w:rPr>
      </w:pPr>
    </w:p>
    <w:p>
      <w:pPr>
        <w:ind w:left="4"/>
        <w:spacing w:after="0"/>
        <w:rPr>
          <w:sz w:val="20"/>
          <w:szCs w:val="20"/>
          <w:color w:val="auto"/>
        </w:rPr>
      </w:pPr>
      <w:r>
        <w:rPr>
          <w:rFonts w:ascii="Arial" w:cs="Arial" w:eastAsia="Arial" w:hAnsi="Arial"/>
          <w:sz w:val="18"/>
          <w:szCs w:val="18"/>
          <w:color w:val="auto"/>
        </w:rPr>
        <w:t>NOTE 14. ELECTRIC INDUSTRY REGULATION</w:t>
      </w:r>
    </w:p>
    <w:p>
      <w:pPr>
        <w:spacing w:after="0" w:line="244"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auto"/>
        </w:rPr>
        <w:t>BACKGROUND</w:t>
      </w:r>
    </w:p>
    <w:p>
      <w:pPr>
        <w:spacing w:after="0" w:line="89" w:lineRule="exact"/>
        <w:rPr>
          <w:sz w:val="20"/>
          <w:szCs w:val="20"/>
          <w:color w:val="auto"/>
        </w:rPr>
      </w:pPr>
    </w:p>
    <w:p>
      <w:pPr>
        <w:ind w:left="4"/>
        <w:spacing w:after="0" w:line="257" w:lineRule="auto"/>
        <w:rPr>
          <w:sz w:val="20"/>
          <w:szCs w:val="20"/>
          <w:color w:val="auto"/>
        </w:rPr>
      </w:pPr>
      <w:r>
        <w:rPr>
          <w:rFonts w:ascii="Arial" w:cs="Arial" w:eastAsia="Arial" w:hAnsi="Arial"/>
          <w:sz w:val="16"/>
          <w:szCs w:val="16"/>
          <w:color w:val="auto"/>
        </w:rPr>
        <w:t>California's legislative response to the 2000 - 2001 energy crisis resulted in the California Department of Water Resources (DWR) purchasing a substantial portion of power for California's electricity users. In 2001, the DWR entered into long-term contracts with suppliers, including Sempra Generation, to provide power for the utility procurement customers of each of the California investor-owned utilities (IOUs), including SDG&amp;E. The California Public Utilities Commission (CPUC) allocates the power and its administrative responsibility, including collection of power contract costs from utility customers, among the IOUs. Effective in 2003, the IOUs resumed responsibility for electric commodity procurement above their allocated share of the DWR's long-term contracts.</w:t>
      </w:r>
    </w:p>
    <w:p>
      <w:pPr>
        <w:spacing w:after="0" w:line="244"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auto"/>
        </w:rPr>
        <w:t>POWER PROCUREMENT AND RESOURCE PLANNING</w:t>
      </w:r>
    </w:p>
    <w:p>
      <w:pPr>
        <w:spacing w:after="0" w:line="89" w:lineRule="exact"/>
        <w:rPr>
          <w:sz w:val="20"/>
          <w:szCs w:val="20"/>
          <w:color w:val="auto"/>
        </w:rPr>
      </w:pPr>
    </w:p>
    <w:p>
      <w:pPr>
        <w:ind w:left="4"/>
        <w:spacing w:after="0"/>
        <w:rPr>
          <w:sz w:val="20"/>
          <w:szCs w:val="20"/>
          <w:color w:val="auto"/>
        </w:rPr>
      </w:pPr>
      <w:r>
        <w:rPr>
          <w:rFonts w:ascii="Arial" w:cs="Arial" w:eastAsia="Arial" w:hAnsi="Arial"/>
          <w:sz w:val="16"/>
          <w:szCs w:val="16"/>
          <w:color w:val="auto"/>
        </w:rPr>
        <w:t>Effective in 2003, the CPUC:</w:t>
      </w:r>
    </w:p>
    <w:p>
      <w:pPr>
        <w:spacing w:after="0" w:line="44" w:lineRule="exact"/>
        <w:rPr>
          <w:sz w:val="20"/>
          <w:szCs w:val="20"/>
          <w:color w:val="auto"/>
        </w:rPr>
      </w:pPr>
    </w:p>
    <w:p>
      <w:pPr>
        <w:ind w:left="144" w:right="1260" w:hanging="144"/>
        <w:spacing w:after="0" w:line="277" w:lineRule="auto"/>
        <w:tabs>
          <w:tab w:leader="none" w:pos="144" w:val="left"/>
        </w:tabs>
        <w:numPr>
          <w:ilvl w:val="0"/>
          <w:numId w:val="378"/>
        </w:numPr>
        <w:rPr>
          <w:rFonts w:ascii="Arial" w:cs="Arial" w:eastAsia="Arial" w:hAnsi="Arial"/>
          <w:sz w:val="16"/>
          <w:szCs w:val="16"/>
          <w:color w:val="auto"/>
        </w:rPr>
      </w:pPr>
      <w:r>
        <w:rPr>
          <w:rFonts w:ascii="Arial" w:cs="Arial" w:eastAsia="Arial" w:hAnsi="Arial"/>
          <w:sz w:val="16"/>
          <w:szCs w:val="16"/>
          <w:color w:val="auto"/>
        </w:rPr>
        <w:t>directed the IOUs, including SDG&amp;E, to resume electric commodity procurement to cover their net short energy requirements, which are the total customer energy requirements minus supply from resources owned, operated or contracted;</w:t>
      </w:r>
    </w:p>
    <w:p>
      <w:pPr>
        <w:spacing w:after="0" w:line="200" w:lineRule="exact"/>
        <w:rPr>
          <w:sz w:val="20"/>
          <w:szCs w:val="20"/>
          <w:color w:val="auto"/>
        </w:rPr>
      </w:pPr>
    </w:p>
    <w:p>
      <w:pPr>
        <w:spacing w:after="0" w:line="220" w:lineRule="exact"/>
        <w:rPr>
          <w:sz w:val="20"/>
          <w:szCs w:val="20"/>
          <w:color w:val="auto"/>
        </w:rPr>
      </w:pPr>
    </w:p>
    <w:p>
      <w:pPr>
        <w:ind w:left="4"/>
        <w:spacing w:after="0"/>
        <w:rPr>
          <w:sz w:val="20"/>
          <w:szCs w:val="20"/>
          <w:color w:val="auto"/>
        </w:rPr>
      </w:pPr>
      <w:r>
        <w:rPr>
          <w:rFonts w:ascii="Arial" w:cs="Arial" w:eastAsia="Arial" w:hAnsi="Arial"/>
          <w:sz w:val="14"/>
          <w:szCs w:val="14"/>
          <w:color w:val="auto"/>
        </w:rPr>
        <w:t>166</w:t>
      </w:r>
    </w:p>
    <w:p>
      <w:pPr>
        <w:sectPr>
          <w:pgSz w:w="11900" w:h="16838" w:orient="portrait"/>
          <w:cols w:equalWidth="0" w:num="1">
            <w:col w:w="11384"/>
          </w:cols>
          <w:pgMar w:left="236" w:top="127" w:right="279" w:bottom="1440" w:gutter="0" w:footer="0" w:header="0"/>
        </w:sectPr>
      </w:pPr>
    </w:p>
    <w:bookmarkStart w:id="306" w:name="page307"/>
    <w:bookmarkEnd w:id="306"/>
    <w:p>
      <w:pPr>
        <w:ind w:left="144" w:hanging="144"/>
        <w:spacing w:after="0"/>
        <w:tabs>
          <w:tab w:leader="none" w:pos="144" w:val="left"/>
        </w:tabs>
        <w:numPr>
          <w:ilvl w:val="0"/>
          <w:numId w:val="379"/>
        </w:numPr>
        <w:rPr>
          <w:rFonts w:ascii="Arial" w:cs="Arial" w:eastAsia="Arial" w:hAnsi="Arial"/>
          <w:sz w:val="16"/>
          <w:szCs w:val="16"/>
          <w:color w:val="auto"/>
        </w:rPr>
      </w:pPr>
      <w:r>
        <w:rPr>
          <w:rFonts w:ascii="Arial" w:cs="Arial" w:eastAsia="Arial" w:hAnsi="Arial"/>
          <w:sz w:val="16"/>
          <w:szCs w:val="16"/>
          <w:color w:val="auto"/>
        </w:rPr>
        <w:t>implemented legislation regarding procurement and renewable energy portfolio standards; and</w:t>
      </w:r>
    </w:p>
    <w:p>
      <w:pPr>
        <w:spacing w:after="0" w:line="44" w:lineRule="exact"/>
        <w:rPr>
          <w:rFonts w:ascii="Arial" w:cs="Arial" w:eastAsia="Arial" w:hAnsi="Arial"/>
          <w:sz w:val="16"/>
          <w:szCs w:val="16"/>
          <w:color w:val="auto"/>
        </w:rPr>
      </w:pPr>
    </w:p>
    <w:p>
      <w:pPr>
        <w:ind w:left="144" w:hanging="144"/>
        <w:spacing w:after="0"/>
        <w:tabs>
          <w:tab w:leader="none" w:pos="144" w:val="left"/>
        </w:tabs>
        <w:numPr>
          <w:ilvl w:val="0"/>
          <w:numId w:val="379"/>
        </w:numPr>
        <w:rPr>
          <w:rFonts w:ascii="Arial" w:cs="Arial" w:eastAsia="Arial" w:hAnsi="Arial"/>
          <w:sz w:val="16"/>
          <w:szCs w:val="16"/>
          <w:color w:val="auto"/>
        </w:rPr>
      </w:pPr>
      <w:r>
        <w:rPr>
          <w:rFonts w:ascii="Arial" w:cs="Arial" w:eastAsia="Arial" w:hAnsi="Arial"/>
          <w:sz w:val="16"/>
          <w:szCs w:val="16"/>
          <w:color w:val="auto"/>
        </w:rPr>
        <w:t>established a process for review and approval of the utilities' long-term resource and procurement plans.</w:t>
      </w:r>
    </w:p>
    <w:p>
      <w:pPr>
        <w:spacing w:after="0" w:line="128" w:lineRule="exact"/>
        <w:rPr>
          <w:sz w:val="20"/>
          <w:szCs w:val="20"/>
          <w:color w:val="auto"/>
        </w:rPr>
      </w:pPr>
    </w:p>
    <w:p>
      <w:pPr>
        <w:ind w:left="4"/>
        <w:spacing w:after="0"/>
        <w:rPr>
          <w:sz w:val="20"/>
          <w:szCs w:val="20"/>
          <w:color w:val="auto"/>
        </w:rPr>
      </w:pPr>
      <w:r>
        <w:rPr>
          <w:rFonts w:ascii="Arial" w:cs="Arial" w:eastAsia="Arial" w:hAnsi="Arial"/>
          <w:sz w:val="14"/>
          <w:szCs w:val="14"/>
          <w:color w:val="auto"/>
        </w:rPr>
        <w:t>This process is intended to identify anticipated needs for generation and transmission resources in order to support transmission grid reliability and to better serve customers.</w:t>
      </w:r>
    </w:p>
    <w:p>
      <w:pPr>
        <w:spacing w:after="0" w:line="197" w:lineRule="exact"/>
        <w:rPr>
          <w:sz w:val="20"/>
          <w:szCs w:val="20"/>
          <w:color w:val="auto"/>
        </w:rPr>
      </w:pPr>
    </w:p>
    <w:p>
      <w:pPr>
        <w:ind w:left="4"/>
        <w:spacing w:after="0"/>
        <w:rPr>
          <w:sz w:val="20"/>
          <w:szCs w:val="20"/>
          <w:color w:val="auto"/>
        </w:rPr>
      </w:pPr>
      <w:r>
        <w:rPr>
          <w:rFonts w:ascii="Arial" w:cs="Arial" w:eastAsia="Arial" w:hAnsi="Arial"/>
          <w:sz w:val="18"/>
          <w:szCs w:val="18"/>
          <w:b w:val="1"/>
          <w:bCs w:val="1"/>
          <w:i w:val="1"/>
          <w:iCs w:val="1"/>
          <w:color w:val="auto"/>
        </w:rPr>
        <w:t>Sunrise Powerlink Electric Transmission Line</w:t>
      </w:r>
    </w:p>
    <w:p>
      <w:pPr>
        <w:spacing w:after="0" w:line="23" w:lineRule="exact"/>
        <w:rPr>
          <w:sz w:val="20"/>
          <w:szCs w:val="20"/>
          <w:color w:val="auto"/>
        </w:rPr>
      </w:pPr>
    </w:p>
    <w:p>
      <w:pPr>
        <w:ind w:left="4" w:right="120"/>
        <w:spacing w:after="0" w:line="278" w:lineRule="auto"/>
        <w:rPr>
          <w:sz w:val="20"/>
          <w:szCs w:val="20"/>
          <w:color w:val="auto"/>
        </w:rPr>
      </w:pPr>
      <w:r>
        <w:rPr>
          <w:rFonts w:ascii="Arial" w:cs="Arial" w:eastAsia="Arial" w:hAnsi="Arial"/>
          <w:sz w:val="15"/>
          <w:szCs w:val="15"/>
          <w:color w:val="auto"/>
        </w:rPr>
        <w:t>In December 2008, the CPUC issued a final decision authorizing SDG&amp;E to construct a 500-kilovolt (kV) electric transmission line between the Imperial Valley and the San Diego region (Sunrise Powerlink). This line is designed to provide 1,000 MW of increased import capability into the San Diego area. The decision allows SDG&amp;E to construct the Sunrise Powerlink along a route that would generally run south of the Anza-Borrego Desert State Park. The decision also approves the environmental impact review jointly conducted by the CPUC and the Bureau of Land Management (BLM) and establishes a total project cost cap of $1.883 billion, including approximately $190 million for environmental mitigation costs. In January 2009, the BLM issued its decision approving the project, route and environmental review.</w:t>
      </w:r>
    </w:p>
    <w:p>
      <w:pPr>
        <w:spacing w:after="0" w:line="34" w:lineRule="exact"/>
        <w:rPr>
          <w:sz w:val="20"/>
          <w:szCs w:val="20"/>
          <w:color w:val="auto"/>
        </w:rPr>
      </w:pPr>
    </w:p>
    <w:p>
      <w:pPr>
        <w:ind w:left="4" w:right="240"/>
        <w:spacing w:after="0" w:line="277" w:lineRule="auto"/>
        <w:rPr>
          <w:sz w:val="20"/>
          <w:szCs w:val="20"/>
          <w:color w:val="auto"/>
        </w:rPr>
      </w:pPr>
      <w:r>
        <w:rPr>
          <w:rFonts w:ascii="Arial" w:cs="Arial" w:eastAsia="Arial" w:hAnsi="Arial"/>
          <w:sz w:val="16"/>
          <w:szCs w:val="16"/>
          <w:color w:val="auto"/>
        </w:rPr>
        <w:t>Sunrise Powerlink costs will be recovered in SDG&amp;E's Electric Transmission Formula Rate (described below), where SDG&amp;E must demonstrate to the FERC that such costs were prudently incurred.</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6"/>
          <w:szCs w:val="16"/>
          <w:color w:val="auto"/>
        </w:rPr>
        <w:t>The CPUC decision requires SDG&amp;E to adhere to certain commitments it made during the application process, as follows:</w:t>
      </w:r>
    </w:p>
    <w:p>
      <w:pPr>
        <w:spacing w:after="0" w:line="44" w:lineRule="exact"/>
        <w:rPr>
          <w:sz w:val="20"/>
          <w:szCs w:val="20"/>
          <w:color w:val="auto"/>
        </w:rPr>
      </w:pPr>
    </w:p>
    <w:p>
      <w:pPr>
        <w:ind w:left="144" w:hanging="144"/>
        <w:spacing w:after="0"/>
        <w:tabs>
          <w:tab w:leader="none" w:pos="144" w:val="left"/>
        </w:tabs>
        <w:numPr>
          <w:ilvl w:val="0"/>
          <w:numId w:val="380"/>
        </w:numPr>
        <w:rPr>
          <w:rFonts w:ascii="Arial" w:cs="Arial" w:eastAsia="Arial" w:hAnsi="Arial"/>
          <w:sz w:val="16"/>
          <w:szCs w:val="16"/>
          <w:color w:val="auto"/>
        </w:rPr>
      </w:pPr>
      <w:r>
        <w:rPr>
          <w:rFonts w:ascii="Arial" w:cs="Arial" w:eastAsia="Arial" w:hAnsi="Arial"/>
          <w:sz w:val="16"/>
          <w:szCs w:val="16"/>
          <w:color w:val="auto"/>
        </w:rPr>
        <w:t>not to contract, for any length of term, with conventional coal generators to deliver power via the Sunrise Powerlink;</w:t>
      </w:r>
    </w:p>
    <w:p>
      <w:pPr>
        <w:spacing w:after="0" w:line="44" w:lineRule="exact"/>
        <w:rPr>
          <w:rFonts w:ascii="Arial" w:cs="Arial" w:eastAsia="Arial" w:hAnsi="Arial"/>
          <w:sz w:val="16"/>
          <w:szCs w:val="16"/>
          <w:color w:val="auto"/>
        </w:rPr>
      </w:pPr>
    </w:p>
    <w:p>
      <w:pPr>
        <w:ind w:left="144" w:right="1280" w:hanging="144"/>
        <w:spacing w:after="0" w:line="274" w:lineRule="auto"/>
        <w:tabs>
          <w:tab w:leader="none" w:pos="144" w:val="left"/>
        </w:tabs>
        <w:numPr>
          <w:ilvl w:val="0"/>
          <w:numId w:val="380"/>
        </w:numPr>
        <w:rPr>
          <w:rFonts w:ascii="Arial" w:cs="Arial" w:eastAsia="Arial" w:hAnsi="Arial"/>
          <w:sz w:val="16"/>
          <w:szCs w:val="16"/>
          <w:color w:val="auto"/>
        </w:rPr>
      </w:pPr>
      <w:r>
        <w:rPr>
          <w:rFonts w:ascii="Arial" w:cs="Arial" w:eastAsia="Arial" w:hAnsi="Arial"/>
          <w:sz w:val="16"/>
          <w:szCs w:val="16"/>
          <w:color w:val="auto"/>
        </w:rPr>
        <w:t>if any currently approved renewable energy contract that is deliverable via the Sunrise Powerlink fails, to replace it with a viable contract with a renewable generator located in the Imperial Valley; and</w:t>
      </w:r>
    </w:p>
    <w:p>
      <w:pPr>
        <w:ind w:left="144" w:hanging="144"/>
        <w:spacing w:after="0"/>
        <w:tabs>
          <w:tab w:leader="none" w:pos="144" w:val="left"/>
        </w:tabs>
        <w:numPr>
          <w:ilvl w:val="0"/>
          <w:numId w:val="380"/>
        </w:numPr>
        <w:rPr>
          <w:rFonts w:ascii="Arial" w:cs="Arial" w:eastAsia="Arial" w:hAnsi="Arial"/>
          <w:sz w:val="16"/>
          <w:szCs w:val="16"/>
          <w:color w:val="auto"/>
        </w:rPr>
      </w:pPr>
      <w:r>
        <w:rPr>
          <w:rFonts w:ascii="Arial" w:cs="Arial" w:eastAsia="Arial" w:hAnsi="Arial"/>
          <w:sz w:val="16"/>
          <w:szCs w:val="16"/>
          <w:color w:val="auto"/>
        </w:rPr>
        <w:t>voluntarily raise SDG&amp;E's Renewables Portfolio Standard (RPS) goal to 33 percent by 2020.</w:t>
      </w:r>
    </w:p>
    <w:p>
      <w:pPr>
        <w:spacing w:after="0" w:line="128" w:lineRule="exact"/>
        <w:rPr>
          <w:sz w:val="20"/>
          <w:szCs w:val="20"/>
          <w:color w:val="auto"/>
        </w:rPr>
      </w:pPr>
    </w:p>
    <w:p>
      <w:pPr>
        <w:ind w:left="4" w:right="100"/>
        <w:spacing w:after="0" w:line="259" w:lineRule="auto"/>
        <w:rPr>
          <w:sz w:val="20"/>
          <w:szCs w:val="20"/>
          <w:color w:val="auto"/>
        </w:rPr>
      </w:pPr>
      <w:r>
        <w:rPr>
          <w:rFonts w:ascii="Arial" w:cs="Arial" w:eastAsia="Arial" w:hAnsi="Arial"/>
          <w:sz w:val="16"/>
          <w:szCs w:val="16"/>
          <w:color w:val="auto"/>
        </w:rPr>
        <w:t>The decision is subject to rehearing before the CPUC and appeal to the California courts of appeal, or to the California Supreme Court. Rehearing requests were required to be filed with the CPUC on or before January 23, 2009, and parties wishing to appeal must first seek rehearing with the CPUC. The Utility Consumers Action Network and the Center for Biological Diversity/Sierra Club (CBD) timely applied for rehearing. In addition, on January 21, 2009, CBD filed a petition for writ of review of the CPUC decision with the California Supreme Court. The Supreme Court denied that petition on February 18, 2009.</w:t>
      </w:r>
    </w:p>
    <w:p>
      <w:pPr>
        <w:spacing w:after="0" w:line="47" w:lineRule="exact"/>
        <w:rPr>
          <w:sz w:val="20"/>
          <w:szCs w:val="20"/>
          <w:color w:val="auto"/>
        </w:rPr>
      </w:pPr>
    </w:p>
    <w:p>
      <w:pPr>
        <w:ind w:left="4" w:right="40"/>
        <w:spacing w:after="0" w:line="264" w:lineRule="auto"/>
        <w:rPr>
          <w:sz w:val="20"/>
          <w:szCs w:val="20"/>
          <w:color w:val="auto"/>
        </w:rPr>
      </w:pPr>
      <w:r>
        <w:rPr>
          <w:rFonts w:ascii="Arial" w:cs="Arial" w:eastAsia="Arial" w:hAnsi="Arial"/>
          <w:sz w:val="16"/>
          <w:szCs w:val="16"/>
          <w:color w:val="auto"/>
        </w:rPr>
        <w:t>The Sunrise Powerlink route crosses federal land and requires discretionary approvals from the BLM and the United States Forest Service (USFS). The BLM issued a decision approving its segment of the route on January 20, 2009. SDG&amp;E expects the USFS to issue a decision approving its segment of the route in the second quarter of 2009. Both the BLM and the USFS approvals may be the subject of administrative and judicial appeals.</w:t>
      </w:r>
    </w:p>
    <w:p>
      <w:pPr>
        <w:spacing w:after="0" w:line="42" w:lineRule="exact"/>
        <w:rPr>
          <w:sz w:val="20"/>
          <w:szCs w:val="20"/>
          <w:color w:val="auto"/>
        </w:rPr>
      </w:pPr>
    </w:p>
    <w:p>
      <w:pPr>
        <w:ind w:left="4" w:right="280"/>
        <w:spacing w:after="0" w:line="277" w:lineRule="auto"/>
        <w:rPr>
          <w:sz w:val="20"/>
          <w:szCs w:val="20"/>
          <w:color w:val="auto"/>
        </w:rPr>
      </w:pPr>
      <w:r>
        <w:rPr>
          <w:rFonts w:ascii="Arial" w:cs="Arial" w:eastAsia="Arial" w:hAnsi="Arial"/>
          <w:sz w:val="16"/>
          <w:szCs w:val="16"/>
          <w:color w:val="auto"/>
        </w:rPr>
        <w:t>Before construction can begin, additional discretionary agency permits must be obtained, and those permits may be subject to independent legal review. SDG&amp;E expects the Sunrise Powerlink to be in commercial operation in 2012.</w:t>
      </w:r>
    </w:p>
    <w:p>
      <w:pPr>
        <w:spacing w:after="0" w:line="126" w:lineRule="exact"/>
        <w:rPr>
          <w:sz w:val="20"/>
          <w:szCs w:val="20"/>
          <w:color w:val="auto"/>
        </w:rPr>
      </w:pPr>
    </w:p>
    <w:p>
      <w:pPr>
        <w:ind w:left="4"/>
        <w:spacing w:after="0"/>
        <w:rPr>
          <w:sz w:val="20"/>
          <w:szCs w:val="20"/>
          <w:color w:val="auto"/>
        </w:rPr>
      </w:pPr>
      <w:r>
        <w:rPr>
          <w:rFonts w:ascii="Arial" w:cs="Arial" w:eastAsia="Arial" w:hAnsi="Arial"/>
          <w:sz w:val="18"/>
          <w:szCs w:val="18"/>
          <w:b w:val="1"/>
          <w:bCs w:val="1"/>
          <w:i w:val="1"/>
          <w:iCs w:val="1"/>
          <w:color w:val="auto"/>
        </w:rPr>
        <w:t>Renewable Energy</w:t>
      </w:r>
    </w:p>
    <w:p>
      <w:pPr>
        <w:spacing w:after="0" w:line="23" w:lineRule="exact"/>
        <w:rPr>
          <w:sz w:val="20"/>
          <w:szCs w:val="20"/>
          <w:color w:val="auto"/>
        </w:rPr>
      </w:pPr>
    </w:p>
    <w:p>
      <w:pPr>
        <w:ind w:left="4" w:right="220"/>
        <w:spacing w:after="0" w:line="264" w:lineRule="auto"/>
        <w:rPr>
          <w:sz w:val="20"/>
          <w:szCs w:val="20"/>
          <w:color w:val="auto"/>
        </w:rPr>
      </w:pPr>
      <w:r>
        <w:rPr>
          <w:rFonts w:ascii="Arial" w:cs="Arial" w:eastAsia="Arial" w:hAnsi="Arial"/>
          <w:sz w:val="16"/>
          <w:szCs w:val="16"/>
          <w:color w:val="auto"/>
        </w:rPr>
        <w:t>Pursuant to Senate Bill 107, enacted in September 2006, the California Public Utilities Code requires certain California electric retail sellers, including SDG&amp;E, to deliver 20 percent of their 2010 retail demand from renewable energy sources. The rules governing this requirement, administered by both the CPUC and the California Energy Commission, are generally known as the Renewables Portfolio Standard (RPS) Program.</w:t>
      </w:r>
    </w:p>
    <w:p>
      <w:pPr>
        <w:spacing w:after="0" w:line="42" w:lineRule="exact"/>
        <w:rPr>
          <w:sz w:val="20"/>
          <w:szCs w:val="20"/>
          <w:color w:val="auto"/>
        </w:rPr>
      </w:pPr>
    </w:p>
    <w:p>
      <w:pPr>
        <w:ind w:left="4"/>
        <w:spacing w:after="0" w:line="264" w:lineRule="auto"/>
        <w:rPr>
          <w:sz w:val="20"/>
          <w:szCs w:val="20"/>
          <w:color w:val="auto"/>
        </w:rPr>
      </w:pPr>
      <w:r>
        <w:rPr>
          <w:rFonts w:ascii="Arial" w:cs="Arial" w:eastAsia="Arial" w:hAnsi="Arial"/>
          <w:sz w:val="16"/>
          <w:szCs w:val="16"/>
          <w:color w:val="auto"/>
        </w:rPr>
        <w:t>In February 2008, the CPUC issued a decision defining flexible compliance mechanisms that can be used to meet the RPS Program goals in 2010 and beyond, including clarifying rules within which insufficient transmission is a permissible reason for failing to satisfy the RPS Program goals. While SDG&amp;E believes it will be able to comply with the RPS Program requirements based on its contracting activity and application of the flexible compliance</w:t>
      </w:r>
    </w:p>
    <w:p>
      <w:pPr>
        <w:spacing w:after="0" w:line="200" w:lineRule="exact"/>
        <w:rPr>
          <w:sz w:val="20"/>
          <w:szCs w:val="20"/>
          <w:color w:val="auto"/>
        </w:rPr>
      </w:pPr>
    </w:p>
    <w:p>
      <w:pPr>
        <w:spacing w:after="0" w:line="302" w:lineRule="exact"/>
        <w:rPr>
          <w:sz w:val="20"/>
          <w:szCs w:val="20"/>
          <w:color w:val="auto"/>
        </w:rPr>
      </w:pPr>
    </w:p>
    <w:p>
      <w:pPr>
        <w:ind w:left="4"/>
        <w:spacing w:after="0"/>
        <w:rPr>
          <w:sz w:val="20"/>
          <w:szCs w:val="20"/>
          <w:color w:val="auto"/>
        </w:rPr>
      </w:pPr>
      <w:r>
        <w:rPr>
          <w:rFonts w:ascii="Arial" w:cs="Arial" w:eastAsia="Arial" w:hAnsi="Arial"/>
          <w:sz w:val="14"/>
          <w:szCs w:val="14"/>
          <w:color w:val="auto"/>
        </w:rPr>
        <w:t>167</w:t>
      </w:r>
    </w:p>
    <w:p>
      <w:pPr>
        <w:sectPr>
          <w:pgSz w:w="11900" w:h="16838" w:orient="portrait"/>
          <w:cols w:equalWidth="0" w:num="1">
            <w:col w:w="11344"/>
          </w:cols>
          <w:pgMar w:left="236" w:top="127" w:right="319" w:bottom="1440" w:gutter="0" w:footer="0" w:header="0"/>
        </w:sectPr>
      </w:pPr>
    </w:p>
    <w:bookmarkStart w:id="307" w:name="page308"/>
    <w:bookmarkEnd w:id="307"/>
    <w:p>
      <w:pPr>
        <w:ind w:left="4"/>
        <w:spacing w:after="0"/>
        <w:rPr>
          <w:sz w:val="20"/>
          <w:szCs w:val="20"/>
          <w:color w:val="auto"/>
        </w:rPr>
      </w:pPr>
      <w:r>
        <w:rPr>
          <w:rFonts w:ascii="Arial" w:cs="Arial" w:eastAsia="Arial" w:hAnsi="Arial"/>
          <w:sz w:val="16"/>
          <w:szCs w:val="16"/>
          <w:color w:val="auto"/>
        </w:rPr>
        <w:t>mechanisms, it is possible that SDG&amp;E could be penalized, though we cannot know the amount that would be imposed.</w:t>
      </w:r>
    </w:p>
    <w:p>
      <w:pPr>
        <w:spacing w:after="0" w:line="80" w:lineRule="exact"/>
        <w:rPr>
          <w:sz w:val="20"/>
          <w:szCs w:val="20"/>
          <w:color w:val="auto"/>
        </w:rPr>
      </w:pPr>
    </w:p>
    <w:p>
      <w:pPr>
        <w:ind w:left="4" w:right="160"/>
        <w:spacing w:after="0" w:line="274" w:lineRule="auto"/>
        <w:rPr>
          <w:sz w:val="20"/>
          <w:szCs w:val="20"/>
          <w:color w:val="auto"/>
        </w:rPr>
      </w:pPr>
      <w:r>
        <w:rPr>
          <w:rFonts w:ascii="Arial" w:cs="Arial" w:eastAsia="Arial" w:hAnsi="Arial"/>
          <w:sz w:val="16"/>
          <w:szCs w:val="16"/>
          <w:color w:val="auto"/>
        </w:rPr>
        <w:t>SDG&amp;E continues to aggressively secure renewable energy supplies to achieve the RPS Program goals. A substantial number of these supply contracts, however, are contingent upon many factors, including:</w:t>
      </w:r>
    </w:p>
    <w:p>
      <w:pPr>
        <w:ind w:left="144" w:hanging="144"/>
        <w:spacing w:after="0"/>
        <w:tabs>
          <w:tab w:leader="none" w:pos="144" w:val="left"/>
        </w:tabs>
        <w:numPr>
          <w:ilvl w:val="0"/>
          <w:numId w:val="381"/>
        </w:numPr>
        <w:rPr>
          <w:rFonts w:ascii="Arial" w:cs="Arial" w:eastAsia="Arial" w:hAnsi="Arial"/>
          <w:sz w:val="16"/>
          <w:szCs w:val="16"/>
          <w:color w:val="auto"/>
        </w:rPr>
      </w:pPr>
      <w:r>
        <w:rPr>
          <w:rFonts w:ascii="Arial" w:cs="Arial" w:eastAsia="Arial" w:hAnsi="Arial"/>
          <w:sz w:val="16"/>
          <w:szCs w:val="16"/>
          <w:color w:val="auto"/>
        </w:rPr>
        <w:t>access to electric transmission infrastructure (including SDG&amp;E's Sunrise Powerlink transmission line);</w:t>
      </w:r>
    </w:p>
    <w:p>
      <w:pPr>
        <w:spacing w:after="0" w:line="44" w:lineRule="exact"/>
        <w:rPr>
          <w:rFonts w:ascii="Arial" w:cs="Arial" w:eastAsia="Arial" w:hAnsi="Arial"/>
          <w:sz w:val="16"/>
          <w:szCs w:val="16"/>
          <w:color w:val="auto"/>
        </w:rPr>
      </w:pPr>
    </w:p>
    <w:p>
      <w:pPr>
        <w:ind w:left="144" w:hanging="144"/>
        <w:spacing w:after="0"/>
        <w:tabs>
          <w:tab w:leader="none" w:pos="144" w:val="left"/>
        </w:tabs>
        <w:numPr>
          <w:ilvl w:val="0"/>
          <w:numId w:val="381"/>
        </w:numPr>
        <w:rPr>
          <w:rFonts w:ascii="Arial" w:cs="Arial" w:eastAsia="Arial" w:hAnsi="Arial"/>
          <w:sz w:val="16"/>
          <w:szCs w:val="16"/>
          <w:color w:val="auto"/>
        </w:rPr>
      </w:pPr>
      <w:r>
        <w:rPr>
          <w:rFonts w:ascii="Arial" w:cs="Arial" w:eastAsia="Arial" w:hAnsi="Arial"/>
          <w:sz w:val="16"/>
          <w:szCs w:val="16"/>
          <w:color w:val="auto"/>
        </w:rPr>
        <w:t>timely regulatory approval of contracted renewable energy projects;</w:t>
      </w:r>
    </w:p>
    <w:p>
      <w:pPr>
        <w:spacing w:after="0" w:line="44" w:lineRule="exact"/>
        <w:rPr>
          <w:rFonts w:ascii="Arial" w:cs="Arial" w:eastAsia="Arial" w:hAnsi="Arial"/>
          <w:sz w:val="16"/>
          <w:szCs w:val="16"/>
          <w:color w:val="auto"/>
        </w:rPr>
      </w:pPr>
    </w:p>
    <w:p>
      <w:pPr>
        <w:ind w:left="144" w:hanging="144"/>
        <w:spacing w:after="0"/>
        <w:tabs>
          <w:tab w:leader="none" w:pos="144" w:val="left"/>
        </w:tabs>
        <w:numPr>
          <w:ilvl w:val="0"/>
          <w:numId w:val="381"/>
        </w:numPr>
        <w:rPr>
          <w:rFonts w:ascii="Arial" w:cs="Arial" w:eastAsia="Arial" w:hAnsi="Arial"/>
          <w:sz w:val="16"/>
          <w:szCs w:val="16"/>
          <w:color w:val="auto"/>
        </w:rPr>
      </w:pPr>
      <w:r>
        <w:rPr>
          <w:rFonts w:ascii="Arial" w:cs="Arial" w:eastAsia="Arial" w:hAnsi="Arial"/>
          <w:sz w:val="16"/>
          <w:szCs w:val="16"/>
          <w:color w:val="auto"/>
        </w:rPr>
        <w:t>the renewable energy project developers' ability to obtain project financing and permitting; and</w:t>
      </w:r>
    </w:p>
    <w:p>
      <w:pPr>
        <w:spacing w:after="0" w:line="44" w:lineRule="exact"/>
        <w:rPr>
          <w:rFonts w:ascii="Arial" w:cs="Arial" w:eastAsia="Arial" w:hAnsi="Arial"/>
          <w:sz w:val="16"/>
          <w:szCs w:val="16"/>
          <w:color w:val="auto"/>
        </w:rPr>
      </w:pPr>
    </w:p>
    <w:p>
      <w:pPr>
        <w:ind w:left="144" w:hanging="144"/>
        <w:spacing w:after="0"/>
        <w:tabs>
          <w:tab w:leader="none" w:pos="144" w:val="left"/>
        </w:tabs>
        <w:numPr>
          <w:ilvl w:val="0"/>
          <w:numId w:val="381"/>
        </w:numPr>
        <w:rPr>
          <w:rFonts w:ascii="Arial" w:cs="Arial" w:eastAsia="Arial" w:hAnsi="Arial"/>
          <w:sz w:val="16"/>
          <w:szCs w:val="16"/>
          <w:color w:val="auto"/>
        </w:rPr>
      </w:pPr>
      <w:r>
        <w:rPr>
          <w:rFonts w:ascii="Arial" w:cs="Arial" w:eastAsia="Arial" w:hAnsi="Arial"/>
          <w:sz w:val="16"/>
          <w:szCs w:val="16"/>
          <w:color w:val="auto"/>
        </w:rPr>
        <w:t>successful development and implementation of the renewable energy technologies.</w:t>
      </w:r>
    </w:p>
    <w:p>
      <w:pPr>
        <w:spacing w:after="0" w:line="128" w:lineRule="exact"/>
        <w:rPr>
          <w:sz w:val="20"/>
          <w:szCs w:val="20"/>
          <w:color w:val="auto"/>
        </w:rPr>
      </w:pPr>
    </w:p>
    <w:p>
      <w:pPr>
        <w:ind w:left="4" w:right="160"/>
        <w:spacing w:after="0" w:line="257" w:lineRule="auto"/>
        <w:rPr>
          <w:sz w:val="20"/>
          <w:szCs w:val="20"/>
          <w:color w:val="auto"/>
        </w:rPr>
      </w:pPr>
      <w:r>
        <w:rPr>
          <w:rFonts w:ascii="Arial" w:cs="Arial" w:eastAsia="Arial" w:hAnsi="Arial"/>
          <w:sz w:val="16"/>
          <w:szCs w:val="16"/>
          <w:color w:val="auto"/>
        </w:rPr>
        <w:t>While CPUC approval was received for the Sunrise Powerlink project in December 2008, due to the extended regulatory review period, SDG&amp;E does not expect the Sunrise Powerlink transmission line to be in operation until 2012, too late to provide transmission capability to meet the RPS Program requirements for 2010 and 2011. Consequently, it is unlikely that SDG&amp;E will be able to meet the RPS Program delivered-energy goal for those years. Without the application of the flexible compliance mechanisms, SDG&amp;E's failure to attain the 20-percent goal in 2010, or any subsequent years' goals, could subject it to CPUC-imposed penalties of 5 cents per kilowatt hour of renewable energy under-delivery up to a maximum penalty of $25 million per year.</w:t>
      </w:r>
    </w:p>
    <w:p>
      <w:pPr>
        <w:spacing w:after="0" w:line="142" w:lineRule="exact"/>
        <w:rPr>
          <w:sz w:val="20"/>
          <w:szCs w:val="20"/>
          <w:color w:val="auto"/>
        </w:rPr>
      </w:pPr>
    </w:p>
    <w:p>
      <w:pPr>
        <w:ind w:left="4"/>
        <w:spacing w:after="0"/>
        <w:rPr>
          <w:sz w:val="20"/>
          <w:szCs w:val="20"/>
          <w:color w:val="auto"/>
        </w:rPr>
      </w:pPr>
      <w:r>
        <w:rPr>
          <w:rFonts w:ascii="Arial" w:cs="Arial" w:eastAsia="Arial" w:hAnsi="Arial"/>
          <w:sz w:val="18"/>
          <w:szCs w:val="18"/>
          <w:b w:val="1"/>
          <w:bCs w:val="1"/>
          <w:i w:val="1"/>
          <w:iCs w:val="1"/>
          <w:color w:val="auto"/>
        </w:rPr>
        <w:t>Miramar II Peaking Plant</w:t>
      </w:r>
    </w:p>
    <w:p>
      <w:pPr>
        <w:spacing w:after="0" w:line="23" w:lineRule="exact"/>
        <w:rPr>
          <w:sz w:val="20"/>
          <w:szCs w:val="20"/>
          <w:color w:val="auto"/>
        </w:rPr>
      </w:pPr>
    </w:p>
    <w:p>
      <w:pPr>
        <w:jc w:val="both"/>
        <w:ind w:left="4" w:right="160"/>
        <w:spacing w:after="0" w:line="264" w:lineRule="auto"/>
        <w:rPr>
          <w:sz w:val="20"/>
          <w:szCs w:val="20"/>
          <w:color w:val="auto"/>
        </w:rPr>
      </w:pPr>
      <w:r>
        <w:rPr>
          <w:rFonts w:ascii="Arial" w:cs="Arial" w:eastAsia="Arial" w:hAnsi="Arial"/>
          <w:sz w:val="16"/>
          <w:szCs w:val="16"/>
          <w:color w:val="auto"/>
        </w:rPr>
        <w:t>In January 2009, the CPUC issued a final decision approving SDG&amp;E's application to construct a natural gas-fired peaking plant in San Diego (Miramar II), next to an existing SDG&amp;E peaking plant. Miramar II is currently estimated to cost $57 million and will have a capacity of 46.5 MW. SDG&amp;E will own and operate the plant. SDG&amp;E expects the plant to be in operation by mid-2009.</w:t>
      </w:r>
    </w:p>
    <w:p>
      <w:pPr>
        <w:spacing w:after="0" w:line="135" w:lineRule="exact"/>
        <w:rPr>
          <w:sz w:val="20"/>
          <w:szCs w:val="20"/>
          <w:color w:val="auto"/>
        </w:rPr>
      </w:pPr>
    </w:p>
    <w:p>
      <w:pPr>
        <w:ind w:left="4"/>
        <w:spacing w:after="0"/>
        <w:rPr>
          <w:sz w:val="20"/>
          <w:szCs w:val="20"/>
          <w:color w:val="auto"/>
        </w:rPr>
      </w:pPr>
      <w:r>
        <w:rPr>
          <w:rFonts w:ascii="Arial" w:cs="Arial" w:eastAsia="Arial" w:hAnsi="Arial"/>
          <w:sz w:val="18"/>
          <w:szCs w:val="18"/>
          <w:b w:val="1"/>
          <w:bCs w:val="1"/>
          <w:i w:val="1"/>
          <w:iCs w:val="1"/>
          <w:color w:val="auto"/>
        </w:rPr>
        <w:t>Solar Photovoltaic Program</w:t>
      </w:r>
    </w:p>
    <w:p>
      <w:pPr>
        <w:spacing w:after="0" w:line="23" w:lineRule="exact"/>
        <w:rPr>
          <w:sz w:val="20"/>
          <w:szCs w:val="20"/>
          <w:color w:val="auto"/>
        </w:rPr>
      </w:pPr>
    </w:p>
    <w:p>
      <w:pPr>
        <w:ind w:left="4" w:right="380"/>
        <w:spacing w:after="0" w:line="264" w:lineRule="auto"/>
        <w:rPr>
          <w:sz w:val="20"/>
          <w:szCs w:val="20"/>
          <w:color w:val="auto"/>
        </w:rPr>
      </w:pPr>
      <w:r>
        <w:rPr>
          <w:rFonts w:ascii="Arial" w:cs="Arial" w:eastAsia="Arial" w:hAnsi="Arial"/>
          <w:sz w:val="16"/>
          <w:szCs w:val="16"/>
          <w:color w:val="auto"/>
        </w:rPr>
        <w:t>In July 2008, SDG&amp;E filed an application with the CPUC proposing to install solar photovoltaic panels in the San Diego area. These panels could potentially generate approximately 50 MW of direct current power (approximately equivalent to 35 MW of power to the electric grid). We estimate the cost of the program to be $250 million. A CPUC decision is expected in the third quarter of 2009. If approved, we expect the program to be completed in 2013.</w:t>
      </w:r>
    </w:p>
    <w:p>
      <w:pPr>
        <w:spacing w:after="0" w:line="135" w:lineRule="exact"/>
        <w:rPr>
          <w:sz w:val="20"/>
          <w:szCs w:val="20"/>
          <w:color w:val="auto"/>
        </w:rPr>
      </w:pPr>
    </w:p>
    <w:p>
      <w:pPr>
        <w:ind w:left="4"/>
        <w:spacing w:after="0"/>
        <w:rPr>
          <w:sz w:val="20"/>
          <w:szCs w:val="20"/>
          <w:color w:val="auto"/>
        </w:rPr>
      </w:pPr>
      <w:r>
        <w:rPr>
          <w:rFonts w:ascii="Arial" w:cs="Arial" w:eastAsia="Arial" w:hAnsi="Arial"/>
          <w:sz w:val="18"/>
          <w:szCs w:val="18"/>
          <w:b w:val="1"/>
          <w:bCs w:val="1"/>
          <w:i w:val="1"/>
          <w:iCs w:val="1"/>
          <w:color w:val="auto"/>
        </w:rPr>
        <w:t>Long-Term Procurement Plan</w:t>
      </w:r>
    </w:p>
    <w:p>
      <w:pPr>
        <w:spacing w:after="0" w:line="23" w:lineRule="exact"/>
        <w:rPr>
          <w:sz w:val="20"/>
          <w:szCs w:val="20"/>
          <w:color w:val="auto"/>
        </w:rPr>
      </w:pPr>
    </w:p>
    <w:p>
      <w:pPr>
        <w:ind w:left="4" w:right="140"/>
        <w:spacing w:after="0" w:line="277" w:lineRule="auto"/>
        <w:rPr>
          <w:sz w:val="20"/>
          <w:szCs w:val="20"/>
          <w:color w:val="auto"/>
        </w:rPr>
      </w:pPr>
      <w:r>
        <w:rPr>
          <w:rFonts w:ascii="Arial" w:cs="Arial" w:eastAsia="Arial" w:hAnsi="Arial"/>
          <w:sz w:val="16"/>
          <w:szCs w:val="16"/>
          <w:color w:val="auto"/>
        </w:rPr>
        <w:t>In December 2007, SDG&amp;E exercised its option to acquire the El Dorado power plant in 2011 at Sempra Generation's net book value. We estimate that the net book value at the date of acquisition will be approximately $189 million.</w:t>
      </w:r>
    </w:p>
    <w:p>
      <w:pPr>
        <w:spacing w:after="0" w:line="126" w:lineRule="exact"/>
        <w:rPr>
          <w:sz w:val="20"/>
          <w:szCs w:val="20"/>
          <w:color w:val="auto"/>
        </w:rPr>
      </w:pPr>
    </w:p>
    <w:p>
      <w:pPr>
        <w:ind w:left="4"/>
        <w:spacing w:after="0"/>
        <w:rPr>
          <w:sz w:val="20"/>
          <w:szCs w:val="20"/>
          <w:color w:val="auto"/>
        </w:rPr>
      </w:pPr>
      <w:r>
        <w:rPr>
          <w:rFonts w:ascii="Arial" w:cs="Arial" w:eastAsia="Arial" w:hAnsi="Arial"/>
          <w:sz w:val="18"/>
          <w:szCs w:val="18"/>
          <w:b w:val="1"/>
          <w:bCs w:val="1"/>
          <w:i w:val="1"/>
          <w:iCs w:val="1"/>
          <w:color w:val="auto"/>
        </w:rPr>
        <w:t>San Onofre Nuclear Generating Station (SONGS)</w:t>
      </w:r>
    </w:p>
    <w:p>
      <w:pPr>
        <w:spacing w:after="0" w:line="23" w:lineRule="exact"/>
        <w:rPr>
          <w:sz w:val="20"/>
          <w:szCs w:val="20"/>
          <w:color w:val="auto"/>
        </w:rPr>
      </w:pPr>
    </w:p>
    <w:p>
      <w:pPr>
        <w:ind w:left="4"/>
        <w:spacing w:after="0" w:line="278" w:lineRule="auto"/>
        <w:rPr>
          <w:sz w:val="20"/>
          <w:szCs w:val="20"/>
          <w:color w:val="auto"/>
        </w:rPr>
      </w:pPr>
      <w:r>
        <w:rPr>
          <w:rFonts w:ascii="Arial" w:cs="Arial" w:eastAsia="Arial" w:hAnsi="Arial"/>
          <w:sz w:val="15"/>
          <w:szCs w:val="15"/>
          <w:color w:val="auto"/>
        </w:rPr>
        <w:t>SONGS is jointly owned by Southern California Edison (Edison) (78.21%), SDG&amp;E (20%) and the city of Riverside (1.79%). In September 2008, as part of Edison's 2009 General Rate Case, SDG&amp;E requested a $116.2 million base revenue requirement for 2009 (a $10.2 million increase) to recover costs for its 20-percent ownership in SONGS. SDG&amp;E also requested $13.2 million for its share of SONGS refueling outage expenses (per refueling outage) in 2009, a decrease of $2.7 million. The CPUC issued draft and alternate decisions in November 2008, and SDG&amp;E expects the final CPUC decision in the first quarter of 2009. Until a final decision is approved, SDG&amp;E has received approval from the CPUC to track the change in SONGS-related revenue requirement from January 1, 2009 through the effective date of the final decision.</w:t>
      </w:r>
    </w:p>
    <w:p>
      <w:pPr>
        <w:spacing w:after="0" w:line="34" w:lineRule="exact"/>
        <w:rPr>
          <w:sz w:val="20"/>
          <w:szCs w:val="20"/>
          <w:color w:val="auto"/>
        </w:rPr>
      </w:pPr>
    </w:p>
    <w:p>
      <w:pPr>
        <w:ind w:left="4" w:right="20"/>
        <w:spacing w:after="0" w:line="282" w:lineRule="auto"/>
        <w:rPr>
          <w:sz w:val="20"/>
          <w:szCs w:val="20"/>
          <w:color w:val="auto"/>
        </w:rPr>
      </w:pPr>
      <w:r>
        <w:rPr>
          <w:rFonts w:ascii="Arial" w:cs="Arial" w:eastAsia="Arial" w:hAnsi="Arial"/>
          <w:sz w:val="15"/>
          <w:szCs w:val="15"/>
          <w:color w:val="auto"/>
        </w:rPr>
        <w:t>Edison is in the process of replacing the steam generators at SONGS. Project completion is expected in 2010 and 2011 for Units 2 and 3, respectively. Total estimated capital expenditure for the project, in 2004 dollars, is $671 million, excluding AFUDC. SDG&amp;E's current expected share is $169 million, of which $51 million has been incurred through December 31, 2008, and there are $60 million of firm commitments at December 31, 2008. In 2006, the CPUC approved SDG&amp;E's participation in the replacement project as well as providing SDG&amp;E with full recovery of current operating and maintenance costs via balancing account treatment effective January 1, 2007.</w:t>
      </w:r>
    </w:p>
    <w:p>
      <w:pPr>
        <w:spacing w:after="0" w:line="200" w:lineRule="exact"/>
        <w:rPr>
          <w:sz w:val="20"/>
          <w:szCs w:val="20"/>
          <w:color w:val="auto"/>
        </w:rPr>
      </w:pPr>
    </w:p>
    <w:p>
      <w:pPr>
        <w:spacing w:after="0" w:line="291" w:lineRule="exact"/>
        <w:rPr>
          <w:sz w:val="20"/>
          <w:szCs w:val="20"/>
          <w:color w:val="auto"/>
        </w:rPr>
      </w:pPr>
    </w:p>
    <w:p>
      <w:pPr>
        <w:ind w:left="4"/>
        <w:spacing w:after="0"/>
        <w:rPr>
          <w:sz w:val="20"/>
          <w:szCs w:val="20"/>
          <w:color w:val="auto"/>
        </w:rPr>
      </w:pPr>
      <w:r>
        <w:rPr>
          <w:rFonts w:ascii="Arial" w:cs="Arial" w:eastAsia="Arial" w:hAnsi="Arial"/>
          <w:sz w:val="14"/>
          <w:szCs w:val="14"/>
          <w:color w:val="auto"/>
        </w:rPr>
        <w:t>168</w:t>
      </w:r>
    </w:p>
    <w:p>
      <w:pPr>
        <w:sectPr>
          <w:pgSz w:w="11900" w:h="16838" w:orient="portrait"/>
          <w:cols w:equalWidth="0" w:num="1">
            <w:col w:w="11444"/>
          </w:cols>
          <w:pgMar w:left="236" w:top="127" w:right="219" w:bottom="1440" w:gutter="0" w:footer="0" w:header="0"/>
        </w:sectPr>
      </w:pPr>
    </w:p>
    <w:bookmarkStart w:id="308" w:name="page309"/>
    <w:bookmarkEnd w:id="308"/>
    <w:p>
      <w:pPr>
        <w:ind w:left="4"/>
        <w:spacing w:after="0"/>
        <w:rPr>
          <w:sz w:val="20"/>
          <w:szCs w:val="20"/>
          <w:color w:val="auto"/>
        </w:rPr>
      </w:pPr>
      <w:r>
        <w:rPr>
          <w:rFonts w:ascii="Arial" w:cs="Arial" w:eastAsia="Arial" w:hAnsi="Arial"/>
          <w:sz w:val="18"/>
          <w:szCs w:val="18"/>
          <w:b w:val="1"/>
          <w:bCs w:val="1"/>
          <w:i w:val="1"/>
          <w:iCs w:val="1"/>
          <w:color w:val="auto"/>
        </w:rPr>
        <w:t>Spent Nuclear Fuel</w:t>
      </w:r>
    </w:p>
    <w:p>
      <w:pPr>
        <w:spacing w:after="0" w:line="23" w:lineRule="exact"/>
        <w:rPr>
          <w:sz w:val="20"/>
          <w:szCs w:val="20"/>
          <w:color w:val="auto"/>
        </w:rPr>
      </w:pPr>
    </w:p>
    <w:p>
      <w:pPr>
        <w:ind w:left="4" w:right="60"/>
        <w:spacing w:after="0" w:line="313" w:lineRule="auto"/>
        <w:rPr>
          <w:sz w:val="20"/>
          <w:szCs w:val="20"/>
          <w:color w:val="auto"/>
        </w:rPr>
      </w:pPr>
      <w:r>
        <w:rPr>
          <w:rFonts w:ascii="Arial" w:cs="Arial" w:eastAsia="Arial" w:hAnsi="Arial"/>
          <w:sz w:val="14"/>
          <w:szCs w:val="14"/>
          <w:color w:val="auto"/>
        </w:rPr>
        <w:t>SONGS owners are responsible for interim storage of spent nuclear fuel generated at SONGS until the DOE accepts it for final disposal. Spent nuclear fuel has been stored in the SONGS Units 1, 2 and 3 spent fuel pools and in the independent spent fuel storage installation (ISFSI). Movement of all Unit 1 spent fuel to the ISFSI was completed in 2005.</w:t>
      </w:r>
    </w:p>
    <w:p>
      <w:pPr>
        <w:spacing w:after="0" w:line="1" w:lineRule="exact"/>
        <w:rPr>
          <w:sz w:val="20"/>
          <w:szCs w:val="20"/>
          <w:color w:val="auto"/>
        </w:rPr>
      </w:pPr>
    </w:p>
    <w:p>
      <w:pPr>
        <w:ind w:left="144" w:hanging="144"/>
        <w:spacing w:after="0"/>
        <w:tabs>
          <w:tab w:leader="none" w:pos="144" w:val="left"/>
        </w:tabs>
        <w:numPr>
          <w:ilvl w:val="0"/>
          <w:numId w:val="382"/>
        </w:numPr>
        <w:rPr>
          <w:rFonts w:ascii="Arial" w:cs="Arial" w:eastAsia="Arial" w:hAnsi="Arial"/>
          <w:sz w:val="16"/>
          <w:szCs w:val="16"/>
          <w:color w:val="auto"/>
        </w:rPr>
      </w:pPr>
      <w:r>
        <w:rPr>
          <w:rFonts w:ascii="Arial" w:cs="Arial" w:eastAsia="Arial" w:hAnsi="Arial"/>
          <w:sz w:val="16"/>
          <w:szCs w:val="16"/>
          <w:color w:val="auto"/>
        </w:rPr>
        <w:t>Spent fuel for Unit 2 is being stored in both the Unit 2 spent fuel pool and the ISFSI.</w:t>
      </w:r>
    </w:p>
    <w:p>
      <w:pPr>
        <w:spacing w:after="0" w:line="44" w:lineRule="exact"/>
        <w:rPr>
          <w:rFonts w:ascii="Arial" w:cs="Arial" w:eastAsia="Arial" w:hAnsi="Arial"/>
          <w:sz w:val="16"/>
          <w:szCs w:val="16"/>
          <w:color w:val="auto"/>
        </w:rPr>
      </w:pPr>
    </w:p>
    <w:p>
      <w:pPr>
        <w:ind w:left="144" w:hanging="144"/>
        <w:spacing w:after="0"/>
        <w:tabs>
          <w:tab w:leader="none" w:pos="144" w:val="left"/>
        </w:tabs>
        <w:numPr>
          <w:ilvl w:val="0"/>
          <w:numId w:val="382"/>
        </w:numPr>
        <w:rPr>
          <w:rFonts w:ascii="Arial" w:cs="Arial" w:eastAsia="Arial" w:hAnsi="Arial"/>
          <w:sz w:val="16"/>
          <w:szCs w:val="16"/>
          <w:color w:val="auto"/>
        </w:rPr>
      </w:pPr>
      <w:r>
        <w:rPr>
          <w:rFonts w:ascii="Arial" w:cs="Arial" w:eastAsia="Arial" w:hAnsi="Arial"/>
          <w:sz w:val="16"/>
          <w:szCs w:val="16"/>
          <w:color w:val="auto"/>
        </w:rPr>
        <w:t>Spent fuel for Unit 3 is being stored in both the Unit 3 spent fuel pool and the ISFSI.</w:t>
      </w:r>
    </w:p>
    <w:p>
      <w:pPr>
        <w:spacing w:after="0" w:line="128" w:lineRule="exact"/>
        <w:rPr>
          <w:sz w:val="20"/>
          <w:szCs w:val="20"/>
          <w:color w:val="auto"/>
        </w:rPr>
      </w:pPr>
    </w:p>
    <w:p>
      <w:pPr>
        <w:ind w:left="4"/>
        <w:spacing w:after="0"/>
        <w:rPr>
          <w:sz w:val="20"/>
          <w:szCs w:val="20"/>
          <w:color w:val="auto"/>
        </w:rPr>
      </w:pPr>
      <w:r>
        <w:rPr>
          <w:rFonts w:ascii="Arial" w:cs="Arial" w:eastAsia="Arial" w:hAnsi="Arial"/>
          <w:sz w:val="16"/>
          <w:szCs w:val="16"/>
          <w:color w:val="auto"/>
        </w:rPr>
        <w:t>Construction of a second ISFSI pad to be completed in 2009 will provide sufficient storage capacity to allow for the continued operation of SONGS through 2022.</w:t>
      </w:r>
    </w:p>
    <w:p>
      <w:pPr>
        <w:spacing w:after="0" w:line="174" w:lineRule="exact"/>
        <w:rPr>
          <w:sz w:val="20"/>
          <w:szCs w:val="20"/>
          <w:color w:val="auto"/>
        </w:rPr>
      </w:pPr>
    </w:p>
    <w:p>
      <w:pPr>
        <w:ind w:left="4"/>
        <w:spacing w:after="0"/>
        <w:rPr>
          <w:sz w:val="20"/>
          <w:szCs w:val="20"/>
          <w:color w:val="auto"/>
        </w:rPr>
      </w:pPr>
      <w:r>
        <w:rPr>
          <w:rFonts w:ascii="Arial" w:cs="Arial" w:eastAsia="Arial" w:hAnsi="Arial"/>
          <w:sz w:val="18"/>
          <w:szCs w:val="18"/>
          <w:b w:val="1"/>
          <w:bCs w:val="1"/>
          <w:i w:val="1"/>
          <w:iCs w:val="1"/>
          <w:color w:val="auto"/>
        </w:rPr>
        <w:t>Electric Transmission Formula Rate</w:t>
      </w:r>
    </w:p>
    <w:p>
      <w:pPr>
        <w:spacing w:after="0" w:line="23" w:lineRule="exact"/>
        <w:rPr>
          <w:sz w:val="20"/>
          <w:szCs w:val="20"/>
          <w:color w:val="auto"/>
        </w:rPr>
      </w:pPr>
    </w:p>
    <w:p>
      <w:pPr>
        <w:ind w:left="4"/>
        <w:spacing w:after="0" w:line="308" w:lineRule="auto"/>
        <w:rPr>
          <w:sz w:val="20"/>
          <w:szCs w:val="20"/>
          <w:color w:val="auto"/>
        </w:rPr>
      </w:pPr>
      <w:r>
        <w:rPr>
          <w:rFonts w:ascii="Arial" w:cs="Arial" w:eastAsia="Arial" w:hAnsi="Arial"/>
          <w:sz w:val="14"/>
          <w:szCs w:val="14"/>
          <w:color w:val="auto"/>
        </w:rPr>
        <w:t>Effective July 1, 2007, SDG&amp;E recovers its annual transmission capital investment at a return on equity (ROE) of 11.35 percent, an increase from the previous authorized ROE of 11.25 percent. In May 2007, the FERC approved a formula rate mechanism that allows SDG&amp;E to recover the cost of owning and operating its transmission system through annual informational filings with revised rates effective September 1 of each year. In August 2008, SDG&amp;E made such a filing with the FERC, increasing SDG&amp;E's transmission revenue requirement by $85 million, or 40%, effective September 1, 2008, for a twelve-month period. SDG&amp;E’s formula rate mechanism remains in effect through August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192405</wp:posOffset>
            </wp:positionV>
            <wp:extent cx="7261860" cy="762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pacing w:after="0" w:line="340" w:lineRule="exact"/>
        <w:rPr>
          <w:sz w:val="20"/>
          <w:szCs w:val="20"/>
          <w:color w:val="auto"/>
        </w:rPr>
      </w:pPr>
    </w:p>
    <w:p>
      <w:pPr>
        <w:ind w:left="4"/>
        <w:spacing w:after="0"/>
        <w:rPr>
          <w:sz w:val="20"/>
          <w:szCs w:val="20"/>
          <w:color w:val="auto"/>
        </w:rPr>
      </w:pPr>
      <w:r>
        <w:rPr>
          <w:rFonts w:ascii="Arial" w:cs="Arial" w:eastAsia="Arial" w:hAnsi="Arial"/>
          <w:sz w:val="18"/>
          <w:szCs w:val="18"/>
          <w:color w:val="auto"/>
        </w:rPr>
        <w:t>NOTE 15. OTHER REGULATORY MATTERS</w:t>
      </w:r>
    </w:p>
    <w:p>
      <w:pPr>
        <w:spacing w:after="0" w:line="244"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auto"/>
        </w:rPr>
        <w:t>GENERAL RATE CASE (GRC)</w:t>
      </w:r>
    </w:p>
    <w:p>
      <w:pPr>
        <w:spacing w:after="0" w:line="89" w:lineRule="exact"/>
        <w:rPr>
          <w:sz w:val="20"/>
          <w:szCs w:val="20"/>
          <w:color w:val="auto"/>
        </w:rPr>
      </w:pPr>
    </w:p>
    <w:p>
      <w:pPr>
        <w:ind w:left="4" w:right="100"/>
        <w:spacing w:after="0" w:line="277" w:lineRule="auto"/>
        <w:rPr>
          <w:sz w:val="20"/>
          <w:szCs w:val="20"/>
          <w:color w:val="auto"/>
        </w:rPr>
      </w:pPr>
      <w:r>
        <w:rPr>
          <w:rFonts w:ascii="Arial" w:cs="Arial" w:eastAsia="Arial" w:hAnsi="Arial"/>
          <w:sz w:val="16"/>
          <w:szCs w:val="16"/>
          <w:color w:val="auto"/>
        </w:rPr>
        <w:t>The CPUC uses a general rate case proceeding to determine the Sempra Utilities' reasonable level of costs and to set rates sufficient to allow the Sempra Utilities to recover their costs and realize an acceptable rate of return on their investment.</w:t>
      </w:r>
    </w:p>
    <w:p>
      <w:pPr>
        <w:spacing w:after="0" w:line="32" w:lineRule="exact"/>
        <w:rPr>
          <w:sz w:val="20"/>
          <w:szCs w:val="20"/>
          <w:color w:val="auto"/>
        </w:rPr>
      </w:pPr>
    </w:p>
    <w:p>
      <w:pPr>
        <w:ind w:left="4" w:right="180"/>
        <w:spacing w:after="0" w:line="264" w:lineRule="auto"/>
        <w:rPr>
          <w:sz w:val="20"/>
          <w:szCs w:val="20"/>
          <w:color w:val="auto"/>
        </w:rPr>
      </w:pPr>
      <w:r>
        <w:rPr>
          <w:rFonts w:ascii="Arial" w:cs="Arial" w:eastAsia="Arial" w:hAnsi="Arial"/>
          <w:sz w:val="16"/>
          <w:szCs w:val="16"/>
          <w:color w:val="auto"/>
        </w:rPr>
        <w:t>In July 2008, the CPUC issued its final decision in both SoCalGas' and SDG&amp;E's 2008 General Rate Case (2008 GRC). The decision adopted the test-year 2008 revenue requirements, effective retroactive to January 1, 2008. It also adopted the post-test year revenue requirements that were included in settlement agreements filed with the CPUC. These settlement agreements were with various groups representing the interests of ratepayers and other constituents.</w:t>
      </w:r>
    </w:p>
    <w:p>
      <w:pPr>
        <w:spacing w:after="0" w:line="42" w:lineRule="exact"/>
        <w:rPr>
          <w:sz w:val="20"/>
          <w:szCs w:val="20"/>
          <w:color w:val="auto"/>
        </w:rPr>
      </w:pPr>
    </w:p>
    <w:p>
      <w:pPr>
        <w:ind w:left="4"/>
        <w:spacing w:after="0"/>
        <w:rPr>
          <w:sz w:val="20"/>
          <w:szCs w:val="20"/>
          <w:color w:val="auto"/>
        </w:rPr>
      </w:pPr>
      <w:r>
        <w:rPr>
          <w:rFonts w:ascii="Arial" w:cs="Arial" w:eastAsia="Arial" w:hAnsi="Arial"/>
          <w:sz w:val="16"/>
          <w:szCs w:val="16"/>
          <w:color w:val="auto"/>
        </w:rPr>
        <w:t>The CPUC decision:</w:t>
      </w:r>
    </w:p>
    <w:p>
      <w:pPr>
        <w:spacing w:after="0" w:line="44" w:lineRule="exact"/>
        <w:rPr>
          <w:sz w:val="20"/>
          <w:szCs w:val="20"/>
          <w:color w:val="auto"/>
        </w:rPr>
      </w:pPr>
    </w:p>
    <w:p>
      <w:pPr>
        <w:ind w:left="144" w:hanging="144"/>
        <w:spacing w:after="0"/>
        <w:tabs>
          <w:tab w:leader="none" w:pos="144" w:val="left"/>
        </w:tabs>
        <w:numPr>
          <w:ilvl w:val="0"/>
          <w:numId w:val="383"/>
        </w:numPr>
        <w:rPr>
          <w:rFonts w:ascii="Arial" w:cs="Arial" w:eastAsia="Arial" w:hAnsi="Arial"/>
          <w:sz w:val="16"/>
          <w:szCs w:val="16"/>
          <w:color w:val="auto"/>
        </w:rPr>
      </w:pPr>
      <w:r>
        <w:rPr>
          <w:rFonts w:ascii="Arial" w:cs="Arial" w:eastAsia="Arial" w:hAnsi="Arial"/>
          <w:sz w:val="16"/>
          <w:szCs w:val="16"/>
          <w:color w:val="auto"/>
        </w:rPr>
        <w:t>increased the 2008 annual revenue requirement as compared to 2007 by $59 million for SoCalGas and $138 million for SDG&amp;E;</w:t>
      </w:r>
    </w:p>
    <w:p>
      <w:pPr>
        <w:spacing w:after="0" w:line="44" w:lineRule="exact"/>
        <w:rPr>
          <w:rFonts w:ascii="Arial" w:cs="Arial" w:eastAsia="Arial" w:hAnsi="Arial"/>
          <w:sz w:val="16"/>
          <w:szCs w:val="16"/>
          <w:color w:val="auto"/>
        </w:rPr>
      </w:pPr>
    </w:p>
    <w:p>
      <w:pPr>
        <w:ind w:left="144" w:right="1340" w:hanging="144"/>
        <w:spacing w:after="0" w:line="274" w:lineRule="auto"/>
        <w:tabs>
          <w:tab w:leader="none" w:pos="144" w:val="left"/>
        </w:tabs>
        <w:numPr>
          <w:ilvl w:val="0"/>
          <w:numId w:val="383"/>
        </w:numPr>
        <w:rPr>
          <w:rFonts w:ascii="Arial" w:cs="Arial" w:eastAsia="Arial" w:hAnsi="Arial"/>
          <w:sz w:val="16"/>
          <w:szCs w:val="16"/>
          <w:color w:val="auto"/>
        </w:rPr>
      </w:pPr>
      <w:r>
        <w:rPr>
          <w:rFonts w:ascii="Arial" w:cs="Arial" w:eastAsia="Arial" w:hAnsi="Arial"/>
          <w:sz w:val="16"/>
          <w:szCs w:val="16"/>
          <w:color w:val="auto"/>
        </w:rPr>
        <w:t>provides average annual increases of approximately $52 million (3%) for SoCalGas and $43 million (3%) for SDG&amp;E, in each of the post-test years' (2009 through 2011) revenue requirements;</w:t>
      </w:r>
    </w:p>
    <w:p>
      <w:pPr>
        <w:ind w:left="144" w:hanging="144"/>
        <w:spacing w:after="0"/>
        <w:tabs>
          <w:tab w:leader="none" w:pos="144" w:val="left"/>
        </w:tabs>
        <w:numPr>
          <w:ilvl w:val="0"/>
          <w:numId w:val="383"/>
        </w:numPr>
        <w:rPr>
          <w:rFonts w:ascii="Arial" w:cs="Arial" w:eastAsia="Arial" w:hAnsi="Arial"/>
          <w:sz w:val="16"/>
          <w:szCs w:val="16"/>
          <w:color w:val="auto"/>
        </w:rPr>
      </w:pPr>
      <w:r>
        <w:rPr>
          <w:rFonts w:ascii="Arial" w:cs="Arial" w:eastAsia="Arial" w:hAnsi="Arial"/>
          <w:sz w:val="16"/>
          <w:szCs w:val="16"/>
          <w:color w:val="auto"/>
        </w:rPr>
        <w:t>established a GRC period of four years (2008-2011); and</w:t>
      </w:r>
    </w:p>
    <w:p>
      <w:pPr>
        <w:spacing w:after="0" w:line="44" w:lineRule="exact"/>
        <w:rPr>
          <w:rFonts w:ascii="Arial" w:cs="Arial" w:eastAsia="Arial" w:hAnsi="Arial"/>
          <w:sz w:val="16"/>
          <w:szCs w:val="16"/>
          <w:color w:val="auto"/>
        </w:rPr>
      </w:pPr>
    </w:p>
    <w:p>
      <w:pPr>
        <w:ind w:left="144" w:hanging="144"/>
        <w:spacing w:after="0"/>
        <w:tabs>
          <w:tab w:leader="none" w:pos="144" w:val="left"/>
        </w:tabs>
        <w:numPr>
          <w:ilvl w:val="0"/>
          <w:numId w:val="383"/>
        </w:numPr>
        <w:rPr>
          <w:rFonts w:ascii="Arial" w:cs="Arial" w:eastAsia="Arial" w:hAnsi="Arial"/>
          <w:sz w:val="16"/>
          <w:szCs w:val="16"/>
          <w:color w:val="auto"/>
        </w:rPr>
      </w:pPr>
      <w:r>
        <w:rPr>
          <w:rFonts w:ascii="Arial" w:cs="Arial" w:eastAsia="Arial" w:hAnsi="Arial"/>
          <w:sz w:val="16"/>
          <w:szCs w:val="16"/>
          <w:color w:val="auto"/>
        </w:rPr>
        <w:t>excludes any earnings cap or earnings sharing during the GRC period.</w:t>
      </w:r>
    </w:p>
    <w:p>
      <w:pPr>
        <w:spacing w:after="0" w:line="128" w:lineRule="exact"/>
        <w:rPr>
          <w:sz w:val="20"/>
          <w:szCs w:val="20"/>
          <w:color w:val="auto"/>
        </w:rPr>
      </w:pPr>
    </w:p>
    <w:p>
      <w:pPr>
        <w:ind w:left="4"/>
        <w:spacing w:after="0"/>
        <w:rPr>
          <w:sz w:val="20"/>
          <w:szCs w:val="20"/>
          <w:color w:val="auto"/>
        </w:rPr>
      </w:pPr>
      <w:r>
        <w:rPr>
          <w:rFonts w:ascii="Arial" w:cs="Arial" w:eastAsia="Arial" w:hAnsi="Arial"/>
          <w:sz w:val="16"/>
          <w:szCs w:val="16"/>
          <w:color w:val="auto"/>
        </w:rPr>
        <w:t>SDG&amp;E and SoCalGas will file their next GRC applications in December 2010 for test year 2012.</w:t>
      </w:r>
    </w:p>
    <w:p>
      <w:pPr>
        <w:spacing w:after="0" w:line="276"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auto"/>
        </w:rPr>
        <w:t>UTILITY INCENTIVE MECHANISMS</w:t>
      </w:r>
    </w:p>
    <w:p>
      <w:pPr>
        <w:spacing w:after="0" w:line="89" w:lineRule="exact"/>
        <w:rPr>
          <w:sz w:val="20"/>
          <w:szCs w:val="20"/>
          <w:color w:val="auto"/>
        </w:rPr>
      </w:pPr>
    </w:p>
    <w:p>
      <w:pPr>
        <w:jc w:val="both"/>
        <w:ind w:left="4" w:right="340"/>
        <w:spacing w:after="0" w:line="264" w:lineRule="auto"/>
        <w:rPr>
          <w:sz w:val="20"/>
          <w:szCs w:val="20"/>
          <w:color w:val="auto"/>
        </w:rPr>
      </w:pPr>
      <w:r>
        <w:rPr>
          <w:rFonts w:ascii="Arial" w:cs="Arial" w:eastAsia="Arial" w:hAnsi="Arial"/>
          <w:sz w:val="16"/>
          <w:szCs w:val="16"/>
          <w:color w:val="auto"/>
        </w:rPr>
        <w:t>The CPUC applies performance-based measures and incentive mechanisms to all California utilities. Under such measures or mechanisms, the Sempra Utilities have income potential above authorized base margins if they achieve or exceed specific performance and operating goals, rather than relying solely on expanding utility plant to increase earnings. Generally, for performance-based awards, if performance is above or below specific benchmarks, the</w:t>
      </w:r>
    </w:p>
    <w:p>
      <w:pPr>
        <w:spacing w:after="0" w:line="200" w:lineRule="exact"/>
        <w:rPr>
          <w:sz w:val="20"/>
          <w:szCs w:val="20"/>
          <w:color w:val="auto"/>
        </w:rPr>
      </w:pPr>
    </w:p>
    <w:p>
      <w:pPr>
        <w:spacing w:after="0" w:line="230" w:lineRule="exact"/>
        <w:rPr>
          <w:sz w:val="20"/>
          <w:szCs w:val="20"/>
          <w:color w:val="auto"/>
        </w:rPr>
      </w:pPr>
    </w:p>
    <w:p>
      <w:pPr>
        <w:ind w:left="4"/>
        <w:spacing w:after="0"/>
        <w:rPr>
          <w:sz w:val="20"/>
          <w:szCs w:val="20"/>
          <w:color w:val="auto"/>
        </w:rPr>
      </w:pPr>
      <w:r>
        <w:rPr>
          <w:rFonts w:ascii="Arial" w:cs="Arial" w:eastAsia="Arial" w:hAnsi="Arial"/>
          <w:sz w:val="14"/>
          <w:szCs w:val="14"/>
          <w:color w:val="auto"/>
        </w:rPr>
        <w:t>169</w:t>
      </w:r>
    </w:p>
    <w:p>
      <w:pPr>
        <w:sectPr>
          <w:pgSz w:w="11900" w:h="16838" w:orient="portrait"/>
          <w:cols w:equalWidth="0" w:num="1">
            <w:col w:w="11424"/>
          </w:cols>
          <w:pgMar w:left="236" w:top="293" w:right="239" w:bottom="1440" w:gutter="0" w:footer="0" w:header="0"/>
        </w:sectPr>
      </w:pPr>
    </w:p>
    <w:bookmarkStart w:id="309" w:name="page310"/>
    <w:bookmarkEnd w:id="309"/>
    <w:p>
      <w:pPr>
        <w:ind w:left="4"/>
        <w:spacing w:after="0"/>
        <w:rPr>
          <w:sz w:val="20"/>
          <w:szCs w:val="20"/>
          <w:color w:val="auto"/>
        </w:rPr>
      </w:pPr>
      <w:r>
        <w:rPr>
          <w:rFonts w:ascii="Arial" w:cs="Arial" w:eastAsia="Arial" w:hAnsi="Arial"/>
          <w:sz w:val="16"/>
          <w:szCs w:val="16"/>
          <w:color w:val="auto"/>
        </w:rPr>
        <w:t>utility is eligible for financial awards or subject to financial penalties. There are four general areas that operate under an incentive structure:</w:t>
      </w:r>
    </w:p>
    <w:p>
      <w:pPr>
        <w:spacing w:after="0" w:line="44" w:lineRule="exact"/>
        <w:rPr>
          <w:sz w:val="20"/>
          <w:szCs w:val="20"/>
          <w:color w:val="auto"/>
        </w:rPr>
      </w:pPr>
    </w:p>
    <w:p>
      <w:pPr>
        <w:ind w:left="144" w:hanging="144"/>
        <w:spacing w:after="0"/>
        <w:tabs>
          <w:tab w:leader="none" w:pos="144" w:val="left"/>
        </w:tabs>
        <w:numPr>
          <w:ilvl w:val="0"/>
          <w:numId w:val="384"/>
        </w:numPr>
        <w:rPr>
          <w:rFonts w:ascii="Arial" w:cs="Arial" w:eastAsia="Arial" w:hAnsi="Arial"/>
          <w:sz w:val="16"/>
          <w:szCs w:val="16"/>
          <w:color w:val="auto"/>
        </w:rPr>
      </w:pPr>
      <w:r>
        <w:rPr>
          <w:rFonts w:ascii="Arial" w:cs="Arial" w:eastAsia="Arial" w:hAnsi="Arial"/>
          <w:sz w:val="16"/>
          <w:szCs w:val="16"/>
          <w:color w:val="auto"/>
        </w:rPr>
        <w:t>employee safety</w:t>
      </w:r>
    </w:p>
    <w:p>
      <w:pPr>
        <w:spacing w:after="0" w:line="44" w:lineRule="exact"/>
        <w:rPr>
          <w:rFonts w:ascii="Arial" w:cs="Arial" w:eastAsia="Arial" w:hAnsi="Arial"/>
          <w:sz w:val="16"/>
          <w:szCs w:val="16"/>
          <w:color w:val="auto"/>
        </w:rPr>
      </w:pPr>
    </w:p>
    <w:p>
      <w:pPr>
        <w:ind w:left="144" w:hanging="144"/>
        <w:spacing w:after="0"/>
        <w:tabs>
          <w:tab w:leader="none" w:pos="144" w:val="left"/>
        </w:tabs>
        <w:numPr>
          <w:ilvl w:val="0"/>
          <w:numId w:val="384"/>
        </w:numPr>
        <w:rPr>
          <w:rFonts w:ascii="Arial" w:cs="Arial" w:eastAsia="Arial" w:hAnsi="Arial"/>
          <w:sz w:val="16"/>
          <w:szCs w:val="16"/>
          <w:color w:val="auto"/>
        </w:rPr>
      </w:pPr>
      <w:r>
        <w:rPr>
          <w:rFonts w:ascii="Arial" w:cs="Arial" w:eastAsia="Arial" w:hAnsi="Arial"/>
          <w:sz w:val="16"/>
          <w:szCs w:val="16"/>
          <w:color w:val="auto"/>
        </w:rPr>
        <w:t>energy efficiency programs</w:t>
      </w:r>
    </w:p>
    <w:p>
      <w:pPr>
        <w:spacing w:after="0" w:line="44" w:lineRule="exact"/>
        <w:rPr>
          <w:rFonts w:ascii="Arial" w:cs="Arial" w:eastAsia="Arial" w:hAnsi="Arial"/>
          <w:sz w:val="16"/>
          <w:szCs w:val="16"/>
          <w:color w:val="auto"/>
        </w:rPr>
      </w:pPr>
    </w:p>
    <w:p>
      <w:pPr>
        <w:ind w:left="144" w:hanging="144"/>
        <w:spacing w:after="0"/>
        <w:tabs>
          <w:tab w:leader="none" w:pos="144" w:val="left"/>
        </w:tabs>
        <w:numPr>
          <w:ilvl w:val="0"/>
          <w:numId w:val="384"/>
        </w:numPr>
        <w:rPr>
          <w:rFonts w:ascii="Arial" w:cs="Arial" w:eastAsia="Arial" w:hAnsi="Arial"/>
          <w:sz w:val="16"/>
          <w:szCs w:val="16"/>
          <w:color w:val="auto"/>
        </w:rPr>
      </w:pPr>
      <w:r>
        <w:rPr>
          <w:rFonts w:ascii="Arial" w:cs="Arial" w:eastAsia="Arial" w:hAnsi="Arial"/>
          <w:sz w:val="16"/>
          <w:szCs w:val="16"/>
          <w:color w:val="auto"/>
        </w:rPr>
        <w:t>natural gas procurement</w:t>
      </w:r>
    </w:p>
    <w:p>
      <w:pPr>
        <w:spacing w:after="0" w:line="44" w:lineRule="exact"/>
        <w:rPr>
          <w:rFonts w:ascii="Arial" w:cs="Arial" w:eastAsia="Arial" w:hAnsi="Arial"/>
          <w:sz w:val="16"/>
          <w:szCs w:val="16"/>
          <w:color w:val="auto"/>
        </w:rPr>
      </w:pPr>
    </w:p>
    <w:p>
      <w:pPr>
        <w:ind w:left="144" w:hanging="144"/>
        <w:spacing w:after="0"/>
        <w:tabs>
          <w:tab w:leader="none" w:pos="144" w:val="left"/>
        </w:tabs>
        <w:numPr>
          <w:ilvl w:val="0"/>
          <w:numId w:val="384"/>
        </w:numPr>
        <w:rPr>
          <w:rFonts w:ascii="Arial" w:cs="Arial" w:eastAsia="Arial" w:hAnsi="Arial"/>
          <w:sz w:val="16"/>
          <w:szCs w:val="16"/>
          <w:color w:val="auto"/>
        </w:rPr>
      </w:pPr>
      <w:r>
        <w:rPr>
          <w:rFonts w:ascii="Arial" w:cs="Arial" w:eastAsia="Arial" w:hAnsi="Arial"/>
          <w:sz w:val="16"/>
          <w:szCs w:val="16"/>
          <w:color w:val="auto"/>
        </w:rPr>
        <w:t>natural gas unbundled storage and system operator hub services</w:t>
      </w:r>
    </w:p>
    <w:p>
      <w:pPr>
        <w:spacing w:after="0" w:line="128" w:lineRule="exact"/>
        <w:rPr>
          <w:sz w:val="20"/>
          <w:szCs w:val="20"/>
          <w:color w:val="auto"/>
        </w:rPr>
      </w:pPr>
    </w:p>
    <w:p>
      <w:pPr>
        <w:ind w:left="4"/>
        <w:spacing w:after="0"/>
        <w:rPr>
          <w:sz w:val="20"/>
          <w:szCs w:val="20"/>
          <w:color w:val="auto"/>
        </w:rPr>
      </w:pPr>
      <w:r>
        <w:rPr>
          <w:rFonts w:ascii="Arial" w:cs="Arial" w:eastAsia="Arial" w:hAnsi="Arial"/>
          <w:sz w:val="14"/>
          <w:szCs w:val="14"/>
          <w:color w:val="auto"/>
        </w:rPr>
        <w:t>Incentive awards are included in our earnings when we receive the CPUC's approval of the award, if applicable. All award amounts discussed below are on a pretax basis.</w:t>
      </w:r>
    </w:p>
    <w:p>
      <w:pPr>
        <w:spacing w:after="0" w:line="197" w:lineRule="exact"/>
        <w:rPr>
          <w:sz w:val="20"/>
          <w:szCs w:val="20"/>
          <w:color w:val="auto"/>
        </w:rPr>
      </w:pPr>
    </w:p>
    <w:p>
      <w:pPr>
        <w:ind w:left="4"/>
        <w:spacing w:after="0"/>
        <w:rPr>
          <w:sz w:val="20"/>
          <w:szCs w:val="20"/>
          <w:color w:val="auto"/>
        </w:rPr>
      </w:pPr>
      <w:r>
        <w:rPr>
          <w:rFonts w:ascii="Arial" w:cs="Arial" w:eastAsia="Arial" w:hAnsi="Arial"/>
          <w:sz w:val="18"/>
          <w:szCs w:val="18"/>
          <w:b w:val="1"/>
          <w:bCs w:val="1"/>
          <w:i w:val="1"/>
          <w:iCs w:val="1"/>
          <w:color w:val="auto"/>
        </w:rPr>
        <w:t>Employee Safety</w:t>
      </w:r>
    </w:p>
    <w:p>
      <w:pPr>
        <w:spacing w:after="0" w:line="23" w:lineRule="exact"/>
        <w:rPr>
          <w:sz w:val="20"/>
          <w:szCs w:val="20"/>
          <w:color w:val="auto"/>
        </w:rPr>
      </w:pPr>
    </w:p>
    <w:p>
      <w:pPr>
        <w:ind w:left="4" w:right="260"/>
        <w:spacing w:after="0" w:line="256" w:lineRule="auto"/>
        <w:rPr>
          <w:sz w:val="20"/>
          <w:szCs w:val="20"/>
          <w:color w:val="auto"/>
        </w:rPr>
      </w:pPr>
      <w:r>
        <w:rPr>
          <w:rFonts w:ascii="Arial" w:cs="Arial" w:eastAsia="Arial" w:hAnsi="Arial"/>
          <w:sz w:val="16"/>
          <w:szCs w:val="16"/>
          <w:color w:val="auto"/>
        </w:rPr>
        <w:t>The CPUC determines operational incentives and the associated benchmarks as a component of a general rate case or cost of service decision. The operational performance incentives in effect for fiscal years 2008 through 2011 were established as part of the CPUC's final decision in the 2008 GRC. This decision adopted modified performance measures for customer satisfaction and employee safety for both SDG&amp;E and SoCalGas, and electric reliability for SDG&amp;E. The Sempra Utilities reviewed these modified measures and filed their response in September 2008, accepting the safety performance measure but rejecting the electric reliability and customer satisfaction measures, as allowed by the GRC decision. As a result, effective in 2008, the Sempra Utilities are no longer eligible for awards or subject to penalties for electric reliability and customer satisfaction.</w:t>
      </w:r>
    </w:p>
    <w:p>
      <w:pPr>
        <w:spacing w:after="0" w:line="48" w:lineRule="exact"/>
        <w:rPr>
          <w:sz w:val="20"/>
          <w:szCs w:val="20"/>
          <w:color w:val="auto"/>
        </w:rPr>
      </w:pPr>
    </w:p>
    <w:p>
      <w:pPr>
        <w:ind w:left="4" w:right="180"/>
        <w:spacing w:after="0" w:line="312" w:lineRule="auto"/>
        <w:rPr>
          <w:sz w:val="20"/>
          <w:szCs w:val="20"/>
          <w:color w:val="auto"/>
        </w:rPr>
      </w:pPr>
      <w:r>
        <w:rPr>
          <w:rFonts w:ascii="Arial" w:cs="Arial" w:eastAsia="Arial" w:hAnsi="Arial"/>
          <w:sz w:val="15"/>
          <w:szCs w:val="15"/>
          <w:color w:val="auto"/>
        </w:rPr>
        <w:t>During the second quarter of 2008, the Sempra Utilities received CPUC approval for their 2007 Operational Performance incentive awards of $10 million for SDG&amp;E and $2 million for SoCalGas. The Sempra Utilities plans to submit their employee safety results and incentive award claims in May 2009 for performance in 2008.</w:t>
      </w:r>
    </w:p>
    <w:p>
      <w:pPr>
        <w:spacing w:after="0" w:line="102" w:lineRule="exact"/>
        <w:rPr>
          <w:sz w:val="20"/>
          <w:szCs w:val="20"/>
          <w:color w:val="auto"/>
        </w:rPr>
      </w:pPr>
    </w:p>
    <w:p>
      <w:pPr>
        <w:ind w:left="4"/>
        <w:spacing w:after="0"/>
        <w:rPr>
          <w:sz w:val="20"/>
          <w:szCs w:val="20"/>
          <w:color w:val="auto"/>
        </w:rPr>
      </w:pPr>
      <w:r>
        <w:rPr>
          <w:rFonts w:ascii="Arial" w:cs="Arial" w:eastAsia="Arial" w:hAnsi="Arial"/>
          <w:sz w:val="18"/>
          <w:szCs w:val="18"/>
          <w:b w:val="1"/>
          <w:bCs w:val="1"/>
          <w:i w:val="1"/>
          <w:iCs w:val="1"/>
          <w:color w:val="auto"/>
        </w:rPr>
        <w:t>Energy Efficiency</w:t>
      </w:r>
    </w:p>
    <w:p>
      <w:pPr>
        <w:spacing w:after="0" w:line="23" w:lineRule="exact"/>
        <w:rPr>
          <w:sz w:val="20"/>
          <w:szCs w:val="20"/>
          <w:color w:val="auto"/>
        </w:rPr>
      </w:pPr>
    </w:p>
    <w:p>
      <w:pPr>
        <w:ind w:left="4"/>
        <w:spacing w:after="0" w:line="308" w:lineRule="auto"/>
        <w:rPr>
          <w:sz w:val="20"/>
          <w:szCs w:val="20"/>
          <w:color w:val="auto"/>
        </w:rPr>
      </w:pPr>
      <w:r>
        <w:rPr>
          <w:rFonts w:ascii="Arial" w:cs="Arial" w:eastAsia="Arial" w:hAnsi="Arial"/>
          <w:sz w:val="14"/>
          <w:szCs w:val="14"/>
          <w:color w:val="auto"/>
        </w:rPr>
        <w:t>Energy efficiency awards are determined under an incentive mechanism established by the CPUC that applies to the Sempra Utilities' performance over a three-year (2006 – 2008) energy efficiency program period. In December 2008, the CPUC approved energy efficiency awards of $10.8 million for SDG&amp;E and $5.2 million for SoCalGas for 2006 and 2007 energy efficiency results. The awards were based on initial reports of energy efficiency results submitted by the Sempra Utilities and are net of a holdback of 65%. None, some or all of the holdback may be awarded to the Sempra Utilities after the CPUC staff completes its final verification of the energy efficiency results.</w:t>
      </w:r>
    </w:p>
    <w:p>
      <w:pPr>
        <w:spacing w:after="0" w:line="14" w:lineRule="exact"/>
        <w:rPr>
          <w:sz w:val="20"/>
          <w:szCs w:val="20"/>
          <w:color w:val="auto"/>
        </w:rPr>
      </w:pPr>
    </w:p>
    <w:p>
      <w:pPr>
        <w:ind w:left="4"/>
        <w:spacing w:after="0"/>
        <w:rPr>
          <w:sz w:val="20"/>
          <w:szCs w:val="20"/>
          <w:color w:val="auto"/>
        </w:rPr>
      </w:pPr>
      <w:r>
        <w:rPr>
          <w:rFonts w:ascii="Arial" w:cs="Arial" w:eastAsia="Arial" w:hAnsi="Arial"/>
          <w:sz w:val="16"/>
          <w:szCs w:val="16"/>
          <w:color w:val="auto"/>
        </w:rPr>
        <w:t>In accordance with the mechanism, the Sempra Utilities plan on filing in the first quarter of 2009 for their energy efficiency awards for 2008 results.</w:t>
      </w:r>
    </w:p>
    <w:p>
      <w:pPr>
        <w:spacing w:after="0" w:line="174" w:lineRule="exact"/>
        <w:rPr>
          <w:sz w:val="20"/>
          <w:szCs w:val="20"/>
          <w:color w:val="auto"/>
        </w:rPr>
      </w:pPr>
    </w:p>
    <w:p>
      <w:pPr>
        <w:ind w:left="4"/>
        <w:spacing w:after="0"/>
        <w:rPr>
          <w:sz w:val="20"/>
          <w:szCs w:val="20"/>
          <w:color w:val="auto"/>
        </w:rPr>
      </w:pPr>
      <w:r>
        <w:rPr>
          <w:rFonts w:ascii="Arial" w:cs="Arial" w:eastAsia="Arial" w:hAnsi="Arial"/>
          <w:sz w:val="18"/>
          <w:szCs w:val="18"/>
          <w:b w:val="1"/>
          <w:bCs w:val="1"/>
          <w:i w:val="1"/>
          <w:iCs w:val="1"/>
          <w:color w:val="auto"/>
        </w:rPr>
        <w:t>Natural Gas Procurement</w:t>
      </w:r>
    </w:p>
    <w:p>
      <w:pPr>
        <w:spacing w:after="0" w:line="23" w:lineRule="exact"/>
        <w:rPr>
          <w:sz w:val="20"/>
          <w:szCs w:val="20"/>
          <w:color w:val="auto"/>
        </w:rPr>
      </w:pPr>
    </w:p>
    <w:p>
      <w:pPr>
        <w:ind w:left="4" w:right="140"/>
        <w:spacing w:after="0" w:line="259" w:lineRule="auto"/>
        <w:rPr>
          <w:sz w:val="20"/>
          <w:szCs w:val="20"/>
          <w:color w:val="auto"/>
        </w:rPr>
      </w:pPr>
      <w:r>
        <w:rPr>
          <w:rFonts w:ascii="Arial" w:cs="Arial" w:eastAsia="Arial" w:hAnsi="Arial"/>
          <w:sz w:val="16"/>
          <w:szCs w:val="16"/>
          <w:color w:val="auto"/>
        </w:rPr>
        <w:t>Beginning April 1, 2008, the SDG&amp;E and SoCalGas core natural gas supply portfolios were combined, and SoCalGas now procures natural gas for SDG&amp;E's core natural gas customers' requirements. All SDG&amp;E assets associated with its core natural gas supply portfolio were transferred or assigned to SoCalGas. Accordingly, SDG&amp;E’s incentive mechanism for natural gas procurement awards or penalties ended as of the effective date of the combination of the core natural gas supply portfolios, and SoCalGas' gas cost incentive mechanism (GCIM) is applied on the combined portfolio basis going forward.</w:t>
      </w:r>
    </w:p>
    <w:p>
      <w:pPr>
        <w:spacing w:after="0" w:line="47" w:lineRule="exact"/>
        <w:rPr>
          <w:sz w:val="20"/>
          <w:szCs w:val="20"/>
          <w:color w:val="auto"/>
        </w:rPr>
      </w:pPr>
    </w:p>
    <w:p>
      <w:pPr>
        <w:ind w:left="4" w:right="140"/>
        <w:spacing w:after="0" w:line="312" w:lineRule="auto"/>
        <w:rPr>
          <w:sz w:val="20"/>
          <w:szCs w:val="20"/>
          <w:color w:val="auto"/>
        </w:rPr>
      </w:pPr>
      <w:r>
        <w:rPr>
          <w:rFonts w:ascii="Arial" w:cs="Arial" w:eastAsia="Arial" w:hAnsi="Arial"/>
          <w:sz w:val="15"/>
          <w:szCs w:val="15"/>
          <w:color w:val="auto"/>
        </w:rPr>
        <w:t>In January 2008, the CPUC approved a SoCalGas GCIM award of $9 million for its core natural gas procurement activities for the 12-month period ended March 31, 2007. In November 2008, SDG&amp;E received approval of a $2.2 million natural gas procurement incentive award for the final eight-month period ended March 31, 2008.</w:t>
      </w:r>
    </w:p>
    <w:p>
      <w:pPr>
        <w:spacing w:after="0" w:line="8" w:lineRule="exact"/>
        <w:rPr>
          <w:sz w:val="20"/>
          <w:szCs w:val="20"/>
          <w:color w:val="auto"/>
        </w:rPr>
      </w:pPr>
    </w:p>
    <w:p>
      <w:pPr>
        <w:ind w:left="4" w:right="20"/>
        <w:spacing w:after="0" w:line="277" w:lineRule="auto"/>
        <w:rPr>
          <w:sz w:val="20"/>
          <w:szCs w:val="20"/>
          <w:color w:val="auto"/>
        </w:rPr>
      </w:pPr>
      <w:r>
        <w:rPr>
          <w:rFonts w:ascii="Arial" w:cs="Arial" w:eastAsia="Arial" w:hAnsi="Arial"/>
          <w:sz w:val="16"/>
          <w:szCs w:val="16"/>
          <w:color w:val="auto"/>
        </w:rPr>
        <w:t>In January 2009, the CPUC approved a SoCalGas GCIM award of $6.5 million for core natural gas procurement activities in the 12-month period ended March 31, 2008, which will be recorded in the first quarter of 2009.</w:t>
      </w:r>
    </w:p>
    <w:p>
      <w:pPr>
        <w:spacing w:after="0" w:line="126" w:lineRule="exact"/>
        <w:rPr>
          <w:sz w:val="20"/>
          <w:szCs w:val="20"/>
          <w:color w:val="auto"/>
        </w:rPr>
      </w:pPr>
    </w:p>
    <w:p>
      <w:pPr>
        <w:ind w:left="4"/>
        <w:spacing w:after="0"/>
        <w:rPr>
          <w:sz w:val="20"/>
          <w:szCs w:val="20"/>
          <w:color w:val="auto"/>
        </w:rPr>
      </w:pPr>
      <w:r>
        <w:rPr>
          <w:rFonts w:ascii="Arial" w:cs="Arial" w:eastAsia="Arial" w:hAnsi="Arial"/>
          <w:sz w:val="18"/>
          <w:szCs w:val="18"/>
          <w:b w:val="1"/>
          <w:bCs w:val="1"/>
          <w:i w:val="1"/>
          <w:iCs w:val="1"/>
          <w:color w:val="auto"/>
        </w:rPr>
        <w:t>Unbundled Gas Storage and System Operator Hub Services</w:t>
      </w:r>
    </w:p>
    <w:p>
      <w:pPr>
        <w:spacing w:after="0" w:line="23" w:lineRule="exact"/>
        <w:rPr>
          <w:sz w:val="20"/>
          <w:szCs w:val="20"/>
          <w:color w:val="auto"/>
        </w:rPr>
      </w:pPr>
    </w:p>
    <w:p>
      <w:pPr>
        <w:ind w:left="4" w:right="320"/>
        <w:spacing w:after="0" w:line="351" w:lineRule="auto"/>
        <w:rPr>
          <w:sz w:val="20"/>
          <w:szCs w:val="20"/>
          <w:color w:val="auto"/>
        </w:rPr>
      </w:pPr>
      <w:r>
        <w:rPr>
          <w:rFonts w:ascii="Arial" w:cs="Arial" w:eastAsia="Arial" w:hAnsi="Arial"/>
          <w:sz w:val="14"/>
          <w:szCs w:val="14"/>
          <w:color w:val="auto"/>
        </w:rPr>
        <w:t>The CPUC issued a final decision in December 2008 adopting an uncontested settlement agreement in Phase I of the Sempra Utilities' Biennial Cost Allocation Proceeding (BCAP). The settlement agreement will be in effect for six years (2009 through 2014) and resolves a number of storage-related issues. It also provides that the annual net</w:t>
      </w:r>
    </w:p>
    <w:p>
      <w:pPr>
        <w:spacing w:after="0" w:line="374" w:lineRule="exact"/>
        <w:rPr>
          <w:sz w:val="20"/>
          <w:szCs w:val="20"/>
          <w:color w:val="auto"/>
        </w:rPr>
      </w:pPr>
    </w:p>
    <w:p>
      <w:pPr>
        <w:ind w:left="4"/>
        <w:spacing w:after="0"/>
        <w:rPr>
          <w:sz w:val="20"/>
          <w:szCs w:val="20"/>
          <w:color w:val="auto"/>
        </w:rPr>
      </w:pPr>
      <w:r>
        <w:rPr>
          <w:rFonts w:ascii="Arial" w:cs="Arial" w:eastAsia="Arial" w:hAnsi="Arial"/>
          <w:sz w:val="14"/>
          <w:szCs w:val="14"/>
          <w:color w:val="auto"/>
        </w:rPr>
        <w:t>170</w:t>
      </w:r>
    </w:p>
    <w:p>
      <w:pPr>
        <w:sectPr>
          <w:pgSz w:w="11900" w:h="16838" w:orient="portrait"/>
          <w:cols w:equalWidth="0" w:num="1">
            <w:col w:w="11304"/>
          </w:cols>
          <w:pgMar w:left="236" w:top="127" w:right="359" w:bottom="1440" w:gutter="0" w:footer="0" w:header="0"/>
        </w:sectPr>
      </w:pPr>
    </w:p>
    <w:bookmarkStart w:id="310" w:name="page311"/>
    <w:bookmarkEnd w:id="310"/>
    <w:p>
      <w:pPr>
        <w:ind w:left="4" w:right="540"/>
        <w:spacing w:after="0" w:line="313" w:lineRule="auto"/>
        <w:rPr>
          <w:sz w:val="20"/>
          <w:szCs w:val="20"/>
          <w:color w:val="auto"/>
        </w:rPr>
      </w:pPr>
      <w:r>
        <w:rPr>
          <w:rFonts w:ascii="Arial" w:cs="Arial" w:eastAsia="Arial" w:hAnsi="Arial"/>
          <w:sz w:val="14"/>
          <w:szCs w:val="14"/>
          <w:color w:val="auto"/>
        </w:rPr>
        <w:t>revenues (revenues less allocated service costs) from the unbundled storage and system operator hub services programs be split between ratepayers and shareholders on a graduated basis. The prior mechanism provided a 50/50 split of the net revenues (2007 and prior) between ratepayers and shareholders. The mechanism requires that:</w:t>
      </w:r>
    </w:p>
    <w:p>
      <w:pPr>
        <w:spacing w:after="0" w:line="1" w:lineRule="exact"/>
        <w:rPr>
          <w:sz w:val="20"/>
          <w:szCs w:val="20"/>
          <w:color w:val="auto"/>
        </w:rPr>
      </w:pPr>
    </w:p>
    <w:p>
      <w:pPr>
        <w:ind w:left="144" w:hanging="144"/>
        <w:spacing w:after="0"/>
        <w:tabs>
          <w:tab w:leader="none" w:pos="144" w:val="left"/>
        </w:tabs>
        <w:numPr>
          <w:ilvl w:val="0"/>
          <w:numId w:val="385"/>
        </w:numPr>
        <w:rPr>
          <w:rFonts w:ascii="Arial" w:cs="Arial" w:eastAsia="Arial" w:hAnsi="Arial"/>
          <w:sz w:val="16"/>
          <w:szCs w:val="16"/>
          <w:color w:val="auto"/>
        </w:rPr>
      </w:pPr>
      <w:r>
        <w:rPr>
          <w:rFonts w:ascii="Arial" w:cs="Arial" w:eastAsia="Arial" w:hAnsi="Arial"/>
          <w:sz w:val="16"/>
          <w:szCs w:val="16"/>
          <w:color w:val="auto"/>
        </w:rPr>
        <w:t>the first $15 million of net revenue be shared 90 percent ratepayer/10 percent shareholder;</w:t>
      </w:r>
    </w:p>
    <w:p>
      <w:pPr>
        <w:spacing w:after="0" w:line="44" w:lineRule="exact"/>
        <w:rPr>
          <w:rFonts w:ascii="Arial" w:cs="Arial" w:eastAsia="Arial" w:hAnsi="Arial"/>
          <w:sz w:val="16"/>
          <w:szCs w:val="16"/>
          <w:color w:val="auto"/>
        </w:rPr>
      </w:pPr>
    </w:p>
    <w:p>
      <w:pPr>
        <w:ind w:left="144" w:hanging="144"/>
        <w:spacing w:after="0"/>
        <w:tabs>
          <w:tab w:leader="none" w:pos="144" w:val="left"/>
        </w:tabs>
        <w:numPr>
          <w:ilvl w:val="0"/>
          <w:numId w:val="385"/>
        </w:numPr>
        <w:rPr>
          <w:rFonts w:ascii="Arial" w:cs="Arial" w:eastAsia="Arial" w:hAnsi="Arial"/>
          <w:sz w:val="16"/>
          <w:szCs w:val="16"/>
          <w:color w:val="auto"/>
        </w:rPr>
      </w:pPr>
      <w:r>
        <w:rPr>
          <w:rFonts w:ascii="Arial" w:cs="Arial" w:eastAsia="Arial" w:hAnsi="Arial"/>
          <w:sz w:val="16"/>
          <w:szCs w:val="16"/>
          <w:color w:val="auto"/>
        </w:rPr>
        <w:t>the next $15 million shared 75 percent ratepayer/25 percent shareholder; and</w:t>
      </w:r>
    </w:p>
    <w:p>
      <w:pPr>
        <w:spacing w:after="0" w:line="44" w:lineRule="exact"/>
        <w:rPr>
          <w:rFonts w:ascii="Arial" w:cs="Arial" w:eastAsia="Arial" w:hAnsi="Arial"/>
          <w:sz w:val="16"/>
          <w:szCs w:val="16"/>
          <w:color w:val="auto"/>
        </w:rPr>
      </w:pPr>
    </w:p>
    <w:p>
      <w:pPr>
        <w:ind w:left="144" w:hanging="144"/>
        <w:spacing w:after="0"/>
        <w:tabs>
          <w:tab w:leader="none" w:pos="144" w:val="left"/>
        </w:tabs>
        <w:numPr>
          <w:ilvl w:val="0"/>
          <w:numId w:val="385"/>
        </w:numPr>
        <w:rPr>
          <w:rFonts w:ascii="Arial" w:cs="Arial" w:eastAsia="Arial" w:hAnsi="Arial"/>
          <w:sz w:val="16"/>
          <w:szCs w:val="16"/>
          <w:color w:val="auto"/>
        </w:rPr>
      </w:pPr>
      <w:r>
        <w:rPr>
          <w:rFonts w:ascii="Arial" w:cs="Arial" w:eastAsia="Arial" w:hAnsi="Arial"/>
          <w:sz w:val="16"/>
          <w:szCs w:val="16"/>
          <w:color w:val="auto"/>
        </w:rPr>
        <w:t>all additional net revenues shared 50 percent ratepayer/50 percent shareholder.</w:t>
      </w:r>
    </w:p>
    <w:p>
      <w:pPr>
        <w:spacing w:after="0" w:line="128" w:lineRule="exact"/>
        <w:rPr>
          <w:sz w:val="20"/>
          <w:szCs w:val="20"/>
          <w:color w:val="auto"/>
        </w:rPr>
      </w:pPr>
    </w:p>
    <w:p>
      <w:pPr>
        <w:ind w:left="4"/>
        <w:spacing w:after="0"/>
        <w:rPr>
          <w:sz w:val="20"/>
          <w:szCs w:val="20"/>
          <w:color w:val="auto"/>
        </w:rPr>
      </w:pPr>
      <w:r>
        <w:rPr>
          <w:rFonts w:ascii="Arial" w:cs="Arial" w:eastAsia="Arial" w:hAnsi="Arial"/>
          <w:sz w:val="16"/>
          <w:szCs w:val="16"/>
          <w:color w:val="auto"/>
        </w:rPr>
        <w:t>There is a total annual shareholder cap of $20 million (pretax).</w:t>
      </w:r>
    </w:p>
    <w:p>
      <w:pPr>
        <w:spacing w:after="0" w:line="276"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auto"/>
        </w:rPr>
        <w:t>COST OF CAPITAL</w:t>
      </w:r>
    </w:p>
    <w:p>
      <w:pPr>
        <w:spacing w:after="0" w:line="89" w:lineRule="exact"/>
        <w:rPr>
          <w:sz w:val="20"/>
          <w:szCs w:val="20"/>
          <w:color w:val="auto"/>
        </w:rPr>
      </w:pPr>
    </w:p>
    <w:p>
      <w:pPr>
        <w:ind w:left="4" w:right="220"/>
        <w:spacing w:after="0" w:line="277" w:lineRule="auto"/>
        <w:rPr>
          <w:sz w:val="20"/>
          <w:szCs w:val="20"/>
          <w:color w:val="auto"/>
        </w:rPr>
      </w:pPr>
      <w:r>
        <w:rPr>
          <w:rFonts w:ascii="Arial" w:cs="Arial" w:eastAsia="Arial" w:hAnsi="Arial"/>
          <w:sz w:val="16"/>
          <w:szCs w:val="16"/>
          <w:color w:val="auto"/>
        </w:rPr>
        <w:t>The cost of capital proceeding determines the Sempra Utilities' authorized capital structure and the authorized rate of return that the Sempra Utilities may earn on their electric and natural gas distribution and electric generation assets.</w:t>
      </w:r>
    </w:p>
    <w:p>
      <w:pPr>
        <w:spacing w:after="0" w:line="126" w:lineRule="exact"/>
        <w:rPr>
          <w:sz w:val="20"/>
          <w:szCs w:val="20"/>
          <w:color w:val="auto"/>
        </w:rPr>
      </w:pPr>
    </w:p>
    <w:p>
      <w:pPr>
        <w:ind w:left="4"/>
        <w:spacing w:after="0"/>
        <w:rPr>
          <w:sz w:val="20"/>
          <w:szCs w:val="20"/>
          <w:color w:val="auto"/>
        </w:rPr>
      </w:pPr>
      <w:r>
        <w:rPr>
          <w:rFonts w:ascii="Arial" w:cs="Arial" w:eastAsia="Arial" w:hAnsi="Arial"/>
          <w:sz w:val="18"/>
          <w:szCs w:val="18"/>
          <w:b w:val="1"/>
          <w:bCs w:val="1"/>
          <w:i w:val="1"/>
          <w:iCs w:val="1"/>
          <w:color w:val="auto"/>
        </w:rPr>
        <w:t>SDG&amp;E</w:t>
      </w:r>
    </w:p>
    <w:p>
      <w:pPr>
        <w:spacing w:after="0" w:line="23" w:lineRule="exact"/>
        <w:rPr>
          <w:sz w:val="20"/>
          <w:szCs w:val="20"/>
          <w:color w:val="auto"/>
        </w:rPr>
      </w:pPr>
    </w:p>
    <w:p>
      <w:pPr>
        <w:ind w:left="4" w:right="220"/>
        <w:spacing w:after="0" w:line="313" w:lineRule="auto"/>
        <w:rPr>
          <w:sz w:val="20"/>
          <w:szCs w:val="20"/>
          <w:color w:val="auto"/>
        </w:rPr>
      </w:pPr>
      <w:r>
        <w:rPr>
          <w:rFonts w:ascii="Arial" w:cs="Arial" w:eastAsia="Arial" w:hAnsi="Arial"/>
          <w:sz w:val="14"/>
          <w:szCs w:val="14"/>
          <w:color w:val="auto"/>
        </w:rPr>
        <w:t>In May 2007, SDG&amp;E filed an application with the CPUC seeking to update its cost of capital, authorized ROE, and debt/equity ratios. In December 2007, the CPUC issued a final decision increasing SDG&amp;E’s authorized ROE from 10.7 percent to 11.1 percent effective January 1, 2008, and maintaining SDG&amp;E's current capital structure of:</w:t>
      </w:r>
    </w:p>
    <w:p>
      <w:pPr>
        <w:spacing w:after="0" w:line="1" w:lineRule="exact"/>
        <w:rPr>
          <w:sz w:val="20"/>
          <w:szCs w:val="20"/>
          <w:color w:val="auto"/>
        </w:rPr>
      </w:pPr>
    </w:p>
    <w:p>
      <w:pPr>
        <w:ind w:left="144" w:hanging="144"/>
        <w:spacing w:after="0"/>
        <w:tabs>
          <w:tab w:leader="none" w:pos="144" w:val="left"/>
        </w:tabs>
        <w:numPr>
          <w:ilvl w:val="0"/>
          <w:numId w:val="386"/>
        </w:numPr>
        <w:rPr>
          <w:rFonts w:ascii="Arial" w:cs="Arial" w:eastAsia="Arial" w:hAnsi="Arial"/>
          <w:sz w:val="16"/>
          <w:szCs w:val="16"/>
          <w:color w:val="auto"/>
        </w:rPr>
      </w:pPr>
      <w:r>
        <w:rPr>
          <w:rFonts w:ascii="Arial" w:cs="Arial" w:eastAsia="Arial" w:hAnsi="Arial"/>
          <w:sz w:val="16"/>
          <w:szCs w:val="16"/>
          <w:color w:val="auto"/>
        </w:rPr>
        <w:t>49.00 percent common equity</w:t>
      </w:r>
    </w:p>
    <w:p>
      <w:pPr>
        <w:spacing w:after="0" w:line="44" w:lineRule="exact"/>
        <w:rPr>
          <w:rFonts w:ascii="Arial" w:cs="Arial" w:eastAsia="Arial" w:hAnsi="Arial"/>
          <w:sz w:val="16"/>
          <w:szCs w:val="16"/>
          <w:color w:val="auto"/>
        </w:rPr>
      </w:pPr>
    </w:p>
    <w:p>
      <w:pPr>
        <w:ind w:left="144" w:hanging="144"/>
        <w:spacing w:after="0"/>
        <w:tabs>
          <w:tab w:leader="none" w:pos="144" w:val="left"/>
        </w:tabs>
        <w:numPr>
          <w:ilvl w:val="0"/>
          <w:numId w:val="386"/>
        </w:numPr>
        <w:rPr>
          <w:rFonts w:ascii="Arial" w:cs="Arial" w:eastAsia="Arial" w:hAnsi="Arial"/>
          <w:sz w:val="16"/>
          <w:szCs w:val="16"/>
          <w:color w:val="auto"/>
        </w:rPr>
      </w:pPr>
      <w:r>
        <w:rPr>
          <w:rFonts w:ascii="Arial" w:cs="Arial" w:eastAsia="Arial" w:hAnsi="Arial"/>
          <w:sz w:val="16"/>
          <w:szCs w:val="16"/>
          <w:color w:val="auto"/>
        </w:rPr>
        <w:t>5.75 percent preferred equity</w:t>
      </w:r>
    </w:p>
    <w:p>
      <w:pPr>
        <w:spacing w:after="0" w:line="44" w:lineRule="exact"/>
        <w:rPr>
          <w:rFonts w:ascii="Arial" w:cs="Arial" w:eastAsia="Arial" w:hAnsi="Arial"/>
          <w:sz w:val="16"/>
          <w:szCs w:val="16"/>
          <w:color w:val="auto"/>
        </w:rPr>
      </w:pPr>
    </w:p>
    <w:p>
      <w:pPr>
        <w:ind w:left="144" w:hanging="144"/>
        <w:spacing w:after="0"/>
        <w:tabs>
          <w:tab w:leader="none" w:pos="144" w:val="left"/>
        </w:tabs>
        <w:numPr>
          <w:ilvl w:val="0"/>
          <w:numId w:val="386"/>
        </w:numPr>
        <w:rPr>
          <w:rFonts w:ascii="Arial" w:cs="Arial" w:eastAsia="Arial" w:hAnsi="Arial"/>
          <w:sz w:val="16"/>
          <w:szCs w:val="16"/>
          <w:color w:val="auto"/>
        </w:rPr>
      </w:pPr>
      <w:r>
        <w:rPr>
          <w:rFonts w:ascii="Arial" w:cs="Arial" w:eastAsia="Arial" w:hAnsi="Arial"/>
          <w:sz w:val="16"/>
          <w:szCs w:val="16"/>
          <w:color w:val="auto"/>
        </w:rPr>
        <w:t>45.25 percent long-term debt</w:t>
      </w:r>
    </w:p>
    <w:p>
      <w:pPr>
        <w:spacing w:after="0" w:line="128" w:lineRule="exact"/>
        <w:rPr>
          <w:sz w:val="20"/>
          <w:szCs w:val="20"/>
          <w:color w:val="auto"/>
        </w:rPr>
      </w:pPr>
    </w:p>
    <w:p>
      <w:pPr>
        <w:ind w:left="4"/>
        <w:spacing w:after="0"/>
        <w:rPr>
          <w:sz w:val="20"/>
          <w:szCs w:val="20"/>
          <w:color w:val="auto"/>
        </w:rPr>
      </w:pPr>
      <w:r>
        <w:rPr>
          <w:rFonts w:ascii="Arial" w:cs="Arial" w:eastAsia="Arial" w:hAnsi="Arial"/>
          <w:sz w:val="16"/>
          <w:szCs w:val="16"/>
          <w:color w:val="auto"/>
        </w:rPr>
        <w:t>As a result, SDG&amp;E’s authorized return on rate base (ROR) was 8.40 percent effective January 1, 2008.</w:t>
      </w:r>
    </w:p>
    <w:p>
      <w:pPr>
        <w:spacing w:after="0" w:line="80" w:lineRule="exact"/>
        <w:rPr>
          <w:sz w:val="20"/>
          <w:szCs w:val="20"/>
          <w:color w:val="auto"/>
        </w:rPr>
      </w:pPr>
    </w:p>
    <w:p>
      <w:pPr>
        <w:ind w:left="4"/>
        <w:spacing w:after="0" w:line="274" w:lineRule="auto"/>
        <w:rPr>
          <w:sz w:val="20"/>
          <w:szCs w:val="20"/>
          <w:color w:val="auto"/>
        </w:rPr>
      </w:pPr>
      <w:r>
        <w:rPr>
          <w:rFonts w:ascii="Arial" w:cs="Arial" w:eastAsia="Arial" w:hAnsi="Arial"/>
          <w:sz w:val="15"/>
          <w:szCs w:val="15"/>
          <w:color w:val="auto"/>
        </w:rPr>
        <w:t>In May 2008, the CPUC issued a decision establishing a uniform, multi-year cost of capital mechanism for SDG&amp;E that will replace its existing cost of capital mechanism. The new mechanism requires a full cost of capital application every third year, with the first full application to be filed in April 2010 for test year 2011. If there were significant changes in the bond market between test years, ROE would automatically be adjusted. In any year where the difference between the current 12-month October-September average Moody's utility bond rates and the established benchmark (currently 6.02%) exceeds a 100-basis point trigger, an automatic adjustment to SDG&amp;E's ROE would be made through an October 15 advice letter to become effective on January 1 of the following year. No change in ROE has been triggered for calendar year 2009. There is no provision for capital structure adjustment outside of the test year, but an adjustment may be permitted if credit ratings change in mid-cycle. The decision also allows an adjustment outside of the mechanism process if an extraordinary or catastrophic event occurs that has a material impact.</w:t>
      </w:r>
    </w:p>
    <w:p>
      <w:pPr>
        <w:spacing w:after="0" w:line="133" w:lineRule="exact"/>
        <w:rPr>
          <w:sz w:val="20"/>
          <w:szCs w:val="20"/>
          <w:color w:val="auto"/>
        </w:rPr>
      </w:pPr>
    </w:p>
    <w:p>
      <w:pPr>
        <w:ind w:left="4"/>
        <w:spacing w:after="0"/>
        <w:rPr>
          <w:sz w:val="20"/>
          <w:szCs w:val="20"/>
          <w:color w:val="auto"/>
        </w:rPr>
      </w:pPr>
      <w:r>
        <w:rPr>
          <w:rFonts w:ascii="Arial" w:cs="Arial" w:eastAsia="Arial" w:hAnsi="Arial"/>
          <w:sz w:val="18"/>
          <w:szCs w:val="18"/>
          <w:b w:val="1"/>
          <w:bCs w:val="1"/>
          <w:i w:val="1"/>
          <w:iCs w:val="1"/>
          <w:color w:val="auto"/>
        </w:rPr>
        <w:t>SoCalGas</w:t>
      </w:r>
    </w:p>
    <w:p>
      <w:pPr>
        <w:spacing w:after="0" w:line="23" w:lineRule="exact"/>
        <w:rPr>
          <w:sz w:val="20"/>
          <w:szCs w:val="20"/>
          <w:color w:val="auto"/>
        </w:rPr>
      </w:pPr>
    </w:p>
    <w:p>
      <w:pPr>
        <w:ind w:left="4" w:right="340"/>
        <w:spacing w:after="0" w:line="274" w:lineRule="auto"/>
        <w:rPr>
          <w:sz w:val="20"/>
          <w:szCs w:val="20"/>
          <w:color w:val="auto"/>
        </w:rPr>
      </w:pPr>
      <w:r>
        <w:rPr>
          <w:rFonts w:ascii="Arial" w:cs="Arial" w:eastAsia="Arial" w:hAnsi="Arial"/>
          <w:sz w:val="16"/>
          <w:szCs w:val="16"/>
          <w:color w:val="auto"/>
        </w:rPr>
        <w:t>SoCalGas' authorized ROE is 10.82 percent and its ROR is 8.68 percent. These rates continue to be effective until market interest-rate changes are large enough to trigger an automatic adjustment or until the CPUC orders a periodic review. SoCalGas' current authorized capital structure is</w:t>
      </w:r>
    </w:p>
    <w:p>
      <w:pPr>
        <w:ind w:left="144" w:hanging="144"/>
        <w:spacing w:after="0"/>
        <w:tabs>
          <w:tab w:leader="none" w:pos="144" w:val="left"/>
        </w:tabs>
        <w:numPr>
          <w:ilvl w:val="0"/>
          <w:numId w:val="387"/>
        </w:numPr>
        <w:rPr>
          <w:rFonts w:ascii="Arial" w:cs="Arial" w:eastAsia="Arial" w:hAnsi="Arial"/>
          <w:sz w:val="16"/>
          <w:szCs w:val="16"/>
          <w:color w:val="auto"/>
        </w:rPr>
      </w:pPr>
      <w:r>
        <w:rPr>
          <w:rFonts w:ascii="Arial" w:cs="Arial" w:eastAsia="Arial" w:hAnsi="Arial"/>
          <w:sz w:val="16"/>
          <w:szCs w:val="16"/>
          <w:color w:val="auto"/>
        </w:rPr>
        <w:t>48.0 percent common equity</w:t>
      </w:r>
    </w:p>
    <w:p>
      <w:pPr>
        <w:spacing w:after="0" w:line="44" w:lineRule="exact"/>
        <w:rPr>
          <w:rFonts w:ascii="Arial" w:cs="Arial" w:eastAsia="Arial" w:hAnsi="Arial"/>
          <w:sz w:val="16"/>
          <w:szCs w:val="16"/>
          <w:color w:val="auto"/>
        </w:rPr>
      </w:pPr>
    </w:p>
    <w:p>
      <w:pPr>
        <w:ind w:left="144" w:hanging="144"/>
        <w:spacing w:after="0"/>
        <w:tabs>
          <w:tab w:leader="none" w:pos="144" w:val="left"/>
        </w:tabs>
        <w:numPr>
          <w:ilvl w:val="0"/>
          <w:numId w:val="387"/>
        </w:numPr>
        <w:rPr>
          <w:rFonts w:ascii="Arial" w:cs="Arial" w:eastAsia="Arial" w:hAnsi="Arial"/>
          <w:sz w:val="16"/>
          <w:szCs w:val="16"/>
          <w:color w:val="auto"/>
        </w:rPr>
      </w:pPr>
      <w:r>
        <w:rPr>
          <w:rFonts w:ascii="Arial" w:cs="Arial" w:eastAsia="Arial" w:hAnsi="Arial"/>
          <w:sz w:val="16"/>
          <w:szCs w:val="16"/>
          <w:color w:val="auto"/>
        </w:rPr>
        <w:t>6.4 percent preferred equity</w:t>
      </w:r>
    </w:p>
    <w:p>
      <w:pPr>
        <w:spacing w:after="0" w:line="44" w:lineRule="exact"/>
        <w:rPr>
          <w:rFonts w:ascii="Arial" w:cs="Arial" w:eastAsia="Arial" w:hAnsi="Arial"/>
          <w:sz w:val="16"/>
          <w:szCs w:val="16"/>
          <w:color w:val="auto"/>
        </w:rPr>
      </w:pPr>
    </w:p>
    <w:p>
      <w:pPr>
        <w:ind w:left="144" w:hanging="144"/>
        <w:spacing w:after="0"/>
        <w:tabs>
          <w:tab w:leader="none" w:pos="144" w:val="left"/>
        </w:tabs>
        <w:numPr>
          <w:ilvl w:val="0"/>
          <w:numId w:val="387"/>
        </w:numPr>
        <w:rPr>
          <w:rFonts w:ascii="Arial" w:cs="Arial" w:eastAsia="Arial" w:hAnsi="Arial"/>
          <w:sz w:val="16"/>
          <w:szCs w:val="16"/>
          <w:color w:val="auto"/>
        </w:rPr>
      </w:pPr>
      <w:r>
        <w:rPr>
          <w:rFonts w:ascii="Arial" w:cs="Arial" w:eastAsia="Arial" w:hAnsi="Arial"/>
          <w:sz w:val="16"/>
          <w:szCs w:val="16"/>
          <w:color w:val="auto"/>
        </w:rPr>
        <w:t>45.6 percent long-term debt</w:t>
      </w:r>
    </w:p>
    <w:p>
      <w:pPr>
        <w:spacing w:after="0" w:line="276"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auto"/>
        </w:rPr>
        <w:t>2008 BIENNIAL COST ALLOCATION PROCEEDING (BCAP)</w:t>
      </w:r>
    </w:p>
    <w:p>
      <w:pPr>
        <w:spacing w:after="0" w:line="89" w:lineRule="exact"/>
        <w:rPr>
          <w:sz w:val="20"/>
          <w:szCs w:val="20"/>
          <w:color w:val="auto"/>
        </w:rPr>
      </w:pPr>
    </w:p>
    <w:p>
      <w:pPr>
        <w:ind w:left="4" w:right="240"/>
        <w:spacing w:after="0" w:line="277" w:lineRule="auto"/>
        <w:rPr>
          <w:sz w:val="20"/>
          <w:szCs w:val="20"/>
          <w:color w:val="auto"/>
        </w:rPr>
      </w:pPr>
      <w:r>
        <w:rPr>
          <w:rFonts w:ascii="Arial" w:cs="Arial" w:eastAsia="Arial" w:hAnsi="Arial"/>
          <w:sz w:val="16"/>
          <w:szCs w:val="16"/>
          <w:color w:val="auto"/>
        </w:rPr>
        <w:t>The purpose of the BCAP is to adopt a new forecast of natural gas demand to allocate costs and set rates to enable the Sempra Utilities to recover their natural gas distribution costs.</w:t>
      </w:r>
    </w:p>
    <w:p>
      <w:pPr>
        <w:spacing w:after="0" w:line="32" w:lineRule="exact"/>
        <w:rPr>
          <w:sz w:val="20"/>
          <w:szCs w:val="20"/>
          <w:color w:val="auto"/>
        </w:rPr>
      </w:pPr>
    </w:p>
    <w:p>
      <w:pPr>
        <w:ind w:left="4" w:right="140"/>
        <w:spacing w:after="0" w:line="351" w:lineRule="auto"/>
        <w:rPr>
          <w:sz w:val="20"/>
          <w:szCs w:val="20"/>
          <w:color w:val="auto"/>
        </w:rPr>
      </w:pPr>
      <w:r>
        <w:rPr>
          <w:rFonts w:ascii="Arial" w:cs="Arial" w:eastAsia="Arial" w:hAnsi="Arial"/>
          <w:sz w:val="14"/>
          <w:szCs w:val="14"/>
          <w:color w:val="auto"/>
        </w:rPr>
        <w:t>In August 2006, SDG&amp;E, SoCalGas and Edison jointly filed an application with the CPUC seeking its approval of a series of revisions to the natural gas operations and service offerings of the Sempra Utilities. The CPUC issued a final decision in December 2007 approving some, but not all, of the proposals and deferring a number of issues to</w:t>
      </w:r>
    </w:p>
    <w:p>
      <w:pPr>
        <w:spacing w:after="0" w:line="200" w:lineRule="exact"/>
        <w:rPr>
          <w:sz w:val="20"/>
          <w:szCs w:val="20"/>
          <w:color w:val="auto"/>
        </w:rPr>
      </w:pPr>
    </w:p>
    <w:p>
      <w:pPr>
        <w:spacing w:after="0" w:line="246" w:lineRule="exact"/>
        <w:rPr>
          <w:sz w:val="20"/>
          <w:szCs w:val="20"/>
          <w:color w:val="auto"/>
        </w:rPr>
      </w:pPr>
    </w:p>
    <w:p>
      <w:pPr>
        <w:ind w:left="4"/>
        <w:spacing w:after="0"/>
        <w:rPr>
          <w:sz w:val="20"/>
          <w:szCs w:val="20"/>
          <w:color w:val="auto"/>
        </w:rPr>
      </w:pPr>
      <w:r>
        <w:rPr>
          <w:rFonts w:ascii="Arial" w:cs="Arial" w:eastAsia="Arial" w:hAnsi="Arial"/>
          <w:sz w:val="14"/>
          <w:szCs w:val="14"/>
          <w:color w:val="auto"/>
        </w:rPr>
        <w:t>171</w:t>
      </w:r>
    </w:p>
    <w:p>
      <w:pPr>
        <w:sectPr>
          <w:pgSz w:w="11900" w:h="16838" w:orient="portrait"/>
          <w:cols w:equalWidth="0" w:num="1">
            <w:col w:w="11404"/>
          </w:cols>
          <w:pgMar w:left="236" w:top="127" w:right="259" w:bottom="1440" w:gutter="0" w:footer="0" w:header="0"/>
        </w:sectPr>
      </w:pPr>
    </w:p>
    <w:bookmarkStart w:id="311" w:name="page312"/>
    <w:bookmarkEnd w:id="311"/>
    <w:p>
      <w:pPr>
        <w:ind w:right="420"/>
        <w:spacing w:after="0" w:line="340" w:lineRule="auto"/>
        <w:rPr>
          <w:sz w:val="20"/>
          <w:szCs w:val="20"/>
          <w:color w:val="auto"/>
        </w:rPr>
      </w:pPr>
      <w:r>
        <w:rPr>
          <w:rFonts w:ascii="Arial" w:cs="Arial" w:eastAsia="Arial" w:hAnsi="Arial"/>
          <w:sz w:val="14"/>
          <w:szCs w:val="14"/>
          <w:color w:val="auto"/>
        </w:rPr>
        <w:t>the Sempra Utilities’ BCAP where they could be addressed more fully. As discussed above, under "Unbundled Gas Storage and System Operator Hub Services," the parties reached a settlement agreement on a majority of the storage-related issues and the CPUC issued its final decision approving the uncontested settlement in December 2008.</w:t>
      </w:r>
    </w:p>
    <w:p>
      <w:pPr>
        <w:spacing w:after="0" w:line="257" w:lineRule="auto"/>
        <w:rPr>
          <w:sz w:val="20"/>
          <w:szCs w:val="20"/>
          <w:color w:val="auto"/>
        </w:rPr>
      </w:pPr>
      <w:r>
        <w:rPr>
          <w:rFonts w:ascii="Arial" w:cs="Arial" w:eastAsia="Arial" w:hAnsi="Arial"/>
          <w:sz w:val="16"/>
          <w:szCs w:val="16"/>
          <w:color w:val="auto"/>
        </w:rPr>
        <w:t>The settlement agreement will allow SoCalGas to invest in certain underground natural gas storage replacement and expansion projects. These projects ultimately could add an estimated 145 million cubic feet per day (MMcfd) of storage injection capacity and approximately 7 billion cubic feet (Bcf) of inventory capacity. The cost of these investments is estimated at $250 million. This investment would be incremental to the capital authorized in the 2008 GRC and would be treated like existing storage assets, providing an additional earnings opportunity through the resulting increase in SoCalGas' rate base in combination with the unbundled storage revenue described in "Unbundled Gas Storage and System Operator Hub Services" above.</w:t>
      </w:r>
    </w:p>
    <w:p>
      <w:pPr>
        <w:spacing w:after="0" w:line="24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NATURAL GAS MARKET OIR</w:t>
      </w:r>
    </w:p>
    <w:p>
      <w:pPr>
        <w:spacing w:after="0" w:line="89" w:lineRule="exact"/>
        <w:rPr>
          <w:sz w:val="20"/>
          <w:szCs w:val="20"/>
          <w:color w:val="auto"/>
        </w:rPr>
      </w:pPr>
    </w:p>
    <w:p>
      <w:pPr>
        <w:ind w:right="80"/>
        <w:spacing w:after="0" w:line="274" w:lineRule="auto"/>
        <w:rPr>
          <w:sz w:val="20"/>
          <w:szCs w:val="20"/>
          <w:color w:val="auto"/>
        </w:rPr>
      </w:pPr>
      <w:r>
        <w:rPr>
          <w:rFonts w:ascii="Arial" w:cs="Arial" w:eastAsia="Arial" w:hAnsi="Arial"/>
          <w:sz w:val="15"/>
          <w:szCs w:val="15"/>
          <w:color w:val="auto"/>
        </w:rPr>
        <w:t>The CPUC considered natural gas market issues, including market design and infrastructure requirements, as part of its Natural Gas Market Order Instituting Rulemaking (OIR). In September 2006, a final decision in Phase II of this proceeding was issued. This decision reaffirmed the adequacy of the capacity of the SoCalGas and SDG&amp;E systems to meet then-current and forecasted demand. Among other things, this decision established revised natural gas quality standards that apply to all natural gas supplies entering the SoCalGas and SDG&amp;E systems, including new supplies of regasified liquefied natural gas. The South Coast Air Quality Management District and the City of San Diego (jointly with Ratepayers for Affordable Clean Energy) filed petitions for review in the California Court of Appeal and the California Supreme Court challenging the CPUC's September 2006 decision. In November 2007, the Court of Appeal determined that the California Supreme Court had exclusive jurisdiction over the petitions for review. In July 2008, the California Supreme Court denied the petitions for review, thereby affirming the CPUC's decision in all respects.</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ADVANCED METERING INFRASTRUCTURE</w:t>
      </w:r>
    </w:p>
    <w:p>
      <w:pPr>
        <w:spacing w:after="0" w:line="89" w:lineRule="exact"/>
        <w:rPr>
          <w:sz w:val="20"/>
          <w:szCs w:val="20"/>
          <w:color w:val="auto"/>
        </w:rPr>
      </w:pPr>
    </w:p>
    <w:p>
      <w:pPr>
        <w:ind w:right="100"/>
        <w:spacing w:after="0" w:line="308" w:lineRule="auto"/>
        <w:rPr>
          <w:sz w:val="20"/>
          <w:szCs w:val="20"/>
          <w:color w:val="auto"/>
        </w:rPr>
      </w:pPr>
      <w:r>
        <w:rPr>
          <w:rFonts w:ascii="Arial" w:cs="Arial" w:eastAsia="Arial" w:hAnsi="Arial"/>
          <w:sz w:val="14"/>
          <w:szCs w:val="14"/>
          <w:color w:val="auto"/>
        </w:rPr>
        <w:t>In April 2007, the CPUC approved SDG&amp;E's request to install advanced meters with integrated two-way communications functionality, providing a home area network for all customers, including remote disconnect for the majority of residential customers. SDG&amp;E estimates expenditures for this project of $572 million (including approximately $500 million in capital investment). This project involves replacing 1.4 million electric meters and 900,000 natural gas meters throughout SDG&amp;E’s service territory. Based on the evaluation of an initial installation of 4,500 meters, SDG&amp;E plans to begin full-scale deployment in the second quarter of 2009, with completion by the end of 2011.</w:t>
      </w:r>
    </w:p>
    <w:p>
      <w:pPr>
        <w:spacing w:after="0" w:line="14" w:lineRule="exact"/>
        <w:rPr>
          <w:sz w:val="20"/>
          <w:szCs w:val="20"/>
          <w:color w:val="auto"/>
        </w:rPr>
      </w:pPr>
    </w:p>
    <w:p>
      <w:pPr>
        <w:ind w:right="80"/>
        <w:spacing w:after="0" w:line="264" w:lineRule="auto"/>
        <w:rPr>
          <w:sz w:val="20"/>
          <w:szCs w:val="20"/>
          <w:color w:val="auto"/>
        </w:rPr>
      </w:pPr>
      <w:r>
        <w:rPr>
          <w:rFonts w:ascii="Arial" w:cs="Arial" w:eastAsia="Arial" w:hAnsi="Arial"/>
          <w:sz w:val="16"/>
          <w:szCs w:val="16"/>
          <w:color w:val="auto"/>
        </w:rPr>
        <w:t>In September 2008, SoCalGas filed an application with the CPUC for approval to upgrade approximately six million natural gas meters with an advanced metering infrastructure at an estimated cost of $1.1 billion (including approximately $900 million in capital investment). A final CPUC decision is expected late in 2009. If approved as scheduled, installation of the meters is expected to begin in 2011 and continue through 2015.</w:t>
      </w:r>
    </w:p>
    <w:p>
      <w:pPr>
        <w:spacing w:after="0" w:line="23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GREENHOUSE GAS REGULATION</w:t>
      </w:r>
    </w:p>
    <w:p>
      <w:pPr>
        <w:spacing w:after="0" w:line="89" w:lineRule="exact"/>
        <w:rPr>
          <w:sz w:val="20"/>
          <w:szCs w:val="20"/>
          <w:color w:val="auto"/>
        </w:rPr>
      </w:pPr>
    </w:p>
    <w:p>
      <w:pPr>
        <w:ind w:right="40"/>
        <w:spacing w:after="0" w:line="282" w:lineRule="auto"/>
        <w:rPr>
          <w:sz w:val="20"/>
          <w:szCs w:val="20"/>
          <w:color w:val="auto"/>
        </w:rPr>
      </w:pPr>
      <w:r>
        <w:rPr>
          <w:rFonts w:ascii="Arial" w:cs="Arial" w:eastAsia="Arial" w:hAnsi="Arial"/>
          <w:sz w:val="15"/>
          <w:szCs w:val="15"/>
          <w:color w:val="auto"/>
        </w:rPr>
        <w:t>Legislation was enacted in 2006, including California Assembly Bill 32 (AB 32) and California Senate Bill 1368, mandating reductions in greenhouse gas emissions. The California Air Resources Board (CARB) is the lead agency in developing a plan to meet these requirements and is in the process of developing rules and market mechanisms that will be implemented on January 1, 2012. The CPUC and California Energy Commission are also in the process of making recommendations to the CARB regarding the rules that should apply for the electricity and natural gas sectors. The CARB's formal AB 32 Scoping Plan was adopted in December 2008.</w:t>
      </w:r>
    </w:p>
    <w:p>
      <w:pPr>
        <w:spacing w:after="0" w:line="30" w:lineRule="exact"/>
        <w:rPr>
          <w:sz w:val="20"/>
          <w:szCs w:val="20"/>
          <w:color w:val="auto"/>
        </w:rPr>
      </w:pPr>
    </w:p>
    <w:p>
      <w:pPr>
        <w:ind w:right="120"/>
        <w:spacing w:after="0" w:line="351" w:lineRule="auto"/>
        <w:rPr>
          <w:sz w:val="20"/>
          <w:szCs w:val="20"/>
          <w:color w:val="auto"/>
        </w:rPr>
      </w:pPr>
      <w:r>
        <w:rPr>
          <w:rFonts w:ascii="Arial" w:cs="Arial" w:eastAsia="Arial" w:hAnsi="Arial"/>
          <w:sz w:val="14"/>
          <w:szCs w:val="14"/>
          <w:color w:val="auto"/>
        </w:rPr>
        <w:t>These legislative mandates could affect costs and growth at the Sempra Utilities and at Sempra Generation's power plants. Any cost impact at the Sempra Utilities is expected to be recoverable through rates. As discussed in Note 16 under "Environmental Issues," compliance with this and similar legislation could adversely affect Sempra</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4"/>
          <w:szCs w:val="14"/>
          <w:color w:val="auto"/>
        </w:rPr>
        <w:t>172</w:t>
      </w:r>
    </w:p>
    <w:p>
      <w:pPr>
        <w:sectPr>
          <w:pgSz w:w="11900" w:h="16838" w:orient="portrait"/>
          <w:cols w:equalWidth="0" w:num="1">
            <w:col w:w="11420"/>
          </w:cols>
          <w:pgMar w:left="240" w:top="127" w:right="239" w:bottom="1440" w:gutter="0" w:footer="0" w:header="0"/>
        </w:sectPr>
      </w:pPr>
    </w:p>
    <w:bookmarkStart w:id="312" w:name="page313"/>
    <w:bookmarkEnd w:id="312"/>
    <w:p>
      <w:pPr>
        <w:ind w:right="420"/>
        <w:spacing w:after="0" w:line="277" w:lineRule="auto"/>
        <w:rPr>
          <w:sz w:val="20"/>
          <w:szCs w:val="20"/>
          <w:color w:val="auto"/>
        </w:rPr>
      </w:pPr>
      <w:r>
        <w:rPr>
          <w:rFonts w:ascii="Arial" w:cs="Arial" w:eastAsia="Arial" w:hAnsi="Arial"/>
          <w:sz w:val="16"/>
          <w:szCs w:val="16"/>
          <w:color w:val="auto"/>
        </w:rPr>
        <w:t>Generation. However, such legislation may also present growth opportunities for Sempra Generation because of an increasing preference for natural gas and renewables for electric generation, as opposed to other sources.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203835</wp:posOffset>
            </wp:positionV>
            <wp:extent cx="7261860" cy="762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pacing w:after="0" w:line="357" w:lineRule="exact"/>
        <w:rPr>
          <w:sz w:val="20"/>
          <w:szCs w:val="20"/>
          <w:color w:val="auto"/>
        </w:rPr>
      </w:pPr>
    </w:p>
    <w:p>
      <w:pPr>
        <w:spacing w:after="0"/>
        <w:rPr>
          <w:sz w:val="20"/>
          <w:szCs w:val="20"/>
          <w:color w:val="auto"/>
        </w:rPr>
      </w:pPr>
      <w:r>
        <w:rPr>
          <w:rFonts w:ascii="Arial" w:cs="Arial" w:eastAsia="Arial" w:hAnsi="Arial"/>
          <w:sz w:val="18"/>
          <w:szCs w:val="18"/>
          <w:color w:val="auto"/>
        </w:rPr>
        <w:t>NOTE 16. COMMITMENTS AND CONTINGENCIES</w:t>
      </w:r>
    </w:p>
    <w:p>
      <w:pPr>
        <w:spacing w:after="0" w:line="24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LEGAL PROCEEDINGS</w:t>
      </w:r>
    </w:p>
    <w:p>
      <w:pPr>
        <w:spacing w:after="0" w:line="89" w:lineRule="exact"/>
        <w:rPr>
          <w:sz w:val="20"/>
          <w:szCs w:val="20"/>
          <w:color w:val="auto"/>
        </w:rPr>
      </w:pPr>
    </w:p>
    <w:p>
      <w:pPr>
        <w:ind w:right="140"/>
        <w:spacing w:after="0" w:line="259" w:lineRule="auto"/>
        <w:rPr>
          <w:sz w:val="20"/>
          <w:szCs w:val="20"/>
          <w:color w:val="auto"/>
        </w:rPr>
      </w:pPr>
      <w:r>
        <w:rPr>
          <w:rFonts w:ascii="Arial" w:cs="Arial" w:eastAsia="Arial" w:hAnsi="Arial"/>
          <w:sz w:val="16"/>
          <w:szCs w:val="16"/>
          <w:color w:val="auto"/>
        </w:rPr>
        <w:t xml:space="preserve">We record reserves for legal proceedings in accordance with SFAS 5, </w:t>
      </w:r>
      <w:r>
        <w:rPr>
          <w:rFonts w:ascii="Arial" w:cs="Arial" w:eastAsia="Arial" w:hAnsi="Arial"/>
          <w:sz w:val="16"/>
          <w:szCs w:val="16"/>
          <w:i w:val="1"/>
          <w:iCs w:val="1"/>
          <w:color w:val="auto"/>
        </w:rPr>
        <w:t>Accounting for Contingencies</w:t>
      </w:r>
      <w:r>
        <w:rPr>
          <w:rFonts w:ascii="Arial" w:cs="Arial" w:eastAsia="Arial" w:hAnsi="Arial"/>
          <w:sz w:val="16"/>
          <w:szCs w:val="16"/>
          <w:color w:val="auto"/>
        </w:rPr>
        <w:t>. At December 31, 2008, Sempra Energy's reserves for unresolved legal proceedings, on a consolidated basis, were $53 million. At December 31, 2008, SDG&amp;E and SoCalGas had reserves for unresolved legal proceedings of $31 million and $12 million, respectively. RBS Sempra Commodities assumed litigation reserves related to Sempra Commodities, however, we have indemnified RBS should the liabilities from the final resolution of these matters be greater than the reserves.</w:t>
      </w:r>
    </w:p>
    <w:p>
      <w:pPr>
        <w:spacing w:after="0" w:line="47" w:lineRule="exact"/>
        <w:rPr>
          <w:sz w:val="20"/>
          <w:szCs w:val="20"/>
          <w:color w:val="auto"/>
        </w:rPr>
      </w:pPr>
    </w:p>
    <w:p>
      <w:pPr>
        <w:ind w:right="200"/>
        <w:spacing w:after="0" w:line="351" w:lineRule="auto"/>
        <w:rPr>
          <w:sz w:val="20"/>
          <w:szCs w:val="20"/>
          <w:color w:val="auto"/>
        </w:rPr>
      </w:pPr>
      <w:r>
        <w:rPr>
          <w:rFonts w:ascii="Arial" w:cs="Arial" w:eastAsia="Arial" w:hAnsi="Arial"/>
          <w:sz w:val="14"/>
          <w:szCs w:val="14"/>
          <w:color w:val="auto"/>
        </w:rPr>
        <w:t>The uncertainties that exist in legal proceedings make it difficult to estimate with reasonable certainty the costs and effects of resolving these matters. Accordingly, actual costs incurred may differ materially from insured or reserved amounts and could materially adversely affect our business, cash flows, results of operations, and financial condition.</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SDG&amp;E 2007 Wildfire Litigation</w:t>
      </w:r>
    </w:p>
    <w:p>
      <w:pPr>
        <w:spacing w:after="0" w:line="23" w:lineRule="exact"/>
        <w:rPr>
          <w:sz w:val="20"/>
          <w:szCs w:val="20"/>
          <w:color w:val="auto"/>
        </w:rPr>
      </w:pPr>
    </w:p>
    <w:p>
      <w:pPr>
        <w:ind w:right="100"/>
        <w:spacing w:after="0" w:line="294" w:lineRule="auto"/>
        <w:rPr>
          <w:sz w:val="20"/>
          <w:szCs w:val="20"/>
          <w:color w:val="auto"/>
        </w:rPr>
      </w:pPr>
      <w:r>
        <w:rPr>
          <w:rFonts w:ascii="Arial" w:cs="Arial" w:eastAsia="Arial" w:hAnsi="Arial"/>
          <w:sz w:val="14"/>
          <w:szCs w:val="14"/>
          <w:color w:val="auto"/>
        </w:rPr>
        <w:t>In October 2007, San Diego County experienced catastrophic wildfires. In July 2008, the California Department of Forestry and Fire Protection (Cal Fire) issued investigation reports stating that two fires (the Witch and Rice fires) were SDG&amp;E "power line caused" and that a third fire (the Guejito fire) occurred when a wire securing a Cox Communications' fiber optic cable came into contact with an SDG&amp;E power line "causing an arc and starting the fire." Cal Fire states that the Rice fire burned approximately 9,500 acres and damaged 206 homes and two commercial properties. The reports indicate that the Witch and Guejito fires merged and eventually burned approximately 198,000 acres, resulted in two fatalities, injured approximately 40 firefighters and destroyed approximately 1,141 homes. Cal Fire is still investigating the perimeters of these two fires to determine the damages associated with each fire. In September 2008, the Consumer Protection and Safety Division of the California Public Utilities Commission issued a staff investigative report reaching substantially the same conclusions as the Cal Fire reports. However, the staff report also opines that the power lines involved in the Witch and Rice fires and the lashing wire involved in the Guejito fire were not properly designed, constructed and maintained as required by commission rules. In November 2008, the Commission initiated an investigation to determine whether SDG&amp;E and Cox Communications violated any rules or regulations in connection with the fires.</w:t>
      </w:r>
    </w:p>
    <w:p>
      <w:pPr>
        <w:spacing w:after="0" w:line="27" w:lineRule="exact"/>
        <w:rPr>
          <w:sz w:val="20"/>
          <w:szCs w:val="20"/>
          <w:color w:val="auto"/>
        </w:rPr>
      </w:pPr>
    </w:p>
    <w:p>
      <w:pPr>
        <w:ind w:right="40"/>
        <w:spacing w:after="0" w:line="256" w:lineRule="auto"/>
        <w:rPr>
          <w:sz w:val="20"/>
          <w:szCs w:val="20"/>
          <w:color w:val="auto"/>
        </w:rPr>
      </w:pPr>
      <w:r>
        <w:rPr>
          <w:rFonts w:ascii="Arial" w:cs="Arial" w:eastAsia="Arial" w:hAnsi="Arial"/>
          <w:sz w:val="16"/>
          <w:szCs w:val="16"/>
          <w:color w:val="auto"/>
        </w:rPr>
        <w:t>Approximately 100 lawsuits, some of which seek class action certification, have been filed against SDG&amp;E and Sempra Energy in San Diego County Superior Court seeking to recover damages in unspecified amounts, including punitive damages and other costs associated with the three fires. Plaintiffs include owners and insurers of properties that were damaged or destroyed and public entities seeking recovery of firefighting costs. They assert various bases for recovery, including inverse condemnation based upon a California Court of Appeal decision finding that another California investor-owned utility was subject to strict liability, without regard to foreseeability or negligence, for damages resulting from a wildfire ignited by power lines. SDG&amp;E has filed cross-complaints against Cox Communications seeking indemnification for any liability that SDG&amp;E may incur that relates to the Guejito fire.</w:t>
      </w:r>
    </w:p>
    <w:p>
      <w:pPr>
        <w:spacing w:after="0" w:line="48" w:lineRule="exact"/>
        <w:rPr>
          <w:sz w:val="20"/>
          <w:szCs w:val="20"/>
          <w:color w:val="auto"/>
        </w:rPr>
      </w:pPr>
    </w:p>
    <w:p>
      <w:pPr>
        <w:spacing w:after="0" w:line="256" w:lineRule="auto"/>
        <w:rPr>
          <w:sz w:val="20"/>
          <w:szCs w:val="20"/>
          <w:color w:val="auto"/>
        </w:rPr>
      </w:pPr>
      <w:r>
        <w:rPr>
          <w:rFonts w:ascii="Arial" w:cs="Arial" w:eastAsia="Arial" w:hAnsi="Arial"/>
          <w:sz w:val="16"/>
          <w:szCs w:val="16"/>
          <w:color w:val="auto"/>
        </w:rPr>
        <w:t>By January 2009, insurers representing 92 percent of the total California homeowner insurance market have paid out approximately $1.4 billion on more than 18,000 claims relating to the three fires. These include claims for approximately 900 of the 1,300 houses, mobile homes, and apartment units identified in public records as having been destroyed by the three fires. The litigation includes additional claims for uninsured and underinsured structures, firefighting costs, business interruption, evacuation expenses, agricultural damage, and personal injuries. The wildfire litigation, including any appeals, could take a number of years to be resolved in light of the complexity of the matters and the large number of parties and claims involved. If SDG&amp;E’s ultimate liability were to exceed its $1.1 billion of liability insurance coverage, SDG&amp;E would request authorization from the FERC and CPUC to</w:t>
      </w: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14"/>
          <w:szCs w:val="14"/>
          <w:color w:val="auto"/>
        </w:rPr>
        <w:t>173</w:t>
      </w:r>
    </w:p>
    <w:p>
      <w:pPr>
        <w:sectPr>
          <w:pgSz w:w="11900" w:h="16838" w:orient="portrait"/>
          <w:cols w:equalWidth="0" w:num="1">
            <w:col w:w="11420"/>
          </w:cols>
          <w:pgMar w:left="240" w:top="127" w:right="239" w:bottom="1440" w:gutter="0" w:footer="0" w:header="0"/>
        </w:sectPr>
      </w:pPr>
    </w:p>
    <w:bookmarkStart w:id="313" w:name="page314"/>
    <w:bookmarkEnd w:id="313"/>
    <w:p>
      <w:pPr>
        <w:spacing w:after="0"/>
        <w:rPr>
          <w:sz w:val="20"/>
          <w:szCs w:val="20"/>
          <w:color w:val="auto"/>
        </w:rPr>
      </w:pPr>
      <w:r>
        <w:rPr>
          <w:rFonts w:ascii="Arial" w:cs="Arial" w:eastAsia="Arial" w:hAnsi="Arial"/>
          <w:sz w:val="14"/>
          <w:szCs w:val="14"/>
          <w:color w:val="auto"/>
        </w:rPr>
        <w:t>recover the excess amounts in utility rates. The company is unable to predict the degree of success SDG&amp;E may have in pursuing such requests or the timing of any recovery.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DWR Contract</w:t>
      </w:r>
    </w:p>
    <w:p>
      <w:pPr>
        <w:spacing w:after="0" w:line="23" w:lineRule="exact"/>
        <w:rPr>
          <w:sz w:val="20"/>
          <w:szCs w:val="20"/>
          <w:color w:val="auto"/>
        </w:rPr>
      </w:pPr>
    </w:p>
    <w:p>
      <w:pPr>
        <w:ind w:right="20"/>
        <w:spacing w:after="0" w:line="255" w:lineRule="auto"/>
        <w:rPr>
          <w:sz w:val="20"/>
          <w:szCs w:val="20"/>
          <w:color w:val="auto"/>
        </w:rPr>
      </w:pPr>
      <w:r>
        <w:rPr>
          <w:rFonts w:ascii="Arial" w:cs="Arial" w:eastAsia="Arial" w:hAnsi="Arial"/>
          <w:sz w:val="16"/>
          <w:szCs w:val="16"/>
          <w:color w:val="auto"/>
        </w:rPr>
        <w:t>In February 2002, the California Energy Oversight Board (CEOB) and the CPUC filed challenges at the Federal Energy Regulatory Commission (FERC) to the DWR's contracts with Sempra Generation and other power suppliers. After the FERC upheld the contracts in 2003, the CEOB and CPUC appealed to the U.S. Court of Appeals for the Ninth Circuit (Ninth Circuit Court of Appeals), challenging the FERC's application of the Mobile-Sierra doctrine's "public interest" standard of review to the contracts without having first determined that the contracts met a more rigorous "just and reasonable" standard of review. In June 2008, the United States Supreme Court (Supreme Court) ruled that the FERC was correct to apply the Mobile-Sierra doctrine (which presumes that contract rates are just and reasonable) absent a demonstration that one of the contracting parties' unlawful manipulation of the market directly affected the rates. The Supreme Court ruled that the FERC should clarify its findings on this issue and consider whether the contract rates seriously harm the public interest.</w:t>
      </w:r>
    </w:p>
    <w:p>
      <w:pPr>
        <w:spacing w:after="0" w:line="49" w:lineRule="exact"/>
        <w:rPr>
          <w:sz w:val="20"/>
          <w:szCs w:val="20"/>
          <w:color w:val="auto"/>
        </w:rPr>
      </w:pPr>
    </w:p>
    <w:p>
      <w:pPr>
        <w:ind w:right="20"/>
        <w:spacing w:after="0" w:line="295" w:lineRule="auto"/>
        <w:rPr>
          <w:sz w:val="20"/>
          <w:szCs w:val="20"/>
          <w:color w:val="auto"/>
        </w:rPr>
      </w:pPr>
      <w:r>
        <w:rPr>
          <w:rFonts w:ascii="Arial" w:cs="Arial" w:eastAsia="Arial" w:hAnsi="Arial"/>
          <w:sz w:val="14"/>
          <w:szCs w:val="14"/>
          <w:color w:val="auto"/>
        </w:rPr>
        <w:t>At various times since the contract's inception, Sempra Generation and the DWR have also had disputes regarding the meaning of terms and performance of their agreement under which Sempra Generation sells electricity to the DWR. In 2002, in a state civil action, the DWR sought to void its contract with Sempra Generation, seeking damages, injunctive and declaratory relief, and $100 million in punitive damages. The DWR claims that Sempra Generation misrepresented its intention and ability to construct a temporary phase of one power project and, alternatively, breached its contract by failure to construct and deliver power from that phase. In June 2005, the California Court of Appeal reversed a previous summary judgment in favor of Sempra Generation. The Court concluded that the contract language was ambiguous and presented triable issues of material fact that must be addressed by further evidence and proceedings. The case was sent back to the trial court. In January 2007, the DWR added additional claims for fraud and breach of contract. In June 2008, the California Court of Appeal upheld the trial court's denial of Sempra Generation's motion to compel the DWR to arbitrate its new claims. The case was returned to the San Diego Superior Court for further proceedings. The case is scheduled for a jury trial in May 2009.</w:t>
      </w:r>
    </w:p>
    <w:p>
      <w:pPr>
        <w:spacing w:after="0" w:line="27" w:lineRule="exact"/>
        <w:rPr>
          <w:sz w:val="20"/>
          <w:szCs w:val="20"/>
          <w:color w:val="auto"/>
        </w:rPr>
      </w:pPr>
    </w:p>
    <w:p>
      <w:pPr>
        <w:spacing w:after="0" w:line="264" w:lineRule="auto"/>
        <w:rPr>
          <w:sz w:val="20"/>
          <w:szCs w:val="20"/>
          <w:color w:val="auto"/>
        </w:rPr>
      </w:pPr>
      <w:r>
        <w:rPr>
          <w:rFonts w:ascii="Arial" w:cs="Arial" w:eastAsia="Arial" w:hAnsi="Arial"/>
          <w:sz w:val="16"/>
          <w:szCs w:val="16"/>
          <w:color w:val="auto"/>
        </w:rPr>
        <w:t>In February 2006, the DWR began an additional arbitration against Sempra Generation related to the manner in which Sempra Generation schedules its Mexicali plant. The DWR sought $100 million in damages and an order terminating the contract. Arbitration hearings were held in November 2008 and on January 16, 2009, the arbitration panel issued a decision denying all of the DWR's claims.</w:t>
      </w:r>
    </w:p>
    <w:p>
      <w:pPr>
        <w:spacing w:after="0" w:line="42" w:lineRule="exact"/>
        <w:rPr>
          <w:sz w:val="20"/>
          <w:szCs w:val="20"/>
          <w:color w:val="auto"/>
        </w:rPr>
      </w:pPr>
    </w:p>
    <w:p>
      <w:pPr>
        <w:jc w:val="both"/>
        <w:spacing w:after="0" w:line="264" w:lineRule="auto"/>
        <w:rPr>
          <w:sz w:val="20"/>
          <w:szCs w:val="20"/>
          <w:color w:val="auto"/>
        </w:rPr>
      </w:pPr>
      <w:r>
        <w:rPr>
          <w:rFonts w:ascii="Arial" w:cs="Arial" w:eastAsia="Arial" w:hAnsi="Arial"/>
          <w:sz w:val="16"/>
          <w:szCs w:val="16"/>
          <w:color w:val="auto"/>
        </w:rPr>
        <w:t>In September 2008, the DWR initiated another arbitration proceeding against Sempra Generation, alleging that Sempra Generation had breached the parties’ agreement in various operational respects, and violated the order issued by the first arbitration panel relating to the amount refunded to the DWR and the manner in which Sempra Generation operates. The DWR seeks $60 million in damages and an order terminating the contract.</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FERC Refund Proceedings</w:t>
      </w:r>
    </w:p>
    <w:p>
      <w:pPr>
        <w:spacing w:after="0" w:line="23" w:lineRule="exact"/>
        <w:rPr>
          <w:sz w:val="20"/>
          <w:szCs w:val="20"/>
          <w:color w:val="auto"/>
        </w:rPr>
      </w:pPr>
    </w:p>
    <w:p>
      <w:pPr>
        <w:ind w:right="120"/>
        <w:spacing w:after="0" w:line="256" w:lineRule="auto"/>
        <w:rPr>
          <w:sz w:val="20"/>
          <w:szCs w:val="20"/>
          <w:color w:val="auto"/>
        </w:rPr>
      </w:pPr>
      <w:r>
        <w:rPr>
          <w:rFonts w:ascii="Arial" w:cs="Arial" w:eastAsia="Arial" w:hAnsi="Arial"/>
          <w:sz w:val="16"/>
          <w:szCs w:val="16"/>
          <w:color w:val="auto"/>
        </w:rPr>
        <w:t>The FERC is investigating prices charged by various electric suppliers to buyers in the California Power Exchange (PX) and Independent System Operator (ISO) markets. In December 2002, a FERC Administrative Law Judge (ALJ) issued preliminary findings indicating that the PX and ISO owe power suppliers $1.2 billion for the October 2, 2000 through June 20, 2001 period. This amount is the $3.0 billion that the California PX and ISO still owe energy companies less $1.8 billion that the energy companies charged California customers in excess of the preliminarily determined competitive market clearing prices. In March 2003, the FERC adopted its ALJ's findings, but changed the calculation of the refund by basing it on a different benchmark of natural gas prices. This change would increase the refund obligations from $1.8 billion to more than $3 billion for the same time period.</w:t>
      </w:r>
    </w:p>
    <w:p>
      <w:pPr>
        <w:spacing w:after="0" w:line="48" w:lineRule="exact"/>
        <w:rPr>
          <w:sz w:val="20"/>
          <w:szCs w:val="20"/>
          <w:color w:val="auto"/>
        </w:rPr>
      </w:pPr>
    </w:p>
    <w:p>
      <w:pPr>
        <w:spacing w:after="0" w:line="278" w:lineRule="auto"/>
        <w:rPr>
          <w:sz w:val="20"/>
          <w:szCs w:val="20"/>
          <w:color w:val="auto"/>
        </w:rPr>
      </w:pPr>
      <w:r>
        <w:rPr>
          <w:rFonts w:ascii="Arial" w:cs="Arial" w:eastAsia="Arial" w:hAnsi="Arial"/>
          <w:sz w:val="15"/>
          <w:szCs w:val="15"/>
          <w:color w:val="auto"/>
        </w:rPr>
        <w:t>Various parties, including Sempra Commodities, appealed the FERC's order to the Ninth Circuit Court of Appeals. In August 2006, the Court of Appeals held that the FERC had properly established October 2, 2000 through June 20, 2001 as the refund period and had properly excluded certain short-term bilateral transactions between sellers and the DWR from the refund proceedings. However, the court also held that the FERC erred in excluding certain multi-day transactions from the refund proceedings. Finally, while the court upheld the FERC's decision not to extend the refund proceedings to the summer period (prior to October 2, 2000), it found that the FERC should have considered other remedies for tariff violations that are alleged to have occurred prior to October 2, 2000. The Ninth Circuit</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4"/>
          <w:szCs w:val="14"/>
          <w:color w:val="auto"/>
        </w:rPr>
        <w:t>174</w:t>
      </w:r>
    </w:p>
    <w:p>
      <w:pPr>
        <w:sectPr>
          <w:pgSz w:w="11900" w:h="16838" w:orient="portrait"/>
          <w:cols w:equalWidth="0" w:num="1">
            <w:col w:w="11400"/>
          </w:cols>
          <w:pgMar w:left="240" w:top="127" w:right="259" w:bottom="1440" w:gutter="0" w:footer="0" w:header="0"/>
        </w:sectPr>
      </w:pPr>
    </w:p>
    <w:bookmarkStart w:id="314" w:name="page315"/>
    <w:bookmarkEnd w:id="314"/>
    <w:p>
      <w:pPr>
        <w:ind w:right="220"/>
        <w:spacing w:after="0" w:line="277" w:lineRule="auto"/>
        <w:rPr>
          <w:sz w:val="20"/>
          <w:szCs w:val="20"/>
          <w:color w:val="auto"/>
        </w:rPr>
      </w:pPr>
      <w:r>
        <w:rPr>
          <w:rFonts w:ascii="Arial" w:cs="Arial" w:eastAsia="Arial" w:hAnsi="Arial"/>
          <w:sz w:val="16"/>
          <w:szCs w:val="16"/>
          <w:color w:val="auto"/>
        </w:rPr>
        <w:t>Court of Appeals returned the matter to the FERC for further proceedings. In November 2007, Sempra Commodities and other entities filed requests for rehearing of the Ninth Circuit Court of Appeals’ August 2006 decision.</w:t>
      </w:r>
    </w:p>
    <w:p>
      <w:pPr>
        <w:spacing w:after="0" w:line="32" w:lineRule="exact"/>
        <w:rPr>
          <w:sz w:val="20"/>
          <w:szCs w:val="20"/>
          <w:color w:val="auto"/>
        </w:rPr>
      </w:pPr>
    </w:p>
    <w:p>
      <w:pPr>
        <w:ind w:right="60"/>
        <w:spacing w:after="0" w:line="278" w:lineRule="auto"/>
        <w:rPr>
          <w:sz w:val="20"/>
          <w:szCs w:val="20"/>
          <w:color w:val="auto"/>
        </w:rPr>
      </w:pPr>
      <w:r>
        <w:rPr>
          <w:rFonts w:ascii="Arial" w:cs="Arial" w:eastAsia="Arial" w:hAnsi="Arial"/>
          <w:sz w:val="15"/>
          <w:szCs w:val="15"/>
          <w:color w:val="auto"/>
        </w:rPr>
        <w:t>In August 2007, the Ninth Circuit Court of Appeals issued a decision reversing and remanding FERC orders declining to provide refunds in a related proceeding regarding short-term bilateral sales up to one month in the Pacific Northwest. The court found that some of the short-term sales between the DWR and various sellers (including Sempra Commodities) that had previously been excluded from the refund proceeding involving sales in the ISO and PX markets in California, were within the scope of the Pacific Northwest refund proceeding. In December 2007, Sempra Commodities and other sellers filed requests for rehearing of the Ninth Circuit Court of Appeals’ August 2007 decision. On remand, the FERC could order refunds for short-term sales to the DWR in the Pacific Northwest refund proceeding.</w:t>
      </w:r>
    </w:p>
    <w:p>
      <w:pPr>
        <w:spacing w:after="0" w:line="34" w:lineRule="exact"/>
        <w:rPr>
          <w:sz w:val="20"/>
          <w:szCs w:val="20"/>
          <w:color w:val="auto"/>
        </w:rPr>
      </w:pPr>
    </w:p>
    <w:p>
      <w:pPr>
        <w:ind w:right="20"/>
        <w:spacing w:after="0" w:line="276" w:lineRule="auto"/>
        <w:rPr>
          <w:sz w:val="20"/>
          <w:szCs w:val="20"/>
          <w:color w:val="auto"/>
        </w:rPr>
      </w:pPr>
      <w:r>
        <w:rPr>
          <w:rFonts w:ascii="Arial" w:cs="Arial" w:eastAsia="Arial" w:hAnsi="Arial"/>
          <w:sz w:val="15"/>
          <w:szCs w:val="15"/>
          <w:color w:val="auto"/>
        </w:rPr>
        <w:t>In a separate complaint filed with the FERC in 2002, the California Attorney General challenged the FERC's authority to establish a market-based rate system and also contended that even if such a system were valid, electricity sellers had failed to comply with the FERC's quarterly reporting requirements. The Attorney General requested that the FERC order refunds from suppliers. The FERC dismissed the complaint and instead ordered sellers to restate their reports. After an appeal by the California Attorney General, the Ninth Circuit Court of Appeals upheld the FERC's authority to establish a market-based rate system, but stated that failure to file transaction-specific quarterly reports gave the FERC authority to order refunds with respect to jurisdictional sellers. The Supreme Court has declined further review of the Ninth Circuit Court of Appeals' order. On remand, the FERC could order refunds or disgorgement of profits for periods in addition to those covered by its prior refund orders.</w:t>
      </w:r>
    </w:p>
    <w:p>
      <w:pPr>
        <w:spacing w:after="0" w:line="35" w:lineRule="exact"/>
        <w:rPr>
          <w:sz w:val="20"/>
          <w:szCs w:val="20"/>
          <w:color w:val="auto"/>
        </w:rPr>
      </w:pPr>
    </w:p>
    <w:p>
      <w:pPr>
        <w:ind w:right="100"/>
        <w:spacing w:after="0" w:line="264" w:lineRule="auto"/>
        <w:rPr>
          <w:sz w:val="20"/>
          <w:szCs w:val="20"/>
          <w:color w:val="auto"/>
        </w:rPr>
      </w:pPr>
      <w:r>
        <w:rPr>
          <w:rFonts w:ascii="Arial" w:cs="Arial" w:eastAsia="Arial" w:hAnsi="Arial"/>
          <w:sz w:val="16"/>
          <w:szCs w:val="16"/>
          <w:color w:val="auto"/>
        </w:rPr>
        <w:t>RBS Sempra Commodities has reserves for the estimated refund liability that reflect its estimate of the effect of the FERC's revision of the benchmark prices it will use to calculate refunds and other refund-related developments. Pursuant to the agreements related to the formation of RBS Sempra Commodities, we have indemnified RBS related to these proceedings should the liability from the final resolution be greater than the reserves.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FERC Manipulation Investigation</w:t>
      </w:r>
    </w:p>
    <w:p>
      <w:pPr>
        <w:spacing w:after="0" w:line="23" w:lineRule="exact"/>
        <w:rPr>
          <w:sz w:val="20"/>
          <w:szCs w:val="20"/>
          <w:color w:val="auto"/>
        </w:rPr>
      </w:pPr>
    </w:p>
    <w:p>
      <w:pPr>
        <w:ind w:right="20"/>
        <w:spacing w:after="0" w:line="259" w:lineRule="auto"/>
        <w:rPr>
          <w:sz w:val="20"/>
          <w:szCs w:val="20"/>
          <w:color w:val="auto"/>
        </w:rPr>
      </w:pPr>
      <w:r>
        <w:rPr>
          <w:rFonts w:ascii="Arial" w:cs="Arial" w:eastAsia="Arial" w:hAnsi="Arial"/>
          <w:sz w:val="16"/>
          <w:szCs w:val="16"/>
          <w:color w:val="auto"/>
        </w:rPr>
        <w:t>The FERC has separately investigated whether there was manipulation of short-term energy markets in the western United States that would constitute violations of applicable tariffs and warrant disgorgement of associated profits. In this proceeding, the FERC's authority is not limited to the periods relevant to the refund proceeding. In May 2002, the FERC ordered all energy companies engaged in electric energy trading activities to state whether they had engaged in various specific trading activities in violation of the PX and ISO tariffs.</w:t>
      </w:r>
    </w:p>
    <w:p>
      <w:pPr>
        <w:spacing w:after="0" w:line="47" w:lineRule="exact"/>
        <w:rPr>
          <w:sz w:val="20"/>
          <w:szCs w:val="20"/>
          <w:color w:val="auto"/>
        </w:rPr>
      </w:pPr>
    </w:p>
    <w:p>
      <w:pPr>
        <w:ind w:right="40"/>
        <w:spacing w:after="0" w:line="257" w:lineRule="auto"/>
        <w:rPr>
          <w:sz w:val="20"/>
          <w:szCs w:val="20"/>
          <w:color w:val="auto"/>
        </w:rPr>
      </w:pPr>
      <w:r>
        <w:rPr>
          <w:rFonts w:ascii="Arial" w:cs="Arial" w:eastAsia="Arial" w:hAnsi="Arial"/>
          <w:sz w:val="16"/>
          <w:szCs w:val="16"/>
          <w:color w:val="auto"/>
        </w:rPr>
        <w:t>In June 2003, the FERC ordered a number of entities, including Sempra Commodities, to show why they should not disgorge profits from certain transactions between January 1, 2000 and June 20, 2001 that are asserted to have constituted gaming and/or anomalous market behavior under the California ISO and/or PX tariffs. In October 2003, Sempra Commodities agreed to pay $7.2 million in full resolution of these investigations. That liability was recorded as of December 31, 2003. The Sempra Commodities settlement was approved by the FERC in August 2004. Certain California parties sought rehearing of this order, which the FERC largely denied in November 2008. The California parties have appealed the FERC's orders to the Ninth Circuit Court of Appeals.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Litigation</w:t>
      </w:r>
    </w:p>
    <w:p>
      <w:pPr>
        <w:spacing w:after="0" w:line="23" w:lineRule="exact"/>
        <w:rPr>
          <w:sz w:val="20"/>
          <w:szCs w:val="20"/>
          <w:color w:val="auto"/>
        </w:rPr>
      </w:pPr>
    </w:p>
    <w:p>
      <w:pPr>
        <w:spacing w:after="0" w:line="257" w:lineRule="auto"/>
        <w:rPr>
          <w:sz w:val="20"/>
          <w:szCs w:val="20"/>
          <w:color w:val="auto"/>
        </w:rPr>
      </w:pPr>
      <w:r>
        <w:rPr>
          <w:rFonts w:ascii="Arial" w:cs="Arial" w:eastAsia="Arial" w:hAnsi="Arial"/>
          <w:sz w:val="16"/>
          <w:szCs w:val="16"/>
          <w:color w:val="auto"/>
        </w:rPr>
        <w:t>Sempra Energy and several subsidiaries, along with three oil and natural gas companies, the City of Beverly Hills, and the Beverly Hills Unified School District, are defendants in a toxic tort lawsuit filed in Los Angeles County Superior Court by approximately 1,000 plaintiffs. This lawsuit claims that various emissions resulted in cancer or fear of cancer. We have submitted the case to our insurers, who have reserved their rights with respect to coverage. In November 2006, the court granted the defendants' summary judgment motions based on lack of medical causation for the 12 initial plaintiffs scheduled to go to trial first. The court also granted summary judgment excluding punitive damages. The court has stayed the case as to the remaining plaintiffs pending the appeal of the rulings.</w:t>
      </w:r>
    </w:p>
    <w:p>
      <w:pPr>
        <w:spacing w:after="0" w:line="48" w:lineRule="exact"/>
        <w:rPr>
          <w:sz w:val="20"/>
          <w:szCs w:val="20"/>
          <w:color w:val="auto"/>
        </w:rPr>
      </w:pPr>
    </w:p>
    <w:p>
      <w:pPr>
        <w:ind w:right="140"/>
        <w:spacing w:after="0" w:line="259" w:lineRule="auto"/>
        <w:rPr>
          <w:sz w:val="20"/>
          <w:szCs w:val="20"/>
          <w:color w:val="auto"/>
        </w:rPr>
      </w:pPr>
      <w:r>
        <w:rPr>
          <w:rFonts w:ascii="Arial" w:cs="Arial" w:eastAsia="Arial" w:hAnsi="Arial"/>
          <w:sz w:val="16"/>
          <w:szCs w:val="16"/>
          <w:color w:val="auto"/>
        </w:rPr>
        <w:t>In 1998, we converted our traditional pension plans (other than the SoCalGas union employee plan) to cash balance plans. In July 2005, a lawsuit was filed against SoCalGas in the U.S. District Court for the Central District of California alleging that the conversion unlawfully discriminated against older employees and failed to provide required disclosure of a reduction in benefits. In October 2005, the court dismissed three of the four causes of action and, in March 2006, dismissed the remaining cause of action. Plaintiffs appealed to the Ninth Circuit Court of</w:t>
      </w: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4"/>
          <w:szCs w:val="14"/>
          <w:color w:val="auto"/>
        </w:rPr>
        <w:t>175</w:t>
      </w:r>
    </w:p>
    <w:p>
      <w:pPr>
        <w:sectPr>
          <w:pgSz w:w="11900" w:h="16838" w:orient="portrait"/>
          <w:cols w:equalWidth="0" w:num="1">
            <w:col w:w="11420"/>
          </w:cols>
          <w:pgMar w:left="240" w:top="127" w:right="239" w:bottom="1440" w:gutter="0" w:footer="0" w:header="0"/>
        </w:sectPr>
      </w:pPr>
    </w:p>
    <w:bookmarkStart w:id="315" w:name="page316"/>
    <w:bookmarkEnd w:id="315"/>
    <w:p>
      <w:pPr>
        <w:ind w:left="4"/>
        <w:spacing w:after="0" w:line="277" w:lineRule="auto"/>
        <w:rPr>
          <w:sz w:val="20"/>
          <w:szCs w:val="20"/>
          <w:color w:val="auto"/>
        </w:rPr>
      </w:pPr>
      <w:r>
        <w:rPr>
          <w:rFonts w:ascii="Arial" w:cs="Arial" w:eastAsia="Arial" w:hAnsi="Arial"/>
          <w:sz w:val="16"/>
          <w:szCs w:val="16"/>
          <w:color w:val="auto"/>
        </w:rPr>
        <w:t>Appeals and, in August 2008, the court affirmed the dismissal of three of the four causes of action and reversed the District Court’s dismissal of the remaining cause of action. In November 2008, the Ninth Circuit Court of Appeals denied plaintiffs' request for rehearing.</w:t>
      </w:r>
    </w:p>
    <w:p>
      <w:pPr>
        <w:spacing w:after="0" w:line="32" w:lineRule="exact"/>
        <w:rPr>
          <w:sz w:val="20"/>
          <w:szCs w:val="20"/>
          <w:color w:val="auto"/>
        </w:rPr>
      </w:pPr>
    </w:p>
    <w:p>
      <w:pPr>
        <w:ind w:left="4" w:right="40"/>
        <w:spacing w:after="0" w:line="277" w:lineRule="auto"/>
        <w:rPr>
          <w:sz w:val="20"/>
          <w:szCs w:val="20"/>
          <w:color w:val="auto"/>
        </w:rPr>
      </w:pPr>
      <w:r>
        <w:rPr>
          <w:rFonts w:ascii="Arial" w:cs="Arial" w:eastAsia="Arial" w:hAnsi="Arial"/>
          <w:sz w:val="16"/>
          <w:szCs w:val="16"/>
          <w:color w:val="auto"/>
        </w:rPr>
        <w:t>We are also defendants in ordinary routine litigation incidental to our businesses, including personal injury, product liability, property damage and other claims. California juries have demonstrated an increasing willingness to grant large awards, including punitive damages, in these cases.</w:t>
      </w:r>
    </w:p>
    <w:p>
      <w:pPr>
        <w:spacing w:after="0" w:line="126" w:lineRule="exact"/>
        <w:rPr>
          <w:sz w:val="20"/>
          <w:szCs w:val="20"/>
          <w:color w:val="auto"/>
        </w:rPr>
      </w:pPr>
    </w:p>
    <w:p>
      <w:pPr>
        <w:ind w:left="4"/>
        <w:spacing w:after="0"/>
        <w:rPr>
          <w:sz w:val="20"/>
          <w:szCs w:val="20"/>
          <w:color w:val="auto"/>
        </w:rPr>
      </w:pPr>
      <w:r>
        <w:rPr>
          <w:rFonts w:ascii="Arial" w:cs="Arial" w:eastAsia="Arial" w:hAnsi="Arial"/>
          <w:sz w:val="18"/>
          <w:szCs w:val="18"/>
          <w:b w:val="1"/>
          <w:bCs w:val="1"/>
          <w:i w:val="1"/>
          <w:iCs w:val="1"/>
          <w:color w:val="auto"/>
        </w:rPr>
        <w:t>Resolved Matters</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6"/>
          <w:szCs w:val="16"/>
          <w:color w:val="auto"/>
        </w:rPr>
        <w:t>We have accrued liabilities for resolved matters of:</w:t>
      </w:r>
    </w:p>
    <w:p>
      <w:pPr>
        <w:spacing w:after="0" w:line="44" w:lineRule="exact"/>
        <w:rPr>
          <w:sz w:val="20"/>
          <w:szCs w:val="20"/>
          <w:color w:val="auto"/>
        </w:rPr>
      </w:pPr>
    </w:p>
    <w:p>
      <w:pPr>
        <w:ind w:left="144" w:hanging="144"/>
        <w:spacing w:after="0"/>
        <w:tabs>
          <w:tab w:leader="none" w:pos="144" w:val="left"/>
        </w:tabs>
        <w:numPr>
          <w:ilvl w:val="0"/>
          <w:numId w:val="388"/>
        </w:numPr>
        <w:rPr>
          <w:rFonts w:ascii="Arial" w:cs="Arial" w:eastAsia="Arial" w:hAnsi="Arial"/>
          <w:sz w:val="16"/>
          <w:szCs w:val="16"/>
          <w:color w:val="auto"/>
        </w:rPr>
      </w:pPr>
      <w:r>
        <w:rPr>
          <w:rFonts w:ascii="Arial" w:cs="Arial" w:eastAsia="Arial" w:hAnsi="Arial"/>
          <w:sz w:val="16"/>
          <w:szCs w:val="16"/>
          <w:color w:val="auto"/>
        </w:rPr>
        <w:t>$380 million at Sempra Energy Consolidated</w:t>
      </w:r>
    </w:p>
    <w:p>
      <w:pPr>
        <w:spacing w:after="0" w:line="44" w:lineRule="exact"/>
        <w:rPr>
          <w:rFonts w:ascii="Arial" w:cs="Arial" w:eastAsia="Arial" w:hAnsi="Arial"/>
          <w:sz w:val="16"/>
          <w:szCs w:val="16"/>
          <w:color w:val="auto"/>
        </w:rPr>
      </w:pPr>
    </w:p>
    <w:p>
      <w:pPr>
        <w:ind w:left="144" w:hanging="144"/>
        <w:spacing w:after="0"/>
        <w:tabs>
          <w:tab w:leader="none" w:pos="144" w:val="left"/>
        </w:tabs>
        <w:numPr>
          <w:ilvl w:val="0"/>
          <w:numId w:val="388"/>
        </w:numPr>
        <w:rPr>
          <w:rFonts w:ascii="Arial" w:cs="Arial" w:eastAsia="Arial" w:hAnsi="Arial"/>
          <w:sz w:val="16"/>
          <w:szCs w:val="16"/>
          <w:color w:val="auto"/>
        </w:rPr>
      </w:pPr>
      <w:r>
        <w:rPr>
          <w:rFonts w:ascii="Arial" w:cs="Arial" w:eastAsia="Arial" w:hAnsi="Arial"/>
          <w:sz w:val="16"/>
          <w:szCs w:val="16"/>
          <w:color w:val="auto"/>
        </w:rPr>
        <w:t>$32 million at SDG&amp;E</w:t>
      </w:r>
    </w:p>
    <w:p>
      <w:pPr>
        <w:spacing w:after="0" w:line="44" w:lineRule="exact"/>
        <w:rPr>
          <w:rFonts w:ascii="Arial" w:cs="Arial" w:eastAsia="Arial" w:hAnsi="Arial"/>
          <w:sz w:val="16"/>
          <w:szCs w:val="16"/>
          <w:color w:val="auto"/>
        </w:rPr>
      </w:pPr>
    </w:p>
    <w:p>
      <w:pPr>
        <w:ind w:left="144" w:hanging="144"/>
        <w:spacing w:after="0"/>
        <w:tabs>
          <w:tab w:leader="none" w:pos="144" w:val="left"/>
        </w:tabs>
        <w:numPr>
          <w:ilvl w:val="0"/>
          <w:numId w:val="388"/>
        </w:numPr>
        <w:rPr>
          <w:rFonts w:ascii="Arial" w:cs="Arial" w:eastAsia="Arial" w:hAnsi="Arial"/>
          <w:sz w:val="16"/>
          <w:szCs w:val="16"/>
          <w:color w:val="auto"/>
        </w:rPr>
      </w:pPr>
      <w:r>
        <w:rPr>
          <w:rFonts w:ascii="Arial" w:cs="Arial" w:eastAsia="Arial" w:hAnsi="Arial"/>
          <w:sz w:val="16"/>
          <w:szCs w:val="16"/>
          <w:color w:val="auto"/>
        </w:rPr>
        <w:t>$64 million at SoCalGas</w:t>
      </w:r>
    </w:p>
    <w:p>
      <w:pPr>
        <w:spacing w:after="0" w:line="128" w:lineRule="exact"/>
        <w:rPr>
          <w:sz w:val="20"/>
          <w:szCs w:val="20"/>
          <w:color w:val="auto"/>
        </w:rPr>
      </w:pPr>
    </w:p>
    <w:p>
      <w:pPr>
        <w:ind w:left="4"/>
        <w:spacing w:after="0"/>
        <w:rPr>
          <w:sz w:val="20"/>
          <w:szCs w:val="20"/>
          <w:color w:val="auto"/>
        </w:rPr>
      </w:pPr>
      <w:r>
        <w:rPr>
          <w:rFonts w:ascii="Arial" w:cs="Arial" w:eastAsia="Arial" w:hAnsi="Arial"/>
          <w:sz w:val="16"/>
          <w:szCs w:val="16"/>
          <w:color w:val="auto"/>
        </w:rPr>
        <w:t>These amounts are for settlements related to certain litigation arising out of the 2000 – 2001 California energy crisis.</w:t>
      </w:r>
    </w:p>
    <w:p>
      <w:pPr>
        <w:spacing w:after="0" w:line="80" w:lineRule="exact"/>
        <w:rPr>
          <w:sz w:val="20"/>
          <w:szCs w:val="20"/>
          <w:color w:val="auto"/>
        </w:rPr>
      </w:pPr>
    </w:p>
    <w:p>
      <w:pPr>
        <w:ind w:left="4"/>
        <w:spacing w:after="0"/>
        <w:rPr>
          <w:sz w:val="20"/>
          <w:szCs w:val="20"/>
          <w:color w:val="auto"/>
        </w:rPr>
      </w:pPr>
      <w:r>
        <w:rPr>
          <w:rFonts w:ascii="Arial" w:cs="Arial" w:eastAsia="Arial" w:hAnsi="Arial"/>
          <w:sz w:val="16"/>
          <w:szCs w:val="16"/>
          <w:color w:val="auto"/>
        </w:rPr>
        <w:t>The following is a description of specific litigation settlements.</w:t>
      </w:r>
    </w:p>
    <w:p>
      <w:pPr>
        <w:spacing w:after="0" w:line="78" w:lineRule="exact"/>
        <w:rPr>
          <w:sz w:val="20"/>
          <w:szCs w:val="20"/>
          <w:color w:val="auto"/>
        </w:rPr>
      </w:pPr>
    </w:p>
    <w:p>
      <w:pPr>
        <w:ind w:left="4"/>
        <w:spacing w:after="0"/>
        <w:rPr>
          <w:sz w:val="20"/>
          <w:szCs w:val="20"/>
          <w:color w:val="auto"/>
        </w:rPr>
      </w:pPr>
      <w:r>
        <w:rPr>
          <w:rFonts w:ascii="Arial" w:cs="Arial" w:eastAsia="Arial" w:hAnsi="Arial"/>
          <w:sz w:val="18"/>
          <w:szCs w:val="18"/>
          <w:i w:val="1"/>
          <w:iCs w:val="1"/>
          <w:color w:val="auto"/>
        </w:rPr>
        <w:t>Continental Forge Settlement</w:t>
      </w:r>
    </w:p>
    <w:p>
      <w:pPr>
        <w:spacing w:after="0" w:line="72" w:lineRule="exact"/>
        <w:rPr>
          <w:sz w:val="20"/>
          <w:szCs w:val="20"/>
          <w:color w:val="auto"/>
        </w:rPr>
      </w:pPr>
    </w:p>
    <w:p>
      <w:pPr>
        <w:ind w:left="4" w:right="460"/>
        <w:spacing w:after="0" w:line="313" w:lineRule="auto"/>
        <w:rPr>
          <w:sz w:val="20"/>
          <w:szCs w:val="20"/>
          <w:color w:val="auto"/>
        </w:rPr>
      </w:pPr>
      <w:r>
        <w:rPr>
          <w:rFonts w:ascii="Arial" w:cs="Arial" w:eastAsia="Arial" w:hAnsi="Arial"/>
          <w:sz w:val="14"/>
          <w:szCs w:val="14"/>
          <w:color w:val="auto"/>
        </w:rPr>
        <w:t>The Continental Forge class-action and individual antitrust and unfair competition lawsuits in California and Nevada alleged that Sempra Energy and the Sempra Utilities unlawfully sought to control natural gas and electricity markets. The detailed terms of these settlements were reported previously, and are summarized as follows:</w:t>
      </w:r>
    </w:p>
    <w:p>
      <w:pPr>
        <w:spacing w:after="0" w:line="1" w:lineRule="exact"/>
        <w:rPr>
          <w:sz w:val="20"/>
          <w:szCs w:val="20"/>
          <w:color w:val="auto"/>
        </w:rPr>
      </w:pPr>
    </w:p>
    <w:p>
      <w:pPr>
        <w:ind w:left="144" w:right="1240" w:hanging="144"/>
        <w:spacing w:after="0" w:line="279" w:lineRule="auto"/>
        <w:tabs>
          <w:tab w:leader="none" w:pos="144" w:val="left"/>
        </w:tabs>
        <w:numPr>
          <w:ilvl w:val="0"/>
          <w:numId w:val="389"/>
        </w:numPr>
        <w:rPr>
          <w:rFonts w:ascii="Arial" w:cs="Arial" w:eastAsia="Arial" w:hAnsi="Arial"/>
          <w:sz w:val="15"/>
          <w:szCs w:val="15"/>
          <w:color w:val="auto"/>
        </w:rPr>
      </w:pPr>
      <w:r>
        <w:rPr>
          <w:rFonts w:ascii="Arial" w:cs="Arial" w:eastAsia="Arial" w:hAnsi="Arial"/>
          <w:sz w:val="15"/>
          <w:szCs w:val="15"/>
          <w:color w:val="auto"/>
        </w:rPr>
        <w:t>In January 2006, in order to settle the California and Nevada litigation, we agreed to make cash payments in installments totaling $377 million. Of this amount, $347 million relates to the California Continental Forge and California class action price reporting litigation, and $30 million relates to the Nevada Continental Forge litigation. In March 2007, Sempra Energy and the Sempra Utilities entered into a separate settlement agreement with the City of Los Angeles resolving all of its claims in the Continental Forge litigation in return for payment of $8.5 million.</w:t>
      </w:r>
    </w:p>
    <w:p>
      <w:pPr>
        <w:spacing w:after="0" w:line="2" w:lineRule="exact"/>
        <w:rPr>
          <w:rFonts w:ascii="Arial" w:cs="Arial" w:eastAsia="Arial" w:hAnsi="Arial"/>
          <w:sz w:val="15"/>
          <w:szCs w:val="15"/>
          <w:color w:val="auto"/>
        </w:rPr>
      </w:pPr>
    </w:p>
    <w:p>
      <w:pPr>
        <w:ind w:left="144" w:right="1080" w:hanging="144"/>
        <w:spacing w:after="0" w:line="257" w:lineRule="auto"/>
        <w:tabs>
          <w:tab w:leader="none" w:pos="144" w:val="left"/>
        </w:tabs>
        <w:numPr>
          <w:ilvl w:val="0"/>
          <w:numId w:val="389"/>
        </w:numPr>
        <w:rPr>
          <w:rFonts w:ascii="Arial" w:cs="Arial" w:eastAsia="Arial" w:hAnsi="Arial"/>
          <w:sz w:val="16"/>
          <w:szCs w:val="16"/>
          <w:color w:val="auto"/>
        </w:rPr>
      </w:pPr>
      <w:r>
        <w:rPr>
          <w:rFonts w:ascii="Arial" w:cs="Arial" w:eastAsia="Arial" w:hAnsi="Arial"/>
          <w:sz w:val="16"/>
          <w:szCs w:val="16"/>
          <w:color w:val="auto"/>
        </w:rPr>
        <w:t>Additional consideration for the January 2006 California settlement includes an agreement that Sempra LNG would sell to the Sempra Utilities, subject to annual CPUC approval, regasified liquefied natural gas (LNG) for a period of 18 years beginning in 2011 at the California border index price minus $0.02 per million British thermal units (MMBtu). Also, Sempra Generation voluntarily would reduce the price that it charges for power and limit the locations at which it would deliver power under its DWR contract. Based on the expected contractual power deliveries, this discount would have a potential value of $300 million over the remaining term of the contract.</w:t>
      </w:r>
    </w:p>
    <w:p>
      <w:pPr>
        <w:spacing w:after="0" w:line="11" w:lineRule="exact"/>
        <w:rPr>
          <w:rFonts w:ascii="Arial" w:cs="Arial" w:eastAsia="Arial" w:hAnsi="Arial"/>
          <w:sz w:val="16"/>
          <w:szCs w:val="16"/>
          <w:color w:val="auto"/>
        </w:rPr>
      </w:pPr>
    </w:p>
    <w:p>
      <w:pPr>
        <w:ind w:left="144" w:right="1140" w:hanging="144"/>
        <w:spacing w:after="0" w:line="257" w:lineRule="auto"/>
        <w:tabs>
          <w:tab w:leader="none" w:pos="144" w:val="left"/>
        </w:tabs>
        <w:numPr>
          <w:ilvl w:val="0"/>
          <w:numId w:val="389"/>
        </w:numPr>
        <w:rPr>
          <w:rFonts w:ascii="Arial" w:cs="Arial" w:eastAsia="Arial" w:hAnsi="Arial"/>
          <w:sz w:val="16"/>
          <w:szCs w:val="16"/>
          <w:color w:val="auto"/>
        </w:rPr>
      </w:pPr>
      <w:r>
        <w:rPr>
          <w:rFonts w:ascii="Arial" w:cs="Arial" w:eastAsia="Arial" w:hAnsi="Arial"/>
          <w:sz w:val="16"/>
          <w:szCs w:val="16"/>
          <w:color w:val="auto"/>
        </w:rPr>
        <w:t>Under the terms of the January 2006 settlements, $83 million was paid in August 2006, $83 million was paid in August 2007, and $25.8 million was paid in August 2008. Installments of $24.8 million will be paid on each successive anniversary of the closing date (August 2008) through the seventh anniversary of the closing date. Under the terms of the City of Los Angeles settlement, $8.5 million was paid in April 2007. A portion of the reserves was discounted at 7 percent, the rate specified for prepayments in the settlement agreement. For payments not addressed in the agreement, 6 percent was used to approximate our average cost of financing.</w:t>
      </w:r>
    </w:p>
    <w:p>
      <w:pPr>
        <w:spacing w:after="0" w:line="11" w:lineRule="exact"/>
        <w:rPr>
          <w:rFonts w:ascii="Arial" w:cs="Arial" w:eastAsia="Arial" w:hAnsi="Arial"/>
          <w:sz w:val="16"/>
          <w:szCs w:val="16"/>
          <w:color w:val="auto"/>
        </w:rPr>
      </w:pPr>
    </w:p>
    <w:p>
      <w:pPr>
        <w:ind w:left="144" w:right="1080" w:hanging="144"/>
        <w:spacing w:after="0" w:line="282" w:lineRule="auto"/>
        <w:tabs>
          <w:tab w:leader="none" w:pos="144" w:val="left"/>
        </w:tabs>
        <w:numPr>
          <w:ilvl w:val="0"/>
          <w:numId w:val="389"/>
        </w:numPr>
        <w:rPr>
          <w:rFonts w:ascii="Arial" w:cs="Arial" w:eastAsia="Arial" w:hAnsi="Arial"/>
          <w:sz w:val="15"/>
          <w:szCs w:val="15"/>
          <w:color w:val="auto"/>
        </w:rPr>
      </w:pPr>
      <w:r>
        <w:rPr>
          <w:rFonts w:ascii="Arial" w:cs="Arial" w:eastAsia="Arial" w:hAnsi="Arial"/>
          <w:sz w:val="15"/>
          <w:szCs w:val="15"/>
          <w:color w:val="auto"/>
        </w:rPr>
        <w:t>In September 2006, the Clark County District Court approved the Nevada settlement. In July 2008, the California Attorney General and the DWR dismissed their appeal of the July 2006 San Diego County Superior Court order approving the California settlement, and all of the settlements became final in August 2008. The reserves recorded for the settlements in 2005 fully provide for the present value of both the cash amounts to be paid in the settlements and the price discount to be provided on electricity to be delivered under the DWR contract by Sempra Generation.</w:t>
      </w:r>
    </w:p>
    <w:p>
      <w:pPr>
        <w:spacing w:after="0" w:line="200" w:lineRule="exact"/>
        <w:rPr>
          <w:sz w:val="20"/>
          <w:szCs w:val="20"/>
          <w:color w:val="auto"/>
        </w:rPr>
      </w:pPr>
    </w:p>
    <w:p>
      <w:pPr>
        <w:spacing w:after="0" w:line="351" w:lineRule="exact"/>
        <w:rPr>
          <w:sz w:val="20"/>
          <w:szCs w:val="20"/>
          <w:color w:val="auto"/>
        </w:rPr>
      </w:pPr>
    </w:p>
    <w:p>
      <w:pPr>
        <w:ind w:left="4"/>
        <w:spacing w:after="0"/>
        <w:rPr>
          <w:sz w:val="20"/>
          <w:szCs w:val="20"/>
          <w:color w:val="auto"/>
        </w:rPr>
      </w:pPr>
      <w:r>
        <w:rPr>
          <w:rFonts w:ascii="Arial" w:cs="Arial" w:eastAsia="Arial" w:hAnsi="Arial"/>
          <w:sz w:val="14"/>
          <w:szCs w:val="14"/>
          <w:color w:val="auto"/>
        </w:rPr>
        <w:t>176</w:t>
      </w:r>
    </w:p>
    <w:p>
      <w:pPr>
        <w:sectPr>
          <w:pgSz w:w="11900" w:h="16838" w:orient="portrait"/>
          <w:cols w:equalWidth="0" w:num="1">
            <w:col w:w="11344"/>
          </w:cols>
          <w:pgMar w:left="236" w:top="127" w:right="319" w:bottom="1440" w:gutter="0" w:footer="0" w:header="0"/>
        </w:sectPr>
      </w:pPr>
    </w:p>
    <w:bookmarkStart w:id="316" w:name="page317"/>
    <w:bookmarkEnd w:id="316"/>
    <w:p>
      <w:pPr>
        <w:spacing w:after="0"/>
        <w:rPr>
          <w:sz w:val="20"/>
          <w:szCs w:val="20"/>
          <w:color w:val="auto"/>
        </w:rPr>
      </w:pPr>
      <w:r>
        <w:rPr>
          <w:rFonts w:ascii="Arial" w:cs="Arial" w:eastAsia="Arial" w:hAnsi="Arial"/>
          <w:sz w:val="18"/>
          <w:szCs w:val="18"/>
          <w:i w:val="1"/>
          <w:iCs w:val="1"/>
          <w:color w:val="auto"/>
        </w:rPr>
        <w:t>Natural Gas Cases</w:t>
      </w:r>
    </w:p>
    <w:p>
      <w:pPr>
        <w:spacing w:after="0" w:line="73" w:lineRule="exact"/>
        <w:rPr>
          <w:sz w:val="20"/>
          <w:szCs w:val="20"/>
          <w:color w:val="auto"/>
        </w:rPr>
      </w:pPr>
    </w:p>
    <w:p>
      <w:pPr>
        <w:ind w:right="80"/>
        <w:spacing w:after="0" w:line="259" w:lineRule="auto"/>
        <w:rPr>
          <w:sz w:val="20"/>
          <w:szCs w:val="20"/>
          <w:color w:val="auto"/>
        </w:rPr>
      </w:pPr>
      <w:r>
        <w:rPr>
          <w:rFonts w:ascii="Arial" w:cs="Arial" w:eastAsia="Arial" w:hAnsi="Arial"/>
          <w:sz w:val="16"/>
          <w:szCs w:val="16"/>
          <w:color w:val="auto"/>
        </w:rPr>
        <w:t>In April 2003, Sierra Pacific Resources and its utility subsidiary Nevada Power filed a lawsuit in the U.S. District Court in Nevada against major natural gas suppliers, including Sempra Energy, the Sempra Utilities and Sempra Commodities. The lawsuit claimed that the defendants conspired to manipulate and inflate the prices that Nevada Power had to pay for its natural gas by 1) preventing the construction of natural gas pipelines to serve Nevada and other Western states, and 2) reporting artificially inflated prices to trade publications. In December 2008, we paid $700,000 to settle the case, which has now been dismissed.</w:t>
      </w:r>
    </w:p>
    <w:p>
      <w:pPr>
        <w:spacing w:after="0" w:line="47" w:lineRule="exact"/>
        <w:rPr>
          <w:sz w:val="20"/>
          <w:szCs w:val="20"/>
          <w:color w:val="auto"/>
        </w:rPr>
      </w:pPr>
    </w:p>
    <w:p>
      <w:pPr>
        <w:jc w:val="both"/>
        <w:ind w:right="40"/>
        <w:spacing w:after="0" w:line="319" w:lineRule="auto"/>
        <w:rPr>
          <w:sz w:val="20"/>
          <w:szCs w:val="20"/>
          <w:color w:val="auto"/>
        </w:rPr>
      </w:pPr>
      <w:r>
        <w:rPr>
          <w:rFonts w:ascii="Arial" w:cs="Arial" w:eastAsia="Arial" w:hAnsi="Arial"/>
          <w:sz w:val="14"/>
          <w:szCs w:val="14"/>
          <w:color w:val="auto"/>
        </w:rPr>
        <w:t>Five cases against Sempra Energy, Sempra Commodities, the Sempra Utilities and various other companies are pending in the U.S. District Court in Nevada. Plaintiffs claim that energy prices were unlawfully manipulated 1) by reporting artificially inflated natural gas prices to trade publications and 2) by entering into deceptive transactions such as wash trades and churning transactions. In January 2009, we entered into a settlement agreement in which we agreed to pay $2 million to resolve these cases.</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Electricity Case</w:t>
      </w:r>
    </w:p>
    <w:p>
      <w:pPr>
        <w:spacing w:after="0" w:line="72" w:lineRule="exact"/>
        <w:rPr>
          <w:sz w:val="20"/>
          <w:szCs w:val="20"/>
          <w:color w:val="auto"/>
        </w:rPr>
      </w:pPr>
    </w:p>
    <w:p>
      <w:pPr>
        <w:ind w:right="180"/>
        <w:spacing w:after="0" w:line="264" w:lineRule="auto"/>
        <w:rPr>
          <w:sz w:val="20"/>
          <w:szCs w:val="20"/>
          <w:color w:val="auto"/>
        </w:rPr>
      </w:pPr>
      <w:r>
        <w:rPr>
          <w:rFonts w:ascii="Arial" w:cs="Arial" w:eastAsia="Arial" w:hAnsi="Arial"/>
          <w:sz w:val="16"/>
          <w:szCs w:val="16"/>
          <w:color w:val="auto"/>
        </w:rPr>
        <w:t>In November 2006, the U.S. District Court in San Diego dismissed a lawsuit filed by the California Attorney General in November 2005 against Sempra Commodities alleging illegal market-gaming activities during the California energy crisis and claiming unspecified civil penalties and damages. The Ninth Circuit Court of Appeals affirmed the dismissal in September 2008.</w:t>
      </w:r>
    </w:p>
    <w:p>
      <w:pPr>
        <w:spacing w:after="0" w:line="23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NATURAL GAS CONTRACTS</w:t>
      </w:r>
    </w:p>
    <w:p>
      <w:pPr>
        <w:spacing w:after="0" w:line="89" w:lineRule="exact"/>
        <w:rPr>
          <w:sz w:val="20"/>
          <w:szCs w:val="20"/>
          <w:color w:val="auto"/>
        </w:rPr>
      </w:pPr>
    </w:p>
    <w:p>
      <w:pPr>
        <w:ind w:right="20"/>
        <w:spacing w:after="0" w:line="264" w:lineRule="auto"/>
        <w:rPr>
          <w:sz w:val="20"/>
          <w:szCs w:val="20"/>
          <w:color w:val="auto"/>
        </w:rPr>
      </w:pPr>
      <w:r>
        <w:rPr>
          <w:rFonts w:ascii="Arial" w:cs="Arial" w:eastAsia="Arial" w:hAnsi="Arial"/>
          <w:sz w:val="16"/>
          <w:szCs w:val="16"/>
          <w:color w:val="auto"/>
        </w:rPr>
        <w:t>SoCalGas has the responsibility for procuring natural gas for both SDG&amp;E’s and SoCalGas’ core customers in a combined portfolio. SoCalGas buys natural gas under short-term and long-term contracts for this portfolio. Purchases are from various southwestern U.S., U.S. Rockies, and Canadian suppliers and are primarily based on monthly spot-market prices.</w:t>
      </w:r>
    </w:p>
    <w:p>
      <w:pPr>
        <w:spacing w:after="0" w:line="42" w:lineRule="exact"/>
        <w:rPr>
          <w:sz w:val="20"/>
          <w:szCs w:val="20"/>
          <w:color w:val="auto"/>
        </w:rPr>
      </w:pPr>
    </w:p>
    <w:p>
      <w:pPr>
        <w:spacing w:after="0" w:line="264" w:lineRule="auto"/>
        <w:rPr>
          <w:sz w:val="20"/>
          <w:szCs w:val="20"/>
          <w:color w:val="auto"/>
        </w:rPr>
      </w:pPr>
      <w:r>
        <w:rPr>
          <w:rFonts w:ascii="Arial" w:cs="Arial" w:eastAsia="Arial" w:hAnsi="Arial"/>
          <w:sz w:val="16"/>
          <w:szCs w:val="16"/>
          <w:color w:val="auto"/>
        </w:rPr>
        <w:t>SoCalGas transports natural gas primarily under long-term firm interstate pipeline capacity agreements that provide for annual reservation charges, which are recovered in rates. SoCalGas has commitments with interstate pipeline companies for firm pipeline capacity under contracts that expire at various dates through 2025. Note 15 discusses the CPUC's Natural Gas Market OIR.</w:t>
      </w:r>
    </w:p>
    <w:p>
      <w:pPr>
        <w:spacing w:after="0" w:line="42" w:lineRule="exact"/>
        <w:rPr>
          <w:sz w:val="20"/>
          <w:szCs w:val="20"/>
          <w:color w:val="auto"/>
        </w:rPr>
      </w:pPr>
    </w:p>
    <w:p>
      <w:pPr>
        <w:spacing w:after="0"/>
        <w:rPr>
          <w:sz w:val="20"/>
          <w:szCs w:val="20"/>
          <w:color w:val="auto"/>
        </w:rPr>
      </w:pPr>
      <w:r>
        <w:rPr>
          <w:rFonts w:ascii="Arial" w:cs="Arial" w:eastAsia="Arial" w:hAnsi="Arial"/>
          <w:sz w:val="16"/>
          <w:szCs w:val="16"/>
          <w:color w:val="auto"/>
        </w:rPr>
        <w:t>At December 31, 2008, the future minimum payments under existing natural gas contracts and natural gas storage and transportation contracts were:</w:t>
      </w:r>
    </w:p>
    <w:p>
      <w:pPr>
        <w:spacing w:after="0" w:line="305" w:lineRule="exact"/>
        <w:rPr>
          <w:sz w:val="20"/>
          <w:szCs w:val="20"/>
          <w:color w:val="auto"/>
        </w:rPr>
      </w:pPr>
    </w:p>
    <w:p>
      <w:pPr>
        <w:ind w:left="1840"/>
        <w:spacing w:after="0"/>
        <w:rPr>
          <w:sz w:val="20"/>
          <w:szCs w:val="20"/>
          <w:color w:val="auto"/>
        </w:rPr>
      </w:pPr>
      <w:r>
        <w:rPr>
          <w:rFonts w:ascii="Arial" w:cs="Arial" w:eastAsia="Arial" w:hAnsi="Arial"/>
          <w:sz w:val="14"/>
          <w:szCs w:val="14"/>
          <w:b w:val="1"/>
          <w:bCs w:val="1"/>
          <w:color w:val="auto"/>
        </w:rPr>
        <w:t>Sempra Energy Consolidated</w:t>
      </w:r>
    </w:p>
    <w:p>
      <w:pPr>
        <w:spacing w:after="0" w:line="52" w:lineRule="exact"/>
        <w:rPr>
          <w:sz w:val="20"/>
          <w:szCs w:val="20"/>
          <w:color w:val="auto"/>
        </w:rPr>
      </w:pPr>
    </w:p>
    <w:tbl>
      <w:tblPr>
        <w:tblLayout w:type="fixed"/>
        <w:tblInd w:w="1840" w:type="dxa"/>
        <w:tblCellMar>
          <w:top w:w="0" w:type="dxa"/>
          <w:left w:w="0" w:type="dxa"/>
          <w:bottom w:w="0" w:type="dxa"/>
          <w:right w:w="0" w:type="dxa"/>
        </w:tblCellMar>
      </w:tblPr>
      <w:tr>
        <w:trPr>
          <w:trHeight w:val="154"/>
        </w:trPr>
        <w:tc>
          <w:tcPr>
            <w:tcW w:w="3280" w:type="dxa"/>
            <w:vAlign w:val="bottom"/>
            <w:vMerge w:val="restart"/>
          </w:tcPr>
          <w:p>
            <w:pPr>
              <w:spacing w:after="0"/>
              <w:rPr>
                <w:sz w:val="20"/>
                <w:szCs w:val="20"/>
                <w:color w:val="auto"/>
              </w:rPr>
            </w:pPr>
            <w:r>
              <w:rPr>
                <w:rFonts w:ascii="Arial" w:cs="Arial" w:eastAsia="Arial" w:hAnsi="Arial"/>
                <w:sz w:val="13"/>
                <w:szCs w:val="13"/>
                <w:i w:val="1"/>
                <w:iCs w:val="1"/>
                <w:color w:val="auto"/>
              </w:rPr>
              <w:t>(Dollars in millions)</w:t>
            </w:r>
          </w:p>
        </w:tc>
        <w:tc>
          <w:tcPr>
            <w:tcW w:w="440" w:type="dxa"/>
            <w:vAlign w:val="bottom"/>
          </w:tcPr>
          <w:p>
            <w:pPr>
              <w:spacing w:after="0"/>
              <w:rPr>
                <w:sz w:val="13"/>
                <w:szCs w:val="13"/>
                <w:color w:val="auto"/>
              </w:rPr>
            </w:pPr>
          </w:p>
        </w:tc>
        <w:tc>
          <w:tcPr>
            <w:tcW w:w="1200" w:type="dxa"/>
            <w:vAlign w:val="bottom"/>
          </w:tcPr>
          <w:p>
            <w:pPr>
              <w:jc w:val="right"/>
              <w:ind w:right="409"/>
              <w:spacing w:after="0"/>
              <w:rPr>
                <w:sz w:val="20"/>
                <w:szCs w:val="20"/>
                <w:color w:val="auto"/>
              </w:rPr>
            </w:pPr>
            <w:r>
              <w:rPr>
                <w:rFonts w:ascii="Arial" w:cs="Arial" w:eastAsia="Arial" w:hAnsi="Arial"/>
                <w:sz w:val="13"/>
                <w:szCs w:val="13"/>
                <w:color w:val="auto"/>
                <w:w w:val="98"/>
              </w:rPr>
              <w:t>Storage and</w:t>
            </w:r>
          </w:p>
        </w:tc>
        <w:tc>
          <w:tcPr>
            <w:tcW w:w="600" w:type="dxa"/>
            <w:vAlign w:val="bottom"/>
          </w:tcPr>
          <w:p>
            <w:pPr>
              <w:spacing w:after="0"/>
              <w:rPr>
                <w:sz w:val="13"/>
                <w:szCs w:val="13"/>
                <w:color w:val="auto"/>
              </w:rPr>
            </w:pPr>
          </w:p>
        </w:tc>
        <w:tc>
          <w:tcPr>
            <w:tcW w:w="1040" w:type="dxa"/>
            <w:vAlign w:val="bottom"/>
            <w:vMerge w:val="restart"/>
          </w:tcPr>
          <w:p>
            <w:pPr>
              <w:jc w:val="right"/>
              <w:ind w:right="169"/>
              <w:spacing w:after="0"/>
              <w:rPr>
                <w:sz w:val="20"/>
                <w:szCs w:val="20"/>
                <w:color w:val="auto"/>
              </w:rPr>
            </w:pPr>
            <w:r>
              <w:rPr>
                <w:rFonts w:ascii="Arial" w:cs="Arial" w:eastAsia="Arial" w:hAnsi="Arial"/>
                <w:sz w:val="13"/>
                <w:szCs w:val="13"/>
                <w:color w:val="auto"/>
                <w:w w:val="99"/>
              </w:rPr>
              <w:t xml:space="preserve">Natural Gas </w:t>
            </w:r>
            <w:r>
              <w:rPr>
                <w:rFonts w:ascii="Arial" w:cs="Arial" w:eastAsia="Arial" w:hAnsi="Arial"/>
                <w:sz w:val="14"/>
                <w:szCs w:val="14"/>
                <w:color w:val="auto"/>
                <w:w w:val="99"/>
              </w:rPr>
              <w:t>*</w:t>
            </w:r>
          </w:p>
        </w:tc>
        <w:tc>
          <w:tcPr>
            <w:tcW w:w="500" w:type="dxa"/>
            <w:vAlign w:val="bottom"/>
          </w:tcPr>
          <w:p>
            <w:pPr>
              <w:spacing w:after="0"/>
              <w:rPr>
                <w:sz w:val="13"/>
                <w:szCs w:val="13"/>
                <w:color w:val="auto"/>
              </w:rPr>
            </w:pPr>
          </w:p>
        </w:tc>
        <w:tc>
          <w:tcPr>
            <w:tcW w:w="700" w:type="dxa"/>
            <w:vAlign w:val="bottom"/>
            <w:vMerge w:val="restart"/>
          </w:tcPr>
          <w:p>
            <w:pPr>
              <w:jc w:val="right"/>
              <w:ind w:right="9"/>
              <w:spacing w:after="0"/>
              <w:rPr>
                <w:sz w:val="20"/>
                <w:szCs w:val="20"/>
                <w:color w:val="auto"/>
              </w:rPr>
            </w:pPr>
            <w:r>
              <w:rPr>
                <w:rFonts w:ascii="Arial" w:cs="Arial" w:eastAsia="Arial" w:hAnsi="Arial"/>
                <w:sz w:val="13"/>
                <w:szCs w:val="13"/>
                <w:color w:val="auto"/>
              </w:rPr>
              <w:t xml:space="preserve">Total </w:t>
            </w: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3"/>
        </w:trPr>
        <w:tc>
          <w:tcPr>
            <w:tcW w:w="3280" w:type="dxa"/>
            <w:vAlign w:val="bottom"/>
            <w:tcBorders>
              <w:bottom w:val="single" w:sz="8" w:color="auto"/>
            </w:tcBorders>
            <w:vMerge w:val="continue"/>
          </w:tcPr>
          <w:p>
            <w:pPr>
              <w:spacing w:after="0"/>
              <w:rPr>
                <w:sz w:val="14"/>
                <w:szCs w:val="14"/>
                <w:color w:val="auto"/>
              </w:rPr>
            </w:pPr>
          </w:p>
        </w:tc>
        <w:tc>
          <w:tcPr>
            <w:tcW w:w="1640" w:type="dxa"/>
            <w:vAlign w:val="bottom"/>
            <w:tcBorders>
              <w:bottom w:val="single" w:sz="8" w:color="auto"/>
            </w:tcBorders>
            <w:gridSpan w:val="2"/>
          </w:tcPr>
          <w:p>
            <w:pPr>
              <w:jc w:val="right"/>
              <w:ind w:right="409"/>
              <w:spacing w:after="0"/>
              <w:rPr>
                <w:sz w:val="20"/>
                <w:szCs w:val="20"/>
                <w:color w:val="auto"/>
              </w:rPr>
            </w:pPr>
            <w:r>
              <w:rPr>
                <w:rFonts w:ascii="Arial" w:cs="Arial" w:eastAsia="Arial" w:hAnsi="Arial"/>
                <w:sz w:val="13"/>
                <w:szCs w:val="13"/>
                <w:color w:val="auto"/>
              </w:rPr>
              <w:t>Transportation</w:t>
            </w:r>
          </w:p>
        </w:tc>
        <w:tc>
          <w:tcPr>
            <w:tcW w:w="6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vMerge w:val="continue"/>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5"/>
        </w:trPr>
        <w:tc>
          <w:tcPr>
            <w:tcW w:w="3280" w:type="dxa"/>
            <w:vAlign w:val="bottom"/>
          </w:tcPr>
          <w:p>
            <w:pPr>
              <w:spacing w:after="0"/>
              <w:rPr>
                <w:sz w:val="20"/>
                <w:szCs w:val="20"/>
                <w:color w:val="auto"/>
              </w:rPr>
            </w:pPr>
            <w:r>
              <w:rPr>
                <w:rFonts w:ascii="Arial" w:cs="Arial" w:eastAsia="Arial" w:hAnsi="Arial"/>
                <w:sz w:val="14"/>
                <w:szCs w:val="14"/>
                <w:color w:val="auto"/>
              </w:rPr>
              <w:t>2009</w:t>
            </w:r>
          </w:p>
        </w:tc>
        <w:tc>
          <w:tcPr>
            <w:tcW w:w="440" w:type="dxa"/>
            <w:vAlign w:val="bottom"/>
          </w:tcPr>
          <w:p>
            <w:pPr>
              <w:jc w:val="right"/>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409"/>
              <w:spacing w:after="0"/>
              <w:rPr>
                <w:sz w:val="20"/>
                <w:szCs w:val="20"/>
                <w:color w:val="auto"/>
              </w:rPr>
            </w:pPr>
            <w:r>
              <w:rPr>
                <w:rFonts w:ascii="Arial" w:cs="Arial" w:eastAsia="Arial" w:hAnsi="Arial"/>
                <w:sz w:val="14"/>
                <w:szCs w:val="14"/>
                <w:color w:val="auto"/>
              </w:rPr>
              <w:t>142</w:t>
            </w: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249"/>
              <w:spacing w:after="0"/>
              <w:rPr>
                <w:sz w:val="20"/>
                <w:szCs w:val="20"/>
                <w:color w:val="auto"/>
              </w:rPr>
            </w:pPr>
            <w:r>
              <w:rPr>
                <w:rFonts w:ascii="Arial" w:cs="Arial" w:eastAsia="Arial" w:hAnsi="Arial"/>
                <w:sz w:val="14"/>
                <w:szCs w:val="14"/>
                <w:color w:val="auto"/>
              </w:rPr>
              <w:t>1,123</w:t>
            </w:r>
          </w:p>
        </w:tc>
        <w:tc>
          <w:tcPr>
            <w:tcW w:w="50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89"/>
              <w:spacing w:after="0"/>
              <w:rPr>
                <w:sz w:val="20"/>
                <w:szCs w:val="20"/>
                <w:color w:val="auto"/>
              </w:rPr>
            </w:pPr>
            <w:r>
              <w:rPr>
                <w:rFonts w:ascii="Arial" w:cs="Arial" w:eastAsia="Arial" w:hAnsi="Arial"/>
                <w:sz w:val="14"/>
                <w:szCs w:val="14"/>
                <w:color w:val="auto"/>
              </w:rPr>
              <w:t>1,265</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4"/>
                <w:szCs w:val="14"/>
                <w:color w:val="auto"/>
              </w:rPr>
              <w:t>2010</w:t>
            </w:r>
          </w:p>
        </w:tc>
        <w:tc>
          <w:tcPr>
            <w:tcW w:w="440" w:type="dxa"/>
            <w:vAlign w:val="bottom"/>
          </w:tcPr>
          <w:p>
            <w:pPr>
              <w:spacing w:after="0"/>
              <w:rPr>
                <w:sz w:val="18"/>
                <w:szCs w:val="18"/>
                <w:color w:val="auto"/>
              </w:rPr>
            </w:pPr>
          </w:p>
        </w:tc>
        <w:tc>
          <w:tcPr>
            <w:tcW w:w="1200" w:type="dxa"/>
            <w:vAlign w:val="bottom"/>
          </w:tcPr>
          <w:p>
            <w:pPr>
              <w:jc w:val="right"/>
              <w:ind w:right="409"/>
              <w:spacing w:after="0"/>
              <w:rPr>
                <w:sz w:val="20"/>
                <w:szCs w:val="20"/>
                <w:color w:val="auto"/>
              </w:rPr>
            </w:pPr>
            <w:r>
              <w:rPr>
                <w:rFonts w:ascii="Arial" w:cs="Arial" w:eastAsia="Arial" w:hAnsi="Arial"/>
                <w:sz w:val="14"/>
                <w:szCs w:val="14"/>
                <w:color w:val="auto"/>
              </w:rPr>
              <w:t>111</w:t>
            </w:r>
          </w:p>
        </w:tc>
        <w:tc>
          <w:tcPr>
            <w:tcW w:w="600" w:type="dxa"/>
            <w:vAlign w:val="bottom"/>
          </w:tcPr>
          <w:p>
            <w:pPr>
              <w:spacing w:after="0"/>
              <w:rPr>
                <w:sz w:val="18"/>
                <w:szCs w:val="18"/>
                <w:color w:val="auto"/>
              </w:rPr>
            </w:pPr>
          </w:p>
        </w:tc>
        <w:tc>
          <w:tcPr>
            <w:tcW w:w="1040" w:type="dxa"/>
            <w:vAlign w:val="bottom"/>
          </w:tcPr>
          <w:p>
            <w:pPr>
              <w:jc w:val="right"/>
              <w:ind w:right="249"/>
              <w:spacing w:after="0"/>
              <w:rPr>
                <w:sz w:val="20"/>
                <w:szCs w:val="20"/>
                <w:color w:val="auto"/>
              </w:rPr>
            </w:pPr>
            <w:r>
              <w:rPr>
                <w:rFonts w:ascii="Arial" w:cs="Arial" w:eastAsia="Arial" w:hAnsi="Arial"/>
                <w:sz w:val="14"/>
                <w:szCs w:val="14"/>
                <w:color w:val="auto"/>
              </w:rPr>
              <w:t>424</w:t>
            </w:r>
          </w:p>
        </w:tc>
        <w:tc>
          <w:tcPr>
            <w:tcW w:w="500" w:type="dxa"/>
            <w:vAlign w:val="bottom"/>
          </w:tcPr>
          <w:p>
            <w:pPr>
              <w:spacing w:after="0"/>
              <w:rPr>
                <w:sz w:val="18"/>
                <w:szCs w:val="18"/>
                <w:color w:val="auto"/>
              </w:rPr>
            </w:pPr>
          </w:p>
        </w:tc>
        <w:tc>
          <w:tcPr>
            <w:tcW w:w="700" w:type="dxa"/>
            <w:vAlign w:val="bottom"/>
          </w:tcPr>
          <w:p>
            <w:pPr>
              <w:jc w:val="right"/>
              <w:ind w:right="89"/>
              <w:spacing w:after="0"/>
              <w:rPr>
                <w:sz w:val="20"/>
                <w:szCs w:val="20"/>
                <w:color w:val="auto"/>
              </w:rPr>
            </w:pPr>
            <w:r>
              <w:rPr>
                <w:rFonts w:ascii="Arial" w:cs="Arial" w:eastAsia="Arial" w:hAnsi="Arial"/>
                <w:sz w:val="14"/>
                <w:szCs w:val="14"/>
                <w:color w:val="auto"/>
              </w:rPr>
              <w:t>535</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4"/>
                <w:szCs w:val="14"/>
                <w:color w:val="auto"/>
              </w:rPr>
              <w:t>2011</w:t>
            </w:r>
          </w:p>
        </w:tc>
        <w:tc>
          <w:tcPr>
            <w:tcW w:w="440" w:type="dxa"/>
            <w:vAlign w:val="bottom"/>
          </w:tcPr>
          <w:p>
            <w:pPr>
              <w:spacing w:after="0"/>
              <w:rPr>
                <w:sz w:val="18"/>
                <w:szCs w:val="18"/>
                <w:color w:val="auto"/>
              </w:rPr>
            </w:pPr>
          </w:p>
        </w:tc>
        <w:tc>
          <w:tcPr>
            <w:tcW w:w="1200" w:type="dxa"/>
            <w:vAlign w:val="bottom"/>
          </w:tcPr>
          <w:p>
            <w:pPr>
              <w:jc w:val="right"/>
              <w:ind w:right="409"/>
              <w:spacing w:after="0"/>
              <w:rPr>
                <w:sz w:val="20"/>
                <w:szCs w:val="20"/>
                <w:color w:val="auto"/>
              </w:rPr>
            </w:pPr>
            <w:r>
              <w:rPr>
                <w:rFonts w:ascii="Arial" w:cs="Arial" w:eastAsia="Arial" w:hAnsi="Arial"/>
                <w:sz w:val="14"/>
                <w:szCs w:val="14"/>
                <w:color w:val="auto"/>
              </w:rPr>
              <w:t>74</w:t>
            </w:r>
          </w:p>
        </w:tc>
        <w:tc>
          <w:tcPr>
            <w:tcW w:w="600" w:type="dxa"/>
            <w:vAlign w:val="bottom"/>
          </w:tcPr>
          <w:p>
            <w:pPr>
              <w:spacing w:after="0"/>
              <w:rPr>
                <w:sz w:val="18"/>
                <w:szCs w:val="18"/>
                <w:color w:val="auto"/>
              </w:rPr>
            </w:pPr>
          </w:p>
        </w:tc>
        <w:tc>
          <w:tcPr>
            <w:tcW w:w="1040" w:type="dxa"/>
            <w:vAlign w:val="bottom"/>
          </w:tcPr>
          <w:p>
            <w:pPr>
              <w:jc w:val="right"/>
              <w:ind w:right="249"/>
              <w:spacing w:after="0"/>
              <w:rPr>
                <w:sz w:val="20"/>
                <w:szCs w:val="20"/>
                <w:color w:val="auto"/>
              </w:rPr>
            </w:pPr>
            <w:r>
              <w:rPr>
                <w:rFonts w:ascii="Arial" w:cs="Arial" w:eastAsia="Arial" w:hAnsi="Arial"/>
                <w:sz w:val="14"/>
                <w:szCs w:val="14"/>
                <w:color w:val="auto"/>
              </w:rPr>
              <w:t>267</w:t>
            </w:r>
          </w:p>
        </w:tc>
        <w:tc>
          <w:tcPr>
            <w:tcW w:w="500" w:type="dxa"/>
            <w:vAlign w:val="bottom"/>
          </w:tcPr>
          <w:p>
            <w:pPr>
              <w:spacing w:after="0"/>
              <w:rPr>
                <w:sz w:val="18"/>
                <w:szCs w:val="18"/>
                <w:color w:val="auto"/>
              </w:rPr>
            </w:pPr>
          </w:p>
        </w:tc>
        <w:tc>
          <w:tcPr>
            <w:tcW w:w="700" w:type="dxa"/>
            <w:vAlign w:val="bottom"/>
          </w:tcPr>
          <w:p>
            <w:pPr>
              <w:jc w:val="right"/>
              <w:ind w:right="89"/>
              <w:spacing w:after="0"/>
              <w:rPr>
                <w:sz w:val="20"/>
                <w:szCs w:val="20"/>
                <w:color w:val="auto"/>
              </w:rPr>
            </w:pPr>
            <w:r>
              <w:rPr>
                <w:rFonts w:ascii="Arial" w:cs="Arial" w:eastAsia="Arial" w:hAnsi="Arial"/>
                <w:sz w:val="14"/>
                <w:szCs w:val="14"/>
                <w:color w:val="auto"/>
              </w:rPr>
              <w:t>341</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4"/>
                <w:szCs w:val="14"/>
                <w:color w:val="auto"/>
              </w:rPr>
              <w:t>2012</w:t>
            </w:r>
          </w:p>
        </w:tc>
        <w:tc>
          <w:tcPr>
            <w:tcW w:w="440" w:type="dxa"/>
            <w:vAlign w:val="bottom"/>
          </w:tcPr>
          <w:p>
            <w:pPr>
              <w:spacing w:after="0"/>
              <w:rPr>
                <w:sz w:val="18"/>
                <w:szCs w:val="18"/>
                <w:color w:val="auto"/>
              </w:rPr>
            </w:pPr>
          </w:p>
        </w:tc>
        <w:tc>
          <w:tcPr>
            <w:tcW w:w="1200" w:type="dxa"/>
            <w:vAlign w:val="bottom"/>
          </w:tcPr>
          <w:p>
            <w:pPr>
              <w:jc w:val="right"/>
              <w:ind w:right="409"/>
              <w:spacing w:after="0"/>
              <w:rPr>
                <w:sz w:val="20"/>
                <w:szCs w:val="20"/>
                <w:color w:val="auto"/>
              </w:rPr>
            </w:pPr>
            <w:r>
              <w:rPr>
                <w:rFonts w:ascii="Arial" w:cs="Arial" w:eastAsia="Arial" w:hAnsi="Arial"/>
                <w:sz w:val="14"/>
                <w:szCs w:val="14"/>
                <w:color w:val="auto"/>
              </w:rPr>
              <w:t>45</w:t>
            </w:r>
          </w:p>
        </w:tc>
        <w:tc>
          <w:tcPr>
            <w:tcW w:w="600" w:type="dxa"/>
            <w:vAlign w:val="bottom"/>
          </w:tcPr>
          <w:p>
            <w:pPr>
              <w:spacing w:after="0"/>
              <w:rPr>
                <w:sz w:val="18"/>
                <w:szCs w:val="18"/>
                <w:color w:val="auto"/>
              </w:rPr>
            </w:pPr>
          </w:p>
        </w:tc>
        <w:tc>
          <w:tcPr>
            <w:tcW w:w="1040" w:type="dxa"/>
            <w:vAlign w:val="bottom"/>
          </w:tcPr>
          <w:p>
            <w:pPr>
              <w:jc w:val="right"/>
              <w:ind w:right="249"/>
              <w:spacing w:after="0"/>
              <w:rPr>
                <w:sz w:val="20"/>
                <w:szCs w:val="20"/>
                <w:color w:val="auto"/>
              </w:rPr>
            </w:pPr>
            <w:r>
              <w:rPr>
                <w:rFonts w:ascii="Arial" w:cs="Arial" w:eastAsia="Arial" w:hAnsi="Arial"/>
                <w:sz w:val="14"/>
                <w:szCs w:val="14"/>
                <w:color w:val="auto"/>
              </w:rPr>
              <w:t>3</w:t>
            </w:r>
          </w:p>
        </w:tc>
        <w:tc>
          <w:tcPr>
            <w:tcW w:w="500" w:type="dxa"/>
            <w:vAlign w:val="bottom"/>
          </w:tcPr>
          <w:p>
            <w:pPr>
              <w:spacing w:after="0"/>
              <w:rPr>
                <w:sz w:val="18"/>
                <w:szCs w:val="18"/>
                <w:color w:val="auto"/>
              </w:rPr>
            </w:pPr>
          </w:p>
        </w:tc>
        <w:tc>
          <w:tcPr>
            <w:tcW w:w="700" w:type="dxa"/>
            <w:vAlign w:val="bottom"/>
          </w:tcPr>
          <w:p>
            <w:pPr>
              <w:jc w:val="right"/>
              <w:ind w:right="89"/>
              <w:spacing w:after="0"/>
              <w:rPr>
                <w:sz w:val="20"/>
                <w:szCs w:val="20"/>
                <w:color w:val="auto"/>
              </w:rPr>
            </w:pPr>
            <w:r>
              <w:rPr>
                <w:rFonts w:ascii="Arial" w:cs="Arial" w:eastAsia="Arial" w:hAnsi="Arial"/>
                <w:sz w:val="14"/>
                <w:szCs w:val="14"/>
                <w:color w:val="auto"/>
              </w:rPr>
              <w:t>48</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4"/>
                <w:szCs w:val="14"/>
                <w:color w:val="auto"/>
              </w:rPr>
              <w:t>2013</w:t>
            </w:r>
          </w:p>
        </w:tc>
        <w:tc>
          <w:tcPr>
            <w:tcW w:w="440" w:type="dxa"/>
            <w:vAlign w:val="bottom"/>
          </w:tcPr>
          <w:p>
            <w:pPr>
              <w:spacing w:after="0"/>
              <w:rPr>
                <w:sz w:val="18"/>
                <w:szCs w:val="18"/>
                <w:color w:val="auto"/>
              </w:rPr>
            </w:pPr>
          </w:p>
        </w:tc>
        <w:tc>
          <w:tcPr>
            <w:tcW w:w="1200" w:type="dxa"/>
            <w:vAlign w:val="bottom"/>
          </w:tcPr>
          <w:p>
            <w:pPr>
              <w:jc w:val="right"/>
              <w:ind w:right="409"/>
              <w:spacing w:after="0"/>
              <w:rPr>
                <w:sz w:val="20"/>
                <w:szCs w:val="20"/>
                <w:color w:val="auto"/>
              </w:rPr>
            </w:pPr>
            <w:r>
              <w:rPr>
                <w:rFonts w:ascii="Arial" w:cs="Arial" w:eastAsia="Arial" w:hAnsi="Arial"/>
                <w:sz w:val="14"/>
                <w:szCs w:val="14"/>
                <w:color w:val="auto"/>
              </w:rPr>
              <w:t>44</w:t>
            </w:r>
          </w:p>
        </w:tc>
        <w:tc>
          <w:tcPr>
            <w:tcW w:w="600" w:type="dxa"/>
            <w:vAlign w:val="bottom"/>
          </w:tcPr>
          <w:p>
            <w:pPr>
              <w:spacing w:after="0"/>
              <w:rPr>
                <w:sz w:val="18"/>
                <w:szCs w:val="18"/>
                <w:color w:val="auto"/>
              </w:rPr>
            </w:pPr>
          </w:p>
        </w:tc>
        <w:tc>
          <w:tcPr>
            <w:tcW w:w="1040" w:type="dxa"/>
            <w:vAlign w:val="bottom"/>
          </w:tcPr>
          <w:p>
            <w:pPr>
              <w:jc w:val="right"/>
              <w:ind w:right="249"/>
              <w:spacing w:after="0"/>
              <w:rPr>
                <w:sz w:val="20"/>
                <w:szCs w:val="20"/>
                <w:color w:val="auto"/>
              </w:rPr>
            </w:pPr>
            <w:r>
              <w:rPr>
                <w:rFonts w:ascii="Arial" w:cs="Arial" w:eastAsia="Arial" w:hAnsi="Arial"/>
                <w:sz w:val="14"/>
                <w:szCs w:val="14"/>
                <w:color w:val="auto"/>
              </w:rPr>
              <w:t>3</w:t>
            </w:r>
          </w:p>
        </w:tc>
        <w:tc>
          <w:tcPr>
            <w:tcW w:w="500" w:type="dxa"/>
            <w:vAlign w:val="bottom"/>
          </w:tcPr>
          <w:p>
            <w:pPr>
              <w:spacing w:after="0"/>
              <w:rPr>
                <w:sz w:val="18"/>
                <w:szCs w:val="18"/>
                <w:color w:val="auto"/>
              </w:rPr>
            </w:pPr>
          </w:p>
        </w:tc>
        <w:tc>
          <w:tcPr>
            <w:tcW w:w="700" w:type="dxa"/>
            <w:vAlign w:val="bottom"/>
          </w:tcPr>
          <w:p>
            <w:pPr>
              <w:jc w:val="right"/>
              <w:ind w:right="89"/>
              <w:spacing w:after="0"/>
              <w:rPr>
                <w:sz w:val="20"/>
                <w:szCs w:val="20"/>
                <w:color w:val="auto"/>
              </w:rPr>
            </w:pPr>
            <w:r>
              <w:rPr>
                <w:rFonts w:ascii="Arial" w:cs="Arial" w:eastAsia="Arial" w:hAnsi="Arial"/>
                <w:sz w:val="14"/>
                <w:szCs w:val="14"/>
                <w:color w:val="auto"/>
              </w:rPr>
              <w:t>47</w:t>
            </w:r>
          </w:p>
        </w:tc>
        <w:tc>
          <w:tcPr>
            <w:tcW w:w="0" w:type="dxa"/>
            <w:vAlign w:val="bottom"/>
          </w:tcPr>
          <w:p>
            <w:pPr>
              <w:spacing w:after="0"/>
              <w:rPr>
                <w:sz w:val="1"/>
                <w:szCs w:val="1"/>
                <w:color w:val="auto"/>
              </w:rPr>
            </w:pPr>
          </w:p>
        </w:tc>
      </w:tr>
      <w:tr>
        <w:trPr>
          <w:trHeight w:val="222"/>
        </w:trPr>
        <w:tc>
          <w:tcPr>
            <w:tcW w:w="3280" w:type="dxa"/>
            <w:vAlign w:val="bottom"/>
          </w:tcPr>
          <w:p>
            <w:pPr>
              <w:spacing w:after="0"/>
              <w:rPr>
                <w:sz w:val="20"/>
                <w:szCs w:val="20"/>
                <w:color w:val="auto"/>
              </w:rPr>
            </w:pPr>
            <w:r>
              <w:rPr>
                <w:rFonts w:ascii="Arial" w:cs="Arial" w:eastAsia="Arial" w:hAnsi="Arial"/>
                <w:sz w:val="14"/>
                <w:szCs w:val="14"/>
                <w:color w:val="auto"/>
              </w:rPr>
              <w:t>Thereafter</w:t>
            </w:r>
          </w:p>
        </w:tc>
        <w:tc>
          <w:tcPr>
            <w:tcW w:w="4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409"/>
              <w:spacing w:after="0"/>
              <w:rPr>
                <w:sz w:val="20"/>
                <w:szCs w:val="20"/>
                <w:color w:val="auto"/>
              </w:rPr>
            </w:pPr>
            <w:r>
              <w:rPr>
                <w:rFonts w:ascii="Arial" w:cs="Arial" w:eastAsia="Arial" w:hAnsi="Arial"/>
                <w:sz w:val="14"/>
                <w:szCs w:val="14"/>
                <w:color w:val="auto"/>
              </w:rPr>
              <w:t>211</w:t>
            </w:r>
          </w:p>
        </w:tc>
        <w:tc>
          <w:tcPr>
            <w:tcW w:w="6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249"/>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rPr>
              <w:t>211</w:t>
            </w:r>
          </w:p>
        </w:tc>
        <w:tc>
          <w:tcPr>
            <w:tcW w:w="0" w:type="dxa"/>
            <w:vAlign w:val="bottom"/>
          </w:tcPr>
          <w:p>
            <w:pPr>
              <w:spacing w:after="0"/>
              <w:rPr>
                <w:sz w:val="1"/>
                <w:szCs w:val="1"/>
                <w:color w:val="auto"/>
              </w:rPr>
            </w:pPr>
          </w:p>
        </w:tc>
      </w:tr>
      <w:tr>
        <w:trPr>
          <w:trHeight w:val="224"/>
        </w:trPr>
        <w:tc>
          <w:tcPr>
            <w:tcW w:w="32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Total minimum payments</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tcPr>
          <w:p>
            <w:pPr>
              <w:jc w:val="right"/>
              <w:ind w:right="409"/>
              <w:spacing w:after="0"/>
              <w:rPr>
                <w:sz w:val="20"/>
                <w:szCs w:val="20"/>
                <w:color w:val="auto"/>
              </w:rPr>
            </w:pPr>
            <w:r>
              <w:rPr>
                <w:rFonts w:ascii="Arial" w:cs="Arial" w:eastAsia="Arial" w:hAnsi="Arial"/>
                <w:sz w:val="14"/>
                <w:szCs w:val="14"/>
                <w:color w:val="auto"/>
              </w:rPr>
              <w:t>627</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ind w:right="249"/>
              <w:spacing w:after="0"/>
              <w:rPr>
                <w:sz w:val="20"/>
                <w:szCs w:val="20"/>
                <w:color w:val="auto"/>
              </w:rPr>
            </w:pPr>
            <w:r>
              <w:rPr>
                <w:rFonts w:ascii="Arial" w:cs="Arial" w:eastAsia="Arial" w:hAnsi="Arial"/>
                <w:sz w:val="14"/>
                <w:szCs w:val="14"/>
                <w:color w:val="auto"/>
              </w:rPr>
              <w:t>1,820</w:t>
            </w:r>
          </w:p>
        </w:tc>
        <w:tc>
          <w:tcPr>
            <w:tcW w:w="5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rPr>
              <w:t>2,447</w:t>
            </w:r>
          </w:p>
        </w:tc>
        <w:tc>
          <w:tcPr>
            <w:tcW w:w="0" w:type="dxa"/>
            <w:vAlign w:val="bottom"/>
          </w:tcPr>
          <w:p>
            <w:pPr>
              <w:spacing w:after="0"/>
              <w:rPr>
                <w:sz w:val="1"/>
                <w:szCs w:val="1"/>
                <w:color w:val="auto"/>
              </w:rPr>
            </w:pPr>
          </w:p>
        </w:tc>
      </w:tr>
    </w:tbl>
    <w:p>
      <w:pPr>
        <w:spacing w:after="0" w:line="16" w:lineRule="exact"/>
        <w:rPr>
          <w:sz w:val="20"/>
          <w:szCs w:val="20"/>
          <w:color w:val="auto"/>
        </w:rPr>
      </w:pPr>
    </w:p>
    <w:p>
      <w:pPr>
        <w:ind w:left="2160" w:hanging="320"/>
        <w:spacing w:after="0"/>
        <w:tabs>
          <w:tab w:leader="none" w:pos="2160" w:val="left"/>
        </w:tabs>
        <w:numPr>
          <w:ilvl w:val="0"/>
          <w:numId w:val="390"/>
        </w:numPr>
        <w:rPr>
          <w:rFonts w:ascii="Arial" w:cs="Arial" w:eastAsia="Arial" w:hAnsi="Arial"/>
          <w:sz w:val="14"/>
          <w:szCs w:val="14"/>
          <w:i w:val="1"/>
          <w:iCs w:val="1"/>
          <w:color w:val="auto"/>
        </w:rPr>
      </w:pPr>
      <w:r>
        <w:rPr>
          <w:rFonts w:ascii="Arial" w:cs="Arial" w:eastAsia="Arial" w:hAnsi="Arial"/>
          <w:sz w:val="13"/>
          <w:szCs w:val="13"/>
          <w:i w:val="1"/>
          <w:iCs w:val="1"/>
          <w:color w:val="auto"/>
        </w:rPr>
        <w:t>Excludes amounts related to Sempra LNG’s contract with Tangguh PSC Contractors discussed below.</w:t>
      </w:r>
    </w:p>
    <w:p>
      <w:pPr>
        <w:spacing w:after="0" w:line="251" w:lineRule="exact"/>
        <w:rPr>
          <w:sz w:val="20"/>
          <w:szCs w:val="20"/>
          <w:color w:val="auto"/>
        </w:rPr>
      </w:pPr>
    </w:p>
    <w:p>
      <w:pPr>
        <w:ind w:left="1840"/>
        <w:spacing w:after="0"/>
        <w:rPr>
          <w:sz w:val="20"/>
          <w:szCs w:val="20"/>
          <w:color w:val="auto"/>
        </w:rPr>
      </w:pPr>
      <w:r>
        <w:rPr>
          <w:rFonts w:ascii="Arial" w:cs="Arial" w:eastAsia="Arial" w:hAnsi="Arial"/>
          <w:sz w:val="14"/>
          <w:szCs w:val="14"/>
          <w:b w:val="1"/>
          <w:bCs w:val="1"/>
          <w:color w:val="auto"/>
        </w:rPr>
        <w:t>SoCalGas</w:t>
      </w:r>
    </w:p>
    <w:p>
      <w:pPr>
        <w:spacing w:after="0" w:line="76" w:lineRule="exact"/>
        <w:rPr>
          <w:sz w:val="20"/>
          <w:szCs w:val="20"/>
          <w:color w:val="auto"/>
        </w:rPr>
      </w:pPr>
    </w:p>
    <w:tbl>
      <w:tblPr>
        <w:tblLayout w:type="fixed"/>
        <w:tblInd w:w="1840" w:type="dxa"/>
        <w:tblCellMar>
          <w:top w:w="0" w:type="dxa"/>
          <w:left w:w="0" w:type="dxa"/>
          <w:bottom w:w="0" w:type="dxa"/>
          <w:right w:w="0" w:type="dxa"/>
        </w:tblCellMar>
      </w:tblPr>
      <w:tr>
        <w:trPr>
          <w:trHeight w:val="171"/>
        </w:trPr>
        <w:tc>
          <w:tcPr>
            <w:tcW w:w="3340" w:type="dxa"/>
            <w:vAlign w:val="bottom"/>
            <w:tcBorders>
              <w:bottom w:val="single" w:sz="8" w:color="auto"/>
            </w:tcBorders>
          </w:tcPr>
          <w:p>
            <w:pPr>
              <w:spacing w:after="0"/>
              <w:rPr>
                <w:sz w:val="20"/>
                <w:szCs w:val="20"/>
                <w:color w:val="auto"/>
              </w:rPr>
            </w:pPr>
            <w:r>
              <w:rPr>
                <w:rFonts w:ascii="Arial" w:cs="Arial" w:eastAsia="Arial" w:hAnsi="Arial"/>
                <w:sz w:val="13"/>
                <w:szCs w:val="13"/>
                <w:i w:val="1"/>
                <w:iCs w:val="1"/>
                <w:color w:val="auto"/>
              </w:rPr>
              <w:t>(Dollars in millions)</w:t>
            </w:r>
          </w:p>
        </w:tc>
        <w:tc>
          <w:tcPr>
            <w:tcW w:w="1540" w:type="dxa"/>
            <w:vAlign w:val="bottom"/>
            <w:tcBorders>
              <w:bottom w:val="single" w:sz="8" w:color="auto"/>
            </w:tcBorders>
            <w:gridSpan w:val="2"/>
          </w:tcPr>
          <w:p>
            <w:pPr>
              <w:jc w:val="right"/>
              <w:ind w:right="408"/>
              <w:spacing w:after="0"/>
              <w:rPr>
                <w:sz w:val="20"/>
                <w:szCs w:val="20"/>
                <w:color w:val="auto"/>
              </w:rPr>
            </w:pPr>
            <w:r>
              <w:rPr>
                <w:rFonts w:ascii="Arial" w:cs="Arial" w:eastAsia="Arial" w:hAnsi="Arial"/>
                <w:sz w:val="13"/>
                <w:szCs w:val="13"/>
                <w:color w:val="auto"/>
              </w:rPr>
              <w:t>Transportation</w:t>
            </w:r>
          </w:p>
        </w:tc>
        <w:tc>
          <w:tcPr>
            <w:tcW w:w="6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229"/>
              <w:spacing w:after="0"/>
              <w:rPr>
                <w:sz w:val="20"/>
                <w:szCs w:val="20"/>
                <w:color w:val="auto"/>
              </w:rPr>
            </w:pPr>
            <w:r>
              <w:rPr>
                <w:rFonts w:ascii="Arial" w:cs="Arial" w:eastAsia="Arial" w:hAnsi="Arial"/>
                <w:sz w:val="13"/>
                <w:szCs w:val="13"/>
                <w:color w:val="auto"/>
              </w:rPr>
              <w:t>Natural Gas</w:t>
            </w:r>
          </w:p>
        </w:tc>
        <w:tc>
          <w:tcPr>
            <w:tcW w:w="5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89"/>
              <w:spacing w:after="0"/>
              <w:rPr>
                <w:sz w:val="20"/>
                <w:szCs w:val="20"/>
                <w:color w:val="auto"/>
              </w:rPr>
            </w:pPr>
            <w:r>
              <w:rPr>
                <w:rFonts w:ascii="Arial" w:cs="Arial" w:eastAsia="Arial" w:hAnsi="Arial"/>
                <w:sz w:val="13"/>
                <w:szCs w:val="13"/>
                <w:color w:val="auto"/>
              </w:rPr>
              <w:t>Total</w:t>
            </w:r>
          </w:p>
        </w:tc>
      </w:tr>
      <w:tr>
        <w:trPr>
          <w:trHeight w:val="207"/>
        </w:trPr>
        <w:tc>
          <w:tcPr>
            <w:tcW w:w="3340" w:type="dxa"/>
            <w:vAlign w:val="bottom"/>
          </w:tcPr>
          <w:p>
            <w:pPr>
              <w:spacing w:after="0"/>
              <w:rPr>
                <w:sz w:val="20"/>
                <w:szCs w:val="20"/>
                <w:color w:val="auto"/>
              </w:rPr>
            </w:pPr>
            <w:r>
              <w:rPr>
                <w:rFonts w:ascii="Arial" w:cs="Arial" w:eastAsia="Arial" w:hAnsi="Arial"/>
                <w:sz w:val="14"/>
                <w:szCs w:val="14"/>
                <w:color w:val="auto"/>
              </w:rPr>
              <w:t>2009</w:t>
            </w:r>
          </w:p>
        </w:tc>
        <w:tc>
          <w:tcPr>
            <w:tcW w:w="580" w:type="dxa"/>
            <w:vAlign w:val="bottom"/>
          </w:tcPr>
          <w:p>
            <w:pPr>
              <w:jc w:val="right"/>
              <w:ind w:right="171"/>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408"/>
              <w:spacing w:after="0"/>
              <w:rPr>
                <w:sz w:val="20"/>
                <w:szCs w:val="20"/>
                <w:color w:val="auto"/>
              </w:rPr>
            </w:pPr>
            <w:r>
              <w:rPr>
                <w:rFonts w:ascii="Arial" w:cs="Arial" w:eastAsia="Arial" w:hAnsi="Arial"/>
                <w:sz w:val="14"/>
                <w:szCs w:val="14"/>
                <w:color w:val="auto"/>
              </w:rPr>
              <w:t>136</w:t>
            </w: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229"/>
              <w:spacing w:after="0"/>
              <w:rPr>
                <w:sz w:val="20"/>
                <w:szCs w:val="20"/>
                <w:color w:val="auto"/>
              </w:rPr>
            </w:pPr>
            <w:r>
              <w:rPr>
                <w:rFonts w:ascii="Arial" w:cs="Arial" w:eastAsia="Arial" w:hAnsi="Arial"/>
                <w:sz w:val="14"/>
                <w:szCs w:val="14"/>
                <w:color w:val="auto"/>
              </w:rPr>
              <w:t>855</w:t>
            </w:r>
          </w:p>
        </w:tc>
        <w:tc>
          <w:tcPr>
            <w:tcW w:w="54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89"/>
              <w:spacing w:after="0"/>
              <w:rPr>
                <w:sz w:val="20"/>
                <w:szCs w:val="20"/>
                <w:color w:val="auto"/>
              </w:rPr>
            </w:pPr>
            <w:r>
              <w:rPr>
                <w:rFonts w:ascii="Arial" w:cs="Arial" w:eastAsia="Arial" w:hAnsi="Arial"/>
                <w:sz w:val="14"/>
                <w:szCs w:val="14"/>
                <w:color w:val="auto"/>
              </w:rPr>
              <w:t>991</w:t>
            </w:r>
          </w:p>
        </w:tc>
      </w:tr>
      <w:tr>
        <w:trPr>
          <w:trHeight w:val="216"/>
        </w:trPr>
        <w:tc>
          <w:tcPr>
            <w:tcW w:w="3340" w:type="dxa"/>
            <w:vAlign w:val="bottom"/>
          </w:tcPr>
          <w:p>
            <w:pPr>
              <w:spacing w:after="0"/>
              <w:rPr>
                <w:sz w:val="20"/>
                <w:szCs w:val="20"/>
                <w:color w:val="auto"/>
              </w:rPr>
            </w:pPr>
            <w:r>
              <w:rPr>
                <w:rFonts w:ascii="Arial" w:cs="Arial" w:eastAsia="Arial" w:hAnsi="Arial"/>
                <w:sz w:val="14"/>
                <w:szCs w:val="14"/>
                <w:color w:val="auto"/>
              </w:rPr>
              <w:t>2010</w:t>
            </w:r>
          </w:p>
        </w:tc>
        <w:tc>
          <w:tcPr>
            <w:tcW w:w="580" w:type="dxa"/>
            <w:vAlign w:val="bottom"/>
          </w:tcPr>
          <w:p>
            <w:pPr>
              <w:spacing w:after="0"/>
              <w:rPr>
                <w:sz w:val="18"/>
                <w:szCs w:val="18"/>
                <w:color w:val="auto"/>
              </w:rPr>
            </w:pPr>
          </w:p>
        </w:tc>
        <w:tc>
          <w:tcPr>
            <w:tcW w:w="960" w:type="dxa"/>
            <w:vAlign w:val="bottom"/>
          </w:tcPr>
          <w:p>
            <w:pPr>
              <w:jc w:val="right"/>
              <w:ind w:right="408"/>
              <w:spacing w:after="0"/>
              <w:rPr>
                <w:sz w:val="20"/>
                <w:szCs w:val="20"/>
                <w:color w:val="auto"/>
              </w:rPr>
            </w:pPr>
            <w:r>
              <w:rPr>
                <w:rFonts w:ascii="Arial" w:cs="Arial" w:eastAsia="Arial" w:hAnsi="Arial"/>
                <w:sz w:val="14"/>
                <w:szCs w:val="14"/>
                <w:color w:val="auto"/>
              </w:rPr>
              <w:t>111</w:t>
            </w:r>
          </w:p>
        </w:tc>
        <w:tc>
          <w:tcPr>
            <w:tcW w:w="620" w:type="dxa"/>
            <w:vAlign w:val="bottom"/>
          </w:tcPr>
          <w:p>
            <w:pPr>
              <w:spacing w:after="0"/>
              <w:rPr>
                <w:sz w:val="18"/>
                <w:szCs w:val="18"/>
                <w:color w:val="auto"/>
              </w:rPr>
            </w:pPr>
          </w:p>
        </w:tc>
        <w:tc>
          <w:tcPr>
            <w:tcW w:w="1020" w:type="dxa"/>
            <w:vAlign w:val="bottom"/>
          </w:tcPr>
          <w:p>
            <w:pPr>
              <w:jc w:val="right"/>
              <w:ind w:right="229"/>
              <w:spacing w:after="0"/>
              <w:rPr>
                <w:sz w:val="20"/>
                <w:szCs w:val="20"/>
                <w:color w:val="auto"/>
              </w:rPr>
            </w:pPr>
            <w:r>
              <w:rPr>
                <w:rFonts w:ascii="Arial" w:cs="Arial" w:eastAsia="Arial" w:hAnsi="Arial"/>
                <w:sz w:val="14"/>
                <w:szCs w:val="14"/>
                <w:color w:val="auto"/>
              </w:rPr>
              <w:t>423</w:t>
            </w:r>
          </w:p>
        </w:tc>
        <w:tc>
          <w:tcPr>
            <w:tcW w:w="540" w:type="dxa"/>
            <w:vAlign w:val="bottom"/>
          </w:tcPr>
          <w:p>
            <w:pPr>
              <w:spacing w:after="0"/>
              <w:rPr>
                <w:sz w:val="18"/>
                <w:szCs w:val="18"/>
                <w:color w:val="auto"/>
              </w:rPr>
            </w:pPr>
          </w:p>
        </w:tc>
        <w:tc>
          <w:tcPr>
            <w:tcW w:w="700" w:type="dxa"/>
            <w:vAlign w:val="bottom"/>
          </w:tcPr>
          <w:p>
            <w:pPr>
              <w:jc w:val="right"/>
              <w:ind w:right="89"/>
              <w:spacing w:after="0"/>
              <w:rPr>
                <w:sz w:val="20"/>
                <w:szCs w:val="20"/>
                <w:color w:val="auto"/>
              </w:rPr>
            </w:pPr>
            <w:r>
              <w:rPr>
                <w:rFonts w:ascii="Arial" w:cs="Arial" w:eastAsia="Arial" w:hAnsi="Arial"/>
                <w:sz w:val="14"/>
                <w:szCs w:val="14"/>
                <w:color w:val="auto"/>
              </w:rPr>
              <w:t>534</w:t>
            </w:r>
          </w:p>
        </w:tc>
      </w:tr>
      <w:tr>
        <w:trPr>
          <w:trHeight w:val="216"/>
        </w:trPr>
        <w:tc>
          <w:tcPr>
            <w:tcW w:w="3340" w:type="dxa"/>
            <w:vAlign w:val="bottom"/>
          </w:tcPr>
          <w:p>
            <w:pPr>
              <w:spacing w:after="0"/>
              <w:rPr>
                <w:sz w:val="20"/>
                <w:szCs w:val="20"/>
                <w:color w:val="auto"/>
              </w:rPr>
            </w:pPr>
            <w:r>
              <w:rPr>
                <w:rFonts w:ascii="Arial" w:cs="Arial" w:eastAsia="Arial" w:hAnsi="Arial"/>
                <w:sz w:val="14"/>
                <w:szCs w:val="14"/>
                <w:color w:val="auto"/>
              </w:rPr>
              <w:t>2011</w:t>
            </w:r>
          </w:p>
        </w:tc>
        <w:tc>
          <w:tcPr>
            <w:tcW w:w="580" w:type="dxa"/>
            <w:vAlign w:val="bottom"/>
          </w:tcPr>
          <w:p>
            <w:pPr>
              <w:spacing w:after="0"/>
              <w:rPr>
                <w:sz w:val="18"/>
                <w:szCs w:val="18"/>
                <w:color w:val="auto"/>
              </w:rPr>
            </w:pPr>
          </w:p>
        </w:tc>
        <w:tc>
          <w:tcPr>
            <w:tcW w:w="960" w:type="dxa"/>
            <w:vAlign w:val="bottom"/>
          </w:tcPr>
          <w:p>
            <w:pPr>
              <w:jc w:val="right"/>
              <w:ind w:right="408"/>
              <w:spacing w:after="0"/>
              <w:rPr>
                <w:sz w:val="20"/>
                <w:szCs w:val="20"/>
                <w:color w:val="auto"/>
              </w:rPr>
            </w:pPr>
            <w:r>
              <w:rPr>
                <w:rFonts w:ascii="Arial" w:cs="Arial" w:eastAsia="Arial" w:hAnsi="Arial"/>
                <w:sz w:val="14"/>
                <w:szCs w:val="14"/>
                <w:color w:val="auto"/>
              </w:rPr>
              <w:t>74</w:t>
            </w:r>
          </w:p>
        </w:tc>
        <w:tc>
          <w:tcPr>
            <w:tcW w:w="620" w:type="dxa"/>
            <w:vAlign w:val="bottom"/>
          </w:tcPr>
          <w:p>
            <w:pPr>
              <w:spacing w:after="0"/>
              <w:rPr>
                <w:sz w:val="18"/>
                <w:szCs w:val="18"/>
                <w:color w:val="auto"/>
              </w:rPr>
            </w:pPr>
          </w:p>
        </w:tc>
        <w:tc>
          <w:tcPr>
            <w:tcW w:w="1020" w:type="dxa"/>
            <w:vAlign w:val="bottom"/>
          </w:tcPr>
          <w:p>
            <w:pPr>
              <w:jc w:val="right"/>
              <w:ind w:right="229"/>
              <w:spacing w:after="0"/>
              <w:rPr>
                <w:sz w:val="20"/>
                <w:szCs w:val="20"/>
                <w:color w:val="auto"/>
              </w:rPr>
            </w:pPr>
            <w:r>
              <w:rPr>
                <w:rFonts w:ascii="Arial" w:cs="Arial" w:eastAsia="Arial" w:hAnsi="Arial"/>
                <w:sz w:val="14"/>
                <w:szCs w:val="14"/>
                <w:color w:val="auto"/>
              </w:rPr>
              <w:t>266</w:t>
            </w:r>
          </w:p>
        </w:tc>
        <w:tc>
          <w:tcPr>
            <w:tcW w:w="540" w:type="dxa"/>
            <w:vAlign w:val="bottom"/>
          </w:tcPr>
          <w:p>
            <w:pPr>
              <w:spacing w:after="0"/>
              <w:rPr>
                <w:sz w:val="18"/>
                <w:szCs w:val="18"/>
                <w:color w:val="auto"/>
              </w:rPr>
            </w:pPr>
          </w:p>
        </w:tc>
        <w:tc>
          <w:tcPr>
            <w:tcW w:w="700" w:type="dxa"/>
            <w:vAlign w:val="bottom"/>
          </w:tcPr>
          <w:p>
            <w:pPr>
              <w:jc w:val="right"/>
              <w:ind w:right="89"/>
              <w:spacing w:after="0"/>
              <w:rPr>
                <w:sz w:val="20"/>
                <w:szCs w:val="20"/>
                <w:color w:val="auto"/>
              </w:rPr>
            </w:pPr>
            <w:r>
              <w:rPr>
                <w:rFonts w:ascii="Arial" w:cs="Arial" w:eastAsia="Arial" w:hAnsi="Arial"/>
                <w:sz w:val="14"/>
                <w:szCs w:val="14"/>
                <w:color w:val="auto"/>
              </w:rPr>
              <w:t>340</w:t>
            </w:r>
          </w:p>
        </w:tc>
      </w:tr>
      <w:tr>
        <w:trPr>
          <w:trHeight w:val="216"/>
        </w:trPr>
        <w:tc>
          <w:tcPr>
            <w:tcW w:w="3340" w:type="dxa"/>
            <w:vAlign w:val="bottom"/>
          </w:tcPr>
          <w:p>
            <w:pPr>
              <w:spacing w:after="0"/>
              <w:rPr>
                <w:sz w:val="20"/>
                <w:szCs w:val="20"/>
                <w:color w:val="auto"/>
              </w:rPr>
            </w:pPr>
            <w:r>
              <w:rPr>
                <w:rFonts w:ascii="Arial" w:cs="Arial" w:eastAsia="Arial" w:hAnsi="Arial"/>
                <w:sz w:val="14"/>
                <w:szCs w:val="14"/>
                <w:color w:val="auto"/>
              </w:rPr>
              <w:t>2012</w:t>
            </w:r>
          </w:p>
        </w:tc>
        <w:tc>
          <w:tcPr>
            <w:tcW w:w="580" w:type="dxa"/>
            <w:vAlign w:val="bottom"/>
          </w:tcPr>
          <w:p>
            <w:pPr>
              <w:spacing w:after="0"/>
              <w:rPr>
                <w:sz w:val="18"/>
                <w:szCs w:val="18"/>
                <w:color w:val="auto"/>
              </w:rPr>
            </w:pPr>
          </w:p>
        </w:tc>
        <w:tc>
          <w:tcPr>
            <w:tcW w:w="960" w:type="dxa"/>
            <w:vAlign w:val="bottom"/>
          </w:tcPr>
          <w:p>
            <w:pPr>
              <w:jc w:val="right"/>
              <w:ind w:right="408"/>
              <w:spacing w:after="0"/>
              <w:rPr>
                <w:sz w:val="20"/>
                <w:szCs w:val="20"/>
                <w:color w:val="auto"/>
              </w:rPr>
            </w:pPr>
            <w:r>
              <w:rPr>
                <w:rFonts w:ascii="Arial" w:cs="Arial" w:eastAsia="Arial" w:hAnsi="Arial"/>
                <w:sz w:val="14"/>
                <w:szCs w:val="14"/>
                <w:color w:val="auto"/>
              </w:rPr>
              <w:t>45</w:t>
            </w:r>
          </w:p>
        </w:tc>
        <w:tc>
          <w:tcPr>
            <w:tcW w:w="620" w:type="dxa"/>
            <w:vAlign w:val="bottom"/>
          </w:tcPr>
          <w:p>
            <w:pPr>
              <w:spacing w:after="0"/>
              <w:rPr>
                <w:sz w:val="18"/>
                <w:szCs w:val="18"/>
                <w:color w:val="auto"/>
              </w:rPr>
            </w:pPr>
          </w:p>
        </w:tc>
        <w:tc>
          <w:tcPr>
            <w:tcW w:w="1020" w:type="dxa"/>
            <w:vAlign w:val="bottom"/>
          </w:tcPr>
          <w:p>
            <w:pPr>
              <w:jc w:val="right"/>
              <w:ind w:right="229"/>
              <w:spacing w:after="0"/>
              <w:rPr>
                <w:sz w:val="20"/>
                <w:szCs w:val="20"/>
                <w:color w:val="auto"/>
              </w:rPr>
            </w:pPr>
            <w:r>
              <w:rPr>
                <w:rFonts w:ascii="Arial" w:cs="Arial" w:eastAsia="Arial" w:hAnsi="Arial"/>
                <w:sz w:val="14"/>
                <w:szCs w:val="14"/>
                <w:color w:val="auto"/>
              </w:rPr>
              <w:t>3</w:t>
            </w:r>
          </w:p>
        </w:tc>
        <w:tc>
          <w:tcPr>
            <w:tcW w:w="540" w:type="dxa"/>
            <w:vAlign w:val="bottom"/>
          </w:tcPr>
          <w:p>
            <w:pPr>
              <w:spacing w:after="0"/>
              <w:rPr>
                <w:sz w:val="18"/>
                <w:szCs w:val="18"/>
                <w:color w:val="auto"/>
              </w:rPr>
            </w:pPr>
          </w:p>
        </w:tc>
        <w:tc>
          <w:tcPr>
            <w:tcW w:w="700" w:type="dxa"/>
            <w:vAlign w:val="bottom"/>
          </w:tcPr>
          <w:p>
            <w:pPr>
              <w:jc w:val="right"/>
              <w:ind w:right="89"/>
              <w:spacing w:after="0"/>
              <w:rPr>
                <w:sz w:val="20"/>
                <w:szCs w:val="20"/>
                <w:color w:val="auto"/>
              </w:rPr>
            </w:pPr>
            <w:r>
              <w:rPr>
                <w:rFonts w:ascii="Arial" w:cs="Arial" w:eastAsia="Arial" w:hAnsi="Arial"/>
                <w:sz w:val="14"/>
                <w:szCs w:val="14"/>
                <w:color w:val="auto"/>
              </w:rPr>
              <w:t>48</w:t>
            </w:r>
          </w:p>
        </w:tc>
      </w:tr>
      <w:tr>
        <w:trPr>
          <w:trHeight w:val="216"/>
        </w:trPr>
        <w:tc>
          <w:tcPr>
            <w:tcW w:w="3340" w:type="dxa"/>
            <w:vAlign w:val="bottom"/>
          </w:tcPr>
          <w:p>
            <w:pPr>
              <w:spacing w:after="0"/>
              <w:rPr>
                <w:sz w:val="20"/>
                <w:szCs w:val="20"/>
                <w:color w:val="auto"/>
              </w:rPr>
            </w:pPr>
            <w:r>
              <w:rPr>
                <w:rFonts w:ascii="Arial" w:cs="Arial" w:eastAsia="Arial" w:hAnsi="Arial"/>
                <w:sz w:val="14"/>
                <w:szCs w:val="14"/>
                <w:color w:val="auto"/>
              </w:rPr>
              <w:t>2013</w:t>
            </w:r>
          </w:p>
        </w:tc>
        <w:tc>
          <w:tcPr>
            <w:tcW w:w="580" w:type="dxa"/>
            <w:vAlign w:val="bottom"/>
          </w:tcPr>
          <w:p>
            <w:pPr>
              <w:spacing w:after="0"/>
              <w:rPr>
                <w:sz w:val="18"/>
                <w:szCs w:val="18"/>
                <w:color w:val="auto"/>
              </w:rPr>
            </w:pPr>
          </w:p>
        </w:tc>
        <w:tc>
          <w:tcPr>
            <w:tcW w:w="960" w:type="dxa"/>
            <w:vAlign w:val="bottom"/>
          </w:tcPr>
          <w:p>
            <w:pPr>
              <w:jc w:val="right"/>
              <w:ind w:right="408"/>
              <w:spacing w:after="0"/>
              <w:rPr>
                <w:sz w:val="20"/>
                <w:szCs w:val="20"/>
                <w:color w:val="auto"/>
              </w:rPr>
            </w:pPr>
            <w:r>
              <w:rPr>
                <w:rFonts w:ascii="Arial" w:cs="Arial" w:eastAsia="Arial" w:hAnsi="Arial"/>
                <w:sz w:val="14"/>
                <w:szCs w:val="14"/>
                <w:color w:val="auto"/>
              </w:rPr>
              <w:t>44</w:t>
            </w:r>
          </w:p>
        </w:tc>
        <w:tc>
          <w:tcPr>
            <w:tcW w:w="620" w:type="dxa"/>
            <w:vAlign w:val="bottom"/>
          </w:tcPr>
          <w:p>
            <w:pPr>
              <w:spacing w:after="0"/>
              <w:rPr>
                <w:sz w:val="18"/>
                <w:szCs w:val="18"/>
                <w:color w:val="auto"/>
              </w:rPr>
            </w:pPr>
          </w:p>
        </w:tc>
        <w:tc>
          <w:tcPr>
            <w:tcW w:w="1020" w:type="dxa"/>
            <w:vAlign w:val="bottom"/>
          </w:tcPr>
          <w:p>
            <w:pPr>
              <w:jc w:val="right"/>
              <w:ind w:right="229"/>
              <w:spacing w:after="0"/>
              <w:rPr>
                <w:sz w:val="20"/>
                <w:szCs w:val="20"/>
                <w:color w:val="auto"/>
              </w:rPr>
            </w:pPr>
            <w:r>
              <w:rPr>
                <w:rFonts w:ascii="Arial" w:cs="Arial" w:eastAsia="Arial" w:hAnsi="Arial"/>
                <w:sz w:val="14"/>
                <w:szCs w:val="14"/>
                <w:color w:val="auto"/>
              </w:rPr>
              <w:t>3</w:t>
            </w:r>
          </w:p>
        </w:tc>
        <w:tc>
          <w:tcPr>
            <w:tcW w:w="540" w:type="dxa"/>
            <w:vAlign w:val="bottom"/>
          </w:tcPr>
          <w:p>
            <w:pPr>
              <w:spacing w:after="0"/>
              <w:rPr>
                <w:sz w:val="18"/>
                <w:szCs w:val="18"/>
                <w:color w:val="auto"/>
              </w:rPr>
            </w:pPr>
          </w:p>
        </w:tc>
        <w:tc>
          <w:tcPr>
            <w:tcW w:w="700" w:type="dxa"/>
            <w:vAlign w:val="bottom"/>
          </w:tcPr>
          <w:p>
            <w:pPr>
              <w:jc w:val="right"/>
              <w:ind w:right="89"/>
              <w:spacing w:after="0"/>
              <w:rPr>
                <w:sz w:val="20"/>
                <w:szCs w:val="20"/>
                <w:color w:val="auto"/>
              </w:rPr>
            </w:pPr>
            <w:r>
              <w:rPr>
                <w:rFonts w:ascii="Arial" w:cs="Arial" w:eastAsia="Arial" w:hAnsi="Arial"/>
                <w:sz w:val="14"/>
                <w:szCs w:val="14"/>
                <w:color w:val="auto"/>
              </w:rPr>
              <w:t>47</w:t>
            </w:r>
          </w:p>
        </w:tc>
      </w:tr>
      <w:tr>
        <w:trPr>
          <w:trHeight w:val="222"/>
        </w:trPr>
        <w:tc>
          <w:tcPr>
            <w:tcW w:w="3340" w:type="dxa"/>
            <w:vAlign w:val="bottom"/>
          </w:tcPr>
          <w:p>
            <w:pPr>
              <w:spacing w:after="0"/>
              <w:rPr>
                <w:sz w:val="20"/>
                <w:szCs w:val="20"/>
                <w:color w:val="auto"/>
              </w:rPr>
            </w:pPr>
            <w:r>
              <w:rPr>
                <w:rFonts w:ascii="Arial" w:cs="Arial" w:eastAsia="Arial" w:hAnsi="Arial"/>
                <w:sz w:val="14"/>
                <w:szCs w:val="14"/>
                <w:color w:val="auto"/>
              </w:rPr>
              <w:t>Thereafter</w:t>
            </w:r>
          </w:p>
        </w:tc>
        <w:tc>
          <w:tcPr>
            <w:tcW w:w="5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color w:val="auto"/>
              </w:rPr>
              <w:t>211</w:t>
            </w:r>
          </w:p>
        </w:tc>
        <w:tc>
          <w:tcPr>
            <w:tcW w:w="6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229"/>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rPr>
              <w:t>211</w:t>
            </w:r>
          </w:p>
        </w:tc>
      </w:tr>
      <w:tr>
        <w:trPr>
          <w:trHeight w:val="224"/>
        </w:trPr>
        <w:tc>
          <w:tcPr>
            <w:tcW w:w="33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Total minimum payments</w:t>
            </w:r>
          </w:p>
        </w:tc>
        <w:tc>
          <w:tcPr>
            <w:tcW w:w="58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color w:val="auto"/>
              </w:rPr>
              <w:t>621</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ind w:right="229"/>
              <w:spacing w:after="0"/>
              <w:rPr>
                <w:sz w:val="20"/>
                <w:szCs w:val="20"/>
                <w:color w:val="auto"/>
              </w:rPr>
            </w:pPr>
            <w:r>
              <w:rPr>
                <w:rFonts w:ascii="Arial" w:cs="Arial" w:eastAsia="Arial" w:hAnsi="Arial"/>
                <w:sz w:val="14"/>
                <w:szCs w:val="14"/>
                <w:color w:val="auto"/>
              </w:rPr>
              <w:t>1,550</w:t>
            </w:r>
          </w:p>
        </w:tc>
        <w:tc>
          <w:tcPr>
            <w:tcW w:w="5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rPr>
              <w:t>2,171</w:t>
            </w:r>
          </w:p>
        </w:tc>
      </w:tr>
    </w:tbl>
    <w:p>
      <w:pPr>
        <w:spacing w:after="0" w:line="376" w:lineRule="exact"/>
        <w:rPr>
          <w:sz w:val="20"/>
          <w:szCs w:val="20"/>
          <w:color w:val="auto"/>
        </w:rPr>
      </w:pPr>
    </w:p>
    <w:p>
      <w:pPr>
        <w:spacing w:after="0"/>
        <w:rPr>
          <w:sz w:val="20"/>
          <w:szCs w:val="20"/>
          <w:color w:val="auto"/>
        </w:rPr>
      </w:pPr>
      <w:r>
        <w:rPr>
          <w:rFonts w:ascii="Arial" w:cs="Arial" w:eastAsia="Arial" w:hAnsi="Arial"/>
          <w:sz w:val="14"/>
          <w:szCs w:val="14"/>
          <w:color w:val="auto"/>
        </w:rPr>
        <w:t>177</w:t>
      </w:r>
    </w:p>
    <w:p>
      <w:pPr>
        <w:sectPr>
          <w:pgSz w:w="11900" w:h="16838" w:orient="portrait"/>
          <w:cols w:equalWidth="0" w:num="1">
            <w:col w:w="11400"/>
          </w:cols>
          <w:pgMar w:left="240" w:top="124" w:right="259" w:bottom="1440" w:gutter="0" w:footer="0" w:header="0"/>
        </w:sectPr>
      </w:pPr>
    </w:p>
    <w:bookmarkStart w:id="317" w:name="page318"/>
    <w:bookmarkEnd w:id="317"/>
    <w:p>
      <w:pPr>
        <w:ind w:left="4"/>
        <w:spacing w:after="0"/>
        <w:rPr>
          <w:sz w:val="20"/>
          <w:szCs w:val="20"/>
          <w:color w:val="auto"/>
        </w:rPr>
      </w:pPr>
      <w:r>
        <w:rPr>
          <w:rFonts w:ascii="Arial" w:cs="Arial" w:eastAsia="Arial" w:hAnsi="Arial"/>
          <w:sz w:val="16"/>
          <w:szCs w:val="16"/>
          <w:color w:val="auto"/>
        </w:rPr>
        <w:t>Total payments under natural gas contracts were:</w:t>
      </w:r>
    </w:p>
    <w:p>
      <w:pPr>
        <w:spacing w:after="0" w:line="169" w:lineRule="exact"/>
        <w:rPr>
          <w:sz w:val="20"/>
          <w:szCs w:val="20"/>
          <w:color w:val="auto"/>
        </w:rPr>
      </w:pPr>
    </w:p>
    <w:tbl>
      <w:tblPr>
        <w:tblLayout w:type="fixed"/>
        <w:tblInd w:w="1864" w:type="dxa"/>
        <w:tblCellMar>
          <w:top w:w="0" w:type="dxa"/>
          <w:left w:w="0" w:type="dxa"/>
          <w:bottom w:w="0" w:type="dxa"/>
          <w:right w:w="0" w:type="dxa"/>
        </w:tblCellMar>
      </w:tblPr>
      <w:tr>
        <w:trPr>
          <w:trHeight w:val="156"/>
        </w:trPr>
        <w:tc>
          <w:tcPr>
            <w:tcW w:w="396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2480" w:type="dxa"/>
            <w:vAlign w:val="bottom"/>
            <w:tcBorders>
              <w:bottom w:val="single" w:sz="8" w:color="auto"/>
            </w:tcBorders>
            <w:gridSpan w:val="4"/>
          </w:tcPr>
          <w:p>
            <w:pPr>
              <w:jc w:val="right"/>
              <w:ind w:right="108"/>
              <w:spacing w:after="0"/>
              <w:rPr>
                <w:sz w:val="20"/>
                <w:szCs w:val="20"/>
                <w:color w:val="auto"/>
              </w:rPr>
            </w:pPr>
            <w:r>
              <w:rPr>
                <w:rFonts w:ascii="Arial" w:cs="Arial" w:eastAsia="Arial" w:hAnsi="Arial"/>
                <w:sz w:val="13"/>
                <w:szCs w:val="13"/>
                <w:color w:val="auto"/>
              </w:rPr>
              <w:t>Years ended December 31,</w:t>
            </w:r>
          </w:p>
        </w:tc>
        <w:tc>
          <w:tcPr>
            <w:tcW w:w="920" w:type="dxa"/>
            <w:vAlign w:val="bottom"/>
            <w:tcBorders>
              <w:bottom w:val="single" w:sz="8" w:color="auto"/>
            </w:tcBorders>
          </w:tcPr>
          <w:p>
            <w:pPr>
              <w:spacing w:after="0"/>
              <w:rPr>
                <w:sz w:val="13"/>
                <w:szCs w:val="13"/>
                <w:color w:val="auto"/>
              </w:rPr>
            </w:pPr>
          </w:p>
        </w:tc>
      </w:tr>
      <w:tr>
        <w:trPr>
          <w:trHeight w:val="175"/>
        </w:trPr>
        <w:tc>
          <w:tcPr>
            <w:tcW w:w="3960" w:type="dxa"/>
            <w:vAlign w:val="bottom"/>
            <w:tcBorders>
              <w:bottom w:val="single" w:sz="8" w:color="auto"/>
            </w:tcBorders>
          </w:tcPr>
          <w:p>
            <w:pPr>
              <w:ind w:left="20"/>
              <w:spacing w:after="0"/>
              <w:rPr>
                <w:sz w:val="20"/>
                <w:szCs w:val="20"/>
                <w:color w:val="auto"/>
              </w:rPr>
            </w:pPr>
            <w:r>
              <w:rPr>
                <w:rFonts w:ascii="Arial" w:cs="Arial" w:eastAsia="Arial" w:hAnsi="Arial"/>
                <w:sz w:val="13"/>
                <w:szCs w:val="13"/>
                <w:i w:val="1"/>
                <w:iCs w:val="1"/>
                <w:color w:val="auto"/>
              </w:rPr>
              <w:t>(Dollars in millions)</w:t>
            </w:r>
          </w:p>
        </w:tc>
        <w:tc>
          <w:tcPr>
            <w:tcW w:w="3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471"/>
              <w:spacing w:after="0"/>
              <w:rPr>
                <w:sz w:val="20"/>
                <w:szCs w:val="20"/>
                <w:color w:val="auto"/>
              </w:rPr>
            </w:pPr>
            <w:r>
              <w:rPr>
                <w:rFonts w:ascii="Arial" w:cs="Arial" w:eastAsia="Arial" w:hAnsi="Arial"/>
                <w:sz w:val="13"/>
                <w:szCs w:val="13"/>
                <w:color w:val="auto"/>
              </w:rPr>
              <w:t>2008</w:t>
            </w:r>
          </w:p>
        </w:tc>
        <w:tc>
          <w:tcPr>
            <w:tcW w:w="3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490"/>
              <w:spacing w:after="0"/>
              <w:rPr>
                <w:sz w:val="20"/>
                <w:szCs w:val="20"/>
                <w:color w:val="auto"/>
              </w:rPr>
            </w:pPr>
            <w:r>
              <w:rPr>
                <w:rFonts w:ascii="Arial" w:cs="Arial" w:eastAsia="Arial" w:hAnsi="Arial"/>
                <w:sz w:val="13"/>
                <w:szCs w:val="13"/>
                <w:color w:val="auto"/>
              </w:rPr>
              <w:t>2007</w:t>
            </w:r>
          </w:p>
        </w:tc>
        <w:tc>
          <w:tcPr>
            <w:tcW w:w="3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430"/>
              <w:spacing w:after="0"/>
              <w:rPr>
                <w:sz w:val="20"/>
                <w:szCs w:val="20"/>
                <w:color w:val="auto"/>
              </w:rPr>
            </w:pPr>
            <w:r>
              <w:rPr>
                <w:rFonts w:ascii="Arial" w:cs="Arial" w:eastAsia="Arial" w:hAnsi="Arial"/>
                <w:sz w:val="13"/>
                <w:szCs w:val="13"/>
                <w:color w:val="auto"/>
              </w:rPr>
              <w:t>2006</w:t>
            </w:r>
          </w:p>
        </w:tc>
      </w:tr>
      <w:tr>
        <w:trPr>
          <w:trHeight w:val="183"/>
        </w:trPr>
        <w:tc>
          <w:tcPr>
            <w:tcW w:w="3960" w:type="dxa"/>
            <w:vAlign w:val="bottom"/>
          </w:tcPr>
          <w:p>
            <w:pPr>
              <w:ind w:left="20"/>
              <w:spacing w:after="0"/>
              <w:rPr>
                <w:sz w:val="20"/>
                <w:szCs w:val="20"/>
                <w:color w:val="auto"/>
              </w:rPr>
            </w:pPr>
            <w:r>
              <w:rPr>
                <w:rFonts w:ascii="Arial" w:cs="Arial" w:eastAsia="Arial" w:hAnsi="Arial"/>
                <w:sz w:val="14"/>
                <w:szCs w:val="14"/>
                <w:color w:val="auto"/>
              </w:rPr>
              <w:t>Sempra Energy Consolidated</w:t>
            </w:r>
          </w:p>
        </w:tc>
        <w:tc>
          <w:tcPr>
            <w:tcW w:w="3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31"/>
              <w:spacing w:after="0"/>
              <w:rPr>
                <w:sz w:val="20"/>
                <w:szCs w:val="20"/>
                <w:color w:val="auto"/>
              </w:rPr>
            </w:pPr>
            <w:r>
              <w:rPr>
                <w:rFonts w:ascii="Arial" w:cs="Arial" w:eastAsia="Arial" w:hAnsi="Arial"/>
                <w:sz w:val="14"/>
                <w:szCs w:val="14"/>
                <w:color w:val="auto"/>
              </w:rPr>
              <w:t>3,469</w:t>
            </w:r>
          </w:p>
        </w:tc>
        <w:tc>
          <w:tcPr>
            <w:tcW w:w="3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30"/>
              <w:spacing w:after="0"/>
              <w:rPr>
                <w:sz w:val="20"/>
                <w:szCs w:val="20"/>
                <w:color w:val="auto"/>
              </w:rPr>
            </w:pPr>
            <w:r>
              <w:rPr>
                <w:rFonts w:ascii="Arial" w:cs="Arial" w:eastAsia="Arial" w:hAnsi="Arial"/>
                <w:sz w:val="14"/>
                <w:szCs w:val="14"/>
                <w:color w:val="auto"/>
              </w:rPr>
              <w:t>2,976</w:t>
            </w:r>
          </w:p>
        </w:tc>
        <w:tc>
          <w:tcPr>
            <w:tcW w:w="3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2,926</w:t>
            </w:r>
          </w:p>
        </w:tc>
      </w:tr>
      <w:tr>
        <w:trPr>
          <w:trHeight w:val="216"/>
        </w:trPr>
        <w:tc>
          <w:tcPr>
            <w:tcW w:w="3960" w:type="dxa"/>
            <w:vAlign w:val="bottom"/>
          </w:tcPr>
          <w:p>
            <w:pPr>
              <w:ind w:left="20"/>
              <w:spacing w:after="0"/>
              <w:rPr>
                <w:sz w:val="20"/>
                <w:szCs w:val="20"/>
                <w:color w:val="auto"/>
              </w:rPr>
            </w:pPr>
            <w:r>
              <w:rPr>
                <w:rFonts w:ascii="Arial" w:cs="Arial" w:eastAsia="Arial" w:hAnsi="Arial"/>
                <w:sz w:val="14"/>
                <w:szCs w:val="14"/>
                <w:color w:val="auto"/>
              </w:rPr>
              <w:t>SDG&amp;E</w:t>
            </w:r>
          </w:p>
        </w:tc>
        <w:tc>
          <w:tcPr>
            <w:tcW w:w="340" w:type="dxa"/>
            <w:vAlign w:val="bottom"/>
          </w:tcPr>
          <w:p>
            <w:pPr>
              <w:spacing w:after="0"/>
              <w:rPr>
                <w:sz w:val="18"/>
                <w:szCs w:val="18"/>
                <w:color w:val="auto"/>
              </w:rPr>
            </w:pPr>
          </w:p>
        </w:tc>
        <w:tc>
          <w:tcPr>
            <w:tcW w:w="940" w:type="dxa"/>
            <w:vAlign w:val="bottom"/>
          </w:tcPr>
          <w:p>
            <w:pPr>
              <w:jc w:val="right"/>
              <w:ind w:right="31"/>
              <w:spacing w:after="0"/>
              <w:rPr>
                <w:sz w:val="20"/>
                <w:szCs w:val="20"/>
                <w:color w:val="auto"/>
              </w:rPr>
            </w:pPr>
            <w:r>
              <w:rPr>
                <w:rFonts w:ascii="Arial" w:cs="Arial" w:eastAsia="Arial" w:hAnsi="Arial"/>
                <w:sz w:val="14"/>
                <w:szCs w:val="14"/>
                <w:color w:val="auto"/>
              </w:rPr>
              <w:t>12</w:t>
            </w:r>
          </w:p>
        </w:tc>
        <w:tc>
          <w:tcPr>
            <w:tcW w:w="300" w:type="dxa"/>
            <w:vAlign w:val="bottom"/>
          </w:tcPr>
          <w:p>
            <w:pPr>
              <w:spacing w:after="0"/>
              <w:rPr>
                <w:sz w:val="18"/>
                <w:szCs w:val="18"/>
                <w:color w:val="auto"/>
              </w:rPr>
            </w:pPr>
          </w:p>
        </w:tc>
        <w:tc>
          <w:tcPr>
            <w:tcW w:w="940" w:type="dxa"/>
            <w:vAlign w:val="bottom"/>
          </w:tcPr>
          <w:p>
            <w:pPr>
              <w:jc w:val="right"/>
              <w:ind w:right="30"/>
              <w:spacing w:after="0"/>
              <w:rPr>
                <w:sz w:val="20"/>
                <w:szCs w:val="20"/>
                <w:color w:val="auto"/>
              </w:rPr>
            </w:pPr>
            <w:r>
              <w:rPr>
                <w:rFonts w:ascii="Arial" w:cs="Arial" w:eastAsia="Arial" w:hAnsi="Arial"/>
                <w:sz w:val="14"/>
                <w:szCs w:val="14"/>
                <w:color w:val="auto"/>
              </w:rPr>
              <w:t>390</w:t>
            </w:r>
          </w:p>
        </w:tc>
        <w:tc>
          <w:tcPr>
            <w:tcW w:w="3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380</w:t>
            </w:r>
          </w:p>
        </w:tc>
      </w:tr>
      <w:tr>
        <w:trPr>
          <w:trHeight w:val="250"/>
        </w:trPr>
        <w:tc>
          <w:tcPr>
            <w:tcW w:w="3960" w:type="dxa"/>
            <w:vAlign w:val="bottom"/>
            <w:tcBorders>
              <w:bottom w:val="single" w:sz="8" w:color="DFDFDF"/>
            </w:tcBorders>
          </w:tcPr>
          <w:p>
            <w:pPr>
              <w:ind w:left="20"/>
              <w:spacing w:after="0"/>
              <w:rPr>
                <w:sz w:val="20"/>
                <w:szCs w:val="20"/>
                <w:color w:val="auto"/>
              </w:rPr>
            </w:pPr>
            <w:r>
              <w:rPr>
                <w:rFonts w:ascii="Arial" w:cs="Arial" w:eastAsia="Arial" w:hAnsi="Arial"/>
                <w:sz w:val="14"/>
                <w:szCs w:val="14"/>
                <w:color w:val="auto"/>
              </w:rPr>
              <w:t>SoCalGas</w:t>
            </w:r>
          </w:p>
        </w:tc>
        <w:tc>
          <w:tcPr>
            <w:tcW w:w="340" w:type="dxa"/>
            <w:vAlign w:val="bottom"/>
            <w:tcBorders>
              <w:bottom w:val="single" w:sz="8" w:color="DFDFDF"/>
            </w:tcBorders>
          </w:tcPr>
          <w:p>
            <w:pPr>
              <w:spacing w:after="0"/>
              <w:rPr>
                <w:sz w:val="21"/>
                <w:szCs w:val="21"/>
                <w:color w:val="auto"/>
              </w:rPr>
            </w:pPr>
          </w:p>
        </w:tc>
        <w:tc>
          <w:tcPr>
            <w:tcW w:w="940" w:type="dxa"/>
            <w:vAlign w:val="bottom"/>
            <w:tcBorders>
              <w:bottom w:val="single" w:sz="8" w:color="DFDFDF"/>
            </w:tcBorders>
          </w:tcPr>
          <w:p>
            <w:pPr>
              <w:jc w:val="right"/>
              <w:ind w:right="31"/>
              <w:spacing w:after="0"/>
              <w:rPr>
                <w:sz w:val="20"/>
                <w:szCs w:val="20"/>
                <w:color w:val="auto"/>
              </w:rPr>
            </w:pPr>
            <w:r>
              <w:rPr>
                <w:rFonts w:ascii="Arial" w:cs="Arial" w:eastAsia="Arial" w:hAnsi="Arial"/>
                <w:sz w:val="14"/>
                <w:szCs w:val="14"/>
                <w:color w:val="auto"/>
              </w:rPr>
              <w:t>3,145</w:t>
            </w:r>
          </w:p>
        </w:tc>
        <w:tc>
          <w:tcPr>
            <w:tcW w:w="300" w:type="dxa"/>
            <w:vAlign w:val="bottom"/>
            <w:tcBorders>
              <w:bottom w:val="single" w:sz="8" w:color="DFDFDF"/>
            </w:tcBorders>
          </w:tcPr>
          <w:p>
            <w:pPr>
              <w:spacing w:after="0"/>
              <w:rPr>
                <w:sz w:val="21"/>
                <w:szCs w:val="21"/>
                <w:color w:val="auto"/>
              </w:rPr>
            </w:pPr>
          </w:p>
        </w:tc>
        <w:tc>
          <w:tcPr>
            <w:tcW w:w="940" w:type="dxa"/>
            <w:vAlign w:val="bottom"/>
            <w:tcBorders>
              <w:bottom w:val="single" w:sz="8" w:color="DFDFDF"/>
            </w:tcBorders>
          </w:tcPr>
          <w:p>
            <w:pPr>
              <w:jc w:val="right"/>
              <w:ind w:right="30"/>
              <w:spacing w:after="0"/>
              <w:rPr>
                <w:sz w:val="20"/>
                <w:szCs w:val="20"/>
                <w:color w:val="auto"/>
              </w:rPr>
            </w:pPr>
            <w:r>
              <w:rPr>
                <w:rFonts w:ascii="Arial" w:cs="Arial" w:eastAsia="Arial" w:hAnsi="Arial"/>
                <w:sz w:val="14"/>
                <w:szCs w:val="14"/>
                <w:color w:val="auto"/>
              </w:rPr>
              <w:t>2,413</w:t>
            </w:r>
          </w:p>
        </w:tc>
        <w:tc>
          <w:tcPr>
            <w:tcW w:w="300" w:type="dxa"/>
            <w:vAlign w:val="bottom"/>
            <w:tcBorders>
              <w:bottom w:val="single" w:sz="8" w:color="DFDFDF"/>
            </w:tcBorders>
          </w:tcPr>
          <w:p>
            <w:pPr>
              <w:spacing w:after="0"/>
              <w:rPr>
                <w:sz w:val="21"/>
                <w:szCs w:val="21"/>
                <w:color w:val="auto"/>
              </w:rPr>
            </w:pPr>
          </w:p>
        </w:tc>
        <w:tc>
          <w:tcPr>
            <w:tcW w:w="920" w:type="dxa"/>
            <w:vAlign w:val="bottom"/>
            <w:tcBorders>
              <w:bottom w:val="single" w:sz="8" w:color="DFDFDF"/>
            </w:tcBorders>
          </w:tcPr>
          <w:p>
            <w:pPr>
              <w:jc w:val="right"/>
              <w:spacing w:after="0"/>
              <w:rPr>
                <w:sz w:val="20"/>
                <w:szCs w:val="20"/>
                <w:color w:val="auto"/>
              </w:rPr>
            </w:pPr>
            <w:r>
              <w:rPr>
                <w:rFonts w:ascii="Arial" w:cs="Arial" w:eastAsia="Arial" w:hAnsi="Arial"/>
                <w:sz w:val="14"/>
                <w:szCs w:val="14"/>
                <w:color w:val="auto"/>
              </w:rPr>
              <w:t>2,387</w:t>
            </w:r>
          </w:p>
        </w:tc>
      </w:tr>
    </w:tbl>
    <w:p>
      <w:pPr>
        <w:spacing w:after="0" w:line="180" w:lineRule="exact"/>
        <w:rPr>
          <w:sz w:val="20"/>
          <w:szCs w:val="20"/>
          <w:color w:val="auto"/>
        </w:rPr>
      </w:pPr>
    </w:p>
    <w:p>
      <w:pPr>
        <w:jc w:val="both"/>
        <w:ind w:left="4" w:right="260"/>
        <w:spacing w:after="0" w:line="289" w:lineRule="auto"/>
        <w:rPr>
          <w:sz w:val="20"/>
          <w:szCs w:val="20"/>
          <w:color w:val="auto"/>
        </w:rPr>
      </w:pPr>
      <w:r>
        <w:rPr>
          <w:rFonts w:ascii="Arial" w:cs="Arial" w:eastAsia="Arial" w:hAnsi="Arial"/>
          <w:sz w:val="15"/>
          <w:szCs w:val="15"/>
          <w:color w:val="auto"/>
        </w:rPr>
        <w:t>Sempra LNG has a purchase agreement with Tangguh PSC Contractors for the supply of 500 million cubic feet of natural gas per day from Indonesia’s Tangguh liquefaction facility to Sempra LNG’s Energía Costa Azul regasification terminal. The contracted volume deliveries under the 20-year agreement will begin in 2009 and supply half of the capacity of Energía Costa Azul. The price of natural gas that Sempra LNG purchases is based on the Southern California border index.</w:t>
      </w:r>
    </w:p>
    <w:p>
      <w:pPr>
        <w:spacing w:after="0" w:line="26" w:lineRule="exact"/>
        <w:rPr>
          <w:sz w:val="20"/>
          <w:szCs w:val="20"/>
          <w:color w:val="auto"/>
        </w:rPr>
      </w:pPr>
    </w:p>
    <w:p>
      <w:pPr>
        <w:ind w:left="4"/>
        <w:spacing w:after="0"/>
        <w:rPr>
          <w:sz w:val="20"/>
          <w:szCs w:val="20"/>
          <w:color w:val="auto"/>
        </w:rPr>
      </w:pPr>
      <w:r>
        <w:rPr>
          <w:rFonts w:ascii="Arial" w:cs="Arial" w:eastAsia="Arial" w:hAnsi="Arial"/>
          <w:sz w:val="16"/>
          <w:szCs w:val="16"/>
          <w:color w:val="auto"/>
        </w:rPr>
        <w:t>As of December 31, 2008, minimum payments under this contract are expected to be:</w:t>
      </w:r>
    </w:p>
    <w:p>
      <w:pPr>
        <w:spacing w:after="0" w:line="44" w:lineRule="exact"/>
        <w:rPr>
          <w:sz w:val="20"/>
          <w:szCs w:val="20"/>
          <w:color w:val="auto"/>
        </w:rPr>
      </w:pPr>
    </w:p>
    <w:p>
      <w:pPr>
        <w:ind w:left="144" w:hanging="144"/>
        <w:spacing w:after="0"/>
        <w:tabs>
          <w:tab w:leader="none" w:pos="144" w:val="left"/>
        </w:tabs>
        <w:numPr>
          <w:ilvl w:val="0"/>
          <w:numId w:val="391"/>
        </w:numPr>
        <w:rPr>
          <w:rFonts w:ascii="Arial" w:cs="Arial" w:eastAsia="Arial" w:hAnsi="Arial"/>
          <w:sz w:val="16"/>
          <w:szCs w:val="16"/>
          <w:color w:val="auto"/>
        </w:rPr>
      </w:pPr>
      <w:r>
        <w:rPr>
          <w:rFonts w:ascii="Arial" w:cs="Arial" w:eastAsia="Arial" w:hAnsi="Arial"/>
          <w:sz w:val="16"/>
          <w:szCs w:val="16"/>
          <w:color w:val="auto"/>
        </w:rPr>
        <w:t>$366 million in 2009</w:t>
      </w:r>
    </w:p>
    <w:p>
      <w:pPr>
        <w:spacing w:after="0" w:line="44" w:lineRule="exact"/>
        <w:rPr>
          <w:rFonts w:ascii="Arial" w:cs="Arial" w:eastAsia="Arial" w:hAnsi="Arial"/>
          <w:sz w:val="16"/>
          <w:szCs w:val="16"/>
          <w:color w:val="auto"/>
        </w:rPr>
      </w:pPr>
    </w:p>
    <w:p>
      <w:pPr>
        <w:ind w:left="144" w:hanging="144"/>
        <w:spacing w:after="0"/>
        <w:tabs>
          <w:tab w:leader="none" w:pos="144" w:val="left"/>
        </w:tabs>
        <w:numPr>
          <w:ilvl w:val="0"/>
          <w:numId w:val="391"/>
        </w:numPr>
        <w:rPr>
          <w:rFonts w:ascii="Arial" w:cs="Arial" w:eastAsia="Arial" w:hAnsi="Arial"/>
          <w:sz w:val="16"/>
          <w:szCs w:val="16"/>
          <w:color w:val="auto"/>
        </w:rPr>
      </w:pPr>
      <w:r>
        <w:rPr>
          <w:rFonts w:ascii="Arial" w:cs="Arial" w:eastAsia="Arial" w:hAnsi="Arial"/>
          <w:sz w:val="16"/>
          <w:szCs w:val="16"/>
          <w:color w:val="auto"/>
        </w:rPr>
        <w:t>$1.1 billion in 2010</w:t>
      </w:r>
    </w:p>
    <w:p>
      <w:pPr>
        <w:spacing w:after="0" w:line="44" w:lineRule="exact"/>
        <w:rPr>
          <w:rFonts w:ascii="Arial" w:cs="Arial" w:eastAsia="Arial" w:hAnsi="Arial"/>
          <w:sz w:val="16"/>
          <w:szCs w:val="16"/>
          <w:color w:val="auto"/>
        </w:rPr>
      </w:pPr>
    </w:p>
    <w:p>
      <w:pPr>
        <w:ind w:left="144" w:hanging="144"/>
        <w:spacing w:after="0"/>
        <w:tabs>
          <w:tab w:leader="none" w:pos="144" w:val="left"/>
        </w:tabs>
        <w:numPr>
          <w:ilvl w:val="0"/>
          <w:numId w:val="391"/>
        </w:numPr>
        <w:rPr>
          <w:rFonts w:ascii="Arial" w:cs="Arial" w:eastAsia="Arial" w:hAnsi="Arial"/>
          <w:sz w:val="16"/>
          <w:szCs w:val="16"/>
          <w:color w:val="auto"/>
        </w:rPr>
      </w:pPr>
      <w:r>
        <w:rPr>
          <w:rFonts w:ascii="Arial" w:cs="Arial" w:eastAsia="Arial" w:hAnsi="Arial"/>
          <w:sz w:val="16"/>
          <w:szCs w:val="16"/>
          <w:color w:val="auto"/>
        </w:rPr>
        <w:t>$1.1 billion in 2011</w:t>
      </w:r>
    </w:p>
    <w:p>
      <w:pPr>
        <w:spacing w:after="0" w:line="44" w:lineRule="exact"/>
        <w:rPr>
          <w:rFonts w:ascii="Arial" w:cs="Arial" w:eastAsia="Arial" w:hAnsi="Arial"/>
          <w:sz w:val="16"/>
          <w:szCs w:val="16"/>
          <w:color w:val="auto"/>
        </w:rPr>
      </w:pPr>
    </w:p>
    <w:p>
      <w:pPr>
        <w:ind w:left="144" w:hanging="144"/>
        <w:spacing w:after="0"/>
        <w:tabs>
          <w:tab w:leader="none" w:pos="144" w:val="left"/>
        </w:tabs>
        <w:numPr>
          <w:ilvl w:val="0"/>
          <w:numId w:val="391"/>
        </w:numPr>
        <w:rPr>
          <w:rFonts w:ascii="Arial" w:cs="Arial" w:eastAsia="Arial" w:hAnsi="Arial"/>
          <w:sz w:val="16"/>
          <w:szCs w:val="16"/>
          <w:color w:val="auto"/>
        </w:rPr>
      </w:pPr>
      <w:r>
        <w:rPr>
          <w:rFonts w:ascii="Arial" w:cs="Arial" w:eastAsia="Arial" w:hAnsi="Arial"/>
          <w:sz w:val="16"/>
          <w:szCs w:val="16"/>
          <w:color w:val="auto"/>
        </w:rPr>
        <w:t>$1.1 billion in 2012</w:t>
      </w:r>
    </w:p>
    <w:p>
      <w:pPr>
        <w:spacing w:after="0" w:line="44" w:lineRule="exact"/>
        <w:rPr>
          <w:rFonts w:ascii="Arial" w:cs="Arial" w:eastAsia="Arial" w:hAnsi="Arial"/>
          <w:sz w:val="16"/>
          <w:szCs w:val="16"/>
          <w:color w:val="auto"/>
        </w:rPr>
      </w:pPr>
    </w:p>
    <w:p>
      <w:pPr>
        <w:ind w:left="144" w:hanging="144"/>
        <w:spacing w:after="0"/>
        <w:tabs>
          <w:tab w:leader="none" w:pos="144" w:val="left"/>
        </w:tabs>
        <w:numPr>
          <w:ilvl w:val="0"/>
          <w:numId w:val="391"/>
        </w:numPr>
        <w:rPr>
          <w:rFonts w:ascii="Arial" w:cs="Arial" w:eastAsia="Arial" w:hAnsi="Arial"/>
          <w:sz w:val="16"/>
          <w:szCs w:val="16"/>
          <w:color w:val="auto"/>
        </w:rPr>
      </w:pPr>
      <w:r>
        <w:rPr>
          <w:rFonts w:ascii="Arial" w:cs="Arial" w:eastAsia="Arial" w:hAnsi="Arial"/>
          <w:sz w:val="16"/>
          <w:szCs w:val="16"/>
          <w:color w:val="auto"/>
        </w:rPr>
        <w:t>$1.1 billion in 2013</w:t>
      </w:r>
    </w:p>
    <w:p>
      <w:pPr>
        <w:spacing w:after="0" w:line="44" w:lineRule="exact"/>
        <w:rPr>
          <w:rFonts w:ascii="Arial" w:cs="Arial" w:eastAsia="Arial" w:hAnsi="Arial"/>
          <w:sz w:val="16"/>
          <w:szCs w:val="16"/>
          <w:color w:val="auto"/>
        </w:rPr>
      </w:pPr>
    </w:p>
    <w:p>
      <w:pPr>
        <w:ind w:left="144" w:hanging="144"/>
        <w:spacing w:after="0"/>
        <w:tabs>
          <w:tab w:leader="none" w:pos="144" w:val="left"/>
        </w:tabs>
        <w:numPr>
          <w:ilvl w:val="0"/>
          <w:numId w:val="391"/>
        </w:numPr>
        <w:rPr>
          <w:rFonts w:ascii="Arial" w:cs="Arial" w:eastAsia="Arial" w:hAnsi="Arial"/>
          <w:sz w:val="16"/>
          <w:szCs w:val="16"/>
          <w:color w:val="auto"/>
        </w:rPr>
      </w:pPr>
      <w:r>
        <w:rPr>
          <w:rFonts w:ascii="Arial" w:cs="Arial" w:eastAsia="Arial" w:hAnsi="Arial"/>
          <w:sz w:val="16"/>
          <w:szCs w:val="16"/>
          <w:color w:val="auto"/>
        </w:rPr>
        <w:t>$17.9 billion for the remainder of the contract term</w:t>
      </w:r>
    </w:p>
    <w:p>
      <w:pPr>
        <w:spacing w:after="0" w:line="128" w:lineRule="exact"/>
        <w:rPr>
          <w:sz w:val="20"/>
          <w:szCs w:val="20"/>
          <w:color w:val="auto"/>
        </w:rPr>
      </w:pPr>
    </w:p>
    <w:p>
      <w:pPr>
        <w:ind w:left="4"/>
        <w:spacing w:after="0" w:line="259" w:lineRule="auto"/>
        <w:rPr>
          <w:sz w:val="20"/>
          <w:szCs w:val="20"/>
          <w:color w:val="auto"/>
        </w:rPr>
      </w:pPr>
      <w:r>
        <w:rPr>
          <w:rFonts w:ascii="Arial" w:cs="Arial" w:eastAsia="Arial" w:hAnsi="Arial"/>
          <w:sz w:val="16"/>
          <w:szCs w:val="16"/>
          <w:color w:val="auto"/>
        </w:rPr>
        <w:t>Minimum payments are based on forward prices of the Southern California border index price, plus an estimated 1 percent escalation per year beyond 2013. Sempra LNG has a contract to sell a portion of the volumes purchased from Tangguh PSC to Mexico’s national electric company, Comisión Federal de Electricidad (CFE) at prices that are based on the Southern California border index price. Sempra LNG also has an agreement with RBS Sempra Commodities for RBS Sempra Commodities to market any volumes purchased from Tangguh PSC that are not sold to the CFE.</w:t>
      </w:r>
    </w:p>
    <w:p>
      <w:pPr>
        <w:spacing w:after="0" w:line="243"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auto"/>
        </w:rPr>
        <w:t>PURCHASED-POWER CONTRACTS</w:t>
      </w:r>
    </w:p>
    <w:p>
      <w:pPr>
        <w:spacing w:after="0" w:line="89" w:lineRule="exact"/>
        <w:rPr>
          <w:sz w:val="20"/>
          <w:szCs w:val="20"/>
          <w:color w:val="auto"/>
        </w:rPr>
      </w:pPr>
    </w:p>
    <w:p>
      <w:pPr>
        <w:ind w:left="4"/>
        <w:spacing w:after="0"/>
        <w:rPr>
          <w:sz w:val="20"/>
          <w:szCs w:val="20"/>
          <w:color w:val="auto"/>
        </w:rPr>
      </w:pPr>
      <w:r>
        <w:rPr>
          <w:rFonts w:ascii="Arial" w:cs="Arial" w:eastAsia="Arial" w:hAnsi="Arial"/>
          <w:sz w:val="15"/>
          <w:szCs w:val="15"/>
          <w:color w:val="auto"/>
        </w:rPr>
        <w:t>For 2009, SDG&amp;E expects to receive 27 percent of its customer power requirements from DWR allocations. The remaining requirements are expected to be met as follows</w:t>
      </w:r>
    </w:p>
    <w:p>
      <w:pPr>
        <w:spacing w:after="0" w:line="56" w:lineRule="exact"/>
        <w:rPr>
          <w:sz w:val="20"/>
          <w:szCs w:val="20"/>
          <w:color w:val="auto"/>
        </w:rPr>
      </w:pPr>
    </w:p>
    <w:p>
      <w:pPr>
        <w:ind w:left="144" w:hanging="144"/>
        <w:spacing w:after="0"/>
        <w:tabs>
          <w:tab w:leader="none" w:pos="144" w:val="left"/>
        </w:tabs>
        <w:numPr>
          <w:ilvl w:val="0"/>
          <w:numId w:val="392"/>
        </w:numPr>
        <w:rPr>
          <w:rFonts w:ascii="Arial" w:cs="Arial" w:eastAsia="Arial" w:hAnsi="Arial"/>
          <w:sz w:val="16"/>
          <w:szCs w:val="16"/>
          <w:color w:val="auto"/>
        </w:rPr>
      </w:pPr>
      <w:r>
        <w:rPr>
          <w:rFonts w:ascii="Arial" w:cs="Arial" w:eastAsia="Arial" w:hAnsi="Arial"/>
          <w:sz w:val="16"/>
          <w:szCs w:val="16"/>
          <w:color w:val="auto"/>
        </w:rPr>
        <w:t>SONGS: 18 percent</w:t>
      </w:r>
    </w:p>
    <w:p>
      <w:pPr>
        <w:spacing w:after="0" w:line="44" w:lineRule="exact"/>
        <w:rPr>
          <w:rFonts w:ascii="Arial" w:cs="Arial" w:eastAsia="Arial" w:hAnsi="Arial"/>
          <w:sz w:val="16"/>
          <w:szCs w:val="16"/>
          <w:color w:val="auto"/>
        </w:rPr>
      </w:pPr>
    </w:p>
    <w:p>
      <w:pPr>
        <w:ind w:left="144" w:hanging="144"/>
        <w:spacing w:after="0"/>
        <w:tabs>
          <w:tab w:leader="none" w:pos="144" w:val="left"/>
        </w:tabs>
        <w:numPr>
          <w:ilvl w:val="0"/>
          <w:numId w:val="392"/>
        </w:numPr>
        <w:rPr>
          <w:rFonts w:ascii="Arial" w:cs="Arial" w:eastAsia="Arial" w:hAnsi="Arial"/>
          <w:sz w:val="16"/>
          <w:szCs w:val="16"/>
          <w:color w:val="auto"/>
        </w:rPr>
      </w:pPr>
      <w:r>
        <w:rPr>
          <w:rFonts w:ascii="Arial" w:cs="Arial" w:eastAsia="Arial" w:hAnsi="Arial"/>
          <w:sz w:val="16"/>
          <w:szCs w:val="16"/>
          <w:color w:val="auto"/>
        </w:rPr>
        <w:t>Long-term contracts: 18 percent (of which 9 percent is provided by renewable energy contracts expiring on various dates through 2025)</w:t>
      </w:r>
    </w:p>
    <w:p>
      <w:pPr>
        <w:spacing w:after="0" w:line="44" w:lineRule="exact"/>
        <w:rPr>
          <w:rFonts w:ascii="Arial" w:cs="Arial" w:eastAsia="Arial" w:hAnsi="Arial"/>
          <w:sz w:val="16"/>
          <w:szCs w:val="16"/>
          <w:color w:val="auto"/>
        </w:rPr>
      </w:pPr>
    </w:p>
    <w:p>
      <w:pPr>
        <w:ind w:left="144" w:hanging="144"/>
        <w:spacing w:after="0"/>
        <w:tabs>
          <w:tab w:leader="none" w:pos="144" w:val="left"/>
        </w:tabs>
        <w:numPr>
          <w:ilvl w:val="0"/>
          <w:numId w:val="392"/>
        </w:numPr>
        <w:rPr>
          <w:rFonts w:ascii="Arial" w:cs="Arial" w:eastAsia="Arial" w:hAnsi="Arial"/>
          <w:sz w:val="16"/>
          <w:szCs w:val="16"/>
          <w:color w:val="auto"/>
        </w:rPr>
      </w:pPr>
      <w:r>
        <w:rPr>
          <w:rFonts w:ascii="Arial" w:cs="Arial" w:eastAsia="Arial" w:hAnsi="Arial"/>
          <w:sz w:val="16"/>
          <w:szCs w:val="16"/>
          <w:color w:val="auto"/>
        </w:rPr>
        <w:t>Other SDG&amp;E-owned generation (including Palomar) and tolling contracts (including OMEC): 22 percent</w:t>
      </w:r>
    </w:p>
    <w:p>
      <w:pPr>
        <w:spacing w:after="0" w:line="44" w:lineRule="exact"/>
        <w:rPr>
          <w:rFonts w:ascii="Arial" w:cs="Arial" w:eastAsia="Arial" w:hAnsi="Arial"/>
          <w:sz w:val="16"/>
          <w:szCs w:val="16"/>
          <w:color w:val="auto"/>
        </w:rPr>
      </w:pPr>
    </w:p>
    <w:p>
      <w:pPr>
        <w:ind w:left="144" w:hanging="144"/>
        <w:spacing w:after="0"/>
        <w:tabs>
          <w:tab w:leader="none" w:pos="144" w:val="left"/>
        </w:tabs>
        <w:numPr>
          <w:ilvl w:val="0"/>
          <w:numId w:val="392"/>
        </w:numPr>
        <w:rPr>
          <w:rFonts w:ascii="Arial" w:cs="Arial" w:eastAsia="Arial" w:hAnsi="Arial"/>
          <w:sz w:val="16"/>
          <w:szCs w:val="16"/>
          <w:color w:val="auto"/>
        </w:rPr>
      </w:pPr>
      <w:r>
        <w:rPr>
          <w:rFonts w:ascii="Arial" w:cs="Arial" w:eastAsia="Arial" w:hAnsi="Arial"/>
          <w:sz w:val="16"/>
          <w:szCs w:val="16"/>
          <w:color w:val="auto"/>
        </w:rPr>
        <w:t>Spot market purchases: 15 percent.</w:t>
      </w:r>
    </w:p>
    <w:p>
      <w:pPr>
        <w:spacing w:after="0" w:line="128" w:lineRule="exact"/>
        <w:rPr>
          <w:sz w:val="20"/>
          <w:szCs w:val="20"/>
          <w:color w:val="auto"/>
        </w:rPr>
      </w:pPr>
    </w:p>
    <w:p>
      <w:pPr>
        <w:ind w:left="4"/>
        <w:spacing w:after="0"/>
        <w:rPr>
          <w:sz w:val="20"/>
          <w:szCs w:val="20"/>
          <w:color w:val="auto"/>
        </w:rPr>
      </w:pPr>
      <w:r>
        <w:rPr>
          <w:rFonts w:ascii="Arial" w:cs="Arial" w:eastAsia="Arial" w:hAnsi="Arial"/>
          <w:sz w:val="16"/>
          <w:szCs w:val="16"/>
          <w:color w:val="auto"/>
        </w:rPr>
        <w:t>The long-term contracts expire on various dates through 2035.</w:t>
      </w:r>
    </w:p>
    <w:p>
      <w:pPr>
        <w:spacing w:after="0" w:line="80" w:lineRule="exact"/>
        <w:rPr>
          <w:sz w:val="20"/>
          <w:szCs w:val="20"/>
          <w:color w:val="auto"/>
        </w:rPr>
      </w:pPr>
    </w:p>
    <w:p>
      <w:pPr>
        <w:ind w:left="4"/>
        <w:spacing w:after="0"/>
        <w:rPr>
          <w:sz w:val="20"/>
          <w:szCs w:val="20"/>
          <w:color w:val="auto"/>
        </w:rPr>
      </w:pPr>
      <w:r>
        <w:rPr>
          <w:rFonts w:ascii="Arial" w:cs="Arial" w:eastAsia="Arial" w:hAnsi="Arial"/>
          <w:sz w:val="16"/>
          <w:szCs w:val="16"/>
          <w:color w:val="auto"/>
        </w:rPr>
        <w:t>At December 31, 2008, the estimated future minimum payments under SDG&amp;E’s long-term purchased-power contracts (not including the DWR allocations) were:</w:t>
      </w:r>
    </w:p>
    <w:p>
      <w:pPr>
        <w:spacing w:after="0" w:line="169" w:lineRule="exact"/>
        <w:rPr>
          <w:sz w:val="20"/>
          <w:szCs w:val="20"/>
          <w:color w:val="auto"/>
        </w:rPr>
      </w:pPr>
    </w:p>
    <w:p>
      <w:pPr>
        <w:ind w:left="2344"/>
        <w:spacing w:after="0"/>
        <w:rPr>
          <w:sz w:val="20"/>
          <w:szCs w:val="20"/>
          <w:color w:val="auto"/>
        </w:rPr>
      </w:pPr>
      <w:r>
        <w:rPr>
          <w:rFonts w:ascii="Arial" w:cs="Arial" w:eastAsia="Arial" w:hAnsi="Arial"/>
          <w:sz w:val="13"/>
          <w:szCs w:val="13"/>
          <w:i w:val="1"/>
          <w:iCs w:val="1"/>
          <w:color w:val="auto"/>
        </w:rPr>
        <w:t>(Dollars in millions)</w:t>
      </w:r>
    </w:p>
    <w:p>
      <w:pPr>
        <w:spacing w:after="0" w:line="16" w:lineRule="exact"/>
        <w:rPr>
          <w:sz w:val="20"/>
          <w:szCs w:val="20"/>
          <w:color w:val="auto"/>
        </w:rPr>
      </w:pPr>
    </w:p>
    <w:tbl>
      <w:tblPr>
        <w:tblLayout w:type="fixed"/>
        <w:tblInd w:w="2324" w:type="dxa"/>
        <w:tblCellMar>
          <w:top w:w="0" w:type="dxa"/>
          <w:left w:w="0" w:type="dxa"/>
          <w:bottom w:w="0" w:type="dxa"/>
          <w:right w:w="0" w:type="dxa"/>
        </w:tblCellMar>
      </w:tblPr>
      <w:tr>
        <w:trPr>
          <w:trHeight w:val="188"/>
        </w:trPr>
        <w:tc>
          <w:tcPr>
            <w:tcW w:w="596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2009</w:t>
            </w:r>
          </w:p>
        </w:tc>
        <w:tc>
          <w:tcPr>
            <w:tcW w:w="24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58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342</w:t>
            </w:r>
          </w:p>
        </w:tc>
      </w:tr>
      <w:tr>
        <w:trPr>
          <w:trHeight w:val="216"/>
        </w:trPr>
        <w:tc>
          <w:tcPr>
            <w:tcW w:w="5960" w:type="dxa"/>
            <w:vAlign w:val="bottom"/>
          </w:tcPr>
          <w:p>
            <w:pPr>
              <w:ind w:left="20"/>
              <w:spacing w:after="0"/>
              <w:rPr>
                <w:sz w:val="20"/>
                <w:szCs w:val="20"/>
                <w:color w:val="auto"/>
              </w:rPr>
            </w:pPr>
            <w:r>
              <w:rPr>
                <w:rFonts w:ascii="Arial" w:cs="Arial" w:eastAsia="Arial" w:hAnsi="Arial"/>
                <w:sz w:val="14"/>
                <w:szCs w:val="14"/>
                <w:color w:val="auto"/>
              </w:rPr>
              <w:t>2010</w:t>
            </w:r>
          </w:p>
        </w:tc>
        <w:tc>
          <w:tcPr>
            <w:tcW w:w="240" w:type="dxa"/>
            <w:vAlign w:val="bottom"/>
          </w:tcPr>
          <w:p>
            <w:pPr>
              <w:spacing w:after="0"/>
              <w:rPr>
                <w:sz w:val="18"/>
                <w:szCs w:val="18"/>
                <w:color w:val="auto"/>
              </w:rPr>
            </w:pPr>
          </w:p>
        </w:tc>
        <w:tc>
          <w:tcPr>
            <w:tcW w:w="580" w:type="dxa"/>
            <w:vAlign w:val="bottom"/>
          </w:tcPr>
          <w:p>
            <w:pPr>
              <w:jc w:val="right"/>
              <w:ind w:right="48"/>
              <w:spacing w:after="0"/>
              <w:rPr>
                <w:sz w:val="20"/>
                <w:szCs w:val="20"/>
                <w:color w:val="auto"/>
              </w:rPr>
            </w:pPr>
            <w:r>
              <w:rPr>
                <w:rFonts w:ascii="Arial" w:cs="Arial" w:eastAsia="Arial" w:hAnsi="Arial"/>
                <w:sz w:val="14"/>
                <w:szCs w:val="14"/>
                <w:color w:val="auto"/>
              </w:rPr>
              <w:t>249</w:t>
            </w:r>
          </w:p>
        </w:tc>
      </w:tr>
      <w:tr>
        <w:trPr>
          <w:trHeight w:val="216"/>
        </w:trPr>
        <w:tc>
          <w:tcPr>
            <w:tcW w:w="5960" w:type="dxa"/>
            <w:vAlign w:val="bottom"/>
          </w:tcPr>
          <w:p>
            <w:pPr>
              <w:ind w:left="20"/>
              <w:spacing w:after="0"/>
              <w:rPr>
                <w:sz w:val="20"/>
                <w:szCs w:val="20"/>
                <w:color w:val="auto"/>
              </w:rPr>
            </w:pPr>
            <w:r>
              <w:rPr>
                <w:rFonts w:ascii="Arial" w:cs="Arial" w:eastAsia="Arial" w:hAnsi="Arial"/>
                <w:sz w:val="14"/>
                <w:szCs w:val="14"/>
                <w:color w:val="auto"/>
              </w:rPr>
              <w:t>2011</w:t>
            </w:r>
          </w:p>
        </w:tc>
        <w:tc>
          <w:tcPr>
            <w:tcW w:w="240" w:type="dxa"/>
            <w:vAlign w:val="bottom"/>
          </w:tcPr>
          <w:p>
            <w:pPr>
              <w:spacing w:after="0"/>
              <w:rPr>
                <w:sz w:val="18"/>
                <w:szCs w:val="18"/>
                <w:color w:val="auto"/>
              </w:rPr>
            </w:pPr>
          </w:p>
        </w:tc>
        <w:tc>
          <w:tcPr>
            <w:tcW w:w="580" w:type="dxa"/>
            <w:vAlign w:val="bottom"/>
          </w:tcPr>
          <w:p>
            <w:pPr>
              <w:jc w:val="right"/>
              <w:ind w:right="48"/>
              <w:spacing w:after="0"/>
              <w:rPr>
                <w:sz w:val="20"/>
                <w:szCs w:val="20"/>
                <w:color w:val="auto"/>
              </w:rPr>
            </w:pPr>
            <w:r>
              <w:rPr>
                <w:rFonts w:ascii="Arial" w:cs="Arial" w:eastAsia="Arial" w:hAnsi="Arial"/>
                <w:sz w:val="14"/>
                <w:szCs w:val="14"/>
                <w:color w:val="auto"/>
              </w:rPr>
              <w:t>252</w:t>
            </w:r>
          </w:p>
        </w:tc>
      </w:tr>
      <w:tr>
        <w:trPr>
          <w:trHeight w:val="216"/>
        </w:trPr>
        <w:tc>
          <w:tcPr>
            <w:tcW w:w="5960" w:type="dxa"/>
            <w:vAlign w:val="bottom"/>
          </w:tcPr>
          <w:p>
            <w:pPr>
              <w:ind w:left="20"/>
              <w:spacing w:after="0"/>
              <w:rPr>
                <w:sz w:val="20"/>
                <w:szCs w:val="20"/>
                <w:color w:val="auto"/>
              </w:rPr>
            </w:pPr>
            <w:r>
              <w:rPr>
                <w:rFonts w:ascii="Arial" w:cs="Arial" w:eastAsia="Arial" w:hAnsi="Arial"/>
                <w:sz w:val="14"/>
                <w:szCs w:val="14"/>
                <w:color w:val="auto"/>
              </w:rPr>
              <w:t>2012</w:t>
            </w:r>
          </w:p>
        </w:tc>
        <w:tc>
          <w:tcPr>
            <w:tcW w:w="240" w:type="dxa"/>
            <w:vAlign w:val="bottom"/>
          </w:tcPr>
          <w:p>
            <w:pPr>
              <w:spacing w:after="0"/>
              <w:rPr>
                <w:sz w:val="18"/>
                <w:szCs w:val="18"/>
                <w:color w:val="auto"/>
              </w:rPr>
            </w:pPr>
          </w:p>
        </w:tc>
        <w:tc>
          <w:tcPr>
            <w:tcW w:w="580" w:type="dxa"/>
            <w:vAlign w:val="bottom"/>
          </w:tcPr>
          <w:p>
            <w:pPr>
              <w:jc w:val="right"/>
              <w:ind w:right="48"/>
              <w:spacing w:after="0"/>
              <w:rPr>
                <w:sz w:val="20"/>
                <w:szCs w:val="20"/>
                <w:color w:val="auto"/>
              </w:rPr>
            </w:pPr>
            <w:r>
              <w:rPr>
                <w:rFonts w:ascii="Arial" w:cs="Arial" w:eastAsia="Arial" w:hAnsi="Arial"/>
                <w:sz w:val="14"/>
                <w:szCs w:val="14"/>
                <w:color w:val="auto"/>
              </w:rPr>
              <w:t>250</w:t>
            </w:r>
          </w:p>
        </w:tc>
      </w:tr>
      <w:tr>
        <w:trPr>
          <w:trHeight w:val="216"/>
        </w:trPr>
        <w:tc>
          <w:tcPr>
            <w:tcW w:w="5960" w:type="dxa"/>
            <w:vAlign w:val="bottom"/>
          </w:tcPr>
          <w:p>
            <w:pPr>
              <w:ind w:left="20"/>
              <w:spacing w:after="0"/>
              <w:rPr>
                <w:sz w:val="20"/>
                <w:szCs w:val="20"/>
                <w:color w:val="auto"/>
              </w:rPr>
            </w:pPr>
            <w:r>
              <w:rPr>
                <w:rFonts w:ascii="Arial" w:cs="Arial" w:eastAsia="Arial" w:hAnsi="Arial"/>
                <w:sz w:val="14"/>
                <w:szCs w:val="14"/>
                <w:color w:val="auto"/>
              </w:rPr>
              <w:t>2013</w:t>
            </w:r>
          </w:p>
        </w:tc>
        <w:tc>
          <w:tcPr>
            <w:tcW w:w="240" w:type="dxa"/>
            <w:vAlign w:val="bottom"/>
          </w:tcPr>
          <w:p>
            <w:pPr>
              <w:spacing w:after="0"/>
              <w:rPr>
                <w:sz w:val="18"/>
                <w:szCs w:val="18"/>
                <w:color w:val="auto"/>
              </w:rPr>
            </w:pPr>
          </w:p>
        </w:tc>
        <w:tc>
          <w:tcPr>
            <w:tcW w:w="580" w:type="dxa"/>
            <w:vAlign w:val="bottom"/>
          </w:tcPr>
          <w:p>
            <w:pPr>
              <w:jc w:val="right"/>
              <w:ind w:right="48"/>
              <w:spacing w:after="0"/>
              <w:rPr>
                <w:sz w:val="20"/>
                <w:szCs w:val="20"/>
                <w:color w:val="auto"/>
              </w:rPr>
            </w:pPr>
            <w:r>
              <w:rPr>
                <w:rFonts w:ascii="Arial" w:cs="Arial" w:eastAsia="Arial" w:hAnsi="Arial"/>
                <w:sz w:val="14"/>
                <w:szCs w:val="14"/>
                <w:color w:val="auto"/>
              </w:rPr>
              <w:t>245</w:t>
            </w:r>
          </w:p>
        </w:tc>
      </w:tr>
      <w:tr>
        <w:trPr>
          <w:trHeight w:val="216"/>
        </w:trPr>
        <w:tc>
          <w:tcPr>
            <w:tcW w:w="5960" w:type="dxa"/>
            <w:vAlign w:val="bottom"/>
          </w:tcPr>
          <w:p>
            <w:pPr>
              <w:ind w:left="20"/>
              <w:spacing w:after="0"/>
              <w:rPr>
                <w:sz w:val="20"/>
                <w:szCs w:val="20"/>
                <w:color w:val="auto"/>
              </w:rPr>
            </w:pPr>
            <w:r>
              <w:rPr>
                <w:rFonts w:ascii="Arial" w:cs="Arial" w:eastAsia="Arial" w:hAnsi="Arial"/>
                <w:sz w:val="14"/>
                <w:szCs w:val="14"/>
                <w:color w:val="auto"/>
              </w:rPr>
              <w:t>Thereafter</w:t>
            </w:r>
          </w:p>
        </w:tc>
        <w:tc>
          <w:tcPr>
            <w:tcW w:w="240" w:type="dxa"/>
            <w:vAlign w:val="bottom"/>
          </w:tcPr>
          <w:p>
            <w:pPr>
              <w:spacing w:after="0"/>
              <w:rPr>
                <w:sz w:val="18"/>
                <w:szCs w:val="18"/>
                <w:color w:val="auto"/>
              </w:rPr>
            </w:pPr>
          </w:p>
        </w:tc>
        <w:tc>
          <w:tcPr>
            <w:tcW w:w="580" w:type="dxa"/>
            <w:vAlign w:val="bottom"/>
          </w:tcPr>
          <w:p>
            <w:pPr>
              <w:jc w:val="right"/>
              <w:ind w:right="48"/>
              <w:spacing w:after="0"/>
              <w:rPr>
                <w:sz w:val="20"/>
                <w:szCs w:val="20"/>
                <w:color w:val="auto"/>
              </w:rPr>
            </w:pPr>
            <w:r>
              <w:rPr>
                <w:rFonts w:ascii="Arial" w:cs="Arial" w:eastAsia="Arial" w:hAnsi="Arial"/>
                <w:sz w:val="14"/>
                <w:szCs w:val="14"/>
                <w:color w:val="auto"/>
              </w:rPr>
              <w:t>1,676</w:t>
            </w:r>
          </w:p>
        </w:tc>
      </w:tr>
      <w:tr>
        <w:trPr>
          <w:trHeight w:val="30"/>
        </w:trPr>
        <w:tc>
          <w:tcPr>
            <w:tcW w:w="59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r>
      <w:tr>
        <w:trPr>
          <w:trHeight w:val="178"/>
        </w:trPr>
        <w:tc>
          <w:tcPr>
            <w:tcW w:w="5960" w:type="dxa"/>
            <w:vAlign w:val="bottom"/>
          </w:tcPr>
          <w:p>
            <w:pPr>
              <w:ind w:left="20"/>
              <w:spacing w:after="0"/>
              <w:rPr>
                <w:sz w:val="20"/>
                <w:szCs w:val="20"/>
                <w:color w:val="auto"/>
              </w:rPr>
            </w:pPr>
            <w:r>
              <w:rPr>
                <w:rFonts w:ascii="Arial" w:cs="Arial" w:eastAsia="Arial" w:hAnsi="Arial"/>
                <w:sz w:val="14"/>
                <w:szCs w:val="14"/>
                <w:color w:val="auto"/>
              </w:rPr>
              <w:t>Total minimum payments*</w:t>
            </w:r>
          </w:p>
        </w:tc>
        <w:tc>
          <w:tcPr>
            <w:tcW w:w="2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580" w:type="dxa"/>
            <w:vAlign w:val="bottom"/>
          </w:tcPr>
          <w:p>
            <w:pPr>
              <w:jc w:val="right"/>
              <w:ind w:right="48"/>
              <w:spacing w:after="0"/>
              <w:rPr>
                <w:sz w:val="20"/>
                <w:szCs w:val="20"/>
                <w:color w:val="auto"/>
              </w:rPr>
            </w:pPr>
            <w:r>
              <w:rPr>
                <w:rFonts w:ascii="Arial" w:cs="Arial" w:eastAsia="Arial" w:hAnsi="Arial"/>
                <w:sz w:val="14"/>
                <w:szCs w:val="14"/>
                <w:color w:val="auto"/>
              </w:rPr>
              <w:t>3,014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1480185</wp:posOffset>
            </wp:positionH>
            <wp:positionV relativeFrom="paragraph">
              <wp:posOffset>19050</wp:posOffset>
            </wp:positionV>
            <wp:extent cx="4302125" cy="2286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4302125" cy="22860"/>
                    </a:xfrm>
                    <a:prstGeom prst="rect">
                      <a:avLst/>
                    </a:prstGeom>
                    <a:noFill/>
                  </pic:spPr>
                </pic:pic>
              </a:graphicData>
            </a:graphic>
          </wp:anchor>
        </w:drawing>
      </w:r>
    </w:p>
    <w:p>
      <w:pPr>
        <w:spacing w:after="0" w:line="50" w:lineRule="exact"/>
        <w:rPr>
          <w:sz w:val="20"/>
          <w:szCs w:val="20"/>
          <w:color w:val="auto"/>
        </w:rPr>
      </w:pPr>
    </w:p>
    <w:p>
      <w:pPr>
        <w:ind w:left="2524" w:hanging="181"/>
        <w:spacing w:after="0"/>
        <w:tabs>
          <w:tab w:leader="none" w:pos="2524" w:val="left"/>
        </w:tabs>
        <w:numPr>
          <w:ilvl w:val="0"/>
          <w:numId w:val="393"/>
        </w:numPr>
        <w:rPr>
          <w:rFonts w:ascii="Arial" w:cs="Arial" w:eastAsia="Arial" w:hAnsi="Arial"/>
          <w:sz w:val="13"/>
          <w:szCs w:val="13"/>
          <w:i w:val="1"/>
          <w:iCs w:val="1"/>
          <w:color w:val="auto"/>
        </w:rPr>
      </w:pPr>
      <w:r>
        <w:rPr>
          <w:rFonts w:ascii="Arial" w:cs="Arial" w:eastAsia="Arial" w:hAnsi="Arial"/>
          <w:sz w:val="13"/>
          <w:szCs w:val="13"/>
          <w:i w:val="1"/>
          <w:iCs w:val="1"/>
          <w:color w:val="auto"/>
        </w:rPr>
        <w:t>Excludes amounts related to OMEC as it is consolidated at SDG&amp;E.</w:t>
      </w:r>
    </w:p>
    <w:p>
      <w:pPr>
        <w:spacing w:after="0" w:line="200" w:lineRule="exact"/>
        <w:rPr>
          <w:sz w:val="20"/>
          <w:szCs w:val="20"/>
          <w:color w:val="auto"/>
        </w:rPr>
      </w:pPr>
    </w:p>
    <w:p>
      <w:pPr>
        <w:spacing w:after="0" w:line="263" w:lineRule="exact"/>
        <w:rPr>
          <w:sz w:val="20"/>
          <w:szCs w:val="20"/>
          <w:color w:val="auto"/>
        </w:rPr>
      </w:pPr>
    </w:p>
    <w:p>
      <w:pPr>
        <w:ind w:left="4"/>
        <w:spacing w:after="0"/>
        <w:rPr>
          <w:sz w:val="20"/>
          <w:szCs w:val="20"/>
          <w:color w:val="auto"/>
        </w:rPr>
      </w:pPr>
      <w:r>
        <w:rPr>
          <w:rFonts w:ascii="Arial" w:cs="Arial" w:eastAsia="Arial" w:hAnsi="Arial"/>
          <w:sz w:val="14"/>
          <w:szCs w:val="14"/>
          <w:color w:val="auto"/>
        </w:rPr>
        <w:t>178</w:t>
      </w:r>
    </w:p>
    <w:p>
      <w:pPr>
        <w:sectPr>
          <w:pgSz w:w="11900" w:h="16838" w:orient="portrait"/>
          <w:cols w:equalWidth="0" w:num="1">
            <w:col w:w="11404"/>
          </w:cols>
          <w:pgMar w:left="236" w:top="728" w:right="259" w:bottom="1440" w:gutter="0" w:footer="0" w:header="0"/>
        </w:sectPr>
      </w:pPr>
    </w:p>
    <w:bookmarkStart w:id="318" w:name="page319"/>
    <w:bookmarkEnd w:id="318"/>
    <w:p>
      <w:pPr>
        <w:ind w:left="4" w:right="20"/>
        <w:spacing w:after="0" w:line="274" w:lineRule="auto"/>
        <w:rPr>
          <w:sz w:val="20"/>
          <w:szCs w:val="20"/>
          <w:color w:val="auto"/>
        </w:rPr>
      </w:pPr>
      <w:r>
        <w:rPr>
          <w:rFonts w:ascii="Arial" w:cs="Arial" w:eastAsia="Arial" w:hAnsi="Arial"/>
          <w:sz w:val="16"/>
          <w:szCs w:val="16"/>
          <w:color w:val="auto"/>
        </w:rPr>
        <w:t>The payments represent capacity charges and minimum energy purchases. SDG&amp;E is required to pay additional amounts for actual purchases of energy that exceed the minimum energy commitments. Excluding DWR-allocated contracts, total payments under the contracts were:</w:t>
      </w:r>
    </w:p>
    <w:p>
      <w:pPr>
        <w:ind w:left="144" w:hanging="144"/>
        <w:spacing w:after="0"/>
        <w:tabs>
          <w:tab w:leader="none" w:pos="144" w:val="left"/>
        </w:tabs>
        <w:numPr>
          <w:ilvl w:val="0"/>
          <w:numId w:val="394"/>
        </w:numPr>
        <w:rPr>
          <w:rFonts w:ascii="Arial" w:cs="Arial" w:eastAsia="Arial" w:hAnsi="Arial"/>
          <w:sz w:val="16"/>
          <w:szCs w:val="16"/>
          <w:color w:val="auto"/>
        </w:rPr>
      </w:pPr>
      <w:r>
        <w:rPr>
          <w:rFonts w:ascii="Arial" w:cs="Arial" w:eastAsia="Arial" w:hAnsi="Arial"/>
          <w:sz w:val="16"/>
          <w:szCs w:val="16"/>
          <w:color w:val="auto"/>
        </w:rPr>
        <w:t>$393 million in 2008</w:t>
      </w:r>
    </w:p>
    <w:p>
      <w:pPr>
        <w:spacing w:after="0" w:line="44" w:lineRule="exact"/>
        <w:rPr>
          <w:rFonts w:ascii="Arial" w:cs="Arial" w:eastAsia="Arial" w:hAnsi="Arial"/>
          <w:sz w:val="16"/>
          <w:szCs w:val="16"/>
          <w:color w:val="auto"/>
        </w:rPr>
      </w:pPr>
    </w:p>
    <w:p>
      <w:pPr>
        <w:ind w:left="144" w:hanging="144"/>
        <w:spacing w:after="0"/>
        <w:tabs>
          <w:tab w:leader="none" w:pos="144" w:val="left"/>
        </w:tabs>
        <w:numPr>
          <w:ilvl w:val="0"/>
          <w:numId w:val="394"/>
        </w:numPr>
        <w:rPr>
          <w:rFonts w:ascii="Arial" w:cs="Arial" w:eastAsia="Arial" w:hAnsi="Arial"/>
          <w:sz w:val="16"/>
          <w:szCs w:val="16"/>
          <w:color w:val="auto"/>
        </w:rPr>
      </w:pPr>
      <w:r>
        <w:rPr>
          <w:rFonts w:ascii="Arial" w:cs="Arial" w:eastAsia="Arial" w:hAnsi="Arial"/>
          <w:sz w:val="16"/>
          <w:szCs w:val="16"/>
          <w:color w:val="auto"/>
        </w:rPr>
        <w:t>$351 million in 2007</w:t>
      </w:r>
    </w:p>
    <w:p>
      <w:pPr>
        <w:spacing w:after="0" w:line="44" w:lineRule="exact"/>
        <w:rPr>
          <w:rFonts w:ascii="Arial" w:cs="Arial" w:eastAsia="Arial" w:hAnsi="Arial"/>
          <w:sz w:val="16"/>
          <w:szCs w:val="16"/>
          <w:color w:val="auto"/>
        </w:rPr>
      </w:pPr>
    </w:p>
    <w:p>
      <w:pPr>
        <w:ind w:left="144" w:hanging="144"/>
        <w:spacing w:after="0"/>
        <w:tabs>
          <w:tab w:leader="none" w:pos="144" w:val="left"/>
        </w:tabs>
        <w:numPr>
          <w:ilvl w:val="0"/>
          <w:numId w:val="394"/>
        </w:numPr>
        <w:rPr>
          <w:rFonts w:ascii="Arial" w:cs="Arial" w:eastAsia="Arial" w:hAnsi="Arial"/>
          <w:sz w:val="16"/>
          <w:szCs w:val="16"/>
          <w:color w:val="auto"/>
        </w:rPr>
      </w:pPr>
      <w:r>
        <w:rPr>
          <w:rFonts w:ascii="Arial" w:cs="Arial" w:eastAsia="Arial" w:hAnsi="Arial"/>
          <w:sz w:val="16"/>
          <w:szCs w:val="16"/>
          <w:color w:val="auto"/>
        </w:rPr>
        <w:t>$344 million in 2006</w:t>
      </w:r>
    </w:p>
    <w:p>
      <w:pPr>
        <w:spacing w:after="0" w:line="276"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auto"/>
        </w:rPr>
        <w:t>LEASES</w:t>
      </w:r>
    </w:p>
    <w:p>
      <w:pPr>
        <w:spacing w:after="0" w:line="89" w:lineRule="exact"/>
        <w:rPr>
          <w:sz w:val="20"/>
          <w:szCs w:val="20"/>
          <w:color w:val="auto"/>
        </w:rPr>
      </w:pPr>
    </w:p>
    <w:p>
      <w:pPr>
        <w:ind w:left="4"/>
        <w:spacing w:after="0" w:line="259" w:lineRule="auto"/>
        <w:rPr>
          <w:sz w:val="20"/>
          <w:szCs w:val="20"/>
          <w:color w:val="auto"/>
        </w:rPr>
      </w:pPr>
      <w:r>
        <w:rPr>
          <w:rFonts w:ascii="Arial" w:cs="Arial" w:eastAsia="Arial" w:hAnsi="Arial"/>
          <w:sz w:val="16"/>
          <w:szCs w:val="16"/>
          <w:color w:val="auto"/>
        </w:rPr>
        <w:t>Sempra Energy, SDG&amp;E, PE and SoCalGas have operating leases on real and personal property expiring at various dates from 2009 to 2045. Certain leases on office facilities contain escalation clauses requiring annual increases in rent ranging from 2 percent to 6 percent at Sempra Energy, 4 percent to 6 percent at SDG&amp;E, and 2 percent to 5 percent at both PE and SoCalGas. The rentals payable under these leases may increase by a fixed amount each year or by a percentage of a base year, and most leases contain extension options that we could exercise.</w:t>
      </w:r>
    </w:p>
    <w:p>
      <w:pPr>
        <w:spacing w:after="0" w:line="47" w:lineRule="exact"/>
        <w:rPr>
          <w:sz w:val="20"/>
          <w:szCs w:val="20"/>
          <w:color w:val="auto"/>
        </w:rPr>
      </w:pPr>
    </w:p>
    <w:p>
      <w:pPr>
        <w:ind w:left="4" w:right="80"/>
        <w:spacing w:after="0" w:line="289" w:lineRule="auto"/>
        <w:rPr>
          <w:sz w:val="20"/>
          <w:szCs w:val="20"/>
          <w:color w:val="auto"/>
        </w:rPr>
      </w:pPr>
      <w:r>
        <w:rPr>
          <w:rFonts w:ascii="Arial" w:cs="Arial" w:eastAsia="Arial" w:hAnsi="Arial"/>
          <w:sz w:val="15"/>
          <w:szCs w:val="15"/>
          <w:color w:val="auto"/>
        </w:rPr>
        <w:t>The Sempra Utilities had a master lease agreement with GE Capital, which was terminated in November 2008 and contained a repayment provision for any outstanding amounts to be repaid within twelve months. At December 31, 2008, these amounts were $38 million and $46 million for SDG&amp;E and SoCalGas, respectively. A new master lease agreement was entered into with RBS Asset Finance, Inc., with an aggregate maximum limit of $100 million combined for the Sempra Utilities.</w:t>
      </w:r>
    </w:p>
    <w:p>
      <w:pPr>
        <w:spacing w:after="0" w:line="26" w:lineRule="exact"/>
        <w:rPr>
          <w:sz w:val="20"/>
          <w:szCs w:val="20"/>
          <w:color w:val="auto"/>
        </w:rPr>
      </w:pPr>
    </w:p>
    <w:p>
      <w:pPr>
        <w:ind w:left="4"/>
        <w:spacing w:after="0"/>
        <w:rPr>
          <w:sz w:val="20"/>
          <w:szCs w:val="20"/>
          <w:color w:val="auto"/>
        </w:rPr>
      </w:pPr>
      <w:r>
        <w:rPr>
          <w:rFonts w:ascii="Arial" w:cs="Arial" w:eastAsia="Arial" w:hAnsi="Arial"/>
          <w:sz w:val="16"/>
          <w:szCs w:val="16"/>
          <w:color w:val="auto"/>
        </w:rPr>
        <w:t>Rent expense totaled:</w:t>
      </w:r>
    </w:p>
    <w:p>
      <w:pPr>
        <w:spacing w:after="0" w:line="349" w:lineRule="exact"/>
        <w:rPr>
          <w:sz w:val="20"/>
          <w:szCs w:val="20"/>
          <w:color w:val="auto"/>
        </w:rPr>
      </w:pPr>
    </w:p>
    <w:tbl>
      <w:tblPr>
        <w:tblLayout w:type="fixed"/>
        <w:tblInd w:w="2504" w:type="dxa"/>
        <w:tblCellMar>
          <w:top w:w="0" w:type="dxa"/>
          <w:left w:w="0" w:type="dxa"/>
          <w:bottom w:w="0" w:type="dxa"/>
          <w:right w:w="0" w:type="dxa"/>
        </w:tblCellMar>
      </w:tblPr>
      <w:tr>
        <w:trPr>
          <w:trHeight w:val="156"/>
        </w:trPr>
        <w:tc>
          <w:tcPr>
            <w:tcW w:w="346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2020" w:type="dxa"/>
            <w:vAlign w:val="bottom"/>
            <w:tcBorders>
              <w:bottom w:val="single" w:sz="8" w:color="auto"/>
            </w:tcBorders>
            <w:gridSpan w:val="4"/>
          </w:tcPr>
          <w:p>
            <w:pPr>
              <w:jc w:val="right"/>
              <w:spacing w:after="0"/>
              <w:rPr>
                <w:sz w:val="20"/>
                <w:szCs w:val="20"/>
                <w:color w:val="auto"/>
              </w:rPr>
            </w:pPr>
            <w:r>
              <w:rPr>
                <w:rFonts w:ascii="Arial" w:cs="Arial" w:eastAsia="Arial" w:hAnsi="Arial"/>
                <w:sz w:val="13"/>
                <w:szCs w:val="13"/>
                <w:color w:val="auto"/>
              </w:rPr>
              <w:t>Years ended December 31,</w:t>
            </w:r>
          </w:p>
        </w:tc>
        <w:tc>
          <w:tcPr>
            <w:tcW w:w="700" w:type="dxa"/>
            <w:vAlign w:val="bottom"/>
            <w:tcBorders>
              <w:bottom w:val="single" w:sz="8" w:color="auto"/>
            </w:tcBorders>
          </w:tcPr>
          <w:p>
            <w:pPr>
              <w:spacing w:after="0"/>
              <w:rPr>
                <w:sz w:val="13"/>
                <w:szCs w:val="13"/>
                <w:color w:val="auto"/>
              </w:rPr>
            </w:pPr>
          </w:p>
        </w:tc>
      </w:tr>
      <w:tr>
        <w:trPr>
          <w:trHeight w:val="175"/>
        </w:trPr>
        <w:tc>
          <w:tcPr>
            <w:tcW w:w="3460" w:type="dxa"/>
            <w:vAlign w:val="bottom"/>
            <w:tcBorders>
              <w:bottom w:val="single" w:sz="8" w:color="auto"/>
            </w:tcBorders>
          </w:tcPr>
          <w:p>
            <w:pPr>
              <w:ind w:left="20"/>
              <w:spacing w:after="0"/>
              <w:rPr>
                <w:sz w:val="20"/>
                <w:szCs w:val="20"/>
                <w:color w:val="auto"/>
              </w:rPr>
            </w:pPr>
            <w:r>
              <w:rPr>
                <w:rFonts w:ascii="Arial" w:cs="Arial" w:eastAsia="Arial" w:hAnsi="Arial"/>
                <w:sz w:val="13"/>
                <w:szCs w:val="13"/>
                <w:i w:val="1"/>
                <w:iCs w:val="1"/>
                <w:color w:val="auto"/>
              </w:rPr>
              <w:t>(Dollars in millions)</w:t>
            </w:r>
          </w:p>
        </w:tc>
        <w:tc>
          <w:tcPr>
            <w:tcW w:w="2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331"/>
              <w:spacing w:after="0"/>
              <w:rPr>
                <w:sz w:val="20"/>
                <w:szCs w:val="20"/>
                <w:color w:val="auto"/>
              </w:rPr>
            </w:pPr>
            <w:r>
              <w:rPr>
                <w:rFonts w:ascii="Arial" w:cs="Arial" w:eastAsia="Arial" w:hAnsi="Arial"/>
                <w:sz w:val="13"/>
                <w:szCs w:val="13"/>
                <w:color w:val="auto"/>
              </w:rPr>
              <w:t>2008</w:t>
            </w:r>
          </w:p>
        </w:tc>
        <w:tc>
          <w:tcPr>
            <w:tcW w:w="2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330"/>
              <w:spacing w:after="0"/>
              <w:rPr>
                <w:sz w:val="20"/>
                <w:szCs w:val="20"/>
                <w:color w:val="auto"/>
              </w:rPr>
            </w:pPr>
            <w:r>
              <w:rPr>
                <w:rFonts w:ascii="Arial" w:cs="Arial" w:eastAsia="Arial" w:hAnsi="Arial"/>
                <w:sz w:val="13"/>
                <w:szCs w:val="13"/>
                <w:color w:val="auto"/>
              </w:rPr>
              <w:t>2007</w:t>
            </w:r>
          </w:p>
        </w:tc>
        <w:tc>
          <w:tcPr>
            <w:tcW w:w="2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310"/>
              <w:spacing w:after="0"/>
              <w:rPr>
                <w:sz w:val="20"/>
                <w:szCs w:val="20"/>
                <w:color w:val="auto"/>
              </w:rPr>
            </w:pPr>
            <w:r>
              <w:rPr>
                <w:rFonts w:ascii="Arial" w:cs="Arial" w:eastAsia="Arial" w:hAnsi="Arial"/>
                <w:sz w:val="13"/>
                <w:szCs w:val="13"/>
                <w:color w:val="auto"/>
              </w:rPr>
              <w:t>2006</w:t>
            </w:r>
          </w:p>
        </w:tc>
      </w:tr>
      <w:tr>
        <w:trPr>
          <w:trHeight w:val="183"/>
        </w:trPr>
        <w:tc>
          <w:tcPr>
            <w:tcW w:w="3460" w:type="dxa"/>
            <w:vAlign w:val="bottom"/>
          </w:tcPr>
          <w:p>
            <w:pPr>
              <w:ind w:left="20"/>
              <w:spacing w:after="0"/>
              <w:rPr>
                <w:sz w:val="20"/>
                <w:szCs w:val="20"/>
                <w:color w:val="auto"/>
              </w:rPr>
            </w:pPr>
            <w:r>
              <w:rPr>
                <w:rFonts w:ascii="Arial" w:cs="Arial" w:eastAsia="Arial" w:hAnsi="Arial"/>
                <w:sz w:val="14"/>
                <w:szCs w:val="14"/>
                <w:color w:val="auto"/>
              </w:rPr>
              <w:t>Sempra Energy Consolidated</w:t>
            </w:r>
          </w:p>
        </w:tc>
        <w:tc>
          <w:tcPr>
            <w:tcW w:w="2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11"/>
              <w:spacing w:after="0"/>
              <w:rPr>
                <w:sz w:val="20"/>
                <w:szCs w:val="20"/>
                <w:color w:val="auto"/>
              </w:rPr>
            </w:pPr>
            <w:r>
              <w:rPr>
                <w:rFonts w:ascii="Arial" w:cs="Arial" w:eastAsia="Arial" w:hAnsi="Arial"/>
                <w:sz w:val="14"/>
                <w:szCs w:val="14"/>
                <w:color w:val="auto"/>
              </w:rPr>
              <w:t>100</w:t>
            </w:r>
          </w:p>
        </w:tc>
        <w:tc>
          <w:tcPr>
            <w:tcW w:w="2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141</w:t>
            </w:r>
          </w:p>
        </w:tc>
        <w:tc>
          <w:tcPr>
            <w:tcW w:w="28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131</w:t>
            </w:r>
          </w:p>
        </w:tc>
      </w:tr>
      <w:tr>
        <w:trPr>
          <w:trHeight w:val="216"/>
        </w:trPr>
        <w:tc>
          <w:tcPr>
            <w:tcW w:w="3460" w:type="dxa"/>
            <w:vAlign w:val="bottom"/>
          </w:tcPr>
          <w:p>
            <w:pPr>
              <w:ind w:left="20"/>
              <w:spacing w:after="0"/>
              <w:rPr>
                <w:sz w:val="20"/>
                <w:szCs w:val="20"/>
                <w:color w:val="auto"/>
              </w:rPr>
            </w:pPr>
            <w:r>
              <w:rPr>
                <w:rFonts w:ascii="Arial" w:cs="Arial" w:eastAsia="Arial" w:hAnsi="Arial"/>
                <w:sz w:val="14"/>
                <w:szCs w:val="14"/>
                <w:color w:val="auto"/>
              </w:rPr>
              <w:t>SDG&amp;E</w:t>
            </w:r>
          </w:p>
        </w:tc>
        <w:tc>
          <w:tcPr>
            <w:tcW w:w="260" w:type="dxa"/>
            <w:vAlign w:val="bottom"/>
          </w:tcPr>
          <w:p>
            <w:pPr>
              <w:spacing w:after="0"/>
              <w:rPr>
                <w:sz w:val="18"/>
                <w:szCs w:val="18"/>
                <w:color w:val="auto"/>
              </w:rPr>
            </w:pPr>
          </w:p>
        </w:tc>
        <w:tc>
          <w:tcPr>
            <w:tcW w:w="760" w:type="dxa"/>
            <w:vAlign w:val="bottom"/>
          </w:tcPr>
          <w:p>
            <w:pPr>
              <w:jc w:val="right"/>
              <w:ind w:right="11"/>
              <w:spacing w:after="0"/>
              <w:rPr>
                <w:sz w:val="20"/>
                <w:szCs w:val="20"/>
                <w:color w:val="auto"/>
              </w:rPr>
            </w:pPr>
            <w:r>
              <w:rPr>
                <w:rFonts w:ascii="Arial" w:cs="Arial" w:eastAsia="Arial" w:hAnsi="Arial"/>
                <w:sz w:val="14"/>
                <w:szCs w:val="14"/>
                <w:color w:val="auto"/>
              </w:rPr>
              <w:t>25</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24</w:t>
            </w:r>
          </w:p>
        </w:tc>
        <w:tc>
          <w:tcPr>
            <w:tcW w:w="2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23</w:t>
            </w:r>
          </w:p>
        </w:tc>
      </w:tr>
      <w:tr>
        <w:trPr>
          <w:trHeight w:val="216"/>
        </w:trPr>
        <w:tc>
          <w:tcPr>
            <w:tcW w:w="3460" w:type="dxa"/>
            <w:vAlign w:val="bottom"/>
          </w:tcPr>
          <w:p>
            <w:pPr>
              <w:ind w:left="20"/>
              <w:spacing w:after="0"/>
              <w:rPr>
                <w:sz w:val="20"/>
                <w:szCs w:val="20"/>
                <w:color w:val="auto"/>
              </w:rPr>
            </w:pPr>
            <w:r>
              <w:rPr>
                <w:rFonts w:ascii="Arial" w:cs="Arial" w:eastAsia="Arial" w:hAnsi="Arial"/>
                <w:sz w:val="14"/>
                <w:szCs w:val="14"/>
                <w:color w:val="auto"/>
              </w:rPr>
              <w:t>PE</w:t>
            </w:r>
          </w:p>
        </w:tc>
        <w:tc>
          <w:tcPr>
            <w:tcW w:w="260" w:type="dxa"/>
            <w:vAlign w:val="bottom"/>
          </w:tcPr>
          <w:p>
            <w:pPr>
              <w:spacing w:after="0"/>
              <w:rPr>
                <w:sz w:val="18"/>
                <w:szCs w:val="18"/>
                <w:color w:val="auto"/>
              </w:rPr>
            </w:pPr>
          </w:p>
        </w:tc>
        <w:tc>
          <w:tcPr>
            <w:tcW w:w="760" w:type="dxa"/>
            <w:vAlign w:val="bottom"/>
          </w:tcPr>
          <w:p>
            <w:pPr>
              <w:jc w:val="right"/>
              <w:ind w:right="11"/>
              <w:spacing w:after="0"/>
              <w:rPr>
                <w:sz w:val="20"/>
                <w:szCs w:val="20"/>
                <w:color w:val="auto"/>
              </w:rPr>
            </w:pPr>
            <w:r>
              <w:rPr>
                <w:rFonts w:ascii="Arial" w:cs="Arial" w:eastAsia="Arial" w:hAnsi="Arial"/>
                <w:sz w:val="14"/>
                <w:szCs w:val="14"/>
                <w:color w:val="auto"/>
              </w:rPr>
              <w:t>65</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68</w:t>
            </w:r>
          </w:p>
        </w:tc>
        <w:tc>
          <w:tcPr>
            <w:tcW w:w="2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62</w:t>
            </w:r>
          </w:p>
        </w:tc>
      </w:tr>
      <w:tr>
        <w:trPr>
          <w:trHeight w:val="250"/>
        </w:trPr>
        <w:tc>
          <w:tcPr>
            <w:tcW w:w="3460" w:type="dxa"/>
            <w:vAlign w:val="bottom"/>
            <w:tcBorders>
              <w:bottom w:val="single" w:sz="8" w:color="DFDFDF"/>
            </w:tcBorders>
          </w:tcPr>
          <w:p>
            <w:pPr>
              <w:ind w:left="20"/>
              <w:spacing w:after="0"/>
              <w:rPr>
                <w:sz w:val="20"/>
                <w:szCs w:val="20"/>
                <w:color w:val="auto"/>
              </w:rPr>
            </w:pPr>
            <w:r>
              <w:rPr>
                <w:rFonts w:ascii="Arial" w:cs="Arial" w:eastAsia="Arial" w:hAnsi="Arial"/>
                <w:sz w:val="14"/>
                <w:szCs w:val="14"/>
                <w:color w:val="auto"/>
              </w:rPr>
              <w:t>SoCalGas</w:t>
            </w:r>
          </w:p>
        </w:tc>
        <w:tc>
          <w:tcPr>
            <w:tcW w:w="260" w:type="dxa"/>
            <w:vAlign w:val="bottom"/>
            <w:tcBorders>
              <w:bottom w:val="single" w:sz="8" w:color="DFDFDF"/>
            </w:tcBorders>
          </w:tcPr>
          <w:p>
            <w:pPr>
              <w:spacing w:after="0"/>
              <w:rPr>
                <w:sz w:val="21"/>
                <w:szCs w:val="21"/>
                <w:color w:val="auto"/>
              </w:rPr>
            </w:pPr>
          </w:p>
        </w:tc>
        <w:tc>
          <w:tcPr>
            <w:tcW w:w="760" w:type="dxa"/>
            <w:vAlign w:val="bottom"/>
            <w:tcBorders>
              <w:bottom w:val="single" w:sz="8" w:color="DFDFDF"/>
            </w:tcBorders>
          </w:tcPr>
          <w:p>
            <w:pPr>
              <w:jc w:val="right"/>
              <w:ind w:right="11"/>
              <w:spacing w:after="0"/>
              <w:rPr>
                <w:sz w:val="20"/>
                <w:szCs w:val="20"/>
                <w:color w:val="auto"/>
              </w:rPr>
            </w:pPr>
            <w:r>
              <w:rPr>
                <w:rFonts w:ascii="Arial" w:cs="Arial" w:eastAsia="Arial" w:hAnsi="Arial"/>
                <w:sz w:val="14"/>
                <w:szCs w:val="14"/>
                <w:color w:val="auto"/>
              </w:rPr>
              <w:t>52</w:t>
            </w:r>
          </w:p>
        </w:tc>
        <w:tc>
          <w:tcPr>
            <w:tcW w:w="220" w:type="dxa"/>
            <w:vAlign w:val="bottom"/>
            <w:tcBorders>
              <w:bottom w:val="single" w:sz="8" w:color="DFDFDF"/>
            </w:tcBorders>
          </w:tcPr>
          <w:p>
            <w:pPr>
              <w:spacing w:after="0"/>
              <w:rPr>
                <w:sz w:val="21"/>
                <w:szCs w:val="21"/>
                <w:color w:val="auto"/>
              </w:rPr>
            </w:pPr>
          </w:p>
        </w:tc>
        <w:tc>
          <w:tcPr>
            <w:tcW w:w="760" w:type="dxa"/>
            <w:vAlign w:val="bottom"/>
            <w:tcBorders>
              <w:bottom w:val="single" w:sz="8" w:color="DFDFDF"/>
            </w:tcBorders>
          </w:tcPr>
          <w:p>
            <w:pPr>
              <w:jc w:val="right"/>
              <w:spacing w:after="0"/>
              <w:rPr>
                <w:sz w:val="20"/>
                <w:szCs w:val="20"/>
                <w:color w:val="auto"/>
              </w:rPr>
            </w:pPr>
            <w:r>
              <w:rPr>
                <w:rFonts w:ascii="Arial" w:cs="Arial" w:eastAsia="Arial" w:hAnsi="Arial"/>
                <w:sz w:val="14"/>
                <w:szCs w:val="14"/>
                <w:color w:val="auto"/>
              </w:rPr>
              <w:t>54</w:t>
            </w:r>
          </w:p>
        </w:tc>
        <w:tc>
          <w:tcPr>
            <w:tcW w:w="280" w:type="dxa"/>
            <w:vAlign w:val="bottom"/>
            <w:tcBorders>
              <w:bottom w:val="single" w:sz="8" w:color="DFDFDF"/>
            </w:tcBorders>
          </w:tcPr>
          <w:p>
            <w:pPr>
              <w:spacing w:after="0"/>
              <w:rPr>
                <w:sz w:val="21"/>
                <w:szCs w:val="21"/>
                <w:color w:val="auto"/>
              </w:rPr>
            </w:pPr>
          </w:p>
        </w:tc>
        <w:tc>
          <w:tcPr>
            <w:tcW w:w="700" w:type="dxa"/>
            <w:vAlign w:val="bottom"/>
            <w:tcBorders>
              <w:bottom w:val="single" w:sz="8" w:color="DFDFDF"/>
            </w:tcBorders>
          </w:tcPr>
          <w:p>
            <w:pPr>
              <w:jc w:val="right"/>
              <w:spacing w:after="0"/>
              <w:rPr>
                <w:sz w:val="20"/>
                <w:szCs w:val="20"/>
                <w:color w:val="auto"/>
              </w:rPr>
            </w:pPr>
            <w:r>
              <w:rPr>
                <w:rFonts w:ascii="Arial" w:cs="Arial" w:eastAsia="Arial" w:hAnsi="Arial"/>
                <w:sz w:val="14"/>
                <w:szCs w:val="14"/>
                <w:color w:val="auto"/>
              </w:rPr>
              <w:t>49</w:t>
            </w:r>
          </w:p>
        </w:tc>
      </w:tr>
    </w:tbl>
    <w:p>
      <w:pPr>
        <w:spacing w:after="0" w:line="180" w:lineRule="exact"/>
        <w:rPr>
          <w:sz w:val="20"/>
          <w:szCs w:val="20"/>
          <w:color w:val="auto"/>
        </w:rPr>
      </w:pPr>
    </w:p>
    <w:p>
      <w:pPr>
        <w:ind w:left="4"/>
        <w:spacing w:after="0"/>
        <w:rPr>
          <w:sz w:val="20"/>
          <w:szCs w:val="20"/>
          <w:color w:val="auto"/>
        </w:rPr>
      </w:pPr>
      <w:r>
        <w:rPr>
          <w:rFonts w:ascii="Arial" w:cs="Arial" w:eastAsia="Arial" w:hAnsi="Arial"/>
          <w:sz w:val="16"/>
          <w:szCs w:val="16"/>
          <w:color w:val="auto"/>
        </w:rPr>
        <w:t>At December 31, 2008, the minimum rental commitments payable in future years under all noncancelable leases were as follows:</w:t>
      </w:r>
    </w:p>
    <w:p>
      <w:pPr>
        <w:spacing w:after="0" w:line="325" w:lineRule="exact"/>
        <w:rPr>
          <w:sz w:val="20"/>
          <w:szCs w:val="20"/>
          <w:color w:val="auto"/>
        </w:rPr>
      </w:pPr>
    </w:p>
    <w:tbl>
      <w:tblPr>
        <w:tblLayout w:type="fixed"/>
        <w:tblInd w:w="2484" w:type="dxa"/>
        <w:tblCellMar>
          <w:top w:w="0" w:type="dxa"/>
          <w:left w:w="0" w:type="dxa"/>
          <w:bottom w:w="0" w:type="dxa"/>
          <w:right w:w="0" w:type="dxa"/>
        </w:tblCellMar>
      </w:tblPr>
      <w:tr>
        <w:trPr>
          <w:trHeight w:val="154"/>
        </w:trPr>
        <w:tc>
          <w:tcPr>
            <w:tcW w:w="3400" w:type="dxa"/>
            <w:vAlign w:val="bottom"/>
          </w:tcPr>
          <w:p>
            <w:pPr>
              <w:spacing w:after="0"/>
              <w:rPr>
                <w:sz w:val="13"/>
                <w:szCs w:val="13"/>
                <w:color w:val="auto"/>
              </w:rPr>
            </w:pPr>
          </w:p>
        </w:tc>
        <w:tc>
          <w:tcPr>
            <w:tcW w:w="900" w:type="dxa"/>
            <w:vAlign w:val="bottom"/>
            <w:gridSpan w:val="2"/>
          </w:tcPr>
          <w:p>
            <w:pPr>
              <w:jc w:val="center"/>
              <w:spacing w:after="0"/>
              <w:rPr>
                <w:sz w:val="20"/>
                <w:szCs w:val="20"/>
                <w:color w:val="auto"/>
              </w:rPr>
            </w:pPr>
            <w:r>
              <w:rPr>
                <w:rFonts w:ascii="Arial" w:cs="Arial" w:eastAsia="Arial" w:hAnsi="Arial"/>
                <w:sz w:val="13"/>
                <w:szCs w:val="13"/>
                <w:color w:val="auto"/>
                <w:w w:val="96"/>
              </w:rPr>
              <w:t>Sempra</w:t>
            </w:r>
          </w:p>
        </w:tc>
        <w:tc>
          <w:tcPr>
            <w:tcW w:w="2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400" w:type="dxa"/>
            <w:vAlign w:val="bottom"/>
            <w:vMerge w:val="restart"/>
          </w:tcPr>
          <w:p>
            <w:pPr>
              <w:spacing w:after="0"/>
              <w:rPr>
                <w:sz w:val="20"/>
                <w:szCs w:val="20"/>
                <w:color w:val="auto"/>
              </w:rPr>
            </w:pPr>
            <w:r>
              <w:rPr>
                <w:rFonts w:ascii="Arial" w:cs="Arial" w:eastAsia="Arial" w:hAnsi="Arial"/>
                <w:sz w:val="13"/>
                <w:szCs w:val="13"/>
                <w:i w:val="1"/>
                <w:iCs w:val="1"/>
                <w:color w:val="auto"/>
              </w:rPr>
              <w:t>(Dollars in millions)</w:t>
            </w:r>
          </w:p>
        </w:tc>
        <w:tc>
          <w:tcPr>
            <w:tcW w:w="900" w:type="dxa"/>
            <w:vAlign w:val="bottom"/>
            <w:gridSpan w:val="2"/>
          </w:tcPr>
          <w:p>
            <w:pPr>
              <w:jc w:val="center"/>
              <w:spacing w:after="0"/>
              <w:rPr>
                <w:sz w:val="20"/>
                <w:szCs w:val="20"/>
                <w:color w:val="auto"/>
              </w:rPr>
            </w:pPr>
            <w:r>
              <w:rPr>
                <w:rFonts w:ascii="Arial" w:cs="Arial" w:eastAsia="Arial" w:hAnsi="Arial"/>
                <w:sz w:val="13"/>
                <w:szCs w:val="13"/>
                <w:color w:val="auto"/>
                <w:w w:val="97"/>
              </w:rPr>
              <w:t>Energy</w:t>
            </w:r>
          </w:p>
        </w:tc>
        <w:tc>
          <w:tcPr>
            <w:tcW w:w="2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3400" w:type="dxa"/>
            <w:vAlign w:val="bottom"/>
            <w:tcBorders>
              <w:bottom w:val="single" w:sz="8" w:color="auto"/>
            </w:tcBorders>
            <w:vMerge w:val="continue"/>
          </w:tcPr>
          <w:p>
            <w:pPr>
              <w:spacing w:after="0"/>
              <w:rPr>
                <w:sz w:val="14"/>
                <w:szCs w:val="14"/>
                <w:color w:val="auto"/>
              </w:rPr>
            </w:pPr>
          </w:p>
        </w:tc>
        <w:tc>
          <w:tcPr>
            <w:tcW w:w="90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color w:val="auto"/>
              </w:rPr>
              <w:t>Consolidated</w:t>
            </w:r>
          </w:p>
        </w:tc>
        <w:tc>
          <w:tcPr>
            <w:tcW w:w="700" w:type="dxa"/>
            <w:vAlign w:val="bottom"/>
            <w:tcBorders>
              <w:bottom w:val="single" w:sz="8" w:color="auto"/>
            </w:tcBorders>
            <w:gridSpan w:val="2"/>
          </w:tcPr>
          <w:p>
            <w:pPr>
              <w:ind w:left="100"/>
              <w:spacing w:after="0"/>
              <w:rPr>
                <w:sz w:val="20"/>
                <w:szCs w:val="20"/>
                <w:color w:val="auto"/>
              </w:rPr>
            </w:pPr>
            <w:r>
              <w:rPr>
                <w:rFonts w:ascii="Arial" w:cs="Arial" w:eastAsia="Arial" w:hAnsi="Arial"/>
                <w:sz w:val="13"/>
                <w:szCs w:val="13"/>
                <w:color w:val="auto"/>
              </w:rPr>
              <w:t>SDG&amp;E</w:t>
            </w:r>
          </w:p>
        </w:tc>
        <w:tc>
          <w:tcPr>
            <w:tcW w:w="26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ind w:right="169"/>
              <w:spacing w:after="0"/>
              <w:rPr>
                <w:sz w:val="20"/>
                <w:szCs w:val="20"/>
                <w:color w:val="auto"/>
              </w:rPr>
            </w:pPr>
            <w:r>
              <w:rPr>
                <w:rFonts w:ascii="Arial" w:cs="Arial" w:eastAsia="Arial" w:hAnsi="Arial"/>
                <w:sz w:val="13"/>
                <w:szCs w:val="13"/>
                <w:color w:val="auto"/>
              </w:rPr>
              <w:t>PE</w:t>
            </w:r>
          </w:p>
        </w:tc>
        <w:tc>
          <w:tcPr>
            <w:tcW w:w="780" w:type="dxa"/>
            <w:vAlign w:val="bottom"/>
            <w:tcBorders>
              <w:bottom w:val="single" w:sz="8" w:color="auto"/>
            </w:tcBorders>
            <w:gridSpan w:val="2"/>
          </w:tcPr>
          <w:p>
            <w:pPr>
              <w:jc w:val="right"/>
              <w:ind w:right="8"/>
              <w:spacing w:after="0"/>
              <w:rPr>
                <w:sz w:val="20"/>
                <w:szCs w:val="20"/>
                <w:color w:val="auto"/>
              </w:rPr>
            </w:pPr>
            <w:r>
              <w:rPr>
                <w:rFonts w:ascii="Arial" w:cs="Arial" w:eastAsia="Arial" w:hAnsi="Arial"/>
                <w:sz w:val="13"/>
                <w:szCs w:val="13"/>
                <w:color w:val="auto"/>
              </w:rPr>
              <w:t>SoCalGas</w:t>
            </w:r>
          </w:p>
        </w:tc>
        <w:tc>
          <w:tcPr>
            <w:tcW w:w="0" w:type="dxa"/>
            <w:vAlign w:val="bottom"/>
          </w:tcPr>
          <w:p>
            <w:pPr>
              <w:spacing w:after="0"/>
              <w:rPr>
                <w:sz w:val="1"/>
                <w:szCs w:val="1"/>
                <w:color w:val="auto"/>
              </w:rPr>
            </w:pPr>
          </w:p>
        </w:tc>
      </w:tr>
      <w:tr>
        <w:trPr>
          <w:trHeight w:val="207"/>
        </w:trPr>
        <w:tc>
          <w:tcPr>
            <w:tcW w:w="3400" w:type="dxa"/>
            <w:vAlign w:val="bottom"/>
          </w:tcPr>
          <w:p>
            <w:pPr>
              <w:spacing w:after="0"/>
              <w:rPr>
                <w:sz w:val="20"/>
                <w:szCs w:val="20"/>
                <w:color w:val="auto"/>
              </w:rPr>
            </w:pPr>
            <w:r>
              <w:rPr>
                <w:rFonts w:ascii="Arial" w:cs="Arial" w:eastAsia="Arial" w:hAnsi="Arial"/>
                <w:sz w:val="14"/>
                <w:szCs w:val="14"/>
                <w:color w:val="auto"/>
              </w:rPr>
              <w:t>2009</w:t>
            </w:r>
          </w:p>
        </w:tc>
        <w:tc>
          <w:tcPr>
            <w:tcW w:w="340" w:type="dxa"/>
            <w:vAlign w:val="bottom"/>
          </w:tcPr>
          <w:p>
            <w:pPr>
              <w:jc w:val="right"/>
              <w:ind w:right="53"/>
              <w:spacing w:after="0"/>
              <w:rPr>
                <w:sz w:val="20"/>
                <w:szCs w:val="20"/>
                <w:color w:val="auto"/>
              </w:rPr>
            </w:pPr>
            <w:r>
              <w:rPr>
                <w:rFonts w:ascii="Arial" w:cs="Arial" w:eastAsia="Arial" w:hAnsi="Arial"/>
                <w:sz w:val="14"/>
                <w:szCs w:val="14"/>
                <w:color w:val="auto"/>
              </w:rPr>
              <w:t>$</w:t>
            </w:r>
          </w:p>
        </w:tc>
        <w:tc>
          <w:tcPr>
            <w:tcW w:w="560" w:type="dxa"/>
            <w:vAlign w:val="bottom"/>
          </w:tcPr>
          <w:p>
            <w:pPr>
              <w:jc w:val="right"/>
              <w:ind w:right="128"/>
              <w:spacing w:after="0"/>
              <w:rPr>
                <w:sz w:val="20"/>
                <w:szCs w:val="20"/>
                <w:color w:val="auto"/>
              </w:rPr>
            </w:pPr>
            <w:r>
              <w:rPr>
                <w:rFonts w:ascii="Arial" w:cs="Arial" w:eastAsia="Arial" w:hAnsi="Arial"/>
                <w:sz w:val="14"/>
                <w:szCs w:val="14"/>
                <w:color w:val="auto"/>
              </w:rPr>
              <w:t>99</w:t>
            </w:r>
          </w:p>
        </w:tc>
        <w:tc>
          <w:tcPr>
            <w:tcW w:w="240" w:type="dxa"/>
            <w:vAlign w:val="bottom"/>
          </w:tcPr>
          <w:p>
            <w:pPr>
              <w:ind w:left="100"/>
              <w:spacing w:after="0"/>
              <w:rPr>
                <w:sz w:val="20"/>
                <w:szCs w:val="20"/>
                <w:color w:val="auto"/>
              </w:rPr>
            </w:pPr>
            <w:r>
              <w:rPr>
                <w:rFonts w:ascii="Arial" w:cs="Arial" w:eastAsia="Arial" w:hAnsi="Arial"/>
                <w:sz w:val="14"/>
                <w:szCs w:val="14"/>
                <w:color w:val="auto"/>
              </w:rPr>
              <w:t>$</w:t>
            </w:r>
          </w:p>
        </w:tc>
        <w:tc>
          <w:tcPr>
            <w:tcW w:w="460" w:type="dxa"/>
            <w:vAlign w:val="bottom"/>
          </w:tcPr>
          <w:p>
            <w:pPr>
              <w:jc w:val="right"/>
              <w:ind w:right="88"/>
              <w:spacing w:after="0"/>
              <w:rPr>
                <w:sz w:val="20"/>
                <w:szCs w:val="20"/>
                <w:color w:val="auto"/>
              </w:rPr>
            </w:pPr>
            <w:r>
              <w:rPr>
                <w:rFonts w:ascii="Arial" w:cs="Arial" w:eastAsia="Arial" w:hAnsi="Arial"/>
                <w:sz w:val="14"/>
                <w:szCs w:val="14"/>
                <w:color w:val="auto"/>
              </w:rPr>
              <w:t>24</w:t>
            </w: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440" w:type="dxa"/>
            <w:vAlign w:val="bottom"/>
          </w:tcPr>
          <w:p>
            <w:pPr>
              <w:jc w:val="right"/>
              <w:ind w:right="29"/>
              <w:spacing w:after="0"/>
              <w:rPr>
                <w:sz w:val="20"/>
                <w:szCs w:val="20"/>
                <w:color w:val="auto"/>
              </w:rPr>
            </w:pPr>
            <w:r>
              <w:rPr>
                <w:rFonts w:ascii="Arial" w:cs="Arial" w:eastAsia="Arial" w:hAnsi="Arial"/>
                <w:sz w:val="14"/>
                <w:szCs w:val="14"/>
                <w:color w:val="auto"/>
              </w:rPr>
              <w:t>60</w:t>
            </w:r>
          </w:p>
        </w:tc>
        <w:tc>
          <w:tcPr>
            <w:tcW w:w="340" w:type="dxa"/>
            <w:vAlign w:val="bottom"/>
          </w:tcPr>
          <w:p>
            <w:pPr>
              <w:jc w:val="right"/>
              <w:spacing w:after="0"/>
              <w:rPr>
                <w:sz w:val="20"/>
                <w:szCs w:val="20"/>
                <w:color w:val="auto"/>
              </w:rPr>
            </w:pPr>
            <w:r>
              <w:rPr>
                <w:rFonts w:ascii="Arial" w:cs="Arial" w:eastAsia="Arial" w:hAnsi="Arial"/>
                <w:sz w:val="14"/>
                <w:szCs w:val="14"/>
                <w:color w:val="auto"/>
              </w:rPr>
              <w:t>$</w:t>
            </w:r>
          </w:p>
        </w:tc>
        <w:tc>
          <w:tcPr>
            <w:tcW w:w="440" w:type="dxa"/>
            <w:vAlign w:val="bottom"/>
          </w:tcPr>
          <w:p>
            <w:pPr>
              <w:jc w:val="right"/>
              <w:ind w:right="68"/>
              <w:spacing w:after="0"/>
              <w:rPr>
                <w:sz w:val="20"/>
                <w:szCs w:val="20"/>
                <w:color w:val="auto"/>
              </w:rPr>
            </w:pPr>
            <w:r>
              <w:rPr>
                <w:rFonts w:ascii="Arial" w:cs="Arial" w:eastAsia="Arial" w:hAnsi="Arial"/>
                <w:sz w:val="14"/>
                <w:szCs w:val="14"/>
                <w:color w:val="auto"/>
              </w:rPr>
              <w:t>47</w:t>
            </w:r>
          </w:p>
        </w:tc>
        <w:tc>
          <w:tcPr>
            <w:tcW w:w="0" w:type="dxa"/>
            <w:vAlign w:val="bottom"/>
          </w:tcPr>
          <w:p>
            <w:pPr>
              <w:spacing w:after="0"/>
              <w:rPr>
                <w:sz w:val="1"/>
                <w:szCs w:val="1"/>
                <w:color w:val="auto"/>
              </w:rPr>
            </w:pPr>
          </w:p>
        </w:tc>
      </w:tr>
      <w:tr>
        <w:trPr>
          <w:trHeight w:val="216"/>
        </w:trPr>
        <w:tc>
          <w:tcPr>
            <w:tcW w:w="3400" w:type="dxa"/>
            <w:vAlign w:val="bottom"/>
          </w:tcPr>
          <w:p>
            <w:pPr>
              <w:spacing w:after="0"/>
              <w:rPr>
                <w:sz w:val="20"/>
                <w:szCs w:val="20"/>
                <w:color w:val="auto"/>
              </w:rPr>
            </w:pPr>
            <w:r>
              <w:rPr>
                <w:rFonts w:ascii="Arial" w:cs="Arial" w:eastAsia="Arial" w:hAnsi="Arial"/>
                <w:sz w:val="14"/>
                <w:szCs w:val="14"/>
                <w:color w:val="auto"/>
              </w:rPr>
              <w:t>2010</w:t>
            </w:r>
          </w:p>
        </w:tc>
        <w:tc>
          <w:tcPr>
            <w:tcW w:w="340" w:type="dxa"/>
            <w:vAlign w:val="bottom"/>
          </w:tcPr>
          <w:p>
            <w:pPr>
              <w:spacing w:after="0"/>
              <w:rPr>
                <w:sz w:val="18"/>
                <w:szCs w:val="18"/>
                <w:color w:val="auto"/>
              </w:rPr>
            </w:pPr>
          </w:p>
        </w:tc>
        <w:tc>
          <w:tcPr>
            <w:tcW w:w="560" w:type="dxa"/>
            <w:vAlign w:val="bottom"/>
          </w:tcPr>
          <w:p>
            <w:pPr>
              <w:jc w:val="right"/>
              <w:ind w:right="128"/>
              <w:spacing w:after="0"/>
              <w:rPr>
                <w:sz w:val="20"/>
                <w:szCs w:val="20"/>
                <w:color w:val="auto"/>
              </w:rPr>
            </w:pPr>
            <w:r>
              <w:rPr>
                <w:rFonts w:ascii="Arial" w:cs="Arial" w:eastAsia="Arial" w:hAnsi="Arial"/>
                <w:sz w:val="14"/>
                <w:szCs w:val="14"/>
                <w:color w:val="auto"/>
              </w:rPr>
              <w:t>98</w:t>
            </w:r>
          </w:p>
        </w:tc>
        <w:tc>
          <w:tcPr>
            <w:tcW w:w="240" w:type="dxa"/>
            <w:vAlign w:val="bottom"/>
          </w:tcPr>
          <w:p>
            <w:pPr>
              <w:spacing w:after="0"/>
              <w:rPr>
                <w:sz w:val="18"/>
                <w:szCs w:val="18"/>
                <w:color w:val="auto"/>
              </w:rPr>
            </w:pPr>
          </w:p>
        </w:tc>
        <w:tc>
          <w:tcPr>
            <w:tcW w:w="460" w:type="dxa"/>
            <w:vAlign w:val="bottom"/>
          </w:tcPr>
          <w:p>
            <w:pPr>
              <w:jc w:val="right"/>
              <w:ind w:right="88"/>
              <w:spacing w:after="0"/>
              <w:rPr>
                <w:sz w:val="20"/>
                <w:szCs w:val="20"/>
                <w:color w:val="auto"/>
              </w:rPr>
            </w:pPr>
            <w:r>
              <w:rPr>
                <w:rFonts w:ascii="Arial" w:cs="Arial" w:eastAsia="Arial" w:hAnsi="Arial"/>
                <w:sz w:val="14"/>
                <w:szCs w:val="14"/>
                <w:color w:val="auto"/>
              </w:rPr>
              <w:t>22</w:t>
            </w:r>
          </w:p>
        </w:tc>
        <w:tc>
          <w:tcPr>
            <w:tcW w:w="260" w:type="dxa"/>
            <w:vAlign w:val="bottom"/>
          </w:tcPr>
          <w:p>
            <w:pPr>
              <w:spacing w:after="0"/>
              <w:rPr>
                <w:sz w:val="18"/>
                <w:szCs w:val="18"/>
                <w:color w:val="auto"/>
              </w:rPr>
            </w:pPr>
          </w:p>
        </w:tc>
        <w:tc>
          <w:tcPr>
            <w:tcW w:w="440" w:type="dxa"/>
            <w:vAlign w:val="bottom"/>
          </w:tcPr>
          <w:p>
            <w:pPr>
              <w:jc w:val="right"/>
              <w:ind w:right="29"/>
              <w:spacing w:after="0"/>
              <w:rPr>
                <w:sz w:val="20"/>
                <w:szCs w:val="20"/>
                <w:color w:val="auto"/>
              </w:rPr>
            </w:pPr>
            <w:r>
              <w:rPr>
                <w:rFonts w:ascii="Arial" w:cs="Arial" w:eastAsia="Arial" w:hAnsi="Arial"/>
                <w:sz w:val="14"/>
                <w:szCs w:val="14"/>
                <w:color w:val="auto"/>
              </w:rPr>
              <w:t>52</w:t>
            </w:r>
          </w:p>
        </w:tc>
        <w:tc>
          <w:tcPr>
            <w:tcW w:w="340" w:type="dxa"/>
            <w:vAlign w:val="bottom"/>
          </w:tcPr>
          <w:p>
            <w:pPr>
              <w:spacing w:after="0"/>
              <w:rPr>
                <w:sz w:val="18"/>
                <w:szCs w:val="18"/>
                <w:color w:val="auto"/>
              </w:rPr>
            </w:pPr>
          </w:p>
        </w:tc>
        <w:tc>
          <w:tcPr>
            <w:tcW w:w="440" w:type="dxa"/>
            <w:vAlign w:val="bottom"/>
          </w:tcPr>
          <w:p>
            <w:pPr>
              <w:jc w:val="right"/>
              <w:ind w:right="68"/>
              <w:spacing w:after="0"/>
              <w:rPr>
                <w:sz w:val="20"/>
                <w:szCs w:val="20"/>
                <w:color w:val="auto"/>
              </w:rPr>
            </w:pPr>
            <w:r>
              <w:rPr>
                <w:rFonts w:ascii="Arial" w:cs="Arial" w:eastAsia="Arial" w:hAnsi="Arial"/>
                <w:sz w:val="14"/>
                <w:szCs w:val="14"/>
                <w:color w:val="auto"/>
              </w:rPr>
              <w:t>46</w:t>
            </w:r>
          </w:p>
        </w:tc>
        <w:tc>
          <w:tcPr>
            <w:tcW w:w="0" w:type="dxa"/>
            <w:vAlign w:val="bottom"/>
          </w:tcPr>
          <w:p>
            <w:pPr>
              <w:spacing w:after="0"/>
              <w:rPr>
                <w:sz w:val="1"/>
                <w:szCs w:val="1"/>
                <w:color w:val="auto"/>
              </w:rPr>
            </w:pPr>
          </w:p>
        </w:tc>
      </w:tr>
      <w:tr>
        <w:trPr>
          <w:trHeight w:val="216"/>
        </w:trPr>
        <w:tc>
          <w:tcPr>
            <w:tcW w:w="3400" w:type="dxa"/>
            <w:vAlign w:val="bottom"/>
          </w:tcPr>
          <w:p>
            <w:pPr>
              <w:spacing w:after="0"/>
              <w:rPr>
                <w:sz w:val="20"/>
                <w:szCs w:val="20"/>
                <w:color w:val="auto"/>
              </w:rPr>
            </w:pPr>
            <w:r>
              <w:rPr>
                <w:rFonts w:ascii="Arial" w:cs="Arial" w:eastAsia="Arial" w:hAnsi="Arial"/>
                <w:sz w:val="14"/>
                <w:szCs w:val="14"/>
                <w:color w:val="auto"/>
              </w:rPr>
              <w:t>2011</w:t>
            </w:r>
          </w:p>
        </w:tc>
        <w:tc>
          <w:tcPr>
            <w:tcW w:w="340" w:type="dxa"/>
            <w:vAlign w:val="bottom"/>
          </w:tcPr>
          <w:p>
            <w:pPr>
              <w:spacing w:after="0"/>
              <w:rPr>
                <w:sz w:val="18"/>
                <w:szCs w:val="18"/>
                <w:color w:val="auto"/>
              </w:rPr>
            </w:pPr>
          </w:p>
        </w:tc>
        <w:tc>
          <w:tcPr>
            <w:tcW w:w="560" w:type="dxa"/>
            <w:vAlign w:val="bottom"/>
          </w:tcPr>
          <w:p>
            <w:pPr>
              <w:jc w:val="right"/>
              <w:ind w:right="128"/>
              <w:spacing w:after="0"/>
              <w:rPr>
                <w:sz w:val="20"/>
                <w:szCs w:val="20"/>
                <w:color w:val="auto"/>
              </w:rPr>
            </w:pPr>
            <w:r>
              <w:rPr>
                <w:rFonts w:ascii="Arial" w:cs="Arial" w:eastAsia="Arial" w:hAnsi="Arial"/>
                <w:sz w:val="14"/>
                <w:szCs w:val="14"/>
                <w:color w:val="auto"/>
              </w:rPr>
              <w:t>83</w:t>
            </w:r>
          </w:p>
        </w:tc>
        <w:tc>
          <w:tcPr>
            <w:tcW w:w="240" w:type="dxa"/>
            <w:vAlign w:val="bottom"/>
          </w:tcPr>
          <w:p>
            <w:pPr>
              <w:spacing w:after="0"/>
              <w:rPr>
                <w:sz w:val="18"/>
                <w:szCs w:val="18"/>
                <w:color w:val="auto"/>
              </w:rPr>
            </w:pPr>
          </w:p>
        </w:tc>
        <w:tc>
          <w:tcPr>
            <w:tcW w:w="460" w:type="dxa"/>
            <w:vAlign w:val="bottom"/>
          </w:tcPr>
          <w:p>
            <w:pPr>
              <w:jc w:val="right"/>
              <w:ind w:right="88"/>
              <w:spacing w:after="0"/>
              <w:rPr>
                <w:sz w:val="20"/>
                <w:szCs w:val="20"/>
                <w:color w:val="auto"/>
              </w:rPr>
            </w:pPr>
            <w:r>
              <w:rPr>
                <w:rFonts w:ascii="Arial" w:cs="Arial" w:eastAsia="Arial" w:hAnsi="Arial"/>
                <w:sz w:val="14"/>
                <w:szCs w:val="14"/>
                <w:color w:val="auto"/>
              </w:rPr>
              <w:t>21</w:t>
            </w:r>
          </w:p>
        </w:tc>
        <w:tc>
          <w:tcPr>
            <w:tcW w:w="260" w:type="dxa"/>
            <w:vAlign w:val="bottom"/>
          </w:tcPr>
          <w:p>
            <w:pPr>
              <w:spacing w:after="0"/>
              <w:rPr>
                <w:sz w:val="18"/>
                <w:szCs w:val="18"/>
                <w:color w:val="auto"/>
              </w:rPr>
            </w:pPr>
          </w:p>
        </w:tc>
        <w:tc>
          <w:tcPr>
            <w:tcW w:w="440" w:type="dxa"/>
            <w:vAlign w:val="bottom"/>
          </w:tcPr>
          <w:p>
            <w:pPr>
              <w:jc w:val="right"/>
              <w:ind w:right="29"/>
              <w:spacing w:after="0"/>
              <w:rPr>
                <w:sz w:val="20"/>
                <w:szCs w:val="20"/>
                <w:color w:val="auto"/>
              </w:rPr>
            </w:pPr>
            <w:r>
              <w:rPr>
                <w:rFonts w:ascii="Arial" w:cs="Arial" w:eastAsia="Arial" w:hAnsi="Arial"/>
                <w:sz w:val="14"/>
                <w:szCs w:val="14"/>
                <w:color w:val="auto"/>
              </w:rPr>
              <w:t>39</w:t>
            </w:r>
          </w:p>
        </w:tc>
        <w:tc>
          <w:tcPr>
            <w:tcW w:w="340" w:type="dxa"/>
            <w:vAlign w:val="bottom"/>
          </w:tcPr>
          <w:p>
            <w:pPr>
              <w:spacing w:after="0"/>
              <w:rPr>
                <w:sz w:val="18"/>
                <w:szCs w:val="18"/>
                <w:color w:val="auto"/>
              </w:rPr>
            </w:pPr>
          </w:p>
        </w:tc>
        <w:tc>
          <w:tcPr>
            <w:tcW w:w="440" w:type="dxa"/>
            <w:vAlign w:val="bottom"/>
          </w:tcPr>
          <w:p>
            <w:pPr>
              <w:jc w:val="right"/>
              <w:ind w:right="68"/>
              <w:spacing w:after="0"/>
              <w:rPr>
                <w:sz w:val="20"/>
                <w:szCs w:val="20"/>
                <w:color w:val="auto"/>
              </w:rPr>
            </w:pPr>
            <w:r>
              <w:rPr>
                <w:rFonts w:ascii="Arial" w:cs="Arial" w:eastAsia="Arial" w:hAnsi="Arial"/>
                <w:sz w:val="14"/>
                <w:szCs w:val="14"/>
                <w:color w:val="auto"/>
              </w:rPr>
              <w:t>39</w:t>
            </w:r>
          </w:p>
        </w:tc>
        <w:tc>
          <w:tcPr>
            <w:tcW w:w="0" w:type="dxa"/>
            <w:vAlign w:val="bottom"/>
          </w:tcPr>
          <w:p>
            <w:pPr>
              <w:spacing w:after="0"/>
              <w:rPr>
                <w:sz w:val="1"/>
                <w:szCs w:val="1"/>
                <w:color w:val="auto"/>
              </w:rPr>
            </w:pPr>
          </w:p>
        </w:tc>
      </w:tr>
      <w:tr>
        <w:trPr>
          <w:trHeight w:val="216"/>
        </w:trPr>
        <w:tc>
          <w:tcPr>
            <w:tcW w:w="3400" w:type="dxa"/>
            <w:vAlign w:val="bottom"/>
          </w:tcPr>
          <w:p>
            <w:pPr>
              <w:spacing w:after="0"/>
              <w:rPr>
                <w:sz w:val="20"/>
                <w:szCs w:val="20"/>
                <w:color w:val="auto"/>
              </w:rPr>
            </w:pPr>
            <w:r>
              <w:rPr>
                <w:rFonts w:ascii="Arial" w:cs="Arial" w:eastAsia="Arial" w:hAnsi="Arial"/>
                <w:sz w:val="14"/>
                <w:szCs w:val="14"/>
                <w:color w:val="auto"/>
              </w:rPr>
              <w:t>2012</w:t>
            </w:r>
          </w:p>
        </w:tc>
        <w:tc>
          <w:tcPr>
            <w:tcW w:w="340" w:type="dxa"/>
            <w:vAlign w:val="bottom"/>
          </w:tcPr>
          <w:p>
            <w:pPr>
              <w:spacing w:after="0"/>
              <w:rPr>
                <w:sz w:val="18"/>
                <w:szCs w:val="18"/>
                <w:color w:val="auto"/>
              </w:rPr>
            </w:pPr>
          </w:p>
        </w:tc>
        <w:tc>
          <w:tcPr>
            <w:tcW w:w="560" w:type="dxa"/>
            <w:vAlign w:val="bottom"/>
          </w:tcPr>
          <w:p>
            <w:pPr>
              <w:jc w:val="right"/>
              <w:ind w:right="128"/>
              <w:spacing w:after="0"/>
              <w:rPr>
                <w:sz w:val="20"/>
                <w:szCs w:val="20"/>
                <w:color w:val="auto"/>
              </w:rPr>
            </w:pPr>
            <w:r>
              <w:rPr>
                <w:rFonts w:ascii="Arial" w:cs="Arial" w:eastAsia="Arial" w:hAnsi="Arial"/>
                <w:sz w:val="14"/>
                <w:szCs w:val="14"/>
                <w:color w:val="auto"/>
              </w:rPr>
              <w:t>51</w:t>
            </w:r>
          </w:p>
        </w:tc>
        <w:tc>
          <w:tcPr>
            <w:tcW w:w="240" w:type="dxa"/>
            <w:vAlign w:val="bottom"/>
          </w:tcPr>
          <w:p>
            <w:pPr>
              <w:spacing w:after="0"/>
              <w:rPr>
                <w:sz w:val="18"/>
                <w:szCs w:val="18"/>
                <w:color w:val="auto"/>
              </w:rPr>
            </w:pPr>
          </w:p>
        </w:tc>
        <w:tc>
          <w:tcPr>
            <w:tcW w:w="460" w:type="dxa"/>
            <w:vAlign w:val="bottom"/>
          </w:tcPr>
          <w:p>
            <w:pPr>
              <w:jc w:val="right"/>
              <w:ind w:right="88"/>
              <w:spacing w:after="0"/>
              <w:rPr>
                <w:sz w:val="20"/>
                <w:szCs w:val="20"/>
                <w:color w:val="auto"/>
              </w:rPr>
            </w:pPr>
            <w:r>
              <w:rPr>
                <w:rFonts w:ascii="Arial" w:cs="Arial" w:eastAsia="Arial" w:hAnsi="Arial"/>
                <w:sz w:val="14"/>
                <w:szCs w:val="14"/>
                <w:color w:val="auto"/>
              </w:rPr>
              <w:t>19</w:t>
            </w:r>
          </w:p>
        </w:tc>
        <w:tc>
          <w:tcPr>
            <w:tcW w:w="260" w:type="dxa"/>
            <w:vAlign w:val="bottom"/>
          </w:tcPr>
          <w:p>
            <w:pPr>
              <w:spacing w:after="0"/>
              <w:rPr>
                <w:sz w:val="18"/>
                <w:szCs w:val="18"/>
                <w:color w:val="auto"/>
              </w:rPr>
            </w:pPr>
          </w:p>
        </w:tc>
        <w:tc>
          <w:tcPr>
            <w:tcW w:w="440" w:type="dxa"/>
            <w:vAlign w:val="bottom"/>
          </w:tcPr>
          <w:p>
            <w:pPr>
              <w:jc w:val="right"/>
              <w:ind w:right="29"/>
              <w:spacing w:after="0"/>
              <w:rPr>
                <w:sz w:val="20"/>
                <w:szCs w:val="20"/>
                <w:color w:val="auto"/>
              </w:rPr>
            </w:pPr>
            <w:r>
              <w:rPr>
                <w:rFonts w:ascii="Arial" w:cs="Arial" w:eastAsia="Arial" w:hAnsi="Arial"/>
                <w:sz w:val="14"/>
                <w:szCs w:val="14"/>
                <w:color w:val="auto"/>
              </w:rPr>
              <w:t>9</w:t>
            </w:r>
          </w:p>
        </w:tc>
        <w:tc>
          <w:tcPr>
            <w:tcW w:w="340" w:type="dxa"/>
            <w:vAlign w:val="bottom"/>
          </w:tcPr>
          <w:p>
            <w:pPr>
              <w:spacing w:after="0"/>
              <w:rPr>
                <w:sz w:val="18"/>
                <w:szCs w:val="18"/>
                <w:color w:val="auto"/>
              </w:rPr>
            </w:pPr>
          </w:p>
        </w:tc>
        <w:tc>
          <w:tcPr>
            <w:tcW w:w="440" w:type="dxa"/>
            <w:vAlign w:val="bottom"/>
          </w:tcPr>
          <w:p>
            <w:pPr>
              <w:jc w:val="right"/>
              <w:ind w:right="68"/>
              <w:spacing w:after="0"/>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216"/>
        </w:trPr>
        <w:tc>
          <w:tcPr>
            <w:tcW w:w="3400" w:type="dxa"/>
            <w:vAlign w:val="bottom"/>
          </w:tcPr>
          <w:p>
            <w:pPr>
              <w:spacing w:after="0"/>
              <w:rPr>
                <w:sz w:val="20"/>
                <w:szCs w:val="20"/>
                <w:color w:val="auto"/>
              </w:rPr>
            </w:pPr>
            <w:r>
              <w:rPr>
                <w:rFonts w:ascii="Arial" w:cs="Arial" w:eastAsia="Arial" w:hAnsi="Arial"/>
                <w:sz w:val="14"/>
                <w:szCs w:val="14"/>
                <w:color w:val="auto"/>
              </w:rPr>
              <w:t>2013</w:t>
            </w:r>
          </w:p>
        </w:tc>
        <w:tc>
          <w:tcPr>
            <w:tcW w:w="340" w:type="dxa"/>
            <w:vAlign w:val="bottom"/>
          </w:tcPr>
          <w:p>
            <w:pPr>
              <w:spacing w:after="0"/>
              <w:rPr>
                <w:sz w:val="18"/>
                <w:szCs w:val="18"/>
                <w:color w:val="auto"/>
              </w:rPr>
            </w:pPr>
          </w:p>
        </w:tc>
        <w:tc>
          <w:tcPr>
            <w:tcW w:w="560" w:type="dxa"/>
            <w:vAlign w:val="bottom"/>
          </w:tcPr>
          <w:p>
            <w:pPr>
              <w:jc w:val="right"/>
              <w:ind w:right="128"/>
              <w:spacing w:after="0"/>
              <w:rPr>
                <w:sz w:val="20"/>
                <w:szCs w:val="20"/>
                <w:color w:val="auto"/>
              </w:rPr>
            </w:pPr>
            <w:r>
              <w:rPr>
                <w:rFonts w:ascii="Arial" w:cs="Arial" w:eastAsia="Arial" w:hAnsi="Arial"/>
                <w:sz w:val="14"/>
                <w:szCs w:val="14"/>
                <w:color w:val="auto"/>
              </w:rPr>
              <w:t>42</w:t>
            </w:r>
          </w:p>
        </w:tc>
        <w:tc>
          <w:tcPr>
            <w:tcW w:w="240" w:type="dxa"/>
            <w:vAlign w:val="bottom"/>
          </w:tcPr>
          <w:p>
            <w:pPr>
              <w:spacing w:after="0"/>
              <w:rPr>
                <w:sz w:val="18"/>
                <w:szCs w:val="18"/>
                <w:color w:val="auto"/>
              </w:rPr>
            </w:pPr>
          </w:p>
        </w:tc>
        <w:tc>
          <w:tcPr>
            <w:tcW w:w="460" w:type="dxa"/>
            <w:vAlign w:val="bottom"/>
          </w:tcPr>
          <w:p>
            <w:pPr>
              <w:jc w:val="right"/>
              <w:ind w:right="88"/>
              <w:spacing w:after="0"/>
              <w:rPr>
                <w:sz w:val="20"/>
                <w:szCs w:val="20"/>
                <w:color w:val="auto"/>
              </w:rPr>
            </w:pPr>
            <w:r>
              <w:rPr>
                <w:rFonts w:ascii="Arial" w:cs="Arial" w:eastAsia="Arial" w:hAnsi="Arial"/>
                <w:sz w:val="14"/>
                <w:szCs w:val="14"/>
                <w:color w:val="auto"/>
              </w:rPr>
              <w:t>16</w:t>
            </w:r>
          </w:p>
        </w:tc>
        <w:tc>
          <w:tcPr>
            <w:tcW w:w="260" w:type="dxa"/>
            <w:vAlign w:val="bottom"/>
          </w:tcPr>
          <w:p>
            <w:pPr>
              <w:spacing w:after="0"/>
              <w:rPr>
                <w:sz w:val="18"/>
                <w:szCs w:val="18"/>
                <w:color w:val="auto"/>
              </w:rPr>
            </w:pPr>
          </w:p>
        </w:tc>
        <w:tc>
          <w:tcPr>
            <w:tcW w:w="440" w:type="dxa"/>
            <w:vAlign w:val="bottom"/>
          </w:tcPr>
          <w:p>
            <w:pPr>
              <w:jc w:val="right"/>
              <w:ind w:right="29"/>
              <w:spacing w:after="0"/>
              <w:rPr>
                <w:sz w:val="20"/>
                <w:szCs w:val="20"/>
                <w:color w:val="auto"/>
              </w:rPr>
            </w:pPr>
            <w:r>
              <w:rPr>
                <w:rFonts w:ascii="Arial" w:cs="Arial" w:eastAsia="Arial" w:hAnsi="Arial"/>
                <w:sz w:val="14"/>
                <w:szCs w:val="14"/>
                <w:color w:val="auto"/>
              </w:rPr>
              <w:t>5</w:t>
            </w:r>
          </w:p>
        </w:tc>
        <w:tc>
          <w:tcPr>
            <w:tcW w:w="340" w:type="dxa"/>
            <w:vAlign w:val="bottom"/>
          </w:tcPr>
          <w:p>
            <w:pPr>
              <w:spacing w:after="0"/>
              <w:rPr>
                <w:sz w:val="18"/>
                <w:szCs w:val="18"/>
                <w:color w:val="auto"/>
              </w:rPr>
            </w:pPr>
          </w:p>
        </w:tc>
        <w:tc>
          <w:tcPr>
            <w:tcW w:w="440" w:type="dxa"/>
            <w:vAlign w:val="bottom"/>
          </w:tcPr>
          <w:p>
            <w:pPr>
              <w:jc w:val="right"/>
              <w:ind w:right="68"/>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222"/>
        </w:trPr>
        <w:tc>
          <w:tcPr>
            <w:tcW w:w="3400" w:type="dxa"/>
            <w:vAlign w:val="bottom"/>
          </w:tcPr>
          <w:p>
            <w:pPr>
              <w:spacing w:after="0"/>
              <w:rPr>
                <w:sz w:val="20"/>
                <w:szCs w:val="20"/>
                <w:color w:val="auto"/>
              </w:rPr>
            </w:pPr>
            <w:r>
              <w:rPr>
                <w:rFonts w:ascii="Arial" w:cs="Arial" w:eastAsia="Arial" w:hAnsi="Arial"/>
                <w:sz w:val="14"/>
                <w:szCs w:val="14"/>
                <w:color w:val="auto"/>
              </w:rPr>
              <w:t>Thereafter</w:t>
            </w:r>
          </w:p>
        </w:tc>
        <w:tc>
          <w:tcPr>
            <w:tcW w:w="3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346</w:t>
            </w:r>
          </w:p>
        </w:tc>
        <w:tc>
          <w:tcPr>
            <w:tcW w:w="24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59</w:t>
            </w:r>
          </w:p>
        </w:tc>
        <w:tc>
          <w:tcPr>
            <w:tcW w:w="26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14</w:t>
            </w:r>
          </w:p>
        </w:tc>
        <w:tc>
          <w:tcPr>
            <w:tcW w:w="34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224"/>
        </w:trPr>
        <w:tc>
          <w:tcPr>
            <w:tcW w:w="34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Total future rental commitments</w:t>
            </w:r>
          </w:p>
        </w:tc>
        <w:tc>
          <w:tcPr>
            <w:tcW w:w="34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719</w:t>
            </w:r>
          </w:p>
        </w:tc>
        <w:tc>
          <w:tcPr>
            <w:tcW w:w="240" w:type="dxa"/>
            <w:vAlign w:val="bottom"/>
            <w:tcBorders>
              <w:bottom w:val="single" w:sz="8" w:color="auto"/>
            </w:tcBorders>
          </w:tcPr>
          <w:p>
            <w:pPr>
              <w:ind w:left="100"/>
              <w:spacing w:after="0"/>
              <w:rPr>
                <w:sz w:val="20"/>
                <w:szCs w:val="20"/>
                <w:color w:val="auto"/>
              </w:rPr>
            </w:pPr>
            <w:r>
              <w:rPr>
                <w:rFonts w:ascii="Arial" w:cs="Arial" w:eastAsia="Arial" w:hAnsi="Arial"/>
                <w:sz w:val="14"/>
                <w:szCs w:val="14"/>
                <w:color w:val="auto"/>
              </w:rPr>
              <w:t>$</w:t>
            </w:r>
          </w:p>
        </w:tc>
        <w:tc>
          <w:tcPr>
            <w:tcW w:w="4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161</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44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179</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4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159</w:t>
            </w:r>
          </w:p>
        </w:tc>
        <w:tc>
          <w:tcPr>
            <w:tcW w:w="0" w:type="dxa"/>
            <w:vAlign w:val="bottom"/>
          </w:tcPr>
          <w:p>
            <w:pPr>
              <w:spacing w:after="0"/>
              <w:rPr>
                <w:sz w:val="1"/>
                <w:szCs w:val="1"/>
                <w:color w:val="auto"/>
              </w:rPr>
            </w:pPr>
          </w:p>
        </w:tc>
      </w:tr>
    </w:tbl>
    <w:p>
      <w:pPr>
        <w:spacing w:after="0" w:line="256"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auto"/>
        </w:rPr>
        <w:t>CONSTRUCTION AND DEVELOPMENT PROJECTS</w:t>
      </w:r>
    </w:p>
    <w:p>
      <w:pPr>
        <w:spacing w:after="0" w:line="89" w:lineRule="exact"/>
        <w:rPr>
          <w:sz w:val="20"/>
          <w:szCs w:val="20"/>
          <w:color w:val="auto"/>
        </w:rPr>
      </w:pPr>
    </w:p>
    <w:p>
      <w:pPr>
        <w:ind w:left="4" w:right="620"/>
        <w:spacing w:after="0" w:line="277" w:lineRule="auto"/>
        <w:rPr>
          <w:sz w:val="20"/>
          <w:szCs w:val="20"/>
          <w:color w:val="auto"/>
        </w:rPr>
      </w:pPr>
      <w:r>
        <w:rPr>
          <w:rFonts w:ascii="Arial" w:cs="Arial" w:eastAsia="Arial" w:hAnsi="Arial"/>
          <w:sz w:val="16"/>
          <w:szCs w:val="16"/>
          <w:color w:val="auto"/>
        </w:rPr>
        <w:t>Sempra Energy has developed or is in the process of constructing various capital projects in the United States and in Mexico. The following is a summary of contractual commitments and contingencies related to the construction projects.</w:t>
      </w:r>
    </w:p>
    <w:p>
      <w:pPr>
        <w:spacing w:after="0" w:line="126" w:lineRule="exact"/>
        <w:rPr>
          <w:sz w:val="20"/>
          <w:szCs w:val="20"/>
          <w:color w:val="auto"/>
        </w:rPr>
      </w:pPr>
    </w:p>
    <w:p>
      <w:pPr>
        <w:ind w:left="4"/>
        <w:spacing w:after="0"/>
        <w:rPr>
          <w:sz w:val="20"/>
          <w:szCs w:val="20"/>
          <w:color w:val="auto"/>
        </w:rPr>
      </w:pPr>
      <w:r>
        <w:rPr>
          <w:rFonts w:ascii="Arial" w:cs="Arial" w:eastAsia="Arial" w:hAnsi="Arial"/>
          <w:sz w:val="18"/>
          <w:szCs w:val="18"/>
          <w:b w:val="1"/>
          <w:bCs w:val="1"/>
          <w:i w:val="1"/>
          <w:iCs w:val="1"/>
          <w:color w:val="auto"/>
        </w:rPr>
        <w:t>SDG&amp;E</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6"/>
          <w:szCs w:val="16"/>
          <w:color w:val="auto"/>
        </w:rPr>
        <w:t>At December 31, 2008, SDG&amp;E has commitments to make payments in 2009 of:</w:t>
      </w:r>
    </w:p>
    <w:p>
      <w:pPr>
        <w:spacing w:after="0" w:line="44" w:lineRule="exact"/>
        <w:rPr>
          <w:sz w:val="20"/>
          <w:szCs w:val="20"/>
          <w:color w:val="auto"/>
        </w:rPr>
      </w:pPr>
    </w:p>
    <w:p>
      <w:pPr>
        <w:ind w:left="4"/>
        <w:spacing w:after="0"/>
        <w:rPr>
          <w:sz w:val="20"/>
          <w:szCs w:val="20"/>
          <w:color w:val="auto"/>
        </w:rPr>
      </w:pPr>
      <w:r>
        <w:rPr>
          <w:rFonts w:ascii="Arial" w:cs="Arial" w:eastAsia="Arial" w:hAnsi="Arial"/>
          <w:sz w:val="16"/>
          <w:szCs w:val="16"/>
          <w:color w:val="auto"/>
        </w:rPr>
        <w:t>§ $48 million for implementation of the Smart Metering Program</w:t>
      </w:r>
    </w:p>
    <w:p>
      <w:pPr>
        <w:spacing w:after="0" w:line="200" w:lineRule="exact"/>
        <w:rPr>
          <w:sz w:val="20"/>
          <w:szCs w:val="20"/>
          <w:color w:val="auto"/>
        </w:rPr>
      </w:pPr>
    </w:p>
    <w:p>
      <w:pPr>
        <w:spacing w:after="0" w:line="269" w:lineRule="exact"/>
        <w:rPr>
          <w:sz w:val="20"/>
          <w:szCs w:val="20"/>
          <w:color w:val="auto"/>
        </w:rPr>
      </w:pPr>
    </w:p>
    <w:p>
      <w:pPr>
        <w:ind w:left="4"/>
        <w:spacing w:after="0"/>
        <w:rPr>
          <w:sz w:val="20"/>
          <w:szCs w:val="20"/>
          <w:color w:val="auto"/>
        </w:rPr>
      </w:pPr>
      <w:r>
        <w:rPr>
          <w:rFonts w:ascii="Arial" w:cs="Arial" w:eastAsia="Arial" w:hAnsi="Arial"/>
          <w:sz w:val="14"/>
          <w:szCs w:val="14"/>
          <w:color w:val="auto"/>
        </w:rPr>
        <w:t>179</w:t>
      </w:r>
    </w:p>
    <w:p>
      <w:pPr>
        <w:sectPr>
          <w:pgSz w:w="11900" w:h="16838" w:orient="portrait"/>
          <w:cols w:equalWidth="0" w:num="1">
            <w:col w:w="11404"/>
          </w:cols>
          <w:pgMar w:left="236" w:top="812" w:right="259" w:bottom="1440" w:gutter="0" w:footer="0" w:header="0"/>
        </w:sectPr>
      </w:pPr>
    </w:p>
    <w:bookmarkStart w:id="319" w:name="page320"/>
    <w:bookmarkEnd w:id="319"/>
    <w:p>
      <w:pPr>
        <w:spacing w:after="0"/>
        <w:rPr>
          <w:sz w:val="20"/>
          <w:szCs w:val="20"/>
          <w:color w:val="auto"/>
        </w:rPr>
      </w:pPr>
      <w:r>
        <w:rPr>
          <w:rFonts w:ascii="Arial" w:cs="Arial" w:eastAsia="Arial" w:hAnsi="Arial"/>
          <w:sz w:val="16"/>
          <w:szCs w:val="16"/>
          <w:color w:val="auto"/>
        </w:rPr>
        <w:t>§ $28 million for replacement of the SONGS steam generators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Sempra Pipelines &amp; Storage</w:t>
      </w:r>
    </w:p>
    <w:p>
      <w:pPr>
        <w:spacing w:after="0" w:line="23" w:lineRule="exact"/>
        <w:rPr>
          <w:sz w:val="20"/>
          <w:szCs w:val="20"/>
          <w:color w:val="auto"/>
        </w:rPr>
      </w:pPr>
    </w:p>
    <w:p>
      <w:pPr>
        <w:ind w:right="220"/>
        <w:spacing w:after="0" w:line="277" w:lineRule="auto"/>
        <w:rPr>
          <w:sz w:val="20"/>
          <w:szCs w:val="20"/>
          <w:color w:val="auto"/>
        </w:rPr>
      </w:pPr>
      <w:r>
        <w:rPr>
          <w:rFonts w:ascii="Arial" w:cs="Arial" w:eastAsia="Arial" w:hAnsi="Arial"/>
          <w:sz w:val="16"/>
          <w:szCs w:val="16"/>
          <w:color w:val="auto"/>
        </w:rPr>
        <w:t>Sempra Pipelines &amp; Storage entered into agreements for the construction of the natural gas storage facilities at Bay Gas and Mississippi Hub. At December 31, 2008, Sempra Pipelines &amp; Storage expects to make payments of $35 million in 2009 under each of these contracts.</w:t>
      </w:r>
    </w:p>
    <w:p>
      <w:pPr>
        <w:spacing w:after="0" w:line="32" w:lineRule="exact"/>
        <w:rPr>
          <w:sz w:val="20"/>
          <w:szCs w:val="20"/>
          <w:color w:val="auto"/>
        </w:rPr>
      </w:pPr>
    </w:p>
    <w:p>
      <w:pPr>
        <w:ind w:right="20"/>
        <w:spacing w:after="0" w:line="255" w:lineRule="auto"/>
        <w:rPr>
          <w:sz w:val="20"/>
          <w:szCs w:val="20"/>
          <w:color w:val="auto"/>
        </w:rPr>
      </w:pPr>
      <w:r>
        <w:rPr>
          <w:rFonts w:ascii="Arial" w:cs="Arial" w:eastAsia="Arial" w:hAnsi="Arial"/>
          <w:sz w:val="16"/>
          <w:szCs w:val="16"/>
          <w:color w:val="auto"/>
        </w:rPr>
        <w:t>Liberty Gas Storage as currently permitted, is a 17 Bcf salt-cavern natural gas storage facility located in Calcasieu Parish, Louisiana. The facility has been under construction by Sempra Pipelines &amp; Storage and its 25-percent partner Proliance Transportation and Storage, LLC. When completed, Liberty will be connected with several interstate pipelines, including the Cameron Interstate Pipeline operated by Sempra Pipelines &amp; Storage, and will connect area LNG regasification terminals to an interstate natural gas transmission system and storage facilities. We estimate the total project cost to be approximately $250 million, and we have expended $204 million through December 31, 2008. Completion of the project has been delayed by subsurface and well-completion problems. If ongoing corrective measures prove to be unsuccessful, the salt-cavern facility may not go into service, or may have reduced capacity when placed in service. In the event that the cavern is abandoned, we may be required to take an impairment charge of up to $65 million after tax.</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Sempra LNG</w:t>
      </w:r>
    </w:p>
    <w:p>
      <w:pPr>
        <w:spacing w:after="0" w:line="23" w:lineRule="exact"/>
        <w:rPr>
          <w:sz w:val="20"/>
          <w:szCs w:val="20"/>
          <w:color w:val="auto"/>
        </w:rPr>
      </w:pPr>
    </w:p>
    <w:p>
      <w:pPr>
        <w:spacing w:after="0" w:line="319" w:lineRule="auto"/>
        <w:rPr>
          <w:sz w:val="20"/>
          <w:szCs w:val="20"/>
          <w:color w:val="auto"/>
        </w:rPr>
      </w:pPr>
      <w:r>
        <w:rPr>
          <w:rFonts w:ascii="Arial" w:cs="Arial" w:eastAsia="Arial" w:hAnsi="Arial"/>
          <w:sz w:val="14"/>
          <w:szCs w:val="14"/>
          <w:color w:val="auto"/>
        </w:rPr>
        <w:t>In August 2005, Sempra LNG entered into an agreement with a group of companies for the construction of the Cameron LNG receipt facility. As of December 31, 2008, Sempra LNG expects to make payments under the contracts of $27 million in 2009. Force majeure and cost overrun claims have been made by some of these companies for additional costs, primarily related to hurricanes. Sempra LNG is currently in negotiations with the companies, and cannot estimate at this time the additional amounts that may be paid.</w:t>
      </w:r>
    </w:p>
    <w:p>
      <w:pPr>
        <w:spacing w:after="0" w:line="7" w:lineRule="exact"/>
        <w:rPr>
          <w:sz w:val="20"/>
          <w:szCs w:val="20"/>
          <w:color w:val="auto"/>
        </w:rPr>
      </w:pPr>
    </w:p>
    <w:p>
      <w:pPr>
        <w:ind w:right="60"/>
        <w:spacing w:after="0" w:line="277" w:lineRule="auto"/>
        <w:rPr>
          <w:sz w:val="20"/>
          <w:szCs w:val="20"/>
          <w:color w:val="auto"/>
        </w:rPr>
      </w:pPr>
      <w:r>
        <w:rPr>
          <w:rFonts w:ascii="Arial" w:cs="Arial" w:eastAsia="Arial" w:hAnsi="Arial"/>
          <w:sz w:val="16"/>
          <w:szCs w:val="16"/>
          <w:color w:val="auto"/>
        </w:rPr>
        <w:t>Sempra LNG has contracted for the construction of the Energía Costa Azul LNG receipt facility, the nitrogen-injection facility and the project's breakwater. As of December 31, 2008, Sempra LNG expects to make payments under the contracts of $39 million in 2009.</w:t>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GUARANTEES</w:t>
      </w:r>
    </w:p>
    <w:p>
      <w:pPr>
        <w:spacing w:after="0" w:line="89" w:lineRule="exact"/>
        <w:rPr>
          <w:sz w:val="20"/>
          <w:szCs w:val="20"/>
          <w:color w:val="auto"/>
        </w:rPr>
      </w:pPr>
    </w:p>
    <w:p>
      <w:pPr>
        <w:spacing w:after="0"/>
        <w:rPr>
          <w:sz w:val="20"/>
          <w:szCs w:val="20"/>
          <w:color w:val="auto"/>
        </w:rPr>
      </w:pPr>
      <w:r>
        <w:rPr>
          <w:rFonts w:ascii="Arial" w:cs="Arial" w:eastAsia="Arial" w:hAnsi="Arial"/>
          <w:sz w:val="16"/>
          <w:szCs w:val="16"/>
          <w:color w:val="auto"/>
        </w:rPr>
        <w:t>Sempra Energy’s guarantees related to RBS Sempra Commodities and Rockies Express are discussed in Note 6.</w:t>
      </w:r>
    </w:p>
    <w:p>
      <w:pPr>
        <w:spacing w:after="0" w:line="80" w:lineRule="exact"/>
        <w:rPr>
          <w:sz w:val="20"/>
          <w:szCs w:val="20"/>
          <w:color w:val="auto"/>
        </w:rPr>
      </w:pPr>
    </w:p>
    <w:p>
      <w:pPr>
        <w:ind w:right="480"/>
        <w:spacing w:after="0" w:line="277" w:lineRule="auto"/>
        <w:rPr>
          <w:sz w:val="20"/>
          <w:szCs w:val="20"/>
          <w:color w:val="auto"/>
        </w:rPr>
      </w:pPr>
      <w:r>
        <w:rPr>
          <w:rFonts w:ascii="Arial" w:cs="Arial" w:eastAsia="Arial" w:hAnsi="Arial"/>
          <w:sz w:val="16"/>
          <w:szCs w:val="16"/>
          <w:color w:val="auto"/>
        </w:rPr>
        <w:t>Sempra Energy has guaranteed $25 million related to debt issued by Chilquinta Energía Finance Co., LLC, an unconsolidated affiliate. The fair value of this guarantee is negligible and the associated performance risk is not significant.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As of December 31, 2008, SDG&amp;E and SoCalGas did not have any outstanding guarantees.</w:t>
      </w:r>
    </w:p>
    <w:p>
      <w:pPr>
        <w:spacing w:after="0" w:line="27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SEMPRA GENERATION'S CONTRACT WITH THE DWR</w:t>
      </w:r>
    </w:p>
    <w:p>
      <w:pPr>
        <w:spacing w:after="0" w:line="89" w:lineRule="exact"/>
        <w:rPr>
          <w:sz w:val="20"/>
          <w:szCs w:val="20"/>
          <w:color w:val="auto"/>
        </w:rPr>
      </w:pPr>
    </w:p>
    <w:p>
      <w:pPr>
        <w:ind w:right="100"/>
        <w:spacing w:after="0" w:line="264" w:lineRule="auto"/>
        <w:rPr>
          <w:sz w:val="20"/>
          <w:szCs w:val="20"/>
          <w:color w:val="auto"/>
        </w:rPr>
      </w:pPr>
      <w:r>
        <w:rPr>
          <w:rFonts w:ascii="Arial" w:cs="Arial" w:eastAsia="Arial" w:hAnsi="Arial"/>
          <w:sz w:val="16"/>
          <w:szCs w:val="16"/>
          <w:color w:val="auto"/>
        </w:rPr>
        <w:t>In May 2001, Sempra Generation entered into a ten-year agreement with the DWR to supply up to 1,900 MW of power to California. Sempra Generation delivers energy to the DWR, primarily from its portfolio of natural gas-fired plants in the western United States and Baja California, Mexico. Additional information concerning this contract is provided under "Legal Proceedings - DWR Contract" above.</w:t>
      </w:r>
    </w:p>
    <w:p>
      <w:pPr>
        <w:spacing w:after="0" w:line="23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DEPARTMENT OF ENERGY NUCLEAR FUEL DISPOSAL</w:t>
      </w:r>
    </w:p>
    <w:p>
      <w:pPr>
        <w:spacing w:after="0" w:line="89" w:lineRule="exact"/>
        <w:rPr>
          <w:sz w:val="20"/>
          <w:szCs w:val="20"/>
          <w:color w:val="auto"/>
        </w:rPr>
      </w:pPr>
    </w:p>
    <w:p>
      <w:pPr>
        <w:ind w:right="100"/>
        <w:spacing w:after="0" w:line="264" w:lineRule="auto"/>
        <w:rPr>
          <w:sz w:val="20"/>
          <w:szCs w:val="20"/>
          <w:color w:val="auto"/>
        </w:rPr>
      </w:pPr>
      <w:r>
        <w:rPr>
          <w:rFonts w:ascii="Arial" w:cs="Arial" w:eastAsia="Arial" w:hAnsi="Arial"/>
          <w:sz w:val="16"/>
          <w:szCs w:val="16"/>
          <w:color w:val="auto"/>
        </w:rPr>
        <w:t>The Nuclear Waste Policy Act of 1982 made the DOE responsible for the disposal of spent nuclear fuel. However, it is uncertain when the DOE will begin accepting spent nuclear fuel from SONGS. This delay will lead to increased costs for spent fuel storage. This cost will be recovered through SONGS revenue unless SDG&amp;E is able to recover the increased cost from the federal government.</w:t>
      </w: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14"/>
          <w:szCs w:val="14"/>
          <w:color w:val="auto"/>
        </w:rPr>
        <w:t>180</w:t>
      </w:r>
    </w:p>
    <w:p>
      <w:pPr>
        <w:sectPr>
          <w:pgSz w:w="11900" w:h="16838" w:orient="portrait"/>
          <w:cols w:equalWidth="0" w:num="1">
            <w:col w:w="11340"/>
          </w:cols>
          <w:pgMar w:left="240" w:top="127" w:right="319" w:bottom="1440" w:gutter="0" w:footer="0" w:header="0"/>
        </w:sectPr>
      </w:pPr>
    </w:p>
    <w:bookmarkStart w:id="320" w:name="page321"/>
    <w:bookmarkEnd w:id="320"/>
    <w:p>
      <w:pPr>
        <w:spacing w:after="0"/>
        <w:rPr>
          <w:sz w:val="20"/>
          <w:szCs w:val="20"/>
          <w:color w:val="auto"/>
        </w:rPr>
      </w:pPr>
      <w:r>
        <w:rPr>
          <w:rFonts w:ascii="Arial" w:cs="Arial" w:eastAsia="Arial" w:hAnsi="Arial"/>
          <w:sz w:val="16"/>
          <w:szCs w:val="16"/>
          <w:b w:val="1"/>
          <w:bCs w:val="1"/>
          <w:color w:val="auto"/>
        </w:rPr>
        <w:t>ENVIRONMENTAL ISSUES</w:t>
      </w:r>
    </w:p>
    <w:p>
      <w:pPr>
        <w:spacing w:after="0" w:line="89" w:lineRule="exact"/>
        <w:rPr>
          <w:sz w:val="20"/>
          <w:szCs w:val="20"/>
          <w:color w:val="auto"/>
        </w:rPr>
      </w:pPr>
    </w:p>
    <w:p>
      <w:pPr>
        <w:ind w:right="380"/>
        <w:spacing w:after="0" w:line="259" w:lineRule="auto"/>
        <w:rPr>
          <w:sz w:val="20"/>
          <w:szCs w:val="20"/>
          <w:color w:val="auto"/>
        </w:rPr>
      </w:pPr>
      <w:r>
        <w:rPr>
          <w:rFonts w:ascii="Arial" w:cs="Arial" w:eastAsia="Arial" w:hAnsi="Arial"/>
          <w:sz w:val="16"/>
          <w:szCs w:val="16"/>
          <w:color w:val="auto"/>
        </w:rPr>
        <w:t>Our operations are subject to federal, state and local environmental laws. We also are subject to regulations related to hazardous wastes, air and water quality, land use, solid waste disposal and the protection of wildlife. These laws and regulations require that we investigate and correct the effects of the release or disposal of materials at sites associated with our past and our present operations. These sites include those at which we have been identified as a Potentially Responsible Party (PRP) under the federal Superfund laws and similar state laws.</w:t>
      </w:r>
    </w:p>
    <w:p>
      <w:pPr>
        <w:spacing w:after="0" w:line="47" w:lineRule="exact"/>
        <w:rPr>
          <w:sz w:val="20"/>
          <w:szCs w:val="20"/>
          <w:color w:val="auto"/>
        </w:rPr>
      </w:pPr>
    </w:p>
    <w:p>
      <w:pPr>
        <w:ind w:right="540"/>
        <w:spacing w:after="0" w:line="257" w:lineRule="auto"/>
        <w:rPr>
          <w:sz w:val="20"/>
          <w:szCs w:val="20"/>
          <w:color w:val="auto"/>
        </w:rPr>
      </w:pPr>
      <w:r>
        <w:rPr>
          <w:rFonts w:ascii="Arial" w:cs="Arial" w:eastAsia="Arial" w:hAnsi="Arial"/>
          <w:sz w:val="16"/>
          <w:szCs w:val="16"/>
          <w:color w:val="auto"/>
        </w:rPr>
        <w:t>In addition, we are required to obtain numerous governmental permits, licenses and other approvals to construct facilities and operate our businesses. The related costs of environmental monitoring, pollution control equipment, cleanup costs, and emissions fees are significant. Increasing national and international concerns regarding global warming and mercury, carbon dioxide, nitrogen oxide and sulfur dioxide emissions could result in requirements for additional pollution control equipment or significant emissions fees or taxes that could adversely affect Sempra Generation. The Sempra Utilities' costs to operate their facilities in compliance with these laws and regulations generally have been recovered in customer rates.</w:t>
      </w:r>
    </w:p>
    <w:p>
      <w:pPr>
        <w:spacing w:after="0" w:line="48" w:lineRule="exact"/>
        <w:rPr>
          <w:sz w:val="20"/>
          <w:szCs w:val="20"/>
          <w:color w:val="auto"/>
        </w:rPr>
      </w:pPr>
    </w:p>
    <w:p>
      <w:pPr>
        <w:ind w:right="100"/>
        <w:spacing w:after="0" w:line="351" w:lineRule="auto"/>
        <w:rPr>
          <w:sz w:val="20"/>
          <w:szCs w:val="20"/>
          <w:color w:val="auto"/>
        </w:rPr>
      </w:pPr>
      <w:r>
        <w:rPr>
          <w:rFonts w:ascii="Arial" w:cs="Arial" w:eastAsia="Arial" w:hAnsi="Arial"/>
          <w:sz w:val="14"/>
          <w:szCs w:val="14"/>
          <w:color w:val="auto"/>
        </w:rPr>
        <w:t>We generally capitalize the significant costs we incur to mitigate or prevent future environmental contamination or extend the life, increase the capacity, or improve the safety or efficiency of property used in current operations. The following table shows (in millions) our capital expenditures in order to comply with environmental laws and regulations:</w:t>
      </w:r>
    </w:p>
    <w:p>
      <w:pPr>
        <w:spacing w:after="0" w:line="255" w:lineRule="exact"/>
        <w:rPr>
          <w:sz w:val="20"/>
          <w:szCs w:val="20"/>
          <w:color w:val="auto"/>
        </w:rPr>
      </w:pPr>
    </w:p>
    <w:tbl>
      <w:tblPr>
        <w:tblLayout w:type="fixed"/>
        <w:tblInd w:w="2900" w:type="dxa"/>
        <w:tblCellMar>
          <w:top w:w="0" w:type="dxa"/>
          <w:left w:w="0" w:type="dxa"/>
          <w:bottom w:w="0" w:type="dxa"/>
          <w:right w:w="0" w:type="dxa"/>
        </w:tblCellMar>
      </w:tblPr>
      <w:tr>
        <w:trPr>
          <w:trHeight w:val="159"/>
        </w:trPr>
        <w:tc>
          <w:tcPr>
            <w:tcW w:w="23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700" w:type="dxa"/>
            <w:vAlign w:val="bottom"/>
            <w:tcBorders>
              <w:bottom w:val="single" w:sz="8" w:color="auto"/>
            </w:tcBorders>
            <w:gridSpan w:val="4"/>
          </w:tcPr>
          <w:p>
            <w:pPr>
              <w:jc w:val="right"/>
              <w:spacing w:after="0"/>
              <w:rPr>
                <w:sz w:val="20"/>
                <w:szCs w:val="20"/>
                <w:color w:val="auto"/>
              </w:rPr>
            </w:pPr>
            <w:r>
              <w:rPr>
                <w:rFonts w:ascii="Arial" w:cs="Arial" w:eastAsia="Arial" w:hAnsi="Arial"/>
                <w:sz w:val="13"/>
                <w:szCs w:val="13"/>
                <w:color w:val="auto"/>
              </w:rPr>
              <w:t>Years ended December 31,</w:t>
            </w:r>
          </w:p>
        </w:tc>
        <w:tc>
          <w:tcPr>
            <w:tcW w:w="560" w:type="dxa"/>
            <w:vAlign w:val="bottom"/>
            <w:tcBorders>
              <w:bottom w:val="single" w:sz="8" w:color="auto"/>
            </w:tcBorders>
          </w:tcPr>
          <w:p>
            <w:pPr>
              <w:spacing w:after="0"/>
              <w:rPr>
                <w:sz w:val="13"/>
                <w:szCs w:val="13"/>
                <w:color w:val="auto"/>
              </w:rPr>
            </w:pPr>
          </w:p>
        </w:tc>
      </w:tr>
      <w:tr>
        <w:trPr>
          <w:trHeight w:val="208"/>
        </w:trPr>
        <w:tc>
          <w:tcPr>
            <w:tcW w:w="23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3"/>
                <w:szCs w:val="13"/>
                <w:color w:val="auto"/>
              </w:rPr>
              <w:t>2008</w:t>
            </w:r>
          </w:p>
        </w:tc>
        <w:tc>
          <w:tcPr>
            <w:tcW w:w="34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230"/>
              <w:spacing w:after="0"/>
              <w:rPr>
                <w:sz w:val="20"/>
                <w:szCs w:val="20"/>
                <w:color w:val="auto"/>
              </w:rPr>
            </w:pPr>
            <w:r>
              <w:rPr>
                <w:rFonts w:ascii="Arial" w:cs="Arial" w:eastAsia="Arial" w:hAnsi="Arial"/>
                <w:sz w:val="13"/>
                <w:szCs w:val="13"/>
                <w:color w:val="auto"/>
              </w:rPr>
              <w:t>2007</w:t>
            </w:r>
          </w:p>
        </w:tc>
        <w:tc>
          <w:tcPr>
            <w:tcW w:w="3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ind w:right="130"/>
              <w:spacing w:after="0"/>
              <w:rPr>
                <w:sz w:val="20"/>
                <w:szCs w:val="20"/>
                <w:color w:val="auto"/>
              </w:rPr>
            </w:pPr>
            <w:r>
              <w:rPr>
                <w:rFonts w:ascii="Arial" w:cs="Arial" w:eastAsia="Arial" w:hAnsi="Arial"/>
                <w:sz w:val="13"/>
                <w:szCs w:val="13"/>
                <w:color w:val="auto"/>
              </w:rPr>
              <w:t>2006</w:t>
            </w:r>
          </w:p>
        </w:tc>
      </w:tr>
      <w:tr>
        <w:trPr>
          <w:trHeight w:val="183"/>
        </w:trPr>
        <w:tc>
          <w:tcPr>
            <w:tcW w:w="2340" w:type="dxa"/>
            <w:vAlign w:val="bottom"/>
          </w:tcPr>
          <w:p>
            <w:pPr>
              <w:spacing w:after="0"/>
              <w:rPr>
                <w:sz w:val="20"/>
                <w:szCs w:val="20"/>
                <w:color w:val="auto"/>
              </w:rPr>
            </w:pPr>
            <w:r>
              <w:rPr>
                <w:rFonts w:ascii="Arial" w:cs="Arial" w:eastAsia="Arial" w:hAnsi="Arial"/>
                <w:sz w:val="14"/>
                <w:szCs w:val="14"/>
                <w:color w:val="auto"/>
              </w:rPr>
              <w:t>Sempra Energy Consolidated*</w:t>
            </w:r>
          </w:p>
        </w:tc>
        <w:tc>
          <w:tcPr>
            <w:tcW w:w="500" w:type="dxa"/>
            <w:vAlign w:val="bottom"/>
          </w:tcPr>
          <w:p>
            <w:pPr>
              <w:jc w:val="right"/>
              <w:spacing w:after="0"/>
              <w:rPr>
                <w:sz w:val="20"/>
                <w:szCs w:val="20"/>
                <w:color w:val="auto"/>
              </w:rPr>
            </w:pPr>
            <w:r>
              <w:rPr>
                <w:rFonts w:ascii="Arial" w:cs="Arial" w:eastAsia="Arial" w:hAnsi="Arial"/>
                <w:sz w:val="14"/>
                <w:szCs w:val="14"/>
                <w:color w:val="auto"/>
              </w:rPr>
              <w:t>$</w:t>
            </w:r>
          </w:p>
        </w:tc>
        <w:tc>
          <w:tcPr>
            <w:tcW w:w="540" w:type="dxa"/>
            <w:vAlign w:val="bottom"/>
          </w:tcPr>
          <w:p>
            <w:pPr>
              <w:spacing w:after="0"/>
              <w:rPr>
                <w:sz w:val="15"/>
                <w:szCs w:val="15"/>
                <w:color w:val="auto"/>
              </w:rPr>
            </w:pPr>
          </w:p>
        </w:tc>
        <w:tc>
          <w:tcPr>
            <w:tcW w:w="340" w:type="dxa"/>
            <w:vAlign w:val="bottom"/>
          </w:tcPr>
          <w:p>
            <w:pPr>
              <w:jc w:val="right"/>
              <w:ind w:right="70"/>
              <w:spacing w:after="0"/>
              <w:rPr>
                <w:sz w:val="20"/>
                <w:szCs w:val="20"/>
                <w:color w:val="auto"/>
              </w:rPr>
            </w:pPr>
            <w:r>
              <w:rPr>
                <w:rFonts w:ascii="Arial" w:cs="Arial" w:eastAsia="Arial" w:hAnsi="Arial"/>
                <w:sz w:val="14"/>
                <w:szCs w:val="14"/>
                <w:color w:val="auto"/>
              </w:rPr>
              <w:t>30</w:t>
            </w:r>
          </w:p>
        </w:tc>
        <w:tc>
          <w:tcPr>
            <w:tcW w:w="3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70"/>
              <w:spacing w:after="0"/>
              <w:rPr>
                <w:sz w:val="20"/>
                <w:szCs w:val="20"/>
                <w:color w:val="auto"/>
              </w:rPr>
            </w:pPr>
            <w:r>
              <w:rPr>
                <w:rFonts w:ascii="Arial" w:cs="Arial" w:eastAsia="Arial" w:hAnsi="Arial"/>
                <w:sz w:val="14"/>
                <w:szCs w:val="14"/>
                <w:color w:val="auto"/>
              </w:rPr>
              <w:t>19</w:t>
            </w:r>
          </w:p>
        </w:tc>
        <w:tc>
          <w:tcPr>
            <w:tcW w:w="3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26</w:t>
            </w:r>
          </w:p>
        </w:tc>
      </w:tr>
      <w:tr>
        <w:trPr>
          <w:trHeight w:val="216"/>
        </w:trPr>
        <w:tc>
          <w:tcPr>
            <w:tcW w:w="2340" w:type="dxa"/>
            <w:vAlign w:val="bottom"/>
          </w:tcPr>
          <w:p>
            <w:pPr>
              <w:spacing w:after="0"/>
              <w:rPr>
                <w:sz w:val="20"/>
                <w:szCs w:val="20"/>
                <w:color w:val="auto"/>
              </w:rPr>
            </w:pPr>
            <w:r>
              <w:rPr>
                <w:rFonts w:ascii="Arial" w:cs="Arial" w:eastAsia="Arial" w:hAnsi="Arial"/>
                <w:sz w:val="14"/>
                <w:szCs w:val="14"/>
                <w:color w:val="auto"/>
              </w:rPr>
              <w:t>SDG&amp;E</w:t>
            </w:r>
          </w:p>
        </w:tc>
        <w:tc>
          <w:tcPr>
            <w:tcW w:w="5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jc w:val="right"/>
              <w:ind w:right="70"/>
              <w:spacing w:after="0"/>
              <w:rPr>
                <w:sz w:val="20"/>
                <w:szCs w:val="20"/>
                <w:color w:val="auto"/>
              </w:rPr>
            </w:pPr>
            <w:r>
              <w:rPr>
                <w:rFonts w:ascii="Arial" w:cs="Arial" w:eastAsia="Arial" w:hAnsi="Arial"/>
                <w:sz w:val="14"/>
                <w:szCs w:val="14"/>
                <w:color w:val="auto"/>
              </w:rPr>
              <w:t>18</w:t>
            </w:r>
          </w:p>
        </w:tc>
        <w:tc>
          <w:tcPr>
            <w:tcW w:w="320" w:type="dxa"/>
            <w:vAlign w:val="bottom"/>
          </w:tcPr>
          <w:p>
            <w:pPr>
              <w:spacing w:after="0"/>
              <w:rPr>
                <w:sz w:val="18"/>
                <w:szCs w:val="18"/>
                <w:color w:val="auto"/>
              </w:rPr>
            </w:pPr>
          </w:p>
        </w:tc>
        <w:tc>
          <w:tcPr>
            <w:tcW w:w="680" w:type="dxa"/>
            <w:vAlign w:val="bottom"/>
          </w:tcPr>
          <w:p>
            <w:pPr>
              <w:jc w:val="right"/>
              <w:ind w:right="70"/>
              <w:spacing w:after="0"/>
              <w:rPr>
                <w:sz w:val="20"/>
                <w:szCs w:val="20"/>
                <w:color w:val="auto"/>
              </w:rPr>
            </w:pPr>
            <w:r>
              <w:rPr>
                <w:rFonts w:ascii="Arial" w:cs="Arial" w:eastAsia="Arial" w:hAnsi="Arial"/>
                <w:sz w:val="14"/>
                <w:szCs w:val="14"/>
                <w:color w:val="auto"/>
              </w:rPr>
              <w:t>11</w:t>
            </w:r>
          </w:p>
        </w:tc>
        <w:tc>
          <w:tcPr>
            <w:tcW w:w="3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14</w:t>
            </w:r>
          </w:p>
        </w:tc>
      </w:tr>
      <w:tr>
        <w:trPr>
          <w:trHeight w:val="250"/>
        </w:trPr>
        <w:tc>
          <w:tcPr>
            <w:tcW w:w="2340" w:type="dxa"/>
            <w:vAlign w:val="bottom"/>
            <w:tcBorders>
              <w:bottom w:val="single" w:sz="8" w:color="DFDFDF"/>
            </w:tcBorders>
          </w:tcPr>
          <w:p>
            <w:pPr>
              <w:spacing w:after="0"/>
              <w:rPr>
                <w:sz w:val="20"/>
                <w:szCs w:val="20"/>
                <w:color w:val="auto"/>
              </w:rPr>
            </w:pPr>
            <w:r>
              <w:rPr>
                <w:rFonts w:ascii="Arial" w:cs="Arial" w:eastAsia="Arial" w:hAnsi="Arial"/>
                <w:sz w:val="14"/>
                <w:szCs w:val="14"/>
                <w:color w:val="auto"/>
              </w:rPr>
              <w:t>SoCalGas</w:t>
            </w:r>
          </w:p>
        </w:tc>
        <w:tc>
          <w:tcPr>
            <w:tcW w:w="500" w:type="dxa"/>
            <w:vAlign w:val="bottom"/>
            <w:tcBorders>
              <w:bottom w:val="single" w:sz="8" w:color="DFDFDF"/>
            </w:tcBorders>
          </w:tcPr>
          <w:p>
            <w:pPr>
              <w:spacing w:after="0"/>
              <w:rPr>
                <w:sz w:val="21"/>
                <w:szCs w:val="21"/>
                <w:color w:val="auto"/>
              </w:rPr>
            </w:pPr>
          </w:p>
        </w:tc>
        <w:tc>
          <w:tcPr>
            <w:tcW w:w="540" w:type="dxa"/>
            <w:vAlign w:val="bottom"/>
            <w:tcBorders>
              <w:bottom w:val="single" w:sz="8" w:color="DFDFDF"/>
            </w:tcBorders>
          </w:tcPr>
          <w:p>
            <w:pPr>
              <w:spacing w:after="0"/>
              <w:rPr>
                <w:sz w:val="21"/>
                <w:szCs w:val="21"/>
                <w:color w:val="auto"/>
              </w:rPr>
            </w:pPr>
          </w:p>
        </w:tc>
        <w:tc>
          <w:tcPr>
            <w:tcW w:w="340" w:type="dxa"/>
            <w:vAlign w:val="bottom"/>
            <w:tcBorders>
              <w:bottom w:val="single" w:sz="8" w:color="DFDFDF"/>
            </w:tcBorders>
          </w:tcPr>
          <w:p>
            <w:pPr>
              <w:jc w:val="right"/>
              <w:ind w:right="70"/>
              <w:spacing w:after="0"/>
              <w:rPr>
                <w:sz w:val="20"/>
                <w:szCs w:val="20"/>
                <w:color w:val="auto"/>
              </w:rPr>
            </w:pPr>
            <w:r>
              <w:rPr>
                <w:rFonts w:ascii="Arial" w:cs="Arial" w:eastAsia="Arial" w:hAnsi="Arial"/>
                <w:sz w:val="14"/>
                <w:szCs w:val="14"/>
                <w:color w:val="auto"/>
              </w:rPr>
              <w:t>9</w:t>
            </w:r>
          </w:p>
        </w:tc>
        <w:tc>
          <w:tcPr>
            <w:tcW w:w="320" w:type="dxa"/>
            <w:vAlign w:val="bottom"/>
            <w:tcBorders>
              <w:bottom w:val="single" w:sz="8" w:color="DFDFDF"/>
            </w:tcBorders>
          </w:tcPr>
          <w:p>
            <w:pPr>
              <w:spacing w:after="0"/>
              <w:rPr>
                <w:sz w:val="21"/>
                <w:szCs w:val="21"/>
                <w:color w:val="auto"/>
              </w:rPr>
            </w:pPr>
          </w:p>
        </w:tc>
        <w:tc>
          <w:tcPr>
            <w:tcW w:w="680" w:type="dxa"/>
            <w:vAlign w:val="bottom"/>
            <w:tcBorders>
              <w:bottom w:val="single" w:sz="8" w:color="DFDFDF"/>
            </w:tcBorders>
          </w:tcPr>
          <w:p>
            <w:pPr>
              <w:jc w:val="right"/>
              <w:ind w:right="70"/>
              <w:spacing w:after="0"/>
              <w:rPr>
                <w:sz w:val="20"/>
                <w:szCs w:val="20"/>
                <w:color w:val="auto"/>
              </w:rPr>
            </w:pPr>
            <w:r>
              <w:rPr>
                <w:rFonts w:ascii="Arial" w:cs="Arial" w:eastAsia="Arial" w:hAnsi="Arial"/>
                <w:sz w:val="14"/>
                <w:szCs w:val="14"/>
                <w:color w:val="auto"/>
              </w:rPr>
              <w:t>6</w:t>
            </w:r>
          </w:p>
        </w:tc>
        <w:tc>
          <w:tcPr>
            <w:tcW w:w="360" w:type="dxa"/>
            <w:vAlign w:val="bottom"/>
            <w:tcBorders>
              <w:bottom w:val="single" w:sz="8" w:color="DFDFDF"/>
            </w:tcBorders>
          </w:tcPr>
          <w:p>
            <w:pPr>
              <w:spacing w:after="0"/>
              <w:rPr>
                <w:sz w:val="21"/>
                <w:szCs w:val="21"/>
                <w:color w:val="auto"/>
              </w:rPr>
            </w:pPr>
          </w:p>
        </w:tc>
        <w:tc>
          <w:tcPr>
            <w:tcW w:w="560" w:type="dxa"/>
            <w:vAlign w:val="bottom"/>
            <w:tcBorders>
              <w:bottom w:val="single" w:sz="8" w:color="DFDFDF"/>
            </w:tcBorders>
          </w:tcPr>
          <w:p>
            <w:pPr>
              <w:jc w:val="right"/>
              <w:spacing w:after="0"/>
              <w:rPr>
                <w:sz w:val="20"/>
                <w:szCs w:val="20"/>
                <w:color w:val="auto"/>
              </w:rPr>
            </w:pPr>
            <w:r>
              <w:rPr>
                <w:rFonts w:ascii="Arial" w:cs="Arial" w:eastAsia="Arial" w:hAnsi="Arial"/>
                <w:sz w:val="14"/>
                <w:szCs w:val="14"/>
                <w:color w:val="auto"/>
              </w:rPr>
              <w:t>6</w:t>
            </w:r>
          </w:p>
        </w:tc>
      </w:tr>
    </w:tbl>
    <w:p>
      <w:pPr>
        <w:spacing w:after="0" w:line="16" w:lineRule="exact"/>
        <w:rPr>
          <w:sz w:val="20"/>
          <w:szCs w:val="20"/>
          <w:color w:val="auto"/>
        </w:rPr>
      </w:pPr>
    </w:p>
    <w:p>
      <w:pPr>
        <w:ind w:left="2900"/>
        <w:spacing w:after="0"/>
        <w:rPr>
          <w:sz w:val="20"/>
          <w:szCs w:val="20"/>
          <w:color w:val="auto"/>
        </w:rPr>
      </w:pPr>
      <w:r>
        <w:rPr>
          <w:rFonts w:ascii="Arial" w:cs="Arial" w:eastAsia="Arial" w:hAnsi="Arial"/>
          <w:sz w:val="13"/>
          <w:szCs w:val="13"/>
          <w:i w:val="1"/>
          <w:iCs w:val="1"/>
          <w:color w:val="auto"/>
        </w:rPr>
        <w:t>* In cases of non-wholly owned affiliates, includes only our share.</w:t>
      </w:r>
    </w:p>
    <w:p>
      <w:pPr>
        <w:spacing w:after="0" w:line="206" w:lineRule="exact"/>
        <w:rPr>
          <w:sz w:val="20"/>
          <w:szCs w:val="20"/>
          <w:color w:val="auto"/>
        </w:rPr>
      </w:pPr>
    </w:p>
    <w:p>
      <w:pPr>
        <w:ind w:right="60"/>
        <w:spacing w:after="0" w:line="289" w:lineRule="auto"/>
        <w:rPr>
          <w:sz w:val="20"/>
          <w:szCs w:val="20"/>
          <w:color w:val="auto"/>
        </w:rPr>
      </w:pPr>
      <w:r>
        <w:rPr>
          <w:rFonts w:ascii="Arial" w:cs="Arial" w:eastAsia="Arial" w:hAnsi="Arial"/>
          <w:sz w:val="15"/>
          <w:szCs w:val="15"/>
          <w:color w:val="auto"/>
        </w:rPr>
        <w:t>Increases from 2007 to 2008 are primarily due to SDG&amp;E's spending related to the Sunrise Powerlink and the Miramar II peaking plant, and Sempra LNG's spending related to the Energía Costa Azul LNG receipt terminal. We have not identified any significant environmental issues outside the United States. Over the next five years, SDG&amp;E expects to incur costs of approximately $190 million for environmental mitigation measures associated with the Sunrise Powerlink construction project.</w:t>
      </w:r>
    </w:p>
    <w:p>
      <w:pPr>
        <w:spacing w:after="0" w:line="26" w:lineRule="exact"/>
        <w:rPr>
          <w:sz w:val="20"/>
          <w:szCs w:val="20"/>
          <w:color w:val="auto"/>
        </w:rPr>
      </w:pPr>
    </w:p>
    <w:p>
      <w:pPr>
        <w:ind w:right="40"/>
        <w:spacing w:after="0" w:line="277" w:lineRule="auto"/>
        <w:rPr>
          <w:sz w:val="20"/>
          <w:szCs w:val="20"/>
          <w:color w:val="auto"/>
        </w:rPr>
      </w:pPr>
      <w:r>
        <w:rPr>
          <w:rFonts w:ascii="Arial" w:cs="Arial" w:eastAsia="Arial" w:hAnsi="Arial"/>
          <w:sz w:val="16"/>
          <w:szCs w:val="16"/>
          <w:color w:val="auto"/>
        </w:rPr>
        <w:t>At the Sempra Utilities, costs that relate to current operations or an existing condition caused by past operations are generally recorded as a regulatory asset due to the probability that these costs will be recovered in rates.</w:t>
      </w:r>
    </w:p>
    <w:p>
      <w:pPr>
        <w:spacing w:after="0" w:line="32" w:lineRule="exact"/>
        <w:rPr>
          <w:sz w:val="20"/>
          <w:szCs w:val="20"/>
          <w:color w:val="auto"/>
        </w:rPr>
      </w:pPr>
    </w:p>
    <w:p>
      <w:pPr>
        <w:spacing w:after="0" w:line="257" w:lineRule="auto"/>
        <w:rPr>
          <w:sz w:val="20"/>
          <w:szCs w:val="20"/>
          <w:color w:val="auto"/>
        </w:rPr>
      </w:pPr>
      <w:r>
        <w:rPr>
          <w:rFonts w:ascii="Arial" w:cs="Arial" w:eastAsia="Arial" w:hAnsi="Arial"/>
          <w:sz w:val="16"/>
          <w:szCs w:val="16"/>
          <w:color w:val="auto"/>
        </w:rPr>
        <w:t>The environmental issues currently facing us or resolved during the last three years include 1) investigation and remediation of the Sempra Utilities' manufactured-gas sites, 2) cleanup of third-party waste-disposal sites used by the Sempra Utilities at sites which have been identified as PRPs and 3) mitigation of damage to the marine environment caused by the cooling-water discharge from SONGS. The requirements for enhanced fish protection and restoration of 150 acres of coastal wetlands for the SONGS mitigation are in process and a 150-acre artificial reef was completed in 2008. The table below shows the status at December 31, 2008, of the Sempra Utilities' manufactured-gas sites and the third-party waste-disposal sites identified as PRPs:</w:t>
      </w:r>
    </w:p>
    <w:p>
      <w:pPr>
        <w:spacing w:after="0" w:line="293" w:lineRule="exact"/>
        <w:rPr>
          <w:sz w:val="20"/>
          <w:szCs w:val="20"/>
          <w:color w:val="auto"/>
        </w:rPr>
      </w:pPr>
    </w:p>
    <w:tbl>
      <w:tblPr>
        <w:tblLayout w:type="fixed"/>
        <w:tblInd w:w="2300" w:type="dxa"/>
        <w:tblCellMar>
          <w:top w:w="0" w:type="dxa"/>
          <w:left w:w="0" w:type="dxa"/>
          <w:bottom w:w="0" w:type="dxa"/>
          <w:right w:w="0" w:type="dxa"/>
        </w:tblCellMar>
      </w:tblPr>
      <w:tr>
        <w:trPr>
          <w:trHeight w:val="154"/>
        </w:trPr>
        <w:tc>
          <w:tcPr>
            <w:tcW w:w="3100" w:type="dxa"/>
            <w:vAlign w:val="bottom"/>
          </w:tcPr>
          <w:p>
            <w:pPr>
              <w:spacing w:after="0"/>
              <w:rPr>
                <w:sz w:val="13"/>
                <w:szCs w:val="13"/>
                <w:color w:val="auto"/>
              </w:rPr>
            </w:pPr>
          </w:p>
        </w:tc>
        <w:tc>
          <w:tcPr>
            <w:tcW w:w="2460" w:type="dxa"/>
            <w:vAlign w:val="bottom"/>
          </w:tcPr>
          <w:p>
            <w:pPr>
              <w:spacing w:after="0"/>
              <w:rPr>
                <w:sz w:val="13"/>
                <w:szCs w:val="13"/>
                <w:color w:val="auto"/>
              </w:rPr>
            </w:pPr>
          </w:p>
        </w:tc>
        <w:tc>
          <w:tcPr>
            <w:tcW w:w="1280" w:type="dxa"/>
            <w:vAlign w:val="bottom"/>
          </w:tcPr>
          <w:p>
            <w:pPr>
              <w:jc w:val="center"/>
              <w:spacing w:after="0"/>
              <w:rPr>
                <w:sz w:val="20"/>
                <w:szCs w:val="20"/>
                <w:color w:val="auto"/>
              </w:rPr>
            </w:pPr>
            <w:r>
              <w:rPr>
                <w:rFonts w:ascii="Arial" w:cs="Arial" w:eastAsia="Arial" w:hAnsi="Arial"/>
                <w:sz w:val="13"/>
                <w:szCs w:val="13"/>
                <w:color w:val="auto"/>
                <w:w w:val="95"/>
              </w:rPr>
              <w:t># Sites</w:t>
            </w:r>
          </w:p>
        </w:tc>
      </w:tr>
      <w:tr>
        <w:trPr>
          <w:trHeight w:val="161"/>
        </w:trPr>
        <w:tc>
          <w:tcPr>
            <w:tcW w:w="3100" w:type="dxa"/>
            <w:vAlign w:val="bottom"/>
            <w:tcBorders>
              <w:bottom w:val="single" w:sz="8" w:color="auto"/>
            </w:tcBorders>
          </w:tcPr>
          <w:p>
            <w:pPr>
              <w:spacing w:after="0"/>
              <w:rPr>
                <w:sz w:val="14"/>
                <w:szCs w:val="14"/>
                <w:color w:val="auto"/>
              </w:rPr>
            </w:pPr>
          </w:p>
        </w:tc>
        <w:tc>
          <w:tcPr>
            <w:tcW w:w="2460" w:type="dxa"/>
            <w:vAlign w:val="bottom"/>
            <w:tcBorders>
              <w:bottom w:val="single" w:sz="8" w:color="auto"/>
            </w:tcBorders>
          </w:tcPr>
          <w:p>
            <w:pPr>
              <w:ind w:left="1080"/>
              <w:spacing w:after="0"/>
              <w:rPr>
                <w:sz w:val="20"/>
                <w:szCs w:val="20"/>
                <w:color w:val="auto"/>
              </w:rPr>
            </w:pPr>
            <w:r>
              <w:rPr>
                <w:rFonts w:ascii="Arial" w:cs="Arial" w:eastAsia="Arial" w:hAnsi="Arial"/>
                <w:sz w:val="13"/>
                <w:szCs w:val="13"/>
                <w:color w:val="auto"/>
              </w:rPr>
              <w:t># Sites Completed</w:t>
            </w: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7"/>
              </w:rPr>
              <w:t>In Process</w:t>
            </w:r>
          </w:p>
        </w:tc>
      </w:tr>
      <w:tr>
        <w:trPr>
          <w:trHeight w:val="207"/>
        </w:trPr>
        <w:tc>
          <w:tcPr>
            <w:tcW w:w="3100" w:type="dxa"/>
            <w:vAlign w:val="bottom"/>
          </w:tcPr>
          <w:p>
            <w:pPr>
              <w:spacing w:after="0"/>
              <w:rPr>
                <w:sz w:val="20"/>
                <w:szCs w:val="20"/>
                <w:color w:val="auto"/>
              </w:rPr>
            </w:pPr>
            <w:r>
              <w:rPr>
                <w:rFonts w:ascii="Arial" w:cs="Arial" w:eastAsia="Arial" w:hAnsi="Arial"/>
                <w:sz w:val="14"/>
                <w:szCs w:val="14"/>
                <w:b w:val="1"/>
                <w:bCs w:val="1"/>
                <w:color w:val="auto"/>
              </w:rPr>
              <w:t>SDG&amp;E</w:t>
            </w:r>
          </w:p>
        </w:tc>
        <w:tc>
          <w:tcPr>
            <w:tcW w:w="246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6"/>
        </w:trPr>
        <w:tc>
          <w:tcPr>
            <w:tcW w:w="3100" w:type="dxa"/>
            <w:vAlign w:val="bottom"/>
          </w:tcPr>
          <w:p>
            <w:pPr>
              <w:spacing w:after="0"/>
              <w:rPr>
                <w:sz w:val="20"/>
                <w:szCs w:val="20"/>
                <w:color w:val="auto"/>
              </w:rPr>
            </w:pPr>
            <w:r>
              <w:rPr>
                <w:rFonts w:ascii="Arial" w:cs="Arial" w:eastAsia="Arial" w:hAnsi="Arial"/>
                <w:sz w:val="14"/>
                <w:szCs w:val="14"/>
                <w:color w:val="auto"/>
              </w:rPr>
              <w:t>Manufactured-gas sites</w:t>
            </w:r>
          </w:p>
        </w:tc>
        <w:tc>
          <w:tcPr>
            <w:tcW w:w="2460" w:type="dxa"/>
            <w:vAlign w:val="bottom"/>
          </w:tcPr>
          <w:p>
            <w:pPr>
              <w:jc w:val="center"/>
              <w:ind w:left="670"/>
              <w:spacing w:after="0"/>
              <w:rPr>
                <w:sz w:val="20"/>
                <w:szCs w:val="20"/>
                <w:color w:val="auto"/>
              </w:rPr>
            </w:pPr>
            <w:r>
              <w:rPr>
                <w:rFonts w:ascii="Arial" w:cs="Arial" w:eastAsia="Arial" w:hAnsi="Arial"/>
                <w:sz w:val="14"/>
                <w:szCs w:val="14"/>
                <w:color w:val="auto"/>
              </w:rPr>
              <w:t>3</w:t>
            </w:r>
          </w:p>
        </w:tc>
        <w:tc>
          <w:tcPr>
            <w:tcW w:w="1280" w:type="dxa"/>
            <w:vAlign w:val="bottom"/>
          </w:tcPr>
          <w:p>
            <w:pPr>
              <w:jc w:val="center"/>
              <w:spacing w:after="0"/>
              <w:rPr>
                <w:sz w:val="20"/>
                <w:szCs w:val="20"/>
                <w:color w:val="auto"/>
              </w:rPr>
            </w:pPr>
            <w:r>
              <w:rPr>
                <w:rFonts w:ascii="Arial" w:cs="Arial" w:eastAsia="Arial" w:hAnsi="Arial"/>
                <w:sz w:val="14"/>
                <w:szCs w:val="14"/>
                <w:color w:val="auto"/>
              </w:rPr>
              <w:t>--</w:t>
            </w:r>
          </w:p>
        </w:tc>
      </w:tr>
      <w:tr>
        <w:trPr>
          <w:trHeight w:val="219"/>
        </w:trPr>
        <w:tc>
          <w:tcPr>
            <w:tcW w:w="31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Third-party waste-disposal sites</w:t>
            </w:r>
          </w:p>
        </w:tc>
        <w:tc>
          <w:tcPr>
            <w:tcW w:w="2460" w:type="dxa"/>
            <w:vAlign w:val="bottom"/>
            <w:tcBorders>
              <w:bottom w:val="single" w:sz="8" w:color="auto"/>
            </w:tcBorders>
          </w:tcPr>
          <w:p>
            <w:pPr>
              <w:jc w:val="center"/>
              <w:ind w:left="670"/>
              <w:spacing w:after="0"/>
              <w:rPr>
                <w:sz w:val="20"/>
                <w:szCs w:val="20"/>
                <w:color w:val="auto"/>
              </w:rPr>
            </w:pPr>
            <w:r>
              <w:rPr>
                <w:rFonts w:ascii="Arial" w:cs="Arial" w:eastAsia="Arial" w:hAnsi="Arial"/>
                <w:sz w:val="14"/>
                <w:szCs w:val="14"/>
                <w:color w:val="auto"/>
              </w:rPr>
              <w:t>1</w:t>
            </w: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1</w:t>
            </w:r>
          </w:p>
        </w:tc>
      </w:tr>
      <w:tr>
        <w:trPr>
          <w:trHeight w:val="205"/>
        </w:trPr>
        <w:tc>
          <w:tcPr>
            <w:tcW w:w="3100" w:type="dxa"/>
            <w:vAlign w:val="bottom"/>
          </w:tcPr>
          <w:p>
            <w:pPr>
              <w:spacing w:after="0"/>
              <w:rPr>
                <w:sz w:val="20"/>
                <w:szCs w:val="20"/>
                <w:color w:val="auto"/>
              </w:rPr>
            </w:pPr>
            <w:r>
              <w:rPr>
                <w:rFonts w:ascii="Arial" w:cs="Arial" w:eastAsia="Arial" w:hAnsi="Arial"/>
                <w:sz w:val="14"/>
                <w:szCs w:val="14"/>
                <w:b w:val="1"/>
                <w:bCs w:val="1"/>
                <w:color w:val="auto"/>
              </w:rPr>
              <w:t>SoCalGas</w:t>
            </w:r>
          </w:p>
        </w:tc>
        <w:tc>
          <w:tcPr>
            <w:tcW w:w="246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16"/>
        </w:trPr>
        <w:tc>
          <w:tcPr>
            <w:tcW w:w="3100" w:type="dxa"/>
            <w:vAlign w:val="bottom"/>
          </w:tcPr>
          <w:p>
            <w:pPr>
              <w:spacing w:after="0"/>
              <w:rPr>
                <w:sz w:val="20"/>
                <w:szCs w:val="20"/>
                <w:color w:val="auto"/>
              </w:rPr>
            </w:pPr>
            <w:r>
              <w:rPr>
                <w:rFonts w:ascii="Arial" w:cs="Arial" w:eastAsia="Arial" w:hAnsi="Arial"/>
                <w:sz w:val="14"/>
                <w:szCs w:val="14"/>
                <w:color w:val="auto"/>
              </w:rPr>
              <w:t>Manufactured-gas sites</w:t>
            </w:r>
          </w:p>
        </w:tc>
        <w:tc>
          <w:tcPr>
            <w:tcW w:w="2460" w:type="dxa"/>
            <w:vAlign w:val="bottom"/>
          </w:tcPr>
          <w:p>
            <w:pPr>
              <w:jc w:val="center"/>
              <w:ind w:left="670"/>
              <w:spacing w:after="0"/>
              <w:rPr>
                <w:sz w:val="20"/>
                <w:szCs w:val="20"/>
                <w:color w:val="auto"/>
              </w:rPr>
            </w:pPr>
            <w:r>
              <w:rPr>
                <w:rFonts w:ascii="Arial" w:cs="Arial" w:eastAsia="Arial" w:hAnsi="Arial"/>
                <w:sz w:val="14"/>
                <w:szCs w:val="14"/>
                <w:color w:val="auto"/>
              </w:rPr>
              <w:t>34</w:t>
            </w:r>
          </w:p>
        </w:tc>
        <w:tc>
          <w:tcPr>
            <w:tcW w:w="1280" w:type="dxa"/>
            <w:vAlign w:val="bottom"/>
          </w:tcPr>
          <w:p>
            <w:pPr>
              <w:jc w:val="center"/>
              <w:spacing w:after="0"/>
              <w:rPr>
                <w:sz w:val="20"/>
                <w:szCs w:val="20"/>
                <w:color w:val="auto"/>
              </w:rPr>
            </w:pPr>
            <w:r>
              <w:rPr>
                <w:rFonts w:ascii="Arial" w:cs="Arial" w:eastAsia="Arial" w:hAnsi="Arial"/>
                <w:sz w:val="14"/>
                <w:szCs w:val="14"/>
                <w:color w:val="auto"/>
              </w:rPr>
              <w:t>8</w:t>
            </w:r>
          </w:p>
        </w:tc>
      </w:tr>
      <w:tr>
        <w:trPr>
          <w:trHeight w:val="250"/>
        </w:trPr>
        <w:tc>
          <w:tcPr>
            <w:tcW w:w="3100" w:type="dxa"/>
            <w:vAlign w:val="bottom"/>
            <w:tcBorders>
              <w:bottom w:val="single" w:sz="8" w:color="DFDFDF"/>
            </w:tcBorders>
          </w:tcPr>
          <w:p>
            <w:pPr>
              <w:spacing w:after="0"/>
              <w:rPr>
                <w:sz w:val="20"/>
                <w:szCs w:val="20"/>
                <w:color w:val="auto"/>
              </w:rPr>
            </w:pPr>
            <w:r>
              <w:rPr>
                <w:rFonts w:ascii="Arial" w:cs="Arial" w:eastAsia="Arial" w:hAnsi="Arial"/>
                <w:sz w:val="14"/>
                <w:szCs w:val="14"/>
                <w:color w:val="auto"/>
              </w:rPr>
              <w:t>Third-party waste-disposal sites</w:t>
            </w:r>
          </w:p>
        </w:tc>
        <w:tc>
          <w:tcPr>
            <w:tcW w:w="2460" w:type="dxa"/>
            <w:vAlign w:val="bottom"/>
            <w:tcBorders>
              <w:bottom w:val="single" w:sz="8" w:color="DFDFDF"/>
            </w:tcBorders>
          </w:tcPr>
          <w:p>
            <w:pPr>
              <w:jc w:val="center"/>
              <w:ind w:left="670"/>
              <w:spacing w:after="0"/>
              <w:rPr>
                <w:sz w:val="20"/>
                <w:szCs w:val="20"/>
                <w:color w:val="auto"/>
              </w:rPr>
            </w:pPr>
            <w:r>
              <w:rPr>
                <w:rFonts w:ascii="Arial" w:cs="Arial" w:eastAsia="Arial" w:hAnsi="Arial"/>
                <w:sz w:val="14"/>
                <w:szCs w:val="14"/>
                <w:color w:val="auto"/>
              </w:rPr>
              <w:t>1</w:t>
            </w:r>
          </w:p>
        </w:tc>
        <w:tc>
          <w:tcPr>
            <w:tcW w:w="1280" w:type="dxa"/>
            <w:vAlign w:val="bottom"/>
            <w:tcBorders>
              <w:bottom w:val="single" w:sz="8" w:color="DFDFDF"/>
            </w:tcBorders>
          </w:tcPr>
          <w:p>
            <w:pPr>
              <w:jc w:val="center"/>
              <w:spacing w:after="0"/>
              <w:rPr>
                <w:sz w:val="20"/>
                <w:szCs w:val="20"/>
                <w:color w:val="auto"/>
              </w:rPr>
            </w:pPr>
            <w:r>
              <w:rPr>
                <w:rFonts w:ascii="Arial" w:cs="Arial" w:eastAsia="Arial" w:hAnsi="Arial"/>
                <w:sz w:val="14"/>
                <w:szCs w:val="14"/>
                <w:color w:val="auto"/>
              </w:rPr>
              <w:t>1</w:t>
            </w:r>
          </w:p>
        </w:tc>
      </w:tr>
    </w:tbl>
    <w:p>
      <w:pPr>
        <w:spacing w:after="0" w:line="180" w:lineRule="exact"/>
        <w:rPr>
          <w:sz w:val="20"/>
          <w:szCs w:val="20"/>
          <w:color w:val="auto"/>
        </w:rPr>
      </w:pPr>
    </w:p>
    <w:p>
      <w:pPr>
        <w:ind w:right="80"/>
        <w:spacing w:after="0" w:line="351" w:lineRule="auto"/>
        <w:rPr>
          <w:sz w:val="20"/>
          <w:szCs w:val="20"/>
          <w:color w:val="auto"/>
        </w:rPr>
      </w:pPr>
      <w:r>
        <w:rPr>
          <w:rFonts w:ascii="Arial" w:cs="Arial" w:eastAsia="Arial" w:hAnsi="Arial"/>
          <w:sz w:val="14"/>
          <w:szCs w:val="14"/>
          <w:color w:val="auto"/>
        </w:rPr>
        <w:t>We record environmental liabilities at undiscounted amounts when our liability is probable and the costs can be reasonably estimated. In many cases, however, investigations are not yet at a stage where we can determine whether we are liable or, if the liability is probable, to reasonably estimate the amount or range of amounts of the costs.</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4"/>
          <w:szCs w:val="14"/>
          <w:color w:val="auto"/>
        </w:rPr>
        <w:t>181</w:t>
      </w:r>
    </w:p>
    <w:p>
      <w:pPr>
        <w:sectPr>
          <w:pgSz w:w="11900" w:h="16838" w:orient="portrait"/>
          <w:cols w:equalWidth="0" w:num="1">
            <w:col w:w="11420"/>
          </w:cols>
          <w:pgMar w:left="240" w:top="395" w:right="239" w:bottom="1440" w:gutter="0" w:footer="0" w:header="0"/>
        </w:sectPr>
      </w:pPr>
    </w:p>
    <w:bookmarkStart w:id="321" w:name="page322"/>
    <w:bookmarkEnd w:id="321"/>
    <w:p>
      <w:pPr>
        <w:ind w:right="380"/>
        <w:spacing w:after="0" w:line="264" w:lineRule="auto"/>
        <w:rPr>
          <w:sz w:val="20"/>
          <w:szCs w:val="20"/>
          <w:color w:val="auto"/>
        </w:rPr>
      </w:pPr>
      <w:r>
        <w:rPr>
          <w:rFonts w:ascii="Arial" w:cs="Arial" w:eastAsia="Arial" w:hAnsi="Arial"/>
          <w:sz w:val="16"/>
          <w:szCs w:val="16"/>
          <w:color w:val="auto"/>
        </w:rPr>
        <w:t>Estimates of our liability are further subject to uncertainties such as the nature and extent of site contamination, evolving cleanup standards and imprecise engineering evaluations. We review our accruals periodically and, as investigations and cleanup proceed, we make adjustments as necessary. The following table shows (in millions) our accrued liabilities for environmental matters at December 31, 2008:</w:t>
      </w:r>
    </w:p>
    <w:p>
      <w:pPr>
        <w:spacing w:after="0" w:line="287" w:lineRule="exact"/>
        <w:rPr>
          <w:sz w:val="20"/>
          <w:szCs w:val="20"/>
          <w:color w:val="auto"/>
        </w:rPr>
      </w:pPr>
    </w:p>
    <w:tbl>
      <w:tblPr>
        <w:tblLayout w:type="fixed"/>
        <w:tblInd w:w="2140" w:type="dxa"/>
        <w:tblCellMar>
          <w:top w:w="0" w:type="dxa"/>
          <w:left w:w="0" w:type="dxa"/>
          <w:bottom w:w="0" w:type="dxa"/>
          <w:right w:w="0" w:type="dxa"/>
        </w:tblCellMar>
      </w:tblPr>
      <w:tr>
        <w:trPr>
          <w:trHeight w:val="154"/>
        </w:trPr>
        <w:tc>
          <w:tcPr>
            <w:tcW w:w="17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80" w:type="dxa"/>
            <w:vAlign w:val="bottom"/>
          </w:tcPr>
          <w:p>
            <w:pPr>
              <w:ind w:left="320"/>
              <w:spacing w:after="0"/>
              <w:rPr>
                <w:sz w:val="20"/>
                <w:szCs w:val="20"/>
                <w:color w:val="auto"/>
              </w:rPr>
            </w:pPr>
            <w:r>
              <w:rPr>
                <w:rFonts w:ascii="Arial" w:cs="Arial" w:eastAsia="Arial" w:hAnsi="Arial"/>
                <w:sz w:val="13"/>
                <w:szCs w:val="13"/>
                <w:color w:val="auto"/>
                <w:w w:val="92"/>
              </w:rPr>
              <w:t>Waste</w:t>
            </w:r>
          </w:p>
        </w:tc>
        <w:tc>
          <w:tcPr>
            <w:tcW w:w="340" w:type="dxa"/>
            <w:vAlign w:val="bottom"/>
          </w:tcPr>
          <w:p>
            <w:pPr>
              <w:spacing w:after="0"/>
              <w:rPr>
                <w:sz w:val="13"/>
                <w:szCs w:val="13"/>
                <w:color w:val="auto"/>
              </w:rPr>
            </w:pPr>
          </w:p>
        </w:tc>
        <w:tc>
          <w:tcPr>
            <w:tcW w:w="1180" w:type="dxa"/>
            <w:vAlign w:val="bottom"/>
            <w:gridSpan w:val="2"/>
          </w:tcPr>
          <w:p>
            <w:pPr>
              <w:jc w:val="center"/>
              <w:spacing w:after="0"/>
              <w:rPr>
                <w:sz w:val="20"/>
                <w:szCs w:val="20"/>
                <w:color w:val="auto"/>
              </w:rPr>
            </w:pPr>
            <w:r>
              <w:rPr>
                <w:rFonts w:ascii="Arial" w:cs="Arial" w:eastAsia="Arial" w:hAnsi="Arial"/>
                <w:sz w:val="13"/>
                <w:szCs w:val="13"/>
                <w:color w:val="auto"/>
                <w:w w:val="97"/>
              </w:rPr>
              <w:t>Former Fossil-</w:t>
            </w:r>
          </w:p>
        </w:tc>
        <w:tc>
          <w:tcPr>
            <w:tcW w:w="720" w:type="dxa"/>
            <w:vAlign w:val="bottom"/>
          </w:tcPr>
          <w:p>
            <w:pPr>
              <w:jc w:val="center"/>
              <w:ind w:left="253"/>
              <w:spacing w:after="0"/>
              <w:rPr>
                <w:sz w:val="20"/>
                <w:szCs w:val="20"/>
                <w:color w:val="auto"/>
              </w:rPr>
            </w:pPr>
            <w:r>
              <w:rPr>
                <w:rFonts w:ascii="Arial" w:cs="Arial" w:eastAsia="Arial" w:hAnsi="Arial"/>
                <w:sz w:val="13"/>
                <w:szCs w:val="13"/>
                <w:color w:val="auto"/>
                <w:w w:val="98"/>
              </w:rPr>
              <w:t>Other</w:t>
            </w:r>
          </w:p>
        </w:tc>
        <w:tc>
          <w:tcPr>
            <w:tcW w:w="4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00" w:type="dxa"/>
            <w:vAlign w:val="bottom"/>
          </w:tcPr>
          <w:p>
            <w:pPr>
              <w:spacing w:after="0"/>
              <w:rPr>
                <w:sz w:val="13"/>
                <w:szCs w:val="13"/>
                <w:color w:val="auto"/>
              </w:rPr>
            </w:pPr>
          </w:p>
        </w:tc>
      </w:tr>
      <w:tr>
        <w:trPr>
          <w:trHeight w:val="156"/>
        </w:trPr>
        <w:tc>
          <w:tcPr>
            <w:tcW w:w="1760" w:type="dxa"/>
            <w:vAlign w:val="bottom"/>
          </w:tcPr>
          <w:p>
            <w:pPr>
              <w:spacing w:after="0"/>
              <w:rPr>
                <w:sz w:val="13"/>
                <w:szCs w:val="13"/>
                <w:color w:val="auto"/>
              </w:rPr>
            </w:pPr>
          </w:p>
        </w:tc>
        <w:tc>
          <w:tcPr>
            <w:tcW w:w="1240" w:type="dxa"/>
            <w:vAlign w:val="bottom"/>
            <w:gridSpan w:val="2"/>
          </w:tcPr>
          <w:p>
            <w:pPr>
              <w:jc w:val="right"/>
              <w:ind w:right="108"/>
              <w:spacing w:after="0"/>
              <w:rPr>
                <w:sz w:val="20"/>
                <w:szCs w:val="20"/>
                <w:color w:val="auto"/>
              </w:rPr>
            </w:pPr>
            <w:r>
              <w:rPr>
                <w:rFonts w:ascii="Arial" w:cs="Arial" w:eastAsia="Arial" w:hAnsi="Arial"/>
                <w:sz w:val="13"/>
                <w:szCs w:val="13"/>
                <w:color w:val="auto"/>
              </w:rPr>
              <w:t>Manufac-tured</w:t>
            </w:r>
          </w:p>
        </w:tc>
        <w:tc>
          <w:tcPr>
            <w:tcW w:w="1020" w:type="dxa"/>
            <w:vAlign w:val="bottom"/>
            <w:gridSpan w:val="2"/>
          </w:tcPr>
          <w:p>
            <w:pPr>
              <w:jc w:val="right"/>
              <w:ind w:right="208"/>
              <w:spacing w:after="0"/>
              <w:rPr>
                <w:sz w:val="20"/>
                <w:szCs w:val="20"/>
                <w:color w:val="auto"/>
              </w:rPr>
            </w:pPr>
            <w:r>
              <w:rPr>
                <w:rFonts w:ascii="Arial" w:cs="Arial" w:eastAsia="Arial" w:hAnsi="Arial"/>
                <w:sz w:val="13"/>
                <w:szCs w:val="13"/>
                <w:color w:val="auto"/>
              </w:rPr>
              <w:t>Disposal</w:t>
            </w:r>
          </w:p>
        </w:tc>
        <w:tc>
          <w:tcPr>
            <w:tcW w:w="1180" w:type="dxa"/>
            <w:vAlign w:val="bottom"/>
            <w:gridSpan w:val="2"/>
          </w:tcPr>
          <w:p>
            <w:pPr>
              <w:jc w:val="center"/>
              <w:spacing w:after="0"/>
              <w:rPr>
                <w:sz w:val="20"/>
                <w:szCs w:val="20"/>
                <w:color w:val="auto"/>
              </w:rPr>
            </w:pPr>
            <w:r>
              <w:rPr>
                <w:rFonts w:ascii="Arial" w:cs="Arial" w:eastAsia="Arial" w:hAnsi="Arial"/>
                <w:sz w:val="13"/>
                <w:szCs w:val="13"/>
                <w:color w:val="auto"/>
                <w:w w:val="99"/>
              </w:rPr>
              <w:t>Fueled Power</w:t>
            </w:r>
          </w:p>
        </w:tc>
        <w:tc>
          <w:tcPr>
            <w:tcW w:w="1160" w:type="dxa"/>
            <w:vAlign w:val="bottom"/>
            <w:gridSpan w:val="2"/>
          </w:tcPr>
          <w:p>
            <w:pPr>
              <w:jc w:val="center"/>
              <w:ind w:right="28"/>
              <w:spacing w:after="0"/>
              <w:rPr>
                <w:sz w:val="20"/>
                <w:szCs w:val="20"/>
                <w:color w:val="auto"/>
              </w:rPr>
            </w:pPr>
            <w:r>
              <w:rPr>
                <w:rFonts w:ascii="Arial" w:cs="Arial" w:eastAsia="Arial" w:hAnsi="Arial"/>
                <w:sz w:val="13"/>
                <w:szCs w:val="13"/>
                <w:color w:val="auto"/>
                <w:w w:val="98"/>
              </w:rPr>
              <w:t>Hazardous</w:t>
            </w:r>
          </w:p>
        </w:tc>
        <w:tc>
          <w:tcPr>
            <w:tcW w:w="380" w:type="dxa"/>
            <w:vAlign w:val="bottom"/>
          </w:tcPr>
          <w:p>
            <w:pPr>
              <w:spacing w:after="0"/>
              <w:rPr>
                <w:sz w:val="13"/>
                <w:szCs w:val="13"/>
                <w:color w:val="auto"/>
              </w:rPr>
            </w:pPr>
          </w:p>
        </w:tc>
        <w:tc>
          <w:tcPr>
            <w:tcW w:w="400" w:type="dxa"/>
            <w:vAlign w:val="bottom"/>
          </w:tcPr>
          <w:p>
            <w:pPr>
              <w:spacing w:after="0"/>
              <w:rPr>
                <w:sz w:val="13"/>
                <w:szCs w:val="13"/>
                <w:color w:val="auto"/>
              </w:rPr>
            </w:pPr>
          </w:p>
        </w:tc>
      </w:tr>
      <w:tr>
        <w:trPr>
          <w:trHeight w:val="161"/>
        </w:trPr>
        <w:tc>
          <w:tcPr>
            <w:tcW w:w="176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2"/>
          </w:tcPr>
          <w:p>
            <w:pPr>
              <w:jc w:val="right"/>
              <w:ind w:right="228"/>
              <w:spacing w:after="0"/>
              <w:rPr>
                <w:sz w:val="20"/>
                <w:szCs w:val="20"/>
                <w:color w:val="auto"/>
              </w:rPr>
            </w:pPr>
            <w:r>
              <w:rPr>
                <w:rFonts w:ascii="Arial" w:cs="Arial" w:eastAsia="Arial" w:hAnsi="Arial"/>
                <w:sz w:val="13"/>
                <w:szCs w:val="13"/>
                <w:color w:val="auto"/>
              </w:rPr>
              <w:t>Gas Sites</w:t>
            </w:r>
          </w:p>
        </w:tc>
        <w:tc>
          <w:tcPr>
            <w:tcW w:w="1020" w:type="dxa"/>
            <w:vAlign w:val="bottom"/>
            <w:tcBorders>
              <w:bottom w:val="single" w:sz="8" w:color="auto"/>
            </w:tcBorders>
            <w:gridSpan w:val="2"/>
          </w:tcPr>
          <w:p>
            <w:pPr>
              <w:jc w:val="right"/>
              <w:ind w:right="88"/>
              <w:spacing w:after="0"/>
              <w:rPr>
                <w:sz w:val="20"/>
                <w:szCs w:val="20"/>
                <w:color w:val="auto"/>
              </w:rPr>
            </w:pPr>
            <w:r>
              <w:rPr>
                <w:rFonts w:ascii="Arial" w:cs="Arial" w:eastAsia="Arial" w:hAnsi="Arial"/>
                <w:sz w:val="13"/>
                <w:szCs w:val="13"/>
                <w:color w:val="auto"/>
              </w:rPr>
              <w:t>Sites (PRP*)</w:t>
            </w:r>
          </w:p>
        </w:tc>
        <w:tc>
          <w:tcPr>
            <w:tcW w:w="760" w:type="dxa"/>
            <w:vAlign w:val="bottom"/>
            <w:tcBorders>
              <w:bottom w:val="single" w:sz="8" w:color="auto"/>
            </w:tcBorders>
          </w:tcPr>
          <w:p>
            <w:pPr>
              <w:jc w:val="center"/>
              <w:ind w:left="293"/>
              <w:spacing w:after="0"/>
              <w:rPr>
                <w:sz w:val="20"/>
                <w:szCs w:val="20"/>
                <w:color w:val="auto"/>
              </w:rPr>
            </w:pPr>
            <w:r>
              <w:rPr>
                <w:rFonts w:ascii="Arial" w:cs="Arial" w:eastAsia="Arial" w:hAnsi="Arial"/>
                <w:sz w:val="13"/>
                <w:szCs w:val="13"/>
                <w:color w:val="auto"/>
                <w:w w:val="99"/>
              </w:rPr>
              <w:t>Plants</w:t>
            </w:r>
          </w:p>
        </w:tc>
        <w:tc>
          <w:tcPr>
            <w:tcW w:w="4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2"/>
          </w:tcPr>
          <w:p>
            <w:pPr>
              <w:jc w:val="center"/>
              <w:ind w:right="48"/>
              <w:spacing w:after="0"/>
              <w:rPr>
                <w:sz w:val="20"/>
                <w:szCs w:val="20"/>
                <w:color w:val="auto"/>
              </w:rPr>
            </w:pPr>
            <w:r>
              <w:rPr>
                <w:rFonts w:ascii="Arial" w:cs="Arial" w:eastAsia="Arial" w:hAnsi="Arial"/>
                <w:sz w:val="13"/>
                <w:szCs w:val="13"/>
                <w:color w:val="auto"/>
                <w:w w:val="97"/>
              </w:rPr>
              <w:t>Waste Sites</w:t>
            </w:r>
          </w:p>
        </w:tc>
        <w:tc>
          <w:tcPr>
            <w:tcW w:w="780" w:type="dxa"/>
            <w:vAlign w:val="bottom"/>
            <w:tcBorders>
              <w:bottom w:val="single" w:sz="8" w:color="auto"/>
            </w:tcBorders>
            <w:gridSpan w:val="2"/>
          </w:tcPr>
          <w:p>
            <w:pPr>
              <w:jc w:val="right"/>
              <w:ind w:right="168"/>
              <w:spacing w:after="0"/>
              <w:rPr>
                <w:sz w:val="20"/>
                <w:szCs w:val="20"/>
                <w:color w:val="auto"/>
              </w:rPr>
            </w:pPr>
            <w:r>
              <w:rPr>
                <w:rFonts w:ascii="Arial" w:cs="Arial" w:eastAsia="Arial" w:hAnsi="Arial"/>
                <w:sz w:val="13"/>
                <w:szCs w:val="13"/>
                <w:color w:val="auto"/>
              </w:rPr>
              <w:t>Total</w:t>
            </w:r>
          </w:p>
        </w:tc>
      </w:tr>
      <w:tr>
        <w:trPr>
          <w:trHeight w:val="207"/>
        </w:trPr>
        <w:tc>
          <w:tcPr>
            <w:tcW w:w="1760" w:type="dxa"/>
            <w:vAlign w:val="bottom"/>
          </w:tcPr>
          <w:p>
            <w:pPr>
              <w:ind w:left="20"/>
              <w:spacing w:after="0"/>
              <w:rPr>
                <w:sz w:val="20"/>
                <w:szCs w:val="20"/>
                <w:color w:val="auto"/>
              </w:rPr>
            </w:pPr>
            <w:r>
              <w:rPr>
                <w:rFonts w:ascii="Arial" w:cs="Arial" w:eastAsia="Arial" w:hAnsi="Arial"/>
                <w:sz w:val="14"/>
                <w:szCs w:val="14"/>
                <w:color w:val="auto"/>
              </w:rPr>
              <w:t>SDG&amp;E**</w:t>
            </w:r>
          </w:p>
        </w:tc>
        <w:tc>
          <w:tcPr>
            <w:tcW w:w="720" w:type="dxa"/>
            <w:vAlign w:val="bottom"/>
          </w:tcPr>
          <w:p>
            <w:pPr>
              <w:jc w:val="right"/>
              <w:ind w:right="32"/>
              <w:spacing w:after="0"/>
              <w:rPr>
                <w:sz w:val="20"/>
                <w:szCs w:val="20"/>
                <w:color w:val="auto"/>
              </w:rPr>
            </w:pPr>
            <w:r>
              <w:rPr>
                <w:rFonts w:ascii="Arial" w:cs="Arial" w:eastAsia="Arial" w:hAnsi="Arial"/>
                <w:sz w:val="14"/>
                <w:szCs w:val="14"/>
                <w:color w:val="auto"/>
              </w:rPr>
              <w:t>$</w:t>
            </w:r>
          </w:p>
        </w:tc>
        <w:tc>
          <w:tcPr>
            <w:tcW w:w="520" w:type="dxa"/>
            <w:vAlign w:val="bottom"/>
          </w:tcPr>
          <w:p>
            <w:pPr>
              <w:jc w:val="right"/>
              <w:ind w:right="68"/>
              <w:spacing w:after="0"/>
              <w:rPr>
                <w:sz w:val="20"/>
                <w:szCs w:val="20"/>
                <w:color w:val="auto"/>
              </w:rPr>
            </w:pPr>
            <w:r>
              <w:rPr>
                <w:rFonts w:ascii="Arial" w:cs="Arial" w:eastAsia="Arial" w:hAnsi="Arial"/>
                <w:sz w:val="14"/>
                <w:szCs w:val="14"/>
                <w:color w:val="auto"/>
              </w:rPr>
              <w:t>0.3</w:t>
            </w:r>
          </w:p>
        </w:tc>
        <w:tc>
          <w:tcPr>
            <w:tcW w:w="680" w:type="dxa"/>
            <w:vAlign w:val="bottom"/>
          </w:tcPr>
          <w:p>
            <w:pPr>
              <w:ind w:left="320"/>
              <w:spacing w:after="0"/>
              <w:rPr>
                <w:sz w:val="20"/>
                <w:szCs w:val="20"/>
                <w:color w:val="auto"/>
              </w:rPr>
            </w:pPr>
            <w:r>
              <w:rPr>
                <w:rFonts w:ascii="Arial" w:cs="Arial" w:eastAsia="Arial" w:hAnsi="Arial"/>
                <w:sz w:val="14"/>
                <w:szCs w:val="14"/>
                <w:color w:val="auto"/>
              </w:rPr>
              <w:t>$</w:t>
            </w:r>
          </w:p>
        </w:tc>
        <w:tc>
          <w:tcPr>
            <w:tcW w:w="340" w:type="dxa"/>
            <w:vAlign w:val="bottom"/>
          </w:tcPr>
          <w:p>
            <w:pPr>
              <w:jc w:val="right"/>
              <w:ind w:right="68"/>
              <w:spacing w:after="0"/>
              <w:rPr>
                <w:sz w:val="20"/>
                <w:szCs w:val="20"/>
                <w:color w:val="auto"/>
              </w:rPr>
            </w:pPr>
            <w:r>
              <w:rPr>
                <w:rFonts w:ascii="Arial" w:cs="Arial" w:eastAsia="Arial" w:hAnsi="Arial"/>
                <w:sz w:val="14"/>
                <w:szCs w:val="14"/>
                <w:color w:val="auto"/>
                <w:w w:val="92"/>
              </w:rPr>
              <w:t>0.2</w:t>
            </w:r>
          </w:p>
        </w:tc>
        <w:tc>
          <w:tcPr>
            <w:tcW w:w="760" w:type="dxa"/>
            <w:vAlign w:val="bottom"/>
          </w:tcPr>
          <w:p>
            <w:pPr>
              <w:jc w:val="right"/>
              <w:ind w:right="173"/>
              <w:spacing w:after="0"/>
              <w:rPr>
                <w:sz w:val="20"/>
                <w:szCs w:val="20"/>
                <w:color w:val="auto"/>
              </w:rPr>
            </w:pPr>
            <w:r>
              <w:rPr>
                <w:rFonts w:ascii="Arial" w:cs="Arial" w:eastAsia="Arial" w:hAnsi="Arial"/>
                <w:sz w:val="14"/>
                <w:szCs w:val="14"/>
                <w:color w:val="auto"/>
              </w:rPr>
              <w:t>$</w:t>
            </w:r>
          </w:p>
        </w:tc>
        <w:tc>
          <w:tcPr>
            <w:tcW w:w="420" w:type="dxa"/>
            <w:vAlign w:val="bottom"/>
          </w:tcPr>
          <w:p>
            <w:pPr>
              <w:jc w:val="right"/>
              <w:ind w:right="108"/>
              <w:spacing w:after="0"/>
              <w:rPr>
                <w:sz w:val="20"/>
                <w:szCs w:val="20"/>
                <w:color w:val="auto"/>
              </w:rPr>
            </w:pPr>
            <w:r>
              <w:rPr>
                <w:rFonts w:ascii="Arial" w:cs="Arial" w:eastAsia="Arial" w:hAnsi="Arial"/>
                <w:sz w:val="14"/>
                <w:szCs w:val="14"/>
                <w:color w:val="auto"/>
              </w:rPr>
              <w:t>6.3</w:t>
            </w:r>
          </w:p>
        </w:tc>
        <w:tc>
          <w:tcPr>
            <w:tcW w:w="720" w:type="dxa"/>
            <w:vAlign w:val="bottom"/>
          </w:tcPr>
          <w:p>
            <w:pPr>
              <w:jc w:val="right"/>
              <w:ind w:right="173"/>
              <w:spacing w:after="0"/>
              <w:rPr>
                <w:sz w:val="20"/>
                <w:szCs w:val="20"/>
                <w:color w:val="auto"/>
              </w:rPr>
            </w:pPr>
            <w:r>
              <w:rPr>
                <w:rFonts w:ascii="Arial" w:cs="Arial" w:eastAsia="Arial" w:hAnsi="Arial"/>
                <w:sz w:val="14"/>
                <w:szCs w:val="14"/>
                <w:color w:val="auto"/>
              </w:rPr>
              <w:t>$</w:t>
            </w:r>
          </w:p>
        </w:tc>
        <w:tc>
          <w:tcPr>
            <w:tcW w:w="440" w:type="dxa"/>
            <w:vAlign w:val="bottom"/>
          </w:tcPr>
          <w:p>
            <w:pPr>
              <w:jc w:val="right"/>
              <w:ind w:right="128"/>
              <w:spacing w:after="0"/>
              <w:rPr>
                <w:sz w:val="20"/>
                <w:szCs w:val="20"/>
                <w:color w:val="auto"/>
              </w:rPr>
            </w:pPr>
            <w:r>
              <w:rPr>
                <w:rFonts w:ascii="Arial" w:cs="Arial" w:eastAsia="Arial" w:hAnsi="Arial"/>
                <w:sz w:val="14"/>
                <w:szCs w:val="14"/>
                <w:color w:val="auto"/>
              </w:rPr>
              <w:t>1.0</w:t>
            </w:r>
          </w:p>
        </w:tc>
        <w:tc>
          <w:tcPr>
            <w:tcW w:w="380" w:type="dxa"/>
            <w:vAlign w:val="bottom"/>
          </w:tcPr>
          <w:p>
            <w:pPr>
              <w:jc w:val="right"/>
              <w:ind w:right="31"/>
              <w:spacing w:after="0"/>
              <w:rPr>
                <w:sz w:val="20"/>
                <w:szCs w:val="20"/>
                <w:color w:val="auto"/>
              </w:rPr>
            </w:pPr>
            <w:r>
              <w:rPr>
                <w:rFonts w:ascii="Arial" w:cs="Arial" w:eastAsia="Arial" w:hAnsi="Arial"/>
                <w:sz w:val="14"/>
                <w:szCs w:val="14"/>
                <w:color w:val="auto"/>
              </w:rPr>
              <w:t>$</w:t>
            </w:r>
          </w:p>
        </w:tc>
        <w:tc>
          <w:tcPr>
            <w:tcW w:w="400" w:type="dxa"/>
            <w:vAlign w:val="bottom"/>
          </w:tcPr>
          <w:p>
            <w:pPr>
              <w:jc w:val="right"/>
              <w:spacing w:after="0"/>
              <w:rPr>
                <w:sz w:val="20"/>
                <w:szCs w:val="20"/>
                <w:color w:val="auto"/>
              </w:rPr>
            </w:pPr>
            <w:r>
              <w:rPr>
                <w:rFonts w:ascii="Arial" w:cs="Arial" w:eastAsia="Arial" w:hAnsi="Arial"/>
                <w:sz w:val="14"/>
                <w:szCs w:val="14"/>
                <w:color w:val="auto"/>
              </w:rPr>
              <w:t>7.8</w:t>
            </w:r>
          </w:p>
        </w:tc>
      </w:tr>
      <w:tr>
        <w:trPr>
          <w:trHeight w:val="216"/>
        </w:trPr>
        <w:tc>
          <w:tcPr>
            <w:tcW w:w="1760" w:type="dxa"/>
            <w:vAlign w:val="bottom"/>
          </w:tcPr>
          <w:p>
            <w:pPr>
              <w:ind w:left="20"/>
              <w:spacing w:after="0"/>
              <w:rPr>
                <w:sz w:val="20"/>
                <w:szCs w:val="20"/>
                <w:color w:val="auto"/>
              </w:rPr>
            </w:pPr>
            <w:r>
              <w:rPr>
                <w:rFonts w:ascii="Arial" w:cs="Arial" w:eastAsia="Arial" w:hAnsi="Arial"/>
                <w:sz w:val="14"/>
                <w:szCs w:val="14"/>
                <w:color w:val="auto"/>
              </w:rPr>
              <w:t>SoCalGas</w:t>
            </w:r>
          </w:p>
        </w:tc>
        <w:tc>
          <w:tcPr>
            <w:tcW w:w="720" w:type="dxa"/>
            <w:vAlign w:val="bottom"/>
          </w:tcPr>
          <w:p>
            <w:pPr>
              <w:spacing w:after="0"/>
              <w:rPr>
                <w:sz w:val="18"/>
                <w:szCs w:val="18"/>
                <w:color w:val="auto"/>
              </w:rPr>
            </w:pPr>
          </w:p>
        </w:tc>
        <w:tc>
          <w:tcPr>
            <w:tcW w:w="520" w:type="dxa"/>
            <w:vAlign w:val="bottom"/>
          </w:tcPr>
          <w:p>
            <w:pPr>
              <w:jc w:val="right"/>
              <w:ind w:right="68"/>
              <w:spacing w:after="0"/>
              <w:rPr>
                <w:sz w:val="20"/>
                <w:szCs w:val="20"/>
                <w:color w:val="auto"/>
              </w:rPr>
            </w:pPr>
            <w:r>
              <w:rPr>
                <w:rFonts w:ascii="Arial" w:cs="Arial" w:eastAsia="Arial" w:hAnsi="Arial"/>
                <w:sz w:val="14"/>
                <w:szCs w:val="14"/>
                <w:color w:val="auto"/>
              </w:rPr>
              <w:t>37.4</w:t>
            </w:r>
          </w:p>
        </w:tc>
        <w:tc>
          <w:tcPr>
            <w:tcW w:w="680" w:type="dxa"/>
            <w:vAlign w:val="bottom"/>
          </w:tcPr>
          <w:p>
            <w:pPr>
              <w:spacing w:after="0"/>
              <w:rPr>
                <w:sz w:val="18"/>
                <w:szCs w:val="18"/>
                <w:color w:val="auto"/>
              </w:rPr>
            </w:pPr>
          </w:p>
        </w:tc>
        <w:tc>
          <w:tcPr>
            <w:tcW w:w="340" w:type="dxa"/>
            <w:vAlign w:val="bottom"/>
          </w:tcPr>
          <w:p>
            <w:pPr>
              <w:jc w:val="right"/>
              <w:ind w:right="68"/>
              <w:spacing w:after="0"/>
              <w:rPr>
                <w:sz w:val="20"/>
                <w:szCs w:val="20"/>
                <w:color w:val="auto"/>
              </w:rPr>
            </w:pPr>
            <w:r>
              <w:rPr>
                <w:rFonts w:ascii="Arial" w:cs="Arial" w:eastAsia="Arial" w:hAnsi="Arial"/>
                <w:sz w:val="14"/>
                <w:szCs w:val="14"/>
                <w:color w:val="auto"/>
                <w:w w:val="92"/>
              </w:rPr>
              <w:t>0.6</w:t>
            </w:r>
          </w:p>
        </w:tc>
        <w:tc>
          <w:tcPr>
            <w:tcW w:w="760" w:type="dxa"/>
            <w:vAlign w:val="bottom"/>
          </w:tcPr>
          <w:p>
            <w:pPr>
              <w:spacing w:after="0"/>
              <w:rPr>
                <w:sz w:val="18"/>
                <w:szCs w:val="18"/>
                <w:color w:val="auto"/>
              </w:rPr>
            </w:pPr>
          </w:p>
        </w:tc>
        <w:tc>
          <w:tcPr>
            <w:tcW w:w="42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720" w:type="dxa"/>
            <w:vAlign w:val="bottom"/>
          </w:tcPr>
          <w:p>
            <w:pPr>
              <w:spacing w:after="0"/>
              <w:rPr>
                <w:sz w:val="18"/>
                <w:szCs w:val="18"/>
                <w:color w:val="auto"/>
              </w:rPr>
            </w:pPr>
          </w:p>
        </w:tc>
        <w:tc>
          <w:tcPr>
            <w:tcW w:w="440" w:type="dxa"/>
            <w:vAlign w:val="bottom"/>
          </w:tcPr>
          <w:p>
            <w:pPr>
              <w:jc w:val="right"/>
              <w:ind w:right="128"/>
              <w:spacing w:after="0"/>
              <w:rPr>
                <w:sz w:val="20"/>
                <w:szCs w:val="20"/>
                <w:color w:val="auto"/>
              </w:rPr>
            </w:pPr>
            <w:r>
              <w:rPr>
                <w:rFonts w:ascii="Arial" w:cs="Arial" w:eastAsia="Arial" w:hAnsi="Arial"/>
                <w:sz w:val="14"/>
                <w:szCs w:val="14"/>
                <w:color w:val="auto"/>
              </w:rPr>
              <w:t>1.8</w:t>
            </w:r>
          </w:p>
        </w:tc>
        <w:tc>
          <w:tcPr>
            <w:tcW w:w="3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39.8</w:t>
            </w:r>
          </w:p>
        </w:tc>
      </w:tr>
      <w:tr>
        <w:trPr>
          <w:trHeight w:val="222"/>
        </w:trPr>
        <w:tc>
          <w:tcPr>
            <w:tcW w:w="1760" w:type="dxa"/>
            <w:vAlign w:val="bottom"/>
          </w:tcPr>
          <w:p>
            <w:pPr>
              <w:ind w:left="20"/>
              <w:spacing w:after="0"/>
              <w:rPr>
                <w:sz w:val="20"/>
                <w:szCs w:val="20"/>
                <w:color w:val="auto"/>
              </w:rPr>
            </w:pPr>
            <w:r>
              <w:rPr>
                <w:rFonts w:ascii="Arial" w:cs="Arial" w:eastAsia="Arial" w:hAnsi="Arial"/>
                <w:sz w:val="14"/>
                <w:szCs w:val="14"/>
                <w:color w:val="auto"/>
              </w:rPr>
              <w:t>Other</w:t>
            </w:r>
          </w:p>
        </w:tc>
        <w:tc>
          <w:tcPr>
            <w:tcW w:w="7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0.2</w:t>
            </w:r>
          </w:p>
        </w:tc>
        <w:tc>
          <w:tcPr>
            <w:tcW w:w="68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w w:val="92"/>
              </w:rPr>
              <w:t>0.9</w:t>
            </w:r>
          </w:p>
        </w:tc>
        <w:tc>
          <w:tcPr>
            <w:tcW w:w="76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w:t>
            </w:r>
          </w:p>
        </w:tc>
      </w:tr>
      <w:tr>
        <w:trPr>
          <w:trHeight w:val="224"/>
        </w:trPr>
        <w:tc>
          <w:tcPr>
            <w:tcW w:w="1760" w:type="dxa"/>
            <w:vAlign w:val="bottom"/>
            <w:tcBorders>
              <w:bottom w:val="single" w:sz="8" w:color="auto"/>
            </w:tcBorders>
          </w:tcPr>
          <w:p>
            <w:pPr>
              <w:ind w:left="140"/>
              <w:spacing w:after="0"/>
              <w:rPr>
                <w:sz w:val="20"/>
                <w:szCs w:val="20"/>
                <w:color w:val="auto"/>
              </w:rPr>
            </w:pPr>
            <w:r>
              <w:rPr>
                <w:rFonts w:ascii="Arial" w:cs="Arial" w:eastAsia="Arial" w:hAnsi="Arial"/>
                <w:sz w:val="14"/>
                <w:szCs w:val="14"/>
                <w:color w:val="auto"/>
              </w:rPr>
              <w:t>Total Sempra Energy</w:t>
            </w:r>
          </w:p>
        </w:tc>
        <w:tc>
          <w:tcPr>
            <w:tcW w:w="72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37.9</w:t>
            </w:r>
          </w:p>
        </w:tc>
        <w:tc>
          <w:tcPr>
            <w:tcW w:w="680" w:type="dxa"/>
            <w:vAlign w:val="bottom"/>
            <w:tcBorders>
              <w:bottom w:val="single" w:sz="8" w:color="auto"/>
            </w:tcBorders>
          </w:tcPr>
          <w:p>
            <w:pPr>
              <w:ind w:left="320"/>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w w:val="92"/>
              </w:rPr>
              <w:t>1.7</w:t>
            </w:r>
          </w:p>
        </w:tc>
        <w:tc>
          <w:tcPr>
            <w:tcW w:w="76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color w:val="auto"/>
              </w:rPr>
              <w:t>$</w:t>
            </w:r>
          </w:p>
        </w:tc>
        <w:tc>
          <w:tcPr>
            <w:tcW w:w="4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6.3</w:t>
            </w:r>
          </w:p>
        </w:tc>
        <w:tc>
          <w:tcPr>
            <w:tcW w:w="72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color w:val="auto"/>
              </w:rPr>
              <w:t>$</w:t>
            </w:r>
          </w:p>
        </w:tc>
        <w:tc>
          <w:tcPr>
            <w:tcW w:w="4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2.8</w:t>
            </w:r>
          </w:p>
        </w:tc>
        <w:tc>
          <w:tcPr>
            <w:tcW w:w="38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color w:val="auto"/>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48.7</w:t>
            </w:r>
          </w:p>
        </w:tc>
      </w:tr>
    </w:tbl>
    <w:p>
      <w:pPr>
        <w:spacing w:after="0" w:line="4" w:lineRule="exact"/>
        <w:rPr>
          <w:sz w:val="20"/>
          <w:szCs w:val="20"/>
          <w:color w:val="auto"/>
        </w:rPr>
      </w:pPr>
    </w:p>
    <w:p>
      <w:pPr>
        <w:ind w:left="2160" w:right="5060" w:hanging="2"/>
        <w:spacing w:after="0" w:line="361" w:lineRule="auto"/>
        <w:tabs>
          <w:tab w:leader="none" w:pos="2448" w:val="left"/>
        </w:tabs>
        <w:numPr>
          <w:ilvl w:val="0"/>
          <w:numId w:val="395"/>
        </w:numPr>
        <w:rPr>
          <w:rFonts w:ascii="Arial" w:cs="Arial" w:eastAsia="Arial" w:hAnsi="Arial"/>
          <w:sz w:val="12"/>
          <w:szCs w:val="12"/>
          <w:i w:val="1"/>
          <w:iCs w:val="1"/>
          <w:color w:val="auto"/>
        </w:rPr>
      </w:pPr>
      <w:r>
        <w:rPr>
          <w:rFonts w:ascii="Arial" w:cs="Arial" w:eastAsia="Arial" w:hAnsi="Arial"/>
          <w:sz w:val="12"/>
          <w:szCs w:val="12"/>
          <w:i w:val="1"/>
          <w:iCs w:val="1"/>
          <w:color w:val="auto"/>
        </w:rPr>
        <w:t>For which we have been identified as a Potentially Responsible Party ** Does not include SDG&amp;E's liability for SONGS marine mitigation.</w:t>
      </w:r>
    </w:p>
    <w:p>
      <w:pPr>
        <w:spacing w:after="0" w:line="121" w:lineRule="exact"/>
        <w:rPr>
          <w:sz w:val="20"/>
          <w:szCs w:val="20"/>
          <w:color w:val="auto"/>
        </w:rPr>
      </w:pPr>
    </w:p>
    <w:p>
      <w:pPr>
        <w:spacing w:after="0" w:line="289" w:lineRule="auto"/>
        <w:rPr>
          <w:sz w:val="20"/>
          <w:szCs w:val="20"/>
          <w:color w:val="auto"/>
        </w:rPr>
      </w:pPr>
      <w:r>
        <w:rPr>
          <w:rFonts w:ascii="Arial" w:cs="Arial" w:eastAsia="Arial" w:hAnsi="Arial"/>
          <w:sz w:val="15"/>
          <w:szCs w:val="15"/>
          <w:color w:val="auto"/>
        </w:rPr>
        <w:t>We expect to pay the majority of these accruals over the next three years. In connection with the issuance of operating permits, SDG&amp;E and the other owners of SONGS previously reached an agreement with the California Coastal Commission to mitigate the damage to the marine environment caused by the cooling-water discharge from SONGS. At December 31, 2008, SDG&amp;E's share of the estimated mitigation costs remaining to be spent through 2050 is $19.7 million, which is recoverable in rates.</w:t>
      </w:r>
    </w:p>
    <w:p>
      <w:pPr>
        <w:spacing w:after="0" w:line="22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NUCLEAR INSURANCE</w:t>
      </w:r>
    </w:p>
    <w:p>
      <w:pPr>
        <w:spacing w:after="0" w:line="89" w:lineRule="exact"/>
        <w:rPr>
          <w:sz w:val="20"/>
          <w:szCs w:val="20"/>
          <w:color w:val="auto"/>
        </w:rPr>
      </w:pPr>
    </w:p>
    <w:p>
      <w:pPr>
        <w:ind w:right="100"/>
        <w:spacing w:after="0" w:line="278" w:lineRule="auto"/>
        <w:rPr>
          <w:sz w:val="20"/>
          <w:szCs w:val="20"/>
          <w:color w:val="auto"/>
        </w:rPr>
      </w:pPr>
      <w:r>
        <w:rPr>
          <w:rFonts w:ascii="Arial" w:cs="Arial" w:eastAsia="Arial" w:hAnsi="Arial"/>
          <w:sz w:val="15"/>
          <w:szCs w:val="15"/>
          <w:color w:val="auto"/>
        </w:rPr>
        <w:t>SDG&amp;E and the other owners of SONGS have insurance to cover claims from nuclear liability incidents arising at SONGS. This insurance provides $300 million in coverage limits, the maximum amount available, including coverage for acts of terrorism. In addition, the Price-Anderson Act provides for up to $12.2 billion of secondary financial protection (SFP). If a nuclear liability loss occurring at any U.S. licensed/commercial reactor exceeds the $300 million insurance limit, all nuclear reactor owners could be required to contribute to the SFP. SDG&amp;E’s contribution would be up to $47 million. This amount is subject to an annual maximum of $7 million, unless a default occurs by any other SONGS owner. If SFP is insufficient to cover the liability loss, SDG&amp;E could be subject to an additional assessment.</w:t>
      </w:r>
    </w:p>
    <w:p>
      <w:pPr>
        <w:spacing w:after="0" w:line="34" w:lineRule="exact"/>
        <w:rPr>
          <w:sz w:val="20"/>
          <w:szCs w:val="20"/>
          <w:color w:val="auto"/>
        </w:rPr>
      </w:pPr>
    </w:p>
    <w:p>
      <w:pPr>
        <w:ind w:right="100"/>
        <w:spacing w:after="0" w:line="282" w:lineRule="auto"/>
        <w:rPr>
          <w:sz w:val="20"/>
          <w:szCs w:val="20"/>
          <w:color w:val="auto"/>
        </w:rPr>
      </w:pPr>
      <w:r>
        <w:rPr>
          <w:rFonts w:ascii="Arial" w:cs="Arial" w:eastAsia="Arial" w:hAnsi="Arial"/>
          <w:sz w:val="15"/>
          <w:szCs w:val="15"/>
          <w:color w:val="auto"/>
        </w:rPr>
        <w:t>The SONGS owners, including SDG&amp;E, also have $2.75 billion of nuclear property, decontamination, and debris removal insurance. In addition, the SONGS owners have up to $490 million insurance coverage for outage expenses and replacement power costs due to accidental property damage. This coverage is limited to $3.5 million per week for the first 52 weeks, then $2.8 million per week for up to 110 additional weeks. There is a 12-week waiting period deductible. These insurance coverages are provided through a mutual insurance company. Insured members are subject to retrospective premium assessments. SDG&amp;E could be assessed up to $8.5 million.</w:t>
      </w:r>
    </w:p>
    <w:p>
      <w:pPr>
        <w:spacing w:after="0" w:line="30" w:lineRule="exact"/>
        <w:rPr>
          <w:sz w:val="20"/>
          <w:szCs w:val="20"/>
          <w:color w:val="auto"/>
        </w:rPr>
      </w:pPr>
    </w:p>
    <w:p>
      <w:pPr>
        <w:ind w:right="220"/>
        <w:spacing w:after="0" w:line="264" w:lineRule="auto"/>
        <w:rPr>
          <w:sz w:val="20"/>
          <w:szCs w:val="20"/>
          <w:color w:val="auto"/>
        </w:rPr>
      </w:pPr>
      <w:r>
        <w:rPr>
          <w:rFonts w:ascii="Arial" w:cs="Arial" w:eastAsia="Arial" w:hAnsi="Arial"/>
          <w:sz w:val="16"/>
          <w:szCs w:val="16"/>
          <w:color w:val="auto"/>
        </w:rPr>
        <w:t>The nuclear property insurance program includes an industry aggregate loss limit for non-certified acts of terrorism (as defined by the Terrorism Risk Insurance Act). The industry aggregate loss limit for property claims arising from non-certified acts of terrorism is $3.24 billion. This is the maximum amount that will be paid to insured members who suffer losses or damages from these non-certified terrorist acts.</w:t>
      </w:r>
    </w:p>
    <w:p>
      <w:pPr>
        <w:spacing w:after="0" w:line="23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CONCENTRATION OF CREDIT RISK</w:t>
      </w:r>
    </w:p>
    <w:p>
      <w:pPr>
        <w:spacing w:after="0" w:line="89" w:lineRule="exact"/>
        <w:rPr>
          <w:sz w:val="20"/>
          <w:szCs w:val="20"/>
          <w:color w:val="auto"/>
        </w:rPr>
      </w:pPr>
    </w:p>
    <w:p>
      <w:pPr>
        <w:jc w:val="both"/>
        <w:ind w:right="100"/>
        <w:spacing w:after="0" w:line="259" w:lineRule="auto"/>
        <w:rPr>
          <w:sz w:val="20"/>
          <w:szCs w:val="20"/>
          <w:color w:val="auto"/>
        </w:rPr>
      </w:pPr>
      <w:r>
        <w:rPr>
          <w:rFonts w:ascii="Arial" w:cs="Arial" w:eastAsia="Arial" w:hAnsi="Arial"/>
          <w:sz w:val="16"/>
          <w:szCs w:val="16"/>
          <w:color w:val="auto"/>
        </w:rPr>
        <w:t>We maintain credit policies and systems to manage our overall credit risk. These policies include an evaluation of potential counterparties' financial condition and an assignment of credit limits. These credit limits are established based on risk and return considerations under terms customarily available in the industry. We grant credit to utility customers and counterparties, substantially all of whom are located in our service territory, which covers most of Southern California and a portion of central California for SoCalGas, and all of San Diego County and an adjacent portion of Orange County for SDG&amp;E.</w:t>
      </w: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4"/>
          <w:szCs w:val="14"/>
          <w:color w:val="auto"/>
        </w:rPr>
        <w:t>182</w:t>
      </w:r>
    </w:p>
    <w:p>
      <w:pPr>
        <w:sectPr>
          <w:pgSz w:w="11900" w:h="16838" w:orient="portrait"/>
          <w:cols w:equalWidth="0" w:num="1">
            <w:col w:w="11420"/>
          </w:cols>
          <w:pgMar w:left="240" w:top="128" w:right="239" w:bottom="1440" w:gutter="0" w:footer="0" w:header="0"/>
        </w:sectPr>
      </w:pPr>
    </w:p>
    <w:bookmarkStart w:id="322" w:name="page323"/>
    <w:bookmarkEnd w:id="322"/>
    <w:p>
      <w:pPr>
        <w:ind w:right="100"/>
        <w:spacing w:after="0" w:line="264" w:lineRule="auto"/>
        <w:rPr>
          <w:sz w:val="20"/>
          <w:szCs w:val="20"/>
          <w:color w:val="auto"/>
        </w:rPr>
      </w:pPr>
      <w:r>
        <w:rPr>
          <w:rFonts w:ascii="Arial" w:cs="Arial" w:eastAsia="Arial" w:hAnsi="Arial"/>
          <w:sz w:val="16"/>
          <w:szCs w:val="16"/>
          <w:color w:val="auto"/>
        </w:rPr>
        <w:t>As described above, Sempra Generation has a contract with the DWR to supply up to 1,900 MW of power to the state over 10 years, beginning in 2001. Sempra Generation would be at risk for the amounts of outstanding billings and the continued viability of the contract if the DWR were to default on its payments under this contract. The average monthly billing related to this contract is $38 million and is normally collected by the end of the next month.</w:t>
      </w:r>
    </w:p>
    <w:p>
      <w:pPr>
        <w:spacing w:after="0" w:line="42" w:lineRule="exact"/>
        <w:rPr>
          <w:sz w:val="20"/>
          <w:szCs w:val="20"/>
          <w:color w:val="auto"/>
        </w:rPr>
      </w:pPr>
    </w:p>
    <w:p>
      <w:pPr>
        <w:jc w:val="both"/>
        <w:spacing w:after="0" w:line="264" w:lineRule="auto"/>
        <w:rPr>
          <w:sz w:val="20"/>
          <w:szCs w:val="20"/>
          <w:color w:val="auto"/>
        </w:rPr>
      </w:pPr>
      <w:r>
        <w:rPr>
          <w:rFonts w:ascii="Arial" w:cs="Arial" w:eastAsia="Arial" w:hAnsi="Arial"/>
          <w:sz w:val="16"/>
          <w:szCs w:val="16"/>
          <w:color w:val="auto"/>
        </w:rPr>
        <w:t>When they become operational, projects at Sempra LNG and Sempra Pipelines &amp; Storage place significant reliance on the ability of their suppliers and customers to perform on long-term agreements and on our ability to enforce contract terms in the event of nonperformance. We consider many factors, including the negotiation of supplier and customer agreements, when we evaluate and approve development projects.</w:t>
      </w:r>
    </w:p>
    <w:p>
      <w:pPr>
        <w:spacing w:after="0" w:line="42" w:lineRule="exact"/>
        <w:rPr>
          <w:sz w:val="20"/>
          <w:szCs w:val="20"/>
          <w:color w:val="auto"/>
        </w:rPr>
      </w:pPr>
    </w:p>
    <w:p>
      <w:pPr>
        <w:ind w:right="160"/>
        <w:spacing w:after="0" w:line="289" w:lineRule="auto"/>
        <w:rPr>
          <w:sz w:val="20"/>
          <w:szCs w:val="20"/>
          <w:color w:val="auto"/>
        </w:rPr>
      </w:pPr>
      <w:r>
        <w:rPr>
          <w:rFonts w:ascii="Arial" w:cs="Arial" w:eastAsia="Arial" w:hAnsi="Arial"/>
          <w:sz w:val="15"/>
          <w:szCs w:val="15"/>
          <w:color w:val="auto"/>
        </w:rPr>
        <w:t>As a transitional measure, we continue to provide back-up guarantees for a portion of RBS Sempra Commodities' trading obligations and for certain credit facilities with third party lenders pending novation of the remaining trading obligations to RBS. In addition, in conjunction with the other owners of the Rockies Express, we guarantee Rockies Express' $600 million of floating rate notes maturing in September 2009 and borrowings under its credit facility. We discuss these credit guarantees in Note 6.</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4"/>
          <w:szCs w:val="14"/>
          <w:color w:val="auto"/>
        </w:rPr>
        <w:t>183</w:t>
      </w:r>
    </w:p>
    <w:p>
      <w:pPr>
        <w:sectPr>
          <w:pgSz w:w="11900" w:h="16838" w:orient="portrait"/>
          <w:cols w:equalWidth="0" w:num="1">
            <w:col w:w="11300"/>
          </w:cols>
          <w:pgMar w:left="240" w:top="127" w:right="359" w:bottom="1440" w:gutter="0" w:footer="0" w:header="0"/>
        </w:sectPr>
      </w:pPr>
    </w:p>
    <w:bookmarkStart w:id="323" w:name="page324"/>
    <w:bookmarkEnd w:id="32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149860</wp:posOffset>
            </wp:positionH>
            <wp:positionV relativeFrom="page">
              <wp:posOffset>432435</wp:posOffset>
            </wp:positionV>
            <wp:extent cx="7261860" cy="762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61860" cy="7620"/>
                    </a:xfrm>
                    <a:prstGeom prst="rect">
                      <a:avLst/>
                    </a:prstGeom>
                    <a:noFill/>
                  </pic:spPr>
                </pic:pic>
              </a:graphicData>
            </a:graphic>
          </wp:anchor>
        </w:drawing>
        <w:t>NOTE 17. SEGMENT INFORMATION</w:t>
      </w:r>
    </w:p>
    <w:p>
      <w:pPr>
        <w:spacing w:after="0" w:line="60" w:lineRule="exact"/>
        <w:rPr>
          <w:sz w:val="20"/>
          <w:szCs w:val="20"/>
          <w:color w:val="auto"/>
        </w:rPr>
      </w:pPr>
    </w:p>
    <w:p>
      <w:pPr>
        <w:spacing w:after="0"/>
        <w:rPr>
          <w:sz w:val="20"/>
          <w:szCs w:val="20"/>
          <w:color w:val="auto"/>
        </w:rPr>
      </w:pPr>
      <w:r>
        <w:rPr>
          <w:rFonts w:ascii="Arial" w:cs="Arial" w:eastAsia="Arial" w:hAnsi="Arial"/>
          <w:sz w:val="16"/>
          <w:szCs w:val="16"/>
          <w:color w:val="auto"/>
        </w:rPr>
        <w:t>We have five separately managed reportable segments, as follows:</w:t>
      </w:r>
    </w:p>
    <w:p>
      <w:pPr>
        <w:spacing w:after="0" w:line="80" w:lineRule="exact"/>
        <w:rPr>
          <w:sz w:val="20"/>
          <w:szCs w:val="20"/>
          <w:color w:val="auto"/>
        </w:rPr>
      </w:pPr>
    </w:p>
    <w:p>
      <w:pPr>
        <w:ind w:left="580" w:hanging="296"/>
        <w:spacing w:after="0"/>
        <w:tabs>
          <w:tab w:leader="none" w:pos="580" w:val="left"/>
        </w:tabs>
        <w:numPr>
          <w:ilvl w:val="0"/>
          <w:numId w:val="396"/>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SDG&amp;E </w:t>
      </w:r>
      <w:r>
        <w:rPr>
          <w:rFonts w:ascii="Arial" w:cs="Arial" w:eastAsia="Arial" w:hAnsi="Arial"/>
          <w:sz w:val="16"/>
          <w:szCs w:val="16"/>
          <w:color w:val="auto"/>
        </w:rPr>
        <w:t>provides electric service to San Diego and southern Orange counties and natural gas service to San Diego County.</w:t>
      </w:r>
    </w:p>
    <w:p>
      <w:pPr>
        <w:spacing w:after="0" w:line="200" w:lineRule="exact"/>
        <w:rPr>
          <w:rFonts w:ascii="Arial" w:cs="Arial" w:eastAsia="Arial" w:hAnsi="Arial"/>
          <w:sz w:val="16"/>
          <w:szCs w:val="16"/>
          <w:i w:val="1"/>
          <w:iCs w:val="1"/>
          <w:color w:val="auto"/>
        </w:rPr>
      </w:pPr>
    </w:p>
    <w:p>
      <w:pPr>
        <w:ind w:left="580" w:hanging="296"/>
        <w:spacing w:after="0"/>
        <w:tabs>
          <w:tab w:leader="none" w:pos="580" w:val="left"/>
        </w:tabs>
        <w:numPr>
          <w:ilvl w:val="0"/>
          <w:numId w:val="396"/>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SoCalGas </w:t>
      </w:r>
      <w:r>
        <w:rPr>
          <w:rFonts w:ascii="Arial" w:cs="Arial" w:eastAsia="Arial" w:hAnsi="Arial"/>
          <w:sz w:val="16"/>
          <w:szCs w:val="16"/>
          <w:color w:val="auto"/>
        </w:rPr>
        <w:t>is a natural gas distribution utility, serving customers throughout most of Southern California and part of central California.</w:t>
      </w:r>
    </w:p>
    <w:p>
      <w:pPr>
        <w:spacing w:after="0" w:line="200" w:lineRule="exact"/>
        <w:rPr>
          <w:rFonts w:ascii="Arial" w:cs="Arial" w:eastAsia="Arial" w:hAnsi="Arial"/>
          <w:sz w:val="16"/>
          <w:szCs w:val="16"/>
          <w:i w:val="1"/>
          <w:iCs w:val="1"/>
          <w:color w:val="auto"/>
        </w:rPr>
      </w:pPr>
    </w:p>
    <w:p>
      <w:pPr>
        <w:ind w:left="580" w:right="900" w:hanging="296"/>
        <w:spacing w:after="0" w:line="264" w:lineRule="auto"/>
        <w:tabs>
          <w:tab w:leader="none" w:pos="580" w:val="left"/>
        </w:tabs>
        <w:numPr>
          <w:ilvl w:val="0"/>
          <w:numId w:val="396"/>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Sempra Commodities </w:t>
      </w:r>
      <w:r>
        <w:rPr>
          <w:rFonts w:ascii="Arial" w:cs="Arial" w:eastAsia="Arial" w:hAnsi="Arial"/>
          <w:sz w:val="16"/>
          <w:szCs w:val="16"/>
          <w:color w:val="auto"/>
        </w:rPr>
        <w:t>holds our investment in RBS Sempra Commodities, a joint venture with RBS. The partnership was formed on April 1, 2008 from our</w:t>
      </w:r>
      <w:r>
        <w:rPr>
          <w:rFonts w:ascii="Arial" w:cs="Arial" w:eastAsia="Arial" w:hAnsi="Arial"/>
          <w:sz w:val="16"/>
          <w:szCs w:val="16"/>
          <w:i w:val="1"/>
          <w:iCs w:val="1"/>
          <w:color w:val="auto"/>
        </w:rPr>
        <w:t xml:space="preserve"> </w:t>
      </w:r>
      <w:r>
        <w:rPr>
          <w:rFonts w:ascii="Arial" w:cs="Arial" w:eastAsia="Arial" w:hAnsi="Arial"/>
          <w:sz w:val="16"/>
          <w:szCs w:val="16"/>
          <w:color w:val="auto"/>
        </w:rPr>
        <w:t>commodities-marketing businesses previously reported in this segment. The partnership's commodity trading businesses serve customers in natural gas, electricity, petroleum and petroleum products, and base metals.</w:t>
      </w:r>
    </w:p>
    <w:p>
      <w:pPr>
        <w:spacing w:after="0" w:line="89" w:lineRule="exact"/>
        <w:rPr>
          <w:rFonts w:ascii="Arial" w:cs="Arial" w:eastAsia="Arial" w:hAnsi="Arial"/>
          <w:sz w:val="16"/>
          <w:szCs w:val="16"/>
          <w:i w:val="1"/>
          <w:iCs w:val="1"/>
          <w:color w:val="auto"/>
        </w:rPr>
      </w:pPr>
    </w:p>
    <w:p>
      <w:pPr>
        <w:ind w:left="580" w:right="860"/>
        <w:spacing w:after="0" w:line="277" w:lineRule="auto"/>
        <w:rPr>
          <w:rFonts w:ascii="Arial" w:cs="Arial" w:eastAsia="Arial" w:hAnsi="Arial"/>
          <w:sz w:val="16"/>
          <w:szCs w:val="16"/>
          <w:i w:val="1"/>
          <w:iCs w:val="1"/>
          <w:color w:val="auto"/>
        </w:rPr>
      </w:pPr>
      <w:r>
        <w:rPr>
          <w:rFonts w:ascii="Arial" w:cs="Arial" w:eastAsia="Arial" w:hAnsi="Arial"/>
          <w:sz w:val="16"/>
          <w:szCs w:val="16"/>
          <w:color w:val="auto"/>
        </w:rPr>
        <w:t>We provide further discussion regarding the joint venture in Note 4. Sempra Commodities also includes the operating results of Sempra Rockies Marketing, which holds firm service capacity on the Rockies Express Pipeline.</w:t>
      </w:r>
    </w:p>
    <w:p>
      <w:pPr>
        <w:spacing w:after="0" w:line="151" w:lineRule="exact"/>
        <w:rPr>
          <w:rFonts w:ascii="Arial" w:cs="Arial" w:eastAsia="Arial" w:hAnsi="Arial"/>
          <w:sz w:val="16"/>
          <w:szCs w:val="16"/>
          <w:i w:val="1"/>
          <w:iCs w:val="1"/>
          <w:color w:val="auto"/>
        </w:rPr>
      </w:pPr>
    </w:p>
    <w:p>
      <w:pPr>
        <w:ind w:left="580" w:right="920" w:hanging="296"/>
        <w:spacing w:after="0" w:line="277" w:lineRule="auto"/>
        <w:tabs>
          <w:tab w:leader="none" w:pos="580" w:val="left"/>
        </w:tabs>
        <w:numPr>
          <w:ilvl w:val="0"/>
          <w:numId w:val="396"/>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Sempra Generation </w:t>
      </w:r>
      <w:r>
        <w:rPr>
          <w:rFonts w:ascii="Arial" w:cs="Arial" w:eastAsia="Arial" w:hAnsi="Arial"/>
          <w:sz w:val="16"/>
          <w:szCs w:val="16"/>
          <w:color w:val="auto"/>
        </w:rPr>
        <w:t>develops, owns and operates electric power plants in California, Nevada, Arizona and Mexico to serve wholesale electricity markets in</w:t>
      </w:r>
      <w:r>
        <w:rPr>
          <w:rFonts w:ascii="Arial" w:cs="Arial" w:eastAsia="Arial" w:hAnsi="Arial"/>
          <w:sz w:val="16"/>
          <w:szCs w:val="16"/>
          <w:i w:val="1"/>
          <w:iCs w:val="1"/>
          <w:color w:val="auto"/>
        </w:rPr>
        <w:t xml:space="preserve"> </w:t>
      </w:r>
      <w:r>
        <w:rPr>
          <w:rFonts w:ascii="Arial" w:cs="Arial" w:eastAsia="Arial" w:hAnsi="Arial"/>
          <w:sz w:val="16"/>
          <w:szCs w:val="16"/>
          <w:color w:val="auto"/>
        </w:rPr>
        <w:t>North America.</w:t>
      </w:r>
    </w:p>
    <w:p>
      <w:pPr>
        <w:spacing w:after="0" w:line="151" w:lineRule="exact"/>
        <w:rPr>
          <w:rFonts w:ascii="Arial" w:cs="Arial" w:eastAsia="Arial" w:hAnsi="Arial"/>
          <w:sz w:val="16"/>
          <w:szCs w:val="16"/>
          <w:i w:val="1"/>
          <w:iCs w:val="1"/>
          <w:color w:val="auto"/>
        </w:rPr>
      </w:pPr>
    </w:p>
    <w:p>
      <w:pPr>
        <w:ind w:left="580" w:right="640" w:hanging="296"/>
        <w:spacing w:after="0" w:line="319" w:lineRule="auto"/>
        <w:tabs>
          <w:tab w:leader="none" w:pos="580" w:val="left"/>
        </w:tabs>
        <w:numPr>
          <w:ilvl w:val="0"/>
          <w:numId w:val="396"/>
        </w:numPr>
        <w:rPr>
          <w:rFonts w:ascii="Arial" w:cs="Arial" w:eastAsia="Arial" w:hAnsi="Arial"/>
          <w:sz w:val="14"/>
          <w:szCs w:val="14"/>
          <w:i w:val="1"/>
          <w:iCs w:val="1"/>
          <w:color w:val="auto"/>
        </w:rPr>
      </w:pPr>
      <w:r>
        <w:rPr>
          <w:rFonts w:ascii="Arial" w:cs="Arial" w:eastAsia="Arial" w:hAnsi="Arial"/>
          <w:sz w:val="14"/>
          <w:szCs w:val="14"/>
          <w:i w:val="1"/>
          <w:iCs w:val="1"/>
          <w:color w:val="auto"/>
        </w:rPr>
        <w:t xml:space="preserve">Sempra Pipelines &amp; Storage </w:t>
      </w:r>
      <w:r>
        <w:rPr>
          <w:rFonts w:ascii="Arial" w:cs="Arial" w:eastAsia="Arial" w:hAnsi="Arial"/>
          <w:sz w:val="14"/>
          <w:szCs w:val="14"/>
          <w:color w:val="auto"/>
        </w:rPr>
        <w:t>develops, owns and operates, or holds interests in, natural gas pipelines and storage facilities in the United States and Mexico, and</w:t>
      </w:r>
      <w:r>
        <w:rPr>
          <w:rFonts w:ascii="Arial" w:cs="Arial" w:eastAsia="Arial" w:hAnsi="Arial"/>
          <w:sz w:val="14"/>
          <w:szCs w:val="14"/>
          <w:i w:val="1"/>
          <w:iCs w:val="1"/>
          <w:color w:val="auto"/>
        </w:rPr>
        <w:t xml:space="preserve"> </w:t>
      </w:r>
      <w:r>
        <w:rPr>
          <w:rFonts w:ascii="Arial" w:cs="Arial" w:eastAsia="Arial" w:hAnsi="Arial"/>
          <w:sz w:val="14"/>
          <w:szCs w:val="14"/>
          <w:color w:val="auto"/>
        </w:rPr>
        <w:t>in companies that provide natural gas or electricity services in Argentina, Chile, Mexico and Peru. We are currently pursuing the sale of our interests in the Argentine utilities, which we discuss further in Note 4. Sempra Pipelines &amp; Storage also operates a small natural gas distribution utility in Southwest Alabama.</w:t>
      </w:r>
    </w:p>
    <w:p>
      <w:pPr>
        <w:spacing w:after="0" w:line="127" w:lineRule="exact"/>
        <w:rPr>
          <w:sz w:val="20"/>
          <w:szCs w:val="20"/>
          <w:color w:val="auto"/>
        </w:rPr>
      </w:pPr>
    </w:p>
    <w:p>
      <w:pPr>
        <w:ind w:right="40"/>
        <w:spacing w:after="0" w:line="264" w:lineRule="auto"/>
        <w:rPr>
          <w:sz w:val="20"/>
          <w:szCs w:val="20"/>
          <w:color w:val="auto"/>
        </w:rPr>
      </w:pPr>
      <w:r>
        <w:rPr>
          <w:rFonts w:ascii="Arial" w:cs="Arial" w:eastAsia="Arial" w:hAnsi="Arial"/>
          <w:sz w:val="16"/>
          <w:szCs w:val="16"/>
          <w:color w:val="auto"/>
        </w:rPr>
        <w:t>We evaluate each segment's performance based on reported net income. The Sempra Utilities operate in essentially separate service territories, under separate regulatory frameworks and rate structures set by the CPUC. The Sempra Utilities' transactions are based on rates set by the CPUC and the FERC. We describe the accounting policies of our segments in Note 1.</w:t>
      </w:r>
    </w:p>
    <w:p>
      <w:pPr>
        <w:spacing w:after="0" w:line="42" w:lineRule="exact"/>
        <w:rPr>
          <w:sz w:val="20"/>
          <w:szCs w:val="20"/>
          <w:color w:val="auto"/>
        </w:rPr>
      </w:pPr>
    </w:p>
    <w:p>
      <w:pPr>
        <w:spacing w:after="0" w:line="277" w:lineRule="auto"/>
        <w:rPr>
          <w:sz w:val="20"/>
          <w:szCs w:val="20"/>
          <w:color w:val="auto"/>
        </w:rPr>
      </w:pPr>
      <w:r>
        <w:rPr>
          <w:rFonts w:ascii="Arial" w:cs="Arial" w:eastAsia="Arial" w:hAnsi="Arial"/>
          <w:sz w:val="16"/>
          <w:szCs w:val="16"/>
          <w:color w:val="auto"/>
        </w:rPr>
        <w:t>Sales to the DWR, which is a customer of the Sempra Generation segment and which is discussed in various sections of this Annual Report, comprised 10 percent of our revenues in 2008 and 9 percent in each of 2007 and 2006.</w:t>
      </w:r>
    </w:p>
    <w:p>
      <w:pPr>
        <w:spacing w:after="0" w:line="32" w:lineRule="exact"/>
        <w:rPr>
          <w:sz w:val="20"/>
          <w:szCs w:val="20"/>
          <w:color w:val="auto"/>
        </w:rPr>
      </w:pPr>
    </w:p>
    <w:p>
      <w:pPr>
        <w:ind w:right="540"/>
        <w:spacing w:after="0" w:line="277" w:lineRule="auto"/>
        <w:rPr>
          <w:sz w:val="20"/>
          <w:szCs w:val="20"/>
          <w:color w:val="auto"/>
        </w:rPr>
      </w:pPr>
      <w:r>
        <w:rPr>
          <w:rFonts w:ascii="Arial" w:cs="Arial" w:eastAsia="Arial" w:hAnsi="Arial"/>
          <w:sz w:val="16"/>
          <w:szCs w:val="16"/>
          <w:color w:val="auto"/>
        </w:rPr>
        <w:t>The operations that were discontinued in the first half of 2006, as described in Note 5, had been in the Sempra Generation segment, with the exception of Bangor Gas and Frontier Energy, which were in the Sempra Pipelines &amp; Storage segment.</w:t>
      </w:r>
    </w:p>
    <w:p>
      <w:pPr>
        <w:spacing w:after="0" w:line="32" w:lineRule="exact"/>
        <w:rPr>
          <w:sz w:val="20"/>
          <w:szCs w:val="20"/>
          <w:color w:val="auto"/>
        </w:rPr>
      </w:pPr>
    </w:p>
    <w:p>
      <w:pPr>
        <w:ind w:right="280"/>
        <w:spacing w:after="0" w:line="277" w:lineRule="auto"/>
        <w:rPr>
          <w:sz w:val="20"/>
          <w:szCs w:val="20"/>
          <w:color w:val="auto"/>
        </w:rPr>
      </w:pPr>
      <w:r>
        <w:rPr>
          <w:rFonts w:ascii="Arial" w:cs="Arial" w:eastAsia="Arial" w:hAnsi="Arial"/>
          <w:sz w:val="16"/>
          <w:szCs w:val="16"/>
          <w:color w:val="auto"/>
        </w:rPr>
        <w:t>The following tables show selected information by segment from our Statements of Consolidated Income and Consolidated Balance Sheets. The tables exclude amounts from discontinued operations, unless otherwise noted.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Amounts labeled as "all other" in the following tables consist primarily of parent organizations and Sempra LNG.</w:t>
      </w: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4"/>
          <w:szCs w:val="14"/>
          <w:color w:val="auto"/>
        </w:rPr>
        <w:t>184</w:t>
      </w:r>
    </w:p>
    <w:p>
      <w:pPr>
        <w:sectPr>
          <w:pgSz w:w="11900" w:h="16838" w:orient="portrait"/>
          <w:cols w:equalWidth="0" w:num="1">
            <w:col w:w="11420"/>
          </w:cols>
          <w:pgMar w:left="240" w:top="737" w:right="239" w:bottom="1440" w:gutter="0" w:footer="0" w:header="0"/>
        </w:sectPr>
      </w:pPr>
    </w:p>
    <w:bookmarkStart w:id="324" w:name="page325"/>
    <w:bookmarkEnd w:id="324"/>
    <w:p>
      <w:pPr>
        <w:ind w:left="1980"/>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1400810</wp:posOffset>
            </wp:positionH>
            <wp:positionV relativeFrom="page">
              <wp:posOffset>271780</wp:posOffset>
            </wp:positionV>
            <wp:extent cx="4759960" cy="28194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4759960" cy="281940"/>
                    </a:xfrm>
                    <a:prstGeom prst="rect">
                      <a:avLst/>
                    </a:prstGeom>
                    <a:noFill/>
                  </pic:spPr>
                </pic:pic>
              </a:graphicData>
            </a:graphic>
          </wp:anchor>
        </w:drawing>
        <w:t>SEGMENT INFORMATION</w:t>
      </w:r>
    </w:p>
    <w:p>
      <w:pPr>
        <w:spacing w:after="0" w:line="76" w:lineRule="exact"/>
        <w:rPr>
          <w:sz w:val="20"/>
          <w:szCs w:val="20"/>
          <w:color w:val="auto"/>
        </w:rPr>
      </w:pPr>
    </w:p>
    <w:tbl>
      <w:tblPr>
        <w:tblLayout w:type="fixed"/>
        <w:tblInd w:w="1960" w:type="dxa"/>
        <w:tblCellMar>
          <w:top w:w="0" w:type="dxa"/>
          <w:left w:w="0" w:type="dxa"/>
          <w:bottom w:w="0" w:type="dxa"/>
          <w:right w:w="0" w:type="dxa"/>
        </w:tblCellMar>
      </w:tblPr>
      <w:tr>
        <w:trPr>
          <w:trHeight w:val="166"/>
        </w:trPr>
        <w:tc>
          <w:tcPr>
            <w:tcW w:w="3000" w:type="dxa"/>
            <w:vAlign w:val="bottom"/>
          </w:tcPr>
          <w:p>
            <w:pPr>
              <w:ind w:left="20"/>
              <w:spacing w:after="0"/>
              <w:rPr>
                <w:sz w:val="20"/>
                <w:szCs w:val="20"/>
                <w:color w:val="auto"/>
              </w:rPr>
            </w:pPr>
            <w:r>
              <w:rPr>
                <w:rFonts w:ascii="Arial" w:cs="Arial" w:eastAsia="Arial" w:hAnsi="Arial"/>
                <w:sz w:val="13"/>
                <w:szCs w:val="13"/>
                <w:i w:val="1"/>
                <w:iCs w:val="1"/>
                <w:color w:val="auto"/>
              </w:rPr>
              <w:t>(Dollars in millions)</w:t>
            </w: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209"/>
        </w:trPr>
        <w:tc>
          <w:tcPr>
            <w:tcW w:w="30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color w:val="auto"/>
                <w:w w:val="98"/>
              </w:rPr>
              <w:t>Years ended December 31,</w:t>
            </w: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r>
      <w:tr>
        <w:trPr>
          <w:trHeight w:val="208"/>
        </w:trPr>
        <w:tc>
          <w:tcPr>
            <w:tcW w:w="30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2008</w:t>
            </w:r>
          </w:p>
        </w:tc>
        <w:tc>
          <w:tcPr>
            <w:tcW w:w="5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2007</w:t>
            </w:r>
          </w:p>
        </w:tc>
        <w:tc>
          <w:tcPr>
            <w:tcW w:w="6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2006</w:t>
            </w:r>
          </w:p>
        </w:tc>
        <w:tc>
          <w:tcPr>
            <w:tcW w:w="540" w:type="dxa"/>
            <w:vAlign w:val="bottom"/>
            <w:tcBorders>
              <w:bottom w:val="single" w:sz="8" w:color="auto"/>
            </w:tcBorders>
          </w:tcPr>
          <w:p>
            <w:pPr>
              <w:spacing w:after="0"/>
              <w:rPr>
                <w:sz w:val="18"/>
                <w:szCs w:val="18"/>
                <w:color w:val="auto"/>
              </w:rPr>
            </w:pPr>
          </w:p>
        </w:tc>
      </w:tr>
      <w:tr>
        <w:trPr>
          <w:trHeight w:val="207"/>
        </w:trPr>
        <w:tc>
          <w:tcPr>
            <w:tcW w:w="3000" w:type="dxa"/>
            <w:vAlign w:val="bottom"/>
          </w:tcPr>
          <w:p>
            <w:pPr>
              <w:ind w:left="20"/>
              <w:spacing w:after="0"/>
              <w:rPr>
                <w:sz w:val="20"/>
                <w:szCs w:val="20"/>
                <w:color w:val="auto"/>
              </w:rPr>
            </w:pPr>
            <w:r>
              <w:rPr>
                <w:rFonts w:ascii="Arial" w:cs="Arial" w:eastAsia="Arial" w:hAnsi="Arial"/>
                <w:sz w:val="14"/>
                <w:szCs w:val="14"/>
                <w:color w:val="auto"/>
              </w:rPr>
              <w:t>REVENUES</w:t>
            </w: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40" w:type="dxa"/>
            <w:vAlign w:val="bottom"/>
          </w:tcPr>
          <w:p>
            <w:pPr>
              <w:spacing w:after="0"/>
              <w:rPr>
                <w:sz w:val="18"/>
                <w:szCs w:val="18"/>
                <w:color w:val="auto"/>
              </w:rPr>
            </w:pPr>
          </w:p>
        </w:tc>
      </w:tr>
      <w:tr>
        <w:trPr>
          <w:trHeight w:val="216"/>
        </w:trPr>
        <w:tc>
          <w:tcPr>
            <w:tcW w:w="3000" w:type="dxa"/>
            <w:vAlign w:val="bottom"/>
          </w:tcPr>
          <w:p>
            <w:pPr>
              <w:ind w:left="180"/>
              <w:spacing w:after="0"/>
              <w:rPr>
                <w:sz w:val="20"/>
                <w:szCs w:val="20"/>
                <w:color w:val="auto"/>
              </w:rPr>
            </w:pPr>
            <w:r>
              <w:rPr>
                <w:rFonts w:ascii="Arial" w:cs="Arial" w:eastAsia="Arial" w:hAnsi="Arial"/>
                <w:sz w:val="14"/>
                <w:szCs w:val="14"/>
                <w:color w:val="auto"/>
              </w:rPr>
              <w:t>SDG&amp;E</w:t>
            </w: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128"/>
              <w:spacing w:after="0"/>
              <w:rPr>
                <w:sz w:val="20"/>
                <w:szCs w:val="20"/>
                <w:color w:val="auto"/>
              </w:rPr>
            </w:pPr>
            <w:r>
              <w:rPr>
                <w:rFonts w:ascii="Arial" w:cs="Arial" w:eastAsia="Arial" w:hAnsi="Arial"/>
                <w:sz w:val="14"/>
                <w:szCs w:val="14"/>
                <w:color w:val="auto"/>
              </w:rPr>
              <w:t>3,251</w:t>
            </w:r>
          </w:p>
        </w:tc>
        <w:tc>
          <w:tcPr>
            <w:tcW w:w="500" w:type="dxa"/>
            <w:vAlign w:val="bottom"/>
          </w:tcPr>
          <w:p>
            <w:pPr>
              <w:jc w:val="right"/>
              <w:spacing w:after="0"/>
              <w:rPr>
                <w:sz w:val="20"/>
                <w:szCs w:val="20"/>
                <w:color w:val="auto"/>
              </w:rPr>
            </w:pPr>
            <w:r>
              <w:rPr>
                <w:rFonts w:ascii="Arial" w:cs="Arial" w:eastAsia="Arial" w:hAnsi="Arial"/>
                <w:sz w:val="14"/>
                <w:szCs w:val="14"/>
                <w:color w:val="auto"/>
              </w:rPr>
              <w:t>30 %</w:t>
            </w:r>
          </w:p>
        </w:tc>
        <w:tc>
          <w:tcPr>
            <w:tcW w:w="32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128"/>
              <w:spacing w:after="0"/>
              <w:rPr>
                <w:sz w:val="20"/>
                <w:szCs w:val="20"/>
                <w:color w:val="auto"/>
              </w:rPr>
            </w:pPr>
            <w:r>
              <w:rPr>
                <w:rFonts w:ascii="Arial" w:cs="Arial" w:eastAsia="Arial" w:hAnsi="Arial"/>
                <w:sz w:val="14"/>
                <w:szCs w:val="14"/>
                <w:color w:val="auto"/>
              </w:rPr>
              <w:t>2,852</w:t>
            </w:r>
          </w:p>
        </w:tc>
        <w:tc>
          <w:tcPr>
            <w:tcW w:w="640" w:type="dxa"/>
            <w:vAlign w:val="bottom"/>
          </w:tcPr>
          <w:p>
            <w:pPr>
              <w:jc w:val="right"/>
              <w:ind w:right="108"/>
              <w:spacing w:after="0"/>
              <w:rPr>
                <w:sz w:val="20"/>
                <w:szCs w:val="20"/>
                <w:color w:val="auto"/>
              </w:rPr>
            </w:pPr>
            <w:r>
              <w:rPr>
                <w:rFonts w:ascii="Arial" w:cs="Arial" w:eastAsia="Arial" w:hAnsi="Arial"/>
                <w:sz w:val="14"/>
                <w:szCs w:val="14"/>
                <w:color w:val="auto"/>
              </w:rPr>
              <w:t>25 %</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148"/>
              <w:spacing w:after="0"/>
              <w:rPr>
                <w:sz w:val="20"/>
                <w:szCs w:val="20"/>
                <w:color w:val="auto"/>
              </w:rPr>
            </w:pPr>
            <w:r>
              <w:rPr>
                <w:rFonts w:ascii="Arial" w:cs="Arial" w:eastAsia="Arial" w:hAnsi="Arial"/>
                <w:sz w:val="14"/>
                <w:szCs w:val="14"/>
                <w:color w:val="auto"/>
              </w:rPr>
              <w:t>2,785</w:t>
            </w:r>
          </w:p>
        </w:tc>
        <w:tc>
          <w:tcPr>
            <w:tcW w:w="540" w:type="dxa"/>
            <w:vAlign w:val="bottom"/>
          </w:tcPr>
          <w:p>
            <w:pPr>
              <w:jc w:val="right"/>
              <w:ind w:right="28"/>
              <w:spacing w:after="0"/>
              <w:rPr>
                <w:sz w:val="20"/>
                <w:szCs w:val="20"/>
                <w:color w:val="auto"/>
              </w:rPr>
            </w:pPr>
            <w:r>
              <w:rPr>
                <w:rFonts w:ascii="Arial" w:cs="Arial" w:eastAsia="Arial" w:hAnsi="Arial"/>
                <w:sz w:val="14"/>
                <w:szCs w:val="14"/>
                <w:color w:val="auto"/>
              </w:rPr>
              <w:t>24 %</w:t>
            </w:r>
          </w:p>
        </w:tc>
      </w:tr>
      <w:tr>
        <w:trPr>
          <w:trHeight w:val="216"/>
        </w:trPr>
        <w:tc>
          <w:tcPr>
            <w:tcW w:w="3000" w:type="dxa"/>
            <w:vAlign w:val="bottom"/>
          </w:tcPr>
          <w:p>
            <w:pPr>
              <w:ind w:left="180"/>
              <w:spacing w:after="0"/>
              <w:rPr>
                <w:sz w:val="20"/>
                <w:szCs w:val="20"/>
                <w:color w:val="auto"/>
              </w:rPr>
            </w:pPr>
            <w:r>
              <w:rPr>
                <w:rFonts w:ascii="Arial" w:cs="Arial" w:eastAsia="Arial" w:hAnsi="Arial"/>
                <w:sz w:val="14"/>
                <w:szCs w:val="14"/>
                <w:color w:val="auto"/>
              </w:rPr>
              <w:t>SoCalGas</w:t>
            </w:r>
          </w:p>
        </w:tc>
        <w:tc>
          <w:tcPr>
            <w:tcW w:w="260" w:type="dxa"/>
            <w:vAlign w:val="bottom"/>
          </w:tcPr>
          <w:p>
            <w:pPr>
              <w:spacing w:after="0"/>
              <w:rPr>
                <w:sz w:val="18"/>
                <w:szCs w:val="18"/>
                <w:color w:val="auto"/>
              </w:rPr>
            </w:pPr>
          </w:p>
        </w:tc>
        <w:tc>
          <w:tcPr>
            <w:tcW w:w="680" w:type="dxa"/>
            <w:vAlign w:val="bottom"/>
          </w:tcPr>
          <w:p>
            <w:pPr>
              <w:jc w:val="right"/>
              <w:ind w:right="128"/>
              <w:spacing w:after="0"/>
              <w:rPr>
                <w:sz w:val="20"/>
                <w:szCs w:val="20"/>
                <w:color w:val="auto"/>
              </w:rPr>
            </w:pPr>
            <w:r>
              <w:rPr>
                <w:rFonts w:ascii="Arial" w:cs="Arial" w:eastAsia="Arial" w:hAnsi="Arial"/>
                <w:sz w:val="14"/>
                <w:szCs w:val="14"/>
                <w:color w:val="auto"/>
              </w:rPr>
              <w:t>4,768</w:t>
            </w:r>
          </w:p>
        </w:tc>
        <w:tc>
          <w:tcPr>
            <w:tcW w:w="500" w:type="dxa"/>
            <w:vAlign w:val="bottom"/>
          </w:tcPr>
          <w:p>
            <w:pPr>
              <w:jc w:val="right"/>
              <w:ind w:right="128"/>
              <w:spacing w:after="0"/>
              <w:rPr>
                <w:sz w:val="20"/>
                <w:szCs w:val="20"/>
                <w:color w:val="auto"/>
              </w:rPr>
            </w:pPr>
            <w:r>
              <w:rPr>
                <w:rFonts w:ascii="Arial" w:cs="Arial" w:eastAsia="Arial" w:hAnsi="Arial"/>
                <w:sz w:val="14"/>
                <w:szCs w:val="14"/>
                <w:color w:val="auto"/>
              </w:rPr>
              <w:t>44</w:t>
            </w:r>
          </w:p>
        </w:tc>
        <w:tc>
          <w:tcPr>
            <w:tcW w:w="320" w:type="dxa"/>
            <w:vAlign w:val="bottom"/>
          </w:tcPr>
          <w:p>
            <w:pPr>
              <w:spacing w:after="0"/>
              <w:rPr>
                <w:sz w:val="18"/>
                <w:szCs w:val="18"/>
                <w:color w:val="auto"/>
              </w:rPr>
            </w:pPr>
          </w:p>
        </w:tc>
        <w:tc>
          <w:tcPr>
            <w:tcW w:w="680" w:type="dxa"/>
            <w:vAlign w:val="bottom"/>
          </w:tcPr>
          <w:p>
            <w:pPr>
              <w:jc w:val="right"/>
              <w:ind w:right="128"/>
              <w:spacing w:after="0"/>
              <w:rPr>
                <w:sz w:val="20"/>
                <w:szCs w:val="20"/>
                <w:color w:val="auto"/>
              </w:rPr>
            </w:pPr>
            <w:r>
              <w:rPr>
                <w:rFonts w:ascii="Arial" w:cs="Arial" w:eastAsia="Arial" w:hAnsi="Arial"/>
                <w:sz w:val="14"/>
                <w:szCs w:val="14"/>
                <w:color w:val="auto"/>
              </w:rPr>
              <w:t>4,282</w:t>
            </w:r>
          </w:p>
        </w:tc>
        <w:tc>
          <w:tcPr>
            <w:tcW w:w="640" w:type="dxa"/>
            <w:vAlign w:val="bottom"/>
          </w:tcPr>
          <w:p>
            <w:pPr>
              <w:jc w:val="right"/>
              <w:ind w:right="268"/>
              <w:spacing w:after="0"/>
              <w:rPr>
                <w:sz w:val="20"/>
                <w:szCs w:val="20"/>
                <w:color w:val="auto"/>
              </w:rPr>
            </w:pPr>
            <w:r>
              <w:rPr>
                <w:rFonts w:ascii="Arial" w:cs="Arial" w:eastAsia="Arial" w:hAnsi="Arial"/>
                <w:sz w:val="14"/>
                <w:szCs w:val="14"/>
                <w:color w:val="auto"/>
              </w:rPr>
              <w:t>38</w:t>
            </w:r>
          </w:p>
        </w:tc>
        <w:tc>
          <w:tcPr>
            <w:tcW w:w="180" w:type="dxa"/>
            <w:vAlign w:val="bottom"/>
          </w:tcPr>
          <w:p>
            <w:pPr>
              <w:spacing w:after="0"/>
              <w:rPr>
                <w:sz w:val="18"/>
                <w:szCs w:val="18"/>
                <w:color w:val="auto"/>
              </w:rPr>
            </w:pPr>
          </w:p>
        </w:tc>
        <w:tc>
          <w:tcPr>
            <w:tcW w:w="700" w:type="dxa"/>
            <w:vAlign w:val="bottom"/>
          </w:tcPr>
          <w:p>
            <w:pPr>
              <w:jc w:val="right"/>
              <w:ind w:right="148"/>
              <w:spacing w:after="0"/>
              <w:rPr>
                <w:sz w:val="20"/>
                <w:szCs w:val="20"/>
                <w:color w:val="auto"/>
              </w:rPr>
            </w:pPr>
            <w:r>
              <w:rPr>
                <w:rFonts w:ascii="Arial" w:cs="Arial" w:eastAsia="Arial" w:hAnsi="Arial"/>
                <w:sz w:val="14"/>
                <w:szCs w:val="14"/>
                <w:color w:val="auto"/>
              </w:rPr>
              <w:t>4,181</w:t>
            </w:r>
          </w:p>
        </w:tc>
        <w:tc>
          <w:tcPr>
            <w:tcW w:w="540" w:type="dxa"/>
            <w:vAlign w:val="bottom"/>
          </w:tcPr>
          <w:p>
            <w:pPr>
              <w:jc w:val="right"/>
              <w:ind w:right="188"/>
              <w:spacing w:after="0"/>
              <w:rPr>
                <w:sz w:val="20"/>
                <w:szCs w:val="20"/>
                <w:color w:val="auto"/>
              </w:rPr>
            </w:pPr>
            <w:r>
              <w:rPr>
                <w:rFonts w:ascii="Arial" w:cs="Arial" w:eastAsia="Arial" w:hAnsi="Arial"/>
                <w:sz w:val="14"/>
                <w:szCs w:val="14"/>
                <w:color w:val="auto"/>
              </w:rPr>
              <w:t>36</w:t>
            </w:r>
          </w:p>
        </w:tc>
      </w:tr>
      <w:tr>
        <w:trPr>
          <w:trHeight w:val="216"/>
        </w:trPr>
        <w:tc>
          <w:tcPr>
            <w:tcW w:w="3000" w:type="dxa"/>
            <w:vAlign w:val="bottom"/>
          </w:tcPr>
          <w:p>
            <w:pPr>
              <w:ind w:left="180"/>
              <w:spacing w:after="0"/>
              <w:rPr>
                <w:sz w:val="20"/>
                <w:szCs w:val="20"/>
                <w:color w:val="auto"/>
              </w:rPr>
            </w:pPr>
            <w:r>
              <w:rPr>
                <w:rFonts w:ascii="Arial" w:cs="Arial" w:eastAsia="Arial" w:hAnsi="Arial"/>
                <w:sz w:val="14"/>
                <w:szCs w:val="14"/>
                <w:color w:val="auto"/>
              </w:rPr>
              <w:t>Sempra Commodities</w:t>
            </w:r>
          </w:p>
        </w:tc>
        <w:tc>
          <w:tcPr>
            <w:tcW w:w="260" w:type="dxa"/>
            <w:vAlign w:val="bottom"/>
          </w:tcPr>
          <w:p>
            <w:pPr>
              <w:spacing w:after="0"/>
              <w:rPr>
                <w:sz w:val="18"/>
                <w:szCs w:val="18"/>
                <w:color w:val="auto"/>
              </w:rPr>
            </w:pPr>
          </w:p>
        </w:tc>
        <w:tc>
          <w:tcPr>
            <w:tcW w:w="680" w:type="dxa"/>
            <w:vAlign w:val="bottom"/>
          </w:tcPr>
          <w:p>
            <w:pPr>
              <w:jc w:val="right"/>
              <w:ind w:right="128"/>
              <w:spacing w:after="0"/>
              <w:rPr>
                <w:sz w:val="20"/>
                <w:szCs w:val="20"/>
                <w:color w:val="auto"/>
              </w:rPr>
            </w:pPr>
            <w:r>
              <w:rPr>
                <w:rFonts w:ascii="Arial" w:cs="Arial" w:eastAsia="Arial" w:hAnsi="Arial"/>
                <w:sz w:val="14"/>
                <w:szCs w:val="14"/>
                <w:color w:val="auto"/>
              </w:rPr>
              <w:t>500</w:t>
            </w:r>
          </w:p>
        </w:tc>
        <w:tc>
          <w:tcPr>
            <w:tcW w:w="500" w:type="dxa"/>
            <w:vAlign w:val="bottom"/>
          </w:tcPr>
          <w:p>
            <w:pPr>
              <w:jc w:val="right"/>
              <w:ind w:right="128"/>
              <w:spacing w:after="0"/>
              <w:rPr>
                <w:sz w:val="20"/>
                <w:szCs w:val="20"/>
                <w:color w:val="auto"/>
              </w:rPr>
            </w:pPr>
            <w:r>
              <w:rPr>
                <w:rFonts w:ascii="Arial" w:cs="Arial" w:eastAsia="Arial" w:hAnsi="Arial"/>
                <w:sz w:val="14"/>
                <w:szCs w:val="14"/>
                <w:color w:val="auto"/>
              </w:rPr>
              <w:t>5</w:t>
            </w:r>
          </w:p>
        </w:tc>
        <w:tc>
          <w:tcPr>
            <w:tcW w:w="320" w:type="dxa"/>
            <w:vAlign w:val="bottom"/>
          </w:tcPr>
          <w:p>
            <w:pPr>
              <w:spacing w:after="0"/>
              <w:rPr>
                <w:sz w:val="18"/>
                <w:szCs w:val="18"/>
                <w:color w:val="auto"/>
              </w:rPr>
            </w:pPr>
          </w:p>
        </w:tc>
        <w:tc>
          <w:tcPr>
            <w:tcW w:w="680" w:type="dxa"/>
            <w:vAlign w:val="bottom"/>
          </w:tcPr>
          <w:p>
            <w:pPr>
              <w:jc w:val="right"/>
              <w:ind w:right="128"/>
              <w:spacing w:after="0"/>
              <w:rPr>
                <w:sz w:val="20"/>
                <w:szCs w:val="20"/>
                <w:color w:val="auto"/>
              </w:rPr>
            </w:pPr>
            <w:r>
              <w:rPr>
                <w:rFonts w:ascii="Arial" w:cs="Arial" w:eastAsia="Arial" w:hAnsi="Arial"/>
                <w:sz w:val="14"/>
                <w:szCs w:val="14"/>
                <w:color w:val="auto"/>
              </w:rPr>
              <w:t>2,674</w:t>
            </w:r>
          </w:p>
        </w:tc>
        <w:tc>
          <w:tcPr>
            <w:tcW w:w="640" w:type="dxa"/>
            <w:vAlign w:val="bottom"/>
          </w:tcPr>
          <w:p>
            <w:pPr>
              <w:jc w:val="right"/>
              <w:ind w:right="268"/>
              <w:spacing w:after="0"/>
              <w:rPr>
                <w:sz w:val="20"/>
                <w:szCs w:val="20"/>
                <w:color w:val="auto"/>
              </w:rPr>
            </w:pPr>
            <w:r>
              <w:rPr>
                <w:rFonts w:ascii="Arial" w:cs="Arial" w:eastAsia="Arial" w:hAnsi="Arial"/>
                <w:sz w:val="14"/>
                <w:szCs w:val="14"/>
                <w:color w:val="auto"/>
              </w:rPr>
              <w:t>23</w:t>
            </w:r>
          </w:p>
        </w:tc>
        <w:tc>
          <w:tcPr>
            <w:tcW w:w="180" w:type="dxa"/>
            <w:vAlign w:val="bottom"/>
          </w:tcPr>
          <w:p>
            <w:pPr>
              <w:spacing w:after="0"/>
              <w:rPr>
                <w:sz w:val="18"/>
                <w:szCs w:val="18"/>
                <w:color w:val="auto"/>
              </w:rPr>
            </w:pPr>
          </w:p>
        </w:tc>
        <w:tc>
          <w:tcPr>
            <w:tcW w:w="700" w:type="dxa"/>
            <w:vAlign w:val="bottom"/>
          </w:tcPr>
          <w:p>
            <w:pPr>
              <w:jc w:val="right"/>
              <w:ind w:right="148"/>
              <w:spacing w:after="0"/>
              <w:rPr>
                <w:sz w:val="20"/>
                <w:szCs w:val="20"/>
                <w:color w:val="auto"/>
              </w:rPr>
            </w:pPr>
            <w:r>
              <w:rPr>
                <w:rFonts w:ascii="Arial" w:cs="Arial" w:eastAsia="Arial" w:hAnsi="Arial"/>
                <w:sz w:val="14"/>
                <w:szCs w:val="14"/>
                <w:color w:val="auto"/>
              </w:rPr>
              <w:t>3,256</w:t>
            </w:r>
          </w:p>
        </w:tc>
        <w:tc>
          <w:tcPr>
            <w:tcW w:w="540" w:type="dxa"/>
            <w:vAlign w:val="bottom"/>
          </w:tcPr>
          <w:p>
            <w:pPr>
              <w:jc w:val="right"/>
              <w:ind w:right="188"/>
              <w:spacing w:after="0"/>
              <w:rPr>
                <w:sz w:val="20"/>
                <w:szCs w:val="20"/>
                <w:color w:val="auto"/>
              </w:rPr>
            </w:pPr>
            <w:r>
              <w:rPr>
                <w:rFonts w:ascii="Arial" w:cs="Arial" w:eastAsia="Arial" w:hAnsi="Arial"/>
                <w:sz w:val="14"/>
                <w:szCs w:val="14"/>
                <w:color w:val="auto"/>
              </w:rPr>
              <w:t>28</w:t>
            </w:r>
          </w:p>
        </w:tc>
      </w:tr>
      <w:tr>
        <w:trPr>
          <w:trHeight w:val="216"/>
        </w:trPr>
        <w:tc>
          <w:tcPr>
            <w:tcW w:w="3000" w:type="dxa"/>
            <w:vAlign w:val="bottom"/>
          </w:tcPr>
          <w:p>
            <w:pPr>
              <w:ind w:left="180"/>
              <w:spacing w:after="0"/>
              <w:rPr>
                <w:sz w:val="20"/>
                <w:szCs w:val="20"/>
                <w:color w:val="auto"/>
              </w:rPr>
            </w:pPr>
            <w:r>
              <w:rPr>
                <w:rFonts w:ascii="Arial" w:cs="Arial" w:eastAsia="Arial" w:hAnsi="Arial"/>
                <w:sz w:val="14"/>
                <w:szCs w:val="14"/>
                <w:color w:val="auto"/>
              </w:rPr>
              <w:t>Sempra Generation</w:t>
            </w:r>
          </w:p>
        </w:tc>
        <w:tc>
          <w:tcPr>
            <w:tcW w:w="260" w:type="dxa"/>
            <w:vAlign w:val="bottom"/>
          </w:tcPr>
          <w:p>
            <w:pPr>
              <w:spacing w:after="0"/>
              <w:rPr>
                <w:sz w:val="18"/>
                <w:szCs w:val="18"/>
                <w:color w:val="auto"/>
              </w:rPr>
            </w:pPr>
          </w:p>
        </w:tc>
        <w:tc>
          <w:tcPr>
            <w:tcW w:w="680" w:type="dxa"/>
            <w:vAlign w:val="bottom"/>
          </w:tcPr>
          <w:p>
            <w:pPr>
              <w:jc w:val="right"/>
              <w:ind w:right="128"/>
              <w:spacing w:after="0"/>
              <w:rPr>
                <w:sz w:val="20"/>
                <w:szCs w:val="20"/>
                <w:color w:val="auto"/>
              </w:rPr>
            </w:pPr>
            <w:r>
              <w:rPr>
                <w:rFonts w:ascii="Arial" w:cs="Arial" w:eastAsia="Arial" w:hAnsi="Arial"/>
                <w:sz w:val="14"/>
                <w:szCs w:val="14"/>
                <w:color w:val="auto"/>
              </w:rPr>
              <w:t>1,784</w:t>
            </w:r>
          </w:p>
        </w:tc>
        <w:tc>
          <w:tcPr>
            <w:tcW w:w="500" w:type="dxa"/>
            <w:vAlign w:val="bottom"/>
          </w:tcPr>
          <w:p>
            <w:pPr>
              <w:jc w:val="right"/>
              <w:ind w:right="128"/>
              <w:spacing w:after="0"/>
              <w:rPr>
                <w:sz w:val="20"/>
                <w:szCs w:val="20"/>
                <w:color w:val="auto"/>
              </w:rPr>
            </w:pPr>
            <w:r>
              <w:rPr>
                <w:rFonts w:ascii="Arial" w:cs="Arial" w:eastAsia="Arial" w:hAnsi="Arial"/>
                <w:sz w:val="14"/>
                <w:szCs w:val="14"/>
                <w:color w:val="auto"/>
              </w:rPr>
              <w:t>17</w:t>
            </w:r>
          </w:p>
        </w:tc>
        <w:tc>
          <w:tcPr>
            <w:tcW w:w="320" w:type="dxa"/>
            <w:vAlign w:val="bottom"/>
          </w:tcPr>
          <w:p>
            <w:pPr>
              <w:spacing w:after="0"/>
              <w:rPr>
                <w:sz w:val="18"/>
                <w:szCs w:val="18"/>
                <w:color w:val="auto"/>
              </w:rPr>
            </w:pPr>
          </w:p>
        </w:tc>
        <w:tc>
          <w:tcPr>
            <w:tcW w:w="680" w:type="dxa"/>
            <w:vAlign w:val="bottom"/>
          </w:tcPr>
          <w:p>
            <w:pPr>
              <w:jc w:val="right"/>
              <w:ind w:right="128"/>
              <w:spacing w:after="0"/>
              <w:rPr>
                <w:sz w:val="20"/>
                <w:szCs w:val="20"/>
                <w:color w:val="auto"/>
              </w:rPr>
            </w:pPr>
            <w:r>
              <w:rPr>
                <w:rFonts w:ascii="Arial" w:cs="Arial" w:eastAsia="Arial" w:hAnsi="Arial"/>
                <w:sz w:val="14"/>
                <w:szCs w:val="14"/>
                <w:color w:val="auto"/>
              </w:rPr>
              <w:t>1,476</w:t>
            </w:r>
          </w:p>
        </w:tc>
        <w:tc>
          <w:tcPr>
            <w:tcW w:w="640" w:type="dxa"/>
            <w:vAlign w:val="bottom"/>
          </w:tcPr>
          <w:p>
            <w:pPr>
              <w:jc w:val="right"/>
              <w:ind w:right="268"/>
              <w:spacing w:after="0"/>
              <w:rPr>
                <w:sz w:val="20"/>
                <w:szCs w:val="20"/>
                <w:color w:val="auto"/>
              </w:rPr>
            </w:pPr>
            <w:r>
              <w:rPr>
                <w:rFonts w:ascii="Arial" w:cs="Arial" w:eastAsia="Arial" w:hAnsi="Arial"/>
                <w:sz w:val="14"/>
                <w:szCs w:val="14"/>
                <w:color w:val="auto"/>
              </w:rPr>
              <w:t>13</w:t>
            </w:r>
          </w:p>
        </w:tc>
        <w:tc>
          <w:tcPr>
            <w:tcW w:w="180" w:type="dxa"/>
            <w:vAlign w:val="bottom"/>
          </w:tcPr>
          <w:p>
            <w:pPr>
              <w:spacing w:after="0"/>
              <w:rPr>
                <w:sz w:val="18"/>
                <w:szCs w:val="18"/>
                <w:color w:val="auto"/>
              </w:rPr>
            </w:pPr>
          </w:p>
        </w:tc>
        <w:tc>
          <w:tcPr>
            <w:tcW w:w="700" w:type="dxa"/>
            <w:vAlign w:val="bottom"/>
          </w:tcPr>
          <w:p>
            <w:pPr>
              <w:jc w:val="right"/>
              <w:ind w:right="148"/>
              <w:spacing w:after="0"/>
              <w:rPr>
                <w:sz w:val="20"/>
                <w:szCs w:val="20"/>
                <w:color w:val="auto"/>
              </w:rPr>
            </w:pPr>
            <w:r>
              <w:rPr>
                <w:rFonts w:ascii="Arial" w:cs="Arial" w:eastAsia="Arial" w:hAnsi="Arial"/>
                <w:sz w:val="14"/>
                <w:szCs w:val="14"/>
                <w:color w:val="auto"/>
              </w:rPr>
              <w:t>1,454</w:t>
            </w:r>
          </w:p>
        </w:tc>
        <w:tc>
          <w:tcPr>
            <w:tcW w:w="540" w:type="dxa"/>
            <w:vAlign w:val="bottom"/>
          </w:tcPr>
          <w:p>
            <w:pPr>
              <w:jc w:val="right"/>
              <w:ind w:right="188"/>
              <w:spacing w:after="0"/>
              <w:rPr>
                <w:sz w:val="20"/>
                <w:szCs w:val="20"/>
                <w:color w:val="auto"/>
              </w:rPr>
            </w:pPr>
            <w:r>
              <w:rPr>
                <w:rFonts w:ascii="Arial" w:cs="Arial" w:eastAsia="Arial" w:hAnsi="Arial"/>
                <w:sz w:val="14"/>
                <w:szCs w:val="14"/>
                <w:color w:val="auto"/>
              </w:rPr>
              <w:t>12</w:t>
            </w:r>
          </w:p>
        </w:tc>
      </w:tr>
      <w:tr>
        <w:trPr>
          <w:trHeight w:val="216"/>
        </w:trPr>
        <w:tc>
          <w:tcPr>
            <w:tcW w:w="3000" w:type="dxa"/>
            <w:vAlign w:val="bottom"/>
          </w:tcPr>
          <w:p>
            <w:pPr>
              <w:ind w:left="180"/>
              <w:spacing w:after="0"/>
              <w:rPr>
                <w:sz w:val="20"/>
                <w:szCs w:val="20"/>
                <w:color w:val="auto"/>
              </w:rPr>
            </w:pPr>
            <w:r>
              <w:rPr>
                <w:rFonts w:ascii="Arial" w:cs="Arial" w:eastAsia="Arial" w:hAnsi="Arial"/>
                <w:sz w:val="14"/>
                <w:szCs w:val="14"/>
                <w:color w:val="auto"/>
              </w:rPr>
              <w:t>Sempra Pipelines &amp; Storage</w:t>
            </w:r>
          </w:p>
        </w:tc>
        <w:tc>
          <w:tcPr>
            <w:tcW w:w="260" w:type="dxa"/>
            <w:vAlign w:val="bottom"/>
          </w:tcPr>
          <w:p>
            <w:pPr>
              <w:spacing w:after="0"/>
              <w:rPr>
                <w:sz w:val="18"/>
                <w:szCs w:val="18"/>
                <w:color w:val="auto"/>
              </w:rPr>
            </w:pPr>
          </w:p>
        </w:tc>
        <w:tc>
          <w:tcPr>
            <w:tcW w:w="680" w:type="dxa"/>
            <w:vAlign w:val="bottom"/>
          </w:tcPr>
          <w:p>
            <w:pPr>
              <w:jc w:val="right"/>
              <w:ind w:right="128"/>
              <w:spacing w:after="0"/>
              <w:rPr>
                <w:sz w:val="20"/>
                <w:szCs w:val="20"/>
                <w:color w:val="auto"/>
              </w:rPr>
            </w:pPr>
            <w:r>
              <w:rPr>
                <w:rFonts w:ascii="Arial" w:cs="Arial" w:eastAsia="Arial" w:hAnsi="Arial"/>
                <w:sz w:val="14"/>
                <w:szCs w:val="14"/>
                <w:color w:val="auto"/>
              </w:rPr>
              <w:t>457</w:t>
            </w:r>
          </w:p>
        </w:tc>
        <w:tc>
          <w:tcPr>
            <w:tcW w:w="500" w:type="dxa"/>
            <w:vAlign w:val="bottom"/>
          </w:tcPr>
          <w:p>
            <w:pPr>
              <w:jc w:val="right"/>
              <w:ind w:right="128"/>
              <w:spacing w:after="0"/>
              <w:rPr>
                <w:sz w:val="20"/>
                <w:szCs w:val="20"/>
                <w:color w:val="auto"/>
              </w:rPr>
            </w:pPr>
            <w:r>
              <w:rPr>
                <w:rFonts w:ascii="Arial" w:cs="Arial" w:eastAsia="Arial" w:hAnsi="Arial"/>
                <w:sz w:val="14"/>
                <w:szCs w:val="14"/>
                <w:color w:val="auto"/>
              </w:rPr>
              <w:t>4</w:t>
            </w:r>
          </w:p>
        </w:tc>
        <w:tc>
          <w:tcPr>
            <w:tcW w:w="320" w:type="dxa"/>
            <w:vAlign w:val="bottom"/>
          </w:tcPr>
          <w:p>
            <w:pPr>
              <w:spacing w:after="0"/>
              <w:rPr>
                <w:sz w:val="18"/>
                <w:szCs w:val="18"/>
                <w:color w:val="auto"/>
              </w:rPr>
            </w:pPr>
          </w:p>
        </w:tc>
        <w:tc>
          <w:tcPr>
            <w:tcW w:w="680" w:type="dxa"/>
            <w:vAlign w:val="bottom"/>
          </w:tcPr>
          <w:p>
            <w:pPr>
              <w:jc w:val="right"/>
              <w:ind w:right="128"/>
              <w:spacing w:after="0"/>
              <w:rPr>
                <w:sz w:val="20"/>
                <w:szCs w:val="20"/>
                <w:color w:val="auto"/>
              </w:rPr>
            </w:pPr>
            <w:r>
              <w:rPr>
                <w:rFonts w:ascii="Arial" w:cs="Arial" w:eastAsia="Arial" w:hAnsi="Arial"/>
                <w:sz w:val="14"/>
                <w:szCs w:val="14"/>
                <w:color w:val="auto"/>
              </w:rPr>
              <w:t>314</w:t>
            </w:r>
          </w:p>
        </w:tc>
        <w:tc>
          <w:tcPr>
            <w:tcW w:w="640" w:type="dxa"/>
            <w:vAlign w:val="bottom"/>
          </w:tcPr>
          <w:p>
            <w:pPr>
              <w:jc w:val="right"/>
              <w:ind w:right="268"/>
              <w:spacing w:after="0"/>
              <w:rPr>
                <w:sz w:val="20"/>
                <w:szCs w:val="20"/>
                <w:color w:val="auto"/>
              </w:rPr>
            </w:pPr>
            <w:r>
              <w:rPr>
                <w:rFonts w:ascii="Arial" w:cs="Arial" w:eastAsia="Arial" w:hAnsi="Arial"/>
                <w:sz w:val="14"/>
                <w:szCs w:val="14"/>
                <w:color w:val="auto"/>
              </w:rPr>
              <w:t>3</w:t>
            </w:r>
          </w:p>
        </w:tc>
        <w:tc>
          <w:tcPr>
            <w:tcW w:w="180" w:type="dxa"/>
            <w:vAlign w:val="bottom"/>
          </w:tcPr>
          <w:p>
            <w:pPr>
              <w:spacing w:after="0"/>
              <w:rPr>
                <w:sz w:val="18"/>
                <w:szCs w:val="18"/>
                <w:color w:val="auto"/>
              </w:rPr>
            </w:pPr>
          </w:p>
        </w:tc>
        <w:tc>
          <w:tcPr>
            <w:tcW w:w="700" w:type="dxa"/>
            <w:vAlign w:val="bottom"/>
          </w:tcPr>
          <w:p>
            <w:pPr>
              <w:jc w:val="right"/>
              <w:ind w:right="148"/>
              <w:spacing w:after="0"/>
              <w:rPr>
                <w:sz w:val="20"/>
                <w:szCs w:val="20"/>
                <w:color w:val="auto"/>
              </w:rPr>
            </w:pPr>
            <w:r>
              <w:rPr>
                <w:rFonts w:ascii="Arial" w:cs="Arial" w:eastAsia="Arial" w:hAnsi="Arial"/>
                <w:sz w:val="14"/>
                <w:szCs w:val="14"/>
                <w:color w:val="auto"/>
              </w:rPr>
              <w:t>295</w:t>
            </w:r>
          </w:p>
        </w:tc>
        <w:tc>
          <w:tcPr>
            <w:tcW w:w="540" w:type="dxa"/>
            <w:vAlign w:val="bottom"/>
          </w:tcPr>
          <w:p>
            <w:pPr>
              <w:jc w:val="right"/>
              <w:ind w:right="188"/>
              <w:spacing w:after="0"/>
              <w:rPr>
                <w:sz w:val="20"/>
                <w:szCs w:val="20"/>
                <w:color w:val="auto"/>
              </w:rPr>
            </w:pPr>
            <w:r>
              <w:rPr>
                <w:rFonts w:ascii="Arial" w:cs="Arial" w:eastAsia="Arial" w:hAnsi="Arial"/>
                <w:sz w:val="14"/>
                <w:szCs w:val="14"/>
                <w:color w:val="auto"/>
              </w:rPr>
              <w:t>2</w:t>
            </w:r>
          </w:p>
        </w:tc>
      </w:tr>
      <w:tr>
        <w:trPr>
          <w:trHeight w:val="216"/>
        </w:trPr>
        <w:tc>
          <w:tcPr>
            <w:tcW w:w="3000" w:type="dxa"/>
            <w:vAlign w:val="bottom"/>
          </w:tcPr>
          <w:p>
            <w:pPr>
              <w:ind w:left="180"/>
              <w:spacing w:after="0"/>
              <w:rPr>
                <w:sz w:val="20"/>
                <w:szCs w:val="20"/>
                <w:color w:val="auto"/>
              </w:rPr>
            </w:pPr>
            <w:r>
              <w:rPr>
                <w:rFonts w:ascii="Arial" w:cs="Arial" w:eastAsia="Arial" w:hAnsi="Arial"/>
                <w:sz w:val="14"/>
                <w:szCs w:val="14"/>
                <w:color w:val="auto"/>
              </w:rPr>
              <w:t>All other</w:t>
            </w:r>
          </w:p>
        </w:tc>
        <w:tc>
          <w:tcPr>
            <w:tcW w:w="260" w:type="dxa"/>
            <w:vAlign w:val="bottom"/>
          </w:tcPr>
          <w:p>
            <w:pPr>
              <w:spacing w:after="0"/>
              <w:rPr>
                <w:sz w:val="18"/>
                <w:szCs w:val="18"/>
                <w:color w:val="auto"/>
              </w:rPr>
            </w:pPr>
          </w:p>
        </w:tc>
        <w:tc>
          <w:tcPr>
            <w:tcW w:w="680" w:type="dxa"/>
            <w:vAlign w:val="bottom"/>
          </w:tcPr>
          <w:p>
            <w:pPr>
              <w:jc w:val="right"/>
              <w:ind w:right="128"/>
              <w:spacing w:after="0"/>
              <w:rPr>
                <w:sz w:val="20"/>
                <w:szCs w:val="20"/>
                <w:color w:val="auto"/>
              </w:rPr>
            </w:pPr>
            <w:r>
              <w:rPr>
                <w:rFonts w:ascii="Arial" w:cs="Arial" w:eastAsia="Arial" w:hAnsi="Arial"/>
                <w:sz w:val="14"/>
                <w:szCs w:val="14"/>
                <w:color w:val="auto"/>
              </w:rPr>
              <w:t>74</w:t>
            </w:r>
          </w:p>
        </w:tc>
        <w:tc>
          <w:tcPr>
            <w:tcW w:w="500" w:type="dxa"/>
            <w:vAlign w:val="bottom"/>
          </w:tcPr>
          <w:p>
            <w:pPr>
              <w:jc w:val="right"/>
              <w:ind w:right="128"/>
              <w:spacing w:after="0"/>
              <w:rPr>
                <w:sz w:val="20"/>
                <w:szCs w:val="20"/>
                <w:color w:val="auto"/>
              </w:rPr>
            </w:pPr>
            <w:r>
              <w:rPr>
                <w:rFonts w:ascii="Arial" w:cs="Arial" w:eastAsia="Arial" w:hAnsi="Arial"/>
                <w:sz w:val="14"/>
                <w:szCs w:val="14"/>
                <w:color w:val="auto"/>
              </w:rPr>
              <w:t>1</w:t>
            </w:r>
          </w:p>
        </w:tc>
        <w:tc>
          <w:tcPr>
            <w:tcW w:w="320" w:type="dxa"/>
            <w:vAlign w:val="bottom"/>
          </w:tcPr>
          <w:p>
            <w:pPr>
              <w:spacing w:after="0"/>
              <w:rPr>
                <w:sz w:val="18"/>
                <w:szCs w:val="18"/>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(22 )</w:t>
            </w:r>
          </w:p>
        </w:tc>
        <w:tc>
          <w:tcPr>
            <w:tcW w:w="64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700" w:type="dxa"/>
            <w:vAlign w:val="bottom"/>
          </w:tcPr>
          <w:p>
            <w:pPr>
              <w:jc w:val="right"/>
              <w:ind w:right="68"/>
              <w:spacing w:after="0"/>
              <w:rPr>
                <w:sz w:val="20"/>
                <w:szCs w:val="20"/>
                <w:color w:val="auto"/>
              </w:rPr>
            </w:pPr>
            <w:r>
              <w:rPr>
                <w:rFonts w:ascii="Arial" w:cs="Arial" w:eastAsia="Arial" w:hAnsi="Arial"/>
                <w:sz w:val="14"/>
                <w:szCs w:val="14"/>
                <w:color w:val="auto"/>
              </w:rPr>
              <w:t>(21 )</w:t>
            </w:r>
          </w:p>
        </w:tc>
        <w:tc>
          <w:tcPr>
            <w:tcW w:w="540" w:type="dxa"/>
            <w:vAlign w:val="bottom"/>
          </w:tcPr>
          <w:p>
            <w:pPr>
              <w:jc w:val="right"/>
              <w:ind w:right="188"/>
              <w:spacing w:after="0"/>
              <w:rPr>
                <w:sz w:val="20"/>
                <w:szCs w:val="20"/>
                <w:color w:val="auto"/>
              </w:rPr>
            </w:pPr>
            <w:r>
              <w:rPr>
                <w:rFonts w:ascii="Arial" w:cs="Arial" w:eastAsia="Arial" w:hAnsi="Arial"/>
                <w:sz w:val="14"/>
                <w:szCs w:val="14"/>
                <w:color w:val="auto"/>
              </w:rPr>
              <w:t>--</w:t>
            </w:r>
          </w:p>
        </w:tc>
      </w:tr>
      <w:tr>
        <w:trPr>
          <w:trHeight w:val="216"/>
        </w:trPr>
        <w:tc>
          <w:tcPr>
            <w:tcW w:w="3000" w:type="dxa"/>
            <w:vAlign w:val="bottom"/>
          </w:tcPr>
          <w:p>
            <w:pPr>
              <w:ind w:left="180"/>
              <w:spacing w:after="0"/>
              <w:rPr>
                <w:sz w:val="20"/>
                <w:szCs w:val="20"/>
                <w:color w:val="auto"/>
              </w:rPr>
            </w:pPr>
            <w:r>
              <w:rPr>
                <w:rFonts w:ascii="Arial" w:cs="Arial" w:eastAsia="Arial" w:hAnsi="Arial"/>
                <w:sz w:val="14"/>
                <w:szCs w:val="14"/>
                <w:color w:val="auto"/>
              </w:rPr>
              <w:t>Adjustments and eliminations</w:t>
            </w:r>
          </w:p>
        </w:tc>
        <w:tc>
          <w:tcPr>
            <w:tcW w:w="260" w:type="dxa"/>
            <w:vAlign w:val="bottom"/>
          </w:tcPr>
          <w:p>
            <w:pPr>
              <w:spacing w:after="0"/>
              <w:rPr>
                <w:sz w:val="18"/>
                <w:szCs w:val="18"/>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(7 )</w:t>
            </w:r>
          </w:p>
        </w:tc>
        <w:tc>
          <w:tcPr>
            <w:tcW w:w="5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8"/>
                <w:szCs w:val="18"/>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(51 )</w:t>
            </w:r>
          </w:p>
        </w:tc>
        <w:tc>
          <w:tcPr>
            <w:tcW w:w="640" w:type="dxa"/>
            <w:vAlign w:val="bottom"/>
          </w:tcPr>
          <w:p>
            <w:pPr>
              <w:jc w:val="right"/>
              <w:ind w:right="188"/>
              <w:spacing w:after="0"/>
              <w:rPr>
                <w:sz w:val="20"/>
                <w:szCs w:val="20"/>
                <w:color w:val="auto"/>
              </w:rPr>
            </w:pPr>
            <w:r>
              <w:rPr>
                <w:rFonts w:ascii="Arial" w:cs="Arial" w:eastAsia="Arial" w:hAnsi="Arial"/>
                <w:sz w:val="14"/>
                <w:szCs w:val="14"/>
                <w:color w:val="auto"/>
              </w:rPr>
              <w:t>(1 )</w:t>
            </w:r>
          </w:p>
        </w:tc>
        <w:tc>
          <w:tcPr>
            <w:tcW w:w="180" w:type="dxa"/>
            <w:vAlign w:val="bottom"/>
          </w:tcPr>
          <w:p>
            <w:pPr>
              <w:spacing w:after="0"/>
              <w:rPr>
                <w:sz w:val="18"/>
                <w:szCs w:val="18"/>
                <w:color w:val="auto"/>
              </w:rPr>
            </w:pPr>
          </w:p>
        </w:tc>
        <w:tc>
          <w:tcPr>
            <w:tcW w:w="700" w:type="dxa"/>
            <w:vAlign w:val="bottom"/>
          </w:tcPr>
          <w:p>
            <w:pPr>
              <w:jc w:val="right"/>
              <w:ind w:right="68"/>
              <w:spacing w:after="0"/>
              <w:rPr>
                <w:sz w:val="20"/>
                <w:szCs w:val="20"/>
                <w:color w:val="auto"/>
              </w:rPr>
            </w:pPr>
            <w:r>
              <w:rPr>
                <w:rFonts w:ascii="Arial" w:cs="Arial" w:eastAsia="Arial" w:hAnsi="Arial"/>
                <w:sz w:val="14"/>
                <w:szCs w:val="14"/>
                <w:color w:val="auto"/>
              </w:rPr>
              <w:t>(93 )</w:t>
            </w:r>
          </w:p>
        </w:tc>
        <w:tc>
          <w:tcPr>
            <w:tcW w:w="540" w:type="dxa"/>
            <w:vAlign w:val="bottom"/>
          </w:tcPr>
          <w:p>
            <w:pPr>
              <w:jc w:val="right"/>
              <w:ind w:right="108"/>
              <w:spacing w:after="0"/>
              <w:rPr>
                <w:sz w:val="20"/>
                <w:szCs w:val="20"/>
                <w:color w:val="auto"/>
              </w:rPr>
            </w:pPr>
            <w:r>
              <w:rPr>
                <w:rFonts w:ascii="Arial" w:cs="Arial" w:eastAsia="Arial" w:hAnsi="Arial"/>
                <w:sz w:val="14"/>
                <w:szCs w:val="14"/>
                <w:color w:val="auto"/>
              </w:rPr>
              <w:t>(1 )</w:t>
            </w:r>
          </w:p>
        </w:tc>
      </w:tr>
      <w:tr>
        <w:trPr>
          <w:trHeight w:val="222"/>
        </w:trPr>
        <w:tc>
          <w:tcPr>
            <w:tcW w:w="3000" w:type="dxa"/>
            <w:vAlign w:val="bottom"/>
          </w:tcPr>
          <w:p>
            <w:pPr>
              <w:ind w:left="180"/>
              <w:spacing w:after="0"/>
              <w:rPr>
                <w:sz w:val="20"/>
                <w:szCs w:val="20"/>
                <w:color w:val="auto"/>
              </w:rPr>
            </w:pPr>
            <w:r>
              <w:rPr>
                <w:rFonts w:ascii="Arial" w:cs="Arial" w:eastAsia="Arial" w:hAnsi="Arial"/>
                <w:sz w:val="14"/>
                <w:szCs w:val="14"/>
                <w:color w:val="auto"/>
              </w:rPr>
              <w:t>Intersegment revenues</w:t>
            </w:r>
          </w:p>
        </w:tc>
        <w:tc>
          <w:tcPr>
            <w:tcW w:w="2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(69 )</w:t>
            </w:r>
          </w:p>
        </w:tc>
        <w:tc>
          <w:tcPr>
            <w:tcW w:w="5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(1 )</w:t>
            </w:r>
          </w:p>
        </w:tc>
        <w:tc>
          <w:tcPr>
            <w:tcW w:w="3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(87 )</w:t>
            </w:r>
          </w:p>
        </w:tc>
        <w:tc>
          <w:tcPr>
            <w:tcW w:w="64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(1 )</w:t>
            </w:r>
          </w:p>
        </w:tc>
        <w:tc>
          <w:tcPr>
            <w:tcW w:w="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(96 )</w:t>
            </w:r>
          </w:p>
        </w:tc>
        <w:tc>
          <w:tcPr>
            <w:tcW w:w="5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(1 )</w:t>
            </w:r>
          </w:p>
        </w:tc>
      </w:tr>
      <w:tr>
        <w:trPr>
          <w:trHeight w:val="224"/>
        </w:trPr>
        <w:tc>
          <w:tcPr>
            <w:tcW w:w="3000" w:type="dxa"/>
            <w:vAlign w:val="bottom"/>
            <w:tcBorders>
              <w:bottom w:val="single" w:sz="8" w:color="auto"/>
            </w:tcBorders>
          </w:tcPr>
          <w:p>
            <w:pPr>
              <w:ind w:left="420"/>
              <w:spacing w:after="0"/>
              <w:rPr>
                <w:sz w:val="20"/>
                <w:szCs w:val="20"/>
                <w:color w:val="auto"/>
              </w:rPr>
            </w:pPr>
            <w:r>
              <w:rPr>
                <w:rFonts w:ascii="Arial" w:cs="Arial" w:eastAsia="Arial" w:hAnsi="Arial"/>
                <w:sz w:val="14"/>
                <w:szCs w:val="14"/>
                <w:color w:val="auto"/>
              </w:rPr>
              <w:t>Total</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10,758</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100 %</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11,438</w:t>
            </w:r>
          </w:p>
        </w:tc>
        <w:tc>
          <w:tcPr>
            <w:tcW w:w="6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100 %</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11,761</w:t>
            </w:r>
          </w:p>
        </w:tc>
        <w:tc>
          <w:tcPr>
            <w:tcW w:w="5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100 %</w:t>
            </w:r>
          </w:p>
        </w:tc>
      </w:tr>
      <w:tr>
        <w:trPr>
          <w:trHeight w:val="210"/>
        </w:trPr>
        <w:tc>
          <w:tcPr>
            <w:tcW w:w="3000" w:type="dxa"/>
            <w:vAlign w:val="bottom"/>
          </w:tcPr>
          <w:p>
            <w:pPr>
              <w:ind w:left="20"/>
              <w:spacing w:after="0"/>
              <w:rPr>
                <w:sz w:val="20"/>
                <w:szCs w:val="20"/>
                <w:color w:val="auto"/>
              </w:rPr>
            </w:pPr>
            <w:r>
              <w:rPr>
                <w:rFonts w:ascii="Arial" w:cs="Arial" w:eastAsia="Arial" w:hAnsi="Arial"/>
                <w:sz w:val="14"/>
                <w:szCs w:val="14"/>
                <w:color w:val="auto"/>
              </w:rPr>
              <w:t>INTEREST EXPENSE</w:t>
            </w: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40" w:type="dxa"/>
            <w:vAlign w:val="bottom"/>
          </w:tcPr>
          <w:p>
            <w:pPr>
              <w:spacing w:after="0"/>
              <w:rPr>
                <w:sz w:val="18"/>
                <w:szCs w:val="18"/>
                <w:color w:val="auto"/>
              </w:rPr>
            </w:pPr>
          </w:p>
        </w:tc>
      </w:tr>
      <w:tr>
        <w:trPr>
          <w:trHeight w:val="216"/>
        </w:trPr>
        <w:tc>
          <w:tcPr>
            <w:tcW w:w="3000" w:type="dxa"/>
            <w:vAlign w:val="bottom"/>
          </w:tcPr>
          <w:p>
            <w:pPr>
              <w:ind w:left="180"/>
              <w:spacing w:after="0"/>
              <w:rPr>
                <w:sz w:val="20"/>
                <w:szCs w:val="20"/>
                <w:color w:val="auto"/>
              </w:rPr>
            </w:pPr>
            <w:r>
              <w:rPr>
                <w:rFonts w:ascii="Arial" w:cs="Arial" w:eastAsia="Arial" w:hAnsi="Arial"/>
                <w:sz w:val="14"/>
                <w:szCs w:val="14"/>
                <w:color w:val="auto"/>
              </w:rPr>
              <w:t>SDG&amp;E</w:t>
            </w: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128"/>
              <w:spacing w:after="0"/>
              <w:rPr>
                <w:sz w:val="20"/>
                <w:szCs w:val="20"/>
                <w:color w:val="auto"/>
              </w:rPr>
            </w:pPr>
            <w:r>
              <w:rPr>
                <w:rFonts w:ascii="Arial" w:cs="Arial" w:eastAsia="Arial" w:hAnsi="Arial"/>
                <w:sz w:val="14"/>
                <w:szCs w:val="14"/>
                <w:color w:val="auto"/>
              </w:rPr>
              <w:t>96</w:t>
            </w:r>
          </w:p>
        </w:tc>
        <w:tc>
          <w:tcPr>
            <w:tcW w:w="50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128"/>
              <w:spacing w:after="0"/>
              <w:rPr>
                <w:sz w:val="20"/>
                <w:szCs w:val="20"/>
                <w:color w:val="auto"/>
              </w:rPr>
            </w:pPr>
            <w:r>
              <w:rPr>
                <w:rFonts w:ascii="Arial" w:cs="Arial" w:eastAsia="Arial" w:hAnsi="Arial"/>
                <w:sz w:val="14"/>
                <w:szCs w:val="14"/>
                <w:color w:val="auto"/>
              </w:rPr>
              <w:t>96</w:t>
            </w:r>
          </w:p>
        </w:tc>
        <w:tc>
          <w:tcPr>
            <w:tcW w:w="64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148"/>
              <w:spacing w:after="0"/>
              <w:rPr>
                <w:sz w:val="20"/>
                <w:szCs w:val="20"/>
                <w:color w:val="auto"/>
              </w:rPr>
            </w:pPr>
            <w:r>
              <w:rPr>
                <w:rFonts w:ascii="Arial" w:cs="Arial" w:eastAsia="Arial" w:hAnsi="Arial"/>
                <w:sz w:val="14"/>
                <w:szCs w:val="14"/>
                <w:color w:val="auto"/>
              </w:rPr>
              <w:t>97</w:t>
            </w:r>
          </w:p>
        </w:tc>
        <w:tc>
          <w:tcPr>
            <w:tcW w:w="540" w:type="dxa"/>
            <w:vAlign w:val="bottom"/>
          </w:tcPr>
          <w:p>
            <w:pPr>
              <w:spacing w:after="0"/>
              <w:rPr>
                <w:sz w:val="18"/>
                <w:szCs w:val="18"/>
                <w:color w:val="auto"/>
              </w:rPr>
            </w:pPr>
          </w:p>
        </w:tc>
      </w:tr>
      <w:tr>
        <w:trPr>
          <w:trHeight w:val="216"/>
        </w:trPr>
        <w:tc>
          <w:tcPr>
            <w:tcW w:w="3000" w:type="dxa"/>
            <w:vAlign w:val="bottom"/>
          </w:tcPr>
          <w:p>
            <w:pPr>
              <w:ind w:left="180"/>
              <w:spacing w:after="0"/>
              <w:rPr>
                <w:sz w:val="20"/>
                <w:szCs w:val="20"/>
                <w:color w:val="auto"/>
              </w:rPr>
            </w:pPr>
            <w:r>
              <w:rPr>
                <w:rFonts w:ascii="Arial" w:cs="Arial" w:eastAsia="Arial" w:hAnsi="Arial"/>
                <w:sz w:val="14"/>
                <w:szCs w:val="14"/>
                <w:color w:val="auto"/>
              </w:rPr>
              <w:t>SoCalGas</w:t>
            </w:r>
          </w:p>
        </w:tc>
        <w:tc>
          <w:tcPr>
            <w:tcW w:w="260" w:type="dxa"/>
            <w:vAlign w:val="bottom"/>
          </w:tcPr>
          <w:p>
            <w:pPr>
              <w:spacing w:after="0"/>
              <w:rPr>
                <w:sz w:val="18"/>
                <w:szCs w:val="18"/>
                <w:color w:val="auto"/>
              </w:rPr>
            </w:pPr>
          </w:p>
        </w:tc>
        <w:tc>
          <w:tcPr>
            <w:tcW w:w="680" w:type="dxa"/>
            <w:vAlign w:val="bottom"/>
          </w:tcPr>
          <w:p>
            <w:pPr>
              <w:jc w:val="right"/>
              <w:ind w:right="128"/>
              <w:spacing w:after="0"/>
              <w:rPr>
                <w:sz w:val="20"/>
                <w:szCs w:val="20"/>
                <w:color w:val="auto"/>
              </w:rPr>
            </w:pPr>
            <w:r>
              <w:rPr>
                <w:rFonts w:ascii="Arial" w:cs="Arial" w:eastAsia="Arial" w:hAnsi="Arial"/>
                <w:sz w:val="14"/>
                <w:szCs w:val="14"/>
                <w:color w:val="auto"/>
              </w:rPr>
              <w:t>62</w:t>
            </w: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jc w:val="right"/>
              <w:ind w:right="128"/>
              <w:spacing w:after="0"/>
              <w:rPr>
                <w:sz w:val="20"/>
                <w:szCs w:val="20"/>
                <w:color w:val="auto"/>
              </w:rPr>
            </w:pPr>
            <w:r>
              <w:rPr>
                <w:rFonts w:ascii="Arial" w:cs="Arial" w:eastAsia="Arial" w:hAnsi="Arial"/>
                <w:sz w:val="14"/>
                <w:szCs w:val="14"/>
                <w:color w:val="auto"/>
              </w:rPr>
              <w:t>70</w:t>
            </w: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ind w:right="148"/>
              <w:spacing w:after="0"/>
              <w:rPr>
                <w:sz w:val="20"/>
                <w:szCs w:val="20"/>
                <w:color w:val="auto"/>
              </w:rPr>
            </w:pPr>
            <w:r>
              <w:rPr>
                <w:rFonts w:ascii="Arial" w:cs="Arial" w:eastAsia="Arial" w:hAnsi="Arial"/>
                <w:sz w:val="14"/>
                <w:szCs w:val="14"/>
                <w:color w:val="auto"/>
              </w:rPr>
              <w:t>70</w:t>
            </w:r>
          </w:p>
        </w:tc>
        <w:tc>
          <w:tcPr>
            <w:tcW w:w="540" w:type="dxa"/>
            <w:vAlign w:val="bottom"/>
          </w:tcPr>
          <w:p>
            <w:pPr>
              <w:spacing w:after="0"/>
              <w:rPr>
                <w:sz w:val="18"/>
                <w:szCs w:val="18"/>
                <w:color w:val="auto"/>
              </w:rPr>
            </w:pPr>
          </w:p>
        </w:tc>
      </w:tr>
      <w:tr>
        <w:trPr>
          <w:trHeight w:val="216"/>
        </w:trPr>
        <w:tc>
          <w:tcPr>
            <w:tcW w:w="3000" w:type="dxa"/>
            <w:vAlign w:val="bottom"/>
          </w:tcPr>
          <w:p>
            <w:pPr>
              <w:ind w:left="180"/>
              <w:spacing w:after="0"/>
              <w:rPr>
                <w:sz w:val="20"/>
                <w:szCs w:val="20"/>
                <w:color w:val="auto"/>
              </w:rPr>
            </w:pPr>
            <w:r>
              <w:rPr>
                <w:rFonts w:ascii="Arial" w:cs="Arial" w:eastAsia="Arial" w:hAnsi="Arial"/>
                <w:sz w:val="14"/>
                <w:szCs w:val="14"/>
                <w:color w:val="auto"/>
              </w:rPr>
              <w:t>Sempra Commodities</w:t>
            </w:r>
          </w:p>
        </w:tc>
        <w:tc>
          <w:tcPr>
            <w:tcW w:w="260" w:type="dxa"/>
            <w:vAlign w:val="bottom"/>
          </w:tcPr>
          <w:p>
            <w:pPr>
              <w:spacing w:after="0"/>
              <w:rPr>
                <w:sz w:val="18"/>
                <w:szCs w:val="18"/>
                <w:color w:val="auto"/>
              </w:rPr>
            </w:pPr>
          </w:p>
        </w:tc>
        <w:tc>
          <w:tcPr>
            <w:tcW w:w="680" w:type="dxa"/>
            <w:vAlign w:val="bottom"/>
          </w:tcPr>
          <w:p>
            <w:pPr>
              <w:jc w:val="right"/>
              <w:ind w:right="128"/>
              <w:spacing w:after="0"/>
              <w:rPr>
                <w:sz w:val="20"/>
                <w:szCs w:val="20"/>
                <w:color w:val="auto"/>
              </w:rPr>
            </w:pPr>
            <w:r>
              <w:rPr>
                <w:rFonts w:ascii="Arial" w:cs="Arial" w:eastAsia="Arial" w:hAnsi="Arial"/>
                <w:sz w:val="14"/>
                <w:szCs w:val="14"/>
                <w:color w:val="auto"/>
              </w:rPr>
              <w:t>23</w:t>
            </w: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jc w:val="right"/>
              <w:ind w:right="128"/>
              <w:spacing w:after="0"/>
              <w:rPr>
                <w:sz w:val="20"/>
                <w:szCs w:val="20"/>
                <w:color w:val="auto"/>
              </w:rPr>
            </w:pPr>
            <w:r>
              <w:rPr>
                <w:rFonts w:ascii="Arial" w:cs="Arial" w:eastAsia="Arial" w:hAnsi="Arial"/>
                <w:sz w:val="14"/>
                <w:szCs w:val="14"/>
                <w:color w:val="auto"/>
              </w:rPr>
              <w:t>48</w:t>
            </w: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ind w:right="148"/>
              <w:spacing w:after="0"/>
              <w:rPr>
                <w:sz w:val="20"/>
                <w:szCs w:val="20"/>
                <w:color w:val="auto"/>
              </w:rPr>
            </w:pPr>
            <w:r>
              <w:rPr>
                <w:rFonts w:ascii="Arial" w:cs="Arial" w:eastAsia="Arial" w:hAnsi="Arial"/>
                <w:sz w:val="14"/>
                <w:szCs w:val="14"/>
                <w:color w:val="auto"/>
              </w:rPr>
              <w:t>72</w:t>
            </w:r>
          </w:p>
        </w:tc>
        <w:tc>
          <w:tcPr>
            <w:tcW w:w="540" w:type="dxa"/>
            <w:vAlign w:val="bottom"/>
          </w:tcPr>
          <w:p>
            <w:pPr>
              <w:spacing w:after="0"/>
              <w:rPr>
                <w:sz w:val="18"/>
                <w:szCs w:val="18"/>
                <w:color w:val="auto"/>
              </w:rPr>
            </w:pPr>
          </w:p>
        </w:tc>
      </w:tr>
      <w:tr>
        <w:trPr>
          <w:trHeight w:val="216"/>
        </w:trPr>
        <w:tc>
          <w:tcPr>
            <w:tcW w:w="3000" w:type="dxa"/>
            <w:vAlign w:val="bottom"/>
          </w:tcPr>
          <w:p>
            <w:pPr>
              <w:ind w:left="180"/>
              <w:spacing w:after="0"/>
              <w:rPr>
                <w:sz w:val="20"/>
                <w:szCs w:val="20"/>
                <w:color w:val="auto"/>
              </w:rPr>
            </w:pPr>
            <w:r>
              <w:rPr>
                <w:rFonts w:ascii="Arial" w:cs="Arial" w:eastAsia="Arial" w:hAnsi="Arial"/>
                <w:sz w:val="14"/>
                <w:szCs w:val="14"/>
                <w:color w:val="auto"/>
              </w:rPr>
              <w:t>Sempra Generation</w:t>
            </w:r>
          </w:p>
        </w:tc>
        <w:tc>
          <w:tcPr>
            <w:tcW w:w="260" w:type="dxa"/>
            <w:vAlign w:val="bottom"/>
          </w:tcPr>
          <w:p>
            <w:pPr>
              <w:spacing w:after="0"/>
              <w:rPr>
                <w:sz w:val="18"/>
                <w:szCs w:val="18"/>
                <w:color w:val="auto"/>
              </w:rPr>
            </w:pPr>
          </w:p>
        </w:tc>
        <w:tc>
          <w:tcPr>
            <w:tcW w:w="680" w:type="dxa"/>
            <w:vAlign w:val="bottom"/>
          </w:tcPr>
          <w:p>
            <w:pPr>
              <w:jc w:val="right"/>
              <w:ind w:right="128"/>
              <w:spacing w:after="0"/>
              <w:rPr>
                <w:sz w:val="20"/>
                <w:szCs w:val="20"/>
                <w:color w:val="auto"/>
              </w:rPr>
            </w:pPr>
            <w:r>
              <w:rPr>
                <w:rFonts w:ascii="Arial" w:cs="Arial" w:eastAsia="Arial" w:hAnsi="Arial"/>
                <w:sz w:val="14"/>
                <w:szCs w:val="14"/>
                <w:color w:val="auto"/>
              </w:rPr>
              <w:t>15</w:t>
            </w: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jc w:val="right"/>
              <w:ind w:right="128"/>
              <w:spacing w:after="0"/>
              <w:rPr>
                <w:sz w:val="20"/>
                <w:szCs w:val="20"/>
                <w:color w:val="auto"/>
              </w:rPr>
            </w:pPr>
            <w:r>
              <w:rPr>
                <w:rFonts w:ascii="Arial" w:cs="Arial" w:eastAsia="Arial" w:hAnsi="Arial"/>
                <w:sz w:val="14"/>
                <w:szCs w:val="14"/>
                <w:color w:val="auto"/>
              </w:rPr>
              <w:t>15</w:t>
            </w: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ind w:right="148"/>
              <w:spacing w:after="0"/>
              <w:rPr>
                <w:sz w:val="20"/>
                <w:szCs w:val="20"/>
                <w:color w:val="auto"/>
              </w:rPr>
            </w:pPr>
            <w:r>
              <w:rPr>
                <w:rFonts w:ascii="Arial" w:cs="Arial" w:eastAsia="Arial" w:hAnsi="Arial"/>
                <w:sz w:val="14"/>
                <w:szCs w:val="14"/>
                <w:color w:val="auto"/>
              </w:rPr>
              <w:t>19</w:t>
            </w:r>
          </w:p>
        </w:tc>
        <w:tc>
          <w:tcPr>
            <w:tcW w:w="540" w:type="dxa"/>
            <w:vAlign w:val="bottom"/>
          </w:tcPr>
          <w:p>
            <w:pPr>
              <w:spacing w:after="0"/>
              <w:rPr>
                <w:sz w:val="18"/>
                <w:szCs w:val="18"/>
                <w:color w:val="auto"/>
              </w:rPr>
            </w:pPr>
          </w:p>
        </w:tc>
      </w:tr>
      <w:tr>
        <w:trPr>
          <w:trHeight w:val="216"/>
        </w:trPr>
        <w:tc>
          <w:tcPr>
            <w:tcW w:w="3000" w:type="dxa"/>
            <w:vAlign w:val="bottom"/>
          </w:tcPr>
          <w:p>
            <w:pPr>
              <w:ind w:left="180"/>
              <w:spacing w:after="0"/>
              <w:rPr>
                <w:sz w:val="20"/>
                <w:szCs w:val="20"/>
                <w:color w:val="auto"/>
              </w:rPr>
            </w:pPr>
            <w:r>
              <w:rPr>
                <w:rFonts w:ascii="Arial" w:cs="Arial" w:eastAsia="Arial" w:hAnsi="Arial"/>
                <w:sz w:val="14"/>
                <w:szCs w:val="14"/>
                <w:color w:val="auto"/>
              </w:rPr>
              <w:t>Sempra Pipelines &amp; Storage</w:t>
            </w:r>
          </w:p>
        </w:tc>
        <w:tc>
          <w:tcPr>
            <w:tcW w:w="260" w:type="dxa"/>
            <w:vAlign w:val="bottom"/>
          </w:tcPr>
          <w:p>
            <w:pPr>
              <w:spacing w:after="0"/>
              <w:rPr>
                <w:sz w:val="18"/>
                <w:szCs w:val="18"/>
                <w:color w:val="auto"/>
              </w:rPr>
            </w:pPr>
          </w:p>
        </w:tc>
        <w:tc>
          <w:tcPr>
            <w:tcW w:w="680" w:type="dxa"/>
            <w:vAlign w:val="bottom"/>
          </w:tcPr>
          <w:p>
            <w:pPr>
              <w:jc w:val="right"/>
              <w:ind w:right="128"/>
              <w:spacing w:after="0"/>
              <w:rPr>
                <w:sz w:val="20"/>
                <w:szCs w:val="20"/>
                <w:color w:val="auto"/>
              </w:rPr>
            </w:pPr>
            <w:r>
              <w:rPr>
                <w:rFonts w:ascii="Arial" w:cs="Arial" w:eastAsia="Arial" w:hAnsi="Arial"/>
                <w:sz w:val="14"/>
                <w:szCs w:val="14"/>
                <w:color w:val="auto"/>
              </w:rPr>
              <w:t>18</w:t>
            </w: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jc w:val="right"/>
              <w:ind w:right="128"/>
              <w:spacing w:after="0"/>
              <w:rPr>
                <w:sz w:val="20"/>
                <w:szCs w:val="20"/>
                <w:color w:val="auto"/>
              </w:rPr>
            </w:pPr>
            <w:r>
              <w:rPr>
                <w:rFonts w:ascii="Arial" w:cs="Arial" w:eastAsia="Arial" w:hAnsi="Arial"/>
                <w:sz w:val="14"/>
                <w:szCs w:val="14"/>
                <w:color w:val="auto"/>
              </w:rPr>
              <w:t>16</w:t>
            </w: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ind w:right="148"/>
              <w:spacing w:after="0"/>
              <w:rPr>
                <w:sz w:val="20"/>
                <w:szCs w:val="20"/>
                <w:color w:val="auto"/>
              </w:rPr>
            </w:pPr>
            <w:r>
              <w:rPr>
                <w:rFonts w:ascii="Arial" w:cs="Arial" w:eastAsia="Arial" w:hAnsi="Arial"/>
                <w:sz w:val="14"/>
                <w:szCs w:val="14"/>
                <w:color w:val="auto"/>
              </w:rPr>
              <w:t>14</w:t>
            </w:r>
          </w:p>
        </w:tc>
        <w:tc>
          <w:tcPr>
            <w:tcW w:w="540" w:type="dxa"/>
            <w:vAlign w:val="bottom"/>
          </w:tcPr>
          <w:p>
            <w:pPr>
              <w:spacing w:after="0"/>
              <w:rPr>
                <w:sz w:val="18"/>
                <w:szCs w:val="18"/>
                <w:color w:val="auto"/>
              </w:rPr>
            </w:pPr>
          </w:p>
        </w:tc>
      </w:tr>
      <w:tr>
        <w:trPr>
          <w:trHeight w:val="216"/>
        </w:trPr>
        <w:tc>
          <w:tcPr>
            <w:tcW w:w="3000" w:type="dxa"/>
            <w:vAlign w:val="bottom"/>
          </w:tcPr>
          <w:p>
            <w:pPr>
              <w:ind w:left="180"/>
              <w:spacing w:after="0"/>
              <w:rPr>
                <w:sz w:val="20"/>
                <w:szCs w:val="20"/>
                <w:color w:val="auto"/>
              </w:rPr>
            </w:pPr>
            <w:r>
              <w:rPr>
                <w:rFonts w:ascii="Arial" w:cs="Arial" w:eastAsia="Arial" w:hAnsi="Arial"/>
                <w:sz w:val="14"/>
                <w:szCs w:val="14"/>
                <w:color w:val="auto"/>
              </w:rPr>
              <w:t>All other</w:t>
            </w:r>
          </w:p>
        </w:tc>
        <w:tc>
          <w:tcPr>
            <w:tcW w:w="260" w:type="dxa"/>
            <w:vAlign w:val="bottom"/>
          </w:tcPr>
          <w:p>
            <w:pPr>
              <w:spacing w:after="0"/>
              <w:rPr>
                <w:sz w:val="18"/>
                <w:szCs w:val="18"/>
                <w:color w:val="auto"/>
              </w:rPr>
            </w:pPr>
          </w:p>
        </w:tc>
        <w:tc>
          <w:tcPr>
            <w:tcW w:w="680" w:type="dxa"/>
            <w:vAlign w:val="bottom"/>
          </w:tcPr>
          <w:p>
            <w:pPr>
              <w:jc w:val="right"/>
              <w:ind w:right="128"/>
              <w:spacing w:after="0"/>
              <w:rPr>
                <w:sz w:val="20"/>
                <w:szCs w:val="20"/>
                <w:color w:val="auto"/>
              </w:rPr>
            </w:pPr>
            <w:r>
              <w:rPr>
                <w:rFonts w:ascii="Arial" w:cs="Arial" w:eastAsia="Arial" w:hAnsi="Arial"/>
                <w:sz w:val="14"/>
                <w:szCs w:val="14"/>
                <w:color w:val="auto"/>
              </w:rPr>
              <w:t>156</w:t>
            </w: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jc w:val="right"/>
              <w:ind w:right="128"/>
              <w:spacing w:after="0"/>
              <w:rPr>
                <w:sz w:val="20"/>
                <w:szCs w:val="20"/>
                <w:color w:val="auto"/>
              </w:rPr>
            </w:pPr>
            <w:r>
              <w:rPr>
                <w:rFonts w:ascii="Arial" w:cs="Arial" w:eastAsia="Arial" w:hAnsi="Arial"/>
                <w:sz w:val="14"/>
                <w:szCs w:val="14"/>
                <w:color w:val="auto"/>
              </w:rPr>
              <w:t>206</w:t>
            </w: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ind w:right="148"/>
              <w:spacing w:after="0"/>
              <w:rPr>
                <w:sz w:val="20"/>
                <w:szCs w:val="20"/>
                <w:color w:val="auto"/>
              </w:rPr>
            </w:pPr>
            <w:r>
              <w:rPr>
                <w:rFonts w:ascii="Arial" w:cs="Arial" w:eastAsia="Arial" w:hAnsi="Arial"/>
                <w:sz w:val="14"/>
                <w:szCs w:val="14"/>
                <w:color w:val="auto"/>
              </w:rPr>
              <w:t>262</w:t>
            </w:r>
          </w:p>
        </w:tc>
        <w:tc>
          <w:tcPr>
            <w:tcW w:w="540" w:type="dxa"/>
            <w:vAlign w:val="bottom"/>
          </w:tcPr>
          <w:p>
            <w:pPr>
              <w:spacing w:after="0"/>
              <w:rPr>
                <w:sz w:val="18"/>
                <w:szCs w:val="18"/>
                <w:color w:val="auto"/>
              </w:rPr>
            </w:pPr>
          </w:p>
        </w:tc>
      </w:tr>
      <w:tr>
        <w:trPr>
          <w:trHeight w:val="222"/>
        </w:trPr>
        <w:tc>
          <w:tcPr>
            <w:tcW w:w="3000" w:type="dxa"/>
            <w:vAlign w:val="bottom"/>
          </w:tcPr>
          <w:p>
            <w:pPr>
              <w:ind w:left="180"/>
              <w:spacing w:after="0"/>
              <w:rPr>
                <w:sz w:val="20"/>
                <w:szCs w:val="20"/>
                <w:color w:val="auto"/>
              </w:rPr>
            </w:pPr>
            <w:r>
              <w:rPr>
                <w:rFonts w:ascii="Arial" w:cs="Arial" w:eastAsia="Arial" w:hAnsi="Arial"/>
                <w:sz w:val="14"/>
                <w:szCs w:val="14"/>
                <w:color w:val="auto"/>
              </w:rPr>
              <w:t>Intercompany eliminations</w:t>
            </w:r>
          </w:p>
        </w:tc>
        <w:tc>
          <w:tcPr>
            <w:tcW w:w="2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(117 )</w:t>
            </w:r>
          </w:p>
        </w:tc>
        <w:tc>
          <w:tcPr>
            <w:tcW w:w="5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(179 )</w:t>
            </w:r>
          </w:p>
        </w:tc>
        <w:tc>
          <w:tcPr>
            <w:tcW w:w="6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(183 )</w:t>
            </w:r>
          </w:p>
        </w:tc>
        <w:tc>
          <w:tcPr>
            <w:tcW w:w="540" w:type="dxa"/>
            <w:vAlign w:val="bottom"/>
            <w:tcBorders>
              <w:bottom w:val="single" w:sz="8" w:color="auto"/>
            </w:tcBorders>
          </w:tcPr>
          <w:p>
            <w:pPr>
              <w:spacing w:after="0"/>
              <w:rPr>
                <w:sz w:val="19"/>
                <w:szCs w:val="19"/>
                <w:color w:val="auto"/>
              </w:rPr>
            </w:pPr>
          </w:p>
        </w:tc>
      </w:tr>
      <w:tr>
        <w:trPr>
          <w:trHeight w:val="224"/>
        </w:trPr>
        <w:tc>
          <w:tcPr>
            <w:tcW w:w="3000" w:type="dxa"/>
            <w:vAlign w:val="bottom"/>
            <w:tcBorders>
              <w:bottom w:val="single" w:sz="8" w:color="auto"/>
            </w:tcBorders>
          </w:tcPr>
          <w:p>
            <w:pPr>
              <w:ind w:left="420"/>
              <w:spacing w:after="0"/>
              <w:rPr>
                <w:sz w:val="20"/>
                <w:szCs w:val="20"/>
                <w:color w:val="auto"/>
              </w:rPr>
            </w:pPr>
            <w:r>
              <w:rPr>
                <w:rFonts w:ascii="Arial" w:cs="Arial" w:eastAsia="Arial" w:hAnsi="Arial"/>
                <w:sz w:val="14"/>
                <w:szCs w:val="14"/>
                <w:color w:val="auto"/>
              </w:rPr>
              <w:t>Total</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253</w:t>
            </w:r>
          </w:p>
        </w:tc>
        <w:tc>
          <w:tcPr>
            <w:tcW w:w="5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272</w:t>
            </w:r>
          </w:p>
        </w:tc>
        <w:tc>
          <w:tcPr>
            <w:tcW w:w="6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351</w:t>
            </w:r>
          </w:p>
        </w:tc>
        <w:tc>
          <w:tcPr>
            <w:tcW w:w="540" w:type="dxa"/>
            <w:vAlign w:val="bottom"/>
            <w:tcBorders>
              <w:bottom w:val="single" w:sz="8" w:color="auto"/>
            </w:tcBorders>
          </w:tcPr>
          <w:p>
            <w:pPr>
              <w:spacing w:after="0"/>
              <w:rPr>
                <w:sz w:val="19"/>
                <w:szCs w:val="19"/>
                <w:color w:val="auto"/>
              </w:rPr>
            </w:pPr>
          </w:p>
        </w:tc>
      </w:tr>
      <w:tr>
        <w:trPr>
          <w:trHeight w:val="210"/>
        </w:trPr>
        <w:tc>
          <w:tcPr>
            <w:tcW w:w="3000" w:type="dxa"/>
            <w:vAlign w:val="bottom"/>
          </w:tcPr>
          <w:p>
            <w:pPr>
              <w:ind w:left="20"/>
              <w:spacing w:after="0"/>
              <w:rPr>
                <w:sz w:val="20"/>
                <w:szCs w:val="20"/>
                <w:color w:val="auto"/>
              </w:rPr>
            </w:pPr>
            <w:r>
              <w:rPr>
                <w:rFonts w:ascii="Arial" w:cs="Arial" w:eastAsia="Arial" w:hAnsi="Arial"/>
                <w:sz w:val="14"/>
                <w:szCs w:val="14"/>
                <w:color w:val="auto"/>
              </w:rPr>
              <w:t>INTEREST INCOME</w:t>
            </w: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40" w:type="dxa"/>
            <w:vAlign w:val="bottom"/>
          </w:tcPr>
          <w:p>
            <w:pPr>
              <w:spacing w:after="0"/>
              <w:rPr>
                <w:sz w:val="18"/>
                <w:szCs w:val="18"/>
                <w:color w:val="auto"/>
              </w:rPr>
            </w:pPr>
          </w:p>
        </w:tc>
      </w:tr>
      <w:tr>
        <w:trPr>
          <w:trHeight w:val="216"/>
        </w:trPr>
        <w:tc>
          <w:tcPr>
            <w:tcW w:w="3000" w:type="dxa"/>
            <w:vAlign w:val="bottom"/>
          </w:tcPr>
          <w:p>
            <w:pPr>
              <w:ind w:left="180"/>
              <w:spacing w:after="0"/>
              <w:rPr>
                <w:sz w:val="20"/>
                <w:szCs w:val="20"/>
                <w:color w:val="auto"/>
              </w:rPr>
            </w:pPr>
            <w:r>
              <w:rPr>
                <w:rFonts w:ascii="Arial" w:cs="Arial" w:eastAsia="Arial" w:hAnsi="Arial"/>
                <w:sz w:val="14"/>
                <w:szCs w:val="14"/>
                <w:color w:val="auto"/>
              </w:rPr>
              <w:t>SDG&amp;E</w:t>
            </w: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128"/>
              <w:spacing w:after="0"/>
              <w:rPr>
                <w:sz w:val="20"/>
                <w:szCs w:val="20"/>
                <w:color w:val="auto"/>
              </w:rPr>
            </w:pPr>
            <w:r>
              <w:rPr>
                <w:rFonts w:ascii="Arial" w:cs="Arial" w:eastAsia="Arial" w:hAnsi="Arial"/>
                <w:sz w:val="14"/>
                <w:szCs w:val="14"/>
                <w:color w:val="auto"/>
              </w:rPr>
              <w:t>6</w:t>
            </w:r>
          </w:p>
        </w:tc>
        <w:tc>
          <w:tcPr>
            <w:tcW w:w="50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128"/>
              <w:spacing w:after="0"/>
              <w:rPr>
                <w:sz w:val="20"/>
                <w:szCs w:val="20"/>
                <w:color w:val="auto"/>
              </w:rPr>
            </w:pPr>
            <w:r>
              <w:rPr>
                <w:rFonts w:ascii="Arial" w:cs="Arial" w:eastAsia="Arial" w:hAnsi="Arial"/>
                <w:sz w:val="14"/>
                <w:szCs w:val="14"/>
                <w:color w:val="auto"/>
              </w:rPr>
              <w:t>8</w:t>
            </w:r>
          </w:p>
        </w:tc>
        <w:tc>
          <w:tcPr>
            <w:tcW w:w="64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148"/>
              <w:spacing w:after="0"/>
              <w:rPr>
                <w:sz w:val="20"/>
                <w:szCs w:val="20"/>
                <w:color w:val="auto"/>
              </w:rPr>
            </w:pPr>
            <w:r>
              <w:rPr>
                <w:rFonts w:ascii="Arial" w:cs="Arial" w:eastAsia="Arial" w:hAnsi="Arial"/>
                <w:sz w:val="14"/>
                <w:szCs w:val="14"/>
                <w:color w:val="auto"/>
              </w:rPr>
              <w:t>6</w:t>
            </w:r>
          </w:p>
        </w:tc>
        <w:tc>
          <w:tcPr>
            <w:tcW w:w="540" w:type="dxa"/>
            <w:vAlign w:val="bottom"/>
          </w:tcPr>
          <w:p>
            <w:pPr>
              <w:spacing w:after="0"/>
              <w:rPr>
                <w:sz w:val="18"/>
                <w:szCs w:val="18"/>
                <w:color w:val="auto"/>
              </w:rPr>
            </w:pPr>
          </w:p>
        </w:tc>
      </w:tr>
      <w:tr>
        <w:trPr>
          <w:trHeight w:val="216"/>
        </w:trPr>
        <w:tc>
          <w:tcPr>
            <w:tcW w:w="3000" w:type="dxa"/>
            <w:vAlign w:val="bottom"/>
          </w:tcPr>
          <w:p>
            <w:pPr>
              <w:ind w:left="180"/>
              <w:spacing w:after="0"/>
              <w:rPr>
                <w:sz w:val="20"/>
                <w:szCs w:val="20"/>
                <w:color w:val="auto"/>
              </w:rPr>
            </w:pPr>
            <w:r>
              <w:rPr>
                <w:rFonts w:ascii="Arial" w:cs="Arial" w:eastAsia="Arial" w:hAnsi="Arial"/>
                <w:sz w:val="14"/>
                <w:szCs w:val="14"/>
                <w:color w:val="auto"/>
              </w:rPr>
              <w:t>SoCalGas</w:t>
            </w:r>
          </w:p>
        </w:tc>
        <w:tc>
          <w:tcPr>
            <w:tcW w:w="260" w:type="dxa"/>
            <w:vAlign w:val="bottom"/>
          </w:tcPr>
          <w:p>
            <w:pPr>
              <w:spacing w:after="0"/>
              <w:rPr>
                <w:sz w:val="18"/>
                <w:szCs w:val="18"/>
                <w:color w:val="auto"/>
              </w:rPr>
            </w:pPr>
          </w:p>
        </w:tc>
        <w:tc>
          <w:tcPr>
            <w:tcW w:w="680" w:type="dxa"/>
            <w:vAlign w:val="bottom"/>
          </w:tcPr>
          <w:p>
            <w:pPr>
              <w:jc w:val="right"/>
              <w:ind w:right="128"/>
              <w:spacing w:after="0"/>
              <w:rPr>
                <w:sz w:val="20"/>
                <w:szCs w:val="20"/>
                <w:color w:val="auto"/>
              </w:rPr>
            </w:pPr>
            <w:r>
              <w:rPr>
                <w:rFonts w:ascii="Arial" w:cs="Arial" w:eastAsia="Arial" w:hAnsi="Arial"/>
                <w:sz w:val="14"/>
                <w:szCs w:val="14"/>
                <w:color w:val="auto"/>
              </w:rPr>
              <w:t>11</w:t>
            </w: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jc w:val="right"/>
              <w:ind w:right="128"/>
              <w:spacing w:after="0"/>
              <w:rPr>
                <w:sz w:val="20"/>
                <w:szCs w:val="20"/>
                <w:color w:val="auto"/>
              </w:rPr>
            </w:pPr>
            <w:r>
              <w:rPr>
                <w:rFonts w:ascii="Arial" w:cs="Arial" w:eastAsia="Arial" w:hAnsi="Arial"/>
                <w:sz w:val="14"/>
                <w:szCs w:val="14"/>
                <w:color w:val="auto"/>
              </w:rPr>
              <w:t>27</w:t>
            </w: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ind w:right="148"/>
              <w:spacing w:after="0"/>
              <w:rPr>
                <w:sz w:val="20"/>
                <w:szCs w:val="20"/>
                <w:color w:val="auto"/>
              </w:rPr>
            </w:pPr>
            <w:r>
              <w:rPr>
                <w:rFonts w:ascii="Arial" w:cs="Arial" w:eastAsia="Arial" w:hAnsi="Arial"/>
                <w:sz w:val="14"/>
                <w:szCs w:val="14"/>
                <w:color w:val="auto"/>
              </w:rPr>
              <w:t>29</w:t>
            </w:r>
          </w:p>
        </w:tc>
        <w:tc>
          <w:tcPr>
            <w:tcW w:w="540" w:type="dxa"/>
            <w:vAlign w:val="bottom"/>
          </w:tcPr>
          <w:p>
            <w:pPr>
              <w:spacing w:after="0"/>
              <w:rPr>
                <w:sz w:val="18"/>
                <w:szCs w:val="18"/>
                <w:color w:val="auto"/>
              </w:rPr>
            </w:pPr>
          </w:p>
        </w:tc>
      </w:tr>
      <w:tr>
        <w:trPr>
          <w:trHeight w:val="216"/>
        </w:trPr>
        <w:tc>
          <w:tcPr>
            <w:tcW w:w="3000" w:type="dxa"/>
            <w:vAlign w:val="bottom"/>
          </w:tcPr>
          <w:p>
            <w:pPr>
              <w:ind w:left="180"/>
              <w:spacing w:after="0"/>
              <w:rPr>
                <w:sz w:val="20"/>
                <w:szCs w:val="20"/>
                <w:color w:val="auto"/>
              </w:rPr>
            </w:pPr>
            <w:r>
              <w:rPr>
                <w:rFonts w:ascii="Arial" w:cs="Arial" w:eastAsia="Arial" w:hAnsi="Arial"/>
                <w:sz w:val="14"/>
                <w:szCs w:val="14"/>
                <w:color w:val="auto"/>
              </w:rPr>
              <w:t>Sempra Commodities</w:t>
            </w:r>
          </w:p>
        </w:tc>
        <w:tc>
          <w:tcPr>
            <w:tcW w:w="260" w:type="dxa"/>
            <w:vAlign w:val="bottom"/>
          </w:tcPr>
          <w:p>
            <w:pPr>
              <w:spacing w:after="0"/>
              <w:rPr>
                <w:sz w:val="18"/>
                <w:szCs w:val="18"/>
                <w:color w:val="auto"/>
              </w:rPr>
            </w:pPr>
          </w:p>
        </w:tc>
        <w:tc>
          <w:tcPr>
            <w:tcW w:w="680" w:type="dxa"/>
            <w:vAlign w:val="bottom"/>
          </w:tcPr>
          <w:p>
            <w:pPr>
              <w:jc w:val="right"/>
              <w:ind w:right="128"/>
              <w:spacing w:after="0"/>
              <w:rPr>
                <w:sz w:val="20"/>
                <w:szCs w:val="20"/>
                <w:color w:val="auto"/>
              </w:rPr>
            </w:pPr>
            <w:r>
              <w:rPr>
                <w:rFonts w:ascii="Arial" w:cs="Arial" w:eastAsia="Arial" w:hAnsi="Arial"/>
                <w:sz w:val="14"/>
                <w:szCs w:val="14"/>
                <w:color w:val="auto"/>
              </w:rPr>
              <w:t>7</w:t>
            </w: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jc w:val="right"/>
              <w:ind w:right="128"/>
              <w:spacing w:after="0"/>
              <w:rPr>
                <w:sz w:val="20"/>
                <w:szCs w:val="20"/>
                <w:color w:val="auto"/>
              </w:rPr>
            </w:pPr>
            <w:r>
              <w:rPr>
                <w:rFonts w:ascii="Arial" w:cs="Arial" w:eastAsia="Arial" w:hAnsi="Arial"/>
                <w:sz w:val="14"/>
                <w:szCs w:val="14"/>
                <w:color w:val="auto"/>
              </w:rPr>
              <w:t>17</w:t>
            </w: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ind w:right="148"/>
              <w:spacing w:after="0"/>
              <w:rPr>
                <w:sz w:val="20"/>
                <w:szCs w:val="20"/>
                <w:color w:val="auto"/>
              </w:rPr>
            </w:pPr>
            <w:r>
              <w:rPr>
                <w:rFonts w:ascii="Arial" w:cs="Arial" w:eastAsia="Arial" w:hAnsi="Arial"/>
                <w:sz w:val="14"/>
                <w:szCs w:val="14"/>
                <w:color w:val="auto"/>
              </w:rPr>
              <w:t>10</w:t>
            </w:r>
          </w:p>
        </w:tc>
        <w:tc>
          <w:tcPr>
            <w:tcW w:w="540" w:type="dxa"/>
            <w:vAlign w:val="bottom"/>
          </w:tcPr>
          <w:p>
            <w:pPr>
              <w:spacing w:after="0"/>
              <w:rPr>
                <w:sz w:val="18"/>
                <w:szCs w:val="18"/>
                <w:color w:val="auto"/>
              </w:rPr>
            </w:pPr>
          </w:p>
        </w:tc>
      </w:tr>
      <w:tr>
        <w:trPr>
          <w:trHeight w:val="216"/>
        </w:trPr>
        <w:tc>
          <w:tcPr>
            <w:tcW w:w="3000" w:type="dxa"/>
            <w:vAlign w:val="bottom"/>
          </w:tcPr>
          <w:p>
            <w:pPr>
              <w:ind w:left="180"/>
              <w:spacing w:after="0"/>
              <w:rPr>
                <w:sz w:val="20"/>
                <w:szCs w:val="20"/>
                <w:color w:val="auto"/>
              </w:rPr>
            </w:pPr>
            <w:r>
              <w:rPr>
                <w:rFonts w:ascii="Arial" w:cs="Arial" w:eastAsia="Arial" w:hAnsi="Arial"/>
                <w:sz w:val="14"/>
                <w:szCs w:val="14"/>
                <w:color w:val="auto"/>
              </w:rPr>
              <w:t>Sempra Generation</w:t>
            </w:r>
          </w:p>
        </w:tc>
        <w:tc>
          <w:tcPr>
            <w:tcW w:w="260" w:type="dxa"/>
            <w:vAlign w:val="bottom"/>
          </w:tcPr>
          <w:p>
            <w:pPr>
              <w:spacing w:after="0"/>
              <w:rPr>
                <w:sz w:val="18"/>
                <w:szCs w:val="18"/>
                <w:color w:val="auto"/>
              </w:rPr>
            </w:pPr>
          </w:p>
        </w:tc>
        <w:tc>
          <w:tcPr>
            <w:tcW w:w="680" w:type="dxa"/>
            <w:vAlign w:val="bottom"/>
          </w:tcPr>
          <w:p>
            <w:pPr>
              <w:jc w:val="right"/>
              <w:ind w:right="128"/>
              <w:spacing w:after="0"/>
              <w:rPr>
                <w:sz w:val="20"/>
                <w:szCs w:val="20"/>
                <w:color w:val="auto"/>
              </w:rPr>
            </w:pPr>
            <w:r>
              <w:rPr>
                <w:rFonts w:ascii="Arial" w:cs="Arial" w:eastAsia="Arial" w:hAnsi="Arial"/>
                <w:sz w:val="14"/>
                <w:szCs w:val="14"/>
                <w:color w:val="auto"/>
              </w:rPr>
              <w:t>9</w:t>
            </w: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jc w:val="right"/>
              <w:ind w:right="128"/>
              <w:spacing w:after="0"/>
              <w:rPr>
                <w:sz w:val="20"/>
                <w:szCs w:val="20"/>
                <w:color w:val="auto"/>
              </w:rPr>
            </w:pPr>
            <w:r>
              <w:rPr>
                <w:rFonts w:ascii="Arial" w:cs="Arial" w:eastAsia="Arial" w:hAnsi="Arial"/>
                <w:sz w:val="14"/>
                <w:szCs w:val="14"/>
                <w:color w:val="auto"/>
              </w:rPr>
              <w:t>28</w:t>
            </w: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ind w:right="148"/>
              <w:spacing w:after="0"/>
              <w:rPr>
                <w:sz w:val="20"/>
                <w:szCs w:val="20"/>
                <w:color w:val="auto"/>
              </w:rPr>
            </w:pPr>
            <w:r>
              <w:rPr>
                <w:rFonts w:ascii="Arial" w:cs="Arial" w:eastAsia="Arial" w:hAnsi="Arial"/>
                <w:sz w:val="14"/>
                <w:szCs w:val="14"/>
                <w:color w:val="auto"/>
              </w:rPr>
              <w:t>32</w:t>
            </w:r>
          </w:p>
        </w:tc>
        <w:tc>
          <w:tcPr>
            <w:tcW w:w="540" w:type="dxa"/>
            <w:vAlign w:val="bottom"/>
          </w:tcPr>
          <w:p>
            <w:pPr>
              <w:spacing w:after="0"/>
              <w:rPr>
                <w:sz w:val="18"/>
                <w:szCs w:val="18"/>
                <w:color w:val="auto"/>
              </w:rPr>
            </w:pPr>
          </w:p>
        </w:tc>
      </w:tr>
      <w:tr>
        <w:trPr>
          <w:trHeight w:val="216"/>
        </w:trPr>
        <w:tc>
          <w:tcPr>
            <w:tcW w:w="3000" w:type="dxa"/>
            <w:vAlign w:val="bottom"/>
          </w:tcPr>
          <w:p>
            <w:pPr>
              <w:ind w:left="180"/>
              <w:spacing w:after="0"/>
              <w:rPr>
                <w:sz w:val="20"/>
                <w:szCs w:val="20"/>
                <w:color w:val="auto"/>
              </w:rPr>
            </w:pPr>
            <w:r>
              <w:rPr>
                <w:rFonts w:ascii="Arial" w:cs="Arial" w:eastAsia="Arial" w:hAnsi="Arial"/>
                <w:sz w:val="14"/>
                <w:szCs w:val="14"/>
                <w:color w:val="auto"/>
              </w:rPr>
              <w:t>Sempra Pipelines &amp; Storage</w:t>
            </w:r>
          </w:p>
        </w:tc>
        <w:tc>
          <w:tcPr>
            <w:tcW w:w="260" w:type="dxa"/>
            <w:vAlign w:val="bottom"/>
          </w:tcPr>
          <w:p>
            <w:pPr>
              <w:spacing w:after="0"/>
              <w:rPr>
                <w:sz w:val="18"/>
                <w:szCs w:val="18"/>
                <w:color w:val="auto"/>
              </w:rPr>
            </w:pPr>
          </w:p>
        </w:tc>
        <w:tc>
          <w:tcPr>
            <w:tcW w:w="680" w:type="dxa"/>
            <w:vAlign w:val="bottom"/>
          </w:tcPr>
          <w:p>
            <w:pPr>
              <w:jc w:val="right"/>
              <w:ind w:right="128"/>
              <w:spacing w:after="0"/>
              <w:rPr>
                <w:sz w:val="20"/>
                <w:szCs w:val="20"/>
                <w:color w:val="auto"/>
              </w:rPr>
            </w:pPr>
            <w:r>
              <w:rPr>
                <w:rFonts w:ascii="Arial" w:cs="Arial" w:eastAsia="Arial" w:hAnsi="Arial"/>
                <w:sz w:val="14"/>
                <w:szCs w:val="14"/>
                <w:color w:val="auto"/>
              </w:rPr>
              <w:t>18</w:t>
            </w: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jc w:val="right"/>
              <w:ind w:right="128"/>
              <w:spacing w:after="0"/>
              <w:rPr>
                <w:sz w:val="20"/>
                <w:szCs w:val="20"/>
                <w:color w:val="auto"/>
              </w:rPr>
            </w:pPr>
            <w:r>
              <w:rPr>
                <w:rFonts w:ascii="Arial" w:cs="Arial" w:eastAsia="Arial" w:hAnsi="Arial"/>
                <w:sz w:val="14"/>
                <w:szCs w:val="14"/>
                <w:color w:val="auto"/>
              </w:rPr>
              <w:t>14</w:t>
            </w: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ind w:right="148"/>
              <w:spacing w:after="0"/>
              <w:rPr>
                <w:sz w:val="20"/>
                <w:szCs w:val="20"/>
                <w:color w:val="auto"/>
              </w:rPr>
            </w:pPr>
            <w:r>
              <w:rPr>
                <w:rFonts w:ascii="Arial" w:cs="Arial" w:eastAsia="Arial" w:hAnsi="Arial"/>
                <w:sz w:val="14"/>
                <w:szCs w:val="14"/>
                <w:color w:val="auto"/>
              </w:rPr>
              <w:t>18</w:t>
            </w:r>
          </w:p>
        </w:tc>
        <w:tc>
          <w:tcPr>
            <w:tcW w:w="540" w:type="dxa"/>
            <w:vAlign w:val="bottom"/>
          </w:tcPr>
          <w:p>
            <w:pPr>
              <w:spacing w:after="0"/>
              <w:rPr>
                <w:sz w:val="18"/>
                <w:szCs w:val="18"/>
                <w:color w:val="auto"/>
              </w:rPr>
            </w:pPr>
          </w:p>
        </w:tc>
      </w:tr>
      <w:tr>
        <w:trPr>
          <w:trHeight w:val="216"/>
        </w:trPr>
        <w:tc>
          <w:tcPr>
            <w:tcW w:w="3000" w:type="dxa"/>
            <w:vAlign w:val="bottom"/>
          </w:tcPr>
          <w:p>
            <w:pPr>
              <w:ind w:left="180"/>
              <w:spacing w:after="0"/>
              <w:rPr>
                <w:sz w:val="20"/>
                <w:szCs w:val="20"/>
                <w:color w:val="auto"/>
              </w:rPr>
            </w:pPr>
            <w:r>
              <w:rPr>
                <w:rFonts w:ascii="Arial" w:cs="Arial" w:eastAsia="Arial" w:hAnsi="Arial"/>
                <w:sz w:val="14"/>
                <w:szCs w:val="14"/>
                <w:color w:val="auto"/>
              </w:rPr>
              <w:t>All other</w:t>
            </w:r>
          </w:p>
        </w:tc>
        <w:tc>
          <w:tcPr>
            <w:tcW w:w="260" w:type="dxa"/>
            <w:vAlign w:val="bottom"/>
          </w:tcPr>
          <w:p>
            <w:pPr>
              <w:spacing w:after="0"/>
              <w:rPr>
                <w:sz w:val="18"/>
                <w:szCs w:val="18"/>
                <w:color w:val="auto"/>
              </w:rPr>
            </w:pPr>
          </w:p>
        </w:tc>
        <w:tc>
          <w:tcPr>
            <w:tcW w:w="680" w:type="dxa"/>
            <w:vAlign w:val="bottom"/>
          </w:tcPr>
          <w:p>
            <w:pPr>
              <w:jc w:val="right"/>
              <w:ind w:right="128"/>
              <w:spacing w:after="0"/>
              <w:rPr>
                <w:sz w:val="20"/>
                <w:szCs w:val="20"/>
                <w:color w:val="auto"/>
              </w:rPr>
            </w:pPr>
            <w:r>
              <w:rPr>
                <w:rFonts w:ascii="Arial" w:cs="Arial" w:eastAsia="Arial" w:hAnsi="Arial"/>
                <w:sz w:val="14"/>
                <w:szCs w:val="14"/>
                <w:color w:val="auto"/>
              </w:rPr>
              <w:t>111</w:t>
            </w: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jc w:val="right"/>
              <w:ind w:right="128"/>
              <w:spacing w:after="0"/>
              <w:rPr>
                <w:sz w:val="20"/>
                <w:szCs w:val="20"/>
                <w:color w:val="auto"/>
              </w:rPr>
            </w:pPr>
            <w:r>
              <w:rPr>
                <w:rFonts w:ascii="Arial" w:cs="Arial" w:eastAsia="Arial" w:hAnsi="Arial"/>
                <w:sz w:val="14"/>
                <w:szCs w:val="14"/>
                <w:color w:val="auto"/>
              </w:rPr>
              <w:t>157</w:t>
            </w: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ind w:right="148"/>
              <w:spacing w:after="0"/>
              <w:rPr>
                <w:sz w:val="20"/>
                <w:szCs w:val="20"/>
                <w:color w:val="auto"/>
              </w:rPr>
            </w:pPr>
            <w:r>
              <w:rPr>
                <w:rFonts w:ascii="Arial" w:cs="Arial" w:eastAsia="Arial" w:hAnsi="Arial"/>
                <w:sz w:val="14"/>
                <w:szCs w:val="14"/>
                <w:color w:val="auto"/>
              </w:rPr>
              <w:t>197</w:t>
            </w:r>
          </w:p>
        </w:tc>
        <w:tc>
          <w:tcPr>
            <w:tcW w:w="540" w:type="dxa"/>
            <w:vAlign w:val="bottom"/>
          </w:tcPr>
          <w:p>
            <w:pPr>
              <w:spacing w:after="0"/>
              <w:rPr>
                <w:sz w:val="18"/>
                <w:szCs w:val="18"/>
                <w:color w:val="auto"/>
              </w:rPr>
            </w:pPr>
          </w:p>
        </w:tc>
      </w:tr>
      <w:tr>
        <w:trPr>
          <w:trHeight w:val="222"/>
        </w:trPr>
        <w:tc>
          <w:tcPr>
            <w:tcW w:w="3000" w:type="dxa"/>
            <w:vAlign w:val="bottom"/>
          </w:tcPr>
          <w:p>
            <w:pPr>
              <w:ind w:left="180"/>
              <w:spacing w:after="0"/>
              <w:rPr>
                <w:sz w:val="20"/>
                <w:szCs w:val="20"/>
                <w:color w:val="auto"/>
              </w:rPr>
            </w:pPr>
            <w:r>
              <w:rPr>
                <w:rFonts w:ascii="Arial" w:cs="Arial" w:eastAsia="Arial" w:hAnsi="Arial"/>
                <w:sz w:val="14"/>
                <w:szCs w:val="14"/>
                <w:color w:val="auto"/>
              </w:rPr>
              <w:t>Intercompany eliminations</w:t>
            </w:r>
          </w:p>
        </w:tc>
        <w:tc>
          <w:tcPr>
            <w:tcW w:w="2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(117 )</w:t>
            </w:r>
          </w:p>
        </w:tc>
        <w:tc>
          <w:tcPr>
            <w:tcW w:w="5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(179 )</w:t>
            </w:r>
          </w:p>
        </w:tc>
        <w:tc>
          <w:tcPr>
            <w:tcW w:w="6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(183 )</w:t>
            </w:r>
          </w:p>
        </w:tc>
        <w:tc>
          <w:tcPr>
            <w:tcW w:w="540" w:type="dxa"/>
            <w:vAlign w:val="bottom"/>
            <w:tcBorders>
              <w:bottom w:val="single" w:sz="8" w:color="auto"/>
            </w:tcBorders>
          </w:tcPr>
          <w:p>
            <w:pPr>
              <w:spacing w:after="0"/>
              <w:rPr>
                <w:sz w:val="19"/>
                <w:szCs w:val="19"/>
                <w:color w:val="auto"/>
              </w:rPr>
            </w:pPr>
          </w:p>
        </w:tc>
      </w:tr>
      <w:tr>
        <w:trPr>
          <w:trHeight w:val="224"/>
        </w:trPr>
        <w:tc>
          <w:tcPr>
            <w:tcW w:w="3000" w:type="dxa"/>
            <w:vAlign w:val="bottom"/>
            <w:tcBorders>
              <w:bottom w:val="single" w:sz="8" w:color="auto"/>
            </w:tcBorders>
          </w:tcPr>
          <w:p>
            <w:pPr>
              <w:ind w:left="420"/>
              <w:spacing w:after="0"/>
              <w:rPr>
                <w:sz w:val="20"/>
                <w:szCs w:val="20"/>
                <w:color w:val="auto"/>
              </w:rPr>
            </w:pPr>
            <w:r>
              <w:rPr>
                <w:rFonts w:ascii="Arial" w:cs="Arial" w:eastAsia="Arial" w:hAnsi="Arial"/>
                <w:sz w:val="14"/>
                <w:szCs w:val="14"/>
                <w:color w:val="auto"/>
              </w:rPr>
              <w:t>Total</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45</w:t>
            </w:r>
          </w:p>
        </w:tc>
        <w:tc>
          <w:tcPr>
            <w:tcW w:w="5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72</w:t>
            </w:r>
          </w:p>
        </w:tc>
        <w:tc>
          <w:tcPr>
            <w:tcW w:w="6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109</w:t>
            </w:r>
          </w:p>
        </w:tc>
        <w:tc>
          <w:tcPr>
            <w:tcW w:w="540" w:type="dxa"/>
            <w:vAlign w:val="bottom"/>
            <w:tcBorders>
              <w:bottom w:val="single" w:sz="8" w:color="auto"/>
            </w:tcBorders>
          </w:tcPr>
          <w:p>
            <w:pPr>
              <w:spacing w:after="0"/>
              <w:rPr>
                <w:sz w:val="19"/>
                <w:szCs w:val="19"/>
                <w:color w:val="auto"/>
              </w:rPr>
            </w:pPr>
          </w:p>
        </w:tc>
      </w:tr>
      <w:tr>
        <w:trPr>
          <w:trHeight w:val="186"/>
        </w:trPr>
        <w:tc>
          <w:tcPr>
            <w:tcW w:w="3000" w:type="dxa"/>
            <w:vAlign w:val="bottom"/>
          </w:tcPr>
          <w:p>
            <w:pPr>
              <w:ind w:left="20"/>
              <w:spacing w:after="0"/>
              <w:rPr>
                <w:sz w:val="20"/>
                <w:szCs w:val="20"/>
                <w:color w:val="auto"/>
              </w:rPr>
            </w:pPr>
            <w:r>
              <w:rPr>
                <w:rFonts w:ascii="Arial" w:cs="Arial" w:eastAsia="Arial" w:hAnsi="Arial"/>
                <w:sz w:val="14"/>
                <w:szCs w:val="14"/>
                <w:color w:val="auto"/>
              </w:rPr>
              <w:t>DEPRECIATION AND AMORTIZATION</w:t>
            </w: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40" w:type="dxa"/>
            <w:vAlign w:val="bottom"/>
          </w:tcPr>
          <w:p>
            <w:pPr>
              <w:spacing w:after="0"/>
              <w:rPr>
                <w:sz w:val="16"/>
                <w:szCs w:val="16"/>
                <w:color w:val="auto"/>
              </w:rPr>
            </w:pPr>
          </w:p>
        </w:tc>
      </w:tr>
      <w:tr>
        <w:trPr>
          <w:trHeight w:val="216"/>
        </w:trPr>
        <w:tc>
          <w:tcPr>
            <w:tcW w:w="3000" w:type="dxa"/>
            <w:vAlign w:val="bottom"/>
          </w:tcPr>
          <w:p>
            <w:pPr>
              <w:ind w:left="180"/>
              <w:spacing w:after="0"/>
              <w:rPr>
                <w:sz w:val="20"/>
                <w:szCs w:val="20"/>
                <w:color w:val="auto"/>
              </w:rPr>
            </w:pPr>
            <w:r>
              <w:rPr>
                <w:rFonts w:ascii="Arial" w:cs="Arial" w:eastAsia="Arial" w:hAnsi="Arial"/>
                <w:sz w:val="14"/>
                <w:szCs w:val="14"/>
                <w:color w:val="auto"/>
              </w:rPr>
              <w:t>SDG&amp;E</w:t>
            </w: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128"/>
              <w:spacing w:after="0"/>
              <w:rPr>
                <w:sz w:val="20"/>
                <w:szCs w:val="20"/>
                <w:color w:val="auto"/>
              </w:rPr>
            </w:pPr>
            <w:r>
              <w:rPr>
                <w:rFonts w:ascii="Arial" w:cs="Arial" w:eastAsia="Arial" w:hAnsi="Arial"/>
                <w:sz w:val="14"/>
                <w:szCs w:val="14"/>
                <w:color w:val="auto"/>
              </w:rPr>
              <w:t>298</w:t>
            </w:r>
          </w:p>
        </w:tc>
        <w:tc>
          <w:tcPr>
            <w:tcW w:w="500" w:type="dxa"/>
            <w:vAlign w:val="bottom"/>
          </w:tcPr>
          <w:p>
            <w:pPr>
              <w:jc w:val="right"/>
              <w:spacing w:after="0"/>
              <w:rPr>
                <w:sz w:val="20"/>
                <w:szCs w:val="20"/>
                <w:color w:val="auto"/>
              </w:rPr>
            </w:pPr>
            <w:r>
              <w:rPr>
                <w:rFonts w:ascii="Arial" w:cs="Arial" w:eastAsia="Arial" w:hAnsi="Arial"/>
                <w:sz w:val="14"/>
                <w:szCs w:val="14"/>
                <w:color w:val="auto"/>
              </w:rPr>
              <w:t>43 %</w:t>
            </w:r>
          </w:p>
        </w:tc>
        <w:tc>
          <w:tcPr>
            <w:tcW w:w="32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128"/>
              <w:spacing w:after="0"/>
              <w:rPr>
                <w:sz w:val="20"/>
                <w:szCs w:val="20"/>
                <w:color w:val="auto"/>
              </w:rPr>
            </w:pPr>
            <w:r>
              <w:rPr>
                <w:rFonts w:ascii="Arial" w:cs="Arial" w:eastAsia="Arial" w:hAnsi="Arial"/>
                <w:sz w:val="14"/>
                <w:szCs w:val="14"/>
                <w:color w:val="auto"/>
              </w:rPr>
              <w:t>301</w:t>
            </w:r>
          </w:p>
        </w:tc>
        <w:tc>
          <w:tcPr>
            <w:tcW w:w="640" w:type="dxa"/>
            <w:vAlign w:val="bottom"/>
          </w:tcPr>
          <w:p>
            <w:pPr>
              <w:jc w:val="right"/>
              <w:ind w:right="108"/>
              <w:spacing w:after="0"/>
              <w:rPr>
                <w:sz w:val="20"/>
                <w:szCs w:val="20"/>
                <w:color w:val="auto"/>
              </w:rPr>
            </w:pPr>
            <w:r>
              <w:rPr>
                <w:rFonts w:ascii="Arial" w:cs="Arial" w:eastAsia="Arial" w:hAnsi="Arial"/>
                <w:sz w:val="14"/>
                <w:szCs w:val="14"/>
                <w:color w:val="auto"/>
              </w:rPr>
              <w:t>44 %</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148"/>
              <w:spacing w:after="0"/>
              <w:rPr>
                <w:sz w:val="20"/>
                <w:szCs w:val="20"/>
                <w:color w:val="auto"/>
              </w:rPr>
            </w:pPr>
            <w:r>
              <w:rPr>
                <w:rFonts w:ascii="Arial" w:cs="Arial" w:eastAsia="Arial" w:hAnsi="Arial"/>
                <w:sz w:val="14"/>
                <w:szCs w:val="14"/>
                <w:color w:val="auto"/>
              </w:rPr>
              <w:t>291</w:t>
            </w:r>
          </w:p>
        </w:tc>
        <w:tc>
          <w:tcPr>
            <w:tcW w:w="540" w:type="dxa"/>
            <w:vAlign w:val="bottom"/>
          </w:tcPr>
          <w:p>
            <w:pPr>
              <w:jc w:val="right"/>
              <w:ind w:right="28"/>
              <w:spacing w:after="0"/>
              <w:rPr>
                <w:sz w:val="20"/>
                <w:szCs w:val="20"/>
                <w:color w:val="auto"/>
              </w:rPr>
            </w:pPr>
            <w:r>
              <w:rPr>
                <w:rFonts w:ascii="Arial" w:cs="Arial" w:eastAsia="Arial" w:hAnsi="Arial"/>
                <w:sz w:val="14"/>
                <w:szCs w:val="14"/>
                <w:color w:val="auto"/>
              </w:rPr>
              <w:t>44 %</w:t>
            </w:r>
          </w:p>
        </w:tc>
      </w:tr>
      <w:tr>
        <w:trPr>
          <w:trHeight w:val="216"/>
        </w:trPr>
        <w:tc>
          <w:tcPr>
            <w:tcW w:w="3000" w:type="dxa"/>
            <w:vAlign w:val="bottom"/>
          </w:tcPr>
          <w:p>
            <w:pPr>
              <w:ind w:left="180"/>
              <w:spacing w:after="0"/>
              <w:rPr>
                <w:sz w:val="20"/>
                <w:szCs w:val="20"/>
                <w:color w:val="auto"/>
              </w:rPr>
            </w:pPr>
            <w:r>
              <w:rPr>
                <w:rFonts w:ascii="Arial" w:cs="Arial" w:eastAsia="Arial" w:hAnsi="Arial"/>
                <w:sz w:val="14"/>
                <w:szCs w:val="14"/>
                <w:color w:val="auto"/>
              </w:rPr>
              <w:t>SoCalGas</w:t>
            </w:r>
          </w:p>
        </w:tc>
        <w:tc>
          <w:tcPr>
            <w:tcW w:w="260" w:type="dxa"/>
            <w:vAlign w:val="bottom"/>
          </w:tcPr>
          <w:p>
            <w:pPr>
              <w:spacing w:after="0"/>
              <w:rPr>
                <w:sz w:val="18"/>
                <w:szCs w:val="18"/>
                <w:color w:val="auto"/>
              </w:rPr>
            </w:pPr>
          </w:p>
        </w:tc>
        <w:tc>
          <w:tcPr>
            <w:tcW w:w="680" w:type="dxa"/>
            <w:vAlign w:val="bottom"/>
          </w:tcPr>
          <w:p>
            <w:pPr>
              <w:jc w:val="right"/>
              <w:ind w:right="128"/>
              <w:spacing w:after="0"/>
              <w:rPr>
                <w:sz w:val="20"/>
                <w:szCs w:val="20"/>
                <w:color w:val="auto"/>
              </w:rPr>
            </w:pPr>
            <w:r>
              <w:rPr>
                <w:rFonts w:ascii="Arial" w:cs="Arial" w:eastAsia="Arial" w:hAnsi="Arial"/>
                <w:sz w:val="14"/>
                <w:szCs w:val="14"/>
                <w:color w:val="auto"/>
              </w:rPr>
              <w:t>280</w:t>
            </w:r>
          </w:p>
        </w:tc>
        <w:tc>
          <w:tcPr>
            <w:tcW w:w="500" w:type="dxa"/>
            <w:vAlign w:val="bottom"/>
          </w:tcPr>
          <w:p>
            <w:pPr>
              <w:jc w:val="right"/>
              <w:ind w:right="128"/>
              <w:spacing w:after="0"/>
              <w:rPr>
                <w:sz w:val="20"/>
                <w:szCs w:val="20"/>
                <w:color w:val="auto"/>
              </w:rPr>
            </w:pPr>
            <w:r>
              <w:rPr>
                <w:rFonts w:ascii="Arial" w:cs="Arial" w:eastAsia="Arial" w:hAnsi="Arial"/>
                <w:sz w:val="14"/>
                <w:szCs w:val="14"/>
                <w:color w:val="auto"/>
              </w:rPr>
              <w:t>41</w:t>
            </w:r>
          </w:p>
        </w:tc>
        <w:tc>
          <w:tcPr>
            <w:tcW w:w="320" w:type="dxa"/>
            <w:vAlign w:val="bottom"/>
          </w:tcPr>
          <w:p>
            <w:pPr>
              <w:spacing w:after="0"/>
              <w:rPr>
                <w:sz w:val="18"/>
                <w:szCs w:val="18"/>
                <w:color w:val="auto"/>
              </w:rPr>
            </w:pPr>
          </w:p>
        </w:tc>
        <w:tc>
          <w:tcPr>
            <w:tcW w:w="680" w:type="dxa"/>
            <w:vAlign w:val="bottom"/>
          </w:tcPr>
          <w:p>
            <w:pPr>
              <w:jc w:val="right"/>
              <w:ind w:right="128"/>
              <w:spacing w:after="0"/>
              <w:rPr>
                <w:sz w:val="20"/>
                <w:szCs w:val="20"/>
                <w:color w:val="auto"/>
              </w:rPr>
            </w:pPr>
            <w:r>
              <w:rPr>
                <w:rFonts w:ascii="Arial" w:cs="Arial" w:eastAsia="Arial" w:hAnsi="Arial"/>
                <w:sz w:val="14"/>
                <w:szCs w:val="14"/>
                <w:color w:val="auto"/>
              </w:rPr>
              <w:t>281</w:t>
            </w:r>
          </w:p>
        </w:tc>
        <w:tc>
          <w:tcPr>
            <w:tcW w:w="640" w:type="dxa"/>
            <w:vAlign w:val="bottom"/>
          </w:tcPr>
          <w:p>
            <w:pPr>
              <w:jc w:val="right"/>
              <w:ind w:right="268"/>
              <w:spacing w:after="0"/>
              <w:rPr>
                <w:sz w:val="20"/>
                <w:szCs w:val="20"/>
                <w:color w:val="auto"/>
              </w:rPr>
            </w:pPr>
            <w:r>
              <w:rPr>
                <w:rFonts w:ascii="Arial" w:cs="Arial" w:eastAsia="Arial" w:hAnsi="Arial"/>
                <w:sz w:val="14"/>
                <w:szCs w:val="14"/>
                <w:color w:val="auto"/>
              </w:rPr>
              <w:t>41</w:t>
            </w:r>
          </w:p>
        </w:tc>
        <w:tc>
          <w:tcPr>
            <w:tcW w:w="180" w:type="dxa"/>
            <w:vAlign w:val="bottom"/>
          </w:tcPr>
          <w:p>
            <w:pPr>
              <w:spacing w:after="0"/>
              <w:rPr>
                <w:sz w:val="18"/>
                <w:szCs w:val="18"/>
                <w:color w:val="auto"/>
              </w:rPr>
            </w:pPr>
          </w:p>
        </w:tc>
        <w:tc>
          <w:tcPr>
            <w:tcW w:w="700" w:type="dxa"/>
            <w:vAlign w:val="bottom"/>
          </w:tcPr>
          <w:p>
            <w:pPr>
              <w:jc w:val="right"/>
              <w:ind w:right="148"/>
              <w:spacing w:after="0"/>
              <w:rPr>
                <w:sz w:val="20"/>
                <w:szCs w:val="20"/>
                <w:color w:val="auto"/>
              </w:rPr>
            </w:pPr>
            <w:r>
              <w:rPr>
                <w:rFonts w:ascii="Arial" w:cs="Arial" w:eastAsia="Arial" w:hAnsi="Arial"/>
                <w:sz w:val="14"/>
                <w:szCs w:val="14"/>
                <w:color w:val="auto"/>
              </w:rPr>
              <w:t>267</w:t>
            </w:r>
          </w:p>
        </w:tc>
        <w:tc>
          <w:tcPr>
            <w:tcW w:w="540" w:type="dxa"/>
            <w:vAlign w:val="bottom"/>
          </w:tcPr>
          <w:p>
            <w:pPr>
              <w:jc w:val="right"/>
              <w:ind w:right="188"/>
              <w:spacing w:after="0"/>
              <w:rPr>
                <w:sz w:val="20"/>
                <w:szCs w:val="20"/>
                <w:color w:val="auto"/>
              </w:rPr>
            </w:pPr>
            <w:r>
              <w:rPr>
                <w:rFonts w:ascii="Arial" w:cs="Arial" w:eastAsia="Arial" w:hAnsi="Arial"/>
                <w:sz w:val="14"/>
                <w:szCs w:val="14"/>
                <w:color w:val="auto"/>
              </w:rPr>
              <w:t>41</w:t>
            </w:r>
          </w:p>
        </w:tc>
      </w:tr>
      <w:tr>
        <w:trPr>
          <w:trHeight w:val="216"/>
        </w:trPr>
        <w:tc>
          <w:tcPr>
            <w:tcW w:w="3000" w:type="dxa"/>
            <w:vAlign w:val="bottom"/>
          </w:tcPr>
          <w:p>
            <w:pPr>
              <w:ind w:left="180"/>
              <w:spacing w:after="0"/>
              <w:rPr>
                <w:sz w:val="20"/>
                <w:szCs w:val="20"/>
                <w:color w:val="auto"/>
              </w:rPr>
            </w:pPr>
            <w:r>
              <w:rPr>
                <w:rFonts w:ascii="Arial" w:cs="Arial" w:eastAsia="Arial" w:hAnsi="Arial"/>
                <w:sz w:val="14"/>
                <w:szCs w:val="14"/>
                <w:color w:val="auto"/>
              </w:rPr>
              <w:t>Sempra Commodities</w:t>
            </w:r>
          </w:p>
        </w:tc>
        <w:tc>
          <w:tcPr>
            <w:tcW w:w="260" w:type="dxa"/>
            <w:vAlign w:val="bottom"/>
          </w:tcPr>
          <w:p>
            <w:pPr>
              <w:spacing w:after="0"/>
              <w:rPr>
                <w:sz w:val="18"/>
                <w:szCs w:val="18"/>
                <w:color w:val="auto"/>
              </w:rPr>
            </w:pPr>
          </w:p>
        </w:tc>
        <w:tc>
          <w:tcPr>
            <w:tcW w:w="680" w:type="dxa"/>
            <w:vAlign w:val="bottom"/>
          </w:tcPr>
          <w:p>
            <w:pPr>
              <w:jc w:val="right"/>
              <w:ind w:right="128"/>
              <w:spacing w:after="0"/>
              <w:rPr>
                <w:sz w:val="20"/>
                <w:szCs w:val="20"/>
                <w:color w:val="auto"/>
              </w:rPr>
            </w:pPr>
            <w:r>
              <w:rPr>
                <w:rFonts w:ascii="Arial" w:cs="Arial" w:eastAsia="Arial" w:hAnsi="Arial"/>
                <w:sz w:val="14"/>
                <w:szCs w:val="14"/>
                <w:color w:val="auto"/>
              </w:rPr>
              <w:t>6</w:t>
            </w:r>
          </w:p>
        </w:tc>
        <w:tc>
          <w:tcPr>
            <w:tcW w:w="500" w:type="dxa"/>
            <w:vAlign w:val="bottom"/>
          </w:tcPr>
          <w:p>
            <w:pPr>
              <w:jc w:val="right"/>
              <w:ind w:right="128"/>
              <w:spacing w:after="0"/>
              <w:rPr>
                <w:sz w:val="20"/>
                <w:szCs w:val="20"/>
                <w:color w:val="auto"/>
              </w:rPr>
            </w:pPr>
            <w:r>
              <w:rPr>
                <w:rFonts w:ascii="Arial" w:cs="Arial" w:eastAsia="Arial" w:hAnsi="Arial"/>
                <w:sz w:val="14"/>
                <w:szCs w:val="14"/>
                <w:color w:val="auto"/>
              </w:rPr>
              <w:t>1</w:t>
            </w:r>
          </w:p>
        </w:tc>
        <w:tc>
          <w:tcPr>
            <w:tcW w:w="320" w:type="dxa"/>
            <w:vAlign w:val="bottom"/>
          </w:tcPr>
          <w:p>
            <w:pPr>
              <w:spacing w:after="0"/>
              <w:rPr>
                <w:sz w:val="18"/>
                <w:szCs w:val="18"/>
                <w:color w:val="auto"/>
              </w:rPr>
            </w:pPr>
          </w:p>
        </w:tc>
        <w:tc>
          <w:tcPr>
            <w:tcW w:w="680" w:type="dxa"/>
            <w:vAlign w:val="bottom"/>
          </w:tcPr>
          <w:p>
            <w:pPr>
              <w:jc w:val="right"/>
              <w:ind w:right="128"/>
              <w:spacing w:after="0"/>
              <w:rPr>
                <w:sz w:val="20"/>
                <w:szCs w:val="20"/>
                <w:color w:val="auto"/>
              </w:rPr>
            </w:pPr>
            <w:r>
              <w:rPr>
                <w:rFonts w:ascii="Arial" w:cs="Arial" w:eastAsia="Arial" w:hAnsi="Arial"/>
                <w:sz w:val="14"/>
                <w:szCs w:val="14"/>
                <w:color w:val="auto"/>
              </w:rPr>
              <w:t>26</w:t>
            </w:r>
          </w:p>
        </w:tc>
        <w:tc>
          <w:tcPr>
            <w:tcW w:w="640" w:type="dxa"/>
            <w:vAlign w:val="bottom"/>
          </w:tcPr>
          <w:p>
            <w:pPr>
              <w:jc w:val="right"/>
              <w:ind w:right="268"/>
              <w:spacing w:after="0"/>
              <w:rPr>
                <w:sz w:val="20"/>
                <w:szCs w:val="20"/>
                <w:color w:val="auto"/>
              </w:rPr>
            </w:pPr>
            <w:r>
              <w:rPr>
                <w:rFonts w:ascii="Arial" w:cs="Arial" w:eastAsia="Arial" w:hAnsi="Arial"/>
                <w:sz w:val="14"/>
                <w:szCs w:val="14"/>
                <w:color w:val="auto"/>
              </w:rPr>
              <w:t>3</w:t>
            </w:r>
          </w:p>
        </w:tc>
        <w:tc>
          <w:tcPr>
            <w:tcW w:w="180" w:type="dxa"/>
            <w:vAlign w:val="bottom"/>
          </w:tcPr>
          <w:p>
            <w:pPr>
              <w:spacing w:after="0"/>
              <w:rPr>
                <w:sz w:val="18"/>
                <w:szCs w:val="18"/>
                <w:color w:val="auto"/>
              </w:rPr>
            </w:pPr>
          </w:p>
        </w:tc>
        <w:tc>
          <w:tcPr>
            <w:tcW w:w="700" w:type="dxa"/>
            <w:vAlign w:val="bottom"/>
          </w:tcPr>
          <w:p>
            <w:pPr>
              <w:jc w:val="right"/>
              <w:ind w:right="148"/>
              <w:spacing w:after="0"/>
              <w:rPr>
                <w:sz w:val="20"/>
                <w:szCs w:val="20"/>
                <w:color w:val="auto"/>
              </w:rPr>
            </w:pPr>
            <w:r>
              <w:rPr>
                <w:rFonts w:ascii="Arial" w:cs="Arial" w:eastAsia="Arial" w:hAnsi="Arial"/>
                <w:sz w:val="14"/>
                <w:szCs w:val="14"/>
                <w:color w:val="auto"/>
              </w:rPr>
              <w:t>25</w:t>
            </w:r>
          </w:p>
        </w:tc>
        <w:tc>
          <w:tcPr>
            <w:tcW w:w="540" w:type="dxa"/>
            <w:vAlign w:val="bottom"/>
          </w:tcPr>
          <w:p>
            <w:pPr>
              <w:jc w:val="right"/>
              <w:ind w:right="188"/>
              <w:spacing w:after="0"/>
              <w:rPr>
                <w:sz w:val="20"/>
                <w:szCs w:val="20"/>
                <w:color w:val="auto"/>
              </w:rPr>
            </w:pPr>
            <w:r>
              <w:rPr>
                <w:rFonts w:ascii="Arial" w:cs="Arial" w:eastAsia="Arial" w:hAnsi="Arial"/>
                <w:sz w:val="14"/>
                <w:szCs w:val="14"/>
                <w:color w:val="auto"/>
              </w:rPr>
              <w:t>4</w:t>
            </w:r>
          </w:p>
        </w:tc>
      </w:tr>
      <w:tr>
        <w:trPr>
          <w:trHeight w:val="216"/>
        </w:trPr>
        <w:tc>
          <w:tcPr>
            <w:tcW w:w="3000" w:type="dxa"/>
            <w:vAlign w:val="bottom"/>
          </w:tcPr>
          <w:p>
            <w:pPr>
              <w:ind w:left="180"/>
              <w:spacing w:after="0"/>
              <w:rPr>
                <w:sz w:val="20"/>
                <w:szCs w:val="20"/>
                <w:color w:val="auto"/>
              </w:rPr>
            </w:pPr>
            <w:r>
              <w:rPr>
                <w:rFonts w:ascii="Arial" w:cs="Arial" w:eastAsia="Arial" w:hAnsi="Arial"/>
                <w:sz w:val="14"/>
                <w:szCs w:val="14"/>
                <w:color w:val="auto"/>
              </w:rPr>
              <w:t>Sempra Generation</w:t>
            </w:r>
          </w:p>
        </w:tc>
        <w:tc>
          <w:tcPr>
            <w:tcW w:w="260" w:type="dxa"/>
            <w:vAlign w:val="bottom"/>
          </w:tcPr>
          <w:p>
            <w:pPr>
              <w:spacing w:after="0"/>
              <w:rPr>
                <w:sz w:val="18"/>
                <w:szCs w:val="18"/>
                <w:color w:val="auto"/>
              </w:rPr>
            </w:pPr>
          </w:p>
        </w:tc>
        <w:tc>
          <w:tcPr>
            <w:tcW w:w="680" w:type="dxa"/>
            <w:vAlign w:val="bottom"/>
          </w:tcPr>
          <w:p>
            <w:pPr>
              <w:jc w:val="right"/>
              <w:ind w:right="128"/>
              <w:spacing w:after="0"/>
              <w:rPr>
                <w:sz w:val="20"/>
                <w:szCs w:val="20"/>
                <w:color w:val="auto"/>
              </w:rPr>
            </w:pPr>
            <w:r>
              <w:rPr>
                <w:rFonts w:ascii="Arial" w:cs="Arial" w:eastAsia="Arial" w:hAnsi="Arial"/>
                <w:sz w:val="14"/>
                <w:szCs w:val="14"/>
                <w:color w:val="auto"/>
              </w:rPr>
              <w:t>56</w:t>
            </w:r>
          </w:p>
        </w:tc>
        <w:tc>
          <w:tcPr>
            <w:tcW w:w="500" w:type="dxa"/>
            <w:vAlign w:val="bottom"/>
          </w:tcPr>
          <w:p>
            <w:pPr>
              <w:jc w:val="right"/>
              <w:ind w:right="128"/>
              <w:spacing w:after="0"/>
              <w:rPr>
                <w:sz w:val="20"/>
                <w:szCs w:val="20"/>
                <w:color w:val="auto"/>
              </w:rPr>
            </w:pPr>
            <w:r>
              <w:rPr>
                <w:rFonts w:ascii="Arial" w:cs="Arial" w:eastAsia="Arial" w:hAnsi="Arial"/>
                <w:sz w:val="14"/>
                <w:szCs w:val="14"/>
                <w:color w:val="auto"/>
              </w:rPr>
              <w:t>8</w:t>
            </w:r>
          </w:p>
        </w:tc>
        <w:tc>
          <w:tcPr>
            <w:tcW w:w="320" w:type="dxa"/>
            <w:vAlign w:val="bottom"/>
          </w:tcPr>
          <w:p>
            <w:pPr>
              <w:spacing w:after="0"/>
              <w:rPr>
                <w:sz w:val="18"/>
                <w:szCs w:val="18"/>
                <w:color w:val="auto"/>
              </w:rPr>
            </w:pPr>
          </w:p>
        </w:tc>
        <w:tc>
          <w:tcPr>
            <w:tcW w:w="680" w:type="dxa"/>
            <w:vAlign w:val="bottom"/>
          </w:tcPr>
          <w:p>
            <w:pPr>
              <w:jc w:val="right"/>
              <w:ind w:right="128"/>
              <w:spacing w:after="0"/>
              <w:rPr>
                <w:sz w:val="20"/>
                <w:szCs w:val="20"/>
                <w:color w:val="auto"/>
              </w:rPr>
            </w:pPr>
            <w:r>
              <w:rPr>
                <w:rFonts w:ascii="Arial" w:cs="Arial" w:eastAsia="Arial" w:hAnsi="Arial"/>
                <w:sz w:val="14"/>
                <w:szCs w:val="14"/>
                <w:color w:val="auto"/>
              </w:rPr>
              <w:t>56</w:t>
            </w:r>
          </w:p>
        </w:tc>
        <w:tc>
          <w:tcPr>
            <w:tcW w:w="640" w:type="dxa"/>
            <w:vAlign w:val="bottom"/>
          </w:tcPr>
          <w:p>
            <w:pPr>
              <w:jc w:val="right"/>
              <w:ind w:right="268"/>
              <w:spacing w:after="0"/>
              <w:rPr>
                <w:sz w:val="20"/>
                <w:szCs w:val="20"/>
                <w:color w:val="auto"/>
              </w:rPr>
            </w:pPr>
            <w:r>
              <w:rPr>
                <w:rFonts w:ascii="Arial" w:cs="Arial" w:eastAsia="Arial" w:hAnsi="Arial"/>
                <w:sz w:val="14"/>
                <w:szCs w:val="14"/>
                <w:color w:val="auto"/>
              </w:rPr>
              <w:t>8</w:t>
            </w:r>
          </w:p>
        </w:tc>
        <w:tc>
          <w:tcPr>
            <w:tcW w:w="180" w:type="dxa"/>
            <w:vAlign w:val="bottom"/>
          </w:tcPr>
          <w:p>
            <w:pPr>
              <w:spacing w:after="0"/>
              <w:rPr>
                <w:sz w:val="18"/>
                <w:szCs w:val="18"/>
                <w:color w:val="auto"/>
              </w:rPr>
            </w:pPr>
          </w:p>
        </w:tc>
        <w:tc>
          <w:tcPr>
            <w:tcW w:w="700" w:type="dxa"/>
            <w:vAlign w:val="bottom"/>
          </w:tcPr>
          <w:p>
            <w:pPr>
              <w:jc w:val="right"/>
              <w:ind w:right="148"/>
              <w:spacing w:after="0"/>
              <w:rPr>
                <w:sz w:val="20"/>
                <w:szCs w:val="20"/>
                <w:color w:val="auto"/>
              </w:rPr>
            </w:pPr>
            <w:r>
              <w:rPr>
                <w:rFonts w:ascii="Arial" w:cs="Arial" w:eastAsia="Arial" w:hAnsi="Arial"/>
                <w:sz w:val="14"/>
                <w:szCs w:val="14"/>
                <w:color w:val="auto"/>
              </w:rPr>
              <w:t>46</w:t>
            </w:r>
          </w:p>
        </w:tc>
        <w:tc>
          <w:tcPr>
            <w:tcW w:w="540" w:type="dxa"/>
            <w:vAlign w:val="bottom"/>
          </w:tcPr>
          <w:p>
            <w:pPr>
              <w:jc w:val="right"/>
              <w:ind w:right="188"/>
              <w:spacing w:after="0"/>
              <w:rPr>
                <w:sz w:val="20"/>
                <w:szCs w:val="20"/>
                <w:color w:val="auto"/>
              </w:rPr>
            </w:pPr>
            <w:r>
              <w:rPr>
                <w:rFonts w:ascii="Arial" w:cs="Arial" w:eastAsia="Arial" w:hAnsi="Arial"/>
                <w:sz w:val="14"/>
                <w:szCs w:val="14"/>
                <w:color w:val="auto"/>
              </w:rPr>
              <w:t>7</w:t>
            </w:r>
          </w:p>
        </w:tc>
      </w:tr>
      <w:tr>
        <w:trPr>
          <w:trHeight w:val="216"/>
        </w:trPr>
        <w:tc>
          <w:tcPr>
            <w:tcW w:w="3000" w:type="dxa"/>
            <w:vAlign w:val="bottom"/>
          </w:tcPr>
          <w:p>
            <w:pPr>
              <w:ind w:left="180"/>
              <w:spacing w:after="0"/>
              <w:rPr>
                <w:sz w:val="20"/>
                <w:szCs w:val="20"/>
                <w:color w:val="auto"/>
              </w:rPr>
            </w:pPr>
            <w:r>
              <w:rPr>
                <w:rFonts w:ascii="Arial" w:cs="Arial" w:eastAsia="Arial" w:hAnsi="Arial"/>
                <w:sz w:val="14"/>
                <w:szCs w:val="14"/>
                <w:color w:val="auto"/>
              </w:rPr>
              <w:t>Sempra Pipelines &amp; Storage</w:t>
            </w:r>
          </w:p>
        </w:tc>
        <w:tc>
          <w:tcPr>
            <w:tcW w:w="260" w:type="dxa"/>
            <w:vAlign w:val="bottom"/>
          </w:tcPr>
          <w:p>
            <w:pPr>
              <w:spacing w:after="0"/>
              <w:rPr>
                <w:sz w:val="18"/>
                <w:szCs w:val="18"/>
                <w:color w:val="auto"/>
              </w:rPr>
            </w:pPr>
          </w:p>
        </w:tc>
        <w:tc>
          <w:tcPr>
            <w:tcW w:w="680" w:type="dxa"/>
            <w:vAlign w:val="bottom"/>
          </w:tcPr>
          <w:p>
            <w:pPr>
              <w:jc w:val="right"/>
              <w:ind w:right="128"/>
              <w:spacing w:after="0"/>
              <w:rPr>
                <w:sz w:val="20"/>
                <w:szCs w:val="20"/>
                <w:color w:val="auto"/>
              </w:rPr>
            </w:pPr>
            <w:r>
              <w:rPr>
                <w:rFonts w:ascii="Arial" w:cs="Arial" w:eastAsia="Arial" w:hAnsi="Arial"/>
                <w:sz w:val="14"/>
                <w:szCs w:val="14"/>
                <w:color w:val="auto"/>
              </w:rPr>
              <w:t>20</w:t>
            </w:r>
          </w:p>
        </w:tc>
        <w:tc>
          <w:tcPr>
            <w:tcW w:w="500" w:type="dxa"/>
            <w:vAlign w:val="bottom"/>
          </w:tcPr>
          <w:p>
            <w:pPr>
              <w:jc w:val="right"/>
              <w:ind w:right="128"/>
              <w:spacing w:after="0"/>
              <w:rPr>
                <w:sz w:val="20"/>
                <w:szCs w:val="20"/>
                <w:color w:val="auto"/>
              </w:rPr>
            </w:pPr>
            <w:r>
              <w:rPr>
                <w:rFonts w:ascii="Arial" w:cs="Arial" w:eastAsia="Arial" w:hAnsi="Arial"/>
                <w:sz w:val="14"/>
                <w:szCs w:val="14"/>
                <w:color w:val="auto"/>
              </w:rPr>
              <w:t>3</w:t>
            </w:r>
          </w:p>
        </w:tc>
        <w:tc>
          <w:tcPr>
            <w:tcW w:w="320" w:type="dxa"/>
            <w:vAlign w:val="bottom"/>
          </w:tcPr>
          <w:p>
            <w:pPr>
              <w:spacing w:after="0"/>
              <w:rPr>
                <w:sz w:val="18"/>
                <w:szCs w:val="18"/>
                <w:color w:val="auto"/>
              </w:rPr>
            </w:pPr>
          </w:p>
        </w:tc>
        <w:tc>
          <w:tcPr>
            <w:tcW w:w="680" w:type="dxa"/>
            <w:vAlign w:val="bottom"/>
          </w:tcPr>
          <w:p>
            <w:pPr>
              <w:jc w:val="right"/>
              <w:ind w:right="128"/>
              <w:spacing w:after="0"/>
              <w:rPr>
                <w:sz w:val="20"/>
                <w:szCs w:val="20"/>
                <w:color w:val="auto"/>
              </w:rPr>
            </w:pPr>
            <w:r>
              <w:rPr>
                <w:rFonts w:ascii="Arial" w:cs="Arial" w:eastAsia="Arial" w:hAnsi="Arial"/>
                <w:sz w:val="14"/>
                <w:szCs w:val="14"/>
                <w:color w:val="auto"/>
              </w:rPr>
              <w:t>11</w:t>
            </w:r>
          </w:p>
        </w:tc>
        <w:tc>
          <w:tcPr>
            <w:tcW w:w="640" w:type="dxa"/>
            <w:vAlign w:val="bottom"/>
          </w:tcPr>
          <w:p>
            <w:pPr>
              <w:jc w:val="right"/>
              <w:ind w:right="268"/>
              <w:spacing w:after="0"/>
              <w:rPr>
                <w:sz w:val="20"/>
                <w:szCs w:val="20"/>
                <w:color w:val="auto"/>
              </w:rPr>
            </w:pPr>
            <w:r>
              <w:rPr>
                <w:rFonts w:ascii="Arial" w:cs="Arial" w:eastAsia="Arial" w:hAnsi="Arial"/>
                <w:sz w:val="14"/>
                <w:szCs w:val="14"/>
                <w:color w:val="auto"/>
              </w:rPr>
              <w:t>2</w:t>
            </w:r>
          </w:p>
        </w:tc>
        <w:tc>
          <w:tcPr>
            <w:tcW w:w="180" w:type="dxa"/>
            <w:vAlign w:val="bottom"/>
          </w:tcPr>
          <w:p>
            <w:pPr>
              <w:spacing w:after="0"/>
              <w:rPr>
                <w:sz w:val="18"/>
                <w:szCs w:val="18"/>
                <w:color w:val="auto"/>
              </w:rPr>
            </w:pPr>
          </w:p>
        </w:tc>
        <w:tc>
          <w:tcPr>
            <w:tcW w:w="700" w:type="dxa"/>
            <w:vAlign w:val="bottom"/>
          </w:tcPr>
          <w:p>
            <w:pPr>
              <w:jc w:val="right"/>
              <w:ind w:right="148"/>
              <w:spacing w:after="0"/>
              <w:rPr>
                <w:sz w:val="20"/>
                <w:szCs w:val="20"/>
                <w:color w:val="auto"/>
              </w:rPr>
            </w:pPr>
            <w:r>
              <w:rPr>
                <w:rFonts w:ascii="Arial" w:cs="Arial" w:eastAsia="Arial" w:hAnsi="Arial"/>
                <w:sz w:val="14"/>
                <w:szCs w:val="14"/>
                <w:color w:val="auto"/>
              </w:rPr>
              <w:t>12</w:t>
            </w:r>
          </w:p>
        </w:tc>
        <w:tc>
          <w:tcPr>
            <w:tcW w:w="540" w:type="dxa"/>
            <w:vAlign w:val="bottom"/>
          </w:tcPr>
          <w:p>
            <w:pPr>
              <w:jc w:val="right"/>
              <w:ind w:right="188"/>
              <w:spacing w:after="0"/>
              <w:rPr>
                <w:sz w:val="20"/>
                <w:szCs w:val="20"/>
                <w:color w:val="auto"/>
              </w:rPr>
            </w:pPr>
            <w:r>
              <w:rPr>
                <w:rFonts w:ascii="Arial" w:cs="Arial" w:eastAsia="Arial" w:hAnsi="Arial"/>
                <w:sz w:val="14"/>
                <w:szCs w:val="14"/>
                <w:color w:val="auto"/>
              </w:rPr>
              <w:t>2</w:t>
            </w:r>
          </w:p>
        </w:tc>
      </w:tr>
      <w:tr>
        <w:trPr>
          <w:trHeight w:val="222"/>
        </w:trPr>
        <w:tc>
          <w:tcPr>
            <w:tcW w:w="3000" w:type="dxa"/>
            <w:vAlign w:val="bottom"/>
          </w:tcPr>
          <w:p>
            <w:pPr>
              <w:ind w:left="180"/>
              <w:spacing w:after="0"/>
              <w:rPr>
                <w:sz w:val="20"/>
                <w:szCs w:val="20"/>
                <w:color w:val="auto"/>
              </w:rPr>
            </w:pPr>
            <w:r>
              <w:rPr>
                <w:rFonts w:ascii="Arial" w:cs="Arial" w:eastAsia="Arial" w:hAnsi="Arial"/>
                <w:sz w:val="14"/>
                <w:szCs w:val="14"/>
                <w:color w:val="auto"/>
              </w:rPr>
              <w:t>All other</w:t>
            </w:r>
          </w:p>
        </w:tc>
        <w:tc>
          <w:tcPr>
            <w:tcW w:w="2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27</w:t>
            </w:r>
          </w:p>
        </w:tc>
        <w:tc>
          <w:tcPr>
            <w:tcW w:w="5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4</w:t>
            </w:r>
          </w:p>
        </w:tc>
        <w:tc>
          <w:tcPr>
            <w:tcW w:w="3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11</w:t>
            </w:r>
          </w:p>
        </w:tc>
        <w:tc>
          <w:tcPr>
            <w:tcW w:w="64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2</w:t>
            </w:r>
          </w:p>
        </w:tc>
        <w:tc>
          <w:tcPr>
            <w:tcW w:w="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16</w:t>
            </w:r>
          </w:p>
        </w:tc>
        <w:tc>
          <w:tcPr>
            <w:tcW w:w="54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2</w:t>
            </w:r>
          </w:p>
        </w:tc>
      </w:tr>
      <w:tr>
        <w:trPr>
          <w:trHeight w:val="224"/>
        </w:trPr>
        <w:tc>
          <w:tcPr>
            <w:tcW w:w="3000" w:type="dxa"/>
            <w:vAlign w:val="bottom"/>
            <w:tcBorders>
              <w:bottom w:val="single" w:sz="8" w:color="auto"/>
            </w:tcBorders>
          </w:tcPr>
          <w:p>
            <w:pPr>
              <w:ind w:left="420"/>
              <w:spacing w:after="0"/>
              <w:rPr>
                <w:sz w:val="20"/>
                <w:szCs w:val="20"/>
                <w:color w:val="auto"/>
              </w:rPr>
            </w:pPr>
            <w:r>
              <w:rPr>
                <w:rFonts w:ascii="Arial" w:cs="Arial" w:eastAsia="Arial" w:hAnsi="Arial"/>
                <w:sz w:val="14"/>
                <w:szCs w:val="14"/>
                <w:color w:val="auto"/>
              </w:rPr>
              <w:t>Total</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687</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100 %</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686</w:t>
            </w:r>
          </w:p>
        </w:tc>
        <w:tc>
          <w:tcPr>
            <w:tcW w:w="6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100 %</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657</w:t>
            </w:r>
          </w:p>
        </w:tc>
        <w:tc>
          <w:tcPr>
            <w:tcW w:w="5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100 %</w:t>
            </w:r>
          </w:p>
        </w:tc>
      </w:tr>
      <w:tr>
        <w:trPr>
          <w:trHeight w:val="210"/>
        </w:trPr>
        <w:tc>
          <w:tcPr>
            <w:tcW w:w="3000" w:type="dxa"/>
            <w:vAlign w:val="bottom"/>
          </w:tcPr>
          <w:p>
            <w:pPr>
              <w:ind w:left="20"/>
              <w:spacing w:after="0"/>
              <w:rPr>
                <w:sz w:val="20"/>
                <w:szCs w:val="20"/>
                <w:color w:val="auto"/>
              </w:rPr>
            </w:pPr>
            <w:r>
              <w:rPr>
                <w:rFonts w:ascii="Arial" w:cs="Arial" w:eastAsia="Arial" w:hAnsi="Arial"/>
                <w:sz w:val="14"/>
                <w:szCs w:val="14"/>
                <w:color w:val="auto"/>
              </w:rPr>
              <w:t>INCOME TAX EXPENSE (BENEFIT)</w:t>
            </w: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40" w:type="dxa"/>
            <w:vAlign w:val="bottom"/>
          </w:tcPr>
          <w:p>
            <w:pPr>
              <w:spacing w:after="0"/>
              <w:rPr>
                <w:sz w:val="18"/>
                <w:szCs w:val="18"/>
                <w:color w:val="auto"/>
              </w:rPr>
            </w:pPr>
          </w:p>
        </w:tc>
      </w:tr>
      <w:tr>
        <w:trPr>
          <w:trHeight w:val="216"/>
        </w:trPr>
        <w:tc>
          <w:tcPr>
            <w:tcW w:w="3000" w:type="dxa"/>
            <w:vAlign w:val="bottom"/>
          </w:tcPr>
          <w:p>
            <w:pPr>
              <w:ind w:left="180"/>
              <w:spacing w:after="0"/>
              <w:rPr>
                <w:sz w:val="20"/>
                <w:szCs w:val="20"/>
                <w:color w:val="auto"/>
              </w:rPr>
            </w:pPr>
            <w:r>
              <w:rPr>
                <w:rFonts w:ascii="Arial" w:cs="Arial" w:eastAsia="Arial" w:hAnsi="Arial"/>
                <w:sz w:val="14"/>
                <w:szCs w:val="14"/>
                <w:color w:val="auto"/>
              </w:rPr>
              <w:t>SDG&amp;E</w:t>
            </w: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128"/>
              <w:spacing w:after="0"/>
              <w:rPr>
                <w:sz w:val="20"/>
                <w:szCs w:val="20"/>
                <w:color w:val="auto"/>
              </w:rPr>
            </w:pPr>
            <w:r>
              <w:rPr>
                <w:rFonts w:ascii="Arial" w:cs="Arial" w:eastAsia="Arial" w:hAnsi="Arial"/>
                <w:sz w:val="14"/>
                <w:szCs w:val="14"/>
                <w:color w:val="auto"/>
              </w:rPr>
              <w:t>161</w:t>
            </w:r>
          </w:p>
        </w:tc>
        <w:tc>
          <w:tcPr>
            <w:tcW w:w="50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128"/>
              <w:spacing w:after="0"/>
              <w:rPr>
                <w:sz w:val="20"/>
                <w:szCs w:val="20"/>
                <w:color w:val="auto"/>
              </w:rPr>
            </w:pPr>
            <w:r>
              <w:rPr>
                <w:rFonts w:ascii="Arial" w:cs="Arial" w:eastAsia="Arial" w:hAnsi="Arial"/>
                <w:sz w:val="14"/>
                <w:szCs w:val="14"/>
                <w:color w:val="auto"/>
              </w:rPr>
              <w:t>135</w:t>
            </w:r>
          </w:p>
        </w:tc>
        <w:tc>
          <w:tcPr>
            <w:tcW w:w="64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148"/>
              <w:spacing w:after="0"/>
              <w:rPr>
                <w:sz w:val="20"/>
                <w:szCs w:val="20"/>
                <w:color w:val="auto"/>
              </w:rPr>
            </w:pPr>
            <w:r>
              <w:rPr>
                <w:rFonts w:ascii="Arial" w:cs="Arial" w:eastAsia="Arial" w:hAnsi="Arial"/>
                <w:sz w:val="14"/>
                <w:szCs w:val="14"/>
                <w:color w:val="auto"/>
              </w:rPr>
              <w:t>152</w:t>
            </w:r>
          </w:p>
        </w:tc>
        <w:tc>
          <w:tcPr>
            <w:tcW w:w="540" w:type="dxa"/>
            <w:vAlign w:val="bottom"/>
          </w:tcPr>
          <w:p>
            <w:pPr>
              <w:spacing w:after="0"/>
              <w:rPr>
                <w:sz w:val="18"/>
                <w:szCs w:val="18"/>
                <w:color w:val="auto"/>
              </w:rPr>
            </w:pPr>
          </w:p>
        </w:tc>
      </w:tr>
      <w:tr>
        <w:trPr>
          <w:trHeight w:val="216"/>
        </w:trPr>
        <w:tc>
          <w:tcPr>
            <w:tcW w:w="3000" w:type="dxa"/>
            <w:vAlign w:val="bottom"/>
          </w:tcPr>
          <w:p>
            <w:pPr>
              <w:ind w:left="180"/>
              <w:spacing w:after="0"/>
              <w:rPr>
                <w:sz w:val="20"/>
                <w:szCs w:val="20"/>
                <w:color w:val="auto"/>
              </w:rPr>
            </w:pPr>
            <w:r>
              <w:rPr>
                <w:rFonts w:ascii="Arial" w:cs="Arial" w:eastAsia="Arial" w:hAnsi="Arial"/>
                <w:sz w:val="14"/>
                <w:szCs w:val="14"/>
                <w:color w:val="auto"/>
              </w:rPr>
              <w:t>SoCalGas</w:t>
            </w:r>
          </w:p>
        </w:tc>
        <w:tc>
          <w:tcPr>
            <w:tcW w:w="260" w:type="dxa"/>
            <w:vAlign w:val="bottom"/>
          </w:tcPr>
          <w:p>
            <w:pPr>
              <w:spacing w:after="0"/>
              <w:rPr>
                <w:sz w:val="18"/>
                <w:szCs w:val="18"/>
                <w:color w:val="auto"/>
              </w:rPr>
            </w:pPr>
          </w:p>
        </w:tc>
        <w:tc>
          <w:tcPr>
            <w:tcW w:w="680" w:type="dxa"/>
            <w:vAlign w:val="bottom"/>
          </w:tcPr>
          <w:p>
            <w:pPr>
              <w:jc w:val="right"/>
              <w:ind w:right="128"/>
              <w:spacing w:after="0"/>
              <w:rPr>
                <w:sz w:val="20"/>
                <w:szCs w:val="20"/>
                <w:color w:val="auto"/>
              </w:rPr>
            </w:pPr>
            <w:r>
              <w:rPr>
                <w:rFonts w:ascii="Arial" w:cs="Arial" w:eastAsia="Arial" w:hAnsi="Arial"/>
                <w:sz w:val="14"/>
                <w:szCs w:val="14"/>
                <w:color w:val="auto"/>
              </w:rPr>
              <w:t>140</w:t>
            </w: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jc w:val="right"/>
              <w:ind w:right="128"/>
              <w:spacing w:after="0"/>
              <w:rPr>
                <w:sz w:val="20"/>
                <w:szCs w:val="20"/>
                <w:color w:val="auto"/>
              </w:rPr>
            </w:pPr>
            <w:r>
              <w:rPr>
                <w:rFonts w:ascii="Arial" w:cs="Arial" w:eastAsia="Arial" w:hAnsi="Arial"/>
                <w:sz w:val="14"/>
                <w:szCs w:val="14"/>
                <w:color w:val="auto"/>
              </w:rPr>
              <w:t>160</w:t>
            </w: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ind w:right="148"/>
              <w:spacing w:after="0"/>
              <w:rPr>
                <w:sz w:val="20"/>
                <w:szCs w:val="20"/>
                <w:color w:val="auto"/>
              </w:rPr>
            </w:pPr>
            <w:r>
              <w:rPr>
                <w:rFonts w:ascii="Arial" w:cs="Arial" w:eastAsia="Arial" w:hAnsi="Arial"/>
                <w:sz w:val="14"/>
                <w:szCs w:val="14"/>
                <w:color w:val="auto"/>
              </w:rPr>
              <w:t>173</w:t>
            </w:r>
          </w:p>
        </w:tc>
        <w:tc>
          <w:tcPr>
            <w:tcW w:w="540" w:type="dxa"/>
            <w:vAlign w:val="bottom"/>
          </w:tcPr>
          <w:p>
            <w:pPr>
              <w:spacing w:after="0"/>
              <w:rPr>
                <w:sz w:val="18"/>
                <w:szCs w:val="18"/>
                <w:color w:val="auto"/>
              </w:rPr>
            </w:pPr>
          </w:p>
        </w:tc>
      </w:tr>
      <w:tr>
        <w:trPr>
          <w:trHeight w:val="216"/>
        </w:trPr>
        <w:tc>
          <w:tcPr>
            <w:tcW w:w="3000" w:type="dxa"/>
            <w:vAlign w:val="bottom"/>
          </w:tcPr>
          <w:p>
            <w:pPr>
              <w:ind w:left="180"/>
              <w:spacing w:after="0"/>
              <w:rPr>
                <w:sz w:val="20"/>
                <w:szCs w:val="20"/>
                <w:color w:val="auto"/>
              </w:rPr>
            </w:pPr>
            <w:r>
              <w:rPr>
                <w:rFonts w:ascii="Arial" w:cs="Arial" w:eastAsia="Arial" w:hAnsi="Arial"/>
                <w:sz w:val="14"/>
                <w:szCs w:val="14"/>
                <w:color w:val="auto"/>
              </w:rPr>
              <w:t>Sempra Commodities</w:t>
            </w:r>
          </w:p>
        </w:tc>
        <w:tc>
          <w:tcPr>
            <w:tcW w:w="260" w:type="dxa"/>
            <w:vAlign w:val="bottom"/>
          </w:tcPr>
          <w:p>
            <w:pPr>
              <w:spacing w:after="0"/>
              <w:rPr>
                <w:sz w:val="18"/>
                <w:szCs w:val="18"/>
                <w:color w:val="auto"/>
              </w:rPr>
            </w:pPr>
          </w:p>
        </w:tc>
        <w:tc>
          <w:tcPr>
            <w:tcW w:w="680" w:type="dxa"/>
            <w:vAlign w:val="bottom"/>
          </w:tcPr>
          <w:p>
            <w:pPr>
              <w:jc w:val="right"/>
              <w:ind w:right="128"/>
              <w:spacing w:after="0"/>
              <w:rPr>
                <w:sz w:val="20"/>
                <w:szCs w:val="20"/>
                <w:color w:val="auto"/>
              </w:rPr>
            </w:pPr>
            <w:r>
              <w:rPr>
                <w:rFonts w:ascii="Arial" w:cs="Arial" w:eastAsia="Arial" w:hAnsi="Arial"/>
                <w:sz w:val="14"/>
                <w:szCs w:val="14"/>
                <w:color w:val="auto"/>
              </w:rPr>
              <w:t>201</w:t>
            </w: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jc w:val="right"/>
              <w:ind w:right="128"/>
              <w:spacing w:after="0"/>
              <w:rPr>
                <w:sz w:val="20"/>
                <w:szCs w:val="20"/>
                <w:color w:val="auto"/>
              </w:rPr>
            </w:pPr>
            <w:r>
              <w:rPr>
                <w:rFonts w:ascii="Arial" w:cs="Arial" w:eastAsia="Arial" w:hAnsi="Arial"/>
                <w:sz w:val="14"/>
                <w:szCs w:val="14"/>
                <w:color w:val="auto"/>
              </w:rPr>
              <w:t>252</w:t>
            </w: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ind w:right="148"/>
              <w:spacing w:after="0"/>
              <w:rPr>
                <w:sz w:val="20"/>
                <w:szCs w:val="20"/>
                <w:color w:val="auto"/>
              </w:rPr>
            </w:pPr>
            <w:r>
              <w:rPr>
                <w:rFonts w:ascii="Arial" w:cs="Arial" w:eastAsia="Arial" w:hAnsi="Arial"/>
                <w:sz w:val="14"/>
                <w:szCs w:val="14"/>
                <w:color w:val="auto"/>
              </w:rPr>
              <w:t>294</w:t>
            </w:r>
          </w:p>
        </w:tc>
        <w:tc>
          <w:tcPr>
            <w:tcW w:w="540" w:type="dxa"/>
            <w:vAlign w:val="bottom"/>
          </w:tcPr>
          <w:p>
            <w:pPr>
              <w:spacing w:after="0"/>
              <w:rPr>
                <w:sz w:val="18"/>
                <w:szCs w:val="18"/>
                <w:color w:val="auto"/>
              </w:rPr>
            </w:pPr>
          </w:p>
        </w:tc>
      </w:tr>
      <w:tr>
        <w:trPr>
          <w:trHeight w:val="216"/>
        </w:trPr>
        <w:tc>
          <w:tcPr>
            <w:tcW w:w="3000" w:type="dxa"/>
            <w:vAlign w:val="bottom"/>
          </w:tcPr>
          <w:p>
            <w:pPr>
              <w:ind w:left="180"/>
              <w:spacing w:after="0"/>
              <w:rPr>
                <w:sz w:val="20"/>
                <w:szCs w:val="20"/>
                <w:color w:val="auto"/>
              </w:rPr>
            </w:pPr>
            <w:r>
              <w:rPr>
                <w:rFonts w:ascii="Arial" w:cs="Arial" w:eastAsia="Arial" w:hAnsi="Arial"/>
                <w:sz w:val="14"/>
                <w:szCs w:val="14"/>
                <w:color w:val="auto"/>
              </w:rPr>
              <w:t>Sempra Generation</w:t>
            </w:r>
          </w:p>
        </w:tc>
        <w:tc>
          <w:tcPr>
            <w:tcW w:w="260" w:type="dxa"/>
            <w:vAlign w:val="bottom"/>
          </w:tcPr>
          <w:p>
            <w:pPr>
              <w:spacing w:after="0"/>
              <w:rPr>
                <w:sz w:val="18"/>
                <w:szCs w:val="18"/>
                <w:color w:val="auto"/>
              </w:rPr>
            </w:pPr>
          </w:p>
        </w:tc>
        <w:tc>
          <w:tcPr>
            <w:tcW w:w="680" w:type="dxa"/>
            <w:vAlign w:val="bottom"/>
          </w:tcPr>
          <w:p>
            <w:pPr>
              <w:jc w:val="right"/>
              <w:ind w:right="128"/>
              <w:spacing w:after="0"/>
              <w:rPr>
                <w:sz w:val="20"/>
                <w:szCs w:val="20"/>
                <w:color w:val="auto"/>
              </w:rPr>
            </w:pPr>
            <w:r>
              <w:rPr>
                <w:rFonts w:ascii="Arial" w:cs="Arial" w:eastAsia="Arial" w:hAnsi="Arial"/>
                <w:sz w:val="14"/>
                <w:szCs w:val="14"/>
                <w:color w:val="auto"/>
              </w:rPr>
              <w:t>100</w:t>
            </w: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jc w:val="right"/>
              <w:ind w:right="128"/>
              <w:spacing w:after="0"/>
              <w:rPr>
                <w:sz w:val="20"/>
                <w:szCs w:val="20"/>
                <w:color w:val="auto"/>
              </w:rPr>
            </w:pPr>
            <w:r>
              <w:rPr>
                <w:rFonts w:ascii="Arial" w:cs="Arial" w:eastAsia="Arial" w:hAnsi="Arial"/>
                <w:sz w:val="14"/>
                <w:szCs w:val="14"/>
                <w:color w:val="auto"/>
              </w:rPr>
              <w:t>111</w:t>
            </w: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ind w:right="148"/>
              <w:spacing w:after="0"/>
              <w:rPr>
                <w:sz w:val="20"/>
                <w:szCs w:val="20"/>
                <w:color w:val="auto"/>
              </w:rPr>
            </w:pPr>
            <w:r>
              <w:rPr>
                <w:rFonts w:ascii="Arial" w:cs="Arial" w:eastAsia="Arial" w:hAnsi="Arial"/>
                <w:sz w:val="14"/>
                <w:szCs w:val="14"/>
                <w:color w:val="auto"/>
              </w:rPr>
              <w:t>243</w:t>
            </w:r>
          </w:p>
        </w:tc>
        <w:tc>
          <w:tcPr>
            <w:tcW w:w="540" w:type="dxa"/>
            <w:vAlign w:val="bottom"/>
          </w:tcPr>
          <w:p>
            <w:pPr>
              <w:spacing w:after="0"/>
              <w:rPr>
                <w:sz w:val="18"/>
                <w:szCs w:val="18"/>
                <w:color w:val="auto"/>
              </w:rPr>
            </w:pPr>
          </w:p>
        </w:tc>
      </w:tr>
      <w:tr>
        <w:trPr>
          <w:trHeight w:val="216"/>
        </w:trPr>
        <w:tc>
          <w:tcPr>
            <w:tcW w:w="3000" w:type="dxa"/>
            <w:vAlign w:val="bottom"/>
          </w:tcPr>
          <w:p>
            <w:pPr>
              <w:ind w:left="180"/>
              <w:spacing w:after="0"/>
              <w:rPr>
                <w:sz w:val="20"/>
                <w:szCs w:val="20"/>
                <w:color w:val="auto"/>
              </w:rPr>
            </w:pPr>
            <w:r>
              <w:rPr>
                <w:rFonts w:ascii="Arial" w:cs="Arial" w:eastAsia="Arial" w:hAnsi="Arial"/>
                <w:sz w:val="14"/>
                <w:szCs w:val="14"/>
                <w:color w:val="auto"/>
              </w:rPr>
              <w:t>Sempra Pipelines &amp; Storage</w:t>
            </w:r>
          </w:p>
        </w:tc>
        <w:tc>
          <w:tcPr>
            <w:tcW w:w="260" w:type="dxa"/>
            <w:vAlign w:val="bottom"/>
          </w:tcPr>
          <w:p>
            <w:pPr>
              <w:spacing w:after="0"/>
              <w:rPr>
                <w:sz w:val="18"/>
                <w:szCs w:val="18"/>
                <w:color w:val="auto"/>
              </w:rPr>
            </w:pPr>
          </w:p>
        </w:tc>
        <w:tc>
          <w:tcPr>
            <w:tcW w:w="680" w:type="dxa"/>
            <w:vAlign w:val="bottom"/>
          </w:tcPr>
          <w:p>
            <w:pPr>
              <w:jc w:val="right"/>
              <w:ind w:right="128"/>
              <w:spacing w:after="0"/>
              <w:rPr>
                <w:sz w:val="20"/>
                <w:szCs w:val="20"/>
                <w:color w:val="auto"/>
              </w:rPr>
            </w:pPr>
            <w:r>
              <w:rPr>
                <w:rFonts w:ascii="Arial" w:cs="Arial" w:eastAsia="Arial" w:hAnsi="Arial"/>
                <w:sz w:val="14"/>
                <w:szCs w:val="14"/>
                <w:color w:val="auto"/>
              </w:rPr>
              <w:t>23</w:t>
            </w: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(2 )</w:t>
            </w: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ind w:right="148"/>
              <w:spacing w:after="0"/>
              <w:rPr>
                <w:sz w:val="20"/>
                <w:szCs w:val="20"/>
                <w:color w:val="auto"/>
              </w:rPr>
            </w:pPr>
            <w:r>
              <w:rPr>
                <w:rFonts w:ascii="Arial" w:cs="Arial" w:eastAsia="Arial" w:hAnsi="Arial"/>
                <w:sz w:val="14"/>
                <w:szCs w:val="14"/>
                <w:color w:val="auto"/>
              </w:rPr>
              <w:t>12</w:t>
            </w:r>
          </w:p>
        </w:tc>
        <w:tc>
          <w:tcPr>
            <w:tcW w:w="540" w:type="dxa"/>
            <w:vAlign w:val="bottom"/>
          </w:tcPr>
          <w:p>
            <w:pPr>
              <w:spacing w:after="0"/>
              <w:rPr>
                <w:sz w:val="18"/>
                <w:szCs w:val="18"/>
                <w:color w:val="auto"/>
              </w:rPr>
            </w:pPr>
          </w:p>
        </w:tc>
      </w:tr>
      <w:tr>
        <w:trPr>
          <w:trHeight w:val="222"/>
        </w:trPr>
        <w:tc>
          <w:tcPr>
            <w:tcW w:w="3000" w:type="dxa"/>
            <w:vAlign w:val="bottom"/>
          </w:tcPr>
          <w:p>
            <w:pPr>
              <w:ind w:left="180"/>
              <w:spacing w:after="0"/>
              <w:rPr>
                <w:sz w:val="20"/>
                <w:szCs w:val="20"/>
                <w:color w:val="auto"/>
              </w:rPr>
            </w:pPr>
            <w:r>
              <w:rPr>
                <w:rFonts w:ascii="Arial" w:cs="Arial" w:eastAsia="Arial" w:hAnsi="Arial"/>
                <w:sz w:val="14"/>
                <w:szCs w:val="14"/>
                <w:color w:val="auto"/>
              </w:rPr>
              <w:t>All other</w:t>
            </w:r>
          </w:p>
        </w:tc>
        <w:tc>
          <w:tcPr>
            <w:tcW w:w="2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(187 )</w:t>
            </w:r>
          </w:p>
        </w:tc>
        <w:tc>
          <w:tcPr>
            <w:tcW w:w="5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(132 )</w:t>
            </w:r>
          </w:p>
        </w:tc>
        <w:tc>
          <w:tcPr>
            <w:tcW w:w="6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(233 )</w:t>
            </w:r>
          </w:p>
        </w:tc>
        <w:tc>
          <w:tcPr>
            <w:tcW w:w="540" w:type="dxa"/>
            <w:vAlign w:val="bottom"/>
            <w:tcBorders>
              <w:bottom w:val="single" w:sz="8" w:color="auto"/>
            </w:tcBorders>
          </w:tcPr>
          <w:p>
            <w:pPr>
              <w:spacing w:after="0"/>
              <w:rPr>
                <w:sz w:val="19"/>
                <w:szCs w:val="19"/>
                <w:color w:val="auto"/>
              </w:rPr>
            </w:pPr>
          </w:p>
        </w:tc>
      </w:tr>
      <w:tr>
        <w:trPr>
          <w:trHeight w:val="224"/>
        </w:trPr>
        <w:tc>
          <w:tcPr>
            <w:tcW w:w="3000" w:type="dxa"/>
            <w:vAlign w:val="bottom"/>
            <w:tcBorders>
              <w:bottom w:val="single" w:sz="8" w:color="auto"/>
            </w:tcBorders>
          </w:tcPr>
          <w:p>
            <w:pPr>
              <w:ind w:left="420"/>
              <w:spacing w:after="0"/>
              <w:rPr>
                <w:sz w:val="20"/>
                <w:szCs w:val="20"/>
                <w:color w:val="auto"/>
              </w:rPr>
            </w:pPr>
            <w:r>
              <w:rPr>
                <w:rFonts w:ascii="Arial" w:cs="Arial" w:eastAsia="Arial" w:hAnsi="Arial"/>
                <w:sz w:val="14"/>
                <w:szCs w:val="14"/>
                <w:color w:val="auto"/>
              </w:rPr>
              <w:t>Total</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438</w:t>
            </w:r>
          </w:p>
        </w:tc>
        <w:tc>
          <w:tcPr>
            <w:tcW w:w="5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524</w:t>
            </w:r>
          </w:p>
        </w:tc>
        <w:tc>
          <w:tcPr>
            <w:tcW w:w="6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641</w:t>
            </w:r>
          </w:p>
        </w:tc>
        <w:tc>
          <w:tcPr>
            <w:tcW w:w="540" w:type="dxa"/>
            <w:vAlign w:val="bottom"/>
            <w:tcBorders>
              <w:bottom w:val="single" w:sz="8" w:color="auto"/>
            </w:tcBorders>
          </w:tcPr>
          <w:p>
            <w:pPr>
              <w:spacing w:after="0"/>
              <w:rPr>
                <w:sz w:val="19"/>
                <w:szCs w:val="19"/>
                <w:color w:val="auto"/>
              </w:rPr>
            </w:pPr>
          </w:p>
        </w:tc>
      </w:tr>
      <w:tr>
        <w:trPr>
          <w:trHeight w:val="210"/>
        </w:trPr>
        <w:tc>
          <w:tcPr>
            <w:tcW w:w="3000" w:type="dxa"/>
            <w:vAlign w:val="bottom"/>
          </w:tcPr>
          <w:p>
            <w:pPr>
              <w:ind w:left="20"/>
              <w:spacing w:after="0"/>
              <w:rPr>
                <w:sz w:val="20"/>
                <w:szCs w:val="20"/>
                <w:color w:val="auto"/>
              </w:rPr>
            </w:pPr>
            <w:r>
              <w:rPr>
                <w:rFonts w:ascii="Arial" w:cs="Arial" w:eastAsia="Arial" w:hAnsi="Arial"/>
                <w:sz w:val="14"/>
                <w:szCs w:val="14"/>
                <w:color w:val="auto"/>
              </w:rPr>
              <w:t>EQUITY EARNINGS (LOSSES)</w:t>
            </w: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40" w:type="dxa"/>
            <w:vAlign w:val="bottom"/>
          </w:tcPr>
          <w:p>
            <w:pPr>
              <w:spacing w:after="0"/>
              <w:rPr>
                <w:sz w:val="18"/>
                <w:szCs w:val="18"/>
                <w:color w:val="auto"/>
              </w:rPr>
            </w:pPr>
          </w:p>
        </w:tc>
      </w:tr>
      <w:tr>
        <w:trPr>
          <w:trHeight w:val="192"/>
        </w:trPr>
        <w:tc>
          <w:tcPr>
            <w:tcW w:w="3000" w:type="dxa"/>
            <w:vAlign w:val="bottom"/>
          </w:tcPr>
          <w:p>
            <w:pPr>
              <w:ind w:left="20"/>
              <w:spacing w:after="0"/>
              <w:rPr>
                <w:sz w:val="20"/>
                <w:szCs w:val="20"/>
                <w:color w:val="auto"/>
              </w:rPr>
            </w:pPr>
            <w:r>
              <w:rPr>
                <w:rFonts w:ascii="Arial" w:cs="Arial" w:eastAsia="Arial" w:hAnsi="Arial"/>
                <w:sz w:val="14"/>
                <w:szCs w:val="14"/>
                <w:color w:val="auto"/>
              </w:rPr>
              <w:t>Earnings (losses) recorded before tax:</w:t>
            </w: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40" w:type="dxa"/>
            <w:vAlign w:val="bottom"/>
          </w:tcPr>
          <w:p>
            <w:pPr>
              <w:spacing w:after="0"/>
              <w:rPr>
                <w:sz w:val="16"/>
                <w:szCs w:val="16"/>
                <w:color w:val="auto"/>
              </w:rPr>
            </w:pPr>
          </w:p>
        </w:tc>
      </w:tr>
      <w:tr>
        <w:trPr>
          <w:trHeight w:val="216"/>
        </w:trPr>
        <w:tc>
          <w:tcPr>
            <w:tcW w:w="3000" w:type="dxa"/>
            <w:vAlign w:val="bottom"/>
          </w:tcPr>
          <w:p>
            <w:pPr>
              <w:ind w:left="260"/>
              <w:spacing w:after="0"/>
              <w:rPr>
                <w:sz w:val="20"/>
                <w:szCs w:val="20"/>
                <w:color w:val="auto"/>
              </w:rPr>
            </w:pPr>
            <w:r>
              <w:rPr>
                <w:rFonts w:ascii="Arial" w:cs="Arial" w:eastAsia="Arial" w:hAnsi="Arial"/>
                <w:sz w:val="14"/>
                <w:szCs w:val="14"/>
                <w:color w:val="auto"/>
              </w:rPr>
              <w:t>Sempra Commodities</w:t>
            </w: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128"/>
              <w:spacing w:after="0"/>
              <w:rPr>
                <w:sz w:val="20"/>
                <w:szCs w:val="20"/>
                <w:color w:val="auto"/>
              </w:rPr>
            </w:pPr>
            <w:r>
              <w:rPr>
                <w:rFonts w:ascii="Arial" w:cs="Arial" w:eastAsia="Arial" w:hAnsi="Arial"/>
                <w:sz w:val="14"/>
                <w:szCs w:val="14"/>
                <w:color w:val="auto"/>
              </w:rPr>
              <w:t>383</w:t>
            </w:r>
          </w:p>
        </w:tc>
        <w:tc>
          <w:tcPr>
            <w:tcW w:w="50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64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540" w:type="dxa"/>
            <w:vAlign w:val="bottom"/>
          </w:tcPr>
          <w:p>
            <w:pPr>
              <w:spacing w:after="0"/>
              <w:rPr>
                <w:sz w:val="18"/>
                <w:szCs w:val="18"/>
                <w:color w:val="auto"/>
              </w:rPr>
            </w:pPr>
          </w:p>
        </w:tc>
      </w:tr>
      <w:tr>
        <w:trPr>
          <w:trHeight w:val="216"/>
        </w:trPr>
        <w:tc>
          <w:tcPr>
            <w:tcW w:w="3000" w:type="dxa"/>
            <w:vAlign w:val="bottom"/>
          </w:tcPr>
          <w:p>
            <w:pPr>
              <w:ind w:left="260"/>
              <w:spacing w:after="0"/>
              <w:rPr>
                <w:sz w:val="20"/>
                <w:szCs w:val="20"/>
                <w:color w:val="auto"/>
              </w:rPr>
            </w:pPr>
            <w:r>
              <w:rPr>
                <w:rFonts w:ascii="Arial" w:cs="Arial" w:eastAsia="Arial" w:hAnsi="Arial"/>
                <w:sz w:val="14"/>
                <w:szCs w:val="14"/>
                <w:color w:val="auto"/>
              </w:rPr>
              <w:t>Sempra Generation</w:t>
            </w:r>
          </w:p>
        </w:tc>
        <w:tc>
          <w:tcPr>
            <w:tcW w:w="260" w:type="dxa"/>
            <w:vAlign w:val="bottom"/>
          </w:tcPr>
          <w:p>
            <w:pPr>
              <w:spacing w:after="0"/>
              <w:rPr>
                <w:sz w:val="18"/>
                <w:szCs w:val="18"/>
                <w:color w:val="auto"/>
              </w:rPr>
            </w:pPr>
          </w:p>
        </w:tc>
        <w:tc>
          <w:tcPr>
            <w:tcW w:w="680" w:type="dxa"/>
            <w:vAlign w:val="bottom"/>
          </w:tcPr>
          <w:p>
            <w:pPr>
              <w:jc w:val="right"/>
              <w:ind w:right="128"/>
              <w:spacing w:after="0"/>
              <w:rPr>
                <w:sz w:val="20"/>
                <w:szCs w:val="20"/>
                <w:color w:val="auto"/>
              </w:rPr>
            </w:pPr>
            <w:r>
              <w:rPr>
                <w:rFonts w:ascii="Arial" w:cs="Arial" w:eastAsia="Arial" w:hAnsi="Arial"/>
                <w:sz w:val="14"/>
                <w:szCs w:val="14"/>
                <w:color w:val="auto"/>
              </w:rPr>
              <w:t>8</w:t>
            </w: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jc w:val="right"/>
              <w:ind w:right="128"/>
              <w:spacing w:after="0"/>
              <w:rPr>
                <w:sz w:val="20"/>
                <w:szCs w:val="20"/>
                <w:color w:val="auto"/>
              </w:rPr>
            </w:pPr>
            <w:r>
              <w:rPr>
                <w:rFonts w:ascii="Arial" w:cs="Arial" w:eastAsia="Arial" w:hAnsi="Arial"/>
                <w:sz w:val="14"/>
                <w:szCs w:val="14"/>
                <w:color w:val="auto"/>
              </w:rPr>
              <w:t>9</w:t>
            </w: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ind w:right="148"/>
              <w:spacing w:after="0"/>
              <w:rPr>
                <w:sz w:val="20"/>
                <w:szCs w:val="20"/>
                <w:color w:val="auto"/>
              </w:rPr>
            </w:pPr>
            <w:r>
              <w:rPr>
                <w:rFonts w:ascii="Arial" w:cs="Arial" w:eastAsia="Arial" w:hAnsi="Arial"/>
                <w:sz w:val="14"/>
                <w:szCs w:val="14"/>
                <w:color w:val="auto"/>
              </w:rPr>
              <w:t>354</w:t>
            </w:r>
          </w:p>
        </w:tc>
        <w:tc>
          <w:tcPr>
            <w:tcW w:w="540" w:type="dxa"/>
            <w:vAlign w:val="bottom"/>
          </w:tcPr>
          <w:p>
            <w:pPr>
              <w:spacing w:after="0"/>
              <w:rPr>
                <w:sz w:val="18"/>
                <w:szCs w:val="18"/>
                <w:color w:val="auto"/>
              </w:rPr>
            </w:pPr>
          </w:p>
        </w:tc>
      </w:tr>
      <w:tr>
        <w:trPr>
          <w:trHeight w:val="216"/>
        </w:trPr>
        <w:tc>
          <w:tcPr>
            <w:tcW w:w="3000" w:type="dxa"/>
            <w:vAlign w:val="bottom"/>
          </w:tcPr>
          <w:p>
            <w:pPr>
              <w:ind w:left="260"/>
              <w:spacing w:after="0"/>
              <w:rPr>
                <w:sz w:val="20"/>
                <w:szCs w:val="20"/>
                <w:color w:val="auto"/>
              </w:rPr>
            </w:pPr>
            <w:r>
              <w:rPr>
                <w:rFonts w:ascii="Arial" w:cs="Arial" w:eastAsia="Arial" w:hAnsi="Arial"/>
                <w:sz w:val="14"/>
                <w:szCs w:val="14"/>
                <w:color w:val="auto"/>
              </w:rPr>
              <w:t>Sempra Pipelines &amp; Storage</w:t>
            </w:r>
          </w:p>
        </w:tc>
        <w:tc>
          <w:tcPr>
            <w:tcW w:w="260" w:type="dxa"/>
            <w:vAlign w:val="bottom"/>
          </w:tcPr>
          <w:p>
            <w:pPr>
              <w:spacing w:after="0"/>
              <w:rPr>
                <w:sz w:val="18"/>
                <w:szCs w:val="18"/>
                <w:color w:val="auto"/>
              </w:rPr>
            </w:pPr>
          </w:p>
        </w:tc>
        <w:tc>
          <w:tcPr>
            <w:tcW w:w="680" w:type="dxa"/>
            <w:vAlign w:val="bottom"/>
          </w:tcPr>
          <w:p>
            <w:pPr>
              <w:jc w:val="right"/>
              <w:ind w:right="128"/>
              <w:spacing w:after="0"/>
              <w:rPr>
                <w:sz w:val="20"/>
                <w:szCs w:val="20"/>
                <w:color w:val="auto"/>
              </w:rPr>
            </w:pPr>
            <w:r>
              <w:rPr>
                <w:rFonts w:ascii="Arial" w:cs="Arial" w:eastAsia="Arial" w:hAnsi="Arial"/>
                <w:sz w:val="14"/>
                <w:szCs w:val="14"/>
                <w:color w:val="auto"/>
              </w:rPr>
              <w:t>43</w:t>
            </w: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(4 )</w:t>
            </w: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ind w:right="148"/>
              <w:spacing w:after="0"/>
              <w:rPr>
                <w:sz w:val="20"/>
                <w:szCs w:val="20"/>
                <w:color w:val="auto"/>
              </w:rPr>
            </w:pPr>
            <w:r>
              <w:rPr>
                <w:rFonts w:ascii="Arial" w:cs="Arial" w:eastAsia="Arial" w:hAnsi="Arial"/>
                <w:sz w:val="14"/>
                <w:szCs w:val="14"/>
                <w:color w:val="auto"/>
              </w:rPr>
              <w:t>1</w:t>
            </w:r>
          </w:p>
        </w:tc>
        <w:tc>
          <w:tcPr>
            <w:tcW w:w="540" w:type="dxa"/>
            <w:vAlign w:val="bottom"/>
          </w:tcPr>
          <w:p>
            <w:pPr>
              <w:spacing w:after="0"/>
              <w:rPr>
                <w:sz w:val="18"/>
                <w:szCs w:val="18"/>
                <w:color w:val="auto"/>
              </w:rPr>
            </w:pPr>
          </w:p>
        </w:tc>
      </w:tr>
      <w:tr>
        <w:trPr>
          <w:trHeight w:val="222"/>
        </w:trPr>
        <w:tc>
          <w:tcPr>
            <w:tcW w:w="3000" w:type="dxa"/>
            <w:vAlign w:val="bottom"/>
          </w:tcPr>
          <w:p>
            <w:pPr>
              <w:ind w:left="260"/>
              <w:spacing w:after="0"/>
              <w:rPr>
                <w:sz w:val="20"/>
                <w:szCs w:val="20"/>
                <w:color w:val="auto"/>
              </w:rPr>
            </w:pPr>
            <w:r>
              <w:rPr>
                <w:rFonts w:ascii="Arial" w:cs="Arial" w:eastAsia="Arial" w:hAnsi="Arial"/>
                <w:sz w:val="14"/>
                <w:szCs w:val="14"/>
                <w:color w:val="auto"/>
              </w:rPr>
              <w:t>All other</w:t>
            </w:r>
          </w:p>
        </w:tc>
        <w:tc>
          <w:tcPr>
            <w:tcW w:w="2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(14 )</w:t>
            </w:r>
          </w:p>
        </w:tc>
        <w:tc>
          <w:tcPr>
            <w:tcW w:w="5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(14 )</w:t>
            </w:r>
          </w:p>
        </w:tc>
        <w:tc>
          <w:tcPr>
            <w:tcW w:w="6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(17 )</w:t>
            </w:r>
          </w:p>
        </w:tc>
        <w:tc>
          <w:tcPr>
            <w:tcW w:w="540" w:type="dxa"/>
            <w:vAlign w:val="bottom"/>
            <w:tcBorders>
              <w:bottom w:val="single" w:sz="8" w:color="auto"/>
            </w:tcBorders>
          </w:tcPr>
          <w:p>
            <w:pPr>
              <w:spacing w:after="0"/>
              <w:rPr>
                <w:sz w:val="19"/>
                <w:szCs w:val="19"/>
                <w:color w:val="auto"/>
              </w:rPr>
            </w:pPr>
          </w:p>
        </w:tc>
      </w:tr>
      <w:tr>
        <w:trPr>
          <w:trHeight w:val="224"/>
        </w:trPr>
        <w:tc>
          <w:tcPr>
            <w:tcW w:w="3000" w:type="dxa"/>
            <w:vAlign w:val="bottom"/>
          </w:tcPr>
          <w:p>
            <w:pPr>
              <w:ind w:left="420"/>
              <w:spacing w:after="0"/>
              <w:rPr>
                <w:sz w:val="20"/>
                <w:szCs w:val="20"/>
                <w:color w:val="auto"/>
              </w:rPr>
            </w:pPr>
            <w:r>
              <w:rPr>
                <w:rFonts w:ascii="Arial" w:cs="Arial" w:eastAsia="Arial" w:hAnsi="Arial"/>
                <w:sz w:val="14"/>
                <w:szCs w:val="14"/>
                <w:color w:val="auto"/>
              </w:rPr>
              <w:t>Total</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420</w:t>
            </w:r>
          </w:p>
        </w:tc>
        <w:tc>
          <w:tcPr>
            <w:tcW w:w="5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(9 )</w:t>
            </w:r>
          </w:p>
        </w:tc>
        <w:tc>
          <w:tcPr>
            <w:tcW w:w="6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338</w:t>
            </w:r>
          </w:p>
        </w:tc>
        <w:tc>
          <w:tcPr>
            <w:tcW w:w="540" w:type="dxa"/>
            <w:vAlign w:val="bottom"/>
            <w:tcBorders>
              <w:bottom w:val="single" w:sz="8" w:color="auto"/>
            </w:tcBorders>
          </w:tcPr>
          <w:p>
            <w:pPr>
              <w:spacing w:after="0"/>
              <w:rPr>
                <w:sz w:val="19"/>
                <w:szCs w:val="19"/>
                <w:color w:val="auto"/>
              </w:rPr>
            </w:pPr>
          </w:p>
        </w:tc>
      </w:tr>
      <w:tr>
        <w:trPr>
          <w:trHeight w:val="186"/>
        </w:trPr>
        <w:tc>
          <w:tcPr>
            <w:tcW w:w="3000" w:type="dxa"/>
            <w:vAlign w:val="bottom"/>
          </w:tcPr>
          <w:p>
            <w:pPr>
              <w:ind w:left="20"/>
              <w:spacing w:after="0"/>
              <w:rPr>
                <w:sz w:val="20"/>
                <w:szCs w:val="20"/>
                <w:color w:val="auto"/>
              </w:rPr>
            </w:pPr>
            <w:r>
              <w:rPr>
                <w:rFonts w:ascii="Arial" w:cs="Arial" w:eastAsia="Arial" w:hAnsi="Arial"/>
                <w:sz w:val="14"/>
                <w:szCs w:val="14"/>
                <w:color w:val="auto"/>
              </w:rPr>
              <w:t>Earnings (losses) recorded net of tax:</w:t>
            </w: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40" w:type="dxa"/>
            <w:vAlign w:val="bottom"/>
          </w:tcPr>
          <w:p>
            <w:pPr>
              <w:spacing w:after="0"/>
              <w:rPr>
                <w:sz w:val="16"/>
                <w:szCs w:val="16"/>
                <w:color w:val="auto"/>
              </w:rPr>
            </w:pPr>
          </w:p>
        </w:tc>
      </w:tr>
      <w:tr>
        <w:trPr>
          <w:trHeight w:val="216"/>
        </w:trPr>
        <w:tc>
          <w:tcPr>
            <w:tcW w:w="3000" w:type="dxa"/>
            <w:vAlign w:val="bottom"/>
          </w:tcPr>
          <w:p>
            <w:pPr>
              <w:ind w:left="260"/>
              <w:spacing w:after="0"/>
              <w:rPr>
                <w:sz w:val="20"/>
                <w:szCs w:val="20"/>
                <w:color w:val="auto"/>
              </w:rPr>
            </w:pPr>
            <w:r>
              <w:rPr>
                <w:rFonts w:ascii="Arial" w:cs="Arial" w:eastAsia="Arial" w:hAnsi="Arial"/>
                <w:sz w:val="14"/>
                <w:szCs w:val="14"/>
                <w:color w:val="auto"/>
              </w:rPr>
              <w:t>Sempra Pipelines &amp; Storage</w:t>
            </w: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128"/>
              <w:spacing w:after="0"/>
              <w:rPr>
                <w:sz w:val="20"/>
                <w:szCs w:val="20"/>
                <w:color w:val="auto"/>
              </w:rPr>
            </w:pPr>
            <w:r>
              <w:rPr>
                <w:rFonts w:ascii="Arial" w:cs="Arial" w:eastAsia="Arial" w:hAnsi="Arial"/>
                <w:sz w:val="14"/>
                <w:szCs w:val="14"/>
                <w:color w:val="auto"/>
              </w:rPr>
              <w:t>60</w:t>
            </w:r>
          </w:p>
        </w:tc>
        <w:tc>
          <w:tcPr>
            <w:tcW w:w="50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128"/>
              <w:spacing w:after="0"/>
              <w:rPr>
                <w:sz w:val="20"/>
                <w:szCs w:val="20"/>
                <w:color w:val="auto"/>
              </w:rPr>
            </w:pPr>
            <w:r>
              <w:rPr>
                <w:rFonts w:ascii="Arial" w:cs="Arial" w:eastAsia="Arial" w:hAnsi="Arial"/>
                <w:sz w:val="14"/>
                <w:szCs w:val="14"/>
                <w:color w:val="auto"/>
              </w:rPr>
              <w:t>59</w:t>
            </w:r>
          </w:p>
        </w:tc>
        <w:tc>
          <w:tcPr>
            <w:tcW w:w="64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68"/>
              <w:spacing w:after="0"/>
              <w:rPr>
                <w:sz w:val="20"/>
                <w:szCs w:val="20"/>
                <w:color w:val="auto"/>
              </w:rPr>
            </w:pPr>
            <w:r>
              <w:rPr>
                <w:rFonts w:ascii="Arial" w:cs="Arial" w:eastAsia="Arial" w:hAnsi="Arial"/>
                <w:sz w:val="14"/>
                <w:szCs w:val="14"/>
                <w:color w:val="auto"/>
              </w:rPr>
              <w:t>(166 )</w:t>
            </w:r>
          </w:p>
        </w:tc>
        <w:tc>
          <w:tcPr>
            <w:tcW w:w="540" w:type="dxa"/>
            <w:vAlign w:val="bottom"/>
          </w:tcPr>
          <w:p>
            <w:pPr>
              <w:spacing w:after="0"/>
              <w:rPr>
                <w:sz w:val="18"/>
                <w:szCs w:val="18"/>
                <w:color w:val="auto"/>
              </w:rPr>
            </w:pPr>
          </w:p>
        </w:tc>
      </w:tr>
      <w:tr>
        <w:trPr>
          <w:trHeight w:val="222"/>
        </w:trPr>
        <w:tc>
          <w:tcPr>
            <w:tcW w:w="3000" w:type="dxa"/>
            <w:vAlign w:val="bottom"/>
          </w:tcPr>
          <w:p>
            <w:pPr>
              <w:ind w:left="260"/>
              <w:spacing w:after="0"/>
              <w:rPr>
                <w:sz w:val="20"/>
                <w:szCs w:val="20"/>
                <w:color w:val="auto"/>
              </w:rPr>
            </w:pPr>
            <w:r>
              <w:rPr>
                <w:rFonts w:ascii="Arial" w:cs="Arial" w:eastAsia="Arial" w:hAnsi="Arial"/>
                <w:sz w:val="14"/>
                <w:szCs w:val="14"/>
                <w:color w:val="auto"/>
              </w:rPr>
              <w:t>Sempra Commodities</w:t>
            </w:r>
          </w:p>
        </w:tc>
        <w:tc>
          <w:tcPr>
            <w:tcW w:w="2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3</w:t>
            </w:r>
          </w:p>
        </w:tc>
        <w:tc>
          <w:tcPr>
            <w:tcW w:w="5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40</w:t>
            </w:r>
          </w:p>
        </w:tc>
        <w:tc>
          <w:tcPr>
            <w:tcW w:w="6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(16 )</w:t>
            </w:r>
          </w:p>
        </w:tc>
        <w:tc>
          <w:tcPr>
            <w:tcW w:w="540" w:type="dxa"/>
            <w:vAlign w:val="bottom"/>
            <w:tcBorders>
              <w:bottom w:val="single" w:sz="8" w:color="auto"/>
            </w:tcBorders>
          </w:tcPr>
          <w:p>
            <w:pPr>
              <w:spacing w:after="0"/>
              <w:rPr>
                <w:sz w:val="19"/>
                <w:szCs w:val="19"/>
                <w:color w:val="auto"/>
              </w:rPr>
            </w:pPr>
          </w:p>
        </w:tc>
      </w:tr>
      <w:tr>
        <w:trPr>
          <w:trHeight w:val="224"/>
        </w:trPr>
        <w:tc>
          <w:tcPr>
            <w:tcW w:w="3000" w:type="dxa"/>
            <w:vAlign w:val="bottom"/>
            <w:tcBorders>
              <w:bottom w:val="single" w:sz="8" w:color="auto"/>
            </w:tcBorders>
          </w:tcPr>
          <w:p>
            <w:pPr>
              <w:ind w:left="420"/>
              <w:spacing w:after="0"/>
              <w:rPr>
                <w:sz w:val="20"/>
                <w:szCs w:val="20"/>
                <w:color w:val="auto"/>
              </w:rPr>
            </w:pPr>
            <w:r>
              <w:rPr>
                <w:rFonts w:ascii="Arial" w:cs="Arial" w:eastAsia="Arial" w:hAnsi="Arial"/>
                <w:sz w:val="14"/>
                <w:szCs w:val="14"/>
                <w:color w:val="auto"/>
              </w:rPr>
              <w:t>Total</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63</w:t>
            </w:r>
          </w:p>
        </w:tc>
        <w:tc>
          <w:tcPr>
            <w:tcW w:w="5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99</w:t>
            </w:r>
          </w:p>
        </w:tc>
        <w:tc>
          <w:tcPr>
            <w:tcW w:w="6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(182 )</w:t>
            </w:r>
          </w:p>
        </w:tc>
        <w:tc>
          <w:tcPr>
            <w:tcW w:w="540" w:type="dxa"/>
            <w:vAlign w:val="bottom"/>
            <w:tcBorders>
              <w:bottom w:val="single" w:sz="8" w:color="auto"/>
            </w:tcBorders>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14"/>
          <w:szCs w:val="14"/>
          <w:color w:val="auto"/>
        </w:rPr>
        <w:t>185</w:t>
      </w:r>
    </w:p>
    <w:p>
      <w:pPr>
        <w:sectPr>
          <w:pgSz w:w="11900" w:h="16838" w:orient="portrait"/>
          <w:cols w:equalWidth="0" w:num="1">
            <w:col w:w="10219"/>
          </w:cols>
          <w:pgMar w:left="240" w:top="459" w:right="1440" w:bottom="1440" w:gutter="0" w:footer="0" w:header="0"/>
        </w:sectPr>
      </w:pPr>
    </w:p>
    <w:bookmarkStart w:id="325" w:name="page326"/>
    <w:bookmarkEnd w:id="325"/>
    <w:p>
      <w:pPr>
        <w:ind w:left="1720"/>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1233170</wp:posOffset>
            </wp:positionH>
            <wp:positionV relativeFrom="page">
              <wp:posOffset>279400</wp:posOffset>
            </wp:positionV>
            <wp:extent cx="5095240" cy="24384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5095240" cy="243840"/>
                    </a:xfrm>
                    <a:prstGeom prst="rect">
                      <a:avLst/>
                    </a:prstGeom>
                    <a:noFill/>
                  </pic:spPr>
                </pic:pic>
              </a:graphicData>
            </a:graphic>
          </wp:anchor>
        </w:drawing>
        <w:t>SEGMENT INFORMATION (CONT'D)</w:t>
      </w:r>
    </w:p>
    <w:p>
      <w:pPr>
        <w:spacing w:after="0" w:line="40" w:lineRule="exact"/>
        <w:rPr>
          <w:sz w:val="20"/>
          <w:szCs w:val="20"/>
          <w:color w:val="auto"/>
        </w:rPr>
      </w:pPr>
    </w:p>
    <w:p>
      <w:pPr>
        <w:ind w:left="1720"/>
        <w:spacing w:after="0"/>
        <w:rPr>
          <w:sz w:val="20"/>
          <w:szCs w:val="20"/>
          <w:color w:val="auto"/>
        </w:rPr>
      </w:pPr>
      <w:r>
        <w:rPr>
          <w:rFonts w:ascii="Arial" w:cs="Arial" w:eastAsia="Arial" w:hAnsi="Arial"/>
          <w:sz w:val="13"/>
          <w:szCs w:val="13"/>
          <w:i w:val="1"/>
          <w:iCs w:val="1"/>
          <w:color w:val="auto"/>
        </w:rPr>
        <w:t>(Dollars in millions)</w:t>
      </w:r>
    </w:p>
    <w:p>
      <w:pPr>
        <w:spacing w:after="0" w:line="67" w:lineRule="exact"/>
        <w:rPr>
          <w:sz w:val="20"/>
          <w:szCs w:val="20"/>
          <w:color w:val="auto"/>
        </w:rPr>
      </w:pPr>
    </w:p>
    <w:tbl>
      <w:tblPr>
        <w:tblLayout w:type="fixed"/>
        <w:tblInd w:w="1700" w:type="dxa"/>
        <w:tblCellMar>
          <w:top w:w="0" w:type="dxa"/>
          <w:left w:w="0" w:type="dxa"/>
          <w:bottom w:w="0" w:type="dxa"/>
          <w:right w:w="0" w:type="dxa"/>
        </w:tblCellMar>
      </w:tblPr>
      <w:tr>
        <w:trPr>
          <w:trHeight w:val="159"/>
        </w:trPr>
        <w:tc>
          <w:tcPr>
            <w:tcW w:w="2520" w:type="dxa"/>
            <w:vAlign w:val="bottom"/>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2840" w:type="dxa"/>
            <w:vAlign w:val="bottom"/>
            <w:tcBorders>
              <w:bottom w:val="single" w:sz="8" w:color="auto"/>
            </w:tcBorders>
            <w:gridSpan w:val="4"/>
          </w:tcPr>
          <w:p>
            <w:pPr>
              <w:jc w:val="right"/>
              <w:spacing w:after="0"/>
              <w:rPr>
                <w:sz w:val="20"/>
                <w:szCs w:val="20"/>
                <w:color w:val="auto"/>
              </w:rPr>
            </w:pPr>
            <w:r>
              <w:rPr>
                <w:rFonts w:ascii="Arial" w:cs="Arial" w:eastAsia="Arial" w:hAnsi="Arial"/>
                <w:sz w:val="13"/>
                <w:szCs w:val="13"/>
                <w:color w:val="auto"/>
              </w:rPr>
              <w:t>At December 31 or years ended December 31,</w:t>
            </w:r>
          </w:p>
        </w:tc>
        <w:tc>
          <w:tcPr>
            <w:tcW w:w="1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r>
      <w:tr>
        <w:trPr>
          <w:trHeight w:val="208"/>
        </w:trPr>
        <w:tc>
          <w:tcPr>
            <w:tcW w:w="25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128"/>
              <w:spacing w:after="0"/>
              <w:rPr>
                <w:sz w:val="20"/>
                <w:szCs w:val="20"/>
                <w:color w:val="auto"/>
              </w:rPr>
            </w:pPr>
            <w:r>
              <w:rPr>
                <w:rFonts w:ascii="Arial" w:cs="Arial" w:eastAsia="Arial" w:hAnsi="Arial"/>
                <w:sz w:val="13"/>
                <w:szCs w:val="13"/>
                <w:color w:val="auto"/>
              </w:rPr>
              <w:t>2008</w:t>
            </w:r>
          </w:p>
        </w:tc>
        <w:tc>
          <w:tcPr>
            <w:tcW w:w="76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128"/>
              <w:spacing w:after="0"/>
              <w:rPr>
                <w:sz w:val="20"/>
                <w:szCs w:val="20"/>
                <w:color w:val="auto"/>
              </w:rPr>
            </w:pPr>
            <w:r>
              <w:rPr>
                <w:rFonts w:ascii="Arial" w:cs="Arial" w:eastAsia="Arial" w:hAnsi="Arial"/>
                <w:sz w:val="13"/>
                <w:szCs w:val="13"/>
                <w:color w:val="auto"/>
              </w:rPr>
              <w:t>2007</w:t>
            </w:r>
          </w:p>
        </w:tc>
        <w:tc>
          <w:tcPr>
            <w:tcW w:w="10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148"/>
              <w:spacing w:after="0"/>
              <w:rPr>
                <w:sz w:val="20"/>
                <w:szCs w:val="20"/>
                <w:color w:val="auto"/>
              </w:rPr>
            </w:pPr>
            <w:r>
              <w:rPr>
                <w:rFonts w:ascii="Arial" w:cs="Arial" w:eastAsia="Arial" w:hAnsi="Arial"/>
                <w:sz w:val="13"/>
                <w:szCs w:val="13"/>
                <w:color w:val="auto"/>
              </w:rPr>
              <w:t>2006</w:t>
            </w:r>
          </w:p>
        </w:tc>
        <w:tc>
          <w:tcPr>
            <w:tcW w:w="560" w:type="dxa"/>
            <w:vAlign w:val="bottom"/>
            <w:tcBorders>
              <w:bottom w:val="single" w:sz="8" w:color="auto"/>
            </w:tcBorders>
          </w:tcPr>
          <w:p>
            <w:pPr>
              <w:spacing w:after="0"/>
              <w:rPr>
                <w:sz w:val="18"/>
                <w:szCs w:val="18"/>
                <w:color w:val="auto"/>
              </w:rPr>
            </w:pPr>
          </w:p>
        </w:tc>
      </w:tr>
      <w:tr>
        <w:trPr>
          <w:trHeight w:val="207"/>
        </w:trPr>
        <w:tc>
          <w:tcPr>
            <w:tcW w:w="2520" w:type="dxa"/>
            <w:vAlign w:val="bottom"/>
          </w:tcPr>
          <w:p>
            <w:pPr>
              <w:ind w:left="20"/>
              <w:spacing w:after="0"/>
              <w:rPr>
                <w:sz w:val="20"/>
                <w:szCs w:val="20"/>
                <w:color w:val="auto"/>
              </w:rPr>
            </w:pPr>
            <w:r>
              <w:rPr>
                <w:rFonts w:ascii="Arial" w:cs="Arial" w:eastAsia="Arial" w:hAnsi="Arial"/>
                <w:sz w:val="14"/>
                <w:szCs w:val="14"/>
                <w:color w:val="auto"/>
              </w:rPr>
              <w:t>NET INCOME</w:t>
            </w:r>
          </w:p>
        </w:tc>
        <w:tc>
          <w:tcPr>
            <w:tcW w:w="6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2520" w:type="dxa"/>
            <w:vAlign w:val="bottom"/>
          </w:tcPr>
          <w:p>
            <w:pPr>
              <w:ind w:left="180"/>
              <w:spacing w:after="0"/>
              <w:rPr>
                <w:sz w:val="20"/>
                <w:szCs w:val="20"/>
                <w:color w:val="auto"/>
              </w:rPr>
            </w:pPr>
            <w:r>
              <w:rPr>
                <w:rFonts w:ascii="Arial" w:cs="Arial" w:eastAsia="Arial" w:hAnsi="Arial"/>
                <w:sz w:val="14"/>
                <w:szCs w:val="14"/>
                <w:color w:val="auto"/>
              </w:rPr>
              <w:t>SDG&amp;E*</w:t>
            </w: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88"/>
              <w:spacing w:after="0"/>
              <w:rPr>
                <w:sz w:val="20"/>
                <w:szCs w:val="20"/>
                <w:color w:val="auto"/>
              </w:rPr>
            </w:pPr>
            <w:r>
              <w:rPr>
                <w:rFonts w:ascii="Arial" w:cs="Arial" w:eastAsia="Arial" w:hAnsi="Arial"/>
                <w:sz w:val="14"/>
                <w:szCs w:val="14"/>
                <w:color w:val="auto"/>
              </w:rPr>
              <w:t>339</w:t>
            </w:r>
          </w:p>
        </w:tc>
        <w:tc>
          <w:tcPr>
            <w:tcW w:w="760" w:type="dxa"/>
            <w:vAlign w:val="bottom"/>
          </w:tcPr>
          <w:p>
            <w:pPr>
              <w:jc w:val="right"/>
              <w:ind w:right="208"/>
              <w:spacing w:after="0"/>
              <w:rPr>
                <w:sz w:val="20"/>
                <w:szCs w:val="20"/>
                <w:color w:val="auto"/>
              </w:rPr>
            </w:pPr>
            <w:r>
              <w:rPr>
                <w:rFonts w:ascii="Arial" w:cs="Arial" w:eastAsia="Arial" w:hAnsi="Arial"/>
                <w:sz w:val="14"/>
                <w:szCs w:val="14"/>
                <w:color w:val="auto"/>
              </w:rPr>
              <w:t>31 %</w:t>
            </w:r>
          </w:p>
        </w:tc>
        <w:tc>
          <w:tcPr>
            <w:tcW w:w="4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88"/>
              <w:spacing w:after="0"/>
              <w:rPr>
                <w:sz w:val="20"/>
                <w:szCs w:val="20"/>
                <w:color w:val="auto"/>
              </w:rPr>
            </w:pPr>
            <w:r>
              <w:rPr>
                <w:rFonts w:ascii="Arial" w:cs="Arial" w:eastAsia="Arial" w:hAnsi="Arial"/>
                <w:sz w:val="14"/>
                <w:szCs w:val="14"/>
                <w:color w:val="auto"/>
              </w:rPr>
              <w:t>283</w:t>
            </w:r>
          </w:p>
        </w:tc>
        <w:tc>
          <w:tcPr>
            <w:tcW w:w="1000" w:type="dxa"/>
            <w:vAlign w:val="bottom"/>
          </w:tcPr>
          <w:p>
            <w:pPr>
              <w:jc w:val="right"/>
              <w:ind w:right="448"/>
              <w:spacing w:after="0"/>
              <w:rPr>
                <w:sz w:val="20"/>
                <w:szCs w:val="20"/>
                <w:color w:val="auto"/>
              </w:rPr>
            </w:pPr>
            <w:r>
              <w:rPr>
                <w:rFonts w:ascii="Arial" w:cs="Arial" w:eastAsia="Arial" w:hAnsi="Arial"/>
                <w:sz w:val="14"/>
                <w:szCs w:val="14"/>
                <w:color w:val="auto"/>
              </w:rPr>
              <w:t>25 %</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88"/>
              <w:spacing w:after="0"/>
              <w:rPr>
                <w:sz w:val="20"/>
                <w:szCs w:val="20"/>
                <w:color w:val="auto"/>
              </w:rPr>
            </w:pPr>
            <w:r>
              <w:rPr>
                <w:rFonts w:ascii="Arial" w:cs="Arial" w:eastAsia="Arial" w:hAnsi="Arial"/>
                <w:sz w:val="14"/>
                <w:szCs w:val="14"/>
                <w:color w:val="auto"/>
              </w:rPr>
              <w:t>237</w:t>
            </w:r>
          </w:p>
        </w:tc>
        <w:tc>
          <w:tcPr>
            <w:tcW w:w="560" w:type="dxa"/>
            <w:vAlign w:val="bottom"/>
          </w:tcPr>
          <w:p>
            <w:pPr>
              <w:jc w:val="right"/>
              <w:ind w:right="8"/>
              <w:spacing w:after="0"/>
              <w:rPr>
                <w:sz w:val="20"/>
                <w:szCs w:val="20"/>
                <w:color w:val="auto"/>
              </w:rPr>
            </w:pPr>
            <w:r>
              <w:rPr>
                <w:rFonts w:ascii="Arial" w:cs="Arial" w:eastAsia="Arial" w:hAnsi="Arial"/>
                <w:sz w:val="14"/>
                <w:szCs w:val="14"/>
                <w:color w:val="auto"/>
              </w:rPr>
              <w:t>17 %</w:t>
            </w:r>
          </w:p>
        </w:tc>
      </w:tr>
      <w:tr>
        <w:trPr>
          <w:trHeight w:val="216"/>
        </w:trPr>
        <w:tc>
          <w:tcPr>
            <w:tcW w:w="2520" w:type="dxa"/>
            <w:vAlign w:val="bottom"/>
          </w:tcPr>
          <w:p>
            <w:pPr>
              <w:ind w:left="180"/>
              <w:spacing w:after="0"/>
              <w:rPr>
                <w:sz w:val="20"/>
                <w:szCs w:val="20"/>
                <w:color w:val="auto"/>
              </w:rPr>
            </w:pPr>
            <w:r>
              <w:rPr>
                <w:rFonts w:ascii="Arial" w:cs="Arial" w:eastAsia="Arial" w:hAnsi="Arial"/>
                <w:sz w:val="14"/>
                <w:szCs w:val="14"/>
                <w:color w:val="auto"/>
              </w:rPr>
              <w:t>SoCalGas*</w:t>
            </w:r>
          </w:p>
        </w:tc>
        <w:tc>
          <w:tcPr>
            <w:tcW w:w="600" w:type="dxa"/>
            <w:vAlign w:val="bottom"/>
          </w:tcPr>
          <w:p>
            <w:pPr>
              <w:spacing w:after="0"/>
              <w:rPr>
                <w:sz w:val="18"/>
                <w:szCs w:val="18"/>
                <w:color w:val="auto"/>
              </w:rPr>
            </w:pPr>
          </w:p>
        </w:tc>
        <w:tc>
          <w:tcPr>
            <w:tcW w:w="660" w:type="dxa"/>
            <w:vAlign w:val="bottom"/>
          </w:tcPr>
          <w:p>
            <w:pPr>
              <w:jc w:val="right"/>
              <w:ind w:right="88"/>
              <w:spacing w:after="0"/>
              <w:rPr>
                <w:sz w:val="20"/>
                <w:szCs w:val="20"/>
                <w:color w:val="auto"/>
              </w:rPr>
            </w:pPr>
            <w:r>
              <w:rPr>
                <w:rFonts w:ascii="Arial" w:cs="Arial" w:eastAsia="Arial" w:hAnsi="Arial"/>
                <w:sz w:val="14"/>
                <w:szCs w:val="14"/>
                <w:color w:val="auto"/>
              </w:rPr>
              <w:t>244</w:t>
            </w:r>
          </w:p>
        </w:tc>
        <w:tc>
          <w:tcPr>
            <w:tcW w:w="760" w:type="dxa"/>
            <w:vAlign w:val="bottom"/>
          </w:tcPr>
          <w:p>
            <w:pPr>
              <w:jc w:val="right"/>
              <w:ind w:right="348"/>
              <w:spacing w:after="0"/>
              <w:rPr>
                <w:sz w:val="20"/>
                <w:szCs w:val="20"/>
                <w:color w:val="auto"/>
              </w:rPr>
            </w:pPr>
            <w:r>
              <w:rPr>
                <w:rFonts w:ascii="Arial" w:cs="Arial" w:eastAsia="Arial" w:hAnsi="Arial"/>
                <w:sz w:val="14"/>
                <w:szCs w:val="14"/>
                <w:color w:val="auto"/>
              </w:rPr>
              <w:t>22</w:t>
            </w:r>
          </w:p>
        </w:tc>
        <w:tc>
          <w:tcPr>
            <w:tcW w:w="420" w:type="dxa"/>
            <w:vAlign w:val="bottom"/>
          </w:tcPr>
          <w:p>
            <w:pPr>
              <w:spacing w:after="0"/>
              <w:rPr>
                <w:sz w:val="18"/>
                <w:szCs w:val="18"/>
                <w:color w:val="auto"/>
              </w:rPr>
            </w:pPr>
          </w:p>
        </w:tc>
        <w:tc>
          <w:tcPr>
            <w:tcW w:w="660" w:type="dxa"/>
            <w:vAlign w:val="bottom"/>
          </w:tcPr>
          <w:p>
            <w:pPr>
              <w:jc w:val="right"/>
              <w:ind w:right="88"/>
              <w:spacing w:after="0"/>
              <w:rPr>
                <w:sz w:val="20"/>
                <w:szCs w:val="20"/>
                <w:color w:val="auto"/>
              </w:rPr>
            </w:pPr>
            <w:r>
              <w:rPr>
                <w:rFonts w:ascii="Arial" w:cs="Arial" w:eastAsia="Arial" w:hAnsi="Arial"/>
                <w:sz w:val="14"/>
                <w:szCs w:val="14"/>
                <w:color w:val="auto"/>
              </w:rPr>
              <w:t>230</w:t>
            </w:r>
          </w:p>
        </w:tc>
        <w:tc>
          <w:tcPr>
            <w:tcW w:w="1000" w:type="dxa"/>
            <w:vAlign w:val="bottom"/>
          </w:tcPr>
          <w:p>
            <w:pPr>
              <w:jc w:val="right"/>
              <w:ind w:right="608"/>
              <w:spacing w:after="0"/>
              <w:rPr>
                <w:sz w:val="20"/>
                <w:szCs w:val="20"/>
                <w:color w:val="auto"/>
              </w:rPr>
            </w:pPr>
            <w:r>
              <w:rPr>
                <w:rFonts w:ascii="Arial" w:cs="Arial" w:eastAsia="Arial" w:hAnsi="Arial"/>
                <w:sz w:val="14"/>
                <w:szCs w:val="14"/>
                <w:color w:val="auto"/>
              </w:rPr>
              <w:t>21</w:t>
            </w:r>
          </w:p>
        </w:tc>
        <w:tc>
          <w:tcPr>
            <w:tcW w:w="180" w:type="dxa"/>
            <w:vAlign w:val="bottom"/>
          </w:tcPr>
          <w:p>
            <w:pPr>
              <w:spacing w:after="0"/>
              <w:rPr>
                <w:sz w:val="18"/>
                <w:szCs w:val="18"/>
                <w:color w:val="auto"/>
              </w:rPr>
            </w:pPr>
          </w:p>
        </w:tc>
        <w:tc>
          <w:tcPr>
            <w:tcW w:w="660" w:type="dxa"/>
            <w:vAlign w:val="bottom"/>
          </w:tcPr>
          <w:p>
            <w:pPr>
              <w:jc w:val="right"/>
              <w:ind w:right="88"/>
              <w:spacing w:after="0"/>
              <w:rPr>
                <w:sz w:val="20"/>
                <w:szCs w:val="20"/>
                <w:color w:val="auto"/>
              </w:rPr>
            </w:pPr>
            <w:r>
              <w:rPr>
                <w:rFonts w:ascii="Arial" w:cs="Arial" w:eastAsia="Arial" w:hAnsi="Arial"/>
                <w:sz w:val="14"/>
                <w:szCs w:val="14"/>
                <w:color w:val="auto"/>
              </w:rPr>
              <w:t>223</w:t>
            </w:r>
          </w:p>
        </w:tc>
        <w:tc>
          <w:tcPr>
            <w:tcW w:w="560" w:type="dxa"/>
            <w:vAlign w:val="bottom"/>
          </w:tcPr>
          <w:p>
            <w:pPr>
              <w:jc w:val="right"/>
              <w:ind w:right="168"/>
              <w:spacing w:after="0"/>
              <w:rPr>
                <w:sz w:val="20"/>
                <w:szCs w:val="20"/>
                <w:color w:val="auto"/>
              </w:rPr>
            </w:pPr>
            <w:r>
              <w:rPr>
                <w:rFonts w:ascii="Arial" w:cs="Arial" w:eastAsia="Arial" w:hAnsi="Arial"/>
                <w:sz w:val="14"/>
                <w:szCs w:val="14"/>
                <w:color w:val="auto"/>
              </w:rPr>
              <w:t>16</w:t>
            </w:r>
          </w:p>
        </w:tc>
      </w:tr>
      <w:tr>
        <w:trPr>
          <w:trHeight w:val="216"/>
        </w:trPr>
        <w:tc>
          <w:tcPr>
            <w:tcW w:w="2520" w:type="dxa"/>
            <w:vAlign w:val="bottom"/>
          </w:tcPr>
          <w:p>
            <w:pPr>
              <w:ind w:left="180"/>
              <w:spacing w:after="0"/>
              <w:rPr>
                <w:sz w:val="20"/>
                <w:szCs w:val="20"/>
                <w:color w:val="auto"/>
              </w:rPr>
            </w:pPr>
            <w:r>
              <w:rPr>
                <w:rFonts w:ascii="Arial" w:cs="Arial" w:eastAsia="Arial" w:hAnsi="Arial"/>
                <w:sz w:val="14"/>
                <w:szCs w:val="14"/>
                <w:color w:val="auto"/>
              </w:rPr>
              <w:t>Sempra Commodities</w:t>
            </w:r>
          </w:p>
        </w:tc>
        <w:tc>
          <w:tcPr>
            <w:tcW w:w="600" w:type="dxa"/>
            <w:vAlign w:val="bottom"/>
          </w:tcPr>
          <w:p>
            <w:pPr>
              <w:spacing w:after="0"/>
              <w:rPr>
                <w:sz w:val="18"/>
                <w:szCs w:val="18"/>
                <w:color w:val="auto"/>
              </w:rPr>
            </w:pPr>
          </w:p>
        </w:tc>
        <w:tc>
          <w:tcPr>
            <w:tcW w:w="660" w:type="dxa"/>
            <w:vAlign w:val="bottom"/>
          </w:tcPr>
          <w:p>
            <w:pPr>
              <w:jc w:val="right"/>
              <w:ind w:right="88"/>
              <w:spacing w:after="0"/>
              <w:rPr>
                <w:sz w:val="20"/>
                <w:szCs w:val="20"/>
                <w:color w:val="auto"/>
              </w:rPr>
            </w:pPr>
            <w:r>
              <w:rPr>
                <w:rFonts w:ascii="Arial" w:cs="Arial" w:eastAsia="Arial" w:hAnsi="Arial"/>
                <w:sz w:val="14"/>
                <w:szCs w:val="14"/>
                <w:color w:val="auto"/>
              </w:rPr>
              <w:t>345</w:t>
            </w:r>
          </w:p>
        </w:tc>
        <w:tc>
          <w:tcPr>
            <w:tcW w:w="760" w:type="dxa"/>
            <w:vAlign w:val="bottom"/>
          </w:tcPr>
          <w:p>
            <w:pPr>
              <w:jc w:val="right"/>
              <w:ind w:right="348"/>
              <w:spacing w:after="0"/>
              <w:rPr>
                <w:sz w:val="20"/>
                <w:szCs w:val="20"/>
                <w:color w:val="auto"/>
              </w:rPr>
            </w:pPr>
            <w:r>
              <w:rPr>
                <w:rFonts w:ascii="Arial" w:cs="Arial" w:eastAsia="Arial" w:hAnsi="Arial"/>
                <w:sz w:val="14"/>
                <w:szCs w:val="14"/>
                <w:color w:val="auto"/>
              </w:rPr>
              <w:t>31</w:t>
            </w:r>
          </w:p>
        </w:tc>
        <w:tc>
          <w:tcPr>
            <w:tcW w:w="420" w:type="dxa"/>
            <w:vAlign w:val="bottom"/>
          </w:tcPr>
          <w:p>
            <w:pPr>
              <w:spacing w:after="0"/>
              <w:rPr>
                <w:sz w:val="18"/>
                <w:szCs w:val="18"/>
                <w:color w:val="auto"/>
              </w:rPr>
            </w:pPr>
          </w:p>
        </w:tc>
        <w:tc>
          <w:tcPr>
            <w:tcW w:w="660" w:type="dxa"/>
            <w:vAlign w:val="bottom"/>
          </w:tcPr>
          <w:p>
            <w:pPr>
              <w:jc w:val="right"/>
              <w:ind w:right="88"/>
              <w:spacing w:after="0"/>
              <w:rPr>
                <w:sz w:val="20"/>
                <w:szCs w:val="20"/>
                <w:color w:val="auto"/>
              </w:rPr>
            </w:pPr>
            <w:r>
              <w:rPr>
                <w:rFonts w:ascii="Arial" w:cs="Arial" w:eastAsia="Arial" w:hAnsi="Arial"/>
                <w:sz w:val="14"/>
                <w:szCs w:val="14"/>
                <w:color w:val="auto"/>
              </w:rPr>
              <w:t>499</w:t>
            </w:r>
          </w:p>
        </w:tc>
        <w:tc>
          <w:tcPr>
            <w:tcW w:w="1000" w:type="dxa"/>
            <w:vAlign w:val="bottom"/>
          </w:tcPr>
          <w:p>
            <w:pPr>
              <w:jc w:val="right"/>
              <w:ind w:right="608"/>
              <w:spacing w:after="0"/>
              <w:rPr>
                <w:sz w:val="20"/>
                <w:szCs w:val="20"/>
                <w:color w:val="auto"/>
              </w:rPr>
            </w:pPr>
            <w:r>
              <w:rPr>
                <w:rFonts w:ascii="Arial" w:cs="Arial" w:eastAsia="Arial" w:hAnsi="Arial"/>
                <w:sz w:val="14"/>
                <w:szCs w:val="14"/>
                <w:color w:val="auto"/>
              </w:rPr>
              <w:t>45</w:t>
            </w:r>
          </w:p>
        </w:tc>
        <w:tc>
          <w:tcPr>
            <w:tcW w:w="180" w:type="dxa"/>
            <w:vAlign w:val="bottom"/>
          </w:tcPr>
          <w:p>
            <w:pPr>
              <w:spacing w:after="0"/>
              <w:rPr>
                <w:sz w:val="18"/>
                <w:szCs w:val="18"/>
                <w:color w:val="auto"/>
              </w:rPr>
            </w:pPr>
          </w:p>
        </w:tc>
        <w:tc>
          <w:tcPr>
            <w:tcW w:w="660" w:type="dxa"/>
            <w:vAlign w:val="bottom"/>
          </w:tcPr>
          <w:p>
            <w:pPr>
              <w:jc w:val="right"/>
              <w:ind w:right="88"/>
              <w:spacing w:after="0"/>
              <w:rPr>
                <w:sz w:val="20"/>
                <w:szCs w:val="20"/>
                <w:color w:val="auto"/>
              </w:rPr>
            </w:pPr>
            <w:r>
              <w:rPr>
                <w:rFonts w:ascii="Arial" w:cs="Arial" w:eastAsia="Arial" w:hAnsi="Arial"/>
                <w:sz w:val="14"/>
                <w:szCs w:val="14"/>
                <w:color w:val="auto"/>
              </w:rPr>
              <w:t>504</w:t>
            </w:r>
          </w:p>
        </w:tc>
        <w:tc>
          <w:tcPr>
            <w:tcW w:w="560" w:type="dxa"/>
            <w:vAlign w:val="bottom"/>
          </w:tcPr>
          <w:p>
            <w:pPr>
              <w:jc w:val="right"/>
              <w:ind w:right="168"/>
              <w:spacing w:after="0"/>
              <w:rPr>
                <w:sz w:val="20"/>
                <w:szCs w:val="20"/>
                <w:color w:val="auto"/>
              </w:rPr>
            </w:pPr>
            <w:r>
              <w:rPr>
                <w:rFonts w:ascii="Arial" w:cs="Arial" w:eastAsia="Arial" w:hAnsi="Arial"/>
                <w:sz w:val="14"/>
                <w:szCs w:val="14"/>
                <w:color w:val="auto"/>
              </w:rPr>
              <w:t>36</w:t>
            </w:r>
          </w:p>
        </w:tc>
      </w:tr>
      <w:tr>
        <w:trPr>
          <w:trHeight w:val="216"/>
        </w:trPr>
        <w:tc>
          <w:tcPr>
            <w:tcW w:w="2520" w:type="dxa"/>
            <w:vAlign w:val="bottom"/>
          </w:tcPr>
          <w:p>
            <w:pPr>
              <w:ind w:left="180"/>
              <w:spacing w:after="0"/>
              <w:rPr>
                <w:sz w:val="20"/>
                <w:szCs w:val="20"/>
                <w:color w:val="auto"/>
              </w:rPr>
            </w:pPr>
            <w:r>
              <w:rPr>
                <w:rFonts w:ascii="Arial" w:cs="Arial" w:eastAsia="Arial" w:hAnsi="Arial"/>
                <w:sz w:val="14"/>
                <w:szCs w:val="14"/>
                <w:color w:val="auto"/>
              </w:rPr>
              <w:t>Sempra Generation</w:t>
            </w:r>
          </w:p>
        </w:tc>
        <w:tc>
          <w:tcPr>
            <w:tcW w:w="600" w:type="dxa"/>
            <w:vAlign w:val="bottom"/>
          </w:tcPr>
          <w:p>
            <w:pPr>
              <w:spacing w:after="0"/>
              <w:rPr>
                <w:sz w:val="18"/>
                <w:szCs w:val="18"/>
                <w:color w:val="auto"/>
              </w:rPr>
            </w:pPr>
          </w:p>
        </w:tc>
        <w:tc>
          <w:tcPr>
            <w:tcW w:w="660" w:type="dxa"/>
            <w:vAlign w:val="bottom"/>
          </w:tcPr>
          <w:p>
            <w:pPr>
              <w:jc w:val="right"/>
              <w:ind w:right="88"/>
              <w:spacing w:after="0"/>
              <w:rPr>
                <w:sz w:val="20"/>
                <w:szCs w:val="20"/>
                <w:color w:val="auto"/>
              </w:rPr>
            </w:pPr>
            <w:r>
              <w:rPr>
                <w:rFonts w:ascii="Arial" w:cs="Arial" w:eastAsia="Arial" w:hAnsi="Arial"/>
                <w:sz w:val="14"/>
                <w:szCs w:val="14"/>
                <w:color w:val="auto"/>
              </w:rPr>
              <w:t>222</w:t>
            </w:r>
          </w:p>
        </w:tc>
        <w:tc>
          <w:tcPr>
            <w:tcW w:w="760" w:type="dxa"/>
            <w:vAlign w:val="bottom"/>
          </w:tcPr>
          <w:p>
            <w:pPr>
              <w:jc w:val="right"/>
              <w:ind w:right="348"/>
              <w:spacing w:after="0"/>
              <w:rPr>
                <w:sz w:val="20"/>
                <w:szCs w:val="20"/>
                <w:color w:val="auto"/>
              </w:rPr>
            </w:pPr>
            <w:r>
              <w:rPr>
                <w:rFonts w:ascii="Arial" w:cs="Arial" w:eastAsia="Arial" w:hAnsi="Arial"/>
                <w:sz w:val="14"/>
                <w:szCs w:val="14"/>
                <w:color w:val="auto"/>
              </w:rPr>
              <w:t>20</w:t>
            </w:r>
          </w:p>
        </w:tc>
        <w:tc>
          <w:tcPr>
            <w:tcW w:w="420" w:type="dxa"/>
            <w:vAlign w:val="bottom"/>
          </w:tcPr>
          <w:p>
            <w:pPr>
              <w:spacing w:after="0"/>
              <w:rPr>
                <w:sz w:val="18"/>
                <w:szCs w:val="18"/>
                <w:color w:val="auto"/>
              </w:rPr>
            </w:pPr>
          </w:p>
        </w:tc>
        <w:tc>
          <w:tcPr>
            <w:tcW w:w="660" w:type="dxa"/>
            <w:vAlign w:val="bottom"/>
          </w:tcPr>
          <w:p>
            <w:pPr>
              <w:jc w:val="right"/>
              <w:ind w:right="88"/>
              <w:spacing w:after="0"/>
              <w:rPr>
                <w:sz w:val="20"/>
                <w:szCs w:val="20"/>
                <w:color w:val="auto"/>
              </w:rPr>
            </w:pPr>
            <w:r>
              <w:rPr>
                <w:rFonts w:ascii="Arial" w:cs="Arial" w:eastAsia="Arial" w:hAnsi="Arial"/>
                <w:sz w:val="14"/>
                <w:szCs w:val="14"/>
                <w:color w:val="auto"/>
              </w:rPr>
              <w:t>162</w:t>
            </w:r>
          </w:p>
        </w:tc>
        <w:tc>
          <w:tcPr>
            <w:tcW w:w="1000" w:type="dxa"/>
            <w:vAlign w:val="bottom"/>
          </w:tcPr>
          <w:p>
            <w:pPr>
              <w:jc w:val="right"/>
              <w:ind w:right="608"/>
              <w:spacing w:after="0"/>
              <w:rPr>
                <w:sz w:val="20"/>
                <w:szCs w:val="20"/>
                <w:color w:val="auto"/>
              </w:rPr>
            </w:pPr>
            <w:r>
              <w:rPr>
                <w:rFonts w:ascii="Arial" w:cs="Arial" w:eastAsia="Arial" w:hAnsi="Arial"/>
                <w:sz w:val="14"/>
                <w:szCs w:val="14"/>
                <w:color w:val="auto"/>
              </w:rPr>
              <w:t>15</w:t>
            </w:r>
          </w:p>
        </w:tc>
        <w:tc>
          <w:tcPr>
            <w:tcW w:w="180" w:type="dxa"/>
            <w:vAlign w:val="bottom"/>
          </w:tcPr>
          <w:p>
            <w:pPr>
              <w:spacing w:after="0"/>
              <w:rPr>
                <w:sz w:val="18"/>
                <w:szCs w:val="18"/>
                <w:color w:val="auto"/>
              </w:rPr>
            </w:pPr>
          </w:p>
        </w:tc>
        <w:tc>
          <w:tcPr>
            <w:tcW w:w="660" w:type="dxa"/>
            <w:vAlign w:val="bottom"/>
          </w:tcPr>
          <w:p>
            <w:pPr>
              <w:jc w:val="right"/>
              <w:ind w:right="88"/>
              <w:spacing w:after="0"/>
              <w:rPr>
                <w:sz w:val="20"/>
                <w:szCs w:val="20"/>
                <w:color w:val="auto"/>
              </w:rPr>
            </w:pPr>
            <w:r>
              <w:rPr>
                <w:rFonts w:ascii="Arial" w:cs="Arial" w:eastAsia="Arial" w:hAnsi="Arial"/>
                <w:sz w:val="14"/>
                <w:szCs w:val="14"/>
                <w:color w:val="auto"/>
              </w:rPr>
              <w:t>375</w:t>
            </w:r>
          </w:p>
        </w:tc>
        <w:tc>
          <w:tcPr>
            <w:tcW w:w="560" w:type="dxa"/>
            <w:vAlign w:val="bottom"/>
          </w:tcPr>
          <w:p>
            <w:pPr>
              <w:jc w:val="right"/>
              <w:ind w:right="168"/>
              <w:spacing w:after="0"/>
              <w:rPr>
                <w:sz w:val="20"/>
                <w:szCs w:val="20"/>
                <w:color w:val="auto"/>
              </w:rPr>
            </w:pPr>
            <w:r>
              <w:rPr>
                <w:rFonts w:ascii="Arial" w:cs="Arial" w:eastAsia="Arial" w:hAnsi="Arial"/>
                <w:sz w:val="14"/>
                <w:szCs w:val="14"/>
                <w:color w:val="auto"/>
              </w:rPr>
              <w:t>27</w:t>
            </w:r>
          </w:p>
        </w:tc>
      </w:tr>
      <w:tr>
        <w:trPr>
          <w:trHeight w:val="216"/>
        </w:trPr>
        <w:tc>
          <w:tcPr>
            <w:tcW w:w="2520" w:type="dxa"/>
            <w:vAlign w:val="bottom"/>
          </w:tcPr>
          <w:p>
            <w:pPr>
              <w:ind w:left="180"/>
              <w:spacing w:after="0"/>
              <w:rPr>
                <w:sz w:val="20"/>
                <w:szCs w:val="20"/>
                <w:color w:val="auto"/>
              </w:rPr>
            </w:pPr>
            <w:r>
              <w:rPr>
                <w:rFonts w:ascii="Arial" w:cs="Arial" w:eastAsia="Arial" w:hAnsi="Arial"/>
                <w:sz w:val="14"/>
                <w:szCs w:val="14"/>
                <w:color w:val="auto"/>
              </w:rPr>
              <w:t>Sempra Pipelines &amp; Storage</w:t>
            </w:r>
          </w:p>
        </w:tc>
        <w:tc>
          <w:tcPr>
            <w:tcW w:w="600" w:type="dxa"/>
            <w:vAlign w:val="bottom"/>
          </w:tcPr>
          <w:p>
            <w:pPr>
              <w:spacing w:after="0"/>
              <w:rPr>
                <w:sz w:val="18"/>
                <w:szCs w:val="18"/>
                <w:color w:val="auto"/>
              </w:rPr>
            </w:pPr>
          </w:p>
        </w:tc>
        <w:tc>
          <w:tcPr>
            <w:tcW w:w="660" w:type="dxa"/>
            <w:vAlign w:val="bottom"/>
          </w:tcPr>
          <w:p>
            <w:pPr>
              <w:jc w:val="right"/>
              <w:ind w:right="88"/>
              <w:spacing w:after="0"/>
              <w:rPr>
                <w:sz w:val="20"/>
                <w:szCs w:val="20"/>
                <w:color w:val="auto"/>
              </w:rPr>
            </w:pPr>
            <w:r>
              <w:rPr>
                <w:rFonts w:ascii="Arial" w:cs="Arial" w:eastAsia="Arial" w:hAnsi="Arial"/>
                <w:sz w:val="14"/>
                <w:szCs w:val="14"/>
                <w:color w:val="auto"/>
              </w:rPr>
              <w:t>106</w:t>
            </w:r>
          </w:p>
        </w:tc>
        <w:tc>
          <w:tcPr>
            <w:tcW w:w="760" w:type="dxa"/>
            <w:vAlign w:val="bottom"/>
          </w:tcPr>
          <w:p>
            <w:pPr>
              <w:jc w:val="right"/>
              <w:ind w:right="348"/>
              <w:spacing w:after="0"/>
              <w:rPr>
                <w:sz w:val="20"/>
                <w:szCs w:val="20"/>
                <w:color w:val="auto"/>
              </w:rPr>
            </w:pPr>
            <w:r>
              <w:rPr>
                <w:rFonts w:ascii="Arial" w:cs="Arial" w:eastAsia="Arial" w:hAnsi="Arial"/>
                <w:sz w:val="14"/>
                <w:szCs w:val="14"/>
                <w:color w:val="auto"/>
              </w:rPr>
              <w:t>9</w:t>
            </w:r>
          </w:p>
        </w:tc>
        <w:tc>
          <w:tcPr>
            <w:tcW w:w="420" w:type="dxa"/>
            <w:vAlign w:val="bottom"/>
          </w:tcPr>
          <w:p>
            <w:pPr>
              <w:spacing w:after="0"/>
              <w:rPr>
                <w:sz w:val="18"/>
                <w:szCs w:val="18"/>
                <w:color w:val="auto"/>
              </w:rPr>
            </w:pPr>
          </w:p>
        </w:tc>
        <w:tc>
          <w:tcPr>
            <w:tcW w:w="660" w:type="dxa"/>
            <w:vAlign w:val="bottom"/>
          </w:tcPr>
          <w:p>
            <w:pPr>
              <w:jc w:val="right"/>
              <w:ind w:right="88"/>
              <w:spacing w:after="0"/>
              <w:rPr>
                <w:sz w:val="20"/>
                <w:szCs w:val="20"/>
                <w:color w:val="auto"/>
              </w:rPr>
            </w:pPr>
            <w:r>
              <w:rPr>
                <w:rFonts w:ascii="Arial" w:cs="Arial" w:eastAsia="Arial" w:hAnsi="Arial"/>
                <w:sz w:val="14"/>
                <w:szCs w:val="14"/>
                <w:color w:val="auto"/>
              </w:rPr>
              <w:t>64</w:t>
            </w:r>
          </w:p>
        </w:tc>
        <w:tc>
          <w:tcPr>
            <w:tcW w:w="1000" w:type="dxa"/>
            <w:vAlign w:val="bottom"/>
          </w:tcPr>
          <w:p>
            <w:pPr>
              <w:jc w:val="right"/>
              <w:ind w:right="608"/>
              <w:spacing w:after="0"/>
              <w:rPr>
                <w:sz w:val="20"/>
                <w:szCs w:val="20"/>
                <w:color w:val="auto"/>
              </w:rPr>
            </w:pPr>
            <w:r>
              <w:rPr>
                <w:rFonts w:ascii="Arial" w:cs="Arial" w:eastAsia="Arial" w:hAnsi="Arial"/>
                <w:sz w:val="14"/>
                <w:szCs w:val="14"/>
                <w:color w:val="auto"/>
              </w:rPr>
              <w:t>6</w:t>
            </w:r>
          </w:p>
        </w:tc>
        <w:tc>
          <w:tcPr>
            <w:tcW w:w="180" w:type="dxa"/>
            <w:vAlign w:val="bottom"/>
          </w:tcPr>
          <w:p>
            <w:pPr>
              <w:spacing w:after="0"/>
              <w:rPr>
                <w:sz w:val="18"/>
                <w:szCs w:val="18"/>
                <w:color w:val="auto"/>
              </w:rPr>
            </w:pP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(165 )</w:t>
            </w:r>
          </w:p>
        </w:tc>
        <w:tc>
          <w:tcPr>
            <w:tcW w:w="560" w:type="dxa"/>
            <w:vAlign w:val="bottom"/>
          </w:tcPr>
          <w:p>
            <w:pPr>
              <w:jc w:val="right"/>
              <w:ind w:right="88"/>
              <w:spacing w:after="0"/>
              <w:rPr>
                <w:sz w:val="20"/>
                <w:szCs w:val="20"/>
                <w:color w:val="auto"/>
              </w:rPr>
            </w:pPr>
            <w:r>
              <w:rPr>
                <w:rFonts w:ascii="Arial" w:cs="Arial" w:eastAsia="Arial" w:hAnsi="Arial"/>
                <w:sz w:val="14"/>
                <w:szCs w:val="14"/>
                <w:color w:val="auto"/>
              </w:rPr>
              <w:t>(12 )</w:t>
            </w:r>
          </w:p>
        </w:tc>
      </w:tr>
      <w:tr>
        <w:trPr>
          <w:trHeight w:val="216"/>
        </w:trPr>
        <w:tc>
          <w:tcPr>
            <w:tcW w:w="2520" w:type="dxa"/>
            <w:vAlign w:val="bottom"/>
          </w:tcPr>
          <w:p>
            <w:pPr>
              <w:ind w:left="180"/>
              <w:spacing w:after="0"/>
              <w:rPr>
                <w:sz w:val="20"/>
                <w:szCs w:val="20"/>
                <w:color w:val="auto"/>
              </w:rPr>
            </w:pPr>
            <w:r>
              <w:rPr>
                <w:rFonts w:ascii="Arial" w:cs="Arial" w:eastAsia="Arial" w:hAnsi="Arial"/>
                <w:sz w:val="14"/>
                <w:szCs w:val="14"/>
                <w:color w:val="auto"/>
              </w:rPr>
              <w:t>Discontinued operations</w:t>
            </w:r>
          </w:p>
        </w:tc>
        <w:tc>
          <w:tcPr>
            <w:tcW w:w="600" w:type="dxa"/>
            <w:vAlign w:val="bottom"/>
          </w:tcPr>
          <w:p>
            <w:pPr>
              <w:spacing w:after="0"/>
              <w:rPr>
                <w:sz w:val="18"/>
                <w:szCs w:val="18"/>
                <w:color w:val="auto"/>
              </w:rPr>
            </w:pPr>
          </w:p>
        </w:tc>
        <w:tc>
          <w:tcPr>
            <w:tcW w:w="6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348"/>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8"/>
                <w:szCs w:val="18"/>
                <w:color w:val="auto"/>
              </w:rPr>
            </w:pP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(26 )</w:t>
            </w:r>
          </w:p>
        </w:tc>
        <w:tc>
          <w:tcPr>
            <w:tcW w:w="1000" w:type="dxa"/>
            <w:vAlign w:val="bottom"/>
          </w:tcPr>
          <w:p>
            <w:pPr>
              <w:jc w:val="right"/>
              <w:ind w:right="528"/>
              <w:spacing w:after="0"/>
              <w:rPr>
                <w:sz w:val="20"/>
                <w:szCs w:val="20"/>
                <w:color w:val="auto"/>
              </w:rPr>
            </w:pPr>
            <w:r>
              <w:rPr>
                <w:rFonts w:ascii="Arial" w:cs="Arial" w:eastAsia="Arial" w:hAnsi="Arial"/>
                <w:sz w:val="14"/>
                <w:szCs w:val="14"/>
                <w:color w:val="auto"/>
              </w:rPr>
              <w:t>(2 )</w:t>
            </w:r>
          </w:p>
        </w:tc>
        <w:tc>
          <w:tcPr>
            <w:tcW w:w="180" w:type="dxa"/>
            <w:vAlign w:val="bottom"/>
          </w:tcPr>
          <w:p>
            <w:pPr>
              <w:spacing w:after="0"/>
              <w:rPr>
                <w:sz w:val="18"/>
                <w:szCs w:val="18"/>
                <w:color w:val="auto"/>
              </w:rPr>
            </w:pPr>
          </w:p>
        </w:tc>
        <w:tc>
          <w:tcPr>
            <w:tcW w:w="660" w:type="dxa"/>
            <w:vAlign w:val="bottom"/>
          </w:tcPr>
          <w:p>
            <w:pPr>
              <w:jc w:val="right"/>
              <w:ind w:right="88"/>
              <w:spacing w:after="0"/>
              <w:rPr>
                <w:sz w:val="20"/>
                <w:szCs w:val="20"/>
                <w:color w:val="auto"/>
              </w:rPr>
            </w:pPr>
            <w:r>
              <w:rPr>
                <w:rFonts w:ascii="Arial" w:cs="Arial" w:eastAsia="Arial" w:hAnsi="Arial"/>
                <w:sz w:val="14"/>
                <w:szCs w:val="14"/>
                <w:color w:val="auto"/>
              </w:rPr>
              <w:t>315</w:t>
            </w:r>
          </w:p>
        </w:tc>
        <w:tc>
          <w:tcPr>
            <w:tcW w:w="560" w:type="dxa"/>
            <w:vAlign w:val="bottom"/>
          </w:tcPr>
          <w:p>
            <w:pPr>
              <w:jc w:val="right"/>
              <w:ind w:right="168"/>
              <w:spacing w:after="0"/>
              <w:rPr>
                <w:sz w:val="20"/>
                <w:szCs w:val="20"/>
                <w:color w:val="auto"/>
              </w:rPr>
            </w:pPr>
            <w:r>
              <w:rPr>
                <w:rFonts w:ascii="Arial" w:cs="Arial" w:eastAsia="Arial" w:hAnsi="Arial"/>
                <w:sz w:val="14"/>
                <w:szCs w:val="14"/>
                <w:color w:val="auto"/>
              </w:rPr>
              <w:t>22</w:t>
            </w:r>
          </w:p>
        </w:tc>
      </w:tr>
      <w:tr>
        <w:trPr>
          <w:trHeight w:val="222"/>
        </w:trPr>
        <w:tc>
          <w:tcPr>
            <w:tcW w:w="2520" w:type="dxa"/>
            <w:vAlign w:val="bottom"/>
          </w:tcPr>
          <w:p>
            <w:pPr>
              <w:ind w:left="180"/>
              <w:spacing w:after="0"/>
              <w:rPr>
                <w:sz w:val="20"/>
                <w:szCs w:val="20"/>
                <w:color w:val="auto"/>
              </w:rPr>
            </w:pPr>
            <w:r>
              <w:rPr>
                <w:rFonts w:ascii="Arial" w:cs="Arial" w:eastAsia="Arial" w:hAnsi="Arial"/>
                <w:sz w:val="14"/>
                <w:szCs w:val="14"/>
                <w:color w:val="auto"/>
              </w:rPr>
              <w:t>All other</w:t>
            </w:r>
          </w:p>
        </w:tc>
        <w:tc>
          <w:tcPr>
            <w:tcW w:w="6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(143 )</w:t>
            </w:r>
          </w:p>
        </w:tc>
        <w:tc>
          <w:tcPr>
            <w:tcW w:w="76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(13 )</w:t>
            </w:r>
          </w:p>
        </w:tc>
        <w:tc>
          <w:tcPr>
            <w:tcW w:w="4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(113 )</w:t>
            </w:r>
          </w:p>
        </w:tc>
        <w:tc>
          <w:tcPr>
            <w:tcW w:w="100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color w:val="auto"/>
              </w:rPr>
              <w:t>(10 )</w:t>
            </w: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(83 )</w:t>
            </w:r>
          </w:p>
        </w:tc>
        <w:tc>
          <w:tcPr>
            <w:tcW w:w="5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(6 )</w:t>
            </w:r>
          </w:p>
        </w:tc>
      </w:tr>
      <w:tr>
        <w:trPr>
          <w:trHeight w:val="224"/>
        </w:trPr>
        <w:tc>
          <w:tcPr>
            <w:tcW w:w="2520" w:type="dxa"/>
            <w:vAlign w:val="bottom"/>
            <w:tcBorders>
              <w:bottom w:val="single" w:sz="8" w:color="auto"/>
            </w:tcBorders>
          </w:tcPr>
          <w:p>
            <w:pPr>
              <w:ind w:left="420"/>
              <w:spacing w:after="0"/>
              <w:rPr>
                <w:sz w:val="20"/>
                <w:szCs w:val="20"/>
                <w:color w:val="auto"/>
              </w:rPr>
            </w:pPr>
            <w:r>
              <w:rPr>
                <w:rFonts w:ascii="Arial" w:cs="Arial" w:eastAsia="Arial" w:hAnsi="Arial"/>
                <w:sz w:val="14"/>
                <w:szCs w:val="14"/>
                <w:color w:val="auto"/>
              </w:rPr>
              <w:t>Total</w:t>
            </w:r>
          </w:p>
        </w:tc>
        <w:tc>
          <w:tcPr>
            <w:tcW w:w="6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1,113</w:t>
            </w:r>
          </w:p>
        </w:tc>
        <w:tc>
          <w:tcPr>
            <w:tcW w:w="76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100 %</w:t>
            </w:r>
          </w:p>
        </w:tc>
        <w:tc>
          <w:tcPr>
            <w:tcW w:w="4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1,099</w:t>
            </w:r>
          </w:p>
        </w:tc>
        <w:tc>
          <w:tcPr>
            <w:tcW w:w="100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color w:val="auto"/>
              </w:rPr>
              <w:t>100 %</w:t>
            </w: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1,406</w:t>
            </w:r>
          </w:p>
        </w:tc>
        <w:tc>
          <w:tcPr>
            <w:tcW w:w="5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100 %</w:t>
            </w:r>
          </w:p>
        </w:tc>
      </w:tr>
      <w:tr>
        <w:trPr>
          <w:trHeight w:val="210"/>
        </w:trPr>
        <w:tc>
          <w:tcPr>
            <w:tcW w:w="2520" w:type="dxa"/>
            <w:vAlign w:val="bottom"/>
          </w:tcPr>
          <w:p>
            <w:pPr>
              <w:ind w:left="20"/>
              <w:spacing w:after="0"/>
              <w:rPr>
                <w:sz w:val="20"/>
                <w:szCs w:val="20"/>
                <w:color w:val="auto"/>
              </w:rPr>
            </w:pPr>
            <w:r>
              <w:rPr>
                <w:rFonts w:ascii="Arial" w:cs="Arial" w:eastAsia="Arial" w:hAnsi="Arial"/>
                <w:sz w:val="14"/>
                <w:szCs w:val="14"/>
                <w:color w:val="auto"/>
              </w:rPr>
              <w:t>ASSETS**</w:t>
            </w:r>
          </w:p>
        </w:tc>
        <w:tc>
          <w:tcPr>
            <w:tcW w:w="6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2520" w:type="dxa"/>
            <w:vAlign w:val="bottom"/>
          </w:tcPr>
          <w:p>
            <w:pPr>
              <w:ind w:left="180"/>
              <w:spacing w:after="0"/>
              <w:rPr>
                <w:sz w:val="20"/>
                <w:szCs w:val="20"/>
                <w:color w:val="auto"/>
              </w:rPr>
            </w:pPr>
            <w:r>
              <w:rPr>
                <w:rFonts w:ascii="Arial" w:cs="Arial" w:eastAsia="Arial" w:hAnsi="Arial"/>
                <w:sz w:val="14"/>
                <w:szCs w:val="14"/>
                <w:color w:val="auto"/>
              </w:rPr>
              <w:t>SDG&amp;E</w:t>
            </w: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88"/>
              <w:spacing w:after="0"/>
              <w:rPr>
                <w:sz w:val="20"/>
                <w:szCs w:val="20"/>
                <w:color w:val="auto"/>
              </w:rPr>
            </w:pPr>
            <w:r>
              <w:rPr>
                <w:rFonts w:ascii="Arial" w:cs="Arial" w:eastAsia="Arial" w:hAnsi="Arial"/>
                <w:sz w:val="14"/>
                <w:szCs w:val="14"/>
                <w:color w:val="auto"/>
              </w:rPr>
              <w:t>9,079</w:t>
            </w:r>
          </w:p>
        </w:tc>
        <w:tc>
          <w:tcPr>
            <w:tcW w:w="760" w:type="dxa"/>
            <w:vAlign w:val="bottom"/>
          </w:tcPr>
          <w:p>
            <w:pPr>
              <w:jc w:val="right"/>
              <w:ind w:right="208"/>
              <w:spacing w:after="0"/>
              <w:rPr>
                <w:sz w:val="20"/>
                <w:szCs w:val="20"/>
                <w:color w:val="auto"/>
              </w:rPr>
            </w:pPr>
            <w:r>
              <w:rPr>
                <w:rFonts w:ascii="Arial" w:cs="Arial" w:eastAsia="Arial" w:hAnsi="Arial"/>
                <w:sz w:val="14"/>
                <w:szCs w:val="14"/>
                <w:color w:val="auto"/>
              </w:rPr>
              <w:t>34 %</w:t>
            </w:r>
          </w:p>
        </w:tc>
        <w:tc>
          <w:tcPr>
            <w:tcW w:w="4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88"/>
              <w:spacing w:after="0"/>
              <w:rPr>
                <w:sz w:val="20"/>
                <w:szCs w:val="20"/>
                <w:color w:val="auto"/>
              </w:rPr>
            </w:pPr>
            <w:r>
              <w:rPr>
                <w:rFonts w:ascii="Arial" w:cs="Arial" w:eastAsia="Arial" w:hAnsi="Arial"/>
                <w:sz w:val="14"/>
                <w:szCs w:val="14"/>
                <w:color w:val="auto"/>
              </w:rPr>
              <w:t>8,499</w:t>
            </w:r>
          </w:p>
        </w:tc>
        <w:tc>
          <w:tcPr>
            <w:tcW w:w="1000" w:type="dxa"/>
            <w:vAlign w:val="bottom"/>
          </w:tcPr>
          <w:p>
            <w:pPr>
              <w:jc w:val="right"/>
              <w:ind w:right="448"/>
              <w:spacing w:after="0"/>
              <w:rPr>
                <w:sz w:val="20"/>
                <w:szCs w:val="20"/>
                <w:color w:val="auto"/>
              </w:rPr>
            </w:pPr>
            <w:r>
              <w:rPr>
                <w:rFonts w:ascii="Arial" w:cs="Arial" w:eastAsia="Arial" w:hAnsi="Arial"/>
                <w:sz w:val="14"/>
                <w:szCs w:val="14"/>
                <w:color w:val="auto"/>
              </w:rPr>
              <w:t>30 %</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88"/>
              <w:spacing w:after="0"/>
              <w:rPr>
                <w:sz w:val="20"/>
                <w:szCs w:val="20"/>
                <w:color w:val="auto"/>
              </w:rPr>
            </w:pPr>
            <w:r>
              <w:rPr>
                <w:rFonts w:ascii="Arial" w:cs="Arial" w:eastAsia="Arial" w:hAnsi="Arial"/>
                <w:sz w:val="14"/>
                <w:szCs w:val="14"/>
                <w:color w:val="auto"/>
              </w:rPr>
              <w:t>7,794</w:t>
            </w:r>
          </w:p>
        </w:tc>
        <w:tc>
          <w:tcPr>
            <w:tcW w:w="560" w:type="dxa"/>
            <w:vAlign w:val="bottom"/>
          </w:tcPr>
          <w:p>
            <w:pPr>
              <w:jc w:val="right"/>
              <w:ind w:right="8"/>
              <w:spacing w:after="0"/>
              <w:rPr>
                <w:sz w:val="20"/>
                <w:szCs w:val="20"/>
                <w:color w:val="auto"/>
              </w:rPr>
            </w:pPr>
            <w:r>
              <w:rPr>
                <w:rFonts w:ascii="Arial" w:cs="Arial" w:eastAsia="Arial" w:hAnsi="Arial"/>
                <w:sz w:val="14"/>
                <w:szCs w:val="14"/>
                <w:color w:val="auto"/>
              </w:rPr>
              <w:t>28 %</w:t>
            </w:r>
          </w:p>
        </w:tc>
      </w:tr>
      <w:tr>
        <w:trPr>
          <w:trHeight w:val="216"/>
        </w:trPr>
        <w:tc>
          <w:tcPr>
            <w:tcW w:w="2520" w:type="dxa"/>
            <w:vAlign w:val="bottom"/>
          </w:tcPr>
          <w:p>
            <w:pPr>
              <w:ind w:left="180"/>
              <w:spacing w:after="0"/>
              <w:rPr>
                <w:sz w:val="20"/>
                <w:szCs w:val="20"/>
                <w:color w:val="auto"/>
              </w:rPr>
            </w:pPr>
            <w:r>
              <w:rPr>
                <w:rFonts w:ascii="Arial" w:cs="Arial" w:eastAsia="Arial" w:hAnsi="Arial"/>
                <w:sz w:val="14"/>
                <w:szCs w:val="14"/>
                <w:color w:val="auto"/>
              </w:rPr>
              <w:t>SoCalGas</w:t>
            </w:r>
          </w:p>
        </w:tc>
        <w:tc>
          <w:tcPr>
            <w:tcW w:w="600" w:type="dxa"/>
            <w:vAlign w:val="bottom"/>
          </w:tcPr>
          <w:p>
            <w:pPr>
              <w:spacing w:after="0"/>
              <w:rPr>
                <w:sz w:val="18"/>
                <w:szCs w:val="18"/>
                <w:color w:val="auto"/>
              </w:rPr>
            </w:pPr>
          </w:p>
        </w:tc>
        <w:tc>
          <w:tcPr>
            <w:tcW w:w="660" w:type="dxa"/>
            <w:vAlign w:val="bottom"/>
          </w:tcPr>
          <w:p>
            <w:pPr>
              <w:jc w:val="right"/>
              <w:ind w:right="88"/>
              <w:spacing w:after="0"/>
              <w:rPr>
                <w:sz w:val="20"/>
                <w:szCs w:val="20"/>
                <w:color w:val="auto"/>
              </w:rPr>
            </w:pPr>
            <w:r>
              <w:rPr>
                <w:rFonts w:ascii="Arial" w:cs="Arial" w:eastAsia="Arial" w:hAnsi="Arial"/>
                <w:sz w:val="14"/>
                <w:szCs w:val="14"/>
                <w:color w:val="auto"/>
              </w:rPr>
              <w:t>7,351</w:t>
            </w:r>
          </w:p>
        </w:tc>
        <w:tc>
          <w:tcPr>
            <w:tcW w:w="760" w:type="dxa"/>
            <w:vAlign w:val="bottom"/>
          </w:tcPr>
          <w:p>
            <w:pPr>
              <w:jc w:val="right"/>
              <w:ind w:right="348"/>
              <w:spacing w:after="0"/>
              <w:rPr>
                <w:sz w:val="20"/>
                <w:szCs w:val="20"/>
                <w:color w:val="auto"/>
              </w:rPr>
            </w:pPr>
            <w:r>
              <w:rPr>
                <w:rFonts w:ascii="Arial" w:cs="Arial" w:eastAsia="Arial" w:hAnsi="Arial"/>
                <w:sz w:val="14"/>
                <w:szCs w:val="14"/>
                <w:color w:val="auto"/>
              </w:rPr>
              <w:t>28</w:t>
            </w:r>
          </w:p>
        </w:tc>
        <w:tc>
          <w:tcPr>
            <w:tcW w:w="420" w:type="dxa"/>
            <w:vAlign w:val="bottom"/>
          </w:tcPr>
          <w:p>
            <w:pPr>
              <w:spacing w:after="0"/>
              <w:rPr>
                <w:sz w:val="18"/>
                <w:szCs w:val="18"/>
                <w:color w:val="auto"/>
              </w:rPr>
            </w:pPr>
          </w:p>
        </w:tc>
        <w:tc>
          <w:tcPr>
            <w:tcW w:w="660" w:type="dxa"/>
            <w:vAlign w:val="bottom"/>
          </w:tcPr>
          <w:p>
            <w:pPr>
              <w:jc w:val="right"/>
              <w:ind w:right="88"/>
              <w:spacing w:after="0"/>
              <w:rPr>
                <w:sz w:val="20"/>
                <w:szCs w:val="20"/>
                <w:color w:val="auto"/>
              </w:rPr>
            </w:pPr>
            <w:r>
              <w:rPr>
                <w:rFonts w:ascii="Arial" w:cs="Arial" w:eastAsia="Arial" w:hAnsi="Arial"/>
                <w:sz w:val="14"/>
                <w:szCs w:val="14"/>
                <w:color w:val="auto"/>
              </w:rPr>
              <w:t>6,406</w:t>
            </w:r>
          </w:p>
        </w:tc>
        <w:tc>
          <w:tcPr>
            <w:tcW w:w="1000" w:type="dxa"/>
            <w:vAlign w:val="bottom"/>
          </w:tcPr>
          <w:p>
            <w:pPr>
              <w:jc w:val="right"/>
              <w:ind w:right="608"/>
              <w:spacing w:after="0"/>
              <w:rPr>
                <w:sz w:val="20"/>
                <w:szCs w:val="20"/>
                <w:color w:val="auto"/>
              </w:rPr>
            </w:pPr>
            <w:r>
              <w:rPr>
                <w:rFonts w:ascii="Arial" w:cs="Arial" w:eastAsia="Arial" w:hAnsi="Arial"/>
                <w:sz w:val="14"/>
                <w:szCs w:val="14"/>
                <w:color w:val="auto"/>
              </w:rPr>
              <w:t>22</w:t>
            </w:r>
          </w:p>
        </w:tc>
        <w:tc>
          <w:tcPr>
            <w:tcW w:w="180" w:type="dxa"/>
            <w:vAlign w:val="bottom"/>
          </w:tcPr>
          <w:p>
            <w:pPr>
              <w:spacing w:after="0"/>
              <w:rPr>
                <w:sz w:val="18"/>
                <w:szCs w:val="18"/>
                <w:color w:val="auto"/>
              </w:rPr>
            </w:pPr>
          </w:p>
        </w:tc>
        <w:tc>
          <w:tcPr>
            <w:tcW w:w="660" w:type="dxa"/>
            <w:vAlign w:val="bottom"/>
          </w:tcPr>
          <w:p>
            <w:pPr>
              <w:jc w:val="right"/>
              <w:ind w:right="88"/>
              <w:spacing w:after="0"/>
              <w:rPr>
                <w:sz w:val="20"/>
                <w:szCs w:val="20"/>
                <w:color w:val="auto"/>
              </w:rPr>
            </w:pPr>
            <w:r>
              <w:rPr>
                <w:rFonts w:ascii="Arial" w:cs="Arial" w:eastAsia="Arial" w:hAnsi="Arial"/>
                <w:sz w:val="14"/>
                <w:szCs w:val="14"/>
                <w:color w:val="auto"/>
              </w:rPr>
              <w:t>6,359</w:t>
            </w:r>
          </w:p>
        </w:tc>
        <w:tc>
          <w:tcPr>
            <w:tcW w:w="560" w:type="dxa"/>
            <w:vAlign w:val="bottom"/>
          </w:tcPr>
          <w:p>
            <w:pPr>
              <w:jc w:val="right"/>
              <w:ind w:right="168"/>
              <w:spacing w:after="0"/>
              <w:rPr>
                <w:sz w:val="20"/>
                <w:szCs w:val="20"/>
                <w:color w:val="auto"/>
              </w:rPr>
            </w:pPr>
            <w:r>
              <w:rPr>
                <w:rFonts w:ascii="Arial" w:cs="Arial" w:eastAsia="Arial" w:hAnsi="Arial"/>
                <w:sz w:val="14"/>
                <w:szCs w:val="14"/>
                <w:color w:val="auto"/>
              </w:rPr>
              <w:t>23</w:t>
            </w:r>
          </w:p>
        </w:tc>
      </w:tr>
      <w:tr>
        <w:trPr>
          <w:trHeight w:val="216"/>
        </w:trPr>
        <w:tc>
          <w:tcPr>
            <w:tcW w:w="2520" w:type="dxa"/>
            <w:vAlign w:val="bottom"/>
          </w:tcPr>
          <w:p>
            <w:pPr>
              <w:ind w:left="180"/>
              <w:spacing w:after="0"/>
              <w:rPr>
                <w:sz w:val="20"/>
                <w:szCs w:val="20"/>
                <w:color w:val="auto"/>
              </w:rPr>
            </w:pPr>
            <w:r>
              <w:rPr>
                <w:rFonts w:ascii="Arial" w:cs="Arial" w:eastAsia="Arial" w:hAnsi="Arial"/>
                <w:sz w:val="14"/>
                <w:szCs w:val="14"/>
                <w:color w:val="auto"/>
              </w:rPr>
              <w:t>Sempra Commodities</w:t>
            </w:r>
          </w:p>
        </w:tc>
        <w:tc>
          <w:tcPr>
            <w:tcW w:w="600" w:type="dxa"/>
            <w:vAlign w:val="bottom"/>
          </w:tcPr>
          <w:p>
            <w:pPr>
              <w:spacing w:after="0"/>
              <w:rPr>
                <w:sz w:val="18"/>
                <w:szCs w:val="18"/>
                <w:color w:val="auto"/>
              </w:rPr>
            </w:pPr>
          </w:p>
        </w:tc>
        <w:tc>
          <w:tcPr>
            <w:tcW w:w="660" w:type="dxa"/>
            <w:vAlign w:val="bottom"/>
          </w:tcPr>
          <w:p>
            <w:pPr>
              <w:jc w:val="right"/>
              <w:ind w:right="88"/>
              <w:spacing w:after="0"/>
              <w:rPr>
                <w:sz w:val="20"/>
                <w:szCs w:val="20"/>
                <w:color w:val="auto"/>
              </w:rPr>
            </w:pPr>
            <w:r>
              <w:rPr>
                <w:rFonts w:ascii="Arial" w:cs="Arial" w:eastAsia="Arial" w:hAnsi="Arial"/>
                <w:sz w:val="14"/>
                <w:szCs w:val="14"/>
                <w:color w:val="auto"/>
              </w:rPr>
              <w:t>2,092</w:t>
            </w:r>
          </w:p>
        </w:tc>
        <w:tc>
          <w:tcPr>
            <w:tcW w:w="760" w:type="dxa"/>
            <w:vAlign w:val="bottom"/>
          </w:tcPr>
          <w:p>
            <w:pPr>
              <w:jc w:val="right"/>
              <w:ind w:right="348"/>
              <w:spacing w:after="0"/>
              <w:rPr>
                <w:sz w:val="20"/>
                <w:szCs w:val="20"/>
                <w:color w:val="auto"/>
              </w:rPr>
            </w:pPr>
            <w:r>
              <w:rPr>
                <w:rFonts w:ascii="Arial" w:cs="Arial" w:eastAsia="Arial" w:hAnsi="Arial"/>
                <w:sz w:val="14"/>
                <w:szCs w:val="14"/>
                <w:color w:val="auto"/>
              </w:rPr>
              <w:t>8</w:t>
            </w:r>
          </w:p>
        </w:tc>
        <w:tc>
          <w:tcPr>
            <w:tcW w:w="420" w:type="dxa"/>
            <w:vAlign w:val="bottom"/>
          </w:tcPr>
          <w:p>
            <w:pPr>
              <w:spacing w:after="0"/>
              <w:rPr>
                <w:sz w:val="18"/>
                <w:szCs w:val="18"/>
                <w:color w:val="auto"/>
              </w:rPr>
            </w:pPr>
          </w:p>
        </w:tc>
        <w:tc>
          <w:tcPr>
            <w:tcW w:w="660" w:type="dxa"/>
            <w:vAlign w:val="bottom"/>
          </w:tcPr>
          <w:p>
            <w:pPr>
              <w:jc w:val="right"/>
              <w:ind w:right="88"/>
              <w:spacing w:after="0"/>
              <w:rPr>
                <w:sz w:val="20"/>
                <w:szCs w:val="20"/>
                <w:color w:val="auto"/>
              </w:rPr>
            </w:pPr>
            <w:r>
              <w:rPr>
                <w:rFonts w:ascii="Arial" w:cs="Arial" w:eastAsia="Arial" w:hAnsi="Arial"/>
                <w:sz w:val="14"/>
                <w:szCs w:val="14"/>
                <w:color w:val="auto"/>
              </w:rPr>
              <w:t>8,620</w:t>
            </w:r>
          </w:p>
        </w:tc>
        <w:tc>
          <w:tcPr>
            <w:tcW w:w="1000" w:type="dxa"/>
            <w:vAlign w:val="bottom"/>
          </w:tcPr>
          <w:p>
            <w:pPr>
              <w:jc w:val="right"/>
              <w:ind w:right="608"/>
              <w:spacing w:after="0"/>
              <w:rPr>
                <w:sz w:val="20"/>
                <w:szCs w:val="20"/>
                <w:color w:val="auto"/>
              </w:rPr>
            </w:pPr>
            <w:r>
              <w:rPr>
                <w:rFonts w:ascii="Arial" w:cs="Arial" w:eastAsia="Arial" w:hAnsi="Arial"/>
                <w:sz w:val="14"/>
                <w:szCs w:val="14"/>
                <w:color w:val="auto"/>
              </w:rPr>
              <w:t>30</w:t>
            </w:r>
          </w:p>
        </w:tc>
        <w:tc>
          <w:tcPr>
            <w:tcW w:w="180" w:type="dxa"/>
            <w:vAlign w:val="bottom"/>
          </w:tcPr>
          <w:p>
            <w:pPr>
              <w:spacing w:after="0"/>
              <w:rPr>
                <w:sz w:val="18"/>
                <w:szCs w:val="18"/>
                <w:color w:val="auto"/>
              </w:rPr>
            </w:pPr>
          </w:p>
        </w:tc>
        <w:tc>
          <w:tcPr>
            <w:tcW w:w="660" w:type="dxa"/>
            <w:vAlign w:val="bottom"/>
          </w:tcPr>
          <w:p>
            <w:pPr>
              <w:jc w:val="right"/>
              <w:ind w:right="88"/>
              <w:spacing w:after="0"/>
              <w:rPr>
                <w:sz w:val="20"/>
                <w:szCs w:val="20"/>
                <w:color w:val="auto"/>
              </w:rPr>
            </w:pPr>
            <w:r>
              <w:rPr>
                <w:rFonts w:ascii="Arial" w:cs="Arial" w:eastAsia="Arial" w:hAnsi="Arial"/>
                <w:sz w:val="14"/>
                <w:szCs w:val="14"/>
                <w:color w:val="auto"/>
              </w:rPr>
              <w:t>8,631</w:t>
            </w:r>
          </w:p>
        </w:tc>
        <w:tc>
          <w:tcPr>
            <w:tcW w:w="560" w:type="dxa"/>
            <w:vAlign w:val="bottom"/>
          </w:tcPr>
          <w:p>
            <w:pPr>
              <w:jc w:val="right"/>
              <w:ind w:right="168"/>
              <w:spacing w:after="0"/>
              <w:rPr>
                <w:sz w:val="20"/>
                <w:szCs w:val="20"/>
                <w:color w:val="auto"/>
              </w:rPr>
            </w:pPr>
            <w:r>
              <w:rPr>
                <w:rFonts w:ascii="Arial" w:cs="Arial" w:eastAsia="Arial" w:hAnsi="Arial"/>
                <w:sz w:val="14"/>
                <w:szCs w:val="14"/>
                <w:color w:val="auto"/>
              </w:rPr>
              <w:t>31</w:t>
            </w:r>
          </w:p>
        </w:tc>
      </w:tr>
      <w:tr>
        <w:trPr>
          <w:trHeight w:val="216"/>
        </w:trPr>
        <w:tc>
          <w:tcPr>
            <w:tcW w:w="2520" w:type="dxa"/>
            <w:vAlign w:val="bottom"/>
          </w:tcPr>
          <w:p>
            <w:pPr>
              <w:ind w:left="180"/>
              <w:spacing w:after="0"/>
              <w:rPr>
                <w:sz w:val="20"/>
                <w:szCs w:val="20"/>
                <w:color w:val="auto"/>
              </w:rPr>
            </w:pPr>
            <w:r>
              <w:rPr>
                <w:rFonts w:ascii="Arial" w:cs="Arial" w:eastAsia="Arial" w:hAnsi="Arial"/>
                <w:sz w:val="14"/>
                <w:szCs w:val="14"/>
                <w:color w:val="auto"/>
              </w:rPr>
              <w:t>Sempra Generation</w:t>
            </w:r>
          </w:p>
        </w:tc>
        <w:tc>
          <w:tcPr>
            <w:tcW w:w="600" w:type="dxa"/>
            <w:vAlign w:val="bottom"/>
          </w:tcPr>
          <w:p>
            <w:pPr>
              <w:spacing w:after="0"/>
              <w:rPr>
                <w:sz w:val="18"/>
                <w:szCs w:val="18"/>
                <w:color w:val="auto"/>
              </w:rPr>
            </w:pPr>
          </w:p>
        </w:tc>
        <w:tc>
          <w:tcPr>
            <w:tcW w:w="660" w:type="dxa"/>
            <w:vAlign w:val="bottom"/>
          </w:tcPr>
          <w:p>
            <w:pPr>
              <w:jc w:val="right"/>
              <w:ind w:right="88"/>
              <w:spacing w:after="0"/>
              <w:rPr>
                <w:sz w:val="20"/>
                <w:szCs w:val="20"/>
                <w:color w:val="auto"/>
              </w:rPr>
            </w:pPr>
            <w:r>
              <w:rPr>
                <w:rFonts w:ascii="Arial" w:cs="Arial" w:eastAsia="Arial" w:hAnsi="Arial"/>
                <w:sz w:val="14"/>
                <w:szCs w:val="14"/>
                <w:color w:val="auto"/>
              </w:rPr>
              <w:t>1,860</w:t>
            </w:r>
          </w:p>
        </w:tc>
        <w:tc>
          <w:tcPr>
            <w:tcW w:w="760" w:type="dxa"/>
            <w:vAlign w:val="bottom"/>
          </w:tcPr>
          <w:p>
            <w:pPr>
              <w:jc w:val="right"/>
              <w:ind w:right="348"/>
              <w:spacing w:after="0"/>
              <w:rPr>
                <w:sz w:val="20"/>
                <w:szCs w:val="20"/>
                <w:color w:val="auto"/>
              </w:rPr>
            </w:pPr>
            <w:r>
              <w:rPr>
                <w:rFonts w:ascii="Arial" w:cs="Arial" w:eastAsia="Arial" w:hAnsi="Arial"/>
                <w:sz w:val="14"/>
                <w:szCs w:val="14"/>
                <w:color w:val="auto"/>
              </w:rPr>
              <w:t>7</w:t>
            </w:r>
          </w:p>
        </w:tc>
        <w:tc>
          <w:tcPr>
            <w:tcW w:w="420" w:type="dxa"/>
            <w:vAlign w:val="bottom"/>
          </w:tcPr>
          <w:p>
            <w:pPr>
              <w:spacing w:after="0"/>
              <w:rPr>
                <w:sz w:val="18"/>
                <w:szCs w:val="18"/>
                <w:color w:val="auto"/>
              </w:rPr>
            </w:pPr>
          </w:p>
        </w:tc>
        <w:tc>
          <w:tcPr>
            <w:tcW w:w="660" w:type="dxa"/>
            <w:vAlign w:val="bottom"/>
          </w:tcPr>
          <w:p>
            <w:pPr>
              <w:jc w:val="right"/>
              <w:ind w:right="88"/>
              <w:spacing w:after="0"/>
              <w:rPr>
                <w:sz w:val="20"/>
                <w:szCs w:val="20"/>
                <w:color w:val="auto"/>
              </w:rPr>
            </w:pPr>
            <w:r>
              <w:rPr>
                <w:rFonts w:ascii="Arial" w:cs="Arial" w:eastAsia="Arial" w:hAnsi="Arial"/>
                <w:sz w:val="14"/>
                <w:szCs w:val="14"/>
                <w:color w:val="auto"/>
              </w:rPr>
              <w:t>1,759</w:t>
            </w:r>
          </w:p>
        </w:tc>
        <w:tc>
          <w:tcPr>
            <w:tcW w:w="1000" w:type="dxa"/>
            <w:vAlign w:val="bottom"/>
          </w:tcPr>
          <w:p>
            <w:pPr>
              <w:jc w:val="right"/>
              <w:ind w:right="608"/>
              <w:spacing w:after="0"/>
              <w:rPr>
                <w:sz w:val="20"/>
                <w:szCs w:val="20"/>
                <w:color w:val="auto"/>
              </w:rPr>
            </w:pPr>
            <w:r>
              <w:rPr>
                <w:rFonts w:ascii="Arial" w:cs="Arial" w:eastAsia="Arial" w:hAnsi="Arial"/>
                <w:sz w:val="14"/>
                <w:szCs w:val="14"/>
                <w:color w:val="auto"/>
              </w:rPr>
              <w:t>6</w:t>
            </w:r>
          </w:p>
        </w:tc>
        <w:tc>
          <w:tcPr>
            <w:tcW w:w="180" w:type="dxa"/>
            <w:vAlign w:val="bottom"/>
          </w:tcPr>
          <w:p>
            <w:pPr>
              <w:spacing w:after="0"/>
              <w:rPr>
                <w:sz w:val="18"/>
                <w:szCs w:val="18"/>
                <w:color w:val="auto"/>
              </w:rPr>
            </w:pPr>
          </w:p>
        </w:tc>
        <w:tc>
          <w:tcPr>
            <w:tcW w:w="660" w:type="dxa"/>
            <w:vAlign w:val="bottom"/>
          </w:tcPr>
          <w:p>
            <w:pPr>
              <w:jc w:val="right"/>
              <w:ind w:right="88"/>
              <w:spacing w:after="0"/>
              <w:rPr>
                <w:sz w:val="20"/>
                <w:szCs w:val="20"/>
                <w:color w:val="auto"/>
              </w:rPr>
            </w:pPr>
            <w:r>
              <w:rPr>
                <w:rFonts w:ascii="Arial" w:cs="Arial" w:eastAsia="Arial" w:hAnsi="Arial"/>
                <w:sz w:val="14"/>
                <w:szCs w:val="14"/>
                <w:color w:val="auto"/>
              </w:rPr>
              <w:t>2,416</w:t>
            </w:r>
          </w:p>
        </w:tc>
        <w:tc>
          <w:tcPr>
            <w:tcW w:w="560" w:type="dxa"/>
            <w:vAlign w:val="bottom"/>
          </w:tcPr>
          <w:p>
            <w:pPr>
              <w:jc w:val="right"/>
              <w:ind w:right="168"/>
              <w:spacing w:after="0"/>
              <w:rPr>
                <w:sz w:val="20"/>
                <w:szCs w:val="20"/>
                <w:color w:val="auto"/>
              </w:rPr>
            </w:pPr>
            <w:r>
              <w:rPr>
                <w:rFonts w:ascii="Arial" w:cs="Arial" w:eastAsia="Arial" w:hAnsi="Arial"/>
                <w:sz w:val="14"/>
                <w:szCs w:val="14"/>
                <w:color w:val="auto"/>
              </w:rPr>
              <w:t>9</w:t>
            </w:r>
          </w:p>
        </w:tc>
      </w:tr>
      <w:tr>
        <w:trPr>
          <w:trHeight w:val="216"/>
        </w:trPr>
        <w:tc>
          <w:tcPr>
            <w:tcW w:w="2520" w:type="dxa"/>
            <w:vAlign w:val="bottom"/>
          </w:tcPr>
          <w:p>
            <w:pPr>
              <w:ind w:left="180"/>
              <w:spacing w:after="0"/>
              <w:rPr>
                <w:sz w:val="20"/>
                <w:szCs w:val="20"/>
                <w:color w:val="auto"/>
              </w:rPr>
            </w:pPr>
            <w:r>
              <w:rPr>
                <w:rFonts w:ascii="Arial" w:cs="Arial" w:eastAsia="Arial" w:hAnsi="Arial"/>
                <w:sz w:val="14"/>
                <w:szCs w:val="14"/>
                <w:color w:val="auto"/>
              </w:rPr>
              <w:t>Sempra Pipelines &amp; Storage</w:t>
            </w:r>
          </w:p>
        </w:tc>
        <w:tc>
          <w:tcPr>
            <w:tcW w:w="600" w:type="dxa"/>
            <w:vAlign w:val="bottom"/>
          </w:tcPr>
          <w:p>
            <w:pPr>
              <w:spacing w:after="0"/>
              <w:rPr>
                <w:sz w:val="18"/>
                <w:szCs w:val="18"/>
                <w:color w:val="auto"/>
              </w:rPr>
            </w:pPr>
          </w:p>
        </w:tc>
        <w:tc>
          <w:tcPr>
            <w:tcW w:w="660" w:type="dxa"/>
            <w:vAlign w:val="bottom"/>
          </w:tcPr>
          <w:p>
            <w:pPr>
              <w:jc w:val="right"/>
              <w:ind w:right="88"/>
              <w:spacing w:after="0"/>
              <w:rPr>
                <w:sz w:val="20"/>
                <w:szCs w:val="20"/>
                <w:color w:val="auto"/>
              </w:rPr>
            </w:pPr>
            <w:r>
              <w:rPr>
                <w:rFonts w:ascii="Arial" w:cs="Arial" w:eastAsia="Arial" w:hAnsi="Arial"/>
                <w:sz w:val="14"/>
                <w:szCs w:val="14"/>
                <w:color w:val="auto"/>
              </w:rPr>
              <w:t>4,060</w:t>
            </w:r>
          </w:p>
        </w:tc>
        <w:tc>
          <w:tcPr>
            <w:tcW w:w="760" w:type="dxa"/>
            <w:vAlign w:val="bottom"/>
          </w:tcPr>
          <w:p>
            <w:pPr>
              <w:jc w:val="right"/>
              <w:ind w:right="348"/>
              <w:spacing w:after="0"/>
              <w:rPr>
                <w:sz w:val="20"/>
                <w:szCs w:val="20"/>
                <w:color w:val="auto"/>
              </w:rPr>
            </w:pPr>
            <w:r>
              <w:rPr>
                <w:rFonts w:ascii="Arial" w:cs="Arial" w:eastAsia="Arial" w:hAnsi="Arial"/>
                <w:sz w:val="14"/>
                <w:szCs w:val="14"/>
                <w:color w:val="auto"/>
              </w:rPr>
              <w:t>15</w:t>
            </w:r>
          </w:p>
        </w:tc>
        <w:tc>
          <w:tcPr>
            <w:tcW w:w="420" w:type="dxa"/>
            <w:vAlign w:val="bottom"/>
          </w:tcPr>
          <w:p>
            <w:pPr>
              <w:spacing w:after="0"/>
              <w:rPr>
                <w:sz w:val="18"/>
                <w:szCs w:val="18"/>
                <w:color w:val="auto"/>
              </w:rPr>
            </w:pPr>
          </w:p>
        </w:tc>
        <w:tc>
          <w:tcPr>
            <w:tcW w:w="660" w:type="dxa"/>
            <w:vAlign w:val="bottom"/>
          </w:tcPr>
          <w:p>
            <w:pPr>
              <w:jc w:val="right"/>
              <w:ind w:right="88"/>
              <w:spacing w:after="0"/>
              <w:rPr>
                <w:sz w:val="20"/>
                <w:szCs w:val="20"/>
                <w:color w:val="auto"/>
              </w:rPr>
            </w:pPr>
            <w:r>
              <w:rPr>
                <w:rFonts w:ascii="Arial" w:cs="Arial" w:eastAsia="Arial" w:hAnsi="Arial"/>
                <w:sz w:val="14"/>
                <w:szCs w:val="14"/>
                <w:color w:val="auto"/>
              </w:rPr>
              <w:t>2,287</w:t>
            </w:r>
          </w:p>
        </w:tc>
        <w:tc>
          <w:tcPr>
            <w:tcW w:w="1000" w:type="dxa"/>
            <w:vAlign w:val="bottom"/>
          </w:tcPr>
          <w:p>
            <w:pPr>
              <w:jc w:val="right"/>
              <w:ind w:right="608"/>
              <w:spacing w:after="0"/>
              <w:rPr>
                <w:sz w:val="20"/>
                <w:szCs w:val="20"/>
                <w:color w:val="auto"/>
              </w:rPr>
            </w:pPr>
            <w:r>
              <w:rPr>
                <w:rFonts w:ascii="Arial" w:cs="Arial" w:eastAsia="Arial" w:hAnsi="Arial"/>
                <w:sz w:val="14"/>
                <w:szCs w:val="14"/>
                <w:color w:val="auto"/>
              </w:rPr>
              <w:t>8</w:t>
            </w:r>
          </w:p>
        </w:tc>
        <w:tc>
          <w:tcPr>
            <w:tcW w:w="180" w:type="dxa"/>
            <w:vAlign w:val="bottom"/>
          </w:tcPr>
          <w:p>
            <w:pPr>
              <w:spacing w:after="0"/>
              <w:rPr>
                <w:sz w:val="18"/>
                <w:szCs w:val="18"/>
                <w:color w:val="auto"/>
              </w:rPr>
            </w:pPr>
          </w:p>
        </w:tc>
        <w:tc>
          <w:tcPr>
            <w:tcW w:w="660" w:type="dxa"/>
            <w:vAlign w:val="bottom"/>
          </w:tcPr>
          <w:p>
            <w:pPr>
              <w:jc w:val="right"/>
              <w:ind w:right="88"/>
              <w:spacing w:after="0"/>
              <w:rPr>
                <w:sz w:val="20"/>
                <w:szCs w:val="20"/>
                <w:color w:val="auto"/>
              </w:rPr>
            </w:pPr>
            <w:r>
              <w:rPr>
                <w:rFonts w:ascii="Arial" w:cs="Arial" w:eastAsia="Arial" w:hAnsi="Arial"/>
                <w:sz w:val="14"/>
                <w:szCs w:val="14"/>
                <w:color w:val="auto"/>
              </w:rPr>
              <w:t>2,215</w:t>
            </w:r>
          </w:p>
        </w:tc>
        <w:tc>
          <w:tcPr>
            <w:tcW w:w="560" w:type="dxa"/>
            <w:vAlign w:val="bottom"/>
          </w:tcPr>
          <w:p>
            <w:pPr>
              <w:jc w:val="right"/>
              <w:ind w:right="168"/>
              <w:spacing w:after="0"/>
              <w:rPr>
                <w:sz w:val="20"/>
                <w:szCs w:val="20"/>
                <w:color w:val="auto"/>
              </w:rPr>
            </w:pPr>
            <w:r>
              <w:rPr>
                <w:rFonts w:ascii="Arial" w:cs="Arial" w:eastAsia="Arial" w:hAnsi="Arial"/>
                <w:sz w:val="14"/>
                <w:szCs w:val="14"/>
                <w:color w:val="auto"/>
              </w:rPr>
              <w:t>8</w:t>
            </w:r>
          </w:p>
        </w:tc>
      </w:tr>
      <w:tr>
        <w:trPr>
          <w:trHeight w:val="216"/>
        </w:trPr>
        <w:tc>
          <w:tcPr>
            <w:tcW w:w="2520" w:type="dxa"/>
            <w:vAlign w:val="bottom"/>
          </w:tcPr>
          <w:p>
            <w:pPr>
              <w:ind w:left="180"/>
              <w:spacing w:after="0"/>
              <w:rPr>
                <w:sz w:val="20"/>
                <w:szCs w:val="20"/>
                <w:color w:val="auto"/>
              </w:rPr>
            </w:pPr>
            <w:r>
              <w:rPr>
                <w:rFonts w:ascii="Arial" w:cs="Arial" w:eastAsia="Arial" w:hAnsi="Arial"/>
                <w:sz w:val="14"/>
                <w:szCs w:val="14"/>
                <w:color w:val="auto"/>
              </w:rPr>
              <w:t>Discontinued operations</w:t>
            </w:r>
          </w:p>
        </w:tc>
        <w:tc>
          <w:tcPr>
            <w:tcW w:w="600" w:type="dxa"/>
            <w:vAlign w:val="bottom"/>
          </w:tcPr>
          <w:p>
            <w:pPr>
              <w:spacing w:after="0"/>
              <w:rPr>
                <w:sz w:val="18"/>
                <w:szCs w:val="18"/>
                <w:color w:val="auto"/>
              </w:rPr>
            </w:pPr>
          </w:p>
        </w:tc>
        <w:tc>
          <w:tcPr>
            <w:tcW w:w="6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348"/>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8"/>
                <w:szCs w:val="18"/>
                <w:color w:val="auto"/>
              </w:rPr>
            </w:pPr>
          </w:p>
        </w:tc>
        <w:tc>
          <w:tcPr>
            <w:tcW w:w="6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60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660" w:type="dxa"/>
            <w:vAlign w:val="bottom"/>
          </w:tcPr>
          <w:p>
            <w:pPr>
              <w:jc w:val="right"/>
              <w:ind w:right="88"/>
              <w:spacing w:after="0"/>
              <w:rPr>
                <w:sz w:val="20"/>
                <w:szCs w:val="20"/>
                <w:color w:val="auto"/>
              </w:rPr>
            </w:pPr>
            <w:r>
              <w:rPr>
                <w:rFonts w:ascii="Arial" w:cs="Arial" w:eastAsia="Arial" w:hAnsi="Arial"/>
                <w:sz w:val="14"/>
                <w:szCs w:val="14"/>
                <w:color w:val="auto"/>
              </w:rPr>
              <w:t>62</w:t>
            </w:r>
          </w:p>
        </w:tc>
        <w:tc>
          <w:tcPr>
            <w:tcW w:w="560" w:type="dxa"/>
            <w:vAlign w:val="bottom"/>
          </w:tcPr>
          <w:p>
            <w:pPr>
              <w:jc w:val="right"/>
              <w:ind w:right="168"/>
              <w:spacing w:after="0"/>
              <w:rPr>
                <w:sz w:val="20"/>
                <w:szCs w:val="20"/>
                <w:color w:val="auto"/>
              </w:rPr>
            </w:pPr>
            <w:r>
              <w:rPr>
                <w:rFonts w:ascii="Arial" w:cs="Arial" w:eastAsia="Arial" w:hAnsi="Arial"/>
                <w:sz w:val="14"/>
                <w:szCs w:val="14"/>
                <w:color w:val="auto"/>
              </w:rPr>
              <w:t>--</w:t>
            </w:r>
          </w:p>
        </w:tc>
      </w:tr>
      <w:tr>
        <w:trPr>
          <w:trHeight w:val="216"/>
        </w:trPr>
        <w:tc>
          <w:tcPr>
            <w:tcW w:w="2520" w:type="dxa"/>
            <w:vAlign w:val="bottom"/>
          </w:tcPr>
          <w:p>
            <w:pPr>
              <w:ind w:left="180"/>
              <w:spacing w:after="0"/>
              <w:rPr>
                <w:sz w:val="20"/>
                <w:szCs w:val="20"/>
                <w:color w:val="auto"/>
              </w:rPr>
            </w:pPr>
            <w:r>
              <w:rPr>
                <w:rFonts w:ascii="Arial" w:cs="Arial" w:eastAsia="Arial" w:hAnsi="Arial"/>
                <w:sz w:val="14"/>
                <w:szCs w:val="14"/>
                <w:color w:val="auto"/>
              </w:rPr>
              <w:t>All other</w:t>
            </w:r>
          </w:p>
        </w:tc>
        <w:tc>
          <w:tcPr>
            <w:tcW w:w="600" w:type="dxa"/>
            <w:vAlign w:val="bottom"/>
          </w:tcPr>
          <w:p>
            <w:pPr>
              <w:spacing w:after="0"/>
              <w:rPr>
                <w:sz w:val="18"/>
                <w:szCs w:val="18"/>
                <w:color w:val="auto"/>
              </w:rPr>
            </w:pPr>
          </w:p>
        </w:tc>
        <w:tc>
          <w:tcPr>
            <w:tcW w:w="660" w:type="dxa"/>
            <w:vAlign w:val="bottom"/>
          </w:tcPr>
          <w:p>
            <w:pPr>
              <w:jc w:val="right"/>
              <w:ind w:right="88"/>
              <w:spacing w:after="0"/>
              <w:rPr>
                <w:sz w:val="20"/>
                <w:szCs w:val="20"/>
                <w:color w:val="auto"/>
              </w:rPr>
            </w:pPr>
            <w:r>
              <w:rPr>
                <w:rFonts w:ascii="Arial" w:cs="Arial" w:eastAsia="Arial" w:hAnsi="Arial"/>
                <w:sz w:val="14"/>
                <w:szCs w:val="14"/>
                <w:color w:val="auto"/>
              </w:rPr>
              <w:t>2,843</w:t>
            </w:r>
          </w:p>
        </w:tc>
        <w:tc>
          <w:tcPr>
            <w:tcW w:w="760" w:type="dxa"/>
            <w:vAlign w:val="bottom"/>
          </w:tcPr>
          <w:p>
            <w:pPr>
              <w:jc w:val="right"/>
              <w:ind w:right="348"/>
              <w:spacing w:after="0"/>
              <w:rPr>
                <w:sz w:val="20"/>
                <w:szCs w:val="20"/>
                <w:color w:val="auto"/>
              </w:rPr>
            </w:pPr>
            <w:r>
              <w:rPr>
                <w:rFonts w:ascii="Arial" w:cs="Arial" w:eastAsia="Arial" w:hAnsi="Arial"/>
                <w:sz w:val="14"/>
                <w:szCs w:val="14"/>
                <w:color w:val="auto"/>
              </w:rPr>
              <w:t>11</w:t>
            </w:r>
          </w:p>
        </w:tc>
        <w:tc>
          <w:tcPr>
            <w:tcW w:w="420" w:type="dxa"/>
            <w:vAlign w:val="bottom"/>
          </w:tcPr>
          <w:p>
            <w:pPr>
              <w:spacing w:after="0"/>
              <w:rPr>
                <w:sz w:val="18"/>
                <w:szCs w:val="18"/>
                <w:color w:val="auto"/>
              </w:rPr>
            </w:pPr>
          </w:p>
        </w:tc>
        <w:tc>
          <w:tcPr>
            <w:tcW w:w="660" w:type="dxa"/>
            <w:vAlign w:val="bottom"/>
          </w:tcPr>
          <w:p>
            <w:pPr>
              <w:jc w:val="right"/>
              <w:ind w:right="88"/>
              <w:spacing w:after="0"/>
              <w:rPr>
                <w:sz w:val="20"/>
                <w:szCs w:val="20"/>
                <w:color w:val="auto"/>
              </w:rPr>
            </w:pPr>
            <w:r>
              <w:rPr>
                <w:rFonts w:ascii="Arial" w:cs="Arial" w:eastAsia="Arial" w:hAnsi="Arial"/>
                <w:sz w:val="14"/>
                <w:szCs w:val="14"/>
                <w:color w:val="auto"/>
              </w:rPr>
              <w:t>2,182</w:t>
            </w:r>
          </w:p>
        </w:tc>
        <w:tc>
          <w:tcPr>
            <w:tcW w:w="1000" w:type="dxa"/>
            <w:vAlign w:val="bottom"/>
          </w:tcPr>
          <w:p>
            <w:pPr>
              <w:jc w:val="right"/>
              <w:ind w:right="608"/>
              <w:spacing w:after="0"/>
              <w:rPr>
                <w:sz w:val="20"/>
                <w:szCs w:val="20"/>
                <w:color w:val="auto"/>
              </w:rPr>
            </w:pPr>
            <w:r>
              <w:rPr>
                <w:rFonts w:ascii="Arial" w:cs="Arial" w:eastAsia="Arial" w:hAnsi="Arial"/>
                <w:sz w:val="14"/>
                <w:szCs w:val="14"/>
                <w:color w:val="auto"/>
              </w:rPr>
              <w:t>8</w:t>
            </w:r>
          </w:p>
        </w:tc>
        <w:tc>
          <w:tcPr>
            <w:tcW w:w="180" w:type="dxa"/>
            <w:vAlign w:val="bottom"/>
          </w:tcPr>
          <w:p>
            <w:pPr>
              <w:spacing w:after="0"/>
              <w:rPr>
                <w:sz w:val="18"/>
                <w:szCs w:val="18"/>
                <w:color w:val="auto"/>
              </w:rPr>
            </w:pPr>
          </w:p>
        </w:tc>
        <w:tc>
          <w:tcPr>
            <w:tcW w:w="660" w:type="dxa"/>
            <w:vAlign w:val="bottom"/>
          </w:tcPr>
          <w:p>
            <w:pPr>
              <w:jc w:val="right"/>
              <w:ind w:right="88"/>
              <w:spacing w:after="0"/>
              <w:rPr>
                <w:sz w:val="20"/>
                <w:szCs w:val="20"/>
                <w:color w:val="auto"/>
              </w:rPr>
            </w:pPr>
            <w:r>
              <w:rPr>
                <w:rFonts w:ascii="Arial" w:cs="Arial" w:eastAsia="Arial" w:hAnsi="Arial"/>
                <w:sz w:val="14"/>
                <w:szCs w:val="14"/>
                <w:color w:val="auto"/>
              </w:rPr>
              <w:t>1,923</w:t>
            </w:r>
          </w:p>
        </w:tc>
        <w:tc>
          <w:tcPr>
            <w:tcW w:w="560" w:type="dxa"/>
            <w:vAlign w:val="bottom"/>
          </w:tcPr>
          <w:p>
            <w:pPr>
              <w:jc w:val="right"/>
              <w:ind w:right="168"/>
              <w:spacing w:after="0"/>
              <w:rPr>
                <w:sz w:val="20"/>
                <w:szCs w:val="20"/>
                <w:color w:val="auto"/>
              </w:rPr>
            </w:pPr>
            <w:r>
              <w:rPr>
                <w:rFonts w:ascii="Arial" w:cs="Arial" w:eastAsia="Arial" w:hAnsi="Arial"/>
                <w:sz w:val="14"/>
                <w:szCs w:val="14"/>
                <w:color w:val="auto"/>
              </w:rPr>
              <w:t>7</w:t>
            </w:r>
          </w:p>
        </w:tc>
      </w:tr>
      <w:tr>
        <w:trPr>
          <w:trHeight w:val="222"/>
        </w:trPr>
        <w:tc>
          <w:tcPr>
            <w:tcW w:w="2520" w:type="dxa"/>
            <w:vAlign w:val="bottom"/>
          </w:tcPr>
          <w:p>
            <w:pPr>
              <w:ind w:left="180"/>
              <w:spacing w:after="0"/>
              <w:rPr>
                <w:sz w:val="20"/>
                <w:szCs w:val="20"/>
                <w:color w:val="auto"/>
              </w:rPr>
            </w:pPr>
            <w:r>
              <w:rPr>
                <w:rFonts w:ascii="Arial" w:cs="Arial" w:eastAsia="Arial" w:hAnsi="Arial"/>
                <w:sz w:val="14"/>
                <w:szCs w:val="14"/>
                <w:color w:val="auto"/>
              </w:rPr>
              <w:t>Intersegment receivables</w:t>
            </w:r>
          </w:p>
        </w:tc>
        <w:tc>
          <w:tcPr>
            <w:tcW w:w="6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(885 )</w:t>
            </w:r>
          </w:p>
        </w:tc>
        <w:tc>
          <w:tcPr>
            <w:tcW w:w="76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(3 )</w:t>
            </w:r>
          </w:p>
        </w:tc>
        <w:tc>
          <w:tcPr>
            <w:tcW w:w="4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(1,036 )</w:t>
            </w:r>
          </w:p>
        </w:tc>
        <w:tc>
          <w:tcPr>
            <w:tcW w:w="100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color w:val="auto"/>
              </w:rPr>
              <w:t>(4 )</w:t>
            </w: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(1,701 )</w:t>
            </w:r>
          </w:p>
        </w:tc>
        <w:tc>
          <w:tcPr>
            <w:tcW w:w="5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(6 )</w:t>
            </w:r>
          </w:p>
        </w:tc>
      </w:tr>
      <w:tr>
        <w:trPr>
          <w:trHeight w:val="224"/>
        </w:trPr>
        <w:tc>
          <w:tcPr>
            <w:tcW w:w="2520" w:type="dxa"/>
            <w:vAlign w:val="bottom"/>
            <w:tcBorders>
              <w:bottom w:val="single" w:sz="8" w:color="auto"/>
            </w:tcBorders>
          </w:tcPr>
          <w:p>
            <w:pPr>
              <w:ind w:left="420"/>
              <w:spacing w:after="0"/>
              <w:rPr>
                <w:sz w:val="20"/>
                <w:szCs w:val="20"/>
                <w:color w:val="auto"/>
              </w:rPr>
            </w:pPr>
            <w:r>
              <w:rPr>
                <w:rFonts w:ascii="Arial" w:cs="Arial" w:eastAsia="Arial" w:hAnsi="Arial"/>
                <w:sz w:val="14"/>
                <w:szCs w:val="14"/>
                <w:color w:val="auto"/>
              </w:rPr>
              <w:t>Total</w:t>
            </w:r>
          </w:p>
        </w:tc>
        <w:tc>
          <w:tcPr>
            <w:tcW w:w="6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26,400</w:t>
            </w:r>
          </w:p>
        </w:tc>
        <w:tc>
          <w:tcPr>
            <w:tcW w:w="76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100 %</w:t>
            </w:r>
          </w:p>
        </w:tc>
        <w:tc>
          <w:tcPr>
            <w:tcW w:w="4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28,717</w:t>
            </w:r>
          </w:p>
        </w:tc>
        <w:tc>
          <w:tcPr>
            <w:tcW w:w="100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color w:val="auto"/>
              </w:rPr>
              <w:t>100 %</w:t>
            </w: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27,699</w:t>
            </w:r>
          </w:p>
        </w:tc>
        <w:tc>
          <w:tcPr>
            <w:tcW w:w="5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100 %</w:t>
            </w:r>
          </w:p>
        </w:tc>
      </w:tr>
      <w:tr>
        <w:trPr>
          <w:trHeight w:val="182"/>
        </w:trPr>
        <w:tc>
          <w:tcPr>
            <w:tcW w:w="2520" w:type="dxa"/>
            <w:vAlign w:val="bottom"/>
          </w:tcPr>
          <w:p>
            <w:pPr>
              <w:ind w:left="20"/>
              <w:spacing w:after="0"/>
              <w:rPr>
                <w:sz w:val="20"/>
                <w:szCs w:val="20"/>
                <w:color w:val="auto"/>
              </w:rPr>
            </w:pPr>
            <w:r>
              <w:rPr>
                <w:rFonts w:ascii="Arial" w:cs="Arial" w:eastAsia="Arial" w:hAnsi="Arial"/>
                <w:sz w:val="14"/>
                <w:szCs w:val="14"/>
                <w:color w:val="auto"/>
              </w:rPr>
              <w:t>EXPENDITURES FOR PROPERTY,</w:t>
            </w:r>
          </w:p>
        </w:tc>
        <w:tc>
          <w:tcPr>
            <w:tcW w:w="6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60" w:type="dxa"/>
            <w:vAlign w:val="bottom"/>
          </w:tcPr>
          <w:p>
            <w:pPr>
              <w:spacing w:after="0"/>
              <w:rPr>
                <w:sz w:val="15"/>
                <w:szCs w:val="15"/>
                <w:color w:val="auto"/>
              </w:rPr>
            </w:pPr>
          </w:p>
        </w:tc>
      </w:tr>
      <w:tr>
        <w:trPr>
          <w:trHeight w:val="172"/>
        </w:trPr>
        <w:tc>
          <w:tcPr>
            <w:tcW w:w="2520" w:type="dxa"/>
            <w:vAlign w:val="bottom"/>
          </w:tcPr>
          <w:p>
            <w:pPr>
              <w:ind w:left="20"/>
              <w:spacing w:after="0"/>
              <w:rPr>
                <w:sz w:val="20"/>
                <w:szCs w:val="20"/>
                <w:color w:val="auto"/>
              </w:rPr>
            </w:pPr>
            <w:r>
              <w:rPr>
                <w:rFonts w:ascii="Arial" w:cs="Arial" w:eastAsia="Arial" w:hAnsi="Arial"/>
                <w:sz w:val="14"/>
                <w:szCs w:val="14"/>
                <w:color w:val="auto"/>
              </w:rPr>
              <w:t>PLANT &amp; EQUIPMENT</w:t>
            </w:r>
          </w:p>
        </w:tc>
        <w:tc>
          <w:tcPr>
            <w:tcW w:w="6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216"/>
        </w:trPr>
        <w:tc>
          <w:tcPr>
            <w:tcW w:w="2520" w:type="dxa"/>
            <w:vAlign w:val="bottom"/>
          </w:tcPr>
          <w:p>
            <w:pPr>
              <w:ind w:left="180"/>
              <w:spacing w:after="0"/>
              <w:rPr>
                <w:sz w:val="20"/>
                <w:szCs w:val="20"/>
                <w:color w:val="auto"/>
              </w:rPr>
            </w:pPr>
            <w:r>
              <w:rPr>
                <w:rFonts w:ascii="Arial" w:cs="Arial" w:eastAsia="Arial" w:hAnsi="Arial"/>
                <w:sz w:val="14"/>
                <w:szCs w:val="14"/>
                <w:color w:val="auto"/>
              </w:rPr>
              <w:t>SDG&amp;E</w:t>
            </w: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88"/>
              <w:spacing w:after="0"/>
              <w:rPr>
                <w:sz w:val="20"/>
                <w:szCs w:val="20"/>
                <w:color w:val="auto"/>
              </w:rPr>
            </w:pPr>
            <w:r>
              <w:rPr>
                <w:rFonts w:ascii="Arial" w:cs="Arial" w:eastAsia="Arial" w:hAnsi="Arial"/>
                <w:sz w:val="14"/>
                <w:szCs w:val="14"/>
                <w:color w:val="auto"/>
              </w:rPr>
              <w:t>884</w:t>
            </w:r>
          </w:p>
        </w:tc>
        <w:tc>
          <w:tcPr>
            <w:tcW w:w="760" w:type="dxa"/>
            <w:vAlign w:val="bottom"/>
          </w:tcPr>
          <w:p>
            <w:pPr>
              <w:jc w:val="right"/>
              <w:ind w:right="208"/>
              <w:spacing w:after="0"/>
              <w:rPr>
                <w:sz w:val="20"/>
                <w:szCs w:val="20"/>
                <w:color w:val="auto"/>
              </w:rPr>
            </w:pPr>
            <w:r>
              <w:rPr>
                <w:rFonts w:ascii="Arial" w:cs="Arial" w:eastAsia="Arial" w:hAnsi="Arial"/>
                <w:sz w:val="14"/>
                <w:szCs w:val="14"/>
                <w:color w:val="auto"/>
              </w:rPr>
              <w:t>43 %</w:t>
            </w:r>
          </w:p>
        </w:tc>
        <w:tc>
          <w:tcPr>
            <w:tcW w:w="4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88"/>
              <w:spacing w:after="0"/>
              <w:rPr>
                <w:sz w:val="20"/>
                <w:szCs w:val="20"/>
                <w:color w:val="auto"/>
              </w:rPr>
            </w:pPr>
            <w:r>
              <w:rPr>
                <w:rFonts w:ascii="Arial" w:cs="Arial" w:eastAsia="Arial" w:hAnsi="Arial"/>
                <w:sz w:val="14"/>
                <w:szCs w:val="14"/>
                <w:color w:val="auto"/>
              </w:rPr>
              <w:t>714</w:t>
            </w:r>
          </w:p>
        </w:tc>
        <w:tc>
          <w:tcPr>
            <w:tcW w:w="1000" w:type="dxa"/>
            <w:vAlign w:val="bottom"/>
          </w:tcPr>
          <w:p>
            <w:pPr>
              <w:jc w:val="right"/>
              <w:ind w:right="448"/>
              <w:spacing w:after="0"/>
              <w:rPr>
                <w:sz w:val="20"/>
                <w:szCs w:val="20"/>
                <w:color w:val="auto"/>
              </w:rPr>
            </w:pPr>
            <w:r>
              <w:rPr>
                <w:rFonts w:ascii="Arial" w:cs="Arial" w:eastAsia="Arial" w:hAnsi="Arial"/>
                <w:sz w:val="14"/>
                <w:szCs w:val="14"/>
                <w:color w:val="auto"/>
              </w:rPr>
              <w:t>35 %</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88"/>
              <w:spacing w:after="0"/>
              <w:rPr>
                <w:sz w:val="20"/>
                <w:szCs w:val="20"/>
                <w:color w:val="auto"/>
              </w:rPr>
            </w:pPr>
            <w:r>
              <w:rPr>
                <w:rFonts w:ascii="Arial" w:cs="Arial" w:eastAsia="Arial" w:hAnsi="Arial"/>
                <w:sz w:val="14"/>
                <w:szCs w:val="14"/>
                <w:color w:val="auto"/>
              </w:rPr>
              <w:t>1,070</w:t>
            </w:r>
          </w:p>
        </w:tc>
        <w:tc>
          <w:tcPr>
            <w:tcW w:w="560" w:type="dxa"/>
            <w:vAlign w:val="bottom"/>
          </w:tcPr>
          <w:p>
            <w:pPr>
              <w:jc w:val="right"/>
              <w:ind w:right="8"/>
              <w:spacing w:after="0"/>
              <w:rPr>
                <w:sz w:val="20"/>
                <w:szCs w:val="20"/>
                <w:color w:val="auto"/>
              </w:rPr>
            </w:pPr>
            <w:r>
              <w:rPr>
                <w:rFonts w:ascii="Arial" w:cs="Arial" w:eastAsia="Arial" w:hAnsi="Arial"/>
                <w:sz w:val="14"/>
                <w:szCs w:val="14"/>
                <w:color w:val="auto"/>
              </w:rPr>
              <w:t>56 %</w:t>
            </w:r>
          </w:p>
        </w:tc>
      </w:tr>
      <w:tr>
        <w:trPr>
          <w:trHeight w:val="216"/>
        </w:trPr>
        <w:tc>
          <w:tcPr>
            <w:tcW w:w="2520" w:type="dxa"/>
            <w:vAlign w:val="bottom"/>
          </w:tcPr>
          <w:p>
            <w:pPr>
              <w:ind w:left="180"/>
              <w:spacing w:after="0"/>
              <w:rPr>
                <w:sz w:val="20"/>
                <w:szCs w:val="20"/>
                <w:color w:val="auto"/>
              </w:rPr>
            </w:pPr>
            <w:r>
              <w:rPr>
                <w:rFonts w:ascii="Arial" w:cs="Arial" w:eastAsia="Arial" w:hAnsi="Arial"/>
                <w:sz w:val="14"/>
                <w:szCs w:val="14"/>
                <w:color w:val="auto"/>
              </w:rPr>
              <w:t>SoCalGas</w:t>
            </w:r>
          </w:p>
        </w:tc>
        <w:tc>
          <w:tcPr>
            <w:tcW w:w="600" w:type="dxa"/>
            <w:vAlign w:val="bottom"/>
          </w:tcPr>
          <w:p>
            <w:pPr>
              <w:spacing w:after="0"/>
              <w:rPr>
                <w:sz w:val="18"/>
                <w:szCs w:val="18"/>
                <w:color w:val="auto"/>
              </w:rPr>
            </w:pPr>
          </w:p>
        </w:tc>
        <w:tc>
          <w:tcPr>
            <w:tcW w:w="660" w:type="dxa"/>
            <w:vAlign w:val="bottom"/>
          </w:tcPr>
          <w:p>
            <w:pPr>
              <w:jc w:val="right"/>
              <w:ind w:right="88"/>
              <w:spacing w:after="0"/>
              <w:rPr>
                <w:sz w:val="20"/>
                <w:szCs w:val="20"/>
                <w:color w:val="auto"/>
              </w:rPr>
            </w:pPr>
            <w:r>
              <w:rPr>
                <w:rFonts w:ascii="Arial" w:cs="Arial" w:eastAsia="Arial" w:hAnsi="Arial"/>
                <w:sz w:val="14"/>
                <w:szCs w:val="14"/>
                <w:color w:val="auto"/>
              </w:rPr>
              <w:t>454</w:t>
            </w:r>
          </w:p>
        </w:tc>
        <w:tc>
          <w:tcPr>
            <w:tcW w:w="760" w:type="dxa"/>
            <w:vAlign w:val="bottom"/>
          </w:tcPr>
          <w:p>
            <w:pPr>
              <w:jc w:val="right"/>
              <w:ind w:right="348"/>
              <w:spacing w:after="0"/>
              <w:rPr>
                <w:sz w:val="20"/>
                <w:szCs w:val="20"/>
                <w:color w:val="auto"/>
              </w:rPr>
            </w:pPr>
            <w:r>
              <w:rPr>
                <w:rFonts w:ascii="Arial" w:cs="Arial" w:eastAsia="Arial" w:hAnsi="Arial"/>
                <w:sz w:val="14"/>
                <w:szCs w:val="14"/>
                <w:color w:val="auto"/>
              </w:rPr>
              <w:t>22</w:t>
            </w:r>
          </w:p>
        </w:tc>
        <w:tc>
          <w:tcPr>
            <w:tcW w:w="420" w:type="dxa"/>
            <w:vAlign w:val="bottom"/>
          </w:tcPr>
          <w:p>
            <w:pPr>
              <w:spacing w:after="0"/>
              <w:rPr>
                <w:sz w:val="18"/>
                <w:szCs w:val="18"/>
                <w:color w:val="auto"/>
              </w:rPr>
            </w:pPr>
          </w:p>
        </w:tc>
        <w:tc>
          <w:tcPr>
            <w:tcW w:w="660" w:type="dxa"/>
            <w:vAlign w:val="bottom"/>
          </w:tcPr>
          <w:p>
            <w:pPr>
              <w:jc w:val="right"/>
              <w:ind w:right="88"/>
              <w:spacing w:after="0"/>
              <w:rPr>
                <w:sz w:val="20"/>
                <w:szCs w:val="20"/>
                <w:color w:val="auto"/>
              </w:rPr>
            </w:pPr>
            <w:r>
              <w:rPr>
                <w:rFonts w:ascii="Arial" w:cs="Arial" w:eastAsia="Arial" w:hAnsi="Arial"/>
                <w:sz w:val="14"/>
                <w:szCs w:val="14"/>
                <w:color w:val="auto"/>
              </w:rPr>
              <w:t>457</w:t>
            </w:r>
          </w:p>
        </w:tc>
        <w:tc>
          <w:tcPr>
            <w:tcW w:w="1000" w:type="dxa"/>
            <w:vAlign w:val="bottom"/>
          </w:tcPr>
          <w:p>
            <w:pPr>
              <w:jc w:val="right"/>
              <w:ind w:right="608"/>
              <w:spacing w:after="0"/>
              <w:rPr>
                <w:sz w:val="20"/>
                <w:szCs w:val="20"/>
                <w:color w:val="auto"/>
              </w:rPr>
            </w:pPr>
            <w:r>
              <w:rPr>
                <w:rFonts w:ascii="Arial" w:cs="Arial" w:eastAsia="Arial" w:hAnsi="Arial"/>
                <w:sz w:val="14"/>
                <w:szCs w:val="14"/>
                <w:color w:val="auto"/>
              </w:rPr>
              <w:t>23</w:t>
            </w:r>
          </w:p>
        </w:tc>
        <w:tc>
          <w:tcPr>
            <w:tcW w:w="180" w:type="dxa"/>
            <w:vAlign w:val="bottom"/>
          </w:tcPr>
          <w:p>
            <w:pPr>
              <w:spacing w:after="0"/>
              <w:rPr>
                <w:sz w:val="18"/>
                <w:szCs w:val="18"/>
                <w:color w:val="auto"/>
              </w:rPr>
            </w:pPr>
          </w:p>
        </w:tc>
        <w:tc>
          <w:tcPr>
            <w:tcW w:w="660" w:type="dxa"/>
            <w:vAlign w:val="bottom"/>
          </w:tcPr>
          <w:p>
            <w:pPr>
              <w:jc w:val="right"/>
              <w:ind w:right="88"/>
              <w:spacing w:after="0"/>
              <w:rPr>
                <w:sz w:val="20"/>
                <w:szCs w:val="20"/>
                <w:color w:val="auto"/>
              </w:rPr>
            </w:pPr>
            <w:r>
              <w:rPr>
                <w:rFonts w:ascii="Arial" w:cs="Arial" w:eastAsia="Arial" w:hAnsi="Arial"/>
                <w:sz w:val="14"/>
                <w:szCs w:val="14"/>
                <w:color w:val="auto"/>
              </w:rPr>
              <w:t>413</w:t>
            </w:r>
          </w:p>
        </w:tc>
        <w:tc>
          <w:tcPr>
            <w:tcW w:w="560" w:type="dxa"/>
            <w:vAlign w:val="bottom"/>
          </w:tcPr>
          <w:p>
            <w:pPr>
              <w:jc w:val="right"/>
              <w:ind w:right="168"/>
              <w:spacing w:after="0"/>
              <w:rPr>
                <w:sz w:val="20"/>
                <w:szCs w:val="20"/>
                <w:color w:val="auto"/>
              </w:rPr>
            </w:pPr>
            <w:r>
              <w:rPr>
                <w:rFonts w:ascii="Arial" w:cs="Arial" w:eastAsia="Arial" w:hAnsi="Arial"/>
                <w:sz w:val="14"/>
                <w:szCs w:val="14"/>
                <w:color w:val="auto"/>
              </w:rPr>
              <w:t>22</w:t>
            </w:r>
          </w:p>
        </w:tc>
      </w:tr>
      <w:tr>
        <w:trPr>
          <w:trHeight w:val="216"/>
        </w:trPr>
        <w:tc>
          <w:tcPr>
            <w:tcW w:w="2520" w:type="dxa"/>
            <w:vAlign w:val="bottom"/>
          </w:tcPr>
          <w:p>
            <w:pPr>
              <w:ind w:left="180"/>
              <w:spacing w:after="0"/>
              <w:rPr>
                <w:sz w:val="20"/>
                <w:szCs w:val="20"/>
                <w:color w:val="auto"/>
              </w:rPr>
            </w:pPr>
            <w:r>
              <w:rPr>
                <w:rFonts w:ascii="Arial" w:cs="Arial" w:eastAsia="Arial" w:hAnsi="Arial"/>
                <w:sz w:val="14"/>
                <w:szCs w:val="14"/>
                <w:color w:val="auto"/>
              </w:rPr>
              <w:t>Sempra Commodities</w:t>
            </w:r>
          </w:p>
        </w:tc>
        <w:tc>
          <w:tcPr>
            <w:tcW w:w="600" w:type="dxa"/>
            <w:vAlign w:val="bottom"/>
          </w:tcPr>
          <w:p>
            <w:pPr>
              <w:spacing w:after="0"/>
              <w:rPr>
                <w:sz w:val="18"/>
                <w:szCs w:val="18"/>
                <w:color w:val="auto"/>
              </w:rPr>
            </w:pPr>
          </w:p>
        </w:tc>
        <w:tc>
          <w:tcPr>
            <w:tcW w:w="660" w:type="dxa"/>
            <w:vAlign w:val="bottom"/>
          </w:tcPr>
          <w:p>
            <w:pPr>
              <w:jc w:val="right"/>
              <w:ind w:right="88"/>
              <w:spacing w:after="0"/>
              <w:rPr>
                <w:sz w:val="20"/>
                <w:szCs w:val="20"/>
                <w:color w:val="auto"/>
              </w:rPr>
            </w:pPr>
            <w:r>
              <w:rPr>
                <w:rFonts w:ascii="Arial" w:cs="Arial" w:eastAsia="Arial" w:hAnsi="Arial"/>
                <w:sz w:val="14"/>
                <w:szCs w:val="14"/>
                <w:color w:val="auto"/>
              </w:rPr>
              <w:t>21</w:t>
            </w:r>
          </w:p>
        </w:tc>
        <w:tc>
          <w:tcPr>
            <w:tcW w:w="760" w:type="dxa"/>
            <w:vAlign w:val="bottom"/>
          </w:tcPr>
          <w:p>
            <w:pPr>
              <w:jc w:val="right"/>
              <w:ind w:right="348"/>
              <w:spacing w:after="0"/>
              <w:rPr>
                <w:sz w:val="20"/>
                <w:szCs w:val="20"/>
                <w:color w:val="auto"/>
              </w:rPr>
            </w:pPr>
            <w:r>
              <w:rPr>
                <w:rFonts w:ascii="Arial" w:cs="Arial" w:eastAsia="Arial" w:hAnsi="Arial"/>
                <w:sz w:val="14"/>
                <w:szCs w:val="14"/>
                <w:color w:val="auto"/>
              </w:rPr>
              <w:t>1</w:t>
            </w:r>
          </w:p>
        </w:tc>
        <w:tc>
          <w:tcPr>
            <w:tcW w:w="420" w:type="dxa"/>
            <w:vAlign w:val="bottom"/>
          </w:tcPr>
          <w:p>
            <w:pPr>
              <w:spacing w:after="0"/>
              <w:rPr>
                <w:sz w:val="18"/>
                <w:szCs w:val="18"/>
                <w:color w:val="auto"/>
              </w:rPr>
            </w:pPr>
          </w:p>
        </w:tc>
        <w:tc>
          <w:tcPr>
            <w:tcW w:w="660" w:type="dxa"/>
            <w:vAlign w:val="bottom"/>
          </w:tcPr>
          <w:p>
            <w:pPr>
              <w:jc w:val="right"/>
              <w:ind w:right="88"/>
              <w:spacing w:after="0"/>
              <w:rPr>
                <w:sz w:val="20"/>
                <w:szCs w:val="20"/>
                <w:color w:val="auto"/>
              </w:rPr>
            </w:pPr>
            <w:r>
              <w:rPr>
                <w:rFonts w:ascii="Arial" w:cs="Arial" w:eastAsia="Arial" w:hAnsi="Arial"/>
                <w:sz w:val="14"/>
                <w:szCs w:val="14"/>
                <w:color w:val="auto"/>
              </w:rPr>
              <w:t>43</w:t>
            </w:r>
          </w:p>
        </w:tc>
        <w:tc>
          <w:tcPr>
            <w:tcW w:w="1000" w:type="dxa"/>
            <w:vAlign w:val="bottom"/>
          </w:tcPr>
          <w:p>
            <w:pPr>
              <w:jc w:val="right"/>
              <w:ind w:right="608"/>
              <w:spacing w:after="0"/>
              <w:rPr>
                <w:sz w:val="20"/>
                <w:szCs w:val="20"/>
                <w:color w:val="auto"/>
              </w:rPr>
            </w:pPr>
            <w:r>
              <w:rPr>
                <w:rFonts w:ascii="Arial" w:cs="Arial" w:eastAsia="Arial" w:hAnsi="Arial"/>
                <w:sz w:val="14"/>
                <w:szCs w:val="14"/>
                <w:color w:val="auto"/>
              </w:rPr>
              <w:t>2</w:t>
            </w:r>
          </w:p>
        </w:tc>
        <w:tc>
          <w:tcPr>
            <w:tcW w:w="180" w:type="dxa"/>
            <w:vAlign w:val="bottom"/>
          </w:tcPr>
          <w:p>
            <w:pPr>
              <w:spacing w:after="0"/>
              <w:rPr>
                <w:sz w:val="18"/>
                <w:szCs w:val="18"/>
                <w:color w:val="auto"/>
              </w:rPr>
            </w:pPr>
          </w:p>
        </w:tc>
        <w:tc>
          <w:tcPr>
            <w:tcW w:w="660" w:type="dxa"/>
            <w:vAlign w:val="bottom"/>
          </w:tcPr>
          <w:p>
            <w:pPr>
              <w:jc w:val="right"/>
              <w:ind w:right="88"/>
              <w:spacing w:after="0"/>
              <w:rPr>
                <w:sz w:val="20"/>
                <w:szCs w:val="20"/>
                <w:color w:val="auto"/>
              </w:rPr>
            </w:pPr>
            <w:r>
              <w:rPr>
                <w:rFonts w:ascii="Arial" w:cs="Arial" w:eastAsia="Arial" w:hAnsi="Arial"/>
                <w:sz w:val="14"/>
                <w:szCs w:val="14"/>
                <w:color w:val="auto"/>
              </w:rPr>
              <w:t>29</w:t>
            </w:r>
          </w:p>
        </w:tc>
        <w:tc>
          <w:tcPr>
            <w:tcW w:w="560" w:type="dxa"/>
            <w:vAlign w:val="bottom"/>
          </w:tcPr>
          <w:p>
            <w:pPr>
              <w:jc w:val="right"/>
              <w:ind w:right="168"/>
              <w:spacing w:after="0"/>
              <w:rPr>
                <w:sz w:val="20"/>
                <w:szCs w:val="20"/>
                <w:color w:val="auto"/>
              </w:rPr>
            </w:pPr>
            <w:r>
              <w:rPr>
                <w:rFonts w:ascii="Arial" w:cs="Arial" w:eastAsia="Arial" w:hAnsi="Arial"/>
                <w:sz w:val="14"/>
                <w:szCs w:val="14"/>
                <w:color w:val="auto"/>
              </w:rPr>
              <w:t>2</w:t>
            </w:r>
          </w:p>
        </w:tc>
      </w:tr>
      <w:tr>
        <w:trPr>
          <w:trHeight w:val="216"/>
        </w:trPr>
        <w:tc>
          <w:tcPr>
            <w:tcW w:w="2520" w:type="dxa"/>
            <w:vAlign w:val="bottom"/>
          </w:tcPr>
          <w:p>
            <w:pPr>
              <w:ind w:left="180"/>
              <w:spacing w:after="0"/>
              <w:rPr>
                <w:sz w:val="20"/>
                <w:szCs w:val="20"/>
                <w:color w:val="auto"/>
              </w:rPr>
            </w:pPr>
            <w:r>
              <w:rPr>
                <w:rFonts w:ascii="Arial" w:cs="Arial" w:eastAsia="Arial" w:hAnsi="Arial"/>
                <w:sz w:val="14"/>
                <w:szCs w:val="14"/>
                <w:color w:val="auto"/>
              </w:rPr>
              <w:t>Sempra Generation</w:t>
            </w:r>
          </w:p>
        </w:tc>
        <w:tc>
          <w:tcPr>
            <w:tcW w:w="600" w:type="dxa"/>
            <w:vAlign w:val="bottom"/>
          </w:tcPr>
          <w:p>
            <w:pPr>
              <w:spacing w:after="0"/>
              <w:rPr>
                <w:sz w:val="18"/>
                <w:szCs w:val="18"/>
                <w:color w:val="auto"/>
              </w:rPr>
            </w:pPr>
          </w:p>
        </w:tc>
        <w:tc>
          <w:tcPr>
            <w:tcW w:w="660" w:type="dxa"/>
            <w:vAlign w:val="bottom"/>
          </w:tcPr>
          <w:p>
            <w:pPr>
              <w:jc w:val="right"/>
              <w:ind w:right="88"/>
              <w:spacing w:after="0"/>
              <w:rPr>
                <w:sz w:val="20"/>
                <w:szCs w:val="20"/>
                <w:color w:val="auto"/>
              </w:rPr>
            </w:pPr>
            <w:r>
              <w:rPr>
                <w:rFonts w:ascii="Arial" w:cs="Arial" w:eastAsia="Arial" w:hAnsi="Arial"/>
                <w:sz w:val="14"/>
                <w:szCs w:val="14"/>
                <w:color w:val="auto"/>
              </w:rPr>
              <w:t>59</w:t>
            </w:r>
          </w:p>
        </w:tc>
        <w:tc>
          <w:tcPr>
            <w:tcW w:w="760" w:type="dxa"/>
            <w:vAlign w:val="bottom"/>
          </w:tcPr>
          <w:p>
            <w:pPr>
              <w:jc w:val="right"/>
              <w:ind w:right="348"/>
              <w:spacing w:after="0"/>
              <w:rPr>
                <w:sz w:val="20"/>
                <w:szCs w:val="20"/>
                <w:color w:val="auto"/>
              </w:rPr>
            </w:pPr>
            <w:r>
              <w:rPr>
                <w:rFonts w:ascii="Arial" w:cs="Arial" w:eastAsia="Arial" w:hAnsi="Arial"/>
                <w:sz w:val="14"/>
                <w:szCs w:val="14"/>
                <w:color w:val="auto"/>
              </w:rPr>
              <w:t>3</w:t>
            </w:r>
          </w:p>
        </w:tc>
        <w:tc>
          <w:tcPr>
            <w:tcW w:w="420" w:type="dxa"/>
            <w:vAlign w:val="bottom"/>
          </w:tcPr>
          <w:p>
            <w:pPr>
              <w:spacing w:after="0"/>
              <w:rPr>
                <w:sz w:val="18"/>
                <w:szCs w:val="18"/>
                <w:color w:val="auto"/>
              </w:rPr>
            </w:pPr>
          </w:p>
        </w:tc>
        <w:tc>
          <w:tcPr>
            <w:tcW w:w="660" w:type="dxa"/>
            <w:vAlign w:val="bottom"/>
          </w:tcPr>
          <w:p>
            <w:pPr>
              <w:jc w:val="right"/>
              <w:ind w:right="88"/>
              <w:spacing w:after="0"/>
              <w:rPr>
                <w:sz w:val="20"/>
                <w:szCs w:val="20"/>
                <w:color w:val="auto"/>
              </w:rPr>
            </w:pPr>
            <w:r>
              <w:rPr>
                <w:rFonts w:ascii="Arial" w:cs="Arial" w:eastAsia="Arial" w:hAnsi="Arial"/>
                <w:sz w:val="14"/>
                <w:szCs w:val="14"/>
                <w:color w:val="auto"/>
              </w:rPr>
              <w:t>13</w:t>
            </w:r>
          </w:p>
        </w:tc>
        <w:tc>
          <w:tcPr>
            <w:tcW w:w="1000" w:type="dxa"/>
            <w:vAlign w:val="bottom"/>
          </w:tcPr>
          <w:p>
            <w:pPr>
              <w:jc w:val="right"/>
              <w:ind w:right="608"/>
              <w:spacing w:after="0"/>
              <w:rPr>
                <w:sz w:val="20"/>
                <w:szCs w:val="20"/>
                <w:color w:val="auto"/>
              </w:rPr>
            </w:pPr>
            <w:r>
              <w:rPr>
                <w:rFonts w:ascii="Arial" w:cs="Arial" w:eastAsia="Arial" w:hAnsi="Arial"/>
                <w:sz w:val="14"/>
                <w:szCs w:val="14"/>
                <w:color w:val="auto"/>
              </w:rPr>
              <w:t>1</w:t>
            </w:r>
          </w:p>
        </w:tc>
        <w:tc>
          <w:tcPr>
            <w:tcW w:w="180" w:type="dxa"/>
            <w:vAlign w:val="bottom"/>
          </w:tcPr>
          <w:p>
            <w:pPr>
              <w:spacing w:after="0"/>
              <w:rPr>
                <w:sz w:val="18"/>
                <w:szCs w:val="18"/>
                <w:color w:val="auto"/>
              </w:rPr>
            </w:pPr>
          </w:p>
        </w:tc>
        <w:tc>
          <w:tcPr>
            <w:tcW w:w="660" w:type="dxa"/>
            <w:vAlign w:val="bottom"/>
          </w:tcPr>
          <w:p>
            <w:pPr>
              <w:jc w:val="right"/>
              <w:ind w:right="88"/>
              <w:spacing w:after="0"/>
              <w:rPr>
                <w:sz w:val="20"/>
                <w:szCs w:val="20"/>
                <w:color w:val="auto"/>
              </w:rPr>
            </w:pPr>
            <w:r>
              <w:rPr>
                <w:rFonts w:ascii="Arial" w:cs="Arial" w:eastAsia="Arial" w:hAnsi="Arial"/>
                <w:sz w:val="14"/>
                <w:szCs w:val="14"/>
                <w:color w:val="auto"/>
              </w:rPr>
              <w:t>40</w:t>
            </w:r>
          </w:p>
        </w:tc>
        <w:tc>
          <w:tcPr>
            <w:tcW w:w="560" w:type="dxa"/>
            <w:vAlign w:val="bottom"/>
          </w:tcPr>
          <w:p>
            <w:pPr>
              <w:jc w:val="right"/>
              <w:ind w:right="168"/>
              <w:spacing w:after="0"/>
              <w:rPr>
                <w:sz w:val="20"/>
                <w:szCs w:val="20"/>
                <w:color w:val="auto"/>
              </w:rPr>
            </w:pPr>
            <w:r>
              <w:rPr>
                <w:rFonts w:ascii="Arial" w:cs="Arial" w:eastAsia="Arial" w:hAnsi="Arial"/>
                <w:sz w:val="14"/>
                <w:szCs w:val="14"/>
                <w:color w:val="auto"/>
              </w:rPr>
              <w:t>2</w:t>
            </w:r>
          </w:p>
        </w:tc>
      </w:tr>
      <w:tr>
        <w:trPr>
          <w:trHeight w:val="216"/>
        </w:trPr>
        <w:tc>
          <w:tcPr>
            <w:tcW w:w="2520" w:type="dxa"/>
            <w:vAlign w:val="bottom"/>
          </w:tcPr>
          <w:p>
            <w:pPr>
              <w:ind w:left="180"/>
              <w:spacing w:after="0"/>
              <w:rPr>
                <w:sz w:val="20"/>
                <w:szCs w:val="20"/>
                <w:color w:val="auto"/>
              </w:rPr>
            </w:pPr>
            <w:r>
              <w:rPr>
                <w:rFonts w:ascii="Arial" w:cs="Arial" w:eastAsia="Arial" w:hAnsi="Arial"/>
                <w:sz w:val="14"/>
                <w:szCs w:val="14"/>
                <w:color w:val="auto"/>
              </w:rPr>
              <w:t>Sempra Pipelines &amp; Storage</w:t>
            </w:r>
          </w:p>
        </w:tc>
        <w:tc>
          <w:tcPr>
            <w:tcW w:w="600" w:type="dxa"/>
            <w:vAlign w:val="bottom"/>
          </w:tcPr>
          <w:p>
            <w:pPr>
              <w:spacing w:after="0"/>
              <w:rPr>
                <w:sz w:val="18"/>
                <w:szCs w:val="18"/>
                <w:color w:val="auto"/>
              </w:rPr>
            </w:pPr>
          </w:p>
        </w:tc>
        <w:tc>
          <w:tcPr>
            <w:tcW w:w="660" w:type="dxa"/>
            <w:vAlign w:val="bottom"/>
          </w:tcPr>
          <w:p>
            <w:pPr>
              <w:jc w:val="right"/>
              <w:ind w:right="88"/>
              <w:spacing w:after="0"/>
              <w:rPr>
                <w:sz w:val="20"/>
                <w:szCs w:val="20"/>
                <w:color w:val="auto"/>
              </w:rPr>
            </w:pPr>
            <w:r>
              <w:rPr>
                <w:rFonts w:ascii="Arial" w:cs="Arial" w:eastAsia="Arial" w:hAnsi="Arial"/>
                <w:sz w:val="14"/>
                <w:szCs w:val="14"/>
                <w:color w:val="auto"/>
              </w:rPr>
              <w:t>264</w:t>
            </w:r>
          </w:p>
        </w:tc>
        <w:tc>
          <w:tcPr>
            <w:tcW w:w="760" w:type="dxa"/>
            <w:vAlign w:val="bottom"/>
          </w:tcPr>
          <w:p>
            <w:pPr>
              <w:jc w:val="right"/>
              <w:ind w:right="348"/>
              <w:spacing w:after="0"/>
              <w:rPr>
                <w:sz w:val="20"/>
                <w:szCs w:val="20"/>
                <w:color w:val="auto"/>
              </w:rPr>
            </w:pPr>
            <w:r>
              <w:rPr>
                <w:rFonts w:ascii="Arial" w:cs="Arial" w:eastAsia="Arial" w:hAnsi="Arial"/>
                <w:sz w:val="14"/>
                <w:szCs w:val="14"/>
                <w:color w:val="auto"/>
              </w:rPr>
              <w:t>13</w:t>
            </w:r>
          </w:p>
        </w:tc>
        <w:tc>
          <w:tcPr>
            <w:tcW w:w="420" w:type="dxa"/>
            <w:vAlign w:val="bottom"/>
          </w:tcPr>
          <w:p>
            <w:pPr>
              <w:spacing w:after="0"/>
              <w:rPr>
                <w:sz w:val="18"/>
                <w:szCs w:val="18"/>
                <w:color w:val="auto"/>
              </w:rPr>
            </w:pPr>
          </w:p>
        </w:tc>
        <w:tc>
          <w:tcPr>
            <w:tcW w:w="660" w:type="dxa"/>
            <w:vAlign w:val="bottom"/>
          </w:tcPr>
          <w:p>
            <w:pPr>
              <w:jc w:val="right"/>
              <w:ind w:right="88"/>
              <w:spacing w:after="0"/>
              <w:rPr>
                <w:sz w:val="20"/>
                <w:szCs w:val="20"/>
                <w:color w:val="auto"/>
              </w:rPr>
            </w:pPr>
            <w:r>
              <w:rPr>
                <w:rFonts w:ascii="Arial" w:cs="Arial" w:eastAsia="Arial" w:hAnsi="Arial"/>
                <w:sz w:val="14"/>
                <w:szCs w:val="14"/>
                <w:color w:val="auto"/>
              </w:rPr>
              <w:t>267</w:t>
            </w:r>
          </w:p>
        </w:tc>
        <w:tc>
          <w:tcPr>
            <w:tcW w:w="1000" w:type="dxa"/>
            <w:vAlign w:val="bottom"/>
          </w:tcPr>
          <w:p>
            <w:pPr>
              <w:jc w:val="right"/>
              <w:ind w:right="608"/>
              <w:spacing w:after="0"/>
              <w:rPr>
                <w:sz w:val="20"/>
                <w:szCs w:val="20"/>
                <w:color w:val="auto"/>
              </w:rPr>
            </w:pPr>
            <w:r>
              <w:rPr>
                <w:rFonts w:ascii="Arial" w:cs="Arial" w:eastAsia="Arial" w:hAnsi="Arial"/>
                <w:sz w:val="14"/>
                <w:szCs w:val="14"/>
                <w:color w:val="auto"/>
              </w:rPr>
              <w:t>13</w:t>
            </w:r>
          </w:p>
        </w:tc>
        <w:tc>
          <w:tcPr>
            <w:tcW w:w="180" w:type="dxa"/>
            <w:vAlign w:val="bottom"/>
          </w:tcPr>
          <w:p>
            <w:pPr>
              <w:spacing w:after="0"/>
              <w:rPr>
                <w:sz w:val="18"/>
                <w:szCs w:val="18"/>
                <w:color w:val="auto"/>
              </w:rPr>
            </w:pPr>
          </w:p>
        </w:tc>
        <w:tc>
          <w:tcPr>
            <w:tcW w:w="660" w:type="dxa"/>
            <w:vAlign w:val="bottom"/>
          </w:tcPr>
          <w:p>
            <w:pPr>
              <w:jc w:val="right"/>
              <w:ind w:right="88"/>
              <w:spacing w:after="0"/>
              <w:rPr>
                <w:sz w:val="20"/>
                <w:szCs w:val="20"/>
                <w:color w:val="auto"/>
              </w:rPr>
            </w:pPr>
            <w:r>
              <w:rPr>
                <w:rFonts w:ascii="Arial" w:cs="Arial" w:eastAsia="Arial" w:hAnsi="Arial"/>
                <w:sz w:val="14"/>
                <w:szCs w:val="14"/>
                <w:color w:val="auto"/>
              </w:rPr>
              <w:t>181</w:t>
            </w:r>
          </w:p>
        </w:tc>
        <w:tc>
          <w:tcPr>
            <w:tcW w:w="560" w:type="dxa"/>
            <w:vAlign w:val="bottom"/>
          </w:tcPr>
          <w:p>
            <w:pPr>
              <w:jc w:val="right"/>
              <w:ind w:right="168"/>
              <w:spacing w:after="0"/>
              <w:rPr>
                <w:sz w:val="20"/>
                <w:szCs w:val="20"/>
                <w:color w:val="auto"/>
              </w:rPr>
            </w:pPr>
            <w:r>
              <w:rPr>
                <w:rFonts w:ascii="Arial" w:cs="Arial" w:eastAsia="Arial" w:hAnsi="Arial"/>
                <w:sz w:val="14"/>
                <w:szCs w:val="14"/>
                <w:color w:val="auto"/>
              </w:rPr>
              <w:t>9</w:t>
            </w:r>
          </w:p>
        </w:tc>
      </w:tr>
      <w:tr>
        <w:trPr>
          <w:trHeight w:val="216"/>
        </w:trPr>
        <w:tc>
          <w:tcPr>
            <w:tcW w:w="2520" w:type="dxa"/>
            <w:vAlign w:val="bottom"/>
          </w:tcPr>
          <w:p>
            <w:pPr>
              <w:ind w:left="180"/>
              <w:spacing w:after="0"/>
              <w:rPr>
                <w:sz w:val="20"/>
                <w:szCs w:val="20"/>
                <w:color w:val="auto"/>
              </w:rPr>
            </w:pPr>
            <w:r>
              <w:rPr>
                <w:rFonts w:ascii="Arial" w:cs="Arial" w:eastAsia="Arial" w:hAnsi="Arial"/>
                <w:sz w:val="14"/>
                <w:szCs w:val="14"/>
                <w:color w:val="auto"/>
              </w:rPr>
              <w:t>All other</w:t>
            </w:r>
          </w:p>
        </w:tc>
        <w:tc>
          <w:tcPr>
            <w:tcW w:w="600" w:type="dxa"/>
            <w:vAlign w:val="bottom"/>
          </w:tcPr>
          <w:p>
            <w:pPr>
              <w:spacing w:after="0"/>
              <w:rPr>
                <w:sz w:val="18"/>
                <w:szCs w:val="18"/>
                <w:color w:val="auto"/>
              </w:rPr>
            </w:pPr>
          </w:p>
        </w:tc>
        <w:tc>
          <w:tcPr>
            <w:tcW w:w="660" w:type="dxa"/>
            <w:vAlign w:val="bottom"/>
          </w:tcPr>
          <w:p>
            <w:pPr>
              <w:jc w:val="right"/>
              <w:ind w:right="88"/>
              <w:spacing w:after="0"/>
              <w:rPr>
                <w:sz w:val="20"/>
                <w:szCs w:val="20"/>
                <w:color w:val="auto"/>
              </w:rPr>
            </w:pPr>
            <w:r>
              <w:rPr>
                <w:rFonts w:ascii="Arial" w:cs="Arial" w:eastAsia="Arial" w:hAnsi="Arial"/>
                <w:sz w:val="14"/>
                <w:szCs w:val="14"/>
                <w:color w:val="auto"/>
              </w:rPr>
              <w:t>379</w:t>
            </w:r>
          </w:p>
        </w:tc>
        <w:tc>
          <w:tcPr>
            <w:tcW w:w="760" w:type="dxa"/>
            <w:vAlign w:val="bottom"/>
          </w:tcPr>
          <w:p>
            <w:pPr>
              <w:jc w:val="right"/>
              <w:ind w:right="348"/>
              <w:spacing w:after="0"/>
              <w:rPr>
                <w:sz w:val="20"/>
                <w:szCs w:val="20"/>
                <w:color w:val="auto"/>
              </w:rPr>
            </w:pPr>
            <w:r>
              <w:rPr>
                <w:rFonts w:ascii="Arial" w:cs="Arial" w:eastAsia="Arial" w:hAnsi="Arial"/>
                <w:sz w:val="14"/>
                <w:szCs w:val="14"/>
                <w:color w:val="auto"/>
              </w:rPr>
              <w:t>18</w:t>
            </w:r>
          </w:p>
        </w:tc>
        <w:tc>
          <w:tcPr>
            <w:tcW w:w="420" w:type="dxa"/>
            <w:vAlign w:val="bottom"/>
          </w:tcPr>
          <w:p>
            <w:pPr>
              <w:spacing w:after="0"/>
              <w:rPr>
                <w:sz w:val="18"/>
                <w:szCs w:val="18"/>
                <w:color w:val="auto"/>
              </w:rPr>
            </w:pPr>
          </w:p>
        </w:tc>
        <w:tc>
          <w:tcPr>
            <w:tcW w:w="660" w:type="dxa"/>
            <w:vAlign w:val="bottom"/>
          </w:tcPr>
          <w:p>
            <w:pPr>
              <w:jc w:val="right"/>
              <w:ind w:right="88"/>
              <w:spacing w:after="0"/>
              <w:rPr>
                <w:sz w:val="20"/>
                <w:szCs w:val="20"/>
                <w:color w:val="auto"/>
              </w:rPr>
            </w:pPr>
            <w:r>
              <w:rPr>
                <w:rFonts w:ascii="Arial" w:cs="Arial" w:eastAsia="Arial" w:hAnsi="Arial"/>
                <w:sz w:val="14"/>
                <w:szCs w:val="14"/>
                <w:color w:val="auto"/>
              </w:rPr>
              <w:t>517</w:t>
            </w:r>
          </w:p>
        </w:tc>
        <w:tc>
          <w:tcPr>
            <w:tcW w:w="1000" w:type="dxa"/>
            <w:vAlign w:val="bottom"/>
          </w:tcPr>
          <w:p>
            <w:pPr>
              <w:jc w:val="right"/>
              <w:ind w:right="608"/>
              <w:spacing w:after="0"/>
              <w:rPr>
                <w:sz w:val="20"/>
                <w:szCs w:val="20"/>
                <w:color w:val="auto"/>
              </w:rPr>
            </w:pPr>
            <w:r>
              <w:rPr>
                <w:rFonts w:ascii="Arial" w:cs="Arial" w:eastAsia="Arial" w:hAnsi="Arial"/>
                <w:sz w:val="14"/>
                <w:szCs w:val="14"/>
                <w:color w:val="auto"/>
              </w:rPr>
              <w:t>26</w:t>
            </w:r>
          </w:p>
        </w:tc>
        <w:tc>
          <w:tcPr>
            <w:tcW w:w="180" w:type="dxa"/>
            <w:vAlign w:val="bottom"/>
          </w:tcPr>
          <w:p>
            <w:pPr>
              <w:spacing w:after="0"/>
              <w:rPr>
                <w:sz w:val="18"/>
                <w:szCs w:val="18"/>
                <w:color w:val="auto"/>
              </w:rPr>
            </w:pPr>
          </w:p>
        </w:tc>
        <w:tc>
          <w:tcPr>
            <w:tcW w:w="660" w:type="dxa"/>
            <w:vAlign w:val="bottom"/>
          </w:tcPr>
          <w:p>
            <w:pPr>
              <w:jc w:val="right"/>
              <w:ind w:right="88"/>
              <w:spacing w:after="0"/>
              <w:rPr>
                <w:sz w:val="20"/>
                <w:szCs w:val="20"/>
                <w:color w:val="auto"/>
              </w:rPr>
            </w:pPr>
            <w:r>
              <w:rPr>
                <w:rFonts w:ascii="Arial" w:cs="Arial" w:eastAsia="Arial" w:hAnsi="Arial"/>
                <w:sz w:val="14"/>
                <w:szCs w:val="14"/>
                <w:color w:val="auto"/>
              </w:rPr>
              <w:t>644</w:t>
            </w:r>
          </w:p>
        </w:tc>
        <w:tc>
          <w:tcPr>
            <w:tcW w:w="560" w:type="dxa"/>
            <w:vAlign w:val="bottom"/>
          </w:tcPr>
          <w:p>
            <w:pPr>
              <w:jc w:val="right"/>
              <w:ind w:right="168"/>
              <w:spacing w:after="0"/>
              <w:rPr>
                <w:sz w:val="20"/>
                <w:szCs w:val="20"/>
                <w:color w:val="auto"/>
              </w:rPr>
            </w:pPr>
            <w:r>
              <w:rPr>
                <w:rFonts w:ascii="Arial" w:cs="Arial" w:eastAsia="Arial" w:hAnsi="Arial"/>
                <w:sz w:val="14"/>
                <w:szCs w:val="14"/>
                <w:color w:val="auto"/>
              </w:rPr>
              <w:t>34</w:t>
            </w:r>
          </w:p>
        </w:tc>
      </w:tr>
      <w:tr>
        <w:trPr>
          <w:trHeight w:val="222"/>
        </w:trPr>
        <w:tc>
          <w:tcPr>
            <w:tcW w:w="2520" w:type="dxa"/>
            <w:vAlign w:val="bottom"/>
          </w:tcPr>
          <w:p>
            <w:pPr>
              <w:ind w:left="180"/>
              <w:spacing w:after="0"/>
              <w:rPr>
                <w:sz w:val="20"/>
                <w:szCs w:val="20"/>
                <w:color w:val="auto"/>
              </w:rPr>
            </w:pPr>
            <w:r>
              <w:rPr>
                <w:rFonts w:ascii="Arial" w:cs="Arial" w:eastAsia="Arial" w:hAnsi="Arial"/>
                <w:sz w:val="14"/>
                <w:szCs w:val="14"/>
                <w:color w:val="auto"/>
              </w:rPr>
              <w:t>Intercompany eliminations</w:t>
            </w:r>
          </w:p>
        </w:tc>
        <w:tc>
          <w:tcPr>
            <w:tcW w:w="6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color w:val="auto"/>
              </w:rPr>
              <w:t>--</w:t>
            </w:r>
          </w:p>
        </w:tc>
        <w:tc>
          <w:tcPr>
            <w:tcW w:w="4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(470 )</w:t>
            </w:r>
          </w:p>
        </w:tc>
        <w:tc>
          <w:tcPr>
            <w:tcW w:w="5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(25 )</w:t>
            </w:r>
          </w:p>
        </w:tc>
      </w:tr>
      <w:tr>
        <w:trPr>
          <w:trHeight w:val="224"/>
        </w:trPr>
        <w:tc>
          <w:tcPr>
            <w:tcW w:w="2520" w:type="dxa"/>
            <w:vAlign w:val="bottom"/>
            <w:tcBorders>
              <w:bottom w:val="single" w:sz="8" w:color="auto"/>
            </w:tcBorders>
          </w:tcPr>
          <w:p>
            <w:pPr>
              <w:ind w:left="420"/>
              <w:spacing w:after="0"/>
              <w:rPr>
                <w:sz w:val="20"/>
                <w:szCs w:val="20"/>
                <w:color w:val="auto"/>
              </w:rPr>
            </w:pPr>
            <w:r>
              <w:rPr>
                <w:rFonts w:ascii="Arial" w:cs="Arial" w:eastAsia="Arial" w:hAnsi="Arial"/>
                <w:sz w:val="14"/>
                <w:szCs w:val="14"/>
                <w:color w:val="auto"/>
              </w:rPr>
              <w:t>Total</w:t>
            </w:r>
          </w:p>
        </w:tc>
        <w:tc>
          <w:tcPr>
            <w:tcW w:w="6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2,061</w:t>
            </w:r>
          </w:p>
        </w:tc>
        <w:tc>
          <w:tcPr>
            <w:tcW w:w="76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100 %</w:t>
            </w:r>
          </w:p>
        </w:tc>
        <w:tc>
          <w:tcPr>
            <w:tcW w:w="4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2,011</w:t>
            </w:r>
          </w:p>
        </w:tc>
        <w:tc>
          <w:tcPr>
            <w:tcW w:w="100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color w:val="auto"/>
              </w:rPr>
              <w:t>100 %</w:t>
            </w: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1,907</w:t>
            </w:r>
          </w:p>
        </w:tc>
        <w:tc>
          <w:tcPr>
            <w:tcW w:w="5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100 %</w:t>
            </w:r>
          </w:p>
        </w:tc>
      </w:tr>
      <w:tr>
        <w:trPr>
          <w:trHeight w:val="186"/>
        </w:trPr>
        <w:tc>
          <w:tcPr>
            <w:tcW w:w="2520" w:type="dxa"/>
            <w:vAlign w:val="bottom"/>
          </w:tcPr>
          <w:p>
            <w:pPr>
              <w:ind w:left="20"/>
              <w:spacing w:after="0"/>
              <w:rPr>
                <w:sz w:val="20"/>
                <w:szCs w:val="20"/>
                <w:color w:val="auto"/>
              </w:rPr>
            </w:pPr>
            <w:r>
              <w:rPr>
                <w:rFonts w:ascii="Arial" w:cs="Arial" w:eastAsia="Arial" w:hAnsi="Arial"/>
                <w:sz w:val="14"/>
                <w:szCs w:val="14"/>
                <w:color w:val="auto"/>
              </w:rPr>
              <w:t>GEOGRAPHIC INFORMATION</w:t>
            </w:r>
          </w:p>
        </w:tc>
        <w:tc>
          <w:tcPr>
            <w:tcW w:w="6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60" w:type="dxa"/>
            <w:vAlign w:val="bottom"/>
          </w:tcPr>
          <w:p>
            <w:pPr>
              <w:spacing w:after="0"/>
              <w:rPr>
                <w:sz w:val="16"/>
                <w:szCs w:val="16"/>
                <w:color w:val="auto"/>
              </w:rPr>
            </w:pPr>
          </w:p>
        </w:tc>
      </w:tr>
      <w:tr>
        <w:trPr>
          <w:trHeight w:val="216"/>
        </w:trPr>
        <w:tc>
          <w:tcPr>
            <w:tcW w:w="2520" w:type="dxa"/>
            <w:vAlign w:val="bottom"/>
          </w:tcPr>
          <w:p>
            <w:pPr>
              <w:ind w:left="20"/>
              <w:spacing w:after="0"/>
              <w:rPr>
                <w:sz w:val="20"/>
                <w:szCs w:val="20"/>
                <w:color w:val="auto"/>
              </w:rPr>
            </w:pPr>
            <w:r>
              <w:rPr>
                <w:rFonts w:ascii="Arial" w:cs="Arial" w:eastAsia="Arial" w:hAnsi="Arial"/>
                <w:sz w:val="14"/>
                <w:szCs w:val="14"/>
                <w:color w:val="auto"/>
              </w:rPr>
              <w:t>Long-lived assets</w:t>
            </w:r>
          </w:p>
        </w:tc>
        <w:tc>
          <w:tcPr>
            <w:tcW w:w="6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2520" w:type="dxa"/>
            <w:vAlign w:val="bottom"/>
          </w:tcPr>
          <w:p>
            <w:pPr>
              <w:ind w:left="180"/>
              <w:spacing w:after="0"/>
              <w:rPr>
                <w:sz w:val="20"/>
                <w:szCs w:val="20"/>
                <w:color w:val="auto"/>
              </w:rPr>
            </w:pPr>
            <w:r>
              <w:rPr>
                <w:rFonts w:ascii="Arial" w:cs="Arial" w:eastAsia="Arial" w:hAnsi="Arial"/>
                <w:sz w:val="14"/>
                <w:szCs w:val="14"/>
                <w:color w:val="auto"/>
              </w:rPr>
              <w:t>United States</w:t>
            </w: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88"/>
              <w:spacing w:after="0"/>
              <w:rPr>
                <w:sz w:val="20"/>
                <w:szCs w:val="20"/>
                <w:color w:val="auto"/>
              </w:rPr>
            </w:pPr>
            <w:r>
              <w:rPr>
                <w:rFonts w:ascii="Arial" w:cs="Arial" w:eastAsia="Arial" w:hAnsi="Arial"/>
                <w:sz w:val="14"/>
                <w:szCs w:val="14"/>
                <w:color w:val="auto"/>
              </w:rPr>
              <w:t>17,637</w:t>
            </w:r>
          </w:p>
        </w:tc>
        <w:tc>
          <w:tcPr>
            <w:tcW w:w="760" w:type="dxa"/>
            <w:vAlign w:val="bottom"/>
          </w:tcPr>
          <w:p>
            <w:pPr>
              <w:jc w:val="right"/>
              <w:ind w:right="208"/>
              <w:spacing w:after="0"/>
              <w:rPr>
                <w:sz w:val="20"/>
                <w:szCs w:val="20"/>
                <w:color w:val="auto"/>
              </w:rPr>
            </w:pPr>
            <w:r>
              <w:rPr>
                <w:rFonts w:ascii="Arial" w:cs="Arial" w:eastAsia="Arial" w:hAnsi="Arial"/>
                <w:sz w:val="14"/>
                <w:szCs w:val="14"/>
                <w:color w:val="auto"/>
              </w:rPr>
              <w:t>88 %</w:t>
            </w:r>
          </w:p>
        </w:tc>
        <w:tc>
          <w:tcPr>
            <w:tcW w:w="4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88"/>
              <w:spacing w:after="0"/>
              <w:rPr>
                <w:sz w:val="20"/>
                <w:szCs w:val="20"/>
                <w:color w:val="auto"/>
              </w:rPr>
            </w:pPr>
            <w:r>
              <w:rPr>
                <w:rFonts w:ascii="Arial" w:cs="Arial" w:eastAsia="Arial" w:hAnsi="Arial"/>
                <w:sz w:val="14"/>
                <w:szCs w:val="14"/>
                <w:color w:val="auto"/>
              </w:rPr>
              <w:t>13,752</w:t>
            </w:r>
          </w:p>
        </w:tc>
        <w:tc>
          <w:tcPr>
            <w:tcW w:w="1000" w:type="dxa"/>
            <w:vAlign w:val="bottom"/>
          </w:tcPr>
          <w:p>
            <w:pPr>
              <w:jc w:val="right"/>
              <w:ind w:right="448"/>
              <w:spacing w:after="0"/>
              <w:rPr>
                <w:sz w:val="20"/>
                <w:szCs w:val="20"/>
                <w:color w:val="auto"/>
              </w:rPr>
            </w:pPr>
            <w:r>
              <w:rPr>
                <w:rFonts w:ascii="Arial" w:cs="Arial" w:eastAsia="Arial" w:hAnsi="Arial"/>
                <w:sz w:val="14"/>
                <w:szCs w:val="14"/>
                <w:color w:val="auto"/>
              </w:rPr>
              <w:t>85 %</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88"/>
              <w:spacing w:after="0"/>
              <w:rPr>
                <w:sz w:val="20"/>
                <w:szCs w:val="20"/>
                <w:color w:val="auto"/>
              </w:rPr>
            </w:pPr>
            <w:r>
              <w:rPr>
                <w:rFonts w:ascii="Arial" w:cs="Arial" w:eastAsia="Arial" w:hAnsi="Arial"/>
                <w:sz w:val="14"/>
                <w:szCs w:val="14"/>
                <w:color w:val="auto"/>
              </w:rPr>
              <w:t>12,384</w:t>
            </w:r>
          </w:p>
        </w:tc>
        <w:tc>
          <w:tcPr>
            <w:tcW w:w="560" w:type="dxa"/>
            <w:vAlign w:val="bottom"/>
          </w:tcPr>
          <w:p>
            <w:pPr>
              <w:jc w:val="right"/>
              <w:ind w:right="8"/>
              <w:spacing w:after="0"/>
              <w:rPr>
                <w:sz w:val="20"/>
                <w:szCs w:val="20"/>
                <w:color w:val="auto"/>
              </w:rPr>
            </w:pPr>
            <w:r>
              <w:rPr>
                <w:rFonts w:ascii="Arial" w:cs="Arial" w:eastAsia="Arial" w:hAnsi="Arial"/>
                <w:sz w:val="14"/>
                <w:szCs w:val="14"/>
                <w:color w:val="auto"/>
              </w:rPr>
              <w:t>87 %</w:t>
            </w:r>
          </w:p>
        </w:tc>
      </w:tr>
      <w:tr>
        <w:trPr>
          <w:trHeight w:val="216"/>
        </w:trPr>
        <w:tc>
          <w:tcPr>
            <w:tcW w:w="2520" w:type="dxa"/>
            <w:vAlign w:val="bottom"/>
          </w:tcPr>
          <w:p>
            <w:pPr>
              <w:ind w:left="180"/>
              <w:spacing w:after="0"/>
              <w:rPr>
                <w:sz w:val="20"/>
                <w:szCs w:val="20"/>
                <w:color w:val="auto"/>
              </w:rPr>
            </w:pPr>
            <w:r>
              <w:rPr>
                <w:rFonts w:ascii="Arial" w:cs="Arial" w:eastAsia="Arial" w:hAnsi="Arial"/>
                <w:sz w:val="14"/>
                <w:szCs w:val="14"/>
                <w:color w:val="auto"/>
              </w:rPr>
              <w:t>Latin America</w:t>
            </w:r>
          </w:p>
        </w:tc>
        <w:tc>
          <w:tcPr>
            <w:tcW w:w="600" w:type="dxa"/>
            <w:vAlign w:val="bottom"/>
          </w:tcPr>
          <w:p>
            <w:pPr>
              <w:spacing w:after="0"/>
              <w:rPr>
                <w:sz w:val="18"/>
                <w:szCs w:val="18"/>
                <w:color w:val="auto"/>
              </w:rPr>
            </w:pPr>
          </w:p>
        </w:tc>
        <w:tc>
          <w:tcPr>
            <w:tcW w:w="660" w:type="dxa"/>
            <w:vAlign w:val="bottom"/>
          </w:tcPr>
          <w:p>
            <w:pPr>
              <w:jc w:val="right"/>
              <w:ind w:right="88"/>
              <w:spacing w:after="0"/>
              <w:rPr>
                <w:sz w:val="20"/>
                <w:szCs w:val="20"/>
                <w:color w:val="auto"/>
              </w:rPr>
            </w:pPr>
            <w:r>
              <w:rPr>
                <w:rFonts w:ascii="Arial" w:cs="Arial" w:eastAsia="Arial" w:hAnsi="Arial"/>
                <w:sz w:val="14"/>
                <w:szCs w:val="14"/>
                <w:color w:val="auto"/>
              </w:rPr>
              <w:t>2,476</w:t>
            </w:r>
          </w:p>
        </w:tc>
        <w:tc>
          <w:tcPr>
            <w:tcW w:w="760" w:type="dxa"/>
            <w:vAlign w:val="bottom"/>
          </w:tcPr>
          <w:p>
            <w:pPr>
              <w:jc w:val="right"/>
              <w:ind w:right="348"/>
              <w:spacing w:after="0"/>
              <w:rPr>
                <w:sz w:val="20"/>
                <w:szCs w:val="20"/>
                <w:color w:val="auto"/>
              </w:rPr>
            </w:pPr>
            <w:r>
              <w:rPr>
                <w:rFonts w:ascii="Arial" w:cs="Arial" w:eastAsia="Arial" w:hAnsi="Arial"/>
                <w:sz w:val="14"/>
                <w:szCs w:val="14"/>
                <w:color w:val="auto"/>
              </w:rPr>
              <w:t>12</w:t>
            </w:r>
          </w:p>
        </w:tc>
        <w:tc>
          <w:tcPr>
            <w:tcW w:w="420" w:type="dxa"/>
            <w:vAlign w:val="bottom"/>
          </w:tcPr>
          <w:p>
            <w:pPr>
              <w:spacing w:after="0"/>
              <w:rPr>
                <w:sz w:val="18"/>
                <w:szCs w:val="18"/>
                <w:color w:val="auto"/>
              </w:rPr>
            </w:pPr>
          </w:p>
        </w:tc>
        <w:tc>
          <w:tcPr>
            <w:tcW w:w="660" w:type="dxa"/>
            <w:vAlign w:val="bottom"/>
          </w:tcPr>
          <w:p>
            <w:pPr>
              <w:jc w:val="right"/>
              <w:ind w:right="88"/>
              <w:spacing w:after="0"/>
              <w:rPr>
                <w:sz w:val="20"/>
                <w:szCs w:val="20"/>
                <w:color w:val="auto"/>
              </w:rPr>
            </w:pPr>
            <w:r>
              <w:rPr>
                <w:rFonts w:ascii="Arial" w:cs="Arial" w:eastAsia="Arial" w:hAnsi="Arial"/>
                <w:sz w:val="14"/>
                <w:szCs w:val="14"/>
                <w:color w:val="auto"/>
              </w:rPr>
              <w:t>2,352</w:t>
            </w:r>
          </w:p>
        </w:tc>
        <w:tc>
          <w:tcPr>
            <w:tcW w:w="1000" w:type="dxa"/>
            <w:vAlign w:val="bottom"/>
          </w:tcPr>
          <w:p>
            <w:pPr>
              <w:jc w:val="right"/>
              <w:ind w:right="608"/>
              <w:spacing w:after="0"/>
              <w:rPr>
                <w:sz w:val="20"/>
                <w:szCs w:val="20"/>
                <w:color w:val="auto"/>
              </w:rPr>
            </w:pPr>
            <w:r>
              <w:rPr>
                <w:rFonts w:ascii="Arial" w:cs="Arial" w:eastAsia="Arial" w:hAnsi="Arial"/>
                <w:sz w:val="14"/>
                <w:szCs w:val="14"/>
                <w:color w:val="auto"/>
              </w:rPr>
              <w:t>15</w:t>
            </w:r>
          </w:p>
        </w:tc>
        <w:tc>
          <w:tcPr>
            <w:tcW w:w="180" w:type="dxa"/>
            <w:vAlign w:val="bottom"/>
          </w:tcPr>
          <w:p>
            <w:pPr>
              <w:spacing w:after="0"/>
              <w:rPr>
                <w:sz w:val="18"/>
                <w:szCs w:val="18"/>
                <w:color w:val="auto"/>
              </w:rPr>
            </w:pPr>
          </w:p>
        </w:tc>
        <w:tc>
          <w:tcPr>
            <w:tcW w:w="660" w:type="dxa"/>
            <w:vAlign w:val="bottom"/>
          </w:tcPr>
          <w:p>
            <w:pPr>
              <w:jc w:val="right"/>
              <w:ind w:right="88"/>
              <w:spacing w:after="0"/>
              <w:rPr>
                <w:sz w:val="20"/>
                <w:szCs w:val="20"/>
                <w:color w:val="auto"/>
              </w:rPr>
            </w:pPr>
            <w:r>
              <w:rPr>
                <w:rFonts w:ascii="Arial" w:cs="Arial" w:eastAsia="Arial" w:hAnsi="Arial"/>
                <w:sz w:val="14"/>
                <w:szCs w:val="14"/>
                <w:color w:val="auto"/>
              </w:rPr>
              <w:t>1,865</w:t>
            </w:r>
          </w:p>
        </w:tc>
        <w:tc>
          <w:tcPr>
            <w:tcW w:w="560" w:type="dxa"/>
            <w:vAlign w:val="bottom"/>
          </w:tcPr>
          <w:p>
            <w:pPr>
              <w:jc w:val="right"/>
              <w:ind w:right="168"/>
              <w:spacing w:after="0"/>
              <w:rPr>
                <w:sz w:val="20"/>
                <w:szCs w:val="20"/>
                <w:color w:val="auto"/>
              </w:rPr>
            </w:pPr>
            <w:r>
              <w:rPr>
                <w:rFonts w:ascii="Arial" w:cs="Arial" w:eastAsia="Arial" w:hAnsi="Arial"/>
                <w:sz w:val="14"/>
                <w:szCs w:val="14"/>
                <w:color w:val="auto"/>
              </w:rPr>
              <w:t>13</w:t>
            </w:r>
          </w:p>
        </w:tc>
      </w:tr>
      <w:tr>
        <w:trPr>
          <w:trHeight w:val="222"/>
        </w:trPr>
        <w:tc>
          <w:tcPr>
            <w:tcW w:w="2520" w:type="dxa"/>
            <w:vAlign w:val="bottom"/>
          </w:tcPr>
          <w:p>
            <w:pPr>
              <w:ind w:left="180"/>
              <w:spacing w:after="0"/>
              <w:rPr>
                <w:sz w:val="20"/>
                <w:szCs w:val="20"/>
                <w:color w:val="auto"/>
              </w:rPr>
            </w:pPr>
            <w:r>
              <w:rPr>
                <w:rFonts w:ascii="Arial" w:cs="Arial" w:eastAsia="Arial" w:hAnsi="Arial"/>
                <w:sz w:val="14"/>
                <w:szCs w:val="14"/>
                <w:color w:val="auto"/>
              </w:rPr>
              <w:t>Europe</w:t>
            </w:r>
          </w:p>
        </w:tc>
        <w:tc>
          <w:tcPr>
            <w:tcW w:w="6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color w:val="auto"/>
              </w:rPr>
              <w:t>--</w:t>
            </w:r>
          </w:p>
        </w:tc>
        <w:tc>
          <w:tcPr>
            <w:tcW w:w="4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23</w:t>
            </w:r>
          </w:p>
        </w:tc>
        <w:tc>
          <w:tcPr>
            <w:tcW w:w="100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12</w:t>
            </w:r>
          </w:p>
        </w:tc>
        <w:tc>
          <w:tcPr>
            <w:tcW w:w="56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r>
      <w:tr>
        <w:trPr>
          <w:trHeight w:val="224"/>
        </w:trPr>
        <w:tc>
          <w:tcPr>
            <w:tcW w:w="2520" w:type="dxa"/>
            <w:vAlign w:val="bottom"/>
          </w:tcPr>
          <w:p>
            <w:pPr>
              <w:ind w:left="420"/>
              <w:spacing w:after="0"/>
              <w:rPr>
                <w:sz w:val="20"/>
                <w:szCs w:val="20"/>
                <w:color w:val="auto"/>
              </w:rPr>
            </w:pPr>
            <w:r>
              <w:rPr>
                <w:rFonts w:ascii="Arial" w:cs="Arial" w:eastAsia="Arial" w:hAnsi="Arial"/>
                <w:sz w:val="14"/>
                <w:szCs w:val="14"/>
                <w:color w:val="auto"/>
              </w:rPr>
              <w:t>Total</w:t>
            </w:r>
          </w:p>
        </w:tc>
        <w:tc>
          <w:tcPr>
            <w:tcW w:w="6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20,113</w:t>
            </w:r>
          </w:p>
        </w:tc>
        <w:tc>
          <w:tcPr>
            <w:tcW w:w="76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100 %</w:t>
            </w:r>
          </w:p>
        </w:tc>
        <w:tc>
          <w:tcPr>
            <w:tcW w:w="4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16,127</w:t>
            </w:r>
          </w:p>
        </w:tc>
        <w:tc>
          <w:tcPr>
            <w:tcW w:w="100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color w:val="auto"/>
              </w:rPr>
              <w:t>100 %</w:t>
            </w: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14,261</w:t>
            </w:r>
          </w:p>
        </w:tc>
        <w:tc>
          <w:tcPr>
            <w:tcW w:w="5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100 %</w:t>
            </w:r>
          </w:p>
        </w:tc>
      </w:tr>
      <w:tr>
        <w:trPr>
          <w:trHeight w:val="210"/>
        </w:trPr>
        <w:tc>
          <w:tcPr>
            <w:tcW w:w="2520" w:type="dxa"/>
            <w:vAlign w:val="bottom"/>
          </w:tcPr>
          <w:p>
            <w:pPr>
              <w:ind w:left="20"/>
              <w:spacing w:after="0"/>
              <w:rPr>
                <w:sz w:val="20"/>
                <w:szCs w:val="20"/>
                <w:color w:val="auto"/>
              </w:rPr>
            </w:pPr>
            <w:r>
              <w:rPr>
                <w:rFonts w:ascii="Arial" w:cs="Arial" w:eastAsia="Arial" w:hAnsi="Arial"/>
                <w:sz w:val="14"/>
                <w:szCs w:val="14"/>
                <w:color w:val="auto"/>
              </w:rPr>
              <w:t>Revenues</w:t>
            </w:r>
          </w:p>
        </w:tc>
        <w:tc>
          <w:tcPr>
            <w:tcW w:w="6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2520" w:type="dxa"/>
            <w:vAlign w:val="bottom"/>
          </w:tcPr>
          <w:p>
            <w:pPr>
              <w:ind w:left="180"/>
              <w:spacing w:after="0"/>
              <w:rPr>
                <w:sz w:val="20"/>
                <w:szCs w:val="20"/>
                <w:color w:val="auto"/>
              </w:rPr>
            </w:pPr>
            <w:r>
              <w:rPr>
                <w:rFonts w:ascii="Arial" w:cs="Arial" w:eastAsia="Arial" w:hAnsi="Arial"/>
                <w:sz w:val="14"/>
                <w:szCs w:val="14"/>
                <w:color w:val="auto"/>
              </w:rPr>
              <w:t>United States</w:t>
            </w: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88"/>
              <w:spacing w:after="0"/>
              <w:rPr>
                <w:sz w:val="20"/>
                <w:szCs w:val="20"/>
                <w:color w:val="auto"/>
              </w:rPr>
            </w:pPr>
            <w:r>
              <w:rPr>
                <w:rFonts w:ascii="Arial" w:cs="Arial" w:eastAsia="Arial" w:hAnsi="Arial"/>
                <w:sz w:val="14"/>
                <w:szCs w:val="14"/>
                <w:color w:val="auto"/>
              </w:rPr>
              <w:t>9,743</w:t>
            </w:r>
          </w:p>
        </w:tc>
        <w:tc>
          <w:tcPr>
            <w:tcW w:w="760" w:type="dxa"/>
            <w:vAlign w:val="bottom"/>
          </w:tcPr>
          <w:p>
            <w:pPr>
              <w:jc w:val="right"/>
              <w:ind w:right="208"/>
              <w:spacing w:after="0"/>
              <w:rPr>
                <w:sz w:val="20"/>
                <w:szCs w:val="20"/>
                <w:color w:val="auto"/>
              </w:rPr>
            </w:pPr>
            <w:r>
              <w:rPr>
                <w:rFonts w:ascii="Arial" w:cs="Arial" w:eastAsia="Arial" w:hAnsi="Arial"/>
                <w:sz w:val="14"/>
                <w:szCs w:val="14"/>
                <w:color w:val="auto"/>
              </w:rPr>
              <w:t>91 %</w:t>
            </w:r>
          </w:p>
        </w:tc>
        <w:tc>
          <w:tcPr>
            <w:tcW w:w="4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88"/>
              <w:spacing w:after="0"/>
              <w:rPr>
                <w:sz w:val="20"/>
                <w:szCs w:val="20"/>
                <w:color w:val="auto"/>
              </w:rPr>
            </w:pPr>
            <w:r>
              <w:rPr>
                <w:rFonts w:ascii="Arial" w:cs="Arial" w:eastAsia="Arial" w:hAnsi="Arial"/>
                <w:sz w:val="14"/>
                <w:szCs w:val="14"/>
                <w:color w:val="auto"/>
              </w:rPr>
              <w:t>10,165</w:t>
            </w:r>
          </w:p>
        </w:tc>
        <w:tc>
          <w:tcPr>
            <w:tcW w:w="1000" w:type="dxa"/>
            <w:vAlign w:val="bottom"/>
          </w:tcPr>
          <w:p>
            <w:pPr>
              <w:jc w:val="right"/>
              <w:ind w:right="448"/>
              <w:spacing w:after="0"/>
              <w:rPr>
                <w:sz w:val="20"/>
                <w:szCs w:val="20"/>
                <w:color w:val="auto"/>
              </w:rPr>
            </w:pPr>
            <w:r>
              <w:rPr>
                <w:rFonts w:ascii="Arial" w:cs="Arial" w:eastAsia="Arial" w:hAnsi="Arial"/>
                <w:sz w:val="14"/>
                <w:szCs w:val="14"/>
                <w:color w:val="auto"/>
              </w:rPr>
              <w:t>89 %</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88"/>
              <w:spacing w:after="0"/>
              <w:rPr>
                <w:sz w:val="20"/>
                <w:szCs w:val="20"/>
                <w:color w:val="auto"/>
              </w:rPr>
            </w:pPr>
            <w:r>
              <w:rPr>
                <w:rFonts w:ascii="Arial" w:cs="Arial" w:eastAsia="Arial" w:hAnsi="Arial"/>
                <w:sz w:val="14"/>
                <w:szCs w:val="14"/>
                <w:color w:val="auto"/>
              </w:rPr>
              <w:t>10,407</w:t>
            </w:r>
          </w:p>
        </w:tc>
        <w:tc>
          <w:tcPr>
            <w:tcW w:w="560" w:type="dxa"/>
            <w:vAlign w:val="bottom"/>
          </w:tcPr>
          <w:p>
            <w:pPr>
              <w:jc w:val="right"/>
              <w:ind w:right="8"/>
              <w:spacing w:after="0"/>
              <w:rPr>
                <w:sz w:val="20"/>
                <w:szCs w:val="20"/>
                <w:color w:val="auto"/>
              </w:rPr>
            </w:pPr>
            <w:r>
              <w:rPr>
                <w:rFonts w:ascii="Arial" w:cs="Arial" w:eastAsia="Arial" w:hAnsi="Arial"/>
                <w:sz w:val="14"/>
                <w:szCs w:val="14"/>
                <w:color w:val="auto"/>
              </w:rPr>
              <w:t>89 %</w:t>
            </w:r>
          </w:p>
        </w:tc>
      </w:tr>
      <w:tr>
        <w:trPr>
          <w:trHeight w:val="216"/>
        </w:trPr>
        <w:tc>
          <w:tcPr>
            <w:tcW w:w="2520" w:type="dxa"/>
            <w:vAlign w:val="bottom"/>
          </w:tcPr>
          <w:p>
            <w:pPr>
              <w:ind w:left="180"/>
              <w:spacing w:after="0"/>
              <w:rPr>
                <w:sz w:val="20"/>
                <w:szCs w:val="20"/>
                <w:color w:val="auto"/>
              </w:rPr>
            </w:pPr>
            <w:r>
              <w:rPr>
                <w:rFonts w:ascii="Arial" w:cs="Arial" w:eastAsia="Arial" w:hAnsi="Arial"/>
                <w:sz w:val="14"/>
                <w:szCs w:val="14"/>
                <w:color w:val="auto"/>
              </w:rPr>
              <w:t>Latin America</w:t>
            </w:r>
          </w:p>
        </w:tc>
        <w:tc>
          <w:tcPr>
            <w:tcW w:w="600" w:type="dxa"/>
            <w:vAlign w:val="bottom"/>
          </w:tcPr>
          <w:p>
            <w:pPr>
              <w:spacing w:after="0"/>
              <w:rPr>
                <w:sz w:val="18"/>
                <w:szCs w:val="18"/>
                <w:color w:val="auto"/>
              </w:rPr>
            </w:pPr>
          </w:p>
        </w:tc>
        <w:tc>
          <w:tcPr>
            <w:tcW w:w="660" w:type="dxa"/>
            <w:vAlign w:val="bottom"/>
          </w:tcPr>
          <w:p>
            <w:pPr>
              <w:jc w:val="right"/>
              <w:ind w:right="88"/>
              <w:spacing w:after="0"/>
              <w:rPr>
                <w:sz w:val="20"/>
                <w:szCs w:val="20"/>
                <w:color w:val="auto"/>
              </w:rPr>
            </w:pPr>
            <w:r>
              <w:rPr>
                <w:rFonts w:ascii="Arial" w:cs="Arial" w:eastAsia="Arial" w:hAnsi="Arial"/>
                <w:sz w:val="14"/>
                <w:szCs w:val="14"/>
                <w:color w:val="auto"/>
              </w:rPr>
              <w:t>918</w:t>
            </w:r>
          </w:p>
        </w:tc>
        <w:tc>
          <w:tcPr>
            <w:tcW w:w="760" w:type="dxa"/>
            <w:vAlign w:val="bottom"/>
          </w:tcPr>
          <w:p>
            <w:pPr>
              <w:jc w:val="right"/>
              <w:ind w:right="348"/>
              <w:spacing w:after="0"/>
              <w:rPr>
                <w:sz w:val="20"/>
                <w:szCs w:val="20"/>
                <w:color w:val="auto"/>
              </w:rPr>
            </w:pPr>
            <w:r>
              <w:rPr>
                <w:rFonts w:ascii="Arial" w:cs="Arial" w:eastAsia="Arial" w:hAnsi="Arial"/>
                <w:sz w:val="14"/>
                <w:szCs w:val="14"/>
                <w:color w:val="auto"/>
              </w:rPr>
              <w:t>8</w:t>
            </w:r>
          </w:p>
        </w:tc>
        <w:tc>
          <w:tcPr>
            <w:tcW w:w="420" w:type="dxa"/>
            <w:vAlign w:val="bottom"/>
          </w:tcPr>
          <w:p>
            <w:pPr>
              <w:spacing w:after="0"/>
              <w:rPr>
                <w:sz w:val="18"/>
                <w:szCs w:val="18"/>
                <w:color w:val="auto"/>
              </w:rPr>
            </w:pPr>
          </w:p>
        </w:tc>
        <w:tc>
          <w:tcPr>
            <w:tcW w:w="660" w:type="dxa"/>
            <w:vAlign w:val="bottom"/>
          </w:tcPr>
          <w:p>
            <w:pPr>
              <w:jc w:val="right"/>
              <w:ind w:right="88"/>
              <w:spacing w:after="0"/>
              <w:rPr>
                <w:sz w:val="20"/>
                <w:szCs w:val="20"/>
                <w:color w:val="auto"/>
              </w:rPr>
            </w:pPr>
            <w:r>
              <w:rPr>
                <w:rFonts w:ascii="Arial" w:cs="Arial" w:eastAsia="Arial" w:hAnsi="Arial"/>
                <w:sz w:val="14"/>
                <w:szCs w:val="14"/>
                <w:color w:val="auto"/>
              </w:rPr>
              <w:t>652</w:t>
            </w:r>
          </w:p>
        </w:tc>
        <w:tc>
          <w:tcPr>
            <w:tcW w:w="1000" w:type="dxa"/>
            <w:vAlign w:val="bottom"/>
          </w:tcPr>
          <w:p>
            <w:pPr>
              <w:jc w:val="right"/>
              <w:ind w:right="608"/>
              <w:spacing w:after="0"/>
              <w:rPr>
                <w:sz w:val="20"/>
                <w:szCs w:val="20"/>
                <w:color w:val="auto"/>
              </w:rPr>
            </w:pPr>
            <w:r>
              <w:rPr>
                <w:rFonts w:ascii="Arial" w:cs="Arial" w:eastAsia="Arial" w:hAnsi="Arial"/>
                <w:sz w:val="14"/>
                <w:szCs w:val="14"/>
                <w:color w:val="auto"/>
              </w:rPr>
              <w:t>6</w:t>
            </w:r>
          </w:p>
        </w:tc>
        <w:tc>
          <w:tcPr>
            <w:tcW w:w="180" w:type="dxa"/>
            <w:vAlign w:val="bottom"/>
          </w:tcPr>
          <w:p>
            <w:pPr>
              <w:spacing w:after="0"/>
              <w:rPr>
                <w:sz w:val="18"/>
                <w:szCs w:val="18"/>
                <w:color w:val="auto"/>
              </w:rPr>
            </w:pPr>
          </w:p>
        </w:tc>
        <w:tc>
          <w:tcPr>
            <w:tcW w:w="660" w:type="dxa"/>
            <w:vAlign w:val="bottom"/>
          </w:tcPr>
          <w:p>
            <w:pPr>
              <w:jc w:val="right"/>
              <w:ind w:right="88"/>
              <w:spacing w:after="0"/>
              <w:rPr>
                <w:sz w:val="20"/>
                <w:szCs w:val="20"/>
                <w:color w:val="auto"/>
              </w:rPr>
            </w:pPr>
            <w:r>
              <w:rPr>
                <w:rFonts w:ascii="Arial" w:cs="Arial" w:eastAsia="Arial" w:hAnsi="Arial"/>
                <w:sz w:val="14"/>
                <w:szCs w:val="14"/>
                <w:color w:val="auto"/>
              </w:rPr>
              <w:t>637</w:t>
            </w:r>
          </w:p>
        </w:tc>
        <w:tc>
          <w:tcPr>
            <w:tcW w:w="560" w:type="dxa"/>
            <w:vAlign w:val="bottom"/>
          </w:tcPr>
          <w:p>
            <w:pPr>
              <w:jc w:val="right"/>
              <w:ind w:right="168"/>
              <w:spacing w:after="0"/>
              <w:rPr>
                <w:sz w:val="20"/>
                <w:szCs w:val="20"/>
                <w:color w:val="auto"/>
              </w:rPr>
            </w:pPr>
            <w:r>
              <w:rPr>
                <w:rFonts w:ascii="Arial" w:cs="Arial" w:eastAsia="Arial" w:hAnsi="Arial"/>
                <w:sz w:val="14"/>
                <w:szCs w:val="14"/>
                <w:color w:val="auto"/>
              </w:rPr>
              <w:t>5</w:t>
            </w:r>
          </w:p>
        </w:tc>
      </w:tr>
      <w:tr>
        <w:trPr>
          <w:trHeight w:val="216"/>
        </w:trPr>
        <w:tc>
          <w:tcPr>
            <w:tcW w:w="2520" w:type="dxa"/>
            <w:vAlign w:val="bottom"/>
          </w:tcPr>
          <w:p>
            <w:pPr>
              <w:ind w:left="180"/>
              <w:spacing w:after="0"/>
              <w:rPr>
                <w:sz w:val="20"/>
                <w:szCs w:val="20"/>
                <w:color w:val="auto"/>
              </w:rPr>
            </w:pPr>
            <w:r>
              <w:rPr>
                <w:rFonts w:ascii="Arial" w:cs="Arial" w:eastAsia="Arial" w:hAnsi="Arial"/>
                <w:sz w:val="14"/>
                <w:szCs w:val="14"/>
                <w:color w:val="auto"/>
              </w:rPr>
              <w:t>Europe</w:t>
            </w:r>
          </w:p>
        </w:tc>
        <w:tc>
          <w:tcPr>
            <w:tcW w:w="600" w:type="dxa"/>
            <w:vAlign w:val="bottom"/>
          </w:tcPr>
          <w:p>
            <w:pPr>
              <w:spacing w:after="0"/>
              <w:rPr>
                <w:sz w:val="18"/>
                <w:szCs w:val="18"/>
                <w:color w:val="auto"/>
              </w:rPr>
            </w:pPr>
          </w:p>
        </w:tc>
        <w:tc>
          <w:tcPr>
            <w:tcW w:w="660" w:type="dxa"/>
            <w:vAlign w:val="bottom"/>
          </w:tcPr>
          <w:p>
            <w:pPr>
              <w:jc w:val="right"/>
              <w:ind w:right="88"/>
              <w:spacing w:after="0"/>
              <w:rPr>
                <w:sz w:val="20"/>
                <w:szCs w:val="20"/>
                <w:color w:val="auto"/>
              </w:rPr>
            </w:pPr>
            <w:r>
              <w:rPr>
                <w:rFonts w:ascii="Arial" w:cs="Arial" w:eastAsia="Arial" w:hAnsi="Arial"/>
                <w:sz w:val="14"/>
                <w:szCs w:val="14"/>
                <w:color w:val="auto"/>
              </w:rPr>
              <w:t>93</w:t>
            </w:r>
          </w:p>
        </w:tc>
        <w:tc>
          <w:tcPr>
            <w:tcW w:w="760" w:type="dxa"/>
            <w:vAlign w:val="bottom"/>
          </w:tcPr>
          <w:p>
            <w:pPr>
              <w:jc w:val="right"/>
              <w:ind w:right="348"/>
              <w:spacing w:after="0"/>
              <w:rPr>
                <w:sz w:val="20"/>
                <w:szCs w:val="20"/>
                <w:color w:val="auto"/>
              </w:rPr>
            </w:pPr>
            <w:r>
              <w:rPr>
                <w:rFonts w:ascii="Arial" w:cs="Arial" w:eastAsia="Arial" w:hAnsi="Arial"/>
                <w:sz w:val="14"/>
                <w:szCs w:val="14"/>
                <w:color w:val="auto"/>
              </w:rPr>
              <w:t>1</w:t>
            </w:r>
          </w:p>
        </w:tc>
        <w:tc>
          <w:tcPr>
            <w:tcW w:w="420" w:type="dxa"/>
            <w:vAlign w:val="bottom"/>
          </w:tcPr>
          <w:p>
            <w:pPr>
              <w:spacing w:after="0"/>
              <w:rPr>
                <w:sz w:val="18"/>
                <w:szCs w:val="18"/>
                <w:color w:val="auto"/>
              </w:rPr>
            </w:pPr>
          </w:p>
        </w:tc>
        <w:tc>
          <w:tcPr>
            <w:tcW w:w="660" w:type="dxa"/>
            <w:vAlign w:val="bottom"/>
          </w:tcPr>
          <w:p>
            <w:pPr>
              <w:jc w:val="right"/>
              <w:ind w:right="88"/>
              <w:spacing w:after="0"/>
              <w:rPr>
                <w:sz w:val="20"/>
                <w:szCs w:val="20"/>
                <w:color w:val="auto"/>
              </w:rPr>
            </w:pPr>
            <w:r>
              <w:rPr>
                <w:rFonts w:ascii="Arial" w:cs="Arial" w:eastAsia="Arial" w:hAnsi="Arial"/>
                <w:sz w:val="14"/>
                <w:szCs w:val="14"/>
                <w:color w:val="auto"/>
              </w:rPr>
              <w:t>525</w:t>
            </w:r>
          </w:p>
        </w:tc>
        <w:tc>
          <w:tcPr>
            <w:tcW w:w="1000" w:type="dxa"/>
            <w:vAlign w:val="bottom"/>
          </w:tcPr>
          <w:p>
            <w:pPr>
              <w:jc w:val="right"/>
              <w:ind w:right="608"/>
              <w:spacing w:after="0"/>
              <w:rPr>
                <w:sz w:val="20"/>
                <w:szCs w:val="20"/>
                <w:color w:val="auto"/>
              </w:rPr>
            </w:pPr>
            <w:r>
              <w:rPr>
                <w:rFonts w:ascii="Arial" w:cs="Arial" w:eastAsia="Arial" w:hAnsi="Arial"/>
                <w:sz w:val="14"/>
                <w:szCs w:val="14"/>
                <w:color w:val="auto"/>
              </w:rPr>
              <w:t>5</w:t>
            </w:r>
          </w:p>
        </w:tc>
        <w:tc>
          <w:tcPr>
            <w:tcW w:w="180" w:type="dxa"/>
            <w:vAlign w:val="bottom"/>
          </w:tcPr>
          <w:p>
            <w:pPr>
              <w:spacing w:after="0"/>
              <w:rPr>
                <w:sz w:val="18"/>
                <w:szCs w:val="18"/>
                <w:color w:val="auto"/>
              </w:rPr>
            </w:pPr>
          </w:p>
        </w:tc>
        <w:tc>
          <w:tcPr>
            <w:tcW w:w="660" w:type="dxa"/>
            <w:vAlign w:val="bottom"/>
          </w:tcPr>
          <w:p>
            <w:pPr>
              <w:jc w:val="right"/>
              <w:ind w:right="88"/>
              <w:spacing w:after="0"/>
              <w:rPr>
                <w:sz w:val="20"/>
                <w:szCs w:val="20"/>
                <w:color w:val="auto"/>
              </w:rPr>
            </w:pPr>
            <w:r>
              <w:rPr>
                <w:rFonts w:ascii="Arial" w:cs="Arial" w:eastAsia="Arial" w:hAnsi="Arial"/>
                <w:sz w:val="14"/>
                <w:szCs w:val="14"/>
                <w:color w:val="auto"/>
              </w:rPr>
              <w:t>638</w:t>
            </w:r>
          </w:p>
        </w:tc>
        <w:tc>
          <w:tcPr>
            <w:tcW w:w="560" w:type="dxa"/>
            <w:vAlign w:val="bottom"/>
          </w:tcPr>
          <w:p>
            <w:pPr>
              <w:jc w:val="right"/>
              <w:ind w:right="168"/>
              <w:spacing w:after="0"/>
              <w:rPr>
                <w:sz w:val="20"/>
                <w:szCs w:val="20"/>
                <w:color w:val="auto"/>
              </w:rPr>
            </w:pPr>
            <w:r>
              <w:rPr>
                <w:rFonts w:ascii="Arial" w:cs="Arial" w:eastAsia="Arial" w:hAnsi="Arial"/>
                <w:sz w:val="14"/>
                <w:szCs w:val="14"/>
                <w:color w:val="auto"/>
              </w:rPr>
              <w:t>6</w:t>
            </w:r>
          </w:p>
        </w:tc>
      </w:tr>
      <w:tr>
        <w:trPr>
          <w:trHeight w:val="216"/>
        </w:trPr>
        <w:tc>
          <w:tcPr>
            <w:tcW w:w="2520" w:type="dxa"/>
            <w:vAlign w:val="bottom"/>
          </w:tcPr>
          <w:p>
            <w:pPr>
              <w:ind w:left="180"/>
              <w:spacing w:after="0"/>
              <w:rPr>
                <w:sz w:val="20"/>
                <w:szCs w:val="20"/>
                <w:color w:val="auto"/>
              </w:rPr>
            </w:pPr>
            <w:r>
              <w:rPr>
                <w:rFonts w:ascii="Arial" w:cs="Arial" w:eastAsia="Arial" w:hAnsi="Arial"/>
                <w:sz w:val="14"/>
                <w:szCs w:val="14"/>
                <w:color w:val="auto"/>
              </w:rPr>
              <w:t>Canada</w:t>
            </w:r>
          </w:p>
        </w:tc>
        <w:tc>
          <w:tcPr>
            <w:tcW w:w="600" w:type="dxa"/>
            <w:vAlign w:val="bottom"/>
          </w:tcPr>
          <w:p>
            <w:pPr>
              <w:spacing w:after="0"/>
              <w:rPr>
                <w:sz w:val="18"/>
                <w:szCs w:val="18"/>
                <w:color w:val="auto"/>
              </w:rPr>
            </w:pP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(12 )</w:t>
            </w:r>
          </w:p>
        </w:tc>
        <w:tc>
          <w:tcPr>
            <w:tcW w:w="760" w:type="dxa"/>
            <w:vAlign w:val="bottom"/>
          </w:tcPr>
          <w:p>
            <w:pPr>
              <w:jc w:val="right"/>
              <w:ind w:right="348"/>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8"/>
                <w:szCs w:val="18"/>
                <w:color w:val="auto"/>
              </w:rPr>
            </w:pPr>
          </w:p>
        </w:tc>
        <w:tc>
          <w:tcPr>
            <w:tcW w:w="660" w:type="dxa"/>
            <w:vAlign w:val="bottom"/>
          </w:tcPr>
          <w:p>
            <w:pPr>
              <w:jc w:val="right"/>
              <w:ind w:right="88"/>
              <w:spacing w:after="0"/>
              <w:rPr>
                <w:sz w:val="20"/>
                <w:szCs w:val="20"/>
                <w:color w:val="auto"/>
              </w:rPr>
            </w:pPr>
            <w:r>
              <w:rPr>
                <w:rFonts w:ascii="Arial" w:cs="Arial" w:eastAsia="Arial" w:hAnsi="Arial"/>
                <w:sz w:val="14"/>
                <w:szCs w:val="14"/>
                <w:color w:val="auto"/>
              </w:rPr>
              <w:t>37</w:t>
            </w:r>
          </w:p>
        </w:tc>
        <w:tc>
          <w:tcPr>
            <w:tcW w:w="1000" w:type="dxa"/>
            <w:vAlign w:val="bottom"/>
          </w:tcPr>
          <w:p>
            <w:pPr>
              <w:jc w:val="right"/>
              <w:ind w:right="60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660" w:type="dxa"/>
            <w:vAlign w:val="bottom"/>
          </w:tcPr>
          <w:p>
            <w:pPr>
              <w:jc w:val="right"/>
              <w:ind w:right="88"/>
              <w:spacing w:after="0"/>
              <w:rPr>
                <w:sz w:val="20"/>
                <w:szCs w:val="20"/>
                <w:color w:val="auto"/>
              </w:rPr>
            </w:pPr>
            <w:r>
              <w:rPr>
                <w:rFonts w:ascii="Arial" w:cs="Arial" w:eastAsia="Arial" w:hAnsi="Arial"/>
                <w:sz w:val="14"/>
                <w:szCs w:val="14"/>
                <w:color w:val="auto"/>
              </w:rPr>
              <w:t>43</w:t>
            </w:r>
          </w:p>
        </w:tc>
        <w:tc>
          <w:tcPr>
            <w:tcW w:w="560" w:type="dxa"/>
            <w:vAlign w:val="bottom"/>
          </w:tcPr>
          <w:p>
            <w:pPr>
              <w:jc w:val="right"/>
              <w:ind w:right="168"/>
              <w:spacing w:after="0"/>
              <w:rPr>
                <w:sz w:val="20"/>
                <w:szCs w:val="20"/>
                <w:color w:val="auto"/>
              </w:rPr>
            </w:pPr>
            <w:r>
              <w:rPr>
                <w:rFonts w:ascii="Arial" w:cs="Arial" w:eastAsia="Arial" w:hAnsi="Arial"/>
                <w:sz w:val="14"/>
                <w:szCs w:val="14"/>
                <w:color w:val="auto"/>
              </w:rPr>
              <w:t>--</w:t>
            </w:r>
          </w:p>
        </w:tc>
      </w:tr>
      <w:tr>
        <w:trPr>
          <w:trHeight w:val="222"/>
        </w:trPr>
        <w:tc>
          <w:tcPr>
            <w:tcW w:w="2520" w:type="dxa"/>
            <w:vAlign w:val="bottom"/>
          </w:tcPr>
          <w:p>
            <w:pPr>
              <w:ind w:left="180"/>
              <w:spacing w:after="0"/>
              <w:rPr>
                <w:sz w:val="20"/>
                <w:szCs w:val="20"/>
                <w:color w:val="auto"/>
              </w:rPr>
            </w:pPr>
            <w:r>
              <w:rPr>
                <w:rFonts w:ascii="Arial" w:cs="Arial" w:eastAsia="Arial" w:hAnsi="Arial"/>
                <w:sz w:val="14"/>
                <w:szCs w:val="14"/>
                <w:color w:val="auto"/>
              </w:rPr>
              <w:t>Asia</w:t>
            </w:r>
          </w:p>
        </w:tc>
        <w:tc>
          <w:tcPr>
            <w:tcW w:w="6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16</w:t>
            </w:r>
          </w:p>
        </w:tc>
        <w:tc>
          <w:tcPr>
            <w:tcW w:w="76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color w:val="auto"/>
              </w:rPr>
              <w:t>--</w:t>
            </w:r>
          </w:p>
        </w:tc>
        <w:tc>
          <w:tcPr>
            <w:tcW w:w="4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59</w:t>
            </w:r>
          </w:p>
        </w:tc>
        <w:tc>
          <w:tcPr>
            <w:tcW w:w="100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36</w:t>
            </w:r>
          </w:p>
        </w:tc>
        <w:tc>
          <w:tcPr>
            <w:tcW w:w="56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r>
      <w:tr>
        <w:trPr>
          <w:trHeight w:val="224"/>
        </w:trPr>
        <w:tc>
          <w:tcPr>
            <w:tcW w:w="2520" w:type="dxa"/>
            <w:vAlign w:val="bottom"/>
            <w:tcBorders>
              <w:bottom w:val="single" w:sz="8" w:color="auto"/>
            </w:tcBorders>
          </w:tcPr>
          <w:p>
            <w:pPr>
              <w:ind w:left="420"/>
              <w:spacing w:after="0"/>
              <w:rPr>
                <w:sz w:val="20"/>
                <w:szCs w:val="20"/>
                <w:color w:val="auto"/>
              </w:rPr>
            </w:pPr>
            <w:r>
              <w:rPr>
                <w:rFonts w:ascii="Arial" w:cs="Arial" w:eastAsia="Arial" w:hAnsi="Arial"/>
                <w:sz w:val="14"/>
                <w:szCs w:val="14"/>
                <w:color w:val="auto"/>
              </w:rPr>
              <w:t>Total</w:t>
            </w:r>
          </w:p>
        </w:tc>
        <w:tc>
          <w:tcPr>
            <w:tcW w:w="6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10,758</w:t>
            </w:r>
          </w:p>
        </w:tc>
        <w:tc>
          <w:tcPr>
            <w:tcW w:w="76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100 %</w:t>
            </w:r>
          </w:p>
        </w:tc>
        <w:tc>
          <w:tcPr>
            <w:tcW w:w="4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11,438</w:t>
            </w:r>
          </w:p>
        </w:tc>
        <w:tc>
          <w:tcPr>
            <w:tcW w:w="100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color w:val="auto"/>
              </w:rPr>
              <w:t>100 %</w:t>
            </w: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11,761</w:t>
            </w:r>
          </w:p>
        </w:tc>
        <w:tc>
          <w:tcPr>
            <w:tcW w:w="5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100 %</w:t>
            </w:r>
          </w:p>
        </w:tc>
      </w:tr>
    </w:tbl>
    <w:p>
      <w:pPr>
        <w:spacing w:after="0" w:line="16" w:lineRule="exact"/>
        <w:rPr>
          <w:sz w:val="20"/>
          <w:szCs w:val="20"/>
          <w:color w:val="auto"/>
        </w:rPr>
      </w:pPr>
    </w:p>
    <w:p>
      <w:pPr>
        <w:ind w:left="2020" w:hanging="306"/>
        <w:spacing w:after="0"/>
        <w:tabs>
          <w:tab w:leader="none" w:pos="2020" w:val="left"/>
        </w:tabs>
        <w:numPr>
          <w:ilvl w:val="0"/>
          <w:numId w:val="397"/>
        </w:numPr>
        <w:rPr>
          <w:rFonts w:ascii="Arial" w:cs="Arial" w:eastAsia="Arial" w:hAnsi="Arial"/>
          <w:sz w:val="13"/>
          <w:szCs w:val="13"/>
          <w:i w:val="1"/>
          <w:iCs w:val="1"/>
          <w:color w:val="auto"/>
        </w:rPr>
      </w:pPr>
      <w:r>
        <w:rPr>
          <w:rFonts w:ascii="Arial" w:cs="Arial" w:eastAsia="Arial" w:hAnsi="Arial"/>
          <w:sz w:val="13"/>
          <w:szCs w:val="13"/>
          <w:i w:val="1"/>
          <w:iCs w:val="1"/>
          <w:color w:val="auto"/>
        </w:rPr>
        <w:t>After preferred dividends.</w:t>
      </w:r>
    </w:p>
    <w:p>
      <w:pPr>
        <w:spacing w:after="0" w:line="43" w:lineRule="exact"/>
        <w:rPr>
          <w:sz w:val="20"/>
          <w:szCs w:val="20"/>
          <w:color w:val="auto"/>
        </w:rPr>
      </w:pPr>
    </w:p>
    <w:p>
      <w:pPr>
        <w:ind w:left="2020" w:hanging="306"/>
        <w:spacing w:after="0"/>
        <w:tabs>
          <w:tab w:leader="none" w:pos="2020" w:val="left"/>
        </w:tabs>
        <w:numPr>
          <w:ilvl w:val="0"/>
          <w:numId w:val="398"/>
        </w:numPr>
        <w:rPr>
          <w:rFonts w:ascii="Arial" w:cs="Arial" w:eastAsia="Arial" w:hAnsi="Arial"/>
          <w:sz w:val="13"/>
          <w:szCs w:val="13"/>
          <w:i w:val="1"/>
          <w:iCs w:val="1"/>
          <w:color w:val="auto"/>
        </w:rPr>
      </w:pPr>
      <w:r>
        <w:rPr>
          <w:rFonts w:ascii="Arial" w:cs="Arial" w:eastAsia="Arial" w:hAnsi="Arial"/>
          <w:sz w:val="13"/>
          <w:szCs w:val="13"/>
          <w:i w:val="1"/>
          <w:iCs w:val="1"/>
          <w:color w:val="auto"/>
        </w:rPr>
        <w:t>2007 and 2006 are adjusted to reflect the adoption of FASB Staff Position FIN 39-1.</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4"/>
          <w:szCs w:val="14"/>
          <w:color w:val="auto"/>
        </w:rPr>
        <w:t>186</w:t>
      </w:r>
    </w:p>
    <w:p>
      <w:pPr>
        <w:sectPr>
          <w:pgSz w:w="11900" w:h="16838" w:orient="portrait"/>
          <w:cols w:equalWidth="0" w:num="1">
            <w:col w:w="10219"/>
          </w:cols>
          <w:pgMar w:left="240" w:top="448" w:right="1440" w:bottom="1440" w:gutter="0" w:footer="0" w:header="0"/>
        </w:sectPr>
      </w:pPr>
    </w:p>
    <w:bookmarkStart w:id="326" w:name="page327"/>
    <w:bookmarkEnd w:id="32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149860</wp:posOffset>
            </wp:positionH>
            <wp:positionV relativeFrom="page">
              <wp:posOffset>309880</wp:posOffset>
            </wp:positionV>
            <wp:extent cx="7261860" cy="762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61860" cy="7620"/>
                    </a:xfrm>
                    <a:prstGeom prst="rect">
                      <a:avLst/>
                    </a:prstGeom>
                    <a:noFill/>
                  </pic:spPr>
                </pic:pic>
              </a:graphicData>
            </a:graphic>
          </wp:anchor>
        </w:drawing>
        <w:t>NOTE 18. QUARTERLY FINANCIAL DATA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951230</wp:posOffset>
            </wp:positionH>
            <wp:positionV relativeFrom="paragraph">
              <wp:posOffset>61595</wp:posOffset>
            </wp:positionV>
            <wp:extent cx="5354955" cy="28194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5354955" cy="281940"/>
                    </a:xfrm>
                    <a:prstGeom prst="rect">
                      <a:avLst/>
                    </a:prstGeom>
                    <a:noFill/>
                  </pic:spPr>
                </pic:pic>
              </a:graphicData>
            </a:graphic>
          </wp:anchor>
        </w:drawing>
      </w:r>
    </w:p>
    <w:p>
      <w:pPr>
        <w:spacing w:after="0" w:line="108" w:lineRule="exact"/>
        <w:rPr>
          <w:sz w:val="20"/>
          <w:szCs w:val="20"/>
          <w:color w:val="auto"/>
        </w:rPr>
      </w:pPr>
    </w:p>
    <w:p>
      <w:pPr>
        <w:ind w:left="1500"/>
        <w:spacing w:after="0"/>
        <w:rPr>
          <w:sz w:val="20"/>
          <w:szCs w:val="20"/>
          <w:color w:val="auto"/>
        </w:rPr>
      </w:pPr>
      <w:r>
        <w:rPr>
          <w:rFonts w:ascii="Arial" w:cs="Arial" w:eastAsia="Arial" w:hAnsi="Arial"/>
          <w:sz w:val="14"/>
          <w:szCs w:val="14"/>
          <w:b w:val="1"/>
          <w:bCs w:val="1"/>
          <w:color w:val="auto"/>
        </w:rPr>
        <w:t>SEMPRA ENERGY</w:t>
      </w:r>
    </w:p>
    <w:p>
      <w:pPr>
        <w:spacing w:after="0" w:line="76" w:lineRule="exact"/>
        <w:rPr>
          <w:sz w:val="20"/>
          <w:szCs w:val="20"/>
          <w:color w:val="auto"/>
        </w:rPr>
      </w:pPr>
    </w:p>
    <w:tbl>
      <w:tblPr>
        <w:tblLayout w:type="fixed"/>
        <w:tblInd w:w="1500" w:type="dxa"/>
        <w:tblCellMar>
          <w:top w:w="0" w:type="dxa"/>
          <w:left w:w="0" w:type="dxa"/>
          <w:bottom w:w="0" w:type="dxa"/>
          <w:right w:w="0" w:type="dxa"/>
        </w:tblCellMar>
      </w:tblPr>
      <w:tr>
        <w:trPr>
          <w:trHeight w:val="166"/>
        </w:trPr>
        <w:tc>
          <w:tcPr>
            <w:tcW w:w="4100" w:type="dxa"/>
            <w:vAlign w:val="bottom"/>
          </w:tcPr>
          <w:p>
            <w:pPr>
              <w:spacing w:after="0"/>
              <w:rPr>
                <w:sz w:val="20"/>
                <w:szCs w:val="20"/>
                <w:color w:val="auto"/>
              </w:rPr>
            </w:pPr>
            <w:r>
              <w:rPr>
                <w:rFonts w:ascii="Arial" w:cs="Arial" w:eastAsia="Arial" w:hAnsi="Arial"/>
                <w:sz w:val="13"/>
                <w:szCs w:val="13"/>
                <w:i w:val="1"/>
                <w:iCs w:val="1"/>
                <w:color w:val="auto"/>
              </w:rPr>
              <w:t>(In millions, except per share amounts)</w:t>
            </w:r>
          </w:p>
        </w:tc>
        <w:tc>
          <w:tcPr>
            <w:tcW w:w="5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00" w:type="dxa"/>
            <w:vAlign w:val="bottom"/>
          </w:tcPr>
          <w:p>
            <w:pPr>
              <w:spacing w:after="0"/>
              <w:rPr>
                <w:sz w:val="14"/>
                <w:szCs w:val="14"/>
                <w:color w:val="auto"/>
              </w:rPr>
            </w:pPr>
          </w:p>
        </w:tc>
      </w:tr>
      <w:tr>
        <w:trPr>
          <w:trHeight w:val="209"/>
        </w:trPr>
        <w:tc>
          <w:tcPr>
            <w:tcW w:w="410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gridSpan w:val="2"/>
          </w:tcPr>
          <w:p>
            <w:pPr>
              <w:jc w:val="right"/>
              <w:ind w:right="68"/>
              <w:spacing w:after="0"/>
              <w:rPr>
                <w:sz w:val="20"/>
                <w:szCs w:val="20"/>
                <w:color w:val="auto"/>
              </w:rPr>
            </w:pPr>
            <w:r>
              <w:rPr>
                <w:rFonts w:ascii="Arial" w:cs="Arial" w:eastAsia="Arial" w:hAnsi="Arial"/>
                <w:sz w:val="13"/>
                <w:szCs w:val="13"/>
                <w:color w:val="auto"/>
              </w:rPr>
              <w:t>Quarters ended</w:t>
            </w:r>
          </w:p>
        </w:tc>
        <w:tc>
          <w:tcPr>
            <w:tcW w:w="62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r>
      <w:tr>
        <w:trPr>
          <w:trHeight w:val="208"/>
        </w:trPr>
        <w:tc>
          <w:tcPr>
            <w:tcW w:w="41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148"/>
              <w:spacing w:after="0"/>
              <w:rPr>
                <w:sz w:val="20"/>
                <w:szCs w:val="20"/>
                <w:color w:val="auto"/>
              </w:rPr>
            </w:pPr>
            <w:r>
              <w:rPr>
                <w:rFonts w:ascii="Arial" w:cs="Arial" w:eastAsia="Arial" w:hAnsi="Arial"/>
                <w:sz w:val="13"/>
                <w:szCs w:val="13"/>
                <w:color w:val="auto"/>
                <w:w w:val="95"/>
              </w:rPr>
              <w:t>March 31</w:t>
            </w:r>
          </w:p>
        </w:tc>
        <w:tc>
          <w:tcPr>
            <w:tcW w:w="3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89"/>
              <w:spacing w:after="0"/>
              <w:rPr>
                <w:sz w:val="20"/>
                <w:szCs w:val="20"/>
                <w:color w:val="auto"/>
              </w:rPr>
            </w:pPr>
            <w:r>
              <w:rPr>
                <w:rFonts w:ascii="Arial" w:cs="Arial" w:eastAsia="Arial" w:hAnsi="Arial"/>
                <w:sz w:val="13"/>
                <w:szCs w:val="13"/>
                <w:color w:val="auto"/>
              </w:rPr>
              <w:t>June 30</w:t>
            </w:r>
          </w:p>
        </w:tc>
        <w:tc>
          <w:tcPr>
            <w:tcW w:w="1120" w:type="dxa"/>
            <w:vAlign w:val="bottom"/>
            <w:tcBorders>
              <w:bottom w:val="single" w:sz="8" w:color="auto"/>
            </w:tcBorders>
            <w:gridSpan w:val="2"/>
          </w:tcPr>
          <w:p>
            <w:pPr>
              <w:jc w:val="right"/>
              <w:ind w:right="88"/>
              <w:spacing w:after="0"/>
              <w:rPr>
                <w:sz w:val="20"/>
                <w:szCs w:val="20"/>
                <w:color w:val="auto"/>
              </w:rPr>
            </w:pPr>
            <w:r>
              <w:rPr>
                <w:rFonts w:ascii="Arial" w:cs="Arial" w:eastAsia="Arial" w:hAnsi="Arial"/>
                <w:sz w:val="13"/>
                <w:szCs w:val="13"/>
                <w:color w:val="auto"/>
              </w:rPr>
              <w:t>September 30</w:t>
            </w:r>
          </w:p>
        </w:tc>
        <w:tc>
          <w:tcPr>
            <w:tcW w:w="96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color w:val="auto"/>
              </w:rPr>
              <w:t>December 31</w:t>
            </w:r>
          </w:p>
        </w:tc>
      </w:tr>
      <w:tr>
        <w:trPr>
          <w:trHeight w:val="207"/>
        </w:trPr>
        <w:tc>
          <w:tcPr>
            <w:tcW w:w="4100" w:type="dxa"/>
            <w:vAlign w:val="bottom"/>
          </w:tcPr>
          <w:p>
            <w:pPr>
              <w:spacing w:after="0"/>
              <w:rPr>
                <w:sz w:val="20"/>
                <w:szCs w:val="20"/>
                <w:color w:val="auto"/>
              </w:rPr>
            </w:pPr>
            <w:r>
              <w:rPr>
                <w:rFonts w:ascii="Arial" w:cs="Arial" w:eastAsia="Arial" w:hAnsi="Arial"/>
                <w:sz w:val="14"/>
                <w:szCs w:val="14"/>
                <w:b w:val="1"/>
                <w:bCs w:val="1"/>
                <w:color w:val="auto"/>
              </w:rPr>
              <w:t>2008</w:t>
            </w:r>
          </w:p>
        </w:tc>
        <w:tc>
          <w:tcPr>
            <w:tcW w:w="5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216"/>
        </w:trPr>
        <w:tc>
          <w:tcPr>
            <w:tcW w:w="4100" w:type="dxa"/>
            <w:vAlign w:val="bottom"/>
          </w:tcPr>
          <w:p>
            <w:pPr>
              <w:spacing w:after="0"/>
              <w:rPr>
                <w:sz w:val="20"/>
                <w:szCs w:val="20"/>
                <w:color w:val="auto"/>
              </w:rPr>
            </w:pPr>
            <w:r>
              <w:rPr>
                <w:rFonts w:ascii="Arial" w:cs="Arial" w:eastAsia="Arial" w:hAnsi="Arial"/>
                <w:sz w:val="14"/>
                <w:szCs w:val="14"/>
                <w:color w:val="auto"/>
              </w:rPr>
              <w:t>Revenues</w:t>
            </w:r>
          </w:p>
        </w:tc>
        <w:tc>
          <w:tcPr>
            <w:tcW w:w="50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148"/>
              <w:spacing w:after="0"/>
              <w:rPr>
                <w:sz w:val="20"/>
                <w:szCs w:val="20"/>
                <w:color w:val="auto"/>
              </w:rPr>
            </w:pPr>
            <w:r>
              <w:rPr>
                <w:rFonts w:ascii="Arial" w:cs="Arial" w:eastAsia="Arial" w:hAnsi="Arial"/>
                <w:sz w:val="14"/>
                <w:szCs w:val="14"/>
                <w:color w:val="auto"/>
              </w:rPr>
              <w:t>3,270</w:t>
            </w:r>
          </w:p>
        </w:tc>
        <w:tc>
          <w:tcPr>
            <w:tcW w:w="340" w:type="dxa"/>
            <w:vAlign w:val="bottom"/>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89"/>
              <w:spacing w:after="0"/>
              <w:rPr>
                <w:sz w:val="20"/>
                <w:szCs w:val="20"/>
                <w:color w:val="auto"/>
              </w:rPr>
            </w:pPr>
            <w:r>
              <w:rPr>
                <w:rFonts w:ascii="Arial" w:cs="Arial" w:eastAsia="Arial" w:hAnsi="Arial"/>
                <w:sz w:val="14"/>
                <w:szCs w:val="14"/>
                <w:color w:val="auto"/>
              </w:rPr>
              <w:t>2,503</w:t>
            </w:r>
          </w:p>
        </w:tc>
        <w:tc>
          <w:tcPr>
            <w:tcW w:w="5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88"/>
              <w:spacing w:after="0"/>
              <w:rPr>
                <w:sz w:val="20"/>
                <w:szCs w:val="20"/>
                <w:color w:val="auto"/>
              </w:rPr>
            </w:pPr>
            <w:r>
              <w:rPr>
                <w:rFonts w:ascii="Arial" w:cs="Arial" w:eastAsia="Arial" w:hAnsi="Arial"/>
                <w:sz w:val="14"/>
                <w:szCs w:val="14"/>
                <w:color w:val="auto"/>
              </w:rPr>
              <w:t>2,692</w:t>
            </w:r>
          </w:p>
        </w:tc>
        <w:tc>
          <w:tcPr>
            <w:tcW w:w="4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500" w:type="dxa"/>
            <w:vAlign w:val="bottom"/>
          </w:tcPr>
          <w:p>
            <w:pPr>
              <w:jc w:val="right"/>
              <w:spacing w:after="0"/>
              <w:rPr>
                <w:sz w:val="20"/>
                <w:szCs w:val="20"/>
                <w:color w:val="auto"/>
              </w:rPr>
            </w:pPr>
            <w:r>
              <w:rPr>
                <w:rFonts w:ascii="Arial" w:cs="Arial" w:eastAsia="Arial" w:hAnsi="Arial"/>
                <w:sz w:val="14"/>
                <w:szCs w:val="14"/>
                <w:color w:val="auto"/>
              </w:rPr>
              <w:t>2,293</w:t>
            </w:r>
          </w:p>
        </w:tc>
      </w:tr>
      <w:tr>
        <w:trPr>
          <w:trHeight w:val="216"/>
        </w:trPr>
        <w:tc>
          <w:tcPr>
            <w:tcW w:w="4100" w:type="dxa"/>
            <w:vAlign w:val="bottom"/>
          </w:tcPr>
          <w:p>
            <w:pPr>
              <w:spacing w:after="0"/>
              <w:rPr>
                <w:sz w:val="20"/>
                <w:szCs w:val="20"/>
                <w:color w:val="auto"/>
              </w:rPr>
            </w:pPr>
            <w:r>
              <w:rPr>
                <w:rFonts w:ascii="Arial" w:cs="Arial" w:eastAsia="Arial" w:hAnsi="Arial"/>
                <w:sz w:val="14"/>
                <w:szCs w:val="14"/>
                <w:color w:val="auto"/>
              </w:rPr>
              <w:t>Expenses and other income</w:t>
            </w:r>
          </w:p>
        </w:tc>
        <w:tc>
          <w:tcPr>
            <w:tcW w:w="50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148"/>
              <w:spacing w:after="0"/>
              <w:rPr>
                <w:sz w:val="20"/>
                <w:szCs w:val="20"/>
                <w:color w:val="auto"/>
              </w:rPr>
            </w:pPr>
            <w:r>
              <w:rPr>
                <w:rFonts w:ascii="Arial" w:cs="Arial" w:eastAsia="Arial" w:hAnsi="Arial"/>
                <w:sz w:val="14"/>
                <w:szCs w:val="14"/>
                <w:color w:val="auto"/>
              </w:rPr>
              <w:t>2,922</w:t>
            </w:r>
          </w:p>
        </w:tc>
        <w:tc>
          <w:tcPr>
            <w:tcW w:w="340" w:type="dxa"/>
            <w:vAlign w:val="bottom"/>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89"/>
              <w:spacing w:after="0"/>
              <w:rPr>
                <w:sz w:val="20"/>
                <w:szCs w:val="20"/>
                <w:color w:val="auto"/>
              </w:rPr>
            </w:pPr>
            <w:r>
              <w:rPr>
                <w:rFonts w:ascii="Arial" w:cs="Arial" w:eastAsia="Arial" w:hAnsi="Arial"/>
                <w:sz w:val="14"/>
                <w:szCs w:val="14"/>
                <w:color w:val="auto"/>
              </w:rPr>
              <w:t>2,075</w:t>
            </w:r>
          </w:p>
        </w:tc>
        <w:tc>
          <w:tcPr>
            <w:tcW w:w="5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88"/>
              <w:spacing w:after="0"/>
              <w:rPr>
                <w:sz w:val="20"/>
                <w:szCs w:val="20"/>
                <w:color w:val="auto"/>
              </w:rPr>
            </w:pPr>
            <w:r>
              <w:rPr>
                <w:rFonts w:ascii="Arial" w:cs="Arial" w:eastAsia="Arial" w:hAnsi="Arial"/>
                <w:sz w:val="14"/>
                <w:szCs w:val="14"/>
                <w:color w:val="auto"/>
              </w:rPr>
              <w:t>2,308</w:t>
            </w:r>
          </w:p>
        </w:tc>
        <w:tc>
          <w:tcPr>
            <w:tcW w:w="4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500" w:type="dxa"/>
            <w:vAlign w:val="bottom"/>
          </w:tcPr>
          <w:p>
            <w:pPr>
              <w:jc w:val="right"/>
              <w:spacing w:after="0"/>
              <w:rPr>
                <w:sz w:val="20"/>
                <w:szCs w:val="20"/>
                <w:color w:val="auto"/>
              </w:rPr>
            </w:pPr>
            <w:r>
              <w:rPr>
                <w:rFonts w:ascii="Arial" w:cs="Arial" w:eastAsia="Arial" w:hAnsi="Arial"/>
                <w:sz w:val="14"/>
                <w:szCs w:val="14"/>
                <w:color w:val="auto"/>
              </w:rPr>
              <w:t>1,965</w:t>
            </w:r>
          </w:p>
        </w:tc>
      </w:tr>
      <w:tr>
        <w:trPr>
          <w:trHeight w:val="432"/>
        </w:trPr>
        <w:tc>
          <w:tcPr>
            <w:tcW w:w="4100" w:type="dxa"/>
            <w:vAlign w:val="bottom"/>
          </w:tcPr>
          <w:p>
            <w:pPr>
              <w:spacing w:after="0"/>
              <w:rPr>
                <w:sz w:val="20"/>
                <w:szCs w:val="20"/>
                <w:color w:val="auto"/>
              </w:rPr>
            </w:pPr>
            <w:r>
              <w:rPr>
                <w:rFonts w:ascii="Arial" w:cs="Arial" w:eastAsia="Arial" w:hAnsi="Arial"/>
                <w:sz w:val="14"/>
                <w:szCs w:val="14"/>
                <w:color w:val="auto"/>
              </w:rPr>
              <w:t>Income from continuing operations</w:t>
            </w:r>
          </w:p>
        </w:tc>
        <w:tc>
          <w:tcPr>
            <w:tcW w:w="50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148"/>
              <w:spacing w:after="0"/>
              <w:rPr>
                <w:sz w:val="20"/>
                <w:szCs w:val="20"/>
                <w:color w:val="auto"/>
              </w:rPr>
            </w:pPr>
            <w:r>
              <w:rPr>
                <w:rFonts w:ascii="Arial" w:cs="Arial" w:eastAsia="Arial" w:hAnsi="Arial"/>
                <w:sz w:val="14"/>
                <w:szCs w:val="14"/>
                <w:color w:val="auto"/>
              </w:rPr>
              <w:t>242</w:t>
            </w:r>
          </w:p>
        </w:tc>
        <w:tc>
          <w:tcPr>
            <w:tcW w:w="340" w:type="dxa"/>
            <w:vAlign w:val="bottom"/>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89"/>
              <w:spacing w:after="0"/>
              <w:rPr>
                <w:sz w:val="20"/>
                <w:szCs w:val="20"/>
                <w:color w:val="auto"/>
              </w:rPr>
            </w:pPr>
            <w:r>
              <w:rPr>
                <w:rFonts w:ascii="Arial" w:cs="Arial" w:eastAsia="Arial" w:hAnsi="Arial"/>
                <w:sz w:val="14"/>
                <w:szCs w:val="14"/>
                <w:color w:val="auto"/>
              </w:rPr>
              <w:t>244</w:t>
            </w:r>
          </w:p>
        </w:tc>
        <w:tc>
          <w:tcPr>
            <w:tcW w:w="5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88"/>
              <w:spacing w:after="0"/>
              <w:rPr>
                <w:sz w:val="20"/>
                <w:szCs w:val="20"/>
                <w:color w:val="auto"/>
              </w:rPr>
            </w:pPr>
            <w:r>
              <w:rPr>
                <w:rFonts w:ascii="Arial" w:cs="Arial" w:eastAsia="Arial" w:hAnsi="Arial"/>
                <w:sz w:val="14"/>
                <w:szCs w:val="14"/>
                <w:color w:val="auto"/>
              </w:rPr>
              <w:t>308</w:t>
            </w:r>
          </w:p>
        </w:tc>
        <w:tc>
          <w:tcPr>
            <w:tcW w:w="4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500" w:type="dxa"/>
            <w:vAlign w:val="bottom"/>
          </w:tcPr>
          <w:p>
            <w:pPr>
              <w:jc w:val="right"/>
              <w:spacing w:after="0"/>
              <w:rPr>
                <w:sz w:val="20"/>
                <w:szCs w:val="20"/>
                <w:color w:val="auto"/>
              </w:rPr>
            </w:pPr>
            <w:r>
              <w:rPr>
                <w:rFonts w:ascii="Arial" w:cs="Arial" w:eastAsia="Arial" w:hAnsi="Arial"/>
                <w:sz w:val="14"/>
                <w:szCs w:val="14"/>
                <w:color w:val="auto"/>
              </w:rPr>
              <w:t>319</w:t>
            </w:r>
          </w:p>
        </w:tc>
      </w:tr>
      <w:tr>
        <w:trPr>
          <w:trHeight w:val="216"/>
        </w:trPr>
        <w:tc>
          <w:tcPr>
            <w:tcW w:w="4100" w:type="dxa"/>
            <w:vAlign w:val="bottom"/>
          </w:tcPr>
          <w:p>
            <w:pPr>
              <w:spacing w:after="0"/>
              <w:rPr>
                <w:sz w:val="20"/>
                <w:szCs w:val="20"/>
                <w:color w:val="auto"/>
              </w:rPr>
            </w:pPr>
            <w:r>
              <w:rPr>
                <w:rFonts w:ascii="Arial" w:cs="Arial" w:eastAsia="Arial" w:hAnsi="Arial"/>
                <w:sz w:val="14"/>
                <w:szCs w:val="14"/>
                <w:color w:val="auto"/>
              </w:rPr>
              <w:t>Net income</w:t>
            </w:r>
          </w:p>
        </w:tc>
        <w:tc>
          <w:tcPr>
            <w:tcW w:w="50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148"/>
              <w:spacing w:after="0"/>
              <w:rPr>
                <w:sz w:val="20"/>
                <w:szCs w:val="20"/>
                <w:color w:val="auto"/>
              </w:rPr>
            </w:pPr>
            <w:r>
              <w:rPr>
                <w:rFonts w:ascii="Arial" w:cs="Arial" w:eastAsia="Arial" w:hAnsi="Arial"/>
                <w:sz w:val="14"/>
                <w:szCs w:val="14"/>
                <w:color w:val="auto"/>
              </w:rPr>
              <w:t>242</w:t>
            </w:r>
          </w:p>
        </w:tc>
        <w:tc>
          <w:tcPr>
            <w:tcW w:w="340" w:type="dxa"/>
            <w:vAlign w:val="bottom"/>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89"/>
              <w:spacing w:after="0"/>
              <w:rPr>
                <w:sz w:val="20"/>
                <w:szCs w:val="20"/>
                <w:color w:val="auto"/>
              </w:rPr>
            </w:pPr>
            <w:r>
              <w:rPr>
                <w:rFonts w:ascii="Arial" w:cs="Arial" w:eastAsia="Arial" w:hAnsi="Arial"/>
                <w:sz w:val="14"/>
                <w:szCs w:val="14"/>
                <w:color w:val="auto"/>
              </w:rPr>
              <w:t>244</w:t>
            </w:r>
          </w:p>
        </w:tc>
        <w:tc>
          <w:tcPr>
            <w:tcW w:w="5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88"/>
              <w:spacing w:after="0"/>
              <w:rPr>
                <w:sz w:val="20"/>
                <w:szCs w:val="20"/>
                <w:color w:val="auto"/>
              </w:rPr>
            </w:pPr>
            <w:r>
              <w:rPr>
                <w:rFonts w:ascii="Arial" w:cs="Arial" w:eastAsia="Arial" w:hAnsi="Arial"/>
                <w:sz w:val="14"/>
                <w:szCs w:val="14"/>
                <w:color w:val="auto"/>
              </w:rPr>
              <w:t>308</w:t>
            </w:r>
          </w:p>
        </w:tc>
        <w:tc>
          <w:tcPr>
            <w:tcW w:w="4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500" w:type="dxa"/>
            <w:vAlign w:val="bottom"/>
          </w:tcPr>
          <w:p>
            <w:pPr>
              <w:jc w:val="right"/>
              <w:spacing w:after="0"/>
              <w:rPr>
                <w:sz w:val="20"/>
                <w:szCs w:val="20"/>
                <w:color w:val="auto"/>
              </w:rPr>
            </w:pPr>
            <w:r>
              <w:rPr>
                <w:rFonts w:ascii="Arial" w:cs="Arial" w:eastAsia="Arial" w:hAnsi="Arial"/>
                <w:sz w:val="14"/>
                <w:szCs w:val="14"/>
                <w:color w:val="auto"/>
              </w:rPr>
              <w:t>319</w:t>
            </w:r>
          </w:p>
        </w:tc>
      </w:tr>
      <w:tr>
        <w:trPr>
          <w:trHeight w:val="432"/>
        </w:trPr>
        <w:tc>
          <w:tcPr>
            <w:tcW w:w="4100" w:type="dxa"/>
            <w:vAlign w:val="bottom"/>
          </w:tcPr>
          <w:p>
            <w:pPr>
              <w:spacing w:after="0"/>
              <w:rPr>
                <w:sz w:val="20"/>
                <w:szCs w:val="20"/>
                <w:color w:val="auto"/>
              </w:rPr>
            </w:pPr>
            <w:r>
              <w:rPr>
                <w:rFonts w:ascii="Arial" w:cs="Arial" w:eastAsia="Arial" w:hAnsi="Arial"/>
                <w:sz w:val="14"/>
                <w:szCs w:val="14"/>
                <w:color w:val="auto"/>
              </w:rPr>
              <w:t>Basic earnings per share*:</w:t>
            </w:r>
          </w:p>
        </w:tc>
        <w:tc>
          <w:tcPr>
            <w:tcW w:w="5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216"/>
        </w:trPr>
        <w:tc>
          <w:tcPr>
            <w:tcW w:w="4100" w:type="dxa"/>
            <w:vAlign w:val="bottom"/>
          </w:tcPr>
          <w:p>
            <w:pPr>
              <w:ind w:left="460"/>
              <w:spacing w:after="0"/>
              <w:rPr>
                <w:sz w:val="20"/>
                <w:szCs w:val="20"/>
                <w:color w:val="auto"/>
              </w:rPr>
            </w:pPr>
            <w:r>
              <w:rPr>
                <w:rFonts w:ascii="Arial" w:cs="Arial" w:eastAsia="Arial" w:hAnsi="Arial"/>
                <w:sz w:val="14"/>
                <w:szCs w:val="14"/>
                <w:color w:val="auto"/>
              </w:rPr>
              <w:t>Income from continuing operations</w:t>
            </w:r>
          </w:p>
        </w:tc>
        <w:tc>
          <w:tcPr>
            <w:tcW w:w="50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148"/>
              <w:spacing w:after="0"/>
              <w:rPr>
                <w:sz w:val="20"/>
                <w:szCs w:val="20"/>
                <w:color w:val="auto"/>
              </w:rPr>
            </w:pPr>
            <w:r>
              <w:rPr>
                <w:rFonts w:ascii="Arial" w:cs="Arial" w:eastAsia="Arial" w:hAnsi="Arial"/>
                <w:sz w:val="14"/>
                <w:szCs w:val="14"/>
                <w:color w:val="auto"/>
              </w:rPr>
              <w:t>0.94</w:t>
            </w:r>
          </w:p>
        </w:tc>
        <w:tc>
          <w:tcPr>
            <w:tcW w:w="340" w:type="dxa"/>
            <w:vAlign w:val="bottom"/>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89"/>
              <w:spacing w:after="0"/>
              <w:rPr>
                <w:sz w:val="20"/>
                <w:szCs w:val="20"/>
                <w:color w:val="auto"/>
              </w:rPr>
            </w:pPr>
            <w:r>
              <w:rPr>
                <w:rFonts w:ascii="Arial" w:cs="Arial" w:eastAsia="Arial" w:hAnsi="Arial"/>
                <w:sz w:val="14"/>
                <w:szCs w:val="14"/>
                <w:color w:val="auto"/>
              </w:rPr>
              <w:t>0.99</w:t>
            </w:r>
          </w:p>
        </w:tc>
        <w:tc>
          <w:tcPr>
            <w:tcW w:w="5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88"/>
              <w:spacing w:after="0"/>
              <w:rPr>
                <w:sz w:val="20"/>
                <w:szCs w:val="20"/>
                <w:color w:val="auto"/>
              </w:rPr>
            </w:pPr>
            <w:r>
              <w:rPr>
                <w:rFonts w:ascii="Arial" w:cs="Arial" w:eastAsia="Arial" w:hAnsi="Arial"/>
                <w:sz w:val="14"/>
                <w:szCs w:val="14"/>
                <w:color w:val="auto"/>
              </w:rPr>
              <w:t>1.26</w:t>
            </w:r>
          </w:p>
        </w:tc>
        <w:tc>
          <w:tcPr>
            <w:tcW w:w="4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500" w:type="dxa"/>
            <w:vAlign w:val="bottom"/>
          </w:tcPr>
          <w:p>
            <w:pPr>
              <w:jc w:val="right"/>
              <w:spacing w:after="0"/>
              <w:rPr>
                <w:sz w:val="20"/>
                <w:szCs w:val="20"/>
                <w:color w:val="auto"/>
              </w:rPr>
            </w:pPr>
            <w:r>
              <w:rPr>
                <w:rFonts w:ascii="Arial" w:cs="Arial" w:eastAsia="Arial" w:hAnsi="Arial"/>
                <w:sz w:val="14"/>
                <w:szCs w:val="14"/>
                <w:color w:val="auto"/>
              </w:rPr>
              <w:t>1.32</w:t>
            </w:r>
          </w:p>
        </w:tc>
      </w:tr>
      <w:tr>
        <w:trPr>
          <w:trHeight w:val="216"/>
        </w:trPr>
        <w:tc>
          <w:tcPr>
            <w:tcW w:w="4100" w:type="dxa"/>
            <w:vAlign w:val="bottom"/>
          </w:tcPr>
          <w:p>
            <w:pPr>
              <w:ind w:left="460"/>
              <w:spacing w:after="0"/>
              <w:rPr>
                <w:sz w:val="20"/>
                <w:szCs w:val="20"/>
                <w:color w:val="auto"/>
              </w:rPr>
            </w:pPr>
            <w:r>
              <w:rPr>
                <w:rFonts w:ascii="Arial" w:cs="Arial" w:eastAsia="Arial" w:hAnsi="Arial"/>
                <w:sz w:val="14"/>
                <w:szCs w:val="14"/>
                <w:color w:val="auto"/>
              </w:rPr>
              <w:t>Net income</w:t>
            </w:r>
          </w:p>
        </w:tc>
        <w:tc>
          <w:tcPr>
            <w:tcW w:w="50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148"/>
              <w:spacing w:after="0"/>
              <w:rPr>
                <w:sz w:val="20"/>
                <w:szCs w:val="20"/>
                <w:color w:val="auto"/>
              </w:rPr>
            </w:pPr>
            <w:r>
              <w:rPr>
                <w:rFonts w:ascii="Arial" w:cs="Arial" w:eastAsia="Arial" w:hAnsi="Arial"/>
                <w:sz w:val="14"/>
                <w:szCs w:val="14"/>
                <w:color w:val="auto"/>
              </w:rPr>
              <w:t>0.94</w:t>
            </w:r>
          </w:p>
        </w:tc>
        <w:tc>
          <w:tcPr>
            <w:tcW w:w="340" w:type="dxa"/>
            <w:vAlign w:val="bottom"/>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89"/>
              <w:spacing w:after="0"/>
              <w:rPr>
                <w:sz w:val="20"/>
                <w:szCs w:val="20"/>
                <w:color w:val="auto"/>
              </w:rPr>
            </w:pPr>
            <w:r>
              <w:rPr>
                <w:rFonts w:ascii="Arial" w:cs="Arial" w:eastAsia="Arial" w:hAnsi="Arial"/>
                <w:sz w:val="14"/>
                <w:szCs w:val="14"/>
                <w:color w:val="auto"/>
              </w:rPr>
              <w:t>0.99</w:t>
            </w:r>
          </w:p>
        </w:tc>
        <w:tc>
          <w:tcPr>
            <w:tcW w:w="5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88"/>
              <w:spacing w:after="0"/>
              <w:rPr>
                <w:sz w:val="20"/>
                <w:szCs w:val="20"/>
                <w:color w:val="auto"/>
              </w:rPr>
            </w:pPr>
            <w:r>
              <w:rPr>
                <w:rFonts w:ascii="Arial" w:cs="Arial" w:eastAsia="Arial" w:hAnsi="Arial"/>
                <w:sz w:val="14"/>
                <w:szCs w:val="14"/>
                <w:color w:val="auto"/>
              </w:rPr>
              <w:t>1.26</w:t>
            </w:r>
          </w:p>
        </w:tc>
        <w:tc>
          <w:tcPr>
            <w:tcW w:w="4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500" w:type="dxa"/>
            <w:vAlign w:val="bottom"/>
          </w:tcPr>
          <w:p>
            <w:pPr>
              <w:jc w:val="right"/>
              <w:spacing w:after="0"/>
              <w:rPr>
                <w:sz w:val="20"/>
                <w:szCs w:val="20"/>
                <w:color w:val="auto"/>
              </w:rPr>
            </w:pPr>
            <w:r>
              <w:rPr>
                <w:rFonts w:ascii="Arial" w:cs="Arial" w:eastAsia="Arial" w:hAnsi="Arial"/>
                <w:sz w:val="14"/>
                <w:szCs w:val="14"/>
                <w:color w:val="auto"/>
              </w:rPr>
              <w:t>1.32</w:t>
            </w:r>
          </w:p>
        </w:tc>
      </w:tr>
      <w:tr>
        <w:trPr>
          <w:trHeight w:val="216"/>
        </w:trPr>
        <w:tc>
          <w:tcPr>
            <w:tcW w:w="4100" w:type="dxa"/>
            <w:vAlign w:val="bottom"/>
          </w:tcPr>
          <w:p>
            <w:pPr>
              <w:ind w:left="460"/>
              <w:spacing w:after="0"/>
              <w:rPr>
                <w:sz w:val="20"/>
                <w:szCs w:val="20"/>
                <w:color w:val="auto"/>
              </w:rPr>
            </w:pPr>
            <w:r>
              <w:rPr>
                <w:rFonts w:ascii="Arial" w:cs="Arial" w:eastAsia="Arial" w:hAnsi="Arial"/>
                <w:sz w:val="14"/>
                <w:szCs w:val="14"/>
                <w:color w:val="auto"/>
              </w:rPr>
              <w:t>Average common shares outstanding</w:t>
            </w:r>
          </w:p>
        </w:tc>
        <w:tc>
          <w:tcPr>
            <w:tcW w:w="500" w:type="dxa"/>
            <w:vAlign w:val="bottom"/>
          </w:tcPr>
          <w:p>
            <w:pPr>
              <w:spacing w:after="0"/>
              <w:rPr>
                <w:sz w:val="18"/>
                <w:szCs w:val="18"/>
                <w:color w:val="auto"/>
              </w:rPr>
            </w:pPr>
          </w:p>
        </w:tc>
        <w:tc>
          <w:tcPr>
            <w:tcW w:w="760" w:type="dxa"/>
            <w:vAlign w:val="bottom"/>
          </w:tcPr>
          <w:p>
            <w:pPr>
              <w:jc w:val="right"/>
              <w:ind w:right="148"/>
              <w:spacing w:after="0"/>
              <w:rPr>
                <w:sz w:val="20"/>
                <w:szCs w:val="20"/>
                <w:color w:val="auto"/>
              </w:rPr>
            </w:pPr>
            <w:r>
              <w:rPr>
                <w:rFonts w:ascii="Arial" w:cs="Arial" w:eastAsia="Arial" w:hAnsi="Arial"/>
                <w:sz w:val="14"/>
                <w:szCs w:val="14"/>
                <w:color w:val="auto"/>
              </w:rPr>
              <w:t>258.6</w:t>
            </w:r>
          </w:p>
        </w:tc>
        <w:tc>
          <w:tcPr>
            <w:tcW w:w="340" w:type="dxa"/>
            <w:vAlign w:val="bottom"/>
          </w:tcPr>
          <w:p>
            <w:pPr>
              <w:spacing w:after="0"/>
              <w:rPr>
                <w:sz w:val="18"/>
                <w:szCs w:val="18"/>
                <w:color w:val="auto"/>
              </w:rPr>
            </w:pPr>
          </w:p>
        </w:tc>
        <w:tc>
          <w:tcPr>
            <w:tcW w:w="660" w:type="dxa"/>
            <w:vAlign w:val="bottom"/>
          </w:tcPr>
          <w:p>
            <w:pPr>
              <w:jc w:val="right"/>
              <w:ind w:right="89"/>
              <w:spacing w:after="0"/>
              <w:rPr>
                <w:sz w:val="20"/>
                <w:szCs w:val="20"/>
                <w:color w:val="auto"/>
              </w:rPr>
            </w:pPr>
            <w:r>
              <w:rPr>
                <w:rFonts w:ascii="Arial" w:cs="Arial" w:eastAsia="Arial" w:hAnsi="Arial"/>
                <w:sz w:val="14"/>
                <w:szCs w:val="14"/>
                <w:color w:val="auto"/>
              </w:rPr>
              <w:t>245.6</w:t>
            </w:r>
          </w:p>
        </w:tc>
        <w:tc>
          <w:tcPr>
            <w:tcW w:w="500" w:type="dxa"/>
            <w:vAlign w:val="bottom"/>
          </w:tcPr>
          <w:p>
            <w:pPr>
              <w:spacing w:after="0"/>
              <w:rPr>
                <w:sz w:val="18"/>
                <w:szCs w:val="18"/>
                <w:color w:val="auto"/>
              </w:rPr>
            </w:pPr>
          </w:p>
        </w:tc>
        <w:tc>
          <w:tcPr>
            <w:tcW w:w="620" w:type="dxa"/>
            <w:vAlign w:val="bottom"/>
          </w:tcPr>
          <w:p>
            <w:pPr>
              <w:jc w:val="right"/>
              <w:ind w:right="88"/>
              <w:spacing w:after="0"/>
              <w:rPr>
                <w:sz w:val="20"/>
                <w:szCs w:val="20"/>
                <w:color w:val="auto"/>
              </w:rPr>
            </w:pPr>
            <w:r>
              <w:rPr>
                <w:rFonts w:ascii="Arial" w:cs="Arial" w:eastAsia="Arial" w:hAnsi="Arial"/>
                <w:sz w:val="14"/>
                <w:szCs w:val="14"/>
                <w:color w:val="auto"/>
              </w:rPr>
              <w:t>243.8</w:t>
            </w:r>
          </w:p>
        </w:tc>
        <w:tc>
          <w:tcPr>
            <w:tcW w:w="4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241.7</w:t>
            </w:r>
          </w:p>
        </w:tc>
      </w:tr>
      <w:tr>
        <w:trPr>
          <w:trHeight w:val="432"/>
        </w:trPr>
        <w:tc>
          <w:tcPr>
            <w:tcW w:w="4100" w:type="dxa"/>
            <w:vAlign w:val="bottom"/>
          </w:tcPr>
          <w:p>
            <w:pPr>
              <w:spacing w:after="0"/>
              <w:rPr>
                <w:sz w:val="20"/>
                <w:szCs w:val="20"/>
                <w:color w:val="auto"/>
              </w:rPr>
            </w:pPr>
            <w:r>
              <w:rPr>
                <w:rFonts w:ascii="Arial" w:cs="Arial" w:eastAsia="Arial" w:hAnsi="Arial"/>
                <w:sz w:val="14"/>
                <w:szCs w:val="14"/>
                <w:color w:val="auto"/>
              </w:rPr>
              <w:t>Diluted earnings per share*:</w:t>
            </w:r>
          </w:p>
        </w:tc>
        <w:tc>
          <w:tcPr>
            <w:tcW w:w="5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216"/>
        </w:trPr>
        <w:tc>
          <w:tcPr>
            <w:tcW w:w="4100" w:type="dxa"/>
            <w:vAlign w:val="bottom"/>
          </w:tcPr>
          <w:p>
            <w:pPr>
              <w:ind w:left="460"/>
              <w:spacing w:after="0"/>
              <w:rPr>
                <w:sz w:val="20"/>
                <w:szCs w:val="20"/>
                <w:color w:val="auto"/>
              </w:rPr>
            </w:pPr>
            <w:r>
              <w:rPr>
                <w:rFonts w:ascii="Arial" w:cs="Arial" w:eastAsia="Arial" w:hAnsi="Arial"/>
                <w:sz w:val="14"/>
                <w:szCs w:val="14"/>
                <w:color w:val="auto"/>
              </w:rPr>
              <w:t>Income from continuing operations</w:t>
            </w:r>
          </w:p>
        </w:tc>
        <w:tc>
          <w:tcPr>
            <w:tcW w:w="50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148"/>
              <w:spacing w:after="0"/>
              <w:rPr>
                <w:sz w:val="20"/>
                <w:szCs w:val="20"/>
                <w:color w:val="auto"/>
              </w:rPr>
            </w:pPr>
            <w:r>
              <w:rPr>
                <w:rFonts w:ascii="Arial" w:cs="Arial" w:eastAsia="Arial" w:hAnsi="Arial"/>
                <w:sz w:val="14"/>
                <w:szCs w:val="14"/>
                <w:color w:val="auto"/>
              </w:rPr>
              <w:t>0.92</w:t>
            </w:r>
          </w:p>
        </w:tc>
        <w:tc>
          <w:tcPr>
            <w:tcW w:w="340" w:type="dxa"/>
            <w:vAlign w:val="bottom"/>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89"/>
              <w:spacing w:after="0"/>
              <w:rPr>
                <w:sz w:val="20"/>
                <w:szCs w:val="20"/>
                <w:color w:val="auto"/>
              </w:rPr>
            </w:pPr>
            <w:r>
              <w:rPr>
                <w:rFonts w:ascii="Arial" w:cs="Arial" w:eastAsia="Arial" w:hAnsi="Arial"/>
                <w:sz w:val="14"/>
                <w:szCs w:val="14"/>
                <w:color w:val="auto"/>
              </w:rPr>
              <w:t>0.98</w:t>
            </w:r>
          </w:p>
        </w:tc>
        <w:tc>
          <w:tcPr>
            <w:tcW w:w="5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88"/>
              <w:spacing w:after="0"/>
              <w:rPr>
                <w:sz w:val="20"/>
                <w:szCs w:val="20"/>
                <w:color w:val="auto"/>
              </w:rPr>
            </w:pPr>
            <w:r>
              <w:rPr>
                <w:rFonts w:ascii="Arial" w:cs="Arial" w:eastAsia="Arial" w:hAnsi="Arial"/>
                <w:sz w:val="14"/>
                <w:szCs w:val="14"/>
                <w:color w:val="auto"/>
              </w:rPr>
              <w:t>1.24</w:t>
            </w:r>
          </w:p>
        </w:tc>
        <w:tc>
          <w:tcPr>
            <w:tcW w:w="4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500" w:type="dxa"/>
            <w:vAlign w:val="bottom"/>
          </w:tcPr>
          <w:p>
            <w:pPr>
              <w:jc w:val="right"/>
              <w:spacing w:after="0"/>
              <w:rPr>
                <w:sz w:val="20"/>
                <w:szCs w:val="20"/>
                <w:color w:val="auto"/>
              </w:rPr>
            </w:pPr>
            <w:r>
              <w:rPr>
                <w:rFonts w:ascii="Arial" w:cs="Arial" w:eastAsia="Arial" w:hAnsi="Arial"/>
                <w:sz w:val="14"/>
                <w:szCs w:val="14"/>
                <w:color w:val="auto"/>
              </w:rPr>
              <w:t>1.30</w:t>
            </w:r>
          </w:p>
        </w:tc>
      </w:tr>
      <w:tr>
        <w:trPr>
          <w:trHeight w:val="216"/>
        </w:trPr>
        <w:tc>
          <w:tcPr>
            <w:tcW w:w="4100" w:type="dxa"/>
            <w:vAlign w:val="bottom"/>
          </w:tcPr>
          <w:p>
            <w:pPr>
              <w:ind w:left="460"/>
              <w:spacing w:after="0"/>
              <w:rPr>
                <w:sz w:val="20"/>
                <w:szCs w:val="20"/>
                <w:color w:val="auto"/>
              </w:rPr>
            </w:pPr>
            <w:r>
              <w:rPr>
                <w:rFonts w:ascii="Arial" w:cs="Arial" w:eastAsia="Arial" w:hAnsi="Arial"/>
                <w:sz w:val="14"/>
                <w:szCs w:val="14"/>
                <w:color w:val="auto"/>
              </w:rPr>
              <w:t>Net income</w:t>
            </w:r>
          </w:p>
        </w:tc>
        <w:tc>
          <w:tcPr>
            <w:tcW w:w="50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148"/>
              <w:spacing w:after="0"/>
              <w:rPr>
                <w:sz w:val="20"/>
                <w:szCs w:val="20"/>
                <w:color w:val="auto"/>
              </w:rPr>
            </w:pPr>
            <w:r>
              <w:rPr>
                <w:rFonts w:ascii="Arial" w:cs="Arial" w:eastAsia="Arial" w:hAnsi="Arial"/>
                <w:sz w:val="14"/>
                <w:szCs w:val="14"/>
                <w:color w:val="auto"/>
              </w:rPr>
              <w:t>0.92</w:t>
            </w:r>
          </w:p>
        </w:tc>
        <w:tc>
          <w:tcPr>
            <w:tcW w:w="340" w:type="dxa"/>
            <w:vAlign w:val="bottom"/>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89"/>
              <w:spacing w:after="0"/>
              <w:rPr>
                <w:sz w:val="20"/>
                <w:szCs w:val="20"/>
                <w:color w:val="auto"/>
              </w:rPr>
            </w:pPr>
            <w:r>
              <w:rPr>
                <w:rFonts w:ascii="Arial" w:cs="Arial" w:eastAsia="Arial" w:hAnsi="Arial"/>
                <w:sz w:val="14"/>
                <w:szCs w:val="14"/>
                <w:color w:val="auto"/>
              </w:rPr>
              <w:t>0.98</w:t>
            </w:r>
          </w:p>
        </w:tc>
        <w:tc>
          <w:tcPr>
            <w:tcW w:w="5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88"/>
              <w:spacing w:after="0"/>
              <w:rPr>
                <w:sz w:val="20"/>
                <w:szCs w:val="20"/>
                <w:color w:val="auto"/>
              </w:rPr>
            </w:pPr>
            <w:r>
              <w:rPr>
                <w:rFonts w:ascii="Arial" w:cs="Arial" w:eastAsia="Arial" w:hAnsi="Arial"/>
                <w:sz w:val="14"/>
                <w:szCs w:val="14"/>
                <w:color w:val="auto"/>
              </w:rPr>
              <w:t>1.24</w:t>
            </w:r>
          </w:p>
        </w:tc>
        <w:tc>
          <w:tcPr>
            <w:tcW w:w="4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500" w:type="dxa"/>
            <w:vAlign w:val="bottom"/>
          </w:tcPr>
          <w:p>
            <w:pPr>
              <w:jc w:val="right"/>
              <w:spacing w:after="0"/>
              <w:rPr>
                <w:sz w:val="20"/>
                <w:szCs w:val="20"/>
                <w:color w:val="auto"/>
              </w:rPr>
            </w:pPr>
            <w:r>
              <w:rPr>
                <w:rFonts w:ascii="Arial" w:cs="Arial" w:eastAsia="Arial" w:hAnsi="Arial"/>
                <w:sz w:val="14"/>
                <w:szCs w:val="14"/>
                <w:color w:val="auto"/>
              </w:rPr>
              <w:t>1.30</w:t>
            </w:r>
          </w:p>
        </w:tc>
      </w:tr>
      <w:tr>
        <w:trPr>
          <w:trHeight w:val="238"/>
        </w:trPr>
        <w:tc>
          <w:tcPr>
            <w:tcW w:w="4100" w:type="dxa"/>
            <w:vAlign w:val="bottom"/>
            <w:tcBorders>
              <w:bottom w:val="single" w:sz="8" w:color="auto"/>
            </w:tcBorders>
          </w:tcPr>
          <w:p>
            <w:pPr>
              <w:ind w:left="460"/>
              <w:spacing w:after="0"/>
              <w:rPr>
                <w:sz w:val="20"/>
                <w:szCs w:val="20"/>
                <w:color w:val="auto"/>
              </w:rPr>
            </w:pPr>
            <w:r>
              <w:rPr>
                <w:rFonts w:ascii="Arial" w:cs="Arial" w:eastAsia="Arial" w:hAnsi="Arial"/>
                <w:sz w:val="14"/>
                <w:szCs w:val="14"/>
                <w:color w:val="auto"/>
              </w:rPr>
              <w:t>Average common shares outstanding</w:t>
            </w:r>
          </w:p>
        </w:tc>
        <w:tc>
          <w:tcPr>
            <w:tcW w:w="5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262.7</w:t>
            </w:r>
          </w:p>
        </w:tc>
        <w:tc>
          <w:tcPr>
            <w:tcW w:w="3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rPr>
              <w:t>249.7</w:t>
            </w:r>
          </w:p>
        </w:tc>
        <w:tc>
          <w:tcPr>
            <w:tcW w:w="50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247.9</w:t>
            </w:r>
          </w:p>
        </w:tc>
        <w:tc>
          <w:tcPr>
            <w:tcW w:w="46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244.5</w:t>
            </w:r>
          </w:p>
        </w:tc>
      </w:tr>
      <w:tr>
        <w:trPr>
          <w:trHeight w:val="210"/>
        </w:trPr>
        <w:tc>
          <w:tcPr>
            <w:tcW w:w="4100" w:type="dxa"/>
            <w:vAlign w:val="bottom"/>
          </w:tcPr>
          <w:p>
            <w:pPr>
              <w:spacing w:after="0"/>
              <w:rPr>
                <w:sz w:val="20"/>
                <w:szCs w:val="20"/>
                <w:color w:val="auto"/>
              </w:rPr>
            </w:pPr>
            <w:r>
              <w:rPr>
                <w:rFonts w:ascii="Arial" w:cs="Arial" w:eastAsia="Arial" w:hAnsi="Arial"/>
                <w:sz w:val="14"/>
                <w:szCs w:val="14"/>
                <w:b w:val="1"/>
                <w:bCs w:val="1"/>
                <w:color w:val="auto"/>
              </w:rPr>
              <w:t>2007</w:t>
            </w:r>
          </w:p>
        </w:tc>
        <w:tc>
          <w:tcPr>
            <w:tcW w:w="5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216"/>
        </w:trPr>
        <w:tc>
          <w:tcPr>
            <w:tcW w:w="4100" w:type="dxa"/>
            <w:vAlign w:val="bottom"/>
          </w:tcPr>
          <w:p>
            <w:pPr>
              <w:spacing w:after="0"/>
              <w:rPr>
                <w:sz w:val="20"/>
                <w:szCs w:val="20"/>
                <w:color w:val="auto"/>
              </w:rPr>
            </w:pPr>
            <w:r>
              <w:rPr>
                <w:rFonts w:ascii="Arial" w:cs="Arial" w:eastAsia="Arial" w:hAnsi="Arial"/>
                <w:sz w:val="14"/>
                <w:szCs w:val="14"/>
                <w:color w:val="auto"/>
              </w:rPr>
              <w:t>Revenues</w:t>
            </w:r>
          </w:p>
        </w:tc>
        <w:tc>
          <w:tcPr>
            <w:tcW w:w="50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148"/>
              <w:spacing w:after="0"/>
              <w:rPr>
                <w:sz w:val="20"/>
                <w:szCs w:val="20"/>
                <w:color w:val="auto"/>
              </w:rPr>
            </w:pPr>
            <w:r>
              <w:rPr>
                <w:rFonts w:ascii="Arial" w:cs="Arial" w:eastAsia="Arial" w:hAnsi="Arial"/>
                <w:sz w:val="14"/>
                <w:szCs w:val="14"/>
                <w:color w:val="auto"/>
              </w:rPr>
              <w:t>3,004</w:t>
            </w:r>
          </w:p>
        </w:tc>
        <w:tc>
          <w:tcPr>
            <w:tcW w:w="340" w:type="dxa"/>
            <w:vAlign w:val="bottom"/>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89"/>
              <w:spacing w:after="0"/>
              <w:rPr>
                <w:sz w:val="20"/>
                <w:szCs w:val="20"/>
                <w:color w:val="auto"/>
              </w:rPr>
            </w:pPr>
            <w:r>
              <w:rPr>
                <w:rFonts w:ascii="Arial" w:cs="Arial" w:eastAsia="Arial" w:hAnsi="Arial"/>
                <w:sz w:val="14"/>
                <w:szCs w:val="14"/>
                <w:color w:val="auto"/>
              </w:rPr>
              <w:t>2,661</w:t>
            </w:r>
          </w:p>
        </w:tc>
        <w:tc>
          <w:tcPr>
            <w:tcW w:w="5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88"/>
              <w:spacing w:after="0"/>
              <w:rPr>
                <w:sz w:val="20"/>
                <w:szCs w:val="20"/>
                <w:color w:val="auto"/>
              </w:rPr>
            </w:pPr>
            <w:r>
              <w:rPr>
                <w:rFonts w:ascii="Arial" w:cs="Arial" w:eastAsia="Arial" w:hAnsi="Arial"/>
                <w:sz w:val="14"/>
                <w:szCs w:val="14"/>
                <w:color w:val="auto"/>
              </w:rPr>
              <w:t>2,663</w:t>
            </w:r>
          </w:p>
        </w:tc>
        <w:tc>
          <w:tcPr>
            <w:tcW w:w="4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500" w:type="dxa"/>
            <w:vAlign w:val="bottom"/>
          </w:tcPr>
          <w:p>
            <w:pPr>
              <w:jc w:val="right"/>
              <w:spacing w:after="0"/>
              <w:rPr>
                <w:sz w:val="20"/>
                <w:szCs w:val="20"/>
                <w:color w:val="auto"/>
              </w:rPr>
            </w:pPr>
            <w:r>
              <w:rPr>
                <w:rFonts w:ascii="Arial" w:cs="Arial" w:eastAsia="Arial" w:hAnsi="Arial"/>
                <w:sz w:val="14"/>
                <w:szCs w:val="14"/>
                <w:color w:val="auto"/>
              </w:rPr>
              <w:t>3,110</w:t>
            </w:r>
          </w:p>
        </w:tc>
      </w:tr>
      <w:tr>
        <w:trPr>
          <w:trHeight w:val="216"/>
        </w:trPr>
        <w:tc>
          <w:tcPr>
            <w:tcW w:w="4100" w:type="dxa"/>
            <w:vAlign w:val="bottom"/>
          </w:tcPr>
          <w:p>
            <w:pPr>
              <w:spacing w:after="0"/>
              <w:rPr>
                <w:sz w:val="20"/>
                <w:szCs w:val="20"/>
                <w:color w:val="auto"/>
              </w:rPr>
            </w:pPr>
            <w:r>
              <w:rPr>
                <w:rFonts w:ascii="Arial" w:cs="Arial" w:eastAsia="Arial" w:hAnsi="Arial"/>
                <w:sz w:val="14"/>
                <w:szCs w:val="14"/>
                <w:color w:val="auto"/>
              </w:rPr>
              <w:t>Expenses and other income</w:t>
            </w:r>
          </w:p>
        </w:tc>
        <w:tc>
          <w:tcPr>
            <w:tcW w:w="50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148"/>
              <w:spacing w:after="0"/>
              <w:rPr>
                <w:sz w:val="20"/>
                <w:szCs w:val="20"/>
                <w:color w:val="auto"/>
              </w:rPr>
            </w:pPr>
            <w:r>
              <w:rPr>
                <w:rFonts w:ascii="Arial" w:cs="Arial" w:eastAsia="Arial" w:hAnsi="Arial"/>
                <w:sz w:val="14"/>
                <w:szCs w:val="14"/>
                <w:color w:val="auto"/>
              </w:rPr>
              <w:t>2,772</w:t>
            </w:r>
          </w:p>
        </w:tc>
        <w:tc>
          <w:tcPr>
            <w:tcW w:w="340" w:type="dxa"/>
            <w:vAlign w:val="bottom"/>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89"/>
              <w:spacing w:after="0"/>
              <w:rPr>
                <w:sz w:val="20"/>
                <w:szCs w:val="20"/>
                <w:color w:val="auto"/>
              </w:rPr>
            </w:pPr>
            <w:r>
              <w:rPr>
                <w:rFonts w:ascii="Arial" w:cs="Arial" w:eastAsia="Arial" w:hAnsi="Arial"/>
                <w:sz w:val="14"/>
                <w:szCs w:val="14"/>
                <w:color w:val="auto"/>
              </w:rPr>
              <w:t>2,247</w:t>
            </w:r>
          </w:p>
        </w:tc>
        <w:tc>
          <w:tcPr>
            <w:tcW w:w="5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88"/>
              <w:spacing w:after="0"/>
              <w:rPr>
                <w:sz w:val="20"/>
                <w:szCs w:val="20"/>
                <w:color w:val="auto"/>
              </w:rPr>
            </w:pPr>
            <w:r>
              <w:rPr>
                <w:rFonts w:ascii="Arial" w:cs="Arial" w:eastAsia="Arial" w:hAnsi="Arial"/>
                <w:sz w:val="14"/>
                <w:szCs w:val="14"/>
                <w:color w:val="auto"/>
              </w:rPr>
              <w:t>2,217</w:t>
            </w:r>
          </w:p>
        </w:tc>
        <w:tc>
          <w:tcPr>
            <w:tcW w:w="4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500" w:type="dxa"/>
            <w:vAlign w:val="bottom"/>
          </w:tcPr>
          <w:p>
            <w:pPr>
              <w:jc w:val="right"/>
              <w:spacing w:after="0"/>
              <w:rPr>
                <w:sz w:val="20"/>
                <w:szCs w:val="20"/>
                <w:color w:val="auto"/>
              </w:rPr>
            </w:pPr>
            <w:r>
              <w:rPr>
                <w:rFonts w:ascii="Arial" w:cs="Arial" w:eastAsia="Arial" w:hAnsi="Arial"/>
                <w:sz w:val="14"/>
                <w:szCs w:val="14"/>
                <w:color w:val="auto"/>
              </w:rPr>
              <w:t>2,652</w:t>
            </w:r>
          </w:p>
        </w:tc>
      </w:tr>
      <w:tr>
        <w:trPr>
          <w:trHeight w:val="432"/>
        </w:trPr>
        <w:tc>
          <w:tcPr>
            <w:tcW w:w="4100" w:type="dxa"/>
            <w:vAlign w:val="bottom"/>
          </w:tcPr>
          <w:p>
            <w:pPr>
              <w:spacing w:after="0"/>
              <w:rPr>
                <w:sz w:val="20"/>
                <w:szCs w:val="20"/>
                <w:color w:val="auto"/>
              </w:rPr>
            </w:pPr>
            <w:r>
              <w:rPr>
                <w:rFonts w:ascii="Arial" w:cs="Arial" w:eastAsia="Arial" w:hAnsi="Arial"/>
                <w:sz w:val="14"/>
                <w:szCs w:val="14"/>
                <w:color w:val="auto"/>
              </w:rPr>
              <w:t>Income from continuing operations</w:t>
            </w:r>
          </w:p>
        </w:tc>
        <w:tc>
          <w:tcPr>
            <w:tcW w:w="50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148"/>
              <w:spacing w:after="0"/>
              <w:rPr>
                <w:sz w:val="20"/>
                <w:szCs w:val="20"/>
                <w:color w:val="auto"/>
              </w:rPr>
            </w:pPr>
            <w:r>
              <w:rPr>
                <w:rFonts w:ascii="Arial" w:cs="Arial" w:eastAsia="Arial" w:hAnsi="Arial"/>
                <w:sz w:val="14"/>
                <w:szCs w:val="14"/>
                <w:color w:val="auto"/>
              </w:rPr>
              <w:t>227</w:t>
            </w:r>
          </w:p>
        </w:tc>
        <w:tc>
          <w:tcPr>
            <w:tcW w:w="340" w:type="dxa"/>
            <w:vAlign w:val="bottom"/>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89"/>
              <w:spacing w:after="0"/>
              <w:rPr>
                <w:sz w:val="20"/>
                <w:szCs w:val="20"/>
                <w:color w:val="auto"/>
              </w:rPr>
            </w:pPr>
            <w:r>
              <w:rPr>
                <w:rFonts w:ascii="Arial" w:cs="Arial" w:eastAsia="Arial" w:hAnsi="Arial"/>
                <w:sz w:val="14"/>
                <w:szCs w:val="14"/>
                <w:color w:val="auto"/>
              </w:rPr>
              <w:t>280</w:t>
            </w:r>
          </w:p>
        </w:tc>
        <w:tc>
          <w:tcPr>
            <w:tcW w:w="5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88"/>
              <w:spacing w:after="0"/>
              <w:rPr>
                <w:sz w:val="20"/>
                <w:szCs w:val="20"/>
                <w:color w:val="auto"/>
              </w:rPr>
            </w:pPr>
            <w:r>
              <w:rPr>
                <w:rFonts w:ascii="Arial" w:cs="Arial" w:eastAsia="Arial" w:hAnsi="Arial"/>
                <w:sz w:val="14"/>
                <w:szCs w:val="14"/>
                <w:color w:val="auto"/>
              </w:rPr>
              <w:t>330</w:t>
            </w:r>
          </w:p>
        </w:tc>
        <w:tc>
          <w:tcPr>
            <w:tcW w:w="4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500" w:type="dxa"/>
            <w:vAlign w:val="bottom"/>
          </w:tcPr>
          <w:p>
            <w:pPr>
              <w:jc w:val="right"/>
              <w:spacing w:after="0"/>
              <w:rPr>
                <w:sz w:val="20"/>
                <w:szCs w:val="20"/>
                <w:color w:val="auto"/>
              </w:rPr>
            </w:pPr>
            <w:r>
              <w:rPr>
                <w:rFonts w:ascii="Arial" w:cs="Arial" w:eastAsia="Arial" w:hAnsi="Arial"/>
                <w:sz w:val="14"/>
                <w:szCs w:val="14"/>
                <w:color w:val="auto"/>
              </w:rPr>
              <w:t>288</w:t>
            </w:r>
          </w:p>
        </w:tc>
      </w:tr>
      <w:tr>
        <w:trPr>
          <w:trHeight w:val="216"/>
        </w:trPr>
        <w:tc>
          <w:tcPr>
            <w:tcW w:w="4100" w:type="dxa"/>
            <w:vAlign w:val="bottom"/>
          </w:tcPr>
          <w:p>
            <w:pPr>
              <w:spacing w:after="0"/>
              <w:rPr>
                <w:sz w:val="20"/>
                <w:szCs w:val="20"/>
                <w:color w:val="auto"/>
              </w:rPr>
            </w:pPr>
            <w:r>
              <w:rPr>
                <w:rFonts w:ascii="Arial" w:cs="Arial" w:eastAsia="Arial" w:hAnsi="Arial"/>
                <w:sz w:val="14"/>
                <w:szCs w:val="14"/>
                <w:color w:val="auto"/>
              </w:rPr>
              <w:t>Net income</w:t>
            </w:r>
          </w:p>
        </w:tc>
        <w:tc>
          <w:tcPr>
            <w:tcW w:w="50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148"/>
              <w:spacing w:after="0"/>
              <w:rPr>
                <w:sz w:val="20"/>
                <w:szCs w:val="20"/>
                <w:color w:val="auto"/>
              </w:rPr>
            </w:pPr>
            <w:r>
              <w:rPr>
                <w:rFonts w:ascii="Arial" w:cs="Arial" w:eastAsia="Arial" w:hAnsi="Arial"/>
                <w:sz w:val="14"/>
                <w:szCs w:val="14"/>
                <w:color w:val="auto"/>
              </w:rPr>
              <w:t>228</w:t>
            </w:r>
          </w:p>
        </w:tc>
        <w:tc>
          <w:tcPr>
            <w:tcW w:w="340" w:type="dxa"/>
            <w:vAlign w:val="bottom"/>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89"/>
              <w:spacing w:after="0"/>
              <w:rPr>
                <w:sz w:val="20"/>
                <w:szCs w:val="20"/>
                <w:color w:val="auto"/>
              </w:rPr>
            </w:pPr>
            <w:r>
              <w:rPr>
                <w:rFonts w:ascii="Arial" w:cs="Arial" w:eastAsia="Arial" w:hAnsi="Arial"/>
                <w:sz w:val="14"/>
                <w:szCs w:val="14"/>
                <w:color w:val="auto"/>
              </w:rPr>
              <w:t>277</w:t>
            </w:r>
          </w:p>
        </w:tc>
        <w:tc>
          <w:tcPr>
            <w:tcW w:w="5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88"/>
              <w:spacing w:after="0"/>
              <w:rPr>
                <w:sz w:val="20"/>
                <w:szCs w:val="20"/>
                <w:color w:val="auto"/>
              </w:rPr>
            </w:pPr>
            <w:r>
              <w:rPr>
                <w:rFonts w:ascii="Arial" w:cs="Arial" w:eastAsia="Arial" w:hAnsi="Arial"/>
                <w:sz w:val="14"/>
                <w:szCs w:val="14"/>
                <w:color w:val="auto"/>
              </w:rPr>
              <w:t>305</w:t>
            </w:r>
          </w:p>
        </w:tc>
        <w:tc>
          <w:tcPr>
            <w:tcW w:w="4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500" w:type="dxa"/>
            <w:vAlign w:val="bottom"/>
          </w:tcPr>
          <w:p>
            <w:pPr>
              <w:jc w:val="right"/>
              <w:spacing w:after="0"/>
              <w:rPr>
                <w:sz w:val="20"/>
                <w:szCs w:val="20"/>
                <w:color w:val="auto"/>
              </w:rPr>
            </w:pPr>
            <w:r>
              <w:rPr>
                <w:rFonts w:ascii="Arial" w:cs="Arial" w:eastAsia="Arial" w:hAnsi="Arial"/>
                <w:sz w:val="14"/>
                <w:szCs w:val="14"/>
                <w:color w:val="auto"/>
              </w:rPr>
              <w:t>289</w:t>
            </w:r>
          </w:p>
        </w:tc>
      </w:tr>
      <w:tr>
        <w:trPr>
          <w:trHeight w:val="432"/>
        </w:trPr>
        <w:tc>
          <w:tcPr>
            <w:tcW w:w="4100" w:type="dxa"/>
            <w:vAlign w:val="bottom"/>
          </w:tcPr>
          <w:p>
            <w:pPr>
              <w:spacing w:after="0"/>
              <w:rPr>
                <w:sz w:val="20"/>
                <w:szCs w:val="20"/>
                <w:color w:val="auto"/>
              </w:rPr>
            </w:pPr>
            <w:r>
              <w:rPr>
                <w:rFonts w:ascii="Arial" w:cs="Arial" w:eastAsia="Arial" w:hAnsi="Arial"/>
                <w:sz w:val="14"/>
                <w:szCs w:val="14"/>
                <w:color w:val="auto"/>
              </w:rPr>
              <w:t>Basic earnings per share*:</w:t>
            </w:r>
          </w:p>
        </w:tc>
        <w:tc>
          <w:tcPr>
            <w:tcW w:w="5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216"/>
        </w:trPr>
        <w:tc>
          <w:tcPr>
            <w:tcW w:w="4100" w:type="dxa"/>
            <w:vAlign w:val="bottom"/>
          </w:tcPr>
          <w:p>
            <w:pPr>
              <w:ind w:left="460"/>
              <w:spacing w:after="0"/>
              <w:rPr>
                <w:sz w:val="20"/>
                <w:szCs w:val="20"/>
                <w:color w:val="auto"/>
              </w:rPr>
            </w:pPr>
            <w:r>
              <w:rPr>
                <w:rFonts w:ascii="Arial" w:cs="Arial" w:eastAsia="Arial" w:hAnsi="Arial"/>
                <w:sz w:val="14"/>
                <w:szCs w:val="14"/>
                <w:color w:val="auto"/>
              </w:rPr>
              <w:t>Income from continuing operations</w:t>
            </w:r>
          </w:p>
        </w:tc>
        <w:tc>
          <w:tcPr>
            <w:tcW w:w="50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148"/>
              <w:spacing w:after="0"/>
              <w:rPr>
                <w:sz w:val="20"/>
                <w:szCs w:val="20"/>
                <w:color w:val="auto"/>
              </w:rPr>
            </w:pPr>
            <w:r>
              <w:rPr>
                <w:rFonts w:ascii="Arial" w:cs="Arial" w:eastAsia="Arial" w:hAnsi="Arial"/>
                <w:sz w:val="14"/>
                <w:szCs w:val="14"/>
                <w:color w:val="auto"/>
              </w:rPr>
              <w:t>0.88</w:t>
            </w:r>
          </w:p>
        </w:tc>
        <w:tc>
          <w:tcPr>
            <w:tcW w:w="340" w:type="dxa"/>
            <w:vAlign w:val="bottom"/>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89"/>
              <w:spacing w:after="0"/>
              <w:rPr>
                <w:sz w:val="20"/>
                <w:szCs w:val="20"/>
                <w:color w:val="auto"/>
              </w:rPr>
            </w:pPr>
            <w:r>
              <w:rPr>
                <w:rFonts w:ascii="Arial" w:cs="Arial" w:eastAsia="Arial" w:hAnsi="Arial"/>
                <w:sz w:val="14"/>
                <w:szCs w:val="14"/>
                <w:color w:val="auto"/>
              </w:rPr>
              <w:t>1.08</w:t>
            </w:r>
          </w:p>
        </w:tc>
        <w:tc>
          <w:tcPr>
            <w:tcW w:w="5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88"/>
              <w:spacing w:after="0"/>
              <w:rPr>
                <w:sz w:val="20"/>
                <w:szCs w:val="20"/>
                <w:color w:val="auto"/>
              </w:rPr>
            </w:pPr>
            <w:r>
              <w:rPr>
                <w:rFonts w:ascii="Arial" w:cs="Arial" w:eastAsia="Arial" w:hAnsi="Arial"/>
                <w:sz w:val="14"/>
                <w:szCs w:val="14"/>
                <w:color w:val="auto"/>
              </w:rPr>
              <w:t>1.27</w:t>
            </w:r>
          </w:p>
        </w:tc>
        <w:tc>
          <w:tcPr>
            <w:tcW w:w="4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500" w:type="dxa"/>
            <w:vAlign w:val="bottom"/>
          </w:tcPr>
          <w:p>
            <w:pPr>
              <w:jc w:val="right"/>
              <w:spacing w:after="0"/>
              <w:rPr>
                <w:sz w:val="20"/>
                <w:szCs w:val="20"/>
                <w:color w:val="auto"/>
              </w:rPr>
            </w:pPr>
            <w:r>
              <w:rPr>
                <w:rFonts w:ascii="Arial" w:cs="Arial" w:eastAsia="Arial" w:hAnsi="Arial"/>
                <w:sz w:val="14"/>
                <w:szCs w:val="14"/>
                <w:color w:val="auto"/>
              </w:rPr>
              <w:t>1.12</w:t>
            </w:r>
          </w:p>
        </w:tc>
      </w:tr>
      <w:tr>
        <w:trPr>
          <w:trHeight w:val="216"/>
        </w:trPr>
        <w:tc>
          <w:tcPr>
            <w:tcW w:w="4100" w:type="dxa"/>
            <w:vAlign w:val="bottom"/>
          </w:tcPr>
          <w:p>
            <w:pPr>
              <w:ind w:left="460"/>
              <w:spacing w:after="0"/>
              <w:rPr>
                <w:sz w:val="20"/>
                <w:szCs w:val="20"/>
                <w:color w:val="auto"/>
              </w:rPr>
            </w:pPr>
            <w:r>
              <w:rPr>
                <w:rFonts w:ascii="Arial" w:cs="Arial" w:eastAsia="Arial" w:hAnsi="Arial"/>
                <w:sz w:val="14"/>
                <w:szCs w:val="14"/>
                <w:color w:val="auto"/>
              </w:rPr>
              <w:t>Net income</w:t>
            </w:r>
          </w:p>
        </w:tc>
        <w:tc>
          <w:tcPr>
            <w:tcW w:w="50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148"/>
              <w:spacing w:after="0"/>
              <w:rPr>
                <w:sz w:val="20"/>
                <w:szCs w:val="20"/>
                <w:color w:val="auto"/>
              </w:rPr>
            </w:pPr>
            <w:r>
              <w:rPr>
                <w:rFonts w:ascii="Arial" w:cs="Arial" w:eastAsia="Arial" w:hAnsi="Arial"/>
                <w:sz w:val="14"/>
                <w:szCs w:val="14"/>
                <w:color w:val="auto"/>
              </w:rPr>
              <w:t>0.88</w:t>
            </w:r>
          </w:p>
        </w:tc>
        <w:tc>
          <w:tcPr>
            <w:tcW w:w="340" w:type="dxa"/>
            <w:vAlign w:val="bottom"/>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89"/>
              <w:spacing w:after="0"/>
              <w:rPr>
                <w:sz w:val="20"/>
                <w:szCs w:val="20"/>
                <w:color w:val="auto"/>
              </w:rPr>
            </w:pPr>
            <w:r>
              <w:rPr>
                <w:rFonts w:ascii="Arial" w:cs="Arial" w:eastAsia="Arial" w:hAnsi="Arial"/>
                <w:sz w:val="14"/>
                <w:szCs w:val="14"/>
                <w:color w:val="auto"/>
              </w:rPr>
              <w:t>1.07</w:t>
            </w:r>
          </w:p>
        </w:tc>
        <w:tc>
          <w:tcPr>
            <w:tcW w:w="5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88"/>
              <w:spacing w:after="0"/>
              <w:rPr>
                <w:sz w:val="20"/>
                <w:szCs w:val="20"/>
                <w:color w:val="auto"/>
              </w:rPr>
            </w:pPr>
            <w:r>
              <w:rPr>
                <w:rFonts w:ascii="Arial" w:cs="Arial" w:eastAsia="Arial" w:hAnsi="Arial"/>
                <w:sz w:val="14"/>
                <w:szCs w:val="14"/>
                <w:color w:val="auto"/>
              </w:rPr>
              <w:t>1.17</w:t>
            </w:r>
          </w:p>
        </w:tc>
        <w:tc>
          <w:tcPr>
            <w:tcW w:w="4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500" w:type="dxa"/>
            <w:vAlign w:val="bottom"/>
          </w:tcPr>
          <w:p>
            <w:pPr>
              <w:jc w:val="right"/>
              <w:spacing w:after="0"/>
              <w:rPr>
                <w:sz w:val="20"/>
                <w:szCs w:val="20"/>
                <w:color w:val="auto"/>
              </w:rPr>
            </w:pPr>
            <w:r>
              <w:rPr>
                <w:rFonts w:ascii="Arial" w:cs="Arial" w:eastAsia="Arial" w:hAnsi="Arial"/>
                <w:sz w:val="14"/>
                <w:szCs w:val="14"/>
                <w:color w:val="auto"/>
              </w:rPr>
              <w:t>1.12</w:t>
            </w:r>
          </w:p>
        </w:tc>
      </w:tr>
      <w:tr>
        <w:trPr>
          <w:trHeight w:val="216"/>
        </w:trPr>
        <w:tc>
          <w:tcPr>
            <w:tcW w:w="4100" w:type="dxa"/>
            <w:vAlign w:val="bottom"/>
          </w:tcPr>
          <w:p>
            <w:pPr>
              <w:ind w:left="460"/>
              <w:spacing w:after="0"/>
              <w:rPr>
                <w:sz w:val="20"/>
                <w:szCs w:val="20"/>
                <w:color w:val="auto"/>
              </w:rPr>
            </w:pPr>
            <w:r>
              <w:rPr>
                <w:rFonts w:ascii="Arial" w:cs="Arial" w:eastAsia="Arial" w:hAnsi="Arial"/>
                <w:sz w:val="14"/>
                <w:szCs w:val="14"/>
                <w:color w:val="auto"/>
              </w:rPr>
              <w:t>Average common shares outstanding</w:t>
            </w:r>
          </w:p>
        </w:tc>
        <w:tc>
          <w:tcPr>
            <w:tcW w:w="500" w:type="dxa"/>
            <w:vAlign w:val="bottom"/>
          </w:tcPr>
          <w:p>
            <w:pPr>
              <w:spacing w:after="0"/>
              <w:rPr>
                <w:sz w:val="18"/>
                <w:szCs w:val="18"/>
                <w:color w:val="auto"/>
              </w:rPr>
            </w:pPr>
          </w:p>
        </w:tc>
        <w:tc>
          <w:tcPr>
            <w:tcW w:w="760" w:type="dxa"/>
            <w:vAlign w:val="bottom"/>
          </w:tcPr>
          <w:p>
            <w:pPr>
              <w:jc w:val="right"/>
              <w:ind w:right="148"/>
              <w:spacing w:after="0"/>
              <w:rPr>
                <w:sz w:val="20"/>
                <w:szCs w:val="20"/>
                <w:color w:val="auto"/>
              </w:rPr>
            </w:pPr>
            <w:r>
              <w:rPr>
                <w:rFonts w:ascii="Arial" w:cs="Arial" w:eastAsia="Arial" w:hAnsi="Arial"/>
                <w:sz w:val="14"/>
                <w:szCs w:val="14"/>
                <w:color w:val="auto"/>
              </w:rPr>
              <w:t>259.5</w:t>
            </w:r>
          </w:p>
        </w:tc>
        <w:tc>
          <w:tcPr>
            <w:tcW w:w="340" w:type="dxa"/>
            <w:vAlign w:val="bottom"/>
          </w:tcPr>
          <w:p>
            <w:pPr>
              <w:spacing w:after="0"/>
              <w:rPr>
                <w:sz w:val="18"/>
                <w:szCs w:val="18"/>
                <w:color w:val="auto"/>
              </w:rPr>
            </w:pPr>
          </w:p>
        </w:tc>
        <w:tc>
          <w:tcPr>
            <w:tcW w:w="660" w:type="dxa"/>
            <w:vAlign w:val="bottom"/>
          </w:tcPr>
          <w:p>
            <w:pPr>
              <w:jc w:val="right"/>
              <w:ind w:right="89"/>
              <w:spacing w:after="0"/>
              <w:rPr>
                <w:sz w:val="20"/>
                <w:szCs w:val="20"/>
                <w:color w:val="auto"/>
              </w:rPr>
            </w:pPr>
            <w:r>
              <w:rPr>
                <w:rFonts w:ascii="Arial" w:cs="Arial" w:eastAsia="Arial" w:hAnsi="Arial"/>
                <w:sz w:val="14"/>
                <w:szCs w:val="14"/>
                <w:color w:val="auto"/>
              </w:rPr>
              <w:t>260.2</w:t>
            </w:r>
          </w:p>
        </w:tc>
        <w:tc>
          <w:tcPr>
            <w:tcW w:w="500" w:type="dxa"/>
            <w:vAlign w:val="bottom"/>
          </w:tcPr>
          <w:p>
            <w:pPr>
              <w:spacing w:after="0"/>
              <w:rPr>
                <w:sz w:val="18"/>
                <w:szCs w:val="18"/>
                <w:color w:val="auto"/>
              </w:rPr>
            </w:pPr>
          </w:p>
        </w:tc>
        <w:tc>
          <w:tcPr>
            <w:tcW w:w="620" w:type="dxa"/>
            <w:vAlign w:val="bottom"/>
          </w:tcPr>
          <w:p>
            <w:pPr>
              <w:jc w:val="right"/>
              <w:ind w:right="88"/>
              <w:spacing w:after="0"/>
              <w:rPr>
                <w:sz w:val="20"/>
                <w:szCs w:val="20"/>
                <w:color w:val="auto"/>
              </w:rPr>
            </w:pPr>
            <w:r>
              <w:rPr>
                <w:rFonts w:ascii="Arial" w:cs="Arial" w:eastAsia="Arial" w:hAnsi="Arial"/>
                <w:sz w:val="14"/>
                <w:szCs w:val="14"/>
                <w:color w:val="auto"/>
              </w:rPr>
              <w:t>259.6</w:t>
            </w:r>
          </w:p>
        </w:tc>
        <w:tc>
          <w:tcPr>
            <w:tcW w:w="4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257.9</w:t>
            </w:r>
          </w:p>
        </w:tc>
      </w:tr>
      <w:tr>
        <w:trPr>
          <w:trHeight w:val="432"/>
        </w:trPr>
        <w:tc>
          <w:tcPr>
            <w:tcW w:w="4100" w:type="dxa"/>
            <w:vAlign w:val="bottom"/>
          </w:tcPr>
          <w:p>
            <w:pPr>
              <w:spacing w:after="0"/>
              <w:rPr>
                <w:sz w:val="20"/>
                <w:szCs w:val="20"/>
                <w:color w:val="auto"/>
              </w:rPr>
            </w:pPr>
            <w:r>
              <w:rPr>
                <w:rFonts w:ascii="Arial" w:cs="Arial" w:eastAsia="Arial" w:hAnsi="Arial"/>
                <w:sz w:val="14"/>
                <w:szCs w:val="14"/>
                <w:color w:val="auto"/>
              </w:rPr>
              <w:t>Diluted earnings per share*:</w:t>
            </w:r>
          </w:p>
        </w:tc>
        <w:tc>
          <w:tcPr>
            <w:tcW w:w="5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216"/>
        </w:trPr>
        <w:tc>
          <w:tcPr>
            <w:tcW w:w="4100" w:type="dxa"/>
            <w:vAlign w:val="bottom"/>
          </w:tcPr>
          <w:p>
            <w:pPr>
              <w:ind w:left="460"/>
              <w:spacing w:after="0"/>
              <w:rPr>
                <w:sz w:val="20"/>
                <w:szCs w:val="20"/>
                <w:color w:val="auto"/>
              </w:rPr>
            </w:pPr>
            <w:r>
              <w:rPr>
                <w:rFonts w:ascii="Arial" w:cs="Arial" w:eastAsia="Arial" w:hAnsi="Arial"/>
                <w:sz w:val="14"/>
                <w:szCs w:val="14"/>
                <w:color w:val="auto"/>
              </w:rPr>
              <w:t>Income from continuing operations</w:t>
            </w:r>
          </w:p>
        </w:tc>
        <w:tc>
          <w:tcPr>
            <w:tcW w:w="50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148"/>
              <w:spacing w:after="0"/>
              <w:rPr>
                <w:sz w:val="20"/>
                <w:szCs w:val="20"/>
                <w:color w:val="auto"/>
              </w:rPr>
            </w:pPr>
            <w:r>
              <w:rPr>
                <w:rFonts w:ascii="Arial" w:cs="Arial" w:eastAsia="Arial" w:hAnsi="Arial"/>
                <w:sz w:val="14"/>
                <w:szCs w:val="14"/>
                <w:color w:val="auto"/>
              </w:rPr>
              <w:t>0.86</w:t>
            </w:r>
          </w:p>
        </w:tc>
        <w:tc>
          <w:tcPr>
            <w:tcW w:w="340" w:type="dxa"/>
            <w:vAlign w:val="bottom"/>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89"/>
              <w:spacing w:after="0"/>
              <w:rPr>
                <w:sz w:val="20"/>
                <w:szCs w:val="20"/>
                <w:color w:val="auto"/>
              </w:rPr>
            </w:pPr>
            <w:r>
              <w:rPr>
                <w:rFonts w:ascii="Arial" w:cs="Arial" w:eastAsia="Arial" w:hAnsi="Arial"/>
                <w:sz w:val="14"/>
                <w:szCs w:val="14"/>
                <w:color w:val="auto"/>
              </w:rPr>
              <w:t>1.06</w:t>
            </w:r>
          </w:p>
        </w:tc>
        <w:tc>
          <w:tcPr>
            <w:tcW w:w="5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88"/>
              <w:spacing w:after="0"/>
              <w:rPr>
                <w:sz w:val="20"/>
                <w:szCs w:val="20"/>
                <w:color w:val="auto"/>
              </w:rPr>
            </w:pPr>
            <w:r>
              <w:rPr>
                <w:rFonts w:ascii="Arial" w:cs="Arial" w:eastAsia="Arial" w:hAnsi="Arial"/>
                <w:sz w:val="14"/>
                <w:szCs w:val="14"/>
                <w:color w:val="auto"/>
              </w:rPr>
              <w:t>1.24</w:t>
            </w:r>
          </w:p>
        </w:tc>
        <w:tc>
          <w:tcPr>
            <w:tcW w:w="4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500" w:type="dxa"/>
            <w:vAlign w:val="bottom"/>
          </w:tcPr>
          <w:p>
            <w:pPr>
              <w:jc w:val="right"/>
              <w:spacing w:after="0"/>
              <w:rPr>
                <w:sz w:val="20"/>
                <w:szCs w:val="20"/>
                <w:color w:val="auto"/>
              </w:rPr>
            </w:pPr>
            <w:r>
              <w:rPr>
                <w:rFonts w:ascii="Arial" w:cs="Arial" w:eastAsia="Arial" w:hAnsi="Arial"/>
                <w:sz w:val="14"/>
                <w:szCs w:val="14"/>
                <w:color w:val="auto"/>
              </w:rPr>
              <w:t>1.10</w:t>
            </w:r>
          </w:p>
        </w:tc>
      </w:tr>
      <w:tr>
        <w:trPr>
          <w:trHeight w:val="216"/>
        </w:trPr>
        <w:tc>
          <w:tcPr>
            <w:tcW w:w="4100" w:type="dxa"/>
            <w:vAlign w:val="bottom"/>
          </w:tcPr>
          <w:p>
            <w:pPr>
              <w:ind w:left="460"/>
              <w:spacing w:after="0"/>
              <w:rPr>
                <w:sz w:val="20"/>
                <w:szCs w:val="20"/>
                <w:color w:val="auto"/>
              </w:rPr>
            </w:pPr>
            <w:r>
              <w:rPr>
                <w:rFonts w:ascii="Arial" w:cs="Arial" w:eastAsia="Arial" w:hAnsi="Arial"/>
                <w:sz w:val="14"/>
                <w:szCs w:val="14"/>
                <w:color w:val="auto"/>
              </w:rPr>
              <w:t>Net income</w:t>
            </w:r>
          </w:p>
        </w:tc>
        <w:tc>
          <w:tcPr>
            <w:tcW w:w="50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148"/>
              <w:spacing w:after="0"/>
              <w:rPr>
                <w:sz w:val="20"/>
                <w:szCs w:val="20"/>
                <w:color w:val="auto"/>
              </w:rPr>
            </w:pPr>
            <w:r>
              <w:rPr>
                <w:rFonts w:ascii="Arial" w:cs="Arial" w:eastAsia="Arial" w:hAnsi="Arial"/>
                <w:sz w:val="14"/>
                <w:szCs w:val="14"/>
                <w:color w:val="auto"/>
              </w:rPr>
              <w:t>0.86</w:t>
            </w:r>
          </w:p>
        </w:tc>
        <w:tc>
          <w:tcPr>
            <w:tcW w:w="340" w:type="dxa"/>
            <w:vAlign w:val="bottom"/>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89"/>
              <w:spacing w:after="0"/>
              <w:rPr>
                <w:sz w:val="20"/>
                <w:szCs w:val="20"/>
                <w:color w:val="auto"/>
              </w:rPr>
            </w:pPr>
            <w:r>
              <w:rPr>
                <w:rFonts w:ascii="Arial" w:cs="Arial" w:eastAsia="Arial" w:hAnsi="Arial"/>
                <w:sz w:val="14"/>
                <w:szCs w:val="14"/>
                <w:color w:val="auto"/>
              </w:rPr>
              <w:t>1.05</w:t>
            </w:r>
          </w:p>
        </w:tc>
        <w:tc>
          <w:tcPr>
            <w:tcW w:w="5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88"/>
              <w:spacing w:after="0"/>
              <w:rPr>
                <w:sz w:val="20"/>
                <w:szCs w:val="20"/>
                <w:color w:val="auto"/>
              </w:rPr>
            </w:pPr>
            <w:r>
              <w:rPr>
                <w:rFonts w:ascii="Arial" w:cs="Arial" w:eastAsia="Arial" w:hAnsi="Arial"/>
                <w:sz w:val="14"/>
                <w:szCs w:val="14"/>
                <w:color w:val="auto"/>
              </w:rPr>
              <w:t>1.15</w:t>
            </w:r>
          </w:p>
        </w:tc>
        <w:tc>
          <w:tcPr>
            <w:tcW w:w="4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500" w:type="dxa"/>
            <w:vAlign w:val="bottom"/>
          </w:tcPr>
          <w:p>
            <w:pPr>
              <w:jc w:val="right"/>
              <w:spacing w:after="0"/>
              <w:rPr>
                <w:sz w:val="20"/>
                <w:szCs w:val="20"/>
                <w:color w:val="auto"/>
              </w:rPr>
            </w:pPr>
            <w:r>
              <w:rPr>
                <w:rFonts w:ascii="Arial" w:cs="Arial" w:eastAsia="Arial" w:hAnsi="Arial"/>
                <w:sz w:val="14"/>
                <w:szCs w:val="14"/>
                <w:color w:val="auto"/>
              </w:rPr>
              <w:t>1.10</w:t>
            </w:r>
          </w:p>
        </w:tc>
      </w:tr>
      <w:tr>
        <w:trPr>
          <w:trHeight w:val="238"/>
        </w:trPr>
        <w:tc>
          <w:tcPr>
            <w:tcW w:w="4100" w:type="dxa"/>
            <w:vAlign w:val="bottom"/>
            <w:tcBorders>
              <w:bottom w:val="single" w:sz="8" w:color="auto"/>
            </w:tcBorders>
          </w:tcPr>
          <w:p>
            <w:pPr>
              <w:ind w:left="460"/>
              <w:spacing w:after="0"/>
              <w:rPr>
                <w:sz w:val="20"/>
                <w:szCs w:val="20"/>
                <w:color w:val="auto"/>
              </w:rPr>
            </w:pPr>
            <w:r>
              <w:rPr>
                <w:rFonts w:ascii="Arial" w:cs="Arial" w:eastAsia="Arial" w:hAnsi="Arial"/>
                <w:sz w:val="14"/>
                <w:szCs w:val="14"/>
                <w:color w:val="auto"/>
              </w:rPr>
              <w:t>Average common shares outstanding</w:t>
            </w:r>
          </w:p>
        </w:tc>
        <w:tc>
          <w:tcPr>
            <w:tcW w:w="5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264.0</w:t>
            </w:r>
          </w:p>
        </w:tc>
        <w:tc>
          <w:tcPr>
            <w:tcW w:w="3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rPr>
              <w:t>265.0</w:t>
            </w:r>
          </w:p>
        </w:tc>
        <w:tc>
          <w:tcPr>
            <w:tcW w:w="50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264.3</w:t>
            </w:r>
          </w:p>
        </w:tc>
        <w:tc>
          <w:tcPr>
            <w:tcW w:w="46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262.8</w:t>
            </w:r>
          </w:p>
        </w:tc>
      </w:tr>
    </w:tbl>
    <w:p>
      <w:pPr>
        <w:spacing w:after="0" w:line="16" w:lineRule="exact"/>
        <w:rPr>
          <w:sz w:val="20"/>
          <w:szCs w:val="20"/>
          <w:color w:val="auto"/>
        </w:rPr>
      </w:pPr>
    </w:p>
    <w:p>
      <w:pPr>
        <w:ind w:left="1820" w:hanging="310"/>
        <w:spacing w:after="0"/>
        <w:tabs>
          <w:tab w:leader="none" w:pos="1820" w:val="left"/>
        </w:tabs>
        <w:numPr>
          <w:ilvl w:val="0"/>
          <w:numId w:val="399"/>
        </w:numPr>
        <w:rPr>
          <w:rFonts w:ascii="Arial" w:cs="Arial" w:eastAsia="Arial" w:hAnsi="Arial"/>
          <w:sz w:val="13"/>
          <w:szCs w:val="13"/>
          <w:i w:val="1"/>
          <w:iCs w:val="1"/>
          <w:color w:val="auto"/>
        </w:rPr>
      </w:pPr>
      <w:r>
        <w:rPr>
          <w:rFonts w:ascii="Arial" w:cs="Arial" w:eastAsia="Arial" w:hAnsi="Arial"/>
          <w:sz w:val="13"/>
          <w:szCs w:val="13"/>
          <w:i w:val="1"/>
          <w:iCs w:val="1"/>
          <w:color w:val="auto"/>
        </w:rPr>
        <w:t>Earnings per share are computed independently for each of the quarters presented and therefore may not sum to the total for the year.</w:t>
      </w:r>
    </w:p>
    <w:p>
      <w:pPr>
        <w:spacing w:after="0" w:line="206" w:lineRule="exact"/>
        <w:rPr>
          <w:sz w:val="20"/>
          <w:szCs w:val="20"/>
          <w:color w:val="auto"/>
        </w:rPr>
      </w:pPr>
    </w:p>
    <w:p>
      <w:pPr>
        <w:spacing w:after="0" w:line="277" w:lineRule="auto"/>
        <w:rPr>
          <w:sz w:val="20"/>
          <w:szCs w:val="20"/>
          <w:color w:val="auto"/>
        </w:rPr>
      </w:pPr>
      <w:r>
        <w:rPr>
          <w:rFonts w:ascii="Arial" w:cs="Arial" w:eastAsia="Arial" w:hAnsi="Arial"/>
          <w:sz w:val="16"/>
          <w:szCs w:val="16"/>
          <w:color w:val="auto"/>
        </w:rPr>
        <w:t>In the first quarter of 2008, Revenues included $457 million and Expenses and Other Income included $362 million for Sempra Commodities prior to the formation of RBS Sempra Commodities on April 1, 2008.</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4"/>
          <w:szCs w:val="14"/>
          <w:color w:val="auto"/>
        </w:rPr>
        <w:t>187</w:t>
      </w:r>
    </w:p>
    <w:p>
      <w:pPr>
        <w:sectPr>
          <w:pgSz w:w="11900" w:h="16838" w:orient="portrait"/>
          <w:cols w:equalWidth="0" w:num="1">
            <w:col w:w="11020"/>
          </w:cols>
          <w:pgMar w:left="240" w:top="544" w:right="639" w:bottom="1440" w:gutter="0" w:footer="0" w:header="0"/>
        </w:sectPr>
      </w:pPr>
    </w:p>
    <w:bookmarkStart w:id="327" w:name="page328"/>
    <w:bookmarkEnd w:id="327"/>
    <w:p>
      <w:pPr>
        <w:ind w:left="1540"/>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1126490</wp:posOffset>
            </wp:positionH>
            <wp:positionV relativeFrom="page">
              <wp:posOffset>226060</wp:posOffset>
            </wp:positionV>
            <wp:extent cx="5316855" cy="28194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5316855" cy="281940"/>
                    </a:xfrm>
                    <a:prstGeom prst="rect">
                      <a:avLst/>
                    </a:prstGeom>
                    <a:noFill/>
                  </pic:spPr>
                </pic:pic>
              </a:graphicData>
            </a:graphic>
          </wp:anchor>
        </w:drawing>
        <w:t>SDG&amp;E</w:t>
      </w:r>
    </w:p>
    <w:p>
      <w:pPr>
        <w:spacing w:after="0" w:line="76" w:lineRule="exact"/>
        <w:rPr>
          <w:sz w:val="20"/>
          <w:szCs w:val="20"/>
          <w:color w:val="auto"/>
        </w:rPr>
      </w:pPr>
    </w:p>
    <w:tbl>
      <w:tblPr>
        <w:tblLayout w:type="fixed"/>
        <w:tblInd w:w="1540" w:type="dxa"/>
        <w:tblCellMar>
          <w:top w:w="0" w:type="dxa"/>
          <w:left w:w="0" w:type="dxa"/>
          <w:bottom w:w="0" w:type="dxa"/>
          <w:right w:w="0" w:type="dxa"/>
        </w:tblCellMar>
      </w:tblPr>
      <w:tr>
        <w:trPr>
          <w:trHeight w:val="166"/>
        </w:trPr>
        <w:tc>
          <w:tcPr>
            <w:tcW w:w="4140" w:type="dxa"/>
            <w:vAlign w:val="bottom"/>
          </w:tcPr>
          <w:p>
            <w:pPr>
              <w:spacing w:after="0"/>
              <w:rPr>
                <w:sz w:val="20"/>
                <w:szCs w:val="20"/>
                <w:color w:val="auto"/>
              </w:rPr>
            </w:pPr>
            <w:r>
              <w:rPr>
                <w:rFonts w:ascii="Arial" w:cs="Arial" w:eastAsia="Arial" w:hAnsi="Arial"/>
                <w:sz w:val="13"/>
                <w:szCs w:val="13"/>
                <w:i w:val="1"/>
                <w:iCs w:val="1"/>
                <w:color w:val="auto"/>
              </w:rPr>
              <w:t>(Dollars in millions)</w:t>
            </w: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20" w:type="dxa"/>
            <w:vAlign w:val="bottom"/>
          </w:tcPr>
          <w:p>
            <w:pPr>
              <w:spacing w:after="0"/>
              <w:rPr>
                <w:sz w:val="14"/>
                <w:szCs w:val="14"/>
                <w:color w:val="auto"/>
              </w:rPr>
            </w:pPr>
          </w:p>
        </w:tc>
      </w:tr>
      <w:tr>
        <w:trPr>
          <w:trHeight w:val="221"/>
        </w:trPr>
        <w:tc>
          <w:tcPr>
            <w:tcW w:w="414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gridSpan w:val="2"/>
          </w:tcPr>
          <w:p>
            <w:pPr>
              <w:jc w:val="right"/>
              <w:ind w:right="29"/>
              <w:spacing w:after="0"/>
              <w:rPr>
                <w:sz w:val="20"/>
                <w:szCs w:val="20"/>
                <w:color w:val="auto"/>
              </w:rPr>
            </w:pPr>
            <w:r>
              <w:rPr>
                <w:rFonts w:ascii="Arial" w:cs="Arial" w:eastAsia="Arial" w:hAnsi="Arial"/>
                <w:sz w:val="13"/>
                <w:szCs w:val="13"/>
                <w:color w:val="auto"/>
              </w:rPr>
              <w:t>Quarters ended</w:t>
            </w:r>
          </w:p>
        </w:tc>
        <w:tc>
          <w:tcPr>
            <w:tcW w:w="5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r>
      <w:tr>
        <w:trPr>
          <w:trHeight w:val="208"/>
        </w:trPr>
        <w:tc>
          <w:tcPr>
            <w:tcW w:w="414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49"/>
              <w:spacing w:after="0"/>
              <w:rPr>
                <w:sz w:val="20"/>
                <w:szCs w:val="20"/>
                <w:color w:val="auto"/>
              </w:rPr>
            </w:pPr>
            <w:r>
              <w:rPr>
                <w:rFonts w:ascii="Arial" w:cs="Arial" w:eastAsia="Arial" w:hAnsi="Arial"/>
                <w:sz w:val="13"/>
                <w:szCs w:val="13"/>
                <w:color w:val="auto"/>
                <w:w w:val="99"/>
              </w:rPr>
              <w:t>March 31</w:t>
            </w:r>
          </w:p>
        </w:tc>
        <w:tc>
          <w:tcPr>
            <w:tcW w:w="3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69"/>
              <w:spacing w:after="0"/>
              <w:rPr>
                <w:sz w:val="20"/>
                <w:szCs w:val="20"/>
                <w:color w:val="auto"/>
              </w:rPr>
            </w:pPr>
            <w:r>
              <w:rPr>
                <w:rFonts w:ascii="Arial" w:cs="Arial" w:eastAsia="Arial" w:hAnsi="Arial"/>
                <w:sz w:val="13"/>
                <w:szCs w:val="13"/>
                <w:color w:val="auto"/>
              </w:rPr>
              <w:t>June 30</w:t>
            </w:r>
          </w:p>
        </w:tc>
        <w:tc>
          <w:tcPr>
            <w:tcW w:w="1140" w:type="dxa"/>
            <w:vAlign w:val="bottom"/>
            <w:tcBorders>
              <w:bottom w:val="single" w:sz="8" w:color="auto"/>
            </w:tcBorders>
            <w:gridSpan w:val="2"/>
          </w:tcPr>
          <w:p>
            <w:pPr>
              <w:jc w:val="right"/>
              <w:ind w:right="108"/>
              <w:spacing w:after="0"/>
              <w:rPr>
                <w:sz w:val="20"/>
                <w:szCs w:val="20"/>
                <w:color w:val="auto"/>
              </w:rPr>
            </w:pPr>
            <w:r>
              <w:rPr>
                <w:rFonts w:ascii="Arial" w:cs="Arial" w:eastAsia="Arial" w:hAnsi="Arial"/>
                <w:sz w:val="13"/>
                <w:szCs w:val="13"/>
                <w:color w:val="auto"/>
              </w:rPr>
              <w:t>September 30</w:t>
            </w:r>
          </w:p>
        </w:tc>
        <w:tc>
          <w:tcPr>
            <w:tcW w:w="94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color w:val="auto"/>
              </w:rPr>
              <w:t>December 31</w:t>
            </w:r>
          </w:p>
        </w:tc>
      </w:tr>
      <w:tr>
        <w:trPr>
          <w:trHeight w:val="207"/>
        </w:trPr>
        <w:tc>
          <w:tcPr>
            <w:tcW w:w="4140" w:type="dxa"/>
            <w:vAlign w:val="bottom"/>
          </w:tcPr>
          <w:p>
            <w:pPr>
              <w:spacing w:after="0"/>
              <w:rPr>
                <w:sz w:val="20"/>
                <w:szCs w:val="20"/>
                <w:color w:val="auto"/>
              </w:rPr>
            </w:pPr>
            <w:r>
              <w:rPr>
                <w:rFonts w:ascii="Arial" w:cs="Arial" w:eastAsia="Arial" w:hAnsi="Arial"/>
                <w:sz w:val="14"/>
                <w:szCs w:val="14"/>
                <w:b w:val="1"/>
                <w:bCs w:val="1"/>
                <w:color w:val="auto"/>
              </w:rPr>
              <w:t>2008</w:t>
            </w: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20" w:type="dxa"/>
            <w:vAlign w:val="bottom"/>
          </w:tcPr>
          <w:p>
            <w:pPr>
              <w:spacing w:after="0"/>
              <w:rPr>
                <w:sz w:val="18"/>
                <w:szCs w:val="18"/>
                <w:color w:val="auto"/>
              </w:rPr>
            </w:pPr>
          </w:p>
        </w:tc>
      </w:tr>
      <w:tr>
        <w:trPr>
          <w:trHeight w:val="216"/>
        </w:trPr>
        <w:tc>
          <w:tcPr>
            <w:tcW w:w="4140" w:type="dxa"/>
            <w:vAlign w:val="bottom"/>
          </w:tcPr>
          <w:p>
            <w:pPr>
              <w:spacing w:after="0"/>
              <w:rPr>
                <w:sz w:val="20"/>
                <w:szCs w:val="20"/>
                <w:color w:val="auto"/>
              </w:rPr>
            </w:pPr>
            <w:r>
              <w:rPr>
                <w:rFonts w:ascii="Arial" w:cs="Arial" w:eastAsia="Arial" w:hAnsi="Arial"/>
                <w:sz w:val="14"/>
                <w:szCs w:val="14"/>
                <w:color w:val="auto"/>
              </w:rPr>
              <w:t>Operating revenues</w:t>
            </w:r>
          </w:p>
        </w:tc>
        <w:tc>
          <w:tcPr>
            <w:tcW w:w="34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149"/>
              <w:spacing w:after="0"/>
              <w:rPr>
                <w:sz w:val="20"/>
                <w:szCs w:val="20"/>
                <w:color w:val="auto"/>
              </w:rPr>
            </w:pPr>
            <w:r>
              <w:rPr>
                <w:rFonts w:ascii="Arial" w:cs="Arial" w:eastAsia="Arial" w:hAnsi="Arial"/>
                <w:sz w:val="14"/>
                <w:szCs w:val="14"/>
                <w:color w:val="auto"/>
              </w:rPr>
              <w:t>746</w:t>
            </w:r>
          </w:p>
        </w:tc>
        <w:tc>
          <w:tcPr>
            <w:tcW w:w="360" w:type="dxa"/>
            <w:vAlign w:val="bottom"/>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69"/>
              <w:spacing w:after="0"/>
              <w:rPr>
                <w:sz w:val="20"/>
                <w:szCs w:val="20"/>
                <w:color w:val="auto"/>
              </w:rPr>
            </w:pPr>
            <w:r>
              <w:rPr>
                <w:rFonts w:ascii="Arial" w:cs="Arial" w:eastAsia="Arial" w:hAnsi="Arial"/>
                <w:sz w:val="14"/>
                <w:szCs w:val="14"/>
                <w:color w:val="auto"/>
              </w:rPr>
              <w:t>754</w:t>
            </w:r>
          </w:p>
        </w:tc>
        <w:tc>
          <w:tcPr>
            <w:tcW w:w="620" w:type="dxa"/>
            <w:vAlign w:val="bottom"/>
          </w:tcPr>
          <w:p>
            <w:pPr>
              <w:jc w:val="right"/>
              <w:ind w:right="169"/>
              <w:spacing w:after="0"/>
              <w:rPr>
                <w:sz w:val="20"/>
                <w:szCs w:val="20"/>
                <w:color w:val="auto"/>
              </w:rPr>
            </w:pPr>
            <w:r>
              <w:rPr>
                <w:rFonts w:ascii="Arial" w:cs="Arial" w:eastAsia="Arial" w:hAnsi="Arial"/>
                <w:sz w:val="14"/>
                <w:szCs w:val="14"/>
                <w:color w:val="auto"/>
              </w:rPr>
              <w:t>$</w:t>
            </w:r>
          </w:p>
        </w:tc>
        <w:tc>
          <w:tcPr>
            <w:tcW w:w="520" w:type="dxa"/>
            <w:vAlign w:val="bottom"/>
          </w:tcPr>
          <w:p>
            <w:pPr>
              <w:jc w:val="right"/>
              <w:ind w:right="108"/>
              <w:spacing w:after="0"/>
              <w:rPr>
                <w:sz w:val="20"/>
                <w:szCs w:val="20"/>
                <w:color w:val="auto"/>
              </w:rPr>
            </w:pPr>
            <w:r>
              <w:rPr>
                <w:rFonts w:ascii="Arial" w:cs="Arial" w:eastAsia="Arial" w:hAnsi="Arial"/>
                <w:sz w:val="14"/>
                <w:szCs w:val="14"/>
                <w:color w:val="auto"/>
              </w:rPr>
              <w:t>949</w:t>
            </w:r>
          </w:p>
        </w:tc>
        <w:tc>
          <w:tcPr>
            <w:tcW w:w="52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420" w:type="dxa"/>
            <w:vAlign w:val="bottom"/>
          </w:tcPr>
          <w:p>
            <w:pPr>
              <w:jc w:val="right"/>
              <w:spacing w:after="0"/>
              <w:rPr>
                <w:sz w:val="20"/>
                <w:szCs w:val="20"/>
                <w:color w:val="auto"/>
              </w:rPr>
            </w:pPr>
            <w:r>
              <w:rPr>
                <w:rFonts w:ascii="Arial" w:cs="Arial" w:eastAsia="Arial" w:hAnsi="Arial"/>
                <w:sz w:val="14"/>
                <w:szCs w:val="14"/>
                <w:color w:val="auto"/>
              </w:rPr>
              <w:t>802</w:t>
            </w:r>
          </w:p>
        </w:tc>
      </w:tr>
      <w:tr>
        <w:trPr>
          <w:trHeight w:val="222"/>
        </w:trPr>
        <w:tc>
          <w:tcPr>
            <w:tcW w:w="4140" w:type="dxa"/>
            <w:vAlign w:val="bottom"/>
          </w:tcPr>
          <w:p>
            <w:pPr>
              <w:spacing w:after="0"/>
              <w:rPr>
                <w:sz w:val="20"/>
                <w:szCs w:val="20"/>
                <w:color w:val="auto"/>
              </w:rPr>
            </w:pPr>
            <w:r>
              <w:rPr>
                <w:rFonts w:ascii="Arial" w:cs="Arial" w:eastAsia="Arial" w:hAnsi="Arial"/>
                <w:sz w:val="14"/>
                <w:szCs w:val="14"/>
                <w:color w:val="auto"/>
              </w:rPr>
              <w:t>Operating expenses</w:t>
            </w:r>
          </w:p>
        </w:tc>
        <w:tc>
          <w:tcPr>
            <w:tcW w:w="3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149"/>
              <w:spacing w:after="0"/>
              <w:rPr>
                <w:sz w:val="20"/>
                <w:szCs w:val="20"/>
                <w:color w:val="auto"/>
              </w:rPr>
            </w:pPr>
            <w:r>
              <w:rPr>
                <w:rFonts w:ascii="Arial" w:cs="Arial" w:eastAsia="Arial" w:hAnsi="Arial"/>
                <w:sz w:val="14"/>
                <w:szCs w:val="14"/>
                <w:color w:val="auto"/>
              </w:rPr>
              <w:t>617</w:t>
            </w:r>
          </w:p>
        </w:tc>
        <w:tc>
          <w:tcPr>
            <w:tcW w:w="3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642</w:t>
            </w:r>
          </w:p>
        </w:tc>
        <w:tc>
          <w:tcPr>
            <w:tcW w:w="6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757</w:t>
            </w:r>
          </w:p>
        </w:tc>
        <w:tc>
          <w:tcPr>
            <w:tcW w:w="5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665</w:t>
            </w:r>
          </w:p>
        </w:tc>
      </w:tr>
      <w:tr>
        <w:trPr>
          <w:trHeight w:val="224"/>
        </w:trPr>
        <w:tc>
          <w:tcPr>
            <w:tcW w:w="4140" w:type="dxa"/>
            <w:vAlign w:val="bottom"/>
          </w:tcPr>
          <w:p>
            <w:pPr>
              <w:spacing w:after="0"/>
              <w:rPr>
                <w:sz w:val="20"/>
                <w:szCs w:val="20"/>
                <w:color w:val="auto"/>
              </w:rPr>
            </w:pPr>
            <w:r>
              <w:rPr>
                <w:rFonts w:ascii="Arial" w:cs="Arial" w:eastAsia="Arial" w:hAnsi="Arial"/>
                <w:sz w:val="14"/>
                <w:szCs w:val="14"/>
                <w:color w:val="auto"/>
              </w:rPr>
              <w:t>Operating income</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149"/>
              <w:spacing w:after="0"/>
              <w:rPr>
                <w:sz w:val="20"/>
                <w:szCs w:val="20"/>
                <w:color w:val="auto"/>
              </w:rPr>
            </w:pPr>
            <w:r>
              <w:rPr>
                <w:rFonts w:ascii="Arial" w:cs="Arial" w:eastAsia="Arial" w:hAnsi="Arial"/>
                <w:sz w:val="14"/>
                <w:szCs w:val="14"/>
                <w:color w:val="auto"/>
              </w:rPr>
              <w:t>129</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112</w:t>
            </w:r>
          </w:p>
        </w:tc>
        <w:tc>
          <w:tcPr>
            <w:tcW w:w="620" w:type="dxa"/>
            <w:vAlign w:val="bottom"/>
            <w:tcBorders>
              <w:bottom w:val="single" w:sz="8" w:color="auto"/>
            </w:tcBorders>
          </w:tcPr>
          <w:p>
            <w:pPr>
              <w:jc w:val="right"/>
              <w:ind w:right="169"/>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192</w:t>
            </w:r>
          </w:p>
        </w:tc>
        <w:tc>
          <w:tcPr>
            <w:tcW w:w="52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137</w:t>
            </w:r>
          </w:p>
        </w:tc>
      </w:tr>
      <w:tr>
        <w:trPr>
          <w:trHeight w:val="426"/>
        </w:trPr>
        <w:tc>
          <w:tcPr>
            <w:tcW w:w="4140" w:type="dxa"/>
            <w:vAlign w:val="bottom"/>
          </w:tcPr>
          <w:p>
            <w:pPr>
              <w:spacing w:after="0"/>
              <w:rPr>
                <w:sz w:val="20"/>
                <w:szCs w:val="20"/>
                <w:color w:val="auto"/>
              </w:rPr>
            </w:pPr>
            <w:r>
              <w:rPr>
                <w:rFonts w:ascii="Arial" w:cs="Arial" w:eastAsia="Arial" w:hAnsi="Arial"/>
                <w:sz w:val="14"/>
                <w:szCs w:val="14"/>
                <w:color w:val="auto"/>
              </w:rPr>
              <w:t>Net income</w:t>
            </w:r>
          </w:p>
        </w:tc>
        <w:tc>
          <w:tcPr>
            <w:tcW w:w="34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149"/>
              <w:spacing w:after="0"/>
              <w:rPr>
                <w:sz w:val="20"/>
                <w:szCs w:val="20"/>
                <w:color w:val="auto"/>
              </w:rPr>
            </w:pPr>
            <w:r>
              <w:rPr>
                <w:rFonts w:ascii="Arial" w:cs="Arial" w:eastAsia="Arial" w:hAnsi="Arial"/>
                <w:sz w:val="14"/>
                <w:szCs w:val="14"/>
                <w:color w:val="auto"/>
              </w:rPr>
              <w:t>75</w:t>
            </w:r>
          </w:p>
        </w:tc>
        <w:tc>
          <w:tcPr>
            <w:tcW w:w="360" w:type="dxa"/>
            <w:vAlign w:val="bottom"/>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69"/>
              <w:spacing w:after="0"/>
              <w:rPr>
                <w:sz w:val="20"/>
                <w:szCs w:val="20"/>
                <w:color w:val="auto"/>
              </w:rPr>
            </w:pPr>
            <w:r>
              <w:rPr>
                <w:rFonts w:ascii="Arial" w:cs="Arial" w:eastAsia="Arial" w:hAnsi="Arial"/>
                <w:sz w:val="14"/>
                <w:szCs w:val="14"/>
                <w:color w:val="auto"/>
              </w:rPr>
              <w:t>62</w:t>
            </w:r>
          </w:p>
        </w:tc>
        <w:tc>
          <w:tcPr>
            <w:tcW w:w="620" w:type="dxa"/>
            <w:vAlign w:val="bottom"/>
          </w:tcPr>
          <w:p>
            <w:pPr>
              <w:jc w:val="right"/>
              <w:ind w:right="169"/>
              <w:spacing w:after="0"/>
              <w:rPr>
                <w:sz w:val="20"/>
                <w:szCs w:val="20"/>
                <w:color w:val="auto"/>
              </w:rPr>
            </w:pPr>
            <w:r>
              <w:rPr>
                <w:rFonts w:ascii="Arial" w:cs="Arial" w:eastAsia="Arial" w:hAnsi="Arial"/>
                <w:sz w:val="14"/>
                <w:szCs w:val="14"/>
                <w:color w:val="auto"/>
              </w:rPr>
              <w:t>$</w:t>
            </w:r>
          </w:p>
        </w:tc>
        <w:tc>
          <w:tcPr>
            <w:tcW w:w="520" w:type="dxa"/>
            <w:vAlign w:val="bottom"/>
          </w:tcPr>
          <w:p>
            <w:pPr>
              <w:jc w:val="right"/>
              <w:ind w:right="108"/>
              <w:spacing w:after="0"/>
              <w:rPr>
                <w:sz w:val="20"/>
                <w:szCs w:val="20"/>
                <w:color w:val="auto"/>
              </w:rPr>
            </w:pPr>
            <w:r>
              <w:rPr>
                <w:rFonts w:ascii="Arial" w:cs="Arial" w:eastAsia="Arial" w:hAnsi="Arial"/>
                <w:sz w:val="14"/>
                <w:szCs w:val="14"/>
                <w:color w:val="auto"/>
              </w:rPr>
              <w:t>125</w:t>
            </w:r>
          </w:p>
        </w:tc>
        <w:tc>
          <w:tcPr>
            <w:tcW w:w="52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420" w:type="dxa"/>
            <w:vAlign w:val="bottom"/>
          </w:tcPr>
          <w:p>
            <w:pPr>
              <w:jc w:val="right"/>
              <w:spacing w:after="0"/>
              <w:rPr>
                <w:sz w:val="20"/>
                <w:szCs w:val="20"/>
                <w:color w:val="auto"/>
              </w:rPr>
            </w:pPr>
            <w:r>
              <w:rPr>
                <w:rFonts w:ascii="Arial" w:cs="Arial" w:eastAsia="Arial" w:hAnsi="Arial"/>
                <w:sz w:val="14"/>
                <w:szCs w:val="14"/>
                <w:color w:val="auto"/>
              </w:rPr>
              <w:t>82</w:t>
            </w:r>
          </w:p>
        </w:tc>
      </w:tr>
      <w:tr>
        <w:trPr>
          <w:trHeight w:val="222"/>
        </w:trPr>
        <w:tc>
          <w:tcPr>
            <w:tcW w:w="4140" w:type="dxa"/>
            <w:vAlign w:val="bottom"/>
          </w:tcPr>
          <w:p>
            <w:pPr>
              <w:spacing w:after="0"/>
              <w:rPr>
                <w:sz w:val="20"/>
                <w:szCs w:val="20"/>
                <w:color w:val="auto"/>
              </w:rPr>
            </w:pPr>
            <w:r>
              <w:rPr>
                <w:rFonts w:ascii="Arial" w:cs="Arial" w:eastAsia="Arial" w:hAnsi="Arial"/>
                <w:sz w:val="14"/>
                <w:szCs w:val="14"/>
                <w:color w:val="auto"/>
              </w:rPr>
              <w:t>Dividends on preferred stock</w:t>
            </w:r>
          </w:p>
        </w:tc>
        <w:tc>
          <w:tcPr>
            <w:tcW w:w="3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149"/>
              <w:spacing w:after="0"/>
              <w:rPr>
                <w:sz w:val="20"/>
                <w:szCs w:val="20"/>
                <w:color w:val="auto"/>
              </w:rPr>
            </w:pPr>
            <w:r>
              <w:rPr>
                <w:rFonts w:ascii="Arial" w:cs="Arial" w:eastAsia="Arial" w:hAnsi="Arial"/>
                <w:sz w:val="14"/>
                <w:szCs w:val="14"/>
                <w:color w:val="auto"/>
              </w:rPr>
              <w:t>1</w:t>
            </w:r>
          </w:p>
        </w:tc>
        <w:tc>
          <w:tcPr>
            <w:tcW w:w="3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1</w:t>
            </w:r>
          </w:p>
        </w:tc>
        <w:tc>
          <w:tcPr>
            <w:tcW w:w="6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2</w:t>
            </w:r>
          </w:p>
        </w:tc>
        <w:tc>
          <w:tcPr>
            <w:tcW w:w="5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w:t>
            </w:r>
          </w:p>
        </w:tc>
      </w:tr>
      <w:tr>
        <w:trPr>
          <w:trHeight w:val="224"/>
        </w:trPr>
        <w:tc>
          <w:tcPr>
            <w:tcW w:w="41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Earnings applicable to common shares</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149"/>
              <w:spacing w:after="0"/>
              <w:rPr>
                <w:sz w:val="20"/>
                <w:szCs w:val="20"/>
                <w:color w:val="auto"/>
              </w:rPr>
            </w:pPr>
            <w:r>
              <w:rPr>
                <w:rFonts w:ascii="Arial" w:cs="Arial" w:eastAsia="Arial" w:hAnsi="Arial"/>
                <w:sz w:val="14"/>
                <w:szCs w:val="14"/>
                <w:color w:val="auto"/>
              </w:rPr>
              <w:t>74</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61</w:t>
            </w:r>
          </w:p>
        </w:tc>
        <w:tc>
          <w:tcPr>
            <w:tcW w:w="620" w:type="dxa"/>
            <w:vAlign w:val="bottom"/>
            <w:tcBorders>
              <w:bottom w:val="single" w:sz="8" w:color="auto"/>
            </w:tcBorders>
          </w:tcPr>
          <w:p>
            <w:pPr>
              <w:jc w:val="right"/>
              <w:ind w:right="169"/>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123</w:t>
            </w:r>
          </w:p>
        </w:tc>
        <w:tc>
          <w:tcPr>
            <w:tcW w:w="52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81</w:t>
            </w:r>
          </w:p>
        </w:tc>
      </w:tr>
      <w:tr>
        <w:trPr>
          <w:trHeight w:val="210"/>
        </w:trPr>
        <w:tc>
          <w:tcPr>
            <w:tcW w:w="4140" w:type="dxa"/>
            <w:vAlign w:val="bottom"/>
          </w:tcPr>
          <w:p>
            <w:pPr>
              <w:spacing w:after="0"/>
              <w:rPr>
                <w:sz w:val="20"/>
                <w:szCs w:val="20"/>
                <w:color w:val="auto"/>
              </w:rPr>
            </w:pPr>
            <w:r>
              <w:rPr>
                <w:rFonts w:ascii="Arial" w:cs="Arial" w:eastAsia="Arial" w:hAnsi="Arial"/>
                <w:sz w:val="14"/>
                <w:szCs w:val="14"/>
                <w:b w:val="1"/>
                <w:bCs w:val="1"/>
                <w:color w:val="auto"/>
              </w:rPr>
              <w:t>2007</w:t>
            </w: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20" w:type="dxa"/>
            <w:vAlign w:val="bottom"/>
          </w:tcPr>
          <w:p>
            <w:pPr>
              <w:spacing w:after="0"/>
              <w:rPr>
                <w:sz w:val="18"/>
                <w:szCs w:val="18"/>
                <w:color w:val="auto"/>
              </w:rPr>
            </w:pPr>
          </w:p>
        </w:tc>
      </w:tr>
      <w:tr>
        <w:trPr>
          <w:trHeight w:val="216"/>
        </w:trPr>
        <w:tc>
          <w:tcPr>
            <w:tcW w:w="4140" w:type="dxa"/>
            <w:vAlign w:val="bottom"/>
          </w:tcPr>
          <w:p>
            <w:pPr>
              <w:spacing w:after="0"/>
              <w:rPr>
                <w:sz w:val="20"/>
                <w:szCs w:val="20"/>
                <w:color w:val="auto"/>
              </w:rPr>
            </w:pPr>
            <w:r>
              <w:rPr>
                <w:rFonts w:ascii="Arial" w:cs="Arial" w:eastAsia="Arial" w:hAnsi="Arial"/>
                <w:sz w:val="14"/>
                <w:szCs w:val="14"/>
                <w:color w:val="auto"/>
              </w:rPr>
              <w:t>Operating revenues</w:t>
            </w:r>
          </w:p>
        </w:tc>
        <w:tc>
          <w:tcPr>
            <w:tcW w:w="34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149"/>
              <w:spacing w:after="0"/>
              <w:rPr>
                <w:sz w:val="20"/>
                <w:szCs w:val="20"/>
                <w:color w:val="auto"/>
              </w:rPr>
            </w:pPr>
            <w:r>
              <w:rPr>
                <w:rFonts w:ascii="Arial" w:cs="Arial" w:eastAsia="Arial" w:hAnsi="Arial"/>
                <w:sz w:val="14"/>
                <w:szCs w:val="14"/>
                <w:color w:val="auto"/>
              </w:rPr>
              <w:t>709</w:t>
            </w:r>
          </w:p>
        </w:tc>
        <w:tc>
          <w:tcPr>
            <w:tcW w:w="360" w:type="dxa"/>
            <w:vAlign w:val="bottom"/>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69"/>
              <w:spacing w:after="0"/>
              <w:rPr>
                <w:sz w:val="20"/>
                <w:szCs w:val="20"/>
                <w:color w:val="auto"/>
              </w:rPr>
            </w:pPr>
            <w:r>
              <w:rPr>
                <w:rFonts w:ascii="Arial" w:cs="Arial" w:eastAsia="Arial" w:hAnsi="Arial"/>
                <w:sz w:val="14"/>
                <w:szCs w:val="14"/>
                <w:color w:val="auto"/>
              </w:rPr>
              <w:t>659</w:t>
            </w:r>
          </w:p>
        </w:tc>
        <w:tc>
          <w:tcPr>
            <w:tcW w:w="620" w:type="dxa"/>
            <w:vAlign w:val="bottom"/>
          </w:tcPr>
          <w:p>
            <w:pPr>
              <w:jc w:val="right"/>
              <w:ind w:right="169"/>
              <w:spacing w:after="0"/>
              <w:rPr>
                <w:sz w:val="20"/>
                <w:szCs w:val="20"/>
                <w:color w:val="auto"/>
              </w:rPr>
            </w:pPr>
            <w:r>
              <w:rPr>
                <w:rFonts w:ascii="Arial" w:cs="Arial" w:eastAsia="Arial" w:hAnsi="Arial"/>
                <w:sz w:val="14"/>
                <w:szCs w:val="14"/>
                <w:color w:val="auto"/>
              </w:rPr>
              <w:t>$</w:t>
            </w:r>
          </w:p>
        </w:tc>
        <w:tc>
          <w:tcPr>
            <w:tcW w:w="520" w:type="dxa"/>
            <w:vAlign w:val="bottom"/>
          </w:tcPr>
          <w:p>
            <w:pPr>
              <w:jc w:val="right"/>
              <w:ind w:right="108"/>
              <w:spacing w:after="0"/>
              <w:rPr>
                <w:sz w:val="20"/>
                <w:szCs w:val="20"/>
                <w:color w:val="auto"/>
              </w:rPr>
            </w:pPr>
            <w:r>
              <w:rPr>
                <w:rFonts w:ascii="Arial" w:cs="Arial" w:eastAsia="Arial" w:hAnsi="Arial"/>
                <w:sz w:val="14"/>
                <w:szCs w:val="14"/>
                <w:color w:val="auto"/>
              </w:rPr>
              <w:t>716</w:t>
            </w:r>
          </w:p>
        </w:tc>
        <w:tc>
          <w:tcPr>
            <w:tcW w:w="520" w:type="dxa"/>
            <w:vAlign w:val="bottom"/>
          </w:tcPr>
          <w:p>
            <w:pPr>
              <w:jc w:val="right"/>
              <w:ind w:right="109"/>
              <w:spacing w:after="0"/>
              <w:rPr>
                <w:sz w:val="20"/>
                <w:szCs w:val="20"/>
                <w:color w:val="auto"/>
              </w:rPr>
            </w:pPr>
            <w:r>
              <w:rPr>
                <w:rFonts w:ascii="Arial" w:cs="Arial" w:eastAsia="Arial" w:hAnsi="Arial"/>
                <w:sz w:val="14"/>
                <w:szCs w:val="14"/>
                <w:color w:val="auto"/>
              </w:rPr>
              <w:t>$</w:t>
            </w:r>
          </w:p>
        </w:tc>
        <w:tc>
          <w:tcPr>
            <w:tcW w:w="420" w:type="dxa"/>
            <w:vAlign w:val="bottom"/>
          </w:tcPr>
          <w:p>
            <w:pPr>
              <w:jc w:val="right"/>
              <w:spacing w:after="0"/>
              <w:rPr>
                <w:sz w:val="20"/>
                <w:szCs w:val="20"/>
                <w:color w:val="auto"/>
              </w:rPr>
            </w:pPr>
            <w:r>
              <w:rPr>
                <w:rFonts w:ascii="Arial" w:cs="Arial" w:eastAsia="Arial" w:hAnsi="Arial"/>
                <w:sz w:val="14"/>
                <w:szCs w:val="14"/>
                <w:color w:val="auto"/>
              </w:rPr>
              <w:t>768</w:t>
            </w:r>
          </w:p>
        </w:tc>
      </w:tr>
      <w:tr>
        <w:trPr>
          <w:trHeight w:val="222"/>
        </w:trPr>
        <w:tc>
          <w:tcPr>
            <w:tcW w:w="4140" w:type="dxa"/>
            <w:vAlign w:val="bottom"/>
          </w:tcPr>
          <w:p>
            <w:pPr>
              <w:spacing w:after="0"/>
              <w:rPr>
                <w:sz w:val="20"/>
                <w:szCs w:val="20"/>
                <w:color w:val="auto"/>
              </w:rPr>
            </w:pPr>
            <w:r>
              <w:rPr>
                <w:rFonts w:ascii="Arial" w:cs="Arial" w:eastAsia="Arial" w:hAnsi="Arial"/>
                <w:sz w:val="14"/>
                <w:szCs w:val="14"/>
                <w:color w:val="auto"/>
              </w:rPr>
              <w:t>Operating expenses</w:t>
            </w:r>
          </w:p>
        </w:tc>
        <w:tc>
          <w:tcPr>
            <w:tcW w:w="3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149"/>
              <w:spacing w:after="0"/>
              <w:rPr>
                <w:sz w:val="20"/>
                <w:szCs w:val="20"/>
                <w:color w:val="auto"/>
              </w:rPr>
            </w:pPr>
            <w:r>
              <w:rPr>
                <w:rFonts w:ascii="Arial" w:cs="Arial" w:eastAsia="Arial" w:hAnsi="Arial"/>
                <w:sz w:val="14"/>
                <w:szCs w:val="14"/>
                <w:color w:val="auto"/>
              </w:rPr>
              <w:t>589</w:t>
            </w:r>
          </w:p>
        </w:tc>
        <w:tc>
          <w:tcPr>
            <w:tcW w:w="3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548</w:t>
            </w:r>
          </w:p>
        </w:tc>
        <w:tc>
          <w:tcPr>
            <w:tcW w:w="6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549</w:t>
            </w:r>
          </w:p>
        </w:tc>
        <w:tc>
          <w:tcPr>
            <w:tcW w:w="5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666</w:t>
            </w:r>
          </w:p>
        </w:tc>
      </w:tr>
      <w:tr>
        <w:trPr>
          <w:trHeight w:val="224"/>
        </w:trPr>
        <w:tc>
          <w:tcPr>
            <w:tcW w:w="4140" w:type="dxa"/>
            <w:vAlign w:val="bottom"/>
          </w:tcPr>
          <w:p>
            <w:pPr>
              <w:spacing w:after="0"/>
              <w:rPr>
                <w:sz w:val="20"/>
                <w:szCs w:val="20"/>
                <w:color w:val="auto"/>
              </w:rPr>
            </w:pPr>
            <w:r>
              <w:rPr>
                <w:rFonts w:ascii="Arial" w:cs="Arial" w:eastAsia="Arial" w:hAnsi="Arial"/>
                <w:sz w:val="14"/>
                <w:szCs w:val="14"/>
                <w:color w:val="auto"/>
              </w:rPr>
              <w:t>Operating income</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149"/>
              <w:spacing w:after="0"/>
              <w:rPr>
                <w:sz w:val="20"/>
                <w:szCs w:val="20"/>
                <w:color w:val="auto"/>
              </w:rPr>
            </w:pPr>
            <w:r>
              <w:rPr>
                <w:rFonts w:ascii="Arial" w:cs="Arial" w:eastAsia="Arial" w:hAnsi="Arial"/>
                <w:sz w:val="14"/>
                <w:szCs w:val="14"/>
                <w:color w:val="auto"/>
              </w:rPr>
              <w:t>120</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111</w:t>
            </w:r>
          </w:p>
        </w:tc>
        <w:tc>
          <w:tcPr>
            <w:tcW w:w="620" w:type="dxa"/>
            <w:vAlign w:val="bottom"/>
            <w:tcBorders>
              <w:bottom w:val="single" w:sz="8" w:color="auto"/>
            </w:tcBorders>
          </w:tcPr>
          <w:p>
            <w:pPr>
              <w:jc w:val="right"/>
              <w:ind w:right="169"/>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167</w:t>
            </w:r>
          </w:p>
        </w:tc>
        <w:tc>
          <w:tcPr>
            <w:tcW w:w="52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102</w:t>
            </w:r>
          </w:p>
        </w:tc>
      </w:tr>
      <w:tr>
        <w:trPr>
          <w:trHeight w:val="426"/>
        </w:trPr>
        <w:tc>
          <w:tcPr>
            <w:tcW w:w="4140" w:type="dxa"/>
            <w:vAlign w:val="bottom"/>
          </w:tcPr>
          <w:p>
            <w:pPr>
              <w:spacing w:after="0"/>
              <w:rPr>
                <w:sz w:val="20"/>
                <w:szCs w:val="20"/>
                <w:color w:val="auto"/>
              </w:rPr>
            </w:pPr>
            <w:r>
              <w:rPr>
                <w:rFonts w:ascii="Arial" w:cs="Arial" w:eastAsia="Arial" w:hAnsi="Arial"/>
                <w:sz w:val="14"/>
                <w:szCs w:val="14"/>
                <w:color w:val="auto"/>
              </w:rPr>
              <w:t>Net income</w:t>
            </w:r>
          </w:p>
        </w:tc>
        <w:tc>
          <w:tcPr>
            <w:tcW w:w="34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149"/>
              <w:spacing w:after="0"/>
              <w:rPr>
                <w:sz w:val="20"/>
                <w:szCs w:val="20"/>
                <w:color w:val="auto"/>
              </w:rPr>
            </w:pPr>
            <w:r>
              <w:rPr>
                <w:rFonts w:ascii="Arial" w:cs="Arial" w:eastAsia="Arial" w:hAnsi="Arial"/>
                <w:sz w:val="14"/>
                <w:szCs w:val="14"/>
                <w:color w:val="auto"/>
              </w:rPr>
              <w:t>63</w:t>
            </w:r>
          </w:p>
        </w:tc>
        <w:tc>
          <w:tcPr>
            <w:tcW w:w="360" w:type="dxa"/>
            <w:vAlign w:val="bottom"/>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69"/>
              <w:spacing w:after="0"/>
              <w:rPr>
                <w:sz w:val="20"/>
                <w:szCs w:val="20"/>
                <w:color w:val="auto"/>
              </w:rPr>
            </w:pPr>
            <w:r>
              <w:rPr>
                <w:rFonts w:ascii="Arial" w:cs="Arial" w:eastAsia="Arial" w:hAnsi="Arial"/>
                <w:sz w:val="14"/>
                <w:szCs w:val="14"/>
                <w:color w:val="auto"/>
              </w:rPr>
              <w:t>52</w:t>
            </w:r>
          </w:p>
        </w:tc>
        <w:tc>
          <w:tcPr>
            <w:tcW w:w="620" w:type="dxa"/>
            <w:vAlign w:val="bottom"/>
          </w:tcPr>
          <w:p>
            <w:pPr>
              <w:jc w:val="right"/>
              <w:ind w:right="169"/>
              <w:spacing w:after="0"/>
              <w:rPr>
                <w:sz w:val="20"/>
                <w:szCs w:val="20"/>
                <w:color w:val="auto"/>
              </w:rPr>
            </w:pPr>
            <w:r>
              <w:rPr>
                <w:rFonts w:ascii="Arial" w:cs="Arial" w:eastAsia="Arial" w:hAnsi="Arial"/>
                <w:sz w:val="14"/>
                <w:szCs w:val="14"/>
                <w:color w:val="auto"/>
              </w:rPr>
              <w:t>$</w:t>
            </w:r>
          </w:p>
        </w:tc>
        <w:tc>
          <w:tcPr>
            <w:tcW w:w="520" w:type="dxa"/>
            <w:vAlign w:val="bottom"/>
          </w:tcPr>
          <w:p>
            <w:pPr>
              <w:jc w:val="right"/>
              <w:ind w:right="108"/>
              <w:spacing w:after="0"/>
              <w:rPr>
                <w:sz w:val="20"/>
                <w:szCs w:val="20"/>
                <w:color w:val="auto"/>
              </w:rPr>
            </w:pPr>
            <w:r>
              <w:rPr>
                <w:rFonts w:ascii="Arial" w:cs="Arial" w:eastAsia="Arial" w:hAnsi="Arial"/>
                <w:sz w:val="14"/>
                <w:szCs w:val="14"/>
                <w:color w:val="auto"/>
              </w:rPr>
              <w:t>125</w:t>
            </w:r>
          </w:p>
        </w:tc>
        <w:tc>
          <w:tcPr>
            <w:tcW w:w="52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420" w:type="dxa"/>
            <w:vAlign w:val="bottom"/>
          </w:tcPr>
          <w:p>
            <w:pPr>
              <w:jc w:val="right"/>
              <w:spacing w:after="0"/>
              <w:rPr>
                <w:sz w:val="20"/>
                <w:szCs w:val="20"/>
                <w:color w:val="auto"/>
              </w:rPr>
            </w:pPr>
            <w:r>
              <w:rPr>
                <w:rFonts w:ascii="Arial" w:cs="Arial" w:eastAsia="Arial" w:hAnsi="Arial"/>
                <w:sz w:val="14"/>
                <w:szCs w:val="14"/>
                <w:color w:val="auto"/>
              </w:rPr>
              <w:t>48</w:t>
            </w:r>
          </w:p>
        </w:tc>
      </w:tr>
      <w:tr>
        <w:trPr>
          <w:trHeight w:val="222"/>
        </w:trPr>
        <w:tc>
          <w:tcPr>
            <w:tcW w:w="4140" w:type="dxa"/>
            <w:vAlign w:val="bottom"/>
          </w:tcPr>
          <w:p>
            <w:pPr>
              <w:spacing w:after="0"/>
              <w:rPr>
                <w:sz w:val="20"/>
                <w:szCs w:val="20"/>
                <w:color w:val="auto"/>
              </w:rPr>
            </w:pPr>
            <w:r>
              <w:rPr>
                <w:rFonts w:ascii="Arial" w:cs="Arial" w:eastAsia="Arial" w:hAnsi="Arial"/>
                <w:sz w:val="14"/>
                <w:szCs w:val="14"/>
                <w:color w:val="auto"/>
              </w:rPr>
              <w:t>Dividends on preferred stock</w:t>
            </w:r>
          </w:p>
        </w:tc>
        <w:tc>
          <w:tcPr>
            <w:tcW w:w="3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149"/>
              <w:spacing w:after="0"/>
              <w:rPr>
                <w:sz w:val="20"/>
                <w:szCs w:val="20"/>
                <w:color w:val="auto"/>
              </w:rPr>
            </w:pPr>
            <w:r>
              <w:rPr>
                <w:rFonts w:ascii="Arial" w:cs="Arial" w:eastAsia="Arial" w:hAnsi="Arial"/>
                <w:sz w:val="14"/>
                <w:szCs w:val="14"/>
                <w:color w:val="auto"/>
              </w:rPr>
              <w:t>1</w:t>
            </w:r>
          </w:p>
        </w:tc>
        <w:tc>
          <w:tcPr>
            <w:tcW w:w="3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1</w:t>
            </w:r>
          </w:p>
        </w:tc>
        <w:tc>
          <w:tcPr>
            <w:tcW w:w="6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2</w:t>
            </w:r>
          </w:p>
        </w:tc>
        <w:tc>
          <w:tcPr>
            <w:tcW w:w="5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w:t>
            </w:r>
          </w:p>
        </w:tc>
      </w:tr>
      <w:tr>
        <w:trPr>
          <w:trHeight w:val="224"/>
        </w:trPr>
        <w:tc>
          <w:tcPr>
            <w:tcW w:w="41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Earnings applicable to common shares</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149"/>
              <w:spacing w:after="0"/>
              <w:rPr>
                <w:sz w:val="20"/>
                <w:szCs w:val="20"/>
                <w:color w:val="auto"/>
              </w:rPr>
            </w:pPr>
            <w:r>
              <w:rPr>
                <w:rFonts w:ascii="Arial" w:cs="Arial" w:eastAsia="Arial" w:hAnsi="Arial"/>
                <w:sz w:val="14"/>
                <w:szCs w:val="14"/>
                <w:color w:val="auto"/>
              </w:rPr>
              <w:t>62</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51</w:t>
            </w:r>
          </w:p>
        </w:tc>
        <w:tc>
          <w:tcPr>
            <w:tcW w:w="620" w:type="dxa"/>
            <w:vAlign w:val="bottom"/>
            <w:tcBorders>
              <w:bottom w:val="single" w:sz="8" w:color="auto"/>
            </w:tcBorders>
          </w:tcPr>
          <w:p>
            <w:pPr>
              <w:jc w:val="right"/>
              <w:ind w:right="169"/>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123</w:t>
            </w:r>
          </w:p>
        </w:tc>
        <w:tc>
          <w:tcPr>
            <w:tcW w:w="52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47</w:t>
            </w:r>
          </w:p>
        </w:tc>
      </w:tr>
    </w:tbl>
    <w:p>
      <w:pPr>
        <w:spacing w:after="0" w:line="180" w:lineRule="exact"/>
        <w:rPr>
          <w:sz w:val="20"/>
          <w:szCs w:val="20"/>
          <w:color w:val="auto"/>
        </w:rPr>
      </w:pPr>
    </w:p>
    <w:p>
      <w:pPr>
        <w:spacing w:after="0" w:line="264" w:lineRule="auto"/>
        <w:rPr>
          <w:sz w:val="20"/>
          <w:szCs w:val="20"/>
          <w:color w:val="auto"/>
        </w:rPr>
      </w:pPr>
      <w:r>
        <w:rPr>
          <w:rFonts w:ascii="Arial" w:cs="Arial" w:eastAsia="Arial" w:hAnsi="Arial"/>
          <w:sz w:val="16"/>
          <w:szCs w:val="16"/>
          <w:color w:val="auto"/>
        </w:rPr>
        <w:t>Net income in the first quarter of 2008 included the favorable resolution of prior years’ income tax issues of $9 million. Net income in the third quarter of 2008 included $33 million for the retroactive impact of the 2008 GRC decision for January 1 through June 30, 2008, and reserves for litigation matters of $17 million. We discuss the final CPUC decision, issued in July 2008, in Note 15.</w:t>
      </w:r>
    </w:p>
    <w:p>
      <w:pPr>
        <w:spacing w:after="0" w:line="42" w:lineRule="exact"/>
        <w:rPr>
          <w:sz w:val="20"/>
          <w:szCs w:val="20"/>
          <w:color w:val="auto"/>
        </w:rPr>
      </w:pPr>
    </w:p>
    <w:p>
      <w:pPr>
        <w:spacing w:after="0"/>
        <w:rPr>
          <w:sz w:val="20"/>
          <w:szCs w:val="20"/>
          <w:color w:val="auto"/>
        </w:rPr>
      </w:pPr>
      <w:r>
        <w:rPr>
          <w:rFonts w:ascii="Arial" w:cs="Arial" w:eastAsia="Arial" w:hAnsi="Arial"/>
          <w:sz w:val="16"/>
          <w:szCs w:val="16"/>
          <w:color w:val="auto"/>
        </w:rPr>
        <w:t>Net income in the third quarter of 2007 included favorable resolutions of prior years' income tax issues of $20 million and regulatory matters of $26 million.</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4"/>
          <w:szCs w:val="14"/>
          <w:color w:val="auto"/>
        </w:rPr>
        <w:t>188</w:t>
      </w:r>
    </w:p>
    <w:p>
      <w:pPr>
        <w:sectPr>
          <w:pgSz w:w="11900" w:h="16838" w:orient="portrait"/>
          <w:cols w:equalWidth="0" w:num="1">
            <w:col w:w="11200"/>
          </w:cols>
          <w:pgMar w:left="240" w:top="387" w:right="459" w:bottom="1440" w:gutter="0" w:footer="0" w:header="0"/>
        </w:sectPr>
      </w:pPr>
    </w:p>
    <w:bookmarkStart w:id="328" w:name="page329"/>
    <w:bookmarkEnd w:id="328"/>
    <w:p>
      <w:pPr>
        <w:ind w:left="1540"/>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1126490</wp:posOffset>
            </wp:positionH>
            <wp:positionV relativeFrom="page">
              <wp:posOffset>226695</wp:posOffset>
            </wp:positionV>
            <wp:extent cx="5316855" cy="28194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5316855" cy="281940"/>
                    </a:xfrm>
                    <a:prstGeom prst="rect">
                      <a:avLst/>
                    </a:prstGeom>
                    <a:noFill/>
                  </pic:spPr>
                </pic:pic>
              </a:graphicData>
            </a:graphic>
          </wp:anchor>
        </w:drawing>
        <w:t>PE</w:t>
      </w:r>
    </w:p>
    <w:p>
      <w:pPr>
        <w:spacing w:after="0" w:line="76" w:lineRule="exact"/>
        <w:rPr>
          <w:sz w:val="20"/>
          <w:szCs w:val="20"/>
          <w:color w:val="auto"/>
        </w:rPr>
      </w:pPr>
    </w:p>
    <w:tbl>
      <w:tblPr>
        <w:tblLayout w:type="fixed"/>
        <w:tblInd w:w="1540" w:type="dxa"/>
        <w:tblCellMar>
          <w:top w:w="0" w:type="dxa"/>
          <w:left w:w="0" w:type="dxa"/>
          <w:bottom w:w="0" w:type="dxa"/>
          <w:right w:w="0" w:type="dxa"/>
        </w:tblCellMar>
      </w:tblPr>
      <w:tr>
        <w:trPr>
          <w:trHeight w:val="166"/>
        </w:trPr>
        <w:tc>
          <w:tcPr>
            <w:tcW w:w="4140" w:type="dxa"/>
            <w:vAlign w:val="bottom"/>
            <w:gridSpan w:val="2"/>
          </w:tcPr>
          <w:p>
            <w:pPr>
              <w:spacing w:after="0"/>
              <w:rPr>
                <w:sz w:val="20"/>
                <w:szCs w:val="20"/>
                <w:color w:val="auto"/>
              </w:rPr>
            </w:pPr>
            <w:r>
              <w:rPr>
                <w:rFonts w:ascii="Arial" w:cs="Arial" w:eastAsia="Arial" w:hAnsi="Arial"/>
                <w:sz w:val="13"/>
                <w:szCs w:val="13"/>
                <w:i w:val="1"/>
                <w:iCs w:val="1"/>
                <w:color w:val="auto"/>
              </w:rPr>
              <w:t>(Dollars in millions)</w:t>
            </w:r>
          </w:p>
        </w:tc>
        <w:tc>
          <w:tcPr>
            <w:tcW w:w="3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221"/>
        </w:trPr>
        <w:tc>
          <w:tcPr>
            <w:tcW w:w="40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color w:val="auto"/>
              </w:rPr>
              <w:t>Quarters ended</w:t>
            </w:r>
          </w:p>
        </w:tc>
        <w:tc>
          <w:tcPr>
            <w:tcW w:w="5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r>
      <w:tr>
        <w:trPr>
          <w:trHeight w:val="208"/>
        </w:trPr>
        <w:tc>
          <w:tcPr>
            <w:tcW w:w="408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128"/>
              <w:spacing w:after="0"/>
              <w:rPr>
                <w:sz w:val="20"/>
                <w:szCs w:val="20"/>
                <w:color w:val="auto"/>
              </w:rPr>
            </w:pPr>
            <w:r>
              <w:rPr>
                <w:rFonts w:ascii="Arial" w:cs="Arial" w:eastAsia="Arial" w:hAnsi="Arial"/>
                <w:sz w:val="13"/>
                <w:szCs w:val="13"/>
                <w:color w:val="auto"/>
                <w:w w:val="99"/>
              </w:rPr>
              <w:t>March 31</w:t>
            </w:r>
          </w:p>
        </w:tc>
        <w:tc>
          <w:tcPr>
            <w:tcW w:w="3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69"/>
              <w:spacing w:after="0"/>
              <w:rPr>
                <w:sz w:val="20"/>
                <w:szCs w:val="20"/>
                <w:color w:val="auto"/>
              </w:rPr>
            </w:pPr>
            <w:r>
              <w:rPr>
                <w:rFonts w:ascii="Arial" w:cs="Arial" w:eastAsia="Arial" w:hAnsi="Arial"/>
                <w:sz w:val="13"/>
                <w:szCs w:val="13"/>
                <w:color w:val="auto"/>
              </w:rPr>
              <w:t>June 30</w:t>
            </w:r>
          </w:p>
        </w:tc>
        <w:tc>
          <w:tcPr>
            <w:tcW w:w="1120" w:type="dxa"/>
            <w:vAlign w:val="bottom"/>
            <w:tcBorders>
              <w:bottom w:val="single" w:sz="8" w:color="auto"/>
            </w:tcBorders>
            <w:gridSpan w:val="2"/>
          </w:tcPr>
          <w:p>
            <w:pPr>
              <w:jc w:val="right"/>
              <w:ind w:right="88"/>
              <w:spacing w:after="0"/>
              <w:rPr>
                <w:sz w:val="20"/>
                <w:szCs w:val="20"/>
                <w:color w:val="auto"/>
              </w:rPr>
            </w:pPr>
            <w:r>
              <w:rPr>
                <w:rFonts w:ascii="Arial" w:cs="Arial" w:eastAsia="Arial" w:hAnsi="Arial"/>
                <w:sz w:val="13"/>
                <w:szCs w:val="13"/>
                <w:color w:val="auto"/>
              </w:rPr>
              <w:t>September 30</w:t>
            </w:r>
          </w:p>
        </w:tc>
        <w:tc>
          <w:tcPr>
            <w:tcW w:w="96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color w:val="auto"/>
              </w:rPr>
              <w:t>December 31</w:t>
            </w:r>
          </w:p>
        </w:tc>
      </w:tr>
      <w:tr>
        <w:trPr>
          <w:trHeight w:val="207"/>
        </w:trPr>
        <w:tc>
          <w:tcPr>
            <w:tcW w:w="4080" w:type="dxa"/>
            <w:vAlign w:val="bottom"/>
          </w:tcPr>
          <w:p>
            <w:pPr>
              <w:spacing w:after="0"/>
              <w:rPr>
                <w:sz w:val="20"/>
                <w:szCs w:val="20"/>
                <w:color w:val="auto"/>
              </w:rPr>
            </w:pPr>
            <w:r>
              <w:rPr>
                <w:rFonts w:ascii="Arial" w:cs="Arial" w:eastAsia="Arial" w:hAnsi="Arial"/>
                <w:sz w:val="14"/>
                <w:szCs w:val="14"/>
                <w:b w:val="1"/>
                <w:bCs w:val="1"/>
                <w:color w:val="auto"/>
              </w:rPr>
              <w:t>2008</w:t>
            </w: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80" w:type="dxa"/>
            <w:vAlign w:val="bottom"/>
          </w:tcPr>
          <w:p>
            <w:pPr>
              <w:spacing w:after="0"/>
              <w:rPr>
                <w:sz w:val="18"/>
                <w:szCs w:val="18"/>
                <w:color w:val="auto"/>
              </w:rPr>
            </w:pPr>
          </w:p>
        </w:tc>
      </w:tr>
      <w:tr>
        <w:trPr>
          <w:trHeight w:val="216"/>
        </w:trPr>
        <w:tc>
          <w:tcPr>
            <w:tcW w:w="4140" w:type="dxa"/>
            <w:vAlign w:val="bottom"/>
            <w:gridSpan w:val="2"/>
          </w:tcPr>
          <w:p>
            <w:pPr>
              <w:spacing w:after="0"/>
              <w:rPr>
                <w:sz w:val="20"/>
                <w:szCs w:val="20"/>
                <w:color w:val="auto"/>
              </w:rPr>
            </w:pPr>
            <w:r>
              <w:rPr>
                <w:rFonts w:ascii="Arial" w:cs="Arial" w:eastAsia="Arial" w:hAnsi="Arial"/>
                <w:sz w:val="14"/>
                <w:szCs w:val="14"/>
                <w:color w:val="auto"/>
              </w:rPr>
              <w:t>Operating revenues</w:t>
            </w:r>
          </w:p>
        </w:tc>
        <w:tc>
          <w:tcPr>
            <w:tcW w:w="34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128"/>
              <w:spacing w:after="0"/>
              <w:rPr>
                <w:sz w:val="20"/>
                <w:szCs w:val="20"/>
                <w:color w:val="auto"/>
              </w:rPr>
            </w:pPr>
            <w:r>
              <w:rPr>
                <w:rFonts w:ascii="Arial" w:cs="Arial" w:eastAsia="Arial" w:hAnsi="Arial"/>
                <w:sz w:val="14"/>
                <w:szCs w:val="14"/>
                <w:color w:val="auto"/>
              </w:rPr>
              <w:t>1,556</w:t>
            </w:r>
          </w:p>
        </w:tc>
        <w:tc>
          <w:tcPr>
            <w:tcW w:w="36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69"/>
              <w:spacing w:after="0"/>
              <w:rPr>
                <w:sz w:val="20"/>
                <w:szCs w:val="20"/>
                <w:color w:val="auto"/>
              </w:rPr>
            </w:pPr>
            <w:r>
              <w:rPr>
                <w:rFonts w:ascii="Arial" w:cs="Arial" w:eastAsia="Arial" w:hAnsi="Arial"/>
                <w:sz w:val="14"/>
                <w:szCs w:val="14"/>
                <w:color w:val="auto"/>
              </w:rPr>
              <w:t>1,143</w:t>
            </w:r>
          </w:p>
        </w:tc>
        <w:tc>
          <w:tcPr>
            <w:tcW w:w="54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580" w:type="dxa"/>
            <w:vAlign w:val="bottom"/>
          </w:tcPr>
          <w:p>
            <w:pPr>
              <w:jc w:val="right"/>
              <w:ind w:right="88"/>
              <w:spacing w:after="0"/>
              <w:rPr>
                <w:sz w:val="20"/>
                <w:szCs w:val="20"/>
                <w:color w:val="auto"/>
              </w:rPr>
            </w:pPr>
            <w:r>
              <w:rPr>
                <w:rFonts w:ascii="Arial" w:cs="Arial" w:eastAsia="Arial" w:hAnsi="Arial"/>
                <w:sz w:val="14"/>
                <w:szCs w:val="14"/>
                <w:color w:val="auto"/>
              </w:rPr>
              <w:t>1,077</w:t>
            </w:r>
          </w:p>
        </w:tc>
        <w:tc>
          <w:tcPr>
            <w:tcW w:w="48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480" w:type="dxa"/>
            <w:vAlign w:val="bottom"/>
          </w:tcPr>
          <w:p>
            <w:pPr>
              <w:jc w:val="right"/>
              <w:spacing w:after="0"/>
              <w:rPr>
                <w:sz w:val="20"/>
                <w:szCs w:val="20"/>
                <w:color w:val="auto"/>
              </w:rPr>
            </w:pPr>
            <w:r>
              <w:rPr>
                <w:rFonts w:ascii="Arial" w:cs="Arial" w:eastAsia="Arial" w:hAnsi="Arial"/>
                <w:sz w:val="14"/>
                <w:szCs w:val="14"/>
                <w:color w:val="auto"/>
              </w:rPr>
              <w:t>992</w:t>
            </w:r>
          </w:p>
        </w:tc>
      </w:tr>
      <w:tr>
        <w:trPr>
          <w:trHeight w:val="222"/>
        </w:trPr>
        <w:tc>
          <w:tcPr>
            <w:tcW w:w="4140" w:type="dxa"/>
            <w:vAlign w:val="bottom"/>
            <w:gridSpan w:val="2"/>
          </w:tcPr>
          <w:p>
            <w:pPr>
              <w:spacing w:after="0"/>
              <w:rPr>
                <w:sz w:val="20"/>
                <w:szCs w:val="20"/>
                <w:color w:val="auto"/>
              </w:rPr>
            </w:pPr>
            <w:r>
              <w:rPr>
                <w:rFonts w:ascii="Arial" w:cs="Arial" w:eastAsia="Arial" w:hAnsi="Arial"/>
                <w:sz w:val="14"/>
                <w:szCs w:val="14"/>
                <w:color w:val="auto"/>
              </w:rPr>
              <w:t>Operating expenses</w:t>
            </w:r>
          </w:p>
        </w:tc>
        <w:tc>
          <w:tcPr>
            <w:tcW w:w="3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1,447</w:t>
            </w:r>
          </w:p>
        </w:tc>
        <w:tc>
          <w:tcPr>
            <w:tcW w:w="3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1,041</w:t>
            </w:r>
          </w:p>
        </w:tc>
        <w:tc>
          <w:tcPr>
            <w:tcW w:w="5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946</w:t>
            </w:r>
          </w:p>
        </w:tc>
        <w:tc>
          <w:tcPr>
            <w:tcW w:w="4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899</w:t>
            </w:r>
          </w:p>
        </w:tc>
      </w:tr>
      <w:tr>
        <w:trPr>
          <w:trHeight w:val="224"/>
        </w:trPr>
        <w:tc>
          <w:tcPr>
            <w:tcW w:w="4140" w:type="dxa"/>
            <w:vAlign w:val="bottom"/>
            <w:gridSpan w:val="2"/>
          </w:tcPr>
          <w:p>
            <w:pPr>
              <w:spacing w:after="0"/>
              <w:rPr>
                <w:sz w:val="20"/>
                <w:szCs w:val="20"/>
                <w:color w:val="auto"/>
              </w:rPr>
            </w:pPr>
            <w:r>
              <w:rPr>
                <w:rFonts w:ascii="Arial" w:cs="Arial" w:eastAsia="Arial" w:hAnsi="Arial"/>
                <w:sz w:val="14"/>
                <w:szCs w:val="14"/>
                <w:color w:val="auto"/>
              </w:rPr>
              <w:t>Operating income</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109</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102</w:t>
            </w:r>
          </w:p>
        </w:tc>
        <w:tc>
          <w:tcPr>
            <w:tcW w:w="54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131</w:t>
            </w:r>
          </w:p>
        </w:tc>
        <w:tc>
          <w:tcPr>
            <w:tcW w:w="48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93</w:t>
            </w:r>
          </w:p>
        </w:tc>
      </w:tr>
      <w:tr>
        <w:trPr>
          <w:trHeight w:val="426"/>
        </w:trPr>
        <w:tc>
          <w:tcPr>
            <w:tcW w:w="4140" w:type="dxa"/>
            <w:vAlign w:val="bottom"/>
            <w:gridSpan w:val="2"/>
          </w:tcPr>
          <w:p>
            <w:pPr>
              <w:spacing w:after="0"/>
              <w:rPr>
                <w:sz w:val="20"/>
                <w:szCs w:val="20"/>
                <w:color w:val="auto"/>
              </w:rPr>
            </w:pPr>
            <w:r>
              <w:rPr>
                <w:rFonts w:ascii="Arial" w:cs="Arial" w:eastAsia="Arial" w:hAnsi="Arial"/>
                <w:sz w:val="14"/>
                <w:szCs w:val="14"/>
                <w:color w:val="auto"/>
              </w:rPr>
              <w:t>Net income</w:t>
            </w:r>
          </w:p>
        </w:tc>
        <w:tc>
          <w:tcPr>
            <w:tcW w:w="34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128"/>
              <w:spacing w:after="0"/>
              <w:rPr>
                <w:sz w:val="20"/>
                <w:szCs w:val="20"/>
                <w:color w:val="auto"/>
              </w:rPr>
            </w:pPr>
            <w:r>
              <w:rPr>
                <w:rFonts w:ascii="Arial" w:cs="Arial" w:eastAsia="Arial" w:hAnsi="Arial"/>
                <w:sz w:val="14"/>
                <w:szCs w:val="14"/>
                <w:color w:val="auto"/>
              </w:rPr>
              <w:t>58</w:t>
            </w:r>
          </w:p>
        </w:tc>
        <w:tc>
          <w:tcPr>
            <w:tcW w:w="36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69"/>
              <w:spacing w:after="0"/>
              <w:rPr>
                <w:sz w:val="20"/>
                <w:szCs w:val="20"/>
                <w:color w:val="auto"/>
              </w:rPr>
            </w:pPr>
            <w:r>
              <w:rPr>
                <w:rFonts w:ascii="Arial" w:cs="Arial" w:eastAsia="Arial" w:hAnsi="Arial"/>
                <w:sz w:val="14"/>
                <w:szCs w:val="14"/>
                <w:color w:val="auto"/>
              </w:rPr>
              <w:t>57</w:t>
            </w:r>
          </w:p>
        </w:tc>
        <w:tc>
          <w:tcPr>
            <w:tcW w:w="54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580" w:type="dxa"/>
            <w:vAlign w:val="bottom"/>
          </w:tcPr>
          <w:p>
            <w:pPr>
              <w:jc w:val="right"/>
              <w:ind w:right="88"/>
              <w:spacing w:after="0"/>
              <w:rPr>
                <w:sz w:val="20"/>
                <w:szCs w:val="20"/>
                <w:color w:val="auto"/>
              </w:rPr>
            </w:pPr>
            <w:r>
              <w:rPr>
                <w:rFonts w:ascii="Arial" w:cs="Arial" w:eastAsia="Arial" w:hAnsi="Arial"/>
                <w:sz w:val="14"/>
                <w:szCs w:val="14"/>
                <w:color w:val="auto"/>
              </w:rPr>
              <w:t>80</w:t>
            </w:r>
          </w:p>
        </w:tc>
        <w:tc>
          <w:tcPr>
            <w:tcW w:w="48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480" w:type="dxa"/>
            <w:vAlign w:val="bottom"/>
          </w:tcPr>
          <w:p>
            <w:pPr>
              <w:jc w:val="right"/>
              <w:spacing w:after="0"/>
              <w:rPr>
                <w:sz w:val="20"/>
                <w:szCs w:val="20"/>
                <w:color w:val="auto"/>
              </w:rPr>
            </w:pPr>
            <w:r>
              <w:rPr>
                <w:rFonts w:ascii="Arial" w:cs="Arial" w:eastAsia="Arial" w:hAnsi="Arial"/>
                <w:sz w:val="14"/>
                <w:szCs w:val="14"/>
                <w:color w:val="auto"/>
              </w:rPr>
              <w:t>57</w:t>
            </w:r>
          </w:p>
        </w:tc>
      </w:tr>
      <w:tr>
        <w:trPr>
          <w:trHeight w:val="222"/>
        </w:trPr>
        <w:tc>
          <w:tcPr>
            <w:tcW w:w="4140" w:type="dxa"/>
            <w:vAlign w:val="bottom"/>
            <w:gridSpan w:val="2"/>
          </w:tcPr>
          <w:p>
            <w:pPr>
              <w:spacing w:after="0"/>
              <w:rPr>
                <w:sz w:val="20"/>
                <w:szCs w:val="20"/>
                <w:color w:val="auto"/>
              </w:rPr>
            </w:pPr>
            <w:r>
              <w:rPr>
                <w:rFonts w:ascii="Arial" w:cs="Arial" w:eastAsia="Arial" w:hAnsi="Arial"/>
                <w:sz w:val="14"/>
                <w:szCs w:val="14"/>
                <w:color w:val="auto"/>
              </w:rPr>
              <w:t>Dividends on preferred stock</w:t>
            </w:r>
          </w:p>
        </w:tc>
        <w:tc>
          <w:tcPr>
            <w:tcW w:w="3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1</w:t>
            </w:r>
          </w:p>
        </w:tc>
        <w:tc>
          <w:tcPr>
            <w:tcW w:w="3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1</w:t>
            </w:r>
          </w:p>
        </w:tc>
        <w:tc>
          <w:tcPr>
            <w:tcW w:w="5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w:t>
            </w:r>
          </w:p>
        </w:tc>
        <w:tc>
          <w:tcPr>
            <w:tcW w:w="4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w:t>
            </w:r>
          </w:p>
        </w:tc>
      </w:tr>
      <w:tr>
        <w:trPr>
          <w:trHeight w:val="224"/>
        </w:trPr>
        <w:tc>
          <w:tcPr>
            <w:tcW w:w="414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Earnings applicable to common shares</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57</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56</w:t>
            </w:r>
          </w:p>
        </w:tc>
        <w:tc>
          <w:tcPr>
            <w:tcW w:w="54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79</w:t>
            </w:r>
          </w:p>
        </w:tc>
        <w:tc>
          <w:tcPr>
            <w:tcW w:w="48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56</w:t>
            </w:r>
          </w:p>
        </w:tc>
      </w:tr>
      <w:tr>
        <w:trPr>
          <w:trHeight w:val="210"/>
        </w:trPr>
        <w:tc>
          <w:tcPr>
            <w:tcW w:w="4080" w:type="dxa"/>
            <w:vAlign w:val="bottom"/>
          </w:tcPr>
          <w:p>
            <w:pPr>
              <w:spacing w:after="0"/>
              <w:rPr>
                <w:sz w:val="20"/>
                <w:szCs w:val="20"/>
                <w:color w:val="auto"/>
              </w:rPr>
            </w:pPr>
            <w:r>
              <w:rPr>
                <w:rFonts w:ascii="Arial" w:cs="Arial" w:eastAsia="Arial" w:hAnsi="Arial"/>
                <w:sz w:val="14"/>
                <w:szCs w:val="14"/>
                <w:b w:val="1"/>
                <w:bCs w:val="1"/>
                <w:color w:val="auto"/>
              </w:rPr>
              <w:t>2007</w:t>
            </w: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80" w:type="dxa"/>
            <w:vAlign w:val="bottom"/>
          </w:tcPr>
          <w:p>
            <w:pPr>
              <w:spacing w:after="0"/>
              <w:rPr>
                <w:sz w:val="18"/>
                <w:szCs w:val="18"/>
                <w:color w:val="auto"/>
              </w:rPr>
            </w:pPr>
          </w:p>
        </w:tc>
      </w:tr>
      <w:tr>
        <w:trPr>
          <w:trHeight w:val="216"/>
        </w:trPr>
        <w:tc>
          <w:tcPr>
            <w:tcW w:w="4140" w:type="dxa"/>
            <w:vAlign w:val="bottom"/>
            <w:gridSpan w:val="2"/>
          </w:tcPr>
          <w:p>
            <w:pPr>
              <w:spacing w:after="0"/>
              <w:rPr>
                <w:sz w:val="20"/>
                <w:szCs w:val="20"/>
                <w:color w:val="auto"/>
              </w:rPr>
            </w:pPr>
            <w:r>
              <w:rPr>
                <w:rFonts w:ascii="Arial" w:cs="Arial" w:eastAsia="Arial" w:hAnsi="Arial"/>
                <w:sz w:val="14"/>
                <w:szCs w:val="14"/>
                <w:color w:val="auto"/>
              </w:rPr>
              <w:t>Operating revenues</w:t>
            </w:r>
          </w:p>
        </w:tc>
        <w:tc>
          <w:tcPr>
            <w:tcW w:w="34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128"/>
              <w:spacing w:after="0"/>
              <w:rPr>
                <w:sz w:val="20"/>
                <w:szCs w:val="20"/>
                <w:color w:val="auto"/>
              </w:rPr>
            </w:pPr>
            <w:r>
              <w:rPr>
                <w:rFonts w:ascii="Arial" w:cs="Arial" w:eastAsia="Arial" w:hAnsi="Arial"/>
                <w:sz w:val="14"/>
                <w:szCs w:val="14"/>
                <w:color w:val="auto"/>
              </w:rPr>
              <w:t>1,368</w:t>
            </w:r>
          </w:p>
        </w:tc>
        <w:tc>
          <w:tcPr>
            <w:tcW w:w="36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69"/>
              <w:spacing w:after="0"/>
              <w:rPr>
                <w:sz w:val="20"/>
                <w:szCs w:val="20"/>
                <w:color w:val="auto"/>
              </w:rPr>
            </w:pPr>
            <w:r>
              <w:rPr>
                <w:rFonts w:ascii="Arial" w:cs="Arial" w:eastAsia="Arial" w:hAnsi="Arial"/>
                <w:sz w:val="14"/>
                <w:szCs w:val="14"/>
                <w:color w:val="auto"/>
              </w:rPr>
              <w:t>981</w:t>
            </w:r>
          </w:p>
        </w:tc>
        <w:tc>
          <w:tcPr>
            <w:tcW w:w="54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580" w:type="dxa"/>
            <w:vAlign w:val="bottom"/>
          </w:tcPr>
          <w:p>
            <w:pPr>
              <w:jc w:val="right"/>
              <w:ind w:right="88"/>
              <w:spacing w:after="0"/>
              <w:rPr>
                <w:sz w:val="20"/>
                <w:szCs w:val="20"/>
                <w:color w:val="auto"/>
              </w:rPr>
            </w:pPr>
            <w:r>
              <w:rPr>
                <w:rFonts w:ascii="Arial" w:cs="Arial" w:eastAsia="Arial" w:hAnsi="Arial"/>
                <w:sz w:val="14"/>
                <w:szCs w:val="14"/>
                <w:color w:val="auto"/>
              </w:rPr>
              <w:t>819</w:t>
            </w:r>
          </w:p>
        </w:tc>
        <w:tc>
          <w:tcPr>
            <w:tcW w:w="48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480" w:type="dxa"/>
            <w:vAlign w:val="bottom"/>
          </w:tcPr>
          <w:p>
            <w:pPr>
              <w:jc w:val="right"/>
              <w:spacing w:after="0"/>
              <w:rPr>
                <w:sz w:val="20"/>
                <w:szCs w:val="20"/>
                <w:color w:val="auto"/>
              </w:rPr>
            </w:pPr>
            <w:r>
              <w:rPr>
                <w:rFonts w:ascii="Arial" w:cs="Arial" w:eastAsia="Arial" w:hAnsi="Arial"/>
                <w:sz w:val="14"/>
                <w:szCs w:val="14"/>
                <w:color w:val="auto"/>
              </w:rPr>
              <w:t>1,114</w:t>
            </w:r>
          </w:p>
        </w:tc>
      </w:tr>
      <w:tr>
        <w:trPr>
          <w:trHeight w:val="222"/>
        </w:trPr>
        <w:tc>
          <w:tcPr>
            <w:tcW w:w="4140" w:type="dxa"/>
            <w:vAlign w:val="bottom"/>
            <w:gridSpan w:val="2"/>
          </w:tcPr>
          <w:p>
            <w:pPr>
              <w:spacing w:after="0"/>
              <w:rPr>
                <w:sz w:val="20"/>
                <w:szCs w:val="20"/>
                <w:color w:val="auto"/>
              </w:rPr>
            </w:pPr>
            <w:r>
              <w:rPr>
                <w:rFonts w:ascii="Arial" w:cs="Arial" w:eastAsia="Arial" w:hAnsi="Arial"/>
                <w:sz w:val="14"/>
                <w:szCs w:val="14"/>
                <w:color w:val="auto"/>
              </w:rPr>
              <w:t>Operating expenses</w:t>
            </w:r>
          </w:p>
        </w:tc>
        <w:tc>
          <w:tcPr>
            <w:tcW w:w="3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1,260</w:t>
            </w:r>
          </w:p>
        </w:tc>
        <w:tc>
          <w:tcPr>
            <w:tcW w:w="3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877</w:t>
            </w:r>
          </w:p>
        </w:tc>
        <w:tc>
          <w:tcPr>
            <w:tcW w:w="5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701</w:t>
            </w:r>
          </w:p>
        </w:tc>
        <w:tc>
          <w:tcPr>
            <w:tcW w:w="4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1,008</w:t>
            </w:r>
          </w:p>
        </w:tc>
      </w:tr>
      <w:tr>
        <w:trPr>
          <w:trHeight w:val="224"/>
        </w:trPr>
        <w:tc>
          <w:tcPr>
            <w:tcW w:w="4140" w:type="dxa"/>
            <w:vAlign w:val="bottom"/>
            <w:gridSpan w:val="2"/>
          </w:tcPr>
          <w:p>
            <w:pPr>
              <w:spacing w:after="0"/>
              <w:rPr>
                <w:sz w:val="20"/>
                <w:szCs w:val="20"/>
                <w:color w:val="auto"/>
              </w:rPr>
            </w:pPr>
            <w:r>
              <w:rPr>
                <w:rFonts w:ascii="Arial" w:cs="Arial" w:eastAsia="Arial" w:hAnsi="Arial"/>
                <w:sz w:val="14"/>
                <w:szCs w:val="14"/>
                <w:color w:val="auto"/>
              </w:rPr>
              <w:t>Operating income</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108</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104</w:t>
            </w:r>
          </w:p>
        </w:tc>
        <w:tc>
          <w:tcPr>
            <w:tcW w:w="54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118</w:t>
            </w:r>
          </w:p>
        </w:tc>
        <w:tc>
          <w:tcPr>
            <w:tcW w:w="48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106</w:t>
            </w:r>
          </w:p>
        </w:tc>
      </w:tr>
      <w:tr>
        <w:trPr>
          <w:trHeight w:val="426"/>
        </w:trPr>
        <w:tc>
          <w:tcPr>
            <w:tcW w:w="4140" w:type="dxa"/>
            <w:vAlign w:val="bottom"/>
            <w:gridSpan w:val="2"/>
          </w:tcPr>
          <w:p>
            <w:pPr>
              <w:spacing w:after="0"/>
              <w:rPr>
                <w:sz w:val="20"/>
                <w:szCs w:val="20"/>
                <w:color w:val="auto"/>
              </w:rPr>
            </w:pPr>
            <w:r>
              <w:rPr>
                <w:rFonts w:ascii="Arial" w:cs="Arial" w:eastAsia="Arial" w:hAnsi="Arial"/>
                <w:sz w:val="14"/>
                <w:szCs w:val="14"/>
                <w:color w:val="auto"/>
              </w:rPr>
              <w:t>Net income</w:t>
            </w:r>
          </w:p>
        </w:tc>
        <w:tc>
          <w:tcPr>
            <w:tcW w:w="34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128"/>
              <w:spacing w:after="0"/>
              <w:rPr>
                <w:sz w:val="20"/>
                <w:szCs w:val="20"/>
                <w:color w:val="auto"/>
              </w:rPr>
            </w:pPr>
            <w:r>
              <w:rPr>
                <w:rFonts w:ascii="Arial" w:cs="Arial" w:eastAsia="Arial" w:hAnsi="Arial"/>
                <w:sz w:val="14"/>
                <w:szCs w:val="14"/>
                <w:color w:val="auto"/>
              </w:rPr>
              <w:t>58</w:t>
            </w:r>
          </w:p>
        </w:tc>
        <w:tc>
          <w:tcPr>
            <w:tcW w:w="36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69"/>
              <w:spacing w:after="0"/>
              <w:rPr>
                <w:sz w:val="20"/>
                <w:szCs w:val="20"/>
                <w:color w:val="auto"/>
              </w:rPr>
            </w:pPr>
            <w:r>
              <w:rPr>
                <w:rFonts w:ascii="Arial" w:cs="Arial" w:eastAsia="Arial" w:hAnsi="Arial"/>
                <w:sz w:val="14"/>
                <w:szCs w:val="14"/>
                <w:color w:val="auto"/>
              </w:rPr>
              <w:t>56</w:t>
            </w:r>
          </w:p>
        </w:tc>
        <w:tc>
          <w:tcPr>
            <w:tcW w:w="54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580" w:type="dxa"/>
            <w:vAlign w:val="bottom"/>
          </w:tcPr>
          <w:p>
            <w:pPr>
              <w:jc w:val="right"/>
              <w:ind w:right="88"/>
              <w:spacing w:after="0"/>
              <w:rPr>
                <w:sz w:val="20"/>
                <w:szCs w:val="20"/>
                <w:color w:val="auto"/>
              </w:rPr>
            </w:pPr>
            <w:r>
              <w:rPr>
                <w:rFonts w:ascii="Arial" w:cs="Arial" w:eastAsia="Arial" w:hAnsi="Arial"/>
                <w:sz w:val="14"/>
                <w:szCs w:val="14"/>
                <w:color w:val="auto"/>
              </w:rPr>
              <w:t>66</w:t>
            </w:r>
          </w:p>
        </w:tc>
        <w:tc>
          <w:tcPr>
            <w:tcW w:w="48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480" w:type="dxa"/>
            <w:vAlign w:val="bottom"/>
          </w:tcPr>
          <w:p>
            <w:pPr>
              <w:jc w:val="right"/>
              <w:spacing w:after="0"/>
              <w:rPr>
                <w:sz w:val="20"/>
                <w:szCs w:val="20"/>
                <w:color w:val="auto"/>
              </w:rPr>
            </w:pPr>
            <w:r>
              <w:rPr>
                <w:rFonts w:ascii="Arial" w:cs="Arial" w:eastAsia="Arial" w:hAnsi="Arial"/>
                <w:sz w:val="14"/>
                <w:szCs w:val="14"/>
                <w:color w:val="auto"/>
              </w:rPr>
              <w:t>62</w:t>
            </w:r>
          </w:p>
        </w:tc>
      </w:tr>
      <w:tr>
        <w:trPr>
          <w:trHeight w:val="222"/>
        </w:trPr>
        <w:tc>
          <w:tcPr>
            <w:tcW w:w="4140" w:type="dxa"/>
            <w:vAlign w:val="bottom"/>
            <w:gridSpan w:val="2"/>
          </w:tcPr>
          <w:p>
            <w:pPr>
              <w:spacing w:after="0"/>
              <w:rPr>
                <w:sz w:val="20"/>
                <w:szCs w:val="20"/>
                <w:color w:val="auto"/>
              </w:rPr>
            </w:pPr>
            <w:r>
              <w:rPr>
                <w:rFonts w:ascii="Arial" w:cs="Arial" w:eastAsia="Arial" w:hAnsi="Arial"/>
                <w:sz w:val="14"/>
                <w:szCs w:val="14"/>
                <w:color w:val="auto"/>
              </w:rPr>
              <w:t>Dividends on preferred stock</w:t>
            </w:r>
          </w:p>
        </w:tc>
        <w:tc>
          <w:tcPr>
            <w:tcW w:w="3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1</w:t>
            </w:r>
          </w:p>
        </w:tc>
        <w:tc>
          <w:tcPr>
            <w:tcW w:w="3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1</w:t>
            </w:r>
          </w:p>
        </w:tc>
        <w:tc>
          <w:tcPr>
            <w:tcW w:w="5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w:t>
            </w:r>
          </w:p>
        </w:tc>
        <w:tc>
          <w:tcPr>
            <w:tcW w:w="4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w:t>
            </w:r>
          </w:p>
        </w:tc>
      </w:tr>
      <w:tr>
        <w:trPr>
          <w:trHeight w:val="224"/>
        </w:trPr>
        <w:tc>
          <w:tcPr>
            <w:tcW w:w="414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Earnings applicable to common shares</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57</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55</w:t>
            </w:r>
          </w:p>
        </w:tc>
        <w:tc>
          <w:tcPr>
            <w:tcW w:w="54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65</w:t>
            </w:r>
          </w:p>
        </w:tc>
        <w:tc>
          <w:tcPr>
            <w:tcW w:w="48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61</w:t>
            </w:r>
          </w:p>
        </w:tc>
      </w:tr>
      <w:tr>
        <w:trPr>
          <w:trHeight w:val="601"/>
        </w:trPr>
        <w:tc>
          <w:tcPr>
            <w:tcW w:w="40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r>
      <w:tr>
        <w:trPr>
          <w:trHeight w:val="212"/>
        </w:trPr>
        <w:tc>
          <w:tcPr>
            <w:tcW w:w="4140" w:type="dxa"/>
            <w:vAlign w:val="bottom"/>
            <w:gridSpan w:val="2"/>
            <w:shd w:val="clear" w:color="auto" w:fill="D9D9D9"/>
          </w:tcPr>
          <w:p>
            <w:pPr>
              <w:spacing w:after="0"/>
              <w:rPr>
                <w:sz w:val="20"/>
                <w:szCs w:val="20"/>
                <w:color w:val="auto"/>
              </w:rPr>
            </w:pPr>
            <w:r>
              <w:rPr>
                <w:rFonts w:ascii="Arial" w:cs="Arial" w:eastAsia="Arial" w:hAnsi="Arial"/>
                <w:sz w:val="14"/>
                <w:szCs w:val="14"/>
                <w:b w:val="1"/>
                <w:bCs w:val="1"/>
                <w:color w:val="auto"/>
              </w:rPr>
              <w:t>SOCALGAS</w:t>
            </w:r>
          </w:p>
        </w:tc>
        <w:tc>
          <w:tcPr>
            <w:tcW w:w="340" w:type="dxa"/>
            <w:vAlign w:val="bottom"/>
            <w:shd w:val="clear" w:color="auto" w:fill="D9D9D9"/>
          </w:tcPr>
          <w:p>
            <w:pPr>
              <w:spacing w:after="0"/>
              <w:rPr>
                <w:sz w:val="18"/>
                <w:szCs w:val="18"/>
                <w:color w:val="auto"/>
              </w:rPr>
            </w:pPr>
          </w:p>
        </w:tc>
        <w:tc>
          <w:tcPr>
            <w:tcW w:w="760" w:type="dxa"/>
            <w:vAlign w:val="bottom"/>
            <w:shd w:val="clear" w:color="auto" w:fill="D9D9D9"/>
          </w:tcPr>
          <w:p>
            <w:pPr>
              <w:spacing w:after="0"/>
              <w:rPr>
                <w:sz w:val="18"/>
                <w:szCs w:val="18"/>
                <w:color w:val="auto"/>
              </w:rPr>
            </w:pPr>
          </w:p>
        </w:tc>
        <w:tc>
          <w:tcPr>
            <w:tcW w:w="360" w:type="dxa"/>
            <w:vAlign w:val="bottom"/>
            <w:shd w:val="clear" w:color="auto" w:fill="D9D9D9"/>
          </w:tcPr>
          <w:p>
            <w:pPr>
              <w:spacing w:after="0"/>
              <w:rPr>
                <w:sz w:val="18"/>
                <w:szCs w:val="18"/>
                <w:color w:val="auto"/>
              </w:rPr>
            </w:pPr>
          </w:p>
        </w:tc>
        <w:tc>
          <w:tcPr>
            <w:tcW w:w="680" w:type="dxa"/>
            <w:vAlign w:val="bottom"/>
            <w:shd w:val="clear" w:color="auto" w:fill="D9D9D9"/>
          </w:tcPr>
          <w:p>
            <w:pPr>
              <w:spacing w:after="0"/>
              <w:rPr>
                <w:sz w:val="18"/>
                <w:szCs w:val="18"/>
                <w:color w:val="auto"/>
              </w:rPr>
            </w:pPr>
          </w:p>
        </w:tc>
        <w:tc>
          <w:tcPr>
            <w:tcW w:w="540" w:type="dxa"/>
            <w:vAlign w:val="bottom"/>
            <w:shd w:val="clear" w:color="auto" w:fill="D9D9D9"/>
          </w:tcPr>
          <w:p>
            <w:pPr>
              <w:spacing w:after="0"/>
              <w:rPr>
                <w:sz w:val="18"/>
                <w:szCs w:val="18"/>
                <w:color w:val="auto"/>
              </w:rPr>
            </w:pPr>
          </w:p>
        </w:tc>
        <w:tc>
          <w:tcPr>
            <w:tcW w:w="580" w:type="dxa"/>
            <w:vAlign w:val="bottom"/>
            <w:shd w:val="clear" w:color="auto" w:fill="D9D9D9"/>
          </w:tcPr>
          <w:p>
            <w:pPr>
              <w:spacing w:after="0"/>
              <w:rPr>
                <w:sz w:val="18"/>
                <w:szCs w:val="18"/>
                <w:color w:val="auto"/>
              </w:rPr>
            </w:pPr>
          </w:p>
        </w:tc>
        <w:tc>
          <w:tcPr>
            <w:tcW w:w="480" w:type="dxa"/>
            <w:vAlign w:val="bottom"/>
            <w:shd w:val="clear" w:color="auto" w:fill="D9D9D9"/>
          </w:tcPr>
          <w:p>
            <w:pPr>
              <w:spacing w:after="0"/>
              <w:rPr>
                <w:sz w:val="18"/>
                <w:szCs w:val="18"/>
                <w:color w:val="auto"/>
              </w:rPr>
            </w:pPr>
          </w:p>
        </w:tc>
        <w:tc>
          <w:tcPr>
            <w:tcW w:w="480" w:type="dxa"/>
            <w:vAlign w:val="bottom"/>
            <w:shd w:val="clear" w:color="auto" w:fill="D9D9D9"/>
          </w:tcPr>
          <w:p>
            <w:pPr>
              <w:spacing w:after="0"/>
              <w:rPr>
                <w:sz w:val="18"/>
                <w:szCs w:val="18"/>
                <w:color w:val="auto"/>
              </w:rPr>
            </w:pPr>
          </w:p>
        </w:tc>
      </w:tr>
      <w:tr>
        <w:trPr>
          <w:trHeight w:val="212"/>
        </w:trPr>
        <w:tc>
          <w:tcPr>
            <w:tcW w:w="4140" w:type="dxa"/>
            <w:vAlign w:val="bottom"/>
            <w:gridSpan w:val="2"/>
            <w:shd w:val="clear" w:color="auto" w:fill="D9D9D9"/>
          </w:tcPr>
          <w:p>
            <w:pPr>
              <w:spacing w:after="0"/>
              <w:rPr>
                <w:sz w:val="20"/>
                <w:szCs w:val="20"/>
                <w:color w:val="auto"/>
              </w:rPr>
            </w:pPr>
            <w:r>
              <w:rPr>
                <w:rFonts w:ascii="Arial" w:cs="Arial" w:eastAsia="Arial" w:hAnsi="Arial"/>
                <w:sz w:val="13"/>
                <w:szCs w:val="13"/>
                <w:i w:val="1"/>
                <w:iCs w:val="1"/>
                <w:color w:val="auto"/>
              </w:rPr>
              <w:t>(Dollars in millions)</w:t>
            </w:r>
          </w:p>
        </w:tc>
        <w:tc>
          <w:tcPr>
            <w:tcW w:w="340" w:type="dxa"/>
            <w:vAlign w:val="bottom"/>
            <w:shd w:val="clear" w:color="auto" w:fill="D9D9D9"/>
          </w:tcPr>
          <w:p>
            <w:pPr>
              <w:spacing w:after="0"/>
              <w:rPr>
                <w:sz w:val="18"/>
                <w:szCs w:val="18"/>
                <w:color w:val="auto"/>
              </w:rPr>
            </w:pPr>
          </w:p>
        </w:tc>
        <w:tc>
          <w:tcPr>
            <w:tcW w:w="760" w:type="dxa"/>
            <w:vAlign w:val="bottom"/>
            <w:shd w:val="clear" w:color="auto" w:fill="D9D9D9"/>
          </w:tcPr>
          <w:p>
            <w:pPr>
              <w:spacing w:after="0"/>
              <w:rPr>
                <w:sz w:val="18"/>
                <w:szCs w:val="18"/>
                <w:color w:val="auto"/>
              </w:rPr>
            </w:pPr>
          </w:p>
        </w:tc>
        <w:tc>
          <w:tcPr>
            <w:tcW w:w="360" w:type="dxa"/>
            <w:vAlign w:val="bottom"/>
            <w:shd w:val="clear" w:color="auto" w:fill="D9D9D9"/>
          </w:tcPr>
          <w:p>
            <w:pPr>
              <w:spacing w:after="0"/>
              <w:rPr>
                <w:sz w:val="18"/>
                <w:szCs w:val="18"/>
                <w:color w:val="auto"/>
              </w:rPr>
            </w:pPr>
          </w:p>
        </w:tc>
        <w:tc>
          <w:tcPr>
            <w:tcW w:w="680" w:type="dxa"/>
            <w:vAlign w:val="bottom"/>
            <w:shd w:val="clear" w:color="auto" w:fill="D9D9D9"/>
          </w:tcPr>
          <w:p>
            <w:pPr>
              <w:spacing w:after="0"/>
              <w:rPr>
                <w:sz w:val="18"/>
                <w:szCs w:val="18"/>
                <w:color w:val="auto"/>
              </w:rPr>
            </w:pPr>
          </w:p>
        </w:tc>
        <w:tc>
          <w:tcPr>
            <w:tcW w:w="540" w:type="dxa"/>
            <w:vAlign w:val="bottom"/>
            <w:shd w:val="clear" w:color="auto" w:fill="D9D9D9"/>
          </w:tcPr>
          <w:p>
            <w:pPr>
              <w:spacing w:after="0"/>
              <w:rPr>
                <w:sz w:val="18"/>
                <w:szCs w:val="18"/>
                <w:color w:val="auto"/>
              </w:rPr>
            </w:pPr>
          </w:p>
        </w:tc>
        <w:tc>
          <w:tcPr>
            <w:tcW w:w="580" w:type="dxa"/>
            <w:vAlign w:val="bottom"/>
            <w:shd w:val="clear" w:color="auto" w:fill="D9D9D9"/>
          </w:tcPr>
          <w:p>
            <w:pPr>
              <w:spacing w:after="0"/>
              <w:rPr>
                <w:sz w:val="18"/>
                <w:szCs w:val="18"/>
                <w:color w:val="auto"/>
              </w:rPr>
            </w:pPr>
          </w:p>
        </w:tc>
        <w:tc>
          <w:tcPr>
            <w:tcW w:w="480" w:type="dxa"/>
            <w:vAlign w:val="bottom"/>
            <w:shd w:val="clear" w:color="auto" w:fill="D9D9D9"/>
          </w:tcPr>
          <w:p>
            <w:pPr>
              <w:spacing w:after="0"/>
              <w:rPr>
                <w:sz w:val="18"/>
                <w:szCs w:val="18"/>
                <w:color w:val="auto"/>
              </w:rPr>
            </w:pPr>
          </w:p>
        </w:tc>
        <w:tc>
          <w:tcPr>
            <w:tcW w:w="480" w:type="dxa"/>
            <w:vAlign w:val="bottom"/>
            <w:shd w:val="clear" w:color="auto" w:fill="D9D9D9"/>
          </w:tcPr>
          <w:p>
            <w:pPr>
              <w:spacing w:after="0"/>
              <w:rPr>
                <w:sz w:val="18"/>
                <w:szCs w:val="18"/>
                <w:color w:val="auto"/>
              </w:rPr>
            </w:pPr>
          </w:p>
        </w:tc>
      </w:tr>
      <w:tr>
        <w:trPr>
          <w:trHeight w:val="211"/>
        </w:trPr>
        <w:tc>
          <w:tcPr>
            <w:tcW w:w="4080" w:type="dxa"/>
            <w:vAlign w:val="bottom"/>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color w:val="auto"/>
              </w:rPr>
              <w:t>Quarters ended</w:t>
            </w:r>
          </w:p>
        </w:tc>
        <w:tc>
          <w:tcPr>
            <w:tcW w:w="58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r>
      <w:tr>
        <w:trPr>
          <w:trHeight w:val="208"/>
        </w:trPr>
        <w:tc>
          <w:tcPr>
            <w:tcW w:w="408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gridSpan w:val="2"/>
          </w:tcPr>
          <w:p>
            <w:pPr>
              <w:jc w:val="right"/>
              <w:ind w:right="208"/>
              <w:spacing w:after="0"/>
              <w:rPr>
                <w:sz w:val="20"/>
                <w:szCs w:val="20"/>
                <w:color w:val="auto"/>
              </w:rPr>
            </w:pPr>
            <w:r>
              <w:rPr>
                <w:rFonts w:ascii="Arial" w:cs="Arial" w:eastAsia="Arial" w:hAnsi="Arial"/>
                <w:sz w:val="13"/>
                <w:szCs w:val="13"/>
                <w:color w:val="auto"/>
              </w:rPr>
              <w:t>March 31</w:t>
            </w:r>
          </w:p>
        </w:tc>
        <w:tc>
          <w:tcPr>
            <w:tcW w:w="3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29"/>
              <w:spacing w:after="0"/>
              <w:rPr>
                <w:sz w:val="20"/>
                <w:szCs w:val="20"/>
                <w:color w:val="auto"/>
              </w:rPr>
            </w:pPr>
            <w:r>
              <w:rPr>
                <w:rFonts w:ascii="Arial" w:cs="Arial" w:eastAsia="Arial" w:hAnsi="Arial"/>
                <w:sz w:val="13"/>
                <w:szCs w:val="13"/>
                <w:color w:val="auto"/>
                <w:w w:val="99"/>
              </w:rPr>
              <w:t>June 30</w:t>
            </w:r>
          </w:p>
        </w:tc>
        <w:tc>
          <w:tcPr>
            <w:tcW w:w="1120" w:type="dxa"/>
            <w:vAlign w:val="bottom"/>
            <w:tcBorders>
              <w:bottom w:val="single" w:sz="8" w:color="auto"/>
            </w:tcBorders>
            <w:gridSpan w:val="2"/>
          </w:tcPr>
          <w:p>
            <w:pPr>
              <w:jc w:val="right"/>
              <w:ind w:right="108"/>
              <w:spacing w:after="0"/>
              <w:rPr>
                <w:sz w:val="20"/>
                <w:szCs w:val="20"/>
                <w:color w:val="auto"/>
              </w:rPr>
            </w:pPr>
            <w:r>
              <w:rPr>
                <w:rFonts w:ascii="Arial" w:cs="Arial" w:eastAsia="Arial" w:hAnsi="Arial"/>
                <w:sz w:val="13"/>
                <w:szCs w:val="13"/>
                <w:color w:val="auto"/>
              </w:rPr>
              <w:t>September 30</w:t>
            </w:r>
          </w:p>
        </w:tc>
        <w:tc>
          <w:tcPr>
            <w:tcW w:w="96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color w:val="auto"/>
              </w:rPr>
              <w:t>December 31</w:t>
            </w:r>
          </w:p>
        </w:tc>
      </w:tr>
      <w:tr>
        <w:trPr>
          <w:trHeight w:val="207"/>
        </w:trPr>
        <w:tc>
          <w:tcPr>
            <w:tcW w:w="4080" w:type="dxa"/>
            <w:vAlign w:val="bottom"/>
          </w:tcPr>
          <w:p>
            <w:pPr>
              <w:spacing w:after="0"/>
              <w:rPr>
                <w:sz w:val="20"/>
                <w:szCs w:val="20"/>
                <w:color w:val="auto"/>
              </w:rPr>
            </w:pPr>
            <w:r>
              <w:rPr>
                <w:rFonts w:ascii="Arial" w:cs="Arial" w:eastAsia="Arial" w:hAnsi="Arial"/>
                <w:sz w:val="14"/>
                <w:szCs w:val="14"/>
                <w:b w:val="1"/>
                <w:bCs w:val="1"/>
                <w:color w:val="auto"/>
              </w:rPr>
              <w:t>2008</w:t>
            </w: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80" w:type="dxa"/>
            <w:vAlign w:val="bottom"/>
          </w:tcPr>
          <w:p>
            <w:pPr>
              <w:spacing w:after="0"/>
              <w:rPr>
                <w:sz w:val="18"/>
                <w:szCs w:val="18"/>
                <w:color w:val="auto"/>
              </w:rPr>
            </w:pPr>
          </w:p>
        </w:tc>
      </w:tr>
      <w:tr>
        <w:trPr>
          <w:trHeight w:val="216"/>
        </w:trPr>
        <w:tc>
          <w:tcPr>
            <w:tcW w:w="4140" w:type="dxa"/>
            <w:vAlign w:val="bottom"/>
            <w:gridSpan w:val="2"/>
          </w:tcPr>
          <w:p>
            <w:pPr>
              <w:spacing w:after="0"/>
              <w:rPr>
                <w:sz w:val="20"/>
                <w:szCs w:val="20"/>
                <w:color w:val="auto"/>
              </w:rPr>
            </w:pPr>
            <w:r>
              <w:rPr>
                <w:rFonts w:ascii="Arial" w:cs="Arial" w:eastAsia="Arial" w:hAnsi="Arial"/>
                <w:sz w:val="14"/>
                <w:szCs w:val="14"/>
                <w:color w:val="auto"/>
              </w:rPr>
              <w:t>Operating revenues</w:t>
            </w:r>
          </w:p>
        </w:tc>
        <w:tc>
          <w:tcPr>
            <w:tcW w:w="3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208"/>
              <w:spacing w:after="0"/>
              <w:rPr>
                <w:sz w:val="20"/>
                <w:szCs w:val="20"/>
                <w:color w:val="auto"/>
              </w:rPr>
            </w:pPr>
            <w:r>
              <w:rPr>
                <w:rFonts w:ascii="Arial" w:cs="Arial" w:eastAsia="Arial" w:hAnsi="Arial"/>
                <w:sz w:val="14"/>
                <w:szCs w:val="14"/>
                <w:color w:val="auto"/>
              </w:rPr>
              <w:t>1,556</w:t>
            </w:r>
          </w:p>
        </w:tc>
        <w:tc>
          <w:tcPr>
            <w:tcW w:w="3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129"/>
              <w:spacing w:after="0"/>
              <w:rPr>
                <w:sz w:val="20"/>
                <w:szCs w:val="20"/>
                <w:color w:val="auto"/>
              </w:rPr>
            </w:pPr>
            <w:r>
              <w:rPr>
                <w:rFonts w:ascii="Arial" w:cs="Arial" w:eastAsia="Arial" w:hAnsi="Arial"/>
                <w:sz w:val="14"/>
                <w:szCs w:val="14"/>
                <w:color w:val="auto"/>
              </w:rPr>
              <w:t>1,143</w:t>
            </w:r>
          </w:p>
        </w:tc>
        <w:tc>
          <w:tcPr>
            <w:tcW w:w="540" w:type="dxa"/>
            <w:vAlign w:val="bottom"/>
          </w:tcPr>
          <w:p>
            <w:pPr>
              <w:jc w:val="right"/>
              <w:ind w:right="109"/>
              <w:spacing w:after="0"/>
              <w:rPr>
                <w:sz w:val="20"/>
                <w:szCs w:val="20"/>
                <w:color w:val="auto"/>
              </w:rPr>
            </w:pPr>
            <w:r>
              <w:rPr>
                <w:rFonts w:ascii="Arial" w:cs="Arial" w:eastAsia="Arial" w:hAnsi="Arial"/>
                <w:sz w:val="14"/>
                <w:szCs w:val="14"/>
                <w:color w:val="auto"/>
              </w:rPr>
              <w:t>$</w:t>
            </w:r>
          </w:p>
        </w:tc>
        <w:tc>
          <w:tcPr>
            <w:tcW w:w="580" w:type="dxa"/>
            <w:vAlign w:val="bottom"/>
          </w:tcPr>
          <w:p>
            <w:pPr>
              <w:jc w:val="right"/>
              <w:ind w:right="108"/>
              <w:spacing w:after="0"/>
              <w:rPr>
                <w:sz w:val="20"/>
                <w:szCs w:val="20"/>
                <w:color w:val="auto"/>
              </w:rPr>
            </w:pPr>
            <w:r>
              <w:rPr>
                <w:rFonts w:ascii="Arial" w:cs="Arial" w:eastAsia="Arial" w:hAnsi="Arial"/>
                <w:sz w:val="14"/>
                <w:szCs w:val="14"/>
                <w:color w:val="auto"/>
              </w:rPr>
              <w:t>1,077</w:t>
            </w:r>
          </w:p>
        </w:tc>
        <w:tc>
          <w:tcPr>
            <w:tcW w:w="48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480" w:type="dxa"/>
            <w:vAlign w:val="bottom"/>
          </w:tcPr>
          <w:p>
            <w:pPr>
              <w:jc w:val="right"/>
              <w:spacing w:after="0"/>
              <w:rPr>
                <w:sz w:val="20"/>
                <w:szCs w:val="20"/>
                <w:color w:val="auto"/>
              </w:rPr>
            </w:pPr>
            <w:r>
              <w:rPr>
                <w:rFonts w:ascii="Arial" w:cs="Arial" w:eastAsia="Arial" w:hAnsi="Arial"/>
                <w:sz w:val="14"/>
                <w:szCs w:val="14"/>
                <w:color w:val="auto"/>
              </w:rPr>
              <w:t>992</w:t>
            </w:r>
          </w:p>
        </w:tc>
      </w:tr>
      <w:tr>
        <w:trPr>
          <w:trHeight w:val="222"/>
        </w:trPr>
        <w:tc>
          <w:tcPr>
            <w:tcW w:w="4080" w:type="dxa"/>
            <w:vAlign w:val="bottom"/>
          </w:tcPr>
          <w:p>
            <w:pPr>
              <w:spacing w:after="0"/>
              <w:rPr>
                <w:sz w:val="20"/>
                <w:szCs w:val="20"/>
                <w:color w:val="auto"/>
              </w:rPr>
            </w:pPr>
            <w:r>
              <w:rPr>
                <w:rFonts w:ascii="Arial" w:cs="Arial" w:eastAsia="Arial" w:hAnsi="Arial"/>
                <w:sz w:val="14"/>
                <w:szCs w:val="14"/>
                <w:color w:val="auto"/>
              </w:rPr>
              <w:t>Operating expenses</w:t>
            </w:r>
          </w:p>
        </w:tc>
        <w:tc>
          <w:tcPr>
            <w:tcW w:w="6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1,446</w:t>
            </w:r>
          </w:p>
        </w:tc>
        <w:tc>
          <w:tcPr>
            <w:tcW w:w="3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129"/>
              <w:spacing w:after="0"/>
              <w:rPr>
                <w:sz w:val="20"/>
                <w:szCs w:val="20"/>
                <w:color w:val="auto"/>
              </w:rPr>
            </w:pPr>
            <w:r>
              <w:rPr>
                <w:rFonts w:ascii="Arial" w:cs="Arial" w:eastAsia="Arial" w:hAnsi="Arial"/>
                <w:sz w:val="14"/>
                <w:szCs w:val="14"/>
                <w:color w:val="auto"/>
              </w:rPr>
              <w:t>1,042</w:t>
            </w:r>
          </w:p>
        </w:tc>
        <w:tc>
          <w:tcPr>
            <w:tcW w:w="5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946</w:t>
            </w:r>
          </w:p>
        </w:tc>
        <w:tc>
          <w:tcPr>
            <w:tcW w:w="4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900</w:t>
            </w:r>
          </w:p>
        </w:tc>
      </w:tr>
      <w:tr>
        <w:trPr>
          <w:trHeight w:val="224"/>
        </w:trPr>
        <w:tc>
          <w:tcPr>
            <w:tcW w:w="4080" w:type="dxa"/>
            <w:vAlign w:val="bottom"/>
          </w:tcPr>
          <w:p>
            <w:pPr>
              <w:spacing w:after="0"/>
              <w:rPr>
                <w:sz w:val="20"/>
                <w:szCs w:val="20"/>
                <w:color w:val="auto"/>
              </w:rPr>
            </w:pPr>
            <w:r>
              <w:rPr>
                <w:rFonts w:ascii="Arial" w:cs="Arial" w:eastAsia="Arial" w:hAnsi="Arial"/>
                <w:sz w:val="14"/>
                <w:szCs w:val="14"/>
                <w:color w:val="auto"/>
              </w:rPr>
              <w:t>Operating income</w:t>
            </w:r>
          </w:p>
        </w:tc>
        <w:tc>
          <w:tcPr>
            <w:tcW w:w="6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110</w:t>
            </w:r>
          </w:p>
        </w:tc>
        <w:tc>
          <w:tcPr>
            <w:tcW w:w="3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tcPr>
          <w:p>
            <w:pPr>
              <w:jc w:val="right"/>
              <w:ind w:right="129"/>
              <w:spacing w:after="0"/>
              <w:rPr>
                <w:sz w:val="20"/>
                <w:szCs w:val="20"/>
                <w:color w:val="auto"/>
              </w:rPr>
            </w:pPr>
            <w:r>
              <w:rPr>
                <w:rFonts w:ascii="Arial" w:cs="Arial" w:eastAsia="Arial" w:hAnsi="Arial"/>
                <w:sz w:val="14"/>
                <w:szCs w:val="14"/>
                <w:color w:val="auto"/>
              </w:rPr>
              <w:t>101</w:t>
            </w:r>
          </w:p>
        </w:tc>
        <w:tc>
          <w:tcPr>
            <w:tcW w:w="54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131</w:t>
            </w:r>
          </w:p>
        </w:tc>
        <w:tc>
          <w:tcPr>
            <w:tcW w:w="48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92</w:t>
            </w:r>
          </w:p>
        </w:tc>
      </w:tr>
      <w:tr>
        <w:trPr>
          <w:trHeight w:val="426"/>
        </w:trPr>
        <w:tc>
          <w:tcPr>
            <w:tcW w:w="4140" w:type="dxa"/>
            <w:vAlign w:val="bottom"/>
            <w:gridSpan w:val="2"/>
          </w:tcPr>
          <w:p>
            <w:pPr>
              <w:spacing w:after="0"/>
              <w:rPr>
                <w:sz w:val="20"/>
                <w:szCs w:val="20"/>
                <w:color w:val="auto"/>
              </w:rPr>
            </w:pPr>
            <w:r>
              <w:rPr>
                <w:rFonts w:ascii="Arial" w:cs="Arial" w:eastAsia="Arial" w:hAnsi="Arial"/>
                <w:sz w:val="14"/>
                <w:szCs w:val="14"/>
                <w:color w:val="auto"/>
              </w:rPr>
              <w:t>Net income</w:t>
            </w:r>
          </w:p>
        </w:tc>
        <w:tc>
          <w:tcPr>
            <w:tcW w:w="3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208"/>
              <w:spacing w:after="0"/>
              <w:rPr>
                <w:sz w:val="20"/>
                <w:szCs w:val="20"/>
                <w:color w:val="auto"/>
              </w:rPr>
            </w:pPr>
            <w:r>
              <w:rPr>
                <w:rFonts w:ascii="Arial" w:cs="Arial" w:eastAsia="Arial" w:hAnsi="Arial"/>
                <w:sz w:val="14"/>
                <w:szCs w:val="14"/>
                <w:color w:val="auto"/>
              </w:rPr>
              <w:t>57</w:t>
            </w:r>
          </w:p>
        </w:tc>
        <w:tc>
          <w:tcPr>
            <w:tcW w:w="3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129"/>
              <w:spacing w:after="0"/>
              <w:rPr>
                <w:sz w:val="20"/>
                <w:szCs w:val="20"/>
                <w:color w:val="auto"/>
              </w:rPr>
            </w:pPr>
            <w:r>
              <w:rPr>
                <w:rFonts w:ascii="Arial" w:cs="Arial" w:eastAsia="Arial" w:hAnsi="Arial"/>
                <w:sz w:val="14"/>
                <w:szCs w:val="14"/>
                <w:color w:val="auto"/>
              </w:rPr>
              <w:t>57</w:t>
            </w:r>
          </w:p>
        </w:tc>
        <w:tc>
          <w:tcPr>
            <w:tcW w:w="540" w:type="dxa"/>
            <w:vAlign w:val="bottom"/>
          </w:tcPr>
          <w:p>
            <w:pPr>
              <w:jc w:val="right"/>
              <w:ind w:right="109"/>
              <w:spacing w:after="0"/>
              <w:rPr>
                <w:sz w:val="20"/>
                <w:szCs w:val="20"/>
                <w:color w:val="auto"/>
              </w:rPr>
            </w:pPr>
            <w:r>
              <w:rPr>
                <w:rFonts w:ascii="Arial" w:cs="Arial" w:eastAsia="Arial" w:hAnsi="Arial"/>
                <w:sz w:val="14"/>
                <w:szCs w:val="14"/>
                <w:color w:val="auto"/>
              </w:rPr>
              <w:t>$</w:t>
            </w:r>
          </w:p>
        </w:tc>
        <w:tc>
          <w:tcPr>
            <w:tcW w:w="580" w:type="dxa"/>
            <w:vAlign w:val="bottom"/>
          </w:tcPr>
          <w:p>
            <w:pPr>
              <w:jc w:val="right"/>
              <w:ind w:right="108"/>
              <w:spacing w:after="0"/>
              <w:rPr>
                <w:sz w:val="20"/>
                <w:szCs w:val="20"/>
                <w:color w:val="auto"/>
              </w:rPr>
            </w:pPr>
            <w:r>
              <w:rPr>
                <w:rFonts w:ascii="Arial" w:cs="Arial" w:eastAsia="Arial" w:hAnsi="Arial"/>
                <w:sz w:val="14"/>
                <w:szCs w:val="14"/>
                <w:color w:val="auto"/>
              </w:rPr>
              <w:t>77</w:t>
            </w:r>
          </w:p>
        </w:tc>
        <w:tc>
          <w:tcPr>
            <w:tcW w:w="48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480" w:type="dxa"/>
            <w:vAlign w:val="bottom"/>
          </w:tcPr>
          <w:p>
            <w:pPr>
              <w:jc w:val="right"/>
              <w:spacing w:after="0"/>
              <w:rPr>
                <w:sz w:val="20"/>
                <w:szCs w:val="20"/>
                <w:color w:val="auto"/>
              </w:rPr>
            </w:pPr>
            <w:r>
              <w:rPr>
                <w:rFonts w:ascii="Arial" w:cs="Arial" w:eastAsia="Arial" w:hAnsi="Arial"/>
                <w:sz w:val="14"/>
                <w:szCs w:val="14"/>
                <w:color w:val="auto"/>
              </w:rPr>
              <w:t>54</w:t>
            </w:r>
          </w:p>
        </w:tc>
      </w:tr>
      <w:tr>
        <w:trPr>
          <w:trHeight w:val="222"/>
        </w:trPr>
        <w:tc>
          <w:tcPr>
            <w:tcW w:w="4080" w:type="dxa"/>
            <w:vAlign w:val="bottom"/>
          </w:tcPr>
          <w:p>
            <w:pPr>
              <w:spacing w:after="0"/>
              <w:rPr>
                <w:sz w:val="20"/>
                <w:szCs w:val="20"/>
                <w:color w:val="auto"/>
              </w:rPr>
            </w:pPr>
            <w:r>
              <w:rPr>
                <w:rFonts w:ascii="Arial" w:cs="Arial" w:eastAsia="Arial" w:hAnsi="Arial"/>
                <w:sz w:val="14"/>
                <w:szCs w:val="14"/>
                <w:color w:val="auto"/>
              </w:rPr>
              <w:t>Dividends on preferred stock</w:t>
            </w:r>
          </w:p>
        </w:tc>
        <w:tc>
          <w:tcPr>
            <w:tcW w:w="6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129"/>
              <w:spacing w:after="0"/>
              <w:rPr>
                <w:sz w:val="20"/>
                <w:szCs w:val="20"/>
                <w:color w:val="auto"/>
              </w:rPr>
            </w:pPr>
            <w:r>
              <w:rPr>
                <w:rFonts w:ascii="Arial" w:cs="Arial" w:eastAsia="Arial" w:hAnsi="Arial"/>
                <w:sz w:val="14"/>
                <w:szCs w:val="14"/>
                <w:color w:val="auto"/>
              </w:rPr>
              <w:t>1</w:t>
            </w:r>
          </w:p>
        </w:tc>
        <w:tc>
          <w:tcPr>
            <w:tcW w:w="5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4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r>
      <w:tr>
        <w:trPr>
          <w:trHeight w:val="224"/>
        </w:trPr>
        <w:tc>
          <w:tcPr>
            <w:tcW w:w="414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Earnings applicable to common shares</w:t>
            </w:r>
          </w:p>
        </w:tc>
        <w:tc>
          <w:tcPr>
            <w:tcW w:w="3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57</w:t>
            </w:r>
          </w:p>
        </w:tc>
        <w:tc>
          <w:tcPr>
            <w:tcW w:w="3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tcPr>
          <w:p>
            <w:pPr>
              <w:jc w:val="right"/>
              <w:ind w:right="129"/>
              <w:spacing w:after="0"/>
              <w:rPr>
                <w:sz w:val="20"/>
                <w:szCs w:val="20"/>
                <w:color w:val="auto"/>
              </w:rPr>
            </w:pPr>
            <w:r>
              <w:rPr>
                <w:rFonts w:ascii="Arial" w:cs="Arial" w:eastAsia="Arial" w:hAnsi="Arial"/>
                <w:sz w:val="14"/>
                <w:szCs w:val="14"/>
                <w:color w:val="auto"/>
              </w:rPr>
              <w:t>56</w:t>
            </w:r>
          </w:p>
        </w:tc>
        <w:tc>
          <w:tcPr>
            <w:tcW w:w="54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77</w:t>
            </w:r>
          </w:p>
        </w:tc>
        <w:tc>
          <w:tcPr>
            <w:tcW w:w="48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54</w:t>
            </w:r>
          </w:p>
        </w:tc>
      </w:tr>
      <w:tr>
        <w:trPr>
          <w:trHeight w:val="210"/>
        </w:trPr>
        <w:tc>
          <w:tcPr>
            <w:tcW w:w="4080" w:type="dxa"/>
            <w:vAlign w:val="bottom"/>
          </w:tcPr>
          <w:p>
            <w:pPr>
              <w:spacing w:after="0"/>
              <w:rPr>
                <w:sz w:val="20"/>
                <w:szCs w:val="20"/>
                <w:color w:val="auto"/>
              </w:rPr>
            </w:pPr>
            <w:r>
              <w:rPr>
                <w:rFonts w:ascii="Arial" w:cs="Arial" w:eastAsia="Arial" w:hAnsi="Arial"/>
                <w:sz w:val="14"/>
                <w:szCs w:val="14"/>
                <w:b w:val="1"/>
                <w:bCs w:val="1"/>
                <w:color w:val="auto"/>
              </w:rPr>
              <w:t>2007</w:t>
            </w: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80" w:type="dxa"/>
            <w:vAlign w:val="bottom"/>
          </w:tcPr>
          <w:p>
            <w:pPr>
              <w:spacing w:after="0"/>
              <w:rPr>
                <w:sz w:val="18"/>
                <w:szCs w:val="18"/>
                <w:color w:val="auto"/>
              </w:rPr>
            </w:pPr>
          </w:p>
        </w:tc>
      </w:tr>
      <w:tr>
        <w:trPr>
          <w:trHeight w:val="216"/>
        </w:trPr>
        <w:tc>
          <w:tcPr>
            <w:tcW w:w="4140" w:type="dxa"/>
            <w:vAlign w:val="bottom"/>
            <w:gridSpan w:val="2"/>
          </w:tcPr>
          <w:p>
            <w:pPr>
              <w:spacing w:after="0"/>
              <w:rPr>
                <w:sz w:val="20"/>
                <w:szCs w:val="20"/>
                <w:color w:val="auto"/>
              </w:rPr>
            </w:pPr>
            <w:r>
              <w:rPr>
                <w:rFonts w:ascii="Arial" w:cs="Arial" w:eastAsia="Arial" w:hAnsi="Arial"/>
                <w:sz w:val="14"/>
                <w:szCs w:val="14"/>
                <w:color w:val="auto"/>
              </w:rPr>
              <w:t>Operating revenues</w:t>
            </w:r>
          </w:p>
        </w:tc>
        <w:tc>
          <w:tcPr>
            <w:tcW w:w="3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208"/>
              <w:spacing w:after="0"/>
              <w:rPr>
                <w:sz w:val="20"/>
                <w:szCs w:val="20"/>
                <w:color w:val="auto"/>
              </w:rPr>
            </w:pPr>
            <w:r>
              <w:rPr>
                <w:rFonts w:ascii="Arial" w:cs="Arial" w:eastAsia="Arial" w:hAnsi="Arial"/>
                <w:sz w:val="14"/>
                <w:szCs w:val="14"/>
                <w:color w:val="auto"/>
              </w:rPr>
              <w:t>1,368</w:t>
            </w:r>
          </w:p>
        </w:tc>
        <w:tc>
          <w:tcPr>
            <w:tcW w:w="3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129"/>
              <w:spacing w:after="0"/>
              <w:rPr>
                <w:sz w:val="20"/>
                <w:szCs w:val="20"/>
                <w:color w:val="auto"/>
              </w:rPr>
            </w:pPr>
            <w:r>
              <w:rPr>
                <w:rFonts w:ascii="Arial" w:cs="Arial" w:eastAsia="Arial" w:hAnsi="Arial"/>
                <w:sz w:val="14"/>
                <w:szCs w:val="14"/>
                <w:color w:val="auto"/>
              </w:rPr>
              <w:t>981</w:t>
            </w:r>
          </w:p>
        </w:tc>
        <w:tc>
          <w:tcPr>
            <w:tcW w:w="540" w:type="dxa"/>
            <w:vAlign w:val="bottom"/>
          </w:tcPr>
          <w:p>
            <w:pPr>
              <w:jc w:val="right"/>
              <w:ind w:right="109"/>
              <w:spacing w:after="0"/>
              <w:rPr>
                <w:sz w:val="20"/>
                <w:szCs w:val="20"/>
                <w:color w:val="auto"/>
              </w:rPr>
            </w:pPr>
            <w:r>
              <w:rPr>
                <w:rFonts w:ascii="Arial" w:cs="Arial" w:eastAsia="Arial" w:hAnsi="Arial"/>
                <w:sz w:val="14"/>
                <w:szCs w:val="14"/>
                <w:color w:val="auto"/>
              </w:rPr>
              <w:t>$</w:t>
            </w:r>
          </w:p>
        </w:tc>
        <w:tc>
          <w:tcPr>
            <w:tcW w:w="580" w:type="dxa"/>
            <w:vAlign w:val="bottom"/>
          </w:tcPr>
          <w:p>
            <w:pPr>
              <w:jc w:val="right"/>
              <w:ind w:right="108"/>
              <w:spacing w:after="0"/>
              <w:rPr>
                <w:sz w:val="20"/>
                <w:szCs w:val="20"/>
                <w:color w:val="auto"/>
              </w:rPr>
            </w:pPr>
            <w:r>
              <w:rPr>
                <w:rFonts w:ascii="Arial" w:cs="Arial" w:eastAsia="Arial" w:hAnsi="Arial"/>
                <w:sz w:val="14"/>
                <w:szCs w:val="14"/>
                <w:color w:val="auto"/>
              </w:rPr>
              <w:t>819</w:t>
            </w:r>
          </w:p>
        </w:tc>
        <w:tc>
          <w:tcPr>
            <w:tcW w:w="48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480" w:type="dxa"/>
            <w:vAlign w:val="bottom"/>
          </w:tcPr>
          <w:p>
            <w:pPr>
              <w:jc w:val="right"/>
              <w:spacing w:after="0"/>
              <w:rPr>
                <w:sz w:val="20"/>
                <w:szCs w:val="20"/>
                <w:color w:val="auto"/>
              </w:rPr>
            </w:pPr>
            <w:r>
              <w:rPr>
                <w:rFonts w:ascii="Arial" w:cs="Arial" w:eastAsia="Arial" w:hAnsi="Arial"/>
                <w:sz w:val="14"/>
                <w:szCs w:val="14"/>
                <w:color w:val="auto"/>
              </w:rPr>
              <w:t>1,114</w:t>
            </w:r>
          </w:p>
        </w:tc>
      </w:tr>
      <w:tr>
        <w:trPr>
          <w:trHeight w:val="222"/>
        </w:trPr>
        <w:tc>
          <w:tcPr>
            <w:tcW w:w="4080" w:type="dxa"/>
            <w:vAlign w:val="bottom"/>
          </w:tcPr>
          <w:p>
            <w:pPr>
              <w:spacing w:after="0"/>
              <w:rPr>
                <w:sz w:val="20"/>
                <w:szCs w:val="20"/>
                <w:color w:val="auto"/>
              </w:rPr>
            </w:pPr>
            <w:r>
              <w:rPr>
                <w:rFonts w:ascii="Arial" w:cs="Arial" w:eastAsia="Arial" w:hAnsi="Arial"/>
                <w:sz w:val="14"/>
                <w:szCs w:val="14"/>
                <w:color w:val="auto"/>
              </w:rPr>
              <w:t>Operating expenses</w:t>
            </w:r>
          </w:p>
        </w:tc>
        <w:tc>
          <w:tcPr>
            <w:tcW w:w="6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1,260</w:t>
            </w:r>
          </w:p>
        </w:tc>
        <w:tc>
          <w:tcPr>
            <w:tcW w:w="3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129"/>
              <w:spacing w:after="0"/>
              <w:rPr>
                <w:sz w:val="20"/>
                <w:szCs w:val="20"/>
                <w:color w:val="auto"/>
              </w:rPr>
            </w:pPr>
            <w:r>
              <w:rPr>
                <w:rFonts w:ascii="Arial" w:cs="Arial" w:eastAsia="Arial" w:hAnsi="Arial"/>
                <w:sz w:val="14"/>
                <w:szCs w:val="14"/>
                <w:color w:val="auto"/>
              </w:rPr>
              <w:t>876</w:t>
            </w:r>
          </w:p>
        </w:tc>
        <w:tc>
          <w:tcPr>
            <w:tcW w:w="5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702</w:t>
            </w:r>
          </w:p>
        </w:tc>
        <w:tc>
          <w:tcPr>
            <w:tcW w:w="4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1,007</w:t>
            </w:r>
          </w:p>
        </w:tc>
      </w:tr>
      <w:tr>
        <w:trPr>
          <w:trHeight w:val="224"/>
        </w:trPr>
        <w:tc>
          <w:tcPr>
            <w:tcW w:w="4080" w:type="dxa"/>
            <w:vAlign w:val="bottom"/>
          </w:tcPr>
          <w:p>
            <w:pPr>
              <w:spacing w:after="0"/>
              <w:rPr>
                <w:sz w:val="20"/>
                <w:szCs w:val="20"/>
                <w:color w:val="auto"/>
              </w:rPr>
            </w:pPr>
            <w:r>
              <w:rPr>
                <w:rFonts w:ascii="Arial" w:cs="Arial" w:eastAsia="Arial" w:hAnsi="Arial"/>
                <w:sz w:val="14"/>
                <w:szCs w:val="14"/>
                <w:color w:val="auto"/>
              </w:rPr>
              <w:t>Operating income</w:t>
            </w:r>
          </w:p>
        </w:tc>
        <w:tc>
          <w:tcPr>
            <w:tcW w:w="6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108</w:t>
            </w:r>
          </w:p>
        </w:tc>
        <w:tc>
          <w:tcPr>
            <w:tcW w:w="3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tcPr>
          <w:p>
            <w:pPr>
              <w:jc w:val="right"/>
              <w:ind w:right="129"/>
              <w:spacing w:after="0"/>
              <w:rPr>
                <w:sz w:val="20"/>
                <w:szCs w:val="20"/>
                <w:color w:val="auto"/>
              </w:rPr>
            </w:pPr>
            <w:r>
              <w:rPr>
                <w:rFonts w:ascii="Arial" w:cs="Arial" w:eastAsia="Arial" w:hAnsi="Arial"/>
                <w:sz w:val="14"/>
                <w:szCs w:val="14"/>
                <w:color w:val="auto"/>
              </w:rPr>
              <w:t>105</w:t>
            </w:r>
          </w:p>
        </w:tc>
        <w:tc>
          <w:tcPr>
            <w:tcW w:w="54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117</w:t>
            </w:r>
          </w:p>
        </w:tc>
        <w:tc>
          <w:tcPr>
            <w:tcW w:w="48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107</w:t>
            </w:r>
          </w:p>
        </w:tc>
      </w:tr>
      <w:tr>
        <w:trPr>
          <w:trHeight w:val="426"/>
        </w:trPr>
        <w:tc>
          <w:tcPr>
            <w:tcW w:w="4140" w:type="dxa"/>
            <w:vAlign w:val="bottom"/>
            <w:gridSpan w:val="2"/>
          </w:tcPr>
          <w:p>
            <w:pPr>
              <w:spacing w:after="0"/>
              <w:rPr>
                <w:sz w:val="20"/>
                <w:szCs w:val="20"/>
                <w:color w:val="auto"/>
              </w:rPr>
            </w:pPr>
            <w:r>
              <w:rPr>
                <w:rFonts w:ascii="Arial" w:cs="Arial" w:eastAsia="Arial" w:hAnsi="Arial"/>
                <w:sz w:val="14"/>
                <w:szCs w:val="14"/>
                <w:color w:val="auto"/>
              </w:rPr>
              <w:t>Net income</w:t>
            </w:r>
          </w:p>
        </w:tc>
        <w:tc>
          <w:tcPr>
            <w:tcW w:w="3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208"/>
              <w:spacing w:after="0"/>
              <w:rPr>
                <w:sz w:val="20"/>
                <w:szCs w:val="20"/>
                <w:color w:val="auto"/>
              </w:rPr>
            </w:pPr>
            <w:r>
              <w:rPr>
                <w:rFonts w:ascii="Arial" w:cs="Arial" w:eastAsia="Arial" w:hAnsi="Arial"/>
                <w:sz w:val="14"/>
                <w:szCs w:val="14"/>
                <w:color w:val="auto"/>
              </w:rPr>
              <w:t>55</w:t>
            </w:r>
          </w:p>
        </w:tc>
        <w:tc>
          <w:tcPr>
            <w:tcW w:w="3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129"/>
              <w:spacing w:after="0"/>
              <w:rPr>
                <w:sz w:val="20"/>
                <w:szCs w:val="20"/>
                <w:color w:val="auto"/>
              </w:rPr>
            </w:pPr>
            <w:r>
              <w:rPr>
                <w:rFonts w:ascii="Arial" w:cs="Arial" w:eastAsia="Arial" w:hAnsi="Arial"/>
                <w:sz w:val="14"/>
                <w:szCs w:val="14"/>
                <w:color w:val="auto"/>
              </w:rPr>
              <w:t>55</w:t>
            </w:r>
          </w:p>
        </w:tc>
        <w:tc>
          <w:tcPr>
            <w:tcW w:w="540" w:type="dxa"/>
            <w:vAlign w:val="bottom"/>
          </w:tcPr>
          <w:p>
            <w:pPr>
              <w:jc w:val="right"/>
              <w:ind w:right="109"/>
              <w:spacing w:after="0"/>
              <w:rPr>
                <w:sz w:val="20"/>
                <w:szCs w:val="20"/>
                <w:color w:val="auto"/>
              </w:rPr>
            </w:pPr>
            <w:r>
              <w:rPr>
                <w:rFonts w:ascii="Arial" w:cs="Arial" w:eastAsia="Arial" w:hAnsi="Arial"/>
                <w:sz w:val="14"/>
                <w:szCs w:val="14"/>
                <w:color w:val="auto"/>
              </w:rPr>
              <w:t>$</w:t>
            </w:r>
          </w:p>
        </w:tc>
        <w:tc>
          <w:tcPr>
            <w:tcW w:w="580" w:type="dxa"/>
            <w:vAlign w:val="bottom"/>
          </w:tcPr>
          <w:p>
            <w:pPr>
              <w:jc w:val="right"/>
              <w:ind w:right="108"/>
              <w:spacing w:after="0"/>
              <w:rPr>
                <w:sz w:val="20"/>
                <w:szCs w:val="20"/>
                <w:color w:val="auto"/>
              </w:rPr>
            </w:pPr>
            <w:r>
              <w:rPr>
                <w:rFonts w:ascii="Arial" w:cs="Arial" w:eastAsia="Arial" w:hAnsi="Arial"/>
                <w:sz w:val="14"/>
                <w:szCs w:val="14"/>
                <w:color w:val="auto"/>
              </w:rPr>
              <w:t>63</w:t>
            </w:r>
          </w:p>
        </w:tc>
        <w:tc>
          <w:tcPr>
            <w:tcW w:w="48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480" w:type="dxa"/>
            <w:vAlign w:val="bottom"/>
          </w:tcPr>
          <w:p>
            <w:pPr>
              <w:jc w:val="right"/>
              <w:spacing w:after="0"/>
              <w:rPr>
                <w:sz w:val="20"/>
                <w:szCs w:val="20"/>
                <w:color w:val="auto"/>
              </w:rPr>
            </w:pPr>
            <w:r>
              <w:rPr>
                <w:rFonts w:ascii="Arial" w:cs="Arial" w:eastAsia="Arial" w:hAnsi="Arial"/>
                <w:sz w:val="14"/>
                <w:szCs w:val="14"/>
                <w:color w:val="auto"/>
              </w:rPr>
              <w:t>58</w:t>
            </w:r>
          </w:p>
        </w:tc>
      </w:tr>
      <w:tr>
        <w:trPr>
          <w:trHeight w:val="222"/>
        </w:trPr>
        <w:tc>
          <w:tcPr>
            <w:tcW w:w="4080" w:type="dxa"/>
            <w:vAlign w:val="bottom"/>
          </w:tcPr>
          <w:p>
            <w:pPr>
              <w:spacing w:after="0"/>
              <w:rPr>
                <w:sz w:val="20"/>
                <w:szCs w:val="20"/>
                <w:color w:val="auto"/>
              </w:rPr>
            </w:pPr>
            <w:r>
              <w:rPr>
                <w:rFonts w:ascii="Arial" w:cs="Arial" w:eastAsia="Arial" w:hAnsi="Arial"/>
                <w:sz w:val="14"/>
                <w:szCs w:val="14"/>
                <w:color w:val="auto"/>
              </w:rPr>
              <w:t>Dividends on preferred stock</w:t>
            </w:r>
          </w:p>
        </w:tc>
        <w:tc>
          <w:tcPr>
            <w:tcW w:w="6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129"/>
              <w:spacing w:after="0"/>
              <w:rPr>
                <w:sz w:val="20"/>
                <w:szCs w:val="20"/>
                <w:color w:val="auto"/>
              </w:rPr>
            </w:pPr>
            <w:r>
              <w:rPr>
                <w:rFonts w:ascii="Arial" w:cs="Arial" w:eastAsia="Arial" w:hAnsi="Arial"/>
                <w:sz w:val="14"/>
                <w:szCs w:val="14"/>
                <w:color w:val="auto"/>
              </w:rPr>
              <w:t>1</w:t>
            </w:r>
          </w:p>
        </w:tc>
        <w:tc>
          <w:tcPr>
            <w:tcW w:w="5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4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r>
      <w:tr>
        <w:trPr>
          <w:trHeight w:val="224"/>
        </w:trPr>
        <w:tc>
          <w:tcPr>
            <w:tcW w:w="414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Earnings applicable to common shares</w:t>
            </w:r>
          </w:p>
        </w:tc>
        <w:tc>
          <w:tcPr>
            <w:tcW w:w="3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55</w:t>
            </w:r>
          </w:p>
        </w:tc>
        <w:tc>
          <w:tcPr>
            <w:tcW w:w="3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tcPr>
          <w:p>
            <w:pPr>
              <w:jc w:val="right"/>
              <w:ind w:right="129"/>
              <w:spacing w:after="0"/>
              <w:rPr>
                <w:sz w:val="20"/>
                <w:szCs w:val="20"/>
                <w:color w:val="auto"/>
              </w:rPr>
            </w:pPr>
            <w:r>
              <w:rPr>
                <w:rFonts w:ascii="Arial" w:cs="Arial" w:eastAsia="Arial" w:hAnsi="Arial"/>
                <w:sz w:val="14"/>
                <w:szCs w:val="14"/>
                <w:color w:val="auto"/>
              </w:rPr>
              <w:t>54</w:t>
            </w:r>
          </w:p>
        </w:tc>
        <w:tc>
          <w:tcPr>
            <w:tcW w:w="54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63</w:t>
            </w:r>
          </w:p>
        </w:tc>
        <w:tc>
          <w:tcPr>
            <w:tcW w:w="48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58</w:t>
            </w:r>
          </w:p>
        </w:tc>
      </w:tr>
    </w:tbl>
    <w:p>
      <w:pPr>
        <w:spacing w:after="0" w:line="180" w:lineRule="exact"/>
        <w:rPr>
          <w:sz w:val="20"/>
          <w:szCs w:val="20"/>
          <w:color w:val="auto"/>
        </w:rPr>
      </w:pPr>
    </w:p>
    <w:p>
      <w:pPr>
        <w:spacing w:after="0" w:line="277" w:lineRule="auto"/>
        <w:rPr>
          <w:sz w:val="20"/>
          <w:szCs w:val="20"/>
          <w:color w:val="auto"/>
        </w:rPr>
      </w:pPr>
      <w:r>
        <w:rPr>
          <w:rFonts w:ascii="Arial" w:cs="Arial" w:eastAsia="Arial" w:hAnsi="Arial"/>
          <w:sz w:val="16"/>
          <w:szCs w:val="16"/>
          <w:color w:val="auto"/>
        </w:rPr>
        <w:t>Net income in the third quarter of 2008 for PE and SoCalGas included $7 million for the retroactive impact of the 2008 GRC decision for January 1 through June 30, 2008. We discuss the final CPUC decision, issued in July 2008, in Note 15.</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color w:val="auto"/>
        </w:rPr>
        <w:t>Net income in the fourth quarter of 2008 for PE and SoCalGas included litigation expenses of $7 million.</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4"/>
          <w:szCs w:val="14"/>
          <w:color w:val="auto"/>
        </w:rPr>
        <w:t>189</w:t>
      </w:r>
    </w:p>
    <w:p>
      <w:pPr>
        <w:sectPr>
          <w:pgSz w:w="11900" w:h="16838" w:orient="portrait"/>
          <w:cols w:equalWidth="0" w:num="1">
            <w:col w:w="11220"/>
          </w:cols>
          <w:pgMar w:left="240" w:top="388" w:right="439" w:bottom="1440" w:gutter="0" w:footer="0" w:header="0"/>
        </w:sectPr>
      </w:pPr>
    </w:p>
    <w:bookmarkStart w:id="329" w:name="page330"/>
    <w:bookmarkEnd w:id="329"/>
    <w:p>
      <w:pPr>
        <w:ind w:left="1940"/>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1370330</wp:posOffset>
            </wp:positionH>
            <wp:positionV relativeFrom="page">
              <wp:posOffset>638175</wp:posOffset>
            </wp:positionV>
            <wp:extent cx="4828540" cy="28194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4828540" cy="281940"/>
                    </a:xfrm>
                    <a:prstGeom prst="rect">
                      <a:avLst/>
                    </a:prstGeom>
                    <a:noFill/>
                  </pic:spPr>
                </pic:pic>
              </a:graphicData>
            </a:graphic>
          </wp:anchor>
        </w:drawing>
        <w:t>GLOSSARY</w:t>
      </w:r>
    </w:p>
    <w:p>
      <w:pPr>
        <w:spacing w:after="0" w:line="200" w:lineRule="exact"/>
        <w:rPr>
          <w:sz w:val="20"/>
          <w:szCs w:val="20"/>
          <w:color w:val="auto"/>
        </w:rPr>
      </w:pPr>
    </w:p>
    <w:p>
      <w:pPr>
        <w:spacing w:after="0" w:line="284" w:lineRule="exact"/>
        <w:rPr>
          <w:sz w:val="20"/>
          <w:szCs w:val="20"/>
          <w:color w:val="auto"/>
        </w:rPr>
      </w:pPr>
    </w:p>
    <w:tbl>
      <w:tblPr>
        <w:tblLayout w:type="fixed"/>
        <w:tblInd w:w="1920" w:type="dxa"/>
        <w:tblCellMar>
          <w:top w:w="0" w:type="dxa"/>
          <w:left w:w="0" w:type="dxa"/>
          <w:bottom w:w="0" w:type="dxa"/>
          <w:right w:w="0" w:type="dxa"/>
        </w:tblCellMar>
      </w:tblPr>
      <w:tr>
        <w:trPr>
          <w:trHeight w:val="154"/>
        </w:trPr>
        <w:tc>
          <w:tcPr>
            <w:tcW w:w="1520" w:type="dxa"/>
            <w:vAlign w:val="bottom"/>
          </w:tcPr>
          <w:p>
            <w:pPr>
              <w:spacing w:after="0"/>
              <w:rPr>
                <w:sz w:val="20"/>
                <w:szCs w:val="20"/>
                <w:color w:val="auto"/>
              </w:rPr>
            </w:pPr>
            <w:r>
              <w:rPr>
                <w:rFonts w:ascii="Arial" w:cs="Arial" w:eastAsia="Arial" w:hAnsi="Arial"/>
                <w:sz w:val="13"/>
                <w:szCs w:val="13"/>
                <w:color w:val="auto"/>
              </w:rPr>
              <w:t>AB 32</w:t>
            </w:r>
          </w:p>
        </w:tc>
        <w:tc>
          <w:tcPr>
            <w:tcW w:w="2440" w:type="dxa"/>
            <w:vAlign w:val="bottom"/>
          </w:tcPr>
          <w:p>
            <w:pPr>
              <w:ind w:left="320"/>
              <w:spacing w:after="0"/>
              <w:rPr>
                <w:sz w:val="20"/>
                <w:szCs w:val="20"/>
                <w:color w:val="auto"/>
              </w:rPr>
            </w:pPr>
            <w:r>
              <w:rPr>
                <w:rFonts w:ascii="Arial" w:cs="Arial" w:eastAsia="Arial" w:hAnsi="Arial"/>
                <w:sz w:val="13"/>
                <w:szCs w:val="13"/>
                <w:color w:val="auto"/>
              </w:rPr>
              <w:t>California Assembly Bill 32</w:t>
            </w:r>
          </w:p>
        </w:tc>
        <w:tc>
          <w:tcPr>
            <w:tcW w:w="1200" w:type="dxa"/>
            <w:vAlign w:val="bottom"/>
          </w:tcPr>
          <w:p>
            <w:pPr>
              <w:ind w:left="200"/>
              <w:spacing w:after="0"/>
              <w:rPr>
                <w:sz w:val="20"/>
                <w:szCs w:val="20"/>
                <w:color w:val="auto"/>
              </w:rPr>
            </w:pPr>
            <w:r>
              <w:rPr>
                <w:rFonts w:ascii="Arial" w:cs="Arial" w:eastAsia="Arial" w:hAnsi="Arial"/>
                <w:sz w:val="13"/>
                <w:szCs w:val="13"/>
                <w:color w:val="auto"/>
              </w:rPr>
              <w:t>Elk Hills</w:t>
            </w:r>
          </w:p>
        </w:tc>
        <w:tc>
          <w:tcPr>
            <w:tcW w:w="2440" w:type="dxa"/>
            <w:vAlign w:val="bottom"/>
          </w:tcPr>
          <w:p>
            <w:pPr>
              <w:ind w:left="100"/>
              <w:spacing w:after="0"/>
              <w:rPr>
                <w:sz w:val="20"/>
                <w:szCs w:val="20"/>
                <w:color w:val="auto"/>
              </w:rPr>
            </w:pPr>
            <w:r>
              <w:rPr>
                <w:rFonts w:ascii="Arial" w:cs="Arial" w:eastAsia="Arial" w:hAnsi="Arial"/>
                <w:sz w:val="13"/>
                <w:szCs w:val="13"/>
                <w:color w:val="auto"/>
              </w:rPr>
              <w:t>Elk Hills Power</w:t>
            </w:r>
          </w:p>
        </w:tc>
      </w:tr>
      <w:tr>
        <w:trPr>
          <w:trHeight w:val="432"/>
        </w:trPr>
        <w:tc>
          <w:tcPr>
            <w:tcW w:w="1520" w:type="dxa"/>
            <w:vAlign w:val="bottom"/>
          </w:tcPr>
          <w:p>
            <w:pPr>
              <w:spacing w:after="0"/>
              <w:rPr>
                <w:sz w:val="20"/>
                <w:szCs w:val="20"/>
                <w:color w:val="auto"/>
              </w:rPr>
            </w:pPr>
            <w:r>
              <w:rPr>
                <w:rFonts w:ascii="Arial" w:cs="Arial" w:eastAsia="Arial" w:hAnsi="Arial"/>
                <w:sz w:val="13"/>
                <w:szCs w:val="13"/>
                <w:color w:val="auto"/>
              </w:rPr>
              <w:t>AEP</w:t>
            </w:r>
          </w:p>
        </w:tc>
        <w:tc>
          <w:tcPr>
            <w:tcW w:w="2440" w:type="dxa"/>
            <w:vAlign w:val="bottom"/>
          </w:tcPr>
          <w:p>
            <w:pPr>
              <w:ind w:left="320"/>
              <w:spacing w:after="0"/>
              <w:rPr>
                <w:sz w:val="20"/>
                <w:szCs w:val="20"/>
                <w:color w:val="auto"/>
              </w:rPr>
            </w:pPr>
            <w:r>
              <w:rPr>
                <w:rFonts w:ascii="Arial" w:cs="Arial" w:eastAsia="Arial" w:hAnsi="Arial"/>
                <w:sz w:val="13"/>
                <w:szCs w:val="13"/>
                <w:color w:val="auto"/>
              </w:rPr>
              <w:t>American Electric Power</w:t>
            </w:r>
          </w:p>
        </w:tc>
        <w:tc>
          <w:tcPr>
            <w:tcW w:w="1200" w:type="dxa"/>
            <w:vAlign w:val="bottom"/>
          </w:tcPr>
          <w:p>
            <w:pPr>
              <w:ind w:left="200"/>
              <w:spacing w:after="0"/>
              <w:rPr>
                <w:sz w:val="20"/>
                <w:szCs w:val="20"/>
                <w:color w:val="auto"/>
              </w:rPr>
            </w:pPr>
            <w:r>
              <w:rPr>
                <w:rFonts w:ascii="Arial" w:cs="Arial" w:eastAsia="Arial" w:hAnsi="Arial"/>
                <w:sz w:val="13"/>
                <w:szCs w:val="13"/>
                <w:color w:val="auto"/>
              </w:rPr>
              <w:t>EPS</w:t>
            </w:r>
          </w:p>
        </w:tc>
        <w:tc>
          <w:tcPr>
            <w:tcW w:w="2440" w:type="dxa"/>
            <w:vAlign w:val="bottom"/>
          </w:tcPr>
          <w:p>
            <w:pPr>
              <w:ind w:left="100"/>
              <w:spacing w:after="0"/>
              <w:rPr>
                <w:sz w:val="20"/>
                <w:szCs w:val="20"/>
                <w:color w:val="auto"/>
              </w:rPr>
            </w:pPr>
            <w:r>
              <w:rPr>
                <w:rFonts w:ascii="Arial" w:cs="Arial" w:eastAsia="Arial" w:hAnsi="Arial"/>
                <w:sz w:val="13"/>
                <w:szCs w:val="13"/>
                <w:color w:val="auto"/>
              </w:rPr>
              <w:t>Earnings per Share</w:t>
            </w:r>
          </w:p>
        </w:tc>
      </w:tr>
      <w:tr>
        <w:trPr>
          <w:trHeight w:val="432"/>
        </w:trPr>
        <w:tc>
          <w:tcPr>
            <w:tcW w:w="1520" w:type="dxa"/>
            <w:vAlign w:val="bottom"/>
          </w:tcPr>
          <w:p>
            <w:pPr>
              <w:spacing w:after="0"/>
              <w:rPr>
                <w:sz w:val="20"/>
                <w:szCs w:val="20"/>
                <w:color w:val="auto"/>
              </w:rPr>
            </w:pPr>
            <w:r>
              <w:rPr>
                <w:rFonts w:ascii="Arial" w:cs="Arial" w:eastAsia="Arial" w:hAnsi="Arial"/>
                <w:sz w:val="13"/>
                <w:szCs w:val="13"/>
                <w:color w:val="auto"/>
              </w:rPr>
              <w:t>AFUDC</w:t>
            </w:r>
          </w:p>
        </w:tc>
        <w:tc>
          <w:tcPr>
            <w:tcW w:w="2440" w:type="dxa"/>
            <w:vAlign w:val="bottom"/>
          </w:tcPr>
          <w:p>
            <w:pPr>
              <w:ind w:left="320"/>
              <w:spacing w:after="0"/>
              <w:rPr>
                <w:sz w:val="20"/>
                <w:szCs w:val="20"/>
                <w:color w:val="auto"/>
              </w:rPr>
            </w:pPr>
            <w:r>
              <w:rPr>
                <w:rFonts w:ascii="Arial" w:cs="Arial" w:eastAsia="Arial" w:hAnsi="Arial"/>
                <w:sz w:val="13"/>
                <w:szCs w:val="13"/>
                <w:color w:val="auto"/>
              </w:rPr>
              <w:t>Allowance for Funds Used During</w:t>
            </w:r>
          </w:p>
        </w:tc>
        <w:tc>
          <w:tcPr>
            <w:tcW w:w="1200" w:type="dxa"/>
            <w:vAlign w:val="bottom"/>
          </w:tcPr>
          <w:p>
            <w:pPr>
              <w:ind w:left="200"/>
              <w:spacing w:after="0"/>
              <w:rPr>
                <w:sz w:val="20"/>
                <w:szCs w:val="20"/>
                <w:color w:val="auto"/>
              </w:rPr>
            </w:pPr>
            <w:r>
              <w:rPr>
                <w:rFonts w:ascii="Arial" w:cs="Arial" w:eastAsia="Arial" w:hAnsi="Arial"/>
                <w:sz w:val="13"/>
                <w:szCs w:val="13"/>
                <w:color w:val="auto"/>
              </w:rPr>
              <w:t>ESOP</w:t>
            </w:r>
          </w:p>
        </w:tc>
        <w:tc>
          <w:tcPr>
            <w:tcW w:w="2440" w:type="dxa"/>
            <w:vAlign w:val="bottom"/>
          </w:tcPr>
          <w:p>
            <w:pPr>
              <w:ind w:left="100"/>
              <w:spacing w:after="0"/>
              <w:rPr>
                <w:sz w:val="20"/>
                <w:szCs w:val="20"/>
                <w:color w:val="auto"/>
              </w:rPr>
            </w:pPr>
            <w:r>
              <w:rPr>
                <w:rFonts w:ascii="Arial" w:cs="Arial" w:eastAsia="Arial" w:hAnsi="Arial"/>
                <w:sz w:val="13"/>
                <w:szCs w:val="13"/>
                <w:color w:val="auto"/>
              </w:rPr>
              <w:t>Employee Stock Ownership Plan</w:t>
            </w:r>
          </w:p>
        </w:tc>
      </w:tr>
      <w:tr>
        <w:trPr>
          <w:trHeight w:val="156"/>
        </w:trPr>
        <w:tc>
          <w:tcPr>
            <w:tcW w:w="1520" w:type="dxa"/>
            <w:vAlign w:val="bottom"/>
          </w:tcPr>
          <w:p>
            <w:pPr>
              <w:spacing w:after="0"/>
              <w:rPr>
                <w:sz w:val="13"/>
                <w:szCs w:val="13"/>
                <w:color w:val="auto"/>
              </w:rPr>
            </w:pPr>
          </w:p>
        </w:tc>
        <w:tc>
          <w:tcPr>
            <w:tcW w:w="2440" w:type="dxa"/>
            <w:vAlign w:val="bottom"/>
          </w:tcPr>
          <w:p>
            <w:pPr>
              <w:ind w:left="320"/>
              <w:spacing w:after="0"/>
              <w:rPr>
                <w:sz w:val="20"/>
                <w:szCs w:val="20"/>
                <w:color w:val="auto"/>
              </w:rPr>
            </w:pPr>
            <w:r>
              <w:rPr>
                <w:rFonts w:ascii="Arial" w:cs="Arial" w:eastAsia="Arial" w:hAnsi="Arial"/>
                <w:sz w:val="13"/>
                <w:szCs w:val="13"/>
                <w:color w:val="auto"/>
              </w:rPr>
              <w:t>Construction</w:t>
            </w:r>
          </w:p>
        </w:tc>
        <w:tc>
          <w:tcPr>
            <w:tcW w:w="1200" w:type="dxa"/>
            <w:vAlign w:val="bottom"/>
          </w:tcPr>
          <w:p>
            <w:pPr>
              <w:spacing w:after="0"/>
              <w:rPr>
                <w:sz w:val="13"/>
                <w:szCs w:val="13"/>
                <w:color w:val="auto"/>
              </w:rPr>
            </w:pPr>
          </w:p>
        </w:tc>
        <w:tc>
          <w:tcPr>
            <w:tcW w:w="2440" w:type="dxa"/>
            <w:vAlign w:val="bottom"/>
          </w:tcPr>
          <w:p>
            <w:pPr>
              <w:spacing w:after="0"/>
              <w:rPr>
                <w:sz w:val="13"/>
                <w:szCs w:val="13"/>
                <w:color w:val="auto"/>
              </w:rPr>
            </w:pPr>
          </w:p>
        </w:tc>
      </w:tr>
      <w:tr>
        <w:trPr>
          <w:trHeight w:val="396"/>
        </w:trPr>
        <w:tc>
          <w:tcPr>
            <w:tcW w:w="1520" w:type="dxa"/>
            <w:vAlign w:val="bottom"/>
          </w:tcPr>
          <w:p>
            <w:pPr>
              <w:spacing w:after="0"/>
              <w:rPr>
                <w:sz w:val="20"/>
                <w:szCs w:val="20"/>
                <w:color w:val="auto"/>
              </w:rPr>
            </w:pPr>
            <w:r>
              <w:rPr>
                <w:rFonts w:ascii="Arial" w:cs="Arial" w:eastAsia="Arial" w:hAnsi="Arial"/>
                <w:sz w:val="13"/>
                <w:szCs w:val="13"/>
                <w:color w:val="auto"/>
              </w:rPr>
              <w:t>ALJ</w:t>
            </w:r>
          </w:p>
        </w:tc>
        <w:tc>
          <w:tcPr>
            <w:tcW w:w="2440" w:type="dxa"/>
            <w:vAlign w:val="bottom"/>
          </w:tcPr>
          <w:p>
            <w:pPr>
              <w:ind w:left="320"/>
              <w:spacing w:after="0"/>
              <w:rPr>
                <w:sz w:val="20"/>
                <w:szCs w:val="20"/>
                <w:color w:val="auto"/>
              </w:rPr>
            </w:pPr>
            <w:r>
              <w:rPr>
                <w:rFonts w:ascii="Arial" w:cs="Arial" w:eastAsia="Arial" w:hAnsi="Arial"/>
                <w:sz w:val="13"/>
                <w:szCs w:val="13"/>
                <w:color w:val="auto"/>
              </w:rPr>
              <w:t>Administrative Law Judge</w:t>
            </w:r>
          </w:p>
        </w:tc>
        <w:tc>
          <w:tcPr>
            <w:tcW w:w="1200" w:type="dxa"/>
            <w:vAlign w:val="bottom"/>
          </w:tcPr>
          <w:p>
            <w:pPr>
              <w:ind w:left="200"/>
              <w:spacing w:after="0"/>
              <w:rPr>
                <w:sz w:val="20"/>
                <w:szCs w:val="20"/>
                <w:color w:val="auto"/>
              </w:rPr>
            </w:pPr>
            <w:r>
              <w:rPr>
                <w:rFonts w:ascii="Arial" w:cs="Arial" w:eastAsia="Arial" w:hAnsi="Arial"/>
                <w:sz w:val="13"/>
                <w:szCs w:val="13"/>
                <w:color w:val="auto"/>
              </w:rPr>
              <w:t>FASB</w:t>
            </w:r>
          </w:p>
        </w:tc>
        <w:tc>
          <w:tcPr>
            <w:tcW w:w="2440" w:type="dxa"/>
            <w:vAlign w:val="bottom"/>
          </w:tcPr>
          <w:p>
            <w:pPr>
              <w:ind w:left="100"/>
              <w:spacing w:after="0"/>
              <w:rPr>
                <w:sz w:val="20"/>
                <w:szCs w:val="20"/>
                <w:color w:val="auto"/>
              </w:rPr>
            </w:pPr>
            <w:r>
              <w:rPr>
                <w:rFonts w:ascii="Arial" w:cs="Arial" w:eastAsia="Arial" w:hAnsi="Arial"/>
                <w:sz w:val="13"/>
                <w:szCs w:val="13"/>
                <w:color w:val="auto"/>
              </w:rPr>
              <w:t>Financial Accounting Standards Board</w:t>
            </w:r>
          </w:p>
        </w:tc>
      </w:tr>
      <w:tr>
        <w:trPr>
          <w:trHeight w:val="432"/>
        </w:trPr>
        <w:tc>
          <w:tcPr>
            <w:tcW w:w="1520" w:type="dxa"/>
            <w:vAlign w:val="bottom"/>
          </w:tcPr>
          <w:p>
            <w:pPr>
              <w:spacing w:after="0"/>
              <w:rPr>
                <w:sz w:val="20"/>
                <w:szCs w:val="20"/>
                <w:color w:val="auto"/>
              </w:rPr>
            </w:pPr>
            <w:r>
              <w:rPr>
                <w:rFonts w:ascii="Arial" w:cs="Arial" w:eastAsia="Arial" w:hAnsi="Arial"/>
                <w:sz w:val="13"/>
                <w:szCs w:val="13"/>
                <w:color w:val="auto"/>
              </w:rPr>
              <w:t>APB</w:t>
            </w:r>
          </w:p>
        </w:tc>
        <w:tc>
          <w:tcPr>
            <w:tcW w:w="2440" w:type="dxa"/>
            <w:vAlign w:val="bottom"/>
          </w:tcPr>
          <w:p>
            <w:pPr>
              <w:ind w:left="320"/>
              <w:spacing w:after="0"/>
              <w:rPr>
                <w:sz w:val="20"/>
                <w:szCs w:val="20"/>
                <w:color w:val="auto"/>
              </w:rPr>
            </w:pPr>
            <w:r>
              <w:rPr>
                <w:rFonts w:ascii="Arial" w:cs="Arial" w:eastAsia="Arial" w:hAnsi="Arial"/>
                <w:sz w:val="13"/>
                <w:szCs w:val="13"/>
                <w:color w:val="auto"/>
              </w:rPr>
              <w:t>Accounting Principles Board</w:t>
            </w:r>
          </w:p>
        </w:tc>
        <w:tc>
          <w:tcPr>
            <w:tcW w:w="1200" w:type="dxa"/>
            <w:vAlign w:val="bottom"/>
          </w:tcPr>
          <w:p>
            <w:pPr>
              <w:ind w:left="200"/>
              <w:spacing w:after="0"/>
              <w:rPr>
                <w:sz w:val="20"/>
                <w:szCs w:val="20"/>
                <w:color w:val="auto"/>
              </w:rPr>
            </w:pPr>
            <w:r>
              <w:rPr>
                <w:rFonts w:ascii="Arial" w:cs="Arial" w:eastAsia="Arial" w:hAnsi="Arial"/>
                <w:sz w:val="13"/>
                <w:szCs w:val="13"/>
                <w:color w:val="auto"/>
              </w:rPr>
              <w:t>FERC</w:t>
            </w:r>
          </w:p>
        </w:tc>
        <w:tc>
          <w:tcPr>
            <w:tcW w:w="2440" w:type="dxa"/>
            <w:vAlign w:val="bottom"/>
          </w:tcPr>
          <w:p>
            <w:pPr>
              <w:ind w:left="100"/>
              <w:spacing w:after="0"/>
              <w:rPr>
                <w:sz w:val="20"/>
                <w:szCs w:val="20"/>
                <w:color w:val="auto"/>
              </w:rPr>
            </w:pPr>
            <w:r>
              <w:rPr>
                <w:rFonts w:ascii="Arial" w:cs="Arial" w:eastAsia="Arial" w:hAnsi="Arial"/>
                <w:sz w:val="13"/>
                <w:szCs w:val="13"/>
                <w:color w:val="auto"/>
              </w:rPr>
              <w:t>Federal Energy Regulatory Commission</w:t>
            </w:r>
          </w:p>
        </w:tc>
      </w:tr>
      <w:tr>
        <w:trPr>
          <w:trHeight w:val="432"/>
        </w:trPr>
        <w:tc>
          <w:tcPr>
            <w:tcW w:w="1520" w:type="dxa"/>
            <w:vAlign w:val="bottom"/>
          </w:tcPr>
          <w:p>
            <w:pPr>
              <w:spacing w:after="0"/>
              <w:rPr>
                <w:sz w:val="20"/>
                <w:szCs w:val="20"/>
                <w:color w:val="auto"/>
              </w:rPr>
            </w:pPr>
            <w:r>
              <w:rPr>
                <w:rFonts w:ascii="Arial" w:cs="Arial" w:eastAsia="Arial" w:hAnsi="Arial"/>
                <w:sz w:val="13"/>
                <w:szCs w:val="13"/>
                <w:color w:val="auto"/>
              </w:rPr>
              <w:t>ARB</w:t>
            </w:r>
          </w:p>
        </w:tc>
        <w:tc>
          <w:tcPr>
            <w:tcW w:w="2440" w:type="dxa"/>
            <w:vAlign w:val="bottom"/>
          </w:tcPr>
          <w:p>
            <w:pPr>
              <w:ind w:left="320"/>
              <w:spacing w:after="0"/>
              <w:rPr>
                <w:sz w:val="20"/>
                <w:szCs w:val="20"/>
                <w:color w:val="auto"/>
              </w:rPr>
            </w:pPr>
            <w:r>
              <w:rPr>
                <w:rFonts w:ascii="Arial" w:cs="Arial" w:eastAsia="Arial" w:hAnsi="Arial"/>
                <w:sz w:val="13"/>
                <w:szCs w:val="13"/>
                <w:color w:val="auto"/>
              </w:rPr>
              <w:t>Accounting Research Bulletin</w:t>
            </w:r>
          </w:p>
        </w:tc>
        <w:tc>
          <w:tcPr>
            <w:tcW w:w="1200" w:type="dxa"/>
            <w:vAlign w:val="bottom"/>
          </w:tcPr>
          <w:p>
            <w:pPr>
              <w:ind w:left="200"/>
              <w:spacing w:after="0"/>
              <w:rPr>
                <w:sz w:val="20"/>
                <w:szCs w:val="20"/>
                <w:color w:val="auto"/>
              </w:rPr>
            </w:pPr>
            <w:r>
              <w:rPr>
                <w:rFonts w:ascii="Arial" w:cs="Arial" w:eastAsia="Arial" w:hAnsi="Arial"/>
                <w:sz w:val="13"/>
                <w:szCs w:val="13"/>
                <w:color w:val="auto"/>
              </w:rPr>
              <w:t>FIN</w:t>
            </w:r>
          </w:p>
        </w:tc>
        <w:tc>
          <w:tcPr>
            <w:tcW w:w="2440" w:type="dxa"/>
            <w:vAlign w:val="bottom"/>
          </w:tcPr>
          <w:p>
            <w:pPr>
              <w:ind w:left="100"/>
              <w:spacing w:after="0"/>
              <w:rPr>
                <w:sz w:val="20"/>
                <w:szCs w:val="20"/>
                <w:color w:val="auto"/>
              </w:rPr>
            </w:pPr>
            <w:r>
              <w:rPr>
                <w:rFonts w:ascii="Arial" w:cs="Arial" w:eastAsia="Arial" w:hAnsi="Arial"/>
                <w:sz w:val="13"/>
                <w:szCs w:val="13"/>
                <w:color w:val="auto"/>
              </w:rPr>
              <w:t>FASB Interpretation</w:t>
            </w:r>
          </w:p>
        </w:tc>
      </w:tr>
      <w:tr>
        <w:trPr>
          <w:trHeight w:val="432"/>
        </w:trPr>
        <w:tc>
          <w:tcPr>
            <w:tcW w:w="1520" w:type="dxa"/>
            <w:vAlign w:val="bottom"/>
          </w:tcPr>
          <w:p>
            <w:pPr>
              <w:spacing w:after="0"/>
              <w:rPr>
                <w:sz w:val="20"/>
                <w:szCs w:val="20"/>
                <w:color w:val="auto"/>
              </w:rPr>
            </w:pPr>
            <w:r>
              <w:rPr>
                <w:rFonts w:ascii="Arial" w:cs="Arial" w:eastAsia="Arial" w:hAnsi="Arial"/>
                <w:sz w:val="13"/>
                <w:szCs w:val="13"/>
                <w:color w:val="auto"/>
              </w:rPr>
              <w:t>Bay Gas</w:t>
            </w:r>
          </w:p>
        </w:tc>
        <w:tc>
          <w:tcPr>
            <w:tcW w:w="2440" w:type="dxa"/>
            <w:vAlign w:val="bottom"/>
          </w:tcPr>
          <w:p>
            <w:pPr>
              <w:ind w:left="320"/>
              <w:spacing w:after="0"/>
              <w:rPr>
                <w:sz w:val="20"/>
                <w:szCs w:val="20"/>
                <w:color w:val="auto"/>
              </w:rPr>
            </w:pPr>
            <w:r>
              <w:rPr>
                <w:rFonts w:ascii="Arial" w:cs="Arial" w:eastAsia="Arial" w:hAnsi="Arial"/>
                <w:sz w:val="13"/>
                <w:szCs w:val="13"/>
                <w:color w:val="auto"/>
              </w:rPr>
              <w:t>Bay Gas Storage Company</w:t>
            </w:r>
          </w:p>
        </w:tc>
        <w:tc>
          <w:tcPr>
            <w:tcW w:w="1200" w:type="dxa"/>
            <w:vAlign w:val="bottom"/>
          </w:tcPr>
          <w:p>
            <w:pPr>
              <w:ind w:left="200"/>
              <w:spacing w:after="0"/>
              <w:rPr>
                <w:sz w:val="20"/>
                <w:szCs w:val="20"/>
                <w:color w:val="auto"/>
              </w:rPr>
            </w:pPr>
            <w:r>
              <w:rPr>
                <w:rFonts w:ascii="Arial" w:cs="Arial" w:eastAsia="Arial" w:hAnsi="Arial"/>
                <w:sz w:val="13"/>
                <w:szCs w:val="13"/>
                <w:color w:val="auto"/>
              </w:rPr>
              <w:t>FSP</w:t>
            </w:r>
          </w:p>
        </w:tc>
        <w:tc>
          <w:tcPr>
            <w:tcW w:w="2440" w:type="dxa"/>
            <w:vAlign w:val="bottom"/>
          </w:tcPr>
          <w:p>
            <w:pPr>
              <w:ind w:left="100"/>
              <w:spacing w:after="0"/>
              <w:rPr>
                <w:sz w:val="20"/>
                <w:szCs w:val="20"/>
                <w:color w:val="auto"/>
              </w:rPr>
            </w:pPr>
            <w:r>
              <w:rPr>
                <w:rFonts w:ascii="Arial" w:cs="Arial" w:eastAsia="Arial" w:hAnsi="Arial"/>
                <w:sz w:val="13"/>
                <w:szCs w:val="13"/>
                <w:color w:val="auto"/>
              </w:rPr>
              <w:t>FASB Staff Position</w:t>
            </w:r>
          </w:p>
        </w:tc>
      </w:tr>
      <w:tr>
        <w:trPr>
          <w:trHeight w:val="432"/>
        </w:trPr>
        <w:tc>
          <w:tcPr>
            <w:tcW w:w="1520" w:type="dxa"/>
            <w:vAlign w:val="bottom"/>
          </w:tcPr>
          <w:p>
            <w:pPr>
              <w:spacing w:after="0"/>
              <w:rPr>
                <w:sz w:val="20"/>
                <w:szCs w:val="20"/>
                <w:color w:val="auto"/>
              </w:rPr>
            </w:pPr>
            <w:r>
              <w:rPr>
                <w:rFonts w:ascii="Arial" w:cs="Arial" w:eastAsia="Arial" w:hAnsi="Arial"/>
                <w:sz w:val="13"/>
                <w:szCs w:val="13"/>
                <w:color w:val="auto"/>
              </w:rPr>
              <w:t>BCAP</w:t>
            </w:r>
          </w:p>
        </w:tc>
        <w:tc>
          <w:tcPr>
            <w:tcW w:w="2440" w:type="dxa"/>
            <w:vAlign w:val="bottom"/>
          </w:tcPr>
          <w:p>
            <w:pPr>
              <w:ind w:left="320"/>
              <w:spacing w:after="0"/>
              <w:rPr>
                <w:sz w:val="20"/>
                <w:szCs w:val="20"/>
                <w:color w:val="auto"/>
              </w:rPr>
            </w:pPr>
            <w:r>
              <w:rPr>
                <w:rFonts w:ascii="Arial" w:cs="Arial" w:eastAsia="Arial" w:hAnsi="Arial"/>
                <w:sz w:val="13"/>
                <w:szCs w:val="13"/>
                <w:color w:val="auto"/>
              </w:rPr>
              <w:t>Biennial Cost Allocation</w:t>
            </w:r>
          </w:p>
        </w:tc>
        <w:tc>
          <w:tcPr>
            <w:tcW w:w="1200" w:type="dxa"/>
            <w:vAlign w:val="bottom"/>
          </w:tcPr>
          <w:p>
            <w:pPr>
              <w:ind w:left="200"/>
              <w:spacing w:after="0"/>
              <w:rPr>
                <w:sz w:val="20"/>
                <w:szCs w:val="20"/>
                <w:color w:val="auto"/>
              </w:rPr>
            </w:pPr>
            <w:r>
              <w:rPr>
                <w:rFonts w:ascii="Arial" w:cs="Arial" w:eastAsia="Arial" w:hAnsi="Arial"/>
                <w:sz w:val="13"/>
                <w:szCs w:val="13"/>
                <w:color w:val="auto"/>
              </w:rPr>
              <w:t>GAAP</w:t>
            </w:r>
          </w:p>
        </w:tc>
        <w:tc>
          <w:tcPr>
            <w:tcW w:w="2440" w:type="dxa"/>
            <w:vAlign w:val="bottom"/>
          </w:tcPr>
          <w:p>
            <w:pPr>
              <w:ind w:left="100"/>
              <w:spacing w:after="0"/>
              <w:rPr>
                <w:sz w:val="20"/>
                <w:szCs w:val="20"/>
                <w:color w:val="auto"/>
              </w:rPr>
            </w:pPr>
            <w:r>
              <w:rPr>
                <w:rFonts w:ascii="Arial" w:cs="Arial" w:eastAsia="Arial" w:hAnsi="Arial"/>
                <w:sz w:val="13"/>
                <w:szCs w:val="13"/>
                <w:color w:val="auto"/>
              </w:rPr>
              <w:t>Accounting Principles Generally</w:t>
            </w:r>
          </w:p>
        </w:tc>
      </w:tr>
      <w:tr>
        <w:trPr>
          <w:trHeight w:val="156"/>
        </w:trPr>
        <w:tc>
          <w:tcPr>
            <w:tcW w:w="1520" w:type="dxa"/>
            <w:vAlign w:val="bottom"/>
          </w:tcPr>
          <w:p>
            <w:pPr>
              <w:spacing w:after="0"/>
              <w:rPr>
                <w:sz w:val="13"/>
                <w:szCs w:val="13"/>
                <w:color w:val="auto"/>
              </w:rPr>
            </w:pPr>
          </w:p>
        </w:tc>
        <w:tc>
          <w:tcPr>
            <w:tcW w:w="2440" w:type="dxa"/>
            <w:vAlign w:val="bottom"/>
          </w:tcPr>
          <w:p>
            <w:pPr>
              <w:ind w:left="320"/>
              <w:spacing w:after="0"/>
              <w:rPr>
                <w:sz w:val="20"/>
                <w:szCs w:val="20"/>
                <w:color w:val="auto"/>
              </w:rPr>
            </w:pPr>
            <w:r>
              <w:rPr>
                <w:rFonts w:ascii="Arial" w:cs="Arial" w:eastAsia="Arial" w:hAnsi="Arial"/>
                <w:sz w:val="13"/>
                <w:szCs w:val="13"/>
                <w:color w:val="auto"/>
              </w:rPr>
              <w:t>Proceeding</w:t>
            </w:r>
          </w:p>
        </w:tc>
        <w:tc>
          <w:tcPr>
            <w:tcW w:w="1200" w:type="dxa"/>
            <w:vAlign w:val="bottom"/>
          </w:tcPr>
          <w:p>
            <w:pPr>
              <w:spacing w:after="0"/>
              <w:rPr>
                <w:sz w:val="13"/>
                <w:szCs w:val="13"/>
                <w:color w:val="auto"/>
              </w:rPr>
            </w:pPr>
          </w:p>
        </w:tc>
        <w:tc>
          <w:tcPr>
            <w:tcW w:w="2440" w:type="dxa"/>
            <w:vAlign w:val="bottom"/>
          </w:tcPr>
          <w:p>
            <w:pPr>
              <w:ind w:left="100"/>
              <w:spacing w:after="0"/>
              <w:rPr>
                <w:sz w:val="20"/>
                <w:szCs w:val="20"/>
                <w:color w:val="auto"/>
              </w:rPr>
            </w:pPr>
            <w:r>
              <w:rPr>
                <w:rFonts w:ascii="Arial" w:cs="Arial" w:eastAsia="Arial" w:hAnsi="Arial"/>
                <w:sz w:val="13"/>
                <w:szCs w:val="13"/>
                <w:color w:val="auto"/>
              </w:rPr>
              <w:t>Accepted in the United States of</w:t>
            </w:r>
          </w:p>
        </w:tc>
      </w:tr>
      <w:tr>
        <w:trPr>
          <w:trHeight w:val="156"/>
        </w:trPr>
        <w:tc>
          <w:tcPr>
            <w:tcW w:w="1520" w:type="dxa"/>
            <w:vAlign w:val="bottom"/>
          </w:tcPr>
          <w:p>
            <w:pPr>
              <w:spacing w:after="0"/>
              <w:rPr>
                <w:sz w:val="13"/>
                <w:szCs w:val="13"/>
                <w:color w:val="auto"/>
              </w:rPr>
            </w:pPr>
          </w:p>
        </w:tc>
        <w:tc>
          <w:tcPr>
            <w:tcW w:w="24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440" w:type="dxa"/>
            <w:vAlign w:val="bottom"/>
          </w:tcPr>
          <w:p>
            <w:pPr>
              <w:ind w:left="100"/>
              <w:spacing w:after="0"/>
              <w:rPr>
                <w:sz w:val="20"/>
                <w:szCs w:val="20"/>
                <w:color w:val="auto"/>
              </w:rPr>
            </w:pPr>
            <w:r>
              <w:rPr>
                <w:rFonts w:ascii="Arial" w:cs="Arial" w:eastAsia="Arial" w:hAnsi="Arial"/>
                <w:sz w:val="13"/>
                <w:szCs w:val="13"/>
                <w:color w:val="auto"/>
              </w:rPr>
              <w:t>America</w:t>
            </w:r>
          </w:p>
        </w:tc>
      </w:tr>
      <w:tr>
        <w:trPr>
          <w:trHeight w:val="396"/>
        </w:trPr>
        <w:tc>
          <w:tcPr>
            <w:tcW w:w="1520" w:type="dxa"/>
            <w:vAlign w:val="bottom"/>
          </w:tcPr>
          <w:p>
            <w:pPr>
              <w:spacing w:after="0"/>
              <w:rPr>
                <w:sz w:val="20"/>
                <w:szCs w:val="20"/>
                <w:color w:val="auto"/>
              </w:rPr>
            </w:pPr>
            <w:r>
              <w:rPr>
                <w:rFonts w:ascii="Arial" w:cs="Arial" w:eastAsia="Arial" w:hAnsi="Arial"/>
                <w:sz w:val="13"/>
                <w:szCs w:val="13"/>
                <w:color w:val="auto"/>
              </w:rPr>
              <w:t>Bcf</w:t>
            </w:r>
          </w:p>
        </w:tc>
        <w:tc>
          <w:tcPr>
            <w:tcW w:w="2440" w:type="dxa"/>
            <w:vAlign w:val="bottom"/>
          </w:tcPr>
          <w:p>
            <w:pPr>
              <w:ind w:left="320"/>
              <w:spacing w:after="0"/>
              <w:rPr>
                <w:sz w:val="20"/>
                <w:szCs w:val="20"/>
                <w:color w:val="auto"/>
              </w:rPr>
            </w:pPr>
            <w:r>
              <w:rPr>
                <w:rFonts w:ascii="Arial" w:cs="Arial" w:eastAsia="Arial" w:hAnsi="Arial"/>
                <w:sz w:val="13"/>
                <w:szCs w:val="13"/>
                <w:color w:val="auto"/>
              </w:rPr>
              <w:t>Billion Cubic Feet (of natural gas)</w:t>
            </w:r>
          </w:p>
        </w:tc>
        <w:tc>
          <w:tcPr>
            <w:tcW w:w="1200" w:type="dxa"/>
            <w:vAlign w:val="bottom"/>
          </w:tcPr>
          <w:p>
            <w:pPr>
              <w:ind w:left="200"/>
              <w:spacing w:after="0"/>
              <w:rPr>
                <w:sz w:val="20"/>
                <w:szCs w:val="20"/>
                <w:color w:val="auto"/>
              </w:rPr>
            </w:pPr>
            <w:r>
              <w:rPr>
                <w:rFonts w:ascii="Arial" w:cs="Arial" w:eastAsia="Arial" w:hAnsi="Arial"/>
                <w:sz w:val="13"/>
                <w:szCs w:val="13"/>
                <w:color w:val="auto"/>
              </w:rPr>
              <w:t>GCIM</w:t>
            </w:r>
          </w:p>
        </w:tc>
        <w:tc>
          <w:tcPr>
            <w:tcW w:w="2440" w:type="dxa"/>
            <w:vAlign w:val="bottom"/>
          </w:tcPr>
          <w:p>
            <w:pPr>
              <w:ind w:left="100"/>
              <w:spacing w:after="0"/>
              <w:rPr>
                <w:sz w:val="20"/>
                <w:szCs w:val="20"/>
                <w:color w:val="auto"/>
              </w:rPr>
            </w:pPr>
            <w:r>
              <w:rPr>
                <w:rFonts w:ascii="Arial" w:cs="Arial" w:eastAsia="Arial" w:hAnsi="Arial"/>
                <w:sz w:val="13"/>
                <w:szCs w:val="13"/>
                <w:color w:val="auto"/>
              </w:rPr>
              <w:t>Gas Cost Incentive Mechanism</w:t>
            </w:r>
          </w:p>
        </w:tc>
      </w:tr>
      <w:tr>
        <w:trPr>
          <w:trHeight w:val="432"/>
        </w:trPr>
        <w:tc>
          <w:tcPr>
            <w:tcW w:w="1520" w:type="dxa"/>
            <w:vAlign w:val="bottom"/>
          </w:tcPr>
          <w:p>
            <w:pPr>
              <w:spacing w:after="0"/>
              <w:rPr>
                <w:sz w:val="20"/>
                <w:szCs w:val="20"/>
                <w:color w:val="auto"/>
              </w:rPr>
            </w:pPr>
            <w:r>
              <w:rPr>
                <w:rFonts w:ascii="Arial" w:cs="Arial" w:eastAsia="Arial" w:hAnsi="Arial"/>
                <w:sz w:val="13"/>
                <w:szCs w:val="13"/>
                <w:color w:val="auto"/>
              </w:rPr>
              <w:t>Black-Scholes Model</w:t>
            </w:r>
          </w:p>
        </w:tc>
        <w:tc>
          <w:tcPr>
            <w:tcW w:w="2440" w:type="dxa"/>
            <w:vAlign w:val="bottom"/>
          </w:tcPr>
          <w:p>
            <w:pPr>
              <w:ind w:left="320"/>
              <w:spacing w:after="0"/>
              <w:rPr>
                <w:sz w:val="20"/>
                <w:szCs w:val="20"/>
                <w:color w:val="auto"/>
              </w:rPr>
            </w:pPr>
            <w:r>
              <w:rPr>
                <w:rFonts w:ascii="Arial" w:cs="Arial" w:eastAsia="Arial" w:hAnsi="Arial"/>
                <w:sz w:val="13"/>
                <w:szCs w:val="13"/>
                <w:color w:val="auto"/>
              </w:rPr>
              <w:t>Black-Scholes Option-Pricing</w:t>
            </w:r>
          </w:p>
        </w:tc>
        <w:tc>
          <w:tcPr>
            <w:tcW w:w="1200" w:type="dxa"/>
            <w:vAlign w:val="bottom"/>
          </w:tcPr>
          <w:p>
            <w:pPr>
              <w:ind w:left="200"/>
              <w:spacing w:after="0"/>
              <w:rPr>
                <w:sz w:val="20"/>
                <w:szCs w:val="20"/>
                <w:color w:val="auto"/>
              </w:rPr>
            </w:pPr>
            <w:r>
              <w:rPr>
                <w:rFonts w:ascii="Arial" w:cs="Arial" w:eastAsia="Arial" w:hAnsi="Arial"/>
                <w:sz w:val="13"/>
                <w:szCs w:val="13"/>
                <w:color w:val="auto"/>
              </w:rPr>
              <w:t>GRC</w:t>
            </w:r>
          </w:p>
        </w:tc>
        <w:tc>
          <w:tcPr>
            <w:tcW w:w="2440" w:type="dxa"/>
            <w:vAlign w:val="bottom"/>
          </w:tcPr>
          <w:p>
            <w:pPr>
              <w:ind w:left="100"/>
              <w:spacing w:after="0"/>
              <w:rPr>
                <w:sz w:val="20"/>
                <w:szCs w:val="20"/>
                <w:color w:val="auto"/>
              </w:rPr>
            </w:pPr>
            <w:r>
              <w:rPr>
                <w:rFonts w:ascii="Arial" w:cs="Arial" w:eastAsia="Arial" w:hAnsi="Arial"/>
                <w:sz w:val="13"/>
                <w:szCs w:val="13"/>
                <w:color w:val="auto"/>
              </w:rPr>
              <w:t>General Rate Case</w:t>
            </w:r>
          </w:p>
        </w:tc>
      </w:tr>
      <w:tr>
        <w:trPr>
          <w:trHeight w:val="156"/>
        </w:trPr>
        <w:tc>
          <w:tcPr>
            <w:tcW w:w="1520" w:type="dxa"/>
            <w:vAlign w:val="bottom"/>
          </w:tcPr>
          <w:p>
            <w:pPr>
              <w:spacing w:after="0"/>
              <w:rPr>
                <w:sz w:val="13"/>
                <w:szCs w:val="13"/>
                <w:color w:val="auto"/>
              </w:rPr>
            </w:pPr>
          </w:p>
        </w:tc>
        <w:tc>
          <w:tcPr>
            <w:tcW w:w="2440" w:type="dxa"/>
            <w:vAlign w:val="bottom"/>
          </w:tcPr>
          <w:p>
            <w:pPr>
              <w:ind w:left="320"/>
              <w:spacing w:after="0"/>
              <w:rPr>
                <w:sz w:val="20"/>
                <w:szCs w:val="20"/>
                <w:color w:val="auto"/>
              </w:rPr>
            </w:pPr>
            <w:r>
              <w:rPr>
                <w:rFonts w:ascii="Arial" w:cs="Arial" w:eastAsia="Arial" w:hAnsi="Arial"/>
                <w:sz w:val="13"/>
                <w:szCs w:val="13"/>
                <w:color w:val="auto"/>
              </w:rPr>
              <w:t>Model</w:t>
            </w:r>
          </w:p>
        </w:tc>
        <w:tc>
          <w:tcPr>
            <w:tcW w:w="1200" w:type="dxa"/>
            <w:vAlign w:val="bottom"/>
          </w:tcPr>
          <w:p>
            <w:pPr>
              <w:spacing w:after="0"/>
              <w:rPr>
                <w:sz w:val="13"/>
                <w:szCs w:val="13"/>
                <w:color w:val="auto"/>
              </w:rPr>
            </w:pPr>
          </w:p>
        </w:tc>
        <w:tc>
          <w:tcPr>
            <w:tcW w:w="2440" w:type="dxa"/>
            <w:vAlign w:val="bottom"/>
          </w:tcPr>
          <w:p>
            <w:pPr>
              <w:spacing w:after="0"/>
              <w:rPr>
                <w:sz w:val="13"/>
                <w:szCs w:val="13"/>
                <w:color w:val="auto"/>
              </w:rPr>
            </w:pPr>
          </w:p>
        </w:tc>
      </w:tr>
      <w:tr>
        <w:trPr>
          <w:trHeight w:val="396"/>
        </w:trPr>
        <w:tc>
          <w:tcPr>
            <w:tcW w:w="1520" w:type="dxa"/>
            <w:vAlign w:val="bottom"/>
          </w:tcPr>
          <w:p>
            <w:pPr>
              <w:spacing w:after="0"/>
              <w:rPr>
                <w:sz w:val="20"/>
                <w:szCs w:val="20"/>
                <w:color w:val="auto"/>
              </w:rPr>
            </w:pPr>
            <w:r>
              <w:rPr>
                <w:rFonts w:ascii="Arial" w:cs="Arial" w:eastAsia="Arial" w:hAnsi="Arial"/>
                <w:sz w:val="13"/>
                <w:szCs w:val="13"/>
                <w:color w:val="auto"/>
              </w:rPr>
              <w:t>BLM</w:t>
            </w:r>
          </w:p>
        </w:tc>
        <w:tc>
          <w:tcPr>
            <w:tcW w:w="2440" w:type="dxa"/>
            <w:vAlign w:val="bottom"/>
          </w:tcPr>
          <w:p>
            <w:pPr>
              <w:ind w:left="320"/>
              <w:spacing w:after="0"/>
              <w:rPr>
                <w:sz w:val="20"/>
                <w:szCs w:val="20"/>
                <w:color w:val="auto"/>
              </w:rPr>
            </w:pPr>
            <w:r>
              <w:rPr>
                <w:rFonts w:ascii="Arial" w:cs="Arial" w:eastAsia="Arial" w:hAnsi="Arial"/>
                <w:sz w:val="13"/>
                <w:szCs w:val="13"/>
                <w:color w:val="auto"/>
              </w:rPr>
              <w:t>Bureau of Land Management</w:t>
            </w:r>
          </w:p>
        </w:tc>
        <w:tc>
          <w:tcPr>
            <w:tcW w:w="1200" w:type="dxa"/>
            <w:vAlign w:val="bottom"/>
          </w:tcPr>
          <w:p>
            <w:pPr>
              <w:ind w:left="200"/>
              <w:spacing w:after="0"/>
              <w:rPr>
                <w:sz w:val="20"/>
                <w:szCs w:val="20"/>
                <w:color w:val="auto"/>
              </w:rPr>
            </w:pPr>
            <w:r>
              <w:rPr>
                <w:rFonts w:ascii="Arial" w:cs="Arial" w:eastAsia="Arial" w:hAnsi="Arial"/>
                <w:sz w:val="13"/>
                <w:szCs w:val="13"/>
                <w:color w:val="auto"/>
              </w:rPr>
              <w:t>ICSID</w:t>
            </w:r>
          </w:p>
        </w:tc>
        <w:tc>
          <w:tcPr>
            <w:tcW w:w="2440" w:type="dxa"/>
            <w:vAlign w:val="bottom"/>
          </w:tcPr>
          <w:p>
            <w:pPr>
              <w:ind w:left="100"/>
              <w:spacing w:after="0"/>
              <w:rPr>
                <w:sz w:val="20"/>
                <w:szCs w:val="20"/>
                <w:color w:val="auto"/>
              </w:rPr>
            </w:pPr>
            <w:r>
              <w:rPr>
                <w:rFonts w:ascii="Arial" w:cs="Arial" w:eastAsia="Arial" w:hAnsi="Arial"/>
                <w:sz w:val="13"/>
                <w:szCs w:val="13"/>
                <w:color w:val="auto"/>
                <w:w w:val="98"/>
              </w:rPr>
              <w:t>International Center for the Settlement of</w:t>
            </w:r>
          </w:p>
        </w:tc>
      </w:tr>
      <w:tr>
        <w:trPr>
          <w:trHeight w:val="156"/>
        </w:trPr>
        <w:tc>
          <w:tcPr>
            <w:tcW w:w="1520" w:type="dxa"/>
            <w:vAlign w:val="bottom"/>
          </w:tcPr>
          <w:p>
            <w:pPr>
              <w:spacing w:after="0"/>
              <w:rPr>
                <w:sz w:val="13"/>
                <w:szCs w:val="13"/>
                <w:color w:val="auto"/>
              </w:rPr>
            </w:pPr>
          </w:p>
        </w:tc>
        <w:tc>
          <w:tcPr>
            <w:tcW w:w="24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440" w:type="dxa"/>
            <w:vAlign w:val="bottom"/>
          </w:tcPr>
          <w:p>
            <w:pPr>
              <w:ind w:left="100"/>
              <w:spacing w:after="0"/>
              <w:rPr>
                <w:sz w:val="20"/>
                <w:szCs w:val="20"/>
                <w:color w:val="auto"/>
              </w:rPr>
            </w:pPr>
            <w:r>
              <w:rPr>
                <w:rFonts w:ascii="Arial" w:cs="Arial" w:eastAsia="Arial" w:hAnsi="Arial"/>
                <w:sz w:val="13"/>
                <w:szCs w:val="13"/>
                <w:color w:val="auto"/>
              </w:rPr>
              <w:t>Investment Disputes</w:t>
            </w:r>
          </w:p>
        </w:tc>
      </w:tr>
      <w:tr>
        <w:trPr>
          <w:trHeight w:val="396"/>
        </w:trPr>
        <w:tc>
          <w:tcPr>
            <w:tcW w:w="1520" w:type="dxa"/>
            <w:vAlign w:val="bottom"/>
          </w:tcPr>
          <w:p>
            <w:pPr>
              <w:spacing w:after="0"/>
              <w:rPr>
                <w:sz w:val="20"/>
                <w:szCs w:val="20"/>
                <w:color w:val="auto"/>
              </w:rPr>
            </w:pPr>
            <w:r>
              <w:rPr>
                <w:rFonts w:ascii="Arial" w:cs="Arial" w:eastAsia="Arial" w:hAnsi="Arial"/>
                <w:sz w:val="13"/>
                <w:szCs w:val="13"/>
                <w:color w:val="auto"/>
              </w:rPr>
              <w:t>Cal Fire</w:t>
            </w:r>
          </w:p>
        </w:tc>
        <w:tc>
          <w:tcPr>
            <w:tcW w:w="2440" w:type="dxa"/>
            <w:vAlign w:val="bottom"/>
          </w:tcPr>
          <w:p>
            <w:pPr>
              <w:ind w:left="320"/>
              <w:spacing w:after="0"/>
              <w:rPr>
                <w:sz w:val="20"/>
                <w:szCs w:val="20"/>
                <w:color w:val="auto"/>
              </w:rPr>
            </w:pPr>
            <w:r>
              <w:rPr>
                <w:rFonts w:ascii="Arial" w:cs="Arial" w:eastAsia="Arial" w:hAnsi="Arial"/>
                <w:sz w:val="13"/>
                <w:szCs w:val="13"/>
                <w:color w:val="auto"/>
              </w:rPr>
              <w:t>California Department of Forestry</w:t>
            </w:r>
          </w:p>
        </w:tc>
        <w:tc>
          <w:tcPr>
            <w:tcW w:w="1200" w:type="dxa"/>
            <w:vAlign w:val="bottom"/>
          </w:tcPr>
          <w:p>
            <w:pPr>
              <w:ind w:left="200"/>
              <w:spacing w:after="0"/>
              <w:rPr>
                <w:sz w:val="20"/>
                <w:szCs w:val="20"/>
                <w:color w:val="auto"/>
              </w:rPr>
            </w:pPr>
            <w:r>
              <w:rPr>
                <w:rFonts w:ascii="Arial" w:cs="Arial" w:eastAsia="Arial" w:hAnsi="Arial"/>
                <w:sz w:val="13"/>
                <w:szCs w:val="13"/>
                <w:color w:val="auto"/>
              </w:rPr>
              <w:t>IFRS</w:t>
            </w:r>
          </w:p>
        </w:tc>
        <w:tc>
          <w:tcPr>
            <w:tcW w:w="2440" w:type="dxa"/>
            <w:vAlign w:val="bottom"/>
          </w:tcPr>
          <w:p>
            <w:pPr>
              <w:ind w:left="100"/>
              <w:spacing w:after="0"/>
              <w:rPr>
                <w:sz w:val="20"/>
                <w:szCs w:val="20"/>
                <w:color w:val="auto"/>
              </w:rPr>
            </w:pPr>
            <w:r>
              <w:rPr>
                <w:rFonts w:ascii="Arial" w:cs="Arial" w:eastAsia="Arial" w:hAnsi="Arial"/>
                <w:sz w:val="13"/>
                <w:szCs w:val="13"/>
                <w:color w:val="auto"/>
              </w:rPr>
              <w:t>International Financial Reporting</w:t>
            </w:r>
          </w:p>
        </w:tc>
      </w:tr>
      <w:tr>
        <w:trPr>
          <w:trHeight w:val="156"/>
        </w:trPr>
        <w:tc>
          <w:tcPr>
            <w:tcW w:w="1520" w:type="dxa"/>
            <w:vAlign w:val="bottom"/>
          </w:tcPr>
          <w:p>
            <w:pPr>
              <w:spacing w:after="0"/>
              <w:rPr>
                <w:sz w:val="13"/>
                <w:szCs w:val="13"/>
                <w:color w:val="auto"/>
              </w:rPr>
            </w:pPr>
          </w:p>
        </w:tc>
        <w:tc>
          <w:tcPr>
            <w:tcW w:w="2440" w:type="dxa"/>
            <w:vAlign w:val="bottom"/>
          </w:tcPr>
          <w:p>
            <w:pPr>
              <w:ind w:left="320"/>
              <w:spacing w:after="0"/>
              <w:rPr>
                <w:sz w:val="20"/>
                <w:szCs w:val="20"/>
                <w:color w:val="auto"/>
              </w:rPr>
            </w:pPr>
            <w:r>
              <w:rPr>
                <w:rFonts w:ascii="Arial" w:cs="Arial" w:eastAsia="Arial" w:hAnsi="Arial"/>
                <w:sz w:val="13"/>
                <w:szCs w:val="13"/>
                <w:color w:val="auto"/>
              </w:rPr>
              <w:t>and Fire Protection</w:t>
            </w:r>
          </w:p>
        </w:tc>
        <w:tc>
          <w:tcPr>
            <w:tcW w:w="1200" w:type="dxa"/>
            <w:vAlign w:val="bottom"/>
          </w:tcPr>
          <w:p>
            <w:pPr>
              <w:spacing w:after="0"/>
              <w:rPr>
                <w:sz w:val="13"/>
                <w:szCs w:val="13"/>
                <w:color w:val="auto"/>
              </w:rPr>
            </w:pPr>
          </w:p>
        </w:tc>
        <w:tc>
          <w:tcPr>
            <w:tcW w:w="2440" w:type="dxa"/>
            <w:vAlign w:val="bottom"/>
          </w:tcPr>
          <w:p>
            <w:pPr>
              <w:ind w:left="100"/>
              <w:spacing w:after="0"/>
              <w:rPr>
                <w:sz w:val="20"/>
                <w:szCs w:val="20"/>
                <w:color w:val="auto"/>
              </w:rPr>
            </w:pPr>
            <w:r>
              <w:rPr>
                <w:rFonts w:ascii="Arial" w:cs="Arial" w:eastAsia="Arial" w:hAnsi="Arial"/>
                <w:sz w:val="13"/>
                <w:szCs w:val="13"/>
                <w:color w:val="auto"/>
              </w:rPr>
              <w:t>Standards</w:t>
            </w:r>
          </w:p>
        </w:tc>
      </w:tr>
      <w:tr>
        <w:trPr>
          <w:trHeight w:val="396"/>
        </w:trPr>
        <w:tc>
          <w:tcPr>
            <w:tcW w:w="1520" w:type="dxa"/>
            <w:vAlign w:val="bottom"/>
          </w:tcPr>
          <w:p>
            <w:pPr>
              <w:spacing w:after="0"/>
              <w:rPr>
                <w:sz w:val="20"/>
                <w:szCs w:val="20"/>
                <w:color w:val="auto"/>
              </w:rPr>
            </w:pPr>
            <w:r>
              <w:rPr>
                <w:rFonts w:ascii="Arial" w:cs="Arial" w:eastAsia="Arial" w:hAnsi="Arial"/>
                <w:sz w:val="13"/>
                <w:szCs w:val="13"/>
                <w:color w:val="auto"/>
              </w:rPr>
              <w:t>CARB</w:t>
            </w:r>
          </w:p>
        </w:tc>
        <w:tc>
          <w:tcPr>
            <w:tcW w:w="2440" w:type="dxa"/>
            <w:vAlign w:val="bottom"/>
          </w:tcPr>
          <w:p>
            <w:pPr>
              <w:ind w:left="320"/>
              <w:spacing w:after="0"/>
              <w:rPr>
                <w:sz w:val="20"/>
                <w:szCs w:val="20"/>
                <w:color w:val="auto"/>
              </w:rPr>
            </w:pPr>
            <w:r>
              <w:rPr>
                <w:rFonts w:ascii="Arial" w:cs="Arial" w:eastAsia="Arial" w:hAnsi="Arial"/>
                <w:sz w:val="13"/>
                <w:szCs w:val="13"/>
                <w:color w:val="auto"/>
              </w:rPr>
              <w:t>California Air Resources Board</w:t>
            </w:r>
          </w:p>
        </w:tc>
        <w:tc>
          <w:tcPr>
            <w:tcW w:w="1200" w:type="dxa"/>
            <w:vAlign w:val="bottom"/>
          </w:tcPr>
          <w:p>
            <w:pPr>
              <w:ind w:left="200"/>
              <w:spacing w:after="0"/>
              <w:rPr>
                <w:sz w:val="20"/>
                <w:szCs w:val="20"/>
                <w:color w:val="auto"/>
              </w:rPr>
            </w:pPr>
            <w:r>
              <w:rPr>
                <w:rFonts w:ascii="Arial" w:cs="Arial" w:eastAsia="Arial" w:hAnsi="Arial"/>
                <w:sz w:val="13"/>
                <w:szCs w:val="13"/>
                <w:color w:val="auto"/>
              </w:rPr>
              <w:t>IOUs</w:t>
            </w:r>
          </w:p>
        </w:tc>
        <w:tc>
          <w:tcPr>
            <w:tcW w:w="2440" w:type="dxa"/>
            <w:vAlign w:val="bottom"/>
          </w:tcPr>
          <w:p>
            <w:pPr>
              <w:ind w:left="100"/>
              <w:spacing w:after="0"/>
              <w:rPr>
                <w:sz w:val="20"/>
                <w:szCs w:val="20"/>
                <w:color w:val="auto"/>
              </w:rPr>
            </w:pPr>
            <w:r>
              <w:rPr>
                <w:rFonts w:ascii="Arial" w:cs="Arial" w:eastAsia="Arial" w:hAnsi="Arial"/>
                <w:sz w:val="13"/>
                <w:szCs w:val="13"/>
                <w:color w:val="auto"/>
              </w:rPr>
              <w:t>Investor-Owned Utilities</w:t>
            </w:r>
          </w:p>
        </w:tc>
      </w:tr>
      <w:tr>
        <w:trPr>
          <w:trHeight w:val="432"/>
        </w:trPr>
        <w:tc>
          <w:tcPr>
            <w:tcW w:w="1520" w:type="dxa"/>
            <w:vAlign w:val="bottom"/>
          </w:tcPr>
          <w:p>
            <w:pPr>
              <w:spacing w:after="0"/>
              <w:rPr>
                <w:sz w:val="20"/>
                <w:szCs w:val="20"/>
                <w:color w:val="auto"/>
              </w:rPr>
            </w:pPr>
            <w:r>
              <w:rPr>
                <w:rFonts w:ascii="Arial" w:cs="Arial" w:eastAsia="Arial" w:hAnsi="Arial"/>
                <w:sz w:val="13"/>
                <w:szCs w:val="13"/>
                <w:color w:val="auto"/>
              </w:rPr>
              <w:t>CBD</w:t>
            </w:r>
          </w:p>
        </w:tc>
        <w:tc>
          <w:tcPr>
            <w:tcW w:w="2440" w:type="dxa"/>
            <w:vAlign w:val="bottom"/>
          </w:tcPr>
          <w:p>
            <w:pPr>
              <w:ind w:left="320"/>
              <w:spacing w:after="0"/>
              <w:rPr>
                <w:sz w:val="20"/>
                <w:szCs w:val="20"/>
                <w:color w:val="auto"/>
              </w:rPr>
            </w:pPr>
            <w:r>
              <w:rPr>
                <w:rFonts w:ascii="Arial" w:cs="Arial" w:eastAsia="Arial" w:hAnsi="Arial"/>
                <w:sz w:val="13"/>
                <w:szCs w:val="13"/>
                <w:color w:val="auto"/>
              </w:rPr>
              <w:t>Center for Biological</w:t>
            </w:r>
          </w:p>
        </w:tc>
        <w:tc>
          <w:tcPr>
            <w:tcW w:w="1200" w:type="dxa"/>
            <w:vAlign w:val="bottom"/>
          </w:tcPr>
          <w:p>
            <w:pPr>
              <w:ind w:left="200"/>
              <w:spacing w:after="0"/>
              <w:rPr>
                <w:sz w:val="20"/>
                <w:szCs w:val="20"/>
                <w:color w:val="auto"/>
              </w:rPr>
            </w:pPr>
            <w:r>
              <w:rPr>
                <w:rFonts w:ascii="Arial" w:cs="Arial" w:eastAsia="Arial" w:hAnsi="Arial"/>
                <w:sz w:val="13"/>
                <w:szCs w:val="13"/>
                <w:color w:val="auto"/>
              </w:rPr>
              <w:t>ISFSI</w:t>
            </w:r>
          </w:p>
        </w:tc>
        <w:tc>
          <w:tcPr>
            <w:tcW w:w="2440" w:type="dxa"/>
            <w:vAlign w:val="bottom"/>
          </w:tcPr>
          <w:p>
            <w:pPr>
              <w:ind w:left="100"/>
              <w:spacing w:after="0"/>
              <w:rPr>
                <w:sz w:val="20"/>
                <w:szCs w:val="20"/>
                <w:color w:val="auto"/>
              </w:rPr>
            </w:pPr>
            <w:r>
              <w:rPr>
                <w:rFonts w:ascii="Arial" w:cs="Arial" w:eastAsia="Arial" w:hAnsi="Arial"/>
                <w:sz w:val="13"/>
                <w:szCs w:val="13"/>
                <w:color w:val="auto"/>
              </w:rPr>
              <w:t>Independent Spent Fuel Storage</w:t>
            </w:r>
          </w:p>
        </w:tc>
      </w:tr>
      <w:tr>
        <w:trPr>
          <w:trHeight w:val="156"/>
        </w:trPr>
        <w:tc>
          <w:tcPr>
            <w:tcW w:w="1520" w:type="dxa"/>
            <w:vAlign w:val="bottom"/>
          </w:tcPr>
          <w:p>
            <w:pPr>
              <w:spacing w:after="0"/>
              <w:rPr>
                <w:sz w:val="13"/>
                <w:szCs w:val="13"/>
                <w:color w:val="auto"/>
              </w:rPr>
            </w:pPr>
          </w:p>
        </w:tc>
        <w:tc>
          <w:tcPr>
            <w:tcW w:w="2440" w:type="dxa"/>
            <w:vAlign w:val="bottom"/>
          </w:tcPr>
          <w:p>
            <w:pPr>
              <w:ind w:left="320"/>
              <w:spacing w:after="0"/>
              <w:rPr>
                <w:sz w:val="20"/>
                <w:szCs w:val="20"/>
                <w:color w:val="auto"/>
              </w:rPr>
            </w:pPr>
            <w:r>
              <w:rPr>
                <w:rFonts w:ascii="Arial" w:cs="Arial" w:eastAsia="Arial" w:hAnsi="Arial"/>
                <w:sz w:val="13"/>
                <w:szCs w:val="13"/>
                <w:color w:val="auto"/>
              </w:rPr>
              <w:t>Diversity/Sierra Club</w:t>
            </w:r>
          </w:p>
        </w:tc>
        <w:tc>
          <w:tcPr>
            <w:tcW w:w="1200" w:type="dxa"/>
            <w:vAlign w:val="bottom"/>
          </w:tcPr>
          <w:p>
            <w:pPr>
              <w:spacing w:after="0"/>
              <w:rPr>
                <w:sz w:val="13"/>
                <w:szCs w:val="13"/>
                <w:color w:val="auto"/>
              </w:rPr>
            </w:pPr>
          </w:p>
        </w:tc>
        <w:tc>
          <w:tcPr>
            <w:tcW w:w="2440" w:type="dxa"/>
            <w:vAlign w:val="bottom"/>
          </w:tcPr>
          <w:p>
            <w:pPr>
              <w:ind w:left="100"/>
              <w:spacing w:after="0"/>
              <w:rPr>
                <w:sz w:val="20"/>
                <w:szCs w:val="20"/>
                <w:color w:val="auto"/>
              </w:rPr>
            </w:pPr>
            <w:r>
              <w:rPr>
                <w:rFonts w:ascii="Arial" w:cs="Arial" w:eastAsia="Arial" w:hAnsi="Arial"/>
                <w:sz w:val="13"/>
                <w:szCs w:val="13"/>
                <w:color w:val="auto"/>
              </w:rPr>
              <w:t>Installation</w:t>
            </w:r>
          </w:p>
        </w:tc>
      </w:tr>
      <w:tr>
        <w:trPr>
          <w:trHeight w:val="396"/>
        </w:trPr>
        <w:tc>
          <w:tcPr>
            <w:tcW w:w="1520" w:type="dxa"/>
            <w:vAlign w:val="bottom"/>
          </w:tcPr>
          <w:p>
            <w:pPr>
              <w:spacing w:after="0"/>
              <w:rPr>
                <w:sz w:val="20"/>
                <w:szCs w:val="20"/>
                <w:color w:val="auto"/>
              </w:rPr>
            </w:pPr>
            <w:r>
              <w:rPr>
                <w:rFonts w:ascii="Arial" w:cs="Arial" w:eastAsia="Arial" w:hAnsi="Arial"/>
                <w:sz w:val="13"/>
                <w:szCs w:val="13"/>
                <w:color w:val="auto"/>
              </w:rPr>
              <w:t>CEOB</w:t>
            </w:r>
          </w:p>
        </w:tc>
        <w:tc>
          <w:tcPr>
            <w:tcW w:w="2440" w:type="dxa"/>
            <w:vAlign w:val="bottom"/>
          </w:tcPr>
          <w:p>
            <w:pPr>
              <w:ind w:left="320"/>
              <w:spacing w:after="0"/>
              <w:rPr>
                <w:sz w:val="20"/>
                <w:szCs w:val="20"/>
                <w:color w:val="auto"/>
              </w:rPr>
            </w:pPr>
            <w:r>
              <w:rPr>
                <w:rFonts w:ascii="Arial" w:cs="Arial" w:eastAsia="Arial" w:hAnsi="Arial"/>
                <w:sz w:val="13"/>
                <w:szCs w:val="13"/>
                <w:color w:val="auto"/>
              </w:rPr>
              <w:t>California Energy Oversight Board</w:t>
            </w:r>
          </w:p>
        </w:tc>
        <w:tc>
          <w:tcPr>
            <w:tcW w:w="1200" w:type="dxa"/>
            <w:vAlign w:val="bottom"/>
          </w:tcPr>
          <w:p>
            <w:pPr>
              <w:ind w:left="200"/>
              <w:spacing w:after="0"/>
              <w:rPr>
                <w:sz w:val="20"/>
                <w:szCs w:val="20"/>
                <w:color w:val="auto"/>
              </w:rPr>
            </w:pPr>
            <w:r>
              <w:rPr>
                <w:rFonts w:ascii="Arial" w:cs="Arial" w:eastAsia="Arial" w:hAnsi="Arial"/>
                <w:sz w:val="13"/>
                <w:szCs w:val="13"/>
                <w:color w:val="auto"/>
              </w:rPr>
              <w:t>ISO</w:t>
            </w:r>
          </w:p>
        </w:tc>
        <w:tc>
          <w:tcPr>
            <w:tcW w:w="2440" w:type="dxa"/>
            <w:vAlign w:val="bottom"/>
          </w:tcPr>
          <w:p>
            <w:pPr>
              <w:ind w:left="100"/>
              <w:spacing w:after="0"/>
              <w:rPr>
                <w:sz w:val="20"/>
                <w:szCs w:val="20"/>
                <w:color w:val="auto"/>
              </w:rPr>
            </w:pPr>
            <w:r>
              <w:rPr>
                <w:rFonts w:ascii="Arial" w:cs="Arial" w:eastAsia="Arial" w:hAnsi="Arial"/>
                <w:sz w:val="13"/>
                <w:szCs w:val="13"/>
                <w:color w:val="auto"/>
              </w:rPr>
              <w:t>Independent System Operator</w:t>
            </w:r>
          </w:p>
        </w:tc>
      </w:tr>
      <w:tr>
        <w:trPr>
          <w:trHeight w:val="432"/>
        </w:trPr>
        <w:tc>
          <w:tcPr>
            <w:tcW w:w="1520" w:type="dxa"/>
            <w:vAlign w:val="bottom"/>
          </w:tcPr>
          <w:p>
            <w:pPr>
              <w:spacing w:after="0"/>
              <w:rPr>
                <w:sz w:val="20"/>
                <w:szCs w:val="20"/>
                <w:color w:val="auto"/>
              </w:rPr>
            </w:pPr>
            <w:r>
              <w:rPr>
                <w:rFonts w:ascii="Arial" w:cs="Arial" w:eastAsia="Arial" w:hAnsi="Arial"/>
                <w:sz w:val="13"/>
                <w:szCs w:val="13"/>
                <w:color w:val="auto"/>
              </w:rPr>
              <w:t>CFE</w:t>
            </w:r>
          </w:p>
        </w:tc>
        <w:tc>
          <w:tcPr>
            <w:tcW w:w="2440" w:type="dxa"/>
            <w:vAlign w:val="bottom"/>
          </w:tcPr>
          <w:p>
            <w:pPr>
              <w:ind w:left="320"/>
              <w:spacing w:after="0"/>
              <w:rPr>
                <w:sz w:val="20"/>
                <w:szCs w:val="20"/>
                <w:color w:val="auto"/>
              </w:rPr>
            </w:pPr>
            <w:r>
              <w:rPr>
                <w:rFonts w:ascii="Arial" w:cs="Arial" w:eastAsia="Arial" w:hAnsi="Arial"/>
                <w:sz w:val="13"/>
                <w:szCs w:val="13"/>
                <w:color w:val="auto"/>
              </w:rPr>
              <w:t>Comisión Federal de Electricidad</w:t>
            </w:r>
          </w:p>
        </w:tc>
        <w:tc>
          <w:tcPr>
            <w:tcW w:w="1200" w:type="dxa"/>
            <w:vAlign w:val="bottom"/>
          </w:tcPr>
          <w:p>
            <w:pPr>
              <w:ind w:left="200"/>
              <w:spacing w:after="0"/>
              <w:rPr>
                <w:sz w:val="20"/>
                <w:szCs w:val="20"/>
                <w:color w:val="auto"/>
              </w:rPr>
            </w:pPr>
            <w:r>
              <w:rPr>
                <w:rFonts w:ascii="Arial" w:cs="Arial" w:eastAsia="Arial" w:hAnsi="Arial"/>
                <w:sz w:val="13"/>
                <w:szCs w:val="13"/>
                <w:color w:val="auto"/>
              </w:rPr>
              <w:t>KMP</w:t>
            </w:r>
          </w:p>
        </w:tc>
        <w:tc>
          <w:tcPr>
            <w:tcW w:w="2440" w:type="dxa"/>
            <w:vAlign w:val="bottom"/>
          </w:tcPr>
          <w:p>
            <w:pPr>
              <w:ind w:left="100"/>
              <w:spacing w:after="0"/>
              <w:rPr>
                <w:sz w:val="20"/>
                <w:szCs w:val="20"/>
                <w:color w:val="auto"/>
              </w:rPr>
            </w:pPr>
            <w:r>
              <w:rPr>
                <w:rFonts w:ascii="Arial" w:cs="Arial" w:eastAsia="Arial" w:hAnsi="Arial"/>
                <w:sz w:val="13"/>
                <w:szCs w:val="13"/>
                <w:color w:val="auto"/>
              </w:rPr>
              <w:t>Kinder Morgan Energy Partners, L.P.</w:t>
            </w:r>
          </w:p>
        </w:tc>
      </w:tr>
      <w:tr>
        <w:trPr>
          <w:trHeight w:val="432"/>
        </w:trPr>
        <w:tc>
          <w:tcPr>
            <w:tcW w:w="1520" w:type="dxa"/>
            <w:vAlign w:val="bottom"/>
          </w:tcPr>
          <w:p>
            <w:pPr>
              <w:spacing w:after="0"/>
              <w:rPr>
                <w:sz w:val="20"/>
                <w:szCs w:val="20"/>
                <w:color w:val="auto"/>
              </w:rPr>
            </w:pPr>
            <w:r>
              <w:rPr>
                <w:rFonts w:ascii="Arial" w:cs="Arial" w:eastAsia="Arial" w:hAnsi="Arial"/>
                <w:sz w:val="13"/>
                <w:szCs w:val="13"/>
                <w:color w:val="auto"/>
              </w:rPr>
              <w:t>Coleto Creek</w:t>
            </w:r>
          </w:p>
        </w:tc>
        <w:tc>
          <w:tcPr>
            <w:tcW w:w="2440" w:type="dxa"/>
            <w:vAlign w:val="bottom"/>
          </w:tcPr>
          <w:p>
            <w:pPr>
              <w:ind w:left="320"/>
              <w:spacing w:after="0"/>
              <w:rPr>
                <w:sz w:val="20"/>
                <w:szCs w:val="20"/>
                <w:color w:val="auto"/>
              </w:rPr>
            </w:pPr>
            <w:r>
              <w:rPr>
                <w:rFonts w:ascii="Arial" w:cs="Arial" w:eastAsia="Arial" w:hAnsi="Arial"/>
                <w:sz w:val="13"/>
                <w:szCs w:val="13"/>
                <w:color w:val="auto"/>
              </w:rPr>
              <w:t>Coleto Creek Power Station</w:t>
            </w:r>
          </w:p>
        </w:tc>
        <w:tc>
          <w:tcPr>
            <w:tcW w:w="1200" w:type="dxa"/>
            <w:vAlign w:val="bottom"/>
          </w:tcPr>
          <w:p>
            <w:pPr>
              <w:ind w:left="200"/>
              <w:spacing w:after="0"/>
              <w:rPr>
                <w:sz w:val="20"/>
                <w:szCs w:val="20"/>
                <w:color w:val="auto"/>
              </w:rPr>
            </w:pPr>
            <w:r>
              <w:rPr>
                <w:rFonts w:ascii="Arial" w:cs="Arial" w:eastAsia="Arial" w:hAnsi="Arial"/>
                <w:sz w:val="13"/>
                <w:szCs w:val="13"/>
                <w:color w:val="auto"/>
              </w:rPr>
              <w:t>Liberty</w:t>
            </w:r>
          </w:p>
        </w:tc>
        <w:tc>
          <w:tcPr>
            <w:tcW w:w="2440" w:type="dxa"/>
            <w:vAlign w:val="bottom"/>
          </w:tcPr>
          <w:p>
            <w:pPr>
              <w:ind w:left="100"/>
              <w:spacing w:after="0"/>
              <w:rPr>
                <w:sz w:val="20"/>
                <w:szCs w:val="20"/>
                <w:color w:val="auto"/>
              </w:rPr>
            </w:pPr>
            <w:r>
              <w:rPr>
                <w:rFonts w:ascii="Arial" w:cs="Arial" w:eastAsia="Arial" w:hAnsi="Arial"/>
                <w:sz w:val="13"/>
                <w:szCs w:val="13"/>
                <w:color w:val="auto"/>
              </w:rPr>
              <w:t>Liberty Gas Storage</w:t>
            </w:r>
          </w:p>
        </w:tc>
      </w:tr>
      <w:tr>
        <w:trPr>
          <w:trHeight w:val="432"/>
        </w:trPr>
        <w:tc>
          <w:tcPr>
            <w:tcW w:w="1520" w:type="dxa"/>
            <w:vAlign w:val="bottom"/>
          </w:tcPr>
          <w:p>
            <w:pPr>
              <w:spacing w:after="0"/>
              <w:rPr>
                <w:sz w:val="20"/>
                <w:szCs w:val="20"/>
                <w:color w:val="auto"/>
              </w:rPr>
            </w:pPr>
            <w:r>
              <w:rPr>
                <w:rFonts w:ascii="Arial" w:cs="Arial" w:eastAsia="Arial" w:hAnsi="Arial"/>
                <w:sz w:val="13"/>
                <w:szCs w:val="13"/>
                <w:color w:val="auto"/>
              </w:rPr>
              <w:t>Conoco</w:t>
            </w:r>
          </w:p>
        </w:tc>
        <w:tc>
          <w:tcPr>
            <w:tcW w:w="2440" w:type="dxa"/>
            <w:vAlign w:val="bottom"/>
          </w:tcPr>
          <w:p>
            <w:pPr>
              <w:ind w:left="320"/>
              <w:spacing w:after="0"/>
              <w:rPr>
                <w:sz w:val="20"/>
                <w:szCs w:val="20"/>
                <w:color w:val="auto"/>
              </w:rPr>
            </w:pPr>
            <w:r>
              <w:rPr>
                <w:rFonts w:ascii="Arial" w:cs="Arial" w:eastAsia="Arial" w:hAnsi="Arial"/>
                <w:sz w:val="13"/>
                <w:szCs w:val="13"/>
                <w:color w:val="auto"/>
              </w:rPr>
              <w:t>ConocoPhillips</w:t>
            </w:r>
          </w:p>
        </w:tc>
        <w:tc>
          <w:tcPr>
            <w:tcW w:w="1200" w:type="dxa"/>
            <w:vAlign w:val="bottom"/>
          </w:tcPr>
          <w:p>
            <w:pPr>
              <w:ind w:left="200"/>
              <w:spacing w:after="0"/>
              <w:rPr>
                <w:sz w:val="20"/>
                <w:szCs w:val="20"/>
                <w:color w:val="auto"/>
              </w:rPr>
            </w:pPr>
            <w:r>
              <w:rPr>
                <w:rFonts w:ascii="Arial" w:cs="Arial" w:eastAsia="Arial" w:hAnsi="Arial"/>
                <w:sz w:val="13"/>
                <w:szCs w:val="13"/>
                <w:color w:val="auto"/>
              </w:rPr>
              <w:t>LIFO</w:t>
            </w:r>
          </w:p>
        </w:tc>
        <w:tc>
          <w:tcPr>
            <w:tcW w:w="2440" w:type="dxa"/>
            <w:vAlign w:val="bottom"/>
          </w:tcPr>
          <w:p>
            <w:pPr>
              <w:ind w:left="100"/>
              <w:spacing w:after="0"/>
              <w:rPr>
                <w:sz w:val="20"/>
                <w:szCs w:val="20"/>
                <w:color w:val="auto"/>
              </w:rPr>
            </w:pPr>
            <w:r>
              <w:rPr>
                <w:rFonts w:ascii="Arial" w:cs="Arial" w:eastAsia="Arial" w:hAnsi="Arial"/>
                <w:sz w:val="13"/>
                <w:szCs w:val="13"/>
                <w:color w:val="auto"/>
                <w:w w:val="99"/>
              </w:rPr>
              <w:t>Last-in first-out inventory costing method</w:t>
            </w:r>
          </w:p>
        </w:tc>
      </w:tr>
      <w:tr>
        <w:trPr>
          <w:trHeight w:val="432"/>
        </w:trPr>
        <w:tc>
          <w:tcPr>
            <w:tcW w:w="1520" w:type="dxa"/>
            <w:vAlign w:val="bottom"/>
          </w:tcPr>
          <w:p>
            <w:pPr>
              <w:spacing w:after="0"/>
              <w:rPr>
                <w:sz w:val="20"/>
                <w:szCs w:val="20"/>
                <w:color w:val="auto"/>
              </w:rPr>
            </w:pPr>
            <w:r>
              <w:rPr>
                <w:rFonts w:ascii="Arial" w:cs="Arial" w:eastAsia="Arial" w:hAnsi="Arial"/>
                <w:sz w:val="13"/>
                <w:szCs w:val="13"/>
                <w:color w:val="auto"/>
              </w:rPr>
              <w:t>CPUC</w:t>
            </w:r>
          </w:p>
        </w:tc>
        <w:tc>
          <w:tcPr>
            <w:tcW w:w="2440" w:type="dxa"/>
            <w:vAlign w:val="bottom"/>
          </w:tcPr>
          <w:p>
            <w:pPr>
              <w:ind w:left="320"/>
              <w:spacing w:after="0"/>
              <w:rPr>
                <w:sz w:val="20"/>
                <w:szCs w:val="20"/>
                <w:color w:val="auto"/>
              </w:rPr>
            </w:pPr>
            <w:r>
              <w:rPr>
                <w:rFonts w:ascii="Arial" w:cs="Arial" w:eastAsia="Arial" w:hAnsi="Arial"/>
                <w:sz w:val="13"/>
                <w:szCs w:val="13"/>
                <w:color w:val="auto"/>
              </w:rPr>
              <w:t>California Public Utilities</w:t>
            </w:r>
          </w:p>
        </w:tc>
        <w:tc>
          <w:tcPr>
            <w:tcW w:w="1200" w:type="dxa"/>
            <w:vAlign w:val="bottom"/>
          </w:tcPr>
          <w:p>
            <w:pPr>
              <w:ind w:left="200"/>
              <w:spacing w:after="0"/>
              <w:rPr>
                <w:sz w:val="20"/>
                <w:szCs w:val="20"/>
                <w:color w:val="auto"/>
              </w:rPr>
            </w:pPr>
            <w:r>
              <w:rPr>
                <w:rFonts w:ascii="Arial" w:cs="Arial" w:eastAsia="Arial" w:hAnsi="Arial"/>
                <w:sz w:val="13"/>
                <w:szCs w:val="13"/>
                <w:color w:val="auto"/>
              </w:rPr>
              <w:t>LNG</w:t>
            </w:r>
          </w:p>
        </w:tc>
        <w:tc>
          <w:tcPr>
            <w:tcW w:w="2440" w:type="dxa"/>
            <w:vAlign w:val="bottom"/>
          </w:tcPr>
          <w:p>
            <w:pPr>
              <w:ind w:left="100"/>
              <w:spacing w:after="0"/>
              <w:rPr>
                <w:sz w:val="20"/>
                <w:szCs w:val="20"/>
                <w:color w:val="auto"/>
              </w:rPr>
            </w:pPr>
            <w:r>
              <w:rPr>
                <w:rFonts w:ascii="Arial" w:cs="Arial" w:eastAsia="Arial" w:hAnsi="Arial"/>
                <w:sz w:val="13"/>
                <w:szCs w:val="13"/>
                <w:color w:val="auto"/>
              </w:rPr>
              <w:t>Liquefied Natural Gas</w:t>
            </w:r>
          </w:p>
        </w:tc>
      </w:tr>
      <w:tr>
        <w:trPr>
          <w:trHeight w:val="156"/>
        </w:trPr>
        <w:tc>
          <w:tcPr>
            <w:tcW w:w="1520" w:type="dxa"/>
            <w:vAlign w:val="bottom"/>
          </w:tcPr>
          <w:p>
            <w:pPr>
              <w:spacing w:after="0"/>
              <w:rPr>
                <w:sz w:val="13"/>
                <w:szCs w:val="13"/>
                <w:color w:val="auto"/>
              </w:rPr>
            </w:pPr>
          </w:p>
        </w:tc>
        <w:tc>
          <w:tcPr>
            <w:tcW w:w="2440" w:type="dxa"/>
            <w:vAlign w:val="bottom"/>
          </w:tcPr>
          <w:p>
            <w:pPr>
              <w:ind w:left="320"/>
              <w:spacing w:after="0"/>
              <w:rPr>
                <w:sz w:val="20"/>
                <w:szCs w:val="20"/>
                <w:color w:val="auto"/>
              </w:rPr>
            </w:pPr>
            <w:r>
              <w:rPr>
                <w:rFonts w:ascii="Arial" w:cs="Arial" w:eastAsia="Arial" w:hAnsi="Arial"/>
                <w:sz w:val="13"/>
                <w:szCs w:val="13"/>
                <w:color w:val="auto"/>
              </w:rPr>
              <w:t>Commission</w:t>
            </w:r>
          </w:p>
        </w:tc>
        <w:tc>
          <w:tcPr>
            <w:tcW w:w="1200" w:type="dxa"/>
            <w:vAlign w:val="bottom"/>
          </w:tcPr>
          <w:p>
            <w:pPr>
              <w:spacing w:after="0"/>
              <w:rPr>
                <w:sz w:val="13"/>
                <w:szCs w:val="13"/>
                <w:color w:val="auto"/>
              </w:rPr>
            </w:pPr>
          </w:p>
        </w:tc>
        <w:tc>
          <w:tcPr>
            <w:tcW w:w="2440" w:type="dxa"/>
            <w:vAlign w:val="bottom"/>
          </w:tcPr>
          <w:p>
            <w:pPr>
              <w:spacing w:after="0"/>
              <w:rPr>
                <w:sz w:val="13"/>
                <w:szCs w:val="13"/>
                <w:color w:val="auto"/>
              </w:rPr>
            </w:pPr>
          </w:p>
        </w:tc>
      </w:tr>
      <w:tr>
        <w:trPr>
          <w:trHeight w:val="396"/>
        </w:trPr>
        <w:tc>
          <w:tcPr>
            <w:tcW w:w="1520" w:type="dxa"/>
            <w:vAlign w:val="bottom"/>
          </w:tcPr>
          <w:p>
            <w:pPr>
              <w:spacing w:after="0"/>
              <w:rPr>
                <w:sz w:val="20"/>
                <w:szCs w:val="20"/>
                <w:color w:val="auto"/>
              </w:rPr>
            </w:pPr>
            <w:r>
              <w:rPr>
                <w:rFonts w:ascii="Arial" w:cs="Arial" w:eastAsia="Arial" w:hAnsi="Arial"/>
                <w:sz w:val="13"/>
                <w:szCs w:val="13"/>
                <w:color w:val="auto"/>
              </w:rPr>
              <w:t>CRRs</w:t>
            </w:r>
          </w:p>
        </w:tc>
        <w:tc>
          <w:tcPr>
            <w:tcW w:w="2440" w:type="dxa"/>
            <w:vAlign w:val="bottom"/>
          </w:tcPr>
          <w:p>
            <w:pPr>
              <w:ind w:left="320"/>
              <w:spacing w:after="0"/>
              <w:rPr>
                <w:sz w:val="20"/>
                <w:szCs w:val="20"/>
                <w:color w:val="auto"/>
              </w:rPr>
            </w:pPr>
            <w:r>
              <w:rPr>
                <w:rFonts w:ascii="Arial" w:cs="Arial" w:eastAsia="Arial" w:hAnsi="Arial"/>
                <w:sz w:val="13"/>
                <w:szCs w:val="13"/>
                <w:color w:val="auto"/>
              </w:rPr>
              <w:t>Congestion Revenue Rights</w:t>
            </w:r>
          </w:p>
        </w:tc>
        <w:tc>
          <w:tcPr>
            <w:tcW w:w="1200" w:type="dxa"/>
            <w:vAlign w:val="bottom"/>
          </w:tcPr>
          <w:p>
            <w:pPr>
              <w:ind w:left="200"/>
              <w:spacing w:after="0"/>
              <w:rPr>
                <w:sz w:val="20"/>
                <w:szCs w:val="20"/>
                <w:color w:val="auto"/>
              </w:rPr>
            </w:pPr>
            <w:r>
              <w:rPr>
                <w:rFonts w:ascii="Arial" w:cs="Arial" w:eastAsia="Arial" w:hAnsi="Arial"/>
                <w:sz w:val="13"/>
                <w:szCs w:val="13"/>
                <w:color w:val="auto"/>
              </w:rPr>
              <w:t>Luz del Sur</w:t>
            </w:r>
          </w:p>
        </w:tc>
        <w:tc>
          <w:tcPr>
            <w:tcW w:w="2440" w:type="dxa"/>
            <w:vAlign w:val="bottom"/>
          </w:tcPr>
          <w:p>
            <w:pPr>
              <w:ind w:left="100"/>
              <w:spacing w:after="0"/>
              <w:rPr>
                <w:sz w:val="20"/>
                <w:szCs w:val="20"/>
                <w:color w:val="auto"/>
              </w:rPr>
            </w:pPr>
            <w:r>
              <w:rPr>
                <w:rFonts w:ascii="Arial" w:cs="Arial" w:eastAsia="Arial" w:hAnsi="Arial"/>
                <w:sz w:val="13"/>
                <w:szCs w:val="13"/>
                <w:color w:val="auto"/>
              </w:rPr>
              <w:t>Luz del Sur S.A.A.</w:t>
            </w:r>
          </w:p>
        </w:tc>
      </w:tr>
      <w:tr>
        <w:trPr>
          <w:trHeight w:val="432"/>
        </w:trPr>
        <w:tc>
          <w:tcPr>
            <w:tcW w:w="1520" w:type="dxa"/>
            <w:vAlign w:val="bottom"/>
          </w:tcPr>
          <w:p>
            <w:pPr>
              <w:spacing w:after="0"/>
              <w:rPr>
                <w:sz w:val="20"/>
                <w:szCs w:val="20"/>
                <w:color w:val="auto"/>
              </w:rPr>
            </w:pPr>
            <w:r>
              <w:rPr>
                <w:rFonts w:ascii="Arial" w:cs="Arial" w:eastAsia="Arial" w:hAnsi="Arial"/>
                <w:sz w:val="13"/>
                <w:szCs w:val="13"/>
                <w:color w:val="auto"/>
              </w:rPr>
              <w:t>DOE</w:t>
            </w:r>
          </w:p>
        </w:tc>
        <w:tc>
          <w:tcPr>
            <w:tcW w:w="2440" w:type="dxa"/>
            <w:vAlign w:val="bottom"/>
          </w:tcPr>
          <w:p>
            <w:pPr>
              <w:ind w:left="320"/>
              <w:spacing w:after="0"/>
              <w:rPr>
                <w:sz w:val="20"/>
                <w:szCs w:val="20"/>
                <w:color w:val="auto"/>
              </w:rPr>
            </w:pPr>
            <w:r>
              <w:rPr>
                <w:rFonts w:ascii="Arial" w:cs="Arial" w:eastAsia="Arial" w:hAnsi="Arial"/>
                <w:sz w:val="13"/>
                <w:szCs w:val="13"/>
                <w:color w:val="auto"/>
              </w:rPr>
              <w:t>Department of Energy</w:t>
            </w:r>
          </w:p>
        </w:tc>
        <w:tc>
          <w:tcPr>
            <w:tcW w:w="1200" w:type="dxa"/>
            <w:vAlign w:val="bottom"/>
          </w:tcPr>
          <w:p>
            <w:pPr>
              <w:ind w:left="200"/>
              <w:spacing w:after="0"/>
              <w:rPr>
                <w:sz w:val="20"/>
                <w:szCs w:val="20"/>
                <w:color w:val="auto"/>
              </w:rPr>
            </w:pPr>
            <w:r>
              <w:rPr>
                <w:rFonts w:ascii="Arial" w:cs="Arial" w:eastAsia="Arial" w:hAnsi="Arial"/>
                <w:sz w:val="13"/>
                <w:szCs w:val="13"/>
                <w:color w:val="auto"/>
              </w:rPr>
              <w:t>Mississippi Hub</w:t>
            </w:r>
          </w:p>
        </w:tc>
        <w:tc>
          <w:tcPr>
            <w:tcW w:w="2440" w:type="dxa"/>
            <w:vAlign w:val="bottom"/>
          </w:tcPr>
          <w:p>
            <w:pPr>
              <w:ind w:left="100"/>
              <w:spacing w:after="0"/>
              <w:rPr>
                <w:sz w:val="20"/>
                <w:szCs w:val="20"/>
                <w:color w:val="auto"/>
              </w:rPr>
            </w:pPr>
            <w:r>
              <w:rPr>
                <w:rFonts w:ascii="Arial" w:cs="Arial" w:eastAsia="Arial" w:hAnsi="Arial"/>
                <w:sz w:val="13"/>
                <w:szCs w:val="13"/>
                <w:color w:val="auto"/>
              </w:rPr>
              <w:t>Mississippi Hub, LLC</w:t>
            </w:r>
          </w:p>
        </w:tc>
      </w:tr>
      <w:tr>
        <w:trPr>
          <w:trHeight w:val="432"/>
        </w:trPr>
        <w:tc>
          <w:tcPr>
            <w:tcW w:w="1520" w:type="dxa"/>
            <w:vAlign w:val="bottom"/>
          </w:tcPr>
          <w:p>
            <w:pPr>
              <w:spacing w:after="0"/>
              <w:rPr>
                <w:sz w:val="20"/>
                <w:szCs w:val="20"/>
                <w:color w:val="auto"/>
              </w:rPr>
            </w:pPr>
            <w:r>
              <w:rPr>
                <w:rFonts w:ascii="Arial" w:cs="Arial" w:eastAsia="Arial" w:hAnsi="Arial"/>
                <w:sz w:val="13"/>
                <w:szCs w:val="13"/>
                <w:color w:val="auto"/>
              </w:rPr>
              <w:t>DWR</w:t>
            </w:r>
          </w:p>
        </w:tc>
        <w:tc>
          <w:tcPr>
            <w:tcW w:w="2440" w:type="dxa"/>
            <w:vAlign w:val="bottom"/>
          </w:tcPr>
          <w:p>
            <w:pPr>
              <w:ind w:left="320"/>
              <w:spacing w:after="0"/>
              <w:rPr>
                <w:sz w:val="20"/>
                <w:szCs w:val="20"/>
                <w:color w:val="auto"/>
              </w:rPr>
            </w:pPr>
            <w:r>
              <w:rPr>
                <w:rFonts w:ascii="Arial" w:cs="Arial" w:eastAsia="Arial" w:hAnsi="Arial"/>
                <w:sz w:val="13"/>
                <w:szCs w:val="13"/>
                <w:color w:val="auto"/>
              </w:rPr>
              <w:t>Department of Water Resources</w:t>
            </w:r>
          </w:p>
        </w:tc>
        <w:tc>
          <w:tcPr>
            <w:tcW w:w="1200" w:type="dxa"/>
            <w:vAlign w:val="bottom"/>
          </w:tcPr>
          <w:p>
            <w:pPr>
              <w:ind w:left="200"/>
              <w:spacing w:after="0"/>
              <w:rPr>
                <w:sz w:val="20"/>
                <w:szCs w:val="20"/>
                <w:color w:val="auto"/>
              </w:rPr>
            </w:pPr>
            <w:r>
              <w:rPr>
                <w:rFonts w:ascii="Arial" w:cs="Arial" w:eastAsia="Arial" w:hAnsi="Arial"/>
                <w:sz w:val="13"/>
                <w:szCs w:val="13"/>
                <w:color w:val="auto"/>
              </w:rPr>
              <w:t>MMBtu</w:t>
            </w:r>
          </w:p>
        </w:tc>
        <w:tc>
          <w:tcPr>
            <w:tcW w:w="2440" w:type="dxa"/>
            <w:vAlign w:val="bottom"/>
          </w:tcPr>
          <w:p>
            <w:pPr>
              <w:ind w:left="100"/>
              <w:spacing w:after="0"/>
              <w:rPr>
                <w:sz w:val="20"/>
                <w:szCs w:val="20"/>
                <w:color w:val="auto"/>
              </w:rPr>
            </w:pPr>
            <w:r>
              <w:rPr>
                <w:rFonts w:ascii="Arial" w:cs="Arial" w:eastAsia="Arial" w:hAnsi="Arial"/>
                <w:sz w:val="13"/>
                <w:szCs w:val="13"/>
                <w:color w:val="auto"/>
              </w:rPr>
              <w:t>Million British Thermal Units (of natural</w:t>
            </w:r>
          </w:p>
        </w:tc>
      </w:tr>
      <w:tr>
        <w:trPr>
          <w:trHeight w:val="156"/>
        </w:trPr>
        <w:tc>
          <w:tcPr>
            <w:tcW w:w="1520" w:type="dxa"/>
            <w:vAlign w:val="bottom"/>
          </w:tcPr>
          <w:p>
            <w:pPr>
              <w:spacing w:after="0"/>
              <w:rPr>
                <w:sz w:val="13"/>
                <w:szCs w:val="13"/>
                <w:color w:val="auto"/>
              </w:rPr>
            </w:pPr>
          </w:p>
        </w:tc>
        <w:tc>
          <w:tcPr>
            <w:tcW w:w="24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440" w:type="dxa"/>
            <w:vAlign w:val="bottom"/>
          </w:tcPr>
          <w:p>
            <w:pPr>
              <w:ind w:left="100"/>
              <w:spacing w:after="0"/>
              <w:rPr>
                <w:sz w:val="20"/>
                <w:szCs w:val="20"/>
                <w:color w:val="auto"/>
              </w:rPr>
            </w:pPr>
            <w:r>
              <w:rPr>
                <w:rFonts w:ascii="Arial" w:cs="Arial" w:eastAsia="Arial" w:hAnsi="Arial"/>
                <w:sz w:val="13"/>
                <w:szCs w:val="13"/>
                <w:color w:val="auto"/>
              </w:rPr>
              <w:t>gas)</w:t>
            </w:r>
          </w:p>
        </w:tc>
      </w:tr>
      <w:tr>
        <w:trPr>
          <w:trHeight w:val="396"/>
        </w:trPr>
        <w:tc>
          <w:tcPr>
            <w:tcW w:w="1520" w:type="dxa"/>
            <w:vAlign w:val="bottom"/>
          </w:tcPr>
          <w:p>
            <w:pPr>
              <w:spacing w:after="0"/>
              <w:rPr>
                <w:sz w:val="20"/>
                <w:szCs w:val="20"/>
                <w:color w:val="auto"/>
              </w:rPr>
            </w:pPr>
            <w:r>
              <w:rPr>
                <w:rFonts w:ascii="Arial" w:cs="Arial" w:eastAsia="Arial" w:hAnsi="Arial"/>
                <w:sz w:val="13"/>
                <w:szCs w:val="13"/>
                <w:color w:val="auto"/>
              </w:rPr>
              <w:t>Edison</w:t>
            </w:r>
          </w:p>
        </w:tc>
        <w:tc>
          <w:tcPr>
            <w:tcW w:w="2440" w:type="dxa"/>
            <w:vAlign w:val="bottom"/>
          </w:tcPr>
          <w:p>
            <w:pPr>
              <w:ind w:left="320"/>
              <w:spacing w:after="0"/>
              <w:rPr>
                <w:sz w:val="20"/>
                <w:szCs w:val="20"/>
                <w:color w:val="auto"/>
              </w:rPr>
            </w:pPr>
            <w:r>
              <w:rPr>
                <w:rFonts w:ascii="Arial" w:cs="Arial" w:eastAsia="Arial" w:hAnsi="Arial"/>
                <w:sz w:val="13"/>
                <w:szCs w:val="13"/>
                <w:color w:val="auto"/>
              </w:rPr>
              <w:t>Southern California Edison</w:t>
            </w:r>
          </w:p>
        </w:tc>
        <w:tc>
          <w:tcPr>
            <w:tcW w:w="1200" w:type="dxa"/>
            <w:vAlign w:val="bottom"/>
          </w:tcPr>
          <w:p>
            <w:pPr>
              <w:ind w:left="200"/>
              <w:spacing w:after="0"/>
              <w:rPr>
                <w:sz w:val="20"/>
                <w:szCs w:val="20"/>
                <w:color w:val="auto"/>
              </w:rPr>
            </w:pPr>
            <w:r>
              <w:rPr>
                <w:rFonts w:ascii="Arial" w:cs="Arial" w:eastAsia="Arial" w:hAnsi="Arial"/>
                <w:sz w:val="13"/>
                <w:szCs w:val="13"/>
                <w:color w:val="auto"/>
              </w:rPr>
              <w:t>MMcfd</w:t>
            </w:r>
          </w:p>
        </w:tc>
        <w:tc>
          <w:tcPr>
            <w:tcW w:w="2440" w:type="dxa"/>
            <w:vAlign w:val="bottom"/>
          </w:tcPr>
          <w:p>
            <w:pPr>
              <w:ind w:left="100"/>
              <w:spacing w:after="0"/>
              <w:rPr>
                <w:sz w:val="20"/>
                <w:szCs w:val="20"/>
                <w:color w:val="auto"/>
              </w:rPr>
            </w:pPr>
            <w:r>
              <w:rPr>
                <w:rFonts w:ascii="Arial" w:cs="Arial" w:eastAsia="Arial" w:hAnsi="Arial"/>
                <w:sz w:val="13"/>
                <w:szCs w:val="13"/>
                <w:color w:val="auto"/>
              </w:rPr>
              <w:t>Million cubic feet per day</w:t>
            </w:r>
          </w:p>
        </w:tc>
      </w:tr>
      <w:tr>
        <w:trPr>
          <w:trHeight w:val="156"/>
        </w:trPr>
        <w:tc>
          <w:tcPr>
            <w:tcW w:w="1520" w:type="dxa"/>
            <w:vAlign w:val="bottom"/>
          </w:tcPr>
          <w:p>
            <w:pPr>
              <w:spacing w:after="0"/>
              <w:rPr>
                <w:sz w:val="13"/>
                <w:szCs w:val="13"/>
                <w:color w:val="auto"/>
              </w:rPr>
            </w:pPr>
          </w:p>
        </w:tc>
        <w:tc>
          <w:tcPr>
            <w:tcW w:w="2440" w:type="dxa"/>
            <w:vAlign w:val="bottom"/>
          </w:tcPr>
          <w:p>
            <w:pPr>
              <w:ind w:left="320"/>
              <w:spacing w:after="0"/>
              <w:rPr>
                <w:sz w:val="20"/>
                <w:szCs w:val="20"/>
                <w:color w:val="auto"/>
              </w:rPr>
            </w:pPr>
            <w:r>
              <w:rPr>
                <w:rFonts w:ascii="Arial" w:cs="Arial" w:eastAsia="Arial" w:hAnsi="Arial"/>
                <w:sz w:val="13"/>
                <w:szCs w:val="13"/>
                <w:color w:val="auto"/>
              </w:rPr>
              <w:t>Company</w:t>
            </w:r>
          </w:p>
        </w:tc>
        <w:tc>
          <w:tcPr>
            <w:tcW w:w="1200" w:type="dxa"/>
            <w:vAlign w:val="bottom"/>
          </w:tcPr>
          <w:p>
            <w:pPr>
              <w:spacing w:after="0"/>
              <w:rPr>
                <w:sz w:val="13"/>
                <w:szCs w:val="13"/>
                <w:color w:val="auto"/>
              </w:rPr>
            </w:pPr>
          </w:p>
        </w:tc>
        <w:tc>
          <w:tcPr>
            <w:tcW w:w="2440" w:type="dxa"/>
            <w:vAlign w:val="bottom"/>
          </w:tcPr>
          <w:p>
            <w:pPr>
              <w:spacing w:after="0"/>
              <w:rPr>
                <w:sz w:val="13"/>
                <w:szCs w:val="13"/>
                <w:color w:val="auto"/>
              </w:rPr>
            </w:pPr>
          </w:p>
        </w:tc>
      </w:tr>
      <w:tr>
        <w:trPr>
          <w:trHeight w:val="396"/>
        </w:trPr>
        <w:tc>
          <w:tcPr>
            <w:tcW w:w="1520" w:type="dxa"/>
            <w:vAlign w:val="bottom"/>
          </w:tcPr>
          <w:p>
            <w:pPr>
              <w:spacing w:after="0"/>
              <w:rPr>
                <w:sz w:val="20"/>
                <w:szCs w:val="20"/>
                <w:color w:val="auto"/>
              </w:rPr>
            </w:pPr>
            <w:r>
              <w:rPr>
                <w:rFonts w:ascii="Arial" w:cs="Arial" w:eastAsia="Arial" w:hAnsi="Arial"/>
                <w:sz w:val="13"/>
                <w:szCs w:val="13"/>
                <w:color w:val="auto"/>
              </w:rPr>
              <w:t>EITF</w:t>
            </w:r>
          </w:p>
        </w:tc>
        <w:tc>
          <w:tcPr>
            <w:tcW w:w="2440" w:type="dxa"/>
            <w:vAlign w:val="bottom"/>
          </w:tcPr>
          <w:p>
            <w:pPr>
              <w:ind w:left="320"/>
              <w:spacing w:after="0"/>
              <w:rPr>
                <w:sz w:val="20"/>
                <w:szCs w:val="20"/>
                <w:color w:val="auto"/>
              </w:rPr>
            </w:pPr>
            <w:r>
              <w:rPr>
                <w:rFonts w:ascii="Arial" w:cs="Arial" w:eastAsia="Arial" w:hAnsi="Arial"/>
                <w:sz w:val="13"/>
                <w:szCs w:val="13"/>
                <w:color w:val="auto"/>
              </w:rPr>
              <w:t>Emerging Issues Task Force</w:t>
            </w:r>
          </w:p>
        </w:tc>
        <w:tc>
          <w:tcPr>
            <w:tcW w:w="1200" w:type="dxa"/>
            <w:vAlign w:val="bottom"/>
          </w:tcPr>
          <w:p>
            <w:pPr>
              <w:ind w:left="200"/>
              <w:spacing w:after="0"/>
              <w:rPr>
                <w:sz w:val="20"/>
                <w:szCs w:val="20"/>
                <w:color w:val="auto"/>
              </w:rPr>
            </w:pPr>
            <w:r>
              <w:rPr>
                <w:rFonts w:ascii="Arial" w:cs="Arial" w:eastAsia="Arial" w:hAnsi="Arial"/>
                <w:sz w:val="13"/>
                <w:szCs w:val="13"/>
                <w:color w:val="auto"/>
              </w:rPr>
              <w:t>Mobile Gas</w:t>
            </w:r>
          </w:p>
        </w:tc>
        <w:tc>
          <w:tcPr>
            <w:tcW w:w="2440" w:type="dxa"/>
            <w:vAlign w:val="bottom"/>
          </w:tcPr>
          <w:p>
            <w:pPr>
              <w:ind w:left="100"/>
              <w:spacing w:after="0"/>
              <w:rPr>
                <w:sz w:val="20"/>
                <w:szCs w:val="20"/>
                <w:color w:val="auto"/>
              </w:rPr>
            </w:pPr>
            <w:r>
              <w:rPr>
                <w:rFonts w:ascii="Arial" w:cs="Arial" w:eastAsia="Arial" w:hAnsi="Arial"/>
                <w:sz w:val="13"/>
                <w:szCs w:val="13"/>
                <w:color w:val="auto"/>
              </w:rPr>
              <w:t>Mobile Gas Service Corporation</w:t>
            </w:r>
          </w:p>
        </w:tc>
      </w:tr>
      <w:tr>
        <w:trPr>
          <w:trHeight w:val="74"/>
        </w:trPr>
        <w:tc>
          <w:tcPr>
            <w:tcW w:w="1520" w:type="dxa"/>
            <w:vAlign w:val="bottom"/>
            <w:tcBorders>
              <w:bottom w:val="single" w:sz="8" w:color="DFDFDF"/>
            </w:tcBorders>
          </w:tcPr>
          <w:p>
            <w:pPr>
              <w:spacing w:after="0"/>
              <w:rPr>
                <w:sz w:val="6"/>
                <w:szCs w:val="6"/>
                <w:color w:val="auto"/>
              </w:rPr>
            </w:pPr>
          </w:p>
        </w:tc>
        <w:tc>
          <w:tcPr>
            <w:tcW w:w="2440" w:type="dxa"/>
            <w:vAlign w:val="bottom"/>
            <w:tcBorders>
              <w:bottom w:val="single" w:sz="8" w:color="DFDFDF"/>
            </w:tcBorders>
          </w:tcPr>
          <w:p>
            <w:pPr>
              <w:spacing w:after="0"/>
              <w:rPr>
                <w:sz w:val="6"/>
                <w:szCs w:val="6"/>
                <w:color w:val="auto"/>
              </w:rPr>
            </w:pPr>
          </w:p>
        </w:tc>
        <w:tc>
          <w:tcPr>
            <w:tcW w:w="1200" w:type="dxa"/>
            <w:vAlign w:val="bottom"/>
            <w:tcBorders>
              <w:bottom w:val="single" w:sz="8" w:color="DFDFDF"/>
            </w:tcBorders>
          </w:tcPr>
          <w:p>
            <w:pPr>
              <w:spacing w:after="0"/>
              <w:rPr>
                <w:sz w:val="6"/>
                <w:szCs w:val="6"/>
                <w:color w:val="auto"/>
              </w:rPr>
            </w:pPr>
          </w:p>
        </w:tc>
        <w:tc>
          <w:tcPr>
            <w:tcW w:w="2440" w:type="dxa"/>
            <w:vAlign w:val="bottom"/>
            <w:tcBorders>
              <w:bottom w:val="single" w:sz="8" w:color="DFDFDF"/>
            </w:tcBorders>
          </w:tcPr>
          <w:p>
            <w:pPr>
              <w:spacing w:after="0"/>
              <w:rPr>
                <w:sz w:val="6"/>
                <w:szCs w:val="6"/>
                <w:color w:val="auto"/>
              </w:rPr>
            </w:pPr>
          </w:p>
        </w:tc>
      </w:tr>
    </w:tbl>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14"/>
          <w:szCs w:val="14"/>
          <w:color w:val="auto"/>
        </w:rPr>
        <w:t>190</w:t>
      </w:r>
    </w:p>
    <w:p>
      <w:pPr>
        <w:sectPr>
          <w:pgSz w:w="11900" w:h="16838" w:orient="portrait"/>
          <w:cols w:equalWidth="0" w:num="1">
            <w:col w:w="10219"/>
          </w:cols>
          <w:pgMar w:left="240" w:top="1036" w:right="1440" w:bottom="1440" w:gutter="0" w:footer="0" w:header="0"/>
        </w:sectPr>
      </w:pPr>
    </w:p>
    <w:bookmarkStart w:id="330" w:name="page331"/>
    <w:bookmarkEnd w:id="330"/>
    <w:p>
      <w:pPr>
        <w:ind w:left="1940"/>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1370330</wp:posOffset>
            </wp:positionH>
            <wp:positionV relativeFrom="page">
              <wp:posOffset>470535</wp:posOffset>
            </wp:positionV>
            <wp:extent cx="4828540" cy="26670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4828540" cy="266700"/>
                    </a:xfrm>
                    <a:prstGeom prst="rect">
                      <a:avLst/>
                    </a:prstGeom>
                    <a:noFill/>
                  </pic:spPr>
                </pic:pic>
              </a:graphicData>
            </a:graphic>
          </wp:anchor>
        </w:drawing>
        <w:t>GLOSSARY (CONTINUED)</w:t>
      </w:r>
    </w:p>
    <w:p>
      <w:pPr>
        <w:spacing w:after="0" w:line="200" w:lineRule="exact"/>
        <w:rPr>
          <w:sz w:val="20"/>
          <w:szCs w:val="20"/>
          <w:color w:val="auto"/>
        </w:rPr>
      </w:pPr>
    </w:p>
    <w:p>
      <w:pPr>
        <w:spacing w:after="0" w:line="284" w:lineRule="exact"/>
        <w:rPr>
          <w:sz w:val="20"/>
          <w:szCs w:val="20"/>
          <w:color w:val="auto"/>
        </w:rPr>
      </w:pPr>
    </w:p>
    <w:tbl>
      <w:tblPr>
        <w:tblLayout w:type="fixed"/>
        <w:tblInd w:w="1920" w:type="dxa"/>
        <w:tblCellMar>
          <w:top w:w="0" w:type="dxa"/>
          <w:left w:w="0" w:type="dxa"/>
          <w:bottom w:w="0" w:type="dxa"/>
          <w:right w:w="0" w:type="dxa"/>
        </w:tblCellMar>
      </w:tblPr>
      <w:tr>
        <w:trPr>
          <w:trHeight w:val="154"/>
        </w:trPr>
        <w:tc>
          <w:tcPr>
            <w:tcW w:w="1760" w:type="dxa"/>
            <w:vAlign w:val="bottom"/>
          </w:tcPr>
          <w:p>
            <w:pPr>
              <w:spacing w:after="0"/>
              <w:rPr>
                <w:sz w:val="20"/>
                <w:szCs w:val="20"/>
                <w:color w:val="auto"/>
              </w:rPr>
            </w:pPr>
            <w:r>
              <w:rPr>
                <w:rFonts w:ascii="Arial" w:cs="Arial" w:eastAsia="Arial" w:hAnsi="Arial"/>
                <w:sz w:val="13"/>
                <w:szCs w:val="13"/>
                <w:color w:val="auto"/>
              </w:rPr>
              <w:t>MSCI</w:t>
            </w:r>
          </w:p>
        </w:tc>
        <w:tc>
          <w:tcPr>
            <w:tcW w:w="2220" w:type="dxa"/>
            <w:vAlign w:val="bottom"/>
          </w:tcPr>
          <w:p>
            <w:pPr>
              <w:ind w:left="80"/>
              <w:spacing w:after="0"/>
              <w:rPr>
                <w:sz w:val="20"/>
                <w:szCs w:val="20"/>
                <w:color w:val="auto"/>
              </w:rPr>
            </w:pPr>
            <w:r>
              <w:rPr>
                <w:rFonts w:ascii="Arial" w:cs="Arial" w:eastAsia="Arial" w:hAnsi="Arial"/>
                <w:sz w:val="13"/>
                <w:szCs w:val="13"/>
                <w:color w:val="auto"/>
              </w:rPr>
              <w:t>Morgan Stanley Capital</w:t>
            </w:r>
          </w:p>
        </w:tc>
        <w:tc>
          <w:tcPr>
            <w:tcW w:w="1180" w:type="dxa"/>
            <w:vAlign w:val="bottom"/>
          </w:tcPr>
          <w:p>
            <w:pPr>
              <w:ind w:left="180"/>
              <w:spacing w:after="0"/>
              <w:rPr>
                <w:sz w:val="20"/>
                <w:szCs w:val="20"/>
                <w:color w:val="auto"/>
              </w:rPr>
            </w:pPr>
            <w:r>
              <w:rPr>
                <w:rFonts w:ascii="Arial" w:cs="Arial" w:eastAsia="Arial" w:hAnsi="Arial"/>
                <w:sz w:val="13"/>
                <w:szCs w:val="13"/>
                <w:color w:val="auto"/>
              </w:rPr>
              <w:t>RPS</w:t>
            </w:r>
          </w:p>
        </w:tc>
        <w:tc>
          <w:tcPr>
            <w:tcW w:w="2440" w:type="dxa"/>
            <w:vAlign w:val="bottom"/>
          </w:tcPr>
          <w:p>
            <w:pPr>
              <w:ind w:left="100"/>
              <w:spacing w:after="0"/>
              <w:rPr>
                <w:sz w:val="20"/>
                <w:szCs w:val="20"/>
                <w:color w:val="auto"/>
              </w:rPr>
            </w:pPr>
            <w:r>
              <w:rPr>
                <w:rFonts w:ascii="Arial" w:cs="Arial" w:eastAsia="Arial" w:hAnsi="Arial"/>
                <w:sz w:val="13"/>
                <w:szCs w:val="13"/>
                <w:color w:val="auto"/>
              </w:rPr>
              <w:t>Renewables Portfolio Standard</w:t>
            </w:r>
          </w:p>
        </w:tc>
      </w:tr>
      <w:tr>
        <w:trPr>
          <w:trHeight w:val="156"/>
        </w:trPr>
        <w:tc>
          <w:tcPr>
            <w:tcW w:w="1760" w:type="dxa"/>
            <w:vAlign w:val="bottom"/>
          </w:tcPr>
          <w:p>
            <w:pPr>
              <w:spacing w:after="0"/>
              <w:rPr>
                <w:sz w:val="13"/>
                <w:szCs w:val="13"/>
                <w:color w:val="auto"/>
              </w:rPr>
            </w:pPr>
          </w:p>
        </w:tc>
        <w:tc>
          <w:tcPr>
            <w:tcW w:w="2220" w:type="dxa"/>
            <w:vAlign w:val="bottom"/>
          </w:tcPr>
          <w:p>
            <w:pPr>
              <w:ind w:left="80"/>
              <w:spacing w:after="0"/>
              <w:rPr>
                <w:sz w:val="20"/>
                <w:szCs w:val="20"/>
                <w:color w:val="auto"/>
              </w:rPr>
            </w:pPr>
            <w:r>
              <w:rPr>
                <w:rFonts w:ascii="Arial" w:cs="Arial" w:eastAsia="Arial" w:hAnsi="Arial"/>
                <w:sz w:val="13"/>
                <w:szCs w:val="13"/>
                <w:color w:val="auto"/>
              </w:rPr>
              <w:t>International</w:t>
            </w:r>
          </w:p>
        </w:tc>
        <w:tc>
          <w:tcPr>
            <w:tcW w:w="1180" w:type="dxa"/>
            <w:vAlign w:val="bottom"/>
          </w:tcPr>
          <w:p>
            <w:pPr>
              <w:spacing w:after="0"/>
              <w:rPr>
                <w:sz w:val="13"/>
                <w:szCs w:val="13"/>
                <w:color w:val="auto"/>
              </w:rPr>
            </w:pPr>
          </w:p>
        </w:tc>
        <w:tc>
          <w:tcPr>
            <w:tcW w:w="2440" w:type="dxa"/>
            <w:vAlign w:val="bottom"/>
          </w:tcPr>
          <w:p>
            <w:pPr>
              <w:spacing w:after="0"/>
              <w:rPr>
                <w:sz w:val="13"/>
                <w:szCs w:val="13"/>
                <w:color w:val="auto"/>
              </w:rPr>
            </w:pPr>
          </w:p>
        </w:tc>
      </w:tr>
      <w:tr>
        <w:trPr>
          <w:trHeight w:val="396"/>
        </w:trPr>
        <w:tc>
          <w:tcPr>
            <w:tcW w:w="1760" w:type="dxa"/>
            <w:vAlign w:val="bottom"/>
          </w:tcPr>
          <w:p>
            <w:pPr>
              <w:spacing w:after="0"/>
              <w:rPr>
                <w:sz w:val="20"/>
                <w:szCs w:val="20"/>
                <w:color w:val="auto"/>
              </w:rPr>
            </w:pPr>
            <w:r>
              <w:rPr>
                <w:rFonts w:ascii="Arial" w:cs="Arial" w:eastAsia="Arial" w:hAnsi="Arial"/>
                <w:sz w:val="13"/>
                <w:szCs w:val="13"/>
                <w:color w:val="auto"/>
              </w:rPr>
              <w:t>MW</w:t>
            </w:r>
          </w:p>
        </w:tc>
        <w:tc>
          <w:tcPr>
            <w:tcW w:w="2220" w:type="dxa"/>
            <w:vAlign w:val="bottom"/>
          </w:tcPr>
          <w:p>
            <w:pPr>
              <w:ind w:left="80"/>
              <w:spacing w:after="0"/>
              <w:rPr>
                <w:sz w:val="20"/>
                <w:szCs w:val="20"/>
                <w:color w:val="auto"/>
              </w:rPr>
            </w:pPr>
            <w:r>
              <w:rPr>
                <w:rFonts w:ascii="Arial" w:cs="Arial" w:eastAsia="Arial" w:hAnsi="Arial"/>
                <w:sz w:val="13"/>
                <w:szCs w:val="13"/>
                <w:color w:val="auto"/>
              </w:rPr>
              <w:t>Megawatt</w:t>
            </w:r>
          </w:p>
        </w:tc>
        <w:tc>
          <w:tcPr>
            <w:tcW w:w="1180" w:type="dxa"/>
            <w:vAlign w:val="bottom"/>
          </w:tcPr>
          <w:p>
            <w:pPr>
              <w:ind w:left="180"/>
              <w:spacing w:after="0"/>
              <w:rPr>
                <w:sz w:val="20"/>
                <w:szCs w:val="20"/>
                <w:color w:val="auto"/>
              </w:rPr>
            </w:pPr>
            <w:r>
              <w:rPr>
                <w:rFonts w:ascii="Arial" w:cs="Arial" w:eastAsia="Arial" w:hAnsi="Arial"/>
                <w:sz w:val="13"/>
                <w:szCs w:val="13"/>
                <w:color w:val="auto"/>
              </w:rPr>
              <w:t>SAB 107</w:t>
            </w:r>
          </w:p>
        </w:tc>
        <w:tc>
          <w:tcPr>
            <w:tcW w:w="2440" w:type="dxa"/>
            <w:vAlign w:val="bottom"/>
          </w:tcPr>
          <w:p>
            <w:pPr>
              <w:ind w:left="100"/>
              <w:spacing w:after="0"/>
              <w:rPr>
                <w:sz w:val="20"/>
                <w:szCs w:val="20"/>
                <w:color w:val="auto"/>
              </w:rPr>
            </w:pPr>
            <w:r>
              <w:rPr>
                <w:rFonts w:ascii="Arial" w:cs="Arial" w:eastAsia="Arial" w:hAnsi="Arial"/>
                <w:sz w:val="13"/>
                <w:szCs w:val="13"/>
                <w:color w:val="auto"/>
              </w:rPr>
              <w:t>Securities and Exchange Commission</w:t>
            </w:r>
          </w:p>
        </w:tc>
      </w:tr>
      <w:tr>
        <w:trPr>
          <w:trHeight w:val="156"/>
        </w:trPr>
        <w:tc>
          <w:tcPr>
            <w:tcW w:w="1760" w:type="dxa"/>
            <w:vAlign w:val="bottom"/>
          </w:tcPr>
          <w:p>
            <w:pPr>
              <w:spacing w:after="0"/>
              <w:rPr>
                <w:sz w:val="13"/>
                <w:szCs w:val="13"/>
                <w:color w:val="auto"/>
              </w:rPr>
            </w:pPr>
          </w:p>
        </w:tc>
        <w:tc>
          <w:tcPr>
            <w:tcW w:w="22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440" w:type="dxa"/>
            <w:vAlign w:val="bottom"/>
          </w:tcPr>
          <w:p>
            <w:pPr>
              <w:ind w:left="100"/>
              <w:spacing w:after="0"/>
              <w:rPr>
                <w:sz w:val="20"/>
                <w:szCs w:val="20"/>
                <w:color w:val="auto"/>
              </w:rPr>
            </w:pPr>
            <w:r>
              <w:rPr>
                <w:rFonts w:ascii="Arial" w:cs="Arial" w:eastAsia="Arial" w:hAnsi="Arial"/>
                <w:sz w:val="13"/>
                <w:szCs w:val="13"/>
                <w:color w:val="auto"/>
              </w:rPr>
              <w:t>Staff Accounting Bulletin 107</w:t>
            </w:r>
          </w:p>
        </w:tc>
      </w:tr>
      <w:tr>
        <w:trPr>
          <w:trHeight w:val="396"/>
        </w:trPr>
        <w:tc>
          <w:tcPr>
            <w:tcW w:w="1760" w:type="dxa"/>
            <w:vAlign w:val="bottom"/>
          </w:tcPr>
          <w:p>
            <w:pPr>
              <w:spacing w:after="0"/>
              <w:rPr>
                <w:sz w:val="20"/>
                <w:szCs w:val="20"/>
                <w:color w:val="auto"/>
              </w:rPr>
            </w:pPr>
            <w:r>
              <w:rPr>
                <w:rFonts w:ascii="Arial" w:cs="Arial" w:eastAsia="Arial" w:hAnsi="Arial"/>
                <w:sz w:val="13"/>
                <w:szCs w:val="13"/>
                <w:color w:val="auto"/>
              </w:rPr>
              <w:t>Ninth Circuit Court of Appeals</w:t>
            </w:r>
          </w:p>
        </w:tc>
        <w:tc>
          <w:tcPr>
            <w:tcW w:w="2220" w:type="dxa"/>
            <w:vAlign w:val="bottom"/>
          </w:tcPr>
          <w:p>
            <w:pPr>
              <w:ind w:left="80"/>
              <w:spacing w:after="0"/>
              <w:rPr>
                <w:sz w:val="20"/>
                <w:szCs w:val="20"/>
                <w:color w:val="auto"/>
              </w:rPr>
            </w:pPr>
            <w:r>
              <w:rPr>
                <w:rFonts w:ascii="Arial" w:cs="Arial" w:eastAsia="Arial" w:hAnsi="Arial"/>
                <w:sz w:val="13"/>
                <w:szCs w:val="13"/>
                <w:color w:val="auto"/>
              </w:rPr>
              <w:t>U.S. Court of Appeals for the Ninth</w:t>
            </w:r>
          </w:p>
        </w:tc>
        <w:tc>
          <w:tcPr>
            <w:tcW w:w="1180" w:type="dxa"/>
            <w:vAlign w:val="bottom"/>
          </w:tcPr>
          <w:p>
            <w:pPr>
              <w:ind w:left="180"/>
              <w:spacing w:after="0"/>
              <w:rPr>
                <w:sz w:val="20"/>
                <w:szCs w:val="20"/>
                <w:color w:val="auto"/>
              </w:rPr>
            </w:pPr>
            <w:r>
              <w:rPr>
                <w:rFonts w:ascii="Arial" w:cs="Arial" w:eastAsia="Arial" w:hAnsi="Arial"/>
                <w:sz w:val="13"/>
                <w:szCs w:val="13"/>
                <w:color w:val="auto"/>
              </w:rPr>
              <w:t>SDG&amp;E</w:t>
            </w:r>
          </w:p>
        </w:tc>
        <w:tc>
          <w:tcPr>
            <w:tcW w:w="2440" w:type="dxa"/>
            <w:vAlign w:val="bottom"/>
          </w:tcPr>
          <w:p>
            <w:pPr>
              <w:ind w:left="100"/>
              <w:spacing w:after="0"/>
              <w:rPr>
                <w:sz w:val="20"/>
                <w:szCs w:val="20"/>
                <w:color w:val="auto"/>
              </w:rPr>
            </w:pPr>
            <w:r>
              <w:rPr>
                <w:rFonts w:ascii="Arial" w:cs="Arial" w:eastAsia="Arial" w:hAnsi="Arial"/>
                <w:sz w:val="13"/>
                <w:szCs w:val="13"/>
                <w:color w:val="auto"/>
              </w:rPr>
              <w:t>San Diego Gas &amp; Electric Company</w:t>
            </w:r>
          </w:p>
        </w:tc>
      </w:tr>
      <w:tr>
        <w:trPr>
          <w:trHeight w:val="156"/>
        </w:trPr>
        <w:tc>
          <w:tcPr>
            <w:tcW w:w="1760" w:type="dxa"/>
            <w:vAlign w:val="bottom"/>
          </w:tcPr>
          <w:p>
            <w:pPr>
              <w:spacing w:after="0"/>
              <w:rPr>
                <w:sz w:val="13"/>
                <w:szCs w:val="13"/>
                <w:color w:val="auto"/>
              </w:rPr>
            </w:pPr>
          </w:p>
        </w:tc>
        <w:tc>
          <w:tcPr>
            <w:tcW w:w="2220" w:type="dxa"/>
            <w:vAlign w:val="bottom"/>
          </w:tcPr>
          <w:p>
            <w:pPr>
              <w:ind w:left="80"/>
              <w:spacing w:after="0"/>
              <w:rPr>
                <w:sz w:val="20"/>
                <w:szCs w:val="20"/>
                <w:color w:val="auto"/>
              </w:rPr>
            </w:pPr>
            <w:r>
              <w:rPr>
                <w:rFonts w:ascii="Arial" w:cs="Arial" w:eastAsia="Arial" w:hAnsi="Arial"/>
                <w:sz w:val="13"/>
                <w:szCs w:val="13"/>
                <w:color w:val="auto"/>
              </w:rPr>
              <w:t>Circuit</w:t>
            </w:r>
          </w:p>
        </w:tc>
        <w:tc>
          <w:tcPr>
            <w:tcW w:w="1180" w:type="dxa"/>
            <w:vAlign w:val="bottom"/>
          </w:tcPr>
          <w:p>
            <w:pPr>
              <w:spacing w:after="0"/>
              <w:rPr>
                <w:sz w:val="13"/>
                <w:szCs w:val="13"/>
                <w:color w:val="auto"/>
              </w:rPr>
            </w:pPr>
          </w:p>
        </w:tc>
        <w:tc>
          <w:tcPr>
            <w:tcW w:w="2440" w:type="dxa"/>
            <w:vAlign w:val="bottom"/>
          </w:tcPr>
          <w:p>
            <w:pPr>
              <w:spacing w:after="0"/>
              <w:rPr>
                <w:sz w:val="13"/>
                <w:szCs w:val="13"/>
                <w:color w:val="auto"/>
              </w:rPr>
            </w:pPr>
          </w:p>
        </w:tc>
      </w:tr>
      <w:tr>
        <w:trPr>
          <w:trHeight w:val="396"/>
        </w:trPr>
        <w:tc>
          <w:tcPr>
            <w:tcW w:w="1760" w:type="dxa"/>
            <w:vAlign w:val="bottom"/>
          </w:tcPr>
          <w:p>
            <w:pPr>
              <w:spacing w:after="0"/>
              <w:rPr>
                <w:sz w:val="20"/>
                <w:szCs w:val="20"/>
                <w:color w:val="auto"/>
              </w:rPr>
            </w:pPr>
            <w:r>
              <w:rPr>
                <w:rFonts w:ascii="Arial" w:cs="Arial" w:eastAsia="Arial" w:hAnsi="Arial"/>
                <w:sz w:val="13"/>
                <w:szCs w:val="13"/>
                <w:color w:val="auto"/>
              </w:rPr>
              <w:t>NRC</w:t>
            </w:r>
          </w:p>
        </w:tc>
        <w:tc>
          <w:tcPr>
            <w:tcW w:w="2220" w:type="dxa"/>
            <w:vAlign w:val="bottom"/>
          </w:tcPr>
          <w:p>
            <w:pPr>
              <w:ind w:left="80"/>
              <w:spacing w:after="0"/>
              <w:rPr>
                <w:sz w:val="20"/>
                <w:szCs w:val="20"/>
                <w:color w:val="auto"/>
              </w:rPr>
            </w:pPr>
            <w:r>
              <w:rPr>
                <w:rFonts w:ascii="Arial" w:cs="Arial" w:eastAsia="Arial" w:hAnsi="Arial"/>
                <w:sz w:val="13"/>
                <w:szCs w:val="13"/>
                <w:color w:val="auto"/>
              </w:rPr>
              <w:t>Nuclear Regulatory Commission</w:t>
            </w:r>
          </w:p>
        </w:tc>
        <w:tc>
          <w:tcPr>
            <w:tcW w:w="1180" w:type="dxa"/>
            <w:vAlign w:val="bottom"/>
          </w:tcPr>
          <w:p>
            <w:pPr>
              <w:ind w:left="180"/>
              <w:spacing w:after="0"/>
              <w:rPr>
                <w:sz w:val="20"/>
                <w:szCs w:val="20"/>
                <w:color w:val="auto"/>
              </w:rPr>
            </w:pPr>
            <w:r>
              <w:rPr>
                <w:rFonts w:ascii="Arial" w:cs="Arial" w:eastAsia="Arial" w:hAnsi="Arial"/>
                <w:sz w:val="13"/>
                <w:szCs w:val="13"/>
                <w:color w:val="auto"/>
              </w:rPr>
              <w:t>Sempra Utilities</w:t>
            </w:r>
          </w:p>
        </w:tc>
        <w:tc>
          <w:tcPr>
            <w:tcW w:w="2440" w:type="dxa"/>
            <w:vAlign w:val="bottom"/>
          </w:tcPr>
          <w:p>
            <w:pPr>
              <w:ind w:left="100"/>
              <w:spacing w:after="0"/>
              <w:rPr>
                <w:sz w:val="20"/>
                <w:szCs w:val="20"/>
                <w:color w:val="auto"/>
              </w:rPr>
            </w:pPr>
            <w:r>
              <w:rPr>
                <w:rFonts w:ascii="Arial" w:cs="Arial" w:eastAsia="Arial" w:hAnsi="Arial"/>
                <w:sz w:val="13"/>
                <w:szCs w:val="13"/>
                <w:color w:val="auto"/>
              </w:rPr>
              <w:t>San Diego Gas &amp; Electric Company and</w:t>
            </w:r>
          </w:p>
        </w:tc>
      </w:tr>
      <w:tr>
        <w:trPr>
          <w:trHeight w:val="156"/>
        </w:trPr>
        <w:tc>
          <w:tcPr>
            <w:tcW w:w="1760" w:type="dxa"/>
            <w:vAlign w:val="bottom"/>
          </w:tcPr>
          <w:p>
            <w:pPr>
              <w:spacing w:after="0"/>
              <w:rPr>
                <w:sz w:val="13"/>
                <w:szCs w:val="13"/>
                <w:color w:val="auto"/>
              </w:rPr>
            </w:pPr>
          </w:p>
        </w:tc>
        <w:tc>
          <w:tcPr>
            <w:tcW w:w="22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440" w:type="dxa"/>
            <w:vAlign w:val="bottom"/>
          </w:tcPr>
          <w:p>
            <w:pPr>
              <w:ind w:left="100"/>
              <w:spacing w:after="0"/>
              <w:rPr>
                <w:sz w:val="20"/>
                <w:szCs w:val="20"/>
                <w:color w:val="auto"/>
              </w:rPr>
            </w:pPr>
            <w:r>
              <w:rPr>
                <w:rFonts w:ascii="Arial" w:cs="Arial" w:eastAsia="Arial" w:hAnsi="Arial"/>
                <w:sz w:val="13"/>
                <w:szCs w:val="13"/>
                <w:color w:val="auto"/>
              </w:rPr>
              <w:t>Southern California Gas Company</w:t>
            </w:r>
          </w:p>
        </w:tc>
      </w:tr>
      <w:tr>
        <w:trPr>
          <w:trHeight w:val="396"/>
        </w:trPr>
        <w:tc>
          <w:tcPr>
            <w:tcW w:w="1760" w:type="dxa"/>
            <w:vAlign w:val="bottom"/>
          </w:tcPr>
          <w:p>
            <w:pPr>
              <w:spacing w:after="0"/>
              <w:rPr>
                <w:sz w:val="20"/>
                <w:szCs w:val="20"/>
                <w:color w:val="auto"/>
              </w:rPr>
            </w:pPr>
            <w:r>
              <w:rPr>
                <w:rFonts w:ascii="Arial" w:cs="Arial" w:eastAsia="Arial" w:hAnsi="Arial"/>
                <w:sz w:val="13"/>
                <w:szCs w:val="13"/>
                <w:color w:val="auto"/>
              </w:rPr>
              <w:t>OIR</w:t>
            </w:r>
          </w:p>
        </w:tc>
        <w:tc>
          <w:tcPr>
            <w:tcW w:w="2220" w:type="dxa"/>
            <w:vAlign w:val="bottom"/>
          </w:tcPr>
          <w:p>
            <w:pPr>
              <w:ind w:left="80"/>
              <w:spacing w:after="0"/>
              <w:rPr>
                <w:sz w:val="20"/>
                <w:szCs w:val="20"/>
                <w:color w:val="auto"/>
              </w:rPr>
            </w:pPr>
            <w:r>
              <w:rPr>
                <w:rFonts w:ascii="Arial" w:cs="Arial" w:eastAsia="Arial" w:hAnsi="Arial"/>
                <w:sz w:val="13"/>
                <w:szCs w:val="13"/>
                <w:color w:val="auto"/>
              </w:rPr>
              <w:t>Order Instituting Rulemaking</w:t>
            </w:r>
          </w:p>
        </w:tc>
        <w:tc>
          <w:tcPr>
            <w:tcW w:w="1180" w:type="dxa"/>
            <w:vAlign w:val="bottom"/>
          </w:tcPr>
          <w:p>
            <w:pPr>
              <w:ind w:left="180"/>
              <w:spacing w:after="0"/>
              <w:rPr>
                <w:sz w:val="20"/>
                <w:szCs w:val="20"/>
                <w:color w:val="auto"/>
              </w:rPr>
            </w:pPr>
            <w:r>
              <w:rPr>
                <w:rFonts w:ascii="Arial" w:cs="Arial" w:eastAsia="Arial" w:hAnsi="Arial"/>
                <w:sz w:val="13"/>
                <w:szCs w:val="13"/>
                <w:color w:val="auto"/>
              </w:rPr>
              <w:t>SEPCO</w:t>
            </w:r>
          </w:p>
        </w:tc>
        <w:tc>
          <w:tcPr>
            <w:tcW w:w="2440" w:type="dxa"/>
            <w:vAlign w:val="bottom"/>
          </w:tcPr>
          <w:p>
            <w:pPr>
              <w:ind w:left="100"/>
              <w:spacing w:after="0"/>
              <w:rPr>
                <w:sz w:val="20"/>
                <w:szCs w:val="20"/>
                <w:color w:val="auto"/>
              </w:rPr>
            </w:pPr>
            <w:r>
              <w:rPr>
                <w:rFonts w:ascii="Arial" w:cs="Arial" w:eastAsia="Arial" w:hAnsi="Arial"/>
                <w:sz w:val="13"/>
                <w:szCs w:val="13"/>
                <w:color w:val="auto"/>
              </w:rPr>
              <w:t>Sempra Energy Production Company</w:t>
            </w:r>
          </w:p>
        </w:tc>
      </w:tr>
      <w:tr>
        <w:trPr>
          <w:trHeight w:val="432"/>
        </w:trPr>
        <w:tc>
          <w:tcPr>
            <w:tcW w:w="1760" w:type="dxa"/>
            <w:vAlign w:val="bottom"/>
          </w:tcPr>
          <w:p>
            <w:pPr>
              <w:spacing w:after="0"/>
              <w:rPr>
                <w:sz w:val="20"/>
                <w:szCs w:val="20"/>
                <w:color w:val="auto"/>
              </w:rPr>
            </w:pPr>
            <w:r>
              <w:rPr>
                <w:rFonts w:ascii="Arial" w:cs="Arial" w:eastAsia="Arial" w:hAnsi="Arial"/>
                <w:sz w:val="13"/>
                <w:szCs w:val="13"/>
                <w:color w:val="auto"/>
              </w:rPr>
              <w:t>OMEC</w:t>
            </w:r>
          </w:p>
        </w:tc>
        <w:tc>
          <w:tcPr>
            <w:tcW w:w="2220" w:type="dxa"/>
            <w:vAlign w:val="bottom"/>
          </w:tcPr>
          <w:p>
            <w:pPr>
              <w:ind w:left="80"/>
              <w:spacing w:after="0"/>
              <w:rPr>
                <w:sz w:val="20"/>
                <w:szCs w:val="20"/>
                <w:color w:val="auto"/>
              </w:rPr>
            </w:pPr>
            <w:r>
              <w:rPr>
                <w:rFonts w:ascii="Arial" w:cs="Arial" w:eastAsia="Arial" w:hAnsi="Arial"/>
                <w:sz w:val="13"/>
                <w:szCs w:val="13"/>
                <w:color w:val="auto"/>
              </w:rPr>
              <w:t>Otay Mesa Energy Center</w:t>
            </w:r>
          </w:p>
        </w:tc>
        <w:tc>
          <w:tcPr>
            <w:tcW w:w="1180" w:type="dxa"/>
            <w:vAlign w:val="bottom"/>
          </w:tcPr>
          <w:p>
            <w:pPr>
              <w:ind w:left="180"/>
              <w:spacing w:after="0"/>
              <w:rPr>
                <w:sz w:val="20"/>
                <w:szCs w:val="20"/>
                <w:color w:val="auto"/>
              </w:rPr>
            </w:pPr>
            <w:r>
              <w:rPr>
                <w:rFonts w:ascii="Arial" w:cs="Arial" w:eastAsia="Arial" w:hAnsi="Arial"/>
                <w:sz w:val="13"/>
                <w:szCs w:val="13"/>
                <w:color w:val="auto"/>
              </w:rPr>
              <w:t>SFAS</w:t>
            </w:r>
          </w:p>
        </w:tc>
        <w:tc>
          <w:tcPr>
            <w:tcW w:w="2440" w:type="dxa"/>
            <w:vAlign w:val="bottom"/>
          </w:tcPr>
          <w:p>
            <w:pPr>
              <w:ind w:left="100"/>
              <w:spacing w:after="0"/>
              <w:rPr>
                <w:sz w:val="20"/>
                <w:szCs w:val="20"/>
                <w:color w:val="auto"/>
              </w:rPr>
            </w:pPr>
            <w:r>
              <w:rPr>
                <w:rFonts w:ascii="Arial" w:cs="Arial" w:eastAsia="Arial" w:hAnsi="Arial"/>
                <w:sz w:val="13"/>
                <w:szCs w:val="13"/>
                <w:color w:val="auto"/>
              </w:rPr>
              <w:t>Statement of Financial Accounting</w:t>
            </w:r>
          </w:p>
        </w:tc>
      </w:tr>
      <w:tr>
        <w:trPr>
          <w:trHeight w:val="156"/>
        </w:trPr>
        <w:tc>
          <w:tcPr>
            <w:tcW w:w="1760" w:type="dxa"/>
            <w:vAlign w:val="bottom"/>
          </w:tcPr>
          <w:p>
            <w:pPr>
              <w:spacing w:after="0"/>
              <w:rPr>
                <w:sz w:val="13"/>
                <w:szCs w:val="13"/>
                <w:color w:val="auto"/>
              </w:rPr>
            </w:pPr>
          </w:p>
        </w:tc>
        <w:tc>
          <w:tcPr>
            <w:tcW w:w="22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440" w:type="dxa"/>
            <w:vAlign w:val="bottom"/>
          </w:tcPr>
          <w:p>
            <w:pPr>
              <w:ind w:left="100"/>
              <w:spacing w:after="0"/>
              <w:rPr>
                <w:sz w:val="20"/>
                <w:szCs w:val="20"/>
                <w:color w:val="auto"/>
              </w:rPr>
            </w:pPr>
            <w:r>
              <w:rPr>
                <w:rFonts w:ascii="Arial" w:cs="Arial" w:eastAsia="Arial" w:hAnsi="Arial"/>
                <w:sz w:val="13"/>
                <w:szCs w:val="13"/>
                <w:color w:val="auto"/>
              </w:rPr>
              <w:t>Standards</w:t>
            </w:r>
          </w:p>
        </w:tc>
      </w:tr>
      <w:tr>
        <w:trPr>
          <w:trHeight w:val="396"/>
        </w:trPr>
        <w:tc>
          <w:tcPr>
            <w:tcW w:w="1760" w:type="dxa"/>
            <w:vAlign w:val="bottom"/>
          </w:tcPr>
          <w:p>
            <w:pPr>
              <w:spacing w:after="0"/>
              <w:rPr>
                <w:sz w:val="20"/>
                <w:szCs w:val="20"/>
                <w:color w:val="auto"/>
              </w:rPr>
            </w:pPr>
            <w:r>
              <w:rPr>
                <w:rFonts w:ascii="Arial" w:cs="Arial" w:eastAsia="Arial" w:hAnsi="Arial"/>
                <w:sz w:val="13"/>
                <w:szCs w:val="13"/>
                <w:color w:val="auto"/>
              </w:rPr>
              <w:t>OMEC LLC</w:t>
            </w:r>
          </w:p>
        </w:tc>
        <w:tc>
          <w:tcPr>
            <w:tcW w:w="2220" w:type="dxa"/>
            <w:vAlign w:val="bottom"/>
          </w:tcPr>
          <w:p>
            <w:pPr>
              <w:ind w:left="80"/>
              <w:spacing w:after="0"/>
              <w:rPr>
                <w:sz w:val="20"/>
                <w:szCs w:val="20"/>
                <w:color w:val="auto"/>
              </w:rPr>
            </w:pPr>
            <w:r>
              <w:rPr>
                <w:rFonts w:ascii="Arial" w:cs="Arial" w:eastAsia="Arial" w:hAnsi="Arial"/>
                <w:sz w:val="13"/>
                <w:szCs w:val="13"/>
                <w:color w:val="auto"/>
              </w:rPr>
              <w:t>Otay Mesa Energy Center LLC</w:t>
            </w:r>
          </w:p>
        </w:tc>
        <w:tc>
          <w:tcPr>
            <w:tcW w:w="1180" w:type="dxa"/>
            <w:vAlign w:val="bottom"/>
          </w:tcPr>
          <w:p>
            <w:pPr>
              <w:ind w:left="180"/>
              <w:spacing w:after="0"/>
              <w:rPr>
                <w:sz w:val="20"/>
                <w:szCs w:val="20"/>
                <w:color w:val="auto"/>
              </w:rPr>
            </w:pPr>
            <w:r>
              <w:rPr>
                <w:rFonts w:ascii="Arial" w:cs="Arial" w:eastAsia="Arial" w:hAnsi="Arial"/>
                <w:sz w:val="13"/>
                <w:szCs w:val="13"/>
                <w:color w:val="auto"/>
              </w:rPr>
              <w:t>SFP</w:t>
            </w:r>
          </w:p>
        </w:tc>
        <w:tc>
          <w:tcPr>
            <w:tcW w:w="2440" w:type="dxa"/>
            <w:vAlign w:val="bottom"/>
          </w:tcPr>
          <w:p>
            <w:pPr>
              <w:ind w:left="100"/>
              <w:spacing w:after="0"/>
              <w:rPr>
                <w:sz w:val="20"/>
                <w:szCs w:val="20"/>
                <w:color w:val="auto"/>
              </w:rPr>
            </w:pPr>
            <w:r>
              <w:rPr>
                <w:rFonts w:ascii="Arial" w:cs="Arial" w:eastAsia="Arial" w:hAnsi="Arial"/>
                <w:sz w:val="13"/>
                <w:szCs w:val="13"/>
                <w:color w:val="auto"/>
              </w:rPr>
              <w:t>Secondary Financial Protection</w:t>
            </w:r>
          </w:p>
        </w:tc>
      </w:tr>
      <w:tr>
        <w:trPr>
          <w:trHeight w:val="432"/>
        </w:trPr>
        <w:tc>
          <w:tcPr>
            <w:tcW w:w="1760" w:type="dxa"/>
            <w:vAlign w:val="bottom"/>
          </w:tcPr>
          <w:p>
            <w:pPr>
              <w:spacing w:after="0"/>
              <w:rPr>
                <w:sz w:val="20"/>
                <w:szCs w:val="20"/>
                <w:color w:val="auto"/>
              </w:rPr>
            </w:pPr>
            <w:r>
              <w:rPr>
                <w:rFonts w:ascii="Arial" w:cs="Arial" w:eastAsia="Arial" w:hAnsi="Arial"/>
                <w:sz w:val="13"/>
                <w:szCs w:val="13"/>
                <w:color w:val="auto"/>
              </w:rPr>
              <w:t>Otay Mesa VIE</w:t>
            </w:r>
          </w:p>
        </w:tc>
        <w:tc>
          <w:tcPr>
            <w:tcW w:w="2220" w:type="dxa"/>
            <w:vAlign w:val="bottom"/>
          </w:tcPr>
          <w:p>
            <w:pPr>
              <w:ind w:left="80"/>
              <w:spacing w:after="0"/>
              <w:rPr>
                <w:sz w:val="20"/>
                <w:szCs w:val="20"/>
                <w:color w:val="auto"/>
              </w:rPr>
            </w:pPr>
            <w:r>
              <w:rPr>
                <w:rFonts w:ascii="Arial" w:cs="Arial" w:eastAsia="Arial" w:hAnsi="Arial"/>
                <w:sz w:val="13"/>
                <w:szCs w:val="13"/>
                <w:color w:val="auto"/>
              </w:rPr>
              <w:t>Otay Mesa Energy Center LLC</w:t>
            </w:r>
          </w:p>
        </w:tc>
        <w:tc>
          <w:tcPr>
            <w:tcW w:w="1180" w:type="dxa"/>
            <w:vAlign w:val="bottom"/>
          </w:tcPr>
          <w:p>
            <w:pPr>
              <w:ind w:left="180"/>
              <w:spacing w:after="0"/>
              <w:rPr>
                <w:sz w:val="20"/>
                <w:szCs w:val="20"/>
                <w:color w:val="auto"/>
              </w:rPr>
            </w:pPr>
            <w:r>
              <w:rPr>
                <w:rFonts w:ascii="Arial" w:cs="Arial" w:eastAsia="Arial" w:hAnsi="Arial"/>
                <w:sz w:val="13"/>
                <w:szCs w:val="13"/>
                <w:color w:val="auto"/>
              </w:rPr>
              <w:t>SoCalGas</w:t>
            </w:r>
          </w:p>
        </w:tc>
        <w:tc>
          <w:tcPr>
            <w:tcW w:w="2440" w:type="dxa"/>
            <w:vAlign w:val="bottom"/>
          </w:tcPr>
          <w:p>
            <w:pPr>
              <w:ind w:left="100"/>
              <w:spacing w:after="0"/>
              <w:rPr>
                <w:sz w:val="20"/>
                <w:szCs w:val="20"/>
                <w:color w:val="auto"/>
              </w:rPr>
            </w:pPr>
            <w:r>
              <w:rPr>
                <w:rFonts w:ascii="Arial" w:cs="Arial" w:eastAsia="Arial" w:hAnsi="Arial"/>
                <w:sz w:val="13"/>
                <w:szCs w:val="13"/>
                <w:color w:val="auto"/>
              </w:rPr>
              <w:t>Southern California Gas Company</w:t>
            </w:r>
          </w:p>
        </w:tc>
      </w:tr>
      <w:tr>
        <w:trPr>
          <w:trHeight w:val="432"/>
        </w:trPr>
        <w:tc>
          <w:tcPr>
            <w:tcW w:w="1760" w:type="dxa"/>
            <w:vAlign w:val="bottom"/>
          </w:tcPr>
          <w:p>
            <w:pPr>
              <w:spacing w:after="0"/>
              <w:rPr>
                <w:sz w:val="20"/>
                <w:szCs w:val="20"/>
                <w:color w:val="auto"/>
              </w:rPr>
            </w:pPr>
            <w:r>
              <w:rPr>
                <w:rFonts w:ascii="Arial" w:cs="Arial" w:eastAsia="Arial" w:hAnsi="Arial"/>
                <w:sz w:val="13"/>
                <w:szCs w:val="13"/>
                <w:color w:val="auto"/>
              </w:rPr>
              <w:t>OTC</w:t>
            </w:r>
          </w:p>
        </w:tc>
        <w:tc>
          <w:tcPr>
            <w:tcW w:w="2220" w:type="dxa"/>
            <w:vAlign w:val="bottom"/>
          </w:tcPr>
          <w:p>
            <w:pPr>
              <w:ind w:left="80"/>
              <w:spacing w:after="0"/>
              <w:rPr>
                <w:sz w:val="20"/>
                <w:szCs w:val="20"/>
                <w:color w:val="auto"/>
              </w:rPr>
            </w:pPr>
            <w:r>
              <w:rPr>
                <w:rFonts w:ascii="Arial" w:cs="Arial" w:eastAsia="Arial" w:hAnsi="Arial"/>
                <w:sz w:val="13"/>
                <w:szCs w:val="13"/>
                <w:color w:val="auto"/>
              </w:rPr>
              <w:t>Over-the-counter</w:t>
            </w:r>
          </w:p>
        </w:tc>
        <w:tc>
          <w:tcPr>
            <w:tcW w:w="1180" w:type="dxa"/>
            <w:vAlign w:val="bottom"/>
          </w:tcPr>
          <w:p>
            <w:pPr>
              <w:ind w:left="180"/>
              <w:spacing w:after="0"/>
              <w:rPr>
                <w:sz w:val="20"/>
                <w:szCs w:val="20"/>
                <w:color w:val="auto"/>
              </w:rPr>
            </w:pPr>
            <w:r>
              <w:rPr>
                <w:rFonts w:ascii="Arial" w:cs="Arial" w:eastAsia="Arial" w:hAnsi="Arial"/>
                <w:sz w:val="13"/>
                <w:szCs w:val="13"/>
                <w:color w:val="auto"/>
              </w:rPr>
              <w:t>SONGS</w:t>
            </w:r>
          </w:p>
        </w:tc>
        <w:tc>
          <w:tcPr>
            <w:tcW w:w="2440" w:type="dxa"/>
            <w:vAlign w:val="bottom"/>
          </w:tcPr>
          <w:p>
            <w:pPr>
              <w:ind w:left="100"/>
              <w:spacing w:after="0"/>
              <w:rPr>
                <w:sz w:val="20"/>
                <w:szCs w:val="20"/>
                <w:color w:val="auto"/>
              </w:rPr>
            </w:pPr>
            <w:r>
              <w:rPr>
                <w:rFonts w:ascii="Arial" w:cs="Arial" w:eastAsia="Arial" w:hAnsi="Arial"/>
                <w:sz w:val="13"/>
                <w:szCs w:val="13"/>
                <w:color w:val="auto"/>
              </w:rPr>
              <w:t>San Onofre Nuclear Generating Station</w:t>
            </w:r>
          </w:p>
        </w:tc>
      </w:tr>
      <w:tr>
        <w:trPr>
          <w:trHeight w:val="432"/>
        </w:trPr>
        <w:tc>
          <w:tcPr>
            <w:tcW w:w="1760" w:type="dxa"/>
            <w:vAlign w:val="bottom"/>
          </w:tcPr>
          <w:p>
            <w:pPr>
              <w:spacing w:after="0"/>
              <w:rPr>
                <w:sz w:val="20"/>
                <w:szCs w:val="20"/>
                <w:color w:val="auto"/>
              </w:rPr>
            </w:pPr>
            <w:r>
              <w:rPr>
                <w:rFonts w:ascii="Arial" w:cs="Arial" w:eastAsia="Arial" w:hAnsi="Arial"/>
                <w:sz w:val="13"/>
                <w:szCs w:val="13"/>
                <w:color w:val="auto"/>
              </w:rPr>
              <w:t>Overthrust</w:t>
            </w:r>
          </w:p>
        </w:tc>
        <w:tc>
          <w:tcPr>
            <w:tcW w:w="2220" w:type="dxa"/>
            <w:vAlign w:val="bottom"/>
          </w:tcPr>
          <w:p>
            <w:pPr>
              <w:ind w:left="80"/>
              <w:spacing w:after="0"/>
              <w:rPr>
                <w:sz w:val="20"/>
                <w:szCs w:val="20"/>
                <w:color w:val="auto"/>
              </w:rPr>
            </w:pPr>
            <w:r>
              <w:rPr>
                <w:rFonts w:ascii="Arial" w:cs="Arial" w:eastAsia="Arial" w:hAnsi="Arial"/>
                <w:sz w:val="13"/>
                <w:szCs w:val="13"/>
                <w:color w:val="auto"/>
              </w:rPr>
              <w:t>Overthrust Pipeline Company</w:t>
            </w:r>
          </w:p>
        </w:tc>
        <w:tc>
          <w:tcPr>
            <w:tcW w:w="1180" w:type="dxa"/>
            <w:vAlign w:val="bottom"/>
          </w:tcPr>
          <w:p>
            <w:pPr>
              <w:ind w:left="180"/>
              <w:spacing w:after="0"/>
              <w:rPr>
                <w:sz w:val="20"/>
                <w:szCs w:val="20"/>
                <w:color w:val="auto"/>
              </w:rPr>
            </w:pPr>
            <w:r>
              <w:rPr>
                <w:rFonts w:ascii="Arial" w:cs="Arial" w:eastAsia="Arial" w:hAnsi="Arial"/>
                <w:sz w:val="13"/>
                <w:szCs w:val="13"/>
                <w:color w:val="auto"/>
              </w:rPr>
              <w:t>Supreme Court</w:t>
            </w:r>
          </w:p>
        </w:tc>
        <w:tc>
          <w:tcPr>
            <w:tcW w:w="2440" w:type="dxa"/>
            <w:vAlign w:val="bottom"/>
          </w:tcPr>
          <w:p>
            <w:pPr>
              <w:ind w:left="100"/>
              <w:spacing w:after="0"/>
              <w:rPr>
                <w:sz w:val="20"/>
                <w:szCs w:val="20"/>
                <w:color w:val="auto"/>
              </w:rPr>
            </w:pPr>
            <w:r>
              <w:rPr>
                <w:rFonts w:ascii="Arial" w:cs="Arial" w:eastAsia="Arial" w:hAnsi="Arial"/>
                <w:sz w:val="13"/>
                <w:szCs w:val="13"/>
                <w:color w:val="auto"/>
              </w:rPr>
              <w:t>United States Supreme Court</w:t>
            </w:r>
          </w:p>
        </w:tc>
      </w:tr>
      <w:tr>
        <w:trPr>
          <w:trHeight w:val="432"/>
        </w:trPr>
        <w:tc>
          <w:tcPr>
            <w:tcW w:w="1760" w:type="dxa"/>
            <w:vAlign w:val="bottom"/>
          </w:tcPr>
          <w:p>
            <w:pPr>
              <w:spacing w:after="0"/>
              <w:rPr>
                <w:sz w:val="20"/>
                <w:szCs w:val="20"/>
                <w:color w:val="auto"/>
              </w:rPr>
            </w:pPr>
            <w:r>
              <w:rPr>
                <w:rFonts w:ascii="Arial" w:cs="Arial" w:eastAsia="Arial" w:hAnsi="Arial"/>
                <w:sz w:val="13"/>
                <w:szCs w:val="13"/>
                <w:color w:val="auto"/>
              </w:rPr>
              <w:t>PE</w:t>
            </w:r>
          </w:p>
        </w:tc>
        <w:tc>
          <w:tcPr>
            <w:tcW w:w="2220" w:type="dxa"/>
            <w:vAlign w:val="bottom"/>
          </w:tcPr>
          <w:p>
            <w:pPr>
              <w:ind w:left="80"/>
              <w:spacing w:after="0"/>
              <w:rPr>
                <w:sz w:val="20"/>
                <w:szCs w:val="20"/>
                <w:color w:val="auto"/>
              </w:rPr>
            </w:pPr>
            <w:r>
              <w:rPr>
                <w:rFonts w:ascii="Arial" w:cs="Arial" w:eastAsia="Arial" w:hAnsi="Arial"/>
                <w:sz w:val="13"/>
                <w:szCs w:val="13"/>
                <w:color w:val="auto"/>
              </w:rPr>
              <w:t>Pacific Enterprises</w:t>
            </w:r>
          </w:p>
        </w:tc>
        <w:tc>
          <w:tcPr>
            <w:tcW w:w="1180" w:type="dxa"/>
            <w:vAlign w:val="bottom"/>
          </w:tcPr>
          <w:p>
            <w:pPr>
              <w:ind w:left="180"/>
              <w:spacing w:after="0"/>
              <w:rPr>
                <w:sz w:val="20"/>
                <w:szCs w:val="20"/>
                <w:color w:val="auto"/>
              </w:rPr>
            </w:pPr>
            <w:r>
              <w:rPr>
                <w:rFonts w:ascii="Arial" w:cs="Arial" w:eastAsia="Arial" w:hAnsi="Arial"/>
                <w:sz w:val="13"/>
                <w:szCs w:val="13"/>
                <w:color w:val="auto"/>
              </w:rPr>
              <w:t>Tangguh PSC</w:t>
            </w:r>
          </w:p>
        </w:tc>
        <w:tc>
          <w:tcPr>
            <w:tcW w:w="2440" w:type="dxa"/>
            <w:vAlign w:val="bottom"/>
          </w:tcPr>
          <w:p>
            <w:pPr>
              <w:ind w:left="100"/>
              <w:spacing w:after="0"/>
              <w:rPr>
                <w:sz w:val="20"/>
                <w:szCs w:val="20"/>
                <w:color w:val="auto"/>
              </w:rPr>
            </w:pPr>
            <w:r>
              <w:rPr>
                <w:rFonts w:ascii="Arial" w:cs="Arial" w:eastAsia="Arial" w:hAnsi="Arial"/>
                <w:sz w:val="13"/>
                <w:szCs w:val="13"/>
                <w:color w:val="auto"/>
              </w:rPr>
              <w:t>Tangguh PSC Contractors</w:t>
            </w:r>
          </w:p>
        </w:tc>
      </w:tr>
      <w:tr>
        <w:trPr>
          <w:trHeight w:val="432"/>
        </w:trPr>
        <w:tc>
          <w:tcPr>
            <w:tcW w:w="1760" w:type="dxa"/>
            <w:vAlign w:val="bottom"/>
          </w:tcPr>
          <w:p>
            <w:pPr>
              <w:spacing w:after="0"/>
              <w:rPr>
                <w:sz w:val="20"/>
                <w:szCs w:val="20"/>
                <w:color w:val="auto"/>
              </w:rPr>
            </w:pPr>
            <w:r>
              <w:rPr>
                <w:rFonts w:ascii="Arial" w:cs="Arial" w:eastAsia="Arial" w:hAnsi="Arial"/>
                <w:sz w:val="13"/>
                <w:szCs w:val="13"/>
                <w:color w:val="auto"/>
              </w:rPr>
              <w:t>PRP</w:t>
            </w:r>
          </w:p>
        </w:tc>
        <w:tc>
          <w:tcPr>
            <w:tcW w:w="2220" w:type="dxa"/>
            <w:vAlign w:val="bottom"/>
          </w:tcPr>
          <w:p>
            <w:pPr>
              <w:ind w:left="80"/>
              <w:spacing w:after="0"/>
              <w:rPr>
                <w:sz w:val="20"/>
                <w:szCs w:val="20"/>
                <w:color w:val="auto"/>
              </w:rPr>
            </w:pPr>
            <w:r>
              <w:rPr>
                <w:rFonts w:ascii="Arial" w:cs="Arial" w:eastAsia="Arial" w:hAnsi="Arial"/>
                <w:sz w:val="13"/>
                <w:szCs w:val="13"/>
                <w:color w:val="auto"/>
              </w:rPr>
              <w:t>Potentially Responsible Party</w:t>
            </w:r>
          </w:p>
        </w:tc>
        <w:tc>
          <w:tcPr>
            <w:tcW w:w="1180" w:type="dxa"/>
            <w:vAlign w:val="bottom"/>
          </w:tcPr>
          <w:p>
            <w:pPr>
              <w:ind w:left="180"/>
              <w:spacing w:after="0"/>
              <w:rPr>
                <w:sz w:val="20"/>
                <w:szCs w:val="20"/>
                <w:color w:val="auto"/>
              </w:rPr>
            </w:pPr>
            <w:r>
              <w:rPr>
                <w:rFonts w:ascii="Arial" w:cs="Arial" w:eastAsia="Arial" w:hAnsi="Arial"/>
                <w:sz w:val="13"/>
                <w:szCs w:val="13"/>
                <w:color w:val="auto"/>
              </w:rPr>
              <w:t>The Plan</w:t>
            </w:r>
          </w:p>
        </w:tc>
        <w:tc>
          <w:tcPr>
            <w:tcW w:w="2440" w:type="dxa"/>
            <w:vAlign w:val="bottom"/>
          </w:tcPr>
          <w:p>
            <w:pPr>
              <w:ind w:left="100"/>
              <w:spacing w:after="0"/>
              <w:rPr>
                <w:sz w:val="20"/>
                <w:szCs w:val="20"/>
                <w:color w:val="auto"/>
              </w:rPr>
            </w:pPr>
            <w:r>
              <w:rPr>
                <w:rFonts w:ascii="Arial" w:cs="Arial" w:eastAsia="Arial" w:hAnsi="Arial"/>
                <w:sz w:val="13"/>
                <w:szCs w:val="13"/>
                <w:color w:val="auto"/>
              </w:rPr>
              <w:t>Sempra Energy 2008 Long Term</w:t>
            </w:r>
          </w:p>
        </w:tc>
      </w:tr>
      <w:tr>
        <w:trPr>
          <w:trHeight w:val="156"/>
        </w:trPr>
        <w:tc>
          <w:tcPr>
            <w:tcW w:w="1760" w:type="dxa"/>
            <w:vAlign w:val="bottom"/>
          </w:tcPr>
          <w:p>
            <w:pPr>
              <w:spacing w:after="0"/>
              <w:rPr>
                <w:sz w:val="13"/>
                <w:szCs w:val="13"/>
                <w:color w:val="auto"/>
              </w:rPr>
            </w:pPr>
          </w:p>
        </w:tc>
        <w:tc>
          <w:tcPr>
            <w:tcW w:w="22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440" w:type="dxa"/>
            <w:vAlign w:val="bottom"/>
          </w:tcPr>
          <w:p>
            <w:pPr>
              <w:ind w:left="100"/>
              <w:spacing w:after="0"/>
              <w:rPr>
                <w:sz w:val="20"/>
                <w:szCs w:val="20"/>
                <w:color w:val="auto"/>
              </w:rPr>
            </w:pPr>
            <w:r>
              <w:rPr>
                <w:rFonts w:ascii="Arial" w:cs="Arial" w:eastAsia="Arial" w:hAnsi="Arial"/>
                <w:sz w:val="13"/>
                <w:szCs w:val="13"/>
                <w:color w:val="auto"/>
              </w:rPr>
              <w:t>Incentive Plan for EnergySouth, Inc.</w:t>
            </w:r>
          </w:p>
        </w:tc>
      </w:tr>
      <w:tr>
        <w:trPr>
          <w:trHeight w:val="156"/>
        </w:trPr>
        <w:tc>
          <w:tcPr>
            <w:tcW w:w="1760" w:type="dxa"/>
            <w:vAlign w:val="bottom"/>
          </w:tcPr>
          <w:p>
            <w:pPr>
              <w:spacing w:after="0"/>
              <w:rPr>
                <w:sz w:val="13"/>
                <w:szCs w:val="13"/>
                <w:color w:val="auto"/>
              </w:rPr>
            </w:pPr>
          </w:p>
        </w:tc>
        <w:tc>
          <w:tcPr>
            <w:tcW w:w="22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440" w:type="dxa"/>
            <w:vAlign w:val="bottom"/>
          </w:tcPr>
          <w:p>
            <w:pPr>
              <w:ind w:left="100"/>
              <w:spacing w:after="0"/>
              <w:rPr>
                <w:sz w:val="20"/>
                <w:szCs w:val="20"/>
                <w:color w:val="auto"/>
              </w:rPr>
            </w:pPr>
            <w:r>
              <w:rPr>
                <w:rFonts w:ascii="Arial" w:cs="Arial" w:eastAsia="Arial" w:hAnsi="Arial"/>
                <w:sz w:val="13"/>
                <w:szCs w:val="13"/>
                <w:color w:val="auto"/>
                <w:w w:val="98"/>
              </w:rPr>
              <w:t>Employees and Other Eligible Individuals</w:t>
            </w:r>
          </w:p>
        </w:tc>
      </w:tr>
      <w:tr>
        <w:trPr>
          <w:trHeight w:val="396"/>
        </w:trPr>
        <w:tc>
          <w:tcPr>
            <w:tcW w:w="1760" w:type="dxa"/>
            <w:vAlign w:val="bottom"/>
          </w:tcPr>
          <w:p>
            <w:pPr>
              <w:spacing w:after="0"/>
              <w:rPr>
                <w:sz w:val="20"/>
                <w:szCs w:val="20"/>
                <w:color w:val="auto"/>
              </w:rPr>
            </w:pPr>
            <w:r>
              <w:rPr>
                <w:rFonts w:ascii="Arial" w:cs="Arial" w:eastAsia="Arial" w:hAnsi="Arial"/>
                <w:sz w:val="13"/>
                <w:szCs w:val="13"/>
                <w:color w:val="auto"/>
              </w:rPr>
              <w:t>PX</w:t>
            </w:r>
          </w:p>
        </w:tc>
        <w:tc>
          <w:tcPr>
            <w:tcW w:w="2220" w:type="dxa"/>
            <w:vAlign w:val="bottom"/>
          </w:tcPr>
          <w:p>
            <w:pPr>
              <w:ind w:left="80"/>
              <w:spacing w:after="0"/>
              <w:rPr>
                <w:sz w:val="20"/>
                <w:szCs w:val="20"/>
                <w:color w:val="auto"/>
              </w:rPr>
            </w:pPr>
            <w:r>
              <w:rPr>
                <w:rFonts w:ascii="Arial" w:cs="Arial" w:eastAsia="Arial" w:hAnsi="Arial"/>
                <w:sz w:val="13"/>
                <w:szCs w:val="13"/>
                <w:color w:val="auto"/>
              </w:rPr>
              <w:t>Power Exchange</w:t>
            </w:r>
          </w:p>
        </w:tc>
        <w:tc>
          <w:tcPr>
            <w:tcW w:w="1180" w:type="dxa"/>
            <w:vAlign w:val="bottom"/>
          </w:tcPr>
          <w:p>
            <w:pPr>
              <w:ind w:left="180"/>
              <w:spacing w:after="0"/>
              <w:rPr>
                <w:sz w:val="20"/>
                <w:szCs w:val="20"/>
                <w:color w:val="auto"/>
              </w:rPr>
            </w:pPr>
            <w:r>
              <w:rPr>
                <w:rFonts w:ascii="Arial" w:cs="Arial" w:eastAsia="Arial" w:hAnsi="Arial"/>
                <w:sz w:val="13"/>
                <w:szCs w:val="13"/>
                <w:color w:val="auto"/>
              </w:rPr>
              <w:t>The Prior Plan</w:t>
            </w:r>
          </w:p>
        </w:tc>
        <w:tc>
          <w:tcPr>
            <w:tcW w:w="2440" w:type="dxa"/>
            <w:vAlign w:val="bottom"/>
          </w:tcPr>
          <w:p>
            <w:pPr>
              <w:ind w:left="100"/>
              <w:spacing w:after="0"/>
              <w:rPr>
                <w:sz w:val="20"/>
                <w:szCs w:val="20"/>
                <w:color w:val="auto"/>
              </w:rPr>
            </w:pPr>
            <w:r>
              <w:rPr>
                <w:rFonts w:ascii="Arial" w:cs="Arial" w:eastAsia="Arial" w:hAnsi="Arial"/>
                <w:sz w:val="13"/>
                <w:szCs w:val="13"/>
                <w:color w:val="auto"/>
                <w:w w:val="98"/>
              </w:rPr>
              <w:t>2008 Incentive Plan of EnergySouth, Inc.</w:t>
            </w:r>
          </w:p>
        </w:tc>
      </w:tr>
      <w:tr>
        <w:trPr>
          <w:trHeight w:val="432"/>
        </w:trPr>
        <w:tc>
          <w:tcPr>
            <w:tcW w:w="1760" w:type="dxa"/>
            <w:vAlign w:val="bottom"/>
          </w:tcPr>
          <w:p>
            <w:pPr>
              <w:spacing w:after="0"/>
              <w:rPr>
                <w:sz w:val="20"/>
                <w:szCs w:val="20"/>
                <w:color w:val="auto"/>
              </w:rPr>
            </w:pPr>
            <w:r>
              <w:rPr>
                <w:rFonts w:ascii="Arial" w:cs="Arial" w:eastAsia="Arial" w:hAnsi="Arial"/>
                <w:sz w:val="13"/>
                <w:szCs w:val="13"/>
                <w:color w:val="auto"/>
              </w:rPr>
              <w:t>RBS</w:t>
            </w:r>
          </w:p>
        </w:tc>
        <w:tc>
          <w:tcPr>
            <w:tcW w:w="2220" w:type="dxa"/>
            <w:vAlign w:val="bottom"/>
          </w:tcPr>
          <w:p>
            <w:pPr>
              <w:ind w:left="80"/>
              <w:spacing w:after="0"/>
              <w:rPr>
                <w:sz w:val="20"/>
                <w:szCs w:val="20"/>
                <w:color w:val="auto"/>
              </w:rPr>
            </w:pPr>
            <w:r>
              <w:rPr>
                <w:rFonts w:ascii="Arial" w:cs="Arial" w:eastAsia="Arial" w:hAnsi="Arial"/>
                <w:sz w:val="13"/>
                <w:szCs w:val="13"/>
                <w:color w:val="auto"/>
              </w:rPr>
              <w:t>The Royal Bank of Scotland plc</w:t>
            </w:r>
          </w:p>
        </w:tc>
        <w:tc>
          <w:tcPr>
            <w:tcW w:w="1180" w:type="dxa"/>
            <w:vAlign w:val="bottom"/>
          </w:tcPr>
          <w:p>
            <w:pPr>
              <w:ind w:left="180"/>
              <w:spacing w:after="0"/>
              <w:rPr>
                <w:sz w:val="20"/>
                <w:szCs w:val="20"/>
                <w:color w:val="auto"/>
              </w:rPr>
            </w:pPr>
            <w:r>
              <w:rPr>
                <w:rFonts w:ascii="Arial" w:cs="Arial" w:eastAsia="Arial" w:hAnsi="Arial"/>
                <w:sz w:val="13"/>
                <w:szCs w:val="13"/>
                <w:color w:val="auto"/>
              </w:rPr>
              <w:t>Topaz</w:t>
            </w:r>
          </w:p>
        </w:tc>
        <w:tc>
          <w:tcPr>
            <w:tcW w:w="2440" w:type="dxa"/>
            <w:vAlign w:val="bottom"/>
          </w:tcPr>
          <w:p>
            <w:pPr>
              <w:ind w:left="100"/>
              <w:spacing w:after="0"/>
              <w:rPr>
                <w:sz w:val="20"/>
                <w:szCs w:val="20"/>
                <w:color w:val="auto"/>
              </w:rPr>
            </w:pPr>
            <w:r>
              <w:rPr>
                <w:rFonts w:ascii="Arial" w:cs="Arial" w:eastAsia="Arial" w:hAnsi="Arial"/>
                <w:sz w:val="13"/>
                <w:szCs w:val="13"/>
                <w:color w:val="auto"/>
              </w:rPr>
              <w:t>Topaz Power Partners</w:t>
            </w:r>
          </w:p>
        </w:tc>
      </w:tr>
      <w:tr>
        <w:trPr>
          <w:trHeight w:val="432"/>
        </w:trPr>
        <w:tc>
          <w:tcPr>
            <w:tcW w:w="1760" w:type="dxa"/>
            <w:vAlign w:val="bottom"/>
          </w:tcPr>
          <w:p>
            <w:pPr>
              <w:spacing w:after="0"/>
              <w:rPr>
                <w:sz w:val="20"/>
                <w:szCs w:val="20"/>
                <w:color w:val="auto"/>
              </w:rPr>
            </w:pPr>
            <w:r>
              <w:rPr>
                <w:rFonts w:ascii="Arial" w:cs="Arial" w:eastAsia="Arial" w:hAnsi="Arial"/>
                <w:sz w:val="13"/>
                <w:szCs w:val="13"/>
                <w:color w:val="auto"/>
              </w:rPr>
              <w:t>RBS Sempra Commodities</w:t>
            </w:r>
          </w:p>
        </w:tc>
        <w:tc>
          <w:tcPr>
            <w:tcW w:w="2220" w:type="dxa"/>
            <w:vAlign w:val="bottom"/>
          </w:tcPr>
          <w:p>
            <w:pPr>
              <w:ind w:left="80"/>
              <w:spacing w:after="0"/>
              <w:rPr>
                <w:sz w:val="20"/>
                <w:szCs w:val="20"/>
                <w:color w:val="auto"/>
              </w:rPr>
            </w:pPr>
            <w:r>
              <w:rPr>
                <w:rFonts w:ascii="Arial" w:cs="Arial" w:eastAsia="Arial" w:hAnsi="Arial"/>
                <w:sz w:val="13"/>
                <w:szCs w:val="13"/>
                <w:color w:val="auto"/>
              </w:rPr>
              <w:t>RBS Sempra Commodities LLP</w:t>
            </w:r>
          </w:p>
        </w:tc>
        <w:tc>
          <w:tcPr>
            <w:tcW w:w="1180" w:type="dxa"/>
            <w:vAlign w:val="bottom"/>
          </w:tcPr>
          <w:p>
            <w:pPr>
              <w:ind w:left="180"/>
              <w:spacing w:after="0"/>
              <w:rPr>
                <w:sz w:val="20"/>
                <w:szCs w:val="20"/>
                <w:color w:val="auto"/>
              </w:rPr>
            </w:pPr>
            <w:r>
              <w:rPr>
                <w:rFonts w:ascii="Arial" w:cs="Arial" w:eastAsia="Arial" w:hAnsi="Arial"/>
                <w:sz w:val="13"/>
                <w:szCs w:val="13"/>
                <w:color w:val="auto"/>
              </w:rPr>
              <w:t>Trust</w:t>
            </w:r>
          </w:p>
        </w:tc>
        <w:tc>
          <w:tcPr>
            <w:tcW w:w="2440" w:type="dxa"/>
            <w:vAlign w:val="bottom"/>
          </w:tcPr>
          <w:p>
            <w:pPr>
              <w:ind w:left="100"/>
              <w:spacing w:after="0"/>
              <w:rPr>
                <w:sz w:val="20"/>
                <w:szCs w:val="20"/>
                <w:color w:val="auto"/>
              </w:rPr>
            </w:pPr>
            <w:r>
              <w:rPr>
                <w:rFonts w:ascii="Arial" w:cs="Arial" w:eastAsia="Arial" w:hAnsi="Arial"/>
                <w:sz w:val="13"/>
                <w:szCs w:val="13"/>
                <w:color w:val="auto"/>
              </w:rPr>
              <w:t>ESOP Trust</w:t>
            </w:r>
          </w:p>
        </w:tc>
      </w:tr>
      <w:tr>
        <w:trPr>
          <w:trHeight w:val="432"/>
        </w:trPr>
        <w:tc>
          <w:tcPr>
            <w:tcW w:w="1760" w:type="dxa"/>
            <w:vAlign w:val="bottom"/>
          </w:tcPr>
          <w:p>
            <w:pPr>
              <w:spacing w:after="0"/>
              <w:rPr>
                <w:sz w:val="20"/>
                <w:szCs w:val="20"/>
                <w:color w:val="auto"/>
              </w:rPr>
            </w:pPr>
            <w:r>
              <w:rPr>
                <w:rFonts w:ascii="Arial" w:cs="Arial" w:eastAsia="Arial" w:hAnsi="Arial"/>
                <w:sz w:val="13"/>
                <w:szCs w:val="13"/>
                <w:color w:val="auto"/>
              </w:rPr>
              <w:t>REX</w:t>
            </w:r>
          </w:p>
        </w:tc>
        <w:tc>
          <w:tcPr>
            <w:tcW w:w="2220" w:type="dxa"/>
            <w:vAlign w:val="bottom"/>
          </w:tcPr>
          <w:p>
            <w:pPr>
              <w:ind w:left="80"/>
              <w:spacing w:after="0"/>
              <w:rPr>
                <w:sz w:val="20"/>
                <w:szCs w:val="20"/>
                <w:color w:val="auto"/>
              </w:rPr>
            </w:pPr>
            <w:r>
              <w:rPr>
                <w:rFonts w:ascii="Arial" w:cs="Arial" w:eastAsia="Arial" w:hAnsi="Arial"/>
                <w:sz w:val="13"/>
                <w:szCs w:val="13"/>
                <w:color w:val="auto"/>
              </w:rPr>
              <w:t>Rockies Express Pipeline</w:t>
            </w:r>
          </w:p>
        </w:tc>
        <w:tc>
          <w:tcPr>
            <w:tcW w:w="1180" w:type="dxa"/>
            <w:vAlign w:val="bottom"/>
          </w:tcPr>
          <w:p>
            <w:pPr>
              <w:ind w:left="180"/>
              <w:spacing w:after="0"/>
              <w:rPr>
                <w:sz w:val="20"/>
                <w:szCs w:val="20"/>
                <w:color w:val="auto"/>
              </w:rPr>
            </w:pPr>
            <w:r>
              <w:rPr>
                <w:rFonts w:ascii="Arial" w:cs="Arial" w:eastAsia="Arial" w:hAnsi="Arial"/>
                <w:sz w:val="13"/>
                <w:szCs w:val="13"/>
                <w:color w:val="auto"/>
              </w:rPr>
              <w:t>Twin Oaks</w:t>
            </w:r>
          </w:p>
        </w:tc>
        <w:tc>
          <w:tcPr>
            <w:tcW w:w="2440" w:type="dxa"/>
            <w:vAlign w:val="bottom"/>
          </w:tcPr>
          <w:p>
            <w:pPr>
              <w:ind w:left="100"/>
              <w:spacing w:after="0"/>
              <w:rPr>
                <w:sz w:val="20"/>
                <w:szCs w:val="20"/>
                <w:color w:val="auto"/>
              </w:rPr>
            </w:pPr>
            <w:r>
              <w:rPr>
                <w:rFonts w:ascii="Arial" w:cs="Arial" w:eastAsia="Arial" w:hAnsi="Arial"/>
                <w:sz w:val="13"/>
                <w:szCs w:val="13"/>
                <w:color w:val="auto"/>
              </w:rPr>
              <w:t>Twin Oaks Power Plant</w:t>
            </w:r>
          </w:p>
        </w:tc>
      </w:tr>
      <w:tr>
        <w:trPr>
          <w:trHeight w:val="432"/>
        </w:trPr>
        <w:tc>
          <w:tcPr>
            <w:tcW w:w="1760" w:type="dxa"/>
            <w:vAlign w:val="bottom"/>
          </w:tcPr>
          <w:p>
            <w:pPr>
              <w:spacing w:after="0"/>
              <w:rPr>
                <w:sz w:val="20"/>
                <w:szCs w:val="20"/>
                <w:color w:val="auto"/>
              </w:rPr>
            </w:pPr>
            <w:r>
              <w:rPr>
                <w:rFonts w:ascii="Arial" w:cs="Arial" w:eastAsia="Arial" w:hAnsi="Arial"/>
                <w:sz w:val="13"/>
                <w:szCs w:val="13"/>
                <w:color w:val="auto"/>
              </w:rPr>
              <w:t>Rockies Express</w:t>
            </w:r>
          </w:p>
        </w:tc>
        <w:tc>
          <w:tcPr>
            <w:tcW w:w="2220" w:type="dxa"/>
            <w:vAlign w:val="bottom"/>
          </w:tcPr>
          <w:p>
            <w:pPr>
              <w:ind w:left="80"/>
              <w:spacing w:after="0"/>
              <w:rPr>
                <w:sz w:val="20"/>
                <w:szCs w:val="20"/>
                <w:color w:val="auto"/>
              </w:rPr>
            </w:pPr>
            <w:r>
              <w:rPr>
                <w:rFonts w:ascii="Arial" w:cs="Arial" w:eastAsia="Arial" w:hAnsi="Arial"/>
                <w:sz w:val="13"/>
                <w:szCs w:val="13"/>
                <w:color w:val="auto"/>
              </w:rPr>
              <w:t>Rockies Express Pipeline LLC</w:t>
            </w:r>
          </w:p>
        </w:tc>
        <w:tc>
          <w:tcPr>
            <w:tcW w:w="1180" w:type="dxa"/>
            <w:vAlign w:val="bottom"/>
          </w:tcPr>
          <w:p>
            <w:pPr>
              <w:ind w:left="180"/>
              <w:spacing w:after="0"/>
              <w:rPr>
                <w:sz w:val="20"/>
                <w:szCs w:val="20"/>
                <w:color w:val="auto"/>
              </w:rPr>
            </w:pPr>
            <w:r>
              <w:rPr>
                <w:rFonts w:ascii="Arial" w:cs="Arial" w:eastAsia="Arial" w:hAnsi="Arial"/>
                <w:sz w:val="13"/>
                <w:szCs w:val="13"/>
                <w:color w:val="auto"/>
              </w:rPr>
              <w:t>USFS</w:t>
            </w:r>
          </w:p>
        </w:tc>
        <w:tc>
          <w:tcPr>
            <w:tcW w:w="2440" w:type="dxa"/>
            <w:vAlign w:val="bottom"/>
          </w:tcPr>
          <w:p>
            <w:pPr>
              <w:ind w:left="100"/>
              <w:spacing w:after="0"/>
              <w:rPr>
                <w:sz w:val="20"/>
                <w:szCs w:val="20"/>
                <w:color w:val="auto"/>
              </w:rPr>
            </w:pPr>
            <w:r>
              <w:rPr>
                <w:rFonts w:ascii="Arial" w:cs="Arial" w:eastAsia="Arial" w:hAnsi="Arial"/>
                <w:sz w:val="13"/>
                <w:szCs w:val="13"/>
                <w:color w:val="auto"/>
              </w:rPr>
              <w:t>United States Forest Service</w:t>
            </w:r>
          </w:p>
        </w:tc>
      </w:tr>
      <w:tr>
        <w:trPr>
          <w:trHeight w:val="432"/>
        </w:trPr>
        <w:tc>
          <w:tcPr>
            <w:tcW w:w="1760" w:type="dxa"/>
            <w:vAlign w:val="bottom"/>
          </w:tcPr>
          <w:p>
            <w:pPr>
              <w:spacing w:after="0"/>
              <w:rPr>
                <w:sz w:val="20"/>
                <w:szCs w:val="20"/>
                <w:color w:val="auto"/>
              </w:rPr>
            </w:pPr>
            <w:r>
              <w:rPr>
                <w:rFonts w:ascii="Arial" w:cs="Arial" w:eastAsia="Arial" w:hAnsi="Arial"/>
                <w:sz w:val="13"/>
                <w:szCs w:val="13"/>
                <w:color w:val="auto"/>
              </w:rPr>
              <w:t>ROE</w:t>
            </w:r>
          </w:p>
        </w:tc>
        <w:tc>
          <w:tcPr>
            <w:tcW w:w="2220" w:type="dxa"/>
            <w:vAlign w:val="bottom"/>
          </w:tcPr>
          <w:p>
            <w:pPr>
              <w:ind w:left="80"/>
              <w:spacing w:after="0"/>
              <w:rPr>
                <w:sz w:val="20"/>
                <w:szCs w:val="20"/>
                <w:color w:val="auto"/>
              </w:rPr>
            </w:pPr>
            <w:r>
              <w:rPr>
                <w:rFonts w:ascii="Arial" w:cs="Arial" w:eastAsia="Arial" w:hAnsi="Arial"/>
                <w:sz w:val="13"/>
                <w:szCs w:val="13"/>
                <w:color w:val="auto"/>
              </w:rPr>
              <w:t>Return on Equity</w:t>
            </w:r>
          </w:p>
        </w:tc>
        <w:tc>
          <w:tcPr>
            <w:tcW w:w="1180" w:type="dxa"/>
            <w:vAlign w:val="bottom"/>
          </w:tcPr>
          <w:p>
            <w:pPr>
              <w:ind w:left="180"/>
              <w:spacing w:after="0"/>
              <w:rPr>
                <w:sz w:val="20"/>
                <w:szCs w:val="20"/>
                <w:color w:val="auto"/>
              </w:rPr>
            </w:pPr>
            <w:r>
              <w:rPr>
                <w:rFonts w:ascii="Arial" w:cs="Arial" w:eastAsia="Arial" w:hAnsi="Arial"/>
                <w:sz w:val="13"/>
                <w:szCs w:val="13"/>
                <w:color w:val="auto"/>
              </w:rPr>
              <w:t>VaR</w:t>
            </w:r>
          </w:p>
        </w:tc>
        <w:tc>
          <w:tcPr>
            <w:tcW w:w="2440" w:type="dxa"/>
            <w:vAlign w:val="bottom"/>
          </w:tcPr>
          <w:p>
            <w:pPr>
              <w:ind w:left="100"/>
              <w:spacing w:after="0"/>
              <w:rPr>
                <w:sz w:val="20"/>
                <w:szCs w:val="20"/>
                <w:color w:val="auto"/>
              </w:rPr>
            </w:pPr>
            <w:r>
              <w:rPr>
                <w:rFonts w:ascii="Arial" w:cs="Arial" w:eastAsia="Arial" w:hAnsi="Arial"/>
                <w:sz w:val="13"/>
                <w:szCs w:val="13"/>
                <w:color w:val="auto"/>
              </w:rPr>
              <w:t>Value at Risk</w:t>
            </w:r>
          </w:p>
        </w:tc>
      </w:tr>
      <w:tr>
        <w:trPr>
          <w:trHeight w:val="432"/>
        </w:trPr>
        <w:tc>
          <w:tcPr>
            <w:tcW w:w="1760" w:type="dxa"/>
            <w:vAlign w:val="bottom"/>
          </w:tcPr>
          <w:p>
            <w:pPr>
              <w:spacing w:after="0"/>
              <w:rPr>
                <w:sz w:val="20"/>
                <w:szCs w:val="20"/>
                <w:color w:val="auto"/>
              </w:rPr>
            </w:pPr>
            <w:r>
              <w:rPr>
                <w:rFonts w:ascii="Arial" w:cs="Arial" w:eastAsia="Arial" w:hAnsi="Arial"/>
                <w:sz w:val="13"/>
                <w:szCs w:val="13"/>
                <w:color w:val="auto"/>
              </w:rPr>
              <w:t>ROR</w:t>
            </w:r>
          </w:p>
        </w:tc>
        <w:tc>
          <w:tcPr>
            <w:tcW w:w="2220" w:type="dxa"/>
            <w:vAlign w:val="bottom"/>
          </w:tcPr>
          <w:p>
            <w:pPr>
              <w:ind w:left="80"/>
              <w:spacing w:after="0"/>
              <w:rPr>
                <w:sz w:val="20"/>
                <w:szCs w:val="20"/>
                <w:color w:val="auto"/>
              </w:rPr>
            </w:pPr>
            <w:r>
              <w:rPr>
                <w:rFonts w:ascii="Arial" w:cs="Arial" w:eastAsia="Arial" w:hAnsi="Arial"/>
                <w:sz w:val="13"/>
                <w:szCs w:val="13"/>
                <w:color w:val="auto"/>
              </w:rPr>
              <w:t>Return on Rate Base</w:t>
            </w:r>
          </w:p>
        </w:tc>
        <w:tc>
          <w:tcPr>
            <w:tcW w:w="1180" w:type="dxa"/>
            <w:vAlign w:val="bottom"/>
          </w:tcPr>
          <w:p>
            <w:pPr>
              <w:ind w:left="180"/>
              <w:spacing w:after="0"/>
              <w:rPr>
                <w:sz w:val="20"/>
                <w:szCs w:val="20"/>
                <w:color w:val="auto"/>
              </w:rPr>
            </w:pPr>
            <w:r>
              <w:rPr>
                <w:rFonts w:ascii="Arial" w:cs="Arial" w:eastAsia="Arial" w:hAnsi="Arial"/>
                <w:sz w:val="13"/>
                <w:szCs w:val="13"/>
                <w:color w:val="auto"/>
              </w:rPr>
              <w:t>VIE</w:t>
            </w:r>
          </w:p>
        </w:tc>
        <w:tc>
          <w:tcPr>
            <w:tcW w:w="2440" w:type="dxa"/>
            <w:vAlign w:val="bottom"/>
          </w:tcPr>
          <w:p>
            <w:pPr>
              <w:ind w:left="100"/>
              <w:spacing w:after="0"/>
              <w:rPr>
                <w:sz w:val="20"/>
                <w:szCs w:val="20"/>
                <w:color w:val="auto"/>
              </w:rPr>
            </w:pPr>
            <w:r>
              <w:rPr>
                <w:rFonts w:ascii="Arial" w:cs="Arial" w:eastAsia="Arial" w:hAnsi="Arial"/>
                <w:sz w:val="13"/>
                <w:szCs w:val="13"/>
                <w:color w:val="auto"/>
              </w:rPr>
              <w:t>Variable Interest Entity</w:t>
            </w:r>
          </w:p>
        </w:tc>
      </w:tr>
      <w:tr>
        <w:trPr>
          <w:trHeight w:val="74"/>
        </w:trPr>
        <w:tc>
          <w:tcPr>
            <w:tcW w:w="1760" w:type="dxa"/>
            <w:vAlign w:val="bottom"/>
            <w:tcBorders>
              <w:bottom w:val="single" w:sz="8" w:color="DFDFDF"/>
            </w:tcBorders>
          </w:tcPr>
          <w:p>
            <w:pPr>
              <w:spacing w:after="0"/>
              <w:rPr>
                <w:sz w:val="6"/>
                <w:szCs w:val="6"/>
                <w:color w:val="auto"/>
              </w:rPr>
            </w:pPr>
          </w:p>
        </w:tc>
        <w:tc>
          <w:tcPr>
            <w:tcW w:w="2220" w:type="dxa"/>
            <w:vAlign w:val="bottom"/>
            <w:tcBorders>
              <w:bottom w:val="single" w:sz="8" w:color="DFDFDF"/>
            </w:tcBorders>
          </w:tcPr>
          <w:p>
            <w:pPr>
              <w:spacing w:after="0"/>
              <w:rPr>
                <w:sz w:val="6"/>
                <w:szCs w:val="6"/>
                <w:color w:val="auto"/>
              </w:rPr>
            </w:pPr>
          </w:p>
        </w:tc>
        <w:tc>
          <w:tcPr>
            <w:tcW w:w="1180" w:type="dxa"/>
            <w:vAlign w:val="bottom"/>
            <w:tcBorders>
              <w:bottom w:val="single" w:sz="8" w:color="DFDFDF"/>
            </w:tcBorders>
          </w:tcPr>
          <w:p>
            <w:pPr>
              <w:spacing w:after="0"/>
              <w:rPr>
                <w:sz w:val="6"/>
                <w:szCs w:val="6"/>
                <w:color w:val="auto"/>
              </w:rPr>
            </w:pPr>
          </w:p>
        </w:tc>
        <w:tc>
          <w:tcPr>
            <w:tcW w:w="2440" w:type="dxa"/>
            <w:vAlign w:val="bottom"/>
            <w:tcBorders>
              <w:bottom w:val="single" w:sz="8" w:color="DFDFDF"/>
            </w:tcBorders>
          </w:tcPr>
          <w:p>
            <w:pPr>
              <w:spacing w:after="0"/>
              <w:rPr>
                <w:sz w:val="6"/>
                <w:szCs w:val="6"/>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14"/>
          <w:szCs w:val="14"/>
          <w:color w:val="auto"/>
        </w:rPr>
        <w:t>191</w:t>
      </w:r>
    </w:p>
    <w:p>
      <w:pPr>
        <w:sectPr>
          <w:pgSz w:w="11900" w:h="16838" w:orient="portrait"/>
          <w:cols w:equalWidth="0" w:num="1">
            <w:col w:w="10219"/>
          </w:cols>
          <w:pgMar w:left="240" w:top="748" w:right="1440" w:bottom="1440" w:gutter="0" w:footer="0" w:header="0"/>
        </w:sectPr>
      </w:pPr>
    </w:p>
    <w:bookmarkStart w:id="331" w:name="page332"/>
    <w:bookmarkEnd w:id="331"/>
    <w:p>
      <w:pPr>
        <w:jc w:val="center"/>
        <w:spacing w:after="0"/>
        <w:rPr>
          <w:sz w:val="20"/>
          <w:szCs w:val="20"/>
          <w:color w:val="auto"/>
        </w:rPr>
      </w:pPr>
      <w:r>
        <w:rPr>
          <w:rFonts w:ascii="Arial" w:cs="Arial" w:eastAsia="Arial" w:hAnsi="Arial"/>
          <w:sz w:val="16"/>
          <w:szCs w:val="16"/>
          <w:b w:val="1"/>
          <w:bCs w:val="1"/>
          <w:color w:val="auto"/>
        </w:rPr>
        <w:t>Exhibit 21.1</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Sempra Energy</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Schedule of Significant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at December 31, 2008</w:t>
      </w:r>
    </w:p>
    <w:p>
      <w:pPr>
        <w:spacing w:after="0" w:line="220" w:lineRule="exact"/>
        <w:rPr>
          <w:sz w:val="20"/>
          <w:szCs w:val="20"/>
          <w:color w:val="auto"/>
        </w:rPr>
      </w:pPr>
    </w:p>
    <w:tbl>
      <w:tblPr>
        <w:tblLayout w:type="fixed"/>
        <w:tblInd w:w="1640" w:type="dxa"/>
        <w:tblCellMar>
          <w:top w:w="0" w:type="dxa"/>
          <w:left w:w="0" w:type="dxa"/>
          <w:bottom w:w="0" w:type="dxa"/>
          <w:right w:w="0" w:type="dxa"/>
        </w:tblCellMar>
      </w:tblPr>
      <w:tr>
        <w:trPr>
          <w:trHeight w:val="168"/>
        </w:trPr>
        <w:tc>
          <w:tcPr>
            <w:tcW w:w="2920" w:type="dxa"/>
            <w:vAlign w:val="bottom"/>
          </w:tcPr>
          <w:p>
            <w:pPr>
              <w:spacing w:after="0"/>
              <w:rPr>
                <w:sz w:val="14"/>
                <w:szCs w:val="14"/>
                <w:color w:val="auto"/>
              </w:rPr>
            </w:pPr>
          </w:p>
        </w:tc>
        <w:tc>
          <w:tcPr>
            <w:tcW w:w="2840" w:type="dxa"/>
            <w:vAlign w:val="bottom"/>
          </w:tcPr>
          <w:p>
            <w:pPr>
              <w:ind w:left="660"/>
              <w:spacing w:after="0"/>
              <w:rPr>
                <w:sz w:val="20"/>
                <w:szCs w:val="20"/>
                <w:color w:val="auto"/>
              </w:rPr>
            </w:pPr>
            <w:r>
              <w:rPr>
                <w:rFonts w:ascii="Arial" w:cs="Arial" w:eastAsia="Arial" w:hAnsi="Arial"/>
                <w:sz w:val="14"/>
                <w:szCs w:val="14"/>
                <w:b w:val="1"/>
                <w:bCs w:val="1"/>
                <w:color w:val="auto"/>
              </w:rPr>
              <w:t>State of Incorporation or Other</w:t>
            </w:r>
          </w:p>
        </w:tc>
      </w:tr>
      <w:tr>
        <w:trPr>
          <w:trHeight w:val="193"/>
        </w:trPr>
        <w:tc>
          <w:tcPr>
            <w:tcW w:w="29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Subsidiary</w:t>
            </w:r>
          </w:p>
        </w:tc>
        <w:tc>
          <w:tcPr>
            <w:tcW w:w="2840" w:type="dxa"/>
            <w:vAlign w:val="bottom"/>
            <w:tcBorders>
              <w:bottom w:val="single" w:sz="8" w:color="auto"/>
            </w:tcBorders>
          </w:tcPr>
          <w:p>
            <w:pPr>
              <w:ind w:left="660"/>
              <w:spacing w:after="0"/>
              <w:rPr>
                <w:sz w:val="20"/>
                <w:szCs w:val="20"/>
                <w:color w:val="auto"/>
              </w:rPr>
            </w:pPr>
            <w:r>
              <w:rPr>
                <w:rFonts w:ascii="Arial" w:cs="Arial" w:eastAsia="Arial" w:hAnsi="Arial"/>
                <w:sz w:val="14"/>
                <w:szCs w:val="14"/>
                <w:b w:val="1"/>
                <w:bCs w:val="1"/>
                <w:color w:val="auto"/>
              </w:rPr>
              <w:t>Jurisdiction</w:t>
            </w:r>
          </w:p>
        </w:tc>
      </w:tr>
      <w:tr>
        <w:trPr>
          <w:trHeight w:val="181"/>
        </w:trPr>
        <w:tc>
          <w:tcPr>
            <w:tcW w:w="2920" w:type="dxa"/>
            <w:vAlign w:val="bottom"/>
          </w:tcPr>
          <w:p>
            <w:pPr>
              <w:spacing w:after="0"/>
              <w:rPr>
                <w:sz w:val="20"/>
                <w:szCs w:val="20"/>
                <w:color w:val="auto"/>
              </w:rPr>
            </w:pPr>
            <w:r>
              <w:rPr>
                <w:rFonts w:ascii="Arial" w:cs="Arial" w:eastAsia="Arial" w:hAnsi="Arial"/>
                <w:sz w:val="14"/>
                <w:szCs w:val="14"/>
                <w:color w:val="auto"/>
              </w:rPr>
              <w:t>Enova Corporation</w:t>
            </w:r>
          </w:p>
        </w:tc>
        <w:tc>
          <w:tcPr>
            <w:tcW w:w="2840" w:type="dxa"/>
            <w:vAlign w:val="bottom"/>
          </w:tcPr>
          <w:p>
            <w:pPr>
              <w:ind w:left="660"/>
              <w:spacing w:after="0"/>
              <w:rPr>
                <w:sz w:val="20"/>
                <w:szCs w:val="20"/>
                <w:color w:val="auto"/>
              </w:rPr>
            </w:pPr>
            <w:r>
              <w:rPr>
                <w:rFonts w:ascii="Arial" w:cs="Arial" w:eastAsia="Arial" w:hAnsi="Arial"/>
                <w:sz w:val="14"/>
                <w:szCs w:val="14"/>
                <w:color w:val="auto"/>
              </w:rPr>
              <w:t>California</w:t>
            </w:r>
          </w:p>
        </w:tc>
      </w:tr>
      <w:tr>
        <w:trPr>
          <w:trHeight w:val="192"/>
        </w:trPr>
        <w:tc>
          <w:tcPr>
            <w:tcW w:w="2920" w:type="dxa"/>
            <w:vAlign w:val="bottom"/>
          </w:tcPr>
          <w:p>
            <w:pPr>
              <w:spacing w:after="0"/>
              <w:rPr>
                <w:sz w:val="20"/>
                <w:szCs w:val="20"/>
                <w:color w:val="auto"/>
              </w:rPr>
            </w:pPr>
            <w:r>
              <w:rPr>
                <w:rFonts w:ascii="Arial" w:cs="Arial" w:eastAsia="Arial" w:hAnsi="Arial"/>
                <w:sz w:val="14"/>
                <w:szCs w:val="14"/>
                <w:color w:val="auto"/>
              </w:rPr>
              <w:t>Pacific Enterprises</w:t>
            </w:r>
          </w:p>
        </w:tc>
        <w:tc>
          <w:tcPr>
            <w:tcW w:w="2840" w:type="dxa"/>
            <w:vAlign w:val="bottom"/>
          </w:tcPr>
          <w:p>
            <w:pPr>
              <w:ind w:left="660"/>
              <w:spacing w:after="0"/>
              <w:rPr>
                <w:sz w:val="20"/>
                <w:szCs w:val="20"/>
                <w:color w:val="auto"/>
              </w:rPr>
            </w:pPr>
            <w:r>
              <w:rPr>
                <w:rFonts w:ascii="Arial" w:cs="Arial" w:eastAsia="Arial" w:hAnsi="Arial"/>
                <w:sz w:val="14"/>
                <w:szCs w:val="14"/>
                <w:color w:val="auto"/>
              </w:rPr>
              <w:t>California</w:t>
            </w:r>
          </w:p>
        </w:tc>
      </w:tr>
      <w:tr>
        <w:trPr>
          <w:trHeight w:val="192"/>
        </w:trPr>
        <w:tc>
          <w:tcPr>
            <w:tcW w:w="2920" w:type="dxa"/>
            <w:vAlign w:val="bottom"/>
          </w:tcPr>
          <w:p>
            <w:pPr>
              <w:spacing w:after="0"/>
              <w:rPr>
                <w:sz w:val="20"/>
                <w:szCs w:val="20"/>
                <w:color w:val="auto"/>
              </w:rPr>
            </w:pPr>
            <w:r>
              <w:rPr>
                <w:rFonts w:ascii="Arial" w:cs="Arial" w:eastAsia="Arial" w:hAnsi="Arial"/>
                <w:sz w:val="14"/>
                <w:szCs w:val="14"/>
                <w:color w:val="auto"/>
              </w:rPr>
              <w:t>Pacific Enterprises International</w:t>
            </w:r>
          </w:p>
        </w:tc>
        <w:tc>
          <w:tcPr>
            <w:tcW w:w="2840" w:type="dxa"/>
            <w:vAlign w:val="bottom"/>
          </w:tcPr>
          <w:p>
            <w:pPr>
              <w:ind w:left="660"/>
              <w:spacing w:after="0"/>
              <w:rPr>
                <w:sz w:val="20"/>
                <w:szCs w:val="20"/>
                <w:color w:val="auto"/>
              </w:rPr>
            </w:pPr>
            <w:r>
              <w:rPr>
                <w:rFonts w:ascii="Arial" w:cs="Arial" w:eastAsia="Arial" w:hAnsi="Arial"/>
                <w:sz w:val="14"/>
                <w:szCs w:val="14"/>
                <w:color w:val="auto"/>
              </w:rPr>
              <w:t>California</w:t>
            </w:r>
          </w:p>
        </w:tc>
      </w:tr>
      <w:tr>
        <w:trPr>
          <w:trHeight w:val="192"/>
        </w:trPr>
        <w:tc>
          <w:tcPr>
            <w:tcW w:w="2920" w:type="dxa"/>
            <w:vAlign w:val="bottom"/>
          </w:tcPr>
          <w:p>
            <w:pPr>
              <w:spacing w:after="0"/>
              <w:rPr>
                <w:sz w:val="20"/>
                <w:szCs w:val="20"/>
                <w:color w:val="auto"/>
              </w:rPr>
            </w:pPr>
            <w:r>
              <w:rPr>
                <w:rFonts w:ascii="Arial" w:cs="Arial" w:eastAsia="Arial" w:hAnsi="Arial"/>
                <w:sz w:val="14"/>
                <w:szCs w:val="14"/>
                <w:color w:val="auto"/>
              </w:rPr>
              <w:t>San Diego Gas &amp; Electric Company</w:t>
            </w:r>
          </w:p>
        </w:tc>
        <w:tc>
          <w:tcPr>
            <w:tcW w:w="2840" w:type="dxa"/>
            <w:vAlign w:val="bottom"/>
          </w:tcPr>
          <w:p>
            <w:pPr>
              <w:ind w:left="660"/>
              <w:spacing w:after="0"/>
              <w:rPr>
                <w:sz w:val="20"/>
                <w:szCs w:val="20"/>
                <w:color w:val="auto"/>
              </w:rPr>
            </w:pPr>
            <w:r>
              <w:rPr>
                <w:rFonts w:ascii="Arial" w:cs="Arial" w:eastAsia="Arial" w:hAnsi="Arial"/>
                <w:sz w:val="14"/>
                <w:szCs w:val="14"/>
                <w:color w:val="auto"/>
              </w:rPr>
              <w:t>California</w:t>
            </w:r>
          </w:p>
        </w:tc>
      </w:tr>
      <w:tr>
        <w:trPr>
          <w:trHeight w:val="192"/>
        </w:trPr>
        <w:tc>
          <w:tcPr>
            <w:tcW w:w="2920" w:type="dxa"/>
            <w:vAlign w:val="bottom"/>
          </w:tcPr>
          <w:p>
            <w:pPr>
              <w:spacing w:after="0"/>
              <w:rPr>
                <w:sz w:val="20"/>
                <w:szCs w:val="20"/>
                <w:color w:val="auto"/>
              </w:rPr>
            </w:pPr>
            <w:r>
              <w:rPr>
                <w:rFonts w:ascii="Arial" w:cs="Arial" w:eastAsia="Arial" w:hAnsi="Arial"/>
                <w:sz w:val="14"/>
                <w:szCs w:val="14"/>
                <w:color w:val="auto"/>
              </w:rPr>
              <w:t>Sempra Commodities, Inc.</w:t>
            </w:r>
          </w:p>
        </w:tc>
        <w:tc>
          <w:tcPr>
            <w:tcW w:w="2840" w:type="dxa"/>
            <w:vAlign w:val="bottom"/>
          </w:tcPr>
          <w:p>
            <w:pPr>
              <w:ind w:left="660"/>
              <w:spacing w:after="0"/>
              <w:rPr>
                <w:sz w:val="20"/>
                <w:szCs w:val="20"/>
                <w:color w:val="auto"/>
              </w:rPr>
            </w:pPr>
            <w:r>
              <w:rPr>
                <w:rFonts w:ascii="Arial" w:cs="Arial" w:eastAsia="Arial" w:hAnsi="Arial"/>
                <w:sz w:val="14"/>
                <w:szCs w:val="14"/>
                <w:color w:val="auto"/>
              </w:rPr>
              <w:t>Delaware</w:t>
            </w:r>
          </w:p>
        </w:tc>
      </w:tr>
      <w:tr>
        <w:trPr>
          <w:trHeight w:val="192"/>
        </w:trPr>
        <w:tc>
          <w:tcPr>
            <w:tcW w:w="2920" w:type="dxa"/>
            <w:vAlign w:val="bottom"/>
          </w:tcPr>
          <w:p>
            <w:pPr>
              <w:spacing w:after="0"/>
              <w:rPr>
                <w:sz w:val="20"/>
                <w:szCs w:val="20"/>
                <w:color w:val="auto"/>
              </w:rPr>
            </w:pPr>
            <w:r>
              <w:rPr>
                <w:rFonts w:ascii="Arial" w:cs="Arial" w:eastAsia="Arial" w:hAnsi="Arial"/>
                <w:sz w:val="14"/>
                <w:szCs w:val="14"/>
                <w:color w:val="auto"/>
              </w:rPr>
              <w:t>Sempra Energy International</w:t>
            </w:r>
          </w:p>
        </w:tc>
        <w:tc>
          <w:tcPr>
            <w:tcW w:w="2840" w:type="dxa"/>
            <w:vAlign w:val="bottom"/>
          </w:tcPr>
          <w:p>
            <w:pPr>
              <w:ind w:left="660"/>
              <w:spacing w:after="0"/>
              <w:rPr>
                <w:sz w:val="20"/>
                <w:szCs w:val="20"/>
                <w:color w:val="auto"/>
              </w:rPr>
            </w:pPr>
            <w:r>
              <w:rPr>
                <w:rFonts w:ascii="Arial" w:cs="Arial" w:eastAsia="Arial" w:hAnsi="Arial"/>
                <w:sz w:val="14"/>
                <w:szCs w:val="14"/>
                <w:color w:val="auto"/>
              </w:rPr>
              <w:t>California</w:t>
            </w:r>
          </w:p>
        </w:tc>
      </w:tr>
      <w:tr>
        <w:trPr>
          <w:trHeight w:val="192"/>
        </w:trPr>
        <w:tc>
          <w:tcPr>
            <w:tcW w:w="2920" w:type="dxa"/>
            <w:vAlign w:val="bottom"/>
          </w:tcPr>
          <w:p>
            <w:pPr>
              <w:spacing w:after="0"/>
              <w:rPr>
                <w:sz w:val="20"/>
                <w:szCs w:val="20"/>
                <w:color w:val="auto"/>
              </w:rPr>
            </w:pPr>
            <w:r>
              <w:rPr>
                <w:rFonts w:ascii="Arial" w:cs="Arial" w:eastAsia="Arial" w:hAnsi="Arial"/>
                <w:sz w:val="14"/>
                <w:szCs w:val="14"/>
                <w:color w:val="auto"/>
              </w:rPr>
              <w:t>Sempra Generation</w:t>
            </w:r>
          </w:p>
        </w:tc>
        <w:tc>
          <w:tcPr>
            <w:tcW w:w="2840" w:type="dxa"/>
            <w:vAlign w:val="bottom"/>
          </w:tcPr>
          <w:p>
            <w:pPr>
              <w:ind w:left="660"/>
              <w:spacing w:after="0"/>
              <w:rPr>
                <w:sz w:val="20"/>
                <w:szCs w:val="20"/>
                <w:color w:val="auto"/>
              </w:rPr>
            </w:pPr>
            <w:r>
              <w:rPr>
                <w:rFonts w:ascii="Arial" w:cs="Arial" w:eastAsia="Arial" w:hAnsi="Arial"/>
                <w:sz w:val="14"/>
                <w:szCs w:val="14"/>
                <w:color w:val="auto"/>
              </w:rPr>
              <w:t>California</w:t>
            </w:r>
          </w:p>
        </w:tc>
      </w:tr>
      <w:tr>
        <w:trPr>
          <w:trHeight w:val="192"/>
        </w:trPr>
        <w:tc>
          <w:tcPr>
            <w:tcW w:w="2920" w:type="dxa"/>
            <w:vAlign w:val="bottom"/>
          </w:tcPr>
          <w:p>
            <w:pPr>
              <w:spacing w:after="0"/>
              <w:rPr>
                <w:sz w:val="20"/>
                <w:szCs w:val="20"/>
                <w:color w:val="auto"/>
              </w:rPr>
            </w:pPr>
            <w:r>
              <w:rPr>
                <w:rFonts w:ascii="Arial" w:cs="Arial" w:eastAsia="Arial" w:hAnsi="Arial"/>
                <w:sz w:val="14"/>
                <w:szCs w:val="14"/>
                <w:color w:val="auto"/>
              </w:rPr>
              <w:t>Sempra Global</w:t>
            </w:r>
          </w:p>
        </w:tc>
        <w:tc>
          <w:tcPr>
            <w:tcW w:w="2840" w:type="dxa"/>
            <w:vAlign w:val="bottom"/>
          </w:tcPr>
          <w:p>
            <w:pPr>
              <w:ind w:left="660"/>
              <w:spacing w:after="0"/>
              <w:rPr>
                <w:sz w:val="20"/>
                <w:szCs w:val="20"/>
                <w:color w:val="auto"/>
              </w:rPr>
            </w:pPr>
            <w:r>
              <w:rPr>
                <w:rFonts w:ascii="Arial" w:cs="Arial" w:eastAsia="Arial" w:hAnsi="Arial"/>
                <w:sz w:val="14"/>
                <w:szCs w:val="14"/>
                <w:color w:val="auto"/>
              </w:rPr>
              <w:t>California</w:t>
            </w:r>
          </w:p>
        </w:tc>
      </w:tr>
      <w:tr>
        <w:trPr>
          <w:trHeight w:val="192"/>
        </w:trPr>
        <w:tc>
          <w:tcPr>
            <w:tcW w:w="2920" w:type="dxa"/>
            <w:vAlign w:val="bottom"/>
          </w:tcPr>
          <w:p>
            <w:pPr>
              <w:spacing w:after="0"/>
              <w:rPr>
                <w:sz w:val="20"/>
                <w:szCs w:val="20"/>
                <w:color w:val="auto"/>
              </w:rPr>
            </w:pPr>
            <w:r>
              <w:rPr>
                <w:rFonts w:ascii="Arial" w:cs="Arial" w:eastAsia="Arial" w:hAnsi="Arial"/>
                <w:sz w:val="14"/>
                <w:szCs w:val="14"/>
                <w:color w:val="auto"/>
              </w:rPr>
              <w:t>Southern California Gas Company</w:t>
            </w:r>
          </w:p>
        </w:tc>
        <w:tc>
          <w:tcPr>
            <w:tcW w:w="2840" w:type="dxa"/>
            <w:vAlign w:val="bottom"/>
          </w:tcPr>
          <w:p>
            <w:pPr>
              <w:ind w:left="660"/>
              <w:spacing w:after="0"/>
              <w:rPr>
                <w:sz w:val="20"/>
                <w:szCs w:val="20"/>
                <w:color w:val="auto"/>
              </w:rPr>
            </w:pPr>
            <w:r>
              <w:rPr>
                <w:rFonts w:ascii="Arial" w:cs="Arial" w:eastAsia="Arial" w:hAnsi="Arial"/>
                <w:sz w:val="14"/>
                <w:szCs w:val="14"/>
                <w:color w:val="auto"/>
              </w:rPr>
              <w:t>California</w:t>
            </w:r>
          </w:p>
        </w:tc>
      </w:tr>
    </w:tbl>
    <w:p>
      <w:pPr>
        <w:sectPr>
          <w:pgSz w:w="11900" w:h="16838" w:orient="portrait"/>
          <w:cols w:equalWidth="0" w:num="1">
            <w:col w:w="9019"/>
          </w:cols>
          <w:pgMar w:left="1440" w:top="123" w:right="1440" w:bottom="1440" w:gutter="0" w:footer="0" w:header="0"/>
        </w:sectPr>
      </w:pPr>
    </w:p>
    <w:bookmarkStart w:id="332" w:name="page333"/>
    <w:bookmarkEnd w:id="332"/>
    <w:p>
      <w:pPr>
        <w:jc w:val="center"/>
        <w:spacing w:after="0"/>
        <w:rPr>
          <w:sz w:val="20"/>
          <w:szCs w:val="20"/>
          <w:color w:val="auto"/>
        </w:rPr>
      </w:pPr>
      <w:r>
        <w:rPr>
          <w:rFonts w:ascii="Arial" w:cs="Arial" w:eastAsia="Arial" w:hAnsi="Arial"/>
          <w:sz w:val="16"/>
          <w:szCs w:val="16"/>
          <w:b w:val="1"/>
          <w:bCs w:val="1"/>
          <w:color w:val="auto"/>
        </w:rPr>
        <w:t>Exhibit 21.2</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Pacific Enterprises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Schedule of Significant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at December 31, 2008</w:t>
      </w:r>
    </w:p>
    <w:p>
      <w:pPr>
        <w:spacing w:after="0" w:line="220" w:lineRule="exact"/>
        <w:rPr>
          <w:sz w:val="20"/>
          <w:szCs w:val="20"/>
          <w:color w:val="auto"/>
        </w:rPr>
      </w:pPr>
    </w:p>
    <w:tbl>
      <w:tblPr>
        <w:tblLayout w:type="fixed"/>
        <w:tblInd w:w="1640" w:type="dxa"/>
        <w:tblCellMar>
          <w:top w:w="0" w:type="dxa"/>
          <w:left w:w="0" w:type="dxa"/>
          <w:bottom w:w="0" w:type="dxa"/>
          <w:right w:w="0" w:type="dxa"/>
        </w:tblCellMar>
      </w:tblPr>
      <w:tr>
        <w:trPr>
          <w:trHeight w:val="168"/>
        </w:trPr>
        <w:tc>
          <w:tcPr>
            <w:tcW w:w="2880" w:type="dxa"/>
            <w:vAlign w:val="bottom"/>
          </w:tcPr>
          <w:p>
            <w:pPr>
              <w:spacing w:after="0"/>
              <w:rPr>
                <w:sz w:val="14"/>
                <w:szCs w:val="14"/>
                <w:color w:val="auto"/>
              </w:rPr>
            </w:pPr>
          </w:p>
        </w:tc>
        <w:tc>
          <w:tcPr>
            <w:tcW w:w="2880" w:type="dxa"/>
            <w:vAlign w:val="bottom"/>
          </w:tcPr>
          <w:p>
            <w:pPr>
              <w:ind w:left="700"/>
              <w:spacing w:after="0"/>
              <w:rPr>
                <w:sz w:val="20"/>
                <w:szCs w:val="20"/>
                <w:color w:val="auto"/>
              </w:rPr>
            </w:pPr>
            <w:r>
              <w:rPr>
                <w:rFonts w:ascii="Arial" w:cs="Arial" w:eastAsia="Arial" w:hAnsi="Arial"/>
                <w:sz w:val="14"/>
                <w:szCs w:val="14"/>
                <w:b w:val="1"/>
                <w:bCs w:val="1"/>
                <w:color w:val="auto"/>
              </w:rPr>
              <w:t>State of Incorporation or Other</w:t>
            </w:r>
          </w:p>
        </w:tc>
      </w:tr>
      <w:tr>
        <w:trPr>
          <w:trHeight w:val="193"/>
        </w:trPr>
        <w:tc>
          <w:tcPr>
            <w:tcW w:w="28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Subsidiary</w:t>
            </w:r>
          </w:p>
        </w:tc>
        <w:tc>
          <w:tcPr>
            <w:tcW w:w="2880" w:type="dxa"/>
            <w:vAlign w:val="bottom"/>
            <w:tcBorders>
              <w:bottom w:val="single" w:sz="8" w:color="auto"/>
            </w:tcBorders>
          </w:tcPr>
          <w:p>
            <w:pPr>
              <w:ind w:left="700"/>
              <w:spacing w:after="0"/>
              <w:rPr>
                <w:sz w:val="20"/>
                <w:szCs w:val="20"/>
                <w:color w:val="auto"/>
              </w:rPr>
            </w:pPr>
            <w:r>
              <w:rPr>
                <w:rFonts w:ascii="Arial" w:cs="Arial" w:eastAsia="Arial" w:hAnsi="Arial"/>
                <w:sz w:val="14"/>
                <w:szCs w:val="14"/>
                <w:b w:val="1"/>
                <w:bCs w:val="1"/>
                <w:color w:val="auto"/>
              </w:rPr>
              <w:t>Jurisdiction</w:t>
            </w:r>
          </w:p>
        </w:tc>
      </w:tr>
      <w:tr>
        <w:trPr>
          <w:trHeight w:val="181"/>
        </w:trPr>
        <w:tc>
          <w:tcPr>
            <w:tcW w:w="2880" w:type="dxa"/>
            <w:vAlign w:val="bottom"/>
          </w:tcPr>
          <w:p>
            <w:pPr>
              <w:spacing w:after="0"/>
              <w:rPr>
                <w:sz w:val="20"/>
                <w:szCs w:val="20"/>
                <w:color w:val="auto"/>
              </w:rPr>
            </w:pPr>
            <w:r>
              <w:rPr>
                <w:rFonts w:ascii="Arial" w:cs="Arial" w:eastAsia="Arial" w:hAnsi="Arial"/>
                <w:sz w:val="14"/>
                <w:szCs w:val="14"/>
                <w:color w:val="auto"/>
              </w:rPr>
              <w:t>Southern California Gas Company</w:t>
            </w:r>
          </w:p>
        </w:tc>
        <w:tc>
          <w:tcPr>
            <w:tcW w:w="2880" w:type="dxa"/>
            <w:vAlign w:val="bottom"/>
          </w:tcPr>
          <w:p>
            <w:pPr>
              <w:ind w:left="700"/>
              <w:spacing w:after="0"/>
              <w:rPr>
                <w:sz w:val="20"/>
                <w:szCs w:val="20"/>
                <w:color w:val="auto"/>
              </w:rPr>
            </w:pPr>
            <w:r>
              <w:rPr>
                <w:rFonts w:ascii="Arial" w:cs="Arial" w:eastAsia="Arial" w:hAnsi="Arial"/>
                <w:sz w:val="14"/>
                <w:szCs w:val="14"/>
                <w:color w:val="auto"/>
              </w:rPr>
              <w:t>California</w:t>
            </w:r>
          </w:p>
        </w:tc>
      </w:tr>
    </w:tbl>
    <w:p>
      <w:pPr>
        <w:sectPr>
          <w:pgSz w:w="11900" w:h="16838" w:orient="portrait"/>
          <w:cols w:equalWidth="0" w:num="1">
            <w:col w:w="9019"/>
          </w:cols>
          <w:pgMar w:left="1440" w:top="123" w:right="1440" w:bottom="1440" w:gutter="0" w:footer="0" w:header="0"/>
        </w:sectPr>
      </w:pPr>
    </w:p>
    <w:bookmarkStart w:id="333" w:name="page334"/>
    <w:bookmarkEnd w:id="333"/>
    <w:p>
      <w:pPr>
        <w:jc w:val="right"/>
        <w:spacing w:after="0"/>
        <w:rPr>
          <w:sz w:val="20"/>
          <w:szCs w:val="20"/>
          <w:color w:val="auto"/>
        </w:rPr>
      </w:pPr>
      <w:r>
        <w:rPr>
          <w:rFonts w:ascii="Arial" w:cs="Arial" w:eastAsia="Arial" w:hAnsi="Arial"/>
          <w:sz w:val="16"/>
          <w:szCs w:val="16"/>
          <w:color w:val="auto"/>
        </w:rPr>
        <w:t>EXHIBIT 31.1</w:t>
      </w:r>
    </w:p>
    <w:p>
      <w:pPr>
        <w:spacing w:after="0" w:line="21"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CERTIFICATION</w:t>
      </w:r>
    </w:p>
    <w:p>
      <w:pPr>
        <w:spacing w:after="0" w:line="188" w:lineRule="exact"/>
        <w:rPr>
          <w:sz w:val="20"/>
          <w:szCs w:val="20"/>
          <w:color w:val="auto"/>
        </w:rPr>
      </w:pPr>
    </w:p>
    <w:p>
      <w:pPr>
        <w:ind w:left="4"/>
        <w:spacing w:after="0"/>
        <w:rPr>
          <w:sz w:val="20"/>
          <w:szCs w:val="20"/>
          <w:color w:val="auto"/>
        </w:rPr>
      </w:pPr>
      <w:r>
        <w:rPr>
          <w:rFonts w:ascii="Arial" w:cs="Arial" w:eastAsia="Arial" w:hAnsi="Arial"/>
          <w:sz w:val="16"/>
          <w:szCs w:val="16"/>
          <w:color w:val="auto"/>
        </w:rPr>
        <w:t>I, Donald E. Felsinger, certify that:</w:t>
      </w:r>
    </w:p>
    <w:p>
      <w:pPr>
        <w:spacing w:after="0" w:line="200" w:lineRule="exact"/>
        <w:rPr>
          <w:sz w:val="20"/>
          <w:szCs w:val="20"/>
          <w:color w:val="auto"/>
        </w:rPr>
      </w:pPr>
    </w:p>
    <w:p>
      <w:pPr>
        <w:ind w:left="284" w:hanging="284"/>
        <w:spacing w:after="0"/>
        <w:tabs>
          <w:tab w:leader="none" w:pos="284" w:val="left"/>
        </w:tabs>
        <w:numPr>
          <w:ilvl w:val="0"/>
          <w:numId w:val="400"/>
        </w:numPr>
        <w:rPr>
          <w:rFonts w:ascii="Arial" w:cs="Arial" w:eastAsia="Arial" w:hAnsi="Arial"/>
          <w:sz w:val="16"/>
          <w:szCs w:val="16"/>
          <w:color w:val="auto"/>
        </w:rPr>
      </w:pPr>
      <w:r>
        <w:rPr>
          <w:rFonts w:ascii="Arial" w:cs="Arial" w:eastAsia="Arial" w:hAnsi="Arial"/>
          <w:sz w:val="16"/>
          <w:szCs w:val="16"/>
          <w:color w:val="auto"/>
        </w:rPr>
        <w:t>I have reviewed this report on Form 10-K of Sempra Energy;</w:t>
      </w:r>
    </w:p>
    <w:p>
      <w:pPr>
        <w:spacing w:after="0" w:line="200" w:lineRule="exact"/>
        <w:rPr>
          <w:rFonts w:ascii="Arial" w:cs="Arial" w:eastAsia="Arial" w:hAnsi="Arial"/>
          <w:sz w:val="16"/>
          <w:szCs w:val="16"/>
          <w:color w:val="auto"/>
        </w:rPr>
      </w:pPr>
    </w:p>
    <w:p>
      <w:pPr>
        <w:ind w:left="284" w:right="20" w:hanging="284"/>
        <w:spacing w:after="0" w:line="277" w:lineRule="auto"/>
        <w:tabs>
          <w:tab w:leader="none" w:pos="284" w:val="left"/>
        </w:tabs>
        <w:numPr>
          <w:ilvl w:val="0"/>
          <w:numId w:val="40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1" w:lineRule="exact"/>
        <w:rPr>
          <w:rFonts w:ascii="Arial" w:cs="Arial" w:eastAsia="Arial" w:hAnsi="Arial"/>
          <w:sz w:val="16"/>
          <w:szCs w:val="16"/>
          <w:color w:val="auto"/>
        </w:rPr>
      </w:pPr>
    </w:p>
    <w:p>
      <w:pPr>
        <w:ind w:left="284" w:right="60" w:hanging="284"/>
        <w:spacing w:after="0" w:line="277" w:lineRule="auto"/>
        <w:tabs>
          <w:tab w:leader="none" w:pos="284" w:val="left"/>
        </w:tabs>
        <w:numPr>
          <w:ilvl w:val="0"/>
          <w:numId w:val="400"/>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1" w:lineRule="exact"/>
        <w:rPr>
          <w:rFonts w:ascii="Arial" w:cs="Arial" w:eastAsia="Arial" w:hAnsi="Arial"/>
          <w:sz w:val="16"/>
          <w:szCs w:val="16"/>
          <w:color w:val="auto"/>
        </w:rPr>
      </w:pPr>
    </w:p>
    <w:p>
      <w:pPr>
        <w:ind w:left="284" w:right="20" w:hanging="284"/>
        <w:spacing w:after="0" w:line="312" w:lineRule="auto"/>
        <w:tabs>
          <w:tab w:leader="none" w:pos="284" w:val="left"/>
        </w:tabs>
        <w:numPr>
          <w:ilvl w:val="0"/>
          <w:numId w:val="400"/>
        </w:numPr>
        <w:rPr>
          <w:rFonts w:ascii="Arial" w:cs="Arial" w:eastAsia="Arial" w:hAnsi="Arial"/>
          <w:sz w:val="15"/>
          <w:szCs w:val="15"/>
          <w:color w:val="auto"/>
        </w:rPr>
      </w:pPr>
      <w:r>
        <w:rPr>
          <w:rFonts w:ascii="Arial" w:cs="Arial" w:eastAsia="Arial" w:hAnsi="Arial"/>
          <w:sz w:val="15"/>
          <w:szCs w:val="15"/>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8" w:lineRule="exact"/>
        <w:rPr>
          <w:rFonts w:ascii="Arial" w:cs="Arial" w:eastAsia="Arial" w:hAnsi="Arial"/>
          <w:sz w:val="15"/>
          <w:szCs w:val="15"/>
          <w:color w:val="auto"/>
        </w:rPr>
      </w:pPr>
    </w:p>
    <w:p>
      <w:pPr>
        <w:jc w:val="both"/>
        <w:ind w:left="864" w:right="200" w:hanging="287"/>
        <w:spacing w:after="0" w:line="264" w:lineRule="auto"/>
        <w:tabs>
          <w:tab w:leader="none" w:pos="864" w:val="left"/>
        </w:tabs>
        <w:numPr>
          <w:ilvl w:val="1"/>
          <w:numId w:val="400"/>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1" w:lineRule="exact"/>
        <w:rPr>
          <w:rFonts w:ascii="Arial" w:cs="Arial" w:eastAsia="Arial" w:hAnsi="Arial"/>
          <w:sz w:val="16"/>
          <w:szCs w:val="16"/>
          <w:color w:val="auto"/>
        </w:rPr>
      </w:pPr>
    </w:p>
    <w:p>
      <w:pPr>
        <w:ind w:left="864" w:right="240" w:hanging="287"/>
        <w:spacing w:after="0" w:line="264" w:lineRule="auto"/>
        <w:tabs>
          <w:tab w:leader="none" w:pos="864" w:val="left"/>
        </w:tabs>
        <w:numPr>
          <w:ilvl w:val="1"/>
          <w:numId w:val="400"/>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1" w:lineRule="exact"/>
        <w:rPr>
          <w:rFonts w:ascii="Arial" w:cs="Arial" w:eastAsia="Arial" w:hAnsi="Arial"/>
          <w:sz w:val="16"/>
          <w:szCs w:val="16"/>
          <w:color w:val="auto"/>
        </w:rPr>
      </w:pPr>
    </w:p>
    <w:p>
      <w:pPr>
        <w:ind w:left="864" w:right="680" w:hanging="287"/>
        <w:spacing w:after="0" w:line="277" w:lineRule="auto"/>
        <w:tabs>
          <w:tab w:leader="none" w:pos="864" w:val="left"/>
        </w:tabs>
        <w:numPr>
          <w:ilvl w:val="1"/>
          <w:numId w:val="40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1" w:lineRule="exact"/>
        <w:rPr>
          <w:rFonts w:ascii="Arial" w:cs="Arial" w:eastAsia="Arial" w:hAnsi="Arial"/>
          <w:sz w:val="16"/>
          <w:szCs w:val="16"/>
          <w:color w:val="auto"/>
        </w:rPr>
      </w:pPr>
    </w:p>
    <w:p>
      <w:pPr>
        <w:ind w:left="864" w:right="360" w:hanging="287"/>
        <w:spacing w:after="0" w:line="264" w:lineRule="auto"/>
        <w:tabs>
          <w:tab w:leader="none" w:pos="864" w:val="left"/>
        </w:tabs>
        <w:numPr>
          <w:ilvl w:val="1"/>
          <w:numId w:val="400"/>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1" w:lineRule="exact"/>
        <w:rPr>
          <w:rFonts w:ascii="Arial" w:cs="Arial" w:eastAsia="Arial" w:hAnsi="Arial"/>
          <w:sz w:val="16"/>
          <w:szCs w:val="16"/>
          <w:color w:val="auto"/>
        </w:rPr>
      </w:pPr>
    </w:p>
    <w:p>
      <w:pPr>
        <w:ind w:left="284" w:right="200" w:hanging="284"/>
        <w:spacing w:after="0" w:line="277" w:lineRule="auto"/>
        <w:tabs>
          <w:tab w:leader="none" w:pos="284" w:val="left"/>
        </w:tabs>
        <w:numPr>
          <w:ilvl w:val="0"/>
          <w:numId w:val="400"/>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51" w:lineRule="exact"/>
        <w:rPr>
          <w:rFonts w:ascii="Arial" w:cs="Arial" w:eastAsia="Arial" w:hAnsi="Arial"/>
          <w:sz w:val="16"/>
          <w:szCs w:val="16"/>
          <w:color w:val="auto"/>
        </w:rPr>
      </w:pPr>
    </w:p>
    <w:p>
      <w:pPr>
        <w:ind w:left="864" w:right="180" w:hanging="287"/>
        <w:spacing w:after="0" w:line="277" w:lineRule="auto"/>
        <w:tabs>
          <w:tab w:leader="none" w:pos="864" w:val="left"/>
        </w:tabs>
        <w:numPr>
          <w:ilvl w:val="1"/>
          <w:numId w:val="40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1" w:lineRule="exact"/>
        <w:rPr>
          <w:rFonts w:ascii="Arial" w:cs="Arial" w:eastAsia="Arial" w:hAnsi="Arial"/>
          <w:sz w:val="16"/>
          <w:szCs w:val="16"/>
          <w:color w:val="auto"/>
        </w:rPr>
      </w:pPr>
    </w:p>
    <w:p>
      <w:pPr>
        <w:ind w:left="864" w:right="460" w:hanging="287"/>
        <w:spacing w:after="0" w:line="277" w:lineRule="auto"/>
        <w:tabs>
          <w:tab w:leader="none" w:pos="864" w:val="left"/>
        </w:tabs>
        <w:numPr>
          <w:ilvl w:val="1"/>
          <w:numId w:val="400"/>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344" w:lineRule="exact"/>
        <w:rPr>
          <w:sz w:val="20"/>
          <w:szCs w:val="20"/>
          <w:color w:val="auto"/>
        </w:rPr>
      </w:pPr>
    </w:p>
    <w:p>
      <w:pPr>
        <w:ind w:left="584"/>
        <w:spacing w:after="0"/>
        <w:rPr>
          <w:sz w:val="20"/>
          <w:szCs w:val="20"/>
          <w:color w:val="auto"/>
        </w:rPr>
      </w:pPr>
      <w:r>
        <w:rPr>
          <w:rFonts w:ascii="Arial" w:cs="Arial" w:eastAsia="Arial" w:hAnsi="Arial"/>
          <w:sz w:val="16"/>
          <w:szCs w:val="16"/>
          <w:color w:val="auto"/>
        </w:rPr>
        <w:t>February 24, 2009</w:t>
      </w:r>
    </w:p>
    <w:p>
      <w:pPr>
        <w:spacing w:after="0" w:line="236" w:lineRule="exact"/>
        <w:rPr>
          <w:sz w:val="20"/>
          <w:szCs w:val="20"/>
          <w:color w:val="auto"/>
        </w:rPr>
      </w:pPr>
    </w:p>
    <w:p>
      <w:pPr>
        <w:ind w:left="9884"/>
        <w:spacing w:after="0"/>
        <w:rPr>
          <w:sz w:val="20"/>
          <w:szCs w:val="20"/>
          <w:color w:val="auto"/>
        </w:rPr>
      </w:pPr>
      <w:r>
        <w:rPr>
          <w:rFonts w:ascii="Arial" w:cs="Arial" w:eastAsia="Arial" w:hAnsi="Arial"/>
          <w:sz w:val="15"/>
          <w:szCs w:val="15"/>
          <w:color w:val="auto"/>
        </w:rPr>
        <w:t>/S/ Donald E. Felsinger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4988560</wp:posOffset>
            </wp:positionH>
            <wp:positionV relativeFrom="paragraph">
              <wp:posOffset>27940</wp:posOffset>
            </wp:positionV>
            <wp:extent cx="2273300" cy="762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2273300" cy="7620"/>
                    </a:xfrm>
                    <a:prstGeom prst="rect">
                      <a:avLst/>
                    </a:prstGeom>
                    <a:noFill/>
                  </pic:spPr>
                </pic:pic>
              </a:graphicData>
            </a:graphic>
          </wp:anchor>
        </w:drawing>
      </w:r>
    </w:p>
    <w:p>
      <w:pPr>
        <w:spacing w:after="0" w:line="36" w:lineRule="exact"/>
        <w:rPr>
          <w:sz w:val="20"/>
          <w:szCs w:val="20"/>
          <w:color w:val="auto"/>
        </w:rPr>
      </w:pPr>
    </w:p>
    <w:p>
      <w:pPr>
        <w:ind w:left="10144"/>
        <w:spacing w:after="0"/>
        <w:rPr>
          <w:sz w:val="20"/>
          <w:szCs w:val="20"/>
          <w:color w:val="auto"/>
        </w:rPr>
      </w:pPr>
      <w:r>
        <w:rPr>
          <w:rFonts w:ascii="Arial" w:cs="Arial" w:eastAsia="Arial" w:hAnsi="Arial"/>
          <w:sz w:val="14"/>
          <w:szCs w:val="14"/>
          <w:color w:val="auto"/>
        </w:rPr>
        <w:t>Donald E. Felsinger</w:t>
      </w:r>
    </w:p>
    <w:p>
      <w:pPr>
        <w:spacing w:after="0" w:line="55" w:lineRule="exact"/>
        <w:rPr>
          <w:sz w:val="20"/>
          <w:szCs w:val="20"/>
          <w:color w:val="auto"/>
        </w:rPr>
      </w:pPr>
    </w:p>
    <w:p>
      <w:pPr>
        <w:ind w:left="9884"/>
        <w:spacing w:after="0"/>
        <w:rPr>
          <w:sz w:val="20"/>
          <w:szCs w:val="20"/>
          <w:color w:val="auto"/>
        </w:rPr>
      </w:pPr>
      <w:r>
        <w:rPr>
          <w:rFonts w:ascii="Arial" w:cs="Arial" w:eastAsia="Arial" w:hAnsi="Arial"/>
          <w:sz w:val="15"/>
          <w:szCs w:val="15"/>
          <w:color w:val="auto"/>
        </w:rPr>
        <w:t>Chief Executive Officer</w:t>
      </w:r>
    </w:p>
    <w:p>
      <w:pPr>
        <w:sectPr>
          <w:pgSz w:w="11900" w:h="16838" w:orient="portrait"/>
          <w:cols w:equalWidth="0" w:num="1">
            <w:col w:w="11444"/>
          </w:cols>
          <w:pgMar w:left="236" w:top="128" w:right="219" w:bottom="1440" w:gutter="0" w:footer="0" w:header="0"/>
        </w:sectPr>
      </w:pPr>
    </w:p>
    <w:bookmarkStart w:id="334" w:name="page335"/>
    <w:bookmarkEnd w:id="334"/>
    <w:p>
      <w:pPr>
        <w:jc w:val="right"/>
        <w:spacing w:after="0"/>
        <w:rPr>
          <w:sz w:val="20"/>
          <w:szCs w:val="20"/>
          <w:color w:val="auto"/>
        </w:rPr>
      </w:pPr>
      <w:r>
        <w:rPr>
          <w:rFonts w:ascii="Arial" w:cs="Arial" w:eastAsia="Arial" w:hAnsi="Arial"/>
          <w:sz w:val="16"/>
          <w:szCs w:val="16"/>
          <w:color w:val="auto"/>
        </w:rPr>
        <w:t>EXHIBIT 31.2</w:t>
      </w:r>
    </w:p>
    <w:p>
      <w:pPr>
        <w:spacing w:after="0" w:line="21"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CERTIFICATION</w:t>
      </w:r>
    </w:p>
    <w:p>
      <w:pPr>
        <w:spacing w:after="0" w:line="188" w:lineRule="exact"/>
        <w:rPr>
          <w:sz w:val="20"/>
          <w:szCs w:val="20"/>
          <w:color w:val="auto"/>
        </w:rPr>
      </w:pPr>
    </w:p>
    <w:p>
      <w:pPr>
        <w:ind w:left="4"/>
        <w:spacing w:after="0"/>
        <w:rPr>
          <w:sz w:val="20"/>
          <w:szCs w:val="20"/>
          <w:color w:val="auto"/>
        </w:rPr>
      </w:pPr>
      <w:r>
        <w:rPr>
          <w:rFonts w:ascii="Arial" w:cs="Arial" w:eastAsia="Arial" w:hAnsi="Arial"/>
          <w:sz w:val="16"/>
          <w:szCs w:val="16"/>
          <w:color w:val="auto"/>
        </w:rPr>
        <w:t>I, Mark A. Snell, certify that:</w:t>
      </w:r>
    </w:p>
    <w:p>
      <w:pPr>
        <w:spacing w:after="0" w:line="200" w:lineRule="exact"/>
        <w:rPr>
          <w:sz w:val="20"/>
          <w:szCs w:val="20"/>
          <w:color w:val="auto"/>
        </w:rPr>
      </w:pPr>
    </w:p>
    <w:p>
      <w:pPr>
        <w:ind w:left="284" w:hanging="284"/>
        <w:spacing w:after="0"/>
        <w:tabs>
          <w:tab w:leader="none" w:pos="284" w:val="left"/>
        </w:tabs>
        <w:numPr>
          <w:ilvl w:val="0"/>
          <w:numId w:val="401"/>
        </w:numPr>
        <w:rPr>
          <w:rFonts w:ascii="Arial" w:cs="Arial" w:eastAsia="Arial" w:hAnsi="Arial"/>
          <w:sz w:val="16"/>
          <w:szCs w:val="16"/>
          <w:color w:val="auto"/>
        </w:rPr>
      </w:pPr>
      <w:r>
        <w:rPr>
          <w:rFonts w:ascii="Arial" w:cs="Arial" w:eastAsia="Arial" w:hAnsi="Arial"/>
          <w:sz w:val="16"/>
          <w:szCs w:val="16"/>
          <w:color w:val="auto"/>
        </w:rPr>
        <w:t>I have reviewed this report on Form 10-K of Sempra Energy;</w:t>
      </w:r>
    </w:p>
    <w:p>
      <w:pPr>
        <w:spacing w:after="0" w:line="200" w:lineRule="exact"/>
        <w:rPr>
          <w:rFonts w:ascii="Arial" w:cs="Arial" w:eastAsia="Arial" w:hAnsi="Arial"/>
          <w:sz w:val="16"/>
          <w:szCs w:val="16"/>
          <w:color w:val="auto"/>
        </w:rPr>
      </w:pPr>
    </w:p>
    <w:p>
      <w:pPr>
        <w:ind w:left="284" w:right="20" w:hanging="284"/>
        <w:spacing w:after="0" w:line="277" w:lineRule="auto"/>
        <w:tabs>
          <w:tab w:leader="none" w:pos="284" w:val="left"/>
        </w:tabs>
        <w:numPr>
          <w:ilvl w:val="0"/>
          <w:numId w:val="40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1" w:lineRule="exact"/>
        <w:rPr>
          <w:rFonts w:ascii="Arial" w:cs="Arial" w:eastAsia="Arial" w:hAnsi="Arial"/>
          <w:sz w:val="16"/>
          <w:szCs w:val="16"/>
          <w:color w:val="auto"/>
        </w:rPr>
      </w:pPr>
    </w:p>
    <w:p>
      <w:pPr>
        <w:ind w:left="284" w:right="60" w:hanging="284"/>
        <w:spacing w:after="0" w:line="277" w:lineRule="auto"/>
        <w:tabs>
          <w:tab w:leader="none" w:pos="284" w:val="left"/>
        </w:tabs>
        <w:numPr>
          <w:ilvl w:val="0"/>
          <w:numId w:val="401"/>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1" w:lineRule="exact"/>
        <w:rPr>
          <w:rFonts w:ascii="Arial" w:cs="Arial" w:eastAsia="Arial" w:hAnsi="Arial"/>
          <w:sz w:val="16"/>
          <w:szCs w:val="16"/>
          <w:color w:val="auto"/>
        </w:rPr>
      </w:pPr>
    </w:p>
    <w:p>
      <w:pPr>
        <w:ind w:left="284" w:right="20" w:hanging="284"/>
        <w:spacing w:after="0" w:line="312" w:lineRule="auto"/>
        <w:tabs>
          <w:tab w:leader="none" w:pos="284" w:val="left"/>
        </w:tabs>
        <w:numPr>
          <w:ilvl w:val="0"/>
          <w:numId w:val="401"/>
        </w:numPr>
        <w:rPr>
          <w:rFonts w:ascii="Arial" w:cs="Arial" w:eastAsia="Arial" w:hAnsi="Arial"/>
          <w:sz w:val="15"/>
          <w:szCs w:val="15"/>
          <w:color w:val="auto"/>
        </w:rPr>
      </w:pPr>
      <w:r>
        <w:rPr>
          <w:rFonts w:ascii="Arial" w:cs="Arial" w:eastAsia="Arial" w:hAnsi="Arial"/>
          <w:sz w:val="15"/>
          <w:szCs w:val="15"/>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8" w:lineRule="exact"/>
        <w:rPr>
          <w:rFonts w:ascii="Arial" w:cs="Arial" w:eastAsia="Arial" w:hAnsi="Arial"/>
          <w:sz w:val="15"/>
          <w:szCs w:val="15"/>
          <w:color w:val="auto"/>
        </w:rPr>
      </w:pPr>
    </w:p>
    <w:p>
      <w:pPr>
        <w:jc w:val="both"/>
        <w:ind w:left="864" w:right="200" w:hanging="287"/>
        <w:spacing w:after="0" w:line="264" w:lineRule="auto"/>
        <w:tabs>
          <w:tab w:leader="none" w:pos="864" w:val="left"/>
        </w:tabs>
        <w:numPr>
          <w:ilvl w:val="1"/>
          <w:numId w:val="401"/>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1" w:lineRule="exact"/>
        <w:rPr>
          <w:rFonts w:ascii="Arial" w:cs="Arial" w:eastAsia="Arial" w:hAnsi="Arial"/>
          <w:sz w:val="16"/>
          <w:szCs w:val="16"/>
          <w:color w:val="auto"/>
        </w:rPr>
      </w:pPr>
    </w:p>
    <w:p>
      <w:pPr>
        <w:ind w:left="864" w:right="240" w:hanging="287"/>
        <w:spacing w:after="0" w:line="264" w:lineRule="auto"/>
        <w:tabs>
          <w:tab w:leader="none" w:pos="864" w:val="left"/>
        </w:tabs>
        <w:numPr>
          <w:ilvl w:val="1"/>
          <w:numId w:val="401"/>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1" w:lineRule="exact"/>
        <w:rPr>
          <w:rFonts w:ascii="Arial" w:cs="Arial" w:eastAsia="Arial" w:hAnsi="Arial"/>
          <w:sz w:val="16"/>
          <w:szCs w:val="16"/>
          <w:color w:val="auto"/>
        </w:rPr>
      </w:pPr>
    </w:p>
    <w:p>
      <w:pPr>
        <w:ind w:left="864" w:right="680" w:hanging="287"/>
        <w:spacing w:after="0" w:line="277" w:lineRule="auto"/>
        <w:tabs>
          <w:tab w:leader="none" w:pos="864" w:val="left"/>
        </w:tabs>
        <w:numPr>
          <w:ilvl w:val="1"/>
          <w:numId w:val="40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1" w:lineRule="exact"/>
        <w:rPr>
          <w:rFonts w:ascii="Arial" w:cs="Arial" w:eastAsia="Arial" w:hAnsi="Arial"/>
          <w:sz w:val="16"/>
          <w:szCs w:val="16"/>
          <w:color w:val="auto"/>
        </w:rPr>
      </w:pPr>
    </w:p>
    <w:p>
      <w:pPr>
        <w:ind w:left="864" w:right="360" w:hanging="287"/>
        <w:spacing w:after="0" w:line="264" w:lineRule="auto"/>
        <w:tabs>
          <w:tab w:leader="none" w:pos="864" w:val="left"/>
        </w:tabs>
        <w:numPr>
          <w:ilvl w:val="1"/>
          <w:numId w:val="401"/>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1" w:lineRule="exact"/>
        <w:rPr>
          <w:rFonts w:ascii="Arial" w:cs="Arial" w:eastAsia="Arial" w:hAnsi="Arial"/>
          <w:sz w:val="16"/>
          <w:szCs w:val="16"/>
          <w:color w:val="auto"/>
        </w:rPr>
      </w:pPr>
    </w:p>
    <w:p>
      <w:pPr>
        <w:ind w:left="284" w:right="200" w:hanging="284"/>
        <w:spacing w:after="0" w:line="277" w:lineRule="auto"/>
        <w:tabs>
          <w:tab w:leader="none" w:pos="284" w:val="left"/>
        </w:tabs>
        <w:numPr>
          <w:ilvl w:val="0"/>
          <w:numId w:val="401"/>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51" w:lineRule="exact"/>
        <w:rPr>
          <w:rFonts w:ascii="Arial" w:cs="Arial" w:eastAsia="Arial" w:hAnsi="Arial"/>
          <w:sz w:val="16"/>
          <w:szCs w:val="16"/>
          <w:color w:val="auto"/>
        </w:rPr>
      </w:pPr>
    </w:p>
    <w:p>
      <w:pPr>
        <w:ind w:left="864" w:right="180" w:hanging="287"/>
        <w:spacing w:after="0" w:line="277" w:lineRule="auto"/>
        <w:tabs>
          <w:tab w:leader="none" w:pos="864" w:val="left"/>
        </w:tabs>
        <w:numPr>
          <w:ilvl w:val="1"/>
          <w:numId w:val="40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1" w:lineRule="exact"/>
        <w:rPr>
          <w:rFonts w:ascii="Arial" w:cs="Arial" w:eastAsia="Arial" w:hAnsi="Arial"/>
          <w:sz w:val="16"/>
          <w:szCs w:val="16"/>
          <w:color w:val="auto"/>
        </w:rPr>
      </w:pPr>
    </w:p>
    <w:p>
      <w:pPr>
        <w:ind w:left="864" w:right="460" w:hanging="287"/>
        <w:spacing w:after="0" w:line="277" w:lineRule="auto"/>
        <w:tabs>
          <w:tab w:leader="none" w:pos="864" w:val="left"/>
        </w:tabs>
        <w:numPr>
          <w:ilvl w:val="1"/>
          <w:numId w:val="401"/>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344" w:lineRule="exact"/>
        <w:rPr>
          <w:sz w:val="20"/>
          <w:szCs w:val="20"/>
          <w:color w:val="auto"/>
        </w:rPr>
      </w:pPr>
    </w:p>
    <w:p>
      <w:pPr>
        <w:ind w:left="584"/>
        <w:spacing w:after="0"/>
        <w:rPr>
          <w:sz w:val="20"/>
          <w:szCs w:val="20"/>
          <w:color w:val="auto"/>
        </w:rPr>
      </w:pPr>
      <w:r>
        <w:rPr>
          <w:rFonts w:ascii="Arial" w:cs="Arial" w:eastAsia="Arial" w:hAnsi="Arial"/>
          <w:sz w:val="16"/>
          <w:szCs w:val="16"/>
          <w:color w:val="auto"/>
        </w:rPr>
        <w:t>February 24, 2009</w:t>
      </w:r>
    </w:p>
    <w:p>
      <w:pPr>
        <w:spacing w:after="0" w:line="236" w:lineRule="exact"/>
        <w:rPr>
          <w:sz w:val="20"/>
          <w:szCs w:val="20"/>
          <w:color w:val="auto"/>
        </w:rPr>
      </w:pPr>
    </w:p>
    <w:p>
      <w:pPr>
        <w:ind w:left="10264"/>
        <w:spacing w:after="0"/>
        <w:rPr>
          <w:sz w:val="20"/>
          <w:szCs w:val="20"/>
          <w:color w:val="auto"/>
        </w:rPr>
      </w:pPr>
      <w:r>
        <w:rPr>
          <w:rFonts w:ascii="Arial" w:cs="Arial" w:eastAsia="Arial" w:hAnsi="Arial"/>
          <w:sz w:val="15"/>
          <w:szCs w:val="15"/>
          <w:color w:val="auto"/>
        </w:rPr>
        <w:t>/S/ Mark A. Snell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5034280</wp:posOffset>
            </wp:positionH>
            <wp:positionV relativeFrom="paragraph">
              <wp:posOffset>27940</wp:posOffset>
            </wp:positionV>
            <wp:extent cx="2227580" cy="762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2227580" cy="7620"/>
                    </a:xfrm>
                    <a:prstGeom prst="rect">
                      <a:avLst/>
                    </a:prstGeom>
                    <a:noFill/>
                  </pic:spPr>
                </pic:pic>
              </a:graphicData>
            </a:graphic>
          </wp:anchor>
        </w:drawing>
      </w:r>
    </w:p>
    <w:p>
      <w:pPr>
        <w:spacing w:after="0" w:line="36" w:lineRule="exact"/>
        <w:rPr>
          <w:sz w:val="20"/>
          <w:szCs w:val="20"/>
          <w:color w:val="auto"/>
        </w:rPr>
      </w:pPr>
    </w:p>
    <w:p>
      <w:pPr>
        <w:ind w:left="10504"/>
        <w:spacing w:after="0"/>
        <w:rPr>
          <w:sz w:val="20"/>
          <w:szCs w:val="20"/>
          <w:color w:val="auto"/>
        </w:rPr>
      </w:pPr>
      <w:r>
        <w:rPr>
          <w:rFonts w:ascii="Arial" w:cs="Arial" w:eastAsia="Arial" w:hAnsi="Arial"/>
          <w:sz w:val="15"/>
          <w:szCs w:val="15"/>
          <w:color w:val="auto"/>
        </w:rPr>
        <w:t>Mark A. Snell</w:t>
      </w:r>
    </w:p>
    <w:p>
      <w:pPr>
        <w:spacing w:after="0" w:line="44" w:lineRule="exact"/>
        <w:rPr>
          <w:sz w:val="20"/>
          <w:szCs w:val="20"/>
          <w:color w:val="auto"/>
        </w:rPr>
      </w:pPr>
    </w:p>
    <w:p>
      <w:pPr>
        <w:ind w:left="9924"/>
        <w:spacing w:after="0"/>
        <w:rPr>
          <w:sz w:val="20"/>
          <w:szCs w:val="20"/>
          <w:color w:val="auto"/>
        </w:rPr>
      </w:pPr>
      <w:r>
        <w:rPr>
          <w:rFonts w:ascii="Arial" w:cs="Arial" w:eastAsia="Arial" w:hAnsi="Arial"/>
          <w:sz w:val="15"/>
          <w:szCs w:val="15"/>
          <w:color w:val="auto"/>
        </w:rPr>
        <w:t>Chief Financial Officer</w:t>
      </w:r>
    </w:p>
    <w:p>
      <w:pPr>
        <w:sectPr>
          <w:pgSz w:w="11900" w:h="16838" w:orient="portrait"/>
          <w:cols w:equalWidth="0" w:num="1">
            <w:col w:w="11444"/>
          </w:cols>
          <w:pgMar w:left="236" w:top="127" w:right="219" w:bottom="1440" w:gutter="0" w:footer="0" w:header="0"/>
        </w:sectPr>
      </w:pPr>
    </w:p>
    <w:bookmarkStart w:id="335" w:name="page336"/>
    <w:bookmarkEnd w:id="335"/>
    <w:p>
      <w:pPr>
        <w:jc w:val="right"/>
        <w:spacing w:after="0"/>
        <w:rPr>
          <w:sz w:val="20"/>
          <w:szCs w:val="20"/>
          <w:color w:val="auto"/>
        </w:rPr>
      </w:pPr>
      <w:r>
        <w:rPr>
          <w:rFonts w:ascii="Arial" w:cs="Arial" w:eastAsia="Arial" w:hAnsi="Arial"/>
          <w:sz w:val="16"/>
          <w:szCs w:val="16"/>
          <w:color w:val="auto"/>
        </w:rPr>
        <w:t>EXHIBIT 31.3</w:t>
      </w:r>
    </w:p>
    <w:p>
      <w:pPr>
        <w:spacing w:after="0" w:line="21"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CERTIFICATION</w:t>
      </w:r>
    </w:p>
    <w:p>
      <w:pPr>
        <w:spacing w:after="0" w:line="188" w:lineRule="exact"/>
        <w:rPr>
          <w:sz w:val="20"/>
          <w:szCs w:val="20"/>
          <w:color w:val="auto"/>
        </w:rPr>
      </w:pPr>
    </w:p>
    <w:p>
      <w:pPr>
        <w:ind w:left="4"/>
        <w:spacing w:after="0"/>
        <w:rPr>
          <w:sz w:val="20"/>
          <w:szCs w:val="20"/>
          <w:color w:val="auto"/>
        </w:rPr>
      </w:pPr>
      <w:r>
        <w:rPr>
          <w:rFonts w:ascii="Arial" w:cs="Arial" w:eastAsia="Arial" w:hAnsi="Arial"/>
          <w:sz w:val="16"/>
          <w:szCs w:val="16"/>
          <w:color w:val="auto"/>
        </w:rPr>
        <w:t>I, Debra L. Reed, certify that:</w:t>
      </w:r>
    </w:p>
    <w:p>
      <w:pPr>
        <w:spacing w:after="0" w:line="200" w:lineRule="exact"/>
        <w:rPr>
          <w:sz w:val="20"/>
          <w:szCs w:val="20"/>
          <w:color w:val="auto"/>
        </w:rPr>
      </w:pPr>
    </w:p>
    <w:p>
      <w:pPr>
        <w:ind w:left="284" w:hanging="284"/>
        <w:spacing w:after="0"/>
        <w:tabs>
          <w:tab w:leader="none" w:pos="284" w:val="left"/>
        </w:tabs>
        <w:numPr>
          <w:ilvl w:val="0"/>
          <w:numId w:val="402"/>
        </w:numPr>
        <w:rPr>
          <w:rFonts w:ascii="Arial" w:cs="Arial" w:eastAsia="Arial" w:hAnsi="Arial"/>
          <w:sz w:val="16"/>
          <w:szCs w:val="16"/>
          <w:color w:val="auto"/>
        </w:rPr>
      </w:pPr>
      <w:r>
        <w:rPr>
          <w:rFonts w:ascii="Arial" w:cs="Arial" w:eastAsia="Arial" w:hAnsi="Arial"/>
          <w:sz w:val="16"/>
          <w:szCs w:val="16"/>
          <w:color w:val="auto"/>
        </w:rPr>
        <w:t>I have reviewed this report on Form 10-K of San Diego Gas &amp; Electric Company;</w:t>
      </w:r>
    </w:p>
    <w:p>
      <w:pPr>
        <w:spacing w:after="0" w:line="200" w:lineRule="exact"/>
        <w:rPr>
          <w:rFonts w:ascii="Arial" w:cs="Arial" w:eastAsia="Arial" w:hAnsi="Arial"/>
          <w:sz w:val="16"/>
          <w:szCs w:val="16"/>
          <w:color w:val="auto"/>
        </w:rPr>
      </w:pPr>
    </w:p>
    <w:p>
      <w:pPr>
        <w:ind w:left="284" w:right="20" w:hanging="284"/>
        <w:spacing w:after="0" w:line="277" w:lineRule="auto"/>
        <w:tabs>
          <w:tab w:leader="none" w:pos="284" w:val="left"/>
        </w:tabs>
        <w:numPr>
          <w:ilvl w:val="0"/>
          <w:numId w:val="40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1" w:lineRule="exact"/>
        <w:rPr>
          <w:rFonts w:ascii="Arial" w:cs="Arial" w:eastAsia="Arial" w:hAnsi="Arial"/>
          <w:sz w:val="16"/>
          <w:szCs w:val="16"/>
          <w:color w:val="auto"/>
        </w:rPr>
      </w:pPr>
    </w:p>
    <w:p>
      <w:pPr>
        <w:ind w:left="284" w:right="60" w:hanging="284"/>
        <w:spacing w:after="0" w:line="277" w:lineRule="auto"/>
        <w:tabs>
          <w:tab w:leader="none" w:pos="284" w:val="left"/>
        </w:tabs>
        <w:numPr>
          <w:ilvl w:val="0"/>
          <w:numId w:val="402"/>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1" w:lineRule="exact"/>
        <w:rPr>
          <w:rFonts w:ascii="Arial" w:cs="Arial" w:eastAsia="Arial" w:hAnsi="Arial"/>
          <w:sz w:val="16"/>
          <w:szCs w:val="16"/>
          <w:color w:val="auto"/>
        </w:rPr>
      </w:pPr>
    </w:p>
    <w:p>
      <w:pPr>
        <w:ind w:left="284" w:right="20" w:hanging="284"/>
        <w:spacing w:after="0" w:line="312" w:lineRule="auto"/>
        <w:tabs>
          <w:tab w:leader="none" w:pos="284" w:val="left"/>
        </w:tabs>
        <w:numPr>
          <w:ilvl w:val="0"/>
          <w:numId w:val="402"/>
        </w:numPr>
        <w:rPr>
          <w:rFonts w:ascii="Arial" w:cs="Arial" w:eastAsia="Arial" w:hAnsi="Arial"/>
          <w:sz w:val="15"/>
          <w:szCs w:val="15"/>
          <w:color w:val="auto"/>
        </w:rPr>
      </w:pPr>
      <w:r>
        <w:rPr>
          <w:rFonts w:ascii="Arial" w:cs="Arial" w:eastAsia="Arial" w:hAnsi="Arial"/>
          <w:sz w:val="15"/>
          <w:szCs w:val="15"/>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8" w:lineRule="exact"/>
        <w:rPr>
          <w:rFonts w:ascii="Arial" w:cs="Arial" w:eastAsia="Arial" w:hAnsi="Arial"/>
          <w:sz w:val="15"/>
          <w:szCs w:val="15"/>
          <w:color w:val="auto"/>
        </w:rPr>
      </w:pPr>
    </w:p>
    <w:p>
      <w:pPr>
        <w:jc w:val="both"/>
        <w:ind w:left="864" w:right="200" w:hanging="287"/>
        <w:spacing w:after="0" w:line="264" w:lineRule="auto"/>
        <w:tabs>
          <w:tab w:leader="none" w:pos="864" w:val="left"/>
        </w:tabs>
        <w:numPr>
          <w:ilvl w:val="1"/>
          <w:numId w:val="402"/>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1" w:lineRule="exact"/>
        <w:rPr>
          <w:rFonts w:ascii="Arial" w:cs="Arial" w:eastAsia="Arial" w:hAnsi="Arial"/>
          <w:sz w:val="16"/>
          <w:szCs w:val="16"/>
          <w:color w:val="auto"/>
        </w:rPr>
      </w:pPr>
    </w:p>
    <w:p>
      <w:pPr>
        <w:ind w:left="864" w:right="240" w:hanging="287"/>
        <w:spacing w:after="0" w:line="264" w:lineRule="auto"/>
        <w:tabs>
          <w:tab w:leader="none" w:pos="864" w:val="left"/>
        </w:tabs>
        <w:numPr>
          <w:ilvl w:val="1"/>
          <w:numId w:val="402"/>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1" w:lineRule="exact"/>
        <w:rPr>
          <w:rFonts w:ascii="Arial" w:cs="Arial" w:eastAsia="Arial" w:hAnsi="Arial"/>
          <w:sz w:val="16"/>
          <w:szCs w:val="16"/>
          <w:color w:val="auto"/>
        </w:rPr>
      </w:pPr>
    </w:p>
    <w:p>
      <w:pPr>
        <w:ind w:left="864" w:right="680" w:hanging="287"/>
        <w:spacing w:after="0" w:line="277" w:lineRule="auto"/>
        <w:tabs>
          <w:tab w:leader="none" w:pos="864" w:val="left"/>
        </w:tabs>
        <w:numPr>
          <w:ilvl w:val="1"/>
          <w:numId w:val="40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1" w:lineRule="exact"/>
        <w:rPr>
          <w:rFonts w:ascii="Arial" w:cs="Arial" w:eastAsia="Arial" w:hAnsi="Arial"/>
          <w:sz w:val="16"/>
          <w:szCs w:val="16"/>
          <w:color w:val="auto"/>
        </w:rPr>
      </w:pPr>
    </w:p>
    <w:p>
      <w:pPr>
        <w:ind w:left="864" w:right="360" w:hanging="287"/>
        <w:spacing w:after="0" w:line="264" w:lineRule="auto"/>
        <w:tabs>
          <w:tab w:leader="none" w:pos="864" w:val="left"/>
        </w:tabs>
        <w:numPr>
          <w:ilvl w:val="1"/>
          <w:numId w:val="402"/>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1" w:lineRule="exact"/>
        <w:rPr>
          <w:rFonts w:ascii="Arial" w:cs="Arial" w:eastAsia="Arial" w:hAnsi="Arial"/>
          <w:sz w:val="16"/>
          <w:szCs w:val="16"/>
          <w:color w:val="auto"/>
        </w:rPr>
      </w:pPr>
    </w:p>
    <w:p>
      <w:pPr>
        <w:ind w:left="284" w:right="200" w:hanging="284"/>
        <w:spacing w:after="0" w:line="277" w:lineRule="auto"/>
        <w:tabs>
          <w:tab w:leader="none" w:pos="284" w:val="left"/>
        </w:tabs>
        <w:numPr>
          <w:ilvl w:val="0"/>
          <w:numId w:val="402"/>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51" w:lineRule="exact"/>
        <w:rPr>
          <w:rFonts w:ascii="Arial" w:cs="Arial" w:eastAsia="Arial" w:hAnsi="Arial"/>
          <w:sz w:val="16"/>
          <w:szCs w:val="16"/>
          <w:color w:val="auto"/>
        </w:rPr>
      </w:pPr>
    </w:p>
    <w:p>
      <w:pPr>
        <w:ind w:left="864" w:right="180" w:hanging="287"/>
        <w:spacing w:after="0" w:line="277" w:lineRule="auto"/>
        <w:tabs>
          <w:tab w:leader="none" w:pos="864" w:val="left"/>
        </w:tabs>
        <w:numPr>
          <w:ilvl w:val="1"/>
          <w:numId w:val="40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1" w:lineRule="exact"/>
        <w:rPr>
          <w:rFonts w:ascii="Arial" w:cs="Arial" w:eastAsia="Arial" w:hAnsi="Arial"/>
          <w:sz w:val="16"/>
          <w:szCs w:val="16"/>
          <w:color w:val="auto"/>
        </w:rPr>
      </w:pPr>
    </w:p>
    <w:p>
      <w:pPr>
        <w:ind w:left="864" w:right="460" w:hanging="287"/>
        <w:spacing w:after="0" w:line="277" w:lineRule="auto"/>
        <w:tabs>
          <w:tab w:leader="none" w:pos="864" w:val="left"/>
        </w:tabs>
        <w:numPr>
          <w:ilvl w:val="1"/>
          <w:numId w:val="402"/>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152" w:lineRule="exact"/>
        <w:rPr>
          <w:sz w:val="20"/>
          <w:szCs w:val="20"/>
          <w:color w:val="auto"/>
        </w:rPr>
      </w:pPr>
    </w:p>
    <w:p>
      <w:pPr>
        <w:ind w:left="584"/>
        <w:spacing w:after="0"/>
        <w:rPr>
          <w:sz w:val="20"/>
          <w:szCs w:val="20"/>
          <w:color w:val="auto"/>
        </w:rPr>
      </w:pPr>
      <w:r>
        <w:rPr>
          <w:rFonts w:ascii="Arial" w:cs="Arial" w:eastAsia="Arial" w:hAnsi="Arial"/>
          <w:sz w:val="16"/>
          <w:szCs w:val="16"/>
          <w:color w:val="auto"/>
        </w:rPr>
        <w:t>February 24, 2009</w:t>
      </w:r>
    </w:p>
    <w:p>
      <w:pPr>
        <w:spacing w:after="0" w:line="236" w:lineRule="exact"/>
        <w:rPr>
          <w:sz w:val="20"/>
          <w:szCs w:val="20"/>
          <w:color w:val="auto"/>
        </w:rPr>
      </w:pPr>
    </w:p>
    <w:p>
      <w:pPr>
        <w:ind w:left="10224"/>
        <w:spacing w:after="0"/>
        <w:rPr>
          <w:sz w:val="20"/>
          <w:szCs w:val="20"/>
          <w:color w:val="auto"/>
        </w:rPr>
      </w:pPr>
      <w:r>
        <w:rPr>
          <w:rFonts w:ascii="Arial" w:cs="Arial" w:eastAsia="Arial" w:hAnsi="Arial"/>
          <w:sz w:val="15"/>
          <w:szCs w:val="15"/>
          <w:color w:val="auto"/>
        </w:rPr>
        <w:t>/S/ Debra L. Reed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4942840</wp:posOffset>
            </wp:positionH>
            <wp:positionV relativeFrom="paragraph">
              <wp:posOffset>27940</wp:posOffset>
            </wp:positionV>
            <wp:extent cx="2319020" cy="762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2319020" cy="7620"/>
                    </a:xfrm>
                    <a:prstGeom prst="rect">
                      <a:avLst/>
                    </a:prstGeom>
                    <a:noFill/>
                  </pic:spPr>
                </pic:pic>
              </a:graphicData>
            </a:graphic>
          </wp:anchor>
        </w:drawing>
      </w:r>
    </w:p>
    <w:p>
      <w:pPr>
        <w:spacing w:after="0" w:line="36" w:lineRule="exact"/>
        <w:rPr>
          <w:sz w:val="20"/>
          <w:szCs w:val="20"/>
          <w:color w:val="auto"/>
        </w:rPr>
      </w:pPr>
    </w:p>
    <w:p>
      <w:pPr>
        <w:ind w:left="10484"/>
        <w:spacing w:after="0"/>
        <w:rPr>
          <w:sz w:val="20"/>
          <w:szCs w:val="20"/>
          <w:color w:val="auto"/>
        </w:rPr>
      </w:pPr>
      <w:r>
        <w:rPr>
          <w:rFonts w:ascii="Arial" w:cs="Arial" w:eastAsia="Arial" w:hAnsi="Arial"/>
          <w:sz w:val="14"/>
          <w:szCs w:val="14"/>
          <w:color w:val="auto"/>
        </w:rPr>
        <w:t>Debra L. Reed</w:t>
      </w:r>
    </w:p>
    <w:p>
      <w:pPr>
        <w:spacing w:after="0" w:line="55" w:lineRule="exact"/>
        <w:rPr>
          <w:sz w:val="20"/>
          <w:szCs w:val="20"/>
          <w:color w:val="auto"/>
        </w:rPr>
      </w:pPr>
    </w:p>
    <w:p>
      <w:pPr>
        <w:ind w:left="9884"/>
        <w:spacing w:after="0"/>
        <w:rPr>
          <w:sz w:val="20"/>
          <w:szCs w:val="20"/>
          <w:color w:val="auto"/>
        </w:rPr>
      </w:pPr>
      <w:r>
        <w:rPr>
          <w:rFonts w:ascii="Arial" w:cs="Arial" w:eastAsia="Arial" w:hAnsi="Arial"/>
          <w:sz w:val="15"/>
          <w:szCs w:val="15"/>
          <w:color w:val="auto"/>
        </w:rPr>
        <w:t>Chief Executive Officer</w:t>
      </w:r>
    </w:p>
    <w:p>
      <w:pPr>
        <w:sectPr>
          <w:pgSz w:w="11900" w:h="16838" w:orient="portrait"/>
          <w:cols w:equalWidth="0" w:num="1">
            <w:col w:w="11444"/>
          </w:cols>
          <w:pgMar w:left="236" w:top="127" w:right="219" w:bottom="1440" w:gutter="0" w:footer="0" w:header="0"/>
        </w:sectPr>
      </w:pPr>
    </w:p>
    <w:bookmarkStart w:id="336" w:name="page337"/>
    <w:bookmarkEnd w:id="336"/>
    <w:p>
      <w:pPr>
        <w:jc w:val="right"/>
        <w:spacing w:after="0"/>
        <w:rPr>
          <w:sz w:val="20"/>
          <w:szCs w:val="20"/>
          <w:color w:val="auto"/>
        </w:rPr>
      </w:pPr>
      <w:r>
        <w:rPr>
          <w:rFonts w:ascii="Arial" w:cs="Arial" w:eastAsia="Arial" w:hAnsi="Arial"/>
          <w:sz w:val="16"/>
          <w:szCs w:val="16"/>
          <w:color w:val="auto"/>
        </w:rPr>
        <w:t>EXHIBIT 31.4</w:t>
      </w:r>
    </w:p>
    <w:p>
      <w:pPr>
        <w:spacing w:after="0" w:line="21"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CERTIFICATION</w:t>
      </w:r>
    </w:p>
    <w:p>
      <w:pPr>
        <w:spacing w:after="0" w:line="188" w:lineRule="exact"/>
        <w:rPr>
          <w:sz w:val="20"/>
          <w:szCs w:val="20"/>
          <w:color w:val="auto"/>
        </w:rPr>
      </w:pPr>
    </w:p>
    <w:p>
      <w:pPr>
        <w:ind w:left="4"/>
        <w:spacing w:after="0"/>
        <w:rPr>
          <w:sz w:val="20"/>
          <w:szCs w:val="20"/>
          <w:color w:val="auto"/>
        </w:rPr>
      </w:pPr>
      <w:r>
        <w:rPr>
          <w:rFonts w:ascii="Arial" w:cs="Arial" w:eastAsia="Arial" w:hAnsi="Arial"/>
          <w:sz w:val="16"/>
          <w:szCs w:val="16"/>
          <w:color w:val="auto"/>
        </w:rPr>
        <w:t>I, Robert M. Schlax, certify that:</w:t>
      </w:r>
    </w:p>
    <w:p>
      <w:pPr>
        <w:spacing w:after="0" w:line="200" w:lineRule="exact"/>
        <w:rPr>
          <w:sz w:val="20"/>
          <w:szCs w:val="20"/>
          <w:color w:val="auto"/>
        </w:rPr>
      </w:pPr>
    </w:p>
    <w:p>
      <w:pPr>
        <w:ind w:left="284" w:hanging="284"/>
        <w:spacing w:after="0"/>
        <w:tabs>
          <w:tab w:leader="none" w:pos="284" w:val="left"/>
        </w:tabs>
        <w:numPr>
          <w:ilvl w:val="0"/>
          <w:numId w:val="403"/>
        </w:numPr>
        <w:rPr>
          <w:rFonts w:ascii="Arial" w:cs="Arial" w:eastAsia="Arial" w:hAnsi="Arial"/>
          <w:sz w:val="16"/>
          <w:szCs w:val="16"/>
          <w:color w:val="auto"/>
        </w:rPr>
      </w:pPr>
      <w:r>
        <w:rPr>
          <w:rFonts w:ascii="Arial" w:cs="Arial" w:eastAsia="Arial" w:hAnsi="Arial"/>
          <w:sz w:val="16"/>
          <w:szCs w:val="16"/>
          <w:color w:val="auto"/>
        </w:rPr>
        <w:t>I have reviewed this report on Form 10-K of San Diego Gas &amp; Electric Company;</w:t>
      </w:r>
    </w:p>
    <w:p>
      <w:pPr>
        <w:spacing w:after="0" w:line="200" w:lineRule="exact"/>
        <w:rPr>
          <w:rFonts w:ascii="Arial" w:cs="Arial" w:eastAsia="Arial" w:hAnsi="Arial"/>
          <w:sz w:val="16"/>
          <w:szCs w:val="16"/>
          <w:color w:val="auto"/>
        </w:rPr>
      </w:pPr>
    </w:p>
    <w:p>
      <w:pPr>
        <w:ind w:left="284" w:right="20" w:hanging="284"/>
        <w:spacing w:after="0" w:line="277" w:lineRule="auto"/>
        <w:tabs>
          <w:tab w:leader="none" w:pos="284" w:val="left"/>
        </w:tabs>
        <w:numPr>
          <w:ilvl w:val="0"/>
          <w:numId w:val="40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1" w:lineRule="exact"/>
        <w:rPr>
          <w:rFonts w:ascii="Arial" w:cs="Arial" w:eastAsia="Arial" w:hAnsi="Arial"/>
          <w:sz w:val="16"/>
          <w:szCs w:val="16"/>
          <w:color w:val="auto"/>
        </w:rPr>
      </w:pPr>
    </w:p>
    <w:p>
      <w:pPr>
        <w:ind w:left="284" w:right="60" w:hanging="284"/>
        <w:spacing w:after="0" w:line="277" w:lineRule="auto"/>
        <w:tabs>
          <w:tab w:leader="none" w:pos="284" w:val="left"/>
        </w:tabs>
        <w:numPr>
          <w:ilvl w:val="0"/>
          <w:numId w:val="403"/>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1" w:lineRule="exact"/>
        <w:rPr>
          <w:rFonts w:ascii="Arial" w:cs="Arial" w:eastAsia="Arial" w:hAnsi="Arial"/>
          <w:sz w:val="16"/>
          <w:szCs w:val="16"/>
          <w:color w:val="auto"/>
        </w:rPr>
      </w:pPr>
    </w:p>
    <w:p>
      <w:pPr>
        <w:ind w:left="284" w:right="20" w:hanging="284"/>
        <w:spacing w:after="0" w:line="312" w:lineRule="auto"/>
        <w:tabs>
          <w:tab w:leader="none" w:pos="284" w:val="left"/>
        </w:tabs>
        <w:numPr>
          <w:ilvl w:val="0"/>
          <w:numId w:val="403"/>
        </w:numPr>
        <w:rPr>
          <w:rFonts w:ascii="Arial" w:cs="Arial" w:eastAsia="Arial" w:hAnsi="Arial"/>
          <w:sz w:val="15"/>
          <w:szCs w:val="15"/>
          <w:color w:val="auto"/>
        </w:rPr>
      </w:pPr>
      <w:r>
        <w:rPr>
          <w:rFonts w:ascii="Arial" w:cs="Arial" w:eastAsia="Arial" w:hAnsi="Arial"/>
          <w:sz w:val="15"/>
          <w:szCs w:val="15"/>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8" w:lineRule="exact"/>
        <w:rPr>
          <w:rFonts w:ascii="Arial" w:cs="Arial" w:eastAsia="Arial" w:hAnsi="Arial"/>
          <w:sz w:val="15"/>
          <w:szCs w:val="15"/>
          <w:color w:val="auto"/>
        </w:rPr>
      </w:pPr>
    </w:p>
    <w:p>
      <w:pPr>
        <w:jc w:val="both"/>
        <w:ind w:left="864" w:right="200" w:hanging="287"/>
        <w:spacing w:after="0" w:line="264" w:lineRule="auto"/>
        <w:tabs>
          <w:tab w:leader="none" w:pos="864" w:val="left"/>
        </w:tabs>
        <w:numPr>
          <w:ilvl w:val="1"/>
          <w:numId w:val="403"/>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1" w:lineRule="exact"/>
        <w:rPr>
          <w:rFonts w:ascii="Arial" w:cs="Arial" w:eastAsia="Arial" w:hAnsi="Arial"/>
          <w:sz w:val="16"/>
          <w:szCs w:val="16"/>
          <w:color w:val="auto"/>
        </w:rPr>
      </w:pPr>
    </w:p>
    <w:p>
      <w:pPr>
        <w:ind w:left="864" w:right="240" w:hanging="287"/>
        <w:spacing w:after="0" w:line="264" w:lineRule="auto"/>
        <w:tabs>
          <w:tab w:leader="none" w:pos="864" w:val="left"/>
        </w:tabs>
        <w:numPr>
          <w:ilvl w:val="1"/>
          <w:numId w:val="403"/>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1" w:lineRule="exact"/>
        <w:rPr>
          <w:rFonts w:ascii="Arial" w:cs="Arial" w:eastAsia="Arial" w:hAnsi="Arial"/>
          <w:sz w:val="16"/>
          <w:szCs w:val="16"/>
          <w:color w:val="auto"/>
        </w:rPr>
      </w:pPr>
    </w:p>
    <w:p>
      <w:pPr>
        <w:ind w:left="864" w:right="680" w:hanging="287"/>
        <w:spacing w:after="0" w:line="277" w:lineRule="auto"/>
        <w:tabs>
          <w:tab w:leader="none" w:pos="864" w:val="left"/>
        </w:tabs>
        <w:numPr>
          <w:ilvl w:val="1"/>
          <w:numId w:val="40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1" w:lineRule="exact"/>
        <w:rPr>
          <w:rFonts w:ascii="Arial" w:cs="Arial" w:eastAsia="Arial" w:hAnsi="Arial"/>
          <w:sz w:val="16"/>
          <w:szCs w:val="16"/>
          <w:color w:val="auto"/>
        </w:rPr>
      </w:pPr>
    </w:p>
    <w:p>
      <w:pPr>
        <w:ind w:left="864" w:right="360" w:hanging="287"/>
        <w:spacing w:after="0" w:line="264" w:lineRule="auto"/>
        <w:tabs>
          <w:tab w:leader="none" w:pos="864" w:val="left"/>
        </w:tabs>
        <w:numPr>
          <w:ilvl w:val="1"/>
          <w:numId w:val="403"/>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1" w:lineRule="exact"/>
        <w:rPr>
          <w:rFonts w:ascii="Arial" w:cs="Arial" w:eastAsia="Arial" w:hAnsi="Arial"/>
          <w:sz w:val="16"/>
          <w:szCs w:val="16"/>
          <w:color w:val="auto"/>
        </w:rPr>
      </w:pPr>
    </w:p>
    <w:p>
      <w:pPr>
        <w:ind w:left="284" w:right="200" w:hanging="284"/>
        <w:spacing w:after="0" w:line="277" w:lineRule="auto"/>
        <w:tabs>
          <w:tab w:leader="none" w:pos="284" w:val="left"/>
        </w:tabs>
        <w:numPr>
          <w:ilvl w:val="0"/>
          <w:numId w:val="403"/>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51" w:lineRule="exact"/>
        <w:rPr>
          <w:rFonts w:ascii="Arial" w:cs="Arial" w:eastAsia="Arial" w:hAnsi="Arial"/>
          <w:sz w:val="16"/>
          <w:szCs w:val="16"/>
          <w:color w:val="auto"/>
        </w:rPr>
      </w:pPr>
    </w:p>
    <w:p>
      <w:pPr>
        <w:ind w:left="864" w:right="180" w:hanging="287"/>
        <w:spacing w:after="0" w:line="277" w:lineRule="auto"/>
        <w:tabs>
          <w:tab w:leader="none" w:pos="864" w:val="left"/>
        </w:tabs>
        <w:numPr>
          <w:ilvl w:val="1"/>
          <w:numId w:val="40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1" w:lineRule="exact"/>
        <w:rPr>
          <w:rFonts w:ascii="Arial" w:cs="Arial" w:eastAsia="Arial" w:hAnsi="Arial"/>
          <w:sz w:val="16"/>
          <w:szCs w:val="16"/>
          <w:color w:val="auto"/>
        </w:rPr>
      </w:pPr>
    </w:p>
    <w:p>
      <w:pPr>
        <w:ind w:left="864" w:right="460" w:hanging="287"/>
        <w:spacing w:after="0" w:line="277" w:lineRule="auto"/>
        <w:tabs>
          <w:tab w:leader="none" w:pos="864" w:val="left"/>
        </w:tabs>
        <w:numPr>
          <w:ilvl w:val="1"/>
          <w:numId w:val="403"/>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152" w:lineRule="exact"/>
        <w:rPr>
          <w:sz w:val="20"/>
          <w:szCs w:val="20"/>
          <w:color w:val="auto"/>
        </w:rPr>
      </w:pPr>
    </w:p>
    <w:p>
      <w:pPr>
        <w:ind w:left="584"/>
        <w:spacing w:after="0"/>
        <w:rPr>
          <w:sz w:val="20"/>
          <w:szCs w:val="20"/>
          <w:color w:val="auto"/>
        </w:rPr>
      </w:pPr>
      <w:r>
        <w:rPr>
          <w:rFonts w:ascii="Arial" w:cs="Arial" w:eastAsia="Arial" w:hAnsi="Arial"/>
          <w:sz w:val="16"/>
          <w:szCs w:val="16"/>
          <w:color w:val="auto"/>
        </w:rPr>
        <w:t>February 24, 2009</w:t>
      </w:r>
    </w:p>
    <w:p>
      <w:pPr>
        <w:spacing w:after="0" w:line="236" w:lineRule="exact"/>
        <w:rPr>
          <w:sz w:val="20"/>
          <w:szCs w:val="20"/>
          <w:color w:val="auto"/>
        </w:rPr>
      </w:pPr>
    </w:p>
    <w:p>
      <w:pPr>
        <w:ind w:left="10064"/>
        <w:spacing w:after="0"/>
        <w:rPr>
          <w:sz w:val="20"/>
          <w:szCs w:val="20"/>
          <w:color w:val="auto"/>
        </w:rPr>
      </w:pPr>
      <w:r>
        <w:rPr>
          <w:rFonts w:ascii="Arial" w:cs="Arial" w:eastAsia="Arial" w:hAnsi="Arial"/>
          <w:sz w:val="15"/>
          <w:szCs w:val="15"/>
          <w:color w:val="auto"/>
        </w:rPr>
        <w:t>/S/ Robert M. Schlax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5080000</wp:posOffset>
            </wp:positionH>
            <wp:positionV relativeFrom="paragraph">
              <wp:posOffset>27940</wp:posOffset>
            </wp:positionV>
            <wp:extent cx="2181860" cy="762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2181860" cy="7620"/>
                    </a:xfrm>
                    <a:prstGeom prst="rect">
                      <a:avLst/>
                    </a:prstGeom>
                    <a:noFill/>
                  </pic:spPr>
                </pic:pic>
              </a:graphicData>
            </a:graphic>
          </wp:anchor>
        </w:drawing>
      </w:r>
    </w:p>
    <w:p>
      <w:pPr>
        <w:spacing w:after="0" w:line="36" w:lineRule="exact"/>
        <w:rPr>
          <w:sz w:val="20"/>
          <w:szCs w:val="20"/>
          <w:color w:val="auto"/>
        </w:rPr>
      </w:pPr>
    </w:p>
    <w:p>
      <w:pPr>
        <w:ind w:left="10284"/>
        <w:spacing w:after="0"/>
        <w:rPr>
          <w:sz w:val="20"/>
          <w:szCs w:val="20"/>
          <w:color w:val="auto"/>
        </w:rPr>
      </w:pPr>
      <w:r>
        <w:rPr>
          <w:rFonts w:ascii="Arial" w:cs="Arial" w:eastAsia="Arial" w:hAnsi="Arial"/>
          <w:sz w:val="15"/>
          <w:szCs w:val="15"/>
          <w:color w:val="auto"/>
        </w:rPr>
        <w:t>Robert M. Schlax</w:t>
      </w:r>
    </w:p>
    <w:p>
      <w:pPr>
        <w:spacing w:after="0" w:line="44" w:lineRule="exact"/>
        <w:rPr>
          <w:sz w:val="20"/>
          <w:szCs w:val="20"/>
          <w:color w:val="auto"/>
        </w:rPr>
      </w:pPr>
    </w:p>
    <w:p>
      <w:pPr>
        <w:ind w:left="9924"/>
        <w:spacing w:after="0"/>
        <w:rPr>
          <w:sz w:val="20"/>
          <w:szCs w:val="20"/>
          <w:color w:val="auto"/>
        </w:rPr>
      </w:pPr>
      <w:r>
        <w:rPr>
          <w:rFonts w:ascii="Arial" w:cs="Arial" w:eastAsia="Arial" w:hAnsi="Arial"/>
          <w:sz w:val="15"/>
          <w:szCs w:val="15"/>
          <w:color w:val="auto"/>
        </w:rPr>
        <w:t>Chief Financial Officer</w:t>
      </w:r>
    </w:p>
    <w:p>
      <w:pPr>
        <w:sectPr>
          <w:pgSz w:w="11900" w:h="16838" w:orient="portrait"/>
          <w:cols w:equalWidth="0" w:num="1">
            <w:col w:w="11444"/>
          </w:cols>
          <w:pgMar w:left="236" w:top="127" w:right="219" w:bottom="1440" w:gutter="0" w:footer="0" w:header="0"/>
        </w:sectPr>
      </w:pPr>
    </w:p>
    <w:bookmarkStart w:id="337" w:name="page338"/>
    <w:bookmarkEnd w:id="337"/>
    <w:p>
      <w:pPr>
        <w:jc w:val="right"/>
        <w:spacing w:after="0"/>
        <w:rPr>
          <w:sz w:val="20"/>
          <w:szCs w:val="20"/>
          <w:color w:val="auto"/>
        </w:rPr>
      </w:pPr>
      <w:r>
        <w:rPr>
          <w:rFonts w:ascii="Arial" w:cs="Arial" w:eastAsia="Arial" w:hAnsi="Arial"/>
          <w:sz w:val="16"/>
          <w:szCs w:val="16"/>
          <w:color w:val="auto"/>
        </w:rPr>
        <w:t>EXHIBIT 31.5</w:t>
      </w:r>
    </w:p>
    <w:p>
      <w:pPr>
        <w:spacing w:after="0" w:line="21"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CERTIFICATION</w:t>
      </w:r>
    </w:p>
    <w:p>
      <w:pPr>
        <w:spacing w:after="0" w:line="188" w:lineRule="exact"/>
        <w:rPr>
          <w:sz w:val="20"/>
          <w:szCs w:val="20"/>
          <w:color w:val="auto"/>
        </w:rPr>
      </w:pPr>
    </w:p>
    <w:p>
      <w:pPr>
        <w:ind w:left="4"/>
        <w:spacing w:after="0"/>
        <w:rPr>
          <w:sz w:val="20"/>
          <w:szCs w:val="20"/>
          <w:color w:val="auto"/>
        </w:rPr>
      </w:pPr>
      <w:r>
        <w:rPr>
          <w:rFonts w:ascii="Arial" w:cs="Arial" w:eastAsia="Arial" w:hAnsi="Arial"/>
          <w:sz w:val="16"/>
          <w:szCs w:val="16"/>
          <w:color w:val="auto"/>
        </w:rPr>
        <w:t>I, Debra L. Reed, certify that:</w:t>
      </w:r>
    </w:p>
    <w:p>
      <w:pPr>
        <w:spacing w:after="0" w:line="200" w:lineRule="exact"/>
        <w:rPr>
          <w:sz w:val="20"/>
          <w:szCs w:val="20"/>
          <w:color w:val="auto"/>
        </w:rPr>
      </w:pPr>
    </w:p>
    <w:p>
      <w:pPr>
        <w:ind w:left="284" w:hanging="284"/>
        <w:spacing w:after="0"/>
        <w:tabs>
          <w:tab w:leader="none" w:pos="284" w:val="left"/>
        </w:tabs>
        <w:numPr>
          <w:ilvl w:val="0"/>
          <w:numId w:val="404"/>
        </w:numPr>
        <w:rPr>
          <w:rFonts w:ascii="Arial" w:cs="Arial" w:eastAsia="Arial" w:hAnsi="Arial"/>
          <w:sz w:val="16"/>
          <w:szCs w:val="16"/>
          <w:color w:val="auto"/>
        </w:rPr>
      </w:pPr>
      <w:r>
        <w:rPr>
          <w:rFonts w:ascii="Arial" w:cs="Arial" w:eastAsia="Arial" w:hAnsi="Arial"/>
          <w:sz w:val="16"/>
          <w:szCs w:val="16"/>
          <w:color w:val="auto"/>
        </w:rPr>
        <w:t>I have reviewed this report on Form 10-K of Pacific Enterprises;</w:t>
      </w:r>
    </w:p>
    <w:p>
      <w:pPr>
        <w:spacing w:after="0" w:line="200" w:lineRule="exact"/>
        <w:rPr>
          <w:rFonts w:ascii="Arial" w:cs="Arial" w:eastAsia="Arial" w:hAnsi="Arial"/>
          <w:sz w:val="16"/>
          <w:szCs w:val="16"/>
          <w:color w:val="auto"/>
        </w:rPr>
      </w:pPr>
    </w:p>
    <w:p>
      <w:pPr>
        <w:ind w:left="284" w:right="20" w:hanging="284"/>
        <w:spacing w:after="0" w:line="277" w:lineRule="auto"/>
        <w:tabs>
          <w:tab w:leader="none" w:pos="284" w:val="left"/>
        </w:tabs>
        <w:numPr>
          <w:ilvl w:val="0"/>
          <w:numId w:val="40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1" w:lineRule="exact"/>
        <w:rPr>
          <w:rFonts w:ascii="Arial" w:cs="Arial" w:eastAsia="Arial" w:hAnsi="Arial"/>
          <w:sz w:val="16"/>
          <w:szCs w:val="16"/>
          <w:color w:val="auto"/>
        </w:rPr>
      </w:pPr>
    </w:p>
    <w:p>
      <w:pPr>
        <w:ind w:left="284" w:right="60" w:hanging="284"/>
        <w:spacing w:after="0" w:line="277" w:lineRule="auto"/>
        <w:tabs>
          <w:tab w:leader="none" w:pos="284" w:val="left"/>
        </w:tabs>
        <w:numPr>
          <w:ilvl w:val="0"/>
          <w:numId w:val="404"/>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1" w:lineRule="exact"/>
        <w:rPr>
          <w:rFonts w:ascii="Arial" w:cs="Arial" w:eastAsia="Arial" w:hAnsi="Arial"/>
          <w:sz w:val="16"/>
          <w:szCs w:val="16"/>
          <w:color w:val="auto"/>
        </w:rPr>
      </w:pPr>
    </w:p>
    <w:p>
      <w:pPr>
        <w:ind w:left="284" w:right="20" w:hanging="284"/>
        <w:spacing w:after="0" w:line="312" w:lineRule="auto"/>
        <w:tabs>
          <w:tab w:leader="none" w:pos="284" w:val="left"/>
        </w:tabs>
        <w:numPr>
          <w:ilvl w:val="0"/>
          <w:numId w:val="404"/>
        </w:numPr>
        <w:rPr>
          <w:rFonts w:ascii="Arial" w:cs="Arial" w:eastAsia="Arial" w:hAnsi="Arial"/>
          <w:sz w:val="15"/>
          <w:szCs w:val="15"/>
          <w:color w:val="auto"/>
        </w:rPr>
      </w:pPr>
      <w:r>
        <w:rPr>
          <w:rFonts w:ascii="Arial" w:cs="Arial" w:eastAsia="Arial" w:hAnsi="Arial"/>
          <w:sz w:val="15"/>
          <w:szCs w:val="15"/>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8" w:lineRule="exact"/>
        <w:rPr>
          <w:rFonts w:ascii="Arial" w:cs="Arial" w:eastAsia="Arial" w:hAnsi="Arial"/>
          <w:sz w:val="15"/>
          <w:szCs w:val="15"/>
          <w:color w:val="auto"/>
        </w:rPr>
      </w:pPr>
    </w:p>
    <w:p>
      <w:pPr>
        <w:jc w:val="both"/>
        <w:ind w:left="864" w:right="200" w:hanging="287"/>
        <w:spacing w:after="0" w:line="264" w:lineRule="auto"/>
        <w:tabs>
          <w:tab w:leader="none" w:pos="864" w:val="left"/>
        </w:tabs>
        <w:numPr>
          <w:ilvl w:val="1"/>
          <w:numId w:val="404"/>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1" w:lineRule="exact"/>
        <w:rPr>
          <w:rFonts w:ascii="Arial" w:cs="Arial" w:eastAsia="Arial" w:hAnsi="Arial"/>
          <w:sz w:val="16"/>
          <w:szCs w:val="16"/>
          <w:color w:val="auto"/>
        </w:rPr>
      </w:pPr>
    </w:p>
    <w:p>
      <w:pPr>
        <w:ind w:left="864" w:right="240" w:hanging="287"/>
        <w:spacing w:after="0" w:line="264" w:lineRule="auto"/>
        <w:tabs>
          <w:tab w:leader="none" w:pos="864" w:val="left"/>
        </w:tabs>
        <w:numPr>
          <w:ilvl w:val="1"/>
          <w:numId w:val="404"/>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1" w:lineRule="exact"/>
        <w:rPr>
          <w:rFonts w:ascii="Arial" w:cs="Arial" w:eastAsia="Arial" w:hAnsi="Arial"/>
          <w:sz w:val="16"/>
          <w:szCs w:val="16"/>
          <w:color w:val="auto"/>
        </w:rPr>
      </w:pPr>
    </w:p>
    <w:p>
      <w:pPr>
        <w:ind w:left="864" w:right="680" w:hanging="287"/>
        <w:spacing w:after="0" w:line="277" w:lineRule="auto"/>
        <w:tabs>
          <w:tab w:leader="none" w:pos="864" w:val="left"/>
        </w:tabs>
        <w:numPr>
          <w:ilvl w:val="1"/>
          <w:numId w:val="40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1" w:lineRule="exact"/>
        <w:rPr>
          <w:rFonts w:ascii="Arial" w:cs="Arial" w:eastAsia="Arial" w:hAnsi="Arial"/>
          <w:sz w:val="16"/>
          <w:szCs w:val="16"/>
          <w:color w:val="auto"/>
        </w:rPr>
      </w:pPr>
    </w:p>
    <w:p>
      <w:pPr>
        <w:ind w:left="864" w:right="360" w:hanging="287"/>
        <w:spacing w:after="0" w:line="264" w:lineRule="auto"/>
        <w:tabs>
          <w:tab w:leader="none" w:pos="864" w:val="left"/>
        </w:tabs>
        <w:numPr>
          <w:ilvl w:val="1"/>
          <w:numId w:val="404"/>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1" w:lineRule="exact"/>
        <w:rPr>
          <w:rFonts w:ascii="Arial" w:cs="Arial" w:eastAsia="Arial" w:hAnsi="Arial"/>
          <w:sz w:val="16"/>
          <w:szCs w:val="16"/>
          <w:color w:val="auto"/>
        </w:rPr>
      </w:pPr>
    </w:p>
    <w:p>
      <w:pPr>
        <w:ind w:left="284" w:right="200" w:hanging="284"/>
        <w:spacing w:after="0" w:line="277" w:lineRule="auto"/>
        <w:tabs>
          <w:tab w:leader="none" w:pos="284" w:val="left"/>
        </w:tabs>
        <w:numPr>
          <w:ilvl w:val="0"/>
          <w:numId w:val="404"/>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51" w:lineRule="exact"/>
        <w:rPr>
          <w:rFonts w:ascii="Arial" w:cs="Arial" w:eastAsia="Arial" w:hAnsi="Arial"/>
          <w:sz w:val="16"/>
          <w:szCs w:val="16"/>
          <w:color w:val="auto"/>
        </w:rPr>
      </w:pPr>
    </w:p>
    <w:p>
      <w:pPr>
        <w:ind w:left="864" w:right="180" w:hanging="287"/>
        <w:spacing w:after="0" w:line="277" w:lineRule="auto"/>
        <w:tabs>
          <w:tab w:leader="none" w:pos="864" w:val="left"/>
        </w:tabs>
        <w:numPr>
          <w:ilvl w:val="1"/>
          <w:numId w:val="40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1" w:lineRule="exact"/>
        <w:rPr>
          <w:rFonts w:ascii="Arial" w:cs="Arial" w:eastAsia="Arial" w:hAnsi="Arial"/>
          <w:sz w:val="16"/>
          <w:szCs w:val="16"/>
          <w:color w:val="auto"/>
        </w:rPr>
      </w:pPr>
    </w:p>
    <w:p>
      <w:pPr>
        <w:ind w:left="864" w:right="460" w:hanging="287"/>
        <w:spacing w:after="0" w:line="277" w:lineRule="auto"/>
        <w:tabs>
          <w:tab w:leader="none" w:pos="864" w:val="left"/>
        </w:tabs>
        <w:numPr>
          <w:ilvl w:val="1"/>
          <w:numId w:val="404"/>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344" w:lineRule="exact"/>
        <w:rPr>
          <w:sz w:val="20"/>
          <w:szCs w:val="20"/>
          <w:color w:val="auto"/>
        </w:rPr>
      </w:pPr>
    </w:p>
    <w:p>
      <w:pPr>
        <w:ind w:left="584"/>
        <w:spacing w:after="0"/>
        <w:rPr>
          <w:sz w:val="20"/>
          <w:szCs w:val="20"/>
          <w:color w:val="auto"/>
        </w:rPr>
      </w:pPr>
      <w:r>
        <w:rPr>
          <w:rFonts w:ascii="Arial" w:cs="Arial" w:eastAsia="Arial" w:hAnsi="Arial"/>
          <w:sz w:val="16"/>
          <w:szCs w:val="16"/>
          <w:color w:val="auto"/>
        </w:rPr>
        <w:t>February 24, 2009</w:t>
      </w:r>
    </w:p>
    <w:p>
      <w:pPr>
        <w:spacing w:after="0" w:line="236" w:lineRule="exact"/>
        <w:rPr>
          <w:sz w:val="20"/>
          <w:szCs w:val="20"/>
          <w:color w:val="auto"/>
        </w:rPr>
      </w:pPr>
    </w:p>
    <w:p>
      <w:pPr>
        <w:ind w:left="10224"/>
        <w:spacing w:after="0"/>
        <w:rPr>
          <w:sz w:val="20"/>
          <w:szCs w:val="20"/>
          <w:color w:val="auto"/>
        </w:rPr>
      </w:pPr>
      <w:r>
        <w:rPr>
          <w:rFonts w:ascii="Arial" w:cs="Arial" w:eastAsia="Arial" w:hAnsi="Arial"/>
          <w:sz w:val="15"/>
          <w:szCs w:val="15"/>
          <w:color w:val="auto"/>
        </w:rPr>
        <w:t>/S/ Debra L. Reed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5354955</wp:posOffset>
            </wp:positionH>
            <wp:positionV relativeFrom="paragraph">
              <wp:posOffset>27940</wp:posOffset>
            </wp:positionV>
            <wp:extent cx="1906905" cy="762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1906905" cy="7620"/>
                    </a:xfrm>
                    <a:prstGeom prst="rect">
                      <a:avLst/>
                    </a:prstGeom>
                    <a:noFill/>
                  </pic:spPr>
                </pic:pic>
              </a:graphicData>
            </a:graphic>
          </wp:anchor>
        </w:drawing>
      </w:r>
    </w:p>
    <w:p>
      <w:pPr>
        <w:spacing w:after="0" w:line="36" w:lineRule="exact"/>
        <w:rPr>
          <w:sz w:val="20"/>
          <w:szCs w:val="20"/>
          <w:color w:val="auto"/>
        </w:rPr>
      </w:pPr>
    </w:p>
    <w:p>
      <w:pPr>
        <w:ind w:left="10484"/>
        <w:spacing w:after="0"/>
        <w:rPr>
          <w:sz w:val="20"/>
          <w:szCs w:val="20"/>
          <w:color w:val="auto"/>
        </w:rPr>
      </w:pPr>
      <w:r>
        <w:rPr>
          <w:rFonts w:ascii="Arial" w:cs="Arial" w:eastAsia="Arial" w:hAnsi="Arial"/>
          <w:sz w:val="14"/>
          <w:szCs w:val="14"/>
          <w:color w:val="auto"/>
        </w:rPr>
        <w:t>Debra L. Reed</w:t>
      </w:r>
    </w:p>
    <w:p>
      <w:pPr>
        <w:spacing w:after="0" w:line="55" w:lineRule="exact"/>
        <w:rPr>
          <w:sz w:val="20"/>
          <w:szCs w:val="20"/>
          <w:color w:val="auto"/>
        </w:rPr>
      </w:pPr>
    </w:p>
    <w:p>
      <w:pPr>
        <w:ind w:left="9884"/>
        <w:spacing w:after="0"/>
        <w:rPr>
          <w:sz w:val="20"/>
          <w:szCs w:val="20"/>
          <w:color w:val="auto"/>
        </w:rPr>
      </w:pPr>
      <w:r>
        <w:rPr>
          <w:rFonts w:ascii="Arial" w:cs="Arial" w:eastAsia="Arial" w:hAnsi="Arial"/>
          <w:sz w:val="15"/>
          <w:szCs w:val="15"/>
          <w:color w:val="auto"/>
        </w:rPr>
        <w:t>Chief Executive Officer</w:t>
      </w:r>
    </w:p>
    <w:p>
      <w:pPr>
        <w:sectPr>
          <w:pgSz w:w="11900" w:h="16838" w:orient="portrait"/>
          <w:cols w:equalWidth="0" w:num="1">
            <w:col w:w="11444"/>
          </w:cols>
          <w:pgMar w:left="236" w:top="127" w:right="219" w:bottom="1440" w:gutter="0" w:footer="0" w:header="0"/>
        </w:sectPr>
      </w:pPr>
    </w:p>
    <w:bookmarkStart w:id="338" w:name="page339"/>
    <w:bookmarkEnd w:id="338"/>
    <w:p>
      <w:pPr>
        <w:jc w:val="right"/>
        <w:spacing w:after="0"/>
        <w:rPr>
          <w:sz w:val="20"/>
          <w:szCs w:val="20"/>
          <w:color w:val="auto"/>
        </w:rPr>
      </w:pPr>
      <w:r>
        <w:rPr>
          <w:rFonts w:ascii="Arial" w:cs="Arial" w:eastAsia="Arial" w:hAnsi="Arial"/>
          <w:sz w:val="16"/>
          <w:szCs w:val="16"/>
          <w:color w:val="auto"/>
        </w:rPr>
        <w:t>EXHIBIT 31.6</w:t>
      </w:r>
    </w:p>
    <w:p>
      <w:pPr>
        <w:spacing w:after="0" w:line="21"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CERTIFICATION</w:t>
      </w:r>
    </w:p>
    <w:p>
      <w:pPr>
        <w:spacing w:after="0" w:line="188" w:lineRule="exact"/>
        <w:rPr>
          <w:sz w:val="20"/>
          <w:szCs w:val="20"/>
          <w:color w:val="auto"/>
        </w:rPr>
      </w:pPr>
    </w:p>
    <w:p>
      <w:pPr>
        <w:ind w:left="4"/>
        <w:spacing w:after="0"/>
        <w:rPr>
          <w:sz w:val="20"/>
          <w:szCs w:val="20"/>
          <w:color w:val="auto"/>
        </w:rPr>
      </w:pPr>
      <w:r>
        <w:rPr>
          <w:rFonts w:ascii="Arial" w:cs="Arial" w:eastAsia="Arial" w:hAnsi="Arial"/>
          <w:sz w:val="16"/>
          <w:szCs w:val="16"/>
          <w:color w:val="auto"/>
        </w:rPr>
        <w:t>I, Robert M. Schlax, certify that:</w:t>
      </w:r>
    </w:p>
    <w:p>
      <w:pPr>
        <w:spacing w:after="0" w:line="200" w:lineRule="exact"/>
        <w:rPr>
          <w:sz w:val="20"/>
          <w:szCs w:val="20"/>
          <w:color w:val="auto"/>
        </w:rPr>
      </w:pPr>
    </w:p>
    <w:p>
      <w:pPr>
        <w:ind w:left="284" w:hanging="284"/>
        <w:spacing w:after="0"/>
        <w:tabs>
          <w:tab w:leader="none" w:pos="284" w:val="left"/>
        </w:tabs>
        <w:numPr>
          <w:ilvl w:val="0"/>
          <w:numId w:val="405"/>
        </w:numPr>
        <w:rPr>
          <w:rFonts w:ascii="Arial" w:cs="Arial" w:eastAsia="Arial" w:hAnsi="Arial"/>
          <w:sz w:val="16"/>
          <w:szCs w:val="16"/>
          <w:color w:val="auto"/>
        </w:rPr>
      </w:pPr>
      <w:r>
        <w:rPr>
          <w:rFonts w:ascii="Arial" w:cs="Arial" w:eastAsia="Arial" w:hAnsi="Arial"/>
          <w:sz w:val="16"/>
          <w:szCs w:val="16"/>
          <w:color w:val="auto"/>
        </w:rPr>
        <w:t>I have reviewed this report on Form 10-K of Pacific Enterprises;</w:t>
      </w:r>
    </w:p>
    <w:p>
      <w:pPr>
        <w:spacing w:after="0" w:line="200" w:lineRule="exact"/>
        <w:rPr>
          <w:rFonts w:ascii="Arial" w:cs="Arial" w:eastAsia="Arial" w:hAnsi="Arial"/>
          <w:sz w:val="16"/>
          <w:szCs w:val="16"/>
          <w:color w:val="auto"/>
        </w:rPr>
      </w:pPr>
    </w:p>
    <w:p>
      <w:pPr>
        <w:ind w:left="284" w:right="20" w:hanging="284"/>
        <w:spacing w:after="0" w:line="277" w:lineRule="auto"/>
        <w:tabs>
          <w:tab w:leader="none" w:pos="284" w:val="left"/>
        </w:tabs>
        <w:numPr>
          <w:ilvl w:val="0"/>
          <w:numId w:val="40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1" w:lineRule="exact"/>
        <w:rPr>
          <w:rFonts w:ascii="Arial" w:cs="Arial" w:eastAsia="Arial" w:hAnsi="Arial"/>
          <w:sz w:val="16"/>
          <w:szCs w:val="16"/>
          <w:color w:val="auto"/>
        </w:rPr>
      </w:pPr>
    </w:p>
    <w:p>
      <w:pPr>
        <w:ind w:left="284" w:right="60" w:hanging="284"/>
        <w:spacing w:after="0" w:line="277" w:lineRule="auto"/>
        <w:tabs>
          <w:tab w:leader="none" w:pos="284" w:val="left"/>
        </w:tabs>
        <w:numPr>
          <w:ilvl w:val="0"/>
          <w:numId w:val="405"/>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1" w:lineRule="exact"/>
        <w:rPr>
          <w:rFonts w:ascii="Arial" w:cs="Arial" w:eastAsia="Arial" w:hAnsi="Arial"/>
          <w:sz w:val="16"/>
          <w:szCs w:val="16"/>
          <w:color w:val="auto"/>
        </w:rPr>
      </w:pPr>
    </w:p>
    <w:p>
      <w:pPr>
        <w:ind w:left="284" w:right="20" w:hanging="284"/>
        <w:spacing w:after="0" w:line="312" w:lineRule="auto"/>
        <w:tabs>
          <w:tab w:leader="none" w:pos="284" w:val="left"/>
        </w:tabs>
        <w:numPr>
          <w:ilvl w:val="0"/>
          <w:numId w:val="405"/>
        </w:numPr>
        <w:rPr>
          <w:rFonts w:ascii="Arial" w:cs="Arial" w:eastAsia="Arial" w:hAnsi="Arial"/>
          <w:sz w:val="15"/>
          <w:szCs w:val="15"/>
          <w:color w:val="auto"/>
        </w:rPr>
      </w:pPr>
      <w:r>
        <w:rPr>
          <w:rFonts w:ascii="Arial" w:cs="Arial" w:eastAsia="Arial" w:hAnsi="Arial"/>
          <w:sz w:val="15"/>
          <w:szCs w:val="15"/>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8" w:lineRule="exact"/>
        <w:rPr>
          <w:rFonts w:ascii="Arial" w:cs="Arial" w:eastAsia="Arial" w:hAnsi="Arial"/>
          <w:sz w:val="15"/>
          <w:szCs w:val="15"/>
          <w:color w:val="auto"/>
        </w:rPr>
      </w:pPr>
    </w:p>
    <w:p>
      <w:pPr>
        <w:jc w:val="both"/>
        <w:ind w:left="864" w:right="200" w:hanging="287"/>
        <w:spacing w:after="0" w:line="264" w:lineRule="auto"/>
        <w:tabs>
          <w:tab w:leader="none" w:pos="864" w:val="left"/>
        </w:tabs>
        <w:numPr>
          <w:ilvl w:val="1"/>
          <w:numId w:val="405"/>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1" w:lineRule="exact"/>
        <w:rPr>
          <w:rFonts w:ascii="Arial" w:cs="Arial" w:eastAsia="Arial" w:hAnsi="Arial"/>
          <w:sz w:val="16"/>
          <w:szCs w:val="16"/>
          <w:color w:val="auto"/>
        </w:rPr>
      </w:pPr>
    </w:p>
    <w:p>
      <w:pPr>
        <w:ind w:left="864" w:right="240" w:hanging="287"/>
        <w:spacing w:after="0" w:line="264" w:lineRule="auto"/>
        <w:tabs>
          <w:tab w:leader="none" w:pos="864" w:val="left"/>
        </w:tabs>
        <w:numPr>
          <w:ilvl w:val="1"/>
          <w:numId w:val="405"/>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1" w:lineRule="exact"/>
        <w:rPr>
          <w:rFonts w:ascii="Arial" w:cs="Arial" w:eastAsia="Arial" w:hAnsi="Arial"/>
          <w:sz w:val="16"/>
          <w:szCs w:val="16"/>
          <w:color w:val="auto"/>
        </w:rPr>
      </w:pPr>
    </w:p>
    <w:p>
      <w:pPr>
        <w:ind w:left="864" w:right="680" w:hanging="287"/>
        <w:spacing w:after="0" w:line="277" w:lineRule="auto"/>
        <w:tabs>
          <w:tab w:leader="none" w:pos="864" w:val="left"/>
        </w:tabs>
        <w:numPr>
          <w:ilvl w:val="1"/>
          <w:numId w:val="40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1" w:lineRule="exact"/>
        <w:rPr>
          <w:rFonts w:ascii="Arial" w:cs="Arial" w:eastAsia="Arial" w:hAnsi="Arial"/>
          <w:sz w:val="16"/>
          <w:szCs w:val="16"/>
          <w:color w:val="auto"/>
        </w:rPr>
      </w:pPr>
    </w:p>
    <w:p>
      <w:pPr>
        <w:ind w:left="864" w:right="360" w:hanging="287"/>
        <w:spacing w:after="0" w:line="264" w:lineRule="auto"/>
        <w:tabs>
          <w:tab w:leader="none" w:pos="864" w:val="left"/>
        </w:tabs>
        <w:numPr>
          <w:ilvl w:val="1"/>
          <w:numId w:val="405"/>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1" w:lineRule="exact"/>
        <w:rPr>
          <w:rFonts w:ascii="Arial" w:cs="Arial" w:eastAsia="Arial" w:hAnsi="Arial"/>
          <w:sz w:val="16"/>
          <w:szCs w:val="16"/>
          <w:color w:val="auto"/>
        </w:rPr>
      </w:pPr>
    </w:p>
    <w:p>
      <w:pPr>
        <w:ind w:left="284" w:right="200" w:hanging="284"/>
        <w:spacing w:after="0" w:line="277" w:lineRule="auto"/>
        <w:tabs>
          <w:tab w:leader="none" w:pos="284" w:val="left"/>
        </w:tabs>
        <w:numPr>
          <w:ilvl w:val="0"/>
          <w:numId w:val="405"/>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51" w:lineRule="exact"/>
        <w:rPr>
          <w:rFonts w:ascii="Arial" w:cs="Arial" w:eastAsia="Arial" w:hAnsi="Arial"/>
          <w:sz w:val="16"/>
          <w:szCs w:val="16"/>
          <w:color w:val="auto"/>
        </w:rPr>
      </w:pPr>
    </w:p>
    <w:p>
      <w:pPr>
        <w:ind w:left="864" w:right="180" w:hanging="287"/>
        <w:spacing w:after="0" w:line="277" w:lineRule="auto"/>
        <w:tabs>
          <w:tab w:leader="none" w:pos="864" w:val="left"/>
        </w:tabs>
        <w:numPr>
          <w:ilvl w:val="1"/>
          <w:numId w:val="40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1" w:lineRule="exact"/>
        <w:rPr>
          <w:rFonts w:ascii="Arial" w:cs="Arial" w:eastAsia="Arial" w:hAnsi="Arial"/>
          <w:sz w:val="16"/>
          <w:szCs w:val="16"/>
          <w:color w:val="auto"/>
        </w:rPr>
      </w:pPr>
    </w:p>
    <w:p>
      <w:pPr>
        <w:ind w:left="864" w:right="460" w:hanging="287"/>
        <w:spacing w:after="0" w:line="277" w:lineRule="auto"/>
        <w:tabs>
          <w:tab w:leader="none" w:pos="864" w:val="left"/>
        </w:tabs>
        <w:numPr>
          <w:ilvl w:val="1"/>
          <w:numId w:val="405"/>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152" w:lineRule="exact"/>
        <w:rPr>
          <w:sz w:val="20"/>
          <w:szCs w:val="20"/>
          <w:color w:val="auto"/>
        </w:rPr>
      </w:pPr>
    </w:p>
    <w:p>
      <w:pPr>
        <w:ind w:left="584"/>
        <w:spacing w:after="0"/>
        <w:rPr>
          <w:sz w:val="20"/>
          <w:szCs w:val="20"/>
          <w:color w:val="auto"/>
        </w:rPr>
      </w:pPr>
      <w:r>
        <w:rPr>
          <w:rFonts w:ascii="Arial" w:cs="Arial" w:eastAsia="Arial" w:hAnsi="Arial"/>
          <w:sz w:val="16"/>
          <w:szCs w:val="16"/>
          <w:color w:val="auto"/>
        </w:rPr>
        <w:t>February 24, 2009</w:t>
      </w:r>
    </w:p>
    <w:p>
      <w:pPr>
        <w:spacing w:after="0" w:line="236" w:lineRule="exact"/>
        <w:rPr>
          <w:sz w:val="20"/>
          <w:szCs w:val="20"/>
          <w:color w:val="auto"/>
        </w:rPr>
      </w:pPr>
    </w:p>
    <w:p>
      <w:pPr>
        <w:ind w:left="10024"/>
        <w:spacing w:after="0"/>
        <w:rPr>
          <w:sz w:val="20"/>
          <w:szCs w:val="20"/>
          <w:color w:val="auto"/>
        </w:rPr>
      </w:pPr>
      <w:r>
        <w:rPr>
          <w:rFonts w:ascii="Arial" w:cs="Arial" w:eastAsia="Arial" w:hAnsi="Arial"/>
          <w:sz w:val="15"/>
          <w:szCs w:val="15"/>
          <w:color w:val="auto"/>
        </w:rPr>
        <w:t>/S/ Robert M. Schlax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5537835</wp:posOffset>
            </wp:positionH>
            <wp:positionV relativeFrom="paragraph">
              <wp:posOffset>27940</wp:posOffset>
            </wp:positionV>
            <wp:extent cx="1724025" cy="762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1724025" cy="7620"/>
                    </a:xfrm>
                    <a:prstGeom prst="rect">
                      <a:avLst/>
                    </a:prstGeom>
                    <a:noFill/>
                  </pic:spPr>
                </pic:pic>
              </a:graphicData>
            </a:graphic>
          </wp:anchor>
        </w:drawing>
      </w:r>
    </w:p>
    <w:p>
      <w:pPr>
        <w:spacing w:after="0" w:line="36" w:lineRule="exact"/>
        <w:rPr>
          <w:sz w:val="20"/>
          <w:szCs w:val="20"/>
          <w:color w:val="auto"/>
        </w:rPr>
      </w:pPr>
    </w:p>
    <w:p>
      <w:pPr>
        <w:ind w:left="10284"/>
        <w:spacing w:after="0"/>
        <w:rPr>
          <w:sz w:val="20"/>
          <w:szCs w:val="20"/>
          <w:color w:val="auto"/>
        </w:rPr>
      </w:pPr>
      <w:r>
        <w:rPr>
          <w:rFonts w:ascii="Arial" w:cs="Arial" w:eastAsia="Arial" w:hAnsi="Arial"/>
          <w:sz w:val="15"/>
          <w:szCs w:val="15"/>
          <w:color w:val="auto"/>
        </w:rPr>
        <w:t>Robert M. Schlax</w:t>
      </w:r>
    </w:p>
    <w:p>
      <w:pPr>
        <w:spacing w:after="0" w:line="44" w:lineRule="exact"/>
        <w:rPr>
          <w:sz w:val="20"/>
          <w:szCs w:val="20"/>
          <w:color w:val="auto"/>
        </w:rPr>
      </w:pPr>
    </w:p>
    <w:p>
      <w:pPr>
        <w:ind w:left="9924"/>
        <w:spacing w:after="0"/>
        <w:rPr>
          <w:sz w:val="20"/>
          <w:szCs w:val="20"/>
          <w:color w:val="auto"/>
        </w:rPr>
      </w:pPr>
      <w:r>
        <w:rPr>
          <w:rFonts w:ascii="Arial" w:cs="Arial" w:eastAsia="Arial" w:hAnsi="Arial"/>
          <w:sz w:val="15"/>
          <w:szCs w:val="15"/>
          <w:color w:val="auto"/>
        </w:rPr>
        <w:t>Chief Financial Officer</w:t>
      </w:r>
    </w:p>
    <w:p>
      <w:pPr>
        <w:sectPr>
          <w:pgSz w:w="11900" w:h="16838" w:orient="portrait"/>
          <w:cols w:equalWidth="0" w:num="1">
            <w:col w:w="11444"/>
          </w:cols>
          <w:pgMar w:left="236" w:top="127" w:right="219" w:bottom="1440" w:gutter="0" w:footer="0" w:header="0"/>
        </w:sectPr>
      </w:pPr>
    </w:p>
    <w:bookmarkStart w:id="339" w:name="page340"/>
    <w:bookmarkEnd w:id="339"/>
    <w:p>
      <w:pPr>
        <w:jc w:val="right"/>
        <w:spacing w:after="0"/>
        <w:rPr>
          <w:sz w:val="20"/>
          <w:szCs w:val="20"/>
          <w:color w:val="auto"/>
        </w:rPr>
      </w:pPr>
      <w:r>
        <w:rPr>
          <w:rFonts w:ascii="Arial" w:cs="Arial" w:eastAsia="Arial" w:hAnsi="Arial"/>
          <w:sz w:val="16"/>
          <w:szCs w:val="16"/>
          <w:color w:val="auto"/>
        </w:rPr>
        <w:t>EXHIBIT 31.7</w:t>
      </w:r>
    </w:p>
    <w:p>
      <w:pPr>
        <w:spacing w:after="0" w:line="21"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CERTIFICATION</w:t>
      </w:r>
    </w:p>
    <w:p>
      <w:pPr>
        <w:spacing w:after="0" w:line="188" w:lineRule="exact"/>
        <w:rPr>
          <w:sz w:val="20"/>
          <w:szCs w:val="20"/>
          <w:color w:val="auto"/>
        </w:rPr>
      </w:pPr>
    </w:p>
    <w:p>
      <w:pPr>
        <w:ind w:left="4"/>
        <w:spacing w:after="0"/>
        <w:rPr>
          <w:sz w:val="20"/>
          <w:szCs w:val="20"/>
          <w:color w:val="auto"/>
        </w:rPr>
      </w:pPr>
      <w:r>
        <w:rPr>
          <w:rFonts w:ascii="Arial" w:cs="Arial" w:eastAsia="Arial" w:hAnsi="Arial"/>
          <w:sz w:val="16"/>
          <w:szCs w:val="16"/>
          <w:color w:val="auto"/>
        </w:rPr>
        <w:t>I, Debra L. Reed, certify that:</w:t>
      </w:r>
    </w:p>
    <w:p>
      <w:pPr>
        <w:spacing w:after="0" w:line="200" w:lineRule="exact"/>
        <w:rPr>
          <w:sz w:val="20"/>
          <w:szCs w:val="20"/>
          <w:color w:val="auto"/>
        </w:rPr>
      </w:pPr>
    </w:p>
    <w:p>
      <w:pPr>
        <w:ind w:left="284" w:hanging="284"/>
        <w:spacing w:after="0"/>
        <w:tabs>
          <w:tab w:leader="none" w:pos="284" w:val="left"/>
        </w:tabs>
        <w:numPr>
          <w:ilvl w:val="0"/>
          <w:numId w:val="406"/>
        </w:numPr>
        <w:rPr>
          <w:rFonts w:ascii="Arial" w:cs="Arial" w:eastAsia="Arial" w:hAnsi="Arial"/>
          <w:sz w:val="16"/>
          <w:szCs w:val="16"/>
          <w:color w:val="auto"/>
        </w:rPr>
      </w:pPr>
      <w:r>
        <w:rPr>
          <w:rFonts w:ascii="Arial" w:cs="Arial" w:eastAsia="Arial" w:hAnsi="Arial"/>
          <w:sz w:val="16"/>
          <w:szCs w:val="16"/>
          <w:color w:val="auto"/>
        </w:rPr>
        <w:t>I have reviewed this report on Form 10-K of Southern California Gas Company;</w:t>
      </w:r>
    </w:p>
    <w:p>
      <w:pPr>
        <w:spacing w:after="0" w:line="200" w:lineRule="exact"/>
        <w:rPr>
          <w:rFonts w:ascii="Arial" w:cs="Arial" w:eastAsia="Arial" w:hAnsi="Arial"/>
          <w:sz w:val="16"/>
          <w:szCs w:val="16"/>
          <w:color w:val="auto"/>
        </w:rPr>
      </w:pPr>
    </w:p>
    <w:p>
      <w:pPr>
        <w:ind w:left="284" w:right="20" w:hanging="284"/>
        <w:spacing w:after="0" w:line="277" w:lineRule="auto"/>
        <w:tabs>
          <w:tab w:leader="none" w:pos="284" w:val="left"/>
        </w:tabs>
        <w:numPr>
          <w:ilvl w:val="0"/>
          <w:numId w:val="40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1" w:lineRule="exact"/>
        <w:rPr>
          <w:rFonts w:ascii="Arial" w:cs="Arial" w:eastAsia="Arial" w:hAnsi="Arial"/>
          <w:sz w:val="16"/>
          <w:szCs w:val="16"/>
          <w:color w:val="auto"/>
        </w:rPr>
      </w:pPr>
    </w:p>
    <w:p>
      <w:pPr>
        <w:ind w:left="284" w:right="60" w:hanging="284"/>
        <w:spacing w:after="0" w:line="277" w:lineRule="auto"/>
        <w:tabs>
          <w:tab w:leader="none" w:pos="284" w:val="left"/>
        </w:tabs>
        <w:numPr>
          <w:ilvl w:val="0"/>
          <w:numId w:val="406"/>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1" w:lineRule="exact"/>
        <w:rPr>
          <w:rFonts w:ascii="Arial" w:cs="Arial" w:eastAsia="Arial" w:hAnsi="Arial"/>
          <w:sz w:val="16"/>
          <w:szCs w:val="16"/>
          <w:color w:val="auto"/>
        </w:rPr>
      </w:pPr>
    </w:p>
    <w:p>
      <w:pPr>
        <w:ind w:left="284" w:right="20" w:hanging="284"/>
        <w:spacing w:after="0" w:line="312" w:lineRule="auto"/>
        <w:tabs>
          <w:tab w:leader="none" w:pos="284" w:val="left"/>
        </w:tabs>
        <w:numPr>
          <w:ilvl w:val="0"/>
          <w:numId w:val="406"/>
        </w:numPr>
        <w:rPr>
          <w:rFonts w:ascii="Arial" w:cs="Arial" w:eastAsia="Arial" w:hAnsi="Arial"/>
          <w:sz w:val="15"/>
          <w:szCs w:val="15"/>
          <w:color w:val="auto"/>
        </w:rPr>
      </w:pPr>
      <w:r>
        <w:rPr>
          <w:rFonts w:ascii="Arial" w:cs="Arial" w:eastAsia="Arial" w:hAnsi="Arial"/>
          <w:sz w:val="15"/>
          <w:szCs w:val="15"/>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8" w:lineRule="exact"/>
        <w:rPr>
          <w:rFonts w:ascii="Arial" w:cs="Arial" w:eastAsia="Arial" w:hAnsi="Arial"/>
          <w:sz w:val="15"/>
          <w:szCs w:val="15"/>
          <w:color w:val="auto"/>
        </w:rPr>
      </w:pPr>
    </w:p>
    <w:p>
      <w:pPr>
        <w:jc w:val="both"/>
        <w:ind w:left="864" w:right="200" w:hanging="287"/>
        <w:spacing w:after="0" w:line="264" w:lineRule="auto"/>
        <w:tabs>
          <w:tab w:leader="none" w:pos="864" w:val="left"/>
        </w:tabs>
        <w:numPr>
          <w:ilvl w:val="1"/>
          <w:numId w:val="406"/>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1" w:lineRule="exact"/>
        <w:rPr>
          <w:rFonts w:ascii="Arial" w:cs="Arial" w:eastAsia="Arial" w:hAnsi="Arial"/>
          <w:sz w:val="16"/>
          <w:szCs w:val="16"/>
          <w:color w:val="auto"/>
        </w:rPr>
      </w:pPr>
    </w:p>
    <w:p>
      <w:pPr>
        <w:ind w:left="864" w:right="240" w:hanging="287"/>
        <w:spacing w:after="0" w:line="264" w:lineRule="auto"/>
        <w:tabs>
          <w:tab w:leader="none" w:pos="864" w:val="left"/>
        </w:tabs>
        <w:numPr>
          <w:ilvl w:val="1"/>
          <w:numId w:val="406"/>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1" w:lineRule="exact"/>
        <w:rPr>
          <w:rFonts w:ascii="Arial" w:cs="Arial" w:eastAsia="Arial" w:hAnsi="Arial"/>
          <w:sz w:val="16"/>
          <w:szCs w:val="16"/>
          <w:color w:val="auto"/>
        </w:rPr>
      </w:pPr>
    </w:p>
    <w:p>
      <w:pPr>
        <w:ind w:left="864" w:right="680" w:hanging="287"/>
        <w:spacing w:after="0" w:line="277" w:lineRule="auto"/>
        <w:tabs>
          <w:tab w:leader="none" w:pos="864" w:val="left"/>
        </w:tabs>
        <w:numPr>
          <w:ilvl w:val="1"/>
          <w:numId w:val="40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1" w:lineRule="exact"/>
        <w:rPr>
          <w:rFonts w:ascii="Arial" w:cs="Arial" w:eastAsia="Arial" w:hAnsi="Arial"/>
          <w:sz w:val="16"/>
          <w:szCs w:val="16"/>
          <w:color w:val="auto"/>
        </w:rPr>
      </w:pPr>
    </w:p>
    <w:p>
      <w:pPr>
        <w:ind w:left="864" w:right="360" w:hanging="287"/>
        <w:spacing w:after="0" w:line="264" w:lineRule="auto"/>
        <w:tabs>
          <w:tab w:leader="none" w:pos="864" w:val="left"/>
        </w:tabs>
        <w:numPr>
          <w:ilvl w:val="1"/>
          <w:numId w:val="406"/>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1" w:lineRule="exact"/>
        <w:rPr>
          <w:rFonts w:ascii="Arial" w:cs="Arial" w:eastAsia="Arial" w:hAnsi="Arial"/>
          <w:sz w:val="16"/>
          <w:szCs w:val="16"/>
          <w:color w:val="auto"/>
        </w:rPr>
      </w:pPr>
    </w:p>
    <w:p>
      <w:pPr>
        <w:ind w:left="284" w:right="200" w:hanging="284"/>
        <w:spacing w:after="0" w:line="277" w:lineRule="auto"/>
        <w:tabs>
          <w:tab w:leader="none" w:pos="284" w:val="left"/>
        </w:tabs>
        <w:numPr>
          <w:ilvl w:val="0"/>
          <w:numId w:val="406"/>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51" w:lineRule="exact"/>
        <w:rPr>
          <w:rFonts w:ascii="Arial" w:cs="Arial" w:eastAsia="Arial" w:hAnsi="Arial"/>
          <w:sz w:val="16"/>
          <w:szCs w:val="16"/>
          <w:color w:val="auto"/>
        </w:rPr>
      </w:pPr>
    </w:p>
    <w:p>
      <w:pPr>
        <w:ind w:left="864" w:right="180" w:hanging="287"/>
        <w:spacing w:after="0" w:line="277" w:lineRule="auto"/>
        <w:tabs>
          <w:tab w:leader="none" w:pos="864" w:val="left"/>
        </w:tabs>
        <w:numPr>
          <w:ilvl w:val="1"/>
          <w:numId w:val="40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1" w:lineRule="exact"/>
        <w:rPr>
          <w:rFonts w:ascii="Arial" w:cs="Arial" w:eastAsia="Arial" w:hAnsi="Arial"/>
          <w:sz w:val="16"/>
          <w:szCs w:val="16"/>
          <w:color w:val="auto"/>
        </w:rPr>
      </w:pPr>
    </w:p>
    <w:p>
      <w:pPr>
        <w:ind w:left="864" w:right="460" w:hanging="287"/>
        <w:spacing w:after="0" w:line="277" w:lineRule="auto"/>
        <w:tabs>
          <w:tab w:leader="none" w:pos="864" w:val="left"/>
        </w:tabs>
        <w:numPr>
          <w:ilvl w:val="1"/>
          <w:numId w:val="406"/>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152" w:lineRule="exact"/>
        <w:rPr>
          <w:sz w:val="20"/>
          <w:szCs w:val="20"/>
          <w:color w:val="auto"/>
        </w:rPr>
      </w:pPr>
    </w:p>
    <w:p>
      <w:pPr>
        <w:ind w:left="584"/>
        <w:spacing w:after="0"/>
        <w:rPr>
          <w:sz w:val="20"/>
          <w:szCs w:val="20"/>
          <w:color w:val="auto"/>
        </w:rPr>
      </w:pPr>
      <w:r>
        <w:rPr>
          <w:rFonts w:ascii="Arial" w:cs="Arial" w:eastAsia="Arial" w:hAnsi="Arial"/>
          <w:sz w:val="16"/>
          <w:szCs w:val="16"/>
          <w:color w:val="auto"/>
        </w:rPr>
        <w:t>February 24, 2009</w:t>
      </w:r>
    </w:p>
    <w:p>
      <w:pPr>
        <w:spacing w:after="0" w:line="236" w:lineRule="exact"/>
        <w:rPr>
          <w:sz w:val="20"/>
          <w:szCs w:val="20"/>
          <w:color w:val="auto"/>
        </w:rPr>
      </w:pPr>
    </w:p>
    <w:p>
      <w:pPr>
        <w:ind w:left="10224"/>
        <w:spacing w:after="0"/>
        <w:rPr>
          <w:sz w:val="20"/>
          <w:szCs w:val="20"/>
          <w:color w:val="auto"/>
        </w:rPr>
      </w:pPr>
      <w:r>
        <w:rPr>
          <w:rFonts w:ascii="Arial" w:cs="Arial" w:eastAsia="Arial" w:hAnsi="Arial"/>
          <w:sz w:val="15"/>
          <w:szCs w:val="15"/>
          <w:color w:val="auto"/>
        </w:rPr>
        <w:t>/S/ Debra L. Reed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5125720</wp:posOffset>
            </wp:positionH>
            <wp:positionV relativeFrom="paragraph">
              <wp:posOffset>27940</wp:posOffset>
            </wp:positionV>
            <wp:extent cx="2135505" cy="762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2135505" cy="7620"/>
                    </a:xfrm>
                    <a:prstGeom prst="rect">
                      <a:avLst/>
                    </a:prstGeom>
                    <a:noFill/>
                  </pic:spPr>
                </pic:pic>
              </a:graphicData>
            </a:graphic>
          </wp:anchor>
        </w:drawing>
      </w:r>
    </w:p>
    <w:p>
      <w:pPr>
        <w:spacing w:after="0" w:line="36" w:lineRule="exact"/>
        <w:rPr>
          <w:sz w:val="20"/>
          <w:szCs w:val="20"/>
          <w:color w:val="auto"/>
        </w:rPr>
      </w:pPr>
    </w:p>
    <w:p>
      <w:pPr>
        <w:ind w:left="10484"/>
        <w:spacing w:after="0"/>
        <w:rPr>
          <w:sz w:val="20"/>
          <w:szCs w:val="20"/>
          <w:color w:val="auto"/>
        </w:rPr>
      </w:pPr>
      <w:r>
        <w:rPr>
          <w:rFonts w:ascii="Arial" w:cs="Arial" w:eastAsia="Arial" w:hAnsi="Arial"/>
          <w:sz w:val="14"/>
          <w:szCs w:val="14"/>
          <w:color w:val="auto"/>
        </w:rPr>
        <w:t>Debra L. Reed</w:t>
      </w:r>
    </w:p>
    <w:p>
      <w:pPr>
        <w:spacing w:after="0" w:line="55" w:lineRule="exact"/>
        <w:rPr>
          <w:sz w:val="20"/>
          <w:szCs w:val="20"/>
          <w:color w:val="auto"/>
        </w:rPr>
      </w:pPr>
    </w:p>
    <w:p>
      <w:pPr>
        <w:ind w:left="9884"/>
        <w:spacing w:after="0"/>
        <w:rPr>
          <w:sz w:val="20"/>
          <w:szCs w:val="20"/>
          <w:color w:val="auto"/>
        </w:rPr>
      </w:pPr>
      <w:r>
        <w:rPr>
          <w:rFonts w:ascii="Arial" w:cs="Arial" w:eastAsia="Arial" w:hAnsi="Arial"/>
          <w:sz w:val="15"/>
          <w:szCs w:val="15"/>
          <w:color w:val="auto"/>
        </w:rPr>
        <w:t>Chief Executive Officer</w:t>
      </w:r>
    </w:p>
    <w:p>
      <w:pPr>
        <w:sectPr>
          <w:pgSz w:w="11900" w:h="16838" w:orient="portrait"/>
          <w:cols w:equalWidth="0" w:num="1">
            <w:col w:w="11444"/>
          </w:cols>
          <w:pgMar w:left="236" w:top="127" w:right="219" w:bottom="1440" w:gutter="0" w:footer="0" w:header="0"/>
        </w:sectPr>
      </w:pPr>
    </w:p>
    <w:bookmarkStart w:id="340" w:name="page341"/>
    <w:bookmarkEnd w:id="340"/>
    <w:p>
      <w:pPr>
        <w:jc w:val="right"/>
        <w:spacing w:after="0"/>
        <w:rPr>
          <w:sz w:val="20"/>
          <w:szCs w:val="20"/>
          <w:color w:val="auto"/>
        </w:rPr>
      </w:pPr>
      <w:r>
        <w:rPr>
          <w:rFonts w:ascii="Arial" w:cs="Arial" w:eastAsia="Arial" w:hAnsi="Arial"/>
          <w:sz w:val="16"/>
          <w:szCs w:val="16"/>
          <w:color w:val="auto"/>
        </w:rPr>
        <w:t>EXHIBIT 31.8</w:t>
      </w:r>
    </w:p>
    <w:p>
      <w:pPr>
        <w:spacing w:after="0" w:line="21"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CERTIFICATION</w:t>
      </w:r>
    </w:p>
    <w:p>
      <w:pPr>
        <w:spacing w:after="0" w:line="188" w:lineRule="exact"/>
        <w:rPr>
          <w:sz w:val="20"/>
          <w:szCs w:val="20"/>
          <w:color w:val="auto"/>
        </w:rPr>
      </w:pPr>
    </w:p>
    <w:p>
      <w:pPr>
        <w:ind w:left="4"/>
        <w:spacing w:after="0"/>
        <w:rPr>
          <w:sz w:val="20"/>
          <w:szCs w:val="20"/>
          <w:color w:val="auto"/>
        </w:rPr>
      </w:pPr>
      <w:r>
        <w:rPr>
          <w:rFonts w:ascii="Arial" w:cs="Arial" w:eastAsia="Arial" w:hAnsi="Arial"/>
          <w:sz w:val="16"/>
          <w:szCs w:val="16"/>
          <w:color w:val="auto"/>
        </w:rPr>
        <w:t>I, Robert M. Schlax, certify that:</w:t>
      </w:r>
    </w:p>
    <w:p>
      <w:pPr>
        <w:spacing w:after="0" w:line="200" w:lineRule="exact"/>
        <w:rPr>
          <w:sz w:val="20"/>
          <w:szCs w:val="20"/>
          <w:color w:val="auto"/>
        </w:rPr>
      </w:pPr>
    </w:p>
    <w:p>
      <w:pPr>
        <w:ind w:left="284" w:hanging="284"/>
        <w:spacing w:after="0"/>
        <w:tabs>
          <w:tab w:leader="none" w:pos="284" w:val="left"/>
        </w:tabs>
        <w:numPr>
          <w:ilvl w:val="0"/>
          <w:numId w:val="407"/>
        </w:numPr>
        <w:rPr>
          <w:rFonts w:ascii="Arial" w:cs="Arial" w:eastAsia="Arial" w:hAnsi="Arial"/>
          <w:sz w:val="16"/>
          <w:szCs w:val="16"/>
          <w:color w:val="auto"/>
        </w:rPr>
      </w:pPr>
      <w:r>
        <w:rPr>
          <w:rFonts w:ascii="Arial" w:cs="Arial" w:eastAsia="Arial" w:hAnsi="Arial"/>
          <w:sz w:val="16"/>
          <w:szCs w:val="16"/>
          <w:color w:val="auto"/>
        </w:rPr>
        <w:t>I have reviewed this report on Form 10-K of Southern California Gas Company;</w:t>
      </w:r>
    </w:p>
    <w:p>
      <w:pPr>
        <w:spacing w:after="0" w:line="200" w:lineRule="exact"/>
        <w:rPr>
          <w:rFonts w:ascii="Arial" w:cs="Arial" w:eastAsia="Arial" w:hAnsi="Arial"/>
          <w:sz w:val="16"/>
          <w:szCs w:val="16"/>
          <w:color w:val="auto"/>
        </w:rPr>
      </w:pPr>
    </w:p>
    <w:p>
      <w:pPr>
        <w:ind w:left="284" w:right="20" w:hanging="284"/>
        <w:spacing w:after="0" w:line="277" w:lineRule="auto"/>
        <w:tabs>
          <w:tab w:leader="none" w:pos="284" w:val="left"/>
        </w:tabs>
        <w:numPr>
          <w:ilvl w:val="0"/>
          <w:numId w:val="40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1" w:lineRule="exact"/>
        <w:rPr>
          <w:rFonts w:ascii="Arial" w:cs="Arial" w:eastAsia="Arial" w:hAnsi="Arial"/>
          <w:sz w:val="16"/>
          <w:szCs w:val="16"/>
          <w:color w:val="auto"/>
        </w:rPr>
      </w:pPr>
    </w:p>
    <w:p>
      <w:pPr>
        <w:ind w:left="284" w:right="60" w:hanging="284"/>
        <w:spacing w:after="0" w:line="277" w:lineRule="auto"/>
        <w:tabs>
          <w:tab w:leader="none" w:pos="284" w:val="left"/>
        </w:tabs>
        <w:numPr>
          <w:ilvl w:val="0"/>
          <w:numId w:val="407"/>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1" w:lineRule="exact"/>
        <w:rPr>
          <w:rFonts w:ascii="Arial" w:cs="Arial" w:eastAsia="Arial" w:hAnsi="Arial"/>
          <w:sz w:val="16"/>
          <w:szCs w:val="16"/>
          <w:color w:val="auto"/>
        </w:rPr>
      </w:pPr>
    </w:p>
    <w:p>
      <w:pPr>
        <w:ind w:left="284" w:right="20" w:hanging="284"/>
        <w:spacing w:after="0" w:line="312" w:lineRule="auto"/>
        <w:tabs>
          <w:tab w:leader="none" w:pos="284" w:val="left"/>
        </w:tabs>
        <w:numPr>
          <w:ilvl w:val="0"/>
          <w:numId w:val="407"/>
        </w:numPr>
        <w:rPr>
          <w:rFonts w:ascii="Arial" w:cs="Arial" w:eastAsia="Arial" w:hAnsi="Arial"/>
          <w:sz w:val="15"/>
          <w:szCs w:val="15"/>
          <w:color w:val="auto"/>
        </w:rPr>
      </w:pPr>
      <w:r>
        <w:rPr>
          <w:rFonts w:ascii="Arial" w:cs="Arial" w:eastAsia="Arial" w:hAnsi="Arial"/>
          <w:sz w:val="15"/>
          <w:szCs w:val="15"/>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8" w:lineRule="exact"/>
        <w:rPr>
          <w:rFonts w:ascii="Arial" w:cs="Arial" w:eastAsia="Arial" w:hAnsi="Arial"/>
          <w:sz w:val="15"/>
          <w:szCs w:val="15"/>
          <w:color w:val="auto"/>
        </w:rPr>
      </w:pPr>
    </w:p>
    <w:p>
      <w:pPr>
        <w:jc w:val="both"/>
        <w:ind w:left="864" w:right="200" w:hanging="287"/>
        <w:spacing w:after="0" w:line="264" w:lineRule="auto"/>
        <w:tabs>
          <w:tab w:leader="none" w:pos="864" w:val="left"/>
        </w:tabs>
        <w:numPr>
          <w:ilvl w:val="1"/>
          <w:numId w:val="407"/>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1" w:lineRule="exact"/>
        <w:rPr>
          <w:rFonts w:ascii="Arial" w:cs="Arial" w:eastAsia="Arial" w:hAnsi="Arial"/>
          <w:sz w:val="16"/>
          <w:szCs w:val="16"/>
          <w:color w:val="auto"/>
        </w:rPr>
      </w:pPr>
    </w:p>
    <w:p>
      <w:pPr>
        <w:ind w:left="864" w:right="240" w:hanging="287"/>
        <w:spacing w:after="0" w:line="264" w:lineRule="auto"/>
        <w:tabs>
          <w:tab w:leader="none" w:pos="864" w:val="left"/>
        </w:tabs>
        <w:numPr>
          <w:ilvl w:val="1"/>
          <w:numId w:val="407"/>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1" w:lineRule="exact"/>
        <w:rPr>
          <w:rFonts w:ascii="Arial" w:cs="Arial" w:eastAsia="Arial" w:hAnsi="Arial"/>
          <w:sz w:val="16"/>
          <w:szCs w:val="16"/>
          <w:color w:val="auto"/>
        </w:rPr>
      </w:pPr>
    </w:p>
    <w:p>
      <w:pPr>
        <w:ind w:left="864" w:right="680" w:hanging="287"/>
        <w:spacing w:after="0" w:line="277" w:lineRule="auto"/>
        <w:tabs>
          <w:tab w:leader="none" w:pos="864" w:val="left"/>
        </w:tabs>
        <w:numPr>
          <w:ilvl w:val="1"/>
          <w:numId w:val="40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1" w:lineRule="exact"/>
        <w:rPr>
          <w:rFonts w:ascii="Arial" w:cs="Arial" w:eastAsia="Arial" w:hAnsi="Arial"/>
          <w:sz w:val="16"/>
          <w:szCs w:val="16"/>
          <w:color w:val="auto"/>
        </w:rPr>
      </w:pPr>
    </w:p>
    <w:p>
      <w:pPr>
        <w:ind w:left="864" w:right="360" w:hanging="287"/>
        <w:spacing w:after="0" w:line="264" w:lineRule="auto"/>
        <w:tabs>
          <w:tab w:leader="none" w:pos="864" w:val="left"/>
        </w:tabs>
        <w:numPr>
          <w:ilvl w:val="1"/>
          <w:numId w:val="407"/>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1" w:lineRule="exact"/>
        <w:rPr>
          <w:rFonts w:ascii="Arial" w:cs="Arial" w:eastAsia="Arial" w:hAnsi="Arial"/>
          <w:sz w:val="16"/>
          <w:szCs w:val="16"/>
          <w:color w:val="auto"/>
        </w:rPr>
      </w:pPr>
    </w:p>
    <w:p>
      <w:pPr>
        <w:ind w:left="284" w:right="200" w:hanging="284"/>
        <w:spacing w:after="0" w:line="277" w:lineRule="auto"/>
        <w:tabs>
          <w:tab w:leader="none" w:pos="284" w:val="left"/>
        </w:tabs>
        <w:numPr>
          <w:ilvl w:val="0"/>
          <w:numId w:val="407"/>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51" w:lineRule="exact"/>
        <w:rPr>
          <w:rFonts w:ascii="Arial" w:cs="Arial" w:eastAsia="Arial" w:hAnsi="Arial"/>
          <w:sz w:val="16"/>
          <w:szCs w:val="16"/>
          <w:color w:val="auto"/>
        </w:rPr>
      </w:pPr>
    </w:p>
    <w:p>
      <w:pPr>
        <w:ind w:left="864" w:right="180" w:hanging="287"/>
        <w:spacing w:after="0" w:line="277" w:lineRule="auto"/>
        <w:tabs>
          <w:tab w:leader="none" w:pos="864" w:val="left"/>
        </w:tabs>
        <w:numPr>
          <w:ilvl w:val="1"/>
          <w:numId w:val="40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1" w:lineRule="exact"/>
        <w:rPr>
          <w:rFonts w:ascii="Arial" w:cs="Arial" w:eastAsia="Arial" w:hAnsi="Arial"/>
          <w:sz w:val="16"/>
          <w:szCs w:val="16"/>
          <w:color w:val="auto"/>
        </w:rPr>
      </w:pPr>
    </w:p>
    <w:p>
      <w:pPr>
        <w:ind w:left="864" w:right="460" w:hanging="287"/>
        <w:spacing w:after="0" w:line="277" w:lineRule="auto"/>
        <w:tabs>
          <w:tab w:leader="none" w:pos="864" w:val="left"/>
        </w:tabs>
        <w:numPr>
          <w:ilvl w:val="1"/>
          <w:numId w:val="407"/>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152" w:lineRule="exact"/>
        <w:rPr>
          <w:sz w:val="20"/>
          <w:szCs w:val="20"/>
          <w:color w:val="auto"/>
        </w:rPr>
      </w:pPr>
    </w:p>
    <w:p>
      <w:pPr>
        <w:ind w:left="584"/>
        <w:spacing w:after="0"/>
        <w:rPr>
          <w:sz w:val="20"/>
          <w:szCs w:val="20"/>
          <w:color w:val="auto"/>
        </w:rPr>
      </w:pPr>
      <w:r>
        <w:rPr>
          <w:rFonts w:ascii="Arial" w:cs="Arial" w:eastAsia="Arial" w:hAnsi="Arial"/>
          <w:sz w:val="16"/>
          <w:szCs w:val="16"/>
          <w:color w:val="auto"/>
        </w:rPr>
        <w:t>February 24, 2009</w:t>
      </w:r>
    </w:p>
    <w:p>
      <w:pPr>
        <w:spacing w:after="0" w:line="236" w:lineRule="exact"/>
        <w:rPr>
          <w:sz w:val="20"/>
          <w:szCs w:val="20"/>
          <w:color w:val="auto"/>
        </w:rPr>
      </w:pPr>
    </w:p>
    <w:p>
      <w:pPr>
        <w:ind w:left="10024"/>
        <w:spacing w:after="0"/>
        <w:rPr>
          <w:sz w:val="20"/>
          <w:szCs w:val="20"/>
          <w:color w:val="auto"/>
        </w:rPr>
      </w:pPr>
      <w:r>
        <w:rPr>
          <w:rFonts w:ascii="Arial" w:cs="Arial" w:eastAsia="Arial" w:hAnsi="Arial"/>
          <w:sz w:val="15"/>
          <w:szCs w:val="15"/>
          <w:color w:val="auto"/>
        </w:rPr>
        <w:t>/S/ Robert M. Schlax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5217795</wp:posOffset>
            </wp:positionH>
            <wp:positionV relativeFrom="paragraph">
              <wp:posOffset>27940</wp:posOffset>
            </wp:positionV>
            <wp:extent cx="2044065" cy="762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2044065" cy="7620"/>
                    </a:xfrm>
                    <a:prstGeom prst="rect">
                      <a:avLst/>
                    </a:prstGeom>
                    <a:noFill/>
                  </pic:spPr>
                </pic:pic>
              </a:graphicData>
            </a:graphic>
          </wp:anchor>
        </w:drawing>
      </w:r>
    </w:p>
    <w:p>
      <w:pPr>
        <w:spacing w:after="0" w:line="36" w:lineRule="exact"/>
        <w:rPr>
          <w:sz w:val="20"/>
          <w:szCs w:val="20"/>
          <w:color w:val="auto"/>
        </w:rPr>
      </w:pPr>
    </w:p>
    <w:p>
      <w:pPr>
        <w:ind w:left="10284"/>
        <w:spacing w:after="0"/>
        <w:rPr>
          <w:sz w:val="20"/>
          <w:szCs w:val="20"/>
          <w:color w:val="auto"/>
        </w:rPr>
      </w:pPr>
      <w:r>
        <w:rPr>
          <w:rFonts w:ascii="Arial" w:cs="Arial" w:eastAsia="Arial" w:hAnsi="Arial"/>
          <w:sz w:val="15"/>
          <w:szCs w:val="15"/>
          <w:color w:val="auto"/>
        </w:rPr>
        <w:t>Robert M. Schlax</w:t>
      </w:r>
    </w:p>
    <w:p>
      <w:pPr>
        <w:spacing w:after="0" w:line="44" w:lineRule="exact"/>
        <w:rPr>
          <w:sz w:val="20"/>
          <w:szCs w:val="20"/>
          <w:color w:val="auto"/>
        </w:rPr>
      </w:pPr>
    </w:p>
    <w:p>
      <w:pPr>
        <w:ind w:left="9924"/>
        <w:spacing w:after="0"/>
        <w:rPr>
          <w:sz w:val="20"/>
          <w:szCs w:val="20"/>
          <w:color w:val="auto"/>
        </w:rPr>
      </w:pPr>
      <w:r>
        <w:rPr>
          <w:rFonts w:ascii="Arial" w:cs="Arial" w:eastAsia="Arial" w:hAnsi="Arial"/>
          <w:sz w:val="15"/>
          <w:szCs w:val="15"/>
          <w:color w:val="auto"/>
        </w:rPr>
        <w:t>Chief Financial Officer</w:t>
      </w:r>
    </w:p>
    <w:p>
      <w:pPr>
        <w:sectPr>
          <w:pgSz w:w="11900" w:h="16838" w:orient="portrait"/>
          <w:cols w:equalWidth="0" w:num="1">
            <w:col w:w="11444"/>
          </w:cols>
          <w:pgMar w:left="236" w:top="127" w:right="219" w:bottom="1440" w:gutter="0" w:footer="0" w:header="0"/>
        </w:sectPr>
      </w:pPr>
    </w:p>
    <w:bookmarkStart w:id="341" w:name="page342"/>
    <w:bookmarkEnd w:id="341"/>
    <w:p>
      <w:pPr>
        <w:jc w:val="right"/>
        <w:spacing w:after="0"/>
        <w:rPr>
          <w:sz w:val="20"/>
          <w:szCs w:val="20"/>
          <w:color w:val="auto"/>
        </w:rPr>
      </w:pPr>
      <w:r>
        <w:rPr>
          <w:rFonts w:ascii="Arial" w:cs="Arial" w:eastAsia="Arial" w:hAnsi="Arial"/>
          <w:sz w:val="16"/>
          <w:szCs w:val="16"/>
          <w:color w:val="auto"/>
        </w:rPr>
        <w:t>Exhibit 32.1</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Statement of Chief Executive Officer</w:t>
      </w:r>
    </w:p>
    <w:p>
      <w:pPr>
        <w:spacing w:after="0" w:line="200" w:lineRule="exact"/>
        <w:rPr>
          <w:sz w:val="20"/>
          <w:szCs w:val="20"/>
          <w:color w:val="auto"/>
        </w:rPr>
      </w:pPr>
    </w:p>
    <w:p>
      <w:pPr>
        <w:spacing w:after="0"/>
        <w:rPr>
          <w:sz w:val="20"/>
          <w:szCs w:val="20"/>
          <w:color w:val="auto"/>
        </w:rPr>
      </w:pPr>
      <w:r>
        <w:rPr>
          <w:rFonts w:ascii="Arial" w:cs="Arial" w:eastAsia="Arial" w:hAnsi="Arial"/>
          <w:sz w:val="15"/>
          <w:szCs w:val="15"/>
          <w:color w:val="auto"/>
        </w:rPr>
        <w:t>Pursuant to 18 U.S.C. Sec 1350, as created by Section 906 of the Sarbanes-Oxley Act of 2002, the undersigned Chief Executive Officer of Sempra Energy (the "Company")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certifies that:</w:t>
      </w:r>
    </w:p>
    <w:p>
      <w:pPr>
        <w:spacing w:after="0" w:line="188" w:lineRule="exact"/>
        <w:rPr>
          <w:sz w:val="20"/>
          <w:szCs w:val="20"/>
          <w:color w:val="auto"/>
        </w:rPr>
      </w:pPr>
    </w:p>
    <w:p>
      <w:pPr>
        <w:ind w:left="1140" w:right="360" w:hanging="567"/>
        <w:spacing w:after="0" w:line="351" w:lineRule="auto"/>
        <w:tabs>
          <w:tab w:leader="none" w:pos="1140" w:val="left"/>
        </w:tabs>
        <w:numPr>
          <w:ilvl w:val="0"/>
          <w:numId w:val="408"/>
        </w:numPr>
        <w:rPr>
          <w:rFonts w:ascii="Arial" w:cs="Arial" w:eastAsia="Arial" w:hAnsi="Arial"/>
          <w:sz w:val="14"/>
          <w:szCs w:val="14"/>
          <w:color w:val="auto"/>
        </w:rPr>
      </w:pPr>
      <w:r>
        <w:rPr>
          <w:rFonts w:ascii="Arial" w:cs="Arial" w:eastAsia="Arial" w:hAnsi="Arial"/>
          <w:sz w:val="14"/>
          <w:szCs w:val="14"/>
          <w:color w:val="auto"/>
        </w:rPr>
        <w:t>the Annual Report on Form 10-K of the Company filed with the Securities and Exchange Commission for the year ended December 31, 2008 (the "Annual Report") fully complies with the requirements of Section 13(a) or Section 15(d), as applicable, of the Securities Exchange Act of 1934, as amended; and</w:t>
      </w:r>
    </w:p>
    <w:p>
      <w:pPr>
        <w:spacing w:after="0" w:line="105" w:lineRule="exact"/>
        <w:rPr>
          <w:rFonts w:ascii="Arial" w:cs="Arial" w:eastAsia="Arial" w:hAnsi="Arial"/>
          <w:sz w:val="14"/>
          <w:szCs w:val="14"/>
          <w:color w:val="auto"/>
        </w:rPr>
      </w:pPr>
    </w:p>
    <w:p>
      <w:pPr>
        <w:ind w:left="1140" w:hanging="567"/>
        <w:spacing w:after="0"/>
        <w:tabs>
          <w:tab w:leader="none" w:pos="1140" w:val="left"/>
        </w:tabs>
        <w:numPr>
          <w:ilvl w:val="0"/>
          <w:numId w:val="408"/>
        </w:numPr>
        <w:rPr>
          <w:rFonts w:ascii="Arial" w:cs="Arial" w:eastAsia="Arial" w:hAnsi="Arial"/>
          <w:sz w:val="15"/>
          <w:szCs w:val="15"/>
          <w:color w:val="auto"/>
        </w:rPr>
      </w:pPr>
      <w:r>
        <w:rPr>
          <w:rFonts w:ascii="Arial" w:cs="Arial" w:eastAsia="Arial" w:hAnsi="Arial"/>
          <w:sz w:val="15"/>
          <w:szCs w:val="15"/>
          <w:color w:val="auto"/>
        </w:rPr>
        <w:t>the information contained in the Annual Report fairly presents, in all material respects, the financial condition and results of operations of the Company.</w:t>
      </w: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Arial" w:cs="Arial" w:eastAsia="Arial" w:hAnsi="Arial"/>
          <w:sz w:val="16"/>
          <w:szCs w:val="16"/>
          <w:color w:val="auto"/>
        </w:rPr>
        <w:t>February 24, 2009</w:t>
      </w:r>
    </w:p>
    <w:p>
      <w:pPr>
        <w:spacing w:after="0" w:line="321" w:lineRule="exact"/>
        <w:rPr>
          <w:sz w:val="20"/>
          <w:szCs w:val="20"/>
          <w:color w:val="auto"/>
        </w:rPr>
      </w:pPr>
    </w:p>
    <w:p>
      <w:pPr>
        <w:ind w:left="9880"/>
        <w:spacing w:after="0"/>
        <w:rPr>
          <w:sz w:val="20"/>
          <w:szCs w:val="20"/>
          <w:color w:val="auto"/>
        </w:rPr>
      </w:pPr>
      <w:r>
        <w:rPr>
          <w:rFonts w:ascii="Arial" w:cs="Arial" w:eastAsia="Arial" w:hAnsi="Arial"/>
          <w:sz w:val="15"/>
          <w:szCs w:val="15"/>
          <w:color w:val="auto"/>
        </w:rPr>
        <w:t>/S/ Donald E. Felsinger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5260975</wp:posOffset>
            </wp:positionH>
            <wp:positionV relativeFrom="paragraph">
              <wp:posOffset>27940</wp:posOffset>
            </wp:positionV>
            <wp:extent cx="1998345" cy="762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1998345" cy="7620"/>
                    </a:xfrm>
                    <a:prstGeom prst="rect">
                      <a:avLst/>
                    </a:prstGeom>
                    <a:noFill/>
                  </pic:spPr>
                </pic:pic>
              </a:graphicData>
            </a:graphic>
          </wp:anchor>
        </w:drawing>
      </w:r>
    </w:p>
    <w:p>
      <w:pPr>
        <w:spacing w:after="0" w:line="36" w:lineRule="exact"/>
        <w:rPr>
          <w:sz w:val="20"/>
          <w:szCs w:val="20"/>
          <w:color w:val="auto"/>
        </w:rPr>
      </w:pPr>
    </w:p>
    <w:p>
      <w:pPr>
        <w:ind w:left="10140"/>
        <w:spacing w:after="0"/>
        <w:rPr>
          <w:sz w:val="20"/>
          <w:szCs w:val="20"/>
          <w:color w:val="auto"/>
        </w:rPr>
      </w:pPr>
      <w:r>
        <w:rPr>
          <w:rFonts w:ascii="Arial" w:cs="Arial" w:eastAsia="Arial" w:hAnsi="Arial"/>
          <w:sz w:val="14"/>
          <w:szCs w:val="14"/>
          <w:color w:val="auto"/>
        </w:rPr>
        <w:t>Donald E. Felsinger</w:t>
      </w:r>
    </w:p>
    <w:p>
      <w:pPr>
        <w:spacing w:after="0" w:line="55" w:lineRule="exact"/>
        <w:rPr>
          <w:sz w:val="20"/>
          <w:szCs w:val="20"/>
          <w:color w:val="auto"/>
        </w:rPr>
      </w:pPr>
    </w:p>
    <w:p>
      <w:pPr>
        <w:ind w:left="9880"/>
        <w:spacing w:after="0"/>
        <w:rPr>
          <w:sz w:val="20"/>
          <w:szCs w:val="20"/>
          <w:color w:val="auto"/>
        </w:rPr>
      </w:pPr>
      <w:r>
        <w:rPr>
          <w:rFonts w:ascii="Arial" w:cs="Arial" w:eastAsia="Arial" w:hAnsi="Arial"/>
          <w:sz w:val="15"/>
          <w:szCs w:val="15"/>
          <w:color w:val="auto"/>
        </w:rPr>
        <w:t>Chief Executive Officer</w:t>
      </w:r>
    </w:p>
    <w:p>
      <w:pPr>
        <w:sectPr>
          <w:pgSz w:w="11900" w:h="16838" w:orient="portrait"/>
          <w:cols w:equalWidth="0" w:num="1">
            <w:col w:w="11440"/>
          </w:cols>
          <w:pgMar w:left="240" w:top="127" w:right="219" w:bottom="1440" w:gutter="0" w:footer="0" w:header="0"/>
        </w:sectPr>
      </w:pPr>
    </w:p>
    <w:bookmarkStart w:id="342" w:name="page343"/>
    <w:bookmarkEnd w:id="342"/>
    <w:p>
      <w:pPr>
        <w:jc w:val="right"/>
        <w:spacing w:after="0"/>
        <w:rPr>
          <w:sz w:val="20"/>
          <w:szCs w:val="20"/>
          <w:color w:val="auto"/>
        </w:rPr>
      </w:pPr>
      <w:r>
        <w:rPr>
          <w:rFonts w:ascii="Arial" w:cs="Arial" w:eastAsia="Arial" w:hAnsi="Arial"/>
          <w:sz w:val="16"/>
          <w:szCs w:val="16"/>
          <w:color w:val="auto"/>
        </w:rPr>
        <w:t>Exhibit 32.2</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Statement of Chief Financial Officer</w:t>
      </w:r>
    </w:p>
    <w:p>
      <w:pPr>
        <w:spacing w:after="0" w:line="200" w:lineRule="exact"/>
        <w:rPr>
          <w:sz w:val="20"/>
          <w:szCs w:val="20"/>
          <w:color w:val="auto"/>
        </w:rPr>
      </w:pPr>
    </w:p>
    <w:p>
      <w:pPr>
        <w:spacing w:after="0"/>
        <w:rPr>
          <w:sz w:val="20"/>
          <w:szCs w:val="20"/>
          <w:color w:val="auto"/>
        </w:rPr>
      </w:pPr>
      <w:r>
        <w:rPr>
          <w:rFonts w:ascii="Arial" w:cs="Arial" w:eastAsia="Arial" w:hAnsi="Arial"/>
          <w:sz w:val="15"/>
          <w:szCs w:val="15"/>
          <w:color w:val="auto"/>
        </w:rPr>
        <w:t>Pursuant to 18 U.S.C. Sec 1350, as created by Section 906 of the Sarbanes-Oxley Act of 2002, the undersigned Chief Financial Officer of Sempra Energy (the "Company")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certifies that:</w:t>
      </w:r>
    </w:p>
    <w:p>
      <w:pPr>
        <w:spacing w:after="0" w:line="188" w:lineRule="exact"/>
        <w:rPr>
          <w:sz w:val="20"/>
          <w:szCs w:val="20"/>
          <w:color w:val="auto"/>
        </w:rPr>
      </w:pPr>
    </w:p>
    <w:p>
      <w:pPr>
        <w:ind w:left="1140" w:right="360" w:hanging="567"/>
        <w:spacing w:after="0" w:line="351" w:lineRule="auto"/>
        <w:tabs>
          <w:tab w:leader="none" w:pos="1140" w:val="left"/>
        </w:tabs>
        <w:numPr>
          <w:ilvl w:val="0"/>
          <w:numId w:val="409"/>
        </w:numPr>
        <w:rPr>
          <w:rFonts w:ascii="Arial" w:cs="Arial" w:eastAsia="Arial" w:hAnsi="Arial"/>
          <w:sz w:val="14"/>
          <w:szCs w:val="14"/>
          <w:color w:val="auto"/>
        </w:rPr>
      </w:pPr>
      <w:r>
        <w:rPr>
          <w:rFonts w:ascii="Arial" w:cs="Arial" w:eastAsia="Arial" w:hAnsi="Arial"/>
          <w:sz w:val="14"/>
          <w:szCs w:val="14"/>
          <w:color w:val="auto"/>
        </w:rPr>
        <w:t>the Annual Report on Form 10-K of the Company filed with the Securities and Exchange Commission for the year ended December 31, 2008 (the "Annual Report") fully complies with the requirements of Section 13(a) or Section 15(d), as applicable, of the Securities Exchange Act of 1934, as amended; and</w:t>
      </w:r>
    </w:p>
    <w:p>
      <w:pPr>
        <w:spacing w:after="0" w:line="105" w:lineRule="exact"/>
        <w:rPr>
          <w:rFonts w:ascii="Arial" w:cs="Arial" w:eastAsia="Arial" w:hAnsi="Arial"/>
          <w:sz w:val="14"/>
          <w:szCs w:val="14"/>
          <w:color w:val="auto"/>
        </w:rPr>
      </w:pPr>
    </w:p>
    <w:p>
      <w:pPr>
        <w:ind w:left="1140" w:hanging="567"/>
        <w:spacing w:after="0"/>
        <w:tabs>
          <w:tab w:leader="none" w:pos="1140" w:val="left"/>
        </w:tabs>
        <w:numPr>
          <w:ilvl w:val="0"/>
          <w:numId w:val="409"/>
        </w:numPr>
        <w:rPr>
          <w:rFonts w:ascii="Arial" w:cs="Arial" w:eastAsia="Arial" w:hAnsi="Arial"/>
          <w:sz w:val="15"/>
          <w:szCs w:val="15"/>
          <w:color w:val="auto"/>
        </w:rPr>
      </w:pPr>
      <w:r>
        <w:rPr>
          <w:rFonts w:ascii="Arial" w:cs="Arial" w:eastAsia="Arial" w:hAnsi="Arial"/>
          <w:sz w:val="15"/>
          <w:szCs w:val="15"/>
          <w:color w:val="auto"/>
        </w:rPr>
        <w:t>the information contained in the Annual Report fairly presents, in all material respects, the financial condition and results of operations of the Company.</w:t>
      </w: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Arial" w:cs="Arial" w:eastAsia="Arial" w:hAnsi="Arial"/>
          <w:sz w:val="16"/>
          <w:szCs w:val="16"/>
          <w:color w:val="auto"/>
        </w:rPr>
        <w:t>February 24, 2009</w:t>
      </w:r>
    </w:p>
    <w:p>
      <w:pPr>
        <w:spacing w:after="0" w:line="321" w:lineRule="exact"/>
        <w:rPr>
          <w:sz w:val="20"/>
          <w:szCs w:val="20"/>
          <w:color w:val="auto"/>
        </w:rPr>
      </w:pPr>
    </w:p>
    <w:p>
      <w:pPr>
        <w:ind w:left="10260"/>
        <w:spacing w:after="0"/>
        <w:rPr>
          <w:sz w:val="20"/>
          <w:szCs w:val="20"/>
          <w:color w:val="auto"/>
        </w:rPr>
      </w:pPr>
      <w:r>
        <w:rPr>
          <w:rFonts w:ascii="Arial" w:cs="Arial" w:eastAsia="Arial" w:hAnsi="Arial"/>
          <w:sz w:val="15"/>
          <w:szCs w:val="15"/>
          <w:color w:val="auto"/>
        </w:rPr>
        <w:t>/S/ Mark A. Snell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5169535</wp:posOffset>
            </wp:positionH>
            <wp:positionV relativeFrom="paragraph">
              <wp:posOffset>27940</wp:posOffset>
            </wp:positionV>
            <wp:extent cx="2089785" cy="762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2089785" cy="7620"/>
                    </a:xfrm>
                    <a:prstGeom prst="rect">
                      <a:avLst/>
                    </a:prstGeom>
                    <a:noFill/>
                  </pic:spPr>
                </pic:pic>
              </a:graphicData>
            </a:graphic>
          </wp:anchor>
        </w:drawing>
      </w:r>
    </w:p>
    <w:p>
      <w:pPr>
        <w:spacing w:after="0" w:line="36" w:lineRule="exact"/>
        <w:rPr>
          <w:sz w:val="20"/>
          <w:szCs w:val="20"/>
          <w:color w:val="auto"/>
        </w:rPr>
      </w:pPr>
    </w:p>
    <w:p>
      <w:pPr>
        <w:ind w:left="10500"/>
        <w:spacing w:after="0"/>
        <w:rPr>
          <w:sz w:val="20"/>
          <w:szCs w:val="20"/>
          <w:color w:val="auto"/>
        </w:rPr>
      </w:pPr>
      <w:r>
        <w:rPr>
          <w:rFonts w:ascii="Arial" w:cs="Arial" w:eastAsia="Arial" w:hAnsi="Arial"/>
          <w:sz w:val="15"/>
          <w:szCs w:val="15"/>
          <w:color w:val="auto"/>
        </w:rPr>
        <w:t>Mark A. Snell</w:t>
      </w:r>
    </w:p>
    <w:p>
      <w:pPr>
        <w:spacing w:after="0" w:line="44" w:lineRule="exact"/>
        <w:rPr>
          <w:sz w:val="20"/>
          <w:szCs w:val="20"/>
          <w:color w:val="auto"/>
        </w:rPr>
      </w:pPr>
    </w:p>
    <w:p>
      <w:pPr>
        <w:ind w:left="9920"/>
        <w:spacing w:after="0"/>
        <w:rPr>
          <w:sz w:val="20"/>
          <w:szCs w:val="20"/>
          <w:color w:val="auto"/>
        </w:rPr>
      </w:pPr>
      <w:r>
        <w:rPr>
          <w:rFonts w:ascii="Arial" w:cs="Arial" w:eastAsia="Arial" w:hAnsi="Arial"/>
          <w:sz w:val="15"/>
          <w:szCs w:val="15"/>
          <w:color w:val="auto"/>
        </w:rPr>
        <w:t>Chief Financial Officer</w:t>
      </w:r>
    </w:p>
    <w:p>
      <w:pPr>
        <w:sectPr>
          <w:pgSz w:w="11900" w:h="16838" w:orient="portrait"/>
          <w:cols w:equalWidth="0" w:num="1">
            <w:col w:w="11440"/>
          </w:cols>
          <w:pgMar w:left="240" w:top="127" w:right="219" w:bottom="1440" w:gutter="0" w:footer="0" w:header="0"/>
        </w:sectPr>
      </w:pPr>
    </w:p>
    <w:bookmarkStart w:id="343" w:name="page344"/>
    <w:bookmarkEnd w:id="343"/>
    <w:p>
      <w:pPr>
        <w:jc w:val="right"/>
        <w:spacing w:after="0"/>
        <w:rPr>
          <w:sz w:val="20"/>
          <w:szCs w:val="20"/>
          <w:color w:val="auto"/>
        </w:rPr>
      </w:pPr>
      <w:r>
        <w:rPr>
          <w:rFonts w:ascii="Arial" w:cs="Arial" w:eastAsia="Arial" w:hAnsi="Arial"/>
          <w:sz w:val="16"/>
          <w:szCs w:val="16"/>
          <w:color w:val="auto"/>
        </w:rPr>
        <w:t>Exhibit 32.3</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Statement of Chief Executive Officer</w:t>
      </w:r>
    </w:p>
    <w:p>
      <w:pPr>
        <w:spacing w:after="0" w:line="200" w:lineRule="exact"/>
        <w:rPr>
          <w:sz w:val="20"/>
          <w:szCs w:val="20"/>
          <w:color w:val="auto"/>
        </w:rPr>
      </w:pPr>
    </w:p>
    <w:p>
      <w:pPr>
        <w:ind w:right="220"/>
        <w:spacing w:after="0" w:line="277" w:lineRule="auto"/>
        <w:rPr>
          <w:sz w:val="20"/>
          <w:szCs w:val="20"/>
          <w:color w:val="auto"/>
        </w:rPr>
      </w:pPr>
      <w:r>
        <w:rPr>
          <w:rFonts w:ascii="Arial" w:cs="Arial" w:eastAsia="Arial" w:hAnsi="Arial"/>
          <w:sz w:val="16"/>
          <w:szCs w:val="16"/>
          <w:color w:val="auto"/>
        </w:rPr>
        <w:t>Pursuant to 18 U.S.C. Sec 1350, as created by Section 906 of the Sarbanes-Oxley Act of 2002, the undersigned Chief Executive Officer of San Diego Gas &amp; Electric Company (the "Company") certifies that:</w:t>
      </w:r>
    </w:p>
    <w:p>
      <w:pPr>
        <w:spacing w:after="0" w:line="152" w:lineRule="exact"/>
        <w:rPr>
          <w:sz w:val="20"/>
          <w:szCs w:val="20"/>
          <w:color w:val="auto"/>
        </w:rPr>
      </w:pPr>
    </w:p>
    <w:p>
      <w:pPr>
        <w:ind w:left="1140" w:right="360" w:hanging="567"/>
        <w:spacing w:after="0" w:line="351" w:lineRule="auto"/>
        <w:tabs>
          <w:tab w:leader="none" w:pos="1140" w:val="left"/>
        </w:tabs>
        <w:numPr>
          <w:ilvl w:val="0"/>
          <w:numId w:val="410"/>
        </w:numPr>
        <w:rPr>
          <w:rFonts w:ascii="Arial" w:cs="Arial" w:eastAsia="Arial" w:hAnsi="Arial"/>
          <w:sz w:val="14"/>
          <w:szCs w:val="14"/>
          <w:color w:val="auto"/>
        </w:rPr>
      </w:pPr>
      <w:r>
        <w:rPr>
          <w:rFonts w:ascii="Arial" w:cs="Arial" w:eastAsia="Arial" w:hAnsi="Arial"/>
          <w:sz w:val="14"/>
          <w:szCs w:val="14"/>
          <w:color w:val="auto"/>
        </w:rPr>
        <w:t>the Annual Report on Form 10-K of the Company filed with the Securities and Exchange Commission for the year ended December 31, 2008 (the "Annual Report") fully complies with the requirements of Section 13(a) or Section 15(d), as applicable, of the Securities Exchange Act of 1934, as amended; and</w:t>
      </w:r>
    </w:p>
    <w:p>
      <w:pPr>
        <w:spacing w:after="0" w:line="105" w:lineRule="exact"/>
        <w:rPr>
          <w:rFonts w:ascii="Arial" w:cs="Arial" w:eastAsia="Arial" w:hAnsi="Arial"/>
          <w:sz w:val="14"/>
          <w:szCs w:val="14"/>
          <w:color w:val="auto"/>
        </w:rPr>
      </w:pPr>
    </w:p>
    <w:p>
      <w:pPr>
        <w:ind w:left="1140" w:hanging="567"/>
        <w:spacing w:after="0"/>
        <w:tabs>
          <w:tab w:leader="none" w:pos="1140" w:val="left"/>
        </w:tabs>
        <w:numPr>
          <w:ilvl w:val="0"/>
          <w:numId w:val="410"/>
        </w:numPr>
        <w:rPr>
          <w:rFonts w:ascii="Arial" w:cs="Arial" w:eastAsia="Arial" w:hAnsi="Arial"/>
          <w:sz w:val="15"/>
          <w:szCs w:val="15"/>
          <w:color w:val="auto"/>
        </w:rPr>
      </w:pPr>
      <w:r>
        <w:rPr>
          <w:rFonts w:ascii="Arial" w:cs="Arial" w:eastAsia="Arial" w:hAnsi="Arial"/>
          <w:sz w:val="15"/>
          <w:szCs w:val="15"/>
          <w:color w:val="auto"/>
        </w:rPr>
        <w:t>the information contained in the Annual Report fairly presents, in all material respects, the financial condition and results of operations of the Company.</w:t>
      </w: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Arial" w:cs="Arial" w:eastAsia="Arial" w:hAnsi="Arial"/>
          <w:sz w:val="16"/>
          <w:szCs w:val="16"/>
          <w:color w:val="auto"/>
        </w:rPr>
        <w:t>February 24, 2009</w:t>
      </w:r>
    </w:p>
    <w:p>
      <w:pPr>
        <w:spacing w:after="0" w:line="321" w:lineRule="exact"/>
        <w:rPr>
          <w:sz w:val="20"/>
          <w:szCs w:val="20"/>
          <w:color w:val="auto"/>
        </w:rPr>
      </w:pPr>
    </w:p>
    <w:p>
      <w:pPr>
        <w:ind w:left="10220"/>
        <w:spacing w:after="0"/>
        <w:rPr>
          <w:sz w:val="20"/>
          <w:szCs w:val="20"/>
          <w:color w:val="auto"/>
        </w:rPr>
      </w:pPr>
      <w:r>
        <w:rPr>
          <w:rFonts w:ascii="Arial" w:cs="Arial" w:eastAsia="Arial" w:hAnsi="Arial"/>
          <w:sz w:val="15"/>
          <w:szCs w:val="15"/>
          <w:color w:val="auto"/>
        </w:rPr>
        <w:t>/S/ Debra L. Reed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5123180</wp:posOffset>
            </wp:positionH>
            <wp:positionV relativeFrom="paragraph">
              <wp:posOffset>27940</wp:posOffset>
            </wp:positionV>
            <wp:extent cx="2135505" cy="762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2135505" cy="7620"/>
                    </a:xfrm>
                    <a:prstGeom prst="rect">
                      <a:avLst/>
                    </a:prstGeom>
                    <a:noFill/>
                  </pic:spPr>
                </pic:pic>
              </a:graphicData>
            </a:graphic>
          </wp:anchor>
        </w:drawing>
      </w:r>
    </w:p>
    <w:p>
      <w:pPr>
        <w:spacing w:after="0" w:line="36" w:lineRule="exact"/>
        <w:rPr>
          <w:sz w:val="20"/>
          <w:szCs w:val="20"/>
          <w:color w:val="auto"/>
        </w:rPr>
      </w:pPr>
    </w:p>
    <w:p>
      <w:pPr>
        <w:ind w:left="10480"/>
        <w:spacing w:after="0"/>
        <w:rPr>
          <w:sz w:val="20"/>
          <w:szCs w:val="20"/>
          <w:color w:val="auto"/>
        </w:rPr>
      </w:pPr>
      <w:r>
        <w:rPr>
          <w:rFonts w:ascii="Arial" w:cs="Arial" w:eastAsia="Arial" w:hAnsi="Arial"/>
          <w:sz w:val="14"/>
          <w:szCs w:val="14"/>
          <w:color w:val="auto"/>
        </w:rPr>
        <w:t>Debra L. Reed</w:t>
      </w:r>
    </w:p>
    <w:p>
      <w:pPr>
        <w:spacing w:after="0" w:line="55" w:lineRule="exact"/>
        <w:rPr>
          <w:sz w:val="20"/>
          <w:szCs w:val="20"/>
          <w:color w:val="auto"/>
        </w:rPr>
      </w:pPr>
    </w:p>
    <w:p>
      <w:pPr>
        <w:ind w:left="9880"/>
        <w:spacing w:after="0"/>
        <w:rPr>
          <w:sz w:val="20"/>
          <w:szCs w:val="20"/>
          <w:color w:val="auto"/>
        </w:rPr>
      </w:pPr>
      <w:r>
        <w:rPr>
          <w:rFonts w:ascii="Arial" w:cs="Arial" w:eastAsia="Arial" w:hAnsi="Arial"/>
          <w:sz w:val="15"/>
          <w:szCs w:val="15"/>
          <w:color w:val="auto"/>
        </w:rPr>
        <w:t>Chief Executive Officer</w:t>
      </w:r>
    </w:p>
    <w:p>
      <w:pPr>
        <w:sectPr>
          <w:pgSz w:w="11900" w:h="16838" w:orient="portrait"/>
          <w:cols w:equalWidth="0" w:num="1">
            <w:col w:w="11440"/>
          </w:cols>
          <w:pgMar w:left="240" w:top="127" w:right="219" w:bottom="1440" w:gutter="0" w:footer="0" w:header="0"/>
        </w:sectPr>
      </w:pPr>
    </w:p>
    <w:bookmarkStart w:id="344" w:name="page345"/>
    <w:bookmarkEnd w:id="344"/>
    <w:p>
      <w:pPr>
        <w:jc w:val="right"/>
        <w:spacing w:after="0"/>
        <w:rPr>
          <w:sz w:val="20"/>
          <w:szCs w:val="20"/>
          <w:color w:val="auto"/>
        </w:rPr>
      </w:pPr>
      <w:r>
        <w:rPr>
          <w:rFonts w:ascii="Arial" w:cs="Arial" w:eastAsia="Arial" w:hAnsi="Arial"/>
          <w:sz w:val="16"/>
          <w:szCs w:val="16"/>
          <w:color w:val="auto"/>
        </w:rPr>
        <w:t>Exhibit 32.4</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Statement of Chief Financial Officer</w:t>
      </w:r>
    </w:p>
    <w:p>
      <w:pPr>
        <w:spacing w:after="0" w:line="200" w:lineRule="exact"/>
        <w:rPr>
          <w:sz w:val="20"/>
          <w:szCs w:val="20"/>
          <w:color w:val="auto"/>
        </w:rPr>
      </w:pPr>
    </w:p>
    <w:p>
      <w:pPr>
        <w:ind w:right="260"/>
        <w:spacing w:after="0" w:line="277" w:lineRule="auto"/>
        <w:rPr>
          <w:sz w:val="20"/>
          <w:szCs w:val="20"/>
          <w:color w:val="auto"/>
        </w:rPr>
      </w:pPr>
      <w:r>
        <w:rPr>
          <w:rFonts w:ascii="Arial" w:cs="Arial" w:eastAsia="Arial" w:hAnsi="Arial"/>
          <w:sz w:val="16"/>
          <w:szCs w:val="16"/>
          <w:color w:val="auto"/>
        </w:rPr>
        <w:t>Pursuant to 18 U.S.C. Sec 1350, as created by Section 906 of the Sarbanes-Oxley Act of 2002, the undersigned Chief Financial Officer of San Diego Gas &amp; Electric Company (the "Company") certifies that:</w:t>
      </w:r>
    </w:p>
    <w:p>
      <w:pPr>
        <w:spacing w:after="0" w:line="152" w:lineRule="exact"/>
        <w:rPr>
          <w:sz w:val="20"/>
          <w:szCs w:val="20"/>
          <w:color w:val="auto"/>
        </w:rPr>
      </w:pPr>
    </w:p>
    <w:p>
      <w:pPr>
        <w:ind w:left="1140" w:right="360" w:hanging="567"/>
        <w:spacing w:after="0" w:line="351" w:lineRule="auto"/>
        <w:tabs>
          <w:tab w:leader="none" w:pos="1140" w:val="left"/>
        </w:tabs>
        <w:numPr>
          <w:ilvl w:val="0"/>
          <w:numId w:val="411"/>
        </w:numPr>
        <w:rPr>
          <w:rFonts w:ascii="Arial" w:cs="Arial" w:eastAsia="Arial" w:hAnsi="Arial"/>
          <w:sz w:val="14"/>
          <w:szCs w:val="14"/>
          <w:color w:val="auto"/>
        </w:rPr>
      </w:pPr>
      <w:r>
        <w:rPr>
          <w:rFonts w:ascii="Arial" w:cs="Arial" w:eastAsia="Arial" w:hAnsi="Arial"/>
          <w:sz w:val="14"/>
          <w:szCs w:val="14"/>
          <w:color w:val="auto"/>
        </w:rPr>
        <w:t>the Annual Report on Form 10-K of the Company filed with the Securities and Exchange Commission for the year ended December 31, 2008 (the "Annual Report") fully complies with the requirements of Section 13(a) or Section 15(d), as applicable, of the Securities Exchange Act of 1934, as amended; and</w:t>
      </w:r>
    </w:p>
    <w:p>
      <w:pPr>
        <w:spacing w:after="0" w:line="105" w:lineRule="exact"/>
        <w:rPr>
          <w:rFonts w:ascii="Arial" w:cs="Arial" w:eastAsia="Arial" w:hAnsi="Arial"/>
          <w:sz w:val="14"/>
          <w:szCs w:val="14"/>
          <w:color w:val="auto"/>
        </w:rPr>
      </w:pPr>
    </w:p>
    <w:p>
      <w:pPr>
        <w:ind w:left="1140" w:hanging="567"/>
        <w:spacing w:after="0"/>
        <w:tabs>
          <w:tab w:leader="none" w:pos="1140" w:val="left"/>
        </w:tabs>
        <w:numPr>
          <w:ilvl w:val="0"/>
          <w:numId w:val="411"/>
        </w:numPr>
        <w:rPr>
          <w:rFonts w:ascii="Arial" w:cs="Arial" w:eastAsia="Arial" w:hAnsi="Arial"/>
          <w:sz w:val="15"/>
          <w:szCs w:val="15"/>
          <w:color w:val="auto"/>
        </w:rPr>
      </w:pPr>
      <w:r>
        <w:rPr>
          <w:rFonts w:ascii="Arial" w:cs="Arial" w:eastAsia="Arial" w:hAnsi="Arial"/>
          <w:sz w:val="15"/>
          <w:szCs w:val="15"/>
          <w:color w:val="auto"/>
        </w:rPr>
        <w:t>the information contained in the Annual Report fairly presents, in all material respects, the financial condition and results of operations of the Company.</w:t>
      </w: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Arial" w:cs="Arial" w:eastAsia="Arial" w:hAnsi="Arial"/>
          <w:sz w:val="16"/>
          <w:szCs w:val="16"/>
          <w:color w:val="auto"/>
        </w:rPr>
        <w:t>February 24, 2009</w:t>
      </w:r>
    </w:p>
    <w:p>
      <w:pPr>
        <w:spacing w:after="0" w:line="321" w:lineRule="exact"/>
        <w:rPr>
          <w:sz w:val="20"/>
          <w:szCs w:val="20"/>
          <w:color w:val="auto"/>
        </w:rPr>
      </w:pPr>
    </w:p>
    <w:p>
      <w:pPr>
        <w:ind w:left="10020"/>
        <w:spacing w:after="0"/>
        <w:rPr>
          <w:sz w:val="20"/>
          <w:szCs w:val="20"/>
          <w:color w:val="auto"/>
        </w:rPr>
      </w:pPr>
      <w:r>
        <w:rPr>
          <w:rFonts w:ascii="Arial" w:cs="Arial" w:eastAsia="Arial" w:hAnsi="Arial"/>
          <w:sz w:val="15"/>
          <w:szCs w:val="15"/>
          <w:color w:val="auto"/>
        </w:rPr>
        <w:t>/S/ Robert M. Schlax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5169535</wp:posOffset>
            </wp:positionH>
            <wp:positionV relativeFrom="paragraph">
              <wp:posOffset>27940</wp:posOffset>
            </wp:positionV>
            <wp:extent cx="2089785" cy="762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2089785" cy="7620"/>
                    </a:xfrm>
                    <a:prstGeom prst="rect">
                      <a:avLst/>
                    </a:prstGeom>
                    <a:noFill/>
                  </pic:spPr>
                </pic:pic>
              </a:graphicData>
            </a:graphic>
          </wp:anchor>
        </w:drawing>
      </w:r>
    </w:p>
    <w:p>
      <w:pPr>
        <w:spacing w:after="0" w:line="36" w:lineRule="exact"/>
        <w:rPr>
          <w:sz w:val="20"/>
          <w:szCs w:val="20"/>
          <w:color w:val="auto"/>
        </w:rPr>
      </w:pPr>
    </w:p>
    <w:p>
      <w:pPr>
        <w:ind w:left="10280"/>
        <w:spacing w:after="0"/>
        <w:rPr>
          <w:sz w:val="20"/>
          <w:szCs w:val="20"/>
          <w:color w:val="auto"/>
        </w:rPr>
      </w:pPr>
      <w:r>
        <w:rPr>
          <w:rFonts w:ascii="Arial" w:cs="Arial" w:eastAsia="Arial" w:hAnsi="Arial"/>
          <w:sz w:val="15"/>
          <w:szCs w:val="15"/>
          <w:color w:val="auto"/>
        </w:rPr>
        <w:t>Robert M. Schlax</w:t>
      </w:r>
    </w:p>
    <w:p>
      <w:pPr>
        <w:spacing w:after="0" w:line="44" w:lineRule="exact"/>
        <w:rPr>
          <w:sz w:val="20"/>
          <w:szCs w:val="20"/>
          <w:color w:val="auto"/>
        </w:rPr>
      </w:pPr>
    </w:p>
    <w:p>
      <w:pPr>
        <w:ind w:left="9920"/>
        <w:spacing w:after="0"/>
        <w:rPr>
          <w:sz w:val="20"/>
          <w:szCs w:val="20"/>
          <w:color w:val="auto"/>
        </w:rPr>
      </w:pPr>
      <w:r>
        <w:rPr>
          <w:rFonts w:ascii="Arial" w:cs="Arial" w:eastAsia="Arial" w:hAnsi="Arial"/>
          <w:sz w:val="15"/>
          <w:szCs w:val="15"/>
          <w:color w:val="auto"/>
        </w:rPr>
        <w:t>Chief Financial Officer</w:t>
      </w:r>
    </w:p>
    <w:p>
      <w:pPr>
        <w:sectPr>
          <w:pgSz w:w="11900" w:h="16838" w:orient="portrait"/>
          <w:cols w:equalWidth="0" w:num="1">
            <w:col w:w="11440"/>
          </w:cols>
          <w:pgMar w:left="240" w:top="127" w:right="219" w:bottom="1440" w:gutter="0" w:footer="0" w:header="0"/>
        </w:sectPr>
      </w:pPr>
    </w:p>
    <w:bookmarkStart w:id="345" w:name="page346"/>
    <w:bookmarkEnd w:id="345"/>
    <w:p>
      <w:pPr>
        <w:jc w:val="right"/>
        <w:spacing w:after="0"/>
        <w:rPr>
          <w:sz w:val="20"/>
          <w:szCs w:val="20"/>
          <w:color w:val="auto"/>
        </w:rPr>
      </w:pPr>
      <w:r>
        <w:rPr>
          <w:rFonts w:ascii="Arial" w:cs="Arial" w:eastAsia="Arial" w:hAnsi="Arial"/>
          <w:sz w:val="16"/>
          <w:szCs w:val="16"/>
          <w:color w:val="auto"/>
        </w:rPr>
        <w:t>Exhibit 32.5</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Statement of Chief Executive Officer</w:t>
      </w:r>
    </w:p>
    <w:p>
      <w:pPr>
        <w:spacing w:after="0" w:line="200" w:lineRule="exact"/>
        <w:rPr>
          <w:sz w:val="20"/>
          <w:szCs w:val="20"/>
          <w:color w:val="auto"/>
        </w:rPr>
      </w:pPr>
    </w:p>
    <w:p>
      <w:pPr>
        <w:spacing w:after="0"/>
        <w:rPr>
          <w:sz w:val="20"/>
          <w:szCs w:val="20"/>
          <w:color w:val="auto"/>
        </w:rPr>
      </w:pPr>
      <w:r>
        <w:rPr>
          <w:rFonts w:ascii="Arial" w:cs="Arial" w:eastAsia="Arial" w:hAnsi="Arial"/>
          <w:sz w:val="14"/>
          <w:szCs w:val="14"/>
          <w:color w:val="auto"/>
        </w:rPr>
        <w:t>Pursuant to 18 U.S.C. Sec 1350, as created by Section 906 of the Sarbanes-Oxley Act of 2002, the undersigned Chief Executive Officer of Pacific Enterprises (the "Company")</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certifies that:</w:t>
      </w:r>
    </w:p>
    <w:p>
      <w:pPr>
        <w:spacing w:after="0" w:line="188" w:lineRule="exact"/>
        <w:rPr>
          <w:sz w:val="20"/>
          <w:szCs w:val="20"/>
          <w:color w:val="auto"/>
        </w:rPr>
      </w:pPr>
    </w:p>
    <w:p>
      <w:pPr>
        <w:ind w:left="1140" w:right="360" w:hanging="567"/>
        <w:spacing w:after="0" w:line="351" w:lineRule="auto"/>
        <w:tabs>
          <w:tab w:leader="none" w:pos="1140" w:val="left"/>
        </w:tabs>
        <w:numPr>
          <w:ilvl w:val="0"/>
          <w:numId w:val="412"/>
        </w:numPr>
        <w:rPr>
          <w:rFonts w:ascii="Arial" w:cs="Arial" w:eastAsia="Arial" w:hAnsi="Arial"/>
          <w:sz w:val="14"/>
          <w:szCs w:val="14"/>
          <w:color w:val="auto"/>
        </w:rPr>
      </w:pPr>
      <w:r>
        <w:rPr>
          <w:rFonts w:ascii="Arial" w:cs="Arial" w:eastAsia="Arial" w:hAnsi="Arial"/>
          <w:sz w:val="14"/>
          <w:szCs w:val="14"/>
          <w:color w:val="auto"/>
        </w:rPr>
        <w:t>the Annual Report on Form 10-K of the Company filed with the Securities and Exchange Commission for the year ended December 31, 2008 (the "Annual Report") fully complies with the requirements of Section 13(a) or Section 15(d), as applicable, of the Securities Exchange Act of 1934, as amended; and</w:t>
      </w:r>
    </w:p>
    <w:p>
      <w:pPr>
        <w:spacing w:after="0" w:line="105" w:lineRule="exact"/>
        <w:rPr>
          <w:rFonts w:ascii="Arial" w:cs="Arial" w:eastAsia="Arial" w:hAnsi="Arial"/>
          <w:sz w:val="14"/>
          <w:szCs w:val="14"/>
          <w:color w:val="auto"/>
        </w:rPr>
      </w:pPr>
    </w:p>
    <w:p>
      <w:pPr>
        <w:ind w:left="1140" w:hanging="567"/>
        <w:spacing w:after="0"/>
        <w:tabs>
          <w:tab w:leader="none" w:pos="1140" w:val="left"/>
        </w:tabs>
        <w:numPr>
          <w:ilvl w:val="0"/>
          <w:numId w:val="412"/>
        </w:numPr>
        <w:rPr>
          <w:rFonts w:ascii="Arial" w:cs="Arial" w:eastAsia="Arial" w:hAnsi="Arial"/>
          <w:sz w:val="15"/>
          <w:szCs w:val="15"/>
          <w:color w:val="auto"/>
        </w:rPr>
      </w:pPr>
      <w:r>
        <w:rPr>
          <w:rFonts w:ascii="Arial" w:cs="Arial" w:eastAsia="Arial" w:hAnsi="Arial"/>
          <w:sz w:val="15"/>
          <w:szCs w:val="15"/>
          <w:color w:val="auto"/>
        </w:rPr>
        <w:t>the information contained in the Annual Report fairly presents, in all material respects, the financial condition and results of operations of the Company.</w:t>
      </w: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Arial" w:cs="Arial" w:eastAsia="Arial" w:hAnsi="Arial"/>
          <w:sz w:val="16"/>
          <w:szCs w:val="16"/>
          <w:color w:val="auto"/>
        </w:rPr>
        <w:t>February 24, 2009</w:t>
      </w:r>
    </w:p>
    <w:p>
      <w:pPr>
        <w:spacing w:after="0" w:line="321" w:lineRule="exact"/>
        <w:rPr>
          <w:sz w:val="20"/>
          <w:szCs w:val="20"/>
          <w:color w:val="auto"/>
        </w:rPr>
      </w:pPr>
    </w:p>
    <w:p>
      <w:pPr>
        <w:ind w:left="10220"/>
        <w:spacing w:after="0"/>
        <w:rPr>
          <w:sz w:val="20"/>
          <w:szCs w:val="20"/>
          <w:color w:val="auto"/>
        </w:rPr>
      </w:pPr>
      <w:r>
        <w:rPr>
          <w:rFonts w:ascii="Arial" w:cs="Arial" w:eastAsia="Arial" w:hAnsi="Arial"/>
          <w:sz w:val="15"/>
          <w:szCs w:val="15"/>
          <w:color w:val="auto"/>
        </w:rPr>
        <w:t>/S/ Debra L. Reed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5489575</wp:posOffset>
            </wp:positionH>
            <wp:positionV relativeFrom="paragraph">
              <wp:posOffset>27940</wp:posOffset>
            </wp:positionV>
            <wp:extent cx="1769745" cy="762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1769745" cy="7620"/>
                    </a:xfrm>
                    <a:prstGeom prst="rect">
                      <a:avLst/>
                    </a:prstGeom>
                    <a:noFill/>
                  </pic:spPr>
                </pic:pic>
              </a:graphicData>
            </a:graphic>
          </wp:anchor>
        </w:drawing>
      </w:r>
    </w:p>
    <w:p>
      <w:pPr>
        <w:spacing w:after="0" w:line="36" w:lineRule="exact"/>
        <w:rPr>
          <w:sz w:val="20"/>
          <w:szCs w:val="20"/>
          <w:color w:val="auto"/>
        </w:rPr>
      </w:pPr>
    </w:p>
    <w:p>
      <w:pPr>
        <w:ind w:left="10480"/>
        <w:spacing w:after="0"/>
        <w:rPr>
          <w:sz w:val="20"/>
          <w:szCs w:val="20"/>
          <w:color w:val="auto"/>
        </w:rPr>
      </w:pPr>
      <w:r>
        <w:rPr>
          <w:rFonts w:ascii="Arial" w:cs="Arial" w:eastAsia="Arial" w:hAnsi="Arial"/>
          <w:sz w:val="14"/>
          <w:szCs w:val="14"/>
          <w:color w:val="auto"/>
        </w:rPr>
        <w:t>Debra L. Reed</w:t>
      </w:r>
    </w:p>
    <w:p>
      <w:pPr>
        <w:spacing w:after="0" w:line="55" w:lineRule="exact"/>
        <w:rPr>
          <w:sz w:val="20"/>
          <w:szCs w:val="20"/>
          <w:color w:val="auto"/>
        </w:rPr>
      </w:pPr>
    </w:p>
    <w:p>
      <w:pPr>
        <w:ind w:left="9880"/>
        <w:spacing w:after="0"/>
        <w:rPr>
          <w:sz w:val="20"/>
          <w:szCs w:val="20"/>
          <w:color w:val="auto"/>
        </w:rPr>
      </w:pPr>
      <w:r>
        <w:rPr>
          <w:rFonts w:ascii="Arial" w:cs="Arial" w:eastAsia="Arial" w:hAnsi="Arial"/>
          <w:sz w:val="15"/>
          <w:szCs w:val="15"/>
          <w:color w:val="auto"/>
        </w:rPr>
        <w:t>Chief Executive Officer</w:t>
      </w:r>
    </w:p>
    <w:p>
      <w:pPr>
        <w:sectPr>
          <w:pgSz w:w="11900" w:h="16838" w:orient="portrait"/>
          <w:cols w:equalWidth="0" w:num="1">
            <w:col w:w="11440"/>
          </w:cols>
          <w:pgMar w:left="240" w:top="127" w:right="219" w:bottom="1440" w:gutter="0" w:footer="0" w:header="0"/>
        </w:sectPr>
      </w:pPr>
    </w:p>
    <w:bookmarkStart w:id="346" w:name="page347"/>
    <w:bookmarkEnd w:id="346"/>
    <w:p>
      <w:pPr>
        <w:jc w:val="right"/>
        <w:spacing w:after="0"/>
        <w:rPr>
          <w:sz w:val="20"/>
          <w:szCs w:val="20"/>
          <w:color w:val="auto"/>
        </w:rPr>
      </w:pPr>
      <w:r>
        <w:rPr>
          <w:rFonts w:ascii="Arial" w:cs="Arial" w:eastAsia="Arial" w:hAnsi="Arial"/>
          <w:sz w:val="16"/>
          <w:szCs w:val="16"/>
          <w:color w:val="auto"/>
        </w:rPr>
        <w:t>Exhibit 32.6</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Statement of Chief Financial Officer</w:t>
      </w:r>
    </w:p>
    <w:p>
      <w:pPr>
        <w:spacing w:after="0" w:line="200" w:lineRule="exact"/>
        <w:rPr>
          <w:sz w:val="20"/>
          <w:szCs w:val="20"/>
          <w:color w:val="auto"/>
        </w:rPr>
      </w:pPr>
    </w:p>
    <w:p>
      <w:pPr>
        <w:spacing w:after="0"/>
        <w:rPr>
          <w:sz w:val="20"/>
          <w:szCs w:val="20"/>
          <w:color w:val="auto"/>
        </w:rPr>
      </w:pPr>
      <w:r>
        <w:rPr>
          <w:rFonts w:ascii="Arial" w:cs="Arial" w:eastAsia="Arial" w:hAnsi="Arial"/>
          <w:sz w:val="14"/>
          <w:szCs w:val="14"/>
          <w:color w:val="auto"/>
        </w:rPr>
        <w:t>Pursuant to 18 U.S.C. Sec 1350, as created by Section 906 of the Sarbanes-Oxley Act of 2002, the undersigned Chief Financial Officer of Pacific Enterprises (the "Company")</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certifies that:</w:t>
      </w:r>
    </w:p>
    <w:p>
      <w:pPr>
        <w:spacing w:after="0" w:line="188" w:lineRule="exact"/>
        <w:rPr>
          <w:sz w:val="20"/>
          <w:szCs w:val="20"/>
          <w:color w:val="auto"/>
        </w:rPr>
      </w:pPr>
    </w:p>
    <w:p>
      <w:pPr>
        <w:ind w:left="1140" w:right="360" w:hanging="567"/>
        <w:spacing w:after="0" w:line="351" w:lineRule="auto"/>
        <w:tabs>
          <w:tab w:leader="none" w:pos="1140" w:val="left"/>
        </w:tabs>
        <w:numPr>
          <w:ilvl w:val="0"/>
          <w:numId w:val="413"/>
        </w:numPr>
        <w:rPr>
          <w:rFonts w:ascii="Arial" w:cs="Arial" w:eastAsia="Arial" w:hAnsi="Arial"/>
          <w:sz w:val="14"/>
          <w:szCs w:val="14"/>
          <w:color w:val="auto"/>
        </w:rPr>
      </w:pPr>
      <w:r>
        <w:rPr>
          <w:rFonts w:ascii="Arial" w:cs="Arial" w:eastAsia="Arial" w:hAnsi="Arial"/>
          <w:sz w:val="14"/>
          <w:szCs w:val="14"/>
          <w:color w:val="auto"/>
        </w:rPr>
        <w:t>the Annual Report on Form 10-K of the Company filed with the Securities and Exchange Commission for the year ended December 31, 2008 (the "Annual Report") fully complies with the requirements of Section 13(a) or Section 15(d), as applicable, of the Securities Exchange Act of 1934, as amended; and</w:t>
      </w:r>
    </w:p>
    <w:p>
      <w:pPr>
        <w:spacing w:after="0" w:line="105" w:lineRule="exact"/>
        <w:rPr>
          <w:rFonts w:ascii="Arial" w:cs="Arial" w:eastAsia="Arial" w:hAnsi="Arial"/>
          <w:sz w:val="14"/>
          <w:szCs w:val="14"/>
          <w:color w:val="auto"/>
        </w:rPr>
      </w:pPr>
    </w:p>
    <w:p>
      <w:pPr>
        <w:ind w:left="1140" w:hanging="567"/>
        <w:spacing w:after="0"/>
        <w:tabs>
          <w:tab w:leader="none" w:pos="1140" w:val="left"/>
        </w:tabs>
        <w:numPr>
          <w:ilvl w:val="0"/>
          <w:numId w:val="413"/>
        </w:numPr>
        <w:rPr>
          <w:rFonts w:ascii="Arial" w:cs="Arial" w:eastAsia="Arial" w:hAnsi="Arial"/>
          <w:sz w:val="15"/>
          <w:szCs w:val="15"/>
          <w:color w:val="auto"/>
        </w:rPr>
      </w:pPr>
      <w:r>
        <w:rPr>
          <w:rFonts w:ascii="Arial" w:cs="Arial" w:eastAsia="Arial" w:hAnsi="Arial"/>
          <w:sz w:val="15"/>
          <w:szCs w:val="15"/>
          <w:color w:val="auto"/>
        </w:rPr>
        <w:t>the information contained in the Annual Report fairly presents, in all material respects, the financial condition and results of operations of the Company.</w:t>
      </w: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Arial" w:cs="Arial" w:eastAsia="Arial" w:hAnsi="Arial"/>
          <w:sz w:val="16"/>
          <w:szCs w:val="16"/>
          <w:color w:val="auto"/>
        </w:rPr>
        <w:t>February 24, 2009</w:t>
      </w:r>
    </w:p>
    <w:p>
      <w:pPr>
        <w:spacing w:after="0" w:line="321" w:lineRule="exact"/>
        <w:rPr>
          <w:sz w:val="20"/>
          <w:szCs w:val="20"/>
          <w:color w:val="auto"/>
        </w:rPr>
      </w:pPr>
    </w:p>
    <w:p>
      <w:pPr>
        <w:ind w:left="10020"/>
        <w:spacing w:after="0"/>
        <w:rPr>
          <w:sz w:val="20"/>
          <w:szCs w:val="20"/>
          <w:color w:val="auto"/>
        </w:rPr>
      </w:pPr>
      <w:r>
        <w:rPr>
          <w:rFonts w:ascii="Arial" w:cs="Arial" w:eastAsia="Arial" w:hAnsi="Arial"/>
          <w:sz w:val="15"/>
          <w:szCs w:val="15"/>
          <w:color w:val="auto"/>
        </w:rPr>
        <w:t>/S/ Robert M. Schlax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5535295</wp:posOffset>
            </wp:positionH>
            <wp:positionV relativeFrom="paragraph">
              <wp:posOffset>27940</wp:posOffset>
            </wp:positionV>
            <wp:extent cx="1724025" cy="762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1724025" cy="7620"/>
                    </a:xfrm>
                    <a:prstGeom prst="rect">
                      <a:avLst/>
                    </a:prstGeom>
                    <a:noFill/>
                  </pic:spPr>
                </pic:pic>
              </a:graphicData>
            </a:graphic>
          </wp:anchor>
        </w:drawing>
      </w:r>
    </w:p>
    <w:p>
      <w:pPr>
        <w:spacing w:after="0" w:line="36" w:lineRule="exact"/>
        <w:rPr>
          <w:sz w:val="20"/>
          <w:szCs w:val="20"/>
          <w:color w:val="auto"/>
        </w:rPr>
      </w:pPr>
    </w:p>
    <w:p>
      <w:pPr>
        <w:ind w:left="10280"/>
        <w:spacing w:after="0"/>
        <w:rPr>
          <w:sz w:val="20"/>
          <w:szCs w:val="20"/>
          <w:color w:val="auto"/>
        </w:rPr>
      </w:pPr>
      <w:r>
        <w:rPr>
          <w:rFonts w:ascii="Arial" w:cs="Arial" w:eastAsia="Arial" w:hAnsi="Arial"/>
          <w:sz w:val="15"/>
          <w:szCs w:val="15"/>
          <w:color w:val="auto"/>
        </w:rPr>
        <w:t>Robert M. Schlax</w:t>
      </w:r>
    </w:p>
    <w:p>
      <w:pPr>
        <w:spacing w:after="0" w:line="44" w:lineRule="exact"/>
        <w:rPr>
          <w:sz w:val="20"/>
          <w:szCs w:val="20"/>
          <w:color w:val="auto"/>
        </w:rPr>
      </w:pPr>
    </w:p>
    <w:p>
      <w:pPr>
        <w:ind w:left="9920"/>
        <w:spacing w:after="0"/>
        <w:rPr>
          <w:sz w:val="20"/>
          <w:szCs w:val="20"/>
          <w:color w:val="auto"/>
        </w:rPr>
      </w:pPr>
      <w:r>
        <w:rPr>
          <w:rFonts w:ascii="Arial" w:cs="Arial" w:eastAsia="Arial" w:hAnsi="Arial"/>
          <w:sz w:val="15"/>
          <w:szCs w:val="15"/>
          <w:color w:val="auto"/>
        </w:rPr>
        <w:t>Chief Financial Officer</w:t>
      </w:r>
    </w:p>
    <w:p>
      <w:pPr>
        <w:sectPr>
          <w:pgSz w:w="11900" w:h="16838" w:orient="portrait"/>
          <w:cols w:equalWidth="0" w:num="1">
            <w:col w:w="11440"/>
          </w:cols>
          <w:pgMar w:left="240" w:top="127" w:right="219" w:bottom="1440" w:gutter="0" w:footer="0" w:header="0"/>
        </w:sectPr>
      </w:pPr>
    </w:p>
    <w:bookmarkStart w:id="347" w:name="page348"/>
    <w:bookmarkEnd w:id="347"/>
    <w:p>
      <w:pPr>
        <w:jc w:val="right"/>
        <w:spacing w:after="0"/>
        <w:rPr>
          <w:sz w:val="20"/>
          <w:szCs w:val="20"/>
          <w:color w:val="auto"/>
        </w:rPr>
      </w:pPr>
      <w:r>
        <w:rPr>
          <w:rFonts w:ascii="Arial" w:cs="Arial" w:eastAsia="Arial" w:hAnsi="Arial"/>
          <w:sz w:val="16"/>
          <w:szCs w:val="16"/>
          <w:color w:val="auto"/>
        </w:rPr>
        <w:t>Exhibit 32.7</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Statement of Chief Executive Officer</w:t>
      </w:r>
    </w:p>
    <w:p>
      <w:pPr>
        <w:spacing w:after="0" w:line="200" w:lineRule="exact"/>
        <w:rPr>
          <w:sz w:val="20"/>
          <w:szCs w:val="20"/>
          <w:color w:val="auto"/>
        </w:rPr>
      </w:pPr>
    </w:p>
    <w:p>
      <w:pPr>
        <w:ind w:right="20"/>
        <w:spacing w:after="0" w:line="277" w:lineRule="auto"/>
        <w:rPr>
          <w:sz w:val="20"/>
          <w:szCs w:val="20"/>
          <w:color w:val="auto"/>
        </w:rPr>
      </w:pPr>
      <w:r>
        <w:rPr>
          <w:rFonts w:ascii="Arial" w:cs="Arial" w:eastAsia="Arial" w:hAnsi="Arial"/>
          <w:sz w:val="16"/>
          <w:szCs w:val="16"/>
          <w:color w:val="auto"/>
        </w:rPr>
        <w:t>Pursuant to 18 U.S.C. Sec 1350, as created by Section 906 of the Sarbanes-Oxley Act of 2002, the undersigned Chief Executive Officer of Southern California Gas Company (the "Company") certifies that:</w:t>
      </w:r>
    </w:p>
    <w:p>
      <w:pPr>
        <w:spacing w:after="0" w:line="152" w:lineRule="exact"/>
        <w:rPr>
          <w:sz w:val="20"/>
          <w:szCs w:val="20"/>
          <w:color w:val="auto"/>
        </w:rPr>
      </w:pPr>
    </w:p>
    <w:p>
      <w:pPr>
        <w:ind w:left="1140" w:right="360" w:hanging="567"/>
        <w:spacing w:after="0" w:line="351" w:lineRule="auto"/>
        <w:tabs>
          <w:tab w:leader="none" w:pos="1140" w:val="left"/>
        </w:tabs>
        <w:numPr>
          <w:ilvl w:val="0"/>
          <w:numId w:val="414"/>
        </w:numPr>
        <w:rPr>
          <w:rFonts w:ascii="Arial" w:cs="Arial" w:eastAsia="Arial" w:hAnsi="Arial"/>
          <w:sz w:val="14"/>
          <w:szCs w:val="14"/>
          <w:color w:val="auto"/>
        </w:rPr>
      </w:pPr>
      <w:r>
        <w:rPr>
          <w:rFonts w:ascii="Arial" w:cs="Arial" w:eastAsia="Arial" w:hAnsi="Arial"/>
          <w:sz w:val="14"/>
          <w:szCs w:val="14"/>
          <w:color w:val="auto"/>
        </w:rPr>
        <w:t>the Annual Report on Form 10-K of the Company filed with the Securities and Exchange Commission for the year ended December 31, 2008 (the "Annual Report") fully complies with the requirements of Section 13(a) or Section 15(d), as applicable, of the Securities Exchange Act of 1934, as amended; and</w:t>
      </w:r>
    </w:p>
    <w:p>
      <w:pPr>
        <w:spacing w:after="0" w:line="105" w:lineRule="exact"/>
        <w:rPr>
          <w:rFonts w:ascii="Arial" w:cs="Arial" w:eastAsia="Arial" w:hAnsi="Arial"/>
          <w:sz w:val="14"/>
          <w:szCs w:val="14"/>
          <w:color w:val="auto"/>
        </w:rPr>
      </w:pPr>
    </w:p>
    <w:p>
      <w:pPr>
        <w:ind w:left="1140" w:hanging="567"/>
        <w:spacing w:after="0"/>
        <w:tabs>
          <w:tab w:leader="none" w:pos="1140" w:val="left"/>
        </w:tabs>
        <w:numPr>
          <w:ilvl w:val="0"/>
          <w:numId w:val="414"/>
        </w:numPr>
        <w:rPr>
          <w:rFonts w:ascii="Arial" w:cs="Arial" w:eastAsia="Arial" w:hAnsi="Arial"/>
          <w:sz w:val="15"/>
          <w:szCs w:val="15"/>
          <w:color w:val="auto"/>
        </w:rPr>
      </w:pPr>
      <w:r>
        <w:rPr>
          <w:rFonts w:ascii="Arial" w:cs="Arial" w:eastAsia="Arial" w:hAnsi="Arial"/>
          <w:sz w:val="15"/>
          <w:szCs w:val="15"/>
          <w:color w:val="auto"/>
        </w:rPr>
        <w:t>the information contained in the Annual Report fairly presents, in all material respects, the financial condition and results of operations of the Company.</w:t>
      </w: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Arial" w:cs="Arial" w:eastAsia="Arial" w:hAnsi="Arial"/>
          <w:sz w:val="16"/>
          <w:szCs w:val="16"/>
          <w:color w:val="auto"/>
        </w:rPr>
        <w:t>February 24, 2009</w:t>
      </w:r>
    </w:p>
    <w:p>
      <w:pPr>
        <w:spacing w:after="0" w:line="321" w:lineRule="exact"/>
        <w:rPr>
          <w:sz w:val="20"/>
          <w:szCs w:val="20"/>
          <w:color w:val="auto"/>
        </w:rPr>
      </w:pPr>
    </w:p>
    <w:p>
      <w:pPr>
        <w:ind w:left="10220"/>
        <w:spacing w:after="0"/>
        <w:rPr>
          <w:sz w:val="20"/>
          <w:szCs w:val="20"/>
          <w:color w:val="auto"/>
        </w:rPr>
      </w:pPr>
      <w:r>
        <w:rPr>
          <w:rFonts w:ascii="Arial" w:cs="Arial" w:eastAsia="Arial" w:hAnsi="Arial"/>
          <w:sz w:val="15"/>
          <w:szCs w:val="15"/>
          <w:color w:val="auto"/>
        </w:rPr>
        <w:t>/S/ Debra L. Reed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5215255</wp:posOffset>
            </wp:positionH>
            <wp:positionV relativeFrom="paragraph">
              <wp:posOffset>27940</wp:posOffset>
            </wp:positionV>
            <wp:extent cx="2044065" cy="762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2044065" cy="7620"/>
                    </a:xfrm>
                    <a:prstGeom prst="rect">
                      <a:avLst/>
                    </a:prstGeom>
                    <a:noFill/>
                  </pic:spPr>
                </pic:pic>
              </a:graphicData>
            </a:graphic>
          </wp:anchor>
        </w:drawing>
      </w:r>
    </w:p>
    <w:p>
      <w:pPr>
        <w:spacing w:after="0" w:line="36" w:lineRule="exact"/>
        <w:rPr>
          <w:sz w:val="20"/>
          <w:szCs w:val="20"/>
          <w:color w:val="auto"/>
        </w:rPr>
      </w:pPr>
    </w:p>
    <w:p>
      <w:pPr>
        <w:ind w:left="10480"/>
        <w:spacing w:after="0"/>
        <w:rPr>
          <w:sz w:val="20"/>
          <w:szCs w:val="20"/>
          <w:color w:val="auto"/>
        </w:rPr>
      </w:pPr>
      <w:r>
        <w:rPr>
          <w:rFonts w:ascii="Arial" w:cs="Arial" w:eastAsia="Arial" w:hAnsi="Arial"/>
          <w:sz w:val="14"/>
          <w:szCs w:val="14"/>
          <w:color w:val="auto"/>
        </w:rPr>
        <w:t>Debra L. Reed</w:t>
      </w:r>
    </w:p>
    <w:p>
      <w:pPr>
        <w:spacing w:after="0" w:line="55" w:lineRule="exact"/>
        <w:rPr>
          <w:sz w:val="20"/>
          <w:szCs w:val="20"/>
          <w:color w:val="auto"/>
        </w:rPr>
      </w:pPr>
    </w:p>
    <w:p>
      <w:pPr>
        <w:ind w:left="9880"/>
        <w:spacing w:after="0"/>
        <w:rPr>
          <w:sz w:val="20"/>
          <w:szCs w:val="20"/>
          <w:color w:val="auto"/>
        </w:rPr>
      </w:pPr>
      <w:r>
        <w:rPr>
          <w:rFonts w:ascii="Arial" w:cs="Arial" w:eastAsia="Arial" w:hAnsi="Arial"/>
          <w:sz w:val="15"/>
          <w:szCs w:val="15"/>
          <w:color w:val="auto"/>
        </w:rPr>
        <w:t>Chief Executive Officer</w:t>
      </w:r>
    </w:p>
    <w:p>
      <w:pPr>
        <w:sectPr>
          <w:pgSz w:w="11900" w:h="16838" w:orient="portrait"/>
          <w:cols w:equalWidth="0" w:num="1">
            <w:col w:w="11440"/>
          </w:cols>
          <w:pgMar w:left="240" w:top="127" w:right="219" w:bottom="1440" w:gutter="0" w:footer="0" w:header="0"/>
        </w:sectPr>
      </w:pPr>
    </w:p>
    <w:bookmarkStart w:id="348" w:name="page349"/>
    <w:bookmarkEnd w:id="348"/>
    <w:p>
      <w:pPr>
        <w:jc w:val="right"/>
        <w:spacing w:after="0"/>
        <w:rPr>
          <w:sz w:val="20"/>
          <w:szCs w:val="20"/>
          <w:color w:val="auto"/>
        </w:rPr>
      </w:pPr>
      <w:r>
        <w:rPr>
          <w:rFonts w:ascii="Arial" w:cs="Arial" w:eastAsia="Arial" w:hAnsi="Arial"/>
          <w:sz w:val="16"/>
          <w:szCs w:val="16"/>
          <w:color w:val="auto"/>
        </w:rPr>
        <w:t>Exhibit 32.8</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Statement of Chief Financial Officer</w:t>
      </w:r>
    </w:p>
    <w:p>
      <w:pPr>
        <w:spacing w:after="0" w:line="200" w:lineRule="exact"/>
        <w:rPr>
          <w:sz w:val="20"/>
          <w:szCs w:val="20"/>
          <w:color w:val="auto"/>
        </w:rPr>
      </w:pPr>
    </w:p>
    <w:p>
      <w:pPr>
        <w:ind w:right="80"/>
        <w:spacing w:after="0" w:line="277" w:lineRule="auto"/>
        <w:rPr>
          <w:sz w:val="20"/>
          <w:szCs w:val="20"/>
          <w:color w:val="auto"/>
        </w:rPr>
      </w:pPr>
      <w:r>
        <w:rPr>
          <w:rFonts w:ascii="Arial" w:cs="Arial" w:eastAsia="Arial" w:hAnsi="Arial"/>
          <w:sz w:val="16"/>
          <w:szCs w:val="16"/>
          <w:color w:val="auto"/>
        </w:rPr>
        <w:t>Pursuant to 18 U.S.C. Sec 1350, as created by Section 906 of the Sarbanes-Oxley Act of 2002, the undersigned Chief Financial Officer of Southern California Gas Company (the "Company") certifies that:</w:t>
      </w:r>
    </w:p>
    <w:p>
      <w:pPr>
        <w:spacing w:after="0" w:line="152" w:lineRule="exact"/>
        <w:rPr>
          <w:sz w:val="20"/>
          <w:szCs w:val="20"/>
          <w:color w:val="auto"/>
        </w:rPr>
      </w:pPr>
    </w:p>
    <w:p>
      <w:pPr>
        <w:ind w:left="1140" w:right="360" w:hanging="567"/>
        <w:spacing w:after="0" w:line="351" w:lineRule="auto"/>
        <w:tabs>
          <w:tab w:leader="none" w:pos="1140" w:val="left"/>
        </w:tabs>
        <w:numPr>
          <w:ilvl w:val="0"/>
          <w:numId w:val="415"/>
        </w:numPr>
        <w:rPr>
          <w:rFonts w:ascii="Arial" w:cs="Arial" w:eastAsia="Arial" w:hAnsi="Arial"/>
          <w:sz w:val="14"/>
          <w:szCs w:val="14"/>
          <w:color w:val="auto"/>
        </w:rPr>
      </w:pPr>
      <w:r>
        <w:rPr>
          <w:rFonts w:ascii="Arial" w:cs="Arial" w:eastAsia="Arial" w:hAnsi="Arial"/>
          <w:sz w:val="14"/>
          <w:szCs w:val="14"/>
          <w:color w:val="auto"/>
        </w:rPr>
        <w:t>the Annual Report on Form 10-K of the Company filed with the Securities and Exchange Commission for the year ended December 31, 2008 (the "Annual Report") fully complies with the requirements of Section 13(a) or Section 15(d), as applicable, of the Securities Exchange Act of 1934, as amended; and</w:t>
      </w:r>
    </w:p>
    <w:p>
      <w:pPr>
        <w:spacing w:after="0" w:line="105" w:lineRule="exact"/>
        <w:rPr>
          <w:rFonts w:ascii="Arial" w:cs="Arial" w:eastAsia="Arial" w:hAnsi="Arial"/>
          <w:sz w:val="14"/>
          <w:szCs w:val="14"/>
          <w:color w:val="auto"/>
        </w:rPr>
      </w:pPr>
    </w:p>
    <w:p>
      <w:pPr>
        <w:ind w:left="1140" w:hanging="567"/>
        <w:spacing w:after="0"/>
        <w:tabs>
          <w:tab w:leader="none" w:pos="1140" w:val="left"/>
        </w:tabs>
        <w:numPr>
          <w:ilvl w:val="0"/>
          <w:numId w:val="415"/>
        </w:numPr>
        <w:rPr>
          <w:rFonts w:ascii="Arial" w:cs="Arial" w:eastAsia="Arial" w:hAnsi="Arial"/>
          <w:sz w:val="15"/>
          <w:szCs w:val="15"/>
          <w:color w:val="auto"/>
        </w:rPr>
      </w:pPr>
      <w:r>
        <w:rPr>
          <w:rFonts w:ascii="Arial" w:cs="Arial" w:eastAsia="Arial" w:hAnsi="Arial"/>
          <w:sz w:val="15"/>
          <w:szCs w:val="15"/>
          <w:color w:val="auto"/>
        </w:rPr>
        <w:t>the information contained in the Annual Report fairly presents, in all material respects, the financial condition and results of operations of the Company.</w:t>
      </w: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Arial" w:cs="Arial" w:eastAsia="Arial" w:hAnsi="Arial"/>
          <w:sz w:val="16"/>
          <w:szCs w:val="16"/>
          <w:color w:val="auto"/>
        </w:rPr>
        <w:t>February 24, 2009</w:t>
      </w:r>
    </w:p>
    <w:p>
      <w:pPr>
        <w:spacing w:after="0" w:line="321" w:lineRule="exact"/>
        <w:rPr>
          <w:sz w:val="20"/>
          <w:szCs w:val="20"/>
          <w:color w:val="auto"/>
        </w:rPr>
      </w:pPr>
    </w:p>
    <w:p>
      <w:pPr>
        <w:ind w:left="10020"/>
        <w:spacing w:after="0"/>
        <w:rPr>
          <w:sz w:val="20"/>
          <w:szCs w:val="20"/>
          <w:color w:val="auto"/>
        </w:rPr>
      </w:pPr>
      <w:r>
        <w:rPr>
          <w:rFonts w:ascii="Arial" w:cs="Arial" w:eastAsia="Arial" w:hAnsi="Arial"/>
          <w:sz w:val="15"/>
          <w:szCs w:val="15"/>
          <w:color w:val="auto"/>
        </w:rPr>
        <w:t>/S/ Robert M. Schlax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5215255</wp:posOffset>
            </wp:positionH>
            <wp:positionV relativeFrom="paragraph">
              <wp:posOffset>27940</wp:posOffset>
            </wp:positionV>
            <wp:extent cx="2044065" cy="762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2044065" cy="7620"/>
                    </a:xfrm>
                    <a:prstGeom prst="rect">
                      <a:avLst/>
                    </a:prstGeom>
                    <a:noFill/>
                  </pic:spPr>
                </pic:pic>
              </a:graphicData>
            </a:graphic>
          </wp:anchor>
        </w:drawing>
      </w:r>
    </w:p>
    <w:p>
      <w:pPr>
        <w:spacing w:after="0" w:line="36" w:lineRule="exact"/>
        <w:rPr>
          <w:sz w:val="20"/>
          <w:szCs w:val="20"/>
          <w:color w:val="auto"/>
        </w:rPr>
      </w:pPr>
    </w:p>
    <w:p>
      <w:pPr>
        <w:ind w:left="10280"/>
        <w:spacing w:after="0"/>
        <w:rPr>
          <w:sz w:val="20"/>
          <w:szCs w:val="20"/>
          <w:color w:val="auto"/>
        </w:rPr>
      </w:pPr>
      <w:r>
        <w:rPr>
          <w:rFonts w:ascii="Arial" w:cs="Arial" w:eastAsia="Arial" w:hAnsi="Arial"/>
          <w:sz w:val="15"/>
          <w:szCs w:val="15"/>
          <w:color w:val="auto"/>
        </w:rPr>
        <w:t>Robert M. Schlax</w:t>
      </w:r>
    </w:p>
    <w:p>
      <w:pPr>
        <w:spacing w:after="0" w:line="44" w:lineRule="exact"/>
        <w:rPr>
          <w:sz w:val="20"/>
          <w:szCs w:val="20"/>
          <w:color w:val="auto"/>
        </w:rPr>
      </w:pPr>
    </w:p>
    <w:p>
      <w:pPr>
        <w:ind w:left="9920"/>
        <w:spacing w:after="0"/>
        <w:rPr>
          <w:sz w:val="20"/>
          <w:szCs w:val="20"/>
          <w:color w:val="auto"/>
        </w:rPr>
      </w:pPr>
      <w:r>
        <w:rPr>
          <w:rFonts w:ascii="Arial" w:cs="Arial" w:eastAsia="Arial" w:hAnsi="Arial"/>
          <w:sz w:val="15"/>
          <w:szCs w:val="15"/>
          <w:color w:val="auto"/>
        </w:rPr>
        <w:t>Chief Financial Officer</w:t>
      </w:r>
    </w:p>
    <w:p>
      <w:pPr>
        <w:sectPr>
          <w:pgSz w:w="11900" w:h="16838" w:orient="portrait"/>
          <w:cols w:equalWidth="0" w:num="1">
            <w:col w:w="11440"/>
          </w:cols>
          <w:pgMar w:left="240" w:top="127" w:right="219" w:bottom="1440" w:gutter="0" w:footer="0" w:header="0"/>
        </w:sectPr>
      </w:pPr>
    </w:p>
    <w:bookmarkStart w:id="349" w:name="page350"/>
    <w:bookmarkEnd w:id="349"/>
    <w:p>
      <w:pPr>
        <w:jc w:val="right"/>
        <w:spacing w:after="0"/>
        <w:rPr>
          <w:sz w:val="20"/>
          <w:szCs w:val="20"/>
          <w:color w:val="auto"/>
        </w:rPr>
      </w:pPr>
      <w:r>
        <w:rPr>
          <w:rFonts w:ascii="Arial" w:cs="Arial" w:eastAsia="Arial" w:hAnsi="Arial"/>
          <w:sz w:val="19"/>
          <w:szCs w:val="19"/>
          <w:b w:val="1"/>
          <w:bCs w:val="1"/>
          <w:color w:val="auto"/>
        </w:rPr>
        <w:t>Exhibit 99.1</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color w:val="auto"/>
        </w:rPr>
        <w:t>CONSENT OF INDEPENDENT REGISTERED PUBLIC ACCOUNTING FIRM</w:t>
      </w:r>
    </w:p>
    <w:p>
      <w:pPr>
        <w:spacing w:after="0" w:line="189" w:lineRule="exact"/>
        <w:rPr>
          <w:sz w:val="20"/>
          <w:szCs w:val="20"/>
          <w:color w:val="auto"/>
        </w:rPr>
      </w:pPr>
    </w:p>
    <w:p>
      <w:pPr>
        <w:ind w:right="80"/>
        <w:spacing w:after="0" w:line="242" w:lineRule="auto"/>
        <w:rPr>
          <w:sz w:val="20"/>
          <w:szCs w:val="20"/>
          <w:color w:val="auto"/>
        </w:rPr>
      </w:pPr>
      <w:r>
        <w:rPr>
          <w:rFonts w:ascii="Arial" w:cs="Arial" w:eastAsia="Arial" w:hAnsi="Arial"/>
          <w:sz w:val="18"/>
          <w:szCs w:val="18"/>
          <w:color w:val="auto"/>
        </w:rPr>
        <w:t>We consent to the incorporation by reference in Registration Statements No. 333-153425 on Form S-3 and 333-56161, 333-50806, 333-49732, 333-121073, 333-128441, 333-151184 and 333-155191 on Form S-8 of our report dated February 19, 2009 (which report expresses an unqualified opinion), relating to the consolidated financial statements of RBS Sempra Commodities LLP and subsidiaries incorporated by reference in this Annual Report on Form 10-K of Sempra Energy for the year ended December 31, 2008.</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rPr>
          <w:sz w:val="20"/>
          <w:szCs w:val="20"/>
          <w:color w:val="auto"/>
        </w:rPr>
      </w:pPr>
      <w:r>
        <w:rPr>
          <w:rFonts w:ascii="Arial" w:cs="Arial" w:eastAsia="Arial" w:hAnsi="Arial"/>
          <w:sz w:val="18"/>
          <w:szCs w:val="18"/>
          <w:color w:val="auto"/>
        </w:rPr>
        <w:t>February 23, 2009</w:t>
      </w:r>
    </w:p>
    <w:p>
      <w:pPr>
        <w:sectPr>
          <w:pgSz w:w="11900" w:h="16838" w:orient="portrait"/>
          <w:cols w:equalWidth="0" w:num="1">
            <w:col w:w="11440"/>
          </w:cols>
          <w:pgMar w:left="240" w:top="115" w:right="219" w:bottom="1440" w:gutter="0" w:footer="0" w:header="0"/>
        </w:sectPr>
      </w:pPr>
    </w:p>
    <w:bookmarkStart w:id="350" w:name="page351"/>
    <w:bookmarkEnd w:id="350"/>
    <w:p>
      <w:pPr>
        <w:spacing w:after="0"/>
        <w:rPr>
          <w:sz w:val="20"/>
          <w:szCs w:val="20"/>
          <w:color w:val="auto"/>
        </w:rPr>
      </w:pPr>
      <w:r>
        <w:rPr>
          <w:rFonts w:ascii="Arial" w:cs="Arial" w:eastAsia="Arial" w:hAnsi="Arial"/>
          <w:sz w:val="48"/>
          <w:szCs w:val="48"/>
          <w:color w:val="auto"/>
        </w:rPr>
        <w:t>RBS Sempra</w:t>
      </w:r>
    </w:p>
    <w:p>
      <w:pPr>
        <w:spacing w:after="0" w:line="219" w:lineRule="auto"/>
        <w:rPr>
          <w:sz w:val="20"/>
          <w:szCs w:val="20"/>
          <w:color w:val="auto"/>
        </w:rPr>
      </w:pPr>
      <w:r>
        <w:rPr>
          <w:rFonts w:ascii="Arial" w:cs="Arial" w:eastAsia="Arial" w:hAnsi="Arial"/>
          <w:sz w:val="48"/>
          <w:szCs w:val="48"/>
          <w:color w:val="auto"/>
        </w:rPr>
        <w:t>Commodities LLP</w:t>
      </w:r>
    </w:p>
    <w:p>
      <w:pPr>
        <w:spacing w:after="0" w:line="1" w:lineRule="exact"/>
        <w:rPr>
          <w:sz w:val="20"/>
          <w:szCs w:val="20"/>
          <w:color w:val="auto"/>
        </w:rPr>
      </w:pPr>
    </w:p>
    <w:p>
      <w:pPr>
        <w:spacing w:after="0"/>
        <w:rPr>
          <w:sz w:val="20"/>
          <w:szCs w:val="20"/>
          <w:color w:val="auto"/>
        </w:rPr>
      </w:pPr>
      <w:r>
        <w:rPr>
          <w:rFonts w:ascii="Arial" w:cs="Arial" w:eastAsia="Arial" w:hAnsi="Arial"/>
          <w:sz w:val="48"/>
          <w:szCs w:val="48"/>
          <w:color w:val="auto"/>
        </w:rPr>
        <w:t>and Subsidiaries</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9"/>
          <w:szCs w:val="19"/>
          <w:color w:val="auto"/>
        </w:rPr>
        <w:t>Consolidated Financial Statements as of December 31,</w:t>
      </w:r>
    </w:p>
    <w:p>
      <w:pPr>
        <w:spacing w:after="0" w:line="237" w:lineRule="auto"/>
        <w:rPr>
          <w:sz w:val="20"/>
          <w:szCs w:val="20"/>
          <w:color w:val="auto"/>
        </w:rPr>
      </w:pPr>
      <w:r>
        <w:rPr>
          <w:rFonts w:ascii="Arial" w:cs="Arial" w:eastAsia="Arial" w:hAnsi="Arial"/>
          <w:sz w:val="19"/>
          <w:szCs w:val="19"/>
          <w:color w:val="auto"/>
        </w:rPr>
        <w:t>2008 and for the Period From April 1, 2008 (Date of</w:t>
      </w:r>
    </w:p>
    <w:p>
      <w:pPr>
        <w:spacing w:after="0" w:line="238" w:lineRule="auto"/>
        <w:rPr>
          <w:sz w:val="20"/>
          <w:szCs w:val="20"/>
          <w:color w:val="auto"/>
        </w:rPr>
      </w:pPr>
      <w:r>
        <w:rPr>
          <w:rFonts w:ascii="Arial" w:cs="Arial" w:eastAsia="Arial" w:hAnsi="Arial"/>
          <w:sz w:val="19"/>
          <w:szCs w:val="19"/>
          <w:color w:val="auto"/>
        </w:rPr>
        <w:t>Commencement) to December 31, 2008, and Report of</w:t>
      </w:r>
    </w:p>
    <w:p>
      <w:pPr>
        <w:spacing w:after="0"/>
        <w:rPr>
          <w:sz w:val="20"/>
          <w:szCs w:val="20"/>
          <w:color w:val="auto"/>
        </w:rPr>
      </w:pPr>
      <w:r>
        <w:rPr>
          <w:rFonts w:ascii="Arial" w:cs="Arial" w:eastAsia="Arial" w:hAnsi="Arial"/>
          <w:sz w:val="19"/>
          <w:szCs w:val="19"/>
          <w:color w:val="auto"/>
        </w:rPr>
        <w:t>Independent Registered Public Accounting Firm</w:t>
      </w:r>
    </w:p>
    <w:p>
      <w:pPr>
        <w:sectPr>
          <w:pgSz w:w="11900" w:h="16838" w:orient="portrait"/>
          <w:cols w:equalWidth="0" w:num="1">
            <w:col w:w="10139"/>
          </w:cols>
          <w:pgMar w:left="320" w:top="445" w:right="1440" w:bottom="1440" w:gutter="0" w:footer="0" w:header="0"/>
        </w:sectPr>
      </w:pPr>
    </w:p>
    <w:bookmarkStart w:id="351" w:name="page352"/>
    <w:bookmarkEnd w:id="351"/>
    <w:p>
      <w:pPr>
        <w:spacing w:after="0"/>
        <w:rPr>
          <w:sz w:val="20"/>
          <w:szCs w:val="20"/>
          <w:color w:val="auto"/>
        </w:rPr>
      </w:pPr>
      <w:r>
        <w:rPr>
          <w:rFonts w:ascii="Arial" w:cs="Arial" w:eastAsia="Arial" w:hAnsi="Arial"/>
          <w:sz w:val="21"/>
          <w:szCs w:val="21"/>
          <w:b w:val="1"/>
          <w:bCs w:val="1"/>
          <w:color w:val="auto"/>
        </w:rPr>
        <w:t>RBS SEMPRA COMMODITIES LLP AND SUBSIDIARIES</w:t>
      </w:r>
    </w:p>
    <w:p>
      <w:pPr>
        <w:spacing w:after="0" w:line="24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48895</wp:posOffset>
            </wp:positionV>
            <wp:extent cx="7261860" cy="762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6760" w:type="dxa"/>
            <w:vAlign w:val="bottom"/>
          </w:tcPr>
          <w:p>
            <w:pPr>
              <w:spacing w:after="0"/>
              <w:rPr>
                <w:sz w:val="20"/>
                <w:szCs w:val="20"/>
                <w:color w:val="auto"/>
              </w:rPr>
            </w:pPr>
          </w:p>
        </w:tc>
        <w:tc>
          <w:tcPr>
            <w:tcW w:w="1220" w:type="dxa"/>
            <w:vAlign w:val="bottom"/>
          </w:tcPr>
          <w:p>
            <w:pPr>
              <w:ind w:left="800"/>
              <w:spacing w:after="0"/>
              <w:rPr>
                <w:sz w:val="20"/>
                <w:szCs w:val="20"/>
                <w:color w:val="auto"/>
              </w:rPr>
            </w:pPr>
            <w:r>
              <w:rPr>
                <w:rFonts w:ascii="Arial" w:cs="Arial" w:eastAsia="Arial" w:hAnsi="Arial"/>
                <w:sz w:val="18"/>
                <w:szCs w:val="18"/>
                <w:b w:val="1"/>
                <w:bCs w:val="1"/>
                <w:color w:val="auto"/>
                <w:w w:val="92"/>
              </w:rPr>
              <w:t>Page</w:t>
            </w:r>
          </w:p>
        </w:tc>
      </w:tr>
      <w:tr>
        <w:trPr>
          <w:trHeight w:val="408"/>
        </w:trPr>
        <w:tc>
          <w:tcPr>
            <w:tcW w:w="6760" w:type="dxa"/>
            <w:vAlign w:val="bottom"/>
          </w:tcPr>
          <w:p>
            <w:pPr>
              <w:spacing w:after="0"/>
              <w:rPr>
                <w:sz w:val="20"/>
                <w:szCs w:val="20"/>
                <w:color w:val="auto"/>
              </w:rPr>
            </w:pPr>
            <w:r>
              <w:rPr>
                <w:rFonts w:ascii="Arial" w:cs="Arial" w:eastAsia="Arial" w:hAnsi="Arial"/>
                <w:sz w:val="18"/>
                <w:szCs w:val="18"/>
                <w:color w:val="auto"/>
              </w:rPr>
              <w:t>REPORT OF INDEPENDENT REGISTERED PUBLIC ACCOUNTING FIRM</w:t>
            </w:r>
          </w:p>
        </w:tc>
        <w:tc>
          <w:tcPr>
            <w:tcW w:w="1220" w:type="dxa"/>
            <w:vAlign w:val="bottom"/>
          </w:tcPr>
          <w:p>
            <w:pPr>
              <w:jc w:val="center"/>
              <w:ind w:left="272"/>
              <w:spacing w:after="0"/>
              <w:rPr>
                <w:sz w:val="20"/>
                <w:szCs w:val="20"/>
                <w:color w:val="auto"/>
              </w:rPr>
            </w:pPr>
            <w:r>
              <w:rPr>
                <w:rFonts w:ascii="Arial" w:cs="Arial" w:eastAsia="Arial" w:hAnsi="Arial"/>
                <w:sz w:val="18"/>
                <w:szCs w:val="18"/>
                <w:color w:val="auto"/>
                <w:w w:val="99"/>
              </w:rPr>
              <w:t>1</w:t>
            </w:r>
          </w:p>
        </w:tc>
      </w:tr>
      <w:tr>
        <w:trPr>
          <w:trHeight w:val="378"/>
        </w:trPr>
        <w:tc>
          <w:tcPr>
            <w:tcW w:w="6760" w:type="dxa"/>
            <w:vAlign w:val="bottom"/>
          </w:tcPr>
          <w:p>
            <w:pPr>
              <w:spacing w:after="0"/>
              <w:rPr>
                <w:sz w:val="20"/>
                <w:szCs w:val="20"/>
                <w:color w:val="auto"/>
              </w:rPr>
            </w:pPr>
            <w:r>
              <w:rPr>
                <w:rFonts w:ascii="Arial" w:cs="Arial" w:eastAsia="Arial" w:hAnsi="Arial"/>
                <w:sz w:val="18"/>
                <w:szCs w:val="18"/>
                <w:color w:val="auto"/>
              </w:rPr>
              <w:t>CONSOLIDATED FINANCIAL STATEMENTS AS OF DECEMBER 31, 2008 AND</w:t>
            </w:r>
          </w:p>
        </w:tc>
        <w:tc>
          <w:tcPr>
            <w:tcW w:w="1220" w:type="dxa"/>
            <w:vAlign w:val="bottom"/>
          </w:tcPr>
          <w:p>
            <w:pPr>
              <w:spacing w:after="0"/>
              <w:rPr>
                <w:sz w:val="24"/>
                <w:szCs w:val="24"/>
                <w:color w:val="auto"/>
              </w:rPr>
            </w:pPr>
          </w:p>
        </w:tc>
      </w:tr>
      <w:tr>
        <w:trPr>
          <w:trHeight w:val="204"/>
        </w:trPr>
        <w:tc>
          <w:tcPr>
            <w:tcW w:w="6760" w:type="dxa"/>
            <w:vAlign w:val="bottom"/>
          </w:tcPr>
          <w:p>
            <w:pPr>
              <w:spacing w:after="0" w:line="204" w:lineRule="exact"/>
              <w:rPr>
                <w:sz w:val="20"/>
                <w:szCs w:val="20"/>
                <w:color w:val="auto"/>
              </w:rPr>
            </w:pPr>
            <w:r>
              <w:rPr>
                <w:rFonts w:ascii="Arial" w:cs="Arial" w:eastAsia="Arial" w:hAnsi="Arial"/>
                <w:sz w:val="18"/>
                <w:szCs w:val="18"/>
                <w:color w:val="auto"/>
              </w:rPr>
              <w:t>FOR THE PERIOD FROM APRIL 1, 2008 (DATE OF COMMENCEMENT)</w:t>
            </w:r>
          </w:p>
        </w:tc>
        <w:tc>
          <w:tcPr>
            <w:tcW w:w="1220" w:type="dxa"/>
            <w:vAlign w:val="bottom"/>
          </w:tcPr>
          <w:p>
            <w:pPr>
              <w:spacing w:after="0"/>
              <w:rPr>
                <w:sz w:val="17"/>
                <w:szCs w:val="17"/>
                <w:color w:val="auto"/>
              </w:rPr>
            </w:pPr>
          </w:p>
        </w:tc>
      </w:tr>
      <w:tr>
        <w:trPr>
          <w:trHeight w:val="223"/>
        </w:trPr>
        <w:tc>
          <w:tcPr>
            <w:tcW w:w="6760" w:type="dxa"/>
            <w:vAlign w:val="bottom"/>
          </w:tcPr>
          <w:p>
            <w:pPr>
              <w:spacing w:after="0"/>
              <w:rPr>
                <w:sz w:val="20"/>
                <w:szCs w:val="20"/>
                <w:color w:val="auto"/>
              </w:rPr>
            </w:pPr>
            <w:r>
              <w:rPr>
                <w:rFonts w:ascii="Arial" w:cs="Arial" w:eastAsia="Arial" w:hAnsi="Arial"/>
                <w:sz w:val="18"/>
                <w:szCs w:val="18"/>
                <w:color w:val="auto"/>
              </w:rPr>
              <w:t>TO DECEMBER 31, 2008:</w:t>
            </w:r>
          </w:p>
        </w:tc>
        <w:tc>
          <w:tcPr>
            <w:tcW w:w="1220" w:type="dxa"/>
            <w:vAlign w:val="bottom"/>
          </w:tcPr>
          <w:p>
            <w:pPr>
              <w:spacing w:after="0"/>
              <w:rPr>
                <w:sz w:val="19"/>
                <w:szCs w:val="19"/>
                <w:color w:val="auto"/>
              </w:rPr>
            </w:pPr>
          </w:p>
        </w:tc>
      </w:tr>
      <w:tr>
        <w:trPr>
          <w:trHeight w:val="408"/>
        </w:trPr>
        <w:tc>
          <w:tcPr>
            <w:tcW w:w="6760" w:type="dxa"/>
            <w:vAlign w:val="bottom"/>
          </w:tcPr>
          <w:p>
            <w:pPr>
              <w:ind w:left="140"/>
              <w:spacing w:after="0"/>
              <w:rPr>
                <w:sz w:val="20"/>
                <w:szCs w:val="20"/>
                <w:color w:val="auto"/>
              </w:rPr>
            </w:pPr>
            <w:r>
              <w:rPr>
                <w:rFonts w:ascii="Arial" w:cs="Arial" w:eastAsia="Arial" w:hAnsi="Arial"/>
                <w:sz w:val="18"/>
                <w:szCs w:val="18"/>
                <w:color w:val="auto"/>
              </w:rPr>
              <w:t>Consolidated Statement of Financial Condition</w:t>
            </w:r>
          </w:p>
        </w:tc>
        <w:tc>
          <w:tcPr>
            <w:tcW w:w="1220" w:type="dxa"/>
            <w:vAlign w:val="bottom"/>
          </w:tcPr>
          <w:p>
            <w:pPr>
              <w:jc w:val="center"/>
              <w:ind w:left="272"/>
              <w:spacing w:after="0"/>
              <w:rPr>
                <w:sz w:val="20"/>
                <w:szCs w:val="20"/>
                <w:color w:val="auto"/>
              </w:rPr>
            </w:pPr>
            <w:r>
              <w:rPr>
                <w:rFonts w:ascii="Arial" w:cs="Arial" w:eastAsia="Arial" w:hAnsi="Arial"/>
                <w:sz w:val="18"/>
                <w:szCs w:val="18"/>
                <w:color w:val="auto"/>
                <w:w w:val="99"/>
              </w:rPr>
              <w:t>2</w:t>
            </w:r>
          </w:p>
        </w:tc>
      </w:tr>
      <w:tr>
        <w:trPr>
          <w:trHeight w:val="396"/>
        </w:trPr>
        <w:tc>
          <w:tcPr>
            <w:tcW w:w="6760" w:type="dxa"/>
            <w:vAlign w:val="bottom"/>
          </w:tcPr>
          <w:p>
            <w:pPr>
              <w:ind w:left="140"/>
              <w:spacing w:after="0"/>
              <w:rPr>
                <w:sz w:val="20"/>
                <w:szCs w:val="20"/>
                <w:color w:val="auto"/>
              </w:rPr>
            </w:pPr>
            <w:r>
              <w:rPr>
                <w:rFonts w:ascii="Arial" w:cs="Arial" w:eastAsia="Arial" w:hAnsi="Arial"/>
                <w:sz w:val="18"/>
                <w:szCs w:val="18"/>
                <w:color w:val="auto"/>
              </w:rPr>
              <w:t>Consolidated Statement of Income</w:t>
            </w:r>
          </w:p>
        </w:tc>
        <w:tc>
          <w:tcPr>
            <w:tcW w:w="1220" w:type="dxa"/>
            <w:vAlign w:val="bottom"/>
          </w:tcPr>
          <w:p>
            <w:pPr>
              <w:jc w:val="center"/>
              <w:ind w:left="272"/>
              <w:spacing w:after="0"/>
              <w:rPr>
                <w:sz w:val="20"/>
                <w:szCs w:val="20"/>
                <w:color w:val="auto"/>
              </w:rPr>
            </w:pPr>
            <w:r>
              <w:rPr>
                <w:rFonts w:ascii="Arial" w:cs="Arial" w:eastAsia="Arial" w:hAnsi="Arial"/>
                <w:sz w:val="18"/>
                <w:szCs w:val="18"/>
                <w:color w:val="auto"/>
                <w:w w:val="99"/>
              </w:rPr>
              <w:t>3</w:t>
            </w:r>
          </w:p>
        </w:tc>
      </w:tr>
      <w:tr>
        <w:trPr>
          <w:trHeight w:val="396"/>
        </w:trPr>
        <w:tc>
          <w:tcPr>
            <w:tcW w:w="6760" w:type="dxa"/>
            <w:vAlign w:val="bottom"/>
          </w:tcPr>
          <w:p>
            <w:pPr>
              <w:ind w:left="140"/>
              <w:spacing w:after="0"/>
              <w:rPr>
                <w:sz w:val="20"/>
                <w:szCs w:val="20"/>
                <w:color w:val="auto"/>
              </w:rPr>
            </w:pPr>
            <w:r>
              <w:rPr>
                <w:rFonts w:ascii="Arial" w:cs="Arial" w:eastAsia="Arial" w:hAnsi="Arial"/>
                <w:sz w:val="18"/>
                <w:szCs w:val="18"/>
                <w:color w:val="auto"/>
              </w:rPr>
              <w:t>Consolidated Statement of Cash Flows</w:t>
            </w:r>
          </w:p>
        </w:tc>
        <w:tc>
          <w:tcPr>
            <w:tcW w:w="1220" w:type="dxa"/>
            <w:vAlign w:val="bottom"/>
          </w:tcPr>
          <w:p>
            <w:pPr>
              <w:jc w:val="center"/>
              <w:ind w:left="272"/>
              <w:spacing w:after="0"/>
              <w:rPr>
                <w:sz w:val="20"/>
                <w:szCs w:val="20"/>
                <w:color w:val="auto"/>
              </w:rPr>
            </w:pPr>
            <w:r>
              <w:rPr>
                <w:rFonts w:ascii="Arial" w:cs="Arial" w:eastAsia="Arial" w:hAnsi="Arial"/>
                <w:sz w:val="18"/>
                <w:szCs w:val="18"/>
                <w:color w:val="auto"/>
                <w:w w:val="99"/>
              </w:rPr>
              <w:t>4</w:t>
            </w:r>
          </w:p>
        </w:tc>
      </w:tr>
      <w:tr>
        <w:trPr>
          <w:trHeight w:val="396"/>
        </w:trPr>
        <w:tc>
          <w:tcPr>
            <w:tcW w:w="6760" w:type="dxa"/>
            <w:vAlign w:val="bottom"/>
          </w:tcPr>
          <w:p>
            <w:pPr>
              <w:ind w:left="140"/>
              <w:spacing w:after="0"/>
              <w:rPr>
                <w:sz w:val="20"/>
                <w:szCs w:val="20"/>
                <w:color w:val="auto"/>
              </w:rPr>
            </w:pPr>
            <w:r>
              <w:rPr>
                <w:rFonts w:ascii="Arial" w:cs="Arial" w:eastAsia="Arial" w:hAnsi="Arial"/>
                <w:sz w:val="18"/>
                <w:szCs w:val="18"/>
                <w:color w:val="auto"/>
              </w:rPr>
              <w:t>Consolidated Statement of Changes in Members’ Capital</w:t>
            </w:r>
          </w:p>
        </w:tc>
        <w:tc>
          <w:tcPr>
            <w:tcW w:w="1220" w:type="dxa"/>
            <w:vAlign w:val="bottom"/>
          </w:tcPr>
          <w:p>
            <w:pPr>
              <w:jc w:val="center"/>
              <w:ind w:left="272"/>
              <w:spacing w:after="0"/>
              <w:rPr>
                <w:sz w:val="20"/>
                <w:szCs w:val="20"/>
                <w:color w:val="auto"/>
              </w:rPr>
            </w:pPr>
            <w:r>
              <w:rPr>
                <w:rFonts w:ascii="Arial" w:cs="Arial" w:eastAsia="Arial" w:hAnsi="Arial"/>
                <w:sz w:val="18"/>
                <w:szCs w:val="18"/>
                <w:color w:val="auto"/>
                <w:w w:val="99"/>
              </w:rPr>
              <w:t>5</w:t>
            </w:r>
          </w:p>
        </w:tc>
      </w:tr>
      <w:tr>
        <w:trPr>
          <w:trHeight w:val="396"/>
        </w:trPr>
        <w:tc>
          <w:tcPr>
            <w:tcW w:w="6760" w:type="dxa"/>
            <w:vAlign w:val="bottom"/>
          </w:tcPr>
          <w:p>
            <w:pPr>
              <w:ind w:left="140"/>
              <w:spacing w:after="0"/>
              <w:rPr>
                <w:sz w:val="20"/>
                <w:szCs w:val="20"/>
                <w:color w:val="auto"/>
              </w:rPr>
            </w:pPr>
            <w:r>
              <w:rPr>
                <w:rFonts w:ascii="Arial" w:cs="Arial" w:eastAsia="Arial" w:hAnsi="Arial"/>
                <w:sz w:val="18"/>
                <w:szCs w:val="18"/>
                <w:color w:val="auto"/>
              </w:rPr>
              <w:t>Notes to Consolidated Financial Statements</w:t>
            </w:r>
          </w:p>
        </w:tc>
        <w:tc>
          <w:tcPr>
            <w:tcW w:w="1220" w:type="dxa"/>
            <w:vAlign w:val="bottom"/>
          </w:tcPr>
          <w:p>
            <w:pPr>
              <w:jc w:val="center"/>
              <w:ind w:left="312"/>
              <w:spacing w:after="0"/>
              <w:rPr>
                <w:sz w:val="20"/>
                <w:szCs w:val="20"/>
                <w:color w:val="auto"/>
              </w:rPr>
            </w:pPr>
            <w:r>
              <w:rPr>
                <w:rFonts w:ascii="Arial" w:cs="Arial" w:eastAsia="Arial" w:hAnsi="Arial"/>
                <w:sz w:val="18"/>
                <w:szCs w:val="18"/>
                <w:color w:val="auto"/>
                <w:w w:val="84"/>
              </w:rPr>
              <w:t>6–21</w:t>
            </w:r>
          </w:p>
        </w:tc>
      </w:tr>
    </w:tbl>
    <w:p>
      <w:pPr>
        <w:sectPr>
          <w:pgSz w:w="11900" w:h="16838" w:orient="portrait"/>
          <w:cols w:equalWidth="0" w:num="1">
            <w:col w:w="10219"/>
          </w:cols>
          <w:pgMar w:left="240" w:top="502" w:right="1440" w:bottom="1440" w:gutter="0" w:footer="0" w:header="0"/>
        </w:sectPr>
      </w:pPr>
    </w:p>
    <w:bookmarkStart w:id="352" w:name="page353"/>
    <w:bookmarkEnd w:id="352"/>
    <w:p>
      <w:pPr>
        <w:jc w:val="right"/>
        <w:spacing w:after="0"/>
        <w:rPr>
          <w:sz w:val="20"/>
          <w:szCs w:val="20"/>
          <w:color w:val="auto"/>
        </w:rPr>
      </w:pPr>
      <w:r>
        <w:rPr>
          <w:rFonts w:ascii="Arial" w:cs="Arial" w:eastAsia="Arial" w:hAnsi="Arial"/>
          <w:sz w:val="12"/>
          <w:szCs w:val="12"/>
          <w:b w:val="1"/>
          <w:bCs w:val="1"/>
          <w:color w:val="auto"/>
        </w:rPr>
        <w:t>Deloitte &amp; Touche LLP</w:t>
      </w:r>
    </w:p>
    <w:p>
      <w:pPr>
        <w:spacing w:after="0" w:line="20" w:lineRule="exact"/>
        <w:rPr>
          <w:sz w:val="20"/>
          <w:szCs w:val="20"/>
          <w:color w:val="auto"/>
        </w:rPr>
      </w:pPr>
    </w:p>
    <w:p>
      <w:pPr>
        <w:jc w:val="right"/>
        <w:spacing w:after="0"/>
        <w:rPr>
          <w:sz w:val="20"/>
          <w:szCs w:val="20"/>
          <w:color w:val="auto"/>
        </w:rPr>
      </w:pPr>
      <w:r>
        <w:rPr>
          <w:rFonts w:ascii="Arial" w:cs="Arial" w:eastAsia="Arial" w:hAnsi="Arial"/>
          <w:sz w:val="12"/>
          <w:szCs w:val="12"/>
          <w:color w:val="auto"/>
        </w:rPr>
        <w:t>Two World Financial Center</w:t>
      </w:r>
    </w:p>
    <w:p>
      <w:pPr>
        <w:spacing w:after="0" w:line="6" w:lineRule="exact"/>
        <w:rPr>
          <w:sz w:val="20"/>
          <w:szCs w:val="20"/>
          <w:color w:val="auto"/>
        </w:rPr>
      </w:pPr>
    </w:p>
    <w:p>
      <w:pPr>
        <w:jc w:val="right"/>
        <w:spacing w:after="0"/>
        <w:rPr>
          <w:sz w:val="20"/>
          <w:szCs w:val="20"/>
          <w:color w:val="auto"/>
        </w:rPr>
      </w:pPr>
      <w:r>
        <w:rPr>
          <w:rFonts w:ascii="Arial" w:cs="Arial" w:eastAsia="Arial" w:hAnsi="Arial"/>
          <w:sz w:val="12"/>
          <w:szCs w:val="12"/>
          <w:color w:val="auto"/>
        </w:rPr>
        <w:t>New York, NY 10281-1414</w:t>
      </w:r>
    </w:p>
    <w:p>
      <w:pPr>
        <w:spacing w:after="0" w:line="6" w:lineRule="exact"/>
        <w:rPr>
          <w:sz w:val="20"/>
          <w:szCs w:val="20"/>
          <w:color w:val="auto"/>
        </w:rPr>
      </w:pPr>
    </w:p>
    <w:p>
      <w:pPr>
        <w:jc w:val="right"/>
        <w:spacing w:after="0"/>
        <w:rPr>
          <w:sz w:val="20"/>
          <w:szCs w:val="20"/>
          <w:color w:val="auto"/>
        </w:rPr>
      </w:pPr>
      <w:r>
        <w:rPr>
          <w:rFonts w:ascii="Arial" w:cs="Arial" w:eastAsia="Arial" w:hAnsi="Arial"/>
          <w:sz w:val="12"/>
          <w:szCs w:val="12"/>
          <w:color w:val="auto"/>
        </w:rPr>
        <w:t>USA</w:t>
      </w:r>
    </w:p>
    <w:p>
      <w:pPr>
        <w:spacing w:after="0" w:line="198" w:lineRule="exact"/>
        <w:rPr>
          <w:sz w:val="20"/>
          <w:szCs w:val="20"/>
          <w:color w:val="auto"/>
        </w:rPr>
      </w:pPr>
    </w:p>
    <w:p>
      <w:pPr>
        <w:jc w:val="right"/>
        <w:spacing w:after="0"/>
        <w:tabs>
          <w:tab w:leader="none" w:pos="720" w:val="left"/>
        </w:tabs>
        <w:rPr>
          <w:sz w:val="20"/>
          <w:szCs w:val="20"/>
          <w:color w:val="auto"/>
        </w:rPr>
      </w:pPr>
      <w:r>
        <w:rPr>
          <w:rFonts w:ascii="Arial" w:cs="Arial" w:eastAsia="Arial" w:hAnsi="Arial"/>
          <w:sz w:val="12"/>
          <w:szCs w:val="12"/>
          <w:color w:val="auto"/>
        </w:rPr>
        <w:t>Tel:</w:t>
        <w:tab/>
        <w:t>212 436 2000</w:t>
      </w:r>
    </w:p>
    <w:p>
      <w:pPr>
        <w:spacing w:after="0" w:line="6" w:lineRule="exact"/>
        <w:rPr>
          <w:sz w:val="20"/>
          <w:szCs w:val="20"/>
          <w:color w:val="auto"/>
        </w:rPr>
      </w:pPr>
    </w:p>
    <w:p>
      <w:pPr>
        <w:jc w:val="right"/>
        <w:spacing w:after="0"/>
        <w:rPr>
          <w:sz w:val="20"/>
          <w:szCs w:val="20"/>
          <w:color w:val="auto"/>
        </w:rPr>
      </w:pPr>
      <w:r>
        <w:rPr>
          <w:rFonts w:ascii="Arial" w:cs="Arial" w:eastAsia="Arial" w:hAnsi="Arial"/>
          <w:sz w:val="12"/>
          <w:szCs w:val="12"/>
          <w:color w:val="auto"/>
        </w:rPr>
        <w:t>Fax: 212 436 5000</w:t>
      </w:r>
    </w:p>
    <w:p>
      <w:pPr>
        <w:spacing w:after="0" w:line="6" w:lineRule="exact"/>
        <w:rPr>
          <w:sz w:val="20"/>
          <w:szCs w:val="20"/>
          <w:color w:val="auto"/>
        </w:rPr>
      </w:pPr>
    </w:p>
    <w:p>
      <w:pPr>
        <w:jc w:val="right"/>
        <w:spacing w:after="0"/>
        <w:rPr>
          <w:sz w:val="20"/>
          <w:szCs w:val="20"/>
          <w:color w:val="auto"/>
        </w:rPr>
      </w:pPr>
      <w:r>
        <w:rPr>
          <w:rFonts w:ascii="Arial" w:cs="Arial" w:eastAsia="Arial" w:hAnsi="Arial"/>
          <w:sz w:val="12"/>
          <w:szCs w:val="12"/>
          <w:color w:val="auto"/>
        </w:rPr>
        <w:t>www.deloitte.com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color w:val="auto"/>
        </w:rPr>
        <w:t>To the Members of</w:t>
      </w: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color w:val="auto"/>
        </w:rPr>
        <w:t>RBS Sempra Commodities LLP and Subsidiaries:</w:t>
      </w:r>
    </w:p>
    <w:p>
      <w:pPr>
        <w:spacing w:after="0" w:line="163" w:lineRule="exact"/>
        <w:rPr>
          <w:sz w:val="20"/>
          <w:szCs w:val="20"/>
          <w:color w:val="auto"/>
        </w:rPr>
      </w:pPr>
    </w:p>
    <w:p>
      <w:pPr>
        <w:ind w:right="220"/>
        <w:spacing w:after="0" w:line="242" w:lineRule="auto"/>
        <w:rPr>
          <w:sz w:val="20"/>
          <w:szCs w:val="20"/>
          <w:color w:val="auto"/>
        </w:rPr>
      </w:pPr>
      <w:r>
        <w:rPr>
          <w:rFonts w:ascii="Arial" w:cs="Arial" w:eastAsia="Arial" w:hAnsi="Arial"/>
          <w:sz w:val="18"/>
          <w:szCs w:val="18"/>
          <w:color w:val="auto"/>
        </w:rPr>
        <w:t>We have audited the accompanying consolidated statement of financial condition of RBS Sempra Commodities LLP and subsidiaries (the “Partnership”) as of December 31, 2008, and the related consolidated statements of income, cash flows, and changes in members’ capital, for the period from April 1, 2008 (date of commencement) to December 31, 2008. These financial statements are the responsibility of the Partnership’s management. Our responsibility is to express an opinion on these financial statements based on our audit.</w:t>
      </w:r>
    </w:p>
    <w:p>
      <w:pPr>
        <w:spacing w:after="0" w:line="162" w:lineRule="exact"/>
        <w:rPr>
          <w:sz w:val="20"/>
          <w:szCs w:val="20"/>
          <w:color w:val="auto"/>
        </w:rPr>
      </w:pPr>
    </w:p>
    <w:p>
      <w:pPr>
        <w:ind w:right="80"/>
        <w:spacing w:after="0" w:line="294" w:lineRule="auto"/>
        <w:rPr>
          <w:sz w:val="20"/>
          <w:szCs w:val="20"/>
          <w:color w:val="auto"/>
        </w:rPr>
      </w:pPr>
      <w:r>
        <w:rPr>
          <w:rFonts w:ascii="Arial" w:cs="Arial" w:eastAsia="Arial" w:hAnsi="Arial"/>
          <w:sz w:val="15"/>
          <w:szCs w:val="15"/>
          <w:color w:val="auto"/>
        </w:rPr>
        <w:t>We conducted our audit in accordance with generally accepted auditing standards as established by the Auditing Standards Board (United States) and in accordance with generally accepted auditing standards of the Public Company Accounting Oversight Board (United States). Those standards require that we plan and perform the audit to obtain reasonable assurance about whether the financial statements are free of material misstatement. The Partnership is not required to have, nor were we engaged to perform, an audit of its internal control over financial reporting. Our audit included consideration of internal control over financial reporting as a basis for designing audit procedures that are appropriate in the circumstances, but not for the purpose of expressing an opinion on the effectiveness of the Partnership’s internal control over financial reporting. Accordingly, we express no such opinion. An audit also includes examini ng, on a test basis, evidence supporting the amounts and disclosures in the financial statements, assessing the accounting principles used and significant estimates made by management, as well as evaluating the overall financial statement presentation. We believe that our audit provides a reasonable basis for our opinion.</w:t>
      </w:r>
    </w:p>
    <w:p>
      <w:pPr>
        <w:spacing w:after="0" w:line="112" w:lineRule="exact"/>
        <w:rPr>
          <w:sz w:val="20"/>
          <w:szCs w:val="20"/>
          <w:color w:val="auto"/>
        </w:rPr>
      </w:pPr>
    </w:p>
    <w:p>
      <w:pPr>
        <w:jc w:val="both"/>
        <w:ind w:right="540"/>
        <w:spacing w:after="0" w:line="267" w:lineRule="auto"/>
        <w:rPr>
          <w:sz w:val="20"/>
          <w:szCs w:val="20"/>
          <w:color w:val="auto"/>
        </w:rPr>
      </w:pPr>
      <w:r>
        <w:rPr>
          <w:rFonts w:ascii="Arial" w:cs="Arial" w:eastAsia="Arial" w:hAnsi="Arial"/>
          <w:sz w:val="17"/>
          <w:szCs w:val="17"/>
          <w:color w:val="auto"/>
        </w:rPr>
        <w:t>In our opinion, such consolidated financial statements present fairly, in all material respects, the financial position of RBS Sempra Commodities LLP and subsidiaries as of December 31, 2008, and the results of their operations and their cash flows for the period from April 1, 2008 (date of commencement) to December 31, 2008, in conformity with accounting principles generally accepted in the United States of America.</w:t>
      </w: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February 19, 2009</w:t>
      </w:r>
    </w:p>
    <w:p>
      <w:pPr>
        <w:sectPr>
          <w:pgSz w:w="11900" w:h="16838" w:orient="portrait"/>
          <w:cols w:equalWidth="0" w:num="1">
            <w:col w:w="11440"/>
          </w:cols>
          <w:pgMar w:left="240" w:top="510" w:right="219" w:bottom="1440" w:gutter="0" w:footer="0" w:header="0"/>
        </w:sectPr>
      </w:pPr>
    </w:p>
    <w:bookmarkStart w:id="353" w:name="page354"/>
    <w:bookmarkEnd w:id="353"/>
    <w:p>
      <w:pPr>
        <w:ind w:left="700"/>
        <w:spacing w:after="0"/>
        <w:rPr>
          <w:sz w:val="20"/>
          <w:szCs w:val="20"/>
          <w:color w:val="auto"/>
        </w:rPr>
      </w:pPr>
      <w:r>
        <w:rPr>
          <w:rFonts w:ascii="Arial" w:cs="Arial" w:eastAsia="Arial" w:hAnsi="Arial"/>
          <w:sz w:val="21"/>
          <w:szCs w:val="21"/>
          <w:color w:val="auto"/>
        </w:rPr>
        <w:t>RBS SEMPRA COMMODITIES LLP AND SUBSIDIARIES</w:t>
      </w:r>
    </w:p>
    <w:p>
      <w:pPr>
        <w:spacing w:after="0" w:line="238" w:lineRule="exact"/>
        <w:rPr>
          <w:sz w:val="20"/>
          <w:szCs w:val="20"/>
          <w:color w:val="auto"/>
        </w:rPr>
      </w:pPr>
    </w:p>
    <w:p>
      <w:pPr>
        <w:ind w:left="700"/>
        <w:spacing w:after="0"/>
        <w:rPr>
          <w:sz w:val="20"/>
          <w:szCs w:val="20"/>
          <w:color w:val="auto"/>
        </w:rPr>
      </w:pPr>
      <w:r>
        <w:rPr>
          <w:rFonts w:ascii="Arial" w:cs="Arial" w:eastAsia="Arial" w:hAnsi="Arial"/>
          <w:sz w:val="16"/>
          <w:szCs w:val="16"/>
          <w:color w:val="auto"/>
        </w:rPr>
        <w:t>CONSOLIDATED STATEMENT OF FINANCIAL CONDITION</w:t>
      </w:r>
    </w:p>
    <w:p>
      <w:pPr>
        <w:spacing w:after="0" w:line="32" w:lineRule="exact"/>
        <w:rPr>
          <w:sz w:val="20"/>
          <w:szCs w:val="20"/>
          <w:color w:val="auto"/>
        </w:rPr>
      </w:pPr>
    </w:p>
    <w:p>
      <w:pPr>
        <w:ind w:left="700"/>
        <w:spacing w:after="0"/>
        <w:rPr>
          <w:sz w:val="20"/>
          <w:szCs w:val="20"/>
          <w:color w:val="auto"/>
        </w:rPr>
      </w:pPr>
      <w:r>
        <w:rPr>
          <w:rFonts w:ascii="Arial" w:cs="Arial" w:eastAsia="Arial" w:hAnsi="Arial"/>
          <w:sz w:val="16"/>
          <w:szCs w:val="16"/>
          <w:color w:val="auto"/>
        </w:rPr>
        <w:t>AS OF DECEMBER 31, 2008</w:t>
      </w:r>
    </w:p>
    <w:p>
      <w:pPr>
        <w:spacing w:after="0" w:line="32" w:lineRule="exact"/>
        <w:rPr>
          <w:sz w:val="20"/>
          <w:szCs w:val="20"/>
          <w:color w:val="auto"/>
        </w:rPr>
      </w:pPr>
    </w:p>
    <w:p>
      <w:pPr>
        <w:ind w:left="700"/>
        <w:spacing w:after="0"/>
        <w:rPr>
          <w:sz w:val="20"/>
          <w:szCs w:val="20"/>
          <w:color w:val="auto"/>
        </w:rPr>
      </w:pPr>
      <w:r>
        <w:rPr>
          <w:rFonts w:ascii="Arial" w:cs="Arial" w:eastAsia="Arial" w:hAnsi="Arial"/>
          <w:sz w:val="16"/>
          <w:szCs w:val="16"/>
          <w:color w:val="auto"/>
        </w:rPr>
        <w:t>(Dollars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20955</wp:posOffset>
            </wp:positionV>
            <wp:extent cx="4859020" cy="762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4859020" cy="7620"/>
                    </a:xfrm>
                    <a:prstGeom prst="rect">
                      <a:avLst/>
                    </a:prstGeom>
                    <a:noFill/>
                  </pic:spPr>
                </pic:pic>
              </a:graphicData>
            </a:graphic>
          </wp:anchor>
        </w:drawing>
      </w:r>
    </w:p>
    <w:p>
      <w:pPr>
        <w:spacing w:after="0" w:line="232" w:lineRule="exact"/>
        <w:rPr>
          <w:sz w:val="20"/>
          <w:szCs w:val="20"/>
          <w:color w:val="auto"/>
        </w:rPr>
      </w:pPr>
    </w:p>
    <w:tbl>
      <w:tblPr>
        <w:tblLayout w:type="fixed"/>
        <w:tblInd w:w="700" w:type="dxa"/>
        <w:tblCellMar>
          <w:top w:w="0" w:type="dxa"/>
          <w:left w:w="0" w:type="dxa"/>
          <w:bottom w:w="0" w:type="dxa"/>
          <w:right w:w="0" w:type="dxa"/>
        </w:tblCellMar>
      </w:tblPr>
      <w:tr>
        <w:trPr>
          <w:trHeight w:val="229"/>
        </w:trPr>
        <w:tc>
          <w:tcPr>
            <w:tcW w:w="6520" w:type="dxa"/>
            <w:vAlign w:val="bottom"/>
          </w:tcPr>
          <w:p>
            <w:pPr>
              <w:spacing w:after="0"/>
              <w:rPr>
                <w:sz w:val="20"/>
                <w:szCs w:val="20"/>
                <w:color w:val="auto"/>
              </w:rPr>
            </w:pPr>
            <w:r>
              <w:rPr>
                <w:rFonts w:ascii="Arial" w:cs="Arial" w:eastAsia="Arial" w:hAnsi="Arial"/>
                <w:sz w:val="18"/>
                <w:szCs w:val="18"/>
                <w:b w:val="1"/>
                <w:bCs w:val="1"/>
                <w:color w:val="auto"/>
              </w:rPr>
              <w:t>ASSETS</w:t>
            </w:r>
          </w:p>
        </w:tc>
        <w:tc>
          <w:tcPr>
            <w:tcW w:w="1120" w:type="dxa"/>
            <w:vAlign w:val="bottom"/>
          </w:tcPr>
          <w:p>
            <w:pPr>
              <w:spacing w:after="0"/>
              <w:rPr>
                <w:sz w:val="19"/>
                <w:szCs w:val="19"/>
                <w:color w:val="auto"/>
              </w:rPr>
            </w:pPr>
          </w:p>
        </w:tc>
      </w:tr>
      <w:tr>
        <w:trPr>
          <w:trHeight w:val="228"/>
        </w:trPr>
        <w:tc>
          <w:tcPr>
            <w:tcW w:w="652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120" w:type="dxa"/>
            <w:vAlign w:val="bottom"/>
          </w:tcPr>
          <w:p>
            <w:pPr>
              <w:jc w:val="right"/>
              <w:spacing w:after="0"/>
              <w:rPr>
                <w:sz w:val="20"/>
                <w:szCs w:val="20"/>
                <w:color w:val="auto"/>
              </w:rPr>
            </w:pPr>
            <w:r>
              <w:rPr>
                <w:rFonts w:ascii="Arial" w:cs="Arial" w:eastAsia="Arial" w:hAnsi="Arial"/>
                <w:sz w:val="18"/>
                <w:szCs w:val="18"/>
                <w:color w:val="auto"/>
              </w:rPr>
              <w:t>$190,182</w:t>
            </w:r>
          </w:p>
        </w:tc>
      </w:tr>
      <w:tr>
        <w:trPr>
          <w:trHeight w:val="228"/>
        </w:trPr>
        <w:tc>
          <w:tcPr>
            <w:tcW w:w="6520" w:type="dxa"/>
            <w:vAlign w:val="bottom"/>
          </w:tcPr>
          <w:p>
            <w:pPr>
              <w:spacing w:after="0"/>
              <w:rPr>
                <w:sz w:val="20"/>
                <w:szCs w:val="20"/>
                <w:color w:val="auto"/>
              </w:rPr>
            </w:pPr>
            <w:r>
              <w:rPr>
                <w:rFonts w:ascii="Arial" w:cs="Arial" w:eastAsia="Arial" w:hAnsi="Arial"/>
                <w:sz w:val="18"/>
                <w:szCs w:val="18"/>
                <w:color w:val="auto"/>
              </w:rPr>
              <w:t>Trading assets</w:t>
            </w:r>
          </w:p>
        </w:tc>
        <w:tc>
          <w:tcPr>
            <w:tcW w:w="1120" w:type="dxa"/>
            <w:vAlign w:val="bottom"/>
          </w:tcPr>
          <w:p>
            <w:pPr>
              <w:jc w:val="right"/>
              <w:spacing w:after="0"/>
              <w:rPr>
                <w:sz w:val="20"/>
                <w:szCs w:val="20"/>
                <w:color w:val="auto"/>
              </w:rPr>
            </w:pPr>
            <w:r>
              <w:rPr>
                <w:rFonts w:ascii="Arial" w:cs="Arial" w:eastAsia="Arial" w:hAnsi="Arial"/>
                <w:sz w:val="18"/>
                <w:szCs w:val="18"/>
                <w:color w:val="auto"/>
              </w:rPr>
              <w:t>5,833,511</w:t>
            </w:r>
          </w:p>
        </w:tc>
      </w:tr>
      <w:tr>
        <w:trPr>
          <w:trHeight w:val="228"/>
        </w:trPr>
        <w:tc>
          <w:tcPr>
            <w:tcW w:w="6520" w:type="dxa"/>
            <w:vAlign w:val="bottom"/>
          </w:tcPr>
          <w:p>
            <w:pPr>
              <w:spacing w:after="0"/>
              <w:rPr>
                <w:sz w:val="20"/>
                <w:szCs w:val="20"/>
                <w:color w:val="auto"/>
              </w:rPr>
            </w:pPr>
            <w:r>
              <w:rPr>
                <w:rFonts w:ascii="Arial" w:cs="Arial" w:eastAsia="Arial" w:hAnsi="Arial"/>
                <w:sz w:val="18"/>
                <w:szCs w:val="18"/>
                <w:color w:val="auto"/>
              </w:rPr>
              <w:t>Commodities owned</w:t>
            </w:r>
          </w:p>
        </w:tc>
        <w:tc>
          <w:tcPr>
            <w:tcW w:w="1120" w:type="dxa"/>
            <w:vAlign w:val="bottom"/>
          </w:tcPr>
          <w:p>
            <w:pPr>
              <w:jc w:val="right"/>
              <w:spacing w:after="0"/>
              <w:rPr>
                <w:sz w:val="20"/>
                <w:szCs w:val="20"/>
                <w:color w:val="auto"/>
              </w:rPr>
            </w:pPr>
            <w:r>
              <w:rPr>
                <w:rFonts w:ascii="Arial" w:cs="Arial" w:eastAsia="Arial" w:hAnsi="Arial"/>
                <w:sz w:val="18"/>
                <w:szCs w:val="18"/>
                <w:color w:val="auto"/>
              </w:rPr>
              <w:t>1,162,559</w:t>
            </w:r>
          </w:p>
        </w:tc>
      </w:tr>
      <w:tr>
        <w:trPr>
          <w:trHeight w:val="228"/>
        </w:trPr>
        <w:tc>
          <w:tcPr>
            <w:tcW w:w="6520" w:type="dxa"/>
            <w:vAlign w:val="bottom"/>
          </w:tcPr>
          <w:p>
            <w:pPr>
              <w:spacing w:after="0"/>
              <w:rPr>
                <w:sz w:val="20"/>
                <w:szCs w:val="20"/>
                <w:color w:val="auto"/>
              </w:rPr>
            </w:pPr>
            <w:r>
              <w:rPr>
                <w:rFonts w:ascii="Arial" w:cs="Arial" w:eastAsia="Arial" w:hAnsi="Arial"/>
                <w:sz w:val="18"/>
                <w:szCs w:val="18"/>
                <w:color w:val="auto"/>
              </w:rPr>
              <w:t>Receivables from affiliates — net</w:t>
            </w:r>
          </w:p>
        </w:tc>
        <w:tc>
          <w:tcPr>
            <w:tcW w:w="1120" w:type="dxa"/>
            <w:vAlign w:val="bottom"/>
          </w:tcPr>
          <w:p>
            <w:pPr>
              <w:jc w:val="right"/>
              <w:spacing w:after="0"/>
              <w:rPr>
                <w:sz w:val="20"/>
                <w:szCs w:val="20"/>
                <w:color w:val="auto"/>
              </w:rPr>
            </w:pPr>
            <w:r>
              <w:rPr>
                <w:rFonts w:ascii="Arial" w:cs="Arial" w:eastAsia="Arial" w:hAnsi="Arial"/>
                <w:sz w:val="18"/>
                <w:szCs w:val="18"/>
                <w:color w:val="auto"/>
              </w:rPr>
              <w:t>924,715</w:t>
            </w:r>
          </w:p>
        </w:tc>
      </w:tr>
      <w:tr>
        <w:trPr>
          <w:trHeight w:val="228"/>
        </w:trPr>
        <w:tc>
          <w:tcPr>
            <w:tcW w:w="6520" w:type="dxa"/>
            <w:vAlign w:val="bottom"/>
          </w:tcPr>
          <w:p>
            <w:pPr>
              <w:spacing w:after="0"/>
              <w:rPr>
                <w:sz w:val="20"/>
                <w:szCs w:val="20"/>
                <w:color w:val="auto"/>
              </w:rPr>
            </w:pPr>
            <w:r>
              <w:rPr>
                <w:rFonts w:ascii="Arial" w:cs="Arial" w:eastAsia="Arial" w:hAnsi="Arial"/>
                <w:sz w:val="18"/>
                <w:szCs w:val="18"/>
                <w:color w:val="auto"/>
              </w:rPr>
              <w:t>Investments in marketable securities</w:t>
            </w:r>
          </w:p>
        </w:tc>
        <w:tc>
          <w:tcPr>
            <w:tcW w:w="1120" w:type="dxa"/>
            <w:vAlign w:val="bottom"/>
          </w:tcPr>
          <w:p>
            <w:pPr>
              <w:jc w:val="right"/>
              <w:spacing w:after="0"/>
              <w:rPr>
                <w:sz w:val="20"/>
                <w:szCs w:val="20"/>
                <w:color w:val="auto"/>
              </w:rPr>
            </w:pPr>
            <w:r>
              <w:rPr>
                <w:rFonts w:ascii="Arial" w:cs="Arial" w:eastAsia="Arial" w:hAnsi="Arial"/>
                <w:sz w:val="18"/>
                <w:szCs w:val="18"/>
                <w:color w:val="auto"/>
              </w:rPr>
              <w:t>54,125</w:t>
            </w:r>
          </w:p>
        </w:tc>
      </w:tr>
      <w:tr>
        <w:trPr>
          <w:trHeight w:val="228"/>
        </w:trPr>
        <w:tc>
          <w:tcPr>
            <w:tcW w:w="6520" w:type="dxa"/>
            <w:vAlign w:val="bottom"/>
          </w:tcPr>
          <w:p>
            <w:pPr>
              <w:spacing w:after="0"/>
              <w:rPr>
                <w:sz w:val="20"/>
                <w:szCs w:val="20"/>
                <w:color w:val="auto"/>
              </w:rPr>
            </w:pPr>
            <w:r>
              <w:rPr>
                <w:rFonts w:ascii="Arial" w:cs="Arial" w:eastAsia="Arial" w:hAnsi="Arial"/>
                <w:sz w:val="18"/>
                <w:szCs w:val="18"/>
                <w:color w:val="auto"/>
              </w:rPr>
              <w:t>Finance lease receivable</w:t>
            </w:r>
          </w:p>
        </w:tc>
        <w:tc>
          <w:tcPr>
            <w:tcW w:w="1120" w:type="dxa"/>
            <w:vAlign w:val="bottom"/>
          </w:tcPr>
          <w:p>
            <w:pPr>
              <w:jc w:val="right"/>
              <w:spacing w:after="0"/>
              <w:rPr>
                <w:sz w:val="20"/>
                <w:szCs w:val="20"/>
                <w:color w:val="auto"/>
              </w:rPr>
            </w:pPr>
            <w:r>
              <w:rPr>
                <w:rFonts w:ascii="Arial" w:cs="Arial" w:eastAsia="Arial" w:hAnsi="Arial"/>
                <w:sz w:val="18"/>
                <w:szCs w:val="18"/>
                <w:color w:val="auto"/>
              </w:rPr>
              <w:t>192,328</w:t>
            </w:r>
          </w:p>
        </w:tc>
      </w:tr>
      <w:tr>
        <w:trPr>
          <w:trHeight w:val="228"/>
        </w:trPr>
        <w:tc>
          <w:tcPr>
            <w:tcW w:w="6520" w:type="dxa"/>
            <w:vAlign w:val="bottom"/>
          </w:tcPr>
          <w:p>
            <w:pPr>
              <w:spacing w:after="0"/>
              <w:rPr>
                <w:sz w:val="20"/>
                <w:szCs w:val="20"/>
                <w:color w:val="auto"/>
              </w:rPr>
            </w:pPr>
            <w:r>
              <w:rPr>
                <w:rFonts w:ascii="Arial" w:cs="Arial" w:eastAsia="Arial" w:hAnsi="Arial"/>
                <w:sz w:val="18"/>
                <w:szCs w:val="18"/>
                <w:color w:val="auto"/>
              </w:rPr>
              <w:t>Prepaid and other assets</w:t>
            </w:r>
          </w:p>
        </w:tc>
        <w:tc>
          <w:tcPr>
            <w:tcW w:w="1120" w:type="dxa"/>
            <w:vAlign w:val="bottom"/>
          </w:tcPr>
          <w:p>
            <w:pPr>
              <w:jc w:val="right"/>
              <w:spacing w:after="0"/>
              <w:rPr>
                <w:sz w:val="20"/>
                <w:szCs w:val="20"/>
                <w:color w:val="auto"/>
              </w:rPr>
            </w:pPr>
            <w:r>
              <w:rPr>
                <w:rFonts w:ascii="Arial" w:cs="Arial" w:eastAsia="Arial" w:hAnsi="Arial"/>
                <w:sz w:val="18"/>
                <w:szCs w:val="18"/>
                <w:color w:val="auto"/>
              </w:rPr>
              <w:t>355,682</w:t>
            </w:r>
          </w:p>
        </w:tc>
      </w:tr>
      <w:tr>
        <w:trPr>
          <w:trHeight w:val="228"/>
        </w:trPr>
        <w:tc>
          <w:tcPr>
            <w:tcW w:w="6520" w:type="dxa"/>
            <w:vAlign w:val="bottom"/>
          </w:tcPr>
          <w:p>
            <w:pPr>
              <w:spacing w:after="0"/>
              <w:rPr>
                <w:sz w:val="20"/>
                <w:szCs w:val="20"/>
                <w:color w:val="auto"/>
              </w:rPr>
            </w:pPr>
            <w:r>
              <w:rPr>
                <w:rFonts w:ascii="Arial" w:cs="Arial" w:eastAsia="Arial" w:hAnsi="Arial"/>
                <w:sz w:val="18"/>
                <w:szCs w:val="18"/>
                <w:color w:val="auto"/>
              </w:rPr>
              <w:t>Property, plant and equipment — net</w:t>
            </w:r>
          </w:p>
        </w:tc>
        <w:tc>
          <w:tcPr>
            <w:tcW w:w="1120" w:type="dxa"/>
            <w:vAlign w:val="bottom"/>
          </w:tcPr>
          <w:p>
            <w:pPr>
              <w:jc w:val="right"/>
              <w:spacing w:after="0"/>
              <w:rPr>
                <w:sz w:val="20"/>
                <w:szCs w:val="20"/>
                <w:color w:val="auto"/>
              </w:rPr>
            </w:pPr>
            <w:r>
              <w:rPr>
                <w:rFonts w:ascii="Arial" w:cs="Arial" w:eastAsia="Arial" w:hAnsi="Arial"/>
                <w:sz w:val="18"/>
                <w:szCs w:val="18"/>
                <w:color w:val="auto"/>
              </w:rPr>
              <w:t>144,889</w:t>
            </w:r>
          </w:p>
        </w:tc>
      </w:tr>
      <w:tr>
        <w:trPr>
          <w:trHeight w:val="236"/>
        </w:trPr>
        <w:tc>
          <w:tcPr>
            <w:tcW w:w="6520" w:type="dxa"/>
            <w:vAlign w:val="bottom"/>
          </w:tcPr>
          <w:p>
            <w:pPr>
              <w:spacing w:after="0"/>
              <w:rPr>
                <w:sz w:val="20"/>
                <w:szCs w:val="20"/>
                <w:color w:val="auto"/>
              </w:rPr>
            </w:pPr>
            <w:r>
              <w:rPr>
                <w:rFonts w:ascii="Arial" w:cs="Arial" w:eastAsia="Arial" w:hAnsi="Arial"/>
                <w:sz w:val="18"/>
                <w:szCs w:val="18"/>
                <w:color w:val="auto"/>
              </w:rPr>
              <w:t>Goodwill</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371,418</w:t>
            </w:r>
          </w:p>
        </w:tc>
      </w:tr>
      <w:tr>
        <w:trPr>
          <w:trHeight w:val="436"/>
        </w:trPr>
        <w:tc>
          <w:tcPr>
            <w:tcW w:w="6520" w:type="dxa"/>
            <w:vAlign w:val="bottom"/>
          </w:tcPr>
          <w:p>
            <w:pPr>
              <w:spacing w:after="0"/>
              <w:rPr>
                <w:sz w:val="20"/>
                <w:szCs w:val="20"/>
                <w:color w:val="auto"/>
              </w:rPr>
            </w:pPr>
            <w:r>
              <w:rPr>
                <w:rFonts w:ascii="Arial" w:cs="Arial" w:eastAsia="Arial" w:hAnsi="Arial"/>
                <w:sz w:val="18"/>
                <w:szCs w:val="18"/>
                <w:color w:val="auto"/>
              </w:rPr>
              <w:t>TOTAL</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$9,229,409</w:t>
            </w:r>
          </w:p>
        </w:tc>
      </w:tr>
      <w:tr>
        <w:trPr>
          <w:trHeight w:val="428"/>
        </w:trPr>
        <w:tc>
          <w:tcPr>
            <w:tcW w:w="6520" w:type="dxa"/>
            <w:vAlign w:val="bottom"/>
          </w:tcPr>
          <w:p>
            <w:pPr>
              <w:spacing w:after="0"/>
              <w:rPr>
                <w:sz w:val="20"/>
                <w:szCs w:val="20"/>
                <w:color w:val="auto"/>
              </w:rPr>
            </w:pPr>
            <w:r>
              <w:rPr>
                <w:rFonts w:ascii="Arial" w:cs="Arial" w:eastAsia="Arial" w:hAnsi="Arial"/>
                <w:sz w:val="18"/>
                <w:szCs w:val="18"/>
                <w:b w:val="1"/>
                <w:bCs w:val="1"/>
                <w:color w:val="auto"/>
              </w:rPr>
              <w:t>LIABILITIES AND MEMBERS’ CAPITAL</w:t>
            </w:r>
          </w:p>
        </w:tc>
        <w:tc>
          <w:tcPr>
            <w:tcW w:w="1120" w:type="dxa"/>
            <w:vAlign w:val="bottom"/>
          </w:tcPr>
          <w:p>
            <w:pPr>
              <w:spacing w:after="0"/>
              <w:rPr>
                <w:sz w:val="24"/>
                <w:szCs w:val="24"/>
                <w:color w:val="auto"/>
              </w:rPr>
            </w:pPr>
          </w:p>
        </w:tc>
      </w:tr>
      <w:tr>
        <w:trPr>
          <w:trHeight w:val="228"/>
        </w:trPr>
        <w:tc>
          <w:tcPr>
            <w:tcW w:w="6520" w:type="dxa"/>
            <w:vAlign w:val="bottom"/>
          </w:tcPr>
          <w:p>
            <w:pPr>
              <w:spacing w:after="0"/>
              <w:rPr>
                <w:sz w:val="20"/>
                <w:szCs w:val="20"/>
                <w:color w:val="auto"/>
              </w:rPr>
            </w:pPr>
            <w:r>
              <w:rPr>
                <w:rFonts w:ascii="Arial" w:cs="Arial" w:eastAsia="Arial" w:hAnsi="Arial"/>
                <w:sz w:val="18"/>
                <w:szCs w:val="18"/>
                <w:color w:val="auto"/>
              </w:rPr>
              <w:t>LIABILITIES:</w:t>
            </w:r>
          </w:p>
        </w:tc>
        <w:tc>
          <w:tcPr>
            <w:tcW w:w="1120" w:type="dxa"/>
            <w:vAlign w:val="bottom"/>
          </w:tcPr>
          <w:p>
            <w:pPr>
              <w:spacing w:after="0"/>
              <w:rPr>
                <w:sz w:val="19"/>
                <w:szCs w:val="19"/>
                <w:color w:val="auto"/>
              </w:rPr>
            </w:pPr>
          </w:p>
        </w:tc>
      </w:tr>
      <w:tr>
        <w:trPr>
          <w:trHeight w:val="228"/>
        </w:trPr>
        <w:tc>
          <w:tcPr>
            <w:tcW w:w="6520" w:type="dxa"/>
            <w:vAlign w:val="bottom"/>
          </w:tcPr>
          <w:p>
            <w:pPr>
              <w:spacing w:after="0"/>
              <w:rPr>
                <w:sz w:val="20"/>
                <w:szCs w:val="20"/>
                <w:color w:val="auto"/>
              </w:rPr>
            </w:pPr>
            <w:r>
              <w:rPr>
                <w:rFonts w:ascii="Arial" w:cs="Arial" w:eastAsia="Arial" w:hAnsi="Arial"/>
                <w:sz w:val="18"/>
                <w:szCs w:val="18"/>
                <w:color w:val="auto"/>
              </w:rPr>
              <w:t>Short-term borrowings</w:t>
            </w:r>
          </w:p>
        </w:tc>
        <w:tc>
          <w:tcPr>
            <w:tcW w:w="1120" w:type="dxa"/>
            <w:vAlign w:val="bottom"/>
          </w:tcPr>
          <w:p>
            <w:pPr>
              <w:jc w:val="right"/>
              <w:spacing w:after="0"/>
              <w:rPr>
                <w:sz w:val="20"/>
                <w:szCs w:val="20"/>
                <w:color w:val="auto"/>
              </w:rPr>
            </w:pPr>
            <w:r>
              <w:rPr>
                <w:rFonts w:ascii="Arial" w:cs="Arial" w:eastAsia="Arial" w:hAnsi="Arial"/>
                <w:sz w:val="18"/>
                <w:szCs w:val="18"/>
                <w:color w:val="auto"/>
              </w:rPr>
              <w:t>$320,236</w:t>
            </w:r>
          </w:p>
        </w:tc>
      </w:tr>
      <w:tr>
        <w:trPr>
          <w:trHeight w:val="228"/>
        </w:trPr>
        <w:tc>
          <w:tcPr>
            <w:tcW w:w="6520" w:type="dxa"/>
            <w:vAlign w:val="bottom"/>
          </w:tcPr>
          <w:p>
            <w:pPr>
              <w:spacing w:after="0"/>
              <w:rPr>
                <w:sz w:val="20"/>
                <w:szCs w:val="20"/>
                <w:color w:val="auto"/>
              </w:rPr>
            </w:pPr>
            <w:r>
              <w:rPr>
                <w:rFonts w:ascii="Arial" w:cs="Arial" w:eastAsia="Arial" w:hAnsi="Arial"/>
                <w:sz w:val="18"/>
                <w:szCs w:val="18"/>
                <w:color w:val="auto"/>
              </w:rPr>
              <w:t>Trading liabilities</w:t>
            </w:r>
          </w:p>
        </w:tc>
        <w:tc>
          <w:tcPr>
            <w:tcW w:w="1120" w:type="dxa"/>
            <w:vAlign w:val="bottom"/>
          </w:tcPr>
          <w:p>
            <w:pPr>
              <w:jc w:val="right"/>
              <w:spacing w:after="0"/>
              <w:rPr>
                <w:sz w:val="20"/>
                <w:szCs w:val="20"/>
                <w:color w:val="auto"/>
              </w:rPr>
            </w:pPr>
            <w:r>
              <w:rPr>
                <w:rFonts w:ascii="Arial" w:cs="Arial" w:eastAsia="Arial" w:hAnsi="Arial"/>
                <w:sz w:val="18"/>
                <w:szCs w:val="18"/>
                <w:color w:val="auto"/>
              </w:rPr>
              <w:t>4,521,149</w:t>
            </w:r>
          </w:p>
        </w:tc>
      </w:tr>
      <w:tr>
        <w:trPr>
          <w:trHeight w:val="228"/>
        </w:trPr>
        <w:tc>
          <w:tcPr>
            <w:tcW w:w="6520" w:type="dxa"/>
            <w:vAlign w:val="bottom"/>
          </w:tcPr>
          <w:p>
            <w:pPr>
              <w:spacing w:after="0"/>
              <w:rPr>
                <w:sz w:val="20"/>
                <w:szCs w:val="20"/>
                <w:color w:val="auto"/>
              </w:rPr>
            </w:pPr>
            <w:r>
              <w:rPr>
                <w:rFonts w:ascii="Arial" w:cs="Arial" w:eastAsia="Arial" w:hAnsi="Arial"/>
                <w:sz w:val="18"/>
                <w:szCs w:val="18"/>
                <w:color w:val="auto"/>
              </w:rPr>
              <w:t>Accounts payable and accrued liabilities</w:t>
            </w:r>
          </w:p>
        </w:tc>
        <w:tc>
          <w:tcPr>
            <w:tcW w:w="1120" w:type="dxa"/>
            <w:vAlign w:val="bottom"/>
          </w:tcPr>
          <w:p>
            <w:pPr>
              <w:jc w:val="right"/>
              <w:spacing w:after="0"/>
              <w:rPr>
                <w:sz w:val="20"/>
                <w:szCs w:val="20"/>
                <w:color w:val="auto"/>
              </w:rPr>
            </w:pPr>
            <w:r>
              <w:rPr>
                <w:rFonts w:ascii="Arial" w:cs="Arial" w:eastAsia="Arial" w:hAnsi="Arial"/>
                <w:sz w:val="18"/>
                <w:szCs w:val="18"/>
                <w:color w:val="auto"/>
              </w:rPr>
              <w:t>737,781</w:t>
            </w:r>
          </w:p>
        </w:tc>
      </w:tr>
      <w:tr>
        <w:trPr>
          <w:trHeight w:val="236"/>
        </w:trPr>
        <w:tc>
          <w:tcPr>
            <w:tcW w:w="6520" w:type="dxa"/>
            <w:vAlign w:val="bottom"/>
          </w:tcPr>
          <w:p>
            <w:pPr>
              <w:spacing w:after="0"/>
              <w:rPr>
                <w:sz w:val="20"/>
                <w:szCs w:val="20"/>
                <w:color w:val="auto"/>
              </w:rPr>
            </w:pPr>
            <w:r>
              <w:rPr>
                <w:rFonts w:ascii="Arial" w:cs="Arial" w:eastAsia="Arial" w:hAnsi="Arial"/>
                <w:sz w:val="18"/>
                <w:szCs w:val="18"/>
                <w:color w:val="auto"/>
              </w:rPr>
              <w:t>Payables to affiliates</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1,433</w:t>
            </w:r>
          </w:p>
        </w:tc>
      </w:tr>
      <w:tr>
        <w:trPr>
          <w:trHeight w:val="428"/>
        </w:trPr>
        <w:tc>
          <w:tcPr>
            <w:tcW w:w="6520" w:type="dxa"/>
            <w:vAlign w:val="bottom"/>
          </w:tcPr>
          <w:p>
            <w:pPr>
              <w:ind w:left="240"/>
              <w:spacing w:after="0"/>
              <w:rPr>
                <w:sz w:val="20"/>
                <w:szCs w:val="20"/>
                <w:color w:val="auto"/>
              </w:rPr>
            </w:pPr>
            <w:r>
              <w:rPr>
                <w:rFonts w:ascii="Arial" w:cs="Arial" w:eastAsia="Arial" w:hAnsi="Arial"/>
                <w:sz w:val="18"/>
                <w:szCs w:val="18"/>
                <w:color w:val="auto"/>
              </w:rPr>
              <w:t>Total liabilities</w:t>
            </w:r>
          </w:p>
        </w:tc>
        <w:tc>
          <w:tcPr>
            <w:tcW w:w="1120" w:type="dxa"/>
            <w:vAlign w:val="bottom"/>
          </w:tcPr>
          <w:p>
            <w:pPr>
              <w:jc w:val="right"/>
              <w:spacing w:after="0"/>
              <w:rPr>
                <w:sz w:val="20"/>
                <w:szCs w:val="20"/>
                <w:color w:val="auto"/>
              </w:rPr>
            </w:pPr>
            <w:r>
              <w:rPr>
                <w:rFonts w:ascii="Arial" w:cs="Arial" w:eastAsia="Arial" w:hAnsi="Arial"/>
                <w:sz w:val="18"/>
                <w:szCs w:val="18"/>
                <w:color w:val="auto"/>
              </w:rPr>
              <w:t>5,580,599</w:t>
            </w:r>
          </w:p>
        </w:tc>
      </w:tr>
      <w:tr>
        <w:trPr>
          <w:trHeight w:val="453"/>
        </w:trPr>
        <w:tc>
          <w:tcPr>
            <w:tcW w:w="6520" w:type="dxa"/>
            <w:vAlign w:val="bottom"/>
          </w:tcPr>
          <w:p>
            <w:pPr>
              <w:spacing w:after="0"/>
              <w:rPr>
                <w:sz w:val="20"/>
                <w:szCs w:val="20"/>
                <w:color w:val="auto"/>
              </w:rPr>
            </w:pPr>
            <w:r>
              <w:rPr>
                <w:rFonts w:ascii="Arial" w:cs="Arial" w:eastAsia="Arial" w:hAnsi="Arial"/>
                <w:sz w:val="18"/>
                <w:szCs w:val="18"/>
                <w:color w:val="auto"/>
              </w:rPr>
              <w:t>MEMBERS’ CAPITAL</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3,648,810</w:t>
            </w:r>
          </w:p>
        </w:tc>
      </w:tr>
      <w:tr>
        <w:trPr>
          <w:trHeight w:val="453"/>
        </w:trPr>
        <w:tc>
          <w:tcPr>
            <w:tcW w:w="6520" w:type="dxa"/>
            <w:vAlign w:val="bottom"/>
          </w:tcPr>
          <w:p>
            <w:pPr>
              <w:spacing w:after="0"/>
              <w:rPr>
                <w:sz w:val="20"/>
                <w:szCs w:val="20"/>
                <w:color w:val="auto"/>
              </w:rPr>
            </w:pPr>
            <w:r>
              <w:rPr>
                <w:rFonts w:ascii="Arial" w:cs="Arial" w:eastAsia="Arial" w:hAnsi="Arial"/>
                <w:sz w:val="18"/>
                <w:szCs w:val="18"/>
                <w:color w:val="auto"/>
              </w:rPr>
              <w:t>TOTAL</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$9,229,409</w:t>
            </w:r>
          </w:p>
        </w:tc>
      </w:tr>
    </w:tbl>
    <w:p>
      <w:pPr>
        <w:spacing w:after="0" w:line="244" w:lineRule="exact"/>
        <w:rPr>
          <w:sz w:val="20"/>
          <w:szCs w:val="20"/>
          <w:color w:val="auto"/>
        </w:rPr>
      </w:pPr>
    </w:p>
    <w:p>
      <w:pPr>
        <w:ind w:left="700"/>
        <w:spacing w:after="0"/>
        <w:rPr>
          <w:sz w:val="20"/>
          <w:szCs w:val="20"/>
          <w:color w:val="auto"/>
        </w:rPr>
      </w:pPr>
      <w:r>
        <w:rPr>
          <w:rFonts w:ascii="Arial" w:cs="Arial" w:eastAsia="Arial" w:hAnsi="Arial"/>
          <w:sz w:val="14"/>
          <w:szCs w:val="14"/>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- 2 -</w:t>
      </w:r>
    </w:p>
    <w:p>
      <w:pPr>
        <w:sectPr>
          <w:pgSz w:w="11900" w:h="16838" w:orient="portrait"/>
          <w:cols w:equalWidth="0" w:num="1">
            <w:col w:w="9019"/>
          </w:cols>
          <w:pgMar w:left="1440" w:top="909" w:right="1440" w:bottom="1440" w:gutter="0" w:footer="0" w:header="0"/>
        </w:sectPr>
      </w:pPr>
    </w:p>
    <w:bookmarkStart w:id="354" w:name="page355"/>
    <w:bookmarkEnd w:id="354"/>
    <w:p>
      <w:pPr>
        <w:ind w:left="1060"/>
        <w:spacing w:after="0"/>
        <w:rPr>
          <w:sz w:val="20"/>
          <w:szCs w:val="20"/>
          <w:color w:val="auto"/>
        </w:rPr>
      </w:pPr>
      <w:r>
        <w:rPr>
          <w:rFonts w:ascii="Arial" w:cs="Arial" w:eastAsia="Arial" w:hAnsi="Arial"/>
          <w:sz w:val="20"/>
          <w:szCs w:val="20"/>
          <w:color w:val="auto"/>
        </w:rPr>
        <w:t>RBS SEMPRA COMMODITIES LLP AND SUBSIDIARIES</w:t>
      </w:r>
    </w:p>
    <w:p>
      <w:pPr>
        <w:spacing w:after="0" w:line="249" w:lineRule="exact"/>
        <w:rPr>
          <w:sz w:val="20"/>
          <w:szCs w:val="20"/>
          <w:color w:val="auto"/>
        </w:rPr>
      </w:pPr>
    </w:p>
    <w:p>
      <w:pPr>
        <w:ind w:left="1060"/>
        <w:spacing w:after="0"/>
        <w:rPr>
          <w:sz w:val="20"/>
          <w:szCs w:val="20"/>
          <w:color w:val="auto"/>
        </w:rPr>
      </w:pPr>
      <w:r>
        <w:rPr>
          <w:rFonts w:ascii="Arial" w:cs="Arial" w:eastAsia="Arial" w:hAnsi="Arial"/>
          <w:sz w:val="16"/>
          <w:szCs w:val="16"/>
          <w:color w:val="auto"/>
        </w:rPr>
        <w:t>CONSOLIDATED STATEMENT OF INCOME</w:t>
      </w:r>
    </w:p>
    <w:p>
      <w:pPr>
        <w:spacing w:after="0" w:line="32" w:lineRule="exact"/>
        <w:rPr>
          <w:sz w:val="20"/>
          <w:szCs w:val="20"/>
          <w:color w:val="auto"/>
        </w:rPr>
      </w:pPr>
    </w:p>
    <w:p>
      <w:pPr>
        <w:ind w:left="1060"/>
        <w:spacing w:after="0"/>
        <w:rPr>
          <w:sz w:val="20"/>
          <w:szCs w:val="20"/>
          <w:color w:val="auto"/>
        </w:rPr>
      </w:pPr>
      <w:r>
        <w:rPr>
          <w:rFonts w:ascii="Arial" w:cs="Arial" w:eastAsia="Arial" w:hAnsi="Arial"/>
          <w:sz w:val="15"/>
          <w:szCs w:val="15"/>
          <w:color w:val="auto"/>
        </w:rPr>
        <w:t>FOR THE PERIOD FROM APRIL 1, 2008 (DATE OF COMMENCEMENT)</w:t>
      </w:r>
    </w:p>
    <w:p>
      <w:pPr>
        <w:spacing w:after="0" w:line="32" w:lineRule="exact"/>
        <w:rPr>
          <w:sz w:val="20"/>
          <w:szCs w:val="20"/>
          <w:color w:val="auto"/>
        </w:rPr>
      </w:pPr>
    </w:p>
    <w:p>
      <w:pPr>
        <w:ind w:left="1060"/>
        <w:spacing w:after="0"/>
        <w:rPr>
          <w:sz w:val="20"/>
          <w:szCs w:val="20"/>
          <w:color w:val="auto"/>
        </w:rPr>
      </w:pPr>
      <w:r>
        <w:rPr>
          <w:rFonts w:ascii="Arial" w:cs="Arial" w:eastAsia="Arial" w:hAnsi="Arial"/>
          <w:sz w:val="16"/>
          <w:szCs w:val="16"/>
          <w:color w:val="auto"/>
        </w:rPr>
        <w:t>TO DECEMBER 31, 2008</w:t>
      </w:r>
    </w:p>
    <w:p>
      <w:pPr>
        <w:spacing w:after="0" w:line="20" w:lineRule="exact"/>
        <w:rPr>
          <w:sz w:val="20"/>
          <w:szCs w:val="20"/>
          <w:color w:val="auto"/>
        </w:rPr>
      </w:pPr>
    </w:p>
    <w:p>
      <w:pPr>
        <w:ind w:left="1060"/>
        <w:spacing w:after="0"/>
        <w:rPr>
          <w:sz w:val="20"/>
          <w:szCs w:val="20"/>
          <w:color w:val="auto"/>
        </w:rPr>
      </w:pPr>
      <w:r>
        <w:rPr>
          <w:rFonts w:ascii="Arial" w:cs="Arial" w:eastAsia="Arial" w:hAnsi="Arial"/>
          <w:sz w:val="16"/>
          <w:szCs w:val="16"/>
          <w:color w:val="auto"/>
        </w:rPr>
        <w:t>(Dollars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669290</wp:posOffset>
            </wp:positionH>
            <wp:positionV relativeFrom="paragraph">
              <wp:posOffset>20955</wp:posOffset>
            </wp:positionV>
            <wp:extent cx="4393565" cy="762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4393565" cy="7620"/>
                    </a:xfrm>
                    <a:prstGeom prst="rect">
                      <a:avLst/>
                    </a:prstGeom>
                    <a:noFill/>
                  </pic:spPr>
                </pic:pic>
              </a:graphicData>
            </a:graphic>
          </wp:anchor>
        </w:drawing>
      </w:r>
    </w:p>
    <w:p>
      <w:pPr>
        <w:sectPr>
          <w:pgSz w:w="11900" w:h="16838" w:orient="portrait"/>
          <w:cols w:equalWidth="0" w:num="1">
            <w:col w:w="9019"/>
          </w:cols>
          <w:pgMar w:left="1440" w:top="909" w:right="1440" w:bottom="1440" w:gutter="0" w:footer="0" w:header="0"/>
        </w:sectPr>
      </w:pPr>
    </w:p>
    <w:p>
      <w:pPr>
        <w:spacing w:after="0" w:line="258" w:lineRule="exact"/>
        <w:rPr>
          <w:sz w:val="20"/>
          <w:szCs w:val="20"/>
          <w:color w:val="auto"/>
        </w:rPr>
      </w:pPr>
    </w:p>
    <w:p>
      <w:pPr>
        <w:ind w:left="1060"/>
        <w:spacing w:after="0"/>
        <w:rPr>
          <w:sz w:val="20"/>
          <w:szCs w:val="20"/>
          <w:color w:val="auto"/>
        </w:rPr>
      </w:pPr>
      <w:r>
        <w:rPr>
          <w:rFonts w:ascii="Arial" w:cs="Arial" w:eastAsia="Arial" w:hAnsi="Arial"/>
          <w:sz w:val="18"/>
          <w:szCs w:val="18"/>
          <w:color w:val="auto"/>
        </w:rPr>
        <w:t>REVENUES:</w:t>
      </w:r>
    </w:p>
    <w:p>
      <w:pPr>
        <w:spacing w:after="0" w:line="21" w:lineRule="exact"/>
        <w:rPr>
          <w:sz w:val="20"/>
          <w:szCs w:val="20"/>
          <w:color w:val="auto"/>
        </w:rPr>
      </w:pPr>
    </w:p>
    <w:p>
      <w:pPr>
        <w:ind w:left="1060"/>
        <w:spacing w:after="0"/>
        <w:rPr>
          <w:sz w:val="20"/>
          <w:szCs w:val="20"/>
          <w:color w:val="auto"/>
        </w:rPr>
      </w:pPr>
      <w:r>
        <w:rPr>
          <w:rFonts w:ascii="Arial" w:cs="Arial" w:eastAsia="Arial" w:hAnsi="Arial"/>
          <w:sz w:val="18"/>
          <w:szCs w:val="18"/>
          <w:color w:val="auto"/>
        </w:rPr>
        <w:t>Fee income</w:t>
      </w:r>
    </w:p>
    <w:p>
      <w:pPr>
        <w:spacing w:after="0" w:line="21" w:lineRule="exact"/>
        <w:rPr>
          <w:sz w:val="20"/>
          <w:szCs w:val="20"/>
          <w:color w:val="auto"/>
        </w:rPr>
      </w:pPr>
    </w:p>
    <w:p>
      <w:pPr>
        <w:ind w:left="1060"/>
        <w:spacing w:after="0"/>
        <w:rPr>
          <w:sz w:val="20"/>
          <w:szCs w:val="20"/>
          <w:color w:val="auto"/>
        </w:rPr>
      </w:pPr>
      <w:r>
        <w:rPr>
          <w:rFonts w:ascii="Arial" w:cs="Arial" w:eastAsia="Arial" w:hAnsi="Arial"/>
          <w:sz w:val="18"/>
          <w:szCs w:val="18"/>
          <w:color w:val="auto"/>
        </w:rPr>
        <w:t>Principal transactions — net</w:t>
      </w:r>
    </w:p>
    <w:p>
      <w:pPr>
        <w:spacing w:after="0" w:line="33" w:lineRule="exact"/>
        <w:rPr>
          <w:sz w:val="20"/>
          <w:szCs w:val="20"/>
          <w:color w:val="auto"/>
        </w:rPr>
      </w:pPr>
    </w:p>
    <w:p>
      <w:pPr>
        <w:ind w:left="1060"/>
        <w:spacing w:after="0"/>
        <w:rPr>
          <w:sz w:val="20"/>
          <w:szCs w:val="20"/>
          <w:color w:val="auto"/>
        </w:rPr>
      </w:pPr>
      <w:r>
        <w:rPr>
          <w:rFonts w:ascii="Arial" w:cs="Arial" w:eastAsia="Arial" w:hAnsi="Arial"/>
          <w:sz w:val="18"/>
          <w:szCs w:val="18"/>
          <w:color w:val="auto"/>
        </w:rPr>
        <w:t>Interest and other income</w:t>
      </w:r>
    </w:p>
    <w:p>
      <w:pPr>
        <w:spacing w:after="0" w:line="249" w:lineRule="exact"/>
        <w:rPr>
          <w:sz w:val="20"/>
          <w:szCs w:val="20"/>
          <w:color w:val="auto"/>
        </w:rPr>
      </w:pPr>
    </w:p>
    <w:p>
      <w:pPr>
        <w:ind w:left="1640"/>
        <w:spacing w:after="0"/>
        <w:rPr>
          <w:sz w:val="20"/>
          <w:szCs w:val="20"/>
          <w:color w:val="auto"/>
        </w:rPr>
      </w:pPr>
      <w:r>
        <w:rPr>
          <w:rFonts w:ascii="Arial" w:cs="Arial" w:eastAsia="Arial" w:hAnsi="Arial"/>
          <w:sz w:val="18"/>
          <w:szCs w:val="18"/>
          <w:color w:val="auto"/>
        </w:rPr>
        <w:t>Total revenues</w:t>
      </w:r>
    </w:p>
    <w:p>
      <w:pPr>
        <w:spacing w:after="0" w:line="249" w:lineRule="exact"/>
        <w:rPr>
          <w:sz w:val="20"/>
          <w:szCs w:val="20"/>
          <w:color w:val="auto"/>
        </w:rPr>
      </w:pPr>
    </w:p>
    <w:p>
      <w:pPr>
        <w:ind w:left="1060"/>
        <w:spacing w:after="0"/>
        <w:rPr>
          <w:sz w:val="20"/>
          <w:szCs w:val="20"/>
          <w:color w:val="auto"/>
        </w:rPr>
      </w:pPr>
      <w:r>
        <w:rPr>
          <w:rFonts w:ascii="Arial" w:cs="Arial" w:eastAsia="Arial" w:hAnsi="Arial"/>
          <w:sz w:val="18"/>
          <w:szCs w:val="18"/>
          <w:color w:val="auto"/>
        </w:rPr>
        <w:t>EXPENSES:</w:t>
      </w:r>
    </w:p>
    <w:p>
      <w:pPr>
        <w:spacing w:after="0" w:line="21" w:lineRule="exact"/>
        <w:rPr>
          <w:sz w:val="20"/>
          <w:szCs w:val="20"/>
          <w:color w:val="auto"/>
        </w:rPr>
      </w:pPr>
    </w:p>
    <w:p>
      <w:pPr>
        <w:ind w:left="1060"/>
        <w:spacing w:after="0"/>
        <w:rPr>
          <w:sz w:val="20"/>
          <w:szCs w:val="20"/>
          <w:color w:val="auto"/>
        </w:rPr>
      </w:pPr>
      <w:r>
        <w:rPr>
          <w:rFonts w:ascii="Arial" w:cs="Arial" w:eastAsia="Arial" w:hAnsi="Arial"/>
          <w:sz w:val="18"/>
          <w:szCs w:val="18"/>
          <w:color w:val="auto"/>
        </w:rPr>
        <w:t>Compensation and benefits</w:t>
      </w:r>
    </w:p>
    <w:p>
      <w:pPr>
        <w:spacing w:after="0" w:line="21" w:lineRule="exact"/>
        <w:rPr>
          <w:sz w:val="20"/>
          <w:szCs w:val="20"/>
          <w:color w:val="auto"/>
        </w:rPr>
      </w:pPr>
    </w:p>
    <w:p>
      <w:pPr>
        <w:ind w:left="1060"/>
        <w:spacing w:after="0"/>
        <w:rPr>
          <w:sz w:val="20"/>
          <w:szCs w:val="20"/>
          <w:color w:val="auto"/>
        </w:rPr>
      </w:pPr>
      <w:r>
        <w:rPr>
          <w:rFonts w:ascii="Arial" w:cs="Arial" w:eastAsia="Arial" w:hAnsi="Arial"/>
          <w:sz w:val="18"/>
          <w:szCs w:val="18"/>
          <w:color w:val="auto"/>
        </w:rPr>
        <w:t>Storage and transportation</w:t>
      </w:r>
    </w:p>
    <w:p>
      <w:pPr>
        <w:spacing w:after="0" w:line="21" w:lineRule="exact"/>
        <w:rPr>
          <w:sz w:val="20"/>
          <w:szCs w:val="20"/>
          <w:color w:val="auto"/>
        </w:rPr>
      </w:pPr>
    </w:p>
    <w:p>
      <w:pPr>
        <w:ind w:left="1060"/>
        <w:spacing w:after="0"/>
        <w:rPr>
          <w:sz w:val="20"/>
          <w:szCs w:val="20"/>
          <w:color w:val="auto"/>
        </w:rPr>
      </w:pPr>
      <w:r>
        <w:rPr>
          <w:rFonts w:ascii="Arial" w:cs="Arial" w:eastAsia="Arial" w:hAnsi="Arial"/>
          <w:sz w:val="18"/>
          <w:szCs w:val="18"/>
          <w:color w:val="auto"/>
        </w:rPr>
        <w:t>Facilities and communications</w:t>
      </w:r>
    </w:p>
    <w:p>
      <w:pPr>
        <w:spacing w:after="0" w:line="21" w:lineRule="exact"/>
        <w:rPr>
          <w:sz w:val="20"/>
          <w:szCs w:val="20"/>
          <w:color w:val="auto"/>
        </w:rPr>
      </w:pPr>
    </w:p>
    <w:p>
      <w:pPr>
        <w:ind w:left="1060"/>
        <w:spacing w:after="0"/>
        <w:rPr>
          <w:sz w:val="20"/>
          <w:szCs w:val="20"/>
          <w:color w:val="auto"/>
        </w:rPr>
      </w:pPr>
      <w:r>
        <w:rPr>
          <w:rFonts w:ascii="Arial" w:cs="Arial" w:eastAsia="Arial" w:hAnsi="Arial"/>
          <w:sz w:val="18"/>
          <w:szCs w:val="18"/>
          <w:color w:val="auto"/>
        </w:rPr>
        <w:t>Brokerage, execution and clearing</w:t>
      </w:r>
    </w:p>
    <w:p>
      <w:pPr>
        <w:spacing w:after="0" w:line="21" w:lineRule="exact"/>
        <w:rPr>
          <w:sz w:val="20"/>
          <w:szCs w:val="20"/>
          <w:color w:val="auto"/>
        </w:rPr>
      </w:pPr>
    </w:p>
    <w:p>
      <w:pPr>
        <w:ind w:left="1060"/>
        <w:spacing w:after="0"/>
        <w:rPr>
          <w:sz w:val="20"/>
          <w:szCs w:val="20"/>
          <w:color w:val="auto"/>
        </w:rPr>
      </w:pPr>
      <w:r>
        <w:rPr>
          <w:rFonts w:ascii="Arial" w:cs="Arial" w:eastAsia="Arial" w:hAnsi="Arial"/>
          <w:sz w:val="18"/>
          <w:szCs w:val="18"/>
          <w:color w:val="auto"/>
        </w:rPr>
        <w:t>Professional fees</w:t>
      </w:r>
    </w:p>
    <w:p>
      <w:pPr>
        <w:spacing w:after="0" w:line="21" w:lineRule="exact"/>
        <w:rPr>
          <w:sz w:val="20"/>
          <w:szCs w:val="20"/>
          <w:color w:val="auto"/>
        </w:rPr>
      </w:pPr>
    </w:p>
    <w:p>
      <w:pPr>
        <w:ind w:left="1060"/>
        <w:spacing w:after="0"/>
        <w:rPr>
          <w:sz w:val="20"/>
          <w:szCs w:val="20"/>
          <w:color w:val="auto"/>
        </w:rPr>
      </w:pPr>
      <w:r>
        <w:rPr>
          <w:rFonts w:ascii="Arial" w:cs="Arial" w:eastAsia="Arial" w:hAnsi="Arial"/>
          <w:sz w:val="18"/>
          <w:szCs w:val="18"/>
          <w:color w:val="auto"/>
        </w:rPr>
        <w:t>Interest expense</w:t>
      </w:r>
    </w:p>
    <w:p>
      <w:pPr>
        <w:spacing w:after="0" w:line="33" w:lineRule="exact"/>
        <w:rPr>
          <w:sz w:val="20"/>
          <w:szCs w:val="20"/>
          <w:color w:val="auto"/>
        </w:rPr>
      </w:pPr>
    </w:p>
    <w:p>
      <w:pPr>
        <w:ind w:left="1060"/>
        <w:spacing w:after="0"/>
        <w:rPr>
          <w:sz w:val="20"/>
          <w:szCs w:val="20"/>
          <w:color w:val="auto"/>
        </w:rPr>
      </w:pPr>
      <w:r>
        <w:rPr>
          <w:rFonts w:ascii="Arial" w:cs="Arial" w:eastAsia="Arial" w:hAnsi="Arial"/>
          <w:sz w:val="18"/>
          <w:szCs w:val="18"/>
          <w:color w:val="auto"/>
        </w:rPr>
        <w:t>Other expenses</w:t>
      </w:r>
    </w:p>
    <w:p>
      <w:pPr>
        <w:spacing w:after="0" w:line="249" w:lineRule="exact"/>
        <w:rPr>
          <w:sz w:val="20"/>
          <w:szCs w:val="20"/>
          <w:color w:val="auto"/>
        </w:rPr>
      </w:pPr>
    </w:p>
    <w:p>
      <w:pPr>
        <w:ind w:left="1640"/>
        <w:spacing w:after="0"/>
        <w:rPr>
          <w:sz w:val="20"/>
          <w:szCs w:val="20"/>
          <w:color w:val="auto"/>
        </w:rPr>
      </w:pPr>
      <w:r>
        <w:rPr>
          <w:rFonts w:ascii="Arial" w:cs="Arial" w:eastAsia="Arial" w:hAnsi="Arial"/>
          <w:sz w:val="18"/>
          <w:szCs w:val="18"/>
          <w:color w:val="auto"/>
        </w:rPr>
        <w:t>Total expenses</w:t>
      </w:r>
    </w:p>
    <w:p>
      <w:pPr>
        <w:spacing w:after="0" w:line="237" w:lineRule="exact"/>
        <w:rPr>
          <w:sz w:val="20"/>
          <w:szCs w:val="20"/>
          <w:color w:val="auto"/>
        </w:rPr>
      </w:pPr>
    </w:p>
    <w:p>
      <w:pPr>
        <w:ind w:left="1180" w:right="100" w:hanging="114"/>
        <w:spacing w:after="0" w:line="267" w:lineRule="auto"/>
        <w:rPr>
          <w:sz w:val="20"/>
          <w:szCs w:val="20"/>
          <w:color w:val="auto"/>
        </w:rPr>
      </w:pPr>
      <w:r>
        <w:rPr>
          <w:rFonts w:ascii="Arial" w:cs="Arial" w:eastAsia="Arial" w:hAnsi="Arial"/>
          <w:sz w:val="17"/>
          <w:szCs w:val="17"/>
          <w:color w:val="auto"/>
        </w:rPr>
        <w:t>INCOME FROM CONTINUING OPERATIONS BEFORE PROVISION FOR INCOME TAXES AND EQUITY IN LOSS OF UNCONSOLIDATED AFFILIATES — Net of provision for income taxes</w:t>
      </w:r>
    </w:p>
    <w:p>
      <w:pPr>
        <w:spacing w:after="0" w:line="200" w:lineRule="exact"/>
        <w:rPr>
          <w:sz w:val="20"/>
          <w:szCs w:val="20"/>
          <w:color w:val="auto"/>
        </w:rPr>
      </w:pPr>
    </w:p>
    <w:p>
      <w:pPr>
        <w:ind w:left="1060"/>
        <w:spacing w:after="0"/>
        <w:rPr>
          <w:sz w:val="20"/>
          <w:szCs w:val="20"/>
          <w:color w:val="auto"/>
        </w:rPr>
      </w:pPr>
      <w:r>
        <w:rPr>
          <w:rFonts w:ascii="Arial" w:cs="Arial" w:eastAsia="Arial" w:hAnsi="Arial"/>
          <w:sz w:val="18"/>
          <w:szCs w:val="18"/>
          <w:color w:val="auto"/>
        </w:rPr>
        <w:t>PROVISION FOR INCOME TAXES</w:t>
      </w:r>
    </w:p>
    <w:p>
      <w:pPr>
        <w:spacing w:after="0" w:line="237" w:lineRule="exact"/>
        <w:rPr>
          <w:sz w:val="20"/>
          <w:szCs w:val="20"/>
          <w:color w:val="auto"/>
        </w:rPr>
      </w:pPr>
    </w:p>
    <w:p>
      <w:pPr>
        <w:ind w:left="1180" w:hanging="114"/>
        <w:spacing w:after="0" w:line="255" w:lineRule="auto"/>
        <w:rPr>
          <w:sz w:val="20"/>
          <w:szCs w:val="20"/>
          <w:color w:val="auto"/>
        </w:rPr>
      </w:pPr>
      <w:r>
        <w:rPr>
          <w:rFonts w:ascii="Arial" w:cs="Arial" w:eastAsia="Arial" w:hAnsi="Arial"/>
          <w:sz w:val="18"/>
          <w:szCs w:val="18"/>
          <w:color w:val="auto"/>
        </w:rPr>
        <w:t>EQUITY IN LOSS OF UNCONSOLIDATED AFFILIATES — Net of provision for income taxes</w:t>
      </w:r>
    </w:p>
    <w:p>
      <w:pPr>
        <w:spacing w:after="0" w:line="245" w:lineRule="exact"/>
        <w:rPr>
          <w:sz w:val="20"/>
          <w:szCs w:val="20"/>
          <w:color w:val="auto"/>
        </w:rPr>
      </w:pPr>
    </w:p>
    <w:p>
      <w:pPr>
        <w:ind w:left="1060"/>
        <w:spacing w:after="0"/>
        <w:rPr>
          <w:sz w:val="20"/>
          <w:szCs w:val="20"/>
          <w:color w:val="auto"/>
        </w:rPr>
      </w:pPr>
      <w:r>
        <w:rPr>
          <w:rFonts w:ascii="Arial" w:cs="Arial" w:eastAsia="Arial" w:hAnsi="Arial"/>
          <w:sz w:val="18"/>
          <w:szCs w:val="18"/>
          <w:color w:val="auto"/>
        </w:rPr>
        <w:t>NET INCOME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5"/>
          <w:szCs w:val="15"/>
          <w:color w:val="auto"/>
        </w:rPr>
        <w:t>$1,397,376</w:t>
      </w:r>
    </w:p>
    <w:p>
      <w:pPr>
        <w:spacing w:after="0" w:line="56" w:lineRule="exact"/>
        <w:rPr>
          <w:sz w:val="20"/>
          <w:szCs w:val="20"/>
          <w:color w:val="auto"/>
        </w:rPr>
      </w:pPr>
    </w:p>
    <w:p>
      <w:pPr>
        <w:ind w:left="220"/>
        <w:spacing w:after="0"/>
        <w:rPr>
          <w:sz w:val="20"/>
          <w:szCs w:val="20"/>
          <w:color w:val="auto"/>
        </w:rPr>
      </w:pPr>
      <w:r>
        <w:rPr>
          <w:rFonts w:ascii="Arial" w:cs="Arial" w:eastAsia="Arial" w:hAnsi="Arial"/>
          <w:sz w:val="15"/>
          <w:szCs w:val="15"/>
          <w:color w:val="auto"/>
        </w:rPr>
        <w:t>639,708</w:t>
      </w:r>
    </w:p>
    <w:p>
      <w:pPr>
        <w:spacing w:after="0" w:line="56" w:lineRule="exact"/>
        <w:rPr>
          <w:sz w:val="20"/>
          <w:szCs w:val="20"/>
          <w:color w:val="auto"/>
        </w:rPr>
      </w:pPr>
    </w:p>
    <w:p>
      <w:pPr>
        <w:ind w:left="320"/>
        <w:spacing w:after="0"/>
        <w:rPr>
          <w:sz w:val="20"/>
          <w:szCs w:val="20"/>
          <w:color w:val="auto"/>
        </w:rPr>
      </w:pPr>
      <w:r>
        <w:rPr>
          <w:rFonts w:ascii="Arial" w:cs="Arial" w:eastAsia="Arial" w:hAnsi="Arial"/>
          <w:sz w:val="15"/>
          <w:szCs w:val="15"/>
          <w:color w:val="auto"/>
        </w:rPr>
        <w:t>13,805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-177165</wp:posOffset>
            </wp:positionH>
            <wp:positionV relativeFrom="paragraph">
              <wp:posOffset>36830</wp:posOffset>
            </wp:positionV>
            <wp:extent cx="694055" cy="762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694055" cy="7620"/>
                    </a:xfrm>
                    <a:prstGeom prst="rect">
                      <a:avLst/>
                    </a:prstGeom>
                    <a:noFill/>
                  </pic:spPr>
                </pic:pic>
              </a:graphicData>
            </a:graphic>
          </wp:anchor>
        </w:drawing>
      </w:r>
    </w:p>
    <w:p>
      <w:pPr>
        <w:spacing w:after="0" w:line="264" w:lineRule="exact"/>
        <w:rPr>
          <w:sz w:val="20"/>
          <w:szCs w:val="20"/>
          <w:color w:val="auto"/>
        </w:rPr>
      </w:pPr>
    </w:p>
    <w:p>
      <w:pPr>
        <w:ind w:left="100"/>
        <w:spacing w:after="0"/>
        <w:rPr>
          <w:sz w:val="20"/>
          <w:szCs w:val="20"/>
          <w:color w:val="auto"/>
        </w:rPr>
      </w:pPr>
      <w:r>
        <w:rPr>
          <w:rFonts w:ascii="Arial" w:cs="Arial" w:eastAsia="Arial" w:hAnsi="Arial"/>
          <w:sz w:val="15"/>
          <w:szCs w:val="15"/>
          <w:color w:val="auto"/>
        </w:rPr>
        <w:t>2,050,889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-177165</wp:posOffset>
            </wp:positionH>
            <wp:positionV relativeFrom="paragraph">
              <wp:posOffset>36830</wp:posOffset>
            </wp:positionV>
            <wp:extent cx="694055" cy="762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694055" cy="7620"/>
                    </a:xfrm>
                    <a:prstGeom prst="rect">
                      <a:avLst/>
                    </a:prstGeom>
                    <a:noFill/>
                  </pic:spPr>
                </pic:pic>
              </a:graphicData>
            </a:graphic>
          </wp:anchor>
        </w:drawing>
      </w:r>
    </w:p>
    <w:p>
      <w:pPr>
        <w:spacing w:after="0" w:line="200" w:lineRule="exact"/>
        <w:rPr>
          <w:sz w:val="20"/>
          <w:szCs w:val="20"/>
          <w:color w:val="auto"/>
        </w:rPr>
      </w:pPr>
    </w:p>
    <w:p>
      <w:pPr>
        <w:spacing w:after="0" w:line="304" w:lineRule="exact"/>
        <w:rPr>
          <w:sz w:val="20"/>
          <w:szCs w:val="20"/>
          <w:color w:val="auto"/>
        </w:rPr>
      </w:pPr>
    </w:p>
    <w:p>
      <w:pPr>
        <w:jc w:val="right"/>
        <w:ind w:right="1059"/>
        <w:spacing w:after="0"/>
        <w:rPr>
          <w:sz w:val="20"/>
          <w:szCs w:val="20"/>
          <w:color w:val="auto"/>
        </w:rPr>
      </w:pPr>
      <w:r>
        <w:rPr>
          <w:rFonts w:ascii="Arial" w:cs="Arial" w:eastAsia="Arial" w:hAnsi="Arial"/>
          <w:sz w:val="18"/>
          <w:szCs w:val="18"/>
          <w:color w:val="auto"/>
        </w:rPr>
        <w:t>613,871</w:t>
      </w:r>
    </w:p>
    <w:p>
      <w:pPr>
        <w:spacing w:after="0" w:line="21" w:lineRule="exact"/>
        <w:rPr>
          <w:sz w:val="20"/>
          <w:szCs w:val="20"/>
          <w:color w:val="auto"/>
        </w:rPr>
      </w:pPr>
    </w:p>
    <w:p>
      <w:pPr>
        <w:jc w:val="right"/>
        <w:ind w:right="1059"/>
        <w:spacing w:after="0"/>
        <w:rPr>
          <w:sz w:val="20"/>
          <w:szCs w:val="20"/>
          <w:color w:val="auto"/>
        </w:rPr>
      </w:pPr>
      <w:r>
        <w:rPr>
          <w:rFonts w:ascii="Arial" w:cs="Arial" w:eastAsia="Arial" w:hAnsi="Arial"/>
          <w:sz w:val="18"/>
          <w:szCs w:val="18"/>
          <w:color w:val="auto"/>
        </w:rPr>
        <w:t>597,317</w:t>
      </w:r>
    </w:p>
    <w:p>
      <w:pPr>
        <w:spacing w:after="0" w:line="21" w:lineRule="exact"/>
        <w:rPr>
          <w:sz w:val="20"/>
          <w:szCs w:val="20"/>
          <w:color w:val="auto"/>
        </w:rPr>
      </w:pPr>
    </w:p>
    <w:p>
      <w:pPr>
        <w:jc w:val="right"/>
        <w:ind w:right="1059"/>
        <w:spacing w:after="0"/>
        <w:rPr>
          <w:sz w:val="20"/>
          <w:szCs w:val="20"/>
          <w:color w:val="auto"/>
        </w:rPr>
      </w:pPr>
      <w:r>
        <w:rPr>
          <w:rFonts w:ascii="Arial" w:cs="Arial" w:eastAsia="Arial" w:hAnsi="Arial"/>
          <w:sz w:val="18"/>
          <w:szCs w:val="18"/>
          <w:color w:val="auto"/>
        </w:rPr>
        <w:t>61,811</w:t>
      </w:r>
    </w:p>
    <w:p>
      <w:pPr>
        <w:spacing w:after="0" w:line="21" w:lineRule="exact"/>
        <w:rPr>
          <w:sz w:val="20"/>
          <w:szCs w:val="20"/>
          <w:color w:val="auto"/>
        </w:rPr>
      </w:pPr>
    </w:p>
    <w:p>
      <w:pPr>
        <w:jc w:val="right"/>
        <w:ind w:right="1059"/>
        <w:spacing w:after="0"/>
        <w:rPr>
          <w:sz w:val="20"/>
          <w:szCs w:val="20"/>
          <w:color w:val="auto"/>
        </w:rPr>
      </w:pPr>
      <w:r>
        <w:rPr>
          <w:rFonts w:ascii="Arial" w:cs="Arial" w:eastAsia="Arial" w:hAnsi="Arial"/>
          <w:sz w:val="18"/>
          <w:szCs w:val="18"/>
          <w:color w:val="auto"/>
        </w:rPr>
        <w:t>59,656</w:t>
      </w:r>
    </w:p>
    <w:p>
      <w:pPr>
        <w:spacing w:after="0" w:line="21" w:lineRule="exact"/>
        <w:rPr>
          <w:sz w:val="20"/>
          <w:szCs w:val="20"/>
          <w:color w:val="auto"/>
        </w:rPr>
      </w:pPr>
    </w:p>
    <w:p>
      <w:pPr>
        <w:jc w:val="right"/>
        <w:ind w:right="1059"/>
        <w:spacing w:after="0"/>
        <w:rPr>
          <w:sz w:val="20"/>
          <w:szCs w:val="20"/>
          <w:color w:val="auto"/>
        </w:rPr>
      </w:pPr>
      <w:r>
        <w:rPr>
          <w:rFonts w:ascii="Arial" w:cs="Arial" w:eastAsia="Arial" w:hAnsi="Arial"/>
          <w:sz w:val="18"/>
          <w:szCs w:val="18"/>
          <w:color w:val="auto"/>
        </w:rPr>
        <w:t>27,612</w:t>
      </w:r>
    </w:p>
    <w:p>
      <w:pPr>
        <w:spacing w:after="0" w:line="21" w:lineRule="exact"/>
        <w:rPr>
          <w:sz w:val="20"/>
          <w:szCs w:val="20"/>
          <w:color w:val="auto"/>
        </w:rPr>
      </w:pPr>
    </w:p>
    <w:p>
      <w:pPr>
        <w:jc w:val="right"/>
        <w:ind w:right="1059"/>
        <w:spacing w:after="0"/>
        <w:rPr>
          <w:sz w:val="20"/>
          <w:szCs w:val="20"/>
          <w:color w:val="auto"/>
        </w:rPr>
      </w:pPr>
      <w:r>
        <w:rPr>
          <w:rFonts w:ascii="Arial" w:cs="Arial" w:eastAsia="Arial" w:hAnsi="Arial"/>
          <w:sz w:val="18"/>
          <w:szCs w:val="18"/>
          <w:color w:val="auto"/>
        </w:rPr>
        <w:t>23,867</w:t>
      </w:r>
    </w:p>
    <w:p>
      <w:pPr>
        <w:spacing w:after="0" w:line="21" w:lineRule="exact"/>
        <w:rPr>
          <w:sz w:val="20"/>
          <w:szCs w:val="20"/>
          <w:color w:val="auto"/>
        </w:rPr>
      </w:pPr>
    </w:p>
    <w:p>
      <w:pPr>
        <w:jc w:val="right"/>
        <w:ind w:right="1059"/>
        <w:spacing w:after="0"/>
        <w:rPr>
          <w:sz w:val="20"/>
          <w:szCs w:val="20"/>
          <w:color w:val="auto"/>
        </w:rPr>
      </w:pPr>
      <w:r>
        <w:rPr>
          <w:rFonts w:ascii="Arial" w:cs="Arial" w:eastAsia="Arial" w:hAnsi="Arial"/>
          <w:sz w:val="18"/>
          <w:szCs w:val="18"/>
          <w:color w:val="auto"/>
        </w:rPr>
        <w:t>55,985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-177165</wp:posOffset>
            </wp:positionH>
            <wp:positionV relativeFrom="paragraph">
              <wp:posOffset>15240</wp:posOffset>
            </wp:positionV>
            <wp:extent cx="694055" cy="762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694055" cy="7620"/>
                    </a:xfrm>
                    <a:prstGeom prst="rect">
                      <a:avLst/>
                    </a:prstGeom>
                    <a:noFill/>
                  </pic:spPr>
                </pic:pic>
              </a:graphicData>
            </a:graphic>
          </wp:anchor>
        </w:drawing>
      </w:r>
    </w:p>
    <w:p>
      <w:pPr>
        <w:spacing w:after="0" w:line="229" w:lineRule="exact"/>
        <w:rPr>
          <w:sz w:val="20"/>
          <w:szCs w:val="20"/>
          <w:color w:val="auto"/>
        </w:rPr>
      </w:pPr>
    </w:p>
    <w:p>
      <w:pPr>
        <w:ind w:left="100"/>
        <w:spacing w:after="0"/>
        <w:rPr>
          <w:sz w:val="20"/>
          <w:szCs w:val="20"/>
          <w:color w:val="auto"/>
        </w:rPr>
      </w:pPr>
      <w:r>
        <w:rPr>
          <w:rFonts w:ascii="Arial" w:cs="Arial" w:eastAsia="Arial" w:hAnsi="Arial"/>
          <w:sz w:val="15"/>
          <w:szCs w:val="15"/>
          <w:color w:val="auto"/>
        </w:rPr>
        <w:t>1,440,119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-177165</wp:posOffset>
            </wp:positionH>
            <wp:positionV relativeFrom="paragraph">
              <wp:posOffset>36830</wp:posOffset>
            </wp:positionV>
            <wp:extent cx="694055" cy="762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69405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220"/>
        <w:spacing w:after="0"/>
        <w:rPr>
          <w:sz w:val="20"/>
          <w:szCs w:val="20"/>
          <w:color w:val="auto"/>
        </w:rPr>
      </w:pPr>
      <w:r>
        <w:rPr>
          <w:rFonts w:ascii="Arial" w:cs="Arial" w:eastAsia="Arial" w:hAnsi="Arial"/>
          <w:sz w:val="15"/>
          <w:szCs w:val="15"/>
          <w:color w:val="auto"/>
        </w:rPr>
        <w:t>610,770</w:t>
      </w:r>
    </w:p>
    <w:p>
      <w:pPr>
        <w:spacing w:after="0" w:line="272" w:lineRule="exact"/>
        <w:rPr>
          <w:sz w:val="20"/>
          <w:szCs w:val="20"/>
          <w:color w:val="auto"/>
        </w:rPr>
      </w:pPr>
    </w:p>
    <w:p>
      <w:pPr>
        <w:ind w:left="320"/>
        <w:spacing w:after="0"/>
        <w:rPr>
          <w:sz w:val="20"/>
          <w:szCs w:val="20"/>
          <w:color w:val="auto"/>
        </w:rPr>
      </w:pPr>
      <w:r>
        <w:rPr>
          <w:rFonts w:ascii="Arial" w:cs="Arial" w:eastAsia="Arial" w:hAnsi="Arial"/>
          <w:sz w:val="15"/>
          <w:szCs w:val="15"/>
          <w:color w:val="auto"/>
        </w:rPr>
        <w:t>16,418</w:t>
      </w:r>
    </w:p>
    <w:p>
      <w:pPr>
        <w:spacing w:after="0" w:line="200" w:lineRule="exact"/>
        <w:rPr>
          <w:sz w:val="20"/>
          <w:szCs w:val="20"/>
          <w:color w:val="auto"/>
        </w:rPr>
      </w:pPr>
    </w:p>
    <w:p>
      <w:pPr>
        <w:spacing w:after="0" w:line="264" w:lineRule="exact"/>
        <w:rPr>
          <w:sz w:val="20"/>
          <w:szCs w:val="20"/>
          <w:color w:val="auto"/>
        </w:rPr>
      </w:pPr>
    </w:p>
    <w:p>
      <w:pPr>
        <w:ind w:left="280"/>
        <w:spacing w:after="0"/>
        <w:rPr>
          <w:sz w:val="20"/>
          <w:szCs w:val="20"/>
          <w:color w:val="auto"/>
        </w:rPr>
      </w:pPr>
      <w:r>
        <w:rPr>
          <w:rFonts w:ascii="Arial" w:cs="Arial" w:eastAsia="Arial" w:hAnsi="Arial"/>
          <w:sz w:val="15"/>
          <w:szCs w:val="15"/>
          <w:color w:val="auto"/>
        </w:rPr>
        <w:t>(2,549)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-177165</wp:posOffset>
            </wp:positionH>
            <wp:positionV relativeFrom="paragraph">
              <wp:posOffset>36830</wp:posOffset>
            </wp:positionV>
            <wp:extent cx="694055" cy="762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694055" cy="7620"/>
                    </a:xfrm>
                    <a:prstGeom prst="rect">
                      <a:avLst/>
                    </a:prstGeom>
                    <a:noFill/>
                  </pic:spPr>
                </pic:pic>
              </a:graphicData>
            </a:graphic>
          </wp:anchor>
        </w:drawing>
      </w:r>
    </w:p>
    <w:p>
      <w:pPr>
        <w:spacing w:after="0" w:line="264" w:lineRule="exact"/>
        <w:rPr>
          <w:sz w:val="20"/>
          <w:szCs w:val="20"/>
          <w:color w:val="auto"/>
        </w:rPr>
      </w:pPr>
    </w:p>
    <w:p>
      <w:pPr>
        <w:ind w:left="140"/>
        <w:spacing w:after="0"/>
        <w:rPr>
          <w:sz w:val="20"/>
          <w:szCs w:val="20"/>
          <w:color w:val="auto"/>
        </w:rPr>
      </w:pPr>
      <w:r>
        <w:rPr>
          <w:rFonts w:ascii="Arial" w:cs="Arial" w:eastAsia="Arial" w:hAnsi="Arial"/>
          <w:sz w:val="15"/>
          <w:szCs w:val="15"/>
          <w:color w:val="auto"/>
        </w:rPr>
        <w:t>$591,803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-177165</wp:posOffset>
            </wp:positionH>
            <wp:positionV relativeFrom="paragraph">
              <wp:posOffset>36830</wp:posOffset>
            </wp:positionV>
            <wp:extent cx="694055" cy="2286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694055" cy="22860"/>
                    </a:xfrm>
                    <a:prstGeom prst="rect">
                      <a:avLst/>
                    </a:prstGeom>
                    <a:noFill/>
                  </pic:spPr>
                </pic:pic>
              </a:graphicData>
            </a:graphic>
          </wp:anchor>
        </w:drawing>
      </w:r>
    </w:p>
    <w:p>
      <w:pPr>
        <w:spacing w:after="0" w:line="270" w:lineRule="exact"/>
        <w:rPr>
          <w:sz w:val="20"/>
          <w:szCs w:val="20"/>
          <w:color w:val="auto"/>
        </w:rPr>
      </w:pPr>
    </w:p>
    <w:p>
      <w:pPr>
        <w:sectPr>
          <w:pgSz w:w="11900" w:h="16838" w:orient="portrait"/>
          <w:cols w:equalWidth="0" w:num="2">
            <w:col w:w="6760" w:space="400"/>
            <w:col w:w="1859"/>
          </w:cols>
          <w:pgMar w:left="1440" w:top="909" w:right="1440" w:bottom="1440" w:gutter="0" w:footer="0" w:header="0"/>
          <w:type w:val="continuous"/>
        </w:sectPr>
      </w:pPr>
    </w:p>
    <w:p>
      <w:pPr>
        <w:spacing w:after="0" w:line="68" w:lineRule="exact"/>
        <w:rPr>
          <w:sz w:val="20"/>
          <w:szCs w:val="20"/>
          <w:color w:val="auto"/>
        </w:rPr>
      </w:pPr>
    </w:p>
    <w:p>
      <w:pPr>
        <w:ind w:left="1060"/>
        <w:spacing w:after="0"/>
        <w:rPr>
          <w:sz w:val="20"/>
          <w:szCs w:val="20"/>
          <w:color w:val="auto"/>
        </w:rPr>
      </w:pPr>
      <w:r>
        <w:rPr>
          <w:rFonts w:ascii="Arial" w:cs="Arial" w:eastAsia="Arial" w:hAnsi="Arial"/>
          <w:sz w:val="14"/>
          <w:szCs w:val="14"/>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- 3 -</w:t>
      </w:r>
    </w:p>
    <w:p>
      <w:pPr>
        <w:sectPr>
          <w:pgSz w:w="11900" w:h="16838" w:orient="portrait"/>
          <w:cols w:equalWidth="0" w:num="1">
            <w:col w:w="9019"/>
          </w:cols>
          <w:pgMar w:left="1440" w:top="909" w:right="1440" w:bottom="1440" w:gutter="0" w:footer="0" w:header="0"/>
          <w:type w:val="continuous"/>
        </w:sectPr>
      </w:pPr>
    </w:p>
    <w:bookmarkStart w:id="355" w:name="page356"/>
    <w:bookmarkEnd w:id="355"/>
    <w:p>
      <w:pPr>
        <w:ind w:left="1000"/>
        <w:spacing w:after="0"/>
        <w:rPr>
          <w:sz w:val="20"/>
          <w:szCs w:val="20"/>
          <w:color w:val="auto"/>
        </w:rPr>
      </w:pPr>
      <w:r>
        <w:rPr>
          <w:rFonts w:ascii="Arial" w:cs="Arial" w:eastAsia="Arial" w:hAnsi="Arial"/>
          <w:sz w:val="15"/>
          <w:szCs w:val="15"/>
          <w:color w:val="auto"/>
        </w:rPr>
        <w:t>RBS SEMPRA COMMODITIES LLP AND SUBSIDIARIES</w:t>
      </w:r>
    </w:p>
    <w:p>
      <w:pPr>
        <w:spacing w:after="0" w:line="257" w:lineRule="exact"/>
        <w:rPr>
          <w:sz w:val="20"/>
          <w:szCs w:val="20"/>
          <w:color w:val="auto"/>
        </w:rPr>
      </w:pPr>
    </w:p>
    <w:p>
      <w:pPr>
        <w:ind w:left="1000"/>
        <w:spacing w:after="0"/>
        <w:rPr>
          <w:sz w:val="20"/>
          <w:szCs w:val="20"/>
          <w:color w:val="auto"/>
        </w:rPr>
      </w:pPr>
      <w:r>
        <w:rPr>
          <w:rFonts w:ascii="Arial" w:cs="Arial" w:eastAsia="Arial" w:hAnsi="Arial"/>
          <w:sz w:val="13"/>
          <w:szCs w:val="13"/>
          <w:color w:val="auto"/>
        </w:rPr>
        <w:t>CONSOLIDATED STATEMENT OF CASH FLOWS</w:t>
      </w:r>
    </w:p>
    <w:p>
      <w:pPr>
        <w:spacing w:after="0" w:line="31" w:lineRule="exact"/>
        <w:rPr>
          <w:sz w:val="20"/>
          <w:szCs w:val="20"/>
          <w:color w:val="auto"/>
        </w:rPr>
      </w:pPr>
    </w:p>
    <w:p>
      <w:pPr>
        <w:ind w:left="1000"/>
        <w:spacing w:after="0"/>
        <w:rPr>
          <w:sz w:val="20"/>
          <w:szCs w:val="20"/>
          <w:color w:val="auto"/>
        </w:rPr>
      </w:pPr>
      <w:r>
        <w:rPr>
          <w:rFonts w:ascii="Arial" w:cs="Arial" w:eastAsia="Arial" w:hAnsi="Arial"/>
          <w:sz w:val="12"/>
          <w:szCs w:val="12"/>
          <w:color w:val="auto"/>
        </w:rPr>
        <w:t>FOR THE PERIOD FROM APRIL 1, 2008 (DATE OF COMMENCEMENT)</w:t>
      </w:r>
    </w:p>
    <w:p>
      <w:pPr>
        <w:spacing w:after="0" w:line="24" w:lineRule="exact"/>
        <w:rPr>
          <w:sz w:val="20"/>
          <w:szCs w:val="20"/>
          <w:color w:val="auto"/>
        </w:rPr>
      </w:pPr>
    </w:p>
    <w:p>
      <w:pPr>
        <w:ind w:left="1000"/>
        <w:spacing w:after="0"/>
        <w:rPr>
          <w:sz w:val="20"/>
          <w:szCs w:val="20"/>
          <w:color w:val="auto"/>
        </w:rPr>
      </w:pPr>
      <w:r>
        <w:rPr>
          <w:rFonts w:ascii="Arial" w:cs="Arial" w:eastAsia="Arial" w:hAnsi="Arial"/>
          <w:sz w:val="13"/>
          <w:szCs w:val="13"/>
          <w:color w:val="auto"/>
        </w:rPr>
        <w:t>TO DECEMBER 31, 2008</w:t>
      </w:r>
    </w:p>
    <w:p>
      <w:pPr>
        <w:spacing w:after="0" w:line="49" w:lineRule="exact"/>
        <w:rPr>
          <w:sz w:val="20"/>
          <w:szCs w:val="20"/>
          <w:color w:val="auto"/>
        </w:rPr>
      </w:pPr>
    </w:p>
    <w:p>
      <w:pPr>
        <w:ind w:left="1000"/>
        <w:spacing w:after="0"/>
        <w:rPr>
          <w:sz w:val="20"/>
          <w:szCs w:val="20"/>
          <w:color w:val="auto"/>
        </w:rPr>
      </w:pPr>
      <w:r>
        <w:rPr>
          <w:rFonts w:ascii="Arial" w:cs="Arial" w:eastAsia="Arial" w:hAnsi="Arial"/>
          <w:sz w:val="13"/>
          <w:szCs w:val="13"/>
          <w:color w:val="auto"/>
        </w:rPr>
        <w:t>(Dollars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631190</wp:posOffset>
            </wp:positionH>
            <wp:positionV relativeFrom="paragraph">
              <wp:posOffset>14605</wp:posOffset>
            </wp:positionV>
            <wp:extent cx="4469765" cy="762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4469765" cy="7620"/>
                    </a:xfrm>
                    <a:prstGeom prst="rect">
                      <a:avLst/>
                    </a:prstGeom>
                    <a:noFill/>
                  </pic:spPr>
                </pic:pic>
              </a:graphicData>
            </a:graphic>
          </wp:anchor>
        </w:drawing>
      </w:r>
    </w:p>
    <w:p>
      <w:pPr>
        <w:sectPr>
          <w:pgSz w:w="11900" w:h="16838" w:orient="portrait"/>
          <w:cols w:equalWidth="0" w:num="1">
            <w:col w:w="9019"/>
          </w:cols>
          <w:pgMar w:left="1440" w:top="740" w:right="1440" w:bottom="1440" w:gutter="0" w:footer="0" w:header="0"/>
        </w:sectPr>
      </w:pPr>
    </w:p>
    <w:p>
      <w:pPr>
        <w:spacing w:after="0" w:line="250"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OPERATING ACTIVITIES:</w:t>
      </w:r>
    </w:p>
    <w:p>
      <w:pPr>
        <w:spacing w:after="0" w:line="32"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Net income</w:t>
      </w:r>
    </w:p>
    <w:p>
      <w:pPr>
        <w:spacing w:after="0" w:line="32" w:lineRule="exact"/>
        <w:rPr>
          <w:sz w:val="20"/>
          <w:szCs w:val="20"/>
          <w:color w:val="auto"/>
        </w:rPr>
      </w:pPr>
    </w:p>
    <w:p>
      <w:pPr>
        <w:ind w:left="1000"/>
        <w:spacing w:after="0"/>
        <w:rPr>
          <w:sz w:val="20"/>
          <w:szCs w:val="20"/>
          <w:color w:val="auto"/>
        </w:rPr>
      </w:pPr>
      <w:r>
        <w:rPr>
          <w:rFonts w:ascii="Arial" w:cs="Arial" w:eastAsia="Arial" w:hAnsi="Arial"/>
          <w:sz w:val="14"/>
          <w:szCs w:val="14"/>
          <w:color w:val="auto"/>
        </w:rPr>
        <w:t>Adjustments to reconcile net income to net cash provided by operating activities:</w:t>
      </w:r>
    </w:p>
    <w:p>
      <w:pPr>
        <w:spacing w:after="0" w:line="55" w:lineRule="exact"/>
        <w:rPr>
          <w:sz w:val="20"/>
          <w:szCs w:val="20"/>
          <w:color w:val="auto"/>
        </w:rPr>
      </w:pPr>
    </w:p>
    <w:p>
      <w:pPr>
        <w:ind w:left="1240"/>
        <w:spacing w:after="0"/>
        <w:rPr>
          <w:sz w:val="20"/>
          <w:szCs w:val="20"/>
          <w:color w:val="auto"/>
        </w:rPr>
      </w:pPr>
      <w:r>
        <w:rPr>
          <w:rFonts w:ascii="Arial" w:cs="Arial" w:eastAsia="Arial" w:hAnsi="Arial"/>
          <w:sz w:val="16"/>
          <w:szCs w:val="16"/>
          <w:color w:val="auto"/>
        </w:rPr>
        <w:t>Depreciation and amortization</w:t>
      </w:r>
    </w:p>
    <w:p>
      <w:pPr>
        <w:spacing w:after="0" w:line="32" w:lineRule="exact"/>
        <w:rPr>
          <w:sz w:val="20"/>
          <w:szCs w:val="20"/>
          <w:color w:val="auto"/>
        </w:rPr>
      </w:pPr>
    </w:p>
    <w:p>
      <w:pPr>
        <w:ind w:left="1240"/>
        <w:spacing w:after="0"/>
        <w:rPr>
          <w:sz w:val="20"/>
          <w:szCs w:val="20"/>
          <w:color w:val="auto"/>
        </w:rPr>
      </w:pPr>
      <w:r>
        <w:rPr>
          <w:rFonts w:ascii="Arial" w:cs="Arial" w:eastAsia="Arial" w:hAnsi="Arial"/>
          <w:sz w:val="16"/>
          <w:szCs w:val="16"/>
          <w:color w:val="auto"/>
        </w:rPr>
        <w:t>Deferred taxes</w:t>
      </w:r>
    </w:p>
    <w:p>
      <w:pPr>
        <w:spacing w:after="0" w:line="32" w:lineRule="exact"/>
        <w:rPr>
          <w:sz w:val="20"/>
          <w:szCs w:val="20"/>
          <w:color w:val="auto"/>
        </w:rPr>
      </w:pPr>
    </w:p>
    <w:p>
      <w:pPr>
        <w:ind w:left="1240"/>
        <w:spacing w:after="0"/>
        <w:rPr>
          <w:sz w:val="20"/>
          <w:szCs w:val="20"/>
          <w:color w:val="auto"/>
        </w:rPr>
      </w:pPr>
      <w:r>
        <w:rPr>
          <w:rFonts w:ascii="Arial" w:cs="Arial" w:eastAsia="Arial" w:hAnsi="Arial"/>
          <w:sz w:val="14"/>
          <w:szCs w:val="14"/>
          <w:color w:val="auto"/>
        </w:rPr>
        <w:t>Equity in loss of unconsolidated affiliates — net of provision for income taxes</w:t>
      </w:r>
    </w:p>
    <w:p>
      <w:pPr>
        <w:spacing w:after="0" w:line="55"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Net change in:</w:t>
      </w:r>
    </w:p>
    <w:p>
      <w:pPr>
        <w:spacing w:after="0" w:line="32" w:lineRule="exact"/>
        <w:rPr>
          <w:sz w:val="20"/>
          <w:szCs w:val="20"/>
          <w:color w:val="auto"/>
        </w:rPr>
      </w:pPr>
    </w:p>
    <w:p>
      <w:pPr>
        <w:ind w:left="1240"/>
        <w:spacing w:after="0"/>
        <w:rPr>
          <w:sz w:val="20"/>
          <w:szCs w:val="20"/>
          <w:color w:val="auto"/>
        </w:rPr>
      </w:pPr>
      <w:r>
        <w:rPr>
          <w:rFonts w:ascii="Arial" w:cs="Arial" w:eastAsia="Arial" w:hAnsi="Arial"/>
          <w:sz w:val="16"/>
          <w:szCs w:val="16"/>
          <w:color w:val="auto"/>
        </w:rPr>
        <w:t>Trading assets</w:t>
      </w:r>
    </w:p>
    <w:p>
      <w:pPr>
        <w:spacing w:after="0" w:line="32" w:lineRule="exact"/>
        <w:rPr>
          <w:sz w:val="20"/>
          <w:szCs w:val="20"/>
          <w:color w:val="auto"/>
        </w:rPr>
      </w:pPr>
    </w:p>
    <w:p>
      <w:pPr>
        <w:ind w:left="1240"/>
        <w:spacing w:after="0"/>
        <w:rPr>
          <w:sz w:val="20"/>
          <w:szCs w:val="20"/>
          <w:color w:val="auto"/>
        </w:rPr>
      </w:pPr>
      <w:r>
        <w:rPr>
          <w:rFonts w:ascii="Arial" w:cs="Arial" w:eastAsia="Arial" w:hAnsi="Arial"/>
          <w:sz w:val="16"/>
          <w:szCs w:val="16"/>
          <w:color w:val="auto"/>
        </w:rPr>
        <w:t>Commodities owned</w:t>
      </w:r>
    </w:p>
    <w:p>
      <w:pPr>
        <w:spacing w:after="0" w:line="32" w:lineRule="exact"/>
        <w:rPr>
          <w:sz w:val="20"/>
          <w:szCs w:val="20"/>
          <w:color w:val="auto"/>
        </w:rPr>
      </w:pPr>
    </w:p>
    <w:p>
      <w:pPr>
        <w:ind w:left="1240"/>
        <w:spacing w:after="0"/>
        <w:rPr>
          <w:sz w:val="20"/>
          <w:szCs w:val="20"/>
          <w:color w:val="auto"/>
        </w:rPr>
      </w:pPr>
      <w:r>
        <w:rPr>
          <w:rFonts w:ascii="Arial" w:cs="Arial" w:eastAsia="Arial" w:hAnsi="Arial"/>
          <w:sz w:val="16"/>
          <w:szCs w:val="16"/>
          <w:color w:val="auto"/>
        </w:rPr>
        <w:t>Trading securities</w:t>
      </w:r>
    </w:p>
    <w:p>
      <w:pPr>
        <w:spacing w:after="0" w:line="32" w:lineRule="exact"/>
        <w:rPr>
          <w:sz w:val="20"/>
          <w:szCs w:val="20"/>
          <w:color w:val="auto"/>
        </w:rPr>
      </w:pPr>
    </w:p>
    <w:p>
      <w:pPr>
        <w:ind w:left="1240"/>
        <w:spacing w:after="0"/>
        <w:rPr>
          <w:sz w:val="20"/>
          <w:szCs w:val="20"/>
          <w:color w:val="auto"/>
        </w:rPr>
      </w:pPr>
      <w:r>
        <w:rPr>
          <w:rFonts w:ascii="Arial" w:cs="Arial" w:eastAsia="Arial" w:hAnsi="Arial"/>
          <w:sz w:val="16"/>
          <w:szCs w:val="16"/>
          <w:color w:val="auto"/>
        </w:rPr>
        <w:t>Prepaid and other assets</w:t>
      </w:r>
    </w:p>
    <w:p>
      <w:pPr>
        <w:spacing w:after="0" w:line="32" w:lineRule="exact"/>
        <w:rPr>
          <w:sz w:val="20"/>
          <w:szCs w:val="20"/>
          <w:color w:val="auto"/>
        </w:rPr>
      </w:pPr>
    </w:p>
    <w:p>
      <w:pPr>
        <w:ind w:left="1240"/>
        <w:spacing w:after="0"/>
        <w:rPr>
          <w:sz w:val="20"/>
          <w:szCs w:val="20"/>
          <w:color w:val="auto"/>
        </w:rPr>
      </w:pPr>
      <w:r>
        <w:rPr>
          <w:rFonts w:ascii="Arial" w:cs="Arial" w:eastAsia="Arial" w:hAnsi="Arial"/>
          <w:sz w:val="16"/>
          <w:szCs w:val="16"/>
          <w:color w:val="auto"/>
        </w:rPr>
        <w:t>Receivables from affiliates — net</w:t>
      </w:r>
    </w:p>
    <w:p>
      <w:pPr>
        <w:spacing w:after="0" w:line="32" w:lineRule="exact"/>
        <w:rPr>
          <w:sz w:val="20"/>
          <w:szCs w:val="20"/>
          <w:color w:val="auto"/>
        </w:rPr>
      </w:pPr>
    </w:p>
    <w:p>
      <w:pPr>
        <w:ind w:left="1240"/>
        <w:spacing w:after="0"/>
        <w:rPr>
          <w:sz w:val="20"/>
          <w:szCs w:val="20"/>
          <w:color w:val="auto"/>
        </w:rPr>
      </w:pPr>
      <w:r>
        <w:rPr>
          <w:rFonts w:ascii="Arial" w:cs="Arial" w:eastAsia="Arial" w:hAnsi="Arial"/>
          <w:sz w:val="16"/>
          <w:szCs w:val="16"/>
          <w:color w:val="auto"/>
        </w:rPr>
        <w:t>Commodities sold under agreements to repurchase</w:t>
      </w:r>
    </w:p>
    <w:p>
      <w:pPr>
        <w:spacing w:after="0" w:line="32" w:lineRule="exact"/>
        <w:rPr>
          <w:sz w:val="20"/>
          <w:szCs w:val="20"/>
          <w:color w:val="auto"/>
        </w:rPr>
      </w:pPr>
    </w:p>
    <w:p>
      <w:pPr>
        <w:ind w:left="1240"/>
        <w:spacing w:after="0"/>
        <w:rPr>
          <w:sz w:val="20"/>
          <w:szCs w:val="20"/>
          <w:color w:val="auto"/>
        </w:rPr>
      </w:pPr>
      <w:r>
        <w:rPr>
          <w:rFonts w:ascii="Arial" w:cs="Arial" w:eastAsia="Arial" w:hAnsi="Arial"/>
          <w:sz w:val="16"/>
          <w:szCs w:val="16"/>
          <w:color w:val="auto"/>
        </w:rPr>
        <w:t>Trading liabilities</w:t>
      </w:r>
    </w:p>
    <w:p>
      <w:pPr>
        <w:spacing w:after="0" w:line="32" w:lineRule="exact"/>
        <w:rPr>
          <w:sz w:val="20"/>
          <w:szCs w:val="20"/>
          <w:color w:val="auto"/>
        </w:rPr>
      </w:pPr>
    </w:p>
    <w:p>
      <w:pPr>
        <w:ind w:left="1240"/>
        <w:spacing w:after="0"/>
        <w:rPr>
          <w:sz w:val="20"/>
          <w:szCs w:val="20"/>
          <w:color w:val="auto"/>
        </w:rPr>
      </w:pPr>
      <w:r>
        <w:rPr>
          <w:rFonts w:ascii="Arial" w:cs="Arial" w:eastAsia="Arial" w:hAnsi="Arial"/>
          <w:sz w:val="16"/>
          <w:szCs w:val="16"/>
          <w:color w:val="auto"/>
        </w:rPr>
        <w:t>Payables to affiliates</w:t>
      </w:r>
    </w:p>
    <w:p>
      <w:pPr>
        <w:spacing w:after="0" w:line="44" w:lineRule="exact"/>
        <w:rPr>
          <w:sz w:val="20"/>
          <w:szCs w:val="20"/>
          <w:color w:val="auto"/>
        </w:rPr>
      </w:pPr>
    </w:p>
    <w:p>
      <w:pPr>
        <w:ind w:left="1240"/>
        <w:spacing w:after="0"/>
        <w:rPr>
          <w:sz w:val="20"/>
          <w:szCs w:val="20"/>
          <w:color w:val="auto"/>
        </w:rPr>
      </w:pPr>
      <w:r>
        <w:rPr>
          <w:rFonts w:ascii="Arial" w:cs="Arial" w:eastAsia="Arial" w:hAnsi="Arial"/>
          <w:sz w:val="16"/>
          <w:szCs w:val="16"/>
          <w:color w:val="auto"/>
        </w:rPr>
        <w:t>Accounts payable and accrued liabilities</w:t>
      </w:r>
    </w:p>
    <w:p>
      <w:pPr>
        <w:spacing w:after="0" w:line="44" w:lineRule="exact"/>
        <w:rPr>
          <w:sz w:val="20"/>
          <w:szCs w:val="20"/>
          <w:color w:val="auto"/>
        </w:rPr>
      </w:pPr>
    </w:p>
    <w:p>
      <w:pPr>
        <w:ind w:left="1580"/>
        <w:spacing w:after="0"/>
        <w:rPr>
          <w:sz w:val="20"/>
          <w:szCs w:val="20"/>
          <w:color w:val="auto"/>
        </w:rPr>
      </w:pPr>
      <w:r>
        <w:rPr>
          <w:rFonts w:ascii="Arial" w:cs="Arial" w:eastAsia="Arial" w:hAnsi="Arial"/>
          <w:sz w:val="16"/>
          <w:szCs w:val="16"/>
          <w:color w:val="auto"/>
        </w:rPr>
        <w:t>Net cash provided by operating activities</w:t>
      </w:r>
    </w:p>
    <w:p>
      <w:pPr>
        <w:spacing w:after="0" w:line="248"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INVESTING ACTIVITIES:</w:t>
      </w:r>
    </w:p>
    <w:p>
      <w:pPr>
        <w:spacing w:after="0" w:line="32"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Purchases of investments in available-for-sale securities</w:t>
      </w:r>
    </w:p>
    <w:p>
      <w:pPr>
        <w:spacing w:after="0" w:line="32"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Purchase of property, plant and equipment</w:t>
      </w:r>
    </w:p>
    <w:p>
      <w:pPr>
        <w:spacing w:after="0" w:line="32"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Acquisition of subsidiaries — net of cash acquired</w:t>
      </w:r>
    </w:p>
    <w:p>
      <w:pPr>
        <w:spacing w:after="0" w:line="32"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Increase in finance lease receivable</w:t>
      </w:r>
    </w:p>
    <w:p>
      <w:pPr>
        <w:spacing w:after="0" w:line="44"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Purchase of other investments</w:t>
      </w:r>
    </w:p>
    <w:p>
      <w:pPr>
        <w:spacing w:after="0" w:line="44" w:lineRule="exact"/>
        <w:rPr>
          <w:sz w:val="20"/>
          <w:szCs w:val="20"/>
          <w:color w:val="auto"/>
        </w:rPr>
      </w:pPr>
    </w:p>
    <w:p>
      <w:pPr>
        <w:ind w:left="1580"/>
        <w:spacing w:after="0"/>
        <w:rPr>
          <w:sz w:val="20"/>
          <w:szCs w:val="20"/>
          <w:color w:val="auto"/>
        </w:rPr>
      </w:pPr>
      <w:r>
        <w:rPr>
          <w:rFonts w:ascii="Arial" w:cs="Arial" w:eastAsia="Arial" w:hAnsi="Arial"/>
          <w:sz w:val="16"/>
          <w:szCs w:val="16"/>
          <w:color w:val="auto"/>
        </w:rPr>
        <w:t>Cash used in investing activities</w:t>
      </w:r>
    </w:p>
    <w:p>
      <w:pPr>
        <w:spacing w:after="0" w:line="248"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FINANCING ACTIVITIES:</w:t>
      </w:r>
    </w:p>
    <w:p>
      <w:pPr>
        <w:spacing w:after="0" w:line="32"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Net decrease in short-term borrowings</w:t>
      </w:r>
    </w:p>
    <w:p>
      <w:pPr>
        <w:spacing w:after="0" w:line="32"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Members’ capital contributions</w:t>
      </w:r>
    </w:p>
    <w:p>
      <w:pPr>
        <w:spacing w:after="0" w:line="32"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Distributions paid to members</w:t>
      </w:r>
    </w:p>
    <w:p>
      <w:pPr>
        <w:spacing w:after="0" w:line="44" w:lineRule="exact"/>
        <w:rPr>
          <w:sz w:val="20"/>
          <w:szCs w:val="20"/>
          <w:color w:val="auto"/>
        </w:rPr>
      </w:pPr>
    </w:p>
    <w:p>
      <w:pPr>
        <w:ind w:left="1580"/>
        <w:spacing w:after="0"/>
        <w:rPr>
          <w:sz w:val="20"/>
          <w:szCs w:val="20"/>
          <w:color w:val="auto"/>
        </w:rPr>
      </w:pPr>
      <w:r>
        <w:rPr>
          <w:rFonts w:ascii="Arial" w:cs="Arial" w:eastAsia="Arial" w:hAnsi="Arial"/>
          <w:sz w:val="16"/>
          <w:szCs w:val="16"/>
          <w:color w:val="auto"/>
        </w:rPr>
        <w:t>Net cash provided by financing activities</w:t>
      </w:r>
    </w:p>
    <w:p>
      <w:pPr>
        <w:spacing w:after="0" w:line="248" w:lineRule="exact"/>
        <w:rPr>
          <w:sz w:val="20"/>
          <w:szCs w:val="20"/>
          <w:color w:val="auto"/>
        </w:rPr>
      </w:pPr>
    </w:p>
    <w:p>
      <w:pPr>
        <w:ind w:left="1000" w:right="1760"/>
        <w:spacing w:after="0" w:line="334" w:lineRule="auto"/>
        <w:rPr>
          <w:sz w:val="20"/>
          <w:szCs w:val="20"/>
          <w:color w:val="auto"/>
        </w:rPr>
      </w:pPr>
      <w:r>
        <w:rPr>
          <w:rFonts w:ascii="Arial" w:cs="Arial" w:eastAsia="Arial" w:hAnsi="Arial"/>
          <w:sz w:val="15"/>
          <w:szCs w:val="15"/>
          <w:color w:val="auto"/>
        </w:rPr>
        <w:t>NET INCREASE IN CASH AND CASH EQUIVALENTS CASH AND CASH EQUIVALENTS — April 1, 2008</w:t>
      </w:r>
    </w:p>
    <w:p>
      <w:pPr>
        <w:ind w:left="1000"/>
        <w:spacing w:after="0"/>
        <w:rPr>
          <w:sz w:val="20"/>
          <w:szCs w:val="20"/>
          <w:color w:val="auto"/>
        </w:rPr>
      </w:pPr>
      <w:r>
        <w:rPr>
          <w:rFonts w:ascii="Arial" w:cs="Arial" w:eastAsia="Arial" w:hAnsi="Arial"/>
          <w:sz w:val="16"/>
          <w:szCs w:val="16"/>
          <w:color w:val="auto"/>
        </w:rPr>
        <w:t>CASH AND CASH EQUIVALENTS — December 31, 2008</w:t>
      </w:r>
    </w:p>
    <w:p>
      <w:pPr>
        <w:spacing w:after="0" w:line="248" w:lineRule="exact"/>
        <w:rPr>
          <w:sz w:val="20"/>
          <w:szCs w:val="20"/>
          <w:color w:val="auto"/>
        </w:rPr>
      </w:pPr>
    </w:p>
    <w:p>
      <w:pPr>
        <w:ind w:left="1000" w:right="740"/>
        <w:spacing w:after="0" w:line="356" w:lineRule="auto"/>
        <w:rPr>
          <w:sz w:val="20"/>
          <w:szCs w:val="20"/>
          <w:color w:val="auto"/>
        </w:rPr>
      </w:pPr>
      <w:r>
        <w:rPr>
          <w:rFonts w:ascii="Arial" w:cs="Arial" w:eastAsia="Arial" w:hAnsi="Arial"/>
          <w:sz w:val="16"/>
          <w:szCs w:val="16"/>
          <w:color w:val="auto"/>
        </w:rPr>
        <w:t>SUPPLEMENTAL DISCLOSURE OF CASH FLOW INFORMATION — Cash paid during the period for income taxes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7" w:lineRule="exact"/>
        <w:rPr>
          <w:sz w:val="20"/>
          <w:szCs w:val="20"/>
          <w:color w:val="auto"/>
        </w:rPr>
      </w:pPr>
    </w:p>
    <w:p>
      <w:pPr>
        <w:jc w:val="right"/>
        <w:ind w:right="999"/>
        <w:spacing w:after="0"/>
        <w:rPr>
          <w:sz w:val="20"/>
          <w:szCs w:val="20"/>
          <w:color w:val="auto"/>
        </w:rPr>
      </w:pPr>
      <w:r>
        <w:rPr>
          <w:rFonts w:ascii="Arial" w:cs="Arial" w:eastAsia="Arial" w:hAnsi="Arial"/>
          <w:sz w:val="16"/>
          <w:szCs w:val="16"/>
          <w:color w:val="auto"/>
        </w:rPr>
        <w:t>$591,803</w:t>
      </w:r>
    </w:p>
    <w:p>
      <w:pPr>
        <w:spacing w:after="0" w:line="248" w:lineRule="exact"/>
        <w:rPr>
          <w:sz w:val="20"/>
          <w:szCs w:val="20"/>
          <w:color w:val="auto"/>
        </w:rPr>
      </w:pPr>
    </w:p>
    <w:p>
      <w:pPr>
        <w:jc w:val="right"/>
        <w:ind w:right="999"/>
        <w:spacing w:after="0"/>
        <w:rPr>
          <w:sz w:val="20"/>
          <w:szCs w:val="20"/>
          <w:color w:val="auto"/>
        </w:rPr>
      </w:pPr>
      <w:r>
        <w:rPr>
          <w:rFonts w:ascii="Arial" w:cs="Arial" w:eastAsia="Arial" w:hAnsi="Arial"/>
          <w:sz w:val="16"/>
          <w:szCs w:val="16"/>
          <w:color w:val="auto"/>
        </w:rPr>
        <w:t>63,652</w:t>
      </w:r>
    </w:p>
    <w:p>
      <w:pPr>
        <w:spacing w:after="0" w:line="32" w:lineRule="exact"/>
        <w:rPr>
          <w:sz w:val="20"/>
          <w:szCs w:val="20"/>
          <w:color w:val="auto"/>
        </w:rPr>
      </w:pPr>
    </w:p>
    <w:p>
      <w:pPr>
        <w:jc w:val="right"/>
        <w:ind w:right="999"/>
        <w:spacing w:after="0"/>
        <w:rPr>
          <w:sz w:val="20"/>
          <w:szCs w:val="20"/>
          <w:color w:val="auto"/>
        </w:rPr>
      </w:pPr>
      <w:r>
        <w:rPr>
          <w:rFonts w:ascii="Arial" w:cs="Arial" w:eastAsia="Arial" w:hAnsi="Arial"/>
          <w:sz w:val="16"/>
          <w:szCs w:val="16"/>
          <w:color w:val="auto"/>
        </w:rPr>
        <w:t>3,101</w:t>
      </w:r>
    </w:p>
    <w:p>
      <w:pPr>
        <w:spacing w:after="0" w:line="32" w:lineRule="exact"/>
        <w:rPr>
          <w:sz w:val="20"/>
          <w:szCs w:val="20"/>
          <w:color w:val="auto"/>
        </w:rPr>
      </w:pPr>
    </w:p>
    <w:p>
      <w:pPr>
        <w:jc w:val="right"/>
        <w:ind w:right="999"/>
        <w:spacing w:after="0"/>
        <w:rPr>
          <w:sz w:val="20"/>
          <w:szCs w:val="20"/>
          <w:color w:val="auto"/>
        </w:rPr>
      </w:pPr>
      <w:r>
        <w:rPr>
          <w:rFonts w:ascii="Arial" w:cs="Arial" w:eastAsia="Arial" w:hAnsi="Arial"/>
          <w:sz w:val="16"/>
          <w:szCs w:val="16"/>
          <w:color w:val="auto"/>
        </w:rPr>
        <w:t>2,549</w:t>
      </w:r>
    </w:p>
    <w:p>
      <w:pPr>
        <w:spacing w:after="0" w:line="248" w:lineRule="exact"/>
        <w:rPr>
          <w:sz w:val="20"/>
          <w:szCs w:val="20"/>
          <w:color w:val="auto"/>
        </w:rPr>
      </w:pPr>
    </w:p>
    <w:p>
      <w:pPr>
        <w:jc w:val="right"/>
        <w:ind w:right="999"/>
        <w:spacing w:after="0"/>
        <w:rPr>
          <w:sz w:val="20"/>
          <w:szCs w:val="20"/>
          <w:color w:val="auto"/>
        </w:rPr>
      </w:pPr>
      <w:r>
        <w:rPr>
          <w:rFonts w:ascii="Arial" w:cs="Arial" w:eastAsia="Arial" w:hAnsi="Arial"/>
          <w:sz w:val="16"/>
          <w:szCs w:val="16"/>
          <w:color w:val="auto"/>
        </w:rPr>
        <w:t>50,251</w:t>
      </w:r>
    </w:p>
    <w:p>
      <w:pPr>
        <w:spacing w:after="0" w:line="32" w:lineRule="exact"/>
        <w:rPr>
          <w:sz w:val="20"/>
          <w:szCs w:val="20"/>
          <w:color w:val="auto"/>
        </w:rPr>
      </w:pPr>
    </w:p>
    <w:p>
      <w:pPr>
        <w:jc w:val="right"/>
        <w:ind w:right="999"/>
        <w:spacing w:after="0"/>
        <w:rPr>
          <w:sz w:val="20"/>
          <w:szCs w:val="20"/>
          <w:color w:val="auto"/>
        </w:rPr>
      </w:pPr>
      <w:r>
        <w:rPr>
          <w:rFonts w:ascii="Arial" w:cs="Arial" w:eastAsia="Arial" w:hAnsi="Arial"/>
          <w:sz w:val="16"/>
          <w:szCs w:val="16"/>
          <w:color w:val="auto"/>
        </w:rPr>
        <w:t>459,139</w:t>
      </w:r>
    </w:p>
    <w:p>
      <w:pPr>
        <w:spacing w:after="0" w:line="32" w:lineRule="exact"/>
        <w:rPr>
          <w:sz w:val="20"/>
          <w:szCs w:val="20"/>
          <w:color w:val="auto"/>
        </w:rPr>
      </w:pPr>
    </w:p>
    <w:p>
      <w:pPr>
        <w:jc w:val="right"/>
        <w:ind w:right="999"/>
        <w:spacing w:after="0"/>
        <w:rPr>
          <w:sz w:val="20"/>
          <w:szCs w:val="20"/>
          <w:color w:val="auto"/>
        </w:rPr>
      </w:pPr>
      <w:r>
        <w:rPr>
          <w:rFonts w:ascii="Arial" w:cs="Arial" w:eastAsia="Arial" w:hAnsi="Arial"/>
          <w:sz w:val="16"/>
          <w:szCs w:val="16"/>
          <w:color w:val="auto"/>
        </w:rPr>
        <w:t>15,931</w:t>
      </w:r>
    </w:p>
    <w:p>
      <w:pPr>
        <w:spacing w:after="0" w:line="32" w:lineRule="exact"/>
        <w:rPr>
          <w:sz w:val="20"/>
          <w:szCs w:val="20"/>
          <w:color w:val="auto"/>
        </w:rPr>
      </w:pPr>
    </w:p>
    <w:p>
      <w:pPr>
        <w:jc w:val="right"/>
        <w:ind w:right="999"/>
        <w:spacing w:after="0"/>
        <w:rPr>
          <w:sz w:val="20"/>
          <w:szCs w:val="20"/>
          <w:color w:val="auto"/>
        </w:rPr>
      </w:pPr>
      <w:r>
        <w:rPr>
          <w:rFonts w:ascii="Arial" w:cs="Arial" w:eastAsia="Arial" w:hAnsi="Arial"/>
          <w:sz w:val="16"/>
          <w:szCs w:val="16"/>
          <w:color w:val="auto"/>
        </w:rPr>
        <w:t>(190,696)</w:t>
      </w:r>
    </w:p>
    <w:p>
      <w:pPr>
        <w:spacing w:after="0" w:line="32" w:lineRule="exact"/>
        <w:rPr>
          <w:sz w:val="20"/>
          <w:szCs w:val="20"/>
          <w:color w:val="auto"/>
        </w:rPr>
      </w:pPr>
    </w:p>
    <w:p>
      <w:pPr>
        <w:jc w:val="right"/>
        <w:ind w:right="999"/>
        <w:spacing w:after="0"/>
        <w:rPr>
          <w:sz w:val="20"/>
          <w:szCs w:val="20"/>
          <w:color w:val="auto"/>
        </w:rPr>
      </w:pPr>
      <w:r>
        <w:rPr>
          <w:rFonts w:ascii="Arial" w:cs="Arial" w:eastAsia="Arial" w:hAnsi="Arial"/>
          <w:sz w:val="16"/>
          <w:szCs w:val="16"/>
          <w:color w:val="auto"/>
        </w:rPr>
        <w:t>(933,723)</w:t>
      </w:r>
    </w:p>
    <w:p>
      <w:pPr>
        <w:spacing w:after="0" w:line="32" w:lineRule="exact"/>
        <w:rPr>
          <w:sz w:val="20"/>
          <w:szCs w:val="20"/>
          <w:color w:val="auto"/>
        </w:rPr>
      </w:pPr>
    </w:p>
    <w:p>
      <w:pPr>
        <w:jc w:val="right"/>
        <w:ind w:right="999"/>
        <w:spacing w:after="0"/>
        <w:rPr>
          <w:sz w:val="20"/>
          <w:szCs w:val="20"/>
          <w:color w:val="auto"/>
        </w:rPr>
      </w:pPr>
      <w:r>
        <w:rPr>
          <w:rFonts w:ascii="Arial" w:cs="Arial" w:eastAsia="Arial" w:hAnsi="Arial"/>
          <w:sz w:val="16"/>
          <w:szCs w:val="16"/>
          <w:color w:val="auto"/>
        </w:rPr>
        <w:t>(502,136)</w:t>
      </w:r>
    </w:p>
    <w:p>
      <w:pPr>
        <w:spacing w:after="0" w:line="32" w:lineRule="exact"/>
        <w:rPr>
          <w:sz w:val="20"/>
          <w:szCs w:val="20"/>
          <w:color w:val="auto"/>
        </w:rPr>
      </w:pPr>
    </w:p>
    <w:p>
      <w:pPr>
        <w:jc w:val="right"/>
        <w:ind w:right="999"/>
        <w:spacing w:after="0"/>
        <w:rPr>
          <w:sz w:val="20"/>
          <w:szCs w:val="20"/>
          <w:color w:val="auto"/>
        </w:rPr>
      </w:pPr>
      <w:r>
        <w:rPr>
          <w:rFonts w:ascii="Arial" w:cs="Arial" w:eastAsia="Arial" w:hAnsi="Arial"/>
          <w:sz w:val="16"/>
          <w:szCs w:val="16"/>
          <w:color w:val="auto"/>
        </w:rPr>
        <w:t>317,389</w:t>
      </w:r>
    </w:p>
    <w:p>
      <w:pPr>
        <w:spacing w:after="0" w:line="32" w:lineRule="exact"/>
        <w:rPr>
          <w:sz w:val="20"/>
          <w:szCs w:val="20"/>
          <w:color w:val="auto"/>
        </w:rPr>
      </w:pPr>
    </w:p>
    <w:p>
      <w:pPr>
        <w:jc w:val="right"/>
        <w:ind w:right="999"/>
        <w:spacing w:after="0"/>
        <w:rPr>
          <w:sz w:val="20"/>
          <w:szCs w:val="20"/>
          <w:color w:val="auto"/>
        </w:rPr>
      </w:pPr>
      <w:r>
        <w:rPr>
          <w:rFonts w:ascii="Arial" w:cs="Arial" w:eastAsia="Arial" w:hAnsi="Arial"/>
          <w:sz w:val="16"/>
          <w:szCs w:val="16"/>
          <w:color w:val="auto"/>
        </w:rPr>
        <w:t>1,433</w:t>
      </w:r>
    </w:p>
    <w:p>
      <w:pPr>
        <w:spacing w:after="0" w:line="32" w:lineRule="exact"/>
        <w:rPr>
          <w:sz w:val="20"/>
          <w:szCs w:val="20"/>
          <w:color w:val="auto"/>
        </w:rPr>
      </w:pPr>
    </w:p>
    <w:p>
      <w:pPr>
        <w:jc w:val="right"/>
        <w:ind w:right="999"/>
        <w:spacing w:after="0"/>
        <w:rPr>
          <w:sz w:val="20"/>
          <w:szCs w:val="20"/>
          <w:color w:val="auto"/>
        </w:rPr>
      </w:pPr>
      <w:r>
        <w:rPr>
          <w:rFonts w:ascii="Arial" w:cs="Arial" w:eastAsia="Arial" w:hAnsi="Arial"/>
          <w:sz w:val="16"/>
          <w:szCs w:val="16"/>
          <w:color w:val="auto"/>
        </w:rPr>
        <w:t>259,559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-230505</wp:posOffset>
            </wp:positionH>
            <wp:positionV relativeFrom="paragraph">
              <wp:posOffset>20955</wp:posOffset>
            </wp:positionV>
            <wp:extent cx="709295" cy="762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09295" cy="7620"/>
                    </a:xfrm>
                    <a:prstGeom prst="rect">
                      <a:avLst/>
                    </a:prstGeom>
                    <a:noFill/>
                  </pic:spPr>
                </pic:pic>
              </a:graphicData>
            </a:graphic>
          </wp:anchor>
        </w:drawing>
      </w:r>
    </w:p>
    <w:p>
      <w:pPr>
        <w:spacing w:after="0" w:line="24" w:lineRule="exact"/>
        <w:rPr>
          <w:sz w:val="20"/>
          <w:szCs w:val="20"/>
          <w:color w:val="auto"/>
        </w:rPr>
      </w:pPr>
    </w:p>
    <w:p>
      <w:pPr>
        <w:ind w:left="220"/>
        <w:spacing w:after="0"/>
        <w:rPr>
          <w:sz w:val="20"/>
          <w:szCs w:val="20"/>
          <w:color w:val="auto"/>
        </w:rPr>
      </w:pPr>
      <w:r>
        <w:rPr>
          <w:rFonts w:ascii="Arial" w:cs="Arial" w:eastAsia="Arial" w:hAnsi="Arial"/>
          <w:sz w:val="14"/>
          <w:szCs w:val="14"/>
          <w:color w:val="auto"/>
        </w:rPr>
        <w:t>138,252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-230505</wp:posOffset>
            </wp:positionH>
            <wp:positionV relativeFrom="paragraph">
              <wp:posOffset>35560</wp:posOffset>
            </wp:positionV>
            <wp:extent cx="709295" cy="762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09295" cy="7620"/>
                    </a:xfrm>
                    <a:prstGeom prst="rect">
                      <a:avLst/>
                    </a:prstGeom>
                    <a:noFill/>
                  </pic:spPr>
                </pic:pic>
              </a:graphicData>
            </a:graphic>
          </wp:anchor>
        </w:drawing>
      </w:r>
    </w:p>
    <w:p>
      <w:pPr>
        <w:spacing w:after="0" w:line="200" w:lineRule="exact"/>
        <w:rPr>
          <w:sz w:val="20"/>
          <w:szCs w:val="20"/>
          <w:color w:val="auto"/>
        </w:rPr>
      </w:pPr>
    </w:p>
    <w:p>
      <w:pPr>
        <w:spacing w:after="0" w:line="280" w:lineRule="exact"/>
        <w:rPr>
          <w:sz w:val="20"/>
          <w:szCs w:val="20"/>
          <w:color w:val="auto"/>
        </w:rPr>
      </w:pPr>
    </w:p>
    <w:p>
      <w:pPr>
        <w:jc w:val="right"/>
        <w:ind w:right="999"/>
        <w:spacing w:after="0"/>
        <w:rPr>
          <w:sz w:val="20"/>
          <w:szCs w:val="20"/>
          <w:color w:val="auto"/>
        </w:rPr>
      </w:pPr>
      <w:r>
        <w:rPr>
          <w:rFonts w:ascii="Arial" w:cs="Arial" w:eastAsia="Arial" w:hAnsi="Arial"/>
          <w:sz w:val="16"/>
          <w:szCs w:val="16"/>
          <w:color w:val="auto"/>
        </w:rPr>
        <w:t>(3,348)</w:t>
      </w:r>
    </w:p>
    <w:p>
      <w:pPr>
        <w:spacing w:after="0" w:line="32" w:lineRule="exact"/>
        <w:rPr>
          <w:sz w:val="20"/>
          <w:szCs w:val="20"/>
          <w:color w:val="auto"/>
        </w:rPr>
      </w:pPr>
    </w:p>
    <w:p>
      <w:pPr>
        <w:jc w:val="right"/>
        <w:ind w:right="999"/>
        <w:spacing w:after="0"/>
        <w:rPr>
          <w:sz w:val="20"/>
          <w:szCs w:val="20"/>
          <w:color w:val="auto"/>
        </w:rPr>
      </w:pPr>
      <w:r>
        <w:rPr>
          <w:rFonts w:ascii="Arial" w:cs="Arial" w:eastAsia="Arial" w:hAnsi="Arial"/>
          <w:sz w:val="16"/>
          <w:szCs w:val="16"/>
          <w:color w:val="auto"/>
        </w:rPr>
        <w:t>(56,967)</w:t>
      </w:r>
    </w:p>
    <w:p>
      <w:pPr>
        <w:spacing w:after="0" w:line="32" w:lineRule="exact"/>
        <w:rPr>
          <w:sz w:val="20"/>
          <w:szCs w:val="20"/>
          <w:color w:val="auto"/>
        </w:rPr>
      </w:pPr>
    </w:p>
    <w:p>
      <w:pPr>
        <w:jc w:val="right"/>
        <w:ind w:right="999"/>
        <w:spacing w:after="0"/>
        <w:rPr>
          <w:sz w:val="20"/>
          <w:szCs w:val="20"/>
          <w:color w:val="auto"/>
        </w:rPr>
      </w:pPr>
      <w:r>
        <w:rPr>
          <w:rFonts w:ascii="Arial" w:cs="Arial" w:eastAsia="Arial" w:hAnsi="Arial"/>
          <w:sz w:val="14"/>
          <w:szCs w:val="14"/>
          <w:color w:val="auto"/>
        </w:rPr>
        <w:t>(2,372,273)</w:t>
      </w:r>
    </w:p>
    <w:p>
      <w:pPr>
        <w:spacing w:after="0" w:line="55" w:lineRule="exact"/>
        <w:rPr>
          <w:sz w:val="20"/>
          <w:szCs w:val="20"/>
          <w:color w:val="auto"/>
        </w:rPr>
      </w:pPr>
    </w:p>
    <w:p>
      <w:pPr>
        <w:jc w:val="right"/>
        <w:ind w:right="999"/>
        <w:spacing w:after="0"/>
        <w:rPr>
          <w:sz w:val="20"/>
          <w:szCs w:val="20"/>
          <w:color w:val="auto"/>
        </w:rPr>
      </w:pPr>
      <w:r>
        <w:rPr>
          <w:rFonts w:ascii="Arial" w:cs="Arial" w:eastAsia="Arial" w:hAnsi="Arial"/>
          <w:sz w:val="16"/>
          <w:szCs w:val="16"/>
          <w:color w:val="auto"/>
        </w:rPr>
        <w:t>(173,145)</w:t>
      </w:r>
    </w:p>
    <w:p>
      <w:pPr>
        <w:spacing w:after="0" w:line="32" w:lineRule="exact"/>
        <w:rPr>
          <w:sz w:val="20"/>
          <w:szCs w:val="20"/>
          <w:color w:val="auto"/>
        </w:rPr>
      </w:pPr>
    </w:p>
    <w:p>
      <w:pPr>
        <w:jc w:val="right"/>
        <w:ind w:right="999"/>
        <w:spacing w:after="0"/>
        <w:rPr>
          <w:sz w:val="20"/>
          <w:szCs w:val="20"/>
          <w:color w:val="auto"/>
        </w:rPr>
      </w:pPr>
      <w:r>
        <w:rPr>
          <w:rFonts w:ascii="Arial" w:cs="Arial" w:eastAsia="Arial" w:hAnsi="Arial"/>
          <w:sz w:val="16"/>
          <w:szCs w:val="16"/>
          <w:color w:val="auto"/>
        </w:rPr>
        <w:t>(15,000)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-230505</wp:posOffset>
            </wp:positionH>
            <wp:positionV relativeFrom="paragraph">
              <wp:posOffset>20955</wp:posOffset>
            </wp:positionV>
            <wp:extent cx="709295" cy="762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09295" cy="7620"/>
                    </a:xfrm>
                    <a:prstGeom prst="rect">
                      <a:avLst/>
                    </a:prstGeom>
                    <a:noFill/>
                  </pic:spPr>
                </pic:pic>
              </a:graphicData>
            </a:graphic>
          </wp:anchor>
        </w:drawing>
      </w:r>
    </w:p>
    <w:p>
      <w:pPr>
        <w:spacing w:after="0" w:line="24" w:lineRule="exact"/>
        <w:rPr>
          <w:sz w:val="20"/>
          <w:szCs w:val="20"/>
          <w:color w:val="auto"/>
        </w:rPr>
      </w:pPr>
    </w:p>
    <w:p>
      <w:pPr>
        <w:jc w:val="center"/>
        <w:ind w:right="999"/>
        <w:spacing w:after="0"/>
        <w:rPr>
          <w:sz w:val="20"/>
          <w:szCs w:val="20"/>
          <w:color w:val="auto"/>
        </w:rPr>
      </w:pPr>
      <w:r>
        <w:rPr>
          <w:rFonts w:ascii="Arial" w:cs="Arial" w:eastAsia="Arial" w:hAnsi="Arial"/>
          <w:sz w:val="14"/>
          <w:szCs w:val="14"/>
          <w:color w:val="auto"/>
        </w:rPr>
        <w:t>(2,620,733)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-230505</wp:posOffset>
            </wp:positionH>
            <wp:positionV relativeFrom="paragraph">
              <wp:posOffset>35560</wp:posOffset>
            </wp:positionV>
            <wp:extent cx="709295" cy="762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09295" cy="7620"/>
                    </a:xfrm>
                    <a:prstGeom prst="rect">
                      <a:avLst/>
                    </a:prstGeom>
                    <a:noFill/>
                  </pic:spPr>
                </pic:pic>
              </a:graphicData>
            </a:graphic>
          </wp:anchor>
        </w:drawing>
      </w:r>
    </w:p>
    <w:p>
      <w:pPr>
        <w:spacing w:after="0" w:line="200" w:lineRule="exact"/>
        <w:rPr>
          <w:sz w:val="20"/>
          <w:szCs w:val="20"/>
          <w:color w:val="auto"/>
        </w:rPr>
      </w:pPr>
    </w:p>
    <w:p>
      <w:pPr>
        <w:spacing w:after="0" w:line="280" w:lineRule="exact"/>
        <w:rPr>
          <w:sz w:val="20"/>
          <w:szCs w:val="20"/>
          <w:color w:val="auto"/>
        </w:rPr>
      </w:pPr>
    </w:p>
    <w:p>
      <w:pPr>
        <w:ind w:left="120"/>
        <w:spacing w:after="0"/>
        <w:rPr>
          <w:sz w:val="20"/>
          <w:szCs w:val="20"/>
          <w:color w:val="auto"/>
        </w:rPr>
      </w:pPr>
      <w:r>
        <w:rPr>
          <w:rFonts w:ascii="Arial" w:cs="Arial" w:eastAsia="Arial" w:hAnsi="Arial"/>
          <w:sz w:val="14"/>
          <w:szCs w:val="14"/>
          <w:color w:val="auto"/>
        </w:rPr>
        <w:t>(431,325)</w:t>
      </w:r>
    </w:p>
    <w:p>
      <w:pPr>
        <w:spacing w:after="0" w:line="55" w:lineRule="exact"/>
        <w:rPr>
          <w:sz w:val="20"/>
          <w:szCs w:val="20"/>
          <w:color w:val="auto"/>
        </w:rPr>
      </w:pPr>
    </w:p>
    <w:p>
      <w:pPr>
        <w:ind w:left="100"/>
        <w:spacing w:after="0"/>
        <w:rPr>
          <w:sz w:val="20"/>
          <w:szCs w:val="20"/>
          <w:color w:val="auto"/>
        </w:rPr>
      </w:pPr>
      <w:r>
        <w:rPr>
          <w:rFonts w:ascii="Arial" w:cs="Arial" w:eastAsia="Arial" w:hAnsi="Arial"/>
          <w:sz w:val="14"/>
          <w:szCs w:val="14"/>
          <w:color w:val="auto"/>
        </w:rPr>
        <w:t>3,265,000</w:t>
      </w:r>
    </w:p>
    <w:p>
      <w:pPr>
        <w:spacing w:after="0" w:line="55" w:lineRule="exact"/>
        <w:rPr>
          <w:sz w:val="20"/>
          <w:szCs w:val="20"/>
          <w:color w:val="auto"/>
        </w:rPr>
      </w:pPr>
    </w:p>
    <w:p>
      <w:pPr>
        <w:ind w:left="120"/>
        <w:spacing w:after="0"/>
        <w:rPr>
          <w:sz w:val="20"/>
          <w:szCs w:val="20"/>
          <w:color w:val="auto"/>
        </w:rPr>
      </w:pPr>
      <w:r>
        <w:rPr>
          <w:rFonts w:ascii="Arial" w:cs="Arial" w:eastAsia="Arial" w:hAnsi="Arial"/>
          <w:sz w:val="14"/>
          <w:szCs w:val="14"/>
          <w:color w:val="auto"/>
        </w:rPr>
        <w:t>(161,012)</w:t>
      </w:r>
    </w:p>
    <w:p>
      <w:pPr>
        <w:spacing w:after="0" w:line="55" w:lineRule="exact"/>
        <w:rPr>
          <w:sz w:val="20"/>
          <w:szCs w:val="20"/>
          <w:color w:val="auto"/>
        </w:rPr>
      </w:pPr>
    </w:p>
    <w:p>
      <w:pPr>
        <w:ind w:left="100"/>
        <w:spacing w:after="0"/>
        <w:rPr>
          <w:sz w:val="20"/>
          <w:szCs w:val="20"/>
          <w:color w:val="auto"/>
        </w:rPr>
      </w:pPr>
      <w:r>
        <w:rPr>
          <w:rFonts w:ascii="Arial" w:cs="Arial" w:eastAsia="Arial" w:hAnsi="Arial"/>
          <w:sz w:val="14"/>
          <w:szCs w:val="14"/>
          <w:color w:val="auto"/>
        </w:rPr>
        <w:t>2,672,663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-230505</wp:posOffset>
            </wp:positionH>
            <wp:positionV relativeFrom="paragraph">
              <wp:posOffset>35560</wp:posOffset>
            </wp:positionV>
            <wp:extent cx="709295" cy="762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09295" cy="7620"/>
                    </a:xfrm>
                    <a:prstGeom prst="rect">
                      <a:avLst/>
                    </a:prstGeom>
                    <a:noFill/>
                  </pic:spPr>
                </pic:pic>
              </a:graphicData>
            </a:graphic>
          </wp:anchor>
        </w:drawing>
      </w:r>
    </w:p>
    <w:p>
      <w:pPr>
        <w:spacing w:after="0" w:line="263" w:lineRule="exact"/>
        <w:rPr>
          <w:sz w:val="20"/>
          <w:szCs w:val="20"/>
          <w:color w:val="auto"/>
        </w:rPr>
      </w:pPr>
    </w:p>
    <w:p>
      <w:pPr>
        <w:jc w:val="right"/>
        <w:ind w:right="999"/>
        <w:spacing w:after="0"/>
        <w:rPr>
          <w:sz w:val="20"/>
          <w:szCs w:val="20"/>
          <w:color w:val="auto"/>
        </w:rPr>
      </w:pPr>
      <w:r>
        <w:rPr>
          <w:rFonts w:ascii="Arial" w:cs="Arial" w:eastAsia="Arial" w:hAnsi="Arial"/>
          <w:sz w:val="16"/>
          <w:szCs w:val="16"/>
          <w:color w:val="auto"/>
        </w:rPr>
        <w:t>190,182</w:t>
      </w:r>
    </w:p>
    <w:p>
      <w:pPr>
        <w:spacing w:after="0" w:line="32" w:lineRule="exact"/>
        <w:rPr>
          <w:sz w:val="20"/>
          <w:szCs w:val="20"/>
          <w:color w:val="auto"/>
        </w:rPr>
      </w:pPr>
    </w:p>
    <w:p>
      <w:pPr>
        <w:jc w:val="right"/>
        <w:ind w:right="999"/>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-230505</wp:posOffset>
            </wp:positionH>
            <wp:positionV relativeFrom="paragraph">
              <wp:posOffset>20955</wp:posOffset>
            </wp:positionV>
            <wp:extent cx="709295" cy="762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09295" cy="7620"/>
                    </a:xfrm>
                    <a:prstGeom prst="rect">
                      <a:avLst/>
                    </a:prstGeom>
                    <a:noFill/>
                  </pic:spPr>
                </pic:pic>
              </a:graphicData>
            </a:graphic>
          </wp:anchor>
        </w:drawing>
      </w:r>
    </w:p>
    <w:p>
      <w:pPr>
        <w:spacing w:after="0" w:line="24" w:lineRule="exact"/>
        <w:rPr>
          <w:sz w:val="20"/>
          <w:szCs w:val="20"/>
          <w:color w:val="auto"/>
        </w:rPr>
      </w:pPr>
    </w:p>
    <w:p>
      <w:pPr>
        <w:jc w:val="right"/>
        <w:ind w:right="999"/>
        <w:spacing w:after="0"/>
        <w:rPr>
          <w:sz w:val="20"/>
          <w:szCs w:val="20"/>
          <w:color w:val="auto"/>
        </w:rPr>
      </w:pPr>
      <w:r>
        <w:rPr>
          <w:rFonts w:ascii="Arial" w:cs="Arial" w:eastAsia="Arial" w:hAnsi="Arial"/>
          <w:sz w:val="16"/>
          <w:szCs w:val="16"/>
          <w:color w:val="auto"/>
        </w:rPr>
        <w:t>$190,182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-230505</wp:posOffset>
            </wp:positionH>
            <wp:positionV relativeFrom="paragraph">
              <wp:posOffset>20955</wp:posOffset>
            </wp:positionV>
            <wp:extent cx="709295" cy="2286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09295" cy="2286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ind w:left="220"/>
        <w:spacing w:after="0"/>
        <w:rPr>
          <w:sz w:val="20"/>
          <w:szCs w:val="20"/>
          <w:color w:val="auto"/>
        </w:rPr>
      </w:pPr>
      <w:r>
        <w:rPr>
          <w:rFonts w:ascii="Arial" w:cs="Arial" w:eastAsia="Arial" w:hAnsi="Arial"/>
          <w:sz w:val="14"/>
          <w:szCs w:val="14"/>
          <w:color w:val="auto"/>
        </w:rPr>
        <w:t>$47,563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-230505</wp:posOffset>
            </wp:positionH>
            <wp:positionV relativeFrom="paragraph">
              <wp:posOffset>35560</wp:posOffset>
            </wp:positionV>
            <wp:extent cx="709295" cy="2286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09295" cy="22860"/>
                    </a:xfrm>
                    <a:prstGeom prst="rect">
                      <a:avLst/>
                    </a:prstGeom>
                    <a:noFill/>
                  </pic:spPr>
                </pic:pic>
              </a:graphicData>
            </a:graphic>
          </wp:anchor>
        </w:drawing>
      </w:r>
    </w:p>
    <w:p>
      <w:pPr>
        <w:spacing w:after="0" w:line="351" w:lineRule="exact"/>
        <w:rPr>
          <w:sz w:val="20"/>
          <w:szCs w:val="20"/>
          <w:color w:val="auto"/>
        </w:rPr>
      </w:pPr>
    </w:p>
    <w:p>
      <w:pPr>
        <w:sectPr>
          <w:pgSz w:w="11900" w:h="16838" w:orient="portrait"/>
          <w:cols w:equalWidth="0" w:num="2">
            <w:col w:w="6560" w:space="720"/>
            <w:col w:w="1739"/>
          </w:cols>
          <w:pgMar w:left="1440" w:top="740" w:right="1440" w:bottom="1440" w:gutter="0" w:footer="0" w:header="0"/>
          <w:type w:val="continuous"/>
        </w:sectPr>
      </w:pPr>
    </w:p>
    <w:p>
      <w:pPr>
        <w:ind w:left="1060"/>
        <w:spacing w:after="0"/>
        <w:rPr>
          <w:sz w:val="20"/>
          <w:szCs w:val="20"/>
          <w:color w:val="auto"/>
        </w:rPr>
      </w:pPr>
      <w:r>
        <w:rPr>
          <w:rFonts w:ascii="Arial" w:cs="Arial" w:eastAsia="Arial" w:hAnsi="Arial"/>
          <w:sz w:val="13"/>
          <w:szCs w:val="13"/>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- 4 -</w:t>
      </w:r>
    </w:p>
    <w:p>
      <w:pPr>
        <w:sectPr>
          <w:pgSz w:w="11900" w:h="16838" w:orient="portrait"/>
          <w:cols w:equalWidth="0" w:num="1">
            <w:col w:w="9019"/>
          </w:cols>
          <w:pgMar w:left="1440" w:top="740" w:right="1440" w:bottom="1440" w:gutter="0" w:footer="0" w:header="0"/>
          <w:type w:val="continuous"/>
        </w:sectPr>
      </w:pPr>
    </w:p>
    <w:bookmarkStart w:id="356" w:name="page357"/>
    <w:bookmarkEnd w:id="356"/>
    <w:p>
      <w:pPr>
        <w:ind w:left="180"/>
        <w:spacing w:after="0"/>
        <w:rPr>
          <w:sz w:val="20"/>
          <w:szCs w:val="20"/>
          <w:color w:val="auto"/>
        </w:rPr>
      </w:pPr>
      <w:r>
        <w:rPr>
          <w:rFonts w:ascii="Arial" w:cs="Arial" w:eastAsia="Arial" w:hAnsi="Arial"/>
          <w:sz w:val="21"/>
          <w:szCs w:val="21"/>
          <w:color w:val="auto"/>
        </w:rPr>
        <w:t>RBS SEMPRA COMMODITIES LLP AND SUBSIDIARIES</w:t>
      </w:r>
    </w:p>
    <w:p>
      <w:pPr>
        <w:spacing w:after="0" w:line="238" w:lineRule="exact"/>
        <w:rPr>
          <w:sz w:val="20"/>
          <w:szCs w:val="20"/>
          <w:color w:val="auto"/>
        </w:rPr>
      </w:pPr>
    </w:p>
    <w:p>
      <w:pPr>
        <w:jc w:val="both"/>
        <w:ind w:left="180" w:right="3819"/>
        <w:spacing w:after="0" w:line="261" w:lineRule="auto"/>
        <w:rPr>
          <w:sz w:val="20"/>
          <w:szCs w:val="20"/>
          <w:color w:val="auto"/>
        </w:rPr>
      </w:pPr>
      <w:r>
        <w:rPr>
          <w:rFonts w:ascii="Arial" w:cs="Arial" w:eastAsia="Arial" w:hAnsi="Arial"/>
          <w:sz w:val="16"/>
          <w:szCs w:val="16"/>
          <w:color w:val="auto"/>
        </w:rPr>
        <w:t>CONSOLIDATED STATEMENT OF CHANGES IN MEMBERS’ CAPITAL FOR THE PERIOD FROM APRIL 1, 2008 (DATE OF COMMENCEMENT) TO DECEMBER 31, 2008</w:t>
      </w:r>
    </w:p>
    <w:p>
      <w:pPr>
        <w:ind w:left="180"/>
        <w:spacing w:after="0"/>
        <w:rPr>
          <w:sz w:val="20"/>
          <w:szCs w:val="20"/>
          <w:color w:val="auto"/>
        </w:rPr>
      </w:pPr>
      <w:r>
        <w:rPr>
          <w:rFonts w:ascii="Arial" w:cs="Arial" w:eastAsia="Arial" w:hAnsi="Arial"/>
          <w:sz w:val="16"/>
          <w:szCs w:val="16"/>
          <w:color w:val="auto"/>
        </w:rPr>
        <w:t>(Dollars in thousands)</w:t>
      </w:r>
    </w:p>
    <w:p>
      <w:pPr>
        <w:spacing w:after="0" w:line="21" w:lineRule="exact"/>
        <w:rPr>
          <w:sz w:val="20"/>
          <w:szCs w:val="20"/>
          <w:color w:val="auto"/>
        </w:rPr>
      </w:pPr>
    </w:p>
    <w:tbl>
      <w:tblPr>
        <w:tblLayout w:type="fixed"/>
        <w:tblInd w:w="160" w:type="dxa"/>
        <w:tblCellMar>
          <w:top w:w="0" w:type="dxa"/>
          <w:left w:w="0" w:type="dxa"/>
          <w:bottom w:w="0" w:type="dxa"/>
          <w:right w:w="0" w:type="dxa"/>
        </w:tblCellMar>
      </w:tblPr>
      <w:tr>
        <w:trPr>
          <w:trHeight w:val="168"/>
        </w:trPr>
        <w:tc>
          <w:tcPr>
            <w:tcW w:w="430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Comprehensive</w:t>
            </w:r>
          </w:p>
        </w:tc>
        <w:tc>
          <w:tcPr>
            <w:tcW w:w="46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spacing w:after="0"/>
              <w:rPr>
                <w:sz w:val="14"/>
                <w:szCs w:val="14"/>
                <w:color w:val="auto"/>
              </w:rPr>
            </w:pPr>
          </w:p>
        </w:tc>
        <w:tc>
          <w:tcPr>
            <w:tcW w:w="1220" w:type="dxa"/>
            <w:vAlign w:val="bottom"/>
            <w:tcBorders>
              <w:top w:val="single" w:sz="8" w:color="auto"/>
            </w:tcBorders>
            <w:gridSpan w:val="2"/>
          </w:tcPr>
          <w:p>
            <w:pPr>
              <w:jc w:val="right"/>
              <w:ind w:right="76"/>
              <w:spacing w:after="0"/>
              <w:rPr>
                <w:sz w:val="20"/>
                <w:szCs w:val="20"/>
                <w:color w:val="auto"/>
              </w:rPr>
            </w:pPr>
            <w:r>
              <w:rPr>
                <w:rFonts w:ascii="Arial" w:cs="Arial" w:eastAsia="Arial" w:hAnsi="Arial"/>
                <w:sz w:val="13"/>
                <w:szCs w:val="13"/>
                <w:color w:val="auto"/>
                <w:w w:val="95"/>
              </w:rPr>
              <w:t>Accumulated Other</w:t>
            </w:r>
          </w:p>
        </w:tc>
        <w:tc>
          <w:tcPr>
            <w:tcW w:w="42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tcPr>
          <w:p>
            <w:pPr>
              <w:spacing w:after="0"/>
              <w:rPr>
                <w:sz w:val="14"/>
                <w:szCs w:val="14"/>
                <w:color w:val="auto"/>
              </w:rPr>
            </w:pPr>
          </w:p>
        </w:tc>
      </w:tr>
      <w:tr>
        <w:trPr>
          <w:trHeight w:val="156"/>
        </w:trPr>
        <w:tc>
          <w:tcPr>
            <w:tcW w:w="430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Income</w:t>
            </w:r>
          </w:p>
        </w:tc>
        <w:tc>
          <w:tcPr>
            <w:tcW w:w="4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20" w:type="dxa"/>
            <w:vAlign w:val="bottom"/>
            <w:gridSpan w:val="2"/>
          </w:tcPr>
          <w:p>
            <w:pPr>
              <w:jc w:val="right"/>
              <w:ind w:right="76"/>
              <w:spacing w:after="0"/>
              <w:rPr>
                <w:sz w:val="20"/>
                <w:szCs w:val="20"/>
                <w:color w:val="auto"/>
              </w:rPr>
            </w:pPr>
            <w:r>
              <w:rPr>
                <w:rFonts w:ascii="Arial" w:cs="Arial" w:eastAsia="Arial" w:hAnsi="Arial"/>
                <w:sz w:val="13"/>
                <w:szCs w:val="13"/>
                <w:color w:val="auto"/>
              </w:rPr>
              <w:t>Comprehensive</w:t>
            </w:r>
          </w:p>
        </w:tc>
        <w:tc>
          <w:tcPr>
            <w:tcW w:w="960" w:type="dxa"/>
            <w:vAlign w:val="bottom"/>
            <w:gridSpan w:val="2"/>
          </w:tcPr>
          <w:p>
            <w:pPr>
              <w:jc w:val="right"/>
              <w:spacing w:after="0"/>
              <w:rPr>
                <w:sz w:val="20"/>
                <w:szCs w:val="20"/>
                <w:color w:val="auto"/>
              </w:rPr>
            </w:pPr>
            <w:r>
              <w:rPr>
                <w:rFonts w:ascii="Arial" w:cs="Arial" w:eastAsia="Arial" w:hAnsi="Arial"/>
                <w:sz w:val="13"/>
                <w:szCs w:val="13"/>
                <w:color w:val="auto"/>
              </w:rPr>
              <w:t>Total Members’</w:t>
            </w:r>
          </w:p>
        </w:tc>
      </w:tr>
      <w:tr>
        <w:trPr>
          <w:trHeight w:val="167"/>
        </w:trPr>
        <w:tc>
          <w:tcPr>
            <w:tcW w:w="4300" w:type="dxa"/>
            <w:vAlign w:val="bottom"/>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(Loss)</w:t>
            </w:r>
          </w:p>
        </w:tc>
        <w:tc>
          <w:tcPr>
            <w:tcW w:w="1080" w:type="dxa"/>
            <w:vAlign w:val="bottom"/>
            <w:tcBorders>
              <w:bottom w:val="single" w:sz="8" w:color="auto"/>
            </w:tcBorders>
            <w:gridSpan w:val="2"/>
          </w:tcPr>
          <w:p>
            <w:pPr>
              <w:jc w:val="right"/>
              <w:ind w:right="16"/>
              <w:spacing w:after="0"/>
              <w:rPr>
                <w:sz w:val="20"/>
                <w:szCs w:val="20"/>
                <w:color w:val="auto"/>
              </w:rPr>
            </w:pPr>
            <w:r>
              <w:rPr>
                <w:rFonts w:ascii="Arial" w:cs="Arial" w:eastAsia="Arial" w:hAnsi="Arial"/>
                <w:sz w:val="13"/>
                <w:szCs w:val="13"/>
                <w:color w:val="auto"/>
                <w:w w:val="96"/>
              </w:rPr>
              <w:t>Members’ Capital</w:t>
            </w:r>
          </w:p>
        </w:tc>
        <w:tc>
          <w:tcPr>
            <w:tcW w:w="1220" w:type="dxa"/>
            <w:vAlign w:val="bottom"/>
            <w:tcBorders>
              <w:bottom w:val="single" w:sz="8" w:color="auto"/>
            </w:tcBorders>
            <w:gridSpan w:val="2"/>
          </w:tcPr>
          <w:p>
            <w:pPr>
              <w:jc w:val="right"/>
              <w:ind w:right="76"/>
              <w:spacing w:after="0"/>
              <w:rPr>
                <w:sz w:val="20"/>
                <w:szCs w:val="20"/>
                <w:color w:val="auto"/>
              </w:rPr>
            </w:pPr>
            <w:r>
              <w:rPr>
                <w:rFonts w:ascii="Arial" w:cs="Arial" w:eastAsia="Arial" w:hAnsi="Arial"/>
                <w:sz w:val="13"/>
                <w:szCs w:val="13"/>
                <w:color w:val="auto"/>
              </w:rPr>
              <w:t>Income (Loss)</w:t>
            </w:r>
          </w:p>
        </w:tc>
        <w:tc>
          <w:tcPr>
            <w:tcW w:w="4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Capital</w:t>
            </w:r>
          </w:p>
        </w:tc>
      </w:tr>
      <w:tr>
        <w:trPr>
          <w:trHeight w:val="203"/>
        </w:trPr>
        <w:tc>
          <w:tcPr>
            <w:tcW w:w="4300" w:type="dxa"/>
            <w:vAlign w:val="bottom"/>
          </w:tcPr>
          <w:p>
            <w:pPr>
              <w:ind w:left="20"/>
              <w:spacing w:after="0"/>
              <w:rPr>
                <w:sz w:val="20"/>
                <w:szCs w:val="20"/>
                <w:color w:val="auto"/>
              </w:rPr>
            </w:pPr>
            <w:r>
              <w:rPr>
                <w:rFonts w:ascii="Arial" w:cs="Arial" w:eastAsia="Arial" w:hAnsi="Arial"/>
                <w:sz w:val="13"/>
                <w:szCs w:val="13"/>
                <w:color w:val="auto"/>
              </w:rPr>
              <w:t>BALANCE — April 1, 2008</w:t>
            </w:r>
          </w:p>
        </w:tc>
        <w:tc>
          <w:tcPr>
            <w:tcW w:w="114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w:t>
            </w:r>
          </w:p>
        </w:tc>
        <w:tc>
          <w:tcPr>
            <w:tcW w:w="62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520" w:type="dxa"/>
            <w:vAlign w:val="bottom"/>
          </w:tcPr>
          <w:p>
            <w:pPr>
              <w:jc w:val="right"/>
              <w:spacing w:after="0"/>
              <w:rPr>
                <w:sz w:val="20"/>
                <w:szCs w:val="20"/>
                <w:color w:val="auto"/>
              </w:rPr>
            </w:pPr>
            <w:r>
              <w:rPr>
                <w:rFonts w:ascii="Arial" w:cs="Arial" w:eastAsia="Arial" w:hAnsi="Arial"/>
                <w:sz w:val="13"/>
                <w:szCs w:val="13"/>
                <w:color w:val="auto"/>
              </w:rPr>
              <w:t>$</w:t>
            </w:r>
          </w:p>
        </w:tc>
        <w:tc>
          <w:tcPr>
            <w:tcW w:w="700" w:type="dxa"/>
            <w:vAlign w:val="bottom"/>
          </w:tcPr>
          <w:p>
            <w:pPr>
              <w:jc w:val="right"/>
              <w:ind w:right="76"/>
              <w:spacing w:after="0"/>
              <w:rPr>
                <w:sz w:val="20"/>
                <w:szCs w:val="20"/>
                <w:color w:val="auto"/>
              </w:rPr>
            </w:pPr>
            <w:r>
              <w:rPr>
                <w:rFonts w:ascii="Arial" w:cs="Arial" w:eastAsia="Arial" w:hAnsi="Arial"/>
                <w:sz w:val="13"/>
                <w:szCs w:val="13"/>
                <w:color w:val="auto"/>
              </w:rPr>
              <w:t>--</w:t>
            </w:r>
          </w:p>
        </w:tc>
        <w:tc>
          <w:tcPr>
            <w:tcW w:w="420" w:type="dxa"/>
            <w:vAlign w:val="bottom"/>
          </w:tcPr>
          <w:p>
            <w:pPr>
              <w:jc w:val="right"/>
              <w:spacing w:after="0"/>
              <w:rPr>
                <w:sz w:val="20"/>
                <w:szCs w:val="20"/>
                <w:color w:val="auto"/>
              </w:rPr>
            </w:pPr>
            <w:r>
              <w:rPr>
                <w:rFonts w:ascii="Arial" w:cs="Arial" w:eastAsia="Arial" w:hAnsi="Arial"/>
                <w:sz w:val="13"/>
                <w:szCs w:val="13"/>
                <w:color w:val="auto"/>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432"/>
        </w:trPr>
        <w:tc>
          <w:tcPr>
            <w:tcW w:w="4300" w:type="dxa"/>
            <w:vAlign w:val="bottom"/>
          </w:tcPr>
          <w:p>
            <w:pPr>
              <w:ind w:left="20"/>
              <w:spacing w:after="0"/>
              <w:rPr>
                <w:sz w:val="20"/>
                <w:szCs w:val="20"/>
                <w:color w:val="auto"/>
              </w:rPr>
            </w:pPr>
            <w:r>
              <w:rPr>
                <w:rFonts w:ascii="Arial" w:cs="Arial" w:eastAsia="Arial" w:hAnsi="Arial"/>
                <w:sz w:val="13"/>
                <w:szCs w:val="13"/>
                <w:color w:val="auto"/>
              </w:rPr>
              <w:t>Members’ capital contributions</w:t>
            </w:r>
          </w:p>
        </w:tc>
        <w:tc>
          <w:tcPr>
            <w:tcW w:w="1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20" w:type="dxa"/>
            <w:vAlign w:val="bottom"/>
          </w:tcPr>
          <w:p>
            <w:pPr>
              <w:jc w:val="right"/>
              <w:ind w:right="16"/>
              <w:spacing w:after="0"/>
              <w:rPr>
                <w:sz w:val="20"/>
                <w:szCs w:val="20"/>
                <w:color w:val="auto"/>
              </w:rPr>
            </w:pPr>
            <w:r>
              <w:rPr>
                <w:rFonts w:ascii="Arial" w:cs="Arial" w:eastAsia="Arial" w:hAnsi="Arial"/>
                <w:sz w:val="13"/>
                <w:szCs w:val="13"/>
                <w:color w:val="auto"/>
                <w:w w:val="89"/>
              </w:rPr>
              <w:t>3,265,000</w:t>
            </w:r>
          </w:p>
        </w:tc>
        <w:tc>
          <w:tcPr>
            <w:tcW w:w="520" w:type="dxa"/>
            <w:vAlign w:val="bottom"/>
          </w:tcPr>
          <w:p>
            <w:pPr>
              <w:spacing w:after="0"/>
              <w:rPr>
                <w:sz w:val="24"/>
                <w:szCs w:val="24"/>
                <w:color w:val="auto"/>
              </w:rPr>
            </w:pPr>
          </w:p>
        </w:tc>
        <w:tc>
          <w:tcPr>
            <w:tcW w:w="700" w:type="dxa"/>
            <w:vAlign w:val="bottom"/>
          </w:tcPr>
          <w:p>
            <w:pPr>
              <w:jc w:val="right"/>
              <w:ind w:right="76"/>
              <w:spacing w:after="0"/>
              <w:rPr>
                <w:sz w:val="20"/>
                <w:szCs w:val="20"/>
                <w:color w:val="auto"/>
              </w:rPr>
            </w:pPr>
            <w:r>
              <w:rPr>
                <w:rFonts w:ascii="Arial" w:cs="Arial" w:eastAsia="Arial" w:hAnsi="Arial"/>
                <w:sz w:val="13"/>
                <w:szCs w:val="13"/>
                <w:color w:val="auto"/>
              </w:rPr>
              <w:t>--</w:t>
            </w:r>
          </w:p>
        </w:tc>
        <w:tc>
          <w:tcPr>
            <w:tcW w:w="42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w w:val="89"/>
              </w:rPr>
              <w:t>3,265,000</w:t>
            </w:r>
          </w:p>
        </w:tc>
      </w:tr>
      <w:tr>
        <w:trPr>
          <w:trHeight w:val="396"/>
        </w:trPr>
        <w:tc>
          <w:tcPr>
            <w:tcW w:w="4300" w:type="dxa"/>
            <w:vAlign w:val="bottom"/>
          </w:tcPr>
          <w:p>
            <w:pPr>
              <w:ind w:left="20"/>
              <w:spacing w:after="0"/>
              <w:rPr>
                <w:sz w:val="20"/>
                <w:szCs w:val="20"/>
                <w:color w:val="auto"/>
              </w:rPr>
            </w:pPr>
            <w:r>
              <w:rPr>
                <w:rFonts w:ascii="Arial" w:cs="Arial" w:eastAsia="Arial" w:hAnsi="Arial"/>
                <w:sz w:val="13"/>
                <w:szCs w:val="13"/>
                <w:color w:val="auto"/>
              </w:rPr>
              <w:t>Net income</w:t>
            </w:r>
          </w:p>
        </w:tc>
        <w:tc>
          <w:tcPr>
            <w:tcW w:w="1140" w:type="dxa"/>
            <w:vAlign w:val="bottom"/>
          </w:tcPr>
          <w:p>
            <w:pPr>
              <w:jc w:val="right"/>
              <w:spacing w:after="0"/>
              <w:rPr>
                <w:sz w:val="20"/>
                <w:szCs w:val="20"/>
                <w:color w:val="auto"/>
              </w:rPr>
            </w:pPr>
            <w:r>
              <w:rPr>
                <w:rFonts w:ascii="Arial" w:cs="Arial" w:eastAsia="Arial" w:hAnsi="Arial"/>
                <w:sz w:val="13"/>
                <w:szCs w:val="13"/>
                <w:color w:val="auto"/>
              </w:rPr>
              <w:t>$591,803</w:t>
            </w:r>
          </w:p>
        </w:tc>
        <w:tc>
          <w:tcPr>
            <w:tcW w:w="460" w:type="dxa"/>
            <w:vAlign w:val="bottom"/>
          </w:tcPr>
          <w:p>
            <w:pPr>
              <w:spacing w:after="0"/>
              <w:rPr>
                <w:sz w:val="24"/>
                <w:szCs w:val="24"/>
                <w:color w:val="auto"/>
              </w:rPr>
            </w:pPr>
          </w:p>
        </w:tc>
        <w:tc>
          <w:tcPr>
            <w:tcW w:w="620" w:type="dxa"/>
            <w:vAlign w:val="bottom"/>
          </w:tcPr>
          <w:p>
            <w:pPr>
              <w:jc w:val="right"/>
              <w:ind w:right="16"/>
              <w:spacing w:after="0"/>
              <w:rPr>
                <w:sz w:val="20"/>
                <w:szCs w:val="20"/>
                <w:color w:val="auto"/>
              </w:rPr>
            </w:pPr>
            <w:r>
              <w:rPr>
                <w:rFonts w:ascii="Arial" w:cs="Arial" w:eastAsia="Arial" w:hAnsi="Arial"/>
                <w:sz w:val="13"/>
                <w:szCs w:val="13"/>
                <w:color w:val="auto"/>
              </w:rPr>
              <w:t>591,803</w:t>
            </w:r>
          </w:p>
        </w:tc>
        <w:tc>
          <w:tcPr>
            <w:tcW w:w="520" w:type="dxa"/>
            <w:vAlign w:val="bottom"/>
          </w:tcPr>
          <w:p>
            <w:pPr>
              <w:spacing w:after="0"/>
              <w:rPr>
                <w:sz w:val="24"/>
                <w:szCs w:val="24"/>
                <w:color w:val="auto"/>
              </w:rPr>
            </w:pPr>
          </w:p>
        </w:tc>
        <w:tc>
          <w:tcPr>
            <w:tcW w:w="700" w:type="dxa"/>
            <w:vAlign w:val="bottom"/>
          </w:tcPr>
          <w:p>
            <w:pPr>
              <w:jc w:val="right"/>
              <w:ind w:right="76"/>
              <w:spacing w:after="0"/>
              <w:rPr>
                <w:sz w:val="20"/>
                <w:szCs w:val="20"/>
                <w:color w:val="auto"/>
              </w:rPr>
            </w:pPr>
            <w:r>
              <w:rPr>
                <w:rFonts w:ascii="Arial" w:cs="Arial" w:eastAsia="Arial" w:hAnsi="Arial"/>
                <w:sz w:val="13"/>
                <w:szCs w:val="13"/>
                <w:color w:val="auto"/>
              </w:rPr>
              <w:t>--</w:t>
            </w:r>
          </w:p>
        </w:tc>
        <w:tc>
          <w:tcPr>
            <w:tcW w:w="42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591,803</w:t>
            </w:r>
          </w:p>
        </w:tc>
      </w:tr>
      <w:tr>
        <w:trPr>
          <w:trHeight w:val="432"/>
        </w:trPr>
        <w:tc>
          <w:tcPr>
            <w:tcW w:w="4300" w:type="dxa"/>
            <w:vAlign w:val="bottom"/>
          </w:tcPr>
          <w:p>
            <w:pPr>
              <w:ind w:left="20"/>
              <w:spacing w:after="0"/>
              <w:rPr>
                <w:sz w:val="20"/>
                <w:szCs w:val="20"/>
                <w:color w:val="auto"/>
              </w:rPr>
            </w:pPr>
            <w:r>
              <w:rPr>
                <w:rFonts w:ascii="Arial" w:cs="Arial" w:eastAsia="Arial" w:hAnsi="Arial"/>
                <w:sz w:val="13"/>
                <w:szCs w:val="13"/>
                <w:color w:val="auto"/>
              </w:rPr>
              <w:t>Other comprehensive income (loss) — net of tax:</w:t>
            </w:r>
          </w:p>
        </w:tc>
        <w:tc>
          <w:tcPr>
            <w:tcW w:w="1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180"/>
        </w:trPr>
        <w:tc>
          <w:tcPr>
            <w:tcW w:w="4300" w:type="dxa"/>
            <w:vAlign w:val="bottom"/>
          </w:tcPr>
          <w:p>
            <w:pPr>
              <w:ind w:left="140"/>
              <w:spacing w:after="0"/>
              <w:rPr>
                <w:sz w:val="20"/>
                <w:szCs w:val="20"/>
                <w:color w:val="auto"/>
              </w:rPr>
            </w:pPr>
            <w:r>
              <w:rPr>
                <w:rFonts w:ascii="Arial" w:cs="Arial" w:eastAsia="Arial" w:hAnsi="Arial"/>
                <w:sz w:val="13"/>
                <w:szCs w:val="13"/>
                <w:color w:val="auto"/>
              </w:rPr>
              <w:t>Net unrealized loss on available-for-sale securities</w:t>
            </w:r>
          </w:p>
        </w:tc>
        <w:tc>
          <w:tcPr>
            <w:tcW w:w="1140" w:type="dxa"/>
            <w:vAlign w:val="bottom"/>
          </w:tcPr>
          <w:p>
            <w:pPr>
              <w:jc w:val="right"/>
              <w:spacing w:after="0"/>
              <w:rPr>
                <w:sz w:val="20"/>
                <w:szCs w:val="20"/>
                <w:color w:val="auto"/>
              </w:rPr>
            </w:pPr>
            <w:r>
              <w:rPr>
                <w:rFonts w:ascii="Arial" w:cs="Arial" w:eastAsia="Arial" w:hAnsi="Arial"/>
                <w:sz w:val="13"/>
                <w:szCs w:val="13"/>
                <w:color w:val="auto"/>
              </w:rPr>
              <w:t>(43,765)</w:t>
            </w:r>
          </w:p>
        </w:tc>
        <w:tc>
          <w:tcPr>
            <w:tcW w:w="460" w:type="dxa"/>
            <w:vAlign w:val="bottom"/>
          </w:tcPr>
          <w:p>
            <w:pPr>
              <w:spacing w:after="0"/>
              <w:rPr>
                <w:sz w:val="15"/>
                <w:szCs w:val="15"/>
                <w:color w:val="auto"/>
              </w:rPr>
            </w:pPr>
          </w:p>
        </w:tc>
        <w:tc>
          <w:tcPr>
            <w:tcW w:w="62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520" w:type="dxa"/>
            <w:vAlign w:val="bottom"/>
          </w:tcPr>
          <w:p>
            <w:pPr>
              <w:spacing w:after="0"/>
              <w:rPr>
                <w:sz w:val="15"/>
                <w:szCs w:val="15"/>
                <w:color w:val="auto"/>
              </w:rPr>
            </w:pPr>
          </w:p>
        </w:tc>
        <w:tc>
          <w:tcPr>
            <w:tcW w:w="700" w:type="dxa"/>
            <w:vAlign w:val="bottom"/>
          </w:tcPr>
          <w:p>
            <w:pPr>
              <w:jc w:val="right"/>
              <w:ind w:right="76"/>
              <w:spacing w:after="0"/>
              <w:rPr>
                <w:sz w:val="20"/>
                <w:szCs w:val="20"/>
                <w:color w:val="auto"/>
              </w:rPr>
            </w:pPr>
            <w:r>
              <w:rPr>
                <w:rFonts w:ascii="Arial" w:cs="Arial" w:eastAsia="Arial" w:hAnsi="Arial"/>
                <w:sz w:val="13"/>
                <w:szCs w:val="13"/>
                <w:color w:val="auto"/>
              </w:rPr>
              <w:t>(43,765)</w:t>
            </w:r>
          </w:p>
        </w:tc>
        <w:tc>
          <w:tcPr>
            <w:tcW w:w="42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(43,765)</w:t>
            </w:r>
          </w:p>
        </w:tc>
      </w:tr>
      <w:tr>
        <w:trPr>
          <w:trHeight w:val="190"/>
        </w:trPr>
        <w:tc>
          <w:tcPr>
            <w:tcW w:w="4300" w:type="dxa"/>
            <w:vAlign w:val="bottom"/>
          </w:tcPr>
          <w:p>
            <w:pPr>
              <w:ind w:left="140"/>
              <w:spacing w:after="0"/>
              <w:rPr>
                <w:sz w:val="20"/>
                <w:szCs w:val="20"/>
                <w:color w:val="auto"/>
              </w:rPr>
            </w:pPr>
            <w:r>
              <w:rPr>
                <w:rFonts w:ascii="Arial" w:cs="Arial" w:eastAsia="Arial" w:hAnsi="Arial"/>
                <w:sz w:val="13"/>
                <w:szCs w:val="13"/>
                <w:color w:val="auto"/>
              </w:rPr>
              <w:t>Net unrealized loss on SFAS 133 cash flow hedging activities</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(3,216)</w:t>
            </w:r>
          </w:p>
        </w:tc>
        <w:tc>
          <w:tcPr>
            <w:tcW w:w="460" w:type="dxa"/>
            <w:vAlign w:val="bottom"/>
          </w:tcPr>
          <w:p>
            <w:pPr>
              <w:spacing w:after="0"/>
              <w:rPr>
                <w:sz w:val="16"/>
                <w:szCs w:val="16"/>
                <w:color w:val="auto"/>
              </w:rPr>
            </w:pPr>
          </w:p>
        </w:tc>
        <w:tc>
          <w:tcPr>
            <w:tcW w:w="62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520" w:type="dxa"/>
            <w:vAlign w:val="bottom"/>
          </w:tcPr>
          <w:p>
            <w:pPr>
              <w:spacing w:after="0"/>
              <w:rPr>
                <w:sz w:val="16"/>
                <w:szCs w:val="16"/>
                <w:color w:val="auto"/>
              </w:rPr>
            </w:pPr>
          </w:p>
        </w:tc>
        <w:tc>
          <w:tcPr>
            <w:tcW w:w="700" w:type="dxa"/>
            <w:vAlign w:val="bottom"/>
          </w:tcPr>
          <w:p>
            <w:pPr>
              <w:jc w:val="right"/>
              <w:ind w:right="76"/>
              <w:spacing w:after="0"/>
              <w:rPr>
                <w:sz w:val="20"/>
                <w:szCs w:val="20"/>
                <w:color w:val="auto"/>
              </w:rPr>
            </w:pPr>
            <w:r>
              <w:rPr>
                <w:rFonts w:ascii="Arial" w:cs="Arial" w:eastAsia="Arial" w:hAnsi="Arial"/>
                <w:sz w:val="13"/>
                <w:szCs w:val="13"/>
                <w:color w:val="auto"/>
              </w:rPr>
              <w:t>(3,216)</w:t>
            </w:r>
          </w:p>
        </w:tc>
        <w:tc>
          <w:tcPr>
            <w:tcW w:w="42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(3,216)</w:t>
            </w:r>
          </w:p>
        </w:tc>
      </w:tr>
      <w:tr>
        <w:trPr>
          <w:trHeight w:val="404"/>
        </w:trPr>
        <w:tc>
          <w:tcPr>
            <w:tcW w:w="4300" w:type="dxa"/>
            <w:vAlign w:val="bottom"/>
          </w:tcPr>
          <w:p>
            <w:pPr>
              <w:ind w:left="360"/>
              <w:spacing w:after="0"/>
              <w:rPr>
                <w:sz w:val="20"/>
                <w:szCs w:val="20"/>
                <w:color w:val="auto"/>
              </w:rPr>
            </w:pPr>
            <w:r>
              <w:rPr>
                <w:rFonts w:ascii="Arial" w:cs="Arial" w:eastAsia="Arial" w:hAnsi="Arial"/>
                <w:sz w:val="13"/>
                <w:szCs w:val="13"/>
                <w:color w:val="auto"/>
              </w:rPr>
              <w:t>Comprehensive income</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$544,822</w:t>
            </w:r>
          </w:p>
        </w:tc>
        <w:tc>
          <w:tcPr>
            <w:tcW w:w="4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420"/>
        </w:trPr>
        <w:tc>
          <w:tcPr>
            <w:tcW w:w="4300" w:type="dxa"/>
            <w:vAlign w:val="bottom"/>
          </w:tcPr>
          <w:p>
            <w:pPr>
              <w:ind w:left="20"/>
              <w:spacing w:after="0"/>
              <w:rPr>
                <w:sz w:val="20"/>
                <w:szCs w:val="20"/>
                <w:color w:val="auto"/>
              </w:rPr>
            </w:pPr>
            <w:r>
              <w:rPr>
                <w:rFonts w:ascii="Arial" w:cs="Arial" w:eastAsia="Arial" w:hAnsi="Arial"/>
                <w:sz w:val="13"/>
                <w:szCs w:val="13"/>
                <w:color w:val="auto"/>
              </w:rPr>
              <w:t>Distributions paid to Members</w:t>
            </w:r>
          </w:p>
        </w:tc>
        <w:tc>
          <w:tcPr>
            <w:tcW w:w="114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w w:val="93"/>
              </w:rPr>
              <w:t>(161,012)</w:t>
            </w:r>
          </w:p>
        </w:tc>
        <w:tc>
          <w:tcPr>
            <w:tcW w:w="5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color w:val="auto"/>
              </w:rPr>
              <w:t>--</w:t>
            </w:r>
          </w:p>
        </w:tc>
        <w:tc>
          <w:tcPr>
            <w:tcW w:w="4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93"/>
              </w:rPr>
              <w:t>(161,012)</w:t>
            </w:r>
          </w:p>
        </w:tc>
      </w:tr>
      <w:tr>
        <w:trPr>
          <w:trHeight w:val="404"/>
        </w:trPr>
        <w:tc>
          <w:tcPr>
            <w:tcW w:w="4300" w:type="dxa"/>
            <w:vAlign w:val="bottom"/>
          </w:tcPr>
          <w:p>
            <w:pPr>
              <w:ind w:left="20"/>
              <w:spacing w:after="0"/>
              <w:rPr>
                <w:sz w:val="20"/>
                <w:szCs w:val="20"/>
                <w:color w:val="auto"/>
              </w:rPr>
            </w:pPr>
            <w:r>
              <w:rPr>
                <w:rFonts w:ascii="Arial" w:cs="Arial" w:eastAsia="Arial" w:hAnsi="Arial"/>
                <w:sz w:val="13"/>
                <w:szCs w:val="13"/>
                <w:color w:val="auto"/>
              </w:rPr>
              <w:t>BALANCE — December 31, 2008</w:t>
            </w:r>
          </w:p>
        </w:tc>
        <w:tc>
          <w:tcPr>
            <w:tcW w:w="1140" w:type="dxa"/>
            <w:vAlign w:val="bottom"/>
          </w:tcPr>
          <w:p>
            <w:pPr>
              <w:spacing w:after="0"/>
              <w:rPr>
                <w:sz w:val="24"/>
                <w:szCs w:val="24"/>
                <w:color w:val="auto"/>
              </w:rPr>
            </w:pPr>
          </w:p>
        </w:tc>
        <w:tc>
          <w:tcPr>
            <w:tcW w:w="1080" w:type="dxa"/>
            <w:vAlign w:val="bottom"/>
            <w:tcBorders>
              <w:bottom w:val="single" w:sz="8" w:color="auto"/>
            </w:tcBorders>
            <w:gridSpan w:val="2"/>
          </w:tcPr>
          <w:p>
            <w:pPr>
              <w:jc w:val="right"/>
              <w:ind w:right="16"/>
              <w:spacing w:after="0"/>
              <w:rPr>
                <w:sz w:val="20"/>
                <w:szCs w:val="20"/>
                <w:color w:val="auto"/>
              </w:rPr>
            </w:pPr>
            <w:r>
              <w:rPr>
                <w:rFonts w:ascii="Arial" w:cs="Arial" w:eastAsia="Arial" w:hAnsi="Arial"/>
                <w:sz w:val="13"/>
                <w:szCs w:val="13"/>
                <w:color w:val="auto"/>
              </w:rPr>
              <w:t>$3,695,791</w:t>
            </w:r>
          </w:p>
        </w:tc>
        <w:tc>
          <w:tcPr>
            <w:tcW w:w="5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color w:val="auto"/>
                <w:w w:val="96"/>
              </w:rPr>
              <w:t>($46,981)</w:t>
            </w:r>
          </w:p>
        </w:tc>
        <w:tc>
          <w:tcPr>
            <w:tcW w:w="96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color w:val="auto"/>
              </w:rPr>
              <w:t>$3,648,810</w:t>
            </w:r>
          </w:p>
        </w:tc>
      </w:tr>
      <w:tr>
        <w:trPr>
          <w:trHeight w:val="422"/>
        </w:trPr>
        <w:tc>
          <w:tcPr>
            <w:tcW w:w="4300" w:type="dxa"/>
            <w:vAlign w:val="bottom"/>
          </w:tcPr>
          <w:p>
            <w:pPr>
              <w:ind w:left="20"/>
              <w:spacing w:after="0"/>
              <w:rPr>
                <w:sz w:val="20"/>
                <w:szCs w:val="20"/>
                <w:color w:val="auto"/>
              </w:rPr>
            </w:pPr>
            <w:r>
              <w:rPr>
                <w:rFonts w:ascii="Arial" w:cs="Arial" w:eastAsia="Arial" w:hAnsi="Arial"/>
                <w:sz w:val="13"/>
                <w:szCs w:val="13"/>
                <w:color w:val="auto"/>
              </w:rPr>
              <w:t>See notes to consolidated financial statements.</w:t>
            </w:r>
          </w:p>
        </w:tc>
        <w:tc>
          <w:tcPr>
            <w:tcW w:w="1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4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- 5 -</w:t>
      </w:r>
    </w:p>
    <w:p>
      <w:pPr>
        <w:sectPr>
          <w:pgSz w:w="11900" w:h="16838" w:orient="portrait"/>
          <w:cols w:equalWidth="0" w:num="1">
            <w:col w:w="9019"/>
          </w:cols>
          <w:pgMar w:left="1440" w:top="909" w:right="1440" w:bottom="1440" w:gutter="0" w:footer="0" w:header="0"/>
        </w:sectPr>
      </w:pPr>
    </w:p>
    <w:bookmarkStart w:id="357" w:name="page358"/>
    <w:bookmarkEnd w:id="357"/>
    <w:p>
      <w:pPr>
        <w:ind w:left="4"/>
        <w:spacing w:after="0"/>
        <w:rPr>
          <w:sz w:val="20"/>
          <w:szCs w:val="20"/>
          <w:color w:val="auto"/>
        </w:rPr>
      </w:pPr>
      <w:r>
        <w:rPr>
          <w:rFonts w:ascii="Arial" w:cs="Arial" w:eastAsia="Arial" w:hAnsi="Arial"/>
          <w:sz w:val="21"/>
          <w:szCs w:val="21"/>
          <w:b w:val="1"/>
          <w:bCs w:val="1"/>
          <w:color w:val="auto"/>
        </w:rPr>
        <w:t>RBS SEMPRA COMMODITIES LLP AND SUBSIDIARIES</w:t>
      </w:r>
    </w:p>
    <w:p>
      <w:pPr>
        <w:spacing w:after="0" w:line="240"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28"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auto"/>
        </w:rPr>
        <w:t>AS OF DECEMBER 31, 2008 AND FOR THE PERIOD FROM APRIL 1, 2008</w:t>
      </w:r>
    </w:p>
    <w:p>
      <w:pPr>
        <w:spacing w:after="0" w:line="8"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auto"/>
        </w:rPr>
        <w:t>(DATE OF COMMENCEMENT) TO DECEMBER 31,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36195</wp:posOffset>
            </wp:positionV>
            <wp:extent cx="7261860" cy="762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pacing w:after="0" w:line="353" w:lineRule="exact"/>
        <w:rPr>
          <w:sz w:val="20"/>
          <w:szCs w:val="20"/>
          <w:color w:val="auto"/>
        </w:rPr>
      </w:pPr>
    </w:p>
    <w:p>
      <w:pPr>
        <w:ind w:left="384" w:hanging="384"/>
        <w:spacing w:after="0"/>
        <w:tabs>
          <w:tab w:leader="none" w:pos="384" w:val="left"/>
        </w:tabs>
        <w:numPr>
          <w:ilvl w:val="0"/>
          <w:numId w:val="416"/>
        </w:numPr>
        <w:rPr>
          <w:rFonts w:ascii="Arial" w:cs="Arial" w:eastAsia="Arial" w:hAnsi="Arial"/>
          <w:sz w:val="18"/>
          <w:szCs w:val="18"/>
          <w:b w:val="1"/>
          <w:bCs w:val="1"/>
          <w:color w:val="auto"/>
        </w:rPr>
      </w:pPr>
      <w:r>
        <w:rPr>
          <w:rFonts w:ascii="Arial" w:cs="Arial" w:eastAsia="Arial" w:hAnsi="Arial"/>
          <w:sz w:val="18"/>
          <w:szCs w:val="18"/>
          <w:b w:val="1"/>
          <w:bCs w:val="1"/>
          <w:color w:val="auto"/>
        </w:rPr>
        <w:t>NATURE OF OPERATIONS</w:t>
      </w:r>
    </w:p>
    <w:p>
      <w:pPr>
        <w:spacing w:after="0" w:line="171" w:lineRule="exact"/>
        <w:rPr>
          <w:rFonts w:ascii="Arial" w:cs="Arial" w:eastAsia="Arial" w:hAnsi="Arial"/>
          <w:sz w:val="18"/>
          <w:szCs w:val="18"/>
          <w:b w:val="1"/>
          <w:bCs w:val="1"/>
          <w:color w:val="auto"/>
        </w:rPr>
      </w:pPr>
    </w:p>
    <w:p>
      <w:pPr>
        <w:ind w:left="384" w:right="280"/>
        <w:spacing w:after="0" w:line="259" w:lineRule="auto"/>
        <w:rPr>
          <w:rFonts w:ascii="Arial" w:cs="Arial" w:eastAsia="Arial" w:hAnsi="Arial"/>
          <w:sz w:val="18"/>
          <w:szCs w:val="18"/>
          <w:b w:val="1"/>
          <w:bCs w:val="1"/>
          <w:color w:val="auto"/>
        </w:rPr>
      </w:pPr>
      <w:r>
        <w:rPr>
          <w:rFonts w:ascii="Arial" w:cs="Arial" w:eastAsia="Arial" w:hAnsi="Arial"/>
          <w:sz w:val="17"/>
          <w:szCs w:val="17"/>
          <w:color w:val="auto"/>
        </w:rPr>
        <w:t>The Partnership engages in physical and derivative trading and marketing activities principally in natural gas, electricity, petroleum, petroleum products, base metals and other commodities with domestic and foreign corporations, financial institutions, multinational organizations, sovereign entities and end users. The Partnership’s operations are subject to regulation by the Financial Services Authority, the New York Mercantile Exchange, the Commodity Futures Trading Commission, the Federal Energy Regulatory Commission (FERC), the London Metals Exchange, NYSE Euronext, the U.S. Federal Reserve Bank, and the National Futures Association.</w:t>
      </w:r>
    </w:p>
    <w:p>
      <w:pPr>
        <w:spacing w:after="0" w:line="140" w:lineRule="exact"/>
        <w:rPr>
          <w:rFonts w:ascii="Arial" w:cs="Arial" w:eastAsia="Arial" w:hAnsi="Arial"/>
          <w:sz w:val="18"/>
          <w:szCs w:val="18"/>
          <w:b w:val="1"/>
          <w:bCs w:val="1"/>
          <w:color w:val="auto"/>
        </w:rPr>
      </w:pPr>
    </w:p>
    <w:p>
      <w:pPr>
        <w:ind w:left="384" w:hanging="384"/>
        <w:spacing w:after="0"/>
        <w:tabs>
          <w:tab w:leader="none" w:pos="384" w:val="left"/>
        </w:tabs>
        <w:numPr>
          <w:ilvl w:val="0"/>
          <w:numId w:val="416"/>
        </w:numPr>
        <w:rPr>
          <w:rFonts w:ascii="Arial" w:cs="Arial" w:eastAsia="Arial" w:hAnsi="Arial"/>
          <w:sz w:val="18"/>
          <w:szCs w:val="18"/>
          <w:b w:val="1"/>
          <w:bCs w:val="1"/>
          <w:color w:val="auto"/>
        </w:rPr>
      </w:pPr>
      <w:r>
        <w:rPr>
          <w:rFonts w:ascii="Arial" w:cs="Arial" w:eastAsia="Arial" w:hAnsi="Arial"/>
          <w:sz w:val="18"/>
          <w:szCs w:val="18"/>
          <w:b w:val="1"/>
          <w:bCs w:val="1"/>
          <w:color w:val="auto"/>
        </w:rPr>
        <w:t>FORMATION AND ORGANIZATION OF THE PARTNERSHIP</w:t>
      </w:r>
    </w:p>
    <w:p>
      <w:pPr>
        <w:spacing w:after="0" w:line="171" w:lineRule="exact"/>
        <w:rPr>
          <w:rFonts w:ascii="Arial" w:cs="Arial" w:eastAsia="Arial" w:hAnsi="Arial"/>
          <w:sz w:val="18"/>
          <w:szCs w:val="18"/>
          <w:b w:val="1"/>
          <w:bCs w:val="1"/>
          <w:color w:val="auto"/>
        </w:rPr>
      </w:pPr>
    </w:p>
    <w:p>
      <w:pPr>
        <w:ind w:left="384" w:right="20"/>
        <w:spacing w:after="0" w:line="295" w:lineRule="auto"/>
        <w:rPr>
          <w:rFonts w:ascii="Arial" w:cs="Arial" w:eastAsia="Arial" w:hAnsi="Arial"/>
          <w:sz w:val="18"/>
          <w:szCs w:val="18"/>
          <w:b w:val="1"/>
          <w:bCs w:val="1"/>
          <w:color w:val="auto"/>
        </w:rPr>
      </w:pPr>
      <w:r>
        <w:rPr>
          <w:rFonts w:ascii="Arial" w:cs="Arial" w:eastAsia="Arial" w:hAnsi="Arial"/>
          <w:sz w:val="15"/>
          <w:szCs w:val="15"/>
          <w:color w:val="auto"/>
        </w:rPr>
        <w:t>On July 9, 2007, Sempra Energy (Sempra) and The Royal Bank of Scotland Group plc (RBS) (collectively the Members) entered into an agreement to form a partnership, RBS Sempra Commodities LLP (the Partnership or RBSSC), to purchase and operate Sempra’s commodity trading and marketing businesses. Pursuant to a Master Formation and Equity Interest Purchase Agreement, the Partnership was formed as a United Kingdom limited liability partnership, and Sempra and RBS made initial equity investments of $1,600 million and $1,665 million respectively. The Partnership concurrently purchased Sempra’s commodity trading and marketing subsidiaries (collectively, the Sempra Energy Trading Companies or SET Companies) at a price of $2,754 million (after deducting certain expenses paid by Sempra in terminating pre-existing contractual arrangements). The formation of the Partnership and the purchase of the SET Companies was effected on April 1, 2008 (Closing Date or Date of Commencement).</w:t>
      </w:r>
    </w:p>
    <w:p>
      <w:pPr>
        <w:spacing w:after="0" w:line="125" w:lineRule="exact"/>
        <w:rPr>
          <w:rFonts w:ascii="Arial" w:cs="Arial" w:eastAsia="Arial" w:hAnsi="Arial"/>
          <w:sz w:val="18"/>
          <w:szCs w:val="18"/>
          <w:b w:val="1"/>
          <w:bCs w:val="1"/>
          <w:color w:val="auto"/>
        </w:rPr>
      </w:pPr>
    </w:p>
    <w:p>
      <w:pPr>
        <w:jc w:val="both"/>
        <w:ind w:left="384" w:right="40"/>
        <w:spacing w:after="0" w:line="354" w:lineRule="auto"/>
        <w:rPr>
          <w:rFonts w:ascii="Arial" w:cs="Arial" w:eastAsia="Arial" w:hAnsi="Arial"/>
          <w:sz w:val="18"/>
          <w:szCs w:val="18"/>
          <w:b w:val="1"/>
          <w:bCs w:val="1"/>
          <w:color w:val="auto"/>
        </w:rPr>
      </w:pPr>
      <w:r>
        <w:rPr>
          <w:rFonts w:ascii="Arial" w:cs="Arial" w:eastAsia="Arial" w:hAnsi="Arial"/>
          <w:sz w:val="15"/>
          <w:szCs w:val="15"/>
          <w:color w:val="auto"/>
        </w:rPr>
        <w:t>The cost of the acquisition of $2,754 million was allocated to the assets acquired and liabilities assumed based on their respective fair values. The fair value of net assets acquired, including certain intangible assets, was $2,383 million and the excess purchase price of $371 million has been allocated to goodwill.</w:t>
      </w:r>
    </w:p>
    <w:p>
      <w:pPr>
        <w:spacing w:after="0" w:line="67" w:lineRule="exact"/>
        <w:rPr>
          <w:rFonts w:ascii="Arial" w:cs="Arial" w:eastAsia="Arial" w:hAnsi="Arial"/>
          <w:sz w:val="18"/>
          <w:szCs w:val="18"/>
          <w:b w:val="1"/>
          <w:bCs w:val="1"/>
          <w:color w:val="auto"/>
        </w:rPr>
      </w:pPr>
    </w:p>
    <w:p>
      <w:pPr>
        <w:ind w:left="384"/>
        <w:spacing w:after="0"/>
        <w:rPr>
          <w:rFonts w:ascii="Arial" w:cs="Arial" w:eastAsia="Arial" w:hAnsi="Arial"/>
          <w:sz w:val="18"/>
          <w:szCs w:val="18"/>
          <w:b w:val="1"/>
          <w:bCs w:val="1"/>
          <w:color w:val="auto"/>
        </w:rPr>
      </w:pPr>
      <w:r>
        <w:rPr>
          <w:rFonts w:ascii="Arial" w:cs="Arial" w:eastAsia="Arial" w:hAnsi="Arial"/>
          <w:sz w:val="18"/>
          <w:szCs w:val="18"/>
          <w:color w:val="auto"/>
        </w:rPr>
        <w:t>The formation and operation of the Partnership is subject to various agreements between the Members including primarily the Master Formation and Equity Interest Purchase Agreement, the Limited Liability Partnership Agreement and the Commodities Trading Activities Master Agreement. These agreements include provisions which dictate, among other matters, the rights and responsibilities of the Members, capital contributions by the Members, the formation and termination of the Partnership, the profit distributions to the Members, the execution of commodities trading activities by the joint venture, and the governance of the Partnership. As outlined in the Limited Liability Partnership Agreement the Partnership intends to distribute all of its net income annually to the Members.</w:t>
      </w:r>
    </w:p>
    <w:p>
      <w:pPr>
        <w:spacing w:after="0" w:line="163" w:lineRule="exact"/>
        <w:rPr>
          <w:rFonts w:ascii="Arial" w:cs="Arial" w:eastAsia="Arial" w:hAnsi="Arial"/>
          <w:sz w:val="18"/>
          <w:szCs w:val="18"/>
          <w:b w:val="1"/>
          <w:bCs w:val="1"/>
          <w:color w:val="auto"/>
        </w:rPr>
      </w:pPr>
    </w:p>
    <w:p>
      <w:pPr>
        <w:ind w:left="384" w:right="120"/>
        <w:spacing w:after="0" w:line="261" w:lineRule="auto"/>
        <w:rPr>
          <w:rFonts w:ascii="Arial" w:cs="Arial" w:eastAsia="Arial" w:hAnsi="Arial"/>
          <w:sz w:val="18"/>
          <w:szCs w:val="18"/>
          <w:b w:val="1"/>
          <w:bCs w:val="1"/>
          <w:color w:val="auto"/>
        </w:rPr>
      </w:pPr>
      <w:r>
        <w:rPr>
          <w:rFonts w:ascii="Arial" w:cs="Arial" w:eastAsia="Arial" w:hAnsi="Arial"/>
          <w:sz w:val="17"/>
          <w:szCs w:val="17"/>
          <w:color w:val="auto"/>
        </w:rPr>
        <w:t>The Partnership is governed by a board of seven directors, three appointed by Sempra and four by RBS. The consent of Sempra will be required before the Partnership may take certain significant actions, including materially changing the scope of the Partnership’s businesses, issuing credit support outside the ordinary course, incurring certain types of indebtedness and entering into agreements of significant size or duration, all as more fully specified in the Limited Liability Partnership Agreement. The Partnership is fully consolidated by RBS.</w:t>
      </w:r>
    </w:p>
    <w:p>
      <w:pPr>
        <w:spacing w:after="0" w:line="200" w:lineRule="exact"/>
        <w:rPr>
          <w:rFonts w:ascii="Arial" w:cs="Arial" w:eastAsia="Arial" w:hAnsi="Arial"/>
          <w:sz w:val="18"/>
          <w:szCs w:val="18"/>
          <w:b w:val="1"/>
          <w:bCs w:val="1"/>
          <w:color w:val="auto"/>
        </w:rPr>
      </w:pPr>
    </w:p>
    <w:p>
      <w:pPr>
        <w:spacing w:after="0" w:line="200" w:lineRule="exact"/>
        <w:rPr>
          <w:rFonts w:ascii="Arial" w:cs="Arial" w:eastAsia="Arial" w:hAnsi="Arial"/>
          <w:sz w:val="18"/>
          <w:szCs w:val="18"/>
          <w:b w:val="1"/>
          <w:bCs w:val="1"/>
          <w:color w:val="auto"/>
        </w:rPr>
      </w:pPr>
    </w:p>
    <w:p>
      <w:pPr>
        <w:spacing w:after="0" w:line="299" w:lineRule="exact"/>
        <w:rPr>
          <w:rFonts w:ascii="Arial" w:cs="Arial" w:eastAsia="Arial" w:hAnsi="Arial"/>
          <w:sz w:val="18"/>
          <w:szCs w:val="18"/>
          <w:b w:val="1"/>
          <w:bCs w:val="1"/>
          <w:color w:val="auto"/>
        </w:rPr>
      </w:pPr>
    </w:p>
    <w:p>
      <w:pPr>
        <w:ind w:left="5684" w:hanging="113"/>
        <w:spacing w:after="0"/>
        <w:tabs>
          <w:tab w:leader="none" w:pos="5684" w:val="left"/>
        </w:tabs>
        <w:numPr>
          <w:ilvl w:val="1"/>
          <w:numId w:val="416"/>
        </w:numPr>
        <w:rPr>
          <w:rFonts w:ascii="Arial" w:cs="Arial" w:eastAsia="Arial" w:hAnsi="Arial"/>
          <w:sz w:val="18"/>
          <w:szCs w:val="18"/>
          <w:color w:val="auto"/>
        </w:rPr>
      </w:pPr>
      <w:r>
        <w:rPr>
          <w:rFonts w:ascii="Arial" w:cs="Arial" w:eastAsia="Arial" w:hAnsi="Arial"/>
          <w:sz w:val="18"/>
          <w:szCs w:val="18"/>
          <w:color w:val="auto"/>
        </w:rPr>
        <w:t>6 -</w:t>
      </w:r>
    </w:p>
    <w:p>
      <w:pPr>
        <w:sectPr>
          <w:pgSz w:w="11900" w:h="16838" w:orient="portrait"/>
          <w:cols w:equalWidth="0" w:num="1">
            <w:col w:w="11404"/>
          </w:cols>
          <w:pgMar w:left="236" w:top="502" w:right="259" w:bottom="1440" w:gutter="0" w:footer="0" w:header="0"/>
        </w:sectPr>
      </w:pPr>
    </w:p>
    <w:bookmarkStart w:id="358" w:name="page359"/>
    <w:bookmarkEnd w:id="358"/>
    <w:p>
      <w:pPr>
        <w:ind w:left="384" w:right="80"/>
        <w:spacing w:after="0" w:line="284" w:lineRule="auto"/>
        <w:rPr>
          <w:sz w:val="20"/>
          <w:szCs w:val="20"/>
          <w:color w:val="auto"/>
        </w:rPr>
      </w:pPr>
      <w:r>
        <w:rPr>
          <w:rFonts w:ascii="Arial" w:cs="Arial" w:eastAsia="Arial" w:hAnsi="Arial"/>
          <w:sz w:val="17"/>
          <w:szCs w:val="17"/>
          <w:color w:val="auto"/>
        </w:rPr>
        <w:t>On December 1, 2008, the UK Government through HM Treasury became the ultimate controlling party of the Royal Bank of Scotland Group plc. The UK Government’s shareholding is managed by UK Financial Investments Limited, a company wholly owned by the UK Government.</w:t>
      </w:r>
    </w:p>
    <w:p>
      <w:pPr>
        <w:spacing w:after="0" w:line="108" w:lineRule="exact"/>
        <w:rPr>
          <w:sz w:val="20"/>
          <w:szCs w:val="20"/>
          <w:color w:val="auto"/>
        </w:rPr>
      </w:pPr>
    </w:p>
    <w:p>
      <w:pPr>
        <w:ind w:left="384" w:hanging="384"/>
        <w:spacing w:after="0"/>
        <w:tabs>
          <w:tab w:leader="none" w:pos="384" w:val="left"/>
        </w:tabs>
        <w:numPr>
          <w:ilvl w:val="0"/>
          <w:numId w:val="417"/>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177" w:lineRule="exact"/>
        <w:rPr>
          <w:rFonts w:ascii="Arial" w:cs="Arial" w:eastAsia="Arial" w:hAnsi="Arial"/>
          <w:sz w:val="18"/>
          <w:szCs w:val="18"/>
          <w:b w:val="1"/>
          <w:bCs w:val="1"/>
          <w:color w:val="auto"/>
        </w:rPr>
      </w:pPr>
    </w:p>
    <w:p>
      <w:pPr>
        <w:ind w:left="384"/>
        <w:spacing w:after="0" w:line="249" w:lineRule="auto"/>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Basis of Presentation </w:t>
      </w:r>
      <w:r>
        <w:rPr>
          <w:rFonts w:ascii="Arial" w:cs="Arial" w:eastAsia="Arial" w:hAnsi="Arial"/>
          <w:sz w:val="18"/>
          <w:szCs w:val="18"/>
          <w:color w:val="auto"/>
        </w:rPr>
        <w:t>— The consolidated financial statements are prepared in accordance with accounting principles generally accepted in the United</w:t>
      </w:r>
      <w:r>
        <w:rPr>
          <w:rFonts w:ascii="Arial" w:cs="Arial" w:eastAsia="Arial" w:hAnsi="Arial"/>
          <w:sz w:val="18"/>
          <w:szCs w:val="18"/>
          <w:b w:val="1"/>
          <w:bCs w:val="1"/>
          <w:color w:val="auto"/>
        </w:rPr>
        <w:t xml:space="preserve"> </w:t>
      </w:r>
      <w:r>
        <w:rPr>
          <w:rFonts w:ascii="Arial" w:cs="Arial" w:eastAsia="Arial" w:hAnsi="Arial"/>
          <w:sz w:val="18"/>
          <w:szCs w:val="18"/>
          <w:color w:val="auto"/>
        </w:rPr>
        <w:t>States of America and include the accounts of the Partnership and entities controlled by the Partnership as of December 31, 2008. All material intercompany balances and transactions have been eliminated.</w:t>
      </w:r>
    </w:p>
    <w:p>
      <w:pPr>
        <w:spacing w:after="0" w:line="154" w:lineRule="exact"/>
        <w:rPr>
          <w:rFonts w:ascii="Arial" w:cs="Arial" w:eastAsia="Arial" w:hAnsi="Arial"/>
          <w:sz w:val="18"/>
          <w:szCs w:val="18"/>
          <w:b w:val="1"/>
          <w:bCs w:val="1"/>
          <w:color w:val="auto"/>
        </w:rPr>
      </w:pPr>
    </w:p>
    <w:p>
      <w:pPr>
        <w:ind w:left="384" w:right="120"/>
        <w:spacing w:after="0" w:line="298" w:lineRule="auto"/>
        <w:rPr>
          <w:rFonts w:ascii="Arial" w:cs="Arial" w:eastAsia="Arial" w:hAnsi="Arial"/>
          <w:sz w:val="18"/>
          <w:szCs w:val="18"/>
          <w:b w:val="1"/>
          <w:bCs w:val="1"/>
          <w:color w:val="auto"/>
        </w:rPr>
      </w:pPr>
      <w:r>
        <w:rPr>
          <w:rFonts w:ascii="Arial" w:cs="Arial" w:eastAsia="Arial" w:hAnsi="Arial"/>
          <w:sz w:val="15"/>
          <w:szCs w:val="15"/>
          <w:color w:val="auto"/>
        </w:rPr>
        <w:t xml:space="preserve">The Partnership has a controlling financial interest in an entity if it owns a majority of the voting interests of the entity or is considered the primary beneficiary of the entity. Financial Accounting Standards Board (FASB) Interpretation No. 46(R), </w:t>
      </w:r>
      <w:r>
        <w:rPr>
          <w:rFonts w:ascii="Arial" w:cs="Arial" w:eastAsia="Arial" w:hAnsi="Arial"/>
          <w:sz w:val="15"/>
          <w:szCs w:val="15"/>
          <w:i w:val="1"/>
          <w:iCs w:val="1"/>
          <w:color w:val="auto"/>
        </w:rPr>
        <w:t>Consolidation of Variable Interest Entities, an</w:t>
      </w:r>
      <w:r>
        <w:rPr>
          <w:rFonts w:ascii="Arial" w:cs="Arial" w:eastAsia="Arial" w:hAnsi="Arial"/>
          <w:sz w:val="15"/>
          <w:szCs w:val="15"/>
          <w:color w:val="auto"/>
        </w:rPr>
        <w:t xml:space="preserve"> </w:t>
      </w:r>
      <w:r>
        <w:rPr>
          <w:rFonts w:ascii="Arial" w:cs="Arial" w:eastAsia="Arial" w:hAnsi="Arial"/>
          <w:sz w:val="15"/>
          <w:szCs w:val="15"/>
          <w:i w:val="1"/>
          <w:iCs w:val="1"/>
          <w:color w:val="auto"/>
        </w:rPr>
        <w:t>interpretation of ARB 51</w:t>
      </w:r>
      <w:r>
        <w:rPr>
          <w:rFonts w:ascii="Arial" w:cs="Arial" w:eastAsia="Arial" w:hAnsi="Arial"/>
          <w:sz w:val="15"/>
          <w:szCs w:val="15"/>
          <w:color w:val="auto"/>
        </w:rPr>
        <w:t>, (FIN No. 46(R)), as revised, requires that a variable interest entity (VIE) be consolidated by its primary beneficiary, who is the</w:t>
      </w:r>
      <w:r>
        <w:rPr>
          <w:rFonts w:ascii="Arial" w:cs="Arial" w:eastAsia="Arial" w:hAnsi="Arial"/>
          <w:sz w:val="15"/>
          <w:szCs w:val="15"/>
          <w:i w:val="1"/>
          <w:iCs w:val="1"/>
          <w:color w:val="auto"/>
        </w:rPr>
        <w:t xml:space="preserve"> </w:t>
      </w:r>
      <w:r>
        <w:rPr>
          <w:rFonts w:ascii="Arial" w:cs="Arial" w:eastAsia="Arial" w:hAnsi="Arial"/>
          <w:sz w:val="15"/>
          <w:szCs w:val="15"/>
          <w:color w:val="auto"/>
        </w:rPr>
        <w:t>party subject to the majority of the expected losses or the majority of the expected residual returns of the VIE, or both. The Partnership assesses its involvement with VIEs to determine whether consolidation of VIEs is required. All facts and circumstances are taken into consideration when determining whether the Partnership has variable interests that would deem it the primary beneficiary and, therefore, require consolidation of th e related VIE.</w:t>
      </w:r>
    </w:p>
    <w:p>
      <w:pPr>
        <w:spacing w:after="0" w:line="102" w:lineRule="exact"/>
        <w:rPr>
          <w:rFonts w:ascii="Arial" w:cs="Arial" w:eastAsia="Arial" w:hAnsi="Arial"/>
          <w:sz w:val="18"/>
          <w:szCs w:val="18"/>
          <w:b w:val="1"/>
          <w:bCs w:val="1"/>
          <w:color w:val="auto"/>
        </w:rPr>
      </w:pPr>
    </w:p>
    <w:p>
      <w:pPr>
        <w:ind w:left="384" w:right="60"/>
        <w:spacing w:after="0" w:line="257" w:lineRule="auto"/>
        <w:rPr>
          <w:rFonts w:ascii="Arial" w:cs="Arial" w:eastAsia="Arial" w:hAnsi="Arial"/>
          <w:sz w:val="18"/>
          <w:szCs w:val="18"/>
          <w:b w:val="1"/>
          <w:bCs w:val="1"/>
          <w:color w:val="auto"/>
        </w:rPr>
      </w:pPr>
      <w:r>
        <w:rPr>
          <w:rFonts w:ascii="Arial" w:cs="Arial" w:eastAsia="Arial" w:hAnsi="Arial"/>
          <w:sz w:val="17"/>
          <w:szCs w:val="17"/>
          <w:b w:val="1"/>
          <w:bCs w:val="1"/>
          <w:color w:val="auto"/>
        </w:rPr>
        <w:t xml:space="preserve">Trading Instruments </w:t>
      </w:r>
      <w:r>
        <w:rPr>
          <w:rFonts w:ascii="Arial" w:cs="Arial" w:eastAsia="Arial" w:hAnsi="Arial"/>
          <w:sz w:val="17"/>
          <w:szCs w:val="17"/>
          <w:color w:val="auto"/>
        </w:rPr>
        <w:t>— Trading assets and Trading liabilities are recorded on a trade-date basis. These amounts include unrealized gains and losses from</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exchange-traded futures and options and over-the-counter (OTC) swaps, forwards and options. Unrealized gains and losses on OTC derivative transactions reflect amounts which would be received from or paid to a third party upon liquidation of these contracts under current market conditions. Unrealized gains and losses on these OTC derivative transactions are reported separately as assets and liabilities unless a legal right of setoff exists under enforceable master netting agreements pursuant to FASB interpretation No. 39 </w:t>
      </w:r>
      <w:r>
        <w:rPr>
          <w:rFonts w:ascii="Arial" w:cs="Arial" w:eastAsia="Arial" w:hAnsi="Arial"/>
          <w:sz w:val="17"/>
          <w:szCs w:val="17"/>
          <w:i w:val="1"/>
          <w:iCs w:val="1"/>
          <w:color w:val="auto"/>
        </w:rPr>
        <w:t>Offsetting of amounts Related to Certain Contracts</w:t>
      </w:r>
      <w:r>
        <w:rPr>
          <w:rFonts w:ascii="Arial" w:cs="Arial" w:eastAsia="Arial" w:hAnsi="Arial"/>
          <w:sz w:val="17"/>
          <w:szCs w:val="17"/>
          <w:color w:val="auto"/>
        </w:rPr>
        <w:t xml:space="preserve"> (FIN 39). All derivative Trading assets and Trading liabilities are carried at fair value. Principal transaction revenues are recognized on a trad e-date basis and include realized gains and losses and the net change in unrealized gains and losses.</w:t>
      </w:r>
    </w:p>
    <w:p>
      <w:pPr>
        <w:spacing w:after="0" w:line="150" w:lineRule="exact"/>
        <w:rPr>
          <w:rFonts w:ascii="Arial" w:cs="Arial" w:eastAsia="Arial" w:hAnsi="Arial"/>
          <w:sz w:val="18"/>
          <w:szCs w:val="18"/>
          <w:b w:val="1"/>
          <w:bCs w:val="1"/>
          <w:color w:val="auto"/>
        </w:rPr>
      </w:pPr>
    </w:p>
    <w:p>
      <w:pPr>
        <w:ind w:left="384" w:right="280"/>
        <w:spacing w:after="0" w:line="242" w:lineRule="auto"/>
        <w:rPr>
          <w:rFonts w:ascii="Arial" w:cs="Arial" w:eastAsia="Arial" w:hAnsi="Arial"/>
          <w:sz w:val="18"/>
          <w:szCs w:val="18"/>
          <w:b w:val="1"/>
          <w:bCs w:val="1"/>
          <w:color w:val="auto"/>
        </w:rPr>
      </w:pPr>
      <w:r>
        <w:rPr>
          <w:rFonts w:ascii="Arial" w:cs="Arial" w:eastAsia="Arial" w:hAnsi="Arial"/>
          <w:sz w:val="18"/>
          <w:szCs w:val="18"/>
          <w:color w:val="auto"/>
        </w:rPr>
        <w:t>Futures and exchange-traded option transactions are recorded as contractual commitments on a trade-date basis and are carried at fair value. Commodity swaps and forward transactions are accounted for as contractual commitments on a trade-date basis and are carried at fair value derived from dealer quotations and underlying commodity exchange quotations. OTC options purchased or written are recorded on a trade-date basis and are carried at fair value.</w:t>
      </w:r>
    </w:p>
    <w:p>
      <w:pPr>
        <w:spacing w:after="0" w:line="162" w:lineRule="exact"/>
        <w:rPr>
          <w:rFonts w:ascii="Arial" w:cs="Arial" w:eastAsia="Arial" w:hAnsi="Arial"/>
          <w:sz w:val="18"/>
          <w:szCs w:val="18"/>
          <w:b w:val="1"/>
          <w:bCs w:val="1"/>
          <w:color w:val="auto"/>
        </w:rPr>
      </w:pPr>
    </w:p>
    <w:p>
      <w:pPr>
        <w:jc w:val="both"/>
        <w:ind w:left="384" w:right="100"/>
        <w:spacing w:after="0" w:line="290" w:lineRule="auto"/>
        <w:rPr>
          <w:rFonts w:ascii="Arial" w:cs="Arial" w:eastAsia="Arial" w:hAnsi="Arial"/>
          <w:sz w:val="18"/>
          <w:szCs w:val="18"/>
          <w:b w:val="1"/>
          <w:bCs w:val="1"/>
          <w:color w:val="auto"/>
        </w:rPr>
      </w:pPr>
      <w:r>
        <w:rPr>
          <w:rFonts w:ascii="Arial" w:cs="Arial" w:eastAsia="Arial" w:hAnsi="Arial"/>
          <w:sz w:val="15"/>
          <w:szCs w:val="15"/>
          <w:color w:val="auto"/>
        </w:rPr>
        <w:t>Fair values for trading instruments not quoted in an active market are determined using appropriate valuation techniques, including discounting future cash flows, option pricing models and other methods that are consistent with accepted economic methodologies for pricing trading instruments. These valuation techniques utilize, among other things, available market information, including current interest rates, commodity prices and volatility rates, as applicable.</w:t>
      </w:r>
    </w:p>
    <w:p>
      <w:pPr>
        <w:spacing w:after="0" w:line="1" w:lineRule="exact"/>
        <w:rPr>
          <w:rFonts w:ascii="Arial" w:cs="Arial" w:eastAsia="Arial" w:hAnsi="Arial"/>
          <w:sz w:val="18"/>
          <w:szCs w:val="18"/>
          <w:b w:val="1"/>
          <w:bCs w:val="1"/>
          <w:color w:val="auto"/>
        </w:rPr>
      </w:pPr>
    </w:p>
    <w:p>
      <w:pPr>
        <w:ind w:left="384" w:right="600"/>
        <w:spacing w:after="0" w:line="334" w:lineRule="auto"/>
        <w:rPr>
          <w:rFonts w:ascii="Arial" w:cs="Arial" w:eastAsia="Arial" w:hAnsi="Arial"/>
          <w:sz w:val="18"/>
          <w:szCs w:val="18"/>
          <w:b w:val="1"/>
          <w:bCs w:val="1"/>
          <w:color w:val="auto"/>
        </w:rPr>
      </w:pPr>
      <w:r>
        <w:rPr>
          <w:rFonts w:ascii="Arial" w:cs="Arial" w:eastAsia="Arial" w:hAnsi="Arial"/>
          <w:sz w:val="15"/>
          <w:szCs w:val="15"/>
          <w:color w:val="auto"/>
        </w:rPr>
        <w:t>Where market information is not available or where management deems appropriate, current interest rates, commodity prices and volatility rates are estimated by reference to current market levels. Given the nature, size and timing of transactions, estimated values may differ from realized values.</w:t>
      </w:r>
    </w:p>
    <w:p>
      <w:pPr>
        <w:spacing w:after="0" w:line="76" w:lineRule="exact"/>
        <w:rPr>
          <w:rFonts w:ascii="Arial" w:cs="Arial" w:eastAsia="Arial" w:hAnsi="Arial"/>
          <w:sz w:val="18"/>
          <w:szCs w:val="18"/>
          <w:b w:val="1"/>
          <w:bCs w:val="1"/>
          <w:color w:val="auto"/>
        </w:rPr>
      </w:pPr>
    </w:p>
    <w:p>
      <w:pPr>
        <w:ind w:left="384" w:right="60"/>
        <w:spacing w:after="0" w:line="262" w:lineRule="auto"/>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Cash and Cash Equivalents </w:t>
      </w:r>
      <w:r>
        <w:rPr>
          <w:rFonts w:ascii="Arial" w:cs="Arial" w:eastAsia="Arial" w:hAnsi="Arial"/>
          <w:sz w:val="18"/>
          <w:szCs w:val="18"/>
          <w:color w:val="auto"/>
        </w:rPr>
        <w:t>— Cash and cash equivalents are comprised of cash on hand, demand deposits and other short-term highly liquid investments</w:t>
      </w:r>
      <w:r>
        <w:rPr>
          <w:rFonts w:ascii="Arial" w:cs="Arial" w:eastAsia="Arial" w:hAnsi="Arial"/>
          <w:sz w:val="18"/>
          <w:szCs w:val="18"/>
          <w:b w:val="1"/>
          <w:bCs w:val="1"/>
          <w:color w:val="auto"/>
        </w:rPr>
        <w:t xml:space="preserve"> </w:t>
      </w:r>
      <w:r>
        <w:rPr>
          <w:rFonts w:ascii="Arial" w:cs="Arial" w:eastAsia="Arial" w:hAnsi="Arial"/>
          <w:sz w:val="18"/>
          <w:szCs w:val="18"/>
          <w:color w:val="auto"/>
        </w:rPr>
        <w:t>(with original maturities of three months or less)</w:t>
      </w:r>
    </w:p>
    <w:p>
      <w:pPr>
        <w:spacing w:after="0" w:line="200" w:lineRule="exact"/>
        <w:rPr>
          <w:rFonts w:ascii="Arial" w:cs="Arial" w:eastAsia="Arial" w:hAnsi="Arial"/>
          <w:sz w:val="18"/>
          <w:szCs w:val="18"/>
          <w:b w:val="1"/>
          <w:bCs w:val="1"/>
          <w:color w:val="auto"/>
        </w:rPr>
      </w:pPr>
    </w:p>
    <w:p>
      <w:pPr>
        <w:spacing w:after="0" w:line="200" w:lineRule="exact"/>
        <w:rPr>
          <w:rFonts w:ascii="Arial" w:cs="Arial" w:eastAsia="Arial" w:hAnsi="Arial"/>
          <w:sz w:val="18"/>
          <w:szCs w:val="18"/>
          <w:b w:val="1"/>
          <w:bCs w:val="1"/>
          <w:color w:val="auto"/>
        </w:rPr>
      </w:pPr>
    </w:p>
    <w:p>
      <w:pPr>
        <w:spacing w:after="0" w:line="307" w:lineRule="exact"/>
        <w:rPr>
          <w:rFonts w:ascii="Arial" w:cs="Arial" w:eastAsia="Arial" w:hAnsi="Arial"/>
          <w:sz w:val="18"/>
          <w:szCs w:val="18"/>
          <w:b w:val="1"/>
          <w:bCs w:val="1"/>
          <w:color w:val="auto"/>
        </w:rPr>
      </w:pPr>
    </w:p>
    <w:p>
      <w:pPr>
        <w:ind w:left="5684" w:hanging="113"/>
        <w:spacing w:after="0"/>
        <w:tabs>
          <w:tab w:leader="none" w:pos="5684" w:val="left"/>
        </w:tabs>
        <w:numPr>
          <w:ilvl w:val="1"/>
          <w:numId w:val="417"/>
        </w:numPr>
        <w:rPr>
          <w:rFonts w:ascii="Arial" w:cs="Arial" w:eastAsia="Arial" w:hAnsi="Arial"/>
          <w:sz w:val="18"/>
          <w:szCs w:val="18"/>
          <w:color w:val="auto"/>
        </w:rPr>
      </w:pPr>
      <w:r>
        <w:rPr>
          <w:rFonts w:ascii="Arial" w:cs="Arial" w:eastAsia="Arial" w:hAnsi="Arial"/>
          <w:sz w:val="18"/>
          <w:szCs w:val="18"/>
          <w:color w:val="auto"/>
        </w:rPr>
        <w:t>7 -</w:t>
      </w:r>
    </w:p>
    <w:p>
      <w:pPr>
        <w:sectPr>
          <w:pgSz w:w="11900" w:h="16838" w:orient="portrait"/>
          <w:cols w:equalWidth="0" w:num="1">
            <w:col w:w="11404"/>
          </w:cols>
          <w:pgMar w:left="236" w:top="509" w:right="259" w:bottom="1440" w:gutter="0" w:footer="0" w:header="0"/>
        </w:sectPr>
      </w:pPr>
    </w:p>
    <w:bookmarkStart w:id="359" w:name="page360"/>
    <w:bookmarkEnd w:id="359"/>
    <w:p>
      <w:pPr>
        <w:spacing w:after="0"/>
        <w:rPr>
          <w:sz w:val="20"/>
          <w:szCs w:val="20"/>
          <w:color w:val="auto"/>
        </w:rPr>
      </w:pPr>
      <w:r>
        <w:rPr>
          <w:rFonts w:ascii="Arial" w:cs="Arial" w:eastAsia="Arial" w:hAnsi="Arial"/>
          <w:sz w:val="18"/>
          <w:szCs w:val="18"/>
          <w:color w:val="auto"/>
        </w:rPr>
        <w:t>which are subject to an insignificant risk of changes in value. Cash paid for interest approximates interest expense.</w:t>
      </w:r>
    </w:p>
    <w:p>
      <w:pPr>
        <w:spacing w:after="0" w:line="171" w:lineRule="exact"/>
        <w:rPr>
          <w:sz w:val="20"/>
          <w:szCs w:val="20"/>
          <w:color w:val="auto"/>
        </w:rPr>
      </w:pPr>
    </w:p>
    <w:p>
      <w:pPr>
        <w:jc w:val="both"/>
        <w:ind w:right="120"/>
        <w:spacing w:after="0" w:line="310" w:lineRule="auto"/>
        <w:rPr>
          <w:sz w:val="20"/>
          <w:szCs w:val="20"/>
          <w:color w:val="auto"/>
        </w:rPr>
      </w:pPr>
      <w:r>
        <w:rPr>
          <w:rFonts w:ascii="Arial" w:cs="Arial" w:eastAsia="Arial" w:hAnsi="Arial"/>
          <w:sz w:val="15"/>
          <w:szCs w:val="15"/>
          <w:b w:val="1"/>
          <w:bCs w:val="1"/>
          <w:color w:val="auto"/>
        </w:rPr>
        <w:t xml:space="preserve">Investments in Marketable Securities </w:t>
      </w:r>
      <w:r>
        <w:rPr>
          <w:rFonts w:ascii="Arial" w:cs="Arial" w:eastAsia="Arial" w:hAnsi="Arial"/>
          <w:sz w:val="15"/>
          <w:szCs w:val="15"/>
          <w:color w:val="auto"/>
        </w:rPr>
        <w:t>— Investments in marketable securities are accounted for on a specific identification basis and are reported at fair</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value, in accordance with Statement of Financial Accounting Standards (SFAS) No. 115 </w:t>
      </w:r>
      <w:r>
        <w:rPr>
          <w:rFonts w:ascii="Arial" w:cs="Arial" w:eastAsia="Arial" w:hAnsi="Arial"/>
          <w:sz w:val="15"/>
          <w:szCs w:val="15"/>
          <w:i w:val="1"/>
          <w:iCs w:val="1"/>
          <w:color w:val="auto"/>
        </w:rPr>
        <w:t>Accounting for Certain Investments in Debt and Equity Securities</w:t>
      </w:r>
      <w:r>
        <w:rPr>
          <w:rFonts w:ascii="Arial" w:cs="Arial" w:eastAsia="Arial" w:hAnsi="Arial"/>
          <w:sz w:val="15"/>
          <w:szCs w:val="15"/>
          <w:color w:val="auto"/>
        </w:rPr>
        <w:t xml:space="preserve"> including reviews for impairment. Unrealized gains and losses on available-for-sale securities are included in Accumulated Other Comprehensive Income (Loss) (AOCI), net of taxes. Unrealized gains and losses on trading securities are recorded in income.</w:t>
      </w:r>
    </w:p>
    <w:p>
      <w:pPr>
        <w:spacing w:after="0" w:line="94" w:lineRule="exact"/>
        <w:rPr>
          <w:sz w:val="20"/>
          <w:szCs w:val="20"/>
          <w:color w:val="auto"/>
        </w:rPr>
      </w:pPr>
    </w:p>
    <w:p>
      <w:pPr>
        <w:spacing w:after="0" w:line="243" w:lineRule="auto"/>
        <w:rPr>
          <w:sz w:val="20"/>
          <w:szCs w:val="20"/>
          <w:color w:val="auto"/>
        </w:rPr>
      </w:pPr>
      <w:r>
        <w:rPr>
          <w:rFonts w:ascii="Arial" w:cs="Arial" w:eastAsia="Arial" w:hAnsi="Arial"/>
          <w:sz w:val="18"/>
          <w:szCs w:val="18"/>
          <w:b w:val="1"/>
          <w:bCs w:val="1"/>
          <w:color w:val="auto"/>
        </w:rPr>
        <w:t xml:space="preserve">Investments in Unconsolidated Affiliates </w:t>
      </w:r>
      <w:r>
        <w:rPr>
          <w:rFonts w:ascii="Arial" w:cs="Arial" w:eastAsia="Arial" w:hAnsi="Arial"/>
          <w:sz w:val="18"/>
          <w:szCs w:val="18"/>
          <w:color w:val="auto"/>
        </w:rPr>
        <w:t>— Investments in affiliated companies are accounted for under the equity method when the Partnership has an</w:t>
      </w:r>
      <w:r>
        <w:rPr>
          <w:rFonts w:ascii="Arial" w:cs="Arial" w:eastAsia="Arial" w:hAnsi="Arial"/>
          <w:sz w:val="18"/>
          <w:szCs w:val="18"/>
          <w:b w:val="1"/>
          <w:bCs w:val="1"/>
          <w:color w:val="auto"/>
        </w:rPr>
        <w:t xml:space="preserve"> </w:t>
      </w:r>
      <w:r>
        <w:rPr>
          <w:rFonts w:ascii="Arial" w:cs="Arial" w:eastAsia="Arial" w:hAnsi="Arial"/>
          <w:sz w:val="18"/>
          <w:szCs w:val="18"/>
          <w:color w:val="auto"/>
        </w:rPr>
        <w:t>ownership interest between 20% and 50% and is deemed to have significant influence but not control. The Partnership’s percentage ownership of the affiliates’ net assets are included in Prepaid and other assets, and are adjusted for the Partnership’s share of each investee’s earnings or losses, dividends and foreign currency translation effects, if any. Equity earnings or losses are recorded net of income tax recorded by the affiliate as a separate caption on the Consolidated Statement of Income.</w:t>
      </w:r>
    </w:p>
    <w:p>
      <w:pPr>
        <w:spacing w:after="0" w:line="153" w:lineRule="exact"/>
        <w:rPr>
          <w:sz w:val="20"/>
          <w:szCs w:val="20"/>
          <w:color w:val="auto"/>
        </w:rPr>
      </w:pPr>
    </w:p>
    <w:p>
      <w:pPr>
        <w:jc w:val="both"/>
        <w:ind w:right="460"/>
        <w:spacing w:after="0" w:line="249" w:lineRule="auto"/>
        <w:rPr>
          <w:sz w:val="20"/>
          <w:szCs w:val="20"/>
          <w:color w:val="auto"/>
        </w:rPr>
      </w:pPr>
      <w:r>
        <w:rPr>
          <w:rFonts w:ascii="Arial" w:cs="Arial" w:eastAsia="Arial" w:hAnsi="Arial"/>
          <w:sz w:val="18"/>
          <w:szCs w:val="18"/>
          <w:b w:val="1"/>
          <w:bCs w:val="1"/>
          <w:color w:val="auto"/>
        </w:rPr>
        <w:t xml:space="preserve">Commodities Owned </w:t>
      </w:r>
      <w:r>
        <w:rPr>
          <w:rFonts w:ascii="Arial" w:cs="Arial" w:eastAsia="Arial" w:hAnsi="Arial"/>
          <w:sz w:val="18"/>
          <w:szCs w:val="18"/>
          <w:color w:val="auto"/>
        </w:rPr>
        <w:t>— Commodities owned are recorded on a trade-date basis. Natural gas, oil and other non-base metal physical commodities are</w:t>
      </w:r>
      <w:r>
        <w:rPr>
          <w:rFonts w:ascii="Arial" w:cs="Arial" w:eastAsia="Arial" w:hAnsi="Arial"/>
          <w:sz w:val="18"/>
          <w:szCs w:val="18"/>
          <w:b w:val="1"/>
          <w:bCs w:val="1"/>
          <w:color w:val="auto"/>
        </w:rPr>
        <w:t xml:space="preserve"> </w:t>
      </w:r>
      <w:r>
        <w:rPr>
          <w:rFonts w:ascii="Arial" w:cs="Arial" w:eastAsia="Arial" w:hAnsi="Arial"/>
          <w:sz w:val="18"/>
          <w:szCs w:val="18"/>
          <w:color w:val="auto"/>
        </w:rPr>
        <w:t>carried on a lower-of-cost-or-market basis. When a specific contract cost of new inventory cannot be determined, the Partnership uses the appropriate market index at the time of purchase as the cost basis.</w:t>
      </w:r>
    </w:p>
    <w:p>
      <w:pPr>
        <w:spacing w:after="0" w:line="149" w:lineRule="exact"/>
        <w:rPr>
          <w:sz w:val="20"/>
          <w:szCs w:val="20"/>
          <w:color w:val="auto"/>
        </w:rPr>
      </w:pPr>
    </w:p>
    <w:p>
      <w:pPr>
        <w:ind w:right="40"/>
        <w:spacing w:after="0" w:line="245" w:lineRule="auto"/>
        <w:rPr>
          <w:sz w:val="20"/>
          <w:szCs w:val="20"/>
          <w:color w:val="auto"/>
        </w:rPr>
      </w:pPr>
      <w:r>
        <w:rPr>
          <w:rFonts w:ascii="Arial" w:cs="Arial" w:eastAsia="Arial" w:hAnsi="Arial"/>
          <w:sz w:val="18"/>
          <w:szCs w:val="18"/>
          <w:b w:val="1"/>
          <w:bCs w:val="1"/>
          <w:color w:val="auto"/>
        </w:rPr>
        <w:t xml:space="preserve">Property, Plant and Equipment </w:t>
      </w:r>
      <w:r>
        <w:rPr>
          <w:rFonts w:ascii="Arial" w:cs="Arial" w:eastAsia="Arial" w:hAnsi="Arial"/>
          <w:sz w:val="18"/>
          <w:szCs w:val="18"/>
          <w:color w:val="auto"/>
        </w:rPr>
        <w:t>— Property, plant and equipment is carried at cost less accumulated depreciation and amortization. Depreciation and</w:t>
      </w:r>
      <w:r>
        <w:rPr>
          <w:rFonts w:ascii="Arial" w:cs="Arial" w:eastAsia="Arial" w:hAnsi="Arial"/>
          <w:sz w:val="18"/>
          <w:szCs w:val="18"/>
          <w:b w:val="1"/>
          <w:bCs w:val="1"/>
          <w:color w:val="auto"/>
        </w:rPr>
        <w:t xml:space="preserve"> </w:t>
      </w:r>
      <w:r>
        <w:rPr>
          <w:rFonts w:ascii="Arial" w:cs="Arial" w:eastAsia="Arial" w:hAnsi="Arial"/>
          <w:sz w:val="18"/>
          <w:szCs w:val="18"/>
          <w:color w:val="auto"/>
        </w:rPr>
        <w:t>amortization are provided on a straight-line basis over the asset’s estimated useful life, generally three to five years. Leasehold improvements are amortized over the lesser of the economic useful life of the improvement or the remaining term of the lease. On a regular basis the Partnership assesses whether there is any indication that its property, plant and equipment is impaired.</w:t>
      </w:r>
    </w:p>
    <w:p>
      <w:pPr>
        <w:spacing w:after="0" w:line="140" w:lineRule="exact"/>
        <w:rPr>
          <w:sz w:val="20"/>
          <w:szCs w:val="20"/>
          <w:color w:val="auto"/>
        </w:rPr>
      </w:pPr>
    </w:p>
    <w:p>
      <w:pPr>
        <w:ind w:right="140"/>
        <w:spacing w:after="0" w:line="249" w:lineRule="auto"/>
        <w:rPr>
          <w:sz w:val="20"/>
          <w:szCs w:val="20"/>
          <w:color w:val="auto"/>
        </w:rPr>
      </w:pPr>
      <w:r>
        <w:rPr>
          <w:rFonts w:ascii="Arial" w:cs="Arial" w:eastAsia="Arial" w:hAnsi="Arial"/>
          <w:sz w:val="18"/>
          <w:szCs w:val="18"/>
          <w:b w:val="1"/>
          <w:bCs w:val="1"/>
          <w:color w:val="auto"/>
        </w:rPr>
        <w:t xml:space="preserve">Goodwill </w:t>
      </w:r>
      <w:r>
        <w:rPr>
          <w:rFonts w:ascii="Arial" w:cs="Arial" w:eastAsia="Arial" w:hAnsi="Arial"/>
          <w:sz w:val="18"/>
          <w:szCs w:val="18"/>
          <w:color w:val="auto"/>
        </w:rPr>
        <w:t>— Goodwill is the excess of the cost of an acquisition over the Partnership’s interest in the fair value of the identifiable assets acquired and</w:t>
      </w:r>
      <w:r>
        <w:rPr>
          <w:rFonts w:ascii="Arial" w:cs="Arial" w:eastAsia="Arial" w:hAnsi="Arial"/>
          <w:sz w:val="18"/>
          <w:szCs w:val="18"/>
          <w:b w:val="1"/>
          <w:bCs w:val="1"/>
          <w:color w:val="auto"/>
        </w:rPr>
        <w:t xml:space="preserve"> </w:t>
      </w:r>
      <w:r>
        <w:rPr>
          <w:rFonts w:ascii="Arial" w:cs="Arial" w:eastAsia="Arial" w:hAnsi="Arial"/>
          <w:sz w:val="18"/>
          <w:szCs w:val="18"/>
          <w:color w:val="auto"/>
        </w:rPr>
        <w:t>liabilities and contingent liabilities assumed at the date of acquisition and is recognized at cost less any accumulated impairment losses. Goodwill is tested for impairment annually or more frequently if events or changes indicate that it might be impaired.</w:t>
      </w:r>
    </w:p>
    <w:p>
      <w:pPr>
        <w:spacing w:after="0" w:line="149" w:lineRule="exact"/>
        <w:rPr>
          <w:sz w:val="20"/>
          <w:szCs w:val="20"/>
          <w:color w:val="auto"/>
        </w:rPr>
      </w:pPr>
    </w:p>
    <w:p>
      <w:pPr>
        <w:ind w:right="200"/>
        <w:spacing w:after="0" w:line="249" w:lineRule="auto"/>
        <w:rPr>
          <w:sz w:val="20"/>
          <w:szCs w:val="20"/>
          <w:color w:val="auto"/>
        </w:rPr>
      </w:pPr>
      <w:r>
        <w:rPr>
          <w:rFonts w:ascii="Arial" w:cs="Arial" w:eastAsia="Arial" w:hAnsi="Arial"/>
          <w:sz w:val="18"/>
          <w:szCs w:val="18"/>
          <w:b w:val="1"/>
          <w:bCs w:val="1"/>
          <w:color w:val="auto"/>
        </w:rPr>
        <w:t xml:space="preserve">Prepaid and Other Assets </w:t>
      </w:r>
      <w:r>
        <w:rPr>
          <w:rFonts w:ascii="Arial" w:cs="Arial" w:eastAsia="Arial" w:hAnsi="Arial"/>
          <w:sz w:val="18"/>
          <w:szCs w:val="18"/>
          <w:color w:val="auto"/>
        </w:rPr>
        <w:t>— Prepaid and other assets primarily consist of transactional tax deposits related to goods and services taxes and value added</w:t>
      </w:r>
      <w:r>
        <w:rPr>
          <w:rFonts w:ascii="Arial" w:cs="Arial" w:eastAsia="Arial" w:hAnsi="Arial"/>
          <w:sz w:val="18"/>
          <w:szCs w:val="18"/>
          <w:b w:val="1"/>
          <w:bCs w:val="1"/>
          <w:color w:val="auto"/>
        </w:rPr>
        <w:t xml:space="preserve"> </w:t>
      </w:r>
      <w:r>
        <w:rPr>
          <w:rFonts w:ascii="Arial" w:cs="Arial" w:eastAsia="Arial" w:hAnsi="Arial"/>
          <w:sz w:val="18"/>
          <w:szCs w:val="18"/>
          <w:color w:val="auto"/>
        </w:rPr>
        <w:t>taxes, net deferred tax assets, interest receivables, deposits, expenses paid in advance, certain beneficial contracts and miscellaneous other investments. Beneficial contracts are amortized over their estimated useful lives.</w:t>
      </w:r>
    </w:p>
    <w:p>
      <w:pPr>
        <w:spacing w:after="0" w:line="149" w:lineRule="exact"/>
        <w:rPr>
          <w:sz w:val="20"/>
          <w:szCs w:val="20"/>
          <w:color w:val="auto"/>
        </w:rPr>
      </w:pPr>
    </w:p>
    <w:p>
      <w:pPr>
        <w:spacing w:after="0" w:line="249" w:lineRule="auto"/>
        <w:rPr>
          <w:sz w:val="20"/>
          <w:szCs w:val="20"/>
          <w:color w:val="auto"/>
        </w:rPr>
      </w:pPr>
      <w:r>
        <w:rPr>
          <w:rFonts w:ascii="Arial" w:cs="Arial" w:eastAsia="Arial" w:hAnsi="Arial"/>
          <w:sz w:val="18"/>
          <w:szCs w:val="18"/>
          <w:b w:val="1"/>
          <w:bCs w:val="1"/>
          <w:color w:val="auto"/>
        </w:rPr>
        <w:t xml:space="preserve">Fee Income </w:t>
      </w:r>
      <w:r>
        <w:rPr>
          <w:rFonts w:ascii="Arial" w:cs="Arial" w:eastAsia="Arial" w:hAnsi="Arial"/>
          <w:sz w:val="18"/>
          <w:szCs w:val="18"/>
          <w:color w:val="auto"/>
        </w:rPr>
        <w:t>— Fee income includes fees earned by the Partnership while engaged in certain commodities trading activities, in its capacity as agent for RBS</w:t>
      </w:r>
      <w:r>
        <w:rPr>
          <w:rFonts w:ascii="Arial" w:cs="Arial" w:eastAsia="Arial" w:hAnsi="Arial"/>
          <w:sz w:val="18"/>
          <w:szCs w:val="18"/>
          <w:b w:val="1"/>
          <w:bCs w:val="1"/>
          <w:color w:val="auto"/>
        </w:rPr>
        <w:t xml:space="preserve"> </w:t>
      </w:r>
      <w:r>
        <w:rPr>
          <w:rFonts w:ascii="Arial" w:cs="Arial" w:eastAsia="Arial" w:hAnsi="Arial"/>
          <w:sz w:val="18"/>
          <w:szCs w:val="18"/>
          <w:color w:val="auto"/>
        </w:rPr>
        <w:t>as dictated by the various partnership agreements. This includes income derived from realized and unrealized gains and losses, net of associated execution costs, including interest, associated with the trading activities of the Partnership.</w:t>
      </w:r>
    </w:p>
    <w:p>
      <w:pPr>
        <w:spacing w:after="0" w:line="137" w:lineRule="exact"/>
        <w:rPr>
          <w:sz w:val="20"/>
          <w:szCs w:val="20"/>
          <w:color w:val="auto"/>
        </w:rPr>
      </w:pPr>
    </w:p>
    <w:p>
      <w:pPr>
        <w:ind w:right="260"/>
        <w:spacing w:after="0" w:line="310" w:lineRule="auto"/>
        <w:rPr>
          <w:sz w:val="20"/>
          <w:szCs w:val="20"/>
          <w:color w:val="auto"/>
        </w:rPr>
      </w:pPr>
      <w:r>
        <w:rPr>
          <w:rFonts w:ascii="Arial" w:cs="Arial" w:eastAsia="Arial" w:hAnsi="Arial"/>
          <w:sz w:val="15"/>
          <w:szCs w:val="15"/>
          <w:b w:val="1"/>
          <w:bCs w:val="1"/>
          <w:color w:val="auto"/>
        </w:rPr>
        <w:t xml:space="preserve">Income Taxes </w:t>
      </w:r>
      <w:r>
        <w:rPr>
          <w:rFonts w:ascii="Arial" w:cs="Arial" w:eastAsia="Arial" w:hAnsi="Arial"/>
          <w:sz w:val="15"/>
          <w:szCs w:val="15"/>
          <w:color w:val="auto"/>
        </w:rPr>
        <w:t>— The Partnership is a Limited Liability Partnership, incorporated under the Limited Liability Partnership Act of 2000 of the United</w:t>
      </w:r>
      <w:r>
        <w:rPr>
          <w:rFonts w:ascii="Arial" w:cs="Arial" w:eastAsia="Arial" w:hAnsi="Arial"/>
          <w:sz w:val="15"/>
          <w:szCs w:val="15"/>
          <w:b w:val="1"/>
          <w:bCs w:val="1"/>
          <w:color w:val="auto"/>
        </w:rPr>
        <w:t xml:space="preserve"> </w:t>
      </w:r>
      <w:r>
        <w:rPr>
          <w:rFonts w:ascii="Arial" w:cs="Arial" w:eastAsia="Arial" w:hAnsi="Arial"/>
          <w:sz w:val="15"/>
          <w:szCs w:val="15"/>
          <w:color w:val="auto"/>
        </w:rPr>
        <w:t>Kingdom and the regulations made thereunder. For U.S. purposes the Partnership elected to be treated as a partnership for federal, state and local filings. Each member is responsible for reporting its income or loss based on its share of the income and expenses. Certain subsidiaries of the Partnership are subject to tax in foreign jurisdictions where such subsidiary entity may be treated as a corporation under local tax law.</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- 8 -</w:t>
      </w:r>
    </w:p>
    <w:p>
      <w:pPr>
        <w:sectPr>
          <w:pgSz w:w="11900" w:h="16838" w:orient="portrait"/>
          <w:cols w:equalWidth="0" w:num="1">
            <w:col w:w="11000"/>
          </w:cols>
          <w:pgMar w:left="620" w:top="509" w:right="279" w:bottom="1440" w:gutter="0" w:footer="0" w:header="0"/>
        </w:sectPr>
      </w:pPr>
    </w:p>
    <w:bookmarkStart w:id="360" w:name="page361"/>
    <w:bookmarkEnd w:id="360"/>
    <w:p>
      <w:pPr>
        <w:ind w:right="40"/>
        <w:spacing w:after="0" w:line="243" w:lineRule="auto"/>
        <w:rPr>
          <w:sz w:val="20"/>
          <w:szCs w:val="20"/>
          <w:color w:val="auto"/>
        </w:rPr>
      </w:pPr>
      <w:r>
        <w:rPr>
          <w:rFonts w:ascii="Arial" w:cs="Arial" w:eastAsia="Arial" w:hAnsi="Arial"/>
          <w:sz w:val="18"/>
          <w:szCs w:val="18"/>
          <w:b w:val="1"/>
          <w:bCs w:val="1"/>
          <w:color w:val="auto"/>
        </w:rPr>
        <w:t xml:space="preserve">Use of Estimates </w:t>
      </w:r>
      <w:r>
        <w:rPr>
          <w:rFonts w:ascii="Arial" w:cs="Arial" w:eastAsia="Arial" w:hAnsi="Arial"/>
          <w:sz w:val="18"/>
          <w:szCs w:val="18"/>
          <w:color w:val="auto"/>
        </w:rPr>
        <w:t>— The preparation of financial statements in conformity with accounting principles generally accepted in the United States of America</w:t>
      </w:r>
      <w:r>
        <w:rPr>
          <w:rFonts w:ascii="Arial" w:cs="Arial" w:eastAsia="Arial" w:hAnsi="Arial"/>
          <w:sz w:val="18"/>
          <w:szCs w:val="18"/>
          <w:b w:val="1"/>
          <w:bCs w:val="1"/>
          <w:color w:val="auto"/>
        </w:rPr>
        <w:t xml:space="preserve"> </w:t>
      </w:r>
      <w:r>
        <w:rPr>
          <w:rFonts w:ascii="Arial" w:cs="Arial" w:eastAsia="Arial" w:hAnsi="Arial"/>
          <w:sz w:val="18"/>
          <w:szCs w:val="18"/>
          <w:color w:val="auto"/>
        </w:rPr>
        <w:t>requires management to make estimates and assumptions that affect the reported market value of assets and liabilities at the date and reporting period of the financial statements. The most important of the estimates and assumptions relate to fair value measures and the accounting for goodwill. The recorded values of these assets and liabilities may be more or less than values that might be realized, if the Partnership were to sell or close out the positions prior to maturity.</w:t>
      </w:r>
    </w:p>
    <w:p>
      <w:pPr>
        <w:spacing w:after="0" w:line="153" w:lineRule="exact"/>
        <w:rPr>
          <w:sz w:val="20"/>
          <w:szCs w:val="20"/>
          <w:color w:val="auto"/>
        </w:rPr>
      </w:pPr>
    </w:p>
    <w:p>
      <w:pPr>
        <w:ind w:right="40"/>
        <w:spacing w:after="0" w:line="249" w:lineRule="auto"/>
        <w:rPr>
          <w:sz w:val="20"/>
          <w:szCs w:val="20"/>
          <w:color w:val="auto"/>
        </w:rPr>
      </w:pPr>
      <w:r>
        <w:rPr>
          <w:rFonts w:ascii="Arial" w:cs="Arial" w:eastAsia="Arial" w:hAnsi="Arial"/>
          <w:sz w:val="18"/>
          <w:szCs w:val="18"/>
          <w:b w:val="1"/>
          <w:bCs w:val="1"/>
          <w:color w:val="auto"/>
        </w:rPr>
        <w:t xml:space="preserve">Foreign Currency Transactions </w:t>
      </w:r>
      <w:r>
        <w:rPr>
          <w:rFonts w:ascii="Arial" w:cs="Arial" w:eastAsia="Arial" w:hAnsi="Arial"/>
          <w:sz w:val="18"/>
          <w:szCs w:val="18"/>
          <w:color w:val="auto"/>
        </w:rPr>
        <w:t>— Foreign currency transactions are translated into U.S. dollars at the then current exchange rates during the reporting</w:t>
      </w:r>
      <w:r>
        <w:rPr>
          <w:rFonts w:ascii="Arial" w:cs="Arial" w:eastAsia="Arial" w:hAnsi="Arial"/>
          <w:sz w:val="18"/>
          <w:szCs w:val="18"/>
          <w:b w:val="1"/>
          <w:bCs w:val="1"/>
          <w:color w:val="auto"/>
        </w:rPr>
        <w:t xml:space="preserve"> </w:t>
      </w:r>
      <w:r>
        <w:rPr>
          <w:rFonts w:ascii="Arial" w:cs="Arial" w:eastAsia="Arial" w:hAnsi="Arial"/>
          <w:sz w:val="18"/>
          <w:szCs w:val="18"/>
          <w:color w:val="auto"/>
        </w:rPr>
        <w:t>period. Assets and liabilities denominated in foreign currencies have been converted into U.S. dollars at year-end exchange rates. Gains and losses resulting from foreign currency transactions are included in Principal transactions, net.</w:t>
      </w:r>
    </w:p>
    <w:p>
      <w:pPr>
        <w:spacing w:after="0" w:line="137" w:lineRule="exact"/>
        <w:rPr>
          <w:sz w:val="20"/>
          <w:szCs w:val="20"/>
          <w:color w:val="auto"/>
        </w:rPr>
      </w:pPr>
    </w:p>
    <w:p>
      <w:pPr>
        <w:ind w:right="120"/>
        <w:spacing w:after="0" w:line="295" w:lineRule="auto"/>
        <w:rPr>
          <w:sz w:val="20"/>
          <w:szCs w:val="20"/>
          <w:color w:val="auto"/>
        </w:rPr>
      </w:pPr>
      <w:r>
        <w:rPr>
          <w:rFonts w:ascii="Arial" w:cs="Arial" w:eastAsia="Arial" w:hAnsi="Arial"/>
          <w:sz w:val="15"/>
          <w:szCs w:val="15"/>
          <w:b w:val="1"/>
          <w:bCs w:val="1"/>
          <w:color w:val="auto"/>
        </w:rPr>
        <w:t xml:space="preserve">Recently Issued Accounting Pronouncements </w:t>
      </w:r>
      <w:r>
        <w:rPr>
          <w:rFonts w:ascii="Arial" w:cs="Arial" w:eastAsia="Arial" w:hAnsi="Arial"/>
          <w:sz w:val="15"/>
          <w:szCs w:val="15"/>
          <w:color w:val="auto"/>
        </w:rPr>
        <w:t>— In February 2008, the FASB issued FASB Staff Position FAS No. 140-3</w:t>
      </w:r>
      <w:r>
        <w:rPr>
          <w:rFonts w:ascii="Arial" w:cs="Arial" w:eastAsia="Arial" w:hAnsi="Arial"/>
          <w:sz w:val="15"/>
          <w:szCs w:val="15"/>
          <w:b w:val="1"/>
          <w:bCs w:val="1"/>
          <w:color w:val="auto"/>
        </w:rPr>
        <w:t xml:space="preserve"> </w:t>
      </w:r>
      <w:r>
        <w:rPr>
          <w:rFonts w:ascii="Arial" w:cs="Arial" w:eastAsia="Arial" w:hAnsi="Arial"/>
          <w:sz w:val="15"/>
          <w:szCs w:val="15"/>
          <w:i w:val="1"/>
          <w:iCs w:val="1"/>
          <w:color w:val="auto"/>
        </w:rPr>
        <w:t>Accounting for Transfers of</w:t>
      </w:r>
      <w:r>
        <w:rPr>
          <w:rFonts w:ascii="Arial" w:cs="Arial" w:eastAsia="Arial" w:hAnsi="Arial"/>
          <w:sz w:val="15"/>
          <w:szCs w:val="15"/>
          <w:b w:val="1"/>
          <w:bCs w:val="1"/>
          <w:color w:val="auto"/>
        </w:rPr>
        <w:t xml:space="preserve"> </w:t>
      </w:r>
      <w:r>
        <w:rPr>
          <w:rFonts w:ascii="Arial" w:cs="Arial" w:eastAsia="Arial" w:hAnsi="Arial"/>
          <w:sz w:val="15"/>
          <w:szCs w:val="15"/>
          <w:i w:val="1"/>
          <w:iCs w:val="1"/>
          <w:color w:val="auto"/>
        </w:rPr>
        <w:t xml:space="preserve">Financial Assets and Repurchase Financing Transactions </w:t>
      </w:r>
      <w:r>
        <w:rPr>
          <w:rFonts w:ascii="Arial" w:cs="Arial" w:eastAsia="Arial" w:hAnsi="Arial"/>
          <w:sz w:val="15"/>
          <w:szCs w:val="15"/>
          <w:color w:val="auto"/>
        </w:rPr>
        <w:t>(FSP 140-3). FSP 140-3 provides guidance on accounting for transfers of financial assets and</w:t>
      </w:r>
      <w:r>
        <w:rPr>
          <w:rFonts w:ascii="Arial" w:cs="Arial" w:eastAsia="Arial" w:hAnsi="Arial"/>
          <w:sz w:val="15"/>
          <w:szCs w:val="15"/>
          <w:i w:val="1"/>
          <w:iCs w:val="1"/>
          <w:color w:val="auto"/>
        </w:rPr>
        <w:t xml:space="preserve"> </w:t>
      </w:r>
      <w:r>
        <w:rPr>
          <w:rFonts w:ascii="Arial" w:cs="Arial" w:eastAsia="Arial" w:hAnsi="Arial"/>
          <w:sz w:val="15"/>
          <w:szCs w:val="15"/>
          <w:color w:val="auto"/>
        </w:rPr>
        <w:t xml:space="preserve">associated financing transactions and requires an initial transfer of a financial asset and a repurchase financing entered into contemporaneously, or in contemplation of the initial transfer, to be evaluated together as a linked transaction under SFAS No. 140 </w:t>
      </w:r>
      <w:r>
        <w:rPr>
          <w:rFonts w:ascii="Arial" w:cs="Arial" w:eastAsia="Arial" w:hAnsi="Arial"/>
          <w:sz w:val="15"/>
          <w:szCs w:val="15"/>
          <w:i w:val="1"/>
          <w:iCs w:val="1"/>
          <w:color w:val="auto"/>
        </w:rPr>
        <w:t>Accounting for Transfers and Servicing of</w:t>
      </w:r>
      <w:r>
        <w:rPr>
          <w:rFonts w:ascii="Arial" w:cs="Arial" w:eastAsia="Arial" w:hAnsi="Arial"/>
          <w:sz w:val="15"/>
          <w:szCs w:val="15"/>
          <w:color w:val="auto"/>
        </w:rPr>
        <w:t xml:space="preserve"> </w:t>
      </w:r>
      <w:r>
        <w:rPr>
          <w:rFonts w:ascii="Arial" w:cs="Arial" w:eastAsia="Arial" w:hAnsi="Arial"/>
          <w:sz w:val="15"/>
          <w:szCs w:val="15"/>
          <w:i w:val="1"/>
          <w:iCs w:val="1"/>
          <w:color w:val="auto"/>
        </w:rPr>
        <w:t xml:space="preserve">Financial Assets and Extinguishments of Liabilities a replacement of FASB Statement 125 </w:t>
      </w:r>
      <w:r>
        <w:rPr>
          <w:rFonts w:ascii="Arial" w:cs="Arial" w:eastAsia="Arial" w:hAnsi="Arial"/>
          <w:sz w:val="15"/>
          <w:szCs w:val="15"/>
          <w:color w:val="auto"/>
        </w:rPr>
        <w:t>(SFAS 140), unless certain criteria are met. If certain criteria are</w:t>
      </w:r>
      <w:r>
        <w:rPr>
          <w:rFonts w:ascii="Arial" w:cs="Arial" w:eastAsia="Arial" w:hAnsi="Arial"/>
          <w:sz w:val="15"/>
          <w:szCs w:val="15"/>
          <w:i w:val="1"/>
          <w:iCs w:val="1"/>
          <w:color w:val="auto"/>
        </w:rPr>
        <w:t xml:space="preserve"> </w:t>
      </w:r>
      <w:r>
        <w:rPr>
          <w:rFonts w:ascii="Arial" w:cs="Arial" w:eastAsia="Arial" w:hAnsi="Arial"/>
          <w:sz w:val="15"/>
          <w:szCs w:val="15"/>
          <w:color w:val="auto"/>
        </w:rPr>
        <w:t>met, the initial transfer and repurchase financing shall not be evaluated as a linked transaction under SFAS&amp;nb sp;140. FSP 140-3 is effective for fiscal years beginning after November 15, 2008 and will be applied only to new transactions entered into after the date of adoption. The Partnership does not expect the adoption of FSP 140-3 to have a material impact on the Partnership’s consolidated financial statements.</w:t>
      </w:r>
    </w:p>
    <w:p>
      <w:pPr>
        <w:spacing w:after="0" w:line="124" w:lineRule="exact"/>
        <w:rPr>
          <w:sz w:val="20"/>
          <w:szCs w:val="20"/>
          <w:color w:val="auto"/>
        </w:rPr>
      </w:pPr>
    </w:p>
    <w:p>
      <w:pPr>
        <w:ind w:right="20"/>
        <w:spacing w:after="0" w:line="298" w:lineRule="auto"/>
        <w:rPr>
          <w:sz w:val="20"/>
          <w:szCs w:val="20"/>
          <w:color w:val="auto"/>
        </w:rPr>
      </w:pPr>
      <w:r>
        <w:rPr>
          <w:rFonts w:ascii="Arial" w:cs="Arial" w:eastAsia="Arial" w:hAnsi="Arial"/>
          <w:sz w:val="15"/>
          <w:szCs w:val="15"/>
          <w:color w:val="auto"/>
        </w:rPr>
        <w:t xml:space="preserve">In March 2008, the FASB issued SFAS No. 161 </w:t>
      </w:r>
      <w:r>
        <w:rPr>
          <w:rFonts w:ascii="Arial" w:cs="Arial" w:eastAsia="Arial" w:hAnsi="Arial"/>
          <w:sz w:val="15"/>
          <w:szCs w:val="15"/>
          <w:i w:val="1"/>
          <w:iCs w:val="1"/>
          <w:color w:val="auto"/>
        </w:rPr>
        <w:t>Disclosures about Derivative Instruments and Hedging Activities</w:t>
      </w:r>
      <w:r>
        <w:rPr>
          <w:rFonts w:ascii="Arial" w:cs="Arial" w:eastAsia="Arial" w:hAnsi="Arial"/>
          <w:sz w:val="15"/>
          <w:szCs w:val="15"/>
          <w:color w:val="auto"/>
        </w:rPr>
        <w:t xml:space="preserve"> — </w:t>
      </w:r>
      <w:r>
        <w:rPr>
          <w:rFonts w:ascii="Arial" w:cs="Arial" w:eastAsia="Arial" w:hAnsi="Arial"/>
          <w:sz w:val="15"/>
          <w:szCs w:val="15"/>
          <w:i w:val="1"/>
          <w:iCs w:val="1"/>
          <w:color w:val="auto"/>
        </w:rPr>
        <w:t>an Amendment of FASB Statement</w:t>
      </w:r>
      <w:r>
        <w:rPr>
          <w:rFonts w:ascii="Arial" w:cs="Arial" w:eastAsia="Arial" w:hAnsi="Arial"/>
          <w:sz w:val="15"/>
          <w:szCs w:val="15"/>
          <w:color w:val="auto"/>
        </w:rPr>
        <w:t xml:space="preserve"> </w:t>
      </w:r>
      <w:r>
        <w:rPr>
          <w:rFonts w:ascii="Arial" w:cs="Arial" w:eastAsia="Arial" w:hAnsi="Arial"/>
          <w:sz w:val="15"/>
          <w:szCs w:val="15"/>
          <w:i w:val="1"/>
          <w:iCs w:val="1"/>
          <w:color w:val="auto"/>
        </w:rPr>
        <w:t xml:space="preserve">No. 133 </w:t>
      </w:r>
      <w:r>
        <w:rPr>
          <w:rFonts w:ascii="Arial" w:cs="Arial" w:eastAsia="Arial" w:hAnsi="Arial"/>
          <w:sz w:val="15"/>
          <w:szCs w:val="15"/>
          <w:color w:val="auto"/>
        </w:rPr>
        <w:t>(SFAS 161). SFAS 161 expands the disclosure requirements about an entities derivative instruments and hedging activities. The disclosure</w:t>
      </w:r>
      <w:r>
        <w:rPr>
          <w:rFonts w:ascii="Arial" w:cs="Arial" w:eastAsia="Arial" w:hAnsi="Arial"/>
          <w:sz w:val="15"/>
          <w:szCs w:val="15"/>
          <w:i w:val="1"/>
          <w:iCs w:val="1"/>
          <w:color w:val="auto"/>
        </w:rPr>
        <w:t xml:space="preserve"> </w:t>
      </w:r>
      <w:r>
        <w:rPr>
          <w:rFonts w:ascii="Arial" w:cs="Arial" w:eastAsia="Arial" w:hAnsi="Arial"/>
          <w:sz w:val="15"/>
          <w:szCs w:val="15"/>
          <w:color w:val="auto"/>
        </w:rPr>
        <w:t xml:space="preserve">provisions of SFAS 161 apply to all entities with derivatives subject to Statement of Financial Accounting Standards No. 133 </w:t>
      </w:r>
      <w:r>
        <w:rPr>
          <w:rFonts w:ascii="Arial" w:cs="Arial" w:eastAsia="Arial" w:hAnsi="Arial"/>
          <w:sz w:val="15"/>
          <w:szCs w:val="15"/>
          <w:i w:val="1"/>
          <w:iCs w:val="1"/>
          <w:color w:val="auto"/>
        </w:rPr>
        <w:t>Accounting for Derivative</w:t>
      </w:r>
      <w:r>
        <w:rPr>
          <w:rFonts w:ascii="Arial" w:cs="Arial" w:eastAsia="Arial" w:hAnsi="Arial"/>
          <w:sz w:val="15"/>
          <w:szCs w:val="15"/>
          <w:color w:val="auto"/>
        </w:rPr>
        <w:t xml:space="preserve"> </w:t>
      </w:r>
      <w:r>
        <w:rPr>
          <w:rFonts w:ascii="Arial" w:cs="Arial" w:eastAsia="Arial" w:hAnsi="Arial"/>
          <w:sz w:val="15"/>
          <w:szCs w:val="15"/>
          <w:i w:val="1"/>
          <w:iCs w:val="1"/>
          <w:color w:val="auto"/>
        </w:rPr>
        <w:t xml:space="preserve">Instruments and Hedging Activities </w:t>
      </w:r>
      <w:r>
        <w:rPr>
          <w:rFonts w:ascii="Arial" w:cs="Arial" w:eastAsia="Arial" w:hAnsi="Arial"/>
          <w:sz w:val="15"/>
          <w:szCs w:val="15"/>
          <w:color w:val="auto"/>
        </w:rPr>
        <w:t>(SFAS 133). The standard is effective for financial statements issued for fiscal years and interim periods beginning after</w:t>
      </w:r>
      <w:r>
        <w:rPr>
          <w:rFonts w:ascii="Arial" w:cs="Arial" w:eastAsia="Arial" w:hAnsi="Arial"/>
          <w:sz w:val="15"/>
          <w:szCs w:val="15"/>
          <w:i w:val="1"/>
          <w:iCs w:val="1"/>
          <w:color w:val="auto"/>
        </w:rPr>
        <w:t xml:space="preserve"> </w:t>
      </w:r>
      <w:r>
        <w:rPr>
          <w:rFonts w:ascii="Arial" w:cs="Arial" w:eastAsia="Arial" w:hAnsi="Arial"/>
          <w:sz w:val="15"/>
          <w:szCs w:val="15"/>
          <w:color w:val="auto"/>
        </w:rPr>
        <w:t>November 15, 2008. RBSSC will adopt the provisions of this standard on January 1, 2009. Since SFAS 161 requires only additional disclosures concerning derivatives and hedging activities, adoption will not affect the Partnership’s consolidat ed financial statements.</w:t>
      </w:r>
    </w:p>
    <w:p>
      <w:pPr>
        <w:spacing w:after="0" w:line="120" w:lineRule="exact"/>
        <w:rPr>
          <w:sz w:val="20"/>
          <w:szCs w:val="20"/>
          <w:color w:val="auto"/>
        </w:rPr>
      </w:pPr>
    </w:p>
    <w:p>
      <w:pPr>
        <w:spacing w:after="0" w:line="307" w:lineRule="auto"/>
        <w:rPr>
          <w:sz w:val="20"/>
          <w:szCs w:val="20"/>
          <w:color w:val="auto"/>
        </w:rPr>
      </w:pPr>
      <w:r>
        <w:rPr>
          <w:rFonts w:ascii="Arial" w:cs="Arial" w:eastAsia="Arial" w:hAnsi="Arial"/>
          <w:sz w:val="15"/>
          <w:szCs w:val="15"/>
          <w:color w:val="auto"/>
        </w:rPr>
        <w:t xml:space="preserve">In October 2008, the FASB issued FASB Staff Position FAS No. 157-3 </w:t>
      </w:r>
      <w:r>
        <w:rPr>
          <w:rFonts w:ascii="Arial" w:cs="Arial" w:eastAsia="Arial" w:hAnsi="Arial"/>
          <w:sz w:val="15"/>
          <w:szCs w:val="15"/>
          <w:i w:val="1"/>
          <w:iCs w:val="1"/>
          <w:color w:val="auto"/>
        </w:rPr>
        <w:t>Determining the Fair Value of a Financial Asset When the Market for The Asset is</w:t>
      </w:r>
      <w:r>
        <w:rPr>
          <w:rFonts w:ascii="Arial" w:cs="Arial" w:eastAsia="Arial" w:hAnsi="Arial"/>
          <w:sz w:val="15"/>
          <w:szCs w:val="15"/>
          <w:color w:val="auto"/>
        </w:rPr>
        <w:t xml:space="preserve"> </w:t>
      </w:r>
      <w:r>
        <w:rPr>
          <w:rFonts w:ascii="Arial" w:cs="Arial" w:eastAsia="Arial" w:hAnsi="Arial"/>
          <w:sz w:val="15"/>
          <w:szCs w:val="15"/>
          <w:i w:val="1"/>
          <w:iCs w:val="1"/>
          <w:color w:val="auto"/>
        </w:rPr>
        <w:t xml:space="preserve">Not Active </w:t>
      </w:r>
      <w:r>
        <w:rPr>
          <w:rFonts w:ascii="Arial" w:cs="Arial" w:eastAsia="Arial" w:hAnsi="Arial"/>
          <w:sz w:val="15"/>
          <w:szCs w:val="15"/>
          <w:color w:val="auto"/>
        </w:rPr>
        <w:t>(FSP FAS 157-3). FSP FAS 157-3 clarifies the application of SFAS 157 in a market that is not active and provides an example that illustrates the</w:t>
      </w:r>
      <w:r>
        <w:rPr>
          <w:rFonts w:ascii="Arial" w:cs="Arial" w:eastAsia="Arial" w:hAnsi="Arial"/>
          <w:sz w:val="15"/>
          <w:szCs w:val="15"/>
          <w:i w:val="1"/>
          <w:iCs w:val="1"/>
          <w:color w:val="auto"/>
        </w:rPr>
        <w:t xml:space="preserve"> </w:t>
      </w:r>
      <w:r>
        <w:rPr>
          <w:rFonts w:ascii="Arial" w:cs="Arial" w:eastAsia="Arial" w:hAnsi="Arial"/>
          <w:sz w:val="15"/>
          <w:szCs w:val="15"/>
          <w:color w:val="auto"/>
        </w:rPr>
        <w:t>key considerations in determining the fair value of a financial asset when the market for that financial asset is not active. FSP FAS 157-3 was effective upon issuance. The Partnership has adopted FSP FAS 157-3 and it did not have a material impact on the Partnership’s consolidated financial statements.</w:t>
      </w:r>
    </w:p>
    <w:p>
      <w:pPr>
        <w:spacing w:after="0" w:line="102" w:lineRule="exact"/>
        <w:rPr>
          <w:sz w:val="20"/>
          <w:szCs w:val="20"/>
          <w:color w:val="auto"/>
        </w:rPr>
      </w:pPr>
    </w:p>
    <w:p>
      <w:pPr>
        <w:ind w:right="40"/>
        <w:spacing w:after="0" w:line="242" w:lineRule="auto"/>
        <w:rPr>
          <w:sz w:val="20"/>
          <w:szCs w:val="20"/>
          <w:color w:val="auto"/>
        </w:rPr>
      </w:pPr>
      <w:r>
        <w:rPr>
          <w:rFonts w:ascii="Arial" w:cs="Arial" w:eastAsia="Arial" w:hAnsi="Arial"/>
          <w:sz w:val="18"/>
          <w:szCs w:val="18"/>
          <w:color w:val="auto"/>
        </w:rPr>
        <w:t xml:space="preserve">In December 2008, the FASB issued FASB Staff Position FAS No. 140-4 and FIN 46(R)-8 </w:t>
      </w:r>
      <w:r>
        <w:rPr>
          <w:rFonts w:ascii="Arial" w:cs="Arial" w:eastAsia="Arial" w:hAnsi="Arial"/>
          <w:sz w:val="18"/>
          <w:szCs w:val="18"/>
          <w:i w:val="1"/>
          <w:iCs w:val="1"/>
          <w:color w:val="auto"/>
        </w:rPr>
        <w:t>Disclosures by Public Entities (Enterprises) about Transfers of</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Financial Assets and Interests in Variable Interest Entities </w:t>
      </w:r>
      <w:r>
        <w:rPr>
          <w:rFonts w:ascii="Arial" w:cs="Arial" w:eastAsia="Arial" w:hAnsi="Arial"/>
          <w:sz w:val="18"/>
          <w:szCs w:val="18"/>
          <w:color w:val="auto"/>
        </w:rPr>
        <w:t>(FSP FAS 140-4 and FIN 46(R)-8). FSP FAS 140-4 and FIN 46(R)-8 require enhanced</w:t>
      </w:r>
      <w:r>
        <w:rPr>
          <w:rFonts w:ascii="Arial" w:cs="Arial" w:eastAsia="Arial" w:hAnsi="Arial"/>
          <w:sz w:val="18"/>
          <w:szCs w:val="18"/>
          <w:i w:val="1"/>
          <w:iCs w:val="1"/>
          <w:color w:val="auto"/>
        </w:rPr>
        <w:t xml:space="preserve"> </w:t>
      </w:r>
      <w:r>
        <w:rPr>
          <w:rFonts w:ascii="Arial" w:cs="Arial" w:eastAsia="Arial" w:hAnsi="Arial"/>
          <w:sz w:val="18"/>
          <w:szCs w:val="18"/>
          <w:color w:val="auto"/>
        </w:rPr>
        <w:t>disclosures about transfers of financial assets and interests in variable interest entities. FSP FAS 140-4 and FIN 46(R)-8 are effective for fiscal years ending after December 15, 2008. The Partnership has adopted FSP FAS 140-4 and FIN 46(R)-8.</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- 9 -</w:t>
      </w:r>
    </w:p>
    <w:p>
      <w:pPr>
        <w:sectPr>
          <w:pgSz w:w="11900" w:h="16838" w:orient="portrait"/>
          <w:cols w:equalWidth="0" w:num="1">
            <w:col w:w="11000"/>
          </w:cols>
          <w:pgMar w:left="620" w:top="503" w:right="279" w:bottom="1440" w:gutter="0" w:footer="0" w:header="0"/>
        </w:sectPr>
      </w:pPr>
    </w:p>
    <w:bookmarkStart w:id="361" w:name="page362"/>
    <w:bookmarkEnd w:id="361"/>
    <w:p>
      <w:pPr>
        <w:ind w:left="384" w:hanging="384"/>
        <w:spacing w:after="0"/>
        <w:tabs>
          <w:tab w:leader="none" w:pos="384" w:val="left"/>
        </w:tabs>
        <w:numPr>
          <w:ilvl w:val="0"/>
          <w:numId w:val="418"/>
        </w:numPr>
        <w:rPr>
          <w:rFonts w:ascii="Arial" w:cs="Arial" w:eastAsia="Arial" w:hAnsi="Arial"/>
          <w:sz w:val="18"/>
          <w:szCs w:val="18"/>
          <w:b w:val="1"/>
          <w:bCs w:val="1"/>
          <w:color w:val="auto"/>
        </w:rPr>
      </w:pPr>
      <w:r>
        <w:rPr>
          <w:rFonts w:ascii="Arial" w:cs="Arial" w:eastAsia="Arial" w:hAnsi="Arial"/>
          <w:sz w:val="18"/>
          <w:szCs w:val="18"/>
          <w:b w:val="1"/>
          <w:bCs w:val="1"/>
          <w:color w:val="auto"/>
        </w:rPr>
        <w:t>TRANSACTIONS WITH AFFILIATES</w:t>
      </w:r>
    </w:p>
    <w:p>
      <w:pPr>
        <w:spacing w:after="0" w:line="171" w:lineRule="exact"/>
        <w:rPr>
          <w:rFonts w:ascii="Arial" w:cs="Arial" w:eastAsia="Arial" w:hAnsi="Arial"/>
          <w:sz w:val="18"/>
          <w:szCs w:val="18"/>
          <w:b w:val="1"/>
          <w:bCs w:val="1"/>
          <w:color w:val="auto"/>
        </w:rPr>
      </w:pPr>
    </w:p>
    <w:p>
      <w:pPr>
        <w:ind w:left="384"/>
        <w:spacing w:after="0"/>
        <w:rPr>
          <w:rFonts w:ascii="Arial" w:cs="Arial" w:eastAsia="Arial" w:hAnsi="Arial"/>
          <w:sz w:val="18"/>
          <w:szCs w:val="18"/>
          <w:b w:val="1"/>
          <w:bCs w:val="1"/>
          <w:color w:val="auto"/>
        </w:rPr>
      </w:pPr>
      <w:r>
        <w:rPr>
          <w:rFonts w:ascii="Arial" w:cs="Arial" w:eastAsia="Arial" w:hAnsi="Arial"/>
          <w:sz w:val="18"/>
          <w:szCs w:val="18"/>
          <w:color w:val="auto"/>
        </w:rPr>
        <w:t>In the normal course of business the Partnership conducts transactions with affiliated companies.</w:t>
      </w:r>
    </w:p>
    <w:p>
      <w:pPr>
        <w:spacing w:after="0" w:line="177" w:lineRule="exact"/>
        <w:rPr>
          <w:rFonts w:ascii="Arial" w:cs="Arial" w:eastAsia="Arial" w:hAnsi="Arial"/>
          <w:sz w:val="18"/>
          <w:szCs w:val="18"/>
          <w:b w:val="1"/>
          <w:bCs w:val="1"/>
          <w:color w:val="auto"/>
        </w:rPr>
      </w:pPr>
    </w:p>
    <w:p>
      <w:pPr>
        <w:ind w:left="384" w:right="20"/>
        <w:spacing w:after="0" w:line="256" w:lineRule="auto"/>
        <w:rPr>
          <w:rFonts w:ascii="Arial" w:cs="Arial" w:eastAsia="Arial" w:hAnsi="Arial"/>
          <w:sz w:val="18"/>
          <w:szCs w:val="18"/>
          <w:b w:val="1"/>
          <w:bCs w:val="1"/>
          <w:color w:val="auto"/>
        </w:rPr>
      </w:pPr>
      <w:r>
        <w:rPr>
          <w:rFonts w:ascii="Arial" w:cs="Arial" w:eastAsia="Arial" w:hAnsi="Arial"/>
          <w:sz w:val="17"/>
          <w:szCs w:val="17"/>
          <w:color w:val="auto"/>
        </w:rPr>
        <w:t>In accordance with the Master Formation and Equity Interest Purchase Agreement, and provided the required consents are obtained, RBS will assume, and the SET Companies will novate, the rights and obligations of certain contractual arrangements of the SET Companies that existed prior to the formation of the Partnership. This will include various trading agreements and other material business contracts as defined. To the extent that such contracts have not been novated to RBS, RBS will assume the risk and rewards of ownership of those contracts through the execution of market risk index swaps with the various subsidiary companies of the Partnership. The market risk index swaps will effectively transfer the risks and rewards, related to market risk, of the contracts, along with the associated income and expenses, from certain SET Companies to RBS. However, all such risks, rewards, income and related expens es are for the Partnership’s account.</w:t>
      </w:r>
    </w:p>
    <w:p>
      <w:pPr>
        <w:spacing w:after="0" w:line="150" w:lineRule="exact"/>
        <w:rPr>
          <w:rFonts w:ascii="Arial" w:cs="Arial" w:eastAsia="Arial" w:hAnsi="Arial"/>
          <w:sz w:val="18"/>
          <w:szCs w:val="18"/>
          <w:b w:val="1"/>
          <w:bCs w:val="1"/>
          <w:color w:val="auto"/>
        </w:rPr>
      </w:pPr>
    </w:p>
    <w:p>
      <w:pPr>
        <w:ind w:left="384" w:right="22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For novated counterparties the Partnership acts as agent for RBS and receives fee income from RBS. This fee income represents realized and unrealized gains and losses, net of execution costs associated with these activities.</w:t>
      </w:r>
    </w:p>
    <w:p>
      <w:pPr>
        <w:spacing w:after="0" w:line="136" w:lineRule="exact"/>
        <w:rPr>
          <w:rFonts w:ascii="Arial" w:cs="Arial" w:eastAsia="Arial" w:hAnsi="Arial"/>
          <w:sz w:val="18"/>
          <w:szCs w:val="18"/>
          <w:b w:val="1"/>
          <w:bCs w:val="1"/>
          <w:color w:val="auto"/>
        </w:rPr>
      </w:pPr>
    </w:p>
    <w:p>
      <w:pPr>
        <w:ind w:left="384" w:right="38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The performance of certain non-novated counterparts is guaranteed by Sempra. RBS has agreed to indemnify Sempra for any associated claims under Sempra’s guarantee.</w:t>
      </w:r>
    </w:p>
    <w:p>
      <w:pPr>
        <w:spacing w:after="0" w:line="148" w:lineRule="exact"/>
        <w:rPr>
          <w:rFonts w:ascii="Arial" w:cs="Arial" w:eastAsia="Arial" w:hAnsi="Arial"/>
          <w:sz w:val="18"/>
          <w:szCs w:val="18"/>
          <w:b w:val="1"/>
          <w:bCs w:val="1"/>
          <w:color w:val="auto"/>
        </w:rPr>
      </w:pPr>
    </w:p>
    <w:p>
      <w:pPr>
        <w:ind w:left="384" w:right="600"/>
        <w:spacing w:after="0" w:line="354" w:lineRule="auto"/>
        <w:rPr>
          <w:rFonts w:ascii="Arial" w:cs="Arial" w:eastAsia="Arial" w:hAnsi="Arial"/>
          <w:sz w:val="18"/>
          <w:szCs w:val="18"/>
          <w:b w:val="1"/>
          <w:bCs w:val="1"/>
          <w:color w:val="auto"/>
        </w:rPr>
      </w:pPr>
      <w:r>
        <w:rPr>
          <w:rFonts w:ascii="Arial" w:cs="Arial" w:eastAsia="Arial" w:hAnsi="Arial"/>
          <w:sz w:val="15"/>
          <w:szCs w:val="15"/>
          <w:color w:val="auto"/>
        </w:rPr>
        <w:t>The Partnership earned interest income and incurred interest expenses with RBS related to the Partnership’s operating and investing activities. The Partnership was also allocated costs from RBS related to compensation and benefits, insurance, and professional fees for services provided.</w:t>
      </w:r>
    </w:p>
    <w:p>
      <w:pPr>
        <w:spacing w:after="0" w:line="79" w:lineRule="exact"/>
        <w:rPr>
          <w:rFonts w:ascii="Arial" w:cs="Arial" w:eastAsia="Arial" w:hAnsi="Arial"/>
          <w:sz w:val="18"/>
          <w:szCs w:val="18"/>
          <w:b w:val="1"/>
          <w:bCs w:val="1"/>
          <w:color w:val="auto"/>
        </w:rPr>
      </w:pPr>
    </w:p>
    <w:p>
      <w:pPr>
        <w:ind w:left="384"/>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The following table summarizes the Partnership’s assets and liabilities as of December 31, 2008 and the Partnership’s revenues and expenses for the period from April 1, 2008 (date of commencement) to December 31, 2008 with affiliated companies (in thousands):</w:t>
      </w:r>
    </w:p>
    <w:p>
      <w:pPr>
        <w:spacing w:after="0" w:line="173" w:lineRule="exact"/>
        <w:rPr>
          <w:sz w:val="20"/>
          <w:szCs w:val="20"/>
          <w:color w:val="auto"/>
        </w:rPr>
      </w:pPr>
    </w:p>
    <w:tbl>
      <w:tblPr>
        <w:tblLayout w:type="fixed"/>
        <w:tblInd w:w="3404" w:type="dxa"/>
        <w:tblCellMar>
          <w:top w:w="0" w:type="dxa"/>
          <w:left w:w="0" w:type="dxa"/>
          <w:bottom w:w="0" w:type="dxa"/>
          <w:right w:w="0" w:type="dxa"/>
        </w:tblCellMar>
      </w:tblPr>
      <w:tr>
        <w:trPr>
          <w:trHeight w:val="223"/>
        </w:trPr>
        <w:tc>
          <w:tcPr>
            <w:tcW w:w="3260" w:type="dxa"/>
            <w:vAlign w:val="bottom"/>
          </w:tcPr>
          <w:p>
            <w:pPr>
              <w:spacing w:after="0"/>
              <w:rPr>
                <w:sz w:val="20"/>
                <w:szCs w:val="20"/>
                <w:color w:val="auto"/>
              </w:rPr>
            </w:pPr>
            <w:r>
              <w:rPr>
                <w:rFonts w:ascii="Arial" w:cs="Arial" w:eastAsia="Arial" w:hAnsi="Arial"/>
                <w:sz w:val="18"/>
                <w:szCs w:val="18"/>
                <w:color w:val="auto"/>
              </w:rPr>
              <w:t>Assets:</w:t>
            </w:r>
          </w:p>
        </w:tc>
        <w:tc>
          <w:tcPr>
            <w:tcW w:w="1380" w:type="dxa"/>
            <w:vAlign w:val="bottom"/>
          </w:tcPr>
          <w:p>
            <w:pPr>
              <w:spacing w:after="0"/>
              <w:rPr>
                <w:sz w:val="19"/>
                <w:szCs w:val="19"/>
                <w:color w:val="auto"/>
              </w:rPr>
            </w:pPr>
          </w:p>
        </w:tc>
      </w:tr>
      <w:tr>
        <w:trPr>
          <w:trHeight w:val="228"/>
        </w:trPr>
        <w:tc>
          <w:tcPr>
            <w:tcW w:w="3260" w:type="dxa"/>
            <w:vAlign w:val="bottom"/>
          </w:tcPr>
          <w:p>
            <w:pPr>
              <w:ind w:left="220"/>
              <w:spacing w:after="0"/>
              <w:rPr>
                <w:sz w:val="20"/>
                <w:szCs w:val="20"/>
                <w:color w:val="auto"/>
              </w:rPr>
            </w:pPr>
            <w:r>
              <w:rPr>
                <w:rFonts w:ascii="Arial" w:cs="Arial" w:eastAsia="Arial" w:hAnsi="Arial"/>
                <w:sz w:val="18"/>
                <w:szCs w:val="18"/>
                <w:color w:val="auto"/>
              </w:rPr>
              <w:t>Trading assets</w:t>
            </w:r>
          </w:p>
        </w:tc>
        <w:tc>
          <w:tcPr>
            <w:tcW w:w="1380" w:type="dxa"/>
            <w:vAlign w:val="bottom"/>
          </w:tcPr>
          <w:p>
            <w:pPr>
              <w:jc w:val="right"/>
              <w:spacing w:after="0"/>
              <w:rPr>
                <w:sz w:val="20"/>
                <w:szCs w:val="20"/>
                <w:color w:val="auto"/>
              </w:rPr>
            </w:pPr>
            <w:r>
              <w:rPr>
                <w:rFonts w:ascii="Arial" w:cs="Arial" w:eastAsia="Arial" w:hAnsi="Arial"/>
                <w:sz w:val="18"/>
                <w:szCs w:val="18"/>
                <w:color w:val="auto"/>
              </w:rPr>
              <w:t>$139,850</w:t>
            </w:r>
          </w:p>
        </w:tc>
      </w:tr>
      <w:tr>
        <w:trPr>
          <w:trHeight w:val="228"/>
        </w:trPr>
        <w:tc>
          <w:tcPr>
            <w:tcW w:w="3260" w:type="dxa"/>
            <w:vAlign w:val="bottom"/>
          </w:tcPr>
          <w:p>
            <w:pPr>
              <w:ind w:left="220"/>
              <w:spacing w:after="0"/>
              <w:rPr>
                <w:sz w:val="20"/>
                <w:szCs w:val="20"/>
                <w:color w:val="auto"/>
              </w:rPr>
            </w:pPr>
            <w:r>
              <w:rPr>
                <w:rFonts w:ascii="Arial" w:cs="Arial" w:eastAsia="Arial" w:hAnsi="Arial"/>
                <w:sz w:val="18"/>
                <w:szCs w:val="18"/>
                <w:color w:val="auto"/>
              </w:rPr>
              <w:t>Receivables from affiliates — net</w:t>
            </w:r>
          </w:p>
        </w:tc>
        <w:tc>
          <w:tcPr>
            <w:tcW w:w="1380" w:type="dxa"/>
            <w:vAlign w:val="bottom"/>
          </w:tcPr>
          <w:p>
            <w:pPr>
              <w:jc w:val="right"/>
              <w:spacing w:after="0"/>
              <w:rPr>
                <w:sz w:val="20"/>
                <w:szCs w:val="20"/>
                <w:color w:val="auto"/>
              </w:rPr>
            </w:pPr>
            <w:r>
              <w:rPr>
                <w:rFonts w:ascii="Arial" w:cs="Arial" w:eastAsia="Arial" w:hAnsi="Arial"/>
                <w:sz w:val="18"/>
                <w:szCs w:val="18"/>
                <w:color w:val="auto"/>
              </w:rPr>
              <w:t>924,715</w:t>
            </w:r>
          </w:p>
        </w:tc>
      </w:tr>
      <w:tr>
        <w:trPr>
          <w:trHeight w:val="456"/>
        </w:trPr>
        <w:tc>
          <w:tcPr>
            <w:tcW w:w="3260" w:type="dxa"/>
            <w:vAlign w:val="bottom"/>
          </w:tcPr>
          <w:p>
            <w:pPr>
              <w:spacing w:after="0"/>
              <w:rPr>
                <w:sz w:val="20"/>
                <w:szCs w:val="20"/>
                <w:color w:val="auto"/>
              </w:rPr>
            </w:pPr>
            <w:r>
              <w:rPr>
                <w:rFonts w:ascii="Arial" w:cs="Arial" w:eastAsia="Arial" w:hAnsi="Arial"/>
                <w:sz w:val="18"/>
                <w:szCs w:val="18"/>
                <w:color w:val="auto"/>
              </w:rPr>
              <w:t>Liabilities:</w:t>
            </w:r>
          </w:p>
        </w:tc>
        <w:tc>
          <w:tcPr>
            <w:tcW w:w="1380" w:type="dxa"/>
            <w:vAlign w:val="bottom"/>
          </w:tcPr>
          <w:p>
            <w:pPr>
              <w:spacing w:after="0"/>
              <w:rPr>
                <w:sz w:val="24"/>
                <w:szCs w:val="24"/>
                <w:color w:val="auto"/>
              </w:rPr>
            </w:pPr>
          </w:p>
        </w:tc>
      </w:tr>
      <w:tr>
        <w:trPr>
          <w:trHeight w:val="228"/>
        </w:trPr>
        <w:tc>
          <w:tcPr>
            <w:tcW w:w="3260" w:type="dxa"/>
            <w:vAlign w:val="bottom"/>
          </w:tcPr>
          <w:p>
            <w:pPr>
              <w:ind w:left="220"/>
              <w:spacing w:after="0"/>
              <w:rPr>
                <w:sz w:val="20"/>
                <w:szCs w:val="20"/>
                <w:color w:val="auto"/>
              </w:rPr>
            </w:pPr>
            <w:r>
              <w:rPr>
                <w:rFonts w:ascii="Arial" w:cs="Arial" w:eastAsia="Arial" w:hAnsi="Arial"/>
                <w:sz w:val="18"/>
                <w:szCs w:val="18"/>
                <w:color w:val="auto"/>
              </w:rPr>
              <w:t>Trading liabilities</w:t>
            </w:r>
          </w:p>
        </w:tc>
        <w:tc>
          <w:tcPr>
            <w:tcW w:w="1380" w:type="dxa"/>
            <w:vAlign w:val="bottom"/>
          </w:tcPr>
          <w:p>
            <w:pPr>
              <w:jc w:val="right"/>
              <w:spacing w:after="0"/>
              <w:rPr>
                <w:sz w:val="20"/>
                <w:szCs w:val="20"/>
                <w:color w:val="auto"/>
              </w:rPr>
            </w:pPr>
            <w:r>
              <w:rPr>
                <w:rFonts w:ascii="Arial" w:cs="Arial" w:eastAsia="Arial" w:hAnsi="Arial"/>
                <w:sz w:val="18"/>
                <w:szCs w:val="18"/>
                <w:color w:val="auto"/>
              </w:rPr>
              <w:t>399,720</w:t>
            </w:r>
          </w:p>
        </w:tc>
      </w:tr>
      <w:tr>
        <w:trPr>
          <w:trHeight w:val="228"/>
        </w:trPr>
        <w:tc>
          <w:tcPr>
            <w:tcW w:w="3260" w:type="dxa"/>
            <w:vAlign w:val="bottom"/>
          </w:tcPr>
          <w:p>
            <w:pPr>
              <w:ind w:left="220"/>
              <w:spacing w:after="0"/>
              <w:rPr>
                <w:sz w:val="20"/>
                <w:szCs w:val="20"/>
                <w:color w:val="auto"/>
              </w:rPr>
            </w:pPr>
            <w:r>
              <w:rPr>
                <w:rFonts w:ascii="Arial" w:cs="Arial" w:eastAsia="Arial" w:hAnsi="Arial"/>
                <w:sz w:val="18"/>
                <w:szCs w:val="18"/>
                <w:color w:val="auto"/>
              </w:rPr>
              <w:t>Payables to affiliates</w:t>
            </w:r>
          </w:p>
        </w:tc>
        <w:tc>
          <w:tcPr>
            <w:tcW w:w="1380" w:type="dxa"/>
            <w:vAlign w:val="bottom"/>
          </w:tcPr>
          <w:p>
            <w:pPr>
              <w:jc w:val="right"/>
              <w:spacing w:after="0"/>
              <w:rPr>
                <w:sz w:val="20"/>
                <w:szCs w:val="20"/>
                <w:color w:val="auto"/>
              </w:rPr>
            </w:pPr>
            <w:r>
              <w:rPr>
                <w:rFonts w:ascii="Arial" w:cs="Arial" w:eastAsia="Arial" w:hAnsi="Arial"/>
                <w:sz w:val="18"/>
                <w:szCs w:val="18"/>
                <w:color w:val="auto"/>
              </w:rPr>
              <w:t>1,433</w:t>
            </w:r>
          </w:p>
        </w:tc>
      </w:tr>
      <w:tr>
        <w:trPr>
          <w:trHeight w:val="456"/>
        </w:trPr>
        <w:tc>
          <w:tcPr>
            <w:tcW w:w="3260" w:type="dxa"/>
            <w:vAlign w:val="bottom"/>
          </w:tcPr>
          <w:p>
            <w:pPr>
              <w:spacing w:after="0"/>
              <w:rPr>
                <w:sz w:val="20"/>
                <w:szCs w:val="20"/>
                <w:color w:val="auto"/>
              </w:rPr>
            </w:pPr>
            <w:r>
              <w:rPr>
                <w:rFonts w:ascii="Arial" w:cs="Arial" w:eastAsia="Arial" w:hAnsi="Arial"/>
                <w:sz w:val="18"/>
                <w:szCs w:val="18"/>
                <w:color w:val="auto"/>
              </w:rPr>
              <w:t>Revenues and expenses:</w:t>
            </w:r>
          </w:p>
        </w:tc>
        <w:tc>
          <w:tcPr>
            <w:tcW w:w="1380" w:type="dxa"/>
            <w:vAlign w:val="bottom"/>
          </w:tcPr>
          <w:p>
            <w:pPr>
              <w:spacing w:after="0"/>
              <w:rPr>
                <w:sz w:val="24"/>
                <w:szCs w:val="24"/>
                <w:color w:val="auto"/>
              </w:rPr>
            </w:pPr>
          </w:p>
        </w:tc>
      </w:tr>
      <w:tr>
        <w:trPr>
          <w:trHeight w:val="228"/>
        </w:trPr>
        <w:tc>
          <w:tcPr>
            <w:tcW w:w="3260" w:type="dxa"/>
            <w:vAlign w:val="bottom"/>
          </w:tcPr>
          <w:p>
            <w:pPr>
              <w:ind w:left="220"/>
              <w:spacing w:after="0"/>
              <w:rPr>
                <w:sz w:val="20"/>
                <w:szCs w:val="20"/>
                <w:color w:val="auto"/>
              </w:rPr>
            </w:pPr>
            <w:r>
              <w:rPr>
                <w:rFonts w:ascii="Arial" w:cs="Arial" w:eastAsia="Arial" w:hAnsi="Arial"/>
                <w:sz w:val="18"/>
                <w:szCs w:val="18"/>
                <w:color w:val="auto"/>
              </w:rPr>
              <w:t>Fee income</w:t>
            </w:r>
          </w:p>
        </w:tc>
        <w:tc>
          <w:tcPr>
            <w:tcW w:w="1380" w:type="dxa"/>
            <w:vAlign w:val="bottom"/>
          </w:tcPr>
          <w:p>
            <w:pPr>
              <w:jc w:val="right"/>
              <w:spacing w:after="0"/>
              <w:rPr>
                <w:sz w:val="20"/>
                <w:szCs w:val="20"/>
                <w:color w:val="auto"/>
              </w:rPr>
            </w:pPr>
            <w:r>
              <w:rPr>
                <w:rFonts w:ascii="Arial" w:cs="Arial" w:eastAsia="Arial" w:hAnsi="Arial"/>
                <w:sz w:val="18"/>
                <w:szCs w:val="18"/>
                <w:color w:val="auto"/>
              </w:rPr>
              <w:t>1,397,376</w:t>
            </w:r>
          </w:p>
        </w:tc>
      </w:tr>
      <w:tr>
        <w:trPr>
          <w:trHeight w:val="228"/>
        </w:trPr>
        <w:tc>
          <w:tcPr>
            <w:tcW w:w="3260" w:type="dxa"/>
            <w:vAlign w:val="bottom"/>
          </w:tcPr>
          <w:p>
            <w:pPr>
              <w:ind w:left="220"/>
              <w:spacing w:after="0"/>
              <w:rPr>
                <w:sz w:val="20"/>
                <w:szCs w:val="20"/>
                <w:color w:val="auto"/>
              </w:rPr>
            </w:pPr>
            <w:r>
              <w:rPr>
                <w:rFonts w:ascii="Arial" w:cs="Arial" w:eastAsia="Arial" w:hAnsi="Arial"/>
                <w:sz w:val="18"/>
                <w:szCs w:val="18"/>
                <w:color w:val="auto"/>
              </w:rPr>
              <w:t>Principal transactions — net</w:t>
            </w:r>
          </w:p>
        </w:tc>
        <w:tc>
          <w:tcPr>
            <w:tcW w:w="1380" w:type="dxa"/>
            <w:vAlign w:val="bottom"/>
          </w:tcPr>
          <w:p>
            <w:pPr>
              <w:jc w:val="right"/>
              <w:spacing w:after="0"/>
              <w:rPr>
                <w:sz w:val="20"/>
                <w:szCs w:val="20"/>
                <w:color w:val="auto"/>
              </w:rPr>
            </w:pPr>
            <w:r>
              <w:rPr>
                <w:rFonts w:ascii="Arial" w:cs="Arial" w:eastAsia="Arial" w:hAnsi="Arial"/>
                <w:sz w:val="18"/>
                <w:szCs w:val="18"/>
                <w:color w:val="auto"/>
              </w:rPr>
              <w:t>(2,477)</w:t>
            </w:r>
          </w:p>
        </w:tc>
      </w:tr>
      <w:tr>
        <w:trPr>
          <w:trHeight w:val="228"/>
        </w:trPr>
        <w:tc>
          <w:tcPr>
            <w:tcW w:w="3260" w:type="dxa"/>
            <w:vAlign w:val="bottom"/>
          </w:tcPr>
          <w:p>
            <w:pPr>
              <w:ind w:left="220"/>
              <w:spacing w:after="0"/>
              <w:rPr>
                <w:sz w:val="20"/>
                <w:szCs w:val="20"/>
                <w:color w:val="auto"/>
              </w:rPr>
            </w:pPr>
            <w:r>
              <w:rPr>
                <w:rFonts w:ascii="Arial" w:cs="Arial" w:eastAsia="Arial" w:hAnsi="Arial"/>
                <w:sz w:val="18"/>
                <w:szCs w:val="18"/>
                <w:color w:val="auto"/>
              </w:rPr>
              <w:t>Interest income</w:t>
            </w:r>
          </w:p>
        </w:tc>
        <w:tc>
          <w:tcPr>
            <w:tcW w:w="1380" w:type="dxa"/>
            <w:vAlign w:val="bottom"/>
          </w:tcPr>
          <w:p>
            <w:pPr>
              <w:jc w:val="right"/>
              <w:spacing w:after="0"/>
              <w:rPr>
                <w:sz w:val="20"/>
                <w:szCs w:val="20"/>
                <w:color w:val="auto"/>
              </w:rPr>
            </w:pPr>
            <w:r>
              <w:rPr>
                <w:rFonts w:ascii="Arial" w:cs="Arial" w:eastAsia="Arial" w:hAnsi="Arial"/>
                <w:sz w:val="18"/>
                <w:szCs w:val="18"/>
                <w:color w:val="auto"/>
              </w:rPr>
              <w:t>5,783</w:t>
            </w:r>
          </w:p>
        </w:tc>
      </w:tr>
      <w:tr>
        <w:trPr>
          <w:trHeight w:val="228"/>
        </w:trPr>
        <w:tc>
          <w:tcPr>
            <w:tcW w:w="3260" w:type="dxa"/>
            <w:vAlign w:val="bottom"/>
          </w:tcPr>
          <w:p>
            <w:pPr>
              <w:ind w:left="220"/>
              <w:spacing w:after="0"/>
              <w:rPr>
                <w:sz w:val="20"/>
                <w:szCs w:val="20"/>
                <w:color w:val="auto"/>
              </w:rPr>
            </w:pPr>
            <w:r>
              <w:rPr>
                <w:rFonts w:ascii="Arial" w:cs="Arial" w:eastAsia="Arial" w:hAnsi="Arial"/>
                <w:sz w:val="18"/>
                <w:szCs w:val="18"/>
                <w:color w:val="auto"/>
              </w:rPr>
              <w:t>Interest expense</w:t>
            </w:r>
          </w:p>
        </w:tc>
        <w:tc>
          <w:tcPr>
            <w:tcW w:w="1380" w:type="dxa"/>
            <w:vAlign w:val="bottom"/>
          </w:tcPr>
          <w:p>
            <w:pPr>
              <w:jc w:val="right"/>
              <w:spacing w:after="0"/>
              <w:rPr>
                <w:sz w:val="20"/>
                <w:szCs w:val="20"/>
                <w:color w:val="auto"/>
              </w:rPr>
            </w:pPr>
            <w:r>
              <w:rPr>
                <w:rFonts w:ascii="Arial" w:cs="Arial" w:eastAsia="Arial" w:hAnsi="Arial"/>
                <w:sz w:val="18"/>
                <w:szCs w:val="18"/>
                <w:color w:val="auto"/>
              </w:rPr>
              <w:t>13,895</w:t>
            </w:r>
          </w:p>
        </w:tc>
      </w:tr>
      <w:tr>
        <w:trPr>
          <w:trHeight w:val="228"/>
        </w:trPr>
        <w:tc>
          <w:tcPr>
            <w:tcW w:w="3260" w:type="dxa"/>
            <w:vAlign w:val="bottom"/>
          </w:tcPr>
          <w:p>
            <w:pPr>
              <w:ind w:left="220"/>
              <w:spacing w:after="0"/>
              <w:rPr>
                <w:sz w:val="20"/>
                <w:szCs w:val="20"/>
                <w:color w:val="auto"/>
              </w:rPr>
            </w:pPr>
            <w:r>
              <w:rPr>
                <w:rFonts w:ascii="Arial" w:cs="Arial" w:eastAsia="Arial" w:hAnsi="Arial"/>
                <w:sz w:val="18"/>
                <w:szCs w:val="18"/>
                <w:color w:val="auto"/>
              </w:rPr>
              <w:t>RBS allocated expenses</w:t>
            </w:r>
          </w:p>
        </w:tc>
        <w:tc>
          <w:tcPr>
            <w:tcW w:w="1380" w:type="dxa"/>
            <w:vAlign w:val="bottom"/>
          </w:tcPr>
          <w:p>
            <w:pPr>
              <w:jc w:val="right"/>
              <w:spacing w:after="0"/>
              <w:rPr>
                <w:sz w:val="20"/>
                <w:szCs w:val="20"/>
                <w:color w:val="auto"/>
              </w:rPr>
            </w:pPr>
            <w:r>
              <w:rPr>
                <w:rFonts w:ascii="Arial" w:cs="Arial" w:eastAsia="Arial" w:hAnsi="Arial"/>
                <w:sz w:val="18"/>
                <w:szCs w:val="18"/>
                <w:color w:val="auto"/>
              </w:rPr>
              <w:t>2,669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123"/>
        <w:spacing w:after="0"/>
        <w:rPr>
          <w:sz w:val="20"/>
          <w:szCs w:val="20"/>
          <w:color w:val="auto"/>
        </w:rPr>
      </w:pPr>
      <w:r>
        <w:rPr>
          <w:rFonts w:ascii="Arial" w:cs="Arial" w:eastAsia="Arial" w:hAnsi="Arial"/>
          <w:sz w:val="18"/>
          <w:szCs w:val="18"/>
          <w:color w:val="auto"/>
        </w:rPr>
        <w:t>- 10 -</w:t>
      </w:r>
    </w:p>
    <w:p>
      <w:pPr>
        <w:sectPr>
          <w:pgSz w:w="11900" w:h="16838" w:orient="portrait"/>
          <w:cols w:equalWidth="0" w:num="1">
            <w:col w:w="11304"/>
          </w:cols>
          <w:pgMar w:left="236" w:top="503" w:right="359" w:bottom="1440" w:gutter="0" w:footer="0" w:header="0"/>
        </w:sectPr>
      </w:pPr>
    </w:p>
    <w:bookmarkStart w:id="362" w:name="page363"/>
    <w:bookmarkEnd w:id="362"/>
    <w:p>
      <w:pPr>
        <w:ind w:left="384" w:hanging="384"/>
        <w:spacing w:after="0"/>
        <w:tabs>
          <w:tab w:leader="none" w:pos="384" w:val="left"/>
        </w:tabs>
        <w:numPr>
          <w:ilvl w:val="0"/>
          <w:numId w:val="419"/>
        </w:numPr>
        <w:rPr>
          <w:rFonts w:ascii="Arial" w:cs="Arial" w:eastAsia="Arial" w:hAnsi="Arial"/>
          <w:sz w:val="18"/>
          <w:szCs w:val="18"/>
          <w:b w:val="1"/>
          <w:bCs w:val="1"/>
          <w:color w:val="auto"/>
        </w:rPr>
      </w:pPr>
      <w:r>
        <w:rPr>
          <w:rFonts w:ascii="Arial" w:cs="Arial" w:eastAsia="Arial" w:hAnsi="Arial"/>
          <w:sz w:val="18"/>
          <w:szCs w:val="18"/>
          <w:b w:val="1"/>
          <w:bCs w:val="1"/>
          <w:color w:val="auto"/>
        </w:rPr>
        <w:t>TRADING ASSETS AND TRADING LIABILITIES</w:t>
      </w:r>
    </w:p>
    <w:p>
      <w:pPr>
        <w:spacing w:after="0" w:line="171" w:lineRule="exact"/>
        <w:rPr>
          <w:rFonts w:ascii="Arial" w:cs="Arial" w:eastAsia="Arial" w:hAnsi="Arial"/>
          <w:sz w:val="18"/>
          <w:szCs w:val="18"/>
          <w:b w:val="1"/>
          <w:bCs w:val="1"/>
          <w:color w:val="auto"/>
        </w:rPr>
      </w:pPr>
    </w:p>
    <w:p>
      <w:pPr>
        <w:ind w:left="384"/>
        <w:spacing w:after="0"/>
        <w:rPr>
          <w:rFonts w:ascii="Arial" w:cs="Arial" w:eastAsia="Arial" w:hAnsi="Arial"/>
          <w:sz w:val="18"/>
          <w:szCs w:val="18"/>
          <w:b w:val="1"/>
          <w:bCs w:val="1"/>
          <w:color w:val="auto"/>
        </w:rPr>
      </w:pPr>
      <w:r>
        <w:rPr>
          <w:rFonts w:ascii="Arial" w:cs="Arial" w:eastAsia="Arial" w:hAnsi="Arial"/>
          <w:sz w:val="18"/>
          <w:szCs w:val="18"/>
          <w:color w:val="auto"/>
        </w:rPr>
        <w:t>As of December 31, 2008, Trading assets and Trading liabilities are comprised of the following (in thousands):</w:t>
      </w:r>
    </w:p>
    <w:p>
      <w:pPr>
        <w:spacing w:after="0" w:line="213" w:lineRule="exact"/>
        <w:rPr>
          <w:sz w:val="20"/>
          <w:szCs w:val="20"/>
          <w:color w:val="auto"/>
        </w:rPr>
      </w:pPr>
    </w:p>
    <w:tbl>
      <w:tblPr>
        <w:tblLayout w:type="fixed"/>
        <w:tblInd w:w="2864" w:type="dxa"/>
        <w:tblCellMar>
          <w:top w:w="0" w:type="dxa"/>
          <w:left w:w="0" w:type="dxa"/>
          <w:bottom w:w="0" w:type="dxa"/>
          <w:right w:w="0" w:type="dxa"/>
        </w:tblCellMar>
      </w:tblPr>
      <w:tr>
        <w:trPr>
          <w:trHeight w:val="223"/>
        </w:trPr>
        <w:tc>
          <w:tcPr>
            <w:tcW w:w="4700" w:type="dxa"/>
            <w:vAlign w:val="bottom"/>
          </w:tcPr>
          <w:p>
            <w:pPr>
              <w:spacing w:after="0"/>
              <w:rPr>
                <w:sz w:val="20"/>
                <w:szCs w:val="20"/>
                <w:color w:val="auto"/>
              </w:rPr>
            </w:pPr>
            <w:r>
              <w:rPr>
                <w:rFonts w:ascii="Arial" w:cs="Arial" w:eastAsia="Arial" w:hAnsi="Arial"/>
                <w:sz w:val="18"/>
                <w:szCs w:val="18"/>
                <w:color w:val="auto"/>
              </w:rPr>
              <w:t>Trading assets:</w:t>
            </w:r>
          </w:p>
        </w:tc>
        <w:tc>
          <w:tcPr>
            <w:tcW w:w="1020" w:type="dxa"/>
            <w:vAlign w:val="bottom"/>
          </w:tcPr>
          <w:p>
            <w:pPr>
              <w:spacing w:after="0"/>
              <w:rPr>
                <w:sz w:val="19"/>
                <w:szCs w:val="19"/>
                <w:color w:val="auto"/>
              </w:rPr>
            </w:pPr>
          </w:p>
        </w:tc>
      </w:tr>
      <w:tr>
        <w:trPr>
          <w:trHeight w:val="228"/>
        </w:trPr>
        <w:tc>
          <w:tcPr>
            <w:tcW w:w="4700" w:type="dxa"/>
            <w:vAlign w:val="bottom"/>
          </w:tcPr>
          <w:p>
            <w:pPr>
              <w:ind w:left="220"/>
              <w:spacing w:after="0"/>
              <w:rPr>
                <w:sz w:val="20"/>
                <w:szCs w:val="20"/>
                <w:color w:val="auto"/>
              </w:rPr>
            </w:pPr>
            <w:r>
              <w:rPr>
                <w:rFonts w:ascii="Arial" w:cs="Arial" w:eastAsia="Arial" w:hAnsi="Arial"/>
                <w:sz w:val="18"/>
                <w:szCs w:val="18"/>
                <w:color w:val="auto"/>
              </w:rPr>
              <w:t>Unrealized gains on swaps, forwards and options</w:t>
            </w:r>
          </w:p>
        </w:tc>
        <w:tc>
          <w:tcPr>
            <w:tcW w:w="1020" w:type="dxa"/>
            <w:vAlign w:val="bottom"/>
          </w:tcPr>
          <w:p>
            <w:pPr>
              <w:jc w:val="right"/>
              <w:spacing w:after="0"/>
              <w:rPr>
                <w:sz w:val="20"/>
                <w:szCs w:val="20"/>
                <w:color w:val="auto"/>
              </w:rPr>
            </w:pPr>
            <w:r>
              <w:rPr>
                <w:rFonts w:ascii="Arial" w:cs="Arial" w:eastAsia="Arial" w:hAnsi="Arial"/>
                <w:sz w:val="18"/>
                <w:szCs w:val="18"/>
                <w:color w:val="auto"/>
              </w:rPr>
              <w:t>$3,376,475</w:t>
            </w:r>
          </w:p>
        </w:tc>
      </w:tr>
      <w:tr>
        <w:trPr>
          <w:trHeight w:val="228"/>
        </w:trPr>
        <w:tc>
          <w:tcPr>
            <w:tcW w:w="4700" w:type="dxa"/>
            <w:vAlign w:val="bottom"/>
          </w:tcPr>
          <w:p>
            <w:pPr>
              <w:ind w:left="220"/>
              <w:spacing w:after="0"/>
              <w:rPr>
                <w:sz w:val="20"/>
                <w:szCs w:val="20"/>
                <w:color w:val="auto"/>
              </w:rPr>
            </w:pPr>
            <w:r>
              <w:rPr>
                <w:rFonts w:ascii="Arial" w:cs="Arial" w:eastAsia="Arial" w:hAnsi="Arial"/>
                <w:sz w:val="18"/>
                <w:szCs w:val="18"/>
                <w:color w:val="auto"/>
              </w:rPr>
              <w:t>Due from commodity clearing brokers</w:t>
            </w:r>
          </w:p>
        </w:tc>
        <w:tc>
          <w:tcPr>
            <w:tcW w:w="1020" w:type="dxa"/>
            <w:vAlign w:val="bottom"/>
          </w:tcPr>
          <w:p>
            <w:pPr>
              <w:jc w:val="right"/>
              <w:spacing w:after="0"/>
              <w:rPr>
                <w:sz w:val="20"/>
                <w:szCs w:val="20"/>
                <w:color w:val="auto"/>
              </w:rPr>
            </w:pPr>
            <w:r>
              <w:rPr>
                <w:rFonts w:ascii="Arial" w:cs="Arial" w:eastAsia="Arial" w:hAnsi="Arial"/>
                <w:sz w:val="18"/>
                <w:szCs w:val="18"/>
                <w:color w:val="auto"/>
              </w:rPr>
              <w:t>801,114</w:t>
            </w:r>
          </w:p>
        </w:tc>
      </w:tr>
      <w:tr>
        <w:trPr>
          <w:trHeight w:val="228"/>
        </w:trPr>
        <w:tc>
          <w:tcPr>
            <w:tcW w:w="4700" w:type="dxa"/>
            <w:vAlign w:val="bottom"/>
          </w:tcPr>
          <w:p>
            <w:pPr>
              <w:ind w:left="220"/>
              <w:spacing w:after="0"/>
              <w:rPr>
                <w:sz w:val="20"/>
                <w:szCs w:val="20"/>
                <w:color w:val="auto"/>
              </w:rPr>
            </w:pPr>
            <w:r>
              <w:rPr>
                <w:rFonts w:ascii="Arial" w:cs="Arial" w:eastAsia="Arial" w:hAnsi="Arial"/>
                <w:sz w:val="18"/>
                <w:szCs w:val="18"/>
                <w:color w:val="auto"/>
              </w:rPr>
              <w:t>Due from trading counterparties</w:t>
            </w:r>
          </w:p>
        </w:tc>
        <w:tc>
          <w:tcPr>
            <w:tcW w:w="1020" w:type="dxa"/>
            <w:vAlign w:val="bottom"/>
          </w:tcPr>
          <w:p>
            <w:pPr>
              <w:jc w:val="right"/>
              <w:spacing w:after="0"/>
              <w:rPr>
                <w:sz w:val="20"/>
                <w:szCs w:val="20"/>
                <w:color w:val="auto"/>
              </w:rPr>
            </w:pPr>
            <w:r>
              <w:rPr>
                <w:rFonts w:ascii="Arial" w:cs="Arial" w:eastAsia="Arial" w:hAnsi="Arial"/>
                <w:sz w:val="18"/>
                <w:szCs w:val="18"/>
                <w:color w:val="auto"/>
              </w:rPr>
              <w:t>2,960,366</w:t>
            </w:r>
          </w:p>
        </w:tc>
      </w:tr>
      <w:tr>
        <w:trPr>
          <w:trHeight w:val="236"/>
        </w:trPr>
        <w:tc>
          <w:tcPr>
            <w:tcW w:w="4700" w:type="dxa"/>
            <w:vAlign w:val="bottom"/>
          </w:tcPr>
          <w:p>
            <w:pPr>
              <w:ind w:left="220"/>
              <w:spacing w:after="0"/>
              <w:rPr>
                <w:sz w:val="20"/>
                <w:szCs w:val="20"/>
                <w:color w:val="auto"/>
              </w:rPr>
            </w:pPr>
            <w:r>
              <w:rPr>
                <w:rFonts w:ascii="Arial" w:cs="Arial" w:eastAsia="Arial" w:hAnsi="Arial"/>
                <w:sz w:val="18"/>
                <w:szCs w:val="18"/>
                <w:color w:val="auto"/>
              </w:rPr>
              <w:t>Less — effect of netting</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(1,304,444)</w:t>
            </w:r>
          </w:p>
        </w:tc>
      </w:tr>
      <w:tr>
        <w:trPr>
          <w:trHeight w:val="236"/>
        </w:trPr>
        <w:tc>
          <w:tcPr>
            <w:tcW w:w="4700" w:type="dxa"/>
            <w:vAlign w:val="bottom"/>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$5,833,511</w:t>
            </w:r>
          </w:p>
        </w:tc>
      </w:tr>
      <w:tr>
        <w:trPr>
          <w:trHeight w:val="220"/>
        </w:trPr>
        <w:tc>
          <w:tcPr>
            <w:tcW w:w="4700" w:type="dxa"/>
            <w:vAlign w:val="bottom"/>
          </w:tcPr>
          <w:p>
            <w:pPr>
              <w:spacing w:after="0"/>
              <w:rPr>
                <w:sz w:val="20"/>
                <w:szCs w:val="20"/>
                <w:color w:val="auto"/>
              </w:rPr>
            </w:pPr>
            <w:r>
              <w:rPr>
                <w:rFonts w:ascii="Arial" w:cs="Arial" w:eastAsia="Arial" w:hAnsi="Arial"/>
                <w:sz w:val="18"/>
                <w:szCs w:val="18"/>
                <w:color w:val="auto"/>
              </w:rPr>
              <w:t>Trading liabilities:</w:t>
            </w:r>
          </w:p>
        </w:tc>
        <w:tc>
          <w:tcPr>
            <w:tcW w:w="1020" w:type="dxa"/>
            <w:vAlign w:val="bottom"/>
          </w:tcPr>
          <w:p>
            <w:pPr>
              <w:spacing w:after="0"/>
              <w:rPr>
                <w:sz w:val="19"/>
                <w:szCs w:val="19"/>
                <w:color w:val="auto"/>
              </w:rPr>
            </w:pPr>
          </w:p>
        </w:tc>
      </w:tr>
      <w:tr>
        <w:trPr>
          <w:trHeight w:val="228"/>
        </w:trPr>
        <w:tc>
          <w:tcPr>
            <w:tcW w:w="4700" w:type="dxa"/>
            <w:vAlign w:val="bottom"/>
          </w:tcPr>
          <w:p>
            <w:pPr>
              <w:ind w:left="220"/>
              <w:spacing w:after="0"/>
              <w:rPr>
                <w:sz w:val="20"/>
                <w:szCs w:val="20"/>
                <w:color w:val="auto"/>
              </w:rPr>
            </w:pPr>
            <w:r>
              <w:rPr>
                <w:rFonts w:ascii="Arial" w:cs="Arial" w:eastAsia="Arial" w:hAnsi="Arial"/>
                <w:sz w:val="18"/>
                <w:szCs w:val="18"/>
                <w:color w:val="auto"/>
              </w:rPr>
              <w:t>Unrealized losses on swaps, forwards and options</w:t>
            </w:r>
          </w:p>
        </w:tc>
        <w:tc>
          <w:tcPr>
            <w:tcW w:w="1020" w:type="dxa"/>
            <w:vAlign w:val="bottom"/>
          </w:tcPr>
          <w:p>
            <w:pPr>
              <w:jc w:val="right"/>
              <w:spacing w:after="0"/>
              <w:rPr>
                <w:sz w:val="20"/>
                <w:szCs w:val="20"/>
                <w:color w:val="auto"/>
              </w:rPr>
            </w:pPr>
            <w:r>
              <w:rPr>
                <w:rFonts w:ascii="Arial" w:cs="Arial" w:eastAsia="Arial" w:hAnsi="Arial"/>
                <w:sz w:val="18"/>
                <w:szCs w:val="18"/>
                <w:color w:val="auto"/>
              </w:rPr>
              <w:t>$3,647,342</w:t>
            </w:r>
          </w:p>
        </w:tc>
      </w:tr>
      <w:tr>
        <w:trPr>
          <w:trHeight w:val="228"/>
        </w:trPr>
        <w:tc>
          <w:tcPr>
            <w:tcW w:w="4700" w:type="dxa"/>
            <w:vAlign w:val="bottom"/>
          </w:tcPr>
          <w:p>
            <w:pPr>
              <w:ind w:left="220"/>
              <w:spacing w:after="0"/>
              <w:rPr>
                <w:sz w:val="20"/>
                <w:szCs w:val="20"/>
                <w:color w:val="auto"/>
              </w:rPr>
            </w:pPr>
            <w:r>
              <w:rPr>
                <w:rFonts w:ascii="Arial" w:cs="Arial" w:eastAsia="Arial" w:hAnsi="Arial"/>
                <w:sz w:val="18"/>
                <w:szCs w:val="18"/>
                <w:color w:val="auto"/>
              </w:rPr>
              <w:t>Due to trading counterparties</w:t>
            </w:r>
          </w:p>
        </w:tc>
        <w:tc>
          <w:tcPr>
            <w:tcW w:w="1020" w:type="dxa"/>
            <w:vAlign w:val="bottom"/>
          </w:tcPr>
          <w:p>
            <w:pPr>
              <w:jc w:val="right"/>
              <w:spacing w:after="0"/>
              <w:rPr>
                <w:sz w:val="20"/>
                <w:szCs w:val="20"/>
                <w:color w:val="auto"/>
              </w:rPr>
            </w:pPr>
            <w:r>
              <w:rPr>
                <w:rFonts w:ascii="Arial" w:cs="Arial" w:eastAsia="Arial" w:hAnsi="Arial"/>
                <w:sz w:val="18"/>
                <w:szCs w:val="18"/>
                <w:color w:val="auto"/>
              </w:rPr>
              <w:t>2,178,251</w:t>
            </w:r>
          </w:p>
        </w:tc>
      </w:tr>
      <w:tr>
        <w:trPr>
          <w:trHeight w:val="236"/>
        </w:trPr>
        <w:tc>
          <w:tcPr>
            <w:tcW w:w="4700" w:type="dxa"/>
            <w:vAlign w:val="bottom"/>
          </w:tcPr>
          <w:p>
            <w:pPr>
              <w:ind w:left="220"/>
              <w:spacing w:after="0"/>
              <w:rPr>
                <w:sz w:val="20"/>
                <w:szCs w:val="20"/>
                <w:color w:val="auto"/>
              </w:rPr>
            </w:pPr>
            <w:r>
              <w:rPr>
                <w:rFonts w:ascii="Arial" w:cs="Arial" w:eastAsia="Arial" w:hAnsi="Arial"/>
                <w:sz w:val="18"/>
                <w:szCs w:val="18"/>
                <w:color w:val="auto"/>
              </w:rPr>
              <w:t>Less — effect of netting</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(1,304,444)</w:t>
            </w:r>
          </w:p>
        </w:tc>
      </w:tr>
      <w:tr>
        <w:trPr>
          <w:trHeight w:val="236"/>
        </w:trPr>
        <w:tc>
          <w:tcPr>
            <w:tcW w:w="4700" w:type="dxa"/>
            <w:vAlign w:val="bottom"/>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$4,521,149</w:t>
            </w:r>
          </w:p>
        </w:tc>
      </w:tr>
    </w:tbl>
    <w:p>
      <w:pPr>
        <w:spacing w:after="0" w:line="340" w:lineRule="exact"/>
        <w:rPr>
          <w:sz w:val="20"/>
          <w:szCs w:val="20"/>
          <w:color w:val="auto"/>
        </w:rPr>
      </w:pPr>
    </w:p>
    <w:p>
      <w:pPr>
        <w:ind w:left="384" w:hanging="384"/>
        <w:spacing w:after="0"/>
        <w:tabs>
          <w:tab w:leader="none" w:pos="384" w:val="left"/>
        </w:tabs>
        <w:numPr>
          <w:ilvl w:val="0"/>
          <w:numId w:val="420"/>
        </w:numPr>
        <w:rPr>
          <w:rFonts w:ascii="Arial" w:cs="Arial" w:eastAsia="Arial" w:hAnsi="Arial"/>
          <w:sz w:val="18"/>
          <w:szCs w:val="18"/>
          <w:b w:val="1"/>
          <w:bCs w:val="1"/>
          <w:color w:val="auto"/>
        </w:rPr>
      </w:pPr>
      <w:r>
        <w:rPr>
          <w:rFonts w:ascii="Arial" w:cs="Arial" w:eastAsia="Arial" w:hAnsi="Arial"/>
          <w:sz w:val="18"/>
          <w:szCs w:val="18"/>
          <w:b w:val="1"/>
          <w:bCs w:val="1"/>
          <w:color w:val="auto"/>
        </w:rPr>
        <w:t>DERIVATIVES AND HEDGING ACTIVITIES</w:t>
      </w:r>
    </w:p>
    <w:p>
      <w:pPr>
        <w:spacing w:after="0" w:line="183" w:lineRule="exact"/>
        <w:rPr>
          <w:rFonts w:ascii="Arial" w:cs="Arial" w:eastAsia="Arial" w:hAnsi="Arial"/>
          <w:sz w:val="18"/>
          <w:szCs w:val="18"/>
          <w:b w:val="1"/>
          <w:bCs w:val="1"/>
          <w:color w:val="auto"/>
        </w:rPr>
      </w:pPr>
    </w:p>
    <w:p>
      <w:pPr>
        <w:ind w:left="384"/>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The Partnership utilizes derivative instruments, which include futures, forwards, swaps and options, to reduce its exposure to unfavorable changes in market prices.</w:t>
      </w:r>
    </w:p>
    <w:p>
      <w:pPr>
        <w:spacing w:after="0" w:line="148" w:lineRule="exact"/>
        <w:rPr>
          <w:rFonts w:ascii="Arial" w:cs="Arial" w:eastAsia="Arial" w:hAnsi="Arial"/>
          <w:sz w:val="18"/>
          <w:szCs w:val="18"/>
          <w:b w:val="1"/>
          <w:bCs w:val="1"/>
          <w:color w:val="auto"/>
        </w:rPr>
      </w:pPr>
    </w:p>
    <w:p>
      <w:pPr>
        <w:ind w:left="384" w:right="120"/>
        <w:spacing w:after="0" w:line="241" w:lineRule="auto"/>
        <w:rPr>
          <w:rFonts w:ascii="Arial" w:cs="Arial" w:eastAsia="Arial" w:hAnsi="Arial"/>
          <w:sz w:val="18"/>
          <w:szCs w:val="18"/>
          <w:b w:val="1"/>
          <w:bCs w:val="1"/>
          <w:color w:val="auto"/>
        </w:rPr>
      </w:pPr>
      <w:r>
        <w:rPr>
          <w:rFonts w:ascii="Arial" w:cs="Arial" w:eastAsia="Arial" w:hAnsi="Arial"/>
          <w:sz w:val="18"/>
          <w:szCs w:val="18"/>
          <w:color w:val="auto"/>
        </w:rPr>
        <w:t>The Partnership accounts for derivative transactions in accordance with SFAS 133, as amended, and recognizes derivative instruments as either assets or liabilities in the Consolidated Statement of Financial Condition and measures those instruments at fair value. The changes in fair value of a majority of the derivative transactions of the Partnership are currently presented, in all material respects, as a component of Principal transactions, net in the Consolidated Statement of Income. The accounting for changes in the fair value of other derivatives depends on the intended use of the derivative and the resulting designation.</w:t>
      </w:r>
    </w:p>
    <w:p>
      <w:pPr>
        <w:spacing w:after="0" w:line="149" w:lineRule="exact"/>
        <w:rPr>
          <w:rFonts w:ascii="Arial" w:cs="Arial" w:eastAsia="Arial" w:hAnsi="Arial"/>
          <w:sz w:val="18"/>
          <w:szCs w:val="18"/>
          <w:b w:val="1"/>
          <w:bCs w:val="1"/>
          <w:color w:val="auto"/>
        </w:rPr>
      </w:pPr>
    </w:p>
    <w:p>
      <w:pPr>
        <w:ind w:left="384" w:right="160"/>
        <w:spacing w:after="0" w:line="241" w:lineRule="auto"/>
        <w:rPr>
          <w:rFonts w:ascii="Arial" w:cs="Arial" w:eastAsia="Arial" w:hAnsi="Arial"/>
          <w:sz w:val="18"/>
          <w:szCs w:val="18"/>
          <w:b w:val="1"/>
          <w:bCs w:val="1"/>
          <w:color w:val="auto"/>
        </w:rPr>
      </w:pPr>
      <w:r>
        <w:rPr>
          <w:rFonts w:ascii="Arial" w:cs="Arial" w:eastAsia="Arial" w:hAnsi="Arial"/>
          <w:sz w:val="18"/>
          <w:szCs w:val="18"/>
          <w:color w:val="auto"/>
        </w:rPr>
        <w:t>Hedge accounting treatment can be applied when certain criteria are met. For a derivative instrument designated as a fair value hedge, the gain or loss is recognized in earnings in the period of change together with the offsetting gain or loss on the hedged item of the risk being hedged. For a derivative being designated as a cash flow hedge, the effective portion of the derivative gain or loss is initially reported as a component of AOCI and subsequently reclassified into earnings when the hedged exposure affects earnings. The ineffective portion (excess derivative gain or loss) is reported in earnings immediately.</w:t>
      </w:r>
    </w:p>
    <w:p>
      <w:pPr>
        <w:spacing w:after="0" w:line="162" w:lineRule="exact"/>
        <w:rPr>
          <w:rFonts w:ascii="Arial" w:cs="Arial" w:eastAsia="Arial" w:hAnsi="Arial"/>
          <w:sz w:val="18"/>
          <w:szCs w:val="18"/>
          <w:b w:val="1"/>
          <w:bCs w:val="1"/>
          <w:color w:val="auto"/>
        </w:rPr>
      </w:pPr>
    </w:p>
    <w:p>
      <w:pPr>
        <w:ind w:left="384" w:right="100"/>
        <w:spacing w:after="0" w:line="257" w:lineRule="auto"/>
        <w:rPr>
          <w:rFonts w:ascii="Arial" w:cs="Arial" w:eastAsia="Arial" w:hAnsi="Arial"/>
          <w:sz w:val="18"/>
          <w:szCs w:val="18"/>
          <w:b w:val="1"/>
          <w:bCs w:val="1"/>
          <w:color w:val="auto"/>
        </w:rPr>
      </w:pPr>
      <w:r>
        <w:rPr>
          <w:rFonts w:ascii="Arial" w:cs="Arial" w:eastAsia="Arial" w:hAnsi="Arial"/>
          <w:sz w:val="17"/>
          <w:szCs w:val="17"/>
          <w:color w:val="auto"/>
        </w:rPr>
        <w:t>For fair value hedges, the Partnership primarily uses derivative instruments to hedge its commodity inventories. In cash flow hedge relationships, the Partnership uses certain derivative instruments primarily to hedge natural gas purchases and sales related to transportation and storage capacity arrangements. A net derivative unrealized loss of approximately $3 million is included in AOCI for 2008. Derivative unrealized gains included in AOCI expected to affect earnings in 2009 are approximately $254 thousand. Due to volatility and uncertainty in the commodity markets, the corresponding value in AOCI will likely change prior to its reclassification to earnings. As of December 31, 2008, the maximum tenor of derivative instruments that hedge forecasted purchase and sales transactions is 7 years.</w:t>
      </w:r>
    </w:p>
    <w:p>
      <w:pPr>
        <w:spacing w:after="0" w:line="200" w:lineRule="exact"/>
        <w:rPr>
          <w:rFonts w:ascii="Arial" w:cs="Arial" w:eastAsia="Arial" w:hAnsi="Arial"/>
          <w:sz w:val="18"/>
          <w:szCs w:val="18"/>
          <w:b w:val="1"/>
          <w:bCs w:val="1"/>
          <w:color w:val="auto"/>
        </w:rPr>
      </w:pPr>
    </w:p>
    <w:p>
      <w:pPr>
        <w:spacing w:after="0" w:line="200" w:lineRule="exact"/>
        <w:rPr>
          <w:rFonts w:ascii="Arial" w:cs="Arial" w:eastAsia="Arial" w:hAnsi="Arial"/>
          <w:sz w:val="18"/>
          <w:szCs w:val="18"/>
          <w:b w:val="1"/>
          <w:bCs w:val="1"/>
          <w:color w:val="auto"/>
        </w:rPr>
      </w:pPr>
    </w:p>
    <w:p>
      <w:pPr>
        <w:spacing w:after="0" w:line="302" w:lineRule="exact"/>
        <w:rPr>
          <w:rFonts w:ascii="Arial" w:cs="Arial" w:eastAsia="Arial" w:hAnsi="Arial"/>
          <w:sz w:val="18"/>
          <w:szCs w:val="18"/>
          <w:b w:val="1"/>
          <w:bCs w:val="1"/>
          <w:color w:val="auto"/>
        </w:rPr>
      </w:pPr>
    </w:p>
    <w:p>
      <w:pPr>
        <w:ind w:left="5624" w:hanging="93"/>
        <w:spacing w:after="0"/>
        <w:tabs>
          <w:tab w:leader="none" w:pos="5624" w:val="left"/>
        </w:tabs>
        <w:numPr>
          <w:ilvl w:val="1"/>
          <w:numId w:val="420"/>
        </w:numPr>
        <w:rPr>
          <w:rFonts w:ascii="Arial" w:cs="Arial" w:eastAsia="Arial" w:hAnsi="Arial"/>
          <w:sz w:val="18"/>
          <w:szCs w:val="18"/>
          <w:color w:val="auto"/>
        </w:rPr>
      </w:pPr>
      <w:r>
        <w:rPr>
          <w:rFonts w:ascii="Arial" w:cs="Arial" w:eastAsia="Arial" w:hAnsi="Arial"/>
          <w:sz w:val="18"/>
          <w:szCs w:val="18"/>
          <w:color w:val="auto"/>
        </w:rPr>
        <w:t>11 -</w:t>
      </w:r>
    </w:p>
    <w:p>
      <w:pPr>
        <w:sectPr>
          <w:pgSz w:w="11900" w:h="16838" w:orient="portrait"/>
          <w:cols w:equalWidth="0" w:num="1">
            <w:col w:w="11384"/>
          </w:cols>
          <w:pgMar w:left="236" w:top="504" w:right="279" w:bottom="1440" w:gutter="0" w:footer="0" w:header="0"/>
        </w:sectPr>
      </w:pPr>
    </w:p>
    <w:bookmarkStart w:id="363" w:name="page364"/>
    <w:bookmarkEnd w:id="363"/>
    <w:p>
      <w:pPr>
        <w:ind w:left="384" w:right="160"/>
        <w:spacing w:after="0" w:line="241" w:lineRule="auto"/>
        <w:rPr>
          <w:sz w:val="20"/>
          <w:szCs w:val="20"/>
          <w:color w:val="auto"/>
        </w:rPr>
      </w:pPr>
      <w:r>
        <w:rPr>
          <w:rFonts w:ascii="Arial" w:cs="Arial" w:eastAsia="Arial" w:hAnsi="Arial"/>
          <w:sz w:val="18"/>
          <w:szCs w:val="18"/>
          <w:color w:val="auto"/>
        </w:rPr>
        <w:t>For instruments designated as hedges, hedge ineffectiveness, determined in accordance with SFAS 133, had a positive impact on revenue of approximately $18 million for the period from April 1, 2008 (date of commencement) to December 31, 2008. Ineffectiveness relating to fair value hedges resulted in a positive impact on revenue of approximately $5 million, while the ineffective portion of cash flow hedges resulted in a positive impact on revenue of approximately $13 million. These ineffectiveness gains are recorded in Principal transactions, net in the Consolidated Statement of Income and then are transferred to Fee income through the market risk index swap.</w:t>
      </w:r>
    </w:p>
    <w:p>
      <w:pPr>
        <w:spacing w:after="0" w:line="144" w:lineRule="exact"/>
        <w:rPr>
          <w:sz w:val="20"/>
          <w:szCs w:val="20"/>
          <w:color w:val="auto"/>
        </w:rPr>
      </w:pPr>
    </w:p>
    <w:p>
      <w:pPr>
        <w:ind w:left="384" w:hanging="384"/>
        <w:spacing w:after="0"/>
        <w:tabs>
          <w:tab w:leader="none" w:pos="384" w:val="left"/>
        </w:tabs>
        <w:numPr>
          <w:ilvl w:val="0"/>
          <w:numId w:val="421"/>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OF ASSETS AND LIABILITIES</w:t>
      </w:r>
    </w:p>
    <w:p>
      <w:pPr>
        <w:spacing w:after="0" w:line="183" w:lineRule="exact"/>
        <w:rPr>
          <w:rFonts w:ascii="Arial" w:cs="Arial" w:eastAsia="Arial" w:hAnsi="Arial"/>
          <w:sz w:val="18"/>
          <w:szCs w:val="18"/>
          <w:b w:val="1"/>
          <w:bCs w:val="1"/>
          <w:color w:val="auto"/>
        </w:rPr>
      </w:pPr>
    </w:p>
    <w:p>
      <w:pPr>
        <w:ind w:left="384" w:right="100"/>
        <w:spacing w:after="0" w:line="292" w:lineRule="auto"/>
        <w:rPr>
          <w:rFonts w:ascii="Arial" w:cs="Arial" w:eastAsia="Arial" w:hAnsi="Arial"/>
          <w:sz w:val="18"/>
          <w:szCs w:val="18"/>
          <w:b w:val="1"/>
          <w:bCs w:val="1"/>
          <w:color w:val="auto"/>
        </w:rPr>
      </w:pPr>
      <w:r>
        <w:rPr>
          <w:rFonts w:ascii="Arial" w:cs="Arial" w:eastAsia="Arial" w:hAnsi="Arial"/>
          <w:sz w:val="15"/>
          <w:szCs w:val="15"/>
          <w:color w:val="auto"/>
        </w:rPr>
        <w:t xml:space="preserve">The Partnership applies SFAS No. 157, </w:t>
      </w:r>
      <w:r>
        <w:rPr>
          <w:rFonts w:ascii="Arial" w:cs="Arial" w:eastAsia="Arial" w:hAnsi="Arial"/>
          <w:sz w:val="15"/>
          <w:szCs w:val="15"/>
          <w:i w:val="1"/>
          <w:iCs w:val="1"/>
          <w:color w:val="auto"/>
        </w:rPr>
        <w:t>Fair Value Measurements</w:t>
      </w:r>
      <w:r>
        <w:rPr>
          <w:rFonts w:ascii="Arial" w:cs="Arial" w:eastAsia="Arial" w:hAnsi="Arial"/>
          <w:sz w:val="15"/>
          <w:szCs w:val="15"/>
          <w:color w:val="auto"/>
        </w:rPr>
        <w:t xml:space="preserve"> (SFAS 157) when measuring certain assets and liabilities that are carried at fair value. As defined in SFAS 157, fair value is the price that would be received to sell an asset or paid to transfer a liability in an orderly transaction between market participants at the measurement date (exit price). The Partnership utilizes market data or assumptions that market participants would use in pricing the asset or liability, including assumptions about risk and the risks inherent in the inputs to the valuation technique. These inputs can be readily observable, market corroborated, or generally unobservable. The Partnership primarily applies the market approach for recurring fair value measurements and endeavors to utilize the best available information. Accordingly, the Partnership utilizes valuation techniques that maximize t he use of observable inputs and minimize the use of unobservable inputs. The Partnership is able to classify fair value balances based on the observability of those inputs. SFAS 157 establishes a fair value hierarchy that prioritizes the inputs used to measure fair value. The hierarchy gives the highest priority to unadjusted quoted prices in active markets for identical assets or liabilities (Level 1 measurement) and the lowest priority to unobservable inputs (Level 3 measurement). The three levels of the fair value hierarchy defined by SFAS 157 are as follows:</w:t>
      </w:r>
    </w:p>
    <w:p>
      <w:pPr>
        <w:spacing w:after="0" w:line="333" w:lineRule="exact"/>
        <w:rPr>
          <w:rFonts w:ascii="Arial" w:cs="Arial" w:eastAsia="Arial" w:hAnsi="Arial"/>
          <w:sz w:val="18"/>
          <w:szCs w:val="18"/>
          <w:b w:val="1"/>
          <w:bCs w:val="1"/>
          <w:color w:val="auto"/>
        </w:rPr>
      </w:pPr>
    </w:p>
    <w:p>
      <w:pPr>
        <w:ind w:left="384" w:right="60"/>
        <w:spacing w:after="0" w:line="246" w:lineRule="auto"/>
        <w:rPr>
          <w:rFonts w:ascii="Arial" w:cs="Arial" w:eastAsia="Arial" w:hAnsi="Arial"/>
          <w:sz w:val="18"/>
          <w:szCs w:val="18"/>
          <w:b w:val="1"/>
          <w:bCs w:val="1"/>
          <w:color w:val="auto"/>
        </w:rPr>
      </w:pPr>
      <w:r>
        <w:rPr>
          <w:rFonts w:ascii="Arial" w:cs="Arial" w:eastAsia="Arial" w:hAnsi="Arial"/>
          <w:sz w:val="18"/>
          <w:szCs w:val="18"/>
          <w:i w:val="1"/>
          <w:iCs w:val="1"/>
          <w:color w:val="auto"/>
        </w:rPr>
        <w:t xml:space="preserve">Level 1 </w:t>
      </w:r>
      <w:r>
        <w:rPr>
          <w:rFonts w:ascii="Arial" w:cs="Arial" w:eastAsia="Arial" w:hAnsi="Arial"/>
          <w:sz w:val="18"/>
          <w:szCs w:val="18"/>
          <w:color w:val="auto"/>
        </w:rPr>
        <w:t>— Quoted prices are available in active markets for identical assets or liabilities as of the reporting date. Active markets are those in which</w:t>
      </w:r>
      <w:r>
        <w:rPr>
          <w:rFonts w:ascii="Arial" w:cs="Arial" w:eastAsia="Arial" w:hAnsi="Arial"/>
          <w:sz w:val="18"/>
          <w:szCs w:val="18"/>
          <w:i w:val="1"/>
          <w:iCs w:val="1"/>
          <w:color w:val="auto"/>
        </w:rPr>
        <w:t xml:space="preserve"> </w:t>
      </w:r>
      <w:r>
        <w:rPr>
          <w:rFonts w:ascii="Arial" w:cs="Arial" w:eastAsia="Arial" w:hAnsi="Arial"/>
          <w:sz w:val="18"/>
          <w:szCs w:val="18"/>
          <w:color w:val="auto"/>
        </w:rPr>
        <w:t>transactions for the asset or liability occur in sufficient frequency and volume to provide pricing information on an ongoing basis. Level 1 primarily consists of financial instruments such as exchange-traded derivatives and listed equities.</w:t>
      </w:r>
    </w:p>
    <w:p>
      <w:pPr>
        <w:spacing w:after="0" w:line="144" w:lineRule="exact"/>
        <w:rPr>
          <w:rFonts w:ascii="Arial" w:cs="Arial" w:eastAsia="Arial" w:hAnsi="Arial"/>
          <w:sz w:val="18"/>
          <w:szCs w:val="18"/>
          <w:b w:val="1"/>
          <w:bCs w:val="1"/>
          <w:color w:val="auto"/>
        </w:rPr>
      </w:pPr>
    </w:p>
    <w:p>
      <w:pPr>
        <w:ind w:left="384" w:right="120"/>
        <w:spacing w:after="0" w:line="239" w:lineRule="auto"/>
        <w:rPr>
          <w:rFonts w:ascii="Arial" w:cs="Arial" w:eastAsia="Arial" w:hAnsi="Arial"/>
          <w:sz w:val="18"/>
          <w:szCs w:val="18"/>
          <w:b w:val="1"/>
          <w:bCs w:val="1"/>
          <w:color w:val="auto"/>
        </w:rPr>
      </w:pPr>
      <w:r>
        <w:rPr>
          <w:rFonts w:ascii="Arial" w:cs="Arial" w:eastAsia="Arial" w:hAnsi="Arial"/>
          <w:sz w:val="18"/>
          <w:szCs w:val="18"/>
          <w:i w:val="1"/>
          <w:iCs w:val="1"/>
          <w:color w:val="auto"/>
        </w:rPr>
        <w:t xml:space="preserve">Level 2 </w:t>
      </w:r>
      <w:r>
        <w:rPr>
          <w:rFonts w:ascii="Arial" w:cs="Arial" w:eastAsia="Arial" w:hAnsi="Arial"/>
          <w:sz w:val="18"/>
          <w:szCs w:val="18"/>
          <w:color w:val="auto"/>
        </w:rPr>
        <w:t>— Quoted prices in active markets are not available, however, pricing inputs are either directly or indirectly observable as of the reporting date.</w:t>
      </w:r>
      <w:r>
        <w:rPr>
          <w:rFonts w:ascii="Arial" w:cs="Arial" w:eastAsia="Arial" w:hAnsi="Arial"/>
          <w:sz w:val="18"/>
          <w:szCs w:val="18"/>
          <w:i w:val="1"/>
          <w:iCs w:val="1"/>
          <w:color w:val="auto"/>
        </w:rPr>
        <w:t xml:space="preserve"> </w:t>
      </w:r>
      <w:r>
        <w:rPr>
          <w:rFonts w:ascii="Arial" w:cs="Arial" w:eastAsia="Arial" w:hAnsi="Arial"/>
          <w:sz w:val="18"/>
          <w:szCs w:val="18"/>
          <w:color w:val="auto"/>
        </w:rPr>
        <w:t>Level 2 includes those financial instruments that are valued using models or other valuation methodologies. These models are primarily industry-standard models that consider various assumptions, including quoted forward prices for commodities, time value, volatility factors, and current market and contractual prices for the underlying instruments, as well as other relevant economic measures. Substantially all of these assumptions are observable in the marketplace throughout the full term of the instrument, can be derived from observable data or are supported by observable levels at which transactions are executed in the marketplace. Instruments in this category include non-exchange-traded derivatives such as OTC forwards, o ptions and repurchase agreements.</w:t>
      </w:r>
    </w:p>
    <w:p>
      <w:pPr>
        <w:spacing w:after="0" w:line="166" w:lineRule="exact"/>
        <w:rPr>
          <w:rFonts w:ascii="Arial" w:cs="Arial" w:eastAsia="Arial" w:hAnsi="Arial"/>
          <w:sz w:val="18"/>
          <w:szCs w:val="18"/>
          <w:b w:val="1"/>
          <w:bCs w:val="1"/>
          <w:color w:val="auto"/>
        </w:rPr>
      </w:pPr>
    </w:p>
    <w:p>
      <w:pPr>
        <w:ind w:left="384"/>
        <w:spacing w:after="0" w:line="242" w:lineRule="auto"/>
        <w:rPr>
          <w:rFonts w:ascii="Arial" w:cs="Arial" w:eastAsia="Arial" w:hAnsi="Arial"/>
          <w:sz w:val="18"/>
          <w:szCs w:val="18"/>
          <w:b w:val="1"/>
          <w:bCs w:val="1"/>
          <w:color w:val="auto"/>
        </w:rPr>
      </w:pPr>
      <w:r>
        <w:rPr>
          <w:rFonts w:ascii="Arial" w:cs="Arial" w:eastAsia="Arial" w:hAnsi="Arial"/>
          <w:sz w:val="18"/>
          <w:szCs w:val="18"/>
          <w:i w:val="1"/>
          <w:iCs w:val="1"/>
          <w:color w:val="auto"/>
        </w:rPr>
        <w:t xml:space="preserve">Level 3 </w:t>
      </w:r>
      <w:r>
        <w:rPr>
          <w:rFonts w:ascii="Arial" w:cs="Arial" w:eastAsia="Arial" w:hAnsi="Arial"/>
          <w:sz w:val="18"/>
          <w:szCs w:val="18"/>
          <w:color w:val="auto"/>
        </w:rPr>
        <w:t>— Pricing inputs include significant inputs that are generally less observable from objective sources. These inputs may be used with internally</w:t>
      </w:r>
      <w:r>
        <w:rPr>
          <w:rFonts w:ascii="Arial" w:cs="Arial" w:eastAsia="Arial" w:hAnsi="Arial"/>
          <w:sz w:val="18"/>
          <w:szCs w:val="18"/>
          <w:i w:val="1"/>
          <w:iCs w:val="1"/>
          <w:color w:val="auto"/>
        </w:rPr>
        <w:t xml:space="preserve"> </w:t>
      </w:r>
      <w:r>
        <w:rPr>
          <w:rFonts w:ascii="Arial" w:cs="Arial" w:eastAsia="Arial" w:hAnsi="Arial"/>
          <w:sz w:val="18"/>
          <w:szCs w:val="18"/>
          <w:color w:val="auto"/>
        </w:rPr>
        <w:t>developed methodologies that result in management’s best estimate of fair value. Level 3 instruments include those that may be more structured or otherwise tailored to customers’ needs. At each balance sheet date, the Partnership performs an analysis of all instruments subject to SFAS 157 and includes in Level 3 all of those whose fair value is based on significant unobservable inputs.</w:t>
      </w:r>
    </w:p>
    <w:p>
      <w:pPr>
        <w:spacing w:after="0" w:line="200" w:lineRule="exact"/>
        <w:rPr>
          <w:rFonts w:ascii="Arial" w:cs="Arial" w:eastAsia="Arial" w:hAnsi="Arial"/>
          <w:sz w:val="18"/>
          <w:szCs w:val="18"/>
          <w:b w:val="1"/>
          <w:bCs w:val="1"/>
          <w:color w:val="auto"/>
        </w:rPr>
      </w:pPr>
    </w:p>
    <w:p>
      <w:pPr>
        <w:spacing w:after="0" w:line="200" w:lineRule="exact"/>
        <w:rPr>
          <w:rFonts w:ascii="Arial" w:cs="Arial" w:eastAsia="Arial" w:hAnsi="Arial"/>
          <w:sz w:val="18"/>
          <w:szCs w:val="18"/>
          <w:b w:val="1"/>
          <w:bCs w:val="1"/>
          <w:color w:val="auto"/>
        </w:rPr>
      </w:pPr>
    </w:p>
    <w:p>
      <w:pPr>
        <w:spacing w:after="0" w:line="314" w:lineRule="exact"/>
        <w:rPr>
          <w:rFonts w:ascii="Arial" w:cs="Arial" w:eastAsia="Arial" w:hAnsi="Arial"/>
          <w:sz w:val="18"/>
          <w:szCs w:val="18"/>
          <w:b w:val="1"/>
          <w:bCs w:val="1"/>
          <w:color w:val="auto"/>
        </w:rPr>
      </w:pPr>
    </w:p>
    <w:p>
      <w:pPr>
        <w:ind w:left="5624" w:hanging="97"/>
        <w:spacing w:after="0"/>
        <w:tabs>
          <w:tab w:leader="none" w:pos="5624" w:val="left"/>
        </w:tabs>
        <w:numPr>
          <w:ilvl w:val="1"/>
          <w:numId w:val="421"/>
        </w:numPr>
        <w:rPr>
          <w:rFonts w:ascii="Arial" w:cs="Arial" w:eastAsia="Arial" w:hAnsi="Arial"/>
          <w:sz w:val="18"/>
          <w:szCs w:val="18"/>
          <w:color w:val="auto"/>
        </w:rPr>
      </w:pPr>
      <w:r>
        <w:rPr>
          <w:rFonts w:ascii="Arial" w:cs="Arial" w:eastAsia="Arial" w:hAnsi="Arial"/>
          <w:sz w:val="18"/>
          <w:szCs w:val="18"/>
          <w:color w:val="auto"/>
        </w:rPr>
        <w:t>12 -</w:t>
      </w:r>
    </w:p>
    <w:p>
      <w:pPr>
        <w:sectPr>
          <w:pgSz w:w="11900" w:h="16838" w:orient="portrait"/>
          <w:cols w:equalWidth="0" w:num="1">
            <w:col w:w="11444"/>
          </w:cols>
          <w:pgMar w:left="236" w:top="509" w:right="219" w:bottom="1440" w:gutter="0" w:footer="0" w:header="0"/>
        </w:sectPr>
      </w:pPr>
    </w:p>
    <w:bookmarkStart w:id="364" w:name="page365"/>
    <w:bookmarkEnd w:id="364"/>
    <w:p>
      <w:pPr>
        <w:spacing w:after="0" w:line="307" w:lineRule="auto"/>
        <w:rPr>
          <w:sz w:val="20"/>
          <w:szCs w:val="20"/>
          <w:color w:val="auto"/>
        </w:rPr>
      </w:pPr>
      <w:r>
        <w:rPr>
          <w:rFonts w:ascii="Arial" w:cs="Arial" w:eastAsia="Arial" w:hAnsi="Arial"/>
          <w:sz w:val="15"/>
          <w:szCs w:val="15"/>
          <w:color w:val="auto"/>
        </w:rPr>
        <w:t>The following tables set forth by level within the fair value hierarchy the Partnership’s Trading assets and liabilities that were accounted for at fair value on a recurring basis as of December 31, 2008. As required by SFAS 157, Trading assets and liabilities are classified in their entirety based on the lowest level of input that is significant to the fair value measurement. The Partnership’s assessment of the significance of a particular input to the fair value measurement requires judgment, and may affect the valuation of fair value assets and liabilities and their placement within the fair value hierarchy levels.</w:t>
      </w:r>
    </w:p>
    <w:p>
      <w:pPr>
        <w:spacing w:after="0" w:line="149" w:lineRule="exact"/>
        <w:rPr>
          <w:sz w:val="20"/>
          <w:szCs w:val="20"/>
          <w:color w:val="auto"/>
        </w:rPr>
      </w:pPr>
    </w:p>
    <w:p>
      <w:pPr>
        <w:jc w:val="center"/>
        <w:ind w:right="340"/>
        <w:spacing w:after="0"/>
        <w:rPr>
          <w:sz w:val="20"/>
          <w:szCs w:val="20"/>
          <w:color w:val="auto"/>
        </w:rPr>
      </w:pPr>
      <w:r>
        <w:rPr>
          <w:rFonts w:ascii="Arial" w:cs="Arial" w:eastAsia="Arial" w:hAnsi="Arial"/>
          <w:sz w:val="16"/>
          <w:szCs w:val="16"/>
          <w:b w:val="1"/>
          <w:bCs w:val="1"/>
          <w:color w:val="auto"/>
        </w:rPr>
        <w:t>Fair Value of Assets and Liabilities Measured on a Recurring Basis</w:t>
      </w:r>
    </w:p>
    <w:p>
      <w:pPr>
        <w:spacing w:after="0" w:line="32" w:lineRule="exact"/>
        <w:rPr>
          <w:sz w:val="20"/>
          <w:szCs w:val="20"/>
          <w:color w:val="auto"/>
        </w:rPr>
      </w:pPr>
    </w:p>
    <w:p>
      <w:pPr>
        <w:jc w:val="center"/>
        <w:ind w:right="340"/>
        <w:spacing w:after="0"/>
        <w:rPr>
          <w:sz w:val="20"/>
          <w:szCs w:val="20"/>
          <w:color w:val="auto"/>
        </w:rPr>
      </w:pPr>
      <w:r>
        <w:rPr>
          <w:rFonts w:ascii="Arial" w:cs="Arial" w:eastAsia="Arial" w:hAnsi="Arial"/>
          <w:sz w:val="16"/>
          <w:szCs w:val="16"/>
          <w:b w:val="1"/>
          <w:bCs w:val="1"/>
          <w:color w:val="auto"/>
        </w:rPr>
        <w:t>As of December 31, 2008</w:t>
      </w:r>
    </w:p>
    <w:p>
      <w:pPr>
        <w:spacing w:after="0" w:line="32" w:lineRule="exact"/>
        <w:rPr>
          <w:sz w:val="20"/>
          <w:szCs w:val="20"/>
          <w:color w:val="auto"/>
        </w:rPr>
      </w:pPr>
    </w:p>
    <w:p>
      <w:pPr>
        <w:jc w:val="center"/>
        <w:ind w:right="340"/>
        <w:spacing w:after="0"/>
        <w:rPr>
          <w:sz w:val="20"/>
          <w:szCs w:val="20"/>
          <w:color w:val="auto"/>
        </w:rPr>
      </w:pPr>
      <w:r>
        <w:rPr>
          <w:rFonts w:ascii="Arial" w:cs="Arial" w:eastAsia="Arial" w:hAnsi="Arial"/>
          <w:sz w:val="16"/>
          <w:szCs w:val="16"/>
          <w:b w:val="1"/>
          <w:bCs w:val="1"/>
          <w:color w:val="auto"/>
        </w:rPr>
        <w:t>(in thousands)</w:t>
      </w:r>
    </w:p>
    <w:p>
      <w:pPr>
        <w:spacing w:after="0" w:line="25" w:lineRule="exact"/>
        <w:rPr>
          <w:sz w:val="20"/>
          <w:szCs w:val="20"/>
          <w:color w:val="auto"/>
        </w:rPr>
      </w:pPr>
    </w:p>
    <w:tbl>
      <w:tblPr>
        <w:tblLayout w:type="fixed"/>
        <w:tblInd w:w="2140" w:type="dxa"/>
        <w:tblCellMar>
          <w:top w:w="0" w:type="dxa"/>
          <w:left w:w="0" w:type="dxa"/>
          <w:bottom w:w="0" w:type="dxa"/>
          <w:right w:w="0" w:type="dxa"/>
        </w:tblCellMar>
      </w:tblPr>
      <w:tr>
        <w:trPr>
          <w:trHeight w:val="196"/>
        </w:trPr>
        <w:tc>
          <w:tcPr>
            <w:tcW w:w="3100" w:type="dxa"/>
            <w:vAlign w:val="bottom"/>
            <w:tcBorders>
              <w:top w:val="single" w:sz="8" w:color="auto"/>
            </w:tcBorders>
          </w:tcPr>
          <w:p>
            <w:pPr>
              <w:spacing w:after="0"/>
              <w:rPr>
                <w:sz w:val="20"/>
                <w:szCs w:val="20"/>
                <w:color w:val="auto"/>
              </w:rPr>
            </w:pPr>
            <w:r>
              <w:rPr>
                <w:rFonts w:ascii="Arial" w:cs="Arial" w:eastAsia="Arial" w:hAnsi="Arial"/>
                <w:sz w:val="14"/>
                <w:szCs w:val="14"/>
                <w:b w:val="1"/>
                <w:bCs w:val="1"/>
                <w:color w:val="auto"/>
              </w:rPr>
              <w:t>Assets</w:t>
            </w:r>
          </w:p>
        </w:tc>
        <w:tc>
          <w:tcPr>
            <w:tcW w:w="940" w:type="dxa"/>
            <w:vAlign w:val="bottom"/>
            <w:tcBorders>
              <w:top w:val="single" w:sz="8" w:color="auto"/>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Level 1</w:t>
            </w:r>
          </w:p>
        </w:tc>
        <w:tc>
          <w:tcPr>
            <w:tcW w:w="820" w:type="dxa"/>
            <w:vAlign w:val="bottom"/>
            <w:tcBorders>
              <w:top w:val="single" w:sz="8" w:color="auto"/>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Level 2</w:t>
            </w:r>
          </w:p>
        </w:tc>
        <w:tc>
          <w:tcPr>
            <w:tcW w:w="760" w:type="dxa"/>
            <w:vAlign w:val="bottom"/>
            <w:tcBorders>
              <w:top w:val="single" w:sz="8" w:color="auto"/>
              <w:bottom w:val="single" w:sz="8" w:color="auto"/>
            </w:tcBorders>
            <w:gridSpan w:val="2"/>
          </w:tcPr>
          <w:p>
            <w:pPr>
              <w:jc w:val="right"/>
              <w:ind w:right="168"/>
              <w:spacing w:after="0"/>
              <w:rPr>
                <w:sz w:val="20"/>
                <w:szCs w:val="20"/>
                <w:color w:val="auto"/>
              </w:rPr>
            </w:pPr>
            <w:r>
              <w:rPr>
                <w:rFonts w:ascii="Arial" w:cs="Arial" w:eastAsia="Arial" w:hAnsi="Arial"/>
                <w:sz w:val="14"/>
                <w:szCs w:val="14"/>
                <w:b w:val="1"/>
                <w:bCs w:val="1"/>
                <w:color w:val="auto"/>
              </w:rPr>
              <w:t>Level 3</w:t>
            </w:r>
          </w:p>
        </w:tc>
        <w:tc>
          <w:tcPr>
            <w:tcW w:w="78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Total (1)</w:t>
            </w:r>
          </w:p>
        </w:tc>
      </w:tr>
      <w:tr>
        <w:trPr>
          <w:trHeight w:val="178"/>
        </w:trPr>
        <w:tc>
          <w:tcPr>
            <w:tcW w:w="3100" w:type="dxa"/>
            <w:vAlign w:val="bottom"/>
          </w:tcPr>
          <w:p>
            <w:pPr>
              <w:spacing w:after="0"/>
              <w:rPr>
                <w:sz w:val="20"/>
                <w:szCs w:val="20"/>
                <w:color w:val="auto"/>
              </w:rPr>
            </w:pPr>
            <w:r>
              <w:rPr>
                <w:rFonts w:ascii="Arial" w:cs="Arial" w:eastAsia="Arial" w:hAnsi="Arial"/>
                <w:sz w:val="14"/>
                <w:szCs w:val="14"/>
                <w:color w:val="auto"/>
              </w:rPr>
              <w:t>Exchange-traded derivative instruments</w:t>
            </w: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$1,533,252</w:t>
            </w: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$993,727</w:t>
            </w:r>
          </w:p>
        </w:tc>
        <w:tc>
          <w:tcPr>
            <w:tcW w:w="300" w:type="dxa"/>
            <w:vAlign w:val="bottom"/>
          </w:tcPr>
          <w:p>
            <w:pPr>
              <w:jc w:val="right"/>
              <w:spacing w:after="0"/>
              <w:rPr>
                <w:sz w:val="20"/>
                <w:szCs w:val="20"/>
                <w:color w:val="auto"/>
              </w:rPr>
            </w:pPr>
            <w:r>
              <w:rPr>
                <w:rFonts w:ascii="Arial" w:cs="Arial" w:eastAsia="Arial" w:hAnsi="Arial"/>
                <w:sz w:val="14"/>
                <w:szCs w:val="14"/>
                <w:color w:val="auto"/>
              </w:rPr>
              <w:t>$</w:t>
            </w:r>
          </w:p>
        </w:tc>
        <w:tc>
          <w:tcPr>
            <w:tcW w:w="4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$2,526,979</w:t>
            </w:r>
          </w:p>
        </w:tc>
      </w:tr>
      <w:tr>
        <w:trPr>
          <w:trHeight w:val="192"/>
        </w:trPr>
        <w:tc>
          <w:tcPr>
            <w:tcW w:w="3100" w:type="dxa"/>
            <w:vAlign w:val="bottom"/>
          </w:tcPr>
          <w:p>
            <w:pPr>
              <w:spacing w:after="0"/>
              <w:rPr>
                <w:sz w:val="20"/>
                <w:szCs w:val="20"/>
                <w:color w:val="auto"/>
              </w:rPr>
            </w:pPr>
            <w:r>
              <w:rPr>
                <w:rFonts w:ascii="Arial" w:cs="Arial" w:eastAsia="Arial" w:hAnsi="Arial"/>
                <w:sz w:val="14"/>
                <w:szCs w:val="14"/>
                <w:color w:val="auto"/>
              </w:rPr>
              <w:t>OTC derivative trading instruments</w:t>
            </w: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2,834,745</w:t>
            </w:r>
          </w:p>
        </w:tc>
        <w:tc>
          <w:tcPr>
            <w:tcW w:w="760" w:type="dxa"/>
            <w:vAlign w:val="bottom"/>
            <w:gridSpan w:val="2"/>
          </w:tcPr>
          <w:p>
            <w:pPr>
              <w:jc w:val="right"/>
              <w:ind w:right="28"/>
              <w:spacing w:after="0"/>
              <w:rPr>
                <w:sz w:val="20"/>
                <w:szCs w:val="20"/>
                <w:color w:val="auto"/>
              </w:rPr>
            </w:pPr>
            <w:r>
              <w:rPr>
                <w:rFonts w:ascii="Arial" w:cs="Arial" w:eastAsia="Arial" w:hAnsi="Arial"/>
                <w:sz w:val="14"/>
                <w:szCs w:val="14"/>
                <w:color w:val="auto"/>
              </w:rPr>
              <w:t>541,730</w:t>
            </w:r>
          </w:p>
        </w:tc>
        <w:tc>
          <w:tcPr>
            <w:tcW w:w="780" w:type="dxa"/>
            <w:vAlign w:val="bottom"/>
          </w:tcPr>
          <w:p>
            <w:pPr>
              <w:jc w:val="right"/>
              <w:spacing w:after="0"/>
              <w:rPr>
                <w:sz w:val="20"/>
                <w:szCs w:val="20"/>
                <w:color w:val="auto"/>
              </w:rPr>
            </w:pPr>
            <w:r>
              <w:rPr>
                <w:rFonts w:ascii="Arial" w:cs="Arial" w:eastAsia="Arial" w:hAnsi="Arial"/>
                <w:sz w:val="14"/>
                <w:szCs w:val="14"/>
                <w:color w:val="auto"/>
              </w:rPr>
              <w:t>3,376,475</w:t>
            </w:r>
          </w:p>
        </w:tc>
      </w:tr>
      <w:tr>
        <w:trPr>
          <w:trHeight w:val="192"/>
        </w:trPr>
        <w:tc>
          <w:tcPr>
            <w:tcW w:w="3100" w:type="dxa"/>
            <w:vAlign w:val="bottom"/>
          </w:tcPr>
          <w:p>
            <w:pPr>
              <w:spacing w:after="0"/>
              <w:rPr>
                <w:sz w:val="20"/>
                <w:szCs w:val="20"/>
                <w:color w:val="auto"/>
              </w:rPr>
            </w:pPr>
            <w:r>
              <w:rPr>
                <w:rFonts w:ascii="Arial" w:cs="Arial" w:eastAsia="Arial" w:hAnsi="Arial"/>
                <w:sz w:val="14"/>
                <w:szCs w:val="14"/>
                <w:color w:val="auto"/>
              </w:rPr>
              <w:t>Commodities owned</w:t>
            </w: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1,152,716</w:t>
            </w:r>
          </w:p>
        </w:tc>
        <w:tc>
          <w:tcPr>
            <w:tcW w:w="300" w:type="dxa"/>
            <w:vAlign w:val="bottom"/>
          </w:tcPr>
          <w:p>
            <w:pPr>
              <w:spacing w:after="0"/>
              <w:rPr>
                <w:sz w:val="16"/>
                <w:szCs w:val="16"/>
                <w:color w:val="auto"/>
              </w:rPr>
            </w:pPr>
          </w:p>
        </w:tc>
        <w:tc>
          <w:tcPr>
            <w:tcW w:w="4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1,152,716</w:t>
            </w:r>
          </w:p>
        </w:tc>
      </w:tr>
      <w:tr>
        <w:trPr>
          <w:trHeight w:val="192"/>
        </w:trPr>
        <w:tc>
          <w:tcPr>
            <w:tcW w:w="3100" w:type="dxa"/>
            <w:vAlign w:val="bottom"/>
          </w:tcPr>
          <w:p>
            <w:pPr>
              <w:spacing w:after="0"/>
              <w:rPr>
                <w:sz w:val="20"/>
                <w:szCs w:val="20"/>
                <w:color w:val="auto"/>
              </w:rPr>
            </w:pPr>
            <w:r>
              <w:rPr>
                <w:rFonts w:ascii="Arial" w:cs="Arial" w:eastAsia="Arial" w:hAnsi="Arial"/>
                <w:sz w:val="14"/>
                <w:szCs w:val="14"/>
                <w:color w:val="auto"/>
              </w:rPr>
              <w:t>Available-for-sale securities</w:t>
            </w: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21,322</w:t>
            </w: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2,010</w:t>
            </w:r>
          </w:p>
        </w:tc>
        <w:tc>
          <w:tcPr>
            <w:tcW w:w="300" w:type="dxa"/>
            <w:vAlign w:val="bottom"/>
          </w:tcPr>
          <w:p>
            <w:pPr>
              <w:spacing w:after="0"/>
              <w:rPr>
                <w:sz w:val="16"/>
                <w:szCs w:val="16"/>
                <w:color w:val="auto"/>
              </w:rPr>
            </w:pPr>
          </w:p>
        </w:tc>
        <w:tc>
          <w:tcPr>
            <w:tcW w:w="460" w:type="dxa"/>
            <w:vAlign w:val="bottom"/>
          </w:tcPr>
          <w:p>
            <w:pPr>
              <w:jc w:val="right"/>
              <w:ind w:right="28"/>
              <w:spacing w:after="0"/>
              <w:rPr>
                <w:sz w:val="20"/>
                <w:szCs w:val="20"/>
                <w:color w:val="auto"/>
              </w:rPr>
            </w:pPr>
            <w:r>
              <w:rPr>
                <w:rFonts w:ascii="Arial" w:cs="Arial" w:eastAsia="Arial" w:hAnsi="Arial"/>
                <w:sz w:val="14"/>
                <w:szCs w:val="14"/>
                <w:color w:val="auto"/>
                <w:w w:val="96"/>
              </w:rPr>
              <w:t>7,111</w:t>
            </w:r>
          </w:p>
        </w:tc>
        <w:tc>
          <w:tcPr>
            <w:tcW w:w="780" w:type="dxa"/>
            <w:vAlign w:val="bottom"/>
          </w:tcPr>
          <w:p>
            <w:pPr>
              <w:jc w:val="right"/>
              <w:spacing w:after="0"/>
              <w:rPr>
                <w:sz w:val="20"/>
                <w:szCs w:val="20"/>
                <w:color w:val="auto"/>
              </w:rPr>
            </w:pPr>
            <w:r>
              <w:rPr>
                <w:rFonts w:ascii="Arial" w:cs="Arial" w:eastAsia="Arial" w:hAnsi="Arial"/>
                <w:sz w:val="14"/>
                <w:szCs w:val="14"/>
                <w:color w:val="auto"/>
              </w:rPr>
              <w:t>30,443</w:t>
            </w:r>
          </w:p>
        </w:tc>
      </w:tr>
      <w:tr>
        <w:trPr>
          <w:trHeight w:val="198"/>
        </w:trPr>
        <w:tc>
          <w:tcPr>
            <w:tcW w:w="3100" w:type="dxa"/>
            <w:vAlign w:val="bottom"/>
          </w:tcPr>
          <w:p>
            <w:pPr>
              <w:spacing w:after="0"/>
              <w:rPr>
                <w:sz w:val="20"/>
                <w:szCs w:val="20"/>
                <w:color w:val="auto"/>
              </w:rPr>
            </w:pPr>
            <w:r>
              <w:rPr>
                <w:rFonts w:ascii="Arial" w:cs="Arial" w:eastAsia="Arial" w:hAnsi="Arial"/>
                <w:sz w:val="14"/>
                <w:szCs w:val="14"/>
                <w:color w:val="auto"/>
              </w:rPr>
              <w:t>Trading securities</w:t>
            </w:r>
          </w:p>
        </w:tc>
        <w:tc>
          <w:tcPr>
            <w:tcW w:w="9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210</w:t>
            </w:r>
          </w:p>
        </w:tc>
        <w:tc>
          <w:tcPr>
            <w:tcW w:w="8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210</w:t>
            </w:r>
          </w:p>
        </w:tc>
      </w:tr>
      <w:tr>
        <w:trPr>
          <w:trHeight w:val="200"/>
        </w:trPr>
        <w:tc>
          <w:tcPr>
            <w:tcW w:w="3100" w:type="dxa"/>
            <w:vAlign w:val="bottom"/>
          </w:tcPr>
          <w:p>
            <w:pPr>
              <w:spacing w:after="0"/>
              <w:rPr>
                <w:sz w:val="20"/>
                <w:szCs w:val="20"/>
                <w:color w:val="auto"/>
              </w:rPr>
            </w:pPr>
            <w:r>
              <w:rPr>
                <w:rFonts w:ascii="Arial" w:cs="Arial" w:eastAsia="Arial" w:hAnsi="Arial"/>
                <w:sz w:val="14"/>
                <w:szCs w:val="14"/>
                <w:color w:val="auto"/>
              </w:rPr>
              <w:t>Total</w:t>
            </w:r>
          </w:p>
        </w:tc>
        <w:tc>
          <w:tcPr>
            <w:tcW w:w="9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$1,554,784</w:t>
            </w:r>
          </w:p>
        </w:tc>
        <w:tc>
          <w:tcPr>
            <w:tcW w:w="8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$4,983,198</w:t>
            </w:r>
          </w:p>
        </w:tc>
        <w:tc>
          <w:tcPr>
            <w:tcW w:w="760" w:type="dxa"/>
            <w:vAlign w:val="bottom"/>
            <w:tcBorders>
              <w:bottom w:val="single" w:sz="8" w:color="auto"/>
            </w:tcBorders>
            <w:gridSpan w:val="2"/>
          </w:tcPr>
          <w:p>
            <w:pPr>
              <w:jc w:val="right"/>
              <w:ind w:right="28"/>
              <w:spacing w:after="0"/>
              <w:rPr>
                <w:sz w:val="20"/>
                <w:szCs w:val="20"/>
                <w:color w:val="auto"/>
              </w:rPr>
            </w:pPr>
            <w:r>
              <w:rPr>
                <w:rFonts w:ascii="Arial" w:cs="Arial" w:eastAsia="Arial" w:hAnsi="Arial"/>
                <w:sz w:val="14"/>
                <w:szCs w:val="14"/>
                <w:color w:val="auto"/>
              </w:rPr>
              <w:t>$548,841</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$7,086,823</w:t>
            </w:r>
          </w:p>
        </w:tc>
      </w:tr>
    </w:tbl>
    <w:p>
      <w:pPr>
        <w:spacing w:after="0" w:line="216" w:lineRule="exact"/>
        <w:rPr>
          <w:sz w:val="20"/>
          <w:szCs w:val="20"/>
          <w:color w:val="auto"/>
        </w:rPr>
      </w:pPr>
    </w:p>
    <w:tbl>
      <w:tblPr>
        <w:tblLayout w:type="fixed"/>
        <w:tblInd w:w="2140" w:type="dxa"/>
        <w:tblCellMar>
          <w:top w:w="0" w:type="dxa"/>
          <w:left w:w="0" w:type="dxa"/>
          <w:bottom w:w="0" w:type="dxa"/>
          <w:right w:w="0" w:type="dxa"/>
        </w:tblCellMar>
      </w:tblPr>
      <w:tr>
        <w:trPr>
          <w:trHeight w:val="192"/>
        </w:trPr>
        <w:tc>
          <w:tcPr>
            <w:tcW w:w="3100" w:type="dxa"/>
            <w:vAlign w:val="bottom"/>
          </w:tcPr>
          <w:p>
            <w:pPr>
              <w:spacing w:after="0"/>
              <w:rPr>
                <w:sz w:val="20"/>
                <w:szCs w:val="20"/>
                <w:color w:val="auto"/>
              </w:rPr>
            </w:pPr>
            <w:r>
              <w:rPr>
                <w:rFonts w:ascii="Arial" w:cs="Arial" w:eastAsia="Arial" w:hAnsi="Arial"/>
                <w:sz w:val="14"/>
                <w:szCs w:val="14"/>
                <w:b w:val="1"/>
                <w:bCs w:val="1"/>
                <w:color w:val="auto"/>
              </w:rPr>
              <w:t>Liabilities</w:t>
            </w:r>
          </w:p>
        </w:tc>
        <w:tc>
          <w:tcPr>
            <w:tcW w:w="94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Level 1</w:t>
            </w:r>
          </w:p>
        </w:tc>
        <w:tc>
          <w:tcPr>
            <w:tcW w:w="82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Level 2</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Level 3</w:t>
            </w: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Total (1)</w:t>
            </w:r>
          </w:p>
        </w:tc>
      </w:tr>
      <w:tr>
        <w:trPr>
          <w:trHeight w:val="178"/>
        </w:trPr>
        <w:tc>
          <w:tcPr>
            <w:tcW w:w="3100" w:type="dxa"/>
            <w:vAlign w:val="bottom"/>
          </w:tcPr>
          <w:p>
            <w:pPr>
              <w:spacing w:after="0"/>
              <w:rPr>
                <w:sz w:val="20"/>
                <w:szCs w:val="20"/>
                <w:color w:val="auto"/>
              </w:rPr>
            </w:pPr>
            <w:r>
              <w:rPr>
                <w:rFonts w:ascii="Arial" w:cs="Arial" w:eastAsia="Arial" w:hAnsi="Arial"/>
                <w:sz w:val="14"/>
                <w:szCs w:val="14"/>
                <w:color w:val="auto"/>
              </w:rPr>
              <w:t>Exchange-traded derivative instruments</w:t>
            </w: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$94,660</w:t>
            </w: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$10,299</w:t>
            </w:r>
          </w:p>
        </w:tc>
        <w:tc>
          <w:tcPr>
            <w:tcW w:w="54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2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$104,959</w:t>
            </w:r>
          </w:p>
        </w:tc>
      </w:tr>
      <w:tr>
        <w:trPr>
          <w:trHeight w:val="198"/>
        </w:trPr>
        <w:tc>
          <w:tcPr>
            <w:tcW w:w="3100" w:type="dxa"/>
            <w:vAlign w:val="bottom"/>
          </w:tcPr>
          <w:p>
            <w:pPr>
              <w:spacing w:after="0"/>
              <w:rPr>
                <w:sz w:val="20"/>
                <w:szCs w:val="20"/>
                <w:color w:val="auto"/>
              </w:rPr>
            </w:pPr>
            <w:r>
              <w:rPr>
                <w:rFonts w:ascii="Arial" w:cs="Arial" w:eastAsia="Arial" w:hAnsi="Arial"/>
                <w:sz w:val="14"/>
                <w:szCs w:val="14"/>
                <w:color w:val="auto"/>
              </w:rPr>
              <w:t>OTC derivative trading instruments</w:t>
            </w:r>
          </w:p>
        </w:tc>
        <w:tc>
          <w:tcPr>
            <w:tcW w:w="9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3,581,377</w:t>
            </w:r>
          </w:p>
        </w:tc>
        <w:tc>
          <w:tcPr>
            <w:tcW w:w="760" w:type="dxa"/>
            <w:vAlign w:val="bottom"/>
            <w:tcBorders>
              <w:bottom w:val="single" w:sz="8" w:color="auto"/>
            </w:tcBorders>
            <w:gridSpan w:val="2"/>
          </w:tcPr>
          <w:p>
            <w:pPr>
              <w:jc w:val="right"/>
              <w:ind w:right="28"/>
              <w:spacing w:after="0"/>
              <w:rPr>
                <w:sz w:val="20"/>
                <w:szCs w:val="20"/>
                <w:color w:val="auto"/>
              </w:rPr>
            </w:pPr>
            <w:r>
              <w:rPr>
                <w:rFonts w:ascii="Arial" w:cs="Arial" w:eastAsia="Arial" w:hAnsi="Arial"/>
                <w:sz w:val="14"/>
                <w:szCs w:val="14"/>
                <w:color w:val="auto"/>
              </w:rPr>
              <w:t>65,965</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3,647,342</w:t>
            </w:r>
          </w:p>
        </w:tc>
      </w:tr>
      <w:tr>
        <w:trPr>
          <w:trHeight w:val="200"/>
        </w:trPr>
        <w:tc>
          <w:tcPr>
            <w:tcW w:w="3100" w:type="dxa"/>
            <w:vAlign w:val="bottom"/>
          </w:tcPr>
          <w:p>
            <w:pPr>
              <w:spacing w:after="0"/>
              <w:rPr>
                <w:sz w:val="20"/>
                <w:szCs w:val="20"/>
                <w:color w:val="auto"/>
              </w:rPr>
            </w:pPr>
            <w:r>
              <w:rPr>
                <w:rFonts w:ascii="Arial" w:cs="Arial" w:eastAsia="Arial" w:hAnsi="Arial"/>
                <w:sz w:val="14"/>
                <w:szCs w:val="14"/>
                <w:color w:val="auto"/>
              </w:rPr>
              <w:t>Total</w:t>
            </w:r>
          </w:p>
        </w:tc>
        <w:tc>
          <w:tcPr>
            <w:tcW w:w="9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$94,660</w:t>
            </w:r>
          </w:p>
        </w:tc>
        <w:tc>
          <w:tcPr>
            <w:tcW w:w="8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$3,591,676</w:t>
            </w:r>
          </w:p>
        </w:tc>
        <w:tc>
          <w:tcPr>
            <w:tcW w:w="760" w:type="dxa"/>
            <w:vAlign w:val="bottom"/>
            <w:tcBorders>
              <w:bottom w:val="single" w:sz="8" w:color="auto"/>
            </w:tcBorders>
            <w:gridSpan w:val="2"/>
          </w:tcPr>
          <w:p>
            <w:pPr>
              <w:jc w:val="right"/>
              <w:ind w:right="28"/>
              <w:spacing w:after="0"/>
              <w:rPr>
                <w:sz w:val="20"/>
                <w:szCs w:val="20"/>
                <w:color w:val="auto"/>
              </w:rPr>
            </w:pPr>
            <w:r>
              <w:rPr>
                <w:rFonts w:ascii="Arial" w:cs="Arial" w:eastAsia="Arial" w:hAnsi="Arial"/>
                <w:sz w:val="14"/>
                <w:szCs w:val="14"/>
                <w:color w:val="auto"/>
              </w:rPr>
              <w:t>$65,965</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$3,752,301</w:t>
            </w:r>
          </w:p>
        </w:tc>
      </w:tr>
    </w:tbl>
    <w:p>
      <w:pPr>
        <w:spacing w:after="0" w:line="244" w:lineRule="exact"/>
        <w:rPr>
          <w:sz w:val="20"/>
          <w:szCs w:val="20"/>
          <w:color w:val="auto"/>
        </w:rPr>
      </w:pPr>
    </w:p>
    <w:p>
      <w:pPr>
        <w:ind w:left="2140"/>
        <w:spacing w:after="0"/>
        <w:rPr>
          <w:sz w:val="20"/>
          <w:szCs w:val="20"/>
          <w:color w:val="auto"/>
        </w:rPr>
      </w:pPr>
      <w:r>
        <w:rPr>
          <w:rFonts w:ascii="Arial" w:cs="Arial" w:eastAsia="Arial" w:hAnsi="Arial"/>
          <w:sz w:val="14"/>
          <w:szCs w:val="14"/>
          <w:color w:val="auto"/>
        </w:rPr>
        <w:t>(1) Amounts exclude the effects of netting.</w:t>
      </w:r>
    </w:p>
    <w:p>
      <w:pPr>
        <w:spacing w:after="0" w:line="373" w:lineRule="exact"/>
        <w:rPr>
          <w:sz w:val="20"/>
          <w:szCs w:val="20"/>
          <w:color w:val="auto"/>
        </w:rPr>
      </w:pPr>
    </w:p>
    <w:p>
      <w:pPr>
        <w:ind w:right="20"/>
        <w:spacing w:after="0" w:line="246" w:lineRule="auto"/>
        <w:rPr>
          <w:sz w:val="20"/>
          <w:szCs w:val="20"/>
          <w:color w:val="auto"/>
        </w:rPr>
      </w:pPr>
      <w:r>
        <w:rPr>
          <w:rFonts w:ascii="Arial" w:cs="Arial" w:eastAsia="Arial" w:hAnsi="Arial"/>
          <w:sz w:val="18"/>
          <w:szCs w:val="18"/>
          <w:color w:val="auto"/>
        </w:rPr>
        <w:t>Exchange-traded derivative instruments, which are cash settled during the life of the transaction, are classified as part of Trading Assets on the Consolidated Statement of Financial Condition. The table above does not include certain commodities owned that are carried on a lower-of-cost-or-market basis. The table does include a portion of commodities owned for which fair value hedge accounting is applied.</w:t>
      </w:r>
    </w:p>
    <w:p>
      <w:pPr>
        <w:spacing w:after="0" w:line="203" w:lineRule="exact"/>
        <w:rPr>
          <w:sz w:val="20"/>
          <w:szCs w:val="20"/>
          <w:color w:val="auto"/>
        </w:rPr>
      </w:pPr>
    </w:p>
    <w:tbl>
      <w:tblPr>
        <w:tblLayout w:type="fixed"/>
        <w:tblInd w:w="2660" w:type="dxa"/>
        <w:tblCellMar>
          <w:top w:w="0" w:type="dxa"/>
          <w:left w:w="0" w:type="dxa"/>
          <w:bottom w:w="0" w:type="dxa"/>
          <w:right w:w="0" w:type="dxa"/>
        </w:tblCellMar>
      </w:tblPr>
      <w:tr>
        <w:trPr>
          <w:trHeight w:val="156"/>
        </w:trPr>
        <w:tc>
          <w:tcPr>
            <w:tcW w:w="4220" w:type="dxa"/>
            <w:vAlign w:val="bottom"/>
          </w:tcPr>
          <w:p>
            <w:pPr>
              <w:spacing w:after="0"/>
              <w:rPr>
                <w:sz w:val="13"/>
                <w:szCs w:val="13"/>
                <w:color w:val="auto"/>
              </w:rPr>
            </w:pPr>
          </w:p>
        </w:tc>
        <w:tc>
          <w:tcPr>
            <w:tcW w:w="1140" w:type="dxa"/>
            <w:vAlign w:val="bottom"/>
          </w:tcPr>
          <w:p>
            <w:pPr>
              <w:jc w:val="center"/>
              <w:spacing w:after="0"/>
              <w:rPr>
                <w:sz w:val="20"/>
                <w:szCs w:val="20"/>
                <w:color w:val="auto"/>
              </w:rPr>
            </w:pPr>
            <w:r>
              <w:rPr>
                <w:rFonts w:ascii="Arial" w:cs="Arial" w:eastAsia="Arial" w:hAnsi="Arial"/>
                <w:sz w:val="13"/>
                <w:szCs w:val="13"/>
                <w:color w:val="auto"/>
                <w:w w:val="88"/>
              </w:rPr>
              <w:t>As of December 31,</w:t>
            </w:r>
          </w:p>
        </w:tc>
      </w:tr>
      <w:tr>
        <w:trPr>
          <w:trHeight w:val="156"/>
        </w:trPr>
        <w:tc>
          <w:tcPr>
            <w:tcW w:w="4220" w:type="dxa"/>
            <w:vAlign w:val="bottom"/>
          </w:tcPr>
          <w:p>
            <w:pPr>
              <w:spacing w:after="0"/>
              <w:rPr>
                <w:sz w:val="13"/>
                <w:szCs w:val="13"/>
                <w:color w:val="auto"/>
              </w:rPr>
            </w:pPr>
          </w:p>
        </w:tc>
        <w:tc>
          <w:tcPr>
            <w:tcW w:w="1140" w:type="dxa"/>
            <w:vAlign w:val="bottom"/>
          </w:tcPr>
          <w:p>
            <w:pPr>
              <w:jc w:val="center"/>
              <w:spacing w:after="0"/>
              <w:rPr>
                <w:sz w:val="20"/>
                <w:szCs w:val="20"/>
                <w:color w:val="auto"/>
              </w:rPr>
            </w:pPr>
            <w:r>
              <w:rPr>
                <w:rFonts w:ascii="Arial" w:cs="Arial" w:eastAsia="Arial" w:hAnsi="Arial"/>
                <w:sz w:val="13"/>
                <w:szCs w:val="13"/>
                <w:color w:val="auto"/>
                <w:w w:val="89"/>
              </w:rPr>
              <w:t>2008</w:t>
            </w:r>
          </w:p>
        </w:tc>
      </w:tr>
      <w:tr>
        <w:trPr>
          <w:trHeight w:val="164"/>
        </w:trPr>
        <w:tc>
          <w:tcPr>
            <w:tcW w:w="4220" w:type="dxa"/>
            <w:vAlign w:val="bottom"/>
          </w:tcPr>
          <w:p>
            <w:pPr>
              <w:spacing w:after="0"/>
              <w:rPr>
                <w:sz w:val="14"/>
                <w:szCs w:val="14"/>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89"/>
              </w:rPr>
              <w:t>(in thousands)</w:t>
            </w:r>
          </w:p>
        </w:tc>
      </w:tr>
      <w:tr>
        <w:trPr>
          <w:trHeight w:val="220"/>
        </w:trPr>
        <w:tc>
          <w:tcPr>
            <w:tcW w:w="4220" w:type="dxa"/>
            <w:vAlign w:val="bottom"/>
          </w:tcPr>
          <w:p>
            <w:pPr>
              <w:spacing w:after="0"/>
              <w:rPr>
                <w:sz w:val="20"/>
                <w:szCs w:val="20"/>
                <w:color w:val="auto"/>
              </w:rPr>
            </w:pPr>
            <w:r>
              <w:rPr>
                <w:rFonts w:ascii="Arial" w:cs="Arial" w:eastAsia="Arial" w:hAnsi="Arial"/>
                <w:sz w:val="18"/>
                <w:szCs w:val="18"/>
                <w:color w:val="auto"/>
              </w:rPr>
              <w:t>Commodities owned:</w:t>
            </w:r>
          </w:p>
        </w:tc>
        <w:tc>
          <w:tcPr>
            <w:tcW w:w="1140" w:type="dxa"/>
            <w:vAlign w:val="bottom"/>
          </w:tcPr>
          <w:p>
            <w:pPr>
              <w:spacing w:after="0"/>
              <w:rPr>
                <w:sz w:val="19"/>
                <w:szCs w:val="19"/>
                <w:color w:val="auto"/>
              </w:rPr>
            </w:pPr>
          </w:p>
        </w:tc>
      </w:tr>
      <w:tr>
        <w:trPr>
          <w:trHeight w:val="228"/>
        </w:trPr>
        <w:tc>
          <w:tcPr>
            <w:tcW w:w="4220" w:type="dxa"/>
            <w:vAlign w:val="bottom"/>
          </w:tcPr>
          <w:p>
            <w:pPr>
              <w:ind w:left="220"/>
              <w:spacing w:after="0"/>
              <w:rPr>
                <w:sz w:val="20"/>
                <w:szCs w:val="20"/>
                <w:color w:val="auto"/>
              </w:rPr>
            </w:pPr>
            <w:r>
              <w:rPr>
                <w:rFonts w:ascii="Arial" w:cs="Arial" w:eastAsia="Arial" w:hAnsi="Arial"/>
                <w:sz w:val="18"/>
                <w:szCs w:val="18"/>
                <w:color w:val="auto"/>
                <w:w w:val="98"/>
              </w:rPr>
              <w:t>Per Consolidated Statement of Financial Condition</w:t>
            </w:r>
          </w:p>
        </w:tc>
        <w:tc>
          <w:tcPr>
            <w:tcW w:w="1140" w:type="dxa"/>
            <w:vAlign w:val="bottom"/>
          </w:tcPr>
          <w:p>
            <w:pPr>
              <w:jc w:val="right"/>
              <w:spacing w:after="0"/>
              <w:rPr>
                <w:sz w:val="20"/>
                <w:szCs w:val="20"/>
                <w:color w:val="auto"/>
              </w:rPr>
            </w:pPr>
            <w:r>
              <w:rPr>
                <w:rFonts w:ascii="Arial" w:cs="Arial" w:eastAsia="Arial" w:hAnsi="Arial"/>
                <w:sz w:val="18"/>
                <w:szCs w:val="18"/>
                <w:color w:val="auto"/>
              </w:rPr>
              <w:t>$1,162,559</w:t>
            </w:r>
          </w:p>
        </w:tc>
      </w:tr>
      <w:tr>
        <w:trPr>
          <w:trHeight w:val="236"/>
        </w:trPr>
        <w:tc>
          <w:tcPr>
            <w:tcW w:w="4220" w:type="dxa"/>
            <w:vAlign w:val="bottom"/>
          </w:tcPr>
          <w:p>
            <w:pPr>
              <w:ind w:left="220"/>
              <w:spacing w:after="0"/>
              <w:rPr>
                <w:sz w:val="20"/>
                <w:szCs w:val="20"/>
                <w:color w:val="auto"/>
              </w:rPr>
            </w:pPr>
            <w:r>
              <w:rPr>
                <w:rFonts w:ascii="Arial" w:cs="Arial" w:eastAsia="Arial" w:hAnsi="Arial"/>
                <w:sz w:val="18"/>
                <w:szCs w:val="18"/>
                <w:color w:val="auto"/>
                <w:w w:val="99"/>
              </w:rPr>
              <w:t>Less amounts recorded at lower-of-cost-or-market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9,843</w:t>
            </w:r>
          </w:p>
        </w:tc>
      </w:tr>
      <w:tr>
        <w:trPr>
          <w:trHeight w:val="236"/>
        </w:trPr>
        <w:tc>
          <w:tcPr>
            <w:tcW w:w="4220" w:type="dxa"/>
            <w:vAlign w:val="bottom"/>
          </w:tcPr>
          <w:p>
            <w:pPr>
              <w:spacing w:after="0"/>
              <w:rPr>
                <w:sz w:val="20"/>
                <w:szCs w:val="20"/>
                <w:color w:val="auto"/>
              </w:rPr>
            </w:pPr>
            <w:r>
              <w:rPr>
                <w:rFonts w:ascii="Arial" w:cs="Arial" w:eastAsia="Arial" w:hAnsi="Arial"/>
                <w:sz w:val="18"/>
                <w:szCs w:val="18"/>
                <w:color w:val="auto"/>
              </w:rPr>
              <w:t>Per recurring fair value measures table</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$1,152,716</w:t>
            </w:r>
          </w:p>
        </w:tc>
      </w:tr>
    </w:tbl>
    <w:p>
      <w:pPr>
        <w:spacing w:after="0" w:line="358" w:lineRule="exact"/>
        <w:rPr>
          <w:sz w:val="20"/>
          <w:szCs w:val="20"/>
          <w:color w:val="auto"/>
        </w:rPr>
      </w:pPr>
    </w:p>
    <w:p>
      <w:pPr>
        <w:ind w:right="180"/>
        <w:spacing w:after="0" w:line="246" w:lineRule="auto"/>
        <w:rPr>
          <w:sz w:val="20"/>
          <w:szCs w:val="20"/>
          <w:color w:val="auto"/>
        </w:rPr>
      </w:pPr>
      <w:r>
        <w:rPr>
          <w:rFonts w:ascii="Arial" w:cs="Arial" w:eastAsia="Arial" w:hAnsi="Arial"/>
          <w:sz w:val="18"/>
          <w:szCs w:val="18"/>
          <w:color w:val="auto"/>
        </w:rPr>
        <w:t>The determination of the fair values above incorporates various factors required under SFAS 157. These factors include not only the credit standing of the counterparties involved and the impact of credit enhancements (such as cash deposits, letters of credit and priority interests), but also the impact of the Partnership’s nonperformance risk on its liabilities.</w:t>
      </w:r>
    </w:p>
    <w:p>
      <w:pPr>
        <w:spacing w:after="0" w:line="144" w:lineRule="exact"/>
        <w:rPr>
          <w:sz w:val="20"/>
          <w:szCs w:val="20"/>
          <w:color w:val="auto"/>
        </w:rPr>
      </w:pPr>
    </w:p>
    <w:p>
      <w:pPr>
        <w:ind w:right="240"/>
        <w:spacing w:after="0" w:line="354" w:lineRule="auto"/>
        <w:rPr>
          <w:sz w:val="20"/>
          <w:szCs w:val="20"/>
          <w:color w:val="auto"/>
        </w:rPr>
      </w:pPr>
      <w:r>
        <w:rPr>
          <w:rFonts w:ascii="Arial" w:cs="Arial" w:eastAsia="Arial" w:hAnsi="Arial"/>
          <w:sz w:val="15"/>
          <w:szCs w:val="15"/>
          <w:color w:val="auto"/>
        </w:rPr>
        <w:t>Trading derivatives and commodity trading inventories reflect positions held by the Partnership. The fair value of exchange-traded derivative contracts, which include futures and exchange-traded options, is generally based on unadjusted quoted prices in active markets and are classified within Level 1. In</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340"/>
        <w:spacing w:after="0"/>
        <w:rPr>
          <w:sz w:val="20"/>
          <w:szCs w:val="20"/>
          <w:color w:val="auto"/>
        </w:rPr>
      </w:pPr>
      <w:r>
        <w:rPr>
          <w:rFonts w:ascii="Arial" w:cs="Arial" w:eastAsia="Arial" w:hAnsi="Arial"/>
          <w:sz w:val="18"/>
          <w:szCs w:val="18"/>
          <w:color w:val="auto"/>
        </w:rPr>
        <w:t>- 13 -</w:t>
      </w:r>
    </w:p>
    <w:p>
      <w:pPr>
        <w:sectPr>
          <w:pgSz w:w="11900" w:h="16838" w:orient="portrait"/>
          <w:cols w:equalWidth="0" w:num="1">
            <w:col w:w="11020"/>
          </w:cols>
          <w:pgMar w:left="620" w:top="510" w:right="259" w:bottom="1440" w:gutter="0" w:footer="0" w:header="0"/>
        </w:sectPr>
      </w:pPr>
    </w:p>
    <w:bookmarkStart w:id="365" w:name="page366"/>
    <w:bookmarkEnd w:id="365"/>
    <w:p>
      <w:pPr>
        <w:ind w:left="384"/>
        <w:spacing w:after="0" w:line="291" w:lineRule="auto"/>
        <w:rPr>
          <w:sz w:val="20"/>
          <w:szCs w:val="20"/>
          <w:color w:val="auto"/>
        </w:rPr>
      </w:pPr>
      <w:r>
        <w:rPr>
          <w:rFonts w:ascii="Arial" w:cs="Arial" w:eastAsia="Arial" w:hAnsi="Arial"/>
          <w:sz w:val="15"/>
          <w:szCs w:val="15"/>
          <w:color w:val="auto"/>
        </w:rPr>
        <w:t>addition, certain OTC-cleared options and swap contracts are included in Level 1, as the fair values of these items are based on unadjusted quoted prices in active markets. Some exchange-traded derivatives are valued using broker or dealer quotations, or market transactions in either the listed or OTC markets. In such cases, these exchange-traded derivatives are classified within Level 2. OTC derivative trading instruments include swaps, forwards, options and complex structures that are valued at fair value and may be offset with similar positions in exchange-traded markets. In certain instances, these instruments may utilize models to measure fair value. Generally, the Partnership uses a similar model to value similar instruments. Valuation models utilize various inputs that include quoted prices for similar assets or liabilities in active markets, quoted prices for identical or similar asset s or liabilities in markets that are not active, other observable inputs for the asset or liability, and market-corroborated inputs (i.e., inputs derived principally from or corroborated by observable market data by correlation or other means.) Where observable inputs are available for substantially the full term of the asset or liability, the instrument is categorized in Level 2. Certain OTC derivatives trade in less active markets with a lower availability of pricing information. In addition, complex or structured transactions can introduce the need for internally-developed model inputs that might not be observable in or corroborated by the market. When such inputs have a significant impact on the measurement of fair value, the instrument is categorized in Level 3.</w:t>
      </w:r>
    </w:p>
    <w:p>
      <w:pPr>
        <w:spacing w:after="0" w:line="126" w:lineRule="exact"/>
        <w:rPr>
          <w:sz w:val="20"/>
          <w:szCs w:val="20"/>
          <w:color w:val="auto"/>
        </w:rPr>
      </w:pPr>
    </w:p>
    <w:p>
      <w:pPr>
        <w:ind w:left="384" w:right="500"/>
        <w:spacing w:after="0" w:line="255" w:lineRule="auto"/>
        <w:rPr>
          <w:sz w:val="20"/>
          <w:szCs w:val="20"/>
          <w:color w:val="auto"/>
        </w:rPr>
      </w:pPr>
      <w:r>
        <w:rPr>
          <w:rFonts w:ascii="Arial" w:cs="Arial" w:eastAsia="Arial" w:hAnsi="Arial"/>
          <w:sz w:val="18"/>
          <w:szCs w:val="18"/>
          <w:color w:val="auto"/>
        </w:rPr>
        <w:t>The following table sets forth a reconciliation of changes in the fair value of net trading derivatives classified as Level 3 in the fair value hierarchy (in thousands):</w:t>
      </w:r>
    </w:p>
    <w:p>
      <w:pPr>
        <w:sectPr>
          <w:pgSz w:w="11900" w:h="16838" w:orient="portrait"/>
          <w:cols w:equalWidth="0" w:num="1">
            <w:col w:w="11444"/>
          </w:cols>
          <w:pgMar w:left="236" w:top="509" w:right="219" w:bottom="1440" w:gutter="0" w:footer="0" w:header="0"/>
        </w:sectPr>
      </w:pPr>
    </w:p>
    <w:p>
      <w:pPr>
        <w:spacing w:after="0" w:line="173" w:lineRule="exact"/>
        <w:rPr>
          <w:sz w:val="20"/>
          <w:szCs w:val="20"/>
          <w:color w:val="auto"/>
        </w:rPr>
      </w:pPr>
    </w:p>
    <w:p>
      <w:pPr>
        <w:ind w:left="3124"/>
        <w:spacing w:after="0"/>
        <w:rPr>
          <w:sz w:val="20"/>
          <w:szCs w:val="20"/>
          <w:color w:val="auto"/>
        </w:rPr>
      </w:pPr>
      <w:r>
        <w:rPr>
          <w:rFonts w:ascii="Arial" w:cs="Arial" w:eastAsia="Arial" w:hAnsi="Arial"/>
          <w:sz w:val="18"/>
          <w:szCs w:val="18"/>
          <w:color w:val="auto"/>
        </w:rPr>
        <w:t>Balance as of April 1, 2008</w:t>
      </w:r>
    </w:p>
    <w:p>
      <w:pPr>
        <w:spacing w:after="0" w:line="249" w:lineRule="exact"/>
        <w:rPr>
          <w:sz w:val="20"/>
          <w:szCs w:val="20"/>
          <w:color w:val="auto"/>
        </w:rPr>
      </w:pPr>
    </w:p>
    <w:p>
      <w:pPr>
        <w:ind w:left="3124"/>
        <w:spacing w:after="0"/>
        <w:rPr>
          <w:sz w:val="20"/>
          <w:szCs w:val="20"/>
          <w:color w:val="auto"/>
        </w:rPr>
      </w:pPr>
      <w:r>
        <w:rPr>
          <w:rFonts w:ascii="Arial" w:cs="Arial" w:eastAsia="Arial" w:hAnsi="Arial"/>
          <w:sz w:val="18"/>
          <w:szCs w:val="18"/>
          <w:color w:val="auto"/>
        </w:rPr>
        <w:t>Realized and unrealized gains</w:t>
      </w:r>
    </w:p>
    <w:p>
      <w:pPr>
        <w:spacing w:after="0" w:line="21" w:lineRule="exact"/>
        <w:rPr>
          <w:sz w:val="20"/>
          <w:szCs w:val="20"/>
          <w:color w:val="auto"/>
        </w:rPr>
      </w:pPr>
    </w:p>
    <w:p>
      <w:pPr>
        <w:ind w:left="3124"/>
        <w:spacing w:after="0"/>
        <w:rPr>
          <w:sz w:val="20"/>
          <w:szCs w:val="20"/>
          <w:color w:val="auto"/>
        </w:rPr>
      </w:pPr>
      <w:r>
        <w:rPr>
          <w:rFonts w:ascii="Arial" w:cs="Arial" w:eastAsia="Arial" w:hAnsi="Arial"/>
          <w:sz w:val="18"/>
          <w:szCs w:val="18"/>
          <w:color w:val="auto"/>
        </w:rPr>
        <w:t>Purchases, settlements, sales and issuances</w:t>
      </w:r>
    </w:p>
    <w:p>
      <w:pPr>
        <w:spacing w:after="0" w:line="33" w:lineRule="exact"/>
        <w:rPr>
          <w:sz w:val="20"/>
          <w:szCs w:val="20"/>
          <w:color w:val="auto"/>
        </w:rPr>
      </w:pPr>
    </w:p>
    <w:p>
      <w:pPr>
        <w:ind w:left="3124"/>
        <w:spacing w:after="0"/>
        <w:rPr>
          <w:sz w:val="20"/>
          <w:szCs w:val="20"/>
          <w:color w:val="auto"/>
        </w:rPr>
      </w:pPr>
      <w:r>
        <w:rPr>
          <w:rFonts w:ascii="Arial" w:cs="Arial" w:eastAsia="Arial" w:hAnsi="Arial"/>
          <w:sz w:val="18"/>
          <w:szCs w:val="18"/>
          <w:color w:val="auto"/>
        </w:rPr>
        <w:t>Transfers in and/or out of Level 3</w:t>
      </w:r>
    </w:p>
    <w:p>
      <w:pPr>
        <w:spacing w:after="0" w:line="286" w:lineRule="exact"/>
        <w:rPr>
          <w:sz w:val="20"/>
          <w:szCs w:val="20"/>
          <w:color w:val="auto"/>
        </w:rPr>
      </w:pPr>
    </w:p>
    <w:p>
      <w:pPr>
        <w:ind w:left="3124"/>
        <w:spacing w:after="0"/>
        <w:rPr>
          <w:sz w:val="20"/>
          <w:szCs w:val="20"/>
          <w:color w:val="auto"/>
        </w:rPr>
      </w:pPr>
      <w:r>
        <w:rPr>
          <w:rFonts w:ascii="Arial" w:cs="Arial" w:eastAsia="Arial" w:hAnsi="Arial"/>
          <w:sz w:val="18"/>
          <w:szCs w:val="18"/>
          <w:color w:val="auto"/>
        </w:rPr>
        <w:t>Balance as of December 31, 2008</w:t>
      </w:r>
    </w:p>
    <w:p>
      <w:pPr>
        <w:spacing w:after="0" w:line="249" w:lineRule="exact"/>
        <w:rPr>
          <w:sz w:val="20"/>
          <w:szCs w:val="20"/>
          <w:color w:val="auto"/>
        </w:rPr>
      </w:pPr>
    </w:p>
    <w:p>
      <w:pPr>
        <w:ind w:left="3344" w:hanging="229"/>
        <w:spacing w:after="0" w:line="255" w:lineRule="auto"/>
        <w:rPr>
          <w:sz w:val="20"/>
          <w:szCs w:val="20"/>
          <w:color w:val="auto"/>
        </w:rPr>
      </w:pPr>
      <w:r>
        <w:rPr>
          <w:rFonts w:ascii="Arial" w:cs="Arial" w:eastAsia="Arial" w:hAnsi="Arial"/>
          <w:sz w:val="18"/>
          <w:szCs w:val="18"/>
          <w:color w:val="auto"/>
        </w:rPr>
        <w:t>Change in unrealized gains (losses) relating to instruments still held as of December 31, 2008</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Arial" w:cs="Arial" w:eastAsia="Arial" w:hAnsi="Arial"/>
          <w:sz w:val="15"/>
          <w:szCs w:val="15"/>
          <w:color w:val="auto"/>
        </w:rPr>
        <w:t>$379,321</w:t>
      </w:r>
    </w:p>
    <w:p>
      <w:pPr>
        <w:spacing w:after="0" w:line="284" w:lineRule="exact"/>
        <w:rPr>
          <w:sz w:val="20"/>
          <w:szCs w:val="20"/>
          <w:color w:val="auto"/>
        </w:rPr>
      </w:pPr>
    </w:p>
    <w:p>
      <w:pPr>
        <w:jc w:val="right"/>
        <w:ind w:right="3120"/>
        <w:spacing w:after="0"/>
        <w:rPr>
          <w:sz w:val="20"/>
          <w:szCs w:val="20"/>
          <w:color w:val="auto"/>
        </w:rPr>
      </w:pPr>
      <w:r>
        <w:rPr>
          <w:rFonts w:ascii="Arial" w:cs="Arial" w:eastAsia="Arial" w:hAnsi="Arial"/>
          <w:sz w:val="17"/>
          <w:szCs w:val="17"/>
          <w:color w:val="auto"/>
        </w:rPr>
        <w:t>(57,557)</w:t>
      </w:r>
    </w:p>
    <w:p>
      <w:pPr>
        <w:spacing w:after="0" w:line="33" w:lineRule="exact"/>
        <w:rPr>
          <w:sz w:val="20"/>
          <w:szCs w:val="20"/>
          <w:color w:val="auto"/>
        </w:rPr>
      </w:pPr>
    </w:p>
    <w:p>
      <w:pPr>
        <w:jc w:val="right"/>
        <w:ind w:right="3120"/>
        <w:spacing w:after="0"/>
        <w:rPr>
          <w:sz w:val="20"/>
          <w:szCs w:val="20"/>
          <w:color w:val="auto"/>
        </w:rPr>
      </w:pPr>
      <w:r>
        <w:rPr>
          <w:rFonts w:ascii="Arial" w:cs="Arial" w:eastAsia="Arial" w:hAnsi="Arial"/>
          <w:sz w:val="18"/>
          <w:szCs w:val="18"/>
          <w:color w:val="auto"/>
        </w:rPr>
        <w:t>150,140</w:t>
      </w:r>
    </w:p>
    <w:p>
      <w:pPr>
        <w:spacing w:after="0" w:line="21" w:lineRule="exact"/>
        <w:rPr>
          <w:sz w:val="20"/>
          <w:szCs w:val="20"/>
          <w:color w:val="auto"/>
        </w:rPr>
      </w:pPr>
    </w:p>
    <w:p>
      <w:pPr>
        <w:jc w:val="right"/>
        <w:ind w:right="3120"/>
        <w:spacing w:after="0"/>
        <w:rPr>
          <w:sz w:val="20"/>
          <w:szCs w:val="20"/>
          <w:color w:val="auto"/>
        </w:rPr>
      </w:pPr>
      <w:r>
        <w:rPr>
          <w:rFonts w:ascii="Arial" w:cs="Arial" w:eastAsia="Arial" w:hAnsi="Arial"/>
          <w:sz w:val="18"/>
          <w:szCs w:val="18"/>
          <w:color w:val="auto"/>
        </w:rPr>
        <w:t>10,972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15240</wp:posOffset>
            </wp:positionV>
            <wp:extent cx="549275" cy="762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549275" cy="7620"/>
                    </a:xfrm>
                    <a:prstGeom prst="rect">
                      <a:avLst/>
                    </a:prstGeom>
                    <a:noFill/>
                  </pic:spPr>
                </pic:pic>
              </a:graphicData>
            </a:graphic>
          </wp:anchor>
        </w:drawing>
      </w:r>
    </w:p>
    <w:p>
      <w:pPr>
        <w:spacing w:after="0" w:line="241" w:lineRule="exact"/>
        <w:rPr>
          <w:sz w:val="20"/>
          <w:szCs w:val="20"/>
          <w:color w:val="auto"/>
        </w:rPr>
      </w:pPr>
    </w:p>
    <w:p>
      <w:pPr>
        <w:spacing w:after="0"/>
        <w:rPr>
          <w:sz w:val="20"/>
          <w:szCs w:val="20"/>
          <w:color w:val="auto"/>
        </w:rPr>
      </w:pPr>
      <w:r>
        <w:rPr>
          <w:rFonts w:ascii="Arial" w:cs="Arial" w:eastAsia="Arial" w:hAnsi="Arial"/>
          <w:sz w:val="15"/>
          <w:szCs w:val="15"/>
          <w:color w:val="auto"/>
        </w:rPr>
        <w:t>$482,876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36830</wp:posOffset>
            </wp:positionV>
            <wp:extent cx="549275" cy="2286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549275" cy="22860"/>
                    </a:xfrm>
                    <a:prstGeom prst="rect">
                      <a:avLst/>
                    </a:prstGeom>
                    <a:noFill/>
                  </pic:spPr>
                </pic:pic>
              </a:graphicData>
            </a:graphic>
          </wp:anchor>
        </w:drawing>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5"/>
          <w:szCs w:val="15"/>
          <w:color w:val="auto"/>
        </w:rPr>
        <w:t>$379,854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36830</wp:posOffset>
            </wp:positionV>
            <wp:extent cx="549275" cy="2286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549275" cy="22860"/>
                    </a:xfrm>
                    <a:prstGeom prst="rect">
                      <a:avLst/>
                    </a:prstGeom>
                    <a:noFill/>
                  </pic:spPr>
                </pic:pic>
              </a:graphicData>
            </a:graphic>
          </wp:anchor>
        </w:drawing>
      </w:r>
    </w:p>
    <w:p>
      <w:pPr>
        <w:spacing w:after="0" w:line="299" w:lineRule="exact"/>
        <w:rPr>
          <w:sz w:val="20"/>
          <w:szCs w:val="20"/>
          <w:color w:val="auto"/>
        </w:rPr>
      </w:pPr>
    </w:p>
    <w:p>
      <w:pPr>
        <w:sectPr>
          <w:pgSz w:w="11900" w:h="16838" w:orient="portrait"/>
          <w:cols w:equalWidth="0" w:num="2">
            <w:col w:w="7244" w:space="420"/>
            <w:col w:w="3780"/>
          </w:cols>
          <w:pgMar w:left="236" w:top="509" w:right="219" w:bottom="1440" w:gutter="0" w:footer="0" w:header="0"/>
          <w:type w:val="continuous"/>
        </w:sectPr>
      </w:pPr>
    </w:p>
    <w:p>
      <w:pPr>
        <w:spacing w:after="0" w:line="153" w:lineRule="exact"/>
        <w:rPr>
          <w:sz w:val="20"/>
          <w:szCs w:val="20"/>
          <w:color w:val="auto"/>
        </w:rPr>
      </w:pPr>
    </w:p>
    <w:p>
      <w:pPr>
        <w:ind w:left="384"/>
        <w:spacing w:after="0"/>
        <w:rPr>
          <w:sz w:val="20"/>
          <w:szCs w:val="20"/>
          <w:color w:val="auto"/>
        </w:rPr>
      </w:pPr>
      <w:r>
        <w:rPr>
          <w:rFonts w:ascii="Arial" w:cs="Arial" w:eastAsia="Arial" w:hAnsi="Arial"/>
          <w:sz w:val="18"/>
          <w:szCs w:val="18"/>
          <w:color w:val="auto"/>
        </w:rPr>
        <w:t>Gains and losses (realized and unrealized) for Level 3 items are included primarily in Principal transactions, net.</w:t>
      </w:r>
    </w:p>
    <w:p>
      <w:pPr>
        <w:spacing w:after="0" w:line="177" w:lineRule="exact"/>
        <w:rPr>
          <w:sz w:val="20"/>
          <w:szCs w:val="20"/>
          <w:color w:val="auto"/>
        </w:rPr>
      </w:pPr>
    </w:p>
    <w:p>
      <w:pPr>
        <w:ind w:left="384" w:right="180"/>
        <w:spacing w:after="0" w:line="246" w:lineRule="auto"/>
        <w:rPr>
          <w:sz w:val="20"/>
          <w:szCs w:val="20"/>
          <w:color w:val="auto"/>
        </w:rPr>
      </w:pPr>
      <w:r>
        <w:rPr>
          <w:rFonts w:ascii="Arial" w:cs="Arial" w:eastAsia="Arial" w:hAnsi="Arial"/>
          <w:sz w:val="18"/>
          <w:szCs w:val="18"/>
          <w:color w:val="auto"/>
        </w:rPr>
        <w:t>Transfers in and/or out of Level 3 represent existing assets or liabilities that were either previously categorized as a higher level for which the inputs to the model became unobservable or assets and liabilities that were previously classified as Level 3 for which the lowest significant input became observable during the period.</w:t>
      </w:r>
    </w:p>
    <w:p>
      <w:pPr>
        <w:spacing w:after="0" w:line="144" w:lineRule="exact"/>
        <w:rPr>
          <w:sz w:val="20"/>
          <w:szCs w:val="20"/>
          <w:color w:val="auto"/>
        </w:rPr>
      </w:pPr>
    </w:p>
    <w:p>
      <w:pPr>
        <w:ind w:left="384" w:right="40"/>
        <w:spacing w:after="0" w:line="255" w:lineRule="auto"/>
        <w:rPr>
          <w:sz w:val="20"/>
          <w:szCs w:val="20"/>
          <w:color w:val="auto"/>
        </w:rPr>
      </w:pPr>
      <w:r>
        <w:rPr>
          <w:rFonts w:ascii="Arial" w:cs="Arial" w:eastAsia="Arial" w:hAnsi="Arial"/>
          <w:sz w:val="18"/>
          <w:szCs w:val="18"/>
          <w:color w:val="auto"/>
        </w:rPr>
        <w:t>Given the nature, size, timing and tenor of certain complex transactions, changing one or more of the less observable inputs within the valuation model, may materially change the values used by management.</w:t>
      </w:r>
    </w:p>
    <w:p>
      <w:pPr>
        <w:spacing w:after="0" w:line="143" w:lineRule="exact"/>
        <w:rPr>
          <w:sz w:val="20"/>
          <w:szCs w:val="20"/>
          <w:color w:val="auto"/>
        </w:rPr>
      </w:pPr>
    </w:p>
    <w:p>
      <w:pPr>
        <w:ind w:left="384" w:hanging="384"/>
        <w:spacing w:after="0"/>
        <w:tabs>
          <w:tab w:leader="none" w:pos="384" w:val="left"/>
        </w:tabs>
        <w:numPr>
          <w:ilvl w:val="0"/>
          <w:numId w:val="422"/>
        </w:numPr>
        <w:rPr>
          <w:rFonts w:ascii="Arial" w:cs="Arial" w:eastAsia="Arial" w:hAnsi="Arial"/>
          <w:sz w:val="18"/>
          <w:szCs w:val="18"/>
          <w:b w:val="1"/>
          <w:bCs w:val="1"/>
          <w:color w:val="auto"/>
        </w:rPr>
      </w:pPr>
      <w:r>
        <w:rPr>
          <w:rFonts w:ascii="Arial" w:cs="Arial" w:eastAsia="Arial" w:hAnsi="Arial"/>
          <w:sz w:val="18"/>
          <w:szCs w:val="18"/>
          <w:b w:val="1"/>
          <w:bCs w:val="1"/>
          <w:color w:val="auto"/>
        </w:rPr>
        <w:t>TRADING ACTIVITY AND RISK MANAGEMENT</w:t>
      </w:r>
    </w:p>
    <w:p>
      <w:pPr>
        <w:spacing w:after="0" w:line="171" w:lineRule="exact"/>
        <w:rPr>
          <w:rFonts w:ascii="Arial" w:cs="Arial" w:eastAsia="Arial" w:hAnsi="Arial"/>
          <w:sz w:val="18"/>
          <w:szCs w:val="18"/>
          <w:b w:val="1"/>
          <w:bCs w:val="1"/>
          <w:color w:val="auto"/>
        </w:rPr>
      </w:pPr>
    </w:p>
    <w:p>
      <w:pPr>
        <w:ind w:left="384" w:right="220"/>
        <w:spacing w:after="0" w:line="354" w:lineRule="auto"/>
        <w:rPr>
          <w:rFonts w:ascii="Arial" w:cs="Arial" w:eastAsia="Arial" w:hAnsi="Arial"/>
          <w:sz w:val="18"/>
          <w:szCs w:val="18"/>
          <w:b w:val="1"/>
          <w:bCs w:val="1"/>
          <w:color w:val="auto"/>
        </w:rPr>
      </w:pPr>
      <w:r>
        <w:rPr>
          <w:rFonts w:ascii="Arial" w:cs="Arial" w:eastAsia="Arial" w:hAnsi="Arial"/>
          <w:sz w:val="15"/>
          <w:szCs w:val="15"/>
          <w:color w:val="auto"/>
        </w:rPr>
        <w:t>The Partnership derives a substantial portion of its revenue from market-making and trading activities, as an agent for RBS and a principal, in natural gas, electricity, petroleum, petroleum products, base metals and other commodities. It quotes bid and offer prices to other market makers and end users. It</w:t>
      </w:r>
    </w:p>
    <w:p>
      <w:pPr>
        <w:spacing w:after="0" w:line="200" w:lineRule="exact"/>
        <w:rPr>
          <w:rFonts w:ascii="Arial" w:cs="Arial" w:eastAsia="Arial" w:hAnsi="Arial"/>
          <w:sz w:val="18"/>
          <w:szCs w:val="18"/>
          <w:b w:val="1"/>
          <w:bCs w:val="1"/>
          <w:color w:val="auto"/>
        </w:rPr>
      </w:pPr>
    </w:p>
    <w:p>
      <w:pPr>
        <w:spacing w:after="0" w:line="200" w:lineRule="exact"/>
        <w:rPr>
          <w:rFonts w:ascii="Arial" w:cs="Arial" w:eastAsia="Arial" w:hAnsi="Arial"/>
          <w:sz w:val="18"/>
          <w:szCs w:val="18"/>
          <w:b w:val="1"/>
          <w:bCs w:val="1"/>
          <w:color w:val="auto"/>
        </w:rPr>
      </w:pPr>
    </w:p>
    <w:p>
      <w:pPr>
        <w:spacing w:after="0" w:line="244" w:lineRule="exact"/>
        <w:rPr>
          <w:rFonts w:ascii="Arial" w:cs="Arial" w:eastAsia="Arial" w:hAnsi="Arial"/>
          <w:sz w:val="18"/>
          <w:szCs w:val="18"/>
          <w:b w:val="1"/>
          <w:bCs w:val="1"/>
          <w:color w:val="auto"/>
        </w:rPr>
      </w:pPr>
    </w:p>
    <w:p>
      <w:pPr>
        <w:ind w:left="5624" w:hanging="97"/>
        <w:spacing w:after="0"/>
        <w:tabs>
          <w:tab w:leader="none" w:pos="5624" w:val="left"/>
        </w:tabs>
        <w:numPr>
          <w:ilvl w:val="1"/>
          <w:numId w:val="422"/>
        </w:numPr>
        <w:rPr>
          <w:rFonts w:ascii="Arial" w:cs="Arial" w:eastAsia="Arial" w:hAnsi="Arial"/>
          <w:sz w:val="18"/>
          <w:szCs w:val="18"/>
          <w:color w:val="auto"/>
        </w:rPr>
      </w:pPr>
      <w:r>
        <w:rPr>
          <w:rFonts w:ascii="Arial" w:cs="Arial" w:eastAsia="Arial" w:hAnsi="Arial"/>
          <w:sz w:val="18"/>
          <w:szCs w:val="18"/>
          <w:color w:val="auto"/>
        </w:rPr>
        <w:t>14 -</w:t>
      </w:r>
    </w:p>
    <w:p>
      <w:pPr>
        <w:sectPr>
          <w:pgSz w:w="11900" w:h="16838" w:orient="portrait"/>
          <w:cols w:equalWidth="0" w:num="1">
            <w:col w:w="11444"/>
          </w:cols>
          <w:pgMar w:left="236" w:top="509" w:right="219" w:bottom="1440" w:gutter="0" w:footer="0" w:header="0"/>
          <w:type w:val="continuous"/>
        </w:sectPr>
      </w:pPr>
    </w:p>
    <w:bookmarkStart w:id="366" w:name="page367"/>
    <w:bookmarkEnd w:id="366"/>
    <w:p>
      <w:pPr>
        <w:ind w:right="20"/>
        <w:spacing w:after="0" w:line="241" w:lineRule="auto"/>
        <w:rPr>
          <w:sz w:val="20"/>
          <w:szCs w:val="20"/>
          <w:color w:val="auto"/>
        </w:rPr>
      </w:pPr>
      <w:r>
        <w:rPr>
          <w:rFonts w:ascii="Arial" w:cs="Arial" w:eastAsia="Arial" w:hAnsi="Arial"/>
          <w:sz w:val="18"/>
          <w:szCs w:val="18"/>
          <w:color w:val="auto"/>
        </w:rPr>
        <w:t>also earns trading profits as a dealer by structuring and executing transactions that permit its counterparts to manage their risk profiles. In addition, it takes positions in markets based on the expectation of future market conditions. These positions may be offset with similar positions or may be offset by positions taken in exchange-traded markets. These positions include options, forwards, futures and swaps. These financial instruments represent contracts with counterparts whereby payments are linked to or derived from market indices or on terms predetermined by the contract, which may or may not be financially settled by the Partnership.</w:t>
      </w:r>
    </w:p>
    <w:p>
      <w:pPr>
        <w:spacing w:after="0" w:line="162" w:lineRule="exact"/>
        <w:rPr>
          <w:sz w:val="20"/>
          <w:szCs w:val="20"/>
          <w:color w:val="auto"/>
        </w:rPr>
      </w:pPr>
    </w:p>
    <w:p>
      <w:pPr>
        <w:jc w:val="both"/>
        <w:ind w:right="180"/>
        <w:spacing w:after="0" w:line="319" w:lineRule="auto"/>
        <w:rPr>
          <w:sz w:val="20"/>
          <w:szCs w:val="20"/>
          <w:color w:val="auto"/>
        </w:rPr>
      </w:pPr>
      <w:r>
        <w:rPr>
          <w:rFonts w:ascii="Arial" w:cs="Arial" w:eastAsia="Arial" w:hAnsi="Arial"/>
          <w:sz w:val="15"/>
          <w:szCs w:val="15"/>
          <w:color w:val="auto"/>
        </w:rPr>
        <w:t>Forward and future transactions are contracts for delayed delivery of commodity instruments in which the counterpart agrees to make or take delivery at a specified price. Derivative commodity swap transactions may involve the exchange of fixed and floating payment obligations without the exchange of the underlying commodity. For additional information about derivatives and related hedging activities see Note 6 — Derivatives and Hedging Activities.</w:t>
      </w:r>
    </w:p>
    <w:p>
      <w:pPr>
        <w:spacing w:after="0" w:line="93" w:lineRule="exact"/>
        <w:rPr>
          <w:sz w:val="20"/>
          <w:szCs w:val="20"/>
          <w:color w:val="auto"/>
        </w:rPr>
      </w:pPr>
    </w:p>
    <w:p>
      <w:pPr>
        <w:ind w:right="100"/>
        <w:spacing w:after="0" w:line="246" w:lineRule="auto"/>
        <w:rPr>
          <w:sz w:val="20"/>
          <w:szCs w:val="20"/>
          <w:color w:val="auto"/>
        </w:rPr>
      </w:pPr>
      <w:r>
        <w:rPr>
          <w:rFonts w:ascii="Arial" w:cs="Arial" w:eastAsia="Arial" w:hAnsi="Arial"/>
          <w:sz w:val="18"/>
          <w:szCs w:val="18"/>
          <w:color w:val="auto"/>
        </w:rPr>
        <w:t>Options, which are either exchange-traded or directly negotiated between counterparts, provide the holder with the right to buy from or sell to the writer an agreed amount of commodity at a specified strike price within, or at, a specified period of time. As a writer of options, the Partnership receives an option premium then manages the risk of an unfavorable change in the value of the underlying commodity.</w:t>
      </w:r>
    </w:p>
    <w:p>
      <w:pPr>
        <w:spacing w:after="0" w:line="156" w:lineRule="exact"/>
        <w:rPr>
          <w:sz w:val="20"/>
          <w:szCs w:val="20"/>
          <w:color w:val="auto"/>
        </w:rPr>
      </w:pPr>
    </w:p>
    <w:p>
      <w:pPr>
        <w:ind w:right="40"/>
        <w:spacing w:after="0"/>
        <w:rPr>
          <w:sz w:val="20"/>
          <w:szCs w:val="20"/>
          <w:color w:val="auto"/>
        </w:rPr>
      </w:pPr>
      <w:r>
        <w:rPr>
          <w:rFonts w:ascii="Arial" w:cs="Arial" w:eastAsia="Arial" w:hAnsi="Arial"/>
          <w:sz w:val="18"/>
          <w:szCs w:val="18"/>
          <w:color w:val="auto"/>
        </w:rPr>
        <w:t>Market risk arises from the potential for changes in the value of physical and financial instruments resulting from fluctuations in prices and basis for natural gas, electricity, petroleum, petroleum products, base metals and other commodities. Market risk is also affected by changes in volatility and liquidity in markets in which these instruments are traded. The Partnership has established position and stop-loss limits for each line of business to monitor its market risk. Traders are required to maintain positions within these market risk limits. The position limits are monitored during the day by senior management of the Partnership. Reports which present each trading book’s position and the prior day’s profit and loss are reviewed daily by traders and the Partnership’s senior management.</w:t>
      </w:r>
    </w:p>
    <w:p>
      <w:pPr>
        <w:spacing w:after="0" w:line="164" w:lineRule="exact"/>
        <w:rPr>
          <w:sz w:val="20"/>
          <w:szCs w:val="20"/>
          <w:color w:val="auto"/>
        </w:rPr>
      </w:pPr>
    </w:p>
    <w:p>
      <w:pPr>
        <w:spacing w:after="0" w:line="298" w:lineRule="auto"/>
        <w:rPr>
          <w:sz w:val="20"/>
          <w:szCs w:val="20"/>
          <w:color w:val="auto"/>
        </w:rPr>
      </w:pPr>
      <w:r>
        <w:rPr>
          <w:rFonts w:ascii="Arial" w:cs="Arial" w:eastAsia="Arial" w:hAnsi="Arial"/>
          <w:sz w:val="15"/>
          <w:szCs w:val="15"/>
          <w:color w:val="auto"/>
        </w:rPr>
        <w:t>The Partnership also uses Value-at-Risk (VaR) to measure its exposure to market risk. VaR is an estimate of the potential loss on a position or portfolio of positions over a specified holding period, based on normal market conditions and within a given statistical confidence interval. The Partnership has adopted the variance/covariance methodology in its calculation of VaR, and uses both the 95-percent and 99-percent confidence intervals. Holding periods are specific to the types of positions being measured, and are determined based on the size of the position or portfolios, market liquidity, tenor and other factors. Historical volatilities and correlations between instruments and positions are used in the calculation. Based upon these and other risk management procedures, the Partnership’s senior management determines whether to adjust the Partnership’s market risk profile.</w:t>
      </w:r>
    </w:p>
    <w:p>
      <w:pPr>
        <w:spacing w:after="0" w:line="108" w:lineRule="exact"/>
        <w:rPr>
          <w:sz w:val="20"/>
          <w:szCs w:val="20"/>
          <w:color w:val="auto"/>
        </w:rPr>
      </w:pPr>
    </w:p>
    <w:p>
      <w:pPr>
        <w:ind w:right="20"/>
        <w:spacing w:after="0" w:line="307" w:lineRule="auto"/>
        <w:rPr>
          <w:sz w:val="20"/>
          <w:szCs w:val="20"/>
          <w:color w:val="auto"/>
        </w:rPr>
      </w:pPr>
      <w:r>
        <w:rPr>
          <w:rFonts w:ascii="Arial" w:cs="Arial" w:eastAsia="Arial" w:hAnsi="Arial"/>
          <w:sz w:val="15"/>
          <w:szCs w:val="15"/>
          <w:color w:val="auto"/>
        </w:rPr>
        <w:t>The Partnership’s credit risk from physical and financial instruments as of December 31, 2008 is represented by the positive fair value of financial instruments after consideration of netting and collateral. Credit risk disclosures, however, relate to the net losses that would be recognized if all counterparts failed completely to perform their obligations. Options written do not expose the Partnership to credit risk. Exchange-traded futures and options are not deemed to have significant credit exposure as the exchanges guarantee that every contract will be properly settled on a daily basis.</w:t>
      </w:r>
    </w:p>
    <w:p>
      <w:pPr>
        <w:spacing w:after="0" w:line="114"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The following table approximates the counterparty credit quality and exposure expressed in terms of net replacement value as determined by rating agencies or by internal models intended to approximate rating agency determinations. These exposures are net of collateral in the form of customer margin and/or letters of credit of $955 million:</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340"/>
        <w:spacing w:after="0"/>
        <w:rPr>
          <w:sz w:val="20"/>
          <w:szCs w:val="20"/>
          <w:color w:val="auto"/>
        </w:rPr>
      </w:pPr>
      <w:r>
        <w:rPr>
          <w:rFonts w:ascii="Arial" w:cs="Arial" w:eastAsia="Arial" w:hAnsi="Arial"/>
          <w:sz w:val="18"/>
          <w:szCs w:val="18"/>
          <w:color w:val="auto"/>
        </w:rPr>
        <w:t>- 15 -</w:t>
      </w:r>
    </w:p>
    <w:p>
      <w:pPr>
        <w:sectPr>
          <w:pgSz w:w="11900" w:h="16838" w:orient="portrait"/>
          <w:cols w:equalWidth="0" w:num="1">
            <w:col w:w="11020"/>
          </w:cols>
          <w:pgMar w:left="620" w:top="509" w:right="259" w:bottom="1440" w:gutter="0" w:footer="0" w:header="0"/>
        </w:sectPr>
      </w:pPr>
    </w:p>
    <w:bookmarkStart w:id="367" w:name="page368"/>
    <w:bookmarkEnd w:id="367"/>
    <w:tbl>
      <w:tblPr>
        <w:tblLayout w:type="fixed"/>
        <w:tblInd w:w="3124" w:type="dxa"/>
        <w:tblCellMar>
          <w:top w:w="0" w:type="dxa"/>
          <w:left w:w="0" w:type="dxa"/>
          <w:bottom w:w="0" w:type="dxa"/>
          <w:right w:w="0" w:type="dxa"/>
        </w:tblCellMar>
      </w:tblPr>
      <w:tr>
        <w:trPr>
          <w:trHeight w:val="223"/>
        </w:trPr>
        <w:tc>
          <w:tcPr>
            <w:tcW w:w="4080" w:type="dxa"/>
            <w:vAlign w:val="bottom"/>
          </w:tcPr>
          <w:p>
            <w:pPr>
              <w:spacing w:after="0"/>
              <w:rPr>
                <w:sz w:val="20"/>
                <w:szCs w:val="20"/>
                <w:color w:val="auto"/>
              </w:rPr>
            </w:pPr>
            <w:r>
              <w:rPr>
                <w:rFonts w:ascii="Arial" w:cs="Arial" w:eastAsia="Arial" w:hAnsi="Arial"/>
                <w:sz w:val="18"/>
                <w:szCs w:val="18"/>
                <w:color w:val="auto"/>
              </w:rPr>
              <w:t>Counterparty credit quality (in thousands):</w:t>
            </w:r>
          </w:p>
        </w:tc>
        <w:tc>
          <w:tcPr>
            <w:tcW w:w="1120" w:type="dxa"/>
            <w:vAlign w:val="bottom"/>
          </w:tcPr>
          <w:p>
            <w:pPr>
              <w:spacing w:after="0"/>
              <w:rPr>
                <w:sz w:val="19"/>
                <w:szCs w:val="19"/>
                <w:color w:val="auto"/>
              </w:rPr>
            </w:pPr>
          </w:p>
        </w:tc>
      </w:tr>
      <w:tr>
        <w:trPr>
          <w:trHeight w:val="228"/>
        </w:trPr>
        <w:tc>
          <w:tcPr>
            <w:tcW w:w="4080" w:type="dxa"/>
            <w:vAlign w:val="bottom"/>
          </w:tcPr>
          <w:p>
            <w:pPr>
              <w:ind w:left="220"/>
              <w:spacing w:after="0"/>
              <w:rPr>
                <w:sz w:val="20"/>
                <w:szCs w:val="20"/>
                <w:color w:val="auto"/>
              </w:rPr>
            </w:pPr>
            <w:r>
              <w:rPr>
                <w:rFonts w:ascii="Arial" w:cs="Arial" w:eastAsia="Arial" w:hAnsi="Arial"/>
                <w:sz w:val="18"/>
                <w:szCs w:val="18"/>
                <w:color w:val="auto"/>
              </w:rPr>
              <w:t>AAA</w:t>
            </w:r>
          </w:p>
        </w:tc>
        <w:tc>
          <w:tcPr>
            <w:tcW w:w="1120" w:type="dxa"/>
            <w:vAlign w:val="bottom"/>
          </w:tcPr>
          <w:p>
            <w:pPr>
              <w:jc w:val="right"/>
              <w:spacing w:after="0"/>
              <w:rPr>
                <w:sz w:val="20"/>
                <w:szCs w:val="20"/>
                <w:color w:val="auto"/>
              </w:rPr>
            </w:pPr>
            <w:r>
              <w:rPr>
                <w:rFonts w:ascii="Arial" w:cs="Arial" w:eastAsia="Arial" w:hAnsi="Arial"/>
                <w:sz w:val="18"/>
                <w:szCs w:val="18"/>
                <w:color w:val="auto"/>
              </w:rPr>
              <w:t>$  20,467</w:t>
            </w:r>
          </w:p>
        </w:tc>
      </w:tr>
      <w:tr>
        <w:trPr>
          <w:trHeight w:val="228"/>
        </w:trPr>
        <w:tc>
          <w:tcPr>
            <w:tcW w:w="4080" w:type="dxa"/>
            <w:vAlign w:val="bottom"/>
          </w:tcPr>
          <w:p>
            <w:pPr>
              <w:ind w:left="220"/>
              <w:spacing w:after="0"/>
              <w:rPr>
                <w:sz w:val="20"/>
                <w:szCs w:val="20"/>
                <w:color w:val="auto"/>
              </w:rPr>
            </w:pPr>
            <w:r>
              <w:rPr>
                <w:rFonts w:ascii="Arial" w:cs="Arial" w:eastAsia="Arial" w:hAnsi="Arial"/>
                <w:sz w:val="18"/>
                <w:szCs w:val="18"/>
                <w:color w:val="auto"/>
              </w:rPr>
              <w:t>AA</w:t>
            </w:r>
          </w:p>
        </w:tc>
        <w:tc>
          <w:tcPr>
            <w:tcW w:w="1120" w:type="dxa"/>
            <w:vAlign w:val="bottom"/>
          </w:tcPr>
          <w:p>
            <w:pPr>
              <w:jc w:val="right"/>
              <w:spacing w:after="0"/>
              <w:rPr>
                <w:sz w:val="20"/>
                <w:szCs w:val="20"/>
                <w:color w:val="auto"/>
              </w:rPr>
            </w:pPr>
            <w:r>
              <w:rPr>
                <w:rFonts w:ascii="Arial" w:cs="Arial" w:eastAsia="Arial" w:hAnsi="Arial"/>
                <w:sz w:val="18"/>
                <w:szCs w:val="18"/>
                <w:color w:val="auto"/>
              </w:rPr>
              <w:t>338,739</w:t>
            </w:r>
          </w:p>
        </w:tc>
      </w:tr>
      <w:tr>
        <w:trPr>
          <w:trHeight w:val="228"/>
        </w:trPr>
        <w:tc>
          <w:tcPr>
            <w:tcW w:w="4080" w:type="dxa"/>
            <w:vAlign w:val="bottom"/>
          </w:tcPr>
          <w:p>
            <w:pPr>
              <w:ind w:left="220"/>
              <w:spacing w:after="0"/>
              <w:rPr>
                <w:sz w:val="20"/>
                <w:szCs w:val="20"/>
                <w:color w:val="auto"/>
              </w:rPr>
            </w:pPr>
            <w:r>
              <w:rPr>
                <w:rFonts w:ascii="Arial" w:cs="Arial" w:eastAsia="Arial" w:hAnsi="Arial"/>
                <w:sz w:val="18"/>
                <w:szCs w:val="18"/>
                <w:color w:val="auto"/>
              </w:rPr>
              <w:t>A</w:t>
            </w:r>
          </w:p>
        </w:tc>
        <w:tc>
          <w:tcPr>
            <w:tcW w:w="1120" w:type="dxa"/>
            <w:vAlign w:val="bottom"/>
          </w:tcPr>
          <w:p>
            <w:pPr>
              <w:jc w:val="right"/>
              <w:spacing w:after="0"/>
              <w:rPr>
                <w:sz w:val="20"/>
                <w:szCs w:val="20"/>
                <w:color w:val="auto"/>
              </w:rPr>
            </w:pPr>
            <w:r>
              <w:rPr>
                <w:rFonts w:ascii="Arial" w:cs="Arial" w:eastAsia="Arial" w:hAnsi="Arial"/>
                <w:sz w:val="18"/>
                <w:szCs w:val="18"/>
                <w:color w:val="auto"/>
              </w:rPr>
              <w:t>692,580</w:t>
            </w:r>
          </w:p>
        </w:tc>
      </w:tr>
      <w:tr>
        <w:trPr>
          <w:trHeight w:val="228"/>
        </w:trPr>
        <w:tc>
          <w:tcPr>
            <w:tcW w:w="4080" w:type="dxa"/>
            <w:vAlign w:val="bottom"/>
          </w:tcPr>
          <w:p>
            <w:pPr>
              <w:ind w:left="220"/>
              <w:spacing w:after="0"/>
              <w:rPr>
                <w:sz w:val="20"/>
                <w:szCs w:val="20"/>
                <w:color w:val="auto"/>
              </w:rPr>
            </w:pPr>
            <w:r>
              <w:rPr>
                <w:rFonts w:ascii="Arial" w:cs="Arial" w:eastAsia="Arial" w:hAnsi="Arial"/>
                <w:sz w:val="18"/>
                <w:szCs w:val="18"/>
                <w:color w:val="auto"/>
              </w:rPr>
              <w:t>BBB</w:t>
            </w:r>
          </w:p>
        </w:tc>
        <w:tc>
          <w:tcPr>
            <w:tcW w:w="1120" w:type="dxa"/>
            <w:vAlign w:val="bottom"/>
          </w:tcPr>
          <w:p>
            <w:pPr>
              <w:jc w:val="right"/>
              <w:spacing w:after="0"/>
              <w:rPr>
                <w:sz w:val="20"/>
                <w:szCs w:val="20"/>
                <w:color w:val="auto"/>
              </w:rPr>
            </w:pPr>
            <w:r>
              <w:rPr>
                <w:rFonts w:ascii="Arial" w:cs="Arial" w:eastAsia="Arial" w:hAnsi="Arial"/>
                <w:sz w:val="18"/>
                <w:szCs w:val="18"/>
                <w:color w:val="auto"/>
              </w:rPr>
              <w:t>556,036</w:t>
            </w:r>
          </w:p>
        </w:tc>
      </w:tr>
      <w:tr>
        <w:trPr>
          <w:trHeight w:val="228"/>
        </w:trPr>
        <w:tc>
          <w:tcPr>
            <w:tcW w:w="4080" w:type="dxa"/>
            <w:vAlign w:val="bottom"/>
          </w:tcPr>
          <w:p>
            <w:pPr>
              <w:ind w:left="220"/>
              <w:spacing w:after="0"/>
              <w:rPr>
                <w:sz w:val="20"/>
                <w:szCs w:val="20"/>
                <w:color w:val="auto"/>
              </w:rPr>
            </w:pPr>
            <w:r>
              <w:rPr>
                <w:rFonts w:ascii="Arial" w:cs="Arial" w:eastAsia="Arial" w:hAnsi="Arial"/>
                <w:sz w:val="18"/>
                <w:szCs w:val="18"/>
                <w:color w:val="auto"/>
              </w:rPr>
              <w:t>Below investment grade</w:t>
            </w:r>
          </w:p>
        </w:tc>
        <w:tc>
          <w:tcPr>
            <w:tcW w:w="1120" w:type="dxa"/>
            <w:vAlign w:val="bottom"/>
          </w:tcPr>
          <w:p>
            <w:pPr>
              <w:jc w:val="right"/>
              <w:spacing w:after="0"/>
              <w:rPr>
                <w:sz w:val="20"/>
                <w:szCs w:val="20"/>
                <w:color w:val="auto"/>
              </w:rPr>
            </w:pPr>
            <w:r>
              <w:rPr>
                <w:rFonts w:ascii="Arial" w:cs="Arial" w:eastAsia="Arial" w:hAnsi="Arial"/>
                <w:sz w:val="18"/>
                <w:szCs w:val="18"/>
                <w:color w:val="auto"/>
              </w:rPr>
              <w:t>882,963</w:t>
            </w:r>
          </w:p>
        </w:tc>
      </w:tr>
      <w:tr>
        <w:trPr>
          <w:trHeight w:val="236"/>
        </w:trPr>
        <w:tc>
          <w:tcPr>
            <w:tcW w:w="4080" w:type="dxa"/>
            <w:vAlign w:val="bottom"/>
          </w:tcPr>
          <w:p>
            <w:pPr>
              <w:ind w:left="220"/>
              <w:spacing w:after="0"/>
              <w:rPr>
                <w:sz w:val="20"/>
                <w:szCs w:val="20"/>
                <w:color w:val="auto"/>
              </w:rPr>
            </w:pPr>
            <w:r>
              <w:rPr>
                <w:rFonts w:ascii="Arial" w:cs="Arial" w:eastAsia="Arial" w:hAnsi="Arial"/>
                <w:sz w:val="18"/>
                <w:szCs w:val="18"/>
                <w:color w:val="auto"/>
              </w:rPr>
              <w:t>Exchanges</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801,114</w:t>
            </w:r>
          </w:p>
        </w:tc>
      </w:tr>
      <w:tr>
        <w:trPr>
          <w:trHeight w:val="236"/>
        </w:trPr>
        <w:tc>
          <w:tcPr>
            <w:tcW w:w="4080" w:type="dxa"/>
            <w:vAlign w:val="bottom"/>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$3,291,899</w:t>
            </w:r>
          </w:p>
        </w:tc>
      </w:tr>
    </w:tbl>
    <w:p>
      <w:pPr>
        <w:spacing w:after="0" w:line="346" w:lineRule="exact"/>
        <w:rPr>
          <w:sz w:val="20"/>
          <w:szCs w:val="20"/>
          <w:color w:val="auto"/>
        </w:rPr>
      </w:pPr>
    </w:p>
    <w:p>
      <w:pPr>
        <w:ind w:left="384" w:right="100"/>
        <w:spacing w:after="0" w:line="242" w:lineRule="auto"/>
        <w:rPr>
          <w:sz w:val="20"/>
          <w:szCs w:val="20"/>
          <w:color w:val="auto"/>
        </w:rPr>
      </w:pPr>
      <w:r>
        <w:rPr>
          <w:rFonts w:ascii="Arial" w:cs="Arial" w:eastAsia="Arial" w:hAnsi="Arial"/>
          <w:sz w:val="18"/>
          <w:szCs w:val="18"/>
          <w:color w:val="auto"/>
        </w:rPr>
        <w:t>The Partnership monitors and controls its credit risk exposures through various systems and processes, which evaluate the Partnership’s credit risk through credit approvals and limits. To manage the level of credit risk the Partnership enters into netting agreements whenever possible and, where appropriate, obtains collateral. Netting agreements incorporate rights of setoff that provide for the net settlement of subject contracts with the same counterpart in the event of default.</w:t>
      </w:r>
    </w:p>
    <w:p>
      <w:pPr>
        <w:spacing w:after="0" w:line="162" w:lineRule="exact"/>
        <w:rPr>
          <w:sz w:val="20"/>
          <w:szCs w:val="20"/>
          <w:color w:val="auto"/>
        </w:rPr>
      </w:pPr>
    </w:p>
    <w:p>
      <w:pPr>
        <w:ind w:left="384" w:right="340"/>
        <w:spacing w:after="0" w:line="255" w:lineRule="auto"/>
        <w:rPr>
          <w:sz w:val="20"/>
          <w:szCs w:val="20"/>
          <w:color w:val="auto"/>
        </w:rPr>
      </w:pPr>
      <w:r>
        <w:rPr>
          <w:rFonts w:ascii="Arial" w:cs="Arial" w:eastAsia="Arial" w:hAnsi="Arial"/>
          <w:sz w:val="18"/>
          <w:szCs w:val="18"/>
          <w:color w:val="auto"/>
        </w:rPr>
        <w:t>The Partnership provides committed letters of credit issued by various banks to counterparts in lieu of securities or cash to satisfy various collateral and margin deposit requirements (see Note 13 – Borrowings and Credit Facilities).</w:t>
      </w:r>
    </w:p>
    <w:p>
      <w:pPr>
        <w:spacing w:after="0" w:line="131" w:lineRule="exact"/>
        <w:rPr>
          <w:sz w:val="20"/>
          <w:szCs w:val="20"/>
          <w:color w:val="auto"/>
        </w:rPr>
      </w:pPr>
    </w:p>
    <w:p>
      <w:pPr>
        <w:ind w:left="384" w:hanging="384"/>
        <w:spacing w:after="0"/>
        <w:tabs>
          <w:tab w:leader="none" w:pos="384" w:val="left"/>
        </w:tabs>
        <w:numPr>
          <w:ilvl w:val="0"/>
          <w:numId w:val="423"/>
        </w:numPr>
        <w:rPr>
          <w:rFonts w:ascii="Arial" w:cs="Arial" w:eastAsia="Arial" w:hAnsi="Arial"/>
          <w:sz w:val="18"/>
          <w:szCs w:val="18"/>
          <w:b w:val="1"/>
          <w:bCs w:val="1"/>
          <w:color w:val="auto"/>
        </w:rPr>
      </w:pPr>
      <w:r>
        <w:rPr>
          <w:rFonts w:ascii="Arial" w:cs="Arial" w:eastAsia="Arial" w:hAnsi="Arial"/>
          <w:sz w:val="18"/>
          <w:szCs w:val="18"/>
          <w:b w:val="1"/>
          <w:bCs w:val="1"/>
          <w:color w:val="auto"/>
        </w:rPr>
        <w:t>INVESTMENTS IN MARKETABLE SECURITIES</w:t>
      </w:r>
    </w:p>
    <w:p>
      <w:pPr>
        <w:spacing w:after="0" w:line="177" w:lineRule="exact"/>
        <w:rPr>
          <w:rFonts w:ascii="Arial" w:cs="Arial" w:eastAsia="Arial" w:hAnsi="Arial"/>
          <w:sz w:val="18"/>
          <w:szCs w:val="18"/>
          <w:b w:val="1"/>
          <w:bCs w:val="1"/>
          <w:color w:val="auto"/>
        </w:rPr>
      </w:pPr>
    </w:p>
    <w:p>
      <w:pPr>
        <w:ind w:left="384"/>
        <w:spacing w:after="0" w:line="303" w:lineRule="auto"/>
        <w:rPr>
          <w:rFonts w:ascii="Arial" w:cs="Arial" w:eastAsia="Arial" w:hAnsi="Arial"/>
          <w:sz w:val="18"/>
          <w:szCs w:val="18"/>
          <w:b w:val="1"/>
          <w:bCs w:val="1"/>
          <w:color w:val="auto"/>
        </w:rPr>
      </w:pPr>
      <w:r>
        <w:rPr>
          <w:rFonts w:ascii="Arial" w:cs="Arial" w:eastAsia="Arial" w:hAnsi="Arial"/>
          <w:sz w:val="15"/>
          <w:szCs w:val="15"/>
          <w:b w:val="1"/>
          <w:bCs w:val="1"/>
          <w:color w:val="auto"/>
        </w:rPr>
        <w:t xml:space="preserve">Available-for-Sale Securities </w:t>
      </w:r>
      <w:r>
        <w:rPr>
          <w:rFonts w:ascii="Arial" w:cs="Arial" w:eastAsia="Arial" w:hAnsi="Arial"/>
          <w:sz w:val="15"/>
          <w:szCs w:val="15"/>
          <w:color w:val="auto"/>
        </w:rPr>
        <w:t>— The Partnership had equity securities of $53.9 million categorized as available-for-sale securities, included in Investments</w:t>
      </w:r>
      <w:r>
        <w:rPr>
          <w:rFonts w:ascii="Arial" w:cs="Arial" w:eastAsia="Arial" w:hAnsi="Arial"/>
          <w:sz w:val="15"/>
          <w:szCs w:val="15"/>
          <w:b w:val="1"/>
          <w:bCs w:val="1"/>
          <w:color w:val="auto"/>
        </w:rPr>
        <w:t xml:space="preserve"> </w:t>
      </w:r>
      <w:r>
        <w:rPr>
          <w:rFonts w:ascii="Arial" w:cs="Arial" w:eastAsia="Arial" w:hAnsi="Arial"/>
          <w:sz w:val="15"/>
          <w:szCs w:val="15"/>
          <w:color w:val="auto"/>
        </w:rPr>
        <w:t>in marketable securities as of December 31, 2008. Gross unrealized gains were $139 thousand and gross unrealized losses were $47.6 million. During 2008, the Partnership purchased $2.0 million and novated to RBS $30.3 million of available-for-sale securities. The fair value of securities in an unrealized loss position at December 31, 2008 was $37.0 million. The unrealized losses were primarily caused by temporary declines in the market values of the securities. The Partnership does not consider these investments to be other-than-temporarily impaired as of December 31, 2008.</w:t>
      </w:r>
    </w:p>
    <w:p>
      <w:pPr>
        <w:spacing w:after="0" w:line="112" w:lineRule="exact"/>
        <w:rPr>
          <w:rFonts w:ascii="Arial" w:cs="Arial" w:eastAsia="Arial" w:hAnsi="Arial"/>
          <w:sz w:val="18"/>
          <w:szCs w:val="18"/>
          <w:b w:val="1"/>
          <w:bCs w:val="1"/>
          <w:color w:val="auto"/>
        </w:rPr>
      </w:pPr>
    </w:p>
    <w:p>
      <w:pPr>
        <w:ind w:left="384" w:right="60"/>
        <w:spacing w:after="0" w:line="323" w:lineRule="auto"/>
        <w:rPr>
          <w:rFonts w:ascii="Arial" w:cs="Arial" w:eastAsia="Arial" w:hAnsi="Arial"/>
          <w:sz w:val="18"/>
          <w:szCs w:val="18"/>
          <w:b w:val="1"/>
          <w:bCs w:val="1"/>
          <w:color w:val="auto"/>
        </w:rPr>
      </w:pPr>
      <w:r>
        <w:rPr>
          <w:rFonts w:ascii="Arial" w:cs="Arial" w:eastAsia="Arial" w:hAnsi="Arial"/>
          <w:sz w:val="15"/>
          <w:szCs w:val="15"/>
          <w:b w:val="1"/>
          <w:bCs w:val="1"/>
          <w:color w:val="auto"/>
        </w:rPr>
        <w:t xml:space="preserve">Trading Securities </w:t>
      </w:r>
      <w:r>
        <w:rPr>
          <w:rFonts w:ascii="Arial" w:cs="Arial" w:eastAsia="Arial" w:hAnsi="Arial"/>
          <w:sz w:val="15"/>
          <w:szCs w:val="15"/>
          <w:color w:val="auto"/>
        </w:rPr>
        <w:t>— As of December 31, 2008, the Partnership had $210 thousand of securities classified as trading securities and included in</w:t>
      </w:r>
      <w:r>
        <w:rPr>
          <w:rFonts w:ascii="Arial" w:cs="Arial" w:eastAsia="Arial" w:hAnsi="Arial"/>
          <w:sz w:val="15"/>
          <w:szCs w:val="15"/>
          <w:b w:val="1"/>
          <w:bCs w:val="1"/>
          <w:color w:val="auto"/>
        </w:rPr>
        <w:t xml:space="preserve"> </w:t>
      </w:r>
      <w:r>
        <w:rPr>
          <w:rFonts w:ascii="Arial" w:cs="Arial" w:eastAsia="Arial" w:hAnsi="Arial"/>
          <w:sz w:val="15"/>
          <w:szCs w:val="15"/>
          <w:color w:val="auto"/>
        </w:rPr>
        <w:t>Investments in marketable securities. The Partnership recorded unrealized losses of $654 thousand related to trading securities for the period from April 1, 2008 (date of commencement) to December 31, 2008. During 2008 the Partnership sold $2.5 million and novated to RBS $2.0 million of trading securities.</w:t>
      </w:r>
    </w:p>
    <w:p>
      <w:pPr>
        <w:spacing w:after="0" w:line="200" w:lineRule="exact"/>
        <w:rPr>
          <w:rFonts w:ascii="Arial" w:cs="Arial" w:eastAsia="Arial" w:hAnsi="Arial"/>
          <w:sz w:val="18"/>
          <w:szCs w:val="18"/>
          <w:b w:val="1"/>
          <w:bCs w:val="1"/>
          <w:color w:val="auto"/>
        </w:rPr>
      </w:pPr>
    </w:p>
    <w:p>
      <w:pPr>
        <w:spacing w:after="0" w:line="200" w:lineRule="exact"/>
        <w:rPr>
          <w:rFonts w:ascii="Arial" w:cs="Arial" w:eastAsia="Arial" w:hAnsi="Arial"/>
          <w:sz w:val="18"/>
          <w:szCs w:val="18"/>
          <w:b w:val="1"/>
          <w:bCs w:val="1"/>
          <w:color w:val="auto"/>
        </w:rPr>
      </w:pPr>
    </w:p>
    <w:p>
      <w:pPr>
        <w:spacing w:after="0" w:line="254" w:lineRule="exact"/>
        <w:rPr>
          <w:rFonts w:ascii="Arial" w:cs="Arial" w:eastAsia="Arial" w:hAnsi="Arial"/>
          <w:sz w:val="18"/>
          <w:szCs w:val="18"/>
          <w:b w:val="1"/>
          <w:bCs w:val="1"/>
          <w:color w:val="auto"/>
        </w:rPr>
      </w:pPr>
    </w:p>
    <w:p>
      <w:pPr>
        <w:ind w:left="5624" w:hanging="97"/>
        <w:spacing w:after="0"/>
        <w:tabs>
          <w:tab w:leader="none" w:pos="5624" w:val="left"/>
        </w:tabs>
        <w:numPr>
          <w:ilvl w:val="1"/>
          <w:numId w:val="423"/>
        </w:numPr>
        <w:rPr>
          <w:rFonts w:ascii="Arial" w:cs="Arial" w:eastAsia="Arial" w:hAnsi="Arial"/>
          <w:sz w:val="18"/>
          <w:szCs w:val="18"/>
          <w:color w:val="auto"/>
        </w:rPr>
      </w:pPr>
      <w:r>
        <w:rPr>
          <w:rFonts w:ascii="Arial" w:cs="Arial" w:eastAsia="Arial" w:hAnsi="Arial"/>
          <w:sz w:val="18"/>
          <w:szCs w:val="18"/>
          <w:color w:val="auto"/>
        </w:rPr>
        <w:t>16 -</w:t>
      </w:r>
    </w:p>
    <w:p>
      <w:pPr>
        <w:sectPr>
          <w:pgSz w:w="11900" w:h="16838" w:orient="portrait"/>
          <w:cols w:equalWidth="0" w:num="1">
            <w:col w:w="11384"/>
          </w:cols>
          <w:pgMar w:left="236" w:top="918" w:right="279" w:bottom="1440" w:gutter="0" w:footer="0" w:header="0"/>
        </w:sectPr>
      </w:pPr>
    </w:p>
    <w:bookmarkStart w:id="368" w:name="page369"/>
    <w:bookmarkEnd w:id="368"/>
    <w:p>
      <w:pPr>
        <w:ind w:left="384" w:hanging="384"/>
        <w:spacing w:after="0"/>
        <w:tabs>
          <w:tab w:leader="none" w:pos="384" w:val="left"/>
        </w:tabs>
        <w:numPr>
          <w:ilvl w:val="0"/>
          <w:numId w:val="424"/>
        </w:numPr>
        <w:rPr>
          <w:rFonts w:ascii="Arial" w:cs="Arial" w:eastAsia="Arial" w:hAnsi="Arial"/>
          <w:sz w:val="18"/>
          <w:szCs w:val="18"/>
          <w:b w:val="1"/>
          <w:bCs w:val="1"/>
          <w:color w:val="auto"/>
        </w:rPr>
      </w:pPr>
      <w:r>
        <w:rPr>
          <w:rFonts w:ascii="Arial" w:cs="Arial" w:eastAsia="Arial" w:hAnsi="Arial"/>
          <w:sz w:val="18"/>
          <w:szCs w:val="18"/>
          <w:b w:val="1"/>
          <w:bCs w:val="1"/>
          <w:color w:val="auto"/>
        </w:rPr>
        <w:t>INVESTMENTS IN UNCONSOLIDATED AFFILIATES</w:t>
      </w:r>
    </w:p>
    <w:p>
      <w:pPr>
        <w:spacing w:after="0" w:line="171" w:lineRule="exact"/>
        <w:rPr>
          <w:rFonts w:ascii="Arial" w:cs="Arial" w:eastAsia="Arial" w:hAnsi="Arial"/>
          <w:sz w:val="18"/>
          <w:szCs w:val="18"/>
          <w:b w:val="1"/>
          <w:bCs w:val="1"/>
          <w:color w:val="auto"/>
        </w:rPr>
      </w:pPr>
    </w:p>
    <w:p>
      <w:pPr>
        <w:ind w:left="384"/>
        <w:spacing w:after="0" w:line="259" w:lineRule="auto"/>
        <w:rPr>
          <w:rFonts w:ascii="Arial" w:cs="Arial" w:eastAsia="Arial" w:hAnsi="Arial"/>
          <w:sz w:val="18"/>
          <w:szCs w:val="18"/>
          <w:b w:val="1"/>
          <w:bCs w:val="1"/>
          <w:color w:val="auto"/>
        </w:rPr>
      </w:pPr>
      <w:r>
        <w:rPr>
          <w:rFonts w:ascii="Arial" w:cs="Arial" w:eastAsia="Arial" w:hAnsi="Arial"/>
          <w:sz w:val="17"/>
          <w:szCs w:val="17"/>
          <w:color w:val="auto"/>
        </w:rPr>
        <w:t>As of December 31, 2008, the Partnership owned 30% of Gateway Energy Services Corporation (Gateway), which commenced operations on May 6, 1997. Gateway is a retail marketer of natural gas and electricity, serving residential, commercial, and light industrial customers primarily in the northeast, mid-west, and mid-atlantic regions of the U.S. As of December 31, 2008 the Partnership owned 25% of Great Eastern Energy Co. LLC (GEEC). GEEC supplies natural gas and electricity to commercial and industrial customers within major markets across the United States. The carrying value of these investments is $34.1 million as of December 31, 2008 and is included in Prepaid and other assets.</w:t>
      </w:r>
    </w:p>
    <w:p>
      <w:pPr>
        <w:spacing w:after="0" w:line="140" w:lineRule="exact"/>
        <w:rPr>
          <w:rFonts w:ascii="Arial" w:cs="Arial" w:eastAsia="Arial" w:hAnsi="Arial"/>
          <w:sz w:val="18"/>
          <w:szCs w:val="18"/>
          <w:b w:val="1"/>
          <w:bCs w:val="1"/>
          <w:color w:val="auto"/>
        </w:rPr>
      </w:pPr>
    </w:p>
    <w:p>
      <w:pPr>
        <w:ind w:left="384" w:hanging="384"/>
        <w:spacing w:after="0"/>
        <w:tabs>
          <w:tab w:leader="none" w:pos="384" w:val="left"/>
        </w:tabs>
        <w:numPr>
          <w:ilvl w:val="0"/>
          <w:numId w:val="424"/>
        </w:numPr>
        <w:rPr>
          <w:rFonts w:ascii="Arial" w:cs="Arial" w:eastAsia="Arial" w:hAnsi="Arial"/>
          <w:sz w:val="18"/>
          <w:szCs w:val="18"/>
          <w:b w:val="1"/>
          <w:bCs w:val="1"/>
          <w:color w:val="auto"/>
        </w:rPr>
      </w:pPr>
      <w:r>
        <w:rPr>
          <w:rFonts w:ascii="Arial" w:cs="Arial" w:eastAsia="Arial" w:hAnsi="Arial"/>
          <w:sz w:val="18"/>
          <w:szCs w:val="18"/>
          <w:b w:val="1"/>
          <w:bCs w:val="1"/>
          <w:color w:val="auto"/>
        </w:rPr>
        <w:t>PROPERTY, PLANT AND EQUIPMENT</w:t>
      </w:r>
    </w:p>
    <w:p>
      <w:pPr>
        <w:spacing w:after="0" w:line="171" w:lineRule="exact"/>
        <w:rPr>
          <w:rFonts w:ascii="Arial" w:cs="Arial" w:eastAsia="Arial" w:hAnsi="Arial"/>
          <w:sz w:val="18"/>
          <w:szCs w:val="18"/>
          <w:b w:val="1"/>
          <w:bCs w:val="1"/>
          <w:color w:val="auto"/>
        </w:rPr>
      </w:pPr>
    </w:p>
    <w:p>
      <w:pPr>
        <w:ind w:left="384" w:right="140"/>
        <w:spacing w:after="0" w:line="246" w:lineRule="auto"/>
        <w:rPr>
          <w:rFonts w:ascii="Arial" w:cs="Arial" w:eastAsia="Arial" w:hAnsi="Arial"/>
          <w:sz w:val="18"/>
          <w:szCs w:val="18"/>
          <w:b w:val="1"/>
          <w:bCs w:val="1"/>
          <w:color w:val="auto"/>
        </w:rPr>
      </w:pPr>
      <w:r>
        <w:rPr>
          <w:rFonts w:ascii="Arial" w:cs="Arial" w:eastAsia="Arial" w:hAnsi="Arial"/>
          <w:sz w:val="18"/>
          <w:szCs w:val="18"/>
          <w:color w:val="auto"/>
        </w:rPr>
        <w:t>Property, plant and equipment are carried at cost less accumulated depreciation. These assets consist of leasehold improvements and office equipment, computer equipment (which includes computer hardware and software) and machinery and equipment. Property, plant and equipment by major functional categories are as follows (in thousands):</w:t>
      </w:r>
    </w:p>
    <w:p>
      <w:pPr>
        <w:sectPr>
          <w:pgSz w:w="11900" w:h="16838" w:orient="portrait"/>
          <w:cols w:equalWidth="0" w:num="1">
            <w:col w:w="11364"/>
          </w:cols>
          <w:pgMar w:left="236" w:top="503" w:right="299" w:bottom="1440" w:gutter="0" w:footer="0" w:header="0"/>
        </w:sectPr>
      </w:pPr>
    </w:p>
    <w:p>
      <w:pPr>
        <w:spacing w:after="0" w:line="200" w:lineRule="exact"/>
        <w:rPr>
          <w:sz w:val="20"/>
          <w:szCs w:val="20"/>
          <w:color w:val="auto"/>
        </w:rPr>
      </w:pPr>
    </w:p>
    <w:p>
      <w:pPr>
        <w:spacing w:after="0" w:line="221" w:lineRule="exact"/>
        <w:rPr>
          <w:sz w:val="20"/>
          <w:szCs w:val="20"/>
          <w:color w:val="auto"/>
        </w:rPr>
      </w:pPr>
    </w:p>
    <w:p>
      <w:pPr>
        <w:ind w:left="1984"/>
        <w:spacing w:after="0" w:line="271" w:lineRule="auto"/>
        <w:rPr>
          <w:sz w:val="20"/>
          <w:szCs w:val="20"/>
          <w:color w:val="auto"/>
        </w:rPr>
      </w:pPr>
      <w:r>
        <w:rPr>
          <w:rFonts w:ascii="Arial" w:cs="Arial" w:eastAsia="Arial" w:hAnsi="Arial"/>
          <w:sz w:val="18"/>
          <w:szCs w:val="18"/>
          <w:color w:val="auto"/>
        </w:rPr>
        <w:t>Leasehold improvements and office equipment Computer equipment</w:t>
      </w:r>
    </w:p>
    <w:p>
      <w:pPr>
        <w:spacing w:after="0" w:line="1" w:lineRule="exact"/>
        <w:rPr>
          <w:sz w:val="20"/>
          <w:szCs w:val="20"/>
          <w:color w:val="auto"/>
        </w:rPr>
      </w:pPr>
    </w:p>
    <w:p>
      <w:pPr>
        <w:ind w:left="1984"/>
        <w:spacing w:after="0"/>
        <w:rPr>
          <w:sz w:val="20"/>
          <w:szCs w:val="20"/>
          <w:color w:val="auto"/>
        </w:rPr>
      </w:pPr>
      <w:r>
        <w:rPr>
          <w:rFonts w:ascii="Arial" w:cs="Arial" w:eastAsia="Arial" w:hAnsi="Arial"/>
          <w:sz w:val="18"/>
          <w:szCs w:val="18"/>
          <w:color w:val="auto"/>
        </w:rPr>
        <w:t>Machinery and equipment</w:t>
      </w:r>
    </w:p>
    <w:p>
      <w:pPr>
        <w:spacing w:after="0" w:line="20" w:lineRule="exact"/>
        <w:rPr>
          <w:sz w:val="20"/>
          <w:szCs w:val="20"/>
          <w:color w:val="auto"/>
        </w:rPr>
      </w:pPr>
      <w:r>
        <w:rPr>
          <w:sz w:val="20"/>
          <w:szCs w:val="20"/>
          <w:color w:val="auto"/>
        </w:rPr>
        <w:br w:type="column"/>
      </w:r>
    </w:p>
    <w:p>
      <w:pPr>
        <w:spacing w:after="0" w:line="17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1"/>
        </w:trPr>
        <w:tc>
          <w:tcPr>
            <w:tcW w:w="1020" w:type="dxa"/>
            <w:vAlign w:val="bottom"/>
            <w:tcBorders>
              <w:bottom w:val="single" w:sz="8" w:color="auto"/>
            </w:tcBorders>
          </w:tcPr>
          <w:p>
            <w:pPr>
              <w:jc w:val="right"/>
              <w:ind w:right="294"/>
              <w:spacing w:after="0"/>
              <w:rPr>
                <w:sz w:val="20"/>
                <w:szCs w:val="20"/>
                <w:color w:val="auto"/>
              </w:rPr>
            </w:pPr>
            <w:r>
              <w:rPr>
                <w:rFonts w:ascii="Arial" w:cs="Arial" w:eastAsia="Arial" w:hAnsi="Arial"/>
                <w:sz w:val="16"/>
                <w:szCs w:val="16"/>
                <w:color w:val="auto"/>
              </w:rPr>
              <w:t>Cost</w:t>
            </w:r>
          </w:p>
        </w:tc>
        <w:tc>
          <w:tcPr>
            <w:tcW w:w="1900" w:type="dxa"/>
            <w:vAlign w:val="bottom"/>
            <w:tcBorders>
              <w:bottom w:val="single" w:sz="8" w:color="auto"/>
            </w:tcBorders>
          </w:tcPr>
          <w:p>
            <w:pPr>
              <w:jc w:val="right"/>
              <w:ind w:right="54"/>
              <w:spacing w:after="0"/>
              <w:rPr>
                <w:sz w:val="20"/>
                <w:szCs w:val="20"/>
                <w:color w:val="auto"/>
              </w:rPr>
            </w:pPr>
            <w:r>
              <w:rPr>
                <w:rFonts w:ascii="Arial" w:cs="Arial" w:eastAsia="Arial" w:hAnsi="Arial"/>
                <w:sz w:val="16"/>
                <w:szCs w:val="16"/>
                <w:color w:val="auto"/>
                <w:w w:val="93"/>
              </w:rPr>
              <w:t>Accumulated Depreciation</w:t>
            </w:r>
          </w:p>
        </w:tc>
        <w:tc>
          <w:tcPr>
            <w:tcW w:w="960" w:type="dxa"/>
            <w:vAlign w:val="bottom"/>
            <w:tcBorders>
              <w:bottom w:val="single" w:sz="8" w:color="auto"/>
            </w:tcBorders>
          </w:tcPr>
          <w:p>
            <w:pPr>
              <w:jc w:val="right"/>
              <w:ind w:right="54"/>
              <w:spacing w:after="0"/>
              <w:rPr>
                <w:sz w:val="20"/>
                <w:szCs w:val="20"/>
                <w:color w:val="auto"/>
              </w:rPr>
            </w:pPr>
            <w:r>
              <w:rPr>
                <w:rFonts w:ascii="Arial" w:cs="Arial" w:eastAsia="Arial" w:hAnsi="Arial"/>
                <w:sz w:val="16"/>
                <w:szCs w:val="16"/>
                <w:color w:val="auto"/>
                <w:w w:val="97"/>
              </w:rPr>
              <w:t>Book Value</w:t>
            </w:r>
          </w:p>
        </w:tc>
      </w:tr>
      <w:tr>
        <w:trPr>
          <w:trHeight w:val="221"/>
        </w:trPr>
        <w:tc>
          <w:tcPr>
            <w:tcW w:w="1020" w:type="dxa"/>
            <w:vAlign w:val="bottom"/>
          </w:tcPr>
          <w:p>
            <w:pPr>
              <w:jc w:val="right"/>
              <w:spacing w:after="0"/>
              <w:rPr>
                <w:sz w:val="20"/>
                <w:szCs w:val="20"/>
                <w:color w:val="auto"/>
              </w:rPr>
            </w:pPr>
            <w:r>
              <w:rPr>
                <w:rFonts w:ascii="Arial" w:cs="Arial" w:eastAsia="Arial" w:hAnsi="Arial"/>
                <w:sz w:val="18"/>
                <w:szCs w:val="18"/>
                <w:color w:val="auto"/>
              </w:rPr>
              <w:t>$115,620</w:t>
            </w:r>
          </w:p>
        </w:tc>
        <w:tc>
          <w:tcPr>
            <w:tcW w:w="1900" w:type="dxa"/>
            <w:vAlign w:val="bottom"/>
          </w:tcPr>
          <w:p>
            <w:pPr>
              <w:jc w:val="right"/>
              <w:spacing w:after="0"/>
              <w:rPr>
                <w:sz w:val="20"/>
                <w:szCs w:val="20"/>
                <w:color w:val="auto"/>
              </w:rPr>
            </w:pPr>
            <w:r>
              <w:rPr>
                <w:rFonts w:ascii="Arial" w:cs="Arial" w:eastAsia="Arial" w:hAnsi="Arial"/>
                <w:sz w:val="18"/>
                <w:szCs w:val="18"/>
                <w:color w:val="auto"/>
              </w:rPr>
              <w:t>$29,485</w:t>
            </w:r>
          </w:p>
        </w:tc>
        <w:tc>
          <w:tcPr>
            <w:tcW w:w="960" w:type="dxa"/>
            <w:vAlign w:val="bottom"/>
          </w:tcPr>
          <w:p>
            <w:pPr>
              <w:jc w:val="right"/>
              <w:spacing w:after="0"/>
              <w:rPr>
                <w:sz w:val="20"/>
                <w:szCs w:val="20"/>
                <w:color w:val="auto"/>
              </w:rPr>
            </w:pPr>
            <w:r>
              <w:rPr>
                <w:rFonts w:ascii="Arial" w:cs="Arial" w:eastAsia="Arial" w:hAnsi="Arial"/>
                <w:sz w:val="18"/>
                <w:szCs w:val="18"/>
                <w:color w:val="auto"/>
              </w:rPr>
              <w:t>$86,135</w:t>
            </w:r>
          </w:p>
        </w:tc>
      </w:tr>
      <w:tr>
        <w:trPr>
          <w:trHeight w:val="226"/>
        </w:trPr>
        <w:tc>
          <w:tcPr>
            <w:tcW w:w="1020" w:type="dxa"/>
            <w:vAlign w:val="bottom"/>
          </w:tcPr>
          <w:p>
            <w:pPr>
              <w:jc w:val="right"/>
              <w:spacing w:after="0"/>
              <w:rPr>
                <w:sz w:val="20"/>
                <w:szCs w:val="20"/>
                <w:color w:val="auto"/>
              </w:rPr>
            </w:pPr>
            <w:r>
              <w:rPr>
                <w:rFonts w:ascii="Arial" w:cs="Arial" w:eastAsia="Arial" w:hAnsi="Arial"/>
                <w:sz w:val="18"/>
                <w:szCs w:val="18"/>
                <w:color w:val="auto"/>
              </w:rPr>
              <w:t>184,281</w:t>
            </w:r>
          </w:p>
        </w:tc>
        <w:tc>
          <w:tcPr>
            <w:tcW w:w="1900" w:type="dxa"/>
            <w:vAlign w:val="bottom"/>
          </w:tcPr>
          <w:p>
            <w:pPr>
              <w:jc w:val="right"/>
              <w:spacing w:after="0"/>
              <w:rPr>
                <w:sz w:val="20"/>
                <w:szCs w:val="20"/>
                <w:color w:val="auto"/>
              </w:rPr>
            </w:pPr>
            <w:r>
              <w:rPr>
                <w:rFonts w:ascii="Arial" w:cs="Arial" w:eastAsia="Arial" w:hAnsi="Arial"/>
                <w:sz w:val="18"/>
                <w:szCs w:val="18"/>
                <w:color w:val="auto"/>
              </w:rPr>
              <w:t>127,948</w:t>
            </w:r>
          </w:p>
        </w:tc>
        <w:tc>
          <w:tcPr>
            <w:tcW w:w="960" w:type="dxa"/>
            <w:vAlign w:val="bottom"/>
          </w:tcPr>
          <w:p>
            <w:pPr>
              <w:jc w:val="right"/>
              <w:spacing w:after="0"/>
              <w:rPr>
                <w:sz w:val="20"/>
                <w:szCs w:val="20"/>
                <w:color w:val="auto"/>
              </w:rPr>
            </w:pPr>
            <w:r>
              <w:rPr>
                <w:rFonts w:ascii="Arial" w:cs="Arial" w:eastAsia="Arial" w:hAnsi="Arial"/>
                <w:sz w:val="18"/>
                <w:szCs w:val="18"/>
                <w:color w:val="auto"/>
              </w:rPr>
              <w:t>56,333</w:t>
            </w:r>
          </w:p>
        </w:tc>
      </w:tr>
      <w:tr>
        <w:trPr>
          <w:trHeight w:val="232"/>
        </w:trPr>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7,625</w:t>
            </w: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5,204</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2,421</w:t>
            </w:r>
          </w:p>
        </w:tc>
      </w:tr>
      <w:tr>
        <w:trPr>
          <w:trHeight w:val="240"/>
        </w:trPr>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$307,526</w:t>
            </w: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$162,637</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$144,889</w:t>
            </w:r>
          </w:p>
        </w:tc>
      </w:tr>
    </w:tbl>
    <w:p>
      <w:pPr>
        <w:spacing w:after="0" w:line="200" w:lineRule="exact"/>
        <w:rPr>
          <w:sz w:val="20"/>
          <w:szCs w:val="20"/>
          <w:color w:val="auto"/>
        </w:rPr>
      </w:pPr>
    </w:p>
    <w:p>
      <w:pPr>
        <w:sectPr>
          <w:pgSz w:w="11900" w:h="16838" w:orient="portrait"/>
          <w:cols w:equalWidth="0" w:num="2">
            <w:col w:w="5304" w:space="280"/>
            <w:col w:w="5780"/>
          </w:cols>
          <w:pgMar w:left="236" w:top="503" w:right="299" w:bottom="1440" w:gutter="0" w:footer="0" w:header="0"/>
          <w:type w:val="continuous"/>
        </w:sectPr>
      </w:pPr>
    </w:p>
    <w:p>
      <w:pPr>
        <w:spacing w:after="0" w:line="140" w:lineRule="exact"/>
        <w:rPr>
          <w:sz w:val="20"/>
          <w:szCs w:val="20"/>
          <w:color w:val="auto"/>
        </w:rPr>
      </w:pPr>
    </w:p>
    <w:p>
      <w:pPr>
        <w:ind w:left="384" w:hanging="384"/>
        <w:spacing w:after="0"/>
        <w:tabs>
          <w:tab w:leader="none" w:pos="384" w:val="left"/>
        </w:tabs>
        <w:numPr>
          <w:ilvl w:val="0"/>
          <w:numId w:val="425"/>
        </w:numPr>
        <w:rPr>
          <w:rFonts w:ascii="Arial" w:cs="Arial" w:eastAsia="Arial" w:hAnsi="Arial"/>
          <w:sz w:val="18"/>
          <w:szCs w:val="18"/>
          <w:b w:val="1"/>
          <w:bCs w:val="1"/>
          <w:color w:val="auto"/>
        </w:rPr>
      </w:pPr>
      <w:r>
        <w:rPr>
          <w:rFonts w:ascii="Arial" w:cs="Arial" w:eastAsia="Arial" w:hAnsi="Arial"/>
          <w:sz w:val="18"/>
          <w:szCs w:val="18"/>
          <w:b w:val="1"/>
          <w:bCs w:val="1"/>
          <w:color w:val="auto"/>
        </w:rPr>
        <w:t>FINANCE LEASE RECEIVABLE</w:t>
      </w:r>
    </w:p>
    <w:p>
      <w:pPr>
        <w:spacing w:after="0" w:line="183" w:lineRule="exact"/>
        <w:rPr>
          <w:rFonts w:ascii="Arial" w:cs="Arial" w:eastAsia="Arial" w:hAnsi="Arial"/>
          <w:sz w:val="18"/>
          <w:szCs w:val="18"/>
          <w:b w:val="1"/>
          <w:bCs w:val="1"/>
          <w:color w:val="auto"/>
        </w:rPr>
      </w:pPr>
    </w:p>
    <w:p>
      <w:pPr>
        <w:ind w:left="384" w:right="32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In connection with a transaction entered into during the year, the Partnership entered into a sales type lease that is recorded in the statement of financial condition as a finance lease receivable. The balance at December 31, 2008 is as follows (in thousands):</w:t>
      </w:r>
    </w:p>
    <w:p>
      <w:pPr>
        <w:spacing w:after="0" w:line="185" w:lineRule="exact"/>
        <w:rPr>
          <w:sz w:val="20"/>
          <w:szCs w:val="20"/>
          <w:color w:val="auto"/>
        </w:rPr>
      </w:pPr>
    </w:p>
    <w:tbl>
      <w:tblPr>
        <w:tblLayout w:type="fixed"/>
        <w:tblInd w:w="3024" w:type="dxa"/>
        <w:tblCellMar>
          <w:top w:w="0" w:type="dxa"/>
          <w:left w:w="0" w:type="dxa"/>
          <w:bottom w:w="0" w:type="dxa"/>
          <w:right w:w="0" w:type="dxa"/>
        </w:tblCellMar>
      </w:tblPr>
      <w:tr>
        <w:trPr>
          <w:trHeight w:val="223"/>
        </w:trPr>
        <w:tc>
          <w:tcPr>
            <w:tcW w:w="4000" w:type="dxa"/>
            <w:vAlign w:val="bottom"/>
          </w:tcPr>
          <w:p>
            <w:pPr>
              <w:spacing w:after="0"/>
              <w:rPr>
                <w:sz w:val="20"/>
                <w:szCs w:val="20"/>
                <w:color w:val="auto"/>
              </w:rPr>
            </w:pPr>
            <w:r>
              <w:rPr>
                <w:rFonts w:ascii="Arial" w:cs="Arial" w:eastAsia="Arial" w:hAnsi="Arial"/>
                <w:sz w:val="18"/>
                <w:szCs w:val="18"/>
                <w:color w:val="auto"/>
              </w:rPr>
              <w:t>Gross receivable</w:t>
            </w:r>
          </w:p>
        </w:tc>
        <w:tc>
          <w:tcPr>
            <w:tcW w:w="1400" w:type="dxa"/>
            <w:vAlign w:val="bottom"/>
          </w:tcPr>
          <w:p>
            <w:pPr>
              <w:jc w:val="right"/>
              <w:spacing w:after="0"/>
              <w:rPr>
                <w:sz w:val="20"/>
                <w:szCs w:val="20"/>
                <w:color w:val="auto"/>
              </w:rPr>
            </w:pPr>
            <w:r>
              <w:rPr>
                <w:rFonts w:ascii="Arial" w:cs="Arial" w:eastAsia="Arial" w:hAnsi="Arial"/>
                <w:sz w:val="18"/>
                <w:szCs w:val="18"/>
                <w:color w:val="auto"/>
              </w:rPr>
              <w:t>$224,254</w:t>
            </w:r>
          </w:p>
        </w:tc>
      </w:tr>
      <w:tr>
        <w:trPr>
          <w:trHeight w:val="228"/>
        </w:trPr>
        <w:tc>
          <w:tcPr>
            <w:tcW w:w="4000" w:type="dxa"/>
            <w:vAlign w:val="bottom"/>
          </w:tcPr>
          <w:p>
            <w:pPr>
              <w:spacing w:after="0"/>
              <w:rPr>
                <w:sz w:val="20"/>
                <w:szCs w:val="20"/>
                <w:color w:val="auto"/>
              </w:rPr>
            </w:pPr>
            <w:r>
              <w:rPr>
                <w:rFonts w:ascii="Arial" w:cs="Arial" w:eastAsia="Arial" w:hAnsi="Arial"/>
                <w:sz w:val="18"/>
                <w:szCs w:val="18"/>
                <w:color w:val="auto"/>
              </w:rPr>
              <w:t>Unearned income</w:t>
            </w:r>
          </w:p>
        </w:tc>
        <w:tc>
          <w:tcPr>
            <w:tcW w:w="1400" w:type="dxa"/>
            <w:vAlign w:val="bottom"/>
          </w:tcPr>
          <w:p>
            <w:pPr>
              <w:jc w:val="right"/>
              <w:spacing w:after="0"/>
              <w:rPr>
                <w:sz w:val="20"/>
                <w:szCs w:val="20"/>
                <w:color w:val="auto"/>
              </w:rPr>
            </w:pPr>
            <w:r>
              <w:rPr>
                <w:rFonts w:ascii="Arial" w:cs="Arial" w:eastAsia="Arial" w:hAnsi="Arial"/>
                <w:sz w:val="18"/>
                <w:szCs w:val="18"/>
                <w:color w:val="auto"/>
              </w:rPr>
              <w:t>(146,926)</w:t>
            </w:r>
          </w:p>
        </w:tc>
      </w:tr>
      <w:tr>
        <w:trPr>
          <w:trHeight w:val="236"/>
        </w:trPr>
        <w:tc>
          <w:tcPr>
            <w:tcW w:w="4000" w:type="dxa"/>
            <w:vAlign w:val="bottom"/>
          </w:tcPr>
          <w:p>
            <w:pPr>
              <w:spacing w:after="0"/>
              <w:rPr>
                <w:sz w:val="20"/>
                <w:szCs w:val="20"/>
                <w:color w:val="auto"/>
              </w:rPr>
            </w:pPr>
            <w:r>
              <w:rPr>
                <w:rFonts w:ascii="Arial" w:cs="Arial" w:eastAsia="Arial" w:hAnsi="Arial"/>
                <w:sz w:val="18"/>
                <w:szCs w:val="18"/>
                <w:color w:val="auto"/>
              </w:rPr>
              <w:t>Unguaranteed residual value</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115,000</w:t>
            </w:r>
          </w:p>
        </w:tc>
      </w:tr>
      <w:tr>
        <w:trPr>
          <w:trHeight w:val="236"/>
        </w:trPr>
        <w:tc>
          <w:tcPr>
            <w:tcW w:w="4000" w:type="dxa"/>
            <w:vAlign w:val="bottom"/>
          </w:tcPr>
          <w:p>
            <w:pPr>
              <w:spacing w:after="0"/>
              <w:rPr>
                <w:sz w:val="20"/>
                <w:szCs w:val="20"/>
                <w:color w:val="auto"/>
              </w:rPr>
            </w:pPr>
            <w:r>
              <w:rPr>
                <w:rFonts w:ascii="Arial" w:cs="Arial" w:eastAsia="Arial" w:hAnsi="Arial"/>
                <w:sz w:val="18"/>
                <w:szCs w:val="18"/>
                <w:color w:val="auto"/>
              </w:rPr>
              <w:t>Finance lease receivable — net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$192,328</w:t>
            </w:r>
          </w:p>
        </w:tc>
      </w:tr>
    </w:tbl>
    <w:p>
      <w:pPr>
        <w:spacing w:after="0" w:line="346" w:lineRule="exact"/>
        <w:rPr>
          <w:sz w:val="20"/>
          <w:szCs w:val="20"/>
          <w:color w:val="auto"/>
        </w:rPr>
      </w:pPr>
    </w:p>
    <w:p>
      <w:pPr>
        <w:ind w:left="384"/>
        <w:spacing w:after="0"/>
        <w:rPr>
          <w:sz w:val="20"/>
          <w:szCs w:val="20"/>
          <w:color w:val="auto"/>
        </w:rPr>
      </w:pPr>
      <w:r>
        <w:rPr>
          <w:rFonts w:ascii="Arial" w:cs="Arial" w:eastAsia="Arial" w:hAnsi="Arial"/>
          <w:sz w:val="18"/>
          <w:szCs w:val="18"/>
          <w:color w:val="auto"/>
        </w:rPr>
        <w:t>Contractual maturities of the gross receivable as of December 31, 2008 were as follows (in thousands):</w:t>
      </w:r>
    </w:p>
    <w:p>
      <w:pPr>
        <w:spacing w:after="0" w:line="213" w:lineRule="exact"/>
        <w:rPr>
          <w:sz w:val="20"/>
          <w:szCs w:val="20"/>
          <w:color w:val="auto"/>
        </w:rPr>
      </w:pPr>
    </w:p>
    <w:tbl>
      <w:tblPr>
        <w:tblLayout w:type="fixed"/>
        <w:tblInd w:w="3024" w:type="dxa"/>
        <w:tblCellMar>
          <w:top w:w="0" w:type="dxa"/>
          <w:left w:w="0" w:type="dxa"/>
          <w:bottom w:w="0" w:type="dxa"/>
          <w:right w:w="0" w:type="dxa"/>
        </w:tblCellMar>
      </w:tblPr>
      <w:tr>
        <w:trPr>
          <w:trHeight w:val="223"/>
        </w:trPr>
        <w:tc>
          <w:tcPr>
            <w:tcW w:w="4000" w:type="dxa"/>
            <w:vAlign w:val="bottom"/>
          </w:tcPr>
          <w:p>
            <w:pPr>
              <w:spacing w:after="0"/>
              <w:rPr>
                <w:sz w:val="20"/>
                <w:szCs w:val="20"/>
                <w:color w:val="auto"/>
              </w:rPr>
            </w:pPr>
            <w:r>
              <w:rPr>
                <w:rFonts w:ascii="Arial" w:cs="Arial" w:eastAsia="Arial" w:hAnsi="Arial"/>
                <w:sz w:val="18"/>
                <w:szCs w:val="18"/>
                <w:color w:val="auto"/>
              </w:rPr>
              <w:t>2009</w:t>
            </w:r>
          </w:p>
        </w:tc>
        <w:tc>
          <w:tcPr>
            <w:tcW w:w="1400" w:type="dxa"/>
            <w:vAlign w:val="bottom"/>
          </w:tcPr>
          <w:p>
            <w:pPr>
              <w:jc w:val="right"/>
              <w:spacing w:after="0"/>
              <w:rPr>
                <w:sz w:val="20"/>
                <w:szCs w:val="20"/>
                <w:color w:val="auto"/>
              </w:rPr>
            </w:pPr>
            <w:r>
              <w:rPr>
                <w:rFonts w:ascii="Arial" w:cs="Arial" w:eastAsia="Arial" w:hAnsi="Arial"/>
                <w:sz w:val="18"/>
                <w:szCs w:val="18"/>
                <w:color w:val="auto"/>
              </w:rPr>
              <w:t>$9,945</w:t>
            </w:r>
          </w:p>
        </w:tc>
      </w:tr>
      <w:tr>
        <w:trPr>
          <w:trHeight w:val="228"/>
        </w:trPr>
        <w:tc>
          <w:tcPr>
            <w:tcW w:w="4000" w:type="dxa"/>
            <w:vAlign w:val="bottom"/>
          </w:tcPr>
          <w:p>
            <w:pPr>
              <w:spacing w:after="0"/>
              <w:rPr>
                <w:sz w:val="20"/>
                <w:szCs w:val="20"/>
                <w:color w:val="auto"/>
              </w:rPr>
            </w:pPr>
            <w:r>
              <w:rPr>
                <w:rFonts w:ascii="Arial" w:cs="Arial" w:eastAsia="Arial" w:hAnsi="Arial"/>
                <w:sz w:val="18"/>
                <w:szCs w:val="18"/>
                <w:color w:val="auto"/>
              </w:rPr>
              <w:t>2010</w:t>
            </w:r>
          </w:p>
        </w:tc>
        <w:tc>
          <w:tcPr>
            <w:tcW w:w="1400" w:type="dxa"/>
            <w:vAlign w:val="bottom"/>
          </w:tcPr>
          <w:p>
            <w:pPr>
              <w:jc w:val="right"/>
              <w:spacing w:after="0"/>
              <w:rPr>
                <w:sz w:val="20"/>
                <w:szCs w:val="20"/>
                <w:color w:val="auto"/>
              </w:rPr>
            </w:pPr>
            <w:r>
              <w:rPr>
                <w:rFonts w:ascii="Arial" w:cs="Arial" w:eastAsia="Arial" w:hAnsi="Arial"/>
                <w:sz w:val="18"/>
                <w:szCs w:val="18"/>
                <w:color w:val="auto"/>
              </w:rPr>
              <w:t>11,691</w:t>
            </w:r>
          </w:p>
        </w:tc>
      </w:tr>
      <w:tr>
        <w:trPr>
          <w:trHeight w:val="228"/>
        </w:trPr>
        <w:tc>
          <w:tcPr>
            <w:tcW w:w="4000" w:type="dxa"/>
            <w:vAlign w:val="bottom"/>
          </w:tcPr>
          <w:p>
            <w:pPr>
              <w:spacing w:after="0"/>
              <w:rPr>
                <w:sz w:val="20"/>
                <w:szCs w:val="20"/>
                <w:color w:val="auto"/>
              </w:rPr>
            </w:pPr>
            <w:r>
              <w:rPr>
                <w:rFonts w:ascii="Arial" w:cs="Arial" w:eastAsia="Arial" w:hAnsi="Arial"/>
                <w:sz w:val="18"/>
                <w:szCs w:val="18"/>
                <w:color w:val="auto"/>
              </w:rPr>
              <w:t>2011</w:t>
            </w:r>
          </w:p>
        </w:tc>
        <w:tc>
          <w:tcPr>
            <w:tcW w:w="1400" w:type="dxa"/>
            <w:vAlign w:val="bottom"/>
          </w:tcPr>
          <w:p>
            <w:pPr>
              <w:jc w:val="right"/>
              <w:spacing w:after="0"/>
              <w:rPr>
                <w:sz w:val="20"/>
                <w:szCs w:val="20"/>
                <w:color w:val="auto"/>
              </w:rPr>
            </w:pPr>
            <w:r>
              <w:rPr>
                <w:rFonts w:ascii="Arial" w:cs="Arial" w:eastAsia="Arial" w:hAnsi="Arial"/>
                <w:sz w:val="18"/>
                <w:szCs w:val="18"/>
                <w:color w:val="auto"/>
              </w:rPr>
              <w:t>14,586</w:t>
            </w:r>
          </w:p>
        </w:tc>
      </w:tr>
      <w:tr>
        <w:trPr>
          <w:trHeight w:val="228"/>
        </w:trPr>
        <w:tc>
          <w:tcPr>
            <w:tcW w:w="4000" w:type="dxa"/>
            <w:vAlign w:val="bottom"/>
          </w:tcPr>
          <w:p>
            <w:pPr>
              <w:spacing w:after="0"/>
              <w:rPr>
                <w:sz w:val="20"/>
                <w:szCs w:val="20"/>
                <w:color w:val="auto"/>
              </w:rPr>
            </w:pPr>
            <w:r>
              <w:rPr>
                <w:rFonts w:ascii="Arial" w:cs="Arial" w:eastAsia="Arial" w:hAnsi="Arial"/>
                <w:sz w:val="18"/>
                <w:szCs w:val="18"/>
                <w:color w:val="auto"/>
              </w:rPr>
              <w:t>2012</w:t>
            </w:r>
          </w:p>
        </w:tc>
        <w:tc>
          <w:tcPr>
            <w:tcW w:w="1400" w:type="dxa"/>
            <w:vAlign w:val="bottom"/>
          </w:tcPr>
          <w:p>
            <w:pPr>
              <w:jc w:val="right"/>
              <w:spacing w:after="0"/>
              <w:rPr>
                <w:sz w:val="20"/>
                <w:szCs w:val="20"/>
                <w:color w:val="auto"/>
              </w:rPr>
            </w:pPr>
            <w:r>
              <w:rPr>
                <w:rFonts w:ascii="Arial" w:cs="Arial" w:eastAsia="Arial" w:hAnsi="Arial"/>
                <w:sz w:val="18"/>
                <w:szCs w:val="18"/>
                <w:color w:val="auto"/>
              </w:rPr>
              <w:t>15,000</w:t>
            </w:r>
          </w:p>
        </w:tc>
      </w:tr>
      <w:tr>
        <w:trPr>
          <w:trHeight w:val="228"/>
        </w:trPr>
        <w:tc>
          <w:tcPr>
            <w:tcW w:w="4000" w:type="dxa"/>
            <w:vAlign w:val="bottom"/>
          </w:tcPr>
          <w:p>
            <w:pPr>
              <w:spacing w:after="0"/>
              <w:rPr>
                <w:sz w:val="20"/>
                <w:szCs w:val="20"/>
                <w:color w:val="auto"/>
              </w:rPr>
            </w:pPr>
            <w:r>
              <w:rPr>
                <w:rFonts w:ascii="Arial" w:cs="Arial" w:eastAsia="Arial" w:hAnsi="Arial"/>
                <w:sz w:val="18"/>
                <w:szCs w:val="18"/>
                <w:color w:val="auto"/>
              </w:rPr>
              <w:t>2013</w:t>
            </w:r>
          </w:p>
        </w:tc>
        <w:tc>
          <w:tcPr>
            <w:tcW w:w="1400" w:type="dxa"/>
            <w:vAlign w:val="bottom"/>
          </w:tcPr>
          <w:p>
            <w:pPr>
              <w:jc w:val="right"/>
              <w:spacing w:after="0"/>
              <w:rPr>
                <w:sz w:val="20"/>
                <w:szCs w:val="20"/>
                <w:color w:val="auto"/>
              </w:rPr>
            </w:pPr>
            <w:r>
              <w:rPr>
                <w:rFonts w:ascii="Arial" w:cs="Arial" w:eastAsia="Arial" w:hAnsi="Arial"/>
                <w:sz w:val="18"/>
                <w:szCs w:val="18"/>
                <w:color w:val="auto"/>
              </w:rPr>
              <w:t>13,268</w:t>
            </w:r>
          </w:p>
        </w:tc>
      </w:tr>
      <w:tr>
        <w:trPr>
          <w:trHeight w:val="236"/>
        </w:trPr>
        <w:tc>
          <w:tcPr>
            <w:tcW w:w="4000" w:type="dxa"/>
            <w:vAlign w:val="bottom"/>
          </w:tcPr>
          <w:p>
            <w:pPr>
              <w:spacing w:after="0"/>
              <w:rPr>
                <w:sz w:val="20"/>
                <w:szCs w:val="20"/>
                <w:color w:val="auto"/>
              </w:rPr>
            </w:pPr>
            <w:r>
              <w:rPr>
                <w:rFonts w:ascii="Arial" w:cs="Arial" w:eastAsia="Arial" w:hAnsi="Arial"/>
                <w:sz w:val="18"/>
                <w:szCs w:val="18"/>
                <w:color w:val="auto"/>
              </w:rPr>
              <w:t>Thereafter</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159,764</w:t>
            </w:r>
          </w:p>
        </w:tc>
      </w:tr>
      <w:tr>
        <w:trPr>
          <w:trHeight w:val="236"/>
        </w:trPr>
        <w:tc>
          <w:tcPr>
            <w:tcW w:w="4000" w:type="dxa"/>
            <w:vAlign w:val="bottom"/>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$224,254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83"/>
        <w:spacing w:after="0"/>
        <w:rPr>
          <w:sz w:val="20"/>
          <w:szCs w:val="20"/>
          <w:color w:val="auto"/>
        </w:rPr>
      </w:pPr>
      <w:r>
        <w:rPr>
          <w:rFonts w:ascii="Arial" w:cs="Arial" w:eastAsia="Arial" w:hAnsi="Arial"/>
          <w:sz w:val="18"/>
          <w:szCs w:val="18"/>
          <w:color w:val="auto"/>
        </w:rPr>
        <w:t>- 17 -</w:t>
      </w:r>
    </w:p>
    <w:p>
      <w:pPr>
        <w:sectPr>
          <w:pgSz w:w="11900" w:h="16838" w:orient="portrait"/>
          <w:cols w:equalWidth="0" w:num="1">
            <w:col w:w="11364"/>
          </w:cols>
          <w:pgMar w:left="236" w:top="503" w:right="299" w:bottom="1440" w:gutter="0" w:footer="0" w:header="0"/>
          <w:type w:val="continuous"/>
        </w:sectPr>
      </w:pPr>
    </w:p>
    <w:bookmarkStart w:id="369" w:name="page370"/>
    <w:bookmarkEnd w:id="369"/>
    <w:p>
      <w:pPr>
        <w:ind w:left="384" w:hanging="384"/>
        <w:spacing w:after="0"/>
        <w:tabs>
          <w:tab w:leader="none" w:pos="384" w:val="left"/>
        </w:tabs>
        <w:numPr>
          <w:ilvl w:val="0"/>
          <w:numId w:val="426"/>
        </w:numPr>
        <w:rPr>
          <w:rFonts w:ascii="Arial" w:cs="Arial" w:eastAsia="Arial" w:hAnsi="Arial"/>
          <w:sz w:val="18"/>
          <w:szCs w:val="18"/>
          <w:b w:val="1"/>
          <w:bCs w:val="1"/>
          <w:color w:val="auto"/>
        </w:rPr>
      </w:pPr>
      <w:r>
        <w:rPr>
          <w:rFonts w:ascii="Arial" w:cs="Arial" w:eastAsia="Arial" w:hAnsi="Arial"/>
          <w:sz w:val="18"/>
          <w:szCs w:val="18"/>
          <w:b w:val="1"/>
          <w:bCs w:val="1"/>
          <w:color w:val="auto"/>
        </w:rPr>
        <w:t>BORROWINGS AND CREDIT FACILITIES</w:t>
      </w:r>
    </w:p>
    <w:p>
      <w:pPr>
        <w:spacing w:after="0" w:line="171" w:lineRule="exact"/>
        <w:rPr>
          <w:rFonts w:ascii="Arial" w:cs="Arial" w:eastAsia="Arial" w:hAnsi="Arial"/>
          <w:sz w:val="18"/>
          <w:szCs w:val="18"/>
          <w:b w:val="1"/>
          <w:bCs w:val="1"/>
          <w:color w:val="auto"/>
        </w:rPr>
      </w:pPr>
    </w:p>
    <w:p>
      <w:pPr>
        <w:ind w:left="384"/>
        <w:spacing w:after="0" w:line="290" w:lineRule="auto"/>
        <w:rPr>
          <w:rFonts w:ascii="Arial" w:cs="Arial" w:eastAsia="Arial" w:hAnsi="Arial"/>
          <w:sz w:val="18"/>
          <w:szCs w:val="18"/>
          <w:b w:val="1"/>
          <w:bCs w:val="1"/>
          <w:color w:val="auto"/>
        </w:rPr>
      </w:pPr>
      <w:r>
        <w:rPr>
          <w:rFonts w:ascii="Arial" w:cs="Arial" w:eastAsia="Arial" w:hAnsi="Arial"/>
          <w:sz w:val="15"/>
          <w:szCs w:val="15"/>
          <w:color w:val="auto"/>
        </w:rPr>
        <w:t>Certain subsidiaries of the Partnership have a $1.72 billion, five-year committed syndicated revolving credit facility (consisting of borrowings, letters of credit and other credit support accommodations) maturing in September 2010. The amount of credit available under the facility is limited to the amount of a borrowing base consisting of receivables, inventories and other assets of a subsidiary of the Partnership that secure the credit facility and are valued for purposes of the borrowing base at varying percentages of current market value. Extensions of credit are guaranteed by Sempra Energy subject to a maximum guarantee liability of 20% of the lenders’ total commitments under the facility. The facility requires a subsidiary of the Partnership to meet certain financial tests at the end of each quarter, including minimum working capital, leverage ratio, senior debt to tangible net worth rat io, and minimum net worth and tangible net worth tests. It also imposes certain other limitations on the subsidiary and certain affiliates, including certain limitations on other indebtedness, capital expenditures, liens, transfers of assets, investments, loans, advances, dividends, other distributions, modifications of risk-management policies and transactions with affiliates. As of December 31, 2008, the facility had $1.2 billion of letters of credit and no borrowings outstanding. In addition to commitment fees, these borrowings accrue interest at market rates based on a base rate or libor plus a fixed margin. In May 2008, the facility was amended to permit the implementation of the transfer of certain businesses of the Partnership to RBS and to ensure that after such transfer, the Partnership businesses would continue to be able to utilize the credit facility. In addition, there were adjustments to covenants and the margin applicable to loans.</w:t>
      </w:r>
    </w:p>
    <w:p>
      <w:pPr>
        <w:spacing w:after="0" w:line="129" w:lineRule="exact"/>
        <w:rPr>
          <w:rFonts w:ascii="Arial" w:cs="Arial" w:eastAsia="Arial" w:hAnsi="Arial"/>
          <w:sz w:val="18"/>
          <w:szCs w:val="18"/>
          <w:b w:val="1"/>
          <w:bCs w:val="1"/>
          <w:color w:val="auto"/>
        </w:rPr>
      </w:pPr>
    </w:p>
    <w:p>
      <w:pPr>
        <w:ind w:left="384" w:right="440"/>
        <w:spacing w:after="0" w:line="242" w:lineRule="auto"/>
        <w:rPr>
          <w:rFonts w:ascii="Arial" w:cs="Arial" w:eastAsia="Arial" w:hAnsi="Arial"/>
          <w:sz w:val="18"/>
          <w:szCs w:val="18"/>
          <w:b w:val="1"/>
          <w:bCs w:val="1"/>
          <w:color w:val="auto"/>
        </w:rPr>
      </w:pPr>
      <w:r>
        <w:rPr>
          <w:rFonts w:ascii="Arial" w:cs="Arial" w:eastAsia="Arial" w:hAnsi="Arial"/>
          <w:sz w:val="18"/>
          <w:szCs w:val="18"/>
          <w:color w:val="auto"/>
        </w:rPr>
        <w:t>Certain subsidiaries of the Partnership have a $500 million, three-year revolving credit facility with an affiliate maturing in May 2009 that provides for borrowings and the issuance of letters of credit and bank guarantees. Extensions of credit under the facility are guaranteed by Sempra Energy. At December 31, 2008, the facility had outstanding $174 million of letters of credit and $320 million of short-term borrowings. These borrowings accrue interest at market rates based on libor plus a fixed margin.</w:t>
      </w:r>
    </w:p>
    <w:p>
      <w:pPr>
        <w:spacing w:after="0" w:line="162" w:lineRule="exact"/>
        <w:rPr>
          <w:rFonts w:ascii="Arial" w:cs="Arial" w:eastAsia="Arial" w:hAnsi="Arial"/>
          <w:sz w:val="18"/>
          <w:szCs w:val="18"/>
          <w:b w:val="1"/>
          <w:bCs w:val="1"/>
          <w:color w:val="auto"/>
        </w:rPr>
      </w:pPr>
    </w:p>
    <w:p>
      <w:pPr>
        <w:ind w:left="384" w:right="40"/>
        <w:spacing w:after="0" w:line="307" w:lineRule="auto"/>
        <w:rPr>
          <w:rFonts w:ascii="Arial" w:cs="Arial" w:eastAsia="Arial" w:hAnsi="Arial"/>
          <w:sz w:val="18"/>
          <w:szCs w:val="18"/>
          <w:b w:val="1"/>
          <w:bCs w:val="1"/>
          <w:color w:val="auto"/>
        </w:rPr>
      </w:pPr>
      <w:r>
        <w:rPr>
          <w:rFonts w:ascii="Arial" w:cs="Arial" w:eastAsia="Arial" w:hAnsi="Arial"/>
          <w:sz w:val="15"/>
          <w:szCs w:val="15"/>
          <w:color w:val="auto"/>
        </w:rPr>
        <w:t>RBS has a loan facility for the benefit of the Partnership’s subsidiaries under which loans of up to $500 million are available through the sale by the lender of asset-backed commercial paper notes to capital markets investors. RBS can elect to require the lender to fund the loans by the sale of commercial paper notes to the Federal Reserve Bank of New York under its Commercial Paper Funding Facility, for terms of three months, through April 30, 2009 with a final maturity of July 30, 2009. As of December 31, 2008 there were no short-term borrowings outstanding against this facility</w:t>
      </w:r>
    </w:p>
    <w:p>
      <w:pPr>
        <w:spacing w:after="0" w:line="102" w:lineRule="exact"/>
        <w:rPr>
          <w:rFonts w:ascii="Arial" w:cs="Arial" w:eastAsia="Arial" w:hAnsi="Arial"/>
          <w:sz w:val="18"/>
          <w:szCs w:val="18"/>
          <w:b w:val="1"/>
          <w:bCs w:val="1"/>
          <w:color w:val="auto"/>
        </w:rPr>
      </w:pPr>
    </w:p>
    <w:p>
      <w:pPr>
        <w:ind w:left="384" w:right="120"/>
        <w:spacing w:after="0"/>
        <w:rPr>
          <w:rFonts w:ascii="Arial" w:cs="Arial" w:eastAsia="Arial" w:hAnsi="Arial"/>
          <w:sz w:val="18"/>
          <w:szCs w:val="18"/>
          <w:b w:val="1"/>
          <w:bCs w:val="1"/>
          <w:color w:val="auto"/>
        </w:rPr>
      </w:pPr>
      <w:r>
        <w:rPr>
          <w:rFonts w:ascii="Arial" w:cs="Arial" w:eastAsia="Arial" w:hAnsi="Arial"/>
          <w:sz w:val="18"/>
          <w:szCs w:val="18"/>
          <w:color w:val="auto"/>
        </w:rPr>
        <w:t xml:space="preserve">At December 31, 2008, RBS, on behalf of itself and certain subsidiaries of the Partnership, maintained $927 million in various uncommitted lines of credit. At December 31, 2008, these facilities had outstanding $756 million of letters of credit and no short-term borrowings. </w:t>
      </w:r>
      <w:r>
        <w:rPr>
          <w:rFonts w:ascii="Arial" w:cs="Arial" w:eastAsia="Arial" w:hAnsi="Arial"/>
          <w:sz w:val="18"/>
          <w:szCs w:val="18"/>
          <w:color w:val="auto"/>
          <w:strike w:val="1"/>
        </w:rPr>
        <w:t>These facilities</w:t>
      </w:r>
      <w:r>
        <w:rPr>
          <w:rFonts w:ascii="Arial" w:cs="Arial" w:eastAsia="Arial" w:hAnsi="Arial"/>
          <w:sz w:val="18"/>
          <w:szCs w:val="18"/>
          <w:color w:val="auto"/>
        </w:rPr>
        <w:t xml:space="preserve"> exclude a line of credit provided by RBS to subsidiaries of the Partnership as well as loans made by RBS to the Partnership (or its subsidiaries) pursuant to its obligation to lend cash and other working capital to the Partnership as necessary to fund all of its ongoing operating expenses, to provide capital to the Partnership to support the trading activities of its subsidiaries at a level prevailing as of April 1, 2008, to support the business plan of the Partnership, and to support its reasonable growth.</w:t>
      </w:r>
    </w:p>
    <w:p>
      <w:pPr>
        <w:spacing w:after="0" w:line="200" w:lineRule="exact"/>
        <w:rPr>
          <w:rFonts w:ascii="Arial" w:cs="Arial" w:eastAsia="Arial" w:hAnsi="Arial"/>
          <w:sz w:val="18"/>
          <w:szCs w:val="18"/>
          <w:b w:val="1"/>
          <w:bCs w:val="1"/>
          <w:color w:val="auto"/>
        </w:rPr>
      </w:pPr>
    </w:p>
    <w:p>
      <w:pPr>
        <w:spacing w:after="0" w:line="200" w:lineRule="exact"/>
        <w:rPr>
          <w:rFonts w:ascii="Arial" w:cs="Arial" w:eastAsia="Arial" w:hAnsi="Arial"/>
          <w:sz w:val="18"/>
          <w:szCs w:val="18"/>
          <w:b w:val="1"/>
          <w:bCs w:val="1"/>
          <w:color w:val="auto"/>
        </w:rPr>
      </w:pPr>
    </w:p>
    <w:p>
      <w:pPr>
        <w:spacing w:after="0" w:line="328" w:lineRule="exact"/>
        <w:rPr>
          <w:rFonts w:ascii="Arial" w:cs="Arial" w:eastAsia="Arial" w:hAnsi="Arial"/>
          <w:sz w:val="18"/>
          <w:szCs w:val="18"/>
          <w:b w:val="1"/>
          <w:bCs w:val="1"/>
          <w:color w:val="auto"/>
        </w:rPr>
      </w:pPr>
    </w:p>
    <w:p>
      <w:pPr>
        <w:ind w:left="5624" w:hanging="97"/>
        <w:spacing w:after="0"/>
        <w:tabs>
          <w:tab w:leader="none" w:pos="5624" w:val="left"/>
        </w:tabs>
        <w:numPr>
          <w:ilvl w:val="1"/>
          <w:numId w:val="426"/>
        </w:numPr>
        <w:rPr>
          <w:rFonts w:ascii="Arial" w:cs="Arial" w:eastAsia="Arial" w:hAnsi="Arial"/>
          <w:sz w:val="18"/>
          <w:szCs w:val="18"/>
          <w:color w:val="auto"/>
        </w:rPr>
      </w:pPr>
      <w:r>
        <w:rPr>
          <w:rFonts w:ascii="Arial" w:cs="Arial" w:eastAsia="Arial" w:hAnsi="Arial"/>
          <w:sz w:val="18"/>
          <w:szCs w:val="18"/>
          <w:color w:val="auto"/>
        </w:rPr>
        <w:t>18 -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5901690</wp:posOffset>
            </wp:positionH>
            <wp:positionV relativeFrom="paragraph">
              <wp:posOffset>-1303655</wp:posOffset>
            </wp:positionV>
            <wp:extent cx="27940" cy="762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27940" cy="7620"/>
                    </a:xfrm>
                    <a:prstGeom prst="rect">
                      <a:avLst/>
                    </a:prstGeom>
                    <a:noFill/>
                  </pic:spPr>
                </pic:pic>
              </a:graphicData>
            </a:graphic>
          </wp:anchor>
        </w:drawing>
      </w:r>
    </w:p>
    <w:p>
      <w:pPr>
        <w:sectPr>
          <w:pgSz w:w="11900" w:h="16838" w:orient="portrait"/>
          <w:cols w:equalWidth="0" w:num="1">
            <w:col w:w="11444"/>
          </w:cols>
          <w:pgMar w:left="236" w:top="503" w:right="219" w:bottom="1440" w:gutter="0" w:footer="0" w:header="0"/>
        </w:sectPr>
      </w:pPr>
    </w:p>
    <w:bookmarkStart w:id="370" w:name="page371"/>
    <w:bookmarkEnd w:id="370"/>
    <w:p>
      <w:pPr>
        <w:ind w:left="384" w:hanging="384"/>
        <w:spacing w:after="0"/>
        <w:tabs>
          <w:tab w:leader="none" w:pos="384" w:val="left"/>
        </w:tabs>
        <w:numPr>
          <w:ilvl w:val="0"/>
          <w:numId w:val="427"/>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171" w:lineRule="exact"/>
        <w:rPr>
          <w:rFonts w:ascii="Arial" w:cs="Arial" w:eastAsia="Arial" w:hAnsi="Arial"/>
          <w:sz w:val="18"/>
          <w:szCs w:val="18"/>
          <w:b w:val="1"/>
          <w:bCs w:val="1"/>
          <w:color w:val="auto"/>
        </w:rPr>
      </w:pPr>
    </w:p>
    <w:p>
      <w:pPr>
        <w:ind w:left="384" w:right="100"/>
        <w:spacing w:after="0" w:line="242" w:lineRule="auto"/>
        <w:rPr>
          <w:rFonts w:ascii="Arial" w:cs="Arial" w:eastAsia="Arial" w:hAnsi="Arial"/>
          <w:sz w:val="18"/>
          <w:szCs w:val="18"/>
          <w:b w:val="1"/>
          <w:bCs w:val="1"/>
          <w:color w:val="auto"/>
        </w:rPr>
      </w:pPr>
      <w:r>
        <w:rPr>
          <w:rFonts w:ascii="Arial" w:cs="Arial" w:eastAsia="Arial" w:hAnsi="Arial"/>
          <w:sz w:val="18"/>
          <w:szCs w:val="18"/>
          <w:color w:val="auto"/>
        </w:rPr>
        <w:t>The Partnership is a Limited Liability Partnership, incorporated under the laws of the United Kingdom and for U.S. purposes has elected to be treated as a Partnership for Federal, State and Local filings. The income or loss applicable to the operations of the Partnership is includable in the U.S. income tax returns of the Members. Certain subsidiaries of the Partnership are subject to tax in foreign jurisdictions where such subsidiary is treated as a corporation under local tax laws.</w:t>
      </w:r>
    </w:p>
    <w:p>
      <w:pPr>
        <w:spacing w:after="0" w:line="162" w:lineRule="exact"/>
        <w:rPr>
          <w:rFonts w:ascii="Arial" w:cs="Arial" w:eastAsia="Arial" w:hAnsi="Arial"/>
          <w:sz w:val="18"/>
          <w:szCs w:val="18"/>
          <w:b w:val="1"/>
          <w:bCs w:val="1"/>
          <w:color w:val="auto"/>
        </w:rPr>
      </w:pPr>
    </w:p>
    <w:p>
      <w:pPr>
        <w:ind w:left="384"/>
        <w:spacing w:after="0"/>
        <w:rPr>
          <w:rFonts w:ascii="Arial" w:cs="Arial" w:eastAsia="Arial" w:hAnsi="Arial"/>
          <w:sz w:val="18"/>
          <w:szCs w:val="18"/>
          <w:b w:val="1"/>
          <w:bCs w:val="1"/>
          <w:color w:val="auto"/>
        </w:rPr>
      </w:pPr>
      <w:r>
        <w:rPr>
          <w:rFonts w:ascii="Arial" w:cs="Arial" w:eastAsia="Arial" w:hAnsi="Arial"/>
          <w:sz w:val="18"/>
          <w:szCs w:val="18"/>
          <w:color w:val="auto"/>
        </w:rPr>
        <w:t>The provision for income taxes is summarized below (in thousands):</w:t>
      </w:r>
    </w:p>
    <w:p>
      <w:pPr>
        <w:spacing w:after="0" w:line="213" w:lineRule="exact"/>
        <w:rPr>
          <w:sz w:val="20"/>
          <w:szCs w:val="20"/>
          <w:color w:val="auto"/>
        </w:rPr>
      </w:pPr>
    </w:p>
    <w:tbl>
      <w:tblPr>
        <w:tblLayout w:type="fixed"/>
        <w:tblInd w:w="2784" w:type="dxa"/>
        <w:tblCellMar>
          <w:top w:w="0" w:type="dxa"/>
          <w:left w:w="0" w:type="dxa"/>
          <w:bottom w:w="0" w:type="dxa"/>
          <w:right w:w="0" w:type="dxa"/>
        </w:tblCellMar>
      </w:tblPr>
      <w:tr>
        <w:trPr>
          <w:trHeight w:val="223"/>
        </w:trPr>
        <w:tc>
          <w:tcPr>
            <w:tcW w:w="4600" w:type="dxa"/>
            <w:vAlign w:val="bottom"/>
          </w:tcPr>
          <w:p>
            <w:pPr>
              <w:spacing w:after="0"/>
              <w:rPr>
                <w:sz w:val="20"/>
                <w:szCs w:val="20"/>
                <w:color w:val="auto"/>
              </w:rPr>
            </w:pPr>
            <w:r>
              <w:rPr>
                <w:rFonts w:ascii="Arial" w:cs="Arial" w:eastAsia="Arial" w:hAnsi="Arial"/>
                <w:sz w:val="18"/>
                <w:szCs w:val="18"/>
                <w:color w:val="auto"/>
              </w:rPr>
              <w:t>Current — foreign</w:t>
            </w:r>
          </w:p>
        </w:tc>
        <w:tc>
          <w:tcPr>
            <w:tcW w:w="1280" w:type="dxa"/>
            <w:vAlign w:val="bottom"/>
          </w:tcPr>
          <w:p>
            <w:pPr>
              <w:jc w:val="right"/>
              <w:spacing w:after="0"/>
              <w:rPr>
                <w:sz w:val="20"/>
                <w:szCs w:val="20"/>
                <w:color w:val="auto"/>
              </w:rPr>
            </w:pPr>
            <w:r>
              <w:rPr>
                <w:rFonts w:ascii="Arial" w:cs="Arial" w:eastAsia="Arial" w:hAnsi="Arial"/>
                <w:sz w:val="18"/>
                <w:szCs w:val="18"/>
                <w:color w:val="auto"/>
              </w:rPr>
              <w:t>$13,317</w:t>
            </w:r>
          </w:p>
        </w:tc>
      </w:tr>
      <w:tr>
        <w:trPr>
          <w:trHeight w:val="236"/>
        </w:trPr>
        <w:tc>
          <w:tcPr>
            <w:tcW w:w="4600" w:type="dxa"/>
            <w:vAlign w:val="bottom"/>
          </w:tcPr>
          <w:p>
            <w:pPr>
              <w:spacing w:after="0"/>
              <w:rPr>
                <w:sz w:val="20"/>
                <w:szCs w:val="20"/>
                <w:color w:val="auto"/>
              </w:rPr>
            </w:pPr>
            <w:r>
              <w:rPr>
                <w:rFonts w:ascii="Arial" w:cs="Arial" w:eastAsia="Arial" w:hAnsi="Arial"/>
                <w:sz w:val="18"/>
                <w:szCs w:val="18"/>
                <w:color w:val="auto"/>
              </w:rPr>
              <w:t>Deferred — foreign</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3,101</w:t>
            </w:r>
          </w:p>
        </w:tc>
      </w:tr>
      <w:tr>
        <w:trPr>
          <w:trHeight w:val="236"/>
        </w:trPr>
        <w:tc>
          <w:tcPr>
            <w:tcW w:w="4600" w:type="dxa"/>
            <w:vAlign w:val="bottom"/>
          </w:tcPr>
          <w:p>
            <w:pPr>
              <w:spacing w:after="0"/>
              <w:rPr>
                <w:sz w:val="20"/>
                <w:szCs w:val="20"/>
                <w:color w:val="auto"/>
              </w:rPr>
            </w:pPr>
            <w:r>
              <w:rPr>
                <w:rFonts w:ascii="Arial" w:cs="Arial" w:eastAsia="Arial" w:hAnsi="Arial"/>
                <w:sz w:val="18"/>
                <w:szCs w:val="18"/>
                <w:color w:val="auto"/>
              </w:rPr>
              <w:t>Total provision for income taxes</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$16,418</w:t>
            </w:r>
          </w:p>
        </w:tc>
      </w:tr>
    </w:tbl>
    <w:p>
      <w:pPr>
        <w:spacing w:after="0" w:line="346" w:lineRule="exact"/>
        <w:rPr>
          <w:sz w:val="20"/>
          <w:szCs w:val="20"/>
          <w:color w:val="auto"/>
        </w:rPr>
      </w:pPr>
    </w:p>
    <w:p>
      <w:pPr>
        <w:ind w:left="384"/>
        <w:spacing w:after="0"/>
        <w:rPr>
          <w:sz w:val="20"/>
          <w:szCs w:val="20"/>
          <w:color w:val="auto"/>
        </w:rPr>
      </w:pPr>
      <w:r>
        <w:rPr>
          <w:rFonts w:ascii="Arial" w:cs="Arial" w:eastAsia="Arial" w:hAnsi="Arial"/>
          <w:sz w:val="18"/>
          <w:szCs w:val="18"/>
          <w:color w:val="auto"/>
        </w:rPr>
        <w:t>As of December 31, 2008, the Partnership has a net deferred tax asset of $3.8 million.</w:t>
      </w:r>
    </w:p>
    <w:p>
      <w:pPr>
        <w:spacing w:after="0" w:line="177" w:lineRule="exact"/>
        <w:rPr>
          <w:sz w:val="20"/>
          <w:szCs w:val="20"/>
          <w:color w:val="auto"/>
        </w:rPr>
      </w:pPr>
    </w:p>
    <w:p>
      <w:pPr>
        <w:ind w:left="384" w:right="160"/>
        <w:spacing w:after="0" w:line="284" w:lineRule="auto"/>
        <w:rPr>
          <w:sz w:val="20"/>
          <w:szCs w:val="20"/>
          <w:color w:val="auto"/>
        </w:rPr>
      </w:pPr>
      <w:r>
        <w:rPr>
          <w:rFonts w:ascii="Arial" w:cs="Arial" w:eastAsia="Arial" w:hAnsi="Arial"/>
          <w:sz w:val="17"/>
          <w:szCs w:val="17"/>
          <w:color w:val="auto"/>
        </w:rPr>
        <w:t>The provision for income taxes varies from the federal income tax rate of 35% primarily because the entity is treated as a partnership for federal and state tax purposes and the income or loss applicable to its operations is included in the income tax returns of the Members.</w:t>
      </w:r>
    </w:p>
    <w:p>
      <w:pPr>
        <w:spacing w:after="0" w:line="126" w:lineRule="exact"/>
        <w:rPr>
          <w:sz w:val="20"/>
          <w:szCs w:val="20"/>
          <w:color w:val="auto"/>
        </w:rPr>
      </w:pPr>
    </w:p>
    <w:p>
      <w:pPr>
        <w:ind w:left="384"/>
        <w:spacing w:after="0" w:line="242" w:lineRule="auto"/>
        <w:rPr>
          <w:sz w:val="20"/>
          <w:szCs w:val="20"/>
          <w:color w:val="auto"/>
        </w:rPr>
      </w:pPr>
      <w:r>
        <w:rPr>
          <w:rFonts w:ascii="Arial" w:cs="Arial" w:eastAsia="Arial" w:hAnsi="Arial"/>
          <w:sz w:val="18"/>
          <w:szCs w:val="18"/>
          <w:color w:val="auto"/>
        </w:rPr>
        <w:t>As a result of the organization of the Partnership (see Note 2 — Formation and Organization of the Partnership), any tax liability arising from the Partnership’s operations prior to the effective date of the joint venture will be borne by Sempra. The Partnership commenced on April 1, 2008 and therefore the current year ended December 31, 2008 is the only year open under statute for examination for U.S. Federal, State and local tax returns. The statute of limitations for other material foreign tax returns remains open for 1995 forward.</w:t>
      </w:r>
    </w:p>
    <w:p>
      <w:pPr>
        <w:spacing w:after="0" w:line="144" w:lineRule="exact"/>
        <w:rPr>
          <w:sz w:val="20"/>
          <w:szCs w:val="20"/>
          <w:color w:val="auto"/>
        </w:rPr>
      </w:pPr>
    </w:p>
    <w:p>
      <w:pPr>
        <w:ind w:left="384" w:hanging="384"/>
        <w:spacing w:after="0"/>
        <w:tabs>
          <w:tab w:leader="none" w:pos="384" w:val="left"/>
        </w:tabs>
        <w:numPr>
          <w:ilvl w:val="0"/>
          <w:numId w:val="428"/>
        </w:numPr>
        <w:rPr>
          <w:rFonts w:ascii="Arial" w:cs="Arial" w:eastAsia="Arial" w:hAnsi="Arial"/>
          <w:sz w:val="18"/>
          <w:szCs w:val="18"/>
          <w:b w:val="1"/>
          <w:bCs w:val="1"/>
          <w:color w:val="auto"/>
        </w:rPr>
      </w:pPr>
      <w:r>
        <w:rPr>
          <w:rFonts w:ascii="Arial" w:cs="Arial" w:eastAsia="Arial" w:hAnsi="Arial"/>
          <w:sz w:val="18"/>
          <w:szCs w:val="18"/>
          <w:b w:val="1"/>
          <w:bCs w:val="1"/>
          <w:color w:val="auto"/>
        </w:rPr>
        <w:t>EMPLOYEE BENEFIT PLANS</w:t>
      </w:r>
    </w:p>
    <w:p>
      <w:pPr>
        <w:spacing w:after="0" w:line="183" w:lineRule="exact"/>
        <w:rPr>
          <w:rFonts w:ascii="Arial" w:cs="Arial" w:eastAsia="Arial" w:hAnsi="Arial"/>
          <w:sz w:val="18"/>
          <w:szCs w:val="18"/>
          <w:b w:val="1"/>
          <w:bCs w:val="1"/>
          <w:color w:val="auto"/>
        </w:rPr>
      </w:pPr>
    </w:p>
    <w:p>
      <w:pPr>
        <w:ind w:left="384" w:right="240"/>
        <w:spacing w:after="0" w:line="354" w:lineRule="auto"/>
        <w:rPr>
          <w:rFonts w:ascii="Arial" w:cs="Arial" w:eastAsia="Arial" w:hAnsi="Arial"/>
          <w:sz w:val="18"/>
          <w:szCs w:val="18"/>
          <w:b w:val="1"/>
          <w:bCs w:val="1"/>
          <w:color w:val="auto"/>
        </w:rPr>
      </w:pPr>
      <w:r>
        <w:rPr>
          <w:rFonts w:ascii="Arial" w:cs="Arial" w:eastAsia="Arial" w:hAnsi="Arial"/>
          <w:sz w:val="15"/>
          <w:szCs w:val="15"/>
          <w:color w:val="auto"/>
        </w:rPr>
        <w:t>The Partnership’s employees participate in various benefit plans, including a noncontributory cash accumulation plan and a defined contribution savings plan (401(k) plan). Included in Compensation and benefits is approximately $10.7 million of expenses related to these plans.</w:t>
      </w:r>
    </w:p>
    <w:p>
      <w:pPr>
        <w:spacing w:after="0" w:line="61" w:lineRule="exact"/>
        <w:rPr>
          <w:rFonts w:ascii="Arial" w:cs="Arial" w:eastAsia="Arial" w:hAnsi="Arial"/>
          <w:sz w:val="18"/>
          <w:szCs w:val="18"/>
          <w:b w:val="1"/>
          <w:bCs w:val="1"/>
          <w:color w:val="auto"/>
        </w:rPr>
      </w:pPr>
    </w:p>
    <w:p>
      <w:pPr>
        <w:ind w:left="384" w:hanging="384"/>
        <w:spacing w:after="0"/>
        <w:tabs>
          <w:tab w:leader="none" w:pos="384" w:val="left"/>
        </w:tabs>
        <w:numPr>
          <w:ilvl w:val="0"/>
          <w:numId w:val="428"/>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183" w:lineRule="exact"/>
        <w:rPr>
          <w:rFonts w:ascii="Arial" w:cs="Arial" w:eastAsia="Arial" w:hAnsi="Arial"/>
          <w:sz w:val="18"/>
          <w:szCs w:val="18"/>
          <w:b w:val="1"/>
          <w:bCs w:val="1"/>
          <w:color w:val="auto"/>
        </w:rPr>
      </w:pPr>
    </w:p>
    <w:p>
      <w:pPr>
        <w:ind w:left="384"/>
        <w:spacing w:after="0"/>
        <w:rPr>
          <w:rFonts w:ascii="Arial" w:cs="Arial" w:eastAsia="Arial" w:hAnsi="Arial"/>
          <w:sz w:val="18"/>
          <w:szCs w:val="18"/>
          <w:b w:val="1"/>
          <w:bCs w:val="1"/>
          <w:color w:val="auto"/>
        </w:rPr>
      </w:pPr>
      <w:r>
        <w:rPr>
          <w:rFonts w:ascii="Arial" w:cs="Arial" w:eastAsia="Arial" w:hAnsi="Arial"/>
          <w:sz w:val="17"/>
          <w:szCs w:val="17"/>
          <w:color w:val="auto"/>
        </w:rPr>
        <w:t>Minimum non-cancelable lease commitments for office facilities, exclusive of real estate taxes and other expenses are as follows (in thousands):</w:t>
      </w:r>
    </w:p>
    <w:p>
      <w:pPr>
        <w:spacing w:after="0" w:line="213" w:lineRule="exact"/>
        <w:rPr>
          <w:sz w:val="20"/>
          <w:szCs w:val="20"/>
          <w:color w:val="auto"/>
        </w:rPr>
      </w:pPr>
    </w:p>
    <w:tbl>
      <w:tblPr>
        <w:tblLayout w:type="fixed"/>
        <w:tblInd w:w="2884" w:type="dxa"/>
        <w:tblCellMar>
          <w:top w:w="0" w:type="dxa"/>
          <w:left w:w="0" w:type="dxa"/>
          <w:bottom w:w="0" w:type="dxa"/>
          <w:right w:w="0" w:type="dxa"/>
        </w:tblCellMar>
      </w:tblPr>
      <w:tr>
        <w:trPr>
          <w:trHeight w:val="223"/>
        </w:trPr>
        <w:tc>
          <w:tcPr>
            <w:tcW w:w="4700" w:type="dxa"/>
            <w:vAlign w:val="bottom"/>
          </w:tcPr>
          <w:p>
            <w:pPr>
              <w:spacing w:after="0"/>
              <w:rPr>
                <w:sz w:val="20"/>
                <w:szCs w:val="20"/>
                <w:color w:val="auto"/>
              </w:rPr>
            </w:pPr>
            <w:r>
              <w:rPr>
                <w:rFonts w:ascii="Arial" w:cs="Arial" w:eastAsia="Arial" w:hAnsi="Arial"/>
                <w:sz w:val="18"/>
                <w:szCs w:val="18"/>
                <w:color w:val="auto"/>
              </w:rPr>
              <w:t>2009</w:t>
            </w:r>
          </w:p>
        </w:tc>
        <w:tc>
          <w:tcPr>
            <w:tcW w:w="980" w:type="dxa"/>
            <w:vAlign w:val="bottom"/>
          </w:tcPr>
          <w:p>
            <w:pPr>
              <w:jc w:val="right"/>
              <w:spacing w:after="0"/>
              <w:rPr>
                <w:sz w:val="20"/>
                <w:szCs w:val="20"/>
                <w:color w:val="auto"/>
              </w:rPr>
            </w:pPr>
            <w:r>
              <w:rPr>
                <w:rFonts w:ascii="Arial" w:cs="Arial" w:eastAsia="Arial" w:hAnsi="Arial"/>
                <w:sz w:val="18"/>
                <w:szCs w:val="18"/>
                <w:color w:val="auto"/>
              </w:rPr>
              <w:t>$28,959</w:t>
            </w:r>
          </w:p>
        </w:tc>
      </w:tr>
      <w:tr>
        <w:trPr>
          <w:trHeight w:val="228"/>
        </w:trPr>
        <w:tc>
          <w:tcPr>
            <w:tcW w:w="4700" w:type="dxa"/>
            <w:vAlign w:val="bottom"/>
          </w:tcPr>
          <w:p>
            <w:pPr>
              <w:spacing w:after="0"/>
              <w:rPr>
                <w:sz w:val="20"/>
                <w:szCs w:val="20"/>
                <w:color w:val="auto"/>
              </w:rPr>
            </w:pPr>
            <w:r>
              <w:rPr>
                <w:rFonts w:ascii="Arial" w:cs="Arial" w:eastAsia="Arial" w:hAnsi="Arial"/>
                <w:sz w:val="18"/>
                <w:szCs w:val="18"/>
                <w:color w:val="auto"/>
              </w:rPr>
              <w:t>2010</w:t>
            </w:r>
          </w:p>
        </w:tc>
        <w:tc>
          <w:tcPr>
            <w:tcW w:w="980" w:type="dxa"/>
            <w:vAlign w:val="bottom"/>
          </w:tcPr>
          <w:p>
            <w:pPr>
              <w:jc w:val="right"/>
              <w:spacing w:after="0"/>
              <w:rPr>
                <w:sz w:val="20"/>
                <w:szCs w:val="20"/>
                <w:color w:val="auto"/>
              </w:rPr>
            </w:pPr>
            <w:r>
              <w:rPr>
                <w:rFonts w:ascii="Arial" w:cs="Arial" w:eastAsia="Arial" w:hAnsi="Arial"/>
                <w:sz w:val="18"/>
                <w:szCs w:val="18"/>
                <w:color w:val="auto"/>
              </w:rPr>
              <w:t>22,625</w:t>
            </w:r>
          </w:p>
        </w:tc>
      </w:tr>
      <w:tr>
        <w:trPr>
          <w:trHeight w:val="228"/>
        </w:trPr>
        <w:tc>
          <w:tcPr>
            <w:tcW w:w="4700" w:type="dxa"/>
            <w:vAlign w:val="bottom"/>
          </w:tcPr>
          <w:p>
            <w:pPr>
              <w:spacing w:after="0"/>
              <w:rPr>
                <w:sz w:val="20"/>
                <w:szCs w:val="20"/>
                <w:color w:val="auto"/>
              </w:rPr>
            </w:pPr>
            <w:r>
              <w:rPr>
                <w:rFonts w:ascii="Arial" w:cs="Arial" w:eastAsia="Arial" w:hAnsi="Arial"/>
                <w:sz w:val="18"/>
                <w:szCs w:val="18"/>
                <w:color w:val="auto"/>
              </w:rPr>
              <w:t>2011</w:t>
            </w:r>
          </w:p>
        </w:tc>
        <w:tc>
          <w:tcPr>
            <w:tcW w:w="980" w:type="dxa"/>
            <w:vAlign w:val="bottom"/>
          </w:tcPr>
          <w:p>
            <w:pPr>
              <w:jc w:val="right"/>
              <w:spacing w:after="0"/>
              <w:rPr>
                <w:sz w:val="20"/>
                <w:szCs w:val="20"/>
                <w:color w:val="auto"/>
              </w:rPr>
            </w:pPr>
            <w:r>
              <w:rPr>
                <w:rFonts w:ascii="Arial" w:cs="Arial" w:eastAsia="Arial" w:hAnsi="Arial"/>
                <w:sz w:val="18"/>
                <w:szCs w:val="18"/>
                <w:color w:val="auto"/>
              </w:rPr>
              <w:t>15,630</w:t>
            </w:r>
          </w:p>
        </w:tc>
      </w:tr>
      <w:tr>
        <w:trPr>
          <w:trHeight w:val="228"/>
        </w:trPr>
        <w:tc>
          <w:tcPr>
            <w:tcW w:w="4700" w:type="dxa"/>
            <w:vAlign w:val="bottom"/>
          </w:tcPr>
          <w:p>
            <w:pPr>
              <w:spacing w:after="0"/>
              <w:rPr>
                <w:sz w:val="20"/>
                <w:szCs w:val="20"/>
                <w:color w:val="auto"/>
              </w:rPr>
            </w:pPr>
            <w:r>
              <w:rPr>
                <w:rFonts w:ascii="Arial" w:cs="Arial" w:eastAsia="Arial" w:hAnsi="Arial"/>
                <w:sz w:val="18"/>
                <w:szCs w:val="18"/>
                <w:color w:val="auto"/>
              </w:rPr>
              <w:t>2012</w:t>
            </w:r>
          </w:p>
        </w:tc>
        <w:tc>
          <w:tcPr>
            <w:tcW w:w="980" w:type="dxa"/>
            <w:vAlign w:val="bottom"/>
          </w:tcPr>
          <w:p>
            <w:pPr>
              <w:jc w:val="right"/>
              <w:spacing w:after="0"/>
              <w:rPr>
                <w:sz w:val="20"/>
                <w:szCs w:val="20"/>
                <w:color w:val="auto"/>
              </w:rPr>
            </w:pPr>
            <w:r>
              <w:rPr>
                <w:rFonts w:ascii="Arial" w:cs="Arial" w:eastAsia="Arial" w:hAnsi="Arial"/>
                <w:sz w:val="18"/>
                <w:szCs w:val="18"/>
                <w:color w:val="auto"/>
              </w:rPr>
              <w:t>11,752</w:t>
            </w:r>
          </w:p>
        </w:tc>
      </w:tr>
      <w:tr>
        <w:trPr>
          <w:trHeight w:val="228"/>
        </w:trPr>
        <w:tc>
          <w:tcPr>
            <w:tcW w:w="4700" w:type="dxa"/>
            <w:vAlign w:val="bottom"/>
          </w:tcPr>
          <w:p>
            <w:pPr>
              <w:spacing w:after="0"/>
              <w:rPr>
                <w:sz w:val="20"/>
                <w:szCs w:val="20"/>
                <w:color w:val="auto"/>
              </w:rPr>
            </w:pPr>
            <w:r>
              <w:rPr>
                <w:rFonts w:ascii="Arial" w:cs="Arial" w:eastAsia="Arial" w:hAnsi="Arial"/>
                <w:sz w:val="18"/>
                <w:szCs w:val="18"/>
                <w:color w:val="auto"/>
              </w:rPr>
              <w:t>2013</w:t>
            </w:r>
          </w:p>
        </w:tc>
        <w:tc>
          <w:tcPr>
            <w:tcW w:w="980" w:type="dxa"/>
            <w:vAlign w:val="bottom"/>
          </w:tcPr>
          <w:p>
            <w:pPr>
              <w:jc w:val="right"/>
              <w:spacing w:after="0"/>
              <w:rPr>
                <w:sz w:val="20"/>
                <w:szCs w:val="20"/>
                <w:color w:val="auto"/>
              </w:rPr>
            </w:pPr>
            <w:r>
              <w:rPr>
                <w:rFonts w:ascii="Arial" w:cs="Arial" w:eastAsia="Arial" w:hAnsi="Arial"/>
                <w:sz w:val="18"/>
                <w:szCs w:val="18"/>
                <w:color w:val="auto"/>
              </w:rPr>
              <w:t>10,142</w:t>
            </w:r>
          </w:p>
        </w:tc>
      </w:tr>
      <w:tr>
        <w:trPr>
          <w:trHeight w:val="236"/>
        </w:trPr>
        <w:tc>
          <w:tcPr>
            <w:tcW w:w="4700" w:type="dxa"/>
            <w:vAlign w:val="bottom"/>
          </w:tcPr>
          <w:p>
            <w:pPr>
              <w:spacing w:after="0"/>
              <w:rPr>
                <w:sz w:val="20"/>
                <w:szCs w:val="20"/>
                <w:color w:val="auto"/>
              </w:rPr>
            </w:pPr>
            <w:r>
              <w:rPr>
                <w:rFonts w:ascii="Arial" w:cs="Arial" w:eastAsia="Arial" w:hAnsi="Arial"/>
                <w:sz w:val="18"/>
                <w:szCs w:val="18"/>
                <w:color w:val="auto"/>
              </w:rPr>
              <w:t>Thereafter</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44,266</w:t>
            </w:r>
          </w:p>
        </w:tc>
      </w:tr>
      <w:tr>
        <w:trPr>
          <w:trHeight w:val="236"/>
        </w:trPr>
        <w:tc>
          <w:tcPr>
            <w:tcW w:w="4700" w:type="dxa"/>
            <w:vAlign w:val="bottom"/>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$133,374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83"/>
        <w:spacing w:after="0"/>
        <w:rPr>
          <w:sz w:val="20"/>
          <w:szCs w:val="20"/>
          <w:color w:val="auto"/>
        </w:rPr>
      </w:pPr>
      <w:r>
        <w:rPr>
          <w:rFonts w:ascii="Arial" w:cs="Arial" w:eastAsia="Arial" w:hAnsi="Arial"/>
          <w:sz w:val="18"/>
          <w:szCs w:val="18"/>
          <w:color w:val="auto"/>
        </w:rPr>
        <w:t>- 19 -</w:t>
      </w:r>
    </w:p>
    <w:p>
      <w:pPr>
        <w:sectPr>
          <w:pgSz w:w="11900" w:h="16838" w:orient="portrait"/>
          <w:cols w:equalWidth="0" w:num="1">
            <w:col w:w="11344"/>
          </w:cols>
          <w:pgMar w:left="236" w:top="503" w:right="319" w:bottom="1440" w:gutter="0" w:footer="0" w:header="0"/>
        </w:sectPr>
      </w:pPr>
    </w:p>
    <w:bookmarkStart w:id="371" w:name="page372"/>
    <w:bookmarkEnd w:id="371"/>
    <w:p>
      <w:pPr>
        <w:ind w:right="280"/>
        <w:spacing w:after="0" w:line="255" w:lineRule="auto"/>
        <w:rPr>
          <w:sz w:val="20"/>
          <w:szCs w:val="20"/>
          <w:color w:val="auto"/>
        </w:rPr>
      </w:pPr>
      <w:r>
        <w:rPr>
          <w:rFonts w:ascii="Arial" w:cs="Arial" w:eastAsia="Arial" w:hAnsi="Arial"/>
          <w:sz w:val="18"/>
          <w:szCs w:val="18"/>
          <w:color w:val="auto"/>
        </w:rPr>
        <w:t>Office leases, which expire at various dates through 2024, contain provisions for escalation based on certain cost increases incurred by the lessors. Rent expense for the period from April 1, 2008 (date of commencement) to December 31, 2008 was $9.4 million.</w:t>
      </w:r>
    </w:p>
    <w:p>
      <w:pPr>
        <w:spacing w:after="0" w:line="149" w:lineRule="exact"/>
        <w:rPr>
          <w:sz w:val="20"/>
          <w:szCs w:val="20"/>
          <w:color w:val="auto"/>
        </w:rPr>
      </w:pPr>
    </w:p>
    <w:p>
      <w:pPr>
        <w:ind w:right="240"/>
        <w:spacing w:after="0" w:line="255" w:lineRule="auto"/>
        <w:rPr>
          <w:sz w:val="20"/>
          <w:szCs w:val="20"/>
          <w:color w:val="auto"/>
        </w:rPr>
      </w:pPr>
      <w:r>
        <w:rPr>
          <w:rFonts w:ascii="Arial" w:cs="Arial" w:eastAsia="Arial" w:hAnsi="Arial"/>
          <w:sz w:val="18"/>
          <w:szCs w:val="18"/>
          <w:color w:val="auto"/>
        </w:rPr>
        <w:t>As part of its normal business, the Partnership enters into various fixed-price non-cancelable commitments to purchase or sell transportation and storage capacity. These commitments are recognized as performed.</w:t>
      </w:r>
    </w:p>
    <w:p>
      <w:pPr>
        <w:spacing w:after="0" w:line="137" w:lineRule="exact"/>
        <w:rPr>
          <w:sz w:val="20"/>
          <w:szCs w:val="20"/>
          <w:color w:val="auto"/>
        </w:rPr>
      </w:pPr>
    </w:p>
    <w:p>
      <w:pPr>
        <w:spacing w:after="0" w:line="289" w:lineRule="auto"/>
        <w:rPr>
          <w:sz w:val="20"/>
          <w:szCs w:val="20"/>
          <w:color w:val="auto"/>
        </w:rPr>
      </w:pPr>
      <w:r>
        <w:rPr>
          <w:rFonts w:ascii="Arial" w:cs="Arial" w:eastAsia="Arial" w:hAnsi="Arial"/>
          <w:sz w:val="15"/>
          <w:szCs w:val="15"/>
          <w:color w:val="auto"/>
        </w:rPr>
        <w:t>Certain claims, suits and allegations that arise in the ordinary course of business have been filed or are pending against the Partnership. In addition, the Partnership is a respondent in a complaint proceeding initiated at the FERC concerning rates charged for short-term sales of power to the California Independent System Operator Corporation (ISO) and the California Power Exchange (PX) for power supplied during the period of October 2, 2000 through June 20, 2001. On March 26, 2003, the FERC expanded the basis for refunds by adopting a staff recommendation from a separate investigation to change the natural gas proxy component of the mitigated market-clearing price that is used to calculate refunds. The FERC released its final instructions, and ordered the ISO and PX to recalculate the precise number through their settlement models. In August 2006, the Ninth Circuit Court of Ap peals (Court of Appeals) upheld the FERC’s decision not to extend the refund period and held that FERC properly excluded certain bilateral transactions from the refund proceedings. However, they also held that the FERC erred in excluding certain multi-day transactions from the refund proceedings and in not considering other remedies for tariff violations that occurred prior to October 2, 2000. The Court of Appeals remanded the matter to the FERC for further proceedings. In November 2007, the Partnership and other entities filed requests for rehearing of the Court of Appeals’ August 2006 decision. In August 2007, the Ninth Circuit Court of Appeals issued a decision reversing and remanding FERC orders declining to provide refunds in a related proceeding regarding short-term bilateral sales up to one month in the Pacific Northwest. The court found that some of the short-term sales between the DWR and various sellers (including the Partnership) that had previously been excluded from the refund pro ceeding involving sales in the ISO and PX markets in California, were within the scope of the Pacific Northwest refund proceeding. In December 2007, the Partnership and other sellers filed requests for rehearing of the Court of Appeals’ August 2007 decision. It is possible that on remand, the FERC could order refunds for short-term sales to the DWR in the Pacific Northwest refund proceeding.</w:t>
      </w:r>
    </w:p>
    <w:p>
      <w:pPr>
        <w:spacing w:after="0" w:line="33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Partnership has reserves for its estimated refund liability that reflect its estimate of the effect of the FERC’s revision of the benchmark prices it will use to calculate refunds and other refund-related developments.</w:t>
      </w:r>
    </w:p>
    <w:p>
      <w:pPr>
        <w:spacing w:after="0" w:line="149" w:lineRule="exact"/>
        <w:rPr>
          <w:sz w:val="20"/>
          <w:szCs w:val="20"/>
          <w:color w:val="auto"/>
        </w:rPr>
      </w:pPr>
    </w:p>
    <w:p>
      <w:pPr>
        <w:ind w:right="40"/>
        <w:spacing w:after="0" w:line="291" w:lineRule="auto"/>
        <w:rPr>
          <w:sz w:val="20"/>
          <w:szCs w:val="20"/>
          <w:color w:val="auto"/>
        </w:rPr>
      </w:pPr>
      <w:r>
        <w:rPr>
          <w:rFonts w:ascii="Arial" w:cs="Arial" w:eastAsia="Arial" w:hAnsi="Arial"/>
          <w:sz w:val="15"/>
          <w:szCs w:val="15"/>
          <w:color w:val="auto"/>
        </w:rPr>
        <w:t>In a separate complaint filed with the FERC in 2002, the California Attorney General challenged the FERC’s authority to establish a market-based rate regime, and further contended that, even if such a regime were valid, electricity sellers had failed to comply with the FERC’s quarterly reporting requirements. The Attorney General requested that the FERC order refunds from suppliers. The FERC dismissed the complaint and instead ordered sellers to restate their reports. After an appeal by the California Attorney General, the Ninth Circuit Court of Appeals upheld the FERC’s authority to establish a market-based rate regime, but ordered remand of the case to the FERC for further proceedings, stating that failure to file transaction-specific quarterly reports gave the FERC authority to order refunds with respect to jurisdictional sellers. In December 2006, a group of sellers petitioned the Uni ted States Supreme Court to review the Ninth Circuit Court of Appeals’ decision. In June 2007, the Supreme Court declined further review of the Ninth Circuit Court of Appeals’ order. On March 21, 2008, FERC issued a procedural order setting the matter for further hearings before an ALJ on remand. FERC issued a clarifying order on October 6, 2008, from which the California parties have sought rehearing. FERC is holding the ALJ hearings in abeyance pending a FERC settlement process. On remand, it is possible that the FERC could order refunds or disgorgement of profits for periods in</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280"/>
        <w:spacing w:after="0"/>
        <w:rPr>
          <w:sz w:val="20"/>
          <w:szCs w:val="20"/>
          <w:color w:val="auto"/>
        </w:rPr>
      </w:pPr>
      <w:r>
        <w:rPr>
          <w:rFonts w:ascii="Arial" w:cs="Arial" w:eastAsia="Arial" w:hAnsi="Arial"/>
          <w:sz w:val="18"/>
          <w:szCs w:val="18"/>
          <w:color w:val="auto"/>
        </w:rPr>
        <w:t>- 20 -</w:t>
      </w:r>
    </w:p>
    <w:p>
      <w:pPr>
        <w:sectPr>
          <w:pgSz w:w="11900" w:h="16838" w:orient="portrait"/>
          <w:cols w:equalWidth="0" w:num="1">
            <w:col w:w="10960"/>
          </w:cols>
          <w:pgMar w:left="620" w:top="510" w:right="319" w:bottom="1440" w:gutter="0" w:footer="0" w:header="0"/>
        </w:sectPr>
      </w:pPr>
    </w:p>
    <w:bookmarkStart w:id="372" w:name="page373"/>
    <w:bookmarkEnd w:id="372"/>
    <w:p>
      <w:pPr>
        <w:ind w:right="120"/>
        <w:spacing w:after="0" w:line="255" w:lineRule="auto"/>
        <w:rPr>
          <w:sz w:val="20"/>
          <w:szCs w:val="20"/>
          <w:color w:val="auto"/>
        </w:rPr>
      </w:pPr>
      <w:r>
        <w:rPr>
          <w:rFonts w:ascii="Arial" w:cs="Arial" w:eastAsia="Arial" w:hAnsi="Arial"/>
          <w:sz w:val="18"/>
          <w:szCs w:val="18"/>
          <w:color w:val="auto"/>
        </w:rPr>
        <w:t>addition to those covered by its prior refund orders and substantially increase the refunds that ultimately may be required to be paid by the Partnership and other power suppliers.</w:t>
      </w:r>
    </w:p>
    <w:p>
      <w:pPr>
        <w:spacing w:after="0" w:line="149" w:lineRule="exact"/>
        <w:rPr>
          <w:sz w:val="20"/>
          <w:szCs w:val="20"/>
          <w:color w:val="auto"/>
        </w:rPr>
      </w:pPr>
    </w:p>
    <w:p>
      <w:pPr>
        <w:ind w:right="480"/>
        <w:spacing w:after="0" w:line="255" w:lineRule="auto"/>
        <w:rPr>
          <w:sz w:val="20"/>
          <w:szCs w:val="20"/>
          <w:color w:val="auto"/>
        </w:rPr>
      </w:pPr>
      <w:r>
        <w:rPr>
          <w:rFonts w:ascii="Arial" w:cs="Arial" w:eastAsia="Arial" w:hAnsi="Arial"/>
          <w:sz w:val="18"/>
          <w:szCs w:val="18"/>
          <w:color w:val="auto"/>
        </w:rPr>
        <w:t>In connection with the formation of the joint venture, Sempra has agreed to indemnify RBS and the Partnership from any liability arising out of these matters.</w:t>
      </w:r>
    </w:p>
    <w:p>
      <w:pPr>
        <w:spacing w:after="0" w:line="137"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As of December 31, 2008, the Partnership is owed approximately $100 million from energy sales made in 2000 and 2001 through the ISO and the PX markets. The collection of these receivables depends on several factors, including the California ISO and PX refund case. The Partnership believes adequate reserves have been recorded.</w:t>
      </w:r>
    </w:p>
    <w:p>
      <w:pPr>
        <w:spacing w:after="0" w:line="156"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w:t>
      </w:r>
    </w:p>
    <w:p>
      <w:pPr>
        <w:spacing w:after="0" w:line="177"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- 21 -</w:t>
      </w:r>
    </w:p>
    <w:p>
      <w:pPr>
        <w:sectPr>
          <w:pgSz w:w="11900" w:h="16838" w:orient="portrait"/>
          <w:cols w:equalWidth="0" w:num="1">
            <w:col w:w="11000"/>
          </w:cols>
          <w:pgMar w:left="620" w:top="509" w:right="279" w:bottom="1440" w:gutter="0" w:footer="0" w:header="0"/>
        </w:sectPr>
      </w:pPr>
    </w:p>
    <w:bookmarkStart w:id="373" w:name="page374"/>
    <w:bookmarkEnd w:id="373"/>
    <w:p>
      <w:pPr>
        <w:jc w:val="right"/>
        <w:spacing w:after="0"/>
        <w:rPr>
          <w:sz w:val="20"/>
          <w:szCs w:val="20"/>
          <w:color w:val="auto"/>
        </w:rPr>
      </w:pPr>
      <w:r>
        <w:rPr>
          <w:rFonts w:ascii="Arial" w:cs="Arial" w:eastAsia="Arial" w:hAnsi="Arial"/>
          <w:sz w:val="18"/>
          <w:szCs w:val="18"/>
          <w:color w:val="auto"/>
        </w:rPr>
        <w:t>Exhibit 99.2</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SEMPRA ENERGY</w:t>
      </w:r>
    </w:p>
    <w:p>
      <w:pPr>
        <w:jc w:val="center"/>
        <w:spacing w:after="0"/>
        <w:rPr>
          <w:sz w:val="20"/>
          <w:szCs w:val="20"/>
          <w:color w:val="auto"/>
        </w:rPr>
      </w:pPr>
      <w:r>
        <w:rPr>
          <w:rFonts w:ascii="Arial" w:cs="Arial" w:eastAsia="Arial" w:hAnsi="Arial"/>
          <w:sz w:val="18"/>
          <w:szCs w:val="18"/>
          <w:color w:val="auto"/>
        </w:rPr>
        <w:t>UNAUDITED PRO FORMA CONDENSED CONSOLIDATED FINANCIAL INFORMATION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Overview</w:t>
      </w:r>
    </w:p>
    <w:p>
      <w:pPr>
        <w:spacing w:after="0" w:line="189" w:lineRule="exact"/>
        <w:rPr>
          <w:sz w:val="20"/>
          <w:szCs w:val="20"/>
          <w:color w:val="auto"/>
        </w:rPr>
      </w:pPr>
    </w:p>
    <w:p>
      <w:pPr>
        <w:ind w:right="440"/>
        <w:spacing w:after="0" w:line="261" w:lineRule="auto"/>
        <w:rPr>
          <w:sz w:val="20"/>
          <w:szCs w:val="20"/>
          <w:color w:val="auto"/>
        </w:rPr>
      </w:pPr>
      <w:r>
        <w:rPr>
          <w:rFonts w:ascii="Arial" w:cs="Arial" w:eastAsia="Arial" w:hAnsi="Arial"/>
          <w:sz w:val="17"/>
          <w:szCs w:val="17"/>
          <w:color w:val="auto"/>
        </w:rPr>
        <w:t>On April 1, 2008, Sempra Energy (the company) and The Royal Bank of Scotland (RBS) completed the formation of RBS Sempra Commodities LLP (the partnership), to purchase, own and operate the commodities-marketing businesses previously held as subsidiaries of Sempra Energy. Additional information regarding the formation of the partnership is provided in the company’s 2008 Annual Report on Form 10-K, Report on Form 8-K dated April 1, 2008, and Quarterly Reports on Form 10-Q for the periods ended March 31, 2008, June 30, 2008 and September 30, 2008.</w:t>
      </w:r>
    </w:p>
    <w:p>
      <w:pPr>
        <w:spacing w:after="0" w:line="159" w:lineRule="exact"/>
        <w:rPr>
          <w:sz w:val="20"/>
          <w:szCs w:val="20"/>
          <w:color w:val="auto"/>
        </w:rPr>
      </w:pPr>
    </w:p>
    <w:p>
      <w:pPr>
        <w:ind w:right="60"/>
        <w:spacing w:after="0" w:line="255" w:lineRule="auto"/>
        <w:rPr>
          <w:sz w:val="20"/>
          <w:szCs w:val="20"/>
          <w:color w:val="auto"/>
        </w:rPr>
      </w:pPr>
      <w:r>
        <w:rPr>
          <w:rFonts w:ascii="Arial" w:cs="Arial" w:eastAsia="Arial" w:hAnsi="Arial"/>
          <w:sz w:val="17"/>
          <w:szCs w:val="17"/>
          <w:color w:val="auto"/>
        </w:rPr>
        <w:t>The following Unaudited Pro Forma Condensed Consolidated Income Statement is presented to illustrate the pro forma effects of the transaction on the historical results of operations of the company. The unaudited pro forma condensed consolidated income statement for the year ended December 31, 2008 gives effect to the transaction as if it had occurred on January 1, 2008. The pro forma adjustments are based upon available information and certain assumptions that the company’s management believes are reasonable, and are discussed in the accompanying notes. The Unaudited Pro Forma Condensed Consolidated Income Statements and accompanying notes should be read in conjunction with the company’s 2008 Annual Report on Form 10-K and Quarterly Reports on Form 10-Q for the periods ended March 31, 2008, June 30, 2008 and September 30, 2008. An unaudited pro forma condensed consolidated balance sheet as of December 31, 2007 and unaudited pro f orma condensed consolidated income statement for the year ended December 31, 2007 were previously provided as Exhibit 99.1 in the company’s Report on Form 8-K dated April 1, 2008.</w:t>
      </w:r>
    </w:p>
    <w:p>
      <w:pPr>
        <w:spacing w:after="0" w:line="164" w:lineRule="exact"/>
        <w:rPr>
          <w:sz w:val="20"/>
          <w:szCs w:val="20"/>
          <w:color w:val="auto"/>
        </w:rPr>
      </w:pPr>
    </w:p>
    <w:p>
      <w:pPr>
        <w:ind w:right="80"/>
        <w:spacing w:after="0" w:line="246" w:lineRule="auto"/>
        <w:rPr>
          <w:sz w:val="20"/>
          <w:szCs w:val="20"/>
          <w:color w:val="auto"/>
        </w:rPr>
      </w:pPr>
      <w:r>
        <w:rPr>
          <w:rFonts w:ascii="Arial" w:cs="Arial" w:eastAsia="Arial" w:hAnsi="Arial"/>
          <w:sz w:val="18"/>
          <w:szCs w:val="18"/>
          <w:color w:val="auto"/>
        </w:rPr>
        <w:t>The unaudited pro forma financial data is provided for informational purposes only and should not be considered indicative of actual operating results that would have been achieved had the transaction been consummated on the date indicated and do not purport to indicate the results of operations as of any future date or for any future period.</w:t>
      </w:r>
    </w:p>
    <w:p>
      <w:pPr>
        <w:sectPr>
          <w:pgSz w:w="11900" w:h="16838" w:orient="portrait"/>
          <w:cols w:equalWidth="0" w:num="1">
            <w:col w:w="11440"/>
          </w:cols>
          <w:pgMar w:left="240" w:top="124" w:right="219" w:bottom="1440" w:gutter="0" w:footer="0" w:header="0"/>
        </w:sectPr>
      </w:pPr>
    </w:p>
    <w:bookmarkStart w:id="374" w:name="page375"/>
    <w:bookmarkEnd w:id="374"/>
    <w:p>
      <w:pPr>
        <w:ind w:left="300"/>
        <w:spacing w:after="0"/>
        <w:rPr>
          <w:sz w:val="20"/>
          <w:szCs w:val="20"/>
          <w:color w:val="auto"/>
        </w:rPr>
      </w:pPr>
      <w:r>
        <w:rPr>
          <w:rFonts w:ascii="Arial" w:cs="Arial" w:eastAsia="Arial" w:hAnsi="Arial"/>
          <w:sz w:val="16"/>
          <w:szCs w:val="16"/>
          <w:color w:val="auto"/>
        </w:rPr>
        <w:t>SEMPRA ENERGY</w:t>
      </w:r>
    </w:p>
    <w:p>
      <w:pPr>
        <w:spacing w:after="0" w:line="32" w:lineRule="exact"/>
        <w:rPr>
          <w:sz w:val="20"/>
          <w:szCs w:val="20"/>
          <w:color w:val="auto"/>
        </w:rPr>
      </w:pPr>
    </w:p>
    <w:p>
      <w:pPr>
        <w:ind w:left="300"/>
        <w:spacing w:after="0"/>
        <w:rPr>
          <w:sz w:val="20"/>
          <w:szCs w:val="20"/>
          <w:color w:val="auto"/>
        </w:rPr>
      </w:pPr>
      <w:r>
        <w:rPr>
          <w:rFonts w:ascii="Arial" w:cs="Arial" w:eastAsia="Arial" w:hAnsi="Arial"/>
          <w:sz w:val="16"/>
          <w:szCs w:val="16"/>
          <w:color w:val="auto"/>
        </w:rPr>
        <w:t>UNAUDITED PRO FORMA CONDENSED STATEMENT OF CONSOLIDATED INCOME</w:t>
      </w:r>
    </w:p>
    <w:p>
      <w:pPr>
        <w:spacing w:after="0" w:line="32" w:lineRule="exact"/>
        <w:rPr>
          <w:sz w:val="20"/>
          <w:szCs w:val="20"/>
          <w:color w:val="auto"/>
        </w:rPr>
      </w:pPr>
    </w:p>
    <w:p>
      <w:pPr>
        <w:ind w:left="300"/>
        <w:spacing w:after="0"/>
        <w:rPr>
          <w:sz w:val="20"/>
          <w:szCs w:val="20"/>
          <w:color w:val="auto"/>
        </w:rPr>
      </w:pPr>
      <w:r>
        <w:rPr>
          <w:rFonts w:ascii="Arial" w:cs="Arial" w:eastAsia="Arial" w:hAnsi="Arial"/>
          <w:sz w:val="16"/>
          <w:szCs w:val="16"/>
          <w:color w:val="auto"/>
        </w:rPr>
        <w:t>Year ended December 31, 2008</w:t>
      </w:r>
    </w:p>
    <w:p>
      <w:pPr>
        <w:spacing w:after="0" w:line="92" w:lineRule="exact"/>
        <w:rPr>
          <w:sz w:val="20"/>
          <w:szCs w:val="20"/>
          <w:color w:val="auto"/>
        </w:rPr>
      </w:pPr>
    </w:p>
    <w:tbl>
      <w:tblPr>
        <w:tblLayout w:type="fixed"/>
        <w:tblInd w:w="280" w:type="dxa"/>
        <w:tblCellMar>
          <w:top w:w="0" w:type="dxa"/>
          <w:left w:w="0" w:type="dxa"/>
          <w:bottom w:w="0" w:type="dxa"/>
          <w:right w:w="0" w:type="dxa"/>
        </w:tblCellMar>
      </w:tblPr>
      <w:tr>
        <w:trPr>
          <w:trHeight w:val="211"/>
        </w:trPr>
        <w:tc>
          <w:tcPr>
            <w:tcW w:w="4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000" w:type="dxa"/>
            <w:vAlign w:val="bottom"/>
            <w:tcBorders>
              <w:bottom w:val="single" w:sz="8" w:color="auto"/>
            </w:tcBorders>
            <w:gridSpan w:val="3"/>
          </w:tcPr>
          <w:p>
            <w:pPr>
              <w:jc w:val="right"/>
              <w:ind w:right="240"/>
              <w:spacing w:after="0"/>
              <w:rPr>
                <w:sz w:val="20"/>
                <w:szCs w:val="20"/>
                <w:color w:val="auto"/>
              </w:rPr>
            </w:pPr>
            <w:r>
              <w:rPr>
                <w:rFonts w:ascii="Arial" w:cs="Arial" w:eastAsia="Arial" w:hAnsi="Arial"/>
                <w:sz w:val="16"/>
                <w:szCs w:val="16"/>
                <w:color w:val="auto"/>
                <w:w w:val="98"/>
              </w:rPr>
              <w:t>Pro Forma Adjustments</w:t>
            </w: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4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jc w:val="center"/>
              <w:ind w:right="80"/>
              <w:spacing w:after="0"/>
              <w:rPr>
                <w:sz w:val="20"/>
                <w:szCs w:val="20"/>
                <w:color w:val="auto"/>
              </w:rPr>
            </w:pPr>
            <w:r>
              <w:rPr>
                <w:rFonts w:ascii="Arial" w:cs="Arial" w:eastAsia="Arial" w:hAnsi="Arial"/>
                <w:sz w:val="16"/>
                <w:szCs w:val="16"/>
                <w:color w:val="auto"/>
                <w:w w:val="88"/>
              </w:rPr>
              <w:t>Reversal of</w:t>
            </w:r>
          </w:p>
        </w:tc>
        <w:tc>
          <w:tcPr>
            <w:tcW w:w="5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jc w:val="center"/>
              <w:ind w:right="80"/>
              <w:spacing w:after="0"/>
              <w:rPr>
                <w:sz w:val="20"/>
                <w:szCs w:val="20"/>
                <w:color w:val="auto"/>
              </w:rPr>
            </w:pPr>
            <w:r>
              <w:rPr>
                <w:rFonts w:ascii="Arial" w:cs="Arial" w:eastAsia="Arial" w:hAnsi="Arial"/>
                <w:sz w:val="16"/>
                <w:szCs w:val="16"/>
                <w:color w:val="auto"/>
                <w:w w:val="97"/>
              </w:rPr>
              <w:t>Historical</w:t>
            </w:r>
          </w:p>
        </w:tc>
        <w:tc>
          <w:tcPr>
            <w:tcW w:w="1120" w:type="dxa"/>
            <w:vAlign w:val="bottom"/>
            <w:gridSpan w:val="2"/>
          </w:tcPr>
          <w:p>
            <w:pPr>
              <w:jc w:val="center"/>
              <w:spacing w:after="0"/>
              <w:rPr>
                <w:sz w:val="20"/>
                <w:szCs w:val="20"/>
                <w:color w:val="auto"/>
              </w:rPr>
            </w:pPr>
            <w:r>
              <w:rPr>
                <w:rFonts w:ascii="Arial" w:cs="Arial" w:eastAsia="Arial" w:hAnsi="Arial"/>
                <w:sz w:val="16"/>
                <w:szCs w:val="16"/>
                <w:color w:val="auto"/>
                <w:w w:val="89"/>
              </w:rPr>
              <w:t>Pro Forma</w:t>
            </w: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60" w:type="dxa"/>
            <w:vAlign w:val="bottom"/>
            <w:gridSpan w:val="2"/>
          </w:tcPr>
          <w:p>
            <w:pPr>
              <w:jc w:val="center"/>
              <w:spacing w:after="0"/>
              <w:rPr>
                <w:sz w:val="20"/>
                <w:szCs w:val="20"/>
                <w:color w:val="auto"/>
              </w:rPr>
            </w:pPr>
            <w:r>
              <w:rPr>
                <w:rFonts w:ascii="Arial" w:cs="Arial" w:eastAsia="Arial" w:hAnsi="Arial"/>
                <w:sz w:val="16"/>
                <w:szCs w:val="16"/>
                <w:color w:val="auto"/>
                <w:w w:val="95"/>
              </w:rPr>
              <w:t>Commodity-</w:t>
            </w:r>
          </w:p>
        </w:tc>
        <w:tc>
          <w:tcPr>
            <w:tcW w:w="1120" w:type="dxa"/>
            <w:vAlign w:val="bottom"/>
            <w:gridSpan w:val="2"/>
          </w:tcPr>
          <w:p>
            <w:pPr>
              <w:jc w:val="center"/>
              <w:spacing w:after="0"/>
              <w:rPr>
                <w:sz w:val="20"/>
                <w:szCs w:val="20"/>
                <w:color w:val="auto"/>
              </w:rPr>
            </w:pPr>
            <w:r>
              <w:rPr>
                <w:rFonts w:ascii="Arial" w:cs="Arial" w:eastAsia="Arial" w:hAnsi="Arial"/>
                <w:sz w:val="16"/>
                <w:szCs w:val="16"/>
                <w:color w:val="auto"/>
                <w:w w:val="92"/>
              </w:rPr>
              <w:t>Earnings from</w:t>
            </w: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280" w:type="dxa"/>
            <w:vAlign w:val="bottom"/>
          </w:tcPr>
          <w:p>
            <w:pPr>
              <w:spacing w:after="0"/>
              <w:rPr>
                <w:sz w:val="16"/>
                <w:szCs w:val="16"/>
                <w:color w:val="auto"/>
              </w:rPr>
            </w:pPr>
          </w:p>
        </w:tc>
        <w:tc>
          <w:tcPr>
            <w:tcW w:w="980" w:type="dxa"/>
            <w:vAlign w:val="bottom"/>
            <w:gridSpan w:val="2"/>
          </w:tcPr>
          <w:p>
            <w:pPr>
              <w:jc w:val="center"/>
              <w:spacing w:after="0"/>
              <w:rPr>
                <w:sz w:val="20"/>
                <w:szCs w:val="20"/>
                <w:color w:val="auto"/>
              </w:rPr>
            </w:pPr>
            <w:r>
              <w:rPr>
                <w:rFonts w:ascii="Arial" w:cs="Arial" w:eastAsia="Arial" w:hAnsi="Arial"/>
                <w:sz w:val="16"/>
                <w:szCs w:val="16"/>
                <w:color w:val="auto"/>
                <w:w w:val="97"/>
              </w:rPr>
              <w:t>Historical</w:t>
            </w:r>
          </w:p>
        </w:tc>
        <w:tc>
          <w:tcPr>
            <w:tcW w:w="180" w:type="dxa"/>
            <w:vAlign w:val="bottom"/>
          </w:tcPr>
          <w:p>
            <w:pPr>
              <w:spacing w:after="0"/>
              <w:rPr>
                <w:sz w:val="16"/>
                <w:szCs w:val="16"/>
                <w:color w:val="auto"/>
              </w:rPr>
            </w:pPr>
          </w:p>
        </w:tc>
        <w:tc>
          <w:tcPr>
            <w:tcW w:w="880" w:type="dxa"/>
            <w:vAlign w:val="bottom"/>
          </w:tcPr>
          <w:p>
            <w:pPr>
              <w:jc w:val="center"/>
              <w:ind w:right="80"/>
              <w:spacing w:after="0"/>
              <w:rPr>
                <w:sz w:val="20"/>
                <w:szCs w:val="20"/>
                <w:color w:val="auto"/>
              </w:rPr>
            </w:pPr>
            <w:r>
              <w:rPr>
                <w:rFonts w:ascii="Arial" w:cs="Arial" w:eastAsia="Arial" w:hAnsi="Arial"/>
                <w:sz w:val="16"/>
                <w:szCs w:val="16"/>
                <w:color w:val="auto"/>
                <w:w w:val="91"/>
              </w:rPr>
              <w:t>marketing</w:t>
            </w:r>
          </w:p>
        </w:tc>
        <w:tc>
          <w:tcPr>
            <w:tcW w:w="1120" w:type="dxa"/>
            <w:vAlign w:val="bottom"/>
            <w:gridSpan w:val="2"/>
          </w:tcPr>
          <w:p>
            <w:pPr>
              <w:jc w:val="center"/>
              <w:spacing w:after="0"/>
              <w:rPr>
                <w:sz w:val="20"/>
                <w:szCs w:val="20"/>
                <w:color w:val="auto"/>
              </w:rPr>
            </w:pPr>
            <w:r>
              <w:rPr>
                <w:rFonts w:ascii="Arial" w:cs="Arial" w:eastAsia="Arial" w:hAnsi="Arial"/>
                <w:sz w:val="16"/>
                <w:szCs w:val="16"/>
                <w:color w:val="auto"/>
                <w:w w:val="89"/>
              </w:rPr>
              <w:t>RBS Sempra</w:t>
            </w: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jc w:val="center"/>
              <w:ind w:right="140"/>
              <w:spacing w:after="0"/>
              <w:rPr>
                <w:sz w:val="20"/>
                <w:szCs w:val="20"/>
                <w:color w:val="auto"/>
              </w:rPr>
            </w:pPr>
            <w:r>
              <w:rPr>
                <w:rFonts w:ascii="Arial" w:cs="Arial" w:eastAsia="Arial" w:hAnsi="Arial"/>
                <w:sz w:val="16"/>
                <w:szCs w:val="16"/>
                <w:color w:val="auto"/>
                <w:w w:val="85"/>
              </w:rPr>
              <w:t>Sempra</w:t>
            </w:r>
          </w:p>
        </w:tc>
        <w:tc>
          <w:tcPr>
            <w:tcW w:w="180" w:type="dxa"/>
            <w:vAlign w:val="bottom"/>
          </w:tcPr>
          <w:p>
            <w:pPr>
              <w:spacing w:after="0"/>
              <w:rPr>
                <w:sz w:val="16"/>
                <w:szCs w:val="16"/>
                <w:color w:val="auto"/>
              </w:rPr>
            </w:pPr>
          </w:p>
        </w:tc>
        <w:tc>
          <w:tcPr>
            <w:tcW w:w="880" w:type="dxa"/>
            <w:vAlign w:val="bottom"/>
          </w:tcPr>
          <w:p>
            <w:pPr>
              <w:jc w:val="center"/>
              <w:ind w:right="60"/>
              <w:spacing w:after="0"/>
              <w:rPr>
                <w:sz w:val="20"/>
                <w:szCs w:val="20"/>
                <w:color w:val="auto"/>
              </w:rPr>
            </w:pPr>
            <w:r>
              <w:rPr>
                <w:rFonts w:ascii="Arial" w:cs="Arial" w:eastAsia="Arial" w:hAnsi="Arial"/>
                <w:sz w:val="16"/>
                <w:szCs w:val="16"/>
                <w:color w:val="auto"/>
                <w:w w:val="85"/>
              </w:rPr>
              <w:t>Businesses</w:t>
            </w:r>
          </w:p>
        </w:tc>
        <w:tc>
          <w:tcPr>
            <w:tcW w:w="1120" w:type="dxa"/>
            <w:vAlign w:val="bottom"/>
            <w:gridSpan w:val="2"/>
          </w:tcPr>
          <w:p>
            <w:pPr>
              <w:jc w:val="center"/>
              <w:spacing w:after="0"/>
              <w:rPr>
                <w:sz w:val="20"/>
                <w:szCs w:val="20"/>
                <w:color w:val="auto"/>
              </w:rPr>
            </w:pPr>
            <w:r>
              <w:rPr>
                <w:rFonts w:ascii="Arial" w:cs="Arial" w:eastAsia="Arial" w:hAnsi="Arial"/>
                <w:sz w:val="16"/>
                <w:szCs w:val="16"/>
                <w:color w:val="auto"/>
                <w:w w:val="92"/>
              </w:rPr>
              <w:t>Commodities</w:t>
            </w:r>
          </w:p>
        </w:tc>
        <w:tc>
          <w:tcPr>
            <w:tcW w:w="1020" w:type="dxa"/>
            <w:vAlign w:val="bottom"/>
            <w:gridSpan w:val="2"/>
          </w:tcPr>
          <w:p>
            <w:pPr>
              <w:jc w:val="right"/>
              <w:ind w:right="80"/>
              <w:spacing w:after="0"/>
              <w:rPr>
                <w:sz w:val="20"/>
                <w:szCs w:val="20"/>
                <w:color w:val="auto"/>
              </w:rPr>
            </w:pPr>
            <w:r>
              <w:rPr>
                <w:rFonts w:ascii="Arial" w:cs="Arial" w:eastAsia="Arial" w:hAnsi="Arial"/>
                <w:sz w:val="16"/>
                <w:szCs w:val="16"/>
                <w:color w:val="auto"/>
              </w:rPr>
              <w:t>Pro Forma</w:t>
            </w:r>
          </w:p>
        </w:tc>
        <w:tc>
          <w:tcPr>
            <w:tcW w:w="0" w:type="dxa"/>
            <w:vAlign w:val="bottom"/>
          </w:tcPr>
          <w:p>
            <w:pPr>
              <w:spacing w:after="0"/>
              <w:rPr>
                <w:sz w:val="1"/>
                <w:szCs w:val="1"/>
                <w:color w:val="auto"/>
              </w:rPr>
            </w:pPr>
          </w:p>
        </w:tc>
      </w:tr>
      <w:tr>
        <w:trPr>
          <w:trHeight w:val="211"/>
        </w:trPr>
        <w:tc>
          <w:tcPr>
            <w:tcW w:w="42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(Dollars in millions, except per share amounts)</w:t>
            </w: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center"/>
              <w:ind w:right="120"/>
              <w:spacing w:after="0"/>
              <w:rPr>
                <w:sz w:val="20"/>
                <w:szCs w:val="20"/>
                <w:color w:val="auto"/>
              </w:rPr>
            </w:pPr>
            <w:r>
              <w:rPr>
                <w:rFonts w:ascii="Arial" w:cs="Arial" w:eastAsia="Arial" w:hAnsi="Arial"/>
                <w:sz w:val="16"/>
                <w:szCs w:val="16"/>
                <w:color w:val="auto"/>
                <w:w w:val="90"/>
              </w:rPr>
              <w:t>Energy</w:t>
            </w:r>
          </w:p>
        </w:tc>
        <w:tc>
          <w:tcPr>
            <w:tcW w:w="1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center"/>
              <w:ind w:right="80"/>
              <w:spacing w:after="0"/>
              <w:rPr>
                <w:sz w:val="20"/>
                <w:szCs w:val="20"/>
                <w:color w:val="auto"/>
              </w:rPr>
            </w:pPr>
            <w:r>
              <w:rPr>
                <w:rFonts w:ascii="Arial" w:cs="Arial" w:eastAsia="Arial" w:hAnsi="Arial"/>
                <w:sz w:val="16"/>
                <w:szCs w:val="16"/>
                <w:color w:val="auto"/>
                <w:w w:val="91"/>
              </w:rPr>
              <w:t>(1)(3)</w:t>
            </w:r>
          </w:p>
        </w:tc>
        <w:tc>
          <w:tcPr>
            <w:tcW w:w="112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color w:val="auto"/>
                <w:w w:val="97"/>
              </w:rPr>
              <w:t>LLP (2)(4)</w:t>
            </w:r>
          </w:p>
        </w:tc>
        <w:tc>
          <w:tcPr>
            <w:tcW w:w="102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w w:val="88"/>
              </w:rPr>
              <w:t>Sempra Energy</w:t>
            </w:r>
          </w:p>
        </w:tc>
        <w:tc>
          <w:tcPr>
            <w:tcW w:w="0" w:type="dxa"/>
            <w:vAlign w:val="bottom"/>
          </w:tcPr>
          <w:p>
            <w:pPr>
              <w:spacing w:after="0"/>
              <w:rPr>
                <w:sz w:val="1"/>
                <w:szCs w:val="1"/>
                <w:color w:val="auto"/>
              </w:rPr>
            </w:pPr>
          </w:p>
        </w:tc>
      </w:tr>
      <w:tr>
        <w:trPr>
          <w:trHeight w:val="262"/>
        </w:trPr>
        <w:tc>
          <w:tcPr>
            <w:tcW w:w="4280" w:type="dxa"/>
            <w:vAlign w:val="bottom"/>
          </w:tcPr>
          <w:p>
            <w:pPr>
              <w:ind w:left="20"/>
              <w:spacing w:after="0"/>
              <w:rPr>
                <w:sz w:val="20"/>
                <w:szCs w:val="20"/>
                <w:color w:val="auto"/>
              </w:rPr>
            </w:pPr>
            <w:r>
              <w:rPr>
                <w:rFonts w:ascii="Arial" w:cs="Arial" w:eastAsia="Arial" w:hAnsi="Arial"/>
                <w:sz w:val="16"/>
                <w:szCs w:val="16"/>
                <w:color w:val="auto"/>
              </w:rPr>
              <w:t>REVENUES</w:t>
            </w:r>
          </w:p>
        </w:tc>
        <w:tc>
          <w:tcPr>
            <w:tcW w:w="2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4280" w:type="dxa"/>
            <w:vAlign w:val="bottom"/>
          </w:tcPr>
          <w:p>
            <w:pPr>
              <w:ind w:left="20"/>
              <w:spacing w:after="0"/>
              <w:rPr>
                <w:sz w:val="20"/>
                <w:szCs w:val="20"/>
                <w:color w:val="auto"/>
              </w:rPr>
            </w:pPr>
            <w:r>
              <w:rPr>
                <w:rFonts w:ascii="Arial" w:cs="Arial" w:eastAsia="Arial" w:hAnsi="Arial"/>
                <w:sz w:val="16"/>
                <w:szCs w:val="16"/>
                <w:color w:val="auto"/>
              </w:rPr>
              <w:t>Sempra Utilities</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120"/>
              <w:spacing w:after="0"/>
              <w:rPr>
                <w:sz w:val="20"/>
                <w:szCs w:val="20"/>
                <w:color w:val="auto"/>
              </w:rPr>
            </w:pPr>
            <w:r>
              <w:rPr>
                <w:rFonts w:ascii="Arial" w:cs="Arial" w:eastAsia="Arial" w:hAnsi="Arial"/>
                <w:sz w:val="16"/>
                <w:szCs w:val="16"/>
                <w:color w:val="auto"/>
              </w:rPr>
              <w:t>7,972</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200"/>
              <w:spacing w:after="0"/>
              <w:rPr>
                <w:sz w:val="20"/>
                <w:szCs w:val="20"/>
                <w:color w:val="auto"/>
              </w:rPr>
            </w:pPr>
            <w:r>
              <w:rPr>
                <w:rFonts w:ascii="Arial" w:cs="Arial" w:eastAsia="Arial" w:hAnsi="Arial"/>
                <w:sz w:val="16"/>
                <w:szCs w:val="16"/>
                <w:color w:val="auto"/>
              </w:rPr>
              <w:t>--</w:t>
            </w:r>
          </w:p>
        </w:tc>
        <w:tc>
          <w:tcPr>
            <w:tcW w:w="520" w:type="dxa"/>
            <w:vAlign w:val="bottom"/>
          </w:tcPr>
          <w:p>
            <w:pPr>
              <w:jc w:val="right"/>
              <w:ind w:right="120"/>
              <w:spacing w:after="0"/>
              <w:rPr>
                <w:sz w:val="20"/>
                <w:szCs w:val="20"/>
                <w:color w:val="auto"/>
              </w:rPr>
            </w:pPr>
            <w:r>
              <w:rPr>
                <w:rFonts w:ascii="Arial" w:cs="Arial" w:eastAsia="Arial" w:hAnsi="Arial"/>
                <w:sz w:val="16"/>
                <w:szCs w:val="16"/>
                <w:color w:val="auto"/>
              </w:rPr>
              <w:t>$</w:t>
            </w:r>
          </w:p>
        </w:tc>
        <w:tc>
          <w:tcPr>
            <w:tcW w:w="600" w:type="dxa"/>
            <w:vAlign w:val="bottom"/>
          </w:tcPr>
          <w:p>
            <w:pPr>
              <w:jc w:val="right"/>
              <w:ind w:right="120"/>
              <w:spacing w:after="0"/>
              <w:rPr>
                <w:sz w:val="20"/>
                <w:szCs w:val="20"/>
                <w:color w:val="auto"/>
              </w:rPr>
            </w:pPr>
            <w:r>
              <w:rPr>
                <w:rFonts w:ascii="Arial" w:cs="Arial" w:eastAsia="Arial" w:hAnsi="Arial"/>
                <w:sz w:val="16"/>
                <w:szCs w:val="16"/>
                <w:color w:val="auto"/>
              </w:rPr>
              <w:t>--</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140"/>
              <w:spacing w:after="0"/>
              <w:rPr>
                <w:sz w:val="20"/>
                <w:szCs w:val="20"/>
                <w:color w:val="auto"/>
              </w:rPr>
            </w:pPr>
            <w:r>
              <w:rPr>
                <w:rFonts w:ascii="Arial" w:cs="Arial" w:eastAsia="Arial" w:hAnsi="Arial"/>
                <w:sz w:val="16"/>
                <w:szCs w:val="16"/>
                <w:color w:val="auto"/>
              </w:rPr>
              <w:t>7,972</w:t>
            </w:r>
          </w:p>
        </w:tc>
        <w:tc>
          <w:tcPr>
            <w:tcW w:w="0" w:type="dxa"/>
            <w:vAlign w:val="bottom"/>
          </w:tcPr>
          <w:p>
            <w:pPr>
              <w:spacing w:after="0"/>
              <w:rPr>
                <w:sz w:val="1"/>
                <w:szCs w:val="1"/>
                <w:color w:val="auto"/>
              </w:rPr>
            </w:pPr>
          </w:p>
        </w:tc>
      </w:tr>
      <w:tr>
        <w:trPr>
          <w:trHeight w:val="228"/>
        </w:trPr>
        <w:tc>
          <w:tcPr>
            <w:tcW w:w="4280" w:type="dxa"/>
            <w:vAlign w:val="bottom"/>
          </w:tcPr>
          <w:p>
            <w:pPr>
              <w:ind w:left="20"/>
              <w:spacing w:after="0"/>
              <w:rPr>
                <w:sz w:val="20"/>
                <w:szCs w:val="20"/>
                <w:color w:val="auto"/>
              </w:rPr>
            </w:pPr>
            <w:r>
              <w:rPr>
                <w:rFonts w:ascii="Arial" w:cs="Arial" w:eastAsia="Arial" w:hAnsi="Arial"/>
                <w:sz w:val="16"/>
                <w:szCs w:val="16"/>
                <w:color w:val="auto"/>
              </w:rPr>
              <w:t>Sempra Global and parent</w:t>
            </w: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2,786</w:t>
            </w:r>
          </w:p>
        </w:tc>
        <w:tc>
          <w:tcPr>
            <w:tcW w:w="1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(457 )</w:t>
            </w:r>
          </w:p>
        </w:tc>
        <w:tc>
          <w:tcPr>
            <w:tcW w:w="5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auto"/>
              </w:rPr>
              <w:t>2,329</w:t>
            </w:r>
          </w:p>
        </w:tc>
        <w:tc>
          <w:tcPr>
            <w:tcW w:w="0" w:type="dxa"/>
            <w:vAlign w:val="bottom"/>
          </w:tcPr>
          <w:p>
            <w:pPr>
              <w:spacing w:after="0"/>
              <w:rPr>
                <w:sz w:val="1"/>
                <w:szCs w:val="1"/>
                <w:color w:val="auto"/>
              </w:rPr>
            </w:pPr>
          </w:p>
        </w:tc>
      </w:tr>
      <w:tr>
        <w:trPr>
          <w:trHeight w:val="208"/>
        </w:trPr>
        <w:tc>
          <w:tcPr>
            <w:tcW w:w="4280" w:type="dxa"/>
            <w:vAlign w:val="bottom"/>
          </w:tcPr>
          <w:p>
            <w:pPr>
              <w:ind w:left="420"/>
              <w:spacing w:after="0"/>
              <w:rPr>
                <w:sz w:val="20"/>
                <w:szCs w:val="20"/>
                <w:color w:val="auto"/>
              </w:rPr>
            </w:pPr>
            <w:r>
              <w:rPr>
                <w:rFonts w:ascii="Arial" w:cs="Arial" w:eastAsia="Arial" w:hAnsi="Arial"/>
                <w:sz w:val="16"/>
                <w:szCs w:val="16"/>
                <w:color w:val="auto"/>
              </w:rPr>
              <w:t>Total revenues</w:t>
            </w: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10,758</w:t>
            </w:r>
          </w:p>
        </w:tc>
        <w:tc>
          <w:tcPr>
            <w:tcW w:w="1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(457 )</w:t>
            </w:r>
          </w:p>
        </w:tc>
        <w:tc>
          <w:tcPr>
            <w:tcW w:w="5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auto"/>
              </w:rPr>
              <w:t>10,301</w:t>
            </w:r>
          </w:p>
        </w:tc>
        <w:tc>
          <w:tcPr>
            <w:tcW w:w="0" w:type="dxa"/>
            <w:vAlign w:val="bottom"/>
          </w:tcPr>
          <w:p>
            <w:pPr>
              <w:spacing w:after="0"/>
              <w:rPr>
                <w:sz w:val="1"/>
                <w:szCs w:val="1"/>
                <w:color w:val="auto"/>
              </w:rPr>
            </w:pPr>
          </w:p>
        </w:tc>
      </w:tr>
      <w:tr>
        <w:trPr>
          <w:trHeight w:val="256"/>
        </w:trPr>
        <w:tc>
          <w:tcPr>
            <w:tcW w:w="4280" w:type="dxa"/>
            <w:vAlign w:val="bottom"/>
          </w:tcPr>
          <w:p>
            <w:pPr>
              <w:ind w:left="20"/>
              <w:spacing w:after="0"/>
              <w:rPr>
                <w:sz w:val="20"/>
                <w:szCs w:val="20"/>
                <w:color w:val="auto"/>
              </w:rPr>
            </w:pPr>
            <w:r>
              <w:rPr>
                <w:rFonts w:ascii="Arial" w:cs="Arial" w:eastAsia="Arial" w:hAnsi="Arial"/>
                <w:sz w:val="16"/>
                <w:szCs w:val="16"/>
                <w:color w:val="auto"/>
              </w:rPr>
              <w:t>EXPENSES AND OTHER INCOME</w:t>
            </w:r>
          </w:p>
        </w:tc>
        <w:tc>
          <w:tcPr>
            <w:tcW w:w="2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4280" w:type="dxa"/>
            <w:vAlign w:val="bottom"/>
          </w:tcPr>
          <w:p>
            <w:pPr>
              <w:ind w:left="20"/>
              <w:spacing w:after="0"/>
              <w:rPr>
                <w:sz w:val="20"/>
                <w:szCs w:val="20"/>
                <w:color w:val="auto"/>
              </w:rPr>
            </w:pPr>
            <w:r>
              <w:rPr>
                <w:rFonts w:ascii="Arial" w:cs="Arial" w:eastAsia="Arial" w:hAnsi="Arial"/>
                <w:sz w:val="16"/>
                <w:szCs w:val="16"/>
                <w:color w:val="auto"/>
              </w:rPr>
              <w:t>Sempra Utilities:</w:t>
            </w: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tcPr>
          <w:p>
            <w:pPr>
              <w:ind w:left="180"/>
              <w:spacing w:after="0"/>
              <w:rPr>
                <w:sz w:val="20"/>
                <w:szCs w:val="20"/>
                <w:color w:val="auto"/>
              </w:rPr>
            </w:pPr>
            <w:r>
              <w:rPr>
                <w:rFonts w:ascii="Arial" w:cs="Arial" w:eastAsia="Arial" w:hAnsi="Arial"/>
                <w:sz w:val="16"/>
                <w:szCs w:val="16"/>
                <w:color w:val="auto"/>
              </w:rPr>
              <w:t>Cost of natural gas</w:t>
            </w:r>
          </w:p>
        </w:tc>
        <w:tc>
          <w:tcPr>
            <w:tcW w:w="200" w:type="dxa"/>
            <w:vAlign w:val="bottom"/>
          </w:tcPr>
          <w:p>
            <w:pPr>
              <w:spacing w:after="0"/>
              <w:rPr>
                <w:sz w:val="18"/>
                <w:szCs w:val="18"/>
                <w:color w:val="auto"/>
              </w:rPr>
            </w:pPr>
          </w:p>
        </w:tc>
        <w:tc>
          <w:tcPr>
            <w:tcW w:w="780" w:type="dxa"/>
            <w:vAlign w:val="bottom"/>
          </w:tcPr>
          <w:p>
            <w:pPr>
              <w:jc w:val="right"/>
              <w:ind w:right="60"/>
              <w:spacing w:after="0"/>
              <w:rPr>
                <w:sz w:val="20"/>
                <w:szCs w:val="20"/>
                <w:color w:val="auto"/>
              </w:rPr>
            </w:pPr>
            <w:r>
              <w:rPr>
                <w:rFonts w:ascii="Arial" w:cs="Arial" w:eastAsia="Arial" w:hAnsi="Arial"/>
                <w:sz w:val="16"/>
                <w:szCs w:val="16"/>
                <w:color w:val="auto"/>
              </w:rPr>
              <w:t>(3,244 )</w:t>
            </w:r>
          </w:p>
        </w:tc>
        <w:tc>
          <w:tcPr>
            <w:tcW w:w="180" w:type="dxa"/>
            <w:vAlign w:val="bottom"/>
          </w:tcPr>
          <w:p>
            <w:pPr>
              <w:spacing w:after="0"/>
              <w:rPr>
                <w:sz w:val="18"/>
                <w:szCs w:val="18"/>
                <w:color w:val="auto"/>
              </w:rPr>
            </w:pPr>
          </w:p>
        </w:tc>
        <w:tc>
          <w:tcPr>
            <w:tcW w:w="880" w:type="dxa"/>
            <w:vAlign w:val="bottom"/>
          </w:tcPr>
          <w:p>
            <w:pPr>
              <w:jc w:val="right"/>
              <w:ind w:right="200"/>
              <w:spacing w:after="0"/>
              <w:rPr>
                <w:sz w:val="20"/>
                <w:szCs w:val="20"/>
                <w:color w:val="auto"/>
              </w:rPr>
            </w:pPr>
            <w:r>
              <w:rPr>
                <w:rFonts w:ascii="Arial" w:cs="Arial" w:eastAsia="Arial" w:hAnsi="Arial"/>
                <w:sz w:val="16"/>
                <w:szCs w:val="16"/>
                <w:color w:val="auto"/>
              </w:rPr>
              <w:t>--</w:t>
            </w:r>
          </w:p>
        </w:tc>
        <w:tc>
          <w:tcPr>
            <w:tcW w:w="520" w:type="dxa"/>
            <w:vAlign w:val="bottom"/>
          </w:tcPr>
          <w:p>
            <w:pPr>
              <w:spacing w:after="0"/>
              <w:rPr>
                <w:sz w:val="18"/>
                <w:szCs w:val="18"/>
                <w:color w:val="auto"/>
              </w:rPr>
            </w:pPr>
          </w:p>
        </w:tc>
        <w:tc>
          <w:tcPr>
            <w:tcW w:w="600" w:type="dxa"/>
            <w:vAlign w:val="bottom"/>
          </w:tcPr>
          <w:p>
            <w:pPr>
              <w:jc w:val="right"/>
              <w:ind w:right="1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800" w:type="dxa"/>
            <w:vAlign w:val="bottom"/>
          </w:tcPr>
          <w:p>
            <w:pPr>
              <w:jc w:val="right"/>
              <w:ind w:right="60"/>
              <w:spacing w:after="0"/>
              <w:rPr>
                <w:sz w:val="20"/>
                <w:szCs w:val="20"/>
                <w:color w:val="auto"/>
              </w:rPr>
            </w:pPr>
            <w:r>
              <w:rPr>
                <w:rFonts w:ascii="Arial" w:cs="Arial" w:eastAsia="Arial" w:hAnsi="Arial"/>
                <w:sz w:val="16"/>
                <w:szCs w:val="16"/>
                <w:color w:val="auto"/>
              </w:rPr>
              <w:t>(3,244 )</w:t>
            </w:r>
          </w:p>
        </w:tc>
        <w:tc>
          <w:tcPr>
            <w:tcW w:w="0" w:type="dxa"/>
            <w:vAlign w:val="bottom"/>
          </w:tcPr>
          <w:p>
            <w:pPr>
              <w:spacing w:after="0"/>
              <w:rPr>
                <w:sz w:val="1"/>
                <w:szCs w:val="1"/>
                <w:color w:val="auto"/>
              </w:rPr>
            </w:pPr>
          </w:p>
        </w:tc>
      </w:tr>
      <w:tr>
        <w:trPr>
          <w:trHeight w:val="216"/>
        </w:trPr>
        <w:tc>
          <w:tcPr>
            <w:tcW w:w="4280" w:type="dxa"/>
            <w:vAlign w:val="bottom"/>
          </w:tcPr>
          <w:p>
            <w:pPr>
              <w:ind w:left="180"/>
              <w:spacing w:after="0"/>
              <w:rPr>
                <w:sz w:val="20"/>
                <w:szCs w:val="20"/>
                <w:color w:val="auto"/>
              </w:rPr>
            </w:pPr>
            <w:r>
              <w:rPr>
                <w:rFonts w:ascii="Arial" w:cs="Arial" w:eastAsia="Arial" w:hAnsi="Arial"/>
                <w:sz w:val="16"/>
                <w:szCs w:val="16"/>
                <w:color w:val="auto"/>
              </w:rPr>
              <w:t>Cost of electric fuel and purchased power</w:t>
            </w:r>
          </w:p>
        </w:tc>
        <w:tc>
          <w:tcPr>
            <w:tcW w:w="200" w:type="dxa"/>
            <w:vAlign w:val="bottom"/>
          </w:tcPr>
          <w:p>
            <w:pPr>
              <w:spacing w:after="0"/>
              <w:rPr>
                <w:sz w:val="18"/>
                <w:szCs w:val="18"/>
                <w:color w:val="auto"/>
              </w:rPr>
            </w:pPr>
          </w:p>
        </w:tc>
        <w:tc>
          <w:tcPr>
            <w:tcW w:w="780" w:type="dxa"/>
            <w:vAlign w:val="bottom"/>
          </w:tcPr>
          <w:p>
            <w:pPr>
              <w:jc w:val="right"/>
              <w:ind w:right="60"/>
              <w:spacing w:after="0"/>
              <w:rPr>
                <w:sz w:val="20"/>
                <w:szCs w:val="20"/>
                <w:color w:val="auto"/>
              </w:rPr>
            </w:pPr>
            <w:r>
              <w:rPr>
                <w:rFonts w:ascii="Arial" w:cs="Arial" w:eastAsia="Arial" w:hAnsi="Arial"/>
                <w:sz w:val="16"/>
                <w:szCs w:val="16"/>
                <w:color w:val="auto"/>
              </w:rPr>
              <w:t>(900 )</w:t>
            </w:r>
          </w:p>
        </w:tc>
        <w:tc>
          <w:tcPr>
            <w:tcW w:w="180" w:type="dxa"/>
            <w:vAlign w:val="bottom"/>
          </w:tcPr>
          <w:p>
            <w:pPr>
              <w:spacing w:after="0"/>
              <w:rPr>
                <w:sz w:val="18"/>
                <w:szCs w:val="18"/>
                <w:color w:val="auto"/>
              </w:rPr>
            </w:pPr>
          </w:p>
        </w:tc>
        <w:tc>
          <w:tcPr>
            <w:tcW w:w="880" w:type="dxa"/>
            <w:vAlign w:val="bottom"/>
          </w:tcPr>
          <w:p>
            <w:pPr>
              <w:jc w:val="right"/>
              <w:ind w:right="200"/>
              <w:spacing w:after="0"/>
              <w:rPr>
                <w:sz w:val="20"/>
                <w:szCs w:val="20"/>
                <w:color w:val="auto"/>
              </w:rPr>
            </w:pPr>
            <w:r>
              <w:rPr>
                <w:rFonts w:ascii="Arial" w:cs="Arial" w:eastAsia="Arial" w:hAnsi="Arial"/>
                <w:sz w:val="16"/>
                <w:szCs w:val="16"/>
                <w:color w:val="auto"/>
              </w:rPr>
              <w:t>--</w:t>
            </w:r>
          </w:p>
        </w:tc>
        <w:tc>
          <w:tcPr>
            <w:tcW w:w="520" w:type="dxa"/>
            <w:vAlign w:val="bottom"/>
          </w:tcPr>
          <w:p>
            <w:pPr>
              <w:spacing w:after="0"/>
              <w:rPr>
                <w:sz w:val="18"/>
                <w:szCs w:val="18"/>
                <w:color w:val="auto"/>
              </w:rPr>
            </w:pPr>
          </w:p>
        </w:tc>
        <w:tc>
          <w:tcPr>
            <w:tcW w:w="600" w:type="dxa"/>
            <w:vAlign w:val="bottom"/>
          </w:tcPr>
          <w:p>
            <w:pPr>
              <w:jc w:val="right"/>
              <w:ind w:right="1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800" w:type="dxa"/>
            <w:vAlign w:val="bottom"/>
          </w:tcPr>
          <w:p>
            <w:pPr>
              <w:jc w:val="right"/>
              <w:ind w:right="60"/>
              <w:spacing w:after="0"/>
              <w:rPr>
                <w:sz w:val="20"/>
                <w:szCs w:val="20"/>
                <w:color w:val="auto"/>
              </w:rPr>
            </w:pPr>
            <w:r>
              <w:rPr>
                <w:rFonts w:ascii="Arial" w:cs="Arial" w:eastAsia="Arial" w:hAnsi="Arial"/>
                <w:sz w:val="16"/>
                <w:szCs w:val="16"/>
                <w:color w:val="auto"/>
              </w:rPr>
              <w:t>(900 )</w:t>
            </w:r>
          </w:p>
        </w:tc>
        <w:tc>
          <w:tcPr>
            <w:tcW w:w="0" w:type="dxa"/>
            <w:vAlign w:val="bottom"/>
          </w:tcPr>
          <w:p>
            <w:pPr>
              <w:spacing w:after="0"/>
              <w:rPr>
                <w:sz w:val="1"/>
                <w:szCs w:val="1"/>
                <w:color w:val="auto"/>
              </w:rPr>
            </w:pPr>
          </w:p>
        </w:tc>
      </w:tr>
      <w:tr>
        <w:trPr>
          <w:trHeight w:val="216"/>
        </w:trPr>
        <w:tc>
          <w:tcPr>
            <w:tcW w:w="4280" w:type="dxa"/>
            <w:vAlign w:val="bottom"/>
          </w:tcPr>
          <w:p>
            <w:pPr>
              <w:ind w:left="20"/>
              <w:spacing w:after="0"/>
              <w:rPr>
                <w:sz w:val="20"/>
                <w:szCs w:val="20"/>
                <w:color w:val="auto"/>
              </w:rPr>
            </w:pPr>
            <w:r>
              <w:rPr>
                <w:rFonts w:ascii="Arial" w:cs="Arial" w:eastAsia="Arial" w:hAnsi="Arial"/>
                <w:sz w:val="16"/>
                <w:szCs w:val="16"/>
                <w:color w:val="auto"/>
              </w:rPr>
              <w:t>Sempra Global and parent:</w:t>
            </w: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tcPr>
          <w:p>
            <w:pPr>
              <w:ind w:left="180"/>
              <w:spacing w:after="0"/>
              <w:rPr>
                <w:sz w:val="20"/>
                <w:szCs w:val="20"/>
                <w:color w:val="auto"/>
              </w:rPr>
            </w:pPr>
            <w:r>
              <w:rPr>
                <w:rFonts w:ascii="Arial" w:cs="Arial" w:eastAsia="Arial" w:hAnsi="Arial"/>
                <w:sz w:val="16"/>
                <w:szCs w:val="16"/>
                <w:color w:val="auto"/>
              </w:rPr>
              <w:t>Cost of natural gas, electric fuel and purchased power</w:t>
            </w:r>
          </w:p>
        </w:tc>
        <w:tc>
          <w:tcPr>
            <w:tcW w:w="200" w:type="dxa"/>
            <w:vAlign w:val="bottom"/>
          </w:tcPr>
          <w:p>
            <w:pPr>
              <w:spacing w:after="0"/>
              <w:rPr>
                <w:sz w:val="18"/>
                <w:szCs w:val="18"/>
                <w:color w:val="auto"/>
              </w:rPr>
            </w:pPr>
          </w:p>
        </w:tc>
        <w:tc>
          <w:tcPr>
            <w:tcW w:w="780" w:type="dxa"/>
            <w:vAlign w:val="bottom"/>
          </w:tcPr>
          <w:p>
            <w:pPr>
              <w:jc w:val="right"/>
              <w:ind w:right="60"/>
              <w:spacing w:after="0"/>
              <w:rPr>
                <w:sz w:val="20"/>
                <w:szCs w:val="20"/>
                <w:color w:val="auto"/>
              </w:rPr>
            </w:pPr>
            <w:r>
              <w:rPr>
                <w:rFonts w:ascii="Arial" w:cs="Arial" w:eastAsia="Arial" w:hAnsi="Arial"/>
                <w:sz w:val="16"/>
                <w:szCs w:val="16"/>
                <w:color w:val="auto"/>
              </w:rPr>
              <w:t>(1,671 )</w:t>
            </w:r>
          </w:p>
        </w:tc>
        <w:tc>
          <w:tcPr>
            <w:tcW w:w="180" w:type="dxa"/>
            <w:vAlign w:val="bottom"/>
          </w:tcPr>
          <w:p>
            <w:pPr>
              <w:spacing w:after="0"/>
              <w:rPr>
                <w:sz w:val="18"/>
                <w:szCs w:val="18"/>
                <w:color w:val="auto"/>
              </w:rPr>
            </w:pPr>
          </w:p>
        </w:tc>
        <w:tc>
          <w:tcPr>
            <w:tcW w:w="880" w:type="dxa"/>
            <w:vAlign w:val="bottom"/>
          </w:tcPr>
          <w:p>
            <w:pPr>
              <w:jc w:val="right"/>
              <w:ind w:right="200"/>
              <w:spacing w:after="0"/>
              <w:rPr>
                <w:sz w:val="20"/>
                <w:szCs w:val="20"/>
                <w:color w:val="auto"/>
              </w:rPr>
            </w:pPr>
            <w:r>
              <w:rPr>
                <w:rFonts w:ascii="Arial" w:cs="Arial" w:eastAsia="Arial" w:hAnsi="Arial"/>
                <w:sz w:val="16"/>
                <w:szCs w:val="16"/>
                <w:color w:val="auto"/>
              </w:rPr>
              <w:t>--</w:t>
            </w:r>
          </w:p>
        </w:tc>
        <w:tc>
          <w:tcPr>
            <w:tcW w:w="520" w:type="dxa"/>
            <w:vAlign w:val="bottom"/>
          </w:tcPr>
          <w:p>
            <w:pPr>
              <w:spacing w:after="0"/>
              <w:rPr>
                <w:sz w:val="18"/>
                <w:szCs w:val="18"/>
                <w:color w:val="auto"/>
              </w:rPr>
            </w:pPr>
          </w:p>
        </w:tc>
        <w:tc>
          <w:tcPr>
            <w:tcW w:w="600" w:type="dxa"/>
            <w:vAlign w:val="bottom"/>
          </w:tcPr>
          <w:p>
            <w:pPr>
              <w:jc w:val="right"/>
              <w:ind w:right="1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800" w:type="dxa"/>
            <w:vAlign w:val="bottom"/>
          </w:tcPr>
          <w:p>
            <w:pPr>
              <w:jc w:val="right"/>
              <w:ind w:right="60"/>
              <w:spacing w:after="0"/>
              <w:rPr>
                <w:sz w:val="20"/>
                <w:szCs w:val="20"/>
                <w:color w:val="auto"/>
              </w:rPr>
            </w:pPr>
            <w:r>
              <w:rPr>
                <w:rFonts w:ascii="Arial" w:cs="Arial" w:eastAsia="Arial" w:hAnsi="Arial"/>
                <w:sz w:val="16"/>
                <w:szCs w:val="16"/>
                <w:color w:val="auto"/>
              </w:rPr>
              <w:t>(1,671 )</w:t>
            </w:r>
          </w:p>
        </w:tc>
        <w:tc>
          <w:tcPr>
            <w:tcW w:w="0" w:type="dxa"/>
            <w:vAlign w:val="bottom"/>
          </w:tcPr>
          <w:p>
            <w:pPr>
              <w:spacing w:after="0"/>
              <w:rPr>
                <w:sz w:val="1"/>
                <w:szCs w:val="1"/>
                <w:color w:val="auto"/>
              </w:rPr>
            </w:pPr>
          </w:p>
        </w:tc>
      </w:tr>
      <w:tr>
        <w:trPr>
          <w:trHeight w:val="216"/>
        </w:trPr>
        <w:tc>
          <w:tcPr>
            <w:tcW w:w="4280" w:type="dxa"/>
            <w:vAlign w:val="bottom"/>
          </w:tcPr>
          <w:p>
            <w:pPr>
              <w:ind w:left="180"/>
              <w:spacing w:after="0"/>
              <w:rPr>
                <w:sz w:val="20"/>
                <w:szCs w:val="20"/>
                <w:color w:val="auto"/>
              </w:rPr>
            </w:pPr>
            <w:r>
              <w:rPr>
                <w:rFonts w:ascii="Arial" w:cs="Arial" w:eastAsia="Arial" w:hAnsi="Arial"/>
                <w:sz w:val="16"/>
                <w:szCs w:val="16"/>
                <w:color w:val="auto"/>
              </w:rPr>
              <w:t>Other cost of sales</w:t>
            </w:r>
          </w:p>
        </w:tc>
        <w:tc>
          <w:tcPr>
            <w:tcW w:w="200" w:type="dxa"/>
            <w:vAlign w:val="bottom"/>
          </w:tcPr>
          <w:p>
            <w:pPr>
              <w:spacing w:after="0"/>
              <w:rPr>
                <w:sz w:val="18"/>
                <w:szCs w:val="18"/>
                <w:color w:val="auto"/>
              </w:rPr>
            </w:pPr>
          </w:p>
        </w:tc>
        <w:tc>
          <w:tcPr>
            <w:tcW w:w="780" w:type="dxa"/>
            <w:vAlign w:val="bottom"/>
          </w:tcPr>
          <w:p>
            <w:pPr>
              <w:jc w:val="right"/>
              <w:ind w:right="60"/>
              <w:spacing w:after="0"/>
              <w:rPr>
                <w:sz w:val="20"/>
                <w:szCs w:val="20"/>
                <w:color w:val="auto"/>
              </w:rPr>
            </w:pPr>
            <w:r>
              <w:rPr>
                <w:rFonts w:ascii="Arial" w:cs="Arial" w:eastAsia="Arial" w:hAnsi="Arial"/>
                <w:sz w:val="16"/>
                <w:szCs w:val="16"/>
                <w:color w:val="auto"/>
              </w:rPr>
              <w:t>(182 )</w:t>
            </w:r>
          </w:p>
        </w:tc>
        <w:tc>
          <w:tcPr>
            <w:tcW w:w="180" w:type="dxa"/>
            <w:vAlign w:val="bottom"/>
          </w:tcPr>
          <w:p>
            <w:pPr>
              <w:spacing w:after="0"/>
              <w:rPr>
                <w:sz w:val="18"/>
                <w:szCs w:val="18"/>
                <w:color w:val="auto"/>
              </w:rPr>
            </w:pPr>
          </w:p>
        </w:tc>
        <w:tc>
          <w:tcPr>
            <w:tcW w:w="880" w:type="dxa"/>
            <w:vAlign w:val="bottom"/>
          </w:tcPr>
          <w:p>
            <w:pPr>
              <w:jc w:val="right"/>
              <w:ind w:right="200"/>
              <w:spacing w:after="0"/>
              <w:rPr>
                <w:sz w:val="20"/>
                <w:szCs w:val="20"/>
                <w:color w:val="auto"/>
              </w:rPr>
            </w:pPr>
            <w:r>
              <w:rPr>
                <w:rFonts w:ascii="Arial" w:cs="Arial" w:eastAsia="Arial" w:hAnsi="Arial"/>
                <w:sz w:val="16"/>
                <w:szCs w:val="16"/>
                <w:color w:val="auto"/>
              </w:rPr>
              <w:t>133</w:t>
            </w:r>
          </w:p>
        </w:tc>
        <w:tc>
          <w:tcPr>
            <w:tcW w:w="520" w:type="dxa"/>
            <w:vAlign w:val="bottom"/>
          </w:tcPr>
          <w:p>
            <w:pPr>
              <w:spacing w:after="0"/>
              <w:rPr>
                <w:sz w:val="18"/>
                <w:szCs w:val="18"/>
                <w:color w:val="auto"/>
              </w:rPr>
            </w:pPr>
          </w:p>
        </w:tc>
        <w:tc>
          <w:tcPr>
            <w:tcW w:w="600" w:type="dxa"/>
            <w:vAlign w:val="bottom"/>
          </w:tcPr>
          <w:p>
            <w:pPr>
              <w:jc w:val="right"/>
              <w:ind w:right="1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800" w:type="dxa"/>
            <w:vAlign w:val="bottom"/>
          </w:tcPr>
          <w:p>
            <w:pPr>
              <w:jc w:val="right"/>
              <w:ind w:right="60"/>
              <w:spacing w:after="0"/>
              <w:rPr>
                <w:sz w:val="20"/>
                <w:szCs w:val="20"/>
                <w:color w:val="auto"/>
              </w:rPr>
            </w:pPr>
            <w:r>
              <w:rPr>
                <w:rFonts w:ascii="Arial" w:cs="Arial" w:eastAsia="Arial" w:hAnsi="Arial"/>
                <w:sz w:val="16"/>
                <w:szCs w:val="16"/>
                <w:color w:val="auto"/>
              </w:rPr>
              <w:t>(49 )</w:t>
            </w:r>
          </w:p>
        </w:tc>
        <w:tc>
          <w:tcPr>
            <w:tcW w:w="0" w:type="dxa"/>
            <w:vAlign w:val="bottom"/>
          </w:tcPr>
          <w:p>
            <w:pPr>
              <w:spacing w:after="0"/>
              <w:rPr>
                <w:sz w:val="1"/>
                <w:szCs w:val="1"/>
                <w:color w:val="auto"/>
              </w:rPr>
            </w:pPr>
          </w:p>
        </w:tc>
      </w:tr>
      <w:tr>
        <w:trPr>
          <w:trHeight w:val="216"/>
        </w:trPr>
        <w:tc>
          <w:tcPr>
            <w:tcW w:w="4280" w:type="dxa"/>
            <w:vAlign w:val="bottom"/>
          </w:tcPr>
          <w:p>
            <w:pPr>
              <w:ind w:left="20"/>
              <w:spacing w:after="0"/>
              <w:rPr>
                <w:sz w:val="20"/>
                <w:szCs w:val="20"/>
                <w:color w:val="auto"/>
              </w:rPr>
            </w:pPr>
            <w:r>
              <w:rPr>
                <w:rFonts w:ascii="Arial" w:cs="Arial" w:eastAsia="Arial" w:hAnsi="Arial"/>
                <w:sz w:val="16"/>
                <w:szCs w:val="16"/>
                <w:color w:val="auto"/>
              </w:rPr>
              <w:t>Operation and maintenance</w:t>
            </w:r>
          </w:p>
        </w:tc>
        <w:tc>
          <w:tcPr>
            <w:tcW w:w="200" w:type="dxa"/>
            <w:vAlign w:val="bottom"/>
          </w:tcPr>
          <w:p>
            <w:pPr>
              <w:spacing w:after="0"/>
              <w:rPr>
                <w:sz w:val="18"/>
                <w:szCs w:val="18"/>
                <w:color w:val="auto"/>
              </w:rPr>
            </w:pPr>
          </w:p>
        </w:tc>
        <w:tc>
          <w:tcPr>
            <w:tcW w:w="780" w:type="dxa"/>
            <w:vAlign w:val="bottom"/>
          </w:tcPr>
          <w:p>
            <w:pPr>
              <w:jc w:val="right"/>
              <w:ind w:right="60"/>
              <w:spacing w:after="0"/>
              <w:rPr>
                <w:sz w:val="20"/>
                <w:szCs w:val="20"/>
                <w:color w:val="auto"/>
              </w:rPr>
            </w:pPr>
            <w:r>
              <w:rPr>
                <w:rFonts w:ascii="Arial" w:cs="Arial" w:eastAsia="Arial" w:hAnsi="Arial"/>
                <w:sz w:val="16"/>
                <w:szCs w:val="16"/>
                <w:color w:val="auto"/>
              </w:rPr>
              <w:t>(2,536 )</w:t>
            </w:r>
          </w:p>
        </w:tc>
        <w:tc>
          <w:tcPr>
            <w:tcW w:w="180" w:type="dxa"/>
            <w:vAlign w:val="bottom"/>
          </w:tcPr>
          <w:p>
            <w:pPr>
              <w:spacing w:after="0"/>
              <w:rPr>
                <w:sz w:val="18"/>
                <w:szCs w:val="18"/>
                <w:color w:val="auto"/>
              </w:rPr>
            </w:pPr>
          </w:p>
        </w:tc>
        <w:tc>
          <w:tcPr>
            <w:tcW w:w="880" w:type="dxa"/>
            <w:vAlign w:val="bottom"/>
          </w:tcPr>
          <w:p>
            <w:pPr>
              <w:jc w:val="right"/>
              <w:ind w:right="200"/>
              <w:spacing w:after="0"/>
              <w:rPr>
                <w:sz w:val="20"/>
                <w:szCs w:val="20"/>
                <w:color w:val="auto"/>
              </w:rPr>
            </w:pPr>
            <w:r>
              <w:rPr>
                <w:rFonts w:ascii="Arial" w:cs="Arial" w:eastAsia="Arial" w:hAnsi="Arial"/>
                <w:sz w:val="16"/>
                <w:szCs w:val="16"/>
                <w:color w:val="auto"/>
              </w:rPr>
              <w:t>214</w:t>
            </w:r>
          </w:p>
        </w:tc>
        <w:tc>
          <w:tcPr>
            <w:tcW w:w="520" w:type="dxa"/>
            <w:vAlign w:val="bottom"/>
          </w:tcPr>
          <w:p>
            <w:pPr>
              <w:spacing w:after="0"/>
              <w:rPr>
                <w:sz w:val="18"/>
                <w:szCs w:val="18"/>
                <w:color w:val="auto"/>
              </w:rPr>
            </w:pPr>
          </w:p>
        </w:tc>
        <w:tc>
          <w:tcPr>
            <w:tcW w:w="600" w:type="dxa"/>
            <w:vAlign w:val="bottom"/>
          </w:tcPr>
          <w:p>
            <w:pPr>
              <w:jc w:val="right"/>
              <w:ind w:right="1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800" w:type="dxa"/>
            <w:vAlign w:val="bottom"/>
          </w:tcPr>
          <w:p>
            <w:pPr>
              <w:jc w:val="right"/>
              <w:ind w:right="60"/>
              <w:spacing w:after="0"/>
              <w:rPr>
                <w:sz w:val="20"/>
                <w:szCs w:val="20"/>
                <w:color w:val="auto"/>
              </w:rPr>
            </w:pPr>
            <w:r>
              <w:rPr>
                <w:rFonts w:ascii="Arial" w:cs="Arial" w:eastAsia="Arial" w:hAnsi="Arial"/>
                <w:sz w:val="16"/>
                <w:szCs w:val="16"/>
                <w:color w:val="auto"/>
              </w:rPr>
              <w:t>(2,322 )</w:t>
            </w:r>
          </w:p>
        </w:tc>
        <w:tc>
          <w:tcPr>
            <w:tcW w:w="0" w:type="dxa"/>
            <w:vAlign w:val="bottom"/>
          </w:tcPr>
          <w:p>
            <w:pPr>
              <w:spacing w:after="0"/>
              <w:rPr>
                <w:sz w:val="1"/>
                <w:szCs w:val="1"/>
                <w:color w:val="auto"/>
              </w:rPr>
            </w:pPr>
          </w:p>
        </w:tc>
      </w:tr>
      <w:tr>
        <w:trPr>
          <w:trHeight w:val="216"/>
        </w:trPr>
        <w:tc>
          <w:tcPr>
            <w:tcW w:w="4280" w:type="dxa"/>
            <w:vAlign w:val="bottom"/>
          </w:tcPr>
          <w:p>
            <w:pPr>
              <w:ind w:left="20"/>
              <w:spacing w:after="0"/>
              <w:rPr>
                <w:sz w:val="20"/>
                <w:szCs w:val="20"/>
                <w:color w:val="auto"/>
              </w:rPr>
            </w:pPr>
            <w:r>
              <w:rPr>
                <w:rFonts w:ascii="Arial" w:cs="Arial" w:eastAsia="Arial" w:hAnsi="Arial"/>
                <w:sz w:val="16"/>
                <w:szCs w:val="16"/>
                <w:color w:val="auto"/>
              </w:rPr>
              <w:t>Depreciation and amortization</w:t>
            </w:r>
          </w:p>
        </w:tc>
        <w:tc>
          <w:tcPr>
            <w:tcW w:w="200" w:type="dxa"/>
            <w:vAlign w:val="bottom"/>
          </w:tcPr>
          <w:p>
            <w:pPr>
              <w:spacing w:after="0"/>
              <w:rPr>
                <w:sz w:val="18"/>
                <w:szCs w:val="18"/>
                <w:color w:val="auto"/>
              </w:rPr>
            </w:pPr>
          </w:p>
        </w:tc>
        <w:tc>
          <w:tcPr>
            <w:tcW w:w="780" w:type="dxa"/>
            <w:vAlign w:val="bottom"/>
          </w:tcPr>
          <w:p>
            <w:pPr>
              <w:jc w:val="right"/>
              <w:ind w:right="60"/>
              <w:spacing w:after="0"/>
              <w:rPr>
                <w:sz w:val="20"/>
                <w:szCs w:val="20"/>
                <w:color w:val="auto"/>
              </w:rPr>
            </w:pPr>
            <w:r>
              <w:rPr>
                <w:rFonts w:ascii="Arial" w:cs="Arial" w:eastAsia="Arial" w:hAnsi="Arial"/>
                <w:sz w:val="16"/>
                <w:szCs w:val="16"/>
                <w:color w:val="auto"/>
              </w:rPr>
              <w:t>(687 )</w:t>
            </w:r>
          </w:p>
        </w:tc>
        <w:tc>
          <w:tcPr>
            <w:tcW w:w="180" w:type="dxa"/>
            <w:vAlign w:val="bottom"/>
          </w:tcPr>
          <w:p>
            <w:pPr>
              <w:spacing w:after="0"/>
              <w:rPr>
                <w:sz w:val="18"/>
                <w:szCs w:val="18"/>
                <w:color w:val="auto"/>
              </w:rPr>
            </w:pPr>
          </w:p>
        </w:tc>
        <w:tc>
          <w:tcPr>
            <w:tcW w:w="880" w:type="dxa"/>
            <w:vAlign w:val="bottom"/>
          </w:tcPr>
          <w:p>
            <w:pPr>
              <w:jc w:val="right"/>
              <w:ind w:right="200"/>
              <w:spacing w:after="0"/>
              <w:rPr>
                <w:sz w:val="20"/>
                <w:szCs w:val="20"/>
                <w:color w:val="auto"/>
              </w:rPr>
            </w:pPr>
            <w:r>
              <w:rPr>
                <w:rFonts w:ascii="Arial" w:cs="Arial" w:eastAsia="Arial" w:hAnsi="Arial"/>
                <w:sz w:val="16"/>
                <w:szCs w:val="16"/>
                <w:color w:val="auto"/>
              </w:rPr>
              <w:t>6</w:t>
            </w:r>
          </w:p>
        </w:tc>
        <w:tc>
          <w:tcPr>
            <w:tcW w:w="520" w:type="dxa"/>
            <w:vAlign w:val="bottom"/>
          </w:tcPr>
          <w:p>
            <w:pPr>
              <w:spacing w:after="0"/>
              <w:rPr>
                <w:sz w:val="18"/>
                <w:szCs w:val="18"/>
                <w:color w:val="auto"/>
              </w:rPr>
            </w:pPr>
          </w:p>
        </w:tc>
        <w:tc>
          <w:tcPr>
            <w:tcW w:w="600" w:type="dxa"/>
            <w:vAlign w:val="bottom"/>
          </w:tcPr>
          <w:p>
            <w:pPr>
              <w:jc w:val="right"/>
              <w:ind w:right="1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800" w:type="dxa"/>
            <w:vAlign w:val="bottom"/>
          </w:tcPr>
          <w:p>
            <w:pPr>
              <w:jc w:val="right"/>
              <w:ind w:right="60"/>
              <w:spacing w:after="0"/>
              <w:rPr>
                <w:sz w:val="20"/>
                <w:szCs w:val="20"/>
                <w:color w:val="auto"/>
              </w:rPr>
            </w:pPr>
            <w:r>
              <w:rPr>
                <w:rFonts w:ascii="Arial" w:cs="Arial" w:eastAsia="Arial" w:hAnsi="Arial"/>
                <w:sz w:val="16"/>
                <w:szCs w:val="16"/>
                <w:color w:val="auto"/>
              </w:rPr>
              <w:t>(681 )</w:t>
            </w:r>
          </w:p>
        </w:tc>
        <w:tc>
          <w:tcPr>
            <w:tcW w:w="0" w:type="dxa"/>
            <w:vAlign w:val="bottom"/>
          </w:tcPr>
          <w:p>
            <w:pPr>
              <w:spacing w:after="0"/>
              <w:rPr>
                <w:sz w:val="1"/>
                <w:szCs w:val="1"/>
                <w:color w:val="auto"/>
              </w:rPr>
            </w:pPr>
          </w:p>
        </w:tc>
      </w:tr>
      <w:tr>
        <w:trPr>
          <w:trHeight w:val="216"/>
        </w:trPr>
        <w:tc>
          <w:tcPr>
            <w:tcW w:w="4280" w:type="dxa"/>
            <w:vAlign w:val="bottom"/>
          </w:tcPr>
          <w:p>
            <w:pPr>
              <w:ind w:left="20"/>
              <w:spacing w:after="0"/>
              <w:rPr>
                <w:sz w:val="20"/>
                <w:szCs w:val="20"/>
                <w:color w:val="auto"/>
              </w:rPr>
            </w:pPr>
            <w:r>
              <w:rPr>
                <w:rFonts w:ascii="Arial" w:cs="Arial" w:eastAsia="Arial" w:hAnsi="Arial"/>
                <w:sz w:val="16"/>
                <w:szCs w:val="16"/>
                <w:color w:val="auto"/>
              </w:rPr>
              <w:t>Franchise fees and other taxes</w:t>
            </w:r>
          </w:p>
        </w:tc>
        <w:tc>
          <w:tcPr>
            <w:tcW w:w="200" w:type="dxa"/>
            <w:vAlign w:val="bottom"/>
          </w:tcPr>
          <w:p>
            <w:pPr>
              <w:spacing w:after="0"/>
              <w:rPr>
                <w:sz w:val="18"/>
                <w:szCs w:val="18"/>
                <w:color w:val="auto"/>
              </w:rPr>
            </w:pPr>
          </w:p>
        </w:tc>
        <w:tc>
          <w:tcPr>
            <w:tcW w:w="780" w:type="dxa"/>
            <w:vAlign w:val="bottom"/>
          </w:tcPr>
          <w:p>
            <w:pPr>
              <w:jc w:val="right"/>
              <w:ind w:right="60"/>
              <w:spacing w:after="0"/>
              <w:rPr>
                <w:sz w:val="20"/>
                <w:szCs w:val="20"/>
                <w:color w:val="auto"/>
              </w:rPr>
            </w:pPr>
            <w:r>
              <w:rPr>
                <w:rFonts w:ascii="Arial" w:cs="Arial" w:eastAsia="Arial" w:hAnsi="Arial"/>
                <w:sz w:val="16"/>
                <w:szCs w:val="16"/>
                <w:color w:val="auto"/>
              </w:rPr>
              <w:t>(312 )</w:t>
            </w:r>
          </w:p>
        </w:tc>
        <w:tc>
          <w:tcPr>
            <w:tcW w:w="180" w:type="dxa"/>
            <w:vAlign w:val="bottom"/>
          </w:tcPr>
          <w:p>
            <w:pPr>
              <w:spacing w:after="0"/>
              <w:rPr>
                <w:sz w:val="18"/>
                <w:szCs w:val="18"/>
                <w:color w:val="auto"/>
              </w:rPr>
            </w:pPr>
          </w:p>
        </w:tc>
        <w:tc>
          <w:tcPr>
            <w:tcW w:w="880" w:type="dxa"/>
            <w:vAlign w:val="bottom"/>
          </w:tcPr>
          <w:p>
            <w:pPr>
              <w:jc w:val="right"/>
              <w:ind w:right="200"/>
              <w:spacing w:after="0"/>
              <w:rPr>
                <w:sz w:val="20"/>
                <w:szCs w:val="20"/>
                <w:color w:val="auto"/>
              </w:rPr>
            </w:pPr>
            <w:r>
              <w:rPr>
                <w:rFonts w:ascii="Arial" w:cs="Arial" w:eastAsia="Arial" w:hAnsi="Arial"/>
                <w:sz w:val="16"/>
                <w:szCs w:val="16"/>
                <w:color w:val="auto"/>
              </w:rPr>
              <w:t>--</w:t>
            </w:r>
          </w:p>
        </w:tc>
        <w:tc>
          <w:tcPr>
            <w:tcW w:w="520" w:type="dxa"/>
            <w:vAlign w:val="bottom"/>
          </w:tcPr>
          <w:p>
            <w:pPr>
              <w:spacing w:after="0"/>
              <w:rPr>
                <w:sz w:val="18"/>
                <w:szCs w:val="18"/>
                <w:color w:val="auto"/>
              </w:rPr>
            </w:pPr>
          </w:p>
        </w:tc>
        <w:tc>
          <w:tcPr>
            <w:tcW w:w="600" w:type="dxa"/>
            <w:vAlign w:val="bottom"/>
          </w:tcPr>
          <w:p>
            <w:pPr>
              <w:jc w:val="right"/>
              <w:ind w:right="1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800" w:type="dxa"/>
            <w:vAlign w:val="bottom"/>
          </w:tcPr>
          <w:p>
            <w:pPr>
              <w:jc w:val="right"/>
              <w:ind w:right="60"/>
              <w:spacing w:after="0"/>
              <w:rPr>
                <w:sz w:val="20"/>
                <w:szCs w:val="20"/>
                <w:color w:val="auto"/>
              </w:rPr>
            </w:pPr>
            <w:r>
              <w:rPr>
                <w:rFonts w:ascii="Arial" w:cs="Arial" w:eastAsia="Arial" w:hAnsi="Arial"/>
                <w:sz w:val="16"/>
                <w:szCs w:val="16"/>
                <w:color w:val="auto"/>
              </w:rPr>
              <w:t>(312 )</w:t>
            </w:r>
          </w:p>
        </w:tc>
        <w:tc>
          <w:tcPr>
            <w:tcW w:w="0" w:type="dxa"/>
            <w:vAlign w:val="bottom"/>
          </w:tcPr>
          <w:p>
            <w:pPr>
              <w:spacing w:after="0"/>
              <w:rPr>
                <w:sz w:val="1"/>
                <w:szCs w:val="1"/>
                <w:color w:val="auto"/>
              </w:rPr>
            </w:pPr>
          </w:p>
        </w:tc>
      </w:tr>
      <w:tr>
        <w:trPr>
          <w:trHeight w:val="216"/>
        </w:trPr>
        <w:tc>
          <w:tcPr>
            <w:tcW w:w="4280" w:type="dxa"/>
            <w:vAlign w:val="bottom"/>
          </w:tcPr>
          <w:p>
            <w:pPr>
              <w:ind w:left="20"/>
              <w:spacing w:after="0"/>
              <w:rPr>
                <w:sz w:val="20"/>
                <w:szCs w:val="20"/>
                <w:color w:val="auto"/>
              </w:rPr>
            </w:pPr>
            <w:r>
              <w:rPr>
                <w:rFonts w:ascii="Arial" w:cs="Arial" w:eastAsia="Arial" w:hAnsi="Arial"/>
                <w:sz w:val="16"/>
                <w:szCs w:val="16"/>
                <w:color w:val="auto"/>
              </w:rPr>
              <w:t>Gains on sale of assets</w:t>
            </w:r>
          </w:p>
        </w:tc>
        <w:tc>
          <w:tcPr>
            <w:tcW w:w="200" w:type="dxa"/>
            <w:vAlign w:val="bottom"/>
          </w:tcPr>
          <w:p>
            <w:pPr>
              <w:spacing w:after="0"/>
              <w:rPr>
                <w:sz w:val="18"/>
                <w:szCs w:val="18"/>
                <w:color w:val="auto"/>
              </w:rPr>
            </w:pPr>
          </w:p>
        </w:tc>
        <w:tc>
          <w:tcPr>
            <w:tcW w:w="780" w:type="dxa"/>
            <w:vAlign w:val="bottom"/>
          </w:tcPr>
          <w:p>
            <w:pPr>
              <w:jc w:val="right"/>
              <w:ind w:right="120"/>
              <w:spacing w:after="0"/>
              <w:rPr>
                <w:sz w:val="20"/>
                <w:szCs w:val="20"/>
                <w:color w:val="auto"/>
              </w:rPr>
            </w:pPr>
            <w:r>
              <w:rPr>
                <w:rFonts w:ascii="Arial" w:cs="Arial" w:eastAsia="Arial" w:hAnsi="Arial"/>
                <w:sz w:val="16"/>
                <w:szCs w:val="16"/>
                <w:color w:val="auto"/>
              </w:rPr>
              <w:t>114</w:t>
            </w:r>
          </w:p>
        </w:tc>
        <w:tc>
          <w:tcPr>
            <w:tcW w:w="180" w:type="dxa"/>
            <w:vAlign w:val="bottom"/>
          </w:tcPr>
          <w:p>
            <w:pPr>
              <w:spacing w:after="0"/>
              <w:rPr>
                <w:sz w:val="18"/>
                <w:szCs w:val="18"/>
                <w:color w:val="auto"/>
              </w:rPr>
            </w:pPr>
          </w:p>
        </w:tc>
        <w:tc>
          <w:tcPr>
            <w:tcW w:w="880" w:type="dxa"/>
            <w:vAlign w:val="bottom"/>
          </w:tcPr>
          <w:p>
            <w:pPr>
              <w:jc w:val="right"/>
              <w:ind w:right="200"/>
              <w:spacing w:after="0"/>
              <w:rPr>
                <w:sz w:val="20"/>
                <w:szCs w:val="20"/>
                <w:color w:val="auto"/>
              </w:rPr>
            </w:pPr>
            <w:r>
              <w:rPr>
                <w:rFonts w:ascii="Arial" w:cs="Arial" w:eastAsia="Arial" w:hAnsi="Arial"/>
                <w:sz w:val="16"/>
                <w:szCs w:val="16"/>
                <w:color w:val="auto"/>
              </w:rPr>
              <w:t>--</w:t>
            </w:r>
          </w:p>
        </w:tc>
        <w:tc>
          <w:tcPr>
            <w:tcW w:w="520" w:type="dxa"/>
            <w:vAlign w:val="bottom"/>
          </w:tcPr>
          <w:p>
            <w:pPr>
              <w:spacing w:after="0"/>
              <w:rPr>
                <w:sz w:val="18"/>
                <w:szCs w:val="18"/>
                <w:color w:val="auto"/>
              </w:rPr>
            </w:pPr>
          </w:p>
        </w:tc>
        <w:tc>
          <w:tcPr>
            <w:tcW w:w="600" w:type="dxa"/>
            <w:vAlign w:val="bottom"/>
          </w:tcPr>
          <w:p>
            <w:pPr>
              <w:jc w:val="right"/>
              <w:ind w:right="1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800" w:type="dxa"/>
            <w:vAlign w:val="bottom"/>
          </w:tcPr>
          <w:p>
            <w:pPr>
              <w:jc w:val="right"/>
              <w:ind w:right="140"/>
              <w:spacing w:after="0"/>
              <w:rPr>
                <w:sz w:val="20"/>
                <w:szCs w:val="20"/>
                <w:color w:val="auto"/>
              </w:rPr>
            </w:pPr>
            <w:r>
              <w:rPr>
                <w:rFonts w:ascii="Arial" w:cs="Arial" w:eastAsia="Arial" w:hAnsi="Arial"/>
                <w:sz w:val="16"/>
                <w:szCs w:val="16"/>
                <w:color w:val="auto"/>
              </w:rPr>
              <w:t>114</w:t>
            </w:r>
          </w:p>
        </w:tc>
        <w:tc>
          <w:tcPr>
            <w:tcW w:w="0" w:type="dxa"/>
            <w:vAlign w:val="bottom"/>
          </w:tcPr>
          <w:p>
            <w:pPr>
              <w:spacing w:after="0"/>
              <w:rPr>
                <w:sz w:val="1"/>
                <w:szCs w:val="1"/>
                <w:color w:val="auto"/>
              </w:rPr>
            </w:pPr>
          </w:p>
        </w:tc>
      </w:tr>
      <w:tr>
        <w:trPr>
          <w:trHeight w:val="216"/>
        </w:trPr>
        <w:tc>
          <w:tcPr>
            <w:tcW w:w="4280" w:type="dxa"/>
            <w:vAlign w:val="bottom"/>
          </w:tcPr>
          <w:p>
            <w:pPr>
              <w:ind w:left="20"/>
              <w:spacing w:after="0"/>
              <w:rPr>
                <w:sz w:val="20"/>
                <w:szCs w:val="20"/>
                <w:color w:val="auto"/>
              </w:rPr>
            </w:pPr>
            <w:r>
              <w:rPr>
                <w:rFonts w:ascii="Arial" w:cs="Arial" w:eastAsia="Arial" w:hAnsi="Arial"/>
                <w:sz w:val="16"/>
                <w:szCs w:val="16"/>
                <w:color w:val="auto"/>
              </w:rPr>
              <w:t>Equity earnings:</w:t>
            </w: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tcPr>
          <w:p>
            <w:pPr>
              <w:ind w:left="180"/>
              <w:spacing w:after="0"/>
              <w:rPr>
                <w:sz w:val="20"/>
                <w:szCs w:val="20"/>
                <w:color w:val="auto"/>
              </w:rPr>
            </w:pPr>
            <w:r>
              <w:rPr>
                <w:rFonts w:ascii="Arial" w:cs="Arial" w:eastAsia="Arial" w:hAnsi="Arial"/>
                <w:sz w:val="16"/>
                <w:szCs w:val="16"/>
                <w:color w:val="auto"/>
              </w:rPr>
              <w:t>RBS Sempra Commodities LLP</w:t>
            </w:r>
          </w:p>
        </w:tc>
        <w:tc>
          <w:tcPr>
            <w:tcW w:w="200" w:type="dxa"/>
            <w:vAlign w:val="bottom"/>
          </w:tcPr>
          <w:p>
            <w:pPr>
              <w:spacing w:after="0"/>
              <w:rPr>
                <w:sz w:val="18"/>
                <w:szCs w:val="18"/>
                <w:color w:val="auto"/>
              </w:rPr>
            </w:pPr>
          </w:p>
        </w:tc>
        <w:tc>
          <w:tcPr>
            <w:tcW w:w="780" w:type="dxa"/>
            <w:vAlign w:val="bottom"/>
          </w:tcPr>
          <w:p>
            <w:pPr>
              <w:jc w:val="right"/>
              <w:ind w:right="120"/>
              <w:spacing w:after="0"/>
              <w:rPr>
                <w:sz w:val="20"/>
                <w:szCs w:val="20"/>
                <w:color w:val="auto"/>
              </w:rPr>
            </w:pPr>
            <w:r>
              <w:rPr>
                <w:rFonts w:ascii="Arial" w:cs="Arial" w:eastAsia="Arial" w:hAnsi="Arial"/>
                <w:sz w:val="16"/>
                <w:szCs w:val="16"/>
                <w:color w:val="auto"/>
              </w:rPr>
              <w:t>383</w:t>
            </w:r>
          </w:p>
        </w:tc>
        <w:tc>
          <w:tcPr>
            <w:tcW w:w="180" w:type="dxa"/>
            <w:vAlign w:val="bottom"/>
          </w:tcPr>
          <w:p>
            <w:pPr>
              <w:spacing w:after="0"/>
              <w:rPr>
                <w:sz w:val="18"/>
                <w:szCs w:val="18"/>
                <w:color w:val="auto"/>
              </w:rPr>
            </w:pPr>
          </w:p>
        </w:tc>
        <w:tc>
          <w:tcPr>
            <w:tcW w:w="880" w:type="dxa"/>
            <w:vAlign w:val="bottom"/>
          </w:tcPr>
          <w:p>
            <w:pPr>
              <w:jc w:val="right"/>
              <w:ind w:right="200"/>
              <w:spacing w:after="0"/>
              <w:rPr>
                <w:sz w:val="20"/>
                <w:szCs w:val="20"/>
                <w:color w:val="auto"/>
              </w:rPr>
            </w:pPr>
            <w:r>
              <w:rPr>
                <w:rFonts w:ascii="Arial" w:cs="Arial" w:eastAsia="Arial" w:hAnsi="Arial"/>
                <w:sz w:val="16"/>
                <w:szCs w:val="16"/>
                <w:color w:val="auto"/>
              </w:rPr>
              <w:t>--</w:t>
            </w:r>
          </w:p>
        </w:tc>
        <w:tc>
          <w:tcPr>
            <w:tcW w:w="520" w:type="dxa"/>
            <w:vAlign w:val="bottom"/>
          </w:tcPr>
          <w:p>
            <w:pPr>
              <w:spacing w:after="0"/>
              <w:rPr>
                <w:sz w:val="18"/>
                <w:szCs w:val="18"/>
                <w:color w:val="auto"/>
              </w:rPr>
            </w:pPr>
          </w:p>
        </w:tc>
        <w:tc>
          <w:tcPr>
            <w:tcW w:w="600" w:type="dxa"/>
            <w:vAlign w:val="bottom"/>
          </w:tcPr>
          <w:p>
            <w:pPr>
              <w:jc w:val="right"/>
              <w:ind w:right="120"/>
              <w:spacing w:after="0"/>
              <w:rPr>
                <w:sz w:val="20"/>
                <w:szCs w:val="20"/>
                <w:color w:val="auto"/>
              </w:rPr>
            </w:pPr>
            <w:r>
              <w:rPr>
                <w:rFonts w:ascii="Arial" w:cs="Arial" w:eastAsia="Arial" w:hAnsi="Arial"/>
                <w:sz w:val="16"/>
                <w:szCs w:val="16"/>
                <w:color w:val="auto"/>
              </w:rPr>
              <w:t>45</w:t>
            </w:r>
          </w:p>
        </w:tc>
        <w:tc>
          <w:tcPr>
            <w:tcW w:w="220" w:type="dxa"/>
            <w:vAlign w:val="bottom"/>
          </w:tcPr>
          <w:p>
            <w:pPr>
              <w:spacing w:after="0"/>
              <w:rPr>
                <w:sz w:val="18"/>
                <w:szCs w:val="18"/>
                <w:color w:val="auto"/>
              </w:rPr>
            </w:pPr>
          </w:p>
        </w:tc>
        <w:tc>
          <w:tcPr>
            <w:tcW w:w="800" w:type="dxa"/>
            <w:vAlign w:val="bottom"/>
          </w:tcPr>
          <w:p>
            <w:pPr>
              <w:jc w:val="right"/>
              <w:ind w:right="140"/>
              <w:spacing w:after="0"/>
              <w:rPr>
                <w:sz w:val="20"/>
                <w:szCs w:val="20"/>
                <w:color w:val="auto"/>
              </w:rPr>
            </w:pPr>
            <w:r>
              <w:rPr>
                <w:rFonts w:ascii="Arial" w:cs="Arial" w:eastAsia="Arial" w:hAnsi="Arial"/>
                <w:sz w:val="16"/>
                <w:szCs w:val="16"/>
                <w:color w:val="auto"/>
              </w:rPr>
              <w:t>428</w:t>
            </w:r>
          </w:p>
        </w:tc>
        <w:tc>
          <w:tcPr>
            <w:tcW w:w="0" w:type="dxa"/>
            <w:vAlign w:val="bottom"/>
          </w:tcPr>
          <w:p>
            <w:pPr>
              <w:spacing w:after="0"/>
              <w:rPr>
                <w:sz w:val="1"/>
                <w:szCs w:val="1"/>
                <w:color w:val="auto"/>
              </w:rPr>
            </w:pPr>
          </w:p>
        </w:tc>
      </w:tr>
      <w:tr>
        <w:trPr>
          <w:trHeight w:val="216"/>
        </w:trPr>
        <w:tc>
          <w:tcPr>
            <w:tcW w:w="4280" w:type="dxa"/>
            <w:vAlign w:val="bottom"/>
          </w:tcPr>
          <w:p>
            <w:pPr>
              <w:ind w:left="180"/>
              <w:spacing w:after="0"/>
              <w:rPr>
                <w:sz w:val="20"/>
                <w:szCs w:val="20"/>
                <w:color w:val="auto"/>
              </w:rPr>
            </w:pPr>
            <w:r>
              <w:rPr>
                <w:rFonts w:ascii="Arial" w:cs="Arial" w:eastAsia="Arial" w:hAnsi="Arial"/>
                <w:sz w:val="16"/>
                <w:szCs w:val="16"/>
                <w:color w:val="auto"/>
              </w:rPr>
              <w:t>Other</w:t>
            </w:r>
          </w:p>
        </w:tc>
        <w:tc>
          <w:tcPr>
            <w:tcW w:w="200" w:type="dxa"/>
            <w:vAlign w:val="bottom"/>
          </w:tcPr>
          <w:p>
            <w:pPr>
              <w:spacing w:after="0"/>
              <w:rPr>
                <w:sz w:val="18"/>
                <w:szCs w:val="18"/>
                <w:color w:val="auto"/>
              </w:rPr>
            </w:pPr>
          </w:p>
        </w:tc>
        <w:tc>
          <w:tcPr>
            <w:tcW w:w="780" w:type="dxa"/>
            <w:vAlign w:val="bottom"/>
          </w:tcPr>
          <w:p>
            <w:pPr>
              <w:jc w:val="right"/>
              <w:ind w:right="120"/>
              <w:spacing w:after="0"/>
              <w:rPr>
                <w:sz w:val="20"/>
                <w:szCs w:val="20"/>
                <w:color w:val="auto"/>
              </w:rPr>
            </w:pPr>
            <w:r>
              <w:rPr>
                <w:rFonts w:ascii="Arial" w:cs="Arial" w:eastAsia="Arial" w:hAnsi="Arial"/>
                <w:sz w:val="16"/>
                <w:szCs w:val="16"/>
                <w:color w:val="auto"/>
              </w:rPr>
              <w:t>37</w:t>
            </w:r>
          </w:p>
        </w:tc>
        <w:tc>
          <w:tcPr>
            <w:tcW w:w="180" w:type="dxa"/>
            <w:vAlign w:val="bottom"/>
          </w:tcPr>
          <w:p>
            <w:pPr>
              <w:spacing w:after="0"/>
              <w:rPr>
                <w:sz w:val="18"/>
                <w:szCs w:val="18"/>
                <w:color w:val="auto"/>
              </w:rPr>
            </w:pPr>
          </w:p>
        </w:tc>
        <w:tc>
          <w:tcPr>
            <w:tcW w:w="880" w:type="dxa"/>
            <w:vAlign w:val="bottom"/>
          </w:tcPr>
          <w:p>
            <w:pPr>
              <w:jc w:val="right"/>
              <w:ind w:right="200"/>
              <w:spacing w:after="0"/>
              <w:rPr>
                <w:sz w:val="20"/>
                <w:szCs w:val="20"/>
                <w:color w:val="auto"/>
              </w:rPr>
            </w:pPr>
            <w:r>
              <w:rPr>
                <w:rFonts w:ascii="Arial" w:cs="Arial" w:eastAsia="Arial" w:hAnsi="Arial"/>
                <w:sz w:val="16"/>
                <w:szCs w:val="16"/>
                <w:color w:val="auto"/>
              </w:rPr>
              <w:t>--</w:t>
            </w:r>
          </w:p>
        </w:tc>
        <w:tc>
          <w:tcPr>
            <w:tcW w:w="520" w:type="dxa"/>
            <w:vAlign w:val="bottom"/>
          </w:tcPr>
          <w:p>
            <w:pPr>
              <w:spacing w:after="0"/>
              <w:rPr>
                <w:sz w:val="18"/>
                <w:szCs w:val="18"/>
                <w:color w:val="auto"/>
              </w:rPr>
            </w:pPr>
          </w:p>
        </w:tc>
        <w:tc>
          <w:tcPr>
            <w:tcW w:w="600" w:type="dxa"/>
            <w:vAlign w:val="bottom"/>
          </w:tcPr>
          <w:p>
            <w:pPr>
              <w:jc w:val="right"/>
              <w:ind w:right="1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800" w:type="dxa"/>
            <w:vAlign w:val="bottom"/>
          </w:tcPr>
          <w:p>
            <w:pPr>
              <w:jc w:val="right"/>
              <w:ind w:right="140"/>
              <w:spacing w:after="0"/>
              <w:rPr>
                <w:sz w:val="20"/>
                <w:szCs w:val="20"/>
                <w:color w:val="auto"/>
              </w:rPr>
            </w:pPr>
            <w:r>
              <w:rPr>
                <w:rFonts w:ascii="Arial" w:cs="Arial" w:eastAsia="Arial" w:hAnsi="Arial"/>
                <w:sz w:val="16"/>
                <w:szCs w:val="16"/>
                <w:color w:val="auto"/>
              </w:rPr>
              <w:t>37</w:t>
            </w:r>
          </w:p>
        </w:tc>
        <w:tc>
          <w:tcPr>
            <w:tcW w:w="0" w:type="dxa"/>
            <w:vAlign w:val="bottom"/>
          </w:tcPr>
          <w:p>
            <w:pPr>
              <w:spacing w:after="0"/>
              <w:rPr>
                <w:sz w:val="1"/>
                <w:szCs w:val="1"/>
                <w:color w:val="auto"/>
              </w:rPr>
            </w:pPr>
          </w:p>
        </w:tc>
      </w:tr>
      <w:tr>
        <w:trPr>
          <w:trHeight w:val="216"/>
        </w:trPr>
        <w:tc>
          <w:tcPr>
            <w:tcW w:w="4280" w:type="dxa"/>
            <w:vAlign w:val="bottom"/>
          </w:tcPr>
          <w:p>
            <w:pPr>
              <w:ind w:left="20"/>
              <w:spacing w:after="0"/>
              <w:rPr>
                <w:sz w:val="20"/>
                <w:szCs w:val="20"/>
                <w:color w:val="auto"/>
              </w:rPr>
            </w:pPr>
            <w:r>
              <w:rPr>
                <w:rFonts w:ascii="Arial" w:cs="Arial" w:eastAsia="Arial" w:hAnsi="Arial"/>
                <w:sz w:val="16"/>
                <w:szCs w:val="16"/>
                <w:color w:val="auto"/>
              </w:rPr>
              <w:t>Other expense, net</w:t>
            </w:r>
          </w:p>
        </w:tc>
        <w:tc>
          <w:tcPr>
            <w:tcW w:w="200" w:type="dxa"/>
            <w:vAlign w:val="bottom"/>
          </w:tcPr>
          <w:p>
            <w:pPr>
              <w:spacing w:after="0"/>
              <w:rPr>
                <w:sz w:val="18"/>
                <w:szCs w:val="18"/>
                <w:color w:val="auto"/>
              </w:rPr>
            </w:pPr>
          </w:p>
        </w:tc>
        <w:tc>
          <w:tcPr>
            <w:tcW w:w="780" w:type="dxa"/>
            <w:vAlign w:val="bottom"/>
          </w:tcPr>
          <w:p>
            <w:pPr>
              <w:jc w:val="right"/>
              <w:ind w:right="60"/>
              <w:spacing w:after="0"/>
              <w:rPr>
                <w:sz w:val="20"/>
                <w:szCs w:val="20"/>
                <w:color w:val="auto"/>
              </w:rPr>
            </w:pPr>
            <w:r>
              <w:rPr>
                <w:rFonts w:ascii="Arial" w:cs="Arial" w:eastAsia="Arial" w:hAnsi="Arial"/>
                <w:sz w:val="16"/>
                <w:szCs w:val="16"/>
                <w:color w:val="auto"/>
              </w:rPr>
              <w:t>(54 )</w:t>
            </w:r>
          </w:p>
        </w:tc>
        <w:tc>
          <w:tcPr>
            <w:tcW w:w="180" w:type="dxa"/>
            <w:vAlign w:val="bottom"/>
          </w:tcPr>
          <w:p>
            <w:pPr>
              <w:spacing w:after="0"/>
              <w:rPr>
                <w:sz w:val="18"/>
                <w:szCs w:val="18"/>
                <w:color w:val="auto"/>
              </w:rPr>
            </w:pPr>
          </w:p>
        </w:tc>
        <w:tc>
          <w:tcPr>
            <w:tcW w:w="880" w:type="dxa"/>
            <w:vAlign w:val="bottom"/>
          </w:tcPr>
          <w:p>
            <w:pPr>
              <w:jc w:val="right"/>
              <w:ind w:right="200"/>
              <w:spacing w:after="0"/>
              <w:rPr>
                <w:sz w:val="20"/>
                <w:szCs w:val="20"/>
                <w:color w:val="auto"/>
              </w:rPr>
            </w:pPr>
            <w:r>
              <w:rPr>
                <w:rFonts w:ascii="Arial" w:cs="Arial" w:eastAsia="Arial" w:hAnsi="Arial"/>
                <w:sz w:val="16"/>
                <w:szCs w:val="16"/>
                <w:color w:val="auto"/>
              </w:rPr>
              <w:t>--</w:t>
            </w:r>
          </w:p>
        </w:tc>
        <w:tc>
          <w:tcPr>
            <w:tcW w:w="520" w:type="dxa"/>
            <w:vAlign w:val="bottom"/>
          </w:tcPr>
          <w:p>
            <w:pPr>
              <w:spacing w:after="0"/>
              <w:rPr>
                <w:sz w:val="18"/>
                <w:szCs w:val="18"/>
                <w:color w:val="auto"/>
              </w:rPr>
            </w:pPr>
          </w:p>
        </w:tc>
        <w:tc>
          <w:tcPr>
            <w:tcW w:w="600" w:type="dxa"/>
            <w:vAlign w:val="bottom"/>
          </w:tcPr>
          <w:p>
            <w:pPr>
              <w:jc w:val="right"/>
              <w:ind w:right="1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800" w:type="dxa"/>
            <w:vAlign w:val="bottom"/>
          </w:tcPr>
          <w:p>
            <w:pPr>
              <w:jc w:val="right"/>
              <w:ind w:right="60"/>
              <w:spacing w:after="0"/>
              <w:rPr>
                <w:sz w:val="20"/>
                <w:szCs w:val="20"/>
                <w:color w:val="auto"/>
              </w:rPr>
            </w:pPr>
            <w:r>
              <w:rPr>
                <w:rFonts w:ascii="Arial" w:cs="Arial" w:eastAsia="Arial" w:hAnsi="Arial"/>
                <w:sz w:val="16"/>
                <w:szCs w:val="16"/>
                <w:color w:val="auto"/>
              </w:rPr>
              <w:t>(54 )</w:t>
            </w:r>
          </w:p>
        </w:tc>
        <w:tc>
          <w:tcPr>
            <w:tcW w:w="0" w:type="dxa"/>
            <w:vAlign w:val="bottom"/>
          </w:tcPr>
          <w:p>
            <w:pPr>
              <w:spacing w:after="0"/>
              <w:rPr>
                <w:sz w:val="1"/>
                <w:szCs w:val="1"/>
                <w:color w:val="auto"/>
              </w:rPr>
            </w:pPr>
          </w:p>
        </w:tc>
      </w:tr>
      <w:tr>
        <w:trPr>
          <w:trHeight w:val="216"/>
        </w:trPr>
        <w:tc>
          <w:tcPr>
            <w:tcW w:w="4280" w:type="dxa"/>
            <w:vAlign w:val="bottom"/>
          </w:tcPr>
          <w:p>
            <w:pPr>
              <w:ind w:left="20"/>
              <w:spacing w:after="0"/>
              <w:rPr>
                <w:sz w:val="20"/>
                <w:szCs w:val="20"/>
                <w:color w:val="auto"/>
              </w:rPr>
            </w:pPr>
            <w:r>
              <w:rPr>
                <w:rFonts w:ascii="Arial" w:cs="Arial" w:eastAsia="Arial" w:hAnsi="Arial"/>
                <w:sz w:val="16"/>
                <w:szCs w:val="16"/>
                <w:color w:val="auto"/>
              </w:rPr>
              <w:t>Interest income</w:t>
            </w:r>
          </w:p>
        </w:tc>
        <w:tc>
          <w:tcPr>
            <w:tcW w:w="200" w:type="dxa"/>
            <w:vAlign w:val="bottom"/>
          </w:tcPr>
          <w:p>
            <w:pPr>
              <w:spacing w:after="0"/>
              <w:rPr>
                <w:sz w:val="18"/>
                <w:szCs w:val="18"/>
                <w:color w:val="auto"/>
              </w:rPr>
            </w:pPr>
          </w:p>
        </w:tc>
        <w:tc>
          <w:tcPr>
            <w:tcW w:w="780" w:type="dxa"/>
            <w:vAlign w:val="bottom"/>
          </w:tcPr>
          <w:p>
            <w:pPr>
              <w:jc w:val="right"/>
              <w:ind w:right="120"/>
              <w:spacing w:after="0"/>
              <w:rPr>
                <w:sz w:val="20"/>
                <w:szCs w:val="20"/>
                <w:color w:val="auto"/>
              </w:rPr>
            </w:pPr>
            <w:r>
              <w:rPr>
                <w:rFonts w:ascii="Arial" w:cs="Arial" w:eastAsia="Arial" w:hAnsi="Arial"/>
                <w:sz w:val="16"/>
                <w:szCs w:val="16"/>
                <w:color w:val="auto"/>
              </w:rPr>
              <w:t>45</w:t>
            </w:r>
          </w:p>
        </w:tc>
        <w:tc>
          <w:tcPr>
            <w:tcW w:w="180" w:type="dxa"/>
            <w:vAlign w:val="bottom"/>
          </w:tcPr>
          <w:p>
            <w:pPr>
              <w:spacing w:after="0"/>
              <w:rPr>
                <w:sz w:val="18"/>
                <w:szCs w:val="18"/>
                <w:color w:val="auto"/>
              </w:rPr>
            </w:pPr>
          </w:p>
        </w:tc>
        <w:tc>
          <w:tcPr>
            <w:tcW w:w="880" w:type="dxa"/>
            <w:vAlign w:val="bottom"/>
          </w:tcPr>
          <w:p>
            <w:pPr>
              <w:jc w:val="right"/>
              <w:ind w:right="120"/>
              <w:spacing w:after="0"/>
              <w:rPr>
                <w:sz w:val="20"/>
                <w:szCs w:val="20"/>
                <w:color w:val="auto"/>
              </w:rPr>
            </w:pPr>
            <w:r>
              <w:rPr>
                <w:rFonts w:ascii="Arial" w:cs="Arial" w:eastAsia="Arial" w:hAnsi="Arial"/>
                <w:sz w:val="16"/>
                <w:szCs w:val="16"/>
                <w:color w:val="auto"/>
              </w:rPr>
              <w:t>(5 )</w:t>
            </w:r>
          </w:p>
        </w:tc>
        <w:tc>
          <w:tcPr>
            <w:tcW w:w="520" w:type="dxa"/>
            <w:vAlign w:val="bottom"/>
          </w:tcPr>
          <w:p>
            <w:pPr>
              <w:spacing w:after="0"/>
              <w:rPr>
                <w:sz w:val="18"/>
                <w:szCs w:val="18"/>
                <w:color w:val="auto"/>
              </w:rPr>
            </w:pPr>
          </w:p>
        </w:tc>
        <w:tc>
          <w:tcPr>
            <w:tcW w:w="600" w:type="dxa"/>
            <w:vAlign w:val="bottom"/>
          </w:tcPr>
          <w:p>
            <w:pPr>
              <w:jc w:val="right"/>
              <w:ind w:right="1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800" w:type="dxa"/>
            <w:vAlign w:val="bottom"/>
          </w:tcPr>
          <w:p>
            <w:pPr>
              <w:jc w:val="right"/>
              <w:ind w:right="140"/>
              <w:spacing w:after="0"/>
              <w:rPr>
                <w:sz w:val="20"/>
                <w:szCs w:val="20"/>
                <w:color w:val="auto"/>
              </w:rPr>
            </w:pPr>
            <w:r>
              <w:rPr>
                <w:rFonts w:ascii="Arial" w:cs="Arial" w:eastAsia="Arial" w:hAnsi="Arial"/>
                <w:sz w:val="16"/>
                <w:szCs w:val="16"/>
                <w:color w:val="auto"/>
              </w:rPr>
              <w:t>40</w:t>
            </w:r>
          </w:p>
        </w:tc>
        <w:tc>
          <w:tcPr>
            <w:tcW w:w="0" w:type="dxa"/>
            <w:vAlign w:val="bottom"/>
          </w:tcPr>
          <w:p>
            <w:pPr>
              <w:spacing w:after="0"/>
              <w:rPr>
                <w:sz w:val="1"/>
                <w:szCs w:val="1"/>
                <w:color w:val="auto"/>
              </w:rPr>
            </w:pPr>
          </w:p>
        </w:tc>
      </w:tr>
      <w:tr>
        <w:trPr>
          <w:trHeight w:val="216"/>
        </w:trPr>
        <w:tc>
          <w:tcPr>
            <w:tcW w:w="4280" w:type="dxa"/>
            <w:vAlign w:val="bottom"/>
          </w:tcPr>
          <w:p>
            <w:pPr>
              <w:ind w:left="20"/>
              <w:spacing w:after="0"/>
              <w:rPr>
                <w:sz w:val="20"/>
                <w:szCs w:val="20"/>
                <w:color w:val="auto"/>
              </w:rPr>
            </w:pPr>
            <w:r>
              <w:rPr>
                <w:rFonts w:ascii="Arial" w:cs="Arial" w:eastAsia="Arial" w:hAnsi="Arial"/>
                <w:sz w:val="16"/>
                <w:szCs w:val="16"/>
                <w:color w:val="auto"/>
              </w:rPr>
              <w:t>Interest expense</w:t>
            </w:r>
          </w:p>
        </w:tc>
        <w:tc>
          <w:tcPr>
            <w:tcW w:w="200" w:type="dxa"/>
            <w:vAlign w:val="bottom"/>
          </w:tcPr>
          <w:p>
            <w:pPr>
              <w:spacing w:after="0"/>
              <w:rPr>
                <w:sz w:val="18"/>
                <w:szCs w:val="18"/>
                <w:color w:val="auto"/>
              </w:rPr>
            </w:pPr>
          </w:p>
        </w:tc>
        <w:tc>
          <w:tcPr>
            <w:tcW w:w="780" w:type="dxa"/>
            <w:vAlign w:val="bottom"/>
          </w:tcPr>
          <w:p>
            <w:pPr>
              <w:jc w:val="right"/>
              <w:ind w:right="60"/>
              <w:spacing w:after="0"/>
              <w:rPr>
                <w:sz w:val="20"/>
                <w:szCs w:val="20"/>
                <w:color w:val="auto"/>
              </w:rPr>
            </w:pPr>
            <w:r>
              <w:rPr>
                <w:rFonts w:ascii="Arial" w:cs="Arial" w:eastAsia="Arial" w:hAnsi="Arial"/>
                <w:sz w:val="16"/>
                <w:szCs w:val="16"/>
                <w:color w:val="auto"/>
              </w:rPr>
              <w:t>(253 )</w:t>
            </w:r>
          </w:p>
        </w:tc>
        <w:tc>
          <w:tcPr>
            <w:tcW w:w="180" w:type="dxa"/>
            <w:vAlign w:val="bottom"/>
          </w:tcPr>
          <w:p>
            <w:pPr>
              <w:spacing w:after="0"/>
              <w:rPr>
                <w:sz w:val="18"/>
                <w:szCs w:val="18"/>
                <w:color w:val="auto"/>
              </w:rPr>
            </w:pPr>
          </w:p>
        </w:tc>
        <w:tc>
          <w:tcPr>
            <w:tcW w:w="880" w:type="dxa"/>
            <w:vAlign w:val="bottom"/>
          </w:tcPr>
          <w:p>
            <w:pPr>
              <w:jc w:val="right"/>
              <w:ind w:right="200"/>
              <w:spacing w:after="0"/>
              <w:rPr>
                <w:sz w:val="20"/>
                <w:szCs w:val="20"/>
                <w:color w:val="auto"/>
              </w:rPr>
            </w:pPr>
            <w:r>
              <w:rPr>
                <w:rFonts w:ascii="Arial" w:cs="Arial" w:eastAsia="Arial" w:hAnsi="Arial"/>
                <w:sz w:val="16"/>
                <w:szCs w:val="16"/>
                <w:color w:val="auto"/>
              </w:rPr>
              <w:t>12</w:t>
            </w:r>
          </w:p>
        </w:tc>
        <w:tc>
          <w:tcPr>
            <w:tcW w:w="520" w:type="dxa"/>
            <w:vAlign w:val="bottom"/>
          </w:tcPr>
          <w:p>
            <w:pPr>
              <w:spacing w:after="0"/>
              <w:rPr>
                <w:sz w:val="18"/>
                <w:szCs w:val="18"/>
                <w:color w:val="auto"/>
              </w:rPr>
            </w:pPr>
          </w:p>
        </w:tc>
        <w:tc>
          <w:tcPr>
            <w:tcW w:w="600" w:type="dxa"/>
            <w:vAlign w:val="bottom"/>
          </w:tcPr>
          <w:p>
            <w:pPr>
              <w:jc w:val="right"/>
              <w:ind w:right="1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800" w:type="dxa"/>
            <w:vAlign w:val="bottom"/>
          </w:tcPr>
          <w:p>
            <w:pPr>
              <w:jc w:val="right"/>
              <w:ind w:right="60"/>
              <w:spacing w:after="0"/>
              <w:rPr>
                <w:sz w:val="20"/>
                <w:szCs w:val="20"/>
                <w:color w:val="auto"/>
              </w:rPr>
            </w:pPr>
            <w:r>
              <w:rPr>
                <w:rFonts w:ascii="Arial" w:cs="Arial" w:eastAsia="Arial" w:hAnsi="Arial"/>
                <w:sz w:val="16"/>
                <w:szCs w:val="16"/>
                <w:color w:val="auto"/>
              </w:rPr>
              <w:t>(241 )</w:t>
            </w:r>
          </w:p>
        </w:tc>
        <w:tc>
          <w:tcPr>
            <w:tcW w:w="0" w:type="dxa"/>
            <w:vAlign w:val="bottom"/>
          </w:tcPr>
          <w:p>
            <w:pPr>
              <w:spacing w:after="0"/>
              <w:rPr>
                <w:sz w:val="1"/>
                <w:szCs w:val="1"/>
                <w:color w:val="auto"/>
              </w:rPr>
            </w:pPr>
          </w:p>
        </w:tc>
      </w:tr>
      <w:tr>
        <w:trPr>
          <w:trHeight w:val="228"/>
        </w:trPr>
        <w:tc>
          <w:tcPr>
            <w:tcW w:w="4280" w:type="dxa"/>
            <w:vAlign w:val="bottom"/>
          </w:tcPr>
          <w:p>
            <w:pPr>
              <w:ind w:left="20"/>
              <w:spacing w:after="0"/>
              <w:rPr>
                <w:sz w:val="20"/>
                <w:szCs w:val="20"/>
                <w:color w:val="auto"/>
              </w:rPr>
            </w:pPr>
            <w:r>
              <w:rPr>
                <w:rFonts w:ascii="Arial" w:cs="Arial" w:eastAsia="Arial" w:hAnsi="Arial"/>
                <w:sz w:val="16"/>
                <w:szCs w:val="16"/>
                <w:color w:val="auto"/>
              </w:rPr>
              <w:t>Preferred dividends of subsidiaries</w:t>
            </w: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(10 )</w:t>
            </w:r>
          </w:p>
        </w:tc>
        <w:tc>
          <w:tcPr>
            <w:tcW w:w="1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00"/>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(10 )</w:t>
            </w:r>
          </w:p>
        </w:tc>
        <w:tc>
          <w:tcPr>
            <w:tcW w:w="0" w:type="dxa"/>
            <w:vAlign w:val="bottom"/>
          </w:tcPr>
          <w:p>
            <w:pPr>
              <w:spacing w:after="0"/>
              <w:rPr>
                <w:sz w:val="1"/>
                <w:szCs w:val="1"/>
                <w:color w:val="auto"/>
              </w:rPr>
            </w:pPr>
          </w:p>
        </w:tc>
      </w:tr>
      <w:tr>
        <w:trPr>
          <w:trHeight w:val="184"/>
        </w:trPr>
        <w:tc>
          <w:tcPr>
            <w:tcW w:w="4280" w:type="dxa"/>
            <w:vAlign w:val="bottom"/>
          </w:tcPr>
          <w:p>
            <w:pPr>
              <w:ind w:left="20"/>
              <w:spacing w:after="0"/>
              <w:rPr>
                <w:sz w:val="20"/>
                <w:szCs w:val="20"/>
                <w:color w:val="auto"/>
              </w:rPr>
            </w:pPr>
            <w:r>
              <w:rPr>
                <w:rFonts w:ascii="Arial" w:cs="Arial" w:eastAsia="Arial" w:hAnsi="Arial"/>
                <w:sz w:val="16"/>
                <w:szCs w:val="16"/>
                <w:color w:val="auto"/>
              </w:rPr>
              <w:t>Income from continuing operations before income taxes</w:t>
            </w: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4280" w:type="dxa"/>
            <w:vAlign w:val="bottom"/>
          </w:tcPr>
          <w:p>
            <w:pPr>
              <w:ind w:left="180"/>
              <w:spacing w:after="0"/>
              <w:rPr>
                <w:sz w:val="20"/>
                <w:szCs w:val="20"/>
                <w:color w:val="auto"/>
              </w:rPr>
            </w:pPr>
            <w:r>
              <w:rPr>
                <w:rFonts w:ascii="Arial" w:cs="Arial" w:eastAsia="Arial" w:hAnsi="Arial"/>
                <w:sz w:val="16"/>
                <w:szCs w:val="16"/>
                <w:color w:val="auto"/>
                <w:w w:val="99"/>
              </w:rPr>
              <w:t>and equity earnings of certain unconsolidated subsidiaries</w:t>
            </w:r>
          </w:p>
        </w:tc>
        <w:tc>
          <w:tcPr>
            <w:tcW w:w="200" w:type="dxa"/>
            <w:vAlign w:val="bottom"/>
          </w:tcPr>
          <w:p>
            <w:pPr>
              <w:spacing w:after="0"/>
              <w:rPr>
                <w:sz w:val="17"/>
                <w:szCs w:val="17"/>
                <w:color w:val="auto"/>
              </w:rPr>
            </w:pPr>
          </w:p>
        </w:tc>
        <w:tc>
          <w:tcPr>
            <w:tcW w:w="780" w:type="dxa"/>
            <w:vAlign w:val="bottom"/>
          </w:tcPr>
          <w:p>
            <w:pPr>
              <w:jc w:val="right"/>
              <w:ind w:right="120"/>
              <w:spacing w:after="0"/>
              <w:rPr>
                <w:sz w:val="20"/>
                <w:szCs w:val="20"/>
                <w:color w:val="auto"/>
              </w:rPr>
            </w:pPr>
            <w:r>
              <w:rPr>
                <w:rFonts w:ascii="Arial" w:cs="Arial" w:eastAsia="Arial" w:hAnsi="Arial"/>
                <w:sz w:val="16"/>
                <w:szCs w:val="16"/>
                <w:color w:val="auto"/>
              </w:rPr>
              <w:t>1,488</w:t>
            </w:r>
          </w:p>
        </w:tc>
        <w:tc>
          <w:tcPr>
            <w:tcW w:w="180" w:type="dxa"/>
            <w:vAlign w:val="bottom"/>
          </w:tcPr>
          <w:p>
            <w:pPr>
              <w:spacing w:after="0"/>
              <w:rPr>
                <w:sz w:val="17"/>
                <w:szCs w:val="17"/>
                <w:color w:val="auto"/>
              </w:rPr>
            </w:pPr>
          </w:p>
        </w:tc>
        <w:tc>
          <w:tcPr>
            <w:tcW w:w="880" w:type="dxa"/>
            <w:vAlign w:val="bottom"/>
          </w:tcPr>
          <w:p>
            <w:pPr>
              <w:jc w:val="right"/>
              <w:ind w:right="120"/>
              <w:spacing w:after="0"/>
              <w:rPr>
                <w:sz w:val="20"/>
                <w:szCs w:val="20"/>
                <w:color w:val="auto"/>
              </w:rPr>
            </w:pPr>
            <w:r>
              <w:rPr>
                <w:rFonts w:ascii="Arial" w:cs="Arial" w:eastAsia="Arial" w:hAnsi="Arial"/>
                <w:sz w:val="16"/>
                <w:szCs w:val="16"/>
                <w:color w:val="auto"/>
              </w:rPr>
              <w:t>(97 )</w:t>
            </w:r>
          </w:p>
        </w:tc>
        <w:tc>
          <w:tcPr>
            <w:tcW w:w="520" w:type="dxa"/>
            <w:vAlign w:val="bottom"/>
          </w:tcPr>
          <w:p>
            <w:pPr>
              <w:spacing w:after="0"/>
              <w:rPr>
                <w:sz w:val="17"/>
                <w:szCs w:val="17"/>
                <w:color w:val="auto"/>
              </w:rPr>
            </w:pPr>
          </w:p>
        </w:tc>
        <w:tc>
          <w:tcPr>
            <w:tcW w:w="600" w:type="dxa"/>
            <w:vAlign w:val="bottom"/>
          </w:tcPr>
          <w:p>
            <w:pPr>
              <w:jc w:val="right"/>
              <w:ind w:right="120"/>
              <w:spacing w:after="0"/>
              <w:rPr>
                <w:sz w:val="20"/>
                <w:szCs w:val="20"/>
                <w:color w:val="auto"/>
              </w:rPr>
            </w:pPr>
            <w:r>
              <w:rPr>
                <w:rFonts w:ascii="Arial" w:cs="Arial" w:eastAsia="Arial" w:hAnsi="Arial"/>
                <w:sz w:val="16"/>
                <w:szCs w:val="16"/>
                <w:color w:val="auto"/>
              </w:rPr>
              <w:t>45</w:t>
            </w:r>
          </w:p>
        </w:tc>
        <w:tc>
          <w:tcPr>
            <w:tcW w:w="220" w:type="dxa"/>
            <w:vAlign w:val="bottom"/>
          </w:tcPr>
          <w:p>
            <w:pPr>
              <w:spacing w:after="0"/>
              <w:rPr>
                <w:sz w:val="17"/>
                <w:szCs w:val="17"/>
                <w:color w:val="auto"/>
              </w:rPr>
            </w:pPr>
          </w:p>
        </w:tc>
        <w:tc>
          <w:tcPr>
            <w:tcW w:w="800" w:type="dxa"/>
            <w:vAlign w:val="bottom"/>
          </w:tcPr>
          <w:p>
            <w:pPr>
              <w:jc w:val="right"/>
              <w:ind w:right="140"/>
              <w:spacing w:after="0"/>
              <w:rPr>
                <w:sz w:val="20"/>
                <w:szCs w:val="20"/>
                <w:color w:val="auto"/>
              </w:rPr>
            </w:pPr>
            <w:r>
              <w:rPr>
                <w:rFonts w:ascii="Arial" w:cs="Arial" w:eastAsia="Arial" w:hAnsi="Arial"/>
                <w:sz w:val="16"/>
                <w:szCs w:val="16"/>
                <w:color w:val="auto"/>
              </w:rPr>
              <w:t>1,436</w:t>
            </w:r>
          </w:p>
        </w:tc>
        <w:tc>
          <w:tcPr>
            <w:tcW w:w="0" w:type="dxa"/>
            <w:vAlign w:val="bottom"/>
          </w:tcPr>
          <w:p>
            <w:pPr>
              <w:spacing w:after="0"/>
              <w:rPr>
                <w:sz w:val="1"/>
                <w:szCs w:val="1"/>
                <w:color w:val="auto"/>
              </w:rPr>
            </w:pPr>
          </w:p>
        </w:tc>
      </w:tr>
      <w:tr>
        <w:trPr>
          <w:trHeight w:val="216"/>
        </w:trPr>
        <w:tc>
          <w:tcPr>
            <w:tcW w:w="4280" w:type="dxa"/>
            <w:vAlign w:val="bottom"/>
          </w:tcPr>
          <w:p>
            <w:pPr>
              <w:ind w:left="20"/>
              <w:spacing w:after="0"/>
              <w:rPr>
                <w:sz w:val="20"/>
                <w:szCs w:val="20"/>
                <w:color w:val="auto"/>
              </w:rPr>
            </w:pPr>
            <w:r>
              <w:rPr>
                <w:rFonts w:ascii="Arial" w:cs="Arial" w:eastAsia="Arial" w:hAnsi="Arial"/>
                <w:sz w:val="16"/>
                <w:szCs w:val="16"/>
                <w:color w:val="auto"/>
              </w:rPr>
              <w:t>Income tax expense</w:t>
            </w:r>
          </w:p>
        </w:tc>
        <w:tc>
          <w:tcPr>
            <w:tcW w:w="200" w:type="dxa"/>
            <w:vAlign w:val="bottom"/>
          </w:tcPr>
          <w:p>
            <w:pPr>
              <w:spacing w:after="0"/>
              <w:rPr>
                <w:sz w:val="18"/>
                <w:szCs w:val="18"/>
                <w:color w:val="auto"/>
              </w:rPr>
            </w:pPr>
          </w:p>
        </w:tc>
        <w:tc>
          <w:tcPr>
            <w:tcW w:w="780" w:type="dxa"/>
            <w:vAlign w:val="bottom"/>
          </w:tcPr>
          <w:p>
            <w:pPr>
              <w:jc w:val="right"/>
              <w:ind w:right="60"/>
              <w:spacing w:after="0"/>
              <w:rPr>
                <w:sz w:val="20"/>
                <w:szCs w:val="20"/>
                <w:color w:val="auto"/>
              </w:rPr>
            </w:pPr>
            <w:r>
              <w:rPr>
                <w:rFonts w:ascii="Arial" w:cs="Arial" w:eastAsia="Arial" w:hAnsi="Arial"/>
                <w:sz w:val="16"/>
                <w:szCs w:val="16"/>
                <w:color w:val="auto"/>
              </w:rPr>
              <w:t>(438 )</w:t>
            </w:r>
          </w:p>
        </w:tc>
        <w:tc>
          <w:tcPr>
            <w:tcW w:w="180" w:type="dxa"/>
            <w:vAlign w:val="bottom"/>
          </w:tcPr>
          <w:p>
            <w:pPr>
              <w:spacing w:after="0"/>
              <w:rPr>
                <w:sz w:val="18"/>
                <w:szCs w:val="18"/>
                <w:color w:val="auto"/>
              </w:rPr>
            </w:pPr>
          </w:p>
        </w:tc>
        <w:tc>
          <w:tcPr>
            <w:tcW w:w="880" w:type="dxa"/>
            <w:vAlign w:val="bottom"/>
          </w:tcPr>
          <w:p>
            <w:pPr>
              <w:jc w:val="right"/>
              <w:ind w:right="200"/>
              <w:spacing w:after="0"/>
              <w:rPr>
                <w:sz w:val="20"/>
                <w:szCs w:val="20"/>
                <w:color w:val="auto"/>
              </w:rPr>
            </w:pPr>
            <w:r>
              <w:rPr>
                <w:rFonts w:ascii="Arial" w:cs="Arial" w:eastAsia="Arial" w:hAnsi="Arial"/>
                <w:sz w:val="16"/>
                <w:szCs w:val="16"/>
                <w:color w:val="auto"/>
              </w:rPr>
              <w:t>40</w:t>
            </w:r>
          </w:p>
        </w:tc>
        <w:tc>
          <w:tcPr>
            <w:tcW w:w="520" w:type="dxa"/>
            <w:vAlign w:val="bottom"/>
          </w:tcPr>
          <w:p>
            <w:pPr>
              <w:spacing w:after="0"/>
              <w:rPr>
                <w:sz w:val="18"/>
                <w:szCs w:val="18"/>
                <w:color w:val="auto"/>
              </w:rPr>
            </w:pPr>
          </w:p>
        </w:tc>
        <w:tc>
          <w:tcPr>
            <w:tcW w:w="600" w:type="dxa"/>
            <w:vAlign w:val="bottom"/>
          </w:tcPr>
          <w:p>
            <w:pPr>
              <w:jc w:val="right"/>
              <w:ind w:right="40"/>
              <w:spacing w:after="0"/>
              <w:rPr>
                <w:sz w:val="20"/>
                <w:szCs w:val="20"/>
                <w:color w:val="auto"/>
              </w:rPr>
            </w:pPr>
            <w:r>
              <w:rPr>
                <w:rFonts w:ascii="Arial" w:cs="Arial" w:eastAsia="Arial" w:hAnsi="Arial"/>
                <w:sz w:val="16"/>
                <w:szCs w:val="16"/>
                <w:color w:val="auto"/>
              </w:rPr>
              <w:t>(16 )</w:t>
            </w:r>
          </w:p>
        </w:tc>
        <w:tc>
          <w:tcPr>
            <w:tcW w:w="220" w:type="dxa"/>
            <w:vAlign w:val="bottom"/>
          </w:tcPr>
          <w:p>
            <w:pPr>
              <w:spacing w:after="0"/>
              <w:rPr>
                <w:sz w:val="18"/>
                <w:szCs w:val="18"/>
                <w:color w:val="auto"/>
              </w:rPr>
            </w:pPr>
          </w:p>
        </w:tc>
        <w:tc>
          <w:tcPr>
            <w:tcW w:w="800" w:type="dxa"/>
            <w:vAlign w:val="bottom"/>
          </w:tcPr>
          <w:p>
            <w:pPr>
              <w:jc w:val="right"/>
              <w:ind w:right="60"/>
              <w:spacing w:after="0"/>
              <w:rPr>
                <w:sz w:val="20"/>
                <w:szCs w:val="20"/>
                <w:color w:val="auto"/>
              </w:rPr>
            </w:pPr>
            <w:r>
              <w:rPr>
                <w:rFonts w:ascii="Arial" w:cs="Arial" w:eastAsia="Arial" w:hAnsi="Arial"/>
                <w:sz w:val="16"/>
                <w:szCs w:val="16"/>
                <w:color w:val="auto"/>
              </w:rPr>
              <w:t>(414 )</w:t>
            </w:r>
          </w:p>
        </w:tc>
        <w:tc>
          <w:tcPr>
            <w:tcW w:w="0" w:type="dxa"/>
            <w:vAlign w:val="bottom"/>
          </w:tcPr>
          <w:p>
            <w:pPr>
              <w:spacing w:after="0"/>
              <w:rPr>
                <w:sz w:val="1"/>
                <w:szCs w:val="1"/>
                <w:color w:val="auto"/>
              </w:rPr>
            </w:pPr>
          </w:p>
        </w:tc>
      </w:tr>
      <w:tr>
        <w:trPr>
          <w:trHeight w:val="228"/>
        </w:trPr>
        <w:tc>
          <w:tcPr>
            <w:tcW w:w="4280" w:type="dxa"/>
            <w:vAlign w:val="bottom"/>
          </w:tcPr>
          <w:p>
            <w:pPr>
              <w:ind w:left="20"/>
              <w:spacing w:after="0"/>
              <w:rPr>
                <w:sz w:val="20"/>
                <w:szCs w:val="20"/>
                <w:color w:val="auto"/>
              </w:rPr>
            </w:pPr>
            <w:r>
              <w:rPr>
                <w:rFonts w:ascii="Arial" w:cs="Arial" w:eastAsia="Arial" w:hAnsi="Arial"/>
                <w:sz w:val="16"/>
                <w:szCs w:val="16"/>
                <w:color w:val="auto"/>
              </w:rPr>
              <w:t>Equity earnings, net of income tax</w:t>
            </w: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63</w:t>
            </w:r>
          </w:p>
        </w:tc>
        <w:tc>
          <w:tcPr>
            <w:tcW w:w="1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(3 )</w:t>
            </w:r>
          </w:p>
        </w:tc>
        <w:tc>
          <w:tcPr>
            <w:tcW w:w="5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auto"/>
              </w:rPr>
              <w:t>60</w:t>
            </w:r>
          </w:p>
        </w:tc>
        <w:tc>
          <w:tcPr>
            <w:tcW w:w="0" w:type="dxa"/>
            <w:vAlign w:val="bottom"/>
          </w:tcPr>
          <w:p>
            <w:pPr>
              <w:spacing w:after="0"/>
              <w:rPr>
                <w:sz w:val="1"/>
                <w:szCs w:val="1"/>
                <w:color w:val="auto"/>
              </w:rPr>
            </w:pPr>
          </w:p>
        </w:tc>
      </w:tr>
      <w:tr>
        <w:trPr>
          <w:trHeight w:val="224"/>
        </w:trPr>
        <w:tc>
          <w:tcPr>
            <w:tcW w:w="4280" w:type="dxa"/>
            <w:vAlign w:val="bottom"/>
          </w:tcPr>
          <w:p>
            <w:pPr>
              <w:ind w:left="20"/>
              <w:spacing w:after="0"/>
              <w:rPr>
                <w:sz w:val="20"/>
                <w:szCs w:val="20"/>
                <w:color w:val="auto"/>
              </w:rPr>
            </w:pPr>
            <w:r>
              <w:rPr>
                <w:rFonts w:ascii="Arial" w:cs="Arial" w:eastAsia="Arial" w:hAnsi="Arial"/>
                <w:sz w:val="16"/>
                <w:szCs w:val="16"/>
                <w:color w:val="auto"/>
              </w:rPr>
              <w:t>Income from continuing operations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1,113</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(60 )</w:t>
            </w:r>
          </w:p>
        </w:tc>
        <w:tc>
          <w:tcPr>
            <w:tcW w:w="52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29</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auto"/>
              </w:rPr>
              <w:t>1,082</w:t>
            </w:r>
          </w:p>
        </w:tc>
        <w:tc>
          <w:tcPr>
            <w:tcW w:w="0" w:type="dxa"/>
            <w:vAlign w:val="bottom"/>
          </w:tcPr>
          <w:p>
            <w:pPr>
              <w:spacing w:after="0"/>
              <w:rPr>
                <w:sz w:val="1"/>
                <w:szCs w:val="1"/>
                <w:color w:val="auto"/>
              </w:rPr>
            </w:pPr>
          </w:p>
        </w:tc>
      </w:tr>
      <w:tr>
        <w:trPr>
          <w:trHeight w:val="264"/>
        </w:trPr>
        <w:tc>
          <w:tcPr>
            <w:tcW w:w="4280" w:type="dxa"/>
            <w:vAlign w:val="bottom"/>
          </w:tcPr>
          <w:p>
            <w:pPr>
              <w:ind w:left="20"/>
              <w:spacing w:after="0"/>
              <w:rPr>
                <w:sz w:val="20"/>
                <w:szCs w:val="20"/>
                <w:color w:val="auto"/>
              </w:rPr>
            </w:pPr>
            <w:r>
              <w:rPr>
                <w:rFonts w:ascii="Arial" w:cs="Arial" w:eastAsia="Arial" w:hAnsi="Arial"/>
                <w:sz w:val="16"/>
                <w:szCs w:val="16"/>
                <w:color w:val="auto"/>
              </w:rPr>
              <w:t>Basic earnings per share:</w:t>
            </w:r>
          </w:p>
        </w:tc>
        <w:tc>
          <w:tcPr>
            <w:tcW w:w="2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4"/>
        </w:trPr>
        <w:tc>
          <w:tcPr>
            <w:tcW w:w="4280" w:type="dxa"/>
            <w:vAlign w:val="bottom"/>
          </w:tcPr>
          <w:p>
            <w:pPr>
              <w:ind w:left="180"/>
              <w:spacing w:after="0"/>
              <w:rPr>
                <w:sz w:val="20"/>
                <w:szCs w:val="20"/>
                <w:color w:val="auto"/>
              </w:rPr>
            </w:pPr>
            <w:r>
              <w:rPr>
                <w:rFonts w:ascii="Arial" w:cs="Arial" w:eastAsia="Arial" w:hAnsi="Arial"/>
                <w:sz w:val="16"/>
                <w:szCs w:val="16"/>
                <w:color w:val="auto"/>
              </w:rPr>
              <w:t>Income from continuing operations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4.50</w:t>
            </w:r>
          </w:p>
        </w:tc>
        <w:tc>
          <w:tcPr>
            <w:tcW w:w="1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auto"/>
              </w:rPr>
              <w:t>4.37</w:t>
            </w:r>
          </w:p>
        </w:tc>
        <w:tc>
          <w:tcPr>
            <w:tcW w:w="0" w:type="dxa"/>
            <w:vAlign w:val="bottom"/>
          </w:tcPr>
          <w:p>
            <w:pPr>
              <w:spacing w:after="0"/>
              <w:rPr>
                <w:sz w:val="1"/>
                <w:szCs w:val="1"/>
                <w:color w:val="auto"/>
              </w:rPr>
            </w:pPr>
          </w:p>
        </w:tc>
      </w:tr>
      <w:tr>
        <w:trPr>
          <w:trHeight w:val="192"/>
        </w:trPr>
        <w:tc>
          <w:tcPr>
            <w:tcW w:w="4280" w:type="dxa"/>
            <w:vAlign w:val="bottom"/>
          </w:tcPr>
          <w:p>
            <w:pPr>
              <w:ind w:left="180"/>
              <w:spacing w:after="0"/>
              <w:rPr>
                <w:sz w:val="20"/>
                <w:szCs w:val="20"/>
                <w:color w:val="auto"/>
              </w:rPr>
            </w:pPr>
            <w:r>
              <w:rPr>
                <w:rFonts w:ascii="Arial" w:cs="Arial" w:eastAsia="Arial" w:hAnsi="Arial"/>
                <w:sz w:val="16"/>
                <w:szCs w:val="16"/>
                <w:color w:val="auto"/>
              </w:rPr>
              <w:t>Weighted-average number of shares outstanding</w:t>
            </w:r>
          </w:p>
        </w:tc>
        <w:tc>
          <w:tcPr>
            <w:tcW w:w="200" w:type="dxa"/>
            <w:vAlign w:val="bottom"/>
          </w:tcPr>
          <w:p>
            <w:pPr>
              <w:spacing w:after="0"/>
              <w:rPr>
                <w:sz w:val="16"/>
                <w:szCs w:val="16"/>
                <w:color w:val="auto"/>
              </w:rPr>
            </w:pPr>
          </w:p>
        </w:tc>
        <w:tc>
          <w:tcPr>
            <w:tcW w:w="780" w:type="dxa"/>
            <w:vAlign w:val="bottom"/>
            <w:vMerge w:val="restart"/>
          </w:tcPr>
          <w:p>
            <w:pPr>
              <w:jc w:val="right"/>
              <w:ind w:right="120"/>
              <w:spacing w:after="0"/>
              <w:rPr>
                <w:sz w:val="20"/>
                <w:szCs w:val="20"/>
                <w:color w:val="auto"/>
              </w:rPr>
            </w:pPr>
            <w:r>
              <w:rPr>
                <w:rFonts w:ascii="Arial" w:cs="Arial" w:eastAsia="Arial" w:hAnsi="Arial"/>
                <w:sz w:val="16"/>
                <w:szCs w:val="16"/>
                <w:color w:val="auto"/>
                <w:w w:val="96"/>
              </w:rPr>
              <w:t>247,387</w:t>
            </w: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vMerge w:val="restart"/>
          </w:tcPr>
          <w:p>
            <w:pPr>
              <w:jc w:val="right"/>
              <w:ind w:right="140"/>
              <w:spacing w:after="0"/>
              <w:rPr>
                <w:sz w:val="20"/>
                <w:szCs w:val="20"/>
                <w:color w:val="auto"/>
              </w:rPr>
            </w:pPr>
            <w:r>
              <w:rPr>
                <w:rFonts w:ascii="Arial" w:cs="Arial" w:eastAsia="Arial" w:hAnsi="Arial"/>
                <w:sz w:val="16"/>
                <w:szCs w:val="16"/>
                <w:color w:val="auto"/>
                <w:w w:val="96"/>
              </w:rPr>
              <w:t>247,387</w:t>
            </w:r>
          </w:p>
        </w:tc>
        <w:tc>
          <w:tcPr>
            <w:tcW w:w="0" w:type="dxa"/>
            <w:vAlign w:val="bottom"/>
          </w:tcPr>
          <w:p>
            <w:pPr>
              <w:spacing w:after="0"/>
              <w:rPr>
                <w:sz w:val="1"/>
                <w:szCs w:val="1"/>
                <w:color w:val="auto"/>
              </w:rPr>
            </w:pPr>
          </w:p>
        </w:tc>
      </w:tr>
      <w:tr>
        <w:trPr>
          <w:trHeight w:val="197"/>
        </w:trPr>
        <w:tc>
          <w:tcPr>
            <w:tcW w:w="4280" w:type="dxa"/>
            <w:vAlign w:val="bottom"/>
          </w:tcPr>
          <w:p>
            <w:pPr>
              <w:ind w:left="180"/>
              <w:spacing w:after="0" w:line="181" w:lineRule="exact"/>
              <w:rPr>
                <w:sz w:val="20"/>
                <w:szCs w:val="20"/>
                <w:color w:val="auto"/>
              </w:rPr>
            </w:pPr>
            <w:r>
              <w:rPr>
                <w:rFonts w:ascii="Arial" w:cs="Arial" w:eastAsia="Arial" w:hAnsi="Arial"/>
                <w:sz w:val="16"/>
                <w:szCs w:val="16"/>
                <w:color w:val="auto"/>
              </w:rPr>
              <w:t>(thousands)</w:t>
            </w:r>
          </w:p>
        </w:tc>
        <w:tc>
          <w:tcPr>
            <w:tcW w:w="2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vMerge w:val="continue"/>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4280" w:type="dxa"/>
            <w:vAlign w:val="bottom"/>
          </w:tcPr>
          <w:p>
            <w:pPr>
              <w:ind w:left="20"/>
              <w:spacing w:after="0"/>
              <w:rPr>
                <w:sz w:val="20"/>
                <w:szCs w:val="20"/>
                <w:color w:val="auto"/>
              </w:rPr>
            </w:pPr>
            <w:r>
              <w:rPr>
                <w:rFonts w:ascii="Arial" w:cs="Arial" w:eastAsia="Arial" w:hAnsi="Arial"/>
                <w:sz w:val="16"/>
                <w:szCs w:val="16"/>
                <w:color w:val="auto"/>
              </w:rPr>
              <w:t>Diluted earnings per share:</w:t>
            </w:r>
          </w:p>
        </w:tc>
        <w:tc>
          <w:tcPr>
            <w:tcW w:w="2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4"/>
        </w:trPr>
        <w:tc>
          <w:tcPr>
            <w:tcW w:w="4280" w:type="dxa"/>
            <w:vAlign w:val="bottom"/>
          </w:tcPr>
          <w:p>
            <w:pPr>
              <w:ind w:left="180"/>
              <w:spacing w:after="0"/>
              <w:rPr>
                <w:sz w:val="20"/>
                <w:szCs w:val="20"/>
                <w:color w:val="auto"/>
              </w:rPr>
            </w:pPr>
            <w:r>
              <w:rPr>
                <w:rFonts w:ascii="Arial" w:cs="Arial" w:eastAsia="Arial" w:hAnsi="Arial"/>
                <w:sz w:val="16"/>
                <w:szCs w:val="16"/>
                <w:color w:val="auto"/>
              </w:rPr>
              <w:t>Income from continuing operations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4.43</w:t>
            </w:r>
          </w:p>
        </w:tc>
        <w:tc>
          <w:tcPr>
            <w:tcW w:w="1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auto"/>
              </w:rPr>
              <w:t>4.31</w:t>
            </w:r>
          </w:p>
        </w:tc>
        <w:tc>
          <w:tcPr>
            <w:tcW w:w="0" w:type="dxa"/>
            <w:vAlign w:val="bottom"/>
          </w:tcPr>
          <w:p>
            <w:pPr>
              <w:spacing w:after="0"/>
              <w:rPr>
                <w:sz w:val="1"/>
                <w:szCs w:val="1"/>
                <w:color w:val="auto"/>
              </w:rPr>
            </w:pPr>
          </w:p>
        </w:tc>
      </w:tr>
      <w:tr>
        <w:trPr>
          <w:trHeight w:val="192"/>
        </w:trPr>
        <w:tc>
          <w:tcPr>
            <w:tcW w:w="4280" w:type="dxa"/>
            <w:vAlign w:val="bottom"/>
          </w:tcPr>
          <w:p>
            <w:pPr>
              <w:ind w:left="180"/>
              <w:spacing w:after="0"/>
              <w:rPr>
                <w:sz w:val="20"/>
                <w:szCs w:val="20"/>
                <w:color w:val="auto"/>
              </w:rPr>
            </w:pPr>
            <w:r>
              <w:rPr>
                <w:rFonts w:ascii="Arial" w:cs="Arial" w:eastAsia="Arial" w:hAnsi="Arial"/>
                <w:sz w:val="16"/>
                <w:szCs w:val="16"/>
                <w:color w:val="auto"/>
              </w:rPr>
              <w:t>Weighted-average number of shares outstanding</w:t>
            </w:r>
          </w:p>
        </w:tc>
        <w:tc>
          <w:tcPr>
            <w:tcW w:w="200" w:type="dxa"/>
            <w:vAlign w:val="bottom"/>
          </w:tcPr>
          <w:p>
            <w:pPr>
              <w:spacing w:after="0"/>
              <w:rPr>
                <w:sz w:val="16"/>
                <w:szCs w:val="16"/>
                <w:color w:val="auto"/>
              </w:rPr>
            </w:pPr>
          </w:p>
        </w:tc>
        <w:tc>
          <w:tcPr>
            <w:tcW w:w="780" w:type="dxa"/>
            <w:vAlign w:val="bottom"/>
            <w:vMerge w:val="restart"/>
          </w:tcPr>
          <w:p>
            <w:pPr>
              <w:jc w:val="right"/>
              <w:ind w:right="120"/>
              <w:spacing w:after="0"/>
              <w:rPr>
                <w:sz w:val="20"/>
                <w:szCs w:val="20"/>
                <w:color w:val="auto"/>
              </w:rPr>
            </w:pPr>
            <w:r>
              <w:rPr>
                <w:rFonts w:ascii="Arial" w:cs="Arial" w:eastAsia="Arial" w:hAnsi="Arial"/>
                <w:sz w:val="16"/>
                <w:szCs w:val="16"/>
                <w:color w:val="auto"/>
                <w:w w:val="96"/>
              </w:rPr>
              <w:t>251,159</w:t>
            </w: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vMerge w:val="restart"/>
          </w:tcPr>
          <w:p>
            <w:pPr>
              <w:jc w:val="right"/>
              <w:ind w:right="140"/>
              <w:spacing w:after="0"/>
              <w:rPr>
                <w:sz w:val="20"/>
                <w:szCs w:val="20"/>
                <w:color w:val="auto"/>
              </w:rPr>
            </w:pPr>
            <w:r>
              <w:rPr>
                <w:rFonts w:ascii="Arial" w:cs="Arial" w:eastAsia="Arial" w:hAnsi="Arial"/>
                <w:sz w:val="16"/>
                <w:szCs w:val="16"/>
                <w:color w:val="auto"/>
                <w:w w:val="96"/>
              </w:rPr>
              <w:t>251,159</w:t>
            </w:r>
          </w:p>
        </w:tc>
        <w:tc>
          <w:tcPr>
            <w:tcW w:w="0" w:type="dxa"/>
            <w:vAlign w:val="bottom"/>
          </w:tcPr>
          <w:p>
            <w:pPr>
              <w:spacing w:after="0"/>
              <w:rPr>
                <w:sz w:val="1"/>
                <w:szCs w:val="1"/>
                <w:color w:val="auto"/>
              </w:rPr>
            </w:pPr>
          </w:p>
        </w:tc>
      </w:tr>
      <w:tr>
        <w:trPr>
          <w:trHeight w:val="197"/>
        </w:trPr>
        <w:tc>
          <w:tcPr>
            <w:tcW w:w="4280" w:type="dxa"/>
            <w:vAlign w:val="bottom"/>
          </w:tcPr>
          <w:p>
            <w:pPr>
              <w:ind w:left="180"/>
              <w:spacing w:after="0" w:line="181" w:lineRule="exact"/>
              <w:rPr>
                <w:sz w:val="20"/>
                <w:szCs w:val="20"/>
                <w:color w:val="auto"/>
              </w:rPr>
            </w:pPr>
            <w:r>
              <w:rPr>
                <w:rFonts w:ascii="Arial" w:cs="Arial" w:eastAsia="Arial" w:hAnsi="Arial"/>
                <w:sz w:val="16"/>
                <w:szCs w:val="16"/>
                <w:color w:val="auto"/>
              </w:rPr>
              <w:t>(thousands) (5)</w:t>
            </w:r>
          </w:p>
        </w:tc>
        <w:tc>
          <w:tcPr>
            <w:tcW w:w="2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vMerge w:val="continue"/>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60" w:lineRule="exact"/>
        <w:rPr>
          <w:sz w:val="20"/>
          <w:szCs w:val="20"/>
          <w:color w:val="auto"/>
        </w:rPr>
      </w:pPr>
    </w:p>
    <w:p>
      <w:pPr>
        <w:ind w:left="300"/>
        <w:spacing w:after="0"/>
        <w:rPr>
          <w:sz w:val="20"/>
          <w:szCs w:val="20"/>
          <w:color w:val="auto"/>
        </w:rPr>
      </w:pPr>
      <w:r>
        <w:rPr>
          <w:rFonts w:ascii="Arial" w:cs="Arial" w:eastAsia="Arial" w:hAnsi="Arial"/>
          <w:sz w:val="16"/>
          <w:szCs w:val="16"/>
          <w:color w:val="auto"/>
        </w:rPr>
        <w:t>See Notes to Unaudited Pro Forma Condensed Statement of Consolidated Income.</w:t>
      </w:r>
    </w:p>
    <w:p>
      <w:pPr>
        <w:sectPr>
          <w:pgSz w:w="11900" w:h="16838" w:orient="portrait"/>
          <w:cols w:equalWidth="0" w:num="1">
            <w:col w:w="9019"/>
          </w:cols>
          <w:pgMar w:left="1440" w:top="740" w:right="1440" w:bottom="1440" w:gutter="0" w:footer="0" w:header="0"/>
        </w:sectPr>
      </w:pPr>
    </w:p>
    <w:bookmarkStart w:id="375" w:name="page376"/>
    <w:bookmarkEnd w:id="375"/>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376" w:name="page377"/>
    <w:bookmarkEnd w:id="376"/>
    <w:p>
      <w:pPr>
        <w:ind w:left="4"/>
        <w:spacing w:after="0"/>
        <w:rPr>
          <w:sz w:val="20"/>
          <w:szCs w:val="20"/>
          <w:color w:val="auto"/>
        </w:rPr>
      </w:pPr>
      <w:r>
        <w:rPr>
          <w:rFonts w:ascii="Arial" w:cs="Arial" w:eastAsia="Arial" w:hAnsi="Arial"/>
          <w:sz w:val="18"/>
          <w:szCs w:val="18"/>
          <w:b w:val="1"/>
          <w:bCs w:val="1"/>
          <w:color w:val="auto"/>
        </w:rPr>
        <w:t>Notes to Unaudited Pro Forma Condensed Statement of Consolidated Income</w:t>
      </w:r>
    </w:p>
    <w:p>
      <w:pPr>
        <w:spacing w:after="0" w:line="195" w:lineRule="exact"/>
        <w:rPr>
          <w:sz w:val="20"/>
          <w:szCs w:val="20"/>
          <w:color w:val="auto"/>
        </w:rPr>
      </w:pPr>
    </w:p>
    <w:p>
      <w:pPr>
        <w:ind w:left="284" w:hanging="284"/>
        <w:spacing w:after="0" w:line="255" w:lineRule="auto"/>
        <w:tabs>
          <w:tab w:leader="none" w:pos="284" w:val="left"/>
        </w:tabs>
        <w:numPr>
          <w:ilvl w:val="0"/>
          <w:numId w:val="429"/>
        </w:numPr>
        <w:rPr>
          <w:rFonts w:ascii="Arial" w:cs="Arial" w:eastAsia="Arial" w:hAnsi="Arial"/>
          <w:sz w:val="18"/>
          <w:szCs w:val="18"/>
          <w:color w:val="auto"/>
        </w:rPr>
      </w:pPr>
      <w:r>
        <w:rPr>
          <w:rFonts w:ascii="Arial" w:cs="Arial" w:eastAsia="Arial" w:hAnsi="Arial"/>
          <w:sz w:val="18"/>
          <w:szCs w:val="18"/>
          <w:color w:val="auto"/>
        </w:rPr>
        <w:t>Reflects the reversal of the historical results of operations for the three months ended March 31, 2008, for the company’s commodities-marketing businesses sold to the partnership.</w:t>
      </w:r>
    </w:p>
    <w:p>
      <w:pPr>
        <w:spacing w:after="0" w:line="148" w:lineRule="exact"/>
        <w:rPr>
          <w:rFonts w:ascii="Arial" w:cs="Arial" w:eastAsia="Arial" w:hAnsi="Arial"/>
          <w:sz w:val="18"/>
          <w:szCs w:val="18"/>
          <w:color w:val="auto"/>
        </w:rPr>
      </w:pPr>
    </w:p>
    <w:p>
      <w:pPr>
        <w:ind w:left="284" w:right="60" w:hanging="284"/>
        <w:spacing w:after="0" w:line="246" w:lineRule="auto"/>
        <w:tabs>
          <w:tab w:leader="none" w:pos="284" w:val="left"/>
        </w:tabs>
        <w:numPr>
          <w:ilvl w:val="0"/>
          <w:numId w:val="429"/>
        </w:numPr>
        <w:rPr>
          <w:rFonts w:ascii="Arial" w:cs="Arial" w:eastAsia="Arial" w:hAnsi="Arial"/>
          <w:sz w:val="18"/>
          <w:szCs w:val="18"/>
          <w:color w:val="auto"/>
        </w:rPr>
      </w:pPr>
      <w:r>
        <w:rPr>
          <w:rFonts w:ascii="Arial" w:cs="Arial" w:eastAsia="Arial" w:hAnsi="Arial"/>
          <w:sz w:val="18"/>
          <w:szCs w:val="18"/>
          <w:color w:val="auto"/>
        </w:rPr>
        <w:t>Reflects pro forma earnings from the company’s equity investment in the partnership as allocated pursuant to the terms of the partnership agreement for the three months ended March 31, 2008. The total pro forma earnings of the partnership were based on the historical earnings of the company’s commodities-marketing businesses sold to the partnership.</w:t>
      </w:r>
    </w:p>
    <w:p>
      <w:pPr>
        <w:spacing w:after="0" w:line="168" w:lineRule="exact"/>
        <w:rPr>
          <w:rFonts w:ascii="Arial" w:cs="Arial" w:eastAsia="Arial" w:hAnsi="Arial"/>
          <w:sz w:val="18"/>
          <w:szCs w:val="18"/>
          <w:color w:val="auto"/>
        </w:rPr>
      </w:pPr>
    </w:p>
    <w:p>
      <w:pPr>
        <w:ind w:left="284" w:hanging="284"/>
        <w:spacing w:after="0"/>
        <w:tabs>
          <w:tab w:leader="none" w:pos="284" w:val="left"/>
        </w:tabs>
        <w:numPr>
          <w:ilvl w:val="0"/>
          <w:numId w:val="429"/>
        </w:numPr>
        <w:rPr>
          <w:rFonts w:ascii="Arial" w:cs="Arial" w:eastAsia="Arial" w:hAnsi="Arial"/>
          <w:sz w:val="18"/>
          <w:szCs w:val="18"/>
          <w:color w:val="auto"/>
        </w:rPr>
      </w:pPr>
      <w:r>
        <w:rPr>
          <w:rFonts w:ascii="Arial" w:cs="Arial" w:eastAsia="Arial" w:hAnsi="Arial"/>
          <w:sz w:val="18"/>
          <w:szCs w:val="18"/>
          <w:color w:val="auto"/>
        </w:rPr>
        <w:t>Pro forma income tax adjustments are based on the company’s statutory tax rate.</w:t>
      </w:r>
    </w:p>
    <w:p>
      <w:pPr>
        <w:spacing w:after="0" w:line="189" w:lineRule="exact"/>
        <w:rPr>
          <w:rFonts w:ascii="Arial" w:cs="Arial" w:eastAsia="Arial" w:hAnsi="Arial"/>
          <w:sz w:val="18"/>
          <w:szCs w:val="18"/>
          <w:color w:val="auto"/>
        </w:rPr>
      </w:pPr>
    </w:p>
    <w:p>
      <w:pPr>
        <w:ind w:left="284" w:hanging="284"/>
        <w:spacing w:after="0"/>
        <w:tabs>
          <w:tab w:leader="none" w:pos="284" w:val="left"/>
        </w:tabs>
        <w:numPr>
          <w:ilvl w:val="0"/>
          <w:numId w:val="429"/>
        </w:numPr>
        <w:rPr>
          <w:rFonts w:ascii="Arial" w:cs="Arial" w:eastAsia="Arial" w:hAnsi="Arial"/>
          <w:sz w:val="18"/>
          <w:szCs w:val="18"/>
          <w:color w:val="auto"/>
        </w:rPr>
      </w:pPr>
      <w:r>
        <w:rPr>
          <w:rFonts w:ascii="Arial" w:cs="Arial" w:eastAsia="Arial" w:hAnsi="Arial"/>
          <w:sz w:val="18"/>
          <w:szCs w:val="18"/>
          <w:color w:val="auto"/>
        </w:rPr>
        <w:t>The pro forma income tax adjustment is based on the estimated statutory rate related to the commodities-marketing businesses.</w:t>
      </w:r>
    </w:p>
    <w:p>
      <w:pPr>
        <w:spacing w:after="0" w:line="177" w:lineRule="exact"/>
        <w:rPr>
          <w:rFonts w:ascii="Arial" w:cs="Arial" w:eastAsia="Arial" w:hAnsi="Arial"/>
          <w:sz w:val="18"/>
          <w:szCs w:val="18"/>
          <w:color w:val="auto"/>
        </w:rPr>
      </w:pPr>
    </w:p>
    <w:p>
      <w:pPr>
        <w:ind w:left="284" w:right="140" w:hanging="284"/>
        <w:spacing w:after="0" w:line="255" w:lineRule="auto"/>
        <w:tabs>
          <w:tab w:leader="none" w:pos="284" w:val="left"/>
        </w:tabs>
        <w:numPr>
          <w:ilvl w:val="0"/>
          <w:numId w:val="429"/>
        </w:numPr>
        <w:rPr>
          <w:rFonts w:ascii="Arial" w:cs="Arial" w:eastAsia="Arial" w:hAnsi="Arial"/>
          <w:sz w:val="18"/>
          <w:szCs w:val="18"/>
          <w:color w:val="auto"/>
        </w:rPr>
      </w:pPr>
      <w:r>
        <w:rPr>
          <w:rFonts w:ascii="Arial" w:cs="Arial" w:eastAsia="Arial" w:hAnsi="Arial"/>
          <w:sz w:val="18"/>
          <w:szCs w:val="18"/>
          <w:color w:val="auto"/>
        </w:rPr>
        <w:t>Diluted earnings per share for the year ended December 31, 2008 reflects the inclusion of 3,772,000 additional shares outstanding for the dilutive effect of stock options and restricted stock awards and units.</w:t>
      </w:r>
    </w:p>
    <w:sectPr>
      <w:pgSz w:w="11900" w:h="16838" w:orient="portrait"/>
      <w:cols w:equalWidth="0" w:num="1">
        <w:col w:w="11304"/>
      </w:cols>
      <w:pgMar w:left="236" w:top="311"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A66051"/>
    <w:multiLevelType w:val="hybridMultilevel"/>
    <w:lvl w:ilvl="0">
      <w:lvlJc w:val="left"/>
      <w:lvlText w:val="[%1]"/>
      <w:numFmt w:val="upperLetter"/>
      <w:start w:val="24"/>
    </w:lvl>
  </w:abstractNum>
  <w:abstractNum w:abstractNumId="1">
    <w:nsid w:val="20F4BDAD"/>
    <w:multiLevelType w:val="hybridMultilevel"/>
    <w:lvl w:ilvl="0">
      <w:lvlJc w:val="left"/>
      <w:lvlText w:val="§"/>
      <w:numFmt w:val="bullet"/>
      <w:start w:val="1"/>
    </w:lvl>
  </w:abstractNum>
  <w:abstractNum w:abstractNumId="2">
    <w:nsid w:val="639DEFAC"/>
    <w:multiLevelType w:val="hybridMultilevel"/>
    <w:lvl w:ilvl="0">
      <w:lvlJc w:val="left"/>
      <w:lvlText w:val="§"/>
      <w:numFmt w:val="bullet"/>
      <w:start w:val="1"/>
    </w:lvl>
  </w:abstractNum>
  <w:abstractNum w:abstractNumId="3">
    <w:nsid w:val="501F9786"/>
    <w:multiLevelType w:val="hybridMultilevel"/>
    <w:lvl w:ilvl="0">
      <w:lvlJc w:val="left"/>
      <w:lvlText w:val="§"/>
      <w:numFmt w:val="bullet"/>
      <w:start w:val="1"/>
    </w:lvl>
  </w:abstractNum>
  <w:abstractNum w:abstractNumId="4">
    <w:nsid w:val="6B057295"/>
    <w:multiLevelType w:val="hybridMultilevel"/>
    <w:lvl w:ilvl="0">
      <w:lvlJc w:val="left"/>
      <w:lvlText w:val="§"/>
      <w:numFmt w:val="bullet"/>
      <w:start w:val="1"/>
    </w:lvl>
  </w:abstractNum>
  <w:abstractNum w:abstractNumId="5">
    <w:nsid w:val="2771AC80"/>
    <w:multiLevelType w:val="hybridMultilevel"/>
    <w:lvl w:ilvl="0">
      <w:lvlJc w:val="left"/>
      <w:lvlText w:val="§"/>
      <w:numFmt w:val="bullet"/>
      <w:start w:val="1"/>
    </w:lvl>
  </w:abstractNum>
  <w:abstractNum w:abstractNumId="6">
    <w:nsid w:val="1C4A08EC"/>
    <w:multiLevelType w:val="hybridMultilevel"/>
    <w:lvl w:ilvl="0">
      <w:lvlJc w:val="left"/>
      <w:lvlText w:val="§"/>
      <w:numFmt w:val="bullet"/>
      <w:start w:val="1"/>
    </w:lvl>
  </w:abstractNum>
  <w:abstractNum w:abstractNumId="7">
    <w:nsid w:val="1958BD17"/>
    <w:multiLevelType w:val="hybridMultilevel"/>
    <w:lvl w:ilvl="0">
      <w:lvlJc w:val="left"/>
      <w:lvlText w:val="§"/>
      <w:numFmt w:val="bullet"/>
      <w:start w:val="1"/>
    </w:lvl>
  </w:abstractNum>
  <w:abstractNum w:abstractNumId="8">
    <w:nsid w:val="4E647FE4"/>
    <w:multiLevelType w:val="hybridMultilevel"/>
    <w:lvl w:ilvl="0">
      <w:lvlJc w:val="left"/>
      <w:lvlText w:val="§"/>
      <w:numFmt w:val="bullet"/>
      <w:start w:val="1"/>
    </w:lvl>
  </w:abstractNum>
  <w:abstractNum w:abstractNumId="9">
    <w:nsid w:val="E0BB885"/>
    <w:multiLevelType w:val="hybridMultilevel"/>
    <w:lvl w:ilvl="0">
      <w:lvlJc w:val="left"/>
      <w:lvlText w:val="*"/>
      <w:numFmt w:val="bullet"/>
      <w:start w:val="1"/>
    </w:lvl>
  </w:abstractNum>
  <w:abstractNum w:abstractNumId="10">
    <w:nsid w:val="565976F1"/>
    <w:multiLevelType w:val="hybridMultilevel"/>
    <w:lvl w:ilvl="0">
      <w:lvlJc w:val="left"/>
      <w:lvlText w:val="§"/>
      <w:numFmt w:val="bullet"/>
      <w:start w:val="1"/>
    </w:lvl>
  </w:abstractNum>
  <w:abstractNum w:abstractNumId="11">
    <w:nsid w:val="64212B8C"/>
    <w:multiLevelType w:val="hybridMultilevel"/>
    <w:lvl w:ilvl="0">
      <w:lvlJc w:val="left"/>
      <w:lvlText w:val="§"/>
      <w:numFmt w:val="bullet"/>
      <w:start w:val="1"/>
    </w:lvl>
  </w:abstractNum>
  <w:abstractNum w:abstractNumId="12">
    <w:nsid w:val="5C17530C"/>
    <w:multiLevelType w:val="hybridMultilevel"/>
    <w:lvl w:ilvl="0">
      <w:lvlJc w:val="left"/>
      <w:lvlText w:val="§"/>
      <w:numFmt w:val="bullet"/>
      <w:start w:val="1"/>
    </w:lvl>
  </w:abstractNum>
  <w:abstractNum w:abstractNumId="13">
    <w:nsid w:val="19A52566"/>
    <w:multiLevelType w:val="hybridMultilevel"/>
    <w:lvl w:ilvl="0">
      <w:lvlJc w:val="left"/>
      <w:lvlText w:val="§"/>
      <w:numFmt w:val="bullet"/>
      <w:start w:val="1"/>
    </w:lvl>
  </w:abstractNum>
  <w:abstractNum w:abstractNumId="14">
    <w:nsid w:val="335A1DF1"/>
    <w:multiLevelType w:val="hybridMultilevel"/>
    <w:lvl w:ilvl="0">
      <w:lvlJc w:val="left"/>
      <w:lvlText w:val="§"/>
      <w:numFmt w:val="bullet"/>
      <w:start w:val="1"/>
    </w:lvl>
  </w:abstractNum>
  <w:abstractNum w:abstractNumId="15">
    <w:nsid w:val="28677B7C"/>
    <w:multiLevelType w:val="hybridMultilevel"/>
    <w:lvl w:ilvl="0">
      <w:lvlJc w:val="left"/>
      <w:lvlText w:val="§"/>
      <w:numFmt w:val="bullet"/>
      <w:start w:val="1"/>
    </w:lvl>
  </w:abstractNum>
  <w:abstractNum w:abstractNumId="16">
    <w:nsid w:val="378D97C0"/>
    <w:multiLevelType w:val="hybridMultilevel"/>
    <w:lvl w:ilvl="0">
      <w:lvlJc w:val="left"/>
      <w:lvlText w:val="%1)"/>
      <w:numFmt w:val="decimal"/>
      <w:start w:val="1"/>
    </w:lvl>
  </w:abstractNum>
  <w:abstractNum w:abstractNumId="17">
    <w:nsid w:val="1D91467C"/>
    <w:multiLevelType w:val="hybridMultilevel"/>
    <w:lvl w:ilvl="0">
      <w:lvlJc w:val="left"/>
      <w:lvlText w:val="§"/>
      <w:numFmt w:val="bullet"/>
      <w:start w:val="1"/>
    </w:lvl>
  </w:abstractNum>
  <w:abstractNum w:abstractNumId="18">
    <w:nsid w:val="316032BB"/>
    <w:multiLevelType w:val="hybridMultilevel"/>
    <w:lvl w:ilvl="0">
      <w:lvlJc w:val="left"/>
      <w:lvlText w:val="§"/>
      <w:numFmt w:val="bullet"/>
      <w:start w:val="1"/>
    </w:lvl>
  </w:abstractNum>
  <w:abstractNum w:abstractNumId="19">
    <w:nsid w:val="44344C22"/>
    <w:multiLevelType w:val="hybridMultilevel"/>
    <w:lvl w:ilvl="0">
      <w:lvlJc w:val="left"/>
      <w:lvlText w:val="(%1)"/>
      <w:numFmt w:val="upperLetter"/>
      <w:start w:val="1"/>
    </w:lvl>
  </w:abstractNum>
  <w:abstractNum w:abstractNumId="20">
    <w:nsid w:val="13CDFCFC"/>
    <w:multiLevelType w:val="hybridMultilevel"/>
    <w:lvl w:ilvl="0">
      <w:lvlJc w:val="left"/>
      <w:lvlText w:val="(%1)"/>
      <w:numFmt w:val="decimal"/>
      <w:start w:val="1"/>
    </w:lvl>
  </w:abstractNum>
  <w:abstractNum w:abstractNumId="21">
    <w:nsid w:val="471745E4"/>
    <w:multiLevelType w:val="hybridMultilevel"/>
    <w:lvl w:ilvl="0">
      <w:lvlJc w:val="left"/>
      <w:lvlText w:val="%1."/>
      <w:numFmt w:val="decimal"/>
      <w:start w:val="1"/>
    </w:lvl>
    <w:lvl w:ilvl="1">
      <w:lvlJc w:val="left"/>
      <w:lvlText w:val="*"/>
      <w:numFmt w:val="bullet"/>
      <w:start w:val="1"/>
    </w:lvl>
  </w:abstractNum>
  <w:abstractNum w:abstractNumId="22">
    <w:nsid w:val="1DDBC66"/>
    <w:multiLevelType w:val="hybridMultilevel"/>
    <w:lvl w:ilvl="0">
      <w:lvlJc w:val="left"/>
      <w:lvlText w:val="(%1)"/>
      <w:numFmt w:val="lowerLetter"/>
      <w:start w:val="3"/>
    </w:lvl>
  </w:abstractNum>
  <w:abstractNum w:abstractNumId="23">
    <w:nsid w:val="30AADFDA"/>
    <w:multiLevelType w:val="hybridMultilevel"/>
    <w:lvl w:ilvl="0">
      <w:lvlJc w:val="left"/>
      <w:lvlText w:val="(%1)"/>
      <w:numFmt w:val="decimal"/>
      <w:start w:val="1"/>
    </w:lvl>
  </w:abstractNum>
  <w:abstractNum w:abstractNumId="24">
    <w:nsid w:val="30EADA61"/>
    <w:multiLevelType w:val="hybridMultilevel"/>
    <w:lvl w:ilvl="0">
      <w:lvlJc w:val="left"/>
      <w:lvlText w:val="(%1)"/>
      <w:numFmt w:val="lowerRoman"/>
      <w:start w:val="1"/>
    </w:lvl>
  </w:abstractNum>
  <w:abstractNum w:abstractNumId="25">
    <w:nsid w:val="27179C0B"/>
    <w:multiLevelType w:val="hybridMultilevel"/>
    <w:lvl w:ilvl="0">
      <w:lvlJc w:val="left"/>
      <w:lvlText w:val="(%1)"/>
      <w:numFmt w:val="decimal"/>
      <w:start w:val="1"/>
    </w:lvl>
  </w:abstractNum>
  <w:abstractNum w:abstractNumId="26">
    <w:nsid w:val="5E636063"/>
    <w:multiLevelType w:val="hybridMultilevel"/>
    <w:lvl w:ilvl="0">
      <w:lvlJc w:val="left"/>
      <w:lvlText w:val="(%1)"/>
      <w:numFmt w:val="decimal"/>
      <w:start w:val="2"/>
    </w:lvl>
  </w:abstractNum>
  <w:abstractNum w:abstractNumId="27">
    <w:nsid w:val="215641AF"/>
    <w:multiLevelType w:val="hybridMultilevel"/>
    <w:lvl w:ilvl="0">
      <w:lvlJc w:val="left"/>
      <w:lvlText w:val="(%1)"/>
      <w:numFmt w:val="decimal"/>
      <w:start w:val="3"/>
    </w:lvl>
  </w:abstractNum>
  <w:abstractNum w:abstractNumId="28">
    <w:nsid w:val="53280662"/>
    <w:multiLevelType w:val="hybridMultilevel"/>
    <w:lvl w:ilvl="0">
      <w:lvlJc w:val="left"/>
      <w:lvlText w:val="(%1)"/>
      <w:numFmt w:val="decimal"/>
      <w:start w:val="60"/>
    </w:lvl>
    <w:lvl w:ilvl="1">
      <w:lvlJc w:val="left"/>
      <w:lvlText w:val="%2"/>
      <w:numFmt w:val="decimal"/>
      <w:start w:val="1"/>
    </w:lvl>
  </w:abstractNum>
  <w:abstractNum w:abstractNumId="29">
    <w:nsid w:val="46B24DBC"/>
    <w:multiLevelType w:val="hybridMultilevel"/>
    <w:lvl w:ilvl="0">
      <w:lvlJc w:val="left"/>
      <w:lvlText w:val="(%1)"/>
      <w:numFmt w:val="decimal"/>
      <w:start w:val="120"/>
    </w:lvl>
    <w:lvl w:ilvl="1">
      <w:lvlJc w:val="left"/>
      <w:lvlText w:val="(%2)"/>
      <w:numFmt w:val="decimal"/>
      <w:start w:val="4"/>
    </w:lvl>
  </w:abstractNum>
  <w:abstractNum w:abstractNumId="30">
    <w:nsid w:val="75B52783"/>
    <w:multiLevelType w:val="hybridMultilevel"/>
    <w:lvl w:ilvl="0">
      <w:lvlJc w:val="left"/>
      <w:lvlText w:val="(%1)"/>
      <w:numFmt w:val="decimal"/>
      <w:start w:val="1"/>
    </w:lvl>
  </w:abstractNum>
  <w:abstractNum w:abstractNumId="31">
    <w:nsid w:val="57CE66B4"/>
    <w:multiLevelType w:val="hybridMultilevel"/>
    <w:lvl w:ilvl="0">
      <w:lvlJc w:val="left"/>
      <w:lvlText w:val="(%1)"/>
      <w:numFmt w:val="decimal"/>
      <w:start w:val="1"/>
    </w:lvl>
  </w:abstractNum>
  <w:abstractNum w:abstractNumId="32">
    <w:nsid w:val="67A70B69"/>
    <w:multiLevelType w:val="hybridMultilevel"/>
    <w:lvl w:ilvl="0">
      <w:lvlJc w:val="left"/>
      <w:lvlText w:val="%1."/>
      <w:numFmt w:val="decimal"/>
      <w:start w:val="1"/>
    </w:lvl>
  </w:abstractNum>
  <w:abstractNum w:abstractNumId="33">
    <w:nsid w:val="5953172F"/>
    <w:multiLevelType w:val="hybridMultilevel"/>
    <w:lvl w:ilvl="0">
      <w:lvlJc w:val="left"/>
      <w:lvlText w:val="%1."/>
      <w:numFmt w:val="decimal"/>
      <w:start w:val="1"/>
    </w:lvl>
    <w:lvl w:ilvl="1">
      <w:lvlJc w:val="left"/>
      <w:lvlText w:val="(%2)"/>
      <w:numFmt w:val="upperLetter"/>
      <w:start w:val="2"/>
    </w:lvl>
  </w:abstractNum>
  <w:abstractNum w:abstractNumId="34">
    <w:nsid w:val="27EDFE3A"/>
    <w:multiLevelType w:val="hybridMultilevel"/>
    <w:lvl w:ilvl="0">
      <w:lvlJc w:val="left"/>
      <w:lvlText w:val="%1"/>
      <w:numFmt w:val="decimal"/>
      <w:start w:val="1"/>
    </w:lvl>
    <w:lvl w:ilvl="1">
      <w:lvlJc w:val="left"/>
      <w:lvlText w:val="(%2)"/>
      <w:numFmt w:val="upperLetter"/>
      <w:start w:val="1"/>
    </w:lvl>
  </w:abstractNum>
  <w:abstractNum w:abstractNumId="35">
    <w:nsid w:val="52AC7DFF"/>
    <w:multiLevelType w:val="hybridMultilevel"/>
    <w:lvl w:ilvl="0">
      <w:lvlJc w:val="left"/>
      <w:lvlText w:val="%1"/>
      <w:numFmt w:val="upperLetter"/>
      <w:start w:val="1"/>
    </w:lvl>
    <w:lvl w:ilvl="1">
      <w:lvlJc w:val="left"/>
      <w:lvlText w:val="(%2)"/>
      <w:numFmt w:val="lowerRoman"/>
      <w:start w:val="1"/>
    </w:lvl>
  </w:abstractNum>
  <w:abstractNum w:abstractNumId="36">
    <w:nsid w:val="C4C3AF"/>
    <w:multiLevelType w:val="hybridMultilevel"/>
    <w:lvl w:ilvl="0">
      <w:lvlJc w:val="left"/>
      <w:lvlText w:val="(%1)"/>
      <w:numFmt w:val="upperLetter"/>
      <w:start w:val="1"/>
    </w:lvl>
    <w:lvl w:ilvl="1">
      <w:lvlJc w:val="left"/>
      <w:lvlText w:val="%2"/>
      <w:numFmt w:val="lowerRoman"/>
      <w:start w:val="1"/>
    </w:lvl>
  </w:abstractNum>
  <w:abstractNum w:abstractNumId="37">
    <w:nsid w:val="44380727"/>
    <w:multiLevelType w:val="hybridMultilevel"/>
    <w:lvl w:ilvl="0">
      <w:lvlJc w:val="left"/>
      <w:lvlText w:val="(%1)"/>
      <w:numFmt w:val="lowerRoman"/>
      <w:start w:val="1"/>
    </w:lvl>
  </w:abstractNum>
  <w:abstractNum w:abstractNumId="38">
    <w:nsid w:val="6C053B16"/>
    <w:multiLevelType w:val="hybridMultilevel"/>
    <w:lvl w:ilvl="0">
      <w:lvlJc w:val="left"/>
      <w:lvlText w:val="(%1)"/>
      <w:numFmt w:val="upperLetter"/>
      <w:start w:val="3"/>
    </w:lvl>
  </w:abstractNum>
  <w:abstractNum w:abstractNumId="39">
    <w:nsid w:val="4F294393"/>
    <w:multiLevelType w:val="hybridMultilevel"/>
    <w:lvl w:ilvl="0">
      <w:lvlJc w:val="left"/>
      <w:lvlText w:val="%1."/>
      <w:numFmt w:val="decimal"/>
      <w:start w:val="6"/>
    </w:lvl>
    <w:lvl w:ilvl="1">
      <w:lvlJc w:val="left"/>
      <w:lvlText w:val="(%2)"/>
      <w:numFmt w:val="upperLetter"/>
      <w:start w:val="1"/>
    </w:lvl>
    <w:lvl w:ilvl="2">
      <w:lvlJc w:val="left"/>
      <w:lvlText w:val="(%3)"/>
      <w:numFmt w:val="lowerRoman"/>
      <w:start w:val="1"/>
    </w:lvl>
    <w:lvl w:ilvl="3">
      <w:lvlJc w:val="left"/>
      <w:lvlText w:val="(%4)"/>
      <w:numFmt w:val="lowerLetter"/>
      <w:start w:val="1"/>
    </w:lvl>
  </w:abstractNum>
  <w:abstractNum w:abstractNumId="40">
    <w:nsid w:val="5243BFAC"/>
    <w:multiLevelType w:val="hybridMultilevel"/>
    <w:lvl w:ilvl="0">
      <w:lvlJc w:val="left"/>
      <w:lvlText w:val="(%1)"/>
      <w:numFmt w:val="lowerLetter"/>
      <w:start w:val="61"/>
    </w:lvl>
    <w:lvl w:ilvl="1">
      <w:lvlJc w:val="left"/>
      <w:lvlText w:val="(%2)"/>
      <w:numFmt w:val="lowerLetter"/>
      <w:start w:val="1"/>
    </w:lvl>
  </w:abstractNum>
  <w:abstractNum w:abstractNumId="41">
    <w:nsid w:val="425EB207"/>
    <w:multiLevelType w:val="hybridMultilevel"/>
    <w:lvl w:ilvl="0">
      <w:lvlJc w:val="left"/>
      <w:lvlText w:val="%1"/>
      <w:numFmt w:val="upperLetter"/>
      <w:start w:val="1"/>
    </w:lvl>
    <w:lvl w:ilvl="1">
      <w:lvlJc w:val="left"/>
      <w:lvlText w:val="(%2)"/>
      <w:numFmt w:val="lowerRoman"/>
      <w:start w:val="4"/>
    </w:lvl>
    <w:lvl w:ilvl="2">
      <w:lvlJc w:val="left"/>
      <w:lvlText w:val="%3"/>
      <w:numFmt w:val="lowerRoman"/>
      <w:start w:val="1"/>
    </w:lvl>
  </w:abstractNum>
  <w:abstractNum w:abstractNumId="42">
    <w:nsid w:val="334A6F1F"/>
    <w:multiLevelType w:val="hybridMultilevel"/>
    <w:lvl w:ilvl="0">
      <w:lvlJc w:val="left"/>
      <w:lvlText w:val="(%1)"/>
      <w:numFmt w:val="upperLetter"/>
      <w:start w:val="2"/>
    </w:lvl>
    <w:lvl w:ilvl="1">
      <w:lvlJc w:val="left"/>
      <w:lvlText w:val="(%2)"/>
      <w:numFmt w:val="lowerRoman"/>
      <w:start w:val="1"/>
    </w:lvl>
    <w:lvl w:ilvl="2">
      <w:lvlJc w:val="left"/>
      <w:lvlText w:val="(%3)."/>
      <w:numFmt w:val="lowerRoman"/>
      <w:start w:val="7"/>
    </w:lvl>
  </w:abstractNum>
  <w:abstractNum w:abstractNumId="43">
    <w:nsid w:val="2E5B12B8"/>
    <w:multiLevelType w:val="hybridMultilevel"/>
    <w:lvl w:ilvl="0">
      <w:lvlJc w:val="left"/>
      <w:lvlText w:val="%1"/>
      <w:numFmt w:val="upperLetter"/>
      <w:start w:val="1"/>
    </w:lvl>
    <w:lvl w:ilvl="1">
      <w:lvlJc w:val="left"/>
      <w:lvlText w:val="%2"/>
      <w:numFmt w:val="lowerRoman"/>
      <w:start w:val="1"/>
    </w:lvl>
    <w:lvl w:ilvl="2">
      <w:lvlJc w:val="left"/>
      <w:lvlText w:val="(%3)"/>
      <w:numFmt w:val="lowerRoman"/>
      <w:start w:val="1"/>
    </w:lvl>
  </w:abstractNum>
  <w:abstractNum w:abstractNumId="44">
    <w:nsid w:val="5C03D76D"/>
    <w:multiLevelType w:val="hybridMultilevel"/>
    <w:lvl w:ilvl="0">
      <w:lvlJc w:val="left"/>
      <w:lvlText w:val="%1"/>
      <w:numFmt w:val="upperLetter"/>
      <w:start w:val="1"/>
    </w:lvl>
    <w:lvl w:ilvl="1">
      <w:lvlJc w:val="left"/>
      <w:lvlText w:val="(%2)"/>
      <w:numFmt w:val="lowerRoman"/>
      <w:start w:val="2"/>
    </w:lvl>
    <w:lvl w:ilvl="2">
      <w:lvlJc w:val="left"/>
      <w:lvlText w:val="%3"/>
      <w:numFmt w:val="lowerRoman"/>
      <w:start w:val="1"/>
    </w:lvl>
  </w:abstractNum>
  <w:abstractNum w:abstractNumId="45">
    <w:nsid w:val="66A48D11"/>
    <w:multiLevelType w:val="hybridMultilevel"/>
    <w:lvl w:ilvl="0">
      <w:lvlJc w:val="left"/>
      <w:lvlText w:val="%1"/>
      <w:numFmt w:val="upperLetter"/>
      <w:start w:val="1"/>
    </w:lvl>
    <w:lvl w:ilvl="1">
      <w:lvlJc w:val="left"/>
      <w:lvlText w:val="(%2)"/>
      <w:numFmt w:val="lowerRoman"/>
      <w:start w:val="7"/>
    </w:lvl>
  </w:abstractNum>
  <w:abstractNum w:abstractNumId="46">
    <w:nsid w:val="56C28E34"/>
    <w:multiLevelType w:val="hybridMultilevel"/>
    <w:lvl w:ilvl="0">
      <w:lvlJc w:val="left"/>
      <w:lvlText w:val="(%1)"/>
      <w:numFmt w:val="upperLetter"/>
      <w:start w:val="3"/>
    </w:lvl>
    <w:lvl w:ilvl="1">
      <w:lvlJc w:val="left"/>
      <w:lvlText w:val="%2"/>
      <w:numFmt w:val="lowerRoman"/>
      <w:start w:val="1"/>
    </w:lvl>
  </w:abstractNum>
  <w:abstractNum w:abstractNumId="47">
    <w:nsid w:val="13916F2D"/>
    <w:multiLevelType w:val="hybridMultilevel"/>
    <w:lvl w:ilvl="0">
      <w:lvlJc w:val="left"/>
      <w:lvlText w:val="(%1)"/>
      <w:numFmt w:val="lowerRoman"/>
      <w:start w:val="1"/>
    </w:lvl>
  </w:abstractNum>
  <w:abstractNum w:abstractNumId="48">
    <w:nsid w:val="435D38D"/>
    <w:multiLevelType w:val="hybridMultilevel"/>
    <w:lvl w:ilvl="0">
      <w:lvlJc w:val="left"/>
      <w:lvlText w:val="(%1)"/>
      <w:numFmt w:val="lowerRoman"/>
      <w:start w:val="3"/>
    </w:lvl>
  </w:abstractNum>
  <w:abstractNum w:abstractNumId="49">
    <w:nsid w:val="822C0EF"/>
    <w:multiLevelType w:val="hybridMultilevel"/>
    <w:lvl w:ilvl="0">
      <w:lvlJc w:val="left"/>
      <w:lvlText w:val="(%1)"/>
      <w:numFmt w:val="lowerRoman"/>
      <w:start w:val="5"/>
    </w:lvl>
  </w:abstractNum>
  <w:abstractNum w:abstractNumId="50">
    <w:nsid w:val="57C5BB4F"/>
    <w:multiLevelType w:val="hybridMultilevel"/>
    <w:lvl w:ilvl="0">
      <w:lvlJc w:val="left"/>
      <w:lvlText w:val="(%1)"/>
      <w:numFmt w:val="upperLetter"/>
      <w:start w:val="4"/>
    </w:lvl>
    <w:lvl w:ilvl="1">
      <w:lvlJc w:val="left"/>
      <w:lvlText w:val="(%2)"/>
      <w:numFmt w:val="lowerRoman"/>
      <w:start w:val="1"/>
    </w:lvl>
  </w:abstractNum>
  <w:abstractNum w:abstractNumId="51">
    <w:nsid w:val="1803D089"/>
    <w:multiLevelType w:val="hybridMultilevel"/>
    <w:lvl w:ilvl="0">
      <w:lvlJc w:val="left"/>
      <w:lvlText w:val="%1"/>
      <w:numFmt w:val="upperLetter"/>
      <w:start w:val="1"/>
    </w:lvl>
    <w:lvl w:ilvl="1">
      <w:lvlJc w:val="left"/>
      <w:lvlText w:val="(%2)"/>
      <w:numFmt w:val="lowerRoman"/>
      <w:start w:val="5"/>
    </w:lvl>
  </w:abstractNum>
  <w:abstractNum w:abstractNumId="52">
    <w:nsid w:val="4F3A06D4"/>
    <w:multiLevelType w:val="hybridMultilevel"/>
    <w:lvl w:ilvl="0">
      <w:lvlJc w:val="left"/>
      <w:lvlText w:val="(%1)"/>
      <w:numFmt w:val="upperLetter"/>
      <w:start w:val="5"/>
    </w:lvl>
    <w:lvl w:ilvl="1">
      <w:lvlJc w:val="left"/>
      <w:lvlText w:val="(%2)"/>
      <w:numFmt w:val="lowerRoman"/>
      <w:start w:val="1"/>
    </w:lvl>
  </w:abstractNum>
  <w:abstractNum w:abstractNumId="53">
    <w:nsid w:val="59A377B6"/>
    <w:multiLevelType w:val="hybridMultilevel"/>
    <w:lvl w:ilvl="0">
      <w:lvlJc w:val="left"/>
      <w:lvlText w:val="%1"/>
      <w:numFmt w:val="upperLetter"/>
      <w:start w:val="1"/>
    </w:lvl>
    <w:lvl w:ilvl="1">
      <w:lvlJc w:val="left"/>
      <w:lvlText w:val="(%2)"/>
      <w:numFmt w:val="lowerRoman"/>
      <w:start w:val="2"/>
    </w:lvl>
    <w:lvl w:ilvl="2">
      <w:lvlJc w:val="left"/>
      <w:lvlText w:val="%3"/>
      <w:numFmt w:val="upperLetter"/>
      <w:start w:val="1"/>
    </w:lvl>
    <w:lvl w:ilvl="3">
      <w:lvlJc w:val="left"/>
      <w:lvlText w:val="%4"/>
      <w:numFmt w:val="lowerLetter"/>
      <w:start w:val="1"/>
    </w:lvl>
  </w:abstractNum>
  <w:abstractNum w:abstractNumId="54">
    <w:nsid w:val="48AEB063"/>
    <w:multiLevelType w:val="hybridMultilevel"/>
    <w:lvl w:ilvl="0">
      <w:lvlJc w:val="left"/>
      <w:lvlText w:val="(%1)"/>
      <w:numFmt w:val="upperLetter"/>
      <w:start w:val="6"/>
    </w:lvl>
    <w:lvl w:ilvl="1">
      <w:lvlJc w:val="left"/>
      <w:lvlText w:val="(%2)"/>
      <w:numFmt w:val="lowerRoman"/>
      <w:start w:val="1"/>
    </w:lvl>
    <w:lvl w:ilvl="2">
      <w:lvlJc w:val="left"/>
      <w:lvlText w:val="(%3)"/>
      <w:numFmt w:val="upperLetter"/>
      <w:start w:val="7"/>
    </w:lvl>
    <w:lvl w:ilvl="3">
      <w:lvlJc w:val="left"/>
      <w:lvlText w:val="(%4)"/>
      <w:numFmt w:val="lowerLetter"/>
      <w:start w:val="1"/>
    </w:lvl>
  </w:abstractNum>
  <w:abstractNum w:abstractNumId="55">
    <w:nsid w:val="24E135"/>
    <w:multiLevelType w:val="hybridMultilevel"/>
    <w:lvl w:ilvl="0">
      <w:lvlJc w:val="left"/>
      <w:lvlText w:val="(%1)"/>
      <w:numFmt w:val="lowerRoman"/>
      <w:start w:val="1"/>
    </w:lvl>
    <w:lvl w:ilvl="1">
      <w:lvlJc w:val="left"/>
      <w:lvlText w:val="(%2)"/>
      <w:numFmt w:val="lowerRoman"/>
      <w:start w:val="4"/>
    </w:lvl>
  </w:abstractNum>
  <w:abstractNum w:abstractNumId="56">
    <w:nsid w:val="BB13C1"/>
    <w:multiLevelType w:val="hybridMultilevel"/>
    <w:lvl w:ilvl="0">
      <w:lvlJc w:val="left"/>
      <w:lvlText w:val="%1"/>
      <w:numFmt w:val="decimal"/>
      <w:start w:val="1"/>
    </w:lvl>
    <w:lvl w:ilvl="1">
      <w:lvlJc w:val="left"/>
      <w:lvlText w:val="%2"/>
      <w:numFmt w:val="upperLetter"/>
      <w:start w:val="1"/>
    </w:lvl>
    <w:lvl w:ilvl="2">
      <w:lvlJc w:val="left"/>
      <w:lvlText w:val="%3"/>
      <w:numFmt w:val="lowerRoman"/>
      <w:start w:val="1"/>
    </w:lvl>
    <w:lvl w:ilvl="3">
      <w:lvlJc w:val="left"/>
      <w:lvlText w:val="(%4)"/>
      <w:numFmt w:val="lowerLetter"/>
      <w:start w:val="1"/>
    </w:lvl>
  </w:abstractNum>
  <w:abstractNum w:abstractNumId="57">
    <w:nsid w:val="271210C7"/>
    <w:multiLevelType w:val="hybridMultilevel"/>
    <w:lvl w:ilvl="0">
      <w:lvlJc w:val="left"/>
      <w:lvlText w:val="%1"/>
      <w:numFmt w:val="decimal"/>
      <w:start w:val="1"/>
    </w:lvl>
    <w:lvl w:ilvl="1">
      <w:lvlJc w:val="left"/>
      <w:lvlText w:val="(%2)"/>
      <w:numFmt w:val="upperLetter"/>
      <w:start w:val="8"/>
    </w:lvl>
    <w:lvl w:ilvl="2">
      <w:lvlJc w:val="left"/>
      <w:lvlText w:val="(%3)"/>
      <w:numFmt w:val="lowerRoman"/>
      <w:start w:val="1"/>
    </w:lvl>
    <w:lvl w:ilvl="3">
      <w:lvlJc w:val="left"/>
      <w:lvlText w:val="%4"/>
      <w:numFmt w:val="lowerLetter"/>
      <w:start w:val="1"/>
    </w:lvl>
  </w:abstractNum>
  <w:abstractNum w:abstractNumId="58">
    <w:nsid w:val="217B22E4"/>
    <w:multiLevelType w:val="hybridMultilevel"/>
    <w:lvl w:ilvl="0">
      <w:lvlJc w:val="left"/>
      <w:lvlText w:val="%1."/>
      <w:numFmt w:val="decimal"/>
      <w:start w:val="7"/>
    </w:lvl>
    <w:lvl w:ilvl="1">
      <w:lvlJc w:val="left"/>
      <w:lvlText w:val="%2"/>
      <w:numFmt w:val="upperLetter"/>
      <w:start w:val="1"/>
    </w:lvl>
    <w:lvl w:ilvl="2">
      <w:lvlJc w:val="left"/>
      <w:lvlText w:val="%3"/>
      <w:numFmt w:val="lowerRoman"/>
      <w:start w:val="1"/>
    </w:lvl>
    <w:lvl w:ilvl="3">
      <w:lvlJc w:val="left"/>
      <w:lvlText w:val="%4"/>
      <w:numFmt w:val="lowerLetter"/>
      <w:start w:val="1"/>
    </w:lvl>
  </w:abstractNum>
  <w:abstractNum w:abstractNumId="59">
    <w:nsid w:val="53E31A24"/>
    <w:multiLevelType w:val="hybridMultilevel"/>
    <w:lvl w:ilvl="0">
      <w:lvlJc w:val="left"/>
      <w:lvlText w:val="(%1)"/>
      <w:numFmt w:val="decimal"/>
      <w:start w:val="2"/>
    </w:lvl>
  </w:abstractNum>
  <w:abstractNum w:abstractNumId="60">
    <w:nsid w:val="6DC45E83"/>
    <w:multiLevelType w:val="hybridMultilevel"/>
    <w:lvl w:ilvl="0">
      <w:lvlJc w:val="left"/>
      <w:lvlText w:val="(%1)"/>
      <w:numFmt w:val="upperLetter"/>
      <w:start w:val="1"/>
    </w:lvl>
  </w:abstractNum>
  <w:abstractNum w:abstractNumId="61">
    <w:nsid w:val="17304A67"/>
    <w:multiLevelType w:val="hybridMultilevel"/>
    <w:lvl w:ilvl="0">
      <w:lvlJc w:val="left"/>
      <w:lvlText w:val="(%1)"/>
      <w:numFmt w:val="upperLetter"/>
      <w:start w:val="2"/>
    </w:lvl>
    <w:lvl w:ilvl="1">
      <w:lvlJc w:val="left"/>
      <w:lvlText w:val="(%2)"/>
      <w:numFmt w:val="lowerRoman"/>
      <w:start w:val="1"/>
    </w:lvl>
  </w:abstractNum>
  <w:abstractNum w:abstractNumId="62">
    <w:nsid w:val="2BB180D8"/>
    <w:multiLevelType w:val="hybridMultilevel"/>
    <w:lvl w:ilvl="0">
      <w:lvlJc w:val="left"/>
      <w:lvlText w:val="%1"/>
      <w:numFmt w:val="decimal"/>
      <w:start w:val="1"/>
    </w:lvl>
    <w:lvl w:ilvl="1">
      <w:lvlJc w:val="left"/>
      <w:lvlText w:val="(%2)"/>
      <w:numFmt w:val="upperLetter"/>
      <w:start w:val="3"/>
    </w:lvl>
    <w:lvl w:ilvl="2">
      <w:lvlJc w:val="left"/>
      <w:lvlText w:val="(%3)"/>
      <w:numFmt w:val="lowerRoman"/>
      <w:start w:val="1"/>
    </w:lvl>
  </w:abstractNum>
  <w:abstractNum w:abstractNumId="63">
    <w:nsid w:val="556B69ED"/>
    <w:multiLevelType w:val="hybridMultilevel"/>
    <w:lvl w:ilvl="0">
      <w:lvlJc w:val="left"/>
      <w:lvlText w:val="%1."/>
      <w:numFmt w:val="decimal"/>
      <w:start w:val="11"/>
    </w:lvl>
    <w:lvl w:ilvl="1">
      <w:lvlJc w:val="left"/>
      <w:lvlText w:val="(%2)"/>
      <w:numFmt w:val="upperLetter"/>
      <w:start w:val="1"/>
    </w:lvl>
    <w:lvl w:ilvl="2">
      <w:lvlJc w:val="left"/>
      <w:lvlText w:val="%3"/>
      <w:numFmt w:val="lowerRoman"/>
      <w:start w:val="1"/>
    </w:lvl>
  </w:abstractNum>
  <w:abstractNum w:abstractNumId="64">
    <w:nsid w:val="70836196"/>
    <w:multiLevelType w:val="hybridMultilevel"/>
    <w:lvl w:ilvl="0">
      <w:lvlJc w:val="left"/>
      <w:lvlText w:val="%1"/>
      <w:numFmt w:val="decimal"/>
      <w:start w:val="1"/>
    </w:lvl>
    <w:lvl w:ilvl="1">
      <w:lvlJc w:val="left"/>
      <w:lvlText w:val="(%2)"/>
      <w:numFmt w:val="upperLetter"/>
      <w:start w:val="2"/>
    </w:lvl>
  </w:abstractNum>
  <w:abstractNum w:abstractNumId="65">
    <w:nsid w:val="539F7F12"/>
    <w:multiLevelType w:val="hybridMultilevel"/>
    <w:lvl w:ilvl="0">
      <w:lvlJc w:val="left"/>
      <w:lvlText w:val="%1."/>
      <w:numFmt w:val="decimal"/>
      <w:start w:val="12"/>
    </w:lvl>
    <w:lvl w:ilvl="1">
      <w:lvlJc w:val="left"/>
      <w:lvlText w:val="(%2)"/>
      <w:numFmt w:val="upperLetter"/>
      <w:start w:val="1"/>
    </w:lvl>
  </w:abstractNum>
  <w:abstractNum w:abstractNumId="66">
    <w:nsid w:val="2817E7EC"/>
    <w:multiLevelType w:val="hybridMultilevel"/>
    <w:lvl w:ilvl="0">
      <w:lvlJc w:val="left"/>
      <w:lvlText w:val="%1."/>
      <w:numFmt w:val="decimal"/>
      <w:start w:val="13"/>
    </w:lvl>
    <w:lvl w:ilvl="1">
      <w:lvlJc w:val="left"/>
      <w:lvlText w:val="(%2)"/>
      <w:numFmt w:val="upperLetter"/>
      <w:start w:val="1"/>
    </w:lvl>
  </w:abstractNum>
  <w:abstractNum w:abstractNumId="67">
    <w:nsid w:val="71482545"/>
    <w:multiLevelType w:val="hybridMultilevel"/>
    <w:lvl w:ilvl="0">
      <w:lvlJc w:val="left"/>
      <w:lvlText w:val="(%1)"/>
      <w:numFmt w:val="upperLetter"/>
      <w:start w:val="11"/>
    </w:lvl>
  </w:abstractNum>
  <w:abstractNum w:abstractNumId="68">
    <w:nsid w:val="17D78639"/>
    <w:multiLevelType w:val="hybridMultilevel"/>
    <w:lvl w:ilvl="0">
      <w:lvlJc w:val="left"/>
      <w:lvlText w:val="."/>
      <w:numFmt w:val="bullet"/>
      <w:start w:val="1"/>
    </w:lvl>
  </w:abstractNum>
  <w:abstractNum w:abstractNumId="69">
    <w:nsid w:val="141D2302"/>
    <w:multiLevelType w:val="hybridMultilevel"/>
    <w:lvl w:ilvl="0">
      <w:lvlJc w:val="left"/>
      <w:lvlText w:val="(%1)"/>
      <w:numFmt w:val="lowerLetter"/>
      <w:start w:val="1"/>
    </w:lvl>
  </w:abstractNum>
  <w:abstractNum w:abstractNumId="70">
    <w:nsid w:val="407168D8"/>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2"/>
    </w:lvl>
    <w:lvl w:ilvl="3">
      <w:lvlJc w:val="left"/>
      <w:lvlText w:val="(%4)"/>
      <w:numFmt w:val="upperLetter"/>
      <w:start w:val="1"/>
    </w:lvl>
  </w:abstractNum>
  <w:abstractNum w:abstractNumId="71">
    <w:nsid w:val="6A1B45E5"/>
    <w:multiLevelType w:val="hybridMultilevel"/>
    <w:lvl w:ilvl="0">
      <w:lvlJc w:val="left"/>
      <w:lvlText w:val="(%1)"/>
      <w:numFmt w:val="decimal"/>
      <w:start w:val="12"/>
    </w:lvl>
    <w:lvl w:ilvl="1">
      <w:lvlJc w:val="left"/>
      <w:lvlText w:val="(%2)"/>
      <w:numFmt w:val="lowerLetter"/>
      <w:start w:val="1"/>
    </w:lvl>
    <w:lvl w:ilvl="2">
      <w:lvlJc w:val="left"/>
      <w:lvlText w:val="(%3)"/>
      <w:numFmt w:val="lowerRoman"/>
      <w:start w:val="2"/>
    </w:lvl>
    <w:lvl w:ilvl="3">
      <w:lvlJc w:val="left"/>
      <w:lvlText w:val="(%4)"/>
      <w:numFmt w:val="upperLetter"/>
      <w:start w:val="2"/>
    </w:lvl>
  </w:abstractNum>
  <w:abstractNum w:abstractNumId="72">
    <w:nsid w:val="567BD50A"/>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lvl w:ilvl="3">
      <w:lvlJc w:val="left"/>
      <w:lvlText w:val="%4"/>
      <w:numFmt w:val="upperLetter"/>
      <w:start w:val="1"/>
    </w:lvl>
  </w:abstractNum>
  <w:abstractNum w:abstractNumId="73">
    <w:nsid w:val="73BBD7F8"/>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lvl w:ilvl="3">
      <w:lvlJc w:val="left"/>
      <w:lvlText w:val="%4"/>
      <w:numFmt w:val="upperLetter"/>
      <w:start w:val="1"/>
    </w:lvl>
  </w:abstractNum>
  <w:abstractNum w:abstractNumId="74">
    <w:nsid w:val="1876589D"/>
    <w:multiLevelType w:val="hybridMultilevel"/>
    <w:lvl w:ilvl="0">
      <w:lvlJc w:val="left"/>
      <w:lvlText w:val="(%1)"/>
      <w:numFmt w:val="lowerLetter"/>
      <w:start w:val="5"/>
    </w:lvl>
    <w:lvl w:ilvl="1">
      <w:lvlJc w:val="left"/>
      <w:lvlText w:val="(%2)"/>
      <w:numFmt w:val="lowerLetter"/>
      <w:start w:val="9"/>
    </w:lvl>
  </w:abstractNum>
  <w:abstractNum w:abstractNumId="75">
    <w:nsid w:val="327FAC77"/>
    <w:multiLevelType w:val="hybridMultilevel"/>
    <w:lvl w:ilvl="0">
      <w:lvlJc w:val="left"/>
      <w:lvlText w:val="(%1)"/>
      <w:numFmt w:val="upperLetter"/>
      <w:start w:val="1"/>
    </w:lvl>
    <w:lvl w:ilvl="1">
      <w:lvlJc w:val="left"/>
      <w:lvlText w:val="(%2)"/>
      <w:numFmt w:val="lowerLetter"/>
      <w:start w:val="5"/>
    </w:lvl>
    <w:lvl w:ilvl="2">
      <w:lvlJc w:val="left"/>
      <w:lvlText w:val="(%3)"/>
      <w:numFmt w:val="lowerRoman"/>
      <w:start w:val="3"/>
    </w:lvl>
  </w:abstractNum>
  <w:abstractNum w:abstractNumId="76">
    <w:nsid w:val="5A606509"/>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1"/>
    </w:lvl>
  </w:abstractNum>
  <w:abstractNum w:abstractNumId="77">
    <w:nsid w:val="6F38E6D1"/>
    <w:multiLevelType w:val="hybridMultilevel"/>
    <w:lvl w:ilvl="0">
      <w:lvlJc w:val="left"/>
      <w:lvlText w:val="(%1)"/>
      <w:numFmt w:val="lowerLetter"/>
      <w:start w:val="1"/>
    </w:lvl>
  </w:abstractNum>
  <w:abstractNum w:abstractNumId="78">
    <w:nsid w:val="46111BA5"/>
    <w:multiLevelType w:val="hybridMultilevel"/>
    <w:lvl w:ilvl="0">
      <w:lvlJc w:val="left"/>
      <w:lvlText w:val="."/>
      <w:numFmt w:val="bullet"/>
      <w:start w:val="1"/>
    </w:lvl>
  </w:abstractNum>
  <w:abstractNum w:abstractNumId="79">
    <w:nsid w:val="5E963896"/>
    <w:multiLevelType w:val="hybridMultilevel"/>
    <w:lvl w:ilvl="0">
      <w:lvlJc w:val="left"/>
      <w:lvlText w:val="(%1)"/>
      <w:numFmt w:val="lowerLetter"/>
      <w:start w:val="1"/>
    </w:lvl>
  </w:abstractNum>
  <w:abstractNum w:abstractNumId="80">
    <w:nsid w:val="775BA7C1"/>
    <w:multiLevelType w:val="hybridMultilevel"/>
    <w:lvl w:ilvl="0">
      <w:lvlJc w:val="left"/>
      <w:lvlText w:val="(%1)"/>
      <w:numFmt w:val="lowerLetter"/>
      <w:start w:val="6"/>
    </w:lvl>
  </w:abstractNum>
  <w:abstractNum w:abstractNumId="81">
    <w:nsid w:val="1DD6D6F4"/>
    <w:multiLevelType w:val="hybridMultilevel"/>
    <w:lvl w:ilvl="0">
      <w:lvlJc w:val="left"/>
      <w:lvlText w:val="."/>
      <w:numFmt w:val="bullet"/>
      <w:start w:val="1"/>
    </w:lvl>
  </w:abstractNum>
  <w:abstractNum w:abstractNumId="82">
    <w:nsid w:val="769A091F"/>
    <w:multiLevelType w:val="hybridMultilevel"/>
    <w:lvl w:ilvl="0">
      <w:lvlJc w:val="left"/>
      <w:lvlText w:val="%1"/>
      <w:numFmt w:val="decimal"/>
      <w:start w:val="1"/>
    </w:lvl>
    <w:lvl w:ilvl="1">
      <w:lvlJc w:val="left"/>
      <w:lvlText w:val="(%2)"/>
      <w:numFmt w:val="lowerLetter"/>
      <w:start w:val="1"/>
    </w:lvl>
  </w:abstractNum>
  <w:abstractNum w:abstractNumId="83">
    <w:nsid w:val="4695AE95"/>
    <w:multiLevelType w:val="hybridMultilevel"/>
    <w:lvl w:ilvl="0">
      <w:lvlJc w:val="left"/>
      <w:lvlText w:val="(%1)"/>
      <w:numFmt w:val="decimal"/>
      <w:start w:val="3"/>
    </w:lvl>
    <w:lvl w:ilvl="1">
      <w:lvlJc w:val="left"/>
      <w:lvlText w:val="(%2)"/>
      <w:numFmt w:val="lowerLetter"/>
      <w:start w:val="3"/>
    </w:lvl>
  </w:abstractNum>
  <w:abstractNum w:abstractNumId="84">
    <w:nsid w:val="777A4EAA"/>
    <w:multiLevelType w:val="hybridMultilevel"/>
    <w:lvl w:ilvl="0">
      <w:lvlJc w:val="left"/>
      <w:lvlText w:val="(%1)"/>
      <w:numFmt w:val="lowerLetter"/>
      <w:start w:val="5"/>
    </w:lvl>
  </w:abstractNum>
  <w:abstractNum w:abstractNumId="85">
    <w:nsid w:val="3F48B982"/>
    <w:multiLevelType w:val="hybridMultilevel"/>
    <w:lvl w:ilvl="0">
      <w:lvlJc w:val="left"/>
      <w:lvlText w:val="(%1)"/>
      <w:numFmt w:val="lowerLetter"/>
      <w:start w:val="1"/>
    </w:lvl>
  </w:abstractNum>
  <w:abstractNum w:abstractNumId="86">
    <w:nsid w:val="46BA8FCA"/>
    <w:multiLevelType w:val="hybridMultilevel"/>
    <w:lvl w:ilvl="0">
      <w:lvlJc w:val="left"/>
      <w:lvlText w:val="(%1)"/>
      <w:numFmt w:val="lowerLetter"/>
      <w:start w:val="3"/>
    </w:lvl>
    <w:lvl w:ilvl="1">
      <w:lvlJc w:val="left"/>
      <w:lvlText w:val="(%2)"/>
      <w:numFmt w:val="lowerRoman"/>
      <w:start w:val="1"/>
    </w:lvl>
  </w:abstractNum>
  <w:abstractNum w:abstractNumId="87">
    <w:nsid w:val="7835626C"/>
    <w:multiLevelType w:val="hybridMultilevel"/>
    <w:lvl w:ilvl="0">
      <w:lvlJc w:val="left"/>
      <w:lvlText w:val="(%1)"/>
      <w:numFmt w:val="lowerLetter"/>
      <w:start w:val="4"/>
    </w:lvl>
  </w:abstractNum>
  <w:abstractNum w:abstractNumId="88">
    <w:nsid w:val="665ACA49"/>
    <w:multiLevelType w:val="hybridMultilevel"/>
    <w:lvl w:ilvl="0">
      <w:lvlJc w:val="left"/>
      <w:lvlText w:val="(%1)"/>
      <w:numFmt w:val="lowerLetter"/>
      <w:start w:val="5"/>
    </w:lvl>
  </w:abstractNum>
  <w:abstractNum w:abstractNumId="89">
    <w:nsid w:val="6835B2AE"/>
    <w:multiLevelType w:val="hybridMultilevel"/>
    <w:lvl w:ilvl="0">
      <w:lvlJc w:val="left"/>
      <w:lvlText w:val="(%1)"/>
      <w:numFmt w:val="lowerLetter"/>
      <w:start w:val="1"/>
    </w:lvl>
  </w:abstractNum>
  <w:abstractNum w:abstractNumId="90">
    <w:nsid w:val="4C187C90"/>
    <w:multiLevelType w:val="hybridMultilevel"/>
    <w:lvl w:ilvl="0">
      <w:lvlJc w:val="left"/>
      <w:lvlText w:val="(%1)"/>
      <w:numFmt w:val="lowerLetter"/>
      <w:start w:val="3"/>
    </w:lvl>
  </w:abstractNum>
  <w:abstractNum w:abstractNumId="91">
    <w:nsid w:val="541F28CD"/>
    <w:multiLevelType w:val="hybridMultilevel"/>
    <w:lvl w:ilvl="0">
      <w:lvlJc w:val="left"/>
      <w:lvlText w:val="(%1)"/>
      <w:numFmt w:val="lowerLetter"/>
      <w:start w:val="5"/>
    </w:lvl>
  </w:abstractNum>
  <w:abstractNum w:abstractNumId="92">
    <w:nsid w:val="7F65FD16"/>
    <w:multiLevelType w:val="hybridMultilevel"/>
    <w:lvl w:ilvl="0">
      <w:lvlJc w:val="left"/>
      <w:lvlText w:val="(%1)"/>
      <w:numFmt w:val="lowerLetter"/>
      <w:start w:val="1"/>
    </w:lvl>
  </w:abstractNum>
  <w:abstractNum w:abstractNumId="93">
    <w:nsid w:val="77C9FD68"/>
    <w:multiLevelType w:val="hybridMultilevel"/>
    <w:lvl w:ilvl="0">
      <w:lvlJc w:val="left"/>
      <w:lvlText w:val="%1"/>
      <w:numFmt w:val="lowerLetter"/>
      <w:start w:val="1"/>
    </w:lvl>
    <w:lvl w:ilvl="1">
      <w:lvlJc w:val="left"/>
      <w:lvlText w:val="(%2)"/>
      <w:numFmt w:val="lowerLetter"/>
      <w:start w:val="1"/>
    </w:lvl>
  </w:abstractNum>
  <w:abstractNum w:abstractNumId="94">
    <w:nsid w:val="298A92BA"/>
    <w:multiLevelType w:val="hybridMultilevel"/>
    <w:lvl w:ilvl="0">
      <w:lvlJc w:val="left"/>
      <w:lvlText w:val="(%1)"/>
      <w:numFmt w:val="lowerLetter"/>
      <w:start w:val="4"/>
    </w:lvl>
    <w:lvl w:ilvl="1">
      <w:lvlJc w:val="left"/>
      <w:lvlText w:val="(%2)"/>
      <w:numFmt w:val="lowerLetter"/>
      <w:start w:val="3"/>
    </w:lvl>
  </w:abstractNum>
  <w:abstractNum w:abstractNumId="95">
    <w:nsid w:val="6FE95EAC"/>
    <w:multiLevelType w:val="hybridMultilevel"/>
    <w:lvl w:ilvl="0">
      <w:lvlJc w:val="left"/>
      <w:lvlText w:val="(%1)"/>
      <w:numFmt w:val="lowerLetter"/>
      <w:start w:val="5"/>
    </w:lvl>
  </w:abstractNum>
  <w:abstractNum w:abstractNumId="96">
    <w:nsid w:val="4B697C7A"/>
    <w:multiLevelType w:val="hybridMultilevel"/>
    <w:lvl w:ilvl="0">
      <w:lvlJc w:val="left"/>
      <w:lvlText w:val="(%1)"/>
      <w:numFmt w:val="lowerLetter"/>
      <w:start w:val="1"/>
    </w:lvl>
  </w:abstractNum>
  <w:abstractNum w:abstractNumId="97">
    <w:nsid w:val="51A27AA6"/>
    <w:multiLevelType w:val="hybridMultilevel"/>
    <w:lvl w:ilvl="0">
      <w:lvlJc w:val="left"/>
      <w:lvlText w:val="(%1)"/>
      <w:numFmt w:val="lowerLetter"/>
      <w:start w:val="1"/>
    </w:lvl>
  </w:abstractNum>
  <w:abstractNum w:abstractNumId="98">
    <w:nsid w:val="613183F2"/>
    <w:multiLevelType w:val="hybridMultilevel"/>
    <w:lvl w:ilvl="0">
      <w:lvlJc w:val="left"/>
      <w:lvlText w:val="(%1)"/>
      <w:numFmt w:val="lowerLetter"/>
      <w:start w:val="3"/>
    </w:lvl>
  </w:abstractNum>
  <w:abstractNum w:abstractNumId="99">
    <w:nsid w:val="634102B4"/>
    <w:multiLevelType w:val="hybridMultilevel"/>
    <w:lvl w:ilvl="0">
      <w:lvlJc w:val="left"/>
      <w:lvlText w:val="(%1)"/>
      <w:numFmt w:val="lowerLetter"/>
      <w:start w:val="1"/>
    </w:lvl>
  </w:abstractNum>
  <w:abstractNum w:abstractNumId="100">
    <w:nsid w:val="65BF9DA8"/>
    <w:multiLevelType w:val="hybridMultilevel"/>
    <w:lvl w:ilvl="0">
      <w:lvlJc w:val="left"/>
      <w:lvlText w:val="(%1)"/>
      <w:numFmt w:val="decimal"/>
      <w:start w:val="1"/>
    </w:lvl>
  </w:abstractNum>
  <w:abstractNum w:abstractNumId="101">
    <w:nsid w:val="21A2ECCA"/>
    <w:multiLevelType w:val="hybridMultilevel"/>
    <w:lvl w:ilvl="0">
      <w:lvlJc w:val="left"/>
      <w:lvlText w:val="(%1)"/>
      <w:numFmt w:val="lowerLetter"/>
      <w:start w:val="1"/>
    </w:lvl>
  </w:abstractNum>
  <w:abstractNum w:abstractNumId="102">
    <w:nsid w:val="4D5C4899"/>
    <w:multiLevelType w:val="hybridMultilevel"/>
    <w:lvl w:ilvl="0">
      <w:lvlJc w:val="left"/>
      <w:lvlText w:val="(%1)"/>
      <w:numFmt w:val="lowerLetter"/>
      <w:start w:val="1"/>
    </w:lvl>
  </w:abstractNum>
  <w:abstractNum w:abstractNumId="103">
    <w:nsid w:val="3C3B72B2"/>
    <w:multiLevelType w:val="hybridMultilevel"/>
    <w:lvl w:ilvl="0">
      <w:lvlJc w:val="left"/>
      <w:lvlText w:val="(%1)"/>
      <w:numFmt w:val="decimal"/>
      <w:start w:val="1"/>
    </w:lvl>
  </w:abstractNum>
  <w:abstractNum w:abstractNumId="104">
    <w:nsid w:val="155EC4C2"/>
    <w:multiLevelType w:val="hybridMultilevel"/>
    <w:lvl w:ilvl="0">
      <w:lvlJc w:val="left"/>
      <w:lvlText w:val="(%1)"/>
      <w:numFmt w:val="decimal"/>
      <w:start w:val="5"/>
    </w:lvl>
  </w:abstractNum>
  <w:abstractNum w:abstractNumId="105">
    <w:nsid w:val="65D2A137"/>
    <w:multiLevelType w:val="hybridMultilevel"/>
    <w:lvl w:ilvl="0">
      <w:lvlJc w:val="left"/>
      <w:lvlText w:val="(%1)"/>
      <w:numFmt w:val="lowerLetter"/>
      <w:start w:val="10"/>
    </w:lvl>
  </w:abstractNum>
  <w:abstractNum w:abstractNumId="106">
    <w:nsid w:val="6EBB1F2A"/>
    <w:multiLevelType w:val="hybridMultilevel"/>
    <w:lvl w:ilvl="0">
      <w:lvlJc w:val="left"/>
      <w:lvlText w:val="(%1)"/>
      <w:numFmt w:val="decimal"/>
      <w:start w:val="1"/>
    </w:lvl>
  </w:abstractNum>
  <w:abstractNum w:abstractNumId="107">
    <w:nsid w:val="6FBF29CB"/>
    <w:multiLevelType w:val="hybridMultilevel"/>
    <w:lvl w:ilvl="0">
      <w:lvlJc w:val="left"/>
      <w:lvlText w:val="(%1)"/>
      <w:numFmt w:val="lowerLetter"/>
      <w:start w:val="20"/>
    </w:lvl>
  </w:abstractNum>
  <w:abstractNum w:abstractNumId="108">
    <w:nsid w:val="550B8808"/>
    <w:multiLevelType w:val="hybridMultilevel"/>
    <w:lvl w:ilvl="0">
      <w:lvlJc w:val="left"/>
      <w:lvlText w:val="(%1)"/>
      <w:numFmt w:val="lowerLetter"/>
      <w:start w:val="27"/>
    </w:lvl>
  </w:abstractNum>
  <w:abstractNum w:abstractNumId="109">
    <w:nsid w:val="34CC3ACF"/>
    <w:multiLevelType w:val="hybridMultilevel"/>
    <w:lvl w:ilvl="0">
      <w:lvlJc w:val="left"/>
      <w:lvlText w:val="(%1)"/>
      <w:numFmt w:val="decimal"/>
      <w:start w:val="1"/>
    </w:lvl>
  </w:abstractNum>
  <w:abstractNum w:abstractNumId="110">
    <w:nsid w:val="4E556261"/>
    <w:multiLevelType w:val="hybridMultilevel"/>
    <w:lvl w:ilvl="0">
      <w:lvlJc w:val="left"/>
      <w:lvlText w:val="(%1)"/>
      <w:numFmt w:val="lowerLetter"/>
      <w:start w:val="34"/>
    </w:lvl>
  </w:abstractNum>
  <w:abstractNum w:abstractNumId="111">
    <w:nsid w:val="4C672FC9"/>
    <w:multiLevelType w:val="hybridMultilevel"/>
    <w:lvl w:ilvl="0">
      <w:lvlJc w:val="left"/>
      <w:lvlText w:val="(%1)"/>
      <w:numFmt w:val="lowerLetter"/>
      <w:start w:val="42"/>
    </w:lvl>
  </w:abstractNum>
  <w:abstractNum w:abstractNumId="112">
    <w:nsid w:val="52A311C3"/>
    <w:multiLevelType w:val="hybridMultilevel"/>
    <w:lvl w:ilvl="0">
      <w:lvlJc w:val="left"/>
      <w:lvlText w:val="(%1)"/>
      <w:numFmt w:val="lowerLetter"/>
      <w:start w:val="45"/>
    </w:lvl>
  </w:abstractNum>
  <w:abstractNum w:abstractNumId="113">
    <w:nsid w:val="44EF6B80"/>
    <w:multiLevelType w:val="hybridMultilevel"/>
    <w:lvl w:ilvl="0">
      <w:lvlJc w:val="left"/>
      <w:lvlText w:val="(%1)"/>
      <w:numFmt w:val="lowerLetter"/>
      <w:start w:val="1"/>
    </w:lvl>
  </w:abstractNum>
  <w:abstractNum w:abstractNumId="114">
    <w:nsid w:val="12FCDE5E"/>
    <w:multiLevelType w:val="hybridMultilevel"/>
    <w:lvl w:ilvl="0">
      <w:lvlJc w:val="left"/>
      <w:lvlText w:val="(%1)"/>
      <w:numFmt w:val="lowerLetter"/>
      <w:start w:val="1"/>
    </w:lvl>
  </w:abstractNum>
  <w:abstractNum w:abstractNumId="115">
    <w:nsid w:val="4A1D606E"/>
    <w:multiLevelType w:val="hybridMultilevel"/>
    <w:lvl w:ilvl="0">
      <w:lvlJc w:val="left"/>
      <w:lvlText w:val="(%1)"/>
      <w:numFmt w:val="decimal"/>
      <w:start w:val="2"/>
    </w:lvl>
  </w:abstractNum>
  <w:abstractNum w:abstractNumId="116">
    <w:nsid w:val="4382503"/>
    <w:multiLevelType w:val="hybridMultilevel"/>
    <w:lvl w:ilvl="0">
      <w:lvlJc w:val="left"/>
      <w:lvlText w:val="(%1)"/>
      <w:numFmt w:val="lowerLetter"/>
      <w:start w:val="3"/>
    </w:lvl>
  </w:abstractNum>
  <w:abstractNum w:abstractNumId="117">
    <w:nsid w:val="59B76E28"/>
    <w:multiLevelType w:val="hybridMultilevel"/>
    <w:lvl w:ilvl="0">
      <w:lvlJc w:val="left"/>
      <w:lvlText w:val="(%1)"/>
      <w:numFmt w:val="decimal"/>
      <w:start w:val="1"/>
    </w:lvl>
  </w:abstractNum>
  <w:abstractNum w:abstractNumId="118">
    <w:nsid w:val="4252C2DA"/>
    <w:multiLevelType w:val="hybridMultilevel"/>
    <w:lvl w:ilvl="0">
      <w:lvlJc w:val="left"/>
      <w:lvlText w:val="(%1)"/>
      <w:numFmt w:val="lowerLetter"/>
      <w:start w:val="4"/>
    </w:lvl>
  </w:abstractNum>
  <w:abstractNum w:abstractNumId="119">
    <w:nsid w:val="6A92EF4C"/>
    <w:multiLevelType w:val="hybridMultilevel"/>
    <w:lvl w:ilvl="0">
      <w:lvlJc w:val="left"/>
      <w:lvlText w:val="(%1)"/>
      <w:numFmt w:val="decimal"/>
      <w:start w:val="1"/>
    </w:lvl>
  </w:abstractNum>
  <w:abstractNum w:abstractNumId="120">
    <w:nsid w:val="41ED20D7"/>
    <w:multiLevelType w:val="hybridMultilevel"/>
    <w:lvl w:ilvl="0">
      <w:lvlJc w:val="left"/>
      <w:lvlText w:val="(%1)"/>
      <w:numFmt w:val="decimal"/>
      <w:start w:val="3"/>
    </w:lvl>
  </w:abstractNum>
  <w:abstractNum w:abstractNumId="121">
    <w:nsid w:val="E6B3F6A"/>
    <w:multiLevelType w:val="hybridMultilevel"/>
    <w:lvl w:ilvl="0">
      <w:lvlJc w:val="left"/>
      <w:lvlText w:val="(%1)"/>
      <w:numFmt w:val="lowerLetter"/>
      <w:start w:val="5"/>
    </w:lvl>
  </w:abstractNum>
  <w:abstractNum w:abstractNumId="122">
    <w:nsid w:val="3EB21819"/>
    <w:multiLevelType w:val="hybridMultilevel"/>
    <w:lvl w:ilvl="0">
      <w:lvlJc w:val="left"/>
      <w:lvlText w:val="(%1)"/>
      <w:numFmt w:val="lowerLetter"/>
      <w:start w:val="1"/>
    </w:lvl>
    <w:lvl w:ilvl="1">
      <w:lvlJc w:val="left"/>
      <w:lvlText w:val="(%2)"/>
      <w:numFmt w:val="decimal"/>
      <w:start w:val="1"/>
    </w:lvl>
    <w:lvl w:ilvl="2">
      <w:lvlJc w:val="left"/>
      <w:lvlText w:val="(%3)"/>
      <w:numFmt w:val="upperLetter"/>
      <w:start w:val="1"/>
    </w:lvl>
  </w:abstractNum>
  <w:abstractNum w:abstractNumId="123">
    <w:nsid w:val="41531DED"/>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124">
    <w:nsid w:val="6353CD2"/>
    <w:multiLevelType w:val="hybridMultilevel"/>
    <w:lvl w:ilvl="0">
      <w:lvlJc w:val="left"/>
      <w:lvlText w:val="%1"/>
      <w:numFmt w:val="lowerLetter"/>
      <w:start w:val="1"/>
    </w:lvl>
    <w:lvl w:ilvl="1">
      <w:lvlJc w:val="left"/>
      <w:lvlText w:val="(%2)"/>
      <w:numFmt w:val="decimal"/>
      <w:start w:val="3"/>
    </w:lvl>
    <w:lvl w:ilvl="2">
      <w:lvlJc w:val="left"/>
      <w:lvlText w:val="%3"/>
      <w:numFmt w:val="lowerRoman"/>
      <w:start w:val="1"/>
    </w:lvl>
  </w:abstractNum>
  <w:abstractNum w:abstractNumId="125">
    <w:nsid w:val="683CAAD3"/>
    <w:multiLevelType w:val="hybridMultilevel"/>
    <w:lvl w:ilvl="0">
      <w:lvlJc w:val="left"/>
      <w:lvlText w:val="(%1)"/>
      <w:numFmt w:val="lowerLetter"/>
      <w:start w:val="3"/>
    </w:lvl>
    <w:lvl w:ilvl="1">
      <w:lvlJc w:val="left"/>
      <w:lvlText w:val="%2"/>
      <w:numFmt w:val="decimal"/>
      <w:start w:val="1"/>
    </w:lvl>
    <w:lvl w:ilvl="2">
      <w:lvlJc w:val="left"/>
      <w:lvlText w:val="%3"/>
      <w:numFmt w:val="lowerRoman"/>
      <w:start w:val="1"/>
    </w:lvl>
  </w:abstractNum>
  <w:abstractNum w:abstractNumId="126">
    <w:nsid w:val="313C7C99"/>
    <w:multiLevelType w:val="hybridMultilevel"/>
    <w:lvl w:ilvl="0">
      <w:lvlJc w:val="left"/>
      <w:lvlText w:val="(%1)"/>
      <w:numFmt w:val="lowerLetter"/>
      <w:start w:val="5"/>
    </w:lvl>
    <w:lvl w:ilvl="1">
      <w:lvlJc w:val="left"/>
      <w:lvlText w:val="(%2)"/>
      <w:numFmt w:val="decimal"/>
      <w:start w:val="1"/>
    </w:lvl>
  </w:abstractNum>
  <w:abstractNum w:abstractNumId="127">
    <w:nsid w:val="519EB94C"/>
    <w:multiLevelType w:val="hybridMultilevel"/>
    <w:lvl w:ilvl="0">
      <w:lvlJc w:val="left"/>
      <w:lvlText w:val="%1"/>
      <w:numFmt w:val="decimal"/>
      <w:start w:val="1"/>
    </w:lvl>
    <w:lvl w:ilvl="1">
      <w:lvlJc w:val="left"/>
      <w:lvlText w:val="(%2)"/>
      <w:numFmt w:val="lowerLetter"/>
      <w:start w:val="6"/>
    </w:lvl>
  </w:abstractNum>
  <w:abstractNum w:abstractNumId="128">
    <w:nsid w:val="39DF2579"/>
    <w:multiLevelType w:val="hybridMultilevel"/>
    <w:lvl w:ilvl="0">
      <w:lvlJc w:val="left"/>
      <w:lvlText w:val="(%1)"/>
      <w:numFmt w:val="decimal"/>
      <w:start w:val="3"/>
    </w:lvl>
    <w:lvl w:ilvl="1">
      <w:lvlJc w:val="left"/>
      <w:lvlText w:val="%2"/>
      <w:numFmt w:val="lowerLetter"/>
      <w:start w:val="1"/>
    </w:lvl>
  </w:abstractNum>
  <w:abstractNum w:abstractNumId="129">
    <w:nsid w:val="126E008B"/>
    <w:multiLevelType w:val="hybridMultilevel"/>
    <w:lvl w:ilvl="0">
      <w:lvlJc w:val="left"/>
      <w:lvlText w:val="(%1)"/>
      <w:numFmt w:val="lowerLetter"/>
      <w:start w:val="1"/>
    </w:lvl>
  </w:abstractNum>
  <w:abstractNum w:abstractNumId="130">
    <w:nsid w:val="34DFBC00"/>
    <w:multiLevelType w:val="hybridMultilevel"/>
    <w:lvl w:ilvl="0">
      <w:lvlJc w:val="left"/>
      <w:lvlText w:val="(%1)"/>
      <w:numFmt w:val="decimal"/>
      <w:start w:val="1"/>
    </w:lvl>
  </w:abstractNum>
  <w:abstractNum w:abstractNumId="131">
    <w:nsid w:val="1F9EC322"/>
    <w:multiLevelType w:val="hybridMultilevel"/>
    <w:lvl w:ilvl="0">
      <w:lvlJc w:val="left"/>
      <w:lvlText w:val="(%1)"/>
      <w:numFmt w:val="lowerLetter"/>
      <w:start w:val="2"/>
    </w:lvl>
  </w:abstractNum>
  <w:abstractNum w:abstractNumId="132">
    <w:nsid w:val="3410ED56"/>
    <w:multiLevelType w:val="hybridMultilevel"/>
    <w:lvl w:ilvl="0">
      <w:lvlJc w:val="left"/>
      <w:lvlText w:val="(%1)"/>
      <w:numFmt w:val="lowerLetter"/>
      <w:start w:val="1"/>
    </w:lvl>
  </w:abstractNum>
  <w:abstractNum w:abstractNumId="133">
    <w:nsid w:val="23C049A"/>
    <w:multiLevelType w:val="hybridMultilevel"/>
    <w:lvl w:ilvl="0">
      <w:lvlJc w:val="left"/>
      <w:lvlText w:val="(%1)"/>
      <w:numFmt w:val="lowerLetter"/>
      <w:start w:val="1"/>
    </w:lvl>
  </w:abstractNum>
  <w:abstractNum w:abstractNumId="134">
    <w:nsid w:val="5BDA35D4"/>
    <w:multiLevelType w:val="hybridMultilevel"/>
    <w:lvl w:ilvl="0">
      <w:lvlJc w:val="left"/>
      <w:lvlText w:val="(%1)"/>
      <w:numFmt w:val="lowerLetter"/>
      <w:start w:val="1"/>
    </w:lvl>
  </w:abstractNum>
  <w:abstractNum w:abstractNumId="135">
    <w:nsid w:val="496FB218"/>
    <w:multiLevelType w:val="hybridMultilevel"/>
    <w:lvl w:ilvl="0">
      <w:lvlJc w:val="left"/>
      <w:lvlText w:val="(%1)"/>
      <w:numFmt w:val="decimal"/>
      <w:start w:val="1"/>
    </w:lvl>
    <w:lvl w:ilvl="1">
      <w:lvlJc w:val="left"/>
      <w:lvlText w:val="(%2)"/>
      <w:numFmt w:val="upperLetter"/>
      <w:start w:val="1"/>
    </w:lvl>
  </w:abstractNum>
  <w:abstractNum w:abstractNumId="136">
    <w:nsid w:val="680EA5D1"/>
    <w:multiLevelType w:val="hybridMultilevel"/>
    <w:lvl w:ilvl="0">
      <w:lvlJc w:val="left"/>
      <w:lvlText w:val="(%1)"/>
      <w:numFmt w:val="lowerLetter"/>
      <w:start w:val="1"/>
    </w:lvl>
  </w:abstractNum>
  <w:abstractNum w:abstractNumId="137">
    <w:nsid w:val="4A9554FE"/>
    <w:multiLevelType w:val="hybridMultilevel"/>
    <w:lvl w:ilvl="0">
      <w:lvlJc w:val="left"/>
      <w:lvlText w:val="(%1)"/>
      <w:numFmt w:val="decimal"/>
      <w:start w:val="1"/>
    </w:lvl>
  </w:abstractNum>
  <w:abstractNum w:abstractNumId="138">
    <w:nsid w:val="392EDBE4"/>
    <w:multiLevelType w:val="hybridMultilevel"/>
    <w:lvl w:ilvl="0">
      <w:lvlJc w:val="left"/>
      <w:lvlText w:val="(%1)"/>
      <w:numFmt w:val="lowerLetter"/>
      <w:start w:val="2"/>
    </w:lvl>
  </w:abstractNum>
  <w:abstractNum w:abstractNumId="139">
    <w:nsid w:val="3D1A2DD9"/>
    <w:multiLevelType w:val="hybridMultilevel"/>
    <w:lvl w:ilvl="0">
      <w:lvlJc w:val="left"/>
      <w:lvlText w:val="(%1)"/>
      <w:numFmt w:val="lowerLetter"/>
      <w:start w:val="1"/>
    </w:lvl>
  </w:abstractNum>
  <w:abstractNum w:abstractNumId="140">
    <w:nsid w:val="7F618FCD"/>
    <w:multiLevelType w:val="hybridMultilevel"/>
    <w:lvl w:ilvl="0">
      <w:lvlJc w:val="left"/>
      <w:lvlText w:val="(%1)"/>
      <w:numFmt w:val="lowerLetter"/>
      <w:start w:val="1"/>
    </w:lvl>
  </w:abstractNum>
  <w:abstractNum w:abstractNumId="141">
    <w:nsid w:val="7843E45"/>
    <w:multiLevelType w:val="hybridMultilevel"/>
    <w:lvl w:ilvl="0">
      <w:lvlJc w:val="left"/>
      <w:lvlText w:val="(%1)"/>
      <w:numFmt w:val="lowerLetter"/>
      <w:start w:val="1"/>
    </w:lvl>
  </w:abstractNum>
  <w:abstractNum w:abstractNumId="142">
    <w:nsid w:val="9815DA3"/>
    <w:multiLevelType w:val="hybridMultilevel"/>
    <w:lvl w:ilvl="0">
      <w:lvlJc w:val="left"/>
      <w:lvlText w:val="(%1)"/>
      <w:numFmt w:val="lowerLetter"/>
      <w:start w:val="1"/>
    </w:lvl>
  </w:abstractNum>
  <w:abstractNum w:abstractNumId="143">
    <w:nsid w:val="5204A191"/>
    <w:multiLevelType w:val="hybridMultilevel"/>
    <w:lvl w:ilvl="0">
      <w:lvlJc w:val="left"/>
      <w:lvlText w:val="(%1)"/>
      <w:numFmt w:val="decimal"/>
      <w:start w:val="1"/>
    </w:lvl>
    <w:lvl w:ilvl="1">
      <w:lvlJc w:val="left"/>
      <w:lvlText w:val="(%2)"/>
      <w:numFmt w:val="upperLetter"/>
      <w:start w:val="1"/>
    </w:lvl>
  </w:abstractNum>
  <w:abstractNum w:abstractNumId="144">
    <w:nsid w:val="4C73A9C6"/>
    <w:multiLevelType w:val="hybridMultilevel"/>
    <w:lvl w:ilvl="0">
      <w:lvlJc w:val="left"/>
      <w:lvlText w:val="(%1)"/>
      <w:numFmt w:val="lowerRoman"/>
      <w:start w:val="1"/>
    </w:lvl>
  </w:abstractNum>
  <w:abstractNum w:abstractNumId="145">
    <w:nsid w:val="1C7E3C01"/>
    <w:multiLevelType w:val="hybridMultilevel"/>
    <w:lvl w:ilvl="0">
      <w:lvlJc w:val="left"/>
      <w:lvlText w:val="(%1)"/>
      <w:numFmt w:val="decimal"/>
      <w:start w:val="3"/>
    </w:lvl>
  </w:abstractNum>
  <w:abstractNum w:abstractNumId="146">
    <w:nsid w:val="1C2201FF"/>
    <w:multiLevelType w:val="hybridMultilevel"/>
    <w:lvl w:ilvl="0">
      <w:lvlJc w:val="left"/>
      <w:lvlText w:val="(%1)"/>
      <w:numFmt w:val="decimal"/>
      <w:start w:val="4"/>
    </w:lvl>
  </w:abstractNum>
  <w:abstractNum w:abstractNumId="147">
    <w:nsid w:val="50ABCEC9"/>
    <w:multiLevelType w:val="hybridMultilevel"/>
    <w:lvl w:ilvl="0">
      <w:lvlJc w:val="left"/>
      <w:lvlText w:val="(%1)"/>
      <w:numFmt w:val="lowerLetter"/>
      <w:start w:val="2"/>
    </w:lvl>
  </w:abstractNum>
  <w:abstractNum w:abstractNumId="148">
    <w:nsid w:val="7635AA2A"/>
    <w:multiLevelType w:val="hybridMultilevel"/>
    <w:lvl w:ilvl="0">
      <w:lvlJc w:val="left"/>
      <w:lvlText w:val="(%1)"/>
      <w:numFmt w:val="decimal"/>
      <w:start w:val="1"/>
    </w:lvl>
  </w:abstractNum>
  <w:abstractNum w:abstractNumId="149">
    <w:nsid w:val="5E74C4D9"/>
    <w:multiLevelType w:val="hybridMultilevel"/>
    <w:lvl w:ilvl="0">
      <w:lvlJc w:val="left"/>
      <w:lvlText w:val="(%1)"/>
      <w:numFmt w:val="lowerLetter"/>
      <w:start w:val="3"/>
    </w:lvl>
  </w:abstractNum>
  <w:abstractNum w:abstractNumId="150">
    <w:nsid w:val="3B3EBE15"/>
    <w:multiLevelType w:val="hybridMultilevel"/>
    <w:lvl w:ilvl="0">
      <w:lvlJc w:val="left"/>
      <w:lvlText w:val="(%1)"/>
      <w:numFmt w:val="lowerLetter"/>
      <w:start w:val="1"/>
    </w:lvl>
  </w:abstractNum>
  <w:abstractNum w:abstractNumId="151">
    <w:nsid w:val="3822CB01"/>
    <w:multiLevelType w:val="hybridMultilevel"/>
    <w:lvl w:ilvl="0">
      <w:lvlJc w:val="left"/>
      <w:lvlText w:val="(%1)"/>
      <w:numFmt w:val="lowerLetter"/>
      <w:start w:val="1"/>
    </w:lvl>
  </w:abstractNum>
  <w:abstractNum w:abstractNumId="152">
    <w:nsid w:val="6CE00443"/>
    <w:multiLevelType w:val="hybridMultilevel"/>
    <w:lvl w:ilvl="0">
      <w:lvlJc w:val="left"/>
      <w:lvlText w:val="(%1)"/>
      <w:numFmt w:val="lowerLetter"/>
      <w:start w:val="3"/>
    </w:lvl>
  </w:abstractNum>
  <w:abstractNum w:abstractNumId="153">
    <w:nsid w:val="79F0D62F"/>
    <w:multiLevelType w:val="hybridMultilevel"/>
    <w:lvl w:ilvl="0">
      <w:lvlJc w:val="left"/>
      <w:lvlText w:val="(%1)"/>
      <w:numFmt w:val="lowerLetter"/>
      <w:start w:val="1"/>
    </w:lvl>
  </w:abstractNum>
  <w:abstractNum w:abstractNumId="154">
    <w:nsid w:val="7975E8EE"/>
    <w:multiLevelType w:val="hybridMultilevel"/>
    <w:lvl w:ilvl="0">
      <w:lvlJc w:val="left"/>
      <w:lvlText w:val="(%1)"/>
      <w:numFmt w:val="decimal"/>
      <w:start w:val="1"/>
    </w:lvl>
  </w:abstractNum>
  <w:abstractNum w:abstractNumId="155">
    <w:nsid w:val="73154115"/>
    <w:multiLevelType w:val="hybridMultilevel"/>
    <w:lvl w:ilvl="0">
      <w:lvlJc w:val="left"/>
      <w:lvlText w:val="(%1)"/>
      <w:numFmt w:val="lowerLetter"/>
      <w:start w:val="1"/>
    </w:lvl>
  </w:abstractNum>
  <w:abstractNum w:abstractNumId="156">
    <w:nsid w:val="622D8102"/>
    <w:multiLevelType w:val="hybridMultilevel"/>
    <w:lvl w:ilvl="0">
      <w:lvlJc w:val="left"/>
      <w:lvlText w:val="(%1)"/>
      <w:numFmt w:val="lowerLetter"/>
      <w:start w:val="1"/>
    </w:lvl>
  </w:abstractNum>
  <w:abstractNum w:abstractNumId="157">
    <w:nsid w:val="2AB26587"/>
    <w:multiLevelType w:val="hybridMultilevel"/>
    <w:lvl w:ilvl="0">
      <w:lvlJc w:val="left"/>
      <w:lvlText w:val="(%1)"/>
      <w:numFmt w:val="lowerLetter"/>
      <w:start w:val="2"/>
    </w:lvl>
  </w:abstractNum>
  <w:abstractNum w:abstractNumId="158">
    <w:nsid w:val="44B3FA61"/>
    <w:multiLevelType w:val="hybridMultilevel"/>
    <w:lvl w:ilvl="0">
      <w:lvlJc w:val="left"/>
      <w:lvlText w:val="(%1)"/>
      <w:numFmt w:val="lowerLetter"/>
      <w:start w:val="3"/>
    </w:lvl>
  </w:abstractNum>
  <w:abstractNum w:abstractNumId="159">
    <w:nsid w:val="1C0CA67C"/>
    <w:multiLevelType w:val="hybridMultilevel"/>
    <w:lvl w:ilvl="0">
      <w:lvlJc w:val="left"/>
      <w:lvlText w:val="(%1)"/>
      <w:numFmt w:val="lowerLetter"/>
      <w:start w:val="4"/>
    </w:lvl>
  </w:abstractNum>
  <w:abstractNum w:abstractNumId="160">
    <w:nsid w:val="3D206613"/>
    <w:multiLevelType w:val="hybridMultilevel"/>
    <w:lvl w:ilvl="0">
      <w:lvlJc w:val="left"/>
      <w:lvlText w:val="(%1)"/>
      <w:numFmt w:val="lowerLetter"/>
      <w:start w:val="2"/>
    </w:lvl>
  </w:abstractNum>
  <w:abstractNum w:abstractNumId="161">
    <w:nsid w:val="7993B662"/>
    <w:multiLevelType w:val="hybridMultilevel"/>
    <w:lvl w:ilvl="0">
      <w:lvlJc w:val="left"/>
      <w:lvlText w:val="(%1)"/>
      <w:numFmt w:val="lowerLetter"/>
      <w:start w:val="1"/>
    </w:lvl>
    <w:lvl w:ilvl="1">
      <w:lvlJc w:val="left"/>
      <w:lvlText w:val="(%2)"/>
      <w:numFmt w:val="decimal"/>
      <w:start w:val="1"/>
    </w:lvl>
  </w:abstractNum>
  <w:abstractNum w:abstractNumId="162">
    <w:nsid w:val="3BAB699E"/>
    <w:multiLevelType w:val="hybridMultilevel"/>
    <w:lvl w:ilvl="0">
      <w:lvlJc w:val="left"/>
      <w:lvlText w:val="(%1)"/>
      <w:numFmt w:val="lowerLetter"/>
      <w:start w:val="1"/>
    </w:lvl>
  </w:abstractNum>
  <w:abstractNum w:abstractNumId="163">
    <w:nsid w:val="71315369"/>
    <w:multiLevelType w:val="hybridMultilevel"/>
    <w:lvl w:ilvl="0">
      <w:lvlJc w:val="left"/>
      <w:lvlText w:val="(%1)"/>
      <w:numFmt w:val="lowerLetter"/>
      <w:start w:val="1"/>
    </w:lvl>
  </w:abstractNum>
  <w:abstractNum w:abstractNumId="164">
    <w:nsid w:val="7BCFBAFC"/>
    <w:multiLevelType w:val="hybridMultilevel"/>
    <w:lvl w:ilvl="0">
      <w:lvlJc w:val="left"/>
      <w:lvlText w:val="(%1)"/>
      <w:numFmt w:val="lowerLetter"/>
      <w:start w:val="1"/>
    </w:lvl>
  </w:abstractNum>
  <w:abstractNum w:abstractNumId="165">
    <w:nsid w:val="17859F72"/>
    <w:multiLevelType w:val="hybridMultilevel"/>
    <w:lvl w:ilvl="0">
      <w:lvlJc w:val="left"/>
      <w:lvlText w:val="(%1)"/>
      <w:numFmt w:val="lowerLetter"/>
      <w:start w:val="2"/>
    </w:lvl>
  </w:abstractNum>
  <w:abstractNum w:abstractNumId="166">
    <w:nsid w:val="3AA10581"/>
    <w:multiLevelType w:val="hybridMultilevel"/>
    <w:lvl w:ilvl="0">
      <w:lvlJc w:val="left"/>
      <w:lvlText w:val="(%1)"/>
      <w:numFmt w:val="decimal"/>
      <w:start w:val="1"/>
    </w:lvl>
  </w:abstractNum>
  <w:abstractNum w:abstractNumId="167">
    <w:nsid w:val="63DE60CD"/>
    <w:multiLevelType w:val="hybridMultilevel"/>
    <w:lvl w:ilvl="0">
      <w:lvlJc w:val="left"/>
      <w:lvlText w:val="(%1)"/>
      <w:numFmt w:val="lowerLetter"/>
      <w:start w:val="3"/>
    </w:lvl>
  </w:abstractNum>
  <w:abstractNum w:abstractNumId="168">
    <w:nsid w:val="621AF471"/>
    <w:multiLevelType w:val="hybridMultilevel"/>
    <w:lvl w:ilvl="0">
      <w:lvlJc w:val="left"/>
      <w:lvlText w:val="(%1)"/>
      <w:numFmt w:val="decimal"/>
      <w:start w:val="4"/>
    </w:lvl>
  </w:abstractNum>
  <w:abstractNum w:abstractNumId="169">
    <w:nsid w:val="73CFE165"/>
    <w:multiLevelType w:val="hybridMultilevel"/>
    <w:lvl w:ilvl="0">
      <w:lvlJc w:val="left"/>
      <w:lvlText w:val="(%1)"/>
      <w:numFmt w:val="lowerLetter"/>
      <w:start w:val="1"/>
    </w:lvl>
  </w:abstractNum>
  <w:abstractNum w:abstractNumId="170">
    <w:nsid w:val="20F88EA6"/>
    <w:multiLevelType w:val="hybridMultilevel"/>
    <w:lvl w:ilvl="0">
      <w:lvlJc w:val="left"/>
      <w:lvlText w:val="(%1)"/>
      <w:numFmt w:val="lowerLetter"/>
      <w:start w:val="1"/>
    </w:lvl>
    <w:lvl w:ilvl="1">
      <w:lvlJc w:val="left"/>
      <w:lvlText w:val="(%2)"/>
      <w:numFmt w:val="lowerRoman"/>
      <w:start w:val="1"/>
    </w:lvl>
  </w:abstractNum>
  <w:abstractNum w:abstractNumId="171">
    <w:nsid w:val="617C843E"/>
    <w:multiLevelType w:val="hybridMultilevel"/>
    <w:lvl w:ilvl="0">
      <w:lvlJc w:val="left"/>
      <w:lvlText w:val="(%1)"/>
      <w:numFmt w:val="lowerLetter"/>
      <w:start w:val="3"/>
    </w:lvl>
    <w:lvl w:ilvl="1">
      <w:lvlJc w:val="left"/>
      <w:lvlText w:val="(%2)"/>
      <w:numFmt w:val="lowerRoman"/>
      <w:start w:val="1"/>
    </w:lvl>
    <w:lvl w:ilvl="2">
      <w:lvlJc w:val="left"/>
      <w:lvlText w:val="(%3)"/>
      <w:numFmt w:val="upperLetter"/>
      <w:start w:val="2"/>
    </w:lvl>
    <w:lvl w:ilvl="3">
      <w:lvlJc w:val="left"/>
      <w:lvlText w:val="(%4)"/>
      <w:numFmt w:val="upperLetter"/>
      <w:start w:val="9"/>
    </w:lvl>
  </w:abstractNum>
  <w:abstractNum w:abstractNumId="172">
    <w:nsid w:val="7B541FAB"/>
    <w:multiLevelType w:val="hybridMultilevel"/>
    <w:lvl w:ilvl="0">
      <w:lvlJc w:val="left"/>
      <w:lvlText w:val="(%1)"/>
      <w:numFmt w:val="upperLetter"/>
      <w:start w:val="35"/>
    </w:lvl>
  </w:abstractNum>
  <w:abstractNum w:abstractNumId="173">
    <w:nsid w:val="2A79EC49"/>
    <w:multiLevelType w:val="hybridMultilevel"/>
    <w:lvl w:ilvl="0">
      <w:lvlJc w:val="left"/>
      <w:lvlText w:val="(%1)"/>
      <w:numFmt w:val="upperLetter"/>
      <w:start w:val="61"/>
    </w:lvl>
  </w:abstractNum>
  <w:abstractNum w:abstractNumId="174">
    <w:nsid w:val="338125CF"/>
    <w:multiLevelType w:val="hybridMultilevel"/>
    <w:lvl w:ilvl="0">
      <w:lvlJc w:val="left"/>
      <w:lvlText w:val="%1"/>
      <w:numFmt w:val="upperLetter"/>
      <w:start w:val="1"/>
    </w:lvl>
    <w:lvl w:ilvl="1">
      <w:lvlJc w:val="left"/>
      <w:lvlText w:val="(%2)"/>
      <w:numFmt w:val="lowerRoman"/>
      <w:start w:val="5"/>
    </w:lvl>
  </w:abstractNum>
  <w:abstractNum w:abstractNumId="175">
    <w:nsid w:val="47C7C971"/>
    <w:multiLevelType w:val="hybridMultilevel"/>
    <w:lvl w:ilvl="0">
      <w:lvlJc w:val="left"/>
      <w:lvlText w:val="(%1)"/>
      <w:numFmt w:val="upperLetter"/>
      <w:start w:val="3"/>
    </w:lvl>
    <w:lvl w:ilvl="1">
      <w:lvlJc w:val="left"/>
      <w:lvlText w:val="%2"/>
      <w:numFmt w:val="lowerRoman"/>
      <w:start w:val="1"/>
    </w:lvl>
  </w:abstractNum>
  <w:abstractNum w:abstractNumId="176">
    <w:nsid w:val="46F8284B"/>
    <w:multiLevelType w:val="hybridMultilevel"/>
    <w:lvl w:ilvl="0">
      <w:lvlJc w:val="left"/>
      <w:lvlText w:val="(%1)"/>
      <w:numFmt w:val="upperLetter"/>
      <w:start w:val="35"/>
    </w:lvl>
  </w:abstractNum>
  <w:abstractNum w:abstractNumId="177">
    <w:nsid w:val="4FA327CE"/>
    <w:multiLevelType w:val="hybridMultilevel"/>
    <w:lvl w:ilvl="0">
      <w:lvlJc w:val="left"/>
      <w:lvlText w:val="(%1)"/>
      <w:numFmt w:val="upperLetter"/>
      <w:start w:val="61"/>
    </w:lvl>
  </w:abstractNum>
  <w:abstractNum w:abstractNumId="178">
    <w:nsid w:val="1873983A"/>
    <w:multiLevelType w:val="hybridMultilevel"/>
    <w:lvl w:ilvl="0">
      <w:lvlJc w:val="left"/>
      <w:lvlText w:val="(%1)"/>
      <w:numFmt w:val="upperLetter"/>
      <w:start w:val="22"/>
    </w:lvl>
  </w:abstractNum>
  <w:abstractNum w:abstractNumId="179">
    <w:nsid w:val="3D2DD275"/>
    <w:multiLevelType w:val="hybridMultilevel"/>
    <w:lvl w:ilvl="0">
      <w:lvlJc w:val="left"/>
      <w:lvlText w:val="(%1)"/>
      <w:numFmt w:val="lowerLetter"/>
      <w:start w:val="4"/>
    </w:lvl>
  </w:abstractNum>
  <w:abstractNum w:abstractNumId="180">
    <w:nsid w:val="2E17ECA7"/>
    <w:multiLevelType w:val="hybridMultilevel"/>
    <w:lvl w:ilvl="0">
      <w:lvlJc w:val="left"/>
      <w:lvlText w:val="(%1)"/>
      <w:numFmt w:val="decimal"/>
      <w:start w:val="9"/>
    </w:lvl>
  </w:abstractNum>
  <w:abstractNum w:abstractNumId="181">
    <w:nsid w:val="53B2564F"/>
    <w:multiLevelType w:val="hybridMultilevel"/>
    <w:lvl w:ilvl="0">
      <w:lvlJc w:val="left"/>
      <w:lvlText w:val="(%1)"/>
      <w:numFmt w:val="lowerLetter"/>
      <w:start w:val="1"/>
    </w:lvl>
  </w:abstractNum>
  <w:abstractNum w:abstractNumId="182">
    <w:nsid w:val="75509D76"/>
    <w:multiLevelType w:val="hybridMultilevel"/>
    <w:lvl w:ilvl="0">
      <w:lvlJc w:val="left"/>
      <w:lvlText w:val="(%1)"/>
      <w:numFmt w:val="lowerLetter"/>
      <w:start w:val="1"/>
    </w:lvl>
  </w:abstractNum>
  <w:abstractNum w:abstractNumId="183">
    <w:nsid w:val="1AF7F0EA"/>
    <w:multiLevelType w:val="hybridMultilevel"/>
    <w:lvl w:ilvl="0">
      <w:lvlJc w:val="left"/>
      <w:lvlText w:val="(%1)"/>
      <w:numFmt w:val="lowerLetter"/>
      <w:start w:val="1"/>
    </w:lvl>
  </w:abstractNum>
  <w:abstractNum w:abstractNumId="184">
    <w:nsid w:val="4DA32C7E"/>
    <w:multiLevelType w:val="hybridMultilevel"/>
    <w:lvl w:ilvl="0">
      <w:lvlJc w:val="left"/>
      <w:lvlText w:val="(%1)"/>
      <w:numFmt w:val="lowerRoman"/>
      <w:start w:val="1"/>
    </w:lvl>
  </w:abstractNum>
  <w:abstractNum w:abstractNumId="185">
    <w:nsid w:val="6EC68664"/>
    <w:multiLevelType w:val="hybridMultilevel"/>
    <w:lvl w:ilvl="0">
      <w:lvlJc w:val="left"/>
      <w:lvlText w:val="(%1)"/>
      <w:numFmt w:val="lowerLetter"/>
      <w:start w:val="1"/>
    </w:lvl>
  </w:abstractNum>
  <w:abstractNum w:abstractNumId="186">
    <w:nsid w:val="E0D31FF"/>
    <w:multiLevelType w:val="hybridMultilevel"/>
    <w:lvl w:ilvl="0">
      <w:lvlJc w:val="left"/>
      <w:lvlText w:val="(%1)"/>
      <w:numFmt w:val="lowerLetter"/>
      <w:start w:val="2"/>
    </w:lvl>
  </w:abstractNum>
  <w:abstractNum w:abstractNumId="187">
    <w:nsid w:val="2FD0AD81"/>
    <w:multiLevelType w:val="hybridMultilevel"/>
    <w:lvl w:ilvl="0">
      <w:lvlJc w:val="left"/>
      <w:lvlText w:val="%1."/>
      <w:numFmt w:val="upperLetter"/>
      <w:start w:val="1"/>
    </w:lvl>
  </w:abstractNum>
  <w:abstractNum w:abstractNumId="188">
    <w:nsid w:val="1978EBEB"/>
    <w:multiLevelType w:val="hybridMultilevel"/>
    <w:lvl w:ilvl="0">
      <w:lvlJc w:val="left"/>
      <w:lvlText w:val="%1."/>
      <w:numFmt w:val="decimal"/>
      <w:start w:val="1"/>
    </w:lvl>
  </w:abstractNum>
  <w:abstractNum w:abstractNumId="189">
    <w:nsid w:val="52C12C61"/>
    <w:multiLevelType w:val="hybridMultilevel"/>
    <w:lvl w:ilvl="0">
      <w:lvlJc w:val="left"/>
      <w:lvlText w:val="%1."/>
      <w:numFmt w:val="decimal"/>
      <w:start w:val="2"/>
    </w:lvl>
  </w:abstractNum>
  <w:abstractNum w:abstractNumId="190">
    <w:nsid w:val="4BDD53FD"/>
    <w:multiLevelType w:val="hybridMultilevel"/>
    <w:lvl w:ilvl="0">
      <w:lvlJc w:val="left"/>
      <w:lvlText w:val="(%1)"/>
      <w:numFmt w:val="lowerLetter"/>
      <w:start w:val="1"/>
    </w:lvl>
    <w:lvl w:ilvl="1">
      <w:lvlJc w:val="left"/>
      <w:lvlText w:val="(%2)"/>
      <w:numFmt w:val="decimal"/>
      <w:start w:val="1"/>
    </w:lvl>
  </w:abstractNum>
  <w:abstractNum w:abstractNumId="191">
    <w:nsid w:val="569951FE"/>
    <w:multiLevelType w:val="hybridMultilevel"/>
    <w:lvl w:ilvl="0">
      <w:lvlJc w:val="left"/>
      <w:lvlText w:val="%1"/>
      <w:numFmt w:val="lowerLetter"/>
      <w:start w:val="1"/>
    </w:lvl>
    <w:lvl w:ilvl="1">
      <w:lvlJc w:val="left"/>
      <w:lvlText w:val="(%2)"/>
      <w:numFmt w:val="decimal"/>
      <w:start w:val="2"/>
    </w:lvl>
  </w:abstractNum>
  <w:abstractNum w:abstractNumId="192">
    <w:nsid w:val="4C54E2C3"/>
    <w:multiLevelType w:val="hybridMultilevel"/>
    <w:lvl w:ilvl="0">
      <w:lvlJc w:val="left"/>
      <w:lvlText w:val="(%1)"/>
      <w:numFmt w:val="lowerLetter"/>
      <w:start w:val="3"/>
    </w:lvl>
    <w:lvl w:ilvl="1">
      <w:lvlJc w:val="left"/>
      <w:lvlText w:val="%2"/>
      <w:numFmt w:val="decimal"/>
      <w:start w:val="1"/>
    </w:lvl>
  </w:abstractNum>
  <w:abstractNum w:abstractNumId="193">
    <w:nsid w:val="788BD9B"/>
    <w:multiLevelType w:val="hybridMultilevel"/>
    <w:lvl w:ilvl="0">
      <w:lvlJc w:val="left"/>
      <w:lvlText w:val="(%1)"/>
      <w:numFmt w:val="lowerLetter"/>
      <w:start w:val="10"/>
    </w:lvl>
  </w:abstractNum>
  <w:abstractNum w:abstractNumId="194">
    <w:nsid w:val="47CAA567"/>
    <w:multiLevelType w:val="hybridMultilevel"/>
    <w:lvl w:ilvl="0">
      <w:lvlJc w:val="left"/>
      <w:lvlText w:val="%1."/>
      <w:numFmt w:val="decimal"/>
      <w:start w:val="1"/>
    </w:lvl>
  </w:abstractNum>
  <w:abstractNum w:abstractNumId="195">
    <w:nsid w:val="48249DBF"/>
    <w:multiLevelType w:val="hybridMultilevel"/>
    <w:lvl w:ilvl="0">
      <w:lvlJc w:val="left"/>
      <w:lvlText w:val="%1."/>
      <w:numFmt w:val="decimal"/>
      <w:start w:val="1"/>
    </w:lvl>
  </w:abstractNum>
  <w:abstractNum w:abstractNumId="196">
    <w:nsid w:val="1F0E5D0D"/>
    <w:multiLevelType w:val="hybridMultilevel"/>
    <w:lvl w:ilvl="0">
      <w:lvlJc w:val="left"/>
      <w:lvlText w:val="%1."/>
      <w:numFmt w:val="decimal"/>
      <w:start w:val="1"/>
    </w:lvl>
  </w:abstractNum>
  <w:abstractNum w:abstractNumId="197">
    <w:nsid w:val="26BAAE9"/>
    <w:multiLevelType w:val="hybridMultilevel"/>
    <w:lvl w:ilvl="0">
      <w:lvlJc w:val="left"/>
      <w:lvlText w:val="%1."/>
      <w:numFmt w:val="decimal"/>
      <w:start w:val="1"/>
    </w:lvl>
  </w:abstractNum>
  <w:abstractNum w:abstractNumId="198">
    <w:nsid w:val="2C02FE8C"/>
    <w:multiLevelType w:val="hybridMultilevel"/>
    <w:lvl w:ilvl="0">
      <w:lvlJc w:val="left"/>
      <w:lvlText w:val="(%1)"/>
      <w:numFmt w:val="decimal"/>
      <w:start w:val="1"/>
    </w:lvl>
  </w:abstractNum>
  <w:abstractNum w:abstractNumId="199">
    <w:nsid w:val="129517E"/>
    <w:multiLevelType w:val="hybridMultilevel"/>
    <w:lvl w:ilvl="0">
      <w:lvlJc w:val="left"/>
      <w:lvlText w:val="(%1)"/>
      <w:numFmt w:val="decimal"/>
      <w:start w:val="1"/>
    </w:lvl>
  </w:abstractNum>
  <w:abstractNum w:abstractNumId="200">
    <w:nsid w:val="763B8C4E"/>
    <w:multiLevelType w:val="hybridMultilevel"/>
    <w:lvl w:ilvl="0">
      <w:lvlJc w:val="left"/>
      <w:lvlText w:val="(%1)"/>
      <w:numFmt w:val="decimal"/>
      <w:start w:val="1"/>
    </w:lvl>
  </w:abstractNum>
  <w:abstractNum w:abstractNumId="201">
    <w:nsid w:val="4CFB8D32"/>
    <w:multiLevelType w:val="hybridMultilevel"/>
    <w:lvl w:ilvl="0">
      <w:lvlJc w:val="left"/>
      <w:lvlText w:val="(%1)"/>
      <w:numFmt w:val="decimal"/>
      <w:start w:val="1"/>
    </w:lvl>
  </w:abstractNum>
  <w:abstractNum w:abstractNumId="202">
    <w:nsid w:val="62A5D5BD"/>
    <w:multiLevelType w:val="hybridMultilevel"/>
    <w:lvl w:ilvl="0">
      <w:lvlJc w:val="left"/>
      <w:lvlText w:val="§"/>
      <w:numFmt w:val="bullet"/>
      <w:start w:val="1"/>
    </w:lvl>
  </w:abstractNum>
  <w:abstractNum w:abstractNumId="203">
    <w:nsid w:val="718FABF9"/>
    <w:multiLevelType w:val="hybridMultilevel"/>
    <w:lvl w:ilvl="0">
      <w:lvlJc w:val="left"/>
      <w:lvlText w:val="§"/>
      <w:numFmt w:val="bullet"/>
      <w:start w:val="1"/>
    </w:lvl>
  </w:abstractNum>
  <w:abstractNum w:abstractNumId="204">
    <w:nsid w:val="7775797C"/>
    <w:multiLevelType w:val="hybridMultilevel"/>
    <w:lvl w:ilvl="0">
      <w:lvlJc w:val="left"/>
      <w:lvlText w:val="§"/>
      <w:numFmt w:val="bullet"/>
      <w:start w:val="1"/>
    </w:lvl>
  </w:abstractNum>
  <w:abstractNum w:abstractNumId="205">
    <w:nsid w:val="1626FB8C"/>
    <w:multiLevelType w:val="hybridMultilevel"/>
    <w:lvl w:ilvl="0">
      <w:lvlJc w:val="left"/>
      <w:lvlText w:val="§"/>
      <w:numFmt w:val="bullet"/>
      <w:start w:val="1"/>
    </w:lvl>
  </w:abstractNum>
  <w:abstractNum w:abstractNumId="206">
    <w:nsid w:val="3957756A"/>
    <w:multiLevelType w:val="hybridMultilevel"/>
    <w:lvl w:ilvl="0">
      <w:lvlJc w:val="left"/>
      <w:lvlText w:val="§"/>
      <w:numFmt w:val="bullet"/>
      <w:start w:val="1"/>
    </w:lvl>
  </w:abstractNum>
  <w:abstractNum w:abstractNumId="207">
    <w:nsid w:val="3E6DA1C7"/>
    <w:multiLevelType w:val="hybridMultilevel"/>
    <w:lvl w:ilvl="0">
      <w:lvlJc w:val="left"/>
      <w:lvlText w:val="*"/>
      <w:numFmt w:val="bullet"/>
      <w:start w:val="1"/>
    </w:lvl>
  </w:abstractNum>
  <w:abstractNum w:abstractNumId="208">
    <w:nsid w:val="65CA235B"/>
    <w:multiLevelType w:val="hybridMultilevel"/>
    <w:lvl w:ilvl="0">
      <w:lvlJc w:val="left"/>
      <w:lvlText w:val="§"/>
      <w:numFmt w:val="bullet"/>
      <w:start w:val="1"/>
    </w:lvl>
  </w:abstractNum>
  <w:abstractNum w:abstractNumId="209">
    <w:nsid w:val="51CB0DA4"/>
    <w:multiLevelType w:val="hybridMultilevel"/>
    <w:lvl w:ilvl="0">
      <w:lvlJc w:val="left"/>
      <w:lvlText w:val="§"/>
      <w:numFmt w:val="bullet"/>
      <w:start w:val="1"/>
    </w:lvl>
  </w:abstractNum>
  <w:abstractNum w:abstractNumId="210">
    <w:nsid w:val="7B9B743C"/>
    <w:multiLevelType w:val="hybridMultilevel"/>
    <w:lvl w:ilvl="0">
      <w:lvlJc w:val="left"/>
      <w:lvlText w:val="§"/>
      <w:numFmt w:val="bullet"/>
      <w:start w:val="1"/>
    </w:lvl>
  </w:abstractNum>
  <w:abstractNum w:abstractNumId="211">
    <w:nsid w:val="13E21002"/>
    <w:multiLevelType w:val="hybridMultilevel"/>
    <w:lvl w:ilvl="0">
      <w:lvlJc w:val="left"/>
      <w:lvlText w:val="§"/>
      <w:numFmt w:val="bullet"/>
      <w:start w:val="1"/>
    </w:lvl>
  </w:abstractNum>
  <w:abstractNum w:abstractNumId="212">
    <w:nsid w:val="257D63F4"/>
    <w:multiLevelType w:val="hybridMultilevel"/>
    <w:lvl w:ilvl="0">
      <w:lvlJc w:val="left"/>
      <w:lvlText w:val="§"/>
      <w:numFmt w:val="bullet"/>
      <w:start w:val="1"/>
    </w:lvl>
  </w:abstractNum>
  <w:abstractNum w:abstractNumId="213">
    <w:nsid w:val="70EC11B2"/>
    <w:multiLevelType w:val="hybridMultilevel"/>
    <w:lvl w:ilvl="0">
      <w:lvlJc w:val="left"/>
      <w:lvlText w:val="*"/>
      <w:numFmt w:val="bullet"/>
      <w:start w:val="1"/>
    </w:lvl>
  </w:abstractNum>
  <w:abstractNum w:abstractNumId="214">
    <w:nsid w:val="2EDA00ED"/>
    <w:multiLevelType w:val="hybridMultilevel"/>
    <w:lvl w:ilvl="0">
      <w:lvlJc w:val="left"/>
      <w:lvlText w:val="**"/>
      <w:numFmt w:val="bullet"/>
      <w:start w:val="1"/>
    </w:lvl>
  </w:abstractNum>
  <w:abstractNum w:abstractNumId="215">
    <w:nsid w:val="73209072"/>
    <w:multiLevelType w:val="hybridMultilevel"/>
    <w:lvl w:ilvl="0">
      <w:lvlJc w:val="left"/>
      <w:lvlText w:val="***"/>
      <w:numFmt w:val="bullet"/>
      <w:start w:val="1"/>
    </w:lvl>
  </w:abstractNum>
  <w:abstractNum w:abstractNumId="216">
    <w:nsid w:val="5FB29816"/>
    <w:multiLevelType w:val="hybridMultilevel"/>
    <w:lvl w:ilvl="0">
      <w:lvlJc w:val="left"/>
      <w:lvlText w:val="§"/>
      <w:numFmt w:val="bullet"/>
      <w:start w:val="1"/>
    </w:lvl>
  </w:abstractNum>
  <w:abstractNum w:abstractNumId="217">
    <w:nsid w:val="3CE732EC"/>
    <w:multiLevelType w:val="hybridMultilevel"/>
    <w:lvl w:ilvl="0">
      <w:lvlJc w:val="left"/>
      <w:lvlText w:val="§"/>
      <w:numFmt w:val="bullet"/>
      <w:start w:val="1"/>
    </w:lvl>
  </w:abstractNum>
  <w:abstractNum w:abstractNumId="218">
    <w:nsid w:val="22F13DF3"/>
    <w:multiLevelType w:val="hybridMultilevel"/>
    <w:lvl w:ilvl="0">
      <w:lvlJc w:val="left"/>
      <w:lvlText w:val="§"/>
      <w:numFmt w:val="bullet"/>
      <w:start w:val="1"/>
    </w:lvl>
  </w:abstractNum>
  <w:abstractNum w:abstractNumId="219">
    <w:nsid w:val="792B8401"/>
    <w:multiLevelType w:val="hybridMultilevel"/>
    <w:lvl w:ilvl="0">
      <w:lvlJc w:val="left"/>
      <w:lvlText w:val="§"/>
      <w:numFmt w:val="bullet"/>
      <w:start w:val="1"/>
    </w:lvl>
  </w:abstractNum>
  <w:abstractNum w:abstractNumId="220">
    <w:nsid w:val="FA85F4D"/>
    <w:multiLevelType w:val="hybridMultilevel"/>
    <w:lvl w:ilvl="0">
      <w:lvlJc w:val="left"/>
      <w:lvlText w:val="§"/>
      <w:numFmt w:val="bullet"/>
      <w:start w:val="1"/>
    </w:lvl>
  </w:abstractNum>
  <w:abstractNum w:abstractNumId="221">
    <w:nsid w:val="6ECE91F0"/>
    <w:multiLevelType w:val="hybridMultilevel"/>
    <w:lvl w:ilvl="0">
      <w:lvlJc w:val="left"/>
      <w:lvlText w:val="§"/>
      <w:numFmt w:val="bullet"/>
      <w:start w:val="1"/>
    </w:lvl>
  </w:abstractNum>
  <w:abstractNum w:abstractNumId="222">
    <w:nsid w:val="4FC4D600"/>
    <w:multiLevelType w:val="hybridMultilevel"/>
    <w:lvl w:ilvl="0">
      <w:lvlJc w:val="left"/>
      <w:lvlText w:val="§"/>
      <w:numFmt w:val="bullet"/>
      <w:start w:val="1"/>
    </w:lvl>
  </w:abstractNum>
  <w:abstractNum w:abstractNumId="223">
    <w:nsid w:val="5BFD4210"/>
    <w:multiLevelType w:val="hybridMultilevel"/>
    <w:lvl w:ilvl="0">
      <w:lvlJc w:val="left"/>
      <w:lvlText w:val="§"/>
      <w:numFmt w:val="bullet"/>
      <w:start w:val="1"/>
    </w:lvl>
  </w:abstractNum>
  <w:abstractNum w:abstractNumId="224">
    <w:nsid w:val="76574F8B"/>
    <w:multiLevelType w:val="hybridMultilevel"/>
    <w:lvl w:ilvl="0">
      <w:lvlJc w:val="left"/>
      <w:lvlText w:val="§"/>
      <w:numFmt w:val="bullet"/>
      <w:start w:val="1"/>
    </w:lvl>
  </w:abstractNum>
  <w:abstractNum w:abstractNumId="225">
    <w:nsid w:val="178F7B67"/>
    <w:multiLevelType w:val="hybridMultilevel"/>
    <w:lvl w:ilvl="0">
      <w:lvlJc w:val="left"/>
      <w:lvlText w:val="§"/>
      <w:numFmt w:val="bullet"/>
      <w:start w:val="1"/>
    </w:lvl>
  </w:abstractNum>
  <w:abstractNum w:abstractNumId="226">
    <w:nsid w:val="2421DFCF"/>
    <w:multiLevelType w:val="hybridMultilevel"/>
    <w:lvl w:ilvl="0">
      <w:lvlJc w:val="left"/>
      <w:lvlText w:val="§"/>
      <w:numFmt w:val="bullet"/>
      <w:start w:val="1"/>
    </w:lvl>
  </w:abstractNum>
  <w:abstractNum w:abstractNumId="227">
    <w:nsid w:val="1565AC99"/>
    <w:multiLevelType w:val="hybridMultilevel"/>
    <w:lvl w:ilvl="0">
      <w:lvlJc w:val="left"/>
      <w:lvlText w:val="§"/>
      <w:numFmt w:val="bullet"/>
      <w:start w:val="1"/>
    </w:lvl>
  </w:abstractNum>
  <w:abstractNum w:abstractNumId="228">
    <w:nsid w:val="19FB2650"/>
    <w:multiLevelType w:val="hybridMultilevel"/>
    <w:lvl w:ilvl="0">
      <w:lvlJc w:val="left"/>
      <w:lvlText w:val="§"/>
      <w:numFmt w:val="bullet"/>
      <w:start w:val="1"/>
    </w:lvl>
  </w:abstractNum>
  <w:abstractNum w:abstractNumId="229">
    <w:nsid w:val="5024DE5B"/>
    <w:multiLevelType w:val="hybridMultilevel"/>
    <w:lvl w:ilvl="0">
      <w:lvlJc w:val="left"/>
      <w:lvlText w:val="§"/>
      <w:numFmt w:val="bullet"/>
      <w:start w:val="1"/>
    </w:lvl>
  </w:abstractNum>
  <w:abstractNum w:abstractNumId="230">
    <w:nsid w:val="168EFE17"/>
    <w:multiLevelType w:val="hybridMultilevel"/>
    <w:lvl w:ilvl="0">
      <w:lvlJc w:val="left"/>
      <w:lvlText w:val="§"/>
      <w:numFmt w:val="bullet"/>
      <w:start w:val="1"/>
    </w:lvl>
  </w:abstractNum>
  <w:abstractNum w:abstractNumId="231">
    <w:nsid w:val="1036B29F"/>
    <w:multiLevelType w:val="hybridMultilevel"/>
    <w:lvl w:ilvl="0">
      <w:lvlJc w:val="left"/>
      <w:lvlText w:val="§"/>
      <w:numFmt w:val="bullet"/>
      <w:start w:val="1"/>
    </w:lvl>
  </w:abstractNum>
  <w:abstractNum w:abstractNumId="232">
    <w:nsid w:val="1D206B8E"/>
    <w:multiLevelType w:val="hybridMultilevel"/>
    <w:lvl w:ilvl="0">
      <w:lvlJc w:val="left"/>
      <w:lvlText w:val="§"/>
      <w:numFmt w:val="bullet"/>
      <w:start w:val="1"/>
    </w:lvl>
  </w:abstractNum>
  <w:abstractNum w:abstractNumId="233">
    <w:nsid w:val="7934D3D4"/>
    <w:multiLevelType w:val="hybridMultilevel"/>
    <w:lvl w:ilvl="0">
      <w:lvlJc w:val="left"/>
      <w:lvlText w:val="§"/>
      <w:numFmt w:val="bullet"/>
      <w:start w:val="1"/>
    </w:lvl>
  </w:abstractNum>
  <w:abstractNum w:abstractNumId="234">
    <w:nsid w:val="1C65E98"/>
    <w:multiLevelType w:val="hybridMultilevel"/>
    <w:lvl w:ilvl="0">
      <w:lvlJc w:val="left"/>
      <w:lvlText w:val="§"/>
      <w:numFmt w:val="bullet"/>
      <w:start w:val="1"/>
    </w:lvl>
  </w:abstractNum>
  <w:abstractNum w:abstractNumId="235">
    <w:nsid w:val="1495E50A"/>
    <w:multiLevelType w:val="hybridMultilevel"/>
    <w:lvl w:ilvl="0">
      <w:lvlJc w:val="left"/>
      <w:lvlText w:val="§"/>
      <w:numFmt w:val="bullet"/>
      <w:start w:val="1"/>
    </w:lvl>
  </w:abstractNum>
  <w:abstractNum w:abstractNumId="236">
    <w:nsid w:val="F5BCF61"/>
    <w:multiLevelType w:val="hybridMultilevel"/>
    <w:lvl w:ilvl="0">
      <w:lvlJc w:val="left"/>
      <w:lvlText w:val="§"/>
      <w:numFmt w:val="bullet"/>
      <w:start w:val="1"/>
    </w:lvl>
  </w:abstractNum>
  <w:abstractNum w:abstractNumId="237">
    <w:nsid w:val="3B1DD403"/>
    <w:multiLevelType w:val="hybridMultilevel"/>
    <w:lvl w:ilvl="0">
      <w:lvlJc w:val="left"/>
      <w:lvlText w:val="§"/>
      <w:numFmt w:val="bullet"/>
      <w:start w:val="1"/>
    </w:lvl>
  </w:abstractNum>
  <w:abstractNum w:abstractNumId="238">
    <w:nsid w:val="530386D1"/>
    <w:multiLevelType w:val="hybridMultilevel"/>
    <w:lvl w:ilvl="0">
      <w:lvlJc w:val="left"/>
      <w:lvlText w:val="*"/>
      <w:numFmt w:val="bullet"/>
      <w:start w:val="1"/>
    </w:lvl>
  </w:abstractNum>
  <w:abstractNum w:abstractNumId="239">
    <w:nsid w:val="7525F2BC"/>
    <w:multiLevelType w:val="hybridMultilevel"/>
    <w:lvl w:ilvl="0">
      <w:lvlJc w:val="left"/>
      <w:lvlText w:val="§"/>
      <w:numFmt w:val="bullet"/>
      <w:start w:val="1"/>
    </w:lvl>
  </w:abstractNum>
  <w:abstractNum w:abstractNumId="240">
    <w:nsid w:val="CE8E1A7"/>
    <w:multiLevelType w:val="hybridMultilevel"/>
    <w:lvl w:ilvl="0">
      <w:lvlJc w:val="left"/>
      <w:lvlText w:val="*"/>
      <w:numFmt w:val="bullet"/>
      <w:start w:val="1"/>
    </w:lvl>
  </w:abstractNum>
  <w:abstractNum w:abstractNumId="241">
    <w:nsid w:val="4E9EFB0D"/>
    <w:multiLevelType w:val="hybridMultilevel"/>
    <w:lvl w:ilvl="0">
      <w:lvlJc w:val="left"/>
      <w:lvlText w:val="*"/>
      <w:numFmt w:val="bullet"/>
      <w:start w:val="1"/>
    </w:lvl>
  </w:abstractNum>
  <w:abstractNum w:abstractNumId="242">
    <w:nsid w:val="90802BE"/>
    <w:multiLevelType w:val="hybridMultilevel"/>
    <w:lvl w:ilvl="0">
      <w:lvlJc w:val="left"/>
      <w:lvlText w:val="§"/>
      <w:numFmt w:val="bullet"/>
      <w:start w:val="1"/>
    </w:lvl>
  </w:abstractNum>
  <w:abstractNum w:abstractNumId="243">
    <w:nsid w:val="3266459B"/>
    <w:multiLevelType w:val="hybridMultilevel"/>
    <w:lvl w:ilvl="0">
      <w:lvlJc w:val="left"/>
      <w:lvlText w:val="*"/>
      <w:numFmt w:val="bullet"/>
      <w:start w:val="1"/>
    </w:lvl>
  </w:abstractNum>
  <w:abstractNum w:abstractNumId="244">
    <w:nsid w:val="3F8B0CBF"/>
    <w:multiLevelType w:val="hybridMultilevel"/>
    <w:lvl w:ilvl="0">
      <w:lvlJc w:val="left"/>
      <w:lvlText w:val="§"/>
      <w:numFmt w:val="bullet"/>
      <w:start w:val="1"/>
    </w:lvl>
  </w:abstractNum>
  <w:abstractNum w:abstractNumId="245">
    <w:nsid w:val="37E203AB"/>
    <w:multiLevelType w:val="hybridMultilevel"/>
    <w:lvl w:ilvl="0">
      <w:lvlJc w:val="left"/>
      <w:lvlText w:val="§"/>
      <w:numFmt w:val="bullet"/>
      <w:start w:val="1"/>
    </w:lvl>
  </w:abstractNum>
  <w:abstractNum w:abstractNumId="246">
    <w:nsid w:val="2586D60E"/>
    <w:multiLevelType w:val="hybridMultilevel"/>
    <w:lvl w:ilvl="0">
      <w:lvlJc w:val="left"/>
      <w:lvlText w:val="§"/>
      <w:numFmt w:val="bullet"/>
      <w:start w:val="1"/>
    </w:lvl>
  </w:abstractNum>
  <w:abstractNum w:abstractNumId="247">
    <w:nsid w:val="1F3DA4D5"/>
    <w:multiLevelType w:val="hybridMultilevel"/>
    <w:lvl w:ilvl="0">
      <w:lvlJc w:val="left"/>
      <w:lvlText w:val="*"/>
      <w:numFmt w:val="bullet"/>
      <w:start w:val="1"/>
    </w:lvl>
  </w:abstractNum>
  <w:abstractNum w:abstractNumId="248">
    <w:nsid w:val="74C93698"/>
    <w:multiLevelType w:val="hybridMultilevel"/>
    <w:lvl w:ilvl="0">
      <w:lvlJc w:val="left"/>
      <w:lvlText w:val="**"/>
      <w:numFmt w:val="bullet"/>
      <w:start w:val="1"/>
    </w:lvl>
  </w:abstractNum>
  <w:abstractNum w:abstractNumId="249">
    <w:nsid w:val="48781401"/>
    <w:multiLevelType w:val="hybridMultilevel"/>
    <w:lvl w:ilvl="0">
      <w:lvlJc w:val="left"/>
      <w:lvlText w:val="§"/>
      <w:numFmt w:val="bullet"/>
      <w:start w:val="1"/>
    </w:lvl>
  </w:abstractNum>
  <w:abstractNum w:abstractNumId="250">
    <w:nsid w:val="186928D6"/>
    <w:multiLevelType w:val="hybridMultilevel"/>
    <w:lvl w:ilvl="0">
      <w:lvlJc w:val="left"/>
      <w:lvlText w:val="*"/>
      <w:numFmt w:val="bullet"/>
      <w:start w:val="1"/>
    </w:lvl>
  </w:abstractNum>
  <w:abstractNum w:abstractNumId="251">
    <w:nsid w:val="47195E5"/>
    <w:multiLevelType w:val="hybridMultilevel"/>
    <w:lvl w:ilvl="0">
      <w:lvlJc w:val="left"/>
      <w:lvlText w:val="§"/>
      <w:numFmt w:val="bullet"/>
      <w:start w:val="1"/>
    </w:lvl>
  </w:abstractNum>
  <w:abstractNum w:abstractNumId="252">
    <w:nsid w:val="3746A5F2"/>
    <w:multiLevelType w:val="hybridMultilevel"/>
    <w:lvl w:ilvl="0">
      <w:lvlJc w:val="left"/>
      <w:lvlText w:val="§"/>
      <w:numFmt w:val="bullet"/>
      <w:start w:val="1"/>
    </w:lvl>
  </w:abstractNum>
  <w:abstractNum w:abstractNumId="253">
    <w:nsid w:val="682DFED6"/>
    <w:multiLevelType w:val="hybridMultilevel"/>
    <w:lvl w:ilvl="0">
      <w:lvlJc w:val="left"/>
      <w:lvlText w:val="§"/>
      <w:numFmt w:val="bullet"/>
      <w:start w:val="1"/>
    </w:lvl>
  </w:abstractNum>
  <w:abstractNum w:abstractNumId="254">
    <w:nsid w:val="606ED7F6"/>
    <w:multiLevelType w:val="hybridMultilevel"/>
    <w:lvl w:ilvl="0">
      <w:lvlJc w:val="left"/>
      <w:lvlText w:val="§"/>
      <w:numFmt w:val="bullet"/>
      <w:start w:val="1"/>
    </w:lvl>
  </w:abstractNum>
  <w:abstractNum w:abstractNumId="255">
    <w:nsid w:val="2D9DF57D"/>
    <w:multiLevelType w:val="hybridMultilevel"/>
    <w:lvl w:ilvl="0">
      <w:lvlJc w:val="left"/>
      <w:lvlText w:val="§"/>
      <w:numFmt w:val="bullet"/>
      <w:start w:val="1"/>
    </w:lvl>
  </w:abstractNum>
  <w:abstractNum w:abstractNumId="256">
    <w:nsid w:val="7FBD7A3E"/>
    <w:multiLevelType w:val="hybridMultilevel"/>
    <w:lvl w:ilvl="0">
      <w:lvlJc w:val="left"/>
      <w:lvlText w:val="§"/>
      <w:numFmt w:val="bullet"/>
      <w:start w:val="1"/>
    </w:lvl>
  </w:abstractNum>
  <w:abstractNum w:abstractNumId="257">
    <w:nsid w:val="490B7C5"/>
    <w:multiLevelType w:val="hybridMultilevel"/>
    <w:lvl w:ilvl="0">
      <w:lvlJc w:val="left"/>
      <w:lvlText w:val="§"/>
      <w:numFmt w:val="bullet"/>
      <w:start w:val="1"/>
    </w:lvl>
  </w:abstractNum>
  <w:abstractNum w:abstractNumId="258">
    <w:nsid w:val="4303A216"/>
    <w:multiLevelType w:val="hybridMultilevel"/>
    <w:lvl w:ilvl="0">
      <w:lvlJc w:val="left"/>
      <w:lvlText w:val="§"/>
      <w:numFmt w:val="bullet"/>
      <w:start w:val="1"/>
    </w:lvl>
  </w:abstractNum>
  <w:abstractNum w:abstractNumId="259">
    <w:nsid w:val="19B8A08E"/>
    <w:multiLevelType w:val="hybridMultilevel"/>
    <w:lvl w:ilvl="0">
      <w:lvlJc w:val="left"/>
      <w:lvlText w:val="§"/>
      <w:numFmt w:val="bullet"/>
      <w:start w:val="1"/>
    </w:lvl>
  </w:abstractNum>
  <w:abstractNum w:abstractNumId="260">
    <w:nsid w:val="54B59621"/>
    <w:multiLevelType w:val="hybridMultilevel"/>
    <w:lvl w:ilvl="0">
      <w:lvlJc w:val="left"/>
      <w:lvlText w:val="§"/>
      <w:numFmt w:val="bullet"/>
      <w:start w:val="1"/>
    </w:lvl>
  </w:abstractNum>
  <w:abstractNum w:abstractNumId="261">
    <w:nsid w:val="5992A02E"/>
    <w:multiLevelType w:val="hybridMultilevel"/>
    <w:lvl w:ilvl="0">
      <w:lvlJc w:val="left"/>
      <w:lvlText w:val="§"/>
      <w:numFmt w:val="bullet"/>
      <w:start w:val="1"/>
    </w:lvl>
  </w:abstractNum>
  <w:abstractNum w:abstractNumId="262">
    <w:nsid w:val="29EF532D"/>
    <w:multiLevelType w:val="hybridMultilevel"/>
    <w:lvl w:ilvl="0">
      <w:lvlJc w:val="left"/>
      <w:lvlText w:val="§"/>
      <w:numFmt w:val="bullet"/>
      <w:start w:val="1"/>
    </w:lvl>
  </w:abstractNum>
  <w:abstractNum w:abstractNumId="263">
    <w:nsid w:val="71D601AF"/>
    <w:multiLevelType w:val="hybridMultilevel"/>
    <w:lvl w:ilvl="0">
      <w:lvlJc w:val="left"/>
      <w:lvlText w:val="§"/>
      <w:numFmt w:val="bullet"/>
      <w:start w:val="1"/>
    </w:lvl>
  </w:abstractNum>
  <w:abstractNum w:abstractNumId="264">
    <w:nsid w:val="52C77402"/>
    <w:multiLevelType w:val="hybridMultilevel"/>
    <w:lvl w:ilvl="0">
      <w:lvlJc w:val="left"/>
      <w:lvlText w:val="§"/>
      <w:numFmt w:val="bullet"/>
      <w:start w:val="1"/>
    </w:lvl>
  </w:abstractNum>
  <w:abstractNum w:abstractNumId="265">
    <w:nsid w:val="2BB5B1C6"/>
    <w:multiLevelType w:val="hybridMultilevel"/>
    <w:lvl w:ilvl="0">
      <w:lvlJc w:val="left"/>
      <w:lvlText w:val="§"/>
      <w:numFmt w:val="bullet"/>
      <w:start w:val="1"/>
    </w:lvl>
  </w:abstractNum>
  <w:abstractNum w:abstractNumId="266">
    <w:nsid w:val="66BE6B9"/>
    <w:multiLevelType w:val="hybridMultilevel"/>
    <w:lvl w:ilvl="0">
      <w:lvlJc w:val="left"/>
      <w:lvlText w:val="§"/>
      <w:numFmt w:val="bullet"/>
      <w:start w:val="1"/>
    </w:lvl>
  </w:abstractNum>
  <w:abstractNum w:abstractNumId="267">
    <w:nsid w:val="62234363"/>
    <w:multiLevelType w:val="hybridMultilevel"/>
    <w:lvl w:ilvl="0">
      <w:lvlJc w:val="left"/>
      <w:lvlText w:val="§"/>
      <w:numFmt w:val="bullet"/>
      <w:start w:val="1"/>
    </w:lvl>
  </w:abstractNum>
  <w:abstractNum w:abstractNumId="268">
    <w:nsid w:val="66D385C9"/>
    <w:multiLevelType w:val="hybridMultilevel"/>
    <w:lvl w:ilvl="0">
      <w:lvlJc w:val="left"/>
      <w:lvlText w:val="*"/>
      <w:numFmt w:val="bullet"/>
      <w:start w:val="1"/>
    </w:lvl>
  </w:abstractNum>
  <w:abstractNum w:abstractNumId="269">
    <w:nsid w:val="596F6D8A"/>
    <w:multiLevelType w:val="hybridMultilevel"/>
    <w:lvl w:ilvl="0">
      <w:lvlJc w:val="left"/>
      <w:lvlText w:val="§"/>
      <w:numFmt w:val="bullet"/>
      <w:start w:val="1"/>
    </w:lvl>
  </w:abstractNum>
  <w:abstractNum w:abstractNumId="270">
    <w:nsid w:val="5749361F"/>
    <w:multiLevelType w:val="hybridMultilevel"/>
    <w:lvl w:ilvl="0">
      <w:lvlJc w:val="left"/>
      <w:lvlText w:val="§"/>
      <w:numFmt w:val="bullet"/>
      <w:start w:val="1"/>
    </w:lvl>
  </w:abstractNum>
  <w:abstractNum w:abstractNumId="271">
    <w:nsid w:val="73BC6770"/>
    <w:multiLevelType w:val="hybridMultilevel"/>
    <w:lvl w:ilvl="0">
      <w:lvlJc w:val="left"/>
      <w:lvlText w:val="§"/>
      <w:numFmt w:val="bullet"/>
      <w:start w:val="1"/>
    </w:lvl>
  </w:abstractNum>
  <w:abstractNum w:abstractNumId="272">
    <w:nsid w:val="280E6897"/>
    <w:multiLevelType w:val="hybridMultilevel"/>
    <w:lvl w:ilvl="0">
      <w:lvlJc w:val="left"/>
      <w:lvlText w:val="§"/>
      <w:numFmt w:val="bullet"/>
      <w:start w:val="1"/>
    </w:lvl>
  </w:abstractNum>
  <w:abstractNum w:abstractNumId="273">
    <w:nsid w:val="605138DE"/>
    <w:multiLevelType w:val="hybridMultilevel"/>
    <w:lvl w:ilvl="0">
      <w:lvlJc w:val="left"/>
      <w:lvlText w:val="§"/>
      <w:numFmt w:val="bullet"/>
      <w:start w:val="1"/>
    </w:lvl>
  </w:abstractNum>
  <w:abstractNum w:abstractNumId="274">
    <w:nsid w:val="2622AD0C"/>
    <w:multiLevelType w:val="hybridMultilevel"/>
    <w:lvl w:ilvl="0">
      <w:lvlJc w:val="left"/>
      <w:lvlText w:val="§"/>
      <w:numFmt w:val="bullet"/>
      <w:start w:val="1"/>
    </w:lvl>
  </w:abstractNum>
  <w:abstractNum w:abstractNumId="275">
    <w:nsid w:val="67997556"/>
    <w:multiLevelType w:val="hybridMultilevel"/>
    <w:lvl w:ilvl="0">
      <w:lvlJc w:val="left"/>
      <w:lvlText w:val="§"/>
      <w:numFmt w:val="bullet"/>
      <w:start w:val="1"/>
    </w:lvl>
  </w:abstractNum>
  <w:abstractNum w:abstractNumId="276">
    <w:nsid w:val="18333C89"/>
    <w:multiLevelType w:val="hybridMultilevel"/>
    <w:lvl w:ilvl="0">
      <w:lvlJc w:val="left"/>
      <w:lvlText w:val="§"/>
      <w:numFmt w:val="bullet"/>
      <w:start w:val="1"/>
    </w:lvl>
  </w:abstractNum>
  <w:abstractNum w:abstractNumId="277">
    <w:nsid w:val="4BA9831A"/>
    <w:multiLevelType w:val="hybridMultilevel"/>
    <w:lvl w:ilvl="0">
      <w:lvlJc w:val="left"/>
      <w:lvlText w:val="§"/>
      <w:numFmt w:val="bullet"/>
      <w:start w:val="1"/>
    </w:lvl>
  </w:abstractNum>
  <w:abstractNum w:abstractNumId="278">
    <w:nsid w:val="6D71A2B"/>
    <w:multiLevelType w:val="hybridMultilevel"/>
    <w:lvl w:ilvl="0">
      <w:lvlJc w:val="left"/>
      <w:lvlText w:val="§"/>
      <w:numFmt w:val="bullet"/>
      <w:start w:val="1"/>
    </w:lvl>
  </w:abstractNum>
  <w:abstractNum w:abstractNumId="279">
    <w:nsid w:val="CFC7321"/>
    <w:multiLevelType w:val="hybridMultilevel"/>
    <w:lvl w:ilvl="0">
      <w:lvlJc w:val="left"/>
      <w:lvlText w:val="§"/>
      <w:numFmt w:val="bullet"/>
      <w:start w:val="1"/>
    </w:lvl>
  </w:abstractNum>
  <w:abstractNum w:abstractNumId="280">
    <w:nsid w:val="1421971B"/>
    <w:multiLevelType w:val="hybridMultilevel"/>
    <w:lvl w:ilvl="0">
      <w:lvlJc w:val="left"/>
      <w:lvlText w:val="§"/>
      <w:numFmt w:val="bullet"/>
      <w:start w:val="1"/>
    </w:lvl>
  </w:abstractNum>
  <w:abstractNum w:abstractNumId="281">
    <w:nsid w:val="1F404301"/>
    <w:multiLevelType w:val="hybridMultilevel"/>
    <w:lvl w:ilvl="0">
      <w:lvlJc w:val="left"/>
      <w:lvlText w:val="§"/>
      <w:numFmt w:val="bullet"/>
      <w:start w:val="1"/>
    </w:lvl>
  </w:abstractNum>
  <w:abstractNum w:abstractNumId="282">
    <w:nsid w:val="116E0907"/>
    <w:multiLevelType w:val="hybridMultilevel"/>
    <w:lvl w:ilvl="0">
      <w:lvlJc w:val="left"/>
      <w:lvlText w:val="§"/>
      <w:numFmt w:val="bullet"/>
      <w:start w:val="1"/>
    </w:lvl>
  </w:abstractNum>
  <w:abstractNum w:abstractNumId="283">
    <w:nsid w:val="4B683D0D"/>
    <w:multiLevelType w:val="hybridMultilevel"/>
    <w:lvl w:ilvl="0">
      <w:lvlJc w:val="left"/>
      <w:lvlText w:val="§"/>
      <w:numFmt w:val="bullet"/>
      <w:start w:val="1"/>
    </w:lvl>
  </w:abstractNum>
  <w:abstractNum w:abstractNumId="284">
    <w:nsid w:val="76E41D8"/>
    <w:multiLevelType w:val="hybridMultilevel"/>
    <w:lvl w:ilvl="0">
      <w:lvlJc w:val="left"/>
      <w:lvlText w:val="§"/>
      <w:numFmt w:val="bullet"/>
      <w:start w:val="1"/>
    </w:lvl>
  </w:abstractNum>
  <w:abstractNum w:abstractNumId="285">
    <w:nsid w:val="71DCE0FD"/>
    <w:multiLevelType w:val="hybridMultilevel"/>
    <w:lvl w:ilvl="0">
      <w:lvlJc w:val="left"/>
      <w:lvlText w:val="§"/>
      <w:numFmt w:val="bullet"/>
      <w:start w:val="1"/>
    </w:lvl>
  </w:abstractNum>
  <w:abstractNum w:abstractNumId="286">
    <w:nsid w:val="7906328B"/>
    <w:multiLevelType w:val="hybridMultilevel"/>
    <w:lvl w:ilvl="0">
      <w:lvlJc w:val="left"/>
      <w:lvlText w:val="§"/>
      <w:numFmt w:val="bullet"/>
      <w:start w:val="1"/>
    </w:lvl>
  </w:abstractNum>
  <w:abstractNum w:abstractNumId="287">
    <w:nsid w:val="72BBC16"/>
    <w:multiLevelType w:val="hybridMultilevel"/>
    <w:lvl w:ilvl="0">
      <w:lvlJc w:val="left"/>
      <w:lvlText w:val="§"/>
      <w:numFmt w:val="bullet"/>
      <w:start w:val="1"/>
    </w:lvl>
  </w:abstractNum>
  <w:abstractNum w:abstractNumId="288">
    <w:nsid w:val="766D98C2"/>
    <w:multiLevelType w:val="hybridMultilevel"/>
    <w:lvl w:ilvl="0">
      <w:lvlJc w:val="left"/>
      <w:lvlText w:val="§"/>
      <w:numFmt w:val="bullet"/>
      <w:start w:val="1"/>
    </w:lvl>
  </w:abstractNum>
  <w:abstractNum w:abstractNumId="289">
    <w:nsid w:val="3C09D4A1"/>
    <w:multiLevelType w:val="hybridMultilevel"/>
    <w:lvl w:ilvl="0">
      <w:lvlJc w:val="left"/>
      <w:lvlText w:val="§"/>
      <w:numFmt w:val="bullet"/>
      <w:start w:val="1"/>
    </w:lvl>
  </w:abstractNum>
  <w:abstractNum w:abstractNumId="290">
    <w:nsid w:val="20E45CA4"/>
    <w:multiLevelType w:val="hybridMultilevel"/>
    <w:lvl w:ilvl="0">
      <w:lvlJc w:val="left"/>
      <w:lvlText w:val="§"/>
      <w:numFmt w:val="bullet"/>
      <w:start w:val="1"/>
    </w:lvl>
  </w:abstractNum>
  <w:abstractNum w:abstractNumId="291">
    <w:nsid w:val="4B232EE3"/>
    <w:multiLevelType w:val="hybridMultilevel"/>
    <w:lvl w:ilvl="0">
      <w:lvlJc w:val="left"/>
      <w:lvlText w:val="§"/>
      <w:numFmt w:val="bullet"/>
      <w:start w:val="1"/>
    </w:lvl>
  </w:abstractNum>
  <w:abstractNum w:abstractNumId="292">
    <w:nsid w:val="159C74CF"/>
    <w:multiLevelType w:val="hybridMultilevel"/>
    <w:lvl w:ilvl="0">
      <w:lvlJc w:val="left"/>
      <w:lvlText w:val="§"/>
      <w:numFmt w:val="bullet"/>
      <w:start w:val="1"/>
    </w:lvl>
  </w:abstractNum>
  <w:abstractNum w:abstractNumId="293">
    <w:nsid w:val="4AD3AFD2"/>
    <w:multiLevelType w:val="hybridMultilevel"/>
    <w:lvl w:ilvl="0">
      <w:lvlJc w:val="left"/>
      <w:lvlText w:val="§"/>
      <w:numFmt w:val="bullet"/>
      <w:start w:val="1"/>
    </w:lvl>
  </w:abstractNum>
  <w:abstractNum w:abstractNumId="294">
    <w:nsid w:val="3CF93092"/>
    <w:multiLevelType w:val="hybridMultilevel"/>
    <w:lvl w:ilvl="0">
      <w:lvlJc w:val="left"/>
      <w:lvlText w:val="(%1)"/>
      <w:numFmt w:val="decimal"/>
      <w:start w:val="1"/>
    </w:lvl>
  </w:abstractNum>
  <w:abstractNum w:abstractNumId="295">
    <w:nsid w:val="6863E8D2"/>
    <w:multiLevelType w:val="hybridMultilevel"/>
    <w:lvl w:ilvl="0">
      <w:lvlJc w:val="left"/>
      <w:lvlText w:val="(%1)"/>
      <w:numFmt w:val="decimal"/>
      <w:start w:val="1"/>
    </w:lvl>
  </w:abstractNum>
  <w:abstractNum w:abstractNumId="296">
    <w:nsid w:val="76896198"/>
    <w:multiLevelType w:val="hybridMultilevel"/>
    <w:lvl w:ilvl="0">
      <w:lvlJc w:val="left"/>
      <w:lvlText w:val="(%1)"/>
      <w:numFmt w:val="decimal"/>
      <w:start w:val="1"/>
    </w:lvl>
  </w:abstractNum>
  <w:abstractNum w:abstractNumId="297">
    <w:nsid w:val="4365174B"/>
    <w:multiLevelType w:val="hybridMultilevel"/>
    <w:lvl w:ilvl="0">
      <w:lvlJc w:val="left"/>
      <w:lvlText w:val="§"/>
      <w:numFmt w:val="bullet"/>
      <w:start w:val="1"/>
    </w:lvl>
  </w:abstractNum>
  <w:abstractNum w:abstractNumId="298">
    <w:nsid w:val="4A872C35"/>
    <w:multiLevelType w:val="hybridMultilevel"/>
    <w:lvl w:ilvl="0">
      <w:lvlJc w:val="left"/>
      <w:lvlText w:val="§"/>
      <w:numFmt w:val="bullet"/>
      <w:start w:val="1"/>
    </w:lvl>
  </w:abstractNum>
  <w:abstractNum w:abstractNumId="299">
    <w:nsid w:val="5D5CE761"/>
    <w:multiLevelType w:val="hybridMultilevel"/>
    <w:lvl w:ilvl="0">
      <w:lvlJc w:val="left"/>
      <w:lvlText w:val="§"/>
      <w:numFmt w:val="bullet"/>
      <w:start w:val="1"/>
    </w:lvl>
  </w:abstractNum>
  <w:abstractNum w:abstractNumId="300">
    <w:nsid w:val="1CD484D5"/>
    <w:multiLevelType w:val="hybridMultilevel"/>
    <w:lvl w:ilvl="0">
      <w:lvlJc w:val="left"/>
      <w:lvlText w:val="§"/>
      <w:numFmt w:val="bullet"/>
      <w:start w:val="1"/>
    </w:lvl>
  </w:abstractNum>
  <w:abstractNum w:abstractNumId="301">
    <w:nsid w:val="21D06255"/>
    <w:multiLevelType w:val="hybridMultilevel"/>
    <w:lvl w:ilvl="0">
      <w:lvlJc w:val="left"/>
      <w:lvlText w:val="*"/>
      <w:numFmt w:val="bullet"/>
      <w:start w:val="1"/>
    </w:lvl>
  </w:abstractNum>
  <w:abstractNum w:abstractNumId="302">
    <w:nsid w:val="51194ED1"/>
    <w:multiLevelType w:val="hybridMultilevel"/>
    <w:lvl w:ilvl="0">
      <w:lvlJc w:val="left"/>
      <w:lvlText w:val="§"/>
      <w:numFmt w:val="bullet"/>
      <w:start w:val="1"/>
    </w:lvl>
  </w:abstractNum>
  <w:abstractNum w:abstractNumId="303">
    <w:nsid w:val="44E2ED6C"/>
    <w:multiLevelType w:val="hybridMultilevel"/>
    <w:lvl w:ilvl="0">
      <w:lvlJc w:val="left"/>
      <w:lvlText w:val="§"/>
      <w:numFmt w:val="bullet"/>
      <w:start w:val="1"/>
    </w:lvl>
  </w:abstractNum>
  <w:abstractNum w:abstractNumId="304">
    <w:nsid w:val="2219B33"/>
    <w:multiLevelType w:val="hybridMultilevel"/>
    <w:lvl w:ilvl="0">
      <w:lvlJc w:val="left"/>
      <w:lvlText w:val="*"/>
      <w:numFmt w:val="bullet"/>
      <w:start w:val="1"/>
    </w:lvl>
  </w:abstractNum>
  <w:abstractNum w:abstractNumId="305">
    <w:nsid w:val="773BFBDD"/>
    <w:multiLevelType w:val="hybridMultilevel"/>
    <w:lvl w:ilvl="0">
      <w:lvlJc w:val="left"/>
      <w:lvlText w:val="*"/>
      <w:numFmt w:val="bullet"/>
      <w:start w:val="1"/>
    </w:lvl>
  </w:abstractNum>
  <w:abstractNum w:abstractNumId="306">
    <w:nsid w:val="2C7C62C2"/>
    <w:multiLevelType w:val="hybridMultilevel"/>
    <w:lvl w:ilvl="0">
      <w:lvlJc w:val="left"/>
      <w:lvlText w:val="§"/>
      <w:numFmt w:val="bullet"/>
      <w:start w:val="1"/>
    </w:lvl>
  </w:abstractNum>
  <w:abstractNum w:abstractNumId="307">
    <w:nsid w:val="1A54D7BC"/>
    <w:multiLevelType w:val="hybridMultilevel"/>
    <w:lvl w:ilvl="0">
      <w:lvlJc w:val="left"/>
      <w:lvlText w:val="*"/>
      <w:numFmt w:val="bullet"/>
      <w:start w:val="1"/>
    </w:lvl>
  </w:abstractNum>
  <w:abstractNum w:abstractNumId="308">
    <w:nsid w:val="42E57EF7"/>
    <w:multiLevelType w:val="hybridMultilevel"/>
    <w:lvl w:ilvl="0">
      <w:lvlJc w:val="left"/>
      <w:lvlText w:val="**"/>
      <w:numFmt w:val="bullet"/>
      <w:start w:val="1"/>
    </w:lvl>
  </w:abstractNum>
  <w:abstractNum w:abstractNumId="309">
    <w:nsid w:val="33537CED"/>
    <w:multiLevelType w:val="hybridMultilevel"/>
    <w:lvl w:ilvl="0">
      <w:lvlJc w:val="left"/>
      <w:lvlText w:val="*"/>
      <w:numFmt w:val="bullet"/>
      <w:start w:val="1"/>
    </w:lvl>
  </w:abstractNum>
  <w:abstractNum w:abstractNumId="310">
    <w:nsid w:val="27514ADE"/>
    <w:multiLevelType w:val="hybridMultilevel"/>
    <w:lvl w:ilvl="0">
      <w:lvlJc w:val="left"/>
      <w:lvlText w:val="§"/>
      <w:numFmt w:val="bullet"/>
      <w:start w:val="1"/>
    </w:lvl>
  </w:abstractNum>
  <w:abstractNum w:abstractNumId="311">
    <w:nsid w:val="57071613"/>
    <w:multiLevelType w:val="hybridMultilevel"/>
    <w:lvl w:ilvl="0">
      <w:lvlJc w:val="left"/>
      <w:lvlText w:val="§"/>
      <w:numFmt w:val="bullet"/>
      <w:start w:val="1"/>
    </w:lvl>
  </w:abstractNum>
  <w:abstractNum w:abstractNumId="312">
    <w:nsid w:val="5293BFEF"/>
    <w:multiLevelType w:val="hybridMultilevel"/>
    <w:lvl w:ilvl="0">
      <w:lvlJc w:val="left"/>
      <w:lvlText w:val="§"/>
      <w:numFmt w:val="bullet"/>
      <w:start w:val="1"/>
    </w:lvl>
  </w:abstractNum>
  <w:abstractNum w:abstractNumId="313">
    <w:nsid w:val="38BF53E5"/>
    <w:multiLevelType w:val="hybridMultilevel"/>
    <w:lvl w:ilvl="0">
      <w:lvlJc w:val="left"/>
      <w:lvlText w:val="§"/>
      <w:numFmt w:val="bullet"/>
      <w:start w:val="1"/>
    </w:lvl>
  </w:abstractNum>
  <w:abstractNum w:abstractNumId="314">
    <w:nsid w:val="226F5320"/>
    <w:multiLevelType w:val="hybridMultilevel"/>
    <w:lvl w:ilvl="0">
      <w:lvlJc w:val="left"/>
      <w:lvlText w:val="§"/>
      <w:numFmt w:val="bullet"/>
      <w:start w:val="1"/>
    </w:lvl>
  </w:abstractNum>
  <w:abstractNum w:abstractNumId="315">
    <w:nsid w:val="5A0201C7"/>
    <w:multiLevelType w:val="hybridMultilevel"/>
    <w:lvl w:ilvl="0">
      <w:lvlJc w:val="left"/>
      <w:lvlText w:val="§"/>
      <w:numFmt w:val="bullet"/>
      <w:start w:val="1"/>
    </w:lvl>
  </w:abstractNum>
  <w:abstractNum w:abstractNumId="316">
    <w:nsid w:val="2A9C34E2"/>
    <w:multiLevelType w:val="hybridMultilevel"/>
    <w:lvl w:ilvl="0">
      <w:lvlJc w:val="left"/>
      <w:lvlText w:val="*"/>
      <w:numFmt w:val="bullet"/>
      <w:start w:val="1"/>
    </w:lvl>
  </w:abstractNum>
  <w:abstractNum w:abstractNumId="317">
    <w:nsid w:val="1B7585AB"/>
    <w:multiLevelType w:val="hybridMultilevel"/>
    <w:lvl w:ilvl="0">
      <w:lvlJc w:val="left"/>
      <w:lvlText w:val="§"/>
      <w:numFmt w:val="bullet"/>
      <w:start w:val="1"/>
    </w:lvl>
  </w:abstractNum>
  <w:abstractNum w:abstractNumId="318">
    <w:nsid w:val="612DBDDD"/>
    <w:multiLevelType w:val="hybridMultilevel"/>
    <w:lvl w:ilvl="0">
      <w:lvlJc w:val="left"/>
      <w:lvlText w:val="§"/>
      <w:numFmt w:val="bullet"/>
      <w:start w:val="1"/>
    </w:lvl>
  </w:abstractNum>
  <w:abstractNum w:abstractNumId="319">
    <w:nsid w:val="2109CDA4"/>
    <w:multiLevelType w:val="hybridMultilevel"/>
    <w:lvl w:ilvl="0">
      <w:lvlJc w:val="left"/>
      <w:lvlText w:val="§"/>
      <w:numFmt w:val="bullet"/>
      <w:start w:val="1"/>
    </w:lvl>
  </w:abstractNum>
  <w:abstractNum w:abstractNumId="320">
    <w:nsid w:val="577F5A4D"/>
    <w:multiLevelType w:val="hybridMultilevel"/>
    <w:lvl w:ilvl="0">
      <w:lvlJc w:val="left"/>
      <w:lvlText w:val="§"/>
      <w:numFmt w:val="bullet"/>
      <w:start w:val="1"/>
    </w:lvl>
  </w:abstractNum>
  <w:abstractNum w:abstractNumId="321">
    <w:nsid w:val="2121A81"/>
    <w:multiLevelType w:val="hybridMultilevel"/>
    <w:lvl w:ilvl="0">
      <w:lvlJc w:val="left"/>
      <w:lvlText w:val="§"/>
      <w:numFmt w:val="bullet"/>
      <w:start w:val="1"/>
    </w:lvl>
  </w:abstractNum>
  <w:abstractNum w:abstractNumId="322">
    <w:nsid w:val="6C2CFC88"/>
    <w:multiLevelType w:val="hybridMultilevel"/>
    <w:lvl w:ilvl="0">
      <w:lvlJc w:val="left"/>
      <w:lvlText w:val="§"/>
      <w:numFmt w:val="bullet"/>
      <w:start w:val="1"/>
    </w:lvl>
  </w:abstractNum>
  <w:abstractNum w:abstractNumId="323">
    <w:nsid w:val="6D1BCF1C"/>
    <w:multiLevelType w:val="hybridMultilevel"/>
    <w:lvl w:ilvl="0">
      <w:lvlJc w:val="left"/>
      <w:lvlText w:val="*"/>
      <w:numFmt w:val="bullet"/>
      <w:start w:val="1"/>
    </w:lvl>
  </w:abstractNum>
  <w:abstractNum w:abstractNumId="324">
    <w:nsid w:val="4CE5CA53"/>
    <w:multiLevelType w:val="hybridMultilevel"/>
    <w:lvl w:ilvl="0">
      <w:lvlJc w:val="left"/>
      <w:lvlText w:val="§"/>
      <w:numFmt w:val="bullet"/>
      <w:start w:val="1"/>
    </w:lvl>
  </w:abstractNum>
  <w:abstractNum w:abstractNumId="325">
    <w:nsid w:val="29262D1A"/>
    <w:multiLevelType w:val="hybridMultilevel"/>
    <w:lvl w:ilvl="0">
      <w:lvlJc w:val="left"/>
      <w:lvlText w:val="*"/>
      <w:numFmt w:val="bullet"/>
      <w:start w:val="1"/>
    </w:lvl>
  </w:abstractNum>
  <w:abstractNum w:abstractNumId="326">
    <w:nsid w:val="557FB7EE"/>
    <w:multiLevelType w:val="hybridMultilevel"/>
    <w:lvl w:ilvl="0">
      <w:lvlJc w:val="left"/>
      <w:lvlText w:val="*"/>
      <w:numFmt w:val="bullet"/>
      <w:start w:val="1"/>
    </w:lvl>
  </w:abstractNum>
  <w:abstractNum w:abstractNumId="327">
    <w:nsid w:val="436F2BEB"/>
    <w:multiLevelType w:val="hybridMultilevel"/>
    <w:lvl w:ilvl="0">
      <w:lvlJc w:val="left"/>
      <w:lvlText w:val="*"/>
      <w:numFmt w:val="bullet"/>
      <w:start w:val="1"/>
    </w:lvl>
  </w:abstractNum>
  <w:abstractNum w:abstractNumId="328">
    <w:nsid w:val="6C8B4466"/>
    <w:multiLevelType w:val="hybridMultilevel"/>
    <w:lvl w:ilvl="0">
      <w:lvlJc w:val="left"/>
      <w:lvlText w:val="**"/>
      <w:numFmt w:val="bullet"/>
      <w:start w:val="1"/>
    </w:lvl>
  </w:abstractNum>
  <w:abstractNum w:abstractNumId="329">
    <w:nsid w:val="2006E424"/>
    <w:multiLevelType w:val="hybridMultilevel"/>
    <w:lvl w:ilvl="0">
      <w:lvlJc w:val="left"/>
      <w:lvlText w:val="*"/>
      <w:numFmt w:val="bullet"/>
      <w:start w:val="1"/>
    </w:lvl>
  </w:abstractNum>
  <w:abstractNum w:abstractNumId="330">
    <w:nsid w:val="20CC134C"/>
    <w:multiLevelType w:val="hybridMultilevel"/>
    <w:lvl w:ilvl="0">
      <w:lvlJc w:val="left"/>
      <w:lvlText w:val="**"/>
      <w:numFmt w:val="bullet"/>
      <w:start w:val="1"/>
    </w:lvl>
  </w:abstractNum>
  <w:abstractNum w:abstractNumId="331">
    <w:nsid w:val="95FC93B"/>
    <w:multiLevelType w:val="hybridMultilevel"/>
    <w:lvl w:ilvl="0">
      <w:lvlJc w:val="left"/>
      <w:lvlText w:val="§"/>
      <w:numFmt w:val="bullet"/>
      <w:start w:val="1"/>
    </w:lvl>
  </w:abstractNum>
  <w:abstractNum w:abstractNumId="332">
    <w:nsid w:val="41D74679"/>
    <w:multiLevelType w:val="hybridMultilevel"/>
    <w:lvl w:ilvl="0">
      <w:lvlJc w:val="left"/>
      <w:lvlText w:val="§"/>
      <w:numFmt w:val="bullet"/>
      <w:start w:val="1"/>
    </w:lvl>
  </w:abstractNum>
  <w:abstractNum w:abstractNumId="333">
    <w:nsid w:val="71E5621E"/>
    <w:multiLevelType w:val="hybridMultilevel"/>
    <w:lvl w:ilvl="0">
      <w:lvlJc w:val="left"/>
      <w:lvlText w:val="§"/>
      <w:numFmt w:val="bullet"/>
      <w:start w:val="1"/>
    </w:lvl>
  </w:abstractNum>
  <w:abstractNum w:abstractNumId="334">
    <w:nsid w:val="4E42B6A8"/>
    <w:multiLevelType w:val="hybridMultilevel"/>
    <w:lvl w:ilvl="0">
      <w:lvlJc w:val="left"/>
      <w:lvlText w:val="§"/>
      <w:numFmt w:val="bullet"/>
      <w:start w:val="1"/>
    </w:lvl>
  </w:abstractNum>
  <w:abstractNum w:abstractNumId="335">
    <w:nsid w:val="43F8E1AC"/>
    <w:multiLevelType w:val="hybridMultilevel"/>
    <w:lvl w:ilvl="0">
      <w:lvlJc w:val="left"/>
      <w:lvlText w:val="§"/>
      <w:numFmt w:val="bullet"/>
      <w:start w:val="1"/>
    </w:lvl>
  </w:abstractNum>
  <w:abstractNum w:abstractNumId="336">
    <w:nsid w:val="69215DFB"/>
    <w:multiLevelType w:val="hybridMultilevel"/>
    <w:lvl w:ilvl="0">
      <w:lvlJc w:val="left"/>
      <w:lvlText w:val="§"/>
      <w:numFmt w:val="bullet"/>
      <w:start w:val="1"/>
    </w:lvl>
  </w:abstractNum>
  <w:abstractNum w:abstractNumId="337">
    <w:nsid w:val="7ABF196A"/>
    <w:multiLevelType w:val="hybridMultilevel"/>
    <w:lvl w:ilvl="0">
      <w:lvlJc w:val="left"/>
      <w:lvlText w:val="*"/>
      <w:numFmt w:val="bullet"/>
      <w:start w:val="1"/>
    </w:lvl>
  </w:abstractNum>
  <w:abstractNum w:abstractNumId="338">
    <w:nsid w:val="5E4DB968"/>
    <w:multiLevelType w:val="hybridMultilevel"/>
    <w:lvl w:ilvl="0">
      <w:lvlJc w:val="left"/>
      <w:lvlText w:val="*"/>
      <w:numFmt w:val="bullet"/>
      <w:start w:val="1"/>
    </w:lvl>
  </w:abstractNum>
  <w:abstractNum w:abstractNumId="339">
    <w:nsid w:val="2C06DCF3"/>
    <w:multiLevelType w:val="hybridMultilevel"/>
    <w:lvl w:ilvl="0">
      <w:lvlJc w:val="left"/>
      <w:lvlText w:val="**"/>
      <w:numFmt w:val="bullet"/>
      <w:start w:val="1"/>
    </w:lvl>
  </w:abstractNum>
  <w:abstractNum w:abstractNumId="340">
    <w:nsid w:val="2E129658"/>
    <w:multiLevelType w:val="hybridMultilevel"/>
    <w:lvl w:ilvl="0">
      <w:lvlJc w:val="left"/>
      <w:lvlText w:val="§"/>
      <w:numFmt w:val="bullet"/>
      <w:start w:val="1"/>
    </w:lvl>
  </w:abstractNum>
  <w:abstractNum w:abstractNumId="341">
    <w:nsid w:val="59F0446"/>
    <w:multiLevelType w:val="hybridMultilevel"/>
    <w:lvl w:ilvl="0">
      <w:lvlJc w:val="left"/>
      <w:lvlText w:val="§"/>
      <w:numFmt w:val="bullet"/>
      <w:start w:val="1"/>
    </w:lvl>
  </w:abstractNum>
  <w:abstractNum w:abstractNumId="342">
    <w:nsid w:val="30DF306"/>
    <w:multiLevelType w:val="hybridMultilevel"/>
    <w:lvl w:ilvl="0">
      <w:lvlJc w:val="left"/>
      <w:lvlText w:val="§"/>
      <w:numFmt w:val="bullet"/>
      <w:start w:val="1"/>
    </w:lvl>
  </w:abstractNum>
  <w:abstractNum w:abstractNumId="343">
    <w:nsid w:val="A65647"/>
    <w:multiLevelType w:val="hybridMultilevel"/>
    <w:lvl w:ilvl="0">
      <w:lvlJc w:val="left"/>
      <w:lvlText w:val="9"/>
      <w:numFmt w:val="bullet"/>
      <w:start w:val="1"/>
    </w:lvl>
  </w:abstractNum>
  <w:abstractNum w:abstractNumId="344">
    <w:nsid w:val="3E5E582B"/>
    <w:multiLevelType w:val="hybridMultilevel"/>
    <w:lvl w:ilvl="0">
      <w:lvlJc w:val="left"/>
      <w:lvlText w:val="(%1)"/>
      <w:numFmt w:val="decimal"/>
      <w:start w:val="1"/>
    </w:lvl>
  </w:abstractNum>
  <w:abstractNum w:abstractNumId="345">
    <w:nsid w:val="257D4626"/>
    <w:multiLevelType w:val="hybridMultilevel"/>
    <w:lvl w:ilvl="0">
      <w:lvlJc w:val="left"/>
      <w:lvlText w:val="*"/>
      <w:numFmt w:val="bullet"/>
      <w:start w:val="1"/>
    </w:lvl>
  </w:abstractNum>
  <w:abstractNum w:abstractNumId="346">
    <w:nsid w:val="5AA8580E"/>
    <w:multiLevelType w:val="hybridMultilevel"/>
    <w:lvl w:ilvl="0">
      <w:lvlJc w:val="left"/>
      <w:lvlText w:val="§"/>
      <w:numFmt w:val="bullet"/>
      <w:start w:val="1"/>
    </w:lvl>
  </w:abstractNum>
  <w:abstractNum w:abstractNumId="347">
    <w:nsid w:val="68FA8D0D"/>
    <w:multiLevelType w:val="hybridMultilevel"/>
    <w:lvl w:ilvl="0">
      <w:lvlJc w:val="left"/>
      <w:lvlText w:val="§"/>
      <w:numFmt w:val="bullet"/>
      <w:start w:val="1"/>
    </w:lvl>
  </w:abstractNum>
  <w:abstractNum w:abstractNumId="348">
    <w:nsid w:val="40F2CBD2"/>
    <w:multiLevelType w:val="hybridMultilevel"/>
    <w:lvl w:ilvl="0">
      <w:lvlJc w:val="left"/>
      <w:lvlText w:val="§"/>
      <w:numFmt w:val="bullet"/>
      <w:start w:val="1"/>
    </w:lvl>
  </w:abstractNum>
  <w:abstractNum w:abstractNumId="349">
    <w:nsid w:val="3BD615EB"/>
    <w:multiLevelType w:val="hybridMultilevel"/>
    <w:lvl w:ilvl="0">
      <w:lvlJc w:val="left"/>
      <w:lvlText w:val="(%1)"/>
      <w:numFmt w:val="decimal"/>
      <w:start w:val="1"/>
    </w:lvl>
  </w:abstractNum>
  <w:abstractNum w:abstractNumId="350">
    <w:nsid w:val="A045AB2"/>
    <w:multiLevelType w:val="hybridMultilevel"/>
    <w:lvl w:ilvl="0">
      <w:lvlJc w:val="left"/>
      <w:lvlText w:val="*"/>
      <w:numFmt w:val="bullet"/>
      <w:start w:val="1"/>
    </w:lvl>
  </w:abstractNum>
  <w:abstractNum w:abstractNumId="351">
    <w:nsid w:val="1872261F"/>
    <w:multiLevelType w:val="hybridMultilevel"/>
    <w:lvl w:ilvl="0">
      <w:lvlJc w:val="left"/>
      <w:lvlText w:val="**"/>
      <w:numFmt w:val="bullet"/>
      <w:start w:val="1"/>
    </w:lvl>
  </w:abstractNum>
  <w:abstractNum w:abstractNumId="352">
    <w:nsid w:val="3DE8306C"/>
    <w:multiLevelType w:val="hybridMultilevel"/>
    <w:lvl w:ilvl="0">
      <w:lvlJc w:val="left"/>
      <w:lvlText w:val="§"/>
      <w:numFmt w:val="bullet"/>
      <w:start w:val="1"/>
    </w:lvl>
  </w:abstractNum>
  <w:abstractNum w:abstractNumId="353">
    <w:nsid w:val="7631573A"/>
    <w:multiLevelType w:val="hybridMultilevel"/>
    <w:lvl w:ilvl="0">
      <w:lvlJc w:val="left"/>
      <w:lvlText w:val="§"/>
      <w:numFmt w:val="bullet"/>
      <w:start w:val="1"/>
    </w:lvl>
  </w:abstractNum>
  <w:abstractNum w:abstractNumId="354">
    <w:nsid w:val="58DF53B"/>
    <w:multiLevelType w:val="hybridMultilevel"/>
    <w:lvl w:ilvl="0">
      <w:lvlJc w:val="left"/>
      <w:lvlText w:val="§"/>
      <w:numFmt w:val="bullet"/>
      <w:start w:val="1"/>
    </w:lvl>
  </w:abstractNum>
  <w:abstractNum w:abstractNumId="355">
    <w:nsid w:val="ACDFAC0"/>
    <w:multiLevelType w:val="hybridMultilevel"/>
    <w:lvl w:ilvl="0">
      <w:lvlJc w:val="left"/>
      <w:lvlText w:val="*"/>
      <w:numFmt w:val="bullet"/>
      <w:start w:val="1"/>
    </w:lvl>
  </w:abstractNum>
  <w:abstractNum w:abstractNumId="356">
    <w:nsid w:val="1F578454"/>
    <w:multiLevelType w:val="hybridMultilevel"/>
    <w:lvl w:ilvl="0">
      <w:lvlJc w:val="left"/>
      <w:lvlText w:val="*"/>
      <w:numFmt w:val="bullet"/>
      <w:start w:val="1"/>
    </w:lvl>
  </w:abstractNum>
  <w:abstractNum w:abstractNumId="357">
    <w:nsid w:val="5B0DAD2A"/>
    <w:multiLevelType w:val="hybridMultilevel"/>
    <w:lvl w:ilvl="0">
      <w:lvlJc w:val="left"/>
      <w:lvlText w:val="*"/>
      <w:numFmt w:val="bullet"/>
      <w:start w:val="1"/>
    </w:lvl>
  </w:abstractNum>
  <w:abstractNum w:abstractNumId="358">
    <w:nsid w:val="4E3D26AB"/>
    <w:multiLevelType w:val="hybridMultilevel"/>
    <w:lvl w:ilvl="0">
      <w:lvlJc w:val="left"/>
      <w:lvlText w:val="*"/>
      <w:numFmt w:val="bullet"/>
      <w:start w:val="1"/>
    </w:lvl>
  </w:abstractNum>
  <w:abstractNum w:abstractNumId="359">
    <w:nsid w:val="BE2C8BA"/>
    <w:multiLevelType w:val="hybridMultilevel"/>
    <w:lvl w:ilvl="0">
      <w:lvlJc w:val="left"/>
      <w:lvlText w:val="**"/>
      <w:numFmt w:val="bullet"/>
      <w:start w:val="1"/>
    </w:lvl>
  </w:abstractNum>
  <w:abstractNum w:abstractNumId="360">
    <w:nsid w:val="7B14914E"/>
    <w:multiLevelType w:val="hybridMultilevel"/>
    <w:lvl w:ilvl="0">
      <w:lvlJc w:val="left"/>
      <w:lvlText w:val="***"/>
      <w:numFmt w:val="bullet"/>
      <w:start w:val="1"/>
    </w:lvl>
  </w:abstractNum>
  <w:abstractNum w:abstractNumId="361">
    <w:nsid w:val="6F0939F8"/>
    <w:multiLevelType w:val="hybridMultilevel"/>
    <w:lvl w:ilvl="0">
      <w:lvlJc w:val="left"/>
      <w:lvlText w:val="§"/>
      <w:numFmt w:val="bullet"/>
      <w:start w:val="1"/>
    </w:lvl>
  </w:abstractNum>
  <w:abstractNum w:abstractNumId="362">
    <w:nsid w:val="154291F6"/>
    <w:multiLevelType w:val="hybridMultilevel"/>
    <w:lvl w:ilvl="0">
      <w:lvlJc w:val="left"/>
      <w:lvlText w:val="*"/>
      <w:numFmt w:val="bullet"/>
      <w:start w:val="1"/>
    </w:lvl>
  </w:abstractNum>
  <w:abstractNum w:abstractNumId="363">
    <w:nsid w:val="3CEBD7C7"/>
    <w:multiLevelType w:val="hybridMultilevel"/>
    <w:lvl w:ilvl="0">
      <w:lvlJc w:val="left"/>
      <w:lvlText w:val="*"/>
      <w:numFmt w:val="bullet"/>
      <w:start w:val="1"/>
    </w:lvl>
  </w:abstractNum>
  <w:abstractNum w:abstractNumId="364">
    <w:nsid w:val="60EE9C16"/>
    <w:multiLevelType w:val="hybridMultilevel"/>
    <w:lvl w:ilvl="0">
      <w:lvlJc w:val="left"/>
      <w:lvlText w:val="2"/>
      <w:numFmt w:val="bullet"/>
      <w:start w:val="1"/>
    </w:lvl>
  </w:abstractNum>
  <w:abstractNum w:abstractNumId="365">
    <w:nsid w:val="6385489E"/>
    <w:multiLevelType w:val="hybridMultilevel"/>
    <w:lvl w:ilvl="0">
      <w:lvlJc w:val="left"/>
      <w:lvlText w:val="3"/>
      <w:numFmt w:val="bullet"/>
      <w:start w:val="1"/>
    </w:lvl>
  </w:abstractNum>
  <w:abstractNum w:abstractNumId="366">
    <w:nsid w:val="E4B973"/>
    <w:multiLevelType w:val="hybridMultilevel"/>
    <w:lvl w:ilvl="0">
      <w:lvlJc w:val="left"/>
      <w:lvlText w:val="§"/>
      <w:numFmt w:val="bullet"/>
      <w:start w:val="1"/>
    </w:lvl>
  </w:abstractNum>
  <w:abstractNum w:abstractNumId="367">
    <w:nsid w:val="4A0FFA11"/>
    <w:multiLevelType w:val="hybridMultilevel"/>
    <w:lvl w:ilvl="0">
      <w:lvlJc w:val="left"/>
      <w:lvlText w:val="§"/>
      <w:numFmt w:val="bullet"/>
      <w:start w:val="1"/>
    </w:lvl>
  </w:abstractNum>
  <w:abstractNum w:abstractNumId="368">
    <w:nsid w:val="5E446208"/>
    <w:multiLevelType w:val="hybridMultilevel"/>
    <w:lvl w:ilvl="0">
      <w:lvlJc w:val="left"/>
      <w:lvlText w:val="*"/>
      <w:numFmt w:val="bullet"/>
      <w:start w:val="1"/>
    </w:lvl>
  </w:abstractNum>
  <w:abstractNum w:abstractNumId="369">
    <w:nsid w:val="5F3272DB"/>
    <w:multiLevelType w:val="hybridMultilevel"/>
    <w:lvl w:ilvl="0">
      <w:lvlJc w:val="left"/>
      <w:lvlText w:val="*"/>
      <w:numFmt w:val="bullet"/>
      <w:start w:val="1"/>
    </w:lvl>
  </w:abstractNum>
  <w:abstractNum w:abstractNumId="370">
    <w:nsid w:val="7616D704"/>
    <w:multiLevelType w:val="hybridMultilevel"/>
    <w:lvl w:ilvl="0">
      <w:lvlJc w:val="left"/>
      <w:lvlText w:val="**"/>
      <w:numFmt w:val="bullet"/>
      <w:start w:val="1"/>
    </w:lvl>
  </w:abstractNum>
  <w:abstractNum w:abstractNumId="371">
    <w:nsid w:val="C56F860"/>
    <w:multiLevelType w:val="hybridMultilevel"/>
    <w:lvl w:ilvl="0">
      <w:lvlJc w:val="left"/>
      <w:lvlText w:val="§"/>
      <w:numFmt w:val="bullet"/>
      <w:start w:val="1"/>
    </w:lvl>
  </w:abstractNum>
  <w:abstractNum w:abstractNumId="372">
    <w:nsid w:val="64D17722"/>
    <w:multiLevelType w:val="hybridMultilevel"/>
    <w:lvl w:ilvl="0">
      <w:lvlJc w:val="left"/>
      <w:lvlText w:val="§"/>
      <w:numFmt w:val="bullet"/>
      <w:start w:val="1"/>
    </w:lvl>
  </w:abstractNum>
  <w:abstractNum w:abstractNumId="373">
    <w:nsid w:val="7924CA0A"/>
    <w:multiLevelType w:val="hybridMultilevel"/>
    <w:lvl w:ilvl="0">
      <w:lvlJc w:val="left"/>
      <w:lvlText w:val="*"/>
      <w:numFmt w:val="bullet"/>
      <w:start w:val="1"/>
    </w:lvl>
  </w:abstractNum>
  <w:abstractNum w:abstractNumId="374">
    <w:nsid w:val="CFD4EA7"/>
    <w:multiLevelType w:val="hybridMultilevel"/>
    <w:lvl w:ilvl="0">
      <w:lvlJc w:val="left"/>
      <w:lvlText w:val="§"/>
      <w:numFmt w:val="bullet"/>
      <w:start w:val="1"/>
    </w:lvl>
  </w:abstractNum>
  <w:abstractNum w:abstractNumId="375">
    <w:nsid w:val="232FCF4D"/>
    <w:multiLevelType w:val="hybridMultilevel"/>
    <w:lvl w:ilvl="0">
      <w:lvlJc w:val="left"/>
      <w:lvlText w:val="§"/>
      <w:numFmt w:val="bullet"/>
      <w:start w:val="1"/>
    </w:lvl>
  </w:abstractNum>
  <w:abstractNum w:abstractNumId="376">
    <w:nsid w:val="1EA21031"/>
    <w:multiLevelType w:val="hybridMultilevel"/>
    <w:lvl w:ilvl="0">
      <w:lvlJc w:val="left"/>
      <w:lvlText w:val="§"/>
      <w:numFmt w:val="bullet"/>
      <w:start w:val="1"/>
    </w:lvl>
  </w:abstractNum>
  <w:abstractNum w:abstractNumId="377">
    <w:nsid w:val="67A5A6B5"/>
    <w:multiLevelType w:val="hybridMultilevel"/>
    <w:lvl w:ilvl="0">
      <w:lvlJc w:val="left"/>
      <w:lvlText w:val="§"/>
      <w:numFmt w:val="bullet"/>
      <w:start w:val="1"/>
    </w:lvl>
  </w:abstractNum>
  <w:abstractNum w:abstractNumId="378">
    <w:nsid w:val="C2A5C5B"/>
    <w:multiLevelType w:val="hybridMultilevel"/>
    <w:lvl w:ilvl="0">
      <w:lvlJc w:val="left"/>
      <w:lvlText w:val="§"/>
      <w:numFmt w:val="bullet"/>
      <w:start w:val="1"/>
    </w:lvl>
  </w:abstractNum>
  <w:abstractNum w:abstractNumId="379">
    <w:nsid w:val="5F94DC03"/>
    <w:multiLevelType w:val="hybridMultilevel"/>
    <w:lvl w:ilvl="0">
      <w:lvlJc w:val="left"/>
      <w:lvlText w:val="§"/>
      <w:numFmt w:val="bullet"/>
      <w:start w:val="1"/>
    </w:lvl>
  </w:abstractNum>
  <w:abstractNum w:abstractNumId="380">
    <w:nsid w:val="237BBCA0"/>
    <w:multiLevelType w:val="hybridMultilevel"/>
    <w:lvl w:ilvl="0">
      <w:lvlJc w:val="left"/>
      <w:lvlText w:val="§"/>
      <w:numFmt w:val="bullet"/>
      <w:start w:val="1"/>
    </w:lvl>
  </w:abstractNum>
  <w:abstractNum w:abstractNumId="381">
    <w:nsid w:val="162EB70D"/>
    <w:multiLevelType w:val="hybridMultilevel"/>
    <w:lvl w:ilvl="0">
      <w:lvlJc w:val="left"/>
      <w:lvlText w:val="§"/>
      <w:numFmt w:val="bullet"/>
      <w:start w:val="1"/>
    </w:lvl>
  </w:abstractNum>
  <w:abstractNum w:abstractNumId="382">
    <w:nsid w:val="78070222"/>
    <w:multiLevelType w:val="hybridMultilevel"/>
    <w:lvl w:ilvl="0">
      <w:lvlJc w:val="left"/>
      <w:lvlText w:val="§"/>
      <w:numFmt w:val="bullet"/>
      <w:start w:val="1"/>
    </w:lvl>
  </w:abstractNum>
  <w:abstractNum w:abstractNumId="383">
    <w:nsid w:val="6163ED0D"/>
    <w:multiLevelType w:val="hybridMultilevel"/>
    <w:lvl w:ilvl="0">
      <w:lvlJc w:val="left"/>
      <w:lvlText w:val="§"/>
      <w:numFmt w:val="bullet"/>
      <w:start w:val="1"/>
    </w:lvl>
  </w:abstractNum>
  <w:abstractNum w:abstractNumId="384">
    <w:nsid w:val="C600E47"/>
    <w:multiLevelType w:val="hybridMultilevel"/>
    <w:lvl w:ilvl="0">
      <w:lvlJc w:val="left"/>
      <w:lvlText w:val="§"/>
      <w:numFmt w:val="bullet"/>
      <w:start w:val="1"/>
    </w:lvl>
  </w:abstractNum>
  <w:abstractNum w:abstractNumId="385">
    <w:nsid w:val="7D94F75D"/>
    <w:multiLevelType w:val="hybridMultilevel"/>
    <w:lvl w:ilvl="0">
      <w:lvlJc w:val="left"/>
      <w:lvlText w:val="§"/>
      <w:numFmt w:val="bullet"/>
      <w:start w:val="1"/>
    </w:lvl>
  </w:abstractNum>
  <w:abstractNum w:abstractNumId="386">
    <w:nsid w:val="6C31E7CD"/>
    <w:multiLevelType w:val="hybridMultilevel"/>
    <w:lvl w:ilvl="0">
      <w:lvlJc w:val="left"/>
      <w:lvlText w:val="§"/>
      <w:numFmt w:val="bullet"/>
      <w:start w:val="1"/>
    </w:lvl>
  </w:abstractNum>
  <w:abstractNum w:abstractNumId="387">
    <w:nsid w:val="2BB7929B"/>
    <w:multiLevelType w:val="hybridMultilevel"/>
    <w:lvl w:ilvl="0">
      <w:lvlJc w:val="left"/>
      <w:lvlText w:val="§"/>
      <w:numFmt w:val="bullet"/>
      <w:start w:val="1"/>
    </w:lvl>
  </w:abstractNum>
  <w:abstractNum w:abstractNumId="388">
    <w:nsid w:val="58A2A487"/>
    <w:multiLevelType w:val="hybridMultilevel"/>
    <w:lvl w:ilvl="0">
      <w:lvlJc w:val="left"/>
      <w:lvlText w:val="§"/>
      <w:numFmt w:val="bullet"/>
      <w:start w:val="1"/>
    </w:lvl>
  </w:abstractNum>
  <w:abstractNum w:abstractNumId="389">
    <w:nsid w:val="3A6F0E78"/>
    <w:multiLevelType w:val="hybridMultilevel"/>
    <w:lvl w:ilvl="0">
      <w:lvlJc w:val="left"/>
      <w:lvlText w:val="*"/>
      <w:numFmt w:val="bullet"/>
      <w:start w:val="1"/>
    </w:lvl>
  </w:abstractNum>
  <w:abstractNum w:abstractNumId="390">
    <w:nsid w:val="379A5B56"/>
    <w:multiLevelType w:val="hybridMultilevel"/>
    <w:lvl w:ilvl="0">
      <w:lvlJc w:val="left"/>
      <w:lvlText w:val="§"/>
      <w:numFmt w:val="bullet"/>
      <w:start w:val="1"/>
    </w:lvl>
  </w:abstractNum>
  <w:abstractNum w:abstractNumId="391">
    <w:nsid w:val="53B735D5"/>
    <w:multiLevelType w:val="hybridMultilevel"/>
    <w:lvl w:ilvl="0">
      <w:lvlJc w:val="left"/>
      <w:lvlText w:val="§"/>
      <w:numFmt w:val="bullet"/>
      <w:start w:val="1"/>
    </w:lvl>
  </w:abstractNum>
  <w:abstractNum w:abstractNumId="392">
    <w:nsid w:val="29784870"/>
    <w:multiLevelType w:val="hybridMultilevel"/>
    <w:lvl w:ilvl="0">
      <w:lvlJc w:val="left"/>
      <w:lvlText w:val="*"/>
      <w:numFmt w:val="bullet"/>
      <w:start w:val="1"/>
    </w:lvl>
  </w:abstractNum>
  <w:abstractNum w:abstractNumId="393">
    <w:nsid w:val="4CDCED4C"/>
    <w:multiLevelType w:val="hybridMultilevel"/>
    <w:lvl w:ilvl="0">
      <w:lvlJc w:val="left"/>
      <w:lvlText w:val="§"/>
      <w:numFmt w:val="bullet"/>
      <w:start w:val="1"/>
    </w:lvl>
  </w:abstractNum>
  <w:abstractNum w:abstractNumId="394">
    <w:nsid w:val="10A30D9C"/>
    <w:multiLevelType w:val="hybridMultilevel"/>
    <w:lvl w:ilvl="0">
      <w:lvlJc w:val="left"/>
      <w:lvlText w:val="*"/>
      <w:numFmt w:val="bullet"/>
      <w:start w:val="1"/>
    </w:lvl>
  </w:abstractNum>
  <w:abstractNum w:abstractNumId="395">
    <w:nsid w:val="A66E486"/>
    <w:multiLevelType w:val="hybridMultilevel"/>
    <w:lvl w:ilvl="0">
      <w:lvlJc w:val="left"/>
      <w:lvlText w:val="%1."/>
      <w:numFmt w:val="decimal"/>
      <w:start w:val="1"/>
    </w:lvl>
  </w:abstractNum>
  <w:abstractNum w:abstractNumId="396">
    <w:nsid w:val="306235EA"/>
    <w:multiLevelType w:val="hybridMultilevel"/>
    <w:lvl w:ilvl="0">
      <w:lvlJc w:val="left"/>
      <w:lvlText w:val="*"/>
      <w:numFmt w:val="bullet"/>
      <w:start w:val="1"/>
    </w:lvl>
  </w:abstractNum>
  <w:abstractNum w:abstractNumId="397">
    <w:nsid w:val="1187C70F"/>
    <w:multiLevelType w:val="hybridMultilevel"/>
    <w:lvl w:ilvl="0">
      <w:lvlJc w:val="left"/>
      <w:lvlText w:val="**"/>
      <w:numFmt w:val="bullet"/>
      <w:start w:val="1"/>
    </w:lvl>
  </w:abstractNum>
  <w:abstractNum w:abstractNumId="398">
    <w:nsid w:val="5476DE98"/>
    <w:multiLevelType w:val="hybridMultilevel"/>
    <w:lvl w:ilvl="0">
      <w:lvlJc w:val="left"/>
      <w:lvlText w:val="*"/>
      <w:numFmt w:val="bullet"/>
      <w:start w:val="1"/>
    </w:lvl>
  </w:abstractNum>
  <w:abstractNum w:abstractNumId="399">
    <w:nsid w:val="EA697F2"/>
    <w:multiLevelType w:val="hybridMultilevel"/>
    <w:lvl w:ilvl="0">
      <w:lvlJc w:val="left"/>
      <w:lvlText w:val="%1."/>
      <w:numFmt w:val="decimal"/>
      <w:start w:val="1"/>
    </w:lvl>
    <w:lvl w:ilvl="1">
      <w:lvlJc w:val="left"/>
      <w:lvlText w:val="%2)"/>
      <w:numFmt w:val="lowerLetter"/>
      <w:start w:val="1"/>
    </w:lvl>
  </w:abstractNum>
  <w:abstractNum w:abstractNumId="400">
    <w:nsid w:val="70BA39EB"/>
    <w:multiLevelType w:val="hybridMultilevel"/>
    <w:lvl w:ilvl="0">
      <w:lvlJc w:val="left"/>
      <w:lvlText w:val="%1."/>
      <w:numFmt w:val="decimal"/>
      <w:start w:val="1"/>
    </w:lvl>
    <w:lvl w:ilvl="1">
      <w:lvlJc w:val="left"/>
      <w:lvlText w:val="%2)"/>
      <w:numFmt w:val="lowerLetter"/>
      <w:start w:val="1"/>
    </w:lvl>
  </w:abstractNum>
  <w:abstractNum w:abstractNumId="401">
    <w:nsid w:val="4A8DB59C"/>
    <w:multiLevelType w:val="hybridMultilevel"/>
    <w:lvl w:ilvl="0">
      <w:lvlJc w:val="left"/>
      <w:lvlText w:val="%1."/>
      <w:numFmt w:val="decimal"/>
      <w:start w:val="1"/>
    </w:lvl>
    <w:lvl w:ilvl="1">
      <w:lvlJc w:val="left"/>
      <w:lvlText w:val="%2)"/>
      <w:numFmt w:val="lowerLetter"/>
      <w:start w:val="1"/>
    </w:lvl>
  </w:abstractNum>
  <w:abstractNum w:abstractNumId="402">
    <w:nsid w:val="1AFD9053"/>
    <w:multiLevelType w:val="hybridMultilevel"/>
    <w:lvl w:ilvl="0">
      <w:lvlJc w:val="left"/>
      <w:lvlText w:val="%1."/>
      <w:numFmt w:val="decimal"/>
      <w:start w:val="1"/>
    </w:lvl>
    <w:lvl w:ilvl="1">
      <w:lvlJc w:val="left"/>
      <w:lvlText w:val="%2)"/>
      <w:numFmt w:val="lowerLetter"/>
      <w:start w:val="1"/>
    </w:lvl>
  </w:abstractNum>
  <w:abstractNum w:abstractNumId="403">
    <w:nsid w:val="558BB10D"/>
    <w:multiLevelType w:val="hybridMultilevel"/>
    <w:lvl w:ilvl="0">
      <w:lvlJc w:val="left"/>
      <w:lvlText w:val="%1."/>
      <w:numFmt w:val="decimal"/>
      <w:start w:val="1"/>
    </w:lvl>
    <w:lvl w:ilvl="1">
      <w:lvlJc w:val="left"/>
      <w:lvlText w:val="%2)"/>
      <w:numFmt w:val="lowerLetter"/>
      <w:start w:val="1"/>
    </w:lvl>
  </w:abstractNum>
  <w:abstractNum w:abstractNumId="404">
    <w:nsid w:val="43B27FA7"/>
    <w:multiLevelType w:val="hybridMultilevel"/>
    <w:lvl w:ilvl="0">
      <w:lvlJc w:val="left"/>
      <w:lvlText w:val="%1."/>
      <w:numFmt w:val="decimal"/>
      <w:start w:val="1"/>
    </w:lvl>
    <w:lvl w:ilvl="1">
      <w:lvlJc w:val="left"/>
      <w:lvlText w:val="%2)"/>
      <w:numFmt w:val="lowerLetter"/>
      <w:start w:val="1"/>
    </w:lvl>
  </w:abstractNum>
  <w:abstractNum w:abstractNumId="405">
    <w:nsid w:val="27FADEFA"/>
    <w:multiLevelType w:val="hybridMultilevel"/>
    <w:lvl w:ilvl="0">
      <w:lvlJc w:val="left"/>
      <w:lvlText w:val="%1."/>
      <w:numFmt w:val="decimal"/>
      <w:start w:val="1"/>
    </w:lvl>
    <w:lvl w:ilvl="1">
      <w:lvlJc w:val="left"/>
      <w:lvlText w:val="%2)"/>
      <w:numFmt w:val="lowerLetter"/>
      <w:start w:val="1"/>
    </w:lvl>
  </w:abstractNum>
  <w:abstractNum w:abstractNumId="406">
    <w:nsid w:val="78BB805A"/>
    <w:multiLevelType w:val="hybridMultilevel"/>
    <w:lvl w:ilvl="0">
      <w:lvlJc w:val="left"/>
      <w:lvlText w:val="%1."/>
      <w:numFmt w:val="decimal"/>
      <w:start w:val="1"/>
    </w:lvl>
    <w:lvl w:ilvl="1">
      <w:lvlJc w:val="left"/>
      <w:lvlText w:val="%2)"/>
      <w:numFmt w:val="lowerLetter"/>
      <w:start w:val="1"/>
    </w:lvl>
  </w:abstractNum>
  <w:abstractNum w:abstractNumId="407">
    <w:nsid w:val="62548FD8"/>
    <w:multiLevelType w:val="hybridMultilevel"/>
    <w:lvl w:ilvl="0">
      <w:lvlJc w:val="left"/>
      <w:lvlText w:val="(%1)"/>
      <w:numFmt w:val="lowerRoman"/>
      <w:start w:val="1"/>
    </w:lvl>
  </w:abstractNum>
  <w:abstractNum w:abstractNumId="408">
    <w:nsid w:val="FA085B0"/>
    <w:multiLevelType w:val="hybridMultilevel"/>
    <w:lvl w:ilvl="0">
      <w:lvlJc w:val="left"/>
      <w:lvlText w:val="(%1)"/>
      <w:numFmt w:val="lowerRoman"/>
      <w:start w:val="1"/>
    </w:lvl>
  </w:abstractNum>
  <w:abstractNum w:abstractNumId="409">
    <w:nsid w:val="4E5DCB5"/>
    <w:multiLevelType w:val="hybridMultilevel"/>
    <w:lvl w:ilvl="0">
      <w:lvlJc w:val="left"/>
      <w:lvlText w:val="(%1)"/>
      <w:numFmt w:val="lowerRoman"/>
      <w:start w:val="1"/>
    </w:lvl>
  </w:abstractNum>
  <w:abstractNum w:abstractNumId="410">
    <w:nsid w:val="41E96BDB"/>
    <w:multiLevelType w:val="hybridMultilevel"/>
    <w:lvl w:ilvl="0">
      <w:lvlJc w:val="left"/>
      <w:lvlText w:val="(%1)"/>
      <w:numFmt w:val="lowerRoman"/>
      <w:start w:val="1"/>
    </w:lvl>
  </w:abstractNum>
  <w:abstractNum w:abstractNumId="411">
    <w:nsid w:val="331C4250"/>
    <w:multiLevelType w:val="hybridMultilevel"/>
    <w:lvl w:ilvl="0">
      <w:lvlJc w:val="left"/>
      <w:lvlText w:val="(%1)"/>
      <w:numFmt w:val="lowerRoman"/>
      <w:start w:val="1"/>
    </w:lvl>
  </w:abstractNum>
  <w:abstractNum w:abstractNumId="412">
    <w:nsid w:val="1B1493C2"/>
    <w:multiLevelType w:val="hybridMultilevel"/>
    <w:lvl w:ilvl="0">
      <w:lvlJc w:val="left"/>
      <w:lvlText w:val="(%1)"/>
      <w:numFmt w:val="lowerRoman"/>
      <w:start w:val="1"/>
    </w:lvl>
  </w:abstractNum>
  <w:abstractNum w:abstractNumId="413">
    <w:nsid w:val="39F06DFD"/>
    <w:multiLevelType w:val="hybridMultilevel"/>
    <w:lvl w:ilvl="0">
      <w:lvlJc w:val="left"/>
      <w:lvlText w:val="(%1)"/>
      <w:numFmt w:val="lowerRoman"/>
      <w:start w:val="1"/>
    </w:lvl>
  </w:abstractNum>
  <w:abstractNum w:abstractNumId="414">
    <w:nsid w:val="14802F5D"/>
    <w:multiLevelType w:val="hybridMultilevel"/>
    <w:lvl w:ilvl="0">
      <w:lvlJc w:val="left"/>
      <w:lvlText w:val="(%1)"/>
      <w:numFmt w:val="lowerRoman"/>
      <w:start w:val="1"/>
    </w:lvl>
  </w:abstractNum>
  <w:abstractNum w:abstractNumId="415">
    <w:nsid w:val="2774A209"/>
    <w:multiLevelType w:val="hybridMultilevel"/>
    <w:lvl w:ilvl="0">
      <w:lvlJc w:val="left"/>
      <w:lvlText w:val="%1."/>
      <w:numFmt w:val="decimal"/>
      <w:start w:val="1"/>
    </w:lvl>
    <w:lvl w:ilvl="1">
      <w:lvlJc w:val="left"/>
      <w:lvlText w:val="-"/>
      <w:numFmt w:val="bullet"/>
      <w:start w:val="1"/>
    </w:lvl>
  </w:abstractNum>
  <w:abstractNum w:abstractNumId="416">
    <w:nsid w:val="3785655A"/>
    <w:multiLevelType w:val="hybridMultilevel"/>
    <w:lvl w:ilvl="0">
      <w:lvlJc w:val="left"/>
      <w:lvlText w:val="%1."/>
      <w:numFmt w:val="decimal"/>
      <w:start w:val="3"/>
    </w:lvl>
    <w:lvl w:ilvl="1">
      <w:lvlJc w:val="left"/>
      <w:lvlText w:val="-"/>
      <w:numFmt w:val="bullet"/>
      <w:start w:val="1"/>
    </w:lvl>
  </w:abstractNum>
  <w:abstractNum w:abstractNumId="417">
    <w:nsid w:val="B2172A"/>
    <w:multiLevelType w:val="hybridMultilevel"/>
    <w:lvl w:ilvl="0">
      <w:lvlJc w:val="left"/>
      <w:lvlText w:val="%1."/>
      <w:numFmt w:val="decimal"/>
      <w:start w:val="4"/>
    </w:lvl>
  </w:abstractNum>
  <w:abstractNum w:abstractNumId="418">
    <w:nsid w:val="532C34A5"/>
    <w:multiLevelType w:val="hybridMultilevel"/>
    <w:lvl w:ilvl="0">
      <w:lvlJc w:val="left"/>
      <w:lvlText w:val="%1."/>
      <w:numFmt w:val="decimal"/>
      <w:start w:val="5"/>
    </w:lvl>
  </w:abstractNum>
  <w:abstractNum w:abstractNumId="419">
    <w:nsid w:val="102809E2"/>
    <w:multiLevelType w:val="hybridMultilevel"/>
    <w:lvl w:ilvl="0">
      <w:lvlJc w:val="left"/>
      <w:lvlText w:val="%1."/>
      <w:numFmt w:val="decimal"/>
      <w:start w:val="6"/>
    </w:lvl>
    <w:lvl w:ilvl="1">
      <w:lvlJc w:val="left"/>
      <w:lvlText w:val="-"/>
      <w:numFmt w:val="bullet"/>
      <w:start w:val="1"/>
    </w:lvl>
  </w:abstractNum>
  <w:abstractNum w:abstractNumId="420">
    <w:nsid w:val="3B2125A3"/>
    <w:multiLevelType w:val="hybridMultilevel"/>
    <w:lvl w:ilvl="0">
      <w:lvlJc w:val="left"/>
      <w:lvlText w:val="%1."/>
      <w:numFmt w:val="decimal"/>
      <w:start w:val="7"/>
    </w:lvl>
    <w:lvl w:ilvl="1">
      <w:lvlJc w:val="left"/>
      <w:lvlText w:val="-"/>
      <w:numFmt w:val="bullet"/>
      <w:start w:val="1"/>
    </w:lvl>
  </w:abstractNum>
  <w:abstractNum w:abstractNumId="421">
    <w:nsid w:val="AC68FFB"/>
    <w:multiLevelType w:val="hybridMultilevel"/>
    <w:lvl w:ilvl="0">
      <w:lvlJc w:val="left"/>
      <w:lvlText w:val="%1."/>
      <w:numFmt w:val="decimal"/>
      <w:start w:val="8"/>
    </w:lvl>
    <w:lvl w:ilvl="1">
      <w:lvlJc w:val="left"/>
      <w:lvlText w:val="-"/>
      <w:numFmt w:val="bullet"/>
      <w:start w:val="1"/>
    </w:lvl>
  </w:abstractNum>
  <w:abstractNum w:abstractNumId="422">
    <w:nsid w:val="63DF3FB7"/>
    <w:multiLevelType w:val="hybridMultilevel"/>
    <w:lvl w:ilvl="0">
      <w:lvlJc w:val="left"/>
      <w:lvlText w:val="%1."/>
      <w:numFmt w:val="decimal"/>
      <w:start w:val="9"/>
    </w:lvl>
    <w:lvl w:ilvl="1">
      <w:lvlJc w:val="left"/>
      <w:lvlText w:val="-"/>
      <w:numFmt w:val="bullet"/>
      <w:start w:val="1"/>
    </w:lvl>
  </w:abstractNum>
  <w:abstractNum w:abstractNumId="423">
    <w:nsid w:val="64996E13"/>
    <w:multiLevelType w:val="hybridMultilevel"/>
    <w:lvl w:ilvl="0">
      <w:lvlJc w:val="left"/>
      <w:lvlText w:val="%1."/>
      <w:numFmt w:val="decimal"/>
      <w:start w:val="10"/>
    </w:lvl>
  </w:abstractNum>
  <w:abstractNum w:abstractNumId="424">
    <w:nsid w:val="57A37D47"/>
    <w:multiLevelType w:val="hybridMultilevel"/>
    <w:lvl w:ilvl="0">
      <w:lvlJc w:val="left"/>
      <w:lvlText w:val="%1."/>
      <w:numFmt w:val="decimal"/>
      <w:start w:val="12"/>
    </w:lvl>
  </w:abstractNum>
  <w:abstractNum w:abstractNumId="425">
    <w:nsid w:val="74824D54"/>
    <w:multiLevelType w:val="hybridMultilevel"/>
    <w:lvl w:ilvl="0">
      <w:lvlJc w:val="left"/>
      <w:lvlText w:val="%1."/>
      <w:numFmt w:val="decimal"/>
      <w:start w:val="13"/>
    </w:lvl>
    <w:lvl w:ilvl="1">
      <w:lvlJc w:val="left"/>
      <w:lvlText w:val="-"/>
      <w:numFmt w:val="bullet"/>
      <w:start w:val="1"/>
    </w:lvl>
  </w:abstractNum>
  <w:abstractNum w:abstractNumId="426">
    <w:nsid w:val="6F00529A"/>
    <w:multiLevelType w:val="hybridMultilevel"/>
    <w:lvl w:ilvl="0">
      <w:lvlJc w:val="left"/>
      <w:lvlText w:val="%1."/>
      <w:numFmt w:val="decimal"/>
      <w:start w:val="14"/>
    </w:lvl>
  </w:abstractNum>
  <w:abstractNum w:abstractNumId="427">
    <w:nsid w:val="805B331"/>
    <w:multiLevelType w:val="hybridMultilevel"/>
    <w:lvl w:ilvl="0">
      <w:lvlJc w:val="left"/>
      <w:lvlText w:val="%1."/>
      <w:numFmt w:val="decimal"/>
      <w:start w:val="15"/>
    </w:lvl>
  </w:abstractNum>
  <w:abstractNum w:abstractNumId="428">
    <w:nsid w:val="60A146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 w:numId="391">
    <w:abstractNumId w:val="390"/>
  </w:num>
  <w:num w:numId="392">
    <w:abstractNumId w:val="391"/>
  </w:num>
  <w:num w:numId="393">
    <w:abstractNumId w:val="392"/>
  </w:num>
  <w:num w:numId="394">
    <w:abstractNumId w:val="393"/>
  </w:num>
  <w:num w:numId="395">
    <w:abstractNumId w:val="394"/>
  </w:num>
  <w:num w:numId="396">
    <w:abstractNumId w:val="395"/>
  </w:num>
  <w:num w:numId="397">
    <w:abstractNumId w:val="396"/>
  </w:num>
  <w:num w:numId="398">
    <w:abstractNumId w:val="397"/>
  </w:num>
  <w:num w:numId="399">
    <w:abstractNumId w:val="398"/>
  </w:num>
  <w:num w:numId="400">
    <w:abstractNumId w:val="399"/>
  </w:num>
  <w:num w:numId="401">
    <w:abstractNumId w:val="400"/>
  </w:num>
  <w:num w:numId="402">
    <w:abstractNumId w:val="401"/>
  </w:num>
  <w:num w:numId="403">
    <w:abstractNumId w:val="402"/>
  </w:num>
  <w:num w:numId="404">
    <w:abstractNumId w:val="403"/>
  </w:num>
  <w:num w:numId="405">
    <w:abstractNumId w:val="404"/>
  </w:num>
  <w:num w:numId="406">
    <w:abstractNumId w:val="405"/>
  </w:num>
  <w:num w:numId="407">
    <w:abstractNumId w:val="406"/>
  </w:num>
  <w:num w:numId="408">
    <w:abstractNumId w:val="407"/>
  </w:num>
  <w:num w:numId="409">
    <w:abstractNumId w:val="408"/>
  </w:num>
  <w:num w:numId="410">
    <w:abstractNumId w:val="409"/>
  </w:num>
  <w:num w:numId="411">
    <w:abstractNumId w:val="410"/>
  </w:num>
  <w:num w:numId="412">
    <w:abstractNumId w:val="411"/>
  </w:num>
  <w:num w:numId="413">
    <w:abstractNumId w:val="412"/>
  </w:num>
  <w:num w:numId="414">
    <w:abstractNumId w:val="413"/>
  </w:num>
  <w:num w:numId="415">
    <w:abstractNumId w:val="414"/>
  </w:num>
  <w:num w:numId="416">
    <w:abstractNumId w:val="415"/>
  </w:num>
  <w:num w:numId="417">
    <w:abstractNumId w:val="416"/>
  </w:num>
  <w:num w:numId="418">
    <w:abstractNumId w:val="417"/>
  </w:num>
  <w:num w:numId="419">
    <w:abstractNumId w:val="418"/>
  </w:num>
  <w:num w:numId="420">
    <w:abstractNumId w:val="419"/>
  </w:num>
  <w:num w:numId="421">
    <w:abstractNumId w:val="420"/>
  </w:num>
  <w:num w:numId="422">
    <w:abstractNumId w:val="421"/>
  </w:num>
  <w:num w:numId="423">
    <w:abstractNumId w:val="422"/>
  </w:num>
  <w:num w:numId="424">
    <w:abstractNumId w:val="423"/>
  </w:num>
  <w:num w:numId="425">
    <w:abstractNumId w:val="424"/>
  </w:num>
  <w:num w:numId="426">
    <w:abstractNumId w:val="425"/>
  </w:num>
  <w:num w:numId="427">
    <w:abstractNumId w:val="426"/>
  </w:num>
  <w:num w:numId="428">
    <w:abstractNumId w:val="427"/>
  </w:num>
  <w:num w:numId="429">
    <w:abstractNumId w:val="4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jpe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jpeg"/><Relationship Id="rId90" Type="http://schemas.openxmlformats.org/officeDocument/2006/relationships/image" Target="media/image83.png"/><Relationship Id="rId91" Type="http://schemas.openxmlformats.org/officeDocument/2006/relationships/image" Target="media/image84.jpe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jpe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2019-12-10T14:43:36Z</dcterms:created>
  <dcterms:modified xsi:type="dcterms:W3CDTF">2019-12-10T14:43:36Z</dcterms:modified>
</cp:coreProperties>
</file>